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41A66A" w14:textId="77777777" w:rsidR="0019038E" w:rsidRDefault="0019038E" w:rsidP="0019038E">
      <w:pPr>
        <w:pStyle w:val="mythesis"/>
      </w:pPr>
    </w:p>
    <w:p w14:paraId="1E99D945" w14:textId="77777777" w:rsidR="0019038E" w:rsidRDefault="0019038E" w:rsidP="0019038E">
      <w:pPr>
        <w:autoSpaceDE w:val="0"/>
        <w:autoSpaceDN w:val="0"/>
        <w:adjustRightInd w:val="0"/>
        <w:rPr>
          <w:rFonts w:asciiTheme="majorBidi" w:hAnsiTheme="majorBidi" w:cstheme="majorBidi"/>
        </w:rPr>
      </w:pPr>
      <w:r>
        <w:rPr>
          <w:rFonts w:asciiTheme="majorBidi" w:hAnsiTheme="majorBidi" w:cstheme="majorBidi"/>
          <w:noProof/>
          <w:lang w:eastAsia="zh-CN"/>
        </w:rPr>
        <w:drawing>
          <wp:anchor distT="0" distB="0" distL="114300" distR="114300" simplePos="0" relativeHeight="251659264" behindDoc="0" locked="0" layoutInCell="1" allowOverlap="1" wp14:anchorId="52D8D980" wp14:editId="641CEC66">
            <wp:simplePos x="0" y="0"/>
            <wp:positionH relativeFrom="column">
              <wp:posOffset>1310652</wp:posOffset>
            </wp:positionH>
            <wp:positionV relativeFrom="paragraph">
              <wp:posOffset>-310515</wp:posOffset>
            </wp:positionV>
            <wp:extent cx="3036570" cy="1104265"/>
            <wp:effectExtent l="0" t="0" r="0" b="0"/>
            <wp:wrapNone/>
            <wp:docPr id="1" name="Picture 1"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0F30FEB7" w14:textId="77777777" w:rsidR="0019038E" w:rsidRDefault="0019038E" w:rsidP="0019038E">
      <w:pPr>
        <w:autoSpaceDE w:val="0"/>
        <w:autoSpaceDN w:val="0"/>
        <w:adjustRightInd w:val="0"/>
        <w:rPr>
          <w:rFonts w:asciiTheme="majorBidi" w:hAnsiTheme="majorBidi" w:cstheme="majorBidi"/>
        </w:rPr>
      </w:pPr>
    </w:p>
    <w:p w14:paraId="65A8735E" w14:textId="77777777" w:rsidR="0019038E" w:rsidRDefault="0019038E" w:rsidP="0019038E">
      <w:pPr>
        <w:autoSpaceDE w:val="0"/>
        <w:autoSpaceDN w:val="0"/>
        <w:adjustRightInd w:val="0"/>
        <w:rPr>
          <w:rFonts w:asciiTheme="majorBidi" w:hAnsiTheme="majorBidi" w:cstheme="majorBidi"/>
        </w:rPr>
      </w:pPr>
    </w:p>
    <w:p w14:paraId="0A5EC288" w14:textId="77777777" w:rsidR="0019038E" w:rsidRDefault="0019038E" w:rsidP="0019038E">
      <w:pPr>
        <w:autoSpaceDE w:val="0"/>
        <w:autoSpaceDN w:val="0"/>
        <w:adjustRightInd w:val="0"/>
        <w:rPr>
          <w:rFonts w:asciiTheme="majorBidi" w:hAnsiTheme="majorBidi" w:cstheme="majorBidi"/>
        </w:rPr>
      </w:pPr>
    </w:p>
    <w:p w14:paraId="705985AA" w14:textId="77777777" w:rsidR="0019038E" w:rsidRDefault="0019038E" w:rsidP="0019038E">
      <w:pPr>
        <w:autoSpaceDE w:val="0"/>
        <w:autoSpaceDN w:val="0"/>
        <w:adjustRightInd w:val="0"/>
        <w:jc w:val="center"/>
        <w:rPr>
          <w:rFonts w:asciiTheme="majorBidi" w:hAnsiTheme="majorBidi" w:cstheme="majorBidi"/>
        </w:rPr>
      </w:pPr>
    </w:p>
    <w:p w14:paraId="3569B5AE" w14:textId="77777777" w:rsidR="0019038E" w:rsidRDefault="0019038E" w:rsidP="0019038E">
      <w:pPr>
        <w:autoSpaceDE w:val="0"/>
        <w:autoSpaceDN w:val="0"/>
        <w:adjustRightInd w:val="0"/>
        <w:jc w:val="center"/>
        <w:rPr>
          <w:rFonts w:asciiTheme="majorBidi" w:hAnsiTheme="majorBidi" w:cstheme="majorBidi"/>
        </w:rPr>
      </w:pPr>
    </w:p>
    <w:p w14:paraId="336BB5D8" w14:textId="77777777" w:rsidR="0019038E" w:rsidRDefault="0019038E" w:rsidP="0019038E">
      <w:pPr>
        <w:autoSpaceDE w:val="0"/>
        <w:autoSpaceDN w:val="0"/>
        <w:adjustRightInd w:val="0"/>
        <w:jc w:val="center"/>
        <w:rPr>
          <w:rFonts w:asciiTheme="majorBidi" w:hAnsiTheme="majorBidi" w:cstheme="majorBidi"/>
        </w:rPr>
      </w:pPr>
    </w:p>
    <w:p w14:paraId="462BECF2" w14:textId="77777777" w:rsidR="0019038E" w:rsidRDefault="0019038E" w:rsidP="0019038E">
      <w:pPr>
        <w:autoSpaceDE w:val="0"/>
        <w:autoSpaceDN w:val="0"/>
        <w:adjustRightInd w:val="0"/>
        <w:jc w:val="center"/>
        <w:rPr>
          <w:rFonts w:asciiTheme="majorBidi" w:hAnsiTheme="majorBidi" w:cstheme="majorBidi"/>
        </w:rPr>
      </w:pPr>
    </w:p>
    <w:p w14:paraId="1E2DD2B6" w14:textId="77777777" w:rsidR="0019038E" w:rsidRDefault="0019038E" w:rsidP="0019038E">
      <w:pPr>
        <w:autoSpaceDE w:val="0"/>
        <w:autoSpaceDN w:val="0"/>
        <w:adjustRightInd w:val="0"/>
        <w:jc w:val="center"/>
        <w:rPr>
          <w:rFonts w:asciiTheme="majorBidi" w:hAnsiTheme="majorBidi" w:cstheme="majorBidi"/>
        </w:rPr>
      </w:pPr>
    </w:p>
    <w:p w14:paraId="5EF95EF1" w14:textId="77777777" w:rsidR="0019038E" w:rsidRDefault="0019038E" w:rsidP="0019038E">
      <w:pPr>
        <w:autoSpaceDE w:val="0"/>
        <w:autoSpaceDN w:val="0"/>
        <w:adjustRightInd w:val="0"/>
        <w:jc w:val="center"/>
        <w:rPr>
          <w:rFonts w:asciiTheme="majorBidi" w:hAnsiTheme="majorBidi" w:cstheme="majorBidi"/>
        </w:rPr>
      </w:pPr>
    </w:p>
    <w:p w14:paraId="1FBC20B0" w14:textId="77777777" w:rsidR="0019038E" w:rsidRDefault="0019038E" w:rsidP="0019038E">
      <w:pPr>
        <w:autoSpaceDE w:val="0"/>
        <w:autoSpaceDN w:val="0"/>
        <w:adjustRightInd w:val="0"/>
        <w:jc w:val="center"/>
        <w:rPr>
          <w:rFonts w:asciiTheme="majorBidi" w:hAnsiTheme="majorBidi" w:cstheme="majorBidi"/>
        </w:rPr>
      </w:pPr>
    </w:p>
    <w:p w14:paraId="0F3ED150" w14:textId="77777777" w:rsidR="0019038E" w:rsidRDefault="0019038E" w:rsidP="00C42EFA">
      <w:pPr>
        <w:autoSpaceDE w:val="0"/>
        <w:autoSpaceDN w:val="0"/>
        <w:adjustRightInd w:val="0"/>
        <w:jc w:val="center"/>
        <w:rPr>
          <w:rFonts w:asciiTheme="majorBidi" w:hAnsiTheme="majorBidi" w:cstheme="majorBidi"/>
          <w:b/>
          <w:bCs/>
          <w:color w:val="222222"/>
          <w:sz w:val="28"/>
          <w:szCs w:val="28"/>
          <w:shd w:val="clear" w:color="auto" w:fill="FFFFFF"/>
        </w:rPr>
      </w:pPr>
    </w:p>
    <w:p w14:paraId="3BA58379" w14:textId="77777777" w:rsidR="00F42374" w:rsidRDefault="00F42374" w:rsidP="00F42374">
      <w:pPr>
        <w:autoSpaceDE w:val="0"/>
        <w:autoSpaceDN w:val="0"/>
        <w:adjustRightInd w:val="0"/>
        <w:jc w:val="center"/>
        <w:rPr>
          <w:rFonts w:asciiTheme="majorBidi" w:hAnsiTheme="majorBidi" w:cstheme="majorBidi"/>
          <w:b/>
          <w:bCs/>
          <w:color w:val="222222"/>
          <w:sz w:val="28"/>
          <w:szCs w:val="28"/>
          <w:shd w:val="clear" w:color="auto" w:fill="FFFFFF"/>
        </w:rPr>
      </w:pPr>
    </w:p>
    <w:p w14:paraId="57B180F6" w14:textId="77777777" w:rsidR="00F42374" w:rsidRPr="0070651F" w:rsidRDefault="00F42374" w:rsidP="00F42374">
      <w:pPr>
        <w:autoSpaceDE w:val="0"/>
        <w:autoSpaceDN w:val="0"/>
        <w:adjustRightInd w:val="0"/>
        <w:jc w:val="center"/>
        <w:rPr>
          <w:rFonts w:ascii="TUOS Blake" w:hAnsi="TUOS Blake" w:cstheme="majorBidi"/>
          <w:b/>
          <w:bCs/>
          <w:sz w:val="28"/>
          <w:szCs w:val="28"/>
        </w:rPr>
      </w:pPr>
      <w:r>
        <w:rPr>
          <w:rFonts w:ascii="TUOS Blake" w:hAnsi="TUOS Blake" w:cstheme="majorBidi"/>
          <w:b/>
          <w:bCs/>
          <w:color w:val="222222"/>
          <w:sz w:val="28"/>
          <w:szCs w:val="28"/>
          <w:shd w:val="clear" w:color="auto" w:fill="FFFFFF"/>
        </w:rPr>
        <w:t xml:space="preserve">The Physiological and Biochemical Responses of Arbuscular Mycorrhizal Fungi on a Genotyped Diversity Panel of </w:t>
      </w:r>
      <w:r w:rsidRPr="00482CC3">
        <w:rPr>
          <w:rFonts w:ascii="TUOS Blake" w:hAnsi="TUOS Blake" w:cstheme="majorBidi"/>
          <w:b/>
          <w:bCs/>
          <w:i/>
          <w:iCs/>
          <w:color w:val="222222"/>
          <w:sz w:val="28"/>
          <w:szCs w:val="28"/>
          <w:shd w:val="clear" w:color="auto" w:fill="FFFFFF"/>
        </w:rPr>
        <w:t>Zea mays</w:t>
      </w:r>
      <w:r>
        <w:rPr>
          <w:rFonts w:ascii="TUOS Blake" w:hAnsi="TUOS Blake" w:cstheme="majorBidi"/>
          <w:b/>
          <w:bCs/>
          <w:color w:val="222222"/>
          <w:sz w:val="28"/>
          <w:szCs w:val="28"/>
          <w:shd w:val="clear" w:color="auto" w:fill="FFFFFF"/>
        </w:rPr>
        <w:t xml:space="preserve"> L. Cultivars Commonly Grown in Saudi Arabia</w:t>
      </w:r>
      <w:r w:rsidRPr="0070651F">
        <w:rPr>
          <w:rFonts w:ascii="TUOS Blake" w:hAnsi="TUOS Blake" w:cstheme="majorBidi"/>
          <w:b/>
          <w:bCs/>
          <w:color w:val="222222"/>
          <w:sz w:val="28"/>
          <w:szCs w:val="28"/>
          <w:shd w:val="clear" w:color="auto" w:fill="FFFFFF"/>
        </w:rPr>
        <w:t xml:space="preserve"> </w:t>
      </w:r>
      <w:r w:rsidRPr="0070651F">
        <w:rPr>
          <w:rFonts w:ascii="TUOS Blake" w:hAnsi="TUOS Blake" w:cstheme="majorBidi"/>
          <w:b/>
          <w:bCs/>
          <w:color w:val="222222"/>
          <w:sz w:val="28"/>
          <w:szCs w:val="28"/>
        </w:rPr>
        <w:br/>
      </w:r>
      <w:r w:rsidRPr="0070651F">
        <w:rPr>
          <w:rFonts w:ascii="TUOS Blake" w:hAnsi="TUOS Blake" w:cstheme="majorBidi"/>
          <w:b/>
          <w:bCs/>
          <w:color w:val="222222"/>
          <w:sz w:val="28"/>
          <w:szCs w:val="28"/>
        </w:rPr>
        <w:br/>
      </w:r>
      <w:r w:rsidRPr="0070651F">
        <w:rPr>
          <w:rFonts w:ascii="TUOS Blake" w:hAnsi="TUOS Blake" w:cstheme="majorBidi"/>
          <w:b/>
          <w:bCs/>
          <w:color w:val="222222"/>
          <w:sz w:val="28"/>
          <w:szCs w:val="28"/>
        </w:rPr>
        <w:br/>
      </w:r>
    </w:p>
    <w:p w14:paraId="4FAD4C8F" w14:textId="77777777" w:rsidR="00F42374" w:rsidRPr="0070651F" w:rsidRDefault="00F42374" w:rsidP="00F42374">
      <w:pPr>
        <w:autoSpaceDE w:val="0"/>
        <w:autoSpaceDN w:val="0"/>
        <w:adjustRightInd w:val="0"/>
        <w:jc w:val="center"/>
        <w:rPr>
          <w:rFonts w:ascii="TUOS Blake" w:hAnsi="TUOS Blake" w:cstheme="majorBidi"/>
        </w:rPr>
      </w:pPr>
    </w:p>
    <w:p w14:paraId="465EF911" w14:textId="77777777" w:rsidR="00F42374" w:rsidRPr="0070651F" w:rsidRDefault="00F42374" w:rsidP="00F42374">
      <w:pPr>
        <w:autoSpaceDE w:val="0"/>
        <w:autoSpaceDN w:val="0"/>
        <w:adjustRightInd w:val="0"/>
        <w:jc w:val="center"/>
        <w:rPr>
          <w:rFonts w:ascii="TUOS Blake" w:hAnsi="TUOS Blake" w:cstheme="majorBidi"/>
          <w:b/>
          <w:bCs/>
          <w:sz w:val="28"/>
          <w:szCs w:val="28"/>
        </w:rPr>
      </w:pPr>
    </w:p>
    <w:p w14:paraId="4485E953" w14:textId="77777777" w:rsidR="00F42374" w:rsidRDefault="00F42374" w:rsidP="00F42374">
      <w:pPr>
        <w:autoSpaceDE w:val="0"/>
        <w:autoSpaceDN w:val="0"/>
        <w:adjustRightInd w:val="0"/>
        <w:jc w:val="center"/>
        <w:rPr>
          <w:rFonts w:ascii="TUOS Blake" w:hAnsi="TUOS Blake" w:cstheme="majorBidi"/>
          <w:b/>
          <w:bCs/>
          <w:sz w:val="28"/>
          <w:szCs w:val="28"/>
        </w:rPr>
      </w:pPr>
      <w:r>
        <w:rPr>
          <w:rFonts w:ascii="TUOS Blake" w:hAnsi="TUOS Blake" w:cstheme="majorBidi"/>
          <w:b/>
          <w:bCs/>
          <w:sz w:val="28"/>
          <w:szCs w:val="28"/>
        </w:rPr>
        <w:t xml:space="preserve"> </w:t>
      </w:r>
    </w:p>
    <w:p w14:paraId="6055016C" w14:textId="77777777" w:rsidR="00F42374" w:rsidRPr="0070651F" w:rsidRDefault="00F42374" w:rsidP="00F42374">
      <w:pPr>
        <w:autoSpaceDE w:val="0"/>
        <w:autoSpaceDN w:val="0"/>
        <w:adjustRightInd w:val="0"/>
        <w:jc w:val="center"/>
        <w:rPr>
          <w:rFonts w:ascii="TUOS Blake" w:hAnsi="TUOS Blake" w:cstheme="majorBidi"/>
          <w:b/>
          <w:bCs/>
          <w:sz w:val="28"/>
          <w:szCs w:val="28"/>
        </w:rPr>
      </w:pPr>
      <w:r>
        <w:rPr>
          <w:rFonts w:ascii="TUOS Blake" w:hAnsi="TUOS Blake" w:cstheme="majorBidi"/>
          <w:b/>
          <w:bCs/>
          <w:sz w:val="28"/>
          <w:szCs w:val="28"/>
        </w:rPr>
        <w:t>Amal Tareef Khalaf Ashour</w:t>
      </w:r>
    </w:p>
    <w:p w14:paraId="38247822" w14:textId="77777777" w:rsidR="00F42374" w:rsidRDefault="00F42374" w:rsidP="00F42374">
      <w:pPr>
        <w:autoSpaceDE w:val="0"/>
        <w:autoSpaceDN w:val="0"/>
        <w:adjustRightInd w:val="0"/>
        <w:jc w:val="center"/>
        <w:rPr>
          <w:rFonts w:asciiTheme="majorBidi" w:hAnsiTheme="majorBidi" w:cstheme="majorBidi"/>
          <w:b/>
          <w:bCs/>
          <w:sz w:val="28"/>
          <w:szCs w:val="28"/>
        </w:rPr>
      </w:pPr>
    </w:p>
    <w:p w14:paraId="1FE11F6C" w14:textId="77777777" w:rsidR="0019038E" w:rsidRDefault="0019038E" w:rsidP="0019038E">
      <w:pPr>
        <w:autoSpaceDE w:val="0"/>
        <w:autoSpaceDN w:val="0"/>
        <w:adjustRightInd w:val="0"/>
        <w:jc w:val="center"/>
        <w:rPr>
          <w:rFonts w:asciiTheme="majorBidi" w:hAnsiTheme="majorBidi" w:cstheme="majorBidi"/>
          <w:b/>
          <w:bCs/>
          <w:sz w:val="28"/>
          <w:szCs w:val="28"/>
        </w:rPr>
      </w:pPr>
    </w:p>
    <w:p w14:paraId="1A7F336D" w14:textId="77777777" w:rsidR="0019038E" w:rsidRPr="00177AB6" w:rsidRDefault="0019038E" w:rsidP="0019038E">
      <w:pPr>
        <w:autoSpaceDE w:val="0"/>
        <w:autoSpaceDN w:val="0"/>
        <w:adjustRightInd w:val="0"/>
        <w:rPr>
          <w:rFonts w:asciiTheme="majorBidi" w:hAnsiTheme="majorBidi" w:cstheme="majorBidi"/>
          <w:sz w:val="28"/>
          <w:szCs w:val="28"/>
        </w:rPr>
      </w:pPr>
    </w:p>
    <w:p w14:paraId="1CE49120" w14:textId="77777777" w:rsidR="0019038E" w:rsidRDefault="0019038E" w:rsidP="0019038E">
      <w:pPr>
        <w:autoSpaceDE w:val="0"/>
        <w:autoSpaceDN w:val="0"/>
        <w:adjustRightInd w:val="0"/>
        <w:rPr>
          <w:rFonts w:asciiTheme="majorBidi" w:hAnsiTheme="majorBidi" w:cstheme="majorBidi"/>
        </w:rPr>
      </w:pPr>
    </w:p>
    <w:p w14:paraId="07A038C4" w14:textId="77777777" w:rsidR="0019038E" w:rsidRDefault="0019038E" w:rsidP="0019038E">
      <w:pPr>
        <w:autoSpaceDE w:val="0"/>
        <w:autoSpaceDN w:val="0"/>
        <w:adjustRightInd w:val="0"/>
        <w:rPr>
          <w:rFonts w:asciiTheme="majorBidi" w:hAnsiTheme="majorBidi" w:cstheme="majorBidi"/>
        </w:rPr>
      </w:pPr>
    </w:p>
    <w:p w14:paraId="28AE7D43" w14:textId="77777777" w:rsidR="0019038E" w:rsidRDefault="0019038E" w:rsidP="0019038E">
      <w:pPr>
        <w:autoSpaceDE w:val="0"/>
        <w:autoSpaceDN w:val="0"/>
        <w:adjustRightInd w:val="0"/>
        <w:rPr>
          <w:rFonts w:asciiTheme="majorBidi" w:hAnsiTheme="majorBidi" w:cstheme="majorBidi"/>
        </w:rPr>
      </w:pPr>
    </w:p>
    <w:p w14:paraId="490846CF" w14:textId="77777777" w:rsidR="0019038E" w:rsidRPr="0070651F" w:rsidRDefault="0019038E" w:rsidP="0019038E">
      <w:pPr>
        <w:autoSpaceDE w:val="0"/>
        <w:autoSpaceDN w:val="0"/>
        <w:adjustRightInd w:val="0"/>
        <w:jc w:val="center"/>
        <w:rPr>
          <w:rFonts w:ascii="TUOS Blake" w:hAnsi="TUOS Blake" w:cstheme="majorBidi"/>
        </w:rPr>
      </w:pPr>
      <w:r w:rsidRPr="0070651F">
        <w:rPr>
          <w:rFonts w:ascii="TUOS Blake" w:hAnsi="TUOS Blake" w:cstheme="majorBidi"/>
        </w:rPr>
        <w:t>A thesis submitted in partial fulfilment of the requirements for the degree of</w:t>
      </w:r>
    </w:p>
    <w:p w14:paraId="5D915A60" w14:textId="77777777" w:rsidR="0019038E" w:rsidRPr="0070651F" w:rsidRDefault="0019038E" w:rsidP="0019038E">
      <w:pPr>
        <w:jc w:val="center"/>
        <w:rPr>
          <w:rFonts w:ascii="TUOS Blake" w:hAnsi="TUOS Blake" w:cstheme="majorBidi"/>
        </w:rPr>
      </w:pPr>
      <w:r w:rsidRPr="0070651F">
        <w:rPr>
          <w:rFonts w:ascii="TUOS Blake" w:hAnsi="TUOS Blake" w:cstheme="majorBidi"/>
        </w:rPr>
        <w:t xml:space="preserve">Doctor of Philosophy </w:t>
      </w:r>
    </w:p>
    <w:p w14:paraId="2C44F349" w14:textId="77777777" w:rsidR="0019038E" w:rsidRDefault="0019038E" w:rsidP="0019038E">
      <w:pPr>
        <w:jc w:val="center"/>
        <w:rPr>
          <w:rFonts w:asciiTheme="majorBidi" w:hAnsiTheme="majorBidi" w:cstheme="majorBidi"/>
        </w:rPr>
      </w:pPr>
    </w:p>
    <w:p w14:paraId="6C360C43" w14:textId="77777777" w:rsidR="0019038E" w:rsidRDefault="0019038E" w:rsidP="0019038E">
      <w:pPr>
        <w:jc w:val="center"/>
        <w:rPr>
          <w:rFonts w:asciiTheme="majorBidi" w:hAnsiTheme="majorBidi" w:cstheme="majorBidi"/>
        </w:rPr>
      </w:pPr>
    </w:p>
    <w:p w14:paraId="708150E3" w14:textId="77777777" w:rsidR="0019038E" w:rsidRDefault="0019038E" w:rsidP="0019038E">
      <w:pPr>
        <w:jc w:val="center"/>
        <w:rPr>
          <w:rFonts w:asciiTheme="majorBidi" w:hAnsiTheme="majorBidi" w:cstheme="majorBidi"/>
        </w:rPr>
      </w:pPr>
    </w:p>
    <w:p w14:paraId="2C08F9B2" w14:textId="77777777" w:rsidR="0019038E" w:rsidRPr="0070651F" w:rsidRDefault="0019038E" w:rsidP="0019038E">
      <w:pPr>
        <w:jc w:val="center"/>
        <w:rPr>
          <w:rFonts w:ascii="TUOS Blake" w:hAnsi="TUOS Blake" w:cstheme="majorBidi"/>
        </w:rPr>
      </w:pPr>
      <w:r w:rsidRPr="0070651F">
        <w:rPr>
          <w:rFonts w:ascii="TUOS Blake" w:hAnsi="TUOS Blake" w:cstheme="majorBidi"/>
        </w:rPr>
        <w:t>The University of Sheffield</w:t>
      </w:r>
    </w:p>
    <w:p w14:paraId="6F5FE46C" w14:textId="77777777" w:rsidR="0019038E" w:rsidRPr="0070651F" w:rsidRDefault="0019038E" w:rsidP="0019038E">
      <w:pPr>
        <w:autoSpaceDE w:val="0"/>
        <w:autoSpaceDN w:val="0"/>
        <w:adjustRightInd w:val="0"/>
        <w:jc w:val="center"/>
        <w:rPr>
          <w:rFonts w:ascii="TUOS Blake" w:hAnsi="TUOS Blake" w:cstheme="majorBidi"/>
        </w:rPr>
      </w:pPr>
      <w:r w:rsidRPr="0070651F">
        <w:rPr>
          <w:rFonts w:ascii="TUOS Blake" w:hAnsi="TUOS Blake" w:cstheme="majorBidi"/>
        </w:rPr>
        <w:t xml:space="preserve">Faculty of </w:t>
      </w:r>
      <w:r>
        <w:rPr>
          <w:rFonts w:eastAsiaTheme="minorHAnsi"/>
        </w:rPr>
        <w:t>Science</w:t>
      </w:r>
    </w:p>
    <w:p w14:paraId="4CCAFD5E" w14:textId="77777777" w:rsidR="0019038E" w:rsidRPr="0070651F" w:rsidRDefault="0019038E" w:rsidP="0019038E">
      <w:pPr>
        <w:jc w:val="center"/>
        <w:rPr>
          <w:rFonts w:ascii="TUOS Blake" w:hAnsi="TUOS Blake" w:cstheme="majorBidi"/>
        </w:rPr>
      </w:pPr>
      <w:r w:rsidRPr="0070651F">
        <w:rPr>
          <w:rFonts w:ascii="TUOS Blake" w:hAnsi="TUOS Blake" w:cstheme="majorBidi"/>
        </w:rPr>
        <w:t>Department</w:t>
      </w:r>
      <w:r>
        <w:rPr>
          <w:rFonts w:ascii="TUOS Blake" w:hAnsi="TUOS Blake" w:cstheme="majorBidi"/>
        </w:rPr>
        <w:t xml:space="preserve"> </w:t>
      </w:r>
      <w:r>
        <w:rPr>
          <w:rFonts w:eastAsiaTheme="minorHAnsi"/>
        </w:rPr>
        <w:t>of Animal and Plant Sciences</w:t>
      </w:r>
    </w:p>
    <w:p w14:paraId="2266DBFD" w14:textId="77777777" w:rsidR="0019038E" w:rsidRPr="0070651F" w:rsidRDefault="0019038E" w:rsidP="0019038E">
      <w:pPr>
        <w:jc w:val="center"/>
        <w:rPr>
          <w:rFonts w:ascii="TUOS Blake" w:hAnsi="TUOS Blake" w:cstheme="majorBidi"/>
        </w:rPr>
      </w:pPr>
    </w:p>
    <w:p w14:paraId="5F122E68" w14:textId="77777777" w:rsidR="0019038E" w:rsidRPr="0070651F" w:rsidRDefault="0019038E" w:rsidP="0019038E">
      <w:pPr>
        <w:jc w:val="center"/>
        <w:rPr>
          <w:rFonts w:ascii="TUOS Blake" w:hAnsi="TUOS Blake" w:cstheme="majorBidi"/>
        </w:rPr>
      </w:pPr>
      <w:r w:rsidRPr="0070651F">
        <w:rPr>
          <w:rFonts w:ascii="TUOS Blake" w:hAnsi="TUOS Blake" w:cstheme="majorBidi"/>
        </w:rPr>
        <w:t xml:space="preserve"> </w:t>
      </w:r>
    </w:p>
    <w:p w14:paraId="578B4025" w14:textId="77777777" w:rsidR="0019038E" w:rsidRDefault="0019038E" w:rsidP="0019038E">
      <w:pPr>
        <w:jc w:val="center"/>
        <w:rPr>
          <w:b/>
          <w:bCs/>
          <w:sz w:val="32"/>
          <w:szCs w:val="32"/>
        </w:rPr>
      </w:pPr>
      <w:r>
        <w:rPr>
          <w:rFonts w:eastAsiaTheme="minorHAnsi"/>
        </w:rPr>
        <w:t>30</w:t>
      </w:r>
      <w:r w:rsidRPr="009A2F92">
        <w:rPr>
          <w:rFonts w:eastAsiaTheme="minorHAnsi"/>
          <w:vertAlign w:val="superscript"/>
        </w:rPr>
        <w:t>th</w:t>
      </w:r>
      <w:r>
        <w:rPr>
          <w:rFonts w:eastAsiaTheme="minorHAnsi"/>
          <w:sz w:val="16"/>
          <w:szCs w:val="16"/>
        </w:rPr>
        <w:t xml:space="preserve"> </w:t>
      </w:r>
      <w:r>
        <w:rPr>
          <w:rFonts w:eastAsiaTheme="minorHAnsi"/>
        </w:rPr>
        <w:t>September 2021</w:t>
      </w:r>
    </w:p>
    <w:p w14:paraId="1428A8A8" w14:textId="77777777" w:rsidR="0019038E" w:rsidRDefault="0019038E" w:rsidP="0019038E">
      <w:pPr>
        <w:jc w:val="center"/>
        <w:rPr>
          <w:b/>
          <w:bCs/>
          <w:sz w:val="32"/>
          <w:szCs w:val="32"/>
        </w:rPr>
      </w:pPr>
    </w:p>
    <w:p w14:paraId="76DAE701" w14:textId="77777777" w:rsidR="0019038E" w:rsidRDefault="0019038E" w:rsidP="0019038E">
      <w:pPr>
        <w:jc w:val="center"/>
        <w:rPr>
          <w:b/>
          <w:bCs/>
          <w:sz w:val="32"/>
          <w:szCs w:val="32"/>
        </w:rPr>
      </w:pPr>
      <w:r>
        <w:rPr>
          <w:b/>
          <w:bCs/>
          <w:sz w:val="32"/>
          <w:szCs w:val="32"/>
        </w:rPr>
        <w:t xml:space="preserve"> </w:t>
      </w:r>
    </w:p>
    <w:p w14:paraId="46DD177C" w14:textId="77777777" w:rsidR="0019038E" w:rsidRDefault="0019038E" w:rsidP="0019038E">
      <w:pPr>
        <w:jc w:val="center"/>
        <w:rPr>
          <w:b/>
          <w:bCs/>
          <w:sz w:val="32"/>
          <w:szCs w:val="32"/>
        </w:rPr>
      </w:pPr>
    </w:p>
    <w:p w14:paraId="274ED1D4" w14:textId="77777777" w:rsidR="0019038E" w:rsidRDefault="0019038E" w:rsidP="0019038E">
      <w:pPr>
        <w:spacing w:line="360" w:lineRule="auto"/>
        <w:rPr>
          <w:b/>
          <w:bCs/>
          <w:sz w:val="32"/>
          <w:szCs w:val="32"/>
        </w:rPr>
        <w:sectPr w:rsidR="0019038E" w:rsidSect="001378D0">
          <w:footerReference w:type="even" r:id="rId9"/>
          <w:footerReference w:type="default" r:id="rId10"/>
          <w:pgSz w:w="11900" w:h="16840"/>
          <w:pgMar w:top="1440" w:right="1440" w:bottom="1440" w:left="1440" w:header="708" w:footer="708" w:gutter="0"/>
          <w:cols w:space="708"/>
          <w:titlePg/>
          <w:docGrid w:linePitch="360"/>
        </w:sectPr>
      </w:pPr>
    </w:p>
    <w:p w14:paraId="15D46F3C" w14:textId="77777777" w:rsidR="0019038E" w:rsidRDefault="0019038E" w:rsidP="0019038E">
      <w:pPr>
        <w:spacing w:line="360" w:lineRule="auto"/>
        <w:rPr>
          <w:b/>
          <w:bCs/>
          <w:sz w:val="32"/>
          <w:szCs w:val="32"/>
        </w:rPr>
      </w:pPr>
    </w:p>
    <w:p w14:paraId="11BC13A3" w14:textId="77777777" w:rsidR="0019038E" w:rsidRDefault="0019038E" w:rsidP="0019038E">
      <w:pPr>
        <w:spacing w:line="360" w:lineRule="auto"/>
        <w:rPr>
          <w:sz w:val="28"/>
          <w:szCs w:val="28"/>
        </w:rPr>
      </w:pPr>
      <w:r>
        <w:rPr>
          <w:sz w:val="28"/>
          <w:szCs w:val="28"/>
        </w:rPr>
        <w:t>Acknowledgements</w:t>
      </w:r>
    </w:p>
    <w:p w14:paraId="774A0896" w14:textId="77777777" w:rsidR="0019038E" w:rsidRPr="00C64872" w:rsidRDefault="0019038E" w:rsidP="00C64872">
      <w:pPr>
        <w:pStyle w:val="mythesis"/>
      </w:pPr>
    </w:p>
    <w:p w14:paraId="6E38616B" w14:textId="77777777" w:rsidR="0019038E" w:rsidRPr="00C64872" w:rsidRDefault="0019038E" w:rsidP="00C64872">
      <w:pPr>
        <w:pStyle w:val="mythesis"/>
      </w:pPr>
      <w:r w:rsidRPr="00C64872">
        <w:t xml:space="preserve">       This PhD thesis would not have been seen the light without GOD's help and then with the help and support of a wonderful group of people in my life. </w:t>
      </w:r>
    </w:p>
    <w:p w14:paraId="03FE3AB0" w14:textId="77777777" w:rsidR="0019038E" w:rsidRPr="00C64872" w:rsidRDefault="0019038E" w:rsidP="00C64872">
      <w:pPr>
        <w:pStyle w:val="mythesis"/>
      </w:pPr>
      <w:r w:rsidRPr="00C64872">
        <w:t xml:space="preserve">       These people provided all the support and assistance to me, especially my beloved mother who always supported me with prayers, love, and tenderness. My beloved father may GOD have mercy on him, who always believed in my abilities and says I will see you carry this degree one day. My beloved and wonderful husband who took charge of my studies and supported me during my working and study time and sharing all the difficulty with me and with my children also whenever I needed him was my support and my companion always and forever, as well as my four kids they understood always that I was busy because of my research, and they were my sources of inspiration always. Love you all so much and thank you for your incredible support.</w:t>
      </w:r>
    </w:p>
    <w:p w14:paraId="4B1E2C4E" w14:textId="77777777" w:rsidR="0019038E" w:rsidRPr="00C64872" w:rsidRDefault="0019038E" w:rsidP="00C64872">
      <w:pPr>
        <w:pStyle w:val="mythesis"/>
      </w:pPr>
      <w:r w:rsidRPr="00C64872">
        <w:t xml:space="preserve">       The wonderful team that supported me at the University of Sheffield, starting with:</w:t>
      </w:r>
    </w:p>
    <w:p w14:paraId="5F969948" w14:textId="77777777" w:rsidR="0019038E" w:rsidRPr="00C64872" w:rsidRDefault="0019038E" w:rsidP="00C64872">
      <w:pPr>
        <w:pStyle w:val="mythesis"/>
      </w:pPr>
      <w:r w:rsidRPr="00C64872">
        <w:t>My supervisor Professor Duncan Cameron was the motivating, supportive, and brilliant professor who believed in me and provided every effort in teaching and advising me through my study journey, I learned from you many things starting with smooth handling, sincerity in education, and the desire to learn everything new. I also learned from you how to work with statistical programs and Excel secrets and how to dealing with these new programs always, so you were an encyclopedia of information not only in our research field but also in skills that making things easier for your student! Many thanks for your patience, understanding, and supporting Thank you for believing in me!! Without your encouragement, I couldn’t do this job.</w:t>
      </w:r>
    </w:p>
    <w:p w14:paraId="2F833D0B" w14:textId="77777777" w:rsidR="0019038E" w:rsidRPr="00C64872" w:rsidRDefault="0019038E" w:rsidP="00C64872">
      <w:pPr>
        <w:pStyle w:val="mythesis"/>
      </w:pPr>
      <w:r w:rsidRPr="00C64872">
        <w:t xml:space="preserve">        Professor David Read who was the father to all the students and has supported me through the most difficult times also he was very keen to make sure that I was understanding what I learned in the lab. Thank you for each time that I was passed by your office, and you were asking me about my affairs and my progress in my work.</w:t>
      </w:r>
    </w:p>
    <w:p w14:paraId="58C99953" w14:textId="03A490D9" w:rsidR="0019038E" w:rsidRPr="007426C7" w:rsidRDefault="0019038E" w:rsidP="007426C7">
      <w:pPr>
        <w:pStyle w:val="mythesis"/>
      </w:pPr>
      <w:r w:rsidRPr="007426C7">
        <w:lastRenderedPageBreak/>
        <w:t xml:space="preserve">       </w:t>
      </w:r>
      <w:r w:rsidR="00C16C2C" w:rsidRPr="007426C7">
        <w:t>Professor</w:t>
      </w:r>
      <w:r w:rsidRPr="007426C7">
        <w:t xml:space="preserve"> JurriaanTon who supervised me with Professor Duncan. Thanks for your help in the pathogen experiment design and promise that will do it!!</w:t>
      </w:r>
    </w:p>
    <w:p w14:paraId="490BE62F" w14:textId="77777777" w:rsidR="0019038E" w:rsidRPr="007426C7" w:rsidRDefault="0019038E" w:rsidP="007426C7">
      <w:pPr>
        <w:pStyle w:val="mythesis"/>
      </w:pPr>
      <w:r w:rsidRPr="007426C7">
        <w:t xml:space="preserve">       The wonderful person ever Irene Johnson who was my sister my friend and my advisor in Sheffield, did not hesitate to teach me and guide me there, she was very keen on teaching me especially the acid digestion experiment and assays also she likes perfection in work, and I really learned that from her especially the pipetting I really start to use this with all of my work!! She was keen to let me write down all the details so that I would not miss any single detail, and she trained me also the metabolite extraction with all details, we were going up and down the Alfred Denny building to teach me and get to all the laboratories and rooms for our work to see the equipment or chemicals!! My Special thanks for you and your support every time that I was been there in Sheffield also for the moments that you spent with me and my kids there enjoying our time playing football with kids and eating ice cream in Gelato shop !! spending our break time in the western park writing our comments on the design of the experiment. all the nice things that we shared together.</w:t>
      </w:r>
    </w:p>
    <w:p w14:paraId="688A7B87" w14:textId="77777777" w:rsidR="0019038E" w:rsidRPr="007426C7" w:rsidRDefault="0019038E" w:rsidP="007426C7">
      <w:pPr>
        <w:pStyle w:val="mythesis"/>
      </w:pPr>
      <w:r w:rsidRPr="007426C7">
        <w:t xml:space="preserve">       Dr. Heather Walker Dr. Mike Burrell and Gemma Newsome who helped me to understand the world of metabolic analysis and give me a hand when I had analyzed my samples in their lab and all the support and help that they provided to me with MALDI-TOF world. and Dr. Gavin Horsburgh when did some genetic analysis in his lab for me. also Dr. Nichola Austen and Dr. Stefanie Tille who helps me understand some work whether in the metabolic or colonization work. Also, all the staff on B and D floor.</w:t>
      </w:r>
    </w:p>
    <w:p w14:paraId="23B1DDCF" w14:textId="77777777" w:rsidR="0019038E" w:rsidRPr="007426C7" w:rsidRDefault="0019038E" w:rsidP="007426C7">
      <w:pPr>
        <w:pStyle w:val="mythesis"/>
      </w:pPr>
      <w:r w:rsidRPr="007426C7">
        <w:t xml:space="preserve">       The supportive work team that supervised my work in Saudi Arabia: </w:t>
      </w:r>
    </w:p>
    <w:p w14:paraId="79971A06" w14:textId="77777777" w:rsidR="0019038E" w:rsidRPr="007426C7" w:rsidRDefault="0019038E" w:rsidP="007426C7">
      <w:pPr>
        <w:pStyle w:val="mythesis"/>
      </w:pPr>
      <w:r w:rsidRPr="007426C7">
        <w:t>My internal supervisor Dr. Amal Aldhebiani who provided her support and guide always during my study journey and was always with me in difficult times, thank you, my awesome supervisor!</w:t>
      </w:r>
    </w:p>
    <w:p w14:paraId="34CE517D" w14:textId="77777777" w:rsidR="0019038E" w:rsidRPr="00110323" w:rsidRDefault="0019038E" w:rsidP="00110323">
      <w:pPr>
        <w:pStyle w:val="mythesis"/>
      </w:pPr>
      <w:r w:rsidRPr="00110323">
        <w:t xml:space="preserve">       Professor. Neveen Geweely was my first teacher and advisor since the master’s degree, and from her, I learned the principles of scientific research, I was interested in the physiological world! I learned a lot from her, and she always supported me and be in touch even she was far away in Egypt. There are not enough thanks for you!!!</w:t>
      </w:r>
    </w:p>
    <w:p w14:paraId="6A19053E" w14:textId="77777777" w:rsidR="0019038E" w:rsidRPr="00110323" w:rsidRDefault="0019038E" w:rsidP="00110323">
      <w:pPr>
        <w:pStyle w:val="mythesis"/>
      </w:pPr>
      <w:r w:rsidRPr="00110323">
        <w:lastRenderedPageBreak/>
        <w:t xml:space="preserve">       Dr. Salah Aboaba, Dr. Ayman Sabry, and Dr. Mohammed Abozaid who supported me and helped me a lot in this research especially in the genetic chapter, and for their patience to let me understand the world of Genetic and Bioinformatic. </w:t>
      </w:r>
    </w:p>
    <w:p w14:paraId="5CEB1DBF" w14:textId="77777777" w:rsidR="0019038E" w:rsidRPr="00110323" w:rsidRDefault="0019038E" w:rsidP="00110323">
      <w:pPr>
        <w:pStyle w:val="mythesis"/>
      </w:pPr>
      <w:r w:rsidRPr="00110323">
        <w:t xml:space="preserve">       Dr. Ammar Amin for his support always. And Mrs. Omima Olagy and all the team in Joint Supervision Program in King Fahd Research Center for all the support, I am forever grateful for your help and time in making sure things ran as smoothly as possible, your kind words of encouragement and support have truly helped me to get through this experience.</w:t>
      </w:r>
    </w:p>
    <w:p w14:paraId="42E11CC0" w14:textId="77777777" w:rsidR="0019038E" w:rsidRPr="00110323" w:rsidRDefault="0019038E" w:rsidP="00110323">
      <w:pPr>
        <w:pStyle w:val="mythesis"/>
      </w:pPr>
      <w:r w:rsidRPr="00110323">
        <w:t xml:space="preserve">       Also, to all my friends and everyone who gave me any support and assistance, big or small, without everyone's support, this message would not have seen the light. I was a really lucky student to work with this wonderful team whether at the University of Sheffield or at King Abdulaziz University.</w:t>
      </w:r>
    </w:p>
    <w:p w14:paraId="5118CEF6" w14:textId="77777777" w:rsidR="0019038E" w:rsidRPr="00110323" w:rsidRDefault="0019038E" w:rsidP="00110323">
      <w:pPr>
        <w:pStyle w:val="mythesis"/>
      </w:pPr>
      <w:r w:rsidRPr="00110323">
        <w:t xml:space="preserve">       Finally, I must thank those who were the reason for my continuing high degree education and for having this wonderful opportunity to complete my PhD degree, King Abdulaziz University and my beloved country and government, which believed in us and supported us by everything, and I hope that I will respond this gratitude.</w:t>
      </w:r>
    </w:p>
    <w:p w14:paraId="3FC88BB5" w14:textId="77777777" w:rsidR="0019038E" w:rsidRPr="00110323" w:rsidRDefault="0019038E" w:rsidP="00110323">
      <w:pPr>
        <w:pStyle w:val="mythesis"/>
      </w:pPr>
    </w:p>
    <w:p w14:paraId="0BA47E84" w14:textId="77777777" w:rsidR="0019038E" w:rsidRPr="00110323" w:rsidRDefault="0019038E" w:rsidP="00110323">
      <w:pPr>
        <w:pStyle w:val="mythesis"/>
      </w:pPr>
    </w:p>
    <w:p w14:paraId="409646AD" w14:textId="77777777" w:rsidR="0019038E" w:rsidRPr="001C660A" w:rsidRDefault="0019038E" w:rsidP="0019038E">
      <w:pPr>
        <w:pStyle w:val="mythesis"/>
      </w:pPr>
    </w:p>
    <w:p w14:paraId="60222194" w14:textId="77777777" w:rsidR="0019038E" w:rsidRPr="002553F4" w:rsidRDefault="0019038E" w:rsidP="0019038E">
      <w:pPr>
        <w:pStyle w:val="mythesis"/>
      </w:pPr>
    </w:p>
    <w:p w14:paraId="186F1697" w14:textId="77777777" w:rsidR="0019038E" w:rsidRDefault="0019038E" w:rsidP="0019038E">
      <w:pPr>
        <w:pStyle w:val="mythesis"/>
        <w:rPr>
          <w:b/>
          <w:sz w:val="32"/>
          <w:szCs w:val="32"/>
        </w:rPr>
      </w:pPr>
    </w:p>
    <w:p w14:paraId="78C260F0" w14:textId="77777777" w:rsidR="0019038E" w:rsidRDefault="0019038E" w:rsidP="0019038E">
      <w:pPr>
        <w:jc w:val="center"/>
        <w:rPr>
          <w:b/>
          <w:bCs/>
          <w:sz w:val="32"/>
          <w:szCs w:val="32"/>
        </w:rPr>
      </w:pPr>
    </w:p>
    <w:p w14:paraId="540DDF55" w14:textId="77777777" w:rsidR="0019038E" w:rsidRDefault="0019038E" w:rsidP="0019038E">
      <w:pPr>
        <w:jc w:val="center"/>
        <w:rPr>
          <w:b/>
          <w:bCs/>
          <w:sz w:val="32"/>
          <w:szCs w:val="32"/>
        </w:rPr>
      </w:pPr>
    </w:p>
    <w:p w14:paraId="333D9B5E" w14:textId="77777777" w:rsidR="0019038E" w:rsidRDefault="0019038E" w:rsidP="0019038E">
      <w:pPr>
        <w:jc w:val="center"/>
        <w:rPr>
          <w:b/>
          <w:bCs/>
          <w:sz w:val="32"/>
          <w:szCs w:val="32"/>
        </w:rPr>
      </w:pPr>
    </w:p>
    <w:p w14:paraId="5D7E36AB" w14:textId="77777777" w:rsidR="0019038E" w:rsidRDefault="0019038E" w:rsidP="0019038E">
      <w:pPr>
        <w:jc w:val="center"/>
        <w:rPr>
          <w:b/>
          <w:bCs/>
          <w:sz w:val="32"/>
          <w:szCs w:val="32"/>
        </w:rPr>
      </w:pPr>
    </w:p>
    <w:p w14:paraId="4E042FF0" w14:textId="77777777" w:rsidR="0019038E" w:rsidRDefault="0019038E" w:rsidP="0019038E">
      <w:pPr>
        <w:rPr>
          <w:b/>
          <w:bCs/>
          <w:sz w:val="32"/>
          <w:szCs w:val="32"/>
        </w:rPr>
      </w:pPr>
    </w:p>
    <w:p w14:paraId="11AFE0A8" w14:textId="77777777" w:rsidR="0019038E" w:rsidRDefault="0019038E" w:rsidP="0019038E">
      <w:pPr>
        <w:autoSpaceDE w:val="0"/>
        <w:autoSpaceDN w:val="0"/>
        <w:adjustRightInd w:val="0"/>
        <w:rPr>
          <w:sz w:val="28"/>
          <w:szCs w:val="28"/>
        </w:rPr>
      </w:pPr>
      <w:r>
        <w:rPr>
          <w:sz w:val="28"/>
          <w:szCs w:val="28"/>
        </w:rPr>
        <w:lastRenderedPageBreak/>
        <w:t>Abstract</w:t>
      </w:r>
    </w:p>
    <w:p w14:paraId="234A5809" w14:textId="77777777" w:rsidR="0019038E" w:rsidRDefault="0019038E" w:rsidP="0019038E">
      <w:pPr>
        <w:autoSpaceDE w:val="0"/>
        <w:autoSpaceDN w:val="0"/>
        <w:adjustRightInd w:val="0"/>
        <w:rPr>
          <w:sz w:val="28"/>
          <w:szCs w:val="28"/>
        </w:rPr>
      </w:pPr>
    </w:p>
    <w:p w14:paraId="76202449" w14:textId="77777777" w:rsidR="0019038E" w:rsidRDefault="0019038E" w:rsidP="0019038E">
      <w:pPr>
        <w:autoSpaceDE w:val="0"/>
        <w:autoSpaceDN w:val="0"/>
        <w:adjustRightInd w:val="0"/>
        <w:rPr>
          <w:sz w:val="28"/>
          <w:szCs w:val="28"/>
        </w:rPr>
      </w:pPr>
    </w:p>
    <w:p w14:paraId="57518490" w14:textId="353893D2" w:rsidR="00BC57CD" w:rsidRPr="006A2F12" w:rsidRDefault="0019038E" w:rsidP="00BC57CD">
      <w:pPr>
        <w:pStyle w:val="mythesis"/>
      </w:pPr>
      <w:r>
        <w:t xml:space="preserve">        </w:t>
      </w:r>
      <w:r w:rsidR="00BC57CD" w:rsidRPr="006A2F12">
        <w:t xml:space="preserve">Maize is one of the most important crops to the world population and inhabitants of the Arabian Peninsula need as a staple food and in the view of the great need for its sustainability. The symbiosis relationship between the Arbuscular Mycorrhizal Fungi (AMF) and the plant plays a key role in natural and agricultural ecosystems. The present thesis focused on the Physiological Responses ( growth and nutrients acquisition) and Biochemical Responses ( secondary metabolite compounds and metabolic pathways ) of Arbuscular Mycorrhizal Fungi on a </w:t>
      </w:r>
      <w:r w:rsidR="00BC57CD">
        <w:t>g</w:t>
      </w:r>
      <w:r w:rsidR="00BC57CD" w:rsidRPr="006A2F12">
        <w:t xml:space="preserve">enotyped </w:t>
      </w:r>
      <w:r w:rsidR="00BC57CD">
        <w:t>d</w:t>
      </w:r>
      <w:r w:rsidR="00BC57CD" w:rsidRPr="006A2F12">
        <w:t xml:space="preserve">iversity </w:t>
      </w:r>
      <w:r w:rsidR="00BC57CD">
        <w:t>p</w:t>
      </w:r>
      <w:r w:rsidR="00BC57CD" w:rsidRPr="006A2F12">
        <w:t xml:space="preserve">anel of 18 </w:t>
      </w:r>
      <w:r w:rsidR="00BC57CD" w:rsidRPr="006A2F12">
        <w:rPr>
          <w:i/>
        </w:rPr>
        <w:t>Zea mays</w:t>
      </w:r>
      <w:r w:rsidR="00BC57CD" w:rsidRPr="006A2F12">
        <w:t xml:space="preserve"> </w:t>
      </w:r>
      <w:r w:rsidR="00BC57CD">
        <w:t>c</w:t>
      </w:r>
      <w:r w:rsidR="00BC57CD" w:rsidRPr="006A2F12">
        <w:t xml:space="preserve">ultivars </w:t>
      </w:r>
      <w:r w:rsidR="00BC57CD">
        <w:t>c</w:t>
      </w:r>
      <w:r w:rsidR="00BC57CD" w:rsidRPr="006A2F12">
        <w:t xml:space="preserve">ommonly </w:t>
      </w:r>
      <w:r w:rsidR="00BC57CD">
        <w:t>g</w:t>
      </w:r>
      <w:r w:rsidR="00BC57CD" w:rsidRPr="006A2F12">
        <w:t>rown in Saudi Arabia. using molecular markers to understand the genetic variation between the plant cultivars such as 18S rRNA, Ribulose bisphosphate carboxylase large chain (RBCL) gene, and inter simple sequence repeat (ISSR). This application is useful also in plant cultivars identification which helps to understand the relations and the genetic origin of the cultivars.</w:t>
      </w:r>
    </w:p>
    <w:p w14:paraId="5C6C7C5D" w14:textId="5A0CB996" w:rsidR="00BC57CD" w:rsidRPr="006A2F12" w:rsidRDefault="00BC57CD" w:rsidP="00BC57CD">
      <w:pPr>
        <w:pStyle w:val="mythesis"/>
      </w:pPr>
      <w:r w:rsidRPr="006A2F12">
        <w:t xml:space="preserve">Our data presented that the mycorrhizal symbiosis positively in most cultivars increased shoot and root biomass, plant height, and uptake of phosphorus, nitrogen in </w:t>
      </w:r>
      <w:r w:rsidRPr="006A2F12">
        <w:rPr>
          <w:i/>
        </w:rPr>
        <w:t>Zea mays</w:t>
      </w:r>
      <w:r w:rsidRPr="006A2F12">
        <w:t>. We found a significant correlation between the mycorrhizal responsiveness and the nutrient uptake while not between colonization and the nutrient uptake the results showed a genetic relationship among the cultivars, but the mycorrhizal responsiveness was not affected by this relationship. Also, the results showed an increase in the secondary metabolic compounds in the inoculate plant, especially those that involve the jasmonic acid pathways that are responsible for the biotic and abiotic plant defenses.</w:t>
      </w:r>
    </w:p>
    <w:p w14:paraId="48EBE37C" w14:textId="77777777" w:rsidR="00BC57CD" w:rsidRPr="006A2F12" w:rsidRDefault="00BC57CD" w:rsidP="00BC57CD">
      <w:pPr>
        <w:pStyle w:val="mythesis"/>
      </w:pPr>
      <w:r w:rsidRPr="006A2F12">
        <w:t xml:space="preserve">Results of this study confirmed that the relationship between  </w:t>
      </w:r>
      <w:r w:rsidRPr="006A2F12">
        <w:rPr>
          <w:i/>
        </w:rPr>
        <w:t>Zea mays</w:t>
      </w:r>
      <w:r w:rsidRPr="006A2F12">
        <w:t xml:space="preserve"> and  AMF is important to increase the productivity of maize agriculture in Saudi Arabia. </w:t>
      </w:r>
    </w:p>
    <w:p w14:paraId="26899FDF" w14:textId="1C82F4E0" w:rsidR="0019038E" w:rsidRPr="00BC57CD" w:rsidRDefault="0019038E" w:rsidP="00BC57CD">
      <w:pPr>
        <w:pStyle w:val="mythesis"/>
      </w:pPr>
    </w:p>
    <w:p w14:paraId="08C6F5B9" w14:textId="77777777" w:rsidR="0019038E" w:rsidRDefault="0019038E" w:rsidP="0019038E">
      <w:pPr>
        <w:jc w:val="center"/>
        <w:rPr>
          <w:b/>
          <w:bCs/>
          <w:sz w:val="32"/>
          <w:szCs w:val="32"/>
        </w:rPr>
      </w:pPr>
    </w:p>
    <w:p w14:paraId="53CD672A" w14:textId="77777777" w:rsidR="0019038E" w:rsidRDefault="0019038E" w:rsidP="0019038E">
      <w:pPr>
        <w:jc w:val="center"/>
        <w:rPr>
          <w:b/>
          <w:bCs/>
          <w:sz w:val="32"/>
          <w:szCs w:val="32"/>
        </w:rPr>
      </w:pPr>
    </w:p>
    <w:p w14:paraId="09FB8F80" w14:textId="77777777" w:rsidR="0019038E" w:rsidRDefault="0019038E" w:rsidP="0019038E">
      <w:pPr>
        <w:jc w:val="center"/>
        <w:rPr>
          <w:b/>
          <w:bCs/>
          <w:sz w:val="32"/>
          <w:szCs w:val="32"/>
        </w:rPr>
      </w:pPr>
    </w:p>
    <w:p w14:paraId="12BCE1CB" w14:textId="77777777" w:rsidR="0019038E" w:rsidRDefault="0019038E" w:rsidP="0019038E">
      <w:pPr>
        <w:jc w:val="center"/>
        <w:rPr>
          <w:b/>
          <w:bCs/>
          <w:sz w:val="32"/>
          <w:szCs w:val="32"/>
        </w:rPr>
      </w:pPr>
    </w:p>
    <w:p w14:paraId="732ED660" w14:textId="77777777" w:rsidR="0019038E" w:rsidRDefault="0019038E" w:rsidP="0019038E">
      <w:pPr>
        <w:jc w:val="center"/>
        <w:rPr>
          <w:b/>
          <w:bCs/>
          <w:sz w:val="32"/>
          <w:szCs w:val="32"/>
        </w:rPr>
      </w:pPr>
    </w:p>
    <w:p w14:paraId="66E31277" w14:textId="77777777" w:rsidR="0019038E" w:rsidRDefault="0019038E" w:rsidP="0019038E">
      <w:pPr>
        <w:jc w:val="center"/>
        <w:rPr>
          <w:b/>
          <w:bCs/>
          <w:sz w:val="32"/>
          <w:szCs w:val="32"/>
        </w:rPr>
      </w:pPr>
    </w:p>
    <w:p w14:paraId="30484728" w14:textId="77777777" w:rsidR="0019038E" w:rsidRDefault="0019038E" w:rsidP="0019038E">
      <w:pPr>
        <w:jc w:val="center"/>
        <w:rPr>
          <w:b/>
          <w:bCs/>
          <w:sz w:val="32"/>
          <w:szCs w:val="32"/>
        </w:rPr>
      </w:pPr>
    </w:p>
    <w:p w14:paraId="5FDEA0E5" w14:textId="77777777" w:rsidR="0019038E" w:rsidRDefault="0019038E" w:rsidP="0019038E">
      <w:pPr>
        <w:jc w:val="center"/>
        <w:rPr>
          <w:b/>
          <w:bCs/>
          <w:sz w:val="32"/>
          <w:szCs w:val="32"/>
        </w:rPr>
      </w:pPr>
    </w:p>
    <w:p w14:paraId="7ACF6973" w14:textId="77777777" w:rsidR="0019038E" w:rsidRDefault="0019038E" w:rsidP="0019038E">
      <w:pPr>
        <w:jc w:val="center"/>
        <w:rPr>
          <w:b/>
          <w:bCs/>
          <w:sz w:val="32"/>
          <w:szCs w:val="32"/>
        </w:rPr>
      </w:pPr>
    </w:p>
    <w:p w14:paraId="020D4F13" w14:textId="77777777" w:rsidR="0019038E" w:rsidRPr="00AE18CD" w:rsidRDefault="0019038E" w:rsidP="0019038E">
      <w:pPr>
        <w:pStyle w:val="mythesis"/>
        <w:jc w:val="center"/>
        <w:rPr>
          <w:b/>
          <w:bCs w:val="0"/>
          <w:sz w:val="32"/>
          <w:szCs w:val="32"/>
        </w:rPr>
      </w:pPr>
      <w:r w:rsidRPr="00AE18CD">
        <w:rPr>
          <w:b/>
          <w:bCs w:val="0"/>
          <w:sz w:val="32"/>
          <w:szCs w:val="32"/>
        </w:rPr>
        <w:t>Table of contents</w:t>
      </w:r>
    </w:p>
    <w:p w14:paraId="539F4DC3" w14:textId="77777777" w:rsidR="0019038E" w:rsidRPr="007E306C" w:rsidRDefault="0019038E" w:rsidP="0019038E"/>
    <w:p w14:paraId="226ED6FB" w14:textId="55332AAE" w:rsidR="00137F4C" w:rsidRDefault="0019038E">
      <w:pPr>
        <w:pStyle w:val="TOC1"/>
        <w:tabs>
          <w:tab w:val="left" w:pos="1440"/>
          <w:tab w:val="right" w:leader="dot" w:pos="9010"/>
        </w:tabs>
        <w:rPr>
          <w:rFonts w:asciiTheme="minorHAnsi" w:eastAsiaTheme="minorEastAsia" w:hAnsiTheme="minorHAnsi" w:cstheme="minorBidi"/>
          <w:noProof/>
          <w:lang w:val="en-SA"/>
        </w:rPr>
      </w:pPr>
      <w:r>
        <w:fldChar w:fldCharType="begin"/>
      </w:r>
      <w:r>
        <w:instrText xml:space="preserve"> TOC \o "1-6" \h \z \u </w:instrText>
      </w:r>
      <w:r>
        <w:fldChar w:fldCharType="separate"/>
      </w:r>
      <w:hyperlink w:anchor="_Toc83751397" w:history="1">
        <w:r w:rsidR="00137F4C" w:rsidRPr="004A73DB">
          <w:rPr>
            <w:rStyle w:val="Hyperlink"/>
            <w:noProof/>
          </w:rPr>
          <w:t>Chapter 1 :</w:t>
        </w:r>
        <w:r w:rsidR="00137F4C">
          <w:rPr>
            <w:rFonts w:asciiTheme="minorHAnsi" w:eastAsiaTheme="minorEastAsia" w:hAnsiTheme="minorHAnsi" w:cstheme="minorBidi"/>
            <w:noProof/>
            <w:lang w:val="en-SA"/>
          </w:rPr>
          <w:tab/>
        </w:r>
        <w:r w:rsidR="00137F4C" w:rsidRPr="004A73DB">
          <w:rPr>
            <w:rStyle w:val="Hyperlink"/>
            <w:noProof/>
          </w:rPr>
          <w:t>General Introduction</w:t>
        </w:r>
        <w:r w:rsidR="00137F4C">
          <w:rPr>
            <w:noProof/>
            <w:webHidden/>
          </w:rPr>
          <w:tab/>
        </w:r>
        <w:r w:rsidR="00137F4C">
          <w:rPr>
            <w:noProof/>
            <w:webHidden/>
          </w:rPr>
          <w:fldChar w:fldCharType="begin"/>
        </w:r>
        <w:r w:rsidR="00137F4C">
          <w:rPr>
            <w:noProof/>
            <w:webHidden/>
          </w:rPr>
          <w:instrText xml:space="preserve"> PAGEREF _Toc83751397 \h </w:instrText>
        </w:r>
        <w:r w:rsidR="00137F4C">
          <w:rPr>
            <w:noProof/>
            <w:webHidden/>
          </w:rPr>
        </w:r>
        <w:r w:rsidR="00137F4C">
          <w:rPr>
            <w:noProof/>
            <w:webHidden/>
          </w:rPr>
          <w:fldChar w:fldCharType="separate"/>
        </w:r>
        <w:r w:rsidR="00137F4C">
          <w:rPr>
            <w:noProof/>
            <w:webHidden/>
          </w:rPr>
          <w:t>1</w:t>
        </w:r>
        <w:r w:rsidR="00137F4C">
          <w:rPr>
            <w:noProof/>
            <w:webHidden/>
          </w:rPr>
          <w:fldChar w:fldCharType="end"/>
        </w:r>
      </w:hyperlink>
    </w:p>
    <w:p w14:paraId="113A2EA8" w14:textId="1ECB385D" w:rsidR="00137F4C" w:rsidRDefault="00000000">
      <w:pPr>
        <w:pStyle w:val="TOC2"/>
        <w:tabs>
          <w:tab w:val="left" w:pos="960"/>
          <w:tab w:val="right" w:leader="dot" w:pos="9010"/>
        </w:tabs>
        <w:rPr>
          <w:rFonts w:asciiTheme="minorHAnsi" w:eastAsiaTheme="minorEastAsia" w:hAnsiTheme="minorHAnsi" w:cstheme="minorBidi"/>
          <w:noProof/>
          <w:lang w:val="en-SA"/>
        </w:rPr>
      </w:pPr>
      <w:hyperlink w:anchor="_Toc83751398" w:history="1">
        <w:r w:rsidR="00137F4C" w:rsidRPr="004A73DB">
          <w:rPr>
            <w:rStyle w:val="Hyperlink"/>
            <w:noProof/>
          </w:rPr>
          <w:t>1.1</w:t>
        </w:r>
        <w:r w:rsidR="00137F4C">
          <w:rPr>
            <w:rFonts w:asciiTheme="minorHAnsi" w:eastAsiaTheme="minorEastAsia" w:hAnsiTheme="minorHAnsi" w:cstheme="minorBidi"/>
            <w:noProof/>
            <w:lang w:val="en-SA"/>
          </w:rPr>
          <w:tab/>
        </w:r>
        <w:r w:rsidR="00137F4C" w:rsidRPr="004A73DB">
          <w:rPr>
            <w:rStyle w:val="Hyperlink"/>
            <w:noProof/>
          </w:rPr>
          <w:t>Introduction</w:t>
        </w:r>
        <w:r w:rsidR="00137F4C">
          <w:rPr>
            <w:noProof/>
            <w:webHidden/>
          </w:rPr>
          <w:tab/>
        </w:r>
        <w:r w:rsidR="00137F4C">
          <w:rPr>
            <w:noProof/>
            <w:webHidden/>
          </w:rPr>
          <w:fldChar w:fldCharType="begin"/>
        </w:r>
        <w:r w:rsidR="00137F4C">
          <w:rPr>
            <w:noProof/>
            <w:webHidden/>
          </w:rPr>
          <w:instrText xml:space="preserve"> PAGEREF _Toc83751398 \h </w:instrText>
        </w:r>
        <w:r w:rsidR="00137F4C">
          <w:rPr>
            <w:noProof/>
            <w:webHidden/>
          </w:rPr>
        </w:r>
        <w:r w:rsidR="00137F4C">
          <w:rPr>
            <w:noProof/>
            <w:webHidden/>
          </w:rPr>
          <w:fldChar w:fldCharType="separate"/>
        </w:r>
        <w:r w:rsidR="00137F4C">
          <w:rPr>
            <w:noProof/>
            <w:webHidden/>
          </w:rPr>
          <w:t>1</w:t>
        </w:r>
        <w:r w:rsidR="00137F4C">
          <w:rPr>
            <w:noProof/>
            <w:webHidden/>
          </w:rPr>
          <w:fldChar w:fldCharType="end"/>
        </w:r>
      </w:hyperlink>
    </w:p>
    <w:p w14:paraId="001CA3D9" w14:textId="2D710C1D" w:rsidR="00137F4C" w:rsidRDefault="00000000">
      <w:pPr>
        <w:pStyle w:val="TOC3"/>
        <w:tabs>
          <w:tab w:val="right" w:leader="dot" w:pos="9010"/>
        </w:tabs>
        <w:rPr>
          <w:rFonts w:asciiTheme="minorHAnsi" w:eastAsiaTheme="minorEastAsia" w:hAnsiTheme="minorHAnsi" w:cstheme="minorBidi"/>
          <w:noProof/>
          <w:lang w:val="en-SA"/>
        </w:rPr>
      </w:pPr>
      <w:hyperlink w:anchor="_Toc83751399" w:history="1">
        <w:r w:rsidR="00137F4C" w:rsidRPr="004A73DB">
          <w:rPr>
            <w:rStyle w:val="Hyperlink"/>
            <w:noProof/>
          </w:rPr>
          <w:t>1.1.1 Importance of corn</w:t>
        </w:r>
        <w:r w:rsidR="00137F4C">
          <w:rPr>
            <w:noProof/>
            <w:webHidden/>
          </w:rPr>
          <w:tab/>
        </w:r>
        <w:r w:rsidR="00137F4C">
          <w:rPr>
            <w:noProof/>
            <w:webHidden/>
          </w:rPr>
          <w:fldChar w:fldCharType="begin"/>
        </w:r>
        <w:r w:rsidR="00137F4C">
          <w:rPr>
            <w:noProof/>
            <w:webHidden/>
          </w:rPr>
          <w:instrText xml:space="preserve"> PAGEREF _Toc83751399 \h </w:instrText>
        </w:r>
        <w:r w:rsidR="00137F4C">
          <w:rPr>
            <w:noProof/>
            <w:webHidden/>
          </w:rPr>
        </w:r>
        <w:r w:rsidR="00137F4C">
          <w:rPr>
            <w:noProof/>
            <w:webHidden/>
          </w:rPr>
          <w:fldChar w:fldCharType="separate"/>
        </w:r>
        <w:r w:rsidR="00137F4C">
          <w:rPr>
            <w:noProof/>
            <w:webHidden/>
          </w:rPr>
          <w:t>1</w:t>
        </w:r>
        <w:r w:rsidR="00137F4C">
          <w:rPr>
            <w:noProof/>
            <w:webHidden/>
          </w:rPr>
          <w:fldChar w:fldCharType="end"/>
        </w:r>
      </w:hyperlink>
    </w:p>
    <w:p w14:paraId="65C673E0" w14:textId="0F6D1DA1" w:rsidR="00137F4C" w:rsidRDefault="00000000">
      <w:pPr>
        <w:pStyle w:val="TOC3"/>
        <w:tabs>
          <w:tab w:val="right" w:leader="dot" w:pos="9010"/>
        </w:tabs>
        <w:rPr>
          <w:rFonts w:asciiTheme="minorHAnsi" w:eastAsiaTheme="minorEastAsia" w:hAnsiTheme="minorHAnsi" w:cstheme="minorBidi"/>
          <w:noProof/>
          <w:lang w:val="en-SA"/>
        </w:rPr>
      </w:pPr>
      <w:hyperlink w:anchor="_Toc83751400" w:history="1">
        <w:r w:rsidR="00137F4C" w:rsidRPr="004A73DB">
          <w:rPr>
            <w:rStyle w:val="Hyperlink"/>
            <w:noProof/>
          </w:rPr>
          <w:t>1.1.2 Defining mycorrhizal symbioses</w:t>
        </w:r>
        <w:r w:rsidR="00137F4C">
          <w:rPr>
            <w:noProof/>
            <w:webHidden/>
          </w:rPr>
          <w:tab/>
        </w:r>
        <w:r w:rsidR="00137F4C">
          <w:rPr>
            <w:noProof/>
            <w:webHidden/>
          </w:rPr>
          <w:fldChar w:fldCharType="begin"/>
        </w:r>
        <w:r w:rsidR="00137F4C">
          <w:rPr>
            <w:noProof/>
            <w:webHidden/>
          </w:rPr>
          <w:instrText xml:space="preserve"> PAGEREF _Toc83751400 \h </w:instrText>
        </w:r>
        <w:r w:rsidR="00137F4C">
          <w:rPr>
            <w:noProof/>
            <w:webHidden/>
          </w:rPr>
        </w:r>
        <w:r w:rsidR="00137F4C">
          <w:rPr>
            <w:noProof/>
            <w:webHidden/>
          </w:rPr>
          <w:fldChar w:fldCharType="separate"/>
        </w:r>
        <w:r w:rsidR="00137F4C">
          <w:rPr>
            <w:noProof/>
            <w:webHidden/>
          </w:rPr>
          <w:t>2</w:t>
        </w:r>
        <w:r w:rsidR="00137F4C">
          <w:rPr>
            <w:noProof/>
            <w:webHidden/>
          </w:rPr>
          <w:fldChar w:fldCharType="end"/>
        </w:r>
      </w:hyperlink>
    </w:p>
    <w:p w14:paraId="0958537D" w14:textId="08B37519" w:rsidR="00137F4C" w:rsidRDefault="00000000">
      <w:pPr>
        <w:pStyle w:val="TOC3"/>
        <w:tabs>
          <w:tab w:val="right" w:leader="dot" w:pos="9010"/>
        </w:tabs>
        <w:rPr>
          <w:rFonts w:asciiTheme="minorHAnsi" w:eastAsiaTheme="minorEastAsia" w:hAnsiTheme="minorHAnsi" w:cstheme="minorBidi"/>
          <w:noProof/>
          <w:lang w:val="en-SA"/>
        </w:rPr>
      </w:pPr>
      <w:hyperlink w:anchor="_Toc83751401" w:history="1">
        <w:r w:rsidR="00137F4C" w:rsidRPr="004A73DB">
          <w:rPr>
            <w:rStyle w:val="Hyperlink"/>
            <w:noProof/>
          </w:rPr>
          <w:t>1.1.3 The Arbuscular Mycorrhizal fungi (AMF)</w:t>
        </w:r>
        <w:r w:rsidR="00137F4C">
          <w:rPr>
            <w:noProof/>
            <w:webHidden/>
          </w:rPr>
          <w:tab/>
        </w:r>
        <w:r w:rsidR="00137F4C">
          <w:rPr>
            <w:noProof/>
            <w:webHidden/>
          </w:rPr>
          <w:fldChar w:fldCharType="begin"/>
        </w:r>
        <w:r w:rsidR="00137F4C">
          <w:rPr>
            <w:noProof/>
            <w:webHidden/>
          </w:rPr>
          <w:instrText xml:space="preserve"> PAGEREF _Toc83751401 \h </w:instrText>
        </w:r>
        <w:r w:rsidR="00137F4C">
          <w:rPr>
            <w:noProof/>
            <w:webHidden/>
          </w:rPr>
        </w:r>
        <w:r w:rsidR="00137F4C">
          <w:rPr>
            <w:noProof/>
            <w:webHidden/>
          </w:rPr>
          <w:fldChar w:fldCharType="separate"/>
        </w:r>
        <w:r w:rsidR="00137F4C">
          <w:rPr>
            <w:noProof/>
            <w:webHidden/>
          </w:rPr>
          <w:t>3</w:t>
        </w:r>
        <w:r w:rsidR="00137F4C">
          <w:rPr>
            <w:noProof/>
            <w:webHidden/>
          </w:rPr>
          <w:fldChar w:fldCharType="end"/>
        </w:r>
      </w:hyperlink>
    </w:p>
    <w:p w14:paraId="1C878E9F" w14:textId="3438AB88" w:rsidR="00137F4C" w:rsidRDefault="00000000">
      <w:pPr>
        <w:pStyle w:val="TOC3"/>
        <w:tabs>
          <w:tab w:val="right" w:leader="dot" w:pos="9010"/>
        </w:tabs>
        <w:rPr>
          <w:rFonts w:asciiTheme="minorHAnsi" w:eastAsiaTheme="minorEastAsia" w:hAnsiTheme="minorHAnsi" w:cstheme="minorBidi"/>
          <w:noProof/>
          <w:lang w:val="en-SA"/>
        </w:rPr>
      </w:pPr>
      <w:hyperlink w:anchor="_Toc83751402" w:history="1">
        <w:r w:rsidR="00137F4C" w:rsidRPr="004A73DB">
          <w:rPr>
            <w:rStyle w:val="Hyperlink"/>
            <w:noProof/>
            <w:lang w:val="en-GB"/>
          </w:rPr>
          <w:t>1.1.4 Arbuscular mycorrhizal fungal history</w:t>
        </w:r>
        <w:r w:rsidR="00137F4C">
          <w:rPr>
            <w:noProof/>
            <w:webHidden/>
          </w:rPr>
          <w:tab/>
        </w:r>
        <w:r w:rsidR="00137F4C">
          <w:rPr>
            <w:noProof/>
            <w:webHidden/>
          </w:rPr>
          <w:fldChar w:fldCharType="begin"/>
        </w:r>
        <w:r w:rsidR="00137F4C">
          <w:rPr>
            <w:noProof/>
            <w:webHidden/>
          </w:rPr>
          <w:instrText xml:space="preserve"> PAGEREF _Toc83751402 \h </w:instrText>
        </w:r>
        <w:r w:rsidR="00137F4C">
          <w:rPr>
            <w:noProof/>
            <w:webHidden/>
          </w:rPr>
        </w:r>
        <w:r w:rsidR="00137F4C">
          <w:rPr>
            <w:noProof/>
            <w:webHidden/>
          </w:rPr>
          <w:fldChar w:fldCharType="separate"/>
        </w:r>
        <w:r w:rsidR="00137F4C">
          <w:rPr>
            <w:noProof/>
            <w:webHidden/>
          </w:rPr>
          <w:t>4</w:t>
        </w:r>
        <w:r w:rsidR="00137F4C">
          <w:rPr>
            <w:noProof/>
            <w:webHidden/>
          </w:rPr>
          <w:fldChar w:fldCharType="end"/>
        </w:r>
      </w:hyperlink>
    </w:p>
    <w:p w14:paraId="177723AF" w14:textId="19370355" w:rsidR="00137F4C" w:rsidRDefault="00000000">
      <w:pPr>
        <w:pStyle w:val="TOC3"/>
        <w:tabs>
          <w:tab w:val="right" w:leader="dot" w:pos="9010"/>
        </w:tabs>
        <w:rPr>
          <w:rFonts w:asciiTheme="minorHAnsi" w:eastAsiaTheme="minorEastAsia" w:hAnsiTheme="minorHAnsi" w:cstheme="minorBidi"/>
          <w:noProof/>
          <w:lang w:val="en-SA"/>
        </w:rPr>
      </w:pPr>
      <w:hyperlink w:anchor="_Toc83751403" w:history="1">
        <w:r w:rsidR="00137F4C" w:rsidRPr="004A73DB">
          <w:rPr>
            <w:rStyle w:val="Hyperlink"/>
            <w:noProof/>
          </w:rPr>
          <w:t xml:space="preserve">1.1.5 </w:t>
        </w:r>
        <w:r w:rsidR="00137F4C" w:rsidRPr="004A73DB">
          <w:rPr>
            <w:rStyle w:val="Hyperlink"/>
            <w:noProof/>
            <w:lang w:val="en-GB"/>
          </w:rPr>
          <w:t>The relationship between mycorrhizal fungi and their host plant</w:t>
        </w:r>
        <w:r w:rsidR="00137F4C">
          <w:rPr>
            <w:noProof/>
            <w:webHidden/>
          </w:rPr>
          <w:tab/>
        </w:r>
        <w:r w:rsidR="00137F4C">
          <w:rPr>
            <w:noProof/>
            <w:webHidden/>
          </w:rPr>
          <w:fldChar w:fldCharType="begin"/>
        </w:r>
        <w:r w:rsidR="00137F4C">
          <w:rPr>
            <w:noProof/>
            <w:webHidden/>
          </w:rPr>
          <w:instrText xml:space="preserve"> PAGEREF _Toc83751403 \h </w:instrText>
        </w:r>
        <w:r w:rsidR="00137F4C">
          <w:rPr>
            <w:noProof/>
            <w:webHidden/>
          </w:rPr>
        </w:r>
        <w:r w:rsidR="00137F4C">
          <w:rPr>
            <w:noProof/>
            <w:webHidden/>
          </w:rPr>
          <w:fldChar w:fldCharType="separate"/>
        </w:r>
        <w:r w:rsidR="00137F4C">
          <w:rPr>
            <w:noProof/>
            <w:webHidden/>
          </w:rPr>
          <w:t>5</w:t>
        </w:r>
        <w:r w:rsidR="00137F4C">
          <w:rPr>
            <w:noProof/>
            <w:webHidden/>
          </w:rPr>
          <w:fldChar w:fldCharType="end"/>
        </w:r>
      </w:hyperlink>
    </w:p>
    <w:p w14:paraId="50A0B3B6" w14:textId="093B8A99" w:rsidR="00137F4C" w:rsidRDefault="00000000">
      <w:pPr>
        <w:pStyle w:val="TOC3"/>
        <w:tabs>
          <w:tab w:val="right" w:leader="dot" w:pos="9010"/>
        </w:tabs>
        <w:rPr>
          <w:rFonts w:asciiTheme="minorHAnsi" w:eastAsiaTheme="minorEastAsia" w:hAnsiTheme="minorHAnsi" w:cstheme="minorBidi"/>
          <w:noProof/>
          <w:lang w:val="en-SA"/>
        </w:rPr>
      </w:pPr>
      <w:hyperlink w:anchor="_Toc83751404" w:history="1">
        <w:r w:rsidR="00137F4C" w:rsidRPr="004A73DB">
          <w:rPr>
            <w:rStyle w:val="Hyperlink"/>
            <w:noProof/>
            <w:lang w:val="en-GB"/>
          </w:rPr>
          <w:t>1.1.6 Uptake of mineral nutrients And Water relations</w:t>
        </w:r>
        <w:r w:rsidR="00137F4C">
          <w:rPr>
            <w:noProof/>
            <w:webHidden/>
          </w:rPr>
          <w:tab/>
        </w:r>
        <w:r w:rsidR="00137F4C">
          <w:rPr>
            <w:noProof/>
            <w:webHidden/>
          </w:rPr>
          <w:fldChar w:fldCharType="begin"/>
        </w:r>
        <w:r w:rsidR="00137F4C">
          <w:rPr>
            <w:noProof/>
            <w:webHidden/>
          </w:rPr>
          <w:instrText xml:space="preserve"> PAGEREF _Toc83751404 \h </w:instrText>
        </w:r>
        <w:r w:rsidR="00137F4C">
          <w:rPr>
            <w:noProof/>
            <w:webHidden/>
          </w:rPr>
        </w:r>
        <w:r w:rsidR="00137F4C">
          <w:rPr>
            <w:noProof/>
            <w:webHidden/>
          </w:rPr>
          <w:fldChar w:fldCharType="separate"/>
        </w:r>
        <w:r w:rsidR="00137F4C">
          <w:rPr>
            <w:noProof/>
            <w:webHidden/>
          </w:rPr>
          <w:t>6</w:t>
        </w:r>
        <w:r w:rsidR="00137F4C">
          <w:rPr>
            <w:noProof/>
            <w:webHidden/>
          </w:rPr>
          <w:fldChar w:fldCharType="end"/>
        </w:r>
      </w:hyperlink>
    </w:p>
    <w:p w14:paraId="401B1D5E" w14:textId="6CA6D4C0" w:rsidR="00137F4C" w:rsidRDefault="00000000">
      <w:pPr>
        <w:pStyle w:val="TOC3"/>
        <w:tabs>
          <w:tab w:val="right" w:leader="dot" w:pos="9010"/>
        </w:tabs>
        <w:rPr>
          <w:rFonts w:asciiTheme="minorHAnsi" w:eastAsiaTheme="minorEastAsia" w:hAnsiTheme="minorHAnsi" w:cstheme="minorBidi"/>
          <w:noProof/>
          <w:lang w:val="en-SA"/>
        </w:rPr>
      </w:pPr>
      <w:hyperlink w:anchor="_Toc83751405" w:history="1">
        <w:r w:rsidR="00137F4C" w:rsidRPr="004A73DB">
          <w:rPr>
            <w:rStyle w:val="Hyperlink"/>
            <w:noProof/>
          </w:rPr>
          <w:t>1.1.7 The Role of breeding program in influencing the mycorrhization of plant</w:t>
        </w:r>
        <w:r w:rsidR="00137F4C">
          <w:rPr>
            <w:noProof/>
            <w:webHidden/>
          </w:rPr>
          <w:tab/>
        </w:r>
        <w:r w:rsidR="00137F4C">
          <w:rPr>
            <w:noProof/>
            <w:webHidden/>
          </w:rPr>
          <w:fldChar w:fldCharType="begin"/>
        </w:r>
        <w:r w:rsidR="00137F4C">
          <w:rPr>
            <w:noProof/>
            <w:webHidden/>
          </w:rPr>
          <w:instrText xml:space="preserve"> PAGEREF _Toc83751405 \h </w:instrText>
        </w:r>
        <w:r w:rsidR="00137F4C">
          <w:rPr>
            <w:noProof/>
            <w:webHidden/>
          </w:rPr>
        </w:r>
        <w:r w:rsidR="00137F4C">
          <w:rPr>
            <w:noProof/>
            <w:webHidden/>
          </w:rPr>
          <w:fldChar w:fldCharType="separate"/>
        </w:r>
        <w:r w:rsidR="00137F4C">
          <w:rPr>
            <w:noProof/>
            <w:webHidden/>
          </w:rPr>
          <w:t>9</w:t>
        </w:r>
        <w:r w:rsidR="00137F4C">
          <w:rPr>
            <w:noProof/>
            <w:webHidden/>
          </w:rPr>
          <w:fldChar w:fldCharType="end"/>
        </w:r>
      </w:hyperlink>
    </w:p>
    <w:p w14:paraId="6B42673A" w14:textId="11C7B752" w:rsidR="00137F4C" w:rsidRDefault="00000000">
      <w:pPr>
        <w:pStyle w:val="TOC3"/>
        <w:tabs>
          <w:tab w:val="right" w:leader="dot" w:pos="9010"/>
        </w:tabs>
        <w:rPr>
          <w:rFonts w:asciiTheme="minorHAnsi" w:eastAsiaTheme="minorEastAsia" w:hAnsiTheme="minorHAnsi" w:cstheme="minorBidi"/>
          <w:noProof/>
          <w:lang w:val="en-SA"/>
        </w:rPr>
      </w:pPr>
      <w:hyperlink w:anchor="_Toc83751406" w:history="1">
        <w:r w:rsidR="00137F4C" w:rsidRPr="004A73DB">
          <w:rPr>
            <w:rStyle w:val="Hyperlink"/>
            <w:noProof/>
          </w:rPr>
          <w:t>1.1.8 Protection against biotic and other abiotic stresses</w:t>
        </w:r>
        <w:r w:rsidR="00137F4C">
          <w:rPr>
            <w:noProof/>
            <w:webHidden/>
          </w:rPr>
          <w:tab/>
        </w:r>
        <w:r w:rsidR="00137F4C">
          <w:rPr>
            <w:noProof/>
            <w:webHidden/>
          </w:rPr>
          <w:fldChar w:fldCharType="begin"/>
        </w:r>
        <w:r w:rsidR="00137F4C">
          <w:rPr>
            <w:noProof/>
            <w:webHidden/>
          </w:rPr>
          <w:instrText xml:space="preserve"> PAGEREF _Toc83751406 \h </w:instrText>
        </w:r>
        <w:r w:rsidR="00137F4C">
          <w:rPr>
            <w:noProof/>
            <w:webHidden/>
          </w:rPr>
        </w:r>
        <w:r w:rsidR="00137F4C">
          <w:rPr>
            <w:noProof/>
            <w:webHidden/>
          </w:rPr>
          <w:fldChar w:fldCharType="separate"/>
        </w:r>
        <w:r w:rsidR="00137F4C">
          <w:rPr>
            <w:noProof/>
            <w:webHidden/>
          </w:rPr>
          <w:t>12</w:t>
        </w:r>
        <w:r w:rsidR="00137F4C">
          <w:rPr>
            <w:noProof/>
            <w:webHidden/>
          </w:rPr>
          <w:fldChar w:fldCharType="end"/>
        </w:r>
      </w:hyperlink>
    </w:p>
    <w:p w14:paraId="6D7F123B" w14:textId="53F73034" w:rsidR="00137F4C" w:rsidRDefault="00000000">
      <w:pPr>
        <w:pStyle w:val="TOC3"/>
        <w:tabs>
          <w:tab w:val="right" w:leader="dot" w:pos="9010"/>
        </w:tabs>
        <w:rPr>
          <w:rFonts w:asciiTheme="minorHAnsi" w:eastAsiaTheme="minorEastAsia" w:hAnsiTheme="minorHAnsi" w:cstheme="minorBidi"/>
          <w:noProof/>
          <w:lang w:val="en-SA"/>
        </w:rPr>
      </w:pPr>
      <w:hyperlink w:anchor="_Toc83751407" w:history="1">
        <w:r w:rsidR="00137F4C" w:rsidRPr="004A73DB">
          <w:rPr>
            <w:rStyle w:val="Hyperlink"/>
            <w:noProof/>
          </w:rPr>
          <w:t>1.1.9 Role of mycorrhization in influencing the plant defense</w:t>
        </w:r>
        <w:r w:rsidR="00137F4C">
          <w:rPr>
            <w:noProof/>
            <w:webHidden/>
          </w:rPr>
          <w:tab/>
        </w:r>
        <w:r w:rsidR="00137F4C">
          <w:rPr>
            <w:noProof/>
            <w:webHidden/>
          </w:rPr>
          <w:fldChar w:fldCharType="begin"/>
        </w:r>
        <w:r w:rsidR="00137F4C">
          <w:rPr>
            <w:noProof/>
            <w:webHidden/>
          </w:rPr>
          <w:instrText xml:space="preserve"> PAGEREF _Toc83751407 \h </w:instrText>
        </w:r>
        <w:r w:rsidR="00137F4C">
          <w:rPr>
            <w:noProof/>
            <w:webHidden/>
          </w:rPr>
        </w:r>
        <w:r w:rsidR="00137F4C">
          <w:rPr>
            <w:noProof/>
            <w:webHidden/>
          </w:rPr>
          <w:fldChar w:fldCharType="separate"/>
        </w:r>
        <w:r w:rsidR="00137F4C">
          <w:rPr>
            <w:noProof/>
            <w:webHidden/>
          </w:rPr>
          <w:t>13</w:t>
        </w:r>
        <w:r w:rsidR="00137F4C">
          <w:rPr>
            <w:noProof/>
            <w:webHidden/>
          </w:rPr>
          <w:fldChar w:fldCharType="end"/>
        </w:r>
      </w:hyperlink>
    </w:p>
    <w:p w14:paraId="3EEB4C82" w14:textId="467B9DBF" w:rsidR="00137F4C" w:rsidRDefault="00000000">
      <w:pPr>
        <w:pStyle w:val="TOC3"/>
        <w:tabs>
          <w:tab w:val="right" w:leader="dot" w:pos="9010"/>
        </w:tabs>
        <w:rPr>
          <w:rFonts w:asciiTheme="minorHAnsi" w:eastAsiaTheme="minorEastAsia" w:hAnsiTheme="minorHAnsi" w:cstheme="minorBidi"/>
          <w:noProof/>
          <w:lang w:val="en-SA"/>
        </w:rPr>
      </w:pPr>
      <w:hyperlink w:anchor="_Toc83751408" w:history="1">
        <w:r w:rsidR="00137F4C" w:rsidRPr="004A73DB">
          <w:rPr>
            <w:rStyle w:val="Hyperlink"/>
            <w:noProof/>
          </w:rPr>
          <w:t>1.1.10 Role of mycorrhization to influencing the plant secondary metabolite compounds</w:t>
        </w:r>
        <w:r w:rsidR="00137F4C">
          <w:rPr>
            <w:noProof/>
            <w:webHidden/>
          </w:rPr>
          <w:tab/>
        </w:r>
        <w:r w:rsidR="00137F4C">
          <w:rPr>
            <w:noProof/>
            <w:webHidden/>
          </w:rPr>
          <w:fldChar w:fldCharType="begin"/>
        </w:r>
        <w:r w:rsidR="00137F4C">
          <w:rPr>
            <w:noProof/>
            <w:webHidden/>
          </w:rPr>
          <w:instrText xml:space="preserve"> PAGEREF _Toc83751408 \h </w:instrText>
        </w:r>
        <w:r w:rsidR="00137F4C">
          <w:rPr>
            <w:noProof/>
            <w:webHidden/>
          </w:rPr>
        </w:r>
        <w:r w:rsidR="00137F4C">
          <w:rPr>
            <w:noProof/>
            <w:webHidden/>
          </w:rPr>
          <w:fldChar w:fldCharType="separate"/>
        </w:r>
        <w:r w:rsidR="00137F4C">
          <w:rPr>
            <w:noProof/>
            <w:webHidden/>
          </w:rPr>
          <w:t>18</w:t>
        </w:r>
        <w:r w:rsidR="00137F4C">
          <w:rPr>
            <w:noProof/>
            <w:webHidden/>
          </w:rPr>
          <w:fldChar w:fldCharType="end"/>
        </w:r>
      </w:hyperlink>
    </w:p>
    <w:p w14:paraId="63E2E06E" w14:textId="7DF7D265" w:rsidR="00137F4C" w:rsidRDefault="00000000">
      <w:pPr>
        <w:pStyle w:val="TOC3"/>
        <w:tabs>
          <w:tab w:val="right" w:leader="dot" w:pos="9010"/>
        </w:tabs>
        <w:rPr>
          <w:rFonts w:asciiTheme="minorHAnsi" w:eastAsiaTheme="minorEastAsia" w:hAnsiTheme="minorHAnsi" w:cstheme="minorBidi"/>
          <w:noProof/>
          <w:lang w:val="en-SA"/>
        </w:rPr>
      </w:pPr>
      <w:hyperlink w:anchor="_Toc83751409" w:history="1">
        <w:r w:rsidR="00137F4C" w:rsidRPr="004A73DB">
          <w:rPr>
            <w:rStyle w:val="Hyperlink"/>
            <w:noProof/>
          </w:rPr>
          <w:t>1.1.11 How can we use this in sustainable agriculture?</w:t>
        </w:r>
        <w:r w:rsidR="00137F4C">
          <w:rPr>
            <w:noProof/>
            <w:webHidden/>
          </w:rPr>
          <w:tab/>
        </w:r>
        <w:r w:rsidR="00137F4C">
          <w:rPr>
            <w:noProof/>
            <w:webHidden/>
          </w:rPr>
          <w:fldChar w:fldCharType="begin"/>
        </w:r>
        <w:r w:rsidR="00137F4C">
          <w:rPr>
            <w:noProof/>
            <w:webHidden/>
          </w:rPr>
          <w:instrText xml:space="preserve"> PAGEREF _Toc83751409 \h </w:instrText>
        </w:r>
        <w:r w:rsidR="00137F4C">
          <w:rPr>
            <w:noProof/>
            <w:webHidden/>
          </w:rPr>
        </w:r>
        <w:r w:rsidR="00137F4C">
          <w:rPr>
            <w:noProof/>
            <w:webHidden/>
          </w:rPr>
          <w:fldChar w:fldCharType="separate"/>
        </w:r>
        <w:r w:rsidR="00137F4C">
          <w:rPr>
            <w:noProof/>
            <w:webHidden/>
          </w:rPr>
          <w:t>20</w:t>
        </w:r>
        <w:r w:rsidR="00137F4C">
          <w:rPr>
            <w:noProof/>
            <w:webHidden/>
          </w:rPr>
          <w:fldChar w:fldCharType="end"/>
        </w:r>
      </w:hyperlink>
    </w:p>
    <w:p w14:paraId="11C8C790" w14:textId="5028D8BA" w:rsidR="00137F4C" w:rsidRDefault="00000000">
      <w:pPr>
        <w:pStyle w:val="TOC2"/>
        <w:tabs>
          <w:tab w:val="right" w:leader="dot" w:pos="9010"/>
        </w:tabs>
        <w:rPr>
          <w:rFonts w:asciiTheme="minorHAnsi" w:eastAsiaTheme="minorEastAsia" w:hAnsiTheme="minorHAnsi" w:cstheme="minorBidi"/>
          <w:noProof/>
          <w:lang w:val="en-SA"/>
        </w:rPr>
      </w:pPr>
      <w:hyperlink w:anchor="_Toc83751410" w:history="1">
        <w:r w:rsidR="00137F4C" w:rsidRPr="004A73DB">
          <w:rPr>
            <w:rStyle w:val="Hyperlink"/>
            <w:noProof/>
          </w:rPr>
          <w:t>1.2 Aims and hypotheses</w:t>
        </w:r>
        <w:r w:rsidR="00137F4C">
          <w:rPr>
            <w:noProof/>
            <w:webHidden/>
          </w:rPr>
          <w:tab/>
        </w:r>
        <w:r w:rsidR="00137F4C">
          <w:rPr>
            <w:noProof/>
            <w:webHidden/>
          </w:rPr>
          <w:fldChar w:fldCharType="begin"/>
        </w:r>
        <w:r w:rsidR="00137F4C">
          <w:rPr>
            <w:noProof/>
            <w:webHidden/>
          </w:rPr>
          <w:instrText xml:space="preserve"> PAGEREF _Toc83751410 \h </w:instrText>
        </w:r>
        <w:r w:rsidR="00137F4C">
          <w:rPr>
            <w:noProof/>
            <w:webHidden/>
          </w:rPr>
        </w:r>
        <w:r w:rsidR="00137F4C">
          <w:rPr>
            <w:noProof/>
            <w:webHidden/>
          </w:rPr>
          <w:fldChar w:fldCharType="separate"/>
        </w:r>
        <w:r w:rsidR="00137F4C">
          <w:rPr>
            <w:noProof/>
            <w:webHidden/>
          </w:rPr>
          <w:t>22</w:t>
        </w:r>
        <w:r w:rsidR="00137F4C">
          <w:rPr>
            <w:noProof/>
            <w:webHidden/>
          </w:rPr>
          <w:fldChar w:fldCharType="end"/>
        </w:r>
      </w:hyperlink>
    </w:p>
    <w:p w14:paraId="5E9C8C7E" w14:textId="07C041E6" w:rsidR="00137F4C" w:rsidRDefault="00000000">
      <w:pPr>
        <w:pStyle w:val="TOC3"/>
        <w:tabs>
          <w:tab w:val="right" w:leader="dot" w:pos="9010"/>
        </w:tabs>
        <w:rPr>
          <w:rFonts w:asciiTheme="minorHAnsi" w:eastAsiaTheme="minorEastAsia" w:hAnsiTheme="minorHAnsi" w:cstheme="minorBidi"/>
          <w:noProof/>
          <w:lang w:val="en-SA"/>
        </w:rPr>
      </w:pPr>
      <w:hyperlink w:anchor="_Toc83751411" w:history="1">
        <w:r w:rsidR="00137F4C" w:rsidRPr="004A73DB">
          <w:rPr>
            <w:rStyle w:val="Hyperlink"/>
            <w:noProof/>
          </w:rPr>
          <w:t>1.2.1 Aims and hypotheses of chapter 2</w:t>
        </w:r>
        <w:r w:rsidR="00137F4C">
          <w:rPr>
            <w:noProof/>
            <w:webHidden/>
          </w:rPr>
          <w:tab/>
        </w:r>
        <w:r w:rsidR="00137F4C">
          <w:rPr>
            <w:noProof/>
            <w:webHidden/>
          </w:rPr>
          <w:fldChar w:fldCharType="begin"/>
        </w:r>
        <w:r w:rsidR="00137F4C">
          <w:rPr>
            <w:noProof/>
            <w:webHidden/>
          </w:rPr>
          <w:instrText xml:space="preserve"> PAGEREF _Toc83751411 \h </w:instrText>
        </w:r>
        <w:r w:rsidR="00137F4C">
          <w:rPr>
            <w:noProof/>
            <w:webHidden/>
          </w:rPr>
        </w:r>
        <w:r w:rsidR="00137F4C">
          <w:rPr>
            <w:noProof/>
            <w:webHidden/>
          </w:rPr>
          <w:fldChar w:fldCharType="separate"/>
        </w:r>
        <w:r w:rsidR="00137F4C">
          <w:rPr>
            <w:noProof/>
            <w:webHidden/>
          </w:rPr>
          <w:t>22</w:t>
        </w:r>
        <w:r w:rsidR="00137F4C">
          <w:rPr>
            <w:noProof/>
            <w:webHidden/>
          </w:rPr>
          <w:fldChar w:fldCharType="end"/>
        </w:r>
      </w:hyperlink>
    </w:p>
    <w:p w14:paraId="36C6ABEB" w14:textId="69D87FBD" w:rsidR="00137F4C" w:rsidRDefault="00000000">
      <w:pPr>
        <w:pStyle w:val="TOC3"/>
        <w:tabs>
          <w:tab w:val="right" w:leader="dot" w:pos="9010"/>
        </w:tabs>
        <w:rPr>
          <w:rFonts w:asciiTheme="minorHAnsi" w:eastAsiaTheme="minorEastAsia" w:hAnsiTheme="minorHAnsi" w:cstheme="minorBidi"/>
          <w:noProof/>
          <w:lang w:val="en-SA"/>
        </w:rPr>
      </w:pPr>
      <w:hyperlink w:anchor="_Toc83751412" w:history="1">
        <w:r w:rsidR="00137F4C" w:rsidRPr="004A73DB">
          <w:rPr>
            <w:rStyle w:val="Hyperlink"/>
            <w:noProof/>
          </w:rPr>
          <w:t>1.2.2 Aims and hypotheses of chapter 3</w:t>
        </w:r>
        <w:r w:rsidR="00137F4C">
          <w:rPr>
            <w:noProof/>
            <w:webHidden/>
          </w:rPr>
          <w:tab/>
        </w:r>
        <w:r w:rsidR="00137F4C">
          <w:rPr>
            <w:noProof/>
            <w:webHidden/>
          </w:rPr>
          <w:fldChar w:fldCharType="begin"/>
        </w:r>
        <w:r w:rsidR="00137F4C">
          <w:rPr>
            <w:noProof/>
            <w:webHidden/>
          </w:rPr>
          <w:instrText xml:space="preserve"> PAGEREF _Toc83751412 \h </w:instrText>
        </w:r>
        <w:r w:rsidR="00137F4C">
          <w:rPr>
            <w:noProof/>
            <w:webHidden/>
          </w:rPr>
        </w:r>
        <w:r w:rsidR="00137F4C">
          <w:rPr>
            <w:noProof/>
            <w:webHidden/>
          </w:rPr>
          <w:fldChar w:fldCharType="separate"/>
        </w:r>
        <w:r w:rsidR="00137F4C">
          <w:rPr>
            <w:noProof/>
            <w:webHidden/>
          </w:rPr>
          <w:t>23</w:t>
        </w:r>
        <w:r w:rsidR="00137F4C">
          <w:rPr>
            <w:noProof/>
            <w:webHidden/>
          </w:rPr>
          <w:fldChar w:fldCharType="end"/>
        </w:r>
      </w:hyperlink>
    </w:p>
    <w:p w14:paraId="7EBE30A8" w14:textId="66CC2542" w:rsidR="00137F4C" w:rsidRDefault="00000000">
      <w:pPr>
        <w:pStyle w:val="TOC3"/>
        <w:tabs>
          <w:tab w:val="right" w:leader="dot" w:pos="9010"/>
        </w:tabs>
        <w:rPr>
          <w:rFonts w:asciiTheme="minorHAnsi" w:eastAsiaTheme="minorEastAsia" w:hAnsiTheme="minorHAnsi" w:cstheme="minorBidi"/>
          <w:noProof/>
          <w:lang w:val="en-SA"/>
        </w:rPr>
      </w:pPr>
      <w:hyperlink w:anchor="_Toc83751413" w:history="1">
        <w:r w:rsidR="00137F4C" w:rsidRPr="004A73DB">
          <w:rPr>
            <w:rStyle w:val="Hyperlink"/>
            <w:noProof/>
          </w:rPr>
          <w:t>1.2.3 Aims and hypotheses of chapter 4</w:t>
        </w:r>
        <w:r w:rsidR="00137F4C">
          <w:rPr>
            <w:noProof/>
            <w:webHidden/>
          </w:rPr>
          <w:tab/>
        </w:r>
        <w:r w:rsidR="00137F4C">
          <w:rPr>
            <w:noProof/>
            <w:webHidden/>
          </w:rPr>
          <w:fldChar w:fldCharType="begin"/>
        </w:r>
        <w:r w:rsidR="00137F4C">
          <w:rPr>
            <w:noProof/>
            <w:webHidden/>
          </w:rPr>
          <w:instrText xml:space="preserve"> PAGEREF _Toc83751413 \h </w:instrText>
        </w:r>
        <w:r w:rsidR="00137F4C">
          <w:rPr>
            <w:noProof/>
            <w:webHidden/>
          </w:rPr>
        </w:r>
        <w:r w:rsidR="00137F4C">
          <w:rPr>
            <w:noProof/>
            <w:webHidden/>
          </w:rPr>
          <w:fldChar w:fldCharType="separate"/>
        </w:r>
        <w:r w:rsidR="00137F4C">
          <w:rPr>
            <w:noProof/>
            <w:webHidden/>
          </w:rPr>
          <w:t>23</w:t>
        </w:r>
        <w:r w:rsidR="00137F4C">
          <w:rPr>
            <w:noProof/>
            <w:webHidden/>
          </w:rPr>
          <w:fldChar w:fldCharType="end"/>
        </w:r>
      </w:hyperlink>
    </w:p>
    <w:p w14:paraId="615D9883" w14:textId="6D051576" w:rsidR="00137F4C" w:rsidRDefault="00000000">
      <w:pPr>
        <w:pStyle w:val="TOC1"/>
        <w:tabs>
          <w:tab w:val="left" w:pos="1440"/>
          <w:tab w:val="right" w:leader="dot" w:pos="9010"/>
        </w:tabs>
        <w:rPr>
          <w:rFonts w:asciiTheme="minorHAnsi" w:eastAsiaTheme="minorEastAsia" w:hAnsiTheme="minorHAnsi" w:cstheme="minorBidi"/>
          <w:noProof/>
          <w:lang w:val="en-SA"/>
        </w:rPr>
      </w:pPr>
      <w:hyperlink w:anchor="_Toc83751414" w:history="1">
        <w:r w:rsidR="00137F4C" w:rsidRPr="004A73DB">
          <w:rPr>
            <w:rStyle w:val="Hyperlink"/>
            <w:noProof/>
          </w:rPr>
          <w:t>Chapter 2 :</w:t>
        </w:r>
        <w:r w:rsidR="00137F4C">
          <w:rPr>
            <w:rFonts w:asciiTheme="minorHAnsi" w:eastAsiaTheme="minorEastAsia" w:hAnsiTheme="minorHAnsi" w:cstheme="minorBidi"/>
            <w:noProof/>
            <w:lang w:val="en-SA"/>
          </w:rPr>
          <w:tab/>
        </w:r>
        <w:r w:rsidR="00137F4C" w:rsidRPr="004A73DB">
          <w:rPr>
            <w:rStyle w:val="Hyperlink"/>
            <w:noProof/>
            <w:shd w:val="clear" w:color="auto" w:fill="FFFFFF"/>
          </w:rPr>
          <w:t xml:space="preserve">The effect of Arbuscular Mycorrhizal Fungi on physiology of diversity panel of </w:t>
        </w:r>
        <w:r w:rsidR="00137F4C" w:rsidRPr="004A73DB">
          <w:rPr>
            <w:rStyle w:val="Hyperlink"/>
            <w:i/>
            <w:iCs/>
            <w:noProof/>
            <w:shd w:val="clear" w:color="auto" w:fill="FFFFFF"/>
          </w:rPr>
          <w:t>Zea mays</w:t>
        </w:r>
        <w:r w:rsidR="00137F4C" w:rsidRPr="004A73DB">
          <w:rPr>
            <w:rStyle w:val="Hyperlink"/>
            <w:noProof/>
            <w:shd w:val="clear" w:color="auto" w:fill="FFFFFF"/>
          </w:rPr>
          <w:t xml:space="preserve"> varieties commonly grown in the Arabian Peninsula</w:t>
        </w:r>
        <w:r w:rsidR="00137F4C">
          <w:rPr>
            <w:noProof/>
            <w:webHidden/>
          </w:rPr>
          <w:tab/>
        </w:r>
        <w:r w:rsidR="00137F4C">
          <w:rPr>
            <w:noProof/>
            <w:webHidden/>
          </w:rPr>
          <w:fldChar w:fldCharType="begin"/>
        </w:r>
        <w:r w:rsidR="00137F4C">
          <w:rPr>
            <w:noProof/>
            <w:webHidden/>
          </w:rPr>
          <w:instrText xml:space="preserve"> PAGEREF _Toc83751414 \h </w:instrText>
        </w:r>
        <w:r w:rsidR="00137F4C">
          <w:rPr>
            <w:noProof/>
            <w:webHidden/>
          </w:rPr>
        </w:r>
        <w:r w:rsidR="00137F4C">
          <w:rPr>
            <w:noProof/>
            <w:webHidden/>
          </w:rPr>
          <w:fldChar w:fldCharType="separate"/>
        </w:r>
        <w:r w:rsidR="00137F4C">
          <w:rPr>
            <w:noProof/>
            <w:webHidden/>
          </w:rPr>
          <w:t>24</w:t>
        </w:r>
        <w:r w:rsidR="00137F4C">
          <w:rPr>
            <w:noProof/>
            <w:webHidden/>
          </w:rPr>
          <w:fldChar w:fldCharType="end"/>
        </w:r>
      </w:hyperlink>
    </w:p>
    <w:p w14:paraId="5EB0C09D" w14:textId="2E46642F" w:rsidR="00137F4C" w:rsidRDefault="00000000">
      <w:pPr>
        <w:pStyle w:val="TOC2"/>
        <w:tabs>
          <w:tab w:val="right" w:leader="dot" w:pos="9010"/>
        </w:tabs>
        <w:rPr>
          <w:rFonts w:asciiTheme="minorHAnsi" w:eastAsiaTheme="minorEastAsia" w:hAnsiTheme="minorHAnsi" w:cstheme="minorBidi"/>
          <w:noProof/>
          <w:lang w:val="en-SA"/>
        </w:rPr>
      </w:pPr>
      <w:hyperlink w:anchor="_Toc83751415" w:history="1">
        <w:r w:rsidR="00137F4C" w:rsidRPr="004A73DB">
          <w:rPr>
            <w:rStyle w:val="Hyperlink"/>
            <w:noProof/>
            <w:shd w:val="clear" w:color="auto" w:fill="FFFFFF"/>
          </w:rPr>
          <w:t>2.1 Introduction</w:t>
        </w:r>
        <w:r w:rsidR="00137F4C">
          <w:rPr>
            <w:noProof/>
            <w:webHidden/>
          </w:rPr>
          <w:tab/>
        </w:r>
        <w:r w:rsidR="00137F4C">
          <w:rPr>
            <w:noProof/>
            <w:webHidden/>
          </w:rPr>
          <w:fldChar w:fldCharType="begin"/>
        </w:r>
        <w:r w:rsidR="00137F4C">
          <w:rPr>
            <w:noProof/>
            <w:webHidden/>
          </w:rPr>
          <w:instrText xml:space="preserve"> PAGEREF _Toc83751415 \h </w:instrText>
        </w:r>
        <w:r w:rsidR="00137F4C">
          <w:rPr>
            <w:noProof/>
            <w:webHidden/>
          </w:rPr>
        </w:r>
        <w:r w:rsidR="00137F4C">
          <w:rPr>
            <w:noProof/>
            <w:webHidden/>
          </w:rPr>
          <w:fldChar w:fldCharType="separate"/>
        </w:r>
        <w:r w:rsidR="00137F4C">
          <w:rPr>
            <w:noProof/>
            <w:webHidden/>
          </w:rPr>
          <w:t>24</w:t>
        </w:r>
        <w:r w:rsidR="00137F4C">
          <w:rPr>
            <w:noProof/>
            <w:webHidden/>
          </w:rPr>
          <w:fldChar w:fldCharType="end"/>
        </w:r>
      </w:hyperlink>
    </w:p>
    <w:p w14:paraId="3DDA3DDF" w14:textId="013A9502" w:rsidR="00137F4C" w:rsidRDefault="00000000">
      <w:pPr>
        <w:pStyle w:val="TOC2"/>
        <w:tabs>
          <w:tab w:val="right" w:leader="dot" w:pos="9010"/>
        </w:tabs>
        <w:rPr>
          <w:rFonts w:asciiTheme="minorHAnsi" w:eastAsiaTheme="minorEastAsia" w:hAnsiTheme="minorHAnsi" w:cstheme="minorBidi"/>
          <w:noProof/>
          <w:lang w:val="en-SA"/>
        </w:rPr>
      </w:pPr>
      <w:hyperlink w:anchor="_Toc83751416" w:history="1">
        <w:r w:rsidR="00137F4C" w:rsidRPr="004A73DB">
          <w:rPr>
            <w:rStyle w:val="Hyperlink"/>
            <w:noProof/>
          </w:rPr>
          <w:t>2.2 Materials and methods</w:t>
        </w:r>
        <w:r w:rsidR="00137F4C">
          <w:rPr>
            <w:noProof/>
            <w:webHidden/>
          </w:rPr>
          <w:tab/>
        </w:r>
        <w:r w:rsidR="00137F4C">
          <w:rPr>
            <w:noProof/>
            <w:webHidden/>
          </w:rPr>
          <w:fldChar w:fldCharType="begin"/>
        </w:r>
        <w:r w:rsidR="00137F4C">
          <w:rPr>
            <w:noProof/>
            <w:webHidden/>
          </w:rPr>
          <w:instrText xml:space="preserve"> PAGEREF _Toc83751416 \h </w:instrText>
        </w:r>
        <w:r w:rsidR="00137F4C">
          <w:rPr>
            <w:noProof/>
            <w:webHidden/>
          </w:rPr>
        </w:r>
        <w:r w:rsidR="00137F4C">
          <w:rPr>
            <w:noProof/>
            <w:webHidden/>
          </w:rPr>
          <w:fldChar w:fldCharType="separate"/>
        </w:r>
        <w:r w:rsidR="00137F4C">
          <w:rPr>
            <w:noProof/>
            <w:webHidden/>
          </w:rPr>
          <w:t>26</w:t>
        </w:r>
        <w:r w:rsidR="00137F4C">
          <w:rPr>
            <w:noProof/>
            <w:webHidden/>
          </w:rPr>
          <w:fldChar w:fldCharType="end"/>
        </w:r>
      </w:hyperlink>
    </w:p>
    <w:p w14:paraId="788470FF" w14:textId="68AA327B" w:rsidR="00137F4C" w:rsidRDefault="00000000">
      <w:pPr>
        <w:pStyle w:val="TOC3"/>
        <w:tabs>
          <w:tab w:val="right" w:leader="dot" w:pos="9010"/>
        </w:tabs>
        <w:rPr>
          <w:rFonts w:asciiTheme="minorHAnsi" w:eastAsiaTheme="minorEastAsia" w:hAnsiTheme="minorHAnsi" w:cstheme="minorBidi"/>
          <w:noProof/>
          <w:lang w:val="en-SA"/>
        </w:rPr>
      </w:pPr>
      <w:hyperlink w:anchor="_Toc83751417" w:history="1">
        <w:r w:rsidR="00137F4C" w:rsidRPr="004A73DB">
          <w:rPr>
            <w:rStyle w:val="Hyperlink"/>
            <w:noProof/>
          </w:rPr>
          <w:t>2.2.1 Plant material</w:t>
        </w:r>
        <w:r w:rsidR="00137F4C">
          <w:rPr>
            <w:noProof/>
            <w:webHidden/>
          </w:rPr>
          <w:tab/>
        </w:r>
        <w:r w:rsidR="00137F4C">
          <w:rPr>
            <w:noProof/>
            <w:webHidden/>
          </w:rPr>
          <w:fldChar w:fldCharType="begin"/>
        </w:r>
        <w:r w:rsidR="00137F4C">
          <w:rPr>
            <w:noProof/>
            <w:webHidden/>
          </w:rPr>
          <w:instrText xml:space="preserve"> PAGEREF _Toc83751417 \h </w:instrText>
        </w:r>
        <w:r w:rsidR="00137F4C">
          <w:rPr>
            <w:noProof/>
            <w:webHidden/>
          </w:rPr>
        </w:r>
        <w:r w:rsidR="00137F4C">
          <w:rPr>
            <w:noProof/>
            <w:webHidden/>
          </w:rPr>
          <w:fldChar w:fldCharType="separate"/>
        </w:r>
        <w:r w:rsidR="00137F4C">
          <w:rPr>
            <w:noProof/>
            <w:webHidden/>
          </w:rPr>
          <w:t>26</w:t>
        </w:r>
        <w:r w:rsidR="00137F4C">
          <w:rPr>
            <w:noProof/>
            <w:webHidden/>
          </w:rPr>
          <w:fldChar w:fldCharType="end"/>
        </w:r>
      </w:hyperlink>
    </w:p>
    <w:p w14:paraId="0BEFD070" w14:textId="05A6EA70" w:rsidR="00137F4C" w:rsidRDefault="00000000">
      <w:pPr>
        <w:pStyle w:val="TOC3"/>
        <w:tabs>
          <w:tab w:val="right" w:leader="dot" w:pos="9010"/>
        </w:tabs>
        <w:rPr>
          <w:rFonts w:asciiTheme="minorHAnsi" w:eastAsiaTheme="minorEastAsia" w:hAnsiTheme="minorHAnsi" w:cstheme="minorBidi"/>
          <w:noProof/>
          <w:lang w:val="en-SA"/>
        </w:rPr>
      </w:pPr>
      <w:hyperlink w:anchor="_Toc83751418" w:history="1">
        <w:r w:rsidR="00137F4C" w:rsidRPr="004A73DB">
          <w:rPr>
            <w:rStyle w:val="Hyperlink"/>
            <w:noProof/>
          </w:rPr>
          <w:t>2.2.2 Mycorrhizal inoculum</w:t>
        </w:r>
        <w:r w:rsidR="00137F4C">
          <w:rPr>
            <w:noProof/>
            <w:webHidden/>
          </w:rPr>
          <w:tab/>
        </w:r>
        <w:r w:rsidR="00137F4C">
          <w:rPr>
            <w:noProof/>
            <w:webHidden/>
          </w:rPr>
          <w:fldChar w:fldCharType="begin"/>
        </w:r>
        <w:r w:rsidR="00137F4C">
          <w:rPr>
            <w:noProof/>
            <w:webHidden/>
          </w:rPr>
          <w:instrText xml:space="preserve"> PAGEREF _Toc83751418 \h </w:instrText>
        </w:r>
        <w:r w:rsidR="00137F4C">
          <w:rPr>
            <w:noProof/>
            <w:webHidden/>
          </w:rPr>
        </w:r>
        <w:r w:rsidR="00137F4C">
          <w:rPr>
            <w:noProof/>
            <w:webHidden/>
          </w:rPr>
          <w:fldChar w:fldCharType="separate"/>
        </w:r>
        <w:r w:rsidR="00137F4C">
          <w:rPr>
            <w:noProof/>
            <w:webHidden/>
          </w:rPr>
          <w:t>28</w:t>
        </w:r>
        <w:r w:rsidR="00137F4C">
          <w:rPr>
            <w:noProof/>
            <w:webHidden/>
          </w:rPr>
          <w:fldChar w:fldCharType="end"/>
        </w:r>
      </w:hyperlink>
    </w:p>
    <w:p w14:paraId="0A1C1E73" w14:textId="4068511D" w:rsidR="00137F4C" w:rsidRDefault="00000000">
      <w:pPr>
        <w:pStyle w:val="TOC3"/>
        <w:tabs>
          <w:tab w:val="right" w:leader="dot" w:pos="9010"/>
        </w:tabs>
        <w:rPr>
          <w:rFonts w:asciiTheme="minorHAnsi" w:eastAsiaTheme="minorEastAsia" w:hAnsiTheme="minorHAnsi" w:cstheme="minorBidi"/>
          <w:noProof/>
          <w:lang w:val="en-SA"/>
        </w:rPr>
      </w:pPr>
      <w:hyperlink w:anchor="_Toc83751419" w:history="1">
        <w:r w:rsidR="00137F4C" w:rsidRPr="004A73DB">
          <w:rPr>
            <w:rStyle w:val="Hyperlink"/>
            <w:noProof/>
          </w:rPr>
          <w:t>2.2.3 Experimental Design</w:t>
        </w:r>
        <w:r w:rsidR="00137F4C">
          <w:rPr>
            <w:noProof/>
            <w:webHidden/>
          </w:rPr>
          <w:tab/>
        </w:r>
        <w:r w:rsidR="00137F4C">
          <w:rPr>
            <w:noProof/>
            <w:webHidden/>
          </w:rPr>
          <w:fldChar w:fldCharType="begin"/>
        </w:r>
        <w:r w:rsidR="00137F4C">
          <w:rPr>
            <w:noProof/>
            <w:webHidden/>
          </w:rPr>
          <w:instrText xml:space="preserve"> PAGEREF _Toc83751419 \h </w:instrText>
        </w:r>
        <w:r w:rsidR="00137F4C">
          <w:rPr>
            <w:noProof/>
            <w:webHidden/>
          </w:rPr>
        </w:r>
        <w:r w:rsidR="00137F4C">
          <w:rPr>
            <w:noProof/>
            <w:webHidden/>
          </w:rPr>
          <w:fldChar w:fldCharType="separate"/>
        </w:r>
        <w:r w:rsidR="00137F4C">
          <w:rPr>
            <w:noProof/>
            <w:webHidden/>
          </w:rPr>
          <w:t>29</w:t>
        </w:r>
        <w:r w:rsidR="00137F4C">
          <w:rPr>
            <w:noProof/>
            <w:webHidden/>
          </w:rPr>
          <w:fldChar w:fldCharType="end"/>
        </w:r>
      </w:hyperlink>
    </w:p>
    <w:p w14:paraId="73C8D95F" w14:textId="1FB09DE3" w:rsidR="00137F4C" w:rsidRDefault="00000000">
      <w:pPr>
        <w:pStyle w:val="TOC3"/>
        <w:tabs>
          <w:tab w:val="right" w:leader="dot" w:pos="9010"/>
        </w:tabs>
        <w:rPr>
          <w:rFonts w:asciiTheme="minorHAnsi" w:eastAsiaTheme="minorEastAsia" w:hAnsiTheme="minorHAnsi" w:cstheme="minorBidi"/>
          <w:noProof/>
          <w:lang w:val="en-SA"/>
        </w:rPr>
      </w:pPr>
      <w:hyperlink w:anchor="_Toc83751420" w:history="1">
        <w:r w:rsidR="00137F4C" w:rsidRPr="004A73DB">
          <w:rPr>
            <w:rStyle w:val="Hyperlink"/>
            <w:noProof/>
          </w:rPr>
          <w:t>2.2.4 Planting and growth conditions</w:t>
        </w:r>
        <w:r w:rsidR="00137F4C">
          <w:rPr>
            <w:noProof/>
            <w:webHidden/>
          </w:rPr>
          <w:tab/>
        </w:r>
        <w:r w:rsidR="00137F4C">
          <w:rPr>
            <w:noProof/>
            <w:webHidden/>
          </w:rPr>
          <w:fldChar w:fldCharType="begin"/>
        </w:r>
        <w:r w:rsidR="00137F4C">
          <w:rPr>
            <w:noProof/>
            <w:webHidden/>
          </w:rPr>
          <w:instrText xml:space="preserve"> PAGEREF _Toc83751420 \h </w:instrText>
        </w:r>
        <w:r w:rsidR="00137F4C">
          <w:rPr>
            <w:noProof/>
            <w:webHidden/>
          </w:rPr>
        </w:r>
        <w:r w:rsidR="00137F4C">
          <w:rPr>
            <w:noProof/>
            <w:webHidden/>
          </w:rPr>
          <w:fldChar w:fldCharType="separate"/>
        </w:r>
        <w:r w:rsidR="00137F4C">
          <w:rPr>
            <w:noProof/>
            <w:webHidden/>
          </w:rPr>
          <w:t>29</w:t>
        </w:r>
        <w:r w:rsidR="00137F4C">
          <w:rPr>
            <w:noProof/>
            <w:webHidden/>
          </w:rPr>
          <w:fldChar w:fldCharType="end"/>
        </w:r>
      </w:hyperlink>
    </w:p>
    <w:p w14:paraId="7B48092B" w14:textId="26D1BAFE" w:rsidR="00137F4C" w:rsidRDefault="00000000">
      <w:pPr>
        <w:pStyle w:val="TOC3"/>
        <w:tabs>
          <w:tab w:val="right" w:leader="dot" w:pos="9010"/>
        </w:tabs>
        <w:rPr>
          <w:rFonts w:asciiTheme="minorHAnsi" w:eastAsiaTheme="minorEastAsia" w:hAnsiTheme="minorHAnsi" w:cstheme="minorBidi"/>
          <w:noProof/>
          <w:lang w:val="en-SA"/>
        </w:rPr>
      </w:pPr>
      <w:hyperlink w:anchor="_Toc83751421" w:history="1">
        <w:r w:rsidR="00137F4C" w:rsidRPr="004A73DB">
          <w:rPr>
            <w:rStyle w:val="Hyperlink"/>
            <w:noProof/>
          </w:rPr>
          <w:t>2.2.5 Growth measurements</w:t>
        </w:r>
        <w:r w:rsidR="00137F4C">
          <w:rPr>
            <w:noProof/>
            <w:webHidden/>
          </w:rPr>
          <w:tab/>
        </w:r>
        <w:r w:rsidR="00137F4C">
          <w:rPr>
            <w:noProof/>
            <w:webHidden/>
          </w:rPr>
          <w:fldChar w:fldCharType="begin"/>
        </w:r>
        <w:r w:rsidR="00137F4C">
          <w:rPr>
            <w:noProof/>
            <w:webHidden/>
          </w:rPr>
          <w:instrText xml:space="preserve"> PAGEREF _Toc83751421 \h </w:instrText>
        </w:r>
        <w:r w:rsidR="00137F4C">
          <w:rPr>
            <w:noProof/>
            <w:webHidden/>
          </w:rPr>
        </w:r>
        <w:r w:rsidR="00137F4C">
          <w:rPr>
            <w:noProof/>
            <w:webHidden/>
          </w:rPr>
          <w:fldChar w:fldCharType="separate"/>
        </w:r>
        <w:r w:rsidR="00137F4C">
          <w:rPr>
            <w:noProof/>
            <w:webHidden/>
          </w:rPr>
          <w:t>31</w:t>
        </w:r>
        <w:r w:rsidR="00137F4C">
          <w:rPr>
            <w:noProof/>
            <w:webHidden/>
          </w:rPr>
          <w:fldChar w:fldCharType="end"/>
        </w:r>
      </w:hyperlink>
    </w:p>
    <w:p w14:paraId="1594B9F9" w14:textId="64C7D1C0" w:rsidR="00137F4C" w:rsidRDefault="00000000">
      <w:pPr>
        <w:pStyle w:val="TOC3"/>
        <w:tabs>
          <w:tab w:val="right" w:leader="dot" w:pos="9010"/>
        </w:tabs>
        <w:rPr>
          <w:rFonts w:asciiTheme="minorHAnsi" w:eastAsiaTheme="minorEastAsia" w:hAnsiTheme="minorHAnsi" w:cstheme="minorBidi"/>
          <w:noProof/>
          <w:lang w:val="en-SA"/>
        </w:rPr>
      </w:pPr>
      <w:hyperlink w:anchor="_Toc83751422" w:history="1">
        <w:r w:rsidR="00137F4C" w:rsidRPr="004A73DB">
          <w:rPr>
            <w:rStyle w:val="Hyperlink"/>
            <w:noProof/>
          </w:rPr>
          <w:t>2.2.6 Parameters measured or plant biomass</w:t>
        </w:r>
        <w:r w:rsidR="00137F4C">
          <w:rPr>
            <w:noProof/>
            <w:webHidden/>
          </w:rPr>
          <w:tab/>
        </w:r>
        <w:r w:rsidR="00137F4C">
          <w:rPr>
            <w:noProof/>
            <w:webHidden/>
          </w:rPr>
          <w:fldChar w:fldCharType="begin"/>
        </w:r>
        <w:r w:rsidR="00137F4C">
          <w:rPr>
            <w:noProof/>
            <w:webHidden/>
          </w:rPr>
          <w:instrText xml:space="preserve"> PAGEREF _Toc83751422 \h </w:instrText>
        </w:r>
        <w:r w:rsidR="00137F4C">
          <w:rPr>
            <w:noProof/>
            <w:webHidden/>
          </w:rPr>
        </w:r>
        <w:r w:rsidR="00137F4C">
          <w:rPr>
            <w:noProof/>
            <w:webHidden/>
          </w:rPr>
          <w:fldChar w:fldCharType="separate"/>
        </w:r>
        <w:r w:rsidR="00137F4C">
          <w:rPr>
            <w:noProof/>
            <w:webHidden/>
          </w:rPr>
          <w:t>31</w:t>
        </w:r>
        <w:r w:rsidR="00137F4C">
          <w:rPr>
            <w:noProof/>
            <w:webHidden/>
          </w:rPr>
          <w:fldChar w:fldCharType="end"/>
        </w:r>
      </w:hyperlink>
    </w:p>
    <w:p w14:paraId="05AF48F9" w14:textId="607E4E9B" w:rsidR="00137F4C" w:rsidRDefault="00000000">
      <w:pPr>
        <w:pStyle w:val="TOC3"/>
        <w:tabs>
          <w:tab w:val="right" w:leader="dot" w:pos="9010"/>
        </w:tabs>
        <w:rPr>
          <w:rFonts w:asciiTheme="minorHAnsi" w:eastAsiaTheme="minorEastAsia" w:hAnsiTheme="minorHAnsi" w:cstheme="minorBidi"/>
          <w:noProof/>
          <w:lang w:val="en-SA"/>
        </w:rPr>
      </w:pPr>
      <w:hyperlink w:anchor="_Toc83751423" w:history="1">
        <w:r w:rsidR="00137F4C" w:rsidRPr="004A73DB">
          <w:rPr>
            <w:rStyle w:val="Hyperlink"/>
            <w:noProof/>
          </w:rPr>
          <w:t>2.2.7 AMF root colonization</w:t>
        </w:r>
        <w:r w:rsidR="00137F4C">
          <w:rPr>
            <w:noProof/>
            <w:webHidden/>
          </w:rPr>
          <w:tab/>
        </w:r>
        <w:r w:rsidR="00137F4C">
          <w:rPr>
            <w:noProof/>
            <w:webHidden/>
          </w:rPr>
          <w:fldChar w:fldCharType="begin"/>
        </w:r>
        <w:r w:rsidR="00137F4C">
          <w:rPr>
            <w:noProof/>
            <w:webHidden/>
          </w:rPr>
          <w:instrText xml:space="preserve"> PAGEREF _Toc83751423 \h </w:instrText>
        </w:r>
        <w:r w:rsidR="00137F4C">
          <w:rPr>
            <w:noProof/>
            <w:webHidden/>
          </w:rPr>
        </w:r>
        <w:r w:rsidR="00137F4C">
          <w:rPr>
            <w:noProof/>
            <w:webHidden/>
          </w:rPr>
          <w:fldChar w:fldCharType="separate"/>
        </w:r>
        <w:r w:rsidR="00137F4C">
          <w:rPr>
            <w:noProof/>
            <w:webHidden/>
          </w:rPr>
          <w:t>31</w:t>
        </w:r>
        <w:r w:rsidR="00137F4C">
          <w:rPr>
            <w:noProof/>
            <w:webHidden/>
          </w:rPr>
          <w:fldChar w:fldCharType="end"/>
        </w:r>
      </w:hyperlink>
    </w:p>
    <w:p w14:paraId="308F1ED2" w14:textId="70A7A7AB" w:rsidR="00137F4C" w:rsidRDefault="00000000">
      <w:pPr>
        <w:pStyle w:val="TOC3"/>
        <w:tabs>
          <w:tab w:val="right" w:leader="dot" w:pos="9010"/>
        </w:tabs>
        <w:rPr>
          <w:rFonts w:asciiTheme="minorHAnsi" w:eastAsiaTheme="minorEastAsia" w:hAnsiTheme="minorHAnsi" w:cstheme="minorBidi"/>
          <w:noProof/>
          <w:lang w:val="en-SA"/>
        </w:rPr>
      </w:pPr>
      <w:hyperlink w:anchor="_Toc83751424" w:history="1">
        <w:r w:rsidR="00137F4C" w:rsidRPr="004A73DB">
          <w:rPr>
            <w:rStyle w:val="Hyperlink"/>
            <w:noProof/>
          </w:rPr>
          <w:t>2.2.8 Shoot &amp; Root nutrient uptake</w:t>
        </w:r>
        <w:r w:rsidR="00137F4C">
          <w:rPr>
            <w:noProof/>
            <w:webHidden/>
          </w:rPr>
          <w:tab/>
        </w:r>
        <w:r w:rsidR="00137F4C">
          <w:rPr>
            <w:noProof/>
            <w:webHidden/>
          </w:rPr>
          <w:fldChar w:fldCharType="begin"/>
        </w:r>
        <w:r w:rsidR="00137F4C">
          <w:rPr>
            <w:noProof/>
            <w:webHidden/>
          </w:rPr>
          <w:instrText xml:space="preserve"> PAGEREF _Toc83751424 \h </w:instrText>
        </w:r>
        <w:r w:rsidR="00137F4C">
          <w:rPr>
            <w:noProof/>
            <w:webHidden/>
          </w:rPr>
        </w:r>
        <w:r w:rsidR="00137F4C">
          <w:rPr>
            <w:noProof/>
            <w:webHidden/>
          </w:rPr>
          <w:fldChar w:fldCharType="separate"/>
        </w:r>
        <w:r w:rsidR="00137F4C">
          <w:rPr>
            <w:noProof/>
            <w:webHidden/>
          </w:rPr>
          <w:t>32</w:t>
        </w:r>
        <w:r w:rsidR="00137F4C">
          <w:rPr>
            <w:noProof/>
            <w:webHidden/>
          </w:rPr>
          <w:fldChar w:fldCharType="end"/>
        </w:r>
      </w:hyperlink>
    </w:p>
    <w:p w14:paraId="7D9E3820" w14:textId="6DDDDD6E" w:rsidR="00137F4C" w:rsidRDefault="00000000">
      <w:pPr>
        <w:pStyle w:val="TOC4"/>
        <w:tabs>
          <w:tab w:val="right" w:leader="dot" w:pos="9010"/>
        </w:tabs>
        <w:rPr>
          <w:rFonts w:asciiTheme="minorHAnsi" w:eastAsiaTheme="minorEastAsia" w:hAnsiTheme="minorHAnsi" w:cstheme="minorBidi"/>
          <w:noProof/>
          <w:lang w:val="en-SA"/>
        </w:rPr>
      </w:pPr>
      <w:hyperlink w:anchor="_Toc83751425" w:history="1">
        <w:r w:rsidR="00137F4C" w:rsidRPr="004A73DB">
          <w:rPr>
            <w:rStyle w:val="Hyperlink"/>
            <w:noProof/>
          </w:rPr>
          <w:t>2.2.8.1 Acid digestion for shoot and root tissue</w:t>
        </w:r>
        <w:r w:rsidR="00137F4C">
          <w:rPr>
            <w:noProof/>
            <w:webHidden/>
          </w:rPr>
          <w:tab/>
        </w:r>
        <w:r w:rsidR="00137F4C">
          <w:rPr>
            <w:noProof/>
            <w:webHidden/>
          </w:rPr>
          <w:fldChar w:fldCharType="begin"/>
        </w:r>
        <w:r w:rsidR="00137F4C">
          <w:rPr>
            <w:noProof/>
            <w:webHidden/>
          </w:rPr>
          <w:instrText xml:space="preserve"> PAGEREF _Toc83751425 \h </w:instrText>
        </w:r>
        <w:r w:rsidR="00137F4C">
          <w:rPr>
            <w:noProof/>
            <w:webHidden/>
          </w:rPr>
        </w:r>
        <w:r w:rsidR="00137F4C">
          <w:rPr>
            <w:noProof/>
            <w:webHidden/>
          </w:rPr>
          <w:fldChar w:fldCharType="separate"/>
        </w:r>
        <w:r w:rsidR="00137F4C">
          <w:rPr>
            <w:noProof/>
            <w:webHidden/>
          </w:rPr>
          <w:t>32</w:t>
        </w:r>
        <w:r w:rsidR="00137F4C">
          <w:rPr>
            <w:noProof/>
            <w:webHidden/>
          </w:rPr>
          <w:fldChar w:fldCharType="end"/>
        </w:r>
      </w:hyperlink>
    </w:p>
    <w:p w14:paraId="39DC1BA9" w14:textId="2BE6A12F" w:rsidR="00137F4C" w:rsidRDefault="00000000">
      <w:pPr>
        <w:pStyle w:val="TOC4"/>
        <w:tabs>
          <w:tab w:val="right" w:leader="dot" w:pos="9010"/>
        </w:tabs>
        <w:rPr>
          <w:rFonts w:asciiTheme="minorHAnsi" w:eastAsiaTheme="minorEastAsia" w:hAnsiTheme="minorHAnsi" w:cstheme="minorBidi"/>
          <w:noProof/>
          <w:lang w:val="en-SA"/>
        </w:rPr>
      </w:pPr>
      <w:hyperlink w:anchor="_Toc83751426" w:history="1">
        <w:r w:rsidR="00137F4C" w:rsidRPr="004A73DB">
          <w:rPr>
            <w:rStyle w:val="Hyperlink"/>
            <w:noProof/>
          </w:rPr>
          <w:t>2.2.8.2 Phosphorus and Nitrogen analysis</w:t>
        </w:r>
        <w:r w:rsidR="00137F4C">
          <w:rPr>
            <w:noProof/>
            <w:webHidden/>
          </w:rPr>
          <w:tab/>
        </w:r>
        <w:r w:rsidR="00137F4C">
          <w:rPr>
            <w:noProof/>
            <w:webHidden/>
          </w:rPr>
          <w:fldChar w:fldCharType="begin"/>
        </w:r>
        <w:r w:rsidR="00137F4C">
          <w:rPr>
            <w:noProof/>
            <w:webHidden/>
          </w:rPr>
          <w:instrText xml:space="preserve"> PAGEREF _Toc83751426 \h </w:instrText>
        </w:r>
        <w:r w:rsidR="00137F4C">
          <w:rPr>
            <w:noProof/>
            <w:webHidden/>
          </w:rPr>
        </w:r>
        <w:r w:rsidR="00137F4C">
          <w:rPr>
            <w:noProof/>
            <w:webHidden/>
          </w:rPr>
          <w:fldChar w:fldCharType="separate"/>
        </w:r>
        <w:r w:rsidR="00137F4C">
          <w:rPr>
            <w:noProof/>
            <w:webHidden/>
          </w:rPr>
          <w:t>32</w:t>
        </w:r>
        <w:r w:rsidR="00137F4C">
          <w:rPr>
            <w:noProof/>
            <w:webHidden/>
          </w:rPr>
          <w:fldChar w:fldCharType="end"/>
        </w:r>
      </w:hyperlink>
    </w:p>
    <w:p w14:paraId="4C1DFBEF" w14:textId="30690686" w:rsidR="00137F4C" w:rsidRDefault="00000000">
      <w:pPr>
        <w:pStyle w:val="TOC5"/>
        <w:tabs>
          <w:tab w:val="right" w:leader="dot" w:pos="9010"/>
        </w:tabs>
        <w:rPr>
          <w:rFonts w:asciiTheme="minorHAnsi" w:eastAsiaTheme="minorEastAsia" w:hAnsiTheme="minorHAnsi" w:cstheme="minorBidi"/>
          <w:noProof/>
          <w:lang w:val="en-SA"/>
        </w:rPr>
      </w:pPr>
      <w:hyperlink w:anchor="_Toc83751427" w:history="1">
        <w:r w:rsidR="00137F4C" w:rsidRPr="004A73DB">
          <w:rPr>
            <w:rStyle w:val="Hyperlink"/>
            <w:noProof/>
          </w:rPr>
          <w:t>2.2.8.2.1 Total P concentration</w:t>
        </w:r>
        <w:r w:rsidR="00137F4C">
          <w:rPr>
            <w:noProof/>
            <w:webHidden/>
          </w:rPr>
          <w:tab/>
        </w:r>
        <w:r w:rsidR="00137F4C">
          <w:rPr>
            <w:noProof/>
            <w:webHidden/>
          </w:rPr>
          <w:fldChar w:fldCharType="begin"/>
        </w:r>
        <w:r w:rsidR="00137F4C">
          <w:rPr>
            <w:noProof/>
            <w:webHidden/>
          </w:rPr>
          <w:instrText xml:space="preserve"> PAGEREF _Toc83751427 \h </w:instrText>
        </w:r>
        <w:r w:rsidR="00137F4C">
          <w:rPr>
            <w:noProof/>
            <w:webHidden/>
          </w:rPr>
        </w:r>
        <w:r w:rsidR="00137F4C">
          <w:rPr>
            <w:noProof/>
            <w:webHidden/>
          </w:rPr>
          <w:fldChar w:fldCharType="separate"/>
        </w:r>
        <w:r w:rsidR="00137F4C">
          <w:rPr>
            <w:noProof/>
            <w:webHidden/>
          </w:rPr>
          <w:t>32</w:t>
        </w:r>
        <w:r w:rsidR="00137F4C">
          <w:rPr>
            <w:noProof/>
            <w:webHidden/>
          </w:rPr>
          <w:fldChar w:fldCharType="end"/>
        </w:r>
      </w:hyperlink>
    </w:p>
    <w:p w14:paraId="3556DBFD" w14:textId="5203EC2E" w:rsidR="00137F4C" w:rsidRDefault="00000000">
      <w:pPr>
        <w:pStyle w:val="TOC5"/>
        <w:tabs>
          <w:tab w:val="right" w:leader="dot" w:pos="9010"/>
        </w:tabs>
        <w:rPr>
          <w:rFonts w:asciiTheme="minorHAnsi" w:eastAsiaTheme="minorEastAsia" w:hAnsiTheme="minorHAnsi" w:cstheme="minorBidi"/>
          <w:noProof/>
          <w:lang w:val="en-SA"/>
        </w:rPr>
      </w:pPr>
      <w:hyperlink w:anchor="_Toc83751428" w:history="1">
        <w:r w:rsidR="00137F4C" w:rsidRPr="004A73DB">
          <w:rPr>
            <w:rStyle w:val="Hyperlink"/>
            <w:noProof/>
          </w:rPr>
          <w:t>2.2.8.2.2 Total N concentration</w:t>
        </w:r>
        <w:r w:rsidR="00137F4C">
          <w:rPr>
            <w:noProof/>
            <w:webHidden/>
          </w:rPr>
          <w:tab/>
        </w:r>
        <w:r w:rsidR="00137F4C">
          <w:rPr>
            <w:noProof/>
            <w:webHidden/>
          </w:rPr>
          <w:fldChar w:fldCharType="begin"/>
        </w:r>
        <w:r w:rsidR="00137F4C">
          <w:rPr>
            <w:noProof/>
            <w:webHidden/>
          </w:rPr>
          <w:instrText xml:space="preserve"> PAGEREF _Toc83751428 \h </w:instrText>
        </w:r>
        <w:r w:rsidR="00137F4C">
          <w:rPr>
            <w:noProof/>
            <w:webHidden/>
          </w:rPr>
        </w:r>
        <w:r w:rsidR="00137F4C">
          <w:rPr>
            <w:noProof/>
            <w:webHidden/>
          </w:rPr>
          <w:fldChar w:fldCharType="separate"/>
        </w:r>
        <w:r w:rsidR="00137F4C">
          <w:rPr>
            <w:noProof/>
            <w:webHidden/>
          </w:rPr>
          <w:t>33</w:t>
        </w:r>
        <w:r w:rsidR="00137F4C">
          <w:rPr>
            <w:noProof/>
            <w:webHidden/>
          </w:rPr>
          <w:fldChar w:fldCharType="end"/>
        </w:r>
      </w:hyperlink>
    </w:p>
    <w:p w14:paraId="60423C6B" w14:textId="1FF4B177" w:rsidR="00137F4C" w:rsidRDefault="00000000">
      <w:pPr>
        <w:pStyle w:val="TOC3"/>
        <w:tabs>
          <w:tab w:val="right" w:leader="dot" w:pos="9010"/>
        </w:tabs>
        <w:rPr>
          <w:rFonts w:asciiTheme="minorHAnsi" w:eastAsiaTheme="minorEastAsia" w:hAnsiTheme="minorHAnsi" w:cstheme="minorBidi"/>
          <w:noProof/>
          <w:lang w:val="en-SA"/>
        </w:rPr>
      </w:pPr>
      <w:hyperlink w:anchor="_Toc83751429" w:history="1">
        <w:r w:rsidR="00137F4C" w:rsidRPr="004A73DB">
          <w:rPr>
            <w:rStyle w:val="Hyperlink"/>
            <w:noProof/>
          </w:rPr>
          <w:t>2.2.9 Mycorrhizal responsiveness</w:t>
        </w:r>
        <w:r w:rsidR="00137F4C">
          <w:rPr>
            <w:noProof/>
            <w:webHidden/>
          </w:rPr>
          <w:tab/>
        </w:r>
        <w:r w:rsidR="00137F4C">
          <w:rPr>
            <w:noProof/>
            <w:webHidden/>
          </w:rPr>
          <w:fldChar w:fldCharType="begin"/>
        </w:r>
        <w:r w:rsidR="00137F4C">
          <w:rPr>
            <w:noProof/>
            <w:webHidden/>
          </w:rPr>
          <w:instrText xml:space="preserve"> PAGEREF _Toc83751429 \h </w:instrText>
        </w:r>
        <w:r w:rsidR="00137F4C">
          <w:rPr>
            <w:noProof/>
            <w:webHidden/>
          </w:rPr>
        </w:r>
        <w:r w:rsidR="00137F4C">
          <w:rPr>
            <w:noProof/>
            <w:webHidden/>
          </w:rPr>
          <w:fldChar w:fldCharType="separate"/>
        </w:r>
        <w:r w:rsidR="00137F4C">
          <w:rPr>
            <w:noProof/>
            <w:webHidden/>
          </w:rPr>
          <w:t>33</w:t>
        </w:r>
        <w:r w:rsidR="00137F4C">
          <w:rPr>
            <w:noProof/>
            <w:webHidden/>
          </w:rPr>
          <w:fldChar w:fldCharType="end"/>
        </w:r>
      </w:hyperlink>
    </w:p>
    <w:p w14:paraId="6814C7F5" w14:textId="0755C717" w:rsidR="00137F4C" w:rsidRDefault="00000000">
      <w:pPr>
        <w:pStyle w:val="TOC3"/>
        <w:tabs>
          <w:tab w:val="right" w:leader="dot" w:pos="9010"/>
        </w:tabs>
        <w:rPr>
          <w:rFonts w:asciiTheme="minorHAnsi" w:eastAsiaTheme="minorEastAsia" w:hAnsiTheme="minorHAnsi" w:cstheme="minorBidi"/>
          <w:noProof/>
          <w:lang w:val="en-SA"/>
        </w:rPr>
      </w:pPr>
      <w:hyperlink w:anchor="_Toc83751430" w:history="1">
        <w:r w:rsidR="00137F4C" w:rsidRPr="004A73DB">
          <w:rPr>
            <w:rStyle w:val="Hyperlink"/>
            <w:noProof/>
          </w:rPr>
          <w:t>2.2.10 Statistical analysis</w:t>
        </w:r>
        <w:r w:rsidR="00137F4C">
          <w:rPr>
            <w:noProof/>
            <w:webHidden/>
          </w:rPr>
          <w:tab/>
        </w:r>
        <w:r w:rsidR="00137F4C">
          <w:rPr>
            <w:noProof/>
            <w:webHidden/>
          </w:rPr>
          <w:fldChar w:fldCharType="begin"/>
        </w:r>
        <w:r w:rsidR="00137F4C">
          <w:rPr>
            <w:noProof/>
            <w:webHidden/>
          </w:rPr>
          <w:instrText xml:space="preserve"> PAGEREF _Toc83751430 \h </w:instrText>
        </w:r>
        <w:r w:rsidR="00137F4C">
          <w:rPr>
            <w:noProof/>
            <w:webHidden/>
          </w:rPr>
        </w:r>
        <w:r w:rsidR="00137F4C">
          <w:rPr>
            <w:noProof/>
            <w:webHidden/>
          </w:rPr>
          <w:fldChar w:fldCharType="separate"/>
        </w:r>
        <w:r w:rsidR="00137F4C">
          <w:rPr>
            <w:noProof/>
            <w:webHidden/>
          </w:rPr>
          <w:t>33</w:t>
        </w:r>
        <w:r w:rsidR="00137F4C">
          <w:rPr>
            <w:noProof/>
            <w:webHidden/>
          </w:rPr>
          <w:fldChar w:fldCharType="end"/>
        </w:r>
      </w:hyperlink>
    </w:p>
    <w:p w14:paraId="00480236" w14:textId="6DA4F8C2" w:rsidR="00137F4C" w:rsidRDefault="00000000">
      <w:pPr>
        <w:pStyle w:val="TOC2"/>
        <w:tabs>
          <w:tab w:val="right" w:leader="dot" w:pos="9010"/>
        </w:tabs>
        <w:rPr>
          <w:rFonts w:asciiTheme="minorHAnsi" w:eastAsiaTheme="minorEastAsia" w:hAnsiTheme="minorHAnsi" w:cstheme="minorBidi"/>
          <w:noProof/>
          <w:lang w:val="en-SA"/>
        </w:rPr>
      </w:pPr>
      <w:hyperlink w:anchor="_Toc83751431" w:history="1">
        <w:r w:rsidR="00137F4C" w:rsidRPr="004A73DB">
          <w:rPr>
            <w:rStyle w:val="Hyperlink"/>
            <w:noProof/>
          </w:rPr>
          <w:t>2.3 Results</w:t>
        </w:r>
        <w:r w:rsidR="00137F4C">
          <w:rPr>
            <w:noProof/>
            <w:webHidden/>
          </w:rPr>
          <w:tab/>
        </w:r>
        <w:r w:rsidR="00137F4C">
          <w:rPr>
            <w:noProof/>
            <w:webHidden/>
          </w:rPr>
          <w:fldChar w:fldCharType="begin"/>
        </w:r>
        <w:r w:rsidR="00137F4C">
          <w:rPr>
            <w:noProof/>
            <w:webHidden/>
          </w:rPr>
          <w:instrText xml:space="preserve"> PAGEREF _Toc83751431 \h </w:instrText>
        </w:r>
        <w:r w:rsidR="00137F4C">
          <w:rPr>
            <w:noProof/>
            <w:webHidden/>
          </w:rPr>
        </w:r>
        <w:r w:rsidR="00137F4C">
          <w:rPr>
            <w:noProof/>
            <w:webHidden/>
          </w:rPr>
          <w:fldChar w:fldCharType="separate"/>
        </w:r>
        <w:r w:rsidR="00137F4C">
          <w:rPr>
            <w:noProof/>
            <w:webHidden/>
          </w:rPr>
          <w:t>35</w:t>
        </w:r>
        <w:r w:rsidR="00137F4C">
          <w:rPr>
            <w:noProof/>
            <w:webHidden/>
          </w:rPr>
          <w:fldChar w:fldCharType="end"/>
        </w:r>
      </w:hyperlink>
    </w:p>
    <w:p w14:paraId="65897CEC" w14:textId="53248750" w:rsidR="00137F4C" w:rsidRDefault="00000000">
      <w:pPr>
        <w:pStyle w:val="TOC3"/>
        <w:tabs>
          <w:tab w:val="right" w:leader="dot" w:pos="9010"/>
        </w:tabs>
        <w:rPr>
          <w:rFonts w:asciiTheme="minorHAnsi" w:eastAsiaTheme="minorEastAsia" w:hAnsiTheme="minorHAnsi" w:cstheme="minorBidi"/>
          <w:noProof/>
          <w:lang w:val="en-SA"/>
        </w:rPr>
      </w:pPr>
      <w:hyperlink w:anchor="_Toc83751432" w:history="1">
        <w:r w:rsidR="00137F4C" w:rsidRPr="004A73DB">
          <w:rPr>
            <w:rStyle w:val="Hyperlink"/>
            <w:noProof/>
          </w:rPr>
          <w:t>2.3.1 Arbuscular mycorrhizal root colonization</w:t>
        </w:r>
        <w:r w:rsidR="00137F4C">
          <w:rPr>
            <w:noProof/>
            <w:webHidden/>
          </w:rPr>
          <w:tab/>
        </w:r>
        <w:r w:rsidR="00137F4C">
          <w:rPr>
            <w:noProof/>
            <w:webHidden/>
          </w:rPr>
          <w:fldChar w:fldCharType="begin"/>
        </w:r>
        <w:r w:rsidR="00137F4C">
          <w:rPr>
            <w:noProof/>
            <w:webHidden/>
          </w:rPr>
          <w:instrText xml:space="preserve"> PAGEREF _Toc83751432 \h </w:instrText>
        </w:r>
        <w:r w:rsidR="00137F4C">
          <w:rPr>
            <w:noProof/>
            <w:webHidden/>
          </w:rPr>
        </w:r>
        <w:r w:rsidR="00137F4C">
          <w:rPr>
            <w:noProof/>
            <w:webHidden/>
          </w:rPr>
          <w:fldChar w:fldCharType="separate"/>
        </w:r>
        <w:r w:rsidR="00137F4C">
          <w:rPr>
            <w:noProof/>
            <w:webHidden/>
          </w:rPr>
          <w:t>35</w:t>
        </w:r>
        <w:r w:rsidR="00137F4C">
          <w:rPr>
            <w:noProof/>
            <w:webHidden/>
          </w:rPr>
          <w:fldChar w:fldCharType="end"/>
        </w:r>
      </w:hyperlink>
    </w:p>
    <w:p w14:paraId="668A697D" w14:textId="0930E65F" w:rsidR="00137F4C" w:rsidRDefault="00000000">
      <w:pPr>
        <w:pStyle w:val="TOC3"/>
        <w:tabs>
          <w:tab w:val="right" w:leader="dot" w:pos="9010"/>
        </w:tabs>
        <w:rPr>
          <w:rFonts w:asciiTheme="minorHAnsi" w:eastAsiaTheme="minorEastAsia" w:hAnsiTheme="minorHAnsi" w:cstheme="minorBidi"/>
          <w:noProof/>
          <w:lang w:val="en-SA"/>
        </w:rPr>
      </w:pPr>
      <w:hyperlink w:anchor="_Toc83751433" w:history="1">
        <w:r w:rsidR="00137F4C" w:rsidRPr="004A73DB">
          <w:rPr>
            <w:rStyle w:val="Hyperlink"/>
            <w:noProof/>
          </w:rPr>
          <w:t>2.3.2 Plant height</w:t>
        </w:r>
        <w:r w:rsidR="00137F4C">
          <w:rPr>
            <w:noProof/>
            <w:webHidden/>
          </w:rPr>
          <w:tab/>
        </w:r>
        <w:r w:rsidR="00137F4C">
          <w:rPr>
            <w:noProof/>
            <w:webHidden/>
          </w:rPr>
          <w:fldChar w:fldCharType="begin"/>
        </w:r>
        <w:r w:rsidR="00137F4C">
          <w:rPr>
            <w:noProof/>
            <w:webHidden/>
          </w:rPr>
          <w:instrText xml:space="preserve"> PAGEREF _Toc83751433 \h </w:instrText>
        </w:r>
        <w:r w:rsidR="00137F4C">
          <w:rPr>
            <w:noProof/>
            <w:webHidden/>
          </w:rPr>
        </w:r>
        <w:r w:rsidR="00137F4C">
          <w:rPr>
            <w:noProof/>
            <w:webHidden/>
          </w:rPr>
          <w:fldChar w:fldCharType="separate"/>
        </w:r>
        <w:r w:rsidR="00137F4C">
          <w:rPr>
            <w:noProof/>
            <w:webHidden/>
          </w:rPr>
          <w:t>39</w:t>
        </w:r>
        <w:r w:rsidR="00137F4C">
          <w:rPr>
            <w:noProof/>
            <w:webHidden/>
          </w:rPr>
          <w:fldChar w:fldCharType="end"/>
        </w:r>
      </w:hyperlink>
    </w:p>
    <w:p w14:paraId="66FDBD05" w14:textId="4C37EDC3" w:rsidR="00137F4C" w:rsidRDefault="00000000">
      <w:pPr>
        <w:pStyle w:val="TOC3"/>
        <w:tabs>
          <w:tab w:val="right" w:leader="dot" w:pos="9010"/>
        </w:tabs>
        <w:rPr>
          <w:rFonts w:asciiTheme="minorHAnsi" w:eastAsiaTheme="minorEastAsia" w:hAnsiTheme="minorHAnsi" w:cstheme="minorBidi"/>
          <w:noProof/>
          <w:lang w:val="en-SA"/>
        </w:rPr>
      </w:pPr>
      <w:hyperlink w:anchor="_Toc83751434" w:history="1">
        <w:r w:rsidR="00137F4C" w:rsidRPr="004A73DB">
          <w:rPr>
            <w:rStyle w:val="Hyperlink"/>
            <w:noProof/>
          </w:rPr>
          <w:t>2.3.3 Shoot and root biomass</w:t>
        </w:r>
        <w:r w:rsidR="00137F4C">
          <w:rPr>
            <w:noProof/>
            <w:webHidden/>
          </w:rPr>
          <w:tab/>
        </w:r>
        <w:r w:rsidR="00137F4C">
          <w:rPr>
            <w:noProof/>
            <w:webHidden/>
          </w:rPr>
          <w:fldChar w:fldCharType="begin"/>
        </w:r>
        <w:r w:rsidR="00137F4C">
          <w:rPr>
            <w:noProof/>
            <w:webHidden/>
          </w:rPr>
          <w:instrText xml:space="preserve"> PAGEREF _Toc83751434 \h </w:instrText>
        </w:r>
        <w:r w:rsidR="00137F4C">
          <w:rPr>
            <w:noProof/>
            <w:webHidden/>
          </w:rPr>
        </w:r>
        <w:r w:rsidR="00137F4C">
          <w:rPr>
            <w:noProof/>
            <w:webHidden/>
          </w:rPr>
          <w:fldChar w:fldCharType="separate"/>
        </w:r>
        <w:r w:rsidR="00137F4C">
          <w:rPr>
            <w:noProof/>
            <w:webHidden/>
          </w:rPr>
          <w:t>44</w:t>
        </w:r>
        <w:r w:rsidR="00137F4C">
          <w:rPr>
            <w:noProof/>
            <w:webHidden/>
          </w:rPr>
          <w:fldChar w:fldCharType="end"/>
        </w:r>
      </w:hyperlink>
    </w:p>
    <w:p w14:paraId="2F495623" w14:textId="43920F41" w:rsidR="00137F4C" w:rsidRDefault="00000000">
      <w:pPr>
        <w:pStyle w:val="TOC3"/>
        <w:tabs>
          <w:tab w:val="right" w:leader="dot" w:pos="9010"/>
        </w:tabs>
        <w:rPr>
          <w:rFonts w:asciiTheme="minorHAnsi" w:eastAsiaTheme="minorEastAsia" w:hAnsiTheme="minorHAnsi" w:cstheme="minorBidi"/>
          <w:noProof/>
          <w:lang w:val="en-SA"/>
        </w:rPr>
      </w:pPr>
      <w:hyperlink w:anchor="_Toc83751435" w:history="1">
        <w:r w:rsidR="00137F4C" w:rsidRPr="004A73DB">
          <w:rPr>
            <w:rStyle w:val="Hyperlink"/>
            <w:noProof/>
          </w:rPr>
          <w:t>2.3.4 Nutrient uptake (P &amp; N uptake)</w:t>
        </w:r>
        <w:r w:rsidR="00137F4C">
          <w:rPr>
            <w:noProof/>
            <w:webHidden/>
          </w:rPr>
          <w:tab/>
        </w:r>
        <w:r w:rsidR="00137F4C">
          <w:rPr>
            <w:noProof/>
            <w:webHidden/>
          </w:rPr>
          <w:fldChar w:fldCharType="begin"/>
        </w:r>
        <w:r w:rsidR="00137F4C">
          <w:rPr>
            <w:noProof/>
            <w:webHidden/>
          </w:rPr>
          <w:instrText xml:space="preserve"> PAGEREF _Toc83751435 \h </w:instrText>
        </w:r>
        <w:r w:rsidR="00137F4C">
          <w:rPr>
            <w:noProof/>
            <w:webHidden/>
          </w:rPr>
        </w:r>
        <w:r w:rsidR="00137F4C">
          <w:rPr>
            <w:noProof/>
            <w:webHidden/>
          </w:rPr>
          <w:fldChar w:fldCharType="separate"/>
        </w:r>
        <w:r w:rsidR="00137F4C">
          <w:rPr>
            <w:noProof/>
            <w:webHidden/>
          </w:rPr>
          <w:t>47</w:t>
        </w:r>
        <w:r w:rsidR="00137F4C">
          <w:rPr>
            <w:noProof/>
            <w:webHidden/>
          </w:rPr>
          <w:fldChar w:fldCharType="end"/>
        </w:r>
      </w:hyperlink>
    </w:p>
    <w:p w14:paraId="2B7A5714" w14:textId="78034615" w:rsidR="00137F4C" w:rsidRDefault="00000000">
      <w:pPr>
        <w:pStyle w:val="TOC3"/>
        <w:tabs>
          <w:tab w:val="right" w:leader="dot" w:pos="9010"/>
        </w:tabs>
        <w:rPr>
          <w:rFonts w:asciiTheme="minorHAnsi" w:eastAsiaTheme="minorEastAsia" w:hAnsiTheme="minorHAnsi" w:cstheme="minorBidi"/>
          <w:noProof/>
          <w:lang w:val="en-SA"/>
        </w:rPr>
      </w:pPr>
      <w:hyperlink w:anchor="_Toc83751436" w:history="1">
        <w:r w:rsidR="00137F4C" w:rsidRPr="004A73DB">
          <w:rPr>
            <w:rStyle w:val="Hyperlink"/>
            <w:noProof/>
          </w:rPr>
          <w:t>2.3.5 Mycorrhizal responsiveness</w:t>
        </w:r>
        <w:r w:rsidR="00137F4C">
          <w:rPr>
            <w:noProof/>
            <w:webHidden/>
          </w:rPr>
          <w:tab/>
        </w:r>
        <w:r w:rsidR="00137F4C">
          <w:rPr>
            <w:noProof/>
            <w:webHidden/>
          </w:rPr>
          <w:fldChar w:fldCharType="begin"/>
        </w:r>
        <w:r w:rsidR="00137F4C">
          <w:rPr>
            <w:noProof/>
            <w:webHidden/>
          </w:rPr>
          <w:instrText xml:space="preserve"> PAGEREF _Toc83751436 \h </w:instrText>
        </w:r>
        <w:r w:rsidR="00137F4C">
          <w:rPr>
            <w:noProof/>
            <w:webHidden/>
          </w:rPr>
        </w:r>
        <w:r w:rsidR="00137F4C">
          <w:rPr>
            <w:noProof/>
            <w:webHidden/>
          </w:rPr>
          <w:fldChar w:fldCharType="separate"/>
        </w:r>
        <w:r w:rsidR="00137F4C">
          <w:rPr>
            <w:noProof/>
            <w:webHidden/>
          </w:rPr>
          <w:t>53</w:t>
        </w:r>
        <w:r w:rsidR="00137F4C">
          <w:rPr>
            <w:noProof/>
            <w:webHidden/>
          </w:rPr>
          <w:fldChar w:fldCharType="end"/>
        </w:r>
      </w:hyperlink>
    </w:p>
    <w:p w14:paraId="0F6B765B" w14:textId="7EA7574D" w:rsidR="00137F4C" w:rsidRDefault="00000000">
      <w:pPr>
        <w:pStyle w:val="TOC3"/>
        <w:tabs>
          <w:tab w:val="right" w:leader="dot" w:pos="9010"/>
        </w:tabs>
        <w:rPr>
          <w:rFonts w:asciiTheme="minorHAnsi" w:eastAsiaTheme="minorEastAsia" w:hAnsiTheme="minorHAnsi" w:cstheme="minorBidi"/>
          <w:noProof/>
          <w:lang w:val="en-SA"/>
        </w:rPr>
      </w:pPr>
      <w:hyperlink w:anchor="_Toc83751437" w:history="1">
        <w:r w:rsidR="00137F4C" w:rsidRPr="004A73DB">
          <w:rPr>
            <w:rStyle w:val="Hyperlink"/>
            <w:noProof/>
          </w:rPr>
          <w:t>2.3.6 correlation between Arbuscules percentage and nutrients uptake</w:t>
        </w:r>
        <w:r w:rsidR="00137F4C">
          <w:rPr>
            <w:noProof/>
            <w:webHidden/>
          </w:rPr>
          <w:tab/>
        </w:r>
        <w:r w:rsidR="00137F4C">
          <w:rPr>
            <w:noProof/>
            <w:webHidden/>
          </w:rPr>
          <w:fldChar w:fldCharType="begin"/>
        </w:r>
        <w:r w:rsidR="00137F4C">
          <w:rPr>
            <w:noProof/>
            <w:webHidden/>
          </w:rPr>
          <w:instrText xml:space="preserve"> PAGEREF _Toc83751437 \h </w:instrText>
        </w:r>
        <w:r w:rsidR="00137F4C">
          <w:rPr>
            <w:noProof/>
            <w:webHidden/>
          </w:rPr>
        </w:r>
        <w:r w:rsidR="00137F4C">
          <w:rPr>
            <w:noProof/>
            <w:webHidden/>
          </w:rPr>
          <w:fldChar w:fldCharType="separate"/>
        </w:r>
        <w:r w:rsidR="00137F4C">
          <w:rPr>
            <w:noProof/>
            <w:webHidden/>
          </w:rPr>
          <w:t>55</w:t>
        </w:r>
        <w:r w:rsidR="00137F4C">
          <w:rPr>
            <w:noProof/>
            <w:webHidden/>
          </w:rPr>
          <w:fldChar w:fldCharType="end"/>
        </w:r>
      </w:hyperlink>
    </w:p>
    <w:p w14:paraId="28A83D9A" w14:textId="7A0E6E6A" w:rsidR="00137F4C" w:rsidRDefault="00000000">
      <w:pPr>
        <w:pStyle w:val="TOC3"/>
        <w:tabs>
          <w:tab w:val="right" w:leader="dot" w:pos="9010"/>
        </w:tabs>
        <w:rPr>
          <w:rFonts w:asciiTheme="minorHAnsi" w:eastAsiaTheme="minorEastAsia" w:hAnsiTheme="minorHAnsi" w:cstheme="minorBidi"/>
          <w:noProof/>
          <w:lang w:val="en-SA"/>
        </w:rPr>
      </w:pPr>
      <w:hyperlink w:anchor="_Toc83751438" w:history="1">
        <w:r w:rsidR="00137F4C" w:rsidRPr="004A73DB">
          <w:rPr>
            <w:rStyle w:val="Hyperlink"/>
            <w:noProof/>
          </w:rPr>
          <w:t>2.3.7 correlation between Mycorrhizal responsiveness and nutrients uptake</w:t>
        </w:r>
        <w:r w:rsidR="00137F4C">
          <w:rPr>
            <w:noProof/>
            <w:webHidden/>
          </w:rPr>
          <w:tab/>
        </w:r>
        <w:r w:rsidR="00137F4C">
          <w:rPr>
            <w:noProof/>
            <w:webHidden/>
          </w:rPr>
          <w:fldChar w:fldCharType="begin"/>
        </w:r>
        <w:r w:rsidR="00137F4C">
          <w:rPr>
            <w:noProof/>
            <w:webHidden/>
          </w:rPr>
          <w:instrText xml:space="preserve"> PAGEREF _Toc83751438 \h </w:instrText>
        </w:r>
        <w:r w:rsidR="00137F4C">
          <w:rPr>
            <w:noProof/>
            <w:webHidden/>
          </w:rPr>
        </w:r>
        <w:r w:rsidR="00137F4C">
          <w:rPr>
            <w:noProof/>
            <w:webHidden/>
          </w:rPr>
          <w:fldChar w:fldCharType="separate"/>
        </w:r>
        <w:r w:rsidR="00137F4C">
          <w:rPr>
            <w:noProof/>
            <w:webHidden/>
          </w:rPr>
          <w:t>57</w:t>
        </w:r>
        <w:r w:rsidR="00137F4C">
          <w:rPr>
            <w:noProof/>
            <w:webHidden/>
          </w:rPr>
          <w:fldChar w:fldCharType="end"/>
        </w:r>
      </w:hyperlink>
    </w:p>
    <w:p w14:paraId="59500DCB" w14:textId="58A7FD95" w:rsidR="00137F4C" w:rsidRDefault="00000000">
      <w:pPr>
        <w:pStyle w:val="TOC2"/>
        <w:tabs>
          <w:tab w:val="right" w:leader="dot" w:pos="9010"/>
        </w:tabs>
        <w:rPr>
          <w:rFonts w:asciiTheme="minorHAnsi" w:eastAsiaTheme="minorEastAsia" w:hAnsiTheme="minorHAnsi" w:cstheme="minorBidi"/>
          <w:noProof/>
          <w:lang w:val="en-SA"/>
        </w:rPr>
      </w:pPr>
      <w:hyperlink w:anchor="_Toc83751439" w:history="1">
        <w:r w:rsidR="00137F4C" w:rsidRPr="004A73DB">
          <w:rPr>
            <w:rStyle w:val="Hyperlink"/>
            <w:noProof/>
          </w:rPr>
          <w:t>2.4 Discussion</w:t>
        </w:r>
        <w:r w:rsidR="00137F4C">
          <w:rPr>
            <w:noProof/>
            <w:webHidden/>
          </w:rPr>
          <w:tab/>
        </w:r>
        <w:r w:rsidR="00137F4C">
          <w:rPr>
            <w:noProof/>
            <w:webHidden/>
          </w:rPr>
          <w:fldChar w:fldCharType="begin"/>
        </w:r>
        <w:r w:rsidR="00137F4C">
          <w:rPr>
            <w:noProof/>
            <w:webHidden/>
          </w:rPr>
          <w:instrText xml:space="preserve"> PAGEREF _Toc83751439 \h </w:instrText>
        </w:r>
        <w:r w:rsidR="00137F4C">
          <w:rPr>
            <w:noProof/>
            <w:webHidden/>
          </w:rPr>
        </w:r>
        <w:r w:rsidR="00137F4C">
          <w:rPr>
            <w:noProof/>
            <w:webHidden/>
          </w:rPr>
          <w:fldChar w:fldCharType="separate"/>
        </w:r>
        <w:r w:rsidR="00137F4C">
          <w:rPr>
            <w:noProof/>
            <w:webHidden/>
          </w:rPr>
          <w:t>59</w:t>
        </w:r>
        <w:r w:rsidR="00137F4C">
          <w:rPr>
            <w:noProof/>
            <w:webHidden/>
          </w:rPr>
          <w:fldChar w:fldCharType="end"/>
        </w:r>
      </w:hyperlink>
    </w:p>
    <w:p w14:paraId="6F2DFE35" w14:textId="0E66004B" w:rsidR="00137F4C" w:rsidRDefault="00000000">
      <w:pPr>
        <w:pStyle w:val="TOC3"/>
        <w:tabs>
          <w:tab w:val="right" w:leader="dot" w:pos="9010"/>
        </w:tabs>
        <w:rPr>
          <w:rFonts w:asciiTheme="minorHAnsi" w:eastAsiaTheme="minorEastAsia" w:hAnsiTheme="minorHAnsi" w:cstheme="minorBidi"/>
          <w:noProof/>
          <w:lang w:val="en-SA"/>
        </w:rPr>
      </w:pPr>
      <w:hyperlink w:anchor="_Toc83751440" w:history="1">
        <w:r w:rsidR="00137F4C" w:rsidRPr="004A73DB">
          <w:rPr>
            <w:rStyle w:val="Hyperlink"/>
            <w:noProof/>
          </w:rPr>
          <w:t>2.4.1 Colonization</w:t>
        </w:r>
        <w:r w:rsidR="00137F4C">
          <w:rPr>
            <w:noProof/>
            <w:webHidden/>
          </w:rPr>
          <w:tab/>
        </w:r>
        <w:r w:rsidR="00137F4C">
          <w:rPr>
            <w:noProof/>
            <w:webHidden/>
          </w:rPr>
          <w:fldChar w:fldCharType="begin"/>
        </w:r>
        <w:r w:rsidR="00137F4C">
          <w:rPr>
            <w:noProof/>
            <w:webHidden/>
          </w:rPr>
          <w:instrText xml:space="preserve"> PAGEREF _Toc83751440 \h </w:instrText>
        </w:r>
        <w:r w:rsidR="00137F4C">
          <w:rPr>
            <w:noProof/>
            <w:webHidden/>
          </w:rPr>
        </w:r>
        <w:r w:rsidR="00137F4C">
          <w:rPr>
            <w:noProof/>
            <w:webHidden/>
          </w:rPr>
          <w:fldChar w:fldCharType="separate"/>
        </w:r>
        <w:r w:rsidR="00137F4C">
          <w:rPr>
            <w:noProof/>
            <w:webHidden/>
          </w:rPr>
          <w:t>59</w:t>
        </w:r>
        <w:r w:rsidR="00137F4C">
          <w:rPr>
            <w:noProof/>
            <w:webHidden/>
          </w:rPr>
          <w:fldChar w:fldCharType="end"/>
        </w:r>
      </w:hyperlink>
    </w:p>
    <w:p w14:paraId="527E32CF" w14:textId="662C76FA" w:rsidR="00137F4C" w:rsidRDefault="00000000">
      <w:pPr>
        <w:pStyle w:val="TOC3"/>
        <w:tabs>
          <w:tab w:val="right" w:leader="dot" w:pos="9010"/>
        </w:tabs>
        <w:rPr>
          <w:rFonts w:asciiTheme="minorHAnsi" w:eastAsiaTheme="minorEastAsia" w:hAnsiTheme="minorHAnsi" w:cstheme="minorBidi"/>
          <w:noProof/>
          <w:lang w:val="en-SA"/>
        </w:rPr>
      </w:pPr>
      <w:hyperlink w:anchor="_Toc83751441" w:history="1">
        <w:r w:rsidR="00137F4C" w:rsidRPr="004A73DB">
          <w:rPr>
            <w:rStyle w:val="Hyperlink"/>
            <w:noProof/>
          </w:rPr>
          <w:t>2.4.2 Plant height</w:t>
        </w:r>
        <w:r w:rsidR="00137F4C">
          <w:rPr>
            <w:noProof/>
            <w:webHidden/>
          </w:rPr>
          <w:tab/>
        </w:r>
        <w:r w:rsidR="00137F4C">
          <w:rPr>
            <w:noProof/>
            <w:webHidden/>
          </w:rPr>
          <w:fldChar w:fldCharType="begin"/>
        </w:r>
        <w:r w:rsidR="00137F4C">
          <w:rPr>
            <w:noProof/>
            <w:webHidden/>
          </w:rPr>
          <w:instrText xml:space="preserve"> PAGEREF _Toc83751441 \h </w:instrText>
        </w:r>
        <w:r w:rsidR="00137F4C">
          <w:rPr>
            <w:noProof/>
            <w:webHidden/>
          </w:rPr>
        </w:r>
        <w:r w:rsidR="00137F4C">
          <w:rPr>
            <w:noProof/>
            <w:webHidden/>
          </w:rPr>
          <w:fldChar w:fldCharType="separate"/>
        </w:r>
        <w:r w:rsidR="00137F4C">
          <w:rPr>
            <w:noProof/>
            <w:webHidden/>
          </w:rPr>
          <w:t>61</w:t>
        </w:r>
        <w:r w:rsidR="00137F4C">
          <w:rPr>
            <w:noProof/>
            <w:webHidden/>
          </w:rPr>
          <w:fldChar w:fldCharType="end"/>
        </w:r>
      </w:hyperlink>
    </w:p>
    <w:p w14:paraId="4E701D45" w14:textId="5F318A8F" w:rsidR="00137F4C" w:rsidRDefault="00000000">
      <w:pPr>
        <w:pStyle w:val="TOC3"/>
        <w:tabs>
          <w:tab w:val="right" w:leader="dot" w:pos="9010"/>
        </w:tabs>
        <w:rPr>
          <w:rFonts w:asciiTheme="minorHAnsi" w:eastAsiaTheme="minorEastAsia" w:hAnsiTheme="minorHAnsi" w:cstheme="minorBidi"/>
          <w:noProof/>
          <w:lang w:val="en-SA"/>
        </w:rPr>
      </w:pPr>
      <w:hyperlink w:anchor="_Toc83751442" w:history="1">
        <w:r w:rsidR="00137F4C" w:rsidRPr="004A73DB">
          <w:rPr>
            <w:rStyle w:val="Hyperlink"/>
            <w:noProof/>
          </w:rPr>
          <w:t>2.4.3 Shoot and root biomass</w:t>
        </w:r>
        <w:r w:rsidR="00137F4C">
          <w:rPr>
            <w:noProof/>
            <w:webHidden/>
          </w:rPr>
          <w:tab/>
        </w:r>
        <w:r w:rsidR="00137F4C">
          <w:rPr>
            <w:noProof/>
            <w:webHidden/>
          </w:rPr>
          <w:fldChar w:fldCharType="begin"/>
        </w:r>
        <w:r w:rsidR="00137F4C">
          <w:rPr>
            <w:noProof/>
            <w:webHidden/>
          </w:rPr>
          <w:instrText xml:space="preserve"> PAGEREF _Toc83751442 \h </w:instrText>
        </w:r>
        <w:r w:rsidR="00137F4C">
          <w:rPr>
            <w:noProof/>
            <w:webHidden/>
          </w:rPr>
        </w:r>
        <w:r w:rsidR="00137F4C">
          <w:rPr>
            <w:noProof/>
            <w:webHidden/>
          </w:rPr>
          <w:fldChar w:fldCharType="separate"/>
        </w:r>
        <w:r w:rsidR="00137F4C">
          <w:rPr>
            <w:noProof/>
            <w:webHidden/>
          </w:rPr>
          <w:t>62</w:t>
        </w:r>
        <w:r w:rsidR="00137F4C">
          <w:rPr>
            <w:noProof/>
            <w:webHidden/>
          </w:rPr>
          <w:fldChar w:fldCharType="end"/>
        </w:r>
      </w:hyperlink>
    </w:p>
    <w:p w14:paraId="3E1FB363" w14:textId="716127B3" w:rsidR="00137F4C" w:rsidRDefault="00000000">
      <w:pPr>
        <w:pStyle w:val="TOC3"/>
        <w:tabs>
          <w:tab w:val="right" w:leader="dot" w:pos="9010"/>
        </w:tabs>
        <w:rPr>
          <w:rFonts w:asciiTheme="minorHAnsi" w:eastAsiaTheme="minorEastAsia" w:hAnsiTheme="minorHAnsi" w:cstheme="minorBidi"/>
          <w:noProof/>
          <w:lang w:val="en-SA"/>
        </w:rPr>
      </w:pPr>
      <w:hyperlink w:anchor="_Toc83751443" w:history="1">
        <w:r w:rsidR="00137F4C" w:rsidRPr="004A73DB">
          <w:rPr>
            <w:rStyle w:val="Hyperlink"/>
            <w:noProof/>
          </w:rPr>
          <w:t>2.4.4 Nutrient uptake</w:t>
        </w:r>
        <w:r w:rsidR="00137F4C">
          <w:rPr>
            <w:noProof/>
            <w:webHidden/>
          </w:rPr>
          <w:tab/>
        </w:r>
        <w:r w:rsidR="00137F4C">
          <w:rPr>
            <w:noProof/>
            <w:webHidden/>
          </w:rPr>
          <w:fldChar w:fldCharType="begin"/>
        </w:r>
        <w:r w:rsidR="00137F4C">
          <w:rPr>
            <w:noProof/>
            <w:webHidden/>
          </w:rPr>
          <w:instrText xml:space="preserve"> PAGEREF _Toc83751443 \h </w:instrText>
        </w:r>
        <w:r w:rsidR="00137F4C">
          <w:rPr>
            <w:noProof/>
            <w:webHidden/>
          </w:rPr>
        </w:r>
        <w:r w:rsidR="00137F4C">
          <w:rPr>
            <w:noProof/>
            <w:webHidden/>
          </w:rPr>
          <w:fldChar w:fldCharType="separate"/>
        </w:r>
        <w:r w:rsidR="00137F4C">
          <w:rPr>
            <w:noProof/>
            <w:webHidden/>
          </w:rPr>
          <w:t>63</w:t>
        </w:r>
        <w:r w:rsidR="00137F4C">
          <w:rPr>
            <w:noProof/>
            <w:webHidden/>
          </w:rPr>
          <w:fldChar w:fldCharType="end"/>
        </w:r>
      </w:hyperlink>
    </w:p>
    <w:p w14:paraId="6131B634" w14:textId="3DF3DD1E" w:rsidR="00137F4C" w:rsidRDefault="00000000">
      <w:pPr>
        <w:pStyle w:val="TOC3"/>
        <w:tabs>
          <w:tab w:val="right" w:leader="dot" w:pos="9010"/>
        </w:tabs>
        <w:rPr>
          <w:rFonts w:asciiTheme="minorHAnsi" w:eastAsiaTheme="minorEastAsia" w:hAnsiTheme="minorHAnsi" w:cstheme="minorBidi"/>
          <w:noProof/>
          <w:lang w:val="en-SA"/>
        </w:rPr>
      </w:pPr>
      <w:hyperlink w:anchor="_Toc83751444" w:history="1">
        <w:r w:rsidR="00137F4C" w:rsidRPr="004A73DB">
          <w:rPr>
            <w:rStyle w:val="Hyperlink"/>
            <w:noProof/>
          </w:rPr>
          <w:t>2.4.5 Mycorrhizal responsiveness</w:t>
        </w:r>
        <w:r w:rsidR="00137F4C">
          <w:rPr>
            <w:noProof/>
            <w:webHidden/>
          </w:rPr>
          <w:tab/>
        </w:r>
        <w:r w:rsidR="00137F4C">
          <w:rPr>
            <w:noProof/>
            <w:webHidden/>
          </w:rPr>
          <w:fldChar w:fldCharType="begin"/>
        </w:r>
        <w:r w:rsidR="00137F4C">
          <w:rPr>
            <w:noProof/>
            <w:webHidden/>
          </w:rPr>
          <w:instrText xml:space="preserve"> PAGEREF _Toc83751444 \h </w:instrText>
        </w:r>
        <w:r w:rsidR="00137F4C">
          <w:rPr>
            <w:noProof/>
            <w:webHidden/>
          </w:rPr>
        </w:r>
        <w:r w:rsidR="00137F4C">
          <w:rPr>
            <w:noProof/>
            <w:webHidden/>
          </w:rPr>
          <w:fldChar w:fldCharType="separate"/>
        </w:r>
        <w:r w:rsidR="00137F4C">
          <w:rPr>
            <w:noProof/>
            <w:webHidden/>
          </w:rPr>
          <w:t>66</w:t>
        </w:r>
        <w:r w:rsidR="00137F4C">
          <w:rPr>
            <w:noProof/>
            <w:webHidden/>
          </w:rPr>
          <w:fldChar w:fldCharType="end"/>
        </w:r>
      </w:hyperlink>
    </w:p>
    <w:p w14:paraId="4B27CF8B" w14:textId="5D0B858E" w:rsidR="00137F4C" w:rsidRDefault="00000000">
      <w:pPr>
        <w:pStyle w:val="TOC2"/>
        <w:tabs>
          <w:tab w:val="right" w:leader="dot" w:pos="9010"/>
        </w:tabs>
        <w:rPr>
          <w:rFonts w:asciiTheme="minorHAnsi" w:eastAsiaTheme="minorEastAsia" w:hAnsiTheme="minorHAnsi" w:cstheme="minorBidi"/>
          <w:noProof/>
          <w:lang w:val="en-SA"/>
        </w:rPr>
      </w:pPr>
      <w:hyperlink w:anchor="_Toc83751445" w:history="1">
        <w:r w:rsidR="00137F4C" w:rsidRPr="004A73DB">
          <w:rPr>
            <w:rStyle w:val="Hyperlink"/>
            <w:noProof/>
          </w:rPr>
          <w:t>2.5 Conclusion</w:t>
        </w:r>
        <w:r w:rsidR="00137F4C">
          <w:rPr>
            <w:noProof/>
            <w:webHidden/>
          </w:rPr>
          <w:tab/>
        </w:r>
        <w:r w:rsidR="00137F4C">
          <w:rPr>
            <w:noProof/>
            <w:webHidden/>
          </w:rPr>
          <w:fldChar w:fldCharType="begin"/>
        </w:r>
        <w:r w:rsidR="00137F4C">
          <w:rPr>
            <w:noProof/>
            <w:webHidden/>
          </w:rPr>
          <w:instrText xml:space="preserve"> PAGEREF _Toc83751445 \h </w:instrText>
        </w:r>
        <w:r w:rsidR="00137F4C">
          <w:rPr>
            <w:noProof/>
            <w:webHidden/>
          </w:rPr>
        </w:r>
        <w:r w:rsidR="00137F4C">
          <w:rPr>
            <w:noProof/>
            <w:webHidden/>
          </w:rPr>
          <w:fldChar w:fldCharType="separate"/>
        </w:r>
        <w:r w:rsidR="00137F4C">
          <w:rPr>
            <w:noProof/>
            <w:webHidden/>
          </w:rPr>
          <w:t>67</w:t>
        </w:r>
        <w:r w:rsidR="00137F4C">
          <w:rPr>
            <w:noProof/>
            <w:webHidden/>
          </w:rPr>
          <w:fldChar w:fldCharType="end"/>
        </w:r>
      </w:hyperlink>
    </w:p>
    <w:p w14:paraId="5151DB7D" w14:textId="2D6C476A" w:rsidR="00137F4C" w:rsidRDefault="00000000">
      <w:pPr>
        <w:pStyle w:val="TOC1"/>
        <w:tabs>
          <w:tab w:val="left" w:pos="1440"/>
          <w:tab w:val="right" w:leader="dot" w:pos="9010"/>
        </w:tabs>
        <w:rPr>
          <w:rFonts w:asciiTheme="minorHAnsi" w:eastAsiaTheme="minorEastAsia" w:hAnsiTheme="minorHAnsi" w:cstheme="minorBidi"/>
          <w:noProof/>
          <w:lang w:val="en-SA"/>
        </w:rPr>
      </w:pPr>
      <w:hyperlink w:anchor="_Toc83751446" w:history="1">
        <w:r w:rsidR="00137F4C" w:rsidRPr="004A73DB">
          <w:rPr>
            <w:rStyle w:val="Hyperlink"/>
            <w:noProof/>
          </w:rPr>
          <w:t>Chapter 3 :</w:t>
        </w:r>
        <w:r w:rsidR="00137F4C">
          <w:rPr>
            <w:rFonts w:asciiTheme="minorHAnsi" w:eastAsiaTheme="minorEastAsia" w:hAnsiTheme="minorHAnsi" w:cstheme="minorBidi"/>
            <w:noProof/>
            <w:lang w:val="en-SA"/>
          </w:rPr>
          <w:tab/>
        </w:r>
        <w:r w:rsidR="00137F4C" w:rsidRPr="004A73DB">
          <w:rPr>
            <w:rStyle w:val="Hyperlink"/>
            <w:noProof/>
          </w:rPr>
          <w:t xml:space="preserve">The genetic relationship between </w:t>
        </w:r>
        <w:r w:rsidR="00137F4C" w:rsidRPr="004A73DB">
          <w:rPr>
            <w:rStyle w:val="Hyperlink"/>
            <w:i/>
            <w:iCs/>
            <w:noProof/>
          </w:rPr>
          <w:t>Zea mays</w:t>
        </w:r>
        <w:r w:rsidR="00137F4C" w:rsidRPr="004A73DB">
          <w:rPr>
            <w:rStyle w:val="Hyperlink"/>
            <w:noProof/>
          </w:rPr>
          <w:t xml:space="preserve"> varieties and the effect of this on the plant mycorrhizal responsiveness</w:t>
        </w:r>
        <w:r w:rsidR="00137F4C">
          <w:rPr>
            <w:noProof/>
            <w:webHidden/>
          </w:rPr>
          <w:tab/>
        </w:r>
        <w:r w:rsidR="00137F4C">
          <w:rPr>
            <w:noProof/>
            <w:webHidden/>
          </w:rPr>
          <w:fldChar w:fldCharType="begin"/>
        </w:r>
        <w:r w:rsidR="00137F4C">
          <w:rPr>
            <w:noProof/>
            <w:webHidden/>
          </w:rPr>
          <w:instrText xml:space="preserve"> PAGEREF _Toc83751446 \h </w:instrText>
        </w:r>
        <w:r w:rsidR="00137F4C">
          <w:rPr>
            <w:noProof/>
            <w:webHidden/>
          </w:rPr>
        </w:r>
        <w:r w:rsidR="00137F4C">
          <w:rPr>
            <w:noProof/>
            <w:webHidden/>
          </w:rPr>
          <w:fldChar w:fldCharType="separate"/>
        </w:r>
        <w:r w:rsidR="00137F4C">
          <w:rPr>
            <w:noProof/>
            <w:webHidden/>
          </w:rPr>
          <w:t>68</w:t>
        </w:r>
        <w:r w:rsidR="00137F4C">
          <w:rPr>
            <w:noProof/>
            <w:webHidden/>
          </w:rPr>
          <w:fldChar w:fldCharType="end"/>
        </w:r>
      </w:hyperlink>
    </w:p>
    <w:p w14:paraId="4C5E3C00" w14:textId="277057D1" w:rsidR="00137F4C" w:rsidRDefault="00000000">
      <w:pPr>
        <w:pStyle w:val="TOC2"/>
        <w:tabs>
          <w:tab w:val="right" w:leader="dot" w:pos="9010"/>
        </w:tabs>
        <w:rPr>
          <w:rFonts w:asciiTheme="minorHAnsi" w:eastAsiaTheme="minorEastAsia" w:hAnsiTheme="minorHAnsi" w:cstheme="minorBidi"/>
          <w:noProof/>
          <w:lang w:val="en-SA"/>
        </w:rPr>
      </w:pPr>
      <w:hyperlink w:anchor="_Toc83751447" w:history="1">
        <w:r w:rsidR="00137F4C" w:rsidRPr="004A73DB">
          <w:rPr>
            <w:rStyle w:val="Hyperlink"/>
            <w:noProof/>
          </w:rPr>
          <w:t>3.1 Introduction</w:t>
        </w:r>
        <w:r w:rsidR="00137F4C">
          <w:rPr>
            <w:noProof/>
            <w:webHidden/>
          </w:rPr>
          <w:tab/>
        </w:r>
        <w:r w:rsidR="00137F4C">
          <w:rPr>
            <w:noProof/>
            <w:webHidden/>
          </w:rPr>
          <w:fldChar w:fldCharType="begin"/>
        </w:r>
        <w:r w:rsidR="00137F4C">
          <w:rPr>
            <w:noProof/>
            <w:webHidden/>
          </w:rPr>
          <w:instrText xml:space="preserve"> PAGEREF _Toc83751447 \h </w:instrText>
        </w:r>
        <w:r w:rsidR="00137F4C">
          <w:rPr>
            <w:noProof/>
            <w:webHidden/>
          </w:rPr>
        </w:r>
        <w:r w:rsidR="00137F4C">
          <w:rPr>
            <w:noProof/>
            <w:webHidden/>
          </w:rPr>
          <w:fldChar w:fldCharType="separate"/>
        </w:r>
        <w:r w:rsidR="00137F4C">
          <w:rPr>
            <w:noProof/>
            <w:webHidden/>
          </w:rPr>
          <w:t>68</w:t>
        </w:r>
        <w:r w:rsidR="00137F4C">
          <w:rPr>
            <w:noProof/>
            <w:webHidden/>
          </w:rPr>
          <w:fldChar w:fldCharType="end"/>
        </w:r>
      </w:hyperlink>
    </w:p>
    <w:p w14:paraId="5630B3ED" w14:textId="300C0309" w:rsidR="00137F4C" w:rsidRDefault="00000000">
      <w:pPr>
        <w:pStyle w:val="TOC2"/>
        <w:tabs>
          <w:tab w:val="right" w:leader="dot" w:pos="9010"/>
        </w:tabs>
        <w:rPr>
          <w:rFonts w:asciiTheme="minorHAnsi" w:eastAsiaTheme="minorEastAsia" w:hAnsiTheme="minorHAnsi" w:cstheme="minorBidi"/>
          <w:noProof/>
          <w:lang w:val="en-SA"/>
        </w:rPr>
      </w:pPr>
      <w:hyperlink w:anchor="_Toc83751448" w:history="1">
        <w:r w:rsidR="00137F4C" w:rsidRPr="004A73DB">
          <w:rPr>
            <w:rStyle w:val="Hyperlink"/>
            <w:noProof/>
          </w:rPr>
          <w:t>3.2 Materials and Methods</w:t>
        </w:r>
        <w:r w:rsidR="00137F4C">
          <w:rPr>
            <w:noProof/>
            <w:webHidden/>
          </w:rPr>
          <w:tab/>
        </w:r>
        <w:r w:rsidR="00137F4C">
          <w:rPr>
            <w:noProof/>
            <w:webHidden/>
          </w:rPr>
          <w:fldChar w:fldCharType="begin"/>
        </w:r>
        <w:r w:rsidR="00137F4C">
          <w:rPr>
            <w:noProof/>
            <w:webHidden/>
          </w:rPr>
          <w:instrText xml:space="preserve"> PAGEREF _Toc83751448 \h </w:instrText>
        </w:r>
        <w:r w:rsidR="00137F4C">
          <w:rPr>
            <w:noProof/>
            <w:webHidden/>
          </w:rPr>
        </w:r>
        <w:r w:rsidR="00137F4C">
          <w:rPr>
            <w:noProof/>
            <w:webHidden/>
          </w:rPr>
          <w:fldChar w:fldCharType="separate"/>
        </w:r>
        <w:r w:rsidR="00137F4C">
          <w:rPr>
            <w:noProof/>
            <w:webHidden/>
          </w:rPr>
          <w:t>71</w:t>
        </w:r>
        <w:r w:rsidR="00137F4C">
          <w:rPr>
            <w:noProof/>
            <w:webHidden/>
          </w:rPr>
          <w:fldChar w:fldCharType="end"/>
        </w:r>
      </w:hyperlink>
    </w:p>
    <w:p w14:paraId="25736277" w14:textId="3F7AF2A8" w:rsidR="00137F4C" w:rsidRDefault="00000000">
      <w:pPr>
        <w:pStyle w:val="TOC3"/>
        <w:tabs>
          <w:tab w:val="right" w:leader="dot" w:pos="9010"/>
        </w:tabs>
        <w:rPr>
          <w:rFonts w:asciiTheme="minorHAnsi" w:eastAsiaTheme="minorEastAsia" w:hAnsiTheme="minorHAnsi" w:cstheme="minorBidi"/>
          <w:noProof/>
          <w:lang w:val="en-SA"/>
        </w:rPr>
      </w:pPr>
      <w:hyperlink w:anchor="_Toc83751449" w:history="1">
        <w:r w:rsidR="00137F4C" w:rsidRPr="004A73DB">
          <w:rPr>
            <w:rStyle w:val="Hyperlink"/>
            <w:noProof/>
          </w:rPr>
          <w:t>3.2.1 Seeds collection</w:t>
        </w:r>
        <w:r w:rsidR="00137F4C">
          <w:rPr>
            <w:noProof/>
            <w:webHidden/>
          </w:rPr>
          <w:tab/>
        </w:r>
        <w:r w:rsidR="00137F4C">
          <w:rPr>
            <w:noProof/>
            <w:webHidden/>
          </w:rPr>
          <w:fldChar w:fldCharType="begin"/>
        </w:r>
        <w:r w:rsidR="00137F4C">
          <w:rPr>
            <w:noProof/>
            <w:webHidden/>
          </w:rPr>
          <w:instrText xml:space="preserve"> PAGEREF _Toc83751449 \h </w:instrText>
        </w:r>
        <w:r w:rsidR="00137F4C">
          <w:rPr>
            <w:noProof/>
            <w:webHidden/>
          </w:rPr>
        </w:r>
        <w:r w:rsidR="00137F4C">
          <w:rPr>
            <w:noProof/>
            <w:webHidden/>
          </w:rPr>
          <w:fldChar w:fldCharType="separate"/>
        </w:r>
        <w:r w:rsidR="00137F4C">
          <w:rPr>
            <w:noProof/>
            <w:webHidden/>
          </w:rPr>
          <w:t>71</w:t>
        </w:r>
        <w:r w:rsidR="00137F4C">
          <w:rPr>
            <w:noProof/>
            <w:webHidden/>
          </w:rPr>
          <w:fldChar w:fldCharType="end"/>
        </w:r>
      </w:hyperlink>
    </w:p>
    <w:p w14:paraId="56954120" w14:textId="778444CE" w:rsidR="00137F4C" w:rsidRDefault="00000000">
      <w:pPr>
        <w:pStyle w:val="TOC3"/>
        <w:tabs>
          <w:tab w:val="right" w:leader="dot" w:pos="9010"/>
        </w:tabs>
        <w:rPr>
          <w:rFonts w:asciiTheme="minorHAnsi" w:eastAsiaTheme="minorEastAsia" w:hAnsiTheme="minorHAnsi" w:cstheme="minorBidi"/>
          <w:noProof/>
          <w:lang w:val="en-SA"/>
        </w:rPr>
      </w:pPr>
      <w:hyperlink w:anchor="_Toc83751450" w:history="1">
        <w:r w:rsidR="00137F4C" w:rsidRPr="004A73DB">
          <w:rPr>
            <w:rStyle w:val="Hyperlink"/>
            <w:noProof/>
          </w:rPr>
          <w:t>3.2.2 Seeds preparation and seedling</w:t>
        </w:r>
        <w:r w:rsidR="00137F4C">
          <w:rPr>
            <w:noProof/>
            <w:webHidden/>
          </w:rPr>
          <w:tab/>
        </w:r>
        <w:r w:rsidR="00137F4C">
          <w:rPr>
            <w:noProof/>
            <w:webHidden/>
          </w:rPr>
          <w:fldChar w:fldCharType="begin"/>
        </w:r>
        <w:r w:rsidR="00137F4C">
          <w:rPr>
            <w:noProof/>
            <w:webHidden/>
          </w:rPr>
          <w:instrText xml:space="preserve"> PAGEREF _Toc83751450 \h </w:instrText>
        </w:r>
        <w:r w:rsidR="00137F4C">
          <w:rPr>
            <w:noProof/>
            <w:webHidden/>
          </w:rPr>
        </w:r>
        <w:r w:rsidR="00137F4C">
          <w:rPr>
            <w:noProof/>
            <w:webHidden/>
          </w:rPr>
          <w:fldChar w:fldCharType="separate"/>
        </w:r>
        <w:r w:rsidR="00137F4C">
          <w:rPr>
            <w:noProof/>
            <w:webHidden/>
          </w:rPr>
          <w:t>71</w:t>
        </w:r>
        <w:r w:rsidR="00137F4C">
          <w:rPr>
            <w:noProof/>
            <w:webHidden/>
          </w:rPr>
          <w:fldChar w:fldCharType="end"/>
        </w:r>
      </w:hyperlink>
    </w:p>
    <w:p w14:paraId="36F056EC" w14:textId="20B8A2DE" w:rsidR="00137F4C" w:rsidRDefault="00000000">
      <w:pPr>
        <w:pStyle w:val="TOC3"/>
        <w:tabs>
          <w:tab w:val="right" w:leader="dot" w:pos="9010"/>
        </w:tabs>
        <w:rPr>
          <w:rFonts w:asciiTheme="minorHAnsi" w:eastAsiaTheme="minorEastAsia" w:hAnsiTheme="minorHAnsi" w:cstheme="minorBidi"/>
          <w:noProof/>
          <w:lang w:val="en-SA"/>
        </w:rPr>
      </w:pPr>
      <w:hyperlink w:anchor="_Toc83751451" w:history="1">
        <w:r w:rsidR="00137F4C" w:rsidRPr="004A73DB">
          <w:rPr>
            <w:rStyle w:val="Hyperlink"/>
            <w:noProof/>
          </w:rPr>
          <w:t>3.2.3 Genomic DNA extraction and purification</w:t>
        </w:r>
        <w:r w:rsidR="00137F4C">
          <w:rPr>
            <w:noProof/>
            <w:webHidden/>
          </w:rPr>
          <w:tab/>
        </w:r>
        <w:r w:rsidR="00137F4C">
          <w:rPr>
            <w:noProof/>
            <w:webHidden/>
          </w:rPr>
          <w:fldChar w:fldCharType="begin"/>
        </w:r>
        <w:r w:rsidR="00137F4C">
          <w:rPr>
            <w:noProof/>
            <w:webHidden/>
          </w:rPr>
          <w:instrText xml:space="preserve"> PAGEREF _Toc83751451 \h </w:instrText>
        </w:r>
        <w:r w:rsidR="00137F4C">
          <w:rPr>
            <w:noProof/>
            <w:webHidden/>
          </w:rPr>
        </w:r>
        <w:r w:rsidR="00137F4C">
          <w:rPr>
            <w:noProof/>
            <w:webHidden/>
          </w:rPr>
          <w:fldChar w:fldCharType="separate"/>
        </w:r>
        <w:r w:rsidR="00137F4C">
          <w:rPr>
            <w:noProof/>
            <w:webHidden/>
          </w:rPr>
          <w:t>72</w:t>
        </w:r>
        <w:r w:rsidR="00137F4C">
          <w:rPr>
            <w:noProof/>
            <w:webHidden/>
          </w:rPr>
          <w:fldChar w:fldCharType="end"/>
        </w:r>
      </w:hyperlink>
    </w:p>
    <w:p w14:paraId="3D435D99" w14:textId="7C8AE3D9" w:rsidR="00137F4C" w:rsidRDefault="00000000">
      <w:pPr>
        <w:pStyle w:val="TOC3"/>
        <w:tabs>
          <w:tab w:val="right" w:leader="dot" w:pos="9010"/>
        </w:tabs>
        <w:rPr>
          <w:rFonts w:asciiTheme="minorHAnsi" w:eastAsiaTheme="minorEastAsia" w:hAnsiTheme="minorHAnsi" w:cstheme="minorBidi"/>
          <w:noProof/>
          <w:lang w:val="en-SA"/>
        </w:rPr>
      </w:pPr>
      <w:hyperlink w:anchor="_Toc83751452" w:history="1">
        <w:r w:rsidR="00137F4C" w:rsidRPr="004A73DB">
          <w:rPr>
            <w:rStyle w:val="Hyperlink"/>
            <w:noProof/>
          </w:rPr>
          <w:t>3.2.4 Detection of PCR products for 18S and RBCL</w:t>
        </w:r>
        <w:r w:rsidR="00137F4C">
          <w:rPr>
            <w:noProof/>
            <w:webHidden/>
          </w:rPr>
          <w:tab/>
        </w:r>
        <w:r w:rsidR="00137F4C">
          <w:rPr>
            <w:noProof/>
            <w:webHidden/>
          </w:rPr>
          <w:fldChar w:fldCharType="begin"/>
        </w:r>
        <w:r w:rsidR="00137F4C">
          <w:rPr>
            <w:noProof/>
            <w:webHidden/>
          </w:rPr>
          <w:instrText xml:space="preserve"> PAGEREF _Toc83751452 \h </w:instrText>
        </w:r>
        <w:r w:rsidR="00137F4C">
          <w:rPr>
            <w:noProof/>
            <w:webHidden/>
          </w:rPr>
        </w:r>
        <w:r w:rsidR="00137F4C">
          <w:rPr>
            <w:noProof/>
            <w:webHidden/>
          </w:rPr>
          <w:fldChar w:fldCharType="separate"/>
        </w:r>
        <w:r w:rsidR="00137F4C">
          <w:rPr>
            <w:noProof/>
            <w:webHidden/>
          </w:rPr>
          <w:t>73</w:t>
        </w:r>
        <w:r w:rsidR="00137F4C">
          <w:rPr>
            <w:noProof/>
            <w:webHidden/>
          </w:rPr>
          <w:fldChar w:fldCharType="end"/>
        </w:r>
      </w:hyperlink>
    </w:p>
    <w:p w14:paraId="5C6A8375" w14:textId="32AB03E3" w:rsidR="00137F4C" w:rsidRDefault="00000000">
      <w:pPr>
        <w:pStyle w:val="TOC4"/>
        <w:tabs>
          <w:tab w:val="right" w:leader="dot" w:pos="9010"/>
        </w:tabs>
        <w:rPr>
          <w:rFonts w:asciiTheme="minorHAnsi" w:eastAsiaTheme="minorEastAsia" w:hAnsiTheme="minorHAnsi" w:cstheme="minorBidi"/>
          <w:noProof/>
          <w:lang w:val="en-SA"/>
        </w:rPr>
      </w:pPr>
      <w:hyperlink w:anchor="_Toc83751453" w:history="1">
        <w:r w:rsidR="00137F4C" w:rsidRPr="004A73DB">
          <w:rPr>
            <w:rStyle w:val="Hyperlink"/>
            <w:noProof/>
            <w:shd w:val="clear" w:color="auto" w:fill="FFFFFF"/>
          </w:rPr>
          <w:t>3.2.4.1 18S</w:t>
        </w:r>
        <w:r w:rsidR="00137F4C">
          <w:rPr>
            <w:noProof/>
            <w:webHidden/>
          </w:rPr>
          <w:tab/>
        </w:r>
        <w:r w:rsidR="00137F4C">
          <w:rPr>
            <w:noProof/>
            <w:webHidden/>
          </w:rPr>
          <w:fldChar w:fldCharType="begin"/>
        </w:r>
        <w:r w:rsidR="00137F4C">
          <w:rPr>
            <w:noProof/>
            <w:webHidden/>
          </w:rPr>
          <w:instrText xml:space="preserve"> PAGEREF _Toc83751453 \h </w:instrText>
        </w:r>
        <w:r w:rsidR="00137F4C">
          <w:rPr>
            <w:noProof/>
            <w:webHidden/>
          </w:rPr>
        </w:r>
        <w:r w:rsidR="00137F4C">
          <w:rPr>
            <w:noProof/>
            <w:webHidden/>
          </w:rPr>
          <w:fldChar w:fldCharType="separate"/>
        </w:r>
        <w:r w:rsidR="00137F4C">
          <w:rPr>
            <w:noProof/>
            <w:webHidden/>
          </w:rPr>
          <w:t>73</w:t>
        </w:r>
        <w:r w:rsidR="00137F4C">
          <w:rPr>
            <w:noProof/>
            <w:webHidden/>
          </w:rPr>
          <w:fldChar w:fldCharType="end"/>
        </w:r>
      </w:hyperlink>
    </w:p>
    <w:p w14:paraId="7D420747" w14:textId="395500DA" w:rsidR="00137F4C" w:rsidRDefault="00000000">
      <w:pPr>
        <w:pStyle w:val="TOC4"/>
        <w:tabs>
          <w:tab w:val="right" w:leader="dot" w:pos="9010"/>
        </w:tabs>
        <w:rPr>
          <w:rFonts w:asciiTheme="minorHAnsi" w:eastAsiaTheme="minorEastAsia" w:hAnsiTheme="minorHAnsi" w:cstheme="minorBidi"/>
          <w:noProof/>
          <w:lang w:val="en-SA"/>
        </w:rPr>
      </w:pPr>
      <w:hyperlink w:anchor="_Toc83751454" w:history="1">
        <w:r w:rsidR="00137F4C" w:rsidRPr="004A73DB">
          <w:rPr>
            <w:rStyle w:val="Hyperlink"/>
            <w:noProof/>
          </w:rPr>
          <w:t>3.2.4.2 RBCL</w:t>
        </w:r>
        <w:r w:rsidR="00137F4C">
          <w:rPr>
            <w:noProof/>
            <w:webHidden/>
          </w:rPr>
          <w:tab/>
        </w:r>
        <w:r w:rsidR="00137F4C">
          <w:rPr>
            <w:noProof/>
            <w:webHidden/>
          </w:rPr>
          <w:fldChar w:fldCharType="begin"/>
        </w:r>
        <w:r w:rsidR="00137F4C">
          <w:rPr>
            <w:noProof/>
            <w:webHidden/>
          </w:rPr>
          <w:instrText xml:space="preserve"> PAGEREF _Toc83751454 \h </w:instrText>
        </w:r>
        <w:r w:rsidR="00137F4C">
          <w:rPr>
            <w:noProof/>
            <w:webHidden/>
          </w:rPr>
        </w:r>
        <w:r w:rsidR="00137F4C">
          <w:rPr>
            <w:noProof/>
            <w:webHidden/>
          </w:rPr>
          <w:fldChar w:fldCharType="separate"/>
        </w:r>
        <w:r w:rsidR="00137F4C">
          <w:rPr>
            <w:noProof/>
            <w:webHidden/>
          </w:rPr>
          <w:t>74</w:t>
        </w:r>
        <w:r w:rsidR="00137F4C">
          <w:rPr>
            <w:noProof/>
            <w:webHidden/>
          </w:rPr>
          <w:fldChar w:fldCharType="end"/>
        </w:r>
      </w:hyperlink>
    </w:p>
    <w:p w14:paraId="691E1E95" w14:textId="2FB74C3A" w:rsidR="00137F4C" w:rsidRDefault="00000000">
      <w:pPr>
        <w:pStyle w:val="TOC3"/>
        <w:tabs>
          <w:tab w:val="right" w:leader="dot" w:pos="9010"/>
        </w:tabs>
        <w:rPr>
          <w:rFonts w:asciiTheme="minorHAnsi" w:eastAsiaTheme="minorEastAsia" w:hAnsiTheme="minorHAnsi" w:cstheme="minorBidi"/>
          <w:noProof/>
          <w:lang w:val="en-SA"/>
        </w:rPr>
      </w:pPr>
      <w:hyperlink w:anchor="_Toc83751455" w:history="1">
        <w:r w:rsidR="00137F4C" w:rsidRPr="004A73DB">
          <w:rPr>
            <w:rStyle w:val="Hyperlink"/>
            <w:noProof/>
          </w:rPr>
          <w:t xml:space="preserve">3.2.5 Analysis of </w:t>
        </w:r>
        <w:r w:rsidR="00137F4C" w:rsidRPr="004A73DB">
          <w:rPr>
            <w:rStyle w:val="Hyperlink"/>
            <w:rFonts w:eastAsiaTheme="minorHAnsi"/>
            <w:noProof/>
          </w:rPr>
          <w:t>18</w:t>
        </w:r>
        <w:r w:rsidR="00137F4C" w:rsidRPr="004A73DB">
          <w:rPr>
            <w:rStyle w:val="Hyperlink"/>
            <w:noProof/>
          </w:rPr>
          <w:t>S and RBCL</w:t>
        </w:r>
        <w:r w:rsidR="00137F4C">
          <w:rPr>
            <w:noProof/>
            <w:webHidden/>
          </w:rPr>
          <w:tab/>
        </w:r>
        <w:r w:rsidR="00137F4C">
          <w:rPr>
            <w:noProof/>
            <w:webHidden/>
          </w:rPr>
          <w:fldChar w:fldCharType="begin"/>
        </w:r>
        <w:r w:rsidR="00137F4C">
          <w:rPr>
            <w:noProof/>
            <w:webHidden/>
          </w:rPr>
          <w:instrText xml:space="preserve"> PAGEREF _Toc83751455 \h </w:instrText>
        </w:r>
        <w:r w:rsidR="00137F4C">
          <w:rPr>
            <w:noProof/>
            <w:webHidden/>
          </w:rPr>
        </w:r>
        <w:r w:rsidR="00137F4C">
          <w:rPr>
            <w:noProof/>
            <w:webHidden/>
          </w:rPr>
          <w:fldChar w:fldCharType="separate"/>
        </w:r>
        <w:r w:rsidR="00137F4C">
          <w:rPr>
            <w:noProof/>
            <w:webHidden/>
          </w:rPr>
          <w:t>75</w:t>
        </w:r>
        <w:r w:rsidR="00137F4C">
          <w:rPr>
            <w:noProof/>
            <w:webHidden/>
          </w:rPr>
          <w:fldChar w:fldCharType="end"/>
        </w:r>
      </w:hyperlink>
    </w:p>
    <w:p w14:paraId="43883AA2" w14:textId="668ADDA4" w:rsidR="00137F4C" w:rsidRDefault="00000000">
      <w:pPr>
        <w:pStyle w:val="TOC3"/>
        <w:tabs>
          <w:tab w:val="right" w:leader="dot" w:pos="9010"/>
        </w:tabs>
        <w:rPr>
          <w:rFonts w:asciiTheme="minorHAnsi" w:eastAsiaTheme="minorEastAsia" w:hAnsiTheme="minorHAnsi" w:cstheme="minorBidi"/>
          <w:noProof/>
          <w:lang w:val="en-SA"/>
        </w:rPr>
      </w:pPr>
      <w:hyperlink w:anchor="_Toc83751456" w:history="1">
        <w:r w:rsidR="00137F4C" w:rsidRPr="004A73DB">
          <w:rPr>
            <w:rStyle w:val="Hyperlink"/>
            <w:noProof/>
          </w:rPr>
          <w:t xml:space="preserve">3.2.6 Sequencing of </w:t>
        </w:r>
        <w:r w:rsidR="00137F4C" w:rsidRPr="004A73DB">
          <w:rPr>
            <w:rStyle w:val="Hyperlink"/>
            <w:rFonts w:eastAsiaTheme="minorHAnsi"/>
            <w:noProof/>
          </w:rPr>
          <w:t>18</w:t>
        </w:r>
        <w:r w:rsidR="00137F4C" w:rsidRPr="004A73DB">
          <w:rPr>
            <w:rStyle w:val="Hyperlink"/>
            <w:noProof/>
          </w:rPr>
          <w:t>S and RBCL</w:t>
        </w:r>
        <w:r w:rsidR="00137F4C">
          <w:rPr>
            <w:noProof/>
            <w:webHidden/>
          </w:rPr>
          <w:tab/>
        </w:r>
        <w:r w:rsidR="00137F4C">
          <w:rPr>
            <w:noProof/>
            <w:webHidden/>
          </w:rPr>
          <w:fldChar w:fldCharType="begin"/>
        </w:r>
        <w:r w:rsidR="00137F4C">
          <w:rPr>
            <w:noProof/>
            <w:webHidden/>
          </w:rPr>
          <w:instrText xml:space="preserve"> PAGEREF _Toc83751456 \h </w:instrText>
        </w:r>
        <w:r w:rsidR="00137F4C">
          <w:rPr>
            <w:noProof/>
            <w:webHidden/>
          </w:rPr>
        </w:r>
        <w:r w:rsidR="00137F4C">
          <w:rPr>
            <w:noProof/>
            <w:webHidden/>
          </w:rPr>
          <w:fldChar w:fldCharType="separate"/>
        </w:r>
        <w:r w:rsidR="00137F4C">
          <w:rPr>
            <w:noProof/>
            <w:webHidden/>
          </w:rPr>
          <w:t>76</w:t>
        </w:r>
        <w:r w:rsidR="00137F4C">
          <w:rPr>
            <w:noProof/>
            <w:webHidden/>
          </w:rPr>
          <w:fldChar w:fldCharType="end"/>
        </w:r>
      </w:hyperlink>
    </w:p>
    <w:p w14:paraId="5C3E2008" w14:textId="08741D29" w:rsidR="00137F4C" w:rsidRDefault="00000000">
      <w:pPr>
        <w:pStyle w:val="TOC3"/>
        <w:tabs>
          <w:tab w:val="right" w:leader="dot" w:pos="9010"/>
        </w:tabs>
        <w:rPr>
          <w:rFonts w:asciiTheme="minorHAnsi" w:eastAsiaTheme="minorEastAsia" w:hAnsiTheme="minorHAnsi" w:cstheme="minorBidi"/>
          <w:noProof/>
          <w:lang w:val="en-SA"/>
        </w:rPr>
      </w:pPr>
      <w:hyperlink w:anchor="_Toc83751457" w:history="1">
        <w:r w:rsidR="00137F4C" w:rsidRPr="004A73DB">
          <w:rPr>
            <w:rStyle w:val="Hyperlink"/>
            <w:noProof/>
          </w:rPr>
          <w:t>3.2.7 Detection of PCR products for Inter-simple sequence repeat (ISSR)</w:t>
        </w:r>
        <w:r w:rsidR="00137F4C">
          <w:rPr>
            <w:noProof/>
            <w:webHidden/>
          </w:rPr>
          <w:tab/>
        </w:r>
        <w:r w:rsidR="00137F4C">
          <w:rPr>
            <w:noProof/>
            <w:webHidden/>
          </w:rPr>
          <w:fldChar w:fldCharType="begin"/>
        </w:r>
        <w:r w:rsidR="00137F4C">
          <w:rPr>
            <w:noProof/>
            <w:webHidden/>
          </w:rPr>
          <w:instrText xml:space="preserve"> PAGEREF _Toc83751457 \h </w:instrText>
        </w:r>
        <w:r w:rsidR="00137F4C">
          <w:rPr>
            <w:noProof/>
            <w:webHidden/>
          </w:rPr>
        </w:r>
        <w:r w:rsidR="00137F4C">
          <w:rPr>
            <w:noProof/>
            <w:webHidden/>
          </w:rPr>
          <w:fldChar w:fldCharType="separate"/>
        </w:r>
        <w:r w:rsidR="00137F4C">
          <w:rPr>
            <w:noProof/>
            <w:webHidden/>
          </w:rPr>
          <w:t>76</w:t>
        </w:r>
        <w:r w:rsidR="00137F4C">
          <w:rPr>
            <w:noProof/>
            <w:webHidden/>
          </w:rPr>
          <w:fldChar w:fldCharType="end"/>
        </w:r>
      </w:hyperlink>
    </w:p>
    <w:p w14:paraId="565FC22C" w14:textId="316FE658" w:rsidR="00137F4C" w:rsidRDefault="00000000">
      <w:pPr>
        <w:pStyle w:val="TOC3"/>
        <w:tabs>
          <w:tab w:val="right" w:leader="dot" w:pos="9010"/>
        </w:tabs>
        <w:rPr>
          <w:rFonts w:asciiTheme="minorHAnsi" w:eastAsiaTheme="minorEastAsia" w:hAnsiTheme="minorHAnsi" w:cstheme="minorBidi"/>
          <w:noProof/>
          <w:lang w:val="en-SA"/>
        </w:rPr>
      </w:pPr>
      <w:hyperlink w:anchor="_Toc83751458" w:history="1">
        <w:r w:rsidR="00137F4C" w:rsidRPr="004A73DB">
          <w:rPr>
            <w:rStyle w:val="Hyperlink"/>
            <w:noProof/>
          </w:rPr>
          <w:t>3.2.8 Analysis of ISSR products</w:t>
        </w:r>
        <w:r w:rsidR="00137F4C">
          <w:rPr>
            <w:noProof/>
            <w:webHidden/>
          </w:rPr>
          <w:tab/>
        </w:r>
        <w:r w:rsidR="00137F4C">
          <w:rPr>
            <w:noProof/>
            <w:webHidden/>
          </w:rPr>
          <w:fldChar w:fldCharType="begin"/>
        </w:r>
        <w:r w:rsidR="00137F4C">
          <w:rPr>
            <w:noProof/>
            <w:webHidden/>
          </w:rPr>
          <w:instrText xml:space="preserve"> PAGEREF _Toc83751458 \h </w:instrText>
        </w:r>
        <w:r w:rsidR="00137F4C">
          <w:rPr>
            <w:noProof/>
            <w:webHidden/>
          </w:rPr>
        </w:r>
        <w:r w:rsidR="00137F4C">
          <w:rPr>
            <w:noProof/>
            <w:webHidden/>
          </w:rPr>
          <w:fldChar w:fldCharType="separate"/>
        </w:r>
        <w:r w:rsidR="00137F4C">
          <w:rPr>
            <w:noProof/>
            <w:webHidden/>
          </w:rPr>
          <w:t>77</w:t>
        </w:r>
        <w:r w:rsidR="00137F4C">
          <w:rPr>
            <w:noProof/>
            <w:webHidden/>
          </w:rPr>
          <w:fldChar w:fldCharType="end"/>
        </w:r>
      </w:hyperlink>
    </w:p>
    <w:p w14:paraId="32A90813" w14:textId="02C7B054" w:rsidR="00137F4C" w:rsidRDefault="00000000">
      <w:pPr>
        <w:pStyle w:val="TOC2"/>
        <w:tabs>
          <w:tab w:val="right" w:leader="dot" w:pos="9010"/>
        </w:tabs>
        <w:rPr>
          <w:rFonts w:asciiTheme="minorHAnsi" w:eastAsiaTheme="minorEastAsia" w:hAnsiTheme="minorHAnsi" w:cstheme="minorBidi"/>
          <w:noProof/>
          <w:lang w:val="en-SA"/>
        </w:rPr>
      </w:pPr>
      <w:hyperlink w:anchor="_Toc83751459" w:history="1">
        <w:r w:rsidR="00137F4C" w:rsidRPr="004A73DB">
          <w:rPr>
            <w:rStyle w:val="Hyperlink"/>
            <w:noProof/>
          </w:rPr>
          <w:t>3.3 Results</w:t>
        </w:r>
        <w:r w:rsidR="00137F4C">
          <w:rPr>
            <w:noProof/>
            <w:webHidden/>
          </w:rPr>
          <w:tab/>
        </w:r>
        <w:r w:rsidR="00137F4C">
          <w:rPr>
            <w:noProof/>
            <w:webHidden/>
          </w:rPr>
          <w:fldChar w:fldCharType="begin"/>
        </w:r>
        <w:r w:rsidR="00137F4C">
          <w:rPr>
            <w:noProof/>
            <w:webHidden/>
          </w:rPr>
          <w:instrText xml:space="preserve"> PAGEREF _Toc83751459 \h </w:instrText>
        </w:r>
        <w:r w:rsidR="00137F4C">
          <w:rPr>
            <w:noProof/>
            <w:webHidden/>
          </w:rPr>
        </w:r>
        <w:r w:rsidR="00137F4C">
          <w:rPr>
            <w:noProof/>
            <w:webHidden/>
          </w:rPr>
          <w:fldChar w:fldCharType="separate"/>
        </w:r>
        <w:r w:rsidR="00137F4C">
          <w:rPr>
            <w:noProof/>
            <w:webHidden/>
          </w:rPr>
          <w:t>78</w:t>
        </w:r>
        <w:r w:rsidR="00137F4C">
          <w:rPr>
            <w:noProof/>
            <w:webHidden/>
          </w:rPr>
          <w:fldChar w:fldCharType="end"/>
        </w:r>
      </w:hyperlink>
    </w:p>
    <w:p w14:paraId="19A77E92" w14:textId="66998CB5" w:rsidR="00137F4C" w:rsidRDefault="00000000">
      <w:pPr>
        <w:pStyle w:val="TOC3"/>
        <w:tabs>
          <w:tab w:val="right" w:leader="dot" w:pos="9010"/>
        </w:tabs>
        <w:rPr>
          <w:rFonts w:asciiTheme="minorHAnsi" w:eastAsiaTheme="minorEastAsia" w:hAnsiTheme="minorHAnsi" w:cstheme="minorBidi"/>
          <w:noProof/>
          <w:lang w:val="en-SA"/>
        </w:rPr>
      </w:pPr>
      <w:hyperlink w:anchor="_Toc83751460" w:history="1">
        <w:r w:rsidR="00137F4C" w:rsidRPr="004A73DB">
          <w:rPr>
            <w:rStyle w:val="Hyperlink"/>
            <w:noProof/>
          </w:rPr>
          <w:t>3.3.1. seeds morphology</w:t>
        </w:r>
        <w:r w:rsidR="00137F4C">
          <w:rPr>
            <w:noProof/>
            <w:webHidden/>
          </w:rPr>
          <w:tab/>
        </w:r>
        <w:r w:rsidR="00137F4C">
          <w:rPr>
            <w:noProof/>
            <w:webHidden/>
          </w:rPr>
          <w:fldChar w:fldCharType="begin"/>
        </w:r>
        <w:r w:rsidR="00137F4C">
          <w:rPr>
            <w:noProof/>
            <w:webHidden/>
          </w:rPr>
          <w:instrText xml:space="preserve"> PAGEREF _Toc83751460 \h </w:instrText>
        </w:r>
        <w:r w:rsidR="00137F4C">
          <w:rPr>
            <w:noProof/>
            <w:webHidden/>
          </w:rPr>
        </w:r>
        <w:r w:rsidR="00137F4C">
          <w:rPr>
            <w:noProof/>
            <w:webHidden/>
          </w:rPr>
          <w:fldChar w:fldCharType="separate"/>
        </w:r>
        <w:r w:rsidR="00137F4C">
          <w:rPr>
            <w:noProof/>
            <w:webHidden/>
          </w:rPr>
          <w:t>78</w:t>
        </w:r>
        <w:r w:rsidR="00137F4C">
          <w:rPr>
            <w:noProof/>
            <w:webHidden/>
          </w:rPr>
          <w:fldChar w:fldCharType="end"/>
        </w:r>
      </w:hyperlink>
    </w:p>
    <w:p w14:paraId="49AF6D52" w14:textId="76D9B7E0" w:rsidR="00137F4C" w:rsidRDefault="00000000">
      <w:pPr>
        <w:pStyle w:val="TOC3"/>
        <w:tabs>
          <w:tab w:val="right" w:leader="dot" w:pos="9010"/>
        </w:tabs>
        <w:rPr>
          <w:rFonts w:asciiTheme="minorHAnsi" w:eastAsiaTheme="minorEastAsia" w:hAnsiTheme="minorHAnsi" w:cstheme="minorBidi"/>
          <w:noProof/>
          <w:lang w:val="en-SA"/>
        </w:rPr>
      </w:pPr>
      <w:hyperlink w:anchor="_Toc83751461" w:history="1">
        <w:r w:rsidR="00137F4C" w:rsidRPr="004A73DB">
          <w:rPr>
            <w:rStyle w:val="Hyperlink"/>
            <w:noProof/>
          </w:rPr>
          <w:t>3.3.2 Genomic DNA extraction and purification</w:t>
        </w:r>
        <w:r w:rsidR="00137F4C">
          <w:rPr>
            <w:noProof/>
            <w:webHidden/>
          </w:rPr>
          <w:tab/>
        </w:r>
        <w:r w:rsidR="00137F4C">
          <w:rPr>
            <w:noProof/>
            <w:webHidden/>
          </w:rPr>
          <w:fldChar w:fldCharType="begin"/>
        </w:r>
        <w:r w:rsidR="00137F4C">
          <w:rPr>
            <w:noProof/>
            <w:webHidden/>
          </w:rPr>
          <w:instrText xml:space="preserve"> PAGEREF _Toc83751461 \h </w:instrText>
        </w:r>
        <w:r w:rsidR="00137F4C">
          <w:rPr>
            <w:noProof/>
            <w:webHidden/>
          </w:rPr>
        </w:r>
        <w:r w:rsidR="00137F4C">
          <w:rPr>
            <w:noProof/>
            <w:webHidden/>
          </w:rPr>
          <w:fldChar w:fldCharType="separate"/>
        </w:r>
        <w:r w:rsidR="00137F4C">
          <w:rPr>
            <w:noProof/>
            <w:webHidden/>
          </w:rPr>
          <w:t>79</w:t>
        </w:r>
        <w:r w:rsidR="00137F4C">
          <w:rPr>
            <w:noProof/>
            <w:webHidden/>
          </w:rPr>
          <w:fldChar w:fldCharType="end"/>
        </w:r>
      </w:hyperlink>
    </w:p>
    <w:p w14:paraId="6A01CB29" w14:textId="39B02F79" w:rsidR="00137F4C" w:rsidRDefault="00000000">
      <w:pPr>
        <w:pStyle w:val="TOC3"/>
        <w:tabs>
          <w:tab w:val="right" w:leader="dot" w:pos="9010"/>
        </w:tabs>
        <w:rPr>
          <w:rFonts w:asciiTheme="minorHAnsi" w:eastAsiaTheme="minorEastAsia" w:hAnsiTheme="minorHAnsi" w:cstheme="minorBidi"/>
          <w:noProof/>
          <w:lang w:val="en-SA"/>
        </w:rPr>
      </w:pPr>
      <w:hyperlink w:anchor="_Toc83751462" w:history="1">
        <w:r w:rsidR="00137F4C" w:rsidRPr="004A73DB">
          <w:rPr>
            <w:rStyle w:val="Hyperlink"/>
            <w:noProof/>
          </w:rPr>
          <w:t>3.3.3 18S phylogeny relationship</w:t>
        </w:r>
        <w:r w:rsidR="00137F4C">
          <w:rPr>
            <w:noProof/>
            <w:webHidden/>
          </w:rPr>
          <w:tab/>
        </w:r>
        <w:r w:rsidR="00137F4C">
          <w:rPr>
            <w:noProof/>
            <w:webHidden/>
          </w:rPr>
          <w:fldChar w:fldCharType="begin"/>
        </w:r>
        <w:r w:rsidR="00137F4C">
          <w:rPr>
            <w:noProof/>
            <w:webHidden/>
          </w:rPr>
          <w:instrText xml:space="preserve"> PAGEREF _Toc83751462 \h </w:instrText>
        </w:r>
        <w:r w:rsidR="00137F4C">
          <w:rPr>
            <w:noProof/>
            <w:webHidden/>
          </w:rPr>
        </w:r>
        <w:r w:rsidR="00137F4C">
          <w:rPr>
            <w:noProof/>
            <w:webHidden/>
          </w:rPr>
          <w:fldChar w:fldCharType="separate"/>
        </w:r>
        <w:r w:rsidR="00137F4C">
          <w:rPr>
            <w:noProof/>
            <w:webHidden/>
          </w:rPr>
          <w:t>79</w:t>
        </w:r>
        <w:r w:rsidR="00137F4C">
          <w:rPr>
            <w:noProof/>
            <w:webHidden/>
          </w:rPr>
          <w:fldChar w:fldCharType="end"/>
        </w:r>
      </w:hyperlink>
    </w:p>
    <w:p w14:paraId="61DBE512" w14:textId="1D319EEC" w:rsidR="00137F4C" w:rsidRDefault="00000000">
      <w:pPr>
        <w:pStyle w:val="TOC3"/>
        <w:tabs>
          <w:tab w:val="right" w:leader="dot" w:pos="9010"/>
        </w:tabs>
        <w:rPr>
          <w:rFonts w:asciiTheme="minorHAnsi" w:eastAsiaTheme="minorEastAsia" w:hAnsiTheme="minorHAnsi" w:cstheme="minorBidi"/>
          <w:noProof/>
          <w:lang w:val="en-SA"/>
        </w:rPr>
      </w:pPr>
      <w:hyperlink w:anchor="_Toc83751463" w:history="1">
        <w:r w:rsidR="00137F4C" w:rsidRPr="004A73DB">
          <w:rPr>
            <w:rStyle w:val="Hyperlink"/>
            <w:noProof/>
          </w:rPr>
          <w:t>3.3.4 RBCL phylogeny relationship</w:t>
        </w:r>
        <w:r w:rsidR="00137F4C">
          <w:rPr>
            <w:noProof/>
            <w:webHidden/>
          </w:rPr>
          <w:tab/>
        </w:r>
        <w:r w:rsidR="00137F4C">
          <w:rPr>
            <w:noProof/>
            <w:webHidden/>
          </w:rPr>
          <w:fldChar w:fldCharType="begin"/>
        </w:r>
        <w:r w:rsidR="00137F4C">
          <w:rPr>
            <w:noProof/>
            <w:webHidden/>
          </w:rPr>
          <w:instrText xml:space="preserve"> PAGEREF _Toc83751463 \h </w:instrText>
        </w:r>
        <w:r w:rsidR="00137F4C">
          <w:rPr>
            <w:noProof/>
            <w:webHidden/>
          </w:rPr>
        </w:r>
        <w:r w:rsidR="00137F4C">
          <w:rPr>
            <w:noProof/>
            <w:webHidden/>
          </w:rPr>
          <w:fldChar w:fldCharType="separate"/>
        </w:r>
        <w:r w:rsidR="00137F4C">
          <w:rPr>
            <w:noProof/>
            <w:webHidden/>
          </w:rPr>
          <w:t>84</w:t>
        </w:r>
        <w:r w:rsidR="00137F4C">
          <w:rPr>
            <w:noProof/>
            <w:webHidden/>
          </w:rPr>
          <w:fldChar w:fldCharType="end"/>
        </w:r>
      </w:hyperlink>
    </w:p>
    <w:p w14:paraId="4BEFC312" w14:textId="49D643D9" w:rsidR="00137F4C" w:rsidRDefault="00000000">
      <w:pPr>
        <w:pStyle w:val="TOC3"/>
        <w:tabs>
          <w:tab w:val="right" w:leader="dot" w:pos="9010"/>
        </w:tabs>
        <w:rPr>
          <w:rFonts w:asciiTheme="minorHAnsi" w:eastAsiaTheme="minorEastAsia" w:hAnsiTheme="minorHAnsi" w:cstheme="minorBidi"/>
          <w:noProof/>
          <w:lang w:val="en-SA"/>
        </w:rPr>
      </w:pPr>
      <w:hyperlink w:anchor="_Toc83751464" w:history="1">
        <w:r w:rsidR="00137F4C" w:rsidRPr="004A73DB">
          <w:rPr>
            <w:rStyle w:val="Hyperlink"/>
            <w:noProof/>
          </w:rPr>
          <w:t>3.3.5 ISSR fingerprint phylogeny relationship</w:t>
        </w:r>
        <w:r w:rsidR="00137F4C">
          <w:rPr>
            <w:noProof/>
            <w:webHidden/>
          </w:rPr>
          <w:tab/>
        </w:r>
        <w:r w:rsidR="00137F4C">
          <w:rPr>
            <w:noProof/>
            <w:webHidden/>
          </w:rPr>
          <w:fldChar w:fldCharType="begin"/>
        </w:r>
        <w:r w:rsidR="00137F4C">
          <w:rPr>
            <w:noProof/>
            <w:webHidden/>
          </w:rPr>
          <w:instrText xml:space="preserve"> PAGEREF _Toc83751464 \h </w:instrText>
        </w:r>
        <w:r w:rsidR="00137F4C">
          <w:rPr>
            <w:noProof/>
            <w:webHidden/>
          </w:rPr>
        </w:r>
        <w:r w:rsidR="00137F4C">
          <w:rPr>
            <w:noProof/>
            <w:webHidden/>
          </w:rPr>
          <w:fldChar w:fldCharType="separate"/>
        </w:r>
        <w:r w:rsidR="00137F4C">
          <w:rPr>
            <w:noProof/>
            <w:webHidden/>
          </w:rPr>
          <w:t>88</w:t>
        </w:r>
        <w:r w:rsidR="00137F4C">
          <w:rPr>
            <w:noProof/>
            <w:webHidden/>
          </w:rPr>
          <w:fldChar w:fldCharType="end"/>
        </w:r>
      </w:hyperlink>
    </w:p>
    <w:p w14:paraId="481B7A15" w14:textId="04D5A83E" w:rsidR="00137F4C" w:rsidRDefault="00000000">
      <w:pPr>
        <w:pStyle w:val="TOC2"/>
        <w:tabs>
          <w:tab w:val="right" w:leader="dot" w:pos="9010"/>
        </w:tabs>
        <w:rPr>
          <w:rFonts w:asciiTheme="minorHAnsi" w:eastAsiaTheme="minorEastAsia" w:hAnsiTheme="minorHAnsi" w:cstheme="minorBidi"/>
          <w:noProof/>
          <w:lang w:val="en-SA"/>
        </w:rPr>
      </w:pPr>
      <w:hyperlink w:anchor="_Toc83751465" w:history="1">
        <w:r w:rsidR="00137F4C" w:rsidRPr="004A73DB">
          <w:rPr>
            <w:rStyle w:val="Hyperlink"/>
            <w:noProof/>
          </w:rPr>
          <w:t>3.4 Discussion</w:t>
        </w:r>
        <w:r w:rsidR="00137F4C">
          <w:rPr>
            <w:noProof/>
            <w:webHidden/>
          </w:rPr>
          <w:tab/>
        </w:r>
        <w:r w:rsidR="00137F4C">
          <w:rPr>
            <w:noProof/>
            <w:webHidden/>
          </w:rPr>
          <w:fldChar w:fldCharType="begin"/>
        </w:r>
        <w:r w:rsidR="00137F4C">
          <w:rPr>
            <w:noProof/>
            <w:webHidden/>
          </w:rPr>
          <w:instrText xml:space="preserve"> PAGEREF _Toc83751465 \h </w:instrText>
        </w:r>
        <w:r w:rsidR="00137F4C">
          <w:rPr>
            <w:noProof/>
            <w:webHidden/>
          </w:rPr>
        </w:r>
        <w:r w:rsidR="00137F4C">
          <w:rPr>
            <w:noProof/>
            <w:webHidden/>
          </w:rPr>
          <w:fldChar w:fldCharType="separate"/>
        </w:r>
        <w:r w:rsidR="00137F4C">
          <w:rPr>
            <w:noProof/>
            <w:webHidden/>
          </w:rPr>
          <w:t>94</w:t>
        </w:r>
        <w:r w:rsidR="00137F4C">
          <w:rPr>
            <w:noProof/>
            <w:webHidden/>
          </w:rPr>
          <w:fldChar w:fldCharType="end"/>
        </w:r>
      </w:hyperlink>
    </w:p>
    <w:p w14:paraId="61274AB9" w14:textId="7ACC1905" w:rsidR="00137F4C" w:rsidRDefault="00000000">
      <w:pPr>
        <w:pStyle w:val="TOC3"/>
        <w:tabs>
          <w:tab w:val="right" w:leader="dot" w:pos="9010"/>
        </w:tabs>
        <w:rPr>
          <w:rFonts w:asciiTheme="minorHAnsi" w:eastAsiaTheme="minorEastAsia" w:hAnsiTheme="minorHAnsi" w:cstheme="minorBidi"/>
          <w:noProof/>
          <w:lang w:val="en-SA"/>
        </w:rPr>
      </w:pPr>
      <w:hyperlink w:anchor="_Toc83751466" w:history="1">
        <w:r w:rsidR="00137F4C" w:rsidRPr="004A73DB">
          <w:rPr>
            <w:rStyle w:val="Hyperlink"/>
            <w:noProof/>
          </w:rPr>
          <w:t>3.4.1 seeds morphology</w:t>
        </w:r>
        <w:r w:rsidR="00137F4C">
          <w:rPr>
            <w:noProof/>
            <w:webHidden/>
          </w:rPr>
          <w:tab/>
        </w:r>
        <w:r w:rsidR="00137F4C">
          <w:rPr>
            <w:noProof/>
            <w:webHidden/>
          </w:rPr>
          <w:fldChar w:fldCharType="begin"/>
        </w:r>
        <w:r w:rsidR="00137F4C">
          <w:rPr>
            <w:noProof/>
            <w:webHidden/>
          </w:rPr>
          <w:instrText xml:space="preserve"> PAGEREF _Toc83751466 \h </w:instrText>
        </w:r>
        <w:r w:rsidR="00137F4C">
          <w:rPr>
            <w:noProof/>
            <w:webHidden/>
          </w:rPr>
        </w:r>
        <w:r w:rsidR="00137F4C">
          <w:rPr>
            <w:noProof/>
            <w:webHidden/>
          </w:rPr>
          <w:fldChar w:fldCharType="separate"/>
        </w:r>
        <w:r w:rsidR="00137F4C">
          <w:rPr>
            <w:noProof/>
            <w:webHidden/>
          </w:rPr>
          <w:t>94</w:t>
        </w:r>
        <w:r w:rsidR="00137F4C">
          <w:rPr>
            <w:noProof/>
            <w:webHidden/>
          </w:rPr>
          <w:fldChar w:fldCharType="end"/>
        </w:r>
      </w:hyperlink>
    </w:p>
    <w:p w14:paraId="3B6A85E8" w14:textId="6918E88E" w:rsidR="00137F4C" w:rsidRDefault="00000000">
      <w:pPr>
        <w:pStyle w:val="TOC3"/>
        <w:tabs>
          <w:tab w:val="right" w:leader="dot" w:pos="9010"/>
        </w:tabs>
        <w:rPr>
          <w:rFonts w:asciiTheme="minorHAnsi" w:eastAsiaTheme="minorEastAsia" w:hAnsiTheme="minorHAnsi" w:cstheme="minorBidi"/>
          <w:noProof/>
          <w:lang w:val="en-SA"/>
        </w:rPr>
      </w:pPr>
      <w:hyperlink w:anchor="_Toc83751467" w:history="1">
        <w:r w:rsidR="00137F4C" w:rsidRPr="004A73DB">
          <w:rPr>
            <w:rStyle w:val="Hyperlink"/>
            <w:noProof/>
          </w:rPr>
          <w:t>3.4.2 18S phylogeny relationship</w:t>
        </w:r>
        <w:r w:rsidR="00137F4C">
          <w:rPr>
            <w:noProof/>
            <w:webHidden/>
          </w:rPr>
          <w:tab/>
        </w:r>
        <w:r w:rsidR="00137F4C">
          <w:rPr>
            <w:noProof/>
            <w:webHidden/>
          </w:rPr>
          <w:fldChar w:fldCharType="begin"/>
        </w:r>
        <w:r w:rsidR="00137F4C">
          <w:rPr>
            <w:noProof/>
            <w:webHidden/>
          </w:rPr>
          <w:instrText xml:space="preserve"> PAGEREF _Toc83751467 \h </w:instrText>
        </w:r>
        <w:r w:rsidR="00137F4C">
          <w:rPr>
            <w:noProof/>
            <w:webHidden/>
          </w:rPr>
        </w:r>
        <w:r w:rsidR="00137F4C">
          <w:rPr>
            <w:noProof/>
            <w:webHidden/>
          </w:rPr>
          <w:fldChar w:fldCharType="separate"/>
        </w:r>
        <w:r w:rsidR="00137F4C">
          <w:rPr>
            <w:noProof/>
            <w:webHidden/>
          </w:rPr>
          <w:t>94</w:t>
        </w:r>
        <w:r w:rsidR="00137F4C">
          <w:rPr>
            <w:noProof/>
            <w:webHidden/>
          </w:rPr>
          <w:fldChar w:fldCharType="end"/>
        </w:r>
      </w:hyperlink>
    </w:p>
    <w:p w14:paraId="009FE1F0" w14:textId="13185E84" w:rsidR="00137F4C" w:rsidRDefault="00000000">
      <w:pPr>
        <w:pStyle w:val="TOC3"/>
        <w:tabs>
          <w:tab w:val="right" w:leader="dot" w:pos="9010"/>
        </w:tabs>
        <w:rPr>
          <w:rFonts w:asciiTheme="minorHAnsi" w:eastAsiaTheme="minorEastAsia" w:hAnsiTheme="minorHAnsi" w:cstheme="minorBidi"/>
          <w:noProof/>
          <w:lang w:val="en-SA"/>
        </w:rPr>
      </w:pPr>
      <w:hyperlink w:anchor="_Toc83751468" w:history="1">
        <w:r w:rsidR="00137F4C" w:rsidRPr="004A73DB">
          <w:rPr>
            <w:rStyle w:val="Hyperlink"/>
            <w:noProof/>
          </w:rPr>
          <w:t>3.4.3 RBCL phylogeny relationship</w:t>
        </w:r>
        <w:r w:rsidR="00137F4C">
          <w:rPr>
            <w:noProof/>
            <w:webHidden/>
          </w:rPr>
          <w:tab/>
        </w:r>
        <w:r w:rsidR="00137F4C">
          <w:rPr>
            <w:noProof/>
            <w:webHidden/>
          </w:rPr>
          <w:fldChar w:fldCharType="begin"/>
        </w:r>
        <w:r w:rsidR="00137F4C">
          <w:rPr>
            <w:noProof/>
            <w:webHidden/>
          </w:rPr>
          <w:instrText xml:space="preserve"> PAGEREF _Toc83751468 \h </w:instrText>
        </w:r>
        <w:r w:rsidR="00137F4C">
          <w:rPr>
            <w:noProof/>
            <w:webHidden/>
          </w:rPr>
        </w:r>
        <w:r w:rsidR="00137F4C">
          <w:rPr>
            <w:noProof/>
            <w:webHidden/>
          </w:rPr>
          <w:fldChar w:fldCharType="separate"/>
        </w:r>
        <w:r w:rsidR="00137F4C">
          <w:rPr>
            <w:noProof/>
            <w:webHidden/>
          </w:rPr>
          <w:t>94</w:t>
        </w:r>
        <w:r w:rsidR="00137F4C">
          <w:rPr>
            <w:noProof/>
            <w:webHidden/>
          </w:rPr>
          <w:fldChar w:fldCharType="end"/>
        </w:r>
      </w:hyperlink>
    </w:p>
    <w:p w14:paraId="10AB60B3" w14:textId="23785444" w:rsidR="00137F4C" w:rsidRDefault="00000000">
      <w:pPr>
        <w:pStyle w:val="TOC3"/>
        <w:tabs>
          <w:tab w:val="right" w:leader="dot" w:pos="9010"/>
        </w:tabs>
        <w:rPr>
          <w:rFonts w:asciiTheme="minorHAnsi" w:eastAsiaTheme="minorEastAsia" w:hAnsiTheme="minorHAnsi" w:cstheme="minorBidi"/>
          <w:noProof/>
          <w:lang w:val="en-SA"/>
        </w:rPr>
      </w:pPr>
      <w:hyperlink w:anchor="_Toc83751469" w:history="1">
        <w:r w:rsidR="00137F4C" w:rsidRPr="004A73DB">
          <w:rPr>
            <w:rStyle w:val="Hyperlink"/>
            <w:noProof/>
          </w:rPr>
          <w:t>3.4.4 ISSR fingerprint phylogeny relationship</w:t>
        </w:r>
        <w:r w:rsidR="00137F4C">
          <w:rPr>
            <w:noProof/>
            <w:webHidden/>
          </w:rPr>
          <w:tab/>
        </w:r>
        <w:r w:rsidR="00137F4C">
          <w:rPr>
            <w:noProof/>
            <w:webHidden/>
          </w:rPr>
          <w:fldChar w:fldCharType="begin"/>
        </w:r>
        <w:r w:rsidR="00137F4C">
          <w:rPr>
            <w:noProof/>
            <w:webHidden/>
          </w:rPr>
          <w:instrText xml:space="preserve"> PAGEREF _Toc83751469 \h </w:instrText>
        </w:r>
        <w:r w:rsidR="00137F4C">
          <w:rPr>
            <w:noProof/>
            <w:webHidden/>
          </w:rPr>
        </w:r>
        <w:r w:rsidR="00137F4C">
          <w:rPr>
            <w:noProof/>
            <w:webHidden/>
          </w:rPr>
          <w:fldChar w:fldCharType="separate"/>
        </w:r>
        <w:r w:rsidR="00137F4C">
          <w:rPr>
            <w:noProof/>
            <w:webHidden/>
          </w:rPr>
          <w:t>95</w:t>
        </w:r>
        <w:r w:rsidR="00137F4C">
          <w:rPr>
            <w:noProof/>
            <w:webHidden/>
          </w:rPr>
          <w:fldChar w:fldCharType="end"/>
        </w:r>
      </w:hyperlink>
    </w:p>
    <w:p w14:paraId="19A96276" w14:textId="269CC74F" w:rsidR="00137F4C" w:rsidRDefault="00000000">
      <w:pPr>
        <w:pStyle w:val="TOC2"/>
        <w:tabs>
          <w:tab w:val="right" w:leader="dot" w:pos="9010"/>
        </w:tabs>
        <w:rPr>
          <w:rFonts w:asciiTheme="minorHAnsi" w:eastAsiaTheme="minorEastAsia" w:hAnsiTheme="minorHAnsi" w:cstheme="minorBidi"/>
          <w:noProof/>
          <w:lang w:val="en-SA"/>
        </w:rPr>
      </w:pPr>
      <w:hyperlink w:anchor="_Toc83751470" w:history="1">
        <w:r w:rsidR="00137F4C" w:rsidRPr="004A73DB">
          <w:rPr>
            <w:rStyle w:val="Hyperlink"/>
            <w:noProof/>
          </w:rPr>
          <w:t>3.5 Conclusion</w:t>
        </w:r>
        <w:r w:rsidR="00137F4C">
          <w:rPr>
            <w:noProof/>
            <w:webHidden/>
          </w:rPr>
          <w:tab/>
        </w:r>
        <w:r w:rsidR="00137F4C">
          <w:rPr>
            <w:noProof/>
            <w:webHidden/>
          </w:rPr>
          <w:fldChar w:fldCharType="begin"/>
        </w:r>
        <w:r w:rsidR="00137F4C">
          <w:rPr>
            <w:noProof/>
            <w:webHidden/>
          </w:rPr>
          <w:instrText xml:space="preserve"> PAGEREF _Toc83751470 \h </w:instrText>
        </w:r>
        <w:r w:rsidR="00137F4C">
          <w:rPr>
            <w:noProof/>
            <w:webHidden/>
          </w:rPr>
        </w:r>
        <w:r w:rsidR="00137F4C">
          <w:rPr>
            <w:noProof/>
            <w:webHidden/>
          </w:rPr>
          <w:fldChar w:fldCharType="separate"/>
        </w:r>
        <w:r w:rsidR="00137F4C">
          <w:rPr>
            <w:noProof/>
            <w:webHidden/>
          </w:rPr>
          <w:t>97</w:t>
        </w:r>
        <w:r w:rsidR="00137F4C">
          <w:rPr>
            <w:noProof/>
            <w:webHidden/>
          </w:rPr>
          <w:fldChar w:fldCharType="end"/>
        </w:r>
      </w:hyperlink>
    </w:p>
    <w:p w14:paraId="12330706" w14:textId="1695D937" w:rsidR="00137F4C" w:rsidRDefault="00000000">
      <w:pPr>
        <w:pStyle w:val="TOC1"/>
        <w:tabs>
          <w:tab w:val="left" w:pos="1440"/>
          <w:tab w:val="right" w:leader="dot" w:pos="9010"/>
        </w:tabs>
        <w:rPr>
          <w:rFonts w:asciiTheme="minorHAnsi" w:eastAsiaTheme="minorEastAsia" w:hAnsiTheme="minorHAnsi" w:cstheme="minorBidi"/>
          <w:noProof/>
          <w:lang w:val="en-SA"/>
        </w:rPr>
      </w:pPr>
      <w:hyperlink w:anchor="_Toc83751471" w:history="1">
        <w:r w:rsidR="00137F4C" w:rsidRPr="004A73DB">
          <w:rPr>
            <w:rStyle w:val="Hyperlink"/>
            <w:noProof/>
          </w:rPr>
          <w:t>Chapter 4 :</w:t>
        </w:r>
        <w:r w:rsidR="00137F4C">
          <w:rPr>
            <w:rFonts w:asciiTheme="minorHAnsi" w:eastAsiaTheme="minorEastAsia" w:hAnsiTheme="minorHAnsi" w:cstheme="minorBidi"/>
            <w:noProof/>
            <w:lang w:val="en-SA"/>
          </w:rPr>
          <w:tab/>
        </w:r>
        <w:r w:rsidR="00137F4C" w:rsidRPr="004A73DB">
          <w:rPr>
            <w:rStyle w:val="Hyperlink"/>
            <w:noProof/>
          </w:rPr>
          <w:t xml:space="preserve">The effect of Arbuscular Mycorrhizal Fungi on the biochemical response of </w:t>
        </w:r>
        <w:r w:rsidR="00137F4C" w:rsidRPr="004A73DB">
          <w:rPr>
            <w:rStyle w:val="Hyperlink"/>
            <w:i/>
            <w:iCs/>
            <w:noProof/>
          </w:rPr>
          <w:t>Zea mays</w:t>
        </w:r>
        <w:r w:rsidR="00137F4C" w:rsidRPr="004A73DB">
          <w:rPr>
            <w:rStyle w:val="Hyperlink"/>
            <w:noProof/>
          </w:rPr>
          <w:t xml:space="preserve"> shoots and roots</w:t>
        </w:r>
        <w:r w:rsidR="00137F4C">
          <w:rPr>
            <w:noProof/>
            <w:webHidden/>
          </w:rPr>
          <w:tab/>
        </w:r>
        <w:r w:rsidR="00137F4C">
          <w:rPr>
            <w:noProof/>
            <w:webHidden/>
          </w:rPr>
          <w:fldChar w:fldCharType="begin"/>
        </w:r>
        <w:r w:rsidR="00137F4C">
          <w:rPr>
            <w:noProof/>
            <w:webHidden/>
          </w:rPr>
          <w:instrText xml:space="preserve"> PAGEREF _Toc83751471 \h </w:instrText>
        </w:r>
        <w:r w:rsidR="00137F4C">
          <w:rPr>
            <w:noProof/>
            <w:webHidden/>
          </w:rPr>
        </w:r>
        <w:r w:rsidR="00137F4C">
          <w:rPr>
            <w:noProof/>
            <w:webHidden/>
          </w:rPr>
          <w:fldChar w:fldCharType="separate"/>
        </w:r>
        <w:r w:rsidR="00137F4C">
          <w:rPr>
            <w:noProof/>
            <w:webHidden/>
          </w:rPr>
          <w:t>98</w:t>
        </w:r>
        <w:r w:rsidR="00137F4C">
          <w:rPr>
            <w:noProof/>
            <w:webHidden/>
          </w:rPr>
          <w:fldChar w:fldCharType="end"/>
        </w:r>
      </w:hyperlink>
    </w:p>
    <w:p w14:paraId="4AA12B36" w14:textId="39529058" w:rsidR="00137F4C" w:rsidRDefault="00000000">
      <w:pPr>
        <w:pStyle w:val="TOC2"/>
        <w:tabs>
          <w:tab w:val="right" w:leader="dot" w:pos="9010"/>
        </w:tabs>
        <w:rPr>
          <w:rFonts w:asciiTheme="minorHAnsi" w:eastAsiaTheme="minorEastAsia" w:hAnsiTheme="minorHAnsi" w:cstheme="minorBidi"/>
          <w:noProof/>
          <w:lang w:val="en-SA"/>
        </w:rPr>
      </w:pPr>
      <w:hyperlink w:anchor="_Toc83751472" w:history="1">
        <w:r w:rsidR="00137F4C" w:rsidRPr="004A73DB">
          <w:rPr>
            <w:rStyle w:val="Hyperlink"/>
            <w:noProof/>
          </w:rPr>
          <w:t>4.1 Introduction</w:t>
        </w:r>
        <w:r w:rsidR="00137F4C">
          <w:rPr>
            <w:noProof/>
            <w:webHidden/>
          </w:rPr>
          <w:tab/>
        </w:r>
        <w:r w:rsidR="00137F4C">
          <w:rPr>
            <w:noProof/>
            <w:webHidden/>
          </w:rPr>
          <w:fldChar w:fldCharType="begin"/>
        </w:r>
        <w:r w:rsidR="00137F4C">
          <w:rPr>
            <w:noProof/>
            <w:webHidden/>
          </w:rPr>
          <w:instrText xml:space="preserve"> PAGEREF _Toc83751472 \h </w:instrText>
        </w:r>
        <w:r w:rsidR="00137F4C">
          <w:rPr>
            <w:noProof/>
            <w:webHidden/>
          </w:rPr>
        </w:r>
        <w:r w:rsidR="00137F4C">
          <w:rPr>
            <w:noProof/>
            <w:webHidden/>
          </w:rPr>
          <w:fldChar w:fldCharType="separate"/>
        </w:r>
        <w:r w:rsidR="00137F4C">
          <w:rPr>
            <w:noProof/>
            <w:webHidden/>
          </w:rPr>
          <w:t>98</w:t>
        </w:r>
        <w:r w:rsidR="00137F4C">
          <w:rPr>
            <w:noProof/>
            <w:webHidden/>
          </w:rPr>
          <w:fldChar w:fldCharType="end"/>
        </w:r>
      </w:hyperlink>
    </w:p>
    <w:p w14:paraId="24039764" w14:textId="36408B3B" w:rsidR="00137F4C" w:rsidRDefault="00000000">
      <w:pPr>
        <w:pStyle w:val="TOC2"/>
        <w:tabs>
          <w:tab w:val="right" w:leader="dot" w:pos="9010"/>
        </w:tabs>
        <w:rPr>
          <w:rFonts w:asciiTheme="minorHAnsi" w:eastAsiaTheme="minorEastAsia" w:hAnsiTheme="minorHAnsi" w:cstheme="minorBidi"/>
          <w:noProof/>
          <w:lang w:val="en-SA"/>
        </w:rPr>
      </w:pPr>
      <w:hyperlink w:anchor="_Toc83751473" w:history="1">
        <w:r w:rsidR="00137F4C" w:rsidRPr="004A73DB">
          <w:rPr>
            <w:rStyle w:val="Hyperlink"/>
            <w:noProof/>
          </w:rPr>
          <w:t>4.2 Materials and Methods</w:t>
        </w:r>
        <w:r w:rsidR="00137F4C">
          <w:rPr>
            <w:noProof/>
            <w:webHidden/>
          </w:rPr>
          <w:tab/>
        </w:r>
        <w:r w:rsidR="00137F4C">
          <w:rPr>
            <w:noProof/>
            <w:webHidden/>
          </w:rPr>
          <w:fldChar w:fldCharType="begin"/>
        </w:r>
        <w:r w:rsidR="00137F4C">
          <w:rPr>
            <w:noProof/>
            <w:webHidden/>
          </w:rPr>
          <w:instrText xml:space="preserve"> PAGEREF _Toc83751473 \h </w:instrText>
        </w:r>
        <w:r w:rsidR="00137F4C">
          <w:rPr>
            <w:noProof/>
            <w:webHidden/>
          </w:rPr>
        </w:r>
        <w:r w:rsidR="00137F4C">
          <w:rPr>
            <w:noProof/>
            <w:webHidden/>
          </w:rPr>
          <w:fldChar w:fldCharType="separate"/>
        </w:r>
        <w:r w:rsidR="00137F4C">
          <w:rPr>
            <w:noProof/>
            <w:webHidden/>
          </w:rPr>
          <w:t>102</w:t>
        </w:r>
        <w:r w:rsidR="00137F4C">
          <w:rPr>
            <w:noProof/>
            <w:webHidden/>
          </w:rPr>
          <w:fldChar w:fldCharType="end"/>
        </w:r>
      </w:hyperlink>
    </w:p>
    <w:p w14:paraId="38D38E2D" w14:textId="438D9D0C" w:rsidR="00137F4C" w:rsidRDefault="00000000">
      <w:pPr>
        <w:pStyle w:val="TOC3"/>
        <w:tabs>
          <w:tab w:val="right" w:leader="dot" w:pos="9010"/>
        </w:tabs>
        <w:rPr>
          <w:rFonts w:asciiTheme="minorHAnsi" w:eastAsiaTheme="minorEastAsia" w:hAnsiTheme="minorHAnsi" w:cstheme="minorBidi"/>
          <w:noProof/>
          <w:lang w:val="en-SA"/>
        </w:rPr>
      </w:pPr>
      <w:hyperlink w:anchor="_Toc83751474" w:history="1">
        <w:r w:rsidR="00137F4C" w:rsidRPr="004A73DB">
          <w:rPr>
            <w:rStyle w:val="Hyperlink"/>
            <w:noProof/>
          </w:rPr>
          <w:t>4.2.1 Shoot and root metabolite extraction</w:t>
        </w:r>
        <w:r w:rsidR="00137F4C">
          <w:rPr>
            <w:noProof/>
            <w:webHidden/>
          </w:rPr>
          <w:tab/>
        </w:r>
        <w:r w:rsidR="00137F4C">
          <w:rPr>
            <w:noProof/>
            <w:webHidden/>
          </w:rPr>
          <w:fldChar w:fldCharType="begin"/>
        </w:r>
        <w:r w:rsidR="00137F4C">
          <w:rPr>
            <w:noProof/>
            <w:webHidden/>
          </w:rPr>
          <w:instrText xml:space="preserve"> PAGEREF _Toc83751474 \h </w:instrText>
        </w:r>
        <w:r w:rsidR="00137F4C">
          <w:rPr>
            <w:noProof/>
            <w:webHidden/>
          </w:rPr>
        </w:r>
        <w:r w:rsidR="00137F4C">
          <w:rPr>
            <w:noProof/>
            <w:webHidden/>
          </w:rPr>
          <w:fldChar w:fldCharType="separate"/>
        </w:r>
        <w:r w:rsidR="00137F4C">
          <w:rPr>
            <w:noProof/>
            <w:webHidden/>
          </w:rPr>
          <w:t>102</w:t>
        </w:r>
        <w:r w:rsidR="00137F4C">
          <w:rPr>
            <w:noProof/>
            <w:webHidden/>
          </w:rPr>
          <w:fldChar w:fldCharType="end"/>
        </w:r>
      </w:hyperlink>
    </w:p>
    <w:p w14:paraId="27022CB1" w14:textId="6FD92C9B" w:rsidR="00137F4C" w:rsidRDefault="00000000">
      <w:pPr>
        <w:pStyle w:val="TOC3"/>
        <w:tabs>
          <w:tab w:val="right" w:leader="dot" w:pos="9010"/>
        </w:tabs>
        <w:rPr>
          <w:rFonts w:asciiTheme="minorHAnsi" w:eastAsiaTheme="minorEastAsia" w:hAnsiTheme="minorHAnsi" w:cstheme="minorBidi"/>
          <w:noProof/>
          <w:lang w:val="en-SA"/>
        </w:rPr>
      </w:pPr>
      <w:hyperlink w:anchor="_Toc83751475" w:history="1">
        <w:r w:rsidR="00137F4C" w:rsidRPr="004A73DB">
          <w:rPr>
            <w:rStyle w:val="Hyperlink"/>
            <w:noProof/>
          </w:rPr>
          <w:t>4.2.2 Matrix-assisted laser desorption ionization mass spectrometry (MALDI-MS) analysis of shoot and root metabolites</w:t>
        </w:r>
        <w:r w:rsidR="00137F4C">
          <w:rPr>
            <w:noProof/>
            <w:webHidden/>
          </w:rPr>
          <w:tab/>
        </w:r>
        <w:r w:rsidR="00137F4C">
          <w:rPr>
            <w:noProof/>
            <w:webHidden/>
          </w:rPr>
          <w:fldChar w:fldCharType="begin"/>
        </w:r>
        <w:r w:rsidR="00137F4C">
          <w:rPr>
            <w:noProof/>
            <w:webHidden/>
          </w:rPr>
          <w:instrText xml:space="preserve"> PAGEREF _Toc83751475 \h </w:instrText>
        </w:r>
        <w:r w:rsidR="00137F4C">
          <w:rPr>
            <w:noProof/>
            <w:webHidden/>
          </w:rPr>
        </w:r>
        <w:r w:rsidR="00137F4C">
          <w:rPr>
            <w:noProof/>
            <w:webHidden/>
          </w:rPr>
          <w:fldChar w:fldCharType="separate"/>
        </w:r>
        <w:r w:rsidR="00137F4C">
          <w:rPr>
            <w:noProof/>
            <w:webHidden/>
          </w:rPr>
          <w:t>102</w:t>
        </w:r>
        <w:r w:rsidR="00137F4C">
          <w:rPr>
            <w:noProof/>
            <w:webHidden/>
          </w:rPr>
          <w:fldChar w:fldCharType="end"/>
        </w:r>
      </w:hyperlink>
    </w:p>
    <w:p w14:paraId="19793BB3" w14:textId="6FB2B1DD" w:rsidR="00137F4C" w:rsidRDefault="00000000">
      <w:pPr>
        <w:pStyle w:val="TOC3"/>
        <w:tabs>
          <w:tab w:val="right" w:leader="dot" w:pos="9010"/>
        </w:tabs>
        <w:rPr>
          <w:rFonts w:asciiTheme="minorHAnsi" w:eastAsiaTheme="minorEastAsia" w:hAnsiTheme="minorHAnsi" w:cstheme="minorBidi"/>
          <w:noProof/>
          <w:lang w:val="en-SA"/>
        </w:rPr>
      </w:pPr>
      <w:hyperlink w:anchor="_Toc83751476" w:history="1">
        <w:r w:rsidR="00137F4C" w:rsidRPr="004A73DB">
          <w:rPr>
            <w:rStyle w:val="Hyperlink"/>
            <w:noProof/>
          </w:rPr>
          <w:t>4.2.3 Data processing and statistical analysis</w:t>
        </w:r>
        <w:r w:rsidR="00137F4C">
          <w:rPr>
            <w:noProof/>
            <w:webHidden/>
          </w:rPr>
          <w:tab/>
        </w:r>
        <w:r w:rsidR="00137F4C">
          <w:rPr>
            <w:noProof/>
            <w:webHidden/>
          </w:rPr>
          <w:fldChar w:fldCharType="begin"/>
        </w:r>
        <w:r w:rsidR="00137F4C">
          <w:rPr>
            <w:noProof/>
            <w:webHidden/>
          </w:rPr>
          <w:instrText xml:space="preserve"> PAGEREF _Toc83751476 \h </w:instrText>
        </w:r>
        <w:r w:rsidR="00137F4C">
          <w:rPr>
            <w:noProof/>
            <w:webHidden/>
          </w:rPr>
        </w:r>
        <w:r w:rsidR="00137F4C">
          <w:rPr>
            <w:noProof/>
            <w:webHidden/>
          </w:rPr>
          <w:fldChar w:fldCharType="separate"/>
        </w:r>
        <w:r w:rsidR="00137F4C">
          <w:rPr>
            <w:noProof/>
            <w:webHidden/>
          </w:rPr>
          <w:t>105</w:t>
        </w:r>
        <w:r w:rsidR="00137F4C">
          <w:rPr>
            <w:noProof/>
            <w:webHidden/>
          </w:rPr>
          <w:fldChar w:fldCharType="end"/>
        </w:r>
      </w:hyperlink>
    </w:p>
    <w:p w14:paraId="5AF3FABF" w14:textId="2914A937" w:rsidR="00137F4C" w:rsidRDefault="00000000">
      <w:pPr>
        <w:pStyle w:val="TOC2"/>
        <w:tabs>
          <w:tab w:val="right" w:leader="dot" w:pos="9010"/>
        </w:tabs>
        <w:rPr>
          <w:rFonts w:asciiTheme="minorHAnsi" w:eastAsiaTheme="minorEastAsia" w:hAnsiTheme="minorHAnsi" w:cstheme="minorBidi"/>
          <w:noProof/>
          <w:lang w:val="en-SA"/>
        </w:rPr>
      </w:pPr>
      <w:hyperlink w:anchor="_Toc83751477" w:history="1">
        <w:r w:rsidR="00137F4C" w:rsidRPr="004A73DB">
          <w:rPr>
            <w:rStyle w:val="Hyperlink"/>
            <w:noProof/>
          </w:rPr>
          <w:t>4.3 Results</w:t>
        </w:r>
        <w:r w:rsidR="00137F4C">
          <w:rPr>
            <w:noProof/>
            <w:webHidden/>
          </w:rPr>
          <w:tab/>
        </w:r>
        <w:r w:rsidR="00137F4C">
          <w:rPr>
            <w:noProof/>
            <w:webHidden/>
          </w:rPr>
          <w:fldChar w:fldCharType="begin"/>
        </w:r>
        <w:r w:rsidR="00137F4C">
          <w:rPr>
            <w:noProof/>
            <w:webHidden/>
          </w:rPr>
          <w:instrText xml:space="preserve"> PAGEREF _Toc83751477 \h </w:instrText>
        </w:r>
        <w:r w:rsidR="00137F4C">
          <w:rPr>
            <w:noProof/>
            <w:webHidden/>
          </w:rPr>
        </w:r>
        <w:r w:rsidR="00137F4C">
          <w:rPr>
            <w:noProof/>
            <w:webHidden/>
          </w:rPr>
          <w:fldChar w:fldCharType="separate"/>
        </w:r>
        <w:r w:rsidR="00137F4C">
          <w:rPr>
            <w:noProof/>
            <w:webHidden/>
          </w:rPr>
          <w:t>108</w:t>
        </w:r>
        <w:r w:rsidR="00137F4C">
          <w:rPr>
            <w:noProof/>
            <w:webHidden/>
          </w:rPr>
          <w:fldChar w:fldCharType="end"/>
        </w:r>
      </w:hyperlink>
    </w:p>
    <w:p w14:paraId="5CE75E7B" w14:textId="64AACB17" w:rsidR="00137F4C" w:rsidRDefault="00000000">
      <w:pPr>
        <w:pStyle w:val="TOC3"/>
        <w:tabs>
          <w:tab w:val="right" w:leader="dot" w:pos="9010"/>
        </w:tabs>
        <w:rPr>
          <w:rFonts w:asciiTheme="minorHAnsi" w:eastAsiaTheme="minorEastAsia" w:hAnsiTheme="minorHAnsi" w:cstheme="minorBidi"/>
          <w:noProof/>
          <w:lang w:val="en-SA"/>
        </w:rPr>
      </w:pPr>
      <w:hyperlink w:anchor="_Toc83751478" w:history="1">
        <w:r w:rsidR="00137F4C" w:rsidRPr="004A73DB">
          <w:rPr>
            <w:rStyle w:val="Hyperlink"/>
            <w:noProof/>
          </w:rPr>
          <w:t>4.3.1 Unsupervised analysis of metabolic fingerprints by Principal Component Analysis (PCA)</w:t>
        </w:r>
        <w:r w:rsidR="00137F4C">
          <w:rPr>
            <w:noProof/>
            <w:webHidden/>
          </w:rPr>
          <w:tab/>
        </w:r>
        <w:r w:rsidR="00137F4C">
          <w:rPr>
            <w:noProof/>
            <w:webHidden/>
          </w:rPr>
          <w:fldChar w:fldCharType="begin"/>
        </w:r>
        <w:r w:rsidR="00137F4C">
          <w:rPr>
            <w:noProof/>
            <w:webHidden/>
          </w:rPr>
          <w:instrText xml:space="preserve"> PAGEREF _Toc83751478 \h </w:instrText>
        </w:r>
        <w:r w:rsidR="00137F4C">
          <w:rPr>
            <w:noProof/>
            <w:webHidden/>
          </w:rPr>
        </w:r>
        <w:r w:rsidR="00137F4C">
          <w:rPr>
            <w:noProof/>
            <w:webHidden/>
          </w:rPr>
          <w:fldChar w:fldCharType="separate"/>
        </w:r>
        <w:r w:rsidR="00137F4C">
          <w:rPr>
            <w:noProof/>
            <w:webHidden/>
          </w:rPr>
          <w:t>108</w:t>
        </w:r>
        <w:r w:rsidR="00137F4C">
          <w:rPr>
            <w:noProof/>
            <w:webHidden/>
          </w:rPr>
          <w:fldChar w:fldCharType="end"/>
        </w:r>
      </w:hyperlink>
    </w:p>
    <w:p w14:paraId="33208082" w14:textId="1CC160F5" w:rsidR="00137F4C" w:rsidRDefault="00000000">
      <w:pPr>
        <w:pStyle w:val="TOC3"/>
        <w:tabs>
          <w:tab w:val="right" w:leader="dot" w:pos="9010"/>
        </w:tabs>
        <w:rPr>
          <w:rFonts w:asciiTheme="minorHAnsi" w:eastAsiaTheme="minorEastAsia" w:hAnsiTheme="minorHAnsi" w:cstheme="minorBidi"/>
          <w:noProof/>
          <w:lang w:val="en-SA"/>
        </w:rPr>
      </w:pPr>
      <w:hyperlink w:anchor="_Toc83751479" w:history="1">
        <w:r w:rsidR="00137F4C" w:rsidRPr="004A73DB">
          <w:rPr>
            <w:rStyle w:val="Hyperlink"/>
            <w:i/>
            <w:noProof/>
          </w:rPr>
          <w:t>4.3.2 Supervised multivariate analysis comparisons of metabolite fingerprints using Orthogonal Partial Least Squares Discriminant Analysis (OPLS-DA)</w:t>
        </w:r>
        <w:r w:rsidR="00137F4C">
          <w:rPr>
            <w:noProof/>
            <w:webHidden/>
          </w:rPr>
          <w:tab/>
        </w:r>
        <w:r w:rsidR="00137F4C">
          <w:rPr>
            <w:noProof/>
            <w:webHidden/>
          </w:rPr>
          <w:fldChar w:fldCharType="begin"/>
        </w:r>
        <w:r w:rsidR="00137F4C">
          <w:rPr>
            <w:noProof/>
            <w:webHidden/>
          </w:rPr>
          <w:instrText xml:space="preserve"> PAGEREF _Toc83751479 \h </w:instrText>
        </w:r>
        <w:r w:rsidR="00137F4C">
          <w:rPr>
            <w:noProof/>
            <w:webHidden/>
          </w:rPr>
        </w:r>
        <w:r w:rsidR="00137F4C">
          <w:rPr>
            <w:noProof/>
            <w:webHidden/>
          </w:rPr>
          <w:fldChar w:fldCharType="separate"/>
        </w:r>
        <w:r w:rsidR="00137F4C">
          <w:rPr>
            <w:noProof/>
            <w:webHidden/>
          </w:rPr>
          <w:t>113</w:t>
        </w:r>
        <w:r w:rsidR="00137F4C">
          <w:rPr>
            <w:noProof/>
            <w:webHidden/>
          </w:rPr>
          <w:fldChar w:fldCharType="end"/>
        </w:r>
      </w:hyperlink>
    </w:p>
    <w:p w14:paraId="00EEBD51" w14:textId="6825ECDB" w:rsidR="00137F4C" w:rsidRDefault="00000000">
      <w:pPr>
        <w:pStyle w:val="TOC3"/>
        <w:tabs>
          <w:tab w:val="right" w:leader="dot" w:pos="9010"/>
        </w:tabs>
        <w:rPr>
          <w:rFonts w:asciiTheme="minorHAnsi" w:eastAsiaTheme="minorEastAsia" w:hAnsiTheme="minorHAnsi" w:cstheme="minorBidi"/>
          <w:noProof/>
          <w:lang w:val="en-SA"/>
        </w:rPr>
      </w:pPr>
      <w:hyperlink w:anchor="_Toc83751480" w:history="1">
        <w:r w:rsidR="00137F4C" w:rsidRPr="004A73DB">
          <w:rPr>
            <w:rStyle w:val="Hyperlink"/>
            <w:noProof/>
          </w:rPr>
          <w:t>4.3.3 Average intensities of % total ion counts of metabolites</w:t>
        </w:r>
        <w:r w:rsidR="00137F4C">
          <w:rPr>
            <w:noProof/>
            <w:webHidden/>
          </w:rPr>
          <w:tab/>
        </w:r>
        <w:r w:rsidR="00137F4C">
          <w:rPr>
            <w:noProof/>
            <w:webHidden/>
          </w:rPr>
          <w:fldChar w:fldCharType="begin"/>
        </w:r>
        <w:r w:rsidR="00137F4C">
          <w:rPr>
            <w:noProof/>
            <w:webHidden/>
          </w:rPr>
          <w:instrText xml:space="preserve"> PAGEREF _Toc83751480 \h </w:instrText>
        </w:r>
        <w:r w:rsidR="00137F4C">
          <w:rPr>
            <w:noProof/>
            <w:webHidden/>
          </w:rPr>
        </w:r>
        <w:r w:rsidR="00137F4C">
          <w:rPr>
            <w:noProof/>
            <w:webHidden/>
          </w:rPr>
          <w:fldChar w:fldCharType="separate"/>
        </w:r>
        <w:r w:rsidR="00137F4C">
          <w:rPr>
            <w:noProof/>
            <w:webHidden/>
          </w:rPr>
          <w:t>119</w:t>
        </w:r>
        <w:r w:rsidR="00137F4C">
          <w:rPr>
            <w:noProof/>
            <w:webHidden/>
          </w:rPr>
          <w:fldChar w:fldCharType="end"/>
        </w:r>
      </w:hyperlink>
    </w:p>
    <w:p w14:paraId="61E187D8" w14:textId="23460D7E" w:rsidR="00137F4C" w:rsidRDefault="00000000">
      <w:pPr>
        <w:pStyle w:val="TOC4"/>
        <w:tabs>
          <w:tab w:val="right" w:leader="dot" w:pos="9010"/>
        </w:tabs>
        <w:rPr>
          <w:rFonts w:asciiTheme="minorHAnsi" w:eastAsiaTheme="minorEastAsia" w:hAnsiTheme="minorHAnsi" w:cstheme="minorBidi"/>
          <w:noProof/>
          <w:lang w:val="en-SA"/>
        </w:rPr>
      </w:pPr>
      <w:hyperlink w:anchor="_Toc83751481" w:history="1">
        <w:r w:rsidR="00137F4C" w:rsidRPr="004A73DB">
          <w:rPr>
            <w:rStyle w:val="Hyperlink"/>
            <w:noProof/>
          </w:rPr>
          <w:t>4.3.3.1 Shoot organic phase</w:t>
        </w:r>
        <w:r w:rsidR="00137F4C">
          <w:rPr>
            <w:noProof/>
            <w:webHidden/>
          </w:rPr>
          <w:tab/>
        </w:r>
        <w:r w:rsidR="00137F4C">
          <w:rPr>
            <w:noProof/>
            <w:webHidden/>
          </w:rPr>
          <w:fldChar w:fldCharType="begin"/>
        </w:r>
        <w:r w:rsidR="00137F4C">
          <w:rPr>
            <w:noProof/>
            <w:webHidden/>
          </w:rPr>
          <w:instrText xml:space="preserve"> PAGEREF _Toc83751481 \h </w:instrText>
        </w:r>
        <w:r w:rsidR="00137F4C">
          <w:rPr>
            <w:noProof/>
            <w:webHidden/>
          </w:rPr>
        </w:r>
        <w:r w:rsidR="00137F4C">
          <w:rPr>
            <w:noProof/>
            <w:webHidden/>
          </w:rPr>
          <w:fldChar w:fldCharType="separate"/>
        </w:r>
        <w:r w:rsidR="00137F4C">
          <w:rPr>
            <w:noProof/>
            <w:webHidden/>
          </w:rPr>
          <w:t>121</w:t>
        </w:r>
        <w:r w:rsidR="00137F4C">
          <w:rPr>
            <w:noProof/>
            <w:webHidden/>
          </w:rPr>
          <w:fldChar w:fldCharType="end"/>
        </w:r>
      </w:hyperlink>
    </w:p>
    <w:p w14:paraId="242544E2" w14:textId="3200BC5A" w:rsidR="00137F4C" w:rsidRDefault="00000000">
      <w:pPr>
        <w:pStyle w:val="TOC4"/>
        <w:tabs>
          <w:tab w:val="right" w:leader="dot" w:pos="9010"/>
        </w:tabs>
        <w:rPr>
          <w:rFonts w:asciiTheme="minorHAnsi" w:eastAsiaTheme="minorEastAsia" w:hAnsiTheme="minorHAnsi" w:cstheme="minorBidi"/>
          <w:noProof/>
          <w:lang w:val="en-SA"/>
        </w:rPr>
      </w:pPr>
      <w:hyperlink w:anchor="_Toc83751482" w:history="1">
        <w:r w:rsidR="00137F4C" w:rsidRPr="004A73DB">
          <w:rPr>
            <w:rStyle w:val="Hyperlink"/>
            <w:noProof/>
          </w:rPr>
          <w:t>4.3.3.2 Root aqueous phase</w:t>
        </w:r>
        <w:r w:rsidR="00137F4C">
          <w:rPr>
            <w:noProof/>
            <w:webHidden/>
          </w:rPr>
          <w:tab/>
        </w:r>
        <w:r w:rsidR="00137F4C">
          <w:rPr>
            <w:noProof/>
            <w:webHidden/>
          </w:rPr>
          <w:fldChar w:fldCharType="begin"/>
        </w:r>
        <w:r w:rsidR="00137F4C">
          <w:rPr>
            <w:noProof/>
            <w:webHidden/>
          </w:rPr>
          <w:instrText xml:space="preserve"> PAGEREF _Toc83751482 \h </w:instrText>
        </w:r>
        <w:r w:rsidR="00137F4C">
          <w:rPr>
            <w:noProof/>
            <w:webHidden/>
          </w:rPr>
        </w:r>
        <w:r w:rsidR="00137F4C">
          <w:rPr>
            <w:noProof/>
            <w:webHidden/>
          </w:rPr>
          <w:fldChar w:fldCharType="separate"/>
        </w:r>
        <w:r w:rsidR="00137F4C">
          <w:rPr>
            <w:noProof/>
            <w:webHidden/>
          </w:rPr>
          <w:t>122</w:t>
        </w:r>
        <w:r w:rsidR="00137F4C">
          <w:rPr>
            <w:noProof/>
            <w:webHidden/>
          </w:rPr>
          <w:fldChar w:fldCharType="end"/>
        </w:r>
      </w:hyperlink>
    </w:p>
    <w:p w14:paraId="44D0681F" w14:textId="14CC9D3F" w:rsidR="00137F4C" w:rsidRDefault="00000000">
      <w:pPr>
        <w:pStyle w:val="TOC4"/>
        <w:tabs>
          <w:tab w:val="right" w:leader="dot" w:pos="9010"/>
        </w:tabs>
        <w:rPr>
          <w:rFonts w:asciiTheme="minorHAnsi" w:eastAsiaTheme="minorEastAsia" w:hAnsiTheme="minorHAnsi" w:cstheme="minorBidi"/>
          <w:noProof/>
          <w:lang w:val="en-SA"/>
        </w:rPr>
      </w:pPr>
      <w:hyperlink w:anchor="_Toc83751483" w:history="1">
        <w:r w:rsidR="00137F4C" w:rsidRPr="004A73DB">
          <w:rPr>
            <w:rStyle w:val="Hyperlink"/>
            <w:noProof/>
          </w:rPr>
          <w:t>4.3.3.3 Root organic phase</w:t>
        </w:r>
        <w:r w:rsidR="00137F4C">
          <w:rPr>
            <w:noProof/>
            <w:webHidden/>
          </w:rPr>
          <w:tab/>
        </w:r>
        <w:r w:rsidR="00137F4C">
          <w:rPr>
            <w:noProof/>
            <w:webHidden/>
          </w:rPr>
          <w:fldChar w:fldCharType="begin"/>
        </w:r>
        <w:r w:rsidR="00137F4C">
          <w:rPr>
            <w:noProof/>
            <w:webHidden/>
          </w:rPr>
          <w:instrText xml:space="preserve"> PAGEREF _Toc83751483 \h </w:instrText>
        </w:r>
        <w:r w:rsidR="00137F4C">
          <w:rPr>
            <w:noProof/>
            <w:webHidden/>
          </w:rPr>
        </w:r>
        <w:r w:rsidR="00137F4C">
          <w:rPr>
            <w:noProof/>
            <w:webHidden/>
          </w:rPr>
          <w:fldChar w:fldCharType="separate"/>
        </w:r>
        <w:r w:rsidR="00137F4C">
          <w:rPr>
            <w:noProof/>
            <w:webHidden/>
          </w:rPr>
          <w:t>123</w:t>
        </w:r>
        <w:r w:rsidR="00137F4C">
          <w:rPr>
            <w:noProof/>
            <w:webHidden/>
          </w:rPr>
          <w:fldChar w:fldCharType="end"/>
        </w:r>
      </w:hyperlink>
    </w:p>
    <w:p w14:paraId="0A3734D2" w14:textId="1A9D96A6" w:rsidR="00137F4C" w:rsidRDefault="00000000">
      <w:pPr>
        <w:pStyle w:val="TOC3"/>
        <w:tabs>
          <w:tab w:val="right" w:leader="dot" w:pos="9010"/>
        </w:tabs>
        <w:rPr>
          <w:rFonts w:asciiTheme="minorHAnsi" w:eastAsiaTheme="minorEastAsia" w:hAnsiTheme="minorHAnsi" w:cstheme="minorBidi"/>
          <w:noProof/>
          <w:lang w:val="en-SA"/>
        </w:rPr>
      </w:pPr>
      <w:hyperlink w:anchor="_Toc83751484" w:history="1">
        <w:r w:rsidR="00137F4C" w:rsidRPr="004A73DB">
          <w:rPr>
            <w:rStyle w:val="Hyperlink"/>
            <w:rFonts w:eastAsiaTheme="minorHAnsi"/>
            <w:noProof/>
          </w:rPr>
          <w:t>4.3.4. Statistical significance of treatment interactions on mass bins</w:t>
        </w:r>
        <w:r w:rsidR="00137F4C">
          <w:rPr>
            <w:noProof/>
            <w:webHidden/>
          </w:rPr>
          <w:tab/>
        </w:r>
        <w:r w:rsidR="00137F4C">
          <w:rPr>
            <w:noProof/>
            <w:webHidden/>
          </w:rPr>
          <w:fldChar w:fldCharType="begin"/>
        </w:r>
        <w:r w:rsidR="00137F4C">
          <w:rPr>
            <w:noProof/>
            <w:webHidden/>
          </w:rPr>
          <w:instrText xml:space="preserve"> PAGEREF _Toc83751484 \h </w:instrText>
        </w:r>
        <w:r w:rsidR="00137F4C">
          <w:rPr>
            <w:noProof/>
            <w:webHidden/>
          </w:rPr>
        </w:r>
        <w:r w:rsidR="00137F4C">
          <w:rPr>
            <w:noProof/>
            <w:webHidden/>
          </w:rPr>
          <w:fldChar w:fldCharType="separate"/>
        </w:r>
        <w:r w:rsidR="00137F4C">
          <w:rPr>
            <w:noProof/>
            <w:webHidden/>
          </w:rPr>
          <w:t>124</w:t>
        </w:r>
        <w:r w:rsidR="00137F4C">
          <w:rPr>
            <w:noProof/>
            <w:webHidden/>
          </w:rPr>
          <w:fldChar w:fldCharType="end"/>
        </w:r>
      </w:hyperlink>
    </w:p>
    <w:p w14:paraId="02F221AD" w14:textId="155ED650" w:rsidR="00137F4C" w:rsidRDefault="00000000">
      <w:pPr>
        <w:pStyle w:val="TOC3"/>
        <w:tabs>
          <w:tab w:val="right" w:leader="dot" w:pos="9010"/>
        </w:tabs>
        <w:rPr>
          <w:rFonts w:asciiTheme="minorHAnsi" w:eastAsiaTheme="minorEastAsia" w:hAnsiTheme="minorHAnsi" w:cstheme="minorBidi"/>
          <w:noProof/>
          <w:lang w:val="en-SA"/>
        </w:rPr>
      </w:pPr>
      <w:hyperlink w:anchor="_Toc83751485" w:history="1">
        <w:r w:rsidR="00137F4C" w:rsidRPr="004A73DB">
          <w:rPr>
            <w:rStyle w:val="Hyperlink"/>
            <w:noProof/>
          </w:rPr>
          <w:t>4.3.5 Identification of metabolic fingerprints</w:t>
        </w:r>
        <w:r w:rsidR="00137F4C">
          <w:rPr>
            <w:noProof/>
            <w:webHidden/>
          </w:rPr>
          <w:tab/>
        </w:r>
        <w:r w:rsidR="00137F4C">
          <w:rPr>
            <w:noProof/>
            <w:webHidden/>
          </w:rPr>
          <w:fldChar w:fldCharType="begin"/>
        </w:r>
        <w:r w:rsidR="00137F4C">
          <w:rPr>
            <w:noProof/>
            <w:webHidden/>
          </w:rPr>
          <w:instrText xml:space="preserve"> PAGEREF _Toc83751485 \h </w:instrText>
        </w:r>
        <w:r w:rsidR="00137F4C">
          <w:rPr>
            <w:noProof/>
            <w:webHidden/>
          </w:rPr>
        </w:r>
        <w:r w:rsidR="00137F4C">
          <w:rPr>
            <w:noProof/>
            <w:webHidden/>
          </w:rPr>
          <w:fldChar w:fldCharType="separate"/>
        </w:r>
        <w:r w:rsidR="00137F4C">
          <w:rPr>
            <w:noProof/>
            <w:webHidden/>
          </w:rPr>
          <w:t>125</w:t>
        </w:r>
        <w:r w:rsidR="00137F4C">
          <w:rPr>
            <w:noProof/>
            <w:webHidden/>
          </w:rPr>
          <w:fldChar w:fldCharType="end"/>
        </w:r>
      </w:hyperlink>
    </w:p>
    <w:p w14:paraId="1E02A4F8" w14:textId="688A957A" w:rsidR="00137F4C" w:rsidRDefault="00000000">
      <w:pPr>
        <w:pStyle w:val="TOC2"/>
        <w:tabs>
          <w:tab w:val="right" w:leader="dot" w:pos="9010"/>
        </w:tabs>
        <w:rPr>
          <w:rFonts w:asciiTheme="minorHAnsi" w:eastAsiaTheme="minorEastAsia" w:hAnsiTheme="minorHAnsi" w:cstheme="minorBidi"/>
          <w:noProof/>
          <w:lang w:val="en-SA"/>
        </w:rPr>
      </w:pPr>
      <w:hyperlink w:anchor="_Toc83751486" w:history="1">
        <w:r w:rsidR="00137F4C" w:rsidRPr="004A73DB">
          <w:rPr>
            <w:rStyle w:val="Hyperlink"/>
            <w:noProof/>
          </w:rPr>
          <w:t>4.4 Discussion</w:t>
        </w:r>
        <w:r w:rsidR="00137F4C">
          <w:rPr>
            <w:noProof/>
            <w:webHidden/>
          </w:rPr>
          <w:tab/>
        </w:r>
        <w:r w:rsidR="00137F4C">
          <w:rPr>
            <w:noProof/>
            <w:webHidden/>
          </w:rPr>
          <w:fldChar w:fldCharType="begin"/>
        </w:r>
        <w:r w:rsidR="00137F4C">
          <w:rPr>
            <w:noProof/>
            <w:webHidden/>
          </w:rPr>
          <w:instrText xml:space="preserve"> PAGEREF _Toc83751486 \h </w:instrText>
        </w:r>
        <w:r w:rsidR="00137F4C">
          <w:rPr>
            <w:noProof/>
            <w:webHidden/>
          </w:rPr>
        </w:r>
        <w:r w:rsidR="00137F4C">
          <w:rPr>
            <w:noProof/>
            <w:webHidden/>
          </w:rPr>
          <w:fldChar w:fldCharType="separate"/>
        </w:r>
        <w:r w:rsidR="00137F4C">
          <w:rPr>
            <w:noProof/>
            <w:webHidden/>
          </w:rPr>
          <w:t>126</w:t>
        </w:r>
        <w:r w:rsidR="00137F4C">
          <w:rPr>
            <w:noProof/>
            <w:webHidden/>
          </w:rPr>
          <w:fldChar w:fldCharType="end"/>
        </w:r>
      </w:hyperlink>
    </w:p>
    <w:p w14:paraId="667F7DA2" w14:textId="3757D085" w:rsidR="00137F4C" w:rsidRDefault="00000000">
      <w:pPr>
        <w:pStyle w:val="TOC3"/>
        <w:tabs>
          <w:tab w:val="right" w:leader="dot" w:pos="9010"/>
        </w:tabs>
        <w:rPr>
          <w:rFonts w:asciiTheme="minorHAnsi" w:eastAsiaTheme="minorEastAsia" w:hAnsiTheme="minorHAnsi" w:cstheme="minorBidi"/>
          <w:noProof/>
          <w:lang w:val="en-SA"/>
        </w:rPr>
      </w:pPr>
      <w:hyperlink w:anchor="_Toc83751487" w:history="1">
        <w:r w:rsidR="00137F4C" w:rsidRPr="004A73DB">
          <w:rPr>
            <w:rStyle w:val="Hyperlink"/>
            <w:rFonts w:eastAsiaTheme="minorHAnsi"/>
            <w:noProof/>
          </w:rPr>
          <w:t>4.4.1 The effect of myc</w:t>
        </w:r>
        <w:r w:rsidR="00137F4C" w:rsidRPr="004A73DB">
          <w:rPr>
            <w:rStyle w:val="Hyperlink"/>
            <w:rFonts w:eastAsiaTheme="minorHAnsi"/>
            <w:noProof/>
          </w:rPr>
          <w:t>o</w:t>
        </w:r>
        <w:r w:rsidR="00137F4C" w:rsidRPr="004A73DB">
          <w:rPr>
            <w:rStyle w:val="Hyperlink"/>
            <w:rFonts w:eastAsiaTheme="minorHAnsi"/>
            <w:noProof/>
          </w:rPr>
          <w:t>rrhizal colonization on plant shoot and root secondary metabolism</w:t>
        </w:r>
        <w:r w:rsidR="00137F4C">
          <w:rPr>
            <w:noProof/>
            <w:webHidden/>
          </w:rPr>
          <w:tab/>
        </w:r>
        <w:r w:rsidR="00137F4C">
          <w:rPr>
            <w:noProof/>
            <w:webHidden/>
          </w:rPr>
          <w:fldChar w:fldCharType="begin"/>
        </w:r>
        <w:r w:rsidR="00137F4C">
          <w:rPr>
            <w:noProof/>
            <w:webHidden/>
          </w:rPr>
          <w:instrText xml:space="preserve"> PAGEREF _Toc83751487 \h </w:instrText>
        </w:r>
        <w:r w:rsidR="00137F4C">
          <w:rPr>
            <w:noProof/>
            <w:webHidden/>
          </w:rPr>
        </w:r>
        <w:r w:rsidR="00137F4C">
          <w:rPr>
            <w:noProof/>
            <w:webHidden/>
          </w:rPr>
          <w:fldChar w:fldCharType="separate"/>
        </w:r>
        <w:r w:rsidR="00137F4C">
          <w:rPr>
            <w:noProof/>
            <w:webHidden/>
          </w:rPr>
          <w:t>127</w:t>
        </w:r>
        <w:r w:rsidR="00137F4C">
          <w:rPr>
            <w:noProof/>
            <w:webHidden/>
          </w:rPr>
          <w:fldChar w:fldCharType="end"/>
        </w:r>
      </w:hyperlink>
    </w:p>
    <w:p w14:paraId="4403A1E4" w14:textId="7CDABBD7" w:rsidR="00137F4C" w:rsidRDefault="00000000">
      <w:pPr>
        <w:pStyle w:val="TOC3"/>
        <w:tabs>
          <w:tab w:val="right" w:leader="dot" w:pos="9010"/>
        </w:tabs>
        <w:rPr>
          <w:rFonts w:asciiTheme="minorHAnsi" w:eastAsiaTheme="minorEastAsia" w:hAnsiTheme="minorHAnsi" w:cstheme="minorBidi"/>
          <w:noProof/>
          <w:lang w:val="en-SA"/>
        </w:rPr>
      </w:pPr>
      <w:hyperlink w:anchor="_Toc83751488" w:history="1">
        <w:r w:rsidR="00137F4C" w:rsidRPr="004A73DB">
          <w:rPr>
            <w:rStyle w:val="Hyperlink"/>
            <w:noProof/>
          </w:rPr>
          <w:t>4.4.2. Role of phenolics (Coumarins) in plant secondary metabolite</w:t>
        </w:r>
        <w:r w:rsidR="00137F4C">
          <w:rPr>
            <w:noProof/>
            <w:webHidden/>
          </w:rPr>
          <w:tab/>
        </w:r>
        <w:r w:rsidR="00137F4C">
          <w:rPr>
            <w:noProof/>
            <w:webHidden/>
          </w:rPr>
          <w:fldChar w:fldCharType="begin"/>
        </w:r>
        <w:r w:rsidR="00137F4C">
          <w:rPr>
            <w:noProof/>
            <w:webHidden/>
          </w:rPr>
          <w:instrText xml:space="preserve"> PAGEREF _Toc83751488 \h </w:instrText>
        </w:r>
        <w:r w:rsidR="00137F4C">
          <w:rPr>
            <w:noProof/>
            <w:webHidden/>
          </w:rPr>
        </w:r>
        <w:r w:rsidR="00137F4C">
          <w:rPr>
            <w:noProof/>
            <w:webHidden/>
          </w:rPr>
          <w:fldChar w:fldCharType="separate"/>
        </w:r>
        <w:r w:rsidR="00137F4C">
          <w:rPr>
            <w:noProof/>
            <w:webHidden/>
          </w:rPr>
          <w:t>130</w:t>
        </w:r>
        <w:r w:rsidR="00137F4C">
          <w:rPr>
            <w:noProof/>
            <w:webHidden/>
          </w:rPr>
          <w:fldChar w:fldCharType="end"/>
        </w:r>
      </w:hyperlink>
    </w:p>
    <w:p w14:paraId="5A669333" w14:textId="4915149A" w:rsidR="00137F4C" w:rsidRDefault="00000000">
      <w:pPr>
        <w:pStyle w:val="TOC4"/>
        <w:tabs>
          <w:tab w:val="right" w:leader="dot" w:pos="9010"/>
        </w:tabs>
        <w:rPr>
          <w:rFonts w:asciiTheme="minorHAnsi" w:eastAsiaTheme="minorEastAsia" w:hAnsiTheme="minorHAnsi" w:cstheme="minorBidi"/>
          <w:noProof/>
          <w:lang w:val="en-SA"/>
        </w:rPr>
      </w:pPr>
      <w:hyperlink w:anchor="_Toc83751489" w:history="1">
        <w:r w:rsidR="00137F4C" w:rsidRPr="004A73DB">
          <w:rPr>
            <w:rStyle w:val="Hyperlink"/>
            <w:noProof/>
            <w:shd w:val="clear" w:color="auto" w:fill="FFFFFF"/>
          </w:rPr>
          <w:t>4.4.2.1. Coumarins</w:t>
        </w:r>
        <w:r w:rsidR="00137F4C">
          <w:rPr>
            <w:noProof/>
            <w:webHidden/>
          </w:rPr>
          <w:tab/>
        </w:r>
        <w:r w:rsidR="00137F4C">
          <w:rPr>
            <w:noProof/>
            <w:webHidden/>
          </w:rPr>
          <w:fldChar w:fldCharType="begin"/>
        </w:r>
        <w:r w:rsidR="00137F4C">
          <w:rPr>
            <w:noProof/>
            <w:webHidden/>
          </w:rPr>
          <w:instrText xml:space="preserve"> PAGEREF _Toc83751489 \h </w:instrText>
        </w:r>
        <w:r w:rsidR="00137F4C">
          <w:rPr>
            <w:noProof/>
            <w:webHidden/>
          </w:rPr>
        </w:r>
        <w:r w:rsidR="00137F4C">
          <w:rPr>
            <w:noProof/>
            <w:webHidden/>
          </w:rPr>
          <w:fldChar w:fldCharType="separate"/>
        </w:r>
        <w:r w:rsidR="00137F4C">
          <w:rPr>
            <w:noProof/>
            <w:webHidden/>
          </w:rPr>
          <w:t>131</w:t>
        </w:r>
        <w:r w:rsidR="00137F4C">
          <w:rPr>
            <w:noProof/>
            <w:webHidden/>
          </w:rPr>
          <w:fldChar w:fldCharType="end"/>
        </w:r>
      </w:hyperlink>
    </w:p>
    <w:p w14:paraId="2C29F088" w14:textId="115D0BA2" w:rsidR="00137F4C" w:rsidRDefault="00000000">
      <w:pPr>
        <w:pStyle w:val="TOC3"/>
        <w:tabs>
          <w:tab w:val="right" w:leader="dot" w:pos="9010"/>
        </w:tabs>
        <w:rPr>
          <w:rFonts w:asciiTheme="minorHAnsi" w:eastAsiaTheme="minorEastAsia" w:hAnsiTheme="minorHAnsi" w:cstheme="minorBidi"/>
          <w:noProof/>
          <w:lang w:val="en-SA"/>
        </w:rPr>
      </w:pPr>
      <w:hyperlink w:anchor="_Toc83751490" w:history="1">
        <w:r w:rsidR="00137F4C" w:rsidRPr="004A73DB">
          <w:rPr>
            <w:rStyle w:val="Hyperlink"/>
            <w:noProof/>
          </w:rPr>
          <w:t>4.4.3. Role of terpenes or terpenoids (phytohormones) in plant secondary metabolite</w:t>
        </w:r>
        <w:r w:rsidR="00137F4C">
          <w:rPr>
            <w:noProof/>
            <w:webHidden/>
          </w:rPr>
          <w:tab/>
        </w:r>
        <w:r w:rsidR="00137F4C">
          <w:rPr>
            <w:noProof/>
            <w:webHidden/>
          </w:rPr>
          <w:fldChar w:fldCharType="begin"/>
        </w:r>
        <w:r w:rsidR="00137F4C">
          <w:rPr>
            <w:noProof/>
            <w:webHidden/>
          </w:rPr>
          <w:instrText xml:space="preserve"> PAGEREF _Toc83751490 \h </w:instrText>
        </w:r>
        <w:r w:rsidR="00137F4C">
          <w:rPr>
            <w:noProof/>
            <w:webHidden/>
          </w:rPr>
        </w:r>
        <w:r w:rsidR="00137F4C">
          <w:rPr>
            <w:noProof/>
            <w:webHidden/>
          </w:rPr>
          <w:fldChar w:fldCharType="separate"/>
        </w:r>
        <w:r w:rsidR="00137F4C">
          <w:rPr>
            <w:noProof/>
            <w:webHidden/>
          </w:rPr>
          <w:t>132</w:t>
        </w:r>
        <w:r w:rsidR="00137F4C">
          <w:rPr>
            <w:noProof/>
            <w:webHidden/>
          </w:rPr>
          <w:fldChar w:fldCharType="end"/>
        </w:r>
      </w:hyperlink>
    </w:p>
    <w:p w14:paraId="5FFD658D" w14:textId="78DD8CE7" w:rsidR="00137F4C" w:rsidRDefault="00000000">
      <w:pPr>
        <w:pStyle w:val="TOC4"/>
        <w:tabs>
          <w:tab w:val="right" w:leader="dot" w:pos="9010"/>
        </w:tabs>
        <w:rPr>
          <w:rFonts w:asciiTheme="minorHAnsi" w:eastAsiaTheme="minorEastAsia" w:hAnsiTheme="minorHAnsi" w:cstheme="minorBidi"/>
          <w:noProof/>
          <w:lang w:val="en-SA"/>
        </w:rPr>
      </w:pPr>
      <w:hyperlink w:anchor="_Toc83751491" w:history="1">
        <w:r w:rsidR="00137F4C" w:rsidRPr="004A73DB">
          <w:rPr>
            <w:rStyle w:val="Hyperlink"/>
            <w:rFonts w:eastAsiaTheme="minorHAnsi"/>
            <w:noProof/>
          </w:rPr>
          <w:t>4.4.3.1. Jasmonic acid</w:t>
        </w:r>
        <w:r w:rsidR="00137F4C">
          <w:rPr>
            <w:noProof/>
            <w:webHidden/>
          </w:rPr>
          <w:tab/>
        </w:r>
        <w:r w:rsidR="00137F4C">
          <w:rPr>
            <w:noProof/>
            <w:webHidden/>
          </w:rPr>
          <w:fldChar w:fldCharType="begin"/>
        </w:r>
        <w:r w:rsidR="00137F4C">
          <w:rPr>
            <w:noProof/>
            <w:webHidden/>
          </w:rPr>
          <w:instrText xml:space="preserve"> PAGEREF _Toc83751491 \h </w:instrText>
        </w:r>
        <w:r w:rsidR="00137F4C">
          <w:rPr>
            <w:noProof/>
            <w:webHidden/>
          </w:rPr>
        </w:r>
        <w:r w:rsidR="00137F4C">
          <w:rPr>
            <w:noProof/>
            <w:webHidden/>
          </w:rPr>
          <w:fldChar w:fldCharType="separate"/>
        </w:r>
        <w:r w:rsidR="00137F4C">
          <w:rPr>
            <w:noProof/>
            <w:webHidden/>
          </w:rPr>
          <w:t>133</w:t>
        </w:r>
        <w:r w:rsidR="00137F4C">
          <w:rPr>
            <w:noProof/>
            <w:webHidden/>
          </w:rPr>
          <w:fldChar w:fldCharType="end"/>
        </w:r>
      </w:hyperlink>
    </w:p>
    <w:p w14:paraId="172DAB64" w14:textId="630675B6" w:rsidR="00137F4C" w:rsidRDefault="00000000">
      <w:pPr>
        <w:pStyle w:val="TOC4"/>
        <w:tabs>
          <w:tab w:val="right" w:leader="dot" w:pos="9010"/>
        </w:tabs>
        <w:rPr>
          <w:rFonts w:asciiTheme="minorHAnsi" w:eastAsiaTheme="minorEastAsia" w:hAnsiTheme="minorHAnsi" w:cstheme="minorBidi"/>
          <w:noProof/>
          <w:lang w:val="en-SA"/>
        </w:rPr>
      </w:pPr>
      <w:hyperlink w:anchor="_Toc83751492" w:history="1">
        <w:r w:rsidR="00137F4C" w:rsidRPr="004A73DB">
          <w:rPr>
            <w:rStyle w:val="Hyperlink"/>
            <w:rFonts w:eastAsiaTheme="minorHAnsi"/>
            <w:noProof/>
          </w:rPr>
          <w:t>4.4.3.2. Salicylic acid</w:t>
        </w:r>
        <w:r w:rsidR="00137F4C">
          <w:rPr>
            <w:noProof/>
            <w:webHidden/>
          </w:rPr>
          <w:tab/>
        </w:r>
        <w:r w:rsidR="00137F4C">
          <w:rPr>
            <w:noProof/>
            <w:webHidden/>
          </w:rPr>
          <w:fldChar w:fldCharType="begin"/>
        </w:r>
        <w:r w:rsidR="00137F4C">
          <w:rPr>
            <w:noProof/>
            <w:webHidden/>
          </w:rPr>
          <w:instrText xml:space="preserve"> PAGEREF _Toc83751492 \h </w:instrText>
        </w:r>
        <w:r w:rsidR="00137F4C">
          <w:rPr>
            <w:noProof/>
            <w:webHidden/>
          </w:rPr>
        </w:r>
        <w:r w:rsidR="00137F4C">
          <w:rPr>
            <w:noProof/>
            <w:webHidden/>
          </w:rPr>
          <w:fldChar w:fldCharType="separate"/>
        </w:r>
        <w:r w:rsidR="00137F4C">
          <w:rPr>
            <w:noProof/>
            <w:webHidden/>
          </w:rPr>
          <w:t>135</w:t>
        </w:r>
        <w:r w:rsidR="00137F4C">
          <w:rPr>
            <w:noProof/>
            <w:webHidden/>
          </w:rPr>
          <w:fldChar w:fldCharType="end"/>
        </w:r>
      </w:hyperlink>
    </w:p>
    <w:p w14:paraId="4E14D4A6" w14:textId="38E5B7A5" w:rsidR="00137F4C" w:rsidRDefault="00000000">
      <w:pPr>
        <w:pStyle w:val="TOC3"/>
        <w:tabs>
          <w:tab w:val="right" w:leader="dot" w:pos="9010"/>
        </w:tabs>
        <w:rPr>
          <w:rFonts w:asciiTheme="minorHAnsi" w:eastAsiaTheme="minorEastAsia" w:hAnsiTheme="minorHAnsi" w:cstheme="minorBidi"/>
          <w:noProof/>
          <w:lang w:val="en-SA"/>
        </w:rPr>
      </w:pPr>
      <w:hyperlink w:anchor="_Toc83751493" w:history="1">
        <w:r w:rsidR="00137F4C" w:rsidRPr="004A73DB">
          <w:rPr>
            <w:rStyle w:val="Hyperlink"/>
            <w:noProof/>
          </w:rPr>
          <w:t>4.4.4. Role of alkaloids in plant secondary metabolite</w:t>
        </w:r>
        <w:r w:rsidR="00137F4C">
          <w:rPr>
            <w:noProof/>
            <w:webHidden/>
          </w:rPr>
          <w:tab/>
        </w:r>
        <w:r w:rsidR="00137F4C">
          <w:rPr>
            <w:noProof/>
            <w:webHidden/>
          </w:rPr>
          <w:fldChar w:fldCharType="begin"/>
        </w:r>
        <w:r w:rsidR="00137F4C">
          <w:rPr>
            <w:noProof/>
            <w:webHidden/>
          </w:rPr>
          <w:instrText xml:space="preserve"> PAGEREF _Toc83751493 \h </w:instrText>
        </w:r>
        <w:r w:rsidR="00137F4C">
          <w:rPr>
            <w:noProof/>
            <w:webHidden/>
          </w:rPr>
        </w:r>
        <w:r w:rsidR="00137F4C">
          <w:rPr>
            <w:noProof/>
            <w:webHidden/>
          </w:rPr>
          <w:fldChar w:fldCharType="separate"/>
        </w:r>
        <w:r w:rsidR="00137F4C">
          <w:rPr>
            <w:noProof/>
            <w:webHidden/>
          </w:rPr>
          <w:t>135</w:t>
        </w:r>
        <w:r w:rsidR="00137F4C">
          <w:rPr>
            <w:noProof/>
            <w:webHidden/>
          </w:rPr>
          <w:fldChar w:fldCharType="end"/>
        </w:r>
      </w:hyperlink>
    </w:p>
    <w:p w14:paraId="102EBC6C" w14:textId="6F0885F9" w:rsidR="00137F4C" w:rsidRDefault="00000000">
      <w:pPr>
        <w:pStyle w:val="TOC3"/>
        <w:tabs>
          <w:tab w:val="right" w:leader="dot" w:pos="9010"/>
        </w:tabs>
        <w:rPr>
          <w:rFonts w:asciiTheme="minorHAnsi" w:eastAsiaTheme="minorEastAsia" w:hAnsiTheme="minorHAnsi" w:cstheme="minorBidi"/>
          <w:noProof/>
          <w:lang w:val="en-SA"/>
        </w:rPr>
      </w:pPr>
      <w:hyperlink w:anchor="_Toc83751494" w:history="1">
        <w:r w:rsidR="00137F4C" w:rsidRPr="004A73DB">
          <w:rPr>
            <w:rStyle w:val="Hyperlink"/>
            <w:noProof/>
          </w:rPr>
          <w:t xml:space="preserve">4.4.5 Pathways that play important role in the detected secondary metabolites compounds in shoots and roots of </w:t>
        </w:r>
        <w:r w:rsidR="00137F4C" w:rsidRPr="004A73DB">
          <w:rPr>
            <w:rStyle w:val="Hyperlink"/>
            <w:i/>
            <w:noProof/>
          </w:rPr>
          <w:t>Zea mays</w:t>
        </w:r>
        <w:r w:rsidR="00137F4C">
          <w:rPr>
            <w:noProof/>
            <w:webHidden/>
          </w:rPr>
          <w:tab/>
        </w:r>
        <w:r w:rsidR="00137F4C">
          <w:rPr>
            <w:noProof/>
            <w:webHidden/>
          </w:rPr>
          <w:fldChar w:fldCharType="begin"/>
        </w:r>
        <w:r w:rsidR="00137F4C">
          <w:rPr>
            <w:noProof/>
            <w:webHidden/>
          </w:rPr>
          <w:instrText xml:space="preserve"> PAGEREF _Toc83751494 \h </w:instrText>
        </w:r>
        <w:r w:rsidR="00137F4C">
          <w:rPr>
            <w:noProof/>
            <w:webHidden/>
          </w:rPr>
        </w:r>
        <w:r w:rsidR="00137F4C">
          <w:rPr>
            <w:noProof/>
            <w:webHidden/>
          </w:rPr>
          <w:fldChar w:fldCharType="separate"/>
        </w:r>
        <w:r w:rsidR="00137F4C">
          <w:rPr>
            <w:noProof/>
            <w:webHidden/>
          </w:rPr>
          <w:t>137</w:t>
        </w:r>
        <w:r w:rsidR="00137F4C">
          <w:rPr>
            <w:noProof/>
            <w:webHidden/>
          </w:rPr>
          <w:fldChar w:fldCharType="end"/>
        </w:r>
      </w:hyperlink>
    </w:p>
    <w:p w14:paraId="6BFF4616" w14:textId="53793FB5" w:rsidR="00137F4C" w:rsidRDefault="00000000">
      <w:pPr>
        <w:pStyle w:val="TOC2"/>
        <w:tabs>
          <w:tab w:val="right" w:leader="dot" w:pos="9010"/>
        </w:tabs>
        <w:rPr>
          <w:rFonts w:asciiTheme="minorHAnsi" w:eastAsiaTheme="minorEastAsia" w:hAnsiTheme="minorHAnsi" w:cstheme="minorBidi"/>
          <w:noProof/>
          <w:lang w:val="en-SA"/>
        </w:rPr>
      </w:pPr>
      <w:hyperlink w:anchor="_Toc83751495" w:history="1">
        <w:r w:rsidR="00137F4C" w:rsidRPr="004A73DB">
          <w:rPr>
            <w:rStyle w:val="Hyperlink"/>
            <w:noProof/>
          </w:rPr>
          <w:t>4.5 Conclusions</w:t>
        </w:r>
        <w:r w:rsidR="00137F4C">
          <w:rPr>
            <w:noProof/>
            <w:webHidden/>
          </w:rPr>
          <w:tab/>
        </w:r>
        <w:r w:rsidR="00137F4C">
          <w:rPr>
            <w:noProof/>
            <w:webHidden/>
          </w:rPr>
          <w:fldChar w:fldCharType="begin"/>
        </w:r>
        <w:r w:rsidR="00137F4C">
          <w:rPr>
            <w:noProof/>
            <w:webHidden/>
          </w:rPr>
          <w:instrText xml:space="preserve"> PAGEREF _Toc83751495 \h </w:instrText>
        </w:r>
        <w:r w:rsidR="00137F4C">
          <w:rPr>
            <w:noProof/>
            <w:webHidden/>
          </w:rPr>
        </w:r>
        <w:r w:rsidR="00137F4C">
          <w:rPr>
            <w:noProof/>
            <w:webHidden/>
          </w:rPr>
          <w:fldChar w:fldCharType="separate"/>
        </w:r>
        <w:r w:rsidR="00137F4C">
          <w:rPr>
            <w:noProof/>
            <w:webHidden/>
          </w:rPr>
          <w:t>139</w:t>
        </w:r>
        <w:r w:rsidR="00137F4C">
          <w:rPr>
            <w:noProof/>
            <w:webHidden/>
          </w:rPr>
          <w:fldChar w:fldCharType="end"/>
        </w:r>
      </w:hyperlink>
    </w:p>
    <w:p w14:paraId="3B30A571" w14:textId="6EB901C0" w:rsidR="00137F4C" w:rsidRDefault="00000000">
      <w:pPr>
        <w:pStyle w:val="TOC1"/>
        <w:tabs>
          <w:tab w:val="left" w:pos="1440"/>
          <w:tab w:val="right" w:leader="dot" w:pos="9010"/>
        </w:tabs>
        <w:rPr>
          <w:rFonts w:asciiTheme="minorHAnsi" w:eastAsiaTheme="minorEastAsia" w:hAnsiTheme="minorHAnsi" w:cstheme="minorBidi"/>
          <w:noProof/>
          <w:lang w:val="en-SA"/>
        </w:rPr>
      </w:pPr>
      <w:hyperlink w:anchor="_Toc83751496" w:history="1">
        <w:r w:rsidR="00137F4C" w:rsidRPr="004A73DB">
          <w:rPr>
            <w:rStyle w:val="Hyperlink"/>
            <w:noProof/>
          </w:rPr>
          <w:t>Chapter 5 :</w:t>
        </w:r>
        <w:r w:rsidR="00137F4C">
          <w:rPr>
            <w:rFonts w:asciiTheme="minorHAnsi" w:eastAsiaTheme="minorEastAsia" w:hAnsiTheme="minorHAnsi" w:cstheme="minorBidi"/>
            <w:noProof/>
            <w:lang w:val="en-SA"/>
          </w:rPr>
          <w:tab/>
        </w:r>
        <w:r w:rsidR="00137F4C" w:rsidRPr="004A73DB">
          <w:rPr>
            <w:rStyle w:val="Hyperlink"/>
            <w:noProof/>
          </w:rPr>
          <w:t>General Discussion</w:t>
        </w:r>
        <w:r w:rsidR="00137F4C">
          <w:rPr>
            <w:noProof/>
            <w:webHidden/>
          </w:rPr>
          <w:tab/>
        </w:r>
        <w:r w:rsidR="00137F4C">
          <w:rPr>
            <w:noProof/>
            <w:webHidden/>
          </w:rPr>
          <w:fldChar w:fldCharType="begin"/>
        </w:r>
        <w:r w:rsidR="00137F4C">
          <w:rPr>
            <w:noProof/>
            <w:webHidden/>
          </w:rPr>
          <w:instrText xml:space="preserve"> PAGEREF _Toc83751496 \h </w:instrText>
        </w:r>
        <w:r w:rsidR="00137F4C">
          <w:rPr>
            <w:noProof/>
            <w:webHidden/>
          </w:rPr>
        </w:r>
        <w:r w:rsidR="00137F4C">
          <w:rPr>
            <w:noProof/>
            <w:webHidden/>
          </w:rPr>
          <w:fldChar w:fldCharType="separate"/>
        </w:r>
        <w:r w:rsidR="00137F4C">
          <w:rPr>
            <w:noProof/>
            <w:webHidden/>
          </w:rPr>
          <w:t>140</w:t>
        </w:r>
        <w:r w:rsidR="00137F4C">
          <w:rPr>
            <w:noProof/>
            <w:webHidden/>
          </w:rPr>
          <w:fldChar w:fldCharType="end"/>
        </w:r>
      </w:hyperlink>
    </w:p>
    <w:p w14:paraId="5447A5CF" w14:textId="43613274" w:rsidR="00137F4C" w:rsidRDefault="00000000">
      <w:pPr>
        <w:pStyle w:val="TOC2"/>
        <w:tabs>
          <w:tab w:val="right" w:leader="dot" w:pos="9010"/>
        </w:tabs>
        <w:rPr>
          <w:rFonts w:asciiTheme="minorHAnsi" w:eastAsiaTheme="minorEastAsia" w:hAnsiTheme="minorHAnsi" w:cstheme="minorBidi"/>
          <w:noProof/>
          <w:lang w:val="en-SA"/>
        </w:rPr>
      </w:pPr>
      <w:hyperlink w:anchor="_Toc83751497" w:history="1">
        <w:r w:rsidR="00137F4C" w:rsidRPr="004A73DB">
          <w:rPr>
            <w:rStyle w:val="Hyperlink"/>
            <w:noProof/>
            <w:shd w:val="clear" w:color="auto" w:fill="FFFFFF"/>
          </w:rPr>
          <w:t xml:space="preserve">5.1 The influence of Arbuscular Mycorrhizal Fungi on the physiology of a diverse panel of </w:t>
        </w:r>
        <w:r w:rsidR="00137F4C" w:rsidRPr="004A73DB">
          <w:rPr>
            <w:rStyle w:val="Hyperlink"/>
            <w:i/>
            <w:iCs/>
            <w:noProof/>
            <w:shd w:val="clear" w:color="auto" w:fill="FFFFFF"/>
          </w:rPr>
          <w:t>Zea</w:t>
        </w:r>
        <w:r w:rsidR="00137F4C" w:rsidRPr="004A73DB">
          <w:rPr>
            <w:rStyle w:val="Hyperlink"/>
            <w:noProof/>
            <w:shd w:val="clear" w:color="auto" w:fill="FFFFFF"/>
          </w:rPr>
          <w:t xml:space="preserve"> </w:t>
        </w:r>
        <w:r w:rsidR="00137F4C" w:rsidRPr="004A73DB">
          <w:rPr>
            <w:rStyle w:val="Hyperlink"/>
            <w:i/>
            <w:iCs/>
            <w:noProof/>
            <w:shd w:val="clear" w:color="auto" w:fill="FFFFFF"/>
          </w:rPr>
          <w:t>mays</w:t>
        </w:r>
        <w:r w:rsidR="00137F4C" w:rsidRPr="004A73DB">
          <w:rPr>
            <w:rStyle w:val="Hyperlink"/>
            <w:noProof/>
            <w:shd w:val="clear" w:color="auto" w:fill="FFFFFF"/>
          </w:rPr>
          <w:t xml:space="preserve"> cultivars produced in the Arabian Peninsula.</w:t>
        </w:r>
        <w:r w:rsidR="00137F4C">
          <w:rPr>
            <w:noProof/>
            <w:webHidden/>
          </w:rPr>
          <w:tab/>
        </w:r>
        <w:r w:rsidR="00137F4C">
          <w:rPr>
            <w:noProof/>
            <w:webHidden/>
          </w:rPr>
          <w:fldChar w:fldCharType="begin"/>
        </w:r>
        <w:r w:rsidR="00137F4C">
          <w:rPr>
            <w:noProof/>
            <w:webHidden/>
          </w:rPr>
          <w:instrText xml:space="preserve"> PAGEREF _Toc83751497 \h </w:instrText>
        </w:r>
        <w:r w:rsidR="00137F4C">
          <w:rPr>
            <w:noProof/>
            <w:webHidden/>
          </w:rPr>
        </w:r>
        <w:r w:rsidR="00137F4C">
          <w:rPr>
            <w:noProof/>
            <w:webHidden/>
          </w:rPr>
          <w:fldChar w:fldCharType="separate"/>
        </w:r>
        <w:r w:rsidR="00137F4C">
          <w:rPr>
            <w:noProof/>
            <w:webHidden/>
          </w:rPr>
          <w:t>141</w:t>
        </w:r>
        <w:r w:rsidR="00137F4C">
          <w:rPr>
            <w:noProof/>
            <w:webHidden/>
          </w:rPr>
          <w:fldChar w:fldCharType="end"/>
        </w:r>
      </w:hyperlink>
    </w:p>
    <w:p w14:paraId="5BB0D428" w14:textId="7DD1E8C1" w:rsidR="00137F4C" w:rsidRDefault="00000000">
      <w:pPr>
        <w:pStyle w:val="TOC2"/>
        <w:tabs>
          <w:tab w:val="right" w:leader="dot" w:pos="9010"/>
        </w:tabs>
        <w:rPr>
          <w:rFonts w:asciiTheme="minorHAnsi" w:eastAsiaTheme="minorEastAsia" w:hAnsiTheme="minorHAnsi" w:cstheme="minorBidi"/>
          <w:noProof/>
          <w:lang w:val="en-SA"/>
        </w:rPr>
      </w:pPr>
      <w:hyperlink w:anchor="_Toc83751498" w:history="1">
        <w:r w:rsidR="00137F4C" w:rsidRPr="004A73DB">
          <w:rPr>
            <w:rStyle w:val="Hyperlink"/>
            <w:noProof/>
          </w:rPr>
          <w:t xml:space="preserve">5.2 the phylogenetic relationship between 18 cultivars of </w:t>
        </w:r>
        <w:r w:rsidR="00137F4C" w:rsidRPr="004A73DB">
          <w:rPr>
            <w:rStyle w:val="Hyperlink"/>
            <w:i/>
            <w:noProof/>
          </w:rPr>
          <w:t>Zea mays</w:t>
        </w:r>
        <w:r w:rsidR="00137F4C" w:rsidRPr="004A73DB">
          <w:rPr>
            <w:rStyle w:val="Hyperlink"/>
            <w:noProof/>
          </w:rPr>
          <w:t xml:space="preserve"> and their mycorrhizal responsiveness</w:t>
        </w:r>
        <w:r w:rsidR="00137F4C">
          <w:rPr>
            <w:noProof/>
            <w:webHidden/>
          </w:rPr>
          <w:tab/>
        </w:r>
        <w:r w:rsidR="00137F4C">
          <w:rPr>
            <w:noProof/>
            <w:webHidden/>
          </w:rPr>
          <w:fldChar w:fldCharType="begin"/>
        </w:r>
        <w:r w:rsidR="00137F4C">
          <w:rPr>
            <w:noProof/>
            <w:webHidden/>
          </w:rPr>
          <w:instrText xml:space="preserve"> PAGEREF _Toc83751498 \h </w:instrText>
        </w:r>
        <w:r w:rsidR="00137F4C">
          <w:rPr>
            <w:noProof/>
            <w:webHidden/>
          </w:rPr>
        </w:r>
        <w:r w:rsidR="00137F4C">
          <w:rPr>
            <w:noProof/>
            <w:webHidden/>
          </w:rPr>
          <w:fldChar w:fldCharType="separate"/>
        </w:r>
        <w:r w:rsidR="00137F4C">
          <w:rPr>
            <w:noProof/>
            <w:webHidden/>
          </w:rPr>
          <w:t>148</w:t>
        </w:r>
        <w:r w:rsidR="00137F4C">
          <w:rPr>
            <w:noProof/>
            <w:webHidden/>
          </w:rPr>
          <w:fldChar w:fldCharType="end"/>
        </w:r>
      </w:hyperlink>
    </w:p>
    <w:p w14:paraId="29C7FA32" w14:textId="750CF35E" w:rsidR="00137F4C" w:rsidRDefault="00000000">
      <w:pPr>
        <w:pStyle w:val="TOC2"/>
        <w:tabs>
          <w:tab w:val="right" w:leader="dot" w:pos="9010"/>
        </w:tabs>
        <w:rPr>
          <w:rFonts w:asciiTheme="minorHAnsi" w:eastAsiaTheme="minorEastAsia" w:hAnsiTheme="minorHAnsi" w:cstheme="minorBidi"/>
          <w:noProof/>
          <w:lang w:val="en-SA"/>
        </w:rPr>
      </w:pPr>
      <w:hyperlink w:anchor="_Toc83751499" w:history="1">
        <w:r w:rsidR="00137F4C" w:rsidRPr="004A73DB">
          <w:rPr>
            <w:rStyle w:val="Hyperlink"/>
            <w:noProof/>
          </w:rPr>
          <w:t xml:space="preserve">5.3 The effect of </w:t>
        </w:r>
        <w:r w:rsidR="00137F4C" w:rsidRPr="004A73DB">
          <w:rPr>
            <w:rStyle w:val="Hyperlink"/>
            <w:noProof/>
            <w:shd w:val="clear" w:color="auto" w:fill="FFFFFF"/>
          </w:rPr>
          <w:t xml:space="preserve">Arbuscular Mycorrhizal Fungi </w:t>
        </w:r>
        <w:r w:rsidR="00137F4C" w:rsidRPr="004A73DB">
          <w:rPr>
            <w:rStyle w:val="Hyperlink"/>
            <w:noProof/>
          </w:rPr>
          <w:t xml:space="preserve">on </w:t>
        </w:r>
        <w:r w:rsidR="00137F4C" w:rsidRPr="004A73DB">
          <w:rPr>
            <w:rStyle w:val="Hyperlink"/>
            <w:i/>
            <w:noProof/>
          </w:rPr>
          <w:t>Zea Mays</w:t>
        </w:r>
        <w:r w:rsidR="00137F4C" w:rsidRPr="004A73DB">
          <w:rPr>
            <w:rStyle w:val="Hyperlink"/>
            <w:noProof/>
          </w:rPr>
          <w:t xml:space="preserve"> Shoots and Roots biochemical reactions</w:t>
        </w:r>
        <w:r w:rsidR="00137F4C">
          <w:rPr>
            <w:noProof/>
            <w:webHidden/>
          </w:rPr>
          <w:tab/>
        </w:r>
        <w:r w:rsidR="00137F4C">
          <w:rPr>
            <w:noProof/>
            <w:webHidden/>
          </w:rPr>
          <w:fldChar w:fldCharType="begin"/>
        </w:r>
        <w:r w:rsidR="00137F4C">
          <w:rPr>
            <w:noProof/>
            <w:webHidden/>
          </w:rPr>
          <w:instrText xml:space="preserve"> PAGEREF _Toc83751499 \h </w:instrText>
        </w:r>
        <w:r w:rsidR="00137F4C">
          <w:rPr>
            <w:noProof/>
            <w:webHidden/>
          </w:rPr>
        </w:r>
        <w:r w:rsidR="00137F4C">
          <w:rPr>
            <w:noProof/>
            <w:webHidden/>
          </w:rPr>
          <w:fldChar w:fldCharType="separate"/>
        </w:r>
        <w:r w:rsidR="00137F4C">
          <w:rPr>
            <w:noProof/>
            <w:webHidden/>
          </w:rPr>
          <w:t>151</w:t>
        </w:r>
        <w:r w:rsidR="00137F4C">
          <w:rPr>
            <w:noProof/>
            <w:webHidden/>
          </w:rPr>
          <w:fldChar w:fldCharType="end"/>
        </w:r>
      </w:hyperlink>
    </w:p>
    <w:p w14:paraId="77D606B5" w14:textId="560499B5" w:rsidR="00137F4C" w:rsidRDefault="00000000">
      <w:pPr>
        <w:pStyle w:val="TOC2"/>
        <w:tabs>
          <w:tab w:val="right" w:leader="dot" w:pos="9010"/>
        </w:tabs>
        <w:rPr>
          <w:rFonts w:asciiTheme="minorHAnsi" w:eastAsiaTheme="minorEastAsia" w:hAnsiTheme="minorHAnsi" w:cstheme="minorBidi"/>
          <w:noProof/>
          <w:lang w:val="en-SA"/>
        </w:rPr>
      </w:pPr>
      <w:hyperlink w:anchor="_Toc83751500" w:history="1">
        <w:r w:rsidR="00137F4C" w:rsidRPr="004A73DB">
          <w:rPr>
            <w:rStyle w:val="Hyperlink"/>
            <w:noProof/>
          </w:rPr>
          <w:t>5.4 Con</w:t>
        </w:r>
        <w:r w:rsidR="00137F4C" w:rsidRPr="004A73DB">
          <w:rPr>
            <w:rStyle w:val="Hyperlink"/>
            <w:noProof/>
          </w:rPr>
          <w:t>c</w:t>
        </w:r>
        <w:r w:rsidR="00137F4C" w:rsidRPr="004A73DB">
          <w:rPr>
            <w:rStyle w:val="Hyperlink"/>
            <w:noProof/>
          </w:rPr>
          <w:t>lusion</w:t>
        </w:r>
        <w:r w:rsidR="00137F4C">
          <w:rPr>
            <w:noProof/>
            <w:webHidden/>
          </w:rPr>
          <w:tab/>
        </w:r>
        <w:r w:rsidR="00137F4C">
          <w:rPr>
            <w:noProof/>
            <w:webHidden/>
          </w:rPr>
          <w:fldChar w:fldCharType="begin"/>
        </w:r>
        <w:r w:rsidR="00137F4C">
          <w:rPr>
            <w:noProof/>
            <w:webHidden/>
          </w:rPr>
          <w:instrText xml:space="preserve"> PAGEREF _Toc83751500 \h </w:instrText>
        </w:r>
        <w:r w:rsidR="00137F4C">
          <w:rPr>
            <w:noProof/>
            <w:webHidden/>
          </w:rPr>
        </w:r>
        <w:r w:rsidR="00137F4C">
          <w:rPr>
            <w:noProof/>
            <w:webHidden/>
          </w:rPr>
          <w:fldChar w:fldCharType="separate"/>
        </w:r>
        <w:r w:rsidR="00137F4C">
          <w:rPr>
            <w:noProof/>
            <w:webHidden/>
          </w:rPr>
          <w:t>154</w:t>
        </w:r>
        <w:r w:rsidR="00137F4C">
          <w:rPr>
            <w:noProof/>
            <w:webHidden/>
          </w:rPr>
          <w:fldChar w:fldCharType="end"/>
        </w:r>
      </w:hyperlink>
    </w:p>
    <w:p w14:paraId="68CC56F2" w14:textId="5C5BAB1E" w:rsidR="00137F4C" w:rsidRDefault="00000000">
      <w:pPr>
        <w:pStyle w:val="TOC1"/>
        <w:tabs>
          <w:tab w:val="right" w:leader="dot" w:pos="9010"/>
        </w:tabs>
        <w:rPr>
          <w:rFonts w:asciiTheme="minorHAnsi" w:eastAsiaTheme="minorEastAsia" w:hAnsiTheme="minorHAnsi" w:cstheme="minorBidi"/>
          <w:noProof/>
          <w:lang w:val="en-SA"/>
        </w:rPr>
      </w:pPr>
      <w:hyperlink w:anchor="_Toc83751501" w:history="1">
        <w:r w:rsidR="00137F4C" w:rsidRPr="004A73DB">
          <w:rPr>
            <w:rStyle w:val="Hyperlink"/>
            <w:noProof/>
          </w:rPr>
          <w:t>Bibliography</w:t>
        </w:r>
        <w:r w:rsidR="00137F4C">
          <w:rPr>
            <w:noProof/>
            <w:webHidden/>
          </w:rPr>
          <w:tab/>
        </w:r>
        <w:r w:rsidR="00137F4C">
          <w:rPr>
            <w:noProof/>
            <w:webHidden/>
          </w:rPr>
          <w:fldChar w:fldCharType="begin"/>
        </w:r>
        <w:r w:rsidR="00137F4C">
          <w:rPr>
            <w:noProof/>
            <w:webHidden/>
          </w:rPr>
          <w:instrText xml:space="preserve"> PAGEREF _Toc83751501 \h </w:instrText>
        </w:r>
        <w:r w:rsidR="00137F4C">
          <w:rPr>
            <w:noProof/>
            <w:webHidden/>
          </w:rPr>
        </w:r>
        <w:r w:rsidR="00137F4C">
          <w:rPr>
            <w:noProof/>
            <w:webHidden/>
          </w:rPr>
          <w:fldChar w:fldCharType="separate"/>
        </w:r>
        <w:r w:rsidR="00137F4C">
          <w:rPr>
            <w:noProof/>
            <w:webHidden/>
          </w:rPr>
          <w:t>156</w:t>
        </w:r>
        <w:r w:rsidR="00137F4C">
          <w:rPr>
            <w:noProof/>
            <w:webHidden/>
          </w:rPr>
          <w:fldChar w:fldCharType="end"/>
        </w:r>
      </w:hyperlink>
    </w:p>
    <w:p w14:paraId="0230723C" w14:textId="2C09E5E9" w:rsidR="00137F4C" w:rsidRDefault="00000000">
      <w:pPr>
        <w:pStyle w:val="TOC1"/>
        <w:tabs>
          <w:tab w:val="right" w:leader="dot" w:pos="9010"/>
        </w:tabs>
        <w:rPr>
          <w:rFonts w:asciiTheme="minorHAnsi" w:eastAsiaTheme="minorEastAsia" w:hAnsiTheme="minorHAnsi" w:cstheme="minorBidi"/>
          <w:noProof/>
          <w:lang w:val="en-SA"/>
        </w:rPr>
      </w:pPr>
      <w:hyperlink w:anchor="_Toc83751502" w:history="1">
        <w:r w:rsidR="00137F4C" w:rsidRPr="004A73DB">
          <w:rPr>
            <w:rStyle w:val="Hyperlink"/>
            <w:noProof/>
          </w:rPr>
          <w:t>Appendix</w:t>
        </w:r>
        <w:r w:rsidR="00137F4C">
          <w:rPr>
            <w:noProof/>
            <w:webHidden/>
          </w:rPr>
          <w:tab/>
        </w:r>
        <w:r w:rsidR="00137F4C">
          <w:rPr>
            <w:noProof/>
            <w:webHidden/>
          </w:rPr>
          <w:fldChar w:fldCharType="begin"/>
        </w:r>
        <w:r w:rsidR="00137F4C">
          <w:rPr>
            <w:noProof/>
            <w:webHidden/>
          </w:rPr>
          <w:instrText xml:space="preserve"> PAGEREF _Toc83751502 \h </w:instrText>
        </w:r>
        <w:r w:rsidR="00137F4C">
          <w:rPr>
            <w:noProof/>
            <w:webHidden/>
          </w:rPr>
        </w:r>
        <w:r w:rsidR="00137F4C">
          <w:rPr>
            <w:noProof/>
            <w:webHidden/>
          </w:rPr>
          <w:fldChar w:fldCharType="separate"/>
        </w:r>
        <w:r w:rsidR="00137F4C">
          <w:rPr>
            <w:noProof/>
            <w:webHidden/>
          </w:rPr>
          <w:t>227</w:t>
        </w:r>
        <w:r w:rsidR="00137F4C">
          <w:rPr>
            <w:noProof/>
            <w:webHidden/>
          </w:rPr>
          <w:fldChar w:fldCharType="end"/>
        </w:r>
      </w:hyperlink>
    </w:p>
    <w:p w14:paraId="7AE9A985" w14:textId="179B25FD" w:rsidR="0019038E" w:rsidRDefault="0019038E" w:rsidP="0019038E">
      <w:pPr>
        <w:pStyle w:val="Heading1"/>
        <w:numPr>
          <w:ilvl w:val="0"/>
          <w:numId w:val="0"/>
        </w:numPr>
        <w:jc w:val="lowKashida"/>
      </w:pPr>
      <w:r>
        <w:fldChar w:fldCharType="end"/>
      </w:r>
    </w:p>
    <w:p w14:paraId="71194D99" w14:textId="77777777" w:rsidR="0019038E" w:rsidRDefault="0019038E" w:rsidP="0019038E"/>
    <w:p w14:paraId="72C2D134" w14:textId="77777777" w:rsidR="0019038E" w:rsidRDefault="0019038E" w:rsidP="0019038E"/>
    <w:p w14:paraId="36E0A403" w14:textId="77777777" w:rsidR="0019038E" w:rsidRDefault="0019038E" w:rsidP="0019038E"/>
    <w:p w14:paraId="6300E51F" w14:textId="77777777" w:rsidR="0019038E" w:rsidRDefault="0019038E" w:rsidP="0019038E"/>
    <w:p w14:paraId="3462D4E4" w14:textId="77777777" w:rsidR="0019038E" w:rsidRDefault="0019038E" w:rsidP="0019038E"/>
    <w:p w14:paraId="4E8E079E" w14:textId="77777777" w:rsidR="0019038E" w:rsidRDefault="0019038E" w:rsidP="0019038E"/>
    <w:p w14:paraId="39C71B9B" w14:textId="77777777" w:rsidR="0019038E" w:rsidRDefault="0019038E" w:rsidP="0019038E"/>
    <w:p w14:paraId="267ACFAB" w14:textId="77777777" w:rsidR="0019038E" w:rsidRDefault="0019038E" w:rsidP="0019038E"/>
    <w:p w14:paraId="507D9C1A" w14:textId="77777777" w:rsidR="0019038E" w:rsidRDefault="0019038E" w:rsidP="0019038E"/>
    <w:p w14:paraId="7DDA6822" w14:textId="77777777" w:rsidR="0019038E" w:rsidRDefault="0019038E" w:rsidP="0019038E"/>
    <w:p w14:paraId="3ED9E6A0" w14:textId="77777777" w:rsidR="0019038E" w:rsidRDefault="0019038E" w:rsidP="0019038E"/>
    <w:p w14:paraId="48714EC8" w14:textId="77777777" w:rsidR="0019038E" w:rsidRDefault="0019038E" w:rsidP="0019038E"/>
    <w:p w14:paraId="3DE83383" w14:textId="77777777" w:rsidR="0019038E" w:rsidRDefault="0019038E" w:rsidP="0019038E"/>
    <w:p w14:paraId="100CEECD" w14:textId="77777777" w:rsidR="0019038E" w:rsidRDefault="0019038E" w:rsidP="0019038E"/>
    <w:p w14:paraId="5B31E984" w14:textId="77777777" w:rsidR="0019038E" w:rsidRDefault="0019038E" w:rsidP="0019038E"/>
    <w:p w14:paraId="24D84BE4" w14:textId="77777777" w:rsidR="0019038E" w:rsidRDefault="0019038E" w:rsidP="0019038E"/>
    <w:p w14:paraId="18E422A0" w14:textId="77777777" w:rsidR="0019038E" w:rsidRDefault="0019038E" w:rsidP="0019038E"/>
    <w:p w14:paraId="031121D4" w14:textId="77777777" w:rsidR="0019038E" w:rsidRDefault="0019038E" w:rsidP="0019038E"/>
    <w:p w14:paraId="434B835A" w14:textId="77777777" w:rsidR="0019038E" w:rsidRDefault="0019038E" w:rsidP="0019038E"/>
    <w:p w14:paraId="42FAFC86" w14:textId="77777777" w:rsidR="0019038E" w:rsidRDefault="0019038E" w:rsidP="0019038E"/>
    <w:p w14:paraId="31B66F95" w14:textId="77777777" w:rsidR="0019038E" w:rsidRDefault="0019038E" w:rsidP="0019038E"/>
    <w:p w14:paraId="3EE364DF" w14:textId="77777777" w:rsidR="0019038E" w:rsidRDefault="0019038E" w:rsidP="0019038E"/>
    <w:p w14:paraId="34A18C44" w14:textId="77777777" w:rsidR="0019038E" w:rsidRDefault="0019038E" w:rsidP="0019038E"/>
    <w:p w14:paraId="348ECA98" w14:textId="77777777" w:rsidR="0019038E" w:rsidRDefault="0019038E" w:rsidP="0019038E"/>
    <w:p w14:paraId="64FF0468" w14:textId="77777777" w:rsidR="0019038E" w:rsidRDefault="0019038E" w:rsidP="0019038E"/>
    <w:p w14:paraId="2658E5CC" w14:textId="77777777" w:rsidR="0019038E" w:rsidRDefault="0019038E" w:rsidP="0019038E"/>
    <w:p w14:paraId="3B7478AF" w14:textId="77777777" w:rsidR="0019038E" w:rsidRDefault="0019038E" w:rsidP="0019038E"/>
    <w:p w14:paraId="7E46A68A" w14:textId="77777777" w:rsidR="0019038E" w:rsidRDefault="0019038E" w:rsidP="0019038E"/>
    <w:p w14:paraId="776FFB95" w14:textId="77777777" w:rsidR="0019038E" w:rsidRDefault="0019038E" w:rsidP="0019038E"/>
    <w:p w14:paraId="3370CBC2" w14:textId="3294405F" w:rsidR="0019038E" w:rsidRDefault="0019038E" w:rsidP="0019038E"/>
    <w:p w14:paraId="7C765B4B" w14:textId="77777777" w:rsidR="002F6E05" w:rsidRDefault="002F6E05" w:rsidP="0019038E"/>
    <w:p w14:paraId="0945AA92" w14:textId="77777777" w:rsidR="0019038E" w:rsidRDefault="0019038E" w:rsidP="0019038E"/>
    <w:p w14:paraId="50AD5564" w14:textId="77777777" w:rsidR="0019038E" w:rsidRDefault="0019038E" w:rsidP="0019038E"/>
    <w:p w14:paraId="24B1B991" w14:textId="77777777" w:rsidR="0019038E" w:rsidRPr="00CD742A" w:rsidRDefault="0019038E" w:rsidP="0019038E">
      <w:pPr>
        <w:rPr>
          <w:b/>
          <w:bCs/>
          <w:sz w:val="28"/>
          <w:szCs w:val="28"/>
        </w:rPr>
      </w:pPr>
      <w:r w:rsidRPr="00CD742A">
        <w:rPr>
          <w:b/>
          <w:bCs/>
          <w:sz w:val="28"/>
          <w:szCs w:val="28"/>
        </w:rPr>
        <w:t xml:space="preserve">List of Table </w:t>
      </w:r>
    </w:p>
    <w:p w14:paraId="5128BA27" w14:textId="77777777" w:rsidR="0019038E" w:rsidRDefault="0019038E" w:rsidP="0019038E"/>
    <w:p w14:paraId="227A5924" w14:textId="77777777" w:rsidR="0019038E" w:rsidRDefault="0019038E" w:rsidP="0019038E"/>
    <w:p w14:paraId="4ABA6DEE" w14:textId="77777777" w:rsidR="0019038E" w:rsidRDefault="0019038E" w:rsidP="0019038E"/>
    <w:p w14:paraId="6D18119C" w14:textId="77777777" w:rsidR="0019038E" w:rsidRDefault="0019038E" w:rsidP="0019038E"/>
    <w:p w14:paraId="7FF427CC" w14:textId="66594DCB" w:rsidR="00B8687C" w:rsidRDefault="0019038E">
      <w:pPr>
        <w:pStyle w:val="TableofFigures"/>
        <w:tabs>
          <w:tab w:val="right" w:leader="dot" w:pos="9010"/>
        </w:tabs>
        <w:rPr>
          <w:rFonts w:asciiTheme="minorHAnsi" w:eastAsiaTheme="minorEastAsia" w:hAnsiTheme="minorHAnsi" w:cstheme="minorBidi"/>
          <w:noProof/>
          <w:lang w:val="en-SA"/>
        </w:rPr>
      </w:pPr>
      <w:r>
        <w:fldChar w:fldCharType="begin"/>
      </w:r>
      <w:r>
        <w:instrText xml:space="preserve"> TOC \h \z \c "Table" </w:instrText>
      </w:r>
      <w:r>
        <w:fldChar w:fldCharType="separate"/>
      </w:r>
      <w:hyperlink w:anchor="_Toc83750069" w:history="1">
        <w:r w:rsidR="00B8687C" w:rsidRPr="004D0126">
          <w:rPr>
            <w:rStyle w:val="Hyperlink"/>
            <w:noProof/>
          </w:rPr>
          <w:t xml:space="preserve">Table </w:t>
        </w:r>
        <w:r w:rsidR="00B8687C" w:rsidRPr="004D0126">
          <w:rPr>
            <w:rStyle w:val="Hyperlink"/>
            <w:noProof/>
            <w:cs/>
          </w:rPr>
          <w:t>‎</w:t>
        </w:r>
        <w:r w:rsidR="00B8687C" w:rsidRPr="004D0126">
          <w:rPr>
            <w:rStyle w:val="Hyperlink"/>
            <w:noProof/>
          </w:rPr>
          <w:t xml:space="preserve">2.1 Commercial manes of </w:t>
        </w:r>
        <w:r w:rsidR="00B8687C" w:rsidRPr="004D0126">
          <w:rPr>
            <w:rStyle w:val="Hyperlink"/>
            <w:i/>
            <w:iCs/>
            <w:noProof/>
          </w:rPr>
          <w:t>Zea mays</w:t>
        </w:r>
        <w:r w:rsidR="00B8687C" w:rsidRPr="004D0126">
          <w:rPr>
            <w:rStyle w:val="Hyperlink"/>
            <w:noProof/>
          </w:rPr>
          <w:t xml:space="preserve"> cultivars</w:t>
        </w:r>
        <w:r w:rsidR="00B8687C">
          <w:rPr>
            <w:noProof/>
            <w:webHidden/>
          </w:rPr>
          <w:tab/>
        </w:r>
        <w:r w:rsidR="00B8687C">
          <w:rPr>
            <w:noProof/>
            <w:webHidden/>
          </w:rPr>
          <w:fldChar w:fldCharType="begin"/>
        </w:r>
        <w:r w:rsidR="00B8687C">
          <w:rPr>
            <w:noProof/>
            <w:webHidden/>
          </w:rPr>
          <w:instrText xml:space="preserve"> PAGEREF _Toc83750069 \h </w:instrText>
        </w:r>
        <w:r w:rsidR="00B8687C">
          <w:rPr>
            <w:noProof/>
            <w:webHidden/>
          </w:rPr>
        </w:r>
        <w:r w:rsidR="00B8687C">
          <w:rPr>
            <w:noProof/>
            <w:webHidden/>
          </w:rPr>
          <w:fldChar w:fldCharType="separate"/>
        </w:r>
        <w:r w:rsidR="00B8687C">
          <w:rPr>
            <w:noProof/>
            <w:webHidden/>
          </w:rPr>
          <w:t>27</w:t>
        </w:r>
        <w:r w:rsidR="00B8687C">
          <w:rPr>
            <w:noProof/>
            <w:webHidden/>
          </w:rPr>
          <w:fldChar w:fldCharType="end"/>
        </w:r>
      </w:hyperlink>
    </w:p>
    <w:p w14:paraId="54A7C661" w14:textId="4E711426" w:rsidR="00B8687C" w:rsidRDefault="00000000">
      <w:pPr>
        <w:pStyle w:val="TableofFigures"/>
        <w:tabs>
          <w:tab w:val="right" w:leader="dot" w:pos="9010"/>
        </w:tabs>
        <w:rPr>
          <w:rFonts w:asciiTheme="minorHAnsi" w:eastAsiaTheme="minorEastAsia" w:hAnsiTheme="minorHAnsi" w:cstheme="minorBidi"/>
          <w:noProof/>
          <w:lang w:val="en-SA"/>
        </w:rPr>
      </w:pPr>
      <w:hyperlink w:anchor="_Toc83750070" w:history="1">
        <w:r w:rsidR="00B8687C" w:rsidRPr="004D0126">
          <w:rPr>
            <w:rStyle w:val="Hyperlink"/>
            <w:noProof/>
          </w:rPr>
          <w:t xml:space="preserve">Table </w:t>
        </w:r>
        <w:r w:rsidR="00B8687C" w:rsidRPr="004D0126">
          <w:rPr>
            <w:rStyle w:val="Hyperlink"/>
            <w:noProof/>
            <w:cs/>
          </w:rPr>
          <w:t>‎</w:t>
        </w:r>
        <w:r w:rsidR="00B8687C" w:rsidRPr="004D0126">
          <w:rPr>
            <w:rStyle w:val="Hyperlink"/>
            <w:noProof/>
          </w:rPr>
          <w:t xml:space="preserve">2.2 The mane of the Arbuscular Mycorrhizal Fungi species that used from </w:t>
        </w:r>
        <w:r w:rsidR="00B8687C" w:rsidRPr="004D0126">
          <w:rPr>
            <w:rStyle w:val="Hyperlink"/>
            <w:noProof/>
            <w:lang w:val="en-GB"/>
          </w:rPr>
          <w:t>ROOT GROW</w:t>
        </w:r>
        <w:r w:rsidR="00B8687C" w:rsidRPr="004D0126">
          <w:rPr>
            <w:rStyle w:val="Hyperlink"/>
            <w:noProof/>
          </w:rPr>
          <w:t xml:space="preserve"> company</w:t>
        </w:r>
        <w:r w:rsidR="00B8687C">
          <w:rPr>
            <w:noProof/>
            <w:webHidden/>
          </w:rPr>
          <w:tab/>
        </w:r>
        <w:r w:rsidR="00B8687C">
          <w:rPr>
            <w:noProof/>
            <w:webHidden/>
          </w:rPr>
          <w:fldChar w:fldCharType="begin"/>
        </w:r>
        <w:r w:rsidR="00B8687C">
          <w:rPr>
            <w:noProof/>
            <w:webHidden/>
          </w:rPr>
          <w:instrText xml:space="preserve"> PAGEREF _Toc83750070 \h </w:instrText>
        </w:r>
        <w:r w:rsidR="00B8687C">
          <w:rPr>
            <w:noProof/>
            <w:webHidden/>
          </w:rPr>
        </w:r>
        <w:r w:rsidR="00B8687C">
          <w:rPr>
            <w:noProof/>
            <w:webHidden/>
          </w:rPr>
          <w:fldChar w:fldCharType="separate"/>
        </w:r>
        <w:r w:rsidR="00B8687C">
          <w:rPr>
            <w:noProof/>
            <w:webHidden/>
          </w:rPr>
          <w:t>28</w:t>
        </w:r>
        <w:r w:rsidR="00B8687C">
          <w:rPr>
            <w:noProof/>
            <w:webHidden/>
          </w:rPr>
          <w:fldChar w:fldCharType="end"/>
        </w:r>
      </w:hyperlink>
    </w:p>
    <w:p w14:paraId="43724816" w14:textId="2C2598C6" w:rsidR="00B8687C" w:rsidRDefault="00000000">
      <w:pPr>
        <w:pStyle w:val="TableofFigures"/>
        <w:tabs>
          <w:tab w:val="right" w:leader="dot" w:pos="9010"/>
        </w:tabs>
        <w:rPr>
          <w:rFonts w:asciiTheme="minorHAnsi" w:eastAsiaTheme="minorEastAsia" w:hAnsiTheme="minorHAnsi" w:cstheme="minorBidi"/>
          <w:noProof/>
          <w:lang w:val="en-SA"/>
        </w:rPr>
      </w:pPr>
      <w:hyperlink w:anchor="_Toc83750071" w:history="1">
        <w:r w:rsidR="00B8687C" w:rsidRPr="004D0126">
          <w:rPr>
            <w:rStyle w:val="Hyperlink"/>
            <w:noProof/>
          </w:rPr>
          <w:t xml:space="preserve">Table </w:t>
        </w:r>
        <w:r w:rsidR="00B8687C" w:rsidRPr="004D0126">
          <w:rPr>
            <w:rStyle w:val="Hyperlink"/>
            <w:noProof/>
            <w:cs/>
          </w:rPr>
          <w:t>‎</w:t>
        </w:r>
        <w:r w:rsidR="00B8687C" w:rsidRPr="004D0126">
          <w:rPr>
            <w:rStyle w:val="Hyperlink"/>
            <w:noProof/>
          </w:rPr>
          <w:t>2.3 Preparation of 40% full strength Long Ashton nutrient solution contains the following: below:</w:t>
        </w:r>
        <w:r w:rsidR="00B8687C">
          <w:rPr>
            <w:noProof/>
            <w:webHidden/>
          </w:rPr>
          <w:tab/>
        </w:r>
        <w:r w:rsidR="00B8687C">
          <w:rPr>
            <w:noProof/>
            <w:webHidden/>
          </w:rPr>
          <w:fldChar w:fldCharType="begin"/>
        </w:r>
        <w:r w:rsidR="00B8687C">
          <w:rPr>
            <w:noProof/>
            <w:webHidden/>
          </w:rPr>
          <w:instrText xml:space="preserve"> PAGEREF _Toc83750071 \h </w:instrText>
        </w:r>
        <w:r w:rsidR="00B8687C">
          <w:rPr>
            <w:noProof/>
            <w:webHidden/>
          </w:rPr>
        </w:r>
        <w:r w:rsidR="00B8687C">
          <w:rPr>
            <w:noProof/>
            <w:webHidden/>
          </w:rPr>
          <w:fldChar w:fldCharType="separate"/>
        </w:r>
        <w:r w:rsidR="00B8687C">
          <w:rPr>
            <w:noProof/>
            <w:webHidden/>
          </w:rPr>
          <w:t>30</w:t>
        </w:r>
        <w:r w:rsidR="00B8687C">
          <w:rPr>
            <w:noProof/>
            <w:webHidden/>
          </w:rPr>
          <w:fldChar w:fldCharType="end"/>
        </w:r>
      </w:hyperlink>
    </w:p>
    <w:p w14:paraId="12444D76" w14:textId="681EE8F9" w:rsidR="00B8687C" w:rsidRDefault="00000000">
      <w:pPr>
        <w:pStyle w:val="TableofFigures"/>
        <w:tabs>
          <w:tab w:val="right" w:leader="dot" w:pos="9010"/>
        </w:tabs>
        <w:rPr>
          <w:rFonts w:asciiTheme="minorHAnsi" w:eastAsiaTheme="minorEastAsia" w:hAnsiTheme="minorHAnsi" w:cstheme="minorBidi"/>
          <w:noProof/>
          <w:lang w:val="en-SA"/>
        </w:rPr>
      </w:pPr>
      <w:hyperlink w:anchor="_Toc83750072" w:history="1">
        <w:r w:rsidR="00B8687C" w:rsidRPr="004D0126">
          <w:rPr>
            <w:rStyle w:val="Hyperlink"/>
            <w:noProof/>
          </w:rPr>
          <w:t xml:space="preserve">Table </w:t>
        </w:r>
        <w:r w:rsidR="00B8687C" w:rsidRPr="004D0126">
          <w:rPr>
            <w:rStyle w:val="Hyperlink"/>
            <w:noProof/>
            <w:cs/>
          </w:rPr>
          <w:t>‎</w:t>
        </w:r>
        <w:r w:rsidR="00B8687C" w:rsidRPr="004D0126">
          <w:rPr>
            <w:rStyle w:val="Hyperlink"/>
            <w:noProof/>
          </w:rPr>
          <w:t>2.4 Results of 1- Way ANOVA statistical significance of the cultivars root colonization. Asterisk indicates significant differences within the same cultivar (</w:t>
        </w:r>
        <w:r w:rsidR="00B8687C" w:rsidRPr="004D0126">
          <w:rPr>
            <w:rStyle w:val="Hyperlink"/>
            <w:bCs/>
            <w:noProof/>
          </w:rPr>
          <w:t>+P&lt;0.1; *, P&lt;0.05; **, P&lt;0.01; ***, P&lt;0.001; ****, P&lt;0.0001).</w:t>
        </w:r>
        <w:r w:rsidR="00B8687C" w:rsidRPr="004D0126">
          <w:rPr>
            <w:rStyle w:val="Hyperlink"/>
            <w:noProof/>
          </w:rPr>
          <w:t xml:space="preserve"> inoculated (AM+) maize crop plants.</w:t>
        </w:r>
        <w:r w:rsidR="00B8687C">
          <w:rPr>
            <w:noProof/>
            <w:webHidden/>
          </w:rPr>
          <w:tab/>
        </w:r>
        <w:r w:rsidR="00B8687C">
          <w:rPr>
            <w:noProof/>
            <w:webHidden/>
          </w:rPr>
          <w:fldChar w:fldCharType="begin"/>
        </w:r>
        <w:r w:rsidR="00B8687C">
          <w:rPr>
            <w:noProof/>
            <w:webHidden/>
          </w:rPr>
          <w:instrText xml:space="preserve"> PAGEREF _Toc83750072 \h </w:instrText>
        </w:r>
        <w:r w:rsidR="00B8687C">
          <w:rPr>
            <w:noProof/>
            <w:webHidden/>
          </w:rPr>
        </w:r>
        <w:r w:rsidR="00B8687C">
          <w:rPr>
            <w:noProof/>
            <w:webHidden/>
          </w:rPr>
          <w:fldChar w:fldCharType="separate"/>
        </w:r>
        <w:r w:rsidR="00B8687C">
          <w:rPr>
            <w:noProof/>
            <w:webHidden/>
          </w:rPr>
          <w:t>38</w:t>
        </w:r>
        <w:r w:rsidR="00B8687C">
          <w:rPr>
            <w:noProof/>
            <w:webHidden/>
          </w:rPr>
          <w:fldChar w:fldCharType="end"/>
        </w:r>
      </w:hyperlink>
    </w:p>
    <w:p w14:paraId="615C56B2" w14:textId="3FB7A0D2" w:rsidR="00B8687C" w:rsidRDefault="00000000">
      <w:pPr>
        <w:pStyle w:val="TableofFigures"/>
        <w:tabs>
          <w:tab w:val="right" w:leader="dot" w:pos="9010"/>
        </w:tabs>
        <w:rPr>
          <w:rFonts w:asciiTheme="minorHAnsi" w:eastAsiaTheme="minorEastAsia" w:hAnsiTheme="minorHAnsi" w:cstheme="minorBidi"/>
          <w:noProof/>
          <w:lang w:val="en-SA"/>
        </w:rPr>
      </w:pPr>
      <w:hyperlink w:anchor="_Toc83750073" w:history="1">
        <w:r w:rsidR="00B8687C" w:rsidRPr="004D0126">
          <w:rPr>
            <w:rStyle w:val="Hyperlink"/>
            <w:noProof/>
          </w:rPr>
          <w:t xml:space="preserve">Table </w:t>
        </w:r>
        <w:r w:rsidR="00B8687C" w:rsidRPr="004D0126">
          <w:rPr>
            <w:rStyle w:val="Hyperlink"/>
            <w:noProof/>
            <w:cs/>
          </w:rPr>
          <w:t>‎</w:t>
        </w:r>
        <w:r w:rsidR="00B8687C" w:rsidRPr="004D0126">
          <w:rPr>
            <w:rStyle w:val="Hyperlink"/>
            <w:noProof/>
          </w:rPr>
          <w:t>2.5 Two-Way ANOVA statistical significance of the cultivars height (cm); Factor, (cultivar and treatment AMF) and their interaction (cultivar*treatment AMF); d.f., degrees of freedom; F, value for comparison with the critical value for significance; P, level of significance (P-value).</w:t>
        </w:r>
        <w:r w:rsidR="00B8687C">
          <w:rPr>
            <w:noProof/>
            <w:webHidden/>
          </w:rPr>
          <w:tab/>
        </w:r>
        <w:r w:rsidR="00B8687C">
          <w:rPr>
            <w:noProof/>
            <w:webHidden/>
          </w:rPr>
          <w:fldChar w:fldCharType="begin"/>
        </w:r>
        <w:r w:rsidR="00B8687C">
          <w:rPr>
            <w:noProof/>
            <w:webHidden/>
          </w:rPr>
          <w:instrText xml:space="preserve"> PAGEREF _Toc83750073 \h </w:instrText>
        </w:r>
        <w:r w:rsidR="00B8687C">
          <w:rPr>
            <w:noProof/>
            <w:webHidden/>
          </w:rPr>
        </w:r>
        <w:r w:rsidR="00B8687C">
          <w:rPr>
            <w:noProof/>
            <w:webHidden/>
          </w:rPr>
          <w:fldChar w:fldCharType="separate"/>
        </w:r>
        <w:r w:rsidR="00B8687C">
          <w:rPr>
            <w:noProof/>
            <w:webHidden/>
          </w:rPr>
          <w:t>40</w:t>
        </w:r>
        <w:r w:rsidR="00B8687C">
          <w:rPr>
            <w:noProof/>
            <w:webHidden/>
          </w:rPr>
          <w:fldChar w:fldCharType="end"/>
        </w:r>
      </w:hyperlink>
    </w:p>
    <w:p w14:paraId="2E76D8A9" w14:textId="247F07B5" w:rsidR="00B8687C" w:rsidRDefault="00000000">
      <w:pPr>
        <w:pStyle w:val="TableofFigures"/>
        <w:tabs>
          <w:tab w:val="right" w:leader="dot" w:pos="9010"/>
        </w:tabs>
        <w:rPr>
          <w:rFonts w:asciiTheme="minorHAnsi" w:eastAsiaTheme="minorEastAsia" w:hAnsiTheme="minorHAnsi" w:cstheme="minorBidi"/>
          <w:noProof/>
          <w:lang w:val="en-SA"/>
        </w:rPr>
      </w:pPr>
      <w:hyperlink w:anchor="_Toc83750074" w:history="1">
        <w:r w:rsidR="00B8687C" w:rsidRPr="004D0126">
          <w:rPr>
            <w:rStyle w:val="Hyperlink"/>
            <w:noProof/>
          </w:rPr>
          <w:t xml:space="preserve">Table </w:t>
        </w:r>
        <w:r w:rsidR="00B8687C" w:rsidRPr="004D0126">
          <w:rPr>
            <w:rStyle w:val="Hyperlink"/>
            <w:noProof/>
            <w:cs/>
          </w:rPr>
          <w:t>‎</w:t>
        </w:r>
        <w:r w:rsidR="00B8687C" w:rsidRPr="004D0126">
          <w:rPr>
            <w:rStyle w:val="Hyperlink"/>
            <w:noProof/>
          </w:rPr>
          <w:t>2.6 Two-Way ANOVA statistical significance of the shoot and root biomass (mg) ; d.f., degrees of freedom; F, value for comparison with the critical value for significance; Factor, (cultivar and treatment AMF) and their interaction (cultivar*treatment AMF);  P, level of significance (P-value).</w:t>
        </w:r>
        <w:r w:rsidR="00B8687C">
          <w:rPr>
            <w:noProof/>
            <w:webHidden/>
          </w:rPr>
          <w:tab/>
        </w:r>
        <w:r w:rsidR="00B8687C">
          <w:rPr>
            <w:noProof/>
            <w:webHidden/>
          </w:rPr>
          <w:fldChar w:fldCharType="begin"/>
        </w:r>
        <w:r w:rsidR="00B8687C">
          <w:rPr>
            <w:noProof/>
            <w:webHidden/>
          </w:rPr>
          <w:instrText xml:space="preserve"> PAGEREF _Toc83750074 \h </w:instrText>
        </w:r>
        <w:r w:rsidR="00B8687C">
          <w:rPr>
            <w:noProof/>
            <w:webHidden/>
          </w:rPr>
        </w:r>
        <w:r w:rsidR="00B8687C">
          <w:rPr>
            <w:noProof/>
            <w:webHidden/>
          </w:rPr>
          <w:fldChar w:fldCharType="separate"/>
        </w:r>
        <w:r w:rsidR="00B8687C">
          <w:rPr>
            <w:noProof/>
            <w:webHidden/>
          </w:rPr>
          <w:t>46</w:t>
        </w:r>
        <w:r w:rsidR="00B8687C">
          <w:rPr>
            <w:noProof/>
            <w:webHidden/>
          </w:rPr>
          <w:fldChar w:fldCharType="end"/>
        </w:r>
      </w:hyperlink>
    </w:p>
    <w:p w14:paraId="206297C0" w14:textId="682BDE6F" w:rsidR="00B8687C" w:rsidRDefault="00000000">
      <w:pPr>
        <w:pStyle w:val="TableofFigures"/>
        <w:tabs>
          <w:tab w:val="right" w:leader="dot" w:pos="9010"/>
        </w:tabs>
        <w:rPr>
          <w:rFonts w:asciiTheme="minorHAnsi" w:eastAsiaTheme="minorEastAsia" w:hAnsiTheme="minorHAnsi" w:cstheme="minorBidi"/>
          <w:noProof/>
          <w:lang w:val="en-SA"/>
        </w:rPr>
      </w:pPr>
      <w:hyperlink w:anchor="_Toc83750075" w:history="1">
        <w:r w:rsidR="00B8687C" w:rsidRPr="004D0126">
          <w:rPr>
            <w:rStyle w:val="Hyperlink"/>
            <w:noProof/>
          </w:rPr>
          <w:t xml:space="preserve">Table </w:t>
        </w:r>
        <w:r w:rsidR="00B8687C" w:rsidRPr="004D0126">
          <w:rPr>
            <w:rStyle w:val="Hyperlink"/>
            <w:noProof/>
            <w:cs/>
          </w:rPr>
          <w:t>‎</w:t>
        </w:r>
        <w:r w:rsidR="00B8687C" w:rsidRPr="004D0126">
          <w:rPr>
            <w:rStyle w:val="Hyperlink"/>
            <w:noProof/>
          </w:rPr>
          <w:t>2.7 Two-Way ANOVA statistical significance of Shoot tissue phosphorus, nitrogen concentrations of maize plants with and without AMF inoculation in all cultivars inoculated (+AM) or uninoculated (- AM) with the arbuscular mycorrhizal (AM)of the shoot and root biomass (mg); D.F, degrees of freedom; F, value for comparison with the critical value for significance; Factor, (cultivar and treatment AMF) and their interaction (cultivar*treatment AMF);  P, level of significance (P-value).</w:t>
        </w:r>
        <w:r w:rsidR="00B8687C">
          <w:rPr>
            <w:noProof/>
            <w:webHidden/>
          </w:rPr>
          <w:tab/>
        </w:r>
        <w:r w:rsidR="00B8687C">
          <w:rPr>
            <w:noProof/>
            <w:webHidden/>
          </w:rPr>
          <w:fldChar w:fldCharType="begin"/>
        </w:r>
        <w:r w:rsidR="00B8687C">
          <w:rPr>
            <w:noProof/>
            <w:webHidden/>
          </w:rPr>
          <w:instrText xml:space="preserve"> PAGEREF _Toc83750075 \h </w:instrText>
        </w:r>
        <w:r w:rsidR="00B8687C">
          <w:rPr>
            <w:noProof/>
            <w:webHidden/>
          </w:rPr>
        </w:r>
        <w:r w:rsidR="00B8687C">
          <w:rPr>
            <w:noProof/>
            <w:webHidden/>
          </w:rPr>
          <w:fldChar w:fldCharType="separate"/>
        </w:r>
        <w:r w:rsidR="00B8687C">
          <w:rPr>
            <w:noProof/>
            <w:webHidden/>
          </w:rPr>
          <w:t>49</w:t>
        </w:r>
        <w:r w:rsidR="00B8687C">
          <w:rPr>
            <w:noProof/>
            <w:webHidden/>
          </w:rPr>
          <w:fldChar w:fldCharType="end"/>
        </w:r>
      </w:hyperlink>
    </w:p>
    <w:p w14:paraId="016457C0" w14:textId="1DB1C123" w:rsidR="00B8687C" w:rsidRDefault="00000000">
      <w:pPr>
        <w:pStyle w:val="TableofFigures"/>
        <w:tabs>
          <w:tab w:val="right" w:leader="dot" w:pos="9010"/>
        </w:tabs>
        <w:rPr>
          <w:rFonts w:asciiTheme="minorHAnsi" w:eastAsiaTheme="minorEastAsia" w:hAnsiTheme="minorHAnsi" w:cstheme="minorBidi"/>
          <w:noProof/>
          <w:lang w:val="en-SA"/>
        </w:rPr>
      </w:pPr>
      <w:hyperlink w:anchor="_Toc83750076" w:history="1">
        <w:r w:rsidR="00B8687C" w:rsidRPr="004D0126">
          <w:rPr>
            <w:rStyle w:val="Hyperlink"/>
            <w:noProof/>
          </w:rPr>
          <w:t xml:space="preserve">Table </w:t>
        </w:r>
        <w:r w:rsidR="00B8687C" w:rsidRPr="004D0126">
          <w:rPr>
            <w:rStyle w:val="Hyperlink"/>
            <w:noProof/>
            <w:cs/>
          </w:rPr>
          <w:t>‎</w:t>
        </w:r>
        <w:r w:rsidR="00B8687C" w:rsidRPr="004D0126">
          <w:rPr>
            <w:rStyle w:val="Hyperlink"/>
            <w:noProof/>
          </w:rPr>
          <w:t>2.8 Two-Way ANOVA statistical significance of Root tissue phosphorus, nitrogen concentrations of maize plants with and without AMF inoculation in all cultivars inoculated (+AM) or uninoculated (- AM) with the arbuscular mycorrhizal (AM)of the shoot and root biomass (mg); d.f., degrees of freedom; F, value for comparison with the critical value for significance; Factor, (cultivar and treatment AMF) and their interaction (cultivar*treatment AMF); P, level of significance (P-value).</w:t>
        </w:r>
        <w:r w:rsidR="00B8687C">
          <w:rPr>
            <w:noProof/>
            <w:webHidden/>
          </w:rPr>
          <w:tab/>
        </w:r>
        <w:r w:rsidR="00B8687C">
          <w:rPr>
            <w:noProof/>
            <w:webHidden/>
          </w:rPr>
          <w:fldChar w:fldCharType="begin"/>
        </w:r>
        <w:r w:rsidR="00B8687C">
          <w:rPr>
            <w:noProof/>
            <w:webHidden/>
          </w:rPr>
          <w:instrText xml:space="preserve"> PAGEREF _Toc83750076 \h </w:instrText>
        </w:r>
        <w:r w:rsidR="00B8687C">
          <w:rPr>
            <w:noProof/>
            <w:webHidden/>
          </w:rPr>
        </w:r>
        <w:r w:rsidR="00B8687C">
          <w:rPr>
            <w:noProof/>
            <w:webHidden/>
          </w:rPr>
          <w:fldChar w:fldCharType="separate"/>
        </w:r>
        <w:r w:rsidR="00B8687C">
          <w:rPr>
            <w:noProof/>
            <w:webHidden/>
          </w:rPr>
          <w:t>52</w:t>
        </w:r>
        <w:r w:rsidR="00B8687C">
          <w:rPr>
            <w:noProof/>
            <w:webHidden/>
          </w:rPr>
          <w:fldChar w:fldCharType="end"/>
        </w:r>
      </w:hyperlink>
    </w:p>
    <w:p w14:paraId="018720AB" w14:textId="19EB8E59" w:rsidR="00B8687C" w:rsidRDefault="00000000">
      <w:pPr>
        <w:pStyle w:val="TableofFigures"/>
        <w:tabs>
          <w:tab w:val="right" w:leader="dot" w:pos="9010"/>
        </w:tabs>
        <w:rPr>
          <w:rFonts w:asciiTheme="minorHAnsi" w:eastAsiaTheme="minorEastAsia" w:hAnsiTheme="minorHAnsi" w:cstheme="minorBidi"/>
          <w:noProof/>
          <w:lang w:val="en-SA"/>
        </w:rPr>
      </w:pPr>
      <w:hyperlink w:anchor="_Toc83750077" w:history="1">
        <w:r w:rsidR="00B8687C" w:rsidRPr="004D0126">
          <w:rPr>
            <w:rStyle w:val="Hyperlink"/>
            <w:noProof/>
          </w:rPr>
          <w:t xml:space="preserve">Table </w:t>
        </w:r>
        <w:r w:rsidR="00B8687C" w:rsidRPr="004D0126">
          <w:rPr>
            <w:rStyle w:val="Hyperlink"/>
            <w:noProof/>
            <w:cs/>
          </w:rPr>
          <w:t>‎</w:t>
        </w:r>
        <w:r w:rsidR="00B8687C" w:rsidRPr="004D0126">
          <w:rPr>
            <w:rStyle w:val="Hyperlink"/>
            <w:noProof/>
          </w:rPr>
          <w:t>2.9 Results of 1- Way ANOVA statistical significance of the cultivars and mycorrhizal responsiveness. Asterisk indicates significant differences within the same cultivar (</w:t>
        </w:r>
        <w:r w:rsidR="00B8687C" w:rsidRPr="004D0126">
          <w:rPr>
            <w:rStyle w:val="Hyperlink"/>
            <w:bCs/>
            <w:noProof/>
          </w:rPr>
          <w:t>+P&lt;0.1; *, P&lt;0.05; **, P&lt;0.01;   ***, P&lt;0.001; ****, P&lt;0.0001).</w:t>
        </w:r>
        <w:r w:rsidR="00B8687C">
          <w:rPr>
            <w:noProof/>
            <w:webHidden/>
          </w:rPr>
          <w:tab/>
        </w:r>
        <w:r w:rsidR="00B8687C">
          <w:rPr>
            <w:noProof/>
            <w:webHidden/>
          </w:rPr>
          <w:fldChar w:fldCharType="begin"/>
        </w:r>
        <w:r w:rsidR="00B8687C">
          <w:rPr>
            <w:noProof/>
            <w:webHidden/>
          </w:rPr>
          <w:instrText xml:space="preserve"> PAGEREF _Toc83750077 \h </w:instrText>
        </w:r>
        <w:r w:rsidR="00B8687C">
          <w:rPr>
            <w:noProof/>
            <w:webHidden/>
          </w:rPr>
        </w:r>
        <w:r w:rsidR="00B8687C">
          <w:rPr>
            <w:noProof/>
            <w:webHidden/>
          </w:rPr>
          <w:fldChar w:fldCharType="separate"/>
        </w:r>
        <w:r w:rsidR="00B8687C">
          <w:rPr>
            <w:noProof/>
            <w:webHidden/>
          </w:rPr>
          <w:t>54</w:t>
        </w:r>
        <w:r w:rsidR="00B8687C">
          <w:rPr>
            <w:noProof/>
            <w:webHidden/>
          </w:rPr>
          <w:fldChar w:fldCharType="end"/>
        </w:r>
      </w:hyperlink>
    </w:p>
    <w:p w14:paraId="37FCF147" w14:textId="5FEF5D2A" w:rsidR="00B8687C" w:rsidRDefault="00000000">
      <w:pPr>
        <w:pStyle w:val="TableofFigures"/>
        <w:tabs>
          <w:tab w:val="right" w:leader="dot" w:pos="9010"/>
        </w:tabs>
        <w:rPr>
          <w:rFonts w:asciiTheme="minorHAnsi" w:eastAsiaTheme="minorEastAsia" w:hAnsiTheme="minorHAnsi" w:cstheme="minorBidi"/>
          <w:noProof/>
          <w:lang w:val="en-SA"/>
        </w:rPr>
      </w:pPr>
      <w:hyperlink w:anchor="_Toc83750078" w:history="1">
        <w:r w:rsidR="00B8687C" w:rsidRPr="004D0126">
          <w:rPr>
            <w:rStyle w:val="Hyperlink"/>
            <w:noProof/>
          </w:rPr>
          <w:t xml:space="preserve">Table </w:t>
        </w:r>
        <w:r w:rsidR="00B8687C" w:rsidRPr="004D0126">
          <w:rPr>
            <w:rStyle w:val="Hyperlink"/>
            <w:noProof/>
            <w:cs/>
          </w:rPr>
          <w:t>‎</w:t>
        </w:r>
        <w:r w:rsidR="00B8687C" w:rsidRPr="004D0126">
          <w:rPr>
            <w:rStyle w:val="Hyperlink"/>
            <w:noProof/>
          </w:rPr>
          <w:t>2.10 Results of regression statistical between mycorrhizal responsiveness and P, N content in the shoots of the arbuscular mycorrhiza.</w:t>
        </w:r>
        <w:r w:rsidR="00B8687C">
          <w:rPr>
            <w:noProof/>
            <w:webHidden/>
          </w:rPr>
          <w:tab/>
        </w:r>
        <w:r w:rsidR="00B8687C">
          <w:rPr>
            <w:noProof/>
            <w:webHidden/>
          </w:rPr>
          <w:fldChar w:fldCharType="begin"/>
        </w:r>
        <w:r w:rsidR="00B8687C">
          <w:rPr>
            <w:noProof/>
            <w:webHidden/>
          </w:rPr>
          <w:instrText xml:space="preserve"> PAGEREF _Toc83750078 \h </w:instrText>
        </w:r>
        <w:r w:rsidR="00B8687C">
          <w:rPr>
            <w:noProof/>
            <w:webHidden/>
          </w:rPr>
        </w:r>
        <w:r w:rsidR="00B8687C">
          <w:rPr>
            <w:noProof/>
            <w:webHidden/>
          </w:rPr>
          <w:fldChar w:fldCharType="separate"/>
        </w:r>
        <w:r w:rsidR="00B8687C">
          <w:rPr>
            <w:noProof/>
            <w:webHidden/>
          </w:rPr>
          <w:t>56</w:t>
        </w:r>
        <w:r w:rsidR="00B8687C">
          <w:rPr>
            <w:noProof/>
            <w:webHidden/>
          </w:rPr>
          <w:fldChar w:fldCharType="end"/>
        </w:r>
      </w:hyperlink>
    </w:p>
    <w:p w14:paraId="7DC0F5C2" w14:textId="7B8CF2E3" w:rsidR="00B8687C" w:rsidRDefault="00000000">
      <w:pPr>
        <w:pStyle w:val="TableofFigures"/>
        <w:tabs>
          <w:tab w:val="right" w:leader="dot" w:pos="9010"/>
        </w:tabs>
        <w:rPr>
          <w:rFonts w:asciiTheme="minorHAnsi" w:eastAsiaTheme="minorEastAsia" w:hAnsiTheme="minorHAnsi" w:cstheme="minorBidi"/>
          <w:noProof/>
          <w:lang w:val="en-SA"/>
        </w:rPr>
      </w:pPr>
      <w:hyperlink w:anchor="_Toc83750079" w:history="1">
        <w:r w:rsidR="00B8687C" w:rsidRPr="004D0126">
          <w:rPr>
            <w:rStyle w:val="Hyperlink"/>
            <w:noProof/>
          </w:rPr>
          <w:t xml:space="preserve">Table </w:t>
        </w:r>
        <w:r w:rsidR="00B8687C" w:rsidRPr="004D0126">
          <w:rPr>
            <w:rStyle w:val="Hyperlink"/>
            <w:noProof/>
            <w:cs/>
          </w:rPr>
          <w:t>‎</w:t>
        </w:r>
        <w:r w:rsidR="00B8687C" w:rsidRPr="004D0126">
          <w:rPr>
            <w:rStyle w:val="Hyperlink"/>
            <w:noProof/>
          </w:rPr>
          <w:t>2.11 Results of regression statistical between mycorrhizal responsiveness and P, N content in the shoots of the arbuscular mycorrhiza inoculated (AM+) maize crop plants.</w:t>
        </w:r>
        <w:r w:rsidR="00B8687C">
          <w:rPr>
            <w:noProof/>
            <w:webHidden/>
          </w:rPr>
          <w:tab/>
        </w:r>
        <w:r w:rsidR="00B8687C">
          <w:rPr>
            <w:noProof/>
            <w:webHidden/>
          </w:rPr>
          <w:fldChar w:fldCharType="begin"/>
        </w:r>
        <w:r w:rsidR="00B8687C">
          <w:rPr>
            <w:noProof/>
            <w:webHidden/>
          </w:rPr>
          <w:instrText xml:space="preserve"> PAGEREF _Toc83750079 \h </w:instrText>
        </w:r>
        <w:r w:rsidR="00B8687C">
          <w:rPr>
            <w:noProof/>
            <w:webHidden/>
          </w:rPr>
        </w:r>
        <w:r w:rsidR="00B8687C">
          <w:rPr>
            <w:noProof/>
            <w:webHidden/>
          </w:rPr>
          <w:fldChar w:fldCharType="separate"/>
        </w:r>
        <w:r w:rsidR="00B8687C">
          <w:rPr>
            <w:noProof/>
            <w:webHidden/>
          </w:rPr>
          <w:t>58</w:t>
        </w:r>
        <w:r w:rsidR="00B8687C">
          <w:rPr>
            <w:noProof/>
            <w:webHidden/>
          </w:rPr>
          <w:fldChar w:fldCharType="end"/>
        </w:r>
      </w:hyperlink>
    </w:p>
    <w:p w14:paraId="6EA11793" w14:textId="14162887" w:rsidR="00B8687C" w:rsidRDefault="00000000">
      <w:pPr>
        <w:pStyle w:val="TableofFigures"/>
        <w:tabs>
          <w:tab w:val="right" w:leader="dot" w:pos="9010"/>
        </w:tabs>
        <w:rPr>
          <w:rFonts w:asciiTheme="minorHAnsi" w:eastAsiaTheme="minorEastAsia" w:hAnsiTheme="minorHAnsi" w:cstheme="minorBidi"/>
          <w:noProof/>
          <w:lang w:val="en-SA"/>
        </w:rPr>
      </w:pPr>
      <w:hyperlink w:anchor="_Toc83750080" w:history="1">
        <w:r w:rsidR="00B8687C" w:rsidRPr="004D0126">
          <w:rPr>
            <w:rStyle w:val="Hyperlink"/>
            <w:noProof/>
          </w:rPr>
          <w:t xml:space="preserve">Table </w:t>
        </w:r>
        <w:r w:rsidR="00B8687C" w:rsidRPr="004D0126">
          <w:rPr>
            <w:rStyle w:val="Hyperlink"/>
            <w:noProof/>
            <w:cs/>
          </w:rPr>
          <w:t>‎</w:t>
        </w:r>
        <w:r w:rsidR="00B8687C" w:rsidRPr="004D0126">
          <w:rPr>
            <w:rStyle w:val="Hyperlink"/>
            <w:noProof/>
          </w:rPr>
          <w:t xml:space="preserve">3.1 </w:t>
        </w:r>
        <w:r w:rsidR="00B8687C" w:rsidRPr="004D0126">
          <w:rPr>
            <w:rStyle w:val="Hyperlink"/>
            <w:noProof/>
            <w:shd w:val="clear" w:color="auto" w:fill="FFFFFF"/>
          </w:rPr>
          <w:t>presented the forward and reverse primers for 18S PCR</w:t>
        </w:r>
        <w:r w:rsidR="00B8687C">
          <w:rPr>
            <w:noProof/>
            <w:webHidden/>
          </w:rPr>
          <w:tab/>
        </w:r>
        <w:r w:rsidR="00B8687C">
          <w:rPr>
            <w:noProof/>
            <w:webHidden/>
          </w:rPr>
          <w:fldChar w:fldCharType="begin"/>
        </w:r>
        <w:r w:rsidR="00B8687C">
          <w:rPr>
            <w:noProof/>
            <w:webHidden/>
          </w:rPr>
          <w:instrText xml:space="preserve"> PAGEREF _Toc83750080 \h </w:instrText>
        </w:r>
        <w:r w:rsidR="00B8687C">
          <w:rPr>
            <w:noProof/>
            <w:webHidden/>
          </w:rPr>
        </w:r>
        <w:r w:rsidR="00B8687C">
          <w:rPr>
            <w:noProof/>
            <w:webHidden/>
          </w:rPr>
          <w:fldChar w:fldCharType="separate"/>
        </w:r>
        <w:r w:rsidR="00B8687C">
          <w:rPr>
            <w:noProof/>
            <w:webHidden/>
          </w:rPr>
          <w:t>73</w:t>
        </w:r>
        <w:r w:rsidR="00B8687C">
          <w:rPr>
            <w:noProof/>
            <w:webHidden/>
          </w:rPr>
          <w:fldChar w:fldCharType="end"/>
        </w:r>
      </w:hyperlink>
    </w:p>
    <w:p w14:paraId="3512453C" w14:textId="659A05F2" w:rsidR="00B8687C" w:rsidRDefault="00000000">
      <w:pPr>
        <w:pStyle w:val="TableofFigures"/>
        <w:tabs>
          <w:tab w:val="right" w:leader="dot" w:pos="9010"/>
        </w:tabs>
        <w:rPr>
          <w:rFonts w:asciiTheme="minorHAnsi" w:eastAsiaTheme="minorEastAsia" w:hAnsiTheme="minorHAnsi" w:cstheme="minorBidi"/>
          <w:noProof/>
          <w:lang w:val="en-SA"/>
        </w:rPr>
      </w:pPr>
      <w:hyperlink w:anchor="_Toc83750081" w:history="1">
        <w:r w:rsidR="00B8687C" w:rsidRPr="004D0126">
          <w:rPr>
            <w:rStyle w:val="Hyperlink"/>
            <w:noProof/>
          </w:rPr>
          <w:t xml:space="preserve">Table </w:t>
        </w:r>
        <w:r w:rsidR="00B8687C" w:rsidRPr="004D0126">
          <w:rPr>
            <w:rStyle w:val="Hyperlink"/>
            <w:noProof/>
            <w:cs/>
          </w:rPr>
          <w:t>‎</w:t>
        </w:r>
        <w:r w:rsidR="00B8687C" w:rsidRPr="004D0126">
          <w:rPr>
            <w:rStyle w:val="Hyperlink"/>
            <w:noProof/>
          </w:rPr>
          <w:t xml:space="preserve">3.2 </w:t>
        </w:r>
        <w:r w:rsidR="00B8687C" w:rsidRPr="004D0126">
          <w:rPr>
            <w:rStyle w:val="Hyperlink"/>
            <w:noProof/>
            <w:shd w:val="clear" w:color="auto" w:fill="FFFFFF"/>
          </w:rPr>
          <w:t>presented the forward and reverse primers For RBCL PCR</w:t>
        </w:r>
        <w:r w:rsidR="00B8687C">
          <w:rPr>
            <w:noProof/>
            <w:webHidden/>
          </w:rPr>
          <w:tab/>
        </w:r>
        <w:r w:rsidR="00B8687C">
          <w:rPr>
            <w:noProof/>
            <w:webHidden/>
          </w:rPr>
          <w:fldChar w:fldCharType="begin"/>
        </w:r>
        <w:r w:rsidR="00B8687C">
          <w:rPr>
            <w:noProof/>
            <w:webHidden/>
          </w:rPr>
          <w:instrText xml:space="preserve"> PAGEREF _Toc83750081 \h </w:instrText>
        </w:r>
        <w:r w:rsidR="00B8687C">
          <w:rPr>
            <w:noProof/>
            <w:webHidden/>
          </w:rPr>
        </w:r>
        <w:r w:rsidR="00B8687C">
          <w:rPr>
            <w:noProof/>
            <w:webHidden/>
          </w:rPr>
          <w:fldChar w:fldCharType="separate"/>
        </w:r>
        <w:r w:rsidR="00B8687C">
          <w:rPr>
            <w:noProof/>
            <w:webHidden/>
          </w:rPr>
          <w:t>74</w:t>
        </w:r>
        <w:r w:rsidR="00B8687C">
          <w:rPr>
            <w:noProof/>
            <w:webHidden/>
          </w:rPr>
          <w:fldChar w:fldCharType="end"/>
        </w:r>
      </w:hyperlink>
    </w:p>
    <w:p w14:paraId="18F6D8C1" w14:textId="544CD9C5" w:rsidR="00B8687C" w:rsidRDefault="00000000">
      <w:pPr>
        <w:pStyle w:val="TableofFigures"/>
        <w:tabs>
          <w:tab w:val="right" w:leader="dot" w:pos="9010"/>
        </w:tabs>
        <w:rPr>
          <w:rFonts w:asciiTheme="minorHAnsi" w:eastAsiaTheme="minorEastAsia" w:hAnsiTheme="minorHAnsi" w:cstheme="minorBidi"/>
          <w:noProof/>
          <w:lang w:val="en-SA"/>
        </w:rPr>
      </w:pPr>
      <w:hyperlink w:anchor="_Toc83750082" w:history="1">
        <w:r w:rsidR="00B8687C" w:rsidRPr="004D0126">
          <w:rPr>
            <w:rStyle w:val="Hyperlink"/>
            <w:noProof/>
          </w:rPr>
          <w:t xml:space="preserve">Table </w:t>
        </w:r>
        <w:r w:rsidR="00B8687C" w:rsidRPr="004D0126">
          <w:rPr>
            <w:rStyle w:val="Hyperlink"/>
            <w:noProof/>
            <w:cs/>
          </w:rPr>
          <w:t>‎</w:t>
        </w:r>
        <w:r w:rsidR="00B8687C" w:rsidRPr="004D0126">
          <w:rPr>
            <w:rStyle w:val="Hyperlink"/>
            <w:noProof/>
          </w:rPr>
          <w:t>3.3 List of used primers, their nucleotide sequences, total number of produced bands</w:t>
        </w:r>
        <w:r w:rsidR="00B8687C">
          <w:rPr>
            <w:noProof/>
            <w:webHidden/>
          </w:rPr>
          <w:tab/>
        </w:r>
        <w:r w:rsidR="00B8687C">
          <w:rPr>
            <w:noProof/>
            <w:webHidden/>
          </w:rPr>
          <w:fldChar w:fldCharType="begin"/>
        </w:r>
        <w:r w:rsidR="00B8687C">
          <w:rPr>
            <w:noProof/>
            <w:webHidden/>
          </w:rPr>
          <w:instrText xml:space="preserve"> PAGEREF _Toc83750082 \h </w:instrText>
        </w:r>
        <w:r w:rsidR="00B8687C">
          <w:rPr>
            <w:noProof/>
            <w:webHidden/>
          </w:rPr>
        </w:r>
        <w:r w:rsidR="00B8687C">
          <w:rPr>
            <w:noProof/>
            <w:webHidden/>
          </w:rPr>
          <w:fldChar w:fldCharType="separate"/>
        </w:r>
        <w:r w:rsidR="00B8687C">
          <w:rPr>
            <w:noProof/>
            <w:webHidden/>
          </w:rPr>
          <w:t>77</w:t>
        </w:r>
        <w:r w:rsidR="00B8687C">
          <w:rPr>
            <w:noProof/>
            <w:webHidden/>
          </w:rPr>
          <w:fldChar w:fldCharType="end"/>
        </w:r>
      </w:hyperlink>
    </w:p>
    <w:p w14:paraId="50E6224E" w14:textId="66C6A691" w:rsidR="00B8687C" w:rsidRDefault="00000000">
      <w:pPr>
        <w:pStyle w:val="TableofFigures"/>
        <w:tabs>
          <w:tab w:val="right" w:leader="dot" w:pos="9010"/>
        </w:tabs>
        <w:rPr>
          <w:rFonts w:asciiTheme="minorHAnsi" w:eastAsiaTheme="minorEastAsia" w:hAnsiTheme="minorHAnsi" w:cstheme="minorBidi"/>
          <w:noProof/>
          <w:lang w:val="en-SA"/>
        </w:rPr>
      </w:pPr>
      <w:hyperlink w:anchor="_Toc83750083" w:history="1">
        <w:r w:rsidR="00B8687C" w:rsidRPr="004D0126">
          <w:rPr>
            <w:rStyle w:val="Hyperlink"/>
            <w:noProof/>
          </w:rPr>
          <w:t xml:space="preserve">Table </w:t>
        </w:r>
        <w:r w:rsidR="00B8687C" w:rsidRPr="004D0126">
          <w:rPr>
            <w:rStyle w:val="Hyperlink"/>
            <w:noProof/>
            <w:cs/>
          </w:rPr>
          <w:t>‎</w:t>
        </w:r>
        <w:r w:rsidR="00B8687C" w:rsidRPr="004D0126">
          <w:rPr>
            <w:rStyle w:val="Hyperlink"/>
            <w:noProof/>
          </w:rPr>
          <w:t xml:space="preserve">4.1 </w:t>
        </w:r>
        <w:r w:rsidR="00B8687C" w:rsidRPr="004D0126">
          <w:rPr>
            <w:rStyle w:val="Hyperlink"/>
            <w:rFonts w:eastAsiaTheme="minorHAnsi"/>
            <w:noProof/>
          </w:rPr>
          <w:t>MALDI Synapt-G2 method set up for metabolite extraction analysis</w:t>
        </w:r>
        <w:r w:rsidR="00B8687C">
          <w:rPr>
            <w:noProof/>
            <w:webHidden/>
          </w:rPr>
          <w:tab/>
        </w:r>
        <w:r w:rsidR="00B8687C">
          <w:rPr>
            <w:noProof/>
            <w:webHidden/>
          </w:rPr>
          <w:fldChar w:fldCharType="begin"/>
        </w:r>
        <w:r w:rsidR="00B8687C">
          <w:rPr>
            <w:noProof/>
            <w:webHidden/>
          </w:rPr>
          <w:instrText xml:space="preserve"> PAGEREF _Toc83750083 \h </w:instrText>
        </w:r>
        <w:r w:rsidR="00B8687C">
          <w:rPr>
            <w:noProof/>
            <w:webHidden/>
          </w:rPr>
        </w:r>
        <w:r w:rsidR="00B8687C">
          <w:rPr>
            <w:noProof/>
            <w:webHidden/>
          </w:rPr>
          <w:fldChar w:fldCharType="separate"/>
        </w:r>
        <w:r w:rsidR="00B8687C">
          <w:rPr>
            <w:noProof/>
            <w:webHidden/>
          </w:rPr>
          <w:t>104</w:t>
        </w:r>
        <w:r w:rsidR="00B8687C">
          <w:rPr>
            <w:noProof/>
            <w:webHidden/>
          </w:rPr>
          <w:fldChar w:fldCharType="end"/>
        </w:r>
      </w:hyperlink>
    </w:p>
    <w:p w14:paraId="27BEDB09" w14:textId="0F9B3C4C" w:rsidR="00B8687C" w:rsidRDefault="00000000">
      <w:pPr>
        <w:pStyle w:val="TableofFigures"/>
        <w:tabs>
          <w:tab w:val="right" w:leader="dot" w:pos="9010"/>
        </w:tabs>
        <w:rPr>
          <w:rFonts w:asciiTheme="minorHAnsi" w:eastAsiaTheme="minorEastAsia" w:hAnsiTheme="minorHAnsi" w:cstheme="minorBidi"/>
          <w:noProof/>
          <w:lang w:val="en-SA"/>
        </w:rPr>
      </w:pPr>
      <w:hyperlink w:anchor="_Toc83750084" w:history="1">
        <w:r w:rsidR="00B8687C" w:rsidRPr="004D0126">
          <w:rPr>
            <w:rStyle w:val="Hyperlink"/>
            <w:noProof/>
          </w:rPr>
          <w:t xml:space="preserve">Table </w:t>
        </w:r>
        <w:r w:rsidR="00B8687C" w:rsidRPr="004D0126">
          <w:rPr>
            <w:rStyle w:val="Hyperlink"/>
            <w:noProof/>
            <w:cs/>
          </w:rPr>
          <w:t>‎</w:t>
        </w:r>
        <w:r w:rsidR="00B8687C" w:rsidRPr="004D0126">
          <w:rPr>
            <w:rStyle w:val="Hyperlink"/>
            <w:noProof/>
          </w:rPr>
          <w:t xml:space="preserve">4.2 </w:t>
        </w:r>
        <w:r w:rsidR="00B8687C" w:rsidRPr="004D0126">
          <w:rPr>
            <w:rStyle w:val="Hyperlink"/>
            <w:rFonts w:eastAsiaTheme="minorHAnsi"/>
            <w:noProof/>
          </w:rPr>
          <w:t xml:space="preserve"> List of ion adducts used to distinguish accurate masses for positive ionization modes</w:t>
        </w:r>
        <w:r w:rsidR="00B8687C">
          <w:rPr>
            <w:noProof/>
            <w:webHidden/>
          </w:rPr>
          <w:tab/>
        </w:r>
        <w:r w:rsidR="00B8687C">
          <w:rPr>
            <w:noProof/>
            <w:webHidden/>
          </w:rPr>
          <w:fldChar w:fldCharType="begin"/>
        </w:r>
        <w:r w:rsidR="00B8687C">
          <w:rPr>
            <w:noProof/>
            <w:webHidden/>
          </w:rPr>
          <w:instrText xml:space="preserve"> PAGEREF _Toc83750084 \h </w:instrText>
        </w:r>
        <w:r w:rsidR="00B8687C">
          <w:rPr>
            <w:noProof/>
            <w:webHidden/>
          </w:rPr>
        </w:r>
        <w:r w:rsidR="00B8687C">
          <w:rPr>
            <w:noProof/>
            <w:webHidden/>
          </w:rPr>
          <w:fldChar w:fldCharType="separate"/>
        </w:r>
        <w:r w:rsidR="00B8687C">
          <w:rPr>
            <w:noProof/>
            <w:webHidden/>
          </w:rPr>
          <w:t>107</w:t>
        </w:r>
        <w:r w:rsidR="00B8687C">
          <w:rPr>
            <w:noProof/>
            <w:webHidden/>
          </w:rPr>
          <w:fldChar w:fldCharType="end"/>
        </w:r>
      </w:hyperlink>
    </w:p>
    <w:p w14:paraId="525EDE73" w14:textId="5FE5B3CC" w:rsidR="0019038E" w:rsidRDefault="0019038E" w:rsidP="0019038E">
      <w:r>
        <w:fldChar w:fldCharType="end"/>
      </w:r>
    </w:p>
    <w:p w14:paraId="1C88C49C" w14:textId="77777777" w:rsidR="0019038E" w:rsidRDefault="0019038E" w:rsidP="0019038E"/>
    <w:p w14:paraId="45EB5E8D" w14:textId="77777777" w:rsidR="0019038E" w:rsidRDefault="0019038E" w:rsidP="0019038E"/>
    <w:p w14:paraId="719724CE" w14:textId="77777777" w:rsidR="0019038E" w:rsidRDefault="0019038E" w:rsidP="0019038E"/>
    <w:p w14:paraId="4E6BEE04" w14:textId="77777777" w:rsidR="0019038E" w:rsidRDefault="0019038E" w:rsidP="0019038E"/>
    <w:p w14:paraId="1D9700F9" w14:textId="77777777" w:rsidR="0019038E" w:rsidRDefault="0019038E" w:rsidP="0019038E"/>
    <w:p w14:paraId="450D0B0D" w14:textId="77777777" w:rsidR="0019038E" w:rsidRDefault="0019038E" w:rsidP="0019038E"/>
    <w:p w14:paraId="206DCD36" w14:textId="4742C092" w:rsidR="0019038E" w:rsidRDefault="0019038E" w:rsidP="0019038E"/>
    <w:p w14:paraId="66E283F1" w14:textId="1AECABC4" w:rsidR="001C5EE8" w:rsidRDefault="001C5EE8" w:rsidP="0019038E"/>
    <w:p w14:paraId="0486314F" w14:textId="2B1E5288" w:rsidR="001C5EE8" w:rsidRDefault="001C5EE8" w:rsidP="0019038E"/>
    <w:p w14:paraId="4550F30A" w14:textId="4D8892FC" w:rsidR="001C5EE8" w:rsidRDefault="001C5EE8" w:rsidP="0019038E"/>
    <w:p w14:paraId="0B7BAAE9" w14:textId="22586C8F" w:rsidR="001C5EE8" w:rsidRDefault="001C5EE8" w:rsidP="0019038E"/>
    <w:p w14:paraId="35498177" w14:textId="5FF89210" w:rsidR="001C5EE8" w:rsidRDefault="001C5EE8" w:rsidP="0019038E"/>
    <w:p w14:paraId="5E0855DD" w14:textId="00D2E844" w:rsidR="001C5EE8" w:rsidRDefault="001C5EE8" w:rsidP="0019038E"/>
    <w:p w14:paraId="3625182D" w14:textId="481D34EA" w:rsidR="001C5EE8" w:rsidRDefault="001C5EE8" w:rsidP="0019038E"/>
    <w:p w14:paraId="2383CDA6" w14:textId="12752E94" w:rsidR="001C5EE8" w:rsidRDefault="001C5EE8" w:rsidP="0019038E"/>
    <w:p w14:paraId="34888C01" w14:textId="756FCA97" w:rsidR="001C5EE8" w:rsidRDefault="001C5EE8" w:rsidP="0019038E"/>
    <w:p w14:paraId="5CBC06F4" w14:textId="3463A179" w:rsidR="001C5EE8" w:rsidRDefault="001C5EE8" w:rsidP="0019038E"/>
    <w:p w14:paraId="6D3668D5" w14:textId="5B60B754" w:rsidR="001C5EE8" w:rsidRDefault="001C5EE8" w:rsidP="0019038E"/>
    <w:p w14:paraId="2865E669" w14:textId="68451C44" w:rsidR="001C5EE8" w:rsidRDefault="001C5EE8" w:rsidP="0019038E"/>
    <w:p w14:paraId="3E5A398A" w14:textId="265E3EFF" w:rsidR="001C5EE8" w:rsidRDefault="001C5EE8" w:rsidP="0019038E"/>
    <w:p w14:paraId="08A38AA4" w14:textId="050A6C6E" w:rsidR="001C5EE8" w:rsidRDefault="001C5EE8" w:rsidP="0019038E"/>
    <w:p w14:paraId="7BEE69EF" w14:textId="0462FBF3" w:rsidR="001C5EE8" w:rsidRDefault="001C5EE8" w:rsidP="0019038E"/>
    <w:p w14:paraId="64685225" w14:textId="1124507A" w:rsidR="001C5EE8" w:rsidRDefault="001C5EE8" w:rsidP="0019038E"/>
    <w:p w14:paraId="3930158A" w14:textId="04B711F9" w:rsidR="001C5EE8" w:rsidRDefault="001C5EE8" w:rsidP="0019038E"/>
    <w:p w14:paraId="7E3931D4" w14:textId="733990F1" w:rsidR="001C5EE8" w:rsidRDefault="001C5EE8" w:rsidP="0019038E"/>
    <w:p w14:paraId="027A625E" w14:textId="2C1C6A85" w:rsidR="001C5EE8" w:rsidRDefault="001C5EE8" w:rsidP="0019038E"/>
    <w:p w14:paraId="592F36E6" w14:textId="035A0A72" w:rsidR="001C5EE8" w:rsidRDefault="001C5EE8" w:rsidP="0019038E"/>
    <w:p w14:paraId="304F78AE" w14:textId="73D566B3" w:rsidR="001C5EE8" w:rsidRDefault="001C5EE8" w:rsidP="0019038E"/>
    <w:p w14:paraId="5CD1E9C5" w14:textId="7C02176F" w:rsidR="001C5EE8" w:rsidRDefault="001C5EE8" w:rsidP="0019038E"/>
    <w:p w14:paraId="7749FA9A" w14:textId="6C1FDAC2" w:rsidR="001C5EE8" w:rsidRDefault="001C5EE8" w:rsidP="0019038E"/>
    <w:p w14:paraId="1D182536" w14:textId="42584F46" w:rsidR="001C5EE8" w:rsidRDefault="001C5EE8" w:rsidP="0019038E"/>
    <w:p w14:paraId="50E61548" w14:textId="25CB57BB" w:rsidR="001C5EE8" w:rsidRDefault="001C5EE8" w:rsidP="0019038E"/>
    <w:p w14:paraId="04F15BFB" w14:textId="3A6264C1" w:rsidR="001C5EE8" w:rsidRDefault="001C5EE8" w:rsidP="0019038E"/>
    <w:p w14:paraId="6BC01F45" w14:textId="447C8E21" w:rsidR="001C5EE8" w:rsidRDefault="001C5EE8" w:rsidP="0019038E"/>
    <w:p w14:paraId="79656FC3" w14:textId="437D7BA2" w:rsidR="001C5EE8" w:rsidRDefault="001C5EE8" w:rsidP="0019038E"/>
    <w:p w14:paraId="3FFCCFFE" w14:textId="77777777" w:rsidR="001C5EE8" w:rsidRDefault="001C5EE8" w:rsidP="0019038E"/>
    <w:p w14:paraId="2F666224" w14:textId="77777777" w:rsidR="0019038E" w:rsidRDefault="0019038E" w:rsidP="0019038E"/>
    <w:p w14:paraId="05CFCA89" w14:textId="77777777" w:rsidR="0019038E" w:rsidRDefault="0019038E" w:rsidP="0019038E"/>
    <w:p w14:paraId="0F9999E0" w14:textId="77777777" w:rsidR="0019038E" w:rsidRDefault="0019038E" w:rsidP="0019038E"/>
    <w:p w14:paraId="12B0F162" w14:textId="77777777" w:rsidR="0019038E" w:rsidRPr="00CD742A" w:rsidRDefault="0019038E" w:rsidP="0019038E">
      <w:pPr>
        <w:rPr>
          <w:b/>
          <w:bCs/>
          <w:sz w:val="28"/>
          <w:szCs w:val="28"/>
        </w:rPr>
      </w:pPr>
      <w:r w:rsidRPr="00CD742A">
        <w:rPr>
          <w:b/>
          <w:bCs/>
          <w:sz w:val="28"/>
          <w:szCs w:val="28"/>
        </w:rPr>
        <w:t>List of Figures</w:t>
      </w:r>
    </w:p>
    <w:p w14:paraId="2928E943" w14:textId="77777777" w:rsidR="0019038E" w:rsidRDefault="0019038E" w:rsidP="0019038E"/>
    <w:p w14:paraId="21896CB5" w14:textId="77777777" w:rsidR="0019038E" w:rsidRPr="004C6FFD" w:rsidRDefault="0019038E" w:rsidP="0019038E"/>
    <w:p w14:paraId="7A526D05" w14:textId="17026365" w:rsidR="00AB76C5" w:rsidRDefault="0019038E">
      <w:pPr>
        <w:pStyle w:val="TableofFigures"/>
        <w:tabs>
          <w:tab w:val="right" w:leader="dot" w:pos="9010"/>
        </w:tabs>
        <w:rPr>
          <w:rFonts w:asciiTheme="minorHAnsi" w:eastAsiaTheme="minorEastAsia" w:hAnsiTheme="minorHAnsi" w:cstheme="minorBidi"/>
          <w:noProof/>
          <w:lang w:val="en-SA"/>
        </w:rPr>
      </w:pPr>
      <w:r>
        <w:fldChar w:fldCharType="begin"/>
      </w:r>
      <w:r>
        <w:instrText xml:space="preserve"> TOC \h \z \c "Figure" </w:instrText>
      </w:r>
      <w:r>
        <w:fldChar w:fldCharType="separate"/>
      </w:r>
      <w:hyperlink w:anchor="_Toc83751342"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1.1 Evidence and possible geological times for evolution of the three main mycorrhiza types (reproduced from Cairney, 2000).</w:t>
        </w:r>
        <w:r w:rsidR="00AB76C5">
          <w:rPr>
            <w:noProof/>
            <w:webHidden/>
          </w:rPr>
          <w:tab/>
        </w:r>
        <w:r w:rsidR="00AB76C5">
          <w:rPr>
            <w:noProof/>
            <w:webHidden/>
          </w:rPr>
          <w:fldChar w:fldCharType="begin"/>
        </w:r>
        <w:r w:rsidR="00AB76C5">
          <w:rPr>
            <w:noProof/>
            <w:webHidden/>
          </w:rPr>
          <w:instrText xml:space="preserve"> PAGEREF _Toc83751342 \h </w:instrText>
        </w:r>
        <w:r w:rsidR="00AB76C5">
          <w:rPr>
            <w:noProof/>
            <w:webHidden/>
          </w:rPr>
        </w:r>
        <w:r w:rsidR="00AB76C5">
          <w:rPr>
            <w:noProof/>
            <w:webHidden/>
          </w:rPr>
          <w:fldChar w:fldCharType="separate"/>
        </w:r>
        <w:r w:rsidR="00AB76C5">
          <w:rPr>
            <w:noProof/>
            <w:webHidden/>
          </w:rPr>
          <w:t>4</w:t>
        </w:r>
        <w:r w:rsidR="00AB76C5">
          <w:rPr>
            <w:noProof/>
            <w:webHidden/>
          </w:rPr>
          <w:fldChar w:fldCharType="end"/>
        </w:r>
      </w:hyperlink>
    </w:p>
    <w:p w14:paraId="472D587E" w14:textId="718DE3B5"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43"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1.2 Under abiotic stress circumstances, mycorrhizal regulates several ecosystem processes and supports plant (This figure reproduced has been fromBegum et al., 2019).</w:t>
        </w:r>
        <w:r w:rsidR="00AB76C5">
          <w:rPr>
            <w:noProof/>
            <w:webHidden/>
          </w:rPr>
          <w:tab/>
        </w:r>
        <w:r w:rsidR="00AB76C5">
          <w:rPr>
            <w:noProof/>
            <w:webHidden/>
          </w:rPr>
          <w:fldChar w:fldCharType="begin"/>
        </w:r>
        <w:r w:rsidR="00AB76C5">
          <w:rPr>
            <w:noProof/>
            <w:webHidden/>
          </w:rPr>
          <w:instrText xml:space="preserve"> PAGEREF _Toc83751343 \h </w:instrText>
        </w:r>
        <w:r w:rsidR="00AB76C5">
          <w:rPr>
            <w:noProof/>
            <w:webHidden/>
          </w:rPr>
        </w:r>
        <w:r w:rsidR="00AB76C5">
          <w:rPr>
            <w:noProof/>
            <w:webHidden/>
          </w:rPr>
          <w:fldChar w:fldCharType="separate"/>
        </w:r>
        <w:r w:rsidR="00AB76C5">
          <w:rPr>
            <w:noProof/>
            <w:webHidden/>
          </w:rPr>
          <w:t>6</w:t>
        </w:r>
        <w:r w:rsidR="00AB76C5">
          <w:rPr>
            <w:noProof/>
            <w:webHidden/>
          </w:rPr>
          <w:fldChar w:fldCharType="end"/>
        </w:r>
      </w:hyperlink>
    </w:p>
    <w:p w14:paraId="31A8C765" w14:textId="35C9E946"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44"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1.3 Four-phase model explaining the initiation of MIR (This figure reproduced has been from Cameron et al., 2013a).</w:t>
        </w:r>
        <w:r w:rsidR="00AB76C5">
          <w:rPr>
            <w:noProof/>
            <w:webHidden/>
          </w:rPr>
          <w:tab/>
        </w:r>
        <w:r w:rsidR="00AB76C5">
          <w:rPr>
            <w:noProof/>
            <w:webHidden/>
          </w:rPr>
          <w:fldChar w:fldCharType="begin"/>
        </w:r>
        <w:r w:rsidR="00AB76C5">
          <w:rPr>
            <w:noProof/>
            <w:webHidden/>
          </w:rPr>
          <w:instrText xml:space="preserve"> PAGEREF _Toc83751344 \h </w:instrText>
        </w:r>
        <w:r w:rsidR="00AB76C5">
          <w:rPr>
            <w:noProof/>
            <w:webHidden/>
          </w:rPr>
        </w:r>
        <w:r w:rsidR="00AB76C5">
          <w:rPr>
            <w:noProof/>
            <w:webHidden/>
          </w:rPr>
          <w:fldChar w:fldCharType="separate"/>
        </w:r>
        <w:r w:rsidR="00AB76C5">
          <w:rPr>
            <w:noProof/>
            <w:webHidden/>
          </w:rPr>
          <w:t>16</w:t>
        </w:r>
        <w:r w:rsidR="00AB76C5">
          <w:rPr>
            <w:noProof/>
            <w:webHidden/>
          </w:rPr>
          <w:fldChar w:fldCharType="end"/>
        </w:r>
      </w:hyperlink>
    </w:p>
    <w:p w14:paraId="32F63D91" w14:textId="499EBCFE"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45"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 xml:space="preserve">1.4 </w:t>
        </w:r>
        <w:r w:rsidR="00AB76C5" w:rsidRPr="00DB51A2">
          <w:rPr>
            <w:rStyle w:val="Hyperlink"/>
            <w:rFonts w:eastAsiaTheme="minorHAnsi"/>
            <w:noProof/>
          </w:rPr>
          <w:t>Model for hormonal changes in the roots associated to the arbuscular mycorrhizal symbiosis. At the early phase the strigolactone (SL) is high and the colonization increased the level of salicylic acid (SA).in the late phase the of colonization the production of SL and SA are repressed while biosynthesis of jasmonates (JA) increases (The figure has been reproduced from (Jung et al., 2012a).</w:t>
        </w:r>
        <w:r w:rsidR="00AB76C5">
          <w:rPr>
            <w:noProof/>
            <w:webHidden/>
          </w:rPr>
          <w:tab/>
        </w:r>
        <w:r w:rsidR="00AB76C5">
          <w:rPr>
            <w:noProof/>
            <w:webHidden/>
          </w:rPr>
          <w:fldChar w:fldCharType="begin"/>
        </w:r>
        <w:r w:rsidR="00AB76C5">
          <w:rPr>
            <w:noProof/>
            <w:webHidden/>
          </w:rPr>
          <w:instrText xml:space="preserve"> PAGEREF _Toc83751345 \h </w:instrText>
        </w:r>
        <w:r w:rsidR="00AB76C5">
          <w:rPr>
            <w:noProof/>
            <w:webHidden/>
          </w:rPr>
        </w:r>
        <w:r w:rsidR="00AB76C5">
          <w:rPr>
            <w:noProof/>
            <w:webHidden/>
          </w:rPr>
          <w:fldChar w:fldCharType="separate"/>
        </w:r>
        <w:r w:rsidR="00AB76C5">
          <w:rPr>
            <w:noProof/>
            <w:webHidden/>
          </w:rPr>
          <w:t>17</w:t>
        </w:r>
        <w:r w:rsidR="00AB76C5">
          <w:rPr>
            <w:noProof/>
            <w:webHidden/>
          </w:rPr>
          <w:fldChar w:fldCharType="end"/>
        </w:r>
      </w:hyperlink>
    </w:p>
    <w:p w14:paraId="2BA4AF48" w14:textId="2D360B34"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46"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 xml:space="preserve">1.5 </w:t>
        </w:r>
        <w:r w:rsidR="00AB76C5" w:rsidRPr="00DB51A2">
          <w:rPr>
            <w:rStyle w:val="Hyperlink"/>
            <w:noProof/>
            <w:shd w:val="clear" w:color="auto" w:fill="FFFFFF"/>
          </w:rPr>
          <w:t>Plant growth and development are influenced by a variety of biotic and abiotic factors; to reduce these pressures, plants employ a variety of tactics and defense mechanisms. Four plant secondary metabolite types engaged in distinct modalities of resistance are exemplified to demonstrate the modulation of secondary metabolism by various transcription factors, which are regulated by intricate upstream signaling networks in response to stress. (</w:t>
        </w:r>
        <w:r w:rsidR="00AB76C5" w:rsidRPr="00DB51A2">
          <w:rPr>
            <w:rStyle w:val="Hyperlink"/>
            <w:noProof/>
          </w:rPr>
          <w:t>This figure has been reproduced from Jan et al., 2021).</w:t>
        </w:r>
        <w:r w:rsidR="00AB76C5">
          <w:rPr>
            <w:noProof/>
            <w:webHidden/>
          </w:rPr>
          <w:tab/>
        </w:r>
        <w:r w:rsidR="00AB76C5">
          <w:rPr>
            <w:noProof/>
            <w:webHidden/>
          </w:rPr>
          <w:fldChar w:fldCharType="begin"/>
        </w:r>
        <w:r w:rsidR="00AB76C5">
          <w:rPr>
            <w:noProof/>
            <w:webHidden/>
          </w:rPr>
          <w:instrText xml:space="preserve"> PAGEREF _Toc83751346 \h </w:instrText>
        </w:r>
        <w:r w:rsidR="00AB76C5">
          <w:rPr>
            <w:noProof/>
            <w:webHidden/>
          </w:rPr>
        </w:r>
        <w:r w:rsidR="00AB76C5">
          <w:rPr>
            <w:noProof/>
            <w:webHidden/>
          </w:rPr>
          <w:fldChar w:fldCharType="separate"/>
        </w:r>
        <w:r w:rsidR="00AB76C5">
          <w:rPr>
            <w:noProof/>
            <w:webHidden/>
          </w:rPr>
          <w:t>20</w:t>
        </w:r>
        <w:r w:rsidR="00AB76C5">
          <w:rPr>
            <w:noProof/>
            <w:webHidden/>
          </w:rPr>
          <w:fldChar w:fldCharType="end"/>
        </w:r>
      </w:hyperlink>
    </w:p>
    <w:p w14:paraId="67E51B32" w14:textId="17A3E21E"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47"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2.1 percentage of root colonization (a) Arbuscules (b) Hyphae (c) Vesicles with and without AMF inoculum.</w:t>
        </w:r>
        <w:r w:rsidR="00AB76C5">
          <w:rPr>
            <w:noProof/>
            <w:webHidden/>
          </w:rPr>
          <w:tab/>
        </w:r>
        <w:r w:rsidR="00AB76C5">
          <w:rPr>
            <w:noProof/>
            <w:webHidden/>
          </w:rPr>
          <w:fldChar w:fldCharType="begin"/>
        </w:r>
        <w:r w:rsidR="00AB76C5">
          <w:rPr>
            <w:noProof/>
            <w:webHidden/>
          </w:rPr>
          <w:instrText xml:space="preserve"> PAGEREF _Toc83751347 \h </w:instrText>
        </w:r>
        <w:r w:rsidR="00AB76C5">
          <w:rPr>
            <w:noProof/>
            <w:webHidden/>
          </w:rPr>
        </w:r>
        <w:r w:rsidR="00AB76C5">
          <w:rPr>
            <w:noProof/>
            <w:webHidden/>
          </w:rPr>
          <w:fldChar w:fldCharType="separate"/>
        </w:r>
        <w:r w:rsidR="00AB76C5">
          <w:rPr>
            <w:noProof/>
            <w:webHidden/>
          </w:rPr>
          <w:t>35</w:t>
        </w:r>
        <w:r w:rsidR="00AB76C5">
          <w:rPr>
            <w:noProof/>
            <w:webHidden/>
          </w:rPr>
          <w:fldChar w:fldCharType="end"/>
        </w:r>
      </w:hyperlink>
    </w:p>
    <w:p w14:paraId="5B51364A" w14:textId="3CEE14F8"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48"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2.2 percentage of root colonization (a) Arbuscules (b) Hyphae (c) Vesicles with AMF inoculum.</w:t>
        </w:r>
        <w:r w:rsidR="00AB76C5">
          <w:rPr>
            <w:noProof/>
            <w:webHidden/>
          </w:rPr>
          <w:tab/>
        </w:r>
        <w:r w:rsidR="00AB76C5">
          <w:rPr>
            <w:noProof/>
            <w:webHidden/>
          </w:rPr>
          <w:fldChar w:fldCharType="begin"/>
        </w:r>
        <w:r w:rsidR="00AB76C5">
          <w:rPr>
            <w:noProof/>
            <w:webHidden/>
          </w:rPr>
          <w:instrText xml:space="preserve"> PAGEREF _Toc83751348 \h </w:instrText>
        </w:r>
        <w:r w:rsidR="00AB76C5">
          <w:rPr>
            <w:noProof/>
            <w:webHidden/>
          </w:rPr>
        </w:r>
        <w:r w:rsidR="00AB76C5">
          <w:rPr>
            <w:noProof/>
            <w:webHidden/>
          </w:rPr>
          <w:fldChar w:fldCharType="separate"/>
        </w:r>
        <w:r w:rsidR="00AB76C5">
          <w:rPr>
            <w:noProof/>
            <w:webHidden/>
          </w:rPr>
          <w:t>37</w:t>
        </w:r>
        <w:r w:rsidR="00AB76C5">
          <w:rPr>
            <w:noProof/>
            <w:webHidden/>
          </w:rPr>
          <w:fldChar w:fldCharType="end"/>
        </w:r>
      </w:hyperlink>
    </w:p>
    <w:p w14:paraId="559C88A7" w14:textId="25459707"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49"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2.3 Plant height with and without AMF inoculum for all cultivars. Asterisk indicates significant differences within the same cultivar (+P&lt;0.1; *, P&lt;0.05).</w:t>
        </w:r>
        <w:r w:rsidR="00AB76C5">
          <w:rPr>
            <w:noProof/>
            <w:webHidden/>
          </w:rPr>
          <w:tab/>
        </w:r>
        <w:r w:rsidR="00AB76C5">
          <w:rPr>
            <w:noProof/>
            <w:webHidden/>
          </w:rPr>
          <w:fldChar w:fldCharType="begin"/>
        </w:r>
        <w:r w:rsidR="00AB76C5">
          <w:rPr>
            <w:noProof/>
            <w:webHidden/>
          </w:rPr>
          <w:instrText xml:space="preserve"> PAGEREF _Toc83751349 \h </w:instrText>
        </w:r>
        <w:r w:rsidR="00AB76C5">
          <w:rPr>
            <w:noProof/>
            <w:webHidden/>
          </w:rPr>
        </w:r>
        <w:r w:rsidR="00AB76C5">
          <w:rPr>
            <w:noProof/>
            <w:webHidden/>
          </w:rPr>
          <w:fldChar w:fldCharType="separate"/>
        </w:r>
        <w:r w:rsidR="00AB76C5">
          <w:rPr>
            <w:noProof/>
            <w:webHidden/>
          </w:rPr>
          <w:t>39</w:t>
        </w:r>
        <w:r w:rsidR="00AB76C5">
          <w:rPr>
            <w:noProof/>
            <w:webHidden/>
          </w:rPr>
          <w:fldChar w:fldCharType="end"/>
        </w:r>
      </w:hyperlink>
    </w:p>
    <w:p w14:paraId="71334B5A" w14:textId="41BEE269"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50"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2.4 Plant height with and without AMF inoculum for all cultivars. Error bars represent plus or minus one standard error. Significance was analyzed using a repeated measures ANOVA (Table 2.5).</w:t>
        </w:r>
        <w:r w:rsidR="00AB76C5">
          <w:rPr>
            <w:noProof/>
            <w:webHidden/>
          </w:rPr>
          <w:tab/>
        </w:r>
        <w:r w:rsidR="00AB76C5">
          <w:rPr>
            <w:noProof/>
            <w:webHidden/>
          </w:rPr>
          <w:fldChar w:fldCharType="begin"/>
        </w:r>
        <w:r w:rsidR="00AB76C5">
          <w:rPr>
            <w:noProof/>
            <w:webHidden/>
          </w:rPr>
          <w:instrText xml:space="preserve"> PAGEREF _Toc83751350 \h </w:instrText>
        </w:r>
        <w:r w:rsidR="00AB76C5">
          <w:rPr>
            <w:noProof/>
            <w:webHidden/>
          </w:rPr>
        </w:r>
        <w:r w:rsidR="00AB76C5">
          <w:rPr>
            <w:noProof/>
            <w:webHidden/>
          </w:rPr>
          <w:fldChar w:fldCharType="separate"/>
        </w:r>
        <w:r w:rsidR="00AB76C5">
          <w:rPr>
            <w:noProof/>
            <w:webHidden/>
          </w:rPr>
          <w:t>42</w:t>
        </w:r>
        <w:r w:rsidR="00AB76C5">
          <w:rPr>
            <w:noProof/>
            <w:webHidden/>
          </w:rPr>
          <w:fldChar w:fldCharType="end"/>
        </w:r>
      </w:hyperlink>
    </w:p>
    <w:p w14:paraId="57DEAFFC" w14:textId="72076FA2"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51"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2.5  (a) root biomass DWT(g) of maize with and without AMF inoculation in all cultivars, (b) shoot biomass DWT (g) of maize with and without AMF inoculation in all cultivars. Asterisk indicates significant differences within the same cultivar (+P&lt;0.1; *, P&lt;0.05; **, P&lt;0.01;   ***, P&lt;0.001).</w:t>
        </w:r>
        <w:r w:rsidR="00AB76C5">
          <w:rPr>
            <w:noProof/>
            <w:webHidden/>
          </w:rPr>
          <w:tab/>
        </w:r>
        <w:r w:rsidR="00AB76C5">
          <w:rPr>
            <w:noProof/>
            <w:webHidden/>
          </w:rPr>
          <w:fldChar w:fldCharType="begin"/>
        </w:r>
        <w:r w:rsidR="00AB76C5">
          <w:rPr>
            <w:noProof/>
            <w:webHidden/>
          </w:rPr>
          <w:instrText xml:space="preserve"> PAGEREF _Toc83751351 \h </w:instrText>
        </w:r>
        <w:r w:rsidR="00AB76C5">
          <w:rPr>
            <w:noProof/>
            <w:webHidden/>
          </w:rPr>
        </w:r>
        <w:r w:rsidR="00AB76C5">
          <w:rPr>
            <w:noProof/>
            <w:webHidden/>
          </w:rPr>
          <w:fldChar w:fldCharType="separate"/>
        </w:r>
        <w:r w:rsidR="00AB76C5">
          <w:rPr>
            <w:noProof/>
            <w:webHidden/>
          </w:rPr>
          <w:t>44</w:t>
        </w:r>
        <w:r w:rsidR="00AB76C5">
          <w:rPr>
            <w:noProof/>
            <w:webHidden/>
          </w:rPr>
          <w:fldChar w:fldCharType="end"/>
        </w:r>
      </w:hyperlink>
    </w:p>
    <w:p w14:paraId="15122CCB" w14:textId="77E8D0BE"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52"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 xml:space="preserve">2.6  shoot tissue phosphorus concentration (a), total phosphorus (b), nitrogen concentration (c) and notal nitrogen (d) of maize plants with and without AMF inoculation in all cultivars inoculated (+AM) or uninoculated (- AM) with the arbuscular mycorrhizal (AM). </w:t>
        </w:r>
        <w:r w:rsidR="00AB76C5" w:rsidRPr="00DB51A2">
          <w:rPr>
            <w:rStyle w:val="Hyperlink"/>
            <w:noProof/>
          </w:rPr>
          <w:lastRenderedPageBreak/>
          <w:t>Error bars represent ± 1 standard error. Asterisk indicates significant differences within the same cultivar (+P&lt;0.1; *, P&lt;0.05; **, P&lt;0.01;   ***, P&lt;0.001; ****, P&lt;0.0001).</w:t>
        </w:r>
        <w:r w:rsidR="00AB76C5">
          <w:rPr>
            <w:noProof/>
            <w:webHidden/>
          </w:rPr>
          <w:tab/>
        </w:r>
        <w:r w:rsidR="00AB76C5">
          <w:rPr>
            <w:noProof/>
            <w:webHidden/>
          </w:rPr>
          <w:fldChar w:fldCharType="begin"/>
        </w:r>
        <w:r w:rsidR="00AB76C5">
          <w:rPr>
            <w:noProof/>
            <w:webHidden/>
          </w:rPr>
          <w:instrText xml:space="preserve"> PAGEREF _Toc83751352 \h </w:instrText>
        </w:r>
        <w:r w:rsidR="00AB76C5">
          <w:rPr>
            <w:noProof/>
            <w:webHidden/>
          </w:rPr>
        </w:r>
        <w:r w:rsidR="00AB76C5">
          <w:rPr>
            <w:noProof/>
            <w:webHidden/>
          </w:rPr>
          <w:fldChar w:fldCharType="separate"/>
        </w:r>
        <w:r w:rsidR="00AB76C5">
          <w:rPr>
            <w:noProof/>
            <w:webHidden/>
          </w:rPr>
          <w:t>47</w:t>
        </w:r>
        <w:r w:rsidR="00AB76C5">
          <w:rPr>
            <w:noProof/>
            <w:webHidden/>
          </w:rPr>
          <w:fldChar w:fldCharType="end"/>
        </w:r>
      </w:hyperlink>
    </w:p>
    <w:p w14:paraId="754D1DD7" w14:textId="321E1F49"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53"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2.7 Root tissue phosphorus concentration (a), total phosphorus (b), nitrogen concentration (c) and notal nitrogen (d) of maize plants with and without AMF inoculation in all cultivars inoculated (+AM) or uninoculated (- AM) with the arbuscular mycorrhizal (AM). Error bars represent ± 1 standard error. Asterisk indicates significant differences within the same cultivar (+P&lt;0.1; *, P&lt;0.05; **, P&lt;0.01;   ***, P&lt;0.001; ****, P&lt;0.0001).</w:t>
        </w:r>
        <w:r w:rsidR="00AB76C5">
          <w:rPr>
            <w:noProof/>
            <w:webHidden/>
          </w:rPr>
          <w:tab/>
        </w:r>
        <w:r w:rsidR="00AB76C5">
          <w:rPr>
            <w:noProof/>
            <w:webHidden/>
          </w:rPr>
          <w:fldChar w:fldCharType="begin"/>
        </w:r>
        <w:r w:rsidR="00AB76C5">
          <w:rPr>
            <w:noProof/>
            <w:webHidden/>
          </w:rPr>
          <w:instrText xml:space="preserve"> PAGEREF _Toc83751353 \h </w:instrText>
        </w:r>
        <w:r w:rsidR="00AB76C5">
          <w:rPr>
            <w:noProof/>
            <w:webHidden/>
          </w:rPr>
        </w:r>
        <w:r w:rsidR="00AB76C5">
          <w:rPr>
            <w:noProof/>
            <w:webHidden/>
          </w:rPr>
          <w:fldChar w:fldCharType="separate"/>
        </w:r>
        <w:r w:rsidR="00AB76C5">
          <w:rPr>
            <w:noProof/>
            <w:webHidden/>
          </w:rPr>
          <w:t>50</w:t>
        </w:r>
        <w:r w:rsidR="00AB76C5">
          <w:rPr>
            <w:noProof/>
            <w:webHidden/>
          </w:rPr>
          <w:fldChar w:fldCharType="end"/>
        </w:r>
      </w:hyperlink>
    </w:p>
    <w:p w14:paraId="2A7EC6DB" w14:textId="2B0355FE"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54"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2.8 Relationship between cultivars and mycorrhizal responsiveness</w:t>
        </w:r>
        <w:r w:rsidR="00AB76C5">
          <w:rPr>
            <w:noProof/>
            <w:webHidden/>
          </w:rPr>
          <w:tab/>
        </w:r>
        <w:r w:rsidR="00AB76C5">
          <w:rPr>
            <w:noProof/>
            <w:webHidden/>
          </w:rPr>
          <w:fldChar w:fldCharType="begin"/>
        </w:r>
        <w:r w:rsidR="00AB76C5">
          <w:rPr>
            <w:noProof/>
            <w:webHidden/>
          </w:rPr>
          <w:instrText xml:space="preserve"> PAGEREF _Toc83751354 \h </w:instrText>
        </w:r>
        <w:r w:rsidR="00AB76C5">
          <w:rPr>
            <w:noProof/>
            <w:webHidden/>
          </w:rPr>
        </w:r>
        <w:r w:rsidR="00AB76C5">
          <w:rPr>
            <w:noProof/>
            <w:webHidden/>
          </w:rPr>
          <w:fldChar w:fldCharType="separate"/>
        </w:r>
        <w:r w:rsidR="00AB76C5">
          <w:rPr>
            <w:noProof/>
            <w:webHidden/>
          </w:rPr>
          <w:t>53</w:t>
        </w:r>
        <w:r w:rsidR="00AB76C5">
          <w:rPr>
            <w:noProof/>
            <w:webHidden/>
          </w:rPr>
          <w:fldChar w:fldCharType="end"/>
        </w:r>
      </w:hyperlink>
    </w:p>
    <w:p w14:paraId="5C9F7BE0" w14:textId="6F274983"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55"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2.9 Regression between Arbuscules percentage and P, N content in the shoots of the arbuscular mycorrhiza inoculated (AM+) maize crop plants.</w:t>
        </w:r>
        <w:r w:rsidR="00AB76C5">
          <w:rPr>
            <w:noProof/>
            <w:webHidden/>
          </w:rPr>
          <w:tab/>
        </w:r>
        <w:r w:rsidR="00AB76C5">
          <w:rPr>
            <w:noProof/>
            <w:webHidden/>
          </w:rPr>
          <w:fldChar w:fldCharType="begin"/>
        </w:r>
        <w:r w:rsidR="00AB76C5">
          <w:rPr>
            <w:noProof/>
            <w:webHidden/>
          </w:rPr>
          <w:instrText xml:space="preserve"> PAGEREF _Toc83751355 \h </w:instrText>
        </w:r>
        <w:r w:rsidR="00AB76C5">
          <w:rPr>
            <w:noProof/>
            <w:webHidden/>
          </w:rPr>
        </w:r>
        <w:r w:rsidR="00AB76C5">
          <w:rPr>
            <w:noProof/>
            <w:webHidden/>
          </w:rPr>
          <w:fldChar w:fldCharType="separate"/>
        </w:r>
        <w:r w:rsidR="00AB76C5">
          <w:rPr>
            <w:noProof/>
            <w:webHidden/>
          </w:rPr>
          <w:t>55</w:t>
        </w:r>
        <w:r w:rsidR="00AB76C5">
          <w:rPr>
            <w:noProof/>
            <w:webHidden/>
          </w:rPr>
          <w:fldChar w:fldCharType="end"/>
        </w:r>
      </w:hyperlink>
    </w:p>
    <w:p w14:paraId="6D6022AE" w14:textId="062A81BB"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56"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2.10 Regression between mycorrhizal responsiveness and P, N content in the shoots of the arbuscular mycorrhiza inoculated (AM+) maize crop plants.</w:t>
        </w:r>
        <w:r w:rsidR="00AB76C5">
          <w:rPr>
            <w:noProof/>
            <w:webHidden/>
          </w:rPr>
          <w:tab/>
        </w:r>
        <w:r w:rsidR="00AB76C5">
          <w:rPr>
            <w:noProof/>
            <w:webHidden/>
          </w:rPr>
          <w:fldChar w:fldCharType="begin"/>
        </w:r>
        <w:r w:rsidR="00AB76C5">
          <w:rPr>
            <w:noProof/>
            <w:webHidden/>
          </w:rPr>
          <w:instrText xml:space="preserve"> PAGEREF _Toc83751356 \h </w:instrText>
        </w:r>
        <w:r w:rsidR="00AB76C5">
          <w:rPr>
            <w:noProof/>
            <w:webHidden/>
          </w:rPr>
        </w:r>
        <w:r w:rsidR="00AB76C5">
          <w:rPr>
            <w:noProof/>
            <w:webHidden/>
          </w:rPr>
          <w:fldChar w:fldCharType="separate"/>
        </w:r>
        <w:r w:rsidR="00AB76C5">
          <w:rPr>
            <w:noProof/>
            <w:webHidden/>
          </w:rPr>
          <w:t>57</w:t>
        </w:r>
        <w:r w:rsidR="00AB76C5">
          <w:rPr>
            <w:noProof/>
            <w:webHidden/>
          </w:rPr>
          <w:fldChar w:fldCharType="end"/>
        </w:r>
      </w:hyperlink>
    </w:p>
    <w:p w14:paraId="1C1F530A" w14:textId="6021CBDB"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57"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3.1 Diversity Image in 18 used varieties of maize seeds and its commercial named</w:t>
        </w:r>
        <w:r w:rsidR="00AB76C5">
          <w:rPr>
            <w:noProof/>
            <w:webHidden/>
          </w:rPr>
          <w:tab/>
        </w:r>
        <w:r w:rsidR="00AB76C5">
          <w:rPr>
            <w:noProof/>
            <w:webHidden/>
          </w:rPr>
          <w:fldChar w:fldCharType="begin"/>
        </w:r>
        <w:r w:rsidR="00AB76C5">
          <w:rPr>
            <w:noProof/>
            <w:webHidden/>
          </w:rPr>
          <w:instrText xml:space="preserve"> PAGEREF _Toc83751357 \h </w:instrText>
        </w:r>
        <w:r w:rsidR="00AB76C5">
          <w:rPr>
            <w:noProof/>
            <w:webHidden/>
          </w:rPr>
        </w:r>
        <w:r w:rsidR="00AB76C5">
          <w:rPr>
            <w:noProof/>
            <w:webHidden/>
          </w:rPr>
          <w:fldChar w:fldCharType="separate"/>
        </w:r>
        <w:r w:rsidR="00AB76C5">
          <w:rPr>
            <w:noProof/>
            <w:webHidden/>
          </w:rPr>
          <w:t>78</w:t>
        </w:r>
        <w:r w:rsidR="00AB76C5">
          <w:rPr>
            <w:noProof/>
            <w:webHidden/>
          </w:rPr>
          <w:fldChar w:fldCharType="end"/>
        </w:r>
      </w:hyperlink>
    </w:p>
    <w:p w14:paraId="78C17AC6" w14:textId="0F226055"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58"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 xml:space="preserve">3.2 </w:t>
        </w:r>
        <w:r w:rsidR="00AB76C5" w:rsidRPr="00DB51A2">
          <w:rPr>
            <w:rStyle w:val="Hyperlink"/>
            <w:noProof/>
            <w:shd w:val="clear" w:color="auto" w:fill="FFFFFF"/>
          </w:rPr>
          <w:t>Agarose gel electrophoresis of genomic DNA extraction </w:t>
        </w:r>
        <w:r w:rsidR="00AB76C5" w:rsidRPr="00DB51A2">
          <w:rPr>
            <w:rStyle w:val="Hyperlink"/>
            <w:noProof/>
          </w:rPr>
          <w:t xml:space="preserve">of 18 </w:t>
        </w:r>
        <w:r w:rsidR="00AB76C5" w:rsidRPr="00DB51A2">
          <w:rPr>
            <w:rStyle w:val="Hyperlink"/>
            <w:i/>
            <w:iCs/>
            <w:noProof/>
          </w:rPr>
          <w:t>Zea mays</w:t>
        </w:r>
        <w:r w:rsidR="00AB76C5" w:rsidRPr="00DB51A2">
          <w:rPr>
            <w:rStyle w:val="Hyperlink"/>
            <w:noProof/>
          </w:rPr>
          <w:t xml:space="preserve"> cultivars</w:t>
        </w:r>
        <w:r w:rsidR="00AB76C5">
          <w:rPr>
            <w:noProof/>
            <w:webHidden/>
          </w:rPr>
          <w:tab/>
        </w:r>
        <w:r w:rsidR="00AB76C5">
          <w:rPr>
            <w:noProof/>
            <w:webHidden/>
          </w:rPr>
          <w:fldChar w:fldCharType="begin"/>
        </w:r>
        <w:r w:rsidR="00AB76C5">
          <w:rPr>
            <w:noProof/>
            <w:webHidden/>
          </w:rPr>
          <w:instrText xml:space="preserve"> PAGEREF _Toc83751358 \h </w:instrText>
        </w:r>
        <w:r w:rsidR="00AB76C5">
          <w:rPr>
            <w:noProof/>
            <w:webHidden/>
          </w:rPr>
        </w:r>
        <w:r w:rsidR="00AB76C5">
          <w:rPr>
            <w:noProof/>
            <w:webHidden/>
          </w:rPr>
          <w:fldChar w:fldCharType="separate"/>
        </w:r>
        <w:r w:rsidR="00AB76C5">
          <w:rPr>
            <w:noProof/>
            <w:webHidden/>
          </w:rPr>
          <w:t>79</w:t>
        </w:r>
        <w:r w:rsidR="00AB76C5">
          <w:rPr>
            <w:noProof/>
            <w:webHidden/>
          </w:rPr>
          <w:fldChar w:fldCharType="end"/>
        </w:r>
      </w:hyperlink>
    </w:p>
    <w:p w14:paraId="318FFD75" w14:textId="5C6649A9"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59"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 xml:space="preserve">3.3 </w:t>
        </w:r>
        <w:r w:rsidR="00AB76C5" w:rsidRPr="00DB51A2">
          <w:rPr>
            <w:rStyle w:val="Hyperlink"/>
            <w:noProof/>
            <w:shd w:val="clear" w:color="auto" w:fill="FFFFFF"/>
          </w:rPr>
          <w:t xml:space="preserve">Agarose gel electrophoresis of 18S rRNA of </w:t>
        </w:r>
        <w:r w:rsidR="00AB76C5" w:rsidRPr="00DB51A2">
          <w:rPr>
            <w:rStyle w:val="Hyperlink"/>
            <w:noProof/>
          </w:rPr>
          <w:t xml:space="preserve">18 </w:t>
        </w:r>
        <w:r w:rsidR="00AB76C5" w:rsidRPr="00DB51A2">
          <w:rPr>
            <w:rStyle w:val="Hyperlink"/>
            <w:i/>
            <w:iCs/>
            <w:noProof/>
          </w:rPr>
          <w:t>Zea mays</w:t>
        </w:r>
        <w:r w:rsidR="00AB76C5" w:rsidRPr="00DB51A2">
          <w:rPr>
            <w:rStyle w:val="Hyperlink"/>
            <w:noProof/>
          </w:rPr>
          <w:t xml:space="preserve"> cultivars</w:t>
        </w:r>
        <w:r w:rsidR="00AB76C5">
          <w:rPr>
            <w:noProof/>
            <w:webHidden/>
          </w:rPr>
          <w:tab/>
        </w:r>
        <w:r w:rsidR="00AB76C5">
          <w:rPr>
            <w:noProof/>
            <w:webHidden/>
          </w:rPr>
          <w:fldChar w:fldCharType="begin"/>
        </w:r>
        <w:r w:rsidR="00AB76C5">
          <w:rPr>
            <w:noProof/>
            <w:webHidden/>
          </w:rPr>
          <w:instrText xml:space="preserve"> PAGEREF _Toc83751359 \h </w:instrText>
        </w:r>
        <w:r w:rsidR="00AB76C5">
          <w:rPr>
            <w:noProof/>
            <w:webHidden/>
          </w:rPr>
        </w:r>
        <w:r w:rsidR="00AB76C5">
          <w:rPr>
            <w:noProof/>
            <w:webHidden/>
          </w:rPr>
          <w:fldChar w:fldCharType="separate"/>
        </w:r>
        <w:r w:rsidR="00AB76C5">
          <w:rPr>
            <w:noProof/>
            <w:webHidden/>
          </w:rPr>
          <w:t>79</w:t>
        </w:r>
        <w:r w:rsidR="00AB76C5">
          <w:rPr>
            <w:noProof/>
            <w:webHidden/>
          </w:rPr>
          <w:fldChar w:fldCharType="end"/>
        </w:r>
      </w:hyperlink>
    </w:p>
    <w:p w14:paraId="7BFB5155" w14:textId="7B2698B2"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60"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 xml:space="preserve">3.4 Boxplot for sequence length and GC content of 18S for 18 </w:t>
        </w:r>
        <w:r w:rsidR="00AB76C5" w:rsidRPr="00DB51A2">
          <w:rPr>
            <w:rStyle w:val="Hyperlink"/>
            <w:i/>
            <w:iCs/>
            <w:noProof/>
          </w:rPr>
          <w:t xml:space="preserve">Zea mays </w:t>
        </w:r>
        <w:r w:rsidR="00AB76C5" w:rsidRPr="00DB51A2">
          <w:rPr>
            <w:rStyle w:val="Hyperlink"/>
            <w:noProof/>
          </w:rPr>
          <w:t>varieties   sequences, where the top and bottom of lines represent the maximum and minimum values, the top and bottom of each box represent the first quartile (Q1) and third quartile (Q3) where the line inside each box is the median (Second quartile Q2), dots above and below are outlier values</w:t>
        </w:r>
        <w:r w:rsidR="00AB76C5">
          <w:rPr>
            <w:noProof/>
            <w:webHidden/>
          </w:rPr>
          <w:tab/>
        </w:r>
        <w:r w:rsidR="00AB76C5">
          <w:rPr>
            <w:noProof/>
            <w:webHidden/>
          </w:rPr>
          <w:fldChar w:fldCharType="begin"/>
        </w:r>
        <w:r w:rsidR="00AB76C5">
          <w:rPr>
            <w:noProof/>
            <w:webHidden/>
          </w:rPr>
          <w:instrText xml:space="preserve"> PAGEREF _Toc83751360 \h </w:instrText>
        </w:r>
        <w:r w:rsidR="00AB76C5">
          <w:rPr>
            <w:noProof/>
            <w:webHidden/>
          </w:rPr>
        </w:r>
        <w:r w:rsidR="00AB76C5">
          <w:rPr>
            <w:noProof/>
            <w:webHidden/>
          </w:rPr>
          <w:fldChar w:fldCharType="separate"/>
        </w:r>
        <w:r w:rsidR="00AB76C5">
          <w:rPr>
            <w:noProof/>
            <w:webHidden/>
          </w:rPr>
          <w:t>81</w:t>
        </w:r>
        <w:r w:rsidR="00AB76C5">
          <w:rPr>
            <w:noProof/>
            <w:webHidden/>
          </w:rPr>
          <w:fldChar w:fldCharType="end"/>
        </w:r>
      </w:hyperlink>
    </w:p>
    <w:p w14:paraId="736C364B" w14:textId="41362DB7"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61"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 xml:space="preserve">3.5 Base frequencies of 18S for 18 </w:t>
        </w:r>
        <w:r w:rsidR="00AB76C5" w:rsidRPr="00DB51A2">
          <w:rPr>
            <w:rStyle w:val="Hyperlink"/>
            <w:i/>
            <w:iCs/>
            <w:noProof/>
          </w:rPr>
          <w:t xml:space="preserve">Zea mays </w:t>
        </w:r>
        <w:r w:rsidR="00AB76C5" w:rsidRPr="00DB51A2">
          <w:rPr>
            <w:rStyle w:val="Hyperlink"/>
            <w:noProof/>
          </w:rPr>
          <w:t>varieties</w:t>
        </w:r>
        <w:r w:rsidR="00AB76C5">
          <w:rPr>
            <w:noProof/>
            <w:webHidden/>
          </w:rPr>
          <w:tab/>
        </w:r>
        <w:r w:rsidR="00AB76C5">
          <w:rPr>
            <w:noProof/>
            <w:webHidden/>
          </w:rPr>
          <w:fldChar w:fldCharType="begin"/>
        </w:r>
        <w:r w:rsidR="00AB76C5">
          <w:rPr>
            <w:noProof/>
            <w:webHidden/>
          </w:rPr>
          <w:instrText xml:space="preserve"> PAGEREF _Toc83751361 \h </w:instrText>
        </w:r>
        <w:r w:rsidR="00AB76C5">
          <w:rPr>
            <w:noProof/>
            <w:webHidden/>
          </w:rPr>
        </w:r>
        <w:r w:rsidR="00AB76C5">
          <w:rPr>
            <w:noProof/>
            <w:webHidden/>
          </w:rPr>
          <w:fldChar w:fldCharType="separate"/>
        </w:r>
        <w:r w:rsidR="00AB76C5">
          <w:rPr>
            <w:noProof/>
            <w:webHidden/>
          </w:rPr>
          <w:t>82</w:t>
        </w:r>
        <w:r w:rsidR="00AB76C5">
          <w:rPr>
            <w:noProof/>
            <w:webHidden/>
          </w:rPr>
          <w:fldChar w:fldCharType="end"/>
        </w:r>
      </w:hyperlink>
    </w:p>
    <w:p w14:paraId="196BC460" w14:textId="5861ECA1"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62"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 xml:space="preserve">3.6 Maximum likelihood method phylogenetic tree of 18S for 18 </w:t>
        </w:r>
        <w:r w:rsidR="00AB76C5" w:rsidRPr="00DB51A2">
          <w:rPr>
            <w:rStyle w:val="Hyperlink"/>
            <w:i/>
            <w:iCs/>
            <w:noProof/>
          </w:rPr>
          <w:t xml:space="preserve">Zea mays </w:t>
        </w:r>
        <w:r w:rsidR="00AB76C5" w:rsidRPr="00DB51A2">
          <w:rPr>
            <w:rStyle w:val="Hyperlink"/>
            <w:noProof/>
          </w:rPr>
          <w:t>varieties along with heat map</w:t>
        </w:r>
        <w:r w:rsidR="00AB76C5">
          <w:rPr>
            <w:noProof/>
            <w:webHidden/>
          </w:rPr>
          <w:tab/>
        </w:r>
        <w:r w:rsidR="00AB76C5">
          <w:rPr>
            <w:noProof/>
            <w:webHidden/>
          </w:rPr>
          <w:fldChar w:fldCharType="begin"/>
        </w:r>
        <w:r w:rsidR="00AB76C5">
          <w:rPr>
            <w:noProof/>
            <w:webHidden/>
          </w:rPr>
          <w:instrText xml:space="preserve"> PAGEREF _Toc83751362 \h </w:instrText>
        </w:r>
        <w:r w:rsidR="00AB76C5">
          <w:rPr>
            <w:noProof/>
            <w:webHidden/>
          </w:rPr>
        </w:r>
        <w:r w:rsidR="00AB76C5">
          <w:rPr>
            <w:noProof/>
            <w:webHidden/>
          </w:rPr>
          <w:fldChar w:fldCharType="separate"/>
        </w:r>
        <w:r w:rsidR="00AB76C5">
          <w:rPr>
            <w:noProof/>
            <w:webHidden/>
          </w:rPr>
          <w:t>83</w:t>
        </w:r>
        <w:r w:rsidR="00AB76C5">
          <w:rPr>
            <w:noProof/>
            <w:webHidden/>
          </w:rPr>
          <w:fldChar w:fldCharType="end"/>
        </w:r>
      </w:hyperlink>
    </w:p>
    <w:p w14:paraId="5659445B" w14:textId="1A270F04"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63"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 xml:space="preserve">3.7 </w:t>
        </w:r>
        <w:r w:rsidR="00AB76C5" w:rsidRPr="00DB51A2">
          <w:rPr>
            <w:rStyle w:val="Hyperlink"/>
            <w:noProof/>
            <w:shd w:val="clear" w:color="auto" w:fill="FFFFFF"/>
          </w:rPr>
          <w:t xml:space="preserve">Agarose gel electrophoresis </w:t>
        </w:r>
        <w:r w:rsidR="00AB76C5" w:rsidRPr="00DB51A2">
          <w:rPr>
            <w:rStyle w:val="Hyperlink"/>
            <w:noProof/>
          </w:rPr>
          <w:t xml:space="preserve">of RBCL for 18 </w:t>
        </w:r>
        <w:r w:rsidR="00AB76C5" w:rsidRPr="00DB51A2">
          <w:rPr>
            <w:rStyle w:val="Hyperlink"/>
            <w:i/>
            <w:iCs/>
            <w:noProof/>
          </w:rPr>
          <w:t xml:space="preserve">Zea mays </w:t>
        </w:r>
        <w:r w:rsidR="00AB76C5" w:rsidRPr="00DB51A2">
          <w:rPr>
            <w:rStyle w:val="Hyperlink"/>
            <w:noProof/>
          </w:rPr>
          <w:t>varieties</w:t>
        </w:r>
        <w:r w:rsidR="00AB76C5">
          <w:rPr>
            <w:noProof/>
            <w:webHidden/>
          </w:rPr>
          <w:tab/>
        </w:r>
        <w:r w:rsidR="00AB76C5">
          <w:rPr>
            <w:noProof/>
            <w:webHidden/>
          </w:rPr>
          <w:fldChar w:fldCharType="begin"/>
        </w:r>
        <w:r w:rsidR="00AB76C5">
          <w:rPr>
            <w:noProof/>
            <w:webHidden/>
          </w:rPr>
          <w:instrText xml:space="preserve"> PAGEREF _Toc83751363 \h </w:instrText>
        </w:r>
        <w:r w:rsidR="00AB76C5">
          <w:rPr>
            <w:noProof/>
            <w:webHidden/>
          </w:rPr>
        </w:r>
        <w:r w:rsidR="00AB76C5">
          <w:rPr>
            <w:noProof/>
            <w:webHidden/>
          </w:rPr>
          <w:fldChar w:fldCharType="separate"/>
        </w:r>
        <w:r w:rsidR="00AB76C5">
          <w:rPr>
            <w:noProof/>
            <w:webHidden/>
          </w:rPr>
          <w:t>84</w:t>
        </w:r>
        <w:r w:rsidR="00AB76C5">
          <w:rPr>
            <w:noProof/>
            <w:webHidden/>
          </w:rPr>
          <w:fldChar w:fldCharType="end"/>
        </w:r>
      </w:hyperlink>
    </w:p>
    <w:p w14:paraId="39A03AB7" w14:textId="01C0AE10"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64"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3.8 Boxplot for sequence length and GC content of 18 RBCL sequences, where the top and bottom of lines represent the maximum and minimum values, the top and bottom of each box represent the first quartile (Q1) and third quartile (Q3) where the line inside each box is the median (second quartile Q2), dots above and below are outlier values</w:t>
        </w:r>
        <w:r w:rsidR="00AB76C5">
          <w:rPr>
            <w:noProof/>
            <w:webHidden/>
          </w:rPr>
          <w:tab/>
        </w:r>
        <w:r w:rsidR="00AB76C5">
          <w:rPr>
            <w:noProof/>
            <w:webHidden/>
          </w:rPr>
          <w:fldChar w:fldCharType="begin"/>
        </w:r>
        <w:r w:rsidR="00AB76C5">
          <w:rPr>
            <w:noProof/>
            <w:webHidden/>
          </w:rPr>
          <w:instrText xml:space="preserve"> PAGEREF _Toc83751364 \h </w:instrText>
        </w:r>
        <w:r w:rsidR="00AB76C5">
          <w:rPr>
            <w:noProof/>
            <w:webHidden/>
          </w:rPr>
        </w:r>
        <w:r w:rsidR="00AB76C5">
          <w:rPr>
            <w:noProof/>
            <w:webHidden/>
          </w:rPr>
          <w:fldChar w:fldCharType="separate"/>
        </w:r>
        <w:r w:rsidR="00AB76C5">
          <w:rPr>
            <w:noProof/>
            <w:webHidden/>
          </w:rPr>
          <w:t>85</w:t>
        </w:r>
        <w:r w:rsidR="00AB76C5">
          <w:rPr>
            <w:noProof/>
            <w:webHidden/>
          </w:rPr>
          <w:fldChar w:fldCharType="end"/>
        </w:r>
      </w:hyperlink>
    </w:p>
    <w:p w14:paraId="52F94849" w14:textId="1789E83A"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65"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 xml:space="preserve">3.9 Base frequencies of RBCL for 18 </w:t>
        </w:r>
        <w:r w:rsidR="00AB76C5" w:rsidRPr="00DB51A2">
          <w:rPr>
            <w:rStyle w:val="Hyperlink"/>
            <w:i/>
            <w:iCs/>
            <w:noProof/>
          </w:rPr>
          <w:t xml:space="preserve">Zea mays </w:t>
        </w:r>
        <w:r w:rsidR="00AB76C5" w:rsidRPr="00DB51A2">
          <w:rPr>
            <w:rStyle w:val="Hyperlink"/>
            <w:noProof/>
          </w:rPr>
          <w:t>varieties</w:t>
        </w:r>
        <w:r w:rsidR="00AB76C5">
          <w:rPr>
            <w:noProof/>
            <w:webHidden/>
          </w:rPr>
          <w:tab/>
        </w:r>
        <w:r w:rsidR="00AB76C5">
          <w:rPr>
            <w:noProof/>
            <w:webHidden/>
          </w:rPr>
          <w:fldChar w:fldCharType="begin"/>
        </w:r>
        <w:r w:rsidR="00AB76C5">
          <w:rPr>
            <w:noProof/>
            <w:webHidden/>
          </w:rPr>
          <w:instrText xml:space="preserve"> PAGEREF _Toc83751365 \h </w:instrText>
        </w:r>
        <w:r w:rsidR="00AB76C5">
          <w:rPr>
            <w:noProof/>
            <w:webHidden/>
          </w:rPr>
        </w:r>
        <w:r w:rsidR="00AB76C5">
          <w:rPr>
            <w:noProof/>
            <w:webHidden/>
          </w:rPr>
          <w:fldChar w:fldCharType="separate"/>
        </w:r>
        <w:r w:rsidR="00AB76C5">
          <w:rPr>
            <w:noProof/>
            <w:webHidden/>
          </w:rPr>
          <w:t>86</w:t>
        </w:r>
        <w:r w:rsidR="00AB76C5">
          <w:rPr>
            <w:noProof/>
            <w:webHidden/>
          </w:rPr>
          <w:fldChar w:fldCharType="end"/>
        </w:r>
      </w:hyperlink>
    </w:p>
    <w:p w14:paraId="4056EF23" w14:textId="5FE4E506"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66"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 xml:space="preserve">3.10 Maximum likelihood method phylogenetic tree of RBCL for 18 </w:t>
        </w:r>
        <w:r w:rsidR="00AB76C5" w:rsidRPr="00DB51A2">
          <w:rPr>
            <w:rStyle w:val="Hyperlink"/>
            <w:i/>
            <w:iCs/>
            <w:noProof/>
          </w:rPr>
          <w:t xml:space="preserve">Zea mays </w:t>
        </w:r>
        <w:r w:rsidR="00AB76C5" w:rsidRPr="00DB51A2">
          <w:rPr>
            <w:rStyle w:val="Hyperlink"/>
            <w:noProof/>
          </w:rPr>
          <w:t>varieties along with heat map</w:t>
        </w:r>
        <w:r w:rsidR="00AB76C5">
          <w:rPr>
            <w:noProof/>
            <w:webHidden/>
          </w:rPr>
          <w:tab/>
        </w:r>
        <w:r w:rsidR="00AB76C5">
          <w:rPr>
            <w:noProof/>
            <w:webHidden/>
          </w:rPr>
          <w:fldChar w:fldCharType="begin"/>
        </w:r>
        <w:r w:rsidR="00AB76C5">
          <w:rPr>
            <w:noProof/>
            <w:webHidden/>
          </w:rPr>
          <w:instrText xml:space="preserve"> PAGEREF _Toc83751366 \h </w:instrText>
        </w:r>
        <w:r w:rsidR="00AB76C5">
          <w:rPr>
            <w:noProof/>
            <w:webHidden/>
          </w:rPr>
        </w:r>
        <w:r w:rsidR="00AB76C5">
          <w:rPr>
            <w:noProof/>
            <w:webHidden/>
          </w:rPr>
          <w:fldChar w:fldCharType="separate"/>
        </w:r>
        <w:r w:rsidR="00AB76C5">
          <w:rPr>
            <w:noProof/>
            <w:webHidden/>
          </w:rPr>
          <w:t>87</w:t>
        </w:r>
        <w:r w:rsidR="00AB76C5">
          <w:rPr>
            <w:noProof/>
            <w:webHidden/>
          </w:rPr>
          <w:fldChar w:fldCharType="end"/>
        </w:r>
      </w:hyperlink>
    </w:p>
    <w:p w14:paraId="6220EAA7" w14:textId="0EC0073A"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67"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 xml:space="preserve">3.11 PCR amplification profile of 18 </w:t>
        </w:r>
        <w:r w:rsidR="00AB76C5" w:rsidRPr="00DB51A2">
          <w:rPr>
            <w:rStyle w:val="Hyperlink"/>
            <w:i/>
            <w:iCs/>
            <w:noProof/>
          </w:rPr>
          <w:t>Zea mays</w:t>
        </w:r>
        <w:r w:rsidR="00AB76C5" w:rsidRPr="00DB51A2">
          <w:rPr>
            <w:rStyle w:val="Hyperlink"/>
            <w:noProof/>
          </w:rPr>
          <w:t xml:space="preserve"> cultivars using (17898A) primer</w:t>
        </w:r>
        <w:r w:rsidR="00AB76C5">
          <w:rPr>
            <w:noProof/>
            <w:webHidden/>
          </w:rPr>
          <w:tab/>
        </w:r>
        <w:r w:rsidR="00AB76C5">
          <w:rPr>
            <w:noProof/>
            <w:webHidden/>
          </w:rPr>
          <w:fldChar w:fldCharType="begin"/>
        </w:r>
        <w:r w:rsidR="00AB76C5">
          <w:rPr>
            <w:noProof/>
            <w:webHidden/>
          </w:rPr>
          <w:instrText xml:space="preserve"> PAGEREF _Toc83751367 \h </w:instrText>
        </w:r>
        <w:r w:rsidR="00AB76C5">
          <w:rPr>
            <w:noProof/>
            <w:webHidden/>
          </w:rPr>
        </w:r>
        <w:r w:rsidR="00AB76C5">
          <w:rPr>
            <w:noProof/>
            <w:webHidden/>
          </w:rPr>
          <w:fldChar w:fldCharType="separate"/>
        </w:r>
        <w:r w:rsidR="00AB76C5">
          <w:rPr>
            <w:noProof/>
            <w:webHidden/>
          </w:rPr>
          <w:t>88</w:t>
        </w:r>
        <w:r w:rsidR="00AB76C5">
          <w:rPr>
            <w:noProof/>
            <w:webHidden/>
          </w:rPr>
          <w:fldChar w:fldCharType="end"/>
        </w:r>
      </w:hyperlink>
    </w:p>
    <w:p w14:paraId="23D6F9D0" w14:textId="5D8A7A7A"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68"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 xml:space="preserve">3.12 ISSR </w:t>
        </w:r>
        <w:r w:rsidR="00AB76C5" w:rsidRPr="00DB51A2">
          <w:rPr>
            <w:rStyle w:val="Hyperlink"/>
            <w:rFonts w:eastAsiaTheme="minorHAnsi"/>
            <w:noProof/>
          </w:rPr>
          <w:t xml:space="preserve">Phylogenetic tree </w:t>
        </w:r>
        <w:r w:rsidR="00AB76C5" w:rsidRPr="00DB51A2">
          <w:rPr>
            <w:rStyle w:val="Hyperlink"/>
            <w:noProof/>
          </w:rPr>
          <w:t xml:space="preserve">of 18 </w:t>
        </w:r>
        <w:r w:rsidR="00AB76C5" w:rsidRPr="00DB51A2">
          <w:rPr>
            <w:rStyle w:val="Hyperlink"/>
            <w:i/>
            <w:iCs/>
            <w:noProof/>
          </w:rPr>
          <w:t>Zea mays</w:t>
        </w:r>
        <w:r w:rsidR="00AB76C5" w:rsidRPr="00DB51A2">
          <w:rPr>
            <w:rStyle w:val="Hyperlink"/>
            <w:noProof/>
          </w:rPr>
          <w:t xml:space="preserve"> cultivars using (17898A) primer</w:t>
        </w:r>
        <w:r w:rsidR="00AB76C5">
          <w:rPr>
            <w:noProof/>
            <w:webHidden/>
          </w:rPr>
          <w:tab/>
        </w:r>
        <w:r w:rsidR="00AB76C5">
          <w:rPr>
            <w:noProof/>
            <w:webHidden/>
          </w:rPr>
          <w:fldChar w:fldCharType="begin"/>
        </w:r>
        <w:r w:rsidR="00AB76C5">
          <w:rPr>
            <w:noProof/>
            <w:webHidden/>
          </w:rPr>
          <w:instrText xml:space="preserve"> PAGEREF _Toc83751368 \h </w:instrText>
        </w:r>
        <w:r w:rsidR="00AB76C5">
          <w:rPr>
            <w:noProof/>
            <w:webHidden/>
          </w:rPr>
        </w:r>
        <w:r w:rsidR="00AB76C5">
          <w:rPr>
            <w:noProof/>
            <w:webHidden/>
          </w:rPr>
          <w:fldChar w:fldCharType="separate"/>
        </w:r>
        <w:r w:rsidR="00AB76C5">
          <w:rPr>
            <w:noProof/>
            <w:webHidden/>
          </w:rPr>
          <w:t>88</w:t>
        </w:r>
        <w:r w:rsidR="00AB76C5">
          <w:rPr>
            <w:noProof/>
            <w:webHidden/>
          </w:rPr>
          <w:fldChar w:fldCharType="end"/>
        </w:r>
      </w:hyperlink>
    </w:p>
    <w:p w14:paraId="093A5EAF" w14:textId="62BF523A"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69"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 xml:space="preserve">3.13 PCR amplification profile of 18 </w:t>
        </w:r>
        <w:r w:rsidR="00AB76C5" w:rsidRPr="00DB51A2">
          <w:rPr>
            <w:rStyle w:val="Hyperlink"/>
            <w:i/>
            <w:iCs/>
            <w:noProof/>
          </w:rPr>
          <w:t>Zea mays</w:t>
        </w:r>
        <w:r w:rsidR="00AB76C5" w:rsidRPr="00DB51A2">
          <w:rPr>
            <w:rStyle w:val="Hyperlink"/>
            <w:noProof/>
          </w:rPr>
          <w:t xml:space="preserve"> cultivars using (17898B) primer</w:t>
        </w:r>
        <w:r w:rsidR="00AB76C5">
          <w:rPr>
            <w:noProof/>
            <w:webHidden/>
          </w:rPr>
          <w:tab/>
        </w:r>
        <w:r w:rsidR="00AB76C5">
          <w:rPr>
            <w:noProof/>
            <w:webHidden/>
          </w:rPr>
          <w:fldChar w:fldCharType="begin"/>
        </w:r>
        <w:r w:rsidR="00AB76C5">
          <w:rPr>
            <w:noProof/>
            <w:webHidden/>
          </w:rPr>
          <w:instrText xml:space="preserve"> PAGEREF _Toc83751369 \h </w:instrText>
        </w:r>
        <w:r w:rsidR="00AB76C5">
          <w:rPr>
            <w:noProof/>
            <w:webHidden/>
          </w:rPr>
        </w:r>
        <w:r w:rsidR="00AB76C5">
          <w:rPr>
            <w:noProof/>
            <w:webHidden/>
          </w:rPr>
          <w:fldChar w:fldCharType="separate"/>
        </w:r>
        <w:r w:rsidR="00AB76C5">
          <w:rPr>
            <w:noProof/>
            <w:webHidden/>
          </w:rPr>
          <w:t>89</w:t>
        </w:r>
        <w:r w:rsidR="00AB76C5">
          <w:rPr>
            <w:noProof/>
            <w:webHidden/>
          </w:rPr>
          <w:fldChar w:fldCharType="end"/>
        </w:r>
      </w:hyperlink>
    </w:p>
    <w:p w14:paraId="1F4F02F1" w14:textId="498D69DF"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70"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 xml:space="preserve">3.14 ISSR </w:t>
        </w:r>
        <w:r w:rsidR="00AB76C5" w:rsidRPr="00DB51A2">
          <w:rPr>
            <w:rStyle w:val="Hyperlink"/>
            <w:rFonts w:eastAsiaTheme="minorHAnsi"/>
            <w:noProof/>
          </w:rPr>
          <w:t xml:space="preserve">Phylogenetic tree </w:t>
        </w:r>
        <w:r w:rsidR="00AB76C5" w:rsidRPr="00DB51A2">
          <w:rPr>
            <w:rStyle w:val="Hyperlink"/>
            <w:noProof/>
          </w:rPr>
          <w:t xml:space="preserve">of 18 </w:t>
        </w:r>
        <w:r w:rsidR="00AB76C5" w:rsidRPr="00DB51A2">
          <w:rPr>
            <w:rStyle w:val="Hyperlink"/>
            <w:i/>
            <w:iCs/>
            <w:noProof/>
          </w:rPr>
          <w:t>Zea mays</w:t>
        </w:r>
        <w:r w:rsidR="00AB76C5" w:rsidRPr="00DB51A2">
          <w:rPr>
            <w:rStyle w:val="Hyperlink"/>
            <w:noProof/>
          </w:rPr>
          <w:t xml:space="preserve"> cultivars using (17898B) primer</w:t>
        </w:r>
        <w:r w:rsidR="00AB76C5">
          <w:rPr>
            <w:noProof/>
            <w:webHidden/>
          </w:rPr>
          <w:tab/>
        </w:r>
        <w:r w:rsidR="00AB76C5">
          <w:rPr>
            <w:noProof/>
            <w:webHidden/>
          </w:rPr>
          <w:fldChar w:fldCharType="begin"/>
        </w:r>
        <w:r w:rsidR="00AB76C5">
          <w:rPr>
            <w:noProof/>
            <w:webHidden/>
          </w:rPr>
          <w:instrText xml:space="preserve"> PAGEREF _Toc83751370 \h </w:instrText>
        </w:r>
        <w:r w:rsidR="00AB76C5">
          <w:rPr>
            <w:noProof/>
            <w:webHidden/>
          </w:rPr>
        </w:r>
        <w:r w:rsidR="00AB76C5">
          <w:rPr>
            <w:noProof/>
            <w:webHidden/>
          </w:rPr>
          <w:fldChar w:fldCharType="separate"/>
        </w:r>
        <w:r w:rsidR="00AB76C5">
          <w:rPr>
            <w:noProof/>
            <w:webHidden/>
          </w:rPr>
          <w:t>89</w:t>
        </w:r>
        <w:r w:rsidR="00AB76C5">
          <w:rPr>
            <w:noProof/>
            <w:webHidden/>
          </w:rPr>
          <w:fldChar w:fldCharType="end"/>
        </w:r>
      </w:hyperlink>
    </w:p>
    <w:p w14:paraId="3530A733" w14:textId="51EA2F5B"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71"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 xml:space="preserve">3.15 PCR amplification profile of 18 </w:t>
        </w:r>
        <w:r w:rsidR="00AB76C5" w:rsidRPr="00DB51A2">
          <w:rPr>
            <w:rStyle w:val="Hyperlink"/>
            <w:i/>
            <w:iCs/>
            <w:noProof/>
          </w:rPr>
          <w:t>Zea mays</w:t>
        </w:r>
        <w:r w:rsidR="00AB76C5" w:rsidRPr="00DB51A2">
          <w:rPr>
            <w:rStyle w:val="Hyperlink"/>
            <w:noProof/>
          </w:rPr>
          <w:t xml:space="preserve"> cultivars using (17899A) primer</w:t>
        </w:r>
        <w:r w:rsidR="00AB76C5">
          <w:rPr>
            <w:noProof/>
            <w:webHidden/>
          </w:rPr>
          <w:tab/>
        </w:r>
        <w:r w:rsidR="00AB76C5">
          <w:rPr>
            <w:noProof/>
            <w:webHidden/>
          </w:rPr>
          <w:fldChar w:fldCharType="begin"/>
        </w:r>
        <w:r w:rsidR="00AB76C5">
          <w:rPr>
            <w:noProof/>
            <w:webHidden/>
          </w:rPr>
          <w:instrText xml:space="preserve"> PAGEREF _Toc83751371 \h </w:instrText>
        </w:r>
        <w:r w:rsidR="00AB76C5">
          <w:rPr>
            <w:noProof/>
            <w:webHidden/>
          </w:rPr>
        </w:r>
        <w:r w:rsidR="00AB76C5">
          <w:rPr>
            <w:noProof/>
            <w:webHidden/>
          </w:rPr>
          <w:fldChar w:fldCharType="separate"/>
        </w:r>
        <w:r w:rsidR="00AB76C5">
          <w:rPr>
            <w:noProof/>
            <w:webHidden/>
          </w:rPr>
          <w:t>90</w:t>
        </w:r>
        <w:r w:rsidR="00AB76C5">
          <w:rPr>
            <w:noProof/>
            <w:webHidden/>
          </w:rPr>
          <w:fldChar w:fldCharType="end"/>
        </w:r>
      </w:hyperlink>
    </w:p>
    <w:p w14:paraId="268B2C97" w14:textId="3BF4A0D2"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72"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 xml:space="preserve">3.16 ISSR </w:t>
        </w:r>
        <w:r w:rsidR="00AB76C5" w:rsidRPr="00DB51A2">
          <w:rPr>
            <w:rStyle w:val="Hyperlink"/>
            <w:rFonts w:eastAsiaTheme="minorHAnsi"/>
            <w:noProof/>
          </w:rPr>
          <w:t xml:space="preserve">Phylogenetic tree </w:t>
        </w:r>
        <w:r w:rsidR="00AB76C5" w:rsidRPr="00DB51A2">
          <w:rPr>
            <w:rStyle w:val="Hyperlink"/>
            <w:noProof/>
          </w:rPr>
          <w:t xml:space="preserve">of 18 </w:t>
        </w:r>
        <w:r w:rsidR="00AB76C5" w:rsidRPr="00DB51A2">
          <w:rPr>
            <w:rStyle w:val="Hyperlink"/>
            <w:i/>
            <w:iCs/>
            <w:noProof/>
          </w:rPr>
          <w:t>Zea mays</w:t>
        </w:r>
        <w:r w:rsidR="00AB76C5" w:rsidRPr="00DB51A2">
          <w:rPr>
            <w:rStyle w:val="Hyperlink"/>
            <w:noProof/>
          </w:rPr>
          <w:t xml:space="preserve"> cultivars using (17899A) primer</w:t>
        </w:r>
        <w:r w:rsidR="00AB76C5">
          <w:rPr>
            <w:noProof/>
            <w:webHidden/>
          </w:rPr>
          <w:tab/>
        </w:r>
        <w:r w:rsidR="00AB76C5">
          <w:rPr>
            <w:noProof/>
            <w:webHidden/>
          </w:rPr>
          <w:fldChar w:fldCharType="begin"/>
        </w:r>
        <w:r w:rsidR="00AB76C5">
          <w:rPr>
            <w:noProof/>
            <w:webHidden/>
          </w:rPr>
          <w:instrText xml:space="preserve"> PAGEREF _Toc83751372 \h </w:instrText>
        </w:r>
        <w:r w:rsidR="00AB76C5">
          <w:rPr>
            <w:noProof/>
            <w:webHidden/>
          </w:rPr>
        </w:r>
        <w:r w:rsidR="00AB76C5">
          <w:rPr>
            <w:noProof/>
            <w:webHidden/>
          </w:rPr>
          <w:fldChar w:fldCharType="separate"/>
        </w:r>
        <w:r w:rsidR="00AB76C5">
          <w:rPr>
            <w:noProof/>
            <w:webHidden/>
          </w:rPr>
          <w:t>90</w:t>
        </w:r>
        <w:r w:rsidR="00AB76C5">
          <w:rPr>
            <w:noProof/>
            <w:webHidden/>
          </w:rPr>
          <w:fldChar w:fldCharType="end"/>
        </w:r>
      </w:hyperlink>
    </w:p>
    <w:p w14:paraId="443A6742" w14:textId="60E1D656"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73"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 xml:space="preserve">3.17 PCR amplification profile of 18 </w:t>
        </w:r>
        <w:r w:rsidR="00AB76C5" w:rsidRPr="00DB51A2">
          <w:rPr>
            <w:rStyle w:val="Hyperlink"/>
            <w:i/>
            <w:iCs/>
            <w:noProof/>
          </w:rPr>
          <w:t>Zea mays</w:t>
        </w:r>
        <w:r w:rsidR="00AB76C5" w:rsidRPr="00DB51A2">
          <w:rPr>
            <w:rStyle w:val="Hyperlink"/>
            <w:noProof/>
          </w:rPr>
          <w:t xml:space="preserve"> cultivars using (17899B) primer</w:t>
        </w:r>
        <w:r w:rsidR="00AB76C5">
          <w:rPr>
            <w:noProof/>
            <w:webHidden/>
          </w:rPr>
          <w:tab/>
        </w:r>
        <w:r w:rsidR="00AB76C5">
          <w:rPr>
            <w:noProof/>
            <w:webHidden/>
          </w:rPr>
          <w:fldChar w:fldCharType="begin"/>
        </w:r>
        <w:r w:rsidR="00AB76C5">
          <w:rPr>
            <w:noProof/>
            <w:webHidden/>
          </w:rPr>
          <w:instrText xml:space="preserve"> PAGEREF _Toc83751373 \h </w:instrText>
        </w:r>
        <w:r w:rsidR="00AB76C5">
          <w:rPr>
            <w:noProof/>
            <w:webHidden/>
          </w:rPr>
        </w:r>
        <w:r w:rsidR="00AB76C5">
          <w:rPr>
            <w:noProof/>
            <w:webHidden/>
          </w:rPr>
          <w:fldChar w:fldCharType="separate"/>
        </w:r>
        <w:r w:rsidR="00AB76C5">
          <w:rPr>
            <w:noProof/>
            <w:webHidden/>
          </w:rPr>
          <w:t>91</w:t>
        </w:r>
        <w:r w:rsidR="00AB76C5">
          <w:rPr>
            <w:noProof/>
            <w:webHidden/>
          </w:rPr>
          <w:fldChar w:fldCharType="end"/>
        </w:r>
      </w:hyperlink>
    </w:p>
    <w:p w14:paraId="0F9836FB" w14:textId="663E73AC"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74"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 xml:space="preserve">3.18 ISSR </w:t>
        </w:r>
        <w:r w:rsidR="00AB76C5" w:rsidRPr="00DB51A2">
          <w:rPr>
            <w:rStyle w:val="Hyperlink"/>
            <w:rFonts w:eastAsiaTheme="minorHAnsi"/>
            <w:noProof/>
          </w:rPr>
          <w:t xml:space="preserve">Phylogenetic tree </w:t>
        </w:r>
        <w:r w:rsidR="00AB76C5" w:rsidRPr="00DB51A2">
          <w:rPr>
            <w:rStyle w:val="Hyperlink"/>
            <w:noProof/>
          </w:rPr>
          <w:t xml:space="preserve">of 18 </w:t>
        </w:r>
        <w:r w:rsidR="00AB76C5" w:rsidRPr="00DB51A2">
          <w:rPr>
            <w:rStyle w:val="Hyperlink"/>
            <w:i/>
            <w:iCs/>
            <w:noProof/>
          </w:rPr>
          <w:t>Zea mays</w:t>
        </w:r>
        <w:r w:rsidR="00AB76C5" w:rsidRPr="00DB51A2">
          <w:rPr>
            <w:rStyle w:val="Hyperlink"/>
            <w:noProof/>
          </w:rPr>
          <w:t xml:space="preserve"> cultivars using (17899B) primer</w:t>
        </w:r>
        <w:r w:rsidR="00AB76C5">
          <w:rPr>
            <w:noProof/>
            <w:webHidden/>
          </w:rPr>
          <w:tab/>
        </w:r>
        <w:r w:rsidR="00AB76C5">
          <w:rPr>
            <w:noProof/>
            <w:webHidden/>
          </w:rPr>
          <w:fldChar w:fldCharType="begin"/>
        </w:r>
        <w:r w:rsidR="00AB76C5">
          <w:rPr>
            <w:noProof/>
            <w:webHidden/>
          </w:rPr>
          <w:instrText xml:space="preserve"> PAGEREF _Toc83751374 \h </w:instrText>
        </w:r>
        <w:r w:rsidR="00AB76C5">
          <w:rPr>
            <w:noProof/>
            <w:webHidden/>
          </w:rPr>
        </w:r>
        <w:r w:rsidR="00AB76C5">
          <w:rPr>
            <w:noProof/>
            <w:webHidden/>
          </w:rPr>
          <w:fldChar w:fldCharType="separate"/>
        </w:r>
        <w:r w:rsidR="00AB76C5">
          <w:rPr>
            <w:noProof/>
            <w:webHidden/>
          </w:rPr>
          <w:t>91</w:t>
        </w:r>
        <w:r w:rsidR="00AB76C5">
          <w:rPr>
            <w:noProof/>
            <w:webHidden/>
          </w:rPr>
          <w:fldChar w:fldCharType="end"/>
        </w:r>
      </w:hyperlink>
    </w:p>
    <w:p w14:paraId="5D81F327" w14:textId="79062C1B"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75"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 xml:space="preserve">3.19 PCR amplification profile of 18 </w:t>
        </w:r>
        <w:r w:rsidR="00AB76C5" w:rsidRPr="00DB51A2">
          <w:rPr>
            <w:rStyle w:val="Hyperlink"/>
            <w:i/>
            <w:iCs/>
            <w:noProof/>
          </w:rPr>
          <w:t>Zea mays</w:t>
        </w:r>
        <w:r w:rsidR="00AB76C5" w:rsidRPr="00DB51A2">
          <w:rPr>
            <w:rStyle w:val="Hyperlink"/>
            <w:noProof/>
          </w:rPr>
          <w:t xml:space="preserve"> cultivars using (844B) primer</w:t>
        </w:r>
        <w:r w:rsidR="00AB76C5">
          <w:rPr>
            <w:noProof/>
            <w:webHidden/>
          </w:rPr>
          <w:tab/>
        </w:r>
        <w:r w:rsidR="00AB76C5">
          <w:rPr>
            <w:noProof/>
            <w:webHidden/>
          </w:rPr>
          <w:fldChar w:fldCharType="begin"/>
        </w:r>
        <w:r w:rsidR="00AB76C5">
          <w:rPr>
            <w:noProof/>
            <w:webHidden/>
          </w:rPr>
          <w:instrText xml:space="preserve"> PAGEREF _Toc83751375 \h </w:instrText>
        </w:r>
        <w:r w:rsidR="00AB76C5">
          <w:rPr>
            <w:noProof/>
            <w:webHidden/>
          </w:rPr>
        </w:r>
        <w:r w:rsidR="00AB76C5">
          <w:rPr>
            <w:noProof/>
            <w:webHidden/>
          </w:rPr>
          <w:fldChar w:fldCharType="separate"/>
        </w:r>
        <w:r w:rsidR="00AB76C5">
          <w:rPr>
            <w:noProof/>
            <w:webHidden/>
          </w:rPr>
          <w:t>92</w:t>
        </w:r>
        <w:r w:rsidR="00AB76C5">
          <w:rPr>
            <w:noProof/>
            <w:webHidden/>
          </w:rPr>
          <w:fldChar w:fldCharType="end"/>
        </w:r>
      </w:hyperlink>
    </w:p>
    <w:p w14:paraId="5D5A134E" w14:textId="14141CEE"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76"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 xml:space="preserve">3.20 ISSR </w:t>
        </w:r>
        <w:r w:rsidR="00AB76C5" w:rsidRPr="00DB51A2">
          <w:rPr>
            <w:rStyle w:val="Hyperlink"/>
            <w:rFonts w:eastAsiaTheme="minorHAnsi"/>
            <w:noProof/>
          </w:rPr>
          <w:t xml:space="preserve">Phylogenetic tree </w:t>
        </w:r>
        <w:r w:rsidR="00AB76C5" w:rsidRPr="00DB51A2">
          <w:rPr>
            <w:rStyle w:val="Hyperlink"/>
            <w:noProof/>
          </w:rPr>
          <w:t xml:space="preserve">of 18 </w:t>
        </w:r>
        <w:r w:rsidR="00AB76C5" w:rsidRPr="00DB51A2">
          <w:rPr>
            <w:rStyle w:val="Hyperlink"/>
            <w:i/>
            <w:iCs/>
            <w:noProof/>
          </w:rPr>
          <w:t>Zea mays</w:t>
        </w:r>
        <w:r w:rsidR="00AB76C5" w:rsidRPr="00DB51A2">
          <w:rPr>
            <w:rStyle w:val="Hyperlink"/>
            <w:noProof/>
          </w:rPr>
          <w:t xml:space="preserve"> cultivars using (844B) primer</w:t>
        </w:r>
        <w:r w:rsidR="00AB76C5">
          <w:rPr>
            <w:noProof/>
            <w:webHidden/>
          </w:rPr>
          <w:tab/>
        </w:r>
        <w:r w:rsidR="00AB76C5">
          <w:rPr>
            <w:noProof/>
            <w:webHidden/>
          </w:rPr>
          <w:fldChar w:fldCharType="begin"/>
        </w:r>
        <w:r w:rsidR="00AB76C5">
          <w:rPr>
            <w:noProof/>
            <w:webHidden/>
          </w:rPr>
          <w:instrText xml:space="preserve"> PAGEREF _Toc83751376 \h </w:instrText>
        </w:r>
        <w:r w:rsidR="00AB76C5">
          <w:rPr>
            <w:noProof/>
            <w:webHidden/>
          </w:rPr>
        </w:r>
        <w:r w:rsidR="00AB76C5">
          <w:rPr>
            <w:noProof/>
            <w:webHidden/>
          </w:rPr>
          <w:fldChar w:fldCharType="separate"/>
        </w:r>
        <w:r w:rsidR="00AB76C5">
          <w:rPr>
            <w:noProof/>
            <w:webHidden/>
          </w:rPr>
          <w:t>92</w:t>
        </w:r>
        <w:r w:rsidR="00AB76C5">
          <w:rPr>
            <w:noProof/>
            <w:webHidden/>
          </w:rPr>
          <w:fldChar w:fldCharType="end"/>
        </w:r>
      </w:hyperlink>
    </w:p>
    <w:p w14:paraId="63A38601" w14:textId="4DE7F587"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77"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 xml:space="preserve">4.1 </w:t>
        </w:r>
        <w:r w:rsidR="00AB76C5" w:rsidRPr="00DB51A2">
          <w:rPr>
            <w:rStyle w:val="Hyperlink"/>
            <w:rFonts w:eastAsiaTheme="minorHAnsi"/>
            <w:noProof/>
          </w:rPr>
          <w:t>The probable paths by which arbuscular mycorrhizal fungi (AMF) reprogram the plant metabolome are depicted schematically. Plant–AMF symbiosis reprograms primary and secondary metabolites.</w:t>
        </w:r>
        <w:r w:rsidR="00AB76C5" w:rsidRPr="00DB51A2">
          <w:rPr>
            <w:rStyle w:val="Hyperlink"/>
            <w:noProof/>
          </w:rPr>
          <w:t xml:space="preserve"> </w:t>
        </w:r>
        <w:r w:rsidR="00AB76C5" w:rsidRPr="00DB51A2">
          <w:rPr>
            <w:rStyle w:val="Hyperlink"/>
            <w:rFonts w:eastAsiaTheme="minorHAnsi"/>
            <w:noProof/>
          </w:rPr>
          <w:t>Secondary metabolite reprogramming promotes AMF colonization in plants by altering the synthesis of signaling molecules.</w:t>
        </w:r>
        <w:r w:rsidR="00AB76C5" w:rsidRPr="00DB51A2">
          <w:rPr>
            <w:rStyle w:val="Hyperlink"/>
            <w:noProof/>
          </w:rPr>
          <w:t xml:space="preserve"> </w:t>
        </w:r>
        <w:r w:rsidR="00AB76C5" w:rsidRPr="00DB51A2">
          <w:rPr>
            <w:rStyle w:val="Hyperlink"/>
            <w:rFonts w:eastAsiaTheme="minorHAnsi"/>
            <w:noProof/>
          </w:rPr>
          <w:t xml:space="preserve">Plant interaction with AMF primes plant defense through alterations in secondary metabolic pathways, increasing plant tolerance to biotic and abiotic stresses. Key: LCOs—lipochitooligosaccharides; SPs—secreted proteins; SÁ—salicylic acid, JA—jasmonic acid. </w:t>
        </w:r>
        <w:r w:rsidR="00AB76C5" w:rsidRPr="00DB51A2">
          <w:rPr>
            <w:rStyle w:val="Hyperlink"/>
            <w:noProof/>
          </w:rPr>
          <w:t>(This figure reproduced has been from  Kaur &amp; Suseela, 2020)</w:t>
        </w:r>
        <w:r w:rsidR="00AB76C5">
          <w:rPr>
            <w:noProof/>
            <w:webHidden/>
          </w:rPr>
          <w:tab/>
        </w:r>
        <w:r w:rsidR="00AB76C5">
          <w:rPr>
            <w:noProof/>
            <w:webHidden/>
          </w:rPr>
          <w:fldChar w:fldCharType="begin"/>
        </w:r>
        <w:r w:rsidR="00AB76C5">
          <w:rPr>
            <w:noProof/>
            <w:webHidden/>
          </w:rPr>
          <w:instrText xml:space="preserve"> PAGEREF _Toc83751377 \h </w:instrText>
        </w:r>
        <w:r w:rsidR="00AB76C5">
          <w:rPr>
            <w:noProof/>
            <w:webHidden/>
          </w:rPr>
        </w:r>
        <w:r w:rsidR="00AB76C5">
          <w:rPr>
            <w:noProof/>
            <w:webHidden/>
          </w:rPr>
          <w:fldChar w:fldCharType="separate"/>
        </w:r>
        <w:r w:rsidR="00AB76C5">
          <w:rPr>
            <w:noProof/>
            <w:webHidden/>
          </w:rPr>
          <w:t>101</w:t>
        </w:r>
        <w:r w:rsidR="00AB76C5">
          <w:rPr>
            <w:noProof/>
            <w:webHidden/>
          </w:rPr>
          <w:fldChar w:fldCharType="end"/>
        </w:r>
      </w:hyperlink>
    </w:p>
    <w:p w14:paraId="1358B912" w14:textId="2112C970"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78"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4.2 Flow chart to demonstrate the step-by -step process of processing the raw data of the metabolite and the statistical analyzes.</w:t>
        </w:r>
        <w:r w:rsidR="00AB76C5">
          <w:rPr>
            <w:noProof/>
            <w:webHidden/>
          </w:rPr>
          <w:tab/>
        </w:r>
        <w:r w:rsidR="00AB76C5">
          <w:rPr>
            <w:noProof/>
            <w:webHidden/>
          </w:rPr>
          <w:fldChar w:fldCharType="begin"/>
        </w:r>
        <w:r w:rsidR="00AB76C5">
          <w:rPr>
            <w:noProof/>
            <w:webHidden/>
          </w:rPr>
          <w:instrText xml:space="preserve"> PAGEREF _Toc83751378 \h </w:instrText>
        </w:r>
        <w:r w:rsidR="00AB76C5">
          <w:rPr>
            <w:noProof/>
            <w:webHidden/>
          </w:rPr>
        </w:r>
        <w:r w:rsidR="00AB76C5">
          <w:rPr>
            <w:noProof/>
            <w:webHidden/>
          </w:rPr>
          <w:fldChar w:fldCharType="separate"/>
        </w:r>
        <w:r w:rsidR="00AB76C5">
          <w:rPr>
            <w:noProof/>
            <w:webHidden/>
          </w:rPr>
          <w:t>105</w:t>
        </w:r>
        <w:r w:rsidR="00AB76C5">
          <w:rPr>
            <w:noProof/>
            <w:webHidden/>
          </w:rPr>
          <w:fldChar w:fldCharType="end"/>
        </w:r>
      </w:hyperlink>
    </w:p>
    <w:p w14:paraId="4DC09FCF" w14:textId="7A7A70E0"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79"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 xml:space="preserve">4.3 Principal Component Analysis plots of metabolite profiles of shoot samples for 18 </w:t>
        </w:r>
        <w:r w:rsidR="00AB76C5" w:rsidRPr="00DB51A2">
          <w:rPr>
            <w:rStyle w:val="Hyperlink"/>
            <w:i/>
            <w:iCs/>
            <w:noProof/>
          </w:rPr>
          <w:t>Zea maize</w:t>
        </w:r>
        <w:r w:rsidR="00AB76C5" w:rsidRPr="00DB51A2">
          <w:rPr>
            <w:rStyle w:val="Hyperlink"/>
            <w:noProof/>
          </w:rPr>
          <w:t xml:space="preserve"> cultivars. Metabolite profiles of the shoot aqueous phase were analyzed in positive ionization mode. The cultivars have been given a color code in figures legend.</w:t>
        </w:r>
        <w:r w:rsidR="00AB76C5">
          <w:rPr>
            <w:noProof/>
            <w:webHidden/>
          </w:rPr>
          <w:tab/>
        </w:r>
        <w:r w:rsidR="00AB76C5">
          <w:rPr>
            <w:noProof/>
            <w:webHidden/>
          </w:rPr>
          <w:fldChar w:fldCharType="begin"/>
        </w:r>
        <w:r w:rsidR="00AB76C5">
          <w:rPr>
            <w:noProof/>
            <w:webHidden/>
          </w:rPr>
          <w:instrText xml:space="preserve"> PAGEREF _Toc83751379 \h </w:instrText>
        </w:r>
        <w:r w:rsidR="00AB76C5">
          <w:rPr>
            <w:noProof/>
            <w:webHidden/>
          </w:rPr>
        </w:r>
        <w:r w:rsidR="00AB76C5">
          <w:rPr>
            <w:noProof/>
            <w:webHidden/>
          </w:rPr>
          <w:fldChar w:fldCharType="separate"/>
        </w:r>
        <w:r w:rsidR="00AB76C5">
          <w:rPr>
            <w:noProof/>
            <w:webHidden/>
          </w:rPr>
          <w:t>109</w:t>
        </w:r>
        <w:r w:rsidR="00AB76C5">
          <w:rPr>
            <w:noProof/>
            <w:webHidden/>
          </w:rPr>
          <w:fldChar w:fldCharType="end"/>
        </w:r>
      </w:hyperlink>
    </w:p>
    <w:p w14:paraId="71BFB1D8" w14:textId="38FF12C6"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80"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4.4 Principal Component Analysis plots of metabolite profiles of shoot samples between the control treatment and mycorrhizal temperature. Metabolite profiles of the shoot aqueous phase were analyzed in positive ionization mode. 0 =control 1= mycorrhizal</w:t>
        </w:r>
        <w:r w:rsidR="00AB76C5">
          <w:rPr>
            <w:noProof/>
            <w:webHidden/>
          </w:rPr>
          <w:tab/>
        </w:r>
        <w:r w:rsidR="00AB76C5">
          <w:rPr>
            <w:noProof/>
            <w:webHidden/>
          </w:rPr>
          <w:fldChar w:fldCharType="begin"/>
        </w:r>
        <w:r w:rsidR="00AB76C5">
          <w:rPr>
            <w:noProof/>
            <w:webHidden/>
          </w:rPr>
          <w:instrText xml:space="preserve"> PAGEREF _Toc83751380 \h </w:instrText>
        </w:r>
        <w:r w:rsidR="00AB76C5">
          <w:rPr>
            <w:noProof/>
            <w:webHidden/>
          </w:rPr>
        </w:r>
        <w:r w:rsidR="00AB76C5">
          <w:rPr>
            <w:noProof/>
            <w:webHidden/>
          </w:rPr>
          <w:fldChar w:fldCharType="separate"/>
        </w:r>
        <w:r w:rsidR="00AB76C5">
          <w:rPr>
            <w:noProof/>
            <w:webHidden/>
          </w:rPr>
          <w:t>109</w:t>
        </w:r>
        <w:r w:rsidR="00AB76C5">
          <w:rPr>
            <w:noProof/>
            <w:webHidden/>
          </w:rPr>
          <w:fldChar w:fldCharType="end"/>
        </w:r>
      </w:hyperlink>
    </w:p>
    <w:p w14:paraId="6216B004" w14:textId="09903874"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81"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 xml:space="preserve">4.5  Principal Component Analysis plots of metabolite profiles of shoot samples for 18 </w:t>
        </w:r>
        <w:r w:rsidR="00AB76C5" w:rsidRPr="00DB51A2">
          <w:rPr>
            <w:rStyle w:val="Hyperlink"/>
            <w:i/>
            <w:iCs/>
            <w:noProof/>
          </w:rPr>
          <w:t>Zea maize</w:t>
        </w:r>
        <w:r w:rsidR="00AB76C5" w:rsidRPr="00DB51A2">
          <w:rPr>
            <w:rStyle w:val="Hyperlink"/>
            <w:noProof/>
          </w:rPr>
          <w:t xml:space="preserve"> cultivars. Metabolite profiles of the shoot organic phase was analyzed in positive ionization mode. The cultivars have been given a color code in figures legend.</w:t>
        </w:r>
        <w:r w:rsidR="00AB76C5">
          <w:rPr>
            <w:noProof/>
            <w:webHidden/>
          </w:rPr>
          <w:tab/>
        </w:r>
        <w:r w:rsidR="00AB76C5">
          <w:rPr>
            <w:noProof/>
            <w:webHidden/>
          </w:rPr>
          <w:fldChar w:fldCharType="begin"/>
        </w:r>
        <w:r w:rsidR="00AB76C5">
          <w:rPr>
            <w:noProof/>
            <w:webHidden/>
          </w:rPr>
          <w:instrText xml:space="preserve"> PAGEREF _Toc83751381 \h </w:instrText>
        </w:r>
        <w:r w:rsidR="00AB76C5">
          <w:rPr>
            <w:noProof/>
            <w:webHidden/>
          </w:rPr>
        </w:r>
        <w:r w:rsidR="00AB76C5">
          <w:rPr>
            <w:noProof/>
            <w:webHidden/>
          </w:rPr>
          <w:fldChar w:fldCharType="separate"/>
        </w:r>
        <w:r w:rsidR="00AB76C5">
          <w:rPr>
            <w:noProof/>
            <w:webHidden/>
          </w:rPr>
          <w:t>110</w:t>
        </w:r>
        <w:r w:rsidR="00AB76C5">
          <w:rPr>
            <w:noProof/>
            <w:webHidden/>
          </w:rPr>
          <w:fldChar w:fldCharType="end"/>
        </w:r>
      </w:hyperlink>
    </w:p>
    <w:p w14:paraId="1B6B6FBC" w14:textId="7327DC92"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82"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4.6 Principal Component Analysis plots of metabolite profiles of shoot samples between the control treatment and mycorrhizal temperature. Metabolite profiles of the shoot organic phase were analyzed in positive ionization mode. 0 =control 1= mycorrhizal</w:t>
        </w:r>
        <w:r w:rsidR="00AB76C5">
          <w:rPr>
            <w:noProof/>
            <w:webHidden/>
          </w:rPr>
          <w:tab/>
        </w:r>
        <w:r w:rsidR="00AB76C5">
          <w:rPr>
            <w:noProof/>
            <w:webHidden/>
          </w:rPr>
          <w:fldChar w:fldCharType="begin"/>
        </w:r>
        <w:r w:rsidR="00AB76C5">
          <w:rPr>
            <w:noProof/>
            <w:webHidden/>
          </w:rPr>
          <w:instrText xml:space="preserve"> PAGEREF _Toc83751382 \h </w:instrText>
        </w:r>
        <w:r w:rsidR="00AB76C5">
          <w:rPr>
            <w:noProof/>
            <w:webHidden/>
          </w:rPr>
        </w:r>
        <w:r w:rsidR="00AB76C5">
          <w:rPr>
            <w:noProof/>
            <w:webHidden/>
          </w:rPr>
          <w:fldChar w:fldCharType="separate"/>
        </w:r>
        <w:r w:rsidR="00AB76C5">
          <w:rPr>
            <w:noProof/>
            <w:webHidden/>
          </w:rPr>
          <w:t>110</w:t>
        </w:r>
        <w:r w:rsidR="00AB76C5">
          <w:rPr>
            <w:noProof/>
            <w:webHidden/>
          </w:rPr>
          <w:fldChar w:fldCharType="end"/>
        </w:r>
      </w:hyperlink>
    </w:p>
    <w:p w14:paraId="03AA3074" w14:textId="175A185E"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83"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 xml:space="preserve">4.7 Principal Component Analysis plots of metabolite profiles of root samples for 18 </w:t>
        </w:r>
        <w:r w:rsidR="00AB76C5" w:rsidRPr="00DB51A2">
          <w:rPr>
            <w:rStyle w:val="Hyperlink"/>
            <w:i/>
            <w:iCs/>
            <w:noProof/>
          </w:rPr>
          <w:t>Zea maize</w:t>
        </w:r>
        <w:r w:rsidR="00AB76C5" w:rsidRPr="00DB51A2">
          <w:rPr>
            <w:rStyle w:val="Hyperlink"/>
            <w:noProof/>
          </w:rPr>
          <w:t xml:space="preserve"> cultivars. Metabolite profiles of the root aqueous phase were analyzed in positive ionization mode. The cultivars have been given a color code in figures legend</w:t>
        </w:r>
        <w:r w:rsidR="00AB76C5">
          <w:rPr>
            <w:noProof/>
            <w:webHidden/>
          </w:rPr>
          <w:tab/>
        </w:r>
        <w:r w:rsidR="00AB76C5">
          <w:rPr>
            <w:noProof/>
            <w:webHidden/>
          </w:rPr>
          <w:fldChar w:fldCharType="begin"/>
        </w:r>
        <w:r w:rsidR="00AB76C5">
          <w:rPr>
            <w:noProof/>
            <w:webHidden/>
          </w:rPr>
          <w:instrText xml:space="preserve"> PAGEREF _Toc83751383 \h </w:instrText>
        </w:r>
        <w:r w:rsidR="00AB76C5">
          <w:rPr>
            <w:noProof/>
            <w:webHidden/>
          </w:rPr>
        </w:r>
        <w:r w:rsidR="00AB76C5">
          <w:rPr>
            <w:noProof/>
            <w:webHidden/>
          </w:rPr>
          <w:fldChar w:fldCharType="separate"/>
        </w:r>
        <w:r w:rsidR="00AB76C5">
          <w:rPr>
            <w:noProof/>
            <w:webHidden/>
          </w:rPr>
          <w:t>111</w:t>
        </w:r>
        <w:r w:rsidR="00AB76C5">
          <w:rPr>
            <w:noProof/>
            <w:webHidden/>
          </w:rPr>
          <w:fldChar w:fldCharType="end"/>
        </w:r>
      </w:hyperlink>
    </w:p>
    <w:p w14:paraId="33118B9D" w14:textId="073B5718"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84"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4.8 Principal Component Analysis plots of metabolite profiles of root samples between the control treatment and mycorrhizal temperature. Metabolite profiles of the root aqueous phase were analyzed in positive ionization mode. 0 =control 1= mycorrhizal</w:t>
        </w:r>
        <w:r w:rsidR="00AB76C5">
          <w:rPr>
            <w:noProof/>
            <w:webHidden/>
          </w:rPr>
          <w:tab/>
        </w:r>
        <w:r w:rsidR="00AB76C5">
          <w:rPr>
            <w:noProof/>
            <w:webHidden/>
          </w:rPr>
          <w:fldChar w:fldCharType="begin"/>
        </w:r>
        <w:r w:rsidR="00AB76C5">
          <w:rPr>
            <w:noProof/>
            <w:webHidden/>
          </w:rPr>
          <w:instrText xml:space="preserve"> PAGEREF _Toc83751384 \h </w:instrText>
        </w:r>
        <w:r w:rsidR="00AB76C5">
          <w:rPr>
            <w:noProof/>
            <w:webHidden/>
          </w:rPr>
        </w:r>
        <w:r w:rsidR="00AB76C5">
          <w:rPr>
            <w:noProof/>
            <w:webHidden/>
          </w:rPr>
          <w:fldChar w:fldCharType="separate"/>
        </w:r>
        <w:r w:rsidR="00AB76C5">
          <w:rPr>
            <w:noProof/>
            <w:webHidden/>
          </w:rPr>
          <w:t>111</w:t>
        </w:r>
        <w:r w:rsidR="00AB76C5">
          <w:rPr>
            <w:noProof/>
            <w:webHidden/>
          </w:rPr>
          <w:fldChar w:fldCharType="end"/>
        </w:r>
      </w:hyperlink>
    </w:p>
    <w:p w14:paraId="4325C5B9" w14:textId="0F024174"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85"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 xml:space="preserve">4.9 Principal Component Analysis plots of metabolite profiles of root samples for 18 </w:t>
        </w:r>
        <w:r w:rsidR="00AB76C5" w:rsidRPr="00DB51A2">
          <w:rPr>
            <w:rStyle w:val="Hyperlink"/>
            <w:i/>
            <w:iCs/>
            <w:noProof/>
          </w:rPr>
          <w:t>Zea maize</w:t>
        </w:r>
        <w:r w:rsidR="00AB76C5" w:rsidRPr="00DB51A2">
          <w:rPr>
            <w:rStyle w:val="Hyperlink"/>
            <w:noProof/>
          </w:rPr>
          <w:t xml:space="preserve"> cultivars. Metabolite profiles of the root organic phase were analyzed in positive ionization mode. The cultivars have been given a color code in figures legend</w:t>
        </w:r>
        <w:r w:rsidR="00AB76C5">
          <w:rPr>
            <w:noProof/>
            <w:webHidden/>
          </w:rPr>
          <w:tab/>
        </w:r>
        <w:r w:rsidR="00AB76C5">
          <w:rPr>
            <w:noProof/>
            <w:webHidden/>
          </w:rPr>
          <w:fldChar w:fldCharType="begin"/>
        </w:r>
        <w:r w:rsidR="00AB76C5">
          <w:rPr>
            <w:noProof/>
            <w:webHidden/>
          </w:rPr>
          <w:instrText xml:space="preserve"> PAGEREF _Toc83751385 \h </w:instrText>
        </w:r>
        <w:r w:rsidR="00AB76C5">
          <w:rPr>
            <w:noProof/>
            <w:webHidden/>
          </w:rPr>
        </w:r>
        <w:r w:rsidR="00AB76C5">
          <w:rPr>
            <w:noProof/>
            <w:webHidden/>
          </w:rPr>
          <w:fldChar w:fldCharType="separate"/>
        </w:r>
        <w:r w:rsidR="00AB76C5">
          <w:rPr>
            <w:noProof/>
            <w:webHidden/>
          </w:rPr>
          <w:t>112</w:t>
        </w:r>
        <w:r w:rsidR="00AB76C5">
          <w:rPr>
            <w:noProof/>
            <w:webHidden/>
          </w:rPr>
          <w:fldChar w:fldCharType="end"/>
        </w:r>
      </w:hyperlink>
    </w:p>
    <w:p w14:paraId="1B1F332F" w14:textId="10AF4EBC"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86"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4.10 Principal Component Analysis plots of metabolite profiles of root samples between the control treatment and mycorrhizal temperature. Metabolite profiles of the root organic phase were analyzed in positive ionization mode. 0 =control 1= mycorrhizal</w:t>
        </w:r>
        <w:r w:rsidR="00AB76C5">
          <w:rPr>
            <w:noProof/>
            <w:webHidden/>
          </w:rPr>
          <w:tab/>
        </w:r>
        <w:r w:rsidR="00AB76C5">
          <w:rPr>
            <w:noProof/>
            <w:webHidden/>
          </w:rPr>
          <w:fldChar w:fldCharType="begin"/>
        </w:r>
        <w:r w:rsidR="00AB76C5">
          <w:rPr>
            <w:noProof/>
            <w:webHidden/>
          </w:rPr>
          <w:instrText xml:space="preserve"> PAGEREF _Toc83751386 \h </w:instrText>
        </w:r>
        <w:r w:rsidR="00AB76C5">
          <w:rPr>
            <w:noProof/>
            <w:webHidden/>
          </w:rPr>
        </w:r>
        <w:r w:rsidR="00AB76C5">
          <w:rPr>
            <w:noProof/>
            <w:webHidden/>
          </w:rPr>
          <w:fldChar w:fldCharType="separate"/>
        </w:r>
        <w:r w:rsidR="00AB76C5">
          <w:rPr>
            <w:noProof/>
            <w:webHidden/>
          </w:rPr>
          <w:t>112</w:t>
        </w:r>
        <w:r w:rsidR="00AB76C5">
          <w:rPr>
            <w:noProof/>
            <w:webHidden/>
          </w:rPr>
          <w:fldChar w:fldCharType="end"/>
        </w:r>
      </w:hyperlink>
    </w:p>
    <w:p w14:paraId="16FB57E9" w14:textId="6E8EFF42"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87"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 xml:space="preserve">4.11 Supervised multivariate OPLS-DA plots of the metabolite profiles for shoot organic phase 18 </w:t>
        </w:r>
        <w:r w:rsidR="00AB76C5" w:rsidRPr="00DB51A2">
          <w:rPr>
            <w:rStyle w:val="Hyperlink"/>
            <w:i/>
            <w:iCs/>
            <w:noProof/>
          </w:rPr>
          <w:t>Zea maize</w:t>
        </w:r>
        <w:r w:rsidR="00AB76C5" w:rsidRPr="00DB51A2">
          <w:rPr>
            <w:rStyle w:val="Hyperlink"/>
            <w:noProof/>
          </w:rPr>
          <w:t xml:space="preserve"> cultivars Metabolite profiles of the shoot organic phase were analyzed in positive ionization mode. cultivars have been given a color code in figures legend</w:t>
        </w:r>
        <w:r w:rsidR="00AB76C5">
          <w:rPr>
            <w:noProof/>
            <w:webHidden/>
          </w:rPr>
          <w:tab/>
        </w:r>
        <w:r w:rsidR="00AB76C5">
          <w:rPr>
            <w:noProof/>
            <w:webHidden/>
          </w:rPr>
          <w:fldChar w:fldCharType="begin"/>
        </w:r>
        <w:r w:rsidR="00AB76C5">
          <w:rPr>
            <w:noProof/>
            <w:webHidden/>
          </w:rPr>
          <w:instrText xml:space="preserve"> PAGEREF _Toc83751387 \h </w:instrText>
        </w:r>
        <w:r w:rsidR="00AB76C5">
          <w:rPr>
            <w:noProof/>
            <w:webHidden/>
          </w:rPr>
        </w:r>
        <w:r w:rsidR="00AB76C5">
          <w:rPr>
            <w:noProof/>
            <w:webHidden/>
          </w:rPr>
          <w:fldChar w:fldCharType="separate"/>
        </w:r>
        <w:r w:rsidR="00AB76C5">
          <w:rPr>
            <w:noProof/>
            <w:webHidden/>
          </w:rPr>
          <w:t>113</w:t>
        </w:r>
        <w:r w:rsidR="00AB76C5">
          <w:rPr>
            <w:noProof/>
            <w:webHidden/>
          </w:rPr>
          <w:fldChar w:fldCharType="end"/>
        </w:r>
      </w:hyperlink>
    </w:p>
    <w:p w14:paraId="43684436" w14:textId="7A992F6C"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88"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4.12 Supervised multivariate OPLS-DA plots of the metabolite profiles of shoot organic phase samples between the control treatment and mycorrhizal temperature. Metabolite profiles of the shoot organic phase were analyzed in positive ionization mode. 0= control 1 = mycorrhizal. The corresponding loading plots underneath each OPLS-DA plot demonstrate the discriminate mass bins for control and mycorrhizal</w:t>
        </w:r>
        <w:r w:rsidR="00AB76C5">
          <w:rPr>
            <w:noProof/>
            <w:webHidden/>
          </w:rPr>
          <w:tab/>
        </w:r>
        <w:r w:rsidR="00AB76C5">
          <w:rPr>
            <w:noProof/>
            <w:webHidden/>
          </w:rPr>
          <w:fldChar w:fldCharType="begin"/>
        </w:r>
        <w:r w:rsidR="00AB76C5">
          <w:rPr>
            <w:noProof/>
            <w:webHidden/>
          </w:rPr>
          <w:instrText xml:space="preserve"> PAGEREF _Toc83751388 \h </w:instrText>
        </w:r>
        <w:r w:rsidR="00AB76C5">
          <w:rPr>
            <w:noProof/>
            <w:webHidden/>
          </w:rPr>
        </w:r>
        <w:r w:rsidR="00AB76C5">
          <w:rPr>
            <w:noProof/>
            <w:webHidden/>
          </w:rPr>
          <w:fldChar w:fldCharType="separate"/>
        </w:r>
        <w:r w:rsidR="00AB76C5">
          <w:rPr>
            <w:noProof/>
            <w:webHidden/>
          </w:rPr>
          <w:t>114</w:t>
        </w:r>
        <w:r w:rsidR="00AB76C5">
          <w:rPr>
            <w:noProof/>
            <w:webHidden/>
          </w:rPr>
          <w:fldChar w:fldCharType="end"/>
        </w:r>
      </w:hyperlink>
    </w:p>
    <w:p w14:paraId="120D98CC" w14:textId="00CC5A45"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89"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 xml:space="preserve">4.13 Supervised multivariate OPLS-DA plots of pair-wise comparisons of the metabolite profiles for root aqueous phase 18 </w:t>
        </w:r>
        <w:r w:rsidR="00AB76C5" w:rsidRPr="00DB51A2">
          <w:rPr>
            <w:rStyle w:val="Hyperlink"/>
            <w:i/>
            <w:iCs/>
            <w:noProof/>
          </w:rPr>
          <w:t>Zea maize</w:t>
        </w:r>
        <w:r w:rsidR="00AB76C5" w:rsidRPr="00DB51A2">
          <w:rPr>
            <w:rStyle w:val="Hyperlink"/>
            <w:noProof/>
          </w:rPr>
          <w:t xml:space="preserve"> cultivars Metabolite profiles of the root aqueous phase were analyzed in positive ionization mode. cultivars have been given a color code in figures legend.</w:t>
        </w:r>
        <w:r w:rsidR="00AB76C5">
          <w:rPr>
            <w:noProof/>
            <w:webHidden/>
          </w:rPr>
          <w:tab/>
        </w:r>
        <w:r w:rsidR="00AB76C5">
          <w:rPr>
            <w:noProof/>
            <w:webHidden/>
          </w:rPr>
          <w:fldChar w:fldCharType="begin"/>
        </w:r>
        <w:r w:rsidR="00AB76C5">
          <w:rPr>
            <w:noProof/>
            <w:webHidden/>
          </w:rPr>
          <w:instrText xml:space="preserve"> PAGEREF _Toc83751389 \h </w:instrText>
        </w:r>
        <w:r w:rsidR="00AB76C5">
          <w:rPr>
            <w:noProof/>
            <w:webHidden/>
          </w:rPr>
        </w:r>
        <w:r w:rsidR="00AB76C5">
          <w:rPr>
            <w:noProof/>
            <w:webHidden/>
          </w:rPr>
          <w:fldChar w:fldCharType="separate"/>
        </w:r>
        <w:r w:rsidR="00AB76C5">
          <w:rPr>
            <w:noProof/>
            <w:webHidden/>
          </w:rPr>
          <w:t>115</w:t>
        </w:r>
        <w:r w:rsidR="00AB76C5">
          <w:rPr>
            <w:noProof/>
            <w:webHidden/>
          </w:rPr>
          <w:fldChar w:fldCharType="end"/>
        </w:r>
      </w:hyperlink>
    </w:p>
    <w:p w14:paraId="2EAB8108" w14:textId="7699A47D"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90"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4.14 Supervised multivariate OPLS-DA plots of pair-wise comparisons of the metabolite profiles of root aqueous phase</w:t>
        </w:r>
        <w:r w:rsidR="00AB76C5" w:rsidRPr="00DB51A2">
          <w:rPr>
            <w:rStyle w:val="Hyperlink"/>
            <w:b/>
            <w:bCs/>
            <w:i/>
            <w:iCs/>
            <w:noProof/>
          </w:rPr>
          <w:t xml:space="preserve"> </w:t>
        </w:r>
        <w:r w:rsidR="00AB76C5" w:rsidRPr="00DB51A2">
          <w:rPr>
            <w:rStyle w:val="Hyperlink"/>
            <w:noProof/>
          </w:rPr>
          <w:t>samples between the control treatment and mycorrhizal temperature. Metabolite profiles of the root aqueous phase were analyzed in positive ionization mode. 0= control 1 = mycorrhizal. The corresponding loading plots underneath each OPLS-DA plot demonstrate the discriminate mass bins for control and mycorrhizal.</w:t>
        </w:r>
        <w:r w:rsidR="00AB76C5">
          <w:rPr>
            <w:noProof/>
            <w:webHidden/>
          </w:rPr>
          <w:tab/>
        </w:r>
        <w:r w:rsidR="00AB76C5">
          <w:rPr>
            <w:noProof/>
            <w:webHidden/>
          </w:rPr>
          <w:fldChar w:fldCharType="begin"/>
        </w:r>
        <w:r w:rsidR="00AB76C5">
          <w:rPr>
            <w:noProof/>
            <w:webHidden/>
          </w:rPr>
          <w:instrText xml:space="preserve"> PAGEREF _Toc83751390 \h </w:instrText>
        </w:r>
        <w:r w:rsidR="00AB76C5">
          <w:rPr>
            <w:noProof/>
            <w:webHidden/>
          </w:rPr>
        </w:r>
        <w:r w:rsidR="00AB76C5">
          <w:rPr>
            <w:noProof/>
            <w:webHidden/>
          </w:rPr>
          <w:fldChar w:fldCharType="separate"/>
        </w:r>
        <w:r w:rsidR="00AB76C5">
          <w:rPr>
            <w:noProof/>
            <w:webHidden/>
          </w:rPr>
          <w:t>116</w:t>
        </w:r>
        <w:r w:rsidR="00AB76C5">
          <w:rPr>
            <w:noProof/>
            <w:webHidden/>
          </w:rPr>
          <w:fldChar w:fldCharType="end"/>
        </w:r>
      </w:hyperlink>
    </w:p>
    <w:p w14:paraId="0481EF38" w14:textId="76D346AA"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91"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 xml:space="preserve">4.15 Supervised multivariate OPLS-DA plots of pair-wise comparisons of the metabolite profiles for root organic phase 18 </w:t>
        </w:r>
        <w:r w:rsidR="00AB76C5" w:rsidRPr="00DB51A2">
          <w:rPr>
            <w:rStyle w:val="Hyperlink"/>
            <w:i/>
            <w:iCs/>
            <w:noProof/>
          </w:rPr>
          <w:t>Zea maize</w:t>
        </w:r>
        <w:r w:rsidR="00AB76C5" w:rsidRPr="00DB51A2">
          <w:rPr>
            <w:rStyle w:val="Hyperlink"/>
            <w:noProof/>
          </w:rPr>
          <w:t xml:space="preserve"> cultivars Metabolite profiles of the root organic phase were analyzed in positive ionization mode. cultivars have been given a color code in figures legend</w:t>
        </w:r>
        <w:r w:rsidR="00AB76C5">
          <w:rPr>
            <w:noProof/>
            <w:webHidden/>
          </w:rPr>
          <w:tab/>
        </w:r>
        <w:r w:rsidR="00AB76C5">
          <w:rPr>
            <w:noProof/>
            <w:webHidden/>
          </w:rPr>
          <w:fldChar w:fldCharType="begin"/>
        </w:r>
        <w:r w:rsidR="00AB76C5">
          <w:rPr>
            <w:noProof/>
            <w:webHidden/>
          </w:rPr>
          <w:instrText xml:space="preserve"> PAGEREF _Toc83751391 \h </w:instrText>
        </w:r>
        <w:r w:rsidR="00AB76C5">
          <w:rPr>
            <w:noProof/>
            <w:webHidden/>
          </w:rPr>
        </w:r>
        <w:r w:rsidR="00AB76C5">
          <w:rPr>
            <w:noProof/>
            <w:webHidden/>
          </w:rPr>
          <w:fldChar w:fldCharType="separate"/>
        </w:r>
        <w:r w:rsidR="00AB76C5">
          <w:rPr>
            <w:noProof/>
            <w:webHidden/>
          </w:rPr>
          <w:t>117</w:t>
        </w:r>
        <w:r w:rsidR="00AB76C5">
          <w:rPr>
            <w:noProof/>
            <w:webHidden/>
          </w:rPr>
          <w:fldChar w:fldCharType="end"/>
        </w:r>
      </w:hyperlink>
    </w:p>
    <w:p w14:paraId="07C2EC9F" w14:textId="228E6C6D"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92"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4.16 Supervised multivariate OPLS-DA plots of pair-wise comparisons of the metabolite profiles of root samples between the control treatment and mycorrhizal temperature. Metabolite profiles of the root aqueous phase were analyzed in positive ionization mode. 0= control 1 = mycorrhizal. The corresponding loading plots underneath each OPLS-DA plot demonstrate the discriminate mass bins for control and mycorrhizal</w:t>
        </w:r>
        <w:r w:rsidR="00AB76C5">
          <w:rPr>
            <w:noProof/>
            <w:webHidden/>
          </w:rPr>
          <w:tab/>
        </w:r>
        <w:r w:rsidR="00AB76C5">
          <w:rPr>
            <w:noProof/>
            <w:webHidden/>
          </w:rPr>
          <w:fldChar w:fldCharType="begin"/>
        </w:r>
        <w:r w:rsidR="00AB76C5">
          <w:rPr>
            <w:noProof/>
            <w:webHidden/>
          </w:rPr>
          <w:instrText xml:space="preserve"> PAGEREF _Toc83751392 \h </w:instrText>
        </w:r>
        <w:r w:rsidR="00AB76C5">
          <w:rPr>
            <w:noProof/>
            <w:webHidden/>
          </w:rPr>
        </w:r>
        <w:r w:rsidR="00AB76C5">
          <w:rPr>
            <w:noProof/>
            <w:webHidden/>
          </w:rPr>
          <w:fldChar w:fldCharType="separate"/>
        </w:r>
        <w:r w:rsidR="00AB76C5">
          <w:rPr>
            <w:noProof/>
            <w:webHidden/>
          </w:rPr>
          <w:t>118</w:t>
        </w:r>
        <w:r w:rsidR="00AB76C5">
          <w:rPr>
            <w:noProof/>
            <w:webHidden/>
          </w:rPr>
          <w:fldChar w:fldCharType="end"/>
        </w:r>
      </w:hyperlink>
    </w:p>
    <w:p w14:paraId="5BFC48DB" w14:textId="7B9D7D18"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93"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4.17 Total % ion count of discriminatory mass bins (</w:t>
        </w:r>
        <w:r w:rsidR="00AB76C5" w:rsidRPr="00DB51A2">
          <w:rPr>
            <w:rStyle w:val="Hyperlink"/>
            <w:i/>
            <w:iCs/>
            <w:noProof/>
          </w:rPr>
          <w:t xml:space="preserve">m/z) </w:t>
        </w:r>
        <w:r w:rsidR="00AB76C5" w:rsidRPr="00DB51A2">
          <w:rPr>
            <w:rStyle w:val="Hyperlink"/>
            <w:noProof/>
          </w:rPr>
          <w:t>for mycorrhizal side for shoot organic phase in positive mode for cultivars and treatment. Two-Way ANOVA statistical significance of % ion count intensities of the mycorrhizal treatment and their pairwise comparison for the discriminatory mass bins for the shoot organic phase, positive mode.  D.F, degrees of freedom; F, value for comparison with the critical value for significance; P, level of significance (P-value).  Asterisk indicates significant differences within the same cultivar (</w:t>
        </w:r>
        <w:r w:rsidR="00AB76C5" w:rsidRPr="00DB51A2">
          <w:rPr>
            <w:rStyle w:val="Hyperlink"/>
            <w:bCs/>
            <w:noProof/>
          </w:rPr>
          <w:t>+P&lt;0.1; *, P&lt;0.05; **, P&lt;0.01;   ***, P&lt;0.001; ****, P&lt;0.0001).</w:t>
        </w:r>
        <w:r w:rsidR="00AB76C5">
          <w:rPr>
            <w:noProof/>
            <w:webHidden/>
          </w:rPr>
          <w:tab/>
        </w:r>
        <w:r w:rsidR="00AB76C5">
          <w:rPr>
            <w:noProof/>
            <w:webHidden/>
          </w:rPr>
          <w:fldChar w:fldCharType="begin"/>
        </w:r>
        <w:r w:rsidR="00AB76C5">
          <w:rPr>
            <w:noProof/>
            <w:webHidden/>
          </w:rPr>
          <w:instrText xml:space="preserve"> PAGEREF _Toc83751393 \h </w:instrText>
        </w:r>
        <w:r w:rsidR="00AB76C5">
          <w:rPr>
            <w:noProof/>
            <w:webHidden/>
          </w:rPr>
        </w:r>
        <w:r w:rsidR="00AB76C5">
          <w:rPr>
            <w:noProof/>
            <w:webHidden/>
          </w:rPr>
          <w:fldChar w:fldCharType="separate"/>
        </w:r>
        <w:r w:rsidR="00AB76C5">
          <w:rPr>
            <w:noProof/>
            <w:webHidden/>
          </w:rPr>
          <w:t>121</w:t>
        </w:r>
        <w:r w:rsidR="00AB76C5">
          <w:rPr>
            <w:noProof/>
            <w:webHidden/>
          </w:rPr>
          <w:fldChar w:fldCharType="end"/>
        </w:r>
      </w:hyperlink>
    </w:p>
    <w:p w14:paraId="7883E321" w14:textId="6E8C1967"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94"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4.18 Total % ion count of discriminatory mass bins (</w:t>
        </w:r>
        <w:r w:rsidR="00AB76C5" w:rsidRPr="00DB51A2">
          <w:rPr>
            <w:rStyle w:val="Hyperlink"/>
            <w:i/>
            <w:iCs/>
            <w:noProof/>
          </w:rPr>
          <w:t xml:space="preserve">m/z) </w:t>
        </w:r>
        <w:r w:rsidR="00AB76C5" w:rsidRPr="00DB51A2">
          <w:rPr>
            <w:rStyle w:val="Hyperlink"/>
            <w:noProof/>
          </w:rPr>
          <w:t>for mycorrhizal side for root aqueous phase in positive mode for cultivars and treatment. Two-Way ANOVA statistical significance of % ion count intensities of the mycorrhizal treatment and their pairwise comparison for the discriminatory mass bins for the shoot organic phase, positive mode.  D.F, degrees of freedom; F, value for comparison with the critical value for significance; P, level of significance (P-value).  Asterisk indicates significant differences within the same cultivar (+P&lt;0.1; *, P&lt;0.05; **, P&lt;0.01;   ***, P&lt;0.001; ****, P&lt;0.0001).</w:t>
        </w:r>
        <w:r w:rsidR="00AB76C5">
          <w:rPr>
            <w:noProof/>
            <w:webHidden/>
          </w:rPr>
          <w:tab/>
        </w:r>
        <w:r w:rsidR="00AB76C5">
          <w:rPr>
            <w:noProof/>
            <w:webHidden/>
          </w:rPr>
          <w:fldChar w:fldCharType="begin"/>
        </w:r>
        <w:r w:rsidR="00AB76C5">
          <w:rPr>
            <w:noProof/>
            <w:webHidden/>
          </w:rPr>
          <w:instrText xml:space="preserve"> PAGEREF _Toc83751394 \h </w:instrText>
        </w:r>
        <w:r w:rsidR="00AB76C5">
          <w:rPr>
            <w:noProof/>
            <w:webHidden/>
          </w:rPr>
        </w:r>
        <w:r w:rsidR="00AB76C5">
          <w:rPr>
            <w:noProof/>
            <w:webHidden/>
          </w:rPr>
          <w:fldChar w:fldCharType="separate"/>
        </w:r>
        <w:r w:rsidR="00AB76C5">
          <w:rPr>
            <w:noProof/>
            <w:webHidden/>
          </w:rPr>
          <w:t>122</w:t>
        </w:r>
        <w:r w:rsidR="00AB76C5">
          <w:rPr>
            <w:noProof/>
            <w:webHidden/>
          </w:rPr>
          <w:fldChar w:fldCharType="end"/>
        </w:r>
      </w:hyperlink>
    </w:p>
    <w:p w14:paraId="76AD6691" w14:textId="109D6B8D"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95"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4.19 Total % ion count of discriminatory mass bins (</w:t>
        </w:r>
        <w:r w:rsidR="00AB76C5" w:rsidRPr="00DB51A2">
          <w:rPr>
            <w:rStyle w:val="Hyperlink"/>
            <w:i/>
            <w:iCs/>
            <w:noProof/>
          </w:rPr>
          <w:t xml:space="preserve">m/z) </w:t>
        </w:r>
        <w:r w:rsidR="00AB76C5" w:rsidRPr="00DB51A2">
          <w:rPr>
            <w:rStyle w:val="Hyperlink"/>
            <w:noProof/>
          </w:rPr>
          <w:t>for mycorrhizal side for root organic phase in positive mode for cultivars and treatment. Two-Way ANOVA statistical significance of % ion count intensities of the mycorrhizal treatment and their pairwise comparison for the discriminatory mass bins for the shoot organic phase, positive mode.  D.F, degrees of freedom; F, value for comparison with the critical value for significance; P, level of significance (P-value).  Asterisk indicates significant differences within the same cultivar (+P&lt;0.1; *, P&lt;0.05; **, P&lt;0.01;   ***, P&lt;0.001; ****, P&lt;0.0001).</w:t>
        </w:r>
        <w:r w:rsidR="00AB76C5">
          <w:rPr>
            <w:noProof/>
            <w:webHidden/>
          </w:rPr>
          <w:tab/>
        </w:r>
        <w:r w:rsidR="00AB76C5">
          <w:rPr>
            <w:noProof/>
            <w:webHidden/>
          </w:rPr>
          <w:fldChar w:fldCharType="begin"/>
        </w:r>
        <w:r w:rsidR="00AB76C5">
          <w:rPr>
            <w:noProof/>
            <w:webHidden/>
          </w:rPr>
          <w:instrText xml:space="preserve"> PAGEREF _Toc83751395 \h </w:instrText>
        </w:r>
        <w:r w:rsidR="00AB76C5">
          <w:rPr>
            <w:noProof/>
            <w:webHidden/>
          </w:rPr>
        </w:r>
        <w:r w:rsidR="00AB76C5">
          <w:rPr>
            <w:noProof/>
            <w:webHidden/>
          </w:rPr>
          <w:fldChar w:fldCharType="separate"/>
        </w:r>
        <w:r w:rsidR="00AB76C5">
          <w:rPr>
            <w:noProof/>
            <w:webHidden/>
          </w:rPr>
          <w:t>123</w:t>
        </w:r>
        <w:r w:rsidR="00AB76C5">
          <w:rPr>
            <w:noProof/>
            <w:webHidden/>
          </w:rPr>
          <w:fldChar w:fldCharType="end"/>
        </w:r>
      </w:hyperlink>
    </w:p>
    <w:p w14:paraId="7544B2FF" w14:textId="40FA24A5" w:rsidR="00AB76C5" w:rsidRDefault="00000000">
      <w:pPr>
        <w:pStyle w:val="TableofFigures"/>
        <w:tabs>
          <w:tab w:val="right" w:leader="dot" w:pos="9010"/>
        </w:tabs>
        <w:rPr>
          <w:rFonts w:asciiTheme="minorHAnsi" w:eastAsiaTheme="minorEastAsia" w:hAnsiTheme="minorHAnsi" w:cstheme="minorBidi"/>
          <w:noProof/>
          <w:lang w:val="en-SA"/>
        </w:rPr>
      </w:pPr>
      <w:hyperlink w:anchor="_Toc83751396" w:history="1">
        <w:r w:rsidR="00AB76C5" w:rsidRPr="00DB51A2">
          <w:rPr>
            <w:rStyle w:val="Hyperlink"/>
            <w:noProof/>
          </w:rPr>
          <w:t xml:space="preserve">Figure </w:t>
        </w:r>
        <w:r w:rsidR="00AB76C5" w:rsidRPr="00DB51A2">
          <w:rPr>
            <w:rStyle w:val="Hyperlink"/>
            <w:noProof/>
            <w:cs/>
          </w:rPr>
          <w:t>‎</w:t>
        </w:r>
        <w:r w:rsidR="00AB76C5" w:rsidRPr="00DB51A2">
          <w:rPr>
            <w:rStyle w:val="Hyperlink"/>
            <w:noProof/>
          </w:rPr>
          <w:t xml:space="preserve">5.1 : shows the variation of 18 varieties of collective </w:t>
        </w:r>
        <w:r w:rsidR="00AB76C5" w:rsidRPr="00DB51A2">
          <w:rPr>
            <w:rStyle w:val="Hyperlink"/>
            <w:i/>
            <w:iCs/>
            <w:noProof/>
          </w:rPr>
          <w:t>Zea mays</w:t>
        </w:r>
        <w:r w:rsidR="00AB76C5" w:rsidRPr="00DB51A2">
          <w:rPr>
            <w:rStyle w:val="Hyperlink"/>
            <w:noProof/>
          </w:rPr>
          <w:t xml:space="preserve"> seeds and the commercial names</w:t>
        </w:r>
        <w:r w:rsidR="00AB76C5">
          <w:rPr>
            <w:noProof/>
            <w:webHidden/>
          </w:rPr>
          <w:tab/>
        </w:r>
        <w:r w:rsidR="00AB76C5">
          <w:rPr>
            <w:noProof/>
            <w:webHidden/>
          </w:rPr>
          <w:fldChar w:fldCharType="begin"/>
        </w:r>
        <w:r w:rsidR="00AB76C5">
          <w:rPr>
            <w:noProof/>
            <w:webHidden/>
          </w:rPr>
          <w:instrText xml:space="preserve"> PAGEREF _Toc83751396 \h </w:instrText>
        </w:r>
        <w:r w:rsidR="00AB76C5">
          <w:rPr>
            <w:noProof/>
            <w:webHidden/>
          </w:rPr>
        </w:r>
        <w:r w:rsidR="00AB76C5">
          <w:rPr>
            <w:noProof/>
            <w:webHidden/>
          </w:rPr>
          <w:fldChar w:fldCharType="separate"/>
        </w:r>
        <w:r w:rsidR="00AB76C5">
          <w:rPr>
            <w:noProof/>
            <w:webHidden/>
          </w:rPr>
          <w:t>140</w:t>
        </w:r>
        <w:r w:rsidR="00AB76C5">
          <w:rPr>
            <w:noProof/>
            <w:webHidden/>
          </w:rPr>
          <w:fldChar w:fldCharType="end"/>
        </w:r>
      </w:hyperlink>
    </w:p>
    <w:p w14:paraId="3B3D7498" w14:textId="6793D73F" w:rsidR="0019038E" w:rsidRDefault="0019038E" w:rsidP="0019038E">
      <w:pPr>
        <w:pStyle w:val="Heading1"/>
        <w:numPr>
          <w:ilvl w:val="0"/>
          <w:numId w:val="0"/>
        </w:numPr>
      </w:pPr>
      <w:r>
        <w:fldChar w:fldCharType="end"/>
      </w:r>
    </w:p>
    <w:p w14:paraId="3FAEBB78" w14:textId="77777777" w:rsidR="0019038E" w:rsidRDefault="0019038E" w:rsidP="0019038E">
      <w:pPr>
        <w:pStyle w:val="Heading1"/>
        <w:numPr>
          <w:ilvl w:val="0"/>
          <w:numId w:val="0"/>
        </w:numPr>
      </w:pPr>
    </w:p>
    <w:p w14:paraId="2D5AB2AD" w14:textId="77777777" w:rsidR="0019038E" w:rsidRDefault="0019038E" w:rsidP="0019038E">
      <w:pPr>
        <w:pStyle w:val="Heading1"/>
        <w:numPr>
          <w:ilvl w:val="0"/>
          <w:numId w:val="0"/>
        </w:numPr>
      </w:pPr>
    </w:p>
    <w:p w14:paraId="0B8566A6" w14:textId="77777777" w:rsidR="0019038E" w:rsidRDefault="0019038E" w:rsidP="003E0DEA">
      <w:pPr>
        <w:pStyle w:val="mythesis"/>
      </w:pPr>
    </w:p>
    <w:p w14:paraId="17BFB2F1" w14:textId="77777777" w:rsidR="0019038E" w:rsidRDefault="0019038E" w:rsidP="0019038E">
      <w:pPr>
        <w:pStyle w:val="Heading3"/>
      </w:pPr>
    </w:p>
    <w:p w14:paraId="304089B7" w14:textId="77777777" w:rsidR="0019038E" w:rsidRDefault="0019038E" w:rsidP="0019038E"/>
    <w:p w14:paraId="125ED716" w14:textId="77777777" w:rsidR="0019038E" w:rsidRDefault="0019038E" w:rsidP="0019038E"/>
    <w:p w14:paraId="2BA96BDE" w14:textId="77777777" w:rsidR="00DB1305" w:rsidRDefault="00DB1305" w:rsidP="0019038E"/>
    <w:p w14:paraId="03A07E5D" w14:textId="77777777" w:rsidR="00DB1305" w:rsidRDefault="00DB1305" w:rsidP="0019038E"/>
    <w:p w14:paraId="3F35CA11" w14:textId="77777777" w:rsidR="00DB1305" w:rsidRDefault="00DB1305" w:rsidP="0019038E"/>
    <w:p w14:paraId="4352B3B7" w14:textId="77777777" w:rsidR="00DB1305" w:rsidRDefault="00DB1305" w:rsidP="0019038E"/>
    <w:p w14:paraId="6A8A5094" w14:textId="77777777" w:rsidR="00DB1305" w:rsidRDefault="00DB1305" w:rsidP="0019038E"/>
    <w:p w14:paraId="21F73449" w14:textId="77777777" w:rsidR="00DB1305" w:rsidRDefault="00DB1305" w:rsidP="0019038E"/>
    <w:p w14:paraId="7284991C" w14:textId="77777777" w:rsidR="00DB1305" w:rsidRDefault="00DB1305" w:rsidP="0019038E"/>
    <w:p w14:paraId="71D216E6" w14:textId="77777777" w:rsidR="00DB1305" w:rsidRDefault="00DB1305" w:rsidP="0019038E"/>
    <w:p w14:paraId="666C2604" w14:textId="77777777" w:rsidR="00DB1305" w:rsidRDefault="00DB1305" w:rsidP="0019038E"/>
    <w:p w14:paraId="0E0FA8E0" w14:textId="77777777" w:rsidR="00DB1305" w:rsidRDefault="00DB1305" w:rsidP="0019038E"/>
    <w:p w14:paraId="49B20104" w14:textId="77777777" w:rsidR="00DB1305" w:rsidRDefault="00DB1305" w:rsidP="0019038E"/>
    <w:p w14:paraId="73254F15" w14:textId="77777777" w:rsidR="00DB1305" w:rsidRDefault="00DB1305" w:rsidP="0019038E"/>
    <w:p w14:paraId="36CABBB8" w14:textId="77777777" w:rsidR="00DB1305" w:rsidRDefault="00DB1305" w:rsidP="0019038E"/>
    <w:p w14:paraId="2FBB1301" w14:textId="77777777" w:rsidR="00DB1305" w:rsidRDefault="00DB1305" w:rsidP="0019038E"/>
    <w:p w14:paraId="208E4960" w14:textId="77777777" w:rsidR="00DB1305" w:rsidRDefault="00DB1305" w:rsidP="0019038E"/>
    <w:p w14:paraId="0EA5FCC8" w14:textId="77777777" w:rsidR="00DB1305" w:rsidRDefault="00DB1305" w:rsidP="0019038E"/>
    <w:p w14:paraId="5E008774" w14:textId="77777777" w:rsidR="00DB1305" w:rsidRDefault="00DB1305" w:rsidP="0019038E"/>
    <w:p w14:paraId="5FE4BBBF" w14:textId="77777777" w:rsidR="00DB1305" w:rsidRDefault="00DB1305" w:rsidP="0019038E"/>
    <w:p w14:paraId="5190EA69" w14:textId="77777777" w:rsidR="00DB1305" w:rsidRDefault="00DB1305" w:rsidP="0019038E"/>
    <w:p w14:paraId="50FFE76D" w14:textId="77777777" w:rsidR="00DB1305" w:rsidRDefault="00DB1305" w:rsidP="0019038E"/>
    <w:p w14:paraId="67E57B0C" w14:textId="77777777" w:rsidR="00DB1305" w:rsidRDefault="00DB1305" w:rsidP="0019038E"/>
    <w:p w14:paraId="657C5858" w14:textId="77777777" w:rsidR="00DB1305" w:rsidRDefault="00DB1305" w:rsidP="0019038E"/>
    <w:p w14:paraId="5FF8C2CF" w14:textId="77777777" w:rsidR="00DB1305" w:rsidRPr="00DB1305" w:rsidRDefault="00DB1305" w:rsidP="00DB1305">
      <w:pPr>
        <w:jc w:val="center"/>
        <w:rPr>
          <w:rFonts w:asciiTheme="majorBidi" w:hAnsiTheme="majorBidi" w:cstheme="majorBidi"/>
          <w:b/>
          <w:bCs/>
          <w:sz w:val="28"/>
          <w:szCs w:val="28"/>
        </w:rPr>
      </w:pPr>
      <w:r w:rsidRPr="00DB1305">
        <w:rPr>
          <w:rFonts w:asciiTheme="majorBidi" w:hAnsiTheme="majorBidi" w:cstheme="majorBidi"/>
          <w:b/>
          <w:bCs/>
          <w:sz w:val="28"/>
          <w:szCs w:val="28"/>
        </w:rPr>
        <w:t>Declaration</w:t>
      </w:r>
    </w:p>
    <w:p w14:paraId="3DF8B6EA" w14:textId="77777777" w:rsidR="00DB1305" w:rsidRDefault="00DB1305" w:rsidP="0019038E">
      <w:pPr>
        <w:rPr>
          <w:rFonts w:ascii="TUOS Blake" w:hAnsi="TUOS Blake" w:cstheme="majorBidi"/>
        </w:rPr>
      </w:pPr>
    </w:p>
    <w:p w14:paraId="2A2410ED" w14:textId="77777777" w:rsidR="00DB1305" w:rsidRDefault="00DB1305" w:rsidP="0019038E">
      <w:pPr>
        <w:rPr>
          <w:rFonts w:ascii="TUOS Blake" w:hAnsi="TUOS Blake" w:cstheme="majorBidi"/>
        </w:rPr>
      </w:pPr>
    </w:p>
    <w:p w14:paraId="44AA22C6" w14:textId="11A7C0A8" w:rsidR="00DB1305" w:rsidRPr="00DB06A0" w:rsidRDefault="00DB1305" w:rsidP="00DB1305">
      <w:pPr>
        <w:pStyle w:val="mythesis"/>
      </w:pPr>
      <w:r w:rsidRPr="00DB06A0">
        <w:t>I, the author, confirm that the Thesis is my own work</w:t>
      </w:r>
      <w:r>
        <w:t>.</w:t>
      </w:r>
      <w:r w:rsidRPr="00DB06A0">
        <w:t xml:space="preserve"> I am aware of the University’s Guidance on the Use of Unfair.  This work has not previously been presented for an award at this, or any other, university.  </w:t>
      </w:r>
    </w:p>
    <w:p w14:paraId="2E6B62F1" w14:textId="098E10B8" w:rsidR="00DB1305" w:rsidRDefault="00DB1305" w:rsidP="0019038E">
      <w:pPr>
        <w:sectPr w:rsidR="00DB1305" w:rsidSect="00896651">
          <w:pgSz w:w="11900" w:h="16840"/>
          <w:pgMar w:top="1440" w:right="1440" w:bottom="1440" w:left="1440" w:header="708" w:footer="708" w:gutter="0"/>
          <w:pgNumType w:fmt="upperRoman" w:start="1"/>
          <w:cols w:space="708"/>
          <w:docGrid w:linePitch="360"/>
        </w:sectPr>
      </w:pPr>
    </w:p>
    <w:p w14:paraId="15FD74BD" w14:textId="77777777" w:rsidR="0019038E" w:rsidRPr="00FA1116" w:rsidRDefault="0019038E" w:rsidP="0019038E"/>
    <w:p w14:paraId="37743826" w14:textId="77777777" w:rsidR="0019038E" w:rsidRPr="00BF1832" w:rsidRDefault="0019038E" w:rsidP="0019038E">
      <w:pPr>
        <w:pStyle w:val="Heading1"/>
        <w:numPr>
          <w:ilvl w:val="0"/>
          <w:numId w:val="1"/>
        </w:numPr>
        <w:tabs>
          <w:tab w:val="num" w:pos="720"/>
        </w:tabs>
      </w:pPr>
      <w:r w:rsidRPr="00BF1832">
        <w:t xml:space="preserve"> </w:t>
      </w:r>
      <w:bookmarkStart w:id="0" w:name="_Toc83751397"/>
      <w:r w:rsidRPr="00BF1832">
        <w:t>General Introduction</w:t>
      </w:r>
      <w:bookmarkEnd w:id="0"/>
    </w:p>
    <w:p w14:paraId="009ADA35" w14:textId="77777777" w:rsidR="0019038E" w:rsidRPr="00535B61" w:rsidRDefault="0019038E" w:rsidP="0019038E">
      <w:pPr>
        <w:pStyle w:val="Heading2"/>
      </w:pPr>
    </w:p>
    <w:p w14:paraId="4FB1D2E8" w14:textId="77777777" w:rsidR="0019038E" w:rsidRDefault="0019038E" w:rsidP="0019038E">
      <w:pPr>
        <w:pStyle w:val="Heading2"/>
        <w:numPr>
          <w:ilvl w:val="1"/>
          <w:numId w:val="15"/>
        </w:numPr>
        <w:ind w:left="720" w:hanging="360"/>
      </w:pPr>
      <w:bookmarkStart w:id="1" w:name="_Toc83751398"/>
      <w:r w:rsidRPr="002932E6">
        <w:t>Introduction</w:t>
      </w:r>
      <w:bookmarkEnd w:id="1"/>
    </w:p>
    <w:p w14:paraId="73F4FC33" w14:textId="77777777" w:rsidR="0019038E" w:rsidRPr="00F628BB" w:rsidRDefault="0019038E" w:rsidP="0019038E">
      <w:pPr>
        <w:rPr>
          <w:lang w:val="en-GB"/>
        </w:rPr>
      </w:pPr>
    </w:p>
    <w:p w14:paraId="187C27BE" w14:textId="70D72031" w:rsidR="0019038E" w:rsidRPr="00852DF3" w:rsidRDefault="0019038E" w:rsidP="00852DF3">
      <w:pPr>
        <w:pStyle w:val="Heading3"/>
      </w:pPr>
      <w:bookmarkStart w:id="2" w:name="_Toc83751399"/>
      <w:r w:rsidRPr="00852DF3">
        <w:t>1.1.1 Importance of corn</w:t>
      </w:r>
      <w:bookmarkEnd w:id="2"/>
      <w:r w:rsidRPr="00852DF3">
        <w:t xml:space="preserve"> </w:t>
      </w:r>
    </w:p>
    <w:p w14:paraId="07FAE773" w14:textId="77777777" w:rsidR="00852DF3" w:rsidRPr="00852DF3" w:rsidRDefault="00852DF3" w:rsidP="00852DF3"/>
    <w:p w14:paraId="6E0D5732" w14:textId="59070D4E" w:rsidR="0019038E" w:rsidRPr="002D650E" w:rsidRDefault="0019038E" w:rsidP="002D650E">
      <w:pPr>
        <w:pStyle w:val="mythesis"/>
      </w:pPr>
      <w:r w:rsidRPr="002D650E">
        <w:t>Every year, more than 900 million people globally suffer from food instability and hunger</w:t>
      </w:r>
      <w:sdt>
        <w:sdtPr>
          <w:rPr>
            <w:color w:val="000000"/>
          </w:rPr>
          <w:tag w:val="MENDELEY_CITATION_v3_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"/>
          <w:id w:val="948668386"/>
          <w:placeholder>
            <w:docPart w:val="C796E44BA29C7B49B74F3F722913E754"/>
          </w:placeholder>
        </w:sdtPr>
        <w:sdtEndPr/>
        <w:sdtContent>
          <w:r w:rsidR="005E3F83" w:rsidRPr="00A23F97">
            <w:rPr>
              <w:color w:val="000000"/>
            </w:rPr>
            <w:t xml:space="preserve"> (Langyan et al., 2021)</w:t>
          </w:r>
          <w:r w:rsidR="005E3F83" w:rsidRPr="005E3F83">
            <w:rPr>
              <w:color w:val="000000"/>
            </w:rPr>
            <w:t>.</w:t>
          </w:r>
        </w:sdtContent>
      </w:sdt>
      <w:r w:rsidRPr="002D650E">
        <w:t xml:space="preserve"> People from poor and underdeveloped countries, as well as some developing countries, are more vulnerable. Every year, over 5 million hungry people worldwide die as a result of nutrient inadequacy </w:t>
      </w:r>
      <w:sdt>
        <w:sdtPr>
          <w:rPr>
            <w:color w:val="000000"/>
          </w:rPr>
          <w:tag w:val="MENDELEY_CITATION_v3_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"/>
          <w:id w:val="-1792047332"/>
          <w:placeholder>
            <w:docPart w:val="C796E44BA29C7B49B74F3F722913E754"/>
          </w:placeholder>
        </w:sdtPr>
        <w:sdtContent>
          <w:r w:rsidR="005E3F83" w:rsidRPr="005E3F83">
            <w:rPr>
              <w:color w:val="000000"/>
            </w:rPr>
            <w:t>(FAO, 2008; Glenn, 2007)</w:t>
          </w:r>
        </w:sdtContent>
      </w:sdt>
      <w:r w:rsidRPr="002D650E">
        <w:t>. Ensuring our staple crops are fertilized sustainably and are not damaged by pests and diseases using sustainable control methods are critical for future food security.</w:t>
      </w:r>
    </w:p>
    <w:p w14:paraId="10D71BB1" w14:textId="06CEE730" w:rsidR="0019038E" w:rsidRPr="002D650E" w:rsidRDefault="0019038E" w:rsidP="002D650E">
      <w:pPr>
        <w:pStyle w:val="mythesis"/>
      </w:pPr>
      <w:r w:rsidRPr="002D650E">
        <w:t>Corn (</w:t>
      </w:r>
      <w:r w:rsidRPr="00A23F97">
        <w:rPr>
          <w:i/>
          <w:iCs w:val="0"/>
        </w:rPr>
        <w:t>Zea mays</w:t>
      </w:r>
      <w:r w:rsidRPr="002D650E">
        <w:t>) is the most grown cereal in the World, in general, cereal utilization in 2021/22 is forecast at 2 809 million tonnes</w:t>
      </w:r>
      <w:r w:rsidRPr="002D650E" w:rsidDel="00FB751F">
        <w:t xml:space="preserve"> </w:t>
      </w:r>
      <w:customXmlInsRangeStart w:id="3" w:author="amal tareif" w:date="2021-09-24T11:41:00Z"/>
      <w:sdt>
        <w:sdtPr>
          <w:rPr>
            <w:color w:val="000000"/>
          </w:rPr>
          <w:tag w:val="MENDELEY_CITATION_v3_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"/>
          <w:id w:val="-881940180"/>
          <w:placeholder>
            <w:docPart w:val="C796E44BA29C7B49B74F3F722913E754"/>
          </w:placeholder>
        </w:sdtPr>
        <w:sdtContent>
          <w:customXmlInsRangeEnd w:id="3"/>
          <w:r w:rsidR="005E3F83" w:rsidRPr="005E3F83">
            <w:rPr>
              <w:color w:val="000000"/>
            </w:rPr>
            <w:t>(FAO, 2021)</w:t>
          </w:r>
          <w:customXmlInsRangeStart w:id="4" w:author="amal tareif" w:date="2021-09-24T11:41:00Z"/>
        </w:sdtContent>
      </w:sdt>
      <w:customXmlInsRangeEnd w:id="4"/>
      <w:r w:rsidRPr="002D650E">
        <w:t xml:space="preserve">. Corn is the third most important food crop after rice and wheat. This crop has played a very important role in human history, it contains both nutrients and phytochemical substances. Phytochemicals are useful in the prevention of chronic illnesses. It includes a variety of important phytochemicals, including carotenoids, phenolic compounds, and phytosterols </w:t>
      </w:r>
      <w:sdt>
        <w:sdtPr>
          <w:rPr>
            <w:color w:val="000000"/>
          </w:rPr>
          <w:tag w:val="MENDELEY_CITATION_v3_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"/>
          <w:id w:val="1670822371"/>
          <w:placeholder>
            <w:docPart w:val="4126063EBB940943BEF59DC61F8B67B4"/>
          </w:placeholder>
        </w:sdtPr>
        <w:sdtContent>
          <w:r w:rsidR="005E3F83" w:rsidRPr="005E3F83">
            <w:rPr>
              <w:color w:val="000000"/>
            </w:rPr>
            <w:t>(Rouf Shah et al., 2016).</w:t>
          </w:r>
        </w:sdtContent>
      </w:sdt>
    </w:p>
    <w:p w14:paraId="274E18F6" w14:textId="51FF22AE" w:rsidR="0019038E" w:rsidRPr="002D650E" w:rsidRDefault="0019038E" w:rsidP="002D650E">
      <w:pPr>
        <w:pStyle w:val="mythesis"/>
      </w:pPr>
      <w:r w:rsidRPr="002D650E">
        <w:t xml:space="preserve">In recent times, corn has been exposed to many risks such as, drought, disease and many chemicals treatment to face these risks, which negatively affected the growth rate. And the world destined to deal with natural and biocontrol methods to protect the corn crop </w:t>
      </w:r>
      <w:sdt>
        <w:sdtPr>
          <w:rPr>
            <w:color w:val="000000"/>
          </w:rPr>
          <w:tag w:val="MENDELEY_CITATION_v3_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"/>
          <w:id w:val="-1918248911"/>
          <w:placeholder>
            <w:docPart w:val="C796E44BA29C7B49B74F3F722913E754"/>
          </w:placeholder>
        </w:sdtPr>
        <w:sdtContent>
          <w:r w:rsidR="005E3F83" w:rsidRPr="005E3F83">
            <w:rPr>
              <w:color w:val="000000"/>
            </w:rPr>
            <w:t>(Huang et al., 2016)</w:t>
          </w:r>
        </w:sdtContent>
      </w:sdt>
      <w:r w:rsidRPr="002D650E">
        <w:t>.</w:t>
      </w:r>
    </w:p>
    <w:p w14:paraId="7A207007" w14:textId="631EB3FC" w:rsidR="0019038E" w:rsidRPr="002D650E" w:rsidRDefault="0019038E" w:rsidP="002D650E">
      <w:pPr>
        <w:pStyle w:val="mythesis"/>
      </w:pPr>
      <w:r w:rsidRPr="002D650E">
        <w:t xml:space="preserve">Its appeal as a crop is due mainly to its different functions as a source of food for humans and animals. Maize was the main source of protein and calories in the globe </w:t>
      </w:r>
      <w:sdt>
        <w:sdtPr>
          <w:rPr>
            <w:color w:val="000000"/>
          </w:rPr>
          <w:tag w:val="MENDELEY_CITATION_v3_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"/>
          <w:id w:val="-951940832"/>
          <w:placeholder>
            <w:docPart w:val="C796E44BA29C7B49B74F3F722913E754"/>
          </w:placeholder>
        </w:sdtPr>
        <w:sdtContent>
          <w:r w:rsidR="005E3F83" w:rsidRPr="005E3F83">
            <w:rPr>
              <w:color w:val="000000"/>
            </w:rPr>
            <w:t>(Lutz et al., 2001).</w:t>
          </w:r>
        </w:sdtContent>
      </w:sdt>
      <w:r w:rsidRPr="002D650E">
        <w:t xml:space="preserve"> </w:t>
      </w:r>
    </w:p>
    <w:p w14:paraId="4976B481" w14:textId="19CAD51D" w:rsidR="0019038E" w:rsidRPr="002D650E" w:rsidRDefault="0019038E" w:rsidP="002D650E">
      <w:pPr>
        <w:pStyle w:val="mythesis"/>
      </w:pPr>
      <w:r w:rsidRPr="002D650E">
        <w:t xml:space="preserve">Maize has the highest growth rate with the highest productivity of all cereals, and because it has the largest genetic yield potential, maize is known as the “queen of the cereals.” Normal maize has 8–13 % protein, 68–73 % starch, 2–5 % fat, 2–4 % sugar, fibers, minerals, and so on </w:t>
      </w:r>
      <w:sdt>
        <w:sdtPr>
          <w:rPr>
            <w:color w:val="000000"/>
          </w:rPr>
          <w:tag w:val="MENDELEY_CITATION_v3_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"/>
          <w:id w:val="30535198"/>
          <w:placeholder>
            <w:docPart w:val="C796E44BA29C7B49B74F3F722913E754"/>
          </w:placeholder>
        </w:sdtPr>
        <w:sdtContent>
          <w:r w:rsidR="005E3F83" w:rsidRPr="005E3F83">
            <w:rPr>
              <w:color w:val="000000"/>
            </w:rPr>
            <w:t>(Gupta, 1987; Lodha, 1976).</w:t>
          </w:r>
        </w:sdtContent>
      </w:sdt>
    </w:p>
    <w:p w14:paraId="69F78B5B" w14:textId="77777777" w:rsidR="0019038E" w:rsidRPr="002932E6" w:rsidRDefault="0019038E" w:rsidP="0019038E">
      <w:pPr>
        <w:pStyle w:val="Heading3"/>
      </w:pPr>
    </w:p>
    <w:p w14:paraId="58AA21BC" w14:textId="77777777" w:rsidR="0019038E" w:rsidRDefault="0019038E" w:rsidP="0019038E">
      <w:pPr>
        <w:pStyle w:val="Heading3"/>
      </w:pPr>
      <w:bookmarkStart w:id="5" w:name="_Toc83751400"/>
      <w:r w:rsidRPr="002932E6">
        <w:t>1.1.2 Defining mycorrhizal symbioses</w:t>
      </w:r>
      <w:bookmarkEnd w:id="5"/>
    </w:p>
    <w:p w14:paraId="11DD16EC" w14:textId="77777777" w:rsidR="0019038E" w:rsidRPr="00EB599C" w:rsidRDefault="0019038E" w:rsidP="0019038E"/>
    <w:p w14:paraId="69C5053E" w14:textId="49CC93E9" w:rsidR="0019038E" w:rsidRPr="00A40541" w:rsidRDefault="0019038E" w:rsidP="002D650E">
      <w:pPr>
        <w:pStyle w:val="mythesis"/>
      </w:pPr>
      <w:r w:rsidRPr="00A40541">
        <w:t xml:space="preserve">The mycorrhizal symbiosis can be defined as an association formed between fungi and plants characterized by </w:t>
      </w:r>
      <w:r w:rsidRPr="00A23F97">
        <w:t>the reciprocal</w:t>
      </w:r>
      <w:r w:rsidRPr="00A40541">
        <w:t xml:space="preserve"> exchange of carbon (from the plant) and nutrients (from the fungus) </w:t>
      </w:r>
      <w:sdt>
        <w:sdtPr>
          <w:rPr>
            <w:color w:val="000000"/>
          </w:rPr>
          <w:tag w:val="MENDELEY_CITATION_v3_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"/>
          <w:id w:val="1172843573"/>
          <w:placeholder>
            <w:docPart w:val="4126063EBB940943BEF59DC61F8B67B4"/>
          </w:placeholder>
        </w:sdtPr>
        <w:sdtContent>
          <w:r w:rsidR="005E3F83" w:rsidRPr="005E3F83">
            <w:rPr>
              <w:color w:val="000000"/>
            </w:rPr>
            <w:t>(Miyasaka, 2003)</w:t>
          </w:r>
        </w:sdtContent>
      </w:sdt>
      <w:r w:rsidRPr="00A40541">
        <w:t xml:space="preserve">. </w:t>
      </w:r>
      <w:r w:rsidRPr="00A23F97">
        <w:t>Mycorrhiza is obligatory</w:t>
      </w:r>
      <w:r w:rsidRPr="00A40541">
        <w:t xml:space="preserve"> symbionts that rely on their host plants (up to 20% of fixed carbon) for the survival of carbon substrates </w:t>
      </w:r>
      <w:sdt>
        <w:sdtPr>
          <w:rPr>
            <w:color w:val="000000"/>
          </w:rPr>
          <w:tag w:val="MENDELEY_CITATION_v3_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"/>
          <w:id w:val="-629242063"/>
          <w:placeholder>
            <w:docPart w:val="C796E44BA29C7B49B74F3F722913E754"/>
          </w:placeholder>
        </w:sdtPr>
        <w:sdtContent>
          <w:r w:rsidR="005E3F83" w:rsidRPr="005E3F83">
            <w:rPr>
              <w:color w:val="000000"/>
            </w:rPr>
            <w:t>(Johns, 2014)</w:t>
          </w:r>
        </w:sdtContent>
      </w:sdt>
      <w:r w:rsidRPr="00A40541">
        <w:t xml:space="preserve">. In exchange, the fungi increase the host plant's supply of water and nutrients such as phosphate and nitrogen </w:t>
      </w:r>
      <w:r w:rsidRPr="00A23F97">
        <w:t>via extraradical and intraradical hyphae, arbuscules, and the root apoplast interface</w:t>
      </w:r>
      <w:sdt>
        <w:sdtPr>
          <w:rPr>
            <w:color w:val="000000"/>
          </w:rPr>
          <w:tag w:val="MENDELEY_CITATION_v3_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"/>
          <w:id w:val="1147558506"/>
          <w:placeholder>
            <w:docPart w:val="C796E44BA29C7B49B74F3F722913E754"/>
          </w:placeholder>
        </w:sdtPr>
        <w:sdtContent>
          <w:r w:rsidR="005E3F83" w:rsidRPr="005E3F83">
            <w:rPr>
              <w:color w:val="000000"/>
            </w:rPr>
            <w:t xml:space="preserve"> (Parniske, 2008).</w:t>
          </w:r>
        </w:sdtContent>
      </w:sdt>
    </w:p>
    <w:p w14:paraId="46670D7D" w14:textId="1A496983" w:rsidR="0019038E" w:rsidRPr="00A23F97" w:rsidRDefault="0019038E" w:rsidP="002D650E">
      <w:pPr>
        <w:pStyle w:val="mythesis"/>
      </w:pPr>
      <w:r w:rsidRPr="00A40541">
        <w:t xml:space="preserve"> In most cases, this can be considered as a mutualistic symbiotic relationship </w:t>
      </w:r>
      <w:sdt>
        <w:sdtPr>
          <w:rPr>
            <w:color w:val="000000"/>
          </w:rPr>
          <w:tag w:val="MENDELEY_CITATION_v3_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"/>
          <w:id w:val="973328478"/>
          <w:placeholder>
            <w:docPart w:val="C796E44BA29C7B49B74F3F722913E754"/>
          </w:placeholder>
        </w:sdtPr>
        <w:sdtContent>
          <w:r w:rsidR="005E3F83" w:rsidRPr="005E3F83">
            <w:rPr>
              <w:color w:val="000000"/>
            </w:rPr>
            <w:t>(Menge, 1983)</w:t>
          </w:r>
        </w:sdtContent>
      </w:sdt>
      <w:r w:rsidRPr="00A40541">
        <w:t xml:space="preserve">, however, in a minority of situations, such as those mycorrhizas formed by orchids, the nature of the symbiosis is less clear </w:t>
      </w:r>
      <w:sdt>
        <w:sdtPr>
          <w:rPr>
            <w:color w:val="000000"/>
          </w:rPr>
          <w:tag w:val="MENDELEY_CITATION_v3_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"/>
          <w:id w:val="-1790974503"/>
          <w:placeholder>
            <w:docPart w:val="C796E44BA29C7B49B74F3F722913E754"/>
          </w:placeholder>
        </w:sdtPr>
        <w:sdtContent>
          <w:r w:rsidR="005E3F83" w:rsidRPr="00A23F97">
            <w:rPr>
              <w:color w:val="000000"/>
            </w:rPr>
            <w:t>(Cameron et al., 2008)</w:t>
          </w:r>
        </w:sdtContent>
      </w:sdt>
      <w:r w:rsidRPr="00A23F97">
        <w:t xml:space="preserve">. The basis of the symbiosis is not purely nutritional, however; mycorrhizal fungi can elevate plant defenses and thus protect the plant from pathogens, lead to the preservation of the soil aggregation through exudation of the glycoprotein glomalin </w:t>
      </w:r>
      <w:sdt>
        <w:sdtPr>
          <w:tag w:val="MENDELEY_CITATION_v3_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"/>
          <w:id w:val="730431248"/>
          <w:placeholder>
            <w:docPart w:val="C796E44BA29C7B49B74F3F722913E754"/>
          </w:placeholder>
        </w:sdtPr>
        <w:sdtContent>
          <w:r w:rsidR="005E3F83" w:rsidRPr="00A23F97">
            <w:t>(Rillig &amp; Steinberg, 2002)</w:t>
          </w:r>
        </w:sdtContent>
      </w:sdt>
      <w:r w:rsidRPr="00A23F97">
        <w:t xml:space="preserve">, increase drought resistance through manipulation of the phytohormone abscisic acid (ABA) </w:t>
      </w:r>
      <w:sdt>
        <w:sdtPr>
          <w:rPr>
            <w:color w:val="000000"/>
          </w:rPr>
          <w:tag w:val="MENDELEY_CITATION_v3_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"/>
          <w:id w:val="-861659232"/>
          <w:placeholder>
            <w:docPart w:val="C796E44BA29C7B49B74F3F722913E754"/>
          </w:placeholder>
        </w:sdtPr>
        <w:sdtContent>
          <w:r w:rsidR="005E3F83" w:rsidRPr="00A23F97">
            <w:rPr>
              <w:color w:val="000000"/>
            </w:rPr>
            <w:t>(Cameron et al., 2013a)</w:t>
          </w:r>
        </w:sdtContent>
      </w:sdt>
      <w:r w:rsidRPr="00A23F97">
        <w:t xml:space="preserve"> as well as promoting nutrient capture. As a result of these multi-faceted benefits, it may be more appropriate to define the mycorrhizal symbiosis as “a sustainable non-pathogenic biotrophic interaction between a fungus and a root'' </w:t>
      </w:r>
      <w:sdt>
        <w:sdtPr>
          <w:rPr>
            <w:color w:val="000000"/>
          </w:rPr>
          <w:tag w:val="MENDELEY_CITATION_v3_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"/>
          <w:id w:val="-1768768480"/>
          <w:placeholder>
            <w:docPart w:val="C796E44BA29C7B49B74F3F722913E754"/>
          </w:placeholder>
        </w:sdtPr>
        <w:sdtContent>
          <w:r w:rsidR="005E3F83" w:rsidRPr="00A23F97">
            <w:rPr>
              <w:color w:val="000000"/>
            </w:rPr>
            <w:t>(Fitter and Moyersoen, 1996)</w:t>
          </w:r>
        </w:sdtContent>
      </w:sdt>
      <w:r w:rsidRPr="00A23F97">
        <w:t xml:space="preserve">. </w:t>
      </w:r>
    </w:p>
    <w:p w14:paraId="7A7D58D0" w14:textId="5F86E6D6" w:rsidR="0019038E" w:rsidRPr="00A23F97" w:rsidRDefault="0019038E" w:rsidP="002D650E">
      <w:pPr>
        <w:pStyle w:val="mythesis"/>
      </w:pPr>
      <w:r w:rsidRPr="00A23F97">
        <w:t xml:space="preserve">Mycorrhizas are formed by a diverse array of fungi falling into seven different functional classes; arbuscular, ectomycorrhiza, ectendomycorrhiza, ericoid, arbutoid, orchid and monotropoid </w:t>
      </w:r>
      <w:sdt>
        <w:sdtPr>
          <w:tag w:val="MENDELEY_CITATION_v3_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"/>
          <w:id w:val="-337157042"/>
          <w:placeholder>
            <w:docPart w:val="C796E44BA29C7B49B74F3F722913E754"/>
          </w:placeholder>
        </w:sdtPr>
        <w:sdtContent>
          <w:r w:rsidR="005E3F83" w:rsidRPr="00A23F97">
            <w:t>(Smith &amp; &amp; Read, 1997)</w:t>
          </w:r>
        </w:sdtContent>
      </w:sdt>
      <w:r w:rsidRPr="00A23F97">
        <w:t xml:space="preserve"> and this depends on the type of fungus that forms the complicated structures originated by this root-fungus association</w:t>
      </w:r>
      <w:r w:rsidRPr="004D3F76">
        <w:t>. In contrast</w:t>
      </w:r>
      <w:r w:rsidRPr="00A23F97">
        <w:t xml:space="preserve"> </w:t>
      </w:r>
      <w:sdt>
        <w:sdtPr>
          <w:rPr>
            <w:color w:val="000000"/>
          </w:rPr>
          <w:tag w:val="MENDELEY_CITATION_v3_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"/>
          <w:id w:val="537631063"/>
          <w:placeholder>
            <w:docPart w:val="C796E44BA29C7B49B74F3F722913E754"/>
          </w:placeholder>
        </w:sdtPr>
        <w:sdtContent>
          <w:r w:rsidR="005E3F83" w:rsidRPr="00A23F97">
            <w:rPr>
              <w:color w:val="000000"/>
            </w:rPr>
            <w:t>(Miyasaka, 2003)</w:t>
          </w:r>
        </w:sdtContent>
      </w:sdt>
      <w:r w:rsidRPr="00A23F97">
        <w:t xml:space="preserve"> limited the types of mycorrhizae just in two major groups; the ectomycorrhiza, formed by basidiomycete and ascomycete fungi that do not penetrate their host cell wall and endomycorrhizas, formed by fungi from Ascomycota, Glomeromycota and Endogonales that form biotrophic, intercellular structures which penetrate the host cell wall (but not the cell membrane </w:t>
      </w:r>
      <w:sdt>
        <w:sdtPr>
          <w:tag w:val="MENDELEY_CITATION_v3_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"/>
          <w:id w:val="2130661876"/>
          <w:placeholder>
            <w:docPart w:val="C796E44BA29C7B49B74F3F722913E754"/>
          </w:placeholder>
        </w:sdtPr>
        <w:sdtContent>
          <w:r w:rsidR="005E3F83" w:rsidRPr="00A23F97">
            <w:t>(Smith &amp; &amp; Read, 1997)</w:t>
          </w:r>
        </w:sdtContent>
      </w:sdt>
      <w:r w:rsidRPr="00A23F97">
        <w:t>.</w:t>
      </w:r>
    </w:p>
    <w:p w14:paraId="35C50CB0" w14:textId="7249A8BD" w:rsidR="0019038E" w:rsidRPr="002932E6" w:rsidRDefault="00000000" w:rsidP="002D650E">
      <w:pPr>
        <w:pStyle w:val="mythesis"/>
      </w:pPr>
      <w:sdt>
        <w:sdtPr>
          <w:rPr>
            <w:color w:val="000000"/>
          </w:rPr>
          <w:tag w:val="MENDELEY_CITATION_v3_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"/>
          <w:id w:val="718787920"/>
          <w:placeholder>
            <w:docPart w:val="C796E44BA29C7B49B74F3F722913E754"/>
          </w:placeholder>
        </w:sdtPr>
        <w:sdtContent>
          <w:r w:rsidR="005E3F83" w:rsidRPr="00A23F97">
            <w:rPr>
              <w:color w:val="000000"/>
            </w:rPr>
            <w:t>(Tisdale et al., 1995)</w:t>
          </w:r>
        </w:sdtContent>
      </w:sdt>
      <w:r w:rsidR="0019038E" w:rsidRPr="00A23F97">
        <w:t xml:space="preserve"> recorded the types of Mycorrhizae classified based on their morphological and physiological characteristics, including the ectomycorrhiza and </w:t>
      </w:r>
      <w:r w:rsidR="0019038E" w:rsidRPr="00A23F97">
        <w:lastRenderedPageBreak/>
        <w:t xml:space="preserve">endomycorrhiza. The ectomycorrhiza has the external sheath and this fungal cell penetrates between the area of the epidermis cells and the first external cells of the cortex and epidermis cells with the fungal hyphae, usually in the roots of forest trees, called the Hartig net. However, the endomycorrhizae do not have a sheath in, and instead infects the root system of most crops and often attacks many layers of the outer root cortex. The hyphae of the arbuscular mycorrhizal fungi (AMF) enter to the individual plant cells after which they develop arbuscules inside the cells. Both the extracellular Hartig net and intercellular arbuscules are considered to be the primary sites of carbon for nutrient exchange </w:t>
      </w:r>
      <w:sdt>
        <w:sdtPr>
          <w:tag w:val="MENDELEY_CITATION_v3_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"/>
          <w:id w:val="-2118355779"/>
          <w:placeholder>
            <w:docPart w:val="C796E44BA29C7B49B74F3F722913E754"/>
          </w:placeholder>
        </w:sdtPr>
        <w:sdtContent>
          <w:r w:rsidR="005E3F83" w:rsidRPr="00A23F97">
            <w:t>(Smith &amp; &amp; Read, 1997)</w:t>
          </w:r>
        </w:sdtContent>
      </w:sdt>
      <w:r w:rsidR="0019038E" w:rsidRPr="00A23F97">
        <w:t xml:space="preserve">. AMF also form storage vesicles outside their host cells and from these structures that their original name, vesicular-arbuscular mycorrhiza, was taken </w:t>
      </w:r>
      <w:sdt>
        <w:sdtPr>
          <w:rPr>
            <w:color w:val="000000"/>
          </w:rPr>
          <w:tag w:val="MENDELEY_CITATION_v3_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"/>
          <w:id w:val="-978450019"/>
          <w:placeholder>
            <w:docPart w:val="C796E44BA29C7B49B74F3F722913E754"/>
          </w:placeholder>
        </w:sdtPr>
        <w:sdtContent>
          <w:r w:rsidR="005E3F83" w:rsidRPr="00A23F97">
            <w:rPr>
              <w:color w:val="000000"/>
            </w:rPr>
            <w:t>(Tisdale et al., 1995)</w:t>
          </w:r>
        </w:sdtContent>
      </w:sdt>
      <w:r w:rsidR="0019038E" w:rsidRPr="00A23F97">
        <w:t xml:space="preserve">. Recognition that vesicles were not a universal feature of the symbiosis let to the change in nomenclature to simply arbuscular mycorrhiza </w:t>
      </w:r>
      <w:sdt>
        <w:sdtPr>
          <w:tag w:val="MENDELEY_CITATION_v3_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"/>
          <w:id w:val="1558978736"/>
          <w:placeholder>
            <w:docPart w:val="C796E44BA29C7B49B74F3F722913E754"/>
          </w:placeholder>
        </w:sdtPr>
        <w:sdtContent>
          <w:r w:rsidR="005E3F83" w:rsidRPr="00A23F97">
            <w:t>(Smith &amp; Read, 2008)</w:t>
          </w:r>
        </w:sdtContent>
      </w:sdt>
      <w:r w:rsidR="0019038E" w:rsidRPr="00A23F97">
        <w:t>.</w:t>
      </w:r>
    </w:p>
    <w:p w14:paraId="63848FC8" w14:textId="0276810A" w:rsidR="0019038E" w:rsidRPr="00A23F97" w:rsidRDefault="0019038E" w:rsidP="002D650E">
      <w:pPr>
        <w:pStyle w:val="mythesis"/>
      </w:pPr>
      <w:r w:rsidRPr="002932E6">
        <w:t xml:space="preserve">Around 80 % of all plant species are involved in this Mycorrhizal association </w:t>
      </w:r>
      <w:sdt>
        <w:sdtPr>
          <w:tag w:val="MENDELEY_CITATION_v3_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"/>
          <w:id w:val="838655593"/>
          <w:placeholder>
            <w:docPart w:val="C796E44BA29C7B49B74F3F722913E754"/>
          </w:placeholder>
        </w:sdtPr>
        <w:sdtContent>
          <w:r w:rsidR="005E3F83">
            <w:t>(Smith &amp; Read, 2008)</w:t>
          </w:r>
        </w:sdtContent>
      </w:sdt>
      <w:r w:rsidRPr="002932E6">
        <w:t xml:space="preserve">. Most plants can be found sharing in this relationship simultaneously with a range </w:t>
      </w:r>
      <w:r w:rsidRPr="00A23F97">
        <w:t>of other endomycorrhizal fungi species.</w:t>
      </w:r>
      <w:r w:rsidRPr="002932E6">
        <w:t xml:space="preserve"> An additional feature of the AMF is that they are obligate biotrophs, requiring an association with the root of the plant because </w:t>
      </w:r>
      <w:r w:rsidRPr="00A23F97">
        <w:t>they cannot be grown in a pure culture.</w:t>
      </w:r>
      <w:bookmarkStart w:id="6" w:name="_Toc381553516"/>
    </w:p>
    <w:p w14:paraId="6F8CCF4F" w14:textId="77777777" w:rsidR="0019038E" w:rsidRPr="00EB599C" w:rsidRDefault="0019038E" w:rsidP="0019038E">
      <w:pPr>
        <w:pStyle w:val="Heading3"/>
      </w:pPr>
      <w:bookmarkStart w:id="7" w:name="_Toc83751401"/>
      <w:r w:rsidRPr="00EB599C">
        <w:t>1.1.3 The Arbuscular Mycorrhizal fungi (AMF)</w:t>
      </w:r>
      <w:bookmarkEnd w:id="7"/>
    </w:p>
    <w:p w14:paraId="07F9F9DF" w14:textId="77777777" w:rsidR="0019038E" w:rsidRPr="00EB599C" w:rsidRDefault="0019038E" w:rsidP="0019038E"/>
    <w:p w14:paraId="1BF39058" w14:textId="5B160A97" w:rsidR="0019038E" w:rsidRPr="002932E6" w:rsidRDefault="0019038E" w:rsidP="00544843">
      <w:pPr>
        <w:pStyle w:val="mythesis"/>
        <w:rPr>
          <w:b/>
          <w:i/>
        </w:rPr>
      </w:pPr>
      <w:r w:rsidRPr="002932E6">
        <w:rPr>
          <w:u w:color="000000"/>
          <w:lang w:val="en-GB"/>
        </w:rPr>
        <w:t xml:space="preserve">Arbuscular Mycorrhizal fungi are one of the most ancient organisms that have been classified as an obligate symbiotic relationship and they colonize most soils, including agricultural land, the world over </w:t>
      </w:r>
      <w:sdt>
        <w:sdtPr>
          <w:rPr>
            <w:color w:val="000000"/>
            <w:u w:color="000000"/>
            <w:lang w:val="en-GB"/>
          </w:rPr>
          <w:tag w:val="MENDELEY_CITATION_v3_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"/>
          <w:id w:val="1400552734"/>
          <w:placeholder>
            <w:docPart w:val="C796E44BA29C7B49B74F3F722913E754"/>
          </w:placeholder>
        </w:sdtPr>
        <w:sdtContent>
          <w:r w:rsidR="005E3F83" w:rsidRPr="005E3F83">
            <w:rPr>
              <w:color w:val="000000"/>
              <w:u w:color="000000"/>
              <w:lang w:val="en-GB"/>
            </w:rPr>
            <w:t>(Field et al., 2012)</w:t>
          </w:r>
        </w:sdtContent>
      </w:sdt>
      <w:r w:rsidRPr="002932E6">
        <w:rPr>
          <w:u w:color="000000"/>
          <w:lang w:val="en-GB"/>
        </w:rPr>
        <w:t xml:space="preserve">. The in terms of human benefit, the importance of the AMF appears from their ability to build a beneficial association with a wide range of crop species </w:t>
      </w:r>
      <w:sdt>
        <w:sdtPr>
          <w:rPr>
            <w:color w:val="000000"/>
            <w:u w:color="000000"/>
            <w:lang w:val="en-GB"/>
          </w:rPr>
          <w:tag w:val="MENDELEY_CITATION_v3_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"/>
          <w:id w:val="-591088894"/>
          <w:placeholder>
            <w:docPart w:val="C796E44BA29C7B49B74F3F722913E754"/>
          </w:placeholder>
        </w:sdtPr>
        <w:sdtContent>
          <w:r w:rsidR="005E3F83" w:rsidRPr="005E3F83">
            <w:rPr>
              <w:color w:val="000000"/>
              <w:u w:color="000000"/>
              <w:lang w:val="en-GB"/>
            </w:rPr>
            <w:t>(Burni et al., 2011)</w:t>
          </w:r>
        </w:sdtContent>
      </w:sdt>
      <w:r w:rsidRPr="002932E6">
        <w:rPr>
          <w:u w:color="000000"/>
          <w:lang w:val="en-GB"/>
        </w:rPr>
        <w:t xml:space="preserve">, provisioning them with nutrients and representing a potential alternative to traditional chemical fertilizers. </w:t>
      </w:r>
      <w:sdt>
        <w:sdtPr>
          <w:rPr>
            <w:u w:color="000000"/>
            <w:lang w:val="en-GB"/>
          </w:rPr>
          <w:tag w:val="MENDELEY_CITATION_v3_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"/>
          <w:id w:val="356167812"/>
          <w:placeholder>
            <w:docPart w:val="C796E44BA29C7B49B74F3F722913E754"/>
          </w:placeholder>
        </w:sdtPr>
        <w:sdtContent>
          <w:r w:rsidR="005E3F83">
            <w:t>(Smith &amp; &amp; Read, 1997)</w:t>
          </w:r>
        </w:sdtContent>
      </w:sdt>
      <w:r w:rsidRPr="002932E6">
        <w:rPr>
          <w:u w:color="000000"/>
          <w:lang w:val="en-GB"/>
        </w:rPr>
        <w:t xml:space="preserve"> suggested that around two-thirds of land plants form this type of fungi in the association while </w:t>
      </w:r>
      <w:sdt>
        <w:sdtPr>
          <w:rPr>
            <w:color w:val="000000"/>
            <w:u w:color="000000"/>
            <w:lang w:val="en-GB"/>
          </w:rPr>
          <w:tag w:val="MENDELEY_CITATION_v3_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"/>
          <w:id w:val="-302380833"/>
          <w:placeholder>
            <w:docPart w:val="C796E44BA29C7B49B74F3F722913E754"/>
          </w:placeholder>
        </w:sdtPr>
        <w:sdtContent>
          <w:r w:rsidR="005E3F83" w:rsidRPr="005E3F83">
            <w:rPr>
              <w:color w:val="000000"/>
              <w:u w:color="000000"/>
              <w:lang w:val="en-GB"/>
            </w:rPr>
            <w:t>(Cairney, 2000)</w:t>
          </w:r>
        </w:sdtContent>
      </w:sdt>
      <w:r w:rsidRPr="002932E6">
        <w:rPr>
          <w:u w:color="000000"/>
          <w:lang w:val="en-GB"/>
        </w:rPr>
        <w:t xml:space="preserve"> recorded that 90% of plant species across the globe engage in mutualistic symbioses with the AMF. Moreover, </w:t>
      </w:r>
      <w:sdt>
        <w:sdtPr>
          <w:rPr>
            <w:color w:val="000000"/>
            <w:u w:color="000000"/>
            <w:lang w:val="en-GB"/>
          </w:rPr>
          <w:tag w:val="MENDELEY_CITATION_v3_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"/>
          <w:id w:val="2083488110"/>
          <w:placeholder>
            <w:docPart w:val="C796E44BA29C7B49B74F3F722913E754"/>
          </w:placeholder>
        </w:sdtPr>
        <w:sdtContent>
          <w:r w:rsidR="005E3F83" w:rsidRPr="005E3F83">
            <w:rPr>
              <w:color w:val="000000"/>
              <w:u w:color="000000"/>
              <w:lang w:val="en-GB"/>
            </w:rPr>
            <w:t>(Olsson et al., 1999)</w:t>
          </w:r>
        </w:sdtContent>
      </w:sdt>
      <w:r w:rsidRPr="002932E6">
        <w:rPr>
          <w:u w:color="000000"/>
          <w:lang w:val="en-GB"/>
        </w:rPr>
        <w:t xml:space="preserve"> recorded that the AMF can form a staggering 50% of the biomass of the soil microbes.</w:t>
      </w:r>
    </w:p>
    <w:p w14:paraId="69F53983" w14:textId="77777777" w:rsidR="0019038E" w:rsidRPr="002932E6" w:rsidRDefault="0019038E" w:rsidP="0019038E">
      <w:pPr>
        <w:spacing w:afterLines="280" w:after="672" w:line="360" w:lineRule="auto"/>
        <w:jc w:val="lowKashida"/>
        <w:rPr>
          <w:color w:val="000000" w:themeColor="text1"/>
          <w:lang w:val="en-GB"/>
        </w:rPr>
      </w:pPr>
    </w:p>
    <w:p w14:paraId="7FAC439B" w14:textId="77777777" w:rsidR="0019038E" w:rsidRDefault="0019038E" w:rsidP="0019038E">
      <w:pPr>
        <w:pStyle w:val="Heading3"/>
        <w:rPr>
          <w:lang w:val="en-GB"/>
        </w:rPr>
      </w:pPr>
      <w:bookmarkStart w:id="8" w:name="_Toc83751402"/>
      <w:bookmarkEnd w:id="6"/>
      <w:r w:rsidRPr="002932E6">
        <w:rPr>
          <w:lang w:val="en-GB"/>
        </w:rPr>
        <w:lastRenderedPageBreak/>
        <w:t>1.1.4 Arbuscular mycorrhizal fungal history</w:t>
      </w:r>
      <w:bookmarkEnd w:id="8"/>
    </w:p>
    <w:p w14:paraId="0EAA9C87" w14:textId="77777777" w:rsidR="0019038E" w:rsidRPr="00EB599C" w:rsidRDefault="0019038E" w:rsidP="0019038E">
      <w:pPr>
        <w:rPr>
          <w:lang w:val="en-GB"/>
        </w:rPr>
      </w:pPr>
    </w:p>
    <w:p w14:paraId="4243AD67" w14:textId="616F31E3" w:rsidR="0019038E" w:rsidRPr="00EB599C" w:rsidRDefault="0019038E" w:rsidP="00544843">
      <w:pPr>
        <w:pStyle w:val="mythesis"/>
      </w:pPr>
      <w:r w:rsidRPr="002932E6">
        <w:rPr>
          <w:shd w:val="clear" w:color="auto" w:fill="FFFFFF"/>
        </w:rPr>
        <w:t xml:space="preserve">This relationship originated from ancient times and was provides through </w:t>
      </w:r>
      <w:r w:rsidRPr="002932E6">
        <w:t xml:space="preserve">fossil evidence and phylogenetic analyses </w:t>
      </w:r>
      <w:sdt>
        <w:sdtPr>
          <w:rPr>
            <w:color w:val="000000"/>
          </w:rPr>
          <w:tag w:val="MENDELEY_CITATION_v3_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"/>
          <w:id w:val="672841875"/>
          <w:placeholder>
            <w:docPart w:val="C796E44BA29C7B49B74F3F722913E754"/>
          </w:placeholder>
        </w:sdtPr>
        <w:sdtEndPr>
          <w:rPr>
            <w:color w:val="000000" w:themeColor="text1"/>
          </w:rPr>
        </w:sdtEndPr>
        <w:sdtContent>
          <w:r w:rsidR="005E3F83" w:rsidRPr="005E3F83">
            <w:rPr>
              <w:color w:val="000000"/>
            </w:rPr>
            <w:t>(Field et al., 2012)</w:t>
          </w:r>
          <w:r w:rsidR="004603FE" w:rsidRPr="006D5128">
            <w:t>.</w:t>
          </w:r>
        </w:sdtContent>
      </w:sdt>
      <w:r w:rsidRPr="006D5128">
        <w:t>T</w:t>
      </w:r>
      <w:r w:rsidRPr="002932E6">
        <w:t xml:space="preserve">he arbuscular mycorrhizal fungi (phylum Glomeromycota) are one of the oldest of terrestrial organisms. Recent reports using phylogenetic and fossil evidence date AMF back to the Ordovician era (460 million years ago) </w:t>
      </w:r>
      <w:sdt>
        <w:sdtPr>
          <w:rPr>
            <w:color w:val="000000"/>
          </w:rPr>
          <w:tag w:val="MENDELEY_CITATION_v3_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"/>
          <w:id w:val="1082342890"/>
          <w:placeholder>
            <w:docPart w:val="C796E44BA29C7B49B74F3F722913E754"/>
          </w:placeholder>
        </w:sdtPr>
        <w:sdtContent>
          <w:r w:rsidR="005E3F83" w:rsidRPr="005E3F83">
            <w:rPr>
              <w:color w:val="000000"/>
            </w:rPr>
            <w:t>(Redecker, 2000)</w:t>
          </w:r>
        </w:sdtContent>
      </w:sdt>
      <w:r w:rsidRPr="002932E6">
        <w:t xml:space="preserve">. This places the emergence of the Glomeromycota between 1200 and 1400 million years ago based on molecular clock data </w:t>
      </w:r>
      <w:sdt>
        <w:sdtPr>
          <w:rPr>
            <w:color w:val="000000"/>
          </w:rPr>
          <w:tag w:val="MENDELEY_CITATION_v3_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"/>
          <w:id w:val="955995841"/>
          <w:placeholder>
            <w:docPart w:val="C796E44BA29C7B49B74F3F722913E754"/>
          </w:placeholder>
        </w:sdtPr>
        <w:sdtContent>
          <w:r w:rsidR="005E3F83" w:rsidRPr="005E3F83">
            <w:rPr>
              <w:color w:val="000000"/>
            </w:rPr>
            <w:t>(Heckman, 2001)</w:t>
          </w:r>
        </w:sdtContent>
      </w:sdt>
      <w:r w:rsidRPr="002932E6">
        <w:t xml:space="preserve">. Moreover, </w:t>
      </w:r>
      <w:sdt>
        <w:sdtPr>
          <w:rPr>
            <w:color w:val="000000"/>
          </w:rPr>
          <w:tag w:val="MENDELEY_CITATION_v3_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"/>
          <w:id w:val="1095672229"/>
          <w:placeholder>
            <w:docPart w:val="C796E44BA29C7B49B74F3F722913E754"/>
          </w:placeholder>
        </w:sdtPr>
        <w:sdtContent>
          <w:r w:rsidR="005E3F83" w:rsidRPr="005E3F83">
            <w:rPr>
              <w:color w:val="000000"/>
            </w:rPr>
            <w:t>(Cairney, 2000)</w:t>
          </w:r>
        </w:sdtContent>
      </w:sdt>
      <w:r w:rsidRPr="002932E6">
        <w:t xml:space="preserve"> used AMF fossil and the molecular clock dating to imply that all the ancestral state of land plants was in partnership with AMF and today, most plants still form AM associations (</w:t>
      </w:r>
      <w:r>
        <w:t>Figure</w:t>
      </w:r>
      <w:r w:rsidRPr="002932E6">
        <w:t>1.1).</w:t>
      </w:r>
    </w:p>
    <w:p w14:paraId="39601166" w14:textId="77777777" w:rsidR="0019038E" w:rsidRDefault="0019038E" w:rsidP="0019038E">
      <w:pPr>
        <w:pStyle w:val="Caption"/>
        <w:keepNext/>
        <w:spacing w:afterLines="280" w:after="672" w:line="360" w:lineRule="auto"/>
        <w:jc w:val="lowKashida"/>
      </w:pPr>
      <w:r w:rsidRPr="002932E6">
        <w:rPr>
          <w:noProof/>
          <w:color w:val="000000" w:themeColor="text1"/>
          <w:sz w:val="24"/>
          <w:szCs w:val="24"/>
          <w:lang w:val="en-GB" w:eastAsia="en-GB"/>
        </w:rPr>
        <w:drawing>
          <wp:inline distT="0" distB="0" distL="0" distR="0" wp14:anchorId="44A5EA48" wp14:editId="2C19B535">
            <wp:extent cx="6062117" cy="2892256"/>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srcRect/>
                    <a:stretch>
                      <a:fillRect/>
                    </a:stretch>
                  </pic:blipFill>
                  <pic:spPr bwMode="auto">
                    <a:xfrm>
                      <a:off x="0" y="0"/>
                      <a:ext cx="6067788" cy="2894961"/>
                    </a:xfrm>
                    <a:prstGeom prst="rect">
                      <a:avLst/>
                    </a:prstGeom>
                    <a:noFill/>
                    <a:ln w="9525">
                      <a:noFill/>
                      <a:miter lim="800000"/>
                      <a:headEnd/>
                      <a:tailEnd/>
                    </a:ln>
                  </pic:spPr>
                </pic:pic>
              </a:graphicData>
            </a:graphic>
          </wp:inline>
        </w:drawing>
      </w:r>
    </w:p>
    <w:p w14:paraId="35884CBF" w14:textId="6BE20D24" w:rsidR="0019038E" w:rsidRPr="00C60F17" w:rsidRDefault="0019038E" w:rsidP="0019038E">
      <w:pPr>
        <w:pStyle w:val="Caption"/>
        <w:jc w:val="lowKashida"/>
        <w:rPr>
          <w:color w:val="000000" w:themeColor="text1"/>
          <w:sz w:val="20"/>
          <w:szCs w:val="20"/>
          <w:lang w:val="en-GB"/>
        </w:rPr>
      </w:pPr>
      <w:bookmarkStart w:id="9" w:name="_Toc83751342"/>
      <w:r w:rsidRPr="00ED12B1">
        <w:rPr>
          <w:b w:val="0"/>
          <w:bCs w:val="0"/>
        </w:rPr>
        <w:t xml:space="preserve">Figure </w:t>
      </w:r>
      <w:r w:rsidR="00843EDC">
        <w:rPr>
          <w:b w:val="0"/>
          <w:bCs w:val="0"/>
        </w:rPr>
        <w:fldChar w:fldCharType="begin"/>
      </w:r>
      <w:r w:rsidR="00843EDC">
        <w:rPr>
          <w:b w:val="0"/>
          <w:bCs w:val="0"/>
        </w:rPr>
        <w:instrText xml:space="preserve"> STYLEREF 1 \s </w:instrText>
      </w:r>
      <w:r w:rsidR="00843EDC">
        <w:rPr>
          <w:b w:val="0"/>
          <w:bCs w:val="0"/>
        </w:rPr>
        <w:fldChar w:fldCharType="separate"/>
      </w:r>
      <w:r w:rsidR="00843EDC">
        <w:rPr>
          <w:b w:val="0"/>
          <w:bCs w:val="0"/>
          <w:noProof/>
          <w:cs/>
        </w:rPr>
        <w:t>‎</w:t>
      </w:r>
      <w:r w:rsidR="00843EDC">
        <w:rPr>
          <w:b w:val="0"/>
          <w:bCs w:val="0"/>
          <w:noProof/>
        </w:rPr>
        <w:t>1</w:t>
      </w:r>
      <w:r w:rsidR="00843EDC">
        <w:rPr>
          <w:b w:val="0"/>
          <w:bCs w:val="0"/>
        </w:rPr>
        <w:fldChar w:fldCharType="end"/>
      </w:r>
      <w:r w:rsidR="00843EDC">
        <w:rPr>
          <w:b w:val="0"/>
          <w:bCs w:val="0"/>
        </w:rPr>
        <w:t>.</w:t>
      </w:r>
      <w:r w:rsidR="00843EDC">
        <w:rPr>
          <w:b w:val="0"/>
          <w:bCs w:val="0"/>
        </w:rPr>
        <w:fldChar w:fldCharType="begin"/>
      </w:r>
      <w:r w:rsidR="00843EDC">
        <w:rPr>
          <w:b w:val="0"/>
          <w:bCs w:val="0"/>
        </w:rPr>
        <w:instrText xml:space="preserve"> SEQ Figure \* ARABIC \s 1 </w:instrText>
      </w:r>
      <w:r w:rsidR="00843EDC">
        <w:rPr>
          <w:b w:val="0"/>
          <w:bCs w:val="0"/>
        </w:rPr>
        <w:fldChar w:fldCharType="separate"/>
      </w:r>
      <w:r w:rsidR="00843EDC">
        <w:rPr>
          <w:b w:val="0"/>
          <w:bCs w:val="0"/>
          <w:noProof/>
        </w:rPr>
        <w:t>1</w:t>
      </w:r>
      <w:r w:rsidR="00843EDC">
        <w:rPr>
          <w:b w:val="0"/>
          <w:bCs w:val="0"/>
        </w:rPr>
        <w:fldChar w:fldCharType="end"/>
      </w:r>
      <w:r>
        <w:t xml:space="preserve"> </w:t>
      </w:r>
      <w:r w:rsidRPr="00C60F17">
        <w:rPr>
          <w:b w:val="0"/>
          <w:bCs w:val="0"/>
          <w:color w:val="000000" w:themeColor="text1"/>
          <w:sz w:val="20"/>
          <w:szCs w:val="20"/>
        </w:rPr>
        <w:t xml:space="preserve">Evidence and possible geological times for evolution of the three main mycorrhiza types (reproduced from </w:t>
      </w:r>
      <w:sdt>
        <w:sdtPr>
          <w:rPr>
            <w:b w:val="0"/>
            <w:bCs w:val="0"/>
            <w:color w:val="000000"/>
            <w:sz w:val="20"/>
            <w:szCs w:val="20"/>
          </w:rPr>
          <w:tag w:val="MENDELEY_CITATION_v3_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"/>
          <w:id w:val="-940913009"/>
          <w:placeholder>
            <w:docPart w:val="569D9F6B4E83544288B201F5A2ED5F5B"/>
          </w:placeholder>
        </w:sdtPr>
        <w:sdtContent>
          <w:r w:rsidR="005E3F83" w:rsidRPr="005E3F83">
            <w:rPr>
              <w:b w:val="0"/>
              <w:bCs w:val="0"/>
              <w:color w:val="000000"/>
              <w:sz w:val="20"/>
              <w:szCs w:val="20"/>
            </w:rPr>
            <w:t>Cairney, 2000).</w:t>
          </w:r>
        </w:sdtContent>
      </w:sdt>
      <w:bookmarkEnd w:id="9"/>
    </w:p>
    <w:p w14:paraId="48F51B4B" w14:textId="509F274A" w:rsidR="0019038E" w:rsidRDefault="0019038E" w:rsidP="0019038E">
      <w:pPr>
        <w:spacing w:afterLines="280" w:after="672" w:line="360" w:lineRule="auto"/>
        <w:jc w:val="lowKashida"/>
        <w:rPr>
          <w:color w:val="000000" w:themeColor="text1"/>
          <w:u w:color="000000"/>
          <w:lang w:val="en-GB"/>
        </w:rPr>
      </w:pPr>
    </w:p>
    <w:p w14:paraId="04B32611" w14:textId="5729199C" w:rsidR="00FC7445" w:rsidRDefault="00FC7445" w:rsidP="0019038E">
      <w:pPr>
        <w:spacing w:afterLines="280" w:after="672" w:line="360" w:lineRule="auto"/>
        <w:jc w:val="lowKashida"/>
        <w:rPr>
          <w:color w:val="000000" w:themeColor="text1"/>
          <w:u w:color="000000"/>
          <w:lang w:val="en-GB"/>
        </w:rPr>
      </w:pPr>
    </w:p>
    <w:p w14:paraId="5EC84A7D" w14:textId="77777777" w:rsidR="00FC7445" w:rsidRPr="002932E6" w:rsidRDefault="00FC7445" w:rsidP="0019038E">
      <w:pPr>
        <w:spacing w:afterLines="280" w:after="672" w:line="360" w:lineRule="auto"/>
        <w:jc w:val="lowKashida"/>
        <w:rPr>
          <w:color w:val="000000" w:themeColor="text1"/>
          <w:u w:color="000000"/>
          <w:lang w:val="en-GB"/>
        </w:rPr>
      </w:pPr>
    </w:p>
    <w:p w14:paraId="7E24F943" w14:textId="4ED19C6D" w:rsidR="0019038E" w:rsidRDefault="0019038E" w:rsidP="0019038E">
      <w:pPr>
        <w:pStyle w:val="Heading3"/>
        <w:rPr>
          <w:lang w:val="en-GB"/>
        </w:rPr>
      </w:pPr>
      <w:bookmarkStart w:id="10" w:name="_Toc83751403"/>
      <w:bookmarkStart w:id="11" w:name="_Toc381553518"/>
      <w:r w:rsidRPr="002932E6">
        <w:lastRenderedPageBreak/>
        <w:t xml:space="preserve">1.1.5 </w:t>
      </w:r>
      <w:r w:rsidRPr="002932E6">
        <w:rPr>
          <w:lang w:val="en-GB"/>
        </w:rPr>
        <w:t>The relationship between mycorrhizal fungi and their host plant</w:t>
      </w:r>
      <w:bookmarkEnd w:id="10"/>
    </w:p>
    <w:p w14:paraId="5A6ADCA2" w14:textId="77777777" w:rsidR="00FC7445" w:rsidRPr="00FC7445" w:rsidRDefault="00FC7445" w:rsidP="00FC7445">
      <w:pPr>
        <w:rPr>
          <w:lang w:val="en-GB"/>
        </w:rPr>
      </w:pPr>
    </w:p>
    <w:p w14:paraId="6B7B8A8E" w14:textId="3B6C8E67" w:rsidR="0019038E" w:rsidRPr="002932E6" w:rsidRDefault="0019038E" w:rsidP="00FC7445">
      <w:pPr>
        <w:pStyle w:val="mythesis"/>
      </w:pPr>
      <w:r w:rsidRPr="002932E6">
        <w:rPr>
          <w:shd w:val="clear" w:color="auto" w:fill="FFFFFF"/>
        </w:rPr>
        <w:t xml:space="preserve">One of the most useful symbiotic relationship of the plant is its symbiotic relationship with arbuscular mycorrhizal fungi (AMF). this fungus is one of the soil fungi which can form the mutualistic symbiotic relationship and this relationship plays an important role in plant nutrition, because its increases the nutrient uptake, biomass growth, yield quality, productivity and resistance of plant </w:t>
      </w:r>
      <w:sdt>
        <w:sdtPr>
          <w:rPr>
            <w:color w:val="000000"/>
            <w:shd w:val="clear" w:color="auto" w:fill="FFFFFF"/>
          </w:rPr>
          <w:tag w:val="MENDELEY_CITATION_v3_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"/>
          <w:id w:val="885147809"/>
          <w:placeholder>
            <w:docPart w:val="C796E44BA29C7B49B74F3F722913E754"/>
          </w:placeholder>
        </w:sdtPr>
        <w:sdtContent>
          <w:r w:rsidR="005E3F83" w:rsidRPr="005E3F83">
            <w:rPr>
              <w:color w:val="000000"/>
              <w:shd w:val="clear" w:color="auto" w:fill="FFFFFF"/>
            </w:rPr>
            <w:t>(Yang et al., 2011)</w:t>
          </w:r>
        </w:sdtContent>
      </w:sdt>
      <w:r w:rsidRPr="002932E6">
        <w:rPr>
          <w:shd w:val="clear" w:color="auto" w:fill="FFFFFF"/>
        </w:rPr>
        <w:t xml:space="preserve">. AMF also has the ability to enhance photosynthetic capability of the plant </w:t>
      </w:r>
      <w:sdt>
        <w:sdtPr>
          <w:rPr>
            <w:color w:val="000000"/>
            <w:shd w:val="clear" w:color="auto" w:fill="FFFFFF"/>
          </w:rPr>
          <w:tag w:val="MENDELEY_CITATION_v3_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"/>
          <w:id w:val="-1166314478"/>
          <w:placeholder>
            <w:docPart w:val="C796E44BA29C7B49B74F3F722913E754"/>
          </w:placeholder>
        </w:sdtPr>
        <w:sdtContent>
          <w:r w:rsidR="005E3F83" w:rsidRPr="005E3F83">
            <w:rPr>
              <w:color w:val="000000"/>
              <w:shd w:val="clear" w:color="auto" w:fill="FFFFFF"/>
            </w:rPr>
            <w:t>(Xie et al., 2014)</w:t>
          </w:r>
        </w:sdtContent>
      </w:sdt>
      <w:r w:rsidRPr="002932E6">
        <w:rPr>
          <w:shd w:val="clear" w:color="auto" w:fill="FFFFFF"/>
        </w:rPr>
        <w:t xml:space="preserve"> and regulate accumulation of osmoregulation and water levels </w:t>
      </w:r>
      <w:sdt>
        <w:sdtPr>
          <w:rPr>
            <w:color w:val="000000"/>
            <w:shd w:val="clear" w:color="auto" w:fill="FFFFFF"/>
          </w:rPr>
          <w:tag w:val="MENDELEY_CITATION_v3_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"/>
          <w:id w:val="-1805610195"/>
          <w:placeholder>
            <w:docPart w:val="C796E44BA29C7B49B74F3F722913E754"/>
          </w:placeholder>
        </w:sdtPr>
        <w:sdtContent>
          <w:r w:rsidR="005E3F83" w:rsidRPr="005E3F83">
            <w:rPr>
              <w:color w:val="000000"/>
              <w:shd w:val="clear" w:color="auto" w:fill="FFFFFF"/>
            </w:rPr>
            <w:t>(Zhu et al., 2010)</w:t>
          </w:r>
        </w:sdtContent>
      </w:sdt>
      <w:r w:rsidRPr="002932E6">
        <w:rPr>
          <w:shd w:val="clear" w:color="auto" w:fill="FFFFFF"/>
        </w:rPr>
        <w:t xml:space="preserve">. this soil fungi product structures as vesicles, arbuscules and hyphae </w:t>
      </w:r>
      <w:sdt>
        <w:sdtPr>
          <w:rPr>
            <w:shd w:val="clear" w:color="auto" w:fill="FFFFFF"/>
          </w:rPr>
          <w:tag w:val="MENDELEY_CITATION_v3_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"/>
          <w:id w:val="705219695"/>
          <w:placeholder>
            <w:docPart w:val="C796E44BA29C7B49B74F3F722913E754"/>
          </w:placeholder>
        </w:sdtPr>
        <w:sdtEndPr>
          <w:rPr>
            <w:shd w:val="clear" w:color="auto" w:fill="auto"/>
          </w:rPr>
        </w:sdtEndPr>
        <w:sdtContent>
          <w:r w:rsidR="005E3F83">
            <w:t>(Koide &amp; Mosse, 2004; Schüβler et al., 2001; Walker &amp; Schler, 2004)</w:t>
          </w:r>
        </w:sdtContent>
      </w:sdt>
      <w:r w:rsidRPr="002932E6">
        <w:t xml:space="preserve">. the </w:t>
      </w:r>
      <w:r w:rsidRPr="002932E6">
        <w:rPr>
          <w:shd w:val="clear" w:color="auto" w:fill="FFFFFF"/>
        </w:rPr>
        <w:t xml:space="preserve">external mycelium of AMF described as a link between the plant root and soil minerals, so it helps plant to absorb the important nutrient from the soil </w:t>
      </w:r>
      <w:sdt>
        <w:sdtPr>
          <w:rPr>
            <w:color w:val="000000"/>
            <w:shd w:val="clear" w:color="auto" w:fill="FFFFFF"/>
          </w:rPr>
          <w:tag w:val="MENDELEY_CITATION_v3_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"/>
          <w:id w:val="-1778089119"/>
          <w:placeholder>
            <w:docPart w:val="C796E44BA29C7B49B74F3F722913E754"/>
          </w:placeholder>
        </w:sdtPr>
        <w:sdtEndPr>
          <w:rPr>
            <w:shd w:val="clear" w:color="auto" w:fill="auto"/>
          </w:rPr>
        </w:sdtEndPr>
        <w:sdtContent>
          <w:r w:rsidR="005E3F83" w:rsidRPr="005E3F83">
            <w:rPr>
              <w:color w:val="000000"/>
            </w:rPr>
            <w:t>(Bowles et al., 2016)</w:t>
          </w:r>
        </w:sdtContent>
      </w:sdt>
      <w:r w:rsidRPr="002932E6">
        <w:rPr>
          <w:color w:val="00B050"/>
        </w:rPr>
        <w:t>.</w:t>
      </w:r>
    </w:p>
    <w:p w14:paraId="7D7F564E" w14:textId="45062679" w:rsidR="0019038E" w:rsidRPr="002932E6" w:rsidRDefault="0019038E" w:rsidP="00FC7445">
      <w:pPr>
        <w:pStyle w:val="mythesis"/>
        <w:rPr>
          <w:rFonts w:eastAsiaTheme="minorHAnsi"/>
        </w:rPr>
      </w:pPr>
      <w:r w:rsidRPr="002932E6">
        <w:t xml:space="preserve">This symbiotic relationship between the mycorrhizal fungus and plant is usually beneficial for both partners, the plant supplies the fungus with the carbon compounds (fixed through photosynthesis) in the form carbohydrates, and on the other hand, the mycorrhiza helps the plant absorb water and essential elements such as phosphorus and nitrogen from the soil. </w:t>
      </w:r>
      <w:sdt>
        <w:sdtPr>
          <w:tag w:val="MENDELEY_CITATION_v3_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"/>
          <w:id w:val="802732078"/>
          <w:placeholder>
            <w:docPart w:val="DefaultPlaceholder_-1854013440"/>
          </w:placeholder>
        </w:sdtPr>
        <w:sdtContent>
          <w:r w:rsidR="005E3F83">
            <w:t xml:space="preserve">(Gildon &amp; Tinker, 1983) also </w:t>
          </w:r>
        </w:sdtContent>
      </w:sdt>
      <w:r w:rsidRPr="002932E6">
        <w:t xml:space="preserve">suggested that the AMF take up many more minerals from the soil such as S, Cu, Ca, K and zinc. This is underpinned by the fungus' ability to extend from the plant roots throughout the soil and in so doing exploit a greater volume of soil than the root system which can investigate by itself </w:t>
      </w:r>
      <w:r w:rsidRPr="002932E6">
        <w:rPr>
          <w:color w:val="FF0000"/>
        </w:rPr>
        <w:fldChar w:fldCharType="begin"/>
      </w:r>
      <w:r w:rsidRPr="002932E6">
        <w:rPr>
          <w:color w:val="FF0000"/>
        </w:rPr>
        <w:instrText xml:space="preserve"> ADDIN EN.CITE &lt;EndNote&gt;&lt;Cite&gt;&lt;Author&gt;Bethlenfalvay&lt;/Author&gt;&lt;Year&gt;1994&lt;/Year&gt;&lt;RecNum&gt;69&lt;/RecNum&gt;&lt;record&gt;&lt;rec-number&gt;69&lt;/rec-number&gt;&lt;foreign-keys&gt;&lt;key app="EN" db-id="ft9a0ra2qztzzxerpeux0sz3xffesv52d9ta"&gt;69&lt;/key&gt;&lt;/foreign-keys&gt;&lt;ref-type name="Journal Article"&gt;17&lt;/ref-type&gt;&lt;contributors&gt;&lt;authors&gt;&lt;author&gt;Bethlenfalvay, G.J. &lt;/author&gt;&lt;author&gt;Barea,J.M&lt;/author&gt;&lt;/authors&gt;&lt;/contributors&gt;&lt;titles&gt;&lt;title&gt;Mycorrhizae in sustainable agriculture. I. Effects on seed yield and soil aggregation.&lt;/title&gt;&lt;secondary-title&gt;Am. J. Altern. Agric.&lt;/secondary-title&gt;&lt;/titles&gt;&lt;periodical&gt;&lt;full-title&gt;Am. J. Altern. Agric.&lt;/full-title&gt;&lt;/periodical&gt;&lt;pages&gt;157-161&lt;/pages&gt;&lt;volume&gt;9&lt;/volume&gt;&lt;dates&gt;&lt;year&gt;1994&lt;/year&gt;&lt;/dates&gt;&lt;urls&gt;&lt;/urls&gt;&lt;/record&gt;&lt;/Cite&gt;&lt;Cite&gt;&lt;Author&gt;Miyasaka&lt;/Author&gt;&lt;Year&gt;2003&lt;/Year&gt;&lt;RecNum&gt;3&lt;/RecNum&gt;&lt;record&gt;&lt;rec-number&gt;3&lt;/rec-number&gt;&lt;foreign-keys&gt;&lt;key app="EN" db-id="ft9a0ra2qztzzxerpeux0sz3xffesv52d9ta"&gt;3&lt;/key&gt;&lt;/foreign-keys&gt;&lt;ref-type name="Book"&gt;6&lt;/ref-type&gt;&lt;contributors&gt;&lt;authors&gt;&lt;author&gt;Miyasaka, Susan C.&lt;/author&gt;&lt;author&gt;Habte, M.&lt;/author&gt;&lt;author&gt;Friday, J. B.&lt;/author&gt;&lt;author&gt;Johnson, E. V.&lt;/author&gt;&lt;/authors&gt;&lt;/contributors&gt;&lt;titles&gt;&lt;title&gt;Manual on arbuscular mycorrhizal fungus production and inoculation techniques&lt;/title&gt;&lt;/titles&gt;&lt;dates&gt;&lt;year&gt;2003&lt;/year&gt;&lt;/dates&gt;&lt;publisher&gt;Cooperative Extension Service, College of Tropical Agriculture and Human Resources, University of Hawaii at Manoa&lt;/publisher&gt;&lt;urls&gt;&lt;/urls&gt;&lt;/record&gt;&lt;/Cite&gt;&lt;Cite&gt;&lt;Author&gt;Silva&lt;/Author&gt;&lt;Year&gt;2000&lt;/Year&gt;&lt;RecNum&gt;81&lt;/RecNum&gt;&lt;record&gt;&lt;rec-number&gt;81&lt;/rec-number&gt;&lt;foreign-keys&gt;&lt;key app="EN" db-id="ft9a0ra2qztzzxerpeux0sz3xffesv52d9ta"&gt;81&lt;/key&gt;&lt;/foreign-keys&gt;&lt;ref-type name="Journal Article"&gt;17&lt;/ref-type&gt;&lt;contributors&gt;&lt;authors&gt;&lt;author&gt;Silva, James A.&lt;/author&gt;&lt;author&gt;Uchida, Raymond S.&lt;/author&gt;&lt;/authors&gt;&lt;/contributors&gt;&lt;titles&gt;&lt;title&gt;Plant Nutrient Management in Hawaii&amp;apos;s Soils: Approaches for Tropical and Subtropical Agriculture&lt;/title&gt;&lt;/titles&gt;&lt;dates&gt;&lt;year&gt;2000&lt;/year&gt;&lt;/dates&gt;&lt;urls&gt;&lt;/urls&gt;&lt;/record&gt;&lt;/Cite&gt;&lt;/EndNote&gt;</w:instrText>
      </w:r>
      <w:r w:rsidRPr="002932E6">
        <w:rPr>
          <w:color w:val="FF0000"/>
        </w:rPr>
        <w:fldChar w:fldCharType="separate"/>
      </w:r>
      <w:sdt>
        <w:sdtPr>
          <w:rPr>
            <w:color w:val="FF0000"/>
          </w:rPr>
          <w:tag w:val="MENDELEY_CITATION_v3_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"/>
          <w:id w:val="-1387171539"/>
          <w:placeholder>
            <w:docPart w:val="DefaultPlaceholder_-1854013440"/>
          </w:placeholder>
        </w:sdtPr>
        <w:sdtContent>
          <w:r w:rsidR="005E3F83">
            <w:t>(Bethlenfalvay &amp; Barea, 1994; Miyasaka S.C., 2003; Silva &amp; &amp; Uchida, 2000)</w:t>
          </w:r>
        </w:sdtContent>
      </w:sdt>
      <w:r w:rsidRPr="002932E6">
        <w:rPr>
          <w:color w:val="FF0000"/>
        </w:rPr>
        <w:fldChar w:fldCharType="end"/>
      </w:r>
      <w:r w:rsidRPr="002932E6">
        <w:rPr>
          <w:u w:color="FF0000"/>
        </w:rPr>
        <w:t xml:space="preserve">. </w:t>
      </w:r>
      <w:r w:rsidRPr="002932E6">
        <w:t xml:space="preserve">The association therefore increases the growth of the plant because of enhanced acquisition of P and other important minerals absorbed from the soil </w:t>
      </w:r>
      <w:sdt>
        <w:sdtPr>
          <w:tag w:val="MENDELEY_CITATION_v3_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"/>
          <w:id w:val="1856762553"/>
          <w:placeholder>
            <w:docPart w:val="C796E44BA29C7B49B74F3F722913E754"/>
          </w:placeholder>
        </w:sdtPr>
        <w:sdtContent>
          <w:r w:rsidR="005E3F83">
            <w:t>(Kwapata &amp; Hall, 1985)</w:t>
          </w:r>
        </w:sdtContent>
      </w:sdt>
      <w:r w:rsidRPr="002932E6">
        <w:t xml:space="preserve">. </w:t>
      </w:r>
    </w:p>
    <w:p w14:paraId="191EDDC2" w14:textId="7401576D" w:rsidR="0019038E" w:rsidRPr="002932E6" w:rsidRDefault="0019038E" w:rsidP="00FC7445">
      <w:pPr>
        <w:pStyle w:val="mythesis"/>
      </w:pPr>
      <w:r w:rsidRPr="002932E6">
        <w:t xml:space="preserve">The presence of AMF in the plant shows increasing in their biomass </w:t>
      </w:r>
      <w:sdt>
        <w:sdtPr>
          <w:rPr>
            <w:color w:val="000000"/>
          </w:rPr>
          <w:tag w:val="MENDELEY_CITATION_v3_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"/>
          <w:id w:val="-1051464044"/>
          <w:placeholder>
            <w:docPart w:val="C796E44BA29C7B49B74F3F722913E754"/>
          </w:placeholder>
        </w:sdtPr>
        <w:sdtContent>
          <w:r w:rsidR="005E3F83" w:rsidRPr="005E3F83">
            <w:rPr>
              <w:color w:val="000000"/>
            </w:rPr>
            <w:t>(Othira, 2012)</w:t>
          </w:r>
        </w:sdtContent>
      </w:sdt>
      <w:r w:rsidRPr="002932E6">
        <w:t xml:space="preserve">. </w:t>
      </w:r>
      <w:sdt>
        <w:sdtPr>
          <w:tag w:val="MENDELEY_CITATION_v3_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"/>
          <w:id w:val="-1288124112"/>
          <w:placeholder>
            <w:docPart w:val="C796E44BA29C7B49B74F3F722913E754"/>
          </w:placeholder>
        </w:sdtPr>
        <w:sdtContent>
          <w:r w:rsidR="005E3F83">
            <w:t>(Pearson &amp; Jakobsen, 1993)</w:t>
          </w:r>
        </w:sdtContent>
      </w:sdt>
      <w:r w:rsidRPr="002932E6">
        <w:t xml:space="preserve"> reported that AMF supplying the plant with phosphorus from the soil through the external mycelium and reciprocally the plant provides the fungi with carbon as a result of the photosynthesis process.</w:t>
      </w:r>
    </w:p>
    <w:p w14:paraId="502E12D9" w14:textId="2CC1FB0C" w:rsidR="0019038E" w:rsidRPr="002932E6" w:rsidRDefault="00000000" w:rsidP="00FC7445">
      <w:pPr>
        <w:pStyle w:val="mythesis"/>
      </w:pPr>
      <w:sdt>
        <w:sdtPr>
          <w:rPr>
            <w:color w:val="000000"/>
          </w:rPr>
          <w:tag w:val="MENDELEY_CITATION_v3_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"/>
          <w:id w:val="1038783695"/>
          <w:placeholder>
            <w:docPart w:val="C796E44BA29C7B49B74F3F722913E754"/>
          </w:placeholder>
        </w:sdtPr>
        <w:sdtContent>
          <w:r w:rsidR="005E3F83" w:rsidRPr="005E3F83">
            <w:rPr>
              <w:color w:val="000000"/>
            </w:rPr>
            <w:t>(Mustafa et al., 2010)</w:t>
          </w:r>
        </w:sdtContent>
      </w:sdt>
      <w:r w:rsidR="0019038E" w:rsidRPr="002932E6">
        <w:t xml:space="preserve"> suggested that AMF root colonization also changes the morphology of root maize in low and high levels of P in soil</w:t>
      </w:r>
      <w:r w:rsidR="00C76201">
        <w:t>,</w:t>
      </w:r>
      <w:r w:rsidR="0019038E" w:rsidRPr="002932E6">
        <w:t xml:space="preserve"> </w:t>
      </w:r>
      <w:sdt>
        <w:sdtPr>
          <w:rPr>
            <w:color w:val="000000"/>
          </w:rPr>
          <w:tag w:val="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"/>
          <w:id w:val="1260265644"/>
          <w:placeholder>
            <w:docPart w:val="C796E44BA29C7B49B74F3F722913E754"/>
          </w:placeholder>
        </w:sdtPr>
        <w:sdtContent>
          <w:r w:rsidR="005E3F83" w:rsidRPr="005E3F83">
            <w:rPr>
              <w:color w:val="000000"/>
            </w:rPr>
            <w:t>(Gutjahr et al., 2009; Oláh et al., 2005; Paszkowski et al., 2002; Price et al., 1989; Yano et al., 1996)</w:t>
          </w:r>
        </w:sdtContent>
      </w:sdt>
      <w:r w:rsidR="0019038E" w:rsidRPr="002932E6">
        <w:t xml:space="preserve"> reported that the AMF causes amply branches of plant root which improve nutrient uptake of the plant from soil. </w:t>
      </w:r>
    </w:p>
    <w:p w14:paraId="1295F197" w14:textId="77777777" w:rsidR="0019038E" w:rsidRDefault="0019038E" w:rsidP="0019038E">
      <w:pPr>
        <w:pStyle w:val="NormalWeb"/>
        <w:keepNext/>
        <w:spacing w:afterLines="280" w:after="672" w:afterAutospacing="0" w:line="360" w:lineRule="auto"/>
        <w:jc w:val="lowKashida"/>
      </w:pPr>
      <w:r w:rsidRPr="002932E6">
        <w:rPr>
          <w:noProof/>
          <w:color w:val="000000" w:themeColor="text1"/>
          <w:lang w:val="en-GB" w:eastAsia="en-GB"/>
        </w:rPr>
        <w:lastRenderedPageBreak/>
        <w:drawing>
          <wp:inline distT="0" distB="0" distL="0" distR="0" wp14:anchorId="71497F0D" wp14:editId="2B9C1CE5">
            <wp:extent cx="5943600" cy="3220085"/>
            <wp:effectExtent l="0" t="0" r="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
                      <a:extLst>
                        <a:ext uri="{28A0092B-C50C-407E-A947-70E740481C1C}">
                          <a14:useLocalDpi xmlns:a14="http://schemas.microsoft.com/office/drawing/2010/main" val="0"/>
                        </a:ext>
                      </a:extLst>
                    </a:blip>
                    <a:stretch>
                      <a:fillRect/>
                    </a:stretch>
                  </pic:blipFill>
                  <pic:spPr>
                    <a:xfrm>
                      <a:off x="0" y="0"/>
                      <a:ext cx="5943600" cy="3220085"/>
                    </a:xfrm>
                    <a:prstGeom prst="rect">
                      <a:avLst/>
                    </a:prstGeom>
                  </pic:spPr>
                </pic:pic>
              </a:graphicData>
            </a:graphic>
          </wp:inline>
        </w:drawing>
      </w:r>
    </w:p>
    <w:p w14:paraId="1D61F0C5" w14:textId="0AD65DE9" w:rsidR="0019038E" w:rsidRPr="007213A8" w:rsidRDefault="0019038E" w:rsidP="0019038E">
      <w:pPr>
        <w:pStyle w:val="Caption"/>
        <w:spacing w:afterLines="280" w:after="672"/>
        <w:jc w:val="lowKashida"/>
        <w:rPr>
          <w:b w:val="0"/>
          <w:bCs w:val="0"/>
          <w:color w:val="000000" w:themeColor="text1"/>
          <w:sz w:val="20"/>
          <w:szCs w:val="20"/>
        </w:rPr>
      </w:pPr>
      <w:bookmarkStart w:id="12" w:name="_Toc83751343"/>
      <w:r w:rsidRPr="00ED12B1">
        <w:rPr>
          <w:b w:val="0"/>
          <w:bCs w:val="0"/>
        </w:rPr>
        <w:t xml:space="preserve">Figure </w:t>
      </w:r>
      <w:r w:rsidR="00843EDC">
        <w:rPr>
          <w:b w:val="0"/>
          <w:bCs w:val="0"/>
        </w:rPr>
        <w:fldChar w:fldCharType="begin"/>
      </w:r>
      <w:r w:rsidR="00843EDC">
        <w:rPr>
          <w:b w:val="0"/>
          <w:bCs w:val="0"/>
        </w:rPr>
        <w:instrText xml:space="preserve"> STYLEREF 1 \s </w:instrText>
      </w:r>
      <w:r w:rsidR="00843EDC">
        <w:rPr>
          <w:b w:val="0"/>
          <w:bCs w:val="0"/>
        </w:rPr>
        <w:fldChar w:fldCharType="separate"/>
      </w:r>
      <w:r w:rsidR="00843EDC">
        <w:rPr>
          <w:b w:val="0"/>
          <w:bCs w:val="0"/>
          <w:noProof/>
          <w:cs/>
        </w:rPr>
        <w:t>‎</w:t>
      </w:r>
      <w:r w:rsidR="00843EDC">
        <w:rPr>
          <w:b w:val="0"/>
          <w:bCs w:val="0"/>
          <w:noProof/>
        </w:rPr>
        <w:t>1</w:t>
      </w:r>
      <w:r w:rsidR="00843EDC">
        <w:rPr>
          <w:b w:val="0"/>
          <w:bCs w:val="0"/>
        </w:rPr>
        <w:fldChar w:fldCharType="end"/>
      </w:r>
      <w:r w:rsidR="00843EDC">
        <w:rPr>
          <w:b w:val="0"/>
          <w:bCs w:val="0"/>
        </w:rPr>
        <w:t>.</w:t>
      </w:r>
      <w:r w:rsidR="00843EDC">
        <w:rPr>
          <w:b w:val="0"/>
          <w:bCs w:val="0"/>
        </w:rPr>
        <w:fldChar w:fldCharType="begin"/>
      </w:r>
      <w:r w:rsidR="00843EDC">
        <w:rPr>
          <w:b w:val="0"/>
          <w:bCs w:val="0"/>
        </w:rPr>
        <w:instrText xml:space="preserve"> SEQ Figure \* ARABIC \s 1 </w:instrText>
      </w:r>
      <w:r w:rsidR="00843EDC">
        <w:rPr>
          <w:b w:val="0"/>
          <w:bCs w:val="0"/>
        </w:rPr>
        <w:fldChar w:fldCharType="separate"/>
      </w:r>
      <w:r w:rsidR="00843EDC">
        <w:rPr>
          <w:b w:val="0"/>
          <w:bCs w:val="0"/>
          <w:noProof/>
        </w:rPr>
        <w:t>2</w:t>
      </w:r>
      <w:r w:rsidR="00843EDC">
        <w:rPr>
          <w:b w:val="0"/>
          <w:bCs w:val="0"/>
        </w:rPr>
        <w:fldChar w:fldCharType="end"/>
      </w:r>
      <w:r>
        <w:t xml:space="preserve"> </w:t>
      </w:r>
      <w:r w:rsidRPr="00C60F17">
        <w:rPr>
          <w:b w:val="0"/>
          <w:bCs w:val="0"/>
          <w:color w:val="000000" w:themeColor="text1"/>
          <w:sz w:val="20"/>
          <w:szCs w:val="20"/>
        </w:rPr>
        <w:t>Under abiotic stress circumstances, mycorrhizal regulates several ecosystem processes and supports plant (This figure reproduced has been from</w:t>
      </w:r>
      <w:sdt>
        <w:sdtPr>
          <w:rPr>
            <w:b w:val="0"/>
            <w:bCs w:val="0"/>
            <w:color w:val="000000"/>
            <w:sz w:val="20"/>
            <w:szCs w:val="20"/>
          </w:rPr>
          <w:tag w:val="MENDELEY_CITATION_v3_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"/>
          <w:id w:val="187504169"/>
          <w:placeholder>
            <w:docPart w:val="C1CA37D6761FC44FBB81052F54D3D068"/>
          </w:placeholder>
        </w:sdtPr>
        <w:sdtContent>
          <w:r w:rsidR="00833340">
            <w:rPr>
              <w:b w:val="0"/>
              <w:bCs w:val="0"/>
              <w:color w:val="000000"/>
              <w:sz w:val="20"/>
              <w:szCs w:val="20"/>
            </w:rPr>
            <w:t xml:space="preserve"> </w:t>
          </w:r>
          <w:r w:rsidR="005E3F83" w:rsidRPr="005E3F83">
            <w:rPr>
              <w:b w:val="0"/>
              <w:bCs w:val="0"/>
              <w:color w:val="000000"/>
              <w:sz w:val="20"/>
              <w:szCs w:val="20"/>
            </w:rPr>
            <w:t>Begum et al., 2019)</w:t>
          </w:r>
        </w:sdtContent>
      </w:sdt>
      <w:bookmarkEnd w:id="11"/>
      <w:r>
        <w:rPr>
          <w:b w:val="0"/>
          <w:bCs w:val="0"/>
          <w:color w:val="000000" w:themeColor="text1"/>
          <w:sz w:val="20"/>
          <w:szCs w:val="20"/>
        </w:rPr>
        <w:t>.</w:t>
      </w:r>
      <w:bookmarkEnd w:id="12"/>
    </w:p>
    <w:p w14:paraId="515E70E9" w14:textId="77777777" w:rsidR="0019038E" w:rsidRDefault="0019038E" w:rsidP="0019038E">
      <w:pPr>
        <w:pStyle w:val="Heading3"/>
        <w:rPr>
          <w:lang w:val="en-GB"/>
        </w:rPr>
      </w:pPr>
      <w:bookmarkStart w:id="13" w:name="_Toc83751404"/>
      <w:r w:rsidRPr="002932E6">
        <w:rPr>
          <w:lang w:val="en-GB"/>
        </w:rPr>
        <w:t>1.1.6 Uptake of mineral nutrients And Water relations</w:t>
      </w:r>
      <w:bookmarkEnd w:id="13"/>
    </w:p>
    <w:p w14:paraId="2F1E6F17" w14:textId="77777777" w:rsidR="0019038E" w:rsidRPr="00EB599C" w:rsidRDefault="0019038E" w:rsidP="0019038E">
      <w:pPr>
        <w:rPr>
          <w:lang w:val="en-GB"/>
        </w:rPr>
      </w:pPr>
    </w:p>
    <w:p w14:paraId="3D989408" w14:textId="67EE0A5B" w:rsidR="0019038E" w:rsidRPr="002932E6" w:rsidRDefault="0019038E" w:rsidP="00FC7445">
      <w:pPr>
        <w:pStyle w:val="mythesis"/>
        <w:rPr>
          <w:lang w:val="en-GB"/>
        </w:rPr>
      </w:pPr>
      <w:r w:rsidRPr="002932E6">
        <w:rPr>
          <w:lang w:val="en-GB"/>
        </w:rPr>
        <w:t>Arbuscular mycorrhizal fungi are members of the phylum Glomeromycota, which is the primary component of the soil microbiota in most agroecosystems and has a symbiotic relationship with the majority of plants.</w:t>
      </w:r>
      <w:r w:rsidRPr="002932E6">
        <w:t xml:space="preserve"> </w:t>
      </w:r>
      <w:r w:rsidRPr="002932E6">
        <w:rPr>
          <w:lang w:val="en-GB"/>
        </w:rPr>
        <w:t>AM fungus may efficiently take mineral nutrients from the soil and transmit them to their host plants in return for carbohydrates by creating an extensive, complicated hyphal network.</w:t>
      </w:r>
      <w:r w:rsidRPr="002932E6">
        <w:t xml:space="preserve"> </w:t>
      </w:r>
      <w:r w:rsidRPr="002932E6">
        <w:rPr>
          <w:lang w:val="en-GB"/>
        </w:rPr>
        <w:t xml:space="preserve">They improve nutrient uptake, particularly for immobile nutrients like phosphorus, and increase drought tolerance, disease resistance, soil microflora structure that allows water and air penetration and prevents erosion, photosynthesis, and stress reduction during micropropagation </w:t>
      </w:r>
      <w:sdt>
        <w:sdtPr>
          <w:rPr>
            <w:lang w:val="en-GB"/>
          </w:rPr>
          <w:tag w:val="MENDELEY_CITATION_v3_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"/>
          <w:id w:val="-1072806789"/>
          <w:placeholder>
            <w:docPart w:val="C796E44BA29C7B49B74F3F722913E754"/>
          </w:placeholder>
        </w:sdtPr>
        <w:sdtContent>
          <w:r w:rsidR="005E3F83">
            <w:t>(Khadi &amp; Rodrigues, 2009).</w:t>
          </w:r>
        </w:sdtContent>
      </w:sdt>
    </w:p>
    <w:p w14:paraId="2173C61C" w14:textId="32E53F0B" w:rsidR="0019038E" w:rsidRPr="002932E6" w:rsidRDefault="0019038E" w:rsidP="00FC7445">
      <w:pPr>
        <w:pStyle w:val="mythesis"/>
      </w:pPr>
      <w:r w:rsidRPr="002932E6">
        <w:t xml:space="preserve">In order to generate a beneficial relationship between the mycorrhiza and the plant root, a sufficient level of P should be found in the soil because the extremely low level of P in the soil stimulates the fungus to be harmful and parasitic because the competition onto the P between the plant and fungus will occur. Also, when the P level is high in the soil the plant will grow independent without needing for the mycorrhizae and, as a result for that the beneficial association between the plant and the mycorrhiza will not be formed </w:t>
      </w:r>
      <w:sdt>
        <w:sdtPr>
          <w:rPr>
            <w:color w:val="000000"/>
          </w:rPr>
          <w:tag w:val="MENDELEY_CITATION_v3_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"/>
          <w:id w:val="1761710394"/>
          <w:placeholder>
            <w:docPart w:val="C796E44BA29C7B49B74F3F722913E754"/>
          </w:placeholder>
        </w:sdtPr>
        <w:sdtContent>
          <w:r w:rsidR="005E3F83" w:rsidRPr="005E3F83">
            <w:rPr>
              <w:color w:val="000000"/>
            </w:rPr>
            <w:t>(Miyasaka, 2003)</w:t>
          </w:r>
        </w:sdtContent>
      </w:sdt>
      <w:r w:rsidRPr="002932E6">
        <w:t>.</w:t>
      </w:r>
    </w:p>
    <w:p w14:paraId="7183D36C" w14:textId="26D56F9E" w:rsidR="0019038E" w:rsidRPr="002932E6" w:rsidRDefault="0019038E" w:rsidP="00FC7445">
      <w:pPr>
        <w:pStyle w:val="mythesis"/>
      </w:pPr>
      <w:r w:rsidRPr="002932E6">
        <w:lastRenderedPageBreak/>
        <w:t xml:space="preserve">Phosphorous is one of the most essential elements nutrients in the soil and the plant needs it in limited quantities. We find most of P in soil in organic forms such and inositol that is generally not plant available.  Instead, plants take up mobile mineral P in the form of orthophosphate. The phosphate ions can however become rapidly </w:t>
      </w:r>
      <w:r w:rsidR="00C76201" w:rsidRPr="002932E6">
        <w:t>immobilized</w:t>
      </w:r>
      <w:r w:rsidRPr="002932E6">
        <w:t xml:space="preserve">, sticking to negatively charged clay surfaces as will and forming insoluble complexes with metals such as </w:t>
      </w:r>
      <w:r w:rsidR="00C76201" w:rsidRPr="002932E6">
        <w:t>aluminum</w:t>
      </w:r>
      <w:r w:rsidRPr="002932E6">
        <w:t xml:space="preserve">. AMF can play a central role and in association with the plant it can increase the P level in soil by through solubilizing the insoluble inorganic P as well as </w:t>
      </w:r>
      <w:r w:rsidR="00C76201" w:rsidRPr="002932E6">
        <w:t>mineralizing</w:t>
      </w:r>
      <w:r w:rsidRPr="002932E6">
        <w:t xml:space="preserve"> organic P and so increasing the concentration of P level in plants tissues </w:t>
      </w:r>
      <w:r w:rsidRPr="002932E6">
        <w:fldChar w:fldCharType="begin"/>
      </w:r>
      <w:r w:rsidRPr="002932E6">
        <w:instrText xml:space="preserve"> ADDIN EN.CITE &lt;EndNote&gt;&lt;Cite&gt;&lt;Author&gt;Koide&lt;/Author&gt;&lt;Year&gt;2000&lt;/Year&gt;&lt;RecNum&gt;82&lt;/RecNum&gt;&lt;record&gt;&lt;rec-number&gt;82&lt;/rec-number&gt;&lt;foreign-keys&gt;&lt;key app="EN" db-id="ft9a0ra2qztzzxerpeux0sz3xffesv52d9ta"&gt;82&lt;/key&gt;&lt;/foreign-keys&gt;&lt;ref-type name="Journal Article"&gt;17&lt;/ref-type&gt;&lt;contributors&gt;&lt;authors&gt;&lt;author&gt;Koide, R. T.&lt;/author&gt;&lt;author&gt;Kabir, Z.&lt;/author&gt;&lt;/authors&gt;&lt;/contributors&gt;&lt;titles&gt;&lt;title&gt;Extraradical hyphae of the mycorrhizal fungus Glomus intraradices can hydrolyse organic phosphate&lt;/title&gt;&lt;secondary-title&gt;New phytologist&lt;/secondary-title&gt;&lt;/titles&gt;&lt;periodical&gt;&lt;full-title&gt;New phytologist&lt;/full-title&gt;&lt;/periodical&gt;&lt;pages&gt;511-517&lt;/pages&gt;&lt;volume&gt;148&lt;/volume&gt;&lt;number&gt;3&lt;/number&gt;&lt;dates&gt;&lt;year&gt;2000&lt;/year&gt;&lt;/dates&gt;&lt;isbn&gt;1469-8137&lt;/isbn&gt;&lt;urls&gt;&lt;/urls&gt;&lt;/record&gt;&lt;/Cite&gt;&lt;Cite&gt;&lt;Author&gt;Tawaraya&lt;/Author&gt;&lt;Year&gt;2006&lt;/Year&gt;&lt;RecNum&gt;83&lt;/RecNum&gt;&lt;record&gt;&lt;rec-number&gt;83&lt;/rec-number&gt;&lt;foreign-keys&gt;&lt;key app="EN" db-id="ft9a0ra2qztzzxerpeux0sz3xffesv52d9ta"&gt;83&lt;/key&gt;&lt;/foreign-keys&gt;&lt;ref-type name="Journal Article"&gt;17&lt;/ref-type&gt;&lt;contributors&gt;&lt;authors&gt;&lt;author&gt;Tawaraya, Keitaro&lt;/author&gt;&lt;author&gt;Naito, Makoto&lt;/author&gt;&lt;author&gt;Wagatsuma, Tadao&lt;/author&gt;&lt;/authors&gt;&lt;/contributors&gt;&lt;titles&gt;&lt;title&gt;Solubilization of insoluble inorganic phosphate by hyphal exudates of arbuscular mycorrhizal fungi&lt;/title&gt;&lt;secondary-title&gt;Journal of plant nutrition&lt;/secondary-title&gt;&lt;/titles&gt;&lt;periodical&gt;&lt;full-title&gt;Journal of plant nutrition&lt;/full-title&gt;&lt;/periodical&gt;&lt;pages&gt;657-665&lt;/pages&gt;&lt;volume&gt;29&lt;/volume&gt;&lt;number&gt;4&lt;/number&gt;&lt;dates&gt;&lt;year&gt;2006&lt;/year&gt;&lt;/dates&gt;&lt;isbn&gt;0190-4167&lt;/isbn&gt;&lt;urls&gt;&lt;/urls&gt;&lt;/record&gt;&lt;/Cite&gt;&lt;/EndNote&gt;</w:instrText>
      </w:r>
      <w:r w:rsidRPr="002932E6">
        <w:fldChar w:fldCharType="separate"/>
      </w:r>
      <w:sdt>
        <w:sdtPr>
          <w:tag w:val="MENDELEY_CITATION_v3_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"/>
          <w:id w:val="1727326158"/>
          <w:placeholder>
            <w:docPart w:val="C796E44BA29C7B49B74F3F722913E754"/>
          </w:placeholder>
        </w:sdtPr>
        <w:sdtEndPr>
          <w:rPr>
            <w:color w:val="00B050"/>
          </w:rPr>
        </w:sdtEndPr>
        <w:sdtContent>
          <w:r w:rsidR="005E3F83">
            <w:t>(Koide &amp; Kabir, 2000; Tawaraya et al., 2006</w:t>
          </w:r>
        </w:sdtContent>
      </w:sdt>
      <w:r w:rsidRPr="002932E6">
        <w:t>)</w:t>
      </w:r>
      <w:r w:rsidRPr="002932E6">
        <w:fldChar w:fldCharType="end"/>
      </w:r>
      <w:r w:rsidRPr="002932E6">
        <w:t xml:space="preserve">.  </w:t>
      </w:r>
    </w:p>
    <w:p w14:paraId="6952B95D" w14:textId="2A579E25" w:rsidR="0019038E" w:rsidRPr="002932E6" w:rsidRDefault="0019038E" w:rsidP="00FC7445">
      <w:pPr>
        <w:pStyle w:val="mythesis"/>
      </w:pPr>
      <w:r w:rsidRPr="002932E6">
        <w:t xml:space="preserve">Increase concentration of soluble P in soil leads to increase in soil acidity. The availability of different sources of P in soil depends on changes in rhizosphere PH. Transformation of P in the soil occurs through </w:t>
      </w:r>
      <w:r w:rsidR="00F307D8" w:rsidRPr="002932E6">
        <w:t>mineralization</w:t>
      </w:r>
      <w:r w:rsidRPr="002932E6">
        <w:t>. The P Ions are easily absorbed by soil organisms, resulting in immobilization of P in the biomass. Fixation processes have significant effects on the orthophosphate level in soil solution and enhance uptake by root plant an</w:t>
      </w:r>
      <w:r w:rsidR="000B5472">
        <w:t>d</w:t>
      </w:r>
      <w:r w:rsidRPr="002932E6">
        <w:t xml:space="preserve"> AMF </w:t>
      </w:r>
      <w:sdt>
        <w:sdtPr>
          <w:tag w:val="MENDELEY_CITATION_v3_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"/>
          <w:id w:val="-259150696"/>
          <w:placeholder>
            <w:docPart w:val="DefaultPlaceholder_-1854013440"/>
          </w:placeholder>
        </w:sdtPr>
        <w:sdtContent>
          <w:r w:rsidR="005E3F83">
            <w:t>(Smith &amp; &amp; Read, 1997).</w:t>
          </w:r>
        </w:sdtContent>
      </w:sdt>
    </w:p>
    <w:p w14:paraId="259E0A9D" w14:textId="501E73C1" w:rsidR="0019038E" w:rsidRPr="002932E6" w:rsidRDefault="0019038E" w:rsidP="00FC7445">
      <w:pPr>
        <w:pStyle w:val="mythesis"/>
      </w:pPr>
      <w:r w:rsidRPr="002932E6">
        <w:t xml:space="preserve">Most plants including maize form symbiotic root associations with AM fungi, which are obligate biotrophic fungi from Glomeromycota </w:t>
      </w:r>
      <w:sdt>
        <w:sdtPr>
          <w:tag w:val="MENDELEY_CITATION_v3_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"/>
          <w:id w:val="-1227448086"/>
          <w:placeholder>
            <w:docPart w:val="C796E44BA29C7B49B74F3F722913E754"/>
          </w:placeholder>
        </w:sdtPr>
        <w:sdtContent>
          <w:r w:rsidR="005E3F83">
            <w:t>(Smith &amp; Read, 2008)</w:t>
          </w:r>
        </w:sdtContent>
      </w:sdt>
      <w:r w:rsidRPr="002932E6">
        <w:t>, providing key ecosystem services in agro</w:t>
      </w:r>
      <w:r w:rsidR="00CB350A">
        <w:t xml:space="preserve"> </w:t>
      </w:r>
      <w:r w:rsidRPr="002932E6">
        <w:t xml:space="preserve">ecosystems related with soil fertility and plant health and nutrition </w:t>
      </w:r>
      <w:sdt>
        <w:sdtPr>
          <w:rPr>
            <w:color w:val="000000"/>
          </w:rPr>
          <w:tag w:val="MENDELEY_CITATION_v3_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"/>
          <w:id w:val="135692599"/>
          <w:placeholder>
            <w:docPart w:val="C796E44BA29C7B49B74F3F722913E754"/>
          </w:placeholder>
        </w:sdtPr>
        <w:sdtContent>
          <w:r w:rsidR="005E3F83" w:rsidRPr="005E3F83">
            <w:rPr>
              <w:color w:val="000000"/>
            </w:rPr>
            <w:t>(Gianinazzi et al., 2010)</w:t>
          </w:r>
        </w:sdtContent>
      </w:sdt>
      <w:r w:rsidRPr="002932E6">
        <w:t xml:space="preserve">. Especially the importance of AM fungi in host P nutrition is well recognized </w:t>
      </w:r>
      <w:sdt>
        <w:sdtPr>
          <w:tag w:val="MENDELEY_CITATION_v3_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"/>
          <w:id w:val="1665658818"/>
          <w:placeholder>
            <w:docPart w:val="C796E44BA29C7B49B74F3F722913E754"/>
          </w:placeholder>
        </w:sdtPr>
        <w:sdtContent>
          <w:r w:rsidR="005E3F83">
            <w:t>(Smith &amp; Smith, 2011a)</w:t>
          </w:r>
        </w:sdtContent>
      </w:sdt>
      <w:r w:rsidRPr="002932E6">
        <w:t xml:space="preserve">. In maize AM associations have resulted in both plant growth promotion and plant growth suppression depending on maize genotype </w:t>
      </w:r>
      <w:sdt>
        <w:sdtPr>
          <w:rPr>
            <w:color w:val="000000"/>
          </w:rPr>
          <w:tag w:val="MENDELEY_CITATION_v3_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"/>
          <w:id w:val="1023825635"/>
          <w:placeholder>
            <w:docPart w:val="C796E44BA29C7B49B74F3F722913E754"/>
          </w:placeholder>
        </w:sdtPr>
        <w:sdtContent>
          <w:r w:rsidR="005E3F83" w:rsidRPr="005E3F83">
            <w:rPr>
              <w:color w:val="000000"/>
            </w:rPr>
            <w:t>(Kaeppler et al., 2000a; Sawers et al., 2017)</w:t>
          </w:r>
        </w:sdtContent>
      </w:sdt>
      <w:r w:rsidRPr="002932E6">
        <w:t xml:space="preserve">, environmental factors such as soil P levels </w:t>
      </w:r>
      <w:sdt>
        <w:sdtPr>
          <w:rPr>
            <w:color w:val="000000"/>
          </w:rPr>
          <w:tag w:val="MENDELEY_CITATION_v3_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"/>
          <w:id w:val="-1782725508"/>
          <w:placeholder>
            <w:docPart w:val="C796E44BA29C7B49B74F3F722913E754"/>
          </w:placeholder>
        </w:sdtPr>
        <w:sdtContent>
          <w:r w:rsidR="005E3F83" w:rsidRPr="005E3F83">
            <w:rPr>
              <w:color w:val="000000"/>
            </w:rPr>
            <w:t>(Grant et al., 2005),</w:t>
          </w:r>
        </w:sdtContent>
      </w:sdt>
      <w:r w:rsidRPr="002932E6">
        <w:t xml:space="preserve"> and farming practices such as tillage and crop rotation </w:t>
      </w:r>
      <w:sdt>
        <w:sdtPr>
          <w:tag w:val="MENDELEY_CITATION_v3_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"/>
          <w:id w:val="1615100720"/>
          <w:placeholder>
            <w:docPart w:val="C796E44BA29C7B49B74F3F722913E754"/>
          </w:placeholder>
        </w:sdtPr>
        <w:sdtContent>
          <w:r w:rsidR="005E3F83">
            <w:t>(Gavito &amp; Miller, 1998)</w:t>
          </w:r>
        </w:sdtContent>
      </w:sdt>
      <w:r w:rsidRPr="002932E6">
        <w:t xml:space="preserve">. </w:t>
      </w:r>
    </w:p>
    <w:p w14:paraId="3B09FD1B" w14:textId="05183803" w:rsidR="0019038E" w:rsidRPr="002932E6" w:rsidRDefault="0019038E" w:rsidP="00FC7445">
      <w:pPr>
        <w:pStyle w:val="mythesis"/>
      </w:pPr>
      <w:r w:rsidRPr="002932E6">
        <w:t>When a leguminous plant grows in low P soils, the concentrations of N</w:t>
      </w:r>
      <w:r w:rsidRPr="002932E6">
        <w:rPr>
          <w:vertAlign w:val="subscript"/>
        </w:rPr>
        <w:t>2</w:t>
      </w:r>
      <w:r w:rsidRPr="002932E6">
        <w:t xml:space="preserve"> in rhizobial root nodules was increased along with AMF </w:t>
      </w:r>
      <w:sdt>
        <w:sdtPr>
          <w:rPr>
            <w:color w:val="000000"/>
          </w:rPr>
          <w:tag w:val="MENDELEY_CITATION_v3_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"/>
          <w:id w:val="-989249527"/>
          <w:placeholder>
            <w:docPart w:val="C796E44BA29C7B49B74F3F722913E754"/>
          </w:placeholder>
        </w:sdtPr>
        <w:sdtContent>
          <w:r w:rsidR="005E3F83" w:rsidRPr="005E3F83">
            <w:rPr>
              <w:color w:val="000000"/>
            </w:rPr>
            <w:t>(Asai, 1944)</w:t>
          </w:r>
        </w:sdtContent>
      </w:sdt>
      <w:r w:rsidRPr="002932E6">
        <w:t xml:space="preserve">. The AMF hyphae absorbed ammonium and nitrate from soil and mineralization of organic forms of N from soil enhanced decomposition of N and delivered it to plant </w:t>
      </w:r>
      <w:sdt>
        <w:sdtPr>
          <w:rPr>
            <w:color w:val="000000"/>
          </w:rPr>
          <w:tag w:val="MENDELEY_CITATION_v3_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"/>
          <w:id w:val="575859695"/>
          <w:placeholder>
            <w:docPart w:val="C796E44BA29C7B49B74F3F722913E754"/>
          </w:placeholder>
        </w:sdtPr>
        <w:sdtContent>
          <w:r w:rsidR="005E3F83" w:rsidRPr="005E3F83">
            <w:rPr>
              <w:color w:val="000000"/>
            </w:rPr>
            <w:t>(Hodge et al., 2001)</w:t>
          </w:r>
        </w:sdtContent>
      </w:sdt>
      <w:r w:rsidRPr="002932E6">
        <w:t xml:space="preserve">. </w:t>
      </w:r>
      <w:sdt>
        <w:sdtPr>
          <w:rPr>
            <w:color w:val="000000"/>
          </w:rPr>
          <w:tag w:val="MENDELEY_CITATION_v3_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"/>
          <w:id w:val="251323421"/>
          <w:placeholder>
            <w:docPart w:val="C796E44BA29C7B49B74F3F722913E754"/>
          </w:placeholder>
        </w:sdtPr>
        <w:sdtContent>
          <w:r w:rsidR="005E3F83" w:rsidRPr="005E3F83">
            <w:rPr>
              <w:color w:val="000000"/>
            </w:rPr>
            <w:t>(Toussaint et al., 2004)</w:t>
          </w:r>
        </w:sdtContent>
      </w:sdt>
      <w:r w:rsidRPr="002932E6">
        <w:t xml:space="preserve"> stated that external mycelium of AMF has glutamine </w:t>
      </w:r>
      <w:r w:rsidR="006D111C" w:rsidRPr="002932E6">
        <w:t>synthesize</w:t>
      </w:r>
      <w:r w:rsidRPr="002932E6">
        <w:t xml:space="preserve"> activity which is necessary to transfer the N as a glutamate after adding more atom of N to the plant. Also, the absorbed N from the AMF to the plant through the AMF as inorganic ammonium with intraradical mycelium broken it down to form ammonium at the arbuscule</w:t>
      </w:r>
      <w:r w:rsidRPr="002932E6">
        <w:rPr>
          <w:b/>
        </w:rPr>
        <w:t xml:space="preserve"> </w:t>
      </w:r>
      <w:r w:rsidRPr="002932E6">
        <w:t>and released it to transfer it to plant.</w:t>
      </w:r>
    </w:p>
    <w:p w14:paraId="093FC702" w14:textId="308957B9" w:rsidR="0019038E" w:rsidRPr="002932E6" w:rsidRDefault="0019038E" w:rsidP="00FC7445">
      <w:pPr>
        <w:pStyle w:val="mythesis"/>
        <w:rPr>
          <w:u w:color="0000A0"/>
        </w:rPr>
      </w:pPr>
      <w:r w:rsidRPr="002932E6">
        <w:lastRenderedPageBreak/>
        <w:t xml:space="preserve">Drought stress also is an important factor that effects on the plant growth and there are some that AMF facilitate uptake of water by plants as well as reducing the damaging effects of drought stress on the plant  </w:t>
      </w:r>
      <w:sdt>
        <w:sdtPr>
          <w:rPr>
            <w:color w:val="000000"/>
          </w:rPr>
          <w:tag w:val="MENDELEY_CITATION_v3_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"/>
          <w:id w:val="-514375274"/>
          <w:placeholder>
            <w:docPart w:val="C796E44BA29C7B49B74F3F722913E754"/>
          </w:placeholder>
        </w:sdtPr>
        <w:sdtContent>
          <w:r w:rsidR="005E3F83" w:rsidRPr="005E3F83">
            <w:rPr>
              <w:color w:val="000000"/>
            </w:rPr>
            <w:t>(Aroca et al., 2007)</w:t>
          </w:r>
        </w:sdtContent>
      </w:sdt>
      <w:r w:rsidRPr="002932E6">
        <w:rPr>
          <w:u w:color="0000A0"/>
        </w:rPr>
        <w:t>. Although the mechanisms underlining this are not fully resolved.</w:t>
      </w:r>
    </w:p>
    <w:p w14:paraId="6EC2552A" w14:textId="629DDFCD" w:rsidR="0019038E" w:rsidRPr="002932E6" w:rsidRDefault="0019038E" w:rsidP="00FC7445">
      <w:pPr>
        <w:pStyle w:val="mythesis"/>
      </w:pPr>
      <w:r w:rsidRPr="002932E6">
        <w:t xml:space="preserve">It has been documented that the AMF relationship with plant can enhance water movement to the host plant. For example, higher leaf water potentials have been recorded in mycorrhizal plants with non-mycorrhizal plants under conditions of water stress </w:t>
      </w:r>
      <w:sdt>
        <w:sdtPr>
          <w:rPr>
            <w:color w:val="000000"/>
          </w:rPr>
          <w:tag w:val="MENDELEY_CITATION_v3_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"/>
          <w:id w:val="-395205363"/>
          <w:placeholder>
            <w:docPart w:val="C796E44BA29C7B49B74F3F722913E754"/>
          </w:placeholder>
        </w:sdtPr>
        <w:sdtContent>
          <w:r w:rsidR="005E3F83" w:rsidRPr="005E3F83">
            <w:rPr>
              <w:color w:val="000000"/>
            </w:rPr>
            <w:t>(Porcel, 2004),</w:t>
          </w:r>
        </w:sdtContent>
      </w:sdt>
      <w:r w:rsidRPr="002932E6">
        <w:t xml:space="preserve"> Moreover, </w:t>
      </w:r>
      <w:sdt>
        <w:sdtPr>
          <w:rPr>
            <w:color w:val="000000"/>
          </w:rPr>
          <w:tag w:val="MENDELEY_CITATION_v3_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"/>
          <w:id w:val="1512946775"/>
          <w:placeholder>
            <w:docPart w:val="C796E44BA29C7B49B74F3F722913E754"/>
          </w:placeholder>
        </w:sdtPr>
        <w:sdtContent>
          <w:r w:rsidR="005E3F83" w:rsidRPr="005E3F83">
            <w:rPr>
              <w:color w:val="000000"/>
            </w:rPr>
            <w:t>(Zhu et al., 2012)</w:t>
          </w:r>
        </w:sdtContent>
      </w:sdt>
      <w:r w:rsidRPr="002932E6">
        <w:t xml:space="preserve"> showed that AMF can mitigate the harmful effects of drought through enhancing the plant photosynthesis and the water balance in the maize, suggesting that the symbiosis between the maize plant and AMF increases the protection of maize from the drought stress conditions through improving the chlorophyll concentration and chlorophyll fluorescence, gas exchange capacity and water status. This may a result of enhanced the water supply to the plant by AMF </w:t>
      </w:r>
      <w:sdt>
        <w:sdtPr>
          <w:rPr>
            <w:color w:val="000000"/>
          </w:rPr>
          <w:tag w:val="MENDELEY_CITATION_v3_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"/>
          <w:id w:val="-1938826204"/>
          <w:placeholder>
            <w:docPart w:val="C796E44BA29C7B49B74F3F722913E754"/>
          </w:placeholder>
        </w:sdtPr>
        <w:sdtContent>
          <w:r w:rsidR="005E3F83" w:rsidRPr="005E3F83">
            <w:rPr>
              <w:color w:val="000000"/>
            </w:rPr>
            <w:t>(Augé, 2001; Sikes et al., 2009)</w:t>
          </w:r>
        </w:sdtContent>
      </w:sdt>
      <w:r w:rsidRPr="002932E6">
        <w:t xml:space="preserve">. </w:t>
      </w:r>
      <w:r w:rsidR="00961BC7" w:rsidRPr="00961BC7">
        <w:t>This translates to promote the productivity of plants in the agriculture ecosystem</w:t>
      </w:r>
      <w:r w:rsidRPr="002932E6">
        <w:t xml:space="preserve">s </w:t>
      </w:r>
      <w:sdt>
        <w:sdtPr>
          <w:tag w:val="MENDELEY_CITATION_v3_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"/>
          <w:id w:val="-170799872"/>
          <w:placeholder>
            <w:docPart w:val="C796E44BA29C7B49B74F3F722913E754"/>
          </w:placeholder>
        </w:sdtPr>
        <w:sdtContent>
          <w:r w:rsidR="005E3F83">
            <w:t>(van der Heijden &amp; Scheublin, 2007)</w:t>
          </w:r>
        </w:sdtContent>
      </w:sdt>
      <w:r w:rsidRPr="002932E6">
        <w:t>.</w:t>
      </w:r>
    </w:p>
    <w:p w14:paraId="304A2A5D" w14:textId="7E6BD81A" w:rsidR="0019038E" w:rsidRPr="002932E6" w:rsidRDefault="0019038E" w:rsidP="00FC7445">
      <w:pPr>
        <w:pStyle w:val="mythesis"/>
      </w:pPr>
      <w:r w:rsidRPr="002932E6">
        <w:t xml:space="preserve">When the mycorrhiza is present in the soil, the surface area of the plant root system can be increased. As a result of this we can observe the plant increase their ability to absorb the water from the soil which leads to increased ability resist drought </w:t>
      </w:r>
      <w:sdt>
        <w:sdtPr>
          <w:rPr>
            <w:color w:val="FF0000"/>
          </w:rPr>
          <w:tag w:val="MENDELEY_CITATION_v3_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"/>
          <w:id w:val="1991063610"/>
          <w:placeholder>
            <w:docPart w:val="C796E44BA29C7B49B74F3F722913E754"/>
          </w:placeholder>
        </w:sdtPr>
        <w:sdtContent>
          <w:r w:rsidR="005E3F83">
            <w:t>(Gemma &amp; &amp; Koske, 2006),</w:t>
          </w:r>
        </w:sdtContent>
      </w:sdt>
      <w:r w:rsidRPr="002932E6">
        <w:t xml:space="preserve"> However, other studies emphasized that the importance of mycorrhiza in drought resistance of occurring via an increase in root hydraulic conductivity thus reducing water stress in plant </w:t>
      </w:r>
      <w:sdt>
        <w:sdtPr>
          <w:tag w:val="MENDELEY_CITATION_v3_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"/>
          <w:id w:val="662743260"/>
          <w:placeholder>
            <w:docPart w:val="C796E44BA29C7B49B74F3F722913E754"/>
          </w:placeholder>
        </w:sdtPr>
        <w:sdtContent>
          <w:r w:rsidR="005E3F83">
            <w:t>(Busse &amp; Ellis, 1985; Graham &amp; Syvertsen, 1984)</w:t>
          </w:r>
        </w:sdtContent>
      </w:sdt>
      <w:r w:rsidRPr="002932E6">
        <w:t xml:space="preserve"> . Furthermore, </w:t>
      </w:r>
      <w:sdt>
        <w:sdtPr>
          <w:rPr>
            <w:color w:val="000000"/>
          </w:rPr>
          <w:tag w:val="MENDELEY_CITATION_v3_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"/>
          <w:id w:val="-923881578"/>
          <w:placeholder>
            <w:docPart w:val="C796E44BA29C7B49B74F3F722913E754"/>
          </w:placeholder>
        </w:sdtPr>
        <w:sdtContent>
          <w:r w:rsidR="005E3F83" w:rsidRPr="005E3F83">
            <w:rPr>
              <w:color w:val="000000"/>
            </w:rPr>
            <w:t>(Hallett et al., 2009)</w:t>
          </w:r>
        </w:sdtContent>
      </w:sdt>
      <w:r w:rsidRPr="002932E6">
        <w:t xml:space="preserve"> showed that the rhizosphere of some vegetables and fruit crops, such as wild-type tomato, was drier than the non-mycorrhizal species. Also, the transpiration rate in the wild type of tomato was higher than the non-mycorrhizal counterpart. Also </w:t>
      </w:r>
      <w:sdt>
        <w:sdtPr>
          <w:tag w:val="MENDELEY_CITATION_v3_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"/>
          <w:id w:val="1377354708"/>
          <w:placeholder>
            <w:docPart w:val="C796E44BA29C7B49B74F3F722913E754"/>
          </w:placeholder>
        </w:sdtPr>
        <w:sdtContent>
          <w:r w:rsidR="005E3F83">
            <w:t>(Marschner &amp; Dell, 1994)</w:t>
          </w:r>
        </w:sdtContent>
      </w:sdt>
      <w:r w:rsidRPr="002932E6">
        <w:t xml:space="preserve"> stated that the AMF play an essential role in maintaining the balance of water in the plant root. </w:t>
      </w:r>
    </w:p>
    <w:p w14:paraId="2848003D" w14:textId="78663DE9" w:rsidR="0019038E" w:rsidRPr="0007208B" w:rsidRDefault="0019038E" w:rsidP="00FC7445">
      <w:pPr>
        <w:pStyle w:val="mythesis"/>
        <w:rPr>
          <w:color w:val="000000"/>
        </w:rPr>
      </w:pPr>
      <w:r w:rsidRPr="002932E6">
        <w:t xml:space="preserve">A further possibility lies in the observation that mycorrhizal fungi can manipulate host hormone relations. Root </w:t>
      </w:r>
      <w:r w:rsidR="006D111C" w:rsidRPr="002932E6">
        <w:t>colonization</w:t>
      </w:r>
      <w:r w:rsidRPr="002932E6">
        <w:t xml:space="preserve"> by AMF can generate a root to shoot ABA signal as a by-product of </w:t>
      </w:r>
      <w:r w:rsidR="00D4798B" w:rsidRPr="002932E6">
        <w:t>defense</w:t>
      </w:r>
      <w:r w:rsidRPr="002932E6">
        <w:t xml:space="preserve"> relations and consequently can indirectly reduce stomatal conductance and hence reduce water loss </w:t>
      </w:r>
      <w:sdt>
        <w:sdtPr>
          <w:rPr>
            <w:color w:val="000000"/>
          </w:rPr>
          <w:tag w:val="MENDELEY_CITATION_v3_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"/>
          <w:id w:val="1460842957"/>
          <w:placeholder>
            <w:docPart w:val="C796E44BA29C7B49B74F3F722913E754"/>
          </w:placeholder>
        </w:sdtPr>
        <w:sdtContent>
          <w:r w:rsidR="005E3F83" w:rsidRPr="005E3F83">
            <w:rPr>
              <w:color w:val="000000"/>
            </w:rPr>
            <w:t>(Cameron et al., 2013).</w:t>
          </w:r>
        </w:sdtContent>
      </w:sdt>
    </w:p>
    <w:p w14:paraId="1F38E544" w14:textId="77777777" w:rsidR="00FC3FFF" w:rsidRDefault="00FC3FFF" w:rsidP="0019038E">
      <w:pPr>
        <w:pStyle w:val="Heading3"/>
      </w:pPr>
    </w:p>
    <w:p w14:paraId="6D3DDE74" w14:textId="5AF90B71" w:rsidR="0019038E" w:rsidRDefault="0019038E" w:rsidP="0019038E">
      <w:pPr>
        <w:pStyle w:val="Heading3"/>
      </w:pPr>
      <w:bookmarkStart w:id="14" w:name="_Toc83751405"/>
      <w:r w:rsidRPr="002932E6">
        <w:t>1.1.7 The Role of breeding program in influencing the mycorrhization of plant</w:t>
      </w:r>
      <w:bookmarkEnd w:id="14"/>
    </w:p>
    <w:p w14:paraId="798BEE1D" w14:textId="77777777" w:rsidR="0019038E" w:rsidRPr="00EB599C" w:rsidRDefault="0019038E" w:rsidP="0019038E"/>
    <w:p w14:paraId="083AD6FC" w14:textId="5953C494" w:rsidR="0019038E" w:rsidRPr="002932E6" w:rsidRDefault="0019038E" w:rsidP="00595EAE">
      <w:pPr>
        <w:pStyle w:val="mythesis"/>
        <w:rPr>
          <w:b/>
          <w:i/>
        </w:rPr>
      </w:pPr>
      <w:r w:rsidRPr="002932E6">
        <w:t xml:space="preserve">In general, plant and crop yield under high-input production systems tend to be maximized via breeding and selection programs, which may lead to loss of genes, phytochemicals and other plant traits necessary to develop efficient symbioses. In soils with high phosphorus availability, modern cultivars could absorb phosphate without AM support, reducing the level of AM dependency. As a result, AMF reacts to new lines less effectively. Recent studies have shown that domestication has reduced domesticated crop AM advantages in exposure to high P levels </w:t>
      </w:r>
      <w:sdt>
        <w:sdtPr>
          <w:rPr>
            <w:color w:val="000000"/>
          </w:rPr>
          <w:tag w:val="MENDELEY_CITATION_v3_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"/>
          <w:id w:val="-1658370239"/>
          <w:placeholder>
            <w:docPart w:val="C796E44BA29C7B49B74F3F722913E754"/>
          </w:placeholder>
        </w:sdtPr>
        <w:sdtContent>
          <w:r w:rsidR="005E3F83" w:rsidRPr="005E3F83">
            <w:rPr>
              <w:color w:val="000000"/>
            </w:rPr>
            <w:t>(Martín-Robles et al., 2018).</w:t>
          </w:r>
        </w:sdtContent>
      </w:sdt>
      <w:r w:rsidRPr="002932E6">
        <w:t xml:space="preserve"> However, recent breeding programs, which is highly mycorrhizal, may not inevitably lead to lower mycorrhizal colonization in maize. Replicated field tests were done for two consecutive years with 225 genotyping hybrids, inbred lines and landraces from different places to study the variation in mycorrhizal colonization </w:t>
      </w:r>
      <w:sdt>
        <w:sdtPr>
          <w:rPr>
            <w:color w:val="000000"/>
          </w:rPr>
          <w:tag w:val="MENDELEY_CITATION_v3_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"/>
          <w:id w:val="-987938543"/>
          <w:placeholder>
            <w:docPart w:val="C796E44BA29C7B49B74F3F722913E754"/>
          </w:placeholder>
        </w:sdtPr>
        <w:sdtContent>
          <w:r w:rsidR="005E3F83" w:rsidRPr="005E3F83">
            <w:rPr>
              <w:color w:val="000000"/>
            </w:rPr>
            <w:t>(An et al., 2010).</w:t>
          </w:r>
        </w:sdtContent>
      </w:sdt>
      <w:r w:rsidRPr="002932E6">
        <w:t xml:space="preserve">The results demonstrated a deep and continuing differentiation between genotypes of AM colonization with much higher values than traditional land and inbred lines in modern hybrids </w:t>
      </w:r>
      <w:sdt>
        <w:sdtPr>
          <w:tag w:val="MENDELEY_CITATION_v3_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"/>
          <w:id w:val="-1133251928"/>
          <w:placeholder>
            <w:docPart w:val="EDF00199ED3DE84983CDB902C1A3FE86"/>
          </w:placeholder>
        </w:sdtPr>
        <w:sdtContent>
          <w:r w:rsidR="005E3F83" w:rsidRPr="004D3F76">
            <w:t>(Posta &amp; Hong Duc, 2020)</w:t>
          </w:r>
        </w:sdtContent>
      </w:sdt>
      <w:r>
        <w:rPr>
          <w:b/>
          <w:i/>
        </w:rPr>
        <w:t>.</w:t>
      </w:r>
    </w:p>
    <w:p w14:paraId="54562C2E" w14:textId="705E69B8" w:rsidR="0019038E" w:rsidRPr="00EB599C" w:rsidRDefault="0019038E" w:rsidP="00595EAE">
      <w:pPr>
        <w:pStyle w:val="mythesis"/>
        <w:rPr>
          <w:color w:val="FF0000"/>
        </w:rPr>
      </w:pPr>
      <w:r w:rsidRPr="002932E6">
        <w:t xml:space="preserve">Recently, there has been a growing body of research indicating that root functional features evolve in tandem with evolutionary history </w:t>
      </w:r>
      <w:sdt>
        <w:sdtPr>
          <w:rPr>
            <w:color w:val="000000"/>
          </w:rPr>
          <w:tag w:val="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"/>
          <w:id w:val="414048972"/>
          <w:placeholder>
            <w:docPart w:val="C796E44BA29C7B49B74F3F722913E754"/>
          </w:placeholder>
        </w:sdtPr>
        <w:sdtContent>
          <w:r w:rsidR="005E3F83" w:rsidRPr="005E3F83">
            <w:rPr>
              <w:color w:val="000000"/>
            </w:rPr>
            <w:t>(Ma et al., 2018; Reinhart et al., 2012)</w:t>
          </w:r>
        </w:sdtContent>
      </w:sdt>
      <w:r w:rsidRPr="002932E6">
        <w:t xml:space="preserve">. Between 1900 and 2010, the total P pool per hectare rose due to long-term agricultural methods, particularly high fertilization and long-term organic residue deposition </w:t>
      </w:r>
      <w:sdt>
        <w:sdtPr>
          <w:rPr>
            <w:color w:val="000000"/>
          </w:rPr>
          <w:tag w:val="MENDELEY_CITATION_v3_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"/>
          <w:id w:val="-441227140"/>
          <w:placeholder>
            <w:docPart w:val="C796E44BA29C7B49B74F3F722913E754"/>
          </w:placeholder>
        </w:sdtPr>
        <w:sdtContent>
          <w:r w:rsidR="005E3F83" w:rsidRPr="005E3F83">
            <w:rPr>
              <w:color w:val="000000"/>
            </w:rPr>
            <w:t>(Sattari et al., 2012; J. Zhang et al., 2017)</w:t>
          </w:r>
        </w:sdtContent>
      </w:sdt>
      <w:r w:rsidRPr="002932E6">
        <w:t xml:space="preserve">. Because current varieties are frequently selected under high-nutrient input conditions to achieve high yields, there is fear that advantageous characteristics for P uptake will gradually wane in elite varieties under a limited P supply. When all nutrients are immediately available to plants, genes or features associated to efficient nutrient acquisition may be lost, as plant adaptation qualities to nutrient deprivation frequently result in increased carbon costs </w:t>
      </w:r>
      <w:sdt>
        <w:sdtPr>
          <w:rPr>
            <w:color w:val="000000"/>
          </w:rPr>
          <w:tag w:val="MENDELEY_CITATION_v3_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"/>
          <w:id w:val="2108237119"/>
          <w:placeholder>
            <w:docPart w:val="C796E44BA29C7B49B74F3F722913E754"/>
          </w:placeholder>
        </w:sdtPr>
        <w:sdtContent>
          <w:r w:rsidR="005E3F83" w:rsidRPr="005E3F83">
            <w:rPr>
              <w:color w:val="000000"/>
            </w:rPr>
            <w:t>(Wang et al., 2010; Wissuwa et al., 2009)</w:t>
          </w:r>
        </w:sdtContent>
      </w:sdt>
      <w:r w:rsidRPr="002932E6">
        <w:t>.</w:t>
      </w:r>
    </w:p>
    <w:p w14:paraId="08E9C81E" w14:textId="4A838974" w:rsidR="0019038E" w:rsidRPr="002932E6" w:rsidRDefault="0019038E" w:rsidP="00595EAE">
      <w:pPr>
        <w:pStyle w:val="mythesis"/>
      </w:pPr>
      <w:r w:rsidRPr="002932E6">
        <w:t xml:space="preserve">When comparing older varieties or landraces to modern lines, the loss of root features contributing to P uptake in wheat cultivars has also been noted, particularly for traits relating with mycorrhizal competence. It is assumed that high nutrition availability inside selection sites reduces the value of symbiotic relationships </w:t>
      </w:r>
      <w:sdt>
        <w:sdtPr>
          <w:rPr>
            <w:color w:val="000000"/>
          </w:rPr>
          <w:tag w:val="MENDELEY_CITATION_v3_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"/>
          <w:id w:val="375124862"/>
          <w:placeholder>
            <w:docPart w:val="C796E44BA29C7B49B74F3F722913E754"/>
          </w:placeholder>
        </w:sdtPr>
        <w:sdtContent>
          <w:r w:rsidR="005E3F83" w:rsidRPr="005E3F83">
            <w:rPr>
              <w:color w:val="000000"/>
            </w:rPr>
            <w:t>(Hetrick et al., 1993; Zhu et al., 2001)</w:t>
          </w:r>
        </w:sdtContent>
      </w:sdt>
      <w:r w:rsidRPr="002932E6">
        <w:t xml:space="preserve">. </w:t>
      </w:r>
      <w:r w:rsidRPr="004D3F76">
        <w:t xml:space="preserve">In homogenous and heterogeneous P soils, different maize genotypes (bred in P-rich or P-poor settings) perform differently. Genotypes produced in a P-rich environment have a competitive </w:t>
      </w:r>
      <w:r w:rsidRPr="004D3F76">
        <w:lastRenderedPageBreak/>
        <w:t xml:space="preserve">advantage under heterogeneous P soil distribution, whereas genotypes reared in a P-poor environment have a stronger competitive ability under homogeneous P soil distribution </w:t>
      </w:r>
      <w:sdt>
        <w:sdtPr>
          <w:tag w:val="MENDELEY_CITATION_v3_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"/>
          <w:id w:val="-2031397468"/>
          <w:placeholder>
            <w:docPart w:val="C796E44BA29C7B49B74F3F722913E754"/>
          </w:placeholder>
        </w:sdtPr>
        <w:sdtContent>
          <w:r w:rsidR="005E3F83" w:rsidRPr="004D3F76">
            <w:t>(Li et al., 2019)</w:t>
          </w:r>
        </w:sdtContent>
      </w:sdt>
      <w:r w:rsidRPr="004D3F76">
        <w:t xml:space="preserve">. </w:t>
      </w:r>
      <w:r w:rsidRPr="002932E6">
        <w:t xml:space="preserve">Soil microorganisms, which are stimulated in the rhizosphere and vary in number depending on nitrogen and P availability, also influence maize growth </w:t>
      </w:r>
      <w:sdt>
        <w:sdtPr>
          <w:rPr>
            <w:color w:val="000000"/>
          </w:rPr>
          <w:tag w:val="MENDELEY_CITATION_v3_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"/>
          <w:id w:val="-482847379"/>
          <w:placeholder>
            <w:docPart w:val="C796E44BA29C7B49B74F3F722913E754"/>
          </w:placeholder>
        </w:sdtPr>
        <w:sdtContent>
          <w:r w:rsidR="005E3F83" w:rsidRPr="004D3F76">
            <w:t>(Bradáčová et al., 2020)</w:t>
          </w:r>
        </w:sdtContent>
      </w:sdt>
      <w:r w:rsidRPr="002932E6">
        <w:t xml:space="preserve">. Optimized bacterial or fungal microbiome populations that rely on the carbon supplied by the plant's roots can result in improved maize growth </w:t>
      </w:r>
      <w:sdt>
        <w:sdtPr>
          <w:rPr>
            <w:color w:val="000000"/>
          </w:rPr>
          <w:tag w:val="MENDELEY_CITATION_v3_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"/>
          <w:id w:val="1767582603"/>
          <w:placeholder>
            <w:docPart w:val="C796E44BA29C7B49B74F3F722913E754"/>
          </w:placeholder>
        </w:sdtPr>
        <w:sdtContent>
          <w:r w:rsidR="005E3F83" w:rsidRPr="005E3F83">
            <w:rPr>
              <w:color w:val="000000"/>
            </w:rPr>
            <w:t>(Bradáčová et al., 2019)</w:t>
          </w:r>
        </w:sdtContent>
      </w:sdt>
      <w:r w:rsidRPr="002932E6">
        <w:t>.</w:t>
      </w:r>
    </w:p>
    <w:p w14:paraId="0BAECD7D" w14:textId="77777777" w:rsidR="0019038E" w:rsidRPr="002932E6" w:rsidRDefault="0019038E" w:rsidP="00595EAE">
      <w:pPr>
        <w:pStyle w:val="mythesis"/>
      </w:pPr>
      <w:r w:rsidRPr="002932E6">
        <w:t>Thousands of maize varieties have been developed around the world, and they can be divided into three basic categories: landraces, open pollinated populations, and hybrids. Breeding appears to have influenced the degree of mycorrhizal colonization.</w:t>
      </w:r>
    </w:p>
    <w:p w14:paraId="4C0DFCCA" w14:textId="04690395" w:rsidR="0019038E" w:rsidRPr="002932E6" w:rsidRDefault="0019038E" w:rsidP="00595EAE">
      <w:pPr>
        <w:pStyle w:val="mythesis"/>
      </w:pPr>
      <w:r w:rsidRPr="002932E6">
        <w:t xml:space="preserve">An analysis of mycorrhizal colonization in 141 inbred lines, 38 hybrids, and 76 maize landraces found that the percentage of colonization varies substantially. Inbred lines introduced in specific regions and years have much higher values than other lines. Modern hybrids outperform inbred lines and older landraces in terms of value, However, the year-of-release influence on colonization varies depending on the origin </w:t>
      </w:r>
      <w:sdt>
        <w:sdtPr>
          <w:rPr>
            <w:color w:val="000000"/>
          </w:rPr>
          <w:tag w:val="MENDELEY_CITATION_v3_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"/>
          <w:id w:val="-1535269539"/>
          <w:placeholder>
            <w:docPart w:val="C796E44BA29C7B49B74F3F722913E754"/>
          </w:placeholder>
        </w:sdtPr>
        <w:sdtContent>
          <w:r w:rsidR="005E3F83" w:rsidRPr="005E3F83">
            <w:rPr>
              <w:color w:val="000000"/>
            </w:rPr>
            <w:t>(An et al., 2010)</w:t>
          </w:r>
        </w:sdtContent>
      </w:sdt>
      <w:r w:rsidRPr="002932E6">
        <w:t>.</w:t>
      </w:r>
    </w:p>
    <w:p w14:paraId="4FA7BD0E" w14:textId="64EB0DF8" w:rsidR="0019038E" w:rsidRPr="002932E6" w:rsidRDefault="0019038E" w:rsidP="00595EAE">
      <w:pPr>
        <w:pStyle w:val="mythesis"/>
      </w:pPr>
      <w:r w:rsidRPr="002932E6">
        <w:t xml:space="preserve">In modern well-managed agroecosystems, high maize yields are dependent on the usage of superior varieties and hybrids. Unfortunately, some beneficial traits, such as interaction with arbuscular mycorrhizal fungi or the release of organic acid anions for phosphate mobilization and attracting beneficial microorganisms, may be gradually declining in modern elite genotypes due to repeated selection at high fertilizer rates. However, old founder lines and landraces may contain genetic relics from pre-green revolution times that can be used to generate elite material for low-input agricultural systems. </w:t>
      </w:r>
      <w:sdt>
        <w:sdtPr>
          <w:rPr>
            <w:color w:val="000000"/>
          </w:rPr>
          <w:tag w:val="MENDELEY_CITATION_v3_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"/>
          <w:id w:val="-1930039469"/>
          <w:placeholder>
            <w:docPart w:val="C796E44BA29C7B49B74F3F722913E754"/>
          </w:placeholder>
        </w:sdtPr>
        <w:sdtContent>
          <w:r w:rsidR="005E3F83" w:rsidRPr="005E3F83">
            <w:rPr>
              <w:color w:val="000000"/>
            </w:rPr>
            <w:t>(Li et al., 2021)</w:t>
          </w:r>
        </w:sdtContent>
      </w:sdt>
      <w:r w:rsidRPr="002932E6">
        <w:t xml:space="preserve"> also suggested that Maize lines linked with higher P-acquisition efficiency in the presence of reduced P availability should be used to breed more sustainable varieties.</w:t>
      </w:r>
    </w:p>
    <w:p w14:paraId="710C9C99" w14:textId="64BCA2E9" w:rsidR="0019038E" w:rsidRPr="002932E6" w:rsidRDefault="00000000" w:rsidP="00595EAE">
      <w:pPr>
        <w:pStyle w:val="mythesis"/>
        <w:rPr>
          <w:rFonts w:eastAsiaTheme="minorHAnsi"/>
        </w:rPr>
      </w:pPr>
      <w:sdt>
        <w:sdtPr>
          <w:rPr>
            <w:rFonts w:eastAsiaTheme="minorHAnsi"/>
            <w:color w:val="000000"/>
          </w:rPr>
          <w:tag w:val="MENDELEY_CITATION_v3_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"/>
          <w:id w:val="2087645991"/>
          <w:placeholder>
            <w:docPart w:val="C796E44BA29C7B49B74F3F722913E754"/>
          </w:placeholder>
        </w:sdtPr>
        <w:sdtContent>
          <w:r w:rsidR="005E3F83" w:rsidRPr="005E3F83">
            <w:rPr>
              <w:rFonts w:eastAsiaTheme="minorHAnsi"/>
              <w:color w:val="000000"/>
            </w:rPr>
            <w:t>(Chu et al., 2013)</w:t>
          </w:r>
        </w:sdtContent>
      </w:sdt>
      <w:r w:rsidR="0019038E" w:rsidRPr="002932E6">
        <w:rPr>
          <w:rFonts w:eastAsiaTheme="minorHAnsi"/>
        </w:rPr>
        <w:t xml:space="preserve"> concluded that maize breeding selection from the 1950s to the 2000s is not always against the AM association and that AMF perform beneficial functions in promoting the growth of some maize genotypes in high-P soil The colonization of root length by effective AMF could be a valuable measure for breeding types with improved mycorrhizal responsiveness.</w:t>
      </w:r>
    </w:p>
    <w:p w14:paraId="0BE0839C" w14:textId="2F2981B8" w:rsidR="0019038E" w:rsidRPr="0007208B" w:rsidRDefault="0019038E" w:rsidP="00595EAE">
      <w:pPr>
        <w:pStyle w:val="mythesis"/>
        <w:rPr>
          <w:rFonts w:eastAsiaTheme="minorHAnsi"/>
          <w:color w:val="FF0000"/>
        </w:rPr>
      </w:pPr>
      <w:r w:rsidRPr="002932E6">
        <w:rPr>
          <w:rFonts w:eastAsiaTheme="minorHAnsi"/>
        </w:rPr>
        <w:lastRenderedPageBreak/>
        <w:t xml:space="preserve">Because modern crop varieties have been selected under circumstances of high soil fertility, they are less dependent on AMF than older types </w:t>
      </w:r>
      <w:sdt>
        <w:sdtPr>
          <w:rPr>
            <w:rFonts w:eastAsiaTheme="minorHAnsi"/>
            <w:color w:val="000000"/>
          </w:rPr>
          <w:tag w:val="MENDELEY_CITATION_v3_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"/>
          <w:id w:val="-247724921"/>
          <w:placeholder>
            <w:docPart w:val="C796E44BA29C7B49B74F3F722913E754"/>
          </w:placeholder>
        </w:sdtPr>
        <w:sdtContent>
          <w:r w:rsidR="005E3F83" w:rsidRPr="005E3F83">
            <w:rPr>
              <w:rFonts w:eastAsiaTheme="minorHAnsi"/>
              <w:color w:val="000000"/>
            </w:rPr>
            <w:t>(Zhu et al., 2001)</w:t>
          </w:r>
        </w:sdtContent>
      </w:sdt>
      <w:r w:rsidRPr="002932E6">
        <w:rPr>
          <w:rFonts w:eastAsiaTheme="minorHAnsi"/>
        </w:rPr>
        <w:t>.</w:t>
      </w:r>
      <w:r w:rsidR="00DC445B">
        <w:rPr>
          <w:rFonts w:eastAsiaTheme="minorHAnsi"/>
        </w:rPr>
        <w:t xml:space="preserve"> </w:t>
      </w:r>
      <w:r w:rsidRPr="002932E6">
        <w:rPr>
          <w:rFonts w:eastAsiaTheme="minorHAnsi"/>
        </w:rPr>
        <w:t>I</w:t>
      </w:r>
      <w:r w:rsidRPr="002932E6">
        <w:t xml:space="preserve"> </w:t>
      </w:r>
      <w:r w:rsidRPr="002932E6">
        <w:rPr>
          <w:rFonts w:eastAsiaTheme="minorHAnsi"/>
        </w:rPr>
        <w:t xml:space="preserve">In modern cereal breeding, for example, selecting high yielding crops usually entails selecting traits that result in adaptability to high soil fertility. Such efforts have resulted in a decrease in the dependence of modern cereal cultivars on AMF </w:t>
      </w:r>
      <w:sdt>
        <w:sdtPr>
          <w:rPr>
            <w:rFonts w:eastAsiaTheme="minorHAnsi"/>
            <w:color w:val="000000"/>
          </w:rPr>
          <w:tag w:val="MENDELEY_CITATION_v3_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"/>
          <w:id w:val="-948232716"/>
          <w:placeholder>
            <w:docPart w:val="C796E44BA29C7B49B74F3F722913E754"/>
          </w:placeholder>
        </w:sdtPr>
        <w:sdtContent>
          <w:r w:rsidR="005E3F83" w:rsidRPr="005E3F83">
            <w:rPr>
              <w:rFonts w:eastAsiaTheme="minorHAnsi"/>
              <w:color w:val="000000"/>
            </w:rPr>
            <w:t>(Baon et al., 1993; Hetrick et al., 1992; Zhu et al., 2001)</w:t>
          </w:r>
        </w:sdtContent>
      </w:sdt>
      <w:r w:rsidRPr="002932E6">
        <w:rPr>
          <w:rFonts w:eastAsiaTheme="minorHAnsi"/>
        </w:rPr>
        <w:t xml:space="preserve">. Although the application of fertilizers and pesticides is supposed to impede AMF, even with intensive crop management, the soil may still have a rich community of AMF </w:t>
      </w:r>
      <w:sdt>
        <w:sdtPr>
          <w:rPr>
            <w:rFonts w:eastAsiaTheme="minorHAnsi"/>
            <w:color w:val="000000"/>
          </w:rPr>
          <w:tag w:val="MENDELEY_CITATION_v3_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"/>
          <w:id w:val="-749186313"/>
          <w:placeholder>
            <w:docPart w:val="C796E44BA29C7B49B74F3F722913E754"/>
          </w:placeholder>
        </w:sdtPr>
        <w:sdtContent>
          <w:r w:rsidR="005E3F83" w:rsidRPr="005E3F83">
            <w:rPr>
              <w:rFonts w:eastAsiaTheme="minorHAnsi"/>
              <w:color w:val="000000"/>
            </w:rPr>
            <w:t>(Oehl et al., 2004),</w:t>
          </w:r>
        </w:sdtContent>
      </w:sdt>
      <w:r w:rsidRPr="002932E6">
        <w:rPr>
          <w:rFonts w:eastAsiaTheme="minorHAnsi"/>
        </w:rPr>
        <w:t xml:space="preserve"> even when the soil's available P concentration is high </w:t>
      </w:r>
      <w:sdt>
        <w:sdtPr>
          <w:rPr>
            <w:rFonts w:eastAsiaTheme="minorHAnsi"/>
            <w:color w:val="000000"/>
          </w:rPr>
          <w:tag w:val="MENDELEY_CITATION_v3_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"/>
          <w:id w:val="322177641"/>
          <w:placeholder>
            <w:docPart w:val="C796E44BA29C7B49B74F3F722913E754"/>
          </w:placeholder>
        </w:sdtPr>
        <w:sdtContent>
          <w:r w:rsidR="005E3F83" w:rsidRPr="005E3F83">
            <w:rPr>
              <w:rFonts w:eastAsiaTheme="minorHAnsi"/>
              <w:color w:val="000000"/>
            </w:rPr>
            <w:t>(Thomson et al., 1992; Vestberg et al., 2011)</w:t>
          </w:r>
        </w:sdtContent>
      </w:sdt>
      <w:r w:rsidRPr="002932E6">
        <w:rPr>
          <w:rFonts w:eastAsiaTheme="minorHAnsi"/>
        </w:rPr>
        <w:t>.</w:t>
      </w:r>
    </w:p>
    <w:p w14:paraId="3F25AC0C" w14:textId="79892033" w:rsidR="0019038E" w:rsidRPr="002932E6" w:rsidRDefault="0019038E" w:rsidP="00595EAE">
      <w:pPr>
        <w:pStyle w:val="mythesis"/>
        <w:rPr>
          <w:rFonts w:eastAsiaTheme="minorHAnsi"/>
        </w:rPr>
      </w:pPr>
      <w:r w:rsidRPr="002932E6">
        <w:rPr>
          <w:rFonts w:eastAsiaTheme="minorHAnsi"/>
        </w:rPr>
        <w:t xml:space="preserve">Mycorrhizal responsiveness, defined as improved plant growth or P absorption as a result of AMF colonization, is an important functional trait of crops </w:t>
      </w:r>
      <w:sdt>
        <w:sdtPr>
          <w:rPr>
            <w:rFonts w:eastAsiaTheme="minorHAnsi"/>
            <w:color w:val="000000"/>
          </w:rPr>
          <w:tag w:val="MENDELEY_CITATION_v3_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"/>
          <w:id w:val="-1866208486"/>
          <w:placeholder>
            <w:docPart w:val="C796E44BA29C7B49B74F3F722913E754"/>
          </w:placeholder>
        </w:sdtPr>
        <w:sdtContent>
          <w:r w:rsidR="005E3F83" w:rsidRPr="005E3F83">
            <w:rPr>
              <w:rFonts w:eastAsiaTheme="minorHAnsi"/>
              <w:color w:val="000000"/>
            </w:rPr>
            <w:t>(Janos, 2007)</w:t>
          </w:r>
        </w:sdtContent>
      </w:sdt>
      <w:r w:rsidRPr="002932E6">
        <w:rPr>
          <w:rFonts w:eastAsiaTheme="minorHAnsi"/>
        </w:rPr>
        <w:t xml:space="preserve">. recently it was proposed that P fertilizer availability is not always the most important factor determining the effectiveness of AMF to crop P nutrition and growth in different cropping systems. Mycorrhizal responsiveness does not depend on the fertility of soil, especially the P-level available in soil </w:t>
      </w:r>
      <w:sdt>
        <w:sdtPr>
          <w:rPr>
            <w:rFonts w:eastAsiaTheme="minorHAnsi"/>
          </w:rPr>
          <w:tag w:val="MENDELEY_CITATION_v3_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"/>
          <w:id w:val="-2121519827"/>
          <w:placeholder>
            <w:docPart w:val="C796E44BA29C7B49B74F3F722913E754"/>
          </w:placeholder>
        </w:sdtPr>
        <w:sdtContent>
          <w:r w:rsidR="005E3F83">
            <w:t>(Nogueira &amp; Cardoso, 2006)</w:t>
          </w:r>
        </w:sdtContent>
      </w:sdt>
      <w:r w:rsidRPr="002932E6">
        <w:rPr>
          <w:rFonts w:eastAsiaTheme="minorHAnsi"/>
        </w:rPr>
        <w:t xml:space="preserve">, but possibly other functional factors associated to P, such morphological properties or root exudates as </w:t>
      </w:r>
      <w:sdt>
        <w:sdtPr>
          <w:rPr>
            <w:rFonts w:eastAsiaTheme="minorHAnsi"/>
            <w:color w:val="000000"/>
          </w:rPr>
          <w:tag w:val="MENDELEY_CITATION_v3_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"/>
          <w:id w:val="-737704993"/>
          <w:placeholder>
            <w:docPart w:val="C796E44BA29C7B49B74F3F722913E754"/>
          </w:placeholder>
        </w:sdtPr>
        <w:sdtContent>
          <w:r w:rsidR="005E3F83" w:rsidRPr="005E3F83">
            <w:rPr>
              <w:rFonts w:eastAsiaTheme="minorHAnsi"/>
              <w:color w:val="000000"/>
            </w:rPr>
            <w:t>(Yao et al., 2001)</w:t>
          </w:r>
        </w:sdtContent>
      </w:sdt>
      <w:r w:rsidRPr="002932E6">
        <w:rPr>
          <w:rFonts w:eastAsiaTheme="minorHAnsi"/>
        </w:rPr>
        <w:t xml:space="preserve"> suggested. Crops or even cultivars with varying morphological or physiological root properties of the same species may differentially react to AMF at different soil P fertility levels </w:t>
      </w:r>
      <w:sdt>
        <w:sdtPr>
          <w:rPr>
            <w:rFonts w:eastAsiaTheme="minorHAnsi"/>
            <w:color w:val="000000"/>
          </w:rPr>
          <w:tag w:val="MENDELEY_CITATION_v3_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"/>
          <w:id w:val="1641234520"/>
          <w:placeholder>
            <w:docPart w:val="C796E44BA29C7B49B74F3F722913E754"/>
          </w:placeholder>
        </w:sdtPr>
        <w:sdtContent>
          <w:r w:rsidR="005E3F83" w:rsidRPr="005E3F83">
            <w:rPr>
              <w:rFonts w:eastAsiaTheme="minorHAnsi"/>
              <w:color w:val="000000"/>
            </w:rPr>
            <w:t>(Tawaraya, 2003; Yao et al., 2001)</w:t>
          </w:r>
        </w:sdtContent>
      </w:sdt>
      <w:r w:rsidRPr="002932E6">
        <w:rPr>
          <w:rFonts w:eastAsiaTheme="minorHAnsi"/>
        </w:rPr>
        <w:t xml:space="preserve">. For example, in cultivated wheat lines the mycorrhizal response was lower in P-deficient soil than in wild wheat, while the difference was due to the level of genetic affinity between wheat and AMF </w:t>
      </w:r>
      <w:sdt>
        <w:sdtPr>
          <w:rPr>
            <w:rFonts w:eastAsiaTheme="minorHAnsi"/>
          </w:rPr>
          <w:tag w:val="MENDELEY_CITATION_v3_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"/>
          <w:id w:val="-1877382577"/>
          <w:placeholder>
            <w:docPart w:val="C796E44BA29C7B49B74F3F722913E754"/>
          </w:placeholder>
        </w:sdtPr>
        <w:sdtContent>
          <w:r w:rsidR="005E3F83">
            <w:t>(Kapulnik &amp; Kushnir, 1991)</w:t>
          </w:r>
        </w:sdtContent>
      </w:sdt>
      <w:r w:rsidRPr="002932E6">
        <w:rPr>
          <w:rFonts w:eastAsiaTheme="minorHAnsi"/>
        </w:rPr>
        <w:t xml:space="preserve">. In Maize, some older maize cultivars did not respond to AMF colonization, whereas others showed an increase of 400% in P-deficient soils </w:t>
      </w:r>
      <w:sdt>
        <w:sdtPr>
          <w:rPr>
            <w:rFonts w:eastAsiaTheme="minorHAnsi"/>
            <w:color w:val="000000"/>
          </w:rPr>
          <w:tag w:val="MENDELEY_CITATION_v3_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"/>
          <w:id w:val="1399779541"/>
          <w:placeholder>
            <w:docPart w:val="C796E44BA29C7B49B74F3F722913E754"/>
          </w:placeholder>
        </w:sdtPr>
        <w:sdtContent>
          <w:r w:rsidR="005E3F83" w:rsidRPr="005E3F83">
            <w:rPr>
              <w:rFonts w:eastAsiaTheme="minorHAnsi"/>
              <w:color w:val="000000"/>
            </w:rPr>
            <w:t>(Khalil et al., 1994)</w:t>
          </w:r>
        </w:sdtContent>
      </w:sdt>
      <w:r w:rsidRPr="002932E6">
        <w:rPr>
          <w:rFonts w:eastAsiaTheme="minorHAnsi"/>
        </w:rPr>
        <w:t xml:space="preserve">. </w:t>
      </w:r>
    </w:p>
    <w:p w14:paraId="234620ED" w14:textId="22C09966" w:rsidR="0019038E" w:rsidRPr="002932E6" w:rsidRDefault="0019038E" w:rsidP="00595EAE">
      <w:pPr>
        <w:pStyle w:val="mythesis"/>
      </w:pPr>
      <w:r w:rsidRPr="002932E6">
        <w:t xml:space="preserve">To date, most investigations in P-deficient soils have been carried out and little is known as to whether the mycorrhizal responsivity of maize in modern cultivars in high P conditions or the link between mycorrhizal response and morphological, physiological and mycorrhizal traits has been changed in modern cultivars. There is increasing evidence that mycorrhizal responsiveness among plant genotypes is really variable </w:t>
      </w:r>
      <w:sdt>
        <w:sdtPr>
          <w:rPr>
            <w:color w:val="000000"/>
          </w:rPr>
          <w:tag w:val="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"/>
          <w:id w:val="1727416174"/>
          <w:placeholder>
            <w:docPart w:val="C796E44BA29C7B49B74F3F722913E754"/>
          </w:placeholder>
        </w:sdtPr>
        <w:sdtContent>
          <w:r w:rsidR="005E3F83" w:rsidRPr="005E3F83">
            <w:rPr>
              <w:color w:val="000000"/>
            </w:rPr>
            <w:t>(An et al., 2010; Declerck et al., 1995; Hetrick et al., 1992; Kaeppler et al., 2000a; Krishna et al., 1985)</w:t>
          </w:r>
        </w:sdtContent>
      </w:sdt>
      <w:r w:rsidRPr="002932E6">
        <w:t xml:space="preserve">. For instance, </w:t>
      </w:r>
      <w:sdt>
        <w:sdtPr>
          <w:rPr>
            <w:color w:val="000000"/>
          </w:rPr>
          <w:tag w:val="MENDELEY_CITATION_v3_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"/>
          <w:id w:val="-509839707"/>
          <w:placeholder>
            <w:docPart w:val="C796E44BA29C7B49B74F3F722913E754"/>
          </w:placeholder>
        </w:sdtPr>
        <w:sdtContent>
          <w:r w:rsidR="005E3F83" w:rsidRPr="005E3F83">
            <w:rPr>
              <w:color w:val="000000"/>
            </w:rPr>
            <w:t>(Wright et al., 2005)</w:t>
          </w:r>
        </w:sdtContent>
      </w:sdt>
      <w:r w:rsidRPr="002932E6">
        <w:rPr>
          <w:color w:val="00B050"/>
        </w:rPr>
        <w:t xml:space="preserve"> </w:t>
      </w:r>
      <w:r w:rsidRPr="002932E6">
        <w:t xml:space="preserve">clarified that a corn variety which had not been acclimated to low P soils, but was well suited to high P soils, showed more mycorrhizal responsiveness than a culture which was well suited to low P soils. Some quantitative traits have been identified in maize that control </w:t>
      </w:r>
      <w:r w:rsidRPr="002932E6">
        <w:lastRenderedPageBreak/>
        <w:t>mycorrhizal response</w:t>
      </w:r>
      <w:r w:rsidRPr="00AC7324">
        <w:rPr>
          <w:color w:val="FF0000"/>
        </w:rPr>
        <w:t>.</w:t>
      </w:r>
      <w:r w:rsidRPr="002932E6">
        <w:t xml:space="preserve"> </w:t>
      </w:r>
      <w:sdt>
        <w:sdtPr>
          <w:rPr>
            <w:color w:val="000000"/>
          </w:rPr>
          <w:tag w:val="MENDELEY_CITATION_v3_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"/>
          <w:id w:val="1243141036"/>
          <w:placeholder>
            <w:docPart w:val="C796E44BA29C7B49B74F3F722913E754"/>
          </w:placeholder>
        </w:sdtPr>
        <w:sdtContent>
          <w:r w:rsidR="005E3F83" w:rsidRPr="005E3F83">
            <w:rPr>
              <w:color w:val="000000"/>
            </w:rPr>
            <w:t>(Kaeppler et al., 2000)</w:t>
          </w:r>
        </w:sdtContent>
      </w:sdt>
      <w:r w:rsidRPr="002932E6">
        <w:t>. From these many studies we can understand that mycorrhizal responsiveness is unpredictable.</w:t>
      </w:r>
    </w:p>
    <w:p w14:paraId="5469F266" w14:textId="157C085A" w:rsidR="0019038E" w:rsidRPr="002932E6" w:rsidRDefault="00000000" w:rsidP="00595EAE">
      <w:pPr>
        <w:pStyle w:val="mythesis"/>
      </w:pPr>
      <w:sdt>
        <w:sdtPr>
          <w:tag w:val="MENDELEY_CITATION_v3_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"/>
          <w:id w:val="-2063941796"/>
          <w:placeholder>
            <w:docPart w:val="C796E44BA29C7B49B74F3F722913E754"/>
          </w:placeholder>
        </w:sdtPr>
        <w:sdtContent>
          <w:r w:rsidR="005E3F83">
            <w:t>(Hohmann &amp; Messmer, 2017)</w:t>
          </w:r>
        </w:sdtContent>
      </w:sdt>
      <w:r w:rsidR="0019038E" w:rsidRPr="002932E6">
        <w:t xml:space="preserve"> pointed out that as it knows, AMF can induce systems for the protection of plants, the major phytohormones which govern important signalling pathways appear to be jasmonic acid (JA) and salicylic acid (SA). As a result, defense-related chemicals can be activated locally or systemically, constitutively or primed. Genotyped plant reactions for mycorrhizal responsivity have been demonstrated (when based on biomass), But it is not understood very much when the AMF-mediated disease resistance genotypes variation is involved.</w:t>
      </w:r>
    </w:p>
    <w:p w14:paraId="7F8505C6" w14:textId="50C790D7" w:rsidR="0019038E" w:rsidRPr="00EB599C" w:rsidRDefault="0019038E" w:rsidP="00595EAE">
      <w:pPr>
        <w:pStyle w:val="mythesis"/>
        <w:rPr>
          <w:color w:val="FF0000"/>
        </w:rPr>
      </w:pPr>
      <w:r w:rsidRPr="002932E6">
        <w:t xml:space="preserve">The microbial structure in the rhizosphere can be influenced by plants. The microbial population in the rhizosphere has been proved to be modified not only by different plant species, but also by various genotypes by Exuding chemicals which activate or inhibit specific pathogenic or beneficial microbial substances. This prove that the Genotypic variation can affect the mycorrhizal responsiveness, </w:t>
      </w:r>
      <w:sdt>
        <w:sdtPr>
          <w:tag w:val="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"/>
          <w:id w:val="1364709602"/>
          <w:placeholder>
            <w:docPart w:val="C796E44BA29C7B49B74F3F722913E754"/>
          </w:placeholder>
        </w:sdtPr>
        <w:sdtEndPr>
          <w:rPr>
            <w:color w:val="FF0000"/>
          </w:rPr>
        </w:sdtEndPr>
        <w:sdtContent>
          <w:r w:rsidR="005E3F83">
            <w:t>(Berg et al., 2006; Micallef et al., 2009; Parke &amp; Kaeppler, 2000; Peiffer et al., 2013; Sawers et al., 2010; Viebahn et al., 2005)</w:t>
          </w:r>
          <w:r w:rsidR="00BA7578">
            <w:t xml:space="preserve"> </w:t>
          </w:r>
        </w:sdtContent>
      </w:sdt>
      <w:r w:rsidRPr="002932E6">
        <w:rPr>
          <w:rFonts w:eastAsiaTheme="minorHAnsi"/>
        </w:rPr>
        <w:t xml:space="preserve">suggested that the Plants' ability to respond to AMF can vary greatly among plants and genotypes. </w:t>
      </w:r>
    </w:p>
    <w:p w14:paraId="2D3B6B27" w14:textId="77777777" w:rsidR="0019038E" w:rsidRDefault="0019038E" w:rsidP="0019038E">
      <w:pPr>
        <w:pStyle w:val="Heading3"/>
      </w:pPr>
      <w:bookmarkStart w:id="15" w:name="_Toc83751406"/>
      <w:r w:rsidRPr="002932E6">
        <w:t>1.1.8 Protection against biotic and other abiotic stresses</w:t>
      </w:r>
      <w:bookmarkEnd w:id="15"/>
    </w:p>
    <w:p w14:paraId="5B8A7223" w14:textId="77777777" w:rsidR="0019038E" w:rsidRPr="00EB599C" w:rsidRDefault="0019038E" w:rsidP="0019038E"/>
    <w:p w14:paraId="694980AE" w14:textId="2B55DC03" w:rsidR="0019038E" w:rsidRPr="00EB599C" w:rsidRDefault="0019038E" w:rsidP="009738C7">
      <w:pPr>
        <w:pStyle w:val="mythesis"/>
        <w:rPr>
          <w:rFonts w:eastAsiaTheme="minorHAnsi"/>
          <w:color w:val="00B050"/>
        </w:rPr>
      </w:pPr>
      <w:r w:rsidRPr="002932E6">
        <w:t xml:space="preserve">Nowadays the environmentally friendly system strategies tend to use the AMF are known as biological or biofertilizer for their great role in mitigation abiotic stress that affect plant growth ad increase its productivity as wrong agricultural practices, climate change and excessive use of chemical fertilizer led to the deterioration of the ecosystem.it was found that inoculation with AMF provide endurance against stressful condition. such as heat, salinity, drought, heavy metals and other factors, and because of the ability of the AMF to coexist with the roots of plant, it is thus considered very useful for the plant and enhances the quality and productivity of crops </w:t>
      </w:r>
      <w:sdt>
        <w:sdtPr>
          <w:rPr>
            <w:color w:val="000000"/>
          </w:rPr>
          <w:tag w:val="MENDELEY_CITATION_v3_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"/>
          <w:id w:val="1595827772"/>
          <w:placeholder>
            <w:docPart w:val="C796E44BA29C7B49B74F3F722913E754"/>
          </w:placeholder>
        </w:sdtPr>
        <w:sdtContent>
          <w:r w:rsidR="005E3F83" w:rsidRPr="005E3F83">
            <w:rPr>
              <w:color w:val="000000"/>
            </w:rPr>
            <w:t>(Begum et al., 2019)</w:t>
          </w:r>
        </w:sdtContent>
      </w:sdt>
      <w:r w:rsidRPr="002932E6">
        <w:t>.</w:t>
      </w:r>
      <w:r w:rsidR="00F73EFE">
        <w:t xml:space="preserve"> A</w:t>
      </w:r>
      <w:r w:rsidRPr="002932E6">
        <w:t xml:space="preserve">s well as the ability to play an important and effective role with biotic stress also </w:t>
      </w:r>
      <w:sdt>
        <w:sdtPr>
          <w:rPr>
            <w:color w:val="000000"/>
          </w:rPr>
          <w:tag w:val="MENDELEY_CITATION_v3_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"/>
          <w:id w:val="-1836681918"/>
          <w:placeholder>
            <w:docPart w:val="C796E44BA29C7B49B74F3F722913E754"/>
          </w:placeholder>
        </w:sdtPr>
        <w:sdtContent>
          <w:r w:rsidR="005E3F83" w:rsidRPr="005E3F83">
            <w:rPr>
              <w:color w:val="000000"/>
            </w:rPr>
            <w:t>(Jan et al., 2021)</w:t>
          </w:r>
        </w:sdtContent>
      </w:sdt>
      <w:r w:rsidRPr="002932E6">
        <w:t>. Such as enhanced resistance to pathogenic microorganisms</w:t>
      </w:r>
      <w:r w:rsidRPr="002932E6">
        <w:rPr>
          <w:u w:color="FF0000"/>
        </w:rPr>
        <w:t xml:space="preserve"> </w:t>
      </w:r>
      <w:sdt>
        <w:sdtPr>
          <w:rPr>
            <w:u w:color="FF0000"/>
          </w:rPr>
          <w:tag w:val="MENDELEY_CITATION_v3_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"/>
          <w:id w:val="1040788565"/>
          <w:placeholder>
            <w:docPart w:val="C796E44BA29C7B49B74F3F722913E754"/>
          </w:placeholder>
        </w:sdtPr>
        <w:sdtEndPr>
          <w:rPr>
            <w:color w:val="00B050"/>
          </w:rPr>
        </w:sdtEndPr>
        <w:sdtContent>
          <w:r w:rsidR="005E3F83">
            <w:t>(Sreenivasa &amp; Bagyaraj, 1989)</w:t>
          </w:r>
        </w:sdtContent>
      </w:sdt>
      <w:r w:rsidRPr="002932E6">
        <w:rPr>
          <w:u w:color="FF0000"/>
        </w:rPr>
        <w:t xml:space="preserve">, priming plants also for effective defense activation against attackers </w:t>
      </w:r>
      <w:sdt>
        <w:sdtPr>
          <w:rPr>
            <w:u w:color="FF0000"/>
          </w:rPr>
          <w:tag w:val="MENDELEY_CITATION_v3_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"/>
          <w:id w:val="-1000962110"/>
          <w:placeholder>
            <w:docPart w:val="C796E44BA29C7B49B74F3F722913E754"/>
          </w:placeholder>
        </w:sdtPr>
        <w:sdtContent>
          <w:r w:rsidR="005E3F83">
            <w:t>(Heil &amp; Ton, 2008)</w:t>
          </w:r>
        </w:sdtContent>
      </w:sdt>
      <w:r w:rsidRPr="002932E6">
        <w:rPr>
          <w:u w:color="FF0000"/>
        </w:rPr>
        <w:t xml:space="preserve">, and induced the plant to regulate the secretion of the primary and secondary metabolites compounds </w:t>
      </w:r>
      <w:r w:rsidRPr="002932E6">
        <w:rPr>
          <w:rFonts w:eastAsiaTheme="minorHAnsi"/>
        </w:rPr>
        <w:t xml:space="preserve">and regulation of the plant defense mechanisms </w:t>
      </w:r>
      <w:sdt>
        <w:sdtPr>
          <w:rPr>
            <w:rFonts w:eastAsiaTheme="minorHAnsi"/>
          </w:rPr>
          <w:tag w:val="MENDELEY_CITATION_v3_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"/>
          <w:id w:val="-820035945"/>
          <w:placeholder>
            <w:docPart w:val="C796E44BA29C7B49B74F3F722913E754"/>
          </w:placeholder>
        </w:sdtPr>
        <w:sdtEndPr>
          <w:rPr>
            <w:color w:val="00B050"/>
          </w:rPr>
        </w:sdtEndPr>
        <w:sdtContent>
          <w:r w:rsidR="005E3F83">
            <w:t>(Harrison, 1999; Hause &amp; Fester, 2005).</w:t>
          </w:r>
        </w:sdtContent>
      </w:sdt>
    </w:p>
    <w:p w14:paraId="43DA767E" w14:textId="77777777" w:rsidR="0019038E" w:rsidRDefault="0019038E" w:rsidP="0019038E">
      <w:pPr>
        <w:pStyle w:val="Heading3"/>
      </w:pPr>
      <w:bookmarkStart w:id="16" w:name="_Toc83751407"/>
      <w:r w:rsidRPr="002932E6">
        <w:lastRenderedPageBreak/>
        <w:t>1.1.9 Role of mycorrhization in influencing the plant defense</w:t>
      </w:r>
      <w:bookmarkEnd w:id="16"/>
    </w:p>
    <w:p w14:paraId="2F008D1A" w14:textId="77777777" w:rsidR="0019038E" w:rsidRPr="00EB599C" w:rsidRDefault="0019038E" w:rsidP="0019038E"/>
    <w:p w14:paraId="4331E34E" w14:textId="75AFD94E" w:rsidR="0019038E" w:rsidRPr="0041340F" w:rsidRDefault="0019038E" w:rsidP="0041340F">
      <w:pPr>
        <w:pStyle w:val="mythesis"/>
      </w:pPr>
      <w:r w:rsidRPr="0041340F">
        <w:t>The intimate nature of this symbiosis involves extensive and quick adaptation of the fungus to the host plant's inducible defensive systems, which employ a large and complex array of defensive strategies similar to an animal's immune system</w:t>
      </w:r>
      <w:r w:rsidR="00CB47B4">
        <w:t>,</w:t>
      </w:r>
      <w:r w:rsidR="00CB47B4" w:rsidRPr="00CB47B4">
        <w:t xml:space="preserve"> </w:t>
      </w:r>
      <w:r w:rsidR="00CB47B4">
        <w:t>t</w:t>
      </w:r>
      <w:r w:rsidR="00CB47B4" w:rsidRPr="0041340F">
        <w:t>hese defense responses might take the shape of broad-spectrum resistance or extremely specialized customized responses to invaders</w:t>
      </w:r>
      <w:r w:rsidRPr="0041340F">
        <w:t xml:space="preserve"> </w:t>
      </w:r>
      <w:sdt>
        <w:sdtPr>
          <w:rPr>
            <w:color w:val="000000"/>
          </w:rPr>
          <w:tag w:val="MENDELEY_CITATION_v3_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"/>
          <w:id w:val="1864624673"/>
          <w:placeholder>
            <w:docPart w:val="4126063EBB940943BEF59DC61F8B67B4"/>
          </w:placeholder>
        </w:sdtPr>
        <w:sdtContent>
          <w:r w:rsidR="005E3F83" w:rsidRPr="005E3F83">
            <w:rPr>
              <w:color w:val="000000"/>
            </w:rPr>
            <w:t>(Ausubel, 2005a)</w:t>
          </w:r>
        </w:sdtContent>
      </w:sdt>
      <w:r w:rsidRPr="0041340F">
        <w:t>.</w:t>
      </w:r>
    </w:p>
    <w:p w14:paraId="0AD191CF" w14:textId="65999805" w:rsidR="0019038E" w:rsidRPr="0041340F" w:rsidRDefault="0019038E" w:rsidP="0041340F">
      <w:pPr>
        <w:pStyle w:val="mythesis"/>
      </w:pPr>
      <w:r w:rsidRPr="0041340F">
        <w:t xml:space="preserve">Several fungi species such as genera such as </w:t>
      </w:r>
      <w:r w:rsidRPr="00F53474">
        <w:rPr>
          <w:i/>
          <w:iCs w:val="0"/>
        </w:rPr>
        <w:t xml:space="preserve">Rhizoctonia, Phythium, Verticillium, Sclerotium and Phytophthora </w:t>
      </w:r>
      <w:r w:rsidRPr="0041340F">
        <w:t xml:space="preserve">cause significant disease in crop plants </w:t>
      </w:r>
      <w:sdt>
        <w:sdtPr>
          <w:tag w:val="MENDELEY_CITATION_v3_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"/>
          <w:id w:val="-1871211152"/>
          <w:placeholder>
            <w:docPart w:val="C796E44BA29C7B49B74F3F722913E754"/>
          </w:placeholder>
        </w:sdtPr>
        <w:sdtContent>
          <w:r w:rsidR="005E3F83">
            <w:t>(Veerabhadraswamy &amp; &amp; Garamoalli, 2011)</w:t>
          </w:r>
        </w:sdtContent>
      </w:sdt>
      <w:r w:rsidRPr="0041340F">
        <w:t xml:space="preserve"> , however </w:t>
      </w:r>
      <w:r w:rsidRPr="0041340F">
        <w:fldChar w:fldCharType="begin"/>
      </w:r>
      <w:r w:rsidRPr="0041340F">
        <w:instrText xml:space="preserve"> ADDIN EN.CITE &lt;EndNote&gt;&lt;Cite&gt;&lt;Author&gt;Azcon-Aguilar&lt;/Author&gt;&lt;Year&gt;1997&lt;/Year&gt;&lt;RecNum&gt;86&lt;/RecNum&gt;&lt;record&gt;&lt;rec-number&gt;86&lt;/rec-number&gt;&lt;foreign-keys&gt;&lt;key app="EN" db-id="ft9a0ra2qztzzxerpeux0sz3xffesv52d9ta"&gt;86&lt;/key&gt;&lt;/foreign-keys&gt;&lt;ref-type name="Journal Article"&gt;17&lt;/ref-type&gt;&lt;contributors&gt;&lt;authors&gt;&lt;author&gt;Azcon-Aguilar, C.&lt;/author&gt;&lt;author&gt;Barea, J. M.&lt;/author&gt;&lt;/authors&gt;&lt;/contributors&gt;&lt;titles&gt;&lt;title&gt;Arbuscular mycorrhizas and biological control of soil-borne plant pathogens - an overview of the mechanisms involved&lt;/title&gt;&lt;secondary-title&gt;Mycorrhiza&lt;/secondary-title&gt;&lt;/titles&gt;&lt;periodical&gt;&lt;full-title&gt;Mycorrhiza&lt;/full-title&gt;&lt;/periodical&gt;&lt;pages&gt;457-464&lt;/pages&gt;&lt;volume&gt;6&lt;/volume&gt;&lt;number&gt;6&lt;/number&gt;&lt;dates&gt;&lt;year&gt;1997&lt;/year&gt;&lt;/dates&gt;&lt;isbn&gt;0940-6360&lt;/isbn&gt;&lt;urls&gt;&lt;/urls&gt;&lt;/record&gt;&lt;/Cite&gt;&lt;/EndNote&gt;</w:instrText>
      </w:r>
      <w:r w:rsidRPr="0041340F">
        <w:fldChar w:fldCharType="separate"/>
      </w:r>
      <w:sdt>
        <w:sdtPr>
          <w:tag w:val="MENDELEY_CITATION_v3_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"/>
          <w:id w:val="-292912584"/>
          <w:placeholder>
            <w:docPart w:val="C796E44BA29C7B49B74F3F722913E754"/>
          </w:placeholder>
        </w:sdtPr>
        <w:sdtContent>
          <w:r w:rsidR="005E3F83">
            <w:t>(Azcón-Aguilar &amp; Barea, 1997</w:t>
          </w:r>
        </w:sdtContent>
      </w:sdt>
      <w:r w:rsidRPr="0041340F">
        <w:t>)</w:t>
      </w:r>
      <w:r w:rsidRPr="0041340F">
        <w:fldChar w:fldCharType="end"/>
      </w:r>
      <w:r w:rsidRPr="0041340F">
        <w:t xml:space="preserve"> showed that the presence of the AMF can reduce disease severity. The participation of plant </w:t>
      </w:r>
      <w:r w:rsidR="00D4798B" w:rsidRPr="0041340F">
        <w:t>defense</w:t>
      </w:r>
      <w:r w:rsidRPr="0041340F">
        <w:t xml:space="preserve"> systems has been highlighted by studies of systemic protection against infections in non-colonized root fragments of mycorrhizal plants and improved resistance of aerial parts to particular attackers </w:t>
      </w:r>
      <w:sdt>
        <w:sdtPr>
          <w:tag w:val="MENDELEY_CITATION_v3_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"/>
          <w:id w:val="-1764292807"/>
          <w:placeholder>
            <w:docPart w:val="C796E44BA29C7B49B74F3F722913E754"/>
          </w:placeholder>
        </w:sdtPr>
        <w:sdtContent>
          <w:r w:rsidR="005E3F83">
            <w:t>(Cordier et al., 1998; Pozo et al., 2002; Pozo &amp; Azcón-Aguilar, 2007)</w:t>
          </w:r>
        </w:sdtContent>
      </w:sdt>
      <w:r w:rsidRPr="0041340F">
        <w:t xml:space="preserve">. This system enables the plant to recognize non-self-alien species by identifying structurally conserved microbe-associated compounds such as flagellin, lipopolysaccharides, or peptidoglycans, which are referred to collectively as microbe-associated molecular patterns (MAMPs, or PAMPs in the case of pathogens) PAMPs </w:t>
      </w:r>
      <w:r w:rsidR="009738C7" w:rsidRPr="0041340F">
        <w:t>are recognized</w:t>
      </w:r>
      <w:r w:rsidRPr="0041340F">
        <w:t xml:space="preserve"> by transmembrane pattern recognition receptors (PRRs). This results in the induction of appropriate responses in the host as well as PAMP-triggered immunity (PTI) </w:t>
      </w:r>
      <w:sdt>
        <w:sdtPr>
          <w:tag w:val="MENDELEY_CITATION_v3_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"/>
          <w:id w:val="2117484964"/>
          <w:placeholder>
            <w:docPart w:val="C796E44BA29C7B49B74F3F722913E754"/>
          </w:placeholder>
        </w:sdtPr>
        <w:sdtContent>
          <w:r w:rsidR="005E3F83">
            <w:t>(Ausubel, 2005b; Boller &amp; He, 2009; Jones &amp; Dangl, 2006a; Thomma et al., 2011)</w:t>
          </w:r>
        </w:sdtContent>
      </w:sdt>
      <w:r w:rsidRPr="0041340F">
        <w:t>.</w:t>
      </w:r>
    </w:p>
    <w:p w14:paraId="24D36454" w14:textId="7E68E87E" w:rsidR="0019038E" w:rsidRPr="0041340F" w:rsidRDefault="0019038E" w:rsidP="0041340F">
      <w:pPr>
        <w:pStyle w:val="mythesis"/>
      </w:pPr>
      <w:r w:rsidRPr="0041340F">
        <w:t xml:space="preserve"> </w:t>
      </w:r>
      <w:sdt>
        <w:sdtPr>
          <w:tag w:val="MENDELEY_CITATION_v3_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"/>
          <w:id w:val="-683201504"/>
          <w:placeholder>
            <w:docPart w:val="C796E44BA29C7B49B74F3F722913E754"/>
          </w:placeholder>
        </w:sdtPr>
        <w:sdtContent>
          <w:r w:rsidR="005E3F83">
            <w:t>(Veerabhadraswamy &amp; &amp; Garamoalli, 2011)</w:t>
          </w:r>
        </w:sdtContent>
      </w:sdt>
      <w:r w:rsidRPr="0041340F">
        <w:t xml:space="preserve"> confirmed that the black bundle disease caused by </w:t>
      </w:r>
      <w:r w:rsidRPr="000060DD">
        <w:rPr>
          <w:i/>
          <w:iCs w:val="0"/>
        </w:rPr>
        <w:t>Cephalosporium acremonium</w:t>
      </w:r>
      <w:r w:rsidRPr="0041340F">
        <w:t xml:space="preserve"> is decreased in maize upon the application of three species of AMF (</w:t>
      </w:r>
      <w:r w:rsidRPr="000060DD">
        <w:rPr>
          <w:i/>
          <w:iCs w:val="0"/>
        </w:rPr>
        <w:t>Glomus fasiculatum, Glomus mossae and Acaulispora laevis</w:t>
      </w:r>
      <w:r w:rsidRPr="0041340F">
        <w:t xml:space="preserve">). Consequently, it has been suggested that AMF can used as a bio-control agent because of its efficiency in reducing the soil borne plant pathogens and promoting the growth of the plant through their ability to supply the important nutrients to the host plant.  It is clear from the several studies that the AMF association plays a significant role in reducing the plant disease and the soil borne plant pathogens </w:t>
      </w:r>
      <w:sdt>
        <w:sdtPr>
          <w:tag w:val="MENDELEY_CITATION_v3_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"/>
          <w:id w:val="44193923"/>
          <w:placeholder>
            <w:docPart w:val="C796E44BA29C7B49B74F3F722913E754"/>
          </w:placeholder>
        </w:sdtPr>
        <w:sdtContent>
          <w:r w:rsidR="005E3F83">
            <w:t>(Azcón-Aguilar &amp; Barea, 1997)</w:t>
          </w:r>
        </w:sdtContent>
      </w:sdt>
      <w:r w:rsidRPr="0041340F">
        <w:t xml:space="preserve">. Though the mechanism is not fully resolved, AMF-induced changes in root secretions leading to the recruitment of Plant Growth Promoting Rhizobacteria (PGPR), induction of host </w:t>
      </w:r>
      <w:r w:rsidR="00D4798B" w:rsidRPr="0041340F">
        <w:t>defenses</w:t>
      </w:r>
      <w:r w:rsidRPr="0041340F">
        <w:t xml:space="preserve"> through the recognition of AMF microbe-associated molecular patterns (MAMPs) as well as other bacterial MAMPs have been </w:t>
      </w:r>
      <w:r w:rsidRPr="0041340F">
        <w:lastRenderedPageBreak/>
        <w:t xml:space="preserve">implicated </w:t>
      </w:r>
      <w:sdt>
        <w:sdtPr>
          <w:rPr>
            <w:color w:val="000000"/>
          </w:rPr>
          <w:tag w:val="MENDELEY_CITATION_v3_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"/>
          <w:id w:val="-1088620006"/>
          <w:placeholder>
            <w:docPart w:val="C796E44BA29C7B49B74F3F722913E754"/>
          </w:placeholder>
        </w:sdtPr>
        <w:sdtContent>
          <w:r w:rsidR="005E3F83" w:rsidRPr="005E3F83">
            <w:rPr>
              <w:color w:val="000000"/>
            </w:rPr>
            <w:t>(Cameron et al., 2013)</w:t>
          </w:r>
        </w:sdtContent>
      </w:sdt>
      <w:r w:rsidRPr="0041340F">
        <w:t xml:space="preserve">. Along with providing resistance or tolerance to fungal pests, </w:t>
      </w:r>
      <w:sdt>
        <w:sdtPr>
          <w:tag w:val="MENDELEY_CITATION_v3_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"/>
          <w:id w:val="172234093"/>
          <w:placeholder>
            <w:docPart w:val="C796E44BA29C7B49B74F3F722913E754"/>
          </w:placeholder>
        </w:sdtPr>
        <w:sdtContent>
          <w:r w:rsidR="005E3F83">
            <w:t>(Fitter &amp; Garbaye, 1994)</w:t>
          </w:r>
        </w:sdtContent>
      </w:sdt>
      <w:r w:rsidRPr="0041340F">
        <w:t xml:space="preserve"> recorded that the presence of AMF in the soil decreases the root feeding nematode e.g., root-knot nematodes species (</w:t>
      </w:r>
      <w:r w:rsidRPr="006020B9">
        <w:rPr>
          <w:i/>
          <w:iCs w:val="0"/>
        </w:rPr>
        <w:t>Meloidogyne</w:t>
      </w:r>
      <w:r w:rsidRPr="0041340F">
        <w:t xml:space="preserve"> spp.). This is in addition to the fact that plants can better resist the diseases when they receive the appropriate amount of the essential nutrition, and this is one of the mycorrhiza’s benefits when it supplies the plant with this important element. The mechanisms through which AMF enhance resistance are only now becoming clear but require further investigation </w:t>
      </w:r>
      <w:sdt>
        <w:sdtPr>
          <w:tag w:val="MENDELEY_CITATION_v3_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"/>
          <w:id w:val="934472829"/>
          <w:placeholder>
            <w:docPart w:val="DefaultPlaceholder_-1854013440"/>
          </w:placeholder>
        </w:sdtPr>
        <w:sdtContent>
          <w:r w:rsidR="005E3F83">
            <w:t>(Gemma &amp; &amp; Koske, 2006).</w:t>
          </w:r>
        </w:sdtContent>
      </w:sdt>
    </w:p>
    <w:p w14:paraId="5CBCB1D9" w14:textId="0B02639E" w:rsidR="0019038E" w:rsidRPr="0041340F" w:rsidRDefault="0019038E" w:rsidP="0041340F">
      <w:pPr>
        <w:pStyle w:val="mythesis"/>
      </w:pPr>
      <w:r w:rsidRPr="0041340F">
        <w:t xml:space="preserve">In addition, AMF increase plant </w:t>
      </w:r>
      <w:r w:rsidR="00902458" w:rsidRPr="0041340F">
        <w:t>defenses</w:t>
      </w:r>
      <w:r w:rsidRPr="0041340F">
        <w:t xml:space="preserve"> against pathogens directly</w:t>
      </w:r>
      <w:r w:rsidR="006020B9">
        <w:t>,</w:t>
      </w:r>
      <w:r w:rsidRPr="0041340F">
        <w:t xml:space="preserve"> </w:t>
      </w:r>
      <w:sdt>
        <w:sdtPr>
          <w:rPr>
            <w:color w:val="000000"/>
          </w:rPr>
          <w:tag w:val="MENDELEY_CITATION_v3_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"/>
          <w:id w:val="-1835057252"/>
          <w:placeholder>
            <w:docPart w:val="4126063EBB940943BEF59DC61F8B67B4"/>
          </w:placeholder>
        </w:sdtPr>
        <w:sdtContent>
          <w:r w:rsidR="005E3F83" w:rsidRPr="005E3F83">
            <w:rPr>
              <w:color w:val="000000"/>
            </w:rPr>
            <w:t>(Cameron et al., 2013a)</w:t>
          </w:r>
        </w:sdtContent>
      </w:sdt>
      <w:r w:rsidRPr="0041340F">
        <w:t xml:space="preserve"> stated that the mycorrhiza-induced resistance (MIR) is a key line of </w:t>
      </w:r>
      <w:r w:rsidR="00902458" w:rsidRPr="0041340F">
        <w:t>defense</w:t>
      </w:r>
      <w:r w:rsidRPr="0041340F">
        <w:t xml:space="preserve"> against plant diseases. When plants are </w:t>
      </w:r>
      <w:r w:rsidR="00902458" w:rsidRPr="0041340F">
        <w:t>colonized</w:t>
      </w:r>
      <w:r w:rsidRPr="0041340F">
        <w:t xml:space="preserve"> by AMF, this can in turn increase and promote the response of plant immune system. It is well known that after the pathogen infection, the immune system of the plant is induced of through systemic acquired resistance (SAR). Rhizobacteria (Induced Systemic Resistance) and AMF (Mycorrhiza Induced Resistance - MIR) can also prime host plant </w:t>
      </w:r>
      <w:r w:rsidR="00902458" w:rsidRPr="0041340F">
        <w:t>defenses</w:t>
      </w:r>
      <w:r w:rsidRPr="0041340F">
        <w:t xml:space="preserve"> sharing similar characteristics as SAR. There is assumption that the fungus that stimulates the plant immune system is the only responsible for the (MI</w:t>
      </w:r>
      <w:r w:rsidRPr="00A80EEF">
        <w:rPr>
          <w:color w:val="FF0000"/>
        </w:rPr>
        <w:t>R</w:t>
      </w:r>
      <w:r w:rsidRPr="0041340F">
        <w:t xml:space="preserve">). </w:t>
      </w:r>
      <w:sdt>
        <w:sdtPr>
          <w:tag w:val="MENDELEY_CITATION_v3_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"/>
          <w:id w:val="-1706162691"/>
          <w:placeholder>
            <w:docPart w:val="4126063EBB940943BEF59DC61F8B67B4"/>
          </w:placeholder>
        </w:sdtPr>
        <w:sdtContent>
          <w:r w:rsidR="005E3F83">
            <w:t>(Hause et al., 2007; Pozo &amp; Azcón-Aguilar, 2007)</w:t>
          </w:r>
        </w:sdtContent>
      </w:sdt>
      <w:r w:rsidRPr="0041340F">
        <w:t xml:space="preserve"> Reported that result of a positive suppression of the components in the salicylic acid (SA)-dependent genes </w:t>
      </w:r>
      <w:r w:rsidR="00902458" w:rsidRPr="0041340F">
        <w:t>defense</w:t>
      </w:r>
      <w:r w:rsidRPr="0041340F">
        <w:t xml:space="preserve"> pathway leads to MI) and it causes a systemic priming of jasmonic acid (JA)-dependent </w:t>
      </w:r>
      <w:r w:rsidR="00902458" w:rsidRPr="0041340F">
        <w:t>defenses</w:t>
      </w:r>
      <w:r w:rsidRPr="0041340F">
        <w:t xml:space="preserve">. From this, </w:t>
      </w:r>
      <w:sdt>
        <w:sdtPr>
          <w:rPr>
            <w:color w:val="000000"/>
          </w:rPr>
          <w:tag w:val="MENDELEY_CITATION_v3_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"/>
          <w:id w:val="1914513491"/>
          <w:placeholder>
            <w:docPart w:val="4126063EBB940943BEF59DC61F8B67B4"/>
          </w:placeholder>
        </w:sdtPr>
        <w:sdtContent>
          <w:r w:rsidR="005E3F83" w:rsidRPr="005E3F83">
            <w:rPr>
              <w:color w:val="000000"/>
            </w:rPr>
            <w:t>(Cameron et al., 2013a)</w:t>
          </w:r>
        </w:sdtContent>
      </w:sdt>
      <w:r w:rsidRPr="0041340F">
        <w:t xml:space="preserve"> presented a novel model of MIR proposing that there were two effects on plant immune system direct and indirect. The direct was appeared when the plant reacted to the infection with the mycorrhiza which reflected in the cumulative effect of MIR. And the indirect was generated when the plant respond to ISR-eliciting Rhizobacteria which are found in the mycorrhizosphere zone. We can conclude that the MIR is not the only determined by fungus, also the bacteria that found in mycorrhizosphere can contribute to the MIR response. </w:t>
      </w:r>
    </w:p>
    <w:p w14:paraId="4DFFA8AC" w14:textId="1DF9FFF6" w:rsidR="0019038E" w:rsidRPr="0041340F" w:rsidRDefault="0019038E" w:rsidP="0041340F">
      <w:pPr>
        <w:pStyle w:val="mythesis"/>
      </w:pPr>
      <w:r w:rsidRPr="0041340F">
        <w:t xml:space="preserve">This process occurs in 4 phases; Phase 1 the plant roots exudates strigolactones as important AMF recruiting signals and these signals at some times can stimulate both pathogenic and mutualistic soil microorganisms. For example, benzoxazinoid metabolites in root exudates of maize attract beneficial PGPRs such as </w:t>
      </w:r>
      <w:r w:rsidRPr="004C006F">
        <w:rPr>
          <w:i/>
          <w:iCs w:val="0"/>
        </w:rPr>
        <w:t>Pseudomonas putida</w:t>
      </w:r>
      <w:r w:rsidRPr="0041340F">
        <w:t xml:space="preserve">.  Phase 2 begins with mycorrhizal colonization at the start of the relationship and with the up regulation of the immune </w:t>
      </w:r>
      <w:r w:rsidR="00902458" w:rsidRPr="0041340F">
        <w:t>defenses</w:t>
      </w:r>
      <w:r w:rsidRPr="0041340F">
        <w:t xml:space="preserve"> of the plant led to occurrence of an immune response in localized places in the late stages. This initial induction of plant immunity is underpinned by the recognition of </w:t>
      </w:r>
      <w:r w:rsidRPr="0041340F">
        <w:lastRenderedPageBreak/>
        <w:t xml:space="preserve">microbe - associated molecular patterns (MAMPs) from the AMF. These MAMPs generate a lot of signals that promote the production of the plant </w:t>
      </w:r>
      <w:r w:rsidR="00902458" w:rsidRPr="0041340F">
        <w:t>defense</w:t>
      </w:r>
      <w:r w:rsidRPr="0041340F">
        <w:t xml:space="preserve"> hormone SA. So, we can conclude that the localized MAMP) recognition and SA production generates a long-distance signal and produce a systemic priming of SA-dependent </w:t>
      </w:r>
      <w:r w:rsidR="00902458" w:rsidRPr="0041340F">
        <w:t>defenses</w:t>
      </w:r>
      <w:r w:rsidRPr="0041340F">
        <w:t xml:space="preserve">. In Phase 3 the AMF act releases specific effectors molecules to inhibit the immune system of plant and help them </w:t>
      </w:r>
      <w:r w:rsidR="00902458" w:rsidRPr="0041340F">
        <w:t>colonize</w:t>
      </w:r>
      <w:r w:rsidRPr="0041340F">
        <w:t xml:space="preserve"> the host roots as well as inducing the host to generate chemical signals in the rooting zone that attract PGPRs. In, Phase 4 it is these mycorrhizosphere bacteria that induce induced further systemic resistance because of the (ISR)-eliciting signal like the (MAMPs) of the bacteria and cell density-dependent metabolites. And the systemic (ISR) signals promote the systemic priming of (JA) and ethylene- dependent </w:t>
      </w:r>
      <w:r w:rsidR="00902458" w:rsidRPr="0041340F">
        <w:t>defenses</w:t>
      </w:r>
      <w:r w:rsidRPr="0041340F">
        <w:t xml:space="preserve">. In conclusion, </w:t>
      </w:r>
      <w:r w:rsidRPr="0041340F">
        <w:fldChar w:fldCharType="begin"/>
      </w:r>
      <w:r w:rsidRPr="0041340F">
        <w:instrText xml:space="preserve"> ADDIN EN.CITE &lt;EndNote&gt;&lt;Cite&gt;&lt;Author&gt;Cameron&lt;/Author&gt;&lt;Year&gt;2013&lt;/Year&gt;&lt;RecNum&gt;91&lt;/RecNum&gt;&lt;record&gt;&lt;rec-number&gt;91&lt;/rec-number&gt;&lt;foreign-keys&gt;&lt;key app="EN" db-id="ft9a0ra2qztzzxerpeux0sz3xffesv52d9ta"&gt;91&lt;/key&gt;&lt;/foreign-keys&gt;&lt;ref-type name="Journal Article"&gt;17&lt;/ref-type&gt;&lt;contributors&gt;&lt;authors&gt;&lt;author&gt;Cameron, Duncan D.&lt;/author&gt;&lt;author&gt;Neal, Andrew L.&lt;/author&gt;&lt;author&gt;van Wees, Saskia&lt;/author&gt;&lt;author&gt;Ton, Jurriaan&lt;/author&gt;&lt;/authors&gt;&lt;/contributors&gt;&lt;titles&gt;&lt;title&gt;Mycorrhiza-induced resistance: more than the sum of its parts?&lt;/title&gt;&lt;secondary-title&gt;Trends in plant science&lt;/secondary-title&gt;&lt;/titles&gt;&lt;periodical&gt;&lt;full-title&gt;Trends in plant science&lt;/full-title&gt;&lt;/periodical&gt;&lt;pages&gt;539-545&lt;/pages&gt;&lt;volume&gt;18&lt;/volume&gt;&lt;number&gt;10&lt;/number&gt;&lt;dates&gt;&lt;year&gt;2013&lt;/year&gt;&lt;/dates&gt;&lt;isbn&gt;1360-1385&lt;/isbn&gt;&lt;urls&gt;&lt;/urls&gt;&lt;/record&gt;&lt;/Cite&gt;&lt;/EndNote&gt;</w:instrText>
      </w:r>
      <w:r w:rsidRPr="0041340F">
        <w:fldChar w:fldCharType="separate"/>
      </w:r>
      <w:r w:rsidRPr="0041340F">
        <w:t>(Cameron et al., 2013)</w:t>
      </w:r>
      <w:r w:rsidRPr="0041340F">
        <w:fldChar w:fldCharType="end"/>
      </w:r>
      <w:r w:rsidRPr="0041340F">
        <w:t xml:space="preserve"> explained that the ability of bacteria to resist plant diseases occurred by the immune response induced by fungi and help bacteria to carry out its mission through metabolites secretions of the root and by different signals such as JA-dependent </w:t>
      </w:r>
      <w:r w:rsidR="00902458" w:rsidRPr="0041340F">
        <w:t>defenses</w:t>
      </w:r>
      <w:r w:rsidRPr="0041340F">
        <w:t xml:space="preserve"> during which determined by ISR eliciting Rhizobacteria in the mycorrhizosphere Figure 1.2.</w:t>
      </w:r>
    </w:p>
    <w:p w14:paraId="63F6BC54" w14:textId="77777777" w:rsidR="0019038E" w:rsidRDefault="0019038E" w:rsidP="0019038E">
      <w:pPr>
        <w:pStyle w:val="amalstyle"/>
      </w:pPr>
      <w:r w:rsidRPr="002932E6">
        <w:rPr>
          <w:noProof/>
          <w:lang w:eastAsia="en-GB"/>
        </w:rPr>
        <w:lastRenderedPageBreak/>
        <w:drawing>
          <wp:inline distT="0" distB="0" distL="0" distR="0" wp14:anchorId="1F0D4ABF" wp14:editId="5BF934C9">
            <wp:extent cx="6480810" cy="5383446"/>
            <wp:effectExtent l="1905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a:stretch>
                      <a:fillRect/>
                    </a:stretch>
                  </pic:blipFill>
                  <pic:spPr bwMode="auto">
                    <a:xfrm>
                      <a:off x="0" y="0"/>
                      <a:ext cx="6480810" cy="5383446"/>
                    </a:xfrm>
                    <a:prstGeom prst="rect">
                      <a:avLst/>
                    </a:prstGeom>
                    <a:noFill/>
                    <a:ln w="9525">
                      <a:noFill/>
                      <a:miter lim="800000"/>
                      <a:headEnd/>
                      <a:tailEnd/>
                    </a:ln>
                  </pic:spPr>
                </pic:pic>
              </a:graphicData>
            </a:graphic>
          </wp:inline>
        </w:drawing>
      </w:r>
    </w:p>
    <w:p w14:paraId="0E80035D" w14:textId="466DF7AB" w:rsidR="0019038E" w:rsidRPr="00545EBB" w:rsidRDefault="0019038E" w:rsidP="00545EBB">
      <w:pPr>
        <w:pStyle w:val="Caption"/>
        <w:spacing w:afterLines="280" w:after="672"/>
        <w:jc w:val="lowKashida"/>
        <w:rPr>
          <w:b w:val="0"/>
          <w:bCs w:val="0"/>
          <w:color w:val="000000" w:themeColor="text1"/>
          <w:sz w:val="20"/>
          <w:szCs w:val="20"/>
          <w:u w:color="000000"/>
        </w:rPr>
      </w:pPr>
      <w:bookmarkStart w:id="17" w:name="_Toc83751344"/>
      <w:r w:rsidRPr="00ED12B1">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1</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3</w:t>
      </w:r>
      <w:r w:rsidR="00843EDC">
        <w:rPr>
          <w:b w:val="0"/>
          <w:bCs w:val="0"/>
          <w:sz w:val="20"/>
          <w:szCs w:val="20"/>
        </w:rPr>
        <w:fldChar w:fldCharType="end"/>
      </w:r>
      <w:r w:rsidRPr="007213A8">
        <w:rPr>
          <w:sz w:val="20"/>
          <w:szCs w:val="20"/>
        </w:rPr>
        <w:t xml:space="preserve"> </w:t>
      </w:r>
      <w:r w:rsidRPr="007213A8">
        <w:rPr>
          <w:b w:val="0"/>
          <w:bCs w:val="0"/>
          <w:color w:val="000000" w:themeColor="text1"/>
          <w:sz w:val="20"/>
          <w:szCs w:val="20"/>
        </w:rPr>
        <w:t xml:space="preserve">Four-phase model explaining the initiation of MIR (This figure reproduced has been from </w:t>
      </w:r>
      <w:sdt>
        <w:sdtPr>
          <w:rPr>
            <w:b w:val="0"/>
            <w:bCs w:val="0"/>
            <w:color w:val="000000"/>
            <w:sz w:val="20"/>
            <w:szCs w:val="20"/>
          </w:rPr>
          <w:tag w:val="MENDELEY_CITATION_v3_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"/>
          <w:id w:val="-335536844"/>
          <w:placeholder>
            <w:docPart w:val="EE63A944E9482A4DAA8401AD4C8371B0"/>
          </w:placeholder>
        </w:sdtPr>
        <w:sdtContent>
          <w:r w:rsidR="005E3F83" w:rsidRPr="005E3F83">
            <w:rPr>
              <w:b w:val="0"/>
              <w:bCs w:val="0"/>
              <w:color w:val="000000"/>
              <w:sz w:val="20"/>
              <w:szCs w:val="20"/>
            </w:rPr>
            <w:t>Cameron et al., 2013a)</w:t>
          </w:r>
        </w:sdtContent>
      </w:sdt>
      <w:r w:rsidRPr="007213A8">
        <w:rPr>
          <w:b w:val="0"/>
          <w:bCs w:val="0"/>
          <w:color w:val="000000" w:themeColor="text1"/>
          <w:sz w:val="20"/>
          <w:szCs w:val="20"/>
        </w:rPr>
        <w:t>.</w:t>
      </w:r>
      <w:bookmarkEnd w:id="17"/>
    </w:p>
    <w:p w14:paraId="600DBEFB" w14:textId="56A6B862" w:rsidR="0019038E" w:rsidRPr="002932E6" w:rsidRDefault="00B82B23" w:rsidP="00545EBB">
      <w:pPr>
        <w:pStyle w:val="mythesis"/>
      </w:pPr>
      <w:r>
        <w:t>Strigolactons (</w:t>
      </w:r>
      <w:r w:rsidRPr="002932E6">
        <w:t>SLs</w:t>
      </w:r>
      <w:r>
        <w:t>) also</w:t>
      </w:r>
      <w:r w:rsidR="0019038E" w:rsidRPr="002932E6">
        <w:t xml:space="preserve"> contribute to </w:t>
      </w:r>
      <w:r w:rsidR="00213CA2" w:rsidRPr="002932E6">
        <w:t>signaling</w:t>
      </w:r>
      <w:r w:rsidR="0019038E" w:rsidRPr="002932E6">
        <w:t xml:space="preserve"> inside the plant by regulating shoot and root morphology. It is suggested that SLs, in conjunction with auxins, promote lateral root expansion, allowing the root system to reach new parts of the soil where phosphate may be present available </w:t>
      </w:r>
      <w:sdt>
        <w:sdtPr>
          <w:tag w:val="MENDELEY_CITATION_v3_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"/>
          <w:id w:val="3791700"/>
          <w:placeholder>
            <w:docPart w:val="C796E44BA29C7B49B74F3F722913E754"/>
          </w:placeholder>
        </w:sdtPr>
        <w:sdtContent>
          <w:r w:rsidR="005E3F83">
            <w:t>(Stepanova &amp; Alonso, 2009)</w:t>
          </w:r>
        </w:sdtContent>
      </w:sdt>
      <w:r w:rsidR="0019038E" w:rsidRPr="002932E6">
        <w:t xml:space="preserve">. The alterations in root architecture caused by SL may influence the dynamics of some pathogenic infections however there is no direct proof of such a correlation </w:t>
      </w:r>
      <w:sdt>
        <w:sdtPr>
          <w:rPr>
            <w:color w:val="000000"/>
          </w:rPr>
          <w:tag w:val="MENDELEY_CITATION_v3_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"/>
          <w:id w:val="1852992225"/>
          <w:placeholder>
            <w:docPart w:val="C796E44BA29C7B49B74F3F722913E754"/>
          </w:placeholder>
        </w:sdtPr>
        <w:sdtContent>
          <w:r w:rsidR="005E3F83" w:rsidRPr="005E3F83">
            <w:rPr>
              <w:color w:val="000000"/>
            </w:rPr>
            <w:t>(Jung et al., 2012b)</w:t>
          </w:r>
        </w:sdtContent>
      </w:sdt>
      <w:r w:rsidR="0019038E" w:rsidRPr="002932E6">
        <w:t xml:space="preserve"> Figure 1.3.</w:t>
      </w:r>
    </w:p>
    <w:p w14:paraId="0A6485DE" w14:textId="77777777" w:rsidR="0019038E" w:rsidRDefault="0019038E" w:rsidP="0019038E">
      <w:pPr>
        <w:keepNext/>
        <w:spacing w:afterLines="280" w:after="672" w:line="360" w:lineRule="auto"/>
        <w:jc w:val="lowKashida"/>
      </w:pPr>
      <w:r w:rsidRPr="002932E6">
        <w:rPr>
          <w:b/>
          <w:bCs/>
          <w:i/>
          <w:iCs/>
          <w:noProof/>
          <w:color w:val="000000" w:themeColor="text1"/>
        </w:rPr>
        <w:lastRenderedPageBreak/>
        <w:t xml:space="preserve"> </w:t>
      </w:r>
      <w:r w:rsidRPr="002932E6">
        <w:rPr>
          <w:b/>
          <w:bCs/>
          <w:i/>
          <w:iCs/>
          <w:noProof/>
          <w:color w:val="000000" w:themeColor="text1"/>
          <w:lang w:val="en-GB" w:eastAsia="en-GB"/>
        </w:rPr>
        <w:drawing>
          <wp:inline distT="0" distB="0" distL="0" distR="0" wp14:anchorId="026AF417" wp14:editId="5C22CD80">
            <wp:extent cx="5297543" cy="2780993"/>
            <wp:effectExtent l="0" t="0" r="0" b="6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4">
                      <a:extLst>
                        <a:ext uri="{28A0092B-C50C-407E-A947-70E740481C1C}">
                          <a14:useLocalDpi xmlns:a14="http://schemas.microsoft.com/office/drawing/2010/main" val="0"/>
                        </a:ext>
                      </a:extLst>
                    </a:blip>
                    <a:stretch>
                      <a:fillRect/>
                    </a:stretch>
                  </pic:blipFill>
                  <pic:spPr>
                    <a:xfrm>
                      <a:off x="0" y="0"/>
                      <a:ext cx="5311464" cy="2788301"/>
                    </a:xfrm>
                    <a:prstGeom prst="rect">
                      <a:avLst/>
                    </a:prstGeom>
                  </pic:spPr>
                </pic:pic>
              </a:graphicData>
            </a:graphic>
          </wp:inline>
        </w:drawing>
      </w:r>
    </w:p>
    <w:p w14:paraId="4D705197" w14:textId="2502321B" w:rsidR="0019038E" w:rsidRPr="0007208B" w:rsidRDefault="0019038E" w:rsidP="0019038E">
      <w:pPr>
        <w:autoSpaceDE w:val="0"/>
        <w:autoSpaceDN w:val="0"/>
        <w:adjustRightInd w:val="0"/>
        <w:spacing w:afterLines="280" w:after="672"/>
        <w:jc w:val="lowKashida"/>
        <w:rPr>
          <w:rFonts w:eastAsiaTheme="minorHAnsi"/>
          <w:color w:val="000000" w:themeColor="text1"/>
          <w:sz w:val="20"/>
          <w:szCs w:val="20"/>
        </w:rPr>
      </w:pPr>
      <w:bookmarkStart w:id="18" w:name="_Toc83751345"/>
      <w:r w:rsidRPr="00E85A17">
        <w:rPr>
          <w:sz w:val="20"/>
          <w:szCs w:val="20"/>
        </w:rPr>
        <w:t xml:space="preserve">Figure </w:t>
      </w:r>
      <w:r w:rsidR="00843EDC">
        <w:rPr>
          <w:sz w:val="20"/>
          <w:szCs w:val="20"/>
        </w:rPr>
        <w:fldChar w:fldCharType="begin"/>
      </w:r>
      <w:r w:rsidR="00843EDC">
        <w:rPr>
          <w:sz w:val="20"/>
          <w:szCs w:val="20"/>
        </w:rPr>
        <w:instrText xml:space="preserve"> STYLEREF 1 \s </w:instrText>
      </w:r>
      <w:r w:rsidR="00843EDC">
        <w:rPr>
          <w:sz w:val="20"/>
          <w:szCs w:val="20"/>
        </w:rPr>
        <w:fldChar w:fldCharType="separate"/>
      </w:r>
      <w:r w:rsidR="00843EDC">
        <w:rPr>
          <w:noProof/>
          <w:sz w:val="20"/>
          <w:szCs w:val="20"/>
          <w:cs/>
        </w:rPr>
        <w:t>‎</w:t>
      </w:r>
      <w:r w:rsidR="00843EDC">
        <w:rPr>
          <w:noProof/>
          <w:sz w:val="20"/>
          <w:szCs w:val="20"/>
        </w:rPr>
        <w:t>1</w:t>
      </w:r>
      <w:r w:rsidR="00843EDC">
        <w:rPr>
          <w:sz w:val="20"/>
          <w:szCs w:val="20"/>
        </w:rPr>
        <w:fldChar w:fldCharType="end"/>
      </w:r>
      <w:r w:rsidR="00843EDC">
        <w:rPr>
          <w:sz w:val="20"/>
          <w:szCs w:val="20"/>
        </w:rPr>
        <w:t>.</w:t>
      </w:r>
      <w:r w:rsidR="00843EDC">
        <w:rPr>
          <w:sz w:val="20"/>
          <w:szCs w:val="20"/>
        </w:rPr>
        <w:fldChar w:fldCharType="begin"/>
      </w:r>
      <w:r w:rsidR="00843EDC">
        <w:rPr>
          <w:sz w:val="20"/>
          <w:szCs w:val="20"/>
        </w:rPr>
        <w:instrText xml:space="preserve"> SEQ Figure \* ARABIC \s 1 </w:instrText>
      </w:r>
      <w:r w:rsidR="00843EDC">
        <w:rPr>
          <w:sz w:val="20"/>
          <w:szCs w:val="20"/>
        </w:rPr>
        <w:fldChar w:fldCharType="separate"/>
      </w:r>
      <w:r w:rsidR="00843EDC">
        <w:rPr>
          <w:noProof/>
          <w:sz w:val="20"/>
          <w:szCs w:val="20"/>
        </w:rPr>
        <w:t>4</w:t>
      </w:r>
      <w:r w:rsidR="00843EDC">
        <w:rPr>
          <w:sz w:val="20"/>
          <w:szCs w:val="20"/>
        </w:rPr>
        <w:fldChar w:fldCharType="end"/>
      </w:r>
      <w:r w:rsidRPr="007213A8">
        <w:rPr>
          <w:sz w:val="20"/>
          <w:szCs w:val="20"/>
        </w:rPr>
        <w:t xml:space="preserve"> </w:t>
      </w:r>
      <w:r w:rsidRPr="007213A8">
        <w:rPr>
          <w:rFonts w:eastAsiaTheme="minorHAnsi"/>
          <w:color w:val="000000" w:themeColor="text1"/>
          <w:sz w:val="20"/>
          <w:szCs w:val="20"/>
        </w:rPr>
        <w:t xml:space="preserve">Model for hormonal changes in the roots associated to the arbuscular mycorrhizal symbiosis. At the early phase the strigolactone (SL) is high and the colonization increased the level of salicylic acid (SA).in the late phase the of colonization the production of SL and SA are repressed while biosynthesis of jasmonates (JA) increases (The figure has been reproduced from </w:t>
      </w:r>
      <w:sdt>
        <w:sdtPr>
          <w:rPr>
            <w:rFonts w:eastAsiaTheme="minorHAnsi"/>
            <w:color w:val="000000"/>
            <w:sz w:val="20"/>
            <w:szCs w:val="20"/>
          </w:rPr>
          <w:tag w:val="MENDELEY_CITATION_v3_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"/>
          <w:id w:val="1694104517"/>
          <w:placeholder>
            <w:docPart w:val="FEDCDA593145B84097642108EC01EC32"/>
          </w:placeholder>
        </w:sdtPr>
        <w:sdtContent>
          <w:r w:rsidR="005E3F83" w:rsidRPr="005E3F83">
            <w:rPr>
              <w:rFonts w:eastAsiaTheme="minorHAnsi"/>
              <w:color w:val="000000"/>
              <w:sz w:val="20"/>
              <w:szCs w:val="20"/>
            </w:rPr>
            <w:t>(Jung et al., 2012a)</w:t>
          </w:r>
        </w:sdtContent>
      </w:sdt>
      <w:r w:rsidRPr="007213A8">
        <w:rPr>
          <w:rFonts w:eastAsiaTheme="minorHAnsi"/>
          <w:color w:val="000000" w:themeColor="text1"/>
          <w:sz w:val="20"/>
          <w:szCs w:val="20"/>
        </w:rPr>
        <w:t>.</w:t>
      </w:r>
      <w:bookmarkEnd w:id="18"/>
    </w:p>
    <w:p w14:paraId="53E8F214" w14:textId="35668906" w:rsidR="00213CA2" w:rsidRDefault="00213CA2" w:rsidP="008B2D12">
      <w:pPr>
        <w:pStyle w:val="mythesis"/>
      </w:pPr>
      <w:r w:rsidRPr="00213CA2">
        <w:t>In addition to defense against pathogenic organisms, some studies suggest that, along with the importance of the mycorrhiza in protecting the plants from the pathogenic organisms, they can also protect plants from the high concentrations of toxic heavy metals</w:t>
      </w:r>
      <w:r w:rsidR="00380256">
        <w:t>,</w:t>
      </w:r>
      <w:r w:rsidRPr="00213CA2">
        <w:t xml:space="preserve"> </w:t>
      </w:r>
      <w:sdt>
        <w:sdtPr>
          <w:tag w:val="MENDELEY_CITATION_v3_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"/>
          <w:id w:val="1736281007"/>
          <w:placeholder>
            <w:docPart w:val="DefaultPlaceholder_-1854013440"/>
          </w:placeholder>
        </w:sdtPr>
        <w:sdtContent>
          <w:r w:rsidR="005E3F83">
            <w:t>(Wetterauer &amp; &amp; Killorn, 1996; Wu et al., 2005)</w:t>
          </w:r>
        </w:sdtContent>
      </w:sdt>
      <w:r w:rsidRPr="00213CA2">
        <w:t xml:space="preserve"> suggested that over the past 60 years, the application of beneficial microbes in agricultural soil began, but only now has substantial evidence of the benefits of soil microbial populations in soil for plant health become accepted by the mainstream. Moreover, they provide evidence that these microbes, such as AMF, can enhance the plant resistance/tolerance to heavy metal contamination, pathogenic microorganisms, and nutrient limitation. </w:t>
      </w:r>
    </w:p>
    <w:p w14:paraId="64EF54A4" w14:textId="1074124A" w:rsidR="0019038E" w:rsidRPr="00EB599C" w:rsidRDefault="0019038E" w:rsidP="008B2D12">
      <w:pPr>
        <w:pStyle w:val="mythesis"/>
      </w:pPr>
      <w:r w:rsidRPr="002932E6">
        <w:t xml:space="preserve">Finally, AMF can reduce the occurrence of weeds, </w:t>
      </w:r>
      <w:sdt>
        <w:sdtPr>
          <w:rPr>
            <w:color w:val="000000"/>
          </w:rPr>
          <w:tag w:val="MENDELEY_CITATION_v3_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"/>
          <w:id w:val="299661224"/>
          <w:placeholder>
            <w:docPart w:val="C796E44BA29C7B49B74F3F722913E754"/>
          </w:placeholder>
        </w:sdtPr>
        <w:sdtContent>
          <w:r w:rsidR="005E3F83" w:rsidRPr="005E3F83">
            <w:rPr>
              <w:color w:val="000000"/>
            </w:rPr>
            <w:t>(Rinaudo et al., 2010)</w:t>
          </w:r>
        </w:sdtContent>
      </w:sdt>
      <w:r w:rsidRPr="002932E6">
        <w:t xml:space="preserve"> reported that the AMF stimulates the inhibition some of harmful weed’s species such as </w:t>
      </w:r>
      <w:r w:rsidRPr="002932E6">
        <w:rPr>
          <w:i/>
        </w:rPr>
        <w:t>Amaranthus retroflexus, Chenopodium album, Digitaria sanguinalis, Echinochloa crus-galli, Setaria viridis</w:t>
      </w:r>
      <w:r w:rsidRPr="002932E6">
        <w:t xml:space="preserve"> and </w:t>
      </w:r>
      <w:r w:rsidRPr="002932E6">
        <w:rPr>
          <w:i/>
        </w:rPr>
        <w:t>Sinapis arvensis</w:t>
      </w:r>
      <w:r w:rsidRPr="002932E6">
        <w:t xml:space="preserve">, </w:t>
      </w:r>
      <w:r w:rsidRPr="004D3F76">
        <w:t>while, presumably enhancing host competition th</w:t>
      </w:r>
      <w:r w:rsidR="0045528C" w:rsidRPr="004D3F76">
        <w:t>r</w:t>
      </w:r>
      <w:r w:rsidRPr="004D3F76">
        <w:t xml:space="preserve">ough the proportion of nutrient acquisition.  When the competing weeds species </w:t>
      </w:r>
      <w:r w:rsidR="0045528C" w:rsidRPr="004D3F76">
        <w:t>are</w:t>
      </w:r>
      <w:r w:rsidRPr="004D3F76">
        <w:t xml:space="preserve"> non-mycorrhizal then the effects of AMF are even more pronounced </w:t>
      </w:r>
      <w:sdt>
        <w:sdtPr>
          <w:tag w:val="MENDELEY_CITATION_v3_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"/>
          <w:id w:val="1992061196"/>
          <w:placeholder>
            <w:docPart w:val="C796E44BA29C7B49B74F3F722913E754"/>
          </w:placeholder>
        </w:sdtPr>
        <w:sdtContent>
          <w:r w:rsidR="005E3F83" w:rsidRPr="004D3F76">
            <w:t>(Cameron, 2010)</w:t>
          </w:r>
        </w:sdtContent>
      </w:sdt>
      <w:r w:rsidRPr="004D3F76">
        <w:t xml:space="preserve">. For example, the presence of AMF can inhibit root hair production in non-mycorrhizal weeds such as </w:t>
      </w:r>
      <w:r w:rsidRPr="004D3F76">
        <w:rPr>
          <w:i/>
          <w:iCs w:val="0"/>
        </w:rPr>
        <w:t>fat hen</w:t>
      </w:r>
      <w:r w:rsidRPr="004D3F76">
        <w:t xml:space="preserve"> </w:t>
      </w:r>
      <w:r w:rsidRPr="004D3F76">
        <w:lastRenderedPageBreak/>
        <w:t>(</w:t>
      </w:r>
      <w:r w:rsidRPr="004D3F76">
        <w:rPr>
          <w:i/>
        </w:rPr>
        <w:t>Chenopodium album</w:t>
      </w:r>
      <w:r w:rsidRPr="004D3F76">
        <w:t xml:space="preserve">) through the production of allopathic metabolites; suppressed root hairs reduce the competitive ability of non-mycorrhizal weeds allowing them to be out competed by thigh mycorrhizal counterparts </w:t>
      </w:r>
      <w:sdt>
        <w:sdtPr>
          <w:tag w:val="MENDELEY_CITATION_v3_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"/>
          <w:id w:val="1948739940"/>
          <w:placeholder>
            <w:docPart w:val="C796E44BA29C7B49B74F3F722913E754"/>
          </w:placeholder>
        </w:sdtPr>
        <w:sdtContent>
          <w:r w:rsidR="005E3F83" w:rsidRPr="004D3F76">
            <w:t>(Cameron, 2010)</w:t>
          </w:r>
        </w:sdtContent>
      </w:sdt>
      <w:r w:rsidRPr="004D3F76">
        <w:t>.</w:t>
      </w:r>
      <w:r w:rsidRPr="002932E6">
        <w:t xml:space="preserve"> AMF can even suppress parasitic weeds, </w:t>
      </w:r>
      <w:sdt>
        <w:sdtPr>
          <w:rPr>
            <w:color w:val="000000"/>
          </w:rPr>
          <w:tag w:val="MENDELEY_CITATION_v3_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"/>
          <w:id w:val="-767005640"/>
          <w:placeholder>
            <w:docPart w:val="C796E44BA29C7B49B74F3F722913E754"/>
          </w:placeholder>
        </w:sdtPr>
        <w:sdtContent>
          <w:r w:rsidR="005E3F83" w:rsidRPr="005E3F83">
            <w:rPr>
              <w:color w:val="000000"/>
            </w:rPr>
            <w:t>(Othira, 2012)</w:t>
          </w:r>
        </w:sdtContent>
      </w:sdt>
      <w:r w:rsidRPr="002932E6">
        <w:t xml:space="preserve"> indicated that the germination of the obligate root hemiparasitic weed (</w:t>
      </w:r>
      <w:r w:rsidRPr="002932E6">
        <w:rPr>
          <w:i/>
        </w:rPr>
        <w:t xml:space="preserve">Striga hermonthica) </w:t>
      </w:r>
      <w:r w:rsidRPr="002932E6">
        <w:t xml:space="preserve">has been inhibited, and the growth of this species has been reduced because existence of the AMF, which also increased the amount of the maize growth.  </w:t>
      </w:r>
      <w:r w:rsidRPr="002932E6">
        <w:rPr>
          <w:i/>
        </w:rPr>
        <w:t>Striga</w:t>
      </w:r>
      <w:r w:rsidRPr="002932E6">
        <w:t xml:space="preserve"> species require chemical cues from host roots, germination stimulants, to germinate.  AMF cause a reduction in parasite germination stimulants by the host and so reduce parasite infection </w:t>
      </w:r>
      <w:sdt>
        <w:sdtPr>
          <w:rPr>
            <w:color w:val="000000"/>
          </w:rPr>
          <w:tag w:val="MENDELEY_CITATION_v3_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"/>
          <w:id w:val="-4673430"/>
          <w:placeholder>
            <w:docPart w:val="C796E44BA29C7B49B74F3F722913E754"/>
          </w:placeholder>
        </w:sdtPr>
        <w:sdtContent>
          <w:r w:rsidR="005E3F83" w:rsidRPr="005E3F83">
            <w:rPr>
              <w:color w:val="000000"/>
            </w:rPr>
            <w:t>(Cameron et al., 2013b)</w:t>
          </w:r>
        </w:sdtContent>
      </w:sdt>
      <w:r w:rsidRPr="002932E6">
        <w:t>.</w:t>
      </w:r>
    </w:p>
    <w:p w14:paraId="4C8F1023" w14:textId="77777777" w:rsidR="0019038E" w:rsidRDefault="0019038E" w:rsidP="0019038E">
      <w:pPr>
        <w:pStyle w:val="Heading3"/>
      </w:pPr>
      <w:bookmarkStart w:id="19" w:name="_Toc83751408"/>
      <w:r w:rsidRPr="002932E6">
        <w:t>1.1.10 Role of mycorrhization to influencing the plant secondary metabolite compounds</w:t>
      </w:r>
      <w:bookmarkEnd w:id="19"/>
    </w:p>
    <w:p w14:paraId="276AF285" w14:textId="77777777" w:rsidR="0019038E" w:rsidRPr="00EB599C" w:rsidRDefault="0019038E" w:rsidP="0019038E"/>
    <w:p w14:paraId="4CE6B00F" w14:textId="27BAEB63" w:rsidR="0019038E" w:rsidRPr="00EB599C" w:rsidRDefault="0019038E" w:rsidP="00385B46">
      <w:pPr>
        <w:pStyle w:val="mythesis"/>
        <w:rPr>
          <w:shd w:val="clear" w:color="auto" w:fill="FFFFFF"/>
        </w:rPr>
      </w:pPr>
      <w:r w:rsidRPr="002932E6">
        <w:rPr>
          <w:shd w:val="clear" w:color="auto" w:fill="FFFFFF"/>
        </w:rPr>
        <w:t>Secondary metabolites kno</w:t>
      </w:r>
      <w:r w:rsidRPr="004D3F76">
        <w:rPr>
          <w:shd w:val="clear" w:color="auto" w:fill="FFFFFF"/>
        </w:rPr>
        <w:t>w</w:t>
      </w:r>
      <w:r w:rsidR="00B266C9" w:rsidRPr="004D3F76">
        <w:rPr>
          <w:shd w:val="clear" w:color="auto" w:fill="FFFFFF"/>
        </w:rPr>
        <w:t>n</w:t>
      </w:r>
      <w:r w:rsidRPr="004D3F76">
        <w:rPr>
          <w:shd w:val="clear" w:color="auto" w:fill="FFFFFF"/>
        </w:rPr>
        <w:t xml:space="preserve"> </w:t>
      </w:r>
      <w:r w:rsidRPr="002932E6">
        <w:rPr>
          <w:shd w:val="clear" w:color="auto" w:fill="FFFFFF"/>
        </w:rPr>
        <w:t xml:space="preserve">as multifunctional metabolites play a role in plant defense and environmental communication </w:t>
      </w:r>
      <w:sdt>
        <w:sdtPr>
          <w:rPr>
            <w:color w:val="000000"/>
            <w:shd w:val="clear" w:color="auto" w:fill="FFFFFF"/>
          </w:rPr>
          <w:tag w:val="MENDELEY_CITATION_v3_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"/>
          <w:id w:val="-1729303798"/>
          <w:placeholder>
            <w:docPart w:val="4126063EBB940943BEF59DC61F8B67B4"/>
          </w:placeholder>
        </w:sdtPr>
        <w:sdtContent>
          <w:r w:rsidR="005E3F83" w:rsidRPr="005E3F83">
            <w:rPr>
              <w:color w:val="000000"/>
              <w:shd w:val="clear" w:color="auto" w:fill="FFFFFF"/>
            </w:rPr>
            <w:t>(Hartmann, 2007)</w:t>
          </w:r>
        </w:sdtContent>
      </w:sdt>
      <w:r w:rsidRPr="002932E6">
        <w:rPr>
          <w:shd w:val="clear" w:color="auto" w:fill="FFFFFF"/>
        </w:rPr>
        <w:t>.</w:t>
      </w:r>
      <w:r w:rsidRPr="002932E6">
        <w:t xml:space="preserve"> </w:t>
      </w:r>
      <w:r w:rsidRPr="002932E6">
        <w:rPr>
          <w:shd w:val="clear" w:color="auto" w:fill="FFFFFF"/>
        </w:rPr>
        <w:t xml:space="preserve">They are also involved with plant color, taste, and aroma. They are also crucially involved in plant stress responses and involve in infection termination, whether biotic or abiotic in nature </w:t>
      </w:r>
      <w:sdt>
        <w:sdtPr>
          <w:rPr>
            <w:color w:val="000000"/>
            <w:shd w:val="clear" w:color="auto" w:fill="FFFFFF"/>
          </w:rPr>
          <w:tag w:val="MENDELEY_CITATION_v3_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"/>
          <w:id w:val="1870714890"/>
          <w:placeholder>
            <w:docPart w:val="4126063EBB940943BEF59DC61F8B67B4"/>
          </w:placeholder>
        </w:sdtPr>
        <w:sdtContent>
          <w:r w:rsidR="005E3F83" w:rsidRPr="005E3F83">
            <w:rPr>
              <w:color w:val="000000"/>
              <w:shd w:val="clear" w:color="auto" w:fill="FFFFFF"/>
            </w:rPr>
            <w:t>(van Loon et al., 2006)</w:t>
          </w:r>
        </w:sdtContent>
      </w:sdt>
      <w:r w:rsidRPr="002932E6">
        <w:rPr>
          <w:shd w:val="clear" w:color="auto" w:fill="FFFFFF"/>
        </w:rPr>
        <w:t xml:space="preserve">. also have a role in alleviating abiotic stresses such as temperature, drought, salinity, and UV radiation. </w:t>
      </w:r>
      <w:sdt>
        <w:sdtPr>
          <w:rPr>
            <w:shd w:val="clear" w:color="auto" w:fill="FFFFFF"/>
          </w:rPr>
          <w:tag w:val="MENDELEY_CITATION_v3_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"/>
          <w:id w:val="2015186510"/>
          <w:placeholder>
            <w:docPart w:val="4126063EBB940943BEF59DC61F8B67B4"/>
          </w:placeholder>
        </w:sdtPr>
        <w:sdtContent>
          <w:r w:rsidR="005E3F83">
            <w:t>(Akula &amp; Ravishankar, 2011)</w:t>
          </w:r>
        </w:sdtContent>
      </w:sdt>
      <w:r w:rsidRPr="002932E6">
        <w:rPr>
          <w:shd w:val="clear" w:color="auto" w:fill="FFFFFF"/>
        </w:rPr>
        <w:t>. Plants can reduce morphological traits like the number of leaves or branches, leaf area, height, and root volume when subjected to various biotic and abiotic pressures</w:t>
      </w:r>
      <w:sdt>
        <w:sdtPr>
          <w:rPr>
            <w:color w:val="000000"/>
            <w:shd w:val="clear" w:color="auto" w:fill="FFFFFF"/>
          </w:rPr>
          <w:tag w:val="MENDELEY_CITATION_v3_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"/>
          <w:id w:val="-1381157392"/>
          <w:placeholder>
            <w:docPart w:val="4126063EBB940943BEF59DC61F8B67B4"/>
          </w:placeholder>
        </w:sdtPr>
        <w:sdtContent>
          <w:r w:rsidR="005E3F83" w:rsidRPr="005E3F83">
            <w:rPr>
              <w:color w:val="000000"/>
              <w:shd w:val="clear" w:color="auto" w:fill="FFFFFF"/>
            </w:rPr>
            <w:t>(Pradhan et al., 2017)</w:t>
          </w:r>
        </w:sdtContent>
      </w:sdt>
      <w:r w:rsidRPr="002932E6">
        <w:rPr>
          <w:shd w:val="clear" w:color="auto" w:fill="FFFFFF"/>
        </w:rPr>
        <w:t>. Plants, in fact, have a wide set of defense mechanisms that allow them to cope with stress, alleviate abiotic stress at the metabolomic level, and increase Secondary metabolite accumulation during stress. Plant receptors and sensors recognize threat signals, allowing defensive reactions to protect them from these pressures.</w:t>
      </w:r>
      <w:r w:rsidRPr="002932E6">
        <w:t xml:space="preserve"> </w:t>
      </w:r>
      <w:r w:rsidRPr="002932E6">
        <w:rPr>
          <w:shd w:val="clear" w:color="auto" w:fill="FFFFFF"/>
        </w:rPr>
        <w:t xml:space="preserve">One of the responses is the accumulation of secondary metabolites. Transcriptional factors (TFs) aid in plant defense management by recognizing stress signals and guiding the expression of downstream defense genes. Similarly, the plant's life, durability, and productivity are all dependent on increased secondary metabolite synthesis, also known as elicitation, to protect plants against stress stimuli, several biotic (fungi, bacteria) and abiotic (exogenous hormones) elicitors are used to increase secondary metabolite production </w:t>
      </w:r>
      <w:sdt>
        <w:sdtPr>
          <w:rPr>
            <w:color w:val="000000"/>
            <w:shd w:val="clear" w:color="auto" w:fill="FFFFFF"/>
          </w:rPr>
          <w:tag w:val="MENDELEY_CITATION_v3_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"/>
          <w:id w:val="585893503"/>
          <w:placeholder>
            <w:docPart w:val="4126063EBB940943BEF59DC61F8B67B4"/>
          </w:placeholder>
        </w:sdtPr>
        <w:sdtContent>
          <w:r w:rsidR="005E3F83" w:rsidRPr="005E3F83">
            <w:rPr>
              <w:color w:val="000000"/>
              <w:shd w:val="clear" w:color="auto" w:fill="FFFFFF"/>
            </w:rPr>
            <w:t>(Jan et al., 2021)</w:t>
          </w:r>
        </w:sdtContent>
      </w:sdt>
      <w:r w:rsidRPr="002932E6">
        <w:rPr>
          <w:shd w:val="clear" w:color="auto" w:fill="FFFFFF"/>
        </w:rPr>
        <w:t>.</w:t>
      </w:r>
    </w:p>
    <w:p w14:paraId="48FCFDD3" w14:textId="3885572F" w:rsidR="0019038E" w:rsidRPr="00EB599C" w:rsidRDefault="0019038E" w:rsidP="00385B46">
      <w:pPr>
        <w:pStyle w:val="mythesis"/>
        <w:rPr>
          <w:rFonts w:eastAsiaTheme="minorHAnsi"/>
        </w:rPr>
      </w:pPr>
      <w:r w:rsidRPr="002932E6">
        <w:rPr>
          <w:rFonts w:eastAsiaTheme="minorHAnsi"/>
        </w:rPr>
        <w:t xml:space="preserve">There have been qualitative and quantitative alterations in flavonoid content, with the modifications depending on the host plant, AMF, and developmental stage of the symbiosis </w:t>
      </w:r>
      <w:sdt>
        <w:sdtPr>
          <w:rPr>
            <w:rFonts w:eastAsiaTheme="minorHAnsi"/>
          </w:rPr>
          <w:tag w:val="MENDELEY_CITATION_v3_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"/>
          <w:id w:val="642695737"/>
          <w:placeholder>
            <w:docPart w:val="4126063EBB940943BEF59DC61F8B67B4"/>
          </w:placeholder>
        </w:sdtPr>
        <w:sdtContent>
          <w:r w:rsidR="005E3F83">
            <w:t>(Akiyama et al., 2002; Vierheilig &amp; Piché, 2002a)</w:t>
          </w:r>
        </w:sdtContent>
      </w:sdt>
      <w:r w:rsidRPr="002932E6">
        <w:rPr>
          <w:rFonts w:eastAsiaTheme="minorHAnsi"/>
        </w:rPr>
        <w:t xml:space="preserve">. There have also been reports of changes in phenolic chemicals, defense-related phytohormones, and reactive oxygen species </w:t>
      </w:r>
      <w:sdt>
        <w:sdtPr>
          <w:rPr>
            <w:rFonts w:eastAsiaTheme="minorHAnsi"/>
          </w:rPr>
          <w:tag w:val="MENDELEY_CITATION_v3_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"/>
          <w:id w:val="-473371689"/>
          <w:placeholder>
            <w:docPart w:val="4126063EBB940943BEF59DC61F8B67B4"/>
          </w:placeholder>
        </w:sdtPr>
        <w:sdtContent>
          <w:r w:rsidR="005E3F83">
            <w:t xml:space="preserve">(Fester &amp; </w:t>
          </w:r>
          <w:r w:rsidR="005E3F83">
            <w:lastRenderedPageBreak/>
            <w:t>Hause, 2005; López-Ráez, Flors, et al., 2010; López-Ráez, Verhage, et al., 2010a)</w:t>
          </w:r>
        </w:sdtContent>
      </w:sdt>
      <w:r w:rsidRPr="002932E6">
        <w:rPr>
          <w:rFonts w:eastAsiaTheme="minorHAnsi"/>
        </w:rPr>
        <w:t>.</w:t>
      </w:r>
      <w:r w:rsidR="00FF0EAF">
        <w:rPr>
          <w:rFonts w:eastAsiaTheme="minorHAnsi"/>
        </w:rPr>
        <w:t xml:space="preserve"> </w:t>
      </w:r>
      <w:r w:rsidRPr="002932E6">
        <w:rPr>
          <w:rFonts w:eastAsiaTheme="minorHAnsi"/>
        </w:rPr>
        <w:t xml:space="preserve">Notably, the symbiosis has a significant impact on the aerial sections of mycorrhizal plants, with some of the documented modifications relating to defense or stress tolerance </w:t>
      </w:r>
      <w:sdt>
        <w:sdtPr>
          <w:rPr>
            <w:rFonts w:eastAsiaTheme="minorHAnsi"/>
            <w:color w:val="000000"/>
          </w:rPr>
          <w:tag w:val="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"/>
          <w:id w:val="960077822"/>
          <w:placeholder>
            <w:docPart w:val="4126063EBB940943BEF59DC61F8B67B4"/>
          </w:placeholder>
        </w:sdtPr>
        <w:sdtContent>
          <w:r w:rsidR="005E3F83" w:rsidRPr="005E3F83">
            <w:rPr>
              <w:rFonts w:eastAsiaTheme="minorHAnsi"/>
              <w:color w:val="000000"/>
            </w:rPr>
            <w:t>(Aloui et al., 2011; Fester et al., 2011; Fiorilli et al., 2009; Kaschuk et al., 2009; J. Liu et al., 2007; Pozo et al., 2009)</w:t>
          </w:r>
        </w:sdtContent>
      </w:sdt>
      <w:r w:rsidRPr="002932E6">
        <w:rPr>
          <w:rFonts w:eastAsiaTheme="minorHAnsi"/>
        </w:rPr>
        <w:t>.</w:t>
      </w:r>
    </w:p>
    <w:p w14:paraId="2CA26158" w14:textId="1AE6C79F" w:rsidR="0019038E" w:rsidRPr="002932E6" w:rsidRDefault="0019038E" w:rsidP="00385B46">
      <w:pPr>
        <w:pStyle w:val="mythesis"/>
        <w:rPr>
          <w:rFonts w:eastAsiaTheme="minorHAnsi"/>
        </w:rPr>
      </w:pPr>
      <w:r w:rsidRPr="002932E6">
        <w:rPr>
          <w:rFonts w:eastAsiaTheme="minorHAnsi"/>
        </w:rPr>
        <w:t xml:space="preserve">Small molecules that function as signal transducers and modify the coordinated expression of genes that code for defense-related proteins and chemicals coordinate plant defensive responses </w:t>
      </w:r>
      <w:sdt>
        <w:sdtPr>
          <w:rPr>
            <w:rFonts w:eastAsiaTheme="minorHAnsi"/>
          </w:rPr>
          <w:tag w:val="MENDELEY_CITATION_v3_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"/>
          <w:id w:val="13425682"/>
          <w:placeholder>
            <w:docPart w:val="4126063EBB940943BEF59DC61F8B67B4"/>
          </w:placeholder>
        </w:sdtPr>
        <w:sdtContent>
          <w:r w:rsidR="005E3F83">
            <w:t>(Ausubel, 2005a; Jones &amp; Dangl, 2006b)</w:t>
          </w:r>
        </w:sdtContent>
      </w:sdt>
      <w:r w:rsidRPr="002932E6">
        <w:rPr>
          <w:rFonts w:eastAsiaTheme="minorHAnsi"/>
        </w:rPr>
        <w:t xml:space="preserve">. The phytohormones jasmonic acid (JA), salicylic acid (SA), abscisic acid (ABA), and ethylene (ET) are important among these molecules </w:t>
      </w:r>
      <w:sdt>
        <w:sdtPr>
          <w:rPr>
            <w:rFonts w:eastAsiaTheme="minorHAnsi"/>
            <w:color w:val="000000"/>
          </w:rPr>
          <w:tag w:val="MENDELEY_CITATION_v3_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"/>
          <w:id w:val="-496270827"/>
          <w:placeholder>
            <w:docPart w:val="4126063EBB940943BEF59DC61F8B67B4"/>
          </w:placeholder>
        </w:sdtPr>
        <w:sdtContent>
          <w:r w:rsidR="005E3F83" w:rsidRPr="005E3F83">
            <w:rPr>
              <w:rFonts w:eastAsiaTheme="minorHAnsi"/>
              <w:color w:val="000000"/>
            </w:rPr>
            <w:t>(Pieterse et al., 2009)</w:t>
          </w:r>
        </w:sdtContent>
      </w:sdt>
      <w:r w:rsidRPr="002932E6">
        <w:rPr>
          <w:rFonts w:eastAsiaTheme="minorHAnsi"/>
        </w:rPr>
        <w:t xml:space="preserve">. One signaling pathway will gain over others, according on the challenging lifestyle. It is commonly considered that the SA-dependent system controls responses such as programmed cell death, which are efficient against biotrophic species, and the JA-dependent pathway regulates responses to necrotrophy and chewing insects </w:t>
      </w:r>
      <w:sdt>
        <w:sdtPr>
          <w:rPr>
            <w:rFonts w:eastAsiaTheme="minorHAnsi"/>
            <w:color w:val="000000"/>
          </w:rPr>
          <w:tag w:val="MENDELEY_CITATION_v3_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"/>
          <w:id w:val="-1170560452"/>
          <w:placeholder>
            <w:docPart w:val="4126063EBB940943BEF59DC61F8B67B4"/>
          </w:placeholder>
        </w:sdtPr>
        <w:sdtContent>
          <w:r w:rsidR="005E3F83" w:rsidRPr="005E3F83">
            <w:rPr>
              <w:rFonts w:eastAsiaTheme="minorHAnsi"/>
              <w:color w:val="000000"/>
            </w:rPr>
            <w:t>(Glazebrook, 2005)</w:t>
          </w:r>
        </w:sdtContent>
      </w:sdt>
      <w:r w:rsidRPr="002932E6">
        <w:rPr>
          <w:rFonts w:eastAsiaTheme="minorHAnsi"/>
        </w:rPr>
        <w:t xml:space="preserve">. However, these hormones signaling pathways do not act independently, but rather interact with one another via a complex network of regulatory interactions, with the JA and SA pathways being mutually antagonistic in general </w:t>
      </w:r>
      <w:sdt>
        <w:sdtPr>
          <w:rPr>
            <w:rFonts w:eastAsiaTheme="minorHAnsi"/>
            <w:color w:val="000000"/>
          </w:rPr>
          <w:tag w:val="MENDELEY_CITATION_v3_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"/>
          <w:id w:val="849211079"/>
          <w:placeholder>
            <w:docPart w:val="4126063EBB940943BEF59DC61F8B67B4"/>
          </w:placeholder>
        </w:sdtPr>
        <w:sdtContent>
          <w:r w:rsidR="005E3F83" w:rsidRPr="005E3F83">
            <w:rPr>
              <w:rFonts w:eastAsiaTheme="minorHAnsi"/>
              <w:color w:val="000000"/>
            </w:rPr>
            <w:t>(Pieterse et al., 2008)</w:t>
          </w:r>
        </w:sdtContent>
      </w:sdt>
      <w:r w:rsidRPr="002932E6">
        <w:rPr>
          <w:rFonts w:eastAsiaTheme="minorHAnsi"/>
        </w:rPr>
        <w:t xml:space="preserve">. Mycorrhizal fungi, as biotrophs, are comparable to biotrophic diseases in that they can trigger plant defensive responses in the early stages </w:t>
      </w:r>
      <w:sdt>
        <w:sdtPr>
          <w:rPr>
            <w:rFonts w:eastAsiaTheme="minorHAnsi"/>
            <w:color w:val="000000"/>
          </w:rPr>
          <w:tag w:val="MENDELEY_CITATION_v3_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"/>
          <w:id w:val="-536268651"/>
          <w:placeholder>
            <w:docPart w:val="4126063EBB940943BEF59DC61F8B67B4"/>
          </w:placeholder>
        </w:sdtPr>
        <w:sdtContent>
          <w:r w:rsidR="005E3F83" w:rsidRPr="005E3F83">
            <w:rPr>
              <w:rFonts w:eastAsiaTheme="minorHAnsi"/>
              <w:color w:val="000000"/>
            </w:rPr>
            <w:t>(Paszkowski, 2006)</w:t>
          </w:r>
        </w:sdtContent>
      </w:sdt>
      <w:r w:rsidRPr="002932E6">
        <w:rPr>
          <w:rFonts w:eastAsiaTheme="minorHAnsi"/>
        </w:rPr>
        <w:t>.</w:t>
      </w:r>
    </w:p>
    <w:p w14:paraId="6C7D30B4" w14:textId="79E680B2" w:rsidR="0019038E" w:rsidRPr="00385B46" w:rsidRDefault="0019038E" w:rsidP="00385B46">
      <w:pPr>
        <w:pStyle w:val="mythesis"/>
        <w:rPr>
          <w:rFonts w:eastAsiaTheme="minorHAnsi"/>
        </w:rPr>
      </w:pPr>
      <w:r w:rsidRPr="00385B46">
        <w:rPr>
          <w:rFonts w:eastAsiaTheme="minorHAnsi"/>
        </w:rPr>
        <w:t>As a result, in order to colonize successfully, the fungus must deal with these reactions and actively control plant responses</w:t>
      </w:r>
      <w:r w:rsidR="00023672">
        <w:rPr>
          <w:rFonts w:eastAsiaTheme="minorHAnsi"/>
        </w:rPr>
        <w:t>,</w:t>
      </w:r>
      <w:r w:rsidRPr="00385B46">
        <w:rPr>
          <w:rFonts w:eastAsiaTheme="minorHAnsi"/>
        </w:rPr>
        <w:t xml:space="preserve"> </w:t>
      </w:r>
      <w:sdt>
        <w:sdtPr>
          <w:rPr>
            <w:rFonts w:eastAsiaTheme="minorHAnsi"/>
          </w:rPr>
          <w:tag w:val="MENDELEY_CITATION_v3_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"/>
          <w:id w:val="-38660464"/>
          <w:placeholder>
            <w:docPart w:val="4126063EBB940943BEF59DC61F8B67B4"/>
          </w:placeholder>
        </w:sdtPr>
        <w:sdtContent>
          <w:r w:rsidR="005E3F83">
            <w:t>(Pozo &amp; Azcón-Aguilar, 2007)</w:t>
          </w:r>
        </w:sdtContent>
      </w:sdt>
      <w:r w:rsidRPr="00385B46">
        <w:rPr>
          <w:rFonts w:eastAsiaTheme="minorHAnsi"/>
        </w:rPr>
        <w:t xml:space="preserve"> proposed that this modulation would result in tissue pre-conditioning for optimal activation of plant defenses in the event of a challenger attack, a phenomenon known as priming. Priming places the plant in an "alert" state in which defenses are not actively expressed but the response to an attack is faster and/or greater than in plants that have not previously been exposed to the priming stimulus, and effectively enhancing plant resistance. As a result, priming provides significant fitness gains </w:t>
      </w:r>
      <w:sdt>
        <w:sdtPr>
          <w:rPr>
            <w:rFonts w:eastAsiaTheme="minorHAnsi"/>
          </w:rPr>
          <w:tag w:val="MENDELEY_CITATION_v3_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"/>
          <w:id w:val="-1360894318"/>
          <w:placeholder>
            <w:docPart w:val="4126063EBB940943BEF59DC61F8B67B4"/>
          </w:placeholder>
        </w:sdtPr>
        <w:sdtContent>
          <w:r w:rsidR="005E3F83">
            <w:t>(Conrath et al., 2006; van Hulten et al., 2006; Walters &amp; Heil, 2007)</w:t>
          </w:r>
        </w:sdtContent>
      </w:sdt>
      <w:r w:rsidRPr="00385B46">
        <w:rPr>
          <w:rFonts w:eastAsiaTheme="minorHAnsi"/>
        </w:rPr>
        <w:t xml:space="preserve">. Many priming-causing substances have been discovered over the last decade. Some compounds that cause stress reactions in plants have been proven to induce priming when used at lower concentrations, and numerous fungicides have been found to prime defenses in treated plants in addition to their primary antifungal activity (reviewed in </w:t>
      </w:r>
      <w:sdt>
        <w:sdtPr>
          <w:rPr>
            <w:rFonts w:eastAsiaTheme="minorHAnsi"/>
          </w:rPr>
          <w:tag w:val="MENDELEY_CITATION_v3_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"/>
          <w:id w:val="1729341403"/>
          <w:placeholder>
            <w:docPart w:val="4126063EBB940943BEF59DC61F8B67B4"/>
          </w:placeholder>
        </w:sdtPr>
        <w:sdtContent>
          <w:r w:rsidR="005E3F83">
            <w:t>(Beckers &amp; Conrath, 2007; Conrath et al., 2006</w:t>
          </w:r>
        </w:sdtContent>
      </w:sdt>
      <w:r w:rsidRPr="00385B46">
        <w:rPr>
          <w:rFonts w:eastAsiaTheme="minorHAnsi"/>
        </w:rPr>
        <w:t>)</w:t>
      </w:r>
      <w:r w:rsidR="00437EAF">
        <w:rPr>
          <w:rFonts w:eastAsiaTheme="minorHAnsi"/>
        </w:rPr>
        <w:t>)</w:t>
      </w:r>
      <w:r w:rsidRPr="00385B46">
        <w:rPr>
          <w:rFonts w:eastAsiaTheme="minorHAnsi"/>
        </w:rPr>
        <w:t>.</w:t>
      </w:r>
    </w:p>
    <w:p w14:paraId="19C24B06" w14:textId="77777777" w:rsidR="0019038E" w:rsidRDefault="0019038E" w:rsidP="0019038E">
      <w:pPr>
        <w:keepNext/>
        <w:spacing w:afterLines="280" w:after="672" w:line="360" w:lineRule="auto"/>
        <w:jc w:val="lowKashida"/>
      </w:pPr>
      <w:r w:rsidRPr="002932E6">
        <w:rPr>
          <w:noProof/>
          <w:color w:val="000000" w:themeColor="text1"/>
          <w:shd w:val="clear" w:color="auto" w:fill="FFFFFF"/>
          <w:lang w:val="en-GB" w:eastAsia="en-GB"/>
        </w:rPr>
        <w:lastRenderedPageBreak/>
        <w:drawing>
          <wp:inline distT="0" distB="0" distL="0" distR="0" wp14:anchorId="3E329BB7" wp14:editId="368CA1C2">
            <wp:extent cx="5943600" cy="3614420"/>
            <wp:effectExtent l="0" t="0" r="0" b="508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5">
                      <a:extLst>
                        <a:ext uri="{28A0092B-C50C-407E-A947-70E740481C1C}">
                          <a14:useLocalDpi xmlns:a14="http://schemas.microsoft.com/office/drawing/2010/main" val="0"/>
                        </a:ext>
                      </a:extLst>
                    </a:blip>
                    <a:stretch>
                      <a:fillRect/>
                    </a:stretch>
                  </pic:blipFill>
                  <pic:spPr>
                    <a:xfrm>
                      <a:off x="0" y="0"/>
                      <a:ext cx="5943600" cy="3614420"/>
                    </a:xfrm>
                    <a:prstGeom prst="rect">
                      <a:avLst/>
                    </a:prstGeom>
                  </pic:spPr>
                </pic:pic>
              </a:graphicData>
            </a:graphic>
          </wp:inline>
        </w:drawing>
      </w:r>
    </w:p>
    <w:p w14:paraId="0E66A2BC" w14:textId="74967D2E" w:rsidR="0019038E" w:rsidRPr="00FE18B2" w:rsidRDefault="0019038E" w:rsidP="00FE18B2">
      <w:pPr>
        <w:spacing w:afterLines="280" w:after="672"/>
        <w:jc w:val="lowKashida"/>
        <w:rPr>
          <w:color w:val="000000" w:themeColor="text1"/>
          <w:sz w:val="20"/>
          <w:szCs w:val="20"/>
        </w:rPr>
      </w:pPr>
      <w:bookmarkStart w:id="20" w:name="_Toc83751346"/>
      <w:r w:rsidRPr="00E85A17">
        <w:rPr>
          <w:sz w:val="20"/>
          <w:szCs w:val="20"/>
        </w:rPr>
        <w:t xml:space="preserve">Figure </w:t>
      </w:r>
      <w:r w:rsidR="00843EDC">
        <w:rPr>
          <w:sz w:val="20"/>
          <w:szCs w:val="20"/>
        </w:rPr>
        <w:fldChar w:fldCharType="begin"/>
      </w:r>
      <w:r w:rsidR="00843EDC">
        <w:rPr>
          <w:sz w:val="20"/>
          <w:szCs w:val="20"/>
        </w:rPr>
        <w:instrText xml:space="preserve"> STYLEREF 1 \s </w:instrText>
      </w:r>
      <w:r w:rsidR="00843EDC">
        <w:rPr>
          <w:sz w:val="20"/>
          <w:szCs w:val="20"/>
        </w:rPr>
        <w:fldChar w:fldCharType="separate"/>
      </w:r>
      <w:r w:rsidR="00843EDC">
        <w:rPr>
          <w:noProof/>
          <w:sz w:val="20"/>
          <w:szCs w:val="20"/>
          <w:cs/>
        </w:rPr>
        <w:t>‎</w:t>
      </w:r>
      <w:r w:rsidR="00843EDC">
        <w:rPr>
          <w:noProof/>
          <w:sz w:val="20"/>
          <w:szCs w:val="20"/>
        </w:rPr>
        <w:t>1</w:t>
      </w:r>
      <w:r w:rsidR="00843EDC">
        <w:rPr>
          <w:sz w:val="20"/>
          <w:szCs w:val="20"/>
        </w:rPr>
        <w:fldChar w:fldCharType="end"/>
      </w:r>
      <w:r w:rsidR="00843EDC">
        <w:rPr>
          <w:sz w:val="20"/>
          <w:szCs w:val="20"/>
        </w:rPr>
        <w:t>.</w:t>
      </w:r>
      <w:r w:rsidR="00843EDC">
        <w:rPr>
          <w:sz w:val="20"/>
          <w:szCs w:val="20"/>
        </w:rPr>
        <w:fldChar w:fldCharType="begin"/>
      </w:r>
      <w:r w:rsidR="00843EDC">
        <w:rPr>
          <w:sz w:val="20"/>
          <w:szCs w:val="20"/>
        </w:rPr>
        <w:instrText xml:space="preserve"> SEQ Figure \* ARABIC \s 1 </w:instrText>
      </w:r>
      <w:r w:rsidR="00843EDC">
        <w:rPr>
          <w:sz w:val="20"/>
          <w:szCs w:val="20"/>
        </w:rPr>
        <w:fldChar w:fldCharType="separate"/>
      </w:r>
      <w:r w:rsidR="00843EDC">
        <w:rPr>
          <w:noProof/>
          <w:sz w:val="20"/>
          <w:szCs w:val="20"/>
        </w:rPr>
        <w:t>5</w:t>
      </w:r>
      <w:r w:rsidR="00843EDC">
        <w:rPr>
          <w:sz w:val="20"/>
          <w:szCs w:val="20"/>
        </w:rPr>
        <w:fldChar w:fldCharType="end"/>
      </w:r>
      <w:r w:rsidRPr="0086470D">
        <w:rPr>
          <w:sz w:val="20"/>
          <w:szCs w:val="20"/>
        </w:rPr>
        <w:t xml:space="preserve"> </w:t>
      </w:r>
      <w:r w:rsidRPr="0086470D">
        <w:rPr>
          <w:color w:val="000000" w:themeColor="text1"/>
          <w:sz w:val="20"/>
          <w:szCs w:val="20"/>
          <w:shd w:val="clear" w:color="auto" w:fill="FFFFFF"/>
        </w:rPr>
        <w:t>Plant growth and development are influenced by a variety of biotic and abiotic factors; to reduce these pressures, plants employ a variety of tactics and defense mechanisms. Four plant secondary metabolite types engaged in distinct modalities of resistance are exemplified to demonstrate the modulation of secondary metabolism by various transcription factors, which are regulated by intricate upstream signaling networks in response to stress. (</w:t>
      </w:r>
      <w:r w:rsidRPr="0086470D">
        <w:rPr>
          <w:color w:val="000000" w:themeColor="text1"/>
          <w:sz w:val="20"/>
          <w:szCs w:val="20"/>
        </w:rPr>
        <w:t xml:space="preserve">This figure has been reproduced from </w:t>
      </w:r>
      <w:sdt>
        <w:sdtPr>
          <w:rPr>
            <w:color w:val="000000"/>
            <w:sz w:val="20"/>
            <w:szCs w:val="20"/>
          </w:rPr>
          <w:tag w:val="MENDELEY_CITATION_v3_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"/>
          <w:id w:val="-1278946118"/>
          <w:placeholder>
            <w:docPart w:val="2336C5BAAA00F349BA5C469348C8DA86"/>
          </w:placeholder>
        </w:sdtPr>
        <w:sdtContent>
          <w:r w:rsidR="005E3F83" w:rsidRPr="005E3F83">
            <w:rPr>
              <w:color w:val="000000"/>
              <w:sz w:val="20"/>
              <w:szCs w:val="20"/>
            </w:rPr>
            <w:t>Jan et al., 2021)</w:t>
          </w:r>
        </w:sdtContent>
      </w:sdt>
      <w:r w:rsidRPr="0086470D">
        <w:rPr>
          <w:color w:val="000000" w:themeColor="text1"/>
          <w:sz w:val="20"/>
          <w:szCs w:val="20"/>
        </w:rPr>
        <w:t>.</w:t>
      </w:r>
      <w:bookmarkEnd w:id="20"/>
    </w:p>
    <w:p w14:paraId="127DBD72" w14:textId="77777777" w:rsidR="0019038E" w:rsidRPr="008965A8" w:rsidRDefault="0019038E" w:rsidP="0019038E">
      <w:pPr>
        <w:pStyle w:val="Heading3"/>
      </w:pPr>
    </w:p>
    <w:p w14:paraId="7CD98C43" w14:textId="49418030" w:rsidR="0019038E" w:rsidRDefault="0019038E" w:rsidP="0019038E">
      <w:pPr>
        <w:pStyle w:val="Heading3"/>
      </w:pPr>
      <w:bookmarkStart w:id="21" w:name="_Toc83751409"/>
      <w:r w:rsidRPr="008965A8">
        <w:t>1.1.11 How can we use this in sustainable agriculture?</w:t>
      </w:r>
      <w:bookmarkEnd w:id="21"/>
    </w:p>
    <w:p w14:paraId="70DF9C22" w14:textId="77777777" w:rsidR="00FE18B2" w:rsidRPr="00FE18B2" w:rsidRDefault="00FE18B2" w:rsidP="00FE18B2"/>
    <w:p w14:paraId="40E6DBFA" w14:textId="2524BDE6" w:rsidR="0019038E" w:rsidRPr="002932E6" w:rsidRDefault="0019038E" w:rsidP="00FE18B2">
      <w:pPr>
        <w:pStyle w:val="mythesis"/>
      </w:pPr>
      <w:r w:rsidRPr="002932E6">
        <w:t xml:space="preserve">Sustainable agriculture is the act of farming using principles of ecology and the active agent in this environment are the microorganisms and their interaction with each other and the outputs of these effects in terms of plant health.  </w:t>
      </w:r>
      <w:r w:rsidRPr="004D3F76">
        <w:t>Sustainable agriculture and this sustainable agriculture play</w:t>
      </w:r>
      <w:r w:rsidR="007B0575" w:rsidRPr="004D3F76">
        <w:t>s</w:t>
      </w:r>
      <w:r w:rsidRPr="004D3F76">
        <w:t xml:space="preserve"> a vital role in our life today re</w:t>
      </w:r>
      <w:r w:rsidRPr="002932E6">
        <w:t xml:space="preserve">ducing the need for chemical </w:t>
      </w:r>
      <w:r w:rsidR="0078156B" w:rsidRPr="002932E6">
        <w:t>fertilizers</w:t>
      </w:r>
      <w:r w:rsidRPr="002932E6">
        <w:t xml:space="preserve"> and the damage to the soil, environment and human health that comes with them. Increased use of biofertilizers instead of the harmful chemicals is therefore central to sustainable agricultural practices </w:t>
      </w:r>
      <w:sdt>
        <w:sdtPr>
          <w:rPr>
            <w:color w:val="000000"/>
          </w:rPr>
          <w:tag w:val="MENDELEY_CITATION_v3_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"/>
          <w:id w:val="1627202386"/>
          <w:placeholder>
            <w:docPart w:val="C796E44BA29C7B49B74F3F722913E754"/>
          </w:placeholder>
        </w:sdtPr>
        <w:sdtContent>
          <w:r w:rsidR="005E3F83" w:rsidRPr="005E3F83">
            <w:rPr>
              <w:color w:val="000000"/>
            </w:rPr>
            <w:t>(Singh et al., 2011)</w:t>
          </w:r>
        </w:sdtContent>
      </w:sdt>
      <w:r w:rsidRPr="002932E6">
        <w:t xml:space="preserve">. Awareness that health and the environment both benefit from sustainable agriculture has led to increased interest in the transition from the conventional intensive management to low input sustainable agriculture in Europe and the world </w:t>
      </w:r>
      <w:sdt>
        <w:sdtPr>
          <w:rPr>
            <w:color w:val="000000"/>
          </w:rPr>
          <w:tag w:val="MENDELEY_CITATION_v3_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"/>
          <w:id w:val="1409502179"/>
          <w:placeholder>
            <w:docPart w:val="C796E44BA29C7B49B74F3F722913E754"/>
          </w:placeholder>
        </w:sdtPr>
        <w:sdtContent>
          <w:r w:rsidR="005E3F83" w:rsidRPr="005E3F83">
            <w:rPr>
              <w:color w:val="000000"/>
            </w:rPr>
            <w:t>(Johansson et al., 2004)</w:t>
          </w:r>
        </w:sdtContent>
      </w:sdt>
      <w:r w:rsidRPr="002932E6">
        <w:t xml:space="preserve">.  </w:t>
      </w:r>
    </w:p>
    <w:p w14:paraId="7391E68D" w14:textId="30943B92" w:rsidR="0019038E" w:rsidRPr="002932E6" w:rsidRDefault="0019038E" w:rsidP="00631E5A">
      <w:pPr>
        <w:pStyle w:val="mythesis"/>
      </w:pPr>
      <w:r w:rsidRPr="002932E6">
        <w:lastRenderedPageBreak/>
        <w:t xml:space="preserve">The global human population will reach 8.9 billion by 2050 according to the United Nations estimates reports and statistics </w:t>
      </w:r>
      <w:sdt>
        <w:sdtPr>
          <w:rPr>
            <w:color w:val="000000"/>
          </w:rPr>
          <w:tag w:val="MENDELEY_CITATION_v3_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"/>
          <w:id w:val="-830667067"/>
          <w:placeholder>
            <w:docPart w:val="C796E44BA29C7B49B74F3F722913E754"/>
          </w:placeholder>
        </w:sdtPr>
        <w:sdtContent>
          <w:r w:rsidR="005E3F83" w:rsidRPr="005E3F83">
            <w:rPr>
              <w:color w:val="000000"/>
            </w:rPr>
            <w:t>(Singh et al., 2011)</w:t>
          </w:r>
        </w:sdtContent>
      </w:sdt>
      <w:r w:rsidRPr="002932E6">
        <w:t xml:space="preserve">. Also </w:t>
      </w:r>
      <w:sdt>
        <w:sdtPr>
          <w:rPr>
            <w:color w:val="000000"/>
          </w:rPr>
          <w:tag w:val="MENDELEY_CITATION_v3_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"/>
          <w:id w:val="639693394"/>
          <w:placeholder>
            <w:docPart w:val="C796E44BA29C7B49B74F3F722913E754"/>
          </w:placeholder>
        </w:sdtPr>
        <w:sdtContent>
          <w:r w:rsidR="005E3F83" w:rsidRPr="005E3F83">
            <w:rPr>
              <w:color w:val="000000"/>
            </w:rPr>
            <w:t>(Sayyed et al., 2012)</w:t>
          </w:r>
        </w:sdtContent>
      </w:sdt>
      <w:r w:rsidRPr="002932E6">
        <w:t xml:space="preserve"> indicated that the population in India has been reached 1.16 billion in 2008, the world therefore needs to increase crop production to feed the growing population. Against this backdrop, my regions of the work have increasingly limited space for agriculture.  Simultaneously, the resources we use to achieve current yields are unstable; phosphorus is mined from P-rich rocks which are in short supply, current estimates suggest that P-baring rocks will be exhausted with the next 100 years leading to dramatic price increase.  Further, we currently us around 2% of all energy generated on the planet, mostly from fossil fuels, to produced nitrogen </w:t>
      </w:r>
      <w:r w:rsidR="0078156B" w:rsidRPr="002932E6">
        <w:t>fertilizers</w:t>
      </w:r>
      <w:r w:rsidRPr="002932E6">
        <w:t xml:space="preserve">. With the depletion of fossil fuels and concerns over CO2 emissions, N </w:t>
      </w:r>
      <w:r w:rsidR="0078156B" w:rsidRPr="002932E6">
        <w:t>fertilizer</w:t>
      </w:r>
      <w:r w:rsidRPr="002932E6">
        <w:t xml:space="preserve"> derived from oil-energy is also unsustainable.  Again, this link with oil means that N </w:t>
      </w:r>
      <w:r w:rsidR="0078156B" w:rsidRPr="002932E6">
        <w:t>fertilizer</w:t>
      </w:r>
      <w:r w:rsidRPr="002932E6">
        <w:t xml:space="preserve"> prices and oil prices are inextricably linked. There is consequently a need for more sustainable solutions </w:t>
      </w:r>
      <w:sdt>
        <w:sdtPr>
          <w:rPr>
            <w:color w:val="000000"/>
          </w:rPr>
          <w:tag w:val="MENDELEY_CITATION_v3_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"/>
          <w:id w:val="1879350925"/>
          <w:placeholder>
            <w:docPart w:val="C796E44BA29C7B49B74F3F722913E754"/>
          </w:placeholder>
        </w:sdtPr>
        <w:sdtContent>
          <w:r w:rsidR="005E3F83" w:rsidRPr="005E3F83">
            <w:rPr>
              <w:color w:val="000000"/>
            </w:rPr>
            <w:t>(Wood, 2001)</w:t>
          </w:r>
        </w:sdtContent>
      </w:sdt>
      <w:r w:rsidRPr="002932E6">
        <w:t>.</w:t>
      </w:r>
    </w:p>
    <w:p w14:paraId="3F469C2B" w14:textId="5031EF0D" w:rsidR="0019038E" w:rsidRPr="002932E6" w:rsidRDefault="0019038E" w:rsidP="00631E5A">
      <w:pPr>
        <w:pStyle w:val="mythesis"/>
      </w:pPr>
      <w:r w:rsidRPr="002932E6">
        <w:t xml:space="preserve">The foundation of sustainable agricultures is the biofertilizers, this biofertilizers made up of many microorganisms which improve the plant growth and the soil health </w:t>
      </w:r>
      <w:sdt>
        <w:sdtPr>
          <w:rPr>
            <w:color w:val="000000"/>
          </w:rPr>
          <w:tag w:val="MENDELEY_CITATION_v3_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"/>
          <w:id w:val="-727460717"/>
          <w:placeholder>
            <w:docPart w:val="C796E44BA29C7B49B74F3F722913E754"/>
          </w:placeholder>
        </w:sdtPr>
        <w:sdtContent>
          <w:r w:rsidR="005E3F83" w:rsidRPr="005E3F83">
            <w:rPr>
              <w:color w:val="000000"/>
            </w:rPr>
            <w:t>(Verma , 1993)</w:t>
          </w:r>
        </w:sdtContent>
      </w:sdt>
      <w:r w:rsidRPr="002932E6">
        <w:rPr>
          <w:color w:val="FF0000"/>
        </w:rPr>
        <w:t>.</w:t>
      </w:r>
      <w:r w:rsidRPr="002932E6">
        <w:t xml:space="preserve"> </w:t>
      </w:r>
      <w:sdt>
        <w:sdtPr>
          <w:rPr>
            <w:color w:val="000000"/>
          </w:rPr>
          <w:tag w:val="MENDELEY_CITATION_v3_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"/>
          <w:id w:val="1038246865"/>
          <w:placeholder>
            <w:docPart w:val="C796E44BA29C7B49B74F3F722913E754"/>
          </w:placeholder>
        </w:sdtPr>
        <w:sdtContent>
          <w:r w:rsidR="005E3F83" w:rsidRPr="005E3F83">
            <w:rPr>
              <w:color w:val="000000"/>
            </w:rPr>
            <w:t>(Hayat et al., 2012)</w:t>
          </w:r>
        </w:sdtContent>
      </w:sdt>
      <w:r w:rsidRPr="002932E6">
        <w:t xml:space="preserve"> reported that AMF and PGPR were the most important microorganisms involved in the forms of biofertilizers and the PGPR biofertilizers have been became more important day after day as they can inputs of the harmful chemicals </w:t>
      </w:r>
      <w:sdt>
        <w:sdtPr>
          <w:rPr>
            <w:color w:val="000000"/>
          </w:rPr>
          <w:tag w:val="MENDELEY_CITATION_v3_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"/>
          <w:id w:val="-1888869271"/>
          <w:placeholder>
            <w:docPart w:val="C796E44BA29C7B49B74F3F722913E754"/>
          </w:placeholder>
        </w:sdtPr>
        <w:sdtContent>
          <w:r w:rsidR="005E3F83" w:rsidRPr="005E3F83">
            <w:rPr>
              <w:color w:val="000000"/>
            </w:rPr>
            <w:t>(Tilak et al., 2005)</w:t>
          </w:r>
        </w:sdtContent>
      </w:sdt>
      <w:r w:rsidRPr="002932E6">
        <w:t xml:space="preserve">. </w:t>
      </w:r>
      <w:sdt>
        <w:sdtPr>
          <w:rPr>
            <w:color w:val="000000"/>
          </w:rPr>
          <w:tag w:val="MENDELEY_CITATION_v3_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"/>
          <w:id w:val="-1956235800"/>
          <w:placeholder>
            <w:docPart w:val="C796E44BA29C7B49B74F3F722913E754"/>
          </w:placeholder>
        </w:sdtPr>
        <w:sdtContent>
          <w:r w:rsidR="005E3F83" w:rsidRPr="005E3F83">
            <w:rPr>
              <w:color w:val="000000"/>
            </w:rPr>
            <w:t>(Schippers et al., 1995)</w:t>
          </w:r>
        </w:sdtContent>
      </w:sdt>
      <w:r w:rsidRPr="002932E6">
        <w:t xml:space="preserve"> suggested that sustainable agricultures production achieve many benefits from biofertilizers inoculations in different ways. This benefits have been clarified in three different ways: synthesizing the growth of some hormones for the plant </w:t>
      </w:r>
      <w:sdt>
        <w:sdtPr>
          <w:rPr>
            <w:color w:val="000000"/>
          </w:rPr>
          <w:tag w:val="MENDELEY_CITATION_v3_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"/>
          <w:id w:val="-920176136"/>
          <w:placeholder>
            <w:docPart w:val="C796E44BA29C7B49B74F3F722913E754"/>
          </w:placeholder>
        </w:sdtPr>
        <w:sdtContent>
          <w:r w:rsidR="005E3F83" w:rsidRPr="005E3F83">
            <w:rPr>
              <w:color w:val="000000"/>
            </w:rPr>
            <w:t>(Dobbelaere et al., 2003)</w:t>
          </w:r>
        </w:sdtContent>
      </w:sdt>
      <w:r w:rsidRPr="002932E6">
        <w:t xml:space="preserve"> , inhibiting the pathogen of the plant </w:t>
      </w:r>
      <w:r w:rsidRPr="002932E6">
        <w:fldChar w:fldCharType="begin"/>
      </w:r>
      <w:r w:rsidRPr="002932E6">
        <w:instrText xml:space="preserve"> ADDIN EN.CITE &lt;EndNote&gt;&lt;Cite&gt;&lt;Author&gt;Saravanakumar&lt;/Author&gt;&lt;Year&gt;2008&lt;/Year&gt;&lt;RecNum&gt;171&lt;/RecNum&gt;&lt;record&gt;&lt;rec-number&gt;171&lt;/rec-number&gt;&lt;foreign-keys&gt;&lt;key app="EN" db-id="ft9a0ra2qztzzxerpeux0sz3xffesv52d9ta"&gt;171&lt;/key&gt;&lt;/foreign-keys&gt;&lt;ref-type name="Journal Article"&gt;17&lt;/ref-type&gt;&lt;contributors&gt;&lt;authors&gt;&lt;author&gt;Saravanakumar, D.&lt;/author&gt;&lt;author&gt;Lavanya, N.&lt;/author&gt;&lt;author&gt;Muthumeena, B.&lt;/author&gt;&lt;author&gt;Raguchander, T.&lt;/author&gt;&lt;author&gt;Suresh, S.&lt;/author&gt;&lt;author&gt;Samiyappan, R.&lt;/author&gt;&lt;/authors&gt;&lt;/contributors&gt;&lt;titles&gt;&lt;title&gt;Pseudomonas fluorescens enhances resistance and natural enemy population in rice plants against leaffolder pest&lt;/title&gt;&lt;secondary-title&gt;Journal of Applied Entomology&lt;/secondary-title&gt;&lt;/titles&gt;&lt;periodical&gt;&lt;full-title&gt;Journal of Applied Entomology&lt;/full-title&gt;&lt;/periodical&gt;&lt;pages&gt;469-479&lt;/pages&gt;&lt;volume&gt;132&lt;/volume&gt;&lt;number&gt;6&lt;/number&gt;&lt;dates&gt;&lt;year&gt;2008&lt;/year&gt;&lt;/dates&gt;&lt;isbn&gt;1439-0418&lt;/isbn&gt;&lt;urls&gt;&lt;/urls&gt;&lt;/record&gt;&lt;/Cite&gt;&lt;/EndNote&gt;</w:instrText>
      </w:r>
      <w:r w:rsidRPr="002932E6">
        <w:fldChar w:fldCharType="separate"/>
      </w:r>
      <w:r w:rsidRPr="002932E6">
        <w:t>(Saravanakumar et al., 2008)</w:t>
      </w:r>
      <w:r w:rsidRPr="002932E6">
        <w:fldChar w:fldCharType="end"/>
      </w:r>
      <w:r w:rsidRPr="002932E6">
        <w:t xml:space="preserve"> and promoting the nutrients uptake from the soil </w:t>
      </w:r>
      <w:sdt>
        <w:sdtPr>
          <w:rPr>
            <w:color w:val="000000"/>
          </w:rPr>
          <w:tag w:val="MENDELEY_CITATION_v3_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"/>
          <w:id w:val="-589075719"/>
          <w:placeholder>
            <w:docPart w:val="C796E44BA29C7B49B74F3F722913E754"/>
          </w:placeholder>
        </w:sdtPr>
        <w:sdtContent>
          <w:r w:rsidR="005E3F83" w:rsidRPr="005E3F83">
            <w:rPr>
              <w:color w:val="000000"/>
            </w:rPr>
            <w:t>(Çakmakçi et al., 2006)</w:t>
          </w:r>
        </w:sdtContent>
      </w:sdt>
      <w:r w:rsidRPr="002932E6">
        <w:t>.</w:t>
      </w:r>
    </w:p>
    <w:p w14:paraId="12E1FBA9" w14:textId="7428198F" w:rsidR="0019038E" w:rsidRPr="002932E6" w:rsidRDefault="0019038E" w:rsidP="00631E5A">
      <w:pPr>
        <w:pStyle w:val="mythesis"/>
      </w:pPr>
      <w:r w:rsidRPr="002932E6">
        <w:t xml:space="preserve">The microbial inoculants have been used frequently in agricultural cropping system because of their benefits on prevention the pathogenic fungi and controlling the disease through reducing the usage of the pesticides and chemical fungicides and transfer to the bio controlling products in order to preserve the human, soil, plant and environmental health. The researchers on AMF as biocontrol agents against pathogens keep going about 30 years </w:t>
      </w:r>
      <w:sdt>
        <w:sdtPr>
          <w:rPr>
            <w:color w:val="000000"/>
          </w:rPr>
          <w:tag w:val="MENDELEY_CITATION_v3_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"/>
          <w:id w:val="-1143736432"/>
          <w:placeholder>
            <w:docPart w:val="C796E44BA29C7B49B74F3F722913E754"/>
          </w:placeholder>
        </w:sdtPr>
        <w:sdtContent>
          <w:r w:rsidR="005E3F83" w:rsidRPr="005E3F83">
            <w:rPr>
              <w:color w:val="000000"/>
            </w:rPr>
            <w:t>(Johansson et al., 2004)</w:t>
          </w:r>
        </w:sdtContent>
      </w:sdt>
      <w:r w:rsidRPr="002932E6">
        <w:t xml:space="preserve">. Many mechanisms have been discussed such as, improvement of plant nutrition and competition for the photosynthesis </w:t>
      </w:r>
      <w:sdt>
        <w:sdtPr>
          <w:tag w:val="MENDELEY_CITATION_v3_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"/>
          <w:id w:val="-61253992"/>
          <w:placeholder>
            <w:docPart w:val="C796E44BA29C7B49B74F3F722913E754"/>
          </w:placeholder>
        </w:sdtPr>
        <w:sdtContent>
          <w:r w:rsidR="005E3F83">
            <w:t>(Azcón-Aguilar &amp; Barea, 1997)</w:t>
          </w:r>
        </w:sdtContent>
      </w:sdt>
      <w:r w:rsidRPr="002932E6">
        <w:t>. The role of the AMF as a biocontrol in suppression root pathogen and promote plant growth</w:t>
      </w:r>
      <w:sdt>
        <w:sdtPr>
          <w:tag w:val="MENDELEY_CITATION_v3_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"/>
          <w:id w:val="168606030"/>
          <w:placeholder>
            <w:docPart w:val="DefaultPlaceholder_-1854013440"/>
          </w:placeholder>
        </w:sdtPr>
        <w:sdtContent>
          <w:r w:rsidR="005E3F83">
            <w:t>(Kapoor &amp; &amp; Mukerji, 1998).</w:t>
          </w:r>
        </w:sdtContent>
      </w:sdt>
      <w:r w:rsidRPr="002932E6">
        <w:t xml:space="preserve"> For example, </w:t>
      </w:r>
      <w:sdt>
        <w:sdtPr>
          <w:rPr>
            <w:color w:val="000000"/>
          </w:rPr>
          <w:tag w:val="MENDELEY_CITATION_v3_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"/>
          <w:id w:val="-657537092"/>
          <w:placeholder>
            <w:docPart w:val="C796E44BA29C7B49B74F3F722913E754"/>
          </w:placeholder>
        </w:sdtPr>
        <w:sdtContent>
          <w:r w:rsidR="005E3F83" w:rsidRPr="005E3F83">
            <w:rPr>
              <w:color w:val="000000"/>
            </w:rPr>
            <w:t>(Citernesi et al., 1996)</w:t>
          </w:r>
        </w:sdtContent>
      </w:sdt>
      <w:r w:rsidRPr="002932E6">
        <w:t xml:space="preserve"> reported that many bacterial species that isolated from different zones of the mycorrhizosphere have inhibited the growth of the soil borne </w:t>
      </w:r>
      <w:r w:rsidRPr="002932E6">
        <w:lastRenderedPageBreak/>
        <w:t>pathogen (</w:t>
      </w:r>
      <w:r w:rsidRPr="002932E6">
        <w:rPr>
          <w:i/>
        </w:rPr>
        <w:t>Fusarium</w:t>
      </w:r>
      <w:r w:rsidRPr="002932E6">
        <w:t xml:space="preserve"> and </w:t>
      </w:r>
      <w:r w:rsidRPr="002932E6">
        <w:rPr>
          <w:i/>
        </w:rPr>
        <w:t>Phytophthora</w:t>
      </w:r>
      <w:r w:rsidRPr="002932E6">
        <w:t xml:space="preserve">) also, </w:t>
      </w:r>
      <w:sdt>
        <w:sdtPr>
          <w:rPr>
            <w:color w:val="000000"/>
          </w:rPr>
          <w:tag w:val="MENDELEY_CITATION_v3_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"/>
          <w:id w:val="-1645353666"/>
          <w:placeholder>
            <w:docPart w:val="C796E44BA29C7B49B74F3F722913E754"/>
          </w:placeholder>
        </w:sdtPr>
        <w:sdtContent>
          <w:r w:rsidR="005E3F83" w:rsidRPr="005E3F83">
            <w:rPr>
              <w:color w:val="000000"/>
            </w:rPr>
            <w:t>(Niemira et al., 1996)</w:t>
          </w:r>
        </w:sdtContent>
      </w:sdt>
      <w:r w:rsidRPr="002932E6">
        <w:t xml:space="preserve"> who used a medium containing </w:t>
      </w:r>
      <w:r w:rsidRPr="002932E6">
        <w:rPr>
          <w:i/>
        </w:rPr>
        <w:t>G.intraradices</w:t>
      </w:r>
      <w:r w:rsidRPr="002932E6">
        <w:t xml:space="preserve"> to test their ability to inhibit the pathogen </w:t>
      </w:r>
      <w:r w:rsidRPr="002932E6">
        <w:rPr>
          <w:i/>
        </w:rPr>
        <w:t>Fusarium sammbucinum</w:t>
      </w:r>
      <w:r w:rsidRPr="002932E6">
        <w:t xml:space="preserve"> and proved the ability of AMF to reducing the tuber dry rot disease.</w:t>
      </w:r>
    </w:p>
    <w:p w14:paraId="0280344D" w14:textId="217E4DED" w:rsidR="0019038E" w:rsidRPr="002932E6" w:rsidRDefault="00000000" w:rsidP="00631E5A">
      <w:pPr>
        <w:pStyle w:val="mythesis"/>
      </w:pPr>
      <w:sdt>
        <w:sdtPr>
          <w:rPr>
            <w:color w:val="000000"/>
          </w:rPr>
          <w:tag w:val="MENDELEY_CITATION_v3_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"/>
          <w:id w:val="1834955351"/>
          <w:placeholder>
            <w:docPart w:val="C796E44BA29C7B49B74F3F722913E754"/>
          </w:placeholder>
        </w:sdtPr>
        <w:sdtContent>
          <w:r w:rsidR="005E3F83" w:rsidRPr="005E3F83">
            <w:rPr>
              <w:color w:val="000000"/>
            </w:rPr>
            <w:t>(Jaizme-vega et al., 2006)</w:t>
          </w:r>
        </w:sdtContent>
      </w:sdt>
      <w:r w:rsidR="0019038E" w:rsidRPr="002932E6">
        <w:t xml:space="preserve">  suggested that the soil balance and the plant health inevitably be affected by the soil microbial communities, while </w:t>
      </w:r>
      <w:sdt>
        <w:sdtPr>
          <w:rPr>
            <w:color w:val="000000"/>
          </w:rPr>
          <w:tag w:val="MENDELEY_CITATION_v3_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"/>
          <w:id w:val="253714626"/>
          <w:placeholder>
            <w:docPart w:val="C796E44BA29C7B49B74F3F722913E754"/>
          </w:placeholder>
        </w:sdtPr>
        <w:sdtContent>
          <w:r w:rsidR="005E3F83" w:rsidRPr="005E3F83">
            <w:rPr>
              <w:color w:val="000000"/>
            </w:rPr>
            <w:t>(Singh et al., 2011)</w:t>
          </w:r>
        </w:sdtContent>
      </w:sdt>
      <w:r w:rsidR="0019038E" w:rsidRPr="002932E6">
        <w:t xml:space="preserve"> pointed out that microorganisms have been used in the past 50 years in several areas like in human and animal health, medical technology, environmental protection, agricultural biotechnology, food safety and food quality and productivity. The microbial interaction with plants thus plays a vital role in stability and productivity of the agriculture system and the natural ecosystem </w:t>
      </w:r>
      <w:sdt>
        <w:sdtPr>
          <w:tag w:val="MENDELEY_CITATION_v3_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"/>
          <w:id w:val="-50544432"/>
          <w:placeholder>
            <w:docPart w:val="C796E44BA29C7B49B74F3F722913E754"/>
          </w:placeholder>
        </w:sdtPr>
        <w:sdtContent>
          <w:r w:rsidR="005E3F83">
            <w:t>(Kennedy &amp; Smith, 1995)</w:t>
          </w:r>
        </w:sdtContent>
      </w:sdt>
      <w:r w:rsidR="0019038E" w:rsidRPr="002932E6">
        <w:t>.</w:t>
      </w:r>
    </w:p>
    <w:p w14:paraId="19A7933B" w14:textId="77777777" w:rsidR="00C478B6" w:rsidRDefault="00C478B6" w:rsidP="0019038E">
      <w:pPr>
        <w:pStyle w:val="Heading2"/>
        <w:rPr>
          <w:color w:val="000000" w:themeColor="text1"/>
        </w:rPr>
      </w:pPr>
    </w:p>
    <w:p w14:paraId="224F03B1" w14:textId="55C24A41" w:rsidR="0019038E" w:rsidRPr="004C4300" w:rsidRDefault="0019038E" w:rsidP="0019038E">
      <w:pPr>
        <w:pStyle w:val="Heading2"/>
        <w:rPr>
          <w:color w:val="000000" w:themeColor="text1"/>
        </w:rPr>
      </w:pPr>
      <w:bookmarkStart w:id="22" w:name="_Toc83751410"/>
      <w:r w:rsidRPr="004C4300">
        <w:rPr>
          <w:color w:val="000000" w:themeColor="text1"/>
        </w:rPr>
        <w:t>1.2 Aims and hypotheses</w:t>
      </w:r>
      <w:bookmarkEnd w:id="22"/>
    </w:p>
    <w:p w14:paraId="4C4D7471" w14:textId="77777777" w:rsidR="0019038E" w:rsidRPr="004C4300" w:rsidRDefault="0019038E" w:rsidP="0019038E">
      <w:pPr>
        <w:rPr>
          <w:color w:val="000000" w:themeColor="text1"/>
          <w:lang w:val="en-GB"/>
        </w:rPr>
      </w:pPr>
    </w:p>
    <w:p w14:paraId="5278F668" w14:textId="77777777" w:rsidR="0019038E" w:rsidRPr="004C4300" w:rsidRDefault="0019038E" w:rsidP="0019038E">
      <w:pPr>
        <w:pStyle w:val="Heading3"/>
      </w:pPr>
      <w:bookmarkStart w:id="23" w:name="_Toc83751411"/>
      <w:r w:rsidRPr="004C4300">
        <w:t>1.2.1 Aims and hypotheses of chapter 2</w:t>
      </w:r>
      <w:bookmarkEnd w:id="23"/>
    </w:p>
    <w:p w14:paraId="0591C814" w14:textId="77777777" w:rsidR="0019038E" w:rsidRPr="004C4300" w:rsidRDefault="0019038E" w:rsidP="0019038E">
      <w:pPr>
        <w:rPr>
          <w:color w:val="000000" w:themeColor="text1"/>
        </w:rPr>
      </w:pPr>
    </w:p>
    <w:p w14:paraId="44B56801" w14:textId="2D1CC7A6" w:rsidR="0019038E" w:rsidRPr="004D3F76" w:rsidRDefault="0019038E" w:rsidP="000B5521">
      <w:pPr>
        <w:pStyle w:val="mythesis"/>
      </w:pPr>
      <w:r w:rsidRPr="004D3F76">
        <w:t xml:space="preserve">     The aim of chapter 2 was to </w:t>
      </w:r>
      <w:r w:rsidR="00587AFB" w:rsidRPr="004D3F76">
        <w:t>investigate the diversity of the mycorrhizal capacity in the maize cultivars which extensively cultivated in the Arabian Peninsula. the histological, nutritional, and growth characteristics were examined</w:t>
      </w:r>
      <w:r w:rsidRPr="004D3F76">
        <w:t>.</w:t>
      </w:r>
    </w:p>
    <w:p w14:paraId="7E63C5CD" w14:textId="61C0476B" w:rsidR="0019038E" w:rsidRPr="000B5521" w:rsidRDefault="0019038E" w:rsidP="000B5521">
      <w:pPr>
        <w:pStyle w:val="mythesis"/>
      </w:pPr>
      <w:r w:rsidRPr="004D3F76">
        <w:t xml:space="preserve">      Our theory is based on the following</w:t>
      </w:r>
      <w:r w:rsidR="00BD7C35" w:rsidRPr="004D3F76">
        <w:t xml:space="preserve"> </w:t>
      </w:r>
      <w:r w:rsidR="001B738C" w:rsidRPr="004D3F76">
        <w:t>criteria</w:t>
      </w:r>
      <w:r w:rsidR="00BD7C35" w:rsidRPr="004D3F76">
        <w:t xml:space="preserve">: </w:t>
      </w:r>
      <w:r w:rsidRPr="004D3F76">
        <w:t xml:space="preserve">There is a significant degree of diversity in the capacity of various maize cultivars to develop mycorrhizal colonization because they have been exposed to various selection pressures during the breeding program. (At least in part, mycorrhizal performance is related </w:t>
      </w:r>
      <w:r w:rsidR="007B0575" w:rsidRPr="004D3F76">
        <w:t>to</w:t>
      </w:r>
      <w:r w:rsidRPr="004D3F76">
        <w:t xml:space="preserve"> differen</w:t>
      </w:r>
      <w:r w:rsidRPr="000B5521">
        <w:t>tial expression of key genes within their signaling pathway)</w:t>
      </w:r>
      <w:r w:rsidR="00237E8C">
        <w:t>.</w:t>
      </w:r>
      <w:r w:rsidRPr="000B5521">
        <w:t xml:space="preserve"> There is a connection and correlation between various maize cultivars and their influence on the existence of mycorrhiza inoculum, and this mycorrhizal association leads to an increase in plant development, parameters, and nutrient uptakes via colonization formation and mycorrhizal responsiveness.</w:t>
      </w:r>
    </w:p>
    <w:p w14:paraId="54A848B3" w14:textId="77777777" w:rsidR="0019038E" w:rsidRPr="004C4300" w:rsidRDefault="0019038E" w:rsidP="0019038E">
      <w:pPr>
        <w:pStyle w:val="Heading3"/>
      </w:pPr>
      <w:bookmarkStart w:id="24" w:name="_Toc83751412"/>
      <w:r w:rsidRPr="004C4300">
        <w:t>1.2.2 Aims and hypotheses of chapter 3</w:t>
      </w:r>
      <w:bookmarkEnd w:id="24"/>
    </w:p>
    <w:p w14:paraId="56F9E559" w14:textId="77777777" w:rsidR="0019038E" w:rsidRPr="004C4300" w:rsidRDefault="0019038E" w:rsidP="0019038E">
      <w:pPr>
        <w:rPr>
          <w:color w:val="000000" w:themeColor="text1"/>
        </w:rPr>
      </w:pPr>
    </w:p>
    <w:p w14:paraId="4BE07DDE" w14:textId="5F7BF1DC" w:rsidR="0019038E" w:rsidRPr="000B5521" w:rsidRDefault="000B5521" w:rsidP="000B5521">
      <w:pPr>
        <w:pStyle w:val="mythesis"/>
      </w:pPr>
      <w:r w:rsidRPr="000B5521">
        <w:t xml:space="preserve">       </w:t>
      </w:r>
      <w:r w:rsidR="0019038E" w:rsidRPr="000B5521">
        <w:t xml:space="preserve">The purpose of chapter 3 was to investigate the utility of two genes (18s and RBCL) and ISSR markers in assessing relatedness among eighteen different maize samples, as well as </w:t>
      </w:r>
      <w:r w:rsidR="0019038E" w:rsidRPr="000B5521">
        <w:lastRenderedPageBreak/>
        <w:t>the characterization of cultivar-specific markers, in order to identify genetically variable genotypes to be used in the future breeding program in Saudi Arabia to develop promising genetic materials with improved maize crop character. and connecting this to plant mycorrhizal response and will do so with the help of a molecular marker (18S, RBCL and ISSR analysis).</w:t>
      </w:r>
    </w:p>
    <w:p w14:paraId="7E49951F" w14:textId="580930E6" w:rsidR="0019038E" w:rsidRPr="000B5521" w:rsidRDefault="0019038E" w:rsidP="000B5521">
      <w:pPr>
        <w:pStyle w:val="mythesis"/>
      </w:pPr>
      <w:r w:rsidRPr="000B5521">
        <w:t xml:space="preserve">       </w:t>
      </w:r>
      <w:r w:rsidR="000B5521">
        <w:t>T</w:t>
      </w:r>
      <w:r w:rsidRPr="000B5521">
        <w:t xml:space="preserve">he hypothesis for this chapter was based on: There will be genetic similarity between </w:t>
      </w:r>
      <w:r w:rsidRPr="00611954">
        <w:rPr>
          <w:i/>
          <w:iCs w:val="0"/>
        </w:rPr>
        <w:t>Zea mays</w:t>
      </w:r>
      <w:r w:rsidRPr="000B5521">
        <w:t xml:space="preserve"> cultivars, and mycorrhizal responsiveness will be related to this genetic similarity between plant cultivars, and the breeding program will influence this relationship between genetic similarity and mycorrhizal responsiveness, so we hypothesize two main points:</w:t>
      </w:r>
    </w:p>
    <w:p w14:paraId="33E97F1F" w14:textId="35F0D1C9" w:rsidR="0019038E" w:rsidRPr="004C4300" w:rsidRDefault="000B5521" w:rsidP="00C55A19">
      <w:pPr>
        <w:pStyle w:val="mythesis"/>
      </w:pPr>
      <w:r w:rsidRPr="000B5521">
        <w:t xml:space="preserve">       </w:t>
      </w:r>
      <w:r w:rsidR="0019038E" w:rsidRPr="000B5521">
        <w:t>1-The variability within positively responsive and neutral mycorrhizal clades will be less than the variability between those clades, 2- that the cultivars with negative mycorrhizal responsiveness will be genetically distinct from all other cultivars.</w:t>
      </w:r>
    </w:p>
    <w:p w14:paraId="1FBE8DF3" w14:textId="77777777" w:rsidR="0019038E" w:rsidRPr="004C4300" w:rsidRDefault="0019038E" w:rsidP="0019038E">
      <w:pPr>
        <w:pStyle w:val="Heading3"/>
      </w:pPr>
      <w:bookmarkStart w:id="25" w:name="_Toc83751413"/>
      <w:r w:rsidRPr="004C4300">
        <w:t>1.2.3 Aims and hypotheses of chapter 4</w:t>
      </w:r>
      <w:bookmarkEnd w:id="25"/>
    </w:p>
    <w:p w14:paraId="6C5853E7" w14:textId="77777777" w:rsidR="0019038E" w:rsidRPr="004C4300" w:rsidRDefault="0019038E" w:rsidP="0019038E">
      <w:pPr>
        <w:rPr>
          <w:color w:val="000000" w:themeColor="text1"/>
        </w:rPr>
      </w:pPr>
    </w:p>
    <w:p w14:paraId="1397C0B4" w14:textId="37649BE6" w:rsidR="0019038E" w:rsidRPr="004C4300" w:rsidRDefault="0019038E" w:rsidP="000B5521">
      <w:pPr>
        <w:pStyle w:val="mythesis"/>
      </w:pPr>
      <w:r w:rsidRPr="004C4300">
        <w:t xml:space="preserve">        Finally, untargeted fingerprint analysis was then used to explore the influence of mycorrhizal colonization on the modulation of plant secondary metabolism and phytochemical biosynthesis in chapter 4. and I will do so by analyzing Matrix-assisted laser desorption ionization mass spectrometry (MALDI-MS) data. </w:t>
      </w:r>
    </w:p>
    <w:p w14:paraId="3FC86F90" w14:textId="77777777" w:rsidR="0019038E" w:rsidRPr="004C4300" w:rsidRDefault="0019038E" w:rsidP="000B5521">
      <w:pPr>
        <w:pStyle w:val="mythesis"/>
      </w:pPr>
      <w:r w:rsidRPr="004C4300">
        <w:rPr>
          <w:rFonts w:eastAsiaTheme="minorHAnsi"/>
        </w:rPr>
        <w:t xml:space="preserve">         </w:t>
      </w:r>
      <w:r w:rsidRPr="004C4300">
        <w:t xml:space="preserve">We expected in our hypothesis here that mycorrhizal colonization enhances secondary metabolite accumulation in both the shoots and roots of the </w:t>
      </w:r>
      <w:r w:rsidRPr="006245B8">
        <w:rPr>
          <w:i/>
        </w:rPr>
        <w:t>Zea mays</w:t>
      </w:r>
      <w:r w:rsidRPr="004C4300">
        <w:t xml:space="preserve"> plant. The expression of downstream defenses, specifically in the phenylpropanoid pathway and jasmonic acid pathway, will rise, as will the stimulation of the phenylpropanoid pathway. As a result of the inoculation with arbuscular mycorrhizal fungi, there will be an increase in secondary metabolite compounds.</w:t>
      </w:r>
    </w:p>
    <w:p w14:paraId="453E43AF" w14:textId="77777777" w:rsidR="0019038E" w:rsidRPr="002932E6" w:rsidRDefault="0019038E" w:rsidP="0019038E">
      <w:pPr>
        <w:pStyle w:val="amalstyle"/>
      </w:pPr>
    </w:p>
    <w:p w14:paraId="00B775CE" w14:textId="77777777" w:rsidR="0019038E" w:rsidRDefault="0019038E" w:rsidP="0019038E">
      <w:pPr>
        <w:pStyle w:val="Heading1"/>
        <w:numPr>
          <w:ilvl w:val="0"/>
          <w:numId w:val="1"/>
        </w:numPr>
        <w:tabs>
          <w:tab w:val="num" w:pos="720"/>
        </w:tabs>
        <w:rPr>
          <w:shd w:val="clear" w:color="auto" w:fill="FFFFFF"/>
        </w:rPr>
      </w:pPr>
      <w:bookmarkStart w:id="26" w:name="_Toc83751414"/>
      <w:r>
        <w:rPr>
          <w:shd w:val="clear" w:color="auto" w:fill="FFFFFF"/>
        </w:rPr>
        <w:lastRenderedPageBreak/>
        <w:t xml:space="preserve">The effect of Arbuscular Mycorrhizal Fungi on physiology of diversity panel of </w:t>
      </w:r>
      <w:r w:rsidRPr="002A7E64">
        <w:rPr>
          <w:i/>
          <w:iCs/>
          <w:shd w:val="clear" w:color="auto" w:fill="FFFFFF"/>
        </w:rPr>
        <w:t>Zea mays</w:t>
      </w:r>
      <w:r>
        <w:rPr>
          <w:shd w:val="clear" w:color="auto" w:fill="FFFFFF"/>
        </w:rPr>
        <w:t xml:space="preserve"> varieties commonly grown in the Arabian Peninsula</w:t>
      </w:r>
      <w:bookmarkEnd w:id="26"/>
    </w:p>
    <w:p w14:paraId="192F2286" w14:textId="77777777" w:rsidR="0019038E" w:rsidRPr="00EB599C" w:rsidRDefault="0019038E" w:rsidP="0019038E"/>
    <w:p w14:paraId="404C3B7C" w14:textId="4D76C833" w:rsidR="0019038E" w:rsidRDefault="0019038E" w:rsidP="0019038E">
      <w:pPr>
        <w:pStyle w:val="Heading2"/>
        <w:rPr>
          <w:shd w:val="clear" w:color="auto" w:fill="FFFFFF"/>
        </w:rPr>
      </w:pPr>
      <w:bookmarkStart w:id="27" w:name="_Toc83751415"/>
      <w:r w:rsidRPr="002932E6">
        <w:rPr>
          <w:shd w:val="clear" w:color="auto" w:fill="FFFFFF"/>
        </w:rPr>
        <w:t>2.1 Introduction</w:t>
      </w:r>
      <w:bookmarkEnd w:id="27"/>
    </w:p>
    <w:p w14:paraId="60EB3A25" w14:textId="77777777" w:rsidR="00BC411E" w:rsidRPr="00BC411E" w:rsidRDefault="00BC411E" w:rsidP="00BC411E">
      <w:pPr>
        <w:rPr>
          <w:lang w:val="en-GB"/>
        </w:rPr>
      </w:pPr>
    </w:p>
    <w:p w14:paraId="655BF16F" w14:textId="42852313" w:rsidR="0019038E" w:rsidRPr="002932E6" w:rsidRDefault="0019038E" w:rsidP="00D7294D">
      <w:pPr>
        <w:pStyle w:val="mythesis"/>
        <w:rPr>
          <w:shd w:val="clear" w:color="auto" w:fill="FFFFFF"/>
        </w:rPr>
      </w:pPr>
      <w:r w:rsidRPr="002932E6">
        <w:rPr>
          <w:shd w:val="clear" w:color="auto" w:fill="FFFFFF"/>
        </w:rPr>
        <w:t xml:space="preserve">          Corn (</w:t>
      </w:r>
      <w:r w:rsidRPr="002932E6">
        <w:rPr>
          <w:i/>
          <w:shd w:val="clear" w:color="auto" w:fill="FFFFFF"/>
        </w:rPr>
        <w:t>Zea mays</w:t>
      </w:r>
      <w:r w:rsidRPr="002932E6">
        <w:rPr>
          <w:shd w:val="clear" w:color="auto" w:fill="FFFFFF"/>
        </w:rPr>
        <w:t xml:space="preserve">) is one of the most important agricultural crops in the world. Corn is the third most important food crop after rice and wheat </w:t>
      </w:r>
      <w:sdt>
        <w:sdtPr>
          <w:rPr>
            <w:color w:val="000000"/>
            <w:shd w:val="clear" w:color="auto" w:fill="FFFFFF"/>
          </w:rPr>
          <w:tag w:val="MENDELEY_CITATION_v3_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"/>
          <w:id w:val="1963926081"/>
          <w:placeholder>
            <w:docPart w:val="C796E44BA29C7B49B74F3F722913E754"/>
          </w:placeholder>
        </w:sdtPr>
        <w:sdtContent>
          <w:r w:rsidR="005E3F83" w:rsidRPr="005E3F83">
            <w:rPr>
              <w:color w:val="000000"/>
              <w:shd w:val="clear" w:color="auto" w:fill="FFFFFF"/>
            </w:rPr>
            <w:t>(FAO, 2003).</w:t>
          </w:r>
        </w:sdtContent>
      </w:sdt>
      <w:r w:rsidRPr="002932E6">
        <w:rPr>
          <w:shd w:val="clear" w:color="auto" w:fill="FFFFFF"/>
        </w:rPr>
        <w:t xml:space="preserve"> This crop has played a very important role in human history</w:t>
      </w:r>
      <w:r w:rsidRPr="0050507E">
        <w:rPr>
          <w:color w:val="FF0000"/>
          <w:shd w:val="clear" w:color="auto" w:fill="FFFFFF"/>
        </w:rPr>
        <w:t xml:space="preserve"> </w:t>
      </w:r>
      <w:r w:rsidRPr="002932E6">
        <w:rPr>
          <w:shd w:val="clear" w:color="auto" w:fill="FFFFFF"/>
        </w:rPr>
        <w:t xml:space="preserve">but climate change, especially drought, disease, and the loss of plant </w:t>
      </w:r>
      <w:r w:rsidRPr="005149C5">
        <w:rPr>
          <w:shd w:val="clear" w:color="auto" w:fill="FFFFFF"/>
        </w:rPr>
        <w:t xml:space="preserve">protection </w:t>
      </w:r>
      <w:r w:rsidR="00E37058" w:rsidRPr="005149C5">
        <w:rPr>
          <w:shd w:val="clear" w:color="auto" w:fill="FFFFFF"/>
        </w:rPr>
        <w:t xml:space="preserve">leads to </w:t>
      </w:r>
      <w:r w:rsidR="00A94A39" w:rsidRPr="005149C5">
        <w:rPr>
          <w:shd w:val="clear" w:color="auto" w:fill="FFFFFF"/>
        </w:rPr>
        <w:t xml:space="preserve">a </w:t>
      </w:r>
      <w:r w:rsidR="00E37058" w:rsidRPr="005149C5">
        <w:rPr>
          <w:shd w:val="clear" w:color="auto" w:fill="FFFFFF"/>
        </w:rPr>
        <w:t xml:space="preserve">decrease in </w:t>
      </w:r>
      <w:r w:rsidR="00A94A39" w:rsidRPr="005149C5">
        <w:rPr>
          <w:shd w:val="clear" w:color="auto" w:fill="FFFFFF"/>
        </w:rPr>
        <w:t>yields</w:t>
      </w:r>
      <w:r w:rsidR="00E37058" w:rsidRPr="005149C5">
        <w:rPr>
          <w:shd w:val="clear" w:color="auto" w:fill="FFFFFF"/>
        </w:rPr>
        <w:t xml:space="preserve"> </w:t>
      </w:r>
      <w:sdt>
        <w:sdtPr>
          <w:rPr>
            <w:shd w:val="clear" w:color="auto" w:fill="FFFFFF"/>
          </w:rPr>
          <w:tag w:val="MENDELEY_CITATION_v3_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"/>
          <w:id w:val="2108917513"/>
          <w:placeholder>
            <w:docPart w:val="C796E44BA29C7B49B74F3F722913E754"/>
          </w:placeholder>
        </w:sdtPr>
        <w:sdtContent>
          <w:r w:rsidR="005E3F83" w:rsidRPr="005149C5">
            <w:rPr>
              <w:shd w:val="clear" w:color="auto" w:fill="FFFFFF"/>
            </w:rPr>
            <w:t>(Shang et al., 2019)</w:t>
          </w:r>
        </w:sdtContent>
      </w:sdt>
      <w:r w:rsidRPr="002932E6">
        <w:rPr>
          <w:shd w:val="clear" w:color="auto" w:fill="FFFFFF"/>
        </w:rPr>
        <w:t>. As a response to these challenges, plant growth</w:t>
      </w:r>
      <w:r w:rsidR="00A94A39">
        <w:rPr>
          <w:shd w:val="clear" w:color="auto" w:fill="FFFFFF"/>
        </w:rPr>
        <w:t>-</w:t>
      </w:r>
      <w:r w:rsidRPr="002932E6">
        <w:rPr>
          <w:shd w:val="clear" w:color="auto" w:fill="FFFFFF"/>
        </w:rPr>
        <w:t xml:space="preserve">promoting </w:t>
      </w:r>
      <w:r w:rsidR="00330827">
        <w:rPr>
          <w:shd w:val="clear" w:color="auto" w:fill="FFFFFF"/>
        </w:rPr>
        <w:t>rhizobacteria</w:t>
      </w:r>
      <w:r w:rsidRPr="002932E6">
        <w:rPr>
          <w:shd w:val="clear" w:color="auto" w:fill="FFFFFF"/>
        </w:rPr>
        <w:t xml:space="preserve"> (PGPRs) and fungi (PGPF) have been suggested as sustainable methods for enhancing crop yields </w:t>
      </w:r>
      <w:sdt>
        <w:sdtPr>
          <w:rPr>
            <w:color w:val="000000"/>
            <w:shd w:val="clear" w:color="auto" w:fill="FFFFFF"/>
          </w:rPr>
          <w:tag w:val="MENDELEY_CITATION_v3_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"/>
          <w:id w:val="-513225946"/>
          <w:placeholder>
            <w:docPart w:val="C796E44BA29C7B49B74F3F722913E754"/>
          </w:placeholder>
        </w:sdtPr>
        <w:sdtContent>
          <w:r w:rsidR="005E3F83" w:rsidRPr="005E3F83">
            <w:rPr>
              <w:color w:val="000000"/>
              <w:shd w:val="clear" w:color="auto" w:fill="FFFFFF"/>
            </w:rPr>
            <w:t>(Raman, 2017)</w:t>
          </w:r>
        </w:sdtContent>
      </w:sdt>
      <w:r w:rsidRPr="002932E6">
        <w:rPr>
          <w:shd w:val="clear" w:color="auto" w:fill="FFFFFF"/>
        </w:rPr>
        <w:t>.</w:t>
      </w:r>
    </w:p>
    <w:p w14:paraId="134A1933" w14:textId="6FE1B047" w:rsidR="0019038E" w:rsidRPr="002932E6" w:rsidRDefault="0019038E" w:rsidP="00BC411E">
      <w:pPr>
        <w:pStyle w:val="mythesis"/>
      </w:pPr>
      <w:r w:rsidRPr="002932E6">
        <w:rPr>
          <w:shd w:val="clear" w:color="auto" w:fill="FFFFFF"/>
        </w:rPr>
        <w:t xml:space="preserve">           Most plants including maize form symbiotic root associations with AM fungi, which are obligate biotrophic fungi from Glomeromycota </w:t>
      </w:r>
      <w:sdt>
        <w:sdtPr>
          <w:rPr>
            <w:shd w:val="clear" w:color="auto" w:fill="FFFFFF"/>
          </w:rPr>
          <w:tag w:val="MENDELEY_CITATION_v3_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"/>
          <w:id w:val="-126552805"/>
          <w:placeholder>
            <w:docPart w:val="C796E44BA29C7B49B74F3F722913E754"/>
          </w:placeholder>
        </w:sdtPr>
        <w:sdtContent>
          <w:r w:rsidR="005E3F83">
            <w:t>(Smith &amp; Read, 2008)</w:t>
          </w:r>
        </w:sdtContent>
      </w:sdt>
      <w:r w:rsidRPr="002932E6">
        <w:rPr>
          <w:shd w:val="clear" w:color="auto" w:fill="FFFFFF"/>
        </w:rPr>
        <w:t xml:space="preserve">, providing key ecosystem services in agroecosystems related to soil fertility and plant health and nutrition </w:t>
      </w:r>
      <w:sdt>
        <w:sdtPr>
          <w:rPr>
            <w:color w:val="000000"/>
            <w:shd w:val="clear" w:color="auto" w:fill="FFFFFF"/>
          </w:rPr>
          <w:tag w:val="MENDELEY_CITATION_v3_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"/>
          <w:id w:val="-425737323"/>
          <w:placeholder>
            <w:docPart w:val="C796E44BA29C7B49B74F3F722913E754"/>
          </w:placeholder>
        </w:sdtPr>
        <w:sdtContent>
          <w:r w:rsidR="005E3F83" w:rsidRPr="005E3F83">
            <w:rPr>
              <w:color w:val="000000"/>
              <w:shd w:val="clear" w:color="auto" w:fill="FFFFFF"/>
            </w:rPr>
            <w:t>(Gianinazzi et al., 2010)</w:t>
          </w:r>
        </w:sdtContent>
      </w:sdt>
      <w:r w:rsidRPr="002932E6">
        <w:rPr>
          <w:shd w:val="clear" w:color="auto" w:fill="FFFFFF"/>
        </w:rPr>
        <w:t xml:space="preserve">. </w:t>
      </w:r>
      <w:r w:rsidRPr="002932E6">
        <w:t>Mycorrhizal colonization can be variable, as there are strong environment</w:t>
      </w:r>
      <w:r w:rsidR="00650391">
        <w:t>al</w:t>
      </w:r>
      <w:r w:rsidRPr="002932E6">
        <w:t xml:space="preserve"> and genetic controls over the mycorrhizal trait </w:t>
      </w:r>
      <w:sdt>
        <w:sdtPr>
          <w:rPr>
            <w:color w:val="000000"/>
          </w:rPr>
          <w:tag w:val="MENDELEY_CITATION_v3_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"/>
          <w:id w:val="609175452"/>
          <w:placeholder>
            <w:docPart w:val="C796E44BA29C7B49B74F3F722913E754"/>
          </w:placeholder>
        </w:sdtPr>
        <w:sdtContent>
          <w:r w:rsidR="005E3F83" w:rsidRPr="005E3F83">
            <w:rPr>
              <w:color w:val="000000"/>
            </w:rPr>
            <w:t>(Cameron et al., 2013a)</w:t>
          </w:r>
        </w:sdtContent>
      </w:sdt>
      <w:r w:rsidRPr="002932E6">
        <w:t xml:space="preserve">. </w:t>
      </w:r>
      <w:sdt>
        <w:sdtPr>
          <w:rPr>
            <w:color w:val="00B050"/>
          </w:rPr>
          <w:tag w:val="MENDELEY_CITATION_v3_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"/>
          <w:id w:val="759096094"/>
          <w:placeholder>
            <w:docPart w:val="BECB124B9D8DDA428135D83EC83D8FBE"/>
          </w:placeholder>
        </w:sdtPr>
        <w:sdtContent>
          <w:r w:rsidR="005E3F83">
            <w:t>(Walder &amp; van der Heijden, 2015a)</w:t>
          </w:r>
        </w:sdtContent>
      </w:sdt>
      <w:r w:rsidRPr="002932E6">
        <w:t xml:space="preserve"> reported that symbiotic benefits are highly dependent on the relative amounts of phosphorus and nitrogen available in the soil. AM fungi were shown to enhance plants in phosphorus restricted soils, whereas the same AM fungi can suppress growth in nitrogen-limited soils. Furthermore, </w:t>
      </w:r>
      <w:sdt>
        <w:sdtPr>
          <w:rPr>
            <w:color w:val="000000"/>
          </w:rPr>
          <w:tag w:val="MENDELEY_CITATION_v3_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"/>
          <w:id w:val="1537004150"/>
          <w:placeholder>
            <w:docPart w:val="BECB124B9D8DDA428135D83EC83D8FBE"/>
          </w:placeholder>
        </w:sdtPr>
        <w:sdtContent>
          <w:r w:rsidR="005E3F83" w:rsidRPr="005E3F83">
            <w:rPr>
              <w:color w:val="000000"/>
            </w:rPr>
            <w:t>(Johnson et al., 2010a)</w:t>
          </w:r>
          <w:r w:rsidR="0083053B">
            <w:rPr>
              <w:color w:val="000000"/>
            </w:rPr>
            <w:t xml:space="preserve"> </w:t>
          </w:r>
        </w:sdtContent>
      </w:sdt>
      <w:r w:rsidRPr="002932E6">
        <w:t>suggested that most AM fungi are beneficial because they are capable of increasing plant growth and nutrition.</w:t>
      </w:r>
    </w:p>
    <w:p w14:paraId="1CB58642" w14:textId="11BA8D52" w:rsidR="0019038E" w:rsidRDefault="0019038E" w:rsidP="00BC411E">
      <w:pPr>
        <w:pStyle w:val="mythesis"/>
      </w:pPr>
      <w:r w:rsidRPr="002932E6">
        <w:rPr>
          <w:shd w:val="clear" w:color="auto" w:fill="FFFFFF"/>
        </w:rPr>
        <w:t xml:space="preserve">         Mycorrhiza researchers and plant geneticists speculate that fertilized soil breeding programs can result in selecting the suppressed form and dependence of AM colonization in crops </w:t>
      </w:r>
      <w:sdt>
        <w:sdtPr>
          <w:rPr>
            <w:color w:val="000000"/>
            <w:shd w:val="clear" w:color="auto" w:fill="FFFFFF"/>
          </w:rPr>
          <w:tag w:val="MENDELEY_CITATION_v3_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"/>
          <w:id w:val="1558740133"/>
          <w:placeholder>
            <w:docPart w:val="C796E44BA29C7B49B74F3F722913E754"/>
          </w:placeholder>
        </w:sdtPr>
        <w:sdtContent>
          <w:r w:rsidR="005E3F83" w:rsidRPr="005E3F83">
            <w:rPr>
              <w:color w:val="000000"/>
              <w:shd w:val="clear" w:color="auto" w:fill="FFFFFF"/>
            </w:rPr>
            <w:t>(Kaeppler et al., 2000a; Tawaraya, 2003)</w:t>
          </w:r>
        </w:sdtContent>
      </w:sdt>
      <w:r w:rsidRPr="002932E6">
        <w:rPr>
          <w:shd w:val="clear" w:color="auto" w:fill="FFFFFF"/>
        </w:rPr>
        <w:t>.</w:t>
      </w:r>
      <w:r w:rsidRPr="002932E6">
        <w:t xml:space="preserve"> </w:t>
      </w:r>
      <w:r w:rsidRPr="002932E6">
        <w:rPr>
          <w:shd w:val="clear" w:color="auto" w:fill="FFFFFF"/>
        </w:rPr>
        <w:t>In addition, in 13 inbred maize lines (</w:t>
      </w:r>
      <w:r w:rsidRPr="002932E6">
        <w:rPr>
          <w:i/>
          <w:shd w:val="clear" w:color="auto" w:fill="FFFFFF"/>
        </w:rPr>
        <w:t>Zea mays</w:t>
      </w:r>
      <w:r w:rsidRPr="002932E6">
        <w:rPr>
          <w:shd w:val="clear" w:color="auto" w:fill="FFFFFF"/>
        </w:rPr>
        <w:t xml:space="preserve">), colonization has decreased compared with susceptible lines for disease resistant lines </w:t>
      </w:r>
      <w:sdt>
        <w:sdtPr>
          <w:rPr>
            <w:color w:val="000000"/>
            <w:shd w:val="clear" w:color="auto" w:fill="FFFFFF"/>
          </w:rPr>
          <w:tag w:val="MENDELEY_CITATION_v3_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"/>
          <w:id w:val="-1999575129"/>
          <w:placeholder>
            <w:docPart w:val="2B016912BA50C34991453B78394EA061"/>
          </w:placeholder>
        </w:sdtPr>
        <w:sdtContent>
          <w:r w:rsidR="005E3F83" w:rsidRPr="005E3F83">
            <w:rPr>
              <w:color w:val="000000"/>
              <w:shd w:val="clear" w:color="auto" w:fill="FFFFFF"/>
            </w:rPr>
            <w:t>(Toth et al., 1990a)</w:t>
          </w:r>
        </w:sdtContent>
      </w:sdt>
      <w:r w:rsidRPr="002932E6">
        <w:rPr>
          <w:shd w:val="clear" w:color="auto" w:fill="FFFFFF"/>
        </w:rPr>
        <w:t>. These prior findings indicate that plant breeding programs affect AM colonization</w:t>
      </w:r>
      <w:r w:rsidRPr="002932E6">
        <w:t>.</w:t>
      </w:r>
    </w:p>
    <w:p w14:paraId="3CCC2FF9" w14:textId="77777777" w:rsidR="00356FE7" w:rsidRPr="002932E6" w:rsidRDefault="00356FE7" w:rsidP="00BC411E">
      <w:pPr>
        <w:pStyle w:val="mythesis"/>
        <w:rPr>
          <w:shd w:val="clear" w:color="auto" w:fill="FFFFFF"/>
        </w:rPr>
      </w:pPr>
    </w:p>
    <w:p w14:paraId="7AEC4573" w14:textId="089F78A8" w:rsidR="0019038E" w:rsidRPr="005149C5" w:rsidRDefault="0019038E" w:rsidP="00BC411E">
      <w:pPr>
        <w:pStyle w:val="mythesis"/>
        <w:rPr>
          <w:shd w:val="clear" w:color="auto" w:fill="FFFFFF"/>
        </w:rPr>
      </w:pPr>
      <w:r w:rsidRPr="002932E6">
        <w:rPr>
          <w:shd w:val="clear" w:color="auto" w:fill="FFFFFF"/>
        </w:rPr>
        <w:t xml:space="preserve">It is not surprising that maize, AM associations have resulted in both plant growth promotion and plant growth suppression depending on maize genotype </w:t>
      </w:r>
      <w:sdt>
        <w:sdtPr>
          <w:rPr>
            <w:color w:val="000000"/>
            <w:shd w:val="clear" w:color="auto" w:fill="FFFFFF"/>
          </w:rPr>
          <w:tag w:val="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"/>
          <w:id w:val="441959661"/>
          <w:placeholder>
            <w:docPart w:val="C796E44BA29C7B49B74F3F722913E754"/>
          </w:placeholder>
        </w:sdtPr>
        <w:sdtContent>
          <w:r w:rsidR="005E3F83" w:rsidRPr="005E3F83">
            <w:rPr>
              <w:color w:val="000000"/>
              <w:shd w:val="clear" w:color="auto" w:fill="FFFFFF"/>
            </w:rPr>
            <w:t xml:space="preserve">(Kaeppler et al., 2000b; </w:t>
          </w:r>
          <w:r w:rsidR="005E3F83" w:rsidRPr="005E3F83">
            <w:rPr>
              <w:color w:val="000000"/>
              <w:shd w:val="clear" w:color="auto" w:fill="FFFFFF"/>
            </w:rPr>
            <w:lastRenderedPageBreak/>
            <w:t>Sawers et al., 2017)</w:t>
          </w:r>
        </w:sdtContent>
      </w:sdt>
      <w:r w:rsidRPr="002932E6">
        <w:rPr>
          <w:shd w:val="clear" w:color="auto" w:fill="FFFFFF"/>
        </w:rPr>
        <w:t xml:space="preserve">. This variability of maize in terms of its </w:t>
      </w:r>
      <w:r w:rsidRPr="005149C5">
        <w:rPr>
          <w:shd w:val="clear" w:color="auto" w:fill="FFFFFF"/>
        </w:rPr>
        <w:t xml:space="preserve">responsiveness </w:t>
      </w:r>
      <w:r w:rsidR="00586448" w:rsidRPr="005149C5">
        <w:rPr>
          <w:shd w:val="clear" w:color="auto" w:fill="FFFFFF"/>
        </w:rPr>
        <w:t xml:space="preserve">to </w:t>
      </w:r>
      <w:r w:rsidRPr="005149C5">
        <w:rPr>
          <w:shd w:val="clear" w:color="auto" w:fill="FFFFFF"/>
        </w:rPr>
        <w:t xml:space="preserve">AMF is likely because the breeding program optimized yield in an environment with ample </w:t>
      </w:r>
      <w:sdt>
        <w:sdtPr>
          <w:rPr>
            <w:shd w:val="clear" w:color="auto" w:fill="FFFFFF"/>
          </w:rPr>
          <w:tag w:val="MENDELEY_CITATION_v3_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"/>
          <w:id w:val="-1052534118"/>
          <w:placeholder>
            <w:docPart w:val="C796E44BA29C7B49B74F3F722913E754"/>
          </w:placeholder>
        </w:sdtPr>
        <w:sdtContent>
          <w:r w:rsidR="005E3F83" w:rsidRPr="005149C5">
            <w:rPr>
              <w:shd w:val="clear" w:color="auto" w:fill="FFFFFF"/>
            </w:rPr>
            <w:t>(Grant et al., 2005)</w:t>
          </w:r>
        </w:sdtContent>
      </w:sdt>
      <w:r w:rsidR="00F5325F" w:rsidRPr="005149C5">
        <w:rPr>
          <w:shd w:val="clear" w:color="auto" w:fill="FFFFFF"/>
        </w:rPr>
        <w:t xml:space="preserve">. The </w:t>
      </w:r>
      <w:r w:rsidRPr="005149C5">
        <w:rPr>
          <w:shd w:val="clear" w:color="auto" w:fill="FFFFFF"/>
        </w:rPr>
        <w:t>us</w:t>
      </w:r>
      <w:r w:rsidR="00F373CF" w:rsidRPr="005149C5">
        <w:rPr>
          <w:shd w:val="clear" w:color="auto" w:fill="FFFFFF"/>
        </w:rPr>
        <w:t>e</w:t>
      </w:r>
      <w:r w:rsidRPr="005149C5">
        <w:rPr>
          <w:shd w:val="clear" w:color="auto" w:fill="FFFFFF"/>
        </w:rPr>
        <w:t xml:space="preserve"> </w:t>
      </w:r>
      <w:r w:rsidR="00F5325F" w:rsidRPr="005149C5">
        <w:rPr>
          <w:shd w:val="clear" w:color="auto" w:fill="FFFFFF"/>
        </w:rPr>
        <w:t xml:space="preserve">of </w:t>
      </w:r>
      <w:r w:rsidRPr="005149C5">
        <w:rPr>
          <w:shd w:val="clear" w:color="auto" w:fill="FFFFFF"/>
        </w:rPr>
        <w:t xml:space="preserve">farming practices such as tillage </w:t>
      </w:r>
      <w:r w:rsidRPr="005149C5">
        <w:rPr>
          <w:strike/>
          <w:shd w:val="clear" w:color="auto" w:fill="FFFFFF"/>
        </w:rPr>
        <w:t>that</w:t>
      </w:r>
      <w:r w:rsidRPr="005149C5">
        <w:rPr>
          <w:shd w:val="clear" w:color="auto" w:fill="FFFFFF"/>
        </w:rPr>
        <w:t xml:space="preserve"> disrupt</w:t>
      </w:r>
      <w:r w:rsidR="008630A0" w:rsidRPr="005149C5">
        <w:rPr>
          <w:shd w:val="clear" w:color="auto" w:fill="FFFFFF"/>
        </w:rPr>
        <w:t>s</w:t>
      </w:r>
      <w:r w:rsidRPr="005149C5">
        <w:rPr>
          <w:shd w:val="clear" w:color="auto" w:fill="FFFFFF"/>
        </w:rPr>
        <w:t xml:space="preserve"> mycorrhizal networks </w:t>
      </w:r>
      <w:sdt>
        <w:sdtPr>
          <w:rPr>
            <w:shd w:val="clear" w:color="auto" w:fill="FFFFFF"/>
          </w:rPr>
          <w:tag w:val="MENDELEY_CITATION_v3_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"/>
          <w:id w:val="-1296139784"/>
          <w:placeholder>
            <w:docPart w:val="C796E44BA29C7B49B74F3F722913E754"/>
          </w:placeholder>
        </w:sdtPr>
        <w:sdtContent>
          <w:r w:rsidR="005E3F83" w:rsidRPr="005149C5">
            <w:t>(Gavito &amp; Miller, 1998)</w:t>
          </w:r>
        </w:sdtContent>
      </w:sdt>
      <w:r w:rsidRPr="005149C5">
        <w:rPr>
          <w:shd w:val="clear" w:color="auto" w:fill="FFFFFF"/>
        </w:rPr>
        <w:t>.</w:t>
      </w:r>
      <w:r w:rsidR="008630A0" w:rsidRPr="005149C5">
        <w:rPr>
          <w:shd w:val="clear" w:color="auto" w:fill="FFFFFF"/>
        </w:rPr>
        <w:t xml:space="preserve"> </w:t>
      </w:r>
      <w:r w:rsidRPr="005149C5">
        <w:rPr>
          <w:shd w:val="clear" w:color="auto" w:fill="FFFFFF"/>
        </w:rPr>
        <w:t xml:space="preserve">Under these conditions the benefits of mycorrhiza for plant performance may be </w:t>
      </w:r>
      <w:r w:rsidR="005B5B4A" w:rsidRPr="005149C5">
        <w:rPr>
          <w:shd w:val="clear" w:color="auto" w:fill="FFFFFF"/>
        </w:rPr>
        <w:t>unimportant.</w:t>
      </w:r>
      <w:r w:rsidR="003D0AD7" w:rsidRPr="005149C5">
        <w:rPr>
          <w:shd w:val="clear" w:color="auto" w:fill="FFFFFF"/>
        </w:rPr>
        <w:t xml:space="preserve"> </w:t>
      </w:r>
      <w:r w:rsidRPr="005149C5">
        <w:rPr>
          <w:shd w:val="clear" w:color="auto" w:fill="FFFFFF"/>
        </w:rPr>
        <w:t xml:space="preserve">Understanding the underlying physiological differences between maize cultivars that respond positively and negatively to AMF is a critical first step in understanding how AMF could be used to enhance maize production in lower input, more sustainable agricultural systems. </w:t>
      </w:r>
    </w:p>
    <w:p w14:paraId="553144D0" w14:textId="3DEB1746" w:rsidR="0019038E" w:rsidRPr="005149C5" w:rsidRDefault="0019038E" w:rsidP="00BC411E">
      <w:pPr>
        <w:pStyle w:val="mythesis"/>
      </w:pPr>
      <w:r w:rsidRPr="005149C5">
        <w:t xml:space="preserve">          In order to get a robust understanding of the complexity of the variability of the interaction between different maize cultivars and their mycorrhiza it is important to collect a diverse array of physiological parameters. The earlier works focused on histological studies of roots but the increasing evidence that now shows that histological methods are often not very good predictors of the aboveground growth</w:t>
      </w:r>
      <w:r w:rsidR="005D7102" w:rsidRPr="005149C5">
        <w:t>, so the mycorrhizal responsiveness has emerged.</w:t>
      </w:r>
      <w:r w:rsidRPr="005149C5">
        <w:tab/>
      </w:r>
    </w:p>
    <w:p w14:paraId="5E29B91A" w14:textId="11AE7C6B" w:rsidR="0019038E" w:rsidRPr="002932E6" w:rsidRDefault="0019038E" w:rsidP="00BC411E">
      <w:pPr>
        <w:pStyle w:val="mythesis"/>
      </w:pPr>
      <w:r w:rsidRPr="002932E6">
        <w:rPr>
          <w:shd w:val="clear" w:color="auto" w:fill="FFFFFF"/>
        </w:rPr>
        <w:tab/>
        <w:t xml:space="preserve"> Mycorrhizal responsiveness, which is defined as the increased growth or </w:t>
      </w:r>
      <w:r w:rsidR="005D7102">
        <w:rPr>
          <w:shd w:val="clear" w:color="auto" w:fill="FFFFFF"/>
        </w:rPr>
        <w:t>phosphorus</w:t>
      </w:r>
      <w:r w:rsidRPr="002932E6">
        <w:rPr>
          <w:shd w:val="clear" w:color="auto" w:fill="FFFFFF"/>
        </w:rPr>
        <w:t xml:space="preserve"> uptake of a plant resulting from AMF colonization, is an important functional trait of crops </w:t>
      </w:r>
      <w:sdt>
        <w:sdtPr>
          <w:rPr>
            <w:color w:val="000000"/>
            <w:shd w:val="clear" w:color="auto" w:fill="FFFFFF"/>
          </w:rPr>
          <w:tag w:val="MENDELEY_CITATION_v3_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"/>
          <w:id w:val="1343972351"/>
          <w:placeholder>
            <w:docPart w:val="C796E44BA29C7B49B74F3F722913E754"/>
          </w:placeholder>
        </w:sdtPr>
        <w:sdtContent>
          <w:r w:rsidR="005E3F83" w:rsidRPr="005E3F83">
            <w:rPr>
              <w:color w:val="000000"/>
              <w:shd w:val="clear" w:color="auto" w:fill="FFFFFF"/>
            </w:rPr>
            <w:t>(Janos, 2007)</w:t>
          </w:r>
        </w:sdtContent>
      </w:sdt>
      <w:r w:rsidRPr="002932E6">
        <w:rPr>
          <w:shd w:val="clear" w:color="auto" w:fill="FFFFFF"/>
        </w:rPr>
        <w:t xml:space="preserve">. Mycorrhizal responsiveness not only depends heavily on P level in soil </w:t>
      </w:r>
      <w:sdt>
        <w:sdtPr>
          <w:rPr>
            <w:shd w:val="clear" w:color="auto" w:fill="FFFFFF"/>
          </w:rPr>
          <w:tag w:val="MENDELEY_CITATION_v3_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"/>
          <w:id w:val="1524054936"/>
          <w:placeholder>
            <w:docPart w:val="C796E44BA29C7B49B74F3F722913E754"/>
          </w:placeholder>
        </w:sdtPr>
        <w:sdtContent>
          <w:r w:rsidR="005E3F83">
            <w:t>(Nogueira &amp; Cardoso, 2006)</w:t>
          </w:r>
        </w:sdtContent>
      </w:sdt>
      <w:r w:rsidRPr="002932E6">
        <w:rPr>
          <w:shd w:val="clear" w:color="auto" w:fill="FFFFFF"/>
        </w:rPr>
        <w:t xml:space="preserve">, but also on other functional features related to P uptake, including morphological traits or root exudate releasing characteristics </w:t>
      </w:r>
      <w:sdt>
        <w:sdtPr>
          <w:rPr>
            <w:color w:val="000000"/>
            <w:shd w:val="clear" w:color="auto" w:fill="FFFFFF"/>
          </w:rPr>
          <w:tag w:val="MENDELEY_CITATION_v3_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"/>
          <w:id w:val="1835104410"/>
          <w:placeholder>
            <w:docPart w:val="C796E44BA29C7B49B74F3F722913E754"/>
          </w:placeholder>
        </w:sdtPr>
        <w:sdtContent>
          <w:r w:rsidR="005E3F83" w:rsidRPr="005E3F83">
            <w:rPr>
              <w:color w:val="000000"/>
              <w:shd w:val="clear" w:color="auto" w:fill="FFFFFF"/>
            </w:rPr>
            <w:t>(Yao et al., 2001)</w:t>
          </w:r>
        </w:sdtContent>
      </w:sdt>
      <w:r w:rsidRPr="002932E6">
        <w:rPr>
          <w:shd w:val="clear" w:color="auto" w:fill="FFFFFF"/>
        </w:rPr>
        <w:t xml:space="preserve">. There was increasing evidence that mycorrhizal responsiveness among plant genotypes is highly variable </w:t>
      </w:r>
      <w:sdt>
        <w:sdtPr>
          <w:rPr>
            <w:color w:val="000000"/>
            <w:shd w:val="clear" w:color="auto" w:fill="FFFFFF"/>
          </w:rPr>
          <w:tag w:val="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"/>
          <w:id w:val="1910417869"/>
          <w:placeholder>
            <w:docPart w:val="9E5EC8349729D44EA280977D726B70C8"/>
          </w:placeholder>
        </w:sdtPr>
        <w:sdtContent>
          <w:r w:rsidR="005E3F83" w:rsidRPr="005E3F83">
            <w:rPr>
              <w:color w:val="000000"/>
              <w:shd w:val="clear" w:color="auto" w:fill="FFFFFF"/>
            </w:rPr>
            <w:t>(An et al., 2010; Hetrick et al., 1992; Kaeppler et al., 2000b; Krishna et al., 1985)</w:t>
          </w:r>
        </w:sdtContent>
      </w:sdt>
      <w:r w:rsidRPr="002932E6">
        <w:rPr>
          <w:shd w:val="clear" w:color="auto" w:fill="FFFFFF"/>
        </w:rPr>
        <w:t>.</w:t>
      </w:r>
      <w:r w:rsidRPr="002932E6">
        <w:t xml:space="preserve"> </w:t>
      </w:r>
    </w:p>
    <w:p w14:paraId="01AEF69C" w14:textId="64B286C1" w:rsidR="0019038E" w:rsidRPr="002932E6" w:rsidRDefault="0019038E" w:rsidP="00BC411E">
      <w:pPr>
        <w:pStyle w:val="mythesis"/>
      </w:pPr>
      <w:r w:rsidRPr="002932E6">
        <w:tab/>
        <w:t xml:space="preserve">Cereals are one of the most important agricultural crops in Saudi Arabia, including corn, wheat, rice, and barley </w:t>
      </w:r>
      <w:sdt>
        <w:sdtPr>
          <w:tag w:val="MENDELEY_CITATION_v3_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"/>
          <w:id w:val="-2027010772"/>
          <w:placeholder>
            <w:docPart w:val="9E5EC8349729D44EA280977D726B70C8"/>
          </w:placeholder>
        </w:sdtPr>
        <w:sdtContent>
          <w:r w:rsidR="005E3F83">
            <w:t>(Abdel-Fattah &amp; Asrar, 2012)</w:t>
          </w:r>
        </w:sdtContent>
      </w:sdt>
      <w:r w:rsidRPr="002932E6">
        <w:t xml:space="preserve">.There are many studies that dealt with the study of wheat, barley and rice, but maize was not fully understood and the studies about it in Saudi Arabia were scarce.  I specifically tested the cultivars that are commonly used in the Arabian Peninsula </w:t>
      </w:r>
      <w:r w:rsidR="002A0867">
        <w:t>(</w:t>
      </w:r>
      <w:r w:rsidRPr="002932E6">
        <w:t xml:space="preserve"> Saudi Arabia</w:t>
      </w:r>
      <w:r w:rsidR="002A0867">
        <w:t>)</w:t>
      </w:r>
      <w:r w:rsidRPr="002932E6">
        <w:t xml:space="preserve">. </w:t>
      </w:r>
      <w:r w:rsidRPr="006B17BD">
        <w:t xml:space="preserve">Mycorrhizal occurrence in farmland in Saudi Arabia has been studied and six distinct mycorrhizal species have been found in the maize and onion genus Glomus </w:t>
      </w:r>
      <w:sdt>
        <w:sdtPr>
          <w:tag w:val="MENDELEY_CITATION_v3_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"/>
          <w:id w:val="1163044373"/>
          <w:placeholder>
            <w:docPart w:val="9E5EC8349729D44EA280977D726B70C8"/>
          </w:placeholder>
        </w:sdtPr>
        <w:sdtContent>
          <w:r w:rsidR="005E3F83">
            <w:t>(Al-Garni &amp; Daft, 1990)</w:t>
          </w:r>
        </w:sdtContent>
      </w:sdt>
      <w:r w:rsidRPr="006B17BD">
        <w:t xml:space="preserve"> .</w:t>
      </w:r>
      <w:r w:rsidRPr="002932E6">
        <w:t xml:space="preserve"> </w:t>
      </w:r>
      <w:r w:rsidR="00C533D3" w:rsidRPr="00C533D3">
        <w:t xml:space="preserve"> </w:t>
      </w:r>
      <w:r w:rsidR="00C533D3" w:rsidRPr="002932E6">
        <w:t xml:space="preserve">In order to understand the functional drivers of the genotypic differences in </w:t>
      </w:r>
      <w:r w:rsidR="00C533D3" w:rsidRPr="00221097">
        <w:rPr>
          <w:i/>
          <w:iCs w:val="0"/>
        </w:rPr>
        <w:t>Zea mays</w:t>
      </w:r>
      <w:r w:rsidR="00C533D3" w:rsidRPr="002932E6">
        <w:t xml:space="preserve"> response to AMF, I focused my study on a diversity panel that I constructed based on maize cultivars that are regularly grown across the Arabian Peninsula.</w:t>
      </w:r>
    </w:p>
    <w:p w14:paraId="3037822F" w14:textId="55668E9D" w:rsidR="0019038E" w:rsidRPr="002932E6" w:rsidRDefault="0019038E" w:rsidP="00BC411E">
      <w:pPr>
        <w:pStyle w:val="mythesis"/>
      </w:pPr>
      <w:r w:rsidRPr="002932E6">
        <w:lastRenderedPageBreak/>
        <w:t xml:space="preserve">          The aim is to investigate the variability in the mycorrhizal potential of maize cultivars that was widely grown in </w:t>
      </w:r>
      <w:r w:rsidR="003B2614">
        <w:t xml:space="preserve">the </w:t>
      </w:r>
      <w:r w:rsidRPr="002932E6">
        <w:t xml:space="preserve">Arabian </w:t>
      </w:r>
      <w:r w:rsidR="003B2614">
        <w:t>G</w:t>
      </w:r>
      <w:r w:rsidRPr="002932E6">
        <w:t xml:space="preserve">ulf </w:t>
      </w:r>
      <w:r w:rsidRPr="005149C5">
        <w:t>region</w:t>
      </w:r>
      <w:r w:rsidR="008A65C7" w:rsidRPr="005149C5">
        <w:t xml:space="preserve"> by</w:t>
      </w:r>
      <w:r w:rsidRPr="005149C5">
        <w:t xml:space="preserve"> </w:t>
      </w:r>
      <w:r w:rsidRPr="002932E6">
        <w:t xml:space="preserve">using histological, nutritional and growth characteristics. </w:t>
      </w:r>
    </w:p>
    <w:p w14:paraId="5C8A11CD" w14:textId="77777777" w:rsidR="0019038E" w:rsidRPr="00535B61" w:rsidRDefault="0019038E" w:rsidP="00BC411E">
      <w:pPr>
        <w:pStyle w:val="mythesis"/>
      </w:pPr>
      <w:r w:rsidRPr="002932E6">
        <w:t xml:space="preserve">           Our hypothesis is based on: There be high variability in the ability of different maize cultivars to form mycorrhizal colonization because able have been exposed to different selection pressures during the breeding program. (Mycorrhizal performance is associated with at least in some parts differential expression of the key genes within their signal’s pathway) There is a similarity and correlation between some of the maize cultivars in terms of their impact on the presence of the mycorrhiza inoculum and this mycorrhizal relationship leads to an improvement in plant growth and parameters and nutrient uptakes through the colonization formation and mycorrhizal responsiveness.</w:t>
      </w:r>
    </w:p>
    <w:p w14:paraId="37D9D651" w14:textId="77777777" w:rsidR="0019038E" w:rsidRDefault="0019038E" w:rsidP="0019038E">
      <w:pPr>
        <w:pStyle w:val="Heading2"/>
      </w:pPr>
      <w:bookmarkStart w:id="28" w:name="_Toc83751416"/>
      <w:r w:rsidRPr="002932E6">
        <w:t>2.2 Materials and methods</w:t>
      </w:r>
      <w:bookmarkEnd w:id="28"/>
    </w:p>
    <w:p w14:paraId="3AFFAA08" w14:textId="77777777" w:rsidR="0019038E" w:rsidRPr="00EB599C" w:rsidRDefault="0019038E" w:rsidP="0019038E">
      <w:pPr>
        <w:rPr>
          <w:lang w:val="en-GB"/>
        </w:rPr>
      </w:pPr>
    </w:p>
    <w:p w14:paraId="7D2ACF1E" w14:textId="77777777" w:rsidR="0019038E" w:rsidRDefault="0019038E" w:rsidP="0019038E">
      <w:pPr>
        <w:pStyle w:val="Heading3"/>
      </w:pPr>
      <w:bookmarkStart w:id="29" w:name="_Toc83751417"/>
      <w:r w:rsidRPr="002932E6">
        <w:t>2.2.1 Plant material</w:t>
      </w:r>
      <w:bookmarkEnd w:id="29"/>
    </w:p>
    <w:p w14:paraId="6E58A669" w14:textId="77777777" w:rsidR="0019038E" w:rsidRPr="00EB599C" w:rsidRDefault="0019038E" w:rsidP="0019038E">
      <w:pPr>
        <w:rPr>
          <w:rFonts w:eastAsia="MS Mincho"/>
        </w:rPr>
      </w:pPr>
    </w:p>
    <w:p w14:paraId="59F4F55E" w14:textId="3D0E6AE3" w:rsidR="0019038E" w:rsidRPr="005149C5" w:rsidRDefault="0019038E" w:rsidP="0019038E">
      <w:pPr>
        <w:widowControl w:val="0"/>
        <w:autoSpaceDE w:val="0"/>
        <w:autoSpaceDN w:val="0"/>
        <w:adjustRightInd w:val="0"/>
        <w:spacing w:afterLines="280" w:after="672" w:line="360" w:lineRule="auto"/>
        <w:jc w:val="lowKashida"/>
        <w:rPr>
          <w:bCs/>
          <w:color w:val="000000" w:themeColor="text1"/>
        </w:rPr>
      </w:pPr>
      <w:r w:rsidRPr="005149C5">
        <w:rPr>
          <w:bCs/>
          <w:color w:val="000000" w:themeColor="text1"/>
        </w:rPr>
        <w:t xml:space="preserve">      </w:t>
      </w:r>
      <w:r w:rsidR="00105CA8" w:rsidRPr="005149C5">
        <w:rPr>
          <w:bCs/>
          <w:color w:val="000000" w:themeColor="text1"/>
        </w:rPr>
        <w:t xml:space="preserve">Eighteen </w:t>
      </w:r>
      <w:r w:rsidRPr="005149C5">
        <w:rPr>
          <w:bCs/>
          <w:color w:val="000000" w:themeColor="text1"/>
        </w:rPr>
        <w:t xml:space="preserve"> maize cultivars </w:t>
      </w:r>
      <w:r w:rsidR="00105CA8" w:rsidRPr="005149C5">
        <w:rPr>
          <w:bCs/>
          <w:color w:val="000000" w:themeColor="text1"/>
        </w:rPr>
        <w:t xml:space="preserve">were </w:t>
      </w:r>
      <w:r w:rsidRPr="005149C5">
        <w:rPr>
          <w:bCs/>
          <w:color w:val="000000" w:themeColor="text1"/>
        </w:rPr>
        <w:t>used in this study, listed in Table 2.1 provided by (AL KANAHIL AGRICULTURAL EST., Riyadh, Saudi Arabia), (SAUDI UNITED FERTILIZER Co., Jeddah, Saudi Arabia), (TWAIQ AGRICULTURAL Co., Jeddah, Saudi Arabia) and (MAIZADOUR Co., Paris, France) and the seeds were sterilized with fungicides from the providers, and we washed the seeds many times with tap water.</w:t>
      </w:r>
    </w:p>
    <w:p w14:paraId="2575EE4B" w14:textId="1963781E" w:rsidR="0019038E" w:rsidRPr="005149C5" w:rsidRDefault="0019038E" w:rsidP="0019038E">
      <w:pPr>
        <w:widowControl w:val="0"/>
        <w:autoSpaceDE w:val="0"/>
        <w:autoSpaceDN w:val="0"/>
        <w:adjustRightInd w:val="0"/>
        <w:spacing w:afterLines="280" w:after="672" w:line="360" w:lineRule="auto"/>
        <w:jc w:val="lowKashida"/>
        <w:rPr>
          <w:bCs/>
          <w:color w:val="000000" w:themeColor="text1"/>
        </w:rPr>
      </w:pPr>
    </w:p>
    <w:p w14:paraId="1803E5F4" w14:textId="1243B90F" w:rsidR="00FC0233" w:rsidRDefault="00FC0233" w:rsidP="0019038E">
      <w:pPr>
        <w:widowControl w:val="0"/>
        <w:autoSpaceDE w:val="0"/>
        <w:autoSpaceDN w:val="0"/>
        <w:adjustRightInd w:val="0"/>
        <w:spacing w:afterLines="280" w:after="672" w:line="360" w:lineRule="auto"/>
        <w:jc w:val="lowKashida"/>
        <w:rPr>
          <w:bCs/>
          <w:color w:val="000000" w:themeColor="text1"/>
        </w:rPr>
      </w:pPr>
    </w:p>
    <w:p w14:paraId="4B1F33FD" w14:textId="071A4BF4" w:rsidR="005149C5" w:rsidRDefault="005149C5" w:rsidP="0019038E">
      <w:pPr>
        <w:widowControl w:val="0"/>
        <w:autoSpaceDE w:val="0"/>
        <w:autoSpaceDN w:val="0"/>
        <w:adjustRightInd w:val="0"/>
        <w:spacing w:afterLines="280" w:after="672" w:line="360" w:lineRule="auto"/>
        <w:jc w:val="lowKashida"/>
        <w:rPr>
          <w:bCs/>
          <w:color w:val="000000" w:themeColor="text1"/>
        </w:rPr>
      </w:pPr>
    </w:p>
    <w:p w14:paraId="16E0775B" w14:textId="77777777" w:rsidR="005149C5" w:rsidRPr="00B3731E" w:rsidRDefault="005149C5" w:rsidP="0019038E">
      <w:pPr>
        <w:widowControl w:val="0"/>
        <w:autoSpaceDE w:val="0"/>
        <w:autoSpaceDN w:val="0"/>
        <w:adjustRightInd w:val="0"/>
        <w:spacing w:afterLines="280" w:after="672" w:line="360" w:lineRule="auto"/>
        <w:jc w:val="lowKashida"/>
        <w:rPr>
          <w:bCs/>
          <w:color w:val="000000" w:themeColor="text1"/>
        </w:rPr>
      </w:pPr>
    </w:p>
    <w:p w14:paraId="3843703D" w14:textId="77777777" w:rsidR="0019038E" w:rsidRPr="005C6256" w:rsidRDefault="0019038E" w:rsidP="0019038E">
      <w:pPr>
        <w:pStyle w:val="Caption"/>
        <w:keepNext/>
        <w:rPr>
          <w:b w:val="0"/>
          <w:bCs w:val="0"/>
          <w:sz w:val="20"/>
          <w:szCs w:val="20"/>
        </w:rPr>
      </w:pPr>
      <w:bookmarkStart w:id="30" w:name="_Toc83750069"/>
      <w:r w:rsidRPr="00ED12B1">
        <w:rPr>
          <w:b w:val="0"/>
          <w:bCs w:val="0"/>
        </w:rPr>
        <w:lastRenderedPageBreak/>
        <w:t xml:space="preserve">Table </w:t>
      </w:r>
      <w:r w:rsidRPr="00ED12B1">
        <w:rPr>
          <w:b w:val="0"/>
          <w:bCs w:val="0"/>
        </w:rPr>
        <w:fldChar w:fldCharType="begin"/>
      </w:r>
      <w:r w:rsidRPr="00ED12B1">
        <w:rPr>
          <w:b w:val="0"/>
          <w:bCs w:val="0"/>
        </w:rPr>
        <w:instrText xml:space="preserve"> STYLEREF 1 \s </w:instrText>
      </w:r>
      <w:r w:rsidRPr="00ED12B1">
        <w:rPr>
          <w:b w:val="0"/>
          <w:bCs w:val="0"/>
        </w:rPr>
        <w:fldChar w:fldCharType="separate"/>
      </w:r>
      <w:r w:rsidRPr="00ED12B1">
        <w:rPr>
          <w:b w:val="0"/>
          <w:bCs w:val="0"/>
          <w:noProof/>
          <w:cs/>
        </w:rPr>
        <w:t>‎</w:t>
      </w:r>
      <w:r w:rsidRPr="00ED12B1">
        <w:rPr>
          <w:b w:val="0"/>
          <w:bCs w:val="0"/>
          <w:noProof/>
        </w:rPr>
        <w:t>2</w:t>
      </w:r>
      <w:r w:rsidRPr="00ED12B1">
        <w:rPr>
          <w:b w:val="0"/>
          <w:bCs w:val="0"/>
        </w:rPr>
        <w:fldChar w:fldCharType="end"/>
      </w:r>
      <w:r w:rsidRPr="00ED12B1">
        <w:rPr>
          <w:b w:val="0"/>
          <w:bCs w:val="0"/>
        </w:rPr>
        <w:t>.</w:t>
      </w:r>
      <w:r w:rsidRPr="00ED12B1">
        <w:rPr>
          <w:b w:val="0"/>
          <w:bCs w:val="0"/>
        </w:rPr>
        <w:fldChar w:fldCharType="begin"/>
      </w:r>
      <w:r w:rsidRPr="00ED12B1">
        <w:rPr>
          <w:b w:val="0"/>
          <w:bCs w:val="0"/>
        </w:rPr>
        <w:instrText xml:space="preserve"> SEQ Table \* ARABIC \s 1 </w:instrText>
      </w:r>
      <w:r w:rsidRPr="00ED12B1">
        <w:rPr>
          <w:b w:val="0"/>
          <w:bCs w:val="0"/>
        </w:rPr>
        <w:fldChar w:fldCharType="separate"/>
      </w:r>
      <w:r w:rsidRPr="00ED12B1">
        <w:rPr>
          <w:b w:val="0"/>
          <w:bCs w:val="0"/>
          <w:noProof/>
        </w:rPr>
        <w:t>1</w:t>
      </w:r>
      <w:r w:rsidRPr="00ED12B1">
        <w:rPr>
          <w:b w:val="0"/>
          <w:bCs w:val="0"/>
        </w:rPr>
        <w:fldChar w:fldCharType="end"/>
      </w:r>
      <w:r>
        <w:t xml:space="preserve"> </w:t>
      </w:r>
      <w:r w:rsidRPr="005C6256">
        <w:rPr>
          <w:b w:val="0"/>
          <w:bCs w:val="0"/>
          <w:sz w:val="20"/>
          <w:szCs w:val="20"/>
        </w:rPr>
        <w:t xml:space="preserve">Commercial manes of </w:t>
      </w:r>
      <w:r w:rsidRPr="003E07DF">
        <w:rPr>
          <w:b w:val="0"/>
          <w:bCs w:val="0"/>
          <w:i/>
          <w:iCs/>
          <w:sz w:val="20"/>
          <w:szCs w:val="20"/>
        </w:rPr>
        <w:t>Zea mays</w:t>
      </w:r>
      <w:r w:rsidRPr="005C6256">
        <w:rPr>
          <w:b w:val="0"/>
          <w:bCs w:val="0"/>
          <w:sz w:val="20"/>
          <w:szCs w:val="20"/>
        </w:rPr>
        <w:t xml:space="preserve"> cultivars</w:t>
      </w:r>
      <w:bookmarkEnd w:id="30"/>
      <w:r w:rsidRPr="005C6256">
        <w:rPr>
          <w:b w:val="0"/>
          <w:bCs w:val="0"/>
          <w:sz w:val="20"/>
          <w:szCs w:val="20"/>
        </w:rPr>
        <w:t xml:space="preserve"> </w:t>
      </w:r>
    </w:p>
    <w:tbl>
      <w:tblPr>
        <w:tblStyle w:val="TableGrid"/>
        <w:tblW w:w="9351" w:type="dxa"/>
        <w:tblLook w:val="04A0" w:firstRow="1" w:lastRow="0" w:firstColumn="1" w:lastColumn="0" w:noHBand="0" w:noVBand="1"/>
      </w:tblPr>
      <w:tblGrid>
        <w:gridCol w:w="2780"/>
        <w:gridCol w:w="4161"/>
        <w:gridCol w:w="2410"/>
      </w:tblGrid>
      <w:tr w:rsidR="0019038E" w14:paraId="031A7299" w14:textId="77777777" w:rsidTr="00D82647">
        <w:trPr>
          <w:trHeight w:val="93"/>
        </w:trPr>
        <w:tc>
          <w:tcPr>
            <w:tcW w:w="2780" w:type="dxa"/>
          </w:tcPr>
          <w:p w14:paraId="0E35A875"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Cultivar No.</w:t>
            </w:r>
          </w:p>
        </w:tc>
        <w:tc>
          <w:tcPr>
            <w:tcW w:w="4161" w:type="dxa"/>
          </w:tcPr>
          <w:p w14:paraId="3B8C513E"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company</w:t>
            </w:r>
          </w:p>
        </w:tc>
        <w:tc>
          <w:tcPr>
            <w:tcW w:w="2410" w:type="dxa"/>
          </w:tcPr>
          <w:p w14:paraId="11158EF8"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country</w:t>
            </w:r>
          </w:p>
        </w:tc>
      </w:tr>
      <w:tr w:rsidR="0019038E" w14:paraId="65F3EF64" w14:textId="77777777" w:rsidTr="00D82647">
        <w:tc>
          <w:tcPr>
            <w:tcW w:w="2780" w:type="dxa"/>
          </w:tcPr>
          <w:p w14:paraId="28AB1B65"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(1) Alinea</w:t>
            </w:r>
          </w:p>
        </w:tc>
        <w:tc>
          <w:tcPr>
            <w:tcW w:w="4161" w:type="dxa"/>
          </w:tcPr>
          <w:p w14:paraId="4746B3EE"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maizadour</w:t>
            </w:r>
          </w:p>
        </w:tc>
        <w:tc>
          <w:tcPr>
            <w:tcW w:w="2410" w:type="dxa"/>
          </w:tcPr>
          <w:p w14:paraId="7E7191D1"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France</w:t>
            </w:r>
          </w:p>
        </w:tc>
      </w:tr>
      <w:tr w:rsidR="0019038E" w14:paraId="2829845B" w14:textId="77777777" w:rsidTr="00D82647">
        <w:tc>
          <w:tcPr>
            <w:tcW w:w="2780" w:type="dxa"/>
          </w:tcPr>
          <w:p w14:paraId="5A33C1E4"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(2) Panama</w:t>
            </w:r>
          </w:p>
        </w:tc>
        <w:tc>
          <w:tcPr>
            <w:tcW w:w="4161" w:type="dxa"/>
          </w:tcPr>
          <w:p w14:paraId="0EA23D9E"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maizadour</w:t>
            </w:r>
          </w:p>
        </w:tc>
        <w:tc>
          <w:tcPr>
            <w:tcW w:w="2410" w:type="dxa"/>
          </w:tcPr>
          <w:p w14:paraId="01229E8F"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France</w:t>
            </w:r>
          </w:p>
        </w:tc>
      </w:tr>
      <w:tr w:rsidR="0019038E" w14:paraId="0B4D49D8" w14:textId="77777777" w:rsidTr="00D82647">
        <w:tc>
          <w:tcPr>
            <w:tcW w:w="2780" w:type="dxa"/>
          </w:tcPr>
          <w:p w14:paraId="5BC75792"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(3) Mas 46 A</w:t>
            </w:r>
          </w:p>
        </w:tc>
        <w:tc>
          <w:tcPr>
            <w:tcW w:w="4161" w:type="dxa"/>
          </w:tcPr>
          <w:p w14:paraId="09777072"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maizadour</w:t>
            </w:r>
          </w:p>
        </w:tc>
        <w:tc>
          <w:tcPr>
            <w:tcW w:w="2410" w:type="dxa"/>
          </w:tcPr>
          <w:p w14:paraId="46216C87"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France</w:t>
            </w:r>
          </w:p>
        </w:tc>
      </w:tr>
      <w:tr w:rsidR="0019038E" w14:paraId="442F3085" w14:textId="77777777" w:rsidTr="00D82647">
        <w:tc>
          <w:tcPr>
            <w:tcW w:w="2780" w:type="dxa"/>
          </w:tcPr>
          <w:p w14:paraId="2F168BEE"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(4) Aristo</w:t>
            </w:r>
          </w:p>
        </w:tc>
        <w:tc>
          <w:tcPr>
            <w:tcW w:w="4161" w:type="dxa"/>
          </w:tcPr>
          <w:p w14:paraId="0F03069A"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maizadour</w:t>
            </w:r>
          </w:p>
        </w:tc>
        <w:tc>
          <w:tcPr>
            <w:tcW w:w="2410" w:type="dxa"/>
          </w:tcPr>
          <w:p w14:paraId="0220ECF5"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France</w:t>
            </w:r>
          </w:p>
        </w:tc>
      </w:tr>
      <w:tr w:rsidR="0019038E" w14:paraId="0ECFEE00" w14:textId="77777777" w:rsidTr="00D82647">
        <w:tc>
          <w:tcPr>
            <w:tcW w:w="2780" w:type="dxa"/>
          </w:tcPr>
          <w:p w14:paraId="61653D07"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(5) Mas 48 F</w:t>
            </w:r>
          </w:p>
        </w:tc>
        <w:tc>
          <w:tcPr>
            <w:tcW w:w="4161" w:type="dxa"/>
          </w:tcPr>
          <w:p w14:paraId="03E316CE"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maizadour</w:t>
            </w:r>
          </w:p>
        </w:tc>
        <w:tc>
          <w:tcPr>
            <w:tcW w:w="2410" w:type="dxa"/>
          </w:tcPr>
          <w:p w14:paraId="39EE8779"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France</w:t>
            </w:r>
          </w:p>
        </w:tc>
      </w:tr>
      <w:tr w:rsidR="0019038E" w14:paraId="386F781C" w14:textId="77777777" w:rsidTr="00D82647">
        <w:tc>
          <w:tcPr>
            <w:tcW w:w="2780" w:type="dxa"/>
          </w:tcPr>
          <w:p w14:paraId="59EA1C96"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(6) Mas 70 F</w:t>
            </w:r>
          </w:p>
        </w:tc>
        <w:tc>
          <w:tcPr>
            <w:tcW w:w="4161" w:type="dxa"/>
          </w:tcPr>
          <w:p w14:paraId="0557953D"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maizadour</w:t>
            </w:r>
          </w:p>
        </w:tc>
        <w:tc>
          <w:tcPr>
            <w:tcW w:w="2410" w:type="dxa"/>
          </w:tcPr>
          <w:p w14:paraId="0C050A79"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France</w:t>
            </w:r>
          </w:p>
        </w:tc>
      </w:tr>
      <w:tr w:rsidR="0019038E" w14:paraId="556A0BA4" w14:textId="77777777" w:rsidTr="00D82647">
        <w:tc>
          <w:tcPr>
            <w:tcW w:w="2780" w:type="dxa"/>
          </w:tcPr>
          <w:p w14:paraId="275F8DD5"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(7) Calsio</w:t>
            </w:r>
          </w:p>
        </w:tc>
        <w:tc>
          <w:tcPr>
            <w:tcW w:w="4161" w:type="dxa"/>
          </w:tcPr>
          <w:p w14:paraId="17D0FF0B"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maizadour</w:t>
            </w:r>
          </w:p>
        </w:tc>
        <w:tc>
          <w:tcPr>
            <w:tcW w:w="2410" w:type="dxa"/>
          </w:tcPr>
          <w:p w14:paraId="47D51A98"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France</w:t>
            </w:r>
          </w:p>
        </w:tc>
      </w:tr>
      <w:tr w:rsidR="0019038E" w14:paraId="4AC59D6A" w14:textId="77777777" w:rsidTr="00D82647">
        <w:tc>
          <w:tcPr>
            <w:tcW w:w="2780" w:type="dxa"/>
          </w:tcPr>
          <w:p w14:paraId="604D64EC"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(8) MAS 47 P</w:t>
            </w:r>
          </w:p>
        </w:tc>
        <w:tc>
          <w:tcPr>
            <w:tcW w:w="4161" w:type="dxa"/>
          </w:tcPr>
          <w:p w14:paraId="1425A37B"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maizadour</w:t>
            </w:r>
          </w:p>
        </w:tc>
        <w:tc>
          <w:tcPr>
            <w:tcW w:w="2410" w:type="dxa"/>
          </w:tcPr>
          <w:p w14:paraId="02FD4ED3"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France</w:t>
            </w:r>
          </w:p>
        </w:tc>
      </w:tr>
      <w:tr w:rsidR="0019038E" w14:paraId="6990874E" w14:textId="77777777" w:rsidTr="00D82647">
        <w:tc>
          <w:tcPr>
            <w:tcW w:w="2780" w:type="dxa"/>
          </w:tcPr>
          <w:p w14:paraId="1A34BE29"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(9) Mas 73 E</w:t>
            </w:r>
          </w:p>
        </w:tc>
        <w:tc>
          <w:tcPr>
            <w:tcW w:w="4161" w:type="dxa"/>
          </w:tcPr>
          <w:p w14:paraId="746FDC6B"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maizadour</w:t>
            </w:r>
          </w:p>
        </w:tc>
        <w:tc>
          <w:tcPr>
            <w:tcW w:w="2410" w:type="dxa"/>
          </w:tcPr>
          <w:p w14:paraId="0267F78D"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France</w:t>
            </w:r>
          </w:p>
        </w:tc>
      </w:tr>
      <w:tr w:rsidR="0019038E" w14:paraId="691D67F0" w14:textId="77777777" w:rsidTr="00D82647">
        <w:tc>
          <w:tcPr>
            <w:tcW w:w="2780" w:type="dxa"/>
          </w:tcPr>
          <w:p w14:paraId="68A3A62F"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(10) 4-5-653</w:t>
            </w:r>
          </w:p>
        </w:tc>
        <w:tc>
          <w:tcPr>
            <w:tcW w:w="4161" w:type="dxa"/>
          </w:tcPr>
          <w:p w14:paraId="692B4AAA"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sidRPr="006643C9">
              <w:rPr>
                <w:rFonts w:asciiTheme="majorBidi" w:hAnsiTheme="majorBidi" w:cstheme="majorBidi"/>
                <w:color w:val="000000" w:themeColor="text1"/>
              </w:rPr>
              <w:t>Golden West Comp</w:t>
            </w:r>
          </w:p>
        </w:tc>
        <w:tc>
          <w:tcPr>
            <w:tcW w:w="2410" w:type="dxa"/>
          </w:tcPr>
          <w:p w14:paraId="3CDC43AF"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USA</w:t>
            </w:r>
          </w:p>
        </w:tc>
      </w:tr>
      <w:tr w:rsidR="0019038E" w14:paraId="5EAD120F" w14:textId="77777777" w:rsidTr="00D82647">
        <w:tc>
          <w:tcPr>
            <w:tcW w:w="2780" w:type="dxa"/>
          </w:tcPr>
          <w:p w14:paraId="28295A73"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(11) Egean</w:t>
            </w:r>
          </w:p>
        </w:tc>
        <w:tc>
          <w:tcPr>
            <w:tcW w:w="4161" w:type="dxa"/>
          </w:tcPr>
          <w:p w14:paraId="557FB5B5"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sidRPr="006643C9">
              <w:rPr>
                <w:rFonts w:asciiTheme="majorBidi" w:hAnsiTheme="majorBidi" w:cstheme="majorBidi"/>
                <w:color w:val="000000" w:themeColor="text1"/>
              </w:rPr>
              <w:t>Golden West Comp</w:t>
            </w:r>
          </w:p>
        </w:tc>
        <w:tc>
          <w:tcPr>
            <w:tcW w:w="2410" w:type="dxa"/>
          </w:tcPr>
          <w:p w14:paraId="1F6AC8FB"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USA</w:t>
            </w:r>
          </w:p>
        </w:tc>
      </w:tr>
      <w:tr w:rsidR="0019038E" w14:paraId="0C3481C3" w14:textId="77777777" w:rsidTr="00D82647">
        <w:trPr>
          <w:trHeight w:val="132"/>
        </w:trPr>
        <w:tc>
          <w:tcPr>
            <w:tcW w:w="2780" w:type="dxa"/>
          </w:tcPr>
          <w:p w14:paraId="309AB13A"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(12) Merit</w:t>
            </w:r>
          </w:p>
        </w:tc>
        <w:tc>
          <w:tcPr>
            <w:tcW w:w="4161" w:type="dxa"/>
          </w:tcPr>
          <w:p w14:paraId="398DC780"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sidRPr="006643C9">
              <w:rPr>
                <w:rFonts w:asciiTheme="majorBidi" w:hAnsiTheme="majorBidi" w:cstheme="majorBidi"/>
                <w:color w:val="000000" w:themeColor="text1"/>
              </w:rPr>
              <w:t xml:space="preserve">Seminis Comp  </w:t>
            </w:r>
          </w:p>
        </w:tc>
        <w:tc>
          <w:tcPr>
            <w:tcW w:w="2410" w:type="dxa"/>
          </w:tcPr>
          <w:p w14:paraId="0F2B53A4"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USA</w:t>
            </w:r>
          </w:p>
        </w:tc>
      </w:tr>
      <w:tr w:rsidR="0019038E" w14:paraId="17670C2D" w14:textId="77777777" w:rsidTr="00D82647">
        <w:tc>
          <w:tcPr>
            <w:tcW w:w="2780" w:type="dxa"/>
          </w:tcPr>
          <w:p w14:paraId="5562DEBE"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(13) Bonanza</w:t>
            </w:r>
          </w:p>
        </w:tc>
        <w:tc>
          <w:tcPr>
            <w:tcW w:w="4161" w:type="dxa"/>
          </w:tcPr>
          <w:p w14:paraId="4D08151C"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sidRPr="006643C9">
              <w:rPr>
                <w:rFonts w:asciiTheme="majorBidi" w:hAnsiTheme="majorBidi" w:cstheme="majorBidi"/>
                <w:color w:val="000000" w:themeColor="text1"/>
              </w:rPr>
              <w:t xml:space="preserve">Seminis Comp  </w:t>
            </w:r>
          </w:p>
        </w:tc>
        <w:tc>
          <w:tcPr>
            <w:tcW w:w="2410" w:type="dxa"/>
          </w:tcPr>
          <w:p w14:paraId="4A1EB733"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USA</w:t>
            </w:r>
          </w:p>
        </w:tc>
      </w:tr>
      <w:tr w:rsidR="0019038E" w14:paraId="542DE00F" w14:textId="77777777" w:rsidTr="00D82647">
        <w:tc>
          <w:tcPr>
            <w:tcW w:w="2780" w:type="dxa"/>
          </w:tcPr>
          <w:p w14:paraId="674ADC5B"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sz w:val="20"/>
                <w:szCs w:val="20"/>
              </w:rPr>
              <w:t xml:space="preserve">(14) </w:t>
            </w:r>
            <w:r w:rsidRPr="000027C2">
              <w:rPr>
                <w:rFonts w:asciiTheme="majorBidi" w:hAnsiTheme="majorBidi" w:cstheme="majorBidi"/>
                <w:bCs/>
                <w:color w:val="000000" w:themeColor="text1"/>
                <w:sz w:val="20"/>
                <w:szCs w:val="20"/>
              </w:rPr>
              <w:t>SHG6RH1036</w:t>
            </w:r>
          </w:p>
        </w:tc>
        <w:tc>
          <w:tcPr>
            <w:tcW w:w="4161" w:type="dxa"/>
          </w:tcPr>
          <w:p w14:paraId="3DF4903C"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sidRPr="006643C9">
              <w:rPr>
                <w:rFonts w:asciiTheme="majorBidi" w:hAnsiTheme="majorBidi" w:cstheme="majorBidi"/>
                <w:color w:val="000000" w:themeColor="text1"/>
              </w:rPr>
              <w:t xml:space="preserve">Seminis Comp  </w:t>
            </w:r>
          </w:p>
        </w:tc>
        <w:tc>
          <w:tcPr>
            <w:tcW w:w="2410" w:type="dxa"/>
          </w:tcPr>
          <w:p w14:paraId="6A4E2D54"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USA</w:t>
            </w:r>
          </w:p>
        </w:tc>
      </w:tr>
      <w:tr w:rsidR="0019038E" w14:paraId="7EF837CB" w14:textId="77777777" w:rsidTr="00D82647">
        <w:tc>
          <w:tcPr>
            <w:tcW w:w="2780" w:type="dxa"/>
          </w:tcPr>
          <w:p w14:paraId="7EF9728B"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(15) HY CORN 675</w:t>
            </w:r>
          </w:p>
        </w:tc>
        <w:tc>
          <w:tcPr>
            <w:tcW w:w="4161" w:type="dxa"/>
          </w:tcPr>
          <w:p w14:paraId="42AC2932"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sidRPr="006643C9">
              <w:rPr>
                <w:rFonts w:asciiTheme="majorBidi" w:hAnsiTheme="majorBidi" w:cstheme="majorBidi"/>
                <w:color w:val="000000" w:themeColor="text1"/>
              </w:rPr>
              <w:t>Pacific seeds</w:t>
            </w:r>
          </w:p>
        </w:tc>
        <w:tc>
          <w:tcPr>
            <w:tcW w:w="2410" w:type="dxa"/>
          </w:tcPr>
          <w:p w14:paraId="61B52FD0"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USA</w:t>
            </w:r>
          </w:p>
        </w:tc>
      </w:tr>
      <w:tr w:rsidR="0019038E" w14:paraId="4A98954A" w14:textId="77777777" w:rsidTr="00D82647">
        <w:tc>
          <w:tcPr>
            <w:tcW w:w="2780" w:type="dxa"/>
          </w:tcPr>
          <w:p w14:paraId="138162E8"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(16) Phssion</w:t>
            </w:r>
          </w:p>
        </w:tc>
        <w:tc>
          <w:tcPr>
            <w:tcW w:w="4161" w:type="dxa"/>
          </w:tcPr>
          <w:p w14:paraId="65BC1101"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sidRPr="006643C9">
              <w:rPr>
                <w:rFonts w:asciiTheme="majorBidi" w:hAnsiTheme="majorBidi" w:cstheme="majorBidi"/>
                <w:color w:val="000000" w:themeColor="text1"/>
              </w:rPr>
              <w:t xml:space="preserve">Seminis Comp  </w:t>
            </w:r>
          </w:p>
        </w:tc>
        <w:tc>
          <w:tcPr>
            <w:tcW w:w="2410" w:type="dxa"/>
          </w:tcPr>
          <w:p w14:paraId="7AE55270"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USA</w:t>
            </w:r>
          </w:p>
        </w:tc>
      </w:tr>
      <w:tr w:rsidR="0019038E" w14:paraId="6FE532D9" w14:textId="77777777" w:rsidTr="00D82647">
        <w:tc>
          <w:tcPr>
            <w:tcW w:w="2780" w:type="dxa"/>
          </w:tcPr>
          <w:p w14:paraId="5AA4026F"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(17) Abott Toleen</w:t>
            </w:r>
          </w:p>
        </w:tc>
        <w:tc>
          <w:tcPr>
            <w:tcW w:w="4161" w:type="dxa"/>
          </w:tcPr>
          <w:p w14:paraId="60FE5242"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sidRPr="006643C9">
              <w:rPr>
                <w:rFonts w:asciiTheme="majorBidi" w:hAnsiTheme="majorBidi" w:cstheme="majorBidi"/>
                <w:color w:val="000000" w:themeColor="text1"/>
              </w:rPr>
              <w:t xml:space="preserve">Seminis Comp  </w:t>
            </w:r>
          </w:p>
        </w:tc>
        <w:tc>
          <w:tcPr>
            <w:tcW w:w="2410" w:type="dxa"/>
          </w:tcPr>
          <w:p w14:paraId="17A6AA6F"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USA</w:t>
            </w:r>
          </w:p>
        </w:tc>
      </w:tr>
      <w:tr w:rsidR="0019038E" w14:paraId="0626562A" w14:textId="77777777" w:rsidTr="00D82647">
        <w:tc>
          <w:tcPr>
            <w:tcW w:w="2780" w:type="dxa"/>
          </w:tcPr>
          <w:p w14:paraId="46DC9675"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(18) Merit Asgro</w:t>
            </w:r>
          </w:p>
        </w:tc>
        <w:tc>
          <w:tcPr>
            <w:tcW w:w="4161" w:type="dxa"/>
          </w:tcPr>
          <w:p w14:paraId="1784E870"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sidRPr="006643C9">
              <w:rPr>
                <w:rFonts w:asciiTheme="majorBidi" w:hAnsiTheme="majorBidi" w:cstheme="majorBidi"/>
                <w:color w:val="000000" w:themeColor="text1"/>
              </w:rPr>
              <w:t xml:space="preserve">Seminis Comp  </w:t>
            </w:r>
          </w:p>
        </w:tc>
        <w:tc>
          <w:tcPr>
            <w:tcW w:w="2410" w:type="dxa"/>
          </w:tcPr>
          <w:p w14:paraId="60D5D3AC" w14:textId="77777777" w:rsidR="0019038E" w:rsidRDefault="0019038E" w:rsidP="00D82647">
            <w:pPr>
              <w:widowControl w:val="0"/>
              <w:autoSpaceDE w:val="0"/>
              <w:autoSpaceDN w:val="0"/>
              <w:adjustRightInd w:val="0"/>
              <w:spacing w:after="240" w:line="360" w:lineRule="auto"/>
              <w:rPr>
                <w:rFonts w:asciiTheme="majorBidi" w:hAnsiTheme="majorBidi" w:cstheme="majorBidi"/>
                <w:bCs/>
                <w:color w:val="000000" w:themeColor="text1"/>
              </w:rPr>
            </w:pPr>
            <w:r>
              <w:rPr>
                <w:rFonts w:asciiTheme="majorBidi" w:hAnsiTheme="majorBidi" w:cstheme="majorBidi"/>
                <w:bCs/>
                <w:color w:val="000000" w:themeColor="text1"/>
              </w:rPr>
              <w:t>USA</w:t>
            </w:r>
          </w:p>
        </w:tc>
      </w:tr>
    </w:tbl>
    <w:p w14:paraId="07C43339" w14:textId="77777777" w:rsidR="0019038E" w:rsidRDefault="0019038E" w:rsidP="0019038E">
      <w:pPr>
        <w:pStyle w:val="Heading3"/>
      </w:pPr>
    </w:p>
    <w:p w14:paraId="21A5ED7F" w14:textId="77777777" w:rsidR="00FC0233" w:rsidRDefault="00FC0233" w:rsidP="0019038E">
      <w:pPr>
        <w:pStyle w:val="Heading3"/>
      </w:pPr>
    </w:p>
    <w:p w14:paraId="0CEDBA66" w14:textId="7E872511" w:rsidR="0019038E" w:rsidRDefault="0019038E" w:rsidP="0019038E">
      <w:pPr>
        <w:pStyle w:val="Heading3"/>
      </w:pPr>
      <w:bookmarkStart w:id="31" w:name="_Toc83751418"/>
      <w:r w:rsidRPr="002932E6">
        <w:t>2.2.2 Mycorrhizal inoculum</w:t>
      </w:r>
      <w:bookmarkEnd w:id="31"/>
      <w:r w:rsidRPr="002932E6">
        <w:t xml:space="preserve"> </w:t>
      </w:r>
    </w:p>
    <w:p w14:paraId="60F6FE50" w14:textId="77777777" w:rsidR="00FC0233" w:rsidRPr="00FC0233" w:rsidRDefault="00FC0233" w:rsidP="00FC0233"/>
    <w:p w14:paraId="1714805F" w14:textId="775D756D" w:rsidR="0019038E" w:rsidRPr="002932E6" w:rsidRDefault="0019038E" w:rsidP="00FC0233">
      <w:pPr>
        <w:pStyle w:val="mythesis"/>
      </w:pPr>
      <w:r w:rsidRPr="002932E6">
        <w:t xml:space="preserve">      The inoculum </w:t>
      </w:r>
      <w:r w:rsidR="0000112A">
        <w:t xml:space="preserve">of mycorrhizal </w:t>
      </w:r>
      <w:r w:rsidRPr="002932E6">
        <w:t xml:space="preserve">was obtained from </w:t>
      </w:r>
      <w:r w:rsidRPr="002932E6">
        <w:rPr>
          <w:lang w:val="en-GB"/>
        </w:rPr>
        <w:t>ROOT GROW</w:t>
      </w:r>
      <w:r w:rsidRPr="002932E6">
        <w:t xml:space="preserve"> company, </w:t>
      </w:r>
      <w:r w:rsidRPr="002932E6">
        <w:rPr>
          <w:rStyle w:val="Strong"/>
          <w:rFonts w:eastAsia="Cambria"/>
          <w:bdr w:val="none" w:sz="0" w:space="0" w:color="auto" w:frame="1"/>
          <w:shd w:val="clear" w:color="auto" w:fill="FFFFFF"/>
        </w:rPr>
        <w:t>PlantWorks</w:t>
      </w:r>
      <w:r w:rsidRPr="002932E6">
        <w:rPr>
          <w:rStyle w:val="Strong"/>
          <w:rFonts w:eastAsia="Cambria"/>
          <w:color w:val="676767"/>
          <w:bdr w:val="none" w:sz="0" w:space="0" w:color="auto" w:frame="1"/>
          <w:shd w:val="clear" w:color="auto" w:fill="FFFFFF"/>
        </w:rPr>
        <w:t>,</w:t>
      </w:r>
      <w:r w:rsidRPr="002932E6">
        <w:t xml:space="preserve"> Kent, United Kingdom and its 100% of arbuscular mycorrhizal fungi in equal proportions and spores of ectomycorrhizal fungi. </w:t>
      </w:r>
      <w:r w:rsidR="0000112A">
        <w:t xml:space="preserve">The </w:t>
      </w:r>
      <w:r w:rsidRPr="002932E6">
        <w:t>AMF species are</w:t>
      </w:r>
      <w:r w:rsidR="0000112A">
        <w:t xml:space="preserve"> showed in table 2.2</w:t>
      </w:r>
    </w:p>
    <w:p w14:paraId="088D8186" w14:textId="49BBACD3" w:rsidR="0019038E" w:rsidRPr="00A33882" w:rsidRDefault="0019038E" w:rsidP="0019038E">
      <w:pPr>
        <w:pStyle w:val="Caption"/>
        <w:keepNext/>
        <w:rPr>
          <w:b w:val="0"/>
          <w:bCs w:val="0"/>
          <w:sz w:val="20"/>
          <w:szCs w:val="20"/>
        </w:rPr>
      </w:pPr>
      <w:bookmarkStart w:id="32" w:name="_Toc83750070"/>
      <w:r w:rsidRPr="00ED12B1">
        <w:rPr>
          <w:b w:val="0"/>
          <w:bCs w:val="0"/>
        </w:rPr>
        <w:t xml:space="preserve">Table </w:t>
      </w:r>
      <w:r w:rsidRPr="00ED12B1">
        <w:rPr>
          <w:b w:val="0"/>
          <w:bCs w:val="0"/>
        </w:rPr>
        <w:fldChar w:fldCharType="begin"/>
      </w:r>
      <w:r w:rsidRPr="00ED12B1">
        <w:rPr>
          <w:b w:val="0"/>
          <w:bCs w:val="0"/>
        </w:rPr>
        <w:instrText xml:space="preserve"> STYLEREF 1 \s </w:instrText>
      </w:r>
      <w:r w:rsidRPr="00ED12B1">
        <w:rPr>
          <w:b w:val="0"/>
          <w:bCs w:val="0"/>
        </w:rPr>
        <w:fldChar w:fldCharType="separate"/>
      </w:r>
      <w:r w:rsidRPr="00ED12B1">
        <w:rPr>
          <w:b w:val="0"/>
          <w:bCs w:val="0"/>
          <w:noProof/>
          <w:cs/>
        </w:rPr>
        <w:t>‎</w:t>
      </w:r>
      <w:r w:rsidRPr="00ED12B1">
        <w:rPr>
          <w:b w:val="0"/>
          <w:bCs w:val="0"/>
          <w:noProof/>
        </w:rPr>
        <w:t>2</w:t>
      </w:r>
      <w:r w:rsidRPr="00ED12B1">
        <w:rPr>
          <w:b w:val="0"/>
          <w:bCs w:val="0"/>
        </w:rPr>
        <w:fldChar w:fldCharType="end"/>
      </w:r>
      <w:r w:rsidRPr="00ED12B1">
        <w:rPr>
          <w:b w:val="0"/>
          <w:bCs w:val="0"/>
        </w:rPr>
        <w:t>.</w:t>
      </w:r>
      <w:r w:rsidRPr="00ED12B1">
        <w:rPr>
          <w:b w:val="0"/>
          <w:bCs w:val="0"/>
        </w:rPr>
        <w:fldChar w:fldCharType="begin"/>
      </w:r>
      <w:r w:rsidRPr="00ED12B1">
        <w:rPr>
          <w:b w:val="0"/>
          <w:bCs w:val="0"/>
        </w:rPr>
        <w:instrText xml:space="preserve"> SEQ Table \* ARABIC \s 1 </w:instrText>
      </w:r>
      <w:r w:rsidRPr="00ED12B1">
        <w:rPr>
          <w:b w:val="0"/>
          <w:bCs w:val="0"/>
        </w:rPr>
        <w:fldChar w:fldCharType="separate"/>
      </w:r>
      <w:r w:rsidRPr="00ED12B1">
        <w:rPr>
          <w:b w:val="0"/>
          <w:bCs w:val="0"/>
          <w:noProof/>
        </w:rPr>
        <w:t>2</w:t>
      </w:r>
      <w:r w:rsidRPr="00ED12B1">
        <w:rPr>
          <w:b w:val="0"/>
          <w:bCs w:val="0"/>
        </w:rPr>
        <w:fldChar w:fldCharType="end"/>
      </w:r>
      <w:r>
        <w:t xml:space="preserve"> </w:t>
      </w:r>
      <w:r w:rsidRPr="00A33882">
        <w:rPr>
          <w:b w:val="0"/>
          <w:bCs w:val="0"/>
          <w:sz w:val="20"/>
          <w:szCs w:val="20"/>
        </w:rPr>
        <w:t xml:space="preserve">The Arbuscular Mycorrhizal Fungi species that </w:t>
      </w:r>
      <w:r w:rsidR="004F77C9">
        <w:rPr>
          <w:b w:val="0"/>
          <w:bCs w:val="0"/>
          <w:sz w:val="20"/>
          <w:szCs w:val="20"/>
        </w:rPr>
        <w:t xml:space="preserve">were </w:t>
      </w:r>
      <w:r w:rsidRPr="00A33882">
        <w:rPr>
          <w:b w:val="0"/>
          <w:bCs w:val="0"/>
          <w:sz w:val="20"/>
          <w:szCs w:val="20"/>
        </w:rPr>
        <w:t xml:space="preserve">used from </w:t>
      </w:r>
      <w:r w:rsidRPr="00A33882">
        <w:rPr>
          <w:b w:val="0"/>
          <w:bCs w:val="0"/>
          <w:color w:val="000000" w:themeColor="text1"/>
          <w:sz w:val="20"/>
          <w:szCs w:val="20"/>
          <w:lang w:val="en-GB"/>
        </w:rPr>
        <w:t>ROOT GROW</w:t>
      </w:r>
      <w:r w:rsidRPr="00A33882">
        <w:rPr>
          <w:b w:val="0"/>
          <w:bCs w:val="0"/>
          <w:color w:val="000000" w:themeColor="text1"/>
          <w:sz w:val="20"/>
          <w:szCs w:val="20"/>
        </w:rPr>
        <w:t xml:space="preserve"> company</w:t>
      </w:r>
      <w:bookmarkEnd w:id="32"/>
    </w:p>
    <w:tbl>
      <w:tblPr>
        <w:tblStyle w:val="TableGrid"/>
        <w:tblW w:w="0" w:type="auto"/>
        <w:tblLook w:val="04A0" w:firstRow="1" w:lastRow="0" w:firstColumn="1" w:lastColumn="0" w:noHBand="0" w:noVBand="1"/>
      </w:tblPr>
      <w:tblGrid>
        <w:gridCol w:w="2862"/>
        <w:gridCol w:w="2872"/>
        <w:gridCol w:w="2816"/>
      </w:tblGrid>
      <w:tr w:rsidR="0019038E" w:rsidRPr="00DD40AD" w14:paraId="49006398" w14:textId="77777777" w:rsidTr="00D82647">
        <w:tc>
          <w:tcPr>
            <w:tcW w:w="2862" w:type="dxa"/>
            <w:vAlign w:val="center"/>
          </w:tcPr>
          <w:p w14:paraId="37AEB052" w14:textId="3BB0A83E" w:rsidR="0019038E" w:rsidRPr="00DD40AD" w:rsidRDefault="0019038E" w:rsidP="00D82647">
            <w:pPr>
              <w:widowControl w:val="0"/>
              <w:autoSpaceDE w:val="0"/>
              <w:autoSpaceDN w:val="0"/>
              <w:adjustRightInd w:val="0"/>
              <w:spacing w:afterLines="280" w:after="672" w:line="360" w:lineRule="auto"/>
              <w:jc w:val="center"/>
              <w:rPr>
                <w:b/>
                <w:color w:val="000000" w:themeColor="text1"/>
                <w:sz w:val="24"/>
                <w:szCs w:val="24"/>
              </w:rPr>
            </w:pPr>
            <w:r w:rsidRPr="00DD40AD">
              <w:rPr>
                <w:b/>
                <w:color w:val="000000" w:themeColor="text1"/>
                <w:sz w:val="24"/>
                <w:szCs w:val="24"/>
              </w:rPr>
              <w:t xml:space="preserve">Mycorrhizal inoculum </w:t>
            </w:r>
          </w:p>
        </w:tc>
        <w:tc>
          <w:tcPr>
            <w:tcW w:w="2872" w:type="dxa"/>
            <w:vAlign w:val="center"/>
          </w:tcPr>
          <w:p w14:paraId="43AF0DEF" w14:textId="77777777" w:rsidR="0019038E" w:rsidRPr="00DD40AD" w:rsidRDefault="0019038E" w:rsidP="00D82647">
            <w:pPr>
              <w:widowControl w:val="0"/>
              <w:autoSpaceDE w:val="0"/>
              <w:autoSpaceDN w:val="0"/>
              <w:adjustRightInd w:val="0"/>
              <w:spacing w:afterLines="280" w:after="672" w:line="360" w:lineRule="auto"/>
              <w:jc w:val="center"/>
              <w:rPr>
                <w:b/>
                <w:color w:val="000000" w:themeColor="text1"/>
                <w:sz w:val="24"/>
                <w:szCs w:val="24"/>
              </w:rPr>
            </w:pPr>
            <w:r w:rsidRPr="00DD40AD">
              <w:rPr>
                <w:b/>
                <w:color w:val="000000" w:themeColor="text1"/>
                <w:sz w:val="24"/>
                <w:szCs w:val="24"/>
              </w:rPr>
              <w:t>species</w:t>
            </w:r>
          </w:p>
        </w:tc>
        <w:tc>
          <w:tcPr>
            <w:tcW w:w="2816" w:type="dxa"/>
            <w:vAlign w:val="center"/>
          </w:tcPr>
          <w:p w14:paraId="2DB662FE" w14:textId="77777777" w:rsidR="0019038E" w:rsidRPr="00DD40AD" w:rsidRDefault="0019038E" w:rsidP="00D82647">
            <w:pPr>
              <w:widowControl w:val="0"/>
              <w:autoSpaceDE w:val="0"/>
              <w:autoSpaceDN w:val="0"/>
              <w:adjustRightInd w:val="0"/>
              <w:spacing w:afterLines="280" w:after="672" w:line="360" w:lineRule="auto"/>
              <w:jc w:val="center"/>
              <w:rPr>
                <w:b/>
                <w:color w:val="000000" w:themeColor="text1"/>
                <w:sz w:val="24"/>
                <w:szCs w:val="24"/>
              </w:rPr>
            </w:pPr>
            <w:r w:rsidRPr="00DD40AD">
              <w:rPr>
                <w:b/>
                <w:color w:val="000000" w:themeColor="text1"/>
                <w:sz w:val="24"/>
                <w:szCs w:val="24"/>
              </w:rPr>
              <w:t>company</w:t>
            </w:r>
          </w:p>
        </w:tc>
      </w:tr>
      <w:tr w:rsidR="0019038E" w:rsidRPr="002932E6" w14:paraId="7C5AB73A" w14:textId="77777777" w:rsidTr="00D82647">
        <w:tc>
          <w:tcPr>
            <w:tcW w:w="2862" w:type="dxa"/>
            <w:vAlign w:val="center"/>
          </w:tcPr>
          <w:p w14:paraId="2EF99656" w14:textId="77777777" w:rsidR="0019038E" w:rsidRPr="002932E6" w:rsidRDefault="0019038E" w:rsidP="00D82647">
            <w:pPr>
              <w:widowControl w:val="0"/>
              <w:autoSpaceDE w:val="0"/>
              <w:autoSpaceDN w:val="0"/>
              <w:adjustRightInd w:val="0"/>
              <w:spacing w:afterLines="280" w:after="672" w:line="360" w:lineRule="auto"/>
              <w:jc w:val="center"/>
              <w:rPr>
                <w:bCs/>
                <w:color w:val="000000" w:themeColor="text1"/>
                <w:sz w:val="24"/>
                <w:szCs w:val="24"/>
              </w:rPr>
            </w:pPr>
            <w:r w:rsidRPr="002932E6">
              <w:rPr>
                <w:bCs/>
                <w:i/>
                <w:iCs/>
                <w:color w:val="000000" w:themeColor="text1"/>
                <w:sz w:val="24"/>
                <w:szCs w:val="24"/>
              </w:rPr>
              <w:t>Funneliformis mosseae</w:t>
            </w:r>
          </w:p>
        </w:tc>
        <w:tc>
          <w:tcPr>
            <w:tcW w:w="2872" w:type="dxa"/>
            <w:vAlign w:val="center"/>
          </w:tcPr>
          <w:p w14:paraId="38092C19" w14:textId="77777777" w:rsidR="0019038E" w:rsidRPr="002932E6" w:rsidRDefault="0019038E" w:rsidP="00D82647">
            <w:pPr>
              <w:widowControl w:val="0"/>
              <w:autoSpaceDE w:val="0"/>
              <w:autoSpaceDN w:val="0"/>
              <w:adjustRightInd w:val="0"/>
              <w:spacing w:afterLines="280" w:after="672" w:line="360" w:lineRule="auto"/>
              <w:jc w:val="center"/>
              <w:rPr>
                <w:bCs/>
                <w:color w:val="000000" w:themeColor="text1"/>
                <w:sz w:val="24"/>
                <w:szCs w:val="24"/>
              </w:rPr>
            </w:pPr>
            <w:r w:rsidRPr="002932E6">
              <w:rPr>
                <w:bCs/>
                <w:i/>
                <w:iCs/>
                <w:color w:val="000000" w:themeColor="text1"/>
                <w:sz w:val="24"/>
                <w:szCs w:val="24"/>
              </w:rPr>
              <w:t>Glomus mosseae</w:t>
            </w:r>
          </w:p>
        </w:tc>
        <w:tc>
          <w:tcPr>
            <w:tcW w:w="2816" w:type="dxa"/>
            <w:vMerge w:val="restart"/>
            <w:vAlign w:val="center"/>
          </w:tcPr>
          <w:p w14:paraId="52ED802A" w14:textId="77777777" w:rsidR="0019038E" w:rsidRPr="002932E6" w:rsidRDefault="0019038E" w:rsidP="00D82647">
            <w:pPr>
              <w:widowControl w:val="0"/>
              <w:autoSpaceDE w:val="0"/>
              <w:autoSpaceDN w:val="0"/>
              <w:adjustRightInd w:val="0"/>
              <w:spacing w:afterLines="280" w:after="672" w:line="360" w:lineRule="auto"/>
              <w:jc w:val="center"/>
              <w:rPr>
                <w:bCs/>
                <w:color w:val="000000" w:themeColor="text1"/>
                <w:sz w:val="24"/>
                <w:szCs w:val="24"/>
              </w:rPr>
            </w:pPr>
            <w:r w:rsidRPr="002932E6">
              <w:rPr>
                <w:bCs/>
                <w:color w:val="000000" w:themeColor="text1"/>
                <w:sz w:val="24"/>
                <w:szCs w:val="24"/>
                <w:lang w:val="en-GB"/>
              </w:rPr>
              <w:t>ROOT GROW</w:t>
            </w:r>
            <w:r w:rsidRPr="002932E6">
              <w:rPr>
                <w:bCs/>
                <w:color w:val="000000" w:themeColor="text1"/>
                <w:sz w:val="24"/>
                <w:szCs w:val="24"/>
              </w:rPr>
              <w:t xml:space="preserve"> company, </w:t>
            </w:r>
            <w:r w:rsidRPr="002932E6">
              <w:rPr>
                <w:rStyle w:val="Strong"/>
                <w:rFonts w:eastAsia="Cambria"/>
                <w:color w:val="000000" w:themeColor="text1"/>
                <w:sz w:val="24"/>
                <w:szCs w:val="24"/>
                <w:bdr w:val="none" w:sz="0" w:space="0" w:color="auto" w:frame="1"/>
                <w:shd w:val="clear" w:color="auto" w:fill="FFFFFF"/>
              </w:rPr>
              <w:t>PlantWorks</w:t>
            </w:r>
            <w:r w:rsidRPr="002932E6">
              <w:rPr>
                <w:rStyle w:val="Strong"/>
                <w:rFonts w:eastAsia="Cambria"/>
                <w:color w:val="676767"/>
                <w:sz w:val="24"/>
                <w:szCs w:val="24"/>
                <w:bdr w:val="none" w:sz="0" w:space="0" w:color="auto" w:frame="1"/>
                <w:shd w:val="clear" w:color="auto" w:fill="FFFFFF"/>
              </w:rPr>
              <w:t>,</w:t>
            </w:r>
            <w:r w:rsidRPr="002932E6">
              <w:rPr>
                <w:bCs/>
                <w:color w:val="000000" w:themeColor="text1"/>
                <w:sz w:val="24"/>
                <w:szCs w:val="24"/>
              </w:rPr>
              <w:t xml:space="preserve"> Kent, United Kingdom</w:t>
            </w:r>
          </w:p>
        </w:tc>
      </w:tr>
      <w:tr w:rsidR="0019038E" w:rsidRPr="002932E6" w14:paraId="6A6DBE67" w14:textId="77777777" w:rsidTr="00D82647">
        <w:tc>
          <w:tcPr>
            <w:tcW w:w="2862" w:type="dxa"/>
            <w:vAlign w:val="center"/>
          </w:tcPr>
          <w:p w14:paraId="3F342275" w14:textId="77777777" w:rsidR="0019038E" w:rsidRPr="002932E6" w:rsidRDefault="0019038E" w:rsidP="00D82647">
            <w:pPr>
              <w:widowControl w:val="0"/>
              <w:autoSpaceDE w:val="0"/>
              <w:autoSpaceDN w:val="0"/>
              <w:adjustRightInd w:val="0"/>
              <w:spacing w:afterLines="280" w:after="672" w:line="360" w:lineRule="auto"/>
              <w:jc w:val="center"/>
              <w:rPr>
                <w:bCs/>
                <w:i/>
                <w:iCs/>
                <w:color w:val="000000" w:themeColor="text1"/>
                <w:sz w:val="24"/>
                <w:szCs w:val="24"/>
              </w:rPr>
            </w:pPr>
            <w:r w:rsidRPr="002932E6">
              <w:rPr>
                <w:bCs/>
                <w:i/>
                <w:iCs/>
                <w:color w:val="000000" w:themeColor="text1"/>
                <w:sz w:val="24"/>
                <w:szCs w:val="24"/>
              </w:rPr>
              <w:t>Funneliformis geosporus</w:t>
            </w:r>
          </w:p>
        </w:tc>
        <w:tc>
          <w:tcPr>
            <w:tcW w:w="2872" w:type="dxa"/>
            <w:vAlign w:val="center"/>
          </w:tcPr>
          <w:p w14:paraId="4E1ABC0B" w14:textId="77777777" w:rsidR="0019038E" w:rsidRPr="002932E6" w:rsidRDefault="0019038E" w:rsidP="00D82647">
            <w:pPr>
              <w:widowControl w:val="0"/>
              <w:autoSpaceDE w:val="0"/>
              <w:autoSpaceDN w:val="0"/>
              <w:adjustRightInd w:val="0"/>
              <w:spacing w:afterLines="280" w:after="672" w:line="360" w:lineRule="auto"/>
              <w:jc w:val="center"/>
              <w:rPr>
                <w:bCs/>
                <w:color w:val="000000" w:themeColor="text1"/>
                <w:sz w:val="24"/>
                <w:szCs w:val="24"/>
              </w:rPr>
            </w:pPr>
            <w:r w:rsidRPr="002932E6">
              <w:rPr>
                <w:bCs/>
                <w:i/>
                <w:iCs/>
                <w:color w:val="000000" w:themeColor="text1"/>
                <w:sz w:val="24"/>
                <w:szCs w:val="24"/>
              </w:rPr>
              <w:t>Glomus geosprum</w:t>
            </w:r>
          </w:p>
        </w:tc>
        <w:tc>
          <w:tcPr>
            <w:tcW w:w="2816" w:type="dxa"/>
            <w:vMerge/>
            <w:vAlign w:val="center"/>
          </w:tcPr>
          <w:p w14:paraId="72ACCE28" w14:textId="77777777" w:rsidR="0019038E" w:rsidRPr="002932E6" w:rsidRDefault="0019038E" w:rsidP="00D82647">
            <w:pPr>
              <w:widowControl w:val="0"/>
              <w:autoSpaceDE w:val="0"/>
              <w:autoSpaceDN w:val="0"/>
              <w:adjustRightInd w:val="0"/>
              <w:spacing w:afterLines="280" w:after="672" w:line="360" w:lineRule="auto"/>
              <w:jc w:val="center"/>
              <w:rPr>
                <w:bCs/>
                <w:color w:val="000000" w:themeColor="text1"/>
                <w:sz w:val="24"/>
                <w:szCs w:val="24"/>
              </w:rPr>
            </w:pPr>
          </w:p>
        </w:tc>
      </w:tr>
      <w:tr w:rsidR="0019038E" w:rsidRPr="002932E6" w14:paraId="16283C6E" w14:textId="77777777" w:rsidTr="00D82647">
        <w:tc>
          <w:tcPr>
            <w:tcW w:w="2862" w:type="dxa"/>
            <w:vAlign w:val="center"/>
          </w:tcPr>
          <w:p w14:paraId="0F2E6896" w14:textId="77777777" w:rsidR="0019038E" w:rsidRPr="002932E6" w:rsidRDefault="0019038E" w:rsidP="00D82647">
            <w:pPr>
              <w:widowControl w:val="0"/>
              <w:autoSpaceDE w:val="0"/>
              <w:autoSpaceDN w:val="0"/>
              <w:adjustRightInd w:val="0"/>
              <w:spacing w:afterLines="280" w:after="672" w:line="360" w:lineRule="auto"/>
              <w:jc w:val="center"/>
              <w:rPr>
                <w:bCs/>
                <w:i/>
                <w:iCs/>
                <w:color w:val="000000" w:themeColor="text1"/>
                <w:sz w:val="24"/>
                <w:szCs w:val="24"/>
              </w:rPr>
            </w:pPr>
            <w:r w:rsidRPr="002932E6">
              <w:rPr>
                <w:bCs/>
                <w:i/>
                <w:iCs/>
                <w:color w:val="000000" w:themeColor="text1"/>
                <w:sz w:val="24"/>
                <w:szCs w:val="24"/>
              </w:rPr>
              <w:t>Claroideoglomus clarodeum</w:t>
            </w:r>
          </w:p>
        </w:tc>
        <w:tc>
          <w:tcPr>
            <w:tcW w:w="2872" w:type="dxa"/>
            <w:vAlign w:val="center"/>
          </w:tcPr>
          <w:p w14:paraId="026EFCF1" w14:textId="272B6C57" w:rsidR="0019038E" w:rsidRPr="002932E6" w:rsidRDefault="0019038E" w:rsidP="00D82647">
            <w:pPr>
              <w:widowControl w:val="0"/>
              <w:autoSpaceDE w:val="0"/>
              <w:autoSpaceDN w:val="0"/>
              <w:adjustRightInd w:val="0"/>
              <w:spacing w:afterLines="280" w:after="672" w:line="360" w:lineRule="auto"/>
              <w:jc w:val="center"/>
              <w:rPr>
                <w:bCs/>
                <w:color w:val="000000" w:themeColor="text1"/>
                <w:sz w:val="24"/>
                <w:szCs w:val="24"/>
              </w:rPr>
            </w:pPr>
            <w:r w:rsidRPr="002932E6">
              <w:rPr>
                <w:bCs/>
                <w:i/>
                <w:iCs/>
                <w:color w:val="000000" w:themeColor="text1"/>
                <w:sz w:val="24"/>
                <w:szCs w:val="24"/>
              </w:rPr>
              <w:t>Glomus claroideum</w:t>
            </w:r>
          </w:p>
        </w:tc>
        <w:tc>
          <w:tcPr>
            <w:tcW w:w="2816" w:type="dxa"/>
            <w:vMerge/>
            <w:vAlign w:val="center"/>
          </w:tcPr>
          <w:p w14:paraId="76EA50BC" w14:textId="77777777" w:rsidR="0019038E" w:rsidRPr="002932E6" w:rsidRDefault="0019038E" w:rsidP="00D82647">
            <w:pPr>
              <w:widowControl w:val="0"/>
              <w:autoSpaceDE w:val="0"/>
              <w:autoSpaceDN w:val="0"/>
              <w:adjustRightInd w:val="0"/>
              <w:spacing w:afterLines="280" w:after="672" w:line="360" w:lineRule="auto"/>
              <w:jc w:val="center"/>
              <w:rPr>
                <w:bCs/>
                <w:color w:val="000000" w:themeColor="text1"/>
                <w:sz w:val="24"/>
                <w:szCs w:val="24"/>
              </w:rPr>
            </w:pPr>
          </w:p>
        </w:tc>
      </w:tr>
      <w:tr w:rsidR="0019038E" w:rsidRPr="002932E6" w14:paraId="28B4DA48" w14:textId="77777777" w:rsidTr="00D82647">
        <w:tc>
          <w:tcPr>
            <w:tcW w:w="2862" w:type="dxa"/>
            <w:vAlign w:val="center"/>
          </w:tcPr>
          <w:p w14:paraId="20A30362" w14:textId="77777777" w:rsidR="0019038E" w:rsidRPr="002932E6" w:rsidRDefault="0019038E" w:rsidP="00D82647">
            <w:pPr>
              <w:widowControl w:val="0"/>
              <w:autoSpaceDE w:val="0"/>
              <w:autoSpaceDN w:val="0"/>
              <w:adjustRightInd w:val="0"/>
              <w:spacing w:afterLines="280" w:after="672" w:line="360" w:lineRule="auto"/>
              <w:jc w:val="center"/>
              <w:rPr>
                <w:bCs/>
                <w:i/>
                <w:iCs/>
                <w:color w:val="000000" w:themeColor="text1"/>
                <w:sz w:val="24"/>
                <w:szCs w:val="24"/>
              </w:rPr>
            </w:pPr>
            <w:r w:rsidRPr="002932E6">
              <w:rPr>
                <w:bCs/>
                <w:i/>
                <w:iCs/>
                <w:color w:val="000000" w:themeColor="text1"/>
                <w:sz w:val="24"/>
                <w:szCs w:val="24"/>
              </w:rPr>
              <w:t>Rhizophagus intraradices</w:t>
            </w:r>
          </w:p>
        </w:tc>
        <w:tc>
          <w:tcPr>
            <w:tcW w:w="2872" w:type="dxa"/>
            <w:vAlign w:val="center"/>
          </w:tcPr>
          <w:p w14:paraId="28C57BA7" w14:textId="57F60FFF" w:rsidR="0019038E" w:rsidRPr="002932E6" w:rsidRDefault="0019038E" w:rsidP="00D82647">
            <w:pPr>
              <w:widowControl w:val="0"/>
              <w:autoSpaceDE w:val="0"/>
              <w:autoSpaceDN w:val="0"/>
              <w:adjustRightInd w:val="0"/>
              <w:spacing w:afterLines="280" w:after="672" w:line="360" w:lineRule="auto"/>
              <w:jc w:val="center"/>
              <w:rPr>
                <w:bCs/>
                <w:i/>
                <w:iCs/>
                <w:color w:val="000000" w:themeColor="text1"/>
                <w:sz w:val="24"/>
                <w:szCs w:val="24"/>
              </w:rPr>
            </w:pPr>
            <w:r w:rsidRPr="002932E6">
              <w:rPr>
                <w:bCs/>
                <w:i/>
                <w:iCs/>
                <w:color w:val="000000" w:themeColor="text1"/>
                <w:sz w:val="24"/>
                <w:szCs w:val="24"/>
              </w:rPr>
              <w:t>Glamous intraradices</w:t>
            </w:r>
          </w:p>
        </w:tc>
        <w:tc>
          <w:tcPr>
            <w:tcW w:w="2816" w:type="dxa"/>
            <w:vMerge/>
            <w:vAlign w:val="center"/>
          </w:tcPr>
          <w:p w14:paraId="3B258039" w14:textId="77777777" w:rsidR="0019038E" w:rsidRPr="002932E6" w:rsidRDefault="0019038E" w:rsidP="00D82647">
            <w:pPr>
              <w:widowControl w:val="0"/>
              <w:autoSpaceDE w:val="0"/>
              <w:autoSpaceDN w:val="0"/>
              <w:adjustRightInd w:val="0"/>
              <w:spacing w:afterLines="280" w:after="672" w:line="360" w:lineRule="auto"/>
              <w:jc w:val="center"/>
              <w:rPr>
                <w:bCs/>
                <w:color w:val="000000" w:themeColor="text1"/>
                <w:sz w:val="24"/>
                <w:szCs w:val="24"/>
              </w:rPr>
            </w:pPr>
          </w:p>
        </w:tc>
      </w:tr>
      <w:tr w:rsidR="0019038E" w:rsidRPr="002932E6" w14:paraId="0F63F772" w14:textId="77777777" w:rsidTr="00D82647">
        <w:tc>
          <w:tcPr>
            <w:tcW w:w="2862" w:type="dxa"/>
            <w:vAlign w:val="center"/>
          </w:tcPr>
          <w:p w14:paraId="3D26D240" w14:textId="77777777" w:rsidR="0019038E" w:rsidRPr="002932E6" w:rsidRDefault="0019038E" w:rsidP="00D82647">
            <w:pPr>
              <w:widowControl w:val="0"/>
              <w:autoSpaceDE w:val="0"/>
              <w:autoSpaceDN w:val="0"/>
              <w:adjustRightInd w:val="0"/>
              <w:spacing w:afterLines="280" w:after="672" w:line="360" w:lineRule="auto"/>
              <w:jc w:val="center"/>
              <w:rPr>
                <w:bCs/>
                <w:i/>
                <w:iCs/>
                <w:color w:val="000000" w:themeColor="text1"/>
                <w:sz w:val="24"/>
                <w:szCs w:val="24"/>
              </w:rPr>
            </w:pPr>
            <w:r w:rsidRPr="002932E6">
              <w:rPr>
                <w:bCs/>
                <w:i/>
                <w:iCs/>
                <w:color w:val="000000" w:themeColor="text1"/>
                <w:sz w:val="24"/>
                <w:szCs w:val="24"/>
              </w:rPr>
              <w:t>Rhizophagus intraradices</w:t>
            </w:r>
          </w:p>
        </w:tc>
        <w:tc>
          <w:tcPr>
            <w:tcW w:w="2872" w:type="dxa"/>
            <w:vAlign w:val="center"/>
          </w:tcPr>
          <w:p w14:paraId="155CAFC7" w14:textId="77777777" w:rsidR="0019038E" w:rsidRPr="002932E6" w:rsidRDefault="0019038E" w:rsidP="00D82647">
            <w:pPr>
              <w:widowControl w:val="0"/>
              <w:autoSpaceDE w:val="0"/>
              <w:autoSpaceDN w:val="0"/>
              <w:adjustRightInd w:val="0"/>
              <w:spacing w:afterLines="280" w:after="672" w:line="360" w:lineRule="auto"/>
              <w:jc w:val="center"/>
              <w:rPr>
                <w:bCs/>
                <w:color w:val="000000" w:themeColor="text1"/>
                <w:sz w:val="24"/>
                <w:szCs w:val="24"/>
              </w:rPr>
            </w:pPr>
            <w:r w:rsidRPr="002932E6">
              <w:rPr>
                <w:bCs/>
                <w:i/>
                <w:iCs/>
                <w:color w:val="000000" w:themeColor="text1"/>
                <w:sz w:val="24"/>
                <w:szCs w:val="24"/>
              </w:rPr>
              <w:t>Glomus micoraggregarum</w:t>
            </w:r>
          </w:p>
        </w:tc>
        <w:tc>
          <w:tcPr>
            <w:tcW w:w="2816" w:type="dxa"/>
            <w:vMerge/>
            <w:vAlign w:val="center"/>
          </w:tcPr>
          <w:p w14:paraId="1FD0268F" w14:textId="77777777" w:rsidR="0019038E" w:rsidRPr="002932E6" w:rsidRDefault="0019038E" w:rsidP="00D82647">
            <w:pPr>
              <w:widowControl w:val="0"/>
              <w:autoSpaceDE w:val="0"/>
              <w:autoSpaceDN w:val="0"/>
              <w:adjustRightInd w:val="0"/>
              <w:spacing w:afterLines="280" w:after="672" w:line="360" w:lineRule="auto"/>
              <w:jc w:val="center"/>
              <w:rPr>
                <w:bCs/>
                <w:color w:val="000000" w:themeColor="text1"/>
                <w:sz w:val="24"/>
                <w:szCs w:val="24"/>
              </w:rPr>
            </w:pPr>
          </w:p>
        </w:tc>
      </w:tr>
      <w:tr w:rsidR="0019038E" w:rsidRPr="002932E6" w14:paraId="0799A62C" w14:textId="77777777" w:rsidTr="00D82647">
        <w:tc>
          <w:tcPr>
            <w:tcW w:w="2862" w:type="dxa"/>
            <w:vAlign w:val="center"/>
          </w:tcPr>
          <w:p w14:paraId="09188C6F" w14:textId="77777777" w:rsidR="0019038E" w:rsidRPr="002932E6" w:rsidRDefault="0019038E" w:rsidP="00D82647">
            <w:pPr>
              <w:widowControl w:val="0"/>
              <w:autoSpaceDE w:val="0"/>
              <w:autoSpaceDN w:val="0"/>
              <w:adjustRightInd w:val="0"/>
              <w:spacing w:afterLines="280" w:after="672" w:line="360" w:lineRule="auto"/>
              <w:jc w:val="center"/>
              <w:rPr>
                <w:bCs/>
                <w:color w:val="000000" w:themeColor="text1"/>
                <w:sz w:val="24"/>
                <w:szCs w:val="24"/>
              </w:rPr>
            </w:pPr>
            <w:r w:rsidRPr="002932E6">
              <w:rPr>
                <w:bCs/>
                <w:color w:val="000000" w:themeColor="text1"/>
                <w:sz w:val="24"/>
                <w:szCs w:val="24"/>
              </w:rPr>
              <w:t>Ectomycorrhizal</w:t>
            </w:r>
          </w:p>
        </w:tc>
        <w:tc>
          <w:tcPr>
            <w:tcW w:w="2872" w:type="dxa"/>
            <w:vAlign w:val="center"/>
          </w:tcPr>
          <w:p w14:paraId="0DD044C3" w14:textId="77777777" w:rsidR="0019038E" w:rsidRPr="002932E6" w:rsidRDefault="0019038E" w:rsidP="00D82647">
            <w:pPr>
              <w:widowControl w:val="0"/>
              <w:autoSpaceDE w:val="0"/>
              <w:autoSpaceDN w:val="0"/>
              <w:adjustRightInd w:val="0"/>
              <w:spacing w:afterLines="280" w:after="672" w:line="360" w:lineRule="auto"/>
              <w:jc w:val="center"/>
              <w:rPr>
                <w:bCs/>
                <w:color w:val="000000" w:themeColor="text1"/>
                <w:sz w:val="24"/>
                <w:szCs w:val="24"/>
              </w:rPr>
            </w:pPr>
            <w:r w:rsidRPr="002932E6">
              <w:rPr>
                <w:bCs/>
                <w:i/>
                <w:iCs/>
                <w:color w:val="000000" w:themeColor="text1"/>
                <w:sz w:val="24"/>
                <w:szCs w:val="24"/>
              </w:rPr>
              <w:t>Scleroderma citrium</w:t>
            </w:r>
          </w:p>
        </w:tc>
        <w:tc>
          <w:tcPr>
            <w:tcW w:w="2816" w:type="dxa"/>
            <w:vMerge/>
            <w:vAlign w:val="center"/>
          </w:tcPr>
          <w:p w14:paraId="09EA966E" w14:textId="77777777" w:rsidR="0019038E" w:rsidRPr="002932E6" w:rsidRDefault="0019038E" w:rsidP="00D82647">
            <w:pPr>
              <w:widowControl w:val="0"/>
              <w:autoSpaceDE w:val="0"/>
              <w:autoSpaceDN w:val="0"/>
              <w:adjustRightInd w:val="0"/>
              <w:spacing w:afterLines="280" w:after="672" w:line="360" w:lineRule="auto"/>
              <w:jc w:val="center"/>
              <w:rPr>
                <w:bCs/>
                <w:color w:val="000000" w:themeColor="text1"/>
                <w:sz w:val="24"/>
                <w:szCs w:val="24"/>
              </w:rPr>
            </w:pPr>
          </w:p>
        </w:tc>
      </w:tr>
    </w:tbl>
    <w:p w14:paraId="2C889FE8" w14:textId="77777777" w:rsidR="0019038E" w:rsidRDefault="0019038E" w:rsidP="0019038E">
      <w:pPr>
        <w:pStyle w:val="Heading3"/>
      </w:pPr>
    </w:p>
    <w:p w14:paraId="106B4A6C" w14:textId="77777777" w:rsidR="0019038E" w:rsidRDefault="0019038E" w:rsidP="0019038E">
      <w:pPr>
        <w:pStyle w:val="Heading3"/>
      </w:pPr>
    </w:p>
    <w:p w14:paraId="7F12BB1E" w14:textId="77777777" w:rsidR="0019038E" w:rsidRPr="00B3731E" w:rsidRDefault="0019038E" w:rsidP="0019038E"/>
    <w:p w14:paraId="0CA15C59" w14:textId="77777777" w:rsidR="0019038E" w:rsidRDefault="0019038E" w:rsidP="0019038E">
      <w:pPr>
        <w:pStyle w:val="Heading3"/>
      </w:pPr>
    </w:p>
    <w:p w14:paraId="25606BEB" w14:textId="77777777" w:rsidR="0019038E" w:rsidRDefault="0019038E" w:rsidP="0019038E">
      <w:pPr>
        <w:pStyle w:val="Heading3"/>
      </w:pPr>
      <w:bookmarkStart w:id="33" w:name="_Toc83751419"/>
      <w:r w:rsidRPr="002932E6">
        <w:t>2.2.3 Experimental Design</w:t>
      </w:r>
      <w:bookmarkEnd w:id="33"/>
    </w:p>
    <w:p w14:paraId="7F18E8F0" w14:textId="77777777" w:rsidR="0019038E" w:rsidRPr="004264DF" w:rsidRDefault="0019038E" w:rsidP="0019038E"/>
    <w:p w14:paraId="11EE98EF" w14:textId="1471289E" w:rsidR="0019038E" w:rsidRPr="002932E6" w:rsidRDefault="0019038E" w:rsidP="007C1A71">
      <w:pPr>
        <w:pStyle w:val="mythesis"/>
      </w:pPr>
      <w:r w:rsidRPr="002932E6">
        <w:t xml:space="preserve">      We used </w:t>
      </w:r>
      <w:r w:rsidRPr="00C72FC0">
        <w:t xml:space="preserve">180 </w:t>
      </w:r>
      <w:r w:rsidRPr="002932E6">
        <w:t>pots with 12.5 cm diameter and 10.5 cm in depth were used</w:t>
      </w:r>
      <w:r w:rsidR="00BA2570">
        <w:t xml:space="preserve">.The soil </w:t>
      </w:r>
      <w:r w:rsidRPr="002932E6">
        <w:t xml:space="preserve"> was sterilized at </w:t>
      </w:r>
      <w:r w:rsidRPr="005149C5">
        <w:t>121</w:t>
      </w:r>
      <w:r w:rsidR="00C72FC0" w:rsidRPr="005149C5">
        <w:t xml:space="preserve"> °C</w:t>
      </w:r>
      <w:r w:rsidRPr="005149C5">
        <w:t xml:space="preserve"> for two hours, each pot was filled with 800 ml autoclaved sand soil which collected from King Fahad research center </w:t>
      </w:r>
      <w:r w:rsidR="00BA2570" w:rsidRPr="005149C5">
        <w:t xml:space="preserve">land </w:t>
      </w:r>
      <w:r w:rsidRPr="005149C5">
        <w:t xml:space="preserve">in Jeddah, </w:t>
      </w:r>
      <w:r w:rsidR="00AD1351" w:rsidRPr="005149C5">
        <w:t xml:space="preserve">Saudi Arabia, </w:t>
      </w:r>
      <w:r w:rsidRPr="005149C5">
        <w:t xml:space="preserve">then a hole was made in the middle of the soil to put about 75 ml </w:t>
      </w:r>
      <w:r w:rsidR="00A0675F" w:rsidRPr="005149C5">
        <w:t>of</w:t>
      </w:r>
      <w:r w:rsidRPr="005149C5">
        <w:t xml:space="preserve"> the mycorrhizal inoculum for the treated pots, and non-mycorrhizal inoculum </w:t>
      </w:r>
      <w:r w:rsidR="00405C16" w:rsidRPr="005149C5">
        <w:t xml:space="preserve">was used </w:t>
      </w:r>
      <w:r w:rsidRPr="005149C5">
        <w:t xml:space="preserve">for the control pots. </w:t>
      </w:r>
      <w:r w:rsidR="00405C16" w:rsidRPr="005149C5">
        <w:t>three</w:t>
      </w:r>
      <w:r w:rsidRPr="005149C5">
        <w:t xml:space="preserve"> seeds of maize were sown in each pot, then the seedlings were thinned to one seedling per pot after one week of germination</w:t>
      </w:r>
      <w:r w:rsidR="00AE70DC" w:rsidRPr="005149C5">
        <w:t>.</w:t>
      </w:r>
      <w:r w:rsidRPr="005149C5">
        <w:t xml:space="preserve">   Each cultivar had 10 replicates, </w:t>
      </w:r>
      <w:r w:rsidR="004E40F8" w:rsidRPr="005149C5">
        <w:t>five</w:t>
      </w:r>
      <w:r w:rsidRPr="005149C5">
        <w:t xml:space="preserve"> replicates for treatment (inoculated with mycorrhizal) and </w:t>
      </w:r>
      <w:r w:rsidR="004E40F8" w:rsidRPr="005149C5">
        <w:t>five</w:t>
      </w:r>
      <w:r w:rsidRPr="005149C5">
        <w:t xml:space="preserve"> replicates for control </w:t>
      </w:r>
      <w:r w:rsidRPr="002932E6">
        <w:t>(non-inoculated with mycorrhizal)</w:t>
      </w:r>
      <w:r w:rsidR="004E40F8">
        <w:t>.</w:t>
      </w:r>
      <w:r w:rsidR="00A85420">
        <w:t xml:space="preserve">The </w:t>
      </w:r>
      <w:r w:rsidRPr="002932E6">
        <w:t xml:space="preserve">plant growth </w:t>
      </w:r>
      <w:r w:rsidRPr="00A85420">
        <w:t>parameters</w:t>
      </w:r>
      <w:r w:rsidR="00A85420" w:rsidRPr="00A85420">
        <w:t xml:space="preserve"> were tested</w:t>
      </w:r>
      <w:r w:rsidRPr="00A85420">
        <w:t xml:space="preserve"> </w:t>
      </w:r>
      <w:r w:rsidR="00A85420">
        <w:t>(</w:t>
      </w:r>
      <w:r w:rsidRPr="002932E6">
        <w:t>dry root and shoot biomass, plant height and root colonization</w:t>
      </w:r>
      <w:r w:rsidR="00A85420">
        <w:t>)</w:t>
      </w:r>
      <w:r w:rsidRPr="002932E6">
        <w:t xml:space="preserve"> 90 days after the planting. </w:t>
      </w:r>
    </w:p>
    <w:p w14:paraId="096DD3C2" w14:textId="77777777" w:rsidR="0019038E" w:rsidRDefault="0019038E" w:rsidP="0019038E">
      <w:pPr>
        <w:pStyle w:val="Heading3"/>
      </w:pPr>
      <w:bookmarkStart w:id="34" w:name="_Toc83751420"/>
      <w:r w:rsidRPr="002932E6">
        <w:t>2.2.4 Planting and growth conditions</w:t>
      </w:r>
      <w:bookmarkEnd w:id="34"/>
    </w:p>
    <w:p w14:paraId="55615F2A" w14:textId="77777777" w:rsidR="0019038E" w:rsidRPr="00EB599C" w:rsidRDefault="0019038E" w:rsidP="0019038E"/>
    <w:p w14:paraId="138CB61D" w14:textId="7D31F445" w:rsidR="0019038E" w:rsidRPr="002932E6" w:rsidRDefault="0019038E" w:rsidP="00FC0233">
      <w:pPr>
        <w:pStyle w:val="mythesis"/>
      </w:pPr>
      <w:r w:rsidRPr="002932E6">
        <w:t xml:space="preserve">      The plants were watered with tap water for the first 2 weeks, then start watered with 100 ml of 40% full strength Long Ashton nutrient solution per pot three times a week and some tap water to keep plant moisture </w:t>
      </w:r>
      <w:r w:rsidRPr="005149C5">
        <w:t>content</w:t>
      </w:r>
      <w:r w:rsidR="000621A2" w:rsidRPr="005149C5">
        <w:t xml:space="preserve">  (hewitt 1966).</w:t>
      </w:r>
      <w:r w:rsidR="00C12EFC" w:rsidRPr="005149C5">
        <w:t xml:space="preserve"> </w:t>
      </w:r>
      <w:r w:rsidR="00C12EFC">
        <w:t xml:space="preserve">The </w:t>
      </w:r>
      <w:r w:rsidRPr="002932E6">
        <w:t xml:space="preserve"> </w:t>
      </w:r>
      <w:r w:rsidR="00C12EFC">
        <w:t>pots</w:t>
      </w:r>
      <w:r w:rsidRPr="002932E6">
        <w:t xml:space="preserve"> were arranged in green house in completely randomized design. </w:t>
      </w:r>
      <w:r w:rsidR="00C12EFC">
        <w:t>The plants</w:t>
      </w:r>
      <w:r w:rsidRPr="002932E6">
        <w:t xml:space="preserve"> were </w:t>
      </w:r>
      <w:r w:rsidR="00C12EFC">
        <w:t>grown</w:t>
      </w:r>
      <w:r w:rsidRPr="002932E6">
        <w:t xml:space="preserve"> under greenhouse conditions </w:t>
      </w:r>
      <w:r w:rsidR="00C12EFC">
        <w:t>at</w:t>
      </w:r>
      <w:r w:rsidRPr="002932E6">
        <w:t xml:space="preserve"> 18</w:t>
      </w:r>
      <w:r w:rsidR="00C12EFC">
        <w:t>-</w:t>
      </w:r>
      <w:r w:rsidRPr="002932E6">
        <w:t>25°C and 60% humidity.</w:t>
      </w:r>
    </w:p>
    <w:p w14:paraId="18332093" w14:textId="77777777" w:rsidR="0019038E" w:rsidRDefault="0019038E" w:rsidP="0019038E">
      <w:pPr>
        <w:pStyle w:val="Caption"/>
        <w:keepNext/>
        <w:rPr>
          <w:sz w:val="20"/>
          <w:szCs w:val="20"/>
        </w:rPr>
      </w:pPr>
    </w:p>
    <w:p w14:paraId="7C75570E" w14:textId="41E194F7" w:rsidR="0019038E" w:rsidRDefault="0019038E" w:rsidP="0019038E"/>
    <w:p w14:paraId="061CA791" w14:textId="1455255E" w:rsidR="00405C16" w:rsidRDefault="00405C16" w:rsidP="0019038E"/>
    <w:p w14:paraId="218749C3" w14:textId="77777777" w:rsidR="00405C16" w:rsidRDefault="00405C16" w:rsidP="0019038E"/>
    <w:p w14:paraId="76F031F3" w14:textId="77B93C46" w:rsidR="00FD4F70" w:rsidRDefault="00FD4F70" w:rsidP="0019038E"/>
    <w:p w14:paraId="43FFDFBF" w14:textId="4A377269" w:rsidR="00E13785" w:rsidRDefault="00E13785" w:rsidP="0019038E"/>
    <w:p w14:paraId="4C2CFFAF" w14:textId="77777777" w:rsidR="00E13785" w:rsidRDefault="00E13785" w:rsidP="0019038E"/>
    <w:p w14:paraId="1FE1BFBE" w14:textId="7DAA4493" w:rsidR="00FD4F70" w:rsidRDefault="00FD4F70" w:rsidP="0019038E"/>
    <w:p w14:paraId="0815B3D1" w14:textId="43A00881" w:rsidR="007C1A71" w:rsidRDefault="007C1A71" w:rsidP="0019038E"/>
    <w:p w14:paraId="1362A725" w14:textId="4AB3008C" w:rsidR="007C1A71" w:rsidRDefault="007C1A71" w:rsidP="0019038E"/>
    <w:p w14:paraId="5028C6FC" w14:textId="77777777" w:rsidR="007C1A71" w:rsidRDefault="007C1A71" w:rsidP="0019038E"/>
    <w:p w14:paraId="4CB04733" w14:textId="77777777" w:rsidR="00FD4F70" w:rsidRDefault="00FD4F70" w:rsidP="0019038E"/>
    <w:p w14:paraId="3C99A202" w14:textId="77777777" w:rsidR="0019038E" w:rsidRPr="00B3731E" w:rsidRDefault="0019038E" w:rsidP="0019038E"/>
    <w:p w14:paraId="6CE8EC2F" w14:textId="77777777" w:rsidR="0019038E" w:rsidRDefault="0019038E" w:rsidP="0019038E">
      <w:pPr>
        <w:pStyle w:val="Caption"/>
        <w:keepNext/>
        <w:rPr>
          <w:sz w:val="20"/>
          <w:szCs w:val="20"/>
        </w:rPr>
      </w:pPr>
    </w:p>
    <w:p w14:paraId="3EB9AF86" w14:textId="20241359" w:rsidR="0019038E" w:rsidRPr="00ED12B1" w:rsidRDefault="0019038E" w:rsidP="0019038E">
      <w:pPr>
        <w:pStyle w:val="Caption"/>
        <w:keepNext/>
        <w:rPr>
          <w:b w:val="0"/>
          <w:bCs w:val="0"/>
          <w:sz w:val="20"/>
          <w:szCs w:val="20"/>
        </w:rPr>
      </w:pPr>
      <w:bookmarkStart w:id="35" w:name="_Toc83750071"/>
      <w:r w:rsidRPr="00ED12B1">
        <w:rPr>
          <w:b w:val="0"/>
          <w:bCs w:val="0"/>
          <w:sz w:val="20"/>
          <w:szCs w:val="20"/>
        </w:rPr>
        <w:t xml:space="preserve">Table </w:t>
      </w:r>
      <w:r w:rsidRPr="00ED12B1">
        <w:rPr>
          <w:b w:val="0"/>
          <w:bCs w:val="0"/>
          <w:sz w:val="20"/>
          <w:szCs w:val="20"/>
        </w:rPr>
        <w:fldChar w:fldCharType="begin"/>
      </w:r>
      <w:r w:rsidRPr="00ED12B1">
        <w:rPr>
          <w:b w:val="0"/>
          <w:bCs w:val="0"/>
          <w:sz w:val="20"/>
          <w:szCs w:val="20"/>
        </w:rPr>
        <w:instrText xml:space="preserve"> STYLEREF 1 \s </w:instrText>
      </w:r>
      <w:r w:rsidRPr="00ED12B1">
        <w:rPr>
          <w:b w:val="0"/>
          <w:bCs w:val="0"/>
          <w:sz w:val="20"/>
          <w:szCs w:val="20"/>
        </w:rPr>
        <w:fldChar w:fldCharType="separate"/>
      </w:r>
      <w:r w:rsidRPr="00ED12B1">
        <w:rPr>
          <w:b w:val="0"/>
          <w:bCs w:val="0"/>
          <w:noProof/>
          <w:sz w:val="20"/>
          <w:szCs w:val="20"/>
          <w:cs/>
        </w:rPr>
        <w:t>‎</w:t>
      </w:r>
      <w:r w:rsidRPr="00ED12B1">
        <w:rPr>
          <w:b w:val="0"/>
          <w:bCs w:val="0"/>
          <w:noProof/>
          <w:sz w:val="20"/>
          <w:szCs w:val="20"/>
        </w:rPr>
        <w:t>2</w:t>
      </w:r>
      <w:r w:rsidRPr="00ED12B1">
        <w:rPr>
          <w:b w:val="0"/>
          <w:bCs w:val="0"/>
          <w:sz w:val="20"/>
          <w:szCs w:val="20"/>
        </w:rPr>
        <w:fldChar w:fldCharType="end"/>
      </w:r>
      <w:r w:rsidRPr="00ED12B1">
        <w:rPr>
          <w:b w:val="0"/>
          <w:bCs w:val="0"/>
          <w:sz w:val="20"/>
          <w:szCs w:val="20"/>
        </w:rPr>
        <w:t>.</w:t>
      </w:r>
      <w:r w:rsidRPr="00ED12B1">
        <w:rPr>
          <w:b w:val="0"/>
          <w:bCs w:val="0"/>
          <w:sz w:val="20"/>
          <w:szCs w:val="20"/>
        </w:rPr>
        <w:fldChar w:fldCharType="begin"/>
      </w:r>
      <w:r w:rsidRPr="00ED12B1">
        <w:rPr>
          <w:b w:val="0"/>
          <w:bCs w:val="0"/>
          <w:sz w:val="20"/>
          <w:szCs w:val="20"/>
        </w:rPr>
        <w:instrText xml:space="preserve"> SEQ Table \* ARABIC \s 1 </w:instrText>
      </w:r>
      <w:r w:rsidRPr="00ED12B1">
        <w:rPr>
          <w:b w:val="0"/>
          <w:bCs w:val="0"/>
          <w:sz w:val="20"/>
          <w:szCs w:val="20"/>
        </w:rPr>
        <w:fldChar w:fldCharType="separate"/>
      </w:r>
      <w:r w:rsidRPr="00ED12B1">
        <w:rPr>
          <w:b w:val="0"/>
          <w:bCs w:val="0"/>
          <w:noProof/>
          <w:sz w:val="20"/>
          <w:szCs w:val="20"/>
        </w:rPr>
        <w:t>3</w:t>
      </w:r>
      <w:r w:rsidRPr="00ED12B1">
        <w:rPr>
          <w:b w:val="0"/>
          <w:bCs w:val="0"/>
          <w:sz w:val="20"/>
          <w:szCs w:val="20"/>
        </w:rPr>
        <w:fldChar w:fldCharType="end"/>
      </w:r>
      <w:r w:rsidRPr="00ED12B1">
        <w:rPr>
          <w:b w:val="0"/>
          <w:bCs w:val="0"/>
          <w:sz w:val="20"/>
          <w:szCs w:val="20"/>
        </w:rPr>
        <w:t xml:space="preserve"> </w:t>
      </w:r>
      <w:r w:rsidRPr="00ED12B1">
        <w:rPr>
          <w:b w:val="0"/>
          <w:bCs w:val="0"/>
          <w:color w:val="000000" w:themeColor="text1"/>
          <w:sz w:val="20"/>
          <w:szCs w:val="20"/>
        </w:rPr>
        <w:t xml:space="preserve">Preparation of 40% full strength Long Ashton nutrient solution </w:t>
      </w:r>
      <w:bookmarkEnd w:id="35"/>
    </w:p>
    <w:tbl>
      <w:tblPr>
        <w:tblStyle w:val="TableGrid"/>
        <w:tblW w:w="9493" w:type="dxa"/>
        <w:tblLook w:val="04A0" w:firstRow="1" w:lastRow="0" w:firstColumn="1" w:lastColumn="0" w:noHBand="0" w:noVBand="1"/>
      </w:tblPr>
      <w:tblGrid>
        <w:gridCol w:w="2234"/>
        <w:gridCol w:w="1423"/>
        <w:gridCol w:w="1288"/>
        <w:gridCol w:w="1493"/>
        <w:gridCol w:w="3055"/>
      </w:tblGrid>
      <w:tr w:rsidR="00E17B3C" w14:paraId="672E7DA7" w14:textId="77777777" w:rsidTr="00E17B3C">
        <w:tc>
          <w:tcPr>
            <w:tcW w:w="2234" w:type="dxa"/>
          </w:tcPr>
          <w:p w14:paraId="748F899C" w14:textId="77777777" w:rsidR="00E17B3C" w:rsidRPr="00D920FB"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sz w:val="24"/>
                <w:szCs w:val="24"/>
              </w:rPr>
            </w:pPr>
            <w:r w:rsidRPr="00D920FB">
              <w:rPr>
                <w:rFonts w:asciiTheme="majorBidi" w:hAnsiTheme="majorBidi" w:cstheme="majorBidi"/>
                <w:bCs/>
                <w:color w:val="000000" w:themeColor="text1"/>
                <w:sz w:val="24"/>
                <w:szCs w:val="24"/>
              </w:rPr>
              <w:t>compound</w:t>
            </w:r>
          </w:p>
        </w:tc>
        <w:tc>
          <w:tcPr>
            <w:tcW w:w="1423" w:type="dxa"/>
          </w:tcPr>
          <w:p w14:paraId="419F0F05" w14:textId="77777777" w:rsidR="00E17B3C" w:rsidRPr="00E07F2E"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Pr>
                <w:rFonts w:asciiTheme="majorBidi" w:hAnsiTheme="majorBidi" w:cstheme="majorBidi"/>
                <w:bCs/>
                <w:color w:val="000000" w:themeColor="text1"/>
              </w:rPr>
              <w:t>M.Wt</w:t>
            </w:r>
          </w:p>
        </w:tc>
        <w:tc>
          <w:tcPr>
            <w:tcW w:w="1288" w:type="dxa"/>
          </w:tcPr>
          <w:p w14:paraId="0E101BA5" w14:textId="77777777" w:rsidR="00E17B3C" w:rsidRPr="00E07F2E"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Pr>
                <w:rFonts w:asciiTheme="majorBidi" w:hAnsiTheme="majorBidi" w:cstheme="majorBidi"/>
                <w:bCs/>
                <w:color w:val="000000" w:themeColor="text1"/>
              </w:rPr>
              <w:t>(g) in 1L stock</w:t>
            </w:r>
          </w:p>
        </w:tc>
        <w:tc>
          <w:tcPr>
            <w:tcW w:w="1493" w:type="dxa"/>
          </w:tcPr>
          <w:p w14:paraId="1B0140D7" w14:textId="77777777" w:rsidR="00E17B3C" w:rsidRPr="00D920FB"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sidRPr="00D920FB">
              <w:rPr>
                <w:rFonts w:asciiTheme="majorBidi" w:hAnsiTheme="majorBidi" w:cstheme="majorBidi"/>
                <w:bCs/>
                <w:color w:val="000000" w:themeColor="text1"/>
                <w:sz w:val="24"/>
                <w:szCs w:val="24"/>
              </w:rPr>
              <w:t xml:space="preserve">ml/L for </w:t>
            </w:r>
            <w:r>
              <w:rPr>
                <w:rFonts w:asciiTheme="majorBidi" w:hAnsiTheme="majorBidi" w:cstheme="majorBidi"/>
                <w:bCs/>
                <w:color w:val="000000" w:themeColor="text1"/>
                <w:sz w:val="24"/>
                <w:szCs w:val="24"/>
              </w:rPr>
              <w:t>100</w:t>
            </w:r>
            <w:r w:rsidRPr="00D920FB">
              <w:rPr>
                <w:rFonts w:asciiTheme="majorBidi" w:hAnsiTheme="majorBidi" w:cstheme="majorBidi"/>
                <w:bCs/>
                <w:color w:val="000000" w:themeColor="text1"/>
                <w:sz w:val="24"/>
                <w:szCs w:val="24"/>
              </w:rPr>
              <w:t>%</w:t>
            </w:r>
          </w:p>
        </w:tc>
        <w:tc>
          <w:tcPr>
            <w:tcW w:w="3055" w:type="dxa"/>
          </w:tcPr>
          <w:p w14:paraId="1A213EEA" w14:textId="77777777" w:rsidR="00E17B3C" w:rsidRPr="00D920FB"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sidRPr="00D920FB">
              <w:rPr>
                <w:rFonts w:asciiTheme="majorBidi" w:hAnsiTheme="majorBidi" w:cstheme="majorBidi"/>
                <w:bCs/>
                <w:color w:val="000000" w:themeColor="text1"/>
                <w:sz w:val="24"/>
                <w:szCs w:val="24"/>
              </w:rPr>
              <w:t>ml/L for 40%</w:t>
            </w:r>
          </w:p>
        </w:tc>
      </w:tr>
      <w:tr w:rsidR="00E17B3C" w14:paraId="3E40502F" w14:textId="77777777" w:rsidTr="00E17B3C">
        <w:tc>
          <w:tcPr>
            <w:tcW w:w="2234" w:type="dxa"/>
          </w:tcPr>
          <w:p w14:paraId="7D9751D2" w14:textId="77777777" w:rsidR="00E17B3C" w:rsidRPr="00D920FB" w:rsidRDefault="00E17B3C" w:rsidP="00D82647">
            <w:pPr>
              <w:jc w:val="center"/>
              <w:rPr>
                <w:rFonts w:asciiTheme="majorBidi" w:hAnsiTheme="majorBidi" w:cstheme="majorBidi"/>
                <w:bCs/>
                <w:sz w:val="24"/>
                <w:szCs w:val="24"/>
              </w:rPr>
            </w:pPr>
            <w:r w:rsidRPr="00D920FB">
              <w:rPr>
                <w:rFonts w:asciiTheme="majorBidi" w:hAnsiTheme="majorBidi" w:cstheme="majorBidi"/>
                <w:bCs/>
                <w:color w:val="202124"/>
                <w:sz w:val="24"/>
                <w:szCs w:val="24"/>
                <w:shd w:val="clear" w:color="auto" w:fill="FFFFFF"/>
              </w:rPr>
              <w:t>KNO</w:t>
            </w:r>
            <w:r w:rsidRPr="00D920FB">
              <w:rPr>
                <w:rFonts w:asciiTheme="majorBidi" w:hAnsiTheme="majorBidi" w:cstheme="majorBidi"/>
                <w:bCs/>
                <w:color w:val="202124"/>
                <w:sz w:val="24"/>
                <w:szCs w:val="24"/>
                <w:shd w:val="clear" w:color="auto" w:fill="FFFFFF"/>
                <w:vertAlign w:val="subscript"/>
              </w:rPr>
              <w:t>3</w:t>
            </w:r>
          </w:p>
          <w:p w14:paraId="312AE38B" w14:textId="77777777" w:rsidR="00E17B3C" w:rsidRPr="00D920FB"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sz w:val="24"/>
                <w:szCs w:val="24"/>
              </w:rPr>
            </w:pPr>
          </w:p>
        </w:tc>
        <w:tc>
          <w:tcPr>
            <w:tcW w:w="1423" w:type="dxa"/>
          </w:tcPr>
          <w:p w14:paraId="556827E2" w14:textId="77777777" w:rsidR="00E17B3C" w:rsidRPr="00E07F2E"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Pr>
                <w:rFonts w:asciiTheme="majorBidi" w:hAnsiTheme="majorBidi" w:cstheme="majorBidi"/>
                <w:bCs/>
                <w:color w:val="000000" w:themeColor="text1"/>
              </w:rPr>
              <w:t>101.1</w:t>
            </w:r>
          </w:p>
        </w:tc>
        <w:tc>
          <w:tcPr>
            <w:tcW w:w="1288" w:type="dxa"/>
          </w:tcPr>
          <w:p w14:paraId="17CEE185" w14:textId="77777777" w:rsidR="00E17B3C" w:rsidRPr="00E07F2E"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Pr>
                <w:rFonts w:asciiTheme="majorBidi" w:hAnsiTheme="majorBidi" w:cstheme="majorBidi"/>
                <w:bCs/>
                <w:color w:val="000000" w:themeColor="text1"/>
              </w:rPr>
              <w:t>50.6</w:t>
            </w:r>
          </w:p>
        </w:tc>
        <w:tc>
          <w:tcPr>
            <w:tcW w:w="1493" w:type="dxa"/>
          </w:tcPr>
          <w:p w14:paraId="76AE6BAD" w14:textId="77777777" w:rsidR="00E17B3C" w:rsidRPr="00E07F2E"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Pr>
                <w:rFonts w:asciiTheme="majorBidi" w:hAnsiTheme="majorBidi" w:cstheme="majorBidi"/>
                <w:bCs/>
                <w:color w:val="000000" w:themeColor="text1"/>
              </w:rPr>
              <w:t>8</w:t>
            </w:r>
          </w:p>
        </w:tc>
        <w:tc>
          <w:tcPr>
            <w:tcW w:w="3055" w:type="dxa"/>
          </w:tcPr>
          <w:p w14:paraId="1C65CD2D" w14:textId="77777777" w:rsidR="00E17B3C" w:rsidRPr="00D920FB"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sidRPr="00D920FB">
              <w:rPr>
                <w:rFonts w:asciiTheme="majorBidi" w:hAnsiTheme="majorBidi" w:cstheme="majorBidi"/>
                <w:bCs/>
                <w:color w:val="000000" w:themeColor="text1"/>
                <w:sz w:val="24"/>
                <w:szCs w:val="24"/>
              </w:rPr>
              <w:t>3.2</w:t>
            </w:r>
          </w:p>
        </w:tc>
      </w:tr>
      <w:tr w:rsidR="00E17B3C" w14:paraId="6267F0FB" w14:textId="77777777" w:rsidTr="00E17B3C">
        <w:tc>
          <w:tcPr>
            <w:tcW w:w="2234" w:type="dxa"/>
          </w:tcPr>
          <w:p w14:paraId="4450E6AD" w14:textId="77777777" w:rsidR="00E17B3C" w:rsidRPr="00D920FB" w:rsidRDefault="00E17B3C" w:rsidP="00D82647">
            <w:pPr>
              <w:jc w:val="center"/>
              <w:rPr>
                <w:rFonts w:asciiTheme="majorBidi" w:hAnsiTheme="majorBidi" w:cstheme="majorBidi"/>
                <w:bCs/>
                <w:sz w:val="24"/>
                <w:szCs w:val="24"/>
              </w:rPr>
            </w:pPr>
            <w:r w:rsidRPr="00D920FB">
              <w:rPr>
                <w:rFonts w:asciiTheme="majorBidi" w:hAnsiTheme="majorBidi" w:cstheme="majorBidi"/>
                <w:bCs/>
                <w:color w:val="202124"/>
                <w:sz w:val="24"/>
                <w:szCs w:val="24"/>
                <w:shd w:val="clear" w:color="auto" w:fill="FFFFFF"/>
              </w:rPr>
              <w:t>Ca(NO</w:t>
            </w:r>
            <w:r w:rsidRPr="00D920FB">
              <w:rPr>
                <w:rFonts w:asciiTheme="majorBidi" w:hAnsiTheme="majorBidi" w:cstheme="majorBidi"/>
                <w:bCs/>
                <w:color w:val="202124"/>
                <w:sz w:val="24"/>
                <w:szCs w:val="24"/>
                <w:shd w:val="clear" w:color="auto" w:fill="FFFFFF"/>
                <w:vertAlign w:val="subscript"/>
              </w:rPr>
              <w:t>3</w:t>
            </w:r>
            <w:r w:rsidRPr="00D920FB">
              <w:rPr>
                <w:rFonts w:asciiTheme="majorBidi" w:hAnsiTheme="majorBidi" w:cstheme="majorBidi"/>
                <w:bCs/>
                <w:color w:val="202124"/>
                <w:sz w:val="24"/>
                <w:szCs w:val="24"/>
                <w:shd w:val="clear" w:color="auto" w:fill="FFFFFF"/>
              </w:rPr>
              <w:t>)</w:t>
            </w:r>
            <w:r w:rsidRPr="00D920FB">
              <w:rPr>
                <w:rFonts w:asciiTheme="majorBidi" w:hAnsiTheme="majorBidi" w:cstheme="majorBidi"/>
                <w:bCs/>
                <w:color w:val="202124"/>
                <w:sz w:val="24"/>
                <w:szCs w:val="24"/>
                <w:shd w:val="clear" w:color="auto" w:fill="FFFFFF"/>
                <w:vertAlign w:val="subscript"/>
              </w:rPr>
              <w:t xml:space="preserve">2 </w:t>
            </w:r>
            <w:r w:rsidRPr="00D920FB">
              <w:rPr>
                <w:rFonts w:asciiTheme="majorBidi" w:hAnsiTheme="majorBidi" w:cstheme="majorBidi"/>
                <w:bCs/>
                <w:color w:val="202124"/>
                <w:sz w:val="24"/>
                <w:szCs w:val="24"/>
                <w:shd w:val="clear" w:color="auto" w:fill="FFFFFF"/>
              </w:rPr>
              <w:t>anhydrous</w:t>
            </w:r>
          </w:p>
          <w:p w14:paraId="6EAE5F40" w14:textId="77777777" w:rsidR="00E17B3C" w:rsidRPr="00D920FB" w:rsidRDefault="00E17B3C" w:rsidP="00D82647">
            <w:pPr>
              <w:jc w:val="center"/>
              <w:rPr>
                <w:rFonts w:asciiTheme="majorBidi" w:hAnsiTheme="majorBidi" w:cstheme="majorBidi"/>
                <w:bCs/>
                <w:sz w:val="24"/>
                <w:szCs w:val="24"/>
              </w:rPr>
            </w:pPr>
          </w:p>
          <w:p w14:paraId="32890360" w14:textId="77777777" w:rsidR="00E17B3C" w:rsidRPr="00D920FB"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sz w:val="24"/>
                <w:szCs w:val="24"/>
              </w:rPr>
            </w:pPr>
          </w:p>
        </w:tc>
        <w:tc>
          <w:tcPr>
            <w:tcW w:w="1423" w:type="dxa"/>
          </w:tcPr>
          <w:p w14:paraId="4D534DB8" w14:textId="77777777" w:rsidR="00E17B3C" w:rsidRPr="00E07F2E"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Pr>
                <w:rFonts w:asciiTheme="majorBidi" w:hAnsiTheme="majorBidi" w:cstheme="majorBidi"/>
                <w:bCs/>
                <w:color w:val="000000" w:themeColor="text1"/>
              </w:rPr>
              <w:t>164.15</w:t>
            </w:r>
          </w:p>
        </w:tc>
        <w:tc>
          <w:tcPr>
            <w:tcW w:w="1288" w:type="dxa"/>
          </w:tcPr>
          <w:p w14:paraId="0FD96F80" w14:textId="77777777" w:rsidR="00E17B3C" w:rsidRPr="00E07F2E"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Pr>
                <w:rFonts w:asciiTheme="majorBidi" w:hAnsiTheme="majorBidi" w:cstheme="majorBidi"/>
                <w:bCs/>
                <w:color w:val="000000" w:themeColor="text1"/>
              </w:rPr>
              <w:t>80.25</w:t>
            </w:r>
          </w:p>
        </w:tc>
        <w:tc>
          <w:tcPr>
            <w:tcW w:w="1493" w:type="dxa"/>
          </w:tcPr>
          <w:p w14:paraId="23974B4E" w14:textId="77777777" w:rsidR="00E17B3C" w:rsidRPr="00E07F2E"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Pr>
                <w:rFonts w:asciiTheme="majorBidi" w:hAnsiTheme="majorBidi" w:cstheme="majorBidi"/>
                <w:bCs/>
                <w:color w:val="000000" w:themeColor="text1"/>
              </w:rPr>
              <w:t>8</w:t>
            </w:r>
          </w:p>
        </w:tc>
        <w:tc>
          <w:tcPr>
            <w:tcW w:w="3055" w:type="dxa"/>
          </w:tcPr>
          <w:p w14:paraId="7E30C5F3" w14:textId="77777777" w:rsidR="00E17B3C" w:rsidRPr="00D920FB"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sidRPr="00D920FB">
              <w:rPr>
                <w:rFonts w:asciiTheme="majorBidi" w:hAnsiTheme="majorBidi" w:cstheme="majorBidi"/>
                <w:bCs/>
                <w:color w:val="000000" w:themeColor="text1"/>
                <w:sz w:val="24"/>
                <w:szCs w:val="24"/>
              </w:rPr>
              <w:t>3.2</w:t>
            </w:r>
          </w:p>
        </w:tc>
      </w:tr>
      <w:tr w:rsidR="00E17B3C" w14:paraId="0E1077D5" w14:textId="77777777" w:rsidTr="00E17B3C">
        <w:tc>
          <w:tcPr>
            <w:tcW w:w="2234" w:type="dxa"/>
          </w:tcPr>
          <w:p w14:paraId="4894B8A1" w14:textId="77777777" w:rsidR="00E17B3C" w:rsidRPr="00D920FB" w:rsidRDefault="00E17B3C" w:rsidP="00D82647">
            <w:pPr>
              <w:jc w:val="center"/>
              <w:rPr>
                <w:rFonts w:asciiTheme="majorBidi" w:hAnsiTheme="majorBidi" w:cstheme="majorBidi"/>
                <w:bCs/>
                <w:sz w:val="24"/>
                <w:szCs w:val="24"/>
              </w:rPr>
            </w:pPr>
            <w:r w:rsidRPr="00D920FB">
              <w:rPr>
                <w:rFonts w:asciiTheme="majorBidi" w:hAnsiTheme="majorBidi" w:cstheme="majorBidi"/>
                <w:bCs/>
                <w:color w:val="4D4D4D"/>
                <w:sz w:val="24"/>
                <w:szCs w:val="24"/>
                <w:shd w:val="clear" w:color="auto" w:fill="FFFFFF"/>
              </w:rPr>
              <w:t>NaH</w:t>
            </w:r>
            <w:r w:rsidRPr="00D920FB">
              <w:rPr>
                <w:rFonts w:asciiTheme="majorBidi" w:hAnsiTheme="majorBidi" w:cstheme="majorBidi"/>
                <w:bCs/>
                <w:color w:val="4D4D4D"/>
                <w:sz w:val="24"/>
                <w:szCs w:val="24"/>
                <w:shd w:val="clear" w:color="auto" w:fill="FFFFFF"/>
                <w:vertAlign w:val="subscript"/>
              </w:rPr>
              <w:t>2</w:t>
            </w:r>
            <w:r w:rsidRPr="00D920FB">
              <w:rPr>
                <w:rFonts w:asciiTheme="majorBidi" w:hAnsiTheme="majorBidi" w:cstheme="majorBidi"/>
                <w:bCs/>
                <w:color w:val="4D4D4D"/>
                <w:sz w:val="24"/>
                <w:szCs w:val="24"/>
                <w:shd w:val="clear" w:color="auto" w:fill="FFFFFF"/>
              </w:rPr>
              <w:t>PO</w:t>
            </w:r>
            <w:r w:rsidRPr="00D920FB">
              <w:rPr>
                <w:rFonts w:asciiTheme="majorBidi" w:hAnsiTheme="majorBidi" w:cstheme="majorBidi"/>
                <w:bCs/>
                <w:color w:val="4D4D4D"/>
                <w:sz w:val="24"/>
                <w:szCs w:val="24"/>
                <w:shd w:val="clear" w:color="auto" w:fill="FFFFFF"/>
                <w:vertAlign w:val="subscript"/>
              </w:rPr>
              <w:t>4</w:t>
            </w:r>
            <w:r w:rsidRPr="00D920FB">
              <w:rPr>
                <w:rFonts w:asciiTheme="majorBidi" w:hAnsiTheme="majorBidi" w:cstheme="majorBidi"/>
                <w:bCs/>
                <w:color w:val="4D4D4D"/>
                <w:sz w:val="24"/>
                <w:szCs w:val="24"/>
                <w:shd w:val="clear" w:color="auto" w:fill="FFFFFF"/>
              </w:rPr>
              <w:t> · 2H</w:t>
            </w:r>
            <w:r w:rsidRPr="00D920FB">
              <w:rPr>
                <w:rFonts w:asciiTheme="majorBidi" w:hAnsiTheme="majorBidi" w:cstheme="majorBidi"/>
                <w:bCs/>
                <w:color w:val="4D4D4D"/>
                <w:sz w:val="24"/>
                <w:szCs w:val="24"/>
                <w:shd w:val="clear" w:color="auto" w:fill="FFFFFF"/>
                <w:vertAlign w:val="subscript"/>
              </w:rPr>
              <w:t>2</w:t>
            </w:r>
            <w:r w:rsidRPr="00D920FB">
              <w:rPr>
                <w:rFonts w:asciiTheme="majorBidi" w:hAnsiTheme="majorBidi" w:cstheme="majorBidi"/>
                <w:bCs/>
                <w:color w:val="4D4D4D"/>
                <w:sz w:val="24"/>
                <w:szCs w:val="24"/>
                <w:shd w:val="clear" w:color="auto" w:fill="FFFFFF"/>
              </w:rPr>
              <w:t>O</w:t>
            </w:r>
          </w:p>
          <w:p w14:paraId="0C7BE477" w14:textId="77777777" w:rsidR="00E17B3C" w:rsidRPr="00D920FB"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sz w:val="24"/>
                <w:szCs w:val="24"/>
              </w:rPr>
            </w:pPr>
          </w:p>
        </w:tc>
        <w:tc>
          <w:tcPr>
            <w:tcW w:w="1423" w:type="dxa"/>
          </w:tcPr>
          <w:p w14:paraId="07F852E5" w14:textId="77777777" w:rsidR="00E17B3C" w:rsidRPr="00E07F2E"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Pr>
                <w:rFonts w:asciiTheme="majorBidi" w:hAnsiTheme="majorBidi" w:cstheme="majorBidi"/>
                <w:bCs/>
                <w:color w:val="000000" w:themeColor="text1"/>
              </w:rPr>
              <w:t>156.01</w:t>
            </w:r>
          </w:p>
        </w:tc>
        <w:tc>
          <w:tcPr>
            <w:tcW w:w="1288" w:type="dxa"/>
          </w:tcPr>
          <w:p w14:paraId="5C90CE5E" w14:textId="77777777" w:rsidR="00E17B3C" w:rsidRPr="00E07F2E"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Pr>
                <w:rFonts w:asciiTheme="majorBidi" w:hAnsiTheme="majorBidi" w:cstheme="majorBidi"/>
                <w:bCs/>
                <w:color w:val="000000" w:themeColor="text1"/>
              </w:rPr>
              <w:t>52</w:t>
            </w:r>
          </w:p>
        </w:tc>
        <w:tc>
          <w:tcPr>
            <w:tcW w:w="1493" w:type="dxa"/>
          </w:tcPr>
          <w:p w14:paraId="3A49C850" w14:textId="77777777" w:rsidR="00E17B3C" w:rsidRPr="00E07F2E"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Pr>
                <w:rFonts w:asciiTheme="majorBidi" w:hAnsiTheme="majorBidi" w:cstheme="majorBidi"/>
                <w:bCs/>
                <w:color w:val="000000" w:themeColor="text1"/>
              </w:rPr>
              <w:t>1</w:t>
            </w:r>
          </w:p>
        </w:tc>
        <w:tc>
          <w:tcPr>
            <w:tcW w:w="3055" w:type="dxa"/>
          </w:tcPr>
          <w:p w14:paraId="3B966893" w14:textId="77777777" w:rsidR="00E17B3C" w:rsidRPr="00D920FB"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sidRPr="00D920FB">
              <w:rPr>
                <w:rFonts w:asciiTheme="majorBidi" w:hAnsiTheme="majorBidi" w:cstheme="majorBidi"/>
                <w:bCs/>
                <w:color w:val="000000" w:themeColor="text1"/>
                <w:sz w:val="24"/>
                <w:szCs w:val="24"/>
              </w:rPr>
              <w:t>0.4</w:t>
            </w:r>
          </w:p>
        </w:tc>
      </w:tr>
      <w:tr w:rsidR="00E17B3C" w14:paraId="74447942" w14:textId="77777777" w:rsidTr="00E17B3C">
        <w:tc>
          <w:tcPr>
            <w:tcW w:w="2234" w:type="dxa"/>
          </w:tcPr>
          <w:p w14:paraId="28D1D1B0" w14:textId="77777777" w:rsidR="00E17B3C" w:rsidRPr="00D920FB" w:rsidRDefault="00E17B3C" w:rsidP="00D82647">
            <w:pPr>
              <w:jc w:val="center"/>
              <w:rPr>
                <w:rFonts w:asciiTheme="majorBidi" w:hAnsiTheme="majorBidi" w:cstheme="majorBidi"/>
                <w:bCs/>
                <w:sz w:val="24"/>
                <w:szCs w:val="24"/>
              </w:rPr>
            </w:pPr>
            <w:r w:rsidRPr="00D920FB">
              <w:rPr>
                <w:rFonts w:asciiTheme="majorBidi" w:hAnsiTheme="majorBidi" w:cstheme="majorBidi"/>
                <w:bCs/>
                <w:color w:val="202124"/>
                <w:sz w:val="24"/>
                <w:szCs w:val="24"/>
                <w:shd w:val="clear" w:color="auto" w:fill="FFFFFF"/>
              </w:rPr>
              <w:t>MgSO</w:t>
            </w:r>
            <w:r w:rsidRPr="00D920FB">
              <w:rPr>
                <w:rFonts w:asciiTheme="majorBidi" w:hAnsiTheme="majorBidi" w:cstheme="majorBidi"/>
                <w:bCs/>
                <w:color w:val="202124"/>
                <w:sz w:val="24"/>
                <w:szCs w:val="24"/>
                <w:shd w:val="clear" w:color="auto" w:fill="FFFFFF"/>
                <w:vertAlign w:val="subscript"/>
              </w:rPr>
              <w:t>4</w:t>
            </w:r>
            <w:r w:rsidRPr="00D920FB">
              <w:rPr>
                <w:rFonts w:asciiTheme="majorBidi" w:hAnsiTheme="majorBidi" w:cstheme="majorBidi"/>
                <w:bCs/>
                <w:color w:val="000000" w:themeColor="text1"/>
                <w:sz w:val="24"/>
                <w:szCs w:val="24"/>
              </w:rPr>
              <w:t>.7H2O</w:t>
            </w:r>
          </w:p>
        </w:tc>
        <w:tc>
          <w:tcPr>
            <w:tcW w:w="1423" w:type="dxa"/>
          </w:tcPr>
          <w:p w14:paraId="14662654" w14:textId="77777777" w:rsidR="00E17B3C" w:rsidRPr="00E07F2E"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Pr>
                <w:rFonts w:asciiTheme="majorBidi" w:hAnsiTheme="majorBidi" w:cstheme="majorBidi"/>
                <w:bCs/>
                <w:color w:val="000000" w:themeColor="text1"/>
              </w:rPr>
              <w:t>246.5</w:t>
            </w:r>
          </w:p>
        </w:tc>
        <w:tc>
          <w:tcPr>
            <w:tcW w:w="1288" w:type="dxa"/>
          </w:tcPr>
          <w:p w14:paraId="2DD932BE" w14:textId="77777777" w:rsidR="00E17B3C" w:rsidRPr="00E07F2E"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Pr>
                <w:rFonts w:asciiTheme="majorBidi" w:hAnsiTheme="majorBidi" w:cstheme="majorBidi"/>
                <w:bCs/>
                <w:color w:val="000000" w:themeColor="text1"/>
              </w:rPr>
              <w:t>46</w:t>
            </w:r>
          </w:p>
        </w:tc>
        <w:tc>
          <w:tcPr>
            <w:tcW w:w="1493" w:type="dxa"/>
          </w:tcPr>
          <w:p w14:paraId="007C6EC8" w14:textId="77777777" w:rsidR="00E17B3C" w:rsidRPr="00E07F2E"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Pr>
                <w:rFonts w:asciiTheme="majorBidi" w:hAnsiTheme="majorBidi" w:cstheme="majorBidi"/>
                <w:bCs/>
                <w:color w:val="000000" w:themeColor="text1"/>
              </w:rPr>
              <w:t>8</w:t>
            </w:r>
          </w:p>
        </w:tc>
        <w:tc>
          <w:tcPr>
            <w:tcW w:w="3055" w:type="dxa"/>
          </w:tcPr>
          <w:p w14:paraId="40B29445" w14:textId="77777777" w:rsidR="00E17B3C" w:rsidRPr="00D920FB"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sidRPr="00D920FB">
              <w:rPr>
                <w:rFonts w:asciiTheme="majorBidi" w:hAnsiTheme="majorBidi" w:cstheme="majorBidi"/>
                <w:bCs/>
                <w:color w:val="000000" w:themeColor="text1"/>
                <w:sz w:val="24"/>
                <w:szCs w:val="24"/>
              </w:rPr>
              <w:t>3.2</w:t>
            </w:r>
          </w:p>
        </w:tc>
      </w:tr>
      <w:tr w:rsidR="00E17B3C" w14:paraId="51330CC6" w14:textId="77777777" w:rsidTr="00E17B3C">
        <w:tc>
          <w:tcPr>
            <w:tcW w:w="2234" w:type="dxa"/>
          </w:tcPr>
          <w:p w14:paraId="01ECCCF8" w14:textId="77777777" w:rsidR="00E17B3C" w:rsidRPr="00D920FB"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sz w:val="24"/>
                <w:szCs w:val="24"/>
              </w:rPr>
            </w:pPr>
            <w:r w:rsidRPr="00D920FB">
              <w:rPr>
                <w:rFonts w:asciiTheme="majorBidi" w:hAnsiTheme="majorBidi" w:cstheme="majorBidi"/>
                <w:bCs/>
                <w:color w:val="000000" w:themeColor="text1"/>
                <w:sz w:val="24"/>
                <w:szCs w:val="24"/>
              </w:rPr>
              <w:t>FeNaEDTA</w:t>
            </w:r>
          </w:p>
        </w:tc>
        <w:tc>
          <w:tcPr>
            <w:tcW w:w="1423" w:type="dxa"/>
          </w:tcPr>
          <w:p w14:paraId="74800076" w14:textId="77777777" w:rsidR="00E17B3C" w:rsidRPr="00E07F2E"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Pr>
                <w:rFonts w:asciiTheme="majorBidi" w:hAnsiTheme="majorBidi" w:cstheme="majorBidi"/>
                <w:bCs/>
                <w:color w:val="000000" w:themeColor="text1"/>
              </w:rPr>
              <w:t>367.1</w:t>
            </w:r>
          </w:p>
        </w:tc>
        <w:tc>
          <w:tcPr>
            <w:tcW w:w="1288" w:type="dxa"/>
          </w:tcPr>
          <w:p w14:paraId="6D9E9BD0" w14:textId="77777777" w:rsidR="00E17B3C" w:rsidRPr="00E07F2E"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Pr>
                <w:rFonts w:asciiTheme="majorBidi" w:hAnsiTheme="majorBidi" w:cstheme="majorBidi"/>
                <w:bCs/>
                <w:color w:val="000000" w:themeColor="text1"/>
              </w:rPr>
              <w:t>6.7</w:t>
            </w:r>
          </w:p>
        </w:tc>
        <w:tc>
          <w:tcPr>
            <w:tcW w:w="1493" w:type="dxa"/>
          </w:tcPr>
          <w:p w14:paraId="78CC6F86" w14:textId="77777777" w:rsidR="00E17B3C" w:rsidRPr="00E07F2E"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Pr>
                <w:rFonts w:asciiTheme="majorBidi" w:hAnsiTheme="majorBidi" w:cstheme="majorBidi"/>
                <w:bCs/>
                <w:color w:val="000000" w:themeColor="text1"/>
              </w:rPr>
              <w:t>5</w:t>
            </w:r>
          </w:p>
        </w:tc>
        <w:tc>
          <w:tcPr>
            <w:tcW w:w="3055" w:type="dxa"/>
          </w:tcPr>
          <w:p w14:paraId="55DF5659" w14:textId="77777777" w:rsidR="00E17B3C" w:rsidRPr="00D920FB"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sidRPr="00D920FB">
              <w:rPr>
                <w:rFonts w:asciiTheme="majorBidi" w:hAnsiTheme="majorBidi" w:cstheme="majorBidi"/>
                <w:bCs/>
                <w:color w:val="000000" w:themeColor="text1"/>
                <w:sz w:val="24"/>
                <w:szCs w:val="24"/>
              </w:rPr>
              <w:t>2</w:t>
            </w:r>
          </w:p>
        </w:tc>
      </w:tr>
      <w:tr w:rsidR="00E17B3C" w14:paraId="458F1C73" w14:textId="77777777" w:rsidTr="00E17B3C">
        <w:tc>
          <w:tcPr>
            <w:tcW w:w="2234" w:type="dxa"/>
          </w:tcPr>
          <w:p w14:paraId="2E7DED75" w14:textId="77777777" w:rsidR="00E17B3C" w:rsidRPr="00D920FB"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sz w:val="24"/>
                <w:szCs w:val="24"/>
              </w:rPr>
            </w:pPr>
            <w:r w:rsidRPr="00D920FB">
              <w:rPr>
                <w:rFonts w:asciiTheme="majorBidi" w:hAnsiTheme="majorBidi" w:cstheme="majorBidi"/>
                <w:bCs/>
                <w:color w:val="000000" w:themeColor="text1"/>
                <w:sz w:val="24"/>
                <w:szCs w:val="24"/>
              </w:rPr>
              <w:t>micronutrients</w:t>
            </w:r>
          </w:p>
        </w:tc>
        <w:tc>
          <w:tcPr>
            <w:tcW w:w="1423" w:type="dxa"/>
          </w:tcPr>
          <w:p w14:paraId="300B8011" w14:textId="77777777" w:rsidR="00E17B3C" w:rsidRPr="00E07F2E"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Pr>
                <w:rFonts w:asciiTheme="majorBidi" w:hAnsiTheme="majorBidi" w:cstheme="majorBidi"/>
                <w:bCs/>
                <w:color w:val="000000" w:themeColor="text1"/>
              </w:rPr>
              <w:t>*</w:t>
            </w:r>
          </w:p>
        </w:tc>
        <w:tc>
          <w:tcPr>
            <w:tcW w:w="1288" w:type="dxa"/>
          </w:tcPr>
          <w:p w14:paraId="443CC87E" w14:textId="77777777" w:rsidR="00E17B3C" w:rsidRPr="00D920FB"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p>
        </w:tc>
        <w:tc>
          <w:tcPr>
            <w:tcW w:w="1493" w:type="dxa"/>
          </w:tcPr>
          <w:p w14:paraId="6AE46C14" w14:textId="77777777" w:rsidR="00E17B3C" w:rsidRPr="00E07F2E"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Pr>
                <w:rFonts w:asciiTheme="majorBidi" w:hAnsiTheme="majorBidi" w:cstheme="majorBidi"/>
                <w:bCs/>
                <w:color w:val="000000" w:themeColor="text1"/>
              </w:rPr>
              <w:t>1</w:t>
            </w:r>
          </w:p>
        </w:tc>
        <w:tc>
          <w:tcPr>
            <w:tcW w:w="3055" w:type="dxa"/>
          </w:tcPr>
          <w:p w14:paraId="58132118" w14:textId="77777777" w:rsidR="00E17B3C" w:rsidRPr="00D920FB"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sidRPr="00D920FB">
              <w:rPr>
                <w:rFonts w:asciiTheme="majorBidi" w:hAnsiTheme="majorBidi" w:cstheme="majorBidi"/>
                <w:bCs/>
                <w:color w:val="000000" w:themeColor="text1"/>
                <w:sz w:val="24"/>
                <w:szCs w:val="24"/>
              </w:rPr>
              <w:t>0.4</w:t>
            </w:r>
          </w:p>
        </w:tc>
      </w:tr>
      <w:tr w:rsidR="00E17B3C" w14:paraId="54865998" w14:textId="77777777" w:rsidTr="00E17B3C">
        <w:tc>
          <w:tcPr>
            <w:tcW w:w="9493" w:type="dxa"/>
            <w:gridSpan w:val="5"/>
          </w:tcPr>
          <w:p w14:paraId="61BAC0E1" w14:textId="2FC492B1" w:rsidR="00E17B3C" w:rsidRPr="00D920FB"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Pr>
                <w:rFonts w:asciiTheme="majorBidi" w:hAnsiTheme="majorBidi" w:cstheme="majorBidi"/>
                <w:bCs/>
                <w:color w:val="000000" w:themeColor="text1"/>
              </w:rPr>
              <w:t>*</w:t>
            </w:r>
            <w:r w:rsidRPr="00E07F2E">
              <w:rPr>
                <w:rFonts w:asciiTheme="majorBidi" w:hAnsiTheme="majorBidi" w:cstheme="majorBidi"/>
                <w:bCs/>
                <w:color w:val="000000" w:themeColor="text1"/>
              </w:rPr>
              <w:t xml:space="preserve">Preparation of micronutrients stock solution contains the following (g) in liter </w:t>
            </w:r>
          </w:p>
        </w:tc>
      </w:tr>
      <w:tr w:rsidR="00E17B3C" w14:paraId="47F678D2" w14:textId="77777777" w:rsidTr="00E17B3C">
        <w:tc>
          <w:tcPr>
            <w:tcW w:w="2234" w:type="dxa"/>
          </w:tcPr>
          <w:p w14:paraId="40F7CF2F" w14:textId="77777777" w:rsidR="00E17B3C" w:rsidRPr="001A3305" w:rsidRDefault="00E17B3C" w:rsidP="00D82647">
            <w:r>
              <w:rPr>
                <w:rFonts w:ascii="Arial" w:hAnsi="Arial" w:cs="Arial"/>
                <w:color w:val="202122"/>
                <w:sz w:val="21"/>
                <w:szCs w:val="21"/>
                <w:shd w:val="clear" w:color="auto" w:fill="FFFFFF"/>
              </w:rPr>
              <w:t>MnSO</w:t>
            </w:r>
            <w:r>
              <w:rPr>
                <w:rFonts w:ascii="Arial" w:hAnsi="Arial" w:cs="Arial"/>
                <w:color w:val="202122"/>
                <w:sz w:val="17"/>
                <w:szCs w:val="17"/>
                <w:shd w:val="clear" w:color="auto" w:fill="FFFFFF"/>
                <w:vertAlign w:val="subscript"/>
              </w:rPr>
              <w:t>4</w:t>
            </w:r>
            <w:r>
              <w:rPr>
                <w:rFonts w:ascii="Arial" w:hAnsi="Arial" w:cs="Arial"/>
                <w:color w:val="202122"/>
                <w:sz w:val="21"/>
                <w:szCs w:val="21"/>
                <w:shd w:val="clear" w:color="auto" w:fill="FFFFFF"/>
              </w:rPr>
              <w:t>·4H</w:t>
            </w:r>
            <w:r>
              <w:rPr>
                <w:rFonts w:ascii="Arial" w:hAnsi="Arial" w:cs="Arial"/>
                <w:color w:val="202122"/>
                <w:sz w:val="17"/>
                <w:szCs w:val="17"/>
                <w:shd w:val="clear" w:color="auto" w:fill="FFFFFF"/>
                <w:vertAlign w:val="subscript"/>
              </w:rPr>
              <w:t>2</w:t>
            </w:r>
            <w:r>
              <w:rPr>
                <w:rFonts w:ascii="Arial" w:hAnsi="Arial" w:cs="Arial"/>
                <w:color w:val="202122"/>
                <w:sz w:val="21"/>
                <w:szCs w:val="21"/>
                <w:shd w:val="clear" w:color="auto" w:fill="FFFFFF"/>
              </w:rPr>
              <w:t>O</w:t>
            </w:r>
          </w:p>
        </w:tc>
        <w:tc>
          <w:tcPr>
            <w:tcW w:w="1423" w:type="dxa"/>
            <w:vMerge w:val="restart"/>
          </w:tcPr>
          <w:p w14:paraId="7DD403E7" w14:textId="77777777" w:rsidR="00E17B3C"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p>
        </w:tc>
        <w:tc>
          <w:tcPr>
            <w:tcW w:w="1288" w:type="dxa"/>
          </w:tcPr>
          <w:p w14:paraId="49A6C036" w14:textId="77777777" w:rsidR="00E17B3C" w:rsidRPr="00D920FB"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Pr>
                <w:rFonts w:asciiTheme="majorBidi" w:hAnsiTheme="majorBidi" w:cstheme="majorBidi"/>
                <w:bCs/>
                <w:color w:val="000000" w:themeColor="text1"/>
              </w:rPr>
              <w:t>2.23</w:t>
            </w:r>
          </w:p>
        </w:tc>
        <w:tc>
          <w:tcPr>
            <w:tcW w:w="1493" w:type="dxa"/>
          </w:tcPr>
          <w:p w14:paraId="1D28A4DF" w14:textId="77777777" w:rsidR="00E17B3C"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p>
        </w:tc>
        <w:tc>
          <w:tcPr>
            <w:tcW w:w="3055" w:type="dxa"/>
          </w:tcPr>
          <w:p w14:paraId="3B49BCE7" w14:textId="77777777" w:rsidR="00E17B3C" w:rsidRPr="00D920FB"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p>
        </w:tc>
      </w:tr>
      <w:tr w:rsidR="00E17B3C" w14:paraId="398BD0DF" w14:textId="77777777" w:rsidTr="00E17B3C">
        <w:tc>
          <w:tcPr>
            <w:tcW w:w="2234" w:type="dxa"/>
          </w:tcPr>
          <w:p w14:paraId="5585EC3A" w14:textId="77777777" w:rsidR="00E17B3C" w:rsidRPr="001A3305" w:rsidRDefault="00E17B3C" w:rsidP="00D82647">
            <w:pPr>
              <w:rPr>
                <w:rFonts w:asciiTheme="majorBidi" w:hAnsiTheme="majorBidi" w:cstheme="majorBidi"/>
                <w:color w:val="000000" w:themeColor="text1"/>
              </w:rPr>
            </w:pPr>
            <w:r w:rsidRPr="00F261E7">
              <w:rPr>
                <w:rFonts w:asciiTheme="majorBidi" w:hAnsiTheme="majorBidi" w:cstheme="majorBidi"/>
                <w:color w:val="000000" w:themeColor="text1"/>
                <w:sz w:val="21"/>
                <w:szCs w:val="21"/>
                <w:shd w:val="clear" w:color="auto" w:fill="FFFFFF"/>
              </w:rPr>
              <w:t>ZnSO</w:t>
            </w:r>
            <w:r w:rsidRPr="00F261E7">
              <w:rPr>
                <w:rFonts w:asciiTheme="majorBidi" w:hAnsiTheme="majorBidi" w:cstheme="majorBidi"/>
                <w:color w:val="000000" w:themeColor="text1"/>
                <w:shd w:val="clear" w:color="auto" w:fill="FFFFFF"/>
                <w:vertAlign w:val="subscript"/>
              </w:rPr>
              <w:t>4</w:t>
            </w:r>
            <w:r w:rsidRPr="00F261E7">
              <w:rPr>
                <w:rFonts w:asciiTheme="majorBidi" w:hAnsiTheme="majorBidi" w:cstheme="majorBidi"/>
                <w:color w:val="000000" w:themeColor="text1"/>
                <w:sz w:val="21"/>
                <w:szCs w:val="21"/>
                <w:shd w:val="clear" w:color="auto" w:fill="FFFFFF"/>
              </w:rPr>
              <w:t>. 7H</w:t>
            </w:r>
            <w:r w:rsidRPr="00F261E7">
              <w:rPr>
                <w:rFonts w:asciiTheme="majorBidi" w:hAnsiTheme="majorBidi" w:cstheme="majorBidi"/>
                <w:color w:val="000000" w:themeColor="text1"/>
                <w:shd w:val="clear" w:color="auto" w:fill="FFFFFF"/>
                <w:vertAlign w:val="subscript"/>
              </w:rPr>
              <w:t>2</w:t>
            </w:r>
            <w:r w:rsidRPr="00F261E7">
              <w:rPr>
                <w:rFonts w:asciiTheme="majorBidi" w:hAnsiTheme="majorBidi" w:cstheme="majorBidi"/>
                <w:color w:val="000000" w:themeColor="text1"/>
                <w:sz w:val="21"/>
                <w:szCs w:val="21"/>
                <w:shd w:val="clear" w:color="auto" w:fill="FFFFFF"/>
              </w:rPr>
              <w:t>O</w:t>
            </w:r>
          </w:p>
        </w:tc>
        <w:tc>
          <w:tcPr>
            <w:tcW w:w="1423" w:type="dxa"/>
            <w:vMerge/>
          </w:tcPr>
          <w:p w14:paraId="0DC4420B" w14:textId="77777777" w:rsidR="00E17B3C"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p>
        </w:tc>
        <w:tc>
          <w:tcPr>
            <w:tcW w:w="1288" w:type="dxa"/>
          </w:tcPr>
          <w:p w14:paraId="3D2652B9" w14:textId="77777777" w:rsidR="00E17B3C" w:rsidRPr="00D920FB"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Pr>
                <w:rFonts w:asciiTheme="majorBidi" w:hAnsiTheme="majorBidi" w:cstheme="majorBidi"/>
                <w:bCs/>
                <w:color w:val="000000" w:themeColor="text1"/>
              </w:rPr>
              <w:t>0.29</w:t>
            </w:r>
          </w:p>
        </w:tc>
        <w:tc>
          <w:tcPr>
            <w:tcW w:w="1493" w:type="dxa"/>
          </w:tcPr>
          <w:p w14:paraId="02405BED" w14:textId="77777777" w:rsidR="00E17B3C"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p>
        </w:tc>
        <w:tc>
          <w:tcPr>
            <w:tcW w:w="3055" w:type="dxa"/>
          </w:tcPr>
          <w:p w14:paraId="7A1348F8" w14:textId="77777777" w:rsidR="00E17B3C" w:rsidRPr="00D920FB"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p>
        </w:tc>
      </w:tr>
      <w:tr w:rsidR="00E17B3C" w14:paraId="3DF40E21" w14:textId="77777777" w:rsidTr="00E17B3C">
        <w:tc>
          <w:tcPr>
            <w:tcW w:w="2234" w:type="dxa"/>
          </w:tcPr>
          <w:p w14:paraId="43D8D321" w14:textId="77777777" w:rsidR="00E17B3C" w:rsidRPr="001A3305" w:rsidRDefault="00E17B3C" w:rsidP="00D82647">
            <w:r>
              <w:rPr>
                <w:rFonts w:ascii="Arial" w:hAnsi="Arial" w:cs="Arial"/>
                <w:color w:val="202124"/>
                <w:sz w:val="21"/>
                <w:szCs w:val="21"/>
                <w:shd w:val="clear" w:color="auto" w:fill="FFFFFF"/>
              </w:rPr>
              <w:t>CuSO</w:t>
            </w:r>
            <w:r>
              <w:rPr>
                <w:rFonts w:ascii="Arial" w:hAnsi="Arial" w:cs="Arial"/>
                <w:color w:val="202124"/>
                <w:shd w:val="clear" w:color="auto" w:fill="FFFFFF"/>
                <w:vertAlign w:val="subscript"/>
              </w:rPr>
              <w:t>4</w:t>
            </w:r>
            <w:r>
              <w:rPr>
                <w:rFonts w:ascii="Arial" w:hAnsi="Arial" w:cs="Arial"/>
                <w:color w:val="202124"/>
                <w:sz w:val="21"/>
                <w:szCs w:val="21"/>
                <w:shd w:val="clear" w:color="auto" w:fill="FFFFFF"/>
              </w:rPr>
              <w:t>.</w:t>
            </w:r>
            <w:r w:rsidRPr="00F261E7">
              <w:rPr>
                <w:rFonts w:asciiTheme="majorBidi" w:hAnsiTheme="majorBidi" w:cstheme="majorBidi"/>
                <w:color w:val="000000" w:themeColor="text1"/>
                <w:sz w:val="21"/>
                <w:szCs w:val="21"/>
                <w:shd w:val="clear" w:color="auto" w:fill="FFFFFF"/>
              </w:rPr>
              <w:t xml:space="preserve"> </w:t>
            </w:r>
            <w:r>
              <w:rPr>
                <w:rFonts w:asciiTheme="majorBidi" w:hAnsiTheme="majorBidi" w:cstheme="majorBidi"/>
                <w:color w:val="000000" w:themeColor="text1"/>
                <w:sz w:val="21"/>
                <w:szCs w:val="21"/>
                <w:shd w:val="clear" w:color="auto" w:fill="FFFFFF"/>
              </w:rPr>
              <w:t>5</w:t>
            </w:r>
            <w:r w:rsidRPr="00F261E7">
              <w:rPr>
                <w:rFonts w:asciiTheme="majorBidi" w:hAnsiTheme="majorBidi" w:cstheme="majorBidi"/>
                <w:color w:val="000000" w:themeColor="text1"/>
                <w:sz w:val="21"/>
                <w:szCs w:val="21"/>
                <w:shd w:val="clear" w:color="auto" w:fill="FFFFFF"/>
              </w:rPr>
              <w:t>H</w:t>
            </w:r>
            <w:r w:rsidRPr="00F261E7">
              <w:rPr>
                <w:rFonts w:asciiTheme="majorBidi" w:hAnsiTheme="majorBidi" w:cstheme="majorBidi"/>
                <w:color w:val="000000" w:themeColor="text1"/>
                <w:shd w:val="clear" w:color="auto" w:fill="FFFFFF"/>
                <w:vertAlign w:val="subscript"/>
              </w:rPr>
              <w:t>2</w:t>
            </w:r>
            <w:r w:rsidRPr="00F261E7">
              <w:rPr>
                <w:rFonts w:asciiTheme="majorBidi" w:hAnsiTheme="majorBidi" w:cstheme="majorBidi"/>
                <w:color w:val="000000" w:themeColor="text1"/>
                <w:sz w:val="21"/>
                <w:szCs w:val="21"/>
                <w:shd w:val="clear" w:color="auto" w:fill="FFFFFF"/>
              </w:rPr>
              <w:t>O</w:t>
            </w:r>
          </w:p>
        </w:tc>
        <w:tc>
          <w:tcPr>
            <w:tcW w:w="1423" w:type="dxa"/>
            <w:vMerge/>
          </w:tcPr>
          <w:p w14:paraId="702863D7" w14:textId="77777777" w:rsidR="00E17B3C"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p>
        </w:tc>
        <w:tc>
          <w:tcPr>
            <w:tcW w:w="1288" w:type="dxa"/>
          </w:tcPr>
          <w:p w14:paraId="588B1A8D" w14:textId="77777777" w:rsidR="00E17B3C" w:rsidRPr="00D920FB"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Pr>
                <w:rFonts w:asciiTheme="majorBidi" w:hAnsiTheme="majorBidi" w:cstheme="majorBidi"/>
                <w:bCs/>
                <w:color w:val="000000" w:themeColor="text1"/>
              </w:rPr>
              <w:t>0.25</w:t>
            </w:r>
          </w:p>
        </w:tc>
        <w:tc>
          <w:tcPr>
            <w:tcW w:w="1493" w:type="dxa"/>
          </w:tcPr>
          <w:p w14:paraId="6B867F58" w14:textId="77777777" w:rsidR="00E17B3C"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p>
        </w:tc>
        <w:tc>
          <w:tcPr>
            <w:tcW w:w="3055" w:type="dxa"/>
          </w:tcPr>
          <w:p w14:paraId="21D030EE" w14:textId="77777777" w:rsidR="00E17B3C" w:rsidRPr="00D920FB"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p>
        </w:tc>
      </w:tr>
      <w:tr w:rsidR="00E17B3C" w14:paraId="4F76D77F" w14:textId="77777777" w:rsidTr="00E17B3C">
        <w:tc>
          <w:tcPr>
            <w:tcW w:w="2234" w:type="dxa"/>
          </w:tcPr>
          <w:p w14:paraId="56CEE293" w14:textId="77777777" w:rsidR="00E17B3C" w:rsidRPr="001A3305" w:rsidRDefault="00E17B3C" w:rsidP="00D82647">
            <w:r>
              <w:rPr>
                <w:rFonts w:ascii="Arial" w:hAnsi="Arial" w:cs="Arial"/>
                <w:color w:val="202124"/>
                <w:sz w:val="21"/>
                <w:szCs w:val="21"/>
                <w:shd w:val="clear" w:color="auto" w:fill="FFFFFF"/>
              </w:rPr>
              <w:t>H</w:t>
            </w:r>
            <w:r>
              <w:rPr>
                <w:rFonts w:ascii="Arial" w:hAnsi="Arial" w:cs="Arial"/>
                <w:color w:val="202124"/>
                <w:shd w:val="clear" w:color="auto" w:fill="FFFFFF"/>
                <w:vertAlign w:val="subscript"/>
              </w:rPr>
              <w:t>3</w:t>
            </w:r>
            <w:r>
              <w:rPr>
                <w:rFonts w:ascii="Arial" w:hAnsi="Arial" w:cs="Arial"/>
                <w:color w:val="202124"/>
                <w:sz w:val="21"/>
                <w:szCs w:val="21"/>
                <w:shd w:val="clear" w:color="auto" w:fill="FFFFFF"/>
              </w:rPr>
              <w:t>BO</w:t>
            </w:r>
            <w:r>
              <w:rPr>
                <w:rFonts w:ascii="Arial" w:hAnsi="Arial" w:cs="Arial"/>
                <w:color w:val="202124"/>
                <w:shd w:val="clear" w:color="auto" w:fill="FFFFFF"/>
                <w:vertAlign w:val="subscript"/>
              </w:rPr>
              <w:t>3</w:t>
            </w:r>
          </w:p>
        </w:tc>
        <w:tc>
          <w:tcPr>
            <w:tcW w:w="1423" w:type="dxa"/>
            <w:vMerge/>
          </w:tcPr>
          <w:p w14:paraId="59D71265" w14:textId="77777777" w:rsidR="00E17B3C"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p>
        </w:tc>
        <w:tc>
          <w:tcPr>
            <w:tcW w:w="1288" w:type="dxa"/>
          </w:tcPr>
          <w:p w14:paraId="2AE9833C" w14:textId="77777777" w:rsidR="00E17B3C" w:rsidRPr="00D920FB"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Pr>
                <w:rFonts w:asciiTheme="majorBidi" w:hAnsiTheme="majorBidi" w:cstheme="majorBidi"/>
                <w:bCs/>
                <w:color w:val="000000" w:themeColor="text1"/>
              </w:rPr>
              <w:t>3.10</w:t>
            </w:r>
          </w:p>
        </w:tc>
        <w:tc>
          <w:tcPr>
            <w:tcW w:w="1493" w:type="dxa"/>
          </w:tcPr>
          <w:p w14:paraId="5B5C66C4" w14:textId="77777777" w:rsidR="00E17B3C"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p>
        </w:tc>
        <w:tc>
          <w:tcPr>
            <w:tcW w:w="3055" w:type="dxa"/>
          </w:tcPr>
          <w:p w14:paraId="02DF6278" w14:textId="77777777" w:rsidR="00E17B3C" w:rsidRPr="00D920FB"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p>
        </w:tc>
      </w:tr>
      <w:tr w:rsidR="00E17B3C" w14:paraId="4E2F3256" w14:textId="77777777" w:rsidTr="00E17B3C">
        <w:tc>
          <w:tcPr>
            <w:tcW w:w="2234" w:type="dxa"/>
          </w:tcPr>
          <w:p w14:paraId="1D35F808" w14:textId="77777777" w:rsidR="00E17B3C" w:rsidRPr="001A3305" w:rsidRDefault="00E17B3C" w:rsidP="00D82647">
            <w:r>
              <w:rPr>
                <w:rFonts w:ascii="Arial" w:hAnsi="Arial" w:cs="Arial"/>
                <w:b/>
                <w:bCs/>
                <w:color w:val="4D4D4D"/>
                <w:sz w:val="17"/>
                <w:szCs w:val="17"/>
                <w:shd w:val="clear" w:color="auto" w:fill="FFFFFF"/>
              </w:rPr>
              <w:t>Na</w:t>
            </w:r>
            <w:r>
              <w:rPr>
                <w:rFonts w:ascii="Arial" w:hAnsi="Arial" w:cs="Arial"/>
                <w:b/>
                <w:bCs/>
                <w:color w:val="4D4D4D"/>
                <w:sz w:val="15"/>
                <w:szCs w:val="15"/>
                <w:shd w:val="clear" w:color="auto" w:fill="FFFFFF"/>
                <w:vertAlign w:val="subscript"/>
              </w:rPr>
              <w:t>2</w:t>
            </w:r>
            <w:r>
              <w:rPr>
                <w:rFonts w:ascii="Arial" w:hAnsi="Arial" w:cs="Arial"/>
                <w:b/>
                <w:bCs/>
                <w:color w:val="4D4D4D"/>
                <w:sz w:val="17"/>
                <w:szCs w:val="17"/>
                <w:shd w:val="clear" w:color="auto" w:fill="FFFFFF"/>
              </w:rPr>
              <w:t>MoO</w:t>
            </w:r>
            <w:r>
              <w:rPr>
                <w:rFonts w:ascii="Arial" w:hAnsi="Arial" w:cs="Arial"/>
                <w:b/>
                <w:bCs/>
                <w:color w:val="4D4D4D"/>
                <w:sz w:val="15"/>
                <w:szCs w:val="15"/>
                <w:shd w:val="clear" w:color="auto" w:fill="FFFFFF"/>
                <w:vertAlign w:val="subscript"/>
              </w:rPr>
              <w:t>4</w:t>
            </w:r>
            <w:r>
              <w:rPr>
                <w:rFonts w:ascii="Arial" w:hAnsi="Arial" w:cs="Arial"/>
                <w:b/>
                <w:bCs/>
                <w:color w:val="4D4D4D"/>
                <w:sz w:val="17"/>
                <w:szCs w:val="17"/>
                <w:shd w:val="clear" w:color="auto" w:fill="FFFFFF"/>
              </w:rPr>
              <w:t> · 2H</w:t>
            </w:r>
            <w:r>
              <w:rPr>
                <w:rFonts w:ascii="Arial" w:hAnsi="Arial" w:cs="Arial"/>
                <w:b/>
                <w:bCs/>
                <w:color w:val="4D4D4D"/>
                <w:sz w:val="15"/>
                <w:szCs w:val="15"/>
                <w:shd w:val="clear" w:color="auto" w:fill="FFFFFF"/>
                <w:vertAlign w:val="subscript"/>
              </w:rPr>
              <w:t>2</w:t>
            </w:r>
            <w:r>
              <w:rPr>
                <w:rFonts w:ascii="Arial" w:hAnsi="Arial" w:cs="Arial"/>
                <w:b/>
                <w:bCs/>
                <w:color w:val="4D4D4D"/>
                <w:sz w:val="17"/>
                <w:szCs w:val="17"/>
                <w:shd w:val="clear" w:color="auto" w:fill="FFFFFF"/>
              </w:rPr>
              <w:t>O</w:t>
            </w:r>
          </w:p>
        </w:tc>
        <w:tc>
          <w:tcPr>
            <w:tcW w:w="1423" w:type="dxa"/>
            <w:vMerge/>
          </w:tcPr>
          <w:p w14:paraId="3A791D07" w14:textId="77777777" w:rsidR="00E17B3C"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p>
        </w:tc>
        <w:tc>
          <w:tcPr>
            <w:tcW w:w="1288" w:type="dxa"/>
          </w:tcPr>
          <w:p w14:paraId="535B7261" w14:textId="77777777" w:rsidR="00E17B3C" w:rsidRPr="00D920FB"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Pr>
                <w:rFonts w:asciiTheme="majorBidi" w:hAnsiTheme="majorBidi" w:cstheme="majorBidi"/>
                <w:bCs/>
                <w:color w:val="000000" w:themeColor="text1"/>
              </w:rPr>
              <w:t>0.12</w:t>
            </w:r>
          </w:p>
        </w:tc>
        <w:tc>
          <w:tcPr>
            <w:tcW w:w="1493" w:type="dxa"/>
          </w:tcPr>
          <w:p w14:paraId="763FCF19" w14:textId="77777777" w:rsidR="00E17B3C"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p>
        </w:tc>
        <w:tc>
          <w:tcPr>
            <w:tcW w:w="3055" w:type="dxa"/>
          </w:tcPr>
          <w:p w14:paraId="08F8E673" w14:textId="77777777" w:rsidR="00E17B3C" w:rsidRPr="00D920FB"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p>
        </w:tc>
      </w:tr>
      <w:tr w:rsidR="00E17B3C" w14:paraId="553CD35B" w14:textId="77777777" w:rsidTr="00E17B3C">
        <w:tc>
          <w:tcPr>
            <w:tcW w:w="2234" w:type="dxa"/>
          </w:tcPr>
          <w:p w14:paraId="03AAE8E2" w14:textId="77777777" w:rsidR="00E17B3C" w:rsidRDefault="00E17B3C" w:rsidP="00D82647">
            <w:r>
              <w:rPr>
                <w:rFonts w:ascii="Arial" w:hAnsi="Arial" w:cs="Arial"/>
                <w:color w:val="202124"/>
                <w:sz w:val="21"/>
                <w:szCs w:val="21"/>
                <w:shd w:val="clear" w:color="auto" w:fill="FFFFFF"/>
              </w:rPr>
              <w:t>NaCl</w:t>
            </w:r>
          </w:p>
          <w:p w14:paraId="4EB4DF32" w14:textId="77777777" w:rsidR="00E17B3C" w:rsidRDefault="00E17B3C" w:rsidP="00D82647">
            <w:pPr>
              <w:rPr>
                <w:rFonts w:ascii="Arial" w:hAnsi="Arial" w:cs="Arial"/>
                <w:b/>
                <w:bCs/>
                <w:color w:val="4D4D4D"/>
                <w:sz w:val="17"/>
                <w:szCs w:val="17"/>
                <w:shd w:val="clear" w:color="auto" w:fill="FFFFFF"/>
              </w:rPr>
            </w:pPr>
          </w:p>
        </w:tc>
        <w:tc>
          <w:tcPr>
            <w:tcW w:w="1423" w:type="dxa"/>
            <w:vMerge/>
          </w:tcPr>
          <w:p w14:paraId="0BE36ABE" w14:textId="77777777" w:rsidR="00E17B3C"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p>
        </w:tc>
        <w:tc>
          <w:tcPr>
            <w:tcW w:w="1288" w:type="dxa"/>
          </w:tcPr>
          <w:p w14:paraId="2E82ABE1" w14:textId="77777777" w:rsidR="00E17B3C" w:rsidRPr="00D920FB"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r>
              <w:rPr>
                <w:rFonts w:asciiTheme="majorBidi" w:hAnsiTheme="majorBidi" w:cstheme="majorBidi"/>
                <w:bCs/>
                <w:color w:val="000000" w:themeColor="text1"/>
              </w:rPr>
              <w:t>5.85</w:t>
            </w:r>
          </w:p>
        </w:tc>
        <w:tc>
          <w:tcPr>
            <w:tcW w:w="1493" w:type="dxa"/>
          </w:tcPr>
          <w:p w14:paraId="66089AB2" w14:textId="77777777" w:rsidR="00E17B3C"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p>
        </w:tc>
        <w:tc>
          <w:tcPr>
            <w:tcW w:w="3055" w:type="dxa"/>
          </w:tcPr>
          <w:p w14:paraId="73239533" w14:textId="77777777" w:rsidR="00E17B3C" w:rsidRPr="00D920FB" w:rsidRDefault="00E17B3C" w:rsidP="00D82647">
            <w:pPr>
              <w:widowControl w:val="0"/>
              <w:autoSpaceDE w:val="0"/>
              <w:autoSpaceDN w:val="0"/>
              <w:adjustRightInd w:val="0"/>
              <w:spacing w:after="240" w:line="360" w:lineRule="auto"/>
              <w:jc w:val="center"/>
              <w:rPr>
                <w:rFonts w:asciiTheme="majorBidi" w:hAnsiTheme="majorBidi" w:cstheme="majorBidi"/>
                <w:bCs/>
                <w:color w:val="000000" w:themeColor="text1"/>
              </w:rPr>
            </w:pPr>
          </w:p>
        </w:tc>
      </w:tr>
    </w:tbl>
    <w:p w14:paraId="19853BA7" w14:textId="415AAF61" w:rsidR="0019038E" w:rsidRDefault="0019038E" w:rsidP="0019038E">
      <w:pPr>
        <w:widowControl w:val="0"/>
        <w:autoSpaceDE w:val="0"/>
        <w:autoSpaceDN w:val="0"/>
        <w:adjustRightInd w:val="0"/>
        <w:spacing w:afterLines="280" w:after="672" w:line="360" w:lineRule="auto"/>
        <w:jc w:val="lowKashida"/>
        <w:rPr>
          <w:bCs/>
          <w:color w:val="000000" w:themeColor="text1"/>
        </w:rPr>
      </w:pPr>
    </w:p>
    <w:p w14:paraId="4F06E990" w14:textId="77777777" w:rsidR="00794E9E" w:rsidRPr="002932E6" w:rsidRDefault="00794E9E" w:rsidP="0019038E">
      <w:pPr>
        <w:widowControl w:val="0"/>
        <w:autoSpaceDE w:val="0"/>
        <w:autoSpaceDN w:val="0"/>
        <w:adjustRightInd w:val="0"/>
        <w:spacing w:afterLines="280" w:after="672" w:line="360" w:lineRule="auto"/>
        <w:jc w:val="lowKashida"/>
        <w:rPr>
          <w:bCs/>
          <w:color w:val="000000" w:themeColor="text1"/>
        </w:rPr>
      </w:pPr>
    </w:p>
    <w:p w14:paraId="274E373B" w14:textId="77777777" w:rsidR="0019038E" w:rsidRDefault="0019038E" w:rsidP="0019038E">
      <w:pPr>
        <w:pStyle w:val="Heading3"/>
      </w:pPr>
      <w:bookmarkStart w:id="36" w:name="_Toc83751421"/>
      <w:r w:rsidRPr="002932E6">
        <w:lastRenderedPageBreak/>
        <w:t>2.2.5 Growth measurements</w:t>
      </w:r>
      <w:bookmarkEnd w:id="36"/>
    </w:p>
    <w:p w14:paraId="7EA9A9CC" w14:textId="77777777" w:rsidR="0019038E" w:rsidRPr="00EB599C" w:rsidRDefault="0019038E" w:rsidP="0019038E"/>
    <w:p w14:paraId="4DE3EF5E" w14:textId="50865667" w:rsidR="0019038E" w:rsidRPr="002932E6" w:rsidRDefault="0019038E" w:rsidP="00794E9E">
      <w:pPr>
        <w:pStyle w:val="mythesis"/>
      </w:pPr>
      <w:r w:rsidRPr="002932E6">
        <w:t xml:space="preserve">      </w:t>
      </w:r>
      <w:r w:rsidR="00BF1858">
        <w:t xml:space="preserve">The </w:t>
      </w:r>
      <w:r w:rsidR="00BF1858" w:rsidRPr="002932E6">
        <w:t xml:space="preserve">height of the </w:t>
      </w:r>
      <w:r w:rsidR="00BF1858">
        <w:t>maize cultivares were</w:t>
      </w:r>
      <w:r w:rsidR="00BF1858" w:rsidRPr="002932E6">
        <w:t xml:space="preserve"> measured weekly </w:t>
      </w:r>
      <w:r w:rsidR="00BF1858">
        <w:t xml:space="preserve">(cm) </w:t>
      </w:r>
      <w:r w:rsidR="00BF1858" w:rsidRPr="002932E6">
        <w:t>by placing a ruler at soil level and measuring to the highest point</w:t>
      </w:r>
      <w:r w:rsidR="00BF1858">
        <w:t>(</w:t>
      </w:r>
      <w:r w:rsidR="00BF1858" w:rsidRPr="002932E6">
        <w:t xml:space="preserve"> stem tip or leaves)</w:t>
      </w:r>
      <w:r w:rsidR="00BF1858">
        <w:t>.</w:t>
      </w:r>
    </w:p>
    <w:p w14:paraId="3C62D785" w14:textId="6E93DCF8" w:rsidR="0019038E" w:rsidRDefault="0019038E" w:rsidP="0019038E">
      <w:pPr>
        <w:pStyle w:val="Heading3"/>
      </w:pPr>
      <w:bookmarkStart w:id="37" w:name="_Toc83751422"/>
      <w:r w:rsidRPr="002932E6">
        <w:t xml:space="preserve">2.2.6 </w:t>
      </w:r>
      <w:r w:rsidR="007A5C0C">
        <w:t>Plant</w:t>
      </w:r>
      <w:r w:rsidRPr="002932E6">
        <w:t xml:space="preserve"> biomass</w:t>
      </w:r>
      <w:bookmarkEnd w:id="37"/>
    </w:p>
    <w:p w14:paraId="36F2D226" w14:textId="77777777" w:rsidR="0019038E" w:rsidRPr="00EB599C" w:rsidRDefault="0019038E" w:rsidP="0019038E"/>
    <w:p w14:paraId="1C74C490" w14:textId="7A60CE98" w:rsidR="0019038E" w:rsidRPr="002932E6" w:rsidRDefault="0019038E" w:rsidP="00794E9E">
      <w:pPr>
        <w:pStyle w:val="mythesis"/>
      </w:pPr>
      <w:r w:rsidRPr="002932E6">
        <w:t xml:space="preserve">       The shoots and roots were separated, the fresh weight of the shoot and root were recorded, the disks from the shoot were immediately submerged in liquid nitrogen and stored in -80°C for metabolism analysis, the dry weight of roots and shoots were measured after drying in an oven for</w:t>
      </w:r>
      <w:r w:rsidRPr="002932E6">
        <w:rPr>
          <w:rFonts w:eastAsia="Songti SC"/>
        </w:rPr>
        <w:t xml:space="preserve"> 2-3 days at </w:t>
      </w:r>
      <w:r w:rsidRPr="002932E6">
        <w:t>80°C</w:t>
      </w:r>
      <w:r w:rsidRPr="002932E6">
        <w:rPr>
          <w:rFonts w:eastAsia="Songti SC"/>
        </w:rPr>
        <w:t>,</w:t>
      </w:r>
      <w:r w:rsidRPr="002932E6">
        <w:t xml:space="preserve"> until constant weight was attained. Shoots and roots of maize were ground and prepared for the Total-N and P analysis by Hydrogen Peroxide method.</w:t>
      </w:r>
    </w:p>
    <w:p w14:paraId="46A58A19" w14:textId="77777777" w:rsidR="0019038E" w:rsidRDefault="0019038E" w:rsidP="0019038E">
      <w:pPr>
        <w:pStyle w:val="Heading3"/>
      </w:pPr>
      <w:bookmarkStart w:id="38" w:name="_Toc83751423"/>
      <w:r w:rsidRPr="002932E6">
        <w:t>2.2.7 AMF root colonization</w:t>
      </w:r>
      <w:bookmarkEnd w:id="38"/>
    </w:p>
    <w:p w14:paraId="57AFCD5A" w14:textId="77777777" w:rsidR="0019038E" w:rsidRPr="00EB599C" w:rsidRDefault="0019038E" w:rsidP="0019038E"/>
    <w:p w14:paraId="0E65E198" w14:textId="41727626" w:rsidR="0019038E" w:rsidRDefault="0019038E" w:rsidP="00794E9E">
      <w:pPr>
        <w:pStyle w:val="mythesis"/>
      </w:pPr>
      <w:r w:rsidRPr="002932E6">
        <w:t xml:space="preserve">      The percentage of root colonization by AMF was </w:t>
      </w:r>
      <w:r w:rsidR="003A2433">
        <w:t>estimated</w:t>
      </w:r>
      <w:r w:rsidRPr="002932E6">
        <w:t xml:space="preserve"> from a random subsample of fresh roots. </w:t>
      </w:r>
      <w:r w:rsidR="000C01C6">
        <w:t>The root</w:t>
      </w:r>
      <w:r w:rsidRPr="002932E6">
        <w:t xml:space="preserve"> segments were cut </w:t>
      </w:r>
      <w:r w:rsidRPr="005149C5">
        <w:t xml:space="preserve">into 10 </w:t>
      </w:r>
      <w:r w:rsidRPr="002932E6">
        <w:t xml:space="preserve">cm pieces, washed with water then placed in cassettes then cleared with 10% potassium hydroxide </w:t>
      </w:r>
      <w:r w:rsidR="000C01C6">
        <w:t xml:space="preserve">solution </w:t>
      </w:r>
      <w:r w:rsidRPr="002932E6">
        <w:t xml:space="preserve">(KOH) for 60 min at 90 °C, Cassettes were removed from the KOH solution, washed with water several times, then soaked in 10 % hydrochloric acid (HCl) for 1 hour at 50 °C, then the cassettes were immediately transferred to a container of Trypan Blue Solution and kept at 90 °C for 1 hour. Cassettes were then removed from the Trypan Blue Solution to a 50% glycerol and kept overnight then 10 cm root length </w:t>
      </w:r>
      <w:r w:rsidR="000C01C6">
        <w:t>was</w:t>
      </w:r>
      <w:r w:rsidRPr="002932E6">
        <w:t xml:space="preserve"> placed </w:t>
      </w:r>
      <w:r w:rsidR="000C01C6">
        <w:t>on</w:t>
      </w:r>
      <w:r w:rsidRPr="002932E6">
        <w:t xml:space="preserve"> a microscopy slide with drop of 80% glycerol and examined </w:t>
      </w:r>
      <w:r w:rsidR="00201185">
        <w:t xml:space="preserve">at </w:t>
      </w:r>
      <w:r w:rsidRPr="002932E6">
        <w:t xml:space="preserve">40x for the presence of vesicles, arbuscules, and hyphae. Percentage root colonization was determined </w:t>
      </w:r>
      <w:r w:rsidR="00201185">
        <w:t>according to</w:t>
      </w:r>
      <w:r w:rsidRPr="002932E6">
        <w:t xml:space="preserve"> </w:t>
      </w:r>
      <w:sdt>
        <w:sdtPr>
          <w:tag w:val="MENDELEY_CITATION_v3_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"/>
          <w:id w:val="-1863977764"/>
          <w:placeholder>
            <w:docPart w:val="EB4DF83074D7D1438FD831B7D71D5FFB"/>
          </w:placeholder>
        </w:sdtPr>
        <w:sdtEndPr>
          <w:rPr>
            <w:color w:val="FF0000"/>
          </w:rPr>
        </w:sdtEndPr>
        <w:sdtContent>
          <w:r w:rsidR="005E3F83">
            <w:t>(Brundrett et al., 1996; Giovannetti &amp; Mosse, 1980)</w:t>
          </w:r>
          <w:r w:rsidR="00201185">
            <w:t>.</w:t>
          </w:r>
        </w:sdtContent>
      </w:sdt>
      <w:r w:rsidRPr="002932E6">
        <w:t xml:space="preserve"> The staining process was applied </w:t>
      </w:r>
      <w:sdt>
        <w:sdtPr>
          <w:tag w:val="MENDELEY_CITATION_v3_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"/>
          <w:id w:val="-227923297"/>
          <w:placeholder>
            <w:docPart w:val="EB4DF83074D7D1438FD831B7D71D5FFB"/>
          </w:placeholder>
        </w:sdtPr>
        <w:sdtContent>
          <w:r w:rsidR="005E3F83">
            <w:t>(Phillips &amp; Hayman, 1970)</w:t>
          </w:r>
        </w:sdtContent>
      </w:sdt>
      <w:r w:rsidRPr="002932E6">
        <w:t xml:space="preserve"> with some modification </w:t>
      </w:r>
      <w:sdt>
        <w:sdtPr>
          <w:tag w:val="MENDELEY_CITATION_v3_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"/>
          <w:id w:val="-1879762543"/>
          <w:placeholder>
            <w:docPart w:val="EB4DF83074D7D1438FD831B7D71D5FFB"/>
          </w:placeholder>
        </w:sdtPr>
        <w:sdtContent>
          <w:r w:rsidR="005E3F83">
            <w:t>(Koske &amp; Gemma, 1989)</w:t>
          </w:r>
        </w:sdtContent>
      </w:sdt>
      <w:r w:rsidRPr="002932E6">
        <w:t>.</w:t>
      </w:r>
    </w:p>
    <w:p w14:paraId="12F572D7" w14:textId="7DBCD441" w:rsidR="00794E9E" w:rsidRDefault="00794E9E" w:rsidP="00794E9E">
      <w:pPr>
        <w:pStyle w:val="mythesis"/>
      </w:pPr>
    </w:p>
    <w:p w14:paraId="5027BE98" w14:textId="56EACBAF" w:rsidR="00794E9E" w:rsidRDefault="00794E9E" w:rsidP="00794E9E">
      <w:pPr>
        <w:pStyle w:val="mythesis"/>
      </w:pPr>
    </w:p>
    <w:p w14:paraId="0894DB09" w14:textId="77777777" w:rsidR="000C01C6" w:rsidRPr="002932E6" w:rsidRDefault="000C01C6" w:rsidP="00794E9E">
      <w:pPr>
        <w:pStyle w:val="mythesis"/>
      </w:pPr>
    </w:p>
    <w:p w14:paraId="758C4D45" w14:textId="77777777" w:rsidR="0019038E" w:rsidRDefault="0019038E" w:rsidP="0019038E">
      <w:pPr>
        <w:pStyle w:val="Heading3"/>
      </w:pPr>
      <w:bookmarkStart w:id="39" w:name="_Toc83751424"/>
      <w:r w:rsidRPr="002932E6">
        <w:lastRenderedPageBreak/>
        <w:t>2.2.8 Shoot &amp; Root nutrient uptake</w:t>
      </w:r>
      <w:bookmarkEnd w:id="39"/>
    </w:p>
    <w:p w14:paraId="227D5418" w14:textId="77777777" w:rsidR="0019038E" w:rsidRPr="00EB599C" w:rsidRDefault="0019038E" w:rsidP="0019038E"/>
    <w:p w14:paraId="3D0FD24B" w14:textId="77777777" w:rsidR="0019038E" w:rsidRDefault="0019038E" w:rsidP="0019038E">
      <w:pPr>
        <w:pStyle w:val="Heading4"/>
      </w:pPr>
      <w:bookmarkStart w:id="40" w:name="_Toc83751425"/>
      <w:r w:rsidRPr="00C933A9">
        <w:t>2.2.8.1 Acid digestion for shoot and root tissue</w:t>
      </w:r>
      <w:bookmarkEnd w:id="40"/>
    </w:p>
    <w:p w14:paraId="23035C38" w14:textId="77777777" w:rsidR="0019038E" w:rsidRPr="00EB599C" w:rsidRDefault="0019038E" w:rsidP="0019038E"/>
    <w:p w14:paraId="52F58312" w14:textId="4FCEFD59" w:rsidR="0019038E" w:rsidRPr="002932E6" w:rsidRDefault="0040293E" w:rsidP="00794E9E">
      <w:pPr>
        <w:pStyle w:val="mythesis"/>
      </w:pPr>
      <w:r>
        <w:t>The shoot</w:t>
      </w:r>
      <w:r w:rsidR="0019038E" w:rsidRPr="002932E6">
        <w:t xml:space="preserve"> and roots tissue of maize were ground (IKA A10 basic) until the tissue became very fine powder and then storied in vials for the acid digestion analysis. Total-N and P </w:t>
      </w:r>
      <w:r>
        <w:t>were measured</w:t>
      </w:r>
      <w:r w:rsidR="0019038E" w:rsidRPr="002932E6">
        <w:t xml:space="preserve"> by Hydrogen Peroxide method.</w:t>
      </w:r>
    </w:p>
    <w:p w14:paraId="2FB22241" w14:textId="630CBB6F" w:rsidR="0019038E" w:rsidRPr="00EB599C" w:rsidRDefault="0040293E" w:rsidP="00794E9E">
      <w:pPr>
        <w:pStyle w:val="mythesis"/>
      </w:pPr>
      <w:r>
        <w:t xml:space="preserve">The </w:t>
      </w:r>
      <w:r w:rsidR="0019038E" w:rsidRPr="002932E6">
        <w:t xml:space="preserve">grind powder </w:t>
      </w:r>
      <w:r>
        <w:t xml:space="preserve">(0.05gm) </w:t>
      </w:r>
      <w:r w:rsidR="0019038E" w:rsidRPr="002932E6">
        <w:t xml:space="preserve">was weighted from each samples of shoot and root and placed </w:t>
      </w:r>
      <w:r>
        <w:t>in a</w:t>
      </w:r>
      <w:r w:rsidR="0019038E" w:rsidRPr="002932E6">
        <w:t xml:space="preserve"> test tube , 1 ml of Sulfuric acid (</w:t>
      </w:r>
      <w:r w:rsidR="0019038E" w:rsidRPr="002932E6">
        <w:rPr>
          <w:shd w:val="clear" w:color="auto" w:fill="FFFFFF"/>
        </w:rPr>
        <w:t>H₂SO₄)</w:t>
      </w:r>
      <w:r>
        <w:rPr>
          <w:shd w:val="clear" w:color="auto" w:fill="FFFFFF"/>
        </w:rPr>
        <w:t xml:space="preserve"> </w:t>
      </w:r>
      <w:r w:rsidR="0019038E" w:rsidRPr="002932E6">
        <w:t xml:space="preserve">was added and vortex and kept covered with cold finger overnight, the tube was placed in the block heater (Grant-Bio BT5D series high temperature block heater) at temperature of 250 °C until the temperature reach 365 °C then when the vapor began to rise up the tube was lifted from the block heated and placed inside a metal rack </w:t>
      </w:r>
      <w:r>
        <w:t>till</w:t>
      </w:r>
      <w:r w:rsidR="0019038E" w:rsidRPr="002932E6">
        <w:t xml:space="preserve"> became cool</w:t>
      </w:r>
      <w:r>
        <w:t>,</w:t>
      </w:r>
      <w:r w:rsidR="0019038E" w:rsidRPr="002932E6">
        <w:t xml:space="preserve"> </w:t>
      </w:r>
      <w:r>
        <w:t xml:space="preserve">and </w:t>
      </w:r>
      <w:r w:rsidR="0019038E" w:rsidRPr="002932E6">
        <w:t>the  hydrogen peroxide (</w:t>
      </w:r>
      <w:r w:rsidR="0019038E" w:rsidRPr="002932E6">
        <w:rPr>
          <w:shd w:val="clear" w:color="auto" w:fill="FFFFFF"/>
        </w:rPr>
        <w:t>H</w:t>
      </w:r>
      <w:r w:rsidR="0019038E" w:rsidRPr="002932E6">
        <w:rPr>
          <w:shd w:val="clear" w:color="auto" w:fill="FFFFFF"/>
          <w:vertAlign w:val="subscript"/>
        </w:rPr>
        <w:t>2</w:t>
      </w:r>
      <w:r w:rsidR="0019038E" w:rsidRPr="002932E6">
        <w:rPr>
          <w:shd w:val="clear" w:color="auto" w:fill="FFFFFF"/>
        </w:rPr>
        <w:t>O</w:t>
      </w:r>
      <w:r w:rsidR="0019038E" w:rsidRPr="002932E6">
        <w:rPr>
          <w:shd w:val="clear" w:color="auto" w:fill="FFFFFF"/>
          <w:vertAlign w:val="subscript"/>
        </w:rPr>
        <w:t xml:space="preserve">2) </w:t>
      </w:r>
      <w:r w:rsidR="0019038E" w:rsidRPr="002932E6">
        <w:t xml:space="preserve">30% was added </w:t>
      </w:r>
      <w:r>
        <w:t>(</w:t>
      </w:r>
      <w:r w:rsidR="0019038E" w:rsidRPr="002932E6">
        <w:t xml:space="preserve">200 </w:t>
      </w:r>
      <w:r w:rsidR="0019038E" w:rsidRPr="002932E6">
        <w:rPr>
          <w:rStyle w:val="Emphasis"/>
          <w:rFonts w:eastAsiaTheme="majorEastAsia"/>
          <w:shd w:val="clear" w:color="auto" w:fill="FFFFFF"/>
        </w:rPr>
        <w:t>µl</w:t>
      </w:r>
      <w:r w:rsidR="0019038E" w:rsidRPr="002932E6">
        <w:t xml:space="preserve"> </w:t>
      </w:r>
      <w:r>
        <w:t xml:space="preserve">/time) </w:t>
      </w:r>
      <w:r w:rsidR="0019038E" w:rsidRPr="002932E6">
        <w:t xml:space="preserve">and it was placed in the block heater again with repeating the same process with an increase every 10 minutes, the same amount of the hydrogen peroxide was added approximately  1000 </w:t>
      </w:r>
      <w:r w:rsidR="0019038E" w:rsidRPr="002932E6">
        <w:rPr>
          <w:rStyle w:val="Emphasis"/>
          <w:rFonts w:eastAsiaTheme="majorEastAsia"/>
          <w:shd w:val="clear" w:color="auto" w:fill="FFFFFF"/>
        </w:rPr>
        <w:t>µl</w:t>
      </w:r>
      <w:r w:rsidR="0019038E" w:rsidRPr="002932E6">
        <w:t xml:space="preserve"> until the sample </w:t>
      </w:r>
      <w:r w:rsidR="00341762">
        <w:t>become</w:t>
      </w:r>
      <w:r w:rsidR="0019038E" w:rsidRPr="002932E6">
        <w:t xml:space="preserve"> colorless</w:t>
      </w:r>
      <w:r w:rsidR="00341762">
        <w:t>,</w:t>
      </w:r>
      <w:r w:rsidR="0019038E" w:rsidRPr="002932E6">
        <w:t xml:space="preserve"> thus, the sample was digested. </w:t>
      </w:r>
      <w:r w:rsidR="00341762">
        <w:t xml:space="preserve">The </w:t>
      </w:r>
      <w:r w:rsidR="0019038E" w:rsidRPr="002932E6">
        <w:t xml:space="preserve"> sample was left without cold finger overnight after that </w:t>
      </w:r>
      <w:r w:rsidR="00341762">
        <w:t>it</w:t>
      </w:r>
      <w:r w:rsidR="0019038E" w:rsidRPr="002932E6">
        <w:t xml:space="preserve"> was diluted by adding 9 ml distilled water and vortex then it stored at clean vials at -20 °C until use </w:t>
      </w:r>
      <w:sdt>
        <w:sdtPr>
          <w:rPr>
            <w:color w:val="000000"/>
          </w:rPr>
          <w:tag w:val="MENDELEY_CITATION_v3_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"/>
          <w:id w:val="-1002051554"/>
          <w:placeholder>
            <w:docPart w:val="EB4DF83074D7D1438FD831B7D71D5FFB"/>
          </w:placeholder>
        </w:sdtPr>
        <w:sdtContent>
          <w:r w:rsidR="005E3F83" w:rsidRPr="005E3F83">
            <w:rPr>
              <w:color w:val="000000"/>
            </w:rPr>
            <w:t>(Mizuno, 1980)</w:t>
          </w:r>
        </w:sdtContent>
      </w:sdt>
    </w:p>
    <w:p w14:paraId="5FD8F3D9" w14:textId="3474EA65" w:rsidR="0019038E" w:rsidRPr="002932E6" w:rsidRDefault="0019038E" w:rsidP="0019038E">
      <w:pPr>
        <w:pStyle w:val="Heading4"/>
      </w:pPr>
      <w:bookmarkStart w:id="41" w:name="_Toc83751426"/>
      <w:r w:rsidRPr="002932E6">
        <w:t>2.2.8.2 Phosphorus</w:t>
      </w:r>
      <w:r w:rsidR="00341762">
        <w:t xml:space="preserve"> (P)</w:t>
      </w:r>
      <w:r w:rsidRPr="002932E6">
        <w:t xml:space="preserve"> and Nitrogen </w:t>
      </w:r>
      <w:r w:rsidR="00341762">
        <w:t xml:space="preserve">(N) </w:t>
      </w:r>
      <w:r w:rsidRPr="002932E6">
        <w:t>analysis</w:t>
      </w:r>
      <w:bookmarkEnd w:id="41"/>
    </w:p>
    <w:p w14:paraId="210FBCAD" w14:textId="73D0D3F6" w:rsidR="0019038E" w:rsidRDefault="0019038E" w:rsidP="0019038E">
      <w:pPr>
        <w:pStyle w:val="Heading5"/>
      </w:pPr>
      <w:bookmarkStart w:id="42" w:name="_Toc83751427"/>
      <w:r w:rsidRPr="002932E6">
        <w:t>2.2.8.2.1 Total P concentration</w:t>
      </w:r>
      <w:bookmarkEnd w:id="42"/>
      <w:r w:rsidRPr="002932E6">
        <w:t xml:space="preserve"> </w:t>
      </w:r>
    </w:p>
    <w:p w14:paraId="2D607476" w14:textId="77777777" w:rsidR="00794E9E" w:rsidRPr="00794E9E" w:rsidRDefault="00794E9E" w:rsidP="00794E9E"/>
    <w:p w14:paraId="73C60173" w14:textId="49BF2DC1" w:rsidR="0019038E" w:rsidRPr="005149C5" w:rsidRDefault="0019038E" w:rsidP="00794E9E">
      <w:pPr>
        <w:pStyle w:val="mythesis"/>
      </w:pPr>
      <w:r w:rsidRPr="00794E9E">
        <w:t xml:space="preserve">     Total P concentrations were determined by colorimetric analysis (Spectrophotometer) using the P-molybdate blue color reaction the ammonium molybdate antimony potassium tartrate method adapted from </w:t>
      </w:r>
      <w:sdt>
        <w:sdtPr>
          <w:tag w:val="MENDELEY_CITATION_v3_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"/>
          <w:id w:val="-1737541704"/>
          <w:placeholder>
            <w:docPart w:val="EB4DF83074D7D1438FD831B7D71D5FFB"/>
          </w:placeholder>
        </w:sdtPr>
        <w:sdtContent>
          <w:r w:rsidR="005E3F83">
            <w:t>(Matt K John, 1970; Murphy &amp; Riley, 1962)</w:t>
          </w:r>
        </w:sdtContent>
      </w:sdt>
      <w:r w:rsidRPr="00794E9E">
        <w:t xml:space="preserve">. An aliquot of 0.5 ml of each sample was transferred to 4 ml cuvettes. To each aliquot 0.5 ml (3.44 M Sodium Hydroxide) and 0.2 ml of 0.1M L-ascorbic acid and 0.5 ml of the color developing ammonium molybdate and antimony potassium tartrate solution were added, and a final volume of 3.8 ml were made up </w:t>
      </w:r>
      <w:r w:rsidRPr="005149C5">
        <w:t>with d</w:t>
      </w:r>
      <w:r w:rsidR="000F2703" w:rsidRPr="005149C5">
        <w:t>.</w:t>
      </w:r>
      <w:r w:rsidRPr="005149C5">
        <w:t>H</w:t>
      </w:r>
      <w:r w:rsidRPr="005149C5">
        <w:rPr>
          <w:vertAlign w:val="subscript"/>
        </w:rPr>
        <w:t>2</w:t>
      </w:r>
      <w:r w:rsidRPr="005149C5">
        <w:t>O. 500 ml of the color developing solution contained 4.3ml sulphuric acid, 4.8 g of ammonium molybdate ((NH</w:t>
      </w:r>
      <w:r w:rsidRPr="005149C5">
        <w:rPr>
          <w:vertAlign w:val="subscript"/>
        </w:rPr>
        <w:t>4</w:t>
      </w:r>
      <w:r w:rsidRPr="005149C5">
        <w:t>) 6Mo</w:t>
      </w:r>
      <w:r w:rsidRPr="005149C5">
        <w:rPr>
          <w:vertAlign w:val="subscript"/>
        </w:rPr>
        <w:t>7</w:t>
      </w:r>
      <w:r w:rsidRPr="005149C5">
        <w:t>O</w:t>
      </w:r>
      <w:r w:rsidRPr="005149C5">
        <w:rPr>
          <w:vertAlign w:val="subscript"/>
        </w:rPr>
        <w:t>24</w:t>
      </w:r>
      <w:r w:rsidRPr="005149C5">
        <w:t>.4H</w:t>
      </w:r>
      <w:r w:rsidRPr="005149C5">
        <w:rPr>
          <w:vertAlign w:val="subscript"/>
        </w:rPr>
        <w:t>2</w:t>
      </w:r>
      <w:r w:rsidRPr="005149C5">
        <w:t>O) and 0.1 g of antimony potassium tartrate (C</w:t>
      </w:r>
      <w:r w:rsidRPr="005149C5">
        <w:rPr>
          <w:vertAlign w:val="subscript"/>
        </w:rPr>
        <w:t>6</w:t>
      </w:r>
      <w:r w:rsidRPr="005149C5">
        <w:t>H</w:t>
      </w:r>
      <w:r w:rsidRPr="005149C5">
        <w:rPr>
          <w:vertAlign w:val="subscript"/>
        </w:rPr>
        <w:t>4</w:t>
      </w:r>
      <w:r w:rsidRPr="005149C5">
        <w:t>O</w:t>
      </w:r>
      <w:r w:rsidRPr="005149C5">
        <w:rPr>
          <w:vertAlign w:val="subscript"/>
        </w:rPr>
        <w:t>7</w:t>
      </w:r>
      <w:r w:rsidRPr="005149C5">
        <w:t xml:space="preserve">SbK). The samples were left for 45 minutes for color development and absorbance subsequently measured on a spectrophotometer (Thermo Spectronic Helios Gamm UV-Vis Spectrophotometer 9423 UVG 1702E) at 882 nm. P concentrations were calculated by </w:t>
      </w:r>
      <w:r w:rsidRPr="005149C5">
        <w:lastRenderedPageBreak/>
        <w:t>using a P standard curve with P concentrations between 0 and 20 ppm of sodium di-hydrogen orthophosphate (NaH</w:t>
      </w:r>
      <w:r w:rsidRPr="005149C5">
        <w:rPr>
          <w:vertAlign w:val="subscript"/>
        </w:rPr>
        <w:t>2</w:t>
      </w:r>
      <w:r w:rsidRPr="005149C5">
        <w:t>PO</w:t>
      </w:r>
      <w:r w:rsidRPr="005149C5">
        <w:rPr>
          <w:vertAlign w:val="subscript"/>
        </w:rPr>
        <w:t>4</w:t>
      </w:r>
      <w:r w:rsidRPr="005149C5">
        <w:t>.H</w:t>
      </w:r>
      <w:r w:rsidRPr="005149C5">
        <w:rPr>
          <w:vertAlign w:val="subscript"/>
        </w:rPr>
        <w:t>2</w:t>
      </w:r>
      <w:r w:rsidRPr="005149C5">
        <w:t xml:space="preserve">O). The total P content was calculated as the sum of the content of all tissue components. </w:t>
      </w:r>
    </w:p>
    <w:p w14:paraId="0E32995C" w14:textId="6860A284" w:rsidR="0019038E" w:rsidRDefault="0019038E" w:rsidP="0019038E">
      <w:pPr>
        <w:pStyle w:val="Heading5"/>
      </w:pPr>
      <w:bookmarkStart w:id="43" w:name="_Toc83751428"/>
      <w:r w:rsidRPr="00405A4F">
        <w:t>2.2.8.2.2 Total N concentration</w:t>
      </w:r>
      <w:bookmarkEnd w:id="43"/>
      <w:r w:rsidRPr="00405A4F">
        <w:t xml:space="preserve"> </w:t>
      </w:r>
    </w:p>
    <w:p w14:paraId="5E477F03" w14:textId="77777777" w:rsidR="00794E9E" w:rsidRPr="005149C5" w:rsidRDefault="00794E9E" w:rsidP="00794E9E">
      <w:pPr>
        <w:rPr>
          <w:color w:val="000000" w:themeColor="text1"/>
        </w:rPr>
      </w:pPr>
    </w:p>
    <w:p w14:paraId="46320635" w14:textId="1727DB5D" w:rsidR="0019038E" w:rsidRPr="005149C5" w:rsidRDefault="0019038E" w:rsidP="00794E9E">
      <w:pPr>
        <w:pStyle w:val="mythesis"/>
      </w:pPr>
      <w:r w:rsidRPr="005149C5">
        <w:t xml:space="preserve">   Total N concentrations were determined by colorimetric analysis using the Sodium salicylate and DIC reagents. An aliquot of 0.05 ml of each sample was transferred to 4 ml cuvettes. To each aliquot 0.05 ml </w:t>
      </w:r>
      <w:r w:rsidR="009B520F" w:rsidRPr="005149C5">
        <w:t xml:space="preserve">of </w:t>
      </w:r>
      <w:r w:rsidRPr="005149C5">
        <w:t xml:space="preserve">(3.44 M Sodium Hydroxide) </w:t>
      </w:r>
      <w:r w:rsidR="009B520F" w:rsidRPr="005149C5">
        <w:t>,</w:t>
      </w:r>
      <w:r w:rsidRPr="005149C5">
        <w:t xml:space="preserve"> 1 ml Sodium salicylate reagent and 0.25 ml of DIC coloring reagent were added and a final volume of 3.8 ml were made up with d</w:t>
      </w:r>
      <w:r w:rsidR="003F1634" w:rsidRPr="005149C5">
        <w:t>.</w:t>
      </w:r>
      <w:r w:rsidRPr="005149C5">
        <w:t>H</w:t>
      </w:r>
      <w:r w:rsidRPr="005149C5">
        <w:rPr>
          <w:vertAlign w:val="subscript"/>
        </w:rPr>
        <w:t>2</w:t>
      </w:r>
      <w:r w:rsidRPr="005149C5">
        <w:t>O. 500 ml of the Sodium salicylate reagent contained 20 g tri-sodium citrate (labelled Sodium citrate dihydrate Na</w:t>
      </w:r>
      <w:r w:rsidRPr="005149C5">
        <w:rPr>
          <w:vertAlign w:val="subscript"/>
        </w:rPr>
        <w:t>3</w:t>
      </w:r>
      <w:r w:rsidRPr="005149C5">
        <w:t>C</w:t>
      </w:r>
      <w:r w:rsidRPr="005149C5">
        <w:rPr>
          <w:vertAlign w:val="subscript"/>
        </w:rPr>
        <w:t>6</w:t>
      </w:r>
      <w:r w:rsidRPr="005149C5">
        <w:t>H</w:t>
      </w:r>
      <w:r w:rsidRPr="005149C5">
        <w:rPr>
          <w:vertAlign w:val="subscript"/>
        </w:rPr>
        <w:t>5</w:t>
      </w:r>
      <w:r w:rsidRPr="005149C5">
        <w:t>O</w:t>
      </w:r>
      <w:r w:rsidRPr="005149C5">
        <w:rPr>
          <w:vertAlign w:val="subscript"/>
        </w:rPr>
        <w:t>7</w:t>
      </w:r>
      <w:r w:rsidRPr="005149C5">
        <w:t>),17 g salicylic acid,5 g sodium hydroxide and 0.2 g sodium nitro-prusside (labelled sodium nitroferricyanide (III) dihydrate C</w:t>
      </w:r>
      <w:r w:rsidRPr="005149C5">
        <w:rPr>
          <w:vertAlign w:val="subscript"/>
        </w:rPr>
        <w:t>5</w:t>
      </w:r>
      <w:r w:rsidRPr="005149C5">
        <w:t>FeN</w:t>
      </w:r>
      <w:r w:rsidRPr="005149C5">
        <w:rPr>
          <w:vertAlign w:val="subscript"/>
        </w:rPr>
        <w:t>6</w:t>
      </w:r>
      <w:r w:rsidRPr="005149C5">
        <w:t>Na</w:t>
      </w:r>
      <w:r w:rsidRPr="005149C5">
        <w:rPr>
          <w:vertAlign w:val="subscript"/>
        </w:rPr>
        <w:t>2</w:t>
      </w:r>
      <w:r w:rsidRPr="005149C5">
        <w:t>O).and 500 ml of the DIC coloring reagent contained 5 g sodium hydroxide (NaOH),0.4 g dichlorosyonurate (labelled dichloro-isocyanuric acid sodium salt C</w:t>
      </w:r>
      <w:r w:rsidRPr="005149C5">
        <w:rPr>
          <w:vertAlign w:val="subscript"/>
        </w:rPr>
        <w:t>3</w:t>
      </w:r>
      <w:r w:rsidRPr="005149C5">
        <w:t>Cl</w:t>
      </w:r>
      <w:r w:rsidRPr="005149C5">
        <w:rPr>
          <w:vertAlign w:val="subscript"/>
        </w:rPr>
        <w:t>2</w:t>
      </w:r>
      <w:r w:rsidRPr="005149C5">
        <w:t>N</w:t>
      </w:r>
      <w:r w:rsidRPr="005149C5">
        <w:rPr>
          <w:vertAlign w:val="subscript"/>
        </w:rPr>
        <w:t>3</w:t>
      </w:r>
      <w:r w:rsidRPr="005149C5">
        <w:t>O</w:t>
      </w:r>
      <w:r w:rsidRPr="005149C5">
        <w:rPr>
          <w:vertAlign w:val="subscript"/>
        </w:rPr>
        <w:t>3</w:t>
      </w:r>
      <w:r w:rsidRPr="005149C5">
        <w:t>Na).The samples were left for 30 minutes for color development and absorbance subsequently measured on a spectrophotometer (Thermo Spectronic Helios Gamm UV-Vis Spectrophotometer 9423 UVG 1702E) at 650 nm. N concentrations were calculated by using a N standard curve with N concentrations between 0 and 100 ppm of ammonium chloride (NH</w:t>
      </w:r>
      <w:r w:rsidRPr="005149C5">
        <w:rPr>
          <w:vertAlign w:val="subscript"/>
        </w:rPr>
        <w:t>4</w:t>
      </w:r>
      <w:r w:rsidRPr="005149C5">
        <w:t xml:space="preserve">Cl) according to </w:t>
      </w:r>
      <w:sdt>
        <w:sdtPr>
          <w:tag w:val="MENDELEY_CITATION_v3_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"/>
          <w:id w:val="435489809"/>
          <w:placeholder>
            <w:docPart w:val="C796E44BA29C7B49B74F3F722913E754"/>
          </w:placeholder>
        </w:sdtPr>
        <w:sdtContent>
          <w:r w:rsidR="005E3F83" w:rsidRPr="005149C5">
            <w:t xml:space="preserve">(Dong et al., 1987; Liu et al., 2013; Williams, 1964) </w:t>
          </w:r>
        </w:sdtContent>
      </w:sdt>
      <w:r w:rsidRPr="005149C5">
        <w:t>with some modification.</w:t>
      </w:r>
    </w:p>
    <w:p w14:paraId="08250A68" w14:textId="77777777" w:rsidR="0019038E" w:rsidRDefault="0019038E" w:rsidP="0019038E">
      <w:pPr>
        <w:pStyle w:val="Heading3"/>
      </w:pPr>
      <w:bookmarkStart w:id="44" w:name="_Toc83751429"/>
      <w:r w:rsidRPr="002932E6">
        <w:t>2.2.9 Mycorrhizal responsiveness</w:t>
      </w:r>
      <w:bookmarkEnd w:id="44"/>
    </w:p>
    <w:p w14:paraId="100CE185" w14:textId="77777777" w:rsidR="0019038E" w:rsidRPr="005F10D8" w:rsidRDefault="0019038E" w:rsidP="0019038E"/>
    <w:p w14:paraId="59346576" w14:textId="665ED06B" w:rsidR="0019038E" w:rsidRPr="00794E9E" w:rsidRDefault="0019038E" w:rsidP="00794E9E">
      <w:pPr>
        <w:pStyle w:val="mythesis"/>
      </w:pPr>
      <w:r>
        <w:t xml:space="preserve">        </w:t>
      </w:r>
      <w:r w:rsidRPr="00175701">
        <w:t xml:space="preserve"> </w:t>
      </w:r>
      <w:r w:rsidRPr="00794E9E">
        <w:t xml:space="preserve">The mycorrhizal responsiveness was calculated by subtracting the </w:t>
      </w:r>
      <w:r w:rsidR="00820046" w:rsidRPr="00794E9E">
        <w:t xml:space="preserve">average </w:t>
      </w:r>
      <w:r w:rsidR="00F60C1B">
        <w:t xml:space="preserve">of </w:t>
      </w:r>
      <w:r w:rsidRPr="00794E9E">
        <w:t xml:space="preserve">non-inoculated shoot biomass </w:t>
      </w:r>
      <w:r w:rsidR="00820046" w:rsidRPr="00794E9E">
        <w:t xml:space="preserve">for each cultivar </w:t>
      </w:r>
      <w:r w:rsidRPr="00794E9E">
        <w:t xml:space="preserve">from the </w:t>
      </w:r>
      <w:r w:rsidR="00820046" w:rsidRPr="00794E9E">
        <w:t xml:space="preserve">individual replicate </w:t>
      </w:r>
      <w:r w:rsidRPr="00794E9E">
        <w:t>inoculated shoot biomass</w:t>
      </w:r>
      <w:r w:rsidR="00820046" w:rsidRPr="00794E9E">
        <w:t xml:space="preserve"> of the corresponding cultivar.</w:t>
      </w:r>
    </w:p>
    <w:p w14:paraId="4A2537E8" w14:textId="77777777" w:rsidR="0019038E" w:rsidRDefault="0019038E" w:rsidP="0019038E">
      <w:pPr>
        <w:pStyle w:val="Heading3"/>
      </w:pPr>
      <w:bookmarkStart w:id="45" w:name="_Toc83751430"/>
      <w:r w:rsidRPr="002932E6">
        <w:t>2.2.10 Statistical analysis</w:t>
      </w:r>
      <w:bookmarkEnd w:id="45"/>
    </w:p>
    <w:p w14:paraId="10DEA988" w14:textId="77777777" w:rsidR="0019038E" w:rsidRPr="00175701" w:rsidRDefault="0019038E" w:rsidP="0019038E">
      <w:pPr>
        <w:rPr>
          <w:rFonts w:eastAsia="MS Mincho"/>
        </w:rPr>
      </w:pPr>
    </w:p>
    <w:p w14:paraId="491A8F9C" w14:textId="77777777" w:rsidR="0019038E" w:rsidRPr="002932E6" w:rsidRDefault="0019038E" w:rsidP="00794E9E">
      <w:pPr>
        <w:pStyle w:val="mythesis"/>
      </w:pPr>
      <w:r w:rsidRPr="002932E6">
        <w:t>Root staining data reflecting AMF colonization percentage was transformed into the ArcSin-square root values then the differences in the mean were evaluated by employing a one-way</w:t>
      </w:r>
      <w:r w:rsidRPr="002932E6">
        <w:rPr>
          <w:rtl/>
        </w:rPr>
        <w:t xml:space="preserve"> </w:t>
      </w:r>
      <w:r w:rsidRPr="002932E6">
        <w:rPr>
          <w:lang w:val="en-GB"/>
        </w:rPr>
        <w:t xml:space="preserve">and </w:t>
      </w:r>
      <w:r w:rsidRPr="002932E6">
        <w:t>analysis of variance (ANOVA) (</w:t>
      </w:r>
      <w:r w:rsidRPr="002932E6">
        <w:rPr>
          <w:i/>
        </w:rPr>
        <w:t xml:space="preserve">p </w:t>
      </w:r>
      <w:r w:rsidRPr="002932E6">
        <w:t>&lt; 0.05). Significant differences between means were determined by Tukey’s test (</w:t>
      </w:r>
      <w:r w:rsidRPr="002932E6">
        <w:rPr>
          <w:i/>
        </w:rPr>
        <w:t xml:space="preserve">p </w:t>
      </w:r>
      <w:r w:rsidRPr="002932E6">
        <w:t xml:space="preserve">&lt; 0.05). </w:t>
      </w:r>
    </w:p>
    <w:p w14:paraId="1B043F45" w14:textId="573423F0" w:rsidR="0019038E" w:rsidRPr="005149C5" w:rsidRDefault="0019038E" w:rsidP="00794E9E">
      <w:pPr>
        <w:pStyle w:val="mythesis"/>
      </w:pPr>
      <w:r w:rsidRPr="002932E6">
        <w:lastRenderedPageBreak/>
        <w:t xml:space="preserve">Plant height and plant biomass data were analyzed using Minitab and Prism (Graphpad) software. Significant differences were detected by employing a </w:t>
      </w:r>
      <w:r w:rsidRPr="005149C5">
        <w:rPr>
          <w:lang w:val="en-GB"/>
        </w:rPr>
        <w:t xml:space="preserve">two- way </w:t>
      </w:r>
      <w:r w:rsidRPr="005149C5">
        <w:t>analysis of variance (ANOVA) (</w:t>
      </w:r>
      <w:r w:rsidRPr="005149C5">
        <w:rPr>
          <w:i/>
        </w:rPr>
        <w:t xml:space="preserve">p </w:t>
      </w:r>
      <w:r w:rsidRPr="005149C5">
        <w:t>&lt; 0.05). Significant differences between means were determined by Tukey’s test (</w:t>
      </w:r>
      <w:r w:rsidRPr="005149C5">
        <w:rPr>
          <w:i/>
        </w:rPr>
        <w:t xml:space="preserve">p </w:t>
      </w:r>
      <w:r w:rsidRPr="005149C5">
        <w:t xml:space="preserve">&lt; 0.05). </w:t>
      </w:r>
    </w:p>
    <w:p w14:paraId="0CFC0D9D" w14:textId="792A4B74" w:rsidR="0019038E" w:rsidRPr="002932E6" w:rsidRDefault="0019038E" w:rsidP="00794E9E">
      <w:pPr>
        <w:pStyle w:val="mythesis"/>
      </w:pPr>
      <w:r w:rsidRPr="005149C5">
        <w:t xml:space="preserve">plant nutrient uptake data were analyzed using Prism (Graphpad) software. Data were transformed into the ArcSin-square root values then the differences in the mean were evaluated by employing a </w:t>
      </w:r>
      <w:r w:rsidR="00F56D46" w:rsidRPr="005149C5">
        <w:t xml:space="preserve">two </w:t>
      </w:r>
      <w:r w:rsidRPr="005149C5">
        <w:t>way</w:t>
      </w:r>
      <w:r w:rsidRPr="005149C5">
        <w:rPr>
          <w:rtl/>
        </w:rPr>
        <w:t xml:space="preserve"> </w:t>
      </w:r>
      <w:r w:rsidRPr="005149C5">
        <w:t>analysis of</w:t>
      </w:r>
      <w:r w:rsidRPr="00F56D46">
        <w:t xml:space="preserve"> variance (ANOVA) </w:t>
      </w:r>
      <w:r w:rsidRPr="002932E6">
        <w:t>(</w:t>
      </w:r>
      <w:r w:rsidRPr="002932E6">
        <w:rPr>
          <w:i/>
        </w:rPr>
        <w:t xml:space="preserve">p </w:t>
      </w:r>
      <w:r w:rsidRPr="002932E6">
        <w:t>&lt; 0.05). Significant differences between means were determined by Tukey’s test (</w:t>
      </w:r>
      <w:r w:rsidRPr="002932E6">
        <w:rPr>
          <w:i/>
        </w:rPr>
        <w:t xml:space="preserve">p </w:t>
      </w:r>
      <w:r w:rsidRPr="002932E6">
        <w:t xml:space="preserve">&lt; 0.05). </w:t>
      </w:r>
    </w:p>
    <w:p w14:paraId="3CA307D1" w14:textId="77777777" w:rsidR="0019038E" w:rsidRPr="002932E6" w:rsidRDefault="0019038E" w:rsidP="00794E9E">
      <w:pPr>
        <w:pStyle w:val="mythesis"/>
      </w:pPr>
    </w:p>
    <w:p w14:paraId="556FB737" w14:textId="77777777" w:rsidR="0019038E" w:rsidRPr="002932E6" w:rsidRDefault="0019038E" w:rsidP="0019038E">
      <w:pPr>
        <w:pStyle w:val="NormalWeb"/>
        <w:spacing w:afterLines="280" w:after="672" w:afterAutospacing="0" w:line="360" w:lineRule="auto"/>
        <w:jc w:val="lowKashida"/>
        <w:rPr>
          <w:color w:val="000000" w:themeColor="text1"/>
        </w:rPr>
      </w:pPr>
    </w:p>
    <w:p w14:paraId="39D48E1A" w14:textId="77777777" w:rsidR="0019038E" w:rsidRPr="002932E6" w:rsidRDefault="0019038E" w:rsidP="0019038E">
      <w:pPr>
        <w:pStyle w:val="NormalWeb"/>
        <w:spacing w:afterLines="280" w:after="672" w:afterAutospacing="0" w:line="360" w:lineRule="auto"/>
        <w:jc w:val="lowKashida"/>
        <w:rPr>
          <w:color w:val="000000" w:themeColor="text1"/>
        </w:rPr>
      </w:pPr>
    </w:p>
    <w:p w14:paraId="2A5C3C1C" w14:textId="77777777" w:rsidR="0019038E" w:rsidRDefault="0019038E" w:rsidP="0019038E">
      <w:pPr>
        <w:pStyle w:val="mythesis"/>
      </w:pPr>
    </w:p>
    <w:p w14:paraId="2F7ACEA5" w14:textId="77777777" w:rsidR="0019038E" w:rsidRPr="002932E6" w:rsidRDefault="0019038E" w:rsidP="0019038E">
      <w:pPr>
        <w:pStyle w:val="Heading2"/>
      </w:pPr>
      <w:bookmarkStart w:id="46" w:name="_Toc83751431"/>
      <w:r w:rsidRPr="002932E6">
        <w:lastRenderedPageBreak/>
        <w:t>2.3 Results</w:t>
      </w:r>
      <w:bookmarkEnd w:id="46"/>
    </w:p>
    <w:p w14:paraId="15566CEE" w14:textId="77777777" w:rsidR="0019038E" w:rsidRPr="00535B61" w:rsidRDefault="0019038E" w:rsidP="0019038E">
      <w:pPr>
        <w:pStyle w:val="Heading3"/>
      </w:pPr>
      <w:bookmarkStart w:id="47" w:name="_Toc83751432"/>
      <w:r w:rsidRPr="002932E6">
        <w:t>2.3.1 Arbuscular mycorrhizal root colonization</w:t>
      </w:r>
      <w:bookmarkEnd w:id="47"/>
      <w:r w:rsidRPr="002932E6">
        <w:t xml:space="preserve"> </w:t>
      </w:r>
    </w:p>
    <w:p w14:paraId="2F9DA9E6" w14:textId="77777777" w:rsidR="0019038E" w:rsidRDefault="0019038E" w:rsidP="0019038E">
      <w:pPr>
        <w:keepNext/>
        <w:spacing w:afterLines="280" w:after="672" w:line="360" w:lineRule="auto"/>
        <w:jc w:val="lowKashida"/>
      </w:pPr>
      <w:r w:rsidRPr="002932E6">
        <w:t xml:space="preserve">             </w:t>
      </w:r>
      <w:r w:rsidRPr="002932E6">
        <w:rPr>
          <w:noProof/>
          <w:lang w:val="en-GB" w:eastAsia="en-GB"/>
        </w:rPr>
        <w:drawing>
          <wp:inline distT="0" distB="0" distL="0" distR="0" wp14:anchorId="4C2666FE" wp14:editId="7849FE1B">
            <wp:extent cx="5258790" cy="5753735"/>
            <wp:effectExtent l="0" t="0" r="0" b="0"/>
            <wp:docPr id="7" name="Picture 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305314" cy="5804638"/>
                    </a:xfrm>
                    <a:prstGeom prst="rect">
                      <a:avLst/>
                    </a:prstGeom>
                  </pic:spPr>
                </pic:pic>
              </a:graphicData>
            </a:graphic>
          </wp:inline>
        </w:drawing>
      </w:r>
    </w:p>
    <w:p w14:paraId="4E8BA250" w14:textId="06A6376B" w:rsidR="0019038E" w:rsidRPr="001E11DC" w:rsidRDefault="0019038E" w:rsidP="0019038E">
      <w:pPr>
        <w:pStyle w:val="Caption"/>
        <w:jc w:val="lowKashida"/>
        <w:rPr>
          <w:b w:val="0"/>
          <w:bCs w:val="0"/>
          <w:sz w:val="20"/>
          <w:szCs w:val="20"/>
        </w:rPr>
      </w:pPr>
      <w:bookmarkStart w:id="48" w:name="_Toc83751347"/>
      <w:r w:rsidRPr="00ED12B1">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2</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1</w:t>
      </w:r>
      <w:r w:rsidR="00843EDC">
        <w:rPr>
          <w:b w:val="0"/>
          <w:bCs w:val="0"/>
          <w:sz w:val="20"/>
          <w:szCs w:val="20"/>
        </w:rPr>
        <w:fldChar w:fldCharType="end"/>
      </w:r>
      <w:r w:rsidRPr="001E11DC">
        <w:rPr>
          <w:b w:val="0"/>
          <w:bCs w:val="0"/>
          <w:sz w:val="20"/>
          <w:szCs w:val="20"/>
        </w:rPr>
        <w:t xml:space="preserve"> percentage of root colonization (a) Arbuscules (b) Hyphae (c) Vesicles with and without AMF inoculum.</w:t>
      </w:r>
      <w:bookmarkEnd w:id="48"/>
    </w:p>
    <w:p w14:paraId="5DDEB505" w14:textId="77777777" w:rsidR="0019038E" w:rsidRDefault="0019038E" w:rsidP="0019038E">
      <w:pPr>
        <w:widowControl w:val="0"/>
        <w:autoSpaceDE w:val="0"/>
        <w:autoSpaceDN w:val="0"/>
        <w:adjustRightInd w:val="0"/>
        <w:spacing w:afterLines="280" w:after="672" w:line="360" w:lineRule="auto"/>
        <w:jc w:val="lowKashida"/>
        <w:rPr>
          <w:sz w:val="20"/>
          <w:szCs w:val="20"/>
        </w:rPr>
      </w:pPr>
    </w:p>
    <w:p w14:paraId="43D3787A" w14:textId="77777777" w:rsidR="0019038E" w:rsidRPr="001E11DC" w:rsidRDefault="0019038E" w:rsidP="0019038E">
      <w:pPr>
        <w:widowControl w:val="0"/>
        <w:autoSpaceDE w:val="0"/>
        <w:autoSpaceDN w:val="0"/>
        <w:adjustRightInd w:val="0"/>
        <w:spacing w:afterLines="280" w:after="672" w:line="360" w:lineRule="auto"/>
        <w:jc w:val="lowKashida"/>
        <w:rPr>
          <w:sz w:val="20"/>
          <w:szCs w:val="20"/>
        </w:rPr>
      </w:pPr>
    </w:p>
    <w:p w14:paraId="22C1BD3C" w14:textId="13AB5E03" w:rsidR="0019038E" w:rsidRPr="005149C5" w:rsidRDefault="0019038E" w:rsidP="00526C67">
      <w:pPr>
        <w:pStyle w:val="mythesis"/>
      </w:pPr>
      <w:r w:rsidRPr="002932E6">
        <w:lastRenderedPageBreak/>
        <w:t xml:space="preserve">       </w:t>
      </w:r>
      <w:r w:rsidR="009A0740">
        <w:t xml:space="preserve">The data in figure 2.1 revealed that </w:t>
      </w:r>
      <w:r w:rsidRPr="002932E6">
        <w:t xml:space="preserve">the percentage of root colonization was the best in Arbuscules in the range of 53%-21.8%, </w:t>
      </w:r>
      <w:r w:rsidR="009A0740" w:rsidRPr="005149C5">
        <w:t>followed by the</w:t>
      </w:r>
      <w:r w:rsidRPr="005149C5">
        <w:t xml:space="preserve"> Vesicles </w:t>
      </w:r>
      <w:r w:rsidR="009A0740" w:rsidRPr="005149C5">
        <w:t>(</w:t>
      </w:r>
      <w:r w:rsidRPr="005149C5">
        <w:t xml:space="preserve"> 43.8%-</w:t>
      </w:r>
      <w:r w:rsidR="004D60D6" w:rsidRPr="005149C5">
        <w:t>1</w:t>
      </w:r>
      <w:r w:rsidR="00966196" w:rsidRPr="005149C5">
        <w:t>8</w:t>
      </w:r>
      <w:r w:rsidR="004D60D6" w:rsidRPr="005149C5">
        <w:t>.</w:t>
      </w:r>
      <w:r w:rsidR="00966196" w:rsidRPr="005149C5">
        <w:t>8</w:t>
      </w:r>
      <w:r w:rsidRPr="005149C5">
        <w:t xml:space="preserve">% </w:t>
      </w:r>
      <w:r w:rsidR="009A0740" w:rsidRPr="005149C5">
        <w:t xml:space="preserve">) </w:t>
      </w:r>
      <w:r w:rsidRPr="005149C5">
        <w:t xml:space="preserve">while in </w:t>
      </w:r>
      <w:r w:rsidR="009A0740" w:rsidRPr="005149C5">
        <w:t xml:space="preserve">the </w:t>
      </w:r>
      <w:r w:rsidRPr="005149C5">
        <w:t>Hyphae the range was from 25.8 to 5%</w:t>
      </w:r>
      <w:r w:rsidR="008529CA" w:rsidRPr="005149C5">
        <w:t>.</w:t>
      </w:r>
    </w:p>
    <w:p w14:paraId="7D856343" w14:textId="54F74D7F" w:rsidR="0019038E" w:rsidRPr="005149C5" w:rsidRDefault="0019038E" w:rsidP="00526C67">
      <w:pPr>
        <w:pStyle w:val="mythesis"/>
      </w:pPr>
      <w:r w:rsidRPr="005149C5">
        <w:t xml:space="preserve">        </w:t>
      </w:r>
      <w:r w:rsidR="009A0740" w:rsidRPr="005149C5">
        <w:t>The</w:t>
      </w:r>
      <w:r w:rsidR="00686D0C" w:rsidRPr="005149C5">
        <w:t xml:space="preserve"> </w:t>
      </w:r>
      <w:r w:rsidRPr="005149C5">
        <w:t>comparing</w:t>
      </w:r>
      <w:r w:rsidR="009A0740" w:rsidRPr="005149C5">
        <w:t xml:space="preserve"> of</w:t>
      </w:r>
      <w:r w:rsidRPr="005149C5">
        <w:t xml:space="preserve"> the treated with non-treated </w:t>
      </w:r>
      <w:r w:rsidR="009A0740" w:rsidRPr="005149C5">
        <w:t xml:space="preserve">cultivars </w:t>
      </w:r>
      <w:r w:rsidRPr="005149C5">
        <w:t>we recorded</w:t>
      </w:r>
      <w:r w:rsidR="009A0740" w:rsidRPr="005149C5">
        <w:t xml:space="preserve"> that </w:t>
      </w:r>
      <w:r w:rsidRPr="005149C5">
        <w:t xml:space="preserve">the colonization was increased with inoculum in all of the colonization structures, where it is recorded the highest percentage in Arbuscules in </w:t>
      </w:r>
      <w:r w:rsidR="00611954" w:rsidRPr="005149C5">
        <w:t xml:space="preserve">the </w:t>
      </w:r>
      <w:r w:rsidRPr="005149C5">
        <w:t>cultivar No</w:t>
      </w:r>
      <w:r w:rsidR="00611954" w:rsidRPr="005149C5">
        <w:t>.</w:t>
      </w:r>
      <w:r w:rsidRPr="005149C5">
        <w:t xml:space="preserve"> 12 with 53% </w:t>
      </w:r>
      <w:r w:rsidR="009A0740" w:rsidRPr="005149C5">
        <w:t>while the</w:t>
      </w:r>
      <w:r w:rsidRPr="005149C5">
        <w:t xml:space="preserve"> least </w:t>
      </w:r>
      <w:r w:rsidR="009A0740" w:rsidRPr="005149C5">
        <w:t xml:space="preserve">was showed </w:t>
      </w:r>
      <w:r w:rsidRPr="005149C5">
        <w:t xml:space="preserve">in </w:t>
      </w:r>
      <w:r w:rsidR="00611954" w:rsidRPr="005149C5">
        <w:t xml:space="preserve">the </w:t>
      </w:r>
      <w:r w:rsidRPr="005149C5">
        <w:t>cultivar No</w:t>
      </w:r>
      <w:r w:rsidR="00611954" w:rsidRPr="005149C5">
        <w:t>.</w:t>
      </w:r>
      <w:r w:rsidRPr="005149C5">
        <w:t xml:space="preserve"> 11 with 21.8% compared with no colonization formation </w:t>
      </w:r>
      <w:r w:rsidR="00AD1351" w:rsidRPr="005149C5">
        <w:t>in non-treated cultivars</w:t>
      </w:r>
      <w:r w:rsidRPr="005149C5">
        <w:t>.</w:t>
      </w:r>
    </w:p>
    <w:p w14:paraId="013DF196" w14:textId="28864809" w:rsidR="0019038E" w:rsidRPr="005149C5" w:rsidRDefault="0019038E" w:rsidP="00526C67">
      <w:pPr>
        <w:pStyle w:val="mythesis"/>
      </w:pPr>
      <w:r w:rsidRPr="005149C5">
        <w:t xml:space="preserve">        </w:t>
      </w:r>
      <w:r w:rsidR="00686D0C" w:rsidRPr="005149C5">
        <w:t xml:space="preserve">The </w:t>
      </w:r>
      <w:r w:rsidRPr="005149C5">
        <w:t xml:space="preserve">Vesicles </w:t>
      </w:r>
      <w:r w:rsidR="00686D0C" w:rsidRPr="005149C5">
        <w:t xml:space="preserve">in </w:t>
      </w:r>
      <w:r w:rsidRPr="005149C5">
        <w:t xml:space="preserve">treated cultivars recorded the highest percentage in </w:t>
      </w:r>
      <w:r w:rsidR="00611954" w:rsidRPr="005149C5">
        <w:t xml:space="preserve">the </w:t>
      </w:r>
      <w:r w:rsidRPr="005149C5">
        <w:t>cultivar No</w:t>
      </w:r>
      <w:r w:rsidR="00611954" w:rsidRPr="005149C5">
        <w:t>.</w:t>
      </w:r>
      <w:r w:rsidRPr="005149C5">
        <w:t xml:space="preserve"> 11 with 43.8% and the least in </w:t>
      </w:r>
      <w:r w:rsidR="00611954" w:rsidRPr="005149C5">
        <w:t xml:space="preserve">the </w:t>
      </w:r>
      <w:r w:rsidRPr="005149C5">
        <w:t>cultivar No</w:t>
      </w:r>
      <w:r w:rsidR="00611954" w:rsidRPr="005149C5">
        <w:t>.</w:t>
      </w:r>
      <w:r w:rsidRPr="005149C5">
        <w:t xml:space="preserve"> </w:t>
      </w:r>
      <w:r w:rsidR="007F4BD8" w:rsidRPr="005149C5">
        <w:t>10</w:t>
      </w:r>
      <w:r w:rsidRPr="005149C5">
        <w:t xml:space="preserve"> with 1</w:t>
      </w:r>
      <w:r w:rsidR="007F4BD8" w:rsidRPr="005149C5">
        <w:t>8</w:t>
      </w:r>
      <w:r w:rsidRPr="005149C5">
        <w:t>.</w:t>
      </w:r>
      <w:r w:rsidR="007F4BD8" w:rsidRPr="005149C5">
        <w:t>8</w:t>
      </w:r>
      <w:r w:rsidRPr="005149C5">
        <w:t xml:space="preserve">% compared with no colonization formation </w:t>
      </w:r>
      <w:r w:rsidR="007F4BD8" w:rsidRPr="005149C5">
        <w:t xml:space="preserve">in cultivar No. 11  </w:t>
      </w:r>
      <w:r w:rsidRPr="005149C5">
        <w:t xml:space="preserve">and </w:t>
      </w:r>
      <w:r w:rsidR="007F4BD8" w:rsidRPr="005149C5">
        <w:t>7</w:t>
      </w:r>
      <w:r w:rsidRPr="005149C5">
        <w:t xml:space="preserve">% in the </w:t>
      </w:r>
      <w:r w:rsidR="007F4BD8" w:rsidRPr="005149C5">
        <w:t>cultivar No. 10</w:t>
      </w:r>
      <w:r w:rsidRPr="005149C5">
        <w:t>.</w:t>
      </w:r>
    </w:p>
    <w:p w14:paraId="4069BEDD" w14:textId="7B84F2AB" w:rsidR="0019038E" w:rsidRPr="002932E6" w:rsidRDefault="0019038E" w:rsidP="00526C67">
      <w:pPr>
        <w:pStyle w:val="mythesis"/>
      </w:pPr>
      <w:r w:rsidRPr="005149C5">
        <w:t xml:space="preserve">        </w:t>
      </w:r>
      <w:r w:rsidR="00686D0C" w:rsidRPr="005149C5">
        <w:t>While the</w:t>
      </w:r>
      <w:r w:rsidR="00D018C7" w:rsidRPr="005149C5">
        <w:t xml:space="preserve"> </w:t>
      </w:r>
      <w:r w:rsidRPr="005149C5">
        <w:t xml:space="preserve">hyphae percentage was the least, where the treated cultivars recorded the highest percentage in </w:t>
      </w:r>
      <w:r w:rsidR="00611954" w:rsidRPr="005149C5">
        <w:t xml:space="preserve">the </w:t>
      </w:r>
      <w:r w:rsidRPr="005149C5">
        <w:t>cultivar No</w:t>
      </w:r>
      <w:r w:rsidR="003B0CFA" w:rsidRPr="005149C5">
        <w:t>.</w:t>
      </w:r>
      <w:r w:rsidRPr="005149C5">
        <w:t xml:space="preserve"> 5 with 25.8% and the least</w:t>
      </w:r>
      <w:r w:rsidR="00686D0C" w:rsidRPr="005149C5">
        <w:t xml:space="preserve"> percentage</w:t>
      </w:r>
      <w:r w:rsidRPr="005149C5">
        <w:t xml:space="preserve"> in </w:t>
      </w:r>
      <w:r w:rsidR="00611954" w:rsidRPr="005149C5">
        <w:t xml:space="preserve">the </w:t>
      </w:r>
      <w:r w:rsidRPr="005149C5">
        <w:t>cultivar No</w:t>
      </w:r>
      <w:r w:rsidR="000155DC" w:rsidRPr="005149C5">
        <w:t>.</w:t>
      </w:r>
      <w:r w:rsidRPr="005149C5">
        <w:t xml:space="preserve"> 14 with 5% compared with 6.2 and 0.2%</w:t>
      </w:r>
      <w:r w:rsidR="007F4BD8" w:rsidRPr="005149C5">
        <w:t xml:space="preserve"> in non-treated cultivars</w:t>
      </w:r>
      <w:r w:rsidR="007F4BD8">
        <w:t>,</w:t>
      </w:r>
      <w:r w:rsidRPr="002932E6">
        <w:t xml:space="preserve"> respectively.</w:t>
      </w:r>
    </w:p>
    <w:p w14:paraId="33CC070B" w14:textId="77777777" w:rsidR="0019038E" w:rsidRPr="002932E6" w:rsidRDefault="0019038E" w:rsidP="0019038E">
      <w:pPr>
        <w:spacing w:afterLines="280" w:after="672" w:line="360" w:lineRule="auto"/>
        <w:jc w:val="lowKashida"/>
        <w:rPr>
          <w:color w:val="000000" w:themeColor="text1"/>
        </w:rPr>
      </w:pPr>
    </w:p>
    <w:p w14:paraId="3536FF5F" w14:textId="77777777" w:rsidR="0019038E" w:rsidRPr="002932E6" w:rsidRDefault="0019038E" w:rsidP="0019038E">
      <w:pPr>
        <w:spacing w:afterLines="280" w:after="672" w:line="360" w:lineRule="auto"/>
        <w:jc w:val="lowKashida"/>
        <w:rPr>
          <w:color w:val="000000" w:themeColor="text1"/>
        </w:rPr>
      </w:pPr>
    </w:p>
    <w:p w14:paraId="19EFB934" w14:textId="77777777" w:rsidR="0019038E" w:rsidRPr="002932E6" w:rsidRDefault="0019038E" w:rsidP="0019038E">
      <w:pPr>
        <w:spacing w:afterLines="280" w:after="672" w:line="360" w:lineRule="auto"/>
        <w:jc w:val="lowKashida"/>
        <w:rPr>
          <w:color w:val="000000" w:themeColor="text1"/>
        </w:rPr>
      </w:pPr>
    </w:p>
    <w:p w14:paraId="1CA0C3A1" w14:textId="77777777" w:rsidR="0019038E" w:rsidRPr="002932E6" w:rsidRDefault="0019038E" w:rsidP="0019038E">
      <w:pPr>
        <w:spacing w:afterLines="280" w:after="672" w:line="360" w:lineRule="auto"/>
        <w:jc w:val="lowKashida"/>
      </w:pPr>
    </w:p>
    <w:p w14:paraId="5E7DB2C1" w14:textId="77777777" w:rsidR="0019038E" w:rsidRDefault="0019038E" w:rsidP="0019038E">
      <w:pPr>
        <w:keepNext/>
        <w:spacing w:afterLines="280" w:after="672" w:line="360" w:lineRule="auto"/>
        <w:jc w:val="lowKashida"/>
      </w:pPr>
      <w:r w:rsidRPr="002932E6">
        <w:rPr>
          <w:noProof/>
          <w:lang w:val="en-GB" w:eastAsia="en-GB"/>
        </w:rPr>
        <w:lastRenderedPageBreak/>
        <w:drawing>
          <wp:inline distT="0" distB="0" distL="0" distR="0" wp14:anchorId="49A637DC" wp14:editId="08B9DC0D">
            <wp:extent cx="5213268" cy="6329499"/>
            <wp:effectExtent l="0" t="0" r="0" b="0"/>
            <wp:docPr id="9" name="Picture 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28706" cy="6348242"/>
                    </a:xfrm>
                    <a:prstGeom prst="rect">
                      <a:avLst/>
                    </a:prstGeom>
                  </pic:spPr>
                </pic:pic>
              </a:graphicData>
            </a:graphic>
          </wp:inline>
        </w:drawing>
      </w:r>
    </w:p>
    <w:p w14:paraId="173F89F5" w14:textId="09993DAB" w:rsidR="0019038E" w:rsidRPr="001E11DC" w:rsidRDefault="0019038E" w:rsidP="0019038E">
      <w:pPr>
        <w:spacing w:afterLines="280" w:after="672" w:line="360" w:lineRule="auto"/>
        <w:jc w:val="lowKashida"/>
        <w:rPr>
          <w:sz w:val="20"/>
          <w:szCs w:val="20"/>
        </w:rPr>
      </w:pPr>
      <w:bookmarkStart w:id="49" w:name="_Toc83751348"/>
      <w:r w:rsidRPr="00ED675E">
        <w:rPr>
          <w:sz w:val="20"/>
          <w:szCs w:val="20"/>
        </w:rPr>
        <w:t xml:space="preserve">Figure </w:t>
      </w:r>
      <w:r w:rsidR="00843EDC">
        <w:rPr>
          <w:sz w:val="20"/>
          <w:szCs w:val="20"/>
        </w:rPr>
        <w:fldChar w:fldCharType="begin"/>
      </w:r>
      <w:r w:rsidR="00843EDC">
        <w:rPr>
          <w:sz w:val="20"/>
          <w:szCs w:val="20"/>
        </w:rPr>
        <w:instrText xml:space="preserve"> STYLEREF 1 \s </w:instrText>
      </w:r>
      <w:r w:rsidR="00843EDC">
        <w:rPr>
          <w:sz w:val="20"/>
          <w:szCs w:val="20"/>
        </w:rPr>
        <w:fldChar w:fldCharType="separate"/>
      </w:r>
      <w:r w:rsidR="00843EDC">
        <w:rPr>
          <w:noProof/>
          <w:sz w:val="20"/>
          <w:szCs w:val="20"/>
          <w:cs/>
        </w:rPr>
        <w:t>‎</w:t>
      </w:r>
      <w:r w:rsidR="00843EDC">
        <w:rPr>
          <w:noProof/>
          <w:sz w:val="20"/>
          <w:szCs w:val="20"/>
        </w:rPr>
        <w:t>2</w:t>
      </w:r>
      <w:r w:rsidR="00843EDC">
        <w:rPr>
          <w:sz w:val="20"/>
          <w:szCs w:val="20"/>
        </w:rPr>
        <w:fldChar w:fldCharType="end"/>
      </w:r>
      <w:r w:rsidR="00843EDC">
        <w:rPr>
          <w:sz w:val="20"/>
          <w:szCs w:val="20"/>
        </w:rPr>
        <w:t>.</w:t>
      </w:r>
      <w:r w:rsidR="00843EDC">
        <w:rPr>
          <w:sz w:val="20"/>
          <w:szCs w:val="20"/>
        </w:rPr>
        <w:fldChar w:fldCharType="begin"/>
      </w:r>
      <w:r w:rsidR="00843EDC">
        <w:rPr>
          <w:sz w:val="20"/>
          <w:szCs w:val="20"/>
        </w:rPr>
        <w:instrText xml:space="preserve"> SEQ Figure \* ARABIC \s 1 </w:instrText>
      </w:r>
      <w:r w:rsidR="00843EDC">
        <w:rPr>
          <w:sz w:val="20"/>
          <w:szCs w:val="20"/>
        </w:rPr>
        <w:fldChar w:fldCharType="separate"/>
      </w:r>
      <w:r w:rsidR="00843EDC">
        <w:rPr>
          <w:noProof/>
          <w:sz w:val="20"/>
          <w:szCs w:val="20"/>
        </w:rPr>
        <w:t>2</w:t>
      </w:r>
      <w:r w:rsidR="00843EDC">
        <w:rPr>
          <w:sz w:val="20"/>
          <w:szCs w:val="20"/>
        </w:rPr>
        <w:fldChar w:fldCharType="end"/>
      </w:r>
      <w:r w:rsidRPr="001E11DC">
        <w:rPr>
          <w:sz w:val="20"/>
          <w:szCs w:val="20"/>
        </w:rPr>
        <w:t xml:space="preserve"> percentage of root colonization (a) Arbuscules (b) Hyphae (c) Vesicles with AMF inoculum.</w:t>
      </w:r>
      <w:bookmarkEnd w:id="49"/>
    </w:p>
    <w:p w14:paraId="7B9C286F" w14:textId="77777777" w:rsidR="0019038E" w:rsidRDefault="0019038E" w:rsidP="0019038E">
      <w:pPr>
        <w:pStyle w:val="Caption"/>
        <w:jc w:val="lowKashida"/>
      </w:pPr>
    </w:p>
    <w:p w14:paraId="30C81F83" w14:textId="77777777" w:rsidR="0019038E" w:rsidRPr="002932E6" w:rsidRDefault="0019038E" w:rsidP="0019038E">
      <w:pPr>
        <w:spacing w:afterLines="280" w:after="672" w:line="360" w:lineRule="auto"/>
        <w:jc w:val="lowKashida"/>
      </w:pPr>
    </w:p>
    <w:p w14:paraId="086DC1BB" w14:textId="77777777" w:rsidR="0019038E" w:rsidRPr="002932E6" w:rsidRDefault="0019038E" w:rsidP="0019038E">
      <w:pPr>
        <w:spacing w:afterLines="280" w:after="672" w:line="360" w:lineRule="auto"/>
        <w:jc w:val="lowKashida"/>
      </w:pPr>
    </w:p>
    <w:p w14:paraId="75ADCDF1" w14:textId="77777777" w:rsidR="0019038E" w:rsidRPr="00526C67" w:rsidRDefault="0019038E" w:rsidP="00526C67">
      <w:pPr>
        <w:pStyle w:val="mythesis"/>
      </w:pPr>
      <w:r w:rsidRPr="00526C67">
        <w:lastRenderedPageBreak/>
        <w:t xml:space="preserve">      The results in the inoculated cultivars showed a variation in the colonization percentage of the Hyphae, Arbuscles and Vesicles. And the colonization was formed in all cultivars.</w:t>
      </w:r>
    </w:p>
    <w:p w14:paraId="27C27A6F" w14:textId="36987265" w:rsidR="0019038E" w:rsidRPr="00526C67" w:rsidRDefault="0019038E" w:rsidP="00526C67">
      <w:pPr>
        <w:pStyle w:val="mythesis"/>
      </w:pPr>
      <w:r w:rsidRPr="00526C67">
        <w:t xml:space="preserve">      The highest percentage was in Arbuscles where it showed the highest in </w:t>
      </w:r>
      <w:r w:rsidR="00611954">
        <w:t xml:space="preserve">the </w:t>
      </w:r>
      <w:r w:rsidRPr="00526C67">
        <w:t xml:space="preserve">cultivar No.12 where it reached 53% while it was the least in </w:t>
      </w:r>
      <w:r w:rsidR="00EC5A1A">
        <w:t xml:space="preserve">the </w:t>
      </w:r>
      <w:r w:rsidRPr="00526C67">
        <w:t>cultivar No.11 where it recorded 21.8%.</w:t>
      </w:r>
    </w:p>
    <w:p w14:paraId="6ADFACBE" w14:textId="0BB36D0E" w:rsidR="0019038E" w:rsidRPr="00526C67" w:rsidRDefault="0019038E" w:rsidP="00526C67">
      <w:pPr>
        <w:pStyle w:val="mythesis"/>
      </w:pPr>
      <w:r w:rsidRPr="00526C67">
        <w:t xml:space="preserve">      While in vesicles it was less that the arbuscules where it reached the highest percentage in </w:t>
      </w:r>
      <w:r w:rsidR="00AB69AA">
        <w:t xml:space="preserve">the </w:t>
      </w:r>
      <w:r w:rsidRPr="00526C67">
        <w:t xml:space="preserve">cultivar No.11 where it reached 43.8 % while it was the least in </w:t>
      </w:r>
      <w:r w:rsidR="00AB69AA">
        <w:t xml:space="preserve">the </w:t>
      </w:r>
      <w:r w:rsidRPr="00526C67">
        <w:t>cultivar No.10 where it recorded 18.8%.</w:t>
      </w:r>
    </w:p>
    <w:p w14:paraId="7F6BF29C" w14:textId="5E213AF1" w:rsidR="0019038E" w:rsidRDefault="0019038E" w:rsidP="00664D74">
      <w:pPr>
        <w:pStyle w:val="mythesis"/>
      </w:pPr>
      <w:r w:rsidRPr="00526C67">
        <w:t xml:space="preserve">      And the less colonization percentage was in hyphae where it recorded 25.8% in </w:t>
      </w:r>
      <w:r w:rsidR="00BD3C20">
        <w:t xml:space="preserve">the </w:t>
      </w:r>
      <w:r w:rsidRPr="00526C67">
        <w:t xml:space="preserve">cultivar No.5 where it was the highest percentage, and the least was in </w:t>
      </w:r>
      <w:r w:rsidR="00BD3C20">
        <w:t xml:space="preserve">the </w:t>
      </w:r>
      <w:r w:rsidRPr="00526C67">
        <w:t>cultivar No.14 where it reached only 5%.</w:t>
      </w:r>
    </w:p>
    <w:p w14:paraId="244A66AF" w14:textId="77777777" w:rsidR="00664D74" w:rsidRPr="002932E6" w:rsidRDefault="00664D74" w:rsidP="00664D74">
      <w:pPr>
        <w:pStyle w:val="mythesis"/>
      </w:pPr>
    </w:p>
    <w:p w14:paraId="6B4757FC" w14:textId="77777777" w:rsidR="0019038E" w:rsidRPr="0007208B" w:rsidRDefault="0019038E" w:rsidP="0019038E">
      <w:pPr>
        <w:spacing w:afterLines="280" w:after="672"/>
        <w:jc w:val="lowKashida"/>
        <w:rPr>
          <w:color w:val="000000" w:themeColor="text1"/>
          <w:sz w:val="20"/>
          <w:szCs w:val="20"/>
        </w:rPr>
      </w:pPr>
      <w:bookmarkStart w:id="50" w:name="_Toc83750072"/>
      <w:r w:rsidRPr="00206D38">
        <w:rPr>
          <w:sz w:val="20"/>
          <w:szCs w:val="20"/>
        </w:rPr>
        <w:t xml:space="preserve">Table </w:t>
      </w:r>
      <w:r w:rsidRPr="00206D38">
        <w:rPr>
          <w:sz w:val="20"/>
          <w:szCs w:val="20"/>
        </w:rPr>
        <w:fldChar w:fldCharType="begin"/>
      </w:r>
      <w:r w:rsidRPr="00206D38">
        <w:rPr>
          <w:sz w:val="20"/>
          <w:szCs w:val="20"/>
        </w:rPr>
        <w:instrText xml:space="preserve"> STYLEREF 1 \s </w:instrText>
      </w:r>
      <w:r w:rsidRPr="00206D38">
        <w:rPr>
          <w:sz w:val="20"/>
          <w:szCs w:val="20"/>
        </w:rPr>
        <w:fldChar w:fldCharType="separate"/>
      </w:r>
      <w:r w:rsidRPr="00206D38">
        <w:rPr>
          <w:noProof/>
          <w:sz w:val="20"/>
          <w:szCs w:val="20"/>
          <w:cs/>
        </w:rPr>
        <w:t>‎</w:t>
      </w:r>
      <w:r w:rsidRPr="00206D38">
        <w:rPr>
          <w:noProof/>
          <w:sz w:val="20"/>
          <w:szCs w:val="20"/>
        </w:rPr>
        <w:t>2</w:t>
      </w:r>
      <w:r w:rsidRPr="00206D38">
        <w:rPr>
          <w:sz w:val="20"/>
          <w:szCs w:val="20"/>
        </w:rPr>
        <w:fldChar w:fldCharType="end"/>
      </w:r>
      <w:r w:rsidRPr="00206D38">
        <w:rPr>
          <w:sz w:val="20"/>
          <w:szCs w:val="20"/>
        </w:rPr>
        <w:t>.</w:t>
      </w:r>
      <w:r w:rsidRPr="00206D38">
        <w:rPr>
          <w:sz w:val="20"/>
          <w:szCs w:val="20"/>
        </w:rPr>
        <w:fldChar w:fldCharType="begin"/>
      </w:r>
      <w:r w:rsidRPr="00206D38">
        <w:rPr>
          <w:sz w:val="20"/>
          <w:szCs w:val="20"/>
        </w:rPr>
        <w:instrText xml:space="preserve"> SEQ Table \* ARABIC \s 1 </w:instrText>
      </w:r>
      <w:r w:rsidRPr="00206D38">
        <w:rPr>
          <w:sz w:val="20"/>
          <w:szCs w:val="20"/>
        </w:rPr>
        <w:fldChar w:fldCharType="separate"/>
      </w:r>
      <w:r w:rsidRPr="00206D38">
        <w:rPr>
          <w:noProof/>
          <w:sz w:val="20"/>
          <w:szCs w:val="20"/>
        </w:rPr>
        <w:t>4</w:t>
      </w:r>
      <w:r w:rsidRPr="00206D38">
        <w:rPr>
          <w:sz w:val="20"/>
          <w:szCs w:val="20"/>
        </w:rPr>
        <w:fldChar w:fldCharType="end"/>
      </w:r>
      <w:r w:rsidRPr="0007208B">
        <w:rPr>
          <w:sz w:val="20"/>
          <w:szCs w:val="20"/>
        </w:rPr>
        <w:t xml:space="preserve"> </w:t>
      </w:r>
      <w:r w:rsidRPr="0007208B">
        <w:rPr>
          <w:color w:val="000000" w:themeColor="text1"/>
          <w:sz w:val="20"/>
          <w:szCs w:val="20"/>
        </w:rPr>
        <w:t>Results of 1- Way ANOVA statistical significance of the cultivars root colonization. Asterisk indicates significant differences within the same cultivar (</w:t>
      </w:r>
      <w:r w:rsidRPr="0007208B">
        <w:rPr>
          <w:bCs/>
          <w:color w:val="000000" w:themeColor="text1"/>
          <w:sz w:val="20"/>
          <w:szCs w:val="20"/>
        </w:rPr>
        <w:t>+P&lt;0.1; *, P&lt;0.05; **, P&lt;0.01; ***, P&lt;0.001; ****, P&lt;0.0001).</w:t>
      </w:r>
      <w:r w:rsidRPr="0007208B">
        <w:rPr>
          <w:color w:val="000000" w:themeColor="text1"/>
          <w:sz w:val="20"/>
          <w:szCs w:val="20"/>
        </w:rPr>
        <w:t xml:space="preserve"> inoculated (AM+) maize crop plants.</w:t>
      </w:r>
      <w:bookmarkEnd w:id="50"/>
    </w:p>
    <w:tbl>
      <w:tblPr>
        <w:tblStyle w:val="TableGrid"/>
        <w:tblW w:w="9350" w:type="dxa"/>
        <w:tblLook w:val="04A0" w:firstRow="1" w:lastRow="0" w:firstColumn="1" w:lastColumn="0" w:noHBand="0" w:noVBand="1"/>
      </w:tblPr>
      <w:tblGrid>
        <w:gridCol w:w="1870"/>
        <w:gridCol w:w="1870"/>
        <w:gridCol w:w="1870"/>
        <w:gridCol w:w="1870"/>
        <w:gridCol w:w="1870"/>
      </w:tblGrid>
      <w:tr w:rsidR="0019038E" w:rsidRPr="00944B8A" w14:paraId="339EF034" w14:textId="77777777" w:rsidTr="00D82647">
        <w:tc>
          <w:tcPr>
            <w:tcW w:w="1870" w:type="dxa"/>
            <w:vMerge w:val="restart"/>
            <w:vAlign w:val="center"/>
          </w:tcPr>
          <w:p w14:paraId="2B074E91" w14:textId="77777777" w:rsidR="0019038E" w:rsidRPr="00944B8A" w:rsidRDefault="0019038E" w:rsidP="00D82647">
            <w:pPr>
              <w:jc w:val="center"/>
              <w:rPr>
                <w:sz w:val="20"/>
                <w:szCs w:val="20"/>
              </w:rPr>
            </w:pPr>
            <w:r w:rsidRPr="00944B8A">
              <w:rPr>
                <w:rFonts w:asciiTheme="majorBidi" w:hAnsiTheme="majorBidi" w:cstheme="majorBidi"/>
                <w:sz w:val="20"/>
                <w:szCs w:val="20"/>
              </w:rPr>
              <w:t>Results of the cultivar root colonization% (Hyphae)</w:t>
            </w:r>
          </w:p>
        </w:tc>
        <w:tc>
          <w:tcPr>
            <w:tcW w:w="1870" w:type="dxa"/>
            <w:vAlign w:val="center"/>
          </w:tcPr>
          <w:p w14:paraId="525DD96E" w14:textId="77777777" w:rsidR="0019038E" w:rsidRPr="00944B8A" w:rsidRDefault="0019038E" w:rsidP="00D82647">
            <w:pPr>
              <w:jc w:val="center"/>
              <w:rPr>
                <w:sz w:val="20"/>
                <w:szCs w:val="20"/>
              </w:rPr>
            </w:pPr>
            <w:r w:rsidRPr="00944B8A">
              <w:rPr>
                <w:rFonts w:asciiTheme="majorBidi" w:hAnsiTheme="majorBidi" w:cstheme="majorBidi"/>
                <w:color w:val="000000" w:themeColor="text1"/>
                <w:sz w:val="20"/>
                <w:szCs w:val="20"/>
              </w:rPr>
              <w:t>source</w:t>
            </w:r>
          </w:p>
        </w:tc>
        <w:tc>
          <w:tcPr>
            <w:tcW w:w="1870" w:type="dxa"/>
            <w:vAlign w:val="center"/>
          </w:tcPr>
          <w:p w14:paraId="756B391C" w14:textId="77777777" w:rsidR="0019038E" w:rsidRPr="00944B8A" w:rsidRDefault="0019038E" w:rsidP="00D82647">
            <w:pPr>
              <w:jc w:val="center"/>
              <w:rPr>
                <w:sz w:val="20"/>
                <w:szCs w:val="20"/>
              </w:rPr>
            </w:pPr>
            <w:r w:rsidRPr="00944B8A">
              <w:rPr>
                <w:rFonts w:asciiTheme="majorBidi" w:hAnsiTheme="majorBidi" w:cstheme="majorBidi"/>
                <w:color w:val="000000" w:themeColor="text1"/>
                <w:sz w:val="20"/>
                <w:szCs w:val="20"/>
              </w:rPr>
              <w:t>DF</w:t>
            </w:r>
          </w:p>
        </w:tc>
        <w:tc>
          <w:tcPr>
            <w:tcW w:w="1870" w:type="dxa"/>
            <w:vAlign w:val="center"/>
          </w:tcPr>
          <w:p w14:paraId="2D7AD372" w14:textId="77777777" w:rsidR="0019038E" w:rsidRPr="00944B8A" w:rsidRDefault="0019038E" w:rsidP="00D82647">
            <w:pPr>
              <w:jc w:val="center"/>
              <w:rPr>
                <w:sz w:val="20"/>
                <w:szCs w:val="20"/>
              </w:rPr>
            </w:pPr>
            <w:r w:rsidRPr="00944B8A">
              <w:rPr>
                <w:rFonts w:asciiTheme="majorBidi" w:hAnsiTheme="majorBidi" w:cstheme="majorBidi"/>
                <w:color w:val="000000" w:themeColor="text1"/>
                <w:sz w:val="20"/>
                <w:szCs w:val="20"/>
              </w:rPr>
              <w:t>F    VALUE</w:t>
            </w:r>
          </w:p>
        </w:tc>
        <w:tc>
          <w:tcPr>
            <w:tcW w:w="1870" w:type="dxa"/>
            <w:vAlign w:val="center"/>
          </w:tcPr>
          <w:p w14:paraId="5C0E8205" w14:textId="77777777" w:rsidR="0019038E" w:rsidRPr="00944B8A" w:rsidRDefault="0019038E" w:rsidP="00D82647">
            <w:pPr>
              <w:jc w:val="center"/>
              <w:rPr>
                <w:sz w:val="20"/>
                <w:szCs w:val="20"/>
              </w:rPr>
            </w:pPr>
            <w:r w:rsidRPr="00944B8A">
              <w:rPr>
                <w:rFonts w:asciiTheme="majorBidi" w:hAnsiTheme="majorBidi" w:cstheme="majorBidi"/>
                <w:color w:val="000000" w:themeColor="text1"/>
                <w:sz w:val="20"/>
                <w:szCs w:val="20"/>
              </w:rPr>
              <w:t>P   VALUE</w:t>
            </w:r>
          </w:p>
        </w:tc>
      </w:tr>
      <w:tr w:rsidR="0019038E" w:rsidRPr="00944B8A" w14:paraId="3B5738CC" w14:textId="77777777" w:rsidTr="00D82647">
        <w:tc>
          <w:tcPr>
            <w:tcW w:w="1870" w:type="dxa"/>
            <w:vMerge/>
            <w:vAlign w:val="center"/>
          </w:tcPr>
          <w:p w14:paraId="7371D46D" w14:textId="77777777" w:rsidR="0019038E" w:rsidRPr="00944B8A" w:rsidRDefault="0019038E" w:rsidP="00D82647">
            <w:pPr>
              <w:jc w:val="center"/>
              <w:rPr>
                <w:sz w:val="20"/>
                <w:szCs w:val="20"/>
              </w:rPr>
            </w:pPr>
          </w:p>
        </w:tc>
        <w:tc>
          <w:tcPr>
            <w:tcW w:w="1870" w:type="dxa"/>
            <w:vAlign w:val="center"/>
          </w:tcPr>
          <w:p w14:paraId="70EF5C1F" w14:textId="77777777" w:rsidR="0019038E" w:rsidRPr="00944B8A" w:rsidRDefault="0019038E" w:rsidP="00D82647">
            <w:pPr>
              <w:jc w:val="center"/>
              <w:rPr>
                <w:sz w:val="20"/>
                <w:szCs w:val="20"/>
              </w:rPr>
            </w:pPr>
            <w:r w:rsidRPr="00944B8A">
              <w:rPr>
                <w:rFonts w:asciiTheme="majorBidi" w:hAnsiTheme="majorBidi" w:cstheme="majorBidi"/>
                <w:color w:val="000000" w:themeColor="text1"/>
                <w:sz w:val="20"/>
                <w:szCs w:val="20"/>
              </w:rPr>
              <w:t>Treatment (between column)</w:t>
            </w:r>
          </w:p>
        </w:tc>
        <w:tc>
          <w:tcPr>
            <w:tcW w:w="1870" w:type="dxa"/>
            <w:vAlign w:val="center"/>
          </w:tcPr>
          <w:p w14:paraId="29ADFB49" w14:textId="77777777" w:rsidR="0019038E" w:rsidRPr="00944B8A" w:rsidRDefault="0019038E" w:rsidP="00D82647">
            <w:pPr>
              <w:jc w:val="center"/>
              <w:rPr>
                <w:sz w:val="20"/>
                <w:szCs w:val="20"/>
              </w:rPr>
            </w:pPr>
            <w:r w:rsidRPr="00944B8A">
              <w:rPr>
                <w:rFonts w:asciiTheme="majorBidi" w:hAnsiTheme="majorBidi" w:cstheme="majorBidi"/>
                <w:color w:val="000000" w:themeColor="text1"/>
                <w:sz w:val="20"/>
                <w:szCs w:val="20"/>
              </w:rPr>
              <w:t>14</w:t>
            </w:r>
          </w:p>
        </w:tc>
        <w:tc>
          <w:tcPr>
            <w:tcW w:w="1870" w:type="dxa"/>
            <w:vAlign w:val="center"/>
          </w:tcPr>
          <w:p w14:paraId="128DFA43" w14:textId="77777777" w:rsidR="0019038E" w:rsidRPr="00944B8A" w:rsidRDefault="0019038E" w:rsidP="00D82647">
            <w:pPr>
              <w:jc w:val="center"/>
              <w:rPr>
                <w:sz w:val="20"/>
                <w:szCs w:val="20"/>
              </w:rPr>
            </w:pPr>
            <w:r w:rsidRPr="00944B8A">
              <w:rPr>
                <w:rFonts w:asciiTheme="majorBidi" w:hAnsiTheme="majorBidi" w:cstheme="majorBidi"/>
                <w:color w:val="000000" w:themeColor="text1"/>
                <w:sz w:val="20"/>
                <w:szCs w:val="20"/>
              </w:rPr>
              <w:t>F (14,57) =1.448</w:t>
            </w:r>
          </w:p>
        </w:tc>
        <w:tc>
          <w:tcPr>
            <w:tcW w:w="1870" w:type="dxa"/>
            <w:vAlign w:val="center"/>
          </w:tcPr>
          <w:p w14:paraId="6BC68E8A" w14:textId="77777777" w:rsidR="0019038E" w:rsidRPr="00944B8A" w:rsidRDefault="0019038E" w:rsidP="00D82647">
            <w:pPr>
              <w:jc w:val="center"/>
              <w:rPr>
                <w:sz w:val="20"/>
                <w:szCs w:val="20"/>
              </w:rPr>
            </w:pPr>
            <w:r w:rsidRPr="00944B8A">
              <w:rPr>
                <w:rFonts w:asciiTheme="majorBidi" w:hAnsiTheme="majorBidi" w:cstheme="majorBidi"/>
                <w:color w:val="000000" w:themeColor="text1"/>
                <w:sz w:val="20"/>
                <w:szCs w:val="20"/>
              </w:rPr>
              <w:t>0.1619</w:t>
            </w:r>
          </w:p>
        </w:tc>
      </w:tr>
      <w:tr w:rsidR="0019038E" w:rsidRPr="00944B8A" w14:paraId="257CFF95" w14:textId="77777777" w:rsidTr="00D82647">
        <w:tc>
          <w:tcPr>
            <w:tcW w:w="1870" w:type="dxa"/>
            <w:vMerge/>
            <w:vAlign w:val="center"/>
          </w:tcPr>
          <w:p w14:paraId="1C2ABCE8" w14:textId="77777777" w:rsidR="0019038E" w:rsidRPr="00944B8A" w:rsidRDefault="0019038E" w:rsidP="00D82647">
            <w:pPr>
              <w:jc w:val="center"/>
              <w:rPr>
                <w:sz w:val="20"/>
                <w:szCs w:val="20"/>
              </w:rPr>
            </w:pPr>
          </w:p>
        </w:tc>
        <w:tc>
          <w:tcPr>
            <w:tcW w:w="1870" w:type="dxa"/>
            <w:vAlign w:val="center"/>
          </w:tcPr>
          <w:p w14:paraId="2E9DDF1B" w14:textId="77777777" w:rsidR="0019038E" w:rsidRPr="00944B8A" w:rsidRDefault="0019038E" w:rsidP="00D82647">
            <w:pPr>
              <w:jc w:val="center"/>
              <w:rPr>
                <w:sz w:val="20"/>
                <w:szCs w:val="20"/>
              </w:rPr>
            </w:pPr>
            <w:r w:rsidRPr="00944B8A">
              <w:rPr>
                <w:rFonts w:asciiTheme="majorBidi" w:hAnsiTheme="majorBidi" w:cstheme="majorBidi"/>
                <w:color w:val="000000" w:themeColor="text1"/>
                <w:sz w:val="20"/>
                <w:szCs w:val="20"/>
              </w:rPr>
              <w:t>Residual (within column)</w:t>
            </w:r>
          </w:p>
        </w:tc>
        <w:tc>
          <w:tcPr>
            <w:tcW w:w="1870" w:type="dxa"/>
            <w:vAlign w:val="center"/>
          </w:tcPr>
          <w:p w14:paraId="7984EBF1" w14:textId="77777777" w:rsidR="0019038E" w:rsidRPr="00944B8A" w:rsidRDefault="0019038E" w:rsidP="00D82647">
            <w:pPr>
              <w:jc w:val="center"/>
              <w:rPr>
                <w:sz w:val="20"/>
                <w:szCs w:val="20"/>
              </w:rPr>
            </w:pPr>
            <w:r w:rsidRPr="00944B8A">
              <w:rPr>
                <w:rFonts w:asciiTheme="majorBidi" w:hAnsiTheme="majorBidi" w:cstheme="majorBidi"/>
                <w:color w:val="000000" w:themeColor="text1"/>
                <w:sz w:val="20"/>
                <w:szCs w:val="20"/>
              </w:rPr>
              <w:t>57</w:t>
            </w:r>
          </w:p>
        </w:tc>
        <w:tc>
          <w:tcPr>
            <w:tcW w:w="1870" w:type="dxa"/>
            <w:vAlign w:val="center"/>
          </w:tcPr>
          <w:p w14:paraId="7B5C7448" w14:textId="77777777" w:rsidR="0019038E" w:rsidRPr="00944B8A" w:rsidRDefault="0019038E" w:rsidP="00D82647">
            <w:pPr>
              <w:jc w:val="center"/>
              <w:rPr>
                <w:sz w:val="20"/>
                <w:szCs w:val="20"/>
              </w:rPr>
            </w:pPr>
          </w:p>
        </w:tc>
        <w:tc>
          <w:tcPr>
            <w:tcW w:w="1870" w:type="dxa"/>
            <w:vAlign w:val="center"/>
          </w:tcPr>
          <w:p w14:paraId="24E5F88D" w14:textId="77777777" w:rsidR="0019038E" w:rsidRPr="00944B8A" w:rsidRDefault="0019038E" w:rsidP="00D82647">
            <w:pPr>
              <w:jc w:val="center"/>
              <w:rPr>
                <w:sz w:val="20"/>
                <w:szCs w:val="20"/>
              </w:rPr>
            </w:pPr>
          </w:p>
        </w:tc>
      </w:tr>
      <w:tr w:rsidR="0019038E" w:rsidRPr="00944B8A" w14:paraId="1AC3BCA7" w14:textId="77777777" w:rsidTr="00D82647">
        <w:tc>
          <w:tcPr>
            <w:tcW w:w="1870" w:type="dxa"/>
            <w:vMerge/>
            <w:vAlign w:val="center"/>
          </w:tcPr>
          <w:p w14:paraId="4765C01C" w14:textId="77777777" w:rsidR="0019038E" w:rsidRPr="00944B8A" w:rsidRDefault="0019038E" w:rsidP="00D82647">
            <w:pPr>
              <w:jc w:val="center"/>
              <w:rPr>
                <w:sz w:val="20"/>
                <w:szCs w:val="20"/>
              </w:rPr>
            </w:pPr>
          </w:p>
        </w:tc>
        <w:tc>
          <w:tcPr>
            <w:tcW w:w="1870" w:type="dxa"/>
            <w:vAlign w:val="center"/>
          </w:tcPr>
          <w:p w14:paraId="2587C8DE" w14:textId="77777777" w:rsidR="0019038E" w:rsidRPr="00944B8A" w:rsidRDefault="0019038E" w:rsidP="00D82647">
            <w:pPr>
              <w:jc w:val="center"/>
              <w:rPr>
                <w:sz w:val="20"/>
                <w:szCs w:val="20"/>
              </w:rPr>
            </w:pPr>
            <w:r w:rsidRPr="00944B8A">
              <w:rPr>
                <w:rFonts w:asciiTheme="majorBidi" w:hAnsiTheme="majorBidi" w:cstheme="majorBidi"/>
                <w:color w:val="000000" w:themeColor="text1"/>
                <w:sz w:val="20"/>
                <w:szCs w:val="20"/>
              </w:rPr>
              <w:t>total</w:t>
            </w:r>
          </w:p>
        </w:tc>
        <w:tc>
          <w:tcPr>
            <w:tcW w:w="1870" w:type="dxa"/>
            <w:vAlign w:val="center"/>
          </w:tcPr>
          <w:p w14:paraId="6531A631" w14:textId="77777777" w:rsidR="0019038E" w:rsidRPr="00944B8A" w:rsidRDefault="0019038E" w:rsidP="00D82647">
            <w:pPr>
              <w:jc w:val="center"/>
              <w:rPr>
                <w:sz w:val="20"/>
                <w:szCs w:val="20"/>
              </w:rPr>
            </w:pPr>
            <w:r w:rsidRPr="00944B8A">
              <w:rPr>
                <w:rFonts w:asciiTheme="majorBidi" w:hAnsiTheme="majorBidi" w:cstheme="majorBidi"/>
                <w:color w:val="000000" w:themeColor="text1"/>
                <w:sz w:val="20"/>
                <w:szCs w:val="20"/>
              </w:rPr>
              <w:t>71</w:t>
            </w:r>
          </w:p>
        </w:tc>
        <w:tc>
          <w:tcPr>
            <w:tcW w:w="1870" w:type="dxa"/>
            <w:vAlign w:val="center"/>
          </w:tcPr>
          <w:p w14:paraId="3CC192D2" w14:textId="77777777" w:rsidR="0019038E" w:rsidRPr="00944B8A" w:rsidRDefault="0019038E" w:rsidP="00D82647">
            <w:pPr>
              <w:jc w:val="center"/>
              <w:rPr>
                <w:sz w:val="20"/>
                <w:szCs w:val="20"/>
              </w:rPr>
            </w:pPr>
          </w:p>
        </w:tc>
        <w:tc>
          <w:tcPr>
            <w:tcW w:w="1870" w:type="dxa"/>
            <w:vAlign w:val="center"/>
          </w:tcPr>
          <w:p w14:paraId="692A6724" w14:textId="77777777" w:rsidR="0019038E" w:rsidRPr="00944B8A" w:rsidRDefault="0019038E" w:rsidP="00D82647">
            <w:pPr>
              <w:jc w:val="center"/>
              <w:rPr>
                <w:sz w:val="20"/>
                <w:szCs w:val="20"/>
              </w:rPr>
            </w:pPr>
          </w:p>
        </w:tc>
      </w:tr>
      <w:tr w:rsidR="0019038E" w:rsidRPr="00944B8A" w14:paraId="00584DD1" w14:textId="77777777" w:rsidTr="00D82647">
        <w:tc>
          <w:tcPr>
            <w:tcW w:w="1870" w:type="dxa"/>
            <w:vMerge w:val="restart"/>
            <w:vAlign w:val="center"/>
          </w:tcPr>
          <w:p w14:paraId="62290DB6" w14:textId="77777777" w:rsidR="0019038E" w:rsidRPr="00944B8A" w:rsidRDefault="0019038E" w:rsidP="00D82647">
            <w:pPr>
              <w:jc w:val="center"/>
              <w:rPr>
                <w:sz w:val="20"/>
                <w:szCs w:val="20"/>
              </w:rPr>
            </w:pPr>
            <w:r w:rsidRPr="00944B8A">
              <w:rPr>
                <w:rFonts w:asciiTheme="majorBidi" w:hAnsiTheme="majorBidi" w:cstheme="majorBidi"/>
                <w:sz w:val="20"/>
                <w:szCs w:val="20"/>
              </w:rPr>
              <w:t>Results of the cultivar root colonization% (Arbuscules)</w:t>
            </w:r>
          </w:p>
        </w:tc>
        <w:tc>
          <w:tcPr>
            <w:tcW w:w="1870" w:type="dxa"/>
            <w:vAlign w:val="center"/>
          </w:tcPr>
          <w:p w14:paraId="5BFFDE0D" w14:textId="77777777" w:rsidR="0019038E" w:rsidRPr="00944B8A" w:rsidRDefault="0019038E" w:rsidP="00D82647">
            <w:pPr>
              <w:jc w:val="center"/>
              <w:rPr>
                <w:sz w:val="20"/>
                <w:szCs w:val="20"/>
              </w:rPr>
            </w:pPr>
            <w:r w:rsidRPr="00944B8A">
              <w:rPr>
                <w:rFonts w:asciiTheme="majorBidi" w:hAnsiTheme="majorBidi" w:cstheme="majorBidi"/>
                <w:sz w:val="20"/>
                <w:szCs w:val="20"/>
              </w:rPr>
              <w:t>source</w:t>
            </w:r>
          </w:p>
        </w:tc>
        <w:tc>
          <w:tcPr>
            <w:tcW w:w="1870" w:type="dxa"/>
            <w:vAlign w:val="center"/>
          </w:tcPr>
          <w:p w14:paraId="01F677E3" w14:textId="77777777" w:rsidR="0019038E" w:rsidRPr="00944B8A" w:rsidRDefault="0019038E" w:rsidP="00D82647">
            <w:pPr>
              <w:jc w:val="center"/>
              <w:rPr>
                <w:sz w:val="20"/>
                <w:szCs w:val="20"/>
              </w:rPr>
            </w:pPr>
            <w:r w:rsidRPr="00944B8A">
              <w:rPr>
                <w:rFonts w:asciiTheme="majorBidi" w:hAnsiTheme="majorBidi" w:cstheme="majorBidi"/>
                <w:sz w:val="20"/>
                <w:szCs w:val="20"/>
              </w:rPr>
              <w:t>DF</w:t>
            </w:r>
          </w:p>
        </w:tc>
        <w:tc>
          <w:tcPr>
            <w:tcW w:w="1870" w:type="dxa"/>
            <w:vAlign w:val="center"/>
          </w:tcPr>
          <w:p w14:paraId="6761E6CD" w14:textId="77777777" w:rsidR="0019038E" w:rsidRPr="00944B8A" w:rsidRDefault="0019038E" w:rsidP="00D82647">
            <w:pPr>
              <w:jc w:val="center"/>
              <w:rPr>
                <w:sz w:val="20"/>
                <w:szCs w:val="20"/>
              </w:rPr>
            </w:pPr>
            <w:r w:rsidRPr="00944B8A">
              <w:rPr>
                <w:rFonts w:asciiTheme="majorBidi" w:hAnsiTheme="majorBidi" w:cstheme="majorBidi"/>
                <w:sz w:val="20"/>
                <w:szCs w:val="20"/>
              </w:rPr>
              <w:t>F    VALUE</w:t>
            </w:r>
          </w:p>
        </w:tc>
        <w:tc>
          <w:tcPr>
            <w:tcW w:w="1870" w:type="dxa"/>
            <w:vAlign w:val="center"/>
          </w:tcPr>
          <w:p w14:paraId="31E02E2D" w14:textId="77777777" w:rsidR="0019038E" w:rsidRPr="00944B8A" w:rsidRDefault="0019038E" w:rsidP="00D82647">
            <w:pPr>
              <w:jc w:val="center"/>
              <w:rPr>
                <w:sz w:val="20"/>
                <w:szCs w:val="20"/>
              </w:rPr>
            </w:pPr>
            <w:r w:rsidRPr="00944B8A">
              <w:rPr>
                <w:rFonts w:asciiTheme="majorBidi" w:hAnsiTheme="majorBidi" w:cstheme="majorBidi"/>
                <w:sz w:val="20"/>
                <w:szCs w:val="20"/>
              </w:rPr>
              <w:t>P   VALUE</w:t>
            </w:r>
          </w:p>
        </w:tc>
      </w:tr>
      <w:tr w:rsidR="0019038E" w:rsidRPr="00944B8A" w14:paraId="53075ADA" w14:textId="77777777" w:rsidTr="00D82647">
        <w:tc>
          <w:tcPr>
            <w:tcW w:w="1870" w:type="dxa"/>
            <w:vMerge/>
            <w:vAlign w:val="center"/>
          </w:tcPr>
          <w:p w14:paraId="56ADF9C1" w14:textId="77777777" w:rsidR="0019038E" w:rsidRPr="00944B8A" w:rsidRDefault="0019038E" w:rsidP="00D82647">
            <w:pPr>
              <w:jc w:val="center"/>
              <w:rPr>
                <w:sz w:val="20"/>
                <w:szCs w:val="20"/>
              </w:rPr>
            </w:pPr>
          </w:p>
        </w:tc>
        <w:tc>
          <w:tcPr>
            <w:tcW w:w="1870" w:type="dxa"/>
            <w:vAlign w:val="center"/>
          </w:tcPr>
          <w:p w14:paraId="6B534F1B" w14:textId="77777777" w:rsidR="0019038E" w:rsidRPr="00944B8A" w:rsidRDefault="0019038E" w:rsidP="00D82647">
            <w:pPr>
              <w:jc w:val="center"/>
              <w:rPr>
                <w:sz w:val="20"/>
                <w:szCs w:val="20"/>
              </w:rPr>
            </w:pPr>
            <w:r w:rsidRPr="00944B8A">
              <w:rPr>
                <w:rFonts w:asciiTheme="majorBidi" w:hAnsiTheme="majorBidi" w:cstheme="majorBidi"/>
                <w:sz w:val="20"/>
                <w:szCs w:val="20"/>
              </w:rPr>
              <w:t>Treatment (between column)</w:t>
            </w:r>
          </w:p>
        </w:tc>
        <w:tc>
          <w:tcPr>
            <w:tcW w:w="1870" w:type="dxa"/>
            <w:vAlign w:val="center"/>
          </w:tcPr>
          <w:p w14:paraId="760EBFE8" w14:textId="77777777" w:rsidR="0019038E" w:rsidRPr="00944B8A" w:rsidRDefault="0019038E" w:rsidP="00D82647">
            <w:pPr>
              <w:jc w:val="center"/>
              <w:rPr>
                <w:sz w:val="20"/>
                <w:szCs w:val="20"/>
              </w:rPr>
            </w:pPr>
            <w:r w:rsidRPr="00944B8A">
              <w:rPr>
                <w:rFonts w:asciiTheme="majorBidi" w:hAnsiTheme="majorBidi" w:cstheme="majorBidi"/>
                <w:sz w:val="20"/>
                <w:szCs w:val="20"/>
              </w:rPr>
              <w:t>14</w:t>
            </w:r>
          </w:p>
        </w:tc>
        <w:tc>
          <w:tcPr>
            <w:tcW w:w="1870" w:type="dxa"/>
            <w:vAlign w:val="center"/>
          </w:tcPr>
          <w:p w14:paraId="2EE52649" w14:textId="77777777" w:rsidR="0019038E" w:rsidRPr="00944B8A" w:rsidRDefault="0019038E" w:rsidP="00D82647">
            <w:pPr>
              <w:jc w:val="center"/>
              <w:rPr>
                <w:sz w:val="20"/>
                <w:szCs w:val="20"/>
              </w:rPr>
            </w:pPr>
            <w:r w:rsidRPr="00944B8A">
              <w:rPr>
                <w:rFonts w:asciiTheme="majorBidi" w:hAnsiTheme="majorBidi" w:cstheme="majorBidi"/>
                <w:sz w:val="20"/>
                <w:szCs w:val="20"/>
              </w:rPr>
              <w:t>F (14,57) =1.513</w:t>
            </w:r>
          </w:p>
        </w:tc>
        <w:tc>
          <w:tcPr>
            <w:tcW w:w="1870" w:type="dxa"/>
            <w:vAlign w:val="center"/>
          </w:tcPr>
          <w:p w14:paraId="27FA93DD" w14:textId="77777777" w:rsidR="0019038E" w:rsidRPr="00944B8A" w:rsidRDefault="0019038E" w:rsidP="00D82647">
            <w:pPr>
              <w:jc w:val="center"/>
              <w:rPr>
                <w:sz w:val="20"/>
                <w:szCs w:val="20"/>
              </w:rPr>
            </w:pPr>
            <w:r w:rsidRPr="00944B8A">
              <w:rPr>
                <w:rFonts w:asciiTheme="majorBidi" w:hAnsiTheme="majorBidi" w:cstheme="majorBidi"/>
                <w:sz w:val="20"/>
                <w:szCs w:val="20"/>
              </w:rPr>
              <w:t>0.1359</w:t>
            </w:r>
          </w:p>
        </w:tc>
      </w:tr>
      <w:tr w:rsidR="0019038E" w:rsidRPr="00944B8A" w14:paraId="4C4901DD" w14:textId="77777777" w:rsidTr="00D82647">
        <w:tc>
          <w:tcPr>
            <w:tcW w:w="1870" w:type="dxa"/>
            <w:vMerge/>
            <w:vAlign w:val="center"/>
          </w:tcPr>
          <w:p w14:paraId="5C3547AB" w14:textId="77777777" w:rsidR="0019038E" w:rsidRPr="00944B8A" w:rsidRDefault="0019038E" w:rsidP="00D82647">
            <w:pPr>
              <w:jc w:val="center"/>
              <w:rPr>
                <w:sz w:val="20"/>
                <w:szCs w:val="20"/>
              </w:rPr>
            </w:pPr>
          </w:p>
        </w:tc>
        <w:tc>
          <w:tcPr>
            <w:tcW w:w="1870" w:type="dxa"/>
            <w:vAlign w:val="center"/>
          </w:tcPr>
          <w:p w14:paraId="030B493C" w14:textId="77777777" w:rsidR="0019038E" w:rsidRPr="00944B8A" w:rsidRDefault="0019038E" w:rsidP="00D82647">
            <w:pPr>
              <w:jc w:val="center"/>
              <w:rPr>
                <w:sz w:val="20"/>
                <w:szCs w:val="20"/>
              </w:rPr>
            </w:pPr>
            <w:r w:rsidRPr="00944B8A">
              <w:rPr>
                <w:rFonts w:asciiTheme="majorBidi" w:hAnsiTheme="majorBidi" w:cstheme="majorBidi"/>
                <w:sz w:val="20"/>
                <w:szCs w:val="20"/>
              </w:rPr>
              <w:t>Residual (within column)</w:t>
            </w:r>
          </w:p>
        </w:tc>
        <w:tc>
          <w:tcPr>
            <w:tcW w:w="1870" w:type="dxa"/>
            <w:vAlign w:val="center"/>
          </w:tcPr>
          <w:p w14:paraId="63053BAA" w14:textId="77777777" w:rsidR="0019038E" w:rsidRPr="00944B8A" w:rsidRDefault="0019038E" w:rsidP="00D82647">
            <w:pPr>
              <w:jc w:val="center"/>
              <w:rPr>
                <w:sz w:val="20"/>
                <w:szCs w:val="20"/>
              </w:rPr>
            </w:pPr>
            <w:r w:rsidRPr="00944B8A">
              <w:rPr>
                <w:rFonts w:asciiTheme="majorBidi" w:hAnsiTheme="majorBidi" w:cstheme="majorBidi"/>
                <w:sz w:val="20"/>
                <w:szCs w:val="20"/>
              </w:rPr>
              <w:t>57</w:t>
            </w:r>
          </w:p>
        </w:tc>
        <w:tc>
          <w:tcPr>
            <w:tcW w:w="1870" w:type="dxa"/>
            <w:vAlign w:val="center"/>
          </w:tcPr>
          <w:p w14:paraId="5ACEE3CB" w14:textId="77777777" w:rsidR="0019038E" w:rsidRPr="00944B8A" w:rsidRDefault="0019038E" w:rsidP="00D82647">
            <w:pPr>
              <w:jc w:val="center"/>
              <w:rPr>
                <w:sz w:val="20"/>
                <w:szCs w:val="20"/>
              </w:rPr>
            </w:pPr>
          </w:p>
        </w:tc>
        <w:tc>
          <w:tcPr>
            <w:tcW w:w="1870" w:type="dxa"/>
            <w:vAlign w:val="center"/>
          </w:tcPr>
          <w:p w14:paraId="4E05B6F7" w14:textId="77777777" w:rsidR="0019038E" w:rsidRPr="00944B8A" w:rsidRDefault="0019038E" w:rsidP="00D82647">
            <w:pPr>
              <w:jc w:val="center"/>
              <w:rPr>
                <w:sz w:val="20"/>
                <w:szCs w:val="20"/>
              </w:rPr>
            </w:pPr>
          </w:p>
        </w:tc>
      </w:tr>
      <w:tr w:rsidR="0019038E" w:rsidRPr="00944B8A" w14:paraId="5903467A" w14:textId="77777777" w:rsidTr="00D82647">
        <w:tc>
          <w:tcPr>
            <w:tcW w:w="1870" w:type="dxa"/>
            <w:vMerge/>
            <w:vAlign w:val="center"/>
          </w:tcPr>
          <w:p w14:paraId="27D956D9" w14:textId="77777777" w:rsidR="0019038E" w:rsidRPr="00944B8A" w:rsidRDefault="0019038E" w:rsidP="00D82647">
            <w:pPr>
              <w:jc w:val="center"/>
              <w:rPr>
                <w:sz w:val="20"/>
                <w:szCs w:val="20"/>
              </w:rPr>
            </w:pPr>
          </w:p>
        </w:tc>
        <w:tc>
          <w:tcPr>
            <w:tcW w:w="1870" w:type="dxa"/>
            <w:vAlign w:val="center"/>
          </w:tcPr>
          <w:p w14:paraId="57E59B52" w14:textId="77777777" w:rsidR="0019038E" w:rsidRPr="00944B8A" w:rsidRDefault="0019038E" w:rsidP="00D82647">
            <w:pPr>
              <w:jc w:val="center"/>
              <w:rPr>
                <w:sz w:val="20"/>
                <w:szCs w:val="20"/>
              </w:rPr>
            </w:pPr>
            <w:r w:rsidRPr="00944B8A">
              <w:rPr>
                <w:rFonts w:asciiTheme="majorBidi" w:hAnsiTheme="majorBidi" w:cstheme="majorBidi"/>
                <w:sz w:val="20"/>
                <w:szCs w:val="20"/>
              </w:rPr>
              <w:t>total</w:t>
            </w:r>
          </w:p>
        </w:tc>
        <w:tc>
          <w:tcPr>
            <w:tcW w:w="1870" w:type="dxa"/>
            <w:vAlign w:val="center"/>
          </w:tcPr>
          <w:p w14:paraId="1E84867D" w14:textId="77777777" w:rsidR="0019038E" w:rsidRPr="00944B8A" w:rsidRDefault="0019038E" w:rsidP="00D82647">
            <w:pPr>
              <w:jc w:val="center"/>
              <w:rPr>
                <w:sz w:val="20"/>
                <w:szCs w:val="20"/>
              </w:rPr>
            </w:pPr>
            <w:r w:rsidRPr="00944B8A">
              <w:rPr>
                <w:rFonts w:asciiTheme="majorBidi" w:hAnsiTheme="majorBidi" w:cstheme="majorBidi"/>
                <w:sz w:val="20"/>
                <w:szCs w:val="20"/>
              </w:rPr>
              <w:t>71</w:t>
            </w:r>
          </w:p>
        </w:tc>
        <w:tc>
          <w:tcPr>
            <w:tcW w:w="1870" w:type="dxa"/>
            <w:vAlign w:val="center"/>
          </w:tcPr>
          <w:p w14:paraId="5D2819E3" w14:textId="77777777" w:rsidR="0019038E" w:rsidRPr="00944B8A" w:rsidRDefault="0019038E" w:rsidP="00D82647">
            <w:pPr>
              <w:jc w:val="center"/>
              <w:rPr>
                <w:sz w:val="20"/>
                <w:szCs w:val="20"/>
              </w:rPr>
            </w:pPr>
          </w:p>
        </w:tc>
        <w:tc>
          <w:tcPr>
            <w:tcW w:w="1870" w:type="dxa"/>
            <w:vAlign w:val="center"/>
          </w:tcPr>
          <w:p w14:paraId="6676074F" w14:textId="77777777" w:rsidR="0019038E" w:rsidRPr="00944B8A" w:rsidRDefault="0019038E" w:rsidP="00D82647">
            <w:pPr>
              <w:jc w:val="center"/>
              <w:rPr>
                <w:sz w:val="20"/>
                <w:szCs w:val="20"/>
              </w:rPr>
            </w:pPr>
          </w:p>
        </w:tc>
      </w:tr>
      <w:tr w:rsidR="0019038E" w:rsidRPr="00944B8A" w14:paraId="1957DF7A" w14:textId="77777777" w:rsidTr="00D82647">
        <w:tc>
          <w:tcPr>
            <w:tcW w:w="1870" w:type="dxa"/>
            <w:vMerge w:val="restart"/>
            <w:vAlign w:val="center"/>
          </w:tcPr>
          <w:p w14:paraId="6DB39BEC" w14:textId="77777777" w:rsidR="0019038E" w:rsidRPr="00944B8A" w:rsidRDefault="0019038E" w:rsidP="00D82647">
            <w:pPr>
              <w:jc w:val="center"/>
              <w:rPr>
                <w:sz w:val="20"/>
                <w:szCs w:val="20"/>
              </w:rPr>
            </w:pPr>
            <w:r w:rsidRPr="00944B8A">
              <w:rPr>
                <w:rFonts w:asciiTheme="majorBidi" w:hAnsiTheme="majorBidi" w:cstheme="majorBidi"/>
                <w:sz w:val="20"/>
                <w:szCs w:val="20"/>
              </w:rPr>
              <w:t>Results of the cultivar root colonization% (vesicles)</w:t>
            </w:r>
          </w:p>
        </w:tc>
        <w:tc>
          <w:tcPr>
            <w:tcW w:w="1870" w:type="dxa"/>
            <w:vAlign w:val="center"/>
          </w:tcPr>
          <w:p w14:paraId="1E719244" w14:textId="77777777" w:rsidR="0019038E" w:rsidRPr="00944B8A" w:rsidRDefault="0019038E" w:rsidP="00D82647">
            <w:pPr>
              <w:jc w:val="center"/>
              <w:rPr>
                <w:sz w:val="20"/>
                <w:szCs w:val="20"/>
              </w:rPr>
            </w:pPr>
            <w:r w:rsidRPr="00944B8A">
              <w:rPr>
                <w:rFonts w:asciiTheme="majorBidi" w:hAnsiTheme="majorBidi" w:cstheme="majorBidi"/>
                <w:sz w:val="20"/>
                <w:szCs w:val="20"/>
              </w:rPr>
              <w:t>source</w:t>
            </w:r>
          </w:p>
        </w:tc>
        <w:tc>
          <w:tcPr>
            <w:tcW w:w="1870" w:type="dxa"/>
            <w:vAlign w:val="center"/>
          </w:tcPr>
          <w:p w14:paraId="0604F2FA" w14:textId="77777777" w:rsidR="0019038E" w:rsidRPr="00944B8A" w:rsidRDefault="0019038E" w:rsidP="00D82647">
            <w:pPr>
              <w:jc w:val="center"/>
              <w:rPr>
                <w:sz w:val="20"/>
                <w:szCs w:val="20"/>
              </w:rPr>
            </w:pPr>
            <w:r w:rsidRPr="00944B8A">
              <w:rPr>
                <w:rFonts w:asciiTheme="majorBidi" w:hAnsiTheme="majorBidi" w:cstheme="majorBidi"/>
                <w:sz w:val="20"/>
                <w:szCs w:val="20"/>
              </w:rPr>
              <w:t>DF</w:t>
            </w:r>
          </w:p>
        </w:tc>
        <w:tc>
          <w:tcPr>
            <w:tcW w:w="1870" w:type="dxa"/>
            <w:vAlign w:val="center"/>
          </w:tcPr>
          <w:p w14:paraId="06EA241C" w14:textId="77777777" w:rsidR="0019038E" w:rsidRPr="00944B8A" w:rsidRDefault="0019038E" w:rsidP="00D82647">
            <w:pPr>
              <w:jc w:val="center"/>
              <w:rPr>
                <w:sz w:val="20"/>
                <w:szCs w:val="20"/>
              </w:rPr>
            </w:pPr>
            <w:r w:rsidRPr="00944B8A">
              <w:rPr>
                <w:rFonts w:asciiTheme="majorBidi" w:hAnsiTheme="majorBidi" w:cstheme="majorBidi"/>
                <w:sz w:val="20"/>
                <w:szCs w:val="20"/>
              </w:rPr>
              <w:t>F    VALUE</w:t>
            </w:r>
          </w:p>
        </w:tc>
        <w:tc>
          <w:tcPr>
            <w:tcW w:w="1870" w:type="dxa"/>
            <w:vAlign w:val="center"/>
          </w:tcPr>
          <w:p w14:paraId="5F77FDFE" w14:textId="77777777" w:rsidR="0019038E" w:rsidRPr="00944B8A" w:rsidRDefault="0019038E" w:rsidP="00D82647">
            <w:pPr>
              <w:jc w:val="center"/>
              <w:rPr>
                <w:sz w:val="20"/>
                <w:szCs w:val="20"/>
              </w:rPr>
            </w:pPr>
            <w:r w:rsidRPr="00944B8A">
              <w:rPr>
                <w:rFonts w:asciiTheme="majorBidi" w:hAnsiTheme="majorBidi" w:cstheme="majorBidi"/>
                <w:sz w:val="20"/>
                <w:szCs w:val="20"/>
              </w:rPr>
              <w:t>P   VALUE</w:t>
            </w:r>
          </w:p>
        </w:tc>
      </w:tr>
      <w:tr w:rsidR="0019038E" w:rsidRPr="00944B8A" w14:paraId="1F5F0F91" w14:textId="77777777" w:rsidTr="00D82647">
        <w:tc>
          <w:tcPr>
            <w:tcW w:w="1870" w:type="dxa"/>
            <w:vMerge/>
            <w:vAlign w:val="center"/>
          </w:tcPr>
          <w:p w14:paraId="5B251BDE" w14:textId="77777777" w:rsidR="0019038E" w:rsidRPr="00944B8A" w:rsidRDefault="0019038E" w:rsidP="00D82647">
            <w:pPr>
              <w:jc w:val="center"/>
              <w:rPr>
                <w:sz w:val="20"/>
                <w:szCs w:val="20"/>
              </w:rPr>
            </w:pPr>
          </w:p>
        </w:tc>
        <w:tc>
          <w:tcPr>
            <w:tcW w:w="1870" w:type="dxa"/>
            <w:vAlign w:val="center"/>
          </w:tcPr>
          <w:p w14:paraId="39AAF79A" w14:textId="77777777" w:rsidR="0019038E" w:rsidRPr="00944B8A" w:rsidRDefault="0019038E" w:rsidP="00D82647">
            <w:pPr>
              <w:jc w:val="center"/>
              <w:rPr>
                <w:sz w:val="20"/>
                <w:szCs w:val="20"/>
              </w:rPr>
            </w:pPr>
            <w:r w:rsidRPr="00944B8A">
              <w:rPr>
                <w:rFonts w:asciiTheme="majorBidi" w:hAnsiTheme="majorBidi" w:cstheme="majorBidi"/>
                <w:sz w:val="20"/>
                <w:szCs w:val="20"/>
              </w:rPr>
              <w:t>Treatment (between column)</w:t>
            </w:r>
          </w:p>
        </w:tc>
        <w:tc>
          <w:tcPr>
            <w:tcW w:w="1870" w:type="dxa"/>
            <w:vAlign w:val="center"/>
          </w:tcPr>
          <w:p w14:paraId="6EE9B49F" w14:textId="77777777" w:rsidR="0019038E" w:rsidRPr="00944B8A" w:rsidRDefault="0019038E" w:rsidP="00D82647">
            <w:pPr>
              <w:jc w:val="center"/>
              <w:rPr>
                <w:sz w:val="20"/>
                <w:szCs w:val="20"/>
              </w:rPr>
            </w:pPr>
            <w:r w:rsidRPr="00944B8A">
              <w:rPr>
                <w:rFonts w:asciiTheme="majorBidi" w:hAnsiTheme="majorBidi" w:cstheme="majorBidi"/>
                <w:sz w:val="20"/>
                <w:szCs w:val="20"/>
              </w:rPr>
              <w:t>14</w:t>
            </w:r>
          </w:p>
        </w:tc>
        <w:tc>
          <w:tcPr>
            <w:tcW w:w="1870" w:type="dxa"/>
            <w:vAlign w:val="center"/>
          </w:tcPr>
          <w:p w14:paraId="16C32443" w14:textId="77777777" w:rsidR="0019038E" w:rsidRPr="00944B8A" w:rsidRDefault="0019038E" w:rsidP="00D82647">
            <w:pPr>
              <w:jc w:val="center"/>
              <w:rPr>
                <w:sz w:val="20"/>
                <w:szCs w:val="20"/>
              </w:rPr>
            </w:pPr>
            <w:r w:rsidRPr="00944B8A">
              <w:rPr>
                <w:rFonts w:asciiTheme="majorBidi" w:hAnsiTheme="majorBidi" w:cstheme="majorBidi"/>
                <w:sz w:val="20"/>
                <w:szCs w:val="20"/>
              </w:rPr>
              <w:t>F (14,60) =0.7820</w:t>
            </w:r>
          </w:p>
        </w:tc>
        <w:tc>
          <w:tcPr>
            <w:tcW w:w="1870" w:type="dxa"/>
            <w:vAlign w:val="center"/>
          </w:tcPr>
          <w:p w14:paraId="5752D26A" w14:textId="77777777" w:rsidR="0019038E" w:rsidRPr="00944B8A" w:rsidRDefault="0019038E" w:rsidP="00D82647">
            <w:pPr>
              <w:jc w:val="center"/>
              <w:rPr>
                <w:sz w:val="20"/>
                <w:szCs w:val="20"/>
              </w:rPr>
            </w:pPr>
            <w:r w:rsidRPr="00944B8A">
              <w:rPr>
                <w:rFonts w:asciiTheme="majorBidi" w:hAnsiTheme="majorBidi" w:cstheme="majorBidi"/>
                <w:sz w:val="20"/>
                <w:szCs w:val="20"/>
              </w:rPr>
              <w:t>0.6838</w:t>
            </w:r>
          </w:p>
        </w:tc>
      </w:tr>
      <w:tr w:rsidR="0019038E" w:rsidRPr="00944B8A" w14:paraId="4C784A02" w14:textId="77777777" w:rsidTr="00D82647">
        <w:tc>
          <w:tcPr>
            <w:tcW w:w="1870" w:type="dxa"/>
            <w:vMerge/>
            <w:vAlign w:val="center"/>
          </w:tcPr>
          <w:p w14:paraId="1CE4E619" w14:textId="77777777" w:rsidR="0019038E" w:rsidRPr="00944B8A" w:rsidRDefault="0019038E" w:rsidP="00D82647">
            <w:pPr>
              <w:jc w:val="center"/>
              <w:rPr>
                <w:sz w:val="20"/>
                <w:szCs w:val="20"/>
              </w:rPr>
            </w:pPr>
          </w:p>
        </w:tc>
        <w:tc>
          <w:tcPr>
            <w:tcW w:w="1870" w:type="dxa"/>
            <w:vAlign w:val="center"/>
          </w:tcPr>
          <w:p w14:paraId="145C1E4F" w14:textId="77777777" w:rsidR="0019038E" w:rsidRPr="00944B8A" w:rsidRDefault="0019038E" w:rsidP="00D82647">
            <w:pPr>
              <w:jc w:val="center"/>
              <w:rPr>
                <w:sz w:val="20"/>
                <w:szCs w:val="20"/>
              </w:rPr>
            </w:pPr>
            <w:r w:rsidRPr="00944B8A">
              <w:rPr>
                <w:rFonts w:asciiTheme="majorBidi" w:hAnsiTheme="majorBidi" w:cstheme="majorBidi"/>
                <w:sz w:val="20"/>
                <w:szCs w:val="20"/>
              </w:rPr>
              <w:t>Residual (within column)</w:t>
            </w:r>
          </w:p>
        </w:tc>
        <w:tc>
          <w:tcPr>
            <w:tcW w:w="1870" w:type="dxa"/>
            <w:vAlign w:val="center"/>
          </w:tcPr>
          <w:p w14:paraId="2D036C48" w14:textId="77777777" w:rsidR="0019038E" w:rsidRPr="00944B8A" w:rsidRDefault="0019038E" w:rsidP="00D82647">
            <w:pPr>
              <w:jc w:val="center"/>
              <w:rPr>
                <w:sz w:val="20"/>
                <w:szCs w:val="20"/>
              </w:rPr>
            </w:pPr>
            <w:r w:rsidRPr="00944B8A">
              <w:rPr>
                <w:rFonts w:asciiTheme="majorBidi" w:hAnsiTheme="majorBidi" w:cstheme="majorBidi"/>
                <w:sz w:val="20"/>
                <w:szCs w:val="20"/>
              </w:rPr>
              <w:t>60</w:t>
            </w:r>
          </w:p>
        </w:tc>
        <w:tc>
          <w:tcPr>
            <w:tcW w:w="1870" w:type="dxa"/>
            <w:vAlign w:val="center"/>
          </w:tcPr>
          <w:p w14:paraId="775DC6BE" w14:textId="77777777" w:rsidR="0019038E" w:rsidRPr="00944B8A" w:rsidRDefault="0019038E" w:rsidP="00D82647">
            <w:pPr>
              <w:jc w:val="center"/>
              <w:rPr>
                <w:sz w:val="20"/>
                <w:szCs w:val="20"/>
              </w:rPr>
            </w:pPr>
          </w:p>
        </w:tc>
        <w:tc>
          <w:tcPr>
            <w:tcW w:w="1870" w:type="dxa"/>
            <w:vAlign w:val="center"/>
          </w:tcPr>
          <w:p w14:paraId="639E56E4" w14:textId="77777777" w:rsidR="0019038E" w:rsidRPr="00944B8A" w:rsidRDefault="0019038E" w:rsidP="00D82647">
            <w:pPr>
              <w:jc w:val="center"/>
              <w:rPr>
                <w:sz w:val="20"/>
                <w:szCs w:val="20"/>
              </w:rPr>
            </w:pPr>
          </w:p>
        </w:tc>
      </w:tr>
      <w:tr w:rsidR="0019038E" w:rsidRPr="00944B8A" w14:paraId="3B11F4DE" w14:textId="77777777" w:rsidTr="00D82647">
        <w:tc>
          <w:tcPr>
            <w:tcW w:w="1870" w:type="dxa"/>
            <w:vMerge/>
            <w:vAlign w:val="center"/>
          </w:tcPr>
          <w:p w14:paraId="3DBC1F1F" w14:textId="77777777" w:rsidR="0019038E" w:rsidRPr="00944B8A" w:rsidRDefault="0019038E" w:rsidP="00D82647">
            <w:pPr>
              <w:jc w:val="center"/>
              <w:rPr>
                <w:sz w:val="20"/>
                <w:szCs w:val="20"/>
              </w:rPr>
            </w:pPr>
          </w:p>
        </w:tc>
        <w:tc>
          <w:tcPr>
            <w:tcW w:w="1870" w:type="dxa"/>
            <w:vAlign w:val="center"/>
          </w:tcPr>
          <w:p w14:paraId="7502AD6B" w14:textId="77777777" w:rsidR="0019038E" w:rsidRPr="00944B8A" w:rsidRDefault="0019038E" w:rsidP="00D82647">
            <w:pPr>
              <w:jc w:val="center"/>
              <w:rPr>
                <w:sz w:val="20"/>
                <w:szCs w:val="20"/>
              </w:rPr>
            </w:pPr>
            <w:r w:rsidRPr="00944B8A">
              <w:rPr>
                <w:rFonts w:asciiTheme="majorBidi" w:hAnsiTheme="majorBidi" w:cstheme="majorBidi"/>
                <w:sz w:val="20"/>
                <w:szCs w:val="20"/>
              </w:rPr>
              <w:t>total</w:t>
            </w:r>
          </w:p>
        </w:tc>
        <w:tc>
          <w:tcPr>
            <w:tcW w:w="1870" w:type="dxa"/>
            <w:vAlign w:val="center"/>
          </w:tcPr>
          <w:p w14:paraId="02C3D4D1" w14:textId="77777777" w:rsidR="0019038E" w:rsidRPr="00944B8A" w:rsidRDefault="0019038E" w:rsidP="00D82647">
            <w:pPr>
              <w:jc w:val="center"/>
              <w:rPr>
                <w:sz w:val="20"/>
                <w:szCs w:val="20"/>
              </w:rPr>
            </w:pPr>
            <w:r w:rsidRPr="00944B8A">
              <w:rPr>
                <w:rFonts w:asciiTheme="majorBidi" w:hAnsiTheme="majorBidi" w:cstheme="majorBidi"/>
                <w:sz w:val="20"/>
                <w:szCs w:val="20"/>
              </w:rPr>
              <w:t>74</w:t>
            </w:r>
          </w:p>
        </w:tc>
        <w:tc>
          <w:tcPr>
            <w:tcW w:w="1870" w:type="dxa"/>
            <w:vAlign w:val="center"/>
          </w:tcPr>
          <w:p w14:paraId="2DC7FB9E" w14:textId="77777777" w:rsidR="0019038E" w:rsidRPr="00944B8A" w:rsidRDefault="0019038E" w:rsidP="00D82647">
            <w:pPr>
              <w:jc w:val="center"/>
              <w:rPr>
                <w:sz w:val="20"/>
                <w:szCs w:val="20"/>
              </w:rPr>
            </w:pPr>
          </w:p>
        </w:tc>
        <w:tc>
          <w:tcPr>
            <w:tcW w:w="1870" w:type="dxa"/>
            <w:vAlign w:val="center"/>
          </w:tcPr>
          <w:p w14:paraId="6C0C9DE3" w14:textId="77777777" w:rsidR="0019038E" w:rsidRPr="00944B8A" w:rsidRDefault="0019038E" w:rsidP="00D82647">
            <w:pPr>
              <w:jc w:val="center"/>
              <w:rPr>
                <w:sz w:val="20"/>
                <w:szCs w:val="20"/>
              </w:rPr>
            </w:pPr>
          </w:p>
        </w:tc>
      </w:tr>
    </w:tbl>
    <w:p w14:paraId="3AEBB59A" w14:textId="77777777" w:rsidR="0019038E" w:rsidRPr="002932E6" w:rsidRDefault="0019038E" w:rsidP="0019038E">
      <w:pPr>
        <w:spacing w:afterLines="280" w:after="672" w:line="360" w:lineRule="auto"/>
        <w:jc w:val="lowKashida"/>
      </w:pPr>
    </w:p>
    <w:p w14:paraId="7FA29D53" w14:textId="77777777" w:rsidR="0019038E" w:rsidRPr="002932E6" w:rsidRDefault="0019038E" w:rsidP="0019038E">
      <w:pPr>
        <w:pStyle w:val="Heading3"/>
        <w:rPr>
          <w:iCs w:val="0"/>
        </w:rPr>
      </w:pPr>
      <w:bookmarkStart w:id="51" w:name="_Toc83751433"/>
      <w:r w:rsidRPr="002932E6">
        <w:lastRenderedPageBreak/>
        <w:t>2.3.2 Plant height</w:t>
      </w:r>
      <w:bookmarkEnd w:id="51"/>
      <w:r w:rsidRPr="002932E6">
        <w:t xml:space="preserve"> </w:t>
      </w:r>
    </w:p>
    <w:p w14:paraId="28D78CFC" w14:textId="77777777" w:rsidR="00B8687C" w:rsidRDefault="0019038E" w:rsidP="00B0163A">
      <w:pPr>
        <w:keepNext/>
        <w:spacing w:afterLines="280" w:after="672" w:line="360" w:lineRule="auto"/>
        <w:jc w:val="lowKashida"/>
        <w:rPr>
          <w:sz w:val="20"/>
          <w:szCs w:val="20"/>
        </w:rPr>
      </w:pPr>
      <w:r w:rsidRPr="002932E6">
        <w:rPr>
          <w:b/>
          <w:bCs/>
          <w:i/>
          <w:iCs/>
          <w:noProof/>
          <w:lang w:val="en-GB" w:eastAsia="en-GB"/>
        </w:rPr>
        <w:drawing>
          <wp:inline distT="0" distB="0" distL="0" distR="0" wp14:anchorId="5D3B8C21" wp14:editId="507BAAAD">
            <wp:extent cx="5435600" cy="3740150"/>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35600" cy="3740150"/>
                    </a:xfrm>
                    <a:prstGeom prst="rect">
                      <a:avLst/>
                    </a:prstGeom>
                  </pic:spPr>
                </pic:pic>
              </a:graphicData>
            </a:graphic>
          </wp:inline>
        </w:drawing>
      </w:r>
    </w:p>
    <w:p w14:paraId="1E7ACD3E" w14:textId="45EC1E11" w:rsidR="0019038E" w:rsidRDefault="0019038E" w:rsidP="00B0163A">
      <w:pPr>
        <w:keepNext/>
        <w:spacing w:afterLines="280" w:after="672" w:line="360" w:lineRule="auto"/>
        <w:jc w:val="lowKashida"/>
        <w:rPr>
          <w:sz w:val="20"/>
          <w:szCs w:val="20"/>
        </w:rPr>
      </w:pPr>
      <w:bookmarkStart w:id="52" w:name="_Toc83751349"/>
      <w:r w:rsidRPr="00ED675E">
        <w:rPr>
          <w:sz w:val="20"/>
          <w:szCs w:val="20"/>
        </w:rPr>
        <w:t xml:space="preserve">Figure </w:t>
      </w:r>
      <w:r w:rsidR="00843EDC">
        <w:rPr>
          <w:sz w:val="20"/>
          <w:szCs w:val="20"/>
        </w:rPr>
        <w:fldChar w:fldCharType="begin"/>
      </w:r>
      <w:r w:rsidR="00843EDC">
        <w:rPr>
          <w:sz w:val="20"/>
          <w:szCs w:val="20"/>
        </w:rPr>
        <w:instrText xml:space="preserve"> STYLEREF 1 \s </w:instrText>
      </w:r>
      <w:r w:rsidR="00843EDC">
        <w:rPr>
          <w:sz w:val="20"/>
          <w:szCs w:val="20"/>
        </w:rPr>
        <w:fldChar w:fldCharType="separate"/>
      </w:r>
      <w:r w:rsidR="00843EDC">
        <w:rPr>
          <w:noProof/>
          <w:sz w:val="20"/>
          <w:szCs w:val="20"/>
          <w:cs/>
        </w:rPr>
        <w:t>‎</w:t>
      </w:r>
      <w:r w:rsidR="00843EDC">
        <w:rPr>
          <w:noProof/>
          <w:sz w:val="20"/>
          <w:szCs w:val="20"/>
        </w:rPr>
        <w:t>2</w:t>
      </w:r>
      <w:r w:rsidR="00843EDC">
        <w:rPr>
          <w:sz w:val="20"/>
          <w:szCs w:val="20"/>
        </w:rPr>
        <w:fldChar w:fldCharType="end"/>
      </w:r>
      <w:r w:rsidR="00843EDC">
        <w:rPr>
          <w:sz w:val="20"/>
          <w:szCs w:val="20"/>
        </w:rPr>
        <w:t>.</w:t>
      </w:r>
      <w:r w:rsidR="00843EDC">
        <w:rPr>
          <w:sz w:val="20"/>
          <w:szCs w:val="20"/>
        </w:rPr>
        <w:fldChar w:fldCharType="begin"/>
      </w:r>
      <w:r w:rsidR="00843EDC">
        <w:rPr>
          <w:sz w:val="20"/>
          <w:szCs w:val="20"/>
        </w:rPr>
        <w:instrText xml:space="preserve"> SEQ Figure \* ARABIC \s 1 </w:instrText>
      </w:r>
      <w:r w:rsidR="00843EDC">
        <w:rPr>
          <w:sz w:val="20"/>
          <w:szCs w:val="20"/>
        </w:rPr>
        <w:fldChar w:fldCharType="separate"/>
      </w:r>
      <w:r w:rsidR="00843EDC">
        <w:rPr>
          <w:noProof/>
          <w:sz w:val="20"/>
          <w:szCs w:val="20"/>
        </w:rPr>
        <w:t>3</w:t>
      </w:r>
      <w:r w:rsidR="00843EDC">
        <w:rPr>
          <w:sz w:val="20"/>
          <w:szCs w:val="20"/>
        </w:rPr>
        <w:fldChar w:fldCharType="end"/>
      </w:r>
      <w:r w:rsidRPr="009A3EB4">
        <w:rPr>
          <w:sz w:val="20"/>
          <w:szCs w:val="20"/>
        </w:rPr>
        <w:t xml:space="preserve"> Plant height with and without AMF inoculum for all cultivars. Asterisk indicates significant differences within the same cultivar (+P&lt;0.1; *, P&lt;0.05).</w:t>
      </w:r>
      <w:bookmarkEnd w:id="52"/>
    </w:p>
    <w:p w14:paraId="493EB804" w14:textId="77777777" w:rsidR="00B0163A" w:rsidRPr="00B0163A" w:rsidRDefault="00B0163A" w:rsidP="00B0163A">
      <w:pPr>
        <w:keepNext/>
        <w:spacing w:afterLines="280" w:after="672" w:line="360" w:lineRule="auto"/>
        <w:jc w:val="lowKashida"/>
      </w:pPr>
    </w:p>
    <w:p w14:paraId="68208E26" w14:textId="075A09DE" w:rsidR="0019038E" w:rsidRPr="002932E6" w:rsidRDefault="0019038E" w:rsidP="00B0163A">
      <w:pPr>
        <w:pStyle w:val="mythesis"/>
      </w:pPr>
      <w:r w:rsidRPr="002932E6">
        <w:t xml:space="preserve">       To </w:t>
      </w:r>
      <w:r w:rsidR="00AF3A61">
        <w:t xml:space="preserve">varify the effect of </w:t>
      </w:r>
      <w:r w:rsidRPr="002932E6">
        <w:t xml:space="preserve">inoculation with Arbuscular mycorrhizal fungi </w:t>
      </w:r>
      <w:r w:rsidR="00AF3A61">
        <w:t>on</w:t>
      </w:r>
      <w:r w:rsidRPr="002932E6">
        <w:t xml:space="preserve"> the plant height, </w:t>
      </w:r>
      <w:r w:rsidR="00AF3A61">
        <w:t xml:space="preserve">the </w:t>
      </w:r>
      <w:r w:rsidRPr="002932E6">
        <w:t xml:space="preserve">inoculated and non-inoculated mean </w:t>
      </w:r>
      <w:r w:rsidR="00AF3A61">
        <w:t xml:space="preserve">of the </w:t>
      </w:r>
      <w:r w:rsidRPr="002932E6">
        <w:t xml:space="preserve">plant height </w:t>
      </w:r>
      <w:r w:rsidRPr="00B0163A">
        <w:rPr>
          <w:rFonts w:asciiTheme="majorBidi" w:hAnsiTheme="majorBidi" w:cstheme="majorBidi"/>
        </w:rPr>
        <w:t xml:space="preserve">after </w:t>
      </w:r>
      <w:r w:rsidR="00B0163A">
        <w:rPr>
          <w:rFonts w:asciiTheme="majorBidi" w:hAnsiTheme="majorBidi" w:cstheme="majorBidi"/>
        </w:rPr>
        <w:t xml:space="preserve">90 </w:t>
      </w:r>
      <w:r w:rsidRPr="00B0163A">
        <w:rPr>
          <w:rFonts w:asciiTheme="majorBidi" w:hAnsiTheme="majorBidi" w:cstheme="majorBidi"/>
        </w:rPr>
        <w:t>days</w:t>
      </w:r>
      <w:r w:rsidRPr="002932E6">
        <w:t xml:space="preserve"> were compared.  </w:t>
      </w:r>
    </w:p>
    <w:p w14:paraId="4BE45D41" w14:textId="654997D5" w:rsidR="0019038E" w:rsidRPr="008B4931" w:rsidRDefault="0019038E" w:rsidP="008B4931">
      <w:pPr>
        <w:pStyle w:val="mythesis"/>
      </w:pPr>
      <w:r w:rsidRPr="002932E6">
        <w:t xml:space="preserve">       The plant height, in general, was in the range of 8 -26.5 cm when treated with the mycorrhizal compared to non-inoculated plants were recorded 13.6 – 33.4 cm.</w:t>
      </w:r>
      <w:r w:rsidR="008B4931">
        <w:t xml:space="preserve"> There was a difference in the effect of the inoculum on the plant height, </w:t>
      </w:r>
      <w:r w:rsidR="008B4931" w:rsidRPr="008B4931">
        <w:t>where was recorded an increase in cultivars No. 2,9,10,14,16 and 18 compared to non-inoculated cultivars, while the inoculum did not affect cultivars No.1,3,4,5,6,7,8,11and 12, as the non inoculated cultivars had a longer length than the inoculated one. The cultivar No.16 showed a simple significant difference (P&lt;0.05) while cultivars No.8 showed a less significant difference (P&lt;0.1) Fig.2.3</w:t>
      </w:r>
      <w:r w:rsidR="008B4931">
        <w:t>.</w:t>
      </w:r>
    </w:p>
    <w:p w14:paraId="12DA6ACC" w14:textId="77777777" w:rsidR="0019038E" w:rsidRPr="005538FC" w:rsidRDefault="0019038E" w:rsidP="0019038E">
      <w:pPr>
        <w:pStyle w:val="Caption"/>
        <w:keepNext/>
        <w:rPr>
          <w:b w:val="0"/>
          <w:bCs w:val="0"/>
          <w:sz w:val="20"/>
          <w:szCs w:val="20"/>
        </w:rPr>
      </w:pPr>
      <w:bookmarkStart w:id="53" w:name="_Toc83750073"/>
      <w:r w:rsidRPr="00ED12B1">
        <w:rPr>
          <w:b w:val="0"/>
          <w:bCs w:val="0"/>
          <w:sz w:val="20"/>
          <w:szCs w:val="20"/>
        </w:rPr>
        <w:lastRenderedPageBreak/>
        <w:t xml:space="preserve">Table </w:t>
      </w:r>
      <w:r w:rsidRPr="00ED12B1">
        <w:rPr>
          <w:b w:val="0"/>
          <w:bCs w:val="0"/>
          <w:sz w:val="20"/>
          <w:szCs w:val="20"/>
        </w:rPr>
        <w:fldChar w:fldCharType="begin"/>
      </w:r>
      <w:r w:rsidRPr="00ED12B1">
        <w:rPr>
          <w:b w:val="0"/>
          <w:bCs w:val="0"/>
          <w:sz w:val="20"/>
          <w:szCs w:val="20"/>
        </w:rPr>
        <w:instrText xml:space="preserve"> STYLEREF 1 \s </w:instrText>
      </w:r>
      <w:r w:rsidRPr="00ED12B1">
        <w:rPr>
          <w:b w:val="0"/>
          <w:bCs w:val="0"/>
          <w:sz w:val="20"/>
          <w:szCs w:val="20"/>
        </w:rPr>
        <w:fldChar w:fldCharType="separate"/>
      </w:r>
      <w:r w:rsidRPr="00ED12B1">
        <w:rPr>
          <w:b w:val="0"/>
          <w:bCs w:val="0"/>
          <w:noProof/>
          <w:sz w:val="20"/>
          <w:szCs w:val="20"/>
          <w:cs/>
        </w:rPr>
        <w:t>‎</w:t>
      </w:r>
      <w:r w:rsidRPr="00ED12B1">
        <w:rPr>
          <w:b w:val="0"/>
          <w:bCs w:val="0"/>
          <w:noProof/>
          <w:sz w:val="20"/>
          <w:szCs w:val="20"/>
        </w:rPr>
        <w:t>2</w:t>
      </w:r>
      <w:r w:rsidRPr="00ED12B1">
        <w:rPr>
          <w:b w:val="0"/>
          <w:bCs w:val="0"/>
          <w:sz w:val="20"/>
          <w:szCs w:val="20"/>
        </w:rPr>
        <w:fldChar w:fldCharType="end"/>
      </w:r>
      <w:r w:rsidRPr="00ED12B1">
        <w:rPr>
          <w:b w:val="0"/>
          <w:bCs w:val="0"/>
          <w:sz w:val="20"/>
          <w:szCs w:val="20"/>
        </w:rPr>
        <w:t>.</w:t>
      </w:r>
      <w:r w:rsidRPr="00ED12B1">
        <w:rPr>
          <w:b w:val="0"/>
          <w:bCs w:val="0"/>
          <w:sz w:val="20"/>
          <w:szCs w:val="20"/>
        </w:rPr>
        <w:fldChar w:fldCharType="begin"/>
      </w:r>
      <w:r w:rsidRPr="00ED12B1">
        <w:rPr>
          <w:b w:val="0"/>
          <w:bCs w:val="0"/>
          <w:sz w:val="20"/>
          <w:szCs w:val="20"/>
        </w:rPr>
        <w:instrText xml:space="preserve"> SEQ Table \* ARABIC \s 1 </w:instrText>
      </w:r>
      <w:r w:rsidRPr="00ED12B1">
        <w:rPr>
          <w:b w:val="0"/>
          <w:bCs w:val="0"/>
          <w:sz w:val="20"/>
          <w:szCs w:val="20"/>
        </w:rPr>
        <w:fldChar w:fldCharType="separate"/>
      </w:r>
      <w:r w:rsidRPr="00ED12B1">
        <w:rPr>
          <w:b w:val="0"/>
          <w:bCs w:val="0"/>
          <w:noProof/>
          <w:sz w:val="20"/>
          <w:szCs w:val="20"/>
        </w:rPr>
        <w:t>5</w:t>
      </w:r>
      <w:r w:rsidRPr="00ED12B1">
        <w:rPr>
          <w:b w:val="0"/>
          <w:bCs w:val="0"/>
          <w:sz w:val="20"/>
          <w:szCs w:val="20"/>
        </w:rPr>
        <w:fldChar w:fldCharType="end"/>
      </w:r>
      <w:r w:rsidRPr="005538FC">
        <w:rPr>
          <w:b w:val="0"/>
          <w:bCs w:val="0"/>
          <w:sz w:val="20"/>
          <w:szCs w:val="20"/>
        </w:rPr>
        <w:t xml:space="preserve"> Two-Way ANOVA statistical significance of the cultivars height (cm); Factor, (cultivar and treatment AMF) and their interaction (cultivar*treatment AMF); d.f., degrees of freedom; F, value for comparison with the critical value for significance; P, level of significance (P-value).</w:t>
      </w:r>
      <w:bookmarkEnd w:id="53"/>
    </w:p>
    <w:tbl>
      <w:tblPr>
        <w:tblStyle w:val="TableGrid"/>
        <w:tblpPr w:leftFromText="180" w:rightFromText="180" w:vertAnchor="page" w:horzAnchor="margin" w:tblpY="4255"/>
        <w:tblW w:w="0" w:type="auto"/>
        <w:tblLook w:val="04A0" w:firstRow="1" w:lastRow="0" w:firstColumn="1" w:lastColumn="0" w:noHBand="0" w:noVBand="1"/>
      </w:tblPr>
      <w:tblGrid>
        <w:gridCol w:w="2777"/>
        <w:gridCol w:w="1897"/>
        <w:gridCol w:w="1922"/>
        <w:gridCol w:w="1930"/>
      </w:tblGrid>
      <w:tr w:rsidR="0019038E" w:rsidRPr="00C8752D" w14:paraId="090100DE" w14:textId="77777777" w:rsidTr="00D82647">
        <w:trPr>
          <w:trHeight w:val="315"/>
        </w:trPr>
        <w:tc>
          <w:tcPr>
            <w:tcW w:w="8526" w:type="dxa"/>
            <w:gridSpan w:val="4"/>
          </w:tcPr>
          <w:p w14:paraId="603FC1F7" w14:textId="77777777" w:rsidR="0019038E" w:rsidRPr="00C8752D" w:rsidRDefault="0019038E" w:rsidP="00D82647">
            <w:pPr>
              <w:widowControl w:val="0"/>
              <w:autoSpaceDE w:val="0"/>
              <w:autoSpaceDN w:val="0"/>
              <w:adjustRightInd w:val="0"/>
              <w:spacing w:after="240" w:line="360" w:lineRule="auto"/>
              <w:jc w:val="center"/>
              <w:rPr>
                <w:rFonts w:asciiTheme="majorBidi" w:hAnsiTheme="majorBidi" w:cstheme="majorBidi"/>
                <w:b/>
                <w:bCs/>
                <w:color w:val="000000"/>
              </w:rPr>
            </w:pPr>
            <w:r>
              <w:rPr>
                <w:b/>
                <w:bCs/>
              </w:rPr>
              <w:t>Plant Height</w:t>
            </w:r>
          </w:p>
        </w:tc>
      </w:tr>
      <w:tr w:rsidR="0019038E" w:rsidRPr="00C8752D" w14:paraId="0E111A50" w14:textId="77777777" w:rsidTr="00D82647">
        <w:trPr>
          <w:trHeight w:val="325"/>
        </w:trPr>
        <w:tc>
          <w:tcPr>
            <w:tcW w:w="2777" w:type="dxa"/>
          </w:tcPr>
          <w:p w14:paraId="068AF9DA" w14:textId="77777777" w:rsidR="0019038E" w:rsidRPr="00C8752D" w:rsidRDefault="0019038E" w:rsidP="00D82647">
            <w:pPr>
              <w:widowControl w:val="0"/>
              <w:autoSpaceDE w:val="0"/>
              <w:autoSpaceDN w:val="0"/>
              <w:adjustRightInd w:val="0"/>
              <w:spacing w:after="240" w:line="360" w:lineRule="auto"/>
              <w:rPr>
                <w:rFonts w:asciiTheme="majorBidi" w:hAnsiTheme="majorBidi" w:cstheme="majorBidi"/>
                <w:b/>
                <w:bCs/>
                <w:color w:val="000000"/>
              </w:rPr>
            </w:pPr>
            <w:r>
              <w:rPr>
                <w:rFonts w:asciiTheme="majorBidi" w:hAnsiTheme="majorBidi" w:cstheme="majorBidi"/>
                <w:b/>
                <w:bCs/>
                <w:color w:val="000000"/>
              </w:rPr>
              <w:t>Factor</w:t>
            </w:r>
          </w:p>
        </w:tc>
        <w:tc>
          <w:tcPr>
            <w:tcW w:w="1897" w:type="dxa"/>
          </w:tcPr>
          <w:p w14:paraId="1C9FD253" w14:textId="77777777" w:rsidR="0019038E" w:rsidRPr="00C8752D" w:rsidRDefault="0019038E" w:rsidP="00D82647">
            <w:pPr>
              <w:widowControl w:val="0"/>
              <w:autoSpaceDE w:val="0"/>
              <w:autoSpaceDN w:val="0"/>
              <w:adjustRightInd w:val="0"/>
              <w:spacing w:after="240" w:line="360" w:lineRule="auto"/>
              <w:rPr>
                <w:rFonts w:asciiTheme="majorBidi" w:hAnsiTheme="majorBidi" w:cstheme="majorBidi"/>
                <w:b/>
                <w:bCs/>
                <w:color w:val="000000"/>
              </w:rPr>
            </w:pPr>
            <w:r w:rsidRPr="00C8752D">
              <w:rPr>
                <w:rFonts w:asciiTheme="majorBidi" w:hAnsiTheme="majorBidi" w:cstheme="majorBidi"/>
                <w:b/>
                <w:bCs/>
                <w:color w:val="000000"/>
              </w:rPr>
              <w:t>d.f.</w:t>
            </w:r>
          </w:p>
        </w:tc>
        <w:tc>
          <w:tcPr>
            <w:tcW w:w="1922" w:type="dxa"/>
          </w:tcPr>
          <w:p w14:paraId="3A54817C" w14:textId="77777777" w:rsidR="0019038E" w:rsidRDefault="0019038E" w:rsidP="00D82647">
            <w:pPr>
              <w:widowControl w:val="0"/>
              <w:autoSpaceDE w:val="0"/>
              <w:autoSpaceDN w:val="0"/>
              <w:adjustRightInd w:val="0"/>
              <w:spacing w:after="240" w:line="360" w:lineRule="auto"/>
              <w:rPr>
                <w:rFonts w:asciiTheme="majorBidi" w:hAnsiTheme="majorBidi" w:cstheme="majorBidi"/>
                <w:color w:val="000000"/>
              </w:rPr>
            </w:pPr>
            <w:r w:rsidRPr="00C8752D">
              <w:rPr>
                <w:rFonts w:asciiTheme="majorBidi" w:hAnsiTheme="majorBidi" w:cstheme="majorBidi"/>
                <w:b/>
                <w:bCs/>
                <w:color w:val="000000"/>
              </w:rPr>
              <w:t>F</w:t>
            </w:r>
            <w:r>
              <w:rPr>
                <w:rFonts w:asciiTheme="majorBidi" w:hAnsiTheme="majorBidi" w:cstheme="majorBidi"/>
                <w:color w:val="000000"/>
              </w:rPr>
              <w:t xml:space="preserve"> </w:t>
            </w:r>
            <w:r w:rsidRPr="00945124">
              <w:rPr>
                <w:b/>
                <w:bCs/>
              </w:rPr>
              <w:t>VALUE</w:t>
            </w:r>
          </w:p>
        </w:tc>
        <w:tc>
          <w:tcPr>
            <w:tcW w:w="1930" w:type="dxa"/>
          </w:tcPr>
          <w:p w14:paraId="56F848E3" w14:textId="77777777" w:rsidR="0019038E" w:rsidRPr="00C8752D" w:rsidRDefault="0019038E" w:rsidP="00D82647">
            <w:pPr>
              <w:widowControl w:val="0"/>
              <w:autoSpaceDE w:val="0"/>
              <w:autoSpaceDN w:val="0"/>
              <w:adjustRightInd w:val="0"/>
              <w:spacing w:after="240" w:line="360" w:lineRule="auto"/>
              <w:rPr>
                <w:rFonts w:asciiTheme="majorBidi" w:hAnsiTheme="majorBidi" w:cstheme="majorBidi"/>
                <w:b/>
                <w:bCs/>
                <w:color w:val="000000"/>
              </w:rPr>
            </w:pPr>
            <w:r w:rsidRPr="00C8752D">
              <w:rPr>
                <w:rFonts w:asciiTheme="majorBidi" w:hAnsiTheme="majorBidi" w:cstheme="majorBidi"/>
                <w:b/>
                <w:bCs/>
                <w:color w:val="000000"/>
              </w:rPr>
              <w:t xml:space="preserve">P </w:t>
            </w:r>
            <w:r w:rsidRPr="00C8752D">
              <w:rPr>
                <w:b/>
                <w:bCs/>
              </w:rPr>
              <w:t>VALUE</w:t>
            </w:r>
          </w:p>
        </w:tc>
      </w:tr>
      <w:tr w:rsidR="0019038E" w14:paraId="7D6BDB3B" w14:textId="77777777" w:rsidTr="00D82647">
        <w:trPr>
          <w:trHeight w:val="315"/>
        </w:trPr>
        <w:tc>
          <w:tcPr>
            <w:tcW w:w="2777" w:type="dxa"/>
          </w:tcPr>
          <w:p w14:paraId="412B2D7A" w14:textId="77777777" w:rsidR="0019038E" w:rsidRPr="00F10CC3" w:rsidRDefault="0019038E" w:rsidP="00D82647">
            <w:pPr>
              <w:widowControl w:val="0"/>
              <w:autoSpaceDE w:val="0"/>
              <w:autoSpaceDN w:val="0"/>
              <w:adjustRightInd w:val="0"/>
              <w:spacing w:after="240" w:line="360" w:lineRule="auto"/>
              <w:rPr>
                <w:rFonts w:asciiTheme="majorBidi" w:hAnsiTheme="majorBidi" w:cstheme="majorBidi"/>
                <w:b/>
                <w:bCs/>
                <w:color w:val="000000"/>
              </w:rPr>
            </w:pPr>
            <w:r w:rsidRPr="00F10CC3">
              <w:rPr>
                <w:b/>
                <w:bCs/>
              </w:rPr>
              <w:t>cultivar</w:t>
            </w:r>
          </w:p>
        </w:tc>
        <w:tc>
          <w:tcPr>
            <w:tcW w:w="1897" w:type="dxa"/>
          </w:tcPr>
          <w:p w14:paraId="307C86ED" w14:textId="77777777" w:rsidR="0019038E" w:rsidRDefault="0019038E" w:rsidP="00D82647">
            <w:pPr>
              <w:widowControl w:val="0"/>
              <w:autoSpaceDE w:val="0"/>
              <w:autoSpaceDN w:val="0"/>
              <w:adjustRightInd w:val="0"/>
              <w:spacing w:after="240" w:line="360" w:lineRule="auto"/>
              <w:rPr>
                <w:rFonts w:asciiTheme="majorBidi" w:hAnsiTheme="majorBidi" w:cstheme="majorBidi"/>
                <w:color w:val="000000"/>
              </w:rPr>
            </w:pPr>
            <w:r>
              <w:t>15</w:t>
            </w:r>
          </w:p>
        </w:tc>
        <w:tc>
          <w:tcPr>
            <w:tcW w:w="1922" w:type="dxa"/>
          </w:tcPr>
          <w:p w14:paraId="3450F143" w14:textId="77777777" w:rsidR="0019038E" w:rsidRDefault="0019038E" w:rsidP="00D82647">
            <w:pPr>
              <w:widowControl w:val="0"/>
              <w:autoSpaceDE w:val="0"/>
              <w:autoSpaceDN w:val="0"/>
              <w:adjustRightInd w:val="0"/>
              <w:spacing w:after="240" w:line="360" w:lineRule="auto"/>
              <w:rPr>
                <w:rFonts w:asciiTheme="majorBidi" w:hAnsiTheme="majorBidi" w:cstheme="majorBidi"/>
                <w:color w:val="000000"/>
              </w:rPr>
            </w:pPr>
            <w:r>
              <w:t>5.41</w:t>
            </w:r>
          </w:p>
        </w:tc>
        <w:tc>
          <w:tcPr>
            <w:tcW w:w="1930" w:type="dxa"/>
          </w:tcPr>
          <w:p w14:paraId="204475E7" w14:textId="77777777" w:rsidR="0019038E" w:rsidRDefault="0019038E" w:rsidP="00D82647">
            <w:pPr>
              <w:widowControl w:val="0"/>
              <w:autoSpaceDE w:val="0"/>
              <w:autoSpaceDN w:val="0"/>
              <w:adjustRightInd w:val="0"/>
              <w:spacing w:after="240" w:line="360" w:lineRule="auto"/>
              <w:rPr>
                <w:rFonts w:asciiTheme="majorBidi" w:hAnsiTheme="majorBidi" w:cstheme="majorBidi"/>
                <w:color w:val="000000"/>
              </w:rPr>
            </w:pPr>
            <w:r>
              <w:t>&lt;0.001</w:t>
            </w:r>
          </w:p>
        </w:tc>
      </w:tr>
      <w:tr w:rsidR="0019038E" w14:paraId="2D78BF78" w14:textId="77777777" w:rsidTr="00D82647">
        <w:trPr>
          <w:trHeight w:val="325"/>
        </w:trPr>
        <w:tc>
          <w:tcPr>
            <w:tcW w:w="2777" w:type="dxa"/>
          </w:tcPr>
          <w:p w14:paraId="2DC66F1B" w14:textId="77777777" w:rsidR="0019038E" w:rsidRPr="00F10CC3" w:rsidRDefault="0019038E" w:rsidP="00D82647">
            <w:pPr>
              <w:widowControl w:val="0"/>
              <w:autoSpaceDE w:val="0"/>
              <w:autoSpaceDN w:val="0"/>
              <w:adjustRightInd w:val="0"/>
              <w:spacing w:after="240" w:line="360" w:lineRule="auto"/>
              <w:rPr>
                <w:rFonts w:asciiTheme="majorBidi" w:hAnsiTheme="majorBidi" w:cstheme="majorBidi"/>
                <w:b/>
                <w:bCs/>
                <w:color w:val="000000"/>
              </w:rPr>
            </w:pPr>
            <w:r w:rsidRPr="00F10CC3">
              <w:rPr>
                <w:b/>
                <w:bCs/>
              </w:rPr>
              <w:t>treatment</w:t>
            </w:r>
          </w:p>
        </w:tc>
        <w:tc>
          <w:tcPr>
            <w:tcW w:w="1897" w:type="dxa"/>
          </w:tcPr>
          <w:p w14:paraId="30A11E46" w14:textId="77777777" w:rsidR="0019038E" w:rsidRDefault="0019038E" w:rsidP="00D82647">
            <w:pPr>
              <w:widowControl w:val="0"/>
              <w:autoSpaceDE w:val="0"/>
              <w:autoSpaceDN w:val="0"/>
              <w:adjustRightInd w:val="0"/>
              <w:spacing w:after="240" w:line="360" w:lineRule="auto"/>
              <w:rPr>
                <w:rFonts w:asciiTheme="majorBidi" w:hAnsiTheme="majorBidi" w:cstheme="majorBidi"/>
                <w:color w:val="000000"/>
              </w:rPr>
            </w:pPr>
            <w:r>
              <w:t>1</w:t>
            </w:r>
          </w:p>
        </w:tc>
        <w:tc>
          <w:tcPr>
            <w:tcW w:w="1922" w:type="dxa"/>
          </w:tcPr>
          <w:p w14:paraId="30133780" w14:textId="77777777" w:rsidR="0019038E" w:rsidRDefault="0019038E" w:rsidP="00D82647">
            <w:pPr>
              <w:widowControl w:val="0"/>
              <w:autoSpaceDE w:val="0"/>
              <w:autoSpaceDN w:val="0"/>
              <w:adjustRightInd w:val="0"/>
              <w:spacing w:after="240" w:line="360" w:lineRule="auto"/>
              <w:rPr>
                <w:rFonts w:asciiTheme="majorBidi" w:hAnsiTheme="majorBidi" w:cstheme="majorBidi"/>
                <w:color w:val="000000"/>
              </w:rPr>
            </w:pPr>
            <w:r>
              <w:t>1.08</w:t>
            </w:r>
          </w:p>
        </w:tc>
        <w:tc>
          <w:tcPr>
            <w:tcW w:w="1930" w:type="dxa"/>
          </w:tcPr>
          <w:p w14:paraId="6C44FBB2" w14:textId="77777777" w:rsidR="0019038E" w:rsidRDefault="0019038E" w:rsidP="00D82647">
            <w:pPr>
              <w:widowControl w:val="0"/>
              <w:autoSpaceDE w:val="0"/>
              <w:autoSpaceDN w:val="0"/>
              <w:adjustRightInd w:val="0"/>
              <w:spacing w:after="240" w:line="360" w:lineRule="auto"/>
              <w:rPr>
                <w:rFonts w:asciiTheme="majorBidi" w:hAnsiTheme="majorBidi" w:cstheme="majorBidi"/>
                <w:color w:val="000000"/>
              </w:rPr>
            </w:pPr>
            <w:r>
              <w:t>0.300</w:t>
            </w:r>
          </w:p>
        </w:tc>
      </w:tr>
      <w:tr w:rsidR="0019038E" w14:paraId="57357BFC" w14:textId="77777777" w:rsidTr="00D82647">
        <w:trPr>
          <w:trHeight w:val="507"/>
        </w:trPr>
        <w:tc>
          <w:tcPr>
            <w:tcW w:w="2777" w:type="dxa"/>
          </w:tcPr>
          <w:p w14:paraId="0C563657" w14:textId="77777777" w:rsidR="0019038E" w:rsidRPr="00F10CC3" w:rsidRDefault="0019038E" w:rsidP="00D82647">
            <w:pPr>
              <w:widowControl w:val="0"/>
              <w:autoSpaceDE w:val="0"/>
              <w:autoSpaceDN w:val="0"/>
              <w:adjustRightInd w:val="0"/>
              <w:spacing w:after="240" w:line="360" w:lineRule="auto"/>
              <w:rPr>
                <w:rFonts w:asciiTheme="majorBidi" w:hAnsiTheme="majorBidi" w:cstheme="majorBidi"/>
                <w:b/>
                <w:bCs/>
                <w:color w:val="000000"/>
              </w:rPr>
            </w:pPr>
            <w:r w:rsidRPr="00F10CC3">
              <w:rPr>
                <w:b/>
                <w:bCs/>
              </w:rPr>
              <w:t>Cultivar*treatment</w:t>
            </w:r>
            <w:r>
              <w:rPr>
                <w:b/>
                <w:bCs/>
              </w:rPr>
              <w:t xml:space="preserve"> AMF</w:t>
            </w:r>
          </w:p>
        </w:tc>
        <w:tc>
          <w:tcPr>
            <w:tcW w:w="1897" w:type="dxa"/>
          </w:tcPr>
          <w:p w14:paraId="626F4F9E" w14:textId="77777777" w:rsidR="0019038E" w:rsidRDefault="0019038E" w:rsidP="00D82647">
            <w:pPr>
              <w:widowControl w:val="0"/>
              <w:autoSpaceDE w:val="0"/>
              <w:autoSpaceDN w:val="0"/>
              <w:adjustRightInd w:val="0"/>
              <w:spacing w:after="240" w:line="360" w:lineRule="auto"/>
              <w:rPr>
                <w:rFonts w:asciiTheme="majorBidi" w:hAnsiTheme="majorBidi" w:cstheme="majorBidi"/>
                <w:color w:val="000000"/>
              </w:rPr>
            </w:pPr>
            <w:r>
              <w:t>15</w:t>
            </w:r>
          </w:p>
        </w:tc>
        <w:tc>
          <w:tcPr>
            <w:tcW w:w="1922" w:type="dxa"/>
          </w:tcPr>
          <w:p w14:paraId="634E3A16" w14:textId="77777777" w:rsidR="0019038E" w:rsidRDefault="0019038E" w:rsidP="00D82647">
            <w:pPr>
              <w:widowControl w:val="0"/>
              <w:autoSpaceDE w:val="0"/>
              <w:autoSpaceDN w:val="0"/>
              <w:adjustRightInd w:val="0"/>
              <w:spacing w:after="240" w:line="360" w:lineRule="auto"/>
              <w:rPr>
                <w:rFonts w:asciiTheme="majorBidi" w:hAnsiTheme="majorBidi" w:cstheme="majorBidi"/>
                <w:color w:val="000000"/>
              </w:rPr>
            </w:pPr>
            <w:r>
              <w:t>1.15</w:t>
            </w:r>
          </w:p>
        </w:tc>
        <w:tc>
          <w:tcPr>
            <w:tcW w:w="1930" w:type="dxa"/>
          </w:tcPr>
          <w:p w14:paraId="4B174817" w14:textId="77777777" w:rsidR="0019038E" w:rsidRDefault="0019038E" w:rsidP="00D82647">
            <w:pPr>
              <w:widowControl w:val="0"/>
              <w:autoSpaceDE w:val="0"/>
              <w:autoSpaceDN w:val="0"/>
              <w:adjustRightInd w:val="0"/>
              <w:spacing w:after="240" w:line="360" w:lineRule="auto"/>
              <w:rPr>
                <w:rFonts w:asciiTheme="majorBidi" w:hAnsiTheme="majorBidi" w:cstheme="majorBidi"/>
                <w:color w:val="000000"/>
              </w:rPr>
            </w:pPr>
            <w:r>
              <w:t>0.324</w:t>
            </w:r>
          </w:p>
        </w:tc>
      </w:tr>
      <w:tr w:rsidR="0019038E" w14:paraId="70B46D90" w14:textId="77777777" w:rsidTr="00D82647">
        <w:trPr>
          <w:trHeight w:val="325"/>
        </w:trPr>
        <w:tc>
          <w:tcPr>
            <w:tcW w:w="2777" w:type="dxa"/>
          </w:tcPr>
          <w:p w14:paraId="39E26663" w14:textId="77777777" w:rsidR="0019038E" w:rsidRPr="00F10CC3" w:rsidRDefault="0019038E" w:rsidP="00D82647">
            <w:pPr>
              <w:widowControl w:val="0"/>
              <w:autoSpaceDE w:val="0"/>
              <w:autoSpaceDN w:val="0"/>
              <w:adjustRightInd w:val="0"/>
              <w:spacing w:after="240" w:line="360" w:lineRule="auto"/>
              <w:rPr>
                <w:b/>
                <w:bCs/>
              </w:rPr>
            </w:pPr>
            <w:r w:rsidRPr="00F10CC3">
              <w:rPr>
                <w:b/>
                <w:bCs/>
              </w:rPr>
              <w:t>total</w:t>
            </w:r>
          </w:p>
        </w:tc>
        <w:tc>
          <w:tcPr>
            <w:tcW w:w="1897" w:type="dxa"/>
          </w:tcPr>
          <w:p w14:paraId="3D7EB6C3" w14:textId="77777777" w:rsidR="0019038E" w:rsidRDefault="0019038E" w:rsidP="00D82647">
            <w:pPr>
              <w:widowControl w:val="0"/>
              <w:autoSpaceDE w:val="0"/>
              <w:autoSpaceDN w:val="0"/>
              <w:adjustRightInd w:val="0"/>
              <w:spacing w:after="240" w:line="360" w:lineRule="auto"/>
            </w:pPr>
            <w:r>
              <w:t>159</w:t>
            </w:r>
          </w:p>
        </w:tc>
        <w:tc>
          <w:tcPr>
            <w:tcW w:w="1922" w:type="dxa"/>
          </w:tcPr>
          <w:p w14:paraId="413625AA" w14:textId="77777777" w:rsidR="0019038E" w:rsidRDefault="0019038E" w:rsidP="00D82647">
            <w:pPr>
              <w:widowControl w:val="0"/>
              <w:autoSpaceDE w:val="0"/>
              <w:autoSpaceDN w:val="0"/>
              <w:adjustRightInd w:val="0"/>
              <w:spacing w:after="240" w:line="360" w:lineRule="auto"/>
            </w:pPr>
          </w:p>
        </w:tc>
        <w:tc>
          <w:tcPr>
            <w:tcW w:w="1930" w:type="dxa"/>
          </w:tcPr>
          <w:p w14:paraId="554FC7E5" w14:textId="77777777" w:rsidR="0019038E" w:rsidRDefault="0019038E" w:rsidP="00D82647">
            <w:pPr>
              <w:widowControl w:val="0"/>
              <w:autoSpaceDE w:val="0"/>
              <w:autoSpaceDN w:val="0"/>
              <w:adjustRightInd w:val="0"/>
              <w:spacing w:after="240" w:line="360" w:lineRule="auto"/>
            </w:pPr>
          </w:p>
        </w:tc>
      </w:tr>
    </w:tbl>
    <w:p w14:paraId="54DC1131" w14:textId="77777777" w:rsidR="0019038E" w:rsidRPr="002932E6" w:rsidRDefault="0019038E" w:rsidP="0019038E">
      <w:pPr>
        <w:pStyle w:val="NormalWeb"/>
        <w:shd w:val="clear" w:color="auto" w:fill="FFFFFF"/>
        <w:spacing w:afterLines="280" w:after="672" w:afterAutospacing="0" w:line="360" w:lineRule="auto"/>
        <w:jc w:val="lowKashida"/>
      </w:pPr>
    </w:p>
    <w:p w14:paraId="198C6396" w14:textId="77777777" w:rsidR="0019038E" w:rsidRPr="002932E6" w:rsidRDefault="0019038E" w:rsidP="0019038E">
      <w:pPr>
        <w:pStyle w:val="NormalWeb"/>
        <w:shd w:val="clear" w:color="auto" w:fill="FFFFFF"/>
        <w:spacing w:afterLines="280" w:after="672" w:afterAutospacing="0" w:line="360" w:lineRule="auto"/>
        <w:jc w:val="lowKashida"/>
      </w:pPr>
    </w:p>
    <w:p w14:paraId="39D542B7" w14:textId="77777777" w:rsidR="0019038E" w:rsidRPr="002932E6" w:rsidRDefault="0019038E" w:rsidP="0019038E">
      <w:pPr>
        <w:pStyle w:val="NormalWeb"/>
        <w:shd w:val="clear" w:color="auto" w:fill="FFFFFF"/>
        <w:spacing w:afterLines="280" w:after="672" w:afterAutospacing="0" w:line="360" w:lineRule="auto"/>
        <w:jc w:val="lowKashida"/>
      </w:pPr>
    </w:p>
    <w:p w14:paraId="456D3C6C" w14:textId="77777777" w:rsidR="0019038E" w:rsidRPr="002932E6" w:rsidRDefault="0019038E" w:rsidP="0019038E">
      <w:pPr>
        <w:pStyle w:val="NormalWeb"/>
        <w:shd w:val="clear" w:color="auto" w:fill="FFFFFF"/>
        <w:spacing w:afterLines="280" w:after="672" w:afterAutospacing="0" w:line="360" w:lineRule="auto"/>
        <w:jc w:val="lowKashida"/>
      </w:pPr>
    </w:p>
    <w:p w14:paraId="0AB3E230" w14:textId="77777777" w:rsidR="0019038E" w:rsidRPr="002932E6" w:rsidRDefault="0019038E" w:rsidP="0019038E">
      <w:pPr>
        <w:pStyle w:val="NormalWeb"/>
        <w:shd w:val="clear" w:color="auto" w:fill="FFFFFF"/>
        <w:spacing w:afterLines="280" w:after="672" w:afterAutospacing="0" w:line="360" w:lineRule="auto"/>
        <w:jc w:val="lowKashida"/>
      </w:pPr>
    </w:p>
    <w:p w14:paraId="31F914F1" w14:textId="77777777" w:rsidR="0019038E" w:rsidRPr="002932E6" w:rsidRDefault="0019038E" w:rsidP="0019038E">
      <w:pPr>
        <w:pStyle w:val="NormalWeb"/>
        <w:spacing w:afterLines="280" w:after="672" w:afterAutospacing="0" w:line="360" w:lineRule="auto"/>
        <w:jc w:val="lowKashida"/>
        <w:rPr>
          <w:bCs/>
          <w:color w:val="000000" w:themeColor="text1"/>
        </w:rPr>
      </w:pPr>
    </w:p>
    <w:p w14:paraId="3BA542A9" w14:textId="77777777" w:rsidR="0019038E" w:rsidRPr="002932E6" w:rsidRDefault="0019038E" w:rsidP="0019038E">
      <w:pPr>
        <w:pStyle w:val="NormalWeb"/>
        <w:spacing w:afterLines="280" w:after="672" w:afterAutospacing="0" w:line="360" w:lineRule="auto"/>
        <w:jc w:val="lowKashida"/>
        <w:rPr>
          <w:bCs/>
          <w:color w:val="000000" w:themeColor="text1"/>
        </w:rPr>
      </w:pPr>
      <w:r>
        <w:rPr>
          <w:bCs/>
          <w:color w:val="000000" w:themeColor="text1"/>
        </w:rPr>
        <w:lastRenderedPageBreak/>
        <w:t xml:space="preserve">               </w:t>
      </w:r>
      <w:r w:rsidRPr="002932E6">
        <w:rPr>
          <w:bCs/>
          <w:noProof/>
          <w:color w:val="000000" w:themeColor="text1"/>
          <w:lang w:val="en-GB" w:eastAsia="en-GB"/>
        </w:rPr>
        <w:drawing>
          <wp:inline distT="0" distB="0" distL="0" distR="0" wp14:anchorId="334F7CC6" wp14:editId="0B728E2D">
            <wp:extent cx="4951415" cy="7707085"/>
            <wp:effectExtent l="0" t="0" r="1905"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ayout 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958685" cy="7718402"/>
                    </a:xfrm>
                    <a:prstGeom prst="rect">
                      <a:avLst/>
                    </a:prstGeom>
                  </pic:spPr>
                </pic:pic>
              </a:graphicData>
            </a:graphic>
          </wp:inline>
        </w:drawing>
      </w:r>
    </w:p>
    <w:p w14:paraId="4DFB1074" w14:textId="5E9CEC40" w:rsidR="0019038E" w:rsidRDefault="0019038E" w:rsidP="0019038E">
      <w:pPr>
        <w:pStyle w:val="NormalWeb"/>
        <w:keepNext/>
        <w:shd w:val="clear" w:color="auto" w:fill="FFFFFF"/>
        <w:spacing w:afterLines="280" w:after="672" w:afterAutospacing="0" w:line="360" w:lineRule="auto"/>
        <w:jc w:val="lowKashida"/>
      </w:pPr>
      <w:r>
        <w:lastRenderedPageBreak/>
        <w:t xml:space="preserve">               </w:t>
      </w:r>
      <w:r w:rsidRPr="002932E6">
        <w:rPr>
          <w:bCs/>
          <w:noProof/>
          <w:color w:val="000000" w:themeColor="text1"/>
          <w:lang w:val="en-GB" w:eastAsia="en-GB"/>
        </w:rPr>
        <w:drawing>
          <wp:inline distT="0" distB="0" distL="0" distR="0" wp14:anchorId="44C50A72" wp14:editId="562E96CC">
            <wp:extent cx="4471189" cy="6981009"/>
            <wp:effectExtent l="0" t="0" r="0" b="4445"/>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Layout 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82112" cy="6998064"/>
                    </a:xfrm>
                    <a:prstGeom prst="rect">
                      <a:avLst/>
                    </a:prstGeom>
                  </pic:spPr>
                </pic:pic>
              </a:graphicData>
            </a:graphic>
          </wp:inline>
        </w:drawing>
      </w:r>
    </w:p>
    <w:p w14:paraId="33B321C9" w14:textId="7034BCC7" w:rsidR="0019038E" w:rsidRPr="00D42527" w:rsidRDefault="0019038E" w:rsidP="0019038E">
      <w:pPr>
        <w:pStyle w:val="NormalWeb"/>
        <w:shd w:val="clear" w:color="auto" w:fill="FFFFFF"/>
        <w:spacing w:afterLines="280" w:after="672" w:afterAutospacing="0"/>
        <w:jc w:val="lowKashida"/>
        <w:rPr>
          <w:bCs/>
          <w:color w:val="FF0000"/>
          <w:sz w:val="20"/>
          <w:szCs w:val="20"/>
        </w:rPr>
      </w:pPr>
      <w:bookmarkStart w:id="54" w:name="_Toc83751350"/>
      <w:r w:rsidRPr="00ED675E">
        <w:rPr>
          <w:sz w:val="20"/>
          <w:szCs w:val="20"/>
        </w:rPr>
        <w:t xml:space="preserve">Figure </w:t>
      </w:r>
      <w:r w:rsidR="00843EDC">
        <w:rPr>
          <w:sz w:val="20"/>
          <w:szCs w:val="20"/>
        </w:rPr>
        <w:fldChar w:fldCharType="begin"/>
      </w:r>
      <w:r w:rsidR="00843EDC">
        <w:rPr>
          <w:sz w:val="20"/>
          <w:szCs w:val="20"/>
        </w:rPr>
        <w:instrText xml:space="preserve"> STYLEREF 1 \s </w:instrText>
      </w:r>
      <w:r w:rsidR="00843EDC">
        <w:rPr>
          <w:sz w:val="20"/>
          <w:szCs w:val="20"/>
        </w:rPr>
        <w:fldChar w:fldCharType="separate"/>
      </w:r>
      <w:r w:rsidR="00843EDC">
        <w:rPr>
          <w:noProof/>
          <w:sz w:val="20"/>
          <w:szCs w:val="20"/>
          <w:cs/>
        </w:rPr>
        <w:t>‎</w:t>
      </w:r>
      <w:r w:rsidR="00843EDC">
        <w:rPr>
          <w:noProof/>
          <w:sz w:val="20"/>
          <w:szCs w:val="20"/>
        </w:rPr>
        <w:t>2</w:t>
      </w:r>
      <w:r w:rsidR="00843EDC">
        <w:rPr>
          <w:sz w:val="20"/>
          <w:szCs w:val="20"/>
        </w:rPr>
        <w:fldChar w:fldCharType="end"/>
      </w:r>
      <w:r w:rsidR="00843EDC">
        <w:rPr>
          <w:sz w:val="20"/>
          <w:szCs w:val="20"/>
        </w:rPr>
        <w:t>.</w:t>
      </w:r>
      <w:r w:rsidR="00843EDC">
        <w:rPr>
          <w:sz w:val="20"/>
          <w:szCs w:val="20"/>
        </w:rPr>
        <w:fldChar w:fldCharType="begin"/>
      </w:r>
      <w:r w:rsidR="00843EDC">
        <w:rPr>
          <w:sz w:val="20"/>
          <w:szCs w:val="20"/>
        </w:rPr>
        <w:instrText xml:space="preserve"> SEQ Figure \* ARABIC \s 1 </w:instrText>
      </w:r>
      <w:r w:rsidR="00843EDC">
        <w:rPr>
          <w:sz w:val="20"/>
          <w:szCs w:val="20"/>
        </w:rPr>
        <w:fldChar w:fldCharType="separate"/>
      </w:r>
      <w:r w:rsidR="00843EDC">
        <w:rPr>
          <w:noProof/>
          <w:sz w:val="20"/>
          <w:szCs w:val="20"/>
        </w:rPr>
        <w:t>4</w:t>
      </w:r>
      <w:r w:rsidR="00843EDC">
        <w:rPr>
          <w:sz w:val="20"/>
          <w:szCs w:val="20"/>
        </w:rPr>
        <w:fldChar w:fldCharType="end"/>
      </w:r>
      <w:r w:rsidRPr="009A3EB4">
        <w:rPr>
          <w:sz w:val="20"/>
          <w:szCs w:val="20"/>
        </w:rPr>
        <w:t xml:space="preserve"> </w:t>
      </w:r>
      <w:r w:rsidRPr="009A3EB4">
        <w:rPr>
          <w:color w:val="000000" w:themeColor="text1"/>
          <w:sz w:val="20"/>
          <w:szCs w:val="20"/>
        </w:rPr>
        <w:t xml:space="preserve">Plant </w:t>
      </w:r>
      <w:r w:rsidRPr="009A3EB4">
        <w:rPr>
          <w:sz w:val="20"/>
          <w:szCs w:val="20"/>
        </w:rPr>
        <w:t xml:space="preserve">height with and without AMF inoculum for all cultivars. Error bars represent plus or minus one standard error. Significance was analyzed using a repeated measures </w:t>
      </w:r>
      <w:r w:rsidRPr="00EA70B4">
        <w:rPr>
          <w:color w:val="000000" w:themeColor="text1"/>
          <w:sz w:val="20"/>
          <w:szCs w:val="20"/>
        </w:rPr>
        <w:t>ANOVA (Table 2.5).</w:t>
      </w:r>
      <w:bookmarkEnd w:id="54"/>
    </w:p>
    <w:p w14:paraId="7A23E838" w14:textId="77777777" w:rsidR="0019038E" w:rsidRPr="002932E6" w:rsidRDefault="0019038E" w:rsidP="0019038E">
      <w:pPr>
        <w:pStyle w:val="Caption"/>
        <w:jc w:val="lowKashida"/>
        <w:rPr>
          <w:bCs w:val="0"/>
          <w:color w:val="FF0000"/>
          <w:sz w:val="24"/>
          <w:szCs w:val="24"/>
        </w:rPr>
      </w:pPr>
    </w:p>
    <w:p w14:paraId="4E90A221" w14:textId="77777777" w:rsidR="0019038E" w:rsidRPr="002932E6" w:rsidRDefault="0019038E" w:rsidP="0019038E">
      <w:pPr>
        <w:pStyle w:val="NormalWeb"/>
        <w:shd w:val="clear" w:color="auto" w:fill="FFFFFF"/>
        <w:spacing w:afterLines="280" w:after="672" w:afterAutospacing="0" w:line="360" w:lineRule="auto"/>
        <w:jc w:val="lowKashida"/>
        <w:rPr>
          <w:highlight w:val="yellow"/>
        </w:rPr>
      </w:pPr>
    </w:p>
    <w:p w14:paraId="6D07E3FE" w14:textId="77777777" w:rsidR="0019038E" w:rsidRPr="002932E6" w:rsidRDefault="0019038E" w:rsidP="00735706">
      <w:pPr>
        <w:pStyle w:val="mythesis"/>
      </w:pPr>
      <w:r w:rsidRPr="002932E6">
        <w:lastRenderedPageBreak/>
        <w:t xml:space="preserve">      We observed that some cultivars were significantly affected with inoculation with Arbuscular mycorrhizal fungi and some not.</w:t>
      </w:r>
    </w:p>
    <w:p w14:paraId="62C26E26" w14:textId="6D9F4623" w:rsidR="0019038E" w:rsidRPr="002932E6" w:rsidRDefault="005B3FBE" w:rsidP="00735706">
      <w:pPr>
        <w:pStyle w:val="mythesis"/>
      </w:pPr>
      <w:r>
        <w:t>In the</w:t>
      </w:r>
      <w:r w:rsidR="00A532BA">
        <w:t xml:space="preserve"> </w:t>
      </w:r>
      <w:r w:rsidR="0019038E" w:rsidRPr="002932E6">
        <w:t xml:space="preserve">cultivars No.1 to </w:t>
      </w:r>
      <w:r w:rsidR="009A1E69">
        <w:t xml:space="preserve">the </w:t>
      </w:r>
      <w:r w:rsidR="009A1E69" w:rsidRPr="002932E6">
        <w:t>cultivars No.</w:t>
      </w:r>
      <w:r w:rsidR="0019038E" w:rsidRPr="002932E6">
        <w:t xml:space="preserve">8 the differences starting from the beginning stage of the growth and remain to the end stage, but it was clear in </w:t>
      </w:r>
      <w:r w:rsidR="009A3915">
        <w:t xml:space="preserve">the </w:t>
      </w:r>
      <w:r w:rsidR="0019038E" w:rsidRPr="002932E6">
        <w:t xml:space="preserve">cultivar No.3 with </w:t>
      </w:r>
      <w:r>
        <w:t xml:space="preserve">a </w:t>
      </w:r>
      <w:r w:rsidR="0019038E" w:rsidRPr="002932E6">
        <w:t xml:space="preserve">high diverge, where the plant height reached 13.6 cm in non-inoculated plant and 8 cm in inoculated one, but the converge was more in </w:t>
      </w:r>
      <w:r w:rsidR="009A3915">
        <w:t xml:space="preserve">the </w:t>
      </w:r>
      <w:r w:rsidR="0019038E" w:rsidRPr="002932E6">
        <w:t xml:space="preserve">cultivars No.6 and </w:t>
      </w:r>
      <w:r w:rsidR="009A3915">
        <w:t xml:space="preserve">the </w:t>
      </w:r>
      <w:r w:rsidR="009A3915" w:rsidRPr="002932E6">
        <w:t>cultivars No</w:t>
      </w:r>
      <w:r w:rsidR="009A3915">
        <w:t>.</w:t>
      </w:r>
      <w:r w:rsidR="0019038E" w:rsidRPr="002932E6">
        <w:t>7.</w:t>
      </w:r>
    </w:p>
    <w:p w14:paraId="580890C7" w14:textId="33B0B4FE" w:rsidR="0019038E" w:rsidRPr="002932E6" w:rsidRDefault="0019038E" w:rsidP="00735706">
      <w:pPr>
        <w:pStyle w:val="mythesis"/>
      </w:pPr>
      <w:r w:rsidRPr="002932E6">
        <w:t xml:space="preserve">     While, </w:t>
      </w:r>
      <w:r w:rsidR="00381F52">
        <w:t xml:space="preserve">the </w:t>
      </w:r>
      <w:r w:rsidRPr="002932E6">
        <w:t>cultivars No.9, 10 and 12 showed no difference at any stage of their growth, where the plant height recorded 15.1- 17.7 and 22.</w:t>
      </w:r>
      <w:r w:rsidR="007A127D">
        <w:t>8</w:t>
      </w:r>
      <w:r w:rsidRPr="002932E6">
        <w:t xml:space="preserve"> cm in non-inoculated mean compared with 16.7 – 19.5 and 22.6 cm in inoculated plant respectively.</w:t>
      </w:r>
    </w:p>
    <w:p w14:paraId="5BA70E7D" w14:textId="2B1D3981" w:rsidR="0019038E" w:rsidRPr="002932E6" w:rsidRDefault="0019038E" w:rsidP="00735706">
      <w:pPr>
        <w:pStyle w:val="mythesis"/>
      </w:pPr>
      <w:r w:rsidRPr="002932E6">
        <w:t xml:space="preserve">     In </w:t>
      </w:r>
      <w:r w:rsidR="00381F52">
        <w:t xml:space="preserve">the </w:t>
      </w:r>
      <w:r w:rsidRPr="002932E6">
        <w:t>cultivars No.11,14,17 and 18 the differences were disappeared by the end of the growth stage.</w:t>
      </w:r>
    </w:p>
    <w:p w14:paraId="32E3B657" w14:textId="2C624084" w:rsidR="0019038E" w:rsidRDefault="0019038E" w:rsidP="00735706">
      <w:pPr>
        <w:pStyle w:val="mythesis"/>
      </w:pPr>
      <w:r w:rsidRPr="002932E6">
        <w:t xml:space="preserve">     </w:t>
      </w:r>
      <w:r w:rsidR="00381F52">
        <w:t>The c</w:t>
      </w:r>
      <w:r w:rsidRPr="002932E6">
        <w:t xml:space="preserve">ultivar No.2 and </w:t>
      </w:r>
      <w:r w:rsidR="00381F52">
        <w:t>No.</w:t>
      </w:r>
      <w:r w:rsidRPr="002932E6">
        <w:t xml:space="preserve">16 were the most interesting one, </w:t>
      </w:r>
      <w:r w:rsidR="005B3FBE">
        <w:t xml:space="preserve">where </w:t>
      </w:r>
      <w:r w:rsidRPr="002932E6">
        <w:t xml:space="preserve">the inoculation with Arbuscular mycorrhizal fungi increased the height of the plant </w:t>
      </w:r>
      <w:r w:rsidR="005B3FBE">
        <w:t>with</w:t>
      </w:r>
      <w:r w:rsidRPr="002932E6">
        <w:t xml:space="preserve"> time, where the plant height reached </w:t>
      </w:r>
      <w:r w:rsidRPr="005149C5">
        <w:t xml:space="preserve">18.5cm - 25.7 </w:t>
      </w:r>
      <w:r w:rsidRPr="002932E6">
        <w:t xml:space="preserve">cm, respectively. </w:t>
      </w:r>
      <w:r w:rsidR="005B3FBE">
        <w:t>The</w:t>
      </w:r>
      <w:r w:rsidRPr="002932E6">
        <w:t xml:space="preserve"> significant differences were </w:t>
      </w:r>
      <w:r w:rsidR="005B3FBE">
        <w:t xml:space="preserve">showed </w:t>
      </w:r>
      <w:r w:rsidRPr="002932E6">
        <w:t xml:space="preserve">in </w:t>
      </w:r>
      <w:r w:rsidR="00381F52">
        <w:t xml:space="preserve">the </w:t>
      </w:r>
      <w:r w:rsidRPr="002932E6">
        <w:t>cultivar No.16.</w:t>
      </w:r>
    </w:p>
    <w:p w14:paraId="64D6F4C8" w14:textId="77777777" w:rsidR="0019038E" w:rsidRDefault="0019038E" w:rsidP="0019038E">
      <w:pPr>
        <w:pStyle w:val="NormalWeb"/>
        <w:shd w:val="clear" w:color="auto" w:fill="FFFFFF"/>
        <w:spacing w:afterLines="280" w:after="672" w:afterAutospacing="0" w:line="360" w:lineRule="auto"/>
        <w:jc w:val="lowKashida"/>
        <w:rPr>
          <w:color w:val="000000" w:themeColor="text1"/>
        </w:rPr>
      </w:pPr>
    </w:p>
    <w:p w14:paraId="257979F2" w14:textId="77777777" w:rsidR="0019038E" w:rsidRDefault="0019038E" w:rsidP="0019038E">
      <w:pPr>
        <w:pStyle w:val="NormalWeb"/>
        <w:shd w:val="clear" w:color="auto" w:fill="FFFFFF"/>
        <w:spacing w:afterLines="280" w:after="672" w:afterAutospacing="0" w:line="360" w:lineRule="auto"/>
        <w:jc w:val="lowKashida"/>
        <w:rPr>
          <w:color w:val="000000" w:themeColor="text1"/>
        </w:rPr>
      </w:pPr>
    </w:p>
    <w:p w14:paraId="4047F1DC" w14:textId="419D8165" w:rsidR="0019038E" w:rsidRDefault="0019038E" w:rsidP="0019038E">
      <w:pPr>
        <w:pStyle w:val="NormalWeb"/>
        <w:shd w:val="clear" w:color="auto" w:fill="FFFFFF"/>
        <w:spacing w:afterLines="280" w:after="672" w:afterAutospacing="0" w:line="360" w:lineRule="auto"/>
        <w:jc w:val="lowKashida"/>
        <w:rPr>
          <w:color w:val="000000" w:themeColor="text1"/>
        </w:rPr>
      </w:pPr>
    </w:p>
    <w:p w14:paraId="5279EA50" w14:textId="06539C09" w:rsidR="004A5471" w:rsidRDefault="004A5471" w:rsidP="0019038E">
      <w:pPr>
        <w:pStyle w:val="NormalWeb"/>
        <w:shd w:val="clear" w:color="auto" w:fill="FFFFFF"/>
        <w:spacing w:afterLines="280" w:after="672" w:afterAutospacing="0" w:line="360" w:lineRule="auto"/>
        <w:jc w:val="lowKashida"/>
        <w:rPr>
          <w:color w:val="000000" w:themeColor="text1"/>
        </w:rPr>
      </w:pPr>
    </w:p>
    <w:p w14:paraId="5095C3AF" w14:textId="77777777" w:rsidR="005149C5" w:rsidRPr="002245E1" w:rsidRDefault="005149C5" w:rsidP="0019038E">
      <w:pPr>
        <w:pStyle w:val="NormalWeb"/>
        <w:shd w:val="clear" w:color="auto" w:fill="FFFFFF"/>
        <w:spacing w:afterLines="280" w:after="672" w:afterAutospacing="0" w:line="360" w:lineRule="auto"/>
        <w:jc w:val="lowKashida"/>
        <w:rPr>
          <w:color w:val="000000" w:themeColor="text1"/>
        </w:rPr>
      </w:pPr>
    </w:p>
    <w:p w14:paraId="23166090" w14:textId="77777777" w:rsidR="0019038E" w:rsidRPr="002932E6" w:rsidRDefault="0019038E" w:rsidP="0019038E">
      <w:pPr>
        <w:pStyle w:val="Heading3"/>
      </w:pPr>
      <w:bookmarkStart w:id="55" w:name="_Toc83751434"/>
      <w:r w:rsidRPr="002932E6">
        <w:lastRenderedPageBreak/>
        <w:t>2.3.3 Shoot and root biomass</w:t>
      </w:r>
      <w:bookmarkEnd w:id="55"/>
    </w:p>
    <w:p w14:paraId="2C832D69" w14:textId="77777777" w:rsidR="0019038E" w:rsidRPr="002932E6" w:rsidRDefault="0019038E" w:rsidP="0019038E">
      <w:pPr>
        <w:spacing w:afterLines="280" w:after="672" w:line="360" w:lineRule="auto"/>
        <w:jc w:val="lowKashida"/>
      </w:pPr>
    </w:p>
    <w:p w14:paraId="3F71D85B" w14:textId="2A1EEB1C" w:rsidR="0019038E" w:rsidRDefault="0019038E" w:rsidP="0019038E">
      <w:pPr>
        <w:keepNext/>
        <w:spacing w:afterLines="280" w:after="672" w:line="360" w:lineRule="auto"/>
        <w:jc w:val="lowKashida"/>
      </w:pPr>
      <w:r>
        <w:rPr>
          <w:noProof/>
        </w:rPr>
        <w:drawing>
          <wp:inline distT="0" distB="0" distL="0" distR="0" wp14:anchorId="545BF2B7" wp14:editId="667B31D1">
            <wp:extent cx="5811297" cy="661035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1">
                      <a:extLst>
                        <a:ext uri="{28A0092B-C50C-407E-A947-70E740481C1C}">
                          <a14:useLocalDpi xmlns:a14="http://schemas.microsoft.com/office/drawing/2010/main" val="0"/>
                        </a:ext>
                      </a:extLst>
                    </a:blip>
                    <a:stretch>
                      <a:fillRect/>
                    </a:stretch>
                  </pic:blipFill>
                  <pic:spPr>
                    <a:xfrm>
                      <a:off x="0" y="0"/>
                      <a:ext cx="5823158" cy="6623842"/>
                    </a:xfrm>
                    <a:prstGeom prst="rect">
                      <a:avLst/>
                    </a:prstGeom>
                  </pic:spPr>
                </pic:pic>
              </a:graphicData>
            </a:graphic>
          </wp:inline>
        </w:drawing>
      </w:r>
    </w:p>
    <w:p w14:paraId="0D85F247" w14:textId="6ECE5C2E" w:rsidR="0019038E" w:rsidRPr="00E03CA1" w:rsidRDefault="0019038E" w:rsidP="0019038E">
      <w:pPr>
        <w:pStyle w:val="Caption"/>
      </w:pPr>
      <w:bookmarkStart w:id="56" w:name="_Toc83751351"/>
      <w:r w:rsidRPr="00ED675E">
        <w:rPr>
          <w:b w:val="0"/>
          <w:bCs w:val="0"/>
        </w:rPr>
        <w:t xml:space="preserve">Figure </w:t>
      </w:r>
      <w:r w:rsidR="00843EDC">
        <w:rPr>
          <w:b w:val="0"/>
          <w:bCs w:val="0"/>
        </w:rPr>
        <w:fldChar w:fldCharType="begin"/>
      </w:r>
      <w:r w:rsidR="00843EDC">
        <w:rPr>
          <w:b w:val="0"/>
          <w:bCs w:val="0"/>
        </w:rPr>
        <w:instrText xml:space="preserve"> STYLEREF 1 \s </w:instrText>
      </w:r>
      <w:r w:rsidR="00843EDC">
        <w:rPr>
          <w:b w:val="0"/>
          <w:bCs w:val="0"/>
        </w:rPr>
        <w:fldChar w:fldCharType="separate"/>
      </w:r>
      <w:r w:rsidR="00843EDC">
        <w:rPr>
          <w:b w:val="0"/>
          <w:bCs w:val="0"/>
          <w:noProof/>
          <w:cs/>
        </w:rPr>
        <w:t>‎</w:t>
      </w:r>
      <w:r w:rsidR="00843EDC">
        <w:rPr>
          <w:b w:val="0"/>
          <w:bCs w:val="0"/>
          <w:noProof/>
        </w:rPr>
        <w:t>2</w:t>
      </w:r>
      <w:r w:rsidR="00843EDC">
        <w:rPr>
          <w:b w:val="0"/>
          <w:bCs w:val="0"/>
        </w:rPr>
        <w:fldChar w:fldCharType="end"/>
      </w:r>
      <w:r w:rsidR="00843EDC">
        <w:rPr>
          <w:b w:val="0"/>
          <w:bCs w:val="0"/>
        </w:rPr>
        <w:t>.</w:t>
      </w:r>
      <w:r w:rsidR="00843EDC">
        <w:rPr>
          <w:b w:val="0"/>
          <w:bCs w:val="0"/>
        </w:rPr>
        <w:fldChar w:fldCharType="begin"/>
      </w:r>
      <w:r w:rsidR="00843EDC">
        <w:rPr>
          <w:b w:val="0"/>
          <w:bCs w:val="0"/>
        </w:rPr>
        <w:instrText xml:space="preserve"> SEQ Figure \* ARABIC \s 1 </w:instrText>
      </w:r>
      <w:r w:rsidR="00843EDC">
        <w:rPr>
          <w:b w:val="0"/>
          <w:bCs w:val="0"/>
        </w:rPr>
        <w:fldChar w:fldCharType="separate"/>
      </w:r>
      <w:r w:rsidR="00843EDC">
        <w:rPr>
          <w:b w:val="0"/>
          <w:bCs w:val="0"/>
          <w:noProof/>
        </w:rPr>
        <w:t>5</w:t>
      </w:r>
      <w:r w:rsidR="00843EDC">
        <w:rPr>
          <w:b w:val="0"/>
          <w:bCs w:val="0"/>
        </w:rPr>
        <w:fldChar w:fldCharType="end"/>
      </w:r>
      <w:r w:rsidRPr="00E03CA1">
        <w:t xml:space="preserve">  </w:t>
      </w:r>
      <w:r w:rsidRPr="00E03CA1">
        <w:rPr>
          <w:b w:val="0"/>
          <w:bCs w:val="0"/>
          <w:sz w:val="20"/>
          <w:szCs w:val="20"/>
        </w:rPr>
        <w:t>(a) root biomass DWT(g) of maize with and without AMF inoculation in all cultivars, (b) shoot biomass DWT (g) of maize with and without AMF inoculation in all cultivars. Asterisk indicates significant differences within the same cultivar (+P&lt;0.1; *, P&lt;0.05; **, P&lt;0.01;   ***, P&lt;0.001).</w:t>
      </w:r>
      <w:bookmarkEnd w:id="56"/>
    </w:p>
    <w:p w14:paraId="6F41BCFE" w14:textId="45779B5F" w:rsidR="0019038E" w:rsidRPr="0054793D" w:rsidRDefault="0019038E" w:rsidP="0054793D">
      <w:pPr>
        <w:pStyle w:val="mythesis"/>
      </w:pPr>
      <w:r w:rsidRPr="002932E6">
        <w:lastRenderedPageBreak/>
        <w:t xml:space="preserve">      The root and shoot biomasses of inoculated maize were significantly higher than those of the non-inoculated maize</w:t>
      </w:r>
      <w:r w:rsidR="0054793D">
        <w:t>.</w:t>
      </w:r>
      <w:r w:rsidRPr="002932E6">
        <w:t xml:space="preserve"> It can be observed that the biomass of all inoculated cultivars was increased in the plant root, while in shoot the biomass was differ. Also, the root biomass recorded a significant effect on the plant that inoculated with AMF compared with non-treated control which showed no significant differences. </w:t>
      </w:r>
      <w:r w:rsidR="006117BC">
        <w:t>The c</w:t>
      </w:r>
      <w:r w:rsidRPr="002932E6">
        <w:t xml:space="preserve">ultivars No.6 and </w:t>
      </w:r>
      <w:r w:rsidR="006117BC">
        <w:t>No.</w:t>
      </w:r>
      <w:r w:rsidRPr="002932E6">
        <w:t xml:space="preserve">14 were significantly higher (P&lt;0.001) than </w:t>
      </w:r>
      <w:r w:rsidR="006117BC">
        <w:t xml:space="preserve">the </w:t>
      </w:r>
      <w:r w:rsidRPr="002932E6">
        <w:t xml:space="preserve">cultivars No.1,10 and 12 which showed less significant (P&lt;0.01). Moreover, the significant was decreased (P&lt;0.05) in </w:t>
      </w:r>
      <w:r w:rsidR="006117BC">
        <w:t xml:space="preserve">the </w:t>
      </w:r>
      <w:r w:rsidRPr="002932E6">
        <w:t>cultivars No.8,9 and 16. The root biomasses of inoculated and non-inoculated maize ranged from 0.44 gm –1.24 gm and 0.23 gm –0.7 gm, respectively</w:t>
      </w:r>
      <w:r>
        <w:t xml:space="preserve"> </w:t>
      </w:r>
      <w:r w:rsidRPr="002932E6">
        <w:t>F</w:t>
      </w:r>
      <w:r>
        <w:t>igure 2.5.a</w:t>
      </w:r>
      <w:r w:rsidRPr="002932E6">
        <w:t xml:space="preserve"> </w:t>
      </w:r>
    </w:p>
    <w:p w14:paraId="47FC56A2" w14:textId="77777777" w:rsidR="0019038E" w:rsidRPr="002932E6" w:rsidRDefault="0019038E" w:rsidP="0054793D">
      <w:pPr>
        <w:pStyle w:val="mythesis"/>
      </w:pPr>
      <w:r w:rsidRPr="002932E6">
        <w:t xml:space="preserve">     On the other hand, in F</w:t>
      </w:r>
      <w:r>
        <w:t>igure 2.5.b</w:t>
      </w:r>
      <w:r w:rsidRPr="002932E6">
        <w:t xml:space="preserve"> the shoot biomass ranged from 1.12 </w:t>
      </w:r>
      <w:r>
        <w:t>to</w:t>
      </w:r>
      <w:r w:rsidRPr="002932E6">
        <w:t xml:space="preserve"> 3.39 gm and </w:t>
      </w:r>
      <w:r>
        <w:t xml:space="preserve">from </w:t>
      </w:r>
      <w:r w:rsidRPr="002932E6">
        <w:t xml:space="preserve">0.94 </w:t>
      </w:r>
      <w:r>
        <w:t xml:space="preserve">to </w:t>
      </w:r>
      <w:r w:rsidRPr="002932E6">
        <w:t xml:space="preserve">2.76 gm, respectively. </w:t>
      </w:r>
    </w:p>
    <w:p w14:paraId="72D3D70F" w14:textId="6D4EEE11" w:rsidR="0019038E" w:rsidRPr="002932E6" w:rsidRDefault="0019038E" w:rsidP="0054793D">
      <w:pPr>
        <w:pStyle w:val="mythesis"/>
      </w:pPr>
      <w:r w:rsidRPr="002932E6">
        <w:t xml:space="preserve">     </w:t>
      </w:r>
      <w:r w:rsidR="0054793D">
        <w:t>In</w:t>
      </w:r>
      <w:r w:rsidRPr="002932E6">
        <w:t xml:space="preserve"> the shoot biomass the significant differences were less than </w:t>
      </w:r>
      <w:r w:rsidR="006E339B">
        <w:t xml:space="preserve">the </w:t>
      </w:r>
      <w:r w:rsidRPr="002932E6">
        <w:t>root</w:t>
      </w:r>
      <w:r w:rsidR="006E339B">
        <w:t xml:space="preserve"> biomass.</w:t>
      </w:r>
      <w:r w:rsidRPr="002932E6">
        <w:t xml:space="preserve"> </w:t>
      </w:r>
      <w:r w:rsidR="00313012">
        <w:t>the</w:t>
      </w:r>
      <w:r w:rsidRPr="002932E6">
        <w:t xml:space="preserve"> high significant (P&lt;0.01)</w:t>
      </w:r>
      <w:r w:rsidR="00313012">
        <w:t xml:space="preserve"> </w:t>
      </w:r>
      <w:r w:rsidRPr="002932E6">
        <w:t xml:space="preserve">in </w:t>
      </w:r>
      <w:r w:rsidR="006117BC">
        <w:t xml:space="preserve">the </w:t>
      </w:r>
      <w:r w:rsidRPr="002932E6">
        <w:t>cultivar No.6,14 and 16</w:t>
      </w:r>
      <w:r w:rsidR="00313012">
        <w:t xml:space="preserve"> were recorded</w:t>
      </w:r>
      <w:r w:rsidRPr="002932E6">
        <w:t xml:space="preserve"> compared with less significant (P&lt;0.05) in </w:t>
      </w:r>
      <w:r w:rsidR="006117BC">
        <w:t xml:space="preserve">the </w:t>
      </w:r>
      <w:r w:rsidRPr="002932E6">
        <w:t>cultivar</w:t>
      </w:r>
      <w:r w:rsidR="00313012">
        <w:t>s</w:t>
      </w:r>
      <w:r w:rsidRPr="002932E6">
        <w:t xml:space="preserve"> No.3, 5 and 12 and </w:t>
      </w:r>
      <w:r w:rsidR="00313012">
        <w:t xml:space="preserve">the </w:t>
      </w:r>
      <w:r w:rsidRPr="002932E6">
        <w:t xml:space="preserve">least significant in </w:t>
      </w:r>
      <w:r w:rsidR="006117BC">
        <w:t xml:space="preserve">the </w:t>
      </w:r>
      <w:r w:rsidRPr="002932E6">
        <w:t xml:space="preserve">cultivars No.8 and 11. So, </w:t>
      </w:r>
      <w:r w:rsidR="006117BC">
        <w:t xml:space="preserve">the </w:t>
      </w:r>
      <w:r w:rsidRPr="002932E6">
        <w:t xml:space="preserve">cultivars No.6 and </w:t>
      </w:r>
      <w:r w:rsidR="006117BC">
        <w:t>No.</w:t>
      </w:r>
      <w:r w:rsidRPr="002932E6">
        <w:t>14 showed the most significant differences in both root and shoot biomass in the treated plant with AMF.</w:t>
      </w:r>
    </w:p>
    <w:p w14:paraId="43EE540F" w14:textId="6B07929E" w:rsidR="0019038E" w:rsidRDefault="0019038E" w:rsidP="0019038E">
      <w:pPr>
        <w:spacing w:before="100" w:beforeAutospacing="1" w:afterLines="280" w:after="672" w:line="360" w:lineRule="auto"/>
        <w:jc w:val="lowKashida"/>
        <w:rPr>
          <w:color w:val="00B050"/>
        </w:rPr>
      </w:pPr>
      <w:r w:rsidRPr="002932E6">
        <w:rPr>
          <w:color w:val="00B050"/>
        </w:rPr>
        <w:t xml:space="preserve"> </w:t>
      </w:r>
    </w:p>
    <w:p w14:paraId="1C90A09A" w14:textId="77777777" w:rsidR="0054793D" w:rsidRDefault="0054793D" w:rsidP="0019038E">
      <w:pPr>
        <w:spacing w:before="100" w:beforeAutospacing="1" w:afterLines="280" w:after="672" w:line="360" w:lineRule="auto"/>
        <w:jc w:val="lowKashida"/>
        <w:rPr>
          <w:color w:val="00B050"/>
        </w:rPr>
      </w:pPr>
    </w:p>
    <w:p w14:paraId="09CF2693" w14:textId="1C80F62E" w:rsidR="0054793D" w:rsidRDefault="0054793D" w:rsidP="0019038E">
      <w:pPr>
        <w:spacing w:before="100" w:beforeAutospacing="1" w:afterLines="280" w:after="672" w:line="360" w:lineRule="auto"/>
        <w:jc w:val="lowKashida"/>
        <w:rPr>
          <w:color w:val="00B050"/>
        </w:rPr>
      </w:pPr>
    </w:p>
    <w:p w14:paraId="1A7101E1" w14:textId="7C61CCEE" w:rsidR="005149C5" w:rsidRDefault="005149C5" w:rsidP="0019038E">
      <w:pPr>
        <w:spacing w:before="100" w:beforeAutospacing="1" w:afterLines="280" w:after="672" w:line="360" w:lineRule="auto"/>
        <w:jc w:val="lowKashida"/>
        <w:rPr>
          <w:color w:val="00B050"/>
        </w:rPr>
      </w:pPr>
    </w:p>
    <w:p w14:paraId="4EFFCF81" w14:textId="77777777" w:rsidR="005149C5" w:rsidRPr="002932E6" w:rsidRDefault="005149C5" w:rsidP="0019038E">
      <w:pPr>
        <w:spacing w:before="100" w:beforeAutospacing="1" w:afterLines="280" w:after="672" w:line="360" w:lineRule="auto"/>
        <w:jc w:val="lowKashida"/>
        <w:rPr>
          <w:color w:val="00B050"/>
        </w:rPr>
      </w:pPr>
    </w:p>
    <w:p w14:paraId="291B95CC" w14:textId="77777777" w:rsidR="0019038E" w:rsidRPr="004819B2" w:rsidRDefault="0019038E" w:rsidP="0019038E">
      <w:pPr>
        <w:pStyle w:val="Caption"/>
        <w:keepNext/>
        <w:rPr>
          <w:b w:val="0"/>
          <w:bCs w:val="0"/>
          <w:sz w:val="20"/>
          <w:szCs w:val="20"/>
        </w:rPr>
      </w:pPr>
      <w:bookmarkStart w:id="57" w:name="_Toc83750074"/>
      <w:r w:rsidRPr="00ED12B1">
        <w:rPr>
          <w:b w:val="0"/>
          <w:bCs w:val="0"/>
          <w:sz w:val="20"/>
          <w:szCs w:val="20"/>
        </w:rPr>
        <w:lastRenderedPageBreak/>
        <w:t xml:space="preserve">Table </w:t>
      </w:r>
      <w:r w:rsidRPr="00ED12B1">
        <w:rPr>
          <w:b w:val="0"/>
          <w:bCs w:val="0"/>
          <w:sz w:val="20"/>
          <w:szCs w:val="20"/>
        </w:rPr>
        <w:fldChar w:fldCharType="begin"/>
      </w:r>
      <w:r w:rsidRPr="00ED12B1">
        <w:rPr>
          <w:b w:val="0"/>
          <w:bCs w:val="0"/>
          <w:sz w:val="20"/>
          <w:szCs w:val="20"/>
        </w:rPr>
        <w:instrText xml:space="preserve"> STYLEREF 1 \s </w:instrText>
      </w:r>
      <w:r w:rsidRPr="00ED12B1">
        <w:rPr>
          <w:b w:val="0"/>
          <w:bCs w:val="0"/>
          <w:sz w:val="20"/>
          <w:szCs w:val="20"/>
        </w:rPr>
        <w:fldChar w:fldCharType="separate"/>
      </w:r>
      <w:r w:rsidRPr="00ED12B1">
        <w:rPr>
          <w:b w:val="0"/>
          <w:bCs w:val="0"/>
          <w:noProof/>
          <w:sz w:val="20"/>
          <w:szCs w:val="20"/>
          <w:cs/>
        </w:rPr>
        <w:t>‎</w:t>
      </w:r>
      <w:r w:rsidRPr="00ED12B1">
        <w:rPr>
          <w:b w:val="0"/>
          <w:bCs w:val="0"/>
          <w:noProof/>
          <w:sz w:val="20"/>
          <w:szCs w:val="20"/>
        </w:rPr>
        <w:t>2</w:t>
      </w:r>
      <w:r w:rsidRPr="00ED12B1">
        <w:rPr>
          <w:b w:val="0"/>
          <w:bCs w:val="0"/>
          <w:sz w:val="20"/>
          <w:szCs w:val="20"/>
        </w:rPr>
        <w:fldChar w:fldCharType="end"/>
      </w:r>
      <w:r w:rsidRPr="00ED12B1">
        <w:rPr>
          <w:b w:val="0"/>
          <w:bCs w:val="0"/>
          <w:sz w:val="20"/>
          <w:szCs w:val="20"/>
        </w:rPr>
        <w:t>.</w:t>
      </w:r>
      <w:r w:rsidRPr="00ED12B1">
        <w:rPr>
          <w:b w:val="0"/>
          <w:bCs w:val="0"/>
          <w:sz w:val="20"/>
          <w:szCs w:val="20"/>
        </w:rPr>
        <w:fldChar w:fldCharType="begin"/>
      </w:r>
      <w:r w:rsidRPr="00ED12B1">
        <w:rPr>
          <w:b w:val="0"/>
          <w:bCs w:val="0"/>
          <w:sz w:val="20"/>
          <w:szCs w:val="20"/>
        </w:rPr>
        <w:instrText xml:space="preserve"> SEQ Table \* ARABIC \s 1 </w:instrText>
      </w:r>
      <w:r w:rsidRPr="00ED12B1">
        <w:rPr>
          <w:b w:val="0"/>
          <w:bCs w:val="0"/>
          <w:sz w:val="20"/>
          <w:szCs w:val="20"/>
        </w:rPr>
        <w:fldChar w:fldCharType="separate"/>
      </w:r>
      <w:r w:rsidRPr="00ED12B1">
        <w:rPr>
          <w:b w:val="0"/>
          <w:bCs w:val="0"/>
          <w:noProof/>
          <w:sz w:val="20"/>
          <w:szCs w:val="20"/>
        </w:rPr>
        <w:t>6</w:t>
      </w:r>
      <w:r w:rsidRPr="00ED12B1">
        <w:rPr>
          <w:b w:val="0"/>
          <w:bCs w:val="0"/>
          <w:sz w:val="20"/>
          <w:szCs w:val="20"/>
        </w:rPr>
        <w:fldChar w:fldCharType="end"/>
      </w:r>
      <w:r w:rsidRPr="004819B2">
        <w:rPr>
          <w:b w:val="0"/>
          <w:bCs w:val="0"/>
          <w:sz w:val="20"/>
          <w:szCs w:val="20"/>
        </w:rPr>
        <w:t xml:space="preserve"> Two-Way ANOVA statistical significance of the shoot and root biomass (mg) ; d.f., degrees of freedom; F, value for comparison with the critical value for significance; Factor, (cultivar and treatment AMF) and their interaction (cultivar*treatment AMF);  P, level of significance (P-value).</w:t>
      </w:r>
      <w:bookmarkEnd w:id="57"/>
    </w:p>
    <w:tbl>
      <w:tblPr>
        <w:tblStyle w:val="TableGrid"/>
        <w:tblpPr w:leftFromText="180" w:rightFromText="180" w:vertAnchor="text" w:horzAnchor="margin" w:tblpY="195"/>
        <w:tblW w:w="0" w:type="auto"/>
        <w:tblLook w:val="04A0" w:firstRow="1" w:lastRow="0" w:firstColumn="1" w:lastColumn="0" w:noHBand="0" w:noVBand="1"/>
      </w:tblPr>
      <w:tblGrid>
        <w:gridCol w:w="2231"/>
        <w:gridCol w:w="2075"/>
        <w:gridCol w:w="2122"/>
        <w:gridCol w:w="2122"/>
      </w:tblGrid>
      <w:tr w:rsidR="0019038E" w14:paraId="385750E9" w14:textId="77777777" w:rsidTr="00D82647">
        <w:tc>
          <w:tcPr>
            <w:tcW w:w="8550" w:type="dxa"/>
            <w:gridSpan w:val="4"/>
          </w:tcPr>
          <w:p w14:paraId="224E7E7D" w14:textId="77777777" w:rsidR="0019038E" w:rsidRPr="00C8752D" w:rsidRDefault="0019038E" w:rsidP="00D82647">
            <w:pPr>
              <w:widowControl w:val="0"/>
              <w:autoSpaceDE w:val="0"/>
              <w:autoSpaceDN w:val="0"/>
              <w:adjustRightInd w:val="0"/>
              <w:spacing w:after="240" w:line="360" w:lineRule="auto"/>
              <w:jc w:val="center"/>
              <w:rPr>
                <w:rFonts w:asciiTheme="majorBidi" w:hAnsiTheme="majorBidi" w:cstheme="majorBidi"/>
                <w:b/>
                <w:bCs/>
                <w:color w:val="000000"/>
              </w:rPr>
            </w:pPr>
            <w:r w:rsidRPr="00C8752D">
              <w:rPr>
                <w:b/>
                <w:bCs/>
              </w:rPr>
              <w:t>(</w:t>
            </w:r>
            <w:r>
              <w:rPr>
                <w:b/>
                <w:bCs/>
              </w:rPr>
              <w:t>Shoot biomass</w:t>
            </w:r>
            <w:r w:rsidRPr="00C8752D">
              <w:rPr>
                <w:b/>
                <w:bCs/>
              </w:rPr>
              <w:t>)</w:t>
            </w:r>
          </w:p>
        </w:tc>
      </w:tr>
      <w:tr w:rsidR="0019038E" w14:paraId="6BA41DE8" w14:textId="77777777" w:rsidTr="00D82647">
        <w:tc>
          <w:tcPr>
            <w:tcW w:w="2231" w:type="dxa"/>
          </w:tcPr>
          <w:p w14:paraId="08C7C9C6" w14:textId="77777777" w:rsidR="0019038E" w:rsidRPr="00C8752D" w:rsidRDefault="0019038E" w:rsidP="00D82647">
            <w:pPr>
              <w:widowControl w:val="0"/>
              <w:autoSpaceDE w:val="0"/>
              <w:autoSpaceDN w:val="0"/>
              <w:adjustRightInd w:val="0"/>
              <w:spacing w:after="240" w:line="360" w:lineRule="auto"/>
              <w:rPr>
                <w:rFonts w:asciiTheme="majorBidi" w:hAnsiTheme="majorBidi" w:cstheme="majorBidi"/>
                <w:b/>
                <w:bCs/>
                <w:color w:val="000000"/>
              </w:rPr>
            </w:pPr>
            <w:r>
              <w:rPr>
                <w:rFonts w:asciiTheme="majorBidi" w:hAnsiTheme="majorBidi" w:cstheme="majorBidi"/>
                <w:b/>
                <w:bCs/>
                <w:color w:val="000000"/>
              </w:rPr>
              <w:t>Factor</w:t>
            </w:r>
          </w:p>
        </w:tc>
        <w:tc>
          <w:tcPr>
            <w:tcW w:w="2075" w:type="dxa"/>
          </w:tcPr>
          <w:p w14:paraId="73945D36" w14:textId="77777777" w:rsidR="0019038E" w:rsidRPr="00C8752D" w:rsidRDefault="0019038E" w:rsidP="00D82647">
            <w:pPr>
              <w:widowControl w:val="0"/>
              <w:autoSpaceDE w:val="0"/>
              <w:autoSpaceDN w:val="0"/>
              <w:adjustRightInd w:val="0"/>
              <w:spacing w:after="240" w:line="360" w:lineRule="auto"/>
              <w:rPr>
                <w:rFonts w:asciiTheme="majorBidi" w:hAnsiTheme="majorBidi" w:cstheme="majorBidi"/>
                <w:b/>
                <w:bCs/>
                <w:color w:val="000000"/>
              </w:rPr>
            </w:pPr>
            <w:r w:rsidRPr="00C8752D">
              <w:rPr>
                <w:rFonts w:asciiTheme="majorBidi" w:hAnsiTheme="majorBidi" w:cstheme="majorBidi"/>
                <w:b/>
                <w:bCs/>
                <w:color w:val="000000"/>
              </w:rPr>
              <w:t>d.f.</w:t>
            </w:r>
          </w:p>
        </w:tc>
        <w:tc>
          <w:tcPr>
            <w:tcW w:w="2122" w:type="dxa"/>
          </w:tcPr>
          <w:p w14:paraId="1DC8C7DF" w14:textId="77777777" w:rsidR="0019038E" w:rsidRPr="00C8752D" w:rsidRDefault="0019038E" w:rsidP="00D82647">
            <w:pPr>
              <w:widowControl w:val="0"/>
              <w:autoSpaceDE w:val="0"/>
              <w:autoSpaceDN w:val="0"/>
              <w:adjustRightInd w:val="0"/>
              <w:spacing w:after="240" w:line="360" w:lineRule="auto"/>
              <w:rPr>
                <w:rFonts w:asciiTheme="majorBidi" w:hAnsiTheme="majorBidi" w:cstheme="majorBidi"/>
                <w:b/>
                <w:bCs/>
                <w:color w:val="000000"/>
              </w:rPr>
            </w:pPr>
            <w:r w:rsidRPr="00C8752D">
              <w:rPr>
                <w:rFonts w:asciiTheme="majorBidi" w:hAnsiTheme="majorBidi" w:cstheme="majorBidi"/>
                <w:b/>
                <w:bCs/>
                <w:color w:val="000000"/>
              </w:rPr>
              <w:t xml:space="preserve">F </w:t>
            </w:r>
            <w:r w:rsidRPr="00C8752D">
              <w:rPr>
                <w:b/>
                <w:bCs/>
              </w:rPr>
              <w:t>VALUE</w:t>
            </w:r>
          </w:p>
        </w:tc>
        <w:tc>
          <w:tcPr>
            <w:tcW w:w="2122" w:type="dxa"/>
          </w:tcPr>
          <w:p w14:paraId="3AA8752D" w14:textId="77777777" w:rsidR="0019038E" w:rsidRPr="00C8752D" w:rsidRDefault="0019038E" w:rsidP="00D82647">
            <w:pPr>
              <w:widowControl w:val="0"/>
              <w:autoSpaceDE w:val="0"/>
              <w:autoSpaceDN w:val="0"/>
              <w:adjustRightInd w:val="0"/>
              <w:spacing w:after="240" w:line="360" w:lineRule="auto"/>
              <w:rPr>
                <w:rFonts w:asciiTheme="majorBidi" w:hAnsiTheme="majorBidi" w:cstheme="majorBidi"/>
                <w:b/>
                <w:bCs/>
                <w:color w:val="000000"/>
              </w:rPr>
            </w:pPr>
            <w:r w:rsidRPr="00C8752D">
              <w:rPr>
                <w:rFonts w:asciiTheme="majorBidi" w:hAnsiTheme="majorBidi" w:cstheme="majorBidi"/>
                <w:b/>
                <w:bCs/>
                <w:color w:val="000000"/>
              </w:rPr>
              <w:t xml:space="preserve">P </w:t>
            </w:r>
            <w:r w:rsidRPr="00C8752D">
              <w:rPr>
                <w:b/>
                <w:bCs/>
              </w:rPr>
              <w:t>VALUE</w:t>
            </w:r>
          </w:p>
        </w:tc>
      </w:tr>
      <w:tr w:rsidR="0019038E" w14:paraId="29DD4DD4" w14:textId="77777777" w:rsidTr="00D82647">
        <w:tc>
          <w:tcPr>
            <w:tcW w:w="2231" w:type="dxa"/>
          </w:tcPr>
          <w:p w14:paraId="121C2FF7" w14:textId="77777777" w:rsidR="0019038E" w:rsidRPr="00D64627" w:rsidRDefault="0019038E" w:rsidP="00D82647">
            <w:pPr>
              <w:widowControl w:val="0"/>
              <w:autoSpaceDE w:val="0"/>
              <w:autoSpaceDN w:val="0"/>
              <w:adjustRightInd w:val="0"/>
              <w:spacing w:after="240" w:line="360" w:lineRule="auto"/>
              <w:rPr>
                <w:rFonts w:asciiTheme="majorBidi" w:hAnsiTheme="majorBidi" w:cstheme="majorBidi"/>
                <w:b/>
                <w:bCs/>
                <w:color w:val="000000"/>
              </w:rPr>
            </w:pPr>
            <w:r w:rsidRPr="00D64627">
              <w:rPr>
                <w:b/>
                <w:bCs/>
              </w:rPr>
              <w:t>cultivar</w:t>
            </w:r>
          </w:p>
        </w:tc>
        <w:tc>
          <w:tcPr>
            <w:tcW w:w="2075" w:type="dxa"/>
          </w:tcPr>
          <w:p w14:paraId="5E68D2BF" w14:textId="77777777" w:rsidR="0019038E" w:rsidRDefault="0019038E" w:rsidP="00D82647">
            <w:pPr>
              <w:widowControl w:val="0"/>
              <w:autoSpaceDE w:val="0"/>
              <w:autoSpaceDN w:val="0"/>
              <w:adjustRightInd w:val="0"/>
              <w:spacing w:after="240" w:line="360" w:lineRule="auto"/>
              <w:rPr>
                <w:rFonts w:asciiTheme="majorBidi" w:hAnsiTheme="majorBidi" w:cstheme="majorBidi"/>
                <w:color w:val="000000"/>
              </w:rPr>
            </w:pPr>
            <w:r>
              <w:t>15</w:t>
            </w:r>
          </w:p>
        </w:tc>
        <w:tc>
          <w:tcPr>
            <w:tcW w:w="2122" w:type="dxa"/>
          </w:tcPr>
          <w:p w14:paraId="7669D62E" w14:textId="77777777" w:rsidR="0019038E" w:rsidRDefault="0019038E" w:rsidP="00D82647">
            <w:pPr>
              <w:widowControl w:val="0"/>
              <w:autoSpaceDE w:val="0"/>
              <w:autoSpaceDN w:val="0"/>
              <w:adjustRightInd w:val="0"/>
              <w:spacing w:after="240" w:line="360" w:lineRule="auto"/>
              <w:rPr>
                <w:rFonts w:asciiTheme="majorBidi" w:hAnsiTheme="majorBidi" w:cstheme="majorBidi"/>
                <w:color w:val="000000"/>
              </w:rPr>
            </w:pPr>
            <w:r>
              <w:t>12.79</w:t>
            </w:r>
          </w:p>
        </w:tc>
        <w:tc>
          <w:tcPr>
            <w:tcW w:w="2122" w:type="dxa"/>
          </w:tcPr>
          <w:p w14:paraId="554A9906" w14:textId="77777777" w:rsidR="0019038E" w:rsidRPr="007B2A27" w:rsidRDefault="0019038E" w:rsidP="00D82647">
            <w:pPr>
              <w:widowControl w:val="0"/>
              <w:autoSpaceDE w:val="0"/>
              <w:autoSpaceDN w:val="0"/>
              <w:adjustRightInd w:val="0"/>
              <w:spacing w:after="240" w:line="360" w:lineRule="auto"/>
              <w:rPr>
                <w:rFonts w:asciiTheme="majorBidi" w:hAnsiTheme="majorBidi" w:cstheme="majorBidi"/>
                <w:color w:val="000000" w:themeColor="text1"/>
              </w:rPr>
            </w:pPr>
            <w:r w:rsidRPr="007B2A27">
              <w:rPr>
                <w:color w:val="000000" w:themeColor="text1"/>
              </w:rPr>
              <w:t>&lt;0.001</w:t>
            </w:r>
          </w:p>
        </w:tc>
      </w:tr>
      <w:tr w:rsidR="0019038E" w14:paraId="11C03F9E" w14:textId="77777777" w:rsidTr="00D82647">
        <w:tc>
          <w:tcPr>
            <w:tcW w:w="2231" w:type="dxa"/>
          </w:tcPr>
          <w:p w14:paraId="29FF7EE8" w14:textId="77777777" w:rsidR="0019038E" w:rsidRPr="00D64627" w:rsidRDefault="0019038E" w:rsidP="00D82647">
            <w:pPr>
              <w:widowControl w:val="0"/>
              <w:autoSpaceDE w:val="0"/>
              <w:autoSpaceDN w:val="0"/>
              <w:adjustRightInd w:val="0"/>
              <w:spacing w:after="240" w:line="360" w:lineRule="auto"/>
              <w:rPr>
                <w:rFonts w:asciiTheme="majorBidi" w:hAnsiTheme="majorBidi" w:cstheme="majorBidi"/>
                <w:b/>
                <w:bCs/>
                <w:color w:val="000000"/>
              </w:rPr>
            </w:pPr>
            <w:r w:rsidRPr="00D64627">
              <w:rPr>
                <w:b/>
                <w:bCs/>
              </w:rPr>
              <w:t>treatment</w:t>
            </w:r>
          </w:p>
        </w:tc>
        <w:tc>
          <w:tcPr>
            <w:tcW w:w="2075" w:type="dxa"/>
          </w:tcPr>
          <w:p w14:paraId="49B4494C" w14:textId="77777777" w:rsidR="0019038E" w:rsidRDefault="0019038E" w:rsidP="00D82647">
            <w:pPr>
              <w:widowControl w:val="0"/>
              <w:autoSpaceDE w:val="0"/>
              <w:autoSpaceDN w:val="0"/>
              <w:adjustRightInd w:val="0"/>
              <w:spacing w:after="240" w:line="360" w:lineRule="auto"/>
              <w:rPr>
                <w:rFonts w:asciiTheme="majorBidi" w:hAnsiTheme="majorBidi" w:cstheme="majorBidi"/>
                <w:color w:val="000000"/>
              </w:rPr>
            </w:pPr>
            <w:r>
              <w:t>1</w:t>
            </w:r>
          </w:p>
        </w:tc>
        <w:tc>
          <w:tcPr>
            <w:tcW w:w="2122" w:type="dxa"/>
          </w:tcPr>
          <w:p w14:paraId="246CB93C" w14:textId="77777777" w:rsidR="0019038E" w:rsidRDefault="0019038E" w:rsidP="00D82647">
            <w:pPr>
              <w:widowControl w:val="0"/>
              <w:autoSpaceDE w:val="0"/>
              <w:autoSpaceDN w:val="0"/>
              <w:adjustRightInd w:val="0"/>
              <w:spacing w:after="240" w:line="360" w:lineRule="auto"/>
              <w:rPr>
                <w:rFonts w:asciiTheme="majorBidi" w:hAnsiTheme="majorBidi" w:cstheme="majorBidi"/>
                <w:color w:val="000000"/>
              </w:rPr>
            </w:pPr>
            <w:r>
              <w:t>28.34</w:t>
            </w:r>
          </w:p>
        </w:tc>
        <w:tc>
          <w:tcPr>
            <w:tcW w:w="2122" w:type="dxa"/>
          </w:tcPr>
          <w:p w14:paraId="7A0AF75A" w14:textId="77777777" w:rsidR="0019038E" w:rsidRDefault="0019038E" w:rsidP="00D82647">
            <w:pPr>
              <w:widowControl w:val="0"/>
              <w:autoSpaceDE w:val="0"/>
              <w:autoSpaceDN w:val="0"/>
              <w:adjustRightInd w:val="0"/>
              <w:spacing w:after="240" w:line="360" w:lineRule="auto"/>
              <w:rPr>
                <w:rFonts w:asciiTheme="majorBidi" w:hAnsiTheme="majorBidi" w:cstheme="majorBidi"/>
                <w:color w:val="000000"/>
              </w:rPr>
            </w:pPr>
            <w:r>
              <w:t>&lt;0.001</w:t>
            </w:r>
          </w:p>
        </w:tc>
      </w:tr>
      <w:tr w:rsidR="0019038E" w14:paraId="0817370A" w14:textId="77777777" w:rsidTr="00D82647">
        <w:tc>
          <w:tcPr>
            <w:tcW w:w="2231" w:type="dxa"/>
          </w:tcPr>
          <w:p w14:paraId="1755570F" w14:textId="77777777" w:rsidR="0019038E" w:rsidRPr="00D64627" w:rsidRDefault="0019038E" w:rsidP="00D82647">
            <w:pPr>
              <w:widowControl w:val="0"/>
              <w:autoSpaceDE w:val="0"/>
              <w:autoSpaceDN w:val="0"/>
              <w:adjustRightInd w:val="0"/>
              <w:spacing w:after="240" w:line="360" w:lineRule="auto"/>
              <w:rPr>
                <w:rFonts w:asciiTheme="majorBidi" w:hAnsiTheme="majorBidi" w:cstheme="majorBidi"/>
                <w:b/>
                <w:bCs/>
                <w:color w:val="000000"/>
              </w:rPr>
            </w:pPr>
            <w:r w:rsidRPr="00D64627">
              <w:rPr>
                <w:b/>
                <w:bCs/>
              </w:rPr>
              <w:t>Cultivar*treatment</w:t>
            </w:r>
            <w:r>
              <w:rPr>
                <w:b/>
                <w:bCs/>
              </w:rPr>
              <w:t xml:space="preserve"> AMF</w:t>
            </w:r>
          </w:p>
        </w:tc>
        <w:tc>
          <w:tcPr>
            <w:tcW w:w="2075" w:type="dxa"/>
          </w:tcPr>
          <w:p w14:paraId="3FF998F1" w14:textId="77777777" w:rsidR="0019038E" w:rsidRDefault="0019038E" w:rsidP="00D82647">
            <w:pPr>
              <w:widowControl w:val="0"/>
              <w:autoSpaceDE w:val="0"/>
              <w:autoSpaceDN w:val="0"/>
              <w:adjustRightInd w:val="0"/>
              <w:spacing w:after="240" w:line="360" w:lineRule="auto"/>
              <w:rPr>
                <w:rFonts w:asciiTheme="majorBidi" w:hAnsiTheme="majorBidi" w:cstheme="majorBidi"/>
                <w:color w:val="000000"/>
              </w:rPr>
            </w:pPr>
            <w:r>
              <w:t>15</w:t>
            </w:r>
          </w:p>
        </w:tc>
        <w:tc>
          <w:tcPr>
            <w:tcW w:w="2122" w:type="dxa"/>
          </w:tcPr>
          <w:p w14:paraId="656D1BC2" w14:textId="77777777" w:rsidR="0019038E" w:rsidRDefault="0019038E" w:rsidP="00D82647">
            <w:pPr>
              <w:widowControl w:val="0"/>
              <w:autoSpaceDE w:val="0"/>
              <w:autoSpaceDN w:val="0"/>
              <w:adjustRightInd w:val="0"/>
              <w:spacing w:after="240" w:line="360" w:lineRule="auto"/>
              <w:rPr>
                <w:rFonts w:asciiTheme="majorBidi" w:hAnsiTheme="majorBidi" w:cstheme="majorBidi"/>
                <w:color w:val="000000"/>
              </w:rPr>
            </w:pPr>
            <w:r>
              <w:t>2.98</w:t>
            </w:r>
          </w:p>
        </w:tc>
        <w:tc>
          <w:tcPr>
            <w:tcW w:w="2122" w:type="dxa"/>
          </w:tcPr>
          <w:p w14:paraId="25CEC2E3" w14:textId="77777777" w:rsidR="0019038E" w:rsidRDefault="0019038E" w:rsidP="00D82647">
            <w:pPr>
              <w:widowControl w:val="0"/>
              <w:autoSpaceDE w:val="0"/>
              <w:autoSpaceDN w:val="0"/>
              <w:adjustRightInd w:val="0"/>
              <w:spacing w:after="240" w:line="360" w:lineRule="auto"/>
              <w:rPr>
                <w:rFonts w:asciiTheme="majorBidi" w:hAnsiTheme="majorBidi" w:cstheme="majorBidi"/>
                <w:color w:val="000000"/>
              </w:rPr>
            </w:pPr>
            <w:r>
              <w:t>&lt;0.001</w:t>
            </w:r>
          </w:p>
        </w:tc>
      </w:tr>
      <w:tr w:rsidR="0019038E" w14:paraId="2FC05CA6" w14:textId="77777777" w:rsidTr="00D82647">
        <w:tc>
          <w:tcPr>
            <w:tcW w:w="2231" w:type="dxa"/>
          </w:tcPr>
          <w:p w14:paraId="7DA7336D" w14:textId="77777777" w:rsidR="0019038E" w:rsidRPr="00D64627" w:rsidRDefault="0019038E" w:rsidP="00D82647">
            <w:pPr>
              <w:widowControl w:val="0"/>
              <w:autoSpaceDE w:val="0"/>
              <w:autoSpaceDN w:val="0"/>
              <w:adjustRightInd w:val="0"/>
              <w:spacing w:after="240" w:line="360" w:lineRule="auto"/>
              <w:rPr>
                <w:b/>
                <w:bCs/>
              </w:rPr>
            </w:pPr>
            <w:r w:rsidRPr="00D64627">
              <w:rPr>
                <w:b/>
                <w:bCs/>
              </w:rPr>
              <w:t>total</w:t>
            </w:r>
          </w:p>
        </w:tc>
        <w:tc>
          <w:tcPr>
            <w:tcW w:w="2075" w:type="dxa"/>
          </w:tcPr>
          <w:p w14:paraId="126CD0AA" w14:textId="77777777" w:rsidR="0019038E" w:rsidRDefault="0019038E" w:rsidP="00D82647">
            <w:pPr>
              <w:widowControl w:val="0"/>
              <w:autoSpaceDE w:val="0"/>
              <w:autoSpaceDN w:val="0"/>
              <w:adjustRightInd w:val="0"/>
              <w:spacing w:after="240" w:line="360" w:lineRule="auto"/>
            </w:pPr>
            <w:r>
              <w:t>150</w:t>
            </w:r>
          </w:p>
        </w:tc>
        <w:tc>
          <w:tcPr>
            <w:tcW w:w="2122" w:type="dxa"/>
          </w:tcPr>
          <w:p w14:paraId="738DCB2B" w14:textId="77777777" w:rsidR="0019038E" w:rsidRDefault="0019038E" w:rsidP="00D82647">
            <w:pPr>
              <w:widowControl w:val="0"/>
              <w:autoSpaceDE w:val="0"/>
              <w:autoSpaceDN w:val="0"/>
              <w:adjustRightInd w:val="0"/>
              <w:spacing w:after="240" w:line="360" w:lineRule="auto"/>
              <w:rPr>
                <w:rFonts w:asciiTheme="majorBidi" w:hAnsiTheme="majorBidi" w:cstheme="majorBidi"/>
                <w:color w:val="000000"/>
              </w:rPr>
            </w:pPr>
          </w:p>
        </w:tc>
        <w:tc>
          <w:tcPr>
            <w:tcW w:w="2122" w:type="dxa"/>
          </w:tcPr>
          <w:p w14:paraId="21B8206B" w14:textId="77777777" w:rsidR="0019038E" w:rsidRDefault="0019038E" w:rsidP="00D82647">
            <w:pPr>
              <w:widowControl w:val="0"/>
              <w:autoSpaceDE w:val="0"/>
              <w:autoSpaceDN w:val="0"/>
              <w:adjustRightInd w:val="0"/>
              <w:spacing w:after="240" w:line="360" w:lineRule="auto"/>
              <w:rPr>
                <w:rFonts w:asciiTheme="majorBidi" w:hAnsiTheme="majorBidi" w:cstheme="majorBidi"/>
                <w:color w:val="000000"/>
              </w:rPr>
            </w:pPr>
          </w:p>
        </w:tc>
      </w:tr>
      <w:tr w:rsidR="0019038E" w14:paraId="63A0D226" w14:textId="77777777" w:rsidTr="00D82647">
        <w:tc>
          <w:tcPr>
            <w:tcW w:w="8550" w:type="dxa"/>
            <w:gridSpan w:val="4"/>
          </w:tcPr>
          <w:p w14:paraId="01AF137E" w14:textId="77777777" w:rsidR="0019038E" w:rsidRPr="00C8752D" w:rsidRDefault="0019038E" w:rsidP="00D82647">
            <w:pPr>
              <w:jc w:val="center"/>
              <w:rPr>
                <w:b/>
                <w:bCs/>
              </w:rPr>
            </w:pPr>
            <w:r w:rsidRPr="00C8752D">
              <w:rPr>
                <w:b/>
                <w:bCs/>
              </w:rPr>
              <w:t>(</w:t>
            </w:r>
            <w:r>
              <w:rPr>
                <w:b/>
                <w:bCs/>
              </w:rPr>
              <w:t>Root biomass</w:t>
            </w:r>
            <w:r w:rsidRPr="00C8752D">
              <w:rPr>
                <w:b/>
                <w:bCs/>
              </w:rPr>
              <w:t>)</w:t>
            </w:r>
          </w:p>
          <w:p w14:paraId="348B6B51" w14:textId="77777777" w:rsidR="0019038E" w:rsidRDefault="0019038E" w:rsidP="00D82647">
            <w:pPr>
              <w:widowControl w:val="0"/>
              <w:autoSpaceDE w:val="0"/>
              <w:autoSpaceDN w:val="0"/>
              <w:adjustRightInd w:val="0"/>
              <w:spacing w:after="240" w:line="360" w:lineRule="auto"/>
              <w:rPr>
                <w:rFonts w:asciiTheme="majorBidi" w:hAnsiTheme="majorBidi" w:cstheme="majorBidi"/>
                <w:color w:val="000000"/>
              </w:rPr>
            </w:pPr>
          </w:p>
        </w:tc>
      </w:tr>
      <w:tr w:rsidR="0019038E" w14:paraId="7A36CDDE" w14:textId="77777777" w:rsidTr="00D82647">
        <w:tc>
          <w:tcPr>
            <w:tcW w:w="2231" w:type="dxa"/>
          </w:tcPr>
          <w:p w14:paraId="2BAAF6D7" w14:textId="77777777" w:rsidR="0019038E" w:rsidRPr="00C8752D" w:rsidRDefault="0019038E" w:rsidP="00D82647">
            <w:pPr>
              <w:widowControl w:val="0"/>
              <w:autoSpaceDE w:val="0"/>
              <w:autoSpaceDN w:val="0"/>
              <w:adjustRightInd w:val="0"/>
              <w:spacing w:after="240" w:line="360" w:lineRule="auto"/>
              <w:rPr>
                <w:rFonts w:asciiTheme="majorBidi" w:hAnsiTheme="majorBidi" w:cstheme="majorBidi"/>
                <w:b/>
                <w:bCs/>
                <w:color w:val="000000"/>
              </w:rPr>
            </w:pPr>
            <w:r>
              <w:rPr>
                <w:rFonts w:asciiTheme="majorBidi" w:hAnsiTheme="majorBidi" w:cstheme="majorBidi"/>
                <w:b/>
                <w:bCs/>
                <w:color w:val="000000"/>
              </w:rPr>
              <w:t>Factor</w:t>
            </w:r>
          </w:p>
        </w:tc>
        <w:tc>
          <w:tcPr>
            <w:tcW w:w="2075" w:type="dxa"/>
          </w:tcPr>
          <w:p w14:paraId="58CC5352" w14:textId="77777777" w:rsidR="0019038E" w:rsidRPr="00C8752D" w:rsidRDefault="0019038E" w:rsidP="00D82647">
            <w:pPr>
              <w:widowControl w:val="0"/>
              <w:autoSpaceDE w:val="0"/>
              <w:autoSpaceDN w:val="0"/>
              <w:adjustRightInd w:val="0"/>
              <w:spacing w:after="240" w:line="360" w:lineRule="auto"/>
              <w:rPr>
                <w:rFonts w:asciiTheme="majorBidi" w:hAnsiTheme="majorBidi" w:cstheme="majorBidi"/>
                <w:b/>
                <w:bCs/>
                <w:color w:val="000000"/>
              </w:rPr>
            </w:pPr>
            <w:r w:rsidRPr="00C8752D">
              <w:rPr>
                <w:rFonts w:asciiTheme="majorBidi" w:hAnsiTheme="majorBidi" w:cstheme="majorBidi"/>
                <w:b/>
                <w:bCs/>
                <w:color w:val="000000"/>
              </w:rPr>
              <w:t>d.f.</w:t>
            </w:r>
          </w:p>
        </w:tc>
        <w:tc>
          <w:tcPr>
            <w:tcW w:w="2122" w:type="dxa"/>
          </w:tcPr>
          <w:p w14:paraId="31A559FD" w14:textId="77777777" w:rsidR="0019038E" w:rsidRPr="00C8752D" w:rsidRDefault="0019038E" w:rsidP="00D82647">
            <w:pPr>
              <w:widowControl w:val="0"/>
              <w:autoSpaceDE w:val="0"/>
              <w:autoSpaceDN w:val="0"/>
              <w:adjustRightInd w:val="0"/>
              <w:spacing w:after="240" w:line="360" w:lineRule="auto"/>
              <w:rPr>
                <w:rFonts w:asciiTheme="majorBidi" w:hAnsiTheme="majorBidi" w:cstheme="majorBidi"/>
                <w:b/>
                <w:bCs/>
                <w:color w:val="000000"/>
              </w:rPr>
            </w:pPr>
            <w:r w:rsidRPr="00C8752D">
              <w:rPr>
                <w:rFonts w:asciiTheme="majorBidi" w:hAnsiTheme="majorBidi" w:cstheme="majorBidi"/>
                <w:b/>
                <w:bCs/>
                <w:color w:val="000000"/>
              </w:rPr>
              <w:t xml:space="preserve">F </w:t>
            </w:r>
            <w:r w:rsidRPr="00C8752D">
              <w:rPr>
                <w:b/>
                <w:bCs/>
              </w:rPr>
              <w:t>VALUE</w:t>
            </w:r>
          </w:p>
        </w:tc>
        <w:tc>
          <w:tcPr>
            <w:tcW w:w="2122" w:type="dxa"/>
          </w:tcPr>
          <w:p w14:paraId="2F7A19A6" w14:textId="77777777" w:rsidR="0019038E" w:rsidRPr="00C8752D" w:rsidRDefault="0019038E" w:rsidP="00D82647">
            <w:pPr>
              <w:widowControl w:val="0"/>
              <w:autoSpaceDE w:val="0"/>
              <w:autoSpaceDN w:val="0"/>
              <w:adjustRightInd w:val="0"/>
              <w:spacing w:after="240" w:line="360" w:lineRule="auto"/>
              <w:rPr>
                <w:rFonts w:asciiTheme="majorBidi" w:hAnsiTheme="majorBidi" w:cstheme="majorBidi"/>
                <w:b/>
                <w:bCs/>
                <w:color w:val="000000"/>
              </w:rPr>
            </w:pPr>
            <w:r w:rsidRPr="00C8752D">
              <w:rPr>
                <w:rFonts w:asciiTheme="majorBidi" w:hAnsiTheme="majorBidi" w:cstheme="majorBidi"/>
                <w:b/>
                <w:bCs/>
                <w:color w:val="000000"/>
              </w:rPr>
              <w:t xml:space="preserve">P </w:t>
            </w:r>
            <w:r w:rsidRPr="00C8752D">
              <w:rPr>
                <w:b/>
                <w:bCs/>
              </w:rPr>
              <w:t>VALUE</w:t>
            </w:r>
          </w:p>
        </w:tc>
      </w:tr>
      <w:tr w:rsidR="0019038E" w14:paraId="26E0C50E" w14:textId="77777777" w:rsidTr="00D82647">
        <w:tc>
          <w:tcPr>
            <w:tcW w:w="2231" w:type="dxa"/>
          </w:tcPr>
          <w:p w14:paraId="2384B250" w14:textId="77777777" w:rsidR="0019038E" w:rsidRPr="00D64627" w:rsidRDefault="0019038E" w:rsidP="00D82647">
            <w:pPr>
              <w:widowControl w:val="0"/>
              <w:autoSpaceDE w:val="0"/>
              <w:autoSpaceDN w:val="0"/>
              <w:adjustRightInd w:val="0"/>
              <w:spacing w:after="240" w:line="360" w:lineRule="auto"/>
              <w:rPr>
                <w:rFonts w:asciiTheme="majorBidi" w:hAnsiTheme="majorBidi" w:cstheme="majorBidi"/>
                <w:b/>
                <w:bCs/>
                <w:color w:val="000000"/>
              </w:rPr>
            </w:pPr>
            <w:r w:rsidRPr="00D64627">
              <w:rPr>
                <w:b/>
                <w:bCs/>
              </w:rPr>
              <w:t>cultivar</w:t>
            </w:r>
          </w:p>
        </w:tc>
        <w:tc>
          <w:tcPr>
            <w:tcW w:w="2075" w:type="dxa"/>
          </w:tcPr>
          <w:p w14:paraId="34B979DC" w14:textId="77777777" w:rsidR="0019038E" w:rsidRDefault="0019038E" w:rsidP="00D82647">
            <w:pPr>
              <w:widowControl w:val="0"/>
              <w:autoSpaceDE w:val="0"/>
              <w:autoSpaceDN w:val="0"/>
              <w:adjustRightInd w:val="0"/>
              <w:spacing w:after="240" w:line="360" w:lineRule="auto"/>
              <w:rPr>
                <w:rFonts w:asciiTheme="majorBidi" w:hAnsiTheme="majorBidi" w:cstheme="majorBidi"/>
                <w:color w:val="000000"/>
              </w:rPr>
            </w:pPr>
            <w:r>
              <w:t>15</w:t>
            </w:r>
          </w:p>
        </w:tc>
        <w:tc>
          <w:tcPr>
            <w:tcW w:w="2122" w:type="dxa"/>
          </w:tcPr>
          <w:p w14:paraId="4A84BBBF" w14:textId="77777777" w:rsidR="0019038E" w:rsidRDefault="0019038E" w:rsidP="00D82647">
            <w:pPr>
              <w:widowControl w:val="0"/>
              <w:autoSpaceDE w:val="0"/>
              <w:autoSpaceDN w:val="0"/>
              <w:adjustRightInd w:val="0"/>
              <w:spacing w:after="240" w:line="360" w:lineRule="auto"/>
              <w:rPr>
                <w:rFonts w:asciiTheme="majorBidi" w:hAnsiTheme="majorBidi" w:cstheme="majorBidi"/>
                <w:color w:val="000000"/>
              </w:rPr>
            </w:pPr>
            <w:r>
              <w:t>3.73</w:t>
            </w:r>
          </w:p>
        </w:tc>
        <w:tc>
          <w:tcPr>
            <w:tcW w:w="2122" w:type="dxa"/>
          </w:tcPr>
          <w:p w14:paraId="61236B85" w14:textId="77777777" w:rsidR="0019038E" w:rsidRDefault="0019038E" w:rsidP="00D82647">
            <w:pPr>
              <w:widowControl w:val="0"/>
              <w:autoSpaceDE w:val="0"/>
              <w:autoSpaceDN w:val="0"/>
              <w:adjustRightInd w:val="0"/>
              <w:spacing w:after="240" w:line="360" w:lineRule="auto"/>
              <w:rPr>
                <w:rFonts w:asciiTheme="majorBidi" w:hAnsiTheme="majorBidi" w:cstheme="majorBidi"/>
                <w:color w:val="000000"/>
              </w:rPr>
            </w:pPr>
            <w:r>
              <w:t>&lt;0.001</w:t>
            </w:r>
          </w:p>
        </w:tc>
      </w:tr>
      <w:tr w:rsidR="0019038E" w14:paraId="72AA5CB4" w14:textId="77777777" w:rsidTr="00D82647">
        <w:tc>
          <w:tcPr>
            <w:tcW w:w="2231" w:type="dxa"/>
          </w:tcPr>
          <w:p w14:paraId="17F4679B" w14:textId="77777777" w:rsidR="0019038E" w:rsidRPr="00D64627" w:rsidRDefault="0019038E" w:rsidP="00D82647">
            <w:pPr>
              <w:widowControl w:val="0"/>
              <w:autoSpaceDE w:val="0"/>
              <w:autoSpaceDN w:val="0"/>
              <w:adjustRightInd w:val="0"/>
              <w:spacing w:after="240" w:line="360" w:lineRule="auto"/>
              <w:rPr>
                <w:rFonts w:asciiTheme="majorBidi" w:hAnsiTheme="majorBidi" w:cstheme="majorBidi"/>
                <w:b/>
                <w:bCs/>
                <w:color w:val="000000"/>
              </w:rPr>
            </w:pPr>
            <w:r w:rsidRPr="00D64627">
              <w:rPr>
                <w:b/>
                <w:bCs/>
              </w:rPr>
              <w:t>treatment</w:t>
            </w:r>
          </w:p>
        </w:tc>
        <w:tc>
          <w:tcPr>
            <w:tcW w:w="2075" w:type="dxa"/>
          </w:tcPr>
          <w:p w14:paraId="16375DA8" w14:textId="77777777" w:rsidR="0019038E" w:rsidRDefault="0019038E" w:rsidP="00D82647">
            <w:pPr>
              <w:widowControl w:val="0"/>
              <w:autoSpaceDE w:val="0"/>
              <w:autoSpaceDN w:val="0"/>
              <w:adjustRightInd w:val="0"/>
              <w:spacing w:after="240" w:line="360" w:lineRule="auto"/>
              <w:rPr>
                <w:rFonts w:asciiTheme="majorBidi" w:hAnsiTheme="majorBidi" w:cstheme="majorBidi"/>
                <w:color w:val="000000"/>
              </w:rPr>
            </w:pPr>
            <w:r>
              <w:t>1</w:t>
            </w:r>
          </w:p>
        </w:tc>
        <w:tc>
          <w:tcPr>
            <w:tcW w:w="2122" w:type="dxa"/>
          </w:tcPr>
          <w:p w14:paraId="6510C049" w14:textId="77777777" w:rsidR="0019038E" w:rsidRDefault="0019038E" w:rsidP="00D82647">
            <w:pPr>
              <w:widowControl w:val="0"/>
              <w:autoSpaceDE w:val="0"/>
              <w:autoSpaceDN w:val="0"/>
              <w:adjustRightInd w:val="0"/>
              <w:spacing w:after="240" w:line="360" w:lineRule="auto"/>
              <w:rPr>
                <w:rFonts w:asciiTheme="majorBidi" w:hAnsiTheme="majorBidi" w:cstheme="majorBidi"/>
                <w:color w:val="000000"/>
              </w:rPr>
            </w:pPr>
            <w:r>
              <w:t>64.49</w:t>
            </w:r>
          </w:p>
        </w:tc>
        <w:tc>
          <w:tcPr>
            <w:tcW w:w="2122" w:type="dxa"/>
          </w:tcPr>
          <w:p w14:paraId="4EAD8A95" w14:textId="77777777" w:rsidR="0019038E" w:rsidRDefault="0019038E" w:rsidP="00D82647">
            <w:pPr>
              <w:widowControl w:val="0"/>
              <w:autoSpaceDE w:val="0"/>
              <w:autoSpaceDN w:val="0"/>
              <w:adjustRightInd w:val="0"/>
              <w:spacing w:after="240" w:line="360" w:lineRule="auto"/>
              <w:rPr>
                <w:rFonts w:asciiTheme="majorBidi" w:hAnsiTheme="majorBidi" w:cstheme="majorBidi"/>
                <w:color w:val="000000"/>
              </w:rPr>
            </w:pPr>
            <w:r>
              <w:t>&lt;0.001</w:t>
            </w:r>
          </w:p>
        </w:tc>
      </w:tr>
      <w:tr w:rsidR="0019038E" w14:paraId="7E3A8BB1" w14:textId="77777777" w:rsidTr="00D82647">
        <w:tc>
          <w:tcPr>
            <w:tcW w:w="2231" w:type="dxa"/>
          </w:tcPr>
          <w:p w14:paraId="0CB358C9" w14:textId="77777777" w:rsidR="0019038E" w:rsidRPr="00D64627" w:rsidRDefault="0019038E" w:rsidP="00D82647">
            <w:pPr>
              <w:widowControl w:val="0"/>
              <w:autoSpaceDE w:val="0"/>
              <w:autoSpaceDN w:val="0"/>
              <w:adjustRightInd w:val="0"/>
              <w:spacing w:after="240" w:line="360" w:lineRule="auto"/>
              <w:rPr>
                <w:rFonts w:asciiTheme="majorBidi" w:hAnsiTheme="majorBidi" w:cstheme="majorBidi"/>
                <w:b/>
                <w:bCs/>
                <w:color w:val="000000"/>
              </w:rPr>
            </w:pPr>
            <w:r w:rsidRPr="00D64627">
              <w:rPr>
                <w:b/>
                <w:bCs/>
              </w:rPr>
              <w:t>Cultivar*treatment</w:t>
            </w:r>
            <w:r>
              <w:rPr>
                <w:b/>
                <w:bCs/>
              </w:rPr>
              <w:t xml:space="preserve"> AMF</w:t>
            </w:r>
          </w:p>
        </w:tc>
        <w:tc>
          <w:tcPr>
            <w:tcW w:w="2075" w:type="dxa"/>
          </w:tcPr>
          <w:p w14:paraId="5761C001" w14:textId="77777777" w:rsidR="0019038E" w:rsidRDefault="0019038E" w:rsidP="00D82647">
            <w:pPr>
              <w:widowControl w:val="0"/>
              <w:autoSpaceDE w:val="0"/>
              <w:autoSpaceDN w:val="0"/>
              <w:adjustRightInd w:val="0"/>
              <w:spacing w:after="240" w:line="360" w:lineRule="auto"/>
              <w:rPr>
                <w:rFonts w:asciiTheme="majorBidi" w:hAnsiTheme="majorBidi" w:cstheme="majorBidi"/>
                <w:color w:val="000000"/>
              </w:rPr>
            </w:pPr>
            <w:r>
              <w:t>15</w:t>
            </w:r>
          </w:p>
        </w:tc>
        <w:tc>
          <w:tcPr>
            <w:tcW w:w="2122" w:type="dxa"/>
          </w:tcPr>
          <w:p w14:paraId="5C0FCDEA" w14:textId="77777777" w:rsidR="0019038E" w:rsidRDefault="0019038E" w:rsidP="00D82647">
            <w:pPr>
              <w:widowControl w:val="0"/>
              <w:autoSpaceDE w:val="0"/>
              <w:autoSpaceDN w:val="0"/>
              <w:adjustRightInd w:val="0"/>
              <w:spacing w:after="240" w:line="360" w:lineRule="auto"/>
              <w:rPr>
                <w:rFonts w:asciiTheme="majorBidi" w:hAnsiTheme="majorBidi" w:cstheme="majorBidi"/>
                <w:color w:val="000000"/>
              </w:rPr>
            </w:pPr>
            <w:r>
              <w:t>1.28</w:t>
            </w:r>
          </w:p>
        </w:tc>
        <w:tc>
          <w:tcPr>
            <w:tcW w:w="2122" w:type="dxa"/>
          </w:tcPr>
          <w:p w14:paraId="655B64E5" w14:textId="77777777" w:rsidR="0019038E" w:rsidRDefault="0019038E" w:rsidP="00D82647">
            <w:pPr>
              <w:widowControl w:val="0"/>
              <w:autoSpaceDE w:val="0"/>
              <w:autoSpaceDN w:val="0"/>
              <w:adjustRightInd w:val="0"/>
              <w:spacing w:after="240" w:line="360" w:lineRule="auto"/>
              <w:rPr>
                <w:rFonts w:asciiTheme="majorBidi" w:hAnsiTheme="majorBidi" w:cstheme="majorBidi"/>
                <w:color w:val="000000"/>
              </w:rPr>
            </w:pPr>
            <w:r>
              <w:t>0.223</w:t>
            </w:r>
          </w:p>
        </w:tc>
      </w:tr>
      <w:tr w:rsidR="0019038E" w14:paraId="5D0BEACD" w14:textId="77777777" w:rsidTr="00D82647">
        <w:tc>
          <w:tcPr>
            <w:tcW w:w="2231" w:type="dxa"/>
          </w:tcPr>
          <w:p w14:paraId="270DF1B9" w14:textId="77777777" w:rsidR="0019038E" w:rsidRPr="00D64627" w:rsidRDefault="0019038E" w:rsidP="00D82647">
            <w:pPr>
              <w:widowControl w:val="0"/>
              <w:autoSpaceDE w:val="0"/>
              <w:autoSpaceDN w:val="0"/>
              <w:adjustRightInd w:val="0"/>
              <w:spacing w:after="240" w:line="360" w:lineRule="auto"/>
              <w:rPr>
                <w:b/>
                <w:bCs/>
              </w:rPr>
            </w:pPr>
            <w:r w:rsidRPr="00D64627">
              <w:rPr>
                <w:b/>
                <w:bCs/>
              </w:rPr>
              <w:t>total</w:t>
            </w:r>
          </w:p>
        </w:tc>
        <w:tc>
          <w:tcPr>
            <w:tcW w:w="2075" w:type="dxa"/>
          </w:tcPr>
          <w:p w14:paraId="5CFF19C0" w14:textId="77777777" w:rsidR="0019038E" w:rsidRDefault="0019038E" w:rsidP="00D82647">
            <w:pPr>
              <w:widowControl w:val="0"/>
              <w:autoSpaceDE w:val="0"/>
              <w:autoSpaceDN w:val="0"/>
              <w:adjustRightInd w:val="0"/>
              <w:spacing w:after="240" w:line="360" w:lineRule="auto"/>
            </w:pPr>
            <w:r>
              <w:t>159</w:t>
            </w:r>
          </w:p>
        </w:tc>
        <w:tc>
          <w:tcPr>
            <w:tcW w:w="2122" w:type="dxa"/>
          </w:tcPr>
          <w:p w14:paraId="418BC8E5" w14:textId="77777777" w:rsidR="0019038E" w:rsidRDefault="0019038E" w:rsidP="00D82647">
            <w:pPr>
              <w:widowControl w:val="0"/>
              <w:autoSpaceDE w:val="0"/>
              <w:autoSpaceDN w:val="0"/>
              <w:adjustRightInd w:val="0"/>
              <w:spacing w:after="240" w:line="360" w:lineRule="auto"/>
              <w:rPr>
                <w:rFonts w:asciiTheme="majorBidi" w:hAnsiTheme="majorBidi" w:cstheme="majorBidi"/>
                <w:color w:val="000000"/>
              </w:rPr>
            </w:pPr>
          </w:p>
        </w:tc>
        <w:tc>
          <w:tcPr>
            <w:tcW w:w="2122" w:type="dxa"/>
          </w:tcPr>
          <w:p w14:paraId="2AA6D37B" w14:textId="77777777" w:rsidR="0019038E" w:rsidRDefault="0019038E" w:rsidP="00D82647">
            <w:pPr>
              <w:widowControl w:val="0"/>
              <w:autoSpaceDE w:val="0"/>
              <w:autoSpaceDN w:val="0"/>
              <w:adjustRightInd w:val="0"/>
              <w:spacing w:after="240" w:line="360" w:lineRule="auto"/>
              <w:rPr>
                <w:rFonts w:asciiTheme="majorBidi" w:hAnsiTheme="majorBidi" w:cstheme="majorBidi"/>
                <w:color w:val="000000"/>
              </w:rPr>
            </w:pPr>
          </w:p>
        </w:tc>
      </w:tr>
    </w:tbl>
    <w:p w14:paraId="2D3BA180" w14:textId="77777777" w:rsidR="0019038E" w:rsidRPr="002932E6" w:rsidRDefault="0019038E" w:rsidP="0019038E">
      <w:pPr>
        <w:spacing w:before="100" w:beforeAutospacing="1" w:afterLines="280" w:after="672" w:line="360" w:lineRule="auto"/>
        <w:jc w:val="lowKashida"/>
        <w:rPr>
          <w:color w:val="00B050"/>
        </w:rPr>
      </w:pPr>
    </w:p>
    <w:p w14:paraId="63AF7BF9" w14:textId="77777777" w:rsidR="0019038E" w:rsidRDefault="0019038E" w:rsidP="0019038E">
      <w:pPr>
        <w:spacing w:afterLines="280" w:after="672" w:line="360" w:lineRule="auto"/>
        <w:jc w:val="lowKashida"/>
        <w:rPr>
          <w:color w:val="00B050"/>
        </w:rPr>
      </w:pPr>
    </w:p>
    <w:p w14:paraId="5E33DC71" w14:textId="77777777" w:rsidR="0019038E" w:rsidRPr="002932E6" w:rsidRDefault="0019038E" w:rsidP="0019038E">
      <w:pPr>
        <w:spacing w:afterLines="280" w:after="672" w:line="360" w:lineRule="auto"/>
        <w:jc w:val="lowKashida"/>
      </w:pPr>
    </w:p>
    <w:p w14:paraId="069CC4DA" w14:textId="77777777" w:rsidR="0019038E" w:rsidRPr="002932E6" w:rsidRDefault="0019038E" w:rsidP="0019038E">
      <w:pPr>
        <w:pStyle w:val="Heading3"/>
      </w:pPr>
    </w:p>
    <w:p w14:paraId="4738A4F4" w14:textId="77777777" w:rsidR="0019038E" w:rsidRPr="00BF1832" w:rsidRDefault="0019038E" w:rsidP="0019038E">
      <w:pPr>
        <w:pStyle w:val="Heading3"/>
      </w:pPr>
      <w:bookmarkStart w:id="58" w:name="_Toc83751435"/>
      <w:r w:rsidRPr="00BF1832">
        <w:t>2.3.4 Nutrient uptake (P &amp; N uptake)</w:t>
      </w:r>
      <w:bookmarkEnd w:id="58"/>
    </w:p>
    <w:p w14:paraId="631D0299" w14:textId="77777777" w:rsidR="0019038E" w:rsidRPr="002932E6" w:rsidRDefault="0019038E" w:rsidP="0019038E">
      <w:pPr>
        <w:spacing w:afterLines="280" w:after="672" w:line="360" w:lineRule="auto"/>
        <w:jc w:val="lowKashida"/>
        <w:rPr>
          <w:b/>
          <w:bCs/>
          <w:i/>
          <w:iCs/>
        </w:rPr>
      </w:pPr>
    </w:p>
    <w:p w14:paraId="6AF99F3D" w14:textId="77777777" w:rsidR="0019038E" w:rsidRDefault="0019038E" w:rsidP="0019038E">
      <w:pPr>
        <w:keepNext/>
        <w:spacing w:afterLines="280" w:after="672" w:line="360" w:lineRule="auto"/>
        <w:jc w:val="lowKashida"/>
      </w:pPr>
      <w:r w:rsidRPr="002932E6">
        <w:rPr>
          <w:b/>
          <w:bCs/>
          <w:i/>
          <w:iCs/>
          <w:noProof/>
          <w:lang w:val="en-GB" w:eastAsia="en-GB"/>
        </w:rPr>
        <w:drawing>
          <wp:inline distT="0" distB="0" distL="0" distR="0" wp14:anchorId="1F3308E0" wp14:editId="03E84D13">
            <wp:extent cx="5435600" cy="2536825"/>
            <wp:effectExtent l="0" t="0" r="0" b="317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Picture 34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435600" cy="2536825"/>
                    </a:xfrm>
                    <a:prstGeom prst="rect">
                      <a:avLst/>
                    </a:prstGeom>
                  </pic:spPr>
                </pic:pic>
              </a:graphicData>
            </a:graphic>
          </wp:inline>
        </w:drawing>
      </w:r>
    </w:p>
    <w:p w14:paraId="055EEA70" w14:textId="171CBCBF" w:rsidR="0019038E" w:rsidRPr="002245E1" w:rsidRDefault="0019038E" w:rsidP="0019038E">
      <w:pPr>
        <w:pStyle w:val="Caption"/>
        <w:jc w:val="lowKashida"/>
        <w:rPr>
          <w:b w:val="0"/>
          <w:bCs w:val="0"/>
          <w:i/>
          <w:iCs/>
          <w:sz w:val="24"/>
          <w:szCs w:val="24"/>
        </w:rPr>
      </w:pPr>
      <w:bookmarkStart w:id="59" w:name="_Toc83751352"/>
      <w:r w:rsidRPr="00ED12B1">
        <w:rPr>
          <w:b w:val="0"/>
          <w:bCs w:val="0"/>
        </w:rPr>
        <w:t xml:space="preserve">Figure </w:t>
      </w:r>
      <w:r w:rsidR="00843EDC">
        <w:rPr>
          <w:b w:val="0"/>
          <w:bCs w:val="0"/>
        </w:rPr>
        <w:fldChar w:fldCharType="begin"/>
      </w:r>
      <w:r w:rsidR="00843EDC">
        <w:rPr>
          <w:b w:val="0"/>
          <w:bCs w:val="0"/>
        </w:rPr>
        <w:instrText xml:space="preserve"> STYLEREF 1 \s </w:instrText>
      </w:r>
      <w:r w:rsidR="00843EDC">
        <w:rPr>
          <w:b w:val="0"/>
          <w:bCs w:val="0"/>
        </w:rPr>
        <w:fldChar w:fldCharType="separate"/>
      </w:r>
      <w:r w:rsidR="00843EDC">
        <w:rPr>
          <w:b w:val="0"/>
          <w:bCs w:val="0"/>
          <w:noProof/>
          <w:cs/>
        </w:rPr>
        <w:t>‎</w:t>
      </w:r>
      <w:r w:rsidR="00843EDC">
        <w:rPr>
          <w:b w:val="0"/>
          <w:bCs w:val="0"/>
          <w:noProof/>
        </w:rPr>
        <w:t>2</w:t>
      </w:r>
      <w:r w:rsidR="00843EDC">
        <w:rPr>
          <w:b w:val="0"/>
          <w:bCs w:val="0"/>
        </w:rPr>
        <w:fldChar w:fldCharType="end"/>
      </w:r>
      <w:r w:rsidR="00843EDC">
        <w:rPr>
          <w:b w:val="0"/>
          <w:bCs w:val="0"/>
        </w:rPr>
        <w:t>.</w:t>
      </w:r>
      <w:r w:rsidR="00843EDC">
        <w:rPr>
          <w:b w:val="0"/>
          <w:bCs w:val="0"/>
        </w:rPr>
        <w:fldChar w:fldCharType="begin"/>
      </w:r>
      <w:r w:rsidR="00843EDC">
        <w:rPr>
          <w:b w:val="0"/>
          <w:bCs w:val="0"/>
        </w:rPr>
        <w:instrText xml:space="preserve"> SEQ Figure \* ARABIC \s 1 </w:instrText>
      </w:r>
      <w:r w:rsidR="00843EDC">
        <w:rPr>
          <w:b w:val="0"/>
          <w:bCs w:val="0"/>
        </w:rPr>
        <w:fldChar w:fldCharType="separate"/>
      </w:r>
      <w:r w:rsidR="00843EDC">
        <w:rPr>
          <w:b w:val="0"/>
          <w:bCs w:val="0"/>
          <w:noProof/>
        </w:rPr>
        <w:t>6</w:t>
      </w:r>
      <w:r w:rsidR="00843EDC">
        <w:rPr>
          <w:b w:val="0"/>
          <w:bCs w:val="0"/>
        </w:rPr>
        <w:fldChar w:fldCharType="end"/>
      </w:r>
      <w:r>
        <w:t xml:space="preserve">  </w:t>
      </w:r>
      <w:r w:rsidRPr="002245E1">
        <w:rPr>
          <w:b w:val="0"/>
          <w:bCs w:val="0"/>
          <w:color w:val="000000" w:themeColor="text1"/>
          <w:sz w:val="20"/>
          <w:szCs w:val="20"/>
        </w:rPr>
        <w:t xml:space="preserve">shoot </w:t>
      </w:r>
      <w:r w:rsidRPr="002245E1">
        <w:rPr>
          <w:b w:val="0"/>
          <w:bCs w:val="0"/>
          <w:sz w:val="20"/>
          <w:szCs w:val="20"/>
        </w:rPr>
        <w:t>tissue phosphorus concentration (a), total phosphorus (b), nitrogen concentration (c) and notal nitrogen (d) of maize plants with and without AMF inoculation in all cultivars inoculated (+AM) or uninoculated (- AM) with the arbuscular mycorrhizal (AM). Error bars represent ± 1 standard error. Asterisk indicates significant differences within the same cultivar (+P&lt;0.1;</w:t>
      </w:r>
      <w:r w:rsidRPr="002245E1">
        <w:rPr>
          <w:b w:val="0"/>
          <w:bCs w:val="0"/>
          <w:color w:val="000000"/>
          <w:sz w:val="20"/>
          <w:szCs w:val="20"/>
        </w:rPr>
        <w:t xml:space="preserve"> </w:t>
      </w:r>
      <w:r w:rsidRPr="002245E1">
        <w:rPr>
          <w:b w:val="0"/>
          <w:bCs w:val="0"/>
          <w:sz w:val="20"/>
          <w:szCs w:val="20"/>
        </w:rPr>
        <w:t>*, P&lt;0.05; **, P&lt;0.01;   ***, P&lt;0.001; ****, P&lt;0.0001).</w:t>
      </w:r>
      <w:bookmarkEnd w:id="59"/>
    </w:p>
    <w:p w14:paraId="25548728" w14:textId="77777777" w:rsidR="0019038E" w:rsidRPr="002932E6" w:rsidRDefault="0019038E" w:rsidP="0019038E">
      <w:pPr>
        <w:widowControl w:val="0"/>
        <w:autoSpaceDE w:val="0"/>
        <w:autoSpaceDN w:val="0"/>
        <w:adjustRightInd w:val="0"/>
        <w:spacing w:afterLines="280" w:after="672" w:line="360" w:lineRule="auto"/>
        <w:jc w:val="lowKashida"/>
        <w:rPr>
          <w:bCs/>
        </w:rPr>
      </w:pPr>
    </w:p>
    <w:p w14:paraId="36D1D369" w14:textId="7AA1E9C6" w:rsidR="0019038E" w:rsidRPr="00DF1978" w:rsidRDefault="0019038E" w:rsidP="00DF55A4">
      <w:pPr>
        <w:pStyle w:val="mythesis"/>
      </w:pPr>
      <w:r w:rsidRPr="002932E6">
        <w:rPr>
          <w:color w:val="111111"/>
        </w:rPr>
        <w:t xml:space="preserve">      Inoculation with </w:t>
      </w:r>
      <w:r w:rsidRPr="002932E6">
        <w:t xml:space="preserve">AMF treatment markedly increased shoot P content in all cultivars compared with non-treated, and the results recorded a highly significant differences P&lt;0.0001 in P concentrations in </w:t>
      </w:r>
      <w:r w:rsidR="00C62ACC">
        <w:t xml:space="preserve">the </w:t>
      </w:r>
      <w:r w:rsidRPr="002932E6">
        <w:t>cultivar No</w:t>
      </w:r>
      <w:r w:rsidR="00C62ACC">
        <w:t>.</w:t>
      </w:r>
      <w:r w:rsidRPr="002932E6">
        <w:t xml:space="preserve"> 1,8 and 12 and P&lt;0.001in </w:t>
      </w:r>
      <w:r w:rsidR="00C62ACC">
        <w:t xml:space="preserve">the </w:t>
      </w:r>
      <w:r w:rsidRPr="002932E6">
        <w:t>cultivar</w:t>
      </w:r>
      <w:r w:rsidR="00B34D6E">
        <w:t>s</w:t>
      </w:r>
      <w:r w:rsidRPr="002932E6">
        <w:t xml:space="preserve"> </w:t>
      </w:r>
      <w:r w:rsidR="0022425F">
        <w:t>N</w:t>
      </w:r>
      <w:r w:rsidRPr="002932E6">
        <w:t>o</w:t>
      </w:r>
      <w:r w:rsidR="00C62ACC">
        <w:t>.</w:t>
      </w:r>
      <w:r w:rsidRPr="002932E6">
        <w:t xml:space="preserve"> 7,14 and 17 and less significant in </w:t>
      </w:r>
      <w:r w:rsidR="00B34D6E">
        <w:t>the cultivars No.</w:t>
      </w:r>
      <w:r w:rsidRPr="002932E6">
        <w:t xml:space="preserve">2,5,6 and 18. parallel as well the treatment also increased the total P in shoot tissue where the data showed that the significant differences were in </w:t>
      </w:r>
      <w:r w:rsidR="00C62ACC">
        <w:t xml:space="preserve">the </w:t>
      </w:r>
      <w:r w:rsidRPr="002932E6">
        <w:t>cultivars No</w:t>
      </w:r>
      <w:r>
        <w:t>.</w:t>
      </w:r>
      <w:r w:rsidRPr="002932E6">
        <w:t xml:space="preserve"> 1,2,3,5,12,14,16 and 17 but it was the most P&lt;0.0001 in </w:t>
      </w:r>
      <w:r w:rsidR="00C62ACC">
        <w:t xml:space="preserve">the </w:t>
      </w:r>
      <w:r w:rsidRPr="002932E6">
        <w:t>cultivar</w:t>
      </w:r>
      <w:r w:rsidR="00B34D6E">
        <w:t>s</w:t>
      </w:r>
      <w:r w:rsidRPr="002932E6">
        <w:t xml:space="preserve"> </w:t>
      </w:r>
      <w:r w:rsidR="00C62ACC">
        <w:t>N</w:t>
      </w:r>
      <w:r w:rsidRPr="002932E6">
        <w:t>o</w:t>
      </w:r>
      <w:r w:rsidR="00C62ACC">
        <w:t>.</w:t>
      </w:r>
      <w:r w:rsidRPr="002932E6">
        <w:t xml:space="preserve"> 3,12 and 14 with recorded of total mass P 0.28, 0.2 and 0.2 ,respectively.</w:t>
      </w:r>
    </w:p>
    <w:p w14:paraId="2AA840BB" w14:textId="60D982FF" w:rsidR="0019038E" w:rsidRPr="002932E6" w:rsidRDefault="0019038E" w:rsidP="00DF55A4">
      <w:pPr>
        <w:pStyle w:val="mythesis"/>
        <w:rPr>
          <w:rFonts w:eastAsiaTheme="minorHAnsi"/>
          <w:color w:val="FF0000"/>
        </w:rPr>
      </w:pPr>
      <w:r w:rsidRPr="002932E6">
        <w:t xml:space="preserve">     </w:t>
      </w:r>
      <w:r w:rsidR="00B34D6E">
        <w:t>On the c</w:t>
      </w:r>
      <w:r w:rsidRPr="002932E6">
        <w:t>ontrary</w:t>
      </w:r>
      <w:r w:rsidR="00726515">
        <w:t xml:space="preserve">, </w:t>
      </w:r>
      <w:r w:rsidRPr="002932E6">
        <w:t>the</w:t>
      </w:r>
      <w:r w:rsidR="00726515">
        <w:t xml:space="preserve"> </w:t>
      </w:r>
      <w:r w:rsidRPr="002932E6">
        <w:t xml:space="preserve">results </w:t>
      </w:r>
      <w:r w:rsidR="00726515">
        <w:t xml:space="preserve">of N uptake </w:t>
      </w:r>
      <w:r w:rsidRPr="002932E6">
        <w:t xml:space="preserve">showed that the cultivar </w:t>
      </w:r>
      <w:r w:rsidR="00C62ACC">
        <w:t>N</w:t>
      </w:r>
      <w:r w:rsidRPr="002932E6">
        <w:t>o</w:t>
      </w:r>
      <w:r w:rsidR="00C62ACC">
        <w:t>.</w:t>
      </w:r>
      <w:r w:rsidR="00726515">
        <w:t xml:space="preserve"> 2,3,10,11,12,14,16 and 18</w:t>
      </w:r>
      <w:r w:rsidRPr="002932E6">
        <w:t xml:space="preserve"> </w:t>
      </w:r>
      <w:r w:rsidR="00726515">
        <w:t xml:space="preserve">were </w:t>
      </w:r>
      <w:r w:rsidRPr="002932E6">
        <w:t xml:space="preserve">not affected by adding the </w:t>
      </w:r>
      <w:r w:rsidR="00726515">
        <w:t xml:space="preserve">AMF </w:t>
      </w:r>
      <w:r w:rsidRPr="002932E6">
        <w:t xml:space="preserve">treatment as the N concentrations were recorded at the control 1.7,1,0.91,0.87,0.94,0.69,0.74 and 1.01 </w:t>
      </w:r>
      <w:r w:rsidRPr="002932E6">
        <w:rPr>
          <w:color w:val="000000"/>
          <w:spacing w:val="-4"/>
          <w:kern w:val="1"/>
        </w:rPr>
        <w:t>mg g</w:t>
      </w:r>
      <w:r w:rsidRPr="002932E6">
        <w:rPr>
          <w:color w:val="000000"/>
          <w:spacing w:val="-4"/>
          <w:kern w:val="1"/>
          <w:vertAlign w:val="superscript"/>
        </w:rPr>
        <w:t>-1</w:t>
      </w:r>
      <w:r w:rsidRPr="002932E6">
        <w:t xml:space="preserve">, respectively. </w:t>
      </w:r>
      <w:r w:rsidR="00150F90">
        <w:t>I</w:t>
      </w:r>
      <w:r w:rsidRPr="002932E6">
        <w:t>n the other hand</w:t>
      </w:r>
      <w:r w:rsidR="00636C6C">
        <w:t>,</w:t>
      </w:r>
      <w:r w:rsidRPr="002932E6">
        <w:t xml:space="preserve"> the total N was increased in all cultivars </w:t>
      </w:r>
      <w:r w:rsidR="00636C6C">
        <w:t>except</w:t>
      </w:r>
      <w:r w:rsidRPr="002932E6">
        <w:t xml:space="preserve"> </w:t>
      </w:r>
      <w:r w:rsidR="00C62ACC">
        <w:t xml:space="preserve">the </w:t>
      </w:r>
      <w:r w:rsidRPr="002932E6">
        <w:t>cultivar No</w:t>
      </w:r>
      <w:r w:rsidR="00C62ACC">
        <w:t>.</w:t>
      </w:r>
      <w:r w:rsidRPr="002932E6">
        <w:t xml:space="preserve"> </w:t>
      </w:r>
      <w:r w:rsidRPr="002932E6">
        <w:lastRenderedPageBreak/>
        <w:t xml:space="preserve">18 where it was recorded 1.01 mg at </w:t>
      </w:r>
      <w:r w:rsidR="0032039E">
        <w:t xml:space="preserve">the </w:t>
      </w:r>
      <w:r w:rsidRPr="002932E6">
        <w:t xml:space="preserve">control and 0.69 mg in </w:t>
      </w:r>
      <w:r w:rsidR="0032039E">
        <w:t xml:space="preserve">the </w:t>
      </w:r>
      <w:r w:rsidRPr="002932E6">
        <w:t xml:space="preserve">treated but overall, there were no significant differences in N uptake at shoot tissues.  </w:t>
      </w:r>
    </w:p>
    <w:p w14:paraId="13C81AC1" w14:textId="69F5C2E1" w:rsidR="0019038E" w:rsidRPr="002932E6" w:rsidRDefault="0032039E" w:rsidP="00DF55A4">
      <w:pPr>
        <w:pStyle w:val="mythesis"/>
      </w:pPr>
      <w:r>
        <w:t xml:space="preserve">The </w:t>
      </w:r>
      <w:r w:rsidR="0019038E" w:rsidRPr="002932E6">
        <w:t xml:space="preserve">P uptakes were significantly higher in shoot tissues compared to </w:t>
      </w:r>
      <w:r w:rsidR="00882C34">
        <w:t xml:space="preserve">the </w:t>
      </w:r>
      <w:r w:rsidR="0019038E" w:rsidRPr="002932E6">
        <w:t>N uptakes</w:t>
      </w:r>
      <w:r w:rsidR="00882C34">
        <w:t>, while</w:t>
      </w:r>
      <w:r w:rsidR="0019038E" w:rsidRPr="002932E6">
        <w:t xml:space="preserve"> the concentration was </w:t>
      </w:r>
      <w:r w:rsidR="00882C34">
        <w:t>more</w:t>
      </w:r>
      <w:r w:rsidR="0019038E" w:rsidRPr="002932E6">
        <w:t xml:space="preserve"> in N uptakes</w:t>
      </w:r>
      <w:r w:rsidR="00882C34">
        <w:t>.</w:t>
      </w:r>
      <w:r w:rsidR="0019038E" w:rsidRPr="002932E6">
        <w:t xml:space="preserve"> </w:t>
      </w:r>
    </w:p>
    <w:p w14:paraId="7EB72943" w14:textId="77777777" w:rsidR="0019038E" w:rsidRPr="002932E6" w:rsidRDefault="0019038E" w:rsidP="00DF55A4">
      <w:pPr>
        <w:pStyle w:val="mythesis"/>
      </w:pPr>
    </w:p>
    <w:p w14:paraId="53B6F6A9" w14:textId="77777777" w:rsidR="0019038E" w:rsidRPr="002932E6" w:rsidRDefault="0019038E" w:rsidP="0019038E">
      <w:pPr>
        <w:spacing w:before="100" w:beforeAutospacing="1" w:afterLines="280" w:after="672" w:line="360" w:lineRule="auto"/>
        <w:jc w:val="lowKashida"/>
        <w:rPr>
          <w:color w:val="FF0000"/>
        </w:rPr>
      </w:pPr>
    </w:p>
    <w:p w14:paraId="2D218D09" w14:textId="77777777" w:rsidR="0019038E" w:rsidRPr="002932E6" w:rsidRDefault="0019038E" w:rsidP="0019038E">
      <w:pPr>
        <w:spacing w:before="100" w:beforeAutospacing="1" w:afterLines="280" w:after="672" w:line="360" w:lineRule="auto"/>
        <w:jc w:val="lowKashida"/>
        <w:rPr>
          <w:color w:val="FF0000"/>
        </w:rPr>
      </w:pPr>
    </w:p>
    <w:p w14:paraId="7B2C4B5D" w14:textId="77777777" w:rsidR="0019038E" w:rsidRPr="002932E6" w:rsidRDefault="0019038E" w:rsidP="0019038E">
      <w:pPr>
        <w:spacing w:before="100" w:beforeAutospacing="1" w:afterLines="280" w:after="672" w:line="360" w:lineRule="auto"/>
        <w:jc w:val="lowKashida"/>
        <w:rPr>
          <w:color w:val="FF0000"/>
        </w:rPr>
      </w:pPr>
    </w:p>
    <w:p w14:paraId="6D54185B" w14:textId="77777777" w:rsidR="0019038E" w:rsidRDefault="0019038E" w:rsidP="0019038E">
      <w:pPr>
        <w:spacing w:before="100" w:beforeAutospacing="1" w:afterLines="280" w:after="672" w:line="360" w:lineRule="auto"/>
        <w:jc w:val="lowKashida"/>
        <w:rPr>
          <w:color w:val="FF0000"/>
        </w:rPr>
      </w:pPr>
    </w:p>
    <w:p w14:paraId="4E3758B6" w14:textId="77777777" w:rsidR="0019038E" w:rsidRDefault="0019038E" w:rsidP="0019038E">
      <w:pPr>
        <w:spacing w:before="100" w:beforeAutospacing="1" w:afterLines="280" w:after="672" w:line="360" w:lineRule="auto"/>
        <w:jc w:val="lowKashida"/>
        <w:rPr>
          <w:color w:val="FF0000"/>
        </w:rPr>
      </w:pPr>
    </w:p>
    <w:p w14:paraId="3C532F7C" w14:textId="77777777" w:rsidR="0019038E" w:rsidRDefault="0019038E" w:rsidP="0019038E">
      <w:pPr>
        <w:pStyle w:val="NormalWeb"/>
        <w:shd w:val="clear" w:color="auto" w:fill="FFFFFF"/>
        <w:spacing w:afterLines="280" w:after="672" w:afterAutospacing="0"/>
        <w:jc w:val="lowKashida"/>
        <w:rPr>
          <w:sz w:val="20"/>
          <w:szCs w:val="20"/>
        </w:rPr>
      </w:pPr>
    </w:p>
    <w:p w14:paraId="5E517B11" w14:textId="77777777" w:rsidR="0019038E" w:rsidRDefault="0019038E" w:rsidP="0019038E">
      <w:pPr>
        <w:pStyle w:val="NormalWeb"/>
        <w:shd w:val="clear" w:color="auto" w:fill="FFFFFF"/>
        <w:spacing w:afterLines="280" w:after="672" w:afterAutospacing="0"/>
        <w:jc w:val="lowKashida"/>
        <w:rPr>
          <w:sz w:val="20"/>
          <w:szCs w:val="20"/>
        </w:rPr>
      </w:pPr>
    </w:p>
    <w:p w14:paraId="76EB1EE7" w14:textId="57A3BDDE" w:rsidR="0019038E" w:rsidRDefault="0019038E" w:rsidP="0019038E">
      <w:pPr>
        <w:pStyle w:val="NormalWeb"/>
        <w:shd w:val="clear" w:color="auto" w:fill="FFFFFF"/>
        <w:spacing w:afterLines="280" w:after="672" w:afterAutospacing="0"/>
        <w:jc w:val="lowKashida"/>
        <w:rPr>
          <w:sz w:val="20"/>
          <w:szCs w:val="20"/>
        </w:rPr>
      </w:pPr>
    </w:p>
    <w:p w14:paraId="3FB7DF51" w14:textId="0BFEEEF6" w:rsidR="00DF55A4" w:rsidRDefault="00DF55A4" w:rsidP="0019038E">
      <w:pPr>
        <w:pStyle w:val="NormalWeb"/>
        <w:shd w:val="clear" w:color="auto" w:fill="FFFFFF"/>
        <w:spacing w:afterLines="280" w:after="672" w:afterAutospacing="0"/>
        <w:jc w:val="lowKashida"/>
        <w:rPr>
          <w:sz w:val="20"/>
          <w:szCs w:val="20"/>
        </w:rPr>
      </w:pPr>
    </w:p>
    <w:p w14:paraId="4E220040" w14:textId="77777777" w:rsidR="00DF55A4" w:rsidRDefault="00DF55A4" w:rsidP="0019038E">
      <w:pPr>
        <w:pStyle w:val="NormalWeb"/>
        <w:shd w:val="clear" w:color="auto" w:fill="FFFFFF"/>
        <w:spacing w:afterLines="280" w:after="672" w:afterAutospacing="0"/>
        <w:jc w:val="lowKashida"/>
        <w:rPr>
          <w:sz w:val="20"/>
          <w:szCs w:val="20"/>
        </w:rPr>
      </w:pPr>
    </w:p>
    <w:p w14:paraId="350D7B0E" w14:textId="77777777" w:rsidR="0019038E" w:rsidRDefault="0019038E" w:rsidP="0019038E">
      <w:pPr>
        <w:pStyle w:val="NormalWeb"/>
        <w:shd w:val="clear" w:color="auto" w:fill="FFFFFF"/>
        <w:spacing w:afterLines="280" w:after="672" w:afterAutospacing="0"/>
        <w:jc w:val="lowKashida"/>
        <w:rPr>
          <w:sz w:val="20"/>
          <w:szCs w:val="20"/>
        </w:rPr>
      </w:pPr>
    </w:p>
    <w:p w14:paraId="61369ABB" w14:textId="77777777" w:rsidR="0019038E" w:rsidRPr="0007208B" w:rsidRDefault="0019038E" w:rsidP="0019038E">
      <w:pPr>
        <w:pStyle w:val="NormalWeb"/>
        <w:shd w:val="clear" w:color="auto" w:fill="FFFFFF"/>
        <w:spacing w:afterLines="280" w:after="672" w:afterAutospacing="0"/>
        <w:jc w:val="lowKashida"/>
        <w:rPr>
          <w:sz w:val="20"/>
          <w:szCs w:val="20"/>
        </w:rPr>
      </w:pPr>
      <w:bookmarkStart w:id="60" w:name="_Toc83750075"/>
      <w:r w:rsidRPr="006B7088">
        <w:rPr>
          <w:sz w:val="20"/>
          <w:szCs w:val="20"/>
        </w:rPr>
        <w:lastRenderedPageBreak/>
        <w:t xml:space="preserve">Table </w:t>
      </w:r>
      <w:r w:rsidRPr="006B7088">
        <w:rPr>
          <w:sz w:val="20"/>
          <w:szCs w:val="20"/>
        </w:rPr>
        <w:fldChar w:fldCharType="begin"/>
      </w:r>
      <w:r w:rsidRPr="006B7088">
        <w:rPr>
          <w:sz w:val="20"/>
          <w:szCs w:val="20"/>
        </w:rPr>
        <w:instrText xml:space="preserve"> STYLEREF 1 \s </w:instrText>
      </w:r>
      <w:r w:rsidRPr="006B7088">
        <w:rPr>
          <w:sz w:val="20"/>
          <w:szCs w:val="20"/>
        </w:rPr>
        <w:fldChar w:fldCharType="separate"/>
      </w:r>
      <w:r w:rsidRPr="006B7088">
        <w:rPr>
          <w:noProof/>
          <w:sz w:val="20"/>
          <w:szCs w:val="20"/>
          <w:cs/>
        </w:rPr>
        <w:t>‎</w:t>
      </w:r>
      <w:r w:rsidRPr="006B7088">
        <w:rPr>
          <w:noProof/>
          <w:sz w:val="20"/>
          <w:szCs w:val="20"/>
        </w:rPr>
        <w:t>2</w:t>
      </w:r>
      <w:r w:rsidRPr="006B7088">
        <w:rPr>
          <w:sz w:val="20"/>
          <w:szCs w:val="20"/>
        </w:rPr>
        <w:fldChar w:fldCharType="end"/>
      </w:r>
      <w:r w:rsidRPr="006B7088">
        <w:rPr>
          <w:sz w:val="20"/>
          <w:szCs w:val="20"/>
        </w:rPr>
        <w:t>.</w:t>
      </w:r>
      <w:r w:rsidRPr="006B7088">
        <w:rPr>
          <w:sz w:val="20"/>
          <w:szCs w:val="20"/>
        </w:rPr>
        <w:fldChar w:fldCharType="begin"/>
      </w:r>
      <w:r w:rsidRPr="006B7088">
        <w:rPr>
          <w:sz w:val="20"/>
          <w:szCs w:val="20"/>
        </w:rPr>
        <w:instrText xml:space="preserve"> SEQ Table \* ARABIC \s 1 </w:instrText>
      </w:r>
      <w:r w:rsidRPr="006B7088">
        <w:rPr>
          <w:sz w:val="20"/>
          <w:szCs w:val="20"/>
        </w:rPr>
        <w:fldChar w:fldCharType="separate"/>
      </w:r>
      <w:r w:rsidRPr="006B7088">
        <w:rPr>
          <w:noProof/>
          <w:sz w:val="20"/>
          <w:szCs w:val="20"/>
        </w:rPr>
        <w:t>7</w:t>
      </w:r>
      <w:r w:rsidRPr="006B7088">
        <w:rPr>
          <w:sz w:val="20"/>
          <w:szCs w:val="20"/>
        </w:rPr>
        <w:fldChar w:fldCharType="end"/>
      </w:r>
      <w:r w:rsidRPr="00BD06D7">
        <w:rPr>
          <w:sz w:val="20"/>
          <w:szCs w:val="20"/>
        </w:rPr>
        <w:t xml:space="preserve"> </w:t>
      </w:r>
      <w:r w:rsidRPr="00BD06D7">
        <w:rPr>
          <w:color w:val="000000" w:themeColor="text1"/>
          <w:sz w:val="20"/>
          <w:szCs w:val="20"/>
        </w:rPr>
        <w:t>Two</w:t>
      </w:r>
      <w:r w:rsidRPr="00BD06D7">
        <w:rPr>
          <w:sz w:val="20"/>
          <w:szCs w:val="20"/>
        </w:rPr>
        <w:t>-Way ANOVA statistical significance of Shoot tissue phosphorus, nitrogen concentrations of maize plants with and without AMF inoculation in all cultivars inoculated (+AM) or uninoculated (- AM) with the arbuscular mycorrhizal (AM)of the shoot and root biomass (mg); D.F, degrees of freedom; F, value for comparison with the critical value for significance; Factor, (cultivar and treatment AMF) and their interaction (cultivar*treatment AMF);  P, level of significance (P-value).</w:t>
      </w:r>
      <w:bookmarkEnd w:id="60"/>
      <w:r w:rsidRPr="00BD06D7">
        <w:rPr>
          <w:sz w:val="20"/>
          <w:szCs w:val="20"/>
        </w:rPr>
        <w:t xml:space="preserve"> </w:t>
      </w:r>
    </w:p>
    <w:tbl>
      <w:tblPr>
        <w:tblStyle w:val="TableGrid"/>
        <w:tblW w:w="0" w:type="auto"/>
        <w:tblLook w:val="04A0" w:firstRow="1" w:lastRow="0" w:firstColumn="1" w:lastColumn="0" w:noHBand="0" w:noVBand="1"/>
      </w:tblPr>
      <w:tblGrid>
        <w:gridCol w:w="1786"/>
        <w:gridCol w:w="1732"/>
        <w:gridCol w:w="1626"/>
        <w:gridCol w:w="1703"/>
        <w:gridCol w:w="1703"/>
      </w:tblGrid>
      <w:tr w:rsidR="0019038E" w14:paraId="6212598F" w14:textId="77777777" w:rsidTr="00D82647">
        <w:tc>
          <w:tcPr>
            <w:tcW w:w="1786" w:type="dxa"/>
          </w:tcPr>
          <w:p w14:paraId="06DADF30" w14:textId="77777777" w:rsidR="0019038E" w:rsidRDefault="0019038E" w:rsidP="00D82647"/>
        </w:tc>
        <w:tc>
          <w:tcPr>
            <w:tcW w:w="1732" w:type="dxa"/>
          </w:tcPr>
          <w:p w14:paraId="15B0F375" w14:textId="77777777" w:rsidR="0019038E" w:rsidRDefault="0019038E" w:rsidP="00D82647">
            <w:r w:rsidRPr="000647DC">
              <w:rPr>
                <w:rFonts w:asciiTheme="majorBidi" w:hAnsiTheme="majorBidi" w:cstheme="majorBidi"/>
              </w:rPr>
              <w:t>Source</w:t>
            </w:r>
          </w:p>
        </w:tc>
        <w:tc>
          <w:tcPr>
            <w:tcW w:w="1626" w:type="dxa"/>
          </w:tcPr>
          <w:p w14:paraId="407879C4" w14:textId="77777777" w:rsidR="0019038E" w:rsidRDefault="0019038E" w:rsidP="00D82647">
            <w:r w:rsidRPr="000647DC">
              <w:rPr>
                <w:rFonts w:asciiTheme="majorBidi" w:hAnsiTheme="majorBidi" w:cstheme="majorBidi"/>
              </w:rPr>
              <w:t>DF</w:t>
            </w:r>
          </w:p>
        </w:tc>
        <w:tc>
          <w:tcPr>
            <w:tcW w:w="1703" w:type="dxa"/>
          </w:tcPr>
          <w:p w14:paraId="68E418C3" w14:textId="77777777" w:rsidR="0019038E" w:rsidRDefault="0019038E" w:rsidP="00D82647">
            <w:r w:rsidRPr="000647DC">
              <w:rPr>
                <w:rFonts w:asciiTheme="majorBidi" w:hAnsiTheme="majorBidi" w:cstheme="majorBidi"/>
              </w:rPr>
              <w:t>F VALUE</w:t>
            </w:r>
          </w:p>
        </w:tc>
        <w:tc>
          <w:tcPr>
            <w:tcW w:w="1703" w:type="dxa"/>
          </w:tcPr>
          <w:p w14:paraId="1196D266" w14:textId="77777777" w:rsidR="0019038E" w:rsidRDefault="0019038E" w:rsidP="00D82647">
            <w:r w:rsidRPr="000647DC">
              <w:rPr>
                <w:rFonts w:asciiTheme="majorBidi" w:hAnsiTheme="majorBidi" w:cstheme="majorBidi"/>
              </w:rPr>
              <w:t>P VALUE</w:t>
            </w:r>
          </w:p>
        </w:tc>
      </w:tr>
      <w:tr w:rsidR="0019038E" w14:paraId="672C8D66" w14:textId="77777777" w:rsidTr="00D82647">
        <w:tc>
          <w:tcPr>
            <w:tcW w:w="1786" w:type="dxa"/>
            <w:vMerge w:val="restart"/>
          </w:tcPr>
          <w:p w14:paraId="7502C03A" w14:textId="77777777" w:rsidR="0019038E" w:rsidRPr="00081922" w:rsidRDefault="0019038E" w:rsidP="00D82647">
            <w:r>
              <w:t xml:space="preserve">Results of </w:t>
            </w:r>
            <w:r w:rsidRPr="000647DC">
              <w:rPr>
                <w:rFonts w:asciiTheme="majorBidi" w:hAnsiTheme="majorBidi" w:cstheme="majorBidi"/>
              </w:rPr>
              <w:t>the shoot P concentration</w:t>
            </w:r>
          </w:p>
        </w:tc>
        <w:tc>
          <w:tcPr>
            <w:tcW w:w="1732" w:type="dxa"/>
          </w:tcPr>
          <w:p w14:paraId="059565E3" w14:textId="77777777" w:rsidR="0019038E" w:rsidRDefault="0019038E" w:rsidP="00D82647">
            <w:r w:rsidRPr="000647DC">
              <w:rPr>
                <w:rFonts w:asciiTheme="majorBidi" w:hAnsiTheme="majorBidi" w:cstheme="majorBidi"/>
              </w:rPr>
              <w:t>Cultivar</w:t>
            </w:r>
          </w:p>
        </w:tc>
        <w:tc>
          <w:tcPr>
            <w:tcW w:w="1626" w:type="dxa"/>
          </w:tcPr>
          <w:p w14:paraId="4F726FD5" w14:textId="77777777" w:rsidR="0019038E" w:rsidRDefault="0019038E" w:rsidP="00D82647">
            <w:r w:rsidRPr="000647DC">
              <w:rPr>
                <w:rFonts w:asciiTheme="majorBidi" w:hAnsiTheme="majorBidi" w:cstheme="majorBidi"/>
              </w:rPr>
              <w:t>15</w:t>
            </w:r>
          </w:p>
        </w:tc>
        <w:tc>
          <w:tcPr>
            <w:tcW w:w="1703" w:type="dxa"/>
          </w:tcPr>
          <w:p w14:paraId="74392B52" w14:textId="77777777" w:rsidR="0019038E" w:rsidRPr="000647DC" w:rsidRDefault="0019038E" w:rsidP="00D82647">
            <w:pPr>
              <w:rPr>
                <w:rFonts w:asciiTheme="majorBidi" w:hAnsiTheme="majorBidi" w:cstheme="majorBidi"/>
              </w:rPr>
            </w:pPr>
            <w:r w:rsidRPr="000647DC">
              <w:rPr>
                <w:rFonts w:asciiTheme="majorBidi" w:hAnsiTheme="majorBidi" w:cstheme="majorBidi"/>
              </w:rPr>
              <w:t>F (15, 119) = 12.06</w:t>
            </w:r>
          </w:p>
          <w:p w14:paraId="503FED09" w14:textId="77777777" w:rsidR="0019038E" w:rsidRDefault="0019038E" w:rsidP="00D82647"/>
        </w:tc>
        <w:tc>
          <w:tcPr>
            <w:tcW w:w="1703" w:type="dxa"/>
          </w:tcPr>
          <w:p w14:paraId="3F756309" w14:textId="77777777" w:rsidR="0019038E" w:rsidRPr="000647DC" w:rsidRDefault="0019038E" w:rsidP="00D82647">
            <w:pPr>
              <w:rPr>
                <w:rFonts w:asciiTheme="majorBidi" w:hAnsiTheme="majorBidi" w:cstheme="majorBidi"/>
              </w:rPr>
            </w:pPr>
            <w:r w:rsidRPr="000647DC">
              <w:rPr>
                <w:rFonts w:asciiTheme="majorBidi" w:hAnsiTheme="majorBidi" w:cstheme="majorBidi"/>
              </w:rPr>
              <w:t>0.0001</w:t>
            </w:r>
          </w:p>
          <w:p w14:paraId="15653846" w14:textId="77777777" w:rsidR="0019038E" w:rsidRDefault="0019038E" w:rsidP="00D82647"/>
        </w:tc>
      </w:tr>
      <w:tr w:rsidR="0019038E" w14:paraId="4AFE7A33" w14:textId="77777777" w:rsidTr="00D82647">
        <w:tc>
          <w:tcPr>
            <w:tcW w:w="1786" w:type="dxa"/>
            <w:vMerge/>
          </w:tcPr>
          <w:p w14:paraId="33397632" w14:textId="77777777" w:rsidR="0019038E" w:rsidRDefault="0019038E" w:rsidP="00D82647"/>
        </w:tc>
        <w:tc>
          <w:tcPr>
            <w:tcW w:w="1732" w:type="dxa"/>
          </w:tcPr>
          <w:p w14:paraId="3E782478" w14:textId="77777777" w:rsidR="0019038E" w:rsidRDefault="0019038E" w:rsidP="00D82647">
            <w:r w:rsidRPr="000647DC">
              <w:rPr>
                <w:rFonts w:asciiTheme="majorBidi" w:hAnsiTheme="majorBidi" w:cstheme="majorBidi"/>
              </w:rPr>
              <w:t>Treatment</w:t>
            </w:r>
          </w:p>
        </w:tc>
        <w:tc>
          <w:tcPr>
            <w:tcW w:w="1626" w:type="dxa"/>
          </w:tcPr>
          <w:p w14:paraId="221BF44D" w14:textId="77777777" w:rsidR="0019038E" w:rsidRDefault="0019038E" w:rsidP="00D82647">
            <w:r w:rsidRPr="000647DC">
              <w:rPr>
                <w:rFonts w:asciiTheme="majorBidi" w:hAnsiTheme="majorBidi" w:cstheme="majorBidi"/>
              </w:rPr>
              <w:t>1</w:t>
            </w:r>
          </w:p>
        </w:tc>
        <w:tc>
          <w:tcPr>
            <w:tcW w:w="1703" w:type="dxa"/>
          </w:tcPr>
          <w:p w14:paraId="2577E63F" w14:textId="77777777" w:rsidR="0019038E" w:rsidRPr="000647DC" w:rsidRDefault="0019038E" w:rsidP="00D82647">
            <w:pPr>
              <w:rPr>
                <w:rFonts w:asciiTheme="majorBidi" w:hAnsiTheme="majorBidi" w:cstheme="majorBidi"/>
              </w:rPr>
            </w:pPr>
            <w:r w:rsidRPr="000647DC">
              <w:rPr>
                <w:rFonts w:asciiTheme="majorBidi" w:hAnsiTheme="majorBidi" w:cstheme="majorBidi"/>
              </w:rPr>
              <w:t>F (1, 119) = 282.7</w:t>
            </w:r>
          </w:p>
          <w:p w14:paraId="03C8C22D" w14:textId="77777777" w:rsidR="0019038E" w:rsidRDefault="0019038E" w:rsidP="00D82647"/>
        </w:tc>
        <w:tc>
          <w:tcPr>
            <w:tcW w:w="1703" w:type="dxa"/>
          </w:tcPr>
          <w:p w14:paraId="47CDF02B" w14:textId="77777777" w:rsidR="0019038E" w:rsidRPr="000647DC" w:rsidRDefault="0019038E" w:rsidP="00D82647">
            <w:pPr>
              <w:rPr>
                <w:rFonts w:asciiTheme="majorBidi" w:hAnsiTheme="majorBidi" w:cstheme="majorBidi"/>
              </w:rPr>
            </w:pPr>
            <w:r w:rsidRPr="000647DC">
              <w:rPr>
                <w:rFonts w:asciiTheme="majorBidi" w:hAnsiTheme="majorBidi" w:cstheme="majorBidi"/>
              </w:rPr>
              <w:t>0.0001</w:t>
            </w:r>
          </w:p>
          <w:p w14:paraId="428387D3" w14:textId="77777777" w:rsidR="0019038E" w:rsidRDefault="0019038E" w:rsidP="00D82647"/>
        </w:tc>
      </w:tr>
      <w:tr w:rsidR="0019038E" w14:paraId="02DF579C" w14:textId="77777777" w:rsidTr="00D82647">
        <w:tc>
          <w:tcPr>
            <w:tcW w:w="1786" w:type="dxa"/>
            <w:vMerge/>
          </w:tcPr>
          <w:p w14:paraId="1FA2DA7C" w14:textId="77777777" w:rsidR="0019038E" w:rsidRDefault="0019038E" w:rsidP="00D82647"/>
        </w:tc>
        <w:tc>
          <w:tcPr>
            <w:tcW w:w="1732" w:type="dxa"/>
          </w:tcPr>
          <w:p w14:paraId="45A4865C" w14:textId="77777777" w:rsidR="0019038E" w:rsidRDefault="0019038E" w:rsidP="00D82647">
            <w:r w:rsidRPr="000647DC">
              <w:rPr>
                <w:rFonts w:asciiTheme="majorBidi" w:hAnsiTheme="majorBidi" w:cstheme="majorBidi"/>
              </w:rPr>
              <w:t>Cultivar* Treatment</w:t>
            </w:r>
          </w:p>
        </w:tc>
        <w:tc>
          <w:tcPr>
            <w:tcW w:w="1626" w:type="dxa"/>
          </w:tcPr>
          <w:p w14:paraId="53C363EB" w14:textId="77777777" w:rsidR="0019038E" w:rsidRDefault="0019038E" w:rsidP="00D82647">
            <w:r w:rsidRPr="000647DC">
              <w:rPr>
                <w:rFonts w:asciiTheme="majorBidi" w:hAnsiTheme="majorBidi" w:cstheme="majorBidi"/>
              </w:rPr>
              <w:t>15</w:t>
            </w:r>
          </w:p>
        </w:tc>
        <w:tc>
          <w:tcPr>
            <w:tcW w:w="1703" w:type="dxa"/>
          </w:tcPr>
          <w:p w14:paraId="09DD08D0" w14:textId="77777777" w:rsidR="0019038E" w:rsidRPr="000647DC" w:rsidRDefault="0019038E" w:rsidP="00D82647">
            <w:pPr>
              <w:rPr>
                <w:rFonts w:asciiTheme="majorBidi" w:hAnsiTheme="majorBidi" w:cstheme="majorBidi"/>
              </w:rPr>
            </w:pPr>
            <w:r w:rsidRPr="000647DC">
              <w:rPr>
                <w:rFonts w:asciiTheme="majorBidi" w:hAnsiTheme="majorBidi" w:cstheme="majorBidi"/>
              </w:rPr>
              <w:t>F (15, 119) = 1.523</w:t>
            </w:r>
          </w:p>
          <w:p w14:paraId="7FA7D040" w14:textId="77777777" w:rsidR="0019038E" w:rsidRDefault="0019038E" w:rsidP="00D82647"/>
        </w:tc>
        <w:tc>
          <w:tcPr>
            <w:tcW w:w="1703" w:type="dxa"/>
          </w:tcPr>
          <w:p w14:paraId="63ED2C65" w14:textId="77777777" w:rsidR="0019038E" w:rsidRPr="000647DC" w:rsidRDefault="0019038E" w:rsidP="00D82647">
            <w:pPr>
              <w:rPr>
                <w:rFonts w:asciiTheme="majorBidi" w:hAnsiTheme="majorBidi" w:cstheme="majorBidi"/>
              </w:rPr>
            </w:pPr>
            <w:r w:rsidRPr="000647DC">
              <w:rPr>
                <w:rFonts w:asciiTheme="majorBidi" w:hAnsiTheme="majorBidi" w:cstheme="majorBidi"/>
              </w:rPr>
              <w:t>0.1075</w:t>
            </w:r>
          </w:p>
          <w:p w14:paraId="1CCD165B" w14:textId="77777777" w:rsidR="0019038E" w:rsidRDefault="0019038E" w:rsidP="00D82647"/>
        </w:tc>
      </w:tr>
      <w:tr w:rsidR="0019038E" w14:paraId="2A586E14" w14:textId="77777777" w:rsidTr="00D82647">
        <w:tc>
          <w:tcPr>
            <w:tcW w:w="1786" w:type="dxa"/>
            <w:vMerge/>
          </w:tcPr>
          <w:p w14:paraId="4D30B823" w14:textId="77777777" w:rsidR="0019038E" w:rsidRDefault="0019038E" w:rsidP="00D82647"/>
        </w:tc>
        <w:tc>
          <w:tcPr>
            <w:tcW w:w="1732" w:type="dxa"/>
          </w:tcPr>
          <w:p w14:paraId="611506F5" w14:textId="77777777" w:rsidR="0019038E" w:rsidRDefault="0019038E" w:rsidP="00D82647">
            <w:r w:rsidRPr="000647DC">
              <w:rPr>
                <w:rFonts w:asciiTheme="majorBidi" w:hAnsiTheme="majorBidi" w:cstheme="majorBidi"/>
              </w:rPr>
              <w:t>Total</w:t>
            </w:r>
          </w:p>
        </w:tc>
        <w:tc>
          <w:tcPr>
            <w:tcW w:w="1626" w:type="dxa"/>
          </w:tcPr>
          <w:p w14:paraId="7EB8D997" w14:textId="77777777" w:rsidR="0019038E" w:rsidRDefault="0019038E" w:rsidP="00D82647">
            <w:r w:rsidRPr="000647DC">
              <w:rPr>
                <w:rFonts w:asciiTheme="majorBidi" w:hAnsiTheme="majorBidi" w:cstheme="majorBidi"/>
              </w:rPr>
              <w:t>119</w:t>
            </w:r>
          </w:p>
        </w:tc>
        <w:tc>
          <w:tcPr>
            <w:tcW w:w="1703" w:type="dxa"/>
          </w:tcPr>
          <w:p w14:paraId="148067F9" w14:textId="77777777" w:rsidR="0019038E" w:rsidRDefault="0019038E" w:rsidP="00D82647"/>
        </w:tc>
        <w:tc>
          <w:tcPr>
            <w:tcW w:w="1703" w:type="dxa"/>
          </w:tcPr>
          <w:p w14:paraId="1D218783" w14:textId="77777777" w:rsidR="0019038E" w:rsidRDefault="0019038E" w:rsidP="00D82647"/>
        </w:tc>
      </w:tr>
      <w:tr w:rsidR="0019038E" w14:paraId="61726362" w14:textId="77777777" w:rsidTr="00D82647">
        <w:tc>
          <w:tcPr>
            <w:tcW w:w="1786" w:type="dxa"/>
            <w:vMerge w:val="restart"/>
          </w:tcPr>
          <w:p w14:paraId="1D83C5AB" w14:textId="77777777" w:rsidR="0019038E" w:rsidRDefault="0019038E" w:rsidP="00D82647">
            <w:r>
              <w:rPr>
                <w:rFonts w:asciiTheme="majorBidi" w:hAnsiTheme="majorBidi" w:cstheme="majorBidi"/>
              </w:rPr>
              <w:t xml:space="preserve">Results </w:t>
            </w:r>
            <w:r w:rsidRPr="000647DC">
              <w:rPr>
                <w:rFonts w:asciiTheme="majorBidi" w:hAnsiTheme="majorBidi" w:cstheme="majorBidi"/>
              </w:rPr>
              <w:t>of the shoot P mass</w:t>
            </w:r>
          </w:p>
        </w:tc>
        <w:tc>
          <w:tcPr>
            <w:tcW w:w="1732" w:type="dxa"/>
          </w:tcPr>
          <w:p w14:paraId="6342E0C6" w14:textId="77777777" w:rsidR="0019038E" w:rsidRDefault="0019038E" w:rsidP="00D82647">
            <w:r w:rsidRPr="000647DC">
              <w:rPr>
                <w:rFonts w:asciiTheme="majorBidi" w:hAnsiTheme="majorBidi" w:cstheme="majorBidi"/>
              </w:rPr>
              <w:t>Cultivar</w:t>
            </w:r>
          </w:p>
        </w:tc>
        <w:tc>
          <w:tcPr>
            <w:tcW w:w="1626" w:type="dxa"/>
          </w:tcPr>
          <w:p w14:paraId="17B5F9DA" w14:textId="77777777" w:rsidR="0019038E" w:rsidRDefault="0019038E" w:rsidP="00D82647">
            <w:r w:rsidRPr="000647DC">
              <w:rPr>
                <w:rFonts w:asciiTheme="majorBidi" w:hAnsiTheme="majorBidi" w:cstheme="majorBidi"/>
              </w:rPr>
              <w:t>15</w:t>
            </w:r>
          </w:p>
        </w:tc>
        <w:tc>
          <w:tcPr>
            <w:tcW w:w="1703" w:type="dxa"/>
          </w:tcPr>
          <w:p w14:paraId="3B3EE594" w14:textId="77777777" w:rsidR="0019038E" w:rsidRPr="000647DC" w:rsidRDefault="0019038E" w:rsidP="00D82647">
            <w:pPr>
              <w:rPr>
                <w:rFonts w:asciiTheme="majorBidi" w:hAnsiTheme="majorBidi" w:cstheme="majorBidi"/>
              </w:rPr>
            </w:pPr>
            <w:r w:rsidRPr="000647DC">
              <w:rPr>
                <w:rFonts w:asciiTheme="majorBidi" w:hAnsiTheme="majorBidi" w:cstheme="majorBidi"/>
              </w:rPr>
              <w:t>F (15, 119) = 8.202</w:t>
            </w:r>
          </w:p>
          <w:p w14:paraId="76FA403F" w14:textId="77777777" w:rsidR="0019038E" w:rsidRDefault="0019038E" w:rsidP="00D82647"/>
        </w:tc>
        <w:tc>
          <w:tcPr>
            <w:tcW w:w="1703" w:type="dxa"/>
          </w:tcPr>
          <w:p w14:paraId="797F96C9" w14:textId="77777777" w:rsidR="0019038E" w:rsidRPr="000647DC" w:rsidRDefault="0019038E" w:rsidP="00D82647">
            <w:pPr>
              <w:rPr>
                <w:rFonts w:asciiTheme="majorBidi" w:hAnsiTheme="majorBidi" w:cstheme="majorBidi"/>
              </w:rPr>
            </w:pPr>
            <w:r w:rsidRPr="000647DC">
              <w:rPr>
                <w:rFonts w:asciiTheme="majorBidi" w:hAnsiTheme="majorBidi" w:cstheme="majorBidi"/>
              </w:rPr>
              <w:t>0.0001</w:t>
            </w:r>
          </w:p>
          <w:p w14:paraId="2EC89E6C" w14:textId="77777777" w:rsidR="0019038E" w:rsidRDefault="0019038E" w:rsidP="00D82647"/>
        </w:tc>
      </w:tr>
      <w:tr w:rsidR="0019038E" w14:paraId="1F1FE1D2" w14:textId="77777777" w:rsidTr="00D82647">
        <w:tc>
          <w:tcPr>
            <w:tcW w:w="1786" w:type="dxa"/>
            <w:vMerge/>
          </w:tcPr>
          <w:p w14:paraId="7C5B91BF" w14:textId="77777777" w:rsidR="0019038E" w:rsidRDefault="0019038E" w:rsidP="00D82647"/>
        </w:tc>
        <w:tc>
          <w:tcPr>
            <w:tcW w:w="1732" w:type="dxa"/>
          </w:tcPr>
          <w:p w14:paraId="5FF342D9" w14:textId="77777777" w:rsidR="0019038E" w:rsidRDefault="0019038E" w:rsidP="00D82647">
            <w:r w:rsidRPr="000647DC">
              <w:rPr>
                <w:rFonts w:asciiTheme="majorBidi" w:hAnsiTheme="majorBidi" w:cstheme="majorBidi"/>
              </w:rPr>
              <w:t>Treatment</w:t>
            </w:r>
          </w:p>
        </w:tc>
        <w:tc>
          <w:tcPr>
            <w:tcW w:w="1626" w:type="dxa"/>
          </w:tcPr>
          <w:p w14:paraId="12585F6B" w14:textId="77777777" w:rsidR="0019038E" w:rsidRDefault="0019038E" w:rsidP="00D82647">
            <w:r w:rsidRPr="000647DC">
              <w:rPr>
                <w:rFonts w:asciiTheme="majorBidi" w:hAnsiTheme="majorBidi" w:cstheme="majorBidi"/>
              </w:rPr>
              <w:t>1</w:t>
            </w:r>
          </w:p>
        </w:tc>
        <w:tc>
          <w:tcPr>
            <w:tcW w:w="1703" w:type="dxa"/>
          </w:tcPr>
          <w:p w14:paraId="63514484" w14:textId="77777777" w:rsidR="0019038E" w:rsidRPr="000647DC" w:rsidRDefault="0019038E" w:rsidP="00D82647">
            <w:pPr>
              <w:rPr>
                <w:rFonts w:asciiTheme="majorBidi" w:hAnsiTheme="majorBidi" w:cstheme="majorBidi"/>
              </w:rPr>
            </w:pPr>
            <w:r w:rsidRPr="000647DC">
              <w:rPr>
                <w:rFonts w:asciiTheme="majorBidi" w:hAnsiTheme="majorBidi" w:cstheme="majorBidi"/>
              </w:rPr>
              <w:t>F (1, 119) = 232.3</w:t>
            </w:r>
          </w:p>
          <w:p w14:paraId="3FBE6215" w14:textId="77777777" w:rsidR="0019038E" w:rsidRDefault="0019038E" w:rsidP="00D82647"/>
        </w:tc>
        <w:tc>
          <w:tcPr>
            <w:tcW w:w="1703" w:type="dxa"/>
          </w:tcPr>
          <w:p w14:paraId="05C58936" w14:textId="77777777" w:rsidR="0019038E" w:rsidRPr="000647DC" w:rsidRDefault="0019038E" w:rsidP="00D82647">
            <w:pPr>
              <w:rPr>
                <w:rFonts w:asciiTheme="majorBidi" w:hAnsiTheme="majorBidi" w:cstheme="majorBidi"/>
              </w:rPr>
            </w:pPr>
            <w:r w:rsidRPr="000647DC">
              <w:rPr>
                <w:rFonts w:asciiTheme="majorBidi" w:hAnsiTheme="majorBidi" w:cstheme="majorBidi"/>
              </w:rPr>
              <w:t>0.0001</w:t>
            </w:r>
          </w:p>
          <w:p w14:paraId="062D9E55" w14:textId="77777777" w:rsidR="0019038E" w:rsidRDefault="0019038E" w:rsidP="00D82647"/>
        </w:tc>
      </w:tr>
      <w:tr w:rsidR="0019038E" w14:paraId="7815B2B8" w14:textId="77777777" w:rsidTr="00D82647">
        <w:tc>
          <w:tcPr>
            <w:tcW w:w="1786" w:type="dxa"/>
            <w:vMerge/>
          </w:tcPr>
          <w:p w14:paraId="2526FEF2" w14:textId="77777777" w:rsidR="0019038E" w:rsidRDefault="0019038E" w:rsidP="00D82647"/>
        </w:tc>
        <w:tc>
          <w:tcPr>
            <w:tcW w:w="1732" w:type="dxa"/>
          </w:tcPr>
          <w:p w14:paraId="640F5298" w14:textId="77777777" w:rsidR="0019038E" w:rsidRDefault="0019038E" w:rsidP="00D82647">
            <w:r w:rsidRPr="000647DC">
              <w:rPr>
                <w:rFonts w:asciiTheme="majorBidi" w:hAnsiTheme="majorBidi" w:cstheme="majorBidi"/>
              </w:rPr>
              <w:t>Cultivar* Treatment</w:t>
            </w:r>
          </w:p>
        </w:tc>
        <w:tc>
          <w:tcPr>
            <w:tcW w:w="1626" w:type="dxa"/>
          </w:tcPr>
          <w:p w14:paraId="3AE07267" w14:textId="77777777" w:rsidR="0019038E" w:rsidRDefault="0019038E" w:rsidP="00D82647">
            <w:r w:rsidRPr="000647DC">
              <w:rPr>
                <w:rFonts w:asciiTheme="majorBidi" w:hAnsiTheme="majorBidi" w:cstheme="majorBidi"/>
              </w:rPr>
              <w:t>15</w:t>
            </w:r>
          </w:p>
        </w:tc>
        <w:tc>
          <w:tcPr>
            <w:tcW w:w="1703" w:type="dxa"/>
          </w:tcPr>
          <w:p w14:paraId="4F91A372" w14:textId="77777777" w:rsidR="0019038E" w:rsidRPr="000647DC" w:rsidRDefault="0019038E" w:rsidP="00D82647">
            <w:pPr>
              <w:rPr>
                <w:rFonts w:asciiTheme="majorBidi" w:hAnsiTheme="majorBidi" w:cstheme="majorBidi"/>
              </w:rPr>
            </w:pPr>
            <w:r w:rsidRPr="000647DC">
              <w:rPr>
                <w:rFonts w:asciiTheme="majorBidi" w:hAnsiTheme="majorBidi" w:cstheme="majorBidi"/>
              </w:rPr>
              <w:t>F (15, 119) = 3.026</w:t>
            </w:r>
          </w:p>
          <w:p w14:paraId="213837F0" w14:textId="77777777" w:rsidR="0019038E" w:rsidRDefault="0019038E" w:rsidP="00D82647"/>
        </w:tc>
        <w:tc>
          <w:tcPr>
            <w:tcW w:w="1703" w:type="dxa"/>
          </w:tcPr>
          <w:p w14:paraId="04C6BEC5" w14:textId="77777777" w:rsidR="0019038E" w:rsidRPr="000647DC" w:rsidRDefault="0019038E" w:rsidP="00D82647">
            <w:pPr>
              <w:rPr>
                <w:rFonts w:asciiTheme="majorBidi" w:hAnsiTheme="majorBidi" w:cstheme="majorBidi"/>
              </w:rPr>
            </w:pPr>
            <w:r w:rsidRPr="000647DC">
              <w:rPr>
                <w:rFonts w:asciiTheme="majorBidi" w:hAnsiTheme="majorBidi" w:cstheme="majorBidi"/>
              </w:rPr>
              <w:t>0.0004</w:t>
            </w:r>
          </w:p>
          <w:p w14:paraId="5791311B" w14:textId="77777777" w:rsidR="0019038E" w:rsidRDefault="0019038E" w:rsidP="00D82647"/>
        </w:tc>
      </w:tr>
      <w:tr w:rsidR="0019038E" w14:paraId="2458422F" w14:textId="77777777" w:rsidTr="00D82647">
        <w:tc>
          <w:tcPr>
            <w:tcW w:w="1786" w:type="dxa"/>
            <w:vMerge/>
          </w:tcPr>
          <w:p w14:paraId="73763BD8" w14:textId="77777777" w:rsidR="0019038E" w:rsidRDefault="0019038E" w:rsidP="00D82647"/>
        </w:tc>
        <w:tc>
          <w:tcPr>
            <w:tcW w:w="1732" w:type="dxa"/>
          </w:tcPr>
          <w:p w14:paraId="19E2C92E" w14:textId="77777777" w:rsidR="0019038E" w:rsidRDefault="0019038E" w:rsidP="00D82647">
            <w:r w:rsidRPr="000647DC">
              <w:rPr>
                <w:rFonts w:asciiTheme="majorBidi" w:hAnsiTheme="majorBidi" w:cstheme="majorBidi"/>
              </w:rPr>
              <w:t>Total</w:t>
            </w:r>
          </w:p>
        </w:tc>
        <w:tc>
          <w:tcPr>
            <w:tcW w:w="1626" w:type="dxa"/>
          </w:tcPr>
          <w:p w14:paraId="2C4C98FE" w14:textId="77777777" w:rsidR="0019038E" w:rsidRDefault="0019038E" w:rsidP="00D82647">
            <w:r w:rsidRPr="000647DC">
              <w:rPr>
                <w:rFonts w:asciiTheme="majorBidi" w:hAnsiTheme="majorBidi" w:cstheme="majorBidi"/>
              </w:rPr>
              <w:t>119</w:t>
            </w:r>
          </w:p>
        </w:tc>
        <w:tc>
          <w:tcPr>
            <w:tcW w:w="1703" w:type="dxa"/>
          </w:tcPr>
          <w:p w14:paraId="1196135B" w14:textId="77777777" w:rsidR="0019038E" w:rsidRDefault="0019038E" w:rsidP="00D82647"/>
        </w:tc>
        <w:tc>
          <w:tcPr>
            <w:tcW w:w="1703" w:type="dxa"/>
          </w:tcPr>
          <w:p w14:paraId="45713DAF" w14:textId="77777777" w:rsidR="0019038E" w:rsidRDefault="0019038E" w:rsidP="00D82647"/>
        </w:tc>
      </w:tr>
      <w:tr w:rsidR="0019038E" w14:paraId="5593BB69" w14:textId="77777777" w:rsidTr="00D82647">
        <w:tc>
          <w:tcPr>
            <w:tcW w:w="1786" w:type="dxa"/>
            <w:vMerge w:val="restart"/>
          </w:tcPr>
          <w:p w14:paraId="68EFD638" w14:textId="77777777" w:rsidR="0019038E" w:rsidRDefault="0019038E" w:rsidP="00D82647">
            <w:r>
              <w:rPr>
                <w:rFonts w:asciiTheme="majorBidi" w:hAnsiTheme="majorBidi" w:cstheme="majorBidi"/>
              </w:rPr>
              <w:t xml:space="preserve">Results of </w:t>
            </w:r>
            <w:r w:rsidRPr="000647DC">
              <w:rPr>
                <w:rFonts w:asciiTheme="majorBidi" w:hAnsiTheme="majorBidi" w:cstheme="majorBidi"/>
              </w:rPr>
              <w:t>the shoot N concentration</w:t>
            </w:r>
          </w:p>
        </w:tc>
        <w:tc>
          <w:tcPr>
            <w:tcW w:w="1732" w:type="dxa"/>
          </w:tcPr>
          <w:p w14:paraId="53FA17AE" w14:textId="77777777" w:rsidR="0019038E" w:rsidRDefault="0019038E" w:rsidP="00D82647">
            <w:r w:rsidRPr="000647DC">
              <w:rPr>
                <w:rFonts w:asciiTheme="majorBidi" w:hAnsiTheme="majorBidi" w:cstheme="majorBidi"/>
              </w:rPr>
              <w:t>Cultivar</w:t>
            </w:r>
          </w:p>
        </w:tc>
        <w:tc>
          <w:tcPr>
            <w:tcW w:w="1626" w:type="dxa"/>
          </w:tcPr>
          <w:p w14:paraId="3C6B5949" w14:textId="77777777" w:rsidR="0019038E" w:rsidRDefault="0019038E" w:rsidP="00D82647">
            <w:r w:rsidRPr="000647DC">
              <w:rPr>
                <w:rFonts w:asciiTheme="majorBidi" w:hAnsiTheme="majorBidi" w:cstheme="majorBidi"/>
              </w:rPr>
              <w:t>15</w:t>
            </w:r>
          </w:p>
        </w:tc>
        <w:tc>
          <w:tcPr>
            <w:tcW w:w="1703" w:type="dxa"/>
          </w:tcPr>
          <w:p w14:paraId="7D4D0EA5" w14:textId="77777777" w:rsidR="0019038E" w:rsidRPr="000647DC" w:rsidRDefault="0019038E" w:rsidP="00D82647">
            <w:pPr>
              <w:rPr>
                <w:rFonts w:asciiTheme="majorBidi" w:hAnsiTheme="majorBidi" w:cstheme="majorBidi"/>
              </w:rPr>
            </w:pPr>
            <w:r w:rsidRPr="000647DC">
              <w:rPr>
                <w:rFonts w:asciiTheme="majorBidi" w:hAnsiTheme="majorBidi" w:cstheme="majorBidi"/>
              </w:rPr>
              <w:t>F (15, 119) = 1.761</w:t>
            </w:r>
          </w:p>
          <w:p w14:paraId="1037DAF0" w14:textId="77777777" w:rsidR="0019038E" w:rsidRDefault="0019038E" w:rsidP="00D82647"/>
        </w:tc>
        <w:tc>
          <w:tcPr>
            <w:tcW w:w="1703" w:type="dxa"/>
          </w:tcPr>
          <w:p w14:paraId="49D6DA91" w14:textId="77777777" w:rsidR="0019038E" w:rsidRPr="000647DC" w:rsidRDefault="0019038E" w:rsidP="00D82647">
            <w:pPr>
              <w:rPr>
                <w:rFonts w:asciiTheme="majorBidi" w:hAnsiTheme="majorBidi" w:cstheme="majorBidi"/>
              </w:rPr>
            </w:pPr>
            <w:r w:rsidRPr="000647DC">
              <w:rPr>
                <w:rFonts w:asciiTheme="majorBidi" w:hAnsiTheme="majorBidi" w:cstheme="majorBidi"/>
              </w:rPr>
              <w:t>0.0483</w:t>
            </w:r>
          </w:p>
          <w:p w14:paraId="528BBB0D" w14:textId="77777777" w:rsidR="0019038E" w:rsidRDefault="0019038E" w:rsidP="00D82647"/>
        </w:tc>
      </w:tr>
      <w:tr w:rsidR="0019038E" w14:paraId="67CD1D21" w14:textId="77777777" w:rsidTr="00D82647">
        <w:tc>
          <w:tcPr>
            <w:tcW w:w="1786" w:type="dxa"/>
            <w:vMerge/>
          </w:tcPr>
          <w:p w14:paraId="1F89953F" w14:textId="77777777" w:rsidR="0019038E" w:rsidRDefault="0019038E" w:rsidP="00D82647"/>
        </w:tc>
        <w:tc>
          <w:tcPr>
            <w:tcW w:w="1732" w:type="dxa"/>
          </w:tcPr>
          <w:p w14:paraId="7C2F4D27" w14:textId="77777777" w:rsidR="0019038E" w:rsidRDefault="0019038E" w:rsidP="00D82647">
            <w:r w:rsidRPr="000647DC">
              <w:rPr>
                <w:rFonts w:asciiTheme="majorBidi" w:hAnsiTheme="majorBidi" w:cstheme="majorBidi"/>
              </w:rPr>
              <w:t>Treatment</w:t>
            </w:r>
          </w:p>
        </w:tc>
        <w:tc>
          <w:tcPr>
            <w:tcW w:w="1626" w:type="dxa"/>
          </w:tcPr>
          <w:p w14:paraId="3DAFC502" w14:textId="77777777" w:rsidR="0019038E" w:rsidRDefault="0019038E" w:rsidP="00D82647">
            <w:r w:rsidRPr="000647DC">
              <w:rPr>
                <w:rFonts w:asciiTheme="majorBidi" w:hAnsiTheme="majorBidi" w:cstheme="majorBidi"/>
              </w:rPr>
              <w:t>1</w:t>
            </w:r>
          </w:p>
        </w:tc>
        <w:tc>
          <w:tcPr>
            <w:tcW w:w="1703" w:type="dxa"/>
          </w:tcPr>
          <w:p w14:paraId="1B25B0AD" w14:textId="77777777" w:rsidR="0019038E" w:rsidRPr="000647DC" w:rsidRDefault="0019038E" w:rsidP="00D82647">
            <w:pPr>
              <w:rPr>
                <w:rFonts w:asciiTheme="majorBidi" w:hAnsiTheme="majorBidi" w:cstheme="majorBidi"/>
              </w:rPr>
            </w:pPr>
            <w:r w:rsidRPr="000647DC">
              <w:rPr>
                <w:rFonts w:asciiTheme="majorBidi" w:hAnsiTheme="majorBidi" w:cstheme="majorBidi"/>
              </w:rPr>
              <w:t>F (1, 119) = 6.161</w:t>
            </w:r>
          </w:p>
          <w:p w14:paraId="0FF79340" w14:textId="77777777" w:rsidR="0019038E" w:rsidRDefault="0019038E" w:rsidP="00D82647"/>
        </w:tc>
        <w:tc>
          <w:tcPr>
            <w:tcW w:w="1703" w:type="dxa"/>
          </w:tcPr>
          <w:p w14:paraId="27D8ACC8" w14:textId="77777777" w:rsidR="0019038E" w:rsidRPr="000647DC" w:rsidRDefault="0019038E" w:rsidP="00D82647">
            <w:pPr>
              <w:rPr>
                <w:rFonts w:asciiTheme="majorBidi" w:hAnsiTheme="majorBidi" w:cstheme="majorBidi"/>
              </w:rPr>
            </w:pPr>
            <w:r w:rsidRPr="000647DC">
              <w:rPr>
                <w:rFonts w:asciiTheme="majorBidi" w:hAnsiTheme="majorBidi" w:cstheme="majorBidi"/>
              </w:rPr>
              <w:t>0.0145</w:t>
            </w:r>
          </w:p>
          <w:p w14:paraId="3E6946C7" w14:textId="77777777" w:rsidR="0019038E" w:rsidRDefault="0019038E" w:rsidP="00D82647"/>
        </w:tc>
      </w:tr>
      <w:tr w:rsidR="0019038E" w14:paraId="22F79F81" w14:textId="77777777" w:rsidTr="00D82647">
        <w:tc>
          <w:tcPr>
            <w:tcW w:w="1786" w:type="dxa"/>
            <w:vMerge/>
          </w:tcPr>
          <w:p w14:paraId="42E356DA" w14:textId="77777777" w:rsidR="0019038E" w:rsidRDefault="0019038E" w:rsidP="00D82647"/>
        </w:tc>
        <w:tc>
          <w:tcPr>
            <w:tcW w:w="1732" w:type="dxa"/>
          </w:tcPr>
          <w:p w14:paraId="2687B733" w14:textId="77777777" w:rsidR="0019038E" w:rsidRDefault="0019038E" w:rsidP="00D82647">
            <w:r w:rsidRPr="000647DC">
              <w:rPr>
                <w:rFonts w:asciiTheme="majorBidi" w:hAnsiTheme="majorBidi" w:cstheme="majorBidi"/>
              </w:rPr>
              <w:t>Cultivar* Treatment</w:t>
            </w:r>
          </w:p>
        </w:tc>
        <w:tc>
          <w:tcPr>
            <w:tcW w:w="1626" w:type="dxa"/>
          </w:tcPr>
          <w:p w14:paraId="3F8BD660" w14:textId="77777777" w:rsidR="0019038E" w:rsidRDefault="0019038E" w:rsidP="00D82647">
            <w:r w:rsidRPr="000647DC">
              <w:rPr>
                <w:rFonts w:asciiTheme="majorBidi" w:hAnsiTheme="majorBidi" w:cstheme="majorBidi"/>
              </w:rPr>
              <w:t>15</w:t>
            </w:r>
          </w:p>
        </w:tc>
        <w:tc>
          <w:tcPr>
            <w:tcW w:w="1703" w:type="dxa"/>
          </w:tcPr>
          <w:p w14:paraId="72ABF936" w14:textId="77777777" w:rsidR="0019038E" w:rsidRPr="000647DC" w:rsidRDefault="0019038E" w:rsidP="00D82647">
            <w:pPr>
              <w:rPr>
                <w:rFonts w:asciiTheme="majorBidi" w:hAnsiTheme="majorBidi" w:cstheme="majorBidi"/>
              </w:rPr>
            </w:pPr>
            <w:r w:rsidRPr="000647DC">
              <w:rPr>
                <w:rFonts w:asciiTheme="majorBidi" w:hAnsiTheme="majorBidi" w:cstheme="majorBidi"/>
              </w:rPr>
              <w:t>F (15, 119) = 1.371</w:t>
            </w:r>
          </w:p>
          <w:p w14:paraId="4A8492BD" w14:textId="77777777" w:rsidR="0019038E" w:rsidRDefault="0019038E" w:rsidP="00D82647"/>
        </w:tc>
        <w:tc>
          <w:tcPr>
            <w:tcW w:w="1703" w:type="dxa"/>
          </w:tcPr>
          <w:p w14:paraId="5AFE3BE5" w14:textId="77777777" w:rsidR="0019038E" w:rsidRPr="000647DC" w:rsidRDefault="0019038E" w:rsidP="00D82647">
            <w:pPr>
              <w:rPr>
                <w:rFonts w:asciiTheme="majorBidi" w:hAnsiTheme="majorBidi" w:cstheme="majorBidi"/>
              </w:rPr>
            </w:pPr>
            <w:r w:rsidRPr="000647DC">
              <w:rPr>
                <w:rFonts w:asciiTheme="majorBidi" w:hAnsiTheme="majorBidi" w:cstheme="majorBidi"/>
              </w:rPr>
              <w:t>0.1727</w:t>
            </w:r>
          </w:p>
          <w:p w14:paraId="664C94DC" w14:textId="77777777" w:rsidR="0019038E" w:rsidRDefault="0019038E" w:rsidP="00D82647"/>
        </w:tc>
      </w:tr>
      <w:tr w:rsidR="0019038E" w14:paraId="7287AC5D" w14:textId="77777777" w:rsidTr="00D82647">
        <w:tc>
          <w:tcPr>
            <w:tcW w:w="1786" w:type="dxa"/>
            <w:vMerge/>
          </w:tcPr>
          <w:p w14:paraId="10AEDAB4" w14:textId="77777777" w:rsidR="0019038E" w:rsidRDefault="0019038E" w:rsidP="00D82647"/>
        </w:tc>
        <w:tc>
          <w:tcPr>
            <w:tcW w:w="1732" w:type="dxa"/>
          </w:tcPr>
          <w:p w14:paraId="1F08DFC5" w14:textId="77777777" w:rsidR="0019038E" w:rsidRDefault="0019038E" w:rsidP="00D82647">
            <w:r w:rsidRPr="000647DC">
              <w:rPr>
                <w:rFonts w:asciiTheme="majorBidi" w:hAnsiTheme="majorBidi" w:cstheme="majorBidi"/>
              </w:rPr>
              <w:t>Total</w:t>
            </w:r>
          </w:p>
        </w:tc>
        <w:tc>
          <w:tcPr>
            <w:tcW w:w="1626" w:type="dxa"/>
          </w:tcPr>
          <w:p w14:paraId="327D3AC5" w14:textId="77777777" w:rsidR="0019038E" w:rsidRDefault="0019038E" w:rsidP="00D82647">
            <w:r w:rsidRPr="000647DC">
              <w:rPr>
                <w:rFonts w:asciiTheme="majorBidi" w:hAnsiTheme="majorBidi" w:cstheme="majorBidi"/>
              </w:rPr>
              <w:t>119</w:t>
            </w:r>
          </w:p>
        </w:tc>
        <w:tc>
          <w:tcPr>
            <w:tcW w:w="1703" w:type="dxa"/>
          </w:tcPr>
          <w:p w14:paraId="094465DF" w14:textId="77777777" w:rsidR="0019038E" w:rsidRDefault="0019038E" w:rsidP="00D82647"/>
        </w:tc>
        <w:tc>
          <w:tcPr>
            <w:tcW w:w="1703" w:type="dxa"/>
          </w:tcPr>
          <w:p w14:paraId="2004C85F" w14:textId="77777777" w:rsidR="0019038E" w:rsidRDefault="0019038E" w:rsidP="00D82647"/>
        </w:tc>
      </w:tr>
      <w:tr w:rsidR="0019038E" w14:paraId="30645BCE" w14:textId="77777777" w:rsidTr="00D82647">
        <w:tc>
          <w:tcPr>
            <w:tcW w:w="1786" w:type="dxa"/>
            <w:vMerge w:val="restart"/>
          </w:tcPr>
          <w:p w14:paraId="59EC7367" w14:textId="77777777" w:rsidR="0019038E" w:rsidRDefault="0019038E" w:rsidP="00D82647">
            <w:r>
              <w:rPr>
                <w:rFonts w:asciiTheme="majorBidi" w:hAnsiTheme="majorBidi" w:cstheme="majorBidi"/>
              </w:rPr>
              <w:t xml:space="preserve">Results </w:t>
            </w:r>
            <w:r w:rsidRPr="000647DC">
              <w:rPr>
                <w:rFonts w:asciiTheme="majorBidi" w:hAnsiTheme="majorBidi" w:cstheme="majorBidi"/>
              </w:rPr>
              <w:t>of the shoot N mass</w:t>
            </w:r>
          </w:p>
        </w:tc>
        <w:tc>
          <w:tcPr>
            <w:tcW w:w="1732" w:type="dxa"/>
          </w:tcPr>
          <w:p w14:paraId="5F142DED" w14:textId="77777777" w:rsidR="0019038E" w:rsidRDefault="0019038E" w:rsidP="00D82647">
            <w:r w:rsidRPr="000647DC">
              <w:rPr>
                <w:rFonts w:asciiTheme="majorBidi" w:hAnsiTheme="majorBidi" w:cstheme="majorBidi"/>
              </w:rPr>
              <w:t>Cultivar</w:t>
            </w:r>
          </w:p>
        </w:tc>
        <w:tc>
          <w:tcPr>
            <w:tcW w:w="1626" w:type="dxa"/>
          </w:tcPr>
          <w:p w14:paraId="2432D270" w14:textId="77777777" w:rsidR="0019038E" w:rsidRDefault="0019038E" w:rsidP="00D82647">
            <w:r w:rsidRPr="000647DC">
              <w:rPr>
                <w:rFonts w:asciiTheme="majorBidi" w:hAnsiTheme="majorBidi" w:cstheme="majorBidi"/>
              </w:rPr>
              <w:t>15</w:t>
            </w:r>
          </w:p>
        </w:tc>
        <w:tc>
          <w:tcPr>
            <w:tcW w:w="1703" w:type="dxa"/>
          </w:tcPr>
          <w:p w14:paraId="4CBFD765" w14:textId="77777777" w:rsidR="0019038E" w:rsidRPr="000647DC" w:rsidRDefault="0019038E" w:rsidP="00D82647">
            <w:pPr>
              <w:rPr>
                <w:rFonts w:asciiTheme="majorBidi" w:hAnsiTheme="majorBidi" w:cstheme="majorBidi"/>
              </w:rPr>
            </w:pPr>
            <w:r w:rsidRPr="000647DC">
              <w:rPr>
                <w:rFonts w:asciiTheme="majorBidi" w:hAnsiTheme="majorBidi" w:cstheme="majorBidi"/>
              </w:rPr>
              <w:t>F (15, 119) = 4.575</w:t>
            </w:r>
          </w:p>
          <w:p w14:paraId="76B72D2F" w14:textId="77777777" w:rsidR="0019038E" w:rsidRDefault="0019038E" w:rsidP="00D82647"/>
        </w:tc>
        <w:tc>
          <w:tcPr>
            <w:tcW w:w="1703" w:type="dxa"/>
          </w:tcPr>
          <w:p w14:paraId="6C4D48B3" w14:textId="77777777" w:rsidR="0019038E" w:rsidRPr="000647DC" w:rsidRDefault="0019038E" w:rsidP="00D82647">
            <w:pPr>
              <w:rPr>
                <w:rFonts w:asciiTheme="majorBidi" w:hAnsiTheme="majorBidi" w:cstheme="majorBidi"/>
              </w:rPr>
            </w:pPr>
            <w:r w:rsidRPr="000647DC">
              <w:rPr>
                <w:rFonts w:asciiTheme="majorBidi" w:hAnsiTheme="majorBidi" w:cstheme="majorBidi"/>
              </w:rPr>
              <w:t>0.0001</w:t>
            </w:r>
          </w:p>
          <w:p w14:paraId="6BEAF921" w14:textId="77777777" w:rsidR="0019038E" w:rsidRDefault="0019038E" w:rsidP="00D82647"/>
        </w:tc>
      </w:tr>
      <w:tr w:rsidR="0019038E" w14:paraId="3DD21543" w14:textId="77777777" w:rsidTr="00D82647">
        <w:tc>
          <w:tcPr>
            <w:tcW w:w="1786" w:type="dxa"/>
            <w:vMerge/>
          </w:tcPr>
          <w:p w14:paraId="1522A835" w14:textId="77777777" w:rsidR="0019038E" w:rsidRDefault="0019038E" w:rsidP="00D82647"/>
        </w:tc>
        <w:tc>
          <w:tcPr>
            <w:tcW w:w="1732" w:type="dxa"/>
          </w:tcPr>
          <w:p w14:paraId="6D9BBFD5" w14:textId="77777777" w:rsidR="0019038E" w:rsidRDefault="0019038E" w:rsidP="00D82647">
            <w:r w:rsidRPr="000647DC">
              <w:rPr>
                <w:rFonts w:asciiTheme="majorBidi" w:hAnsiTheme="majorBidi" w:cstheme="majorBidi"/>
              </w:rPr>
              <w:t>Treatment</w:t>
            </w:r>
          </w:p>
        </w:tc>
        <w:tc>
          <w:tcPr>
            <w:tcW w:w="1626" w:type="dxa"/>
          </w:tcPr>
          <w:p w14:paraId="0B1B52A2" w14:textId="77777777" w:rsidR="0019038E" w:rsidRDefault="0019038E" w:rsidP="00D82647">
            <w:r w:rsidRPr="000647DC">
              <w:rPr>
                <w:rFonts w:asciiTheme="majorBidi" w:hAnsiTheme="majorBidi" w:cstheme="majorBidi"/>
              </w:rPr>
              <w:t>1</w:t>
            </w:r>
          </w:p>
        </w:tc>
        <w:tc>
          <w:tcPr>
            <w:tcW w:w="1703" w:type="dxa"/>
          </w:tcPr>
          <w:p w14:paraId="323DB4E5" w14:textId="77777777" w:rsidR="0019038E" w:rsidRPr="000647DC" w:rsidRDefault="0019038E" w:rsidP="00D82647">
            <w:pPr>
              <w:rPr>
                <w:rFonts w:asciiTheme="majorBidi" w:hAnsiTheme="majorBidi" w:cstheme="majorBidi"/>
              </w:rPr>
            </w:pPr>
            <w:r w:rsidRPr="000647DC">
              <w:rPr>
                <w:rFonts w:asciiTheme="majorBidi" w:hAnsiTheme="majorBidi" w:cstheme="majorBidi"/>
              </w:rPr>
              <w:t>F (1, 119) = 39.81</w:t>
            </w:r>
          </w:p>
          <w:p w14:paraId="045176D5" w14:textId="77777777" w:rsidR="0019038E" w:rsidRDefault="0019038E" w:rsidP="00D82647"/>
        </w:tc>
        <w:tc>
          <w:tcPr>
            <w:tcW w:w="1703" w:type="dxa"/>
          </w:tcPr>
          <w:p w14:paraId="4448815A" w14:textId="77777777" w:rsidR="0019038E" w:rsidRPr="000647DC" w:rsidRDefault="0019038E" w:rsidP="00D82647">
            <w:pPr>
              <w:rPr>
                <w:rFonts w:asciiTheme="majorBidi" w:hAnsiTheme="majorBidi" w:cstheme="majorBidi"/>
              </w:rPr>
            </w:pPr>
            <w:r w:rsidRPr="000647DC">
              <w:rPr>
                <w:rFonts w:asciiTheme="majorBidi" w:hAnsiTheme="majorBidi" w:cstheme="majorBidi"/>
              </w:rPr>
              <w:t>0.0001</w:t>
            </w:r>
          </w:p>
          <w:p w14:paraId="2C972779" w14:textId="77777777" w:rsidR="0019038E" w:rsidRDefault="0019038E" w:rsidP="00D82647"/>
        </w:tc>
      </w:tr>
      <w:tr w:rsidR="0019038E" w14:paraId="0BF33E08" w14:textId="77777777" w:rsidTr="00D82647">
        <w:tc>
          <w:tcPr>
            <w:tcW w:w="1786" w:type="dxa"/>
            <w:vMerge/>
          </w:tcPr>
          <w:p w14:paraId="3F86900B" w14:textId="77777777" w:rsidR="0019038E" w:rsidRDefault="0019038E" w:rsidP="00D82647"/>
        </w:tc>
        <w:tc>
          <w:tcPr>
            <w:tcW w:w="1732" w:type="dxa"/>
          </w:tcPr>
          <w:p w14:paraId="2850D4A2" w14:textId="77777777" w:rsidR="0019038E" w:rsidRDefault="0019038E" w:rsidP="00D82647">
            <w:r w:rsidRPr="000647DC">
              <w:rPr>
                <w:rFonts w:asciiTheme="majorBidi" w:hAnsiTheme="majorBidi" w:cstheme="majorBidi"/>
              </w:rPr>
              <w:t>Cultivar* Treatment</w:t>
            </w:r>
          </w:p>
        </w:tc>
        <w:tc>
          <w:tcPr>
            <w:tcW w:w="1626" w:type="dxa"/>
          </w:tcPr>
          <w:p w14:paraId="3FFA0E23" w14:textId="77777777" w:rsidR="0019038E" w:rsidRDefault="0019038E" w:rsidP="00D82647">
            <w:r w:rsidRPr="000647DC">
              <w:rPr>
                <w:rFonts w:asciiTheme="majorBidi" w:hAnsiTheme="majorBidi" w:cstheme="majorBidi"/>
              </w:rPr>
              <w:t>15</w:t>
            </w:r>
          </w:p>
        </w:tc>
        <w:tc>
          <w:tcPr>
            <w:tcW w:w="1703" w:type="dxa"/>
          </w:tcPr>
          <w:p w14:paraId="76FD32E6" w14:textId="77777777" w:rsidR="0019038E" w:rsidRPr="000647DC" w:rsidRDefault="0019038E" w:rsidP="00D82647">
            <w:pPr>
              <w:rPr>
                <w:rFonts w:asciiTheme="majorBidi" w:hAnsiTheme="majorBidi" w:cstheme="majorBidi"/>
              </w:rPr>
            </w:pPr>
            <w:r w:rsidRPr="000647DC">
              <w:rPr>
                <w:rFonts w:asciiTheme="majorBidi" w:hAnsiTheme="majorBidi" w:cstheme="majorBidi"/>
              </w:rPr>
              <w:t>F (15, 119) = 1.437</w:t>
            </w:r>
          </w:p>
          <w:p w14:paraId="6A9687C1" w14:textId="77777777" w:rsidR="0019038E" w:rsidRDefault="0019038E" w:rsidP="00D82647"/>
        </w:tc>
        <w:tc>
          <w:tcPr>
            <w:tcW w:w="1703" w:type="dxa"/>
          </w:tcPr>
          <w:p w14:paraId="2BE2EE07" w14:textId="77777777" w:rsidR="0019038E" w:rsidRPr="000647DC" w:rsidRDefault="0019038E" w:rsidP="00D82647">
            <w:pPr>
              <w:rPr>
                <w:rFonts w:asciiTheme="majorBidi" w:hAnsiTheme="majorBidi" w:cstheme="majorBidi"/>
              </w:rPr>
            </w:pPr>
            <w:r w:rsidRPr="000647DC">
              <w:rPr>
                <w:rFonts w:asciiTheme="majorBidi" w:hAnsiTheme="majorBidi" w:cstheme="majorBidi"/>
              </w:rPr>
              <w:t>0.1411</w:t>
            </w:r>
          </w:p>
          <w:p w14:paraId="3BD24022" w14:textId="77777777" w:rsidR="0019038E" w:rsidRDefault="0019038E" w:rsidP="00D82647"/>
        </w:tc>
      </w:tr>
      <w:tr w:rsidR="0019038E" w14:paraId="059E5770" w14:textId="77777777" w:rsidTr="00D82647">
        <w:tc>
          <w:tcPr>
            <w:tcW w:w="1786" w:type="dxa"/>
            <w:vMerge/>
          </w:tcPr>
          <w:p w14:paraId="0D9F7F0B" w14:textId="77777777" w:rsidR="0019038E" w:rsidRDefault="0019038E" w:rsidP="00D82647"/>
        </w:tc>
        <w:tc>
          <w:tcPr>
            <w:tcW w:w="1732" w:type="dxa"/>
          </w:tcPr>
          <w:p w14:paraId="3AD97D12" w14:textId="77777777" w:rsidR="0019038E" w:rsidRDefault="0019038E" w:rsidP="00D82647">
            <w:r w:rsidRPr="000647DC">
              <w:rPr>
                <w:rFonts w:asciiTheme="majorBidi" w:hAnsiTheme="majorBidi" w:cstheme="majorBidi"/>
              </w:rPr>
              <w:t>Total</w:t>
            </w:r>
          </w:p>
        </w:tc>
        <w:tc>
          <w:tcPr>
            <w:tcW w:w="1626" w:type="dxa"/>
          </w:tcPr>
          <w:p w14:paraId="449FFE98" w14:textId="77777777" w:rsidR="0019038E" w:rsidRDefault="0019038E" w:rsidP="00D82647">
            <w:r w:rsidRPr="000647DC">
              <w:rPr>
                <w:rFonts w:asciiTheme="majorBidi" w:hAnsiTheme="majorBidi" w:cstheme="majorBidi"/>
              </w:rPr>
              <w:t>119</w:t>
            </w:r>
          </w:p>
        </w:tc>
        <w:tc>
          <w:tcPr>
            <w:tcW w:w="1703" w:type="dxa"/>
          </w:tcPr>
          <w:p w14:paraId="48F6EC01" w14:textId="77777777" w:rsidR="0019038E" w:rsidRDefault="0019038E" w:rsidP="00D82647"/>
        </w:tc>
        <w:tc>
          <w:tcPr>
            <w:tcW w:w="1703" w:type="dxa"/>
          </w:tcPr>
          <w:p w14:paraId="43C8B396" w14:textId="77777777" w:rsidR="0019038E" w:rsidRDefault="0019038E" w:rsidP="00D82647"/>
        </w:tc>
      </w:tr>
    </w:tbl>
    <w:p w14:paraId="268D2447" w14:textId="77777777" w:rsidR="0019038E" w:rsidRPr="002932E6" w:rsidRDefault="0019038E" w:rsidP="0019038E">
      <w:pPr>
        <w:spacing w:afterLines="280" w:after="672" w:line="360" w:lineRule="auto"/>
        <w:jc w:val="lowKashida"/>
        <w:rPr>
          <w:color w:val="FF0000"/>
        </w:rPr>
      </w:pPr>
    </w:p>
    <w:p w14:paraId="0FB5814D" w14:textId="77777777" w:rsidR="0019038E" w:rsidRPr="002932E6" w:rsidRDefault="0019038E" w:rsidP="0019038E">
      <w:pPr>
        <w:spacing w:afterLines="280" w:after="672" w:line="360" w:lineRule="auto"/>
        <w:jc w:val="lowKashida"/>
        <w:rPr>
          <w:color w:val="FF0000"/>
        </w:rPr>
      </w:pPr>
    </w:p>
    <w:p w14:paraId="412E21B7" w14:textId="77777777" w:rsidR="0019038E" w:rsidRPr="002932E6" w:rsidRDefault="0019038E" w:rsidP="0019038E">
      <w:pPr>
        <w:spacing w:afterLines="280" w:after="672" w:line="360" w:lineRule="auto"/>
        <w:jc w:val="lowKashida"/>
        <w:rPr>
          <w:color w:val="FF0000"/>
        </w:rPr>
      </w:pPr>
    </w:p>
    <w:p w14:paraId="21D052E8" w14:textId="77777777" w:rsidR="0019038E" w:rsidRDefault="0019038E" w:rsidP="0019038E">
      <w:pPr>
        <w:keepNext/>
        <w:spacing w:afterLines="280" w:after="672" w:line="360" w:lineRule="auto"/>
        <w:jc w:val="lowKashida"/>
      </w:pPr>
      <w:r w:rsidRPr="002932E6">
        <w:rPr>
          <w:noProof/>
          <w:color w:val="FF0000"/>
          <w:lang w:val="en-GB" w:eastAsia="en-GB"/>
        </w:rPr>
        <w:drawing>
          <wp:inline distT="0" distB="0" distL="0" distR="0" wp14:anchorId="01E18143" wp14:editId="43289306">
            <wp:extent cx="5435600" cy="2519680"/>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Picture 34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35600" cy="2519680"/>
                    </a:xfrm>
                    <a:prstGeom prst="rect">
                      <a:avLst/>
                    </a:prstGeom>
                  </pic:spPr>
                </pic:pic>
              </a:graphicData>
            </a:graphic>
          </wp:inline>
        </w:drawing>
      </w:r>
    </w:p>
    <w:p w14:paraId="5009578F" w14:textId="4476CD22" w:rsidR="0019038E" w:rsidRDefault="0019038E" w:rsidP="0019038E">
      <w:pPr>
        <w:pStyle w:val="Caption"/>
        <w:jc w:val="lowKashida"/>
        <w:rPr>
          <w:b w:val="0"/>
          <w:bCs w:val="0"/>
          <w:sz w:val="20"/>
          <w:szCs w:val="20"/>
        </w:rPr>
      </w:pPr>
      <w:bookmarkStart w:id="61" w:name="_Toc83751353"/>
      <w:r w:rsidRPr="00ED12B1">
        <w:rPr>
          <w:b w:val="0"/>
          <w:bCs w:val="0"/>
        </w:rPr>
        <w:t xml:space="preserve">Figure </w:t>
      </w:r>
      <w:r w:rsidR="00843EDC">
        <w:rPr>
          <w:b w:val="0"/>
          <w:bCs w:val="0"/>
        </w:rPr>
        <w:fldChar w:fldCharType="begin"/>
      </w:r>
      <w:r w:rsidR="00843EDC">
        <w:rPr>
          <w:b w:val="0"/>
          <w:bCs w:val="0"/>
        </w:rPr>
        <w:instrText xml:space="preserve"> STYLEREF 1 \s </w:instrText>
      </w:r>
      <w:r w:rsidR="00843EDC">
        <w:rPr>
          <w:b w:val="0"/>
          <w:bCs w:val="0"/>
        </w:rPr>
        <w:fldChar w:fldCharType="separate"/>
      </w:r>
      <w:r w:rsidR="00843EDC">
        <w:rPr>
          <w:b w:val="0"/>
          <w:bCs w:val="0"/>
          <w:noProof/>
          <w:cs/>
        </w:rPr>
        <w:t>‎</w:t>
      </w:r>
      <w:r w:rsidR="00843EDC">
        <w:rPr>
          <w:b w:val="0"/>
          <w:bCs w:val="0"/>
          <w:noProof/>
        </w:rPr>
        <w:t>2</w:t>
      </w:r>
      <w:r w:rsidR="00843EDC">
        <w:rPr>
          <w:b w:val="0"/>
          <w:bCs w:val="0"/>
        </w:rPr>
        <w:fldChar w:fldCharType="end"/>
      </w:r>
      <w:r w:rsidR="00843EDC">
        <w:rPr>
          <w:b w:val="0"/>
          <w:bCs w:val="0"/>
        </w:rPr>
        <w:t>.</w:t>
      </w:r>
      <w:r w:rsidR="00843EDC">
        <w:rPr>
          <w:b w:val="0"/>
          <w:bCs w:val="0"/>
        </w:rPr>
        <w:fldChar w:fldCharType="begin"/>
      </w:r>
      <w:r w:rsidR="00843EDC">
        <w:rPr>
          <w:b w:val="0"/>
          <w:bCs w:val="0"/>
        </w:rPr>
        <w:instrText xml:space="preserve"> SEQ Figure \* ARABIC \s 1 </w:instrText>
      </w:r>
      <w:r w:rsidR="00843EDC">
        <w:rPr>
          <w:b w:val="0"/>
          <w:bCs w:val="0"/>
        </w:rPr>
        <w:fldChar w:fldCharType="separate"/>
      </w:r>
      <w:r w:rsidR="00843EDC">
        <w:rPr>
          <w:b w:val="0"/>
          <w:bCs w:val="0"/>
          <w:noProof/>
        </w:rPr>
        <w:t>7</w:t>
      </w:r>
      <w:r w:rsidR="00843EDC">
        <w:rPr>
          <w:b w:val="0"/>
          <w:bCs w:val="0"/>
        </w:rPr>
        <w:fldChar w:fldCharType="end"/>
      </w:r>
      <w:r>
        <w:t xml:space="preserve"> </w:t>
      </w:r>
      <w:r w:rsidRPr="00DF1978">
        <w:rPr>
          <w:b w:val="0"/>
          <w:bCs w:val="0"/>
          <w:color w:val="000000" w:themeColor="text1"/>
          <w:sz w:val="20"/>
          <w:szCs w:val="20"/>
        </w:rPr>
        <w:t xml:space="preserve">Root </w:t>
      </w:r>
      <w:r w:rsidRPr="00DF1978">
        <w:rPr>
          <w:b w:val="0"/>
          <w:bCs w:val="0"/>
          <w:sz w:val="20"/>
          <w:szCs w:val="20"/>
        </w:rPr>
        <w:t>tissue phosphorus concentration (a), total phosphorus (b), nitrogen concentration (c) and notal nitrogen (d) of maize plants with and without AMF inoculation in all cultivars inoculated (+AM) or uninoculated (- AM) with the arbuscular mycorrhizal (AM). Error bars represent ± 1 standard error. Asterisk indicates significant differences within the same cultivar (+P&lt;0.1;</w:t>
      </w:r>
      <w:r w:rsidRPr="00DF1978">
        <w:rPr>
          <w:b w:val="0"/>
          <w:bCs w:val="0"/>
          <w:color w:val="000000"/>
          <w:sz w:val="20"/>
          <w:szCs w:val="20"/>
        </w:rPr>
        <w:t xml:space="preserve"> </w:t>
      </w:r>
      <w:r w:rsidRPr="00DF1978">
        <w:rPr>
          <w:b w:val="0"/>
          <w:bCs w:val="0"/>
          <w:sz w:val="20"/>
          <w:szCs w:val="20"/>
        </w:rPr>
        <w:t>*, P&lt;0.05; **, P&lt;0.01;   ***, P&lt;0.001; ****, P&lt;0.0001).</w:t>
      </w:r>
      <w:bookmarkEnd w:id="61"/>
    </w:p>
    <w:p w14:paraId="1170FB85" w14:textId="77777777" w:rsidR="0019038E" w:rsidRDefault="0019038E" w:rsidP="0019038E"/>
    <w:p w14:paraId="366DC661" w14:textId="77777777" w:rsidR="0019038E" w:rsidRDefault="0019038E" w:rsidP="0019038E"/>
    <w:p w14:paraId="2C603F65" w14:textId="77777777" w:rsidR="0019038E" w:rsidRPr="00A81785" w:rsidRDefault="0019038E" w:rsidP="0019038E"/>
    <w:p w14:paraId="036CDC76" w14:textId="440C523C" w:rsidR="0019038E" w:rsidRPr="005149C5" w:rsidRDefault="0019038E" w:rsidP="003F692C">
      <w:pPr>
        <w:pStyle w:val="mythesis"/>
      </w:pPr>
      <w:r w:rsidRPr="002932E6">
        <w:t xml:space="preserve">      Two-way ANOVA indicated </w:t>
      </w:r>
      <w:r w:rsidR="00506DCB">
        <w:t xml:space="preserve">a </w:t>
      </w:r>
      <w:r w:rsidRPr="002932E6">
        <w:t xml:space="preserve">significant influences of both P and N concentration and total mass in the treated maize root compared with non-treated. </w:t>
      </w:r>
      <w:r w:rsidR="00506DCB">
        <w:t xml:space="preserve">The </w:t>
      </w:r>
      <w:r w:rsidRPr="002932E6">
        <w:t xml:space="preserve">P and </w:t>
      </w:r>
      <w:r w:rsidR="00506DCB">
        <w:t xml:space="preserve">the </w:t>
      </w:r>
      <w:r w:rsidRPr="002932E6">
        <w:t xml:space="preserve">N total mass dramatically increased in </w:t>
      </w:r>
      <w:r w:rsidR="00506DCB">
        <w:t xml:space="preserve">the </w:t>
      </w:r>
      <w:r w:rsidRPr="002932E6">
        <w:t>most cultivars root</w:t>
      </w:r>
      <w:r w:rsidR="00506DCB">
        <w:t>s</w:t>
      </w:r>
      <w:r w:rsidRPr="002932E6">
        <w:t xml:space="preserve"> with highly significant differences P&lt;0.0001 as it presented in </w:t>
      </w:r>
      <w:r w:rsidR="00506DCB">
        <w:t xml:space="preserve">the </w:t>
      </w:r>
      <w:r w:rsidRPr="002932E6">
        <w:t xml:space="preserve">root total P in </w:t>
      </w:r>
      <w:r w:rsidR="00911D8D">
        <w:t xml:space="preserve">the </w:t>
      </w:r>
      <w:r w:rsidRPr="002932E6">
        <w:t>cultivar</w:t>
      </w:r>
      <w:r w:rsidR="00506DCB">
        <w:t>s</w:t>
      </w:r>
      <w:r w:rsidRPr="002932E6">
        <w:t xml:space="preserve"> </w:t>
      </w:r>
      <w:r w:rsidR="00911D8D">
        <w:t>No.</w:t>
      </w:r>
      <w:r w:rsidRPr="002932E6">
        <w:t>4,6,10 and 14</w:t>
      </w:r>
      <w:r w:rsidR="00506DCB">
        <w:t>,</w:t>
      </w:r>
      <w:r w:rsidRPr="002932E6">
        <w:t xml:space="preserve"> whereas the total P mass recorded 0.12,0.13,0.10 and 0.12, respectively. </w:t>
      </w:r>
      <w:r w:rsidR="00506DCB">
        <w:t xml:space="preserve">The </w:t>
      </w:r>
      <w:r w:rsidRPr="002932E6">
        <w:t xml:space="preserve">less significant P&lt;0.05 </w:t>
      </w:r>
      <w:r w:rsidR="00506DCB">
        <w:t xml:space="preserve">was showed </w:t>
      </w:r>
      <w:r w:rsidRPr="002932E6">
        <w:t xml:space="preserve">in </w:t>
      </w:r>
      <w:r w:rsidR="00911D8D">
        <w:t xml:space="preserve">the </w:t>
      </w:r>
      <w:r w:rsidRPr="002932E6">
        <w:t>cultivar</w:t>
      </w:r>
      <w:r w:rsidR="00506DCB">
        <w:t>s</w:t>
      </w:r>
      <w:r w:rsidRPr="002932E6">
        <w:t xml:space="preserve"> No</w:t>
      </w:r>
      <w:r w:rsidR="00911D8D">
        <w:t>.</w:t>
      </w:r>
      <w:r w:rsidRPr="002932E6">
        <w:t xml:space="preserve"> 7 and </w:t>
      </w:r>
      <w:r w:rsidR="00911D8D">
        <w:t>No.</w:t>
      </w:r>
      <w:r w:rsidRPr="002932E6">
        <w:t>17 whereas the total P mass recorded 0.1 mg and 0.05 mg</w:t>
      </w:r>
      <w:r w:rsidR="00506DCB">
        <w:t>,</w:t>
      </w:r>
      <w:r w:rsidRPr="002932E6">
        <w:t xml:space="preserve"> </w:t>
      </w:r>
      <w:r w:rsidR="00506DCB">
        <w:t>while</w:t>
      </w:r>
      <w:r w:rsidRPr="002932E6">
        <w:t xml:space="preserve"> </w:t>
      </w:r>
      <w:r w:rsidR="00506DCB">
        <w:t xml:space="preserve">the </w:t>
      </w:r>
      <w:r w:rsidRPr="002932E6">
        <w:t xml:space="preserve">uptake was not different in </w:t>
      </w:r>
      <w:r w:rsidR="00911D8D">
        <w:t xml:space="preserve">the </w:t>
      </w:r>
      <w:r w:rsidRPr="002932E6">
        <w:t xml:space="preserve">cultivars </w:t>
      </w:r>
      <w:r w:rsidR="00911D8D">
        <w:t>No</w:t>
      </w:r>
      <w:r w:rsidR="00911D8D" w:rsidRPr="005149C5">
        <w:t>.</w:t>
      </w:r>
      <w:r w:rsidRPr="005149C5">
        <w:t>2,8,9 and 1</w:t>
      </w:r>
      <w:r w:rsidR="0055453B" w:rsidRPr="005149C5">
        <w:t>8</w:t>
      </w:r>
      <w:r w:rsidRPr="005149C5">
        <w:t>.</w:t>
      </w:r>
    </w:p>
    <w:p w14:paraId="02525B62" w14:textId="135C0FBE" w:rsidR="0019038E" w:rsidRPr="002932E6" w:rsidRDefault="0019038E" w:rsidP="003F692C">
      <w:pPr>
        <w:pStyle w:val="mythesis"/>
      </w:pPr>
      <w:r w:rsidRPr="002932E6">
        <w:t xml:space="preserve">      </w:t>
      </w:r>
      <w:r w:rsidR="008959E3">
        <w:t xml:space="preserve">The </w:t>
      </w:r>
      <w:r w:rsidR="008959E3" w:rsidRPr="00C8224E">
        <w:t xml:space="preserve">most affected cultivars by the AMF treatment in terms of total N uptake were </w:t>
      </w:r>
      <w:r w:rsidR="009F7201">
        <w:t xml:space="preserve">clear in </w:t>
      </w:r>
      <w:r w:rsidR="008959E3" w:rsidRPr="00C8224E">
        <w:t>the cultivars No. 4,5,9,10,14 and 16 wherase Data recorded the highest significant value P&lt;0.0001 and the highest N total mass was showed in the cultivar No. 8 where it recorded 1.1 gm. The root total N uptake of inoculated and non-inoculated maize ranged from 0.37 mg –1.1 mg and 0.11 mg –0.44 mg, respectively.</w:t>
      </w:r>
    </w:p>
    <w:p w14:paraId="2C888124" w14:textId="5DF24EBC" w:rsidR="0019038E" w:rsidRPr="002932E6" w:rsidRDefault="0019038E" w:rsidP="003F692C">
      <w:pPr>
        <w:pStyle w:val="mythesis"/>
      </w:pPr>
      <w:r w:rsidRPr="002932E6">
        <w:lastRenderedPageBreak/>
        <w:t xml:space="preserve">     While in P and N concentration the differences between inoculated and non-inoculated cultivars were less than the total P and N mass as the results showed</w:t>
      </w:r>
      <w:r w:rsidR="007C73CC">
        <w:t xml:space="preserve">, </w:t>
      </w:r>
      <w:r w:rsidR="007C73CC" w:rsidRPr="00D21B2B">
        <w:t>there was a high significant difference P&lt;0.0001 in terms of  the P concentration in root tissues only in 2 cultivars,which were the cultivar No. 6 and No.12</w:t>
      </w:r>
      <w:r w:rsidR="007C73CC">
        <w:t xml:space="preserve">. The </w:t>
      </w:r>
      <w:r w:rsidRPr="002932E6">
        <w:t xml:space="preserve"> highest </w:t>
      </w:r>
      <w:r w:rsidR="007C73CC">
        <w:t xml:space="preserve">P </w:t>
      </w:r>
      <w:r w:rsidRPr="002932E6">
        <w:t xml:space="preserve">concentration </w:t>
      </w:r>
      <w:r w:rsidR="007C73CC">
        <w:t xml:space="preserve">wes recorded </w:t>
      </w:r>
      <w:r w:rsidRPr="002932E6">
        <w:t xml:space="preserve">in </w:t>
      </w:r>
      <w:r w:rsidR="00812F84">
        <w:t xml:space="preserve">the </w:t>
      </w:r>
      <w:r w:rsidRPr="005149C5">
        <w:t>cultivar No</w:t>
      </w:r>
      <w:r w:rsidR="00F623D2" w:rsidRPr="005149C5">
        <w:t>.18</w:t>
      </w:r>
      <w:r w:rsidRPr="005149C5">
        <w:t xml:space="preserve"> which </w:t>
      </w:r>
      <w:r w:rsidR="007C73CC">
        <w:t>reached</w:t>
      </w:r>
      <w:r w:rsidRPr="002932E6">
        <w:t xml:space="preserve"> 0.13 </w:t>
      </w:r>
      <w:r w:rsidRPr="002932E6">
        <w:rPr>
          <w:color w:val="000000"/>
          <w:spacing w:val="-4"/>
          <w:kern w:val="1"/>
        </w:rPr>
        <w:t>mg g</w:t>
      </w:r>
      <w:r w:rsidRPr="002932E6">
        <w:rPr>
          <w:color w:val="000000"/>
          <w:spacing w:val="-4"/>
          <w:kern w:val="1"/>
          <w:vertAlign w:val="superscript"/>
        </w:rPr>
        <w:t>-1</w:t>
      </w:r>
      <w:r w:rsidRPr="002932E6">
        <w:t>, while it was P&lt;0.001</w:t>
      </w:r>
      <w:r w:rsidR="007C73CC">
        <w:t xml:space="preserve"> </w:t>
      </w:r>
      <w:r w:rsidRPr="002932E6">
        <w:t xml:space="preserve">only in </w:t>
      </w:r>
      <w:r w:rsidR="00812F84">
        <w:t xml:space="preserve">the </w:t>
      </w:r>
      <w:r w:rsidRPr="002932E6">
        <w:t>cultivar No</w:t>
      </w:r>
      <w:r w:rsidR="00812F84">
        <w:t>.</w:t>
      </w:r>
      <w:r w:rsidRPr="002932E6">
        <w:t xml:space="preserve"> 9 in N concentration</w:t>
      </w:r>
      <w:r w:rsidR="007C73CC">
        <w:t>,</w:t>
      </w:r>
      <w:r w:rsidRPr="002932E6">
        <w:t xml:space="preserve"> </w:t>
      </w:r>
      <w:r w:rsidR="007C73CC">
        <w:t>with</w:t>
      </w:r>
      <w:r w:rsidRPr="002932E6">
        <w:t xml:space="preserve"> highest concentration in </w:t>
      </w:r>
      <w:r w:rsidR="00812F84">
        <w:t xml:space="preserve">the </w:t>
      </w:r>
      <w:r w:rsidRPr="002932E6">
        <w:t>cultivar No</w:t>
      </w:r>
      <w:r w:rsidR="00812F84">
        <w:t>.</w:t>
      </w:r>
      <w:r w:rsidRPr="002932E6">
        <w:t xml:space="preserve"> 9 </w:t>
      </w:r>
      <w:r w:rsidR="00812F84">
        <w:t xml:space="preserve">which recorded </w:t>
      </w:r>
      <w:r w:rsidRPr="002932E6">
        <w:t>1.20 mg.</w:t>
      </w:r>
    </w:p>
    <w:p w14:paraId="5ED0870B" w14:textId="35801EC2" w:rsidR="0019038E" w:rsidRPr="002932E6" w:rsidRDefault="00BB52D4" w:rsidP="00F3547F">
      <w:pPr>
        <w:spacing w:afterLines="280" w:after="672" w:line="360" w:lineRule="auto"/>
        <w:jc w:val="lowKashida"/>
      </w:pPr>
      <w:r>
        <w:rPr>
          <w:bCs/>
          <w:iCs/>
          <w:color w:val="000000" w:themeColor="text1"/>
        </w:rPr>
        <w:t xml:space="preserve">              </w:t>
      </w:r>
      <w:r w:rsidR="00F3547F" w:rsidRPr="00F3547F">
        <w:rPr>
          <w:bCs/>
          <w:iCs/>
          <w:color w:val="000000" w:themeColor="text1"/>
        </w:rPr>
        <w:t>overall, inoculation with AMF caused an increse in the uptake of the  P and the N by the roots and the shoots in most of the maize cultivars.</w:t>
      </w:r>
      <w:r w:rsidR="00F3547F">
        <w:rPr>
          <w:bCs/>
          <w:iCs/>
          <w:color w:val="000000" w:themeColor="text1"/>
        </w:rPr>
        <w:t xml:space="preserve"> The</w:t>
      </w:r>
      <w:r w:rsidR="00F3547F" w:rsidRPr="00F3547F">
        <w:rPr>
          <w:bCs/>
          <w:iCs/>
          <w:color w:val="000000" w:themeColor="text1"/>
        </w:rPr>
        <w:t xml:space="preserve"> P uptake in the shoot and the root of the maize cultivars was influenced </w:t>
      </w:r>
      <w:r w:rsidR="003E75A3">
        <w:rPr>
          <w:bCs/>
          <w:iCs/>
          <w:color w:val="000000" w:themeColor="text1"/>
        </w:rPr>
        <w:t xml:space="preserve">significantly </w:t>
      </w:r>
      <w:r w:rsidR="00F3547F" w:rsidRPr="00F3547F">
        <w:rPr>
          <w:bCs/>
          <w:iCs/>
          <w:color w:val="000000" w:themeColor="text1"/>
        </w:rPr>
        <w:t xml:space="preserve">by the AMF inoculation ,also </w:t>
      </w:r>
      <w:r w:rsidR="00F3547F">
        <w:rPr>
          <w:bCs/>
          <w:iCs/>
          <w:color w:val="000000" w:themeColor="text1"/>
        </w:rPr>
        <w:t>this</w:t>
      </w:r>
      <w:r w:rsidR="00F3547F" w:rsidRPr="00F3547F">
        <w:rPr>
          <w:bCs/>
          <w:iCs/>
          <w:color w:val="000000" w:themeColor="text1"/>
        </w:rPr>
        <w:t xml:space="preserve"> effect was recorded for N uptake only in the root</w:t>
      </w:r>
      <w:r w:rsidR="007C18FF">
        <w:rPr>
          <w:bCs/>
          <w:iCs/>
          <w:color w:val="000000" w:themeColor="text1"/>
        </w:rPr>
        <w:t>.</w:t>
      </w:r>
    </w:p>
    <w:p w14:paraId="00D992A2" w14:textId="77777777" w:rsidR="0019038E" w:rsidRDefault="0019038E" w:rsidP="0019038E">
      <w:pPr>
        <w:spacing w:afterLines="280" w:after="672" w:line="360" w:lineRule="auto"/>
        <w:jc w:val="lowKashida"/>
        <w:rPr>
          <w:color w:val="000000" w:themeColor="text1"/>
        </w:rPr>
      </w:pPr>
    </w:p>
    <w:p w14:paraId="35DAF7F7" w14:textId="77777777" w:rsidR="0019038E" w:rsidRDefault="0019038E" w:rsidP="0019038E">
      <w:pPr>
        <w:spacing w:afterLines="280" w:after="672" w:line="360" w:lineRule="auto"/>
        <w:jc w:val="lowKashida"/>
        <w:rPr>
          <w:color w:val="000000" w:themeColor="text1"/>
        </w:rPr>
      </w:pPr>
    </w:p>
    <w:p w14:paraId="2C679187" w14:textId="77777777" w:rsidR="0019038E" w:rsidRDefault="0019038E" w:rsidP="0019038E">
      <w:pPr>
        <w:spacing w:afterLines="280" w:after="672" w:line="360" w:lineRule="auto"/>
        <w:jc w:val="lowKashida"/>
        <w:rPr>
          <w:color w:val="000000" w:themeColor="text1"/>
        </w:rPr>
      </w:pPr>
    </w:p>
    <w:p w14:paraId="1C46C256" w14:textId="77777777" w:rsidR="0019038E" w:rsidRPr="002932E6" w:rsidRDefault="0019038E" w:rsidP="0019038E">
      <w:pPr>
        <w:spacing w:afterLines="280" w:after="672" w:line="360" w:lineRule="auto"/>
        <w:jc w:val="lowKashida"/>
        <w:rPr>
          <w:color w:val="000000" w:themeColor="text1"/>
        </w:rPr>
      </w:pPr>
    </w:p>
    <w:p w14:paraId="619A0BFF" w14:textId="092D7D16" w:rsidR="0019038E" w:rsidRDefault="0019038E" w:rsidP="0019038E">
      <w:pPr>
        <w:spacing w:afterLines="280" w:after="672" w:line="360" w:lineRule="auto"/>
        <w:jc w:val="lowKashida"/>
      </w:pPr>
    </w:p>
    <w:p w14:paraId="31245FA1" w14:textId="77777777" w:rsidR="003F692C" w:rsidRDefault="003F692C" w:rsidP="0019038E">
      <w:pPr>
        <w:spacing w:afterLines="280" w:after="672" w:line="360" w:lineRule="auto"/>
        <w:jc w:val="lowKashida"/>
      </w:pPr>
    </w:p>
    <w:p w14:paraId="6DCB1CA9" w14:textId="5DC14894" w:rsidR="0019038E" w:rsidRDefault="0019038E" w:rsidP="0019038E">
      <w:pPr>
        <w:spacing w:afterLines="280" w:after="672" w:line="360" w:lineRule="auto"/>
        <w:jc w:val="lowKashida"/>
      </w:pPr>
    </w:p>
    <w:p w14:paraId="5B0A46D5" w14:textId="77777777" w:rsidR="000A4308" w:rsidRPr="002932E6" w:rsidRDefault="000A4308" w:rsidP="0019038E">
      <w:pPr>
        <w:spacing w:afterLines="280" w:after="672" w:line="360" w:lineRule="auto"/>
        <w:jc w:val="lowKashida"/>
      </w:pPr>
    </w:p>
    <w:p w14:paraId="2417763C" w14:textId="77777777" w:rsidR="0019038E" w:rsidRPr="00A22E50" w:rsidRDefault="0019038E" w:rsidP="0019038E">
      <w:pPr>
        <w:spacing w:afterLines="280" w:after="672"/>
        <w:jc w:val="lowKashida"/>
        <w:rPr>
          <w:sz w:val="20"/>
          <w:szCs w:val="20"/>
        </w:rPr>
      </w:pPr>
      <w:bookmarkStart w:id="62" w:name="_Toc83750076"/>
      <w:r w:rsidRPr="006B7088">
        <w:rPr>
          <w:sz w:val="20"/>
          <w:szCs w:val="20"/>
        </w:rPr>
        <w:lastRenderedPageBreak/>
        <w:t xml:space="preserve">Table </w:t>
      </w:r>
      <w:r w:rsidRPr="006B7088">
        <w:rPr>
          <w:sz w:val="20"/>
          <w:szCs w:val="20"/>
        </w:rPr>
        <w:fldChar w:fldCharType="begin"/>
      </w:r>
      <w:r w:rsidRPr="006B7088">
        <w:rPr>
          <w:sz w:val="20"/>
          <w:szCs w:val="20"/>
        </w:rPr>
        <w:instrText xml:space="preserve"> STYLEREF 1 \s </w:instrText>
      </w:r>
      <w:r w:rsidRPr="006B7088">
        <w:rPr>
          <w:sz w:val="20"/>
          <w:szCs w:val="20"/>
        </w:rPr>
        <w:fldChar w:fldCharType="separate"/>
      </w:r>
      <w:r w:rsidRPr="006B7088">
        <w:rPr>
          <w:noProof/>
          <w:sz w:val="20"/>
          <w:szCs w:val="20"/>
          <w:cs/>
        </w:rPr>
        <w:t>‎</w:t>
      </w:r>
      <w:r w:rsidRPr="006B7088">
        <w:rPr>
          <w:noProof/>
          <w:sz w:val="20"/>
          <w:szCs w:val="20"/>
        </w:rPr>
        <w:t>2</w:t>
      </w:r>
      <w:r w:rsidRPr="006B7088">
        <w:rPr>
          <w:sz w:val="20"/>
          <w:szCs w:val="20"/>
        </w:rPr>
        <w:fldChar w:fldCharType="end"/>
      </w:r>
      <w:r w:rsidRPr="006B7088">
        <w:rPr>
          <w:sz w:val="20"/>
          <w:szCs w:val="20"/>
        </w:rPr>
        <w:t>.</w:t>
      </w:r>
      <w:r w:rsidRPr="006B7088">
        <w:rPr>
          <w:sz w:val="20"/>
          <w:szCs w:val="20"/>
        </w:rPr>
        <w:fldChar w:fldCharType="begin"/>
      </w:r>
      <w:r w:rsidRPr="006B7088">
        <w:rPr>
          <w:sz w:val="20"/>
          <w:szCs w:val="20"/>
        </w:rPr>
        <w:instrText xml:space="preserve"> SEQ Table \* ARABIC \s 1 </w:instrText>
      </w:r>
      <w:r w:rsidRPr="006B7088">
        <w:rPr>
          <w:sz w:val="20"/>
          <w:szCs w:val="20"/>
        </w:rPr>
        <w:fldChar w:fldCharType="separate"/>
      </w:r>
      <w:r w:rsidRPr="006B7088">
        <w:rPr>
          <w:noProof/>
          <w:sz w:val="20"/>
          <w:szCs w:val="20"/>
        </w:rPr>
        <w:t>8</w:t>
      </w:r>
      <w:r w:rsidRPr="006B7088">
        <w:rPr>
          <w:sz w:val="20"/>
          <w:szCs w:val="20"/>
        </w:rPr>
        <w:fldChar w:fldCharType="end"/>
      </w:r>
      <w:r w:rsidRPr="00A22E50">
        <w:rPr>
          <w:sz w:val="20"/>
          <w:szCs w:val="20"/>
        </w:rPr>
        <w:t xml:space="preserve"> </w:t>
      </w:r>
      <w:r w:rsidRPr="00A22E50">
        <w:rPr>
          <w:color w:val="000000" w:themeColor="text1"/>
          <w:sz w:val="20"/>
          <w:szCs w:val="20"/>
        </w:rPr>
        <w:t>Two</w:t>
      </w:r>
      <w:r w:rsidRPr="00A22E50">
        <w:rPr>
          <w:sz w:val="20"/>
          <w:szCs w:val="20"/>
        </w:rPr>
        <w:t>-Way ANOVA statistical significance of Root tissue phosphorus, nitrogen concentrations of maize plants with and without AMF inoculation in all cultivars inoculated (+AM) or uninoculated (- AM) with the arbuscular mycorrhizal (AM)of the shoot and root biomass (mg); d.f., degrees of freedom; F, value for comparison with the critical value for significance; Factor, (cultivar and treatment AMF) and their interaction (cultivar*treatment AMF); P, level of significance (P-value).</w:t>
      </w:r>
      <w:bookmarkEnd w:id="62"/>
    </w:p>
    <w:tbl>
      <w:tblPr>
        <w:tblStyle w:val="TableGrid"/>
        <w:tblW w:w="0" w:type="auto"/>
        <w:tblLook w:val="04A0" w:firstRow="1" w:lastRow="0" w:firstColumn="1" w:lastColumn="0" w:noHBand="0" w:noVBand="1"/>
      </w:tblPr>
      <w:tblGrid>
        <w:gridCol w:w="1835"/>
        <w:gridCol w:w="1811"/>
        <w:gridCol w:w="1766"/>
        <w:gridCol w:w="1799"/>
        <w:gridCol w:w="1799"/>
      </w:tblGrid>
      <w:tr w:rsidR="0019038E" w14:paraId="77F280C4" w14:textId="77777777" w:rsidTr="00D82647">
        <w:tc>
          <w:tcPr>
            <w:tcW w:w="1835" w:type="dxa"/>
          </w:tcPr>
          <w:p w14:paraId="331F9292" w14:textId="77777777" w:rsidR="0019038E" w:rsidRDefault="0019038E" w:rsidP="00D82647"/>
        </w:tc>
        <w:tc>
          <w:tcPr>
            <w:tcW w:w="1811" w:type="dxa"/>
          </w:tcPr>
          <w:p w14:paraId="5D46BC69" w14:textId="77777777" w:rsidR="0019038E" w:rsidRDefault="0019038E" w:rsidP="00D82647">
            <w:r w:rsidRPr="000647DC">
              <w:rPr>
                <w:rFonts w:asciiTheme="majorBidi" w:hAnsiTheme="majorBidi" w:cstheme="majorBidi"/>
              </w:rPr>
              <w:t>Source</w:t>
            </w:r>
          </w:p>
        </w:tc>
        <w:tc>
          <w:tcPr>
            <w:tcW w:w="1766" w:type="dxa"/>
          </w:tcPr>
          <w:p w14:paraId="7DB6EC05" w14:textId="77777777" w:rsidR="0019038E" w:rsidRDefault="0019038E" w:rsidP="00D82647">
            <w:r w:rsidRPr="000647DC">
              <w:rPr>
                <w:rFonts w:asciiTheme="majorBidi" w:hAnsiTheme="majorBidi" w:cstheme="majorBidi"/>
              </w:rPr>
              <w:t>DF</w:t>
            </w:r>
          </w:p>
        </w:tc>
        <w:tc>
          <w:tcPr>
            <w:tcW w:w="1799" w:type="dxa"/>
          </w:tcPr>
          <w:p w14:paraId="6D8980E3" w14:textId="77777777" w:rsidR="0019038E" w:rsidRDefault="0019038E" w:rsidP="00D82647">
            <w:r w:rsidRPr="000647DC">
              <w:rPr>
                <w:rFonts w:asciiTheme="majorBidi" w:hAnsiTheme="majorBidi" w:cstheme="majorBidi"/>
              </w:rPr>
              <w:t>F VALUE</w:t>
            </w:r>
          </w:p>
        </w:tc>
        <w:tc>
          <w:tcPr>
            <w:tcW w:w="1799" w:type="dxa"/>
          </w:tcPr>
          <w:p w14:paraId="4F227515" w14:textId="77777777" w:rsidR="0019038E" w:rsidRDefault="0019038E" w:rsidP="00D82647">
            <w:r w:rsidRPr="000647DC">
              <w:rPr>
                <w:rFonts w:asciiTheme="majorBidi" w:hAnsiTheme="majorBidi" w:cstheme="majorBidi"/>
              </w:rPr>
              <w:t>P VALUE</w:t>
            </w:r>
          </w:p>
        </w:tc>
      </w:tr>
      <w:tr w:rsidR="0019038E" w14:paraId="108C7601" w14:textId="77777777" w:rsidTr="00D82647">
        <w:tc>
          <w:tcPr>
            <w:tcW w:w="1835" w:type="dxa"/>
            <w:vMerge w:val="restart"/>
          </w:tcPr>
          <w:p w14:paraId="2D42CCC0" w14:textId="77777777" w:rsidR="0019038E" w:rsidRPr="00081922" w:rsidRDefault="0019038E" w:rsidP="00D82647">
            <w:r>
              <w:t xml:space="preserve">Results of </w:t>
            </w:r>
            <w:r w:rsidRPr="000647DC">
              <w:rPr>
                <w:rFonts w:asciiTheme="majorBidi" w:hAnsiTheme="majorBidi" w:cstheme="majorBidi"/>
              </w:rPr>
              <w:t xml:space="preserve">the </w:t>
            </w:r>
            <w:r>
              <w:rPr>
                <w:rFonts w:asciiTheme="majorBidi" w:hAnsiTheme="majorBidi" w:cstheme="majorBidi"/>
              </w:rPr>
              <w:t>root</w:t>
            </w:r>
            <w:r w:rsidRPr="000647DC">
              <w:rPr>
                <w:rFonts w:asciiTheme="majorBidi" w:hAnsiTheme="majorBidi" w:cstheme="majorBidi"/>
              </w:rPr>
              <w:t xml:space="preserve"> P concentration</w:t>
            </w:r>
          </w:p>
        </w:tc>
        <w:tc>
          <w:tcPr>
            <w:tcW w:w="1811" w:type="dxa"/>
          </w:tcPr>
          <w:p w14:paraId="76B5AACD" w14:textId="77777777" w:rsidR="0019038E" w:rsidRDefault="0019038E" w:rsidP="00D82647">
            <w:r w:rsidRPr="00906491">
              <w:rPr>
                <w:rFonts w:asciiTheme="majorBidi" w:hAnsiTheme="majorBidi" w:cstheme="majorBidi"/>
              </w:rPr>
              <w:t>Cultivar</w:t>
            </w:r>
          </w:p>
        </w:tc>
        <w:tc>
          <w:tcPr>
            <w:tcW w:w="1766" w:type="dxa"/>
          </w:tcPr>
          <w:p w14:paraId="32667E7F" w14:textId="77777777" w:rsidR="0019038E" w:rsidRDefault="0019038E" w:rsidP="00D82647">
            <w:r w:rsidRPr="00906491">
              <w:rPr>
                <w:rFonts w:asciiTheme="majorBidi" w:hAnsiTheme="majorBidi" w:cstheme="majorBidi"/>
              </w:rPr>
              <w:t>15</w:t>
            </w:r>
          </w:p>
        </w:tc>
        <w:tc>
          <w:tcPr>
            <w:tcW w:w="1799" w:type="dxa"/>
          </w:tcPr>
          <w:p w14:paraId="210FAA13" w14:textId="77777777" w:rsidR="0019038E" w:rsidRPr="00906491" w:rsidRDefault="0019038E" w:rsidP="00D82647">
            <w:pPr>
              <w:rPr>
                <w:rFonts w:asciiTheme="majorBidi" w:hAnsiTheme="majorBidi" w:cstheme="majorBidi"/>
              </w:rPr>
            </w:pPr>
            <w:r w:rsidRPr="00906491">
              <w:rPr>
                <w:rFonts w:asciiTheme="majorBidi" w:hAnsiTheme="majorBidi" w:cstheme="majorBidi"/>
              </w:rPr>
              <w:t>F (15, 119) = 7.116</w:t>
            </w:r>
          </w:p>
          <w:p w14:paraId="70FC6FDE" w14:textId="77777777" w:rsidR="0019038E" w:rsidRDefault="0019038E" w:rsidP="00D82647"/>
        </w:tc>
        <w:tc>
          <w:tcPr>
            <w:tcW w:w="1799" w:type="dxa"/>
          </w:tcPr>
          <w:p w14:paraId="1F5C971B" w14:textId="77777777" w:rsidR="0019038E" w:rsidRPr="00906491" w:rsidRDefault="0019038E" w:rsidP="00D82647">
            <w:pPr>
              <w:rPr>
                <w:rFonts w:asciiTheme="majorBidi" w:hAnsiTheme="majorBidi" w:cstheme="majorBidi"/>
              </w:rPr>
            </w:pPr>
            <w:r w:rsidRPr="00906491">
              <w:rPr>
                <w:rFonts w:asciiTheme="majorBidi" w:hAnsiTheme="majorBidi" w:cstheme="majorBidi"/>
              </w:rPr>
              <w:t>0.0001</w:t>
            </w:r>
          </w:p>
          <w:p w14:paraId="3E1D993C" w14:textId="77777777" w:rsidR="0019038E" w:rsidRDefault="0019038E" w:rsidP="00D82647"/>
        </w:tc>
      </w:tr>
      <w:tr w:rsidR="0019038E" w14:paraId="49D8597A" w14:textId="77777777" w:rsidTr="00D82647">
        <w:tc>
          <w:tcPr>
            <w:tcW w:w="1835" w:type="dxa"/>
            <w:vMerge/>
          </w:tcPr>
          <w:p w14:paraId="7797CAB8" w14:textId="77777777" w:rsidR="0019038E" w:rsidRDefault="0019038E" w:rsidP="00D82647"/>
        </w:tc>
        <w:tc>
          <w:tcPr>
            <w:tcW w:w="1811" w:type="dxa"/>
          </w:tcPr>
          <w:p w14:paraId="1548E431" w14:textId="77777777" w:rsidR="0019038E" w:rsidRDefault="0019038E" w:rsidP="00D82647">
            <w:r w:rsidRPr="00906491">
              <w:rPr>
                <w:rFonts w:asciiTheme="majorBidi" w:hAnsiTheme="majorBidi" w:cstheme="majorBidi"/>
              </w:rPr>
              <w:t>Treatment</w:t>
            </w:r>
          </w:p>
        </w:tc>
        <w:tc>
          <w:tcPr>
            <w:tcW w:w="1766" w:type="dxa"/>
          </w:tcPr>
          <w:p w14:paraId="2866DC48" w14:textId="77777777" w:rsidR="0019038E" w:rsidRDefault="0019038E" w:rsidP="00D82647">
            <w:r w:rsidRPr="00906491">
              <w:rPr>
                <w:rFonts w:asciiTheme="majorBidi" w:hAnsiTheme="majorBidi" w:cstheme="majorBidi"/>
              </w:rPr>
              <w:t>1</w:t>
            </w:r>
          </w:p>
        </w:tc>
        <w:tc>
          <w:tcPr>
            <w:tcW w:w="1799" w:type="dxa"/>
          </w:tcPr>
          <w:p w14:paraId="0D1D7DA4" w14:textId="77777777" w:rsidR="0019038E" w:rsidRPr="00906491" w:rsidRDefault="0019038E" w:rsidP="00D82647">
            <w:pPr>
              <w:rPr>
                <w:rFonts w:asciiTheme="majorBidi" w:hAnsiTheme="majorBidi" w:cstheme="majorBidi"/>
              </w:rPr>
            </w:pPr>
            <w:r w:rsidRPr="00906491">
              <w:rPr>
                <w:rFonts w:asciiTheme="majorBidi" w:hAnsiTheme="majorBidi" w:cstheme="majorBidi"/>
              </w:rPr>
              <w:t>F (1, 119) = 202.5</w:t>
            </w:r>
          </w:p>
          <w:p w14:paraId="3F69BAFE" w14:textId="77777777" w:rsidR="0019038E" w:rsidRDefault="0019038E" w:rsidP="00D82647"/>
        </w:tc>
        <w:tc>
          <w:tcPr>
            <w:tcW w:w="1799" w:type="dxa"/>
          </w:tcPr>
          <w:p w14:paraId="563787E0" w14:textId="77777777" w:rsidR="0019038E" w:rsidRPr="00906491" w:rsidRDefault="0019038E" w:rsidP="00D82647">
            <w:pPr>
              <w:rPr>
                <w:rFonts w:asciiTheme="majorBidi" w:hAnsiTheme="majorBidi" w:cstheme="majorBidi"/>
              </w:rPr>
            </w:pPr>
            <w:r w:rsidRPr="00906491">
              <w:rPr>
                <w:rFonts w:asciiTheme="majorBidi" w:hAnsiTheme="majorBidi" w:cstheme="majorBidi"/>
              </w:rPr>
              <w:t>0.0001</w:t>
            </w:r>
          </w:p>
          <w:p w14:paraId="2B6481E8" w14:textId="77777777" w:rsidR="0019038E" w:rsidRDefault="0019038E" w:rsidP="00D82647"/>
        </w:tc>
      </w:tr>
      <w:tr w:rsidR="0019038E" w14:paraId="5AEA4FB2" w14:textId="77777777" w:rsidTr="00D82647">
        <w:tc>
          <w:tcPr>
            <w:tcW w:w="1835" w:type="dxa"/>
            <w:vMerge/>
          </w:tcPr>
          <w:p w14:paraId="0BED8001" w14:textId="77777777" w:rsidR="0019038E" w:rsidRDefault="0019038E" w:rsidP="00D82647"/>
        </w:tc>
        <w:tc>
          <w:tcPr>
            <w:tcW w:w="1811" w:type="dxa"/>
          </w:tcPr>
          <w:p w14:paraId="3154624F" w14:textId="77777777" w:rsidR="0019038E" w:rsidRDefault="0019038E" w:rsidP="00D82647">
            <w:r w:rsidRPr="00906491">
              <w:rPr>
                <w:rFonts w:asciiTheme="majorBidi" w:hAnsiTheme="majorBidi" w:cstheme="majorBidi"/>
              </w:rPr>
              <w:t>Cultivar* Treatment</w:t>
            </w:r>
          </w:p>
        </w:tc>
        <w:tc>
          <w:tcPr>
            <w:tcW w:w="1766" w:type="dxa"/>
          </w:tcPr>
          <w:p w14:paraId="0D4C302B" w14:textId="77777777" w:rsidR="0019038E" w:rsidRDefault="0019038E" w:rsidP="00D82647">
            <w:r w:rsidRPr="00906491">
              <w:rPr>
                <w:rFonts w:asciiTheme="majorBidi" w:hAnsiTheme="majorBidi" w:cstheme="majorBidi"/>
              </w:rPr>
              <w:t>15</w:t>
            </w:r>
          </w:p>
        </w:tc>
        <w:tc>
          <w:tcPr>
            <w:tcW w:w="1799" w:type="dxa"/>
          </w:tcPr>
          <w:p w14:paraId="3EE08F54" w14:textId="77777777" w:rsidR="0019038E" w:rsidRPr="00906491" w:rsidRDefault="0019038E" w:rsidP="00D82647">
            <w:pPr>
              <w:rPr>
                <w:rFonts w:asciiTheme="majorBidi" w:hAnsiTheme="majorBidi" w:cstheme="majorBidi"/>
              </w:rPr>
            </w:pPr>
            <w:r w:rsidRPr="00906491">
              <w:rPr>
                <w:rFonts w:asciiTheme="majorBidi" w:hAnsiTheme="majorBidi" w:cstheme="majorBidi"/>
              </w:rPr>
              <w:t>F (15, 119) = 3.367</w:t>
            </w:r>
          </w:p>
          <w:p w14:paraId="47E75BB6" w14:textId="77777777" w:rsidR="0019038E" w:rsidRDefault="0019038E" w:rsidP="00D82647"/>
        </w:tc>
        <w:tc>
          <w:tcPr>
            <w:tcW w:w="1799" w:type="dxa"/>
          </w:tcPr>
          <w:p w14:paraId="11B638ED" w14:textId="77777777" w:rsidR="0019038E" w:rsidRPr="00906491" w:rsidRDefault="0019038E" w:rsidP="00D82647">
            <w:pPr>
              <w:rPr>
                <w:rFonts w:asciiTheme="majorBidi" w:hAnsiTheme="majorBidi" w:cstheme="majorBidi"/>
              </w:rPr>
            </w:pPr>
            <w:r w:rsidRPr="00906491">
              <w:rPr>
                <w:rFonts w:asciiTheme="majorBidi" w:hAnsiTheme="majorBidi" w:cstheme="majorBidi"/>
              </w:rPr>
              <w:t>0.0001</w:t>
            </w:r>
          </w:p>
          <w:p w14:paraId="16B28D7A" w14:textId="77777777" w:rsidR="0019038E" w:rsidRDefault="0019038E" w:rsidP="00D82647"/>
        </w:tc>
      </w:tr>
      <w:tr w:rsidR="0019038E" w14:paraId="6FAD67B1" w14:textId="77777777" w:rsidTr="00D82647">
        <w:tc>
          <w:tcPr>
            <w:tcW w:w="1835" w:type="dxa"/>
            <w:vMerge/>
          </w:tcPr>
          <w:p w14:paraId="6A00395A" w14:textId="77777777" w:rsidR="0019038E" w:rsidRDefault="0019038E" w:rsidP="00D82647"/>
        </w:tc>
        <w:tc>
          <w:tcPr>
            <w:tcW w:w="1811" w:type="dxa"/>
          </w:tcPr>
          <w:p w14:paraId="25A51BCC" w14:textId="77777777" w:rsidR="0019038E" w:rsidRDefault="0019038E" w:rsidP="00D82647">
            <w:r w:rsidRPr="00906491">
              <w:rPr>
                <w:rFonts w:asciiTheme="majorBidi" w:hAnsiTheme="majorBidi" w:cstheme="majorBidi"/>
              </w:rPr>
              <w:t>Total</w:t>
            </w:r>
          </w:p>
        </w:tc>
        <w:tc>
          <w:tcPr>
            <w:tcW w:w="1766" w:type="dxa"/>
          </w:tcPr>
          <w:p w14:paraId="4A281C61" w14:textId="77777777" w:rsidR="0019038E" w:rsidRDefault="0019038E" w:rsidP="00D82647">
            <w:r w:rsidRPr="00906491">
              <w:rPr>
                <w:rFonts w:asciiTheme="majorBidi" w:hAnsiTheme="majorBidi" w:cstheme="majorBidi"/>
              </w:rPr>
              <w:t>119</w:t>
            </w:r>
          </w:p>
        </w:tc>
        <w:tc>
          <w:tcPr>
            <w:tcW w:w="1799" w:type="dxa"/>
          </w:tcPr>
          <w:p w14:paraId="7FD582B6" w14:textId="77777777" w:rsidR="0019038E" w:rsidRDefault="0019038E" w:rsidP="00D82647"/>
        </w:tc>
        <w:tc>
          <w:tcPr>
            <w:tcW w:w="1799" w:type="dxa"/>
          </w:tcPr>
          <w:p w14:paraId="3D047947" w14:textId="77777777" w:rsidR="0019038E" w:rsidRDefault="0019038E" w:rsidP="00D82647"/>
        </w:tc>
      </w:tr>
      <w:tr w:rsidR="0019038E" w14:paraId="162F7DFA" w14:textId="77777777" w:rsidTr="00D82647">
        <w:tc>
          <w:tcPr>
            <w:tcW w:w="1835" w:type="dxa"/>
            <w:vMerge w:val="restart"/>
          </w:tcPr>
          <w:p w14:paraId="6A6FD567" w14:textId="77777777" w:rsidR="0019038E" w:rsidRDefault="0019038E" w:rsidP="00D82647">
            <w:r>
              <w:rPr>
                <w:rFonts w:asciiTheme="majorBidi" w:hAnsiTheme="majorBidi" w:cstheme="majorBidi"/>
              </w:rPr>
              <w:t xml:space="preserve">Results </w:t>
            </w:r>
            <w:r w:rsidRPr="000647DC">
              <w:rPr>
                <w:rFonts w:asciiTheme="majorBidi" w:hAnsiTheme="majorBidi" w:cstheme="majorBidi"/>
              </w:rPr>
              <w:t xml:space="preserve">of the </w:t>
            </w:r>
            <w:r>
              <w:rPr>
                <w:rFonts w:asciiTheme="majorBidi" w:hAnsiTheme="majorBidi" w:cstheme="majorBidi"/>
              </w:rPr>
              <w:t>root</w:t>
            </w:r>
            <w:r w:rsidRPr="000647DC">
              <w:rPr>
                <w:rFonts w:asciiTheme="majorBidi" w:hAnsiTheme="majorBidi" w:cstheme="majorBidi"/>
              </w:rPr>
              <w:t xml:space="preserve"> P mass</w:t>
            </w:r>
          </w:p>
        </w:tc>
        <w:tc>
          <w:tcPr>
            <w:tcW w:w="1811" w:type="dxa"/>
          </w:tcPr>
          <w:p w14:paraId="5F5AC408" w14:textId="77777777" w:rsidR="0019038E" w:rsidRDefault="0019038E" w:rsidP="00D82647">
            <w:r w:rsidRPr="00906491">
              <w:rPr>
                <w:rFonts w:asciiTheme="majorBidi" w:hAnsiTheme="majorBidi" w:cstheme="majorBidi"/>
              </w:rPr>
              <w:t>Cultivar</w:t>
            </w:r>
          </w:p>
        </w:tc>
        <w:tc>
          <w:tcPr>
            <w:tcW w:w="1766" w:type="dxa"/>
          </w:tcPr>
          <w:p w14:paraId="381F4B29" w14:textId="77777777" w:rsidR="0019038E" w:rsidRDefault="0019038E" w:rsidP="00D82647">
            <w:r w:rsidRPr="00906491">
              <w:rPr>
                <w:rFonts w:asciiTheme="majorBidi" w:hAnsiTheme="majorBidi" w:cstheme="majorBidi"/>
              </w:rPr>
              <w:t>15</w:t>
            </w:r>
          </w:p>
        </w:tc>
        <w:tc>
          <w:tcPr>
            <w:tcW w:w="1799" w:type="dxa"/>
          </w:tcPr>
          <w:p w14:paraId="23933F16" w14:textId="77777777" w:rsidR="0019038E" w:rsidRPr="00906491" w:rsidRDefault="0019038E" w:rsidP="00D82647">
            <w:pPr>
              <w:rPr>
                <w:rFonts w:asciiTheme="majorBidi" w:hAnsiTheme="majorBidi" w:cstheme="majorBidi"/>
              </w:rPr>
            </w:pPr>
            <w:r w:rsidRPr="00906491">
              <w:rPr>
                <w:rFonts w:asciiTheme="majorBidi" w:hAnsiTheme="majorBidi" w:cstheme="majorBidi"/>
              </w:rPr>
              <w:t>F (15, 119) = 4.588</w:t>
            </w:r>
          </w:p>
          <w:p w14:paraId="62E7E4A4" w14:textId="77777777" w:rsidR="0019038E" w:rsidRDefault="0019038E" w:rsidP="00D82647"/>
        </w:tc>
        <w:tc>
          <w:tcPr>
            <w:tcW w:w="1799" w:type="dxa"/>
          </w:tcPr>
          <w:p w14:paraId="753B4383" w14:textId="77777777" w:rsidR="0019038E" w:rsidRPr="00906491" w:rsidRDefault="0019038E" w:rsidP="00D82647">
            <w:pPr>
              <w:rPr>
                <w:rFonts w:asciiTheme="majorBidi" w:hAnsiTheme="majorBidi" w:cstheme="majorBidi"/>
              </w:rPr>
            </w:pPr>
            <w:r w:rsidRPr="00906491">
              <w:rPr>
                <w:rFonts w:asciiTheme="majorBidi" w:hAnsiTheme="majorBidi" w:cstheme="majorBidi"/>
              </w:rPr>
              <w:t>0.0001</w:t>
            </w:r>
          </w:p>
          <w:p w14:paraId="7D99F3EB" w14:textId="77777777" w:rsidR="0019038E" w:rsidRDefault="0019038E" w:rsidP="00D82647"/>
        </w:tc>
      </w:tr>
      <w:tr w:rsidR="0019038E" w14:paraId="4AF8E56A" w14:textId="77777777" w:rsidTr="00D82647">
        <w:tc>
          <w:tcPr>
            <w:tcW w:w="1835" w:type="dxa"/>
            <w:vMerge/>
          </w:tcPr>
          <w:p w14:paraId="3700A02F" w14:textId="77777777" w:rsidR="0019038E" w:rsidRDefault="0019038E" w:rsidP="00D82647"/>
        </w:tc>
        <w:tc>
          <w:tcPr>
            <w:tcW w:w="1811" w:type="dxa"/>
          </w:tcPr>
          <w:p w14:paraId="2E0E060A" w14:textId="77777777" w:rsidR="0019038E" w:rsidRDefault="0019038E" w:rsidP="00D82647">
            <w:r w:rsidRPr="00906491">
              <w:rPr>
                <w:rFonts w:asciiTheme="majorBidi" w:hAnsiTheme="majorBidi" w:cstheme="majorBidi"/>
              </w:rPr>
              <w:t>Treatment</w:t>
            </w:r>
          </w:p>
        </w:tc>
        <w:tc>
          <w:tcPr>
            <w:tcW w:w="1766" w:type="dxa"/>
          </w:tcPr>
          <w:p w14:paraId="6B0A74BD" w14:textId="77777777" w:rsidR="0019038E" w:rsidRDefault="0019038E" w:rsidP="00D82647">
            <w:r w:rsidRPr="00906491">
              <w:rPr>
                <w:rFonts w:asciiTheme="majorBidi" w:hAnsiTheme="majorBidi" w:cstheme="majorBidi"/>
              </w:rPr>
              <w:t>1</w:t>
            </w:r>
          </w:p>
        </w:tc>
        <w:tc>
          <w:tcPr>
            <w:tcW w:w="1799" w:type="dxa"/>
          </w:tcPr>
          <w:p w14:paraId="0B2D5EF7" w14:textId="77777777" w:rsidR="0019038E" w:rsidRPr="00906491" w:rsidRDefault="0019038E" w:rsidP="00D82647">
            <w:pPr>
              <w:rPr>
                <w:rFonts w:asciiTheme="majorBidi" w:hAnsiTheme="majorBidi" w:cstheme="majorBidi"/>
              </w:rPr>
            </w:pPr>
            <w:r w:rsidRPr="00906491">
              <w:rPr>
                <w:rFonts w:asciiTheme="majorBidi" w:hAnsiTheme="majorBidi" w:cstheme="majorBidi"/>
              </w:rPr>
              <w:t>F (1, 119) = 342.7</w:t>
            </w:r>
          </w:p>
          <w:p w14:paraId="66A0D736" w14:textId="77777777" w:rsidR="0019038E" w:rsidRDefault="0019038E" w:rsidP="00D82647"/>
        </w:tc>
        <w:tc>
          <w:tcPr>
            <w:tcW w:w="1799" w:type="dxa"/>
          </w:tcPr>
          <w:p w14:paraId="436D1646" w14:textId="77777777" w:rsidR="0019038E" w:rsidRPr="00906491" w:rsidRDefault="0019038E" w:rsidP="00D82647">
            <w:pPr>
              <w:rPr>
                <w:rFonts w:asciiTheme="majorBidi" w:hAnsiTheme="majorBidi" w:cstheme="majorBidi"/>
              </w:rPr>
            </w:pPr>
            <w:r w:rsidRPr="00906491">
              <w:rPr>
                <w:rFonts w:asciiTheme="majorBidi" w:hAnsiTheme="majorBidi" w:cstheme="majorBidi"/>
              </w:rPr>
              <w:t>0.0001</w:t>
            </w:r>
          </w:p>
          <w:p w14:paraId="4AFC453C" w14:textId="77777777" w:rsidR="0019038E" w:rsidRDefault="0019038E" w:rsidP="00D82647"/>
        </w:tc>
      </w:tr>
      <w:tr w:rsidR="0019038E" w14:paraId="1EEF01A2" w14:textId="77777777" w:rsidTr="00D82647">
        <w:tc>
          <w:tcPr>
            <w:tcW w:w="1835" w:type="dxa"/>
            <w:vMerge/>
          </w:tcPr>
          <w:p w14:paraId="4985EC73" w14:textId="77777777" w:rsidR="0019038E" w:rsidRDefault="0019038E" w:rsidP="00D82647"/>
        </w:tc>
        <w:tc>
          <w:tcPr>
            <w:tcW w:w="1811" w:type="dxa"/>
          </w:tcPr>
          <w:p w14:paraId="31CCC28F" w14:textId="77777777" w:rsidR="0019038E" w:rsidRDefault="0019038E" w:rsidP="00D82647">
            <w:r w:rsidRPr="00906491">
              <w:rPr>
                <w:rFonts w:asciiTheme="majorBidi" w:hAnsiTheme="majorBidi" w:cstheme="majorBidi"/>
              </w:rPr>
              <w:t>Cultivar* Treatment</w:t>
            </w:r>
          </w:p>
        </w:tc>
        <w:tc>
          <w:tcPr>
            <w:tcW w:w="1766" w:type="dxa"/>
          </w:tcPr>
          <w:p w14:paraId="1750A611" w14:textId="77777777" w:rsidR="0019038E" w:rsidRDefault="0019038E" w:rsidP="00D82647">
            <w:r w:rsidRPr="00906491">
              <w:rPr>
                <w:rFonts w:asciiTheme="majorBidi" w:hAnsiTheme="majorBidi" w:cstheme="majorBidi"/>
              </w:rPr>
              <w:t>15</w:t>
            </w:r>
          </w:p>
        </w:tc>
        <w:tc>
          <w:tcPr>
            <w:tcW w:w="1799" w:type="dxa"/>
          </w:tcPr>
          <w:p w14:paraId="0BFFA3E9" w14:textId="77777777" w:rsidR="0019038E" w:rsidRPr="00906491" w:rsidRDefault="0019038E" w:rsidP="00D82647">
            <w:pPr>
              <w:rPr>
                <w:rFonts w:asciiTheme="majorBidi" w:hAnsiTheme="majorBidi" w:cstheme="majorBidi"/>
              </w:rPr>
            </w:pPr>
            <w:r w:rsidRPr="00906491">
              <w:rPr>
                <w:rFonts w:asciiTheme="majorBidi" w:hAnsiTheme="majorBidi" w:cstheme="majorBidi"/>
              </w:rPr>
              <w:t>F (15, 119) = 2.377</w:t>
            </w:r>
          </w:p>
          <w:p w14:paraId="693FCAEE" w14:textId="77777777" w:rsidR="0019038E" w:rsidRDefault="0019038E" w:rsidP="00D82647"/>
        </w:tc>
        <w:tc>
          <w:tcPr>
            <w:tcW w:w="1799" w:type="dxa"/>
          </w:tcPr>
          <w:p w14:paraId="4F58E985" w14:textId="77777777" w:rsidR="0019038E" w:rsidRPr="00906491" w:rsidRDefault="0019038E" w:rsidP="00D82647">
            <w:pPr>
              <w:rPr>
                <w:rFonts w:asciiTheme="majorBidi" w:hAnsiTheme="majorBidi" w:cstheme="majorBidi"/>
              </w:rPr>
            </w:pPr>
            <w:r w:rsidRPr="00906491">
              <w:rPr>
                <w:rFonts w:asciiTheme="majorBidi" w:hAnsiTheme="majorBidi" w:cstheme="majorBidi"/>
              </w:rPr>
              <w:t>0.0049</w:t>
            </w:r>
          </w:p>
          <w:p w14:paraId="21038416" w14:textId="77777777" w:rsidR="0019038E" w:rsidRDefault="0019038E" w:rsidP="00D82647"/>
        </w:tc>
      </w:tr>
      <w:tr w:rsidR="0019038E" w14:paraId="40EA960C" w14:textId="77777777" w:rsidTr="00D82647">
        <w:tc>
          <w:tcPr>
            <w:tcW w:w="1835" w:type="dxa"/>
            <w:vMerge/>
          </w:tcPr>
          <w:p w14:paraId="521E5BD2" w14:textId="77777777" w:rsidR="0019038E" w:rsidRDefault="0019038E" w:rsidP="00D82647"/>
        </w:tc>
        <w:tc>
          <w:tcPr>
            <w:tcW w:w="1811" w:type="dxa"/>
          </w:tcPr>
          <w:p w14:paraId="71B57B6D" w14:textId="77777777" w:rsidR="0019038E" w:rsidRDefault="0019038E" w:rsidP="00D82647">
            <w:r w:rsidRPr="00906491">
              <w:rPr>
                <w:rFonts w:asciiTheme="majorBidi" w:hAnsiTheme="majorBidi" w:cstheme="majorBidi"/>
              </w:rPr>
              <w:t>Total</w:t>
            </w:r>
          </w:p>
        </w:tc>
        <w:tc>
          <w:tcPr>
            <w:tcW w:w="1766" w:type="dxa"/>
          </w:tcPr>
          <w:p w14:paraId="5A4CF344" w14:textId="77777777" w:rsidR="0019038E" w:rsidRDefault="0019038E" w:rsidP="00D82647">
            <w:r w:rsidRPr="00906491">
              <w:rPr>
                <w:rFonts w:asciiTheme="majorBidi" w:hAnsiTheme="majorBidi" w:cstheme="majorBidi"/>
              </w:rPr>
              <w:t>119</w:t>
            </w:r>
          </w:p>
        </w:tc>
        <w:tc>
          <w:tcPr>
            <w:tcW w:w="1799" w:type="dxa"/>
          </w:tcPr>
          <w:p w14:paraId="551D5C7B" w14:textId="77777777" w:rsidR="0019038E" w:rsidRDefault="0019038E" w:rsidP="00D82647"/>
        </w:tc>
        <w:tc>
          <w:tcPr>
            <w:tcW w:w="1799" w:type="dxa"/>
          </w:tcPr>
          <w:p w14:paraId="6271C049" w14:textId="77777777" w:rsidR="0019038E" w:rsidRDefault="0019038E" w:rsidP="00D82647"/>
        </w:tc>
      </w:tr>
      <w:tr w:rsidR="0019038E" w14:paraId="2FC3B707" w14:textId="77777777" w:rsidTr="00D82647">
        <w:tc>
          <w:tcPr>
            <w:tcW w:w="1835" w:type="dxa"/>
            <w:vMerge w:val="restart"/>
          </w:tcPr>
          <w:p w14:paraId="028B28EC" w14:textId="77777777" w:rsidR="0019038E" w:rsidRDefault="0019038E" w:rsidP="00D82647">
            <w:r>
              <w:rPr>
                <w:rFonts w:asciiTheme="majorBidi" w:hAnsiTheme="majorBidi" w:cstheme="majorBidi"/>
              </w:rPr>
              <w:t xml:space="preserve">Results of </w:t>
            </w:r>
            <w:r w:rsidRPr="000647DC">
              <w:rPr>
                <w:rFonts w:asciiTheme="majorBidi" w:hAnsiTheme="majorBidi" w:cstheme="majorBidi"/>
              </w:rPr>
              <w:t xml:space="preserve">the </w:t>
            </w:r>
            <w:r>
              <w:rPr>
                <w:rFonts w:asciiTheme="majorBidi" w:hAnsiTheme="majorBidi" w:cstheme="majorBidi"/>
              </w:rPr>
              <w:t>root</w:t>
            </w:r>
            <w:r w:rsidRPr="000647DC">
              <w:rPr>
                <w:rFonts w:asciiTheme="majorBidi" w:hAnsiTheme="majorBidi" w:cstheme="majorBidi"/>
              </w:rPr>
              <w:t xml:space="preserve"> N concentration</w:t>
            </w:r>
          </w:p>
        </w:tc>
        <w:tc>
          <w:tcPr>
            <w:tcW w:w="1811" w:type="dxa"/>
          </w:tcPr>
          <w:p w14:paraId="2FADA20E" w14:textId="77777777" w:rsidR="0019038E" w:rsidRDefault="0019038E" w:rsidP="00D82647">
            <w:r w:rsidRPr="00906491">
              <w:rPr>
                <w:rFonts w:asciiTheme="majorBidi" w:hAnsiTheme="majorBidi" w:cstheme="majorBidi"/>
              </w:rPr>
              <w:t>Cultivar</w:t>
            </w:r>
          </w:p>
        </w:tc>
        <w:tc>
          <w:tcPr>
            <w:tcW w:w="1766" w:type="dxa"/>
          </w:tcPr>
          <w:p w14:paraId="332EAF08" w14:textId="77777777" w:rsidR="0019038E" w:rsidRDefault="0019038E" w:rsidP="00D82647">
            <w:r w:rsidRPr="00906491">
              <w:rPr>
                <w:rFonts w:asciiTheme="majorBidi" w:hAnsiTheme="majorBidi" w:cstheme="majorBidi"/>
              </w:rPr>
              <w:t>15</w:t>
            </w:r>
          </w:p>
        </w:tc>
        <w:tc>
          <w:tcPr>
            <w:tcW w:w="1799" w:type="dxa"/>
          </w:tcPr>
          <w:p w14:paraId="20FD9C60" w14:textId="77777777" w:rsidR="0019038E" w:rsidRPr="00906491" w:rsidRDefault="0019038E" w:rsidP="00D82647">
            <w:pPr>
              <w:rPr>
                <w:rFonts w:asciiTheme="majorBidi" w:hAnsiTheme="majorBidi" w:cstheme="majorBidi"/>
              </w:rPr>
            </w:pPr>
            <w:r w:rsidRPr="00906491">
              <w:rPr>
                <w:rFonts w:asciiTheme="majorBidi" w:hAnsiTheme="majorBidi" w:cstheme="majorBidi"/>
              </w:rPr>
              <w:t>F (15, 119) = 6.446</w:t>
            </w:r>
          </w:p>
          <w:p w14:paraId="3C64D9E1" w14:textId="77777777" w:rsidR="0019038E" w:rsidRDefault="0019038E" w:rsidP="00D82647"/>
        </w:tc>
        <w:tc>
          <w:tcPr>
            <w:tcW w:w="1799" w:type="dxa"/>
          </w:tcPr>
          <w:p w14:paraId="04075FC3" w14:textId="77777777" w:rsidR="0019038E" w:rsidRPr="00906491" w:rsidRDefault="0019038E" w:rsidP="00D82647">
            <w:pPr>
              <w:rPr>
                <w:rFonts w:asciiTheme="majorBidi" w:hAnsiTheme="majorBidi" w:cstheme="majorBidi"/>
              </w:rPr>
            </w:pPr>
            <w:r w:rsidRPr="00906491">
              <w:rPr>
                <w:rFonts w:asciiTheme="majorBidi" w:hAnsiTheme="majorBidi" w:cstheme="majorBidi"/>
              </w:rPr>
              <w:t>0.0001</w:t>
            </w:r>
          </w:p>
          <w:p w14:paraId="29F17935" w14:textId="77777777" w:rsidR="0019038E" w:rsidRDefault="0019038E" w:rsidP="00D82647"/>
        </w:tc>
      </w:tr>
      <w:tr w:rsidR="0019038E" w14:paraId="31207B6F" w14:textId="77777777" w:rsidTr="00D82647">
        <w:tc>
          <w:tcPr>
            <w:tcW w:w="1835" w:type="dxa"/>
            <w:vMerge/>
          </w:tcPr>
          <w:p w14:paraId="02515A0B" w14:textId="77777777" w:rsidR="0019038E" w:rsidRDefault="0019038E" w:rsidP="00D82647"/>
        </w:tc>
        <w:tc>
          <w:tcPr>
            <w:tcW w:w="1811" w:type="dxa"/>
          </w:tcPr>
          <w:p w14:paraId="05F80AF4" w14:textId="77777777" w:rsidR="0019038E" w:rsidRDefault="0019038E" w:rsidP="00D82647">
            <w:r w:rsidRPr="00906491">
              <w:rPr>
                <w:rFonts w:asciiTheme="majorBidi" w:hAnsiTheme="majorBidi" w:cstheme="majorBidi"/>
              </w:rPr>
              <w:t>Treatment</w:t>
            </w:r>
          </w:p>
        </w:tc>
        <w:tc>
          <w:tcPr>
            <w:tcW w:w="1766" w:type="dxa"/>
          </w:tcPr>
          <w:p w14:paraId="17C8D38A" w14:textId="77777777" w:rsidR="0019038E" w:rsidRDefault="0019038E" w:rsidP="00D82647">
            <w:r w:rsidRPr="00906491">
              <w:rPr>
                <w:rFonts w:asciiTheme="majorBidi" w:hAnsiTheme="majorBidi" w:cstheme="majorBidi"/>
              </w:rPr>
              <w:t>1</w:t>
            </w:r>
          </w:p>
        </w:tc>
        <w:tc>
          <w:tcPr>
            <w:tcW w:w="1799" w:type="dxa"/>
          </w:tcPr>
          <w:p w14:paraId="0E6815A4" w14:textId="77777777" w:rsidR="0019038E" w:rsidRPr="00906491" w:rsidRDefault="0019038E" w:rsidP="00D82647">
            <w:pPr>
              <w:rPr>
                <w:rFonts w:asciiTheme="majorBidi" w:hAnsiTheme="majorBidi" w:cstheme="majorBidi"/>
              </w:rPr>
            </w:pPr>
            <w:r w:rsidRPr="00906491">
              <w:rPr>
                <w:rFonts w:asciiTheme="majorBidi" w:hAnsiTheme="majorBidi" w:cstheme="majorBidi"/>
              </w:rPr>
              <w:t>F (1, 119) = 103.6</w:t>
            </w:r>
          </w:p>
          <w:p w14:paraId="4A12E7DE" w14:textId="77777777" w:rsidR="0019038E" w:rsidRDefault="0019038E" w:rsidP="00D82647"/>
        </w:tc>
        <w:tc>
          <w:tcPr>
            <w:tcW w:w="1799" w:type="dxa"/>
          </w:tcPr>
          <w:p w14:paraId="52560315" w14:textId="77777777" w:rsidR="0019038E" w:rsidRPr="00906491" w:rsidRDefault="0019038E" w:rsidP="00D82647">
            <w:pPr>
              <w:rPr>
                <w:rFonts w:asciiTheme="majorBidi" w:hAnsiTheme="majorBidi" w:cstheme="majorBidi"/>
              </w:rPr>
            </w:pPr>
            <w:r w:rsidRPr="00906491">
              <w:rPr>
                <w:rFonts w:asciiTheme="majorBidi" w:hAnsiTheme="majorBidi" w:cstheme="majorBidi"/>
              </w:rPr>
              <w:t>0.0001</w:t>
            </w:r>
          </w:p>
          <w:p w14:paraId="48C10D1A" w14:textId="77777777" w:rsidR="0019038E" w:rsidRDefault="0019038E" w:rsidP="00D82647"/>
        </w:tc>
      </w:tr>
      <w:tr w:rsidR="0019038E" w14:paraId="6092B5D7" w14:textId="77777777" w:rsidTr="00D82647">
        <w:tc>
          <w:tcPr>
            <w:tcW w:w="1835" w:type="dxa"/>
            <w:vMerge/>
          </w:tcPr>
          <w:p w14:paraId="462C14C2" w14:textId="77777777" w:rsidR="0019038E" w:rsidRDefault="0019038E" w:rsidP="00D82647"/>
        </w:tc>
        <w:tc>
          <w:tcPr>
            <w:tcW w:w="1811" w:type="dxa"/>
          </w:tcPr>
          <w:p w14:paraId="2425429A" w14:textId="77777777" w:rsidR="0019038E" w:rsidRDefault="0019038E" w:rsidP="00D82647">
            <w:r w:rsidRPr="00906491">
              <w:rPr>
                <w:rFonts w:asciiTheme="majorBidi" w:hAnsiTheme="majorBidi" w:cstheme="majorBidi"/>
              </w:rPr>
              <w:t>Cultivar* Treatment</w:t>
            </w:r>
          </w:p>
        </w:tc>
        <w:tc>
          <w:tcPr>
            <w:tcW w:w="1766" w:type="dxa"/>
          </w:tcPr>
          <w:p w14:paraId="4478C58B" w14:textId="77777777" w:rsidR="0019038E" w:rsidRDefault="0019038E" w:rsidP="00D82647">
            <w:r w:rsidRPr="00906491">
              <w:rPr>
                <w:rFonts w:asciiTheme="majorBidi" w:hAnsiTheme="majorBidi" w:cstheme="majorBidi"/>
              </w:rPr>
              <w:t>15</w:t>
            </w:r>
          </w:p>
        </w:tc>
        <w:tc>
          <w:tcPr>
            <w:tcW w:w="1799" w:type="dxa"/>
          </w:tcPr>
          <w:p w14:paraId="683F36CB" w14:textId="77777777" w:rsidR="0019038E" w:rsidRPr="00906491" w:rsidRDefault="0019038E" w:rsidP="00D82647">
            <w:pPr>
              <w:rPr>
                <w:rFonts w:asciiTheme="majorBidi" w:hAnsiTheme="majorBidi" w:cstheme="majorBidi"/>
              </w:rPr>
            </w:pPr>
            <w:r w:rsidRPr="00906491">
              <w:rPr>
                <w:rFonts w:asciiTheme="majorBidi" w:hAnsiTheme="majorBidi" w:cstheme="majorBidi"/>
              </w:rPr>
              <w:t>F (15, 119) = 2.430</w:t>
            </w:r>
          </w:p>
          <w:p w14:paraId="5C25E6A8" w14:textId="77777777" w:rsidR="0019038E" w:rsidRDefault="0019038E" w:rsidP="00D82647"/>
        </w:tc>
        <w:tc>
          <w:tcPr>
            <w:tcW w:w="1799" w:type="dxa"/>
          </w:tcPr>
          <w:p w14:paraId="350E9DDD" w14:textId="77777777" w:rsidR="0019038E" w:rsidRPr="00906491" w:rsidRDefault="0019038E" w:rsidP="00D82647">
            <w:pPr>
              <w:rPr>
                <w:rFonts w:asciiTheme="majorBidi" w:hAnsiTheme="majorBidi" w:cstheme="majorBidi"/>
              </w:rPr>
            </w:pPr>
            <w:r w:rsidRPr="00906491">
              <w:rPr>
                <w:rFonts w:asciiTheme="majorBidi" w:hAnsiTheme="majorBidi" w:cstheme="majorBidi"/>
              </w:rPr>
              <w:t>0.0040</w:t>
            </w:r>
          </w:p>
          <w:p w14:paraId="0CCAF12B" w14:textId="77777777" w:rsidR="0019038E" w:rsidRDefault="0019038E" w:rsidP="00D82647"/>
        </w:tc>
      </w:tr>
      <w:tr w:rsidR="0019038E" w14:paraId="4B37546E" w14:textId="77777777" w:rsidTr="00D82647">
        <w:tc>
          <w:tcPr>
            <w:tcW w:w="1835" w:type="dxa"/>
            <w:vMerge/>
          </w:tcPr>
          <w:p w14:paraId="7756F449" w14:textId="77777777" w:rsidR="0019038E" w:rsidRDefault="0019038E" w:rsidP="00D82647"/>
        </w:tc>
        <w:tc>
          <w:tcPr>
            <w:tcW w:w="1811" w:type="dxa"/>
          </w:tcPr>
          <w:p w14:paraId="5DE68609" w14:textId="77777777" w:rsidR="0019038E" w:rsidRDefault="0019038E" w:rsidP="00D82647">
            <w:r w:rsidRPr="00906491">
              <w:rPr>
                <w:rFonts w:asciiTheme="majorBidi" w:hAnsiTheme="majorBidi" w:cstheme="majorBidi"/>
              </w:rPr>
              <w:t>Total</w:t>
            </w:r>
          </w:p>
        </w:tc>
        <w:tc>
          <w:tcPr>
            <w:tcW w:w="1766" w:type="dxa"/>
          </w:tcPr>
          <w:p w14:paraId="6FB0E84D" w14:textId="77777777" w:rsidR="0019038E" w:rsidRDefault="0019038E" w:rsidP="00D82647">
            <w:r w:rsidRPr="00906491">
              <w:rPr>
                <w:rFonts w:asciiTheme="majorBidi" w:hAnsiTheme="majorBidi" w:cstheme="majorBidi"/>
              </w:rPr>
              <w:t>119</w:t>
            </w:r>
          </w:p>
        </w:tc>
        <w:tc>
          <w:tcPr>
            <w:tcW w:w="1799" w:type="dxa"/>
          </w:tcPr>
          <w:p w14:paraId="70CCB46D" w14:textId="77777777" w:rsidR="0019038E" w:rsidRDefault="0019038E" w:rsidP="00D82647"/>
        </w:tc>
        <w:tc>
          <w:tcPr>
            <w:tcW w:w="1799" w:type="dxa"/>
          </w:tcPr>
          <w:p w14:paraId="7832AD82" w14:textId="77777777" w:rsidR="0019038E" w:rsidRDefault="0019038E" w:rsidP="00D82647"/>
        </w:tc>
      </w:tr>
      <w:tr w:rsidR="0019038E" w14:paraId="286797F8" w14:textId="77777777" w:rsidTr="00D82647">
        <w:tc>
          <w:tcPr>
            <w:tcW w:w="1835" w:type="dxa"/>
            <w:vMerge w:val="restart"/>
          </w:tcPr>
          <w:p w14:paraId="24AED1B6" w14:textId="77777777" w:rsidR="0019038E" w:rsidRDefault="0019038E" w:rsidP="00D82647">
            <w:r>
              <w:rPr>
                <w:rFonts w:asciiTheme="majorBidi" w:hAnsiTheme="majorBidi" w:cstheme="majorBidi"/>
              </w:rPr>
              <w:t xml:space="preserve">Results </w:t>
            </w:r>
            <w:r w:rsidRPr="000647DC">
              <w:rPr>
                <w:rFonts w:asciiTheme="majorBidi" w:hAnsiTheme="majorBidi" w:cstheme="majorBidi"/>
              </w:rPr>
              <w:t xml:space="preserve">of the </w:t>
            </w:r>
            <w:r>
              <w:rPr>
                <w:rFonts w:asciiTheme="majorBidi" w:hAnsiTheme="majorBidi" w:cstheme="majorBidi"/>
              </w:rPr>
              <w:t>root</w:t>
            </w:r>
            <w:r w:rsidRPr="000647DC">
              <w:rPr>
                <w:rFonts w:asciiTheme="majorBidi" w:hAnsiTheme="majorBidi" w:cstheme="majorBidi"/>
              </w:rPr>
              <w:t xml:space="preserve"> N mass</w:t>
            </w:r>
          </w:p>
        </w:tc>
        <w:tc>
          <w:tcPr>
            <w:tcW w:w="1811" w:type="dxa"/>
          </w:tcPr>
          <w:p w14:paraId="61AFED1C" w14:textId="77777777" w:rsidR="0019038E" w:rsidRDefault="0019038E" w:rsidP="00D82647">
            <w:r w:rsidRPr="00906491">
              <w:rPr>
                <w:rFonts w:asciiTheme="majorBidi" w:hAnsiTheme="majorBidi" w:cstheme="majorBidi"/>
              </w:rPr>
              <w:t>Cultivar</w:t>
            </w:r>
          </w:p>
        </w:tc>
        <w:tc>
          <w:tcPr>
            <w:tcW w:w="1766" w:type="dxa"/>
          </w:tcPr>
          <w:p w14:paraId="35283BA4" w14:textId="77777777" w:rsidR="0019038E" w:rsidRDefault="0019038E" w:rsidP="00D82647">
            <w:r w:rsidRPr="00906491">
              <w:rPr>
                <w:rFonts w:asciiTheme="majorBidi" w:hAnsiTheme="majorBidi" w:cstheme="majorBidi"/>
              </w:rPr>
              <w:t>15</w:t>
            </w:r>
          </w:p>
        </w:tc>
        <w:tc>
          <w:tcPr>
            <w:tcW w:w="1799" w:type="dxa"/>
          </w:tcPr>
          <w:p w14:paraId="6384CEB4" w14:textId="77777777" w:rsidR="0019038E" w:rsidRPr="00906491" w:rsidRDefault="0019038E" w:rsidP="00D82647">
            <w:pPr>
              <w:rPr>
                <w:rFonts w:asciiTheme="majorBidi" w:hAnsiTheme="majorBidi" w:cstheme="majorBidi"/>
              </w:rPr>
            </w:pPr>
            <w:r w:rsidRPr="00906491">
              <w:rPr>
                <w:rFonts w:asciiTheme="majorBidi" w:hAnsiTheme="majorBidi" w:cstheme="majorBidi"/>
              </w:rPr>
              <w:t>F (15, 119) = 6.787</w:t>
            </w:r>
          </w:p>
          <w:p w14:paraId="78FABE35" w14:textId="77777777" w:rsidR="0019038E" w:rsidRDefault="0019038E" w:rsidP="00D82647"/>
        </w:tc>
        <w:tc>
          <w:tcPr>
            <w:tcW w:w="1799" w:type="dxa"/>
          </w:tcPr>
          <w:p w14:paraId="465FE9E5" w14:textId="77777777" w:rsidR="0019038E" w:rsidRPr="00906491" w:rsidRDefault="0019038E" w:rsidP="00D82647">
            <w:pPr>
              <w:rPr>
                <w:rFonts w:asciiTheme="majorBidi" w:hAnsiTheme="majorBidi" w:cstheme="majorBidi"/>
              </w:rPr>
            </w:pPr>
          </w:p>
          <w:p w14:paraId="689CCCBB" w14:textId="77777777" w:rsidR="0019038E" w:rsidRPr="00906491" w:rsidRDefault="0019038E" w:rsidP="00D82647">
            <w:pPr>
              <w:rPr>
                <w:rFonts w:asciiTheme="majorBidi" w:hAnsiTheme="majorBidi" w:cstheme="majorBidi"/>
              </w:rPr>
            </w:pPr>
            <w:r w:rsidRPr="00906491">
              <w:rPr>
                <w:rFonts w:asciiTheme="majorBidi" w:hAnsiTheme="majorBidi" w:cstheme="majorBidi"/>
              </w:rPr>
              <w:t>0.0001</w:t>
            </w:r>
          </w:p>
          <w:p w14:paraId="62671A44" w14:textId="77777777" w:rsidR="0019038E" w:rsidRDefault="0019038E" w:rsidP="00D82647"/>
        </w:tc>
      </w:tr>
      <w:tr w:rsidR="0019038E" w14:paraId="5410029F" w14:textId="77777777" w:rsidTr="00D82647">
        <w:tc>
          <w:tcPr>
            <w:tcW w:w="1835" w:type="dxa"/>
            <w:vMerge/>
          </w:tcPr>
          <w:p w14:paraId="293DC2D6" w14:textId="77777777" w:rsidR="0019038E" w:rsidRDefault="0019038E" w:rsidP="00D82647"/>
        </w:tc>
        <w:tc>
          <w:tcPr>
            <w:tcW w:w="1811" w:type="dxa"/>
          </w:tcPr>
          <w:p w14:paraId="416858FE" w14:textId="77777777" w:rsidR="0019038E" w:rsidRDefault="0019038E" w:rsidP="00D82647">
            <w:r w:rsidRPr="00906491">
              <w:rPr>
                <w:rFonts w:asciiTheme="majorBidi" w:hAnsiTheme="majorBidi" w:cstheme="majorBidi"/>
              </w:rPr>
              <w:t>Treatment</w:t>
            </w:r>
          </w:p>
        </w:tc>
        <w:tc>
          <w:tcPr>
            <w:tcW w:w="1766" w:type="dxa"/>
          </w:tcPr>
          <w:p w14:paraId="5B2AEC87" w14:textId="77777777" w:rsidR="0019038E" w:rsidRDefault="0019038E" w:rsidP="00D82647">
            <w:r w:rsidRPr="00906491">
              <w:rPr>
                <w:rFonts w:asciiTheme="majorBidi" w:hAnsiTheme="majorBidi" w:cstheme="majorBidi"/>
              </w:rPr>
              <w:t>1</w:t>
            </w:r>
          </w:p>
        </w:tc>
        <w:tc>
          <w:tcPr>
            <w:tcW w:w="1799" w:type="dxa"/>
          </w:tcPr>
          <w:p w14:paraId="18C0D23C" w14:textId="77777777" w:rsidR="0019038E" w:rsidRPr="00906491" w:rsidRDefault="0019038E" w:rsidP="00D82647">
            <w:pPr>
              <w:rPr>
                <w:rFonts w:asciiTheme="majorBidi" w:hAnsiTheme="majorBidi" w:cstheme="majorBidi"/>
              </w:rPr>
            </w:pPr>
            <w:r w:rsidRPr="00906491">
              <w:rPr>
                <w:rFonts w:asciiTheme="majorBidi" w:hAnsiTheme="majorBidi" w:cstheme="majorBidi"/>
              </w:rPr>
              <w:t>F (1, 119) = 318.6</w:t>
            </w:r>
          </w:p>
          <w:p w14:paraId="384DFD72" w14:textId="77777777" w:rsidR="0019038E" w:rsidRDefault="0019038E" w:rsidP="00D82647"/>
        </w:tc>
        <w:tc>
          <w:tcPr>
            <w:tcW w:w="1799" w:type="dxa"/>
          </w:tcPr>
          <w:p w14:paraId="2300DA5A" w14:textId="77777777" w:rsidR="0019038E" w:rsidRPr="00906491" w:rsidRDefault="0019038E" w:rsidP="00D82647">
            <w:pPr>
              <w:rPr>
                <w:rFonts w:asciiTheme="majorBidi" w:hAnsiTheme="majorBidi" w:cstheme="majorBidi"/>
              </w:rPr>
            </w:pPr>
            <w:r w:rsidRPr="00906491">
              <w:rPr>
                <w:rFonts w:asciiTheme="majorBidi" w:hAnsiTheme="majorBidi" w:cstheme="majorBidi"/>
              </w:rPr>
              <w:t>0.0001</w:t>
            </w:r>
          </w:p>
          <w:p w14:paraId="72C583A9" w14:textId="77777777" w:rsidR="0019038E" w:rsidRPr="00906491" w:rsidRDefault="0019038E" w:rsidP="00D82647">
            <w:pPr>
              <w:rPr>
                <w:rFonts w:asciiTheme="majorBidi" w:hAnsiTheme="majorBidi" w:cstheme="majorBidi"/>
              </w:rPr>
            </w:pPr>
          </w:p>
          <w:p w14:paraId="1E58E9DA" w14:textId="77777777" w:rsidR="0019038E" w:rsidRDefault="0019038E" w:rsidP="00D82647"/>
        </w:tc>
      </w:tr>
      <w:tr w:rsidR="0019038E" w14:paraId="14EDA26E" w14:textId="77777777" w:rsidTr="00D82647">
        <w:tc>
          <w:tcPr>
            <w:tcW w:w="1835" w:type="dxa"/>
            <w:vMerge/>
          </w:tcPr>
          <w:p w14:paraId="054170F8" w14:textId="77777777" w:rsidR="0019038E" w:rsidRDefault="0019038E" w:rsidP="00D82647"/>
        </w:tc>
        <w:tc>
          <w:tcPr>
            <w:tcW w:w="1811" w:type="dxa"/>
          </w:tcPr>
          <w:p w14:paraId="3A97A074" w14:textId="77777777" w:rsidR="0019038E" w:rsidRDefault="0019038E" w:rsidP="00D82647">
            <w:r w:rsidRPr="00906491">
              <w:rPr>
                <w:rFonts w:asciiTheme="majorBidi" w:hAnsiTheme="majorBidi" w:cstheme="majorBidi"/>
              </w:rPr>
              <w:t>Cultivar* Treatment</w:t>
            </w:r>
          </w:p>
        </w:tc>
        <w:tc>
          <w:tcPr>
            <w:tcW w:w="1766" w:type="dxa"/>
          </w:tcPr>
          <w:p w14:paraId="65F34B1E" w14:textId="77777777" w:rsidR="0019038E" w:rsidRDefault="0019038E" w:rsidP="00D82647">
            <w:r w:rsidRPr="00906491">
              <w:rPr>
                <w:rFonts w:asciiTheme="majorBidi" w:hAnsiTheme="majorBidi" w:cstheme="majorBidi"/>
              </w:rPr>
              <w:t>15</w:t>
            </w:r>
          </w:p>
        </w:tc>
        <w:tc>
          <w:tcPr>
            <w:tcW w:w="1799" w:type="dxa"/>
          </w:tcPr>
          <w:p w14:paraId="4195BAF4" w14:textId="77777777" w:rsidR="0019038E" w:rsidRPr="00906491" w:rsidRDefault="0019038E" w:rsidP="00D82647">
            <w:pPr>
              <w:rPr>
                <w:rFonts w:asciiTheme="majorBidi" w:hAnsiTheme="majorBidi" w:cstheme="majorBidi"/>
              </w:rPr>
            </w:pPr>
            <w:r w:rsidRPr="00906491">
              <w:rPr>
                <w:rFonts w:asciiTheme="majorBidi" w:hAnsiTheme="majorBidi" w:cstheme="majorBidi"/>
              </w:rPr>
              <w:t>F (15, 119) = 1.946</w:t>
            </w:r>
          </w:p>
          <w:p w14:paraId="2832028D" w14:textId="77777777" w:rsidR="0019038E" w:rsidRDefault="0019038E" w:rsidP="00D82647"/>
        </w:tc>
        <w:tc>
          <w:tcPr>
            <w:tcW w:w="1799" w:type="dxa"/>
          </w:tcPr>
          <w:p w14:paraId="2198A1E2" w14:textId="77777777" w:rsidR="0019038E" w:rsidRPr="00906491" w:rsidRDefault="0019038E" w:rsidP="00D82647">
            <w:pPr>
              <w:rPr>
                <w:rFonts w:asciiTheme="majorBidi" w:hAnsiTheme="majorBidi" w:cstheme="majorBidi"/>
              </w:rPr>
            </w:pPr>
            <w:r w:rsidRPr="00906491">
              <w:rPr>
                <w:rFonts w:asciiTheme="majorBidi" w:hAnsiTheme="majorBidi" w:cstheme="majorBidi"/>
              </w:rPr>
              <w:t>0.0250</w:t>
            </w:r>
          </w:p>
          <w:p w14:paraId="77871997" w14:textId="77777777" w:rsidR="0019038E" w:rsidRDefault="0019038E" w:rsidP="00D82647"/>
        </w:tc>
      </w:tr>
      <w:tr w:rsidR="0019038E" w14:paraId="35EA9A26" w14:textId="77777777" w:rsidTr="00D82647">
        <w:tc>
          <w:tcPr>
            <w:tcW w:w="1835" w:type="dxa"/>
            <w:vMerge/>
          </w:tcPr>
          <w:p w14:paraId="7B7D1113" w14:textId="77777777" w:rsidR="0019038E" w:rsidRDefault="0019038E" w:rsidP="00D82647"/>
        </w:tc>
        <w:tc>
          <w:tcPr>
            <w:tcW w:w="1811" w:type="dxa"/>
          </w:tcPr>
          <w:p w14:paraId="0805122C" w14:textId="77777777" w:rsidR="0019038E" w:rsidRDefault="0019038E" w:rsidP="00D82647">
            <w:r w:rsidRPr="00906491">
              <w:rPr>
                <w:rFonts w:asciiTheme="majorBidi" w:hAnsiTheme="majorBidi" w:cstheme="majorBidi"/>
              </w:rPr>
              <w:t>Total</w:t>
            </w:r>
          </w:p>
        </w:tc>
        <w:tc>
          <w:tcPr>
            <w:tcW w:w="1766" w:type="dxa"/>
          </w:tcPr>
          <w:p w14:paraId="4596D6A9" w14:textId="77777777" w:rsidR="0019038E" w:rsidRDefault="0019038E" w:rsidP="00D82647">
            <w:r w:rsidRPr="00906491">
              <w:rPr>
                <w:rFonts w:asciiTheme="majorBidi" w:hAnsiTheme="majorBidi" w:cstheme="majorBidi"/>
              </w:rPr>
              <w:t>119</w:t>
            </w:r>
          </w:p>
        </w:tc>
        <w:tc>
          <w:tcPr>
            <w:tcW w:w="1799" w:type="dxa"/>
          </w:tcPr>
          <w:p w14:paraId="46B5DF78" w14:textId="77777777" w:rsidR="0019038E" w:rsidRDefault="0019038E" w:rsidP="00D82647"/>
        </w:tc>
        <w:tc>
          <w:tcPr>
            <w:tcW w:w="1799" w:type="dxa"/>
          </w:tcPr>
          <w:p w14:paraId="4A4AE2C6" w14:textId="77777777" w:rsidR="0019038E" w:rsidRDefault="0019038E" w:rsidP="00D82647"/>
        </w:tc>
      </w:tr>
    </w:tbl>
    <w:p w14:paraId="042883F1" w14:textId="77777777" w:rsidR="0019038E" w:rsidRPr="002932E6" w:rsidRDefault="0019038E" w:rsidP="0019038E">
      <w:pPr>
        <w:spacing w:afterLines="280" w:after="672" w:line="360" w:lineRule="auto"/>
        <w:jc w:val="lowKashida"/>
      </w:pPr>
    </w:p>
    <w:p w14:paraId="215A69C1" w14:textId="77777777" w:rsidR="0019038E" w:rsidRPr="002932E6" w:rsidRDefault="0019038E" w:rsidP="0019038E">
      <w:pPr>
        <w:pStyle w:val="Heading3"/>
        <w:rPr>
          <w:iCs w:val="0"/>
        </w:rPr>
      </w:pPr>
      <w:bookmarkStart w:id="63" w:name="_Toc83751436"/>
      <w:r w:rsidRPr="002932E6">
        <w:lastRenderedPageBreak/>
        <w:t>2.3.5 Mycorrhizal responsiveness</w:t>
      </w:r>
      <w:bookmarkEnd w:id="63"/>
    </w:p>
    <w:p w14:paraId="2497C33E" w14:textId="77777777" w:rsidR="0019038E" w:rsidRPr="002932E6" w:rsidRDefault="0019038E" w:rsidP="0019038E">
      <w:pPr>
        <w:spacing w:afterLines="280" w:after="672" w:line="360" w:lineRule="auto"/>
        <w:jc w:val="lowKashida"/>
      </w:pPr>
    </w:p>
    <w:p w14:paraId="6D29E8DA" w14:textId="77777777" w:rsidR="0019038E" w:rsidRDefault="0019038E" w:rsidP="0019038E">
      <w:pPr>
        <w:keepNext/>
        <w:spacing w:afterLines="280" w:after="672" w:line="360" w:lineRule="auto"/>
        <w:jc w:val="lowKashida"/>
      </w:pPr>
      <w:r w:rsidRPr="002932E6">
        <w:rPr>
          <w:noProof/>
          <w:lang w:val="en-GB" w:eastAsia="en-GB"/>
        </w:rPr>
        <w:drawing>
          <wp:inline distT="0" distB="0" distL="0" distR="0" wp14:anchorId="069D230E" wp14:editId="55567A58">
            <wp:extent cx="5419090" cy="4038545"/>
            <wp:effectExtent l="0" t="0" r="3810" b="635"/>
            <wp:docPr id="8" name="Picture 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445586" cy="4058291"/>
                    </a:xfrm>
                    <a:prstGeom prst="rect">
                      <a:avLst/>
                    </a:prstGeom>
                  </pic:spPr>
                </pic:pic>
              </a:graphicData>
            </a:graphic>
          </wp:inline>
        </w:drawing>
      </w:r>
    </w:p>
    <w:p w14:paraId="7BD6F066" w14:textId="62E709C9" w:rsidR="0019038E" w:rsidRPr="00DF1978" w:rsidRDefault="0019038E" w:rsidP="0019038E">
      <w:pPr>
        <w:pStyle w:val="Caption"/>
        <w:jc w:val="lowKashida"/>
        <w:rPr>
          <w:sz w:val="20"/>
          <w:szCs w:val="20"/>
        </w:rPr>
      </w:pPr>
      <w:r>
        <w:rPr>
          <w:sz w:val="20"/>
          <w:szCs w:val="20"/>
        </w:rPr>
        <w:t xml:space="preserve">                      </w:t>
      </w:r>
      <w:bookmarkStart w:id="64" w:name="_Toc83751354"/>
      <w:r w:rsidRPr="00ED12B1">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2</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8</w:t>
      </w:r>
      <w:r w:rsidR="00843EDC">
        <w:rPr>
          <w:b w:val="0"/>
          <w:bCs w:val="0"/>
          <w:sz w:val="20"/>
          <w:szCs w:val="20"/>
        </w:rPr>
        <w:fldChar w:fldCharType="end"/>
      </w:r>
      <w:r w:rsidRPr="00DF1978">
        <w:rPr>
          <w:sz w:val="20"/>
          <w:szCs w:val="20"/>
        </w:rPr>
        <w:t xml:space="preserve"> </w:t>
      </w:r>
      <w:r w:rsidRPr="00DF1978">
        <w:rPr>
          <w:b w:val="0"/>
          <w:bCs w:val="0"/>
          <w:color w:val="000000" w:themeColor="text1"/>
          <w:sz w:val="20"/>
          <w:szCs w:val="20"/>
        </w:rPr>
        <w:t>Relationship between cultivars and mycorrhizal responsiveness</w:t>
      </w:r>
      <w:bookmarkEnd w:id="64"/>
    </w:p>
    <w:p w14:paraId="7FD166F9" w14:textId="77777777" w:rsidR="0019038E" w:rsidRPr="002932E6" w:rsidRDefault="0019038E" w:rsidP="0019038E">
      <w:pPr>
        <w:spacing w:afterLines="280" w:after="672" w:line="360" w:lineRule="auto"/>
        <w:jc w:val="lowKashida"/>
      </w:pPr>
    </w:p>
    <w:p w14:paraId="1F684A48" w14:textId="77777777" w:rsidR="0019038E" w:rsidRPr="002932E6" w:rsidRDefault="0019038E" w:rsidP="0019038E">
      <w:pPr>
        <w:spacing w:afterLines="280" w:after="672" w:line="360" w:lineRule="auto"/>
        <w:jc w:val="lowKashida"/>
      </w:pPr>
    </w:p>
    <w:p w14:paraId="7EF66E50" w14:textId="77777777" w:rsidR="0019038E" w:rsidRPr="002932E6" w:rsidRDefault="0019038E" w:rsidP="0019038E">
      <w:pPr>
        <w:spacing w:afterLines="280" w:after="672" w:line="360" w:lineRule="auto"/>
        <w:jc w:val="lowKashida"/>
      </w:pPr>
    </w:p>
    <w:p w14:paraId="4EF3022D" w14:textId="77777777" w:rsidR="0019038E" w:rsidRPr="002932E6" w:rsidRDefault="0019038E" w:rsidP="0019038E">
      <w:pPr>
        <w:spacing w:afterLines="280" w:after="672" w:line="360" w:lineRule="auto"/>
        <w:jc w:val="lowKashida"/>
        <w:rPr>
          <w:color w:val="000000" w:themeColor="text1"/>
        </w:rPr>
      </w:pPr>
    </w:p>
    <w:p w14:paraId="5BA74FCA" w14:textId="77777777" w:rsidR="0019038E" w:rsidRPr="002932E6" w:rsidRDefault="0019038E" w:rsidP="0019038E">
      <w:pPr>
        <w:spacing w:afterLines="280" w:after="672" w:line="360" w:lineRule="auto"/>
        <w:jc w:val="lowKashida"/>
      </w:pPr>
    </w:p>
    <w:p w14:paraId="3CACD140" w14:textId="2223E6A8" w:rsidR="0019038E" w:rsidRPr="002932E6" w:rsidRDefault="0019038E" w:rsidP="003F692C">
      <w:pPr>
        <w:pStyle w:val="mythesis"/>
      </w:pPr>
      <w:r w:rsidRPr="002932E6">
        <w:lastRenderedPageBreak/>
        <w:t xml:space="preserve">        Essentially the results presented in </w:t>
      </w:r>
      <w:r>
        <w:t>Figure 2.8</w:t>
      </w:r>
      <w:r w:rsidRPr="002932E6">
        <w:t xml:space="preserve"> </w:t>
      </w:r>
      <w:r w:rsidR="00175C79">
        <w:t xml:space="preserve">showed </w:t>
      </w:r>
      <w:r w:rsidRPr="002932E6">
        <w:t xml:space="preserve">that only </w:t>
      </w:r>
      <w:r w:rsidR="00877304">
        <w:t xml:space="preserve">the </w:t>
      </w:r>
      <w:r w:rsidRPr="002932E6">
        <w:t>cultivars No. 3,5</w:t>
      </w:r>
      <w:r w:rsidR="00D9498B">
        <w:t>,6</w:t>
      </w:r>
      <w:r w:rsidR="00914BDC">
        <w:t>,9</w:t>
      </w:r>
      <w:r w:rsidRPr="002932E6">
        <w:t>,10,12</w:t>
      </w:r>
      <w:r w:rsidR="00914BDC">
        <w:t>,14</w:t>
      </w:r>
      <w:r w:rsidRPr="002932E6">
        <w:t xml:space="preserve"> and 1</w:t>
      </w:r>
      <w:r w:rsidR="00914BDC">
        <w:t>6</w:t>
      </w:r>
      <w:r w:rsidRPr="002932E6">
        <w:t xml:space="preserve"> were positively affected by the AMF inoculum whereas </w:t>
      </w:r>
      <w:r w:rsidR="00877304">
        <w:t xml:space="preserve">the </w:t>
      </w:r>
      <w:r w:rsidRPr="002932E6">
        <w:t>cultivar No.8 was affected negatively.</w:t>
      </w:r>
    </w:p>
    <w:p w14:paraId="4CE4480F" w14:textId="1046FD06" w:rsidR="0019038E" w:rsidRPr="002932E6" w:rsidRDefault="0019038E" w:rsidP="003F692C">
      <w:pPr>
        <w:pStyle w:val="mythesis"/>
      </w:pPr>
      <w:r w:rsidRPr="002932E6">
        <w:t xml:space="preserve">        The mycorrhizal responsiveness </w:t>
      </w:r>
      <w:r w:rsidR="007A1F87">
        <w:t xml:space="preserve">was </w:t>
      </w:r>
      <w:r w:rsidRPr="002932E6">
        <w:t xml:space="preserve">showed a positive significant effect (P&lt;0.01) in </w:t>
      </w:r>
      <w:r w:rsidR="00D549F3">
        <w:t xml:space="preserve">the </w:t>
      </w:r>
      <w:r w:rsidRPr="002932E6">
        <w:t>cultivar</w:t>
      </w:r>
      <w:r w:rsidR="00F86027">
        <w:t>s</w:t>
      </w:r>
      <w:r w:rsidRPr="002932E6">
        <w:t xml:space="preserve"> No.3,5,10</w:t>
      </w:r>
      <w:r w:rsidR="008E48FD">
        <w:t>,</w:t>
      </w:r>
      <w:r w:rsidRPr="002932E6">
        <w:t xml:space="preserve">12 and 14. And less significant effect (P&lt;0.05) in </w:t>
      </w:r>
      <w:r w:rsidR="00D549F3">
        <w:t xml:space="preserve">the </w:t>
      </w:r>
      <w:r w:rsidRPr="002932E6">
        <w:t>cultivar</w:t>
      </w:r>
      <w:r w:rsidR="00F86027">
        <w:t>s</w:t>
      </w:r>
      <w:r w:rsidRPr="002932E6">
        <w:t xml:space="preserve"> No.6,9 and 16</w:t>
      </w:r>
      <w:r w:rsidR="00F86027">
        <w:t>,w</w:t>
      </w:r>
      <w:r w:rsidRPr="002932E6">
        <w:t xml:space="preserve">hile it </w:t>
      </w:r>
      <w:r w:rsidR="007A1F87">
        <w:t xml:space="preserve">was </w:t>
      </w:r>
      <w:r w:rsidRPr="002932E6">
        <w:t xml:space="preserve">showed a negative significant effect (P&lt;0.05) in </w:t>
      </w:r>
      <w:r w:rsidR="00D549F3">
        <w:t xml:space="preserve">the </w:t>
      </w:r>
      <w:r w:rsidRPr="002932E6">
        <w:t>cultivar No.8.</w:t>
      </w:r>
    </w:p>
    <w:p w14:paraId="6CAD500C" w14:textId="1A5EB4B2" w:rsidR="0019038E" w:rsidRPr="002932E6" w:rsidRDefault="0019038E" w:rsidP="003F692C">
      <w:pPr>
        <w:pStyle w:val="mythesis"/>
      </w:pPr>
      <w:r w:rsidRPr="002932E6">
        <w:t xml:space="preserve">        The most responsiveness of mycorrhizal was </w:t>
      </w:r>
      <w:r w:rsidR="00CA31DF">
        <w:t>in</w:t>
      </w:r>
      <w:r w:rsidRPr="002932E6">
        <w:t xml:space="preserve"> </w:t>
      </w:r>
      <w:r w:rsidR="00D549F3">
        <w:t xml:space="preserve">the </w:t>
      </w:r>
      <w:r w:rsidRPr="002932E6">
        <w:t>cultivar No.3 where it reached 1.98</w:t>
      </w:r>
      <w:r>
        <w:t xml:space="preserve"> </w:t>
      </w:r>
      <w:r w:rsidRPr="002932E6">
        <w:t xml:space="preserve">gm, and the least was in </w:t>
      </w:r>
      <w:r w:rsidR="00D549F3">
        <w:t xml:space="preserve">the </w:t>
      </w:r>
      <w:r w:rsidRPr="002932E6">
        <w:t>cultivar No.9 where it recorded 0.18</w:t>
      </w:r>
      <w:r>
        <w:t xml:space="preserve"> </w:t>
      </w:r>
      <w:r w:rsidRPr="002932E6">
        <w:t xml:space="preserve">gm. and ranged between 0.85, 0.77, 0.71, 0.67 ,0.59 and 0.0.29 in </w:t>
      </w:r>
      <w:r w:rsidR="00D549F3">
        <w:t xml:space="preserve">the </w:t>
      </w:r>
      <w:r w:rsidRPr="002932E6">
        <w:t>cultivars No. 14,16,12,5,10 and 6, respectively.</w:t>
      </w:r>
    </w:p>
    <w:p w14:paraId="4FE4CC14" w14:textId="359A214C" w:rsidR="0019038E" w:rsidRPr="00DF1978" w:rsidRDefault="0019038E" w:rsidP="003F692C">
      <w:pPr>
        <w:pStyle w:val="mythesis"/>
      </w:pPr>
      <w:r w:rsidRPr="002932E6">
        <w:t xml:space="preserve">        On the other hand, there were no mycorrhizal responsiveness effects on </w:t>
      </w:r>
      <w:r w:rsidR="00D549F3">
        <w:t xml:space="preserve">the </w:t>
      </w:r>
      <w:r w:rsidRPr="002932E6">
        <w:t>cultivars No.1,2,4,7,11,17 and 18</w:t>
      </w:r>
      <w:r>
        <w:t>.</w:t>
      </w:r>
    </w:p>
    <w:p w14:paraId="45C2B33C" w14:textId="419E5BFF" w:rsidR="0019038E" w:rsidRDefault="0019038E" w:rsidP="003F692C">
      <w:pPr>
        <w:pStyle w:val="mythesis"/>
      </w:pPr>
      <w:r w:rsidRPr="002932E6">
        <w:t xml:space="preserve">       Also, the one-way ANOVA test analysis presented that there was a very high significant difference (P&lt;0.0001) between the cultivars and the mycorrhizal responsiveness.</w:t>
      </w:r>
    </w:p>
    <w:p w14:paraId="733C0E04" w14:textId="77777777" w:rsidR="003F692C" w:rsidRPr="003F692C" w:rsidRDefault="003F692C" w:rsidP="003F692C">
      <w:pPr>
        <w:pStyle w:val="mythesis"/>
      </w:pPr>
    </w:p>
    <w:p w14:paraId="405D2C63" w14:textId="380D099C" w:rsidR="0019038E" w:rsidRPr="003F692C" w:rsidRDefault="0019038E" w:rsidP="003F692C">
      <w:pPr>
        <w:spacing w:afterLines="280" w:after="672"/>
        <w:jc w:val="lowKashida"/>
        <w:rPr>
          <w:bCs/>
          <w:color w:val="000000" w:themeColor="text1"/>
          <w:sz w:val="20"/>
          <w:szCs w:val="20"/>
        </w:rPr>
      </w:pPr>
      <w:bookmarkStart w:id="65" w:name="_Toc83750077"/>
      <w:r w:rsidRPr="006B7088">
        <w:rPr>
          <w:sz w:val="20"/>
          <w:szCs w:val="20"/>
        </w:rPr>
        <w:t xml:space="preserve">Table </w:t>
      </w:r>
      <w:r w:rsidRPr="006B7088">
        <w:rPr>
          <w:sz w:val="20"/>
          <w:szCs w:val="20"/>
        </w:rPr>
        <w:fldChar w:fldCharType="begin"/>
      </w:r>
      <w:r w:rsidRPr="006B7088">
        <w:rPr>
          <w:sz w:val="20"/>
          <w:szCs w:val="20"/>
        </w:rPr>
        <w:instrText xml:space="preserve"> STYLEREF 1 \s </w:instrText>
      </w:r>
      <w:r w:rsidRPr="006B7088">
        <w:rPr>
          <w:sz w:val="20"/>
          <w:szCs w:val="20"/>
        </w:rPr>
        <w:fldChar w:fldCharType="separate"/>
      </w:r>
      <w:r w:rsidRPr="006B7088">
        <w:rPr>
          <w:noProof/>
          <w:sz w:val="20"/>
          <w:szCs w:val="20"/>
          <w:cs/>
        </w:rPr>
        <w:t>‎</w:t>
      </w:r>
      <w:r w:rsidRPr="006B7088">
        <w:rPr>
          <w:noProof/>
          <w:sz w:val="20"/>
          <w:szCs w:val="20"/>
        </w:rPr>
        <w:t>2</w:t>
      </w:r>
      <w:r w:rsidRPr="006B7088">
        <w:rPr>
          <w:sz w:val="20"/>
          <w:szCs w:val="20"/>
        </w:rPr>
        <w:fldChar w:fldCharType="end"/>
      </w:r>
      <w:r w:rsidRPr="006B7088">
        <w:rPr>
          <w:sz w:val="20"/>
          <w:szCs w:val="20"/>
        </w:rPr>
        <w:t>.</w:t>
      </w:r>
      <w:r w:rsidRPr="006B7088">
        <w:rPr>
          <w:sz w:val="20"/>
          <w:szCs w:val="20"/>
        </w:rPr>
        <w:fldChar w:fldCharType="begin"/>
      </w:r>
      <w:r w:rsidRPr="006B7088">
        <w:rPr>
          <w:sz w:val="20"/>
          <w:szCs w:val="20"/>
        </w:rPr>
        <w:instrText xml:space="preserve"> SEQ Table \* ARABIC \s 1 </w:instrText>
      </w:r>
      <w:r w:rsidRPr="006B7088">
        <w:rPr>
          <w:sz w:val="20"/>
          <w:szCs w:val="20"/>
        </w:rPr>
        <w:fldChar w:fldCharType="separate"/>
      </w:r>
      <w:r w:rsidRPr="006B7088">
        <w:rPr>
          <w:noProof/>
          <w:sz w:val="20"/>
          <w:szCs w:val="20"/>
        </w:rPr>
        <w:t>9</w:t>
      </w:r>
      <w:r w:rsidRPr="006B7088">
        <w:rPr>
          <w:sz w:val="20"/>
          <w:szCs w:val="20"/>
        </w:rPr>
        <w:fldChar w:fldCharType="end"/>
      </w:r>
      <w:r w:rsidRPr="00981FB5">
        <w:rPr>
          <w:sz w:val="20"/>
          <w:szCs w:val="20"/>
        </w:rPr>
        <w:t xml:space="preserve"> </w:t>
      </w:r>
      <w:r w:rsidRPr="00981FB5">
        <w:rPr>
          <w:color w:val="000000" w:themeColor="text1"/>
          <w:sz w:val="20"/>
          <w:szCs w:val="20"/>
        </w:rPr>
        <w:t>Results of 1- Way ANOVA statistical significance of the cultivars and mycorrhizal responsiveness. Asterisk indicates significant differences within the same cultivar (</w:t>
      </w:r>
      <w:r w:rsidRPr="00981FB5">
        <w:rPr>
          <w:bCs/>
          <w:color w:val="000000" w:themeColor="text1"/>
          <w:sz w:val="20"/>
          <w:szCs w:val="20"/>
        </w:rPr>
        <w:t>+P&lt;0.1; *, P&lt;0.05; **, P&lt;0.01;   ***, P&lt;0.001; ****, P&lt;0.0001).</w:t>
      </w:r>
      <w:bookmarkEnd w:id="65"/>
    </w:p>
    <w:tbl>
      <w:tblPr>
        <w:tblStyle w:val="TableGrid"/>
        <w:tblW w:w="0" w:type="auto"/>
        <w:tblLook w:val="04A0" w:firstRow="1" w:lastRow="0" w:firstColumn="1" w:lastColumn="0" w:noHBand="0" w:noVBand="1"/>
      </w:tblPr>
      <w:tblGrid>
        <w:gridCol w:w="2137"/>
        <w:gridCol w:w="2137"/>
        <w:gridCol w:w="2138"/>
        <w:gridCol w:w="2138"/>
      </w:tblGrid>
      <w:tr w:rsidR="0019038E" w14:paraId="675AAD34" w14:textId="77777777" w:rsidTr="00D82647">
        <w:tc>
          <w:tcPr>
            <w:tcW w:w="2137" w:type="dxa"/>
          </w:tcPr>
          <w:p w14:paraId="517CB432" w14:textId="77777777" w:rsidR="0019038E" w:rsidRPr="003E78AC" w:rsidRDefault="0019038E" w:rsidP="00D82647">
            <w:pPr>
              <w:spacing w:line="360" w:lineRule="auto"/>
              <w:rPr>
                <w:color w:val="000000" w:themeColor="text1"/>
              </w:rPr>
            </w:pPr>
            <w:r w:rsidRPr="003E78AC">
              <w:rPr>
                <w:color w:val="000000" w:themeColor="text1"/>
              </w:rPr>
              <w:t>source</w:t>
            </w:r>
          </w:p>
        </w:tc>
        <w:tc>
          <w:tcPr>
            <w:tcW w:w="2137" w:type="dxa"/>
          </w:tcPr>
          <w:p w14:paraId="3819C106" w14:textId="77777777" w:rsidR="0019038E" w:rsidRPr="003E78AC" w:rsidRDefault="0019038E" w:rsidP="00D82647">
            <w:pPr>
              <w:spacing w:line="360" w:lineRule="auto"/>
              <w:rPr>
                <w:color w:val="000000" w:themeColor="text1"/>
              </w:rPr>
            </w:pPr>
            <w:r w:rsidRPr="003E78AC">
              <w:rPr>
                <w:color w:val="000000" w:themeColor="text1"/>
              </w:rPr>
              <w:t>DF</w:t>
            </w:r>
          </w:p>
        </w:tc>
        <w:tc>
          <w:tcPr>
            <w:tcW w:w="2138" w:type="dxa"/>
          </w:tcPr>
          <w:p w14:paraId="4F0EDB5F" w14:textId="77777777" w:rsidR="0019038E" w:rsidRPr="003E78AC" w:rsidRDefault="0019038E" w:rsidP="00D82647">
            <w:pPr>
              <w:spacing w:line="360" w:lineRule="auto"/>
              <w:rPr>
                <w:color w:val="000000" w:themeColor="text1"/>
              </w:rPr>
            </w:pPr>
            <w:r w:rsidRPr="003E78AC">
              <w:rPr>
                <w:color w:val="000000" w:themeColor="text1"/>
              </w:rPr>
              <w:t>F value</w:t>
            </w:r>
          </w:p>
        </w:tc>
        <w:tc>
          <w:tcPr>
            <w:tcW w:w="2138" w:type="dxa"/>
          </w:tcPr>
          <w:p w14:paraId="08029D56" w14:textId="77777777" w:rsidR="0019038E" w:rsidRPr="003E78AC" w:rsidRDefault="0019038E" w:rsidP="00D82647">
            <w:pPr>
              <w:spacing w:line="360" w:lineRule="auto"/>
              <w:rPr>
                <w:color w:val="000000" w:themeColor="text1"/>
              </w:rPr>
            </w:pPr>
            <w:r w:rsidRPr="003E78AC">
              <w:rPr>
                <w:color w:val="000000" w:themeColor="text1"/>
              </w:rPr>
              <w:t>P value</w:t>
            </w:r>
          </w:p>
        </w:tc>
      </w:tr>
      <w:tr w:rsidR="0019038E" w14:paraId="55160AC0" w14:textId="77777777" w:rsidTr="00D82647">
        <w:tc>
          <w:tcPr>
            <w:tcW w:w="2137" w:type="dxa"/>
          </w:tcPr>
          <w:p w14:paraId="1CB3903D" w14:textId="77777777" w:rsidR="0019038E" w:rsidRPr="003E78AC" w:rsidRDefault="0019038E" w:rsidP="00D82647">
            <w:pPr>
              <w:rPr>
                <w:rFonts w:ascii="Arial" w:hAnsi="Arial" w:cs="Arial"/>
                <w:color w:val="000000" w:themeColor="text1"/>
              </w:rPr>
            </w:pPr>
            <w:r w:rsidRPr="003E78AC">
              <w:rPr>
                <w:rFonts w:ascii="Arial" w:hAnsi="Arial" w:cs="Arial"/>
                <w:color w:val="000000" w:themeColor="text1"/>
              </w:rPr>
              <w:t>Treatment (between columns)</w:t>
            </w:r>
          </w:p>
          <w:p w14:paraId="2FB140AA" w14:textId="77777777" w:rsidR="0019038E" w:rsidRPr="003E78AC" w:rsidRDefault="0019038E" w:rsidP="00D82647">
            <w:pPr>
              <w:spacing w:line="360" w:lineRule="auto"/>
              <w:rPr>
                <w:color w:val="000000" w:themeColor="text1"/>
              </w:rPr>
            </w:pPr>
          </w:p>
        </w:tc>
        <w:tc>
          <w:tcPr>
            <w:tcW w:w="2137" w:type="dxa"/>
          </w:tcPr>
          <w:p w14:paraId="3E0A7EB1" w14:textId="77777777" w:rsidR="0019038E" w:rsidRPr="003E78AC" w:rsidRDefault="0019038E" w:rsidP="00D82647">
            <w:pPr>
              <w:spacing w:line="360" w:lineRule="auto"/>
              <w:rPr>
                <w:color w:val="000000" w:themeColor="text1"/>
              </w:rPr>
            </w:pPr>
            <w:r w:rsidRPr="003E78AC">
              <w:rPr>
                <w:color w:val="000000" w:themeColor="text1"/>
              </w:rPr>
              <w:t>15</w:t>
            </w:r>
          </w:p>
        </w:tc>
        <w:tc>
          <w:tcPr>
            <w:tcW w:w="2138" w:type="dxa"/>
          </w:tcPr>
          <w:p w14:paraId="33AB2A56" w14:textId="77777777" w:rsidR="0019038E" w:rsidRPr="003E78AC" w:rsidRDefault="0019038E" w:rsidP="00D82647">
            <w:pPr>
              <w:rPr>
                <w:rFonts w:ascii="Arial" w:hAnsi="Arial" w:cs="Arial"/>
                <w:color w:val="000000" w:themeColor="text1"/>
              </w:rPr>
            </w:pPr>
            <w:r w:rsidRPr="003E78AC">
              <w:rPr>
                <w:rFonts w:ascii="Arial" w:hAnsi="Arial" w:cs="Arial"/>
                <w:color w:val="000000" w:themeColor="text1"/>
              </w:rPr>
              <w:t>F (15, 58) = 7.705</w:t>
            </w:r>
          </w:p>
          <w:p w14:paraId="4883FD82" w14:textId="77777777" w:rsidR="0019038E" w:rsidRPr="003E78AC" w:rsidRDefault="0019038E" w:rsidP="00D82647">
            <w:pPr>
              <w:spacing w:line="360" w:lineRule="auto"/>
              <w:rPr>
                <w:color w:val="000000" w:themeColor="text1"/>
              </w:rPr>
            </w:pPr>
          </w:p>
        </w:tc>
        <w:tc>
          <w:tcPr>
            <w:tcW w:w="2138" w:type="dxa"/>
          </w:tcPr>
          <w:p w14:paraId="0AA13D05" w14:textId="77777777" w:rsidR="0019038E" w:rsidRPr="003E78AC" w:rsidRDefault="0019038E" w:rsidP="00D82647">
            <w:pPr>
              <w:rPr>
                <w:rFonts w:ascii="Arial" w:hAnsi="Arial" w:cs="Arial"/>
                <w:color w:val="000000" w:themeColor="text1"/>
              </w:rPr>
            </w:pPr>
            <w:r w:rsidRPr="003E78AC">
              <w:rPr>
                <w:rFonts w:ascii="Arial" w:hAnsi="Arial" w:cs="Arial"/>
                <w:color w:val="000000" w:themeColor="text1"/>
              </w:rPr>
              <w:t>P&lt;0.0001</w:t>
            </w:r>
          </w:p>
          <w:p w14:paraId="66AEA5A8" w14:textId="77777777" w:rsidR="0019038E" w:rsidRPr="003E78AC" w:rsidRDefault="0019038E" w:rsidP="00D82647">
            <w:pPr>
              <w:spacing w:line="360" w:lineRule="auto"/>
              <w:rPr>
                <w:color w:val="000000" w:themeColor="text1"/>
              </w:rPr>
            </w:pPr>
          </w:p>
        </w:tc>
      </w:tr>
      <w:tr w:rsidR="0019038E" w14:paraId="77A593F1" w14:textId="77777777" w:rsidTr="00D82647">
        <w:tc>
          <w:tcPr>
            <w:tcW w:w="2137" w:type="dxa"/>
          </w:tcPr>
          <w:p w14:paraId="49A75718" w14:textId="77777777" w:rsidR="0019038E" w:rsidRPr="003E78AC" w:rsidRDefault="0019038E" w:rsidP="00D82647">
            <w:pPr>
              <w:rPr>
                <w:rFonts w:ascii="Arial" w:hAnsi="Arial" w:cs="Arial"/>
                <w:color w:val="000000" w:themeColor="text1"/>
              </w:rPr>
            </w:pPr>
            <w:r w:rsidRPr="003E78AC">
              <w:rPr>
                <w:rFonts w:ascii="Arial" w:hAnsi="Arial" w:cs="Arial"/>
                <w:color w:val="000000" w:themeColor="text1"/>
              </w:rPr>
              <w:t>Residual (within columns)</w:t>
            </w:r>
          </w:p>
          <w:p w14:paraId="33C50A69" w14:textId="77777777" w:rsidR="0019038E" w:rsidRPr="003E78AC" w:rsidRDefault="0019038E" w:rsidP="00D82647">
            <w:pPr>
              <w:spacing w:line="360" w:lineRule="auto"/>
              <w:rPr>
                <w:color w:val="000000" w:themeColor="text1"/>
              </w:rPr>
            </w:pPr>
          </w:p>
        </w:tc>
        <w:tc>
          <w:tcPr>
            <w:tcW w:w="2137" w:type="dxa"/>
          </w:tcPr>
          <w:p w14:paraId="292D3E0E" w14:textId="77777777" w:rsidR="0019038E" w:rsidRPr="003E78AC" w:rsidRDefault="0019038E" w:rsidP="00D82647">
            <w:pPr>
              <w:spacing w:line="360" w:lineRule="auto"/>
              <w:rPr>
                <w:color w:val="000000" w:themeColor="text1"/>
              </w:rPr>
            </w:pPr>
            <w:r w:rsidRPr="003E78AC">
              <w:rPr>
                <w:color w:val="000000" w:themeColor="text1"/>
              </w:rPr>
              <w:t>58</w:t>
            </w:r>
          </w:p>
        </w:tc>
        <w:tc>
          <w:tcPr>
            <w:tcW w:w="2138" w:type="dxa"/>
          </w:tcPr>
          <w:p w14:paraId="47B265BE" w14:textId="77777777" w:rsidR="0019038E" w:rsidRPr="003E78AC" w:rsidRDefault="0019038E" w:rsidP="00D82647">
            <w:pPr>
              <w:spacing w:line="360" w:lineRule="auto"/>
              <w:rPr>
                <w:color w:val="000000" w:themeColor="text1"/>
              </w:rPr>
            </w:pPr>
          </w:p>
        </w:tc>
        <w:tc>
          <w:tcPr>
            <w:tcW w:w="2138" w:type="dxa"/>
          </w:tcPr>
          <w:p w14:paraId="21F60EE1" w14:textId="77777777" w:rsidR="0019038E" w:rsidRPr="003E78AC" w:rsidRDefault="0019038E" w:rsidP="00D82647">
            <w:pPr>
              <w:spacing w:line="360" w:lineRule="auto"/>
              <w:rPr>
                <w:color w:val="000000" w:themeColor="text1"/>
              </w:rPr>
            </w:pPr>
          </w:p>
        </w:tc>
      </w:tr>
      <w:tr w:rsidR="0019038E" w14:paraId="7BCFFD3A" w14:textId="77777777" w:rsidTr="00D82647">
        <w:tc>
          <w:tcPr>
            <w:tcW w:w="2137" w:type="dxa"/>
          </w:tcPr>
          <w:p w14:paraId="26298C53" w14:textId="77777777" w:rsidR="0019038E" w:rsidRPr="003E78AC" w:rsidRDefault="0019038E" w:rsidP="00D82647">
            <w:pPr>
              <w:rPr>
                <w:rFonts w:ascii="Arial" w:hAnsi="Arial" w:cs="Arial"/>
                <w:color w:val="000000" w:themeColor="text1"/>
              </w:rPr>
            </w:pPr>
            <w:r w:rsidRPr="003E78AC">
              <w:rPr>
                <w:rFonts w:ascii="Arial" w:hAnsi="Arial" w:cs="Arial"/>
                <w:color w:val="000000" w:themeColor="text1"/>
              </w:rPr>
              <w:t>Total</w:t>
            </w:r>
          </w:p>
          <w:p w14:paraId="22F904BA" w14:textId="77777777" w:rsidR="0019038E" w:rsidRPr="003E78AC" w:rsidRDefault="0019038E" w:rsidP="00D82647">
            <w:pPr>
              <w:spacing w:line="360" w:lineRule="auto"/>
              <w:rPr>
                <w:color w:val="000000" w:themeColor="text1"/>
              </w:rPr>
            </w:pPr>
          </w:p>
        </w:tc>
        <w:tc>
          <w:tcPr>
            <w:tcW w:w="2137" w:type="dxa"/>
          </w:tcPr>
          <w:p w14:paraId="46370C5E" w14:textId="77777777" w:rsidR="0019038E" w:rsidRPr="003E78AC" w:rsidRDefault="0019038E" w:rsidP="00D82647">
            <w:pPr>
              <w:spacing w:line="360" w:lineRule="auto"/>
              <w:rPr>
                <w:color w:val="000000" w:themeColor="text1"/>
              </w:rPr>
            </w:pPr>
            <w:r w:rsidRPr="003E78AC">
              <w:rPr>
                <w:color w:val="000000" w:themeColor="text1"/>
              </w:rPr>
              <w:t>73</w:t>
            </w:r>
          </w:p>
        </w:tc>
        <w:tc>
          <w:tcPr>
            <w:tcW w:w="2138" w:type="dxa"/>
          </w:tcPr>
          <w:p w14:paraId="48E23FD9" w14:textId="77777777" w:rsidR="0019038E" w:rsidRPr="003E78AC" w:rsidRDefault="0019038E" w:rsidP="00D82647">
            <w:pPr>
              <w:spacing w:line="360" w:lineRule="auto"/>
              <w:rPr>
                <w:color w:val="000000" w:themeColor="text1"/>
              </w:rPr>
            </w:pPr>
          </w:p>
        </w:tc>
        <w:tc>
          <w:tcPr>
            <w:tcW w:w="2138" w:type="dxa"/>
          </w:tcPr>
          <w:p w14:paraId="2AB84F89" w14:textId="77777777" w:rsidR="0019038E" w:rsidRPr="003E78AC" w:rsidRDefault="0019038E" w:rsidP="00D82647">
            <w:pPr>
              <w:spacing w:line="360" w:lineRule="auto"/>
              <w:rPr>
                <w:color w:val="000000" w:themeColor="text1"/>
              </w:rPr>
            </w:pPr>
          </w:p>
        </w:tc>
      </w:tr>
    </w:tbl>
    <w:p w14:paraId="1FFBEA86" w14:textId="228F6454" w:rsidR="0019038E" w:rsidRDefault="0019038E" w:rsidP="0019038E">
      <w:pPr>
        <w:pStyle w:val="Heading3"/>
      </w:pPr>
    </w:p>
    <w:p w14:paraId="72089CF1" w14:textId="77777777" w:rsidR="00705907" w:rsidRPr="00705907" w:rsidRDefault="00705907" w:rsidP="00705907"/>
    <w:p w14:paraId="1E60D180" w14:textId="77777777" w:rsidR="0019038E" w:rsidRPr="00BF1832" w:rsidRDefault="0019038E" w:rsidP="0019038E">
      <w:pPr>
        <w:pStyle w:val="Heading3"/>
      </w:pPr>
      <w:bookmarkStart w:id="66" w:name="_Toc83751437"/>
      <w:r w:rsidRPr="00BF1832">
        <w:lastRenderedPageBreak/>
        <w:t>2.3.6 correlation between Arbuscules percentage and nutrients uptake</w:t>
      </w:r>
      <w:bookmarkEnd w:id="66"/>
    </w:p>
    <w:p w14:paraId="0351E588" w14:textId="77777777" w:rsidR="0019038E" w:rsidRPr="002932E6" w:rsidRDefault="0019038E" w:rsidP="0019038E">
      <w:pPr>
        <w:spacing w:afterLines="280" w:after="672" w:line="360" w:lineRule="auto"/>
        <w:jc w:val="lowKashida"/>
        <w:rPr>
          <w:color w:val="FF0000"/>
        </w:rPr>
      </w:pPr>
    </w:p>
    <w:p w14:paraId="77DF5790" w14:textId="77777777" w:rsidR="0019038E" w:rsidRDefault="0019038E" w:rsidP="0019038E">
      <w:pPr>
        <w:keepNext/>
        <w:spacing w:afterLines="280" w:after="672" w:line="360" w:lineRule="auto"/>
        <w:jc w:val="lowKashida"/>
      </w:pPr>
      <w:r w:rsidRPr="002932E6">
        <w:rPr>
          <w:noProof/>
          <w:color w:val="FF0000"/>
          <w:lang w:val="en-GB" w:eastAsia="en-GB"/>
        </w:rPr>
        <w:drawing>
          <wp:inline distT="0" distB="0" distL="0" distR="0" wp14:anchorId="71A06CE4" wp14:editId="327E4863">
            <wp:extent cx="5435600" cy="5765165"/>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35600" cy="5765165"/>
                    </a:xfrm>
                    <a:prstGeom prst="rect">
                      <a:avLst/>
                    </a:prstGeom>
                  </pic:spPr>
                </pic:pic>
              </a:graphicData>
            </a:graphic>
          </wp:inline>
        </w:drawing>
      </w:r>
    </w:p>
    <w:p w14:paraId="4E2F2241" w14:textId="09EA52F7" w:rsidR="0019038E" w:rsidRPr="00DF1978" w:rsidRDefault="0019038E" w:rsidP="0019038E">
      <w:pPr>
        <w:spacing w:before="100" w:beforeAutospacing="1" w:afterLines="280" w:after="672"/>
        <w:jc w:val="lowKashida"/>
        <w:rPr>
          <w:sz w:val="20"/>
          <w:szCs w:val="20"/>
        </w:rPr>
      </w:pPr>
      <w:bookmarkStart w:id="67" w:name="_Toc83751355"/>
      <w:r w:rsidRPr="009713B2">
        <w:rPr>
          <w:sz w:val="20"/>
          <w:szCs w:val="20"/>
        </w:rPr>
        <w:t xml:space="preserve">Figure </w:t>
      </w:r>
      <w:r w:rsidR="00843EDC">
        <w:rPr>
          <w:sz w:val="20"/>
          <w:szCs w:val="20"/>
        </w:rPr>
        <w:fldChar w:fldCharType="begin"/>
      </w:r>
      <w:r w:rsidR="00843EDC">
        <w:rPr>
          <w:sz w:val="20"/>
          <w:szCs w:val="20"/>
        </w:rPr>
        <w:instrText xml:space="preserve"> STYLEREF 1 \s </w:instrText>
      </w:r>
      <w:r w:rsidR="00843EDC">
        <w:rPr>
          <w:sz w:val="20"/>
          <w:szCs w:val="20"/>
        </w:rPr>
        <w:fldChar w:fldCharType="separate"/>
      </w:r>
      <w:r w:rsidR="00843EDC">
        <w:rPr>
          <w:noProof/>
          <w:sz w:val="20"/>
          <w:szCs w:val="20"/>
          <w:cs/>
        </w:rPr>
        <w:t>‎</w:t>
      </w:r>
      <w:r w:rsidR="00843EDC">
        <w:rPr>
          <w:noProof/>
          <w:sz w:val="20"/>
          <w:szCs w:val="20"/>
        </w:rPr>
        <w:t>2</w:t>
      </w:r>
      <w:r w:rsidR="00843EDC">
        <w:rPr>
          <w:sz w:val="20"/>
          <w:szCs w:val="20"/>
        </w:rPr>
        <w:fldChar w:fldCharType="end"/>
      </w:r>
      <w:r w:rsidR="00843EDC">
        <w:rPr>
          <w:sz w:val="20"/>
          <w:szCs w:val="20"/>
        </w:rPr>
        <w:t>.</w:t>
      </w:r>
      <w:r w:rsidR="00843EDC">
        <w:rPr>
          <w:sz w:val="20"/>
          <w:szCs w:val="20"/>
        </w:rPr>
        <w:fldChar w:fldCharType="begin"/>
      </w:r>
      <w:r w:rsidR="00843EDC">
        <w:rPr>
          <w:sz w:val="20"/>
          <w:szCs w:val="20"/>
        </w:rPr>
        <w:instrText xml:space="preserve"> SEQ Figure \* ARABIC \s 1 </w:instrText>
      </w:r>
      <w:r w:rsidR="00843EDC">
        <w:rPr>
          <w:sz w:val="20"/>
          <w:szCs w:val="20"/>
        </w:rPr>
        <w:fldChar w:fldCharType="separate"/>
      </w:r>
      <w:r w:rsidR="00843EDC">
        <w:rPr>
          <w:noProof/>
          <w:sz w:val="20"/>
          <w:szCs w:val="20"/>
        </w:rPr>
        <w:t>9</w:t>
      </w:r>
      <w:r w:rsidR="00843EDC">
        <w:rPr>
          <w:sz w:val="20"/>
          <w:szCs w:val="20"/>
        </w:rPr>
        <w:fldChar w:fldCharType="end"/>
      </w:r>
      <w:r w:rsidRPr="00DF1978">
        <w:rPr>
          <w:sz w:val="20"/>
          <w:szCs w:val="20"/>
        </w:rPr>
        <w:t xml:space="preserve"> Regression between Arbuscules percentage and P, N content in the shoots of the arbuscular mycorrhiza inoculated (AM+) maize crop plants.</w:t>
      </w:r>
      <w:bookmarkEnd w:id="67"/>
      <w:r w:rsidRPr="00DF1978">
        <w:rPr>
          <w:sz w:val="20"/>
          <w:szCs w:val="20"/>
        </w:rPr>
        <w:t xml:space="preserve"> </w:t>
      </w:r>
    </w:p>
    <w:p w14:paraId="0141FA99" w14:textId="77777777" w:rsidR="0019038E" w:rsidRPr="002932E6" w:rsidRDefault="0019038E" w:rsidP="0019038E">
      <w:pPr>
        <w:pStyle w:val="Caption"/>
        <w:jc w:val="lowKashida"/>
        <w:rPr>
          <w:color w:val="FF0000"/>
          <w:sz w:val="24"/>
          <w:szCs w:val="24"/>
        </w:rPr>
      </w:pPr>
    </w:p>
    <w:p w14:paraId="5B377109" w14:textId="77777777" w:rsidR="0019038E" w:rsidRPr="002932E6" w:rsidRDefault="0019038E" w:rsidP="0019038E">
      <w:pPr>
        <w:spacing w:afterLines="280" w:after="672" w:line="360" w:lineRule="auto"/>
        <w:jc w:val="lowKashida"/>
        <w:rPr>
          <w:b/>
          <w:bCs/>
          <w:i/>
          <w:iCs/>
        </w:rPr>
      </w:pPr>
    </w:p>
    <w:p w14:paraId="78F83B9C" w14:textId="77777777" w:rsidR="0019038E" w:rsidRDefault="0019038E" w:rsidP="00705907">
      <w:pPr>
        <w:pStyle w:val="mythesis"/>
      </w:pPr>
      <w:r w:rsidRPr="002932E6">
        <w:lastRenderedPageBreak/>
        <w:t>When we do the regression analysis for the Arbuscules percentage of the treated plant and study the relationship between Arbuscules percentage and the nutrient uptakes for P and N in the shoot of the maize plant, our results presented that there were no significant results at all in the shoot nutrient uptake</w:t>
      </w:r>
      <w:r>
        <w:t xml:space="preserve">. </w:t>
      </w:r>
      <w:r w:rsidRPr="002932E6">
        <w:t>The results indicated that the was no effect of the colonization structures (Arbuscules) on the nutrient uptakes of the plant.</w:t>
      </w:r>
    </w:p>
    <w:p w14:paraId="6613D711" w14:textId="77777777" w:rsidR="0019038E" w:rsidRPr="00DF1978" w:rsidRDefault="0019038E" w:rsidP="0019038E">
      <w:pPr>
        <w:spacing w:afterLines="280" w:after="672" w:line="360" w:lineRule="auto"/>
        <w:jc w:val="lowKashida"/>
      </w:pPr>
    </w:p>
    <w:p w14:paraId="222E89B5" w14:textId="77777777" w:rsidR="0019038E" w:rsidRPr="00A81785" w:rsidRDefault="0019038E" w:rsidP="0019038E">
      <w:pPr>
        <w:spacing w:afterLines="280" w:after="672"/>
        <w:jc w:val="lowKashida"/>
        <w:rPr>
          <w:color w:val="000000" w:themeColor="text1"/>
          <w:sz w:val="20"/>
          <w:szCs w:val="20"/>
        </w:rPr>
      </w:pPr>
      <w:bookmarkStart w:id="68" w:name="_Toc83750078"/>
      <w:r w:rsidRPr="006B7088">
        <w:rPr>
          <w:sz w:val="20"/>
          <w:szCs w:val="20"/>
        </w:rPr>
        <w:t xml:space="preserve">Table </w:t>
      </w:r>
      <w:r w:rsidRPr="006B7088">
        <w:rPr>
          <w:sz w:val="20"/>
          <w:szCs w:val="20"/>
        </w:rPr>
        <w:fldChar w:fldCharType="begin"/>
      </w:r>
      <w:r w:rsidRPr="006B7088">
        <w:rPr>
          <w:sz w:val="20"/>
          <w:szCs w:val="20"/>
        </w:rPr>
        <w:instrText xml:space="preserve"> STYLEREF 1 \s </w:instrText>
      </w:r>
      <w:r w:rsidRPr="006B7088">
        <w:rPr>
          <w:sz w:val="20"/>
          <w:szCs w:val="20"/>
        </w:rPr>
        <w:fldChar w:fldCharType="separate"/>
      </w:r>
      <w:r w:rsidRPr="006B7088">
        <w:rPr>
          <w:noProof/>
          <w:sz w:val="20"/>
          <w:szCs w:val="20"/>
          <w:cs/>
        </w:rPr>
        <w:t>‎</w:t>
      </w:r>
      <w:r w:rsidRPr="006B7088">
        <w:rPr>
          <w:noProof/>
          <w:sz w:val="20"/>
          <w:szCs w:val="20"/>
        </w:rPr>
        <w:t>2</w:t>
      </w:r>
      <w:r w:rsidRPr="006B7088">
        <w:rPr>
          <w:sz w:val="20"/>
          <w:szCs w:val="20"/>
        </w:rPr>
        <w:fldChar w:fldCharType="end"/>
      </w:r>
      <w:r w:rsidRPr="006B7088">
        <w:rPr>
          <w:sz w:val="20"/>
          <w:szCs w:val="20"/>
        </w:rPr>
        <w:t>.</w:t>
      </w:r>
      <w:r w:rsidRPr="006B7088">
        <w:rPr>
          <w:sz w:val="20"/>
          <w:szCs w:val="20"/>
        </w:rPr>
        <w:fldChar w:fldCharType="begin"/>
      </w:r>
      <w:r w:rsidRPr="006B7088">
        <w:rPr>
          <w:sz w:val="20"/>
          <w:szCs w:val="20"/>
        </w:rPr>
        <w:instrText xml:space="preserve"> SEQ Table \* ARABIC \s 1 </w:instrText>
      </w:r>
      <w:r w:rsidRPr="006B7088">
        <w:rPr>
          <w:sz w:val="20"/>
          <w:szCs w:val="20"/>
        </w:rPr>
        <w:fldChar w:fldCharType="separate"/>
      </w:r>
      <w:r w:rsidRPr="006B7088">
        <w:rPr>
          <w:noProof/>
          <w:sz w:val="20"/>
          <w:szCs w:val="20"/>
        </w:rPr>
        <w:t>10</w:t>
      </w:r>
      <w:r w:rsidRPr="006B7088">
        <w:rPr>
          <w:sz w:val="20"/>
          <w:szCs w:val="20"/>
        </w:rPr>
        <w:fldChar w:fldCharType="end"/>
      </w:r>
      <w:r w:rsidRPr="00723E53">
        <w:rPr>
          <w:sz w:val="20"/>
          <w:szCs w:val="20"/>
        </w:rPr>
        <w:t xml:space="preserve"> </w:t>
      </w:r>
      <w:r w:rsidRPr="00723E53">
        <w:rPr>
          <w:color w:val="000000" w:themeColor="text1"/>
          <w:sz w:val="20"/>
          <w:szCs w:val="20"/>
        </w:rPr>
        <w:t>Results of regression statistical between mycorrhizal responsiveness and P, N content in the shoots of the arbuscular mycorrhiza.</w:t>
      </w:r>
      <w:bookmarkEnd w:id="68"/>
    </w:p>
    <w:tbl>
      <w:tblPr>
        <w:tblStyle w:val="TableGrid"/>
        <w:tblpPr w:leftFromText="180" w:rightFromText="180" w:vertAnchor="text" w:horzAnchor="margin" w:tblpY="-24"/>
        <w:tblW w:w="8642" w:type="dxa"/>
        <w:tblLook w:val="04A0" w:firstRow="1" w:lastRow="0" w:firstColumn="1" w:lastColumn="0" w:noHBand="0" w:noVBand="1"/>
      </w:tblPr>
      <w:tblGrid>
        <w:gridCol w:w="2689"/>
        <w:gridCol w:w="1701"/>
        <w:gridCol w:w="992"/>
        <w:gridCol w:w="1559"/>
        <w:gridCol w:w="1701"/>
      </w:tblGrid>
      <w:tr w:rsidR="0019038E" w:rsidRPr="00F8691D" w14:paraId="5307AB65" w14:textId="77777777" w:rsidTr="00D82647">
        <w:tc>
          <w:tcPr>
            <w:tcW w:w="2689" w:type="dxa"/>
          </w:tcPr>
          <w:p w14:paraId="6E65B91F"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Source</w:t>
            </w:r>
          </w:p>
        </w:tc>
        <w:tc>
          <w:tcPr>
            <w:tcW w:w="1701" w:type="dxa"/>
          </w:tcPr>
          <w:p w14:paraId="4F7BC855"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R squared</w:t>
            </w:r>
          </w:p>
          <w:p w14:paraId="5AC13846"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c>
          <w:tcPr>
            <w:tcW w:w="992" w:type="dxa"/>
          </w:tcPr>
          <w:p w14:paraId="4198B5A3"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F</w:t>
            </w:r>
          </w:p>
        </w:tc>
        <w:tc>
          <w:tcPr>
            <w:tcW w:w="1559" w:type="dxa"/>
          </w:tcPr>
          <w:p w14:paraId="1A7D10C0"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P VALUE</w:t>
            </w:r>
          </w:p>
        </w:tc>
        <w:tc>
          <w:tcPr>
            <w:tcW w:w="1701" w:type="dxa"/>
          </w:tcPr>
          <w:p w14:paraId="4AF843C1"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Sy.x</w:t>
            </w:r>
          </w:p>
          <w:p w14:paraId="314C312F"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r>
      <w:tr w:rsidR="0019038E" w:rsidRPr="00F8691D" w14:paraId="4F292247" w14:textId="77777777" w:rsidTr="00D82647">
        <w:tc>
          <w:tcPr>
            <w:tcW w:w="2689" w:type="dxa"/>
          </w:tcPr>
          <w:p w14:paraId="68471AEE"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r w:rsidRPr="00F8691D">
              <w:rPr>
                <w:rFonts w:asciiTheme="majorBidi" w:eastAsiaTheme="minorHAnsi" w:hAnsiTheme="majorBidi" w:cstheme="majorBidi"/>
                <w:color w:val="000000" w:themeColor="text1"/>
                <w:sz w:val="24"/>
                <w:szCs w:val="24"/>
              </w:rPr>
              <w:t>Shoot concentration P mg P /g dry weight</w:t>
            </w:r>
          </w:p>
        </w:tc>
        <w:tc>
          <w:tcPr>
            <w:tcW w:w="1701" w:type="dxa"/>
          </w:tcPr>
          <w:p w14:paraId="0AE1031E"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0.009397</w:t>
            </w:r>
          </w:p>
          <w:p w14:paraId="75414387"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c>
          <w:tcPr>
            <w:tcW w:w="992" w:type="dxa"/>
          </w:tcPr>
          <w:p w14:paraId="63C883A2"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0.6641</w:t>
            </w:r>
          </w:p>
          <w:p w14:paraId="1E6EC5C8"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c>
          <w:tcPr>
            <w:tcW w:w="1559" w:type="dxa"/>
          </w:tcPr>
          <w:p w14:paraId="1AA63AA9"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0.4179</w:t>
            </w:r>
          </w:p>
          <w:p w14:paraId="7625374A"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c>
          <w:tcPr>
            <w:tcW w:w="1701" w:type="dxa"/>
          </w:tcPr>
          <w:p w14:paraId="0CC7002E"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0.01862</w:t>
            </w:r>
          </w:p>
          <w:p w14:paraId="495EA693"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r>
      <w:tr w:rsidR="0019038E" w:rsidRPr="00F8691D" w14:paraId="4D7C5F47" w14:textId="77777777" w:rsidTr="00D82647">
        <w:tc>
          <w:tcPr>
            <w:tcW w:w="2689" w:type="dxa"/>
          </w:tcPr>
          <w:p w14:paraId="7814E591"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r w:rsidRPr="00F8691D">
              <w:rPr>
                <w:rFonts w:asciiTheme="majorBidi" w:eastAsiaTheme="minorHAnsi" w:hAnsiTheme="majorBidi" w:cstheme="majorBidi"/>
                <w:color w:val="000000" w:themeColor="text1"/>
                <w:sz w:val="24"/>
                <w:szCs w:val="24"/>
              </w:rPr>
              <w:t>Shoot mass of P</w:t>
            </w:r>
          </w:p>
        </w:tc>
        <w:tc>
          <w:tcPr>
            <w:tcW w:w="1701" w:type="dxa"/>
          </w:tcPr>
          <w:p w14:paraId="54B7DB78"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0.6644</w:t>
            </w:r>
          </w:p>
          <w:p w14:paraId="2C6B64BC"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c>
          <w:tcPr>
            <w:tcW w:w="992" w:type="dxa"/>
          </w:tcPr>
          <w:p w14:paraId="2F04477B"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0.1895</w:t>
            </w:r>
          </w:p>
          <w:p w14:paraId="52370297"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c>
          <w:tcPr>
            <w:tcW w:w="1559" w:type="dxa"/>
          </w:tcPr>
          <w:p w14:paraId="236B2A95"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0.6647</w:t>
            </w:r>
          </w:p>
          <w:p w14:paraId="614D53CB"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c>
          <w:tcPr>
            <w:tcW w:w="1701" w:type="dxa"/>
          </w:tcPr>
          <w:p w14:paraId="6E947F64"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0.05329</w:t>
            </w:r>
          </w:p>
          <w:p w14:paraId="51E807B4"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r>
      <w:tr w:rsidR="0019038E" w:rsidRPr="00F8691D" w14:paraId="7064A0A1" w14:textId="77777777" w:rsidTr="00D82647">
        <w:tc>
          <w:tcPr>
            <w:tcW w:w="2689" w:type="dxa"/>
          </w:tcPr>
          <w:p w14:paraId="37600D4C"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r w:rsidRPr="00F8691D">
              <w:rPr>
                <w:rFonts w:asciiTheme="majorBidi" w:eastAsiaTheme="minorHAnsi" w:hAnsiTheme="majorBidi" w:cstheme="majorBidi"/>
                <w:color w:val="000000" w:themeColor="text1"/>
                <w:sz w:val="24"/>
                <w:szCs w:val="24"/>
              </w:rPr>
              <w:t>Shoot concentration N mg N /g dry weight</w:t>
            </w:r>
          </w:p>
        </w:tc>
        <w:tc>
          <w:tcPr>
            <w:tcW w:w="1701" w:type="dxa"/>
          </w:tcPr>
          <w:p w14:paraId="7AEAE2AA"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0.2205</w:t>
            </w:r>
          </w:p>
          <w:p w14:paraId="20068D98"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c>
          <w:tcPr>
            <w:tcW w:w="992" w:type="dxa"/>
          </w:tcPr>
          <w:p w14:paraId="3672C12F"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0.2283</w:t>
            </w:r>
          </w:p>
          <w:p w14:paraId="6B69EE0E"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c>
          <w:tcPr>
            <w:tcW w:w="1559" w:type="dxa"/>
          </w:tcPr>
          <w:p w14:paraId="59DE81F3"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0.6343</w:t>
            </w:r>
          </w:p>
          <w:p w14:paraId="482C32A6"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c>
          <w:tcPr>
            <w:tcW w:w="1701" w:type="dxa"/>
          </w:tcPr>
          <w:p w14:paraId="629FEF4E"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0.2244</w:t>
            </w:r>
          </w:p>
          <w:p w14:paraId="2CAC7DD8"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r>
      <w:tr w:rsidR="0019038E" w:rsidRPr="00F8691D" w14:paraId="75CA862E" w14:textId="77777777" w:rsidTr="00D82647">
        <w:tc>
          <w:tcPr>
            <w:tcW w:w="2689" w:type="dxa"/>
          </w:tcPr>
          <w:p w14:paraId="5F734689"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r w:rsidRPr="00F8691D">
              <w:rPr>
                <w:rFonts w:asciiTheme="majorBidi" w:eastAsiaTheme="minorHAnsi" w:hAnsiTheme="majorBidi" w:cstheme="majorBidi"/>
                <w:color w:val="000000" w:themeColor="text1"/>
                <w:sz w:val="24"/>
                <w:szCs w:val="24"/>
              </w:rPr>
              <w:t>Shoot mass of N</w:t>
            </w:r>
          </w:p>
        </w:tc>
        <w:tc>
          <w:tcPr>
            <w:tcW w:w="1701" w:type="dxa"/>
          </w:tcPr>
          <w:p w14:paraId="6465CDF5"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0.04196</w:t>
            </w:r>
          </w:p>
          <w:p w14:paraId="309B2831"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c>
          <w:tcPr>
            <w:tcW w:w="992" w:type="dxa"/>
          </w:tcPr>
          <w:p w14:paraId="4B61A0C3"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1.730</w:t>
            </w:r>
          </w:p>
          <w:p w14:paraId="7B61452F"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c>
          <w:tcPr>
            <w:tcW w:w="1559" w:type="dxa"/>
          </w:tcPr>
          <w:p w14:paraId="5DA80EF0"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0.1927</w:t>
            </w:r>
          </w:p>
          <w:p w14:paraId="1351F890"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c>
          <w:tcPr>
            <w:tcW w:w="1701" w:type="dxa"/>
          </w:tcPr>
          <w:p w14:paraId="4AB96AF4"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0.4584</w:t>
            </w:r>
          </w:p>
          <w:p w14:paraId="4648E6C9"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r>
    </w:tbl>
    <w:p w14:paraId="758A98C1" w14:textId="77777777" w:rsidR="0019038E" w:rsidRPr="002932E6" w:rsidRDefault="0019038E" w:rsidP="0019038E">
      <w:pPr>
        <w:spacing w:afterLines="280" w:after="672" w:line="360" w:lineRule="auto"/>
        <w:jc w:val="lowKashida"/>
        <w:rPr>
          <w:b/>
          <w:bCs/>
          <w:i/>
          <w:iCs/>
          <w:color w:val="000000" w:themeColor="text1"/>
        </w:rPr>
      </w:pPr>
    </w:p>
    <w:p w14:paraId="611322AA" w14:textId="77777777" w:rsidR="0019038E" w:rsidRDefault="0019038E" w:rsidP="0019038E">
      <w:pPr>
        <w:spacing w:afterLines="280" w:after="672" w:line="360" w:lineRule="auto"/>
        <w:jc w:val="lowKashida"/>
        <w:rPr>
          <w:color w:val="FF0000"/>
        </w:rPr>
      </w:pPr>
    </w:p>
    <w:p w14:paraId="3625CC05" w14:textId="77777777" w:rsidR="0019038E" w:rsidRDefault="0019038E" w:rsidP="0019038E">
      <w:pPr>
        <w:spacing w:afterLines="280" w:after="672" w:line="360" w:lineRule="auto"/>
        <w:jc w:val="lowKashida"/>
        <w:rPr>
          <w:color w:val="FF0000"/>
        </w:rPr>
      </w:pPr>
    </w:p>
    <w:p w14:paraId="6310A3BF" w14:textId="77777777" w:rsidR="0019038E" w:rsidRDefault="0019038E" w:rsidP="0019038E">
      <w:pPr>
        <w:spacing w:afterLines="280" w:after="672" w:line="360" w:lineRule="auto"/>
        <w:jc w:val="lowKashida"/>
        <w:rPr>
          <w:color w:val="FF0000"/>
        </w:rPr>
      </w:pPr>
    </w:p>
    <w:p w14:paraId="1066BE9D" w14:textId="77777777" w:rsidR="0019038E" w:rsidRPr="002932E6" w:rsidRDefault="0019038E" w:rsidP="0019038E">
      <w:pPr>
        <w:spacing w:afterLines="280" w:after="672" w:line="360" w:lineRule="auto"/>
        <w:jc w:val="lowKashida"/>
        <w:rPr>
          <w:color w:val="FF0000"/>
        </w:rPr>
      </w:pPr>
    </w:p>
    <w:p w14:paraId="50AB59E9" w14:textId="77777777" w:rsidR="0019038E" w:rsidRPr="002932E6" w:rsidRDefault="0019038E" w:rsidP="0019038E">
      <w:pPr>
        <w:pStyle w:val="Heading3"/>
        <w:rPr>
          <w:iCs w:val="0"/>
        </w:rPr>
      </w:pPr>
      <w:bookmarkStart w:id="69" w:name="_Toc83751438"/>
      <w:r w:rsidRPr="002932E6">
        <w:lastRenderedPageBreak/>
        <w:t>2.3.7 correlation between Mycorrhizal</w:t>
      </w:r>
      <w:r w:rsidRPr="002932E6">
        <w:rPr>
          <w:color w:val="111111"/>
        </w:rPr>
        <w:t xml:space="preserve"> responsiveness and nutrients</w:t>
      </w:r>
      <w:r w:rsidRPr="002932E6">
        <w:t xml:space="preserve"> uptake</w:t>
      </w:r>
      <w:bookmarkEnd w:id="69"/>
      <w:r w:rsidRPr="002932E6">
        <w:rPr>
          <w:color w:val="111111"/>
        </w:rPr>
        <w:t xml:space="preserve"> </w:t>
      </w:r>
      <w:r w:rsidRPr="002932E6">
        <w:t xml:space="preserve">     </w:t>
      </w:r>
    </w:p>
    <w:p w14:paraId="58A5276B" w14:textId="77777777" w:rsidR="0019038E" w:rsidRPr="002932E6" w:rsidRDefault="0019038E" w:rsidP="0019038E">
      <w:pPr>
        <w:spacing w:afterLines="280" w:after="672" w:line="360" w:lineRule="auto"/>
        <w:jc w:val="lowKashida"/>
        <w:rPr>
          <w:color w:val="FF0000"/>
        </w:rPr>
      </w:pPr>
    </w:p>
    <w:p w14:paraId="52E623AA" w14:textId="77777777" w:rsidR="0019038E" w:rsidRPr="002932E6" w:rsidRDefault="0019038E" w:rsidP="0019038E">
      <w:pPr>
        <w:spacing w:afterLines="280" w:after="672" w:line="360" w:lineRule="auto"/>
        <w:jc w:val="lowKashida"/>
        <w:rPr>
          <w:color w:val="FF0000"/>
        </w:rPr>
      </w:pPr>
    </w:p>
    <w:p w14:paraId="61F30AE5" w14:textId="77777777" w:rsidR="0019038E" w:rsidRDefault="0019038E" w:rsidP="0019038E">
      <w:pPr>
        <w:keepNext/>
        <w:spacing w:afterLines="280" w:after="672" w:line="360" w:lineRule="auto"/>
        <w:jc w:val="lowKashida"/>
      </w:pPr>
      <w:r w:rsidRPr="002932E6">
        <w:rPr>
          <w:noProof/>
          <w:lang w:val="en-GB" w:eastAsia="en-GB"/>
        </w:rPr>
        <w:drawing>
          <wp:inline distT="0" distB="0" distL="0" distR="0" wp14:anchorId="31ABC4A0" wp14:editId="25A2EC9E">
            <wp:extent cx="5435600" cy="508889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35600" cy="5088890"/>
                    </a:xfrm>
                    <a:prstGeom prst="rect">
                      <a:avLst/>
                    </a:prstGeom>
                  </pic:spPr>
                </pic:pic>
              </a:graphicData>
            </a:graphic>
          </wp:inline>
        </w:drawing>
      </w:r>
    </w:p>
    <w:p w14:paraId="43F5E0BD" w14:textId="65EEEE38" w:rsidR="0019038E" w:rsidRPr="00DF1978" w:rsidRDefault="0019038E" w:rsidP="0019038E">
      <w:pPr>
        <w:spacing w:before="100" w:beforeAutospacing="1" w:afterLines="280" w:after="672"/>
        <w:jc w:val="lowKashida"/>
        <w:rPr>
          <w:sz w:val="20"/>
          <w:szCs w:val="20"/>
        </w:rPr>
      </w:pPr>
      <w:bookmarkStart w:id="70" w:name="_Toc83751356"/>
      <w:r w:rsidRPr="009713B2">
        <w:rPr>
          <w:sz w:val="20"/>
          <w:szCs w:val="20"/>
        </w:rPr>
        <w:t xml:space="preserve">Figure </w:t>
      </w:r>
      <w:r w:rsidR="00843EDC">
        <w:rPr>
          <w:sz w:val="20"/>
          <w:szCs w:val="20"/>
        </w:rPr>
        <w:fldChar w:fldCharType="begin"/>
      </w:r>
      <w:r w:rsidR="00843EDC">
        <w:rPr>
          <w:sz w:val="20"/>
          <w:szCs w:val="20"/>
        </w:rPr>
        <w:instrText xml:space="preserve"> STYLEREF 1 \s </w:instrText>
      </w:r>
      <w:r w:rsidR="00843EDC">
        <w:rPr>
          <w:sz w:val="20"/>
          <w:szCs w:val="20"/>
        </w:rPr>
        <w:fldChar w:fldCharType="separate"/>
      </w:r>
      <w:r w:rsidR="00843EDC">
        <w:rPr>
          <w:noProof/>
          <w:sz w:val="20"/>
          <w:szCs w:val="20"/>
          <w:cs/>
        </w:rPr>
        <w:t>‎</w:t>
      </w:r>
      <w:r w:rsidR="00843EDC">
        <w:rPr>
          <w:noProof/>
          <w:sz w:val="20"/>
          <w:szCs w:val="20"/>
        </w:rPr>
        <w:t>2</w:t>
      </w:r>
      <w:r w:rsidR="00843EDC">
        <w:rPr>
          <w:sz w:val="20"/>
          <w:szCs w:val="20"/>
        </w:rPr>
        <w:fldChar w:fldCharType="end"/>
      </w:r>
      <w:r w:rsidR="00843EDC">
        <w:rPr>
          <w:sz w:val="20"/>
          <w:szCs w:val="20"/>
        </w:rPr>
        <w:t>.</w:t>
      </w:r>
      <w:r w:rsidR="00843EDC">
        <w:rPr>
          <w:sz w:val="20"/>
          <w:szCs w:val="20"/>
        </w:rPr>
        <w:fldChar w:fldCharType="begin"/>
      </w:r>
      <w:r w:rsidR="00843EDC">
        <w:rPr>
          <w:sz w:val="20"/>
          <w:szCs w:val="20"/>
        </w:rPr>
        <w:instrText xml:space="preserve"> SEQ Figure \* ARABIC \s 1 </w:instrText>
      </w:r>
      <w:r w:rsidR="00843EDC">
        <w:rPr>
          <w:sz w:val="20"/>
          <w:szCs w:val="20"/>
        </w:rPr>
        <w:fldChar w:fldCharType="separate"/>
      </w:r>
      <w:r w:rsidR="00843EDC">
        <w:rPr>
          <w:noProof/>
          <w:sz w:val="20"/>
          <w:szCs w:val="20"/>
        </w:rPr>
        <w:t>10</w:t>
      </w:r>
      <w:r w:rsidR="00843EDC">
        <w:rPr>
          <w:sz w:val="20"/>
          <w:szCs w:val="20"/>
        </w:rPr>
        <w:fldChar w:fldCharType="end"/>
      </w:r>
      <w:r w:rsidRPr="00DF1978">
        <w:rPr>
          <w:sz w:val="20"/>
          <w:szCs w:val="20"/>
        </w:rPr>
        <w:t xml:space="preserve"> Regression between mycorrhizal responsiveness and P, N content in the shoots of the arbuscular mycorrhiza inoculated (AM+) maize crop plants.</w:t>
      </w:r>
      <w:bookmarkEnd w:id="70"/>
      <w:r w:rsidRPr="00DF1978">
        <w:rPr>
          <w:sz w:val="20"/>
          <w:szCs w:val="20"/>
        </w:rPr>
        <w:t xml:space="preserve"> </w:t>
      </w:r>
    </w:p>
    <w:p w14:paraId="4ABB7B91" w14:textId="77777777" w:rsidR="0019038E" w:rsidRPr="002932E6" w:rsidRDefault="0019038E" w:rsidP="0019038E">
      <w:pPr>
        <w:pStyle w:val="Caption"/>
        <w:jc w:val="lowKashida"/>
        <w:rPr>
          <w:sz w:val="24"/>
          <w:szCs w:val="24"/>
        </w:rPr>
      </w:pPr>
    </w:p>
    <w:p w14:paraId="15803967" w14:textId="77777777" w:rsidR="0019038E" w:rsidRPr="002932E6" w:rsidRDefault="0019038E" w:rsidP="0019038E">
      <w:pPr>
        <w:spacing w:afterLines="280" w:after="672" w:line="360" w:lineRule="auto"/>
        <w:jc w:val="lowKashida"/>
      </w:pPr>
    </w:p>
    <w:p w14:paraId="7326E215" w14:textId="77777777" w:rsidR="0019038E" w:rsidRPr="002932E6" w:rsidRDefault="0019038E" w:rsidP="00705907">
      <w:pPr>
        <w:pStyle w:val="mythesis"/>
      </w:pPr>
      <w:r w:rsidRPr="002932E6">
        <w:lastRenderedPageBreak/>
        <w:t xml:space="preserve">     When we do  the regression analysis for the only cultivars that were positively affected by the AMF inoculum and study the relationship between the mycorrhizal responsiveness and the nutrient uptakes for P and N in the shoot of the maize plant ,our results presented that the most significant results was in total shoot P mass where the P value recorded &lt;0.0001 and the square root reached 0.6644, and also in the shoot concentration of N where P value recorded 0.0039 with 0.2205 for square root, while the total shoot N mass and the shoot concentration of P recorded less significant where the P value recorded 0.2307 and 0.6396, respectively.</w:t>
      </w:r>
    </w:p>
    <w:p w14:paraId="35BC2C47" w14:textId="77777777" w:rsidR="0019038E" w:rsidRDefault="0019038E" w:rsidP="00705907">
      <w:pPr>
        <w:pStyle w:val="mythesis"/>
      </w:pPr>
      <w:r w:rsidRPr="002932E6">
        <w:t xml:space="preserve">      The results indicated that the effect of mycorrhizal responsiveness was very clear as it increased the total shoot P mass and decreased the shoot concentration of N, however it </w:t>
      </w:r>
      <w:r>
        <w:t>did not</w:t>
      </w:r>
      <w:r w:rsidRPr="002932E6">
        <w:t xml:space="preserve"> affect the total shoot N mass and the shoot concentration of P that much.</w:t>
      </w:r>
    </w:p>
    <w:p w14:paraId="0EFB61F5" w14:textId="77777777" w:rsidR="0019038E" w:rsidRPr="002932E6" w:rsidRDefault="0019038E" w:rsidP="0019038E">
      <w:pPr>
        <w:spacing w:afterLines="280" w:after="672" w:line="360" w:lineRule="auto"/>
        <w:jc w:val="lowKashida"/>
      </w:pPr>
    </w:p>
    <w:p w14:paraId="5CE9B664" w14:textId="77777777" w:rsidR="0019038E" w:rsidRPr="00A81785" w:rsidRDefault="0019038E" w:rsidP="0019038E">
      <w:pPr>
        <w:spacing w:afterLines="280" w:after="672"/>
        <w:jc w:val="lowKashida"/>
        <w:rPr>
          <w:bCs/>
          <w:color w:val="000000" w:themeColor="text1"/>
          <w:sz w:val="20"/>
          <w:szCs w:val="20"/>
        </w:rPr>
      </w:pPr>
      <w:bookmarkStart w:id="71" w:name="_Toc83750079"/>
      <w:r w:rsidRPr="006B7088">
        <w:rPr>
          <w:sz w:val="20"/>
          <w:szCs w:val="20"/>
        </w:rPr>
        <w:t xml:space="preserve">Table </w:t>
      </w:r>
      <w:r w:rsidRPr="006B7088">
        <w:rPr>
          <w:sz w:val="20"/>
          <w:szCs w:val="20"/>
        </w:rPr>
        <w:fldChar w:fldCharType="begin"/>
      </w:r>
      <w:r w:rsidRPr="006B7088">
        <w:rPr>
          <w:sz w:val="20"/>
          <w:szCs w:val="20"/>
        </w:rPr>
        <w:instrText xml:space="preserve"> STYLEREF 1 \s </w:instrText>
      </w:r>
      <w:r w:rsidRPr="006B7088">
        <w:rPr>
          <w:sz w:val="20"/>
          <w:szCs w:val="20"/>
        </w:rPr>
        <w:fldChar w:fldCharType="separate"/>
      </w:r>
      <w:r w:rsidRPr="006B7088">
        <w:rPr>
          <w:noProof/>
          <w:sz w:val="20"/>
          <w:szCs w:val="20"/>
          <w:cs/>
        </w:rPr>
        <w:t>‎</w:t>
      </w:r>
      <w:r w:rsidRPr="006B7088">
        <w:rPr>
          <w:noProof/>
          <w:sz w:val="20"/>
          <w:szCs w:val="20"/>
        </w:rPr>
        <w:t>2</w:t>
      </w:r>
      <w:r w:rsidRPr="006B7088">
        <w:rPr>
          <w:sz w:val="20"/>
          <w:szCs w:val="20"/>
        </w:rPr>
        <w:fldChar w:fldCharType="end"/>
      </w:r>
      <w:r w:rsidRPr="006B7088">
        <w:rPr>
          <w:sz w:val="20"/>
          <w:szCs w:val="20"/>
        </w:rPr>
        <w:t>.</w:t>
      </w:r>
      <w:r w:rsidRPr="006B7088">
        <w:rPr>
          <w:sz w:val="20"/>
          <w:szCs w:val="20"/>
        </w:rPr>
        <w:fldChar w:fldCharType="begin"/>
      </w:r>
      <w:r w:rsidRPr="006B7088">
        <w:rPr>
          <w:sz w:val="20"/>
          <w:szCs w:val="20"/>
        </w:rPr>
        <w:instrText xml:space="preserve"> SEQ Table \* ARABIC \s 1 </w:instrText>
      </w:r>
      <w:r w:rsidRPr="006B7088">
        <w:rPr>
          <w:sz w:val="20"/>
          <w:szCs w:val="20"/>
        </w:rPr>
        <w:fldChar w:fldCharType="separate"/>
      </w:r>
      <w:r w:rsidRPr="006B7088">
        <w:rPr>
          <w:noProof/>
          <w:sz w:val="20"/>
          <w:szCs w:val="20"/>
        </w:rPr>
        <w:t>11</w:t>
      </w:r>
      <w:r w:rsidRPr="006B7088">
        <w:rPr>
          <w:sz w:val="20"/>
          <w:szCs w:val="20"/>
        </w:rPr>
        <w:fldChar w:fldCharType="end"/>
      </w:r>
      <w:r w:rsidRPr="00210EF7">
        <w:rPr>
          <w:sz w:val="20"/>
          <w:szCs w:val="20"/>
        </w:rPr>
        <w:t xml:space="preserve"> </w:t>
      </w:r>
      <w:r w:rsidRPr="00210EF7">
        <w:rPr>
          <w:color w:val="000000" w:themeColor="text1"/>
          <w:sz w:val="20"/>
          <w:szCs w:val="20"/>
        </w:rPr>
        <w:t>Results of regression statistical between mycorrhizal responsiveness and P, N content in the shoots of the arbuscular mycorrhiza inoculated (AM+) maize crop plants.</w:t>
      </w:r>
      <w:bookmarkEnd w:id="71"/>
    </w:p>
    <w:tbl>
      <w:tblPr>
        <w:tblStyle w:val="TableGrid"/>
        <w:tblpPr w:leftFromText="180" w:rightFromText="180" w:vertAnchor="text" w:horzAnchor="margin" w:tblpY="-24"/>
        <w:tblW w:w="8642" w:type="dxa"/>
        <w:tblLook w:val="04A0" w:firstRow="1" w:lastRow="0" w:firstColumn="1" w:lastColumn="0" w:noHBand="0" w:noVBand="1"/>
      </w:tblPr>
      <w:tblGrid>
        <w:gridCol w:w="2689"/>
        <w:gridCol w:w="1701"/>
        <w:gridCol w:w="992"/>
        <w:gridCol w:w="1559"/>
        <w:gridCol w:w="1701"/>
      </w:tblGrid>
      <w:tr w:rsidR="0019038E" w:rsidRPr="00EE08AF" w14:paraId="1146828D" w14:textId="77777777" w:rsidTr="00D82647">
        <w:tc>
          <w:tcPr>
            <w:tcW w:w="2689" w:type="dxa"/>
          </w:tcPr>
          <w:p w14:paraId="0D06F19F"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Source</w:t>
            </w:r>
          </w:p>
        </w:tc>
        <w:tc>
          <w:tcPr>
            <w:tcW w:w="1701" w:type="dxa"/>
          </w:tcPr>
          <w:p w14:paraId="5E702BB0"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R squared</w:t>
            </w:r>
          </w:p>
          <w:p w14:paraId="1048F15B"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c>
          <w:tcPr>
            <w:tcW w:w="992" w:type="dxa"/>
          </w:tcPr>
          <w:p w14:paraId="595FF18B"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F</w:t>
            </w:r>
          </w:p>
        </w:tc>
        <w:tc>
          <w:tcPr>
            <w:tcW w:w="1559" w:type="dxa"/>
          </w:tcPr>
          <w:p w14:paraId="50C25842"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P VALUE</w:t>
            </w:r>
          </w:p>
        </w:tc>
        <w:tc>
          <w:tcPr>
            <w:tcW w:w="1701" w:type="dxa"/>
          </w:tcPr>
          <w:p w14:paraId="4AC0B1FE"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Sy.x</w:t>
            </w:r>
          </w:p>
          <w:p w14:paraId="5D794B31"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r>
      <w:tr w:rsidR="0019038E" w:rsidRPr="00EE08AF" w14:paraId="05C342A6" w14:textId="77777777" w:rsidTr="00D82647">
        <w:tc>
          <w:tcPr>
            <w:tcW w:w="2689" w:type="dxa"/>
          </w:tcPr>
          <w:p w14:paraId="590B1657"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r w:rsidRPr="00F8691D">
              <w:rPr>
                <w:rFonts w:asciiTheme="majorBidi" w:eastAsiaTheme="minorHAnsi" w:hAnsiTheme="majorBidi" w:cstheme="majorBidi"/>
                <w:color w:val="000000" w:themeColor="text1"/>
                <w:sz w:val="24"/>
                <w:szCs w:val="24"/>
              </w:rPr>
              <w:t>Shoot concentration P mg P /g dry weight</w:t>
            </w:r>
          </w:p>
        </w:tc>
        <w:tc>
          <w:tcPr>
            <w:tcW w:w="1701" w:type="dxa"/>
          </w:tcPr>
          <w:p w14:paraId="1964ED83"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0.006522</w:t>
            </w:r>
          </w:p>
          <w:p w14:paraId="4FF86F44"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c>
          <w:tcPr>
            <w:tcW w:w="992" w:type="dxa"/>
          </w:tcPr>
          <w:p w14:paraId="08D151C8"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0.2232</w:t>
            </w:r>
          </w:p>
          <w:p w14:paraId="613B2378"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c>
          <w:tcPr>
            <w:tcW w:w="1559" w:type="dxa"/>
          </w:tcPr>
          <w:p w14:paraId="34CCAD2D"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0.6396</w:t>
            </w:r>
          </w:p>
          <w:p w14:paraId="2B1C777B"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c>
          <w:tcPr>
            <w:tcW w:w="1701" w:type="dxa"/>
          </w:tcPr>
          <w:p w14:paraId="7E20853E"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0.01710</w:t>
            </w:r>
          </w:p>
          <w:p w14:paraId="40A49A61"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r>
      <w:tr w:rsidR="0019038E" w:rsidRPr="00EE08AF" w14:paraId="0D340827" w14:textId="77777777" w:rsidTr="00D82647">
        <w:tc>
          <w:tcPr>
            <w:tcW w:w="2689" w:type="dxa"/>
          </w:tcPr>
          <w:p w14:paraId="2EE091C1"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r w:rsidRPr="00F8691D">
              <w:rPr>
                <w:rFonts w:asciiTheme="majorBidi" w:eastAsiaTheme="minorHAnsi" w:hAnsiTheme="majorBidi" w:cstheme="majorBidi"/>
                <w:color w:val="000000" w:themeColor="text1"/>
                <w:sz w:val="24"/>
                <w:szCs w:val="24"/>
              </w:rPr>
              <w:t>Shoot mass of P</w:t>
            </w:r>
          </w:p>
        </w:tc>
        <w:tc>
          <w:tcPr>
            <w:tcW w:w="1701" w:type="dxa"/>
          </w:tcPr>
          <w:p w14:paraId="78445C79"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0.6644</w:t>
            </w:r>
          </w:p>
          <w:p w14:paraId="719C731C"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c>
          <w:tcPr>
            <w:tcW w:w="992" w:type="dxa"/>
          </w:tcPr>
          <w:p w14:paraId="19F8DB68"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67.31</w:t>
            </w:r>
          </w:p>
          <w:p w14:paraId="7B05DD59"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c>
          <w:tcPr>
            <w:tcW w:w="1559" w:type="dxa"/>
          </w:tcPr>
          <w:p w14:paraId="2B09A4DB"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&lt;0.0001</w:t>
            </w:r>
          </w:p>
          <w:p w14:paraId="2C063369"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c>
          <w:tcPr>
            <w:tcW w:w="1701" w:type="dxa"/>
          </w:tcPr>
          <w:p w14:paraId="04EF126C"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0.02976</w:t>
            </w:r>
          </w:p>
          <w:p w14:paraId="62A27374"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r>
      <w:tr w:rsidR="0019038E" w:rsidRPr="00EE08AF" w14:paraId="5844B09D" w14:textId="77777777" w:rsidTr="00D82647">
        <w:tc>
          <w:tcPr>
            <w:tcW w:w="2689" w:type="dxa"/>
          </w:tcPr>
          <w:p w14:paraId="20297FEF"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r w:rsidRPr="00F8691D">
              <w:rPr>
                <w:rFonts w:asciiTheme="majorBidi" w:eastAsiaTheme="minorHAnsi" w:hAnsiTheme="majorBidi" w:cstheme="majorBidi"/>
                <w:color w:val="000000" w:themeColor="text1"/>
                <w:sz w:val="24"/>
                <w:szCs w:val="24"/>
              </w:rPr>
              <w:t>Shoot concentration N mg N /g dry weight</w:t>
            </w:r>
          </w:p>
        </w:tc>
        <w:tc>
          <w:tcPr>
            <w:tcW w:w="1701" w:type="dxa"/>
          </w:tcPr>
          <w:p w14:paraId="731DBD67"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0.2205</w:t>
            </w:r>
          </w:p>
          <w:p w14:paraId="56F8007E"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c>
          <w:tcPr>
            <w:tcW w:w="992" w:type="dxa"/>
          </w:tcPr>
          <w:p w14:paraId="0337C728"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9.619</w:t>
            </w:r>
          </w:p>
          <w:p w14:paraId="0DDFF3CB"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c>
          <w:tcPr>
            <w:tcW w:w="1559" w:type="dxa"/>
          </w:tcPr>
          <w:p w14:paraId="6398774E"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0.0039</w:t>
            </w:r>
          </w:p>
          <w:p w14:paraId="6B25E3E5"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c>
          <w:tcPr>
            <w:tcW w:w="1701" w:type="dxa"/>
          </w:tcPr>
          <w:p w14:paraId="27A4ABFF"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0.1939</w:t>
            </w:r>
          </w:p>
          <w:p w14:paraId="73672D60"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r>
      <w:tr w:rsidR="0019038E" w:rsidRPr="00EE08AF" w14:paraId="2142D20E" w14:textId="77777777" w:rsidTr="00D82647">
        <w:tc>
          <w:tcPr>
            <w:tcW w:w="2689" w:type="dxa"/>
          </w:tcPr>
          <w:p w14:paraId="5E3850DF"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r w:rsidRPr="00F8691D">
              <w:rPr>
                <w:rFonts w:asciiTheme="majorBidi" w:eastAsiaTheme="minorHAnsi" w:hAnsiTheme="majorBidi" w:cstheme="majorBidi"/>
                <w:color w:val="000000" w:themeColor="text1"/>
                <w:sz w:val="24"/>
                <w:szCs w:val="24"/>
              </w:rPr>
              <w:t>Shoot mass of N</w:t>
            </w:r>
          </w:p>
        </w:tc>
        <w:tc>
          <w:tcPr>
            <w:tcW w:w="1701" w:type="dxa"/>
          </w:tcPr>
          <w:p w14:paraId="3183730C"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0.04196</w:t>
            </w:r>
          </w:p>
          <w:p w14:paraId="1AE16CC0"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c>
          <w:tcPr>
            <w:tcW w:w="992" w:type="dxa"/>
          </w:tcPr>
          <w:p w14:paraId="5515CFF9"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1.489</w:t>
            </w:r>
          </w:p>
          <w:p w14:paraId="40D87593"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c>
          <w:tcPr>
            <w:tcW w:w="1559" w:type="dxa"/>
          </w:tcPr>
          <w:p w14:paraId="4B235461"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0.2307</w:t>
            </w:r>
          </w:p>
          <w:p w14:paraId="2568EE1F"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c>
          <w:tcPr>
            <w:tcW w:w="1701" w:type="dxa"/>
          </w:tcPr>
          <w:p w14:paraId="4583EFC8" w14:textId="77777777" w:rsidR="0019038E" w:rsidRPr="00F8691D" w:rsidRDefault="0019038E" w:rsidP="00D82647">
            <w:pPr>
              <w:jc w:val="center"/>
              <w:rPr>
                <w:rFonts w:asciiTheme="majorBidi" w:hAnsiTheme="majorBidi" w:cstheme="majorBidi"/>
                <w:color w:val="000000" w:themeColor="text1"/>
                <w:sz w:val="24"/>
                <w:szCs w:val="24"/>
              </w:rPr>
            </w:pPr>
            <w:r w:rsidRPr="00F8691D">
              <w:rPr>
                <w:rFonts w:asciiTheme="majorBidi" w:hAnsiTheme="majorBidi" w:cstheme="majorBidi"/>
                <w:color w:val="000000" w:themeColor="text1"/>
                <w:sz w:val="24"/>
                <w:szCs w:val="24"/>
              </w:rPr>
              <w:t>0.4522</w:t>
            </w:r>
          </w:p>
          <w:p w14:paraId="7192A14C" w14:textId="77777777" w:rsidR="0019038E" w:rsidRPr="00F8691D" w:rsidRDefault="0019038E" w:rsidP="00D82647">
            <w:pPr>
              <w:spacing w:line="360" w:lineRule="auto"/>
              <w:jc w:val="center"/>
              <w:rPr>
                <w:rFonts w:asciiTheme="majorBidi" w:hAnsiTheme="majorBidi" w:cstheme="majorBidi"/>
                <w:color w:val="000000" w:themeColor="text1"/>
                <w:sz w:val="24"/>
                <w:szCs w:val="24"/>
              </w:rPr>
            </w:pPr>
          </w:p>
        </w:tc>
      </w:tr>
    </w:tbl>
    <w:p w14:paraId="1B8116DD" w14:textId="77777777" w:rsidR="0019038E" w:rsidRPr="002932E6" w:rsidRDefault="0019038E" w:rsidP="0019038E">
      <w:pPr>
        <w:spacing w:afterLines="280" w:after="672" w:line="360" w:lineRule="auto"/>
        <w:jc w:val="lowKashida"/>
        <w:rPr>
          <w:color w:val="000000" w:themeColor="text1"/>
        </w:rPr>
      </w:pPr>
    </w:p>
    <w:p w14:paraId="4256E378" w14:textId="77777777" w:rsidR="0019038E" w:rsidRDefault="0019038E" w:rsidP="0019038E">
      <w:pPr>
        <w:spacing w:afterLines="280" w:after="672" w:line="360" w:lineRule="auto"/>
        <w:jc w:val="lowKashida"/>
        <w:rPr>
          <w:b/>
          <w:bCs/>
          <w:i/>
          <w:iCs/>
        </w:rPr>
      </w:pPr>
    </w:p>
    <w:p w14:paraId="1A613B80" w14:textId="77777777" w:rsidR="0019038E" w:rsidRPr="002932E6" w:rsidRDefault="0019038E" w:rsidP="0019038E">
      <w:pPr>
        <w:spacing w:afterLines="280" w:after="672" w:line="360" w:lineRule="auto"/>
        <w:jc w:val="lowKashida"/>
        <w:rPr>
          <w:b/>
          <w:bCs/>
          <w:i/>
          <w:iCs/>
        </w:rPr>
      </w:pPr>
    </w:p>
    <w:p w14:paraId="1F346D3A" w14:textId="77777777" w:rsidR="0019038E" w:rsidRPr="00BF1832" w:rsidRDefault="0019038E" w:rsidP="0019038E">
      <w:pPr>
        <w:pStyle w:val="Heading2"/>
      </w:pPr>
      <w:bookmarkStart w:id="72" w:name="_Toc83751439"/>
      <w:r w:rsidRPr="00BF1832">
        <w:lastRenderedPageBreak/>
        <w:t>2.4 Discussion</w:t>
      </w:r>
      <w:bookmarkEnd w:id="72"/>
    </w:p>
    <w:p w14:paraId="394F07BD" w14:textId="6734AE79" w:rsidR="0019038E" w:rsidRPr="002932E6" w:rsidRDefault="0019038E" w:rsidP="001E7A06">
      <w:pPr>
        <w:pStyle w:val="mythesis"/>
      </w:pPr>
      <w:r w:rsidRPr="002932E6">
        <w:t xml:space="preserve">       To understand how the interaction between mycorrhiza and maize varied across diverse germplasm, we investigated a suite of physiological parameters associated with the mycorrhizal colonization of the maize plant. We know that the breeding program can create extraordinary impacts in terms of the extent to which a plant interacts with mycorrhiza in cereals including maize.</w:t>
      </w:r>
      <w:r w:rsidRPr="002932E6">
        <w:rPr>
          <w:color w:val="00B050"/>
        </w:rPr>
        <w:t xml:space="preserve"> </w:t>
      </w:r>
      <w:r w:rsidRPr="002932E6">
        <w:t xml:space="preserve">The aim of this thesis is to understand the mechanistic and underlying genetic basics of this predicted variation in the mycorrhizal interaction arising from selective breeding, which is more focused on above ground traits, most notably yield, and rarely considers below ground traits such as interactions with rhizosphere organisms. From an applied perspective, it is critical to understand which varieties of maize that are used widely in the Arabian Peninsula show positive responses to arbuscular mycorrhiza in terms of crop health and nutrient acquisition that could potentially be used in low input, sustainable cropping systems. The study is timely because there is little information about the interaction between mycorrhiza and maize in cultivars </w:t>
      </w:r>
      <w:r w:rsidR="00B95C93">
        <w:t xml:space="preserve">that </w:t>
      </w:r>
      <w:r w:rsidRPr="002932E6">
        <w:t>used in Arabian cropping systems.</w:t>
      </w:r>
    </w:p>
    <w:p w14:paraId="27E8A3F2" w14:textId="75056E65" w:rsidR="0019038E" w:rsidRPr="002932E6" w:rsidRDefault="0019038E" w:rsidP="001E7A06">
      <w:pPr>
        <w:pStyle w:val="mythesis"/>
      </w:pPr>
      <w:r w:rsidRPr="002932E6">
        <w:t xml:space="preserve">Here we investigate the mycorrhizal colonization, plant height, root and shoot biomass, and root and shoot P and N contents for 18 cultivars that are common in the Middle East. We also calculated an integrated measure that </w:t>
      </w:r>
      <w:r w:rsidR="00731D34">
        <w:t>has</w:t>
      </w:r>
      <w:r w:rsidRPr="002932E6">
        <w:t xml:space="preserve"> previously been referred to as mycorrhizal plant responsiveness </w:t>
      </w:r>
      <w:sdt>
        <w:sdtPr>
          <w:rPr>
            <w:color w:val="000000"/>
          </w:rPr>
          <w:tag w:val="MENDELEY_CITATION_v3_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"/>
          <w:id w:val="1249776107"/>
          <w:placeholder>
            <w:docPart w:val="D0E9EB3ABB69904BA168C72EFAEB1088"/>
          </w:placeholder>
        </w:sdtPr>
        <w:sdtContent>
          <w:r w:rsidR="005E3F83" w:rsidRPr="005E3F83">
            <w:rPr>
              <w:color w:val="000000"/>
            </w:rPr>
            <w:t>(van der Heijden et al., 2006).</w:t>
          </w:r>
        </w:sdtContent>
      </w:sdt>
    </w:p>
    <w:p w14:paraId="22E63CEE" w14:textId="7A925EDA" w:rsidR="0019038E" w:rsidRDefault="0019038E" w:rsidP="0019038E">
      <w:pPr>
        <w:pStyle w:val="Heading3"/>
      </w:pPr>
      <w:bookmarkStart w:id="73" w:name="_Toc83751440"/>
      <w:r w:rsidRPr="002932E6">
        <w:t>2.4.1 Colonization</w:t>
      </w:r>
      <w:bookmarkEnd w:id="73"/>
      <w:r w:rsidRPr="002932E6">
        <w:t xml:space="preserve">   </w:t>
      </w:r>
    </w:p>
    <w:p w14:paraId="5C4DCD46" w14:textId="77777777" w:rsidR="00090F97" w:rsidRPr="00090F97" w:rsidRDefault="00090F97" w:rsidP="00090F97"/>
    <w:p w14:paraId="75BC2AE8" w14:textId="7054BD73" w:rsidR="0019038E" w:rsidRPr="002932E6" w:rsidRDefault="0019038E" w:rsidP="001E7A06">
      <w:pPr>
        <w:pStyle w:val="mythesis"/>
      </w:pPr>
      <w:r w:rsidRPr="002932E6">
        <w:t xml:space="preserve">In our study 18 maize varieties were planted under the same conditions with </w:t>
      </w:r>
      <w:r w:rsidR="002E3A84">
        <w:t xml:space="preserve">an </w:t>
      </w:r>
      <w:r w:rsidRPr="002932E6">
        <w:t>inoculum of AMF in a carrier of expanded clay and supplied with the carrier alone (inoculated). We observed root colonization by fine hyaline hyphae in all roots irrespective of the inoculum treatment or maize variety. These hyphae bore all of the cytological characteristics of fine root endophyte</w:t>
      </w:r>
      <w:r w:rsidR="005829DE">
        <w:t>s</w:t>
      </w:r>
      <w:r w:rsidRPr="002932E6">
        <w:t xml:space="preserve"> </w:t>
      </w:r>
      <w:sdt>
        <w:sdtPr>
          <w:rPr>
            <w:color w:val="000000"/>
          </w:rPr>
          <w:tag w:val="MENDELEY_CITATION_v3_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"/>
          <w:id w:val="-1817794811"/>
          <w:placeholder>
            <w:docPart w:val="C796E44BA29C7B49B74F3F722913E754"/>
          </w:placeholder>
        </w:sdtPr>
        <w:sdtContent>
          <w:r w:rsidR="005E3F83" w:rsidRPr="005E3F83">
            <w:rPr>
              <w:color w:val="000000"/>
            </w:rPr>
            <w:t>(Elliott et al., 2021)</w:t>
          </w:r>
        </w:sdtContent>
      </w:sdt>
      <w:r w:rsidRPr="002932E6">
        <w:t>. Evidence shows that fungi from Mucoromycotina fine-root endophytic (MFRE) are commonly linked to land plants and often found in dual association with Glomeromycotean fungi</w:t>
      </w:r>
      <w:r w:rsidR="000439CD">
        <w:t>.</w:t>
      </w:r>
      <w:r w:rsidRPr="002932E6">
        <w:t xml:space="preserve"> </w:t>
      </w:r>
      <w:sdt>
        <w:sdtPr>
          <w:rPr>
            <w:color w:val="000000"/>
          </w:rPr>
          <w:tag w:val="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"/>
          <w:id w:val="1630588513"/>
          <w:placeholder>
            <w:docPart w:val="8F9960138C56C54F99D874F541DCD100"/>
          </w:placeholder>
        </w:sdtPr>
        <w:sdtContent>
          <w:r w:rsidR="005E3F83" w:rsidRPr="005E3F83">
            <w:rPr>
              <w:color w:val="000000"/>
            </w:rPr>
            <w:t>(Field et al., 2019; Hoysted et al., 2019)</w:t>
          </w:r>
        </w:sdtContent>
      </w:sdt>
      <w:r w:rsidRPr="002932E6">
        <w:t xml:space="preserve"> reported that MFRE Fungi can be important for the assimilation of N and coexist with AMF because of their nutrient symbioses' functional complementarity.</w:t>
      </w:r>
    </w:p>
    <w:p w14:paraId="4EC70C2D" w14:textId="3CBD4DF1" w:rsidR="0019038E" w:rsidRPr="002932E6" w:rsidRDefault="0019038E" w:rsidP="001E7A06">
      <w:pPr>
        <w:pStyle w:val="mythesis"/>
      </w:pPr>
      <w:r w:rsidRPr="002932E6">
        <w:t xml:space="preserve">In general, our experiments showed that the AMF inoculation dramatically increased the root colonization by fungi that were characteristically AMF in terms of their morphology; </w:t>
      </w:r>
      <w:r w:rsidRPr="002932E6">
        <w:lastRenderedPageBreak/>
        <w:t xml:space="preserve">producing both vesicles and arbuscules however </w:t>
      </w:r>
      <w:r w:rsidRPr="005149C5">
        <w:t xml:space="preserve">there was some degree of variation between the 18 varieties as has previously been recorded in some varieties of maize varieties </w:t>
      </w:r>
      <w:sdt>
        <w:sdtPr>
          <w:tag w:val="MENDELEY_CITATION_v3_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"/>
          <w:id w:val="890854356"/>
          <w:placeholder>
            <w:docPart w:val="C91AE799F54C8743AA8ABFD78D7B799E"/>
          </w:placeholder>
        </w:sdtPr>
        <w:sdtContent>
          <w:r w:rsidR="005E3F83" w:rsidRPr="005149C5">
            <w:t>(Köhl et al., 2015)</w:t>
          </w:r>
        </w:sdtContent>
      </w:sdt>
      <w:r w:rsidRPr="005149C5">
        <w:rPr>
          <w:lang w:val="en"/>
        </w:rPr>
        <w:t xml:space="preserve"> and in other cereals such as wheat</w:t>
      </w:r>
      <w:sdt>
        <w:sdtPr>
          <w:tag w:val="MENDELEY_CITATION_v3_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"/>
          <w:id w:val="1746138600"/>
          <w:placeholder>
            <w:docPart w:val="C91AE799F54C8743AA8ABFD78D7B799E"/>
          </w:placeholder>
        </w:sdtPr>
        <w:sdtContent>
          <w:r w:rsidR="00A660C3" w:rsidRPr="005149C5">
            <w:t xml:space="preserve"> </w:t>
          </w:r>
          <w:r w:rsidR="005E3F83" w:rsidRPr="005149C5">
            <w:t>(Elliott et al., 2020)</w:t>
          </w:r>
        </w:sdtContent>
      </w:sdt>
      <w:r w:rsidRPr="005149C5">
        <w:t>. The percentage of root colonization in Arbuscules was in the range of 53%-21.8%, then in Vesicles it was from 43.8%-</w:t>
      </w:r>
      <w:r w:rsidR="00CF692A" w:rsidRPr="005149C5">
        <w:t>16.5</w:t>
      </w:r>
      <w:r w:rsidR="00F45535" w:rsidRPr="005149C5">
        <w:t xml:space="preserve"> </w:t>
      </w:r>
      <w:r w:rsidRPr="005149C5">
        <w:t xml:space="preserve">% while in Hyphae the range was from 25.8 to 5%. This variation in mycorrhizal colonization across the varieties is perhaps not surprising given the interaction with arbuscular mycorrhizal fungi due to repeated selection, maybe gradually degraded in modern elite genotypes which may explain the relatively low colonization </w:t>
      </w:r>
      <w:r w:rsidRPr="002932E6">
        <w:t xml:space="preserve">we observed which was usually below 50%. </w:t>
      </w:r>
    </w:p>
    <w:p w14:paraId="452B0AF7" w14:textId="351F8CBF" w:rsidR="0019038E" w:rsidRPr="002932E6" w:rsidRDefault="0019038E" w:rsidP="001E7A06">
      <w:pPr>
        <w:pStyle w:val="mythesis"/>
        <w:rPr>
          <w:lang w:val="en-GB"/>
        </w:rPr>
      </w:pPr>
      <w:r w:rsidRPr="002932E6">
        <w:t>That said, the modest variation in AMF colonization may be a function of the breeding program, with most varieties behaving similarly because of genetic convergence between the different varieties, with the breeding program not selecting strongly for lower colonization. Nevertheless, it is also possible that ancient and indigenous races carry genetic remnants that originated from ancient times such as before the Green Revolution that maybe beneficial and potentially useful in the context of breeding of elite material for low-input farming systems</w:t>
      </w:r>
      <w:sdt>
        <w:sdtPr>
          <w:rPr>
            <w:color w:val="000000"/>
          </w:rPr>
          <w:tag w:val="MENDELEY_CITATION_v3_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"/>
          <w:id w:val="1067147706"/>
          <w:placeholder>
            <w:docPart w:val="FC2A71D7DF48DC4B8B5CB3D1B48A75E4"/>
          </w:placeholder>
        </w:sdtPr>
        <w:sdtContent>
          <w:r w:rsidR="008019FB">
            <w:rPr>
              <w:color w:val="000000"/>
            </w:rPr>
            <w:t xml:space="preserve"> </w:t>
          </w:r>
          <w:r w:rsidR="005E3F83" w:rsidRPr="005E3F83">
            <w:rPr>
              <w:color w:val="000000"/>
            </w:rPr>
            <w:t>(Li et al., 2021)</w:t>
          </w:r>
        </w:sdtContent>
      </w:sdt>
      <w:r w:rsidRPr="002932E6">
        <w:t>.</w:t>
      </w:r>
    </w:p>
    <w:p w14:paraId="5EC06888" w14:textId="5AB79745" w:rsidR="00090F97" w:rsidRPr="00090F97" w:rsidRDefault="00090F97" w:rsidP="00090F97">
      <w:pPr>
        <w:pStyle w:val="mythesis"/>
      </w:pPr>
      <w:r w:rsidRPr="00090F97">
        <w:t>(Li et al., 2017; Wen et al., 2019) also demonstrated that the loss of desirable traits for the acquisition of nutrients by the modern elite maize species is not substantiated by the maize flint pool. for breeding more sustainable varieties, lines associated with better P acquisition effectiveness under limited P available should be used. Also found that there occurred clear trade-offs between root traits and complementarity between lateral roots and mycorrhizal fungi in resource acquisition, thin-root species depend more on highly branched, fine lateral roots, to enhance P acquisition and to compensate for a low root absorptive surface and more P-mobilizing exudates in the soil while thick-root species rely more on mycorrhizal fungi. Their findings proved that root diameter is a good predictor of the relative expression of root functional traits and how they change when P is limited.</w:t>
      </w:r>
    </w:p>
    <w:p w14:paraId="2CF8BE2E" w14:textId="15ED857B" w:rsidR="0019038E" w:rsidRPr="00090F97" w:rsidRDefault="0019038E" w:rsidP="00090F97">
      <w:pPr>
        <w:pStyle w:val="mythesis"/>
      </w:pPr>
      <w:r w:rsidRPr="00090F97">
        <w:t xml:space="preserve"> Consequently, it is important to resolve whether AMF colonization drives other functional traits such as growth and nutrient uptake.</w:t>
      </w:r>
    </w:p>
    <w:p w14:paraId="191CFECB" w14:textId="77777777" w:rsidR="001E7A06" w:rsidRPr="00FB4CA4" w:rsidRDefault="001E7A06" w:rsidP="001B4EA5">
      <w:pPr>
        <w:pStyle w:val="mythesis"/>
        <w:ind w:firstLine="0"/>
        <w:rPr>
          <w:shd w:val="clear" w:color="auto" w:fill="FFFFFF"/>
        </w:rPr>
      </w:pPr>
    </w:p>
    <w:p w14:paraId="52ACE5D2" w14:textId="5B7F4231" w:rsidR="00090F97" w:rsidRDefault="0019038E" w:rsidP="00090F97">
      <w:pPr>
        <w:pStyle w:val="Heading3"/>
      </w:pPr>
      <w:bookmarkStart w:id="74" w:name="_Toc83751441"/>
      <w:r w:rsidRPr="002932E6">
        <w:lastRenderedPageBreak/>
        <w:t>2.4.2 Plant height</w:t>
      </w:r>
      <w:bookmarkEnd w:id="74"/>
    </w:p>
    <w:p w14:paraId="3C1B4AF6" w14:textId="77777777" w:rsidR="00E33A04" w:rsidRPr="00E33A04" w:rsidRDefault="00E33A04" w:rsidP="00E33A04"/>
    <w:p w14:paraId="1382B901" w14:textId="2E2B7963" w:rsidR="0019038E" w:rsidRPr="00090F97" w:rsidRDefault="0019038E" w:rsidP="00090F97">
      <w:pPr>
        <w:pStyle w:val="mythesis"/>
      </w:pPr>
      <w:r w:rsidRPr="00090F97">
        <w:t>In general, plants inoculated with AMF, the growth responses were positive with plant</w:t>
      </w:r>
      <w:r w:rsidR="0060521C">
        <w:t>s</w:t>
      </w:r>
      <w:r w:rsidRPr="00090F97">
        <w:t xml:space="preserve"> that were colonized with AMF growing much more rapidly throughout the season compared with non-mycorrhizal maize. This supports previous suggestions that maize is highly dependent on AMF for nutrient acquisition, particularly in the earlier stages of growth before the root system matured </w:t>
      </w:r>
      <w:sdt>
        <w:sdtPr>
          <w:tag w:val="MENDELEY_CITATION_v3_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"/>
          <w:id w:val="1283080962"/>
          <w:placeholder>
            <w:docPart w:val="9186FB220E2CBA4085DAFAE249A527DA"/>
          </w:placeholder>
        </w:sdtPr>
        <w:sdtContent>
          <w:r w:rsidR="005E3F83">
            <w:t>(Hamel &amp; Smith, 1991).</w:t>
          </w:r>
        </w:sdtContent>
      </w:sdt>
      <w:r w:rsidRPr="00090F97">
        <w:t xml:space="preserve"> The positive growth response of AM-colonized compared with non-mycorrhizal maize has shown support of maize's high AM dependency </w:t>
      </w:r>
      <w:sdt>
        <w:sdtPr>
          <w:tag w:val="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"/>
          <w:id w:val="-1719194471"/>
          <w:placeholder>
            <w:docPart w:val="C796E44BA29C7B49B74F3F722913E754"/>
          </w:placeholder>
        </w:sdtPr>
        <w:sdtContent>
          <w:r w:rsidR="005E3F83">
            <w:t>(Mosse, 1957, 1973; Smith &amp; Smith, 2011a, 2012a; Smith &amp; Read, 2008)</w:t>
          </w:r>
        </w:sdtContent>
      </w:sdt>
      <w:r w:rsidRPr="00090F97">
        <w:t>.</w:t>
      </w:r>
    </w:p>
    <w:p w14:paraId="5C26E0A3" w14:textId="5EE43978" w:rsidR="0019038E" w:rsidRPr="00090F97" w:rsidRDefault="0019038E" w:rsidP="00CF4D4B">
      <w:pPr>
        <w:pStyle w:val="mythesis"/>
      </w:pPr>
      <w:r w:rsidRPr="00090F97">
        <w:t xml:space="preserve">  Although we observed a general trend for mycorrhiza to increase plant growth, this was by no means universal. The effect of the AMF inoculum on plant height was positive in varieties No. 2,9,10,14,16 and 18 with neutral or negative effects on growth rate in the remaining verities. </w:t>
      </w:r>
      <w:r w:rsidR="005E480C">
        <w:t>P</w:t>
      </w:r>
      <w:r w:rsidRPr="00090F97">
        <w:t xml:space="preserve">erhaps the reason for this is due to what was mentioned by </w:t>
      </w:r>
      <w:sdt>
        <w:sdtPr>
          <w:tag w:val="MENDELEY_CITATION_v3_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"/>
          <w:id w:val="-1440830038"/>
          <w:placeholder>
            <w:docPart w:val="185A0AA08B335149967943A340547BFE"/>
          </w:placeholder>
        </w:sdtPr>
        <w:sdtContent>
          <w:r w:rsidR="005E3F83">
            <w:t>(Hamel &amp; Smith, 1991)</w:t>
          </w:r>
        </w:sdtContent>
      </w:sdt>
      <w:r w:rsidRPr="00090F97">
        <w:t xml:space="preserve"> where he explained that the knowledge of the AM effects of growth to normal reproduction and harvest times is comparatively limited in most laboratory growth experiments, therefore</w:t>
      </w:r>
      <w:r w:rsidR="005E480C">
        <w:t>, d</w:t>
      </w:r>
      <w:r w:rsidRPr="00090F97">
        <w:t xml:space="preserve">espite the great differences at harvest between biomass and tissue P content of mycorrhizal and non-mycorrhizal plants, 35 days after emergence, </w:t>
      </w:r>
      <w:r w:rsidR="00BE7B19">
        <w:t>the</w:t>
      </w:r>
      <w:r w:rsidRPr="00090F97">
        <w:t xml:space="preserve"> mycorrhizal corn and soybean plants had similar P contents in their tissues. This result suggests that the effect of mycorrhizal inoculation on plant P uptake was relatively slow to develop. </w:t>
      </w:r>
    </w:p>
    <w:p w14:paraId="5A84B464" w14:textId="37A0EFE4" w:rsidR="0019038E" w:rsidRDefault="0019038E" w:rsidP="00E33A04">
      <w:pPr>
        <w:pStyle w:val="mythesis"/>
      </w:pPr>
      <w:r w:rsidRPr="00090F97">
        <w:t xml:space="preserve">While in general, </w:t>
      </w:r>
      <w:r w:rsidR="006E7B32">
        <w:t xml:space="preserve">the </w:t>
      </w:r>
      <w:r w:rsidRPr="00090F97">
        <w:t xml:space="preserve">plants </w:t>
      </w:r>
      <w:r w:rsidR="00972900">
        <w:t>that</w:t>
      </w:r>
      <w:r w:rsidR="006E7B32">
        <w:t xml:space="preserve"> </w:t>
      </w:r>
      <w:r w:rsidRPr="00090F97">
        <w:t xml:space="preserve">colonized by AMF </w:t>
      </w:r>
      <w:r w:rsidR="00972900">
        <w:t xml:space="preserve">were </w:t>
      </w:r>
      <w:r w:rsidRPr="00090F97">
        <w:t>grow</w:t>
      </w:r>
      <w:r w:rsidR="00C10C1D">
        <w:t>ing</w:t>
      </w:r>
      <w:r w:rsidRPr="00090F97">
        <w:t xml:space="preserve"> on average 3.1 times larger than uncolonized plants </w:t>
      </w:r>
      <w:sdt>
        <w:sdtPr>
          <w:tag w:val="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"/>
          <w:id w:val="-141349395"/>
          <w:placeholder>
            <w:docPart w:val="26D08E5E26933F4BBF4B3CCDA70A1467"/>
          </w:placeholder>
        </w:sdtPr>
        <w:sdtContent>
          <w:r w:rsidR="005E3F83">
            <w:t>(Smith &amp; Smith, 2011; Smith &amp; Smith, 2011b, 2012b)</w:t>
          </w:r>
        </w:sdtContent>
      </w:sdt>
      <w:r w:rsidRPr="00090F97">
        <w:t xml:space="preserve">, AMF can negatively affect plant growth in some cases </w:t>
      </w:r>
      <w:sdt>
        <w:sdtPr>
          <w:tag w:val="MENDELEY_CITATION_v3_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"/>
          <w:id w:val="2129357479"/>
          <w:placeholder>
            <w:docPart w:val="26D08E5E26933F4BBF4B3CCDA70A1467"/>
          </w:placeholder>
        </w:sdtPr>
        <w:sdtContent>
          <w:r w:rsidR="005E3F83">
            <w:t>(Smith &amp; Smith, 2012b)</w:t>
          </w:r>
        </w:sdtContent>
      </w:sdt>
      <w:r w:rsidRPr="00090F97">
        <w:t>, presumably because of a high carbon demand and/or poor transfer of nutrients back to the plant and because plants colonized by AMF can have smaller root systems relative to shoot biomass. This if a particular fungal species – plant genotype combination has a poor efficiency of nutrient for carbon exchange</w:t>
      </w:r>
      <w:r w:rsidR="00E33A04">
        <w:t xml:space="preserve"> </w:t>
      </w:r>
      <w:r w:rsidR="00E33A04" w:rsidRPr="00090F97">
        <w:t>than any AMF-induced reduction in root to shoot ratio will compound the ability of that variety to compete for nutrients</w:t>
      </w:r>
      <w:r w:rsidRPr="00090F97">
        <w:t xml:space="preserve"> </w:t>
      </w:r>
      <w:sdt>
        <w:sdtPr>
          <w:rPr>
            <w:color w:val="000000"/>
          </w:rPr>
          <w:tag w:val="MENDELEY_CITATION_v3_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"/>
          <w:id w:val="-855114411"/>
          <w:placeholder>
            <w:docPart w:val="C796E44BA29C7B49B74F3F722913E754"/>
          </w:placeholder>
        </w:sdtPr>
        <w:sdtContent>
          <w:r w:rsidR="005E3F83" w:rsidRPr="005E3F83">
            <w:rPr>
              <w:color w:val="000000"/>
            </w:rPr>
            <w:t>(Field et al., 2012).</w:t>
          </w:r>
        </w:sdtContent>
      </w:sdt>
      <w:r w:rsidRPr="00090F97">
        <w:t xml:space="preserve"> </w:t>
      </w:r>
    </w:p>
    <w:p w14:paraId="1AD59A97" w14:textId="76FD129B" w:rsidR="005E480C" w:rsidRDefault="005E480C" w:rsidP="00E33A04">
      <w:pPr>
        <w:pStyle w:val="mythesis"/>
      </w:pPr>
    </w:p>
    <w:p w14:paraId="65BFAC4F" w14:textId="77777777" w:rsidR="00333CFD" w:rsidRPr="00090F97" w:rsidRDefault="00333CFD" w:rsidP="00E33A04">
      <w:pPr>
        <w:pStyle w:val="mythesis"/>
      </w:pPr>
    </w:p>
    <w:p w14:paraId="6DB8AD67" w14:textId="4A7F83F9" w:rsidR="0019038E" w:rsidRDefault="0019038E" w:rsidP="00090F97">
      <w:pPr>
        <w:pStyle w:val="Heading3"/>
      </w:pPr>
      <w:bookmarkStart w:id="75" w:name="_Toc83751442"/>
      <w:r w:rsidRPr="002932E6">
        <w:lastRenderedPageBreak/>
        <w:t>2.4.3 Shoot and root biomass</w:t>
      </w:r>
      <w:bookmarkEnd w:id="75"/>
    </w:p>
    <w:p w14:paraId="18F6C771" w14:textId="77777777" w:rsidR="00090F97" w:rsidRPr="00090F97" w:rsidRDefault="00090F97" w:rsidP="00090F97"/>
    <w:p w14:paraId="60E132F7" w14:textId="094465EF" w:rsidR="0019038E" w:rsidRPr="00090F97" w:rsidRDefault="0019038E" w:rsidP="00090F97">
      <w:pPr>
        <w:pStyle w:val="mythesis"/>
      </w:pPr>
      <w:r w:rsidRPr="00090F97">
        <w:t xml:space="preserve">  In contrast to other studies in the literature  </w:t>
      </w:r>
      <w:sdt>
        <w:sdtPr>
          <w:rPr>
            <w:color w:val="000000"/>
          </w:rPr>
          <w:tag w:val="MENDELEY_CITATION_v3_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"/>
          <w:id w:val="624661816"/>
          <w:placeholder>
            <w:docPart w:val="C796E44BA29C7B49B74F3F722913E754"/>
          </w:placeholder>
        </w:sdtPr>
        <w:sdtContent>
          <w:r w:rsidR="005E3F83" w:rsidRPr="005E3F83">
            <w:rPr>
              <w:color w:val="000000"/>
            </w:rPr>
            <w:t>(Janoušková et al., 2017)</w:t>
          </w:r>
          <w:r w:rsidR="00393B05">
            <w:rPr>
              <w:color w:val="000000"/>
            </w:rPr>
            <w:t xml:space="preserve"> </w:t>
          </w:r>
        </w:sdtContent>
      </w:sdt>
      <w:r w:rsidRPr="00090F97">
        <w:t xml:space="preserve">we observed an increase in biomass as a result of AMF colonization however this was, again, variety specific.  In terms of shoot biomass, we recorded a positive increase in response to AMF inoculation, except for </w:t>
      </w:r>
      <w:r w:rsidR="00D95BCB">
        <w:t xml:space="preserve">the </w:t>
      </w:r>
      <w:r w:rsidRPr="00090F97">
        <w:t xml:space="preserve">cultivars No.7,8 and 18 where no increase was recorded. This aligns with the observations of </w:t>
      </w:r>
      <w:sdt>
        <w:sdtPr>
          <w:rPr>
            <w:color w:val="000000"/>
          </w:rPr>
          <w:tag w:val="MENDELEY_CITATION_v3_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"/>
          <w:id w:val="2033453115"/>
          <w:placeholder>
            <w:docPart w:val="26D08E5E26933F4BBF4B3CCDA70A1467"/>
          </w:placeholder>
        </w:sdtPr>
        <w:sdtContent>
          <w:r w:rsidR="005E3F83" w:rsidRPr="005E3F83">
            <w:rPr>
              <w:color w:val="000000"/>
            </w:rPr>
            <w:t>(Jeong et al., 2006)</w:t>
          </w:r>
        </w:sdtContent>
      </w:sdt>
      <w:r w:rsidRPr="00090F97">
        <w:t xml:space="preserve"> who reported that when their plants were inoculated with </w:t>
      </w:r>
      <w:r w:rsidR="00611DB7">
        <w:t xml:space="preserve">a </w:t>
      </w:r>
      <w:r w:rsidRPr="00090F97">
        <w:t>mixed combination of AMF species, then both positive, negative, and neutral growth responses were recorded as a result of AMF inoculation suggesting a potential G by G   interaction where different plant varieties interact differently with different fungal genotypes or species.</w:t>
      </w:r>
    </w:p>
    <w:p w14:paraId="3A6D12F6" w14:textId="5B460260" w:rsidR="0019038E" w:rsidRPr="00090F97" w:rsidRDefault="0019038E" w:rsidP="00090F97">
      <w:pPr>
        <w:pStyle w:val="mythesis"/>
      </w:pPr>
      <w:r w:rsidRPr="00090F97">
        <w:t xml:space="preserve">   This hypothesis is supported by the fact that species specific</w:t>
      </w:r>
      <w:r w:rsidR="00B76D42">
        <w:t>-</w:t>
      </w:r>
      <w:r w:rsidRPr="00090F97">
        <w:t xml:space="preserve"> effects of AMF were recorded by </w:t>
      </w:r>
      <w:sdt>
        <w:sdtPr>
          <w:rPr>
            <w:color w:val="000000"/>
          </w:rPr>
          <w:tag w:val="MENDELEY_CITATION_v3_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"/>
          <w:id w:val="-790125807"/>
          <w:placeholder>
            <w:docPart w:val="C796E44BA29C7B49B74F3F722913E754"/>
          </w:placeholder>
        </w:sdtPr>
        <w:sdtContent>
          <w:r w:rsidR="005E3F83" w:rsidRPr="005E3F83">
            <w:rPr>
              <w:color w:val="000000"/>
            </w:rPr>
            <w:t>(Smith et al., 2000)</w:t>
          </w:r>
        </w:sdtContent>
      </w:sdt>
      <w:r w:rsidRPr="00090F97">
        <w:t xml:space="preserve"> who found that AM fungi, </w:t>
      </w:r>
      <w:r w:rsidRPr="001E6247">
        <w:rPr>
          <w:i/>
          <w:iCs w:val="0"/>
        </w:rPr>
        <w:t>S. calospora and G. caldonium</w:t>
      </w:r>
      <w:r w:rsidRPr="00090F97">
        <w:t xml:space="preserve"> have different strategies in symbiosis with their host plants with different functions in terms of nutrient uptake from the soil leading to certain combinations of the fungal species negatively affected the host plant growth while others positively increased plant growth.</w:t>
      </w:r>
    </w:p>
    <w:p w14:paraId="057D2A0F" w14:textId="28621AEA" w:rsidR="0019038E" w:rsidRDefault="0019038E" w:rsidP="00090F97">
      <w:pPr>
        <w:pStyle w:val="mythesis"/>
      </w:pPr>
      <w:r w:rsidRPr="00090F97">
        <w:t xml:space="preserve">    It has been observed that with increasing colonization of plant roots by AMF, the plant growth and P content are also increased as </w:t>
      </w:r>
      <w:sdt>
        <w:sdtPr>
          <w:rPr>
            <w:color w:val="000000"/>
          </w:rPr>
          <w:tag w:val="MENDELEY_CITATION_v3_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"/>
          <w:id w:val="543178732"/>
          <w:placeholder>
            <w:docPart w:val="26D08E5E26933F4BBF4B3CCDA70A1467"/>
          </w:placeholder>
        </w:sdtPr>
        <w:sdtContent>
          <w:r w:rsidR="005E3F83" w:rsidRPr="005E3F83">
            <w:rPr>
              <w:color w:val="000000"/>
            </w:rPr>
            <w:t>(Brundrett, 2004)</w:t>
          </w:r>
        </w:sdtContent>
      </w:sdt>
      <w:r w:rsidRPr="00090F97">
        <w:t xml:space="preserve"> found that an increased P transfer (and maybe other nutrients) through a greater number of transfer structures such as arbuscular and intra radical hyphae should facilitate greater resource transfer, so plants should support high PRLC levels only if AMF offers advantages as reviewed in</w:t>
      </w:r>
      <w:sdt>
        <w:sdtPr>
          <w:tag w:val="MENDELEY_CITATION_v3_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"/>
          <w:id w:val="-388503852"/>
          <w:placeholder>
            <w:docPart w:val="26D08E5E26933F4BBF4B3CCDA70A1467"/>
          </w:placeholder>
        </w:sdtPr>
        <w:sdtContent>
          <w:r w:rsidR="005E3F83">
            <w:t>(Smith &amp; Smith, 2012a)</w:t>
          </w:r>
        </w:sdtContent>
      </w:sdt>
      <w:r w:rsidRPr="00090F97">
        <w:t xml:space="preserve">. However, </w:t>
      </w:r>
      <w:sdt>
        <w:sdtPr>
          <w:rPr>
            <w:color w:val="000000"/>
          </w:rPr>
          <w:tag w:val="MENDELEY_CITATION_v3_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"/>
          <w:id w:val="-557783168"/>
          <w:placeholder>
            <w:docPart w:val="26D08E5E26933F4BBF4B3CCDA70A1467"/>
          </w:placeholder>
        </w:sdtPr>
        <w:sdtContent>
          <w:r w:rsidR="005E3F83" w:rsidRPr="005E3F83">
            <w:rPr>
              <w:color w:val="000000"/>
            </w:rPr>
            <w:t>(Miransari, 2011)</w:t>
          </w:r>
        </w:sdtContent>
      </w:sdt>
      <w:r w:rsidRPr="00090F97">
        <w:t xml:space="preserve"> reported physiological evidence of large P transfer differences by various AMF species which should influence the size (and direction) of AM-mediated growth and the overall P absorption. Furthermore, the major role in plant genetics determining differences in growth between crop cultivars has long been established  </w:t>
      </w:r>
      <w:sdt>
        <w:sdtPr>
          <w:tag w:val="MENDELEY_CITATION_v3_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"/>
          <w:id w:val="-1720589629"/>
          <w:placeholder>
            <w:docPart w:val="DefaultPlaceholder_-1854013440"/>
          </w:placeholder>
        </w:sdtPr>
        <w:sdtContent>
          <w:r w:rsidR="005E3F83">
            <w:t>(Bruetsch &amp; Estes, 1976; Marschener, 1998).</w:t>
          </w:r>
        </w:sdtContent>
      </w:sdt>
    </w:p>
    <w:p w14:paraId="7C96F50D" w14:textId="1C75D27B" w:rsidR="00090F97" w:rsidRDefault="00090F97" w:rsidP="00090F97">
      <w:pPr>
        <w:pStyle w:val="mythesis"/>
      </w:pPr>
    </w:p>
    <w:p w14:paraId="6F1869FC" w14:textId="16A6D652" w:rsidR="00C632FB" w:rsidRDefault="00C632FB" w:rsidP="00090F97">
      <w:pPr>
        <w:pStyle w:val="mythesis"/>
      </w:pPr>
    </w:p>
    <w:p w14:paraId="1978BF50" w14:textId="77777777" w:rsidR="00C632FB" w:rsidRPr="00090F97" w:rsidRDefault="00C632FB" w:rsidP="00090F97">
      <w:pPr>
        <w:pStyle w:val="mythesis"/>
      </w:pPr>
    </w:p>
    <w:p w14:paraId="2DC327E4" w14:textId="7D0125CA" w:rsidR="0019038E" w:rsidRDefault="0019038E" w:rsidP="0019038E">
      <w:pPr>
        <w:pStyle w:val="Heading3"/>
      </w:pPr>
      <w:bookmarkStart w:id="76" w:name="_Toc83751443"/>
      <w:r w:rsidRPr="002932E6">
        <w:lastRenderedPageBreak/>
        <w:t>2.4.4 Nutrient uptake</w:t>
      </w:r>
      <w:bookmarkEnd w:id="76"/>
    </w:p>
    <w:p w14:paraId="3013AB33" w14:textId="77777777" w:rsidR="00DF3003" w:rsidRPr="00DF3003" w:rsidRDefault="00DF3003" w:rsidP="00DF3003"/>
    <w:p w14:paraId="32DE1046" w14:textId="488AD743" w:rsidR="0019038E" w:rsidRPr="00DF3003" w:rsidRDefault="0019038E" w:rsidP="00DF3003">
      <w:pPr>
        <w:pStyle w:val="mythesis"/>
      </w:pPr>
      <w:r w:rsidRPr="00DF3003">
        <w:t xml:space="preserve">    In our results both the content and concentration of shoot N and P </w:t>
      </w:r>
      <w:r w:rsidR="00CC23BE">
        <w:t xml:space="preserve">were </w:t>
      </w:r>
      <w:r w:rsidRPr="00DF3003">
        <w:t>increased at all varieties as a result of mycorrhizal inoculation, however</w:t>
      </w:r>
      <w:r w:rsidR="00B03B8A">
        <w:t xml:space="preserve">, </w:t>
      </w:r>
      <w:r w:rsidRPr="00DF3003">
        <w:t xml:space="preserve">this was only statistically significant for P and then in only in some varieties. Moreover, the magnitude of mycorrhizal enhanced shoot P concentration varied across varieties, again suggesting a potential G by G interaction. The role of arbuscular mycorrhizal enhanced nutrient uptake is hotly debated </w:t>
      </w:r>
      <w:sdt>
        <w:sdtPr>
          <w:rPr>
            <w:color w:val="000000"/>
          </w:rPr>
          <w:tag w:val="MENDELEY_CITATION_v3_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"/>
          <w:id w:val="700676168"/>
          <w:placeholder>
            <w:docPart w:val="C796E44BA29C7B49B74F3F722913E754"/>
          </w:placeholder>
        </w:sdtPr>
        <w:sdtContent>
          <w:r w:rsidR="005E3F83" w:rsidRPr="005E3F83">
            <w:rPr>
              <w:color w:val="000000"/>
            </w:rPr>
            <w:t>(Thirkell et al., 2019)</w:t>
          </w:r>
        </w:sdtContent>
      </w:sdt>
      <w:r w:rsidRPr="00DF3003">
        <w:t xml:space="preserve">. Some studies reveal that arbuscular mycorrhizal fungi enhance both N and P uptake, for example </w:t>
      </w:r>
      <w:sdt>
        <w:sdtPr>
          <w:rPr>
            <w:color w:val="000000"/>
          </w:rPr>
          <w:tag w:val="MENDELEY_CITATION_v3_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"/>
          <w:id w:val="-1894651340"/>
          <w:placeholder>
            <w:docPart w:val="E3FDB0639C6CD243B47E4FC1E0F3A242"/>
          </w:placeholder>
        </w:sdtPr>
        <w:sdtContent>
          <w:r w:rsidR="005E3F83" w:rsidRPr="005E3F83">
            <w:rPr>
              <w:color w:val="000000"/>
            </w:rPr>
            <w:t>(Follett et al., 1974)</w:t>
          </w:r>
        </w:sdtContent>
      </w:sdt>
      <w:r w:rsidRPr="00DF3003">
        <w:t xml:space="preserve"> reported that in a field study that the increased concentration of shoot P was associated with an increased concentration of shoot N in maize production. This is further supported by </w:t>
      </w:r>
      <w:sdt>
        <w:sdtPr>
          <w:tag w:val="MENDELEY_CITATION_v3_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"/>
          <w:id w:val="-672025290"/>
          <w:placeholder>
            <w:docPart w:val="E3FDB0639C6CD243B47E4FC1E0F3A242"/>
          </w:placeholder>
        </w:sdtPr>
        <w:sdtContent>
          <w:r w:rsidR="005E3F83">
            <w:t>(Bélanger &amp; Richards, 1999)</w:t>
          </w:r>
        </w:sdtContent>
      </w:sdt>
      <w:r w:rsidRPr="00DF3003">
        <w:t xml:space="preserve"> who reported that the P concentrations for given shoot biomass have significantly increased with the increasing rates of N fertilization; the direct positive effects on the P concentration of N fertilization however, it is difficult to tease apart the relative importance of these results because it is well known that fertilization of N limited plants is associated with a corresponding increase in P </w:t>
      </w:r>
      <w:sdt>
        <w:sdtPr>
          <w:rPr>
            <w:color w:val="000000"/>
          </w:rPr>
          <w:tag w:val="MENDELEY_CITATION_v3_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"/>
          <w:id w:val="-14851720"/>
          <w:placeholder>
            <w:docPart w:val="C796E44BA29C7B49B74F3F722913E754"/>
          </w:placeholder>
        </w:sdtPr>
        <w:sdtContent>
          <w:r w:rsidR="005E3F83" w:rsidRPr="005E3F83">
            <w:rPr>
              <w:color w:val="000000"/>
            </w:rPr>
            <w:t>(Elliott et al., 2021; Thirkell et al., 2016)</w:t>
          </w:r>
        </w:sdtContent>
      </w:sdt>
      <w:r w:rsidRPr="00DF3003">
        <w:t xml:space="preserve">. In our experiment, N was supplied at required levels based on the recommended requirements of </w:t>
      </w:r>
      <w:r w:rsidRPr="005671E5">
        <w:rPr>
          <w:i/>
          <w:iCs w:val="0"/>
        </w:rPr>
        <w:t>Z. mays</w:t>
      </w:r>
      <w:r w:rsidRPr="00DF3003">
        <w:t xml:space="preserve"> using Long Ashton solution thus our plants were not N limited. We did however used reduced P as high soil P is known to suppress mycorrhizal formation </w:t>
      </w:r>
      <w:sdt>
        <w:sdtPr>
          <w:rPr>
            <w:color w:val="000000"/>
          </w:rPr>
          <w:tag w:val="MENDELEY_CITATION_v3_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"/>
          <w:id w:val="-1755889534"/>
          <w:placeholder>
            <w:docPart w:val="C796E44BA29C7B49B74F3F722913E754"/>
          </w:placeholder>
        </w:sdtPr>
        <w:sdtContent>
          <w:r w:rsidR="005E3F83" w:rsidRPr="005E3F83">
            <w:rPr>
              <w:color w:val="000000"/>
            </w:rPr>
            <w:t>(Balzergue et al., 2013)</w:t>
          </w:r>
        </w:sdtContent>
      </w:sdt>
      <w:r w:rsidRPr="00DF3003">
        <w:t xml:space="preserve">. </w:t>
      </w:r>
    </w:p>
    <w:p w14:paraId="0C231AFC" w14:textId="21611843" w:rsidR="0019038E" w:rsidRPr="00DF3003" w:rsidRDefault="0019038E" w:rsidP="00DF3003">
      <w:pPr>
        <w:pStyle w:val="mythesis"/>
      </w:pPr>
      <w:r w:rsidRPr="00DF3003">
        <w:t xml:space="preserve">    Our result recorded increasing in root N content cross all cultivars and significant in most of them, this finding agreed with </w:t>
      </w:r>
      <w:sdt>
        <w:sdtPr>
          <w:rPr>
            <w:color w:val="000000"/>
          </w:rPr>
          <w:tag w:val="MENDELEY_CITATION_v3_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"/>
          <w:id w:val="1423145852"/>
          <w:placeholder>
            <w:docPart w:val="CD7C99E1FE0F5949B7E50D6C8ECA1418"/>
          </w:placeholder>
        </w:sdtPr>
        <w:sdtContent>
          <w:r w:rsidR="005E3F83" w:rsidRPr="005E3F83">
            <w:rPr>
              <w:color w:val="000000"/>
            </w:rPr>
            <w:t>(Wu et al., 2011)</w:t>
          </w:r>
        </w:sdtContent>
      </w:sdt>
      <w:r w:rsidRPr="00DF3003">
        <w:t xml:space="preserve"> who suggested in their results that although maize growth has improved, root growth in China over the last 36 years of selective breeding has only improved under high N conditions, in order to increase N use efficiency of maize, improving root growth under Low N conditions may be necessary. Also </w:t>
      </w:r>
      <w:sdt>
        <w:sdtPr>
          <w:rPr>
            <w:color w:val="000000"/>
          </w:rPr>
          <w:tag w:val="MENDELEY_CITATION_v3_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"/>
          <w:id w:val="-1938745220"/>
          <w:placeholder>
            <w:docPart w:val="CD7C99E1FE0F5949B7E50D6C8ECA1418"/>
          </w:placeholder>
        </w:sdtPr>
        <w:sdtContent>
          <w:r w:rsidR="005E3F83" w:rsidRPr="005E3F83">
            <w:rPr>
              <w:color w:val="000000"/>
            </w:rPr>
            <w:t>(Wu et al., 2011)</w:t>
          </w:r>
        </w:sdtContent>
      </w:sdt>
      <w:r w:rsidRPr="00DF3003">
        <w:t xml:space="preserve"> results indicated that the elongation of the root can be restricted, and root systems are usually shallower at high N. This finding reflects the outcome of  </w:t>
      </w:r>
      <w:sdt>
        <w:sdtPr>
          <w:rPr>
            <w:color w:val="000000"/>
          </w:rPr>
          <w:tag w:val="MENDELEY_CITATION_v3_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"/>
          <w:id w:val="959001523"/>
          <w:placeholder>
            <w:docPart w:val="CD7C99E1FE0F5949B7E50D6C8ECA1418"/>
          </w:placeholder>
        </w:sdtPr>
        <w:sdtContent>
          <w:r w:rsidR="005E3F83" w:rsidRPr="005E3F83">
            <w:rPr>
              <w:color w:val="000000"/>
            </w:rPr>
            <w:t>(Tian et al., 2005, 2008)</w:t>
          </w:r>
        </w:sdtContent>
      </w:sdt>
      <w:r w:rsidRPr="00DF3003">
        <w:t xml:space="preserve"> who recorded those plants grown below high N may reduce root elongation through increased concentrations of cytokinin levels and reduced auxin levels. All these results proved that maize plants could adapt to low N environments by assigning more carbon assimilates to the root and enhancing axial root elongation to capture the nitrates moving down in the soil </w:t>
      </w:r>
      <w:sdt>
        <w:sdtPr>
          <w:tag w:val="MENDELEY_CITATION_v3_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"/>
          <w:id w:val="1759252229"/>
          <w:placeholder>
            <w:docPart w:val="CD7C99E1FE0F5949B7E50D6C8ECA1418"/>
          </w:placeholder>
        </w:sdtPr>
        <w:sdtContent>
          <w:r w:rsidR="005E3F83">
            <w:t>(Mi et al., 2010; Wiesler &amp; Horst, 1993)</w:t>
          </w:r>
        </w:sdtContent>
      </w:sdt>
      <w:r w:rsidRPr="00DF3003">
        <w:t xml:space="preserve">. But how important AM fungi actually are a capturing N in a dynamic soil N and therefore plant N absorption is a matter of discussion </w:t>
      </w:r>
      <w:sdt>
        <w:sdtPr>
          <w:rPr>
            <w:color w:val="000000"/>
          </w:rPr>
          <w:tag w:val="MENDELEY_CITATION_v3_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"/>
          <w:id w:val="-1242105258"/>
          <w:placeholder>
            <w:docPart w:val="A11495A64A425A45A172D4FF70F4F839"/>
          </w:placeholder>
        </w:sdtPr>
        <w:sdtContent>
          <w:r w:rsidR="005E3F83" w:rsidRPr="005E3F83">
            <w:rPr>
              <w:color w:val="000000"/>
            </w:rPr>
            <w:t>(Ingraffia et al., 2020).</w:t>
          </w:r>
        </w:sdtContent>
      </w:sdt>
      <w:r w:rsidRPr="00DF3003">
        <w:t xml:space="preserve"> Thus maize breeding has adapted the crop for high levels of the very mobile nutrient N, to some </w:t>
      </w:r>
      <w:r w:rsidRPr="00DF3003">
        <w:lastRenderedPageBreak/>
        <w:t>extent these adaptations will favor P uptake as well, however P is far less mobile in soil and specific adaptations for P uptake are required, and this includes mycorrhizal fungi.</w:t>
      </w:r>
    </w:p>
    <w:p w14:paraId="39CEE8F3" w14:textId="6A0DA363" w:rsidR="0019038E" w:rsidRPr="00DF3003" w:rsidRDefault="0019038E" w:rsidP="00DF3003">
      <w:pPr>
        <w:pStyle w:val="mythesis"/>
      </w:pPr>
      <w:r w:rsidRPr="00DF3003">
        <w:t xml:space="preserve">  In our results</w:t>
      </w:r>
      <w:r w:rsidR="006C1C18">
        <w:t>,</w:t>
      </w:r>
      <w:r w:rsidRPr="00DF3003">
        <w:t xml:space="preserve"> mycorrhizal inoculated plants had higher P concentration</w:t>
      </w:r>
      <w:r w:rsidR="00527C05">
        <w:t>s</w:t>
      </w:r>
      <w:r w:rsidRPr="00DF3003">
        <w:t xml:space="preserve"> than non- inoculated plants for all maize genotypes. Many experiments have shown the important role of AM fungi in the improvement of plant uptake of P where both root and shoot concentrations of P have been reported to be significantly higher in AM than in non-mycorrhizal plants at different levels of P, while phosphorus uptake patterns have been shown to be genotype-specific for mycorrhizal and non-mycorrhizal plants </w:t>
      </w:r>
      <w:sdt>
        <w:sdtPr>
          <w:rPr>
            <w:color w:val="000000"/>
          </w:rPr>
          <w:tag w:val="MENDELEY_CITATION_v3_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"/>
          <w:id w:val="603463645"/>
          <w:placeholder>
            <w:docPart w:val="A259CD50E62DA74D86963B1B062ED522"/>
          </w:placeholder>
        </w:sdtPr>
        <w:sdtContent>
          <w:r w:rsidR="005E3F83" w:rsidRPr="005E3F83">
            <w:rPr>
              <w:color w:val="000000"/>
            </w:rPr>
            <w:t>(Singh et al., 2002)</w:t>
          </w:r>
        </w:sdtContent>
      </w:sdt>
      <w:r w:rsidRPr="00DF3003">
        <w:t>.</w:t>
      </w:r>
    </w:p>
    <w:p w14:paraId="51CB7CFB" w14:textId="0165D6FF" w:rsidR="0019038E" w:rsidRPr="00DF3003" w:rsidRDefault="0019038E" w:rsidP="00DF3003">
      <w:pPr>
        <w:pStyle w:val="mythesis"/>
      </w:pPr>
      <w:r w:rsidRPr="00DF3003">
        <w:t xml:space="preserve">In more general terms, </w:t>
      </w:r>
      <w:sdt>
        <w:sdtPr>
          <w:rPr>
            <w:color w:val="000000"/>
          </w:rPr>
          <w:tag w:val="MENDELEY_CITATION_v3_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"/>
          <w:id w:val="-1869369998"/>
          <w:placeholder>
            <w:docPart w:val="C796E44BA29C7B49B74F3F722913E754"/>
          </w:placeholder>
        </w:sdtPr>
        <w:sdtContent>
          <w:r w:rsidR="005E3F83" w:rsidRPr="005E3F83">
            <w:rPr>
              <w:color w:val="000000"/>
            </w:rPr>
            <w:t>(Treseder, 2013b)</w:t>
          </w:r>
          <w:r w:rsidR="00F527C9">
            <w:rPr>
              <w:color w:val="000000"/>
            </w:rPr>
            <w:t xml:space="preserve"> </w:t>
          </w:r>
        </w:sdtContent>
      </w:sdt>
      <w:r w:rsidRPr="00DF3003">
        <w:t xml:space="preserve">showed that when the plant roots are colonized with AMF, it seems that plant growth and tissue P content also increases and is correlated, although there is considerable variability among studies. As others have seen, an increase in the transfer of P (and maybe other nutrients) via prevalent mycorrhizal structures is a likely mechanism for this relationship however to demonstrate this it is important that the </w:t>
      </w:r>
      <w:r w:rsidR="00E15F79">
        <w:t>number</w:t>
      </w:r>
      <w:r w:rsidRPr="00DF3003">
        <w:t xml:space="preserve"> of endophytic structures and tissue nutrient content is correlated (see section 2.3.6). also, some studies indicated that the high level of P in soil could decrease the colonization in the plant root </w:t>
      </w:r>
      <w:sdt>
        <w:sdtPr>
          <w:rPr>
            <w:color w:val="000000"/>
          </w:rPr>
          <w:tag w:val="MENDELEY_CITATION_v3_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"/>
          <w:id w:val="764574297"/>
          <w:placeholder>
            <w:docPart w:val="FB399EEBEA969C4D87688ACCBA95698C"/>
          </w:placeholder>
        </w:sdtPr>
        <w:sdtContent>
          <w:r w:rsidR="005E3F83" w:rsidRPr="005E3F83">
            <w:rPr>
              <w:color w:val="000000"/>
            </w:rPr>
            <w:t>(Olsson et al., 1997).</w:t>
          </w:r>
        </w:sdtContent>
      </w:sdt>
    </w:p>
    <w:p w14:paraId="7C6915CF" w14:textId="6A9E2DCD" w:rsidR="00DF3003" w:rsidRDefault="0019038E" w:rsidP="00DF3003">
      <w:pPr>
        <w:pStyle w:val="mythesis"/>
      </w:pPr>
      <w:r w:rsidRPr="00DF3003">
        <w:t xml:space="preserve">  Exogenous nutrient concentrations in the soil can significantly impact the functioning of AM symbioses. In the literature on AM, when the availability of P levels in </w:t>
      </w:r>
      <w:r w:rsidR="004762D3">
        <w:t xml:space="preserve">the </w:t>
      </w:r>
      <w:r w:rsidRPr="00DF3003">
        <w:t xml:space="preserve">soil exceeds 200 mg kg−1 soil that considered high </w:t>
      </w:r>
      <w:sdt>
        <w:sdtPr>
          <w:rPr>
            <w:color w:val="000000"/>
          </w:rPr>
          <w:tag w:val="MENDELEY_CITATION_v3_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"/>
          <w:id w:val="-1785493006"/>
          <w:placeholder>
            <w:docPart w:val="2201A04363341444A882A6E87E89B173"/>
          </w:placeholder>
        </w:sdtPr>
        <w:sdtContent>
          <w:r w:rsidR="005E3F83" w:rsidRPr="005E3F83">
            <w:rPr>
              <w:color w:val="000000"/>
            </w:rPr>
            <w:t>(Graham et al., 1981)</w:t>
          </w:r>
        </w:sdtContent>
      </w:sdt>
      <w:r w:rsidRPr="00DF3003">
        <w:t xml:space="preserve">. published examples of total P concentrations clearly negatively impacting and inhibiting arbuscular mycorrhizal root colonization range from 228 mg kg−1 soil </w:t>
      </w:r>
      <w:sdt>
        <w:sdtPr>
          <w:rPr>
            <w:color w:val="000000"/>
          </w:rPr>
          <w:tag w:val="MENDELEY_CITATION_v3_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"/>
          <w:id w:val="1407179054"/>
          <w:placeholder>
            <w:docPart w:val="2201A04363341444A882A6E87E89B173"/>
          </w:placeholder>
        </w:sdtPr>
        <w:sdtContent>
          <w:r w:rsidR="005E3F83" w:rsidRPr="005E3F83">
            <w:rPr>
              <w:color w:val="000000"/>
            </w:rPr>
            <w:t>(Menge et al., 1978)</w:t>
          </w:r>
        </w:sdtContent>
      </w:sdt>
      <w:r w:rsidRPr="00DF3003">
        <w:t xml:space="preserve"> to 600 mg kg−1 soil </w:t>
      </w:r>
      <w:sdt>
        <w:sdtPr>
          <w:rPr>
            <w:color w:val="000000"/>
          </w:rPr>
          <w:tag w:val="MENDELEY_CITATION_v3_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"/>
          <w:id w:val="-639724199"/>
          <w:placeholder>
            <w:docPart w:val="2201A04363341444A882A6E87E89B173"/>
          </w:placeholder>
        </w:sdtPr>
        <w:sdtContent>
          <w:r w:rsidR="005E3F83" w:rsidRPr="005E3F83">
            <w:rPr>
              <w:color w:val="000000"/>
            </w:rPr>
            <w:t>(Verhoeven et al., 1996)</w:t>
          </w:r>
        </w:sdtContent>
      </w:sdt>
      <w:r w:rsidRPr="00DF3003">
        <w:t xml:space="preserve"> In our study, available soil P contents were mg kg−1. A similar pattern is true for N, crops in which the shoot N concentration is below 1.4% is considered N-limited </w:t>
      </w:r>
      <w:sdt>
        <w:sdtPr>
          <w:rPr>
            <w:color w:val="000000"/>
          </w:rPr>
          <w:tag w:val="MENDELEY_CITATION_v3_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"/>
          <w:id w:val="-613437800"/>
          <w:placeholder>
            <w:docPart w:val="2201A04363341444A882A6E87E89B173"/>
          </w:placeholder>
        </w:sdtPr>
        <w:sdtContent>
          <w:r w:rsidR="005E3F83" w:rsidRPr="005E3F83">
            <w:rPr>
              <w:color w:val="000000"/>
            </w:rPr>
            <w:t>(AzcÓn et al., 1982)</w:t>
          </w:r>
        </w:sdtContent>
      </w:sdt>
      <w:r w:rsidRPr="00DF3003">
        <w:t xml:space="preserve"> Given </w:t>
      </w:r>
      <w:r w:rsidRPr="00C26E50">
        <w:rPr>
          <w:i/>
          <w:iCs w:val="0"/>
        </w:rPr>
        <w:t>Z. mays</w:t>
      </w:r>
      <w:r w:rsidRPr="00DF3003">
        <w:t xml:space="preserve"> was bred under high nutrient conditions, the fact that high nutrients can suppress root colonization by AMF may lead to the mycorrhizal trait being selected against, especially given </w:t>
      </w:r>
      <w:r w:rsidR="00B4550C">
        <w:t xml:space="preserve">the </w:t>
      </w:r>
      <w:r w:rsidRPr="00DF3003">
        <w:t xml:space="preserve">artificial selection in the breeding program is focused on yield enhancement </w:t>
      </w:r>
      <w:sdt>
        <w:sdtPr>
          <w:tag w:val="MENDELEY_CITATION_v3_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"/>
          <w:id w:val="712158503"/>
          <w:placeholder>
            <w:docPart w:val="C796E44BA29C7B49B74F3F722913E754"/>
          </w:placeholder>
        </w:sdtPr>
        <w:sdtContent>
          <w:r w:rsidR="005E3F83" w:rsidRPr="005149C5">
            <w:t>(Cameron &amp; Bolin, 2010).</w:t>
          </w:r>
        </w:sdtContent>
      </w:sdt>
    </w:p>
    <w:p w14:paraId="71EA2883" w14:textId="614D2B5A" w:rsidR="0019038E" w:rsidRPr="00DF3003" w:rsidRDefault="0019038E" w:rsidP="00DF3003">
      <w:pPr>
        <w:pStyle w:val="mythesis"/>
      </w:pPr>
      <w:r w:rsidRPr="00DF3003">
        <w:t xml:space="preserve">In support of this hypothesis, </w:t>
      </w:r>
      <w:sdt>
        <w:sdtPr>
          <w:rPr>
            <w:color w:val="000000"/>
          </w:rPr>
          <w:tag w:val="MENDELEY_CITATION_v3_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"/>
          <w:id w:val="1748383439"/>
          <w:placeholder>
            <w:docPart w:val="ACB7ACA57DEFB349B05A248E36802104"/>
          </w:placeholder>
        </w:sdtPr>
        <w:sdtContent>
          <w:r w:rsidR="005E3F83" w:rsidRPr="005E3F83">
            <w:rPr>
              <w:color w:val="000000"/>
            </w:rPr>
            <w:t xml:space="preserve">(Wu et al., 2011) </w:t>
          </w:r>
        </w:sdtContent>
      </w:sdt>
      <w:r w:rsidRPr="00DF3003">
        <w:t>found strong interaction effects of N×genotype on root traits. This indicates that the breeding process affected the root response to nutrition significantly, and that suggest</w:t>
      </w:r>
      <w:r w:rsidR="00D74066">
        <w:t>s</w:t>
      </w:r>
      <w:r w:rsidRPr="00DF3003">
        <w:t xml:space="preserve"> that high N conditions for breeding programs may </w:t>
      </w:r>
      <w:r w:rsidRPr="00DF3003">
        <w:lastRenderedPageBreak/>
        <w:t xml:space="preserve">not enhance the root morphological. Also, in new hybrids under low N conditions, the root dry weight was significantly lower, this indicates that root dry weight 's adaptive response to low N stress has decreased as </w:t>
      </w:r>
      <w:r w:rsidR="00D74066">
        <w:t xml:space="preserve">the </w:t>
      </w:r>
      <w:r w:rsidRPr="00DF3003">
        <w:t>hybrid release was increased, these finding</w:t>
      </w:r>
      <w:r w:rsidR="00D74066">
        <w:t>s</w:t>
      </w:r>
      <w:r w:rsidRPr="00DF3003">
        <w:t xml:space="preserve"> can indicate that in the last 20 years of selective breeding, the adaptive root growth response to low N was negative. Moreover, </w:t>
      </w:r>
      <w:sdt>
        <w:sdtPr>
          <w:tag w:val="MENDELEY_CITATION_v3_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"/>
          <w:id w:val="-538982575"/>
          <w:placeholder>
            <w:docPart w:val="3297FC7EEEA6814DAFBB0F5C0E86EC4C"/>
          </w:placeholder>
        </w:sdtPr>
        <w:sdtContent>
          <w:r w:rsidR="005E3F83">
            <w:t>(Fester &amp; Sawers, 2011)</w:t>
          </w:r>
        </w:sdtContent>
      </w:sdt>
      <w:r w:rsidRPr="00DF3003">
        <w:t>suggested in their experiments that AMF acquired nutrient differences in the cultivar indicate that genetic variation within wheat germplasm can determine AMF acquired benefit, with many study reports showing significant differences in response to mycorrhizal associations among the crop varieties, suggesting that breeding programs can capitalize on these genetic differences.</w:t>
      </w:r>
    </w:p>
    <w:p w14:paraId="74B7D4CD" w14:textId="56C40BE0" w:rsidR="0019038E" w:rsidRPr="00AF7F2D" w:rsidRDefault="0019038E" w:rsidP="00AF7F2D">
      <w:pPr>
        <w:pStyle w:val="mythesis"/>
      </w:pPr>
      <w:r w:rsidRPr="002932E6">
        <w:t xml:space="preserve">     It is probable that during the breeding process crop plants were colonized by indigenous AMF even though the selections of crop growers never concerned themselves with mycorrhizal traits. These findings suggest that the breeding of recently developed maize genotypes involves the selection of new AMF-related plants, for which the high soil P conditions have been selected in recent decades. In the process of developing a new germplasm, genotype or variety for modern maize production, a better understanding should therefore be considered of the mycorrhizal traits as an unavoidable biological trait</w:t>
      </w:r>
      <w:sdt>
        <w:sdtPr>
          <w:rPr>
            <w:color w:val="000000"/>
          </w:rPr>
          <w:tag w:val="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"/>
          <w:id w:val="-1687971823"/>
          <w:placeholder>
            <w:docPart w:val="07E01DAC870F2F4189B8775F7DA8A97C"/>
          </w:placeholder>
        </w:sdtPr>
        <w:sdtContent>
          <w:r w:rsidR="005E3F83" w:rsidRPr="005E3F83">
            <w:rPr>
              <w:color w:val="000000"/>
            </w:rPr>
            <w:t xml:space="preserve">(Mi et al., 2010; Wang et al., 2010; Wu et al., 2011). </w:t>
          </w:r>
        </w:sdtContent>
      </w:sdt>
    </w:p>
    <w:p w14:paraId="4B6BA96B" w14:textId="50932E79" w:rsidR="0019038E" w:rsidRDefault="0019038E" w:rsidP="00DF3003">
      <w:pPr>
        <w:pStyle w:val="mythesis"/>
      </w:pPr>
      <w:r w:rsidRPr="002932E6">
        <w:rPr>
          <w:b/>
        </w:rPr>
        <w:t xml:space="preserve">  </w:t>
      </w:r>
      <w:r w:rsidRPr="002932E6">
        <w:t xml:space="preserve">In order to understand if there was a strong relationship between plant nutrient uptake and the variable ability of the cultivars to form mycorrhiza (with the density of endophytic fungal structures a proxy measure), we correlated N and P content and concentration in the shoot with the density of arbuscules in each replicate plant we found absolutely no relationship.  We found this surprising given </w:t>
      </w:r>
      <w:sdt>
        <w:sdtPr>
          <w:rPr>
            <w:color w:val="000000"/>
          </w:rPr>
          <w:tag w:val="MENDELEY_CITATION_v3_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"/>
          <w:id w:val="631601506"/>
          <w:placeholder>
            <w:docPart w:val="34B11B1CEB41A94B92E14BCCC6C927E4"/>
          </w:placeholder>
        </w:sdtPr>
        <w:sdtContent>
          <w:r w:rsidR="005E3F83" w:rsidRPr="005E3F83">
            <w:rPr>
              <w:color w:val="000000"/>
            </w:rPr>
            <w:t>(Gaume et al., 2001; Zhu et al., 2005)</w:t>
          </w:r>
        </w:sdtContent>
      </w:sdt>
      <w:r w:rsidRPr="002932E6">
        <w:t xml:space="preserve"> both showed that increases in shoot growth and mycorrhizal colonization were correlated positively in low-P-soil, but not significantly in high-P-soil, while increases in shoot P concentration and mycorrhizal colonization in were correlated in both high and low P-soils.</w:t>
      </w:r>
    </w:p>
    <w:p w14:paraId="7573B4AC" w14:textId="5EDB9064" w:rsidR="00344326" w:rsidRDefault="00344326" w:rsidP="00DF3003">
      <w:pPr>
        <w:pStyle w:val="mythesis"/>
        <w:rPr>
          <w:b/>
          <w:i/>
        </w:rPr>
      </w:pPr>
    </w:p>
    <w:p w14:paraId="2C090E0D" w14:textId="1B7A4636" w:rsidR="00AF7F2D" w:rsidRDefault="00AF7F2D" w:rsidP="00DF3003">
      <w:pPr>
        <w:pStyle w:val="mythesis"/>
        <w:rPr>
          <w:b/>
          <w:i/>
        </w:rPr>
      </w:pPr>
    </w:p>
    <w:p w14:paraId="3CE4466E" w14:textId="77777777" w:rsidR="005149C5" w:rsidRPr="002932E6" w:rsidRDefault="005149C5" w:rsidP="00DF3003">
      <w:pPr>
        <w:pStyle w:val="mythesis"/>
        <w:rPr>
          <w:b/>
          <w:i/>
        </w:rPr>
      </w:pPr>
    </w:p>
    <w:p w14:paraId="7C4F4BE7" w14:textId="3A09C9DA" w:rsidR="0019038E" w:rsidRDefault="0019038E" w:rsidP="0019038E">
      <w:pPr>
        <w:pStyle w:val="Heading3"/>
      </w:pPr>
      <w:bookmarkStart w:id="77" w:name="_Toc83751444"/>
      <w:r w:rsidRPr="002932E6">
        <w:lastRenderedPageBreak/>
        <w:t>2.4.5 Mycorrhizal responsiveness</w:t>
      </w:r>
      <w:bookmarkEnd w:id="77"/>
    </w:p>
    <w:p w14:paraId="24918CF5" w14:textId="77777777" w:rsidR="00344326" w:rsidRPr="00344326" w:rsidRDefault="00344326" w:rsidP="00344326"/>
    <w:p w14:paraId="091FDB8D" w14:textId="0C62E911" w:rsidR="0019038E" w:rsidRPr="00C05611" w:rsidRDefault="0019038E" w:rsidP="00C05611">
      <w:pPr>
        <w:pStyle w:val="mythesis"/>
      </w:pPr>
      <w:r w:rsidRPr="00C05611">
        <w:t xml:space="preserve">  While the density of endophytic fungal structures such as arbuscules is an important trait to consider as there represent the surface area for nutrient exchange, the physiology of the interface may differ and lead to differences in the quality and </w:t>
      </w:r>
      <w:r w:rsidR="005E7EDF" w:rsidRPr="00C05611">
        <w:t>quantity</w:t>
      </w:r>
      <w:r w:rsidRPr="00C05611">
        <w:t xml:space="preserve"> of resources exchanges between symbiotic partners. As a result of this, </w:t>
      </w:r>
      <w:sdt>
        <w:sdtPr>
          <w:tag w:val="MENDELEY_CITATION_v3_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"/>
          <w:id w:val="-2087457117"/>
          <w:placeholder>
            <w:docPart w:val="C796E44BA29C7B49B74F3F722913E754"/>
          </w:placeholder>
        </w:sdtPr>
        <w:sdtContent>
          <w:r w:rsidR="005E3F83">
            <w:t>(Walder &amp; van der Heijden, 2015a)</w:t>
          </w:r>
        </w:sdtContent>
      </w:sdt>
      <w:r w:rsidRPr="00C05611">
        <w:t xml:space="preserve"> suggest</w:t>
      </w:r>
      <w:r w:rsidR="00842701">
        <w:t>ed</w:t>
      </w:r>
      <w:r w:rsidRPr="00C05611">
        <w:t xml:space="preserve"> </w:t>
      </w:r>
      <w:r w:rsidR="00842701">
        <w:t>the</w:t>
      </w:r>
      <w:r w:rsidRPr="00C05611">
        <w:t xml:space="preserve"> mycorrhizal responsiveness.  We calculated the responsiveness by subtracting the non-inoculated shoot biomass from the inoculated shoot biomass such that a positive number represented a positive response to the AMF while a negative number represented a negative response to the colonization of AMF, presumably because there was an incompatible G by G interaction. We showed, in line with the conclusions of  </w:t>
      </w:r>
      <w:sdt>
        <w:sdtPr>
          <w:tag w:val="MENDELEY_CITATION_v3_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"/>
          <w:id w:val="417604871"/>
          <w:placeholder>
            <w:docPart w:val="C796E44BA29C7B49B74F3F722913E754"/>
          </w:placeholder>
        </w:sdtPr>
        <w:sdtContent>
          <w:r w:rsidR="005E3F83">
            <w:t>(Walder &amp; van der Heijden, 2015a)</w:t>
          </w:r>
        </w:sdtContent>
      </w:sdt>
      <w:r w:rsidRPr="00C05611">
        <w:t>, that most of the cultivars responded positively to AMF and only a few of them responded neutrally or negatively to AMF. Specifically, No 3,5,10,12 and 14 showed a highly significant positive response</w:t>
      </w:r>
      <w:r w:rsidRPr="00C05611" w:rsidDel="003B508C">
        <w:t xml:space="preserve"> </w:t>
      </w:r>
      <w:r w:rsidRPr="00C05611">
        <w:t xml:space="preserve">and only </w:t>
      </w:r>
      <w:r w:rsidR="001D474A">
        <w:t xml:space="preserve">the </w:t>
      </w:r>
      <w:r w:rsidRPr="00C05611">
        <w:t xml:space="preserve">cultivar </w:t>
      </w:r>
      <w:r w:rsidR="001D474A">
        <w:t>No.</w:t>
      </w:r>
      <w:r w:rsidRPr="00C05611">
        <w:t xml:space="preserve">8 showed a significant, negative response. </w:t>
      </w:r>
    </w:p>
    <w:p w14:paraId="263662CD" w14:textId="0AEFB989" w:rsidR="0019038E" w:rsidRPr="00C05611" w:rsidRDefault="0019038E" w:rsidP="00C05611">
      <w:pPr>
        <w:pStyle w:val="mythesis"/>
      </w:pPr>
      <w:r w:rsidRPr="00C05611">
        <w:t>From previous observation</w:t>
      </w:r>
      <w:r w:rsidR="00825504">
        <w:t>,</w:t>
      </w:r>
      <w:r w:rsidRPr="00C05611">
        <w:t xml:space="preserve"> we concluded that the mycorrhizal responsiveness is </w:t>
      </w:r>
      <w:r w:rsidR="004D55E9">
        <w:t xml:space="preserve">a </w:t>
      </w:r>
      <w:r w:rsidRPr="00C05611">
        <w:t xml:space="preserve">much better indication of whether the plant is responsive to mycorrhizal than just looking </w:t>
      </w:r>
      <w:r w:rsidR="000A15F3">
        <w:t>at</w:t>
      </w:r>
      <w:r w:rsidR="000D1B19">
        <w:t xml:space="preserve"> </w:t>
      </w:r>
      <w:r w:rsidRPr="00C05611">
        <w:t>the colonization data percentage and this may be due to inaccuracy of the method of examining the colonization structures by the microscopy and it indicated that the mycorrhizal responsiveness is more accurate as mentioned by</w:t>
      </w:r>
      <w:r w:rsidR="00821B39">
        <w:t xml:space="preserve"> </w:t>
      </w:r>
      <w:sdt>
        <w:sdtPr>
          <w:rPr>
            <w:color w:val="000000"/>
          </w:rPr>
          <w:tag w:val="MENDELEY_CITATION_v3_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"/>
          <w:id w:val="-2125302270"/>
          <w:placeholder>
            <w:docPart w:val="DefaultPlaceholder_-1854013440"/>
          </w:placeholder>
        </w:sdtPr>
        <w:sdtContent>
          <w:r w:rsidR="005E3F83" w:rsidRPr="005E3F83">
            <w:rPr>
              <w:color w:val="000000"/>
            </w:rPr>
            <w:t>(Gange et al., 1999).</w:t>
          </w:r>
        </w:sdtContent>
      </w:sdt>
      <w:r w:rsidRPr="00C05611">
        <w:t xml:space="preserve"> Therefore, we subsequently hypothesized that mycorrhizal responsiveness would be a better </w:t>
      </w:r>
      <w:r w:rsidRPr="00BF46D8">
        <w:t>cor</w:t>
      </w:r>
      <w:r w:rsidR="00D074B8" w:rsidRPr="00BF46D8">
        <w:t>r</w:t>
      </w:r>
      <w:r w:rsidRPr="00BF46D8">
        <w:t xml:space="preserve">elate </w:t>
      </w:r>
      <w:r w:rsidRPr="00C05611">
        <w:t>with nutrient uptake which was partially shown by our results. We found total shoot P was a significant and strong positive correlation with mycorrhizal responsiveness.  Interestingly, we found a strong and significant negative correlation between shoot N concentration and mycorrhizal responsiveness</w:t>
      </w:r>
      <w:r w:rsidR="002F6C09">
        <w:t xml:space="preserve"> </w:t>
      </w:r>
      <w:r w:rsidR="0019139A">
        <w:t>(</w:t>
      </w:r>
      <w:r w:rsidR="002F6C09">
        <w:t xml:space="preserve">see </w:t>
      </w:r>
      <w:r w:rsidR="0019139A">
        <w:t xml:space="preserve">section </w:t>
      </w:r>
      <w:r w:rsidR="002F6C09">
        <w:t>2.3.7).</w:t>
      </w:r>
      <w:r w:rsidRPr="00C05611">
        <w:t xml:space="preserve"> This could be explained by </w:t>
      </w:r>
      <w:sdt>
        <w:sdtPr>
          <w:rPr>
            <w:color w:val="000000"/>
          </w:rPr>
          <w:tag w:val="MENDELEY_CITATION_v3_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"/>
          <w:id w:val="1512409250"/>
          <w:placeholder>
            <w:docPart w:val="C796E44BA29C7B49B74F3F722913E754"/>
          </w:placeholder>
        </w:sdtPr>
        <w:sdtContent>
          <w:r w:rsidR="005E3F83" w:rsidRPr="005E3F83">
            <w:rPr>
              <w:color w:val="000000"/>
            </w:rPr>
            <w:t>(Sawers et al., 2008)</w:t>
          </w:r>
        </w:sdtContent>
      </w:sdt>
      <w:r w:rsidRPr="00C05611">
        <w:t xml:space="preserve"> observation that mycorrhizal plant uptake may be divided into a mycorrhizal path and a direct path. </w:t>
      </w:r>
      <w:sdt>
        <w:sdtPr>
          <w:rPr>
            <w:color w:val="000000"/>
          </w:rPr>
          <w:tag w:val="MENDELEY_CITATION_v3_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"/>
          <w:id w:val="-1439137710"/>
          <w:placeholder>
            <w:docPart w:val="DAF70422925D4C4CAC7FA7774705C40B"/>
          </w:placeholder>
        </w:sdtPr>
        <w:sdtContent>
          <w:r w:rsidR="005E3F83" w:rsidRPr="005E3F83">
            <w:rPr>
              <w:color w:val="000000"/>
            </w:rPr>
            <w:t>(Smith et al., 2003)</w:t>
          </w:r>
        </w:sdtContent>
      </w:sdt>
      <w:r w:rsidRPr="00C05611">
        <w:t xml:space="preserve"> suggested that the mycorrhizal responsiveness differences in cereals are associated with the increased capacity to take P without the help of the AMF in modern lines. And </w:t>
      </w:r>
      <w:sdt>
        <w:sdtPr>
          <w:rPr>
            <w:color w:val="000000"/>
          </w:rPr>
          <w:tag w:val="MENDELEY_CITATION_v3_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"/>
          <w:id w:val="893312950"/>
          <w:placeholder>
            <w:docPart w:val="DAF70422925D4C4CAC7FA7774705C40B"/>
          </w:placeholder>
        </w:sdtPr>
        <w:sdtContent>
          <w:r w:rsidR="005E3F83" w:rsidRPr="005E3F83">
            <w:rPr>
              <w:color w:val="000000"/>
            </w:rPr>
            <w:t>(Sawers et al., 2008; Wright et al., 2005)</w:t>
          </w:r>
        </w:sdtContent>
      </w:sdt>
      <w:r w:rsidRPr="00C05611">
        <w:t xml:space="preserve"> recognized that the mycorrhizal Pathway partially substituted for the direct Root P Uptake may explain these results, although there were observed that there was no mycorrhizal growth response. The nitrogen response is more complex to explain but may be related to the suggestion by </w:t>
      </w:r>
      <w:sdt>
        <w:sdtPr>
          <w:rPr>
            <w:color w:val="000000"/>
          </w:rPr>
          <w:tag w:val="MENDELEY_CITATION_v3_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"/>
          <w:id w:val="908197896"/>
          <w:placeholder>
            <w:docPart w:val="CE89392810887C43A0EB5EE8D0B94876"/>
          </w:placeholder>
        </w:sdtPr>
        <w:sdtContent>
          <w:r w:rsidR="005E3F83" w:rsidRPr="005E3F83">
            <w:rPr>
              <w:color w:val="000000"/>
            </w:rPr>
            <w:t>(Wu et al., 2011)</w:t>
          </w:r>
        </w:sdtContent>
      </w:sdt>
      <w:r w:rsidRPr="00C05611">
        <w:t xml:space="preserve"> that the maize breeding program has optimized plant root architecture to capture more mobile N </w:t>
      </w:r>
      <w:sdt>
        <w:sdtPr>
          <w:rPr>
            <w:color w:val="000000"/>
          </w:rPr>
          <w:tag w:val="MENDELEY_CITATION_v3_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"/>
          <w:id w:val="-7763595"/>
          <w:placeholder>
            <w:docPart w:val="C796E44BA29C7B49B74F3F722913E754"/>
          </w:placeholder>
        </w:sdtPr>
        <w:sdtContent>
          <w:r w:rsidR="005E3F83" w:rsidRPr="005E3F83">
            <w:rPr>
              <w:color w:val="000000"/>
            </w:rPr>
            <w:t>(Field et al., 2019)</w:t>
          </w:r>
        </w:sdtContent>
      </w:sdt>
      <w:r w:rsidRPr="00C05611">
        <w:t xml:space="preserve">. </w:t>
      </w:r>
    </w:p>
    <w:p w14:paraId="441CF233" w14:textId="3F45BB86" w:rsidR="008804F8" w:rsidRDefault="0019038E" w:rsidP="008804F8">
      <w:pPr>
        <w:pStyle w:val="Heading2"/>
      </w:pPr>
      <w:bookmarkStart w:id="78" w:name="_Toc83751445"/>
      <w:r w:rsidRPr="002932E6">
        <w:lastRenderedPageBreak/>
        <w:t>2.5 Conclusion</w:t>
      </w:r>
      <w:bookmarkEnd w:id="78"/>
    </w:p>
    <w:p w14:paraId="7137D726" w14:textId="77777777" w:rsidR="008804F8" w:rsidRPr="008804F8" w:rsidRDefault="008804F8" w:rsidP="008804F8">
      <w:pPr>
        <w:rPr>
          <w:lang w:val="en-GB"/>
        </w:rPr>
      </w:pPr>
    </w:p>
    <w:p w14:paraId="346404BB" w14:textId="19893915" w:rsidR="0019038E" w:rsidRPr="008804F8" w:rsidRDefault="0019038E" w:rsidP="008804F8">
      <w:pPr>
        <w:pStyle w:val="mythesis"/>
      </w:pPr>
      <w:r w:rsidRPr="008804F8">
        <w:t xml:space="preserve">Now we understand that we have </w:t>
      </w:r>
      <w:r w:rsidR="00662BF4">
        <w:t xml:space="preserve">a </w:t>
      </w:r>
      <w:r w:rsidRPr="008804F8">
        <w:t>relevant measure of mycorrhizal responsiveness now we need to understand how mycorrhizal responsiveness is related to the underlying genetics of breeding program (chapter</w:t>
      </w:r>
      <w:r w:rsidR="00D6010C">
        <w:t xml:space="preserve"> </w:t>
      </w:r>
      <w:r w:rsidRPr="008804F8">
        <w:t xml:space="preserve">3) and finer scale physiological (metabolic) consequences of different mycorrhizal responsiveness to the plant (chapter 4). </w:t>
      </w:r>
    </w:p>
    <w:p w14:paraId="7C1643A9" w14:textId="0AC14903" w:rsidR="0019038E" w:rsidRPr="008804F8" w:rsidRDefault="0019038E" w:rsidP="008804F8">
      <w:pPr>
        <w:pStyle w:val="mythesis"/>
      </w:pPr>
      <w:r w:rsidRPr="008804F8">
        <w:t xml:space="preserve">To understand the genetic basis of mycorrhizal responsiveness within our diversity panel, we must link back to </w:t>
      </w:r>
      <w:r w:rsidR="00662BF4">
        <w:t xml:space="preserve">the </w:t>
      </w:r>
      <w:r w:rsidRPr="008804F8">
        <w:t xml:space="preserve">genetics of the population by explaining this through placing </w:t>
      </w:r>
      <w:r w:rsidR="00B15A93">
        <w:t>this</w:t>
      </w:r>
      <w:r w:rsidRPr="008804F8">
        <w:t xml:space="preserve"> measurement (mycorrhizal responsiveness) with the dendrogram. </w:t>
      </w:r>
    </w:p>
    <w:p w14:paraId="7D2EA067" w14:textId="77777777" w:rsidR="0019038E" w:rsidRPr="002932E6" w:rsidRDefault="0019038E" w:rsidP="0019038E">
      <w:pPr>
        <w:spacing w:afterLines="280" w:after="672" w:line="360" w:lineRule="auto"/>
        <w:jc w:val="lowKashida"/>
        <w:rPr>
          <w:color w:val="000000" w:themeColor="text1"/>
        </w:rPr>
      </w:pPr>
    </w:p>
    <w:p w14:paraId="00CC92EC" w14:textId="77777777" w:rsidR="0019038E" w:rsidRPr="002932E6" w:rsidRDefault="0019038E" w:rsidP="0019038E">
      <w:pPr>
        <w:spacing w:afterLines="280" w:after="672" w:line="360" w:lineRule="auto"/>
        <w:jc w:val="lowKashida"/>
        <w:rPr>
          <w:color w:val="000000" w:themeColor="text1"/>
        </w:rPr>
      </w:pPr>
    </w:p>
    <w:p w14:paraId="432D12D1" w14:textId="77777777" w:rsidR="0019038E" w:rsidRPr="002932E6" w:rsidRDefault="0019038E" w:rsidP="0019038E">
      <w:pPr>
        <w:spacing w:afterLines="280" w:after="672" w:line="360" w:lineRule="auto"/>
        <w:jc w:val="lowKashida"/>
        <w:rPr>
          <w:color w:val="000000" w:themeColor="text1"/>
        </w:rPr>
      </w:pPr>
    </w:p>
    <w:p w14:paraId="3337C6C7" w14:textId="701122C1" w:rsidR="0019038E" w:rsidRDefault="0019038E" w:rsidP="0019038E">
      <w:pPr>
        <w:spacing w:afterLines="280" w:after="672" w:line="360" w:lineRule="auto"/>
        <w:jc w:val="lowKashida"/>
        <w:rPr>
          <w:color w:val="000000" w:themeColor="text1"/>
        </w:rPr>
      </w:pPr>
    </w:p>
    <w:p w14:paraId="5C6F3CA6" w14:textId="07244CCF" w:rsidR="00C05611" w:rsidRDefault="00C05611" w:rsidP="0019038E">
      <w:pPr>
        <w:spacing w:afterLines="280" w:after="672" w:line="360" w:lineRule="auto"/>
        <w:jc w:val="lowKashida"/>
        <w:rPr>
          <w:color w:val="000000" w:themeColor="text1"/>
        </w:rPr>
      </w:pPr>
    </w:p>
    <w:p w14:paraId="16A367A2" w14:textId="15CB81CE" w:rsidR="00C05611" w:rsidRDefault="00C05611" w:rsidP="0019038E">
      <w:pPr>
        <w:spacing w:afterLines="280" w:after="672" w:line="360" w:lineRule="auto"/>
        <w:jc w:val="lowKashida"/>
        <w:rPr>
          <w:color w:val="000000" w:themeColor="text1"/>
        </w:rPr>
      </w:pPr>
    </w:p>
    <w:p w14:paraId="3B3F680B" w14:textId="0A874E48" w:rsidR="00C05611" w:rsidRDefault="00C05611" w:rsidP="0019038E">
      <w:pPr>
        <w:spacing w:afterLines="280" w:after="672" w:line="360" w:lineRule="auto"/>
        <w:jc w:val="lowKashida"/>
        <w:rPr>
          <w:color w:val="000000" w:themeColor="text1"/>
        </w:rPr>
      </w:pPr>
    </w:p>
    <w:p w14:paraId="03D2E34C" w14:textId="77777777" w:rsidR="00C05611" w:rsidRPr="002932E6" w:rsidRDefault="00C05611" w:rsidP="0019038E">
      <w:pPr>
        <w:spacing w:afterLines="280" w:after="672" w:line="360" w:lineRule="auto"/>
        <w:jc w:val="lowKashida"/>
        <w:rPr>
          <w:color w:val="000000" w:themeColor="text1"/>
        </w:rPr>
      </w:pPr>
    </w:p>
    <w:p w14:paraId="7DD17FFB" w14:textId="77777777" w:rsidR="0019038E" w:rsidRPr="002932E6" w:rsidRDefault="0019038E" w:rsidP="0019038E">
      <w:pPr>
        <w:spacing w:afterLines="280" w:after="672" w:line="360" w:lineRule="auto"/>
        <w:jc w:val="lowKashida"/>
        <w:rPr>
          <w:color w:val="000000" w:themeColor="text1"/>
        </w:rPr>
      </w:pPr>
    </w:p>
    <w:p w14:paraId="6927A928" w14:textId="77777777" w:rsidR="0019038E" w:rsidRDefault="0019038E" w:rsidP="0019038E">
      <w:pPr>
        <w:pStyle w:val="Heading1"/>
        <w:numPr>
          <w:ilvl w:val="0"/>
          <w:numId w:val="1"/>
        </w:numPr>
        <w:tabs>
          <w:tab w:val="num" w:pos="720"/>
        </w:tabs>
      </w:pPr>
      <w:bookmarkStart w:id="79" w:name="_Toc83751446"/>
      <w:r>
        <w:lastRenderedPageBreak/>
        <w:t xml:space="preserve">The genetic relationship between </w:t>
      </w:r>
      <w:r w:rsidRPr="002A7E64">
        <w:rPr>
          <w:i/>
          <w:iCs/>
        </w:rPr>
        <w:t>Zea mays</w:t>
      </w:r>
      <w:r>
        <w:t xml:space="preserve"> varieties and the effect of this on the plant mycorrhizal responsiveness</w:t>
      </w:r>
      <w:bookmarkEnd w:id="79"/>
    </w:p>
    <w:p w14:paraId="31914FCE" w14:textId="77777777" w:rsidR="0019038E" w:rsidRPr="0039720D" w:rsidRDefault="0019038E" w:rsidP="0019038E"/>
    <w:p w14:paraId="2EAF575F" w14:textId="77777777" w:rsidR="0019038E" w:rsidRDefault="0019038E" w:rsidP="0019038E">
      <w:pPr>
        <w:pStyle w:val="Heading2"/>
      </w:pPr>
      <w:bookmarkStart w:id="80" w:name="_Toc83751447"/>
      <w:r w:rsidRPr="002932E6">
        <w:t>3.1 Introduction</w:t>
      </w:r>
      <w:bookmarkEnd w:id="80"/>
    </w:p>
    <w:p w14:paraId="17B7A092" w14:textId="77777777" w:rsidR="0019038E" w:rsidRPr="0039720D" w:rsidRDefault="0019038E" w:rsidP="0019038E">
      <w:pPr>
        <w:rPr>
          <w:lang w:val="en-GB"/>
        </w:rPr>
      </w:pPr>
    </w:p>
    <w:p w14:paraId="7A97B855" w14:textId="46412AF6" w:rsidR="0019038E" w:rsidRPr="002932E6" w:rsidRDefault="0019038E" w:rsidP="00156284">
      <w:pPr>
        <w:pStyle w:val="mythesis"/>
      </w:pPr>
      <w:r w:rsidRPr="002932E6">
        <w:t xml:space="preserve">Maize is an important crop all over the world; agricultural income and seed diversity increases in recent years. There are several examples in the literature of the patterns of diversity and the variation in maize and its adaptation to local growing conditions, farmers choice affected regarding conservation of seed diversity </w:t>
      </w:r>
      <w:sdt>
        <w:sdtPr>
          <w:rPr>
            <w:color w:val="000000"/>
          </w:rPr>
          <w:tag w:val="MENDELEY_CITATION_v3_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"/>
          <w:id w:val="-1336685777"/>
          <w:placeholder>
            <w:docPart w:val="FFC191C84F8BE64495D655B4ED420BB1"/>
          </w:placeholder>
        </w:sdtPr>
        <w:sdtContent>
          <w:r w:rsidR="005E3F83" w:rsidRPr="005E3F83">
            <w:rPr>
              <w:color w:val="000000"/>
            </w:rPr>
            <w:t>(Huang et al., 2016; Stromberg et al., 2010)</w:t>
          </w:r>
        </w:sdtContent>
      </w:sdt>
      <w:r w:rsidRPr="002932E6">
        <w:t xml:space="preserve">. </w:t>
      </w:r>
      <w:r w:rsidR="004D4828" w:rsidRPr="004D4828">
        <w:t xml:space="preserve">The main source of </w:t>
      </w:r>
      <w:r w:rsidR="005E2F2C" w:rsidRPr="004D4828">
        <w:t>seed is</w:t>
      </w:r>
      <w:r w:rsidR="004D4828" w:rsidRPr="004D4828">
        <w:t xml:space="preserve"> an important part of maize cultivation in any country</w:t>
      </w:r>
      <w:r w:rsidRPr="002932E6">
        <w:t xml:space="preserve">, farmers obtaining seeds from their local markets depending on their shape and some knowledge base, Selection depending on agronomic performance and the delivery of specific products and properties </w:t>
      </w:r>
      <w:sdt>
        <w:sdtPr>
          <w:tag w:val="MENDELEY_CITATION_v3_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"/>
          <w:id w:val="199373458"/>
          <w:placeholder>
            <w:docPart w:val="FFC191C84F8BE64495D655B4ED420BB1"/>
          </w:placeholder>
        </w:sdtPr>
        <w:sdtEndPr>
          <w:rPr>
            <w:b/>
          </w:rPr>
        </w:sdtEndPr>
        <w:sdtContent>
          <w:r w:rsidR="005E3F83">
            <w:t>(Flint-Garcia et al., 2009; Pascual &amp; Perrings, 2007)</w:t>
          </w:r>
        </w:sdtContent>
      </w:sdt>
      <w:r w:rsidRPr="002932E6">
        <w:t xml:space="preserve">. The flow of information, trust for seed sharing, and about the quality of the seed do not have sufficient information for most farmers it always depending on just by looking at it and always they use the seeds from the previous harvest and store it </w:t>
      </w:r>
      <w:sdt>
        <w:sdtPr>
          <w:rPr>
            <w:color w:val="000000"/>
          </w:rPr>
          <w:tag w:val="MENDELEY_CITATION_v3_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"/>
          <w:id w:val="-729072028"/>
          <w:placeholder>
            <w:docPart w:val="FFC191C84F8BE64495D655B4ED420BB1"/>
          </w:placeholder>
        </w:sdtPr>
        <w:sdtContent>
          <w:r w:rsidR="005E3F83" w:rsidRPr="005E3F83">
            <w:rPr>
              <w:color w:val="000000"/>
            </w:rPr>
            <w:t>(Badstue et al., 2007)</w:t>
          </w:r>
        </w:sdtContent>
      </w:sdt>
      <w:r w:rsidRPr="002932E6">
        <w:t xml:space="preserve">.  A variety of maize seeds appearance and diversity in local agro-biodiversity maintained is increasingly in the recent years depending on their quality parameters, such as oil content, sweetness, and degree of wax in seeds and its purity standards </w:t>
      </w:r>
      <w:sdt>
        <w:sdtPr>
          <w:rPr>
            <w:color w:val="000000"/>
          </w:rPr>
          <w:tag w:val="MENDELEY_CITATION_v3_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"/>
          <w:id w:val="266585377"/>
          <w:placeholder>
            <w:docPart w:val="FFC191C84F8BE64495D655B4ED420BB1"/>
          </w:placeholder>
        </w:sdtPr>
        <w:sdtContent>
          <w:r w:rsidR="005E3F83" w:rsidRPr="005E3F83">
            <w:rPr>
              <w:color w:val="000000"/>
            </w:rPr>
            <w:t>(Zhang et al., 2012)</w:t>
          </w:r>
        </w:sdtContent>
      </w:sdt>
      <w:r w:rsidRPr="002932E6">
        <w:t>.</w:t>
      </w:r>
      <w:r w:rsidR="00554E4A">
        <w:t xml:space="preserve"> </w:t>
      </w:r>
      <w:r w:rsidRPr="002932E6">
        <w:t xml:space="preserve">Little is known about the inter-species of maize and the seed diversity </w:t>
      </w:r>
      <w:sdt>
        <w:sdtPr>
          <w:rPr>
            <w:color w:val="000000"/>
          </w:rPr>
          <w:tag w:val="MENDELEY_CITATION_v3_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"/>
          <w:id w:val="1934161877"/>
          <w:placeholder>
            <w:docPart w:val="FFC191C84F8BE64495D655B4ED420BB1"/>
          </w:placeholder>
        </w:sdtPr>
        <w:sdtContent>
          <w:r w:rsidR="005E3F83" w:rsidRPr="005E3F83">
            <w:rPr>
              <w:color w:val="000000"/>
            </w:rPr>
            <w:t xml:space="preserve">(Reyes-García et al., 2008). </w:t>
          </w:r>
        </w:sdtContent>
      </w:sdt>
      <w:r w:rsidRPr="002932E6">
        <w:t xml:space="preserve">Large scale sequencing studies </w:t>
      </w:r>
      <w:r w:rsidR="00F564D9" w:rsidRPr="00F564D9">
        <w:rPr>
          <w:rFonts w:asciiTheme="majorBidi" w:hAnsiTheme="majorBidi" w:cstheme="majorBidi"/>
        </w:rPr>
        <w:t xml:space="preserve">comparing </w:t>
      </w:r>
      <w:r w:rsidR="00C500C1">
        <w:rPr>
          <w:rFonts w:asciiTheme="majorBidi" w:hAnsiTheme="majorBidi" w:cstheme="majorBidi"/>
          <w:i/>
          <w:iCs w:val="0"/>
        </w:rPr>
        <w:t>T</w:t>
      </w:r>
      <w:r w:rsidR="00F564D9" w:rsidRPr="00C500C1">
        <w:rPr>
          <w:rFonts w:asciiTheme="majorBidi" w:hAnsiTheme="majorBidi" w:cstheme="majorBidi"/>
          <w:i/>
          <w:iCs w:val="0"/>
        </w:rPr>
        <w:t>eosinte</w:t>
      </w:r>
      <w:r w:rsidR="00F564D9" w:rsidRPr="00F564D9">
        <w:rPr>
          <w:rFonts w:asciiTheme="majorBidi" w:hAnsiTheme="majorBidi" w:cstheme="majorBidi"/>
        </w:rPr>
        <w:t xml:space="preserve"> (a progenitor of </w:t>
      </w:r>
      <w:r w:rsidR="00F564D9" w:rsidRPr="00F564D9">
        <w:rPr>
          <w:rFonts w:asciiTheme="majorBidi" w:hAnsiTheme="majorBidi" w:cstheme="majorBidi"/>
          <w:i/>
        </w:rPr>
        <w:t>Z. mays</w:t>
      </w:r>
      <w:r w:rsidR="00F564D9" w:rsidRPr="00F564D9">
        <w:rPr>
          <w:rFonts w:asciiTheme="majorBidi" w:hAnsiTheme="majorBidi" w:cstheme="majorBidi"/>
        </w:rPr>
        <w:t>) to modern inbred lines have indicated</w:t>
      </w:r>
      <w:r w:rsidRPr="00F564D9">
        <w:t xml:space="preserve"> 2</w:t>
      </w:r>
      <w:r w:rsidRPr="002932E6">
        <w:t xml:space="preserve">–4% of the maize genome has experienced artificial selection throughout its history, i.e., during domestication and/or plant breeding </w:t>
      </w:r>
      <w:sdt>
        <w:sdtPr>
          <w:rPr>
            <w:color w:val="000000"/>
          </w:rPr>
          <w:tag w:val="MENDELEY_CITATION_v3_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"/>
          <w:id w:val="-1370689549"/>
          <w:placeholder>
            <w:docPart w:val="FFC191C84F8BE64495D655B4ED420BB1"/>
          </w:placeholder>
        </w:sdtPr>
        <w:sdtContent>
          <w:r w:rsidR="005E3F83" w:rsidRPr="005E3F83">
            <w:rPr>
              <w:color w:val="000000"/>
            </w:rPr>
            <w:t>(Wright et al., 2005; Yamasaki et al., 2005)</w:t>
          </w:r>
        </w:sdtContent>
      </w:sdt>
      <w:r w:rsidRPr="002932E6">
        <w:t>. There is little or no genetic variation remaining in inbred lines to contribute to crop improvement by traditional breeding or gene discovery by genetic analysis.</w:t>
      </w:r>
      <w:r w:rsidRPr="002932E6">
        <w:rPr>
          <w:b/>
        </w:rPr>
        <w:t xml:space="preserve"> </w:t>
      </w:r>
      <w:r w:rsidRPr="002932E6">
        <w:t xml:space="preserve">Geneticists are just now beginning to understand the consequences of domestication and the breeding history of a crop species </w:t>
      </w:r>
      <w:sdt>
        <w:sdtPr>
          <w:rPr>
            <w:color w:val="000000"/>
          </w:rPr>
          <w:tag w:val="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"/>
          <w:id w:val="832564253"/>
          <w:placeholder>
            <w:docPart w:val="FFC191C84F8BE64495D655B4ED420BB1"/>
          </w:placeholder>
        </w:sdtPr>
        <w:sdtContent>
          <w:r w:rsidR="005E3F83" w:rsidRPr="005E3F83">
            <w:rPr>
              <w:color w:val="000000"/>
            </w:rPr>
            <w:t>(Hamblin et al., 2006; Hyten et al., 2006; Tang et al., 2006)</w:t>
          </w:r>
        </w:sdtContent>
      </w:sdt>
      <w:r w:rsidRPr="002932E6">
        <w:t>.</w:t>
      </w:r>
    </w:p>
    <w:p w14:paraId="29879708" w14:textId="5981A489" w:rsidR="0019038E" w:rsidRPr="00156284" w:rsidRDefault="0019038E" w:rsidP="00156284">
      <w:pPr>
        <w:pStyle w:val="mythesis"/>
      </w:pPr>
      <w:r w:rsidRPr="00156284">
        <w:t xml:space="preserve">The applications of molecular markers in the breeding programs of different plant crops have been significantly increased in the last few years. Molecular markers not only facilitated the production of novel varieties, but also strengthened identification of disease resistance genes and their related molecular marks by reducing the time needed to discover special properties in progeny plants </w:t>
      </w:r>
      <w:sdt>
        <w:sdtPr>
          <w:tag w:val="MENDELEY_CITATION_v3_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"/>
          <w:id w:val="2100820498"/>
          <w:placeholder>
            <w:docPart w:val="C796E44BA29C7B49B74F3F722913E754"/>
          </w:placeholder>
        </w:sdtPr>
        <w:sdtContent>
          <w:r w:rsidR="005E3F83">
            <w:t>(Debasis &amp; and Paramjit, 2001)</w:t>
          </w:r>
        </w:sdtContent>
      </w:sdt>
      <w:r w:rsidRPr="00156284">
        <w:t xml:space="preserve">. In addition, molecular markers are helpful tools to build genetic map </w:t>
      </w:r>
      <w:sdt>
        <w:sdtPr>
          <w:rPr>
            <w:color w:val="000000"/>
          </w:rPr>
          <w:tag w:val="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"/>
          <w:id w:val="1622885429"/>
          <w:placeholder>
            <w:docPart w:val="C796E44BA29C7B49B74F3F722913E754"/>
          </w:placeholder>
        </w:sdtPr>
        <w:sdtContent>
          <w:r w:rsidR="005E3F83" w:rsidRPr="005E3F83">
            <w:rPr>
              <w:color w:val="000000"/>
            </w:rPr>
            <w:t>(Qi et al., 2004)</w:t>
          </w:r>
        </w:sdtContent>
      </w:sdt>
      <w:r w:rsidRPr="00156284">
        <w:t xml:space="preserve">, determine genetic diversity within the </w:t>
      </w:r>
      <w:r w:rsidRPr="00156284">
        <w:lastRenderedPageBreak/>
        <w:t xml:space="preserve">natural population </w:t>
      </w:r>
      <w:sdt>
        <w:sdtPr>
          <w:rPr>
            <w:color w:val="000000"/>
          </w:rPr>
          <w:tag w:val="MENDELEY_CITATION_v3_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"/>
          <w:id w:val="-842850526"/>
          <w:placeholder>
            <w:docPart w:val="C796E44BA29C7B49B74F3F722913E754"/>
          </w:placeholder>
        </w:sdtPr>
        <w:sdtContent>
          <w:r w:rsidR="005E3F83" w:rsidRPr="005E3F83">
            <w:rPr>
              <w:color w:val="000000"/>
            </w:rPr>
            <w:t>(Abdel-Mawgood et al., 2005),</w:t>
          </w:r>
        </w:sdtContent>
      </w:sdt>
      <w:r w:rsidRPr="00156284">
        <w:t xml:space="preserve"> establish evolutionary and taxonomic links </w:t>
      </w:r>
      <w:sdt>
        <w:sdtPr>
          <w:rPr>
            <w:color w:val="000000"/>
          </w:rPr>
          <w:tag w:val="MENDELEY_CITATION_v3_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"/>
          <w:id w:val="320626731"/>
          <w:placeholder>
            <w:docPart w:val="C796E44BA29C7B49B74F3F722913E754"/>
          </w:placeholder>
        </w:sdtPr>
        <w:sdtContent>
          <w:r w:rsidR="005E3F83" w:rsidRPr="005E3F83">
            <w:rPr>
              <w:color w:val="000000"/>
            </w:rPr>
            <w:t>(Crozier, 1997; Schaal et al., 1998)</w:t>
          </w:r>
        </w:sdtContent>
      </w:sdt>
      <w:r w:rsidRPr="00156284">
        <w:t xml:space="preserve">, develop markers related to resistance to diseases </w:t>
      </w:r>
      <w:sdt>
        <w:sdtPr>
          <w:rPr>
            <w:color w:val="000000"/>
          </w:rPr>
          <w:tag w:val="MENDELEY_CITATION_v3_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"/>
          <w:id w:val="-562955740"/>
          <w:placeholder>
            <w:docPart w:val="C796E44BA29C7B49B74F3F722913E754"/>
          </w:placeholder>
        </w:sdtPr>
        <w:sdtContent>
          <w:r w:rsidR="005E3F83" w:rsidRPr="005E3F83">
            <w:rPr>
              <w:color w:val="000000"/>
            </w:rPr>
            <w:t>(Bachman et al., 2001; Dubcovsky, 2004; J. Zhao et al., 1997)</w:t>
          </w:r>
        </w:sdtContent>
      </w:sdt>
      <w:r w:rsidRPr="00156284">
        <w:t xml:space="preserve">, DNA fingerprints and registry cultivars and develop species-specific markers </w:t>
      </w:r>
      <w:sdt>
        <w:sdtPr>
          <w:rPr>
            <w:color w:val="000000"/>
          </w:rPr>
          <w:tag w:val="MENDELEY_CITATION_v3_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"/>
          <w:id w:val="1163820575"/>
          <w:placeholder>
            <w:docPart w:val="C796E44BA29C7B49B74F3F722913E754"/>
          </w:placeholder>
        </w:sdtPr>
        <w:sdtContent>
          <w:r w:rsidR="005E3F83" w:rsidRPr="005E3F83">
            <w:rPr>
              <w:color w:val="000000"/>
            </w:rPr>
            <w:t>(Abdel-Mawgood et al., 2005; Camlin, 2003; Rao, 2004)</w:t>
          </w:r>
        </w:sdtContent>
      </w:sdt>
      <w:r w:rsidRPr="00156284">
        <w:t xml:space="preserve">. There is a rising tendency in the production of hybrid maize, which offers higher yields, broad adaptability, and performance and quality reliability. The genetic purity of these hybrids must, however, be certain </w:t>
      </w:r>
      <w:sdt>
        <w:sdtPr>
          <w:rPr>
            <w:color w:val="000000"/>
          </w:rPr>
          <w:tag w:val="MENDELEY_CITATION_v3_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"/>
          <w:id w:val="-896748620"/>
          <w:placeholder>
            <w:docPart w:val="C796E44BA29C7B49B74F3F722913E754"/>
          </w:placeholder>
        </w:sdtPr>
        <w:sdtContent>
          <w:r w:rsidR="005E3F83" w:rsidRPr="005E3F83">
            <w:rPr>
              <w:color w:val="000000"/>
            </w:rPr>
            <w:t>(Abdel-Mawgood et al., 2005)</w:t>
          </w:r>
        </w:sdtContent>
      </w:sdt>
      <w:r w:rsidRPr="00156284">
        <w:t>. different molecular markers such as the 18S rRNA, RBCL gene and ISSR represent a newer and more reliable approach, based on which the phylogenetic positions of many plant species.</w:t>
      </w:r>
    </w:p>
    <w:p w14:paraId="51B9D503" w14:textId="630D62A1" w:rsidR="0019038E" w:rsidRPr="002932E6" w:rsidRDefault="0019038E" w:rsidP="00156284">
      <w:pPr>
        <w:pStyle w:val="mythesis"/>
      </w:pPr>
      <w:r w:rsidRPr="002932E6">
        <w:t xml:space="preserve">18S ribosomal RNA is commonly utilized in gene expression investigations such as End-PCR, Northern blotting and quantitative real-time PCRs as the internal control gene for normalization. One advantage of employing 18S rRNA is that it has a low turnover rate, and the large 18S rRNA pool is less prone to significant alterations from physiological perturbations. Numerous studies have verified its use by demonstrating its invariant expression across multiple species, tissues, developmental stages, and treatments </w:t>
      </w:r>
      <w:sdt>
        <w:sdtPr>
          <w:tag w:val="MENDELEY_CITATION_v3_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"/>
          <w:id w:val="171846170"/>
          <w:placeholder>
            <w:docPart w:val="C796E44BA29C7B49B74F3F722913E754"/>
          </w:placeholder>
        </w:sdtPr>
        <w:sdtContent>
          <w:r w:rsidR="005E3F83">
            <w:t>(Bustin, 2000; Chen et al., 2012; Goidin et al., 2001; Jarošová &amp; Kundu, 2010; Maroufi et al., 2010; Nicot et al., 2005)</w:t>
          </w:r>
        </w:sdtContent>
      </w:sdt>
      <w:r w:rsidRPr="002932E6">
        <w:t xml:space="preserve">. however, there are certain disadvantages to utilizing 18S rRNA as a reference gene. For example, because 18S rRNA is far more abundant than any other mRNA transcript, it must be diluted to attain a threshold value within the dynamic range of real-time PCR devices, introducing unpredictability into the result </w:t>
      </w:r>
      <w:sdt>
        <w:sdtPr>
          <w:rPr>
            <w:color w:val="000000"/>
          </w:rPr>
          <w:tag w:val="MENDELEY_CITATION_v3_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"/>
          <w:id w:val="1676158152"/>
          <w:placeholder>
            <w:docPart w:val="C796E44BA29C7B49B74F3F722913E754"/>
          </w:placeholder>
        </w:sdtPr>
        <w:sdtContent>
          <w:r w:rsidR="005E3F83" w:rsidRPr="005E3F83">
            <w:rPr>
              <w:color w:val="000000"/>
            </w:rPr>
            <w:t>(Bogdanović et al., 2013</w:t>
          </w:r>
        </w:sdtContent>
      </w:sdt>
      <w:r w:rsidRPr="002932E6">
        <w:t>).</w:t>
      </w:r>
    </w:p>
    <w:p w14:paraId="32A11C2D" w14:textId="23475C2C" w:rsidR="0019038E" w:rsidRPr="002932E6" w:rsidRDefault="0019038E" w:rsidP="00156284">
      <w:pPr>
        <w:pStyle w:val="mythesis"/>
      </w:pPr>
      <w:r w:rsidRPr="00156284">
        <w:t xml:space="preserve">  The RBCL gene, which encodes the large subunit of ribulose- 1,5-bisphosphate carboxylase / oxygenase (RUBISCO), has been widely sequenced from a variety of plant taxa, and the accompanying data set has tremendously assisted studies of plant phylogeny </w:t>
      </w:r>
      <w:sdt>
        <w:sdtPr>
          <w:rPr>
            <w:color w:val="000000"/>
          </w:rPr>
          <w:tag w:val="MENDELEY_CITATION_v3_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"/>
          <w:id w:val="1588577390"/>
          <w:placeholder>
            <w:docPart w:val="C796E44BA29C7B49B74F3F722913E754"/>
          </w:placeholder>
        </w:sdtPr>
        <w:sdtContent>
          <w:r w:rsidR="005E3F83" w:rsidRPr="005E3F83">
            <w:rPr>
              <w:color w:val="000000"/>
            </w:rPr>
            <w:t>(Palmer et al., 1988)</w:t>
          </w:r>
        </w:sdtContent>
      </w:sdt>
      <w:r w:rsidRPr="00156284">
        <w:t xml:space="preserve">. and  </w:t>
      </w:r>
      <w:sdt>
        <w:sdtPr>
          <w:rPr>
            <w:color w:val="000000"/>
          </w:rPr>
          <w:tag w:val="MENDELEY_CITATION_v3_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"/>
          <w:id w:val="605168515"/>
          <w:placeholder>
            <w:docPart w:val="A5CABDD4AB83FD4FA228562225CB38E9"/>
          </w:placeholder>
        </w:sdtPr>
        <w:sdtContent>
          <w:r w:rsidR="005E3F83" w:rsidRPr="005E3F83">
            <w:rPr>
              <w:color w:val="000000"/>
            </w:rPr>
            <w:t>(Parson et al., 2000)</w:t>
          </w:r>
        </w:sdtContent>
      </w:sdt>
      <w:r w:rsidRPr="00156284">
        <w:t xml:space="preserve"> clarified that RBCL gene can be recognized by genus and family level. </w:t>
      </w:r>
    </w:p>
    <w:p w14:paraId="69C2A7A3" w14:textId="3E58A607" w:rsidR="0019038E" w:rsidRPr="00156284" w:rsidRDefault="0019038E" w:rsidP="00156284">
      <w:pPr>
        <w:pStyle w:val="mythesis"/>
      </w:pPr>
      <w:r w:rsidRPr="00156284">
        <w:t xml:space="preserve">Bioinformatical analysis technologies also have provided a more comprehensive analysis of genetic diversity and the genetic sequence analysis of species populations </w:t>
      </w:r>
      <w:sdt>
        <w:sdtPr>
          <w:rPr>
            <w:color w:val="000000"/>
          </w:rPr>
          <w:tag w:val="MENDELEY_CITATION_v3_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"/>
          <w:id w:val="2074920052"/>
          <w:placeholder>
            <w:docPart w:val="A5CABDD4AB83FD4FA228562225CB38E9"/>
          </w:placeholder>
        </w:sdtPr>
        <w:sdtContent>
          <w:r w:rsidR="005E3F83" w:rsidRPr="005E3F83">
            <w:rPr>
              <w:color w:val="000000"/>
            </w:rPr>
            <w:t>(Roy et al., 2010).</w:t>
          </w:r>
        </w:sdtContent>
      </w:sdt>
      <w:r w:rsidRPr="00156284">
        <w:t xml:space="preserve"> The RBCL gene is part of DNA sequence located in cpDNA and can be used as a barcode for DNA because universality and ease of amplification and analysis in this coding region </w:t>
      </w:r>
      <w:sdt>
        <w:sdtPr>
          <w:rPr>
            <w:color w:val="000000"/>
          </w:rPr>
          <w:tag w:val="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"/>
          <w:id w:val="748391261"/>
          <w:placeholder>
            <w:docPart w:val="C796E44BA29C7B49B74F3F722913E754"/>
          </w:placeholder>
        </w:sdtPr>
        <w:sdtContent>
          <w:r w:rsidR="005E3F83" w:rsidRPr="005E3F83">
            <w:rPr>
              <w:color w:val="000000"/>
            </w:rPr>
            <w:t>(Hasebe et al., 1994; Les et al., 1991; Newmaster et al., 2006)</w:t>
          </w:r>
        </w:sdtContent>
      </w:sdt>
      <w:r w:rsidRPr="00156284">
        <w:t xml:space="preserve">. Based on the study of </w:t>
      </w:r>
      <w:sdt>
        <w:sdtPr>
          <w:rPr>
            <w:color w:val="000000"/>
          </w:rPr>
          <w:tag w:val="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"/>
          <w:id w:val="-1693991288"/>
          <w:placeholder>
            <w:docPart w:val="C796E44BA29C7B49B74F3F722913E754"/>
          </w:placeholder>
        </w:sdtPr>
        <w:sdtContent>
          <w:r w:rsidR="005E3F83" w:rsidRPr="005E3F83">
            <w:rPr>
              <w:color w:val="000000"/>
            </w:rPr>
            <w:t>(Hollingsworth et al., 2009)</w:t>
          </w:r>
        </w:sdtContent>
      </w:sdt>
      <w:r w:rsidRPr="00156284">
        <w:t xml:space="preserve"> the plant species could be observed because this gene RBCL is easily amplified and </w:t>
      </w:r>
      <w:r w:rsidRPr="00156284">
        <w:lastRenderedPageBreak/>
        <w:t xml:space="preserve">sequenced and has several phylogenetic characteristics because it is about 1400 bp in full length. Compared to other codes in cpDNA, this sequence is low in mutation and because the similarity between species is high </w:t>
      </w:r>
      <w:sdt>
        <w:sdtPr>
          <w:tag w:val="MENDELEY_CITATION_v3_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"/>
          <w:id w:val="464772166"/>
          <w:placeholder>
            <w:docPart w:val="A5CABDD4AB83FD4FA228562225CB38E9"/>
          </w:placeholder>
        </w:sdtPr>
        <w:sdtContent>
          <w:r w:rsidR="005E3F83">
            <w:t>(Kellogg &amp; Juliano, 1997).</w:t>
          </w:r>
        </w:sdtContent>
      </w:sdt>
      <w:r w:rsidRPr="00156284">
        <w:t xml:space="preserve"> And the plastid genome is acquired uniparentally, unrecombined and is structurally stable, and the rival gene of the plant DNA barcode is the most promising </w:t>
      </w:r>
      <w:sdt>
        <w:sdtPr>
          <w:rPr>
            <w:color w:val="000000"/>
          </w:rPr>
          <w:tag w:val="MENDELEY_CITATION_v3_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"/>
          <w:id w:val="-148366725"/>
          <w:placeholder>
            <w:docPart w:val="C8F1FA07DD61B3468C6D9DBDAFA12577"/>
          </w:placeholder>
        </w:sdtPr>
        <w:sdtContent>
          <w:r w:rsidR="005E3F83" w:rsidRPr="005E3F83">
            <w:rPr>
              <w:color w:val="000000"/>
            </w:rPr>
            <w:t>(Hebert et al., 2003)</w:t>
          </w:r>
        </w:sdtContent>
      </w:sdt>
      <w:r w:rsidRPr="00156284">
        <w:t xml:space="preserve">. The RuBisCO large subunit (RBCL) plastic marker was commonly used to investigate the unknown taxonomic position of species to elucidate taxonomic linkage among species </w:t>
      </w:r>
      <w:sdt>
        <w:sdtPr>
          <w:rPr>
            <w:color w:val="000000"/>
          </w:rPr>
          <w:tag w:val="MENDELEY_CITATION_v3_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"/>
          <w:id w:val="-2005193520"/>
          <w:placeholder>
            <w:docPart w:val="C8F1FA07DD61B3468C6D9DBDAFA12577"/>
          </w:placeholder>
        </w:sdtPr>
        <w:sdtContent>
          <w:r w:rsidR="005E3F83" w:rsidRPr="005E3F83">
            <w:rPr>
              <w:color w:val="000000"/>
            </w:rPr>
            <w:t>(Hollingsworth et al., 2011)</w:t>
          </w:r>
        </w:sdtContent>
      </w:sdt>
      <w:r w:rsidRPr="00156284">
        <w:t>.</w:t>
      </w:r>
    </w:p>
    <w:p w14:paraId="6BA60861" w14:textId="6B9389D2" w:rsidR="0019038E" w:rsidRPr="002932E6" w:rsidRDefault="0019038E" w:rsidP="00156284">
      <w:pPr>
        <w:pStyle w:val="mythesis"/>
      </w:pPr>
      <w:r w:rsidRPr="002932E6">
        <w:t xml:space="preserve">Molecular markers facilities by ISSR DNA markers in plants which involves amplification of DNA segment present at an amplifiable distance in between two identical microsatellite repeat regions oriented in opposite direction, have many advantages in plant genetic analysis, because they are simple, widely used techniques, highly polymorphic more in number, stable across different developmental stages, neutral to selection and least influenced by environmental factors </w:t>
      </w:r>
      <w:sdt>
        <w:sdtPr>
          <w:rPr>
            <w:color w:val="000000"/>
          </w:rPr>
          <w:tag w:val="MENDELEY_CITATION_v3_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"/>
          <w:id w:val="1741356779"/>
          <w:placeholder>
            <w:docPart w:val="FFC191C84F8BE64495D655B4ED420BB1"/>
          </w:placeholder>
        </w:sdtPr>
        <w:sdtContent>
          <w:r w:rsidR="005E3F83" w:rsidRPr="005E3F83">
            <w:rPr>
              <w:color w:val="000000"/>
            </w:rPr>
            <w:t>(Vijayan, 2005)</w:t>
          </w:r>
        </w:sdtContent>
      </w:sdt>
      <w:r w:rsidRPr="002932E6">
        <w:rPr>
          <w:b/>
        </w:rPr>
        <w:t>.</w:t>
      </w:r>
      <w:r w:rsidRPr="002932E6">
        <w:t xml:space="preserve"> ISSR markers are highly polymorphic and valuable in genetic diversity, phylogeny, gene tagging, genome mapping, and evolutionary biology research </w:t>
      </w:r>
      <w:sdt>
        <w:sdtPr>
          <w:rPr>
            <w:color w:val="000000"/>
          </w:rPr>
          <w:tag w:val="MENDELEY_CITATION_v3_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"/>
          <w:id w:val="1155728898"/>
          <w:placeholder>
            <w:docPart w:val="C796E44BA29C7B49B74F3F722913E754"/>
          </w:placeholder>
        </w:sdtPr>
        <w:sdtContent>
          <w:r w:rsidR="005E3F83" w:rsidRPr="005E3F83">
            <w:rPr>
              <w:color w:val="000000"/>
            </w:rPr>
            <w:t>(Pradeep Reddy et al., 2002)</w:t>
          </w:r>
        </w:sdtContent>
      </w:sdt>
      <w:r w:rsidRPr="002932E6">
        <w:t xml:space="preserve">. ISSR-PCR amplified sequences can be utilized for DNA fingerprinting. ISSR primers might occasionally be less specific to the genome being scanned, resulting in confusing fingerprints. Poor reproducibility of ISSR results is also caused by poor quality genomic DNA </w:t>
      </w:r>
      <w:sdt>
        <w:sdtPr>
          <w:rPr>
            <w:color w:val="000000"/>
          </w:rPr>
          <w:tag w:val="MENDELEY_CITATION_v3_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"/>
          <w:id w:val="-606725051"/>
          <w:placeholder>
            <w:docPart w:val="C796E44BA29C7B49B74F3F722913E754"/>
          </w:placeholder>
        </w:sdtPr>
        <w:sdtContent>
          <w:r w:rsidR="005E3F83" w:rsidRPr="005E3F83">
            <w:rPr>
              <w:color w:val="000000"/>
            </w:rPr>
            <w:t>(Sarwat, 2012).</w:t>
          </w:r>
        </w:sdtContent>
      </w:sdt>
    </w:p>
    <w:p w14:paraId="5B9C6E38" w14:textId="069782C7" w:rsidR="0019038E" w:rsidRPr="002932E6" w:rsidRDefault="0019038E" w:rsidP="00156284">
      <w:pPr>
        <w:pStyle w:val="mythesis"/>
      </w:pPr>
      <w:r w:rsidRPr="002932E6">
        <w:t xml:space="preserve">Previous efforts to develop molecular markers in </w:t>
      </w:r>
      <w:r w:rsidRPr="002932E6">
        <w:rPr>
          <w:i/>
        </w:rPr>
        <w:t>Zea mays</w:t>
      </w:r>
      <w:r w:rsidRPr="002932E6">
        <w:t xml:space="preserve"> based on ISSR </w:t>
      </w:r>
      <w:sdt>
        <w:sdtPr>
          <w:rPr>
            <w:color w:val="000000"/>
          </w:rPr>
          <w:tag w:val="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"/>
          <w:id w:val="-1445524634"/>
          <w:placeholder>
            <w:docPart w:val="FFC191C84F8BE64495D655B4ED420BB1"/>
          </w:placeholder>
        </w:sdtPr>
        <w:sdtContent>
          <w:r w:rsidR="005E3F83" w:rsidRPr="005E3F83">
            <w:rPr>
              <w:color w:val="000000"/>
            </w:rPr>
            <w:t>(Idris et al., 2012; Jana et al., 2013; Osipova et al., 2003</w:t>
          </w:r>
        </w:sdtContent>
      </w:sdt>
      <w:r w:rsidRPr="002932E6">
        <w:rPr>
          <w:b/>
        </w:rPr>
        <w:t>)</w:t>
      </w:r>
      <w:r w:rsidRPr="002932E6">
        <w:t xml:space="preserve">, techniques are well documented. These markers are useful in cultivar identification and in studying genomic diversity and evolution. Different specific markers in crop plants were also successfully detected based on ISSR approaches </w:t>
      </w:r>
      <w:sdt>
        <w:sdtPr>
          <w:rPr>
            <w:color w:val="000000"/>
          </w:rPr>
          <w:tag w:val="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"/>
          <w:id w:val="-32963738"/>
          <w:placeholder>
            <w:docPart w:val="FFC191C84F8BE64495D655B4ED420BB1"/>
          </w:placeholder>
        </w:sdtPr>
        <w:sdtContent>
          <w:r w:rsidR="005E3F83" w:rsidRPr="005E3F83">
            <w:rPr>
              <w:color w:val="000000"/>
            </w:rPr>
            <w:t>(Edris et al., 2014; Sabir et al., 2014a)</w:t>
          </w:r>
        </w:sdtContent>
      </w:sdt>
      <w:r w:rsidRPr="002932E6">
        <w:t xml:space="preserve">. These markers can be utilized in marker-assisted selection and breeding programs in </w:t>
      </w:r>
      <w:r w:rsidRPr="002932E6">
        <w:rPr>
          <w:i/>
        </w:rPr>
        <w:t>Zea mays</w:t>
      </w:r>
      <w:r w:rsidRPr="002932E6">
        <w:t xml:space="preserve">. As little is known about the origin of </w:t>
      </w:r>
      <w:r w:rsidR="00C148E2" w:rsidRPr="000A04BD">
        <w:rPr>
          <w:i/>
          <w:iCs w:val="0"/>
        </w:rPr>
        <w:t>Zea</w:t>
      </w:r>
      <w:r w:rsidR="00C148E2" w:rsidRPr="000A04BD">
        <w:t xml:space="preserve"> </w:t>
      </w:r>
      <w:r w:rsidRPr="002932E6">
        <w:rPr>
          <w:i/>
        </w:rPr>
        <w:t>mays</w:t>
      </w:r>
      <w:r w:rsidRPr="002932E6">
        <w:t xml:space="preserve"> germplasm grown in Saudi Arabia.</w:t>
      </w:r>
    </w:p>
    <w:p w14:paraId="47A7B82A" w14:textId="144F0FF5" w:rsidR="006E7E9C" w:rsidRDefault="0019038E" w:rsidP="00156284">
      <w:pPr>
        <w:pStyle w:val="mythesis"/>
      </w:pPr>
      <w:r w:rsidRPr="006E7E9C">
        <w:t xml:space="preserve"> </w:t>
      </w:r>
      <w:r w:rsidR="006E7E9C" w:rsidRPr="006E7E9C">
        <w:t xml:space="preserve">The aim of this study was to explore the usefulness of the two genes (18s and RBCL) and ISSR markers assessing relatedness among eighteen different maize samples and characterization of cultivar-specific markers was to identify the genetically variable genotypes to be utilized in the future breeding program in Saudi Arabia to develop promising genetic materials with improved maize crop characteristics, particularly with respect to plant </w:t>
      </w:r>
      <w:r w:rsidR="006E7E9C" w:rsidRPr="006E7E9C">
        <w:lastRenderedPageBreak/>
        <w:t>mycorrhizal responsiveness. This will be achieved using the molecular marker (18S, RBCL and ISSR analysis)</w:t>
      </w:r>
    </w:p>
    <w:p w14:paraId="15E5424D" w14:textId="2EE66311" w:rsidR="0019038E" w:rsidRPr="002932E6" w:rsidRDefault="0019038E" w:rsidP="00156284">
      <w:pPr>
        <w:pStyle w:val="mythesis"/>
      </w:pPr>
      <w:r w:rsidRPr="002932E6">
        <w:t xml:space="preserve">Our hypothesis is based on: There will be a genetic similarity between the </w:t>
      </w:r>
      <w:r w:rsidR="00583712">
        <w:t xml:space="preserve">18 </w:t>
      </w:r>
      <w:r w:rsidRPr="002932E6">
        <w:rPr>
          <w:i/>
        </w:rPr>
        <w:t>Zea mays</w:t>
      </w:r>
      <w:r w:rsidRPr="002932E6">
        <w:t xml:space="preserve"> cultivars, and the mycorrhizal responsiveness will be related to this genetic similarity between the plant cultivars and the breeding program will affect this relationship between the genetic similarity and the mycorrhizal responsiveness, so we hypothesis 2 main points:</w:t>
      </w:r>
    </w:p>
    <w:p w14:paraId="172D4217" w14:textId="77777777" w:rsidR="0019038E" w:rsidRPr="002932E6" w:rsidRDefault="0019038E" w:rsidP="00156284">
      <w:pPr>
        <w:pStyle w:val="mythesis"/>
      </w:pPr>
      <w:r w:rsidRPr="002932E6">
        <w:t>1-The variability within mycorrhizal positively responsive clades, neutral clades will be smaller than the variability between those clades.</w:t>
      </w:r>
    </w:p>
    <w:p w14:paraId="3E4D3616" w14:textId="77777777" w:rsidR="0019038E" w:rsidRPr="002932E6" w:rsidRDefault="0019038E" w:rsidP="00156284">
      <w:pPr>
        <w:pStyle w:val="mythesis"/>
      </w:pPr>
      <w:r w:rsidRPr="002932E6">
        <w:t>2- that the negatively mycorrhizal responsiveness cultivars will be genetically different from all other cultivars</w:t>
      </w:r>
      <w:r>
        <w:t>.</w:t>
      </w:r>
    </w:p>
    <w:p w14:paraId="3320B9A4" w14:textId="77777777" w:rsidR="0019038E" w:rsidRPr="002932E6" w:rsidRDefault="0019038E" w:rsidP="0019038E">
      <w:pPr>
        <w:pStyle w:val="Heading2"/>
      </w:pPr>
    </w:p>
    <w:p w14:paraId="097EA5A5" w14:textId="77777777" w:rsidR="0019038E" w:rsidRDefault="0019038E" w:rsidP="0019038E">
      <w:pPr>
        <w:pStyle w:val="Heading2"/>
      </w:pPr>
      <w:bookmarkStart w:id="81" w:name="_Toc83751448"/>
      <w:r w:rsidRPr="002932E6">
        <w:t>3.2 Materials and Methods</w:t>
      </w:r>
      <w:bookmarkEnd w:id="81"/>
    </w:p>
    <w:p w14:paraId="5AA54EFB" w14:textId="77777777" w:rsidR="0019038E" w:rsidRPr="006316FA" w:rsidRDefault="0019038E" w:rsidP="0019038E">
      <w:pPr>
        <w:rPr>
          <w:lang w:val="en-GB"/>
        </w:rPr>
      </w:pPr>
    </w:p>
    <w:p w14:paraId="12D3DB30" w14:textId="77777777" w:rsidR="0019038E" w:rsidRDefault="0019038E" w:rsidP="0019038E">
      <w:pPr>
        <w:pStyle w:val="Heading3"/>
      </w:pPr>
      <w:bookmarkStart w:id="82" w:name="_Toc83751449"/>
      <w:r w:rsidRPr="002932E6">
        <w:t>3.2.1 Seeds collection</w:t>
      </w:r>
      <w:bookmarkEnd w:id="82"/>
    </w:p>
    <w:p w14:paraId="648C7868" w14:textId="77777777" w:rsidR="0019038E" w:rsidRPr="006316FA" w:rsidRDefault="0019038E" w:rsidP="0019038E"/>
    <w:p w14:paraId="7BF421EB" w14:textId="77777777" w:rsidR="0019038E" w:rsidRPr="006316FA" w:rsidRDefault="0019038E" w:rsidP="001F5679">
      <w:pPr>
        <w:pStyle w:val="mythesis"/>
      </w:pPr>
      <w:r w:rsidRPr="002932E6">
        <w:t>Eighteen different varieties of maize seed samples were collected from several different companies from the Kingdom of Saudi Arabia (samples from 1-9 form Al-kanahil Agricultural EST, samples from 10-19 from Saudi United Fertilizer co. and samples from17-18 from Twaiq Agricultural Co.) and the seeds were sterilized by the companies itself from fungicides to keep it’s without pollution. 18 different varieties of maize seeds have different characteristics were classified depending on their shape and color as shown in Figure 3.1</w:t>
      </w:r>
      <w:r>
        <w:t>.</w:t>
      </w:r>
      <w:r w:rsidRPr="002932E6">
        <w:t xml:space="preserve"> </w:t>
      </w:r>
    </w:p>
    <w:p w14:paraId="5FC6230A" w14:textId="77777777" w:rsidR="0019038E" w:rsidRDefault="0019038E" w:rsidP="0019038E">
      <w:pPr>
        <w:pStyle w:val="Heading3"/>
      </w:pPr>
      <w:bookmarkStart w:id="83" w:name="_Toc83751450"/>
      <w:r w:rsidRPr="00717E86">
        <w:t>3.2.2 Seeds preparation and seedling</w:t>
      </w:r>
      <w:bookmarkEnd w:id="83"/>
    </w:p>
    <w:p w14:paraId="4F3B1B69" w14:textId="77777777" w:rsidR="0019038E" w:rsidRPr="006316FA" w:rsidRDefault="0019038E" w:rsidP="0019038E"/>
    <w:p w14:paraId="299770C0" w14:textId="22A6A58C" w:rsidR="0019038E" w:rsidRDefault="0019038E" w:rsidP="001F5679">
      <w:pPr>
        <w:pStyle w:val="mythesis"/>
        <w:rPr>
          <w:shd w:val="clear" w:color="auto" w:fill="FFFFFF"/>
        </w:rPr>
      </w:pPr>
      <w:r w:rsidRPr="002932E6">
        <w:rPr>
          <w:shd w:val="clear" w:color="auto" w:fill="FFFFFF"/>
        </w:rPr>
        <w:t>Seeds were washed with sterile distilled water to get rid from any debris of fungicides and planted each type of seed in one spot containing sterile soil with some perlite with 5 replicates.</w:t>
      </w:r>
      <w:r w:rsidRPr="002932E6">
        <w:t xml:space="preserve"> </w:t>
      </w:r>
      <w:r w:rsidRPr="002932E6">
        <w:rPr>
          <w:shd w:val="clear" w:color="auto" w:fill="FFFFFF"/>
        </w:rPr>
        <w:t xml:space="preserve">The duration of planting was 60 days watered every three days. </w:t>
      </w:r>
    </w:p>
    <w:p w14:paraId="6E29B8A9" w14:textId="77777777" w:rsidR="001F5679" w:rsidRPr="002932E6" w:rsidRDefault="001F5679" w:rsidP="001F5679">
      <w:pPr>
        <w:pStyle w:val="mythesis"/>
        <w:rPr>
          <w:shd w:val="clear" w:color="auto" w:fill="FFFFFF"/>
        </w:rPr>
      </w:pPr>
    </w:p>
    <w:p w14:paraId="31CD34EA" w14:textId="77777777" w:rsidR="0019038E" w:rsidRDefault="0019038E" w:rsidP="0019038E">
      <w:pPr>
        <w:pStyle w:val="Heading3"/>
      </w:pPr>
      <w:bookmarkStart w:id="84" w:name="_Toc83751451"/>
      <w:r w:rsidRPr="002932E6">
        <w:lastRenderedPageBreak/>
        <w:t>3.2.3 Genomic DNA extraction and purification</w:t>
      </w:r>
      <w:bookmarkEnd w:id="84"/>
    </w:p>
    <w:p w14:paraId="2873D392" w14:textId="77777777" w:rsidR="0019038E" w:rsidRPr="006316FA" w:rsidRDefault="0019038E" w:rsidP="0019038E"/>
    <w:p w14:paraId="7E88445A" w14:textId="6D08FB26" w:rsidR="0019038E" w:rsidRPr="002835BB" w:rsidRDefault="0019038E" w:rsidP="002835BB">
      <w:pPr>
        <w:pStyle w:val="mythesis"/>
      </w:pPr>
      <w:r w:rsidRPr="002835BB">
        <w:t xml:space="preserve">  We have 18 samples for 18 varieties but </w:t>
      </w:r>
      <w:r w:rsidR="00583712">
        <w:t xml:space="preserve">the </w:t>
      </w:r>
      <w:r w:rsidRPr="002835BB">
        <w:t xml:space="preserve">cultivars </w:t>
      </w:r>
      <w:r w:rsidR="00583712">
        <w:t>No.</w:t>
      </w:r>
      <w:r w:rsidRPr="002835BB">
        <w:t>13,15 did not grow.100 mg fresh frozen shoot tissue was weighted for each sample and grounded in mortar with liquid nitrogen. Pipette 350 µL of Lysis Buffer A into 1.5 mL microcentrifuge tube then transferred the ground tissue to the Lysis Buffer A and vortex for 1 min, Add 50 µL of Lysis Buffer B and 20 µL RNase A and vortex for 1 min, the sample was incubated at 65</w:t>
      </w:r>
      <w:r w:rsidR="00BA034E" w:rsidRPr="002932E6">
        <w:rPr>
          <w:shd w:val="clear" w:color="auto" w:fill="FFFFFF"/>
        </w:rPr>
        <w:t>°C</w:t>
      </w:r>
      <w:r w:rsidRPr="002835BB">
        <w:t xml:space="preserve"> for 10 min, 130 μL of Precipitation Solution was added and mixed by inverting the tube 2-3 times and Incubated 5 min on ice, then the sample was centrifuged for 5 min at 14,000 rpm, the supernatant (usually 450-550 µL) was collected and transferred to the clean microcentrifuge tube  and 400 µL of Plant gDNA Binding Solution then 400 µL of 96% ethanol were added and mixed well, half of the prepared mixture (600-700 µL) was transferred to the spin column. And centrifuged for 1 min at 8,000 rpm, the flow-through solution was discarded and applied the remaining mixture onto the same column, centrifuged for 1 min at 8,000 rpm, 500 μL of Wash Buffer I was added to the and centrifuged for 1 min at 10,000 rpm, the flow through was discarded and placed the column back into the collection tube, add 500 μL of Wash Buffer II was added to the column and centrifuged for 3 min at maximum speed 14,000 rpm, then the collection tube was emptied, the purification column placed back into the tube and re-spun the column for 1 min. at maximum speed ≥14,000 rpm and kept it open in the incubator at 37</w:t>
      </w:r>
      <w:r w:rsidR="00CA5247" w:rsidRPr="002932E6">
        <w:rPr>
          <w:shd w:val="clear" w:color="auto" w:fill="FFFFFF"/>
        </w:rPr>
        <w:t xml:space="preserve">°C </w:t>
      </w:r>
      <w:r w:rsidRPr="002835BB">
        <w:t xml:space="preserve">for 10 min for ethanol to evaporate. then the collection tube containing the flow-through solution was discarded and transferred the column to a sterile 1.5 mL microcentrifuge tube, 100 μL of Elution Buffer was added to the center of the column membrane and incubated for 5 min at room temperature and centrifuge for 1 min at 10,000 rpm and the purified DNA was ready to use. The DNA concentration in different samples was estimated by measuring optical density at 260 nm and 280 nm using spectrophotometer. The quality of extracted DNA was estimated by running on 1.5 % agarose gel electrophoresis, using ethidium bromide (5 μg/ml) in 1X Tris acetate Edita (TAE) buffer we prepared the buffer by adding 18.612 gm of Na-EDTA and 242.2 gm Tris-HCl (pH 8) and 57.1 ml acetic acid and   H2O (d.w) Up to 100 ml.Agarose was placed in 1X TAE buffer and boiled in water bath, then ethidium bromide was added to the melted gel after the temperature become 55 °C. The melted gel poured in the tray of mini-gel apparatus and the comb was inserted immediately, then the comb was removed when the gel become hardened. The electrophoresis buffer (1X TAE), then covered the gel. 10µl of dsDNA was loaded in each well and 5 µl of 1Kb DNA ladder from Gold Biotechnology and was run at 95 volts. Gel images were visualized using UV transilluminator and photographed using a Gel Documentation </w:t>
      </w:r>
      <w:r w:rsidRPr="002835BB">
        <w:lastRenderedPageBreak/>
        <w:t>System (BIO-RAD 2000, USA</w:t>
      </w:r>
      <w:r w:rsidRPr="000A04BD">
        <w:t xml:space="preserve">). </w:t>
      </w:r>
      <w:r w:rsidR="00722B2B" w:rsidRPr="000A04BD">
        <w:t xml:space="preserve">GeneJET plant genomic </w:t>
      </w:r>
      <w:r w:rsidR="008E5A2F" w:rsidRPr="000A04BD">
        <w:t xml:space="preserve">DNA purification </w:t>
      </w:r>
      <w:r w:rsidR="00722B2B" w:rsidRPr="000A04BD">
        <w:t xml:space="preserve">kit  </w:t>
      </w:r>
      <w:r w:rsidRPr="002835BB">
        <w:t xml:space="preserve">was used for the purification of amplified PCR using 1Kb DNA Ladder according to </w:t>
      </w:r>
      <w:sdt>
        <w:sdtPr>
          <w:rPr>
            <w:color w:val="000000"/>
          </w:rPr>
          <w:tag w:val="MENDELEY_CITATION_v3_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"/>
          <w:id w:val="1460374190"/>
          <w:placeholder>
            <w:docPart w:val="307B75479AB4534E918D97548F3786C7"/>
          </w:placeholder>
        </w:sdtPr>
        <w:sdtContent>
          <w:r w:rsidR="005E3F83" w:rsidRPr="005E3F83">
            <w:rPr>
              <w:color w:val="000000"/>
            </w:rPr>
            <w:t>(George et al., 2004)</w:t>
          </w:r>
        </w:sdtContent>
      </w:sdt>
      <w:r w:rsidRPr="002835BB">
        <w:t xml:space="preserve"> with some modification </w:t>
      </w:r>
      <w:sdt>
        <w:sdtPr>
          <w:tag w:val="MENDELEY_CITATION_v3_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"/>
          <w:id w:val="-1917314866"/>
          <w:placeholder>
            <w:docPart w:val="307B75479AB4534E918D97548F3786C7"/>
          </w:placeholder>
        </w:sdtPr>
        <w:sdtContent>
          <w:r w:rsidR="005E3F83">
            <w:t>(Azcárate-Peril &amp; Raya, 2001).</w:t>
          </w:r>
        </w:sdtContent>
      </w:sdt>
    </w:p>
    <w:p w14:paraId="4CB3395D" w14:textId="77777777" w:rsidR="0019038E" w:rsidRPr="00021B91" w:rsidRDefault="0019038E" w:rsidP="0019038E"/>
    <w:p w14:paraId="12AC8A9E" w14:textId="77777777" w:rsidR="0019038E" w:rsidRDefault="0019038E" w:rsidP="0019038E">
      <w:pPr>
        <w:pStyle w:val="Heading3"/>
      </w:pPr>
      <w:bookmarkStart w:id="85" w:name="_Toc83751452"/>
      <w:r w:rsidRPr="006316FA">
        <w:t>3.2.4 Detection of PCR products for 18S and RBCL</w:t>
      </w:r>
      <w:bookmarkEnd w:id="85"/>
    </w:p>
    <w:p w14:paraId="004E7D1C" w14:textId="77777777" w:rsidR="0019038E" w:rsidRPr="006316FA" w:rsidRDefault="0019038E" w:rsidP="0019038E"/>
    <w:p w14:paraId="5E224701" w14:textId="77777777" w:rsidR="0019038E" w:rsidRPr="002932E6" w:rsidRDefault="0019038E" w:rsidP="0019038E">
      <w:pPr>
        <w:pStyle w:val="Heading4"/>
        <w:rPr>
          <w:shd w:val="clear" w:color="auto" w:fill="FFFFFF"/>
        </w:rPr>
      </w:pPr>
      <w:bookmarkStart w:id="86" w:name="_Toc83751453"/>
      <w:r w:rsidRPr="002932E6">
        <w:rPr>
          <w:shd w:val="clear" w:color="auto" w:fill="FFFFFF"/>
        </w:rPr>
        <w:t>3.2.4.1 18S</w:t>
      </w:r>
      <w:bookmarkEnd w:id="86"/>
    </w:p>
    <w:p w14:paraId="640AD52B" w14:textId="77777777" w:rsidR="0019038E" w:rsidRDefault="0019038E" w:rsidP="0019038E">
      <w:pPr>
        <w:pStyle w:val="Caption"/>
        <w:keepNext/>
      </w:pPr>
    </w:p>
    <w:p w14:paraId="0EA0B8C0" w14:textId="77777777" w:rsidR="0019038E" w:rsidRPr="00473906" w:rsidRDefault="0019038E" w:rsidP="0019038E">
      <w:pPr>
        <w:pStyle w:val="Caption"/>
        <w:keepNext/>
        <w:rPr>
          <w:b w:val="0"/>
          <w:bCs w:val="0"/>
          <w:sz w:val="20"/>
          <w:szCs w:val="20"/>
        </w:rPr>
      </w:pPr>
      <w:bookmarkStart w:id="87" w:name="_Toc83750080"/>
      <w:r w:rsidRPr="00ED12B1">
        <w:rPr>
          <w:b w:val="0"/>
          <w:bCs w:val="0"/>
          <w:sz w:val="20"/>
          <w:szCs w:val="20"/>
        </w:rPr>
        <w:t xml:space="preserve">Table </w:t>
      </w:r>
      <w:r w:rsidRPr="00ED12B1">
        <w:rPr>
          <w:b w:val="0"/>
          <w:bCs w:val="0"/>
          <w:sz w:val="20"/>
          <w:szCs w:val="20"/>
        </w:rPr>
        <w:fldChar w:fldCharType="begin"/>
      </w:r>
      <w:r w:rsidRPr="00ED12B1">
        <w:rPr>
          <w:b w:val="0"/>
          <w:bCs w:val="0"/>
          <w:sz w:val="20"/>
          <w:szCs w:val="20"/>
        </w:rPr>
        <w:instrText xml:space="preserve"> STYLEREF 1 \s </w:instrText>
      </w:r>
      <w:r w:rsidRPr="00ED12B1">
        <w:rPr>
          <w:b w:val="0"/>
          <w:bCs w:val="0"/>
          <w:sz w:val="20"/>
          <w:szCs w:val="20"/>
        </w:rPr>
        <w:fldChar w:fldCharType="separate"/>
      </w:r>
      <w:r w:rsidRPr="00ED12B1">
        <w:rPr>
          <w:b w:val="0"/>
          <w:bCs w:val="0"/>
          <w:noProof/>
          <w:sz w:val="20"/>
          <w:szCs w:val="20"/>
          <w:cs/>
        </w:rPr>
        <w:t>‎</w:t>
      </w:r>
      <w:r w:rsidRPr="00ED12B1">
        <w:rPr>
          <w:b w:val="0"/>
          <w:bCs w:val="0"/>
          <w:noProof/>
          <w:sz w:val="20"/>
          <w:szCs w:val="20"/>
        </w:rPr>
        <w:t>3</w:t>
      </w:r>
      <w:r w:rsidRPr="00ED12B1">
        <w:rPr>
          <w:b w:val="0"/>
          <w:bCs w:val="0"/>
          <w:sz w:val="20"/>
          <w:szCs w:val="20"/>
        </w:rPr>
        <w:fldChar w:fldCharType="end"/>
      </w:r>
      <w:r w:rsidRPr="00ED12B1">
        <w:rPr>
          <w:b w:val="0"/>
          <w:bCs w:val="0"/>
          <w:sz w:val="20"/>
          <w:szCs w:val="20"/>
        </w:rPr>
        <w:t>.</w:t>
      </w:r>
      <w:r w:rsidRPr="00ED12B1">
        <w:rPr>
          <w:b w:val="0"/>
          <w:bCs w:val="0"/>
          <w:sz w:val="20"/>
          <w:szCs w:val="20"/>
        </w:rPr>
        <w:fldChar w:fldCharType="begin"/>
      </w:r>
      <w:r w:rsidRPr="00ED12B1">
        <w:rPr>
          <w:b w:val="0"/>
          <w:bCs w:val="0"/>
          <w:sz w:val="20"/>
          <w:szCs w:val="20"/>
        </w:rPr>
        <w:instrText xml:space="preserve"> SEQ Table \* ARABIC \s 1 </w:instrText>
      </w:r>
      <w:r w:rsidRPr="00ED12B1">
        <w:rPr>
          <w:b w:val="0"/>
          <w:bCs w:val="0"/>
          <w:sz w:val="20"/>
          <w:szCs w:val="20"/>
        </w:rPr>
        <w:fldChar w:fldCharType="separate"/>
      </w:r>
      <w:r w:rsidRPr="00ED12B1">
        <w:rPr>
          <w:b w:val="0"/>
          <w:bCs w:val="0"/>
          <w:noProof/>
          <w:sz w:val="20"/>
          <w:szCs w:val="20"/>
        </w:rPr>
        <w:t>1</w:t>
      </w:r>
      <w:r w:rsidRPr="00ED12B1">
        <w:rPr>
          <w:b w:val="0"/>
          <w:bCs w:val="0"/>
          <w:sz w:val="20"/>
          <w:szCs w:val="20"/>
        </w:rPr>
        <w:fldChar w:fldCharType="end"/>
      </w:r>
      <w:r w:rsidRPr="00473906">
        <w:rPr>
          <w:b w:val="0"/>
          <w:bCs w:val="0"/>
          <w:sz w:val="20"/>
          <w:szCs w:val="20"/>
        </w:rPr>
        <w:t xml:space="preserve"> </w:t>
      </w:r>
      <w:r w:rsidRPr="00473906">
        <w:rPr>
          <w:b w:val="0"/>
          <w:bCs w:val="0"/>
          <w:color w:val="000000" w:themeColor="text1"/>
          <w:sz w:val="20"/>
          <w:szCs w:val="20"/>
          <w:shd w:val="clear" w:color="auto" w:fill="FFFFFF"/>
        </w:rPr>
        <w:t>presented the forward and reverse primers for 18S PCR</w:t>
      </w:r>
      <w:bookmarkEnd w:id="87"/>
    </w:p>
    <w:tbl>
      <w:tblPr>
        <w:tblStyle w:val="TableGrid"/>
        <w:tblW w:w="0" w:type="auto"/>
        <w:tblLook w:val="04A0" w:firstRow="1" w:lastRow="0" w:firstColumn="1" w:lastColumn="0" w:noHBand="0" w:noVBand="1"/>
      </w:tblPr>
      <w:tblGrid>
        <w:gridCol w:w="1495"/>
        <w:gridCol w:w="1496"/>
        <w:gridCol w:w="1500"/>
        <w:gridCol w:w="962"/>
        <w:gridCol w:w="2455"/>
        <w:gridCol w:w="1102"/>
      </w:tblGrid>
      <w:tr w:rsidR="0019038E" w14:paraId="70322B28" w14:textId="77777777" w:rsidTr="00D82647">
        <w:tc>
          <w:tcPr>
            <w:tcW w:w="1495" w:type="dxa"/>
            <w:vAlign w:val="center"/>
          </w:tcPr>
          <w:p w14:paraId="46DC6754" w14:textId="77777777" w:rsidR="0019038E" w:rsidRDefault="0019038E" w:rsidP="00D82647">
            <w:pPr>
              <w:jc w:val="center"/>
            </w:pPr>
            <w:r w:rsidRPr="00F27EEA">
              <w:rPr>
                <w:rFonts w:asciiTheme="majorBidi" w:hAnsiTheme="majorBidi" w:cstheme="majorBidi"/>
                <w:color w:val="000000" w:themeColor="text1"/>
                <w:shd w:val="clear" w:color="auto" w:fill="FFFFFF"/>
              </w:rPr>
              <w:t>oligo</w:t>
            </w:r>
          </w:p>
        </w:tc>
        <w:tc>
          <w:tcPr>
            <w:tcW w:w="7515" w:type="dxa"/>
            <w:gridSpan w:val="5"/>
            <w:vAlign w:val="center"/>
          </w:tcPr>
          <w:p w14:paraId="1074E998" w14:textId="77777777" w:rsidR="0019038E" w:rsidRDefault="0019038E" w:rsidP="00D82647">
            <w:pPr>
              <w:jc w:val="center"/>
            </w:pPr>
            <w:r w:rsidRPr="00922FD6">
              <w:rPr>
                <w:rFonts w:asciiTheme="majorBidi" w:hAnsiTheme="majorBidi" w:cstheme="majorBidi"/>
                <w:color w:val="000000" w:themeColor="text1"/>
                <w:shd w:val="clear" w:color="auto" w:fill="FFFFFF"/>
              </w:rPr>
              <w:t>18S_F1_(20b) _Forward</w:t>
            </w:r>
          </w:p>
        </w:tc>
      </w:tr>
      <w:tr w:rsidR="0019038E" w14:paraId="203FB8F9" w14:textId="77777777" w:rsidTr="00D82647">
        <w:tc>
          <w:tcPr>
            <w:tcW w:w="1495" w:type="dxa"/>
            <w:vAlign w:val="center"/>
          </w:tcPr>
          <w:p w14:paraId="4FAE8D8C" w14:textId="77777777" w:rsidR="0019038E" w:rsidRDefault="0019038E" w:rsidP="00D82647">
            <w:pPr>
              <w:jc w:val="center"/>
            </w:pPr>
            <w:r w:rsidRPr="00F27EEA">
              <w:rPr>
                <w:rFonts w:asciiTheme="majorBidi" w:hAnsiTheme="majorBidi" w:cstheme="majorBidi"/>
                <w:color w:val="000000" w:themeColor="text1"/>
                <w:shd w:val="clear" w:color="auto" w:fill="FFFFFF"/>
              </w:rPr>
              <w:t>SEQ</w:t>
            </w:r>
          </w:p>
        </w:tc>
        <w:tc>
          <w:tcPr>
            <w:tcW w:w="7515" w:type="dxa"/>
            <w:gridSpan w:val="5"/>
            <w:vAlign w:val="center"/>
          </w:tcPr>
          <w:p w14:paraId="767922FA" w14:textId="77777777" w:rsidR="0019038E" w:rsidRDefault="0019038E" w:rsidP="00D82647">
            <w:pPr>
              <w:jc w:val="center"/>
            </w:pPr>
            <w:r w:rsidRPr="00F27EEA">
              <w:rPr>
                <w:rFonts w:asciiTheme="majorBidi" w:hAnsiTheme="majorBidi" w:cstheme="majorBidi"/>
                <w:color w:val="000000" w:themeColor="text1"/>
                <w:shd w:val="clear" w:color="auto" w:fill="FFFFFF"/>
              </w:rPr>
              <w:t>(5′-CAA CCA TAA ACG ATG CCG AC-3′) (20mer)</w:t>
            </w:r>
          </w:p>
        </w:tc>
      </w:tr>
      <w:tr w:rsidR="0019038E" w14:paraId="012ED90B" w14:textId="77777777" w:rsidTr="00D82647">
        <w:tc>
          <w:tcPr>
            <w:tcW w:w="1495" w:type="dxa"/>
            <w:vAlign w:val="center"/>
          </w:tcPr>
          <w:p w14:paraId="47A7EE84" w14:textId="77777777" w:rsidR="0019038E" w:rsidRDefault="0019038E" w:rsidP="00D82647">
            <w:pPr>
              <w:jc w:val="center"/>
            </w:pPr>
            <w:r w:rsidRPr="00F27EEA">
              <w:rPr>
                <w:rFonts w:asciiTheme="majorBidi" w:hAnsiTheme="majorBidi" w:cstheme="majorBidi"/>
                <w:color w:val="000000" w:themeColor="text1"/>
                <w:shd w:val="clear" w:color="auto" w:fill="FFFFFF"/>
              </w:rPr>
              <w:t>GC%</w:t>
            </w:r>
          </w:p>
        </w:tc>
        <w:tc>
          <w:tcPr>
            <w:tcW w:w="1496" w:type="dxa"/>
          </w:tcPr>
          <w:p w14:paraId="1076116D" w14:textId="77777777" w:rsidR="0019038E" w:rsidRDefault="0019038E" w:rsidP="00D82647">
            <w:pPr>
              <w:jc w:val="center"/>
            </w:pPr>
            <w:r w:rsidRPr="00F27EEA">
              <w:rPr>
                <w:rFonts w:asciiTheme="majorBidi" w:hAnsiTheme="majorBidi" w:cstheme="majorBidi"/>
                <w:color w:val="000000" w:themeColor="text1"/>
                <w:shd w:val="clear" w:color="auto" w:fill="FFFFFF"/>
              </w:rPr>
              <w:t>50.0</w:t>
            </w:r>
          </w:p>
        </w:tc>
        <w:tc>
          <w:tcPr>
            <w:tcW w:w="1500" w:type="dxa"/>
          </w:tcPr>
          <w:p w14:paraId="1C87436A" w14:textId="77777777" w:rsidR="0019038E" w:rsidRDefault="0019038E" w:rsidP="00D82647">
            <w:pPr>
              <w:jc w:val="center"/>
            </w:pPr>
            <w:r w:rsidRPr="00F27EEA">
              <w:rPr>
                <w:rFonts w:asciiTheme="majorBidi" w:hAnsiTheme="majorBidi" w:cstheme="majorBidi"/>
                <w:color w:val="000000" w:themeColor="text1"/>
                <w:shd w:val="clear" w:color="auto" w:fill="FFFFFF"/>
              </w:rPr>
              <w:t>Tm(c)</w:t>
            </w:r>
          </w:p>
        </w:tc>
        <w:tc>
          <w:tcPr>
            <w:tcW w:w="962" w:type="dxa"/>
          </w:tcPr>
          <w:p w14:paraId="0C31F18F" w14:textId="77777777" w:rsidR="0019038E" w:rsidRDefault="0019038E" w:rsidP="00D82647">
            <w:pPr>
              <w:jc w:val="center"/>
            </w:pPr>
            <w:r w:rsidRPr="00F27EEA">
              <w:rPr>
                <w:rFonts w:asciiTheme="majorBidi" w:hAnsiTheme="majorBidi" w:cstheme="majorBidi"/>
                <w:color w:val="000000" w:themeColor="text1"/>
                <w:shd w:val="clear" w:color="auto" w:fill="FFFFFF"/>
              </w:rPr>
              <w:t>58.4</w:t>
            </w:r>
          </w:p>
        </w:tc>
        <w:tc>
          <w:tcPr>
            <w:tcW w:w="2455" w:type="dxa"/>
          </w:tcPr>
          <w:p w14:paraId="730CA954" w14:textId="77777777" w:rsidR="0019038E" w:rsidRDefault="0019038E" w:rsidP="00D82647">
            <w:pPr>
              <w:jc w:val="center"/>
            </w:pPr>
            <w:r w:rsidRPr="00F27EEA">
              <w:rPr>
                <w:rFonts w:asciiTheme="majorBidi" w:hAnsiTheme="majorBidi" w:cstheme="majorBidi"/>
                <w:color w:val="000000" w:themeColor="text1"/>
                <w:shd w:val="clear" w:color="auto" w:fill="FFFFFF"/>
              </w:rPr>
              <w:t>Vol.for 100pmol/ul</w:t>
            </w:r>
          </w:p>
        </w:tc>
        <w:tc>
          <w:tcPr>
            <w:tcW w:w="1102" w:type="dxa"/>
          </w:tcPr>
          <w:p w14:paraId="47C8E610" w14:textId="77777777" w:rsidR="0019038E" w:rsidRDefault="0019038E" w:rsidP="00D82647">
            <w:pPr>
              <w:jc w:val="center"/>
            </w:pPr>
            <w:r w:rsidRPr="00F27EEA">
              <w:rPr>
                <w:rFonts w:asciiTheme="majorBidi" w:hAnsiTheme="majorBidi" w:cstheme="majorBidi"/>
                <w:color w:val="000000" w:themeColor="text1"/>
                <w:shd w:val="clear" w:color="auto" w:fill="FFFFFF"/>
              </w:rPr>
              <w:t>416.0</w:t>
            </w:r>
          </w:p>
        </w:tc>
      </w:tr>
      <w:tr w:rsidR="0019038E" w14:paraId="36B6624C" w14:textId="77777777" w:rsidTr="00D82647">
        <w:tc>
          <w:tcPr>
            <w:tcW w:w="1495" w:type="dxa"/>
            <w:vAlign w:val="center"/>
          </w:tcPr>
          <w:p w14:paraId="7D493DAE" w14:textId="77777777" w:rsidR="0019038E" w:rsidRDefault="0019038E" w:rsidP="00D82647">
            <w:pPr>
              <w:jc w:val="center"/>
            </w:pPr>
            <w:r w:rsidRPr="00F27EEA">
              <w:rPr>
                <w:rFonts w:asciiTheme="majorBidi" w:hAnsiTheme="majorBidi" w:cstheme="majorBidi"/>
                <w:color w:val="000000" w:themeColor="text1"/>
                <w:shd w:val="clear" w:color="auto" w:fill="FFFFFF"/>
              </w:rPr>
              <w:t>oligo</w:t>
            </w:r>
          </w:p>
        </w:tc>
        <w:tc>
          <w:tcPr>
            <w:tcW w:w="7515" w:type="dxa"/>
            <w:gridSpan w:val="5"/>
            <w:vAlign w:val="center"/>
          </w:tcPr>
          <w:p w14:paraId="7DD02F60" w14:textId="77777777" w:rsidR="0019038E" w:rsidRDefault="0019038E" w:rsidP="00D82647">
            <w:pPr>
              <w:jc w:val="center"/>
            </w:pPr>
            <w:r w:rsidRPr="00F27EEA">
              <w:rPr>
                <w:rFonts w:asciiTheme="majorBidi" w:hAnsiTheme="majorBidi" w:cstheme="majorBidi"/>
                <w:color w:val="000000" w:themeColor="text1"/>
                <w:shd w:val="clear" w:color="auto" w:fill="FFFFFF"/>
              </w:rPr>
              <w:t>18S_R1_(20b) _Reverse</w:t>
            </w:r>
          </w:p>
        </w:tc>
      </w:tr>
      <w:tr w:rsidR="0019038E" w14:paraId="3E0CDE5A" w14:textId="77777777" w:rsidTr="00D82647">
        <w:tc>
          <w:tcPr>
            <w:tcW w:w="1495" w:type="dxa"/>
            <w:vAlign w:val="center"/>
          </w:tcPr>
          <w:p w14:paraId="0DE5D128" w14:textId="77777777" w:rsidR="0019038E" w:rsidRDefault="0019038E" w:rsidP="00D82647">
            <w:pPr>
              <w:jc w:val="center"/>
            </w:pPr>
            <w:r w:rsidRPr="00F27EEA">
              <w:rPr>
                <w:rFonts w:asciiTheme="majorBidi" w:hAnsiTheme="majorBidi" w:cstheme="majorBidi"/>
                <w:color w:val="000000" w:themeColor="text1"/>
                <w:shd w:val="clear" w:color="auto" w:fill="FFFFFF"/>
              </w:rPr>
              <w:t>SEQ</w:t>
            </w:r>
          </w:p>
        </w:tc>
        <w:tc>
          <w:tcPr>
            <w:tcW w:w="7515" w:type="dxa"/>
            <w:gridSpan w:val="5"/>
            <w:vAlign w:val="center"/>
          </w:tcPr>
          <w:p w14:paraId="4495B350" w14:textId="77777777" w:rsidR="0019038E" w:rsidRDefault="0019038E" w:rsidP="00D82647">
            <w:pPr>
              <w:jc w:val="center"/>
            </w:pPr>
            <w:r w:rsidRPr="00F27EEA">
              <w:rPr>
                <w:rFonts w:asciiTheme="majorBidi" w:hAnsiTheme="majorBidi" w:cstheme="majorBidi"/>
                <w:color w:val="000000" w:themeColor="text1"/>
                <w:shd w:val="clear" w:color="auto" w:fill="FFFFFF"/>
              </w:rPr>
              <w:t>(5′-TTT CAG CCT TGC GAC CAT AC-3′) (20 mer)</w:t>
            </w:r>
          </w:p>
        </w:tc>
      </w:tr>
      <w:tr w:rsidR="0019038E" w14:paraId="1E56B7F9" w14:textId="77777777" w:rsidTr="00D82647">
        <w:tc>
          <w:tcPr>
            <w:tcW w:w="1495" w:type="dxa"/>
            <w:vAlign w:val="center"/>
          </w:tcPr>
          <w:p w14:paraId="0EBAF7D1" w14:textId="77777777" w:rsidR="0019038E" w:rsidRDefault="0019038E" w:rsidP="00D82647">
            <w:pPr>
              <w:jc w:val="center"/>
            </w:pPr>
            <w:r w:rsidRPr="00F27EEA">
              <w:rPr>
                <w:rFonts w:asciiTheme="majorBidi" w:hAnsiTheme="majorBidi" w:cstheme="majorBidi"/>
                <w:color w:val="000000" w:themeColor="text1"/>
                <w:shd w:val="clear" w:color="auto" w:fill="FFFFFF"/>
              </w:rPr>
              <w:t>GC%</w:t>
            </w:r>
          </w:p>
        </w:tc>
        <w:tc>
          <w:tcPr>
            <w:tcW w:w="1496" w:type="dxa"/>
          </w:tcPr>
          <w:p w14:paraId="35C1CD97" w14:textId="77777777" w:rsidR="0019038E" w:rsidRDefault="0019038E" w:rsidP="00D82647">
            <w:pPr>
              <w:jc w:val="center"/>
            </w:pPr>
            <w:r w:rsidRPr="00F27EEA">
              <w:rPr>
                <w:rFonts w:asciiTheme="majorBidi" w:hAnsiTheme="majorBidi" w:cstheme="majorBidi"/>
                <w:color w:val="000000" w:themeColor="text1"/>
                <w:shd w:val="clear" w:color="auto" w:fill="FFFFFF"/>
              </w:rPr>
              <w:t>50.0</w:t>
            </w:r>
          </w:p>
        </w:tc>
        <w:tc>
          <w:tcPr>
            <w:tcW w:w="1500" w:type="dxa"/>
          </w:tcPr>
          <w:p w14:paraId="66F8EA54" w14:textId="77777777" w:rsidR="0019038E" w:rsidRDefault="0019038E" w:rsidP="00D82647">
            <w:pPr>
              <w:jc w:val="center"/>
            </w:pPr>
            <w:r w:rsidRPr="00F27EEA">
              <w:rPr>
                <w:rFonts w:asciiTheme="majorBidi" w:hAnsiTheme="majorBidi" w:cstheme="majorBidi"/>
                <w:color w:val="000000" w:themeColor="text1"/>
                <w:shd w:val="clear" w:color="auto" w:fill="FFFFFF"/>
              </w:rPr>
              <w:t>Tm(c)</w:t>
            </w:r>
          </w:p>
        </w:tc>
        <w:tc>
          <w:tcPr>
            <w:tcW w:w="962" w:type="dxa"/>
          </w:tcPr>
          <w:p w14:paraId="76427580" w14:textId="77777777" w:rsidR="0019038E" w:rsidRDefault="0019038E" w:rsidP="00D82647">
            <w:pPr>
              <w:jc w:val="center"/>
            </w:pPr>
            <w:r w:rsidRPr="00F27EEA">
              <w:rPr>
                <w:rFonts w:asciiTheme="majorBidi" w:hAnsiTheme="majorBidi" w:cstheme="majorBidi"/>
                <w:color w:val="000000" w:themeColor="text1"/>
                <w:shd w:val="clear" w:color="auto" w:fill="FFFFFF"/>
              </w:rPr>
              <w:t>58.4</w:t>
            </w:r>
          </w:p>
        </w:tc>
        <w:tc>
          <w:tcPr>
            <w:tcW w:w="2455" w:type="dxa"/>
          </w:tcPr>
          <w:p w14:paraId="6EA2994C" w14:textId="77777777" w:rsidR="0019038E" w:rsidRDefault="0019038E" w:rsidP="00D82647">
            <w:pPr>
              <w:jc w:val="center"/>
            </w:pPr>
            <w:r w:rsidRPr="00F27EEA">
              <w:rPr>
                <w:rFonts w:asciiTheme="majorBidi" w:hAnsiTheme="majorBidi" w:cstheme="majorBidi"/>
                <w:color w:val="000000" w:themeColor="text1"/>
                <w:shd w:val="clear" w:color="auto" w:fill="FFFFFF"/>
              </w:rPr>
              <w:t>Vol.for 100pmol/ul</w:t>
            </w:r>
          </w:p>
        </w:tc>
        <w:tc>
          <w:tcPr>
            <w:tcW w:w="1102" w:type="dxa"/>
          </w:tcPr>
          <w:p w14:paraId="6EDFE4BA" w14:textId="77777777" w:rsidR="0019038E" w:rsidRDefault="0019038E" w:rsidP="00D82647">
            <w:pPr>
              <w:jc w:val="center"/>
            </w:pPr>
            <w:r w:rsidRPr="00F27EEA">
              <w:rPr>
                <w:rFonts w:asciiTheme="majorBidi" w:hAnsiTheme="majorBidi" w:cstheme="majorBidi"/>
                <w:color w:val="000000" w:themeColor="text1"/>
                <w:shd w:val="clear" w:color="auto" w:fill="FFFFFF"/>
              </w:rPr>
              <w:t>411.0</w:t>
            </w:r>
          </w:p>
        </w:tc>
      </w:tr>
    </w:tbl>
    <w:p w14:paraId="7FDC7D6E" w14:textId="77777777" w:rsidR="0019038E" w:rsidRPr="002932E6" w:rsidRDefault="0019038E" w:rsidP="0019038E">
      <w:pPr>
        <w:autoSpaceDE w:val="0"/>
        <w:autoSpaceDN w:val="0"/>
        <w:adjustRightInd w:val="0"/>
        <w:spacing w:afterLines="280" w:after="672" w:line="360" w:lineRule="auto"/>
        <w:jc w:val="lowKashida"/>
        <w:rPr>
          <w:color w:val="000000"/>
          <w:shd w:val="clear" w:color="auto" w:fill="FFFFFF"/>
        </w:rPr>
      </w:pPr>
    </w:p>
    <w:p w14:paraId="48C4EB15" w14:textId="7244424D" w:rsidR="0019038E" w:rsidRPr="002932E6" w:rsidRDefault="0019038E" w:rsidP="00AB3D6D">
      <w:pPr>
        <w:pStyle w:val="mythesis"/>
        <w:rPr>
          <w:shd w:val="clear" w:color="auto" w:fill="FFFFFF"/>
        </w:rPr>
      </w:pPr>
      <w:r w:rsidRPr="002932E6">
        <w:rPr>
          <w:shd w:val="clear" w:color="auto" w:fill="FFFFFF"/>
        </w:rPr>
        <w:t xml:space="preserve">For 18S gene the PCR the reaction mixture 25 μ consisted of 1 μ of each primer ( forward and reverse), 1 μ of the sample, 12.5 μ master mix wich contain ( 15 mM MgCl2, 1× buffer (Promega), 0.2 mM dNTPs, 1 μ of Taq DNA polymerase (GoTaq, Promega)), and 9.5 dH2O.to a volume of 25 μL. PCR amplification was performed in 40 cycles (94°C for 5 mins, 94°C for 45 sec , 56.4°C for 1 min , 72°C for 2 mins , 72°C for 10  mins and 10 °C for ∞).. The amplification products were determined by electrophoresis in a 1.5% agarose gel. using ethidium bromide (0.5 μg/ml) in 1X Tris acetate Edita (TAE) buffer at 95 volts. For PCR product sizes determination, a marker CSL-MDNA-100BP DNA ladder RTU (cleaver scientific), was used as a molecular size standard. Gel images were visualized using UV transilluminator and photographed using a Gel Documentation System (BIO-RAD 2000, USA). GeneJET PCR Purification Kit (Catalog number: K0701) was used for the purification of amplified PCR. products using manufacturer’s manual. The extracted PCR products have been incubated for 2 min at ambient temperature, or at −20°C when stored. Macrogen Inc., Korea used Sanger DNA sequencing tech to perform the RBCL PCR products DNA sequencing </w:t>
      </w:r>
      <w:sdt>
        <w:sdtPr>
          <w:rPr>
            <w:color w:val="000000"/>
            <w:shd w:val="clear" w:color="auto" w:fill="FFFFFF"/>
          </w:rPr>
          <w:tag w:val="MENDELEY_CITATION_v3_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"/>
          <w:id w:val="361175637"/>
          <w:placeholder>
            <w:docPart w:val="C796E44BA29C7B49B74F3F722913E754"/>
          </w:placeholder>
        </w:sdtPr>
        <w:sdtContent>
          <w:r w:rsidR="005E3F83" w:rsidRPr="005E3F83">
            <w:rPr>
              <w:color w:val="000000"/>
              <w:shd w:val="clear" w:color="auto" w:fill="FFFFFF"/>
            </w:rPr>
            <w:t>(Romero et al., 2021; Taerum et al., 2020)</w:t>
          </w:r>
        </w:sdtContent>
      </w:sdt>
      <w:r w:rsidRPr="002932E6">
        <w:rPr>
          <w:b/>
          <w:shd w:val="clear" w:color="auto" w:fill="FFFFFF"/>
        </w:rPr>
        <w:t>.</w:t>
      </w:r>
    </w:p>
    <w:p w14:paraId="457B63DD" w14:textId="77777777" w:rsidR="0019038E" w:rsidRPr="00473906" w:rsidRDefault="0019038E" w:rsidP="0019038E"/>
    <w:p w14:paraId="29B2E9F5" w14:textId="77777777" w:rsidR="0019038E" w:rsidRDefault="0019038E" w:rsidP="0019038E">
      <w:pPr>
        <w:pStyle w:val="Heading4"/>
      </w:pPr>
      <w:bookmarkStart w:id="88" w:name="_Toc83751454"/>
      <w:r w:rsidRPr="00717E86">
        <w:lastRenderedPageBreak/>
        <w:t>3.2.4.2 RBCL</w:t>
      </w:r>
      <w:bookmarkEnd w:id="88"/>
    </w:p>
    <w:p w14:paraId="4FC61938" w14:textId="77777777" w:rsidR="0019038E" w:rsidRPr="00B414E6" w:rsidRDefault="0019038E" w:rsidP="0019038E"/>
    <w:p w14:paraId="7DC2628A" w14:textId="77777777" w:rsidR="0019038E" w:rsidRPr="00473906" w:rsidRDefault="0019038E" w:rsidP="0019038E">
      <w:pPr>
        <w:pStyle w:val="Caption"/>
        <w:keepNext/>
        <w:rPr>
          <w:b w:val="0"/>
          <w:bCs w:val="0"/>
          <w:sz w:val="20"/>
          <w:szCs w:val="20"/>
        </w:rPr>
      </w:pPr>
      <w:bookmarkStart w:id="89" w:name="_Toc83750081"/>
      <w:r w:rsidRPr="00ED12B1">
        <w:rPr>
          <w:b w:val="0"/>
          <w:bCs w:val="0"/>
          <w:sz w:val="20"/>
          <w:szCs w:val="20"/>
        </w:rPr>
        <w:t xml:space="preserve">Table </w:t>
      </w:r>
      <w:r w:rsidRPr="00ED12B1">
        <w:rPr>
          <w:b w:val="0"/>
          <w:bCs w:val="0"/>
          <w:sz w:val="20"/>
          <w:szCs w:val="20"/>
        </w:rPr>
        <w:fldChar w:fldCharType="begin"/>
      </w:r>
      <w:r w:rsidRPr="00ED12B1">
        <w:rPr>
          <w:b w:val="0"/>
          <w:bCs w:val="0"/>
          <w:sz w:val="20"/>
          <w:szCs w:val="20"/>
        </w:rPr>
        <w:instrText xml:space="preserve"> STYLEREF 1 \s </w:instrText>
      </w:r>
      <w:r w:rsidRPr="00ED12B1">
        <w:rPr>
          <w:b w:val="0"/>
          <w:bCs w:val="0"/>
          <w:sz w:val="20"/>
          <w:szCs w:val="20"/>
        </w:rPr>
        <w:fldChar w:fldCharType="separate"/>
      </w:r>
      <w:r w:rsidRPr="00ED12B1">
        <w:rPr>
          <w:b w:val="0"/>
          <w:bCs w:val="0"/>
          <w:noProof/>
          <w:sz w:val="20"/>
          <w:szCs w:val="20"/>
          <w:cs/>
        </w:rPr>
        <w:t>‎</w:t>
      </w:r>
      <w:r w:rsidRPr="00ED12B1">
        <w:rPr>
          <w:b w:val="0"/>
          <w:bCs w:val="0"/>
          <w:noProof/>
          <w:sz w:val="20"/>
          <w:szCs w:val="20"/>
        </w:rPr>
        <w:t>3</w:t>
      </w:r>
      <w:r w:rsidRPr="00ED12B1">
        <w:rPr>
          <w:b w:val="0"/>
          <w:bCs w:val="0"/>
          <w:sz w:val="20"/>
          <w:szCs w:val="20"/>
        </w:rPr>
        <w:fldChar w:fldCharType="end"/>
      </w:r>
      <w:r w:rsidRPr="00ED12B1">
        <w:rPr>
          <w:b w:val="0"/>
          <w:bCs w:val="0"/>
          <w:sz w:val="20"/>
          <w:szCs w:val="20"/>
        </w:rPr>
        <w:t>.</w:t>
      </w:r>
      <w:r w:rsidRPr="00ED12B1">
        <w:rPr>
          <w:b w:val="0"/>
          <w:bCs w:val="0"/>
          <w:sz w:val="20"/>
          <w:szCs w:val="20"/>
        </w:rPr>
        <w:fldChar w:fldCharType="begin"/>
      </w:r>
      <w:r w:rsidRPr="00ED12B1">
        <w:rPr>
          <w:b w:val="0"/>
          <w:bCs w:val="0"/>
          <w:sz w:val="20"/>
          <w:szCs w:val="20"/>
        </w:rPr>
        <w:instrText xml:space="preserve"> SEQ Table \* ARABIC \s 1 </w:instrText>
      </w:r>
      <w:r w:rsidRPr="00ED12B1">
        <w:rPr>
          <w:b w:val="0"/>
          <w:bCs w:val="0"/>
          <w:sz w:val="20"/>
          <w:szCs w:val="20"/>
        </w:rPr>
        <w:fldChar w:fldCharType="separate"/>
      </w:r>
      <w:r w:rsidRPr="00ED12B1">
        <w:rPr>
          <w:b w:val="0"/>
          <w:bCs w:val="0"/>
          <w:noProof/>
          <w:sz w:val="20"/>
          <w:szCs w:val="20"/>
        </w:rPr>
        <w:t>2</w:t>
      </w:r>
      <w:r w:rsidRPr="00ED12B1">
        <w:rPr>
          <w:b w:val="0"/>
          <w:bCs w:val="0"/>
          <w:sz w:val="20"/>
          <w:szCs w:val="20"/>
        </w:rPr>
        <w:fldChar w:fldCharType="end"/>
      </w:r>
      <w:r w:rsidRPr="00473906">
        <w:rPr>
          <w:b w:val="0"/>
          <w:bCs w:val="0"/>
          <w:sz w:val="20"/>
          <w:szCs w:val="20"/>
        </w:rPr>
        <w:t xml:space="preserve"> </w:t>
      </w:r>
      <w:r w:rsidRPr="00473906">
        <w:rPr>
          <w:b w:val="0"/>
          <w:bCs w:val="0"/>
          <w:color w:val="000000" w:themeColor="text1"/>
          <w:sz w:val="20"/>
          <w:szCs w:val="20"/>
          <w:shd w:val="clear" w:color="auto" w:fill="FFFFFF"/>
        </w:rPr>
        <w:t>presented the forward and reverse primers For RBCL PCR</w:t>
      </w:r>
      <w:bookmarkEnd w:id="89"/>
    </w:p>
    <w:tbl>
      <w:tblPr>
        <w:tblStyle w:val="TableGrid"/>
        <w:tblW w:w="0" w:type="auto"/>
        <w:tblLook w:val="04A0" w:firstRow="1" w:lastRow="0" w:firstColumn="1" w:lastColumn="0" w:noHBand="0" w:noVBand="1"/>
      </w:tblPr>
      <w:tblGrid>
        <w:gridCol w:w="1495"/>
        <w:gridCol w:w="1496"/>
        <w:gridCol w:w="1500"/>
        <w:gridCol w:w="962"/>
        <w:gridCol w:w="2455"/>
        <w:gridCol w:w="1102"/>
      </w:tblGrid>
      <w:tr w:rsidR="0019038E" w14:paraId="03D1ACF6" w14:textId="77777777" w:rsidTr="00D82647">
        <w:tc>
          <w:tcPr>
            <w:tcW w:w="1495" w:type="dxa"/>
            <w:vAlign w:val="center"/>
          </w:tcPr>
          <w:p w14:paraId="254B493C" w14:textId="77777777" w:rsidR="0019038E" w:rsidRDefault="0019038E" w:rsidP="00D82647">
            <w:pPr>
              <w:jc w:val="center"/>
            </w:pPr>
            <w:r w:rsidRPr="00F27EEA">
              <w:rPr>
                <w:rFonts w:asciiTheme="majorBidi" w:hAnsiTheme="majorBidi" w:cstheme="majorBidi"/>
                <w:color w:val="000000" w:themeColor="text1"/>
                <w:shd w:val="clear" w:color="auto" w:fill="FFFFFF"/>
              </w:rPr>
              <w:t>oligo</w:t>
            </w:r>
          </w:p>
        </w:tc>
        <w:tc>
          <w:tcPr>
            <w:tcW w:w="7515" w:type="dxa"/>
            <w:gridSpan w:val="5"/>
            <w:vAlign w:val="center"/>
          </w:tcPr>
          <w:p w14:paraId="54455B70" w14:textId="77777777" w:rsidR="0019038E" w:rsidRDefault="0019038E" w:rsidP="00D82647">
            <w:pPr>
              <w:jc w:val="center"/>
            </w:pPr>
            <w:r>
              <w:rPr>
                <w:rFonts w:asciiTheme="majorBidi" w:hAnsiTheme="majorBidi" w:cstheme="majorBidi"/>
                <w:color w:val="000000" w:themeColor="text1"/>
                <w:shd w:val="clear" w:color="auto" w:fill="FFFFFF"/>
              </w:rPr>
              <w:t>RBCL</w:t>
            </w:r>
            <w:r w:rsidRPr="00F27EEA">
              <w:rPr>
                <w:rFonts w:asciiTheme="majorBidi" w:hAnsiTheme="majorBidi" w:cstheme="majorBidi"/>
                <w:color w:val="000000" w:themeColor="text1"/>
                <w:shd w:val="clear" w:color="auto" w:fill="FFFFFF"/>
              </w:rPr>
              <w:t>_F1_(21b) _Forward</w:t>
            </w:r>
          </w:p>
        </w:tc>
      </w:tr>
      <w:tr w:rsidR="0019038E" w14:paraId="190D0EDF" w14:textId="77777777" w:rsidTr="00D82647">
        <w:tc>
          <w:tcPr>
            <w:tcW w:w="1495" w:type="dxa"/>
            <w:vAlign w:val="center"/>
          </w:tcPr>
          <w:p w14:paraId="1DE5019B" w14:textId="77777777" w:rsidR="0019038E" w:rsidRDefault="0019038E" w:rsidP="00D82647">
            <w:pPr>
              <w:jc w:val="center"/>
            </w:pPr>
            <w:r w:rsidRPr="00F27EEA">
              <w:rPr>
                <w:rFonts w:asciiTheme="majorBidi" w:hAnsiTheme="majorBidi" w:cstheme="majorBidi"/>
                <w:color w:val="000000" w:themeColor="text1"/>
                <w:shd w:val="clear" w:color="auto" w:fill="FFFFFF"/>
              </w:rPr>
              <w:t>SEQ</w:t>
            </w:r>
          </w:p>
        </w:tc>
        <w:tc>
          <w:tcPr>
            <w:tcW w:w="7515" w:type="dxa"/>
            <w:gridSpan w:val="5"/>
            <w:vAlign w:val="center"/>
          </w:tcPr>
          <w:p w14:paraId="757B5F89" w14:textId="77777777" w:rsidR="0019038E" w:rsidRDefault="0019038E" w:rsidP="00D82647">
            <w:pPr>
              <w:jc w:val="center"/>
            </w:pPr>
            <w:r w:rsidRPr="00F27EEA">
              <w:rPr>
                <w:rFonts w:asciiTheme="majorBidi" w:hAnsiTheme="majorBidi" w:cstheme="majorBidi"/>
                <w:color w:val="000000" w:themeColor="text1"/>
                <w:shd w:val="clear" w:color="auto" w:fill="FFFFFF"/>
              </w:rPr>
              <w:t>(5′-ACT CCT CAG CTC GGG GTT CCG-3′) (21mer)</w:t>
            </w:r>
          </w:p>
        </w:tc>
      </w:tr>
      <w:tr w:rsidR="0019038E" w14:paraId="0628CAFE" w14:textId="77777777" w:rsidTr="00D82647">
        <w:tc>
          <w:tcPr>
            <w:tcW w:w="1495" w:type="dxa"/>
            <w:vAlign w:val="center"/>
          </w:tcPr>
          <w:p w14:paraId="25003D7B" w14:textId="77777777" w:rsidR="0019038E" w:rsidRDefault="0019038E" w:rsidP="00D82647">
            <w:pPr>
              <w:jc w:val="center"/>
            </w:pPr>
            <w:r w:rsidRPr="00F27EEA">
              <w:rPr>
                <w:rFonts w:asciiTheme="majorBidi" w:hAnsiTheme="majorBidi" w:cstheme="majorBidi"/>
                <w:color w:val="000000" w:themeColor="text1"/>
                <w:shd w:val="clear" w:color="auto" w:fill="FFFFFF"/>
              </w:rPr>
              <w:t>GC%</w:t>
            </w:r>
          </w:p>
        </w:tc>
        <w:tc>
          <w:tcPr>
            <w:tcW w:w="1496" w:type="dxa"/>
            <w:vAlign w:val="center"/>
          </w:tcPr>
          <w:p w14:paraId="15436191" w14:textId="77777777" w:rsidR="0019038E" w:rsidRDefault="0019038E" w:rsidP="00D82647">
            <w:pPr>
              <w:jc w:val="center"/>
            </w:pPr>
            <w:r w:rsidRPr="00F27EEA">
              <w:rPr>
                <w:rFonts w:asciiTheme="majorBidi" w:hAnsiTheme="majorBidi" w:cstheme="majorBidi"/>
                <w:color w:val="000000" w:themeColor="text1"/>
                <w:shd w:val="clear" w:color="auto" w:fill="FFFFFF"/>
              </w:rPr>
              <w:t>66.67</w:t>
            </w:r>
          </w:p>
        </w:tc>
        <w:tc>
          <w:tcPr>
            <w:tcW w:w="1500" w:type="dxa"/>
            <w:vAlign w:val="center"/>
          </w:tcPr>
          <w:p w14:paraId="5502AEE6" w14:textId="77777777" w:rsidR="0019038E" w:rsidRDefault="0019038E" w:rsidP="00D82647">
            <w:pPr>
              <w:jc w:val="center"/>
            </w:pPr>
            <w:r w:rsidRPr="00F27EEA">
              <w:rPr>
                <w:rFonts w:asciiTheme="majorBidi" w:hAnsiTheme="majorBidi" w:cstheme="majorBidi"/>
                <w:color w:val="000000" w:themeColor="text1"/>
                <w:shd w:val="clear" w:color="auto" w:fill="FFFFFF"/>
              </w:rPr>
              <w:t>Tm(c)</w:t>
            </w:r>
          </w:p>
        </w:tc>
        <w:tc>
          <w:tcPr>
            <w:tcW w:w="962" w:type="dxa"/>
            <w:vAlign w:val="center"/>
          </w:tcPr>
          <w:p w14:paraId="62FC825F" w14:textId="77777777" w:rsidR="0019038E" w:rsidRDefault="0019038E" w:rsidP="00D82647">
            <w:pPr>
              <w:jc w:val="center"/>
            </w:pPr>
            <w:r w:rsidRPr="00F27EEA">
              <w:rPr>
                <w:rFonts w:asciiTheme="majorBidi" w:hAnsiTheme="majorBidi" w:cstheme="majorBidi"/>
                <w:color w:val="000000" w:themeColor="text1"/>
                <w:shd w:val="clear" w:color="auto" w:fill="FFFFFF"/>
              </w:rPr>
              <w:t>67.2</w:t>
            </w:r>
          </w:p>
        </w:tc>
        <w:tc>
          <w:tcPr>
            <w:tcW w:w="2455" w:type="dxa"/>
            <w:vAlign w:val="center"/>
          </w:tcPr>
          <w:p w14:paraId="0C226808" w14:textId="77777777" w:rsidR="0019038E" w:rsidRDefault="0019038E" w:rsidP="00D82647">
            <w:pPr>
              <w:jc w:val="center"/>
            </w:pPr>
            <w:r w:rsidRPr="00F27EEA">
              <w:rPr>
                <w:rFonts w:asciiTheme="majorBidi" w:hAnsiTheme="majorBidi" w:cstheme="majorBidi"/>
                <w:color w:val="000000" w:themeColor="text1"/>
                <w:shd w:val="clear" w:color="auto" w:fill="FFFFFF"/>
              </w:rPr>
              <w:t>Vol.for 100pmol/ul</w:t>
            </w:r>
          </w:p>
        </w:tc>
        <w:tc>
          <w:tcPr>
            <w:tcW w:w="1102" w:type="dxa"/>
            <w:vAlign w:val="center"/>
          </w:tcPr>
          <w:p w14:paraId="1EFDB581" w14:textId="77777777" w:rsidR="0019038E" w:rsidRDefault="0019038E" w:rsidP="00D82647">
            <w:pPr>
              <w:jc w:val="center"/>
            </w:pPr>
            <w:r w:rsidRPr="00F27EEA">
              <w:rPr>
                <w:rFonts w:asciiTheme="majorBidi" w:hAnsiTheme="majorBidi" w:cstheme="majorBidi"/>
                <w:color w:val="000000" w:themeColor="text1"/>
                <w:shd w:val="clear" w:color="auto" w:fill="FFFFFF"/>
              </w:rPr>
              <w:t>449.0</w:t>
            </w:r>
          </w:p>
        </w:tc>
      </w:tr>
      <w:tr w:rsidR="0019038E" w14:paraId="218906C3" w14:textId="77777777" w:rsidTr="00D82647">
        <w:tc>
          <w:tcPr>
            <w:tcW w:w="1495" w:type="dxa"/>
            <w:vAlign w:val="center"/>
          </w:tcPr>
          <w:p w14:paraId="66001D6E" w14:textId="77777777" w:rsidR="0019038E" w:rsidRDefault="0019038E" w:rsidP="00D82647">
            <w:pPr>
              <w:jc w:val="center"/>
            </w:pPr>
            <w:r w:rsidRPr="00F27EEA">
              <w:rPr>
                <w:rFonts w:asciiTheme="majorBidi" w:hAnsiTheme="majorBidi" w:cstheme="majorBidi"/>
                <w:color w:val="000000" w:themeColor="text1"/>
                <w:shd w:val="clear" w:color="auto" w:fill="FFFFFF"/>
              </w:rPr>
              <w:t>oligo</w:t>
            </w:r>
          </w:p>
        </w:tc>
        <w:tc>
          <w:tcPr>
            <w:tcW w:w="7515" w:type="dxa"/>
            <w:gridSpan w:val="5"/>
            <w:vAlign w:val="center"/>
          </w:tcPr>
          <w:p w14:paraId="2D75F6C7" w14:textId="77777777" w:rsidR="0019038E" w:rsidRDefault="0019038E" w:rsidP="00D82647">
            <w:pPr>
              <w:jc w:val="center"/>
            </w:pPr>
            <w:r>
              <w:rPr>
                <w:rFonts w:asciiTheme="majorBidi" w:hAnsiTheme="majorBidi" w:cstheme="majorBidi"/>
                <w:color w:val="000000" w:themeColor="text1"/>
                <w:shd w:val="clear" w:color="auto" w:fill="FFFFFF"/>
              </w:rPr>
              <w:t>RBCL</w:t>
            </w:r>
            <w:r w:rsidRPr="00F27EEA">
              <w:rPr>
                <w:rFonts w:asciiTheme="majorBidi" w:hAnsiTheme="majorBidi" w:cstheme="majorBidi"/>
                <w:color w:val="000000" w:themeColor="text1"/>
                <w:shd w:val="clear" w:color="auto" w:fill="FFFFFF"/>
              </w:rPr>
              <w:t>_R1_(20b) _Reverse</w:t>
            </w:r>
          </w:p>
        </w:tc>
      </w:tr>
      <w:tr w:rsidR="0019038E" w14:paraId="6B60E523" w14:textId="77777777" w:rsidTr="00D82647">
        <w:tc>
          <w:tcPr>
            <w:tcW w:w="1495" w:type="dxa"/>
            <w:vAlign w:val="center"/>
          </w:tcPr>
          <w:p w14:paraId="20D531D8" w14:textId="77777777" w:rsidR="0019038E" w:rsidRDefault="0019038E" w:rsidP="00D82647">
            <w:pPr>
              <w:jc w:val="center"/>
            </w:pPr>
            <w:r w:rsidRPr="00F27EEA">
              <w:rPr>
                <w:rFonts w:asciiTheme="majorBidi" w:hAnsiTheme="majorBidi" w:cstheme="majorBidi"/>
                <w:color w:val="000000" w:themeColor="text1"/>
                <w:shd w:val="clear" w:color="auto" w:fill="FFFFFF"/>
              </w:rPr>
              <w:t>SEQ</w:t>
            </w:r>
          </w:p>
        </w:tc>
        <w:tc>
          <w:tcPr>
            <w:tcW w:w="7515" w:type="dxa"/>
            <w:gridSpan w:val="5"/>
            <w:vAlign w:val="center"/>
          </w:tcPr>
          <w:p w14:paraId="2DE5FE7E" w14:textId="77777777" w:rsidR="0019038E" w:rsidRDefault="0019038E" w:rsidP="00D82647">
            <w:pPr>
              <w:jc w:val="center"/>
            </w:pPr>
            <w:r w:rsidRPr="00F27EEA">
              <w:rPr>
                <w:rFonts w:asciiTheme="majorBidi" w:hAnsiTheme="majorBidi" w:cstheme="majorBidi"/>
                <w:color w:val="000000" w:themeColor="text1"/>
                <w:shd w:val="clear" w:color="auto" w:fill="FFFFFF"/>
              </w:rPr>
              <w:t>5′-TCC CCA GGA ACG GGC TCG AT-3′) (20 mer)</w:t>
            </w:r>
          </w:p>
        </w:tc>
      </w:tr>
      <w:tr w:rsidR="0019038E" w14:paraId="380D70B0" w14:textId="77777777" w:rsidTr="00D82647">
        <w:tc>
          <w:tcPr>
            <w:tcW w:w="1495" w:type="dxa"/>
            <w:vAlign w:val="center"/>
          </w:tcPr>
          <w:p w14:paraId="7F4366D9" w14:textId="77777777" w:rsidR="0019038E" w:rsidRDefault="0019038E" w:rsidP="00D82647">
            <w:pPr>
              <w:jc w:val="center"/>
            </w:pPr>
            <w:r w:rsidRPr="00F27EEA">
              <w:rPr>
                <w:rFonts w:asciiTheme="majorBidi" w:hAnsiTheme="majorBidi" w:cstheme="majorBidi"/>
                <w:color w:val="000000" w:themeColor="text1"/>
                <w:shd w:val="clear" w:color="auto" w:fill="FFFFFF"/>
              </w:rPr>
              <w:t>GC%</w:t>
            </w:r>
          </w:p>
        </w:tc>
        <w:tc>
          <w:tcPr>
            <w:tcW w:w="1496" w:type="dxa"/>
            <w:vAlign w:val="center"/>
          </w:tcPr>
          <w:p w14:paraId="57CD8BD7" w14:textId="77777777" w:rsidR="0019038E" w:rsidRDefault="0019038E" w:rsidP="00D82647">
            <w:pPr>
              <w:jc w:val="center"/>
            </w:pPr>
            <w:r w:rsidRPr="00F27EEA">
              <w:rPr>
                <w:rFonts w:asciiTheme="majorBidi" w:hAnsiTheme="majorBidi" w:cstheme="majorBidi"/>
                <w:color w:val="000000" w:themeColor="text1"/>
                <w:shd w:val="clear" w:color="auto" w:fill="FFFFFF"/>
              </w:rPr>
              <w:t>65.0</w:t>
            </w:r>
          </w:p>
        </w:tc>
        <w:tc>
          <w:tcPr>
            <w:tcW w:w="1500" w:type="dxa"/>
            <w:vAlign w:val="center"/>
          </w:tcPr>
          <w:p w14:paraId="037A9E70" w14:textId="77777777" w:rsidR="0019038E" w:rsidRDefault="0019038E" w:rsidP="00D82647">
            <w:pPr>
              <w:jc w:val="center"/>
            </w:pPr>
            <w:r w:rsidRPr="00F27EEA">
              <w:rPr>
                <w:rFonts w:asciiTheme="majorBidi" w:hAnsiTheme="majorBidi" w:cstheme="majorBidi"/>
                <w:color w:val="000000" w:themeColor="text1"/>
                <w:shd w:val="clear" w:color="auto" w:fill="FFFFFF"/>
              </w:rPr>
              <w:t>Tm(c)</w:t>
            </w:r>
          </w:p>
        </w:tc>
        <w:tc>
          <w:tcPr>
            <w:tcW w:w="962" w:type="dxa"/>
            <w:vAlign w:val="center"/>
          </w:tcPr>
          <w:p w14:paraId="121CCE4F" w14:textId="77777777" w:rsidR="0019038E" w:rsidRDefault="0019038E" w:rsidP="00D82647">
            <w:pPr>
              <w:jc w:val="center"/>
            </w:pPr>
            <w:r w:rsidRPr="00F27EEA">
              <w:rPr>
                <w:rFonts w:asciiTheme="majorBidi" w:hAnsiTheme="majorBidi" w:cstheme="majorBidi"/>
                <w:color w:val="000000" w:themeColor="text1"/>
                <w:shd w:val="clear" w:color="auto" w:fill="FFFFFF"/>
              </w:rPr>
              <w:t>64.6</w:t>
            </w:r>
          </w:p>
        </w:tc>
        <w:tc>
          <w:tcPr>
            <w:tcW w:w="2455" w:type="dxa"/>
            <w:vAlign w:val="center"/>
          </w:tcPr>
          <w:p w14:paraId="76237933" w14:textId="77777777" w:rsidR="0019038E" w:rsidRDefault="0019038E" w:rsidP="00D82647">
            <w:pPr>
              <w:jc w:val="center"/>
            </w:pPr>
            <w:r w:rsidRPr="00F27EEA">
              <w:rPr>
                <w:rFonts w:asciiTheme="majorBidi" w:hAnsiTheme="majorBidi" w:cstheme="majorBidi"/>
                <w:color w:val="000000" w:themeColor="text1"/>
                <w:shd w:val="clear" w:color="auto" w:fill="FFFFFF"/>
              </w:rPr>
              <w:t>Vol.for 100pmol/ul</w:t>
            </w:r>
          </w:p>
        </w:tc>
        <w:tc>
          <w:tcPr>
            <w:tcW w:w="1102" w:type="dxa"/>
            <w:vAlign w:val="center"/>
          </w:tcPr>
          <w:p w14:paraId="49ED84D3" w14:textId="77777777" w:rsidR="0019038E" w:rsidRDefault="0019038E" w:rsidP="00D82647">
            <w:pPr>
              <w:jc w:val="center"/>
            </w:pPr>
            <w:r w:rsidRPr="00F27EEA">
              <w:rPr>
                <w:rFonts w:asciiTheme="majorBidi" w:hAnsiTheme="majorBidi" w:cstheme="majorBidi"/>
                <w:color w:val="000000" w:themeColor="text1"/>
                <w:shd w:val="clear" w:color="auto" w:fill="FFFFFF"/>
              </w:rPr>
              <w:t>439.0</w:t>
            </w:r>
          </w:p>
        </w:tc>
      </w:tr>
    </w:tbl>
    <w:p w14:paraId="76A8E833" w14:textId="77777777" w:rsidR="0019038E" w:rsidRPr="002932E6" w:rsidRDefault="0019038E" w:rsidP="0019038E">
      <w:pPr>
        <w:autoSpaceDE w:val="0"/>
        <w:autoSpaceDN w:val="0"/>
        <w:adjustRightInd w:val="0"/>
        <w:spacing w:afterLines="280" w:after="672" w:line="360" w:lineRule="auto"/>
        <w:jc w:val="lowKashida"/>
        <w:rPr>
          <w:color w:val="000000"/>
          <w:shd w:val="clear" w:color="auto" w:fill="FFFFFF"/>
        </w:rPr>
      </w:pPr>
    </w:p>
    <w:p w14:paraId="48E0EBAE" w14:textId="73BD8EC3" w:rsidR="0019038E" w:rsidRPr="005C4BC2" w:rsidRDefault="0019038E" w:rsidP="00BD2AFF">
      <w:pPr>
        <w:pStyle w:val="mythesis"/>
        <w:rPr>
          <w:shd w:val="clear" w:color="auto" w:fill="FFFFFF"/>
        </w:rPr>
      </w:pPr>
      <w:r w:rsidRPr="002932E6">
        <w:rPr>
          <w:shd w:val="clear" w:color="auto" w:fill="FFFFFF"/>
        </w:rPr>
        <w:t>For RBCL gene the PCR the reaction mixture 25 μ consisted of 1 μ of each primer ( forward and reverse), 1 μ of the sample, 12.5 μ master mix witch contain( 15 mM MgCl2, 1× buffer (Promega), 0.2 mM dNTPs, 1 μ of Taq DNA polymerase (GoTaq, Promega), and 9.5 dH2O.to a volume of 25 μL. PCR amplification was performed in 40 cycles (94°C for 5 mins, 94°C for 45 sec , 63°C for 1 min , 72°C for 2 mins ,72°C for 10  mins and 10 °C for ∞).</w:t>
      </w:r>
      <w:r w:rsidRPr="002932E6">
        <w:rPr>
          <w:color w:val="FF0000"/>
          <w:shd w:val="clear" w:color="auto" w:fill="FFFFFF"/>
        </w:rPr>
        <w:t xml:space="preserve"> </w:t>
      </w:r>
      <w:r w:rsidRPr="002932E6">
        <w:rPr>
          <w:shd w:val="clear" w:color="auto" w:fill="FFFFFF"/>
        </w:rPr>
        <w:t>The amplification products were determined by electrophoresis in a 1.5% agarose gel using ethidium bromide (0.5 μg/ml) in 1X Tris acetate Edita (TAE) buffer at 95 volts. For PCR product sizes determination, a marker CSL-MDNA-100BP DNA ladder RTU (cleaver scientific), was used as a molecular size standard. Gel images were visualized using UV transilluminator and photographed using a Gel Documentation System (BIO-RAD 2000, USA). GeneJET PCR Purification Kit (Catalog number: K0701) was used for the purification of amplified PCR</w:t>
      </w:r>
      <w:r>
        <w:rPr>
          <w:shd w:val="clear" w:color="auto" w:fill="FFFFFF"/>
        </w:rPr>
        <w:t xml:space="preserve"> </w:t>
      </w:r>
      <w:r w:rsidRPr="002932E6">
        <w:rPr>
          <w:shd w:val="clear" w:color="auto" w:fill="FFFFFF"/>
        </w:rPr>
        <w:t xml:space="preserve">products using manufacturer’s manual. The extracted PCR products have been incubated for 2 min at ambient temperature, or at -20°C when stored. Macrogen Inc., Korea used Sanger DNA sequencing tech to perform the RBCL PCR products DNA sequencing </w:t>
      </w:r>
      <w:sdt>
        <w:sdtPr>
          <w:rPr>
            <w:color w:val="000000"/>
            <w:shd w:val="clear" w:color="auto" w:fill="FFFFFF"/>
          </w:rPr>
          <w:tag w:val="MENDELEY_CITATION_v3_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"/>
          <w:id w:val="1944108290"/>
          <w:placeholder>
            <w:docPart w:val="C796E44BA29C7B49B74F3F722913E754"/>
          </w:placeholder>
        </w:sdtPr>
        <w:sdtContent>
          <w:r w:rsidR="005E3F83" w:rsidRPr="005E3F83">
            <w:rPr>
              <w:color w:val="000000"/>
              <w:shd w:val="clear" w:color="auto" w:fill="FFFFFF"/>
            </w:rPr>
            <w:t>(Khan et al., 2020)</w:t>
          </w:r>
        </w:sdtContent>
      </w:sdt>
      <w:r w:rsidRPr="002932E6">
        <w:rPr>
          <w:shd w:val="clear" w:color="auto" w:fill="FFFFFF"/>
        </w:rPr>
        <w:t>.</w:t>
      </w:r>
    </w:p>
    <w:p w14:paraId="77BE557D" w14:textId="656C0F1D" w:rsidR="0019038E" w:rsidRPr="002932E6" w:rsidRDefault="0019038E" w:rsidP="00BD2AFF">
      <w:pPr>
        <w:pStyle w:val="mythesis"/>
        <w:rPr>
          <w:rFonts w:eastAsiaTheme="minorHAnsi"/>
        </w:rPr>
      </w:pPr>
      <w:r w:rsidRPr="002932E6">
        <w:rPr>
          <w:shd w:val="clear" w:color="auto" w:fill="FFFFFF"/>
        </w:rPr>
        <w:t xml:space="preserve">And </w:t>
      </w:r>
      <w:r w:rsidRPr="002932E6">
        <w:t xml:space="preserve">Purification of DNA from PCR mixture was performed using </w:t>
      </w:r>
      <w:r w:rsidRPr="002932E6">
        <w:rPr>
          <w:rFonts w:eastAsiaTheme="minorHAnsi"/>
        </w:rPr>
        <w:t xml:space="preserve">The QIAquick Gel Extraction Kit </w:t>
      </w:r>
      <w:r w:rsidRPr="002932E6">
        <w:t xml:space="preserve">(Qiagen GmbH, Germany) according to the manufacturer’s instructions. First, we </w:t>
      </w:r>
      <w:r w:rsidRPr="002932E6">
        <w:rPr>
          <w:rFonts w:eastAsiaTheme="minorHAnsi"/>
        </w:rPr>
        <w:t>Excised the DNA fragment from the agarose gel with a clean, sharp scalpel, then we Weighed the gel slice in a colorless tube 3 volumes Buffer QG to 1 volume gel (100 mg gel ~100 μl) was added, the maximum amount of gel per spin column is 400 mg. Incubated at 50</w:t>
      </w:r>
      <w:r w:rsidR="00C7049F" w:rsidRPr="002932E6">
        <w:rPr>
          <w:shd w:val="clear" w:color="auto" w:fill="FFFFFF"/>
        </w:rPr>
        <w:t>°C</w:t>
      </w:r>
      <w:r w:rsidR="005C1D4A">
        <w:rPr>
          <w:shd w:val="clear" w:color="auto" w:fill="FFFFFF"/>
        </w:rPr>
        <w:t>h</w:t>
      </w:r>
      <w:r w:rsidRPr="002932E6">
        <w:rPr>
          <w:rFonts w:eastAsiaTheme="minorHAnsi"/>
        </w:rPr>
        <w:t xml:space="preserve"> for 10 min (or until the gel slice has completely dissolved). Vortex the tube every 2–3 min to help dissolve gel. After the gel slice has dissolved completely, we checked that the color of the mixture is yellow (similar to Buffer QG without dissolved agarose). After the color of the mixture is orange or violet, 10 μl 3 M sodium acetate, was added. pH 5.0, and mixed. The </w:t>
      </w:r>
      <w:r w:rsidRPr="002932E6">
        <w:rPr>
          <w:rFonts w:eastAsiaTheme="minorHAnsi"/>
        </w:rPr>
        <w:lastRenderedPageBreak/>
        <w:t xml:space="preserve">mixture turns yellow. Then 1 gel volume isopropanol was added to the sample and mixed. a QIAquick spin column was placed in a provided 2 ml collection tube. To bind DNA, the sample to the QIAquick column was applied and centrifuged for 1 min all the samples passed through the column. flow was discarded through and the QIAquick column placed back into the same tube. If DNA will subsequently be used for sequencing, in vitro transcription, or microinjection, 500 μl Buffer QG added to the QIAquick column and centrifuged for 1 min. flow discarded through and place the QIAquick column back into the same tube. To wash, 750 μl Buffer PE was added to QIAquick column and centrifuged for 1 min flow discarded through and place the QIAquick column back into the same tube. Then QIAquick column placed into a clean 1.5 ml microcentrifuge tube. To elute DNA, 50 μl Buffer EB (10 mM TrisØCl, pH 8.5) was added or water to the center of the QIAquick membrane and centrifuged the column for 1 min. For increased DNA concentration, 30 μl Buffer EB was added to the center of the QIAquick membrane, kept for 1 min. then centrifuged for 1 min. After the addition of Buffer EB to the QIAquick membrane, the incubation time increased to up to 4 min. </w:t>
      </w:r>
    </w:p>
    <w:p w14:paraId="5BE29019" w14:textId="28F5C4DF" w:rsidR="0019038E" w:rsidRPr="002932E6" w:rsidRDefault="0019038E" w:rsidP="00BD2AFF">
      <w:pPr>
        <w:pStyle w:val="mythesis"/>
        <w:rPr>
          <w:shd w:val="clear" w:color="auto" w:fill="FFFFFF"/>
        </w:rPr>
      </w:pPr>
      <w:r w:rsidRPr="002932E6">
        <w:rPr>
          <w:shd w:val="clear" w:color="auto" w:fill="FFFFFF"/>
        </w:rPr>
        <w:t xml:space="preserve">If purified DNA is to be analyzed on a gel, we added 1 volume of Loading Dye to 5 volumes of purified DNA. Mixed the solution by pipetting up and down before loading the gel </w:t>
      </w:r>
      <w:sdt>
        <w:sdtPr>
          <w:rPr>
            <w:color w:val="000000"/>
            <w:shd w:val="clear" w:color="auto" w:fill="FFFFFF"/>
          </w:rPr>
          <w:tag w:val="MENDELEY_CITATION_v3_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"/>
          <w:id w:val="430934807"/>
          <w:placeholder>
            <w:docPart w:val="C796E44BA29C7B49B74F3F722913E754"/>
          </w:placeholder>
        </w:sdtPr>
        <w:sdtContent>
          <w:r w:rsidR="005E3F83" w:rsidRPr="005E3F83">
            <w:rPr>
              <w:color w:val="000000"/>
              <w:shd w:val="clear" w:color="auto" w:fill="FFFFFF"/>
            </w:rPr>
            <w:t>(Zhou et al., 2018).</w:t>
          </w:r>
        </w:sdtContent>
      </w:sdt>
    </w:p>
    <w:p w14:paraId="1DBEFA4F" w14:textId="77777777" w:rsidR="0019038E" w:rsidRDefault="0019038E" w:rsidP="0019038E">
      <w:pPr>
        <w:pStyle w:val="Heading3"/>
      </w:pPr>
      <w:bookmarkStart w:id="90" w:name="_Toc83751455"/>
      <w:r w:rsidRPr="002932E6">
        <w:t xml:space="preserve">3.2.5 Analysis of </w:t>
      </w:r>
      <w:r w:rsidRPr="002932E6">
        <w:rPr>
          <w:rFonts w:eastAsiaTheme="minorHAnsi"/>
        </w:rPr>
        <w:t>18</w:t>
      </w:r>
      <w:r w:rsidRPr="002932E6">
        <w:t>S and RBCL</w:t>
      </w:r>
      <w:bookmarkEnd w:id="90"/>
      <w:r w:rsidRPr="002932E6">
        <w:t xml:space="preserve"> </w:t>
      </w:r>
    </w:p>
    <w:p w14:paraId="42955967" w14:textId="77777777" w:rsidR="0019038E" w:rsidRPr="005C4BC2" w:rsidRDefault="0019038E" w:rsidP="0019038E"/>
    <w:p w14:paraId="7693A0CD" w14:textId="1CC81F20" w:rsidR="0019038E" w:rsidRDefault="0019038E" w:rsidP="00BC267C">
      <w:pPr>
        <w:pStyle w:val="mythesis"/>
        <w:rPr>
          <w:rFonts w:eastAsiaTheme="minorHAnsi"/>
        </w:rPr>
      </w:pPr>
      <w:r w:rsidRPr="002932E6">
        <w:rPr>
          <w:rFonts w:eastAsiaTheme="minorHAnsi"/>
        </w:rPr>
        <w:t xml:space="preserve">Alignment of the 18 cultivars for 18 S and RBCL sequences was carried out using version 2 of Clustalx </w:t>
      </w:r>
      <w:sdt>
        <w:sdtPr>
          <w:rPr>
            <w:rFonts w:eastAsiaTheme="minorHAnsi"/>
            <w:color w:val="000000"/>
          </w:rPr>
          <w:tag w:val="MENDELEY_CITATION_v3_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"/>
          <w:id w:val="-1187131180"/>
          <w:placeholder>
            <w:docPart w:val="C796E44BA29C7B49B74F3F722913E754"/>
          </w:placeholder>
        </w:sdtPr>
        <w:sdtContent>
          <w:r w:rsidR="005E3F83" w:rsidRPr="005E3F83">
            <w:rPr>
              <w:rFonts w:eastAsiaTheme="minorHAnsi"/>
              <w:color w:val="000000"/>
            </w:rPr>
            <w:t>(Larkin et al., 2007)</w:t>
          </w:r>
        </w:sdtContent>
      </w:sdt>
      <w:r w:rsidRPr="002932E6">
        <w:rPr>
          <w:rFonts w:eastAsiaTheme="minorHAnsi"/>
        </w:rPr>
        <w:t xml:space="preserve">. Exploratory data and phylogenetic analyses were carried out under R Project for Statistical Computing </w:t>
      </w:r>
      <w:sdt>
        <w:sdtPr>
          <w:rPr>
            <w:rFonts w:eastAsiaTheme="minorHAnsi"/>
            <w:color w:val="000000"/>
          </w:rPr>
          <w:tag w:val="MENDELEY_CITATION_v3_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"/>
          <w:id w:val="1374040352"/>
          <w:placeholder>
            <w:docPart w:val="C796E44BA29C7B49B74F3F722913E754"/>
          </w:placeholder>
        </w:sdtPr>
        <w:sdtContent>
          <w:r w:rsidR="005E3F83" w:rsidRPr="005E3F83">
            <w:rPr>
              <w:rFonts w:eastAsiaTheme="minorHAnsi"/>
              <w:color w:val="000000"/>
            </w:rPr>
            <w:t>(R Core Team., 2021)</w:t>
          </w:r>
        </w:sdtContent>
      </w:sdt>
      <w:r w:rsidRPr="002932E6">
        <w:rPr>
          <w:rFonts w:eastAsiaTheme="minorHAnsi"/>
        </w:rPr>
        <w:t xml:space="preserve">. Where Exploratory data analysis was done using Seqinr </w:t>
      </w:r>
      <w:sdt>
        <w:sdtPr>
          <w:rPr>
            <w:rFonts w:eastAsiaTheme="minorHAnsi"/>
          </w:rPr>
          <w:tag w:val="MENDELEY_CITATION_v3_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"/>
          <w:id w:val="1126497655"/>
          <w:placeholder>
            <w:docPart w:val="C796E44BA29C7B49B74F3F722913E754"/>
          </w:placeholder>
        </w:sdtPr>
        <w:sdtContent>
          <w:r w:rsidR="005E3F83">
            <w:t>(Charif &amp; Lobry, 2007)</w:t>
          </w:r>
        </w:sdtContent>
      </w:sdt>
      <w:r w:rsidRPr="002932E6">
        <w:rPr>
          <w:rFonts w:eastAsiaTheme="minorHAnsi"/>
        </w:rPr>
        <w:t xml:space="preserve"> R package. Phylogenetic analysis was carried out by ape package </w:t>
      </w:r>
      <w:sdt>
        <w:sdtPr>
          <w:rPr>
            <w:rFonts w:eastAsiaTheme="minorHAnsi"/>
            <w:color w:val="000000"/>
          </w:rPr>
          <w:tag w:val="MENDELEY_CITATION_v3_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"/>
          <w:id w:val="-2091924649"/>
          <w:placeholder>
            <w:docPart w:val="C796E44BA29C7B49B74F3F722913E754"/>
          </w:placeholder>
        </w:sdtPr>
        <w:sdtContent>
          <w:r w:rsidR="005E3F83" w:rsidRPr="005E3F83">
            <w:rPr>
              <w:rFonts w:eastAsiaTheme="minorHAnsi"/>
              <w:color w:val="000000"/>
            </w:rPr>
            <w:t>(Paradis et al., 2004)</w:t>
          </w:r>
        </w:sdtContent>
      </w:sdt>
      <w:r w:rsidRPr="002932E6">
        <w:rPr>
          <w:rFonts w:eastAsiaTheme="minorHAnsi"/>
        </w:rPr>
        <w:t xml:space="preserve">. Reconstruction of the phylogenetic tree was done using maximum likelihood inference of phylogenetic tree </w:t>
      </w:r>
      <w:sdt>
        <w:sdtPr>
          <w:rPr>
            <w:rFonts w:eastAsiaTheme="minorHAnsi"/>
            <w:color w:val="000000"/>
          </w:rPr>
          <w:tag w:val="MENDELEY_CITATION_v3_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"/>
          <w:id w:val="-1482693784"/>
          <w:placeholder>
            <w:docPart w:val="C796E44BA29C7B49B74F3F722913E754"/>
          </w:placeholder>
        </w:sdtPr>
        <w:sdtContent>
          <w:r w:rsidR="005E3F83" w:rsidRPr="005E3F83">
            <w:rPr>
              <w:rFonts w:eastAsiaTheme="minorHAnsi"/>
              <w:color w:val="000000"/>
            </w:rPr>
            <w:t>(Goldman N., 1990)</w:t>
          </w:r>
        </w:sdtContent>
      </w:sdt>
      <w:r w:rsidRPr="002932E6">
        <w:rPr>
          <w:rFonts w:eastAsiaTheme="minorHAnsi"/>
        </w:rPr>
        <w:t xml:space="preserve"> .</w:t>
      </w:r>
    </w:p>
    <w:p w14:paraId="188CD741" w14:textId="0B4620BA" w:rsidR="0019038E" w:rsidRDefault="0019038E" w:rsidP="0019038E">
      <w:pPr>
        <w:autoSpaceDE w:val="0"/>
        <w:autoSpaceDN w:val="0"/>
        <w:adjustRightInd w:val="0"/>
        <w:spacing w:afterLines="280" w:after="672" w:line="360" w:lineRule="auto"/>
        <w:jc w:val="lowKashida"/>
        <w:rPr>
          <w:rFonts w:eastAsiaTheme="minorHAnsi"/>
        </w:rPr>
      </w:pPr>
    </w:p>
    <w:p w14:paraId="1C623C31" w14:textId="77777777" w:rsidR="00BC267C" w:rsidRPr="005C4BC2" w:rsidRDefault="00BC267C" w:rsidP="0019038E">
      <w:pPr>
        <w:autoSpaceDE w:val="0"/>
        <w:autoSpaceDN w:val="0"/>
        <w:adjustRightInd w:val="0"/>
        <w:spacing w:afterLines="280" w:after="672" w:line="360" w:lineRule="auto"/>
        <w:jc w:val="lowKashida"/>
        <w:rPr>
          <w:rFonts w:eastAsiaTheme="minorHAnsi"/>
        </w:rPr>
      </w:pPr>
    </w:p>
    <w:p w14:paraId="6E2A98F9" w14:textId="77777777" w:rsidR="0019038E" w:rsidRDefault="0019038E" w:rsidP="0019038E">
      <w:pPr>
        <w:pStyle w:val="Heading3"/>
      </w:pPr>
      <w:bookmarkStart w:id="91" w:name="_Toc83751456"/>
      <w:r w:rsidRPr="002932E6">
        <w:lastRenderedPageBreak/>
        <w:t xml:space="preserve">3.2.6 Sequencing of </w:t>
      </w:r>
      <w:r w:rsidRPr="002932E6">
        <w:rPr>
          <w:rFonts w:eastAsiaTheme="minorHAnsi"/>
        </w:rPr>
        <w:t>18</w:t>
      </w:r>
      <w:r w:rsidRPr="002932E6">
        <w:t>S and RBCL</w:t>
      </w:r>
      <w:bookmarkEnd w:id="91"/>
    </w:p>
    <w:p w14:paraId="733B89C8" w14:textId="77777777" w:rsidR="0019038E" w:rsidRPr="005C4BC2" w:rsidRDefault="0019038E" w:rsidP="0019038E"/>
    <w:p w14:paraId="4E21AB47" w14:textId="7D3C18A8" w:rsidR="0019038E" w:rsidRPr="0000521D" w:rsidRDefault="0019038E" w:rsidP="00BC267C">
      <w:pPr>
        <w:pStyle w:val="mythesis"/>
        <w:rPr>
          <w:shd w:val="clear" w:color="auto" w:fill="FFFFFF"/>
        </w:rPr>
      </w:pPr>
      <w:r w:rsidRPr="002932E6">
        <w:rPr>
          <w:shd w:val="clear" w:color="auto" w:fill="FFFFFF"/>
        </w:rPr>
        <w:t xml:space="preserve">PCR amplification and sequencing of 18S rRNA gene, and </w:t>
      </w:r>
      <w:r w:rsidRPr="00056217">
        <w:rPr>
          <w:iCs w:val="0"/>
          <w:shd w:val="clear" w:color="auto" w:fill="FFFFFF"/>
        </w:rPr>
        <w:t>RBCL</w:t>
      </w:r>
      <w:r w:rsidRPr="002932E6">
        <w:rPr>
          <w:i/>
          <w:shd w:val="clear" w:color="auto" w:fill="FFFFFF"/>
        </w:rPr>
        <w:t xml:space="preserve"> </w:t>
      </w:r>
      <w:r w:rsidRPr="002932E6">
        <w:rPr>
          <w:shd w:val="clear" w:color="auto" w:fill="FFFFFF"/>
        </w:rPr>
        <w:t>isolated gene</w:t>
      </w:r>
      <w:r w:rsidRPr="002932E6">
        <w:rPr>
          <w:i/>
          <w:shd w:val="clear" w:color="auto" w:fill="FFFFFF"/>
        </w:rPr>
        <w:t xml:space="preserve"> </w:t>
      </w:r>
      <w:r w:rsidRPr="002932E6">
        <w:rPr>
          <w:shd w:val="clear" w:color="auto" w:fill="FFFFFF"/>
        </w:rPr>
        <w:t xml:space="preserve">analysis were done. The amplified PCR products of the 18S rRNA gene fragments and </w:t>
      </w:r>
      <w:r w:rsidRPr="002932E6">
        <w:rPr>
          <w:i/>
          <w:shd w:val="clear" w:color="auto" w:fill="FFFFFF"/>
        </w:rPr>
        <w:t xml:space="preserve"> </w:t>
      </w:r>
      <w:r w:rsidRPr="002932E6">
        <w:rPr>
          <w:shd w:val="clear" w:color="auto" w:fill="FFFFFF"/>
        </w:rPr>
        <w:t xml:space="preserve">isolated from each cultivar were detected by electrophoresis in 1.5% agarose gel. The amplified fragments from 18S rRNA, gene and </w:t>
      </w:r>
      <w:r w:rsidRPr="007F6B09">
        <w:rPr>
          <w:iCs w:val="0"/>
          <w:shd w:val="clear" w:color="auto" w:fill="FFFFFF"/>
        </w:rPr>
        <w:t>RBCL</w:t>
      </w:r>
      <w:r w:rsidRPr="002932E6">
        <w:rPr>
          <w:i/>
          <w:shd w:val="clear" w:color="auto" w:fill="FFFFFF"/>
        </w:rPr>
        <w:t xml:space="preserve"> </w:t>
      </w:r>
      <w:r w:rsidRPr="002932E6">
        <w:rPr>
          <w:shd w:val="clear" w:color="auto" w:fill="FFFFFF"/>
        </w:rPr>
        <w:t>gene were purified and sequenced at MACROGEN sequencing company, Seoul, Korea using the automated sequencer ABI 3100 (Applied Biosystems) with Big Dye Terminator Kit v. 3.1 (Applied Biosystems). The sequences obtained were edited with the software Vector NTI Suite 9 and compared with the NCBI database through BLAST searches. In this comparison, sequences of type cultivars most closely related to the sequences of the isolates were searched. For the definition of operational taxonomic units (oTUs), a similarity limit of 97% was adopted.</w:t>
      </w:r>
    </w:p>
    <w:p w14:paraId="7CB492BD" w14:textId="77777777" w:rsidR="0019038E" w:rsidRDefault="0019038E" w:rsidP="0019038E">
      <w:pPr>
        <w:pStyle w:val="Heading3"/>
        <w:rPr>
          <w:color w:val="000000"/>
        </w:rPr>
      </w:pPr>
      <w:bookmarkStart w:id="92" w:name="_Toc83751457"/>
      <w:r w:rsidRPr="002932E6">
        <w:t>3.2.7 Detection of PCR products for Inter-simple sequence repeat (ISSR</w:t>
      </w:r>
      <w:r w:rsidRPr="002932E6">
        <w:rPr>
          <w:color w:val="000000"/>
        </w:rPr>
        <w:t>)</w:t>
      </w:r>
      <w:bookmarkEnd w:id="92"/>
    </w:p>
    <w:p w14:paraId="366E5598" w14:textId="77777777" w:rsidR="0019038E" w:rsidRPr="0000521D" w:rsidRDefault="0019038E" w:rsidP="0019038E"/>
    <w:p w14:paraId="41D688A7" w14:textId="2F90BE25" w:rsidR="0019038E" w:rsidRPr="00EF0093" w:rsidRDefault="0019038E" w:rsidP="00BC267C">
      <w:pPr>
        <w:pStyle w:val="mythesis"/>
        <w:rPr>
          <w:strike/>
          <w:color w:val="FF0000"/>
          <w:shd w:val="clear" w:color="auto" w:fill="FFFFFF"/>
        </w:rPr>
      </w:pPr>
      <w:r w:rsidRPr="002932E6">
        <w:rPr>
          <w:shd w:val="clear" w:color="auto" w:fill="FFFFFF"/>
        </w:rPr>
        <w:t>five primers were utilized for ISSR analyses Table 3.3</w:t>
      </w:r>
      <w:r>
        <w:rPr>
          <w:shd w:val="clear" w:color="auto" w:fill="FFFFFF"/>
        </w:rPr>
        <w:t>.</w:t>
      </w:r>
      <w:r w:rsidRPr="002932E6">
        <w:rPr>
          <w:shd w:val="clear" w:color="auto" w:fill="FFFFFF"/>
        </w:rPr>
        <w:t xml:space="preserve"> PCR was performed, according to </w:t>
      </w:r>
      <w:sdt>
        <w:sdtPr>
          <w:rPr>
            <w:shd w:val="clear" w:color="auto" w:fill="FFFFFF"/>
          </w:rPr>
          <w:tag w:val="MENDELEY_CITATION_v3_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"/>
          <w:id w:val="-1202477778"/>
          <w:placeholder>
            <w:docPart w:val="C796E44BA29C7B49B74F3F722913E754"/>
          </w:placeholder>
        </w:sdtPr>
        <w:sdtEndPr>
          <w:rPr>
            <w:shd w:val="clear" w:color="auto" w:fill="auto"/>
          </w:rPr>
        </w:sdtEndPr>
        <w:sdtContent>
          <w:r w:rsidR="005E3F83" w:rsidRPr="000A04BD">
            <w:rPr>
              <w:shd w:val="clear" w:color="auto" w:fill="FFFFFF"/>
            </w:rPr>
            <w:t>(Karapetsi et al., 2021)</w:t>
          </w:r>
          <w:r w:rsidR="000A04BD">
            <w:rPr>
              <w:shd w:val="clear" w:color="auto" w:fill="FFFFFF"/>
            </w:rPr>
            <w:t>.</w:t>
          </w:r>
        </w:sdtContent>
      </w:sdt>
      <w:r w:rsidRPr="000A04BD">
        <w:rPr>
          <w:b/>
          <w:bCs w:val="0"/>
          <w:sz w:val="32"/>
          <w:szCs w:val="32"/>
        </w:rPr>
        <w:t xml:space="preserve"> </w:t>
      </w:r>
      <w:r w:rsidR="00424920" w:rsidRPr="000A04BD">
        <w:rPr>
          <w:strike/>
          <w:color w:val="FF0000"/>
          <w:shd w:val="clear" w:color="auto" w:fill="FFFFFF"/>
        </w:rPr>
        <w:t xml:space="preserve">      </w:t>
      </w:r>
    </w:p>
    <w:p w14:paraId="5E453FBD" w14:textId="5B6220A2" w:rsidR="0019038E" w:rsidRPr="002932E6" w:rsidRDefault="000A04BD" w:rsidP="00BC267C">
      <w:pPr>
        <w:pStyle w:val="mythesis"/>
        <w:rPr>
          <w:shd w:val="clear" w:color="auto" w:fill="FFFFFF"/>
        </w:rPr>
      </w:pPr>
      <w:r>
        <w:rPr>
          <w:shd w:val="clear" w:color="auto" w:fill="FFFFFF"/>
        </w:rPr>
        <w:t>T</w:t>
      </w:r>
      <w:r w:rsidR="0019038E" w:rsidRPr="002932E6">
        <w:rPr>
          <w:shd w:val="clear" w:color="auto" w:fill="FFFFFF"/>
        </w:rPr>
        <w:t xml:space="preserve">he PCR the reaction mixture 25 μl consisted of 1 μl of each primer ( forward and reverse), 1 μ of the sample, 12.5 μ master mix witch contain (15 mM MgCl2, 1× buffer (Promega), 0.2 mM dNTPs, 1 μ of Taq DNA polymerase (GoTaq, Promega)), </w:t>
      </w:r>
      <w:r w:rsidR="0019038E" w:rsidRPr="000A04BD">
        <w:rPr>
          <w:shd w:val="clear" w:color="auto" w:fill="FFFFFF"/>
        </w:rPr>
        <w:t xml:space="preserve">and </w:t>
      </w:r>
      <w:r w:rsidR="00EF0093" w:rsidRPr="000A04BD">
        <w:rPr>
          <w:shd w:val="clear" w:color="auto" w:fill="FFFFFF"/>
        </w:rPr>
        <w:t>10</w:t>
      </w:r>
      <w:r w:rsidR="0019038E" w:rsidRPr="000A04BD">
        <w:rPr>
          <w:shd w:val="clear" w:color="auto" w:fill="FFFFFF"/>
        </w:rPr>
        <w:t xml:space="preserve">.5 </w:t>
      </w:r>
      <w:r w:rsidR="0019038E" w:rsidRPr="002932E6">
        <w:rPr>
          <w:shd w:val="clear" w:color="auto" w:fill="FFFFFF"/>
        </w:rPr>
        <w:t>dH2O.to a volume of 25 μL. PCR amplification was performed in cycles (94°C for 5 mins, 94°C for 1 min, 42°C for 1.5 min, 72°C for 2 mins, 72°C for 10 mins and 10 °C for ∞).</w:t>
      </w:r>
    </w:p>
    <w:p w14:paraId="21AB2408" w14:textId="5EDB5207" w:rsidR="0019038E" w:rsidRDefault="0019038E" w:rsidP="00BC267C">
      <w:pPr>
        <w:pStyle w:val="mythesis"/>
        <w:rPr>
          <w:shd w:val="clear" w:color="auto" w:fill="FFFFFF"/>
        </w:rPr>
      </w:pPr>
      <w:r w:rsidRPr="002932E6">
        <w:rPr>
          <w:shd w:val="clear" w:color="auto" w:fill="FFFFFF"/>
        </w:rPr>
        <w:t xml:space="preserve">The amplification products were determined by electrophoresis in a 1.5% agarose gel using ethidium bromide (0.5 μg/ml) in 1X Tris acetate Edita (TAE) buffer at 95 volts. For PCR product sizes determination, a marker CSL-MDNA-100BP DNA ladder RTU (cleaver scientific), was used as a molecular size standard. Gel images were visualized using UV transilluminator and photographed using a Gel Documentation System (BIO-RAD 2000, USA). </w:t>
      </w:r>
    </w:p>
    <w:p w14:paraId="1EE6C66A" w14:textId="77777777" w:rsidR="000A04BD" w:rsidRPr="002932E6" w:rsidRDefault="000A04BD" w:rsidP="00BC267C">
      <w:pPr>
        <w:pStyle w:val="mythesis"/>
        <w:rPr>
          <w:shd w:val="clear" w:color="auto" w:fill="FFFFFF"/>
        </w:rPr>
      </w:pPr>
    </w:p>
    <w:p w14:paraId="3D920FBD" w14:textId="233CAFB3" w:rsidR="0019038E" w:rsidRPr="00473906" w:rsidRDefault="00BC267C" w:rsidP="0019038E">
      <w:pPr>
        <w:pStyle w:val="Caption"/>
        <w:keepNext/>
        <w:rPr>
          <w:b w:val="0"/>
          <w:bCs w:val="0"/>
          <w:sz w:val="20"/>
          <w:szCs w:val="20"/>
        </w:rPr>
      </w:pPr>
      <w:r w:rsidRPr="00ED12B1">
        <w:rPr>
          <w:b w:val="0"/>
          <w:bCs w:val="0"/>
          <w:sz w:val="20"/>
          <w:szCs w:val="20"/>
        </w:rPr>
        <w:lastRenderedPageBreak/>
        <w:t xml:space="preserve">                </w:t>
      </w:r>
      <w:bookmarkStart w:id="93" w:name="_Toc83750082"/>
      <w:r w:rsidR="0019038E" w:rsidRPr="00ED12B1">
        <w:rPr>
          <w:b w:val="0"/>
          <w:bCs w:val="0"/>
          <w:sz w:val="20"/>
          <w:szCs w:val="20"/>
        </w:rPr>
        <w:t xml:space="preserve">Table </w:t>
      </w:r>
      <w:r w:rsidR="0019038E" w:rsidRPr="00ED12B1">
        <w:rPr>
          <w:b w:val="0"/>
          <w:bCs w:val="0"/>
          <w:sz w:val="20"/>
          <w:szCs w:val="20"/>
        </w:rPr>
        <w:fldChar w:fldCharType="begin"/>
      </w:r>
      <w:r w:rsidR="0019038E" w:rsidRPr="00ED12B1">
        <w:rPr>
          <w:b w:val="0"/>
          <w:bCs w:val="0"/>
          <w:sz w:val="20"/>
          <w:szCs w:val="20"/>
        </w:rPr>
        <w:instrText xml:space="preserve"> STYLEREF 1 \s </w:instrText>
      </w:r>
      <w:r w:rsidR="0019038E" w:rsidRPr="00ED12B1">
        <w:rPr>
          <w:b w:val="0"/>
          <w:bCs w:val="0"/>
          <w:sz w:val="20"/>
          <w:szCs w:val="20"/>
        </w:rPr>
        <w:fldChar w:fldCharType="separate"/>
      </w:r>
      <w:r w:rsidR="0019038E" w:rsidRPr="00ED12B1">
        <w:rPr>
          <w:b w:val="0"/>
          <w:bCs w:val="0"/>
          <w:noProof/>
          <w:sz w:val="20"/>
          <w:szCs w:val="20"/>
          <w:cs/>
        </w:rPr>
        <w:t>‎</w:t>
      </w:r>
      <w:r w:rsidR="0019038E" w:rsidRPr="00ED12B1">
        <w:rPr>
          <w:b w:val="0"/>
          <w:bCs w:val="0"/>
          <w:noProof/>
          <w:sz w:val="20"/>
          <w:szCs w:val="20"/>
        </w:rPr>
        <w:t>3</w:t>
      </w:r>
      <w:r w:rsidR="0019038E" w:rsidRPr="00ED12B1">
        <w:rPr>
          <w:b w:val="0"/>
          <w:bCs w:val="0"/>
          <w:sz w:val="20"/>
          <w:szCs w:val="20"/>
        </w:rPr>
        <w:fldChar w:fldCharType="end"/>
      </w:r>
      <w:r w:rsidR="0019038E" w:rsidRPr="00ED12B1">
        <w:rPr>
          <w:b w:val="0"/>
          <w:bCs w:val="0"/>
          <w:sz w:val="20"/>
          <w:szCs w:val="20"/>
        </w:rPr>
        <w:t>.</w:t>
      </w:r>
      <w:r w:rsidR="0019038E" w:rsidRPr="00ED12B1">
        <w:rPr>
          <w:b w:val="0"/>
          <w:bCs w:val="0"/>
          <w:sz w:val="20"/>
          <w:szCs w:val="20"/>
        </w:rPr>
        <w:fldChar w:fldCharType="begin"/>
      </w:r>
      <w:r w:rsidR="0019038E" w:rsidRPr="00ED12B1">
        <w:rPr>
          <w:b w:val="0"/>
          <w:bCs w:val="0"/>
          <w:sz w:val="20"/>
          <w:szCs w:val="20"/>
        </w:rPr>
        <w:instrText xml:space="preserve"> SEQ Table \* ARABIC \s 1 </w:instrText>
      </w:r>
      <w:r w:rsidR="0019038E" w:rsidRPr="00ED12B1">
        <w:rPr>
          <w:b w:val="0"/>
          <w:bCs w:val="0"/>
          <w:sz w:val="20"/>
          <w:szCs w:val="20"/>
        </w:rPr>
        <w:fldChar w:fldCharType="separate"/>
      </w:r>
      <w:r w:rsidR="0019038E" w:rsidRPr="00ED12B1">
        <w:rPr>
          <w:b w:val="0"/>
          <w:bCs w:val="0"/>
          <w:noProof/>
          <w:sz w:val="20"/>
          <w:szCs w:val="20"/>
        </w:rPr>
        <w:t>3</w:t>
      </w:r>
      <w:r w:rsidR="0019038E" w:rsidRPr="00ED12B1">
        <w:rPr>
          <w:b w:val="0"/>
          <w:bCs w:val="0"/>
          <w:sz w:val="20"/>
          <w:szCs w:val="20"/>
        </w:rPr>
        <w:fldChar w:fldCharType="end"/>
      </w:r>
      <w:r w:rsidR="0019038E" w:rsidRPr="00473906">
        <w:rPr>
          <w:b w:val="0"/>
          <w:bCs w:val="0"/>
          <w:sz w:val="20"/>
          <w:szCs w:val="20"/>
        </w:rPr>
        <w:t xml:space="preserve"> List of used primers, their nucleotide sequences, total number of produced bands</w:t>
      </w:r>
      <w:bookmarkEnd w:id="93"/>
    </w:p>
    <w:tbl>
      <w:tblPr>
        <w:tblStyle w:val="TableGrid"/>
        <w:tblW w:w="0" w:type="auto"/>
        <w:jc w:val="center"/>
        <w:tblLook w:val="04A0" w:firstRow="1" w:lastRow="0" w:firstColumn="1" w:lastColumn="0" w:noHBand="0" w:noVBand="1"/>
      </w:tblPr>
      <w:tblGrid>
        <w:gridCol w:w="1382"/>
        <w:gridCol w:w="1382"/>
        <w:gridCol w:w="4180"/>
      </w:tblGrid>
      <w:tr w:rsidR="0019038E" w:rsidRPr="00F27EEA" w14:paraId="2E8EEAF2" w14:textId="77777777" w:rsidTr="00D82647">
        <w:trPr>
          <w:jc w:val="center"/>
        </w:trPr>
        <w:tc>
          <w:tcPr>
            <w:tcW w:w="1382" w:type="dxa"/>
          </w:tcPr>
          <w:p w14:paraId="27728E6B" w14:textId="77777777" w:rsidR="0019038E" w:rsidRPr="00F27EEA" w:rsidRDefault="0019038E" w:rsidP="00D82647">
            <w:pPr>
              <w:spacing w:line="360" w:lineRule="auto"/>
              <w:jc w:val="center"/>
              <w:rPr>
                <w:rFonts w:asciiTheme="majorBidi" w:hAnsiTheme="majorBidi" w:cstheme="majorBidi"/>
              </w:rPr>
            </w:pPr>
            <w:r w:rsidRPr="00F27EEA">
              <w:rPr>
                <w:rFonts w:asciiTheme="majorBidi" w:hAnsiTheme="majorBidi" w:cstheme="majorBidi"/>
              </w:rPr>
              <w:t>Primer No.</w:t>
            </w:r>
          </w:p>
        </w:tc>
        <w:tc>
          <w:tcPr>
            <w:tcW w:w="1382" w:type="dxa"/>
          </w:tcPr>
          <w:p w14:paraId="70CE60A8" w14:textId="77777777" w:rsidR="0019038E" w:rsidRPr="00F27EEA" w:rsidRDefault="0019038E" w:rsidP="00D82647">
            <w:pPr>
              <w:spacing w:line="360" w:lineRule="auto"/>
              <w:jc w:val="center"/>
              <w:rPr>
                <w:rFonts w:asciiTheme="majorBidi" w:hAnsiTheme="majorBidi" w:cstheme="majorBidi"/>
              </w:rPr>
            </w:pPr>
            <w:r w:rsidRPr="00F27EEA">
              <w:rPr>
                <w:rFonts w:asciiTheme="majorBidi" w:hAnsiTheme="majorBidi" w:cstheme="majorBidi"/>
              </w:rPr>
              <w:t>Primers</w:t>
            </w:r>
          </w:p>
        </w:tc>
        <w:tc>
          <w:tcPr>
            <w:tcW w:w="4180" w:type="dxa"/>
          </w:tcPr>
          <w:p w14:paraId="385EF94E" w14:textId="77777777" w:rsidR="0019038E" w:rsidRPr="00F27EEA" w:rsidRDefault="0019038E" w:rsidP="00D82647">
            <w:pPr>
              <w:spacing w:line="360" w:lineRule="auto"/>
              <w:jc w:val="center"/>
              <w:rPr>
                <w:rFonts w:asciiTheme="majorBidi" w:hAnsiTheme="majorBidi" w:cstheme="majorBidi"/>
              </w:rPr>
            </w:pPr>
            <w:r w:rsidRPr="00F27EEA">
              <w:rPr>
                <w:rFonts w:asciiTheme="majorBidi" w:hAnsiTheme="majorBidi" w:cstheme="majorBidi"/>
              </w:rPr>
              <w:t>Sequences</w:t>
            </w:r>
          </w:p>
        </w:tc>
      </w:tr>
      <w:tr w:rsidR="0019038E" w:rsidRPr="00F27EEA" w14:paraId="623A97F5" w14:textId="77777777" w:rsidTr="00D82647">
        <w:trPr>
          <w:jc w:val="center"/>
        </w:trPr>
        <w:tc>
          <w:tcPr>
            <w:tcW w:w="1382" w:type="dxa"/>
          </w:tcPr>
          <w:p w14:paraId="3BD815F0" w14:textId="77777777" w:rsidR="0019038E" w:rsidRPr="00F27EEA" w:rsidRDefault="0019038E" w:rsidP="00D82647">
            <w:pPr>
              <w:spacing w:line="360" w:lineRule="auto"/>
              <w:rPr>
                <w:rFonts w:asciiTheme="majorBidi" w:hAnsiTheme="majorBidi" w:cstheme="majorBidi"/>
              </w:rPr>
            </w:pPr>
            <w:r w:rsidRPr="00F27EEA">
              <w:rPr>
                <w:rFonts w:asciiTheme="majorBidi" w:hAnsiTheme="majorBidi" w:cstheme="majorBidi"/>
              </w:rPr>
              <w:t>1</w:t>
            </w:r>
          </w:p>
        </w:tc>
        <w:tc>
          <w:tcPr>
            <w:tcW w:w="1382" w:type="dxa"/>
          </w:tcPr>
          <w:p w14:paraId="6BCE71B9" w14:textId="77777777" w:rsidR="0019038E" w:rsidRPr="00F27EEA" w:rsidRDefault="0019038E" w:rsidP="00D82647">
            <w:pPr>
              <w:spacing w:line="360" w:lineRule="auto"/>
              <w:rPr>
                <w:rFonts w:asciiTheme="majorBidi" w:hAnsiTheme="majorBidi" w:cstheme="majorBidi"/>
              </w:rPr>
            </w:pPr>
            <w:r w:rsidRPr="00F27EEA">
              <w:rPr>
                <w:rFonts w:asciiTheme="majorBidi" w:hAnsiTheme="majorBidi" w:cstheme="majorBidi"/>
              </w:rPr>
              <w:t>17898A</w:t>
            </w:r>
          </w:p>
        </w:tc>
        <w:tc>
          <w:tcPr>
            <w:tcW w:w="4180" w:type="dxa"/>
          </w:tcPr>
          <w:p w14:paraId="69EDC8BB" w14:textId="77777777" w:rsidR="0019038E" w:rsidRPr="00F27EEA" w:rsidRDefault="0019038E" w:rsidP="00D82647">
            <w:pPr>
              <w:spacing w:line="360" w:lineRule="auto"/>
              <w:rPr>
                <w:rFonts w:asciiTheme="majorBidi" w:hAnsiTheme="majorBidi" w:cstheme="majorBidi"/>
              </w:rPr>
            </w:pPr>
            <w:r w:rsidRPr="00F27EEA">
              <w:rPr>
                <w:rFonts w:asciiTheme="majorBidi" w:hAnsiTheme="majorBidi" w:cstheme="majorBidi"/>
              </w:rPr>
              <w:t>CAC   ACA   CAC   ACA   AC</w:t>
            </w:r>
          </w:p>
        </w:tc>
      </w:tr>
      <w:tr w:rsidR="0019038E" w:rsidRPr="00F27EEA" w14:paraId="623668EB" w14:textId="77777777" w:rsidTr="00D82647">
        <w:trPr>
          <w:jc w:val="center"/>
        </w:trPr>
        <w:tc>
          <w:tcPr>
            <w:tcW w:w="1382" w:type="dxa"/>
          </w:tcPr>
          <w:p w14:paraId="7CE46CAA" w14:textId="77777777" w:rsidR="0019038E" w:rsidRPr="00F27EEA" w:rsidRDefault="0019038E" w:rsidP="00D82647">
            <w:pPr>
              <w:spacing w:line="360" w:lineRule="auto"/>
              <w:rPr>
                <w:rFonts w:asciiTheme="majorBidi" w:hAnsiTheme="majorBidi" w:cstheme="majorBidi"/>
              </w:rPr>
            </w:pPr>
            <w:r w:rsidRPr="00F27EEA">
              <w:rPr>
                <w:rFonts w:asciiTheme="majorBidi" w:hAnsiTheme="majorBidi" w:cstheme="majorBidi"/>
              </w:rPr>
              <w:t>2</w:t>
            </w:r>
          </w:p>
        </w:tc>
        <w:tc>
          <w:tcPr>
            <w:tcW w:w="1382" w:type="dxa"/>
          </w:tcPr>
          <w:p w14:paraId="6229ADB7" w14:textId="77777777" w:rsidR="0019038E" w:rsidRPr="00F27EEA" w:rsidRDefault="0019038E" w:rsidP="00D82647">
            <w:pPr>
              <w:spacing w:line="360" w:lineRule="auto"/>
              <w:rPr>
                <w:rFonts w:asciiTheme="majorBidi" w:hAnsiTheme="majorBidi" w:cstheme="majorBidi"/>
              </w:rPr>
            </w:pPr>
            <w:r w:rsidRPr="00F27EEA">
              <w:rPr>
                <w:rFonts w:asciiTheme="majorBidi" w:hAnsiTheme="majorBidi" w:cstheme="majorBidi"/>
              </w:rPr>
              <w:t>17898B</w:t>
            </w:r>
          </w:p>
        </w:tc>
        <w:tc>
          <w:tcPr>
            <w:tcW w:w="4180" w:type="dxa"/>
          </w:tcPr>
          <w:p w14:paraId="73FA3E56" w14:textId="77777777" w:rsidR="0019038E" w:rsidRPr="00F27EEA" w:rsidRDefault="0019038E" w:rsidP="00D82647">
            <w:pPr>
              <w:spacing w:line="360" w:lineRule="auto"/>
              <w:rPr>
                <w:rFonts w:asciiTheme="majorBidi" w:hAnsiTheme="majorBidi" w:cstheme="majorBidi"/>
              </w:rPr>
            </w:pPr>
            <w:r w:rsidRPr="00F27EEA">
              <w:rPr>
                <w:rFonts w:asciiTheme="majorBidi" w:hAnsiTheme="majorBidi" w:cstheme="majorBidi"/>
              </w:rPr>
              <w:t>CAC   ACA   CAC   ACA   GT</w:t>
            </w:r>
          </w:p>
        </w:tc>
      </w:tr>
      <w:tr w:rsidR="0019038E" w:rsidRPr="00F27EEA" w14:paraId="1C075F30" w14:textId="77777777" w:rsidTr="00D82647">
        <w:trPr>
          <w:jc w:val="center"/>
        </w:trPr>
        <w:tc>
          <w:tcPr>
            <w:tcW w:w="1382" w:type="dxa"/>
          </w:tcPr>
          <w:p w14:paraId="5C63ECFD" w14:textId="77777777" w:rsidR="0019038E" w:rsidRPr="00F27EEA" w:rsidRDefault="0019038E" w:rsidP="00D82647">
            <w:pPr>
              <w:spacing w:line="360" w:lineRule="auto"/>
              <w:rPr>
                <w:rFonts w:asciiTheme="majorBidi" w:hAnsiTheme="majorBidi" w:cstheme="majorBidi"/>
              </w:rPr>
            </w:pPr>
            <w:r w:rsidRPr="00F27EEA">
              <w:rPr>
                <w:rFonts w:asciiTheme="majorBidi" w:hAnsiTheme="majorBidi" w:cstheme="majorBidi"/>
              </w:rPr>
              <w:t>3</w:t>
            </w:r>
          </w:p>
        </w:tc>
        <w:tc>
          <w:tcPr>
            <w:tcW w:w="1382" w:type="dxa"/>
          </w:tcPr>
          <w:p w14:paraId="00879C27" w14:textId="77777777" w:rsidR="0019038E" w:rsidRPr="00F27EEA" w:rsidRDefault="0019038E" w:rsidP="00D82647">
            <w:pPr>
              <w:spacing w:line="360" w:lineRule="auto"/>
              <w:rPr>
                <w:rFonts w:asciiTheme="majorBidi" w:hAnsiTheme="majorBidi" w:cstheme="majorBidi"/>
              </w:rPr>
            </w:pPr>
            <w:r w:rsidRPr="00F27EEA">
              <w:rPr>
                <w:rFonts w:asciiTheme="majorBidi" w:hAnsiTheme="majorBidi" w:cstheme="majorBidi"/>
              </w:rPr>
              <w:t>17899A</w:t>
            </w:r>
          </w:p>
        </w:tc>
        <w:tc>
          <w:tcPr>
            <w:tcW w:w="4180" w:type="dxa"/>
          </w:tcPr>
          <w:p w14:paraId="6D7E2968" w14:textId="77777777" w:rsidR="0019038E" w:rsidRPr="00F27EEA" w:rsidRDefault="0019038E" w:rsidP="00D82647">
            <w:pPr>
              <w:spacing w:line="360" w:lineRule="auto"/>
              <w:rPr>
                <w:rFonts w:asciiTheme="majorBidi" w:hAnsiTheme="majorBidi" w:cstheme="majorBidi"/>
              </w:rPr>
            </w:pPr>
            <w:r w:rsidRPr="00F27EEA">
              <w:rPr>
                <w:rFonts w:asciiTheme="majorBidi" w:hAnsiTheme="majorBidi" w:cstheme="majorBidi"/>
              </w:rPr>
              <w:t>CAC   ACA   CAC   ACA   AG</w:t>
            </w:r>
          </w:p>
        </w:tc>
      </w:tr>
      <w:tr w:rsidR="0019038E" w:rsidRPr="00F27EEA" w14:paraId="633B3BC2" w14:textId="77777777" w:rsidTr="00D82647">
        <w:trPr>
          <w:jc w:val="center"/>
        </w:trPr>
        <w:tc>
          <w:tcPr>
            <w:tcW w:w="1382" w:type="dxa"/>
          </w:tcPr>
          <w:p w14:paraId="61DB82BC" w14:textId="77777777" w:rsidR="0019038E" w:rsidRPr="00F27EEA" w:rsidRDefault="0019038E" w:rsidP="00D82647">
            <w:pPr>
              <w:spacing w:line="360" w:lineRule="auto"/>
              <w:rPr>
                <w:rFonts w:asciiTheme="majorBidi" w:hAnsiTheme="majorBidi" w:cstheme="majorBidi"/>
              </w:rPr>
            </w:pPr>
            <w:r w:rsidRPr="00F27EEA">
              <w:rPr>
                <w:rFonts w:asciiTheme="majorBidi" w:hAnsiTheme="majorBidi" w:cstheme="majorBidi"/>
              </w:rPr>
              <w:t>4</w:t>
            </w:r>
          </w:p>
        </w:tc>
        <w:tc>
          <w:tcPr>
            <w:tcW w:w="1382" w:type="dxa"/>
          </w:tcPr>
          <w:p w14:paraId="3D335F62" w14:textId="77777777" w:rsidR="0019038E" w:rsidRPr="00F27EEA" w:rsidRDefault="0019038E" w:rsidP="00D82647">
            <w:pPr>
              <w:spacing w:line="360" w:lineRule="auto"/>
              <w:rPr>
                <w:rFonts w:asciiTheme="majorBidi" w:hAnsiTheme="majorBidi" w:cstheme="majorBidi"/>
              </w:rPr>
            </w:pPr>
            <w:r w:rsidRPr="00F27EEA">
              <w:rPr>
                <w:rFonts w:asciiTheme="majorBidi" w:hAnsiTheme="majorBidi" w:cstheme="majorBidi"/>
              </w:rPr>
              <w:t>17899B</w:t>
            </w:r>
          </w:p>
        </w:tc>
        <w:tc>
          <w:tcPr>
            <w:tcW w:w="4180" w:type="dxa"/>
          </w:tcPr>
          <w:p w14:paraId="76DEFA74" w14:textId="77777777" w:rsidR="0019038E" w:rsidRPr="00F27EEA" w:rsidRDefault="0019038E" w:rsidP="00D82647">
            <w:pPr>
              <w:spacing w:line="360" w:lineRule="auto"/>
              <w:rPr>
                <w:rFonts w:asciiTheme="majorBidi" w:hAnsiTheme="majorBidi" w:cstheme="majorBidi"/>
              </w:rPr>
            </w:pPr>
            <w:r w:rsidRPr="00F27EEA">
              <w:rPr>
                <w:rFonts w:asciiTheme="majorBidi" w:hAnsiTheme="majorBidi" w:cstheme="majorBidi"/>
              </w:rPr>
              <w:t>CAC   ACA   CAC   ACA   GG</w:t>
            </w:r>
          </w:p>
        </w:tc>
      </w:tr>
      <w:tr w:rsidR="0019038E" w:rsidRPr="00F27EEA" w14:paraId="038B1C39" w14:textId="77777777" w:rsidTr="00D82647">
        <w:trPr>
          <w:jc w:val="center"/>
        </w:trPr>
        <w:tc>
          <w:tcPr>
            <w:tcW w:w="1382" w:type="dxa"/>
          </w:tcPr>
          <w:p w14:paraId="727078FC" w14:textId="77777777" w:rsidR="0019038E" w:rsidRPr="00F27EEA" w:rsidRDefault="0019038E" w:rsidP="00D82647">
            <w:pPr>
              <w:spacing w:line="360" w:lineRule="auto"/>
              <w:rPr>
                <w:rFonts w:asciiTheme="majorBidi" w:hAnsiTheme="majorBidi" w:cstheme="majorBidi"/>
              </w:rPr>
            </w:pPr>
            <w:r>
              <w:rPr>
                <w:rFonts w:asciiTheme="majorBidi" w:hAnsiTheme="majorBidi" w:cstheme="majorBidi"/>
              </w:rPr>
              <w:t>5</w:t>
            </w:r>
          </w:p>
        </w:tc>
        <w:tc>
          <w:tcPr>
            <w:tcW w:w="1382" w:type="dxa"/>
          </w:tcPr>
          <w:p w14:paraId="5FDE50E2" w14:textId="77777777" w:rsidR="0019038E" w:rsidRPr="00F27EEA" w:rsidRDefault="0019038E" w:rsidP="00D82647">
            <w:pPr>
              <w:spacing w:line="360" w:lineRule="auto"/>
              <w:rPr>
                <w:rFonts w:asciiTheme="majorBidi" w:hAnsiTheme="majorBidi" w:cstheme="majorBidi"/>
              </w:rPr>
            </w:pPr>
            <w:r w:rsidRPr="00F27EEA">
              <w:rPr>
                <w:rFonts w:asciiTheme="majorBidi" w:hAnsiTheme="majorBidi" w:cstheme="majorBidi"/>
              </w:rPr>
              <w:t>844B</w:t>
            </w:r>
          </w:p>
        </w:tc>
        <w:tc>
          <w:tcPr>
            <w:tcW w:w="4180" w:type="dxa"/>
          </w:tcPr>
          <w:p w14:paraId="6ED1D952" w14:textId="77777777" w:rsidR="0019038E" w:rsidRPr="00F27EEA" w:rsidRDefault="0019038E" w:rsidP="00D82647">
            <w:pPr>
              <w:spacing w:line="360" w:lineRule="auto"/>
              <w:rPr>
                <w:rFonts w:asciiTheme="majorBidi" w:hAnsiTheme="majorBidi" w:cstheme="majorBidi"/>
              </w:rPr>
            </w:pPr>
            <w:r w:rsidRPr="00F27EEA">
              <w:rPr>
                <w:rFonts w:asciiTheme="majorBidi" w:hAnsiTheme="majorBidi" w:cstheme="majorBidi"/>
              </w:rPr>
              <w:t>CTC   TCT    CTC    TCT   CTC   TGC</w:t>
            </w:r>
          </w:p>
        </w:tc>
      </w:tr>
    </w:tbl>
    <w:p w14:paraId="0AC66CE2" w14:textId="77777777" w:rsidR="0019038E" w:rsidRPr="002932E6" w:rsidRDefault="0019038E" w:rsidP="0019038E">
      <w:pPr>
        <w:autoSpaceDE w:val="0"/>
        <w:autoSpaceDN w:val="0"/>
        <w:adjustRightInd w:val="0"/>
        <w:spacing w:afterLines="280" w:after="672" w:line="360" w:lineRule="auto"/>
        <w:jc w:val="lowKashida"/>
        <w:rPr>
          <w:color w:val="000000"/>
          <w:shd w:val="clear" w:color="auto" w:fill="FFFFFF"/>
        </w:rPr>
      </w:pPr>
    </w:p>
    <w:p w14:paraId="794BDA16" w14:textId="77777777" w:rsidR="0019038E" w:rsidRDefault="0019038E" w:rsidP="0019038E">
      <w:pPr>
        <w:pStyle w:val="Heading3"/>
      </w:pPr>
      <w:bookmarkStart w:id="94" w:name="_Toc83751458"/>
      <w:r w:rsidRPr="002932E6">
        <w:t>3.2.8 Analysis of ISSR products</w:t>
      </w:r>
      <w:bookmarkEnd w:id="94"/>
    </w:p>
    <w:p w14:paraId="6DFA82D6" w14:textId="77777777" w:rsidR="0019038E" w:rsidRPr="0000521D" w:rsidRDefault="0019038E" w:rsidP="0019038E"/>
    <w:p w14:paraId="3E7A4DE5" w14:textId="67368663" w:rsidR="0019038E" w:rsidRPr="0000521D" w:rsidRDefault="0019038E" w:rsidP="00BC267C">
      <w:pPr>
        <w:pStyle w:val="mythesis"/>
        <w:rPr>
          <w:lang w:val="en-SA"/>
        </w:rPr>
      </w:pPr>
      <w:r w:rsidRPr="002932E6">
        <w:rPr>
          <w:shd w:val="clear" w:color="auto" w:fill="FFFFFF"/>
        </w:rPr>
        <w:t xml:space="preserve">ISSR products were visualized using agarose gel electrophoresis (1.5% in 1x TAE buffer) followed by staining with ethidium bromide (0.3 ug/ml). Amplicons were visually examined with a UV transilluminator and photographed using a CCD camera (UVP, UK). Data scored as (1) for the presence and (0) for the absence of a given fragment and sizes were estimated by comparison with a 100-bp ladder (Promega, USA), using Gel Works 1D advanced gel documentation system (UVP, UK). Binary data matrices were entered into TFPGA (version 1.3) and analyzed using qualitative routine to generate a similarity coefficient. Dissimilarity coefficients were used to construct dendrograms using unweighted pair group method with arithmetic average (UPGMA) and sequential hierarchical and nested clustering (Neighbor-Joining or NJ) routine using NTSYSpc (version 2.10, Exeter software) according to </w:t>
      </w:r>
      <w:sdt>
        <w:sdtPr>
          <w:rPr>
            <w:color w:val="000000"/>
            <w:shd w:val="clear" w:color="auto" w:fill="FFFFFF"/>
          </w:rPr>
          <w:tag w:val="MENDELEY_CITATION_v3_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"/>
          <w:id w:val="877587703"/>
          <w:placeholder>
            <w:docPart w:val="C796E44BA29C7B49B74F3F722913E754"/>
          </w:placeholder>
        </w:sdtPr>
        <w:sdtContent>
          <w:r w:rsidR="005E3F83" w:rsidRPr="005E3F83">
            <w:rPr>
              <w:color w:val="000000"/>
              <w:shd w:val="clear" w:color="auto" w:fill="FFFFFF"/>
            </w:rPr>
            <w:t>(Burgos et al., 2011; Rohlf, 1997; Sabir et al., 2014b; Sneath, 1973).</w:t>
          </w:r>
        </w:sdtContent>
      </w:sdt>
    </w:p>
    <w:p w14:paraId="750B114C" w14:textId="77777777" w:rsidR="0019038E" w:rsidRDefault="0019038E" w:rsidP="0019038E">
      <w:pPr>
        <w:pStyle w:val="Heading2"/>
      </w:pPr>
    </w:p>
    <w:p w14:paraId="44A378E9" w14:textId="77777777" w:rsidR="0019038E" w:rsidRDefault="0019038E" w:rsidP="0019038E">
      <w:pPr>
        <w:rPr>
          <w:lang w:val="en-GB"/>
        </w:rPr>
      </w:pPr>
    </w:p>
    <w:p w14:paraId="4E62567D" w14:textId="77777777" w:rsidR="0019038E" w:rsidRDefault="0019038E" w:rsidP="0019038E">
      <w:pPr>
        <w:rPr>
          <w:lang w:val="en-GB"/>
        </w:rPr>
      </w:pPr>
    </w:p>
    <w:p w14:paraId="2D9CDD11" w14:textId="2332569D" w:rsidR="0019038E" w:rsidRDefault="0019038E" w:rsidP="0019038E">
      <w:pPr>
        <w:rPr>
          <w:lang w:val="en-GB"/>
        </w:rPr>
      </w:pPr>
    </w:p>
    <w:p w14:paraId="5D318B2B" w14:textId="50B4CB0F" w:rsidR="00805D61" w:rsidRDefault="00805D61" w:rsidP="0019038E">
      <w:pPr>
        <w:rPr>
          <w:lang w:val="en-GB"/>
        </w:rPr>
      </w:pPr>
    </w:p>
    <w:p w14:paraId="42DEE181" w14:textId="7B7DF0A5" w:rsidR="00805D61" w:rsidRDefault="00805D61" w:rsidP="0019038E">
      <w:pPr>
        <w:rPr>
          <w:lang w:val="en-GB"/>
        </w:rPr>
      </w:pPr>
    </w:p>
    <w:p w14:paraId="2985E187" w14:textId="4AFEC5CC" w:rsidR="00805D61" w:rsidRDefault="00805D61" w:rsidP="0019038E">
      <w:pPr>
        <w:rPr>
          <w:lang w:val="en-GB"/>
        </w:rPr>
      </w:pPr>
    </w:p>
    <w:p w14:paraId="2AF6F04A" w14:textId="5E6CFDCE" w:rsidR="000A04BD" w:rsidRDefault="000A04BD" w:rsidP="0019038E">
      <w:pPr>
        <w:rPr>
          <w:lang w:val="en-GB"/>
        </w:rPr>
      </w:pPr>
    </w:p>
    <w:p w14:paraId="1651A726" w14:textId="55861214" w:rsidR="000A04BD" w:rsidRDefault="000A04BD" w:rsidP="0019038E">
      <w:pPr>
        <w:rPr>
          <w:lang w:val="en-GB"/>
        </w:rPr>
      </w:pPr>
    </w:p>
    <w:p w14:paraId="137068BA" w14:textId="5A6E6AC8" w:rsidR="000A04BD" w:rsidRDefault="000A04BD" w:rsidP="0019038E">
      <w:pPr>
        <w:rPr>
          <w:lang w:val="en-GB"/>
        </w:rPr>
      </w:pPr>
    </w:p>
    <w:p w14:paraId="590351DF" w14:textId="6F68C255" w:rsidR="000A04BD" w:rsidRDefault="000A04BD" w:rsidP="0019038E">
      <w:pPr>
        <w:rPr>
          <w:lang w:val="en-GB"/>
        </w:rPr>
      </w:pPr>
    </w:p>
    <w:p w14:paraId="20F42D6B" w14:textId="77777777" w:rsidR="000A04BD" w:rsidRDefault="000A04BD" w:rsidP="0019038E">
      <w:pPr>
        <w:rPr>
          <w:lang w:val="en-GB"/>
        </w:rPr>
      </w:pPr>
    </w:p>
    <w:p w14:paraId="2ED02380" w14:textId="77777777" w:rsidR="00805D61" w:rsidRDefault="00805D61" w:rsidP="0019038E">
      <w:pPr>
        <w:rPr>
          <w:lang w:val="en-GB"/>
        </w:rPr>
      </w:pPr>
    </w:p>
    <w:p w14:paraId="75D99EFA" w14:textId="77777777" w:rsidR="0019038E" w:rsidRPr="00473906" w:rsidRDefault="0019038E" w:rsidP="0019038E">
      <w:pPr>
        <w:rPr>
          <w:lang w:val="en-GB"/>
        </w:rPr>
      </w:pPr>
    </w:p>
    <w:p w14:paraId="38B4D9CD" w14:textId="77777777" w:rsidR="0019038E" w:rsidRDefault="0019038E" w:rsidP="0019038E">
      <w:pPr>
        <w:pStyle w:val="Heading2"/>
      </w:pPr>
      <w:bookmarkStart w:id="95" w:name="_Toc83751459"/>
      <w:r w:rsidRPr="002932E6">
        <w:lastRenderedPageBreak/>
        <w:t>3.3 Results</w:t>
      </w:r>
      <w:bookmarkEnd w:id="95"/>
    </w:p>
    <w:p w14:paraId="0D14666A" w14:textId="77777777" w:rsidR="0019038E" w:rsidRPr="0000521D" w:rsidRDefault="0019038E" w:rsidP="0019038E">
      <w:pPr>
        <w:rPr>
          <w:lang w:val="en-GB"/>
        </w:rPr>
      </w:pPr>
    </w:p>
    <w:p w14:paraId="62A9BB49" w14:textId="77777777" w:rsidR="0019038E" w:rsidRDefault="0019038E" w:rsidP="0019038E">
      <w:pPr>
        <w:pStyle w:val="Heading3"/>
      </w:pPr>
      <w:bookmarkStart w:id="96" w:name="_Toc83751460"/>
      <w:r w:rsidRPr="002932E6">
        <w:t>3.3.1. seeds morphology</w:t>
      </w:r>
      <w:bookmarkEnd w:id="96"/>
    </w:p>
    <w:p w14:paraId="2482C400" w14:textId="77777777" w:rsidR="0019038E" w:rsidRPr="0000521D" w:rsidRDefault="0019038E" w:rsidP="0019038E"/>
    <w:p w14:paraId="47A5FDBB" w14:textId="77777777" w:rsidR="0019038E" w:rsidRPr="002932E6" w:rsidRDefault="0019038E" w:rsidP="00805D61">
      <w:pPr>
        <w:pStyle w:val="mythesis"/>
      </w:pPr>
      <w:r w:rsidRPr="002932E6">
        <w:t>Regarding collective action and seed diversity, the results suggested that as shown in Figure 3.1</w:t>
      </w:r>
      <w:r>
        <w:t xml:space="preserve"> </w:t>
      </w:r>
      <w:r w:rsidRPr="002932E6">
        <w:t>it could distinguish all varieties of maize seeds by shape and color variance these features help to discriminate a variety of collected maize seeds. Figure 3.1</w:t>
      </w:r>
      <w:r>
        <w:t xml:space="preserve"> </w:t>
      </w:r>
      <w:r w:rsidRPr="002932E6">
        <w:t xml:space="preserve">shows the variation of 18 varieties of collective maize seeds. It could be seen that the color almost yellow the red color is due to antifungal treatment from its local market. All varieties showed obviously different shapes. </w:t>
      </w:r>
    </w:p>
    <w:p w14:paraId="4603BE95" w14:textId="77777777" w:rsidR="0019038E" w:rsidRDefault="0019038E" w:rsidP="0019038E">
      <w:pPr>
        <w:keepNext/>
        <w:spacing w:afterLines="280" w:after="672" w:line="360" w:lineRule="auto"/>
        <w:jc w:val="lowKashida"/>
      </w:pPr>
      <w:r>
        <w:rPr>
          <w:noProof/>
        </w:rPr>
        <w:t xml:space="preserve">          </w:t>
      </w:r>
      <w:r>
        <w:rPr>
          <w:noProof/>
        </w:rPr>
        <w:drawing>
          <wp:inline distT="0" distB="0" distL="0" distR="0" wp14:anchorId="765C2F9A" wp14:editId="499B2EB7">
            <wp:extent cx="4982547" cy="456052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7">
                      <a:extLst>
                        <a:ext uri="{28A0092B-C50C-407E-A947-70E740481C1C}">
                          <a14:useLocalDpi xmlns:a14="http://schemas.microsoft.com/office/drawing/2010/main" val="0"/>
                        </a:ext>
                      </a:extLst>
                    </a:blip>
                    <a:stretch>
                      <a:fillRect/>
                    </a:stretch>
                  </pic:blipFill>
                  <pic:spPr>
                    <a:xfrm>
                      <a:off x="0" y="0"/>
                      <a:ext cx="4990394" cy="4567704"/>
                    </a:xfrm>
                    <a:prstGeom prst="rect">
                      <a:avLst/>
                    </a:prstGeom>
                  </pic:spPr>
                </pic:pic>
              </a:graphicData>
            </a:graphic>
          </wp:inline>
        </w:drawing>
      </w:r>
    </w:p>
    <w:p w14:paraId="18B33731" w14:textId="74B4493D" w:rsidR="0019038E" w:rsidRDefault="0019038E" w:rsidP="0019038E">
      <w:pPr>
        <w:pStyle w:val="Caption"/>
        <w:jc w:val="lowKashida"/>
        <w:rPr>
          <w:b w:val="0"/>
          <w:bCs w:val="0"/>
          <w:sz w:val="20"/>
          <w:szCs w:val="20"/>
        </w:rPr>
      </w:pPr>
      <w:r w:rsidRPr="00ED12B1">
        <w:rPr>
          <w:b w:val="0"/>
          <w:bCs w:val="0"/>
          <w:sz w:val="20"/>
          <w:szCs w:val="20"/>
        </w:rPr>
        <w:t xml:space="preserve">                   </w:t>
      </w:r>
      <w:bookmarkStart w:id="97" w:name="_Toc83751357"/>
      <w:r w:rsidRPr="00ED12B1">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3</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1</w:t>
      </w:r>
      <w:r w:rsidR="00843EDC">
        <w:rPr>
          <w:b w:val="0"/>
          <w:bCs w:val="0"/>
          <w:sz w:val="20"/>
          <w:szCs w:val="20"/>
        </w:rPr>
        <w:fldChar w:fldCharType="end"/>
      </w:r>
      <w:r w:rsidRPr="00473906">
        <w:rPr>
          <w:b w:val="0"/>
          <w:bCs w:val="0"/>
          <w:sz w:val="20"/>
          <w:szCs w:val="20"/>
        </w:rPr>
        <w:t xml:space="preserve"> Diversity Image in 18 used varieties of maize seeds and its commercial named</w:t>
      </w:r>
      <w:bookmarkEnd w:id="97"/>
    </w:p>
    <w:p w14:paraId="5D95EFCF" w14:textId="77777777" w:rsidR="00DC36E0" w:rsidRPr="00DC36E0" w:rsidRDefault="00DC36E0" w:rsidP="00DC36E0"/>
    <w:p w14:paraId="2E591D35" w14:textId="77777777" w:rsidR="0019038E" w:rsidRDefault="0019038E" w:rsidP="0019038E">
      <w:pPr>
        <w:pStyle w:val="Heading3"/>
      </w:pPr>
    </w:p>
    <w:p w14:paraId="2BC23BE5" w14:textId="77777777" w:rsidR="0019038E" w:rsidRDefault="0019038E" w:rsidP="0019038E">
      <w:pPr>
        <w:pStyle w:val="Heading3"/>
      </w:pPr>
      <w:bookmarkStart w:id="98" w:name="_Toc83751461"/>
      <w:r w:rsidRPr="002932E6">
        <w:t>3.3.2 Genomic DNA extraction and purification</w:t>
      </w:r>
      <w:bookmarkEnd w:id="98"/>
    </w:p>
    <w:p w14:paraId="55807829" w14:textId="77777777" w:rsidR="0019038E" w:rsidRPr="0000521D" w:rsidRDefault="0019038E" w:rsidP="0019038E"/>
    <w:p w14:paraId="3C8EB109" w14:textId="5C808CB1" w:rsidR="0019038E" w:rsidRDefault="0019038E" w:rsidP="0019038E">
      <w:pPr>
        <w:keepNext/>
        <w:spacing w:afterLines="280" w:after="672" w:line="360" w:lineRule="auto"/>
        <w:jc w:val="lowKashida"/>
      </w:pPr>
      <w:r w:rsidRPr="002932E6">
        <w:t xml:space="preserve">                     </w:t>
      </w:r>
      <w:r w:rsidRPr="002932E6">
        <w:rPr>
          <w:noProof/>
        </w:rPr>
        <w:drawing>
          <wp:inline distT="0" distB="0" distL="0" distR="0" wp14:anchorId="615C016A" wp14:editId="21AF1EAB">
            <wp:extent cx="4703817" cy="1826428"/>
            <wp:effectExtent l="0" t="0" r="0" b="2540"/>
            <wp:docPr id="55" name="Picture 5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4720986" cy="1833095"/>
                    </a:xfrm>
                    <a:prstGeom prst="rect">
                      <a:avLst/>
                    </a:prstGeom>
                  </pic:spPr>
                </pic:pic>
              </a:graphicData>
            </a:graphic>
          </wp:inline>
        </w:drawing>
      </w:r>
    </w:p>
    <w:p w14:paraId="492A6E93" w14:textId="6AF804B6" w:rsidR="0019038E" w:rsidRPr="00473906" w:rsidRDefault="00AD048A" w:rsidP="00AD048A">
      <w:pPr>
        <w:pStyle w:val="Caption"/>
        <w:rPr>
          <w:b w:val="0"/>
          <w:bCs w:val="0"/>
          <w:sz w:val="20"/>
          <w:szCs w:val="20"/>
        </w:rPr>
      </w:pPr>
      <w:r>
        <w:rPr>
          <w:sz w:val="20"/>
          <w:szCs w:val="20"/>
        </w:rPr>
        <w:t xml:space="preserve">                         </w:t>
      </w:r>
      <w:bookmarkStart w:id="99" w:name="_Toc83751358"/>
      <w:r w:rsidR="0019038E" w:rsidRPr="00ED12B1">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3</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2</w:t>
      </w:r>
      <w:r w:rsidR="00843EDC">
        <w:rPr>
          <w:b w:val="0"/>
          <w:bCs w:val="0"/>
          <w:sz w:val="20"/>
          <w:szCs w:val="20"/>
        </w:rPr>
        <w:fldChar w:fldCharType="end"/>
      </w:r>
      <w:r w:rsidR="0019038E" w:rsidRPr="00473906">
        <w:rPr>
          <w:b w:val="0"/>
          <w:bCs w:val="0"/>
          <w:sz w:val="20"/>
          <w:szCs w:val="20"/>
        </w:rPr>
        <w:t xml:space="preserve"> </w:t>
      </w:r>
      <w:r w:rsidR="0019038E" w:rsidRPr="00473906">
        <w:rPr>
          <w:b w:val="0"/>
          <w:bCs w:val="0"/>
          <w:color w:val="333333"/>
          <w:sz w:val="20"/>
          <w:szCs w:val="20"/>
          <w:shd w:val="clear" w:color="auto" w:fill="FFFFFF"/>
        </w:rPr>
        <w:t>Agarose gel electrophoresis of genomic DNA extraction </w:t>
      </w:r>
      <w:r w:rsidR="0019038E" w:rsidRPr="00473906">
        <w:rPr>
          <w:b w:val="0"/>
          <w:bCs w:val="0"/>
          <w:color w:val="000000" w:themeColor="text1"/>
          <w:sz w:val="20"/>
          <w:szCs w:val="20"/>
        </w:rPr>
        <w:t xml:space="preserve">of 18 </w:t>
      </w:r>
      <w:r w:rsidR="0019038E" w:rsidRPr="00473906">
        <w:rPr>
          <w:b w:val="0"/>
          <w:bCs w:val="0"/>
          <w:i/>
          <w:iCs/>
          <w:color w:val="000000" w:themeColor="text1"/>
          <w:sz w:val="20"/>
          <w:szCs w:val="20"/>
        </w:rPr>
        <w:t>Zea mays</w:t>
      </w:r>
      <w:r w:rsidR="0019038E" w:rsidRPr="00473906">
        <w:rPr>
          <w:b w:val="0"/>
          <w:bCs w:val="0"/>
          <w:color w:val="000000" w:themeColor="text1"/>
          <w:sz w:val="20"/>
          <w:szCs w:val="20"/>
        </w:rPr>
        <w:t xml:space="preserve"> cultivars</w:t>
      </w:r>
      <w:bookmarkEnd w:id="99"/>
    </w:p>
    <w:p w14:paraId="7BE0E21A" w14:textId="77777777" w:rsidR="0019038E" w:rsidRDefault="0019038E" w:rsidP="00D71915">
      <w:pPr>
        <w:pStyle w:val="mythesis"/>
      </w:pPr>
    </w:p>
    <w:p w14:paraId="7D4F0471" w14:textId="77777777" w:rsidR="0019038E" w:rsidRPr="002932E6" w:rsidRDefault="0019038E" w:rsidP="00D71915">
      <w:pPr>
        <w:pStyle w:val="mythesis"/>
      </w:pPr>
      <w:r w:rsidRPr="002932E6">
        <w:t>The genomic DNA extraction was successfully performed, and the agarose gel electrophoresis was run, and the results were clearly shown in Figure 3.2</w:t>
      </w:r>
      <w:r>
        <w:t>.</w:t>
      </w:r>
    </w:p>
    <w:p w14:paraId="5B6A4CC6" w14:textId="77777777" w:rsidR="0019038E" w:rsidRDefault="0019038E" w:rsidP="0019038E">
      <w:pPr>
        <w:pStyle w:val="Heading3"/>
      </w:pPr>
      <w:bookmarkStart w:id="100" w:name="_Toc83751462"/>
      <w:r w:rsidRPr="00D941ED">
        <w:t>3.3.3 18S phylogeny relationship</w:t>
      </w:r>
      <w:bookmarkEnd w:id="100"/>
    </w:p>
    <w:p w14:paraId="18102D29" w14:textId="77777777" w:rsidR="0019038E" w:rsidRPr="0000521D" w:rsidRDefault="0019038E" w:rsidP="0019038E"/>
    <w:p w14:paraId="3FA14095" w14:textId="77777777" w:rsidR="0019038E" w:rsidRDefault="0019038E" w:rsidP="0019038E">
      <w:pPr>
        <w:keepNext/>
        <w:spacing w:afterLines="280" w:after="672" w:line="360" w:lineRule="auto"/>
        <w:jc w:val="lowKashida"/>
      </w:pPr>
      <w:r w:rsidRPr="002932E6">
        <w:rPr>
          <w:i/>
          <w:iCs/>
          <w:noProof/>
          <w:color w:val="000000" w:themeColor="text1"/>
        </w:rPr>
        <w:drawing>
          <wp:inline distT="0" distB="0" distL="0" distR="0" wp14:anchorId="563853D2" wp14:editId="49F486FD">
            <wp:extent cx="5943600" cy="2254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2254885"/>
                    </a:xfrm>
                    <a:prstGeom prst="rect">
                      <a:avLst/>
                    </a:prstGeom>
                  </pic:spPr>
                </pic:pic>
              </a:graphicData>
            </a:graphic>
          </wp:inline>
        </w:drawing>
      </w:r>
    </w:p>
    <w:p w14:paraId="283760EF" w14:textId="06C4DD74" w:rsidR="0019038E" w:rsidRPr="005B5670" w:rsidRDefault="0019038E" w:rsidP="0019038E">
      <w:pPr>
        <w:pStyle w:val="Caption"/>
        <w:jc w:val="center"/>
        <w:rPr>
          <w:b w:val="0"/>
          <w:bCs w:val="0"/>
          <w:i/>
          <w:iCs/>
          <w:color w:val="000000" w:themeColor="text1"/>
          <w:sz w:val="20"/>
          <w:szCs w:val="20"/>
        </w:rPr>
      </w:pPr>
      <w:bookmarkStart w:id="101" w:name="_Toc83751359"/>
      <w:r w:rsidRPr="00ED12B1">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3</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3</w:t>
      </w:r>
      <w:r w:rsidR="00843EDC">
        <w:rPr>
          <w:b w:val="0"/>
          <w:bCs w:val="0"/>
          <w:sz w:val="20"/>
          <w:szCs w:val="20"/>
        </w:rPr>
        <w:fldChar w:fldCharType="end"/>
      </w:r>
      <w:r w:rsidRPr="005B5670">
        <w:rPr>
          <w:b w:val="0"/>
          <w:bCs w:val="0"/>
          <w:sz w:val="20"/>
          <w:szCs w:val="20"/>
        </w:rPr>
        <w:t xml:space="preserve"> </w:t>
      </w:r>
      <w:r w:rsidRPr="005B5670">
        <w:rPr>
          <w:b w:val="0"/>
          <w:bCs w:val="0"/>
          <w:color w:val="333333"/>
          <w:sz w:val="20"/>
          <w:szCs w:val="20"/>
          <w:shd w:val="clear" w:color="auto" w:fill="FFFFFF"/>
        </w:rPr>
        <w:t xml:space="preserve">Agarose gel </w:t>
      </w:r>
      <w:r w:rsidRPr="005B5670">
        <w:rPr>
          <w:b w:val="0"/>
          <w:bCs w:val="0"/>
          <w:color w:val="000000" w:themeColor="text1"/>
          <w:sz w:val="20"/>
          <w:szCs w:val="20"/>
          <w:shd w:val="clear" w:color="auto" w:fill="FFFFFF"/>
        </w:rPr>
        <w:t xml:space="preserve">electrophoresis of 18S rRNA of </w:t>
      </w:r>
      <w:r w:rsidRPr="005B5670">
        <w:rPr>
          <w:b w:val="0"/>
          <w:bCs w:val="0"/>
          <w:color w:val="000000" w:themeColor="text1"/>
          <w:sz w:val="20"/>
          <w:szCs w:val="20"/>
        </w:rPr>
        <w:t xml:space="preserve">18 </w:t>
      </w:r>
      <w:r w:rsidRPr="005B5670">
        <w:rPr>
          <w:b w:val="0"/>
          <w:bCs w:val="0"/>
          <w:i/>
          <w:iCs/>
          <w:color w:val="000000" w:themeColor="text1"/>
          <w:sz w:val="20"/>
          <w:szCs w:val="20"/>
        </w:rPr>
        <w:t>Zea mays</w:t>
      </w:r>
      <w:r w:rsidRPr="005B5670">
        <w:rPr>
          <w:b w:val="0"/>
          <w:bCs w:val="0"/>
          <w:color w:val="000000" w:themeColor="text1"/>
          <w:sz w:val="20"/>
          <w:szCs w:val="20"/>
        </w:rPr>
        <w:t xml:space="preserve"> cultivars</w:t>
      </w:r>
      <w:bookmarkEnd w:id="101"/>
    </w:p>
    <w:p w14:paraId="6F8E6B44" w14:textId="77777777" w:rsidR="0019038E" w:rsidRPr="002932E6" w:rsidRDefault="0019038E" w:rsidP="0019038E">
      <w:pPr>
        <w:autoSpaceDE w:val="0"/>
        <w:autoSpaceDN w:val="0"/>
        <w:adjustRightInd w:val="0"/>
        <w:spacing w:afterLines="280" w:after="672" w:line="360" w:lineRule="auto"/>
        <w:jc w:val="lowKashida"/>
      </w:pPr>
    </w:p>
    <w:p w14:paraId="45B6039E" w14:textId="77777777" w:rsidR="0019038E" w:rsidRPr="002932E6" w:rsidRDefault="0019038E" w:rsidP="00D71915">
      <w:pPr>
        <w:pStyle w:val="mythesis"/>
      </w:pPr>
      <w:r w:rsidRPr="002932E6">
        <w:lastRenderedPageBreak/>
        <w:t xml:space="preserve">The </w:t>
      </w:r>
      <w:r w:rsidRPr="002932E6">
        <w:rPr>
          <w:color w:val="333333"/>
          <w:shd w:val="clear" w:color="auto" w:fill="FFFFFF"/>
        </w:rPr>
        <w:t xml:space="preserve">Agarose gel </w:t>
      </w:r>
      <w:r w:rsidRPr="002932E6">
        <w:rPr>
          <w:shd w:val="clear" w:color="auto" w:fill="FFFFFF"/>
        </w:rPr>
        <w:t xml:space="preserve">electrophoresis of 18S rRNA of </w:t>
      </w:r>
      <w:r w:rsidRPr="002932E6">
        <w:t xml:space="preserve">18 </w:t>
      </w:r>
      <w:r w:rsidRPr="002932E6">
        <w:rPr>
          <w:i/>
        </w:rPr>
        <w:t>Zea mays</w:t>
      </w:r>
      <w:r w:rsidRPr="002932E6">
        <w:t xml:space="preserve"> cultivars was successfully performed, and perfect results were obtained as showed in Figure 3.3.</w:t>
      </w:r>
    </w:p>
    <w:p w14:paraId="72B59E3C" w14:textId="77777777" w:rsidR="0019038E" w:rsidRPr="002932E6" w:rsidRDefault="0019038E" w:rsidP="00D71915">
      <w:pPr>
        <w:pStyle w:val="mythesis"/>
      </w:pPr>
      <w:r w:rsidRPr="002932E6">
        <w:t xml:space="preserve">The sequences length of the 18S for 18 </w:t>
      </w:r>
      <w:r w:rsidRPr="002932E6">
        <w:rPr>
          <w:i/>
        </w:rPr>
        <w:t xml:space="preserve">Zea mays </w:t>
      </w:r>
      <w:r w:rsidRPr="002932E6">
        <w:t>varieties averaged 93 pairs. The sequence length from 86 to 98 bases, with no outliers’ values were noticed in Figure 3.4.a. The GC content is shown in Figure 3.4.b</w:t>
      </w:r>
      <w:r>
        <w:t xml:space="preserve">. </w:t>
      </w:r>
      <w:r w:rsidRPr="002932E6">
        <w:t xml:space="preserve"> The percentage of the GC content averaged 53%, ranged from 52 to 55%. However only one outlier value was noticed.</w:t>
      </w:r>
    </w:p>
    <w:p w14:paraId="3C845BD5" w14:textId="4E2AF131" w:rsidR="0019038E" w:rsidRPr="002932E6" w:rsidRDefault="0019038E" w:rsidP="00D71915">
      <w:pPr>
        <w:pStyle w:val="mythesis"/>
      </w:pPr>
      <w:r w:rsidRPr="002932E6">
        <w:t>Figure 3.5</w:t>
      </w:r>
      <w:r>
        <w:t xml:space="preserve"> </w:t>
      </w:r>
      <w:r w:rsidRPr="002932E6">
        <w:t xml:space="preserve">shows the base frequencies of the 18S for 18 </w:t>
      </w:r>
      <w:r w:rsidRPr="002932E6">
        <w:rPr>
          <w:i/>
        </w:rPr>
        <w:t xml:space="preserve">Zea mays </w:t>
      </w:r>
      <w:r w:rsidRPr="002932E6">
        <w:t>varieties</w:t>
      </w:r>
      <w:r w:rsidR="008A18E3">
        <w:t>,</w:t>
      </w:r>
      <w:r w:rsidRPr="002932E6">
        <w:t xml:space="preserve"> No great differences could be noticed. The maximum likelihood phylogenetic tree of the 18S for </w:t>
      </w:r>
      <w:r w:rsidR="00890A7C">
        <w:t xml:space="preserve">the </w:t>
      </w:r>
      <w:r w:rsidRPr="002932E6">
        <w:t xml:space="preserve">18 </w:t>
      </w:r>
      <w:r w:rsidRPr="002932E6">
        <w:rPr>
          <w:i/>
        </w:rPr>
        <w:t xml:space="preserve">Zea mays </w:t>
      </w:r>
      <w:r w:rsidRPr="002932E6">
        <w:t xml:space="preserve">varieties along with heat map is depicted in Figure 3.6. The phylogenetic tree consists of two large clades. One clade the lowest one comprised 7 cultivars distributed in many clusters, where the upper clade comprised 11 cultivars distributed in many clusters also. </w:t>
      </w:r>
    </w:p>
    <w:p w14:paraId="3CC3D3EB" w14:textId="77777777" w:rsidR="0019038E" w:rsidRPr="002932E6" w:rsidRDefault="0019038E" w:rsidP="0019038E">
      <w:pPr>
        <w:autoSpaceDE w:val="0"/>
        <w:autoSpaceDN w:val="0"/>
        <w:adjustRightInd w:val="0"/>
        <w:spacing w:afterLines="280" w:after="672" w:line="360" w:lineRule="auto"/>
        <w:jc w:val="lowKashida"/>
      </w:pPr>
    </w:p>
    <w:p w14:paraId="3FA5BA89" w14:textId="77777777" w:rsidR="0019038E" w:rsidRDefault="0019038E" w:rsidP="0019038E">
      <w:pPr>
        <w:autoSpaceDE w:val="0"/>
        <w:autoSpaceDN w:val="0"/>
        <w:adjustRightInd w:val="0"/>
        <w:spacing w:afterLines="280" w:after="672" w:line="360" w:lineRule="auto"/>
        <w:ind w:firstLine="720"/>
        <w:jc w:val="lowKashida"/>
      </w:pPr>
    </w:p>
    <w:p w14:paraId="53F1DD47" w14:textId="77777777" w:rsidR="0019038E" w:rsidRPr="002932E6" w:rsidRDefault="0019038E" w:rsidP="0019038E">
      <w:pPr>
        <w:autoSpaceDE w:val="0"/>
        <w:autoSpaceDN w:val="0"/>
        <w:adjustRightInd w:val="0"/>
        <w:spacing w:afterLines="280" w:after="672" w:line="360" w:lineRule="auto"/>
        <w:ind w:firstLine="720"/>
        <w:jc w:val="lowKashida"/>
      </w:pPr>
    </w:p>
    <w:p w14:paraId="00C2DFE3" w14:textId="77777777" w:rsidR="0019038E" w:rsidRDefault="0019038E" w:rsidP="0019038E">
      <w:pPr>
        <w:keepNext/>
        <w:autoSpaceDE w:val="0"/>
        <w:autoSpaceDN w:val="0"/>
        <w:adjustRightInd w:val="0"/>
        <w:spacing w:afterLines="280" w:after="672" w:line="360" w:lineRule="auto"/>
        <w:ind w:firstLine="720"/>
        <w:jc w:val="lowKashida"/>
      </w:pPr>
      <w:r w:rsidRPr="002932E6">
        <w:rPr>
          <w:noProof/>
        </w:rPr>
        <w:lastRenderedPageBreak/>
        <w:drawing>
          <wp:inline distT="0" distB="0" distL="0" distR="0" wp14:anchorId="44EB80BC" wp14:editId="19B68A8F">
            <wp:extent cx="5943600" cy="3282950"/>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3282950"/>
                    </a:xfrm>
                    <a:prstGeom prst="rect">
                      <a:avLst/>
                    </a:prstGeom>
                  </pic:spPr>
                </pic:pic>
              </a:graphicData>
            </a:graphic>
          </wp:inline>
        </w:drawing>
      </w:r>
      <w:r>
        <w:t xml:space="preserve">     </w:t>
      </w:r>
    </w:p>
    <w:p w14:paraId="4F13BAF1" w14:textId="69A84D1F" w:rsidR="0019038E" w:rsidRPr="002932E6" w:rsidRDefault="0019038E" w:rsidP="0019038E">
      <w:pPr>
        <w:autoSpaceDE w:val="0"/>
        <w:autoSpaceDN w:val="0"/>
        <w:adjustRightInd w:val="0"/>
        <w:spacing w:afterLines="280" w:after="672"/>
        <w:jc w:val="lowKashida"/>
      </w:pPr>
      <w:bookmarkStart w:id="102" w:name="_Toc83751360"/>
      <w:r w:rsidRPr="00740C1B">
        <w:rPr>
          <w:sz w:val="20"/>
          <w:szCs w:val="20"/>
        </w:rPr>
        <w:t xml:space="preserve">Figure </w:t>
      </w:r>
      <w:r w:rsidR="00843EDC">
        <w:rPr>
          <w:sz w:val="20"/>
          <w:szCs w:val="20"/>
        </w:rPr>
        <w:fldChar w:fldCharType="begin"/>
      </w:r>
      <w:r w:rsidR="00843EDC">
        <w:rPr>
          <w:sz w:val="20"/>
          <w:szCs w:val="20"/>
        </w:rPr>
        <w:instrText xml:space="preserve"> STYLEREF 1 \s </w:instrText>
      </w:r>
      <w:r w:rsidR="00843EDC">
        <w:rPr>
          <w:sz w:val="20"/>
          <w:szCs w:val="20"/>
        </w:rPr>
        <w:fldChar w:fldCharType="separate"/>
      </w:r>
      <w:r w:rsidR="00843EDC">
        <w:rPr>
          <w:noProof/>
          <w:sz w:val="20"/>
          <w:szCs w:val="20"/>
          <w:cs/>
        </w:rPr>
        <w:t>‎</w:t>
      </w:r>
      <w:r w:rsidR="00843EDC">
        <w:rPr>
          <w:noProof/>
          <w:sz w:val="20"/>
          <w:szCs w:val="20"/>
        </w:rPr>
        <w:t>3</w:t>
      </w:r>
      <w:r w:rsidR="00843EDC">
        <w:rPr>
          <w:sz w:val="20"/>
          <w:szCs w:val="20"/>
        </w:rPr>
        <w:fldChar w:fldCharType="end"/>
      </w:r>
      <w:r w:rsidR="00843EDC">
        <w:rPr>
          <w:sz w:val="20"/>
          <w:szCs w:val="20"/>
        </w:rPr>
        <w:t>.</w:t>
      </w:r>
      <w:r w:rsidR="00843EDC">
        <w:rPr>
          <w:sz w:val="20"/>
          <w:szCs w:val="20"/>
        </w:rPr>
        <w:fldChar w:fldCharType="begin"/>
      </w:r>
      <w:r w:rsidR="00843EDC">
        <w:rPr>
          <w:sz w:val="20"/>
          <w:szCs w:val="20"/>
        </w:rPr>
        <w:instrText xml:space="preserve"> SEQ Figure \* ARABIC \s 1 </w:instrText>
      </w:r>
      <w:r w:rsidR="00843EDC">
        <w:rPr>
          <w:sz w:val="20"/>
          <w:szCs w:val="20"/>
        </w:rPr>
        <w:fldChar w:fldCharType="separate"/>
      </w:r>
      <w:r w:rsidR="00843EDC">
        <w:rPr>
          <w:noProof/>
          <w:sz w:val="20"/>
          <w:szCs w:val="20"/>
        </w:rPr>
        <w:t>4</w:t>
      </w:r>
      <w:r w:rsidR="00843EDC">
        <w:rPr>
          <w:sz w:val="20"/>
          <w:szCs w:val="20"/>
        </w:rPr>
        <w:fldChar w:fldCharType="end"/>
      </w:r>
      <w:r>
        <w:t xml:space="preserve"> </w:t>
      </w:r>
      <w:r w:rsidRPr="005B5670">
        <w:rPr>
          <w:sz w:val="20"/>
          <w:szCs w:val="20"/>
        </w:rPr>
        <w:t xml:space="preserve">Boxplot for sequence length and GC content of 18S for 18 </w:t>
      </w:r>
      <w:r w:rsidRPr="005B5670">
        <w:rPr>
          <w:i/>
          <w:iCs/>
          <w:sz w:val="20"/>
          <w:szCs w:val="20"/>
        </w:rPr>
        <w:t xml:space="preserve">Zea mays </w:t>
      </w:r>
      <w:r w:rsidRPr="005B5670">
        <w:rPr>
          <w:sz w:val="20"/>
          <w:szCs w:val="20"/>
        </w:rPr>
        <w:t>varieties   sequences, where the top and bottom of lines represent the maximum and minimum values, the top and bottom of each box represent the first quartile (Q1) and third quartile (Q3) where the line inside each box is the median (Second quartile Q2), dots above and below are outlier values</w:t>
      </w:r>
      <w:bookmarkEnd w:id="102"/>
    </w:p>
    <w:p w14:paraId="42F78139" w14:textId="77777777" w:rsidR="0019038E" w:rsidRDefault="0019038E" w:rsidP="0019038E">
      <w:pPr>
        <w:pStyle w:val="Caption"/>
        <w:jc w:val="lowKashida"/>
      </w:pPr>
    </w:p>
    <w:p w14:paraId="2C254C90" w14:textId="77777777" w:rsidR="0019038E" w:rsidRPr="002932E6" w:rsidRDefault="0019038E" w:rsidP="0019038E">
      <w:pPr>
        <w:autoSpaceDE w:val="0"/>
        <w:autoSpaceDN w:val="0"/>
        <w:adjustRightInd w:val="0"/>
        <w:spacing w:afterLines="280" w:after="672" w:line="360" w:lineRule="auto"/>
        <w:ind w:firstLine="720"/>
        <w:jc w:val="lowKashida"/>
      </w:pPr>
      <w:r w:rsidRPr="002932E6">
        <w:t xml:space="preserve">         </w:t>
      </w:r>
    </w:p>
    <w:p w14:paraId="2DF6F686" w14:textId="77777777" w:rsidR="0019038E" w:rsidRPr="002932E6" w:rsidRDefault="0019038E" w:rsidP="0019038E">
      <w:pPr>
        <w:autoSpaceDE w:val="0"/>
        <w:autoSpaceDN w:val="0"/>
        <w:adjustRightInd w:val="0"/>
        <w:spacing w:afterLines="280" w:after="672" w:line="360" w:lineRule="auto"/>
        <w:ind w:firstLine="720"/>
        <w:jc w:val="lowKashida"/>
      </w:pPr>
    </w:p>
    <w:p w14:paraId="765C2DB8" w14:textId="77777777" w:rsidR="0019038E" w:rsidRPr="002932E6" w:rsidRDefault="0019038E" w:rsidP="0019038E">
      <w:pPr>
        <w:autoSpaceDE w:val="0"/>
        <w:autoSpaceDN w:val="0"/>
        <w:adjustRightInd w:val="0"/>
        <w:spacing w:afterLines="280" w:after="672" w:line="360" w:lineRule="auto"/>
        <w:ind w:firstLine="720"/>
        <w:jc w:val="lowKashida"/>
        <w:rPr>
          <w:color w:val="000000"/>
          <w:shd w:val="clear" w:color="auto" w:fill="FFFFFF"/>
        </w:rPr>
      </w:pPr>
    </w:p>
    <w:p w14:paraId="4952F124" w14:textId="77777777" w:rsidR="0019038E" w:rsidRPr="002932E6" w:rsidRDefault="0019038E" w:rsidP="0019038E">
      <w:pPr>
        <w:autoSpaceDE w:val="0"/>
        <w:autoSpaceDN w:val="0"/>
        <w:adjustRightInd w:val="0"/>
        <w:spacing w:afterLines="280" w:after="672" w:line="360" w:lineRule="auto"/>
        <w:ind w:firstLine="720"/>
        <w:jc w:val="lowKashida"/>
        <w:rPr>
          <w:color w:val="000000"/>
          <w:shd w:val="clear" w:color="auto" w:fill="FFFFFF"/>
        </w:rPr>
      </w:pPr>
    </w:p>
    <w:p w14:paraId="0DF9D151" w14:textId="77777777" w:rsidR="0019038E" w:rsidRPr="002932E6" w:rsidRDefault="0019038E" w:rsidP="0019038E">
      <w:pPr>
        <w:autoSpaceDE w:val="0"/>
        <w:autoSpaceDN w:val="0"/>
        <w:adjustRightInd w:val="0"/>
        <w:spacing w:afterLines="280" w:after="672" w:line="360" w:lineRule="auto"/>
        <w:ind w:firstLine="720"/>
        <w:jc w:val="lowKashida"/>
        <w:rPr>
          <w:color w:val="000000"/>
          <w:shd w:val="clear" w:color="auto" w:fill="FFFFFF"/>
        </w:rPr>
      </w:pPr>
    </w:p>
    <w:p w14:paraId="43DFBEBB" w14:textId="77777777" w:rsidR="0019038E" w:rsidRPr="002932E6" w:rsidRDefault="0019038E" w:rsidP="0019038E">
      <w:pPr>
        <w:autoSpaceDE w:val="0"/>
        <w:autoSpaceDN w:val="0"/>
        <w:adjustRightInd w:val="0"/>
        <w:spacing w:afterLines="280" w:after="672" w:line="360" w:lineRule="auto"/>
        <w:ind w:firstLine="720"/>
        <w:jc w:val="lowKashida"/>
        <w:rPr>
          <w:color w:val="000000"/>
          <w:shd w:val="clear" w:color="auto" w:fill="FFFFFF"/>
        </w:rPr>
      </w:pPr>
    </w:p>
    <w:p w14:paraId="79A4EF83" w14:textId="77777777" w:rsidR="0019038E" w:rsidRDefault="0019038E" w:rsidP="0019038E">
      <w:pPr>
        <w:keepNext/>
        <w:autoSpaceDE w:val="0"/>
        <w:autoSpaceDN w:val="0"/>
        <w:adjustRightInd w:val="0"/>
        <w:spacing w:afterLines="280" w:after="672" w:line="360" w:lineRule="auto"/>
        <w:ind w:firstLine="720"/>
        <w:jc w:val="lowKashida"/>
      </w:pPr>
      <w:r w:rsidRPr="002932E6">
        <w:rPr>
          <w:noProof/>
          <w:color w:val="000000"/>
          <w:shd w:val="clear" w:color="auto" w:fill="FFFFFF"/>
        </w:rPr>
        <w:lastRenderedPageBreak/>
        <w:drawing>
          <wp:inline distT="0" distB="0" distL="0" distR="0" wp14:anchorId="0AEE56C3" wp14:editId="74831CE7">
            <wp:extent cx="5778500" cy="5765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1">
                      <a:extLst>
                        <a:ext uri="{28A0092B-C50C-407E-A947-70E740481C1C}">
                          <a14:useLocalDpi xmlns:a14="http://schemas.microsoft.com/office/drawing/2010/main" val="0"/>
                        </a:ext>
                      </a:extLst>
                    </a:blip>
                    <a:stretch>
                      <a:fillRect/>
                    </a:stretch>
                  </pic:blipFill>
                  <pic:spPr>
                    <a:xfrm>
                      <a:off x="0" y="0"/>
                      <a:ext cx="5778500" cy="5765800"/>
                    </a:xfrm>
                    <a:prstGeom prst="rect">
                      <a:avLst/>
                    </a:prstGeom>
                  </pic:spPr>
                </pic:pic>
              </a:graphicData>
            </a:graphic>
          </wp:inline>
        </w:drawing>
      </w:r>
    </w:p>
    <w:p w14:paraId="47855DCA" w14:textId="6463F916" w:rsidR="0019038E" w:rsidRPr="005B5670" w:rsidRDefault="0019038E" w:rsidP="0019038E">
      <w:pPr>
        <w:pStyle w:val="Caption"/>
        <w:jc w:val="center"/>
        <w:rPr>
          <w:b w:val="0"/>
          <w:bCs w:val="0"/>
          <w:color w:val="000000"/>
          <w:sz w:val="20"/>
          <w:szCs w:val="20"/>
          <w:shd w:val="clear" w:color="auto" w:fill="FFFFFF"/>
        </w:rPr>
      </w:pPr>
      <w:bookmarkStart w:id="103" w:name="_Toc83751361"/>
      <w:r w:rsidRPr="00ED12B1">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3</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5</w:t>
      </w:r>
      <w:r w:rsidR="00843EDC">
        <w:rPr>
          <w:b w:val="0"/>
          <w:bCs w:val="0"/>
          <w:sz w:val="20"/>
          <w:szCs w:val="20"/>
        </w:rPr>
        <w:fldChar w:fldCharType="end"/>
      </w:r>
      <w:r w:rsidRPr="005B5670">
        <w:rPr>
          <w:b w:val="0"/>
          <w:bCs w:val="0"/>
          <w:sz w:val="20"/>
          <w:szCs w:val="20"/>
        </w:rPr>
        <w:t xml:space="preserve"> Base frequencies </w:t>
      </w:r>
      <w:r w:rsidRPr="005B5670">
        <w:rPr>
          <w:b w:val="0"/>
          <w:bCs w:val="0"/>
          <w:color w:val="000000"/>
          <w:sz w:val="20"/>
          <w:szCs w:val="20"/>
        </w:rPr>
        <w:t xml:space="preserve">of </w:t>
      </w:r>
      <w:r w:rsidRPr="005B5670">
        <w:rPr>
          <w:b w:val="0"/>
          <w:bCs w:val="0"/>
          <w:sz w:val="20"/>
          <w:szCs w:val="20"/>
        </w:rPr>
        <w:t xml:space="preserve">18S for 18 </w:t>
      </w:r>
      <w:r w:rsidRPr="005B5670">
        <w:rPr>
          <w:b w:val="0"/>
          <w:bCs w:val="0"/>
          <w:i/>
          <w:iCs/>
          <w:sz w:val="20"/>
          <w:szCs w:val="20"/>
        </w:rPr>
        <w:t xml:space="preserve">Zea mays </w:t>
      </w:r>
      <w:r w:rsidRPr="005B5670">
        <w:rPr>
          <w:b w:val="0"/>
          <w:bCs w:val="0"/>
          <w:sz w:val="20"/>
          <w:szCs w:val="20"/>
        </w:rPr>
        <w:t>varieties</w:t>
      </w:r>
      <w:bookmarkEnd w:id="103"/>
    </w:p>
    <w:p w14:paraId="626BE91F" w14:textId="77777777" w:rsidR="0019038E" w:rsidRPr="002932E6" w:rsidRDefault="0019038E" w:rsidP="0019038E">
      <w:pPr>
        <w:autoSpaceDE w:val="0"/>
        <w:autoSpaceDN w:val="0"/>
        <w:adjustRightInd w:val="0"/>
        <w:spacing w:afterLines="280" w:after="672" w:line="360" w:lineRule="auto"/>
        <w:jc w:val="lowKashida"/>
        <w:rPr>
          <w:color w:val="000000"/>
          <w:shd w:val="clear" w:color="auto" w:fill="FFFFFF"/>
        </w:rPr>
      </w:pPr>
    </w:p>
    <w:p w14:paraId="60DB22D3" w14:textId="77777777" w:rsidR="0019038E" w:rsidRDefault="0019038E" w:rsidP="0019038E">
      <w:pPr>
        <w:keepNext/>
        <w:autoSpaceDE w:val="0"/>
        <w:autoSpaceDN w:val="0"/>
        <w:adjustRightInd w:val="0"/>
        <w:spacing w:afterLines="280" w:after="672" w:line="360" w:lineRule="auto"/>
        <w:ind w:firstLine="720"/>
        <w:jc w:val="lowKashida"/>
      </w:pPr>
      <w:r w:rsidRPr="002932E6">
        <w:rPr>
          <w:noProof/>
          <w:color w:val="000000"/>
          <w:shd w:val="clear" w:color="auto" w:fill="FFFFFF"/>
        </w:rPr>
        <w:lastRenderedPageBreak/>
        <w:drawing>
          <wp:inline distT="0" distB="0" distL="0" distR="0" wp14:anchorId="64F8AE3F" wp14:editId="3341891E">
            <wp:extent cx="5943600" cy="340868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408680"/>
                    </a:xfrm>
                    <a:prstGeom prst="rect">
                      <a:avLst/>
                    </a:prstGeom>
                  </pic:spPr>
                </pic:pic>
              </a:graphicData>
            </a:graphic>
          </wp:inline>
        </w:drawing>
      </w:r>
    </w:p>
    <w:p w14:paraId="51D3ED51" w14:textId="02F3CC62" w:rsidR="0019038E" w:rsidRPr="005B5670" w:rsidRDefault="0019038E" w:rsidP="0019038E">
      <w:pPr>
        <w:pStyle w:val="Caption"/>
        <w:jc w:val="center"/>
        <w:rPr>
          <w:b w:val="0"/>
          <w:bCs w:val="0"/>
          <w:color w:val="000000"/>
          <w:sz w:val="20"/>
          <w:szCs w:val="20"/>
          <w:shd w:val="clear" w:color="auto" w:fill="FFFFFF"/>
        </w:rPr>
      </w:pPr>
      <w:bookmarkStart w:id="104" w:name="_Toc83751362"/>
      <w:r w:rsidRPr="00ED12B1">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3</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6</w:t>
      </w:r>
      <w:r w:rsidR="00843EDC">
        <w:rPr>
          <w:b w:val="0"/>
          <w:bCs w:val="0"/>
          <w:sz w:val="20"/>
          <w:szCs w:val="20"/>
        </w:rPr>
        <w:fldChar w:fldCharType="end"/>
      </w:r>
      <w:r w:rsidRPr="005B5670">
        <w:rPr>
          <w:b w:val="0"/>
          <w:bCs w:val="0"/>
          <w:sz w:val="20"/>
          <w:szCs w:val="20"/>
        </w:rPr>
        <w:t xml:space="preserve"> </w:t>
      </w:r>
      <w:r w:rsidRPr="005B5670">
        <w:rPr>
          <w:b w:val="0"/>
          <w:bCs w:val="0"/>
          <w:color w:val="000000"/>
          <w:sz w:val="20"/>
          <w:szCs w:val="20"/>
        </w:rPr>
        <w:t xml:space="preserve">Maximum likelihood method phylogenetic tree of </w:t>
      </w:r>
      <w:r w:rsidRPr="005B5670">
        <w:rPr>
          <w:b w:val="0"/>
          <w:bCs w:val="0"/>
          <w:sz w:val="20"/>
          <w:szCs w:val="20"/>
        </w:rPr>
        <w:t xml:space="preserve">18S for 18 </w:t>
      </w:r>
      <w:r w:rsidRPr="005B5670">
        <w:rPr>
          <w:b w:val="0"/>
          <w:bCs w:val="0"/>
          <w:i/>
          <w:iCs/>
          <w:sz w:val="20"/>
          <w:szCs w:val="20"/>
        </w:rPr>
        <w:t xml:space="preserve">Zea mays </w:t>
      </w:r>
      <w:r w:rsidRPr="005B5670">
        <w:rPr>
          <w:b w:val="0"/>
          <w:bCs w:val="0"/>
          <w:sz w:val="20"/>
          <w:szCs w:val="20"/>
        </w:rPr>
        <w:t>varieties along with heat map</w:t>
      </w:r>
      <w:bookmarkEnd w:id="104"/>
    </w:p>
    <w:p w14:paraId="4A440F25" w14:textId="77777777" w:rsidR="0019038E" w:rsidRDefault="0019038E" w:rsidP="00D71915">
      <w:pPr>
        <w:pStyle w:val="mythesis"/>
      </w:pPr>
    </w:p>
    <w:p w14:paraId="3005ECAA" w14:textId="734BEE93" w:rsidR="0019038E" w:rsidRPr="002932E6" w:rsidRDefault="0019038E" w:rsidP="00D71915">
      <w:pPr>
        <w:pStyle w:val="mythesis"/>
      </w:pPr>
      <w:r w:rsidRPr="002932E6">
        <w:t xml:space="preserve">The phylogenetic tree consists of two large clades. The upper clade comprised 11 varieties. </w:t>
      </w:r>
      <w:r>
        <w:t xml:space="preserve"> </w:t>
      </w:r>
      <w:r w:rsidR="002E0FD7">
        <w:t xml:space="preserve">The </w:t>
      </w:r>
      <w:r w:rsidRPr="002932E6">
        <w:t xml:space="preserve">cultivars No.17 and 18 were related to each other even in the genetic relationship or in no responsiveness. Also, </w:t>
      </w:r>
      <w:r w:rsidR="002E0FD7">
        <w:t xml:space="preserve">the </w:t>
      </w:r>
      <w:r w:rsidRPr="002932E6">
        <w:t xml:space="preserve">cultivars No.16 and 6 had the same results. While the rest of </w:t>
      </w:r>
      <w:r w:rsidR="002E0FD7">
        <w:t xml:space="preserve">the </w:t>
      </w:r>
      <w:r w:rsidRPr="002932E6">
        <w:t>cultivars were different in terms of genetics relationships and their responsiveness.</w:t>
      </w:r>
    </w:p>
    <w:p w14:paraId="6E54F0A6" w14:textId="204BDCEB" w:rsidR="0019038E" w:rsidRDefault="00B72FDC" w:rsidP="00D71915">
      <w:pPr>
        <w:pStyle w:val="mythesis"/>
      </w:pPr>
      <w:r w:rsidRPr="000A04BD">
        <w:t xml:space="preserve">The lower </w:t>
      </w:r>
      <w:r w:rsidR="0019038E" w:rsidRPr="000A04BD">
        <w:t xml:space="preserve">clade </w:t>
      </w:r>
      <w:r w:rsidR="0019038E" w:rsidRPr="002932E6">
        <w:t xml:space="preserve">showed that there was correlation between the genetic relationship and the mycorrhizal responsiveness in </w:t>
      </w:r>
      <w:r w:rsidR="002E0FD7">
        <w:t xml:space="preserve">the </w:t>
      </w:r>
      <w:r w:rsidR="0019038E" w:rsidRPr="002932E6">
        <w:t xml:space="preserve">cultivar No.5 and 12 where the responsiveness was significantly high but the interesting result here was appeared in </w:t>
      </w:r>
      <w:r w:rsidR="002E0FD7">
        <w:t xml:space="preserve">the </w:t>
      </w:r>
      <w:r w:rsidR="0019038E" w:rsidRPr="002932E6">
        <w:t>cultivar No.8 and 10 where the genetic origin was similar, but the responsiveness was different.</w:t>
      </w:r>
    </w:p>
    <w:p w14:paraId="4BA107AA" w14:textId="5E36AB53" w:rsidR="0019038E" w:rsidRDefault="0019038E" w:rsidP="0019038E">
      <w:pPr>
        <w:autoSpaceDE w:val="0"/>
        <w:autoSpaceDN w:val="0"/>
        <w:adjustRightInd w:val="0"/>
        <w:spacing w:afterLines="280" w:after="672" w:line="360" w:lineRule="auto"/>
        <w:jc w:val="lowKashida"/>
      </w:pPr>
    </w:p>
    <w:p w14:paraId="72578250" w14:textId="77777777" w:rsidR="00D71915" w:rsidRPr="002932E6" w:rsidRDefault="00D71915" w:rsidP="0019038E">
      <w:pPr>
        <w:autoSpaceDE w:val="0"/>
        <w:autoSpaceDN w:val="0"/>
        <w:adjustRightInd w:val="0"/>
        <w:spacing w:afterLines="280" w:after="672" w:line="360" w:lineRule="auto"/>
        <w:jc w:val="lowKashida"/>
      </w:pPr>
    </w:p>
    <w:p w14:paraId="7BAFEC3B" w14:textId="77777777" w:rsidR="0019038E" w:rsidRDefault="0019038E" w:rsidP="0019038E">
      <w:pPr>
        <w:pStyle w:val="Heading3"/>
      </w:pPr>
      <w:bookmarkStart w:id="105" w:name="_Toc83751463"/>
      <w:r w:rsidRPr="002932E6">
        <w:lastRenderedPageBreak/>
        <w:t>3.3.4 RBCL phylogeny relationship</w:t>
      </w:r>
      <w:bookmarkEnd w:id="105"/>
      <w:r w:rsidRPr="002932E6">
        <w:t xml:space="preserve">  </w:t>
      </w:r>
    </w:p>
    <w:p w14:paraId="27068DB8" w14:textId="77777777" w:rsidR="0019038E" w:rsidRPr="0000521D" w:rsidRDefault="0019038E" w:rsidP="0019038E"/>
    <w:p w14:paraId="4177901B" w14:textId="77777777" w:rsidR="0019038E" w:rsidRDefault="0019038E" w:rsidP="0019038E">
      <w:pPr>
        <w:keepNext/>
        <w:spacing w:afterLines="280" w:after="672" w:line="360" w:lineRule="auto"/>
        <w:jc w:val="lowKashida"/>
      </w:pPr>
      <w:r w:rsidRPr="002932E6">
        <w:rPr>
          <w:i/>
          <w:iCs/>
          <w:color w:val="000000" w:themeColor="text1"/>
        </w:rPr>
        <w:t xml:space="preserve">                           </w:t>
      </w:r>
      <w:r w:rsidRPr="002932E6">
        <w:rPr>
          <w:i/>
          <w:iCs/>
          <w:noProof/>
          <w:color w:val="000000" w:themeColor="text1"/>
        </w:rPr>
        <w:drawing>
          <wp:inline distT="0" distB="0" distL="0" distR="0" wp14:anchorId="743622C1" wp14:editId="5BE044AA">
            <wp:extent cx="4079631" cy="2962963"/>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096152" cy="2974962"/>
                    </a:xfrm>
                    <a:prstGeom prst="rect">
                      <a:avLst/>
                    </a:prstGeom>
                  </pic:spPr>
                </pic:pic>
              </a:graphicData>
            </a:graphic>
          </wp:inline>
        </w:drawing>
      </w:r>
    </w:p>
    <w:p w14:paraId="22E0217E" w14:textId="0B3FBDC8" w:rsidR="0019038E" w:rsidRPr="005B5670" w:rsidRDefault="0019038E" w:rsidP="0019038E">
      <w:pPr>
        <w:pStyle w:val="Caption"/>
        <w:jc w:val="center"/>
        <w:rPr>
          <w:b w:val="0"/>
          <w:bCs w:val="0"/>
          <w:i/>
          <w:iCs/>
          <w:color w:val="000000" w:themeColor="text1"/>
          <w:sz w:val="20"/>
          <w:szCs w:val="20"/>
        </w:rPr>
      </w:pPr>
      <w:bookmarkStart w:id="106" w:name="_Toc83751363"/>
      <w:r w:rsidRPr="00ED12B1">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3</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7</w:t>
      </w:r>
      <w:r w:rsidR="00843EDC">
        <w:rPr>
          <w:b w:val="0"/>
          <w:bCs w:val="0"/>
          <w:sz w:val="20"/>
          <w:szCs w:val="20"/>
        </w:rPr>
        <w:fldChar w:fldCharType="end"/>
      </w:r>
      <w:r w:rsidRPr="005B5670">
        <w:rPr>
          <w:b w:val="0"/>
          <w:bCs w:val="0"/>
          <w:sz w:val="20"/>
          <w:szCs w:val="20"/>
        </w:rPr>
        <w:t xml:space="preserve"> </w:t>
      </w:r>
      <w:r w:rsidRPr="005B5670">
        <w:rPr>
          <w:b w:val="0"/>
          <w:bCs w:val="0"/>
          <w:color w:val="333333"/>
          <w:sz w:val="20"/>
          <w:szCs w:val="20"/>
          <w:shd w:val="clear" w:color="auto" w:fill="FFFFFF"/>
        </w:rPr>
        <w:t xml:space="preserve">Agarose gel electrophoresis </w:t>
      </w:r>
      <w:r w:rsidRPr="005B5670">
        <w:rPr>
          <w:b w:val="0"/>
          <w:bCs w:val="0"/>
          <w:sz w:val="20"/>
          <w:szCs w:val="20"/>
        </w:rPr>
        <w:t xml:space="preserve">of RBCL for 18 </w:t>
      </w:r>
      <w:r w:rsidRPr="005B5670">
        <w:rPr>
          <w:b w:val="0"/>
          <w:bCs w:val="0"/>
          <w:i/>
          <w:iCs/>
          <w:sz w:val="20"/>
          <w:szCs w:val="20"/>
        </w:rPr>
        <w:t xml:space="preserve">Zea mays </w:t>
      </w:r>
      <w:r w:rsidRPr="005B5670">
        <w:rPr>
          <w:b w:val="0"/>
          <w:bCs w:val="0"/>
          <w:sz w:val="20"/>
          <w:szCs w:val="20"/>
        </w:rPr>
        <w:t>varieties</w:t>
      </w:r>
      <w:bookmarkEnd w:id="106"/>
    </w:p>
    <w:p w14:paraId="0B71B5C5" w14:textId="77777777" w:rsidR="0019038E" w:rsidRDefault="0019038E" w:rsidP="0019038E">
      <w:pPr>
        <w:spacing w:afterLines="280" w:after="672" w:line="360" w:lineRule="auto"/>
        <w:jc w:val="lowKashida"/>
      </w:pPr>
    </w:p>
    <w:p w14:paraId="2456F5A0" w14:textId="77777777" w:rsidR="0019038E" w:rsidRPr="0000521D" w:rsidRDefault="0019038E" w:rsidP="005311CB">
      <w:pPr>
        <w:pStyle w:val="mythesis"/>
      </w:pPr>
      <w:r w:rsidRPr="002932E6">
        <w:t>The Agarose gel electrophoresis of RBCL of 18</w:t>
      </w:r>
      <w:r w:rsidRPr="002932E6">
        <w:rPr>
          <w:i/>
        </w:rPr>
        <w:t xml:space="preserve"> Zea mays</w:t>
      </w:r>
      <w:r w:rsidRPr="002932E6">
        <w:t xml:space="preserve"> cultivars was successfully performed, and perfect results were obtained as showed in Figure 3.7.</w:t>
      </w:r>
    </w:p>
    <w:p w14:paraId="3719B14D" w14:textId="77777777" w:rsidR="0019038E" w:rsidRPr="002932E6" w:rsidRDefault="0019038E" w:rsidP="005311CB">
      <w:pPr>
        <w:pStyle w:val="mythesis"/>
      </w:pPr>
      <w:r w:rsidRPr="002932E6">
        <w:t>Sequence length of the 18 RBLC sequences averaged 107 bases from 100 to 111 bases. Figure (3.8.a) showed the presence of an outlier of 100 bases.</w:t>
      </w:r>
    </w:p>
    <w:p w14:paraId="6FB396F5" w14:textId="77777777" w:rsidR="0019038E" w:rsidRPr="002932E6" w:rsidRDefault="0019038E" w:rsidP="005311CB">
      <w:pPr>
        <w:pStyle w:val="mythesis"/>
      </w:pPr>
      <w:r w:rsidRPr="002932E6">
        <w:t>Figure 3.8</w:t>
      </w:r>
      <w:r>
        <w:t xml:space="preserve"> </w:t>
      </w:r>
      <w:r w:rsidRPr="002932E6">
        <w:t>shows the GC content of the 18 RBLC sequences. Percentage of GC content averaged 48% ranged from 45 to 50%. Again, outlier values are noticed in GC content.</w:t>
      </w:r>
    </w:p>
    <w:p w14:paraId="57B339DA" w14:textId="77777777" w:rsidR="0019038E" w:rsidRDefault="0019038E" w:rsidP="0019038E">
      <w:pPr>
        <w:autoSpaceDE w:val="0"/>
        <w:autoSpaceDN w:val="0"/>
        <w:adjustRightInd w:val="0"/>
        <w:spacing w:afterLines="280" w:after="672" w:line="360" w:lineRule="auto"/>
        <w:jc w:val="lowKashida"/>
      </w:pPr>
    </w:p>
    <w:p w14:paraId="11BF3BFC" w14:textId="77777777" w:rsidR="0019038E" w:rsidRPr="002932E6" w:rsidRDefault="0019038E" w:rsidP="0019038E">
      <w:pPr>
        <w:autoSpaceDE w:val="0"/>
        <w:autoSpaceDN w:val="0"/>
        <w:adjustRightInd w:val="0"/>
        <w:spacing w:afterLines="280" w:after="672" w:line="360" w:lineRule="auto"/>
        <w:jc w:val="lowKashida"/>
      </w:pPr>
    </w:p>
    <w:p w14:paraId="706CF994" w14:textId="77777777" w:rsidR="0019038E" w:rsidRDefault="0019038E" w:rsidP="005311CB">
      <w:pPr>
        <w:pStyle w:val="mythesis"/>
      </w:pPr>
      <w:r w:rsidRPr="002932E6">
        <w:lastRenderedPageBreak/>
        <w:t xml:space="preserve">Figure 3.9 shows base frequencies of RBCL for 18 </w:t>
      </w:r>
      <w:r w:rsidRPr="002932E6">
        <w:rPr>
          <w:i/>
        </w:rPr>
        <w:t xml:space="preserve">Zea mays </w:t>
      </w:r>
      <w:r w:rsidRPr="002932E6">
        <w:t>varieties.  No noticeable difference was in base frequencies.</w:t>
      </w:r>
    </w:p>
    <w:p w14:paraId="1FAF841A" w14:textId="77777777" w:rsidR="0019038E" w:rsidRPr="002932E6" w:rsidRDefault="0019038E" w:rsidP="005311CB">
      <w:pPr>
        <w:pStyle w:val="mythesis"/>
      </w:pPr>
      <w:r w:rsidRPr="002932E6">
        <w:t xml:space="preserve">Figure 3.10 shows the maximum likelihood phylogenetic tree of RBCL for 18 </w:t>
      </w:r>
      <w:r w:rsidRPr="002932E6">
        <w:rPr>
          <w:i/>
        </w:rPr>
        <w:t xml:space="preserve">Zea mays </w:t>
      </w:r>
      <w:r w:rsidRPr="002932E6">
        <w:t xml:space="preserve">varieties along with heat map. In general, the phylogenetic tree has short branches which reflect very close evolutionary relationship among all the RBCL for 18 </w:t>
      </w:r>
      <w:r w:rsidRPr="002932E6">
        <w:rPr>
          <w:i/>
        </w:rPr>
        <w:t xml:space="preserve">Zea mays </w:t>
      </w:r>
      <w:r w:rsidRPr="002932E6">
        <w:t>varieties.</w:t>
      </w:r>
    </w:p>
    <w:p w14:paraId="2B6B8B20" w14:textId="77777777" w:rsidR="0019038E" w:rsidRPr="002932E6" w:rsidRDefault="0019038E" w:rsidP="0019038E">
      <w:pPr>
        <w:autoSpaceDE w:val="0"/>
        <w:autoSpaceDN w:val="0"/>
        <w:adjustRightInd w:val="0"/>
        <w:spacing w:afterLines="280" w:after="672" w:line="360" w:lineRule="auto"/>
        <w:jc w:val="lowKashida"/>
      </w:pPr>
    </w:p>
    <w:p w14:paraId="57C50E82" w14:textId="77777777" w:rsidR="0019038E" w:rsidRDefault="0019038E" w:rsidP="0019038E">
      <w:pPr>
        <w:keepNext/>
        <w:autoSpaceDE w:val="0"/>
        <w:autoSpaceDN w:val="0"/>
        <w:adjustRightInd w:val="0"/>
        <w:spacing w:afterLines="280" w:after="672" w:line="360" w:lineRule="auto"/>
        <w:jc w:val="lowKashida"/>
      </w:pPr>
      <w:r w:rsidRPr="002932E6">
        <w:rPr>
          <w:noProof/>
          <w:color w:val="000000"/>
          <w:shd w:val="clear" w:color="auto" w:fill="FFFFFF"/>
        </w:rPr>
        <w:drawing>
          <wp:inline distT="0" distB="0" distL="0" distR="0" wp14:anchorId="45B72605" wp14:editId="1E3A55C0">
            <wp:extent cx="5435600" cy="2996565"/>
            <wp:effectExtent l="0" t="0" r="0" b="63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35600" cy="2996565"/>
                    </a:xfrm>
                    <a:prstGeom prst="rect">
                      <a:avLst/>
                    </a:prstGeom>
                  </pic:spPr>
                </pic:pic>
              </a:graphicData>
            </a:graphic>
          </wp:inline>
        </w:drawing>
      </w:r>
    </w:p>
    <w:p w14:paraId="3DCA80CC" w14:textId="448A2FF9" w:rsidR="0019038E" w:rsidRPr="005B5670" w:rsidRDefault="0019038E" w:rsidP="0019038E">
      <w:pPr>
        <w:pStyle w:val="Caption"/>
        <w:jc w:val="lowKashida"/>
        <w:rPr>
          <w:b w:val="0"/>
          <w:bCs w:val="0"/>
          <w:color w:val="000000"/>
          <w:sz w:val="20"/>
          <w:szCs w:val="20"/>
          <w:shd w:val="clear" w:color="auto" w:fill="FFFFFF"/>
        </w:rPr>
      </w:pPr>
      <w:bookmarkStart w:id="107" w:name="_Toc83751364"/>
      <w:r w:rsidRPr="00ED12B1">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3</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8</w:t>
      </w:r>
      <w:r w:rsidR="00843EDC">
        <w:rPr>
          <w:b w:val="0"/>
          <w:bCs w:val="0"/>
          <w:sz w:val="20"/>
          <w:szCs w:val="20"/>
        </w:rPr>
        <w:fldChar w:fldCharType="end"/>
      </w:r>
      <w:r w:rsidRPr="005B5670">
        <w:rPr>
          <w:b w:val="0"/>
          <w:bCs w:val="0"/>
          <w:sz w:val="20"/>
          <w:szCs w:val="20"/>
        </w:rPr>
        <w:t xml:space="preserve"> Boxplot for sequence length and GC content of 18 RBCL sequences, where the top and bottom of lines represent the maximum and minimum values, the top and bottom of each box represent the first quartile (Q1) and third quartile (Q3) where the line inside each box is the median (second quartile Q2), dots above and below are outlier values</w:t>
      </w:r>
      <w:bookmarkEnd w:id="107"/>
    </w:p>
    <w:p w14:paraId="1CBBD758" w14:textId="77777777" w:rsidR="0019038E" w:rsidRPr="005B5670" w:rsidRDefault="0019038E" w:rsidP="0019038E">
      <w:pPr>
        <w:autoSpaceDE w:val="0"/>
        <w:autoSpaceDN w:val="0"/>
        <w:adjustRightInd w:val="0"/>
        <w:spacing w:afterLines="280" w:after="672"/>
        <w:jc w:val="lowKashida"/>
        <w:rPr>
          <w:color w:val="000000"/>
          <w:sz w:val="20"/>
          <w:szCs w:val="20"/>
          <w:shd w:val="clear" w:color="auto" w:fill="FFFFFF"/>
        </w:rPr>
      </w:pPr>
    </w:p>
    <w:p w14:paraId="6D411E83" w14:textId="77777777" w:rsidR="0019038E" w:rsidRPr="002932E6" w:rsidRDefault="0019038E" w:rsidP="0019038E">
      <w:pPr>
        <w:autoSpaceDE w:val="0"/>
        <w:autoSpaceDN w:val="0"/>
        <w:adjustRightInd w:val="0"/>
        <w:spacing w:afterLines="280" w:after="672" w:line="360" w:lineRule="auto"/>
        <w:ind w:firstLine="720"/>
        <w:jc w:val="lowKashida"/>
        <w:rPr>
          <w:color w:val="000000"/>
          <w:shd w:val="clear" w:color="auto" w:fill="FFFFFF"/>
        </w:rPr>
      </w:pPr>
    </w:p>
    <w:p w14:paraId="763C75BB" w14:textId="77777777" w:rsidR="0019038E" w:rsidRPr="002932E6" w:rsidRDefault="0019038E" w:rsidP="0019038E">
      <w:pPr>
        <w:autoSpaceDE w:val="0"/>
        <w:autoSpaceDN w:val="0"/>
        <w:adjustRightInd w:val="0"/>
        <w:spacing w:afterLines="280" w:after="672" w:line="360" w:lineRule="auto"/>
        <w:jc w:val="lowKashida"/>
        <w:rPr>
          <w:color w:val="000000"/>
          <w:shd w:val="clear" w:color="auto" w:fill="FFFFFF"/>
        </w:rPr>
      </w:pPr>
    </w:p>
    <w:p w14:paraId="087D87BD" w14:textId="77777777" w:rsidR="0019038E" w:rsidRDefault="0019038E" w:rsidP="0019038E">
      <w:pPr>
        <w:keepNext/>
        <w:autoSpaceDE w:val="0"/>
        <w:autoSpaceDN w:val="0"/>
        <w:adjustRightInd w:val="0"/>
        <w:spacing w:afterLines="280" w:after="672" w:line="360" w:lineRule="auto"/>
        <w:ind w:firstLine="720"/>
        <w:jc w:val="lowKashida"/>
      </w:pPr>
      <w:r w:rsidRPr="002932E6">
        <w:rPr>
          <w:noProof/>
          <w:color w:val="000000"/>
          <w:shd w:val="clear" w:color="auto" w:fill="FFFFFF"/>
        </w:rPr>
        <w:lastRenderedPageBreak/>
        <w:drawing>
          <wp:inline distT="0" distB="0" distL="0" distR="0" wp14:anchorId="3EF8689D" wp14:editId="5AD21BE9">
            <wp:extent cx="5943600" cy="5746750"/>
            <wp:effectExtent l="0" t="0" r="0" b="635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pic:nvPicPr>
                  <pic:blipFill>
                    <a:blip r:embed="rId35">
                      <a:extLst>
                        <a:ext uri="{28A0092B-C50C-407E-A947-70E740481C1C}">
                          <a14:useLocalDpi xmlns:a14="http://schemas.microsoft.com/office/drawing/2010/main" val="0"/>
                        </a:ext>
                      </a:extLst>
                    </a:blip>
                    <a:stretch>
                      <a:fillRect/>
                    </a:stretch>
                  </pic:blipFill>
                  <pic:spPr>
                    <a:xfrm>
                      <a:off x="0" y="0"/>
                      <a:ext cx="5943600" cy="5746750"/>
                    </a:xfrm>
                    <a:prstGeom prst="rect">
                      <a:avLst/>
                    </a:prstGeom>
                  </pic:spPr>
                </pic:pic>
              </a:graphicData>
            </a:graphic>
          </wp:inline>
        </w:drawing>
      </w:r>
    </w:p>
    <w:p w14:paraId="52CD1A6D" w14:textId="1E8340B0" w:rsidR="0019038E" w:rsidRPr="005B5670" w:rsidRDefault="0019038E" w:rsidP="0019038E">
      <w:pPr>
        <w:pStyle w:val="Caption"/>
        <w:jc w:val="center"/>
        <w:rPr>
          <w:b w:val="0"/>
          <w:bCs w:val="0"/>
          <w:color w:val="000000"/>
          <w:sz w:val="20"/>
          <w:szCs w:val="20"/>
          <w:shd w:val="clear" w:color="auto" w:fill="FFFFFF"/>
        </w:rPr>
      </w:pPr>
      <w:bookmarkStart w:id="108" w:name="_Toc83751365"/>
      <w:r w:rsidRPr="00ED12B1">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3</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9</w:t>
      </w:r>
      <w:r w:rsidR="00843EDC">
        <w:rPr>
          <w:b w:val="0"/>
          <w:bCs w:val="0"/>
          <w:sz w:val="20"/>
          <w:szCs w:val="20"/>
        </w:rPr>
        <w:fldChar w:fldCharType="end"/>
      </w:r>
      <w:r w:rsidRPr="005B5670">
        <w:rPr>
          <w:b w:val="0"/>
          <w:bCs w:val="0"/>
          <w:sz w:val="20"/>
          <w:szCs w:val="20"/>
        </w:rPr>
        <w:t xml:space="preserve"> Base frequencies of RBCL for 18 </w:t>
      </w:r>
      <w:r w:rsidRPr="005B5670">
        <w:rPr>
          <w:b w:val="0"/>
          <w:bCs w:val="0"/>
          <w:i/>
          <w:iCs/>
          <w:sz w:val="20"/>
          <w:szCs w:val="20"/>
        </w:rPr>
        <w:t xml:space="preserve">Zea mays </w:t>
      </w:r>
      <w:r w:rsidRPr="005B5670">
        <w:rPr>
          <w:b w:val="0"/>
          <w:bCs w:val="0"/>
          <w:sz w:val="20"/>
          <w:szCs w:val="20"/>
        </w:rPr>
        <w:t>varieties</w:t>
      </w:r>
      <w:bookmarkEnd w:id="108"/>
    </w:p>
    <w:p w14:paraId="217BAD5A" w14:textId="77777777" w:rsidR="0019038E" w:rsidRPr="002932E6" w:rsidRDefault="0019038E" w:rsidP="0019038E">
      <w:pPr>
        <w:autoSpaceDE w:val="0"/>
        <w:autoSpaceDN w:val="0"/>
        <w:adjustRightInd w:val="0"/>
        <w:spacing w:afterLines="280" w:after="672" w:line="360" w:lineRule="auto"/>
        <w:ind w:firstLine="720"/>
        <w:jc w:val="lowKashida"/>
        <w:rPr>
          <w:color w:val="000000"/>
          <w:shd w:val="clear" w:color="auto" w:fill="FFFFFF"/>
        </w:rPr>
      </w:pPr>
    </w:p>
    <w:p w14:paraId="20B622CC" w14:textId="77777777" w:rsidR="0019038E" w:rsidRPr="002932E6" w:rsidRDefault="0019038E" w:rsidP="0019038E">
      <w:pPr>
        <w:autoSpaceDE w:val="0"/>
        <w:autoSpaceDN w:val="0"/>
        <w:adjustRightInd w:val="0"/>
        <w:spacing w:afterLines="280" w:after="672" w:line="360" w:lineRule="auto"/>
        <w:jc w:val="lowKashida"/>
        <w:rPr>
          <w:color w:val="000000"/>
          <w:shd w:val="clear" w:color="auto" w:fill="FFFFFF"/>
        </w:rPr>
      </w:pPr>
    </w:p>
    <w:p w14:paraId="0661C26E" w14:textId="77777777" w:rsidR="0019038E" w:rsidRDefault="0019038E" w:rsidP="0019038E">
      <w:pPr>
        <w:keepNext/>
        <w:autoSpaceDE w:val="0"/>
        <w:autoSpaceDN w:val="0"/>
        <w:adjustRightInd w:val="0"/>
        <w:spacing w:afterLines="280" w:after="672" w:line="360" w:lineRule="auto"/>
        <w:ind w:firstLine="720"/>
        <w:jc w:val="lowKashida"/>
      </w:pPr>
      <w:r w:rsidRPr="002932E6">
        <w:rPr>
          <w:noProof/>
          <w:color w:val="000000"/>
          <w:shd w:val="clear" w:color="auto" w:fill="FFFFFF"/>
        </w:rPr>
        <w:lastRenderedPageBreak/>
        <w:drawing>
          <wp:inline distT="0" distB="0" distL="0" distR="0" wp14:anchorId="4985A16C" wp14:editId="268E75AA">
            <wp:extent cx="6143625" cy="3441065"/>
            <wp:effectExtent l="0" t="0" r="3175" b="63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pic:cNvPicPr/>
                  </pic:nvPicPr>
                  <pic:blipFill>
                    <a:blip r:embed="rId36">
                      <a:extLst>
                        <a:ext uri="{28A0092B-C50C-407E-A947-70E740481C1C}">
                          <a14:useLocalDpi xmlns:a14="http://schemas.microsoft.com/office/drawing/2010/main" val="0"/>
                        </a:ext>
                      </a:extLst>
                    </a:blip>
                    <a:stretch>
                      <a:fillRect/>
                    </a:stretch>
                  </pic:blipFill>
                  <pic:spPr>
                    <a:xfrm>
                      <a:off x="0" y="0"/>
                      <a:ext cx="6150113" cy="3444699"/>
                    </a:xfrm>
                    <a:prstGeom prst="rect">
                      <a:avLst/>
                    </a:prstGeom>
                  </pic:spPr>
                </pic:pic>
              </a:graphicData>
            </a:graphic>
          </wp:inline>
        </w:drawing>
      </w:r>
    </w:p>
    <w:p w14:paraId="6F6CB306" w14:textId="47EF6FE3" w:rsidR="0019038E" w:rsidRPr="005B5670" w:rsidRDefault="0019038E" w:rsidP="0019038E">
      <w:pPr>
        <w:autoSpaceDE w:val="0"/>
        <w:autoSpaceDN w:val="0"/>
        <w:adjustRightInd w:val="0"/>
        <w:spacing w:afterLines="280" w:after="672" w:line="360" w:lineRule="auto"/>
        <w:jc w:val="lowKashida"/>
        <w:rPr>
          <w:sz w:val="20"/>
          <w:szCs w:val="20"/>
        </w:rPr>
      </w:pPr>
      <w:bookmarkStart w:id="109" w:name="_Toc83751366"/>
      <w:r w:rsidRPr="00740C1B">
        <w:rPr>
          <w:sz w:val="20"/>
          <w:szCs w:val="20"/>
        </w:rPr>
        <w:t xml:space="preserve">Figure </w:t>
      </w:r>
      <w:r w:rsidR="00843EDC">
        <w:rPr>
          <w:sz w:val="20"/>
          <w:szCs w:val="20"/>
        </w:rPr>
        <w:fldChar w:fldCharType="begin"/>
      </w:r>
      <w:r w:rsidR="00843EDC">
        <w:rPr>
          <w:sz w:val="20"/>
          <w:szCs w:val="20"/>
        </w:rPr>
        <w:instrText xml:space="preserve"> STYLEREF 1 \s </w:instrText>
      </w:r>
      <w:r w:rsidR="00843EDC">
        <w:rPr>
          <w:sz w:val="20"/>
          <w:szCs w:val="20"/>
        </w:rPr>
        <w:fldChar w:fldCharType="separate"/>
      </w:r>
      <w:r w:rsidR="00843EDC">
        <w:rPr>
          <w:noProof/>
          <w:sz w:val="20"/>
          <w:szCs w:val="20"/>
          <w:cs/>
        </w:rPr>
        <w:t>‎</w:t>
      </w:r>
      <w:r w:rsidR="00843EDC">
        <w:rPr>
          <w:noProof/>
          <w:sz w:val="20"/>
          <w:szCs w:val="20"/>
        </w:rPr>
        <w:t>3</w:t>
      </w:r>
      <w:r w:rsidR="00843EDC">
        <w:rPr>
          <w:sz w:val="20"/>
          <w:szCs w:val="20"/>
        </w:rPr>
        <w:fldChar w:fldCharType="end"/>
      </w:r>
      <w:r w:rsidR="00843EDC">
        <w:rPr>
          <w:sz w:val="20"/>
          <w:szCs w:val="20"/>
        </w:rPr>
        <w:t>.</w:t>
      </w:r>
      <w:r w:rsidR="00843EDC">
        <w:rPr>
          <w:sz w:val="20"/>
          <w:szCs w:val="20"/>
        </w:rPr>
        <w:fldChar w:fldCharType="begin"/>
      </w:r>
      <w:r w:rsidR="00843EDC">
        <w:rPr>
          <w:sz w:val="20"/>
          <w:szCs w:val="20"/>
        </w:rPr>
        <w:instrText xml:space="preserve"> SEQ Figure \* ARABIC \s 1 </w:instrText>
      </w:r>
      <w:r w:rsidR="00843EDC">
        <w:rPr>
          <w:sz w:val="20"/>
          <w:szCs w:val="20"/>
        </w:rPr>
        <w:fldChar w:fldCharType="separate"/>
      </w:r>
      <w:r w:rsidR="00843EDC">
        <w:rPr>
          <w:noProof/>
          <w:sz w:val="20"/>
          <w:szCs w:val="20"/>
        </w:rPr>
        <w:t>10</w:t>
      </w:r>
      <w:r w:rsidR="00843EDC">
        <w:rPr>
          <w:sz w:val="20"/>
          <w:szCs w:val="20"/>
        </w:rPr>
        <w:fldChar w:fldCharType="end"/>
      </w:r>
      <w:r w:rsidRPr="005B5670">
        <w:rPr>
          <w:sz w:val="20"/>
          <w:szCs w:val="20"/>
        </w:rPr>
        <w:t xml:space="preserve"> </w:t>
      </w:r>
      <w:r w:rsidRPr="005B5670">
        <w:rPr>
          <w:color w:val="000000"/>
          <w:sz w:val="20"/>
          <w:szCs w:val="20"/>
        </w:rPr>
        <w:t xml:space="preserve">Maximum likelihood method phylogenetic tree </w:t>
      </w:r>
      <w:r w:rsidRPr="005B5670">
        <w:rPr>
          <w:sz w:val="20"/>
          <w:szCs w:val="20"/>
        </w:rPr>
        <w:t xml:space="preserve">of RBCL for 18 </w:t>
      </w:r>
      <w:r w:rsidRPr="005B5670">
        <w:rPr>
          <w:i/>
          <w:iCs/>
          <w:sz w:val="20"/>
          <w:szCs w:val="20"/>
        </w:rPr>
        <w:t xml:space="preserve">Zea mays </w:t>
      </w:r>
      <w:r w:rsidRPr="005B5670">
        <w:rPr>
          <w:sz w:val="20"/>
          <w:szCs w:val="20"/>
        </w:rPr>
        <w:t>varieties along with heat map</w:t>
      </w:r>
      <w:bookmarkEnd w:id="109"/>
    </w:p>
    <w:p w14:paraId="381CEECE" w14:textId="77777777" w:rsidR="0019038E" w:rsidRPr="002932E6" w:rsidRDefault="0019038E" w:rsidP="0019038E">
      <w:pPr>
        <w:pStyle w:val="Caption"/>
        <w:jc w:val="lowKashida"/>
        <w:rPr>
          <w:color w:val="000000"/>
          <w:sz w:val="24"/>
          <w:szCs w:val="24"/>
          <w:shd w:val="clear" w:color="auto" w:fill="FFFFFF"/>
        </w:rPr>
      </w:pPr>
    </w:p>
    <w:p w14:paraId="490237F7" w14:textId="77777777" w:rsidR="0019038E" w:rsidRPr="002932E6" w:rsidRDefault="0019038E" w:rsidP="005311CB">
      <w:pPr>
        <w:pStyle w:val="mythesis"/>
      </w:pPr>
      <w:r w:rsidRPr="002932E6">
        <w:t>The phylogenetic tree consists of two large clades. Each clade comprised 9 varieties. However, the upper clade consists of two clusters. It is also noticeable that the lower clade has no branches at all, the lower clade which contains genetically closely related varieties No.2,15,7,16,12,10,9,5 and 8 showed discrepancy in the mycorrhizal responsiveness, whereases most of them were responded and few did not. And it was clearly that No.8 was negatively responsiveness with average (- 0.7).</w:t>
      </w:r>
    </w:p>
    <w:p w14:paraId="7529E47B" w14:textId="77777777" w:rsidR="0019038E" w:rsidRPr="005B5670" w:rsidRDefault="0019038E" w:rsidP="005311CB">
      <w:pPr>
        <w:pStyle w:val="mythesis"/>
      </w:pPr>
      <w:r w:rsidRPr="002932E6">
        <w:t>The upper clade which included varieties NO.14,3,4,17,6,1,11,13 and 18 presented a differ mycorrhizal responsiveness, where most of them were not responded and only three were responded in different ways, where No. 3 was the most responsiveness at all with average (1.9845). which is indicative of an, even more, close evolutionary relationship among members of this clade.</w:t>
      </w:r>
    </w:p>
    <w:p w14:paraId="632F3625" w14:textId="77777777" w:rsidR="0019038E" w:rsidRDefault="0019038E" w:rsidP="0019038E">
      <w:pPr>
        <w:pStyle w:val="Heading3"/>
      </w:pPr>
      <w:bookmarkStart w:id="110" w:name="_Toc83751464"/>
      <w:r w:rsidRPr="002932E6">
        <w:lastRenderedPageBreak/>
        <w:t>3.3.5 ISSR fingerprint phylogeny relationship</w:t>
      </w:r>
      <w:bookmarkEnd w:id="110"/>
    </w:p>
    <w:p w14:paraId="253D2633" w14:textId="77777777" w:rsidR="0019038E" w:rsidRDefault="0019038E" w:rsidP="0019038E"/>
    <w:p w14:paraId="35EF3690" w14:textId="77777777" w:rsidR="0019038E" w:rsidRPr="00505ED4" w:rsidRDefault="0019038E" w:rsidP="0019038E"/>
    <w:p w14:paraId="350D0975" w14:textId="77777777" w:rsidR="0019038E" w:rsidRDefault="0019038E" w:rsidP="0019038E">
      <w:pPr>
        <w:keepNext/>
        <w:spacing w:afterLines="280" w:after="672" w:line="360" w:lineRule="auto"/>
        <w:jc w:val="lowKashida"/>
      </w:pPr>
      <w:r>
        <w:t xml:space="preserve">          </w:t>
      </w:r>
      <w:r w:rsidRPr="002932E6">
        <w:rPr>
          <w:noProof/>
        </w:rPr>
        <w:drawing>
          <wp:inline distT="0" distB="0" distL="0" distR="0" wp14:anchorId="4244D4E6" wp14:editId="65A842BC">
            <wp:extent cx="4813300" cy="27305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7">
                      <a:extLst>
                        <a:ext uri="{28A0092B-C50C-407E-A947-70E740481C1C}">
                          <a14:useLocalDpi xmlns:a14="http://schemas.microsoft.com/office/drawing/2010/main" val="0"/>
                        </a:ext>
                      </a:extLst>
                    </a:blip>
                    <a:stretch>
                      <a:fillRect/>
                    </a:stretch>
                  </pic:blipFill>
                  <pic:spPr>
                    <a:xfrm>
                      <a:off x="0" y="0"/>
                      <a:ext cx="4813300" cy="2730500"/>
                    </a:xfrm>
                    <a:prstGeom prst="rect">
                      <a:avLst/>
                    </a:prstGeom>
                  </pic:spPr>
                </pic:pic>
              </a:graphicData>
            </a:graphic>
          </wp:inline>
        </w:drawing>
      </w:r>
    </w:p>
    <w:p w14:paraId="50308A7F" w14:textId="4AF732DF" w:rsidR="0019038E" w:rsidRDefault="0019038E" w:rsidP="0019038E">
      <w:pPr>
        <w:pStyle w:val="Caption"/>
        <w:jc w:val="center"/>
        <w:rPr>
          <w:b w:val="0"/>
          <w:bCs w:val="0"/>
          <w:color w:val="000000" w:themeColor="text1"/>
          <w:sz w:val="20"/>
          <w:szCs w:val="20"/>
        </w:rPr>
      </w:pPr>
      <w:bookmarkStart w:id="111" w:name="_Toc83751367"/>
      <w:r w:rsidRPr="00ED12B1">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3</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11</w:t>
      </w:r>
      <w:r w:rsidR="00843EDC">
        <w:rPr>
          <w:b w:val="0"/>
          <w:bCs w:val="0"/>
          <w:sz w:val="20"/>
          <w:szCs w:val="20"/>
        </w:rPr>
        <w:fldChar w:fldCharType="end"/>
      </w:r>
      <w:r w:rsidRPr="005B5670">
        <w:rPr>
          <w:b w:val="0"/>
          <w:bCs w:val="0"/>
          <w:sz w:val="20"/>
          <w:szCs w:val="20"/>
        </w:rPr>
        <w:t xml:space="preserve"> </w:t>
      </w:r>
      <w:r w:rsidRPr="005B5670">
        <w:rPr>
          <w:b w:val="0"/>
          <w:bCs w:val="0"/>
          <w:color w:val="000000" w:themeColor="text1"/>
          <w:sz w:val="20"/>
          <w:szCs w:val="20"/>
        </w:rPr>
        <w:t xml:space="preserve">PCR amplification profile of 18 </w:t>
      </w:r>
      <w:r w:rsidRPr="005B5670">
        <w:rPr>
          <w:b w:val="0"/>
          <w:bCs w:val="0"/>
          <w:i/>
          <w:iCs/>
          <w:color w:val="000000" w:themeColor="text1"/>
          <w:sz w:val="20"/>
          <w:szCs w:val="20"/>
        </w:rPr>
        <w:t>Zea mays</w:t>
      </w:r>
      <w:r w:rsidRPr="005B5670">
        <w:rPr>
          <w:b w:val="0"/>
          <w:bCs w:val="0"/>
          <w:color w:val="000000" w:themeColor="text1"/>
          <w:sz w:val="20"/>
          <w:szCs w:val="20"/>
        </w:rPr>
        <w:t xml:space="preserve"> cultivars using (17898A) primer</w:t>
      </w:r>
      <w:bookmarkEnd w:id="111"/>
    </w:p>
    <w:p w14:paraId="713DFE6E" w14:textId="77777777" w:rsidR="0019038E" w:rsidRDefault="0019038E" w:rsidP="0019038E"/>
    <w:p w14:paraId="7256A90F" w14:textId="77777777" w:rsidR="0019038E" w:rsidRPr="005B5670" w:rsidRDefault="0019038E" w:rsidP="0019038E"/>
    <w:p w14:paraId="01A0A242" w14:textId="77777777" w:rsidR="0019038E" w:rsidRDefault="0019038E" w:rsidP="0019038E">
      <w:pPr>
        <w:keepNext/>
        <w:spacing w:afterLines="280" w:after="672" w:line="360" w:lineRule="auto"/>
        <w:jc w:val="lowKashida"/>
      </w:pPr>
      <w:r>
        <w:t xml:space="preserve">                        </w:t>
      </w:r>
      <w:r w:rsidRPr="002932E6">
        <w:rPr>
          <w:noProof/>
        </w:rPr>
        <w:drawing>
          <wp:inline distT="0" distB="0" distL="0" distR="0" wp14:anchorId="03151592" wp14:editId="5AE92B66">
            <wp:extent cx="3979333" cy="224092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981143" cy="2241945"/>
                    </a:xfrm>
                    <a:prstGeom prst="rect">
                      <a:avLst/>
                    </a:prstGeom>
                  </pic:spPr>
                </pic:pic>
              </a:graphicData>
            </a:graphic>
          </wp:inline>
        </w:drawing>
      </w:r>
    </w:p>
    <w:p w14:paraId="0A7D708F" w14:textId="0B23C840" w:rsidR="0019038E" w:rsidRPr="005B5670" w:rsidRDefault="0019038E" w:rsidP="0019038E">
      <w:pPr>
        <w:pStyle w:val="Caption"/>
        <w:jc w:val="center"/>
        <w:rPr>
          <w:b w:val="0"/>
          <w:bCs w:val="0"/>
          <w:sz w:val="20"/>
          <w:szCs w:val="20"/>
        </w:rPr>
      </w:pPr>
      <w:bookmarkStart w:id="112" w:name="_Toc83751368"/>
      <w:r w:rsidRPr="00ED12B1">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3</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12</w:t>
      </w:r>
      <w:r w:rsidR="00843EDC">
        <w:rPr>
          <w:b w:val="0"/>
          <w:bCs w:val="0"/>
          <w:sz w:val="20"/>
          <w:szCs w:val="20"/>
        </w:rPr>
        <w:fldChar w:fldCharType="end"/>
      </w:r>
      <w:r w:rsidRPr="005B5670">
        <w:rPr>
          <w:b w:val="0"/>
          <w:bCs w:val="0"/>
          <w:sz w:val="20"/>
          <w:szCs w:val="20"/>
        </w:rPr>
        <w:t xml:space="preserve"> </w:t>
      </w:r>
      <w:r w:rsidRPr="005B5670">
        <w:rPr>
          <w:b w:val="0"/>
          <w:bCs w:val="0"/>
          <w:color w:val="000000" w:themeColor="text1"/>
          <w:sz w:val="20"/>
          <w:szCs w:val="20"/>
        </w:rPr>
        <w:t xml:space="preserve">ISSR </w:t>
      </w:r>
      <w:r w:rsidRPr="005B5670">
        <w:rPr>
          <w:rFonts w:eastAsiaTheme="minorHAnsi"/>
          <w:b w:val="0"/>
          <w:bCs w:val="0"/>
          <w:color w:val="000000" w:themeColor="text1"/>
          <w:sz w:val="20"/>
          <w:szCs w:val="20"/>
        </w:rPr>
        <w:t xml:space="preserve">Phylogenetic tree </w:t>
      </w:r>
      <w:r w:rsidRPr="005B5670">
        <w:rPr>
          <w:b w:val="0"/>
          <w:bCs w:val="0"/>
          <w:color w:val="000000" w:themeColor="text1"/>
          <w:sz w:val="20"/>
          <w:szCs w:val="20"/>
        </w:rPr>
        <w:t xml:space="preserve">of 18 </w:t>
      </w:r>
      <w:r w:rsidRPr="005B5670">
        <w:rPr>
          <w:b w:val="0"/>
          <w:bCs w:val="0"/>
          <w:i/>
          <w:iCs/>
          <w:color w:val="000000" w:themeColor="text1"/>
          <w:sz w:val="20"/>
          <w:szCs w:val="20"/>
        </w:rPr>
        <w:t>Zea mays</w:t>
      </w:r>
      <w:r w:rsidRPr="005B5670">
        <w:rPr>
          <w:b w:val="0"/>
          <w:bCs w:val="0"/>
          <w:color w:val="000000" w:themeColor="text1"/>
          <w:sz w:val="20"/>
          <w:szCs w:val="20"/>
        </w:rPr>
        <w:t xml:space="preserve"> cultivars using (17898A) primer</w:t>
      </w:r>
      <w:bookmarkEnd w:id="112"/>
    </w:p>
    <w:p w14:paraId="0953C25F" w14:textId="77777777" w:rsidR="0019038E" w:rsidRPr="002932E6" w:rsidRDefault="0019038E" w:rsidP="0019038E">
      <w:pPr>
        <w:spacing w:afterLines="280" w:after="672" w:line="360" w:lineRule="auto"/>
        <w:jc w:val="lowKashida"/>
      </w:pPr>
    </w:p>
    <w:p w14:paraId="6D5459C3" w14:textId="77777777" w:rsidR="0019038E" w:rsidRDefault="0019038E" w:rsidP="0019038E">
      <w:pPr>
        <w:keepNext/>
        <w:spacing w:afterLines="280" w:after="672" w:line="360" w:lineRule="auto"/>
        <w:jc w:val="lowKashida"/>
      </w:pPr>
      <w:r w:rsidRPr="002932E6">
        <w:rPr>
          <w:noProof/>
        </w:rPr>
        <w:lastRenderedPageBreak/>
        <w:drawing>
          <wp:inline distT="0" distB="0" distL="0" distR="0" wp14:anchorId="3E32CC16" wp14:editId="3DCC4547">
            <wp:extent cx="5511800" cy="32004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9">
                      <a:extLst>
                        <a:ext uri="{28A0092B-C50C-407E-A947-70E740481C1C}">
                          <a14:useLocalDpi xmlns:a14="http://schemas.microsoft.com/office/drawing/2010/main" val="0"/>
                        </a:ext>
                      </a:extLst>
                    </a:blip>
                    <a:stretch>
                      <a:fillRect/>
                    </a:stretch>
                  </pic:blipFill>
                  <pic:spPr>
                    <a:xfrm>
                      <a:off x="0" y="0"/>
                      <a:ext cx="5511800" cy="3200400"/>
                    </a:xfrm>
                    <a:prstGeom prst="rect">
                      <a:avLst/>
                    </a:prstGeom>
                  </pic:spPr>
                </pic:pic>
              </a:graphicData>
            </a:graphic>
          </wp:inline>
        </w:drawing>
      </w:r>
    </w:p>
    <w:p w14:paraId="58048C94" w14:textId="66D96BD6" w:rsidR="0019038E" w:rsidRPr="005B5670" w:rsidRDefault="0019038E" w:rsidP="0019038E">
      <w:pPr>
        <w:pStyle w:val="Caption"/>
        <w:jc w:val="center"/>
        <w:rPr>
          <w:b w:val="0"/>
          <w:bCs w:val="0"/>
          <w:sz w:val="20"/>
          <w:szCs w:val="20"/>
        </w:rPr>
      </w:pPr>
      <w:bookmarkStart w:id="113" w:name="_Toc83751369"/>
      <w:r w:rsidRPr="00ED12B1">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3</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13</w:t>
      </w:r>
      <w:r w:rsidR="00843EDC">
        <w:rPr>
          <w:b w:val="0"/>
          <w:bCs w:val="0"/>
          <w:sz w:val="20"/>
          <w:szCs w:val="20"/>
        </w:rPr>
        <w:fldChar w:fldCharType="end"/>
      </w:r>
      <w:r w:rsidRPr="005B5670">
        <w:rPr>
          <w:b w:val="0"/>
          <w:bCs w:val="0"/>
          <w:sz w:val="20"/>
          <w:szCs w:val="20"/>
        </w:rPr>
        <w:t xml:space="preserve"> </w:t>
      </w:r>
      <w:r w:rsidRPr="005B5670">
        <w:rPr>
          <w:b w:val="0"/>
          <w:bCs w:val="0"/>
          <w:color w:val="000000" w:themeColor="text1"/>
          <w:sz w:val="20"/>
          <w:szCs w:val="20"/>
        </w:rPr>
        <w:t xml:space="preserve">PCR amplification profile of 18 </w:t>
      </w:r>
      <w:r w:rsidRPr="005B5670">
        <w:rPr>
          <w:b w:val="0"/>
          <w:bCs w:val="0"/>
          <w:i/>
          <w:iCs/>
          <w:color w:val="000000" w:themeColor="text1"/>
          <w:sz w:val="20"/>
          <w:szCs w:val="20"/>
        </w:rPr>
        <w:t>Zea mays</w:t>
      </w:r>
      <w:r w:rsidRPr="005B5670">
        <w:rPr>
          <w:b w:val="0"/>
          <w:bCs w:val="0"/>
          <w:color w:val="000000" w:themeColor="text1"/>
          <w:sz w:val="20"/>
          <w:szCs w:val="20"/>
        </w:rPr>
        <w:t xml:space="preserve"> cultivars using (17898B) primer</w:t>
      </w:r>
      <w:bookmarkEnd w:id="113"/>
    </w:p>
    <w:p w14:paraId="4192003A" w14:textId="77777777" w:rsidR="0019038E" w:rsidRDefault="0019038E" w:rsidP="0019038E">
      <w:pPr>
        <w:spacing w:afterLines="280" w:after="672" w:line="360" w:lineRule="auto"/>
        <w:jc w:val="lowKashida"/>
      </w:pPr>
    </w:p>
    <w:p w14:paraId="191F9195" w14:textId="77777777" w:rsidR="0019038E" w:rsidRDefault="0019038E" w:rsidP="0019038E">
      <w:pPr>
        <w:keepNext/>
        <w:spacing w:afterLines="280" w:after="672" w:line="360" w:lineRule="auto"/>
        <w:jc w:val="lowKashida"/>
      </w:pPr>
      <w:r w:rsidRPr="002932E6">
        <w:rPr>
          <w:noProof/>
        </w:rPr>
        <w:drawing>
          <wp:inline distT="0" distB="0" distL="0" distR="0" wp14:anchorId="608A941A" wp14:editId="3F608515">
            <wp:extent cx="5460549" cy="3035388"/>
            <wp:effectExtent l="0" t="0" r="635" b="0"/>
            <wp:docPr id="49" name="Picture 49"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box and whisker chart&#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70479" cy="3040908"/>
                    </a:xfrm>
                    <a:prstGeom prst="rect">
                      <a:avLst/>
                    </a:prstGeom>
                  </pic:spPr>
                </pic:pic>
              </a:graphicData>
            </a:graphic>
          </wp:inline>
        </w:drawing>
      </w:r>
    </w:p>
    <w:p w14:paraId="6B20B2CE" w14:textId="4C6D20FE" w:rsidR="0019038E" w:rsidRPr="005B5670" w:rsidRDefault="0019038E" w:rsidP="0019038E">
      <w:pPr>
        <w:pStyle w:val="Caption"/>
        <w:jc w:val="center"/>
        <w:rPr>
          <w:b w:val="0"/>
          <w:bCs w:val="0"/>
          <w:sz w:val="20"/>
          <w:szCs w:val="20"/>
        </w:rPr>
      </w:pPr>
      <w:bookmarkStart w:id="114" w:name="_Toc83751370"/>
      <w:r w:rsidRPr="00ED12B1">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3</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14</w:t>
      </w:r>
      <w:r w:rsidR="00843EDC">
        <w:rPr>
          <w:b w:val="0"/>
          <w:bCs w:val="0"/>
          <w:sz w:val="20"/>
          <w:szCs w:val="20"/>
        </w:rPr>
        <w:fldChar w:fldCharType="end"/>
      </w:r>
      <w:r w:rsidRPr="005B5670">
        <w:rPr>
          <w:b w:val="0"/>
          <w:bCs w:val="0"/>
          <w:sz w:val="20"/>
          <w:szCs w:val="20"/>
        </w:rPr>
        <w:t xml:space="preserve"> ISSR</w:t>
      </w:r>
      <w:r w:rsidRPr="005B5670">
        <w:rPr>
          <w:b w:val="0"/>
          <w:bCs w:val="0"/>
          <w:color w:val="000000" w:themeColor="text1"/>
          <w:sz w:val="20"/>
          <w:szCs w:val="20"/>
        </w:rPr>
        <w:t xml:space="preserve"> </w:t>
      </w:r>
      <w:r w:rsidRPr="005B5670">
        <w:rPr>
          <w:rFonts w:eastAsiaTheme="minorHAnsi"/>
          <w:b w:val="0"/>
          <w:bCs w:val="0"/>
          <w:color w:val="000000" w:themeColor="text1"/>
          <w:sz w:val="20"/>
          <w:szCs w:val="20"/>
        </w:rPr>
        <w:t xml:space="preserve">Phylogenetic tree </w:t>
      </w:r>
      <w:r w:rsidRPr="005B5670">
        <w:rPr>
          <w:b w:val="0"/>
          <w:bCs w:val="0"/>
          <w:color w:val="000000" w:themeColor="text1"/>
          <w:sz w:val="20"/>
          <w:szCs w:val="20"/>
        </w:rPr>
        <w:t xml:space="preserve">of 18 </w:t>
      </w:r>
      <w:r w:rsidRPr="005B5670">
        <w:rPr>
          <w:b w:val="0"/>
          <w:bCs w:val="0"/>
          <w:i/>
          <w:iCs/>
          <w:color w:val="000000" w:themeColor="text1"/>
          <w:sz w:val="20"/>
          <w:szCs w:val="20"/>
        </w:rPr>
        <w:t>Zea mays</w:t>
      </w:r>
      <w:r w:rsidRPr="005B5670">
        <w:rPr>
          <w:b w:val="0"/>
          <w:bCs w:val="0"/>
          <w:color w:val="000000" w:themeColor="text1"/>
          <w:sz w:val="20"/>
          <w:szCs w:val="20"/>
        </w:rPr>
        <w:t xml:space="preserve"> cultivars using (17898B) primer</w:t>
      </w:r>
      <w:bookmarkEnd w:id="114"/>
    </w:p>
    <w:p w14:paraId="60787315" w14:textId="77777777" w:rsidR="0019038E" w:rsidRPr="002932E6" w:rsidRDefault="0019038E" w:rsidP="0019038E">
      <w:pPr>
        <w:spacing w:afterLines="280" w:after="672" w:line="360" w:lineRule="auto"/>
        <w:jc w:val="lowKashida"/>
      </w:pPr>
      <w:r>
        <w:t xml:space="preserve">         </w:t>
      </w:r>
    </w:p>
    <w:p w14:paraId="07E3DC5A" w14:textId="77777777" w:rsidR="0019038E" w:rsidRDefault="0019038E" w:rsidP="0019038E">
      <w:pPr>
        <w:keepNext/>
        <w:spacing w:afterLines="280" w:after="672" w:line="360" w:lineRule="auto"/>
        <w:jc w:val="lowKashida"/>
      </w:pPr>
      <w:r>
        <w:lastRenderedPageBreak/>
        <w:t xml:space="preserve">        </w:t>
      </w:r>
      <w:r w:rsidRPr="002932E6">
        <w:rPr>
          <w:noProof/>
        </w:rPr>
        <w:drawing>
          <wp:inline distT="0" distB="0" distL="0" distR="0" wp14:anchorId="74DE5616" wp14:editId="10997392">
            <wp:extent cx="4991100" cy="32131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1">
                      <a:extLst>
                        <a:ext uri="{28A0092B-C50C-407E-A947-70E740481C1C}">
                          <a14:useLocalDpi xmlns:a14="http://schemas.microsoft.com/office/drawing/2010/main" val="0"/>
                        </a:ext>
                      </a:extLst>
                    </a:blip>
                    <a:stretch>
                      <a:fillRect/>
                    </a:stretch>
                  </pic:blipFill>
                  <pic:spPr>
                    <a:xfrm>
                      <a:off x="0" y="0"/>
                      <a:ext cx="4991100" cy="3213100"/>
                    </a:xfrm>
                    <a:prstGeom prst="rect">
                      <a:avLst/>
                    </a:prstGeom>
                  </pic:spPr>
                </pic:pic>
              </a:graphicData>
            </a:graphic>
          </wp:inline>
        </w:drawing>
      </w:r>
    </w:p>
    <w:p w14:paraId="4B891581" w14:textId="226E273C" w:rsidR="0019038E" w:rsidRDefault="0019038E" w:rsidP="0019038E">
      <w:pPr>
        <w:pStyle w:val="Caption"/>
        <w:jc w:val="center"/>
        <w:rPr>
          <w:b w:val="0"/>
          <w:bCs w:val="0"/>
          <w:color w:val="000000" w:themeColor="text1"/>
          <w:sz w:val="20"/>
          <w:szCs w:val="20"/>
        </w:rPr>
      </w:pPr>
      <w:r w:rsidRPr="00ED12B1">
        <w:rPr>
          <w:b w:val="0"/>
          <w:bCs w:val="0"/>
          <w:sz w:val="20"/>
          <w:szCs w:val="20"/>
        </w:rPr>
        <w:t xml:space="preserve">  </w:t>
      </w:r>
      <w:bookmarkStart w:id="115" w:name="_Toc83751371"/>
      <w:r w:rsidRPr="00ED12B1">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3</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15</w:t>
      </w:r>
      <w:r w:rsidR="00843EDC">
        <w:rPr>
          <w:b w:val="0"/>
          <w:bCs w:val="0"/>
          <w:sz w:val="20"/>
          <w:szCs w:val="20"/>
        </w:rPr>
        <w:fldChar w:fldCharType="end"/>
      </w:r>
      <w:r w:rsidRPr="005B5670">
        <w:rPr>
          <w:b w:val="0"/>
          <w:bCs w:val="0"/>
          <w:sz w:val="20"/>
          <w:szCs w:val="20"/>
        </w:rPr>
        <w:t xml:space="preserve"> PCR</w:t>
      </w:r>
      <w:r w:rsidRPr="005B5670">
        <w:rPr>
          <w:b w:val="0"/>
          <w:bCs w:val="0"/>
          <w:color w:val="000000" w:themeColor="text1"/>
          <w:sz w:val="20"/>
          <w:szCs w:val="20"/>
        </w:rPr>
        <w:t xml:space="preserve"> amplification profile of 18 </w:t>
      </w:r>
      <w:r w:rsidRPr="005B5670">
        <w:rPr>
          <w:b w:val="0"/>
          <w:bCs w:val="0"/>
          <w:i/>
          <w:iCs/>
          <w:color w:val="000000" w:themeColor="text1"/>
          <w:sz w:val="20"/>
          <w:szCs w:val="20"/>
        </w:rPr>
        <w:t>Zea mays</w:t>
      </w:r>
      <w:r w:rsidRPr="005B5670">
        <w:rPr>
          <w:b w:val="0"/>
          <w:bCs w:val="0"/>
          <w:color w:val="000000" w:themeColor="text1"/>
          <w:sz w:val="20"/>
          <w:szCs w:val="20"/>
        </w:rPr>
        <w:t xml:space="preserve"> cultivars using (17899A) primer</w:t>
      </w:r>
      <w:bookmarkEnd w:id="115"/>
    </w:p>
    <w:p w14:paraId="650AC12A" w14:textId="77777777" w:rsidR="0019038E" w:rsidRPr="005B5670" w:rsidRDefault="0019038E" w:rsidP="0019038E"/>
    <w:p w14:paraId="68A15726" w14:textId="77777777" w:rsidR="0019038E" w:rsidRPr="005B5670" w:rsidRDefault="0019038E" w:rsidP="0019038E"/>
    <w:p w14:paraId="1099466B" w14:textId="77777777" w:rsidR="0019038E" w:rsidRDefault="0019038E" w:rsidP="0019038E">
      <w:pPr>
        <w:keepNext/>
        <w:spacing w:afterLines="280" w:after="672" w:line="360" w:lineRule="auto"/>
        <w:jc w:val="lowKashida"/>
      </w:pPr>
      <w:r w:rsidRPr="002932E6">
        <w:rPr>
          <w:b/>
          <w:bCs/>
          <w:noProof/>
        </w:rPr>
        <w:drawing>
          <wp:inline distT="0" distB="0" distL="0" distR="0" wp14:anchorId="69F358F7" wp14:editId="37A8ED06">
            <wp:extent cx="5943600" cy="329247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3292475"/>
                    </a:xfrm>
                    <a:prstGeom prst="rect">
                      <a:avLst/>
                    </a:prstGeom>
                  </pic:spPr>
                </pic:pic>
              </a:graphicData>
            </a:graphic>
          </wp:inline>
        </w:drawing>
      </w:r>
    </w:p>
    <w:p w14:paraId="632F22C7" w14:textId="3544B610" w:rsidR="0019038E" w:rsidRPr="005B5670" w:rsidRDefault="0019038E" w:rsidP="0019038E">
      <w:pPr>
        <w:pStyle w:val="Caption"/>
        <w:jc w:val="center"/>
        <w:rPr>
          <w:b w:val="0"/>
          <w:bCs w:val="0"/>
          <w:sz w:val="20"/>
          <w:szCs w:val="20"/>
        </w:rPr>
      </w:pPr>
      <w:bookmarkStart w:id="116" w:name="_Toc83751372"/>
      <w:r w:rsidRPr="00ED12B1">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3</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16</w:t>
      </w:r>
      <w:r w:rsidR="00843EDC">
        <w:rPr>
          <w:b w:val="0"/>
          <w:bCs w:val="0"/>
          <w:sz w:val="20"/>
          <w:szCs w:val="20"/>
        </w:rPr>
        <w:fldChar w:fldCharType="end"/>
      </w:r>
      <w:r w:rsidRPr="005B5670">
        <w:rPr>
          <w:b w:val="0"/>
          <w:bCs w:val="0"/>
          <w:sz w:val="20"/>
          <w:szCs w:val="20"/>
        </w:rPr>
        <w:t xml:space="preserve"> ISSR</w:t>
      </w:r>
      <w:r w:rsidRPr="005B5670">
        <w:rPr>
          <w:b w:val="0"/>
          <w:bCs w:val="0"/>
          <w:color w:val="000000" w:themeColor="text1"/>
          <w:sz w:val="20"/>
          <w:szCs w:val="20"/>
        </w:rPr>
        <w:t xml:space="preserve"> </w:t>
      </w:r>
      <w:r w:rsidRPr="005B5670">
        <w:rPr>
          <w:rFonts w:eastAsiaTheme="minorHAnsi"/>
          <w:b w:val="0"/>
          <w:bCs w:val="0"/>
          <w:color w:val="000000" w:themeColor="text1"/>
          <w:sz w:val="20"/>
          <w:szCs w:val="20"/>
        </w:rPr>
        <w:t xml:space="preserve">Phylogenetic tree </w:t>
      </w:r>
      <w:r w:rsidRPr="005B5670">
        <w:rPr>
          <w:b w:val="0"/>
          <w:bCs w:val="0"/>
          <w:color w:val="000000" w:themeColor="text1"/>
          <w:sz w:val="20"/>
          <w:szCs w:val="20"/>
        </w:rPr>
        <w:t xml:space="preserve">of 18 </w:t>
      </w:r>
      <w:r w:rsidRPr="005B5670">
        <w:rPr>
          <w:b w:val="0"/>
          <w:bCs w:val="0"/>
          <w:i/>
          <w:iCs/>
          <w:color w:val="000000" w:themeColor="text1"/>
          <w:sz w:val="20"/>
          <w:szCs w:val="20"/>
        </w:rPr>
        <w:t>Zea mays</w:t>
      </w:r>
      <w:r w:rsidRPr="005B5670">
        <w:rPr>
          <w:b w:val="0"/>
          <w:bCs w:val="0"/>
          <w:color w:val="000000" w:themeColor="text1"/>
          <w:sz w:val="20"/>
          <w:szCs w:val="20"/>
        </w:rPr>
        <w:t xml:space="preserve"> cultivars using (17899A) primer</w:t>
      </w:r>
      <w:bookmarkEnd w:id="116"/>
    </w:p>
    <w:p w14:paraId="22561711" w14:textId="77777777" w:rsidR="0019038E" w:rsidRDefault="0019038E" w:rsidP="0019038E">
      <w:pPr>
        <w:keepNext/>
        <w:spacing w:afterLines="280" w:after="672" w:line="360" w:lineRule="auto"/>
        <w:jc w:val="lowKashida"/>
      </w:pPr>
      <w:r>
        <w:lastRenderedPageBreak/>
        <w:t xml:space="preserve">         </w:t>
      </w:r>
      <w:r w:rsidRPr="002932E6">
        <w:rPr>
          <w:b/>
          <w:bCs/>
          <w:noProof/>
        </w:rPr>
        <w:drawing>
          <wp:inline distT="0" distB="0" distL="0" distR="0" wp14:anchorId="6699CB3B" wp14:editId="35167E49">
            <wp:extent cx="5130800" cy="30734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3">
                      <a:extLst>
                        <a:ext uri="{28A0092B-C50C-407E-A947-70E740481C1C}">
                          <a14:useLocalDpi xmlns:a14="http://schemas.microsoft.com/office/drawing/2010/main" val="0"/>
                        </a:ext>
                      </a:extLst>
                    </a:blip>
                    <a:stretch>
                      <a:fillRect/>
                    </a:stretch>
                  </pic:blipFill>
                  <pic:spPr>
                    <a:xfrm>
                      <a:off x="0" y="0"/>
                      <a:ext cx="5130800" cy="3073400"/>
                    </a:xfrm>
                    <a:prstGeom prst="rect">
                      <a:avLst/>
                    </a:prstGeom>
                  </pic:spPr>
                </pic:pic>
              </a:graphicData>
            </a:graphic>
          </wp:inline>
        </w:drawing>
      </w:r>
    </w:p>
    <w:p w14:paraId="5BBFBACB" w14:textId="0ECB5F83" w:rsidR="0019038E" w:rsidRPr="005B5670" w:rsidRDefault="0019038E" w:rsidP="0019038E">
      <w:pPr>
        <w:spacing w:afterLines="280" w:after="672" w:line="360" w:lineRule="auto"/>
        <w:jc w:val="center"/>
        <w:rPr>
          <w:color w:val="FF0000"/>
          <w:sz w:val="20"/>
          <w:szCs w:val="20"/>
        </w:rPr>
      </w:pPr>
      <w:bookmarkStart w:id="117" w:name="_Toc83751373"/>
      <w:r w:rsidRPr="0093552E">
        <w:rPr>
          <w:sz w:val="20"/>
          <w:szCs w:val="20"/>
        </w:rPr>
        <w:t xml:space="preserve">Figure </w:t>
      </w:r>
      <w:r w:rsidR="00843EDC">
        <w:rPr>
          <w:sz w:val="20"/>
          <w:szCs w:val="20"/>
        </w:rPr>
        <w:fldChar w:fldCharType="begin"/>
      </w:r>
      <w:r w:rsidR="00843EDC">
        <w:rPr>
          <w:sz w:val="20"/>
          <w:szCs w:val="20"/>
        </w:rPr>
        <w:instrText xml:space="preserve"> STYLEREF 1 \s </w:instrText>
      </w:r>
      <w:r w:rsidR="00843EDC">
        <w:rPr>
          <w:sz w:val="20"/>
          <w:szCs w:val="20"/>
        </w:rPr>
        <w:fldChar w:fldCharType="separate"/>
      </w:r>
      <w:r w:rsidR="00843EDC">
        <w:rPr>
          <w:noProof/>
          <w:sz w:val="20"/>
          <w:szCs w:val="20"/>
          <w:cs/>
        </w:rPr>
        <w:t>‎</w:t>
      </w:r>
      <w:r w:rsidR="00843EDC">
        <w:rPr>
          <w:noProof/>
          <w:sz w:val="20"/>
          <w:szCs w:val="20"/>
        </w:rPr>
        <w:t>3</w:t>
      </w:r>
      <w:r w:rsidR="00843EDC">
        <w:rPr>
          <w:sz w:val="20"/>
          <w:szCs w:val="20"/>
        </w:rPr>
        <w:fldChar w:fldCharType="end"/>
      </w:r>
      <w:r w:rsidR="00843EDC">
        <w:rPr>
          <w:sz w:val="20"/>
          <w:szCs w:val="20"/>
        </w:rPr>
        <w:t>.</w:t>
      </w:r>
      <w:r w:rsidR="00843EDC">
        <w:rPr>
          <w:sz w:val="20"/>
          <w:szCs w:val="20"/>
        </w:rPr>
        <w:fldChar w:fldCharType="begin"/>
      </w:r>
      <w:r w:rsidR="00843EDC">
        <w:rPr>
          <w:sz w:val="20"/>
          <w:szCs w:val="20"/>
        </w:rPr>
        <w:instrText xml:space="preserve"> SEQ Figure \* ARABIC \s 1 </w:instrText>
      </w:r>
      <w:r w:rsidR="00843EDC">
        <w:rPr>
          <w:sz w:val="20"/>
          <w:szCs w:val="20"/>
        </w:rPr>
        <w:fldChar w:fldCharType="separate"/>
      </w:r>
      <w:r w:rsidR="00843EDC">
        <w:rPr>
          <w:noProof/>
          <w:sz w:val="20"/>
          <w:szCs w:val="20"/>
        </w:rPr>
        <w:t>17</w:t>
      </w:r>
      <w:r w:rsidR="00843EDC">
        <w:rPr>
          <w:sz w:val="20"/>
          <w:szCs w:val="20"/>
        </w:rPr>
        <w:fldChar w:fldCharType="end"/>
      </w:r>
      <w:r w:rsidRPr="005B5670">
        <w:rPr>
          <w:sz w:val="20"/>
          <w:szCs w:val="20"/>
        </w:rPr>
        <w:t xml:space="preserve"> PCR</w:t>
      </w:r>
      <w:r w:rsidRPr="005B5670">
        <w:rPr>
          <w:color w:val="000000" w:themeColor="text1"/>
          <w:sz w:val="20"/>
          <w:szCs w:val="20"/>
        </w:rPr>
        <w:t xml:space="preserve"> amplification profile of 18 </w:t>
      </w:r>
      <w:r w:rsidRPr="005B5670">
        <w:rPr>
          <w:i/>
          <w:iCs/>
          <w:color w:val="000000" w:themeColor="text1"/>
          <w:sz w:val="20"/>
          <w:szCs w:val="20"/>
        </w:rPr>
        <w:t>Zea mays</w:t>
      </w:r>
      <w:r w:rsidRPr="005B5670">
        <w:rPr>
          <w:color w:val="000000" w:themeColor="text1"/>
          <w:sz w:val="20"/>
          <w:szCs w:val="20"/>
        </w:rPr>
        <w:t xml:space="preserve"> cultivars using (17899B) primer</w:t>
      </w:r>
      <w:bookmarkEnd w:id="117"/>
    </w:p>
    <w:p w14:paraId="656DF2DB" w14:textId="77777777" w:rsidR="0019038E" w:rsidRDefault="0019038E" w:rsidP="0019038E">
      <w:pPr>
        <w:keepNext/>
        <w:spacing w:afterLines="280" w:after="672" w:line="360" w:lineRule="auto"/>
        <w:jc w:val="lowKashida"/>
      </w:pPr>
      <w:r w:rsidRPr="002932E6">
        <w:rPr>
          <w:b/>
          <w:bCs/>
          <w:noProof/>
        </w:rPr>
        <w:drawing>
          <wp:inline distT="0" distB="0" distL="0" distR="0" wp14:anchorId="3AF786EB" wp14:editId="44FFBB64">
            <wp:extent cx="5943600" cy="334518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3345180"/>
                    </a:xfrm>
                    <a:prstGeom prst="rect">
                      <a:avLst/>
                    </a:prstGeom>
                  </pic:spPr>
                </pic:pic>
              </a:graphicData>
            </a:graphic>
          </wp:inline>
        </w:drawing>
      </w:r>
    </w:p>
    <w:p w14:paraId="460AB817" w14:textId="661E7D22" w:rsidR="0019038E" w:rsidRPr="005B5670" w:rsidRDefault="0019038E" w:rsidP="0019038E">
      <w:pPr>
        <w:pStyle w:val="Caption"/>
        <w:jc w:val="center"/>
        <w:rPr>
          <w:b w:val="0"/>
          <w:bCs w:val="0"/>
          <w:sz w:val="20"/>
          <w:szCs w:val="20"/>
        </w:rPr>
      </w:pPr>
      <w:bookmarkStart w:id="118" w:name="_Toc83751374"/>
      <w:r w:rsidRPr="00ED12B1">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3</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18</w:t>
      </w:r>
      <w:r w:rsidR="00843EDC">
        <w:rPr>
          <w:b w:val="0"/>
          <w:bCs w:val="0"/>
          <w:sz w:val="20"/>
          <w:szCs w:val="20"/>
        </w:rPr>
        <w:fldChar w:fldCharType="end"/>
      </w:r>
      <w:r w:rsidRPr="005B5670">
        <w:rPr>
          <w:b w:val="0"/>
          <w:bCs w:val="0"/>
          <w:sz w:val="20"/>
          <w:szCs w:val="20"/>
        </w:rPr>
        <w:t xml:space="preserve"> ISSR</w:t>
      </w:r>
      <w:r w:rsidRPr="005B5670">
        <w:rPr>
          <w:b w:val="0"/>
          <w:bCs w:val="0"/>
          <w:color w:val="000000" w:themeColor="text1"/>
          <w:sz w:val="20"/>
          <w:szCs w:val="20"/>
        </w:rPr>
        <w:t xml:space="preserve"> </w:t>
      </w:r>
      <w:r w:rsidRPr="005B5670">
        <w:rPr>
          <w:rFonts w:eastAsiaTheme="minorHAnsi"/>
          <w:b w:val="0"/>
          <w:bCs w:val="0"/>
          <w:color w:val="000000" w:themeColor="text1"/>
          <w:sz w:val="20"/>
          <w:szCs w:val="20"/>
        </w:rPr>
        <w:t xml:space="preserve">Phylogenetic tree </w:t>
      </w:r>
      <w:r w:rsidRPr="005B5670">
        <w:rPr>
          <w:b w:val="0"/>
          <w:bCs w:val="0"/>
          <w:color w:val="000000" w:themeColor="text1"/>
          <w:sz w:val="20"/>
          <w:szCs w:val="20"/>
        </w:rPr>
        <w:t xml:space="preserve">of 18 </w:t>
      </w:r>
      <w:r w:rsidRPr="005B5670">
        <w:rPr>
          <w:b w:val="0"/>
          <w:bCs w:val="0"/>
          <w:i/>
          <w:iCs/>
          <w:color w:val="000000" w:themeColor="text1"/>
          <w:sz w:val="20"/>
          <w:szCs w:val="20"/>
        </w:rPr>
        <w:t>Zea mays</w:t>
      </w:r>
      <w:r w:rsidRPr="005B5670">
        <w:rPr>
          <w:b w:val="0"/>
          <w:bCs w:val="0"/>
          <w:color w:val="000000" w:themeColor="text1"/>
          <w:sz w:val="20"/>
          <w:szCs w:val="20"/>
        </w:rPr>
        <w:t xml:space="preserve"> cultivars using (17899B) primer</w:t>
      </w:r>
      <w:bookmarkEnd w:id="118"/>
    </w:p>
    <w:p w14:paraId="24451FDA" w14:textId="77777777" w:rsidR="0019038E" w:rsidRDefault="0019038E" w:rsidP="0019038E">
      <w:pPr>
        <w:keepNext/>
        <w:spacing w:afterLines="280" w:after="672" w:line="360" w:lineRule="auto"/>
        <w:jc w:val="lowKashida"/>
      </w:pPr>
      <w:r w:rsidRPr="002932E6">
        <w:rPr>
          <w:noProof/>
        </w:rPr>
        <w:lastRenderedPageBreak/>
        <w:drawing>
          <wp:inline distT="0" distB="0" distL="0" distR="0" wp14:anchorId="21C4B2E3" wp14:editId="120F73DA">
            <wp:extent cx="5943600" cy="349694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45">
                      <a:extLst>
                        <a:ext uri="{28A0092B-C50C-407E-A947-70E740481C1C}">
                          <a14:useLocalDpi xmlns:a14="http://schemas.microsoft.com/office/drawing/2010/main" val="0"/>
                        </a:ext>
                      </a:extLst>
                    </a:blip>
                    <a:stretch>
                      <a:fillRect/>
                    </a:stretch>
                  </pic:blipFill>
                  <pic:spPr>
                    <a:xfrm>
                      <a:off x="0" y="0"/>
                      <a:ext cx="5943600" cy="3496945"/>
                    </a:xfrm>
                    <a:prstGeom prst="rect">
                      <a:avLst/>
                    </a:prstGeom>
                  </pic:spPr>
                </pic:pic>
              </a:graphicData>
            </a:graphic>
          </wp:inline>
        </w:drawing>
      </w:r>
    </w:p>
    <w:p w14:paraId="0AE3AB57" w14:textId="0132D633" w:rsidR="0019038E" w:rsidRPr="005B5670" w:rsidRDefault="0019038E" w:rsidP="0019038E">
      <w:pPr>
        <w:spacing w:afterLines="280" w:after="672" w:line="360" w:lineRule="auto"/>
        <w:jc w:val="center"/>
        <w:rPr>
          <w:color w:val="FF0000"/>
          <w:sz w:val="20"/>
          <w:szCs w:val="20"/>
        </w:rPr>
      </w:pPr>
      <w:bookmarkStart w:id="119" w:name="_Toc83751375"/>
      <w:r w:rsidRPr="0093552E">
        <w:rPr>
          <w:sz w:val="20"/>
          <w:szCs w:val="20"/>
        </w:rPr>
        <w:t xml:space="preserve">Figure </w:t>
      </w:r>
      <w:r w:rsidR="00843EDC">
        <w:rPr>
          <w:sz w:val="20"/>
          <w:szCs w:val="20"/>
        </w:rPr>
        <w:fldChar w:fldCharType="begin"/>
      </w:r>
      <w:r w:rsidR="00843EDC">
        <w:rPr>
          <w:sz w:val="20"/>
          <w:szCs w:val="20"/>
        </w:rPr>
        <w:instrText xml:space="preserve"> STYLEREF 1 \s </w:instrText>
      </w:r>
      <w:r w:rsidR="00843EDC">
        <w:rPr>
          <w:sz w:val="20"/>
          <w:szCs w:val="20"/>
        </w:rPr>
        <w:fldChar w:fldCharType="separate"/>
      </w:r>
      <w:r w:rsidR="00843EDC">
        <w:rPr>
          <w:noProof/>
          <w:sz w:val="20"/>
          <w:szCs w:val="20"/>
          <w:cs/>
        </w:rPr>
        <w:t>‎</w:t>
      </w:r>
      <w:r w:rsidR="00843EDC">
        <w:rPr>
          <w:noProof/>
          <w:sz w:val="20"/>
          <w:szCs w:val="20"/>
        </w:rPr>
        <w:t>3</w:t>
      </w:r>
      <w:r w:rsidR="00843EDC">
        <w:rPr>
          <w:sz w:val="20"/>
          <w:szCs w:val="20"/>
        </w:rPr>
        <w:fldChar w:fldCharType="end"/>
      </w:r>
      <w:r w:rsidR="00843EDC">
        <w:rPr>
          <w:sz w:val="20"/>
          <w:szCs w:val="20"/>
        </w:rPr>
        <w:t>.</w:t>
      </w:r>
      <w:r w:rsidR="00843EDC">
        <w:rPr>
          <w:sz w:val="20"/>
          <w:szCs w:val="20"/>
        </w:rPr>
        <w:fldChar w:fldCharType="begin"/>
      </w:r>
      <w:r w:rsidR="00843EDC">
        <w:rPr>
          <w:sz w:val="20"/>
          <w:szCs w:val="20"/>
        </w:rPr>
        <w:instrText xml:space="preserve"> SEQ Figure \* ARABIC \s 1 </w:instrText>
      </w:r>
      <w:r w:rsidR="00843EDC">
        <w:rPr>
          <w:sz w:val="20"/>
          <w:szCs w:val="20"/>
        </w:rPr>
        <w:fldChar w:fldCharType="separate"/>
      </w:r>
      <w:r w:rsidR="00843EDC">
        <w:rPr>
          <w:noProof/>
          <w:sz w:val="20"/>
          <w:szCs w:val="20"/>
        </w:rPr>
        <w:t>19</w:t>
      </w:r>
      <w:r w:rsidR="00843EDC">
        <w:rPr>
          <w:sz w:val="20"/>
          <w:szCs w:val="20"/>
        </w:rPr>
        <w:fldChar w:fldCharType="end"/>
      </w:r>
      <w:r w:rsidRPr="005B5670">
        <w:rPr>
          <w:sz w:val="20"/>
          <w:szCs w:val="20"/>
        </w:rPr>
        <w:t xml:space="preserve"> </w:t>
      </w:r>
      <w:r w:rsidRPr="005B5670">
        <w:rPr>
          <w:color w:val="000000" w:themeColor="text1"/>
          <w:sz w:val="20"/>
          <w:szCs w:val="20"/>
        </w:rPr>
        <w:t xml:space="preserve">PCR amplification profile of 18 </w:t>
      </w:r>
      <w:r w:rsidRPr="005B5670">
        <w:rPr>
          <w:i/>
          <w:iCs/>
          <w:color w:val="000000" w:themeColor="text1"/>
          <w:sz w:val="20"/>
          <w:szCs w:val="20"/>
        </w:rPr>
        <w:t>Zea mays</w:t>
      </w:r>
      <w:r w:rsidRPr="005B5670">
        <w:rPr>
          <w:color w:val="000000" w:themeColor="text1"/>
          <w:sz w:val="20"/>
          <w:szCs w:val="20"/>
        </w:rPr>
        <w:t xml:space="preserve"> cultivars using (844B) primer</w:t>
      </w:r>
      <w:bookmarkEnd w:id="119"/>
    </w:p>
    <w:p w14:paraId="5B30E479" w14:textId="77777777" w:rsidR="0019038E" w:rsidRDefault="0019038E" w:rsidP="0019038E">
      <w:pPr>
        <w:keepNext/>
        <w:spacing w:afterLines="280" w:after="672" w:line="360" w:lineRule="auto"/>
        <w:jc w:val="lowKashida"/>
      </w:pPr>
      <w:r w:rsidRPr="002932E6">
        <w:rPr>
          <w:noProof/>
        </w:rPr>
        <w:drawing>
          <wp:inline distT="0" distB="0" distL="0" distR="0" wp14:anchorId="75DC2D50" wp14:editId="1AC33BF8">
            <wp:extent cx="5943600" cy="3335020"/>
            <wp:effectExtent l="0" t="0" r="0"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3335020"/>
                    </a:xfrm>
                    <a:prstGeom prst="rect">
                      <a:avLst/>
                    </a:prstGeom>
                  </pic:spPr>
                </pic:pic>
              </a:graphicData>
            </a:graphic>
          </wp:inline>
        </w:drawing>
      </w:r>
    </w:p>
    <w:p w14:paraId="7DB9D4D0" w14:textId="470070AF" w:rsidR="0019038E" w:rsidRPr="005B5670" w:rsidRDefault="0019038E" w:rsidP="0019038E">
      <w:pPr>
        <w:pStyle w:val="Caption"/>
        <w:jc w:val="center"/>
        <w:rPr>
          <w:b w:val="0"/>
          <w:bCs w:val="0"/>
          <w:sz w:val="20"/>
          <w:szCs w:val="20"/>
        </w:rPr>
      </w:pPr>
      <w:bookmarkStart w:id="120" w:name="_Toc83751376"/>
      <w:r w:rsidRPr="00ED12B1">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3</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20</w:t>
      </w:r>
      <w:r w:rsidR="00843EDC">
        <w:rPr>
          <w:b w:val="0"/>
          <w:bCs w:val="0"/>
          <w:sz w:val="20"/>
          <w:szCs w:val="20"/>
        </w:rPr>
        <w:fldChar w:fldCharType="end"/>
      </w:r>
      <w:r w:rsidRPr="005B5670">
        <w:rPr>
          <w:b w:val="0"/>
          <w:bCs w:val="0"/>
          <w:sz w:val="20"/>
          <w:szCs w:val="20"/>
        </w:rPr>
        <w:t xml:space="preserve"> ISSR</w:t>
      </w:r>
      <w:r w:rsidRPr="005B5670">
        <w:rPr>
          <w:b w:val="0"/>
          <w:bCs w:val="0"/>
          <w:color w:val="000000" w:themeColor="text1"/>
          <w:sz w:val="20"/>
          <w:szCs w:val="20"/>
        </w:rPr>
        <w:t xml:space="preserve"> </w:t>
      </w:r>
      <w:r w:rsidRPr="005B5670">
        <w:rPr>
          <w:rFonts w:eastAsiaTheme="minorHAnsi"/>
          <w:b w:val="0"/>
          <w:bCs w:val="0"/>
          <w:color w:val="000000" w:themeColor="text1"/>
          <w:sz w:val="20"/>
          <w:szCs w:val="20"/>
        </w:rPr>
        <w:t xml:space="preserve">Phylogenetic tree </w:t>
      </w:r>
      <w:r w:rsidRPr="005B5670">
        <w:rPr>
          <w:b w:val="0"/>
          <w:bCs w:val="0"/>
          <w:color w:val="000000" w:themeColor="text1"/>
          <w:sz w:val="20"/>
          <w:szCs w:val="20"/>
        </w:rPr>
        <w:t xml:space="preserve">of 18 </w:t>
      </w:r>
      <w:r w:rsidRPr="005B5670">
        <w:rPr>
          <w:b w:val="0"/>
          <w:bCs w:val="0"/>
          <w:i/>
          <w:iCs/>
          <w:color w:val="000000" w:themeColor="text1"/>
          <w:sz w:val="20"/>
          <w:szCs w:val="20"/>
        </w:rPr>
        <w:t>Zea mays</w:t>
      </w:r>
      <w:r w:rsidRPr="005B5670">
        <w:rPr>
          <w:b w:val="0"/>
          <w:bCs w:val="0"/>
          <w:color w:val="000000" w:themeColor="text1"/>
          <w:sz w:val="20"/>
          <w:szCs w:val="20"/>
        </w:rPr>
        <w:t xml:space="preserve"> cultivars using (844B) primer</w:t>
      </w:r>
      <w:bookmarkEnd w:id="120"/>
    </w:p>
    <w:p w14:paraId="5D262E1D" w14:textId="08162173" w:rsidR="0019038E" w:rsidRPr="002932E6" w:rsidRDefault="0019038E" w:rsidP="00822850">
      <w:pPr>
        <w:pStyle w:val="mythesis"/>
      </w:pPr>
      <w:r w:rsidRPr="002932E6">
        <w:lastRenderedPageBreak/>
        <w:t xml:space="preserve">The </w:t>
      </w:r>
      <w:r w:rsidRPr="002932E6">
        <w:rPr>
          <w:color w:val="333333"/>
          <w:shd w:val="clear" w:color="auto" w:fill="FFFFFF"/>
        </w:rPr>
        <w:t xml:space="preserve">Agarose gel </w:t>
      </w:r>
      <w:r w:rsidRPr="002932E6">
        <w:rPr>
          <w:shd w:val="clear" w:color="auto" w:fill="FFFFFF"/>
        </w:rPr>
        <w:t xml:space="preserve">electrophoresis of the 5 primers of ISSR of </w:t>
      </w:r>
      <w:r w:rsidR="006929CB">
        <w:rPr>
          <w:shd w:val="clear" w:color="auto" w:fill="FFFFFF"/>
        </w:rPr>
        <w:t xml:space="preserve">the </w:t>
      </w:r>
      <w:r w:rsidRPr="002932E6">
        <w:t xml:space="preserve">18 </w:t>
      </w:r>
      <w:r w:rsidRPr="002932E6">
        <w:rPr>
          <w:i/>
        </w:rPr>
        <w:t>Zea mays</w:t>
      </w:r>
      <w:r w:rsidRPr="002932E6">
        <w:t xml:space="preserve"> cultivars and the phylogenetic trees were presented in Figures (3.11-3.20) and the Agarose gel electrophoresis was successfully performed, and the results were clear.</w:t>
      </w:r>
    </w:p>
    <w:p w14:paraId="1CC406CC" w14:textId="77777777" w:rsidR="0019038E" w:rsidRPr="002932E6" w:rsidRDefault="0019038E" w:rsidP="00822850">
      <w:pPr>
        <w:pStyle w:val="mythesis"/>
      </w:pPr>
      <w:r w:rsidRPr="002932E6">
        <w:t>In primer 1 the results showed the cultivars that were most closely related were No. (2, 3) and (17,18) then (4,6), (9,10), (5,12), (8,14), (15,17).</w:t>
      </w:r>
    </w:p>
    <w:p w14:paraId="2745880B" w14:textId="77777777" w:rsidR="0019038E" w:rsidRPr="002932E6" w:rsidRDefault="0019038E" w:rsidP="00822850">
      <w:pPr>
        <w:pStyle w:val="mythesis"/>
      </w:pPr>
      <w:r w:rsidRPr="002932E6">
        <w:t>And we observed that (17,18) were similar in that there was no mycorrhizal responsiveness effect. While (5,12) were similar in the mycorrhizal responsiveness significant effect.</w:t>
      </w:r>
    </w:p>
    <w:p w14:paraId="3180CFDC" w14:textId="77777777" w:rsidR="0019038E" w:rsidRPr="002932E6" w:rsidRDefault="0019038E" w:rsidP="00822850">
      <w:pPr>
        <w:pStyle w:val="mythesis"/>
      </w:pPr>
      <w:r w:rsidRPr="002932E6">
        <w:t xml:space="preserve">But (8,14) were different in terms of their response to the mycorrhizal responsiveness effects despite their closeness. </w:t>
      </w:r>
    </w:p>
    <w:p w14:paraId="35B2F7CD" w14:textId="77777777" w:rsidR="0019038E" w:rsidRPr="002932E6" w:rsidRDefault="0019038E" w:rsidP="00822850">
      <w:pPr>
        <w:pStyle w:val="mythesis"/>
      </w:pPr>
      <w:r w:rsidRPr="002932E6">
        <w:t>In primer 2 the results showed the cultivars that were most closely related were No. (7, 12), (1,5,8,9,15) and (17,18).</w:t>
      </w:r>
    </w:p>
    <w:p w14:paraId="2DD934E3" w14:textId="236C2FB4" w:rsidR="0019038E" w:rsidRPr="002932E6" w:rsidRDefault="0019038E" w:rsidP="00822850">
      <w:pPr>
        <w:pStyle w:val="mythesis"/>
      </w:pPr>
      <w:r w:rsidRPr="002932E6">
        <w:t xml:space="preserve">The results showed that </w:t>
      </w:r>
      <w:r w:rsidR="007070B9" w:rsidRPr="002932E6">
        <w:t xml:space="preserve">cultivars </w:t>
      </w:r>
      <w:r w:rsidR="007070B9">
        <w:t>No.</w:t>
      </w:r>
      <w:r w:rsidRPr="002932E6">
        <w:t xml:space="preserve">(17,18) were similar in that there was no mycorrhizal responsiveness effect. While </w:t>
      </w:r>
      <w:r w:rsidR="007C0F14">
        <w:t xml:space="preserve">the </w:t>
      </w:r>
      <w:r w:rsidR="007070B9" w:rsidRPr="002932E6">
        <w:t xml:space="preserve">cultivars </w:t>
      </w:r>
      <w:r w:rsidR="007070B9">
        <w:t xml:space="preserve">No. </w:t>
      </w:r>
      <w:r w:rsidRPr="002932E6">
        <w:t>(1,5,8,9,15) and (17,18) showed a difference in their mycorrhizal responsiveness effects.</w:t>
      </w:r>
    </w:p>
    <w:p w14:paraId="148B7855" w14:textId="7C89E05E" w:rsidR="0019038E" w:rsidRPr="002932E6" w:rsidRDefault="0019038E" w:rsidP="00822850">
      <w:pPr>
        <w:pStyle w:val="mythesis"/>
      </w:pPr>
      <w:r w:rsidRPr="002932E6">
        <w:t xml:space="preserve">We were interesting with the results in primer 3 whereas they presented the most similarities and affinities between the verities. Since </w:t>
      </w:r>
      <w:r w:rsidR="007C0F14">
        <w:t xml:space="preserve">the </w:t>
      </w:r>
      <w:r w:rsidRPr="002932E6">
        <w:t xml:space="preserve">cultivar No. 15 was added to No. (17,18), and they showed no mycorrhizal responsiveness effect. While </w:t>
      </w:r>
      <w:r w:rsidR="007C0F14">
        <w:t xml:space="preserve">the cultivars </w:t>
      </w:r>
      <w:r w:rsidRPr="002932E6">
        <w:t>No. (1,13,16) showed a difference in their mycorrhizal responsiveness effects. And similar cultivars were increased as we found in</w:t>
      </w:r>
      <w:r w:rsidR="00F3360B">
        <w:t xml:space="preserve"> the cultivars</w:t>
      </w:r>
      <w:r w:rsidRPr="002932E6">
        <w:t xml:space="preserve"> No. (2,3,6,7,8,9,10) with a variance in the mycorrhizal responsiveness effect.</w:t>
      </w:r>
    </w:p>
    <w:p w14:paraId="45941C10" w14:textId="5542ED10" w:rsidR="0019038E" w:rsidRPr="002932E6" w:rsidRDefault="0019038E" w:rsidP="00822850">
      <w:pPr>
        <w:pStyle w:val="mythesis"/>
      </w:pPr>
      <w:r w:rsidRPr="002932E6">
        <w:t xml:space="preserve">The results in primer 4 showed affinity between </w:t>
      </w:r>
      <w:r w:rsidR="00527097">
        <w:t xml:space="preserve">the </w:t>
      </w:r>
      <w:r w:rsidRPr="002932E6">
        <w:t>cultivars No. (14,15,16,17,18) and (1,8,10,11) with a variance in the mycorrhizal responsiveness effect.</w:t>
      </w:r>
    </w:p>
    <w:p w14:paraId="5E9F13A8" w14:textId="1B2DDF57" w:rsidR="0083562B" w:rsidRDefault="0019038E" w:rsidP="00027396">
      <w:pPr>
        <w:pStyle w:val="mythesis"/>
      </w:pPr>
      <w:r w:rsidRPr="002932E6">
        <w:t xml:space="preserve">The last primer 5 showed interesting results between two genetically similar cultivars No. (3,4) where </w:t>
      </w:r>
      <w:r w:rsidR="00527097">
        <w:t xml:space="preserve">the cultivar </w:t>
      </w:r>
      <w:r w:rsidRPr="002932E6">
        <w:t xml:space="preserve">No.3 showed the most significant mycorrhizal responsiveness effect while </w:t>
      </w:r>
      <w:r w:rsidR="00527097">
        <w:t xml:space="preserve">the cultivar </w:t>
      </w:r>
      <w:r w:rsidRPr="002932E6">
        <w:t xml:space="preserve">No.4 showed no mycorrhizal responsiveness effect. And there was a </w:t>
      </w:r>
      <w:r w:rsidRPr="002932E6">
        <w:lastRenderedPageBreak/>
        <w:t xml:space="preserve">convergence between </w:t>
      </w:r>
      <w:r w:rsidR="00527097">
        <w:t xml:space="preserve">the cultivars </w:t>
      </w:r>
      <w:r w:rsidRPr="002932E6">
        <w:t xml:space="preserve">No. (9,10) with significant mycorrhizal responsiveness effect. While </w:t>
      </w:r>
      <w:r w:rsidR="00527097">
        <w:t xml:space="preserve">the cultivars </w:t>
      </w:r>
      <w:r w:rsidRPr="002932E6">
        <w:t>No. (5,7,12,13) and No. (16,17,18) showed a variance in the mycorrhizal responsiveness effect despite the genetic affinity.</w:t>
      </w:r>
    </w:p>
    <w:p w14:paraId="27CE223F" w14:textId="77777777" w:rsidR="00027396" w:rsidRPr="002932E6" w:rsidRDefault="00027396" w:rsidP="00027396">
      <w:pPr>
        <w:pStyle w:val="mythesis"/>
      </w:pPr>
    </w:p>
    <w:p w14:paraId="6F52054E" w14:textId="77777777" w:rsidR="0019038E" w:rsidRDefault="0019038E" w:rsidP="0019038E">
      <w:pPr>
        <w:pStyle w:val="Heading2"/>
      </w:pPr>
      <w:bookmarkStart w:id="121" w:name="_Toc83751465"/>
      <w:r w:rsidRPr="002932E6">
        <w:t>3.4 Discussion</w:t>
      </w:r>
      <w:bookmarkEnd w:id="121"/>
      <w:r w:rsidRPr="002932E6">
        <w:t xml:space="preserve"> </w:t>
      </w:r>
    </w:p>
    <w:p w14:paraId="38A27AA5" w14:textId="77777777" w:rsidR="0019038E" w:rsidRPr="00B4729E" w:rsidRDefault="0019038E" w:rsidP="0019038E">
      <w:pPr>
        <w:rPr>
          <w:lang w:val="en-GB"/>
        </w:rPr>
      </w:pPr>
    </w:p>
    <w:p w14:paraId="4C47E8C7" w14:textId="77777777" w:rsidR="0019038E" w:rsidRDefault="0019038E" w:rsidP="0019038E">
      <w:pPr>
        <w:pStyle w:val="Heading3"/>
      </w:pPr>
      <w:bookmarkStart w:id="122" w:name="_Toc83751466"/>
      <w:r w:rsidRPr="002932E6">
        <w:t>3.4.1 seeds morphology</w:t>
      </w:r>
      <w:bookmarkEnd w:id="122"/>
    </w:p>
    <w:p w14:paraId="7DB9F627" w14:textId="77777777" w:rsidR="0019038E" w:rsidRPr="00B4729E" w:rsidRDefault="0019038E" w:rsidP="0019038E"/>
    <w:p w14:paraId="62252A88" w14:textId="6FFB9006" w:rsidR="0019038E" w:rsidRPr="002932E6" w:rsidRDefault="0019038E" w:rsidP="0083562B">
      <w:pPr>
        <w:pStyle w:val="mythesis"/>
      </w:pPr>
      <w:r w:rsidRPr="002932E6">
        <w:t xml:space="preserve">Based on shape, we conclude that the collective seeds are different from each other. The importance of its shape seed systems is important for maintaining seed diversity, and hence a precondition for agrobiodiversity conservation, for this to be at the national level in some countries to restrict local seed system exchanges </w:t>
      </w:r>
      <w:sdt>
        <w:sdtPr>
          <w:rPr>
            <w:color w:val="000000"/>
          </w:rPr>
          <w:tag w:val="MENDELEY_CITATION_v3_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"/>
          <w:id w:val="-1440057004"/>
          <w:placeholder>
            <w:docPart w:val="4F2067BB62ECBC4A8797CB7F7347792D"/>
          </w:placeholder>
        </w:sdtPr>
        <w:sdtContent>
          <w:r w:rsidR="005E3F83" w:rsidRPr="005E3F83">
            <w:rPr>
              <w:color w:val="000000"/>
            </w:rPr>
            <w:t>(Nature e.g., 2004)</w:t>
          </w:r>
        </w:sdtContent>
      </w:sdt>
      <w:r w:rsidRPr="002932E6">
        <w:t xml:space="preserve"> However the legal rights of farmers to save and exchange their local seeds are an important issue if the conservation of agrobiodiversity is deemed important. Policymakers should therefore encourage farmers to engage in a relatively open exchange of seeds rather than aiming to restrict such flows.</w:t>
      </w:r>
    </w:p>
    <w:p w14:paraId="46DD80B1" w14:textId="77777777" w:rsidR="0019038E" w:rsidRDefault="0019038E" w:rsidP="0019038E">
      <w:pPr>
        <w:pStyle w:val="Heading3"/>
      </w:pPr>
      <w:bookmarkStart w:id="123" w:name="_Toc83751467"/>
      <w:r w:rsidRPr="002932E6">
        <w:t>3.4.2 18S phylogeny relationship</w:t>
      </w:r>
      <w:bookmarkEnd w:id="123"/>
    </w:p>
    <w:p w14:paraId="3A9EE59C" w14:textId="77777777" w:rsidR="0019038E" w:rsidRPr="00B4729E" w:rsidRDefault="0019038E" w:rsidP="0019038E"/>
    <w:p w14:paraId="7CDB6D4E" w14:textId="77777777" w:rsidR="0019038E" w:rsidRPr="002932E6" w:rsidRDefault="0019038E" w:rsidP="0083562B">
      <w:pPr>
        <w:pStyle w:val="mythesis"/>
      </w:pPr>
      <w:r w:rsidRPr="002932E6">
        <w:t xml:space="preserve">We concluded from the tree that genetic can play a role in influencing the mycorrhizal responsiveness, but it is not consistent for all varieties. so that’s mean there was not a strong selection with the breeding program.  But this analysis also proved that our cultivars were pure without any contamination as the bands appeared quite clearly when the gel electrophoresis was done and that’s a strong indicator that all cultivars were pure </w:t>
      </w:r>
      <w:r w:rsidRPr="002932E6">
        <w:rPr>
          <w:i/>
        </w:rPr>
        <w:t>Zea mays</w:t>
      </w:r>
      <w:r w:rsidRPr="002932E6">
        <w:t>.</w:t>
      </w:r>
    </w:p>
    <w:p w14:paraId="08FD4F29" w14:textId="77777777" w:rsidR="0019038E" w:rsidRDefault="0019038E" w:rsidP="0019038E">
      <w:pPr>
        <w:pStyle w:val="Heading3"/>
      </w:pPr>
      <w:bookmarkStart w:id="124" w:name="_Toc83751468"/>
      <w:r w:rsidRPr="002932E6">
        <w:t>3.4.3 RBCL phylogeny relationship</w:t>
      </w:r>
      <w:bookmarkEnd w:id="124"/>
    </w:p>
    <w:p w14:paraId="78D29B40" w14:textId="77777777" w:rsidR="0019038E" w:rsidRPr="00B4729E" w:rsidRDefault="0019038E" w:rsidP="0019038E"/>
    <w:p w14:paraId="429AF1C4" w14:textId="77777777" w:rsidR="0019038E" w:rsidRPr="002932E6" w:rsidRDefault="0019038E" w:rsidP="0083562B">
      <w:pPr>
        <w:pStyle w:val="mythesis"/>
      </w:pPr>
      <w:r w:rsidRPr="002932E6">
        <w:t>The RBCL present in maize and our results using this gene showed that the genetic origin was very close into these cultivars in almost the first clade, and the other clade also showed affinity, but not to the same degree of convergence in the first clade.</w:t>
      </w:r>
    </w:p>
    <w:p w14:paraId="4D39CE6F" w14:textId="4FB9AF4E" w:rsidR="0019038E" w:rsidRPr="002932E6" w:rsidRDefault="0019038E" w:rsidP="0083562B">
      <w:pPr>
        <w:pStyle w:val="mythesis"/>
      </w:pPr>
      <w:r w:rsidRPr="002932E6">
        <w:t>We concluded from this tree that the response varies by genetic type according to the evolutionary relationship, like varieties from the same clade were seen and were similar and genetically close, but in terms of response it was varied between significant responsive, non-</w:t>
      </w:r>
      <w:r w:rsidRPr="002932E6">
        <w:lastRenderedPageBreak/>
        <w:t xml:space="preserve">responsive, and low significant  responsive, and what is interesting and surprisingly here is </w:t>
      </w:r>
      <w:r w:rsidR="00B61576">
        <w:t xml:space="preserve">the </w:t>
      </w:r>
      <w:r w:rsidRPr="002932E6">
        <w:t xml:space="preserve">cultivar No. 8 where it was negative response despite the response of most of the varieties in the same clade, and this may be due to the breeding programs that affect some traits in plants, including the trait of responding to form colonization with the AMF or perhaps there were special circumstances in terms of storage or cultivating this cultivar. And that proved that the colonization did not affect by the genetic origin of the plant. </w:t>
      </w:r>
    </w:p>
    <w:p w14:paraId="3DB1572F" w14:textId="00312A02" w:rsidR="0019038E" w:rsidRPr="002932E6" w:rsidRDefault="0019038E" w:rsidP="0083562B">
      <w:pPr>
        <w:pStyle w:val="mythesis"/>
      </w:pPr>
      <w:r w:rsidRPr="002932E6">
        <w:t xml:space="preserve">For exploring the phylogenetic relationships and classifications of unknown species of living organisms, molecular approaches based on DNA sequencing technology have been effectively established. A molecular technique using RBCL sequencing can be used to identify the phylogenetic and systematic analysis of </w:t>
      </w:r>
      <w:r w:rsidRPr="002932E6">
        <w:rPr>
          <w:i/>
        </w:rPr>
        <w:t>Zea mays</w:t>
      </w:r>
      <w:r w:rsidRPr="002932E6">
        <w:t xml:space="preserve">. We demonstrated that species-level identification is possible, and RBCL analysis yields a phylogenetic tree for these </w:t>
      </w:r>
      <w:r w:rsidRPr="002932E6">
        <w:rPr>
          <w:i/>
        </w:rPr>
        <w:t>Zea mays</w:t>
      </w:r>
      <w:r w:rsidRPr="002932E6">
        <w:t xml:space="preserve"> cultivars </w:t>
      </w:r>
      <w:sdt>
        <w:sdtPr>
          <w:tag w:val="MENDELEY_CITATION_v3_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"/>
          <w:id w:val="-1787119381"/>
          <w:placeholder>
            <w:docPart w:val="C796E44BA29C7B49B74F3F722913E754"/>
          </w:placeholder>
        </w:sdtPr>
        <w:sdtContent>
          <w:r w:rsidR="005E3F83">
            <w:t>(Wongsawad &amp; Peerapornpisal, 2014).</w:t>
          </w:r>
        </w:sdtContent>
      </w:sdt>
    </w:p>
    <w:p w14:paraId="576A7E44" w14:textId="263F23FE" w:rsidR="0019038E" w:rsidRPr="002932E6" w:rsidRDefault="0019038E" w:rsidP="00F946AE">
      <w:pPr>
        <w:pStyle w:val="mythesis"/>
        <w:ind w:firstLine="0"/>
      </w:pPr>
    </w:p>
    <w:p w14:paraId="2B7AC887" w14:textId="77777777" w:rsidR="0019038E" w:rsidRDefault="0019038E" w:rsidP="0019038E">
      <w:pPr>
        <w:pStyle w:val="Heading3"/>
      </w:pPr>
      <w:bookmarkStart w:id="125" w:name="_Toc83751469"/>
      <w:r w:rsidRPr="002932E6">
        <w:t>3.4.4 ISSR fingerprint phylogeny relationship</w:t>
      </w:r>
      <w:bookmarkEnd w:id="125"/>
    </w:p>
    <w:p w14:paraId="206BA402" w14:textId="77777777" w:rsidR="0019038E" w:rsidRPr="00B4729E" w:rsidRDefault="0019038E" w:rsidP="0019038E"/>
    <w:p w14:paraId="5C7FA6B5" w14:textId="0A3ACE8F" w:rsidR="0019038E" w:rsidRPr="002932E6" w:rsidRDefault="0019038E" w:rsidP="0083562B">
      <w:pPr>
        <w:pStyle w:val="mythesis"/>
      </w:pPr>
      <w:r w:rsidRPr="002932E6">
        <w:t xml:space="preserve">The results that extracted from the ISSR analysis indicated that the differences that were found between the cultivars and each other indicated the evolution of the cultivars over years, and this means that the breed is stable. ISSR-PCR analysis of 18 samples of </w:t>
      </w:r>
      <w:r w:rsidRPr="002932E6">
        <w:rPr>
          <w:i/>
        </w:rPr>
        <w:t>Zea mays</w:t>
      </w:r>
      <w:r w:rsidRPr="002932E6">
        <w:t xml:space="preserve"> cultivars showed that ISSR-primers used (17898A,17898B,17899A,17899B and 844B) were suitable and successfully produced polymorphic DNA bands pattern, represents the high genetic diversity of the samples.  although there are samples from several populations that have a low genetic distance. The trees divided the samples into many clusters, although some populations showed a close genetic relationship and the remainders were not, indicating the absence of geographical influence, and these results supported by </w:t>
      </w:r>
      <w:sdt>
        <w:sdtPr>
          <w:tag w:val="MENDELEY_CITATION_v3_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"/>
          <w:id w:val="-521166592"/>
          <w:placeholder>
            <w:docPart w:val="C796E44BA29C7B49B74F3F722913E754"/>
          </w:placeholder>
        </w:sdtPr>
        <w:sdtContent>
          <w:r w:rsidR="005E3F83">
            <w:t>(Uslan &amp; Nur Jannah, 2020)</w:t>
          </w:r>
        </w:sdtContent>
      </w:sdt>
      <w:r w:rsidRPr="002932E6">
        <w:t>.</w:t>
      </w:r>
    </w:p>
    <w:p w14:paraId="282B609F" w14:textId="2C8B182F" w:rsidR="0019038E" w:rsidRPr="002932E6" w:rsidRDefault="0019038E" w:rsidP="0083562B">
      <w:pPr>
        <w:pStyle w:val="mythesis"/>
        <w:rPr>
          <w:u w:val="single"/>
          <w:shd w:val="clear" w:color="auto" w:fill="FFFFFF"/>
        </w:rPr>
      </w:pPr>
      <w:r w:rsidRPr="002932E6">
        <w:rPr>
          <w:shd w:val="clear" w:color="auto" w:fill="FFFFFF"/>
        </w:rPr>
        <w:t>The results showed that ISSR markers may be utilized efficiently to access the genetic variation in maize germplasm quickly.</w:t>
      </w:r>
      <w:r w:rsidRPr="002932E6">
        <w:t xml:space="preserve"> </w:t>
      </w:r>
      <w:r w:rsidRPr="002932E6">
        <w:rPr>
          <w:shd w:val="clear" w:color="auto" w:fill="FFFFFF"/>
        </w:rPr>
        <w:t xml:space="preserve">In selecting the accessions for establishing a germplasm bank for the maize landscape and for developing breeding program information on genetic comparison and similarity will be helpful </w:t>
      </w:r>
      <w:sdt>
        <w:sdtPr>
          <w:rPr>
            <w:color w:val="000000"/>
            <w:shd w:val="clear" w:color="auto" w:fill="FFFFFF"/>
          </w:rPr>
          <w:tag w:val="MENDELEY_CITATION_v3_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"/>
          <w:id w:val="-508527273"/>
          <w:placeholder>
            <w:docPart w:val="C796E44BA29C7B49B74F3F722913E754"/>
          </w:placeholder>
        </w:sdtPr>
        <w:sdtContent>
          <w:r w:rsidR="005E3F83" w:rsidRPr="005E3F83">
            <w:rPr>
              <w:color w:val="000000"/>
              <w:shd w:val="clear" w:color="auto" w:fill="FFFFFF"/>
            </w:rPr>
            <w:t>(Allier et al., 2020).</w:t>
          </w:r>
        </w:sdtContent>
      </w:sdt>
    </w:p>
    <w:p w14:paraId="232678B3" w14:textId="55D4725D" w:rsidR="0019038E" w:rsidRPr="002932E6" w:rsidRDefault="0019038E" w:rsidP="0083562B">
      <w:pPr>
        <w:pStyle w:val="mythesis"/>
      </w:pPr>
      <w:r w:rsidRPr="002932E6">
        <w:lastRenderedPageBreak/>
        <w:t xml:space="preserve">The results showed that the responsiveness was similar in the cultivars in the lower clade in the phylogenetic tree of RBLC, which were also genetically very closed. This indicates that the evolutionary relationship can play a role in the plant's response to symbiosis with AMF, but in some clades, we found that there was no relationship between the genetic origin and the responsiveness. We concluded from the 18S and RBCL that the effect on the responsiveness to the region in the RBCL is more than the effect on the region's response in the 18S. A common observation in the 18S and RBCL phylogenetic trees, that </w:t>
      </w:r>
      <w:r w:rsidR="00BD2DB2">
        <w:t xml:space="preserve">the </w:t>
      </w:r>
      <w:r w:rsidRPr="002932E6">
        <w:t xml:space="preserve">cultivar No.8 was negatively responding, despite the close genetic ancestry of this cultivar with others that were highly responsive. also, that was observed in all primers of the ISSR analysis, except primer 5 which showed that </w:t>
      </w:r>
      <w:r w:rsidR="00BD2DB2">
        <w:t xml:space="preserve">the </w:t>
      </w:r>
      <w:r w:rsidRPr="002932E6">
        <w:t>cultivar No.8 was genetically far from the responding cultivars, and here is an indication that the genetic origin may affect the response in the case of primer 5.</w:t>
      </w:r>
    </w:p>
    <w:p w14:paraId="15F122B4" w14:textId="77777777" w:rsidR="0019038E" w:rsidRPr="00B4729E" w:rsidRDefault="0019038E" w:rsidP="0083562B">
      <w:pPr>
        <w:pStyle w:val="mythesis"/>
        <w:rPr>
          <w:shd w:val="clear" w:color="auto" w:fill="FFFFFF"/>
        </w:rPr>
      </w:pPr>
      <w:r w:rsidRPr="002932E6">
        <w:t xml:space="preserve"> But that was differ in primer 5 in ISSR, it was the only case that the negatively responding cultivar was far away from the positively or neutral responding cultivars, but that cannot be a strong indicator that the mycorrhizal responsiveness linked to genetic origin.</w:t>
      </w:r>
    </w:p>
    <w:p w14:paraId="32E61905" w14:textId="77777777" w:rsidR="00B141D1" w:rsidRDefault="00B141D1" w:rsidP="0083562B">
      <w:pPr>
        <w:pStyle w:val="mythesis"/>
      </w:pPr>
      <w:r w:rsidRPr="00B141D1">
        <w:t xml:space="preserve">An analysis of the ISSR markers separated the </w:t>
      </w:r>
      <w:r w:rsidRPr="00B141D1">
        <w:rPr>
          <w:i/>
          <w:iCs w:val="0"/>
        </w:rPr>
        <w:t>Zea mays</w:t>
      </w:r>
      <w:r w:rsidRPr="00B141D1">
        <w:t xml:space="preserve"> cultivars into many clusters. This result corresponds to the cluster analysis of the 18S gene and RBCL gene but with fewer differences in the sister clusters.  Such a high variation in the number of fragments produced by these primers may be attributed to the differences in the binding site throughout the genome of the genotype. (Ajibade et al., 2000) reported in their study that they found on the generation of the ISSR fragments ranging from 4 to 12 markers in </w:t>
      </w:r>
      <w:r w:rsidRPr="00B141D1">
        <w:rPr>
          <w:i/>
          <w:iCs w:val="0"/>
        </w:rPr>
        <w:t>Vigna</w:t>
      </w:r>
      <w:r w:rsidRPr="00B141D1">
        <w:t xml:space="preserve"> and 8 markers in </w:t>
      </w:r>
      <w:r w:rsidRPr="00B141D1">
        <w:rPr>
          <w:i/>
          <w:iCs w:val="0"/>
        </w:rPr>
        <w:t>Phaseolus</w:t>
      </w:r>
      <w:r w:rsidRPr="00B141D1">
        <w:t xml:space="preserve"> </w:t>
      </w:r>
      <w:r w:rsidRPr="00B141D1">
        <w:rPr>
          <w:i/>
          <w:iCs w:val="0"/>
        </w:rPr>
        <w:t>vulgaris</w:t>
      </w:r>
      <w:r w:rsidRPr="00B141D1">
        <w:t xml:space="preserve"> (Galván et al., 2003). The distribution of the different microsatellite sequences in different living genomes determined the possibility of using this method for the purpose of DNA fingerprinting. This indicates that the ISSR marker is applicable in assessing molecular relativity among species of </w:t>
      </w:r>
      <w:r w:rsidRPr="00B141D1">
        <w:rPr>
          <w:i/>
          <w:iCs w:val="0"/>
        </w:rPr>
        <w:t>Zea mays</w:t>
      </w:r>
      <w:r w:rsidRPr="00B141D1">
        <w:t>.</w:t>
      </w:r>
    </w:p>
    <w:p w14:paraId="7A50E708" w14:textId="23CBBAA2" w:rsidR="0019038E" w:rsidRPr="002932E6" w:rsidRDefault="0019038E" w:rsidP="0083562B">
      <w:pPr>
        <w:pStyle w:val="mythesis"/>
      </w:pPr>
      <w:r w:rsidRPr="002932E6">
        <w:t xml:space="preserve">In crop development, genetic diversity is a major determinant of germplasm efficiency. A population with a high level of genetic variety is an excellent resource for widening the genetic basis in any breeding program. The genetic variations discovered in some of the landraces were relatively narrow, which could have come from the species' long agricultural history as an adaptation to local agro-climatic conditions and could be related to a restricted genetic base </w:t>
      </w:r>
      <w:sdt>
        <w:sdtPr>
          <w:rPr>
            <w:color w:val="000000"/>
          </w:rPr>
          <w:tag w:val="MENDELEY_CITATION_v3_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"/>
          <w:id w:val="-1458864848"/>
          <w:placeholder>
            <w:docPart w:val="C796E44BA29C7B49B74F3F722913E754"/>
          </w:placeholder>
        </w:sdtPr>
        <w:sdtContent>
          <w:r w:rsidR="005E3F83" w:rsidRPr="005E3F83">
            <w:rPr>
              <w:color w:val="000000"/>
            </w:rPr>
            <w:t>(Seehalak et al., 2006)</w:t>
          </w:r>
        </w:sdtContent>
      </w:sdt>
      <w:r w:rsidRPr="002932E6">
        <w:t>.</w:t>
      </w:r>
    </w:p>
    <w:p w14:paraId="0CBC277A" w14:textId="77777777" w:rsidR="0019038E" w:rsidRDefault="0019038E" w:rsidP="0019038E">
      <w:pPr>
        <w:pStyle w:val="Heading2"/>
      </w:pPr>
      <w:bookmarkStart w:id="126" w:name="_Toc83751470"/>
      <w:r w:rsidRPr="002932E6">
        <w:lastRenderedPageBreak/>
        <w:t>3.5 Conclusion</w:t>
      </w:r>
      <w:bookmarkEnd w:id="126"/>
      <w:r w:rsidRPr="002932E6">
        <w:t xml:space="preserve"> </w:t>
      </w:r>
    </w:p>
    <w:p w14:paraId="294339AE" w14:textId="77777777" w:rsidR="0019038E" w:rsidRPr="00B4729E" w:rsidRDefault="0019038E" w:rsidP="0019038E">
      <w:pPr>
        <w:rPr>
          <w:lang w:val="en-GB"/>
        </w:rPr>
      </w:pPr>
    </w:p>
    <w:p w14:paraId="13089132" w14:textId="77777777" w:rsidR="0019038E" w:rsidRPr="00B4729E" w:rsidRDefault="0019038E" w:rsidP="0083562B">
      <w:pPr>
        <w:pStyle w:val="mythesis"/>
        <w:rPr>
          <w:u w:val="single"/>
        </w:rPr>
      </w:pPr>
      <w:r w:rsidRPr="002932E6">
        <w:t xml:space="preserve">The results that we found in the trees disagree with our hypothesis because the results reflected that the clades sometimes included different mycorrhizal responses, and that suggests that there is no strong selection pressure against mycorrhization. This would also suggest that the mycorrhizal responsiveness is not strongly selected for either, and thus non-mycorrhizal cultivars came about because of the genetic drift and the reason is not selected against is that it still performs well in the high input agricultural systems that prevail across the Arabian Peninsula.  </w:t>
      </w:r>
    </w:p>
    <w:p w14:paraId="4AB6DB7E" w14:textId="5D0100AB" w:rsidR="0019038E" w:rsidRPr="00B4729E" w:rsidRDefault="0019038E" w:rsidP="0083562B">
      <w:pPr>
        <w:pStyle w:val="mythesis"/>
        <w:rPr>
          <w:shd w:val="clear" w:color="auto" w:fill="FFFFFF"/>
        </w:rPr>
      </w:pPr>
      <w:r w:rsidRPr="002932E6">
        <w:t>Also, Maize has enormous genetic diversity that offers incredible opportunities for genetic enhancement despite the challenges mentioned above. ISSR markers differed in their ability to differentiate individuals and for detecting polymorphisms. Molecular methods by using ISSR molecular markers could be successfully applied for conducting fast variety identification of commercial maize seeds. This finding provides sufficient variation to identify</w:t>
      </w:r>
      <w:r w:rsidR="00BD2DB2">
        <w:t xml:space="preserve"> the </w:t>
      </w:r>
      <w:r w:rsidRPr="002932E6">
        <w:t>maize cultivars from Saudi Arabia that can be utilized in the future in breeding programs of maize will provide assistance for the future research analysis.</w:t>
      </w:r>
    </w:p>
    <w:p w14:paraId="640F50AE" w14:textId="3469311B" w:rsidR="0019038E" w:rsidRPr="002932E6" w:rsidRDefault="0019038E" w:rsidP="0019038E">
      <w:pPr>
        <w:spacing w:afterLines="280" w:after="672" w:line="360" w:lineRule="auto"/>
        <w:jc w:val="lowKashida"/>
        <w:rPr>
          <w:b/>
          <w:bCs/>
          <w:color w:val="7030A0"/>
        </w:rPr>
      </w:pPr>
    </w:p>
    <w:p w14:paraId="3A97103B" w14:textId="428DA310" w:rsidR="0019038E" w:rsidRDefault="0019038E" w:rsidP="0019038E">
      <w:pPr>
        <w:spacing w:afterLines="280" w:after="672" w:line="360" w:lineRule="auto"/>
        <w:jc w:val="lowKashida"/>
        <w:rPr>
          <w:color w:val="7030A0"/>
        </w:rPr>
      </w:pPr>
    </w:p>
    <w:p w14:paraId="4EB576E0" w14:textId="77777777" w:rsidR="00135254" w:rsidRPr="002932E6" w:rsidRDefault="00135254" w:rsidP="0019038E">
      <w:pPr>
        <w:spacing w:afterLines="280" w:after="672" w:line="360" w:lineRule="auto"/>
        <w:jc w:val="lowKashida"/>
        <w:rPr>
          <w:color w:val="7030A0"/>
        </w:rPr>
      </w:pPr>
    </w:p>
    <w:p w14:paraId="50568C49" w14:textId="77777777" w:rsidR="0019038E" w:rsidRPr="002932E6" w:rsidRDefault="0019038E" w:rsidP="0019038E">
      <w:pPr>
        <w:spacing w:afterLines="280" w:after="672" w:line="360" w:lineRule="auto"/>
        <w:jc w:val="lowKashida"/>
        <w:rPr>
          <w:color w:val="7030A0"/>
        </w:rPr>
      </w:pPr>
    </w:p>
    <w:p w14:paraId="2350B918" w14:textId="5EDA307C" w:rsidR="0019038E" w:rsidRDefault="0019038E" w:rsidP="0019038E">
      <w:pPr>
        <w:spacing w:afterLines="280" w:after="672" w:line="360" w:lineRule="auto"/>
        <w:jc w:val="lowKashida"/>
      </w:pPr>
    </w:p>
    <w:p w14:paraId="7382DE82" w14:textId="77777777" w:rsidR="00AA165F" w:rsidRPr="002932E6" w:rsidRDefault="00AA165F" w:rsidP="0019038E">
      <w:pPr>
        <w:spacing w:afterLines="280" w:after="672" w:line="360" w:lineRule="auto"/>
        <w:jc w:val="lowKashida"/>
      </w:pPr>
    </w:p>
    <w:p w14:paraId="6AD988C3" w14:textId="77777777" w:rsidR="0019038E" w:rsidRDefault="0019038E" w:rsidP="0019038E">
      <w:pPr>
        <w:pStyle w:val="Heading1"/>
        <w:numPr>
          <w:ilvl w:val="0"/>
          <w:numId w:val="1"/>
        </w:numPr>
        <w:tabs>
          <w:tab w:val="num" w:pos="720"/>
        </w:tabs>
      </w:pPr>
      <w:bookmarkStart w:id="127" w:name="_Toc83751471"/>
      <w:r>
        <w:lastRenderedPageBreak/>
        <w:t xml:space="preserve">The effect of Arbuscular Mycorrhizal Fungi on the biochemical response of </w:t>
      </w:r>
      <w:r w:rsidRPr="00803E53">
        <w:rPr>
          <w:i/>
          <w:iCs/>
        </w:rPr>
        <w:t>Zea mays</w:t>
      </w:r>
      <w:r>
        <w:t xml:space="preserve"> shoots and roots</w:t>
      </w:r>
      <w:bookmarkEnd w:id="127"/>
    </w:p>
    <w:p w14:paraId="36607FC6" w14:textId="77777777" w:rsidR="0019038E" w:rsidRPr="006E019F" w:rsidRDefault="0019038E" w:rsidP="0019038E"/>
    <w:p w14:paraId="2F12AE2A" w14:textId="77777777" w:rsidR="0019038E" w:rsidRDefault="0019038E" w:rsidP="0019038E">
      <w:pPr>
        <w:pStyle w:val="Heading2"/>
      </w:pPr>
      <w:bookmarkStart w:id="128" w:name="_Toc83751472"/>
      <w:r w:rsidRPr="002932E6">
        <w:t>4.1 Introduction</w:t>
      </w:r>
      <w:bookmarkEnd w:id="128"/>
      <w:r w:rsidRPr="002932E6">
        <w:t xml:space="preserve"> </w:t>
      </w:r>
    </w:p>
    <w:p w14:paraId="7AB055EC" w14:textId="77777777" w:rsidR="0019038E" w:rsidRPr="006E019F" w:rsidRDefault="0019038E" w:rsidP="0019038E">
      <w:pPr>
        <w:rPr>
          <w:lang w:val="en-GB"/>
        </w:rPr>
      </w:pPr>
    </w:p>
    <w:p w14:paraId="59DD48AD" w14:textId="1BA42C92" w:rsidR="0019038E" w:rsidRPr="00924FA0" w:rsidRDefault="0019038E" w:rsidP="00924FA0">
      <w:pPr>
        <w:pStyle w:val="mythesis"/>
      </w:pPr>
      <w:r w:rsidRPr="00924FA0">
        <w:t xml:space="preserve">  In general Maize is highly responses to mycorrhiza (chapter 2) and its widely appreciated as a host for a range of different arbuscular mycorrhizal species </w:t>
      </w:r>
      <w:sdt>
        <w:sdtPr>
          <w:rPr>
            <w:color w:val="000000"/>
          </w:rPr>
          <w:tag w:val="MENDELEY_CITATION_v3_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"/>
          <w:id w:val="-1272394763"/>
          <w:placeholder>
            <w:docPart w:val="DefaultPlaceholder_-1854013440"/>
          </w:placeholder>
        </w:sdtPr>
        <w:sdtContent>
          <w:r w:rsidR="005E3F83" w:rsidRPr="005E3F83">
            <w:rPr>
              <w:color w:val="000000"/>
            </w:rPr>
            <w:t>(Ramírez-Flores et al., 2020).</w:t>
          </w:r>
        </w:sdtContent>
      </w:sdt>
    </w:p>
    <w:p w14:paraId="1939FE20" w14:textId="4BD5714B" w:rsidR="0019038E" w:rsidRPr="00924FA0" w:rsidRDefault="0019038E" w:rsidP="00924FA0">
      <w:pPr>
        <w:pStyle w:val="mythesis"/>
      </w:pPr>
      <w:r w:rsidRPr="00924FA0">
        <w:t xml:space="preserve">    It is well known that this relationship provides numerous advantages, AMF has been found to increase growth and nutrient uptake, it is also well known to provide additional non</w:t>
      </w:r>
      <w:r w:rsidR="009E4084" w:rsidRPr="009E4084">
        <w:rPr>
          <w:color w:val="FF0000"/>
        </w:rPr>
        <w:t>-</w:t>
      </w:r>
      <w:r w:rsidRPr="00924FA0">
        <w:t xml:space="preserve"> nutrient</w:t>
      </w:r>
      <w:r w:rsidR="009E4084" w:rsidRPr="009E4084">
        <w:rPr>
          <w:color w:val="FF0000"/>
        </w:rPr>
        <w:t>s</w:t>
      </w:r>
      <w:r w:rsidRPr="00924FA0">
        <w:t xml:space="preserve"> effect such as stimulation of pathogens resistance, increase water stress tolerance </w:t>
      </w:r>
      <w:sdt>
        <w:sdtPr>
          <w:rPr>
            <w:color w:val="000000"/>
          </w:rPr>
          <w:tag w:val="MENDELEY_CITATION_v3_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"/>
          <w:id w:val="-1161227988"/>
          <w:placeholder>
            <w:docPart w:val="AF8BB1A07945694EAFC0C10E8A88E2DA"/>
          </w:placeholder>
        </w:sdtPr>
        <w:sdtContent>
          <w:r w:rsidR="005E3F83" w:rsidRPr="005E3F83">
            <w:rPr>
              <w:color w:val="000000"/>
            </w:rPr>
            <w:t xml:space="preserve">(Subramanian and Charest, 1995), </w:t>
          </w:r>
        </w:sdtContent>
      </w:sdt>
      <w:r w:rsidRPr="00924FA0">
        <w:t xml:space="preserve">saline stresses tolerance </w:t>
      </w:r>
      <w:sdt>
        <w:sdtPr>
          <w:rPr>
            <w:color w:val="000000"/>
          </w:rPr>
          <w:tag w:val="MENDELEY_CITATION_v3_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"/>
          <w:id w:val="-1305238873"/>
          <w:placeholder>
            <w:docPart w:val="AF8BB1A07945694EAFC0C10E8A88E2DA"/>
          </w:placeholder>
        </w:sdtPr>
        <w:sdtContent>
          <w:r w:rsidR="005E3F83" w:rsidRPr="005E3F83">
            <w:rPr>
              <w:color w:val="000000"/>
            </w:rPr>
            <w:t>(Sheng et al., 2008)</w:t>
          </w:r>
        </w:sdtContent>
      </w:sdt>
      <w:r w:rsidRPr="00924FA0">
        <w:t xml:space="preserve"> and temperatures stress</w:t>
      </w:r>
      <w:r w:rsidR="009E4084" w:rsidRPr="009E4084">
        <w:rPr>
          <w:color w:val="FF0000"/>
        </w:rPr>
        <w:t>-</w:t>
      </w:r>
      <w:r w:rsidRPr="00924FA0">
        <w:t xml:space="preserve">tolerant </w:t>
      </w:r>
      <w:sdt>
        <w:sdtPr>
          <w:rPr>
            <w:color w:val="000000"/>
          </w:rPr>
          <w:tag w:val="MENDELEY_CITATION_v3_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"/>
          <w:id w:val="-88000929"/>
          <w:placeholder>
            <w:docPart w:val="AF8BB1A07945694EAFC0C10E8A88E2DA"/>
          </w:placeholder>
        </w:sdtPr>
        <w:sdtContent>
          <w:r w:rsidR="005E3F83" w:rsidRPr="005E3F83">
            <w:rPr>
              <w:color w:val="000000"/>
            </w:rPr>
            <w:t xml:space="preserve">(Zhu et al., 2010). </w:t>
          </w:r>
        </w:sdtContent>
      </w:sdt>
      <w:r w:rsidRPr="00924FA0">
        <w:t>AMF affects various secondary metabolites, including those that mediate interactions between the two partners in plant-AMF symbiosis from the colonization phase to the development of AMF in root tissue, In the pre-symbiotic stage of association, secondary metabolites are released by AMF, which act as signaling molecules in plant-AMF symbiotic interaction</w:t>
      </w:r>
      <w:sdt>
        <w:sdtPr>
          <w:rPr>
            <w:color w:val="000000"/>
          </w:rPr>
          <w:tag w:val="MENDELEY_CITATION_v3_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"/>
          <w:id w:val="707628"/>
          <w:placeholder>
            <w:docPart w:val="AF8BB1A07945694EAFC0C10E8A88E2DA"/>
          </w:placeholder>
        </w:sdtPr>
        <w:sdtEndPr>
          <w:rPr>
            <w:rFonts w:eastAsiaTheme="minorHAnsi"/>
          </w:rPr>
        </w:sdtEndPr>
        <w:sdtContent>
          <w:r w:rsidR="005E3F83" w:rsidRPr="005E3F83">
            <w:rPr>
              <w:color w:val="000000"/>
            </w:rPr>
            <w:t>(Daneshmand et al., 2010)</w:t>
          </w:r>
        </w:sdtContent>
      </w:sdt>
      <w:r w:rsidRPr="00924FA0">
        <w:t xml:space="preserve">. </w:t>
      </w:r>
      <w:r w:rsidR="00606F24">
        <w:t>T</w:t>
      </w:r>
      <w:r w:rsidRPr="00924FA0">
        <w:t>hese signaling molecules along with colonization of the plant root tissue led to a cascade of changes in the host plant’s secondary metabolism. the unde</w:t>
      </w:r>
      <w:r w:rsidRPr="00F946AE">
        <w:t>rl</w:t>
      </w:r>
      <w:r w:rsidR="009E4084" w:rsidRPr="00F946AE">
        <w:t>yni</w:t>
      </w:r>
      <w:r w:rsidRPr="00F946AE">
        <w:t>n</w:t>
      </w:r>
      <w:r w:rsidRPr="00924FA0">
        <w:t xml:space="preserve">g mechanism for the non-nutrient effects is through this reprogramming of plant secondary </w:t>
      </w:r>
      <w:r w:rsidRPr="00F946AE">
        <w:t xml:space="preserve">metabolism </w:t>
      </w:r>
      <w:sdt>
        <w:sdtPr>
          <w:tag w:val="MENDELEY_CITATION_v3_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"/>
          <w:id w:val="-1032414530"/>
          <w:placeholder>
            <w:docPart w:val="AF8BB1A07945694EAFC0C10E8A88E2DA"/>
          </w:placeholder>
        </w:sdtPr>
        <w:sdtContent>
          <w:r w:rsidR="005E3F83" w:rsidRPr="00F946AE">
            <w:t>(Smith &amp; Read, 2008)</w:t>
          </w:r>
        </w:sdtContent>
      </w:sdt>
      <w:r w:rsidRPr="00F946AE">
        <w:t xml:space="preserve"> </w:t>
      </w:r>
      <w:r w:rsidR="00C91C33" w:rsidRPr="00F946AE">
        <w:t xml:space="preserve">. </w:t>
      </w:r>
      <w:r w:rsidRPr="00F946AE">
        <w:rPr>
          <w:rFonts w:eastAsiaTheme="minorHAnsi"/>
        </w:rPr>
        <w:t xml:space="preserve">including reducing oxidative stress </w:t>
      </w:r>
      <w:sdt>
        <w:sdtPr>
          <w:rPr>
            <w:rFonts w:eastAsiaTheme="minorHAnsi"/>
          </w:rPr>
          <w:tag w:val="MENDELEY_CITATION_v3_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"/>
          <w:id w:val="-1824500575"/>
          <w:placeholder>
            <w:docPart w:val="AF8BB1A07945694EAFC0C10E8A88E2DA"/>
          </w:placeholder>
        </w:sdtPr>
        <w:sdtContent>
          <w:r w:rsidR="005E3F83" w:rsidRPr="00F946AE">
            <w:rPr>
              <w:rFonts w:eastAsiaTheme="minorHAnsi"/>
            </w:rPr>
            <w:t>(Mayer, 2019)</w:t>
          </w:r>
        </w:sdtContent>
      </w:sdt>
      <w:r w:rsidR="00C91C33" w:rsidRPr="00F946AE">
        <w:rPr>
          <w:rFonts w:eastAsiaTheme="minorHAnsi"/>
        </w:rPr>
        <w:t>,</w:t>
      </w:r>
      <w:r w:rsidRPr="00F946AE">
        <w:rPr>
          <w:rFonts w:eastAsiaTheme="minorHAnsi"/>
        </w:rPr>
        <w:t xml:space="preserve"> and increasing </w:t>
      </w:r>
      <w:r w:rsidR="00C91C33" w:rsidRPr="00F946AE">
        <w:rPr>
          <w:rFonts w:eastAsiaTheme="minorHAnsi"/>
          <w:strike/>
        </w:rPr>
        <w:t>a</w:t>
      </w:r>
      <w:r w:rsidR="00C91C33" w:rsidRPr="00F946AE">
        <w:rPr>
          <w:rFonts w:eastAsiaTheme="minorHAnsi"/>
        </w:rPr>
        <w:t xml:space="preserve"> plant resistance to abiotic as well as biotic stress. </w:t>
      </w:r>
      <w:r w:rsidRPr="00F946AE">
        <w:t>It is interesting that AM fungi are induce</w:t>
      </w:r>
      <w:r w:rsidR="009E4084" w:rsidRPr="00F946AE">
        <w:t>d</w:t>
      </w:r>
      <w:r w:rsidRPr="00F946AE">
        <w:t xml:space="preserve"> a systemic protection mechanism called mycorrhiza (MIR) </w:t>
      </w:r>
      <w:r w:rsidR="00C91C33" w:rsidRPr="00F946AE">
        <w:t>hypothesized</w:t>
      </w:r>
      <w:r w:rsidRPr="00F946AE">
        <w:t xml:space="preserve"> by </w:t>
      </w:r>
      <w:sdt>
        <w:sdtPr>
          <w:tag w:val="MENDELEY_CITATION_v3_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"/>
          <w:id w:val="-1794890956"/>
          <w:placeholder>
            <w:docPart w:val="AF8BB1A07945694EAFC0C10E8A88E2DA"/>
          </w:placeholder>
        </w:sdtPr>
        <w:sdtContent>
          <w:r w:rsidR="005E3F83" w:rsidRPr="00F946AE">
            <w:t xml:space="preserve">(Cameron et al., 2013) </w:t>
          </w:r>
        </w:sdtContent>
      </w:sdt>
      <w:r w:rsidR="00C91C33" w:rsidRPr="00924FA0">
        <w:t xml:space="preserve"> and subsequently demonstrated by</w:t>
      </w:r>
      <w:r w:rsidR="00C91C33" w:rsidRPr="00924FA0">
        <w:rPr>
          <w:rFonts w:eastAsiaTheme="minorHAnsi"/>
        </w:rPr>
        <w:t xml:space="preserve"> </w:t>
      </w:r>
      <w:sdt>
        <w:sdtPr>
          <w:rPr>
            <w:rFonts w:eastAsiaTheme="minorHAnsi"/>
            <w:color w:val="000000"/>
          </w:rPr>
          <w:tag w:val="MENDELEY_CITATION_v3_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"/>
          <w:id w:val="-1396664198"/>
          <w:placeholder>
            <w:docPart w:val="DefaultPlaceholder_-1854013440"/>
          </w:placeholder>
        </w:sdtPr>
        <w:sdtEndPr>
          <w:rPr>
            <w:rFonts w:eastAsia="Times New Roman"/>
          </w:rPr>
        </w:sdtEndPr>
        <w:sdtContent>
          <w:r w:rsidR="005E3F83" w:rsidRPr="005E3F83">
            <w:rPr>
              <w:color w:val="000000"/>
            </w:rPr>
            <w:t>(Pérez-De-Luque et al., 2017)</w:t>
          </w:r>
        </w:sdtContent>
      </w:sdt>
      <w:r w:rsidR="00C91C33" w:rsidRPr="00924FA0">
        <w:rPr>
          <w:rFonts w:eastAsiaTheme="minorHAnsi"/>
        </w:rPr>
        <w:t xml:space="preserve"> . </w:t>
      </w:r>
      <w:r w:rsidRPr="00924FA0">
        <w:rPr>
          <w:rFonts w:eastAsiaTheme="minorHAnsi"/>
        </w:rPr>
        <w:t xml:space="preserve">(MIR) is linked to a transient induction of JA dependent and SA dependent metabolic pathways that are associated with both disease suppression and the mitigation of biotic and abiotic stresses on plant </w:t>
      </w:r>
      <w:sdt>
        <w:sdtPr>
          <w:rPr>
            <w:rFonts w:eastAsiaTheme="minorHAnsi"/>
            <w:color w:val="000000"/>
          </w:rPr>
          <w:tag w:val="MENDELEY_CITATION_v3_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"/>
          <w:id w:val="314311902"/>
          <w:placeholder>
            <w:docPart w:val="AF8BB1A07945694EAFC0C10E8A88E2DA"/>
          </w:placeholder>
        </w:sdtPr>
        <w:sdtContent>
          <w:r w:rsidR="005E3F83" w:rsidRPr="005E3F83">
            <w:rPr>
              <w:rFonts w:eastAsiaTheme="minorHAnsi"/>
              <w:color w:val="000000"/>
            </w:rPr>
            <w:t>(Anjum et al., 2016; Chen et al., 2013)</w:t>
          </w:r>
        </w:sdtContent>
      </w:sdt>
      <w:r w:rsidRPr="00924FA0">
        <w:rPr>
          <w:rFonts w:eastAsiaTheme="minorHAnsi"/>
        </w:rPr>
        <w:t>.</w:t>
      </w:r>
      <w:r w:rsidRPr="00924FA0">
        <w:t xml:space="preserve"> </w:t>
      </w:r>
    </w:p>
    <w:p w14:paraId="60D6CCF7" w14:textId="56C7672C" w:rsidR="0019038E" w:rsidRPr="00924FA0" w:rsidRDefault="0019038E" w:rsidP="00924FA0">
      <w:pPr>
        <w:pStyle w:val="mythesis"/>
        <w:rPr>
          <w:rFonts w:eastAsiaTheme="minorHAnsi"/>
        </w:rPr>
      </w:pPr>
      <w:r w:rsidRPr="00924FA0">
        <w:rPr>
          <w:rStyle w:val="jss3947"/>
        </w:rPr>
        <w:t>Downstream from JA and SA, AMF activate</w:t>
      </w:r>
      <w:r w:rsidR="009E4084" w:rsidRPr="009E4084">
        <w:rPr>
          <w:rStyle w:val="jss3947"/>
          <w:color w:val="FF0000"/>
        </w:rPr>
        <w:t>s</w:t>
      </w:r>
      <w:r w:rsidRPr="00924FA0">
        <w:rPr>
          <w:rStyle w:val="jss3947"/>
        </w:rPr>
        <w:t xml:space="preserve"> </w:t>
      </w:r>
      <w:r w:rsidR="009E4084">
        <w:rPr>
          <w:rStyle w:val="jss3947"/>
        </w:rPr>
        <w:t xml:space="preserve">a </w:t>
      </w:r>
      <w:r w:rsidR="00C71F6C">
        <w:rPr>
          <w:rStyle w:val="jss3947"/>
        </w:rPr>
        <w:t>11</w:t>
      </w:r>
      <w:r w:rsidRPr="00924FA0">
        <w:rPr>
          <w:rStyle w:val="jss3947"/>
        </w:rPr>
        <w:t xml:space="preserve">number of other secondary metabolite pathways, such as carotenoids, phenylpropanoids and antioxidants </w:t>
      </w:r>
      <w:sdt>
        <w:sdtPr>
          <w:rPr>
            <w:rStyle w:val="jss3947"/>
            <w:color w:val="000000"/>
          </w:rPr>
          <w:tag w:val="MENDELEY_CITATION_v3_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"/>
          <w:id w:val="-1975121093"/>
          <w:placeholder>
            <w:docPart w:val="AF8BB1A07945694EAFC0C10E8A88E2DA"/>
          </w:placeholder>
        </w:sdtPr>
        <w:sdtContent>
          <w:r w:rsidR="005E3F83" w:rsidRPr="005E3F83">
            <w:rPr>
              <w:rStyle w:val="jss3947"/>
              <w:color w:val="000000"/>
            </w:rPr>
            <w:t>( Chen et al., 2013; Hill et al., 2018)</w:t>
          </w:r>
        </w:sdtContent>
      </w:sdt>
      <w:r w:rsidRPr="00924FA0">
        <w:t xml:space="preserve"> .</w:t>
      </w:r>
      <w:r w:rsidRPr="00924FA0">
        <w:rPr>
          <w:rStyle w:val="jss3947"/>
        </w:rPr>
        <w:t>Compounds that are produced along these pathways indicate the different function in the different plant-AMF symbiosis</w:t>
      </w:r>
      <w:r w:rsidRPr="00924FA0">
        <w:rPr>
          <w:rFonts w:eastAsiaTheme="minorHAnsi"/>
        </w:rPr>
        <w:t xml:space="preserve"> </w:t>
      </w:r>
      <w:sdt>
        <w:sdtPr>
          <w:rPr>
            <w:rFonts w:eastAsiaTheme="minorHAnsi"/>
          </w:rPr>
          <w:tag w:val="MENDELEY_CITATION_v3_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"/>
          <w:id w:val="1985734140"/>
          <w:placeholder>
            <w:docPart w:val="AF8BB1A07945694EAFC0C10E8A88E2DA"/>
          </w:placeholder>
        </w:sdtPr>
        <w:sdtContent>
          <w:r w:rsidR="005E3F83">
            <w:t>(Kaur &amp; Suseela, 2020)</w:t>
          </w:r>
        </w:sdtContent>
      </w:sdt>
      <w:r w:rsidRPr="00924FA0">
        <w:rPr>
          <w:rFonts w:eastAsiaTheme="minorHAnsi"/>
        </w:rPr>
        <w:t xml:space="preserve">. These Secondary metabolites are divided into three main groups based on the pathways of biosynthesis: phenolic compounds synthesized in the shikimate pathway, terpenes synthesized in the mevalonic pathway and </w:t>
      </w:r>
      <w:r w:rsidRPr="00924FA0">
        <w:rPr>
          <w:rFonts w:eastAsiaTheme="minorHAnsi"/>
        </w:rPr>
        <w:lastRenderedPageBreak/>
        <w:t xml:space="preserve">nitrogen-containing compounds synthesized on the tricarboxylic acid cycle pathway </w:t>
      </w:r>
      <w:sdt>
        <w:sdtPr>
          <w:rPr>
            <w:rFonts w:eastAsiaTheme="minorHAnsi"/>
            <w:color w:val="000000"/>
          </w:rPr>
          <w:tag w:val="MENDELEY_CITATION_v3_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"/>
          <w:id w:val="1659808160"/>
          <w:placeholder>
            <w:docPart w:val="C796E44BA29C7B49B74F3F722913E754"/>
          </w:placeholder>
        </w:sdtPr>
        <w:sdtContent>
          <w:r w:rsidR="005E3F83" w:rsidRPr="005E3F83">
            <w:rPr>
              <w:rFonts w:eastAsiaTheme="minorHAnsi"/>
              <w:color w:val="000000"/>
            </w:rPr>
            <w:t>(Jamwal et al., 2018b)</w:t>
          </w:r>
        </w:sdtContent>
      </w:sdt>
      <w:r w:rsidRPr="00924FA0">
        <w:rPr>
          <w:rFonts w:eastAsiaTheme="minorHAnsi"/>
        </w:rPr>
        <w:t>. and last</w:t>
      </w:r>
      <w:r w:rsidR="003C7C72" w:rsidRPr="00924FA0">
        <w:rPr>
          <w:rFonts w:eastAsiaTheme="minorHAnsi"/>
        </w:rPr>
        <w:t>ly a</w:t>
      </w:r>
      <w:r w:rsidRPr="00924FA0">
        <w:rPr>
          <w:rFonts w:eastAsiaTheme="minorHAnsi"/>
        </w:rPr>
        <w:t xml:space="preserve"> minor group of plant Secondary metabolites is Sulfur-containing secondary metabolites </w:t>
      </w:r>
      <w:sdt>
        <w:sdtPr>
          <w:rPr>
            <w:rFonts w:eastAsiaTheme="minorHAnsi"/>
          </w:rPr>
          <w:tag w:val="MENDELEY_CITATION_v3_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"/>
          <w:id w:val="1549879888"/>
          <w:placeholder>
            <w:docPart w:val="C796E44BA29C7B49B74F3F722913E754"/>
          </w:placeholder>
        </w:sdtPr>
        <w:sdtContent>
          <w:r w:rsidR="005E3F83">
            <w:t>(Venditti &amp; Bianco, 2020)</w:t>
          </w:r>
        </w:sdtContent>
      </w:sdt>
      <w:r w:rsidRPr="00924FA0">
        <w:rPr>
          <w:rFonts w:eastAsiaTheme="minorHAnsi"/>
        </w:rPr>
        <w:t xml:space="preserve"> .</w:t>
      </w:r>
      <w:r w:rsidRPr="00924FA0">
        <w:t xml:space="preserve"> The importance of the first group (Phenolic) compounds plays a central role in plant defense against parasites and pests </w:t>
      </w:r>
      <w:sdt>
        <w:sdtPr>
          <w:rPr>
            <w:color w:val="000000"/>
          </w:rPr>
          <w:tag w:val="MENDELEY_CITATION_v3_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"/>
          <w:id w:val="94218014"/>
          <w:placeholder>
            <w:docPart w:val="C796E44BA29C7B49B74F3F722913E754"/>
          </w:placeholder>
        </w:sdtPr>
        <w:sdtContent>
          <w:r w:rsidR="005E3F83" w:rsidRPr="005E3F83">
            <w:rPr>
              <w:color w:val="000000"/>
            </w:rPr>
            <w:t>(Wuyts et al., 2006)</w:t>
          </w:r>
        </w:sdtContent>
      </w:sdt>
      <w:r w:rsidRPr="00924FA0">
        <w:t>. These Phenolic compounds include (Coumarin,</w:t>
      </w:r>
      <w:r w:rsidRPr="00924FA0">
        <w:rPr>
          <w:rFonts w:eastAsiaTheme="minorHAnsi"/>
        </w:rPr>
        <w:t xml:space="preserve"> Lignin, Furanocoumarins,</w:t>
      </w:r>
      <w:r w:rsidRPr="00924FA0">
        <w:t xml:space="preserve"> </w:t>
      </w:r>
      <w:r w:rsidRPr="00924FA0">
        <w:rPr>
          <w:rFonts w:eastAsiaTheme="minorHAnsi"/>
        </w:rPr>
        <w:t>Flavonoids,</w:t>
      </w:r>
      <w:r w:rsidRPr="00924FA0">
        <w:t xml:space="preserve"> </w:t>
      </w:r>
      <w:r w:rsidRPr="00924FA0">
        <w:rPr>
          <w:rFonts w:eastAsiaTheme="minorHAnsi"/>
        </w:rPr>
        <w:t>Isoflavonoid, Tannins).</w:t>
      </w:r>
    </w:p>
    <w:p w14:paraId="3940EECF" w14:textId="4581BD47" w:rsidR="0019038E" w:rsidRPr="002932E6" w:rsidRDefault="0019038E" w:rsidP="00924FA0">
      <w:pPr>
        <w:pStyle w:val="mythesis"/>
        <w:rPr>
          <w:rFonts w:eastAsiaTheme="minorHAnsi"/>
        </w:rPr>
      </w:pPr>
      <w:r w:rsidRPr="002932E6">
        <w:rPr>
          <w:rFonts w:eastAsiaTheme="minorHAnsi"/>
        </w:rPr>
        <w:t xml:space="preserve">        </w:t>
      </w:r>
      <w:r w:rsidR="00F873C6">
        <w:rPr>
          <w:rFonts w:eastAsiaTheme="minorHAnsi"/>
        </w:rPr>
        <w:t>A second</w:t>
      </w:r>
      <w:r w:rsidRPr="002932E6">
        <w:rPr>
          <w:rFonts w:eastAsiaTheme="minorHAnsi"/>
        </w:rPr>
        <w:t xml:space="preserve"> important group</w:t>
      </w:r>
      <w:r w:rsidR="00F873C6">
        <w:rPr>
          <w:rFonts w:eastAsiaTheme="minorHAnsi"/>
        </w:rPr>
        <w:t xml:space="preserve"> of metabolites </w:t>
      </w:r>
      <w:r w:rsidR="00F873C6" w:rsidRPr="002932E6">
        <w:rPr>
          <w:rFonts w:eastAsiaTheme="minorHAnsi"/>
        </w:rPr>
        <w:t>is</w:t>
      </w:r>
      <w:r w:rsidRPr="002932E6">
        <w:rPr>
          <w:rFonts w:eastAsiaTheme="minorHAnsi"/>
        </w:rPr>
        <w:t xml:space="preserve"> (Terpenes and terpenoids) and steroids, terpenes are formed from the derivatives of glycolytic or acetyl CoA intermediates. they are the essential</w:t>
      </w:r>
      <w:r w:rsidR="00F873C6">
        <w:rPr>
          <w:rFonts w:eastAsiaTheme="minorHAnsi"/>
        </w:rPr>
        <w:t xml:space="preserve"> </w:t>
      </w:r>
      <w:r w:rsidRPr="002932E6">
        <w:rPr>
          <w:rFonts w:eastAsiaTheme="minorHAnsi"/>
        </w:rPr>
        <w:t xml:space="preserve">building blocks of various complex phytohormones, sterols, and pigments, and mainly they are responsible for their aromas and physiological effects. Some terpenes have a pleasant aroma, but are mostly defensive and herbivore damper, while they act as pollinator attractants </w:t>
      </w:r>
      <w:r w:rsidRPr="002932E6">
        <w:rPr>
          <w:rFonts w:eastAsiaTheme="minorHAnsi"/>
          <w:color w:val="7030A0"/>
        </w:rPr>
        <w:t xml:space="preserve"> </w:t>
      </w:r>
      <w:sdt>
        <w:sdtPr>
          <w:rPr>
            <w:rFonts w:eastAsiaTheme="minorHAnsi"/>
            <w:color w:val="000000"/>
          </w:rPr>
          <w:tag w:val="MENDELEY_CITATION_v3_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"/>
          <w:id w:val="-672103115"/>
          <w:placeholder>
            <w:docPart w:val="C796E44BA29C7B49B74F3F722913E754"/>
          </w:placeholder>
        </w:sdtPr>
        <w:sdtContent>
          <w:r w:rsidR="005E3F83" w:rsidRPr="005E3F83">
            <w:rPr>
              <w:rFonts w:eastAsiaTheme="minorHAnsi"/>
              <w:color w:val="000000"/>
            </w:rPr>
            <w:t>(Vranová et al., 2012)</w:t>
          </w:r>
        </w:sdtContent>
      </w:sdt>
      <w:r w:rsidRPr="002932E6">
        <w:rPr>
          <w:rFonts w:eastAsiaTheme="minorHAnsi"/>
        </w:rPr>
        <w:t xml:space="preserve">.  </w:t>
      </w:r>
    </w:p>
    <w:p w14:paraId="0B164A67" w14:textId="73B1D884" w:rsidR="0019038E" w:rsidRPr="006E019F" w:rsidRDefault="0019038E" w:rsidP="00924FA0">
      <w:pPr>
        <w:pStyle w:val="mythesis"/>
        <w:rPr>
          <w:rFonts w:eastAsiaTheme="minorHAnsi"/>
        </w:rPr>
      </w:pPr>
      <w:r w:rsidRPr="002932E6">
        <w:rPr>
          <w:rFonts w:eastAsiaTheme="minorHAnsi"/>
        </w:rPr>
        <w:t xml:space="preserve">         </w:t>
      </w:r>
      <w:r w:rsidR="00F873C6">
        <w:rPr>
          <w:rFonts w:eastAsiaTheme="minorHAnsi"/>
        </w:rPr>
        <w:t>The third</w:t>
      </w:r>
      <w:r w:rsidRPr="002932E6">
        <w:rPr>
          <w:rFonts w:eastAsiaTheme="minorHAnsi"/>
        </w:rPr>
        <w:t xml:space="preserve"> major group is (Nitrogen-Containing secondary metabolites) Many plants secondary metabolites contain nitrogen in their skeleton. Nitrogen-containing secondary metabolites are synthesized from common amino acids and can be divided into main four categories: (alkaloids), cyanogenic glycosides, glucosinolates, and nonprotein amino acids.</w:t>
      </w:r>
    </w:p>
    <w:p w14:paraId="713104AB" w14:textId="06410B2A" w:rsidR="0019038E" w:rsidRPr="00C40E11" w:rsidRDefault="0019038E" w:rsidP="00924FA0">
      <w:pPr>
        <w:pStyle w:val="mythesis"/>
        <w:rPr>
          <w:rFonts w:eastAsiaTheme="minorHAnsi"/>
        </w:rPr>
      </w:pPr>
      <w:r w:rsidRPr="00C40E11">
        <w:rPr>
          <w:rFonts w:eastAsiaTheme="minorHAnsi"/>
        </w:rPr>
        <w:t xml:space="preserve">         Finally, a relatively minor group of plant secondary metabolites is Sulfur-containing secondary metabolites it includes about 200 compounds. The group consists of well-known glucosinolates and their products of disintegration such as thiocyanates, isothiocyanates, epithionitrils, and oxacetic substances </w:t>
      </w:r>
      <w:sdt>
        <w:sdtPr>
          <w:rPr>
            <w:rFonts w:eastAsiaTheme="minorHAnsi"/>
          </w:rPr>
          <w:tag w:val="MENDELEY_CITATION_v3_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"/>
          <w:id w:val="-1301912304"/>
          <w:placeholder>
            <w:docPart w:val="AF8BB1A07945694EAFC0C10E8A88E2DA"/>
          </w:placeholder>
        </w:sdtPr>
        <w:sdtContent>
          <w:r w:rsidR="005E3F83">
            <w:t>(Venditti &amp; Bianco, 2020)</w:t>
          </w:r>
        </w:sdtContent>
      </w:sdt>
      <w:r w:rsidRPr="00C40E11">
        <w:rPr>
          <w:rFonts w:eastAsiaTheme="minorHAnsi"/>
        </w:rPr>
        <w:t xml:space="preserve">. This group is essential for protein synthesis, because with a lack of sulfur, protein synthesis is reduced.  Sulfur-containing secondary metabolites Significantly impac the health of plants since plants are unable to properly use nitrogen without sufficient sulfur </w:t>
      </w:r>
      <w:sdt>
        <w:sdtPr>
          <w:rPr>
            <w:rFonts w:eastAsiaTheme="minorHAnsi"/>
            <w:color w:val="000000"/>
          </w:rPr>
          <w:tag w:val="MENDELEY_CITATION_v3_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"/>
          <w:id w:val="943190484"/>
          <w:placeholder>
            <w:docPart w:val="AF8BB1A07945694EAFC0C10E8A88E2DA"/>
          </w:placeholder>
        </w:sdtPr>
        <w:sdtContent>
          <w:r w:rsidR="005E3F83" w:rsidRPr="005E3F83">
            <w:rPr>
              <w:rFonts w:eastAsiaTheme="minorHAnsi"/>
              <w:color w:val="000000"/>
            </w:rPr>
            <w:t>(Bloem et al., 2007)</w:t>
          </w:r>
        </w:sdtContent>
      </w:sdt>
      <w:r w:rsidRPr="00C40E11">
        <w:rPr>
          <w:rFonts w:eastAsiaTheme="minorHAnsi"/>
        </w:rPr>
        <w:t>. Studies have reported that sulfur- and nitrogen-containing secondary metabolites are affected by sulfur and nitrogen supply, because the ideal amount of each respectively enhances the ability of the plant to deal with many of the environmental stresses. Sulfur-containing secondary metabolites include glutathione, glycosphingolipid</w:t>
      </w:r>
      <w:sdt>
        <w:sdtPr>
          <w:rPr>
            <w:rFonts w:eastAsiaTheme="minorHAnsi"/>
            <w:color w:val="000000"/>
          </w:rPr>
          <w:tag w:val="MENDELEY_CITATION_v3_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"/>
          <w:id w:val="-412470898"/>
          <w:placeholder>
            <w:docPart w:val="AF8BB1A07945694EAFC0C10E8A88E2DA"/>
          </w:placeholder>
        </w:sdtPr>
        <w:sdtContent>
          <w:r w:rsidR="005E3F83" w:rsidRPr="005E3F83">
            <w:rPr>
              <w:rFonts w:eastAsiaTheme="minorHAnsi"/>
              <w:color w:val="000000"/>
            </w:rPr>
            <w:t xml:space="preserve"> (Mazid et al., 2011).</w:t>
          </w:r>
        </w:sdtContent>
      </w:sdt>
    </w:p>
    <w:p w14:paraId="008CF741" w14:textId="18203B5B" w:rsidR="0019038E" w:rsidRPr="00B456CB" w:rsidRDefault="0019038E" w:rsidP="00B456CB">
      <w:pPr>
        <w:pStyle w:val="mythesis"/>
        <w:rPr>
          <w:rFonts w:eastAsiaTheme="minorHAnsi"/>
        </w:rPr>
      </w:pPr>
      <w:r w:rsidRPr="00B456CB">
        <w:rPr>
          <w:rFonts w:eastAsiaTheme="minorHAnsi"/>
        </w:rPr>
        <w:t xml:space="preserve"> While be above metabolic pathways have been recorded to be influenced by AMF in general terms, </w:t>
      </w:r>
      <w:r w:rsidRPr="00F946AE">
        <w:rPr>
          <w:rFonts w:eastAsiaTheme="minorHAnsi"/>
        </w:rPr>
        <w:t xml:space="preserve">we do not understand which metabolite in maize with responded to AMF colonization and </w:t>
      </w:r>
      <w:r w:rsidR="00284E15" w:rsidRPr="00F946AE">
        <w:rPr>
          <w:rFonts w:eastAsiaTheme="minorHAnsi"/>
        </w:rPr>
        <w:t xml:space="preserve">to </w:t>
      </w:r>
      <w:r w:rsidRPr="00F946AE">
        <w:rPr>
          <w:rFonts w:eastAsiaTheme="minorHAnsi"/>
        </w:rPr>
        <w:t xml:space="preserve">what </w:t>
      </w:r>
      <w:r w:rsidRPr="00B456CB">
        <w:rPr>
          <w:rFonts w:eastAsiaTheme="minorHAnsi"/>
        </w:rPr>
        <w:t>extent.</w:t>
      </w:r>
    </w:p>
    <w:p w14:paraId="3AF63814" w14:textId="368CBDB3" w:rsidR="0019038E" w:rsidRPr="00F946AE" w:rsidRDefault="0019038E" w:rsidP="00B456CB">
      <w:pPr>
        <w:pStyle w:val="mythesis"/>
        <w:rPr>
          <w:rFonts w:eastAsiaTheme="minorHAnsi"/>
        </w:rPr>
      </w:pPr>
      <w:r w:rsidRPr="00B456CB">
        <w:rPr>
          <w:rFonts w:eastAsiaTheme="minorHAnsi"/>
        </w:rPr>
        <w:lastRenderedPageBreak/>
        <w:t xml:space="preserve"> A complete understanding of interacting effects on plant biochemistry can be achieved through the application of modern metabolomics technologies, through the analysis of plant metabolic profiles, it is possible to not </w:t>
      </w:r>
      <w:r w:rsidRPr="00F946AE">
        <w:rPr>
          <w:rFonts w:eastAsiaTheme="minorHAnsi"/>
        </w:rPr>
        <w:t>only empirically measure the biochemical changes within a specific plant, but to also determine the relationship of the changes in the accumulation of the secondary metabolite compound as a system</w:t>
      </w:r>
      <w:r w:rsidR="00284E15" w:rsidRPr="00F946AE">
        <w:rPr>
          <w:rFonts w:eastAsiaTheme="minorHAnsi"/>
        </w:rPr>
        <w:t>’</w:t>
      </w:r>
      <w:r w:rsidRPr="00F946AE">
        <w:rPr>
          <w:rFonts w:eastAsiaTheme="minorHAnsi"/>
        </w:rPr>
        <w:t xml:space="preserve">s response to the mycorrhizal colonization and we can take advantage of these compounds and exploiting these compounds to benefit from them in many applications in </w:t>
      </w:r>
      <w:r w:rsidR="00284E15" w:rsidRPr="00F946AE">
        <w:rPr>
          <w:rFonts w:eastAsiaTheme="minorHAnsi"/>
        </w:rPr>
        <w:t xml:space="preserve">a </w:t>
      </w:r>
      <w:r w:rsidRPr="00F946AE">
        <w:rPr>
          <w:rFonts w:eastAsiaTheme="minorHAnsi"/>
        </w:rPr>
        <w:t xml:space="preserve">different field or regulating its accumulation after we know the effect of colonization on </w:t>
      </w:r>
      <w:r w:rsidR="00A15CF6" w:rsidRPr="00F946AE">
        <w:rPr>
          <w:rFonts w:eastAsiaTheme="minorHAnsi"/>
        </w:rPr>
        <w:t>it.</w:t>
      </w:r>
    </w:p>
    <w:p w14:paraId="12D22B57" w14:textId="77777777" w:rsidR="0019038E" w:rsidRDefault="0019038E" w:rsidP="0019038E">
      <w:pPr>
        <w:autoSpaceDE w:val="0"/>
        <w:autoSpaceDN w:val="0"/>
        <w:adjustRightInd w:val="0"/>
        <w:spacing w:afterLines="280" w:after="672" w:line="360" w:lineRule="auto"/>
        <w:jc w:val="lowKashida"/>
        <w:rPr>
          <w:rFonts w:eastAsiaTheme="minorHAnsi"/>
          <w:color w:val="000000" w:themeColor="text1"/>
        </w:rPr>
      </w:pPr>
    </w:p>
    <w:p w14:paraId="23D55FE8" w14:textId="77777777" w:rsidR="0019038E" w:rsidRDefault="0019038E" w:rsidP="0019038E">
      <w:pPr>
        <w:autoSpaceDE w:val="0"/>
        <w:autoSpaceDN w:val="0"/>
        <w:adjustRightInd w:val="0"/>
        <w:spacing w:afterLines="280" w:after="672" w:line="360" w:lineRule="auto"/>
        <w:jc w:val="lowKashida"/>
        <w:rPr>
          <w:rFonts w:eastAsiaTheme="minorHAnsi"/>
          <w:color w:val="000000" w:themeColor="text1"/>
        </w:rPr>
      </w:pPr>
    </w:p>
    <w:p w14:paraId="4BCCFCB4" w14:textId="77777777" w:rsidR="0019038E" w:rsidRDefault="0019038E" w:rsidP="0019038E">
      <w:pPr>
        <w:autoSpaceDE w:val="0"/>
        <w:autoSpaceDN w:val="0"/>
        <w:adjustRightInd w:val="0"/>
        <w:spacing w:afterLines="280" w:after="672" w:line="360" w:lineRule="auto"/>
        <w:jc w:val="lowKashida"/>
        <w:rPr>
          <w:rFonts w:eastAsiaTheme="minorHAnsi"/>
          <w:color w:val="000000" w:themeColor="text1"/>
        </w:rPr>
      </w:pPr>
    </w:p>
    <w:p w14:paraId="120772CA" w14:textId="77777777" w:rsidR="0019038E" w:rsidRPr="006E019F" w:rsidRDefault="0019038E" w:rsidP="0019038E">
      <w:pPr>
        <w:autoSpaceDE w:val="0"/>
        <w:autoSpaceDN w:val="0"/>
        <w:adjustRightInd w:val="0"/>
        <w:spacing w:afterLines="280" w:after="672" w:line="360" w:lineRule="auto"/>
        <w:jc w:val="lowKashida"/>
        <w:rPr>
          <w:rFonts w:eastAsiaTheme="minorHAnsi"/>
          <w:color w:val="000000" w:themeColor="text1"/>
        </w:rPr>
      </w:pPr>
    </w:p>
    <w:p w14:paraId="42CB6A5A" w14:textId="77777777" w:rsidR="0019038E" w:rsidRDefault="0019038E" w:rsidP="0019038E">
      <w:pPr>
        <w:keepNext/>
        <w:autoSpaceDE w:val="0"/>
        <w:autoSpaceDN w:val="0"/>
        <w:adjustRightInd w:val="0"/>
        <w:spacing w:afterLines="280" w:after="672" w:line="360" w:lineRule="auto"/>
        <w:jc w:val="lowKashida"/>
      </w:pPr>
      <w:r w:rsidRPr="002932E6">
        <w:rPr>
          <w:rFonts w:eastAsiaTheme="minorHAnsi"/>
          <w:noProof/>
          <w:color w:val="7030A0"/>
          <w:lang w:val="en-GB" w:eastAsia="en-GB"/>
        </w:rPr>
        <w:lastRenderedPageBreak/>
        <w:drawing>
          <wp:inline distT="0" distB="0" distL="0" distR="0" wp14:anchorId="4EE04DC5" wp14:editId="0E144CA5">
            <wp:extent cx="5727700" cy="3054350"/>
            <wp:effectExtent l="0" t="0" r="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a:blip r:embed="rId47">
                      <a:extLst>
                        <a:ext uri="{28A0092B-C50C-407E-A947-70E740481C1C}">
                          <a14:useLocalDpi xmlns:a14="http://schemas.microsoft.com/office/drawing/2010/main" val="0"/>
                        </a:ext>
                      </a:extLst>
                    </a:blip>
                    <a:stretch>
                      <a:fillRect/>
                    </a:stretch>
                  </pic:blipFill>
                  <pic:spPr>
                    <a:xfrm>
                      <a:off x="0" y="0"/>
                      <a:ext cx="5727700" cy="3054350"/>
                    </a:xfrm>
                    <a:prstGeom prst="rect">
                      <a:avLst/>
                    </a:prstGeom>
                  </pic:spPr>
                </pic:pic>
              </a:graphicData>
            </a:graphic>
          </wp:inline>
        </w:drawing>
      </w:r>
    </w:p>
    <w:p w14:paraId="10BBD6AA" w14:textId="3D96CF9F" w:rsidR="0019038E" w:rsidRPr="00E63335" w:rsidRDefault="0019038E" w:rsidP="0019038E">
      <w:pPr>
        <w:pStyle w:val="Caption"/>
        <w:jc w:val="lowKashida"/>
        <w:rPr>
          <w:rFonts w:eastAsiaTheme="minorHAnsi"/>
          <w:b w:val="0"/>
          <w:bCs w:val="0"/>
          <w:color w:val="7030A0"/>
          <w:sz w:val="20"/>
          <w:szCs w:val="20"/>
        </w:rPr>
      </w:pPr>
      <w:bookmarkStart w:id="129" w:name="_Toc83751377"/>
      <w:r w:rsidRPr="0048198E">
        <w:rPr>
          <w:b w:val="0"/>
          <w:bCs w:val="0"/>
        </w:rPr>
        <w:t xml:space="preserve">Figure </w:t>
      </w:r>
      <w:r w:rsidR="00843EDC">
        <w:rPr>
          <w:b w:val="0"/>
          <w:bCs w:val="0"/>
        </w:rPr>
        <w:fldChar w:fldCharType="begin"/>
      </w:r>
      <w:r w:rsidR="00843EDC">
        <w:rPr>
          <w:b w:val="0"/>
          <w:bCs w:val="0"/>
        </w:rPr>
        <w:instrText xml:space="preserve"> STYLEREF 1 \s </w:instrText>
      </w:r>
      <w:r w:rsidR="00843EDC">
        <w:rPr>
          <w:b w:val="0"/>
          <w:bCs w:val="0"/>
        </w:rPr>
        <w:fldChar w:fldCharType="separate"/>
      </w:r>
      <w:r w:rsidR="00843EDC">
        <w:rPr>
          <w:b w:val="0"/>
          <w:bCs w:val="0"/>
          <w:noProof/>
          <w:cs/>
        </w:rPr>
        <w:t>‎</w:t>
      </w:r>
      <w:r w:rsidR="00843EDC">
        <w:rPr>
          <w:b w:val="0"/>
          <w:bCs w:val="0"/>
          <w:noProof/>
        </w:rPr>
        <w:t>4</w:t>
      </w:r>
      <w:r w:rsidR="00843EDC">
        <w:rPr>
          <w:b w:val="0"/>
          <w:bCs w:val="0"/>
        </w:rPr>
        <w:fldChar w:fldCharType="end"/>
      </w:r>
      <w:r w:rsidR="00843EDC">
        <w:rPr>
          <w:b w:val="0"/>
          <w:bCs w:val="0"/>
        </w:rPr>
        <w:t>.</w:t>
      </w:r>
      <w:r w:rsidR="00843EDC">
        <w:rPr>
          <w:b w:val="0"/>
          <w:bCs w:val="0"/>
        </w:rPr>
        <w:fldChar w:fldCharType="begin"/>
      </w:r>
      <w:r w:rsidR="00843EDC">
        <w:rPr>
          <w:b w:val="0"/>
          <w:bCs w:val="0"/>
        </w:rPr>
        <w:instrText xml:space="preserve"> SEQ Figure \* ARABIC \s 1 </w:instrText>
      </w:r>
      <w:r w:rsidR="00843EDC">
        <w:rPr>
          <w:b w:val="0"/>
          <w:bCs w:val="0"/>
        </w:rPr>
        <w:fldChar w:fldCharType="separate"/>
      </w:r>
      <w:r w:rsidR="00843EDC">
        <w:rPr>
          <w:b w:val="0"/>
          <w:bCs w:val="0"/>
          <w:noProof/>
        </w:rPr>
        <w:t>1</w:t>
      </w:r>
      <w:r w:rsidR="00843EDC">
        <w:rPr>
          <w:b w:val="0"/>
          <w:bCs w:val="0"/>
        </w:rPr>
        <w:fldChar w:fldCharType="end"/>
      </w:r>
      <w:r>
        <w:t xml:space="preserve"> </w:t>
      </w:r>
      <w:r w:rsidRPr="00E63335">
        <w:rPr>
          <w:rFonts w:eastAsiaTheme="minorHAnsi"/>
          <w:b w:val="0"/>
          <w:bCs w:val="0"/>
          <w:color w:val="000000" w:themeColor="text1"/>
          <w:sz w:val="20"/>
          <w:szCs w:val="20"/>
        </w:rPr>
        <w:t>The probable paths by which arbuscular mycorrhizal fungi (AMF) reprogram the plant metabolome are depicted schematically. Plant–AMF symbiosis reprograms primary and secondary metabolites.</w:t>
      </w:r>
      <w:r w:rsidRPr="00E63335">
        <w:rPr>
          <w:b w:val="0"/>
          <w:bCs w:val="0"/>
          <w:color w:val="000000" w:themeColor="text1"/>
          <w:sz w:val="20"/>
          <w:szCs w:val="20"/>
        </w:rPr>
        <w:t xml:space="preserve"> </w:t>
      </w:r>
      <w:r w:rsidRPr="00E63335">
        <w:rPr>
          <w:rFonts w:eastAsiaTheme="minorHAnsi"/>
          <w:b w:val="0"/>
          <w:bCs w:val="0"/>
          <w:color w:val="000000" w:themeColor="text1"/>
          <w:sz w:val="20"/>
          <w:szCs w:val="20"/>
        </w:rPr>
        <w:t>Secondary metabolite reprogramming promotes AMF colonization in plants by altering the synthesis of signaling molecules.</w:t>
      </w:r>
      <w:r w:rsidRPr="00E63335">
        <w:rPr>
          <w:b w:val="0"/>
          <w:bCs w:val="0"/>
          <w:color w:val="000000" w:themeColor="text1"/>
          <w:sz w:val="20"/>
          <w:szCs w:val="20"/>
        </w:rPr>
        <w:t xml:space="preserve"> </w:t>
      </w:r>
      <w:r w:rsidRPr="00E63335">
        <w:rPr>
          <w:rFonts w:eastAsiaTheme="minorHAnsi"/>
          <w:b w:val="0"/>
          <w:bCs w:val="0"/>
          <w:color w:val="000000" w:themeColor="text1"/>
          <w:sz w:val="20"/>
          <w:szCs w:val="20"/>
        </w:rPr>
        <w:t xml:space="preserve">Plant interaction with AMF primes plant defense through alterations in secondary metabolic pathways, increasing plant tolerance to biotic and abiotic stresses. Key: LCOs—lipochitooligosaccharides; SPs—secreted proteins; SÁ—salicylic acid, JA—jasmonic acid. </w:t>
      </w:r>
      <w:r w:rsidRPr="00E63335">
        <w:rPr>
          <w:b w:val="0"/>
          <w:bCs w:val="0"/>
          <w:color w:val="000000" w:themeColor="text1"/>
          <w:sz w:val="20"/>
          <w:szCs w:val="20"/>
        </w:rPr>
        <w:t xml:space="preserve">(This figure reproduced has been </w:t>
      </w:r>
      <w:r w:rsidRPr="00673C72">
        <w:rPr>
          <w:color w:val="000000" w:themeColor="text1"/>
          <w:sz w:val="20"/>
          <w:szCs w:val="20"/>
        </w:rPr>
        <w:t xml:space="preserve">from  </w:t>
      </w:r>
      <w:sdt>
        <w:sdtPr>
          <w:rPr>
            <w:color w:val="000000" w:themeColor="text1"/>
            <w:sz w:val="20"/>
            <w:szCs w:val="20"/>
          </w:rPr>
          <w:tag w:val="MENDELEY_CITATION_v3_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"/>
          <w:id w:val="-2083748296"/>
          <w:placeholder>
            <w:docPart w:val="A3025DF10D57274AAF3E0F3AE1CCEE16"/>
          </w:placeholder>
        </w:sdtPr>
        <w:sdtEndPr>
          <w:rPr>
            <w:rFonts w:eastAsiaTheme="minorHAnsi"/>
          </w:rPr>
        </w:sdtEndPr>
        <w:sdtContent>
          <w:r w:rsidR="005E3F83">
            <w:rPr>
              <w:rFonts w:eastAsia="Times New Roman"/>
            </w:rPr>
            <w:t>Kaur &amp; Suseela, 2020)</w:t>
          </w:r>
        </w:sdtContent>
      </w:sdt>
      <w:bookmarkEnd w:id="129"/>
    </w:p>
    <w:p w14:paraId="1126F4AD" w14:textId="77777777" w:rsidR="0019038E" w:rsidRPr="00E63335" w:rsidRDefault="0019038E" w:rsidP="0019038E">
      <w:pPr>
        <w:autoSpaceDE w:val="0"/>
        <w:autoSpaceDN w:val="0"/>
        <w:adjustRightInd w:val="0"/>
        <w:spacing w:afterLines="280" w:after="672"/>
        <w:jc w:val="lowKashida"/>
        <w:rPr>
          <w:rFonts w:eastAsiaTheme="minorHAnsi"/>
          <w:color w:val="7030A0"/>
          <w:sz w:val="20"/>
          <w:szCs w:val="20"/>
        </w:rPr>
      </w:pPr>
    </w:p>
    <w:p w14:paraId="1E855E2D" w14:textId="4D160102" w:rsidR="0019038E" w:rsidRPr="000B6FC9" w:rsidRDefault="0019038E" w:rsidP="000B6FC9">
      <w:pPr>
        <w:pStyle w:val="mythesis"/>
        <w:rPr>
          <w:rFonts w:eastAsiaTheme="minorHAnsi"/>
        </w:rPr>
      </w:pPr>
      <w:r w:rsidRPr="000B6FC9">
        <w:rPr>
          <w:rFonts w:eastAsiaTheme="minorHAnsi"/>
        </w:rPr>
        <w:t xml:space="preserve">  This study then investigated the effect of the mycorrhizal colonization on the regulation of plant secondary metabolism and phytochemical production through an untargeted</w:t>
      </w:r>
      <w:r w:rsidR="00AB67F8" w:rsidRPr="000B6FC9">
        <w:rPr>
          <w:rFonts w:eastAsiaTheme="minorHAnsi"/>
        </w:rPr>
        <w:t xml:space="preserve"> metabolite</w:t>
      </w:r>
      <w:r w:rsidRPr="000B6FC9">
        <w:rPr>
          <w:rFonts w:eastAsiaTheme="minorHAnsi"/>
        </w:rPr>
        <w:t xml:space="preserve"> fingerprint analysis.</w:t>
      </w:r>
      <w:r w:rsidRPr="000B6FC9">
        <w:t xml:space="preserve"> and I will do that using Matrix-assisted laser desorption ionization mass spectrometry (MALDI-MS) analysis</w:t>
      </w:r>
      <w:r w:rsidR="00AB67F8" w:rsidRPr="000B6FC9">
        <w:t>.</w:t>
      </w:r>
    </w:p>
    <w:p w14:paraId="7D7AA934" w14:textId="25D18A44" w:rsidR="0019038E" w:rsidRPr="000B6FC9" w:rsidRDefault="0019038E" w:rsidP="000B6FC9">
      <w:pPr>
        <w:pStyle w:val="mythesis"/>
        <w:rPr>
          <w:rFonts w:eastAsiaTheme="minorHAnsi"/>
        </w:rPr>
      </w:pPr>
      <w:r w:rsidRPr="000B6FC9">
        <w:rPr>
          <w:rFonts w:eastAsiaTheme="minorHAnsi"/>
        </w:rPr>
        <w:t xml:space="preserve"> We hypothesized that: The effect of mycorrhizal </w:t>
      </w:r>
      <w:r w:rsidRPr="003504DB">
        <w:rPr>
          <w:rFonts w:eastAsiaTheme="minorHAnsi"/>
        </w:rPr>
        <w:t xml:space="preserve">colonization increases the accumulation of secondary metabolite in both the shoots and roots of the </w:t>
      </w:r>
      <w:r w:rsidRPr="003504DB">
        <w:rPr>
          <w:rFonts w:eastAsiaTheme="minorHAnsi"/>
          <w:i/>
          <w:iCs w:val="0"/>
        </w:rPr>
        <w:t>Zea mays</w:t>
      </w:r>
      <w:r w:rsidRPr="003504DB">
        <w:rPr>
          <w:rFonts w:eastAsiaTheme="minorHAnsi"/>
        </w:rPr>
        <w:t xml:space="preserve"> </w:t>
      </w:r>
      <w:r w:rsidRPr="000B6FC9">
        <w:rPr>
          <w:rFonts w:eastAsiaTheme="minorHAnsi"/>
        </w:rPr>
        <w:t>plant.</w:t>
      </w:r>
      <w:r w:rsidRPr="000B6FC9">
        <w:t xml:space="preserve"> The induction of jasmonic acid, the expression of downstream defenses particularly in the phenylpropanoid pathway and jasmonic acid pathway and the induction of the phenylpropanoid pathway will increase. Thus, there will be an increase in the secondary metabolite compounds because of inoculation with arbuscular mycorrhizal fungi</w:t>
      </w:r>
      <w:r w:rsidR="000B6FC9">
        <w:t>.</w:t>
      </w:r>
    </w:p>
    <w:p w14:paraId="65BA2D52" w14:textId="77777777" w:rsidR="0019038E" w:rsidRPr="002932E6" w:rsidRDefault="0019038E" w:rsidP="0019038E">
      <w:pPr>
        <w:spacing w:afterLines="280" w:after="672" w:line="360" w:lineRule="auto"/>
        <w:jc w:val="lowKashida"/>
      </w:pPr>
    </w:p>
    <w:p w14:paraId="32697F54" w14:textId="77777777" w:rsidR="0019038E" w:rsidRDefault="0019038E" w:rsidP="0019038E">
      <w:pPr>
        <w:pStyle w:val="Heading2"/>
      </w:pPr>
      <w:bookmarkStart w:id="130" w:name="_Toc83751473"/>
      <w:r w:rsidRPr="002932E6">
        <w:lastRenderedPageBreak/>
        <w:t>4.2 Materials and Methods</w:t>
      </w:r>
      <w:bookmarkEnd w:id="130"/>
      <w:r w:rsidRPr="002932E6">
        <w:t xml:space="preserve"> </w:t>
      </w:r>
    </w:p>
    <w:p w14:paraId="14467982" w14:textId="77777777" w:rsidR="0019038E" w:rsidRPr="006D7676" w:rsidRDefault="0019038E" w:rsidP="0019038E">
      <w:pPr>
        <w:rPr>
          <w:lang w:val="en-GB"/>
        </w:rPr>
      </w:pPr>
    </w:p>
    <w:p w14:paraId="6EB02858" w14:textId="72B20859" w:rsidR="0019038E" w:rsidRDefault="0019038E" w:rsidP="0019038E">
      <w:pPr>
        <w:pStyle w:val="Heading3"/>
      </w:pPr>
      <w:bookmarkStart w:id="131" w:name="_Toc83751474"/>
      <w:r w:rsidRPr="002932E6">
        <w:t>4.2.1 Shoot and root metabolite extraction</w:t>
      </w:r>
      <w:bookmarkEnd w:id="131"/>
      <w:r w:rsidRPr="002932E6">
        <w:t xml:space="preserve"> </w:t>
      </w:r>
    </w:p>
    <w:p w14:paraId="32F740A2" w14:textId="77777777" w:rsidR="000B6FC9" w:rsidRPr="000B6FC9" w:rsidRDefault="000B6FC9" w:rsidP="000B6FC9"/>
    <w:p w14:paraId="7708BA0B" w14:textId="5BFFA313" w:rsidR="0019038E" w:rsidRPr="002932E6" w:rsidRDefault="0019038E" w:rsidP="000B6FC9">
      <w:pPr>
        <w:pStyle w:val="mythesis"/>
        <w:rPr>
          <w:b/>
          <w:i/>
          <w:color w:val="4472C4" w:themeColor="accent1"/>
        </w:rPr>
      </w:pPr>
      <w:r w:rsidRPr="002932E6">
        <w:t xml:space="preserve">Samples were extracted in methanol/ chloroform based on </w:t>
      </w:r>
      <w:sdt>
        <w:sdtPr>
          <w:rPr>
            <w:color w:val="000000"/>
          </w:rPr>
          <w:tag w:val="MENDELEY_CITATION_v3_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"/>
          <w:id w:val="295962135"/>
          <w:placeholder>
            <w:docPart w:val="C796E44BA29C7B49B74F3F722913E754"/>
          </w:placeholder>
        </w:sdtPr>
        <w:sdtContent>
          <w:r w:rsidR="005E3F83" w:rsidRPr="005E3F83">
            <w:rPr>
              <w:color w:val="000000"/>
            </w:rPr>
            <w:t>(Valle EM et al., 1998).</w:t>
          </w:r>
        </w:sdtContent>
      </w:sdt>
      <w:r w:rsidRPr="002932E6">
        <w:t xml:space="preserve">  Plant metabolites for both shoot and root were extracted using a solvent A (methanol/chloroform/de-ionized water MeOH/CHCl</w:t>
      </w:r>
      <w:r w:rsidRPr="008E299E">
        <w:rPr>
          <w:position w:val="-2"/>
          <w:vertAlign w:val="subscript"/>
        </w:rPr>
        <w:t>3</w:t>
      </w:r>
      <w:r w:rsidRPr="002932E6">
        <w:t>/H</w:t>
      </w:r>
      <w:r w:rsidRPr="002932E6">
        <w:rPr>
          <w:position w:val="-2"/>
        </w:rPr>
        <w:t>2</w:t>
      </w:r>
      <w:r w:rsidRPr="002932E6">
        <w:t xml:space="preserve">0 mixture) (2.5:1:1, v/v/v, pre-chilled at -20°C) </w:t>
      </w:r>
      <w:sdt>
        <w:sdtPr>
          <w:rPr>
            <w:color w:val="000000"/>
          </w:rPr>
          <w:tag w:val="MENDELEY_CITATION_v3_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"/>
          <w:id w:val="-1616742115"/>
          <w:placeholder>
            <w:docPart w:val="C796E44BA29C7B49B74F3F722913E754"/>
          </w:placeholder>
        </w:sdtPr>
        <w:sdtContent>
          <w:r w:rsidR="005E3F83" w:rsidRPr="005E3F83">
            <w:rPr>
              <w:color w:val="000000"/>
            </w:rPr>
            <w:t>(Overy, 2004)</w:t>
          </w:r>
        </w:sdtContent>
      </w:sdt>
      <w:r w:rsidRPr="002932E6">
        <w:t>. 25mg of Root and shoot samples were ground to a fine powder with a pestle and mortar using liquid nitrogen. For extraction 250 μl of solvent A was added to the tube while it was on ice. All samples were then mixed using a Vortex for 10 seconds and left on ice for 5 minutes. The tubes were then centrifuged for 2 minutes at 14000 rpm and 4°C and the supernatant transferred to new Eppendorf tubes which were pre- chilled to -20°C. The remaining tissue pellets were re-extracted with 90 μl of solvent B (methanol/chloroform) MeOH/CHCl</w:t>
      </w:r>
      <w:r w:rsidRPr="008E299E">
        <w:rPr>
          <w:position w:val="-2"/>
          <w:vertAlign w:val="subscript"/>
        </w:rPr>
        <w:t>3</w:t>
      </w:r>
      <w:r w:rsidRPr="002932E6">
        <w:t xml:space="preserve"> (1:1, v/v, pre-chilled at -20°C), vortexed for 5 seconds, then the samples were stored on ice for 10 minutes. The samples were then spun in a centrifuge (14,000 rpm, 2 minutes, 4°C). After that the supernatant was added to the tube containing the first supernatant. The chloroform CHCl</w:t>
      </w:r>
      <w:r w:rsidRPr="008E299E">
        <w:rPr>
          <w:position w:val="-2"/>
          <w:vertAlign w:val="subscript"/>
        </w:rPr>
        <w:t>3</w:t>
      </w:r>
      <w:r w:rsidRPr="002932E6">
        <w:t xml:space="preserve"> (organic) phase was separated from the aqueous phase by adding 87.5μl of solvent C (chilled and distilled H</w:t>
      </w:r>
      <w:r w:rsidRPr="002932E6">
        <w:rPr>
          <w:position w:val="-2"/>
        </w:rPr>
        <w:t>2</w:t>
      </w:r>
      <w:r w:rsidRPr="002932E6">
        <w:t>O) and 50μl of CHCl</w:t>
      </w:r>
      <w:r w:rsidRPr="008E299E">
        <w:rPr>
          <w:position w:val="-2"/>
          <w:vertAlign w:val="subscript"/>
        </w:rPr>
        <w:t>3</w:t>
      </w:r>
      <w:r w:rsidRPr="002932E6">
        <w:t>. To obtain the 2 clear phases (aqueous and organic) the samples were spun in a centrifuge (14,000 rpm, 15 minutes, 4°C). The organic and aqueous phases were then separated into separate tubes and spun again in a centrifuge (14,000 rpm, 2 minutes, 4°C) to ensure good separation of both phases. The samples extracts were then carefully transferred into new tubes and all extracts were stored at -80°C until analysis.</w:t>
      </w:r>
    </w:p>
    <w:p w14:paraId="24D61E6D" w14:textId="77777777" w:rsidR="0019038E" w:rsidRDefault="0019038E" w:rsidP="0019038E">
      <w:pPr>
        <w:pStyle w:val="Heading3"/>
      </w:pPr>
      <w:bookmarkStart w:id="132" w:name="_Toc83751475"/>
      <w:r w:rsidRPr="002932E6">
        <w:t>4.2.2 Matrix-assisted laser desorption ionization mass spectrometry (MALDI-MS) analysis of shoot and root metabolites</w:t>
      </w:r>
      <w:bookmarkEnd w:id="132"/>
    </w:p>
    <w:p w14:paraId="4559FAC3" w14:textId="77777777" w:rsidR="0019038E" w:rsidRPr="006D7676" w:rsidRDefault="0019038E" w:rsidP="0019038E"/>
    <w:p w14:paraId="2007D0BD" w14:textId="266A5D03" w:rsidR="0019038E" w:rsidRPr="002932E6" w:rsidRDefault="0019038E" w:rsidP="000B6FC9">
      <w:pPr>
        <w:pStyle w:val="mythesis"/>
      </w:pPr>
      <w:r w:rsidRPr="002932E6">
        <w:t xml:space="preserve">The </w:t>
      </w:r>
      <w:r w:rsidR="00AB67F8">
        <w:rPr>
          <w:rFonts w:asciiTheme="majorBidi" w:hAnsiTheme="majorBidi" w:cstheme="majorBidi"/>
        </w:rPr>
        <w:t xml:space="preserve">samples were </w:t>
      </w:r>
      <w:r w:rsidR="00AB67F8" w:rsidRPr="006F2791">
        <w:rPr>
          <w:rFonts w:asciiTheme="majorBidi" w:hAnsiTheme="majorBidi" w:cstheme="majorBidi"/>
        </w:rPr>
        <w:t xml:space="preserve">lyophilized </w:t>
      </w:r>
      <w:r w:rsidR="00AB67F8">
        <w:rPr>
          <w:rFonts w:asciiTheme="majorBidi" w:hAnsiTheme="majorBidi" w:cstheme="majorBidi"/>
        </w:rPr>
        <w:t>until fully dry and then</w:t>
      </w:r>
      <w:r w:rsidR="00AB67F8" w:rsidRPr="002932E6">
        <w:t xml:space="preserve"> </w:t>
      </w:r>
      <w:r w:rsidRPr="002932E6">
        <w:t>re-suspended samples for the aqueous phase for shoot and root were prepared from lyophilized samples with 200 μl of Methanol and water MeOH / H</w:t>
      </w:r>
      <w:r w:rsidRPr="002932E6">
        <w:rPr>
          <w:position w:val="-2"/>
        </w:rPr>
        <w:t>2</w:t>
      </w:r>
      <w:r w:rsidRPr="002932E6">
        <w:t>0 mixture (1:1, v/v) pre-chilled at -20°C.</w:t>
      </w:r>
      <w:r w:rsidR="00AB67F8">
        <w:t xml:space="preserve"> </w:t>
      </w:r>
      <w:r w:rsidRPr="002932E6">
        <w:t>This aqueous phase of the metabolite extracts was then diluted 1:100 with MeOH / H</w:t>
      </w:r>
      <w:r w:rsidRPr="002932E6">
        <w:rPr>
          <w:position w:val="-2"/>
        </w:rPr>
        <w:t>2</w:t>
      </w:r>
      <w:r w:rsidRPr="002932E6">
        <w:t xml:space="preserve">0 mixture (1:1, v/v), and then 10 μl from this diluted sample was mixed with 10 μl of the MALDI matrix CHCA (5mg/ml of </w:t>
      </w:r>
      <w:r w:rsidRPr="002932E6">
        <w:rPr>
          <w:rStyle w:val="st"/>
        </w:rPr>
        <w:t>α-Cyano-4-hydroxycinnamic acid dissolved in MeOH with 0.1% trifluoroacetic acid)</w:t>
      </w:r>
      <w:r w:rsidRPr="002932E6">
        <w:t xml:space="preserve"> in a new tube. </w:t>
      </w:r>
    </w:p>
    <w:p w14:paraId="66DF9E9A" w14:textId="5F239E92" w:rsidR="0019038E" w:rsidRPr="002932E6" w:rsidRDefault="0019038E" w:rsidP="000B6FC9">
      <w:pPr>
        <w:pStyle w:val="mythesis"/>
      </w:pPr>
      <w:r w:rsidRPr="002932E6">
        <w:lastRenderedPageBreak/>
        <w:t>The re-suspended samples for the organic phase for shoot and root were prepared from lyophilized samples with 120 μl of Chloroform CHCl</w:t>
      </w:r>
      <w:r w:rsidRPr="002932E6">
        <w:rPr>
          <w:shd w:val="clear" w:color="auto" w:fill="FFFFFF"/>
        </w:rPr>
        <w:t>₃ only</w:t>
      </w:r>
      <w:r w:rsidRPr="002932E6">
        <w:t>. The organic phase of the metabolite extracts was then diluted 1:10 with methanol</w:t>
      </w:r>
      <w:r w:rsidRPr="002932E6">
        <w:rPr>
          <w:color w:val="FF0000"/>
        </w:rPr>
        <w:t xml:space="preserve"> </w:t>
      </w:r>
      <w:r w:rsidRPr="002932E6">
        <w:t xml:space="preserve">MeOH only, 5 μl from the diluted sample was mixed with 5 μl from the matrix CHCA (5mg/ml of </w:t>
      </w:r>
      <w:r w:rsidRPr="002932E6">
        <w:rPr>
          <w:rStyle w:val="st"/>
        </w:rPr>
        <w:t>α-Cyano-4-hydroxycinnamic acid dissolved in 67% MeOH and 33% H</w:t>
      </w:r>
      <w:r w:rsidRPr="002932E6">
        <w:rPr>
          <w:rStyle w:val="st"/>
          <w:vertAlign w:val="subscript"/>
        </w:rPr>
        <w:t>2</w:t>
      </w:r>
      <w:r w:rsidRPr="002932E6">
        <w:rPr>
          <w:rStyle w:val="st"/>
        </w:rPr>
        <w:t>0 with 0.1% trifluoroacetic acid)</w:t>
      </w:r>
      <w:r w:rsidRPr="002932E6">
        <w:t xml:space="preserve"> in a new tube. </w:t>
      </w:r>
    </w:p>
    <w:p w14:paraId="2BD45FC6" w14:textId="5F831C24" w:rsidR="0019038E" w:rsidRPr="003504DB" w:rsidRDefault="0019038E" w:rsidP="000B6FC9">
      <w:pPr>
        <w:pStyle w:val="mythesis"/>
      </w:pPr>
      <w:r w:rsidRPr="002932E6">
        <w:t xml:space="preserve">All sample tubes for the </w:t>
      </w:r>
      <w:r w:rsidRPr="003504DB">
        <w:t xml:space="preserve">aqueous </w:t>
      </w:r>
      <w:r w:rsidR="00DF1B29" w:rsidRPr="003504DB">
        <w:t xml:space="preserve">and organic phases </w:t>
      </w:r>
      <w:r w:rsidRPr="003504DB">
        <w:t>for shoot and root were then mixed using Vortex and 1μl volume of the sample/matrix mix was pipetted onto a 96-well target plate and allowed to crystallize. Three replicates’ spots were prepared per sample as technical replicates. All the process was done under a cold condition in ice container.</w:t>
      </w:r>
    </w:p>
    <w:p w14:paraId="0D6B0301" w14:textId="77777777" w:rsidR="0019038E" w:rsidRPr="003504DB" w:rsidRDefault="0019038E" w:rsidP="000B6FC9">
      <w:pPr>
        <w:pStyle w:val="mythesis"/>
      </w:pPr>
      <w:r w:rsidRPr="003504DB">
        <w:t>The polar phases of the metabolite extract for both shoot and root samples were then analyzed on a Waters G2 Synapt Mass Spectrometer using MALDI with a 2.5 KHz solid state laser in positive ionization mode. Each sample was analyzed in triplicate.</w:t>
      </w:r>
    </w:p>
    <w:p w14:paraId="5D5EE932" w14:textId="08056B37" w:rsidR="0019038E" w:rsidRPr="003504DB" w:rsidRDefault="0019038E" w:rsidP="000B6FC9">
      <w:pPr>
        <w:pStyle w:val="mythesis"/>
      </w:pPr>
      <w:r w:rsidRPr="003504DB">
        <w:t xml:space="preserve">Nitrogen was used as carrier gas. The run-time for each sample was 2.5 minutes. Samples were ionized using an orthogonal MALDI ion source with the laser deployed in a spiral pattern on each spot for one </w:t>
      </w:r>
      <w:r w:rsidR="00E84001" w:rsidRPr="003504DB">
        <w:t>second</w:t>
      </w:r>
      <w:r w:rsidRPr="003504DB">
        <w:t>.</w:t>
      </w:r>
    </w:p>
    <w:p w14:paraId="1D2506F9" w14:textId="137E7FFF" w:rsidR="0019038E" w:rsidRPr="003504DB" w:rsidRDefault="0019038E" w:rsidP="000B6FC9">
      <w:pPr>
        <w:pStyle w:val="mythesis"/>
      </w:pPr>
      <w:r w:rsidRPr="003504DB">
        <w:t xml:space="preserve">Masses were scanned within the range of 50 to 1000 </w:t>
      </w:r>
      <w:r w:rsidRPr="003504DB">
        <w:rPr>
          <w:i/>
        </w:rPr>
        <w:t>m/z</w:t>
      </w:r>
      <w:r w:rsidRPr="003504DB">
        <w:t xml:space="preserve">. The laser energy was set to </w:t>
      </w:r>
      <w:r w:rsidR="006B447E" w:rsidRPr="003504DB">
        <w:t>2</w:t>
      </w:r>
      <w:r w:rsidRPr="003504DB">
        <w:t>80 with a firing rate of 1000 Hz.</w:t>
      </w:r>
    </w:p>
    <w:p w14:paraId="30892FD6" w14:textId="77777777" w:rsidR="0019038E" w:rsidRPr="002932E6" w:rsidRDefault="0019038E" w:rsidP="0019038E">
      <w:pPr>
        <w:spacing w:afterLines="280" w:after="672" w:line="360" w:lineRule="auto"/>
        <w:jc w:val="lowKashida"/>
      </w:pPr>
    </w:p>
    <w:p w14:paraId="19FCF31F" w14:textId="77777777" w:rsidR="0019038E" w:rsidRPr="002932E6" w:rsidRDefault="0019038E" w:rsidP="0019038E">
      <w:pPr>
        <w:spacing w:afterLines="280" w:after="672" w:line="360" w:lineRule="auto"/>
        <w:jc w:val="lowKashida"/>
      </w:pPr>
    </w:p>
    <w:p w14:paraId="18079F97" w14:textId="52775BE5" w:rsidR="0019038E" w:rsidRDefault="0019038E" w:rsidP="0019038E">
      <w:pPr>
        <w:spacing w:afterLines="280" w:after="672" w:line="360" w:lineRule="auto"/>
        <w:jc w:val="lowKashida"/>
      </w:pPr>
    </w:p>
    <w:p w14:paraId="480D4040" w14:textId="77777777" w:rsidR="000B6FC9" w:rsidRPr="002932E6" w:rsidRDefault="000B6FC9" w:rsidP="0019038E">
      <w:pPr>
        <w:spacing w:afterLines="280" w:after="672" w:line="360" w:lineRule="auto"/>
        <w:jc w:val="lowKashida"/>
      </w:pPr>
    </w:p>
    <w:p w14:paraId="77822796" w14:textId="77777777" w:rsidR="0019038E" w:rsidRPr="00F65A21" w:rsidRDefault="0019038E" w:rsidP="0019038E">
      <w:pPr>
        <w:pStyle w:val="Caption"/>
        <w:keepNext/>
        <w:rPr>
          <w:b w:val="0"/>
          <w:bCs w:val="0"/>
          <w:sz w:val="20"/>
          <w:szCs w:val="20"/>
        </w:rPr>
      </w:pPr>
      <w:bookmarkStart w:id="133" w:name="_Toc83750083"/>
      <w:r w:rsidRPr="0048198E">
        <w:rPr>
          <w:b w:val="0"/>
          <w:bCs w:val="0"/>
          <w:sz w:val="20"/>
          <w:szCs w:val="20"/>
        </w:rPr>
        <w:lastRenderedPageBreak/>
        <w:t xml:space="preserve">Table </w:t>
      </w:r>
      <w:r w:rsidRPr="0048198E">
        <w:rPr>
          <w:b w:val="0"/>
          <w:bCs w:val="0"/>
          <w:sz w:val="20"/>
          <w:szCs w:val="20"/>
        </w:rPr>
        <w:fldChar w:fldCharType="begin"/>
      </w:r>
      <w:r w:rsidRPr="0048198E">
        <w:rPr>
          <w:b w:val="0"/>
          <w:bCs w:val="0"/>
          <w:sz w:val="20"/>
          <w:szCs w:val="20"/>
        </w:rPr>
        <w:instrText xml:space="preserve"> STYLEREF 1 \s </w:instrText>
      </w:r>
      <w:r w:rsidRPr="0048198E">
        <w:rPr>
          <w:b w:val="0"/>
          <w:bCs w:val="0"/>
          <w:sz w:val="20"/>
          <w:szCs w:val="20"/>
        </w:rPr>
        <w:fldChar w:fldCharType="separate"/>
      </w:r>
      <w:r w:rsidRPr="0048198E">
        <w:rPr>
          <w:b w:val="0"/>
          <w:bCs w:val="0"/>
          <w:noProof/>
          <w:sz w:val="20"/>
          <w:szCs w:val="20"/>
          <w:cs/>
        </w:rPr>
        <w:t>‎</w:t>
      </w:r>
      <w:r w:rsidRPr="0048198E">
        <w:rPr>
          <w:b w:val="0"/>
          <w:bCs w:val="0"/>
          <w:noProof/>
          <w:sz w:val="20"/>
          <w:szCs w:val="20"/>
        </w:rPr>
        <w:t>4</w:t>
      </w:r>
      <w:r w:rsidRPr="0048198E">
        <w:rPr>
          <w:b w:val="0"/>
          <w:bCs w:val="0"/>
          <w:sz w:val="20"/>
          <w:szCs w:val="20"/>
        </w:rPr>
        <w:fldChar w:fldCharType="end"/>
      </w:r>
      <w:r w:rsidRPr="0048198E">
        <w:rPr>
          <w:b w:val="0"/>
          <w:bCs w:val="0"/>
          <w:sz w:val="20"/>
          <w:szCs w:val="20"/>
        </w:rPr>
        <w:t>.</w:t>
      </w:r>
      <w:r w:rsidRPr="0048198E">
        <w:rPr>
          <w:b w:val="0"/>
          <w:bCs w:val="0"/>
          <w:sz w:val="20"/>
          <w:szCs w:val="20"/>
        </w:rPr>
        <w:fldChar w:fldCharType="begin"/>
      </w:r>
      <w:r w:rsidRPr="0048198E">
        <w:rPr>
          <w:b w:val="0"/>
          <w:bCs w:val="0"/>
          <w:sz w:val="20"/>
          <w:szCs w:val="20"/>
        </w:rPr>
        <w:instrText xml:space="preserve"> SEQ Table \* ARABIC \s 1 </w:instrText>
      </w:r>
      <w:r w:rsidRPr="0048198E">
        <w:rPr>
          <w:b w:val="0"/>
          <w:bCs w:val="0"/>
          <w:sz w:val="20"/>
          <w:szCs w:val="20"/>
        </w:rPr>
        <w:fldChar w:fldCharType="separate"/>
      </w:r>
      <w:r w:rsidRPr="0048198E">
        <w:rPr>
          <w:b w:val="0"/>
          <w:bCs w:val="0"/>
          <w:noProof/>
          <w:sz w:val="20"/>
          <w:szCs w:val="20"/>
        </w:rPr>
        <w:t>1</w:t>
      </w:r>
      <w:r w:rsidRPr="0048198E">
        <w:rPr>
          <w:b w:val="0"/>
          <w:bCs w:val="0"/>
          <w:sz w:val="20"/>
          <w:szCs w:val="20"/>
        </w:rPr>
        <w:fldChar w:fldCharType="end"/>
      </w:r>
      <w:r w:rsidRPr="00F65A21">
        <w:rPr>
          <w:b w:val="0"/>
          <w:bCs w:val="0"/>
          <w:sz w:val="20"/>
          <w:szCs w:val="20"/>
        </w:rPr>
        <w:t xml:space="preserve"> </w:t>
      </w:r>
      <w:r w:rsidRPr="00F65A21">
        <w:rPr>
          <w:rFonts w:eastAsiaTheme="minorHAnsi"/>
          <w:b w:val="0"/>
          <w:bCs w:val="0"/>
          <w:sz w:val="20"/>
          <w:szCs w:val="20"/>
        </w:rPr>
        <w:t>MALDI Synapt-G2 method set up for metabolite extraction analysis</w:t>
      </w:r>
      <w:bookmarkEnd w:id="133"/>
    </w:p>
    <w:tbl>
      <w:tblPr>
        <w:tblStyle w:val="TableGrid"/>
        <w:tblW w:w="0" w:type="auto"/>
        <w:tblLook w:val="04A0" w:firstRow="1" w:lastRow="0" w:firstColumn="1" w:lastColumn="0" w:noHBand="0" w:noVBand="1"/>
      </w:tblPr>
      <w:tblGrid>
        <w:gridCol w:w="4505"/>
        <w:gridCol w:w="4505"/>
      </w:tblGrid>
      <w:tr w:rsidR="0019038E" w:rsidRPr="006F2791" w14:paraId="5CAF0198" w14:textId="77777777" w:rsidTr="00D82647">
        <w:trPr>
          <w:trHeight w:val="283"/>
        </w:trPr>
        <w:tc>
          <w:tcPr>
            <w:tcW w:w="4505" w:type="dxa"/>
          </w:tcPr>
          <w:p w14:paraId="5735AD7C" w14:textId="77777777" w:rsidR="0019038E" w:rsidRPr="006F2791" w:rsidRDefault="0019038E" w:rsidP="00D82647">
            <w:pPr>
              <w:pStyle w:val="NormalWeb"/>
              <w:spacing w:line="360" w:lineRule="auto"/>
              <w:jc w:val="center"/>
              <w:rPr>
                <w:rFonts w:asciiTheme="majorBidi" w:hAnsiTheme="majorBidi" w:cstheme="majorBidi"/>
              </w:rPr>
            </w:pPr>
            <w:r w:rsidRPr="006F2791">
              <w:rPr>
                <w:rFonts w:asciiTheme="majorBidi" w:hAnsiTheme="majorBidi" w:cstheme="majorBidi"/>
                <w:b/>
                <w:bCs/>
              </w:rPr>
              <w:t>Instrument Parameter</w:t>
            </w:r>
          </w:p>
          <w:p w14:paraId="414D61F6" w14:textId="77777777" w:rsidR="0019038E" w:rsidRPr="006F2791" w:rsidRDefault="0019038E" w:rsidP="00D82647">
            <w:pPr>
              <w:pStyle w:val="NormalWeb"/>
              <w:spacing w:line="360" w:lineRule="auto"/>
              <w:jc w:val="center"/>
              <w:rPr>
                <w:rFonts w:asciiTheme="majorBidi" w:hAnsiTheme="majorBidi" w:cstheme="majorBidi"/>
                <w:b/>
                <w:bCs/>
              </w:rPr>
            </w:pPr>
          </w:p>
        </w:tc>
        <w:tc>
          <w:tcPr>
            <w:tcW w:w="4505" w:type="dxa"/>
          </w:tcPr>
          <w:p w14:paraId="50B3F421" w14:textId="77777777" w:rsidR="0019038E" w:rsidRPr="006F2791" w:rsidRDefault="0019038E" w:rsidP="00D82647">
            <w:pPr>
              <w:pStyle w:val="NormalWeb"/>
              <w:spacing w:line="360" w:lineRule="auto"/>
              <w:jc w:val="center"/>
              <w:rPr>
                <w:rFonts w:asciiTheme="majorBidi" w:hAnsiTheme="majorBidi" w:cstheme="majorBidi"/>
              </w:rPr>
            </w:pPr>
            <w:r w:rsidRPr="006F2791">
              <w:rPr>
                <w:rFonts w:asciiTheme="majorBidi" w:hAnsiTheme="majorBidi" w:cstheme="majorBidi"/>
                <w:b/>
                <w:bCs/>
              </w:rPr>
              <w:t>Value</w:t>
            </w:r>
          </w:p>
          <w:p w14:paraId="22A9870F" w14:textId="77777777" w:rsidR="0019038E" w:rsidRPr="006F2791" w:rsidRDefault="0019038E" w:rsidP="00D82647">
            <w:pPr>
              <w:pStyle w:val="NormalWeb"/>
              <w:spacing w:line="360" w:lineRule="auto"/>
              <w:jc w:val="center"/>
              <w:rPr>
                <w:rFonts w:asciiTheme="majorBidi" w:hAnsiTheme="majorBidi" w:cstheme="majorBidi"/>
                <w:b/>
                <w:bCs/>
              </w:rPr>
            </w:pPr>
          </w:p>
        </w:tc>
      </w:tr>
      <w:tr w:rsidR="0019038E" w:rsidRPr="006F2791" w14:paraId="63EBB32A" w14:textId="77777777" w:rsidTr="00D82647">
        <w:trPr>
          <w:trHeight w:val="283"/>
        </w:trPr>
        <w:tc>
          <w:tcPr>
            <w:tcW w:w="4505" w:type="dxa"/>
          </w:tcPr>
          <w:p w14:paraId="40DD186F" w14:textId="77777777" w:rsidR="0019038E" w:rsidRPr="00F42264" w:rsidRDefault="0019038E" w:rsidP="00D82647">
            <w:pPr>
              <w:spacing w:line="360" w:lineRule="auto"/>
              <w:jc w:val="center"/>
              <w:rPr>
                <w:rFonts w:asciiTheme="majorBidi" w:hAnsiTheme="majorBidi" w:cstheme="majorBidi"/>
              </w:rPr>
            </w:pPr>
            <w:r w:rsidRPr="00F42264">
              <w:rPr>
                <w:rFonts w:asciiTheme="majorBidi" w:hAnsiTheme="majorBidi" w:cstheme="majorBidi"/>
              </w:rPr>
              <w:t>Analyzer</w:t>
            </w:r>
          </w:p>
        </w:tc>
        <w:tc>
          <w:tcPr>
            <w:tcW w:w="4505" w:type="dxa"/>
          </w:tcPr>
          <w:p w14:paraId="7CFF2998" w14:textId="77777777" w:rsidR="0019038E" w:rsidRPr="00F42264" w:rsidRDefault="0019038E" w:rsidP="00D82647">
            <w:pPr>
              <w:spacing w:line="360" w:lineRule="auto"/>
              <w:jc w:val="center"/>
              <w:rPr>
                <w:rFonts w:asciiTheme="majorBidi" w:hAnsiTheme="majorBidi" w:cstheme="majorBidi"/>
              </w:rPr>
            </w:pPr>
            <w:r w:rsidRPr="00F42264">
              <w:rPr>
                <w:rFonts w:asciiTheme="majorBidi" w:hAnsiTheme="majorBidi" w:cstheme="majorBidi"/>
              </w:rPr>
              <w:t>Sensitive Mode</w:t>
            </w:r>
          </w:p>
        </w:tc>
      </w:tr>
      <w:tr w:rsidR="0019038E" w:rsidRPr="006F2791" w14:paraId="2C9A95DA" w14:textId="77777777" w:rsidTr="00D82647">
        <w:trPr>
          <w:trHeight w:val="283"/>
        </w:trPr>
        <w:tc>
          <w:tcPr>
            <w:tcW w:w="4505" w:type="dxa"/>
          </w:tcPr>
          <w:p w14:paraId="64453157" w14:textId="77777777" w:rsidR="0019038E" w:rsidRPr="00F42264" w:rsidRDefault="0019038E" w:rsidP="00D82647">
            <w:pPr>
              <w:pStyle w:val="NormalWeb"/>
              <w:spacing w:line="360" w:lineRule="auto"/>
              <w:jc w:val="center"/>
              <w:rPr>
                <w:rFonts w:asciiTheme="majorBidi" w:hAnsiTheme="majorBidi" w:cstheme="majorBidi"/>
              </w:rPr>
            </w:pPr>
            <w:r w:rsidRPr="00F42264">
              <w:rPr>
                <w:rFonts w:asciiTheme="majorBidi" w:hAnsiTheme="majorBidi" w:cstheme="majorBidi"/>
              </w:rPr>
              <w:t>Sample plate</w:t>
            </w:r>
          </w:p>
        </w:tc>
        <w:tc>
          <w:tcPr>
            <w:tcW w:w="4505" w:type="dxa"/>
          </w:tcPr>
          <w:p w14:paraId="4D82C3B3" w14:textId="77777777" w:rsidR="0019038E" w:rsidRPr="00F42264" w:rsidRDefault="0019038E" w:rsidP="00D82647">
            <w:pPr>
              <w:pStyle w:val="NormalWeb"/>
              <w:spacing w:line="360" w:lineRule="auto"/>
              <w:jc w:val="center"/>
              <w:rPr>
                <w:rFonts w:asciiTheme="majorBidi" w:hAnsiTheme="majorBidi" w:cstheme="majorBidi"/>
              </w:rPr>
            </w:pPr>
            <w:r w:rsidRPr="00F42264">
              <w:rPr>
                <w:rFonts w:asciiTheme="majorBidi" w:hAnsiTheme="majorBidi" w:cstheme="majorBidi"/>
              </w:rPr>
              <w:t>0.0 V</w:t>
            </w:r>
          </w:p>
        </w:tc>
      </w:tr>
      <w:tr w:rsidR="0019038E" w:rsidRPr="006F2791" w14:paraId="1BBC6F9A" w14:textId="77777777" w:rsidTr="00D82647">
        <w:trPr>
          <w:trHeight w:val="283"/>
        </w:trPr>
        <w:tc>
          <w:tcPr>
            <w:tcW w:w="4505" w:type="dxa"/>
          </w:tcPr>
          <w:p w14:paraId="41738E48" w14:textId="77777777" w:rsidR="0019038E" w:rsidRPr="00F42264" w:rsidRDefault="0019038E" w:rsidP="00D82647">
            <w:pPr>
              <w:pStyle w:val="NormalWeb"/>
              <w:spacing w:line="360" w:lineRule="auto"/>
              <w:jc w:val="center"/>
              <w:rPr>
                <w:rFonts w:asciiTheme="majorBidi" w:hAnsiTheme="majorBidi" w:cstheme="majorBidi"/>
              </w:rPr>
            </w:pPr>
            <w:r w:rsidRPr="00F42264">
              <w:rPr>
                <w:rFonts w:asciiTheme="majorBidi" w:hAnsiTheme="majorBidi" w:cstheme="majorBidi"/>
              </w:rPr>
              <w:t>Extraction</w:t>
            </w:r>
          </w:p>
        </w:tc>
        <w:tc>
          <w:tcPr>
            <w:tcW w:w="4505" w:type="dxa"/>
          </w:tcPr>
          <w:p w14:paraId="092641F1" w14:textId="77777777" w:rsidR="0019038E" w:rsidRPr="00F42264" w:rsidRDefault="0019038E" w:rsidP="00D82647">
            <w:pPr>
              <w:pStyle w:val="NormalWeb"/>
              <w:spacing w:line="360" w:lineRule="auto"/>
              <w:jc w:val="center"/>
              <w:rPr>
                <w:rFonts w:asciiTheme="majorBidi" w:hAnsiTheme="majorBidi" w:cstheme="majorBidi"/>
              </w:rPr>
            </w:pPr>
            <w:r w:rsidRPr="00F42264">
              <w:rPr>
                <w:rFonts w:asciiTheme="majorBidi" w:hAnsiTheme="majorBidi" w:cstheme="majorBidi"/>
              </w:rPr>
              <w:t>10.0 V</w:t>
            </w:r>
          </w:p>
        </w:tc>
      </w:tr>
      <w:tr w:rsidR="0019038E" w:rsidRPr="006F2791" w14:paraId="5FD86DFE" w14:textId="77777777" w:rsidTr="00D82647">
        <w:trPr>
          <w:trHeight w:val="283"/>
        </w:trPr>
        <w:tc>
          <w:tcPr>
            <w:tcW w:w="4505" w:type="dxa"/>
          </w:tcPr>
          <w:p w14:paraId="27123180" w14:textId="77777777" w:rsidR="0019038E" w:rsidRPr="00F42264" w:rsidRDefault="0019038E" w:rsidP="00D82647">
            <w:pPr>
              <w:pStyle w:val="NormalWeb"/>
              <w:spacing w:line="360" w:lineRule="auto"/>
              <w:jc w:val="center"/>
              <w:rPr>
                <w:rFonts w:asciiTheme="majorBidi" w:hAnsiTheme="majorBidi" w:cstheme="majorBidi"/>
              </w:rPr>
            </w:pPr>
            <w:r w:rsidRPr="00F42264">
              <w:rPr>
                <w:rFonts w:asciiTheme="majorBidi" w:hAnsiTheme="majorBidi" w:cstheme="majorBidi"/>
              </w:rPr>
              <w:t>Hexapole Bias</w:t>
            </w:r>
          </w:p>
        </w:tc>
        <w:tc>
          <w:tcPr>
            <w:tcW w:w="4505" w:type="dxa"/>
          </w:tcPr>
          <w:p w14:paraId="0001CB14" w14:textId="77777777" w:rsidR="0019038E" w:rsidRPr="00F42264" w:rsidRDefault="0019038E" w:rsidP="00D82647">
            <w:pPr>
              <w:pStyle w:val="NormalWeb"/>
              <w:spacing w:line="360" w:lineRule="auto"/>
              <w:jc w:val="center"/>
              <w:rPr>
                <w:rFonts w:asciiTheme="majorBidi" w:hAnsiTheme="majorBidi" w:cstheme="majorBidi"/>
              </w:rPr>
            </w:pPr>
            <w:r w:rsidRPr="00F42264">
              <w:rPr>
                <w:rFonts w:asciiTheme="majorBidi" w:hAnsiTheme="majorBidi" w:cstheme="majorBidi"/>
              </w:rPr>
              <w:t>11.0 V</w:t>
            </w:r>
          </w:p>
        </w:tc>
      </w:tr>
      <w:tr w:rsidR="0019038E" w:rsidRPr="006F2791" w14:paraId="530A023F" w14:textId="77777777" w:rsidTr="00D82647">
        <w:trPr>
          <w:trHeight w:val="283"/>
        </w:trPr>
        <w:tc>
          <w:tcPr>
            <w:tcW w:w="4505" w:type="dxa"/>
          </w:tcPr>
          <w:p w14:paraId="0D009E2B" w14:textId="77777777" w:rsidR="0019038E" w:rsidRPr="00F42264" w:rsidRDefault="0019038E" w:rsidP="00D82647">
            <w:pPr>
              <w:pStyle w:val="NormalWeb"/>
              <w:spacing w:line="360" w:lineRule="auto"/>
              <w:jc w:val="center"/>
              <w:rPr>
                <w:rFonts w:asciiTheme="majorBidi" w:hAnsiTheme="majorBidi" w:cstheme="majorBidi"/>
              </w:rPr>
            </w:pPr>
            <w:r w:rsidRPr="00F42264">
              <w:rPr>
                <w:rFonts w:asciiTheme="majorBidi" w:hAnsiTheme="majorBidi" w:cstheme="majorBidi"/>
              </w:rPr>
              <w:t>Aperture 0</w:t>
            </w:r>
          </w:p>
        </w:tc>
        <w:tc>
          <w:tcPr>
            <w:tcW w:w="4505" w:type="dxa"/>
          </w:tcPr>
          <w:p w14:paraId="6BC08061" w14:textId="77777777" w:rsidR="0019038E" w:rsidRPr="00F42264" w:rsidRDefault="0019038E" w:rsidP="00D82647">
            <w:pPr>
              <w:pStyle w:val="NormalWeb"/>
              <w:spacing w:line="360" w:lineRule="auto"/>
              <w:jc w:val="center"/>
              <w:rPr>
                <w:rFonts w:asciiTheme="majorBidi" w:hAnsiTheme="majorBidi" w:cstheme="majorBidi"/>
              </w:rPr>
            </w:pPr>
            <w:r w:rsidRPr="00F42264">
              <w:rPr>
                <w:rFonts w:asciiTheme="majorBidi" w:hAnsiTheme="majorBidi" w:cstheme="majorBidi"/>
              </w:rPr>
              <w:t>4.0 V</w:t>
            </w:r>
          </w:p>
        </w:tc>
      </w:tr>
      <w:tr w:rsidR="0019038E" w:rsidRPr="006F2791" w14:paraId="128B093C" w14:textId="77777777" w:rsidTr="00D82647">
        <w:tc>
          <w:tcPr>
            <w:tcW w:w="4505" w:type="dxa"/>
          </w:tcPr>
          <w:p w14:paraId="42051237" w14:textId="77777777" w:rsidR="0019038E" w:rsidRPr="00F42264" w:rsidRDefault="0019038E" w:rsidP="00D82647">
            <w:pPr>
              <w:pStyle w:val="NormalWeb"/>
              <w:spacing w:line="360" w:lineRule="auto"/>
              <w:jc w:val="center"/>
              <w:rPr>
                <w:rFonts w:asciiTheme="majorBidi" w:hAnsiTheme="majorBidi" w:cstheme="majorBidi"/>
              </w:rPr>
            </w:pPr>
            <w:r w:rsidRPr="00F42264">
              <w:rPr>
                <w:rFonts w:asciiTheme="majorBidi" w:hAnsiTheme="majorBidi" w:cstheme="majorBidi"/>
              </w:rPr>
              <w:t xml:space="preserve">Cooling Gas Flow </w:t>
            </w:r>
          </w:p>
        </w:tc>
        <w:tc>
          <w:tcPr>
            <w:tcW w:w="4505" w:type="dxa"/>
          </w:tcPr>
          <w:p w14:paraId="57988DF6" w14:textId="77777777" w:rsidR="0019038E" w:rsidRPr="00F42264" w:rsidRDefault="0019038E" w:rsidP="00D82647">
            <w:pPr>
              <w:spacing w:line="360" w:lineRule="auto"/>
              <w:jc w:val="center"/>
              <w:rPr>
                <w:rFonts w:asciiTheme="majorBidi" w:hAnsiTheme="majorBidi" w:cstheme="majorBidi"/>
              </w:rPr>
            </w:pPr>
            <w:r w:rsidRPr="00F42264">
              <w:rPr>
                <w:rFonts w:asciiTheme="majorBidi" w:hAnsiTheme="majorBidi" w:cstheme="majorBidi"/>
              </w:rPr>
              <w:t>10.0 ml/min</w:t>
            </w:r>
          </w:p>
        </w:tc>
      </w:tr>
      <w:tr w:rsidR="0019038E" w:rsidRPr="006F2791" w14:paraId="69639A15" w14:textId="77777777" w:rsidTr="00D82647">
        <w:tc>
          <w:tcPr>
            <w:tcW w:w="4505" w:type="dxa"/>
          </w:tcPr>
          <w:p w14:paraId="7AEE07BA" w14:textId="77777777" w:rsidR="0019038E" w:rsidRPr="00F42264" w:rsidRDefault="0019038E" w:rsidP="00D82647">
            <w:pPr>
              <w:pStyle w:val="NormalWeb"/>
              <w:spacing w:line="360" w:lineRule="auto"/>
              <w:jc w:val="center"/>
              <w:rPr>
                <w:rFonts w:asciiTheme="majorBidi" w:hAnsiTheme="majorBidi" w:cstheme="majorBidi"/>
              </w:rPr>
            </w:pPr>
            <w:r w:rsidRPr="00F42264">
              <w:rPr>
                <w:rFonts w:asciiTheme="majorBidi" w:hAnsiTheme="majorBidi" w:cstheme="majorBidi"/>
              </w:rPr>
              <w:t xml:space="preserve">Mass Range </w:t>
            </w:r>
          </w:p>
          <w:p w14:paraId="18AB6EF9" w14:textId="77777777" w:rsidR="0019038E" w:rsidRPr="00F42264" w:rsidRDefault="0019038E" w:rsidP="00D82647">
            <w:pPr>
              <w:spacing w:line="360" w:lineRule="auto"/>
              <w:jc w:val="center"/>
              <w:rPr>
                <w:rFonts w:asciiTheme="majorBidi" w:hAnsiTheme="majorBidi" w:cstheme="majorBidi"/>
              </w:rPr>
            </w:pPr>
          </w:p>
        </w:tc>
        <w:tc>
          <w:tcPr>
            <w:tcW w:w="4505" w:type="dxa"/>
          </w:tcPr>
          <w:p w14:paraId="03CCF870" w14:textId="77777777" w:rsidR="0019038E" w:rsidRPr="00F42264" w:rsidRDefault="0019038E" w:rsidP="00D82647">
            <w:pPr>
              <w:spacing w:line="360" w:lineRule="auto"/>
              <w:jc w:val="center"/>
              <w:rPr>
                <w:rFonts w:asciiTheme="majorBidi" w:hAnsiTheme="majorBidi" w:cstheme="majorBidi"/>
              </w:rPr>
            </w:pPr>
            <w:r w:rsidRPr="00F42264">
              <w:rPr>
                <w:rFonts w:asciiTheme="majorBidi" w:hAnsiTheme="majorBidi" w:cstheme="majorBidi"/>
              </w:rPr>
              <w:t>50-1200 Da</w:t>
            </w:r>
          </w:p>
        </w:tc>
      </w:tr>
      <w:tr w:rsidR="0019038E" w:rsidRPr="006F2791" w14:paraId="4C0AB070" w14:textId="77777777" w:rsidTr="00D82647">
        <w:tc>
          <w:tcPr>
            <w:tcW w:w="4505" w:type="dxa"/>
          </w:tcPr>
          <w:p w14:paraId="2D1AF6B7" w14:textId="77777777" w:rsidR="0019038E" w:rsidRPr="00F42264" w:rsidRDefault="0019038E" w:rsidP="00D82647">
            <w:pPr>
              <w:pStyle w:val="NormalWeb"/>
              <w:spacing w:line="360" w:lineRule="auto"/>
              <w:jc w:val="center"/>
              <w:rPr>
                <w:rFonts w:asciiTheme="majorBidi" w:hAnsiTheme="majorBidi" w:cstheme="majorBidi"/>
              </w:rPr>
            </w:pPr>
            <w:r w:rsidRPr="00F42264">
              <w:rPr>
                <w:rFonts w:asciiTheme="majorBidi" w:hAnsiTheme="majorBidi" w:cstheme="majorBidi"/>
              </w:rPr>
              <w:t>Start Mass</w:t>
            </w:r>
          </w:p>
        </w:tc>
        <w:tc>
          <w:tcPr>
            <w:tcW w:w="4505" w:type="dxa"/>
          </w:tcPr>
          <w:p w14:paraId="7E779136" w14:textId="77777777" w:rsidR="0019038E" w:rsidRPr="00F42264" w:rsidRDefault="0019038E" w:rsidP="00D82647">
            <w:pPr>
              <w:spacing w:line="360" w:lineRule="auto"/>
              <w:jc w:val="center"/>
              <w:rPr>
                <w:rFonts w:asciiTheme="majorBidi" w:hAnsiTheme="majorBidi" w:cstheme="majorBidi"/>
              </w:rPr>
            </w:pPr>
            <w:r w:rsidRPr="00F42264">
              <w:rPr>
                <w:rFonts w:asciiTheme="majorBidi" w:hAnsiTheme="majorBidi" w:cstheme="majorBidi"/>
              </w:rPr>
              <w:t>50.0 Da</w:t>
            </w:r>
          </w:p>
        </w:tc>
      </w:tr>
      <w:tr w:rsidR="0019038E" w:rsidRPr="006F2791" w14:paraId="3A6E5671" w14:textId="77777777" w:rsidTr="00D82647">
        <w:trPr>
          <w:trHeight w:val="714"/>
        </w:trPr>
        <w:tc>
          <w:tcPr>
            <w:tcW w:w="4505" w:type="dxa"/>
          </w:tcPr>
          <w:p w14:paraId="511FA136" w14:textId="77777777" w:rsidR="0019038E" w:rsidRPr="00F42264" w:rsidRDefault="0019038E" w:rsidP="00D82647">
            <w:pPr>
              <w:pStyle w:val="NormalWeb"/>
              <w:spacing w:line="360" w:lineRule="auto"/>
              <w:jc w:val="center"/>
              <w:rPr>
                <w:rFonts w:asciiTheme="majorBidi" w:hAnsiTheme="majorBidi" w:cstheme="majorBidi"/>
              </w:rPr>
            </w:pPr>
            <w:r w:rsidRPr="00F42264">
              <w:rPr>
                <w:rFonts w:asciiTheme="majorBidi" w:hAnsiTheme="majorBidi" w:cstheme="majorBidi"/>
              </w:rPr>
              <w:t>End Mass</w:t>
            </w:r>
          </w:p>
        </w:tc>
        <w:tc>
          <w:tcPr>
            <w:tcW w:w="4505" w:type="dxa"/>
          </w:tcPr>
          <w:p w14:paraId="45787D5E" w14:textId="77777777" w:rsidR="0019038E" w:rsidRPr="00F42264" w:rsidRDefault="0019038E" w:rsidP="00D82647">
            <w:pPr>
              <w:spacing w:line="360" w:lineRule="auto"/>
              <w:jc w:val="center"/>
              <w:rPr>
                <w:rFonts w:asciiTheme="majorBidi" w:hAnsiTheme="majorBidi" w:cstheme="majorBidi"/>
              </w:rPr>
            </w:pPr>
            <w:r w:rsidRPr="00F42264">
              <w:rPr>
                <w:rFonts w:asciiTheme="majorBidi" w:hAnsiTheme="majorBidi" w:cstheme="majorBidi"/>
              </w:rPr>
              <w:t>1200.0 Da</w:t>
            </w:r>
          </w:p>
        </w:tc>
      </w:tr>
      <w:tr w:rsidR="0019038E" w:rsidRPr="006F2791" w14:paraId="2EFC25B4" w14:textId="77777777" w:rsidTr="00D82647">
        <w:tc>
          <w:tcPr>
            <w:tcW w:w="4505" w:type="dxa"/>
          </w:tcPr>
          <w:p w14:paraId="35F6F7FB" w14:textId="77777777" w:rsidR="0019038E" w:rsidRPr="00F42264" w:rsidRDefault="0019038E" w:rsidP="00D82647">
            <w:pPr>
              <w:pStyle w:val="NormalWeb"/>
              <w:spacing w:line="360" w:lineRule="auto"/>
              <w:jc w:val="center"/>
              <w:rPr>
                <w:rFonts w:asciiTheme="majorBidi" w:hAnsiTheme="majorBidi" w:cstheme="majorBidi"/>
              </w:rPr>
            </w:pPr>
            <w:r w:rsidRPr="00F42264">
              <w:rPr>
                <w:rFonts w:asciiTheme="majorBidi" w:hAnsiTheme="majorBidi" w:cstheme="majorBidi"/>
              </w:rPr>
              <w:t xml:space="preserve">Scan Time </w:t>
            </w:r>
          </w:p>
          <w:p w14:paraId="5E94243C" w14:textId="77777777" w:rsidR="0019038E" w:rsidRPr="00F42264" w:rsidRDefault="0019038E" w:rsidP="00D82647">
            <w:pPr>
              <w:spacing w:line="360" w:lineRule="auto"/>
              <w:jc w:val="center"/>
              <w:rPr>
                <w:rFonts w:asciiTheme="majorBidi" w:hAnsiTheme="majorBidi" w:cstheme="majorBidi"/>
              </w:rPr>
            </w:pPr>
          </w:p>
        </w:tc>
        <w:tc>
          <w:tcPr>
            <w:tcW w:w="4505" w:type="dxa"/>
          </w:tcPr>
          <w:p w14:paraId="743EF9A5" w14:textId="77777777" w:rsidR="0019038E" w:rsidRPr="00F42264" w:rsidRDefault="0019038E" w:rsidP="00D82647">
            <w:pPr>
              <w:spacing w:line="360" w:lineRule="auto"/>
              <w:jc w:val="center"/>
              <w:rPr>
                <w:rFonts w:asciiTheme="majorBidi" w:hAnsiTheme="majorBidi" w:cstheme="majorBidi"/>
              </w:rPr>
            </w:pPr>
            <w:r w:rsidRPr="00F42264">
              <w:rPr>
                <w:rFonts w:asciiTheme="majorBidi" w:hAnsiTheme="majorBidi" w:cstheme="majorBidi"/>
              </w:rPr>
              <w:t>1.00 sec</w:t>
            </w:r>
          </w:p>
        </w:tc>
      </w:tr>
      <w:tr w:rsidR="0019038E" w:rsidRPr="006F2791" w14:paraId="2C24FFAB" w14:textId="77777777" w:rsidTr="00D82647">
        <w:tc>
          <w:tcPr>
            <w:tcW w:w="4505" w:type="dxa"/>
          </w:tcPr>
          <w:p w14:paraId="1A3F407C" w14:textId="77777777" w:rsidR="0019038E" w:rsidRPr="00F42264" w:rsidRDefault="0019038E" w:rsidP="00D82647">
            <w:pPr>
              <w:pStyle w:val="NormalWeb"/>
              <w:spacing w:line="360" w:lineRule="auto"/>
              <w:jc w:val="center"/>
              <w:rPr>
                <w:rFonts w:asciiTheme="majorBidi" w:hAnsiTheme="majorBidi" w:cstheme="majorBidi"/>
              </w:rPr>
            </w:pPr>
            <w:r w:rsidRPr="00F42264">
              <w:rPr>
                <w:rFonts w:asciiTheme="majorBidi" w:hAnsiTheme="majorBidi" w:cstheme="majorBidi"/>
              </w:rPr>
              <w:t>Laser Firing Rate</w:t>
            </w:r>
          </w:p>
        </w:tc>
        <w:tc>
          <w:tcPr>
            <w:tcW w:w="4505" w:type="dxa"/>
          </w:tcPr>
          <w:p w14:paraId="0799A393" w14:textId="77777777" w:rsidR="0019038E" w:rsidRPr="00F42264" w:rsidRDefault="0019038E" w:rsidP="00D82647">
            <w:pPr>
              <w:spacing w:line="360" w:lineRule="auto"/>
              <w:jc w:val="center"/>
              <w:rPr>
                <w:rFonts w:asciiTheme="majorBidi" w:hAnsiTheme="majorBidi" w:cstheme="majorBidi"/>
              </w:rPr>
            </w:pPr>
            <w:r w:rsidRPr="00F42264">
              <w:rPr>
                <w:rFonts w:asciiTheme="majorBidi" w:hAnsiTheme="majorBidi" w:cstheme="majorBidi"/>
              </w:rPr>
              <w:t>1000.0 Hz</w:t>
            </w:r>
          </w:p>
        </w:tc>
      </w:tr>
      <w:tr w:rsidR="0019038E" w:rsidRPr="006F2791" w14:paraId="100A1A4A" w14:textId="77777777" w:rsidTr="00D82647">
        <w:tc>
          <w:tcPr>
            <w:tcW w:w="4505" w:type="dxa"/>
          </w:tcPr>
          <w:p w14:paraId="2270FE9E" w14:textId="77777777" w:rsidR="0019038E" w:rsidRPr="00F42264" w:rsidRDefault="0019038E" w:rsidP="00D82647">
            <w:pPr>
              <w:pStyle w:val="NormalWeb"/>
              <w:spacing w:line="360" w:lineRule="auto"/>
              <w:jc w:val="center"/>
              <w:rPr>
                <w:rFonts w:asciiTheme="majorBidi" w:hAnsiTheme="majorBidi" w:cstheme="majorBidi"/>
              </w:rPr>
            </w:pPr>
            <w:r w:rsidRPr="00F42264">
              <w:rPr>
                <w:rFonts w:asciiTheme="majorBidi" w:hAnsiTheme="majorBidi" w:cstheme="majorBidi"/>
              </w:rPr>
              <w:t>laser Energy</w:t>
            </w:r>
          </w:p>
          <w:p w14:paraId="63E4AF6A" w14:textId="77777777" w:rsidR="0019038E" w:rsidRPr="00F42264" w:rsidRDefault="0019038E" w:rsidP="00D82647">
            <w:pPr>
              <w:spacing w:line="360" w:lineRule="auto"/>
              <w:jc w:val="center"/>
              <w:rPr>
                <w:rFonts w:asciiTheme="majorBidi" w:hAnsiTheme="majorBidi" w:cstheme="majorBidi"/>
              </w:rPr>
            </w:pPr>
          </w:p>
        </w:tc>
        <w:tc>
          <w:tcPr>
            <w:tcW w:w="4505" w:type="dxa"/>
          </w:tcPr>
          <w:p w14:paraId="572A624D" w14:textId="77777777" w:rsidR="0019038E" w:rsidRPr="00F42264" w:rsidRDefault="0019038E" w:rsidP="00D82647">
            <w:pPr>
              <w:spacing w:line="360" w:lineRule="auto"/>
              <w:jc w:val="center"/>
              <w:rPr>
                <w:rFonts w:asciiTheme="majorBidi" w:hAnsiTheme="majorBidi" w:cstheme="majorBidi"/>
              </w:rPr>
            </w:pPr>
            <w:r w:rsidRPr="00F42264">
              <w:rPr>
                <w:rFonts w:asciiTheme="majorBidi" w:hAnsiTheme="majorBidi" w:cstheme="majorBidi"/>
              </w:rPr>
              <w:t>280.0 J</w:t>
            </w:r>
          </w:p>
        </w:tc>
      </w:tr>
    </w:tbl>
    <w:p w14:paraId="6E9F3517" w14:textId="77777777" w:rsidR="0019038E" w:rsidRPr="002932E6" w:rsidRDefault="0019038E" w:rsidP="0019038E">
      <w:pPr>
        <w:spacing w:afterLines="280" w:after="672" w:line="360" w:lineRule="auto"/>
        <w:jc w:val="lowKashida"/>
      </w:pPr>
    </w:p>
    <w:p w14:paraId="6CC493A3" w14:textId="77777777" w:rsidR="0019038E" w:rsidRPr="002932E6" w:rsidRDefault="0019038E" w:rsidP="0019038E">
      <w:pPr>
        <w:spacing w:afterLines="280" w:after="672" w:line="360" w:lineRule="auto"/>
        <w:jc w:val="lowKashida"/>
      </w:pPr>
    </w:p>
    <w:p w14:paraId="4C60BDCA" w14:textId="3F66ABD8" w:rsidR="0019038E" w:rsidRDefault="0019038E" w:rsidP="0019038E">
      <w:pPr>
        <w:spacing w:afterLines="280" w:after="672" w:line="360" w:lineRule="auto"/>
        <w:jc w:val="lowKashida"/>
      </w:pPr>
    </w:p>
    <w:p w14:paraId="60DB5A14" w14:textId="77777777" w:rsidR="000B6FC9" w:rsidRPr="002932E6" w:rsidRDefault="000B6FC9" w:rsidP="0019038E">
      <w:pPr>
        <w:spacing w:afterLines="280" w:after="672" w:line="360" w:lineRule="auto"/>
        <w:jc w:val="lowKashida"/>
      </w:pPr>
    </w:p>
    <w:p w14:paraId="365DC5AD" w14:textId="77777777" w:rsidR="0019038E" w:rsidRPr="002932E6" w:rsidRDefault="0019038E" w:rsidP="0019038E">
      <w:pPr>
        <w:spacing w:afterLines="280" w:after="672" w:line="360" w:lineRule="auto"/>
        <w:jc w:val="lowKashida"/>
      </w:pPr>
    </w:p>
    <w:p w14:paraId="467548C7" w14:textId="77777777" w:rsidR="0019038E" w:rsidRDefault="0019038E" w:rsidP="0019038E">
      <w:pPr>
        <w:pStyle w:val="Heading3"/>
      </w:pPr>
      <w:bookmarkStart w:id="134" w:name="_Toc83751476"/>
      <w:r w:rsidRPr="002932E6">
        <w:lastRenderedPageBreak/>
        <w:t>4.2.3 Data processing and statistical analysis</w:t>
      </w:r>
      <w:bookmarkEnd w:id="134"/>
    </w:p>
    <w:p w14:paraId="1C75C659" w14:textId="77777777" w:rsidR="0019038E" w:rsidRPr="00F65A21" w:rsidRDefault="0019038E" w:rsidP="0019038E"/>
    <w:p w14:paraId="6D4705D1" w14:textId="77777777" w:rsidR="0019038E" w:rsidRPr="002932E6" w:rsidRDefault="0019038E" w:rsidP="000B6FC9">
      <w:pPr>
        <w:pStyle w:val="mythesis"/>
      </w:pPr>
      <w:r w:rsidRPr="002932E6">
        <w:t>Analysis of the effect of the mycorrhizal treatment on the shoot and root of the samples were conducted using a two-way ANOVA using the statistical software Minitab® version 17 (Minitab Inc.,2010)</w:t>
      </w:r>
    </w:p>
    <w:p w14:paraId="58B719B0" w14:textId="77777777" w:rsidR="0019038E" w:rsidRDefault="0019038E" w:rsidP="0019038E">
      <w:pPr>
        <w:keepNext/>
        <w:spacing w:afterLines="280" w:after="672" w:line="360" w:lineRule="auto"/>
        <w:jc w:val="lowKashida"/>
      </w:pPr>
      <w:r>
        <w:t xml:space="preserve">                             </w:t>
      </w:r>
      <w:r>
        <w:rPr>
          <w:noProof/>
        </w:rPr>
        <w:drawing>
          <wp:inline distT="0" distB="0" distL="0" distR="0" wp14:anchorId="3BCD13C2" wp14:editId="457BCDB2">
            <wp:extent cx="3118074" cy="5636066"/>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48">
                      <a:extLst>
                        <a:ext uri="{28A0092B-C50C-407E-A947-70E740481C1C}">
                          <a14:useLocalDpi xmlns:a14="http://schemas.microsoft.com/office/drawing/2010/main" val="0"/>
                        </a:ext>
                      </a:extLst>
                    </a:blip>
                    <a:stretch>
                      <a:fillRect/>
                    </a:stretch>
                  </pic:blipFill>
                  <pic:spPr>
                    <a:xfrm>
                      <a:off x="0" y="0"/>
                      <a:ext cx="3123714" cy="5646261"/>
                    </a:xfrm>
                    <a:prstGeom prst="rect">
                      <a:avLst/>
                    </a:prstGeom>
                  </pic:spPr>
                </pic:pic>
              </a:graphicData>
            </a:graphic>
          </wp:inline>
        </w:drawing>
      </w:r>
    </w:p>
    <w:p w14:paraId="03614B09" w14:textId="0F9595BF" w:rsidR="0019038E" w:rsidRDefault="0019038E" w:rsidP="0019038E">
      <w:pPr>
        <w:spacing w:afterLines="280" w:after="672"/>
        <w:jc w:val="lowKashida"/>
        <w:rPr>
          <w:sz w:val="20"/>
          <w:szCs w:val="20"/>
        </w:rPr>
      </w:pPr>
      <w:bookmarkStart w:id="135" w:name="_Toc83751378"/>
      <w:r w:rsidRPr="0048198E">
        <w:rPr>
          <w:sz w:val="20"/>
          <w:szCs w:val="20"/>
        </w:rPr>
        <w:t xml:space="preserve">Figure </w:t>
      </w:r>
      <w:r w:rsidR="00843EDC">
        <w:rPr>
          <w:sz w:val="20"/>
          <w:szCs w:val="20"/>
        </w:rPr>
        <w:fldChar w:fldCharType="begin"/>
      </w:r>
      <w:r w:rsidR="00843EDC">
        <w:rPr>
          <w:sz w:val="20"/>
          <w:szCs w:val="20"/>
        </w:rPr>
        <w:instrText xml:space="preserve"> STYLEREF 1 \s </w:instrText>
      </w:r>
      <w:r w:rsidR="00843EDC">
        <w:rPr>
          <w:sz w:val="20"/>
          <w:szCs w:val="20"/>
        </w:rPr>
        <w:fldChar w:fldCharType="separate"/>
      </w:r>
      <w:r w:rsidR="00843EDC">
        <w:rPr>
          <w:noProof/>
          <w:sz w:val="20"/>
          <w:szCs w:val="20"/>
          <w:cs/>
        </w:rPr>
        <w:t>‎</w:t>
      </w:r>
      <w:r w:rsidR="00843EDC">
        <w:rPr>
          <w:noProof/>
          <w:sz w:val="20"/>
          <w:szCs w:val="20"/>
        </w:rPr>
        <w:t>4</w:t>
      </w:r>
      <w:r w:rsidR="00843EDC">
        <w:rPr>
          <w:sz w:val="20"/>
          <w:szCs w:val="20"/>
        </w:rPr>
        <w:fldChar w:fldCharType="end"/>
      </w:r>
      <w:r w:rsidR="00843EDC">
        <w:rPr>
          <w:sz w:val="20"/>
          <w:szCs w:val="20"/>
        </w:rPr>
        <w:t>.</w:t>
      </w:r>
      <w:r w:rsidR="00843EDC">
        <w:rPr>
          <w:sz w:val="20"/>
          <w:szCs w:val="20"/>
        </w:rPr>
        <w:fldChar w:fldCharType="begin"/>
      </w:r>
      <w:r w:rsidR="00843EDC">
        <w:rPr>
          <w:sz w:val="20"/>
          <w:szCs w:val="20"/>
        </w:rPr>
        <w:instrText xml:space="preserve"> SEQ Figure \* ARABIC \s 1 </w:instrText>
      </w:r>
      <w:r w:rsidR="00843EDC">
        <w:rPr>
          <w:sz w:val="20"/>
          <w:szCs w:val="20"/>
        </w:rPr>
        <w:fldChar w:fldCharType="separate"/>
      </w:r>
      <w:r w:rsidR="00843EDC">
        <w:rPr>
          <w:noProof/>
          <w:sz w:val="20"/>
          <w:szCs w:val="20"/>
        </w:rPr>
        <w:t>2</w:t>
      </w:r>
      <w:r w:rsidR="00843EDC">
        <w:rPr>
          <w:sz w:val="20"/>
          <w:szCs w:val="20"/>
        </w:rPr>
        <w:fldChar w:fldCharType="end"/>
      </w:r>
      <w:r w:rsidRPr="00844399">
        <w:rPr>
          <w:sz w:val="20"/>
          <w:szCs w:val="20"/>
        </w:rPr>
        <w:t xml:space="preserve"> Flow chart to demonstrate the step-by -step process of processing the raw data of the metabolite and the statistical analyzes.</w:t>
      </w:r>
      <w:bookmarkEnd w:id="135"/>
    </w:p>
    <w:p w14:paraId="4688406E" w14:textId="77777777" w:rsidR="0019038E" w:rsidRPr="002932E6" w:rsidRDefault="0019038E" w:rsidP="0019038E">
      <w:pPr>
        <w:spacing w:afterLines="280" w:after="672" w:line="360" w:lineRule="auto"/>
        <w:jc w:val="lowKashida"/>
      </w:pPr>
    </w:p>
    <w:p w14:paraId="741CA395" w14:textId="7FD4382C" w:rsidR="0019038E" w:rsidRPr="00844399" w:rsidRDefault="0019038E" w:rsidP="000B6FC9">
      <w:pPr>
        <w:pStyle w:val="mythesis"/>
      </w:pPr>
      <w:r w:rsidRPr="002932E6">
        <w:lastRenderedPageBreak/>
        <w:t xml:space="preserve">  All the metabolites extract spectral data for shoot and root samples were centroided and converted into text files and transferred to a Microsoft Excel spreadsheet. As each sample was run in triplicate the 3 files were combined. This allowed not only the mean </w:t>
      </w:r>
      <w:r w:rsidRPr="00474EC9">
        <w:rPr>
          <w:i/>
          <w:iCs w:val="0"/>
        </w:rPr>
        <w:t>m/z</w:t>
      </w:r>
      <w:r w:rsidRPr="002932E6">
        <w:t xml:space="preserve"> and average total ion count to be found but also allowed for a noise reduction step. The noise reduction assumed that a peak had to be present in all 3 technical replicates for it to be real and not noise. Any peaks which were not present in all 3 replicates were removed from the final data set as it was assumed to be noise. This procedure followed was detailed in work from </w:t>
      </w:r>
      <w:sdt>
        <w:sdtPr>
          <w:rPr>
            <w:color w:val="000000"/>
          </w:rPr>
          <w:tag w:val="MENDELEY_CITATION_v3_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"/>
          <w:id w:val="-1841994606"/>
          <w:placeholder>
            <w:docPart w:val="C796E44BA29C7B49B74F3F722913E754"/>
          </w:placeholder>
        </w:sdtPr>
        <w:sdtContent>
          <w:r w:rsidR="005E3F83" w:rsidRPr="005E3F83">
            <w:rPr>
              <w:color w:val="000000"/>
            </w:rPr>
            <w:t>(Overy, 2004).</w:t>
          </w:r>
        </w:sdtContent>
      </w:sdt>
      <w:r w:rsidRPr="002932E6">
        <w:t xml:space="preserve"> </w:t>
      </w:r>
    </w:p>
    <w:p w14:paraId="09BC935A" w14:textId="4D5D5B66" w:rsidR="0019038E" w:rsidRPr="002932E6" w:rsidRDefault="0019038E" w:rsidP="000B6FC9">
      <w:pPr>
        <w:pStyle w:val="mythesis"/>
      </w:pPr>
      <w:r w:rsidRPr="002932E6">
        <w:t xml:space="preserve">    The data were grouped in mass bins because the huge quantities of mass to be identified.so that means the data from the positive ionization mode have been grouped at 0.2 Da.</w:t>
      </w:r>
    </w:p>
    <w:p w14:paraId="226D9FDD" w14:textId="193916A9" w:rsidR="0019038E" w:rsidRPr="00844399" w:rsidRDefault="0019038E" w:rsidP="000B6FC9">
      <w:pPr>
        <w:pStyle w:val="mythesis"/>
      </w:pPr>
      <w:r w:rsidRPr="002932E6">
        <w:t xml:space="preserve">      SIMCA (Umetrics) statistical analyzes package was conducted by using Principal Component Analyzes (PCA) to visualize if there are any differences in the metabolite data as an effect of using the mycorrhizal fungi as a treatment. The statistical analysis was managed on the normalized TIC of the samples in order to calculate the fold changes in identified the compounds relative to the treatment. </w:t>
      </w:r>
    </w:p>
    <w:p w14:paraId="6437B5BC" w14:textId="13A4F732" w:rsidR="0019038E" w:rsidRPr="002932E6" w:rsidRDefault="0019038E" w:rsidP="00E74A1E">
      <w:pPr>
        <w:pStyle w:val="mythesis"/>
      </w:pPr>
      <w:r w:rsidRPr="002932E6">
        <w:rPr>
          <w:color w:val="FF0000"/>
        </w:rPr>
        <w:t xml:space="preserve">     </w:t>
      </w:r>
      <w:r w:rsidRPr="002932E6">
        <w:t>PCA is an unsupervised analytical tool as it determines variation inside a dataset without reducing the dimensionality of the data. It explains a dataset by using components, the fewer number of components the easier it is to explain differences between sample sets. From the clustering seen using this unsupervised approach the data can be used in a supervised multivariate analysis called Orthogonal partial least squares discriminant analysis (OPLS-DA).  This allows the underlying drivers of variation in metabolite to be interpreted more clearly and understand the differences between sample sets and identify masses that show any discriminations between the control and the mycorrhizal treatments. To obtain this information comparisons using OPLS-DA were performed.</w:t>
      </w:r>
    </w:p>
    <w:p w14:paraId="7001046C" w14:textId="27E44DAF" w:rsidR="0019038E" w:rsidRPr="00844399" w:rsidRDefault="0019038E" w:rsidP="0060500D">
      <w:pPr>
        <w:pStyle w:val="mythesis"/>
      </w:pPr>
      <w:r w:rsidRPr="002932E6">
        <w:t xml:space="preserve">        Mass bins that explained the most variation between samples after (OPLS-DA) analysis was then shown in observation and loading plots to classify them in order of the portion of the total variance they explained. The ten highest ranked mass bins for both aqueous and organic phases in positive ionization mode were selected to conduct putative compound identification of metabolites using online databases such as the metacyc database (</w:t>
      </w:r>
      <w:hyperlink r:id="rId49" w:history="1">
        <w:r w:rsidRPr="002932E6">
          <w:rPr>
            <w:rStyle w:val="Hyperlink"/>
          </w:rPr>
          <w:t>https://metacyc.org/</w:t>
        </w:r>
      </w:hyperlink>
      <w:r w:rsidRPr="002932E6">
        <w:rPr>
          <w:color w:val="0000FF"/>
          <w:u w:val="single"/>
        </w:rPr>
        <w:t>)</w:t>
      </w:r>
      <w:r w:rsidR="0060500D">
        <w:t xml:space="preserve">, </w:t>
      </w:r>
      <w:r w:rsidRPr="002932E6">
        <w:t xml:space="preserve">and Kyoto Encyclopedia of Genes and Genomes (KEGG; </w:t>
      </w:r>
      <w:r w:rsidRPr="002932E6">
        <w:rPr>
          <w:color w:val="0000FF"/>
        </w:rPr>
        <w:lastRenderedPageBreak/>
        <w:t>http://www.genome.jp/kegg/</w:t>
      </w:r>
      <w:r w:rsidRPr="002932E6">
        <w:t>). Since metabolite profiles were analyses in positive ionization mode, compound identification of masses was conducted for both hydrogen [M+H]</w:t>
      </w:r>
      <w:r w:rsidRPr="002932E6">
        <w:rPr>
          <w:position w:val="6"/>
        </w:rPr>
        <w:t xml:space="preserve"> +,</w:t>
      </w:r>
      <w:r w:rsidRPr="002932E6">
        <w:t xml:space="preserve"> sodium [M+Na]</w:t>
      </w:r>
      <w:r w:rsidRPr="002932E6">
        <w:rPr>
          <w:position w:val="6"/>
        </w:rPr>
        <w:t xml:space="preserve"> +</w:t>
      </w:r>
      <w:r w:rsidRPr="002932E6">
        <w:t>and potassium [M+K]</w:t>
      </w:r>
      <w:r w:rsidRPr="002932E6">
        <w:rPr>
          <w:position w:val="6"/>
        </w:rPr>
        <w:t xml:space="preserve"> + </w:t>
      </w:r>
      <w:r w:rsidRPr="002932E6">
        <w:t xml:space="preserve">adducts. The putatively identified compounds were selected if their error margin of the </w:t>
      </w:r>
      <w:r w:rsidRPr="002932E6">
        <w:rPr>
          <w:i/>
        </w:rPr>
        <w:t xml:space="preserve">m/z </w:t>
      </w:r>
      <w:r w:rsidRPr="002932E6">
        <w:t xml:space="preserve">values were below 50 ppm. </w:t>
      </w:r>
    </w:p>
    <w:p w14:paraId="721389E2" w14:textId="688309F7" w:rsidR="0019038E" w:rsidRPr="00F65A21" w:rsidRDefault="0019038E" w:rsidP="0019038E">
      <w:pPr>
        <w:pStyle w:val="Caption"/>
        <w:keepNext/>
        <w:rPr>
          <w:b w:val="0"/>
          <w:bCs w:val="0"/>
          <w:sz w:val="20"/>
          <w:szCs w:val="20"/>
        </w:rPr>
      </w:pPr>
      <w:bookmarkStart w:id="136" w:name="_Toc83750084"/>
      <w:r w:rsidRPr="0048198E">
        <w:rPr>
          <w:b w:val="0"/>
          <w:bCs w:val="0"/>
          <w:sz w:val="20"/>
          <w:szCs w:val="20"/>
        </w:rPr>
        <w:t xml:space="preserve">Table </w:t>
      </w:r>
      <w:r w:rsidRPr="0048198E">
        <w:rPr>
          <w:b w:val="0"/>
          <w:bCs w:val="0"/>
          <w:sz w:val="20"/>
          <w:szCs w:val="20"/>
        </w:rPr>
        <w:fldChar w:fldCharType="begin"/>
      </w:r>
      <w:r w:rsidRPr="0048198E">
        <w:rPr>
          <w:b w:val="0"/>
          <w:bCs w:val="0"/>
          <w:sz w:val="20"/>
          <w:szCs w:val="20"/>
        </w:rPr>
        <w:instrText xml:space="preserve"> STYLEREF 1 \s </w:instrText>
      </w:r>
      <w:r w:rsidRPr="0048198E">
        <w:rPr>
          <w:b w:val="0"/>
          <w:bCs w:val="0"/>
          <w:sz w:val="20"/>
          <w:szCs w:val="20"/>
        </w:rPr>
        <w:fldChar w:fldCharType="separate"/>
      </w:r>
      <w:r w:rsidRPr="0048198E">
        <w:rPr>
          <w:b w:val="0"/>
          <w:bCs w:val="0"/>
          <w:noProof/>
          <w:sz w:val="20"/>
          <w:szCs w:val="20"/>
          <w:cs/>
        </w:rPr>
        <w:t>‎</w:t>
      </w:r>
      <w:r w:rsidRPr="0048198E">
        <w:rPr>
          <w:b w:val="0"/>
          <w:bCs w:val="0"/>
          <w:noProof/>
          <w:sz w:val="20"/>
          <w:szCs w:val="20"/>
        </w:rPr>
        <w:t>4</w:t>
      </w:r>
      <w:r w:rsidRPr="0048198E">
        <w:rPr>
          <w:b w:val="0"/>
          <w:bCs w:val="0"/>
          <w:sz w:val="20"/>
          <w:szCs w:val="20"/>
        </w:rPr>
        <w:fldChar w:fldCharType="end"/>
      </w:r>
      <w:r w:rsidRPr="0048198E">
        <w:rPr>
          <w:b w:val="0"/>
          <w:bCs w:val="0"/>
          <w:sz w:val="20"/>
          <w:szCs w:val="20"/>
        </w:rPr>
        <w:t>.</w:t>
      </w:r>
      <w:r w:rsidRPr="0048198E">
        <w:rPr>
          <w:b w:val="0"/>
          <w:bCs w:val="0"/>
          <w:sz w:val="20"/>
          <w:szCs w:val="20"/>
        </w:rPr>
        <w:fldChar w:fldCharType="begin"/>
      </w:r>
      <w:r w:rsidRPr="0048198E">
        <w:rPr>
          <w:b w:val="0"/>
          <w:bCs w:val="0"/>
          <w:sz w:val="20"/>
          <w:szCs w:val="20"/>
        </w:rPr>
        <w:instrText xml:space="preserve"> SEQ Table \* ARABIC \s 1 </w:instrText>
      </w:r>
      <w:r w:rsidRPr="0048198E">
        <w:rPr>
          <w:b w:val="0"/>
          <w:bCs w:val="0"/>
          <w:sz w:val="20"/>
          <w:szCs w:val="20"/>
        </w:rPr>
        <w:fldChar w:fldCharType="separate"/>
      </w:r>
      <w:r w:rsidRPr="0048198E">
        <w:rPr>
          <w:b w:val="0"/>
          <w:bCs w:val="0"/>
          <w:noProof/>
          <w:sz w:val="20"/>
          <w:szCs w:val="20"/>
        </w:rPr>
        <w:t>2</w:t>
      </w:r>
      <w:r w:rsidRPr="0048198E">
        <w:rPr>
          <w:b w:val="0"/>
          <w:bCs w:val="0"/>
          <w:sz w:val="20"/>
          <w:szCs w:val="20"/>
        </w:rPr>
        <w:fldChar w:fldCharType="end"/>
      </w:r>
      <w:r w:rsidRPr="00F65A21">
        <w:rPr>
          <w:b w:val="0"/>
          <w:bCs w:val="0"/>
          <w:sz w:val="20"/>
          <w:szCs w:val="20"/>
        </w:rPr>
        <w:t xml:space="preserve"> </w:t>
      </w:r>
      <w:r w:rsidRPr="00F65A21">
        <w:rPr>
          <w:rFonts w:eastAsiaTheme="minorHAnsi"/>
          <w:b w:val="0"/>
          <w:bCs w:val="0"/>
          <w:sz w:val="20"/>
          <w:szCs w:val="20"/>
        </w:rPr>
        <w:t xml:space="preserve"> List of ion adducts used to distinguish accurate masses for positive ionization modes</w:t>
      </w:r>
      <w:bookmarkEnd w:id="136"/>
    </w:p>
    <w:tbl>
      <w:tblPr>
        <w:tblStyle w:val="TableGrid"/>
        <w:tblW w:w="0" w:type="auto"/>
        <w:tblLook w:val="04A0" w:firstRow="1" w:lastRow="0" w:firstColumn="1" w:lastColumn="0" w:noHBand="0" w:noVBand="1"/>
      </w:tblPr>
      <w:tblGrid>
        <w:gridCol w:w="4505"/>
        <w:gridCol w:w="4505"/>
      </w:tblGrid>
      <w:tr w:rsidR="0019038E" w:rsidRPr="006F2791" w14:paraId="5577CB5F" w14:textId="77777777" w:rsidTr="00D82647">
        <w:tc>
          <w:tcPr>
            <w:tcW w:w="4505" w:type="dxa"/>
          </w:tcPr>
          <w:p w14:paraId="729D9D9B" w14:textId="77777777" w:rsidR="0019038E" w:rsidRPr="006F2791" w:rsidRDefault="0019038E" w:rsidP="00D82647">
            <w:pPr>
              <w:spacing w:line="360" w:lineRule="auto"/>
              <w:rPr>
                <w:rFonts w:asciiTheme="majorBidi" w:hAnsiTheme="majorBidi" w:cstheme="majorBidi"/>
              </w:rPr>
            </w:pPr>
            <w:r w:rsidRPr="006F2791">
              <w:rPr>
                <w:rFonts w:asciiTheme="majorBidi" w:hAnsiTheme="majorBidi" w:cstheme="majorBidi"/>
              </w:rPr>
              <w:t>Mode</w:t>
            </w:r>
          </w:p>
        </w:tc>
        <w:tc>
          <w:tcPr>
            <w:tcW w:w="4505" w:type="dxa"/>
          </w:tcPr>
          <w:p w14:paraId="23B442EA" w14:textId="77777777" w:rsidR="0019038E" w:rsidRPr="006F2791" w:rsidRDefault="0019038E" w:rsidP="00D82647">
            <w:pPr>
              <w:spacing w:line="360" w:lineRule="auto"/>
              <w:rPr>
                <w:rFonts w:asciiTheme="majorBidi" w:hAnsiTheme="majorBidi" w:cstheme="majorBidi"/>
              </w:rPr>
            </w:pPr>
            <w:r w:rsidRPr="006F2791">
              <w:rPr>
                <w:rFonts w:asciiTheme="majorBidi" w:hAnsiTheme="majorBidi" w:cstheme="majorBidi"/>
              </w:rPr>
              <w:t>Ion Adduct</w:t>
            </w:r>
          </w:p>
        </w:tc>
      </w:tr>
      <w:tr w:rsidR="0019038E" w:rsidRPr="006F2791" w14:paraId="39393704" w14:textId="77777777" w:rsidTr="00D82647">
        <w:tc>
          <w:tcPr>
            <w:tcW w:w="4505" w:type="dxa"/>
          </w:tcPr>
          <w:p w14:paraId="6FC1D679" w14:textId="77777777" w:rsidR="0019038E" w:rsidRPr="006F2791" w:rsidRDefault="0019038E" w:rsidP="00D82647">
            <w:pPr>
              <w:spacing w:line="360" w:lineRule="auto"/>
              <w:rPr>
                <w:rFonts w:asciiTheme="majorBidi" w:hAnsiTheme="majorBidi" w:cstheme="majorBidi"/>
              </w:rPr>
            </w:pPr>
            <w:r w:rsidRPr="006F2791">
              <w:rPr>
                <w:rFonts w:asciiTheme="majorBidi" w:hAnsiTheme="majorBidi" w:cstheme="majorBidi"/>
              </w:rPr>
              <w:t xml:space="preserve">Positive </w:t>
            </w:r>
          </w:p>
        </w:tc>
        <w:tc>
          <w:tcPr>
            <w:tcW w:w="4505" w:type="dxa"/>
          </w:tcPr>
          <w:p w14:paraId="7A4DCD6D" w14:textId="77777777" w:rsidR="0019038E" w:rsidRPr="006F2791" w:rsidRDefault="0019038E" w:rsidP="00D82647">
            <w:pPr>
              <w:pStyle w:val="NormalWeb"/>
              <w:shd w:val="clear" w:color="auto" w:fill="FFFFFF"/>
              <w:spacing w:line="360" w:lineRule="auto"/>
              <w:rPr>
                <w:rFonts w:asciiTheme="majorBidi" w:hAnsiTheme="majorBidi" w:cstheme="majorBidi"/>
              </w:rPr>
            </w:pPr>
            <w:r w:rsidRPr="006F2791">
              <w:rPr>
                <w:rFonts w:asciiTheme="majorBidi" w:hAnsiTheme="majorBidi" w:cstheme="majorBidi"/>
              </w:rPr>
              <w:t xml:space="preserve">+H </w:t>
            </w:r>
          </w:p>
          <w:p w14:paraId="15CEB6FA" w14:textId="77777777" w:rsidR="0019038E" w:rsidRPr="006F2791" w:rsidRDefault="0019038E" w:rsidP="00D82647">
            <w:pPr>
              <w:pStyle w:val="NormalWeb"/>
              <w:shd w:val="clear" w:color="auto" w:fill="FFFFFF"/>
              <w:spacing w:line="360" w:lineRule="auto"/>
              <w:rPr>
                <w:rFonts w:asciiTheme="majorBidi" w:hAnsiTheme="majorBidi" w:cstheme="majorBidi"/>
              </w:rPr>
            </w:pPr>
            <w:r w:rsidRPr="006F2791">
              <w:rPr>
                <w:rFonts w:asciiTheme="majorBidi" w:hAnsiTheme="majorBidi" w:cstheme="majorBidi"/>
              </w:rPr>
              <w:t xml:space="preserve">+Na </w:t>
            </w:r>
          </w:p>
          <w:p w14:paraId="364E4959" w14:textId="77777777" w:rsidR="0019038E" w:rsidRPr="006F2791" w:rsidRDefault="0019038E" w:rsidP="00D82647">
            <w:pPr>
              <w:pStyle w:val="NormalWeb"/>
              <w:shd w:val="clear" w:color="auto" w:fill="FFFFFF"/>
              <w:spacing w:line="360" w:lineRule="auto"/>
              <w:rPr>
                <w:rFonts w:asciiTheme="majorBidi" w:hAnsiTheme="majorBidi" w:cstheme="majorBidi"/>
              </w:rPr>
            </w:pPr>
            <w:r w:rsidRPr="006F2791">
              <w:rPr>
                <w:rFonts w:asciiTheme="majorBidi" w:hAnsiTheme="majorBidi" w:cstheme="majorBidi"/>
              </w:rPr>
              <w:t xml:space="preserve">+K </w:t>
            </w:r>
          </w:p>
          <w:p w14:paraId="74609B78" w14:textId="77777777" w:rsidR="0019038E" w:rsidRPr="006F2791" w:rsidRDefault="0019038E" w:rsidP="00D82647">
            <w:pPr>
              <w:spacing w:line="360" w:lineRule="auto"/>
              <w:rPr>
                <w:rFonts w:asciiTheme="majorBidi" w:hAnsiTheme="majorBidi" w:cstheme="majorBidi"/>
              </w:rPr>
            </w:pPr>
          </w:p>
        </w:tc>
      </w:tr>
    </w:tbl>
    <w:p w14:paraId="630067FF" w14:textId="77777777" w:rsidR="0019038E" w:rsidRPr="002932E6" w:rsidRDefault="0019038E" w:rsidP="0019038E">
      <w:pPr>
        <w:spacing w:afterLines="280" w:after="672" w:line="360" w:lineRule="auto"/>
        <w:jc w:val="lowKashida"/>
      </w:pPr>
    </w:p>
    <w:p w14:paraId="21A28FC9" w14:textId="7E353FCF" w:rsidR="0019038E" w:rsidRDefault="0019038E" w:rsidP="0060500D">
      <w:pPr>
        <w:pStyle w:val="mythesis"/>
      </w:pPr>
      <w:r w:rsidRPr="002932E6">
        <w:t>A 2-way ANOVA statistical analysis was used to determine if the mycorrhizal treatments and the control had a significant effect upon the percentage of the total ion counts of the top 10 mass bins for positive ionization mode and metabolite extraction layers. Percentage differences were calculated between shoot and root for each sample in relation to the effects of each treatment. Intensities were log transformed if they did not fulfil</w:t>
      </w:r>
      <w:r w:rsidR="00176846">
        <w:t>l</w:t>
      </w:r>
      <w:r w:rsidRPr="002932E6">
        <w:t xml:space="preserve"> the assumption of normality. </w:t>
      </w:r>
    </w:p>
    <w:p w14:paraId="7472C5F1" w14:textId="7C84F94E" w:rsidR="0019038E" w:rsidRDefault="0019038E" w:rsidP="0019038E">
      <w:pPr>
        <w:spacing w:before="100" w:beforeAutospacing="1" w:afterLines="280" w:after="672" w:line="360" w:lineRule="auto"/>
        <w:jc w:val="lowKashida"/>
      </w:pPr>
    </w:p>
    <w:p w14:paraId="145D1129" w14:textId="5168140E" w:rsidR="0060500D" w:rsidRDefault="0060500D" w:rsidP="0019038E">
      <w:pPr>
        <w:spacing w:before="100" w:beforeAutospacing="1" w:afterLines="280" w:after="672" w:line="360" w:lineRule="auto"/>
        <w:jc w:val="lowKashida"/>
      </w:pPr>
    </w:p>
    <w:p w14:paraId="20D645D7" w14:textId="6CC7B0B8" w:rsidR="0060500D" w:rsidRDefault="0060500D" w:rsidP="0019038E">
      <w:pPr>
        <w:spacing w:before="100" w:beforeAutospacing="1" w:afterLines="280" w:after="672" w:line="360" w:lineRule="auto"/>
        <w:jc w:val="lowKashida"/>
      </w:pPr>
    </w:p>
    <w:p w14:paraId="43D36FF0" w14:textId="77777777" w:rsidR="00E74A1E" w:rsidRPr="002932E6" w:rsidRDefault="00E74A1E" w:rsidP="0019038E">
      <w:pPr>
        <w:spacing w:before="100" w:beforeAutospacing="1" w:afterLines="280" w:after="672" w:line="360" w:lineRule="auto"/>
        <w:jc w:val="lowKashida"/>
      </w:pPr>
    </w:p>
    <w:p w14:paraId="7220AA08" w14:textId="2ECF751C" w:rsidR="0019038E" w:rsidRDefault="0019038E" w:rsidP="0019038E">
      <w:pPr>
        <w:pStyle w:val="Heading2"/>
      </w:pPr>
      <w:bookmarkStart w:id="137" w:name="_Toc83751477"/>
      <w:r w:rsidRPr="002932E6">
        <w:lastRenderedPageBreak/>
        <w:t>4.3 Results</w:t>
      </w:r>
      <w:bookmarkEnd w:id="137"/>
      <w:r w:rsidRPr="002932E6">
        <w:t xml:space="preserve"> </w:t>
      </w:r>
    </w:p>
    <w:p w14:paraId="67CC6FDD" w14:textId="77777777" w:rsidR="00C74A0E" w:rsidRPr="00C74A0E" w:rsidRDefault="00C74A0E" w:rsidP="00C74A0E">
      <w:pPr>
        <w:rPr>
          <w:lang w:val="en-GB"/>
        </w:rPr>
      </w:pPr>
    </w:p>
    <w:p w14:paraId="162D3060" w14:textId="0CC893C4" w:rsidR="0019038E" w:rsidRDefault="0019038E" w:rsidP="00C74A0E">
      <w:pPr>
        <w:pStyle w:val="Heading3"/>
      </w:pPr>
      <w:bookmarkStart w:id="138" w:name="_Toc83751478"/>
      <w:r w:rsidRPr="002932E6">
        <w:t>4.3.1 Unsupervised analysis of metabolic fingerprints by Principal Component Analysis (PCA)</w:t>
      </w:r>
      <w:bookmarkEnd w:id="138"/>
    </w:p>
    <w:p w14:paraId="05D975C9" w14:textId="77777777" w:rsidR="00C74A0E" w:rsidRPr="00C74A0E" w:rsidRDefault="00C74A0E" w:rsidP="00C74A0E"/>
    <w:p w14:paraId="5EA59077" w14:textId="77777777" w:rsidR="0019038E" w:rsidRPr="002932E6" w:rsidRDefault="0019038E" w:rsidP="00C74A0E">
      <w:pPr>
        <w:pStyle w:val="mythesis"/>
      </w:pPr>
      <w:r w:rsidRPr="002932E6">
        <w:t>The PCA analysis for the metabolite of the root and shoot in both aqueous and organic phases in positive ionization mode for all mycorrhizal and control samples were considered to reveal a separation between the control (non-mycorrhizal) and the treatment (mycorrhizal).</w:t>
      </w:r>
    </w:p>
    <w:p w14:paraId="10A40AE9" w14:textId="3AABE5AC" w:rsidR="0019038E" w:rsidRPr="002932E6" w:rsidRDefault="0019038E" w:rsidP="00C74A0E">
      <w:pPr>
        <w:pStyle w:val="mythesis"/>
      </w:pPr>
      <w:r w:rsidRPr="002932E6">
        <w:t>In all cases we did not find any separation in multivariate space between the control and the mycorrhizal except in root aqueous phase, we found some separation in multivariate space between the control and the mycorrhizal These data can strongly indicate that the mycorrhizal treatment infect the root of the plant in the aqueous phase and interact to define the composition of the plant metabolome. but discriminations were not obvious (</w:t>
      </w:r>
      <w:r w:rsidRPr="002932E6">
        <w:rPr>
          <w:rFonts w:eastAsiaTheme="minorHAnsi"/>
        </w:rPr>
        <w:t>figures 4.3</w:t>
      </w:r>
      <w:r w:rsidR="0066492C">
        <w:rPr>
          <w:rFonts w:eastAsiaTheme="minorHAnsi"/>
        </w:rPr>
        <w:t xml:space="preserve">- </w:t>
      </w:r>
      <w:r w:rsidRPr="002932E6">
        <w:rPr>
          <w:rFonts w:eastAsiaTheme="minorHAnsi"/>
        </w:rPr>
        <w:t>4.10).</w:t>
      </w:r>
    </w:p>
    <w:p w14:paraId="004352C8" w14:textId="77777777" w:rsidR="0019038E" w:rsidRPr="002932E6" w:rsidRDefault="0019038E" w:rsidP="0019038E">
      <w:pPr>
        <w:spacing w:afterLines="280" w:after="672" w:line="360" w:lineRule="auto"/>
        <w:jc w:val="lowKashida"/>
      </w:pPr>
    </w:p>
    <w:p w14:paraId="31CB76BC" w14:textId="77777777" w:rsidR="0019038E" w:rsidRPr="002932E6" w:rsidRDefault="0019038E" w:rsidP="0019038E">
      <w:pPr>
        <w:spacing w:afterLines="280" w:after="672" w:line="360" w:lineRule="auto"/>
        <w:jc w:val="lowKashida"/>
      </w:pPr>
    </w:p>
    <w:p w14:paraId="6596C6FD" w14:textId="77777777" w:rsidR="0019038E" w:rsidRPr="002932E6" w:rsidRDefault="0019038E" w:rsidP="0019038E">
      <w:pPr>
        <w:spacing w:afterLines="280" w:after="672" w:line="360" w:lineRule="auto"/>
        <w:jc w:val="lowKashida"/>
      </w:pPr>
    </w:p>
    <w:p w14:paraId="645CC514" w14:textId="77777777" w:rsidR="0019038E" w:rsidRPr="002932E6" w:rsidRDefault="0019038E" w:rsidP="0019038E">
      <w:pPr>
        <w:spacing w:afterLines="280" w:after="672" w:line="360" w:lineRule="auto"/>
        <w:jc w:val="lowKashida"/>
      </w:pPr>
    </w:p>
    <w:p w14:paraId="5601830E" w14:textId="77777777" w:rsidR="0019038E" w:rsidRPr="002932E6" w:rsidRDefault="0019038E" w:rsidP="0019038E">
      <w:pPr>
        <w:spacing w:afterLines="280" w:after="672" w:line="360" w:lineRule="auto"/>
        <w:jc w:val="lowKashida"/>
      </w:pPr>
    </w:p>
    <w:p w14:paraId="130D946B" w14:textId="77777777" w:rsidR="0019038E" w:rsidRPr="002932E6" w:rsidRDefault="0019038E" w:rsidP="0019038E">
      <w:pPr>
        <w:spacing w:afterLines="280" w:after="672" w:line="360" w:lineRule="auto"/>
        <w:jc w:val="lowKashida"/>
      </w:pPr>
    </w:p>
    <w:p w14:paraId="0B0388AB" w14:textId="77777777" w:rsidR="0019038E" w:rsidRDefault="0019038E" w:rsidP="0019038E">
      <w:pPr>
        <w:keepNext/>
        <w:spacing w:afterLines="280" w:after="672" w:line="360" w:lineRule="auto"/>
        <w:jc w:val="lowKashida"/>
      </w:pPr>
      <w:r w:rsidRPr="002932E6">
        <w:rPr>
          <w:noProof/>
          <w:lang w:val="en-GB" w:eastAsia="en-GB"/>
        </w:rPr>
        <w:lastRenderedPageBreak/>
        <w:drawing>
          <wp:inline distT="0" distB="0" distL="0" distR="0" wp14:anchorId="398F05CC" wp14:editId="3EDE3EAC">
            <wp:extent cx="5727700" cy="213804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27700" cy="2138045"/>
                    </a:xfrm>
                    <a:prstGeom prst="rect">
                      <a:avLst/>
                    </a:prstGeom>
                  </pic:spPr>
                </pic:pic>
              </a:graphicData>
            </a:graphic>
          </wp:inline>
        </w:drawing>
      </w:r>
    </w:p>
    <w:p w14:paraId="219EB9A7" w14:textId="150E4AD2" w:rsidR="0019038E" w:rsidRPr="00844399" w:rsidRDefault="0019038E" w:rsidP="0019038E">
      <w:pPr>
        <w:pStyle w:val="Caption"/>
        <w:jc w:val="lowKashida"/>
        <w:rPr>
          <w:b w:val="0"/>
          <w:bCs w:val="0"/>
          <w:sz w:val="20"/>
          <w:szCs w:val="20"/>
        </w:rPr>
      </w:pPr>
      <w:bookmarkStart w:id="139" w:name="_Toc83751379"/>
      <w:r w:rsidRPr="0048198E">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4</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3</w:t>
      </w:r>
      <w:r w:rsidR="00843EDC">
        <w:rPr>
          <w:b w:val="0"/>
          <w:bCs w:val="0"/>
          <w:sz w:val="20"/>
          <w:szCs w:val="20"/>
        </w:rPr>
        <w:fldChar w:fldCharType="end"/>
      </w:r>
      <w:r w:rsidRPr="00844399">
        <w:rPr>
          <w:b w:val="0"/>
          <w:bCs w:val="0"/>
          <w:sz w:val="20"/>
          <w:szCs w:val="20"/>
        </w:rPr>
        <w:t xml:space="preserve"> Principal Component Analysis plots of metabolite profiles of shoot samples for 18 </w:t>
      </w:r>
      <w:r>
        <w:rPr>
          <w:b w:val="0"/>
          <w:bCs w:val="0"/>
          <w:i/>
          <w:iCs/>
          <w:sz w:val="20"/>
          <w:szCs w:val="20"/>
        </w:rPr>
        <w:t>Zea</w:t>
      </w:r>
      <w:r w:rsidRPr="00844399">
        <w:rPr>
          <w:b w:val="0"/>
          <w:bCs w:val="0"/>
          <w:i/>
          <w:iCs/>
          <w:sz w:val="20"/>
          <w:szCs w:val="20"/>
        </w:rPr>
        <w:t xml:space="preserve"> maize</w:t>
      </w:r>
      <w:r w:rsidRPr="00844399">
        <w:rPr>
          <w:b w:val="0"/>
          <w:bCs w:val="0"/>
          <w:sz w:val="20"/>
          <w:szCs w:val="20"/>
        </w:rPr>
        <w:t xml:space="preserve"> cultivars. Metabolite profiles of the shoot aqueous phase were analyzed in positive ionization mode. The cultivars have been given a color code in figures legend.</w:t>
      </w:r>
      <w:bookmarkEnd w:id="139"/>
    </w:p>
    <w:p w14:paraId="6144F19D" w14:textId="77777777" w:rsidR="0019038E" w:rsidRPr="002932E6" w:rsidRDefault="0019038E" w:rsidP="0019038E">
      <w:pPr>
        <w:spacing w:afterLines="280" w:after="672" w:line="360" w:lineRule="auto"/>
        <w:jc w:val="lowKashida"/>
      </w:pPr>
    </w:p>
    <w:p w14:paraId="2CF60BD9" w14:textId="77777777" w:rsidR="0019038E" w:rsidRDefault="0019038E" w:rsidP="0019038E">
      <w:pPr>
        <w:keepNext/>
        <w:spacing w:afterLines="280" w:after="672" w:line="360" w:lineRule="auto"/>
        <w:jc w:val="lowKashida"/>
      </w:pPr>
      <w:r w:rsidRPr="002932E6">
        <w:rPr>
          <w:noProof/>
          <w:lang w:val="en-GB" w:eastAsia="en-GB"/>
        </w:rPr>
        <w:drawing>
          <wp:inline distT="0" distB="0" distL="0" distR="0" wp14:anchorId="6F1724F9" wp14:editId="65F25226">
            <wp:extent cx="5727700" cy="213804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27700" cy="2138045"/>
                    </a:xfrm>
                    <a:prstGeom prst="rect">
                      <a:avLst/>
                    </a:prstGeom>
                  </pic:spPr>
                </pic:pic>
              </a:graphicData>
            </a:graphic>
          </wp:inline>
        </w:drawing>
      </w:r>
    </w:p>
    <w:p w14:paraId="76314850" w14:textId="6E8E74A2" w:rsidR="0019038E" w:rsidRPr="00844399" w:rsidRDefault="0019038E" w:rsidP="0019038E">
      <w:pPr>
        <w:pStyle w:val="Caption"/>
        <w:jc w:val="lowKashida"/>
        <w:rPr>
          <w:b w:val="0"/>
          <w:bCs w:val="0"/>
          <w:sz w:val="20"/>
          <w:szCs w:val="20"/>
        </w:rPr>
      </w:pPr>
      <w:bookmarkStart w:id="140" w:name="_Toc83751380"/>
      <w:r w:rsidRPr="0048198E">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4</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4</w:t>
      </w:r>
      <w:r w:rsidR="00843EDC">
        <w:rPr>
          <w:b w:val="0"/>
          <w:bCs w:val="0"/>
          <w:sz w:val="20"/>
          <w:szCs w:val="20"/>
        </w:rPr>
        <w:fldChar w:fldCharType="end"/>
      </w:r>
      <w:r w:rsidRPr="00844399">
        <w:rPr>
          <w:b w:val="0"/>
          <w:bCs w:val="0"/>
          <w:sz w:val="20"/>
          <w:szCs w:val="20"/>
        </w:rPr>
        <w:t xml:space="preserve"> Principal Component Analysis plots of metabolite profiles of shoot samples between the control treatment and mycorrhizal temperature. Metabolite profiles of the shoot aqueous phase were analyzed in positive ionization mode. 0 =control 1= mycorrhizal</w:t>
      </w:r>
      <w:bookmarkEnd w:id="140"/>
    </w:p>
    <w:p w14:paraId="5BB02603" w14:textId="77777777" w:rsidR="0019038E" w:rsidRPr="002932E6" w:rsidRDefault="0019038E" w:rsidP="0019038E">
      <w:pPr>
        <w:spacing w:afterLines="280" w:after="672" w:line="360" w:lineRule="auto"/>
        <w:jc w:val="lowKashida"/>
      </w:pPr>
    </w:p>
    <w:p w14:paraId="0FAF3229" w14:textId="77777777" w:rsidR="0019038E" w:rsidRPr="002932E6" w:rsidRDefault="0019038E" w:rsidP="0019038E">
      <w:pPr>
        <w:spacing w:afterLines="280" w:after="672" w:line="360" w:lineRule="auto"/>
        <w:jc w:val="lowKashida"/>
      </w:pPr>
    </w:p>
    <w:p w14:paraId="4F24060B" w14:textId="77777777" w:rsidR="0019038E" w:rsidRPr="002932E6" w:rsidRDefault="0019038E" w:rsidP="0019038E">
      <w:pPr>
        <w:pStyle w:val="NormalWeb"/>
        <w:spacing w:afterLines="280" w:after="672" w:afterAutospacing="0" w:line="360" w:lineRule="auto"/>
        <w:jc w:val="lowKashida"/>
        <w:rPr>
          <w:b/>
          <w:bCs/>
          <w:i/>
          <w:iCs/>
        </w:rPr>
      </w:pPr>
    </w:p>
    <w:p w14:paraId="3408A1D9" w14:textId="77777777" w:rsidR="0019038E" w:rsidRDefault="0019038E" w:rsidP="0019038E">
      <w:pPr>
        <w:pStyle w:val="NormalWeb"/>
        <w:keepNext/>
        <w:spacing w:afterLines="280" w:after="672" w:afterAutospacing="0" w:line="360" w:lineRule="auto"/>
        <w:jc w:val="lowKashida"/>
      </w:pPr>
      <w:r w:rsidRPr="002932E6">
        <w:rPr>
          <w:b/>
          <w:bCs/>
          <w:i/>
          <w:iCs/>
          <w:noProof/>
          <w:lang w:val="en-GB" w:eastAsia="en-GB"/>
        </w:rPr>
        <w:lastRenderedPageBreak/>
        <w:drawing>
          <wp:inline distT="0" distB="0" distL="0" distR="0" wp14:anchorId="1C467903" wp14:editId="569D2F92">
            <wp:extent cx="5727700" cy="2138045"/>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27700" cy="2138045"/>
                    </a:xfrm>
                    <a:prstGeom prst="rect">
                      <a:avLst/>
                    </a:prstGeom>
                  </pic:spPr>
                </pic:pic>
              </a:graphicData>
            </a:graphic>
          </wp:inline>
        </w:drawing>
      </w:r>
    </w:p>
    <w:p w14:paraId="4A35D11B" w14:textId="1BB1F650" w:rsidR="0019038E" w:rsidRPr="00844399" w:rsidRDefault="0019038E" w:rsidP="0019038E">
      <w:pPr>
        <w:pStyle w:val="Caption"/>
        <w:jc w:val="lowKashida"/>
        <w:rPr>
          <w:b w:val="0"/>
          <w:bCs w:val="0"/>
          <w:i/>
          <w:iCs/>
          <w:sz w:val="20"/>
          <w:szCs w:val="20"/>
        </w:rPr>
      </w:pPr>
      <w:bookmarkStart w:id="141" w:name="_Toc83751381"/>
      <w:r w:rsidRPr="0048198E">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4</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5</w:t>
      </w:r>
      <w:r w:rsidR="00843EDC">
        <w:rPr>
          <w:b w:val="0"/>
          <w:bCs w:val="0"/>
          <w:sz w:val="20"/>
          <w:szCs w:val="20"/>
        </w:rPr>
        <w:fldChar w:fldCharType="end"/>
      </w:r>
      <w:r w:rsidRPr="00844399">
        <w:rPr>
          <w:b w:val="0"/>
          <w:bCs w:val="0"/>
          <w:sz w:val="20"/>
          <w:szCs w:val="20"/>
        </w:rPr>
        <w:t xml:space="preserve">  Principal Component Analysis plots of metabolite profiles of shoot samples for 18 </w:t>
      </w:r>
      <w:r w:rsidRPr="00673C72">
        <w:rPr>
          <w:b w:val="0"/>
          <w:bCs w:val="0"/>
          <w:i/>
          <w:iCs/>
          <w:sz w:val="20"/>
          <w:szCs w:val="20"/>
        </w:rPr>
        <w:t>Zea maize</w:t>
      </w:r>
      <w:r w:rsidRPr="00844399">
        <w:rPr>
          <w:b w:val="0"/>
          <w:bCs w:val="0"/>
          <w:sz w:val="20"/>
          <w:szCs w:val="20"/>
        </w:rPr>
        <w:t xml:space="preserve"> cultivars. Metabolite profiles of the shoot organic phase was analyzed in positive ionization mode. The cultivars have been given a color code in figures legend.</w:t>
      </w:r>
      <w:bookmarkEnd w:id="141"/>
    </w:p>
    <w:p w14:paraId="0DA3D965" w14:textId="77777777" w:rsidR="0019038E" w:rsidRPr="00844399" w:rsidRDefault="0019038E" w:rsidP="0019038E">
      <w:pPr>
        <w:spacing w:afterLines="280" w:after="672"/>
        <w:jc w:val="lowKashida"/>
        <w:rPr>
          <w:sz w:val="20"/>
          <w:szCs w:val="20"/>
        </w:rPr>
      </w:pPr>
    </w:p>
    <w:p w14:paraId="61D7B056" w14:textId="77777777" w:rsidR="0019038E" w:rsidRPr="002932E6" w:rsidRDefault="0019038E" w:rsidP="0019038E">
      <w:pPr>
        <w:pStyle w:val="NormalWeb"/>
        <w:spacing w:afterLines="280" w:after="672" w:afterAutospacing="0" w:line="360" w:lineRule="auto"/>
        <w:jc w:val="lowKashida"/>
        <w:rPr>
          <w:b/>
          <w:bCs/>
          <w:i/>
          <w:iCs/>
        </w:rPr>
      </w:pPr>
    </w:p>
    <w:p w14:paraId="2A94B95F" w14:textId="77777777" w:rsidR="0019038E" w:rsidRDefault="0019038E" w:rsidP="0019038E">
      <w:pPr>
        <w:pStyle w:val="NormalWeb"/>
        <w:keepNext/>
        <w:spacing w:afterLines="280" w:after="672" w:afterAutospacing="0" w:line="360" w:lineRule="auto"/>
        <w:jc w:val="lowKashida"/>
      </w:pPr>
      <w:r w:rsidRPr="002932E6">
        <w:rPr>
          <w:b/>
          <w:bCs/>
          <w:i/>
          <w:iCs/>
          <w:noProof/>
          <w:lang w:val="en-GB" w:eastAsia="en-GB"/>
        </w:rPr>
        <w:drawing>
          <wp:inline distT="0" distB="0" distL="0" distR="0" wp14:anchorId="6736D8D1" wp14:editId="3E28AF87">
            <wp:extent cx="5727700" cy="2138045"/>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27700" cy="2138045"/>
                    </a:xfrm>
                    <a:prstGeom prst="rect">
                      <a:avLst/>
                    </a:prstGeom>
                  </pic:spPr>
                </pic:pic>
              </a:graphicData>
            </a:graphic>
          </wp:inline>
        </w:drawing>
      </w:r>
    </w:p>
    <w:p w14:paraId="26983B18" w14:textId="7994C7AA" w:rsidR="0019038E" w:rsidRPr="00844399" w:rsidRDefault="0019038E" w:rsidP="0019038E">
      <w:pPr>
        <w:pStyle w:val="Caption"/>
        <w:jc w:val="lowKashida"/>
        <w:rPr>
          <w:b w:val="0"/>
          <w:bCs w:val="0"/>
          <w:i/>
          <w:iCs/>
          <w:sz w:val="20"/>
          <w:szCs w:val="20"/>
        </w:rPr>
      </w:pPr>
      <w:bookmarkStart w:id="142" w:name="_Toc83751382"/>
      <w:r w:rsidRPr="0048198E">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4</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6</w:t>
      </w:r>
      <w:r w:rsidR="00843EDC">
        <w:rPr>
          <w:b w:val="0"/>
          <w:bCs w:val="0"/>
          <w:sz w:val="20"/>
          <w:szCs w:val="20"/>
        </w:rPr>
        <w:fldChar w:fldCharType="end"/>
      </w:r>
      <w:r w:rsidRPr="00844399">
        <w:rPr>
          <w:b w:val="0"/>
          <w:bCs w:val="0"/>
          <w:sz w:val="20"/>
          <w:szCs w:val="20"/>
        </w:rPr>
        <w:t xml:space="preserve"> Principal Component Analysis plots of metabolite profiles of shoot samples between the control treatment and mycorrhizal temperature. Metabolite profiles of the shoot organic phase were analyzed in positive ionization</w:t>
      </w:r>
      <w:r w:rsidRPr="00844399">
        <w:rPr>
          <w:sz w:val="20"/>
          <w:szCs w:val="20"/>
        </w:rPr>
        <w:t xml:space="preserve"> </w:t>
      </w:r>
      <w:r w:rsidRPr="00844399">
        <w:rPr>
          <w:b w:val="0"/>
          <w:bCs w:val="0"/>
          <w:sz w:val="20"/>
          <w:szCs w:val="20"/>
        </w:rPr>
        <w:t>mode. 0 =control 1= mycorrhizal</w:t>
      </w:r>
      <w:bookmarkEnd w:id="142"/>
    </w:p>
    <w:p w14:paraId="391FC96E" w14:textId="77777777" w:rsidR="0019038E" w:rsidRPr="00844399" w:rsidRDefault="0019038E" w:rsidP="0019038E">
      <w:pPr>
        <w:pStyle w:val="NormalWeb"/>
        <w:spacing w:afterLines="280" w:after="672" w:afterAutospacing="0" w:line="360" w:lineRule="auto"/>
        <w:jc w:val="lowKashida"/>
        <w:rPr>
          <w:b/>
          <w:bCs/>
          <w:i/>
          <w:iCs/>
          <w:sz w:val="20"/>
          <w:szCs w:val="20"/>
        </w:rPr>
      </w:pPr>
    </w:p>
    <w:p w14:paraId="137F6644" w14:textId="77777777" w:rsidR="0019038E" w:rsidRPr="002932E6" w:rsidRDefault="0019038E" w:rsidP="0019038E">
      <w:pPr>
        <w:spacing w:afterLines="280" w:after="672" w:line="360" w:lineRule="auto"/>
        <w:jc w:val="lowKashida"/>
      </w:pPr>
    </w:p>
    <w:p w14:paraId="1983085C" w14:textId="77777777" w:rsidR="0019038E" w:rsidRDefault="0019038E" w:rsidP="0019038E">
      <w:pPr>
        <w:keepNext/>
        <w:spacing w:afterLines="280" w:after="672" w:line="360" w:lineRule="auto"/>
        <w:jc w:val="lowKashida"/>
      </w:pPr>
      <w:r w:rsidRPr="002932E6">
        <w:rPr>
          <w:noProof/>
          <w:lang w:val="en-GB" w:eastAsia="en-GB"/>
        </w:rPr>
        <w:lastRenderedPageBreak/>
        <w:drawing>
          <wp:inline distT="0" distB="0" distL="0" distR="0" wp14:anchorId="39E2B392" wp14:editId="490FC699">
            <wp:extent cx="5727700" cy="2138045"/>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mal new root aq PCA cultivars.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27700" cy="2138045"/>
                    </a:xfrm>
                    <a:prstGeom prst="rect">
                      <a:avLst/>
                    </a:prstGeom>
                  </pic:spPr>
                </pic:pic>
              </a:graphicData>
            </a:graphic>
          </wp:inline>
        </w:drawing>
      </w:r>
    </w:p>
    <w:p w14:paraId="52E47A1A" w14:textId="37FC3455" w:rsidR="0019038E" w:rsidRDefault="0019038E" w:rsidP="0019038E">
      <w:pPr>
        <w:pStyle w:val="Caption"/>
        <w:jc w:val="lowKashida"/>
        <w:rPr>
          <w:b w:val="0"/>
          <w:bCs w:val="0"/>
          <w:sz w:val="20"/>
          <w:szCs w:val="20"/>
        </w:rPr>
      </w:pPr>
      <w:bookmarkStart w:id="143" w:name="_Toc83751383"/>
      <w:r w:rsidRPr="0048198E">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4</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7</w:t>
      </w:r>
      <w:r w:rsidR="00843EDC">
        <w:rPr>
          <w:b w:val="0"/>
          <w:bCs w:val="0"/>
          <w:sz w:val="20"/>
          <w:szCs w:val="20"/>
        </w:rPr>
        <w:fldChar w:fldCharType="end"/>
      </w:r>
      <w:r w:rsidRPr="00844399">
        <w:rPr>
          <w:b w:val="0"/>
          <w:bCs w:val="0"/>
          <w:sz w:val="20"/>
          <w:szCs w:val="20"/>
        </w:rPr>
        <w:t xml:space="preserve"> Principal Component Analysis plots of metabolite profiles of root samples for 18 </w:t>
      </w:r>
      <w:r w:rsidRPr="00673C72">
        <w:rPr>
          <w:b w:val="0"/>
          <w:bCs w:val="0"/>
          <w:i/>
          <w:iCs/>
          <w:sz w:val="20"/>
          <w:szCs w:val="20"/>
        </w:rPr>
        <w:t>Zea maize</w:t>
      </w:r>
      <w:r w:rsidRPr="00844399">
        <w:rPr>
          <w:b w:val="0"/>
          <w:bCs w:val="0"/>
          <w:sz w:val="20"/>
          <w:szCs w:val="20"/>
        </w:rPr>
        <w:t xml:space="preserve"> cultivars. Metabolite profiles of the root aqueous phase were analyzed in positive ionization mode. The cultivars have been given a color code in figures legend</w:t>
      </w:r>
      <w:bookmarkEnd w:id="143"/>
    </w:p>
    <w:p w14:paraId="222D18A1" w14:textId="77777777" w:rsidR="0019038E" w:rsidRDefault="0019038E" w:rsidP="0019038E"/>
    <w:p w14:paraId="3716A285" w14:textId="77777777" w:rsidR="0019038E" w:rsidRPr="00844399" w:rsidRDefault="0019038E" w:rsidP="0019038E"/>
    <w:p w14:paraId="7A658D79" w14:textId="77777777" w:rsidR="0019038E" w:rsidRDefault="0019038E" w:rsidP="0019038E">
      <w:pPr>
        <w:keepNext/>
        <w:spacing w:afterLines="280" w:after="672" w:line="360" w:lineRule="auto"/>
        <w:jc w:val="lowKashida"/>
      </w:pPr>
      <w:r w:rsidRPr="002932E6">
        <w:rPr>
          <w:noProof/>
          <w:lang w:val="en-GB" w:eastAsia="en-GB"/>
        </w:rPr>
        <w:drawing>
          <wp:inline distT="0" distB="0" distL="0" distR="0" wp14:anchorId="7D42BE42" wp14:editId="0489F2A6">
            <wp:extent cx="5727700" cy="2138045"/>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mal new root aq PCA mycorrhizal.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27700" cy="2138045"/>
                    </a:xfrm>
                    <a:prstGeom prst="rect">
                      <a:avLst/>
                    </a:prstGeom>
                  </pic:spPr>
                </pic:pic>
              </a:graphicData>
            </a:graphic>
          </wp:inline>
        </w:drawing>
      </w:r>
    </w:p>
    <w:p w14:paraId="24F14DE6" w14:textId="5DE1CBA8" w:rsidR="0019038E" w:rsidRPr="00844399" w:rsidRDefault="0019038E" w:rsidP="0019038E">
      <w:pPr>
        <w:pStyle w:val="Caption"/>
        <w:jc w:val="lowKashida"/>
        <w:rPr>
          <w:b w:val="0"/>
          <w:bCs w:val="0"/>
          <w:sz w:val="20"/>
          <w:szCs w:val="20"/>
        </w:rPr>
      </w:pPr>
      <w:bookmarkStart w:id="144" w:name="_Toc83751384"/>
      <w:r w:rsidRPr="0048198E">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4</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8</w:t>
      </w:r>
      <w:r w:rsidR="00843EDC">
        <w:rPr>
          <w:b w:val="0"/>
          <w:bCs w:val="0"/>
          <w:sz w:val="20"/>
          <w:szCs w:val="20"/>
        </w:rPr>
        <w:fldChar w:fldCharType="end"/>
      </w:r>
      <w:r w:rsidRPr="00844399">
        <w:rPr>
          <w:b w:val="0"/>
          <w:bCs w:val="0"/>
          <w:sz w:val="20"/>
          <w:szCs w:val="20"/>
        </w:rPr>
        <w:t xml:space="preserve"> Principal Component Analysis plots of metabolite profiles of root samples between the control treatment and mycorrhizal temperature. Metabolite profiles of the root aqueous phase were analyzed in positive ionization mode. 0 =control 1= mycorrhizal</w:t>
      </w:r>
      <w:bookmarkEnd w:id="144"/>
    </w:p>
    <w:p w14:paraId="58463C9B" w14:textId="77777777" w:rsidR="0019038E" w:rsidRPr="002932E6" w:rsidRDefault="0019038E" w:rsidP="0019038E">
      <w:pPr>
        <w:pStyle w:val="NormalWeb"/>
        <w:spacing w:afterLines="280" w:after="672" w:afterAutospacing="0" w:line="360" w:lineRule="auto"/>
        <w:jc w:val="lowKashida"/>
        <w:rPr>
          <w:b/>
          <w:bCs/>
          <w:i/>
          <w:iCs/>
        </w:rPr>
      </w:pPr>
    </w:p>
    <w:p w14:paraId="198FEE29" w14:textId="77777777" w:rsidR="0019038E" w:rsidRPr="002932E6" w:rsidRDefault="0019038E" w:rsidP="0019038E">
      <w:pPr>
        <w:pStyle w:val="NormalWeb"/>
        <w:spacing w:afterLines="280" w:after="672" w:afterAutospacing="0" w:line="360" w:lineRule="auto"/>
        <w:jc w:val="lowKashida"/>
        <w:rPr>
          <w:b/>
          <w:bCs/>
          <w:i/>
          <w:iCs/>
        </w:rPr>
      </w:pPr>
    </w:p>
    <w:p w14:paraId="41B06B4B" w14:textId="77777777" w:rsidR="0019038E" w:rsidRPr="002932E6" w:rsidRDefault="0019038E" w:rsidP="0019038E">
      <w:pPr>
        <w:spacing w:afterLines="280" w:after="672" w:line="360" w:lineRule="auto"/>
        <w:jc w:val="lowKashida"/>
      </w:pPr>
    </w:p>
    <w:p w14:paraId="2810F244" w14:textId="77777777" w:rsidR="0019038E" w:rsidRDefault="0019038E" w:rsidP="0019038E">
      <w:pPr>
        <w:keepNext/>
        <w:spacing w:afterLines="280" w:after="672" w:line="360" w:lineRule="auto"/>
        <w:jc w:val="lowKashida"/>
      </w:pPr>
      <w:r w:rsidRPr="002932E6">
        <w:rPr>
          <w:noProof/>
          <w:lang w:val="en-GB" w:eastAsia="en-GB"/>
        </w:rPr>
        <w:lastRenderedPageBreak/>
        <w:drawing>
          <wp:inline distT="0" distB="0" distL="0" distR="0" wp14:anchorId="3B2E89C5" wp14:editId="03681EA4">
            <wp:extent cx="5727700" cy="213804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27700" cy="2138045"/>
                    </a:xfrm>
                    <a:prstGeom prst="rect">
                      <a:avLst/>
                    </a:prstGeom>
                  </pic:spPr>
                </pic:pic>
              </a:graphicData>
            </a:graphic>
          </wp:inline>
        </w:drawing>
      </w:r>
    </w:p>
    <w:p w14:paraId="2D2AE243" w14:textId="44280041" w:rsidR="0019038E" w:rsidRPr="00844399" w:rsidRDefault="0019038E" w:rsidP="0019038E">
      <w:pPr>
        <w:pStyle w:val="Caption"/>
        <w:jc w:val="lowKashida"/>
        <w:rPr>
          <w:b w:val="0"/>
          <w:bCs w:val="0"/>
          <w:sz w:val="20"/>
          <w:szCs w:val="20"/>
        </w:rPr>
      </w:pPr>
      <w:bookmarkStart w:id="145" w:name="_Toc83751385"/>
      <w:r w:rsidRPr="0048198E">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4</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9</w:t>
      </w:r>
      <w:r w:rsidR="00843EDC">
        <w:rPr>
          <w:b w:val="0"/>
          <w:bCs w:val="0"/>
          <w:sz w:val="20"/>
          <w:szCs w:val="20"/>
        </w:rPr>
        <w:fldChar w:fldCharType="end"/>
      </w:r>
      <w:r w:rsidRPr="00844399">
        <w:rPr>
          <w:b w:val="0"/>
          <w:bCs w:val="0"/>
          <w:sz w:val="20"/>
          <w:szCs w:val="20"/>
        </w:rPr>
        <w:t xml:space="preserve"> Principal Component Analysis plots of metabolite profiles of root samples for 18 </w:t>
      </w:r>
      <w:r w:rsidRPr="00145041">
        <w:rPr>
          <w:b w:val="0"/>
          <w:bCs w:val="0"/>
          <w:i/>
          <w:iCs/>
          <w:sz w:val="20"/>
          <w:szCs w:val="20"/>
        </w:rPr>
        <w:t>Zea maize</w:t>
      </w:r>
      <w:r w:rsidRPr="00844399">
        <w:rPr>
          <w:b w:val="0"/>
          <w:bCs w:val="0"/>
          <w:sz w:val="20"/>
          <w:szCs w:val="20"/>
        </w:rPr>
        <w:t xml:space="preserve"> cultivars. Metabolite profiles of the root organic phase were analyzed in positive ionization mode. The cultivars have been given a color code in figures legend</w:t>
      </w:r>
      <w:bookmarkEnd w:id="145"/>
    </w:p>
    <w:p w14:paraId="6136E9B9" w14:textId="77777777" w:rsidR="0019038E" w:rsidRPr="002932E6" w:rsidRDefault="0019038E" w:rsidP="0019038E">
      <w:pPr>
        <w:spacing w:afterLines="280" w:after="672" w:line="360" w:lineRule="auto"/>
        <w:jc w:val="lowKashida"/>
      </w:pPr>
    </w:p>
    <w:p w14:paraId="12B13FB1" w14:textId="77777777" w:rsidR="0019038E" w:rsidRDefault="0019038E" w:rsidP="0019038E">
      <w:pPr>
        <w:keepNext/>
        <w:spacing w:afterLines="280" w:after="672" w:line="360" w:lineRule="auto"/>
        <w:jc w:val="lowKashida"/>
      </w:pPr>
      <w:r w:rsidRPr="002932E6">
        <w:rPr>
          <w:noProof/>
          <w:lang w:val="en-GB" w:eastAsia="en-GB"/>
        </w:rPr>
        <w:drawing>
          <wp:inline distT="0" distB="0" distL="0" distR="0" wp14:anchorId="4C6C2569" wp14:editId="6BE410F2">
            <wp:extent cx="5727700" cy="213804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27700" cy="2138045"/>
                    </a:xfrm>
                    <a:prstGeom prst="rect">
                      <a:avLst/>
                    </a:prstGeom>
                  </pic:spPr>
                </pic:pic>
              </a:graphicData>
            </a:graphic>
          </wp:inline>
        </w:drawing>
      </w:r>
    </w:p>
    <w:p w14:paraId="34E528D7" w14:textId="37788306" w:rsidR="0019038E" w:rsidRPr="00844399" w:rsidRDefault="0019038E" w:rsidP="0019038E">
      <w:pPr>
        <w:pStyle w:val="Caption"/>
        <w:jc w:val="lowKashida"/>
        <w:rPr>
          <w:b w:val="0"/>
          <w:bCs w:val="0"/>
          <w:sz w:val="20"/>
          <w:szCs w:val="20"/>
        </w:rPr>
      </w:pPr>
      <w:bookmarkStart w:id="146" w:name="_Toc83751386"/>
      <w:r w:rsidRPr="0048198E">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4</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10</w:t>
      </w:r>
      <w:r w:rsidR="00843EDC">
        <w:rPr>
          <w:b w:val="0"/>
          <w:bCs w:val="0"/>
          <w:sz w:val="20"/>
          <w:szCs w:val="20"/>
        </w:rPr>
        <w:fldChar w:fldCharType="end"/>
      </w:r>
      <w:r w:rsidRPr="00844399">
        <w:rPr>
          <w:b w:val="0"/>
          <w:bCs w:val="0"/>
          <w:sz w:val="20"/>
          <w:szCs w:val="20"/>
        </w:rPr>
        <w:t xml:space="preserve"> Principal Component Analysis plots of metabolite profiles of root samples between the control treatment and mycorrhizal temperature. Metabolite profiles of the root organic phase were analyzed in positive ionization mode. 0 =control 1= mycorrhizal</w:t>
      </w:r>
      <w:bookmarkEnd w:id="146"/>
    </w:p>
    <w:p w14:paraId="565C9B24" w14:textId="77777777" w:rsidR="0019038E" w:rsidRPr="002932E6" w:rsidRDefault="0019038E" w:rsidP="0019038E">
      <w:pPr>
        <w:spacing w:afterLines="280" w:after="672" w:line="360" w:lineRule="auto"/>
        <w:jc w:val="lowKashida"/>
      </w:pPr>
    </w:p>
    <w:p w14:paraId="39B8A884" w14:textId="77777777" w:rsidR="0019038E" w:rsidRDefault="0019038E" w:rsidP="0019038E">
      <w:pPr>
        <w:pStyle w:val="Heading3"/>
      </w:pPr>
    </w:p>
    <w:p w14:paraId="7C25B421" w14:textId="77777777" w:rsidR="0019038E" w:rsidRPr="00844399" w:rsidRDefault="0019038E" w:rsidP="0019038E"/>
    <w:p w14:paraId="4D7C5092" w14:textId="77777777" w:rsidR="0019038E" w:rsidRDefault="0019038E" w:rsidP="0019038E">
      <w:pPr>
        <w:pStyle w:val="Heading3"/>
        <w:rPr>
          <w:i/>
        </w:rPr>
      </w:pPr>
      <w:bookmarkStart w:id="147" w:name="_Toc83751479"/>
      <w:r w:rsidRPr="002932E6">
        <w:rPr>
          <w:i/>
        </w:rPr>
        <w:lastRenderedPageBreak/>
        <w:t>4.3.2 Supervised multivariate analysis comparisons of metabolite fingerprints using Orthogonal Partial Least Squares Discriminant Analysis (OPLS-DA)</w:t>
      </w:r>
      <w:bookmarkEnd w:id="147"/>
      <w:r w:rsidRPr="002932E6">
        <w:rPr>
          <w:i/>
        </w:rPr>
        <w:t xml:space="preserve"> </w:t>
      </w:r>
    </w:p>
    <w:p w14:paraId="352BD12C" w14:textId="77777777" w:rsidR="0019038E" w:rsidRPr="00844399" w:rsidRDefault="0019038E" w:rsidP="0019038E"/>
    <w:p w14:paraId="6D04608B" w14:textId="22F68EDC" w:rsidR="0019038E" w:rsidRPr="002932E6" w:rsidRDefault="0019038E" w:rsidP="00C9392E">
      <w:pPr>
        <w:pStyle w:val="mythesis"/>
      </w:pPr>
      <w:r w:rsidRPr="002932E6">
        <w:t>We did not perform a supervised multivariant analysis of the shoot aqueous data because we did not observe a separation in the principal component analysis. OPLS-DA analysis revealed separation in multivariance space between shoots of mycorrhizal plants and roots of mycorrhizal plants in the organic phase, as well as roots in both the aqueous and organic phases. This suggests a significant effect of mycorrhiza of the metabolome of the shoots when looking at the organic phase and the roots when looking at both phases. We did not observe any separation by cultivar, suggesting the cultivars metabolome was responding in a similar way to the mycorrhizal colonization. We expressed the loading plots for these OPLS-DA analysis in order to reveal the mass bins that will driving the separation for further analysis</w:t>
      </w:r>
      <w:r w:rsidR="00102A74">
        <w:t xml:space="preserve"> </w:t>
      </w:r>
      <w:r w:rsidR="00102A74" w:rsidRPr="002932E6">
        <w:t>(</w:t>
      </w:r>
      <w:r w:rsidR="00102A74" w:rsidRPr="002932E6">
        <w:rPr>
          <w:rFonts w:eastAsiaTheme="minorHAnsi"/>
        </w:rPr>
        <w:t>figures 4.</w:t>
      </w:r>
      <w:r w:rsidR="00102A74">
        <w:rPr>
          <w:rFonts w:eastAsiaTheme="minorHAnsi"/>
        </w:rPr>
        <w:t>11</w:t>
      </w:r>
      <w:r w:rsidR="00102A74" w:rsidRPr="002932E6">
        <w:rPr>
          <w:rFonts w:eastAsiaTheme="minorHAnsi"/>
        </w:rPr>
        <w:t>-4.1</w:t>
      </w:r>
      <w:r w:rsidR="00102A74">
        <w:rPr>
          <w:rFonts w:eastAsiaTheme="minorHAnsi"/>
        </w:rPr>
        <w:t>6</w:t>
      </w:r>
      <w:r w:rsidR="00102A74" w:rsidRPr="002932E6">
        <w:rPr>
          <w:rFonts w:eastAsiaTheme="minorHAnsi"/>
        </w:rPr>
        <w:t>).</w:t>
      </w:r>
    </w:p>
    <w:p w14:paraId="5BF8B359" w14:textId="77777777" w:rsidR="0019038E" w:rsidRDefault="0019038E" w:rsidP="0019038E">
      <w:pPr>
        <w:keepNext/>
        <w:spacing w:afterLines="280" w:after="672" w:line="360" w:lineRule="auto"/>
        <w:jc w:val="lowKashida"/>
      </w:pPr>
      <w:r w:rsidRPr="002932E6">
        <w:rPr>
          <w:noProof/>
          <w:lang w:val="en-GB" w:eastAsia="en-GB"/>
        </w:rPr>
        <w:drawing>
          <wp:inline distT="0" distB="0" distL="0" distR="0" wp14:anchorId="276B1205" wp14:editId="519F1844">
            <wp:extent cx="5727700" cy="213804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27700" cy="2138045"/>
                    </a:xfrm>
                    <a:prstGeom prst="rect">
                      <a:avLst/>
                    </a:prstGeom>
                  </pic:spPr>
                </pic:pic>
              </a:graphicData>
            </a:graphic>
          </wp:inline>
        </w:drawing>
      </w:r>
    </w:p>
    <w:p w14:paraId="6F054B19" w14:textId="28BDB1E0" w:rsidR="0019038E" w:rsidRPr="00844399" w:rsidRDefault="0019038E" w:rsidP="0019038E">
      <w:pPr>
        <w:pStyle w:val="Caption"/>
        <w:jc w:val="lowKashida"/>
        <w:rPr>
          <w:b w:val="0"/>
          <w:bCs w:val="0"/>
          <w:sz w:val="20"/>
          <w:szCs w:val="20"/>
        </w:rPr>
      </w:pPr>
      <w:bookmarkStart w:id="148" w:name="_Toc83751387"/>
      <w:r w:rsidRPr="0048198E">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4</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11</w:t>
      </w:r>
      <w:r w:rsidR="00843EDC">
        <w:rPr>
          <w:b w:val="0"/>
          <w:bCs w:val="0"/>
          <w:sz w:val="20"/>
          <w:szCs w:val="20"/>
        </w:rPr>
        <w:fldChar w:fldCharType="end"/>
      </w:r>
      <w:r w:rsidRPr="00844399">
        <w:rPr>
          <w:b w:val="0"/>
          <w:bCs w:val="0"/>
          <w:sz w:val="20"/>
          <w:szCs w:val="20"/>
        </w:rPr>
        <w:t xml:space="preserve"> Supervised multivariate OPLS-DA plots of the metabolite </w:t>
      </w:r>
      <w:r w:rsidRPr="00844399">
        <w:rPr>
          <w:b w:val="0"/>
          <w:bCs w:val="0"/>
          <w:color w:val="000000" w:themeColor="text1"/>
          <w:sz w:val="20"/>
          <w:szCs w:val="20"/>
        </w:rPr>
        <w:t xml:space="preserve">profiles for shoot organic phase 18 </w:t>
      </w:r>
      <w:r w:rsidRPr="00145041">
        <w:rPr>
          <w:b w:val="0"/>
          <w:bCs w:val="0"/>
          <w:i/>
          <w:iCs/>
          <w:color w:val="000000" w:themeColor="text1"/>
          <w:sz w:val="20"/>
          <w:szCs w:val="20"/>
        </w:rPr>
        <w:t xml:space="preserve">Zea </w:t>
      </w:r>
      <w:r w:rsidRPr="00145041">
        <w:rPr>
          <w:b w:val="0"/>
          <w:bCs w:val="0"/>
          <w:i/>
          <w:iCs/>
          <w:sz w:val="20"/>
          <w:szCs w:val="20"/>
        </w:rPr>
        <w:t>maize</w:t>
      </w:r>
      <w:r w:rsidRPr="00844399">
        <w:rPr>
          <w:b w:val="0"/>
          <w:bCs w:val="0"/>
          <w:sz w:val="20"/>
          <w:szCs w:val="20"/>
        </w:rPr>
        <w:t xml:space="preserve"> cultivars Metabolite profiles of the shoot organic phase were analyzed in positive ionization mode. cultivars have been given a color code in figures legend</w:t>
      </w:r>
      <w:bookmarkEnd w:id="148"/>
    </w:p>
    <w:p w14:paraId="391F0242" w14:textId="77777777" w:rsidR="0019038E" w:rsidRPr="00844399" w:rsidRDefault="0019038E" w:rsidP="0019038E">
      <w:pPr>
        <w:spacing w:afterLines="280" w:after="672"/>
        <w:jc w:val="lowKashida"/>
        <w:rPr>
          <w:sz w:val="20"/>
          <w:szCs w:val="20"/>
        </w:rPr>
      </w:pPr>
    </w:p>
    <w:p w14:paraId="75A66156" w14:textId="77777777" w:rsidR="0019038E" w:rsidRPr="002932E6" w:rsidRDefault="0019038E" w:rsidP="0019038E">
      <w:pPr>
        <w:spacing w:afterLines="280" w:after="672" w:line="360" w:lineRule="auto"/>
        <w:jc w:val="lowKashida"/>
      </w:pPr>
    </w:p>
    <w:p w14:paraId="0AF10566" w14:textId="77777777" w:rsidR="0019038E" w:rsidRPr="002932E6" w:rsidRDefault="0019038E" w:rsidP="0019038E">
      <w:pPr>
        <w:spacing w:afterLines="280" w:after="672" w:line="360" w:lineRule="auto"/>
        <w:jc w:val="lowKashida"/>
      </w:pPr>
    </w:p>
    <w:p w14:paraId="5B68D5EC" w14:textId="77777777" w:rsidR="0019038E" w:rsidRDefault="0019038E" w:rsidP="0019038E">
      <w:pPr>
        <w:keepNext/>
        <w:spacing w:afterLines="280" w:after="672" w:line="360" w:lineRule="auto"/>
        <w:jc w:val="lowKashida"/>
      </w:pPr>
      <w:r>
        <w:rPr>
          <w:noProof/>
        </w:rPr>
        <w:lastRenderedPageBreak/>
        <w:drawing>
          <wp:inline distT="0" distB="0" distL="0" distR="0" wp14:anchorId="5F72C95C" wp14:editId="51A3B466">
            <wp:extent cx="5448300" cy="6680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59">
                      <a:extLst>
                        <a:ext uri="{28A0092B-C50C-407E-A947-70E740481C1C}">
                          <a14:useLocalDpi xmlns:a14="http://schemas.microsoft.com/office/drawing/2010/main" val="0"/>
                        </a:ext>
                      </a:extLst>
                    </a:blip>
                    <a:stretch>
                      <a:fillRect/>
                    </a:stretch>
                  </pic:blipFill>
                  <pic:spPr>
                    <a:xfrm>
                      <a:off x="0" y="0"/>
                      <a:ext cx="5448300" cy="6680200"/>
                    </a:xfrm>
                    <a:prstGeom prst="rect">
                      <a:avLst/>
                    </a:prstGeom>
                  </pic:spPr>
                </pic:pic>
              </a:graphicData>
            </a:graphic>
          </wp:inline>
        </w:drawing>
      </w:r>
    </w:p>
    <w:p w14:paraId="5FE39D98" w14:textId="2CBF7D6E" w:rsidR="0019038E" w:rsidRPr="00844399" w:rsidRDefault="0019038E" w:rsidP="0019038E">
      <w:pPr>
        <w:pStyle w:val="Caption"/>
        <w:jc w:val="lowKashida"/>
        <w:rPr>
          <w:b w:val="0"/>
          <w:bCs w:val="0"/>
          <w:sz w:val="20"/>
          <w:szCs w:val="20"/>
        </w:rPr>
      </w:pPr>
      <w:bookmarkStart w:id="149" w:name="_Toc83751388"/>
      <w:r w:rsidRPr="0048198E">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4</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12</w:t>
      </w:r>
      <w:r w:rsidR="00843EDC">
        <w:rPr>
          <w:b w:val="0"/>
          <w:bCs w:val="0"/>
          <w:sz w:val="20"/>
          <w:szCs w:val="20"/>
        </w:rPr>
        <w:fldChar w:fldCharType="end"/>
      </w:r>
      <w:r w:rsidRPr="00844399">
        <w:rPr>
          <w:b w:val="0"/>
          <w:bCs w:val="0"/>
          <w:sz w:val="20"/>
          <w:szCs w:val="20"/>
        </w:rPr>
        <w:t xml:space="preserve"> Supervised multivariate OPLS-DA plots of the metabolite profiles of shoot organic phase samples between the control treatment and mycorrhizal temperature. Metabolite profiles of the shoot organic phase were analyzed in positive ionization mode. 0= control 1 = mycorrhizal.</w:t>
      </w:r>
      <w:r w:rsidRPr="00844399">
        <w:rPr>
          <w:b w:val="0"/>
          <w:bCs w:val="0"/>
          <w:color w:val="FF0000"/>
          <w:sz w:val="20"/>
          <w:szCs w:val="20"/>
        </w:rPr>
        <w:t xml:space="preserve"> </w:t>
      </w:r>
      <w:r w:rsidRPr="00844399">
        <w:rPr>
          <w:b w:val="0"/>
          <w:bCs w:val="0"/>
          <w:color w:val="000000" w:themeColor="text1"/>
          <w:sz w:val="20"/>
          <w:szCs w:val="20"/>
        </w:rPr>
        <w:t>The corresponding loading plots underneath each OPLS-DA plot demonstrate the discriminate mass bins for control and mycorrhizal</w:t>
      </w:r>
      <w:bookmarkEnd w:id="149"/>
    </w:p>
    <w:p w14:paraId="3A21A869" w14:textId="77777777" w:rsidR="0019038E" w:rsidRPr="00844399" w:rsidRDefault="0019038E" w:rsidP="0019038E">
      <w:pPr>
        <w:spacing w:afterLines="280" w:after="672"/>
        <w:jc w:val="lowKashida"/>
        <w:rPr>
          <w:i/>
          <w:iCs/>
          <w:sz w:val="20"/>
          <w:szCs w:val="20"/>
        </w:rPr>
      </w:pPr>
    </w:p>
    <w:p w14:paraId="384695F8" w14:textId="77777777" w:rsidR="0019038E" w:rsidRPr="002932E6" w:rsidRDefault="0019038E" w:rsidP="0019038E">
      <w:pPr>
        <w:spacing w:afterLines="280" w:after="672" w:line="360" w:lineRule="auto"/>
        <w:jc w:val="lowKashida"/>
        <w:rPr>
          <w:b/>
          <w:bCs/>
          <w:i/>
          <w:iCs/>
        </w:rPr>
      </w:pPr>
    </w:p>
    <w:p w14:paraId="06F40C0F" w14:textId="77777777" w:rsidR="0019038E" w:rsidRPr="002932E6" w:rsidRDefault="0019038E" w:rsidP="0019038E">
      <w:pPr>
        <w:spacing w:afterLines="280" w:after="672" w:line="360" w:lineRule="auto"/>
        <w:jc w:val="lowKashida"/>
      </w:pPr>
    </w:p>
    <w:p w14:paraId="5B7F616E" w14:textId="77777777" w:rsidR="0019038E" w:rsidRDefault="0019038E" w:rsidP="0019038E">
      <w:pPr>
        <w:keepNext/>
        <w:spacing w:afterLines="280" w:after="672" w:line="360" w:lineRule="auto"/>
        <w:jc w:val="lowKashida"/>
      </w:pPr>
      <w:r w:rsidRPr="002932E6">
        <w:rPr>
          <w:noProof/>
          <w:lang w:val="en-GB" w:eastAsia="en-GB"/>
        </w:rPr>
        <w:drawing>
          <wp:inline distT="0" distB="0" distL="0" distR="0" wp14:anchorId="104C8F10" wp14:editId="641922C4">
            <wp:extent cx="5727700" cy="213804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mal new root aq OPLS-DA cultivare.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27700" cy="2138045"/>
                    </a:xfrm>
                    <a:prstGeom prst="rect">
                      <a:avLst/>
                    </a:prstGeom>
                  </pic:spPr>
                </pic:pic>
              </a:graphicData>
            </a:graphic>
          </wp:inline>
        </w:drawing>
      </w:r>
    </w:p>
    <w:p w14:paraId="40C9ABD4" w14:textId="42689D73" w:rsidR="0019038E" w:rsidRPr="002932E6" w:rsidRDefault="0019038E" w:rsidP="0019038E">
      <w:pPr>
        <w:spacing w:before="100" w:beforeAutospacing="1" w:afterLines="280" w:after="672"/>
        <w:jc w:val="lowKashida"/>
      </w:pPr>
      <w:bookmarkStart w:id="150" w:name="_Toc83751389"/>
      <w:r w:rsidRPr="00A73B88">
        <w:rPr>
          <w:sz w:val="20"/>
          <w:szCs w:val="20"/>
        </w:rPr>
        <w:t xml:space="preserve">Figure </w:t>
      </w:r>
      <w:r w:rsidR="00843EDC">
        <w:rPr>
          <w:sz w:val="20"/>
          <w:szCs w:val="20"/>
        </w:rPr>
        <w:fldChar w:fldCharType="begin"/>
      </w:r>
      <w:r w:rsidR="00843EDC">
        <w:rPr>
          <w:sz w:val="20"/>
          <w:szCs w:val="20"/>
        </w:rPr>
        <w:instrText xml:space="preserve"> STYLEREF 1 \s </w:instrText>
      </w:r>
      <w:r w:rsidR="00843EDC">
        <w:rPr>
          <w:sz w:val="20"/>
          <w:szCs w:val="20"/>
        </w:rPr>
        <w:fldChar w:fldCharType="separate"/>
      </w:r>
      <w:r w:rsidR="00843EDC">
        <w:rPr>
          <w:noProof/>
          <w:sz w:val="20"/>
          <w:szCs w:val="20"/>
          <w:cs/>
        </w:rPr>
        <w:t>‎</w:t>
      </w:r>
      <w:r w:rsidR="00843EDC">
        <w:rPr>
          <w:noProof/>
          <w:sz w:val="20"/>
          <w:szCs w:val="20"/>
        </w:rPr>
        <w:t>4</w:t>
      </w:r>
      <w:r w:rsidR="00843EDC">
        <w:rPr>
          <w:sz w:val="20"/>
          <w:szCs w:val="20"/>
        </w:rPr>
        <w:fldChar w:fldCharType="end"/>
      </w:r>
      <w:r w:rsidR="00843EDC">
        <w:rPr>
          <w:sz w:val="20"/>
          <w:szCs w:val="20"/>
        </w:rPr>
        <w:t>.</w:t>
      </w:r>
      <w:r w:rsidR="00843EDC">
        <w:rPr>
          <w:sz w:val="20"/>
          <w:szCs w:val="20"/>
        </w:rPr>
        <w:fldChar w:fldCharType="begin"/>
      </w:r>
      <w:r w:rsidR="00843EDC">
        <w:rPr>
          <w:sz w:val="20"/>
          <w:szCs w:val="20"/>
        </w:rPr>
        <w:instrText xml:space="preserve"> SEQ Figure \* ARABIC \s 1 </w:instrText>
      </w:r>
      <w:r w:rsidR="00843EDC">
        <w:rPr>
          <w:sz w:val="20"/>
          <w:szCs w:val="20"/>
        </w:rPr>
        <w:fldChar w:fldCharType="separate"/>
      </w:r>
      <w:r w:rsidR="00843EDC">
        <w:rPr>
          <w:noProof/>
          <w:sz w:val="20"/>
          <w:szCs w:val="20"/>
        </w:rPr>
        <w:t>13</w:t>
      </w:r>
      <w:r w:rsidR="00843EDC">
        <w:rPr>
          <w:sz w:val="20"/>
          <w:szCs w:val="20"/>
        </w:rPr>
        <w:fldChar w:fldCharType="end"/>
      </w:r>
      <w:r w:rsidRPr="00844399">
        <w:rPr>
          <w:sz w:val="20"/>
          <w:szCs w:val="20"/>
        </w:rPr>
        <w:t xml:space="preserve"> Supervised multivariate OPLS-DA plots of pair-wise comparisons of the metabolite profiles </w:t>
      </w:r>
      <w:r w:rsidRPr="00844399">
        <w:rPr>
          <w:color w:val="000000" w:themeColor="text1"/>
          <w:sz w:val="20"/>
          <w:szCs w:val="20"/>
        </w:rPr>
        <w:t xml:space="preserve">for root aqueous phase 18 </w:t>
      </w:r>
      <w:r w:rsidRPr="00145041">
        <w:rPr>
          <w:i/>
          <w:iCs/>
          <w:color w:val="000000" w:themeColor="text1"/>
          <w:sz w:val="20"/>
          <w:szCs w:val="20"/>
        </w:rPr>
        <w:t xml:space="preserve">Zea </w:t>
      </w:r>
      <w:r w:rsidRPr="00145041">
        <w:rPr>
          <w:i/>
          <w:iCs/>
          <w:sz w:val="20"/>
          <w:szCs w:val="20"/>
        </w:rPr>
        <w:t>maize</w:t>
      </w:r>
      <w:r w:rsidRPr="00844399">
        <w:rPr>
          <w:sz w:val="20"/>
          <w:szCs w:val="20"/>
        </w:rPr>
        <w:t xml:space="preserve"> cultivars Metabolite profiles of the root aqueous phase were analyzed in positive ionization mode. cultivars have been given a color code in figures legend</w:t>
      </w:r>
      <w:r w:rsidRPr="002932E6">
        <w:t>.</w:t>
      </w:r>
      <w:bookmarkEnd w:id="150"/>
    </w:p>
    <w:p w14:paraId="13D1A8F4" w14:textId="77777777" w:rsidR="0019038E" w:rsidRPr="002932E6" w:rsidRDefault="0019038E" w:rsidP="0019038E">
      <w:pPr>
        <w:pStyle w:val="Caption"/>
        <w:jc w:val="lowKashida"/>
        <w:rPr>
          <w:sz w:val="24"/>
          <w:szCs w:val="24"/>
        </w:rPr>
      </w:pPr>
    </w:p>
    <w:p w14:paraId="6D4B504F" w14:textId="77777777" w:rsidR="0019038E" w:rsidRPr="002932E6" w:rsidRDefault="0019038E" w:rsidP="0019038E">
      <w:pPr>
        <w:spacing w:afterLines="280" w:after="672" w:line="360" w:lineRule="auto"/>
        <w:jc w:val="lowKashida"/>
      </w:pPr>
    </w:p>
    <w:p w14:paraId="7D54E553" w14:textId="77777777" w:rsidR="0019038E" w:rsidRPr="002932E6" w:rsidRDefault="0019038E" w:rsidP="0019038E">
      <w:pPr>
        <w:spacing w:afterLines="280" w:after="672" w:line="360" w:lineRule="auto"/>
        <w:jc w:val="lowKashida"/>
      </w:pPr>
    </w:p>
    <w:p w14:paraId="3CEEA075" w14:textId="77777777" w:rsidR="0019038E" w:rsidRPr="002932E6" w:rsidRDefault="0019038E" w:rsidP="0019038E">
      <w:pPr>
        <w:spacing w:afterLines="280" w:after="672" w:line="360" w:lineRule="auto"/>
        <w:jc w:val="lowKashida"/>
      </w:pPr>
    </w:p>
    <w:p w14:paraId="298E735C" w14:textId="77777777" w:rsidR="0019038E" w:rsidRPr="002932E6" w:rsidRDefault="0019038E" w:rsidP="0019038E">
      <w:pPr>
        <w:spacing w:afterLines="280" w:after="672" w:line="360" w:lineRule="auto"/>
        <w:jc w:val="lowKashida"/>
      </w:pPr>
    </w:p>
    <w:p w14:paraId="58EC5581" w14:textId="77777777" w:rsidR="0019038E" w:rsidRPr="002932E6" w:rsidRDefault="0019038E" w:rsidP="0019038E">
      <w:pPr>
        <w:spacing w:afterLines="280" w:after="672" w:line="360" w:lineRule="auto"/>
        <w:jc w:val="lowKashida"/>
      </w:pPr>
    </w:p>
    <w:p w14:paraId="7D9921D5" w14:textId="77777777" w:rsidR="0019038E" w:rsidRPr="002932E6" w:rsidRDefault="0019038E" w:rsidP="0019038E">
      <w:pPr>
        <w:spacing w:afterLines="280" w:after="672" w:line="360" w:lineRule="auto"/>
        <w:jc w:val="lowKashida"/>
      </w:pPr>
    </w:p>
    <w:p w14:paraId="76B3DEC3" w14:textId="77777777" w:rsidR="0019038E" w:rsidRDefault="0019038E" w:rsidP="0019038E">
      <w:pPr>
        <w:keepNext/>
        <w:spacing w:afterLines="280" w:after="672" w:line="360" w:lineRule="auto"/>
        <w:jc w:val="lowKashida"/>
      </w:pPr>
      <w:r>
        <w:rPr>
          <w:noProof/>
        </w:rPr>
        <w:lastRenderedPageBreak/>
        <w:drawing>
          <wp:inline distT="0" distB="0" distL="0" distR="0" wp14:anchorId="33579DC2" wp14:editId="434BEC2D">
            <wp:extent cx="5727700" cy="743966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61">
                      <a:extLst>
                        <a:ext uri="{28A0092B-C50C-407E-A947-70E740481C1C}">
                          <a14:useLocalDpi xmlns:a14="http://schemas.microsoft.com/office/drawing/2010/main" val="0"/>
                        </a:ext>
                      </a:extLst>
                    </a:blip>
                    <a:stretch>
                      <a:fillRect/>
                    </a:stretch>
                  </pic:blipFill>
                  <pic:spPr>
                    <a:xfrm>
                      <a:off x="0" y="0"/>
                      <a:ext cx="5727700" cy="7439660"/>
                    </a:xfrm>
                    <a:prstGeom prst="rect">
                      <a:avLst/>
                    </a:prstGeom>
                  </pic:spPr>
                </pic:pic>
              </a:graphicData>
            </a:graphic>
          </wp:inline>
        </w:drawing>
      </w:r>
    </w:p>
    <w:p w14:paraId="6D75DEBD" w14:textId="7B10DCCA" w:rsidR="0019038E" w:rsidRPr="00844399" w:rsidRDefault="0019038E" w:rsidP="0019038E">
      <w:pPr>
        <w:spacing w:before="100" w:beforeAutospacing="1" w:afterLines="280" w:after="672"/>
        <w:jc w:val="lowKashida"/>
        <w:rPr>
          <w:color w:val="000000" w:themeColor="text1"/>
          <w:sz w:val="20"/>
          <w:szCs w:val="20"/>
        </w:rPr>
      </w:pPr>
      <w:bookmarkStart w:id="151" w:name="_Toc83751390"/>
      <w:r w:rsidRPr="00A73B88">
        <w:rPr>
          <w:sz w:val="20"/>
          <w:szCs w:val="20"/>
        </w:rPr>
        <w:t xml:space="preserve">Figure </w:t>
      </w:r>
      <w:r w:rsidR="00843EDC">
        <w:rPr>
          <w:sz w:val="20"/>
          <w:szCs w:val="20"/>
        </w:rPr>
        <w:fldChar w:fldCharType="begin"/>
      </w:r>
      <w:r w:rsidR="00843EDC">
        <w:rPr>
          <w:sz w:val="20"/>
          <w:szCs w:val="20"/>
        </w:rPr>
        <w:instrText xml:space="preserve"> STYLEREF 1 \s </w:instrText>
      </w:r>
      <w:r w:rsidR="00843EDC">
        <w:rPr>
          <w:sz w:val="20"/>
          <w:szCs w:val="20"/>
        </w:rPr>
        <w:fldChar w:fldCharType="separate"/>
      </w:r>
      <w:r w:rsidR="00843EDC">
        <w:rPr>
          <w:noProof/>
          <w:sz w:val="20"/>
          <w:szCs w:val="20"/>
          <w:cs/>
        </w:rPr>
        <w:t>‎</w:t>
      </w:r>
      <w:r w:rsidR="00843EDC">
        <w:rPr>
          <w:noProof/>
          <w:sz w:val="20"/>
          <w:szCs w:val="20"/>
        </w:rPr>
        <w:t>4</w:t>
      </w:r>
      <w:r w:rsidR="00843EDC">
        <w:rPr>
          <w:sz w:val="20"/>
          <w:szCs w:val="20"/>
        </w:rPr>
        <w:fldChar w:fldCharType="end"/>
      </w:r>
      <w:r w:rsidR="00843EDC">
        <w:rPr>
          <w:sz w:val="20"/>
          <w:szCs w:val="20"/>
        </w:rPr>
        <w:t>.</w:t>
      </w:r>
      <w:r w:rsidR="00843EDC">
        <w:rPr>
          <w:sz w:val="20"/>
          <w:szCs w:val="20"/>
        </w:rPr>
        <w:fldChar w:fldCharType="begin"/>
      </w:r>
      <w:r w:rsidR="00843EDC">
        <w:rPr>
          <w:sz w:val="20"/>
          <w:szCs w:val="20"/>
        </w:rPr>
        <w:instrText xml:space="preserve"> SEQ Figure \* ARABIC \s 1 </w:instrText>
      </w:r>
      <w:r w:rsidR="00843EDC">
        <w:rPr>
          <w:sz w:val="20"/>
          <w:szCs w:val="20"/>
        </w:rPr>
        <w:fldChar w:fldCharType="separate"/>
      </w:r>
      <w:r w:rsidR="00843EDC">
        <w:rPr>
          <w:noProof/>
          <w:sz w:val="20"/>
          <w:szCs w:val="20"/>
        </w:rPr>
        <w:t>14</w:t>
      </w:r>
      <w:r w:rsidR="00843EDC">
        <w:rPr>
          <w:sz w:val="20"/>
          <w:szCs w:val="20"/>
        </w:rPr>
        <w:fldChar w:fldCharType="end"/>
      </w:r>
      <w:r w:rsidRPr="00844399">
        <w:rPr>
          <w:sz w:val="20"/>
          <w:szCs w:val="20"/>
        </w:rPr>
        <w:t xml:space="preserve"> Supervised multivariate OPLS-DA plots of pair-wise comparisons of the metabolite profiles of root aqueous phase</w:t>
      </w:r>
      <w:r w:rsidRPr="00844399">
        <w:rPr>
          <w:b/>
          <w:bCs/>
          <w:i/>
          <w:iCs/>
          <w:sz w:val="20"/>
          <w:szCs w:val="20"/>
        </w:rPr>
        <w:t xml:space="preserve"> </w:t>
      </w:r>
      <w:r w:rsidRPr="00844399">
        <w:rPr>
          <w:sz w:val="20"/>
          <w:szCs w:val="20"/>
        </w:rPr>
        <w:t>samples between the control treatment and mycorrhizal temperature. Metabolite profiles of the root aqueous phase were analyzed in positive ionization mode. 0= control 1 = mycorrhizal</w:t>
      </w:r>
      <w:r w:rsidRPr="00844399">
        <w:rPr>
          <w:color w:val="000000" w:themeColor="text1"/>
          <w:sz w:val="20"/>
          <w:szCs w:val="20"/>
        </w:rPr>
        <w:t>. The corresponding loading plots underneath each OPLS-DA plot demonstrate the discriminate mass bins for control and mycorrhizal.</w:t>
      </w:r>
      <w:bookmarkEnd w:id="151"/>
    </w:p>
    <w:p w14:paraId="5DEEFB42" w14:textId="77777777" w:rsidR="0019038E" w:rsidRPr="002932E6" w:rsidRDefault="0019038E" w:rsidP="0019038E">
      <w:pPr>
        <w:spacing w:afterLines="280" w:after="672" w:line="360" w:lineRule="auto"/>
        <w:jc w:val="lowKashida"/>
      </w:pPr>
    </w:p>
    <w:p w14:paraId="342A03E5" w14:textId="77777777" w:rsidR="0019038E" w:rsidRDefault="0019038E" w:rsidP="0019038E">
      <w:pPr>
        <w:keepNext/>
        <w:spacing w:afterLines="280" w:after="672" w:line="360" w:lineRule="auto"/>
        <w:jc w:val="lowKashida"/>
      </w:pPr>
      <w:r w:rsidRPr="002932E6">
        <w:rPr>
          <w:noProof/>
          <w:lang w:val="en-GB" w:eastAsia="en-GB"/>
        </w:rPr>
        <w:drawing>
          <wp:inline distT="0" distB="0" distL="0" distR="0" wp14:anchorId="52B045E0" wp14:editId="4F757FCF">
            <wp:extent cx="5727700" cy="2138045"/>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27700" cy="2138045"/>
                    </a:xfrm>
                    <a:prstGeom prst="rect">
                      <a:avLst/>
                    </a:prstGeom>
                  </pic:spPr>
                </pic:pic>
              </a:graphicData>
            </a:graphic>
          </wp:inline>
        </w:drawing>
      </w:r>
    </w:p>
    <w:p w14:paraId="4AE437C4" w14:textId="1057F165" w:rsidR="0019038E" w:rsidRPr="00844399" w:rsidRDefault="0019038E" w:rsidP="0019038E">
      <w:pPr>
        <w:pStyle w:val="Caption"/>
        <w:jc w:val="lowKashida"/>
        <w:rPr>
          <w:b w:val="0"/>
          <w:bCs w:val="0"/>
          <w:sz w:val="20"/>
          <w:szCs w:val="20"/>
        </w:rPr>
      </w:pPr>
      <w:bookmarkStart w:id="152" w:name="_Toc83751391"/>
      <w:r w:rsidRPr="00A73B88">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4</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15</w:t>
      </w:r>
      <w:r w:rsidR="00843EDC">
        <w:rPr>
          <w:b w:val="0"/>
          <w:bCs w:val="0"/>
          <w:sz w:val="20"/>
          <w:szCs w:val="20"/>
        </w:rPr>
        <w:fldChar w:fldCharType="end"/>
      </w:r>
      <w:r w:rsidRPr="00844399">
        <w:rPr>
          <w:b w:val="0"/>
          <w:bCs w:val="0"/>
          <w:sz w:val="20"/>
          <w:szCs w:val="20"/>
        </w:rPr>
        <w:t xml:space="preserve"> Supervised multivariate OPLS-DA plots of pair-wise comparisons of the metabolite </w:t>
      </w:r>
      <w:r w:rsidRPr="00844399">
        <w:rPr>
          <w:b w:val="0"/>
          <w:bCs w:val="0"/>
          <w:color w:val="000000" w:themeColor="text1"/>
          <w:sz w:val="20"/>
          <w:szCs w:val="20"/>
        </w:rPr>
        <w:t xml:space="preserve">profiles for root organic phase 18 </w:t>
      </w:r>
      <w:r>
        <w:rPr>
          <w:b w:val="0"/>
          <w:bCs w:val="0"/>
          <w:i/>
          <w:iCs/>
          <w:color w:val="000000" w:themeColor="text1"/>
          <w:sz w:val="20"/>
          <w:szCs w:val="20"/>
        </w:rPr>
        <w:t>Z</w:t>
      </w:r>
      <w:r w:rsidRPr="002C2A05">
        <w:rPr>
          <w:b w:val="0"/>
          <w:bCs w:val="0"/>
          <w:i/>
          <w:iCs/>
          <w:color w:val="000000" w:themeColor="text1"/>
          <w:sz w:val="20"/>
          <w:szCs w:val="20"/>
        </w:rPr>
        <w:t xml:space="preserve">ea </w:t>
      </w:r>
      <w:r w:rsidRPr="002C2A05">
        <w:rPr>
          <w:b w:val="0"/>
          <w:bCs w:val="0"/>
          <w:i/>
          <w:iCs/>
          <w:sz w:val="20"/>
          <w:szCs w:val="20"/>
        </w:rPr>
        <w:t>maize</w:t>
      </w:r>
      <w:r w:rsidRPr="00844399">
        <w:rPr>
          <w:b w:val="0"/>
          <w:bCs w:val="0"/>
          <w:sz w:val="20"/>
          <w:szCs w:val="20"/>
        </w:rPr>
        <w:t xml:space="preserve"> cultivars Metabolite profiles of the root organic phase were analyzed in positive ionization mode. cultivars have been given a color code in figures legend</w:t>
      </w:r>
      <w:bookmarkEnd w:id="152"/>
    </w:p>
    <w:p w14:paraId="303C304C" w14:textId="77777777" w:rsidR="0019038E" w:rsidRPr="002932E6" w:rsidRDefault="0019038E" w:rsidP="0019038E">
      <w:pPr>
        <w:spacing w:afterLines="280" w:after="672" w:line="360" w:lineRule="auto"/>
        <w:jc w:val="lowKashida"/>
      </w:pPr>
    </w:p>
    <w:p w14:paraId="1015A223" w14:textId="77777777" w:rsidR="0019038E" w:rsidRPr="002932E6" w:rsidRDefault="0019038E" w:rsidP="0019038E">
      <w:pPr>
        <w:spacing w:afterLines="280" w:after="672" w:line="360" w:lineRule="auto"/>
        <w:jc w:val="lowKashida"/>
      </w:pPr>
    </w:p>
    <w:p w14:paraId="28F9D9FB" w14:textId="77777777" w:rsidR="0019038E" w:rsidRPr="002932E6" w:rsidRDefault="0019038E" w:rsidP="0019038E">
      <w:pPr>
        <w:spacing w:afterLines="280" w:after="672" w:line="360" w:lineRule="auto"/>
        <w:jc w:val="lowKashida"/>
      </w:pPr>
    </w:p>
    <w:p w14:paraId="142C2DAE" w14:textId="77777777" w:rsidR="0019038E" w:rsidRPr="002932E6" w:rsidRDefault="0019038E" w:rsidP="0019038E">
      <w:pPr>
        <w:spacing w:afterLines="280" w:after="672" w:line="360" w:lineRule="auto"/>
        <w:jc w:val="lowKashida"/>
      </w:pPr>
    </w:p>
    <w:p w14:paraId="7DE1283A" w14:textId="77777777" w:rsidR="0019038E" w:rsidRPr="002932E6" w:rsidRDefault="0019038E" w:rsidP="0019038E">
      <w:pPr>
        <w:spacing w:afterLines="280" w:after="672" w:line="360" w:lineRule="auto"/>
        <w:jc w:val="lowKashida"/>
      </w:pPr>
    </w:p>
    <w:p w14:paraId="41D125DE" w14:textId="77777777" w:rsidR="0019038E" w:rsidRPr="002932E6" w:rsidRDefault="0019038E" w:rsidP="0019038E">
      <w:pPr>
        <w:spacing w:afterLines="280" w:after="672" w:line="360" w:lineRule="auto"/>
        <w:jc w:val="lowKashida"/>
      </w:pPr>
    </w:p>
    <w:p w14:paraId="0FA6859A" w14:textId="77777777" w:rsidR="0019038E" w:rsidRPr="002932E6" w:rsidRDefault="0019038E" w:rsidP="0019038E">
      <w:pPr>
        <w:spacing w:afterLines="280" w:after="672" w:line="360" w:lineRule="auto"/>
        <w:jc w:val="lowKashida"/>
      </w:pPr>
    </w:p>
    <w:p w14:paraId="02601128" w14:textId="77777777" w:rsidR="0019038E" w:rsidRDefault="0019038E" w:rsidP="0019038E">
      <w:pPr>
        <w:keepNext/>
        <w:spacing w:afterLines="280" w:after="672" w:line="360" w:lineRule="auto"/>
        <w:jc w:val="lowKashida"/>
      </w:pPr>
      <w:r>
        <w:rPr>
          <w:noProof/>
        </w:rPr>
        <w:lastRenderedPageBreak/>
        <w:drawing>
          <wp:inline distT="0" distB="0" distL="0" distR="0" wp14:anchorId="69B51571" wp14:editId="630489CF">
            <wp:extent cx="5727700" cy="7081520"/>
            <wp:effectExtent l="0" t="0" r="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63">
                      <a:extLst>
                        <a:ext uri="{28A0092B-C50C-407E-A947-70E740481C1C}">
                          <a14:useLocalDpi xmlns:a14="http://schemas.microsoft.com/office/drawing/2010/main" val="0"/>
                        </a:ext>
                      </a:extLst>
                    </a:blip>
                    <a:stretch>
                      <a:fillRect/>
                    </a:stretch>
                  </pic:blipFill>
                  <pic:spPr>
                    <a:xfrm>
                      <a:off x="0" y="0"/>
                      <a:ext cx="5727700" cy="7081520"/>
                    </a:xfrm>
                    <a:prstGeom prst="rect">
                      <a:avLst/>
                    </a:prstGeom>
                  </pic:spPr>
                </pic:pic>
              </a:graphicData>
            </a:graphic>
          </wp:inline>
        </w:drawing>
      </w:r>
    </w:p>
    <w:p w14:paraId="3A7EE574" w14:textId="49F1E1C5" w:rsidR="0019038E" w:rsidRPr="00844399" w:rsidRDefault="0019038E" w:rsidP="0019038E">
      <w:pPr>
        <w:pStyle w:val="Caption"/>
        <w:jc w:val="lowKashida"/>
        <w:rPr>
          <w:b w:val="0"/>
          <w:bCs w:val="0"/>
          <w:sz w:val="20"/>
          <w:szCs w:val="20"/>
        </w:rPr>
      </w:pPr>
      <w:bookmarkStart w:id="153" w:name="_Toc83751392"/>
      <w:r w:rsidRPr="00A73B88">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4</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16</w:t>
      </w:r>
      <w:r w:rsidR="00843EDC">
        <w:rPr>
          <w:b w:val="0"/>
          <w:bCs w:val="0"/>
          <w:sz w:val="20"/>
          <w:szCs w:val="20"/>
        </w:rPr>
        <w:fldChar w:fldCharType="end"/>
      </w:r>
      <w:r w:rsidRPr="00844399">
        <w:rPr>
          <w:b w:val="0"/>
          <w:bCs w:val="0"/>
          <w:sz w:val="20"/>
          <w:szCs w:val="20"/>
        </w:rPr>
        <w:t xml:space="preserve"> Supervised multivariate OPLS-DA plots of pair-wise comparisons of the metabolite profiles of root samples between the control treatment and mycorrhizal temperature. Metabolite profiles of the root aqueous phase were analyzed in positive ionization mode. 0= control 1 = mycorrhizal. </w:t>
      </w:r>
      <w:r w:rsidRPr="00844399">
        <w:rPr>
          <w:b w:val="0"/>
          <w:bCs w:val="0"/>
          <w:color w:val="000000" w:themeColor="text1"/>
          <w:sz w:val="20"/>
          <w:szCs w:val="20"/>
        </w:rPr>
        <w:t>The corresponding loading plots underneath each OPLS-DA plot demonstrate the discriminate mass bins for control and mycorrhizal</w:t>
      </w:r>
      <w:bookmarkEnd w:id="153"/>
    </w:p>
    <w:p w14:paraId="31355648" w14:textId="77777777" w:rsidR="0019038E" w:rsidRPr="002932E6" w:rsidRDefault="0019038E" w:rsidP="0019038E">
      <w:pPr>
        <w:pStyle w:val="NormalWeb"/>
        <w:spacing w:afterLines="280" w:after="672" w:afterAutospacing="0" w:line="360" w:lineRule="auto"/>
        <w:jc w:val="lowKashida"/>
        <w:rPr>
          <w:i/>
          <w:iCs/>
        </w:rPr>
      </w:pPr>
    </w:p>
    <w:p w14:paraId="663BC90B" w14:textId="5533F586" w:rsidR="0019038E" w:rsidRPr="002932E6" w:rsidRDefault="0019038E" w:rsidP="00C9392E">
      <w:pPr>
        <w:pStyle w:val="mythesis"/>
      </w:pPr>
      <w:r w:rsidRPr="002932E6">
        <w:lastRenderedPageBreak/>
        <w:t>The separation of the control from the mycorrhizal treatments validates the justification for further interrogation of the data. To evaluate the effects of the mycorrhizal treatment on the plant metabolite. We generated the loading plots from the OPLS-DA analysis and 10 bins associated with the mycorrhizal treatment and 10 bins associated with the</w:t>
      </w:r>
      <w:r w:rsidRPr="002932E6" w:rsidDel="007D7550">
        <w:t xml:space="preserve"> </w:t>
      </w:r>
      <w:r w:rsidRPr="002932E6">
        <w:t xml:space="preserve">control. In order to identify the candidate compounds responsible for driving the separation in the OPLS-DA analysis, we compared </w:t>
      </w:r>
      <w:r w:rsidRPr="00682DA1">
        <w:t xml:space="preserve">the </w:t>
      </w:r>
      <w:r w:rsidR="006A65CF" w:rsidRPr="00682DA1">
        <w:t>detected</w:t>
      </w:r>
      <w:r w:rsidRPr="00682DA1">
        <w:t xml:space="preserve"> </w:t>
      </w:r>
      <w:r w:rsidRPr="002932E6">
        <w:t>masses found in each mass bin with online databases in order to achieve a putative compound identification, which showed significant differences in their abundances, as listed in Tables (A 4.6 - 4.20)</w:t>
      </w:r>
      <w:r>
        <w:t xml:space="preserve"> in appendix.</w:t>
      </w:r>
    </w:p>
    <w:p w14:paraId="1E9C9060" w14:textId="5D93C9CD" w:rsidR="0019038E" w:rsidRDefault="0019038E" w:rsidP="0019038E">
      <w:pPr>
        <w:pStyle w:val="Heading3"/>
      </w:pPr>
      <w:bookmarkStart w:id="154" w:name="_Toc83751480"/>
      <w:r w:rsidRPr="002932E6">
        <w:t>4.3.3 Average intensities of % total ion counts of metabolites</w:t>
      </w:r>
      <w:bookmarkEnd w:id="154"/>
      <w:r w:rsidRPr="002932E6">
        <w:t xml:space="preserve"> </w:t>
      </w:r>
    </w:p>
    <w:p w14:paraId="09B1ADA5" w14:textId="77777777" w:rsidR="00C9392E" w:rsidRPr="00C9392E" w:rsidRDefault="00C9392E" w:rsidP="00C9392E"/>
    <w:p w14:paraId="775B837F" w14:textId="77777777" w:rsidR="0019038E" w:rsidRPr="002932E6" w:rsidRDefault="0019038E" w:rsidP="00C9392E">
      <w:pPr>
        <w:pStyle w:val="mythesis"/>
      </w:pPr>
      <w:r w:rsidRPr="002932E6">
        <w:t xml:space="preserve">In the order to quantify the effect of mycorrhizal on the individual mass bines identified for each cultivar we extracted the raw total ion count. In order to establish any significant effect of mycorrhiza on the total ion count of a given putatively identified compound we used the 2-Way ANOVA analysis to establish any effect of the mycorrhiza on the amount of each metabolite with the same for each for the cultivars. graphs of the average intensities of the discriminatory mass bins demonstrate a change in the percentage total ion count between the control and the mycorrhizal treatments through both up and down regulation of secondary metabolites. </w:t>
      </w:r>
    </w:p>
    <w:p w14:paraId="0CD08A10" w14:textId="311354DA" w:rsidR="0019038E" w:rsidRPr="002932E6" w:rsidRDefault="0019038E" w:rsidP="00C9392E">
      <w:pPr>
        <w:pStyle w:val="mythesis"/>
      </w:pPr>
      <w:r w:rsidRPr="002932E6">
        <w:t>It was found according to the 2-Way ANOVA statistical test</w:t>
      </w:r>
      <w:r>
        <w:t xml:space="preserve"> </w:t>
      </w:r>
      <w:r w:rsidRPr="002932E6">
        <w:t xml:space="preserve">in </w:t>
      </w:r>
      <w:r>
        <w:t xml:space="preserve">Figure </w:t>
      </w:r>
      <w:r w:rsidRPr="002932E6">
        <w:t>4.</w:t>
      </w:r>
      <w:r>
        <w:t>17</w:t>
      </w:r>
      <w:r w:rsidRPr="002932E6">
        <w:t xml:space="preserve"> that in shoot organic phase the significant mass Bins after the TIC% statistical analysis were 145,</w:t>
      </w:r>
      <w:r>
        <w:t xml:space="preserve"> </w:t>
      </w:r>
      <w:r w:rsidRPr="002932E6">
        <w:t>335.2,</w:t>
      </w:r>
      <w:r>
        <w:t xml:space="preserve"> </w:t>
      </w:r>
      <w:r w:rsidRPr="002932E6">
        <w:t>172 (P&lt;0.01) ,174 and</w:t>
      </w:r>
      <w:r>
        <w:t xml:space="preserve"> </w:t>
      </w:r>
      <w:r w:rsidRPr="002932E6">
        <w:t xml:space="preserve">333(P&lt;0.05).it was noticed that the there was an increase in the % total ion counts of the treated samples in all cultivars except No.1,14,17,18 in some Bins but </w:t>
      </w:r>
      <w:r w:rsidR="00CA2032">
        <w:t xml:space="preserve">the </w:t>
      </w:r>
      <w:r w:rsidRPr="002932E6">
        <w:t>cultivar No.6 was decrease in all Bins.</w:t>
      </w:r>
    </w:p>
    <w:p w14:paraId="374D4315" w14:textId="77777777" w:rsidR="0019038E" w:rsidRPr="002932E6" w:rsidRDefault="0019038E" w:rsidP="00C9392E">
      <w:pPr>
        <w:pStyle w:val="mythesis"/>
      </w:pPr>
      <w:r>
        <w:t>Figure 4.18</w:t>
      </w:r>
      <w:r w:rsidRPr="002932E6">
        <w:t xml:space="preserve"> showed in root aqueous phase after the TIC% statistical analysis the significant mass Bins were 307.2, 393.2, 423.2 with high significant value (P&lt;0.001) and 147, 235.2 with less significant value (P&lt;0. 1; P&lt;0.05).it was observed that the there was an increase in the % total ion counts of the treated samples in all cultivars except No.5,6,10,11and 12 in Bins No.307.2.</w:t>
      </w:r>
    </w:p>
    <w:p w14:paraId="2A134A1B" w14:textId="77777777" w:rsidR="0019038E" w:rsidRPr="002932E6" w:rsidRDefault="0019038E" w:rsidP="00C9392E">
      <w:pPr>
        <w:pStyle w:val="mythesis"/>
      </w:pPr>
      <w:r>
        <w:t>And Figure 4.19</w:t>
      </w:r>
      <w:r w:rsidRPr="002932E6">
        <w:t xml:space="preserve"> showed that the significant mass Bins after the TIC% statistical analysis in root organic phase were 337.2,</w:t>
      </w:r>
      <w:r>
        <w:t xml:space="preserve"> </w:t>
      </w:r>
      <w:r w:rsidRPr="002932E6">
        <w:t>284.4 with high significant value (P&lt;0.001) and 381.2,</w:t>
      </w:r>
      <w:r>
        <w:t xml:space="preserve"> </w:t>
      </w:r>
      <w:r w:rsidRPr="002932E6">
        <w:t>278.2,</w:t>
      </w:r>
      <w:r>
        <w:t xml:space="preserve"> </w:t>
      </w:r>
      <w:r w:rsidRPr="002932E6">
        <w:lastRenderedPageBreak/>
        <w:t>274.2 and</w:t>
      </w:r>
      <w:r>
        <w:t xml:space="preserve"> </w:t>
      </w:r>
      <w:r w:rsidRPr="002932E6">
        <w:t>279 with less significant value (P&lt;0.01). the results were different between the samples in terms of increase and decrease, where there was no effect of treatment on some of them and some were affected.</w:t>
      </w:r>
    </w:p>
    <w:p w14:paraId="410EC09B" w14:textId="77777777" w:rsidR="0019038E" w:rsidRPr="002932E6" w:rsidRDefault="0019038E" w:rsidP="00C9392E">
      <w:pPr>
        <w:pStyle w:val="mythesis"/>
      </w:pPr>
      <w:r w:rsidRPr="002932E6">
        <w:t>and these Mass bins comprised various compound classes such as organic acids, amino acids, organic aromatic phenylpropanoid, glycosides, fatty acids, phosphoric acid, hormones alkenes, amide, carboxylic acid, amino sugar and purine, as well as nucleosides. several discriminating mass bins were secondary metabolites such as phenylpropanoids, flavonoids, terpenoids and alkaloids.</w:t>
      </w:r>
    </w:p>
    <w:p w14:paraId="6DFFC921" w14:textId="77777777" w:rsidR="0019038E" w:rsidRPr="002932E6" w:rsidRDefault="0019038E" w:rsidP="00C9392E">
      <w:pPr>
        <w:pStyle w:val="mythesis"/>
      </w:pPr>
      <w:r w:rsidRPr="002932E6">
        <w:t>These chemical groups suggest that the metabolite pathways that potentially have been affected by the mycorrhizal treatment where the pathway for these groups include jasmonic acid pathways.</w:t>
      </w:r>
    </w:p>
    <w:p w14:paraId="08D3FA7E" w14:textId="77777777" w:rsidR="0019038E" w:rsidRPr="002932E6" w:rsidRDefault="0019038E" w:rsidP="0019038E">
      <w:pPr>
        <w:pStyle w:val="NormalWeb"/>
        <w:spacing w:afterLines="280" w:after="672" w:afterAutospacing="0" w:line="360" w:lineRule="auto"/>
        <w:jc w:val="lowKashida"/>
        <w:rPr>
          <w:i/>
          <w:iCs/>
          <w:color w:val="000000" w:themeColor="text1"/>
        </w:rPr>
      </w:pPr>
    </w:p>
    <w:p w14:paraId="473D5EDB" w14:textId="77777777" w:rsidR="0019038E" w:rsidRPr="002932E6" w:rsidRDefault="0019038E" w:rsidP="0019038E">
      <w:pPr>
        <w:pStyle w:val="NormalWeb"/>
        <w:spacing w:afterLines="280" w:after="672" w:afterAutospacing="0" w:line="360" w:lineRule="auto"/>
        <w:jc w:val="lowKashida"/>
        <w:rPr>
          <w:i/>
          <w:iCs/>
        </w:rPr>
      </w:pPr>
    </w:p>
    <w:p w14:paraId="186CE269" w14:textId="77777777" w:rsidR="0019038E" w:rsidRPr="002932E6" w:rsidRDefault="0019038E" w:rsidP="0019038E">
      <w:pPr>
        <w:pStyle w:val="NormalWeb"/>
        <w:spacing w:afterLines="280" w:after="672" w:afterAutospacing="0" w:line="360" w:lineRule="auto"/>
        <w:jc w:val="lowKashida"/>
        <w:rPr>
          <w:i/>
          <w:iCs/>
        </w:rPr>
      </w:pPr>
    </w:p>
    <w:p w14:paraId="24368A5F" w14:textId="77777777" w:rsidR="0019038E" w:rsidRPr="002932E6" w:rsidRDefault="0019038E" w:rsidP="0019038E">
      <w:pPr>
        <w:pStyle w:val="NormalWeb"/>
        <w:spacing w:afterLines="280" w:after="672" w:afterAutospacing="0" w:line="360" w:lineRule="auto"/>
        <w:jc w:val="lowKashida"/>
        <w:rPr>
          <w:i/>
          <w:iCs/>
        </w:rPr>
      </w:pPr>
    </w:p>
    <w:p w14:paraId="5B672924" w14:textId="77777777" w:rsidR="0019038E" w:rsidRPr="002932E6" w:rsidRDefault="0019038E" w:rsidP="0019038E">
      <w:pPr>
        <w:pStyle w:val="NormalWeb"/>
        <w:spacing w:afterLines="280" w:after="672" w:afterAutospacing="0" w:line="360" w:lineRule="auto"/>
        <w:jc w:val="lowKashida"/>
        <w:rPr>
          <w:i/>
          <w:iCs/>
        </w:rPr>
      </w:pPr>
    </w:p>
    <w:p w14:paraId="1FA2209F" w14:textId="77777777" w:rsidR="0019038E" w:rsidRPr="002932E6" w:rsidRDefault="0019038E" w:rsidP="0019038E">
      <w:pPr>
        <w:pStyle w:val="NormalWeb"/>
        <w:spacing w:afterLines="280" w:after="672" w:afterAutospacing="0" w:line="360" w:lineRule="auto"/>
        <w:jc w:val="lowKashida"/>
      </w:pPr>
    </w:p>
    <w:p w14:paraId="29CA45BC" w14:textId="77777777" w:rsidR="0019038E" w:rsidRPr="00844399" w:rsidRDefault="0019038E" w:rsidP="0019038E">
      <w:pPr>
        <w:pStyle w:val="Heading4"/>
      </w:pPr>
      <w:bookmarkStart w:id="155" w:name="_Toc83751481"/>
      <w:r w:rsidRPr="002932E6">
        <w:lastRenderedPageBreak/>
        <w:t>4.3.3.1 Shoot organic phase</w:t>
      </w:r>
      <w:bookmarkEnd w:id="155"/>
      <w:r w:rsidRPr="002932E6">
        <w:t xml:space="preserve">   </w:t>
      </w:r>
    </w:p>
    <w:p w14:paraId="4FE20C32" w14:textId="77777777" w:rsidR="0019038E" w:rsidRDefault="0019038E" w:rsidP="0019038E">
      <w:pPr>
        <w:keepNext/>
        <w:spacing w:afterLines="280" w:after="672" w:line="360" w:lineRule="auto"/>
        <w:jc w:val="lowKashida"/>
      </w:pPr>
      <w:r w:rsidRPr="002932E6">
        <w:rPr>
          <w:i/>
          <w:iCs/>
          <w:noProof/>
          <w:lang w:val="en-GB" w:eastAsia="en-GB"/>
        </w:rPr>
        <w:drawing>
          <wp:inline distT="0" distB="0" distL="0" distR="0" wp14:anchorId="4027AA68" wp14:editId="4CC13A50">
            <wp:extent cx="4983684" cy="7253416"/>
            <wp:effectExtent l="0" t="0" r="0" b="0"/>
            <wp:docPr id="3" name="Picture 3"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letter&#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98558" cy="7275064"/>
                    </a:xfrm>
                    <a:prstGeom prst="rect">
                      <a:avLst/>
                    </a:prstGeom>
                  </pic:spPr>
                </pic:pic>
              </a:graphicData>
            </a:graphic>
          </wp:inline>
        </w:drawing>
      </w:r>
    </w:p>
    <w:p w14:paraId="2DFABE45" w14:textId="276C71D1" w:rsidR="0019038E" w:rsidRPr="004E61A6" w:rsidRDefault="0019038E" w:rsidP="0019038E">
      <w:pPr>
        <w:spacing w:before="100" w:beforeAutospacing="1" w:afterLines="280" w:after="672"/>
        <w:jc w:val="lowKashida"/>
        <w:rPr>
          <w:sz w:val="20"/>
          <w:szCs w:val="20"/>
        </w:rPr>
      </w:pPr>
      <w:bookmarkStart w:id="156" w:name="_Toc83751393"/>
      <w:r w:rsidRPr="00A73B88">
        <w:rPr>
          <w:sz w:val="20"/>
          <w:szCs w:val="20"/>
        </w:rPr>
        <w:t xml:space="preserve">Figure </w:t>
      </w:r>
      <w:r w:rsidR="00843EDC">
        <w:rPr>
          <w:sz w:val="20"/>
          <w:szCs w:val="20"/>
        </w:rPr>
        <w:fldChar w:fldCharType="begin"/>
      </w:r>
      <w:r w:rsidR="00843EDC">
        <w:rPr>
          <w:sz w:val="20"/>
          <w:szCs w:val="20"/>
        </w:rPr>
        <w:instrText xml:space="preserve"> STYLEREF 1 \s </w:instrText>
      </w:r>
      <w:r w:rsidR="00843EDC">
        <w:rPr>
          <w:sz w:val="20"/>
          <w:szCs w:val="20"/>
        </w:rPr>
        <w:fldChar w:fldCharType="separate"/>
      </w:r>
      <w:r w:rsidR="00843EDC">
        <w:rPr>
          <w:noProof/>
          <w:sz w:val="20"/>
          <w:szCs w:val="20"/>
          <w:cs/>
        </w:rPr>
        <w:t>‎</w:t>
      </w:r>
      <w:r w:rsidR="00843EDC">
        <w:rPr>
          <w:noProof/>
          <w:sz w:val="20"/>
          <w:szCs w:val="20"/>
        </w:rPr>
        <w:t>4</w:t>
      </w:r>
      <w:r w:rsidR="00843EDC">
        <w:rPr>
          <w:sz w:val="20"/>
          <w:szCs w:val="20"/>
        </w:rPr>
        <w:fldChar w:fldCharType="end"/>
      </w:r>
      <w:r w:rsidR="00843EDC">
        <w:rPr>
          <w:sz w:val="20"/>
          <w:szCs w:val="20"/>
        </w:rPr>
        <w:t>.</w:t>
      </w:r>
      <w:r w:rsidR="00843EDC">
        <w:rPr>
          <w:sz w:val="20"/>
          <w:szCs w:val="20"/>
        </w:rPr>
        <w:fldChar w:fldCharType="begin"/>
      </w:r>
      <w:r w:rsidR="00843EDC">
        <w:rPr>
          <w:sz w:val="20"/>
          <w:szCs w:val="20"/>
        </w:rPr>
        <w:instrText xml:space="preserve"> SEQ Figure \* ARABIC \s 1 </w:instrText>
      </w:r>
      <w:r w:rsidR="00843EDC">
        <w:rPr>
          <w:sz w:val="20"/>
          <w:szCs w:val="20"/>
        </w:rPr>
        <w:fldChar w:fldCharType="separate"/>
      </w:r>
      <w:r w:rsidR="00843EDC">
        <w:rPr>
          <w:noProof/>
          <w:sz w:val="20"/>
          <w:szCs w:val="20"/>
        </w:rPr>
        <w:t>17</w:t>
      </w:r>
      <w:r w:rsidR="00843EDC">
        <w:rPr>
          <w:sz w:val="20"/>
          <w:szCs w:val="20"/>
        </w:rPr>
        <w:fldChar w:fldCharType="end"/>
      </w:r>
      <w:r w:rsidRPr="00844399">
        <w:rPr>
          <w:sz w:val="20"/>
          <w:szCs w:val="20"/>
        </w:rPr>
        <w:t xml:space="preserve"> Total % ion count of discriminatory mass bins (</w:t>
      </w:r>
      <w:r w:rsidRPr="00844399">
        <w:rPr>
          <w:i/>
          <w:iCs/>
          <w:sz w:val="20"/>
          <w:szCs w:val="20"/>
        </w:rPr>
        <w:t xml:space="preserve">m/z) </w:t>
      </w:r>
      <w:r w:rsidRPr="00844399">
        <w:rPr>
          <w:sz w:val="20"/>
          <w:szCs w:val="20"/>
        </w:rPr>
        <w:t>for mycorrhizal side for shoot organic phase in positive mode for cultivars and treatment. Two-Way ANOVA statistical significance of % ion count intensities of the mycorrhizal treatment and their pairwise comparison for the discriminatory mass bins for the shoot organic phase, positive mode.  D.F, degrees of freedom; F, value for comparison with the critical value for significance; P, level of significance (P-value).  Asterisk indicates significant differences within the same cultivar (</w:t>
      </w:r>
      <w:r w:rsidRPr="00844399">
        <w:rPr>
          <w:bCs/>
          <w:sz w:val="20"/>
          <w:szCs w:val="20"/>
        </w:rPr>
        <w:t>+P&lt;0.1;</w:t>
      </w:r>
      <w:r w:rsidRPr="00844399">
        <w:rPr>
          <w:bCs/>
          <w:color w:val="000000"/>
          <w:sz w:val="20"/>
          <w:szCs w:val="20"/>
        </w:rPr>
        <w:t xml:space="preserve"> </w:t>
      </w:r>
      <w:r w:rsidRPr="00844399">
        <w:rPr>
          <w:bCs/>
          <w:sz w:val="20"/>
          <w:szCs w:val="20"/>
        </w:rPr>
        <w:t>*, P&lt;0.05; **, P&lt;0.01;   ***, P&lt;0.001; ****, P&lt;0.0001).</w:t>
      </w:r>
      <w:bookmarkEnd w:id="156"/>
    </w:p>
    <w:p w14:paraId="07622A52" w14:textId="77777777" w:rsidR="0019038E" w:rsidRPr="002932E6" w:rsidRDefault="0019038E" w:rsidP="0019038E">
      <w:pPr>
        <w:pStyle w:val="Heading4"/>
      </w:pPr>
      <w:bookmarkStart w:id="157" w:name="_Toc83751482"/>
      <w:r w:rsidRPr="002932E6">
        <w:lastRenderedPageBreak/>
        <w:t>4.3.3.2 Root aqueous phase</w:t>
      </w:r>
      <w:bookmarkEnd w:id="157"/>
      <w:r w:rsidRPr="002932E6">
        <w:t xml:space="preserve">   </w:t>
      </w:r>
    </w:p>
    <w:p w14:paraId="5BFE49AE" w14:textId="77777777" w:rsidR="0019038E" w:rsidRDefault="0019038E" w:rsidP="0019038E">
      <w:pPr>
        <w:keepNext/>
        <w:spacing w:afterLines="280" w:after="672" w:line="360" w:lineRule="auto"/>
        <w:jc w:val="lowKashida"/>
      </w:pPr>
      <w:r>
        <w:t xml:space="preserve">          </w:t>
      </w:r>
      <w:r w:rsidRPr="002932E6">
        <w:rPr>
          <w:noProof/>
          <w:lang w:val="en-GB" w:eastAsia="en-GB"/>
        </w:rPr>
        <w:drawing>
          <wp:inline distT="0" distB="0" distL="0" distR="0" wp14:anchorId="2BE6E36F" wp14:editId="53AFE108">
            <wp:extent cx="4727646" cy="7137071"/>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754615" cy="7177785"/>
                    </a:xfrm>
                    <a:prstGeom prst="rect">
                      <a:avLst/>
                    </a:prstGeom>
                  </pic:spPr>
                </pic:pic>
              </a:graphicData>
            </a:graphic>
          </wp:inline>
        </w:drawing>
      </w:r>
    </w:p>
    <w:p w14:paraId="455D7366" w14:textId="33834C2F" w:rsidR="0019038E" w:rsidRPr="004E61A6" w:rsidRDefault="0019038E" w:rsidP="0019038E">
      <w:pPr>
        <w:pStyle w:val="Caption"/>
        <w:jc w:val="lowKashida"/>
        <w:rPr>
          <w:b w:val="0"/>
          <w:bCs w:val="0"/>
          <w:sz w:val="20"/>
          <w:szCs w:val="20"/>
        </w:rPr>
      </w:pPr>
      <w:bookmarkStart w:id="158" w:name="_Toc83751394"/>
      <w:r w:rsidRPr="00A73B88">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4</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18</w:t>
      </w:r>
      <w:r w:rsidR="00843EDC">
        <w:rPr>
          <w:b w:val="0"/>
          <w:bCs w:val="0"/>
          <w:sz w:val="20"/>
          <w:szCs w:val="20"/>
        </w:rPr>
        <w:fldChar w:fldCharType="end"/>
      </w:r>
      <w:r w:rsidRPr="004E61A6">
        <w:rPr>
          <w:b w:val="0"/>
          <w:bCs w:val="0"/>
          <w:sz w:val="20"/>
          <w:szCs w:val="20"/>
        </w:rPr>
        <w:t xml:space="preserve"> Total % ion count of discriminatory mass bins (</w:t>
      </w:r>
      <w:r w:rsidRPr="004E61A6">
        <w:rPr>
          <w:b w:val="0"/>
          <w:bCs w:val="0"/>
          <w:i/>
          <w:iCs/>
          <w:sz w:val="20"/>
          <w:szCs w:val="20"/>
        </w:rPr>
        <w:t xml:space="preserve">m/z) </w:t>
      </w:r>
      <w:r w:rsidRPr="004E61A6">
        <w:rPr>
          <w:b w:val="0"/>
          <w:bCs w:val="0"/>
          <w:sz w:val="20"/>
          <w:szCs w:val="20"/>
        </w:rPr>
        <w:t>for mycorrhizal side for root aqueous phase in positive mode for cultivars and treatment. Two-Way ANOVA statistical significance of % ion count intensities of the mycorrhizal treatment and their pairwise comparison for the discriminatory mass bins for the shoot organic phase, positive mode.  D.F, degrees of freedom; F, value for comparison with the critical value for significance; P, level of significance (P-value).  Asterisk indicates significant differences within the same cultivar (+P&lt;0.1;</w:t>
      </w:r>
      <w:r w:rsidRPr="004E61A6">
        <w:rPr>
          <w:b w:val="0"/>
          <w:bCs w:val="0"/>
          <w:color w:val="000000"/>
          <w:sz w:val="20"/>
          <w:szCs w:val="20"/>
        </w:rPr>
        <w:t xml:space="preserve"> </w:t>
      </w:r>
      <w:r w:rsidRPr="004E61A6">
        <w:rPr>
          <w:b w:val="0"/>
          <w:bCs w:val="0"/>
          <w:sz w:val="20"/>
          <w:szCs w:val="20"/>
        </w:rPr>
        <w:t>*, P&lt;0.05; **, P&lt;0.01;   ***, P&lt;0.001; ****, P&lt;0.0001).</w:t>
      </w:r>
      <w:bookmarkEnd w:id="158"/>
    </w:p>
    <w:p w14:paraId="2D20EC11" w14:textId="77777777" w:rsidR="0019038E" w:rsidRPr="002932E6" w:rsidRDefault="0019038E" w:rsidP="0019038E">
      <w:pPr>
        <w:pStyle w:val="Heading4"/>
      </w:pPr>
      <w:bookmarkStart w:id="159" w:name="_Toc83751483"/>
      <w:r w:rsidRPr="002932E6">
        <w:lastRenderedPageBreak/>
        <w:t>4.3.3.3 Root organic phase</w:t>
      </w:r>
      <w:bookmarkEnd w:id="159"/>
      <w:r w:rsidRPr="002932E6">
        <w:t xml:space="preserve">   </w:t>
      </w:r>
    </w:p>
    <w:p w14:paraId="630D241C" w14:textId="77777777" w:rsidR="0019038E" w:rsidRDefault="0019038E" w:rsidP="0019038E">
      <w:pPr>
        <w:keepNext/>
        <w:spacing w:before="100" w:beforeAutospacing="1" w:afterLines="280" w:after="672" w:line="360" w:lineRule="auto"/>
        <w:jc w:val="lowKashida"/>
      </w:pPr>
      <w:r>
        <w:t xml:space="preserve">           </w:t>
      </w:r>
      <w:r w:rsidRPr="002932E6">
        <w:rPr>
          <w:noProof/>
          <w:lang w:val="en-GB" w:eastAsia="en-GB"/>
        </w:rPr>
        <w:drawing>
          <wp:inline distT="0" distB="0" distL="0" distR="0" wp14:anchorId="1D58C33B" wp14:editId="7146614F">
            <wp:extent cx="4789288" cy="708942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799889" cy="7105114"/>
                    </a:xfrm>
                    <a:prstGeom prst="rect">
                      <a:avLst/>
                    </a:prstGeom>
                  </pic:spPr>
                </pic:pic>
              </a:graphicData>
            </a:graphic>
          </wp:inline>
        </w:drawing>
      </w:r>
    </w:p>
    <w:p w14:paraId="0A2F4182" w14:textId="18061A4D" w:rsidR="0019038E" w:rsidRPr="00CA4436" w:rsidRDefault="0019038E" w:rsidP="0019038E">
      <w:pPr>
        <w:pStyle w:val="Caption"/>
        <w:jc w:val="lowKashida"/>
        <w:rPr>
          <w:b w:val="0"/>
          <w:bCs w:val="0"/>
          <w:sz w:val="20"/>
          <w:szCs w:val="20"/>
        </w:rPr>
      </w:pPr>
      <w:bookmarkStart w:id="160" w:name="_Toc83751395"/>
      <w:r w:rsidRPr="00A73B88">
        <w:rPr>
          <w:b w:val="0"/>
          <w:bCs w:val="0"/>
          <w:sz w:val="20"/>
          <w:szCs w:val="20"/>
        </w:rPr>
        <w:t xml:space="preserve">Figure </w:t>
      </w:r>
      <w:r w:rsidR="00843EDC">
        <w:rPr>
          <w:b w:val="0"/>
          <w:bCs w:val="0"/>
          <w:sz w:val="20"/>
          <w:szCs w:val="20"/>
        </w:rPr>
        <w:fldChar w:fldCharType="begin"/>
      </w:r>
      <w:r w:rsidR="00843EDC">
        <w:rPr>
          <w:b w:val="0"/>
          <w:bCs w:val="0"/>
          <w:sz w:val="20"/>
          <w:szCs w:val="20"/>
        </w:rPr>
        <w:instrText xml:space="preserve"> STYLEREF 1 \s </w:instrText>
      </w:r>
      <w:r w:rsidR="00843EDC">
        <w:rPr>
          <w:b w:val="0"/>
          <w:bCs w:val="0"/>
          <w:sz w:val="20"/>
          <w:szCs w:val="20"/>
        </w:rPr>
        <w:fldChar w:fldCharType="separate"/>
      </w:r>
      <w:r w:rsidR="00843EDC">
        <w:rPr>
          <w:b w:val="0"/>
          <w:bCs w:val="0"/>
          <w:noProof/>
          <w:sz w:val="20"/>
          <w:szCs w:val="20"/>
          <w:cs/>
        </w:rPr>
        <w:t>‎</w:t>
      </w:r>
      <w:r w:rsidR="00843EDC">
        <w:rPr>
          <w:b w:val="0"/>
          <w:bCs w:val="0"/>
          <w:noProof/>
          <w:sz w:val="20"/>
          <w:szCs w:val="20"/>
        </w:rPr>
        <w:t>4</w:t>
      </w:r>
      <w:r w:rsidR="00843EDC">
        <w:rPr>
          <w:b w:val="0"/>
          <w:bCs w:val="0"/>
          <w:sz w:val="20"/>
          <w:szCs w:val="20"/>
        </w:rPr>
        <w:fldChar w:fldCharType="end"/>
      </w:r>
      <w:r w:rsidR="00843EDC">
        <w:rPr>
          <w:b w:val="0"/>
          <w:bCs w:val="0"/>
          <w:sz w:val="20"/>
          <w:szCs w:val="20"/>
        </w:rPr>
        <w:t>.</w:t>
      </w:r>
      <w:r w:rsidR="00843EDC">
        <w:rPr>
          <w:b w:val="0"/>
          <w:bCs w:val="0"/>
          <w:sz w:val="20"/>
          <w:szCs w:val="20"/>
        </w:rPr>
        <w:fldChar w:fldCharType="begin"/>
      </w:r>
      <w:r w:rsidR="00843EDC">
        <w:rPr>
          <w:b w:val="0"/>
          <w:bCs w:val="0"/>
          <w:sz w:val="20"/>
          <w:szCs w:val="20"/>
        </w:rPr>
        <w:instrText xml:space="preserve"> SEQ Figure \* ARABIC \s 1 </w:instrText>
      </w:r>
      <w:r w:rsidR="00843EDC">
        <w:rPr>
          <w:b w:val="0"/>
          <w:bCs w:val="0"/>
          <w:sz w:val="20"/>
          <w:szCs w:val="20"/>
        </w:rPr>
        <w:fldChar w:fldCharType="separate"/>
      </w:r>
      <w:r w:rsidR="00843EDC">
        <w:rPr>
          <w:b w:val="0"/>
          <w:bCs w:val="0"/>
          <w:noProof/>
          <w:sz w:val="20"/>
          <w:szCs w:val="20"/>
        </w:rPr>
        <w:t>19</w:t>
      </w:r>
      <w:r w:rsidR="00843EDC">
        <w:rPr>
          <w:b w:val="0"/>
          <w:bCs w:val="0"/>
          <w:sz w:val="20"/>
          <w:szCs w:val="20"/>
        </w:rPr>
        <w:fldChar w:fldCharType="end"/>
      </w:r>
      <w:r w:rsidRPr="00CA4436">
        <w:rPr>
          <w:b w:val="0"/>
          <w:bCs w:val="0"/>
          <w:sz w:val="20"/>
          <w:szCs w:val="20"/>
        </w:rPr>
        <w:t xml:space="preserve"> Total % ion count of discriminatory mass bins (</w:t>
      </w:r>
      <w:r w:rsidRPr="00CA4436">
        <w:rPr>
          <w:b w:val="0"/>
          <w:bCs w:val="0"/>
          <w:i/>
          <w:iCs/>
          <w:sz w:val="20"/>
          <w:szCs w:val="20"/>
        </w:rPr>
        <w:t xml:space="preserve">m/z) </w:t>
      </w:r>
      <w:r w:rsidRPr="00CA4436">
        <w:rPr>
          <w:b w:val="0"/>
          <w:bCs w:val="0"/>
          <w:sz w:val="20"/>
          <w:szCs w:val="20"/>
        </w:rPr>
        <w:t>for mycorrhizal side for root organic phase in positive mode for cultivars and treatment. Two-Way ANOVA statistical significance of % ion count intensities of the mycorrhizal treatment and their pairwise comparison for the discriminatory mass bins for the shoot organic phase, positive mode.  D.F, degrees of freedom; F, value for comparison with the critical value for significance; P, level of significance (P-value).  Asterisk indicates significant differences within the same cultivar (+P&lt;0.1;</w:t>
      </w:r>
      <w:r w:rsidRPr="00CA4436">
        <w:rPr>
          <w:b w:val="0"/>
          <w:bCs w:val="0"/>
          <w:color w:val="000000"/>
          <w:sz w:val="20"/>
          <w:szCs w:val="20"/>
        </w:rPr>
        <w:t xml:space="preserve"> </w:t>
      </w:r>
      <w:r w:rsidRPr="00CA4436">
        <w:rPr>
          <w:b w:val="0"/>
          <w:bCs w:val="0"/>
          <w:sz w:val="20"/>
          <w:szCs w:val="20"/>
        </w:rPr>
        <w:t>*, P&lt;0.05; **, P&lt;0.01;   ***, P&lt;0.001; ****, P&lt;0.0001).</w:t>
      </w:r>
      <w:bookmarkEnd w:id="160"/>
    </w:p>
    <w:p w14:paraId="51F0CAF4" w14:textId="67660447" w:rsidR="0019038E" w:rsidRDefault="0019038E" w:rsidP="0019038E">
      <w:pPr>
        <w:pStyle w:val="Heading3"/>
        <w:rPr>
          <w:rFonts w:eastAsiaTheme="minorHAnsi"/>
        </w:rPr>
      </w:pPr>
      <w:bookmarkStart w:id="161" w:name="_Toc83751484"/>
      <w:r w:rsidRPr="002932E6">
        <w:rPr>
          <w:rFonts w:eastAsiaTheme="minorHAnsi"/>
        </w:rPr>
        <w:lastRenderedPageBreak/>
        <w:t>4.3.4. Statistical significance of treatment interactions on mass bins</w:t>
      </w:r>
      <w:bookmarkEnd w:id="161"/>
    </w:p>
    <w:p w14:paraId="4FBEFC1F" w14:textId="77777777" w:rsidR="00015B32" w:rsidRPr="00015B32" w:rsidRDefault="00015B32" w:rsidP="00015B32"/>
    <w:p w14:paraId="1DA6CB5C" w14:textId="77777777" w:rsidR="0019038E" w:rsidRPr="002932E6" w:rsidRDefault="0019038E" w:rsidP="00015B32">
      <w:pPr>
        <w:pStyle w:val="mythesis"/>
        <w:rPr>
          <w:rFonts w:eastAsiaTheme="minorHAnsi"/>
        </w:rPr>
      </w:pPr>
      <w:r>
        <w:rPr>
          <w:rFonts w:eastAsiaTheme="minorHAnsi"/>
        </w:rPr>
        <w:t>Figures</w:t>
      </w:r>
      <w:r w:rsidRPr="002932E6">
        <w:rPr>
          <w:rFonts w:eastAsiaTheme="minorHAnsi"/>
        </w:rPr>
        <w:t xml:space="preserve"> (4.</w:t>
      </w:r>
      <w:r>
        <w:rPr>
          <w:rFonts w:eastAsiaTheme="minorHAnsi"/>
        </w:rPr>
        <w:t>17, 4.18 and 4.19</w:t>
      </w:r>
      <w:r w:rsidRPr="002932E6">
        <w:rPr>
          <w:rFonts w:eastAsiaTheme="minorHAnsi"/>
        </w:rPr>
        <w:t>) show</w:t>
      </w:r>
      <w:r>
        <w:rPr>
          <w:rFonts w:eastAsiaTheme="minorHAnsi"/>
        </w:rPr>
        <w:t>ed</w:t>
      </w:r>
      <w:r w:rsidRPr="002932E6">
        <w:rPr>
          <w:rFonts w:eastAsiaTheme="minorHAnsi"/>
        </w:rPr>
        <w:t xml:space="preserve"> the statistical significance of the average intensities of the mass bins in relation to the mycorrhizal treatment. although the mass bins chosen were deemed statistically significant through the supervised multivariate analysis, it is necessary to determine the significance of each bin using a two-way ANOVA with subsequent comparisons for the mycorrhizal treatment. </w:t>
      </w:r>
    </w:p>
    <w:p w14:paraId="22D43E4C" w14:textId="77777777" w:rsidR="0019038E" w:rsidRPr="002932E6" w:rsidRDefault="0019038E" w:rsidP="0019038E">
      <w:pPr>
        <w:pStyle w:val="NormalWeb"/>
        <w:spacing w:afterLines="280" w:after="672" w:afterAutospacing="0" w:line="360" w:lineRule="auto"/>
        <w:jc w:val="lowKashida"/>
        <w:rPr>
          <w:b/>
          <w:bCs/>
        </w:rPr>
      </w:pPr>
    </w:p>
    <w:p w14:paraId="4366B417" w14:textId="77777777" w:rsidR="0019038E" w:rsidRPr="002932E6" w:rsidRDefault="0019038E" w:rsidP="0019038E">
      <w:pPr>
        <w:pStyle w:val="NormalWeb"/>
        <w:spacing w:afterLines="280" w:after="672" w:afterAutospacing="0" w:line="360" w:lineRule="auto"/>
        <w:jc w:val="lowKashida"/>
        <w:rPr>
          <w:b/>
          <w:bCs/>
        </w:rPr>
      </w:pPr>
    </w:p>
    <w:p w14:paraId="56179EF6" w14:textId="77777777" w:rsidR="0019038E" w:rsidRPr="002932E6" w:rsidRDefault="0019038E" w:rsidP="0019038E">
      <w:pPr>
        <w:pStyle w:val="NormalWeb"/>
        <w:spacing w:afterLines="280" w:after="672" w:afterAutospacing="0" w:line="360" w:lineRule="auto"/>
        <w:jc w:val="lowKashida"/>
        <w:rPr>
          <w:b/>
          <w:bCs/>
        </w:rPr>
      </w:pPr>
    </w:p>
    <w:p w14:paraId="633A1D94" w14:textId="77777777" w:rsidR="0019038E" w:rsidRPr="002932E6" w:rsidRDefault="0019038E" w:rsidP="0019038E">
      <w:pPr>
        <w:pStyle w:val="NormalWeb"/>
        <w:spacing w:afterLines="280" w:after="672" w:afterAutospacing="0" w:line="360" w:lineRule="auto"/>
        <w:jc w:val="lowKashida"/>
        <w:rPr>
          <w:b/>
          <w:bCs/>
        </w:rPr>
      </w:pPr>
    </w:p>
    <w:p w14:paraId="478DAB47" w14:textId="77777777" w:rsidR="0019038E" w:rsidRPr="002932E6" w:rsidRDefault="0019038E" w:rsidP="0019038E">
      <w:pPr>
        <w:pStyle w:val="NormalWeb"/>
        <w:spacing w:afterLines="280" w:after="672" w:afterAutospacing="0" w:line="360" w:lineRule="auto"/>
        <w:jc w:val="lowKashida"/>
        <w:rPr>
          <w:b/>
          <w:bCs/>
        </w:rPr>
      </w:pPr>
    </w:p>
    <w:p w14:paraId="20F0ADF1" w14:textId="77777777" w:rsidR="0019038E" w:rsidRPr="002932E6" w:rsidRDefault="0019038E" w:rsidP="0019038E">
      <w:pPr>
        <w:pStyle w:val="NormalWeb"/>
        <w:spacing w:afterLines="280" w:after="672" w:afterAutospacing="0" w:line="360" w:lineRule="auto"/>
        <w:jc w:val="lowKashida"/>
        <w:rPr>
          <w:b/>
          <w:bCs/>
        </w:rPr>
      </w:pPr>
    </w:p>
    <w:p w14:paraId="4C4DC6A6" w14:textId="77777777" w:rsidR="0019038E" w:rsidRPr="002932E6" w:rsidRDefault="0019038E" w:rsidP="0019038E">
      <w:pPr>
        <w:pStyle w:val="NormalWeb"/>
        <w:spacing w:afterLines="280" w:after="672" w:afterAutospacing="0" w:line="360" w:lineRule="auto"/>
        <w:jc w:val="lowKashida"/>
        <w:rPr>
          <w:b/>
          <w:bCs/>
        </w:rPr>
      </w:pPr>
    </w:p>
    <w:p w14:paraId="5ECAAED0" w14:textId="77777777" w:rsidR="0019038E" w:rsidRPr="002932E6" w:rsidRDefault="0019038E" w:rsidP="0019038E">
      <w:pPr>
        <w:spacing w:afterLines="280" w:after="672" w:line="360" w:lineRule="auto"/>
        <w:jc w:val="lowKashida"/>
      </w:pPr>
    </w:p>
    <w:p w14:paraId="20A1399B" w14:textId="77777777" w:rsidR="0019038E" w:rsidRPr="002932E6" w:rsidRDefault="0019038E" w:rsidP="0019038E">
      <w:pPr>
        <w:spacing w:afterLines="280" w:after="672" w:line="360" w:lineRule="auto"/>
        <w:jc w:val="lowKashida"/>
      </w:pPr>
    </w:p>
    <w:p w14:paraId="642BB331" w14:textId="77777777" w:rsidR="0019038E" w:rsidRPr="002932E6" w:rsidRDefault="0019038E" w:rsidP="0019038E">
      <w:pPr>
        <w:spacing w:afterLines="280" w:after="672" w:line="360" w:lineRule="auto"/>
        <w:jc w:val="lowKashida"/>
      </w:pPr>
    </w:p>
    <w:p w14:paraId="7B864E5E" w14:textId="77777777" w:rsidR="0019038E" w:rsidRPr="002932E6" w:rsidRDefault="0019038E" w:rsidP="0019038E">
      <w:pPr>
        <w:spacing w:before="100" w:beforeAutospacing="1" w:afterLines="280" w:after="672" w:line="360" w:lineRule="auto"/>
        <w:jc w:val="lowKashida"/>
        <w:rPr>
          <w:color w:val="FF0000"/>
        </w:rPr>
        <w:sectPr w:rsidR="0019038E" w:rsidRPr="002932E6" w:rsidSect="00896651">
          <w:pgSz w:w="11900" w:h="16840"/>
          <w:pgMar w:top="1440" w:right="1440" w:bottom="1440" w:left="1440" w:header="708" w:footer="708" w:gutter="0"/>
          <w:pgNumType w:start="1"/>
          <w:cols w:space="708"/>
          <w:docGrid w:linePitch="360"/>
        </w:sectPr>
      </w:pPr>
    </w:p>
    <w:p w14:paraId="6A7957BE" w14:textId="7D0DD891" w:rsidR="0019038E" w:rsidRDefault="0019038E" w:rsidP="0019038E">
      <w:pPr>
        <w:pStyle w:val="Heading3"/>
      </w:pPr>
      <w:bookmarkStart w:id="162" w:name="_Toc83751485"/>
      <w:r w:rsidRPr="002932E6">
        <w:lastRenderedPageBreak/>
        <w:t>4.3.5 Identification of metabolic fingerprints</w:t>
      </w:r>
      <w:bookmarkEnd w:id="162"/>
      <w:r w:rsidRPr="002932E6">
        <w:t xml:space="preserve"> </w:t>
      </w:r>
    </w:p>
    <w:p w14:paraId="173A361A" w14:textId="77777777" w:rsidR="00EF0B1D" w:rsidRPr="00EF0B1D" w:rsidRDefault="00EF0B1D" w:rsidP="00EF0B1D"/>
    <w:p w14:paraId="4C280DEE" w14:textId="74234199" w:rsidR="0019038E" w:rsidRPr="00E90636" w:rsidRDefault="0019038E" w:rsidP="00EF0B1D">
      <w:pPr>
        <w:pStyle w:val="mythesis"/>
      </w:pPr>
      <w:r w:rsidRPr="002932E6">
        <w:t>In order to find the identity of the important masses, any mass where there was no interaction between mycorrhizal treatment and cultivar I identified</w:t>
      </w:r>
      <w:r>
        <w:t>,</w:t>
      </w:r>
      <w:r w:rsidRPr="002932E6">
        <w:t xml:space="preserve"> For the positive ionization mode, the top mass bins (</w:t>
      </w:r>
      <w:r w:rsidRPr="00170EA4">
        <w:rPr>
          <w:i/>
          <w:iCs w:val="0"/>
        </w:rPr>
        <w:t>m/z</w:t>
      </w:r>
      <w:r w:rsidRPr="002932E6">
        <w:t xml:space="preserve">) that were shown by the statistical analyses to </w:t>
      </w:r>
      <w:r w:rsidRPr="00FA043B">
        <w:t>be</w:t>
      </w:r>
      <w:r w:rsidR="009A667F" w:rsidRPr="00FA043B">
        <w:t>ing</w:t>
      </w:r>
      <w:r w:rsidRPr="00FA043B">
        <w:t xml:space="preserve"> r</w:t>
      </w:r>
      <w:r w:rsidRPr="002932E6">
        <w:t xml:space="preserve">esponsible for the separation between treatments in the metabolomic fingerprints were selected. Within each bin, several masses were detected and putatively identified. For several bins, more than one compound was identified and assigned due to the difference in the monoisotopic masses of compounds being smaller than the binning size (0.2Da for positive mode). </w:t>
      </w:r>
      <w:r>
        <w:t>Figure</w:t>
      </w:r>
      <w:r w:rsidRPr="002932E6">
        <w:t xml:space="preserve"> </w:t>
      </w:r>
      <w:r>
        <w:t>4.17</w:t>
      </w:r>
      <w:r w:rsidRPr="002932E6">
        <w:t xml:space="preserve"> </w:t>
      </w:r>
      <w:r>
        <w:t xml:space="preserve">and Tables (A4.6- A4.10) </w:t>
      </w:r>
      <w:r w:rsidRPr="002932E6">
        <w:t xml:space="preserve">demonstrate an overview of the mass bins and their corresponding detected masses that were putatively identified for the shoot organic phase in positive mode. </w:t>
      </w:r>
      <w:r>
        <w:t>Figure 4.18 and Tables (A4.11-A4.15)</w:t>
      </w:r>
      <w:r w:rsidRPr="002932E6">
        <w:t xml:space="preserve"> demonstrate an overview of the mass bins and their corresponding detected masses that were putatively identified for the root aqueous phase in positive mode.</w:t>
      </w:r>
      <w:r>
        <w:t xml:space="preserve"> also Figure 4.19 and Tables (A4.16-A4.20)</w:t>
      </w:r>
      <w:r w:rsidRPr="002932E6">
        <w:t xml:space="preserve"> demonstrate an overview of the mass bins and their corresponding detected masses that were putatively identified for the root organic phase in positive mode. The most frequently represented chemical groups were alkaloids, indole alkaloids, fatty acids, carboxy acids, amino acids, antibiotics, hormones, steroids, flavones, glucosides, riboflavin, flavonoids, vitamins, amide and phenylpropanoids. These chemical groups suggest that the metabolic pathways that potentially have been affected by the mycorrhizal treatments were the pathway responsible for jasmonic acid pathways.</w:t>
      </w:r>
    </w:p>
    <w:p w14:paraId="37AB519B" w14:textId="68C9D731" w:rsidR="0019038E" w:rsidRPr="00B2300C" w:rsidRDefault="0019038E" w:rsidP="00EF0B1D">
      <w:pPr>
        <w:pStyle w:val="mythesis"/>
        <w:rPr>
          <w:rFonts w:eastAsiaTheme="minorHAnsi"/>
        </w:rPr>
      </w:pPr>
      <w:r w:rsidRPr="00B2300C">
        <w:rPr>
          <w:rFonts w:eastAsiaTheme="minorHAnsi"/>
        </w:rPr>
        <w:t xml:space="preserve">Discriminant for all mass bins for (shoot organic -root aqueous and root organic phases) and their associated detected masses looking for compound identification accounts for protonated adduct (H) and K, </w:t>
      </w:r>
      <w:r w:rsidRPr="00FA043B">
        <w:rPr>
          <w:rFonts w:eastAsiaTheme="minorHAnsi"/>
        </w:rPr>
        <w:t xml:space="preserve">NA in </w:t>
      </w:r>
      <w:r w:rsidR="00AD35A1" w:rsidRPr="00FA043B">
        <w:rPr>
          <w:rFonts w:eastAsiaTheme="minorHAnsi"/>
        </w:rPr>
        <w:t xml:space="preserve">the </w:t>
      </w:r>
      <w:r w:rsidRPr="00FA043B">
        <w:rPr>
          <w:rFonts w:eastAsiaTheme="minorHAnsi"/>
        </w:rPr>
        <w:t xml:space="preserve">positive </w:t>
      </w:r>
      <w:r w:rsidRPr="00B2300C">
        <w:rPr>
          <w:rFonts w:eastAsiaTheme="minorHAnsi"/>
        </w:rPr>
        <w:t>mode in the analysis. The putatively identified compounds, their chemical groups, and the associated pathways are displayed in Tables (A 4:6- A 4:20) in Appendix.</w:t>
      </w:r>
    </w:p>
    <w:p w14:paraId="42668199" w14:textId="77777777" w:rsidR="0019038E" w:rsidRDefault="0019038E" w:rsidP="0019038E">
      <w:pPr>
        <w:spacing w:afterLines="280" w:after="672" w:line="360" w:lineRule="auto"/>
        <w:jc w:val="lowKashida"/>
        <w:rPr>
          <w:color w:val="FF0000"/>
        </w:rPr>
      </w:pPr>
    </w:p>
    <w:p w14:paraId="54A97D0E" w14:textId="4A04B403" w:rsidR="0019038E" w:rsidRDefault="0019038E" w:rsidP="0019038E">
      <w:pPr>
        <w:pStyle w:val="Heading2"/>
        <w:rPr>
          <w:color w:val="000000" w:themeColor="text1"/>
        </w:rPr>
      </w:pPr>
    </w:p>
    <w:p w14:paraId="317AA0AC" w14:textId="77777777" w:rsidR="001D1985" w:rsidRPr="001D1985" w:rsidRDefault="001D1985" w:rsidP="001D1985">
      <w:pPr>
        <w:rPr>
          <w:lang w:val="en-GB"/>
        </w:rPr>
      </w:pPr>
    </w:p>
    <w:p w14:paraId="052F52A3" w14:textId="77777777" w:rsidR="0019038E" w:rsidRPr="001B2AE1" w:rsidRDefault="0019038E" w:rsidP="0019038E">
      <w:pPr>
        <w:pStyle w:val="Heading2"/>
        <w:rPr>
          <w:color w:val="000000" w:themeColor="text1"/>
        </w:rPr>
      </w:pPr>
      <w:bookmarkStart w:id="163" w:name="_Toc83751486"/>
      <w:r w:rsidRPr="001B2AE1">
        <w:rPr>
          <w:color w:val="000000" w:themeColor="text1"/>
        </w:rPr>
        <w:lastRenderedPageBreak/>
        <w:t>4.4 Discussion</w:t>
      </w:r>
      <w:bookmarkEnd w:id="163"/>
    </w:p>
    <w:p w14:paraId="0381F4CF" w14:textId="77777777" w:rsidR="0019038E" w:rsidRPr="001B2AE1" w:rsidRDefault="0019038E" w:rsidP="0019038E">
      <w:pPr>
        <w:rPr>
          <w:color w:val="000000" w:themeColor="text1"/>
          <w:lang w:val="en-GB"/>
        </w:rPr>
      </w:pPr>
    </w:p>
    <w:p w14:paraId="2B996884" w14:textId="2DA5AC18" w:rsidR="0019038E" w:rsidRPr="00FA043B" w:rsidRDefault="0019038E" w:rsidP="008A6AA6">
      <w:pPr>
        <w:pStyle w:val="mythesis"/>
        <w:rPr>
          <w:rFonts w:eastAsiaTheme="minorHAnsi"/>
        </w:rPr>
      </w:pPr>
      <w:r w:rsidRPr="001B2AE1">
        <w:rPr>
          <w:rFonts w:eastAsiaTheme="minorHAnsi"/>
        </w:rPr>
        <w:t xml:space="preserve">The effect of mycorrhiza on secondary metabolites in cereals is not particularly well known, however the </w:t>
      </w:r>
      <w:r w:rsidRPr="00FA043B">
        <w:rPr>
          <w:rFonts w:eastAsiaTheme="minorHAnsi"/>
        </w:rPr>
        <w:t xml:space="preserve">effect of mycorrhizal on plants or generally has been tested to restructure secondary plant metabolism as a </w:t>
      </w:r>
      <w:r w:rsidR="007569DF" w:rsidRPr="00FA043B">
        <w:rPr>
          <w:rFonts w:eastAsiaTheme="minorHAnsi"/>
        </w:rPr>
        <w:t>con</w:t>
      </w:r>
      <w:r w:rsidRPr="00FA043B">
        <w:rPr>
          <w:rFonts w:eastAsiaTheme="minorHAnsi"/>
        </w:rPr>
        <w:t xml:space="preserve">sequence colonization. This has commonly been linked to </w:t>
      </w:r>
      <w:r w:rsidR="0089531B" w:rsidRPr="00FA043B">
        <w:rPr>
          <w:rFonts w:eastAsiaTheme="minorHAnsi"/>
        </w:rPr>
        <w:t xml:space="preserve">the </w:t>
      </w:r>
      <w:r w:rsidRPr="00FA043B">
        <w:rPr>
          <w:rFonts w:eastAsiaTheme="minorHAnsi"/>
        </w:rPr>
        <w:t>induction of defensive compounds such as the SA and phenylpropanoid pathways they regulated by JA and ABA</w:t>
      </w:r>
      <w:r w:rsidRPr="00FA043B" w:rsidDel="00451BAD">
        <w:rPr>
          <w:rFonts w:eastAsiaTheme="minorHAnsi"/>
        </w:rPr>
        <w:t xml:space="preserve"> </w:t>
      </w:r>
      <w:sdt>
        <w:sdtPr>
          <w:rPr>
            <w:rFonts w:eastAsiaTheme="minorHAnsi"/>
          </w:rPr>
          <w:tag w:val="MENDELEY_CITATION_v3_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"/>
          <w:id w:val="495539198"/>
          <w:placeholder>
            <w:docPart w:val="C796E44BA29C7B49B74F3F722913E754"/>
          </w:placeholder>
        </w:sdtPr>
        <w:sdtContent>
          <w:r w:rsidR="005E3F83" w:rsidRPr="00FA043B">
            <w:rPr>
              <w:rFonts w:eastAsiaTheme="minorHAnsi"/>
            </w:rPr>
            <w:t>(Cameron et al., 2013a; Pusztahelyi et al., 2015)</w:t>
          </w:r>
        </w:sdtContent>
      </w:sdt>
      <w:r w:rsidRPr="00FA043B">
        <w:rPr>
          <w:rFonts w:eastAsiaTheme="minorHAnsi"/>
        </w:rPr>
        <w:t>.</w:t>
      </w:r>
    </w:p>
    <w:p w14:paraId="374B5616" w14:textId="0F8644CA" w:rsidR="0019038E" w:rsidRPr="00FA043B" w:rsidRDefault="0019038E" w:rsidP="008A6AA6">
      <w:pPr>
        <w:pStyle w:val="mythesis"/>
        <w:rPr>
          <w:rFonts w:eastAsiaTheme="minorHAnsi"/>
        </w:rPr>
      </w:pPr>
      <w:r w:rsidRPr="001B2AE1">
        <w:rPr>
          <w:rFonts w:eastAsiaTheme="minorHAnsi"/>
        </w:rPr>
        <w:t xml:space="preserve">The aim of this chapter was to get a more holistic understanding of the effect of mycorrhiza on the secondary metabolism in maize and the restructuring of secondary metabolic pathways as a consequence of colonization of the mycorrhizal fungus. This is because upon colonization the </w:t>
      </w:r>
      <w:r w:rsidRPr="00FA043B">
        <w:rPr>
          <w:rFonts w:eastAsiaTheme="minorHAnsi"/>
        </w:rPr>
        <w:t>plants need to defend themselves against a potential invader in therefore to activate defense metabolism. Unsurprisingly then, the metabolic effect of mycorrhizas on plants, in general, seem</w:t>
      </w:r>
      <w:r w:rsidR="00D01237" w:rsidRPr="00FA043B">
        <w:rPr>
          <w:rFonts w:eastAsiaTheme="minorHAnsi"/>
        </w:rPr>
        <w:t>s</w:t>
      </w:r>
      <w:r w:rsidRPr="00FA043B">
        <w:rPr>
          <w:rFonts w:eastAsiaTheme="minorHAnsi"/>
        </w:rPr>
        <w:t xml:space="preserve"> to be the upregulation of defensive compounds under the control of JA including pathways such as the phenylpropanoid pathway. However, in successful colonization, these defenses need to be inactivated through molecular crosstalk where the plant and the fungus exchange information through chemical signals causing the restructuring of plant metabolism and potentially leaving </w:t>
      </w:r>
      <w:r w:rsidR="00D01237" w:rsidRPr="00FA043B">
        <w:rPr>
          <w:rFonts w:eastAsiaTheme="minorHAnsi"/>
        </w:rPr>
        <w:t xml:space="preserve">the </w:t>
      </w:r>
      <w:r w:rsidRPr="00FA043B">
        <w:rPr>
          <w:rFonts w:eastAsiaTheme="minorHAnsi"/>
        </w:rPr>
        <w:t xml:space="preserve">host plant in </w:t>
      </w:r>
      <w:r w:rsidR="00D01237" w:rsidRPr="00FA043B">
        <w:rPr>
          <w:rFonts w:eastAsiaTheme="minorHAnsi"/>
        </w:rPr>
        <w:t xml:space="preserve">a </w:t>
      </w:r>
      <w:r w:rsidRPr="00FA043B">
        <w:rPr>
          <w:rFonts w:eastAsiaTheme="minorHAnsi"/>
        </w:rPr>
        <w:t xml:space="preserve">primed </w:t>
      </w:r>
      <w:r w:rsidR="00D637DA" w:rsidRPr="00FA043B">
        <w:rPr>
          <w:rFonts w:eastAsiaTheme="minorHAnsi"/>
        </w:rPr>
        <w:t xml:space="preserve">state, </w:t>
      </w:r>
      <w:r w:rsidRPr="00FA043B">
        <w:rPr>
          <w:rFonts w:eastAsiaTheme="minorHAnsi"/>
        </w:rPr>
        <w:t>And that able to defen</w:t>
      </w:r>
      <w:r w:rsidR="009A65A0" w:rsidRPr="00FA043B">
        <w:rPr>
          <w:rFonts w:eastAsiaTheme="minorHAnsi"/>
        </w:rPr>
        <w:t>d</w:t>
      </w:r>
      <w:r w:rsidRPr="00FA043B">
        <w:rPr>
          <w:rFonts w:eastAsiaTheme="minorHAnsi"/>
        </w:rPr>
        <w:t xml:space="preserve"> themselves against the attacks of pests and diseases. this general understanding is reasonably well resolved, we do not currently understand whether this generalized due is applicable to maize, thus the aim of this chapter was to investigate whether mycorrhizas have similar effects on maize as has been shown in other plants and to do this we used an untargeted metabolomic approach </w:t>
      </w:r>
      <w:sdt>
        <w:sdtPr>
          <w:rPr>
            <w:rFonts w:eastAsiaTheme="minorHAnsi"/>
          </w:rPr>
          <w:tag w:val="MENDELEY_CITATION_v3_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"/>
          <w:id w:val="-876552189"/>
          <w:placeholder>
            <w:docPart w:val="C796E44BA29C7B49B74F3F722913E754"/>
          </w:placeholder>
        </w:sdtPr>
        <w:sdtContent>
          <w:r w:rsidR="005E3F83" w:rsidRPr="00FA043B">
            <w:rPr>
              <w:rFonts w:eastAsiaTheme="minorHAnsi"/>
            </w:rPr>
            <w:t>(Cameron et al., 2013; Pérez-De-Luque et al., 2017).</w:t>
          </w:r>
        </w:sdtContent>
      </w:sdt>
    </w:p>
    <w:p w14:paraId="6032646E" w14:textId="26115C78" w:rsidR="0019038E" w:rsidRPr="001B2AE1" w:rsidRDefault="0019038E" w:rsidP="008A6AA6">
      <w:pPr>
        <w:pStyle w:val="mythesis"/>
        <w:rPr>
          <w:rFonts w:eastAsiaTheme="minorHAnsi"/>
        </w:rPr>
      </w:pPr>
      <w:r w:rsidRPr="00FA043B">
        <w:t xml:space="preserve">The metabolic response of the maize 18 maize varieties shoots and root to the mycorrhizal treatment is different </w:t>
      </w:r>
      <w:r w:rsidR="009348E4" w:rsidRPr="00FA043B">
        <w:t>from</w:t>
      </w:r>
      <w:r w:rsidRPr="00FA043B">
        <w:t xml:space="preserve"> that of control and can be seen in Figures (4.6, 4.8 and 4.10).</w:t>
      </w:r>
      <w:r w:rsidRPr="00FA043B">
        <w:rPr>
          <w:rFonts w:eastAsiaTheme="minorHAnsi"/>
        </w:rPr>
        <w:t xml:space="preserve"> But that did not include the shoot aqueous </w:t>
      </w:r>
      <w:r w:rsidRPr="001B2AE1">
        <w:rPr>
          <w:rFonts w:eastAsiaTheme="minorHAnsi"/>
        </w:rPr>
        <w:t xml:space="preserve">phase in </w:t>
      </w:r>
      <w:r w:rsidRPr="001B2AE1">
        <w:t xml:space="preserve">Figures </w:t>
      </w:r>
      <w:r w:rsidRPr="001B2AE1">
        <w:rPr>
          <w:rFonts w:eastAsiaTheme="minorHAnsi"/>
        </w:rPr>
        <w:t xml:space="preserve">4.4 as there was no effect of the mycorrhizal treatment on the shoot aqueous phase. but in </w:t>
      </w:r>
      <w:r w:rsidRPr="001B2AE1">
        <w:t xml:space="preserve">Figures </w:t>
      </w:r>
      <w:r w:rsidRPr="001B2AE1">
        <w:rPr>
          <w:rFonts w:eastAsiaTheme="minorHAnsi"/>
        </w:rPr>
        <w:t xml:space="preserve">(4.12, 4.14 and 4.16) The clear separation between the mycorrhizal treatments is observed for shoot organic phase and root aqueous and organic phase in the multivariate analysis. The significant difference of the mycorrhizal treatment is also evident in the changes in the relative abundances of the discriminant mass bins Figures </w:t>
      </w:r>
      <w:r w:rsidRPr="001B2AE1">
        <w:rPr>
          <w:rFonts w:eastAsiaTheme="minorHAnsi"/>
        </w:rPr>
        <w:lastRenderedPageBreak/>
        <w:t>(4.17,4.18 and 4.19) where overall there is an increa</w:t>
      </w:r>
      <w:r w:rsidR="009348E4">
        <w:rPr>
          <w:rFonts w:eastAsiaTheme="minorHAnsi"/>
        </w:rPr>
        <w:t>e</w:t>
      </w:r>
      <w:r w:rsidRPr="001B2AE1">
        <w:rPr>
          <w:rFonts w:eastAsiaTheme="minorHAnsi"/>
        </w:rPr>
        <w:t xml:space="preserve"> in the abundance of the most discriminatory masses relative to the control. Putative identification of the most discriminatory masses that were increased </w:t>
      </w:r>
      <w:r w:rsidRPr="00FA043B">
        <w:rPr>
          <w:rFonts w:eastAsiaTheme="minorHAnsi"/>
        </w:rPr>
        <w:t xml:space="preserve">in the mycorrhizal treatment revealed them to be associated with </w:t>
      </w:r>
      <w:r w:rsidRPr="00FA043B">
        <w:t>many of the bioactive chemical’s group</w:t>
      </w:r>
      <w:r w:rsidR="002413D0" w:rsidRPr="00FA043B">
        <w:t>s</w:t>
      </w:r>
      <w:r w:rsidRPr="00FA043B">
        <w:t xml:space="preserve"> that </w:t>
      </w:r>
      <w:r w:rsidRPr="001B2AE1">
        <w:t xml:space="preserve">we found in our study such as alkaloids, indole alkaloids, fatty acids, carboxy acids, amino acids, antibiotics, hormones, steroids, flavones, glucosides, riboflavin, flavonoids, vitamins, amide and phenylpropanoids and they are related to many pathways like shikimic acid pathway, jasmonic acid pathway, abscisic acid pathway </w:t>
      </w:r>
      <w:sdt>
        <w:sdtPr>
          <w:rPr>
            <w:color w:val="000000"/>
          </w:rPr>
          <w:tag w:val="MENDELEY_CITATION_v3_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"/>
          <w:id w:val="1429535923"/>
          <w:placeholder>
            <w:docPart w:val="C796E44BA29C7B49B74F3F722913E754"/>
          </w:placeholder>
        </w:sdtPr>
        <w:sdtContent>
          <w:r w:rsidR="005E3F83" w:rsidRPr="005E3F83">
            <w:rPr>
              <w:color w:val="000000"/>
            </w:rPr>
            <w:t>(Cameron et al., 2013).</w:t>
          </w:r>
        </w:sdtContent>
      </w:sdt>
    </w:p>
    <w:p w14:paraId="0843B305" w14:textId="331D625D" w:rsidR="0019038E" w:rsidRDefault="0019038E" w:rsidP="0019038E">
      <w:pPr>
        <w:pStyle w:val="Heading3"/>
        <w:rPr>
          <w:rFonts w:eastAsiaTheme="minorHAnsi"/>
        </w:rPr>
      </w:pPr>
      <w:bookmarkStart w:id="164" w:name="_Toc83751487"/>
      <w:r w:rsidRPr="001B2AE1">
        <w:rPr>
          <w:rFonts w:eastAsiaTheme="minorHAnsi"/>
        </w:rPr>
        <w:t>4.4.1 The effect of mycorrhizal colonization on plant shoot and root secondary metabolism</w:t>
      </w:r>
      <w:bookmarkEnd w:id="164"/>
    </w:p>
    <w:p w14:paraId="09534D60" w14:textId="77777777" w:rsidR="008A6AA6" w:rsidRPr="008A6AA6" w:rsidRDefault="008A6AA6" w:rsidP="008A6AA6">
      <w:pPr>
        <w:rPr>
          <w:rFonts w:eastAsiaTheme="minorHAnsi"/>
        </w:rPr>
      </w:pPr>
    </w:p>
    <w:p w14:paraId="493C2006" w14:textId="2290ABB5" w:rsidR="00480AFD" w:rsidRPr="00FA043B" w:rsidRDefault="00F32B24" w:rsidP="008A6AA6">
      <w:pPr>
        <w:pStyle w:val="mythesis"/>
      </w:pPr>
      <w:r w:rsidRPr="00FA043B">
        <w:t>The study</w:t>
      </w:r>
      <w:r w:rsidR="00480AFD" w:rsidRPr="00FA043B">
        <w:t xml:space="preserve"> found </w:t>
      </w:r>
      <w:r w:rsidR="00480AFD" w:rsidRPr="001B2AE1">
        <w:t xml:space="preserve">the signature of the JA signaling in the shoot because the pathway is under control of the JA pathway has been upregulated and check what they are. From the observations, we strengthen the view that metabolite responses in the shoot of mycorrhizal treatment are largely due to mycorrhization OPLS-DA of the metabolomic analysis showed largely distinct metabolite profiles for mycorrhizal treated. Of the secondary metabolites that were significantly different in the mycorrhizal shoot as compared with the control shoot, we discovered that major changes in a shoot from mycorrhizal treatments compared with control fell mainly into the categories of alkaloids derivatives, indole, antibiotics, vitamins, hormones, fatty acid, terpenoids, glucoside aromatic </w:t>
      </w:r>
      <w:r w:rsidR="00480AFD" w:rsidRPr="00FA043B">
        <w:t>compounds, carboxy acid, Terpene phenol, steroids, and amino acids.</w:t>
      </w:r>
    </w:p>
    <w:p w14:paraId="74191861" w14:textId="5C616D63" w:rsidR="0019038E" w:rsidRPr="008A6AA6" w:rsidRDefault="0019038E" w:rsidP="008A6AA6">
      <w:pPr>
        <w:pStyle w:val="mythesis"/>
      </w:pPr>
      <w:r w:rsidRPr="00FA043B">
        <w:t xml:space="preserve">  And in root </w:t>
      </w:r>
      <w:r w:rsidR="00F32B24" w:rsidRPr="00FA043B">
        <w:t>it is</w:t>
      </w:r>
      <w:r w:rsidRPr="00FA043B">
        <w:t xml:space="preserve"> fell into the categories of alkaloids derivatives ( alkaloid biosynthesis) , </w:t>
      </w:r>
      <w:r w:rsidRPr="00FA043B">
        <w:rPr>
          <w:rFonts w:eastAsiaTheme="minorHAnsi"/>
        </w:rPr>
        <w:t>quinoline</w:t>
      </w:r>
      <w:r w:rsidRPr="00FA043B">
        <w:t>,</w:t>
      </w:r>
      <w:r w:rsidRPr="00FA043B">
        <w:rPr>
          <w:rFonts w:eastAsiaTheme="minorHAnsi"/>
        </w:rPr>
        <w:t xml:space="preserve"> isoquinoline,</w:t>
      </w:r>
      <w:r w:rsidRPr="00FA043B">
        <w:t xml:space="preserve"> indole, imidazole , purine, anion, phenylpropanoids ( coumarin) , fatty acid ,hormone (jasmonate bi</w:t>
      </w:r>
      <w:r w:rsidRPr="008A6AA6">
        <w:t>osynthesis),flavonoid, riboflavin, isoflavonoid, terpenoids (vitamin A) , amide, ,isoprenoid quinoline antibiotics ( aurachin B),    phenylpropanoids ( carotenoid biosynthesis) ,monophosphate,isoprenoid, glucoside, carboxy acid, Terpene, ester, ketone, steroids and amino acids(glutamine), glycan, nucleoside, mycotoxin( aflatoxin G1) and phytohormone</w:t>
      </w:r>
      <w:r w:rsidR="00AE7872">
        <w:t>.</w:t>
      </w:r>
      <w:r w:rsidRPr="008A6AA6">
        <w:t xml:space="preserve"> </w:t>
      </w:r>
    </w:p>
    <w:p w14:paraId="01C93D8C" w14:textId="77777777" w:rsidR="0019038E" w:rsidRPr="001B2AE1" w:rsidRDefault="0019038E" w:rsidP="008A6AA6">
      <w:pPr>
        <w:pStyle w:val="mythesis"/>
        <w:rPr>
          <w:rFonts w:eastAsiaTheme="minorHAnsi"/>
        </w:rPr>
      </w:pPr>
    </w:p>
    <w:p w14:paraId="204AE486" w14:textId="6F9DB853" w:rsidR="0019038E" w:rsidRPr="001B2AE1" w:rsidRDefault="0019038E" w:rsidP="008A6AA6">
      <w:pPr>
        <w:pStyle w:val="mythesis"/>
      </w:pPr>
      <w:r w:rsidRPr="001B2AE1">
        <w:t xml:space="preserve">  These findings were consistent with our previous knowledge that the infection with the mycorrhizal can create extraordinary impacts in terms of the extent to which a plant interacts with mycorrhiza in cereals including maize </w:t>
      </w:r>
      <w:sdt>
        <w:sdtPr>
          <w:rPr>
            <w:color w:val="000000"/>
          </w:rPr>
          <w:tag w:val="MENDELEY_CITATION_v3_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"/>
          <w:id w:val="1003175589"/>
          <w:placeholder>
            <w:docPart w:val="C796E44BA29C7B49B74F3F722913E754"/>
          </w:placeholder>
        </w:sdtPr>
        <w:sdtContent>
          <w:r w:rsidR="005E3F83" w:rsidRPr="005E3F83">
            <w:rPr>
              <w:color w:val="000000"/>
            </w:rPr>
            <w:t xml:space="preserve">(Begum et al., 2019). </w:t>
          </w:r>
        </w:sdtContent>
      </w:sdt>
      <w:r w:rsidR="001334E7">
        <w:t>A</w:t>
      </w:r>
      <w:r w:rsidRPr="001B2AE1">
        <w:t xml:space="preserve">lso, it is known that this relationship </w:t>
      </w:r>
      <w:r w:rsidRPr="001B2AE1">
        <w:lastRenderedPageBreak/>
        <w:t xml:space="preserve">can induce the plant to increase and secrete many of the secondary metabolite compounds </w:t>
      </w:r>
      <w:sdt>
        <w:sdtPr>
          <w:rPr>
            <w:color w:val="000000"/>
          </w:rPr>
          <w:tag w:val="MENDELEY_CITATION_v3_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"/>
          <w:id w:val="1344672974"/>
          <w:placeholder>
            <w:docPart w:val="9A78E2370E34A2409A4DE53285D1DACC"/>
          </w:placeholder>
        </w:sdtPr>
        <w:sdtContent>
          <w:r w:rsidR="005E3F83" w:rsidRPr="005E3F83">
            <w:rPr>
              <w:color w:val="000000"/>
            </w:rPr>
            <w:t>(F. A. Silva et al., 2019a)</w:t>
          </w:r>
        </w:sdtContent>
      </w:sdt>
      <w:r w:rsidRPr="001B2AE1">
        <w:t xml:space="preserve">, </w:t>
      </w:r>
      <w:r w:rsidR="00E33E6B" w:rsidRPr="00E33E6B">
        <w:t>the production of the hormone</w:t>
      </w:r>
      <w:r w:rsidR="00E33E6B">
        <w:t xml:space="preserve"> </w:t>
      </w:r>
      <w:sdt>
        <w:sdtPr>
          <w:rPr>
            <w:color w:val="000000"/>
          </w:rPr>
          <w:tag w:val="MENDELEY_CITATION_v3_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"/>
          <w:id w:val="1222408704"/>
          <w:placeholder>
            <w:docPart w:val="C796E44BA29C7B49B74F3F722913E754"/>
          </w:placeholder>
        </w:sdtPr>
        <w:sdtContent>
          <w:r w:rsidR="005E3F83" w:rsidRPr="005E3F83">
            <w:rPr>
              <w:color w:val="000000"/>
            </w:rPr>
            <w:t>(Copetta et al., 2006)</w:t>
          </w:r>
        </w:sdtContent>
      </w:sdt>
      <w:r w:rsidRPr="001B2AE1">
        <w:t xml:space="preserve">, increase the photosynthesis rate, improved the nutrient uptakes, </w:t>
      </w:r>
      <w:sdt>
        <w:sdtPr>
          <w:rPr>
            <w:color w:val="000000"/>
          </w:rPr>
          <w:tag w:val="MENDELEY_CITATION_v3_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"/>
          <w:id w:val="902496777"/>
          <w:placeholder>
            <w:docPart w:val="C796E44BA29C7B49B74F3F722913E754"/>
          </w:placeholder>
        </w:sdtPr>
        <w:sdtContent>
          <w:r w:rsidR="005E3F83" w:rsidRPr="005E3F83">
            <w:rPr>
              <w:color w:val="000000"/>
            </w:rPr>
            <w:t>(Kapoor et al., 2002; Toussaint, 2007)</w:t>
          </w:r>
        </w:sdtContent>
      </w:sdt>
      <w:r w:rsidRPr="001B2AE1">
        <w:t xml:space="preserve">, increased gene expression of the enzymes that involved in the major metabolic pathways </w:t>
      </w:r>
      <w:sdt>
        <w:sdtPr>
          <w:rPr>
            <w:color w:val="000000"/>
          </w:rPr>
          <w:tag w:val="MENDELEY_CITATION_v3_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"/>
          <w:id w:val="359477272"/>
          <w:placeholder>
            <w:docPart w:val="C796E44BA29C7B49B74F3F722913E754"/>
          </w:placeholder>
        </w:sdtPr>
        <w:sdtContent>
          <w:r w:rsidR="005E3F83" w:rsidRPr="005E3F83">
            <w:rPr>
              <w:color w:val="000000"/>
            </w:rPr>
            <w:t>(Mandal et al., 2015; Zhang et al., 2013)</w:t>
          </w:r>
        </w:sdtContent>
      </w:sdt>
      <w:r w:rsidRPr="001B2AE1">
        <w:t>.</w:t>
      </w:r>
    </w:p>
    <w:p w14:paraId="742DB927" w14:textId="38C09E0D" w:rsidR="0019038E" w:rsidRPr="001B2AE1" w:rsidRDefault="0019038E" w:rsidP="008A6AA6">
      <w:pPr>
        <w:pStyle w:val="mythesis"/>
      </w:pPr>
      <w:r w:rsidRPr="001B2AE1">
        <w:t xml:space="preserve">To understand the crosstalk that occurred in our results we have to mention that the Biosynthesis is underpinned by the three essential amino acids they are tyrosine, tryptophane and phenylalanine, These amino acids are the entry molecules for multiple plant hormones and specific metabolites involved for plant defensive responses, including the phenylpropanoid (PP) pathway </w:t>
      </w:r>
      <w:sdt>
        <w:sdtPr>
          <w:tag w:val="MENDELEY_CITATION_v3_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"/>
          <w:id w:val="609248554"/>
          <w:placeholder>
            <w:docPart w:val="C796E44BA29C7B49B74F3F722913E754"/>
          </w:placeholder>
        </w:sdtPr>
        <w:sdtContent>
          <w:r w:rsidR="005E3F83">
            <w:t>(Maeda &amp; Dudareva, 2012),</w:t>
          </w:r>
        </w:sdtContent>
      </w:sdt>
      <w:r w:rsidRPr="001B2AE1">
        <w:t>and each plant produces PPs, which carry out multiple functions in plants, notably with regard to plant interactions with ambient biotic and abiotic factors</w:t>
      </w:r>
      <w:sdt>
        <w:sdtPr>
          <w:tag w:val="MENDELEY_CITATION_v3_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"/>
          <w:id w:val="-1844005220"/>
          <w:placeholder>
            <w:docPart w:val="C796E44BA29C7B49B74F3F722913E754"/>
          </w:placeholder>
        </w:sdtPr>
        <w:sdtContent>
          <w:r w:rsidR="005E3F83">
            <w:t>(Dixon &amp; Paiva, 1995; A. Sharma et al., 2019)</w:t>
          </w:r>
        </w:sdtContent>
      </w:sdt>
      <w:r w:rsidRPr="001B2AE1">
        <w:t>.</w:t>
      </w:r>
    </w:p>
    <w:p w14:paraId="19250129" w14:textId="314607A1" w:rsidR="0019038E" w:rsidRPr="001B2AE1" w:rsidRDefault="0019038E" w:rsidP="008A6AA6">
      <w:pPr>
        <w:pStyle w:val="mythesis"/>
        <w:rPr>
          <w:rFonts w:eastAsiaTheme="minorHAnsi"/>
        </w:rPr>
      </w:pPr>
      <w:r w:rsidRPr="001B2AE1">
        <w:rPr>
          <w:rFonts w:eastAsiaTheme="minorHAnsi"/>
        </w:rPr>
        <w:t xml:space="preserve">Main groups of secondary compounds such as </w:t>
      </w:r>
      <w:r w:rsidR="00B4668B" w:rsidRPr="001B2AE1">
        <w:rPr>
          <w:rFonts w:eastAsiaTheme="minorHAnsi"/>
        </w:rPr>
        <w:t>lignin</w:t>
      </w:r>
      <w:r w:rsidRPr="001B2AE1">
        <w:rPr>
          <w:rFonts w:eastAsiaTheme="minorHAnsi"/>
        </w:rPr>
        <w:t xml:space="preserve">, flavonoids, stilbenes, anthocyanin and condensed, are formed from PP pathway </w:t>
      </w:r>
      <w:sdt>
        <w:sdtPr>
          <w:rPr>
            <w:rFonts w:eastAsiaTheme="minorHAnsi"/>
            <w:color w:val="000000"/>
          </w:rPr>
          <w:tag w:val="MENDELEY_CITATION_v3_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"/>
          <w:id w:val="490689500"/>
          <w:placeholder>
            <w:docPart w:val="C796E44BA29C7B49B74F3F722913E754"/>
          </w:placeholder>
        </w:sdtPr>
        <w:sdtContent>
          <w:r w:rsidR="005E3F83" w:rsidRPr="005E3F83">
            <w:rPr>
              <w:rFonts w:eastAsiaTheme="minorHAnsi"/>
              <w:color w:val="000000"/>
            </w:rPr>
            <w:t>(Vogt, 2010; Wang et al., 2007)</w:t>
          </w:r>
        </w:sdtContent>
      </w:sdt>
      <w:r w:rsidRPr="001B2AE1">
        <w:rPr>
          <w:rFonts w:eastAsiaTheme="minorHAnsi"/>
        </w:rPr>
        <w:t>.</w:t>
      </w:r>
    </w:p>
    <w:p w14:paraId="3BAA3C44" w14:textId="348BB16C" w:rsidR="0019038E" w:rsidRPr="001B2AE1" w:rsidRDefault="0019038E" w:rsidP="008A6AA6">
      <w:pPr>
        <w:pStyle w:val="mythesis"/>
        <w:rPr>
          <w:rFonts w:eastAsiaTheme="minorHAnsi"/>
        </w:rPr>
      </w:pPr>
      <w:r w:rsidRPr="001B2AE1">
        <w:rPr>
          <w:rFonts w:eastAsiaTheme="minorHAnsi"/>
        </w:rPr>
        <w:t>Plant responses to biotic stress are regulated by phytohormone-mediated signaling pathways that have evolved over time, Phytohormone pathways and their interaction are extremely complex, for example,</w:t>
      </w:r>
      <w:r w:rsidRPr="001B2AE1">
        <w:t xml:space="preserve"> </w:t>
      </w:r>
      <w:r w:rsidRPr="001B2AE1">
        <w:rPr>
          <w:rFonts w:eastAsiaTheme="minorHAnsi"/>
        </w:rPr>
        <w:t xml:space="preserve">Salicylic acid (SA) concentrations have been shown to rise during piercing–sucking insect attacks and in response to biotrophic pathogen infection </w:t>
      </w:r>
      <w:sdt>
        <w:sdtPr>
          <w:rPr>
            <w:rFonts w:eastAsiaTheme="minorHAnsi"/>
            <w:color w:val="000000"/>
          </w:rPr>
          <w:tag w:val="MENDELEY_CITATION_v3_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"/>
          <w:id w:val="-1397973601"/>
          <w:placeholder>
            <w:docPart w:val="C796E44BA29C7B49B74F3F722913E754"/>
          </w:placeholder>
        </w:sdtPr>
        <w:sdtContent>
          <w:r w:rsidR="005E3F83" w:rsidRPr="005E3F83">
            <w:rPr>
              <w:rFonts w:eastAsiaTheme="minorHAnsi"/>
              <w:color w:val="000000"/>
            </w:rPr>
            <w:t>(Wang et al., 2007)</w:t>
          </w:r>
        </w:sdtContent>
      </w:sdt>
      <w:r w:rsidRPr="001B2AE1">
        <w:rPr>
          <w:rFonts w:eastAsiaTheme="minorHAnsi"/>
        </w:rPr>
        <w:t xml:space="preserve">, while Chewing of herbivores and necrotrophic diseases causes jasmonic acid (JA) and ethylene (ET) whereby ET increases the JA induction by modifying the lipoxygenase pathway (LOX) that outcomes in the production of JA </w:t>
      </w:r>
      <w:sdt>
        <w:sdtPr>
          <w:rPr>
            <w:rFonts w:eastAsiaTheme="minorHAnsi"/>
            <w:color w:val="000000"/>
          </w:rPr>
          <w:tag w:val="MENDELEY_CITATION_v3_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"/>
          <w:id w:val="-154687387"/>
          <w:placeholder>
            <w:docPart w:val="C796E44BA29C7B49B74F3F722913E754"/>
          </w:placeholder>
        </w:sdtPr>
        <w:sdtContent>
          <w:r w:rsidR="005E3F83" w:rsidRPr="005E3F83">
            <w:rPr>
              <w:rFonts w:eastAsiaTheme="minorHAnsi"/>
              <w:color w:val="000000"/>
            </w:rPr>
            <w:t>(Adie et al., 2007)</w:t>
          </w:r>
        </w:sdtContent>
      </w:sdt>
      <w:r w:rsidRPr="001B2AE1">
        <w:rPr>
          <w:rFonts w:eastAsiaTheme="minorHAnsi"/>
        </w:rPr>
        <w:t>.</w:t>
      </w:r>
      <w:r w:rsidRPr="001B2AE1">
        <w:t xml:space="preserve"> </w:t>
      </w:r>
      <w:r w:rsidRPr="001B2AE1">
        <w:rPr>
          <w:rFonts w:eastAsiaTheme="minorHAnsi"/>
        </w:rPr>
        <w:t xml:space="preserve">Since SA and JA can be mutually antagonistic, higher resistance to chewing herbivores is commonly shown to be negatively linked with biotrophic resistance </w:t>
      </w:r>
      <w:sdt>
        <w:sdtPr>
          <w:rPr>
            <w:rFonts w:eastAsiaTheme="minorHAnsi"/>
            <w:color w:val="000000"/>
          </w:rPr>
          <w:tag w:val="MENDELEY_CITATION_v3_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"/>
          <w:id w:val="1437487322"/>
          <w:placeholder>
            <w:docPart w:val="C796E44BA29C7B49B74F3F722913E754"/>
          </w:placeholder>
        </w:sdtPr>
        <w:sdtContent>
          <w:r w:rsidR="005E3F83" w:rsidRPr="005E3F83">
            <w:rPr>
              <w:rFonts w:eastAsiaTheme="minorHAnsi"/>
              <w:color w:val="000000"/>
            </w:rPr>
            <w:t>(Thaler et al., 2012)</w:t>
          </w:r>
        </w:sdtContent>
      </w:sdt>
      <w:r w:rsidRPr="001B2AE1">
        <w:rPr>
          <w:rFonts w:eastAsiaTheme="minorHAnsi"/>
        </w:rPr>
        <w:t>.</w:t>
      </w:r>
      <w:r w:rsidRPr="001B2AE1">
        <w:t xml:space="preserve"> </w:t>
      </w:r>
      <w:r w:rsidRPr="001B2AE1">
        <w:rPr>
          <w:rFonts w:eastAsiaTheme="minorHAnsi"/>
        </w:rPr>
        <w:t xml:space="preserve">Some studies have revealed a number of different phytohormones involved in biotic interactions, such as abscisic acid (ABA), </w:t>
      </w:r>
      <w:r w:rsidRPr="00FA043B">
        <w:rPr>
          <w:rFonts w:eastAsiaTheme="minorHAnsi"/>
        </w:rPr>
        <w:t xml:space="preserve">widely known as abscisic acid for its role in abiotic stress responses to plants and in growth and senescence mediation processes </w:t>
      </w:r>
      <w:sdt>
        <w:sdtPr>
          <w:rPr>
            <w:rFonts w:eastAsiaTheme="minorHAnsi"/>
          </w:rPr>
          <w:tag w:val="MENDELEY_CITATION_v3_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"/>
          <w:id w:val="1149249116"/>
          <w:placeholder>
            <w:docPart w:val="C796E44BA29C7B49B74F3F722913E754"/>
          </w:placeholder>
        </w:sdtPr>
        <w:sdtContent>
          <w:r w:rsidR="005E3F83" w:rsidRPr="00FA043B">
            <w:rPr>
              <w:rFonts w:eastAsiaTheme="minorHAnsi"/>
            </w:rPr>
            <w:t>(Robert-Seilaniantz et al., 2011)</w:t>
          </w:r>
        </w:sdtContent>
      </w:sdt>
      <w:r w:rsidRPr="00FA043B">
        <w:rPr>
          <w:rFonts w:eastAsiaTheme="minorHAnsi"/>
        </w:rPr>
        <w:t xml:space="preserve">. Another example is (ABA, which has demonstrated to improve plant receptivity to most pests and diseases, is </w:t>
      </w:r>
      <w:r w:rsidR="00F71667" w:rsidRPr="00FA043B">
        <w:rPr>
          <w:rFonts w:eastAsiaTheme="minorHAnsi"/>
        </w:rPr>
        <w:t xml:space="preserve">a </w:t>
      </w:r>
      <w:r w:rsidRPr="00FA043B">
        <w:rPr>
          <w:rFonts w:eastAsiaTheme="minorHAnsi"/>
        </w:rPr>
        <w:t>common mediator of the plant responses to abiotic stress</w:t>
      </w:r>
      <w:sdt>
        <w:sdtPr>
          <w:rPr>
            <w:rFonts w:eastAsiaTheme="minorHAnsi"/>
          </w:rPr>
          <w:tag w:val="MENDELEY_CITATION_v3_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"/>
          <w:id w:val="281088945"/>
          <w:placeholder>
            <w:docPart w:val="C796E44BA29C7B49B74F3F722913E754"/>
          </w:placeholder>
        </w:sdtPr>
        <w:sdtContent>
          <w:r w:rsidR="005E3F83" w:rsidRPr="00FA043B">
            <w:rPr>
              <w:rFonts w:eastAsiaTheme="minorHAnsi"/>
            </w:rPr>
            <w:t>(Robert-Seilaniantz et al., 2011)</w:t>
          </w:r>
        </w:sdtContent>
      </w:sdt>
      <w:r w:rsidRPr="00FA043B">
        <w:rPr>
          <w:rFonts w:eastAsiaTheme="minorHAnsi"/>
        </w:rPr>
        <w:t xml:space="preserve">. It is probable that certain crosstalk </w:t>
      </w:r>
      <w:r w:rsidRPr="001B2AE1">
        <w:rPr>
          <w:rFonts w:eastAsiaTheme="minorHAnsi"/>
        </w:rPr>
        <w:t xml:space="preserve">phytohormones mediate </w:t>
      </w:r>
      <w:r w:rsidRPr="001B2AE1">
        <w:rPr>
          <w:rFonts w:eastAsiaTheme="minorHAnsi"/>
        </w:rPr>
        <w:lastRenderedPageBreak/>
        <w:t xml:space="preserve">this procedure further </w:t>
      </w:r>
      <w:sdt>
        <w:sdtPr>
          <w:rPr>
            <w:rFonts w:eastAsiaTheme="minorHAnsi"/>
            <w:color w:val="000000"/>
          </w:rPr>
          <w:tag w:val="MENDELEY_CITATION_v3_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"/>
          <w:id w:val="-1315178039"/>
          <w:placeholder>
            <w:docPart w:val="C796E44BA29C7B49B74F3F722913E754"/>
          </w:placeholder>
        </w:sdtPr>
        <w:sdtContent>
          <w:r w:rsidR="005E3F83" w:rsidRPr="005E3F83">
            <w:rPr>
              <w:rFonts w:eastAsiaTheme="minorHAnsi"/>
              <w:color w:val="000000"/>
            </w:rPr>
            <w:t>(Berens et al., 2017)</w:t>
          </w:r>
        </w:sdtContent>
      </w:sdt>
      <w:r w:rsidRPr="001B2AE1">
        <w:rPr>
          <w:rFonts w:eastAsiaTheme="minorHAnsi"/>
        </w:rPr>
        <w:t>.</w:t>
      </w:r>
      <w:r w:rsidR="00473952">
        <w:rPr>
          <w:rFonts w:eastAsiaTheme="minorHAnsi"/>
        </w:rPr>
        <w:t xml:space="preserve"> </w:t>
      </w:r>
      <w:r w:rsidR="00473952">
        <w:t>A</w:t>
      </w:r>
      <w:r w:rsidRPr="001B2AE1">
        <w:t xml:space="preserve">lso </w:t>
      </w:r>
      <w:r w:rsidRPr="001B2AE1">
        <w:rPr>
          <w:rFonts w:eastAsiaTheme="minorHAnsi"/>
        </w:rPr>
        <w:t xml:space="preserve">Auxin, indole-3-acetic acid (IAA), largely engaged in the regulation of plant growth, may induce and be mutually antagonistic to decrease SA production. Auxin signaling is attenuated by external SA application </w:t>
      </w:r>
      <w:sdt>
        <w:sdtPr>
          <w:rPr>
            <w:rFonts w:eastAsiaTheme="minorHAnsi"/>
            <w:color w:val="000000"/>
          </w:rPr>
          <w:tag w:val="MENDELEY_CITATION_v3_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"/>
          <w:id w:val="2014266438"/>
          <w:placeholder>
            <w:docPart w:val="C796E44BA29C7B49B74F3F722913E754"/>
          </w:placeholder>
        </w:sdtPr>
        <w:sdtContent>
          <w:r w:rsidR="005E3F83" w:rsidRPr="005E3F83">
            <w:rPr>
              <w:rFonts w:eastAsiaTheme="minorHAnsi"/>
              <w:color w:val="000000"/>
            </w:rPr>
            <w:t>(Wang et al., 2007)</w:t>
          </w:r>
        </w:sdtContent>
      </w:sdt>
      <w:r w:rsidRPr="001B2AE1">
        <w:rPr>
          <w:rFonts w:eastAsiaTheme="minorHAnsi"/>
        </w:rPr>
        <w:t xml:space="preserve"> also can encourage production of ET and JA, and hence strengthen defenses mediated by the JA </w:t>
      </w:r>
      <w:sdt>
        <w:sdtPr>
          <w:rPr>
            <w:rFonts w:eastAsiaTheme="minorHAnsi"/>
          </w:rPr>
          <w:tag w:val="MENDELEY_CITATION_v3_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"/>
          <w:id w:val="-287277442"/>
          <w:placeholder>
            <w:docPart w:val="C796E44BA29C7B49B74F3F722913E754"/>
          </w:placeholder>
        </w:sdtPr>
        <w:sdtContent>
          <w:r w:rsidR="005E3F83">
            <w:t>(Kazan &amp; Manners, 2009; Lee &amp; Dumas, 1983)</w:t>
          </w:r>
        </w:sdtContent>
      </w:sdt>
      <w:r w:rsidRPr="001B2AE1">
        <w:rPr>
          <w:rFonts w:eastAsiaTheme="minorHAnsi"/>
        </w:rPr>
        <w:t>.</w:t>
      </w:r>
      <w:r w:rsidRPr="001B2AE1">
        <w:t xml:space="preserve"> </w:t>
      </w:r>
      <w:r w:rsidRPr="001B2AE1">
        <w:rPr>
          <w:rFonts w:eastAsiaTheme="minorHAnsi"/>
        </w:rPr>
        <w:t xml:space="preserve">The mediated regulation of various processes in developmental plants can lead to the accumulation of SA by Gibberellin (GA) and therefore to antagonistic defense responses mediated by JA </w:t>
      </w:r>
      <w:sdt>
        <w:sdtPr>
          <w:rPr>
            <w:rFonts w:eastAsiaTheme="minorHAnsi"/>
            <w:color w:val="000000"/>
          </w:rPr>
          <w:tag w:val="MENDELEY_CITATION_v3_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"/>
          <w:id w:val="-1437213561"/>
          <w:placeholder>
            <w:docPart w:val="C796E44BA29C7B49B74F3F722913E754"/>
          </w:placeholder>
        </w:sdtPr>
        <w:sdtContent>
          <w:r w:rsidR="005E3F83" w:rsidRPr="005E3F83">
            <w:rPr>
              <w:rFonts w:eastAsiaTheme="minorHAnsi"/>
              <w:color w:val="000000"/>
            </w:rPr>
            <w:t>(Robert-Seilaniantz et al., 2011).</w:t>
          </w:r>
        </w:sdtContent>
      </w:sdt>
    </w:p>
    <w:p w14:paraId="0CD6C34A" w14:textId="52DCE275" w:rsidR="0019038E" w:rsidRPr="001B2AE1" w:rsidRDefault="0019038E" w:rsidP="008A6AA6">
      <w:pPr>
        <w:pStyle w:val="mythesis"/>
      </w:pPr>
      <w:r w:rsidRPr="001B2AE1">
        <w:t xml:space="preserve"> </w:t>
      </w:r>
      <w:sdt>
        <w:sdtPr>
          <w:rPr>
            <w:color w:val="000000"/>
          </w:rPr>
          <w:tag w:val="MENDELEY_CITATION_v3_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"/>
          <w:id w:val="-949538757"/>
          <w:placeholder>
            <w:docPart w:val="C796E44BA29C7B49B74F3F722913E754"/>
          </w:placeholder>
        </w:sdtPr>
        <w:sdtEndPr>
          <w:rPr>
            <w:rFonts w:eastAsiaTheme="minorHAnsi"/>
          </w:rPr>
        </w:sdtEndPr>
        <w:sdtContent>
          <w:r w:rsidR="005E3F83" w:rsidRPr="005E3F83">
            <w:rPr>
              <w:rFonts w:eastAsiaTheme="minorHAnsi"/>
              <w:color w:val="000000"/>
            </w:rPr>
            <w:t>(Copetta et al., 2006; Kapoor et al., 2002; Khaosaad et al., 2006; Larose et al., 2002; Toussaint, 2007)</w:t>
          </w:r>
        </w:sdtContent>
      </w:sdt>
      <w:r w:rsidRPr="001B2AE1">
        <w:rPr>
          <w:rFonts w:eastAsiaTheme="minorHAnsi"/>
        </w:rPr>
        <w:t xml:space="preserve"> proven in their studies that Various AMF species may produce different changes in secondary metabolite production in the same plant species or even their genotype.</w:t>
      </w:r>
      <w:r w:rsidRPr="001B2AE1">
        <w:t xml:space="preserve"> </w:t>
      </w:r>
      <w:r w:rsidR="00202FD7">
        <w:t>A</w:t>
      </w:r>
      <w:r w:rsidRPr="001B2AE1">
        <w:t xml:space="preserve">lso </w:t>
      </w:r>
      <w:sdt>
        <w:sdtPr>
          <w:rPr>
            <w:color w:val="000000"/>
          </w:rPr>
          <w:tag w:val="MENDELEY_CITATION_v3_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"/>
          <w:id w:val="-8219784"/>
          <w:placeholder>
            <w:docPart w:val="C796E44BA29C7B49B74F3F722913E754"/>
          </w:placeholder>
        </w:sdtPr>
        <w:sdtContent>
          <w:r w:rsidR="005E3F83" w:rsidRPr="005E3F83">
            <w:rPr>
              <w:color w:val="000000"/>
            </w:rPr>
            <w:t>(Duc et al., 2021)</w:t>
          </w:r>
        </w:sdtContent>
      </w:sdt>
      <w:r w:rsidRPr="001B2AE1">
        <w:t xml:space="preserve"> suggested that the interaction between the plant and AMF different species caused a difference in the organic bioactive compounds. </w:t>
      </w:r>
    </w:p>
    <w:p w14:paraId="76F08033" w14:textId="5332DC2C" w:rsidR="0019038E" w:rsidRPr="008A6AA6" w:rsidRDefault="0019038E" w:rsidP="008A6AA6">
      <w:pPr>
        <w:pStyle w:val="mythesis"/>
      </w:pPr>
      <w:r w:rsidRPr="008A6AA6">
        <w:t>Enhanced secondary compound production induced by some AMF species and the absence of other species with the same root colonization levels by those species may indicate a plant defense reaction to AMF colonization depending on their fungal genotype,</w:t>
      </w:r>
      <w:r w:rsidRPr="008A6AA6">
        <w:rPr>
          <w:rFonts w:eastAsiaTheme="minorHAnsi"/>
        </w:rPr>
        <w:t xml:space="preserve"> Accumulation of secondary metabolites is regulated at the molecular level by different genes and transcription factors (TFs), including phytohormonal pathways in response to stress conditions </w:t>
      </w:r>
      <w:sdt>
        <w:sdtPr>
          <w:rPr>
            <w:rFonts w:eastAsiaTheme="minorHAnsi"/>
            <w:color w:val="000000"/>
          </w:rPr>
          <w:tag w:val="MENDELEY_CITATION_v3_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"/>
          <w:id w:val="1537232294"/>
          <w:placeholder>
            <w:docPart w:val="C796E44BA29C7B49B74F3F722913E754"/>
          </w:placeholder>
        </w:sdtPr>
        <w:sdtContent>
          <w:r w:rsidR="005E3F83" w:rsidRPr="005E3F83">
            <w:rPr>
              <w:rFonts w:eastAsiaTheme="minorHAnsi"/>
              <w:color w:val="000000"/>
            </w:rPr>
            <w:t>(Jan et al., 2021).</w:t>
          </w:r>
        </w:sdtContent>
      </w:sdt>
      <w:r w:rsidRPr="008A6AA6">
        <w:rPr>
          <w:rFonts w:eastAsiaTheme="minorHAnsi"/>
        </w:rPr>
        <w:t xml:space="preserve"> </w:t>
      </w:r>
    </w:p>
    <w:p w14:paraId="03732D5A" w14:textId="30F91D88" w:rsidR="0019038E" w:rsidRPr="001B2AE1" w:rsidRDefault="00000000" w:rsidP="008A6AA6">
      <w:pPr>
        <w:pStyle w:val="mythesis"/>
      </w:pPr>
      <w:sdt>
        <w:sdtPr>
          <w:rPr>
            <w:color w:val="000000"/>
          </w:rPr>
          <w:tag w:val="MENDELEY_CITATION_v3_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"/>
          <w:id w:val="-2117660273"/>
          <w:placeholder>
            <w:docPart w:val="C796E44BA29C7B49B74F3F722913E754"/>
          </w:placeholder>
        </w:sdtPr>
        <w:sdtContent>
          <w:r w:rsidR="005E3F83" w:rsidRPr="005E3F83">
            <w:rPr>
              <w:color w:val="000000"/>
            </w:rPr>
            <w:t>(Vierheilig, 1998)</w:t>
          </w:r>
        </w:sdtContent>
      </w:sdt>
      <w:r w:rsidR="0019038E" w:rsidRPr="001B2AE1">
        <w:t xml:space="preserve"> suggested that compounds in roots colonized by different AMF, in addition to similar general signal requirements of all AMFs. Even certain species may also be subject to AMF genus or requirements for successful creation of symbiosis. This can be reflected in different accumulation patterns of secondary compounds in the roots colonized by different AMF.</w:t>
      </w:r>
    </w:p>
    <w:p w14:paraId="658DFFA8" w14:textId="22D29119" w:rsidR="002B393B" w:rsidRPr="001B2AE1" w:rsidRDefault="0019038E" w:rsidP="008A6AA6">
      <w:pPr>
        <w:pStyle w:val="mythesis"/>
        <w:rPr>
          <w:rFonts w:eastAsiaTheme="minorHAnsi"/>
        </w:rPr>
      </w:pPr>
      <w:r w:rsidRPr="001B2AE1">
        <w:t xml:space="preserve">Unsurprisingly, we conclude from our results that AMF does not necessarily enhance crops growth, Direct plant defense by secondary metabolites does not essentially decrease the potential benefits from AMF, and AMF can improve root chemical defense concentrations, and this response may be dependent on plant genotype and that was reported by </w:t>
      </w:r>
      <w:sdt>
        <w:sdtPr>
          <w:tag w:val="MENDELEY_CITATION_v3_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"/>
          <w:id w:val="-765845231"/>
          <w:placeholder>
            <w:docPart w:val="969BE17370D6F14194E47C44A55D2C3B"/>
          </w:placeholder>
        </w:sdtPr>
        <w:sdtContent>
          <w:r w:rsidR="005E3F83">
            <w:t>(de Melo &amp; Carrenho, 2017).</w:t>
          </w:r>
        </w:sdtContent>
      </w:sdt>
      <w:r w:rsidRPr="001B2AE1">
        <w:t xml:space="preserve"> </w:t>
      </w:r>
      <w:r w:rsidR="00202FD7">
        <w:t>W</w:t>
      </w:r>
      <w:r w:rsidRPr="001B2AE1">
        <w:t xml:space="preserve">hereas the bin 307.2 in root aqueous phase proved no effect on </w:t>
      </w:r>
      <w:r w:rsidR="00CA2032">
        <w:t xml:space="preserve">the </w:t>
      </w:r>
      <w:r w:rsidRPr="001B2AE1">
        <w:t xml:space="preserve">cultivars No.7,14 ,17 </w:t>
      </w:r>
      <w:r w:rsidRPr="001B2AE1">
        <w:lastRenderedPageBreak/>
        <w:t>and 18.</w:t>
      </w:r>
      <w:r w:rsidR="002B393B" w:rsidRPr="001B2AE1">
        <w:t xml:space="preserve"> </w:t>
      </w:r>
      <w:r w:rsidRPr="001B2AE1">
        <w:rPr>
          <w:rFonts w:eastAsiaTheme="minorHAnsi"/>
        </w:rPr>
        <w:t xml:space="preserve">The effect of different mycorrhizal species, either negatively or positively, on the plant defense was discussed by </w:t>
      </w:r>
      <w:sdt>
        <w:sdtPr>
          <w:rPr>
            <w:rFonts w:eastAsiaTheme="minorHAnsi"/>
          </w:rPr>
          <w:tag w:val="MENDELEY_CITATION_v3_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"/>
          <w:id w:val="1459687054"/>
          <w:placeholder>
            <w:docPart w:val="C796E44BA29C7B49B74F3F722913E754"/>
          </w:placeholder>
        </w:sdtPr>
        <w:sdtContent>
          <w:r w:rsidR="005E3F83">
            <w:t>(Frew &amp; Wilson, 2021)</w:t>
          </w:r>
        </w:sdtContent>
      </w:sdt>
      <w:r w:rsidRPr="001B2AE1">
        <w:rPr>
          <w:rFonts w:eastAsiaTheme="minorHAnsi"/>
        </w:rPr>
        <w:t>.</w:t>
      </w:r>
      <w:r w:rsidRPr="001B2AE1">
        <w:t xml:space="preserve"> </w:t>
      </w:r>
      <w:r w:rsidRPr="001B2AE1">
        <w:rPr>
          <w:rFonts w:eastAsiaTheme="minorHAnsi"/>
        </w:rPr>
        <w:t xml:space="preserve">Several other tests have now demonstrated how differing species alter several herbivore-associated defense chemicals </w:t>
      </w:r>
      <w:sdt>
        <w:sdtPr>
          <w:rPr>
            <w:rFonts w:eastAsiaTheme="minorHAnsi"/>
          </w:rPr>
          <w:tag w:val="MENDELEY_CITATION_v3_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"/>
          <w:id w:val="2083409966"/>
          <w:placeholder>
            <w:docPart w:val="C796E44BA29C7B49B74F3F722913E754"/>
          </w:placeholder>
        </w:sdtPr>
        <w:sdtContent>
          <w:r w:rsidR="005E3F83">
            <w:t>(Ceccarelli et al., 2010; Frew &amp; Wilson, 2021; Malik RJ et al., 2018; Nishida et al., 2010)</w:t>
          </w:r>
        </w:sdtContent>
      </w:sdt>
      <w:r w:rsidRPr="001B2AE1">
        <w:rPr>
          <w:rFonts w:eastAsiaTheme="minorHAnsi"/>
        </w:rPr>
        <w:t xml:space="preserve">.  Furthermore, to genetic diversity, the outcome of AM fungal-plant-herbivore interactions can play a part in species genetic variation. Several examples show that the results of this multi-species interaction can change both plant and herbivore diversity </w:t>
      </w:r>
      <w:sdt>
        <w:sdtPr>
          <w:rPr>
            <w:rFonts w:eastAsiaTheme="minorHAnsi"/>
            <w:color w:val="000000"/>
          </w:rPr>
          <w:tag w:val="MENDELEY_CITATION_v3_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"/>
          <w:id w:val="-1923935028"/>
          <w:placeholder>
            <w:docPart w:val="C796E44BA29C7B49B74F3F722913E754"/>
          </w:placeholder>
        </w:sdtPr>
        <w:sdtContent>
          <w:r w:rsidR="005E3F83" w:rsidRPr="005E3F83">
            <w:rPr>
              <w:rFonts w:eastAsiaTheme="minorHAnsi"/>
              <w:color w:val="000000"/>
            </w:rPr>
            <w:t>(Bennett et al., 2016; Rasmussen et al., 2017).</w:t>
          </w:r>
        </w:sdtContent>
      </w:sdt>
    </w:p>
    <w:p w14:paraId="2586C3DE" w14:textId="7D4DA5EC" w:rsidR="0019038E" w:rsidRPr="001B2AE1" w:rsidRDefault="0019038E" w:rsidP="008A6AA6">
      <w:pPr>
        <w:pStyle w:val="mythesis"/>
      </w:pPr>
      <w:r w:rsidRPr="001B2AE1">
        <w:rPr>
          <w:rFonts w:eastAsiaTheme="minorHAnsi"/>
        </w:rPr>
        <w:t xml:space="preserve"> </w:t>
      </w:r>
      <w:sdt>
        <w:sdtPr>
          <w:rPr>
            <w:rFonts w:eastAsiaTheme="minorHAnsi"/>
            <w:color w:val="000000"/>
          </w:rPr>
          <w:tag w:val="MENDELEY_CITATION_v3_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"/>
          <w:id w:val="-766539144"/>
          <w:placeholder>
            <w:docPart w:val="DefaultPlaceholder_-1854013440"/>
          </w:placeholder>
        </w:sdtPr>
        <w:sdtContent>
          <w:r w:rsidR="005E3F83" w:rsidRPr="005E3F83">
            <w:rPr>
              <w:rFonts w:eastAsiaTheme="minorHAnsi"/>
              <w:color w:val="000000"/>
            </w:rPr>
            <w:t>(Cameron et al., 2013; Jung et al., 2012)</w:t>
          </w:r>
          <w:r w:rsidR="00070DDF">
            <w:rPr>
              <w:rFonts w:eastAsiaTheme="minorHAnsi"/>
              <w:color w:val="000000"/>
            </w:rPr>
            <w:t xml:space="preserve"> </w:t>
          </w:r>
        </w:sdtContent>
      </w:sdt>
      <w:r w:rsidRPr="001B2AE1">
        <w:rPr>
          <w:rFonts w:eastAsiaTheme="minorHAnsi"/>
        </w:rPr>
        <w:t xml:space="preserve">explained the impact on phytohormonal signs of the AM fungus species that support mycorrhiza-induced resistance. For example, </w:t>
      </w:r>
      <w:r w:rsidRPr="001B2AE1">
        <w:rPr>
          <w:rFonts w:eastAsiaTheme="minorHAnsi"/>
          <w:i/>
        </w:rPr>
        <w:t>F. mosseae</w:t>
      </w:r>
      <w:r w:rsidRPr="001B2AE1">
        <w:rPr>
          <w:rFonts w:eastAsiaTheme="minorHAnsi"/>
        </w:rPr>
        <w:t xml:space="preserve"> has been discovered to be more expressive in JA marker genes and JA-associated defense chemicals than </w:t>
      </w:r>
      <w:r w:rsidRPr="001B2AE1">
        <w:rPr>
          <w:rFonts w:eastAsiaTheme="minorHAnsi"/>
          <w:i/>
        </w:rPr>
        <w:t>R. irregularis</w:t>
      </w:r>
      <w:r w:rsidRPr="001B2AE1">
        <w:rPr>
          <w:rFonts w:eastAsiaTheme="minorHAnsi"/>
        </w:rPr>
        <w:t xml:space="preserve"> </w:t>
      </w:r>
      <w:sdt>
        <w:sdtPr>
          <w:rPr>
            <w:rFonts w:eastAsiaTheme="minorHAnsi"/>
            <w:color w:val="000000"/>
          </w:rPr>
          <w:tag w:val="MENDELEY_CITATION_v3_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"/>
          <w:id w:val="-549465873"/>
          <w:placeholder>
            <w:docPart w:val="C796E44BA29C7B49B74F3F722913E754"/>
          </w:placeholder>
        </w:sdtPr>
        <w:sdtContent>
          <w:r w:rsidR="005E3F83" w:rsidRPr="005E3F83">
            <w:rPr>
              <w:rFonts w:eastAsiaTheme="minorHAnsi"/>
              <w:color w:val="000000"/>
            </w:rPr>
            <w:t>(Fernández et al., 2014; López-Ráez, Verhage, et al., 2010)</w:t>
          </w:r>
        </w:sdtContent>
      </w:sdt>
      <w:r w:rsidRPr="001B2AE1">
        <w:rPr>
          <w:rFonts w:eastAsiaTheme="minorHAnsi"/>
        </w:rPr>
        <w:t xml:space="preserve">. This shows that </w:t>
      </w:r>
      <w:r w:rsidRPr="00C27A9E">
        <w:rPr>
          <w:rFonts w:eastAsiaTheme="minorHAnsi"/>
          <w:i/>
          <w:iCs w:val="0"/>
        </w:rPr>
        <w:t>F. mosseae</w:t>
      </w:r>
      <w:r w:rsidRPr="001B2AE1">
        <w:rPr>
          <w:rFonts w:eastAsiaTheme="minorHAnsi"/>
        </w:rPr>
        <w:t xml:space="preserve"> has the higher potential to give herbivory a larger tolerance than </w:t>
      </w:r>
      <w:r w:rsidRPr="00C27A9E">
        <w:rPr>
          <w:rFonts w:eastAsiaTheme="minorHAnsi"/>
          <w:i/>
          <w:iCs w:val="0"/>
        </w:rPr>
        <w:t>R. irregularis</w:t>
      </w:r>
      <w:r w:rsidRPr="001B2AE1">
        <w:rPr>
          <w:rFonts w:eastAsiaTheme="minorHAnsi"/>
        </w:rPr>
        <w:t xml:space="preserve"> </w:t>
      </w:r>
      <w:sdt>
        <w:sdtPr>
          <w:rPr>
            <w:rFonts w:eastAsiaTheme="minorHAnsi"/>
            <w:color w:val="000000"/>
          </w:rPr>
          <w:tag w:val="MENDELEY_CITATION_v3_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"/>
          <w:id w:val="-234009531"/>
          <w:placeholder>
            <w:docPart w:val="C796E44BA29C7B49B74F3F722913E754"/>
          </w:placeholder>
        </w:sdtPr>
        <w:sdtContent>
          <w:r w:rsidR="005E3F83" w:rsidRPr="005E3F83">
            <w:rPr>
              <w:rFonts w:eastAsiaTheme="minorHAnsi"/>
              <w:color w:val="000000"/>
            </w:rPr>
            <w:t>(Borowicz, 2013)</w:t>
          </w:r>
        </w:sdtContent>
      </w:sdt>
      <w:r w:rsidRPr="001B2AE1">
        <w:rPr>
          <w:rFonts w:eastAsiaTheme="minorHAnsi"/>
        </w:rPr>
        <w:t xml:space="preserve">, Proposal of </w:t>
      </w:r>
      <w:r w:rsidRPr="001B2AE1">
        <w:rPr>
          <w:rFonts w:eastAsiaTheme="minorHAnsi"/>
          <w:i/>
        </w:rPr>
        <w:t>F. mosseae</w:t>
      </w:r>
      <w:r w:rsidRPr="001B2AE1">
        <w:rPr>
          <w:rFonts w:eastAsiaTheme="minorHAnsi"/>
        </w:rPr>
        <w:t xml:space="preserve"> can support both resistance and tolerance. As a secondary plant metabolism is also a driver for insect herbivores to choose host plants </w:t>
      </w:r>
      <w:sdt>
        <w:sdtPr>
          <w:rPr>
            <w:rFonts w:eastAsiaTheme="minorHAnsi"/>
            <w:color w:val="000000"/>
          </w:rPr>
          <w:tag w:val="MENDELEY_CITATION_v3_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"/>
          <w:id w:val="1535761827"/>
          <w:placeholder>
            <w:docPart w:val="C796E44BA29C7B49B74F3F722913E754"/>
          </w:placeholder>
        </w:sdtPr>
        <w:sdtContent>
          <w:r w:rsidR="005E3F83" w:rsidRPr="005E3F83">
            <w:rPr>
              <w:rFonts w:eastAsiaTheme="minorHAnsi"/>
              <w:color w:val="000000"/>
            </w:rPr>
            <w:t>(Hopkins et al., 2017).</w:t>
          </w:r>
        </w:sdtContent>
      </w:sdt>
      <w:r w:rsidRPr="001B2AE1">
        <w:rPr>
          <w:rFonts w:eastAsiaTheme="minorHAnsi"/>
        </w:rPr>
        <w:t xml:space="preserve"> All species-specific effects of AM fungus on various plant secondary chemical components would not only change the results of </w:t>
      </w:r>
      <w:r w:rsidR="00054417" w:rsidRPr="001B2AE1">
        <w:rPr>
          <w:rFonts w:eastAsiaTheme="minorHAnsi"/>
        </w:rPr>
        <w:t>defense but</w:t>
      </w:r>
      <w:r w:rsidRPr="001B2AE1">
        <w:rPr>
          <w:rFonts w:eastAsiaTheme="minorHAnsi"/>
        </w:rPr>
        <w:t xml:space="preserve"> have substantial environmental cascade effects </w:t>
      </w:r>
      <w:sdt>
        <w:sdtPr>
          <w:rPr>
            <w:rFonts w:eastAsiaTheme="minorHAnsi"/>
            <w:color w:val="000000"/>
          </w:rPr>
          <w:tag w:val="MENDELEY_CITATION_v3_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"/>
          <w:id w:val="-2067485587"/>
          <w:placeholder>
            <w:docPart w:val="C796E44BA29C7B49B74F3F722913E754"/>
          </w:placeholder>
        </w:sdtPr>
        <w:sdtContent>
          <w:r w:rsidR="005E3F83" w:rsidRPr="005E3F83">
            <w:rPr>
              <w:rFonts w:eastAsiaTheme="minorHAnsi"/>
              <w:color w:val="000000"/>
            </w:rPr>
            <w:t>(Babikova et al., 2014).</w:t>
          </w:r>
        </w:sdtContent>
      </w:sdt>
    </w:p>
    <w:p w14:paraId="3E14E681" w14:textId="77777777" w:rsidR="0019038E" w:rsidRPr="001B2AE1" w:rsidRDefault="0019038E" w:rsidP="0019038E">
      <w:pPr>
        <w:autoSpaceDE w:val="0"/>
        <w:autoSpaceDN w:val="0"/>
        <w:adjustRightInd w:val="0"/>
        <w:spacing w:afterLines="280" w:after="672" w:line="360" w:lineRule="auto"/>
        <w:jc w:val="lowKashida"/>
        <w:rPr>
          <w:color w:val="000000" w:themeColor="text1"/>
        </w:rPr>
      </w:pPr>
      <w:r w:rsidRPr="001B2AE1">
        <w:rPr>
          <w:color w:val="000000" w:themeColor="text1"/>
        </w:rPr>
        <w:t xml:space="preserve">         All the previously mentioned compounds obtained from the roots and shoot of the </w:t>
      </w:r>
      <w:r w:rsidRPr="001B2AE1">
        <w:rPr>
          <w:i/>
          <w:iCs/>
          <w:color w:val="000000" w:themeColor="text1"/>
        </w:rPr>
        <w:t>Zea mays</w:t>
      </w:r>
      <w:r w:rsidRPr="001B2AE1">
        <w:rPr>
          <w:color w:val="000000" w:themeColor="text1"/>
        </w:rPr>
        <w:t xml:space="preserve"> plant after analysis are belong to the basic groups of the secondary metabolites and we observed increasing of these compounds in plant shoot and root because of the mycorrhizal colonization, and these compounds belonged to the basic group </w:t>
      </w:r>
      <w:r w:rsidRPr="00054417">
        <w:rPr>
          <w:color w:val="000000" w:themeColor="text1"/>
        </w:rPr>
        <w:t>which are phenolics, terpenes and alkaloids.</w:t>
      </w:r>
    </w:p>
    <w:p w14:paraId="42DBA7F3" w14:textId="77777777" w:rsidR="0019038E" w:rsidRPr="001B2AE1" w:rsidRDefault="0019038E" w:rsidP="0019038E">
      <w:pPr>
        <w:pStyle w:val="Heading3"/>
      </w:pPr>
      <w:bookmarkStart w:id="165" w:name="_Toc83751488"/>
      <w:r w:rsidRPr="001B2AE1">
        <w:t>4.4.2. Role of phenolics (Coumarins) in plant secondary metabolite</w:t>
      </w:r>
      <w:bookmarkEnd w:id="165"/>
    </w:p>
    <w:p w14:paraId="7FC6DAE2" w14:textId="77777777" w:rsidR="0019038E" w:rsidRPr="001B2AE1" w:rsidRDefault="0019038E" w:rsidP="0019038E">
      <w:pPr>
        <w:rPr>
          <w:color w:val="000000" w:themeColor="text1"/>
        </w:rPr>
      </w:pPr>
    </w:p>
    <w:p w14:paraId="0AC8067E" w14:textId="00401E5B" w:rsidR="0019038E" w:rsidRPr="001B2AE1" w:rsidRDefault="0019038E" w:rsidP="0019038E">
      <w:pPr>
        <w:autoSpaceDE w:val="0"/>
        <w:autoSpaceDN w:val="0"/>
        <w:adjustRightInd w:val="0"/>
        <w:spacing w:afterLines="280" w:after="672" w:line="360" w:lineRule="auto"/>
        <w:jc w:val="lowKashida"/>
        <w:rPr>
          <w:color w:val="000000" w:themeColor="text1"/>
        </w:rPr>
      </w:pPr>
      <w:r w:rsidRPr="001B2AE1">
        <w:rPr>
          <w:color w:val="000000" w:themeColor="text1"/>
        </w:rPr>
        <w:t xml:space="preserve">        </w:t>
      </w:r>
      <w:r w:rsidRPr="001B2AE1">
        <w:rPr>
          <w:color w:val="000000" w:themeColor="text1"/>
          <w:shd w:val="clear" w:color="auto" w:fill="FFFFFF"/>
        </w:rPr>
        <w:t xml:space="preserve">Phenolics have critical functions in plant development, particularly in the biosynthesis of lignin and pigments. They also provide structural integrity and scaffolding support to plants, as well as stress protection </w:t>
      </w:r>
      <w:sdt>
        <w:sdtPr>
          <w:rPr>
            <w:color w:val="000000"/>
            <w:shd w:val="clear" w:color="auto" w:fill="FFFFFF"/>
          </w:rPr>
          <w:tag w:val="MENDELEY_CITATION_v3_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"/>
          <w:id w:val="-61027547"/>
          <w:placeholder>
            <w:docPart w:val="C796E44BA29C7B49B74F3F722913E754"/>
          </w:placeholder>
        </w:sdtPr>
        <w:sdtContent>
          <w:r w:rsidR="005E3F83" w:rsidRPr="005E3F83">
            <w:rPr>
              <w:color w:val="000000"/>
              <w:shd w:val="clear" w:color="auto" w:fill="FFFFFF"/>
            </w:rPr>
            <w:t>(Bhattacharya et al., 2010)</w:t>
          </w:r>
        </w:sdtContent>
      </w:sdt>
      <w:r w:rsidRPr="001B2AE1">
        <w:rPr>
          <w:color w:val="000000" w:themeColor="text1"/>
          <w:shd w:val="clear" w:color="auto" w:fill="FFFFFF"/>
        </w:rPr>
        <w:t>.</w:t>
      </w:r>
      <w:r w:rsidRPr="001B2AE1">
        <w:rPr>
          <w:color w:val="000000" w:themeColor="text1"/>
        </w:rPr>
        <w:t xml:space="preserve"> </w:t>
      </w:r>
      <w:r w:rsidRPr="001B2AE1">
        <w:rPr>
          <w:rFonts w:eastAsiaTheme="minorHAnsi"/>
          <w:color w:val="000000" w:themeColor="text1"/>
        </w:rPr>
        <w:t>most phenolic compounds derive from the phenylpropanoid and phenylpropanoid-</w:t>
      </w:r>
      <w:r w:rsidRPr="001B2AE1">
        <w:rPr>
          <w:color w:val="000000" w:themeColor="text1"/>
        </w:rPr>
        <w:t xml:space="preserve"> </w:t>
      </w:r>
      <w:r w:rsidRPr="001B2AE1">
        <w:rPr>
          <w:rFonts w:eastAsiaTheme="minorHAnsi"/>
          <w:color w:val="000000" w:themeColor="text1"/>
        </w:rPr>
        <w:t>acetate pathway, being phenylalanine ammonia lyase (PAL) considered as a key enzyme</w:t>
      </w:r>
      <w:r w:rsidRPr="001B2AE1">
        <w:rPr>
          <w:color w:val="000000" w:themeColor="text1"/>
        </w:rPr>
        <w:t xml:space="preserve"> </w:t>
      </w:r>
      <w:r w:rsidRPr="001B2AE1">
        <w:rPr>
          <w:rFonts w:eastAsiaTheme="minorHAnsi"/>
          <w:color w:val="000000" w:themeColor="text1"/>
        </w:rPr>
        <w:t>in this pathway</w:t>
      </w:r>
      <w:r w:rsidRPr="001B2AE1">
        <w:rPr>
          <w:color w:val="000000" w:themeColor="text1"/>
        </w:rPr>
        <w:t xml:space="preserve">. </w:t>
      </w:r>
    </w:p>
    <w:p w14:paraId="36ADC2F3" w14:textId="77777777" w:rsidR="0019038E" w:rsidRPr="001B2AE1" w:rsidRDefault="0019038E" w:rsidP="0019038E">
      <w:pPr>
        <w:pStyle w:val="Heading4"/>
        <w:rPr>
          <w:shd w:val="clear" w:color="auto" w:fill="FFFFFF"/>
        </w:rPr>
      </w:pPr>
      <w:bookmarkStart w:id="166" w:name="_Toc83751489"/>
      <w:r w:rsidRPr="001B2AE1">
        <w:rPr>
          <w:shd w:val="clear" w:color="auto" w:fill="FFFFFF"/>
        </w:rPr>
        <w:lastRenderedPageBreak/>
        <w:t>4.4.2.1. Coumarins</w:t>
      </w:r>
      <w:bookmarkEnd w:id="166"/>
    </w:p>
    <w:p w14:paraId="777C079C" w14:textId="77777777" w:rsidR="009B654A" w:rsidRPr="009B654A" w:rsidRDefault="009B654A" w:rsidP="009B654A">
      <w:pPr>
        <w:pStyle w:val="mythesis"/>
      </w:pPr>
    </w:p>
    <w:p w14:paraId="410F7290" w14:textId="5533F4B1" w:rsidR="0019038E" w:rsidRPr="009B654A" w:rsidRDefault="0019038E" w:rsidP="009B654A">
      <w:pPr>
        <w:pStyle w:val="mythesis"/>
      </w:pPr>
      <w:r w:rsidRPr="009B654A">
        <w:t xml:space="preserve">  </w:t>
      </w:r>
      <w:r w:rsidR="00575A0D" w:rsidRPr="009B654A">
        <w:t>C</w:t>
      </w:r>
      <w:r w:rsidRPr="009B654A">
        <w:t>oumarins</w:t>
      </w:r>
      <w:r w:rsidR="00575A0D" w:rsidRPr="009B654A">
        <w:t xml:space="preserve"> compound was discovered</w:t>
      </w:r>
      <w:r w:rsidRPr="009B654A">
        <w:t xml:space="preserve"> in root in our results, and </w:t>
      </w:r>
      <w:r w:rsidR="00B82785" w:rsidRPr="009B654A">
        <w:t>its importance</w:t>
      </w:r>
      <w:r w:rsidRPr="009B654A">
        <w:t xml:space="preserve"> as a secondary metabolite of higher plants is well established. Coumarins' role in herbivore defense mechanisms and microorganism attacks is well known, these compounds are biosynthesized via shikimic acid from phenylalanine </w:t>
      </w:r>
      <w:sdt>
        <w:sdtPr>
          <w:rPr>
            <w:color w:val="000000"/>
          </w:rPr>
          <w:tag w:val="MENDELEY_CITATION_v3_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"/>
          <w:id w:val="-1787889822"/>
          <w:placeholder>
            <w:docPart w:val="C796E44BA29C7B49B74F3F722913E754"/>
          </w:placeholder>
        </w:sdtPr>
        <w:sdtContent>
          <w:r w:rsidR="005E3F83" w:rsidRPr="005E3F83">
            <w:rPr>
              <w:color w:val="000000"/>
            </w:rPr>
            <w:t>(Dewick, 2002)</w:t>
          </w:r>
        </w:sdtContent>
      </w:sdt>
      <w:r w:rsidRPr="009B654A">
        <w:t xml:space="preserve"> . Coumarins (2H-benzopyran-2-one), a class of simple phenolic compounds consisting of a large phenolic substance produced from the fusion of a benzene ring and pyrone rings, are widespread in vascular plants and considered as an antimicrobial and play an important role on plant defense and defensive effects on herbivores and fungi </w:t>
      </w:r>
      <w:sdt>
        <w:sdtPr>
          <w:rPr>
            <w:color w:val="000000"/>
          </w:rPr>
          <w:tag w:val="MENDELEY_CITATION_v3_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"/>
          <w:id w:val="-1273397207"/>
          <w:placeholder>
            <w:docPart w:val="C796E44BA29C7B49B74F3F722913E754"/>
          </w:placeholder>
        </w:sdtPr>
        <w:sdtContent>
          <w:r w:rsidR="005E3F83" w:rsidRPr="005E3F83">
            <w:rPr>
              <w:color w:val="000000"/>
            </w:rPr>
            <w:t>(Iranshahi et al., 2009).</w:t>
          </w:r>
        </w:sdtContent>
      </w:sdt>
    </w:p>
    <w:p w14:paraId="08AACB0B" w14:textId="7969BCD7" w:rsidR="0019038E" w:rsidRPr="009B654A" w:rsidRDefault="0019038E" w:rsidP="009B654A">
      <w:pPr>
        <w:pStyle w:val="mythesis"/>
        <w:rPr>
          <w:rFonts w:eastAsiaTheme="minorHAnsi"/>
        </w:rPr>
      </w:pPr>
      <w:r w:rsidRPr="009B654A">
        <w:rPr>
          <w:rFonts w:eastAsiaTheme="minorHAnsi"/>
        </w:rPr>
        <w:t xml:space="preserve"> In higher plants, flavonoids consist of one of the most characteristic secondary metabolite classes. the chemical structure of Flavonoids is generally containing 15 carbon skeleton with a phenyl and heterocyclic ring. They play a vital role in plant defense and pigmentation systems, they also have a wide range of activities to promote the health and are essential components of drug products, medicinal products, and cosmetics. For instance, their anti-inflammatory, antioxidant, anticarcinogenic and antimutagenic properties can alter their key cell enzymatic functions; and they are effective inhibitors of numerous enzymes </w:t>
      </w:r>
      <w:sdt>
        <w:sdtPr>
          <w:rPr>
            <w:rFonts w:eastAsiaTheme="minorHAnsi"/>
            <w:color w:val="000000"/>
          </w:rPr>
          <w:tag w:val="MENDELEY_CITATION_v3_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"/>
          <w:id w:val="728582158"/>
          <w:placeholder>
            <w:docPart w:val="C796E44BA29C7B49B74F3F722913E754"/>
          </w:placeholder>
        </w:sdtPr>
        <w:sdtContent>
          <w:r w:rsidR="005E3F83" w:rsidRPr="005E3F83">
            <w:rPr>
              <w:rFonts w:eastAsiaTheme="minorHAnsi"/>
              <w:color w:val="000000"/>
            </w:rPr>
            <w:t>(Walker et al., 2000).</w:t>
          </w:r>
        </w:sdtContent>
      </w:sdt>
    </w:p>
    <w:p w14:paraId="1B3C1879" w14:textId="62CB794A" w:rsidR="0019038E" w:rsidRPr="001B2AE1" w:rsidRDefault="0019038E" w:rsidP="0019038E">
      <w:pPr>
        <w:spacing w:afterLines="280" w:after="672" w:line="360" w:lineRule="auto"/>
        <w:jc w:val="lowKashida"/>
        <w:rPr>
          <w:color w:val="000000" w:themeColor="text1"/>
          <w:shd w:val="clear" w:color="auto" w:fill="FFFFFF"/>
        </w:rPr>
      </w:pPr>
      <w:r w:rsidRPr="001B2AE1">
        <w:rPr>
          <w:color w:val="000000" w:themeColor="text1"/>
        </w:rPr>
        <w:t xml:space="preserve">         The effect of the AMF on the growth in total phenols has been documented in several studies,</w:t>
      </w:r>
      <w:r w:rsidRPr="001B2AE1">
        <w:rPr>
          <w:i/>
          <w:iCs/>
          <w:color w:val="000000" w:themeColor="text1"/>
          <w:shd w:val="clear" w:color="auto" w:fill="FFFFFF"/>
        </w:rPr>
        <w:t xml:space="preserve"> </w:t>
      </w:r>
      <w:sdt>
        <w:sdtPr>
          <w:rPr>
            <w:iCs/>
            <w:color w:val="000000"/>
            <w:shd w:val="clear" w:color="auto" w:fill="FFFFFF"/>
          </w:rPr>
          <w:tag w:val="MENDELEY_CITATION_v3_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"/>
          <w:id w:val="-1768840035"/>
          <w:placeholder>
            <w:docPart w:val="C796E44BA29C7B49B74F3F722913E754"/>
          </w:placeholder>
        </w:sdtPr>
        <w:sdtEndPr>
          <w:rPr>
            <w:iCs w:val="0"/>
          </w:rPr>
        </w:sdtEndPr>
        <w:sdtContent>
          <w:r w:rsidR="005E3F83" w:rsidRPr="005E3F83">
            <w:rPr>
              <w:color w:val="000000"/>
              <w:shd w:val="clear" w:color="auto" w:fill="FFFFFF"/>
            </w:rPr>
            <w:t>(Seifi et al., 2014)</w:t>
          </w:r>
        </w:sdtContent>
      </w:sdt>
      <w:r w:rsidRPr="001B2AE1">
        <w:rPr>
          <w:color w:val="000000" w:themeColor="text1"/>
          <w:shd w:val="clear" w:color="auto" w:fill="FFFFFF"/>
        </w:rPr>
        <w:t xml:space="preserve"> observed that in </w:t>
      </w:r>
      <w:r w:rsidRPr="001B2AE1">
        <w:rPr>
          <w:i/>
          <w:iCs/>
          <w:color w:val="000000" w:themeColor="text1"/>
          <w:shd w:val="clear" w:color="auto" w:fill="FFFFFF"/>
        </w:rPr>
        <w:t xml:space="preserve">Oleaeuropaea </w:t>
      </w:r>
      <w:r w:rsidRPr="001B2AE1">
        <w:rPr>
          <w:color w:val="000000" w:themeColor="text1"/>
          <w:shd w:val="clear" w:color="auto" w:fill="FFFFFF"/>
        </w:rPr>
        <w:t xml:space="preserve">L and </w:t>
      </w:r>
      <w:sdt>
        <w:sdtPr>
          <w:rPr>
            <w:color w:val="000000"/>
            <w:shd w:val="clear" w:color="auto" w:fill="FFFFFF"/>
          </w:rPr>
          <w:tag w:val="MENDELEY_CITATION_v3_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"/>
          <w:id w:val="-699313705"/>
          <w:placeholder>
            <w:docPart w:val="C796E44BA29C7B49B74F3F722913E754"/>
          </w:placeholder>
        </w:sdtPr>
        <w:sdtContent>
          <w:r w:rsidR="005E3F83" w:rsidRPr="005E3F83">
            <w:rPr>
              <w:color w:val="000000"/>
              <w:shd w:val="clear" w:color="auto" w:fill="FFFFFF"/>
            </w:rPr>
            <w:t>(Ceccarelli et al., 2010)</w:t>
          </w:r>
        </w:sdtContent>
      </w:sdt>
      <w:r w:rsidRPr="001B2AE1">
        <w:rPr>
          <w:color w:val="000000" w:themeColor="text1"/>
          <w:shd w:val="clear" w:color="auto" w:fill="FFFFFF"/>
        </w:rPr>
        <w:t xml:space="preserve"> in </w:t>
      </w:r>
      <w:r w:rsidRPr="001B2AE1">
        <w:rPr>
          <w:i/>
          <w:iCs/>
          <w:color w:val="000000" w:themeColor="text1"/>
          <w:shd w:val="clear" w:color="auto" w:fill="FFFFFF"/>
        </w:rPr>
        <w:t xml:space="preserve">Cynara cardunculus </w:t>
      </w:r>
      <w:r w:rsidRPr="001B2AE1">
        <w:rPr>
          <w:color w:val="000000" w:themeColor="text1"/>
          <w:shd w:val="clear" w:color="auto" w:fill="FFFFFF"/>
        </w:rPr>
        <w:t>L,</w:t>
      </w:r>
      <w:r w:rsidRPr="001B2AE1">
        <w:rPr>
          <w:color w:val="000000" w:themeColor="text1"/>
        </w:rPr>
        <w:t xml:space="preserve"> </w:t>
      </w:r>
      <w:r w:rsidRPr="001B2AE1">
        <w:rPr>
          <w:i/>
          <w:iCs/>
          <w:color w:val="000000" w:themeColor="text1"/>
          <w:shd w:val="clear" w:color="auto" w:fill="FFFFFF"/>
        </w:rPr>
        <w:t>Punica granatum</w:t>
      </w:r>
      <w:r w:rsidRPr="001B2AE1">
        <w:rPr>
          <w:color w:val="000000" w:themeColor="text1"/>
          <w:shd w:val="clear" w:color="auto" w:fill="FFFFFF"/>
        </w:rPr>
        <w:t xml:space="preserve"> L. also contains flavonoids, phenols and tannins </w:t>
      </w:r>
      <w:sdt>
        <w:sdtPr>
          <w:rPr>
            <w:color w:val="000000"/>
            <w:shd w:val="clear" w:color="auto" w:fill="FFFFFF"/>
          </w:rPr>
          <w:tag w:val="MENDELEY_CITATION_v3_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"/>
          <w:id w:val="-1975974016"/>
          <w:placeholder>
            <w:docPart w:val="C796E44BA29C7B49B74F3F722913E754"/>
          </w:placeholder>
        </w:sdtPr>
        <w:sdtContent>
          <w:r w:rsidR="005E3F83" w:rsidRPr="005E3F83">
            <w:rPr>
              <w:color w:val="000000"/>
              <w:shd w:val="clear" w:color="auto" w:fill="FFFFFF"/>
            </w:rPr>
            <w:t>(Silva et al., 2019)</w:t>
          </w:r>
        </w:sdtContent>
      </w:sdt>
      <w:r w:rsidRPr="001B2AE1">
        <w:rPr>
          <w:color w:val="000000" w:themeColor="text1"/>
          <w:shd w:val="clear" w:color="auto" w:fill="FFFFFF"/>
        </w:rPr>
        <w:t>,</w:t>
      </w:r>
      <w:r w:rsidRPr="001B2AE1">
        <w:rPr>
          <w:color w:val="000000" w:themeColor="text1"/>
        </w:rPr>
        <w:t xml:space="preserve"> </w:t>
      </w:r>
      <w:r w:rsidRPr="001B2AE1">
        <w:rPr>
          <w:color w:val="000000" w:themeColor="text1"/>
          <w:shd w:val="clear" w:color="auto" w:fill="FFFFFF"/>
        </w:rPr>
        <w:t xml:space="preserve">total flavonoids in </w:t>
      </w:r>
      <w:r w:rsidRPr="001B2AE1">
        <w:rPr>
          <w:i/>
          <w:iCs/>
          <w:color w:val="000000" w:themeColor="text1"/>
          <w:shd w:val="clear" w:color="auto" w:fill="FFFFFF"/>
        </w:rPr>
        <w:t>Passiflora  alata</w:t>
      </w:r>
      <w:r w:rsidRPr="001B2AE1">
        <w:rPr>
          <w:color w:val="000000" w:themeColor="text1"/>
          <w:shd w:val="clear" w:color="auto" w:fill="FFFFFF"/>
        </w:rPr>
        <w:t xml:space="preserve"> Curtis </w:t>
      </w:r>
      <w:sdt>
        <w:sdtPr>
          <w:rPr>
            <w:color w:val="000000"/>
            <w:shd w:val="clear" w:color="auto" w:fill="FFFFFF"/>
          </w:rPr>
          <w:tag w:val="MENDELEY_CITATION_v3_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"/>
          <w:id w:val="1433096340"/>
          <w:placeholder>
            <w:docPart w:val="C796E44BA29C7B49B74F3F722913E754"/>
          </w:placeholder>
        </w:sdtPr>
        <w:sdtContent>
          <w:r w:rsidR="005E3F83" w:rsidRPr="005E3F83">
            <w:rPr>
              <w:color w:val="000000"/>
              <w:shd w:val="clear" w:color="auto" w:fill="FFFFFF"/>
            </w:rPr>
            <w:t>(M. S. Oliveira et al., 2015)</w:t>
          </w:r>
        </w:sdtContent>
      </w:sdt>
      <w:r w:rsidRPr="001B2AE1">
        <w:rPr>
          <w:color w:val="000000" w:themeColor="text1"/>
          <w:shd w:val="clear" w:color="auto" w:fill="FFFFFF"/>
        </w:rPr>
        <w:t xml:space="preserve">, quercetin in </w:t>
      </w:r>
      <w:r w:rsidRPr="001B2AE1">
        <w:rPr>
          <w:i/>
          <w:iCs/>
          <w:color w:val="000000" w:themeColor="text1"/>
          <w:shd w:val="clear" w:color="auto" w:fill="FFFFFF"/>
        </w:rPr>
        <w:t xml:space="preserve">Vitis vinifera </w:t>
      </w:r>
      <w:r w:rsidRPr="001B2AE1">
        <w:rPr>
          <w:color w:val="000000" w:themeColor="text1"/>
          <w:shd w:val="clear" w:color="auto" w:fill="FFFFFF"/>
        </w:rPr>
        <w:t>L</w:t>
      </w:r>
      <w:r w:rsidRPr="001B2AE1">
        <w:rPr>
          <w:i/>
          <w:iCs/>
          <w:color w:val="000000" w:themeColor="text1"/>
          <w:shd w:val="clear" w:color="auto" w:fill="FFFFFF"/>
        </w:rPr>
        <w:t>.</w:t>
      </w:r>
      <w:r w:rsidRPr="001B2AE1">
        <w:rPr>
          <w:color w:val="000000" w:themeColor="text1"/>
          <w:shd w:val="clear" w:color="auto" w:fill="FFFFFF"/>
        </w:rPr>
        <w:t xml:space="preserve"> </w:t>
      </w:r>
      <w:sdt>
        <w:sdtPr>
          <w:rPr>
            <w:color w:val="000000"/>
            <w:shd w:val="clear" w:color="auto" w:fill="FFFFFF"/>
          </w:rPr>
          <w:tag w:val="MENDELEY_CITATION_v3_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"/>
          <w:id w:val="2086034367"/>
          <w:placeholder>
            <w:docPart w:val="C796E44BA29C7B49B74F3F722913E754"/>
          </w:placeholder>
        </w:sdtPr>
        <w:sdtContent>
          <w:r w:rsidR="005E3F83" w:rsidRPr="005E3F83">
            <w:rPr>
              <w:color w:val="000000"/>
              <w:shd w:val="clear" w:color="auto" w:fill="FFFFFF"/>
            </w:rPr>
            <w:t>(Eftekhari et al., 2012)</w:t>
          </w:r>
        </w:sdtContent>
      </w:sdt>
      <w:r w:rsidRPr="001B2AE1">
        <w:rPr>
          <w:color w:val="000000" w:themeColor="text1"/>
          <w:shd w:val="clear" w:color="auto" w:fill="FFFFFF"/>
        </w:rPr>
        <w:t>,</w:t>
      </w:r>
      <w:r w:rsidR="00C96E93">
        <w:rPr>
          <w:color w:val="000000" w:themeColor="text1"/>
          <w:shd w:val="clear" w:color="auto" w:fill="FFFFFF"/>
        </w:rPr>
        <w:t xml:space="preserve"> </w:t>
      </w:r>
      <w:r w:rsidRPr="001B2AE1">
        <w:rPr>
          <w:color w:val="000000" w:themeColor="text1"/>
          <w:shd w:val="clear" w:color="auto" w:fill="FFFFFF"/>
        </w:rPr>
        <w:t xml:space="preserve">leukopenia in </w:t>
      </w:r>
      <w:r w:rsidRPr="001B2AE1">
        <w:rPr>
          <w:i/>
          <w:iCs/>
          <w:color w:val="000000" w:themeColor="text1"/>
          <w:shd w:val="clear" w:color="auto" w:fill="FFFFFF"/>
        </w:rPr>
        <w:t>Solanum Lycopersicon</w:t>
      </w:r>
      <w:r w:rsidRPr="001B2AE1">
        <w:rPr>
          <w:color w:val="000000" w:themeColor="text1"/>
          <w:shd w:val="clear" w:color="auto" w:fill="FFFFFF"/>
        </w:rPr>
        <w:t xml:space="preserve"> L. </w:t>
      </w:r>
      <w:sdt>
        <w:sdtPr>
          <w:rPr>
            <w:color w:val="000000"/>
            <w:shd w:val="clear" w:color="auto" w:fill="FFFFFF"/>
          </w:rPr>
          <w:tag w:val="MENDELEY_CITATION_v3_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"/>
          <w:id w:val="1020050014"/>
          <w:placeholder>
            <w:docPart w:val="C796E44BA29C7B49B74F3F722913E754"/>
          </w:placeholder>
        </w:sdtPr>
        <w:sdtContent>
          <w:r w:rsidR="005E3F83" w:rsidRPr="005E3F83">
            <w:rPr>
              <w:color w:val="000000"/>
              <w:shd w:val="clear" w:color="auto" w:fill="FFFFFF"/>
            </w:rPr>
            <w:t>(Giovannetti et al., 2012)</w:t>
          </w:r>
        </w:sdtContent>
      </w:sdt>
      <w:r w:rsidRPr="001B2AE1">
        <w:rPr>
          <w:color w:val="000000" w:themeColor="text1"/>
          <w:shd w:val="clear" w:color="auto" w:fill="FFFFFF"/>
        </w:rPr>
        <w:t xml:space="preserve">, and phenols in </w:t>
      </w:r>
      <w:r w:rsidRPr="001B2AE1">
        <w:rPr>
          <w:i/>
          <w:iCs/>
          <w:color w:val="000000" w:themeColor="text1"/>
          <w:shd w:val="clear" w:color="auto" w:fill="FFFFFF"/>
        </w:rPr>
        <w:t>Lactuca sativa</w:t>
      </w:r>
      <w:r w:rsidRPr="001B2AE1">
        <w:rPr>
          <w:color w:val="000000" w:themeColor="text1"/>
          <w:shd w:val="clear" w:color="auto" w:fill="FFFFFF"/>
        </w:rPr>
        <w:t xml:space="preserve"> L. </w:t>
      </w:r>
      <w:sdt>
        <w:sdtPr>
          <w:rPr>
            <w:color w:val="000000"/>
            <w:shd w:val="clear" w:color="auto" w:fill="FFFFFF"/>
          </w:rPr>
          <w:tag w:val="MENDELEY_CITATION_v3_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"/>
          <w:id w:val="-734773712"/>
          <w:placeholder>
            <w:docPart w:val="C796E44BA29C7B49B74F3F722913E754"/>
          </w:placeholder>
        </w:sdtPr>
        <w:sdtContent>
          <w:r w:rsidR="005E3F83" w:rsidRPr="005E3F83">
            <w:rPr>
              <w:color w:val="000000"/>
              <w:shd w:val="clear" w:color="auto" w:fill="FFFFFF"/>
            </w:rPr>
            <w:t>(Baslam et al., 2011)</w:t>
          </w:r>
        </w:sdtContent>
      </w:sdt>
      <w:r w:rsidRPr="001B2AE1">
        <w:rPr>
          <w:color w:val="000000" w:themeColor="text1"/>
          <w:shd w:val="clear" w:color="auto" w:fill="FFFFFF"/>
        </w:rPr>
        <w:t>.</w:t>
      </w:r>
    </w:p>
    <w:p w14:paraId="6B83ABA0" w14:textId="79A2FFFF" w:rsidR="0019038E" w:rsidRPr="001B2AE1" w:rsidRDefault="0019038E" w:rsidP="00534210">
      <w:pPr>
        <w:pStyle w:val="mythesis"/>
      </w:pPr>
      <w:r w:rsidRPr="001B2AE1">
        <w:t xml:space="preserve"> Our finding agrees with </w:t>
      </w:r>
      <w:sdt>
        <w:sdtPr>
          <w:rPr>
            <w:color w:val="000000"/>
          </w:rPr>
          <w:tag w:val="MENDELEY_CITATION_v3_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"/>
          <w:id w:val="-1771685725"/>
          <w:placeholder>
            <w:docPart w:val="C796E44BA29C7B49B74F3F722913E754"/>
          </w:placeholder>
        </w:sdtPr>
        <w:sdtContent>
          <w:r w:rsidR="005E3F83" w:rsidRPr="005E3F83">
            <w:rPr>
              <w:color w:val="000000"/>
            </w:rPr>
            <w:t>(Silva et al., 2019)</w:t>
          </w:r>
        </w:sdtContent>
      </w:sdt>
      <w:r w:rsidRPr="001B2AE1">
        <w:t xml:space="preserve"> who found that </w:t>
      </w:r>
      <w:r w:rsidRPr="001B2AE1">
        <w:rPr>
          <w:shd w:val="clear" w:color="auto" w:fill="FFFFFF"/>
        </w:rPr>
        <w:t xml:space="preserve">AMF improved the metabolic state of </w:t>
      </w:r>
      <w:r w:rsidRPr="001B2AE1">
        <w:rPr>
          <w:i/>
          <w:shd w:val="clear" w:color="auto" w:fill="FFFFFF"/>
        </w:rPr>
        <w:t>Z. mays</w:t>
      </w:r>
      <w:r w:rsidRPr="001B2AE1">
        <w:rPr>
          <w:shd w:val="clear" w:color="auto" w:fill="FFFFFF"/>
        </w:rPr>
        <w:t xml:space="preserve"> by increasing the of secondary metabolites compounds</w:t>
      </w:r>
      <w:r w:rsidR="00367CB3">
        <w:rPr>
          <w:shd w:val="clear" w:color="auto" w:fill="FFFFFF"/>
        </w:rPr>
        <w:t>.</w:t>
      </w:r>
      <w:r w:rsidRPr="001B2AE1">
        <w:rPr>
          <w:shd w:val="clear" w:color="auto" w:fill="FFFFFF"/>
        </w:rPr>
        <w:t xml:space="preserve"> </w:t>
      </w:r>
      <w:sdt>
        <w:sdtPr>
          <w:rPr>
            <w:color w:val="000000"/>
            <w:shd w:val="clear" w:color="auto" w:fill="FFFFFF"/>
          </w:rPr>
          <w:tag w:val="MENDELEY_CITATION_v3_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"/>
          <w:id w:val="-950394368"/>
          <w:placeholder>
            <w:docPart w:val="C796E44BA29C7B49B74F3F722913E754"/>
          </w:placeholder>
        </w:sdtPr>
        <w:sdtContent>
          <w:r w:rsidR="005E3F83" w:rsidRPr="005E3F83">
            <w:rPr>
              <w:color w:val="000000"/>
              <w:shd w:val="clear" w:color="auto" w:fill="FFFFFF"/>
            </w:rPr>
            <w:t>(Oliveira et al., 2013)</w:t>
          </w:r>
        </w:sdtContent>
      </w:sdt>
      <w:r w:rsidRPr="001B2AE1">
        <w:rPr>
          <w:shd w:val="clear" w:color="auto" w:fill="FFFFFF"/>
        </w:rPr>
        <w:t xml:space="preserve"> found a similar results in the aerial part of mycorrhizal seedlings of </w:t>
      </w:r>
      <w:r w:rsidRPr="001B2AE1">
        <w:rPr>
          <w:i/>
          <w:shd w:val="clear" w:color="auto" w:fill="FFFFFF"/>
        </w:rPr>
        <w:t>Myracrodruon urundeuva</w:t>
      </w:r>
      <w:r w:rsidRPr="001B2AE1">
        <w:t xml:space="preserve"> </w:t>
      </w:r>
      <w:r w:rsidRPr="001B2AE1">
        <w:rPr>
          <w:shd w:val="clear" w:color="auto" w:fill="FFFFFF"/>
        </w:rPr>
        <w:t>inoculated with AMF.</w:t>
      </w:r>
    </w:p>
    <w:p w14:paraId="355C18E1" w14:textId="357AE3E7" w:rsidR="0019038E" w:rsidRPr="001B2AE1" w:rsidRDefault="0019038E" w:rsidP="00534210">
      <w:pPr>
        <w:pStyle w:val="mythesis"/>
      </w:pPr>
      <w:r w:rsidRPr="001B2AE1">
        <w:rPr>
          <w:shd w:val="clear" w:color="auto" w:fill="FFFFFF"/>
        </w:rPr>
        <w:lastRenderedPageBreak/>
        <w:t xml:space="preserve">The foliar flavonoids increased by plants inoculated with AMF in relation to the control.  </w:t>
      </w:r>
      <w:sdt>
        <w:sdtPr>
          <w:rPr>
            <w:color w:val="000000"/>
            <w:shd w:val="clear" w:color="auto" w:fill="FFFFFF"/>
          </w:rPr>
          <w:tag w:val="MENDELEY_CITATION_v3_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"/>
          <w:id w:val="1139157001"/>
          <w:placeholder>
            <w:docPart w:val="C796E44BA29C7B49B74F3F722913E754"/>
          </w:placeholder>
        </w:sdtPr>
        <w:sdtContent>
          <w:r w:rsidR="005E3F83" w:rsidRPr="005E3F83">
            <w:rPr>
              <w:color w:val="000000"/>
              <w:shd w:val="clear" w:color="auto" w:fill="FFFFFF"/>
            </w:rPr>
            <w:t>(Silva et al., 2019)</w:t>
          </w:r>
        </w:sdtContent>
      </w:sdt>
      <w:r w:rsidRPr="001B2AE1">
        <w:rPr>
          <w:shd w:val="clear" w:color="auto" w:fill="FFFFFF"/>
        </w:rPr>
        <w:t xml:space="preserve"> found that in </w:t>
      </w:r>
      <w:r w:rsidRPr="001B2AE1">
        <w:rPr>
          <w:i/>
          <w:shd w:val="clear" w:color="auto" w:fill="FFFFFF"/>
        </w:rPr>
        <w:t>P. granatum</w:t>
      </w:r>
      <w:r w:rsidRPr="001B2AE1">
        <w:rPr>
          <w:shd w:val="clear" w:color="auto" w:fill="FFFFFF"/>
        </w:rPr>
        <w:t xml:space="preserve">, inoculation with </w:t>
      </w:r>
      <w:r w:rsidRPr="001B2AE1">
        <w:rPr>
          <w:i/>
          <w:shd w:val="clear" w:color="auto" w:fill="FFFFFF"/>
        </w:rPr>
        <w:t>G. albida</w:t>
      </w:r>
      <w:r w:rsidRPr="001B2AE1">
        <w:rPr>
          <w:shd w:val="clear" w:color="auto" w:fill="FFFFFF"/>
        </w:rPr>
        <w:t xml:space="preserve"> strongly increased the concentration of flavonoids of 410.81% in relation to the control.</w:t>
      </w:r>
    </w:p>
    <w:p w14:paraId="7F7BE2E9" w14:textId="322E4890" w:rsidR="0019038E" w:rsidRPr="001B2AE1" w:rsidRDefault="00000000" w:rsidP="00534210">
      <w:pPr>
        <w:pStyle w:val="mythesis"/>
        <w:rPr>
          <w:rFonts w:eastAsiaTheme="minorHAnsi"/>
        </w:rPr>
      </w:pPr>
      <w:sdt>
        <w:sdtPr>
          <w:rPr>
            <w:rFonts w:eastAsiaTheme="minorHAnsi"/>
            <w:color w:val="000000"/>
          </w:rPr>
          <w:tag w:val="MENDELEY_CITATION_v3_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"/>
          <w:id w:val="-1794041052"/>
          <w:placeholder>
            <w:docPart w:val="C796E44BA29C7B49B74F3F722913E754"/>
          </w:placeholder>
        </w:sdtPr>
        <w:sdtContent>
          <w:r w:rsidR="005E3F83" w:rsidRPr="005E3F83">
            <w:rPr>
              <w:rFonts w:eastAsiaTheme="minorHAnsi"/>
              <w:color w:val="000000"/>
            </w:rPr>
            <w:t>(Araim et al., 2009)</w:t>
          </w:r>
        </w:sdtContent>
      </w:sdt>
      <w:r w:rsidR="0019038E" w:rsidRPr="001B2AE1">
        <w:rPr>
          <w:rFonts w:eastAsiaTheme="minorHAnsi"/>
        </w:rPr>
        <w:t xml:space="preserve"> suggested that AMF increased protein and mainly phenolic contents inside the roots. Therefore, the selected traits of AMF could play a major role in optimizing </w:t>
      </w:r>
      <w:r w:rsidR="0019038E" w:rsidRPr="001B2AE1">
        <w:rPr>
          <w:rFonts w:eastAsiaTheme="minorHAnsi"/>
          <w:i/>
        </w:rPr>
        <w:t>Zea mays</w:t>
      </w:r>
      <w:r w:rsidR="0019038E" w:rsidRPr="001B2AE1">
        <w:rPr>
          <w:rFonts w:eastAsiaTheme="minorHAnsi"/>
        </w:rPr>
        <w:t xml:space="preserve"> growth by promoting secondary phytomedicinal metabolite production.</w:t>
      </w:r>
    </w:p>
    <w:p w14:paraId="4EBD0C44" w14:textId="33B5DC59" w:rsidR="0019038E" w:rsidRPr="00534210" w:rsidRDefault="0019038E" w:rsidP="00534210">
      <w:pPr>
        <w:pStyle w:val="mythesis"/>
        <w:rPr>
          <w:rFonts w:eastAsiaTheme="minorHAnsi"/>
        </w:rPr>
      </w:pPr>
      <w:r w:rsidRPr="00534210">
        <w:rPr>
          <w:rFonts w:eastAsiaTheme="minorHAnsi"/>
        </w:rPr>
        <w:t xml:space="preserve"> </w:t>
      </w:r>
      <w:sdt>
        <w:sdtPr>
          <w:rPr>
            <w:rFonts w:eastAsiaTheme="minorHAnsi"/>
            <w:color w:val="000000"/>
          </w:rPr>
          <w:tag w:val="MENDELEY_CITATION_v3_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"/>
          <w:id w:val="530156046"/>
          <w:placeholder>
            <w:docPart w:val="C796E44BA29C7B49B74F3F722913E754"/>
          </w:placeholder>
        </w:sdtPr>
        <w:sdtContent>
          <w:r w:rsidR="005E3F83" w:rsidRPr="005E3F83">
            <w:rPr>
              <w:rFonts w:eastAsiaTheme="minorHAnsi"/>
              <w:color w:val="000000"/>
            </w:rPr>
            <w:t>(Araim et al., 2009)</w:t>
          </w:r>
        </w:sdtContent>
      </w:sdt>
      <w:r w:rsidRPr="00534210">
        <w:rPr>
          <w:rFonts w:eastAsiaTheme="minorHAnsi"/>
        </w:rPr>
        <w:t xml:space="preserve"> proved in their study that the increase of proteins in the mycorrhizal treated roots of </w:t>
      </w:r>
      <w:r w:rsidRPr="00237191">
        <w:rPr>
          <w:rFonts w:eastAsiaTheme="minorHAnsi"/>
          <w:i/>
          <w:iCs w:val="0"/>
        </w:rPr>
        <w:t>E. purpurea</w:t>
      </w:r>
      <w:r w:rsidRPr="00534210">
        <w:rPr>
          <w:rFonts w:eastAsiaTheme="minorHAnsi"/>
        </w:rPr>
        <w:t xml:space="preserve"> is in accordance with other studies on maize </w:t>
      </w:r>
      <w:sdt>
        <w:sdtPr>
          <w:rPr>
            <w:rFonts w:eastAsiaTheme="minorHAnsi"/>
            <w:color w:val="000000"/>
          </w:rPr>
          <w:tag w:val="MENDELEY_CITATION_v3_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"/>
          <w:id w:val="-1282253439"/>
          <w:placeholder>
            <w:docPart w:val="C796E44BA29C7B49B74F3F722913E754"/>
          </w:placeholder>
        </w:sdtPr>
        <w:sdtContent>
          <w:r w:rsidR="005E3F83" w:rsidRPr="005E3F83">
            <w:rPr>
              <w:rFonts w:eastAsiaTheme="minorHAnsi"/>
              <w:color w:val="000000"/>
            </w:rPr>
            <w:t>(Boucher et al., 1999)</w:t>
          </w:r>
        </w:sdtContent>
      </w:sdt>
      <w:r w:rsidRPr="00534210">
        <w:rPr>
          <w:rFonts w:eastAsiaTheme="minorHAnsi"/>
        </w:rPr>
        <w:t xml:space="preserve">. In </w:t>
      </w:r>
      <w:r w:rsidRPr="00237191">
        <w:rPr>
          <w:rFonts w:eastAsiaTheme="minorHAnsi"/>
          <w:i/>
          <w:iCs w:val="0"/>
        </w:rPr>
        <w:t>E. purpurea</w:t>
      </w:r>
      <w:r w:rsidRPr="00534210">
        <w:rPr>
          <w:rFonts w:eastAsiaTheme="minorHAnsi"/>
        </w:rPr>
        <w:t xml:space="preserve">, the AM root colonization factor led to substantially increasing levels in most phenolics, especially cynarin and cichoric caftarin, and chlorogenic acids. Moreover, the content of these phenols was significantly increased in the root and shoots because of the enhanced biomass with AM colonization. These results correspond to other studies </w:t>
      </w:r>
      <w:sdt>
        <w:sdtPr>
          <w:rPr>
            <w:rFonts w:eastAsiaTheme="minorHAnsi"/>
            <w:color w:val="000000"/>
          </w:rPr>
          <w:tag w:val="MENDELEY_CITATION_v3_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"/>
          <w:id w:val="-681041281"/>
          <w:placeholder>
            <w:docPart w:val="C796E44BA29C7B49B74F3F722913E754"/>
          </w:placeholder>
        </w:sdtPr>
        <w:sdtContent>
          <w:r w:rsidR="005E3F83" w:rsidRPr="005E3F83">
            <w:rPr>
              <w:rFonts w:eastAsiaTheme="minorHAnsi"/>
              <w:color w:val="000000"/>
            </w:rPr>
            <w:t>,(Fester et al., 1999)</w:t>
          </w:r>
        </w:sdtContent>
      </w:sdt>
      <w:r w:rsidRPr="00534210">
        <w:rPr>
          <w:rFonts w:eastAsiaTheme="minorHAnsi"/>
        </w:rPr>
        <w:t xml:space="preserve"> indicated that AM colonization induces a synthesis in roots or in shoots of barley and wheat and tobacco of secondary compounds (phenol, cyclohexenone derivatives and bloumenin). And agree with our results which showed that AM colonization significantly increased the growth and most of the phenolics in </w:t>
      </w:r>
      <w:r w:rsidRPr="00237191">
        <w:rPr>
          <w:rFonts w:eastAsiaTheme="minorHAnsi"/>
          <w:i/>
          <w:iCs w:val="0"/>
        </w:rPr>
        <w:t>Zea mays</w:t>
      </w:r>
      <w:r w:rsidRPr="00534210">
        <w:rPr>
          <w:rFonts w:eastAsiaTheme="minorHAnsi"/>
        </w:rPr>
        <w:t xml:space="preserve"> even in shoot or root found in form of flavonoids, isoflavonoids, terpenoids and carotenoids. In the plants of </w:t>
      </w:r>
      <w:r w:rsidRPr="007D6978">
        <w:rPr>
          <w:rFonts w:eastAsiaTheme="minorHAnsi"/>
          <w:i/>
          <w:iCs w:val="0"/>
        </w:rPr>
        <w:t>Zea mays</w:t>
      </w:r>
      <w:r w:rsidRPr="00534210">
        <w:rPr>
          <w:rFonts w:eastAsiaTheme="minorHAnsi"/>
        </w:rPr>
        <w:t xml:space="preserve">, anthocyanin accumulation was promoted by low temperature </w:t>
      </w:r>
      <w:sdt>
        <w:sdtPr>
          <w:rPr>
            <w:rFonts w:eastAsiaTheme="minorHAnsi"/>
            <w:color w:val="000000"/>
          </w:rPr>
          <w:tag w:val="MENDELEY_CITATION_v3_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"/>
          <w:id w:val="-1225527214"/>
          <w:placeholder>
            <w:docPart w:val="C796E44BA29C7B49B74F3F722913E754"/>
          </w:placeholder>
        </w:sdtPr>
        <w:sdtContent>
          <w:r w:rsidR="005E3F83" w:rsidRPr="005E3F83">
            <w:rPr>
              <w:rFonts w:eastAsiaTheme="minorHAnsi"/>
              <w:color w:val="000000"/>
            </w:rPr>
            <w:t>(Zhao et al., 2016).</w:t>
          </w:r>
        </w:sdtContent>
      </w:sdt>
    </w:p>
    <w:p w14:paraId="458C5DDA" w14:textId="42B9B6BF" w:rsidR="0019038E" w:rsidRDefault="0019038E" w:rsidP="0019038E">
      <w:pPr>
        <w:pStyle w:val="Heading3"/>
      </w:pPr>
      <w:bookmarkStart w:id="167" w:name="_Toc83751490"/>
      <w:r w:rsidRPr="001B2AE1">
        <w:t>4.4.3. Role of terpenes or terpenoids (</w:t>
      </w:r>
      <w:r w:rsidR="005A6B0E" w:rsidRPr="001B2AE1">
        <w:t>phytohormones</w:t>
      </w:r>
      <w:r w:rsidRPr="001B2AE1">
        <w:t>) in plant secondary metabolite</w:t>
      </w:r>
      <w:bookmarkEnd w:id="167"/>
    </w:p>
    <w:p w14:paraId="69A49A38" w14:textId="77777777" w:rsidR="00075573" w:rsidRPr="00075573" w:rsidRDefault="00075573" w:rsidP="00075573"/>
    <w:p w14:paraId="34F9432C" w14:textId="7419E9A5" w:rsidR="0019038E" w:rsidRPr="00806C98" w:rsidRDefault="0019038E" w:rsidP="00075573">
      <w:pPr>
        <w:pStyle w:val="mythesis"/>
        <w:rPr>
          <w:rFonts w:eastAsiaTheme="minorHAnsi"/>
        </w:rPr>
      </w:pPr>
      <w:r w:rsidRPr="001B2AE1">
        <w:rPr>
          <w:rFonts w:eastAsiaTheme="minorHAnsi"/>
        </w:rPr>
        <w:t xml:space="preserve"> Multiple phytohormones were obtained in our study in the shoots and roots of the plant such as a zeatien, progesterone, traumatin, </w:t>
      </w:r>
      <w:r w:rsidRPr="00806C98">
        <w:rPr>
          <w:rFonts w:eastAsiaTheme="minorHAnsi"/>
        </w:rPr>
        <w:t>jasmonic acid and salicylic acid. most of these phytohormones play an important role in the plant</w:t>
      </w:r>
      <w:r w:rsidR="00EA5345" w:rsidRPr="00806C98">
        <w:rPr>
          <w:rFonts w:eastAsiaTheme="minorHAnsi"/>
        </w:rPr>
        <w:t>’s</w:t>
      </w:r>
      <w:r w:rsidRPr="00806C98">
        <w:rPr>
          <w:rFonts w:eastAsiaTheme="minorHAnsi"/>
        </w:rPr>
        <w:t xml:space="preserve"> defense against the pathogens. </w:t>
      </w:r>
    </w:p>
    <w:p w14:paraId="6C047CCB" w14:textId="44B1D5E1" w:rsidR="0019038E" w:rsidRPr="00075573" w:rsidRDefault="0019038E" w:rsidP="00075573">
      <w:pPr>
        <w:pStyle w:val="mythesis"/>
        <w:rPr>
          <w:rFonts w:eastAsiaTheme="minorHAnsi"/>
        </w:rPr>
      </w:pPr>
      <w:r w:rsidRPr="00806C98">
        <w:rPr>
          <w:rFonts w:eastAsiaTheme="minorHAnsi"/>
        </w:rPr>
        <w:t xml:space="preserve">  The most prevalent and structurally diverse group of secondary plant metabolites are terpenes or terpenoids, which ha</w:t>
      </w:r>
      <w:r w:rsidR="006346F6" w:rsidRPr="00806C98">
        <w:rPr>
          <w:rFonts w:eastAsiaTheme="minorHAnsi"/>
        </w:rPr>
        <w:t>ve</w:t>
      </w:r>
      <w:r w:rsidRPr="00806C98">
        <w:rPr>
          <w:rFonts w:eastAsiaTheme="minorHAnsi"/>
        </w:rPr>
        <w:t xml:space="preserve"> an essential role in the pathogen resistance </w:t>
      </w:r>
      <w:sdt>
        <w:sdtPr>
          <w:rPr>
            <w:rFonts w:eastAsiaTheme="minorHAnsi"/>
          </w:rPr>
          <w:tag w:val="MENDELEY_CITATION_v3_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"/>
          <w:id w:val="-1090386198"/>
          <w:placeholder>
            <w:docPart w:val="C796E44BA29C7B49B74F3F722913E754"/>
          </w:placeholder>
        </w:sdtPr>
        <w:sdtContent>
          <w:r w:rsidR="005E3F83" w:rsidRPr="00806C98">
            <w:rPr>
              <w:rFonts w:eastAsiaTheme="minorHAnsi"/>
            </w:rPr>
            <w:t>(Dubcovsky, 2004; Paschold et al., 2006</w:t>
          </w:r>
        </w:sdtContent>
      </w:sdt>
      <w:r w:rsidRPr="00806C98">
        <w:rPr>
          <w:rFonts w:eastAsiaTheme="minorHAnsi"/>
        </w:rPr>
        <w:t xml:space="preserve">). Terpenoids are present </w:t>
      </w:r>
      <w:r w:rsidRPr="00075573">
        <w:rPr>
          <w:rFonts w:eastAsiaTheme="minorHAnsi"/>
        </w:rPr>
        <w:t xml:space="preserve">in more than 23 000 individual structures in plants, typically formed in vegetative tissues, flowers, and, rarely in roots </w:t>
      </w:r>
      <w:sdt>
        <w:sdtPr>
          <w:rPr>
            <w:rFonts w:eastAsiaTheme="minorHAnsi"/>
            <w:color w:val="000000"/>
          </w:rPr>
          <w:tag w:val="MENDELEY_CITATION_v3_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"/>
          <w:id w:val="-167411546"/>
          <w:placeholder>
            <w:docPart w:val="C796E44BA29C7B49B74F3F722913E754"/>
          </w:placeholder>
        </w:sdtPr>
        <w:sdtContent>
          <w:r w:rsidR="005E3F83" w:rsidRPr="005E3F83">
            <w:rPr>
              <w:rFonts w:eastAsiaTheme="minorHAnsi"/>
              <w:color w:val="000000"/>
            </w:rPr>
            <w:t>(Dudareva et al., 2004)</w:t>
          </w:r>
        </w:sdtContent>
      </w:sdt>
      <w:r w:rsidRPr="00075573">
        <w:rPr>
          <w:rFonts w:eastAsiaTheme="minorHAnsi"/>
        </w:rPr>
        <w:t>.</w:t>
      </w:r>
      <w:r w:rsidR="00C649B1">
        <w:rPr>
          <w:rFonts w:eastAsiaTheme="minorHAnsi"/>
        </w:rPr>
        <w:t xml:space="preserve"> </w:t>
      </w:r>
      <w:r w:rsidRPr="00075573">
        <w:rPr>
          <w:rFonts w:eastAsiaTheme="minorHAnsi"/>
        </w:rPr>
        <w:t xml:space="preserve">Terpenes or terpenoids group includes several hormones compounds, terpenes classified, </w:t>
      </w:r>
      <w:r w:rsidRPr="00075573">
        <w:rPr>
          <w:rFonts w:eastAsiaTheme="minorHAnsi"/>
        </w:rPr>
        <w:lastRenderedPageBreak/>
        <w:t xml:space="preserve">according to their number of five-carbon units, and synthesized in the (acetate/mevalonate pathway) if produced in the cytosol and endoplasmic reticulum and synthesized in (glyceraldehyde phosphate/pyruvate pathway) if produced in plastids </w:t>
      </w:r>
      <w:sdt>
        <w:sdtPr>
          <w:rPr>
            <w:rFonts w:eastAsiaTheme="minorHAnsi"/>
            <w:color w:val="000000"/>
          </w:rPr>
          <w:tag w:val="MENDELEY_CITATION_v3_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"/>
          <w:id w:val="1215618442"/>
          <w:placeholder>
            <w:docPart w:val="C796E44BA29C7B49B74F3F722913E754"/>
          </w:placeholder>
        </w:sdtPr>
        <w:sdtContent>
          <w:r w:rsidR="0006280E" w:rsidRPr="0006280E">
            <w:rPr>
              <w:rFonts w:eastAsiaTheme="minorHAnsi"/>
              <w:color w:val="000000"/>
            </w:rPr>
            <w:t>(Croteau et al., 2000).</w:t>
          </w:r>
        </w:sdtContent>
      </w:sdt>
      <w:r w:rsidRPr="00075573">
        <w:rPr>
          <w:rFonts w:eastAsiaTheme="minorHAnsi"/>
        </w:rPr>
        <w:t xml:space="preserve"> </w:t>
      </w:r>
    </w:p>
    <w:p w14:paraId="7D7E3A38" w14:textId="1A6B101D" w:rsidR="00047920" w:rsidRPr="00806C98" w:rsidRDefault="0019038E" w:rsidP="00047920">
      <w:pPr>
        <w:pStyle w:val="mythesis"/>
        <w:rPr>
          <w:rFonts w:eastAsiaTheme="minorHAnsi"/>
        </w:rPr>
      </w:pPr>
      <w:r w:rsidRPr="00075573">
        <w:rPr>
          <w:rFonts w:eastAsiaTheme="minorHAnsi"/>
        </w:rPr>
        <w:t xml:space="preserve">  Phytohormones like   jasmonic acid (JA), gibberellins (GA), abscisic acid (ABA), auxins, and cytokinins (CK), Play a role </w:t>
      </w:r>
      <w:r w:rsidRPr="00806C98">
        <w:rPr>
          <w:rFonts w:eastAsiaTheme="minorHAnsi"/>
        </w:rPr>
        <w:t xml:space="preserve">in </w:t>
      </w:r>
      <w:r w:rsidR="00210E49" w:rsidRPr="00806C98">
        <w:rPr>
          <w:rFonts w:eastAsiaTheme="minorHAnsi"/>
        </w:rPr>
        <w:t xml:space="preserve">the </w:t>
      </w:r>
      <w:r w:rsidRPr="00806C98">
        <w:rPr>
          <w:rFonts w:eastAsiaTheme="minorHAnsi"/>
        </w:rPr>
        <w:t xml:space="preserve">interaction between the AMF and plant.  for example, salicylic acid (SA) is involved in the establishment of plant systemic acquired resistance following pathogen pre-infection </w:t>
      </w:r>
      <w:sdt>
        <w:sdtPr>
          <w:rPr>
            <w:rFonts w:eastAsiaTheme="minorHAnsi"/>
          </w:rPr>
          <w:tag w:val="MENDELEY_CITATION_v3_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"/>
          <w:id w:val="-1933812097"/>
          <w:placeholder>
            <w:docPart w:val="C796E44BA29C7B49B74F3F722913E754"/>
          </w:placeholder>
        </w:sdtPr>
        <w:sdtContent>
          <w:r w:rsidR="0006280E" w:rsidRPr="00806C98">
            <w:rPr>
              <w:rFonts w:eastAsiaTheme="minorHAnsi"/>
            </w:rPr>
            <w:t>(Ludwig-Müller, 2000)</w:t>
          </w:r>
        </w:sdtContent>
      </w:sdt>
      <w:r w:rsidRPr="00806C98">
        <w:rPr>
          <w:rFonts w:eastAsiaTheme="minorHAnsi"/>
        </w:rPr>
        <w:t xml:space="preserve">, also the idea of JA participation in mycorrhization has also been pinched first from application experiments, when </w:t>
      </w:r>
      <w:sdt>
        <w:sdtPr>
          <w:rPr>
            <w:rFonts w:eastAsiaTheme="minorHAnsi"/>
          </w:rPr>
          <w:tag w:val="MENDELEY_CITATION_v3_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"/>
          <w:id w:val="833885642"/>
          <w:placeholder>
            <w:docPart w:val="C796E44BA29C7B49B74F3F722913E754"/>
          </w:placeholder>
        </w:sdtPr>
        <w:sdtContent>
          <w:r w:rsidR="0006280E" w:rsidRPr="00806C98">
            <w:rPr>
              <w:rFonts w:eastAsiaTheme="minorHAnsi"/>
            </w:rPr>
            <w:t>(Regvar et al., 1996)</w:t>
          </w:r>
        </w:sdtContent>
      </w:sdt>
      <w:r w:rsidRPr="00806C98">
        <w:rPr>
          <w:rFonts w:eastAsiaTheme="minorHAnsi"/>
        </w:rPr>
        <w:t xml:space="preserve"> tested the inoculation of  </w:t>
      </w:r>
      <w:r w:rsidRPr="00806C98">
        <w:rPr>
          <w:rFonts w:eastAsiaTheme="minorHAnsi"/>
          <w:i/>
          <w:iCs w:val="0"/>
        </w:rPr>
        <w:t>A. sativum</w:t>
      </w:r>
      <w:r w:rsidRPr="00806C98">
        <w:rPr>
          <w:rFonts w:eastAsiaTheme="minorHAnsi"/>
        </w:rPr>
        <w:t xml:space="preserve"> with low concentrations of JA that stimulated mycorrhizal development, on the other hand when </w:t>
      </w:r>
      <w:sdt>
        <w:sdtPr>
          <w:rPr>
            <w:rFonts w:eastAsiaTheme="minorHAnsi"/>
          </w:rPr>
          <w:tag w:val="MENDELEY_CITATION_v3_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"/>
          <w:id w:val="1381820013"/>
          <w:placeholder>
            <w:docPart w:val="C796E44BA29C7B49B74F3F722913E754"/>
          </w:placeholder>
        </w:sdtPr>
        <w:sdtContent>
          <w:r w:rsidR="0006280E" w:rsidRPr="00806C98">
            <w:rPr>
              <w:rFonts w:eastAsiaTheme="minorHAnsi"/>
            </w:rPr>
            <w:t>(Ludwig-Müller et al., 2002)</w:t>
          </w:r>
        </w:sdtContent>
      </w:sdt>
      <w:r w:rsidRPr="00806C98">
        <w:rPr>
          <w:rFonts w:eastAsiaTheme="minorHAnsi"/>
        </w:rPr>
        <w:t xml:space="preserve"> inoculated the leaves of </w:t>
      </w:r>
      <w:r w:rsidRPr="00806C98">
        <w:rPr>
          <w:rFonts w:eastAsiaTheme="minorHAnsi"/>
          <w:i/>
          <w:iCs w:val="0"/>
        </w:rPr>
        <w:t>Tropus majus</w:t>
      </w:r>
      <w:r w:rsidRPr="00806C98">
        <w:rPr>
          <w:rFonts w:eastAsiaTheme="minorHAnsi"/>
        </w:rPr>
        <w:t xml:space="preserve">, </w:t>
      </w:r>
      <w:r w:rsidRPr="00806C98">
        <w:rPr>
          <w:rFonts w:eastAsiaTheme="minorHAnsi"/>
          <w:i/>
          <w:iCs w:val="0"/>
        </w:rPr>
        <w:t>Carica papaya</w:t>
      </w:r>
      <w:r w:rsidRPr="00806C98">
        <w:rPr>
          <w:rFonts w:eastAsiaTheme="minorHAnsi"/>
        </w:rPr>
        <w:t xml:space="preserve"> and </w:t>
      </w:r>
      <w:r w:rsidRPr="00806C98">
        <w:rPr>
          <w:rFonts w:eastAsiaTheme="minorHAnsi"/>
          <w:i/>
          <w:iCs w:val="0"/>
        </w:rPr>
        <w:t>Cucumis sativus</w:t>
      </w:r>
      <w:r w:rsidRPr="00806C98">
        <w:rPr>
          <w:rFonts w:eastAsiaTheme="minorHAnsi"/>
        </w:rPr>
        <w:t xml:space="preserve"> with high concentrations</w:t>
      </w:r>
      <w:r w:rsidR="00075573" w:rsidRPr="00806C98">
        <w:rPr>
          <w:rFonts w:eastAsiaTheme="minorHAnsi"/>
        </w:rPr>
        <w:t xml:space="preserve"> </w:t>
      </w:r>
      <w:r w:rsidRPr="00806C98">
        <w:rPr>
          <w:rFonts w:eastAsiaTheme="minorHAnsi"/>
        </w:rPr>
        <w:t xml:space="preserve">of JA, it reduced the mycorrhization of roots dramatically. and that may be due to the difference in plant species or in AMF species </w:t>
      </w:r>
      <w:sdt>
        <w:sdtPr>
          <w:rPr>
            <w:rFonts w:eastAsiaTheme="minorHAnsi"/>
          </w:rPr>
          <w:tag w:val="MENDELEY_CITATION_v3_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"/>
          <w:id w:val="1439724627"/>
          <w:placeholder>
            <w:docPart w:val="C796E44BA29C7B49B74F3F722913E754"/>
          </w:placeholder>
        </w:sdtPr>
        <w:sdtEndPr>
          <w:rPr>
            <w:rFonts w:eastAsia="Times New Roman"/>
          </w:rPr>
        </w:sdtEndPr>
        <w:sdtContent>
          <w:r w:rsidR="00E47779" w:rsidRPr="00806C98">
            <w:t>(Vierheilig, 1998)</w:t>
          </w:r>
        </w:sdtContent>
      </w:sdt>
      <w:r w:rsidRPr="00806C98">
        <w:t xml:space="preserve">. </w:t>
      </w:r>
      <w:r w:rsidR="007C1CAB" w:rsidRPr="00806C98">
        <w:rPr>
          <w:rFonts w:eastAsiaTheme="minorHAnsi"/>
        </w:rPr>
        <w:t>T</w:t>
      </w:r>
      <w:r w:rsidRPr="00806C98">
        <w:rPr>
          <w:rFonts w:eastAsiaTheme="minorHAnsi"/>
        </w:rPr>
        <w:t>hese results show</w:t>
      </w:r>
      <w:r w:rsidR="007C1CAB" w:rsidRPr="00806C98">
        <w:rPr>
          <w:rFonts w:eastAsiaTheme="minorHAnsi"/>
        </w:rPr>
        <w:t>ed</w:t>
      </w:r>
      <w:r w:rsidRPr="00806C98">
        <w:rPr>
          <w:rFonts w:eastAsiaTheme="minorHAnsi"/>
        </w:rPr>
        <w:t xml:space="preserve"> that JA has a concentration-dependent effect on mycorrhizal plants, mycorrhization may be controlled by JA homeostasis inside the plant.</w:t>
      </w:r>
      <w:r w:rsidRPr="00806C98">
        <w:t xml:space="preserve"> </w:t>
      </w:r>
      <w:r w:rsidRPr="00806C98">
        <w:rPr>
          <w:rFonts w:eastAsiaTheme="minorHAnsi"/>
        </w:rPr>
        <w:t>More recent findings show</w:t>
      </w:r>
      <w:r w:rsidR="007C1CAB" w:rsidRPr="00806C98">
        <w:rPr>
          <w:rFonts w:eastAsiaTheme="minorHAnsi"/>
        </w:rPr>
        <w:t>ed</w:t>
      </w:r>
      <w:r w:rsidRPr="00806C98">
        <w:rPr>
          <w:rFonts w:eastAsiaTheme="minorHAnsi"/>
        </w:rPr>
        <w:t xml:space="preserve"> that JA levels are higher in mycorrhizal plant roots than in non-mycorrhizal plant roots </w:t>
      </w:r>
      <w:sdt>
        <w:sdtPr>
          <w:rPr>
            <w:rFonts w:eastAsiaTheme="minorHAnsi"/>
          </w:rPr>
          <w:tag w:val="MENDELEY_CITATION_v3_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"/>
          <w:id w:val="1777286565"/>
          <w:placeholder>
            <w:docPart w:val="C796E44BA29C7B49B74F3F722913E754"/>
          </w:placeholder>
        </w:sdtPr>
        <w:sdtContent>
          <w:r w:rsidR="00E47779" w:rsidRPr="00806C98">
            <w:t>(Hause et al., 2002; Meixner et al., 2005; Stumpe et al., 2005; Vierheilig &amp; Piché, 2002)</w:t>
          </w:r>
        </w:sdtContent>
      </w:sdt>
      <w:r w:rsidRPr="00806C98">
        <w:rPr>
          <w:rFonts w:eastAsiaTheme="minorHAnsi"/>
        </w:rPr>
        <w:t>.</w:t>
      </w:r>
      <w:r w:rsidR="00047920" w:rsidRPr="00806C98">
        <w:rPr>
          <w:rFonts w:eastAsiaTheme="minorHAnsi"/>
        </w:rPr>
        <w:t xml:space="preserve"> This confirmed that jasmonates can have a role in AM development.</w:t>
      </w:r>
    </w:p>
    <w:p w14:paraId="0AC8A69F" w14:textId="6E8C60D0" w:rsidR="0019038E" w:rsidRPr="00075573" w:rsidRDefault="0019038E" w:rsidP="00075573">
      <w:pPr>
        <w:pStyle w:val="mythesis"/>
      </w:pPr>
    </w:p>
    <w:p w14:paraId="4EACC9C6" w14:textId="3078DBF9" w:rsidR="0019038E" w:rsidRDefault="0019038E" w:rsidP="0019038E">
      <w:pPr>
        <w:pStyle w:val="Heading4"/>
        <w:rPr>
          <w:rFonts w:eastAsiaTheme="minorHAnsi"/>
        </w:rPr>
      </w:pPr>
      <w:bookmarkStart w:id="168" w:name="_Toc83751491"/>
      <w:r w:rsidRPr="001B2AE1">
        <w:rPr>
          <w:rFonts w:eastAsiaTheme="minorHAnsi"/>
        </w:rPr>
        <w:t>4.4.3.1. Jasmonic acid</w:t>
      </w:r>
      <w:bookmarkEnd w:id="168"/>
    </w:p>
    <w:p w14:paraId="279BAD02" w14:textId="77777777" w:rsidR="00075573" w:rsidRPr="00075573" w:rsidRDefault="00075573" w:rsidP="00075573">
      <w:pPr>
        <w:rPr>
          <w:rFonts w:eastAsiaTheme="minorHAnsi"/>
        </w:rPr>
      </w:pPr>
    </w:p>
    <w:p w14:paraId="55C5A19D" w14:textId="3A7DCB3F" w:rsidR="0019038E" w:rsidRPr="001B2AE1" w:rsidRDefault="00000000" w:rsidP="00075573">
      <w:pPr>
        <w:pStyle w:val="mythesis"/>
        <w:rPr>
          <w:rFonts w:eastAsiaTheme="minorHAnsi"/>
        </w:rPr>
      </w:pPr>
      <w:sdt>
        <w:sdtPr>
          <w:rPr>
            <w:rFonts w:eastAsiaTheme="minorHAnsi"/>
            <w:color w:val="000000"/>
          </w:rPr>
          <w:tag w:val="MENDELEY_CITATION_v3_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"/>
          <w:id w:val="-1393112022"/>
          <w:placeholder>
            <w:docPart w:val="C796E44BA29C7B49B74F3F722913E754"/>
          </w:placeholder>
        </w:sdtPr>
        <w:sdtContent>
          <w:r w:rsidR="00E47779" w:rsidRPr="00E47779">
            <w:rPr>
              <w:rFonts w:eastAsiaTheme="minorHAnsi"/>
              <w:color w:val="000000"/>
            </w:rPr>
            <w:t>(Ruan et al., 2019)</w:t>
          </w:r>
        </w:sdtContent>
      </w:sdt>
      <w:r w:rsidR="0019038E" w:rsidRPr="001B2AE1">
        <w:rPr>
          <w:rFonts w:eastAsiaTheme="minorHAnsi"/>
        </w:rPr>
        <w:t xml:space="preserve"> considered Jasmonic acid as an endogenous substance which regulate</w:t>
      </w:r>
      <w:r w:rsidR="00533EBC">
        <w:rPr>
          <w:rFonts w:eastAsiaTheme="minorHAnsi"/>
        </w:rPr>
        <w:t>s</w:t>
      </w:r>
      <w:r w:rsidR="0019038E" w:rsidRPr="001B2AE1">
        <w:rPr>
          <w:rFonts w:eastAsiaTheme="minorHAnsi"/>
        </w:rPr>
        <w:t xml:space="preserve"> plant growth, Jasmonic acid (3-oxo-2-20-cis-pentenyl-cyclopentane-1-acetic acid, abbreviated as JA). JA and its methyl ester (MeJA) are derivative of a class of fatty acids and is known collectively as Jasmonates (MeJA) (JAs).</w:t>
      </w:r>
    </w:p>
    <w:p w14:paraId="19D5D5C9" w14:textId="0219A3DB" w:rsidR="0019038E" w:rsidRPr="001B2AE1" w:rsidRDefault="0019038E" w:rsidP="00075573">
      <w:pPr>
        <w:pStyle w:val="mythesis"/>
        <w:rPr>
          <w:rFonts w:eastAsiaTheme="minorHAnsi"/>
        </w:rPr>
      </w:pPr>
      <w:r w:rsidRPr="001B2AE1">
        <w:rPr>
          <w:rFonts w:eastAsiaTheme="minorHAnsi"/>
        </w:rPr>
        <w:t xml:space="preserve"> It should be noted that JA biosynthesis has been seen in fungus of various genera, including pathogenic and symbiotic species </w:t>
      </w:r>
      <w:sdt>
        <w:sdtPr>
          <w:rPr>
            <w:rFonts w:eastAsiaTheme="minorHAnsi"/>
            <w:color w:val="000000"/>
          </w:rPr>
          <w:tag w:val="MENDELEY_CITATION_v3_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"/>
          <w:id w:val="777683397"/>
          <w:placeholder>
            <w:docPart w:val="C796E44BA29C7B49B74F3F722913E754"/>
          </w:placeholder>
        </w:sdtPr>
        <w:sdtContent>
          <w:r w:rsidR="00E47779" w:rsidRPr="00E47779">
            <w:rPr>
              <w:rFonts w:eastAsiaTheme="minorHAnsi"/>
              <w:color w:val="000000"/>
            </w:rPr>
            <w:t>(Miersch et al., 1993, 1999)</w:t>
          </w:r>
        </w:sdtContent>
      </w:sdt>
      <w:r w:rsidRPr="001B2AE1">
        <w:rPr>
          <w:rFonts w:eastAsiaTheme="minorHAnsi"/>
        </w:rPr>
        <w:t xml:space="preserve">. </w:t>
      </w:r>
      <w:r w:rsidR="00100F81">
        <w:rPr>
          <w:rFonts w:eastAsiaTheme="minorHAnsi"/>
        </w:rPr>
        <w:t>I</w:t>
      </w:r>
      <w:r w:rsidRPr="001B2AE1">
        <w:rPr>
          <w:rFonts w:eastAsiaTheme="minorHAnsi"/>
        </w:rPr>
        <w:t xml:space="preserve">t seems that JA biosynthesis has originated independently for at least some fungi, but it has developed in ways resembling JA production </w:t>
      </w:r>
      <w:sdt>
        <w:sdtPr>
          <w:rPr>
            <w:rFonts w:eastAsiaTheme="minorHAnsi"/>
            <w:color w:val="000000"/>
          </w:rPr>
          <w:tag w:val="MENDELEY_CITATION_v3_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"/>
          <w:id w:val="2019429627"/>
          <w:placeholder>
            <w:docPart w:val="C796E44BA29C7B49B74F3F722913E754"/>
          </w:placeholder>
        </w:sdtPr>
        <w:sdtContent>
          <w:r w:rsidR="00E47779" w:rsidRPr="00E47779">
            <w:rPr>
              <w:rFonts w:eastAsiaTheme="minorHAnsi"/>
              <w:color w:val="000000"/>
            </w:rPr>
            <w:t>(Tsukada et al., 2010)</w:t>
          </w:r>
        </w:sdtContent>
      </w:sdt>
      <w:r w:rsidRPr="001B2AE1">
        <w:rPr>
          <w:rFonts w:eastAsiaTheme="minorHAnsi"/>
        </w:rPr>
        <w:t xml:space="preserve">. </w:t>
      </w:r>
      <w:r w:rsidR="00100F81">
        <w:rPr>
          <w:rFonts w:eastAsiaTheme="minorHAnsi"/>
        </w:rPr>
        <w:t>T</w:t>
      </w:r>
      <w:r w:rsidRPr="001B2AE1">
        <w:rPr>
          <w:rFonts w:eastAsiaTheme="minorHAnsi"/>
        </w:rPr>
        <w:t xml:space="preserve">he ability of the fungus to create JA indicates that fungi alter </w:t>
      </w:r>
      <w:r w:rsidRPr="001B2AE1">
        <w:rPr>
          <w:rFonts w:eastAsiaTheme="minorHAnsi"/>
        </w:rPr>
        <w:lastRenderedPageBreak/>
        <w:t xml:space="preserve">plants through JA-mediated signaling to more appropriate hosts </w:t>
      </w:r>
      <w:sdt>
        <w:sdtPr>
          <w:rPr>
            <w:rFonts w:eastAsiaTheme="minorHAnsi"/>
          </w:rPr>
          <w:tag w:val="MENDELEY_CITATION_v3_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"/>
          <w:id w:val="1083570109"/>
          <w:placeholder>
            <w:docPart w:val="C796E44BA29C7B49B74F3F722913E754"/>
          </w:placeholder>
        </w:sdtPr>
        <w:sdtContent>
          <w:r w:rsidR="00E47779">
            <w:t>(Borrego &amp; Kolomiets, 2016)</w:t>
          </w:r>
        </w:sdtContent>
      </w:sdt>
      <w:r w:rsidRPr="001B2AE1">
        <w:rPr>
          <w:rFonts w:eastAsiaTheme="minorHAnsi"/>
        </w:rPr>
        <w:t xml:space="preserve">. Consequently, Fungi that produced JA may be exploited as molecular </w:t>
      </w:r>
      <w:r w:rsidR="00100F81" w:rsidRPr="001B2AE1">
        <w:rPr>
          <w:rFonts w:eastAsiaTheme="minorHAnsi"/>
        </w:rPr>
        <w:t>signals for</w:t>
      </w:r>
      <w:r w:rsidRPr="001B2AE1">
        <w:rPr>
          <w:rFonts w:eastAsiaTheme="minorHAnsi"/>
        </w:rPr>
        <w:t xml:space="preserve"> resistance against a variety of pathogens </w:t>
      </w:r>
      <w:sdt>
        <w:sdtPr>
          <w:rPr>
            <w:rFonts w:eastAsiaTheme="minorHAnsi"/>
          </w:rPr>
          <w:tag w:val="MENDELEY_CITATION_v3_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"/>
          <w:id w:val="830335797"/>
          <w:placeholder>
            <w:docPart w:val="C796E44BA29C7B49B74F3F722913E754"/>
          </w:placeholder>
        </w:sdtPr>
        <w:sdtContent>
          <w:r w:rsidR="00E47779">
            <w:t>(Borrego &amp; Kolomiets, 2012)</w:t>
          </w:r>
        </w:sdtContent>
      </w:sdt>
      <w:r w:rsidRPr="001B2AE1">
        <w:rPr>
          <w:rFonts w:eastAsiaTheme="minorHAnsi"/>
        </w:rPr>
        <w:t>.</w:t>
      </w:r>
    </w:p>
    <w:p w14:paraId="3B773A04" w14:textId="735F1B71" w:rsidR="0019038E" w:rsidRPr="00075573" w:rsidRDefault="0019038E" w:rsidP="00075573">
      <w:pPr>
        <w:pStyle w:val="mythesis"/>
        <w:rPr>
          <w:rFonts w:eastAsiaTheme="minorHAnsi"/>
        </w:rPr>
      </w:pPr>
      <w:r w:rsidRPr="00075573">
        <w:rPr>
          <w:rFonts w:eastAsiaTheme="minorHAnsi"/>
        </w:rPr>
        <w:t xml:space="preserve"> The jasmonate, consisting of methyl jasmonate and Jasmonic acid, is a group of cyclopentanone-containing chemicals that are essential to the system of plant protection and play important roles in plant defense, and improved the production of the secondary metabolites such as   rosmarinic acid </w:t>
      </w:r>
      <w:r w:rsidRPr="00806C98">
        <w:rPr>
          <w:rFonts w:eastAsiaTheme="minorHAnsi"/>
        </w:rPr>
        <w:t xml:space="preserve">terpenoid indole alkaloid, and plumbagin </w:t>
      </w:r>
      <w:sdt>
        <w:sdtPr>
          <w:rPr>
            <w:rFonts w:eastAsiaTheme="minorHAnsi"/>
          </w:rPr>
          <w:tag w:val="MENDELEY_CITATION_v3_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"/>
          <w:id w:val="-1534951071"/>
          <w:placeholder>
            <w:docPart w:val="C796E44BA29C7B49B74F3F722913E754"/>
          </w:placeholder>
        </w:sdtPr>
        <w:sdtContent>
          <w:r w:rsidR="00E47779" w:rsidRPr="00806C98">
            <w:rPr>
              <w:rFonts w:eastAsiaTheme="minorHAnsi"/>
            </w:rPr>
            <w:t>(Almagro et al., 2014; Krzyzanowska et al., 2012)</w:t>
          </w:r>
        </w:sdtContent>
      </w:sdt>
      <w:r w:rsidRPr="00806C98">
        <w:rPr>
          <w:rFonts w:eastAsiaTheme="minorHAnsi"/>
        </w:rPr>
        <w:t>.</w:t>
      </w:r>
      <w:r w:rsidR="00AB6366" w:rsidRPr="00806C98">
        <w:rPr>
          <w:rFonts w:eastAsiaTheme="minorHAnsi"/>
        </w:rPr>
        <w:t xml:space="preserve"> A</w:t>
      </w:r>
      <w:r w:rsidRPr="00806C98">
        <w:rPr>
          <w:rFonts w:eastAsiaTheme="minorHAnsi"/>
        </w:rPr>
        <w:t xml:space="preserve">lso, jasmonates </w:t>
      </w:r>
      <w:r w:rsidR="00AA49BA" w:rsidRPr="00806C98">
        <w:rPr>
          <w:rFonts w:eastAsiaTheme="minorHAnsi"/>
        </w:rPr>
        <w:t xml:space="preserve">are </w:t>
      </w:r>
      <w:r w:rsidRPr="00806C98">
        <w:rPr>
          <w:rFonts w:eastAsiaTheme="minorHAnsi"/>
        </w:rPr>
        <w:t xml:space="preserve">considered as elicitors for several plant secondary metabolic pathways </w:t>
      </w:r>
      <w:sdt>
        <w:sdtPr>
          <w:rPr>
            <w:rFonts w:eastAsiaTheme="minorHAnsi"/>
          </w:rPr>
          <w:tag w:val="MENDELEY_CITATION_v3_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"/>
          <w:id w:val="586745712"/>
          <w:placeholder>
            <w:docPart w:val="C796E44BA29C7B49B74F3F722913E754"/>
          </w:placeholder>
        </w:sdtPr>
        <w:sdtContent>
          <w:r w:rsidR="00E47779" w:rsidRPr="00806C98">
            <w:rPr>
              <w:rFonts w:eastAsiaTheme="minorHAnsi"/>
            </w:rPr>
            <w:t>(Pauwels et al., 2009)</w:t>
          </w:r>
        </w:sdtContent>
      </w:sdt>
      <w:r w:rsidRPr="00806C98">
        <w:rPr>
          <w:rFonts w:eastAsiaTheme="minorHAnsi"/>
        </w:rPr>
        <w:t xml:space="preserve">, </w:t>
      </w:r>
      <w:r w:rsidR="00AB6366" w:rsidRPr="00806C98">
        <w:rPr>
          <w:rFonts w:eastAsiaTheme="minorHAnsi"/>
        </w:rPr>
        <w:t>M</w:t>
      </w:r>
      <w:r w:rsidRPr="00806C98">
        <w:rPr>
          <w:rFonts w:eastAsiaTheme="minorHAnsi"/>
        </w:rPr>
        <w:t xml:space="preserve">ethyl jasmonate can increase the production of many compounds such as </w:t>
      </w:r>
      <w:r w:rsidR="00AA49BA" w:rsidRPr="00806C98">
        <w:rPr>
          <w:rFonts w:eastAsiaTheme="minorHAnsi"/>
        </w:rPr>
        <w:t xml:space="preserve">the </w:t>
      </w:r>
      <w:r w:rsidRPr="00806C98">
        <w:rPr>
          <w:rFonts w:eastAsiaTheme="minorHAnsi"/>
        </w:rPr>
        <w:t xml:space="preserve">production rate of andrographolide compounds in cell cultures of </w:t>
      </w:r>
      <w:r w:rsidRPr="00806C98">
        <w:rPr>
          <w:rFonts w:eastAsiaTheme="minorHAnsi"/>
          <w:i/>
          <w:iCs w:val="0"/>
        </w:rPr>
        <w:t>Andrographis paniculate</w:t>
      </w:r>
      <w:r w:rsidRPr="00806C98">
        <w:rPr>
          <w:rFonts w:eastAsiaTheme="minorHAnsi"/>
        </w:rPr>
        <w:t xml:space="preserve"> </w:t>
      </w:r>
      <w:sdt>
        <w:sdtPr>
          <w:rPr>
            <w:rFonts w:eastAsiaTheme="minorHAnsi"/>
          </w:rPr>
          <w:tag w:val="MENDELEY_CITATION_v3_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"/>
          <w:id w:val="-1435443836"/>
          <w:placeholder>
            <w:docPart w:val="C796E44BA29C7B49B74F3F722913E754"/>
          </w:placeholder>
        </w:sdtPr>
        <w:sdtContent>
          <w:r w:rsidR="00E47779" w:rsidRPr="00806C98">
            <w:rPr>
              <w:rFonts w:eastAsiaTheme="minorHAnsi"/>
            </w:rPr>
            <w:t>(Sharma et al., 2015)</w:t>
          </w:r>
        </w:sdtContent>
      </w:sdt>
      <w:r w:rsidRPr="00806C98">
        <w:rPr>
          <w:rFonts w:eastAsiaTheme="minorHAnsi"/>
        </w:rPr>
        <w:t xml:space="preserve">, and the production of soyasaponin in </w:t>
      </w:r>
      <w:r w:rsidRPr="00806C98">
        <w:rPr>
          <w:rFonts w:eastAsiaTheme="minorHAnsi"/>
          <w:i/>
          <w:iCs w:val="0"/>
        </w:rPr>
        <w:t>Glycyrrhiza glabra</w:t>
      </w:r>
      <w:r w:rsidRPr="00806C98">
        <w:rPr>
          <w:rFonts w:eastAsiaTheme="minorHAnsi"/>
        </w:rPr>
        <w:t xml:space="preserve"> </w:t>
      </w:r>
      <w:sdt>
        <w:sdtPr>
          <w:rPr>
            <w:rFonts w:eastAsiaTheme="minorHAnsi"/>
          </w:rPr>
          <w:tag w:val="MENDELEY_CITATION_v3_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"/>
          <w:id w:val="-756127818"/>
          <w:placeholder>
            <w:docPart w:val="C796E44BA29C7B49B74F3F722913E754"/>
          </w:placeholder>
        </w:sdtPr>
        <w:sdtContent>
          <w:r w:rsidR="00E47779" w:rsidRPr="00806C98">
            <w:rPr>
              <w:rFonts w:eastAsiaTheme="minorHAnsi"/>
            </w:rPr>
            <w:t>(Hayashi et al., 2003)</w:t>
          </w:r>
        </w:sdtContent>
      </w:sdt>
      <w:r w:rsidRPr="00806C98">
        <w:rPr>
          <w:rFonts w:eastAsiaTheme="minorHAnsi"/>
        </w:rPr>
        <w:t xml:space="preserve">. </w:t>
      </w:r>
      <w:r w:rsidR="00AB6366" w:rsidRPr="00806C98">
        <w:rPr>
          <w:rFonts w:eastAsiaTheme="minorHAnsi"/>
        </w:rPr>
        <w:t>A</w:t>
      </w:r>
      <w:r w:rsidRPr="00806C98">
        <w:rPr>
          <w:rFonts w:eastAsiaTheme="minorHAnsi"/>
        </w:rPr>
        <w:t xml:space="preserve">lso, enhance </w:t>
      </w:r>
      <w:r w:rsidR="00567F79" w:rsidRPr="00806C98">
        <w:rPr>
          <w:rFonts w:eastAsiaTheme="minorHAnsi"/>
        </w:rPr>
        <w:t xml:space="preserve">the </w:t>
      </w:r>
      <w:r w:rsidRPr="00806C98">
        <w:rPr>
          <w:rFonts w:eastAsiaTheme="minorHAnsi"/>
        </w:rPr>
        <w:t xml:space="preserve">production of the raspberry ketone benzalacetone in the seedlings of </w:t>
      </w:r>
      <w:r w:rsidRPr="00806C98">
        <w:rPr>
          <w:rFonts w:eastAsiaTheme="minorHAnsi"/>
          <w:i/>
          <w:iCs w:val="0"/>
        </w:rPr>
        <w:t>Rubus idaeus</w:t>
      </w:r>
      <w:r w:rsidRPr="00806C98">
        <w:rPr>
          <w:rFonts w:eastAsiaTheme="minorHAnsi"/>
        </w:rPr>
        <w:t xml:space="preserve"> </w:t>
      </w:r>
      <w:sdt>
        <w:sdtPr>
          <w:rPr>
            <w:rFonts w:eastAsiaTheme="minorHAnsi"/>
          </w:rPr>
          <w:tag w:val="MENDELEY_CITATION_v3_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"/>
          <w:id w:val="-820499676"/>
          <w:placeholder>
            <w:docPart w:val="C796E44BA29C7B49B74F3F722913E754"/>
          </w:placeholder>
        </w:sdtPr>
        <w:sdtContent>
          <w:r w:rsidR="00E47779" w:rsidRPr="00806C98">
            <w:rPr>
              <w:rFonts w:eastAsiaTheme="minorHAnsi"/>
            </w:rPr>
            <w:t>(Pedapudi et al., 2000).</w:t>
          </w:r>
        </w:sdtContent>
      </w:sdt>
    </w:p>
    <w:p w14:paraId="67F9758E" w14:textId="0E5C8062" w:rsidR="0019038E" w:rsidRPr="00075573" w:rsidRDefault="00000000" w:rsidP="00075573">
      <w:pPr>
        <w:pStyle w:val="mythesis"/>
        <w:rPr>
          <w:rFonts w:eastAsiaTheme="minorHAnsi"/>
        </w:rPr>
      </w:pPr>
      <w:sdt>
        <w:sdtPr>
          <w:rPr>
            <w:color w:val="000000"/>
          </w:rPr>
          <w:tag w:val="MENDELEY_CITATION_v3_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"/>
          <w:id w:val="-67953996"/>
          <w:placeholder>
            <w:docPart w:val="C796E44BA29C7B49B74F3F722913E754"/>
          </w:placeholder>
        </w:sdtPr>
        <w:sdtContent>
          <w:r w:rsidR="00E47779" w:rsidRPr="00E47779">
            <w:rPr>
              <w:color w:val="000000"/>
            </w:rPr>
            <w:t>(Norastehnia and Asghari, 2006)</w:t>
          </w:r>
        </w:sdtContent>
      </w:sdt>
      <w:r w:rsidR="0019038E" w:rsidRPr="00075573">
        <w:t xml:space="preserve"> proven that</w:t>
      </w:r>
      <w:r w:rsidR="0019038E" w:rsidRPr="00075573">
        <w:rPr>
          <w:rFonts w:eastAsiaTheme="minorHAnsi"/>
        </w:rPr>
        <w:t xml:space="preserve"> Jasmonates stimulate maize oxidative stress genes</w:t>
      </w:r>
      <w:r w:rsidR="00A26A98">
        <w:rPr>
          <w:rFonts w:eastAsiaTheme="minorHAnsi"/>
        </w:rPr>
        <w:t>.</w:t>
      </w:r>
      <w:r w:rsidR="0019038E" w:rsidRPr="00075573">
        <w:rPr>
          <w:rFonts w:eastAsiaTheme="minorHAnsi"/>
        </w:rPr>
        <w:t xml:space="preserve"> </w:t>
      </w:r>
      <w:sdt>
        <w:sdtPr>
          <w:rPr>
            <w:rFonts w:eastAsiaTheme="minorHAnsi"/>
            <w:color w:val="000000"/>
          </w:rPr>
          <w:tag w:val="MENDELEY_CITATION_v3_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"/>
          <w:id w:val="1440336274"/>
          <w:placeholder>
            <w:docPart w:val="C796E44BA29C7B49B74F3F722913E754"/>
          </w:placeholder>
        </w:sdtPr>
        <w:sdtContent>
          <w:r w:rsidR="00E47779" w:rsidRPr="00E47779">
            <w:rPr>
              <w:rFonts w:eastAsiaTheme="minorHAnsi"/>
              <w:color w:val="000000"/>
            </w:rPr>
            <w:t>(Bandurska et al., 2003)</w:t>
          </w:r>
        </w:sdtContent>
      </w:sdt>
      <w:r w:rsidR="0019038E" w:rsidRPr="00075573">
        <w:rPr>
          <w:rFonts w:eastAsiaTheme="minorHAnsi"/>
        </w:rPr>
        <w:t xml:space="preserve"> observed that exogenous JA treatments, decreased salt damage to various plants by enhanced photosynthetic rate, proline content, ABA levels, also activated the antioxidant enzymes </w:t>
      </w:r>
      <w:sdt>
        <w:sdtPr>
          <w:rPr>
            <w:rFonts w:eastAsiaTheme="minorHAnsi"/>
            <w:color w:val="000000"/>
          </w:rPr>
          <w:tag w:val="MENDELEY_CITATION_v3_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"/>
          <w:id w:val="170075820"/>
          <w:placeholder>
            <w:docPart w:val="C796E44BA29C7B49B74F3F722913E754"/>
          </w:placeholder>
        </w:sdtPr>
        <w:sdtContent>
          <w:r w:rsidR="00E47779" w:rsidRPr="00E47779">
            <w:rPr>
              <w:rFonts w:eastAsiaTheme="minorHAnsi"/>
              <w:color w:val="000000"/>
            </w:rPr>
            <w:t>(Walia et al., 2007)</w:t>
          </w:r>
        </w:sdtContent>
      </w:sdt>
      <w:r w:rsidR="0019038E" w:rsidRPr="00075573">
        <w:rPr>
          <w:rFonts w:eastAsiaTheme="minorHAnsi"/>
        </w:rPr>
        <w:t xml:space="preserve">, and reduced Na+ shoot accumulation rates </w:t>
      </w:r>
      <w:sdt>
        <w:sdtPr>
          <w:rPr>
            <w:rFonts w:eastAsiaTheme="minorHAnsi"/>
            <w:color w:val="000000"/>
          </w:rPr>
          <w:tag w:val="MENDELEY_CITATION_v3_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"/>
          <w:id w:val="-1743014979"/>
          <w:placeholder>
            <w:docPart w:val="C796E44BA29C7B49B74F3F722913E754"/>
          </w:placeholder>
        </w:sdtPr>
        <w:sdtContent>
          <w:r w:rsidR="00E47779" w:rsidRPr="00E47779">
            <w:rPr>
              <w:rFonts w:eastAsiaTheme="minorHAnsi"/>
              <w:color w:val="000000"/>
            </w:rPr>
            <w:t>(Khan Shinwari, 2012)</w:t>
          </w:r>
        </w:sdtContent>
      </w:sdt>
      <w:r w:rsidR="0019038E" w:rsidRPr="00075573">
        <w:rPr>
          <w:rFonts w:eastAsiaTheme="minorHAnsi"/>
        </w:rPr>
        <w:t xml:space="preserve">. </w:t>
      </w:r>
      <w:sdt>
        <w:sdtPr>
          <w:rPr>
            <w:rFonts w:eastAsiaTheme="minorHAnsi"/>
            <w:color w:val="000000"/>
          </w:rPr>
          <w:tag w:val="MENDELEY_CITATION_v3_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"/>
          <w:id w:val="-233713037"/>
          <w:placeholder>
            <w:docPart w:val="C796E44BA29C7B49B74F3F722913E754"/>
          </w:placeholder>
        </w:sdtPr>
        <w:sdtContent>
          <w:r w:rsidR="00E47779" w:rsidRPr="00C006F8">
            <w:rPr>
              <w:rFonts w:eastAsiaTheme="minorHAnsi"/>
              <w:color w:val="000000"/>
            </w:rPr>
            <w:t>(Shahzad et al., 2015)</w:t>
          </w:r>
        </w:sdtContent>
      </w:sdt>
      <w:r w:rsidR="0019038E" w:rsidRPr="00075573">
        <w:rPr>
          <w:rFonts w:eastAsiaTheme="minorHAnsi"/>
        </w:rPr>
        <w:t xml:space="preserve"> reported that exogenous JA was increased root exclusion by decreasing absorption of Na+ to facilitate surface salt stress resistance for two Maize genotypes.</w:t>
      </w:r>
    </w:p>
    <w:p w14:paraId="4E9AA270" w14:textId="3FA2BAC9" w:rsidR="0019038E" w:rsidRDefault="0019038E" w:rsidP="00075573">
      <w:pPr>
        <w:pStyle w:val="mythesis"/>
        <w:rPr>
          <w:rFonts w:eastAsiaTheme="minorHAnsi"/>
        </w:rPr>
      </w:pPr>
      <w:r w:rsidRPr="001B2AE1">
        <w:rPr>
          <w:rFonts w:eastAsiaTheme="minorHAnsi"/>
        </w:rPr>
        <w:t xml:space="preserve">So yet, only a few JA biosynthetic enzymes in maize have been identified. </w:t>
      </w:r>
      <w:sdt>
        <w:sdtPr>
          <w:rPr>
            <w:rFonts w:eastAsiaTheme="minorHAnsi"/>
          </w:rPr>
          <w:tag w:val="MENDELEY_CITATION_v3_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"/>
          <w:id w:val="956062368"/>
          <w:placeholder>
            <w:docPart w:val="C796E44BA29C7B49B74F3F722913E754"/>
          </w:placeholder>
        </w:sdtPr>
        <w:sdtContent>
          <w:r w:rsidR="00C006F8">
            <w:t>(Borrego &amp; Kolomiets, 2016)</w:t>
          </w:r>
        </w:sdtContent>
      </w:sdt>
      <w:r w:rsidRPr="001B2AE1">
        <w:rPr>
          <w:rFonts w:eastAsiaTheme="minorHAnsi"/>
        </w:rPr>
        <w:t xml:space="preserve"> suggested further unidentified gene candidates with a high possibility of being involved in JA biosynthesis, most studies on JA production grew from research using the B73 yellow dent inbred line </w:t>
      </w:r>
      <w:sdt>
        <w:sdtPr>
          <w:rPr>
            <w:rFonts w:eastAsiaTheme="minorHAnsi"/>
            <w:color w:val="000000"/>
          </w:rPr>
          <w:tag w:val="MENDELEY_CITATION_v3_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"/>
          <w:id w:val="-319341063"/>
          <w:placeholder>
            <w:docPart w:val="C796E44BA29C7B49B74F3F722913E754"/>
          </w:placeholder>
        </w:sdtPr>
        <w:sdtContent>
          <w:r w:rsidR="00C006F8" w:rsidRPr="00C006F8">
            <w:rPr>
              <w:rFonts w:eastAsiaTheme="minorHAnsi"/>
              <w:color w:val="000000"/>
            </w:rPr>
            <w:t>(Russell, 1972)</w:t>
          </w:r>
        </w:sdtContent>
      </w:sdt>
      <w:r w:rsidRPr="001B2AE1">
        <w:rPr>
          <w:rFonts w:eastAsiaTheme="minorHAnsi"/>
        </w:rPr>
        <w:t xml:space="preserve">and it was the first maize genome that has been sequenced. </w:t>
      </w:r>
    </w:p>
    <w:p w14:paraId="60E4755A" w14:textId="3776F0B6" w:rsidR="00806C98" w:rsidRDefault="00806C98" w:rsidP="00075573">
      <w:pPr>
        <w:pStyle w:val="mythesis"/>
        <w:rPr>
          <w:rFonts w:eastAsiaTheme="minorHAnsi"/>
        </w:rPr>
      </w:pPr>
    </w:p>
    <w:p w14:paraId="68FD48FC" w14:textId="77777777" w:rsidR="00806C98" w:rsidRPr="001B2AE1" w:rsidRDefault="00806C98" w:rsidP="00075573">
      <w:pPr>
        <w:pStyle w:val="mythesis"/>
        <w:rPr>
          <w:rFonts w:eastAsiaTheme="minorHAnsi"/>
        </w:rPr>
      </w:pPr>
    </w:p>
    <w:p w14:paraId="1D568D2A" w14:textId="77777777" w:rsidR="0019038E" w:rsidRPr="001B2AE1" w:rsidRDefault="0019038E" w:rsidP="0019038E">
      <w:pPr>
        <w:pStyle w:val="Heading4"/>
        <w:rPr>
          <w:rFonts w:eastAsiaTheme="minorHAnsi"/>
        </w:rPr>
      </w:pPr>
      <w:bookmarkStart w:id="169" w:name="_Toc83751492"/>
      <w:r w:rsidRPr="001B2AE1">
        <w:rPr>
          <w:rFonts w:eastAsiaTheme="minorHAnsi"/>
        </w:rPr>
        <w:lastRenderedPageBreak/>
        <w:t>4.4.3.2. Salicylic acid</w:t>
      </w:r>
      <w:bookmarkEnd w:id="169"/>
    </w:p>
    <w:p w14:paraId="1C723C02" w14:textId="77777777" w:rsidR="0019038E" w:rsidRPr="001B2AE1" w:rsidRDefault="0019038E" w:rsidP="0019038E">
      <w:pPr>
        <w:rPr>
          <w:color w:val="000000" w:themeColor="text1"/>
        </w:rPr>
      </w:pPr>
    </w:p>
    <w:p w14:paraId="6574D198" w14:textId="65BFB492" w:rsidR="0019038E" w:rsidRPr="00806C98" w:rsidRDefault="0019038E" w:rsidP="0019038E">
      <w:pPr>
        <w:autoSpaceDE w:val="0"/>
        <w:autoSpaceDN w:val="0"/>
        <w:adjustRightInd w:val="0"/>
        <w:spacing w:afterLines="280" w:after="672" w:line="360" w:lineRule="auto"/>
        <w:jc w:val="lowKashida"/>
        <w:rPr>
          <w:rFonts w:eastAsiaTheme="minorHAnsi"/>
          <w:color w:val="000000" w:themeColor="text1"/>
        </w:rPr>
      </w:pPr>
      <w:r w:rsidRPr="001B2AE1">
        <w:rPr>
          <w:rFonts w:eastAsiaTheme="minorHAnsi"/>
          <w:color w:val="000000" w:themeColor="text1"/>
        </w:rPr>
        <w:t xml:space="preserve">         Salicylic acid also improved the formation of the secondary metabolites in plant</w:t>
      </w:r>
      <w:r w:rsidR="00447D88">
        <w:rPr>
          <w:rFonts w:eastAsiaTheme="minorHAnsi"/>
          <w:color w:val="000000" w:themeColor="text1"/>
        </w:rPr>
        <w:t>s</w:t>
      </w:r>
      <w:r w:rsidRPr="001B2AE1">
        <w:rPr>
          <w:rFonts w:eastAsiaTheme="minorHAnsi"/>
          <w:color w:val="000000" w:themeColor="text1"/>
        </w:rPr>
        <w:t xml:space="preserve"> which is widely known for inducing systemic acquired resistance to numerous pathogens in plants. For example, with transgenic technology, salicylic acid can significantly induce the development of tanshinone in </w:t>
      </w:r>
      <w:r w:rsidRPr="001B2AE1">
        <w:rPr>
          <w:rFonts w:eastAsiaTheme="minorHAnsi"/>
          <w:i/>
          <w:iCs/>
          <w:color w:val="000000" w:themeColor="text1"/>
        </w:rPr>
        <w:t>S. miltiorrhiza</w:t>
      </w:r>
      <w:r w:rsidRPr="001B2AE1">
        <w:rPr>
          <w:rFonts w:eastAsiaTheme="minorHAnsi"/>
          <w:color w:val="000000" w:themeColor="text1"/>
        </w:rPr>
        <w:t xml:space="preserve"> hairy roots </w:t>
      </w:r>
      <w:sdt>
        <w:sdtPr>
          <w:rPr>
            <w:rFonts w:eastAsiaTheme="minorHAnsi"/>
            <w:color w:val="000000"/>
          </w:rPr>
          <w:tag w:val="MENDELEY_CITATION_v3_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"/>
          <w:id w:val="-921482582"/>
          <w:placeholder>
            <w:docPart w:val="C796E44BA29C7B49B74F3F722913E754"/>
          </w:placeholder>
        </w:sdtPr>
        <w:sdtContent>
          <w:r w:rsidR="00C006F8" w:rsidRPr="00C006F8">
            <w:rPr>
              <w:rFonts w:eastAsiaTheme="minorHAnsi"/>
              <w:color w:val="000000"/>
            </w:rPr>
            <w:t>(Hao et al., 2015)</w:t>
          </w:r>
        </w:sdtContent>
      </w:sdt>
      <w:r w:rsidRPr="001B2AE1">
        <w:rPr>
          <w:rFonts w:eastAsiaTheme="minorHAnsi"/>
          <w:color w:val="000000" w:themeColor="text1"/>
        </w:rPr>
        <w:t xml:space="preserve">. Also, salicylic acid was able to enhance the production of stilbene </w:t>
      </w:r>
      <w:r w:rsidRPr="00806C98">
        <w:rPr>
          <w:rFonts w:eastAsiaTheme="minorHAnsi"/>
          <w:color w:val="000000" w:themeColor="text1"/>
        </w:rPr>
        <w:t>which is involve</w:t>
      </w:r>
      <w:r w:rsidR="003B5A85" w:rsidRPr="00806C98">
        <w:rPr>
          <w:rFonts w:eastAsiaTheme="minorHAnsi"/>
          <w:color w:val="000000" w:themeColor="text1"/>
        </w:rPr>
        <w:t>d</w:t>
      </w:r>
      <w:r w:rsidRPr="00806C98">
        <w:rPr>
          <w:rFonts w:eastAsiaTheme="minorHAnsi"/>
          <w:color w:val="000000" w:themeColor="text1"/>
        </w:rPr>
        <w:t xml:space="preserve"> in cell suspension cultures of </w:t>
      </w:r>
      <w:r w:rsidRPr="00806C98">
        <w:rPr>
          <w:rFonts w:eastAsiaTheme="minorHAnsi"/>
          <w:i/>
          <w:iCs/>
          <w:color w:val="000000" w:themeColor="text1"/>
        </w:rPr>
        <w:t>V. vinifera</w:t>
      </w:r>
      <w:r w:rsidRPr="00806C98">
        <w:rPr>
          <w:rFonts w:eastAsiaTheme="minorHAnsi"/>
          <w:color w:val="000000" w:themeColor="text1"/>
        </w:rPr>
        <w:t xml:space="preserve"> </w:t>
      </w:r>
      <w:sdt>
        <w:sdtPr>
          <w:rPr>
            <w:rFonts w:eastAsiaTheme="minorHAnsi"/>
            <w:color w:val="000000" w:themeColor="text1"/>
          </w:rPr>
          <w:tag w:val="MENDELEY_CITATION_v3_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"/>
          <w:id w:val="-126087122"/>
          <w:placeholder>
            <w:docPart w:val="C796E44BA29C7B49B74F3F722913E754"/>
          </w:placeholder>
        </w:sdtPr>
        <w:sdtContent>
          <w:r w:rsidR="00C006F8" w:rsidRPr="00806C98">
            <w:rPr>
              <w:rFonts w:eastAsiaTheme="minorHAnsi"/>
              <w:color w:val="000000" w:themeColor="text1"/>
            </w:rPr>
            <w:t>(Xu et al., 2015)</w:t>
          </w:r>
        </w:sdtContent>
      </w:sdt>
      <w:r w:rsidR="002E28EA" w:rsidRPr="00806C98">
        <w:rPr>
          <w:rFonts w:eastAsiaTheme="minorHAnsi"/>
          <w:color w:val="000000" w:themeColor="text1"/>
        </w:rPr>
        <w:t xml:space="preserve">, </w:t>
      </w:r>
      <w:r w:rsidRPr="00806C98">
        <w:rPr>
          <w:rFonts w:eastAsiaTheme="minorHAnsi"/>
          <w:color w:val="000000" w:themeColor="text1"/>
        </w:rPr>
        <w:t xml:space="preserve">Furthermore, salicylic acid </w:t>
      </w:r>
      <w:r w:rsidR="003B5A85" w:rsidRPr="00806C98">
        <w:rPr>
          <w:rFonts w:eastAsiaTheme="minorHAnsi"/>
          <w:color w:val="000000" w:themeColor="text1"/>
        </w:rPr>
        <w:t xml:space="preserve">is </w:t>
      </w:r>
      <w:r w:rsidRPr="00806C98">
        <w:rPr>
          <w:rFonts w:eastAsiaTheme="minorHAnsi"/>
          <w:color w:val="000000" w:themeColor="text1"/>
        </w:rPr>
        <w:t xml:space="preserve">involved in the production of alkaloids including vinblastine and vincristine in </w:t>
      </w:r>
      <w:r w:rsidRPr="00806C98">
        <w:rPr>
          <w:rFonts w:eastAsiaTheme="minorHAnsi"/>
          <w:i/>
          <w:iCs/>
          <w:color w:val="000000" w:themeColor="text1"/>
        </w:rPr>
        <w:t>periwinkle</w:t>
      </w:r>
      <w:r w:rsidRPr="00806C98">
        <w:rPr>
          <w:rFonts w:eastAsiaTheme="minorHAnsi"/>
          <w:color w:val="000000" w:themeColor="text1"/>
        </w:rPr>
        <w:t xml:space="preserve"> plants </w:t>
      </w:r>
      <w:sdt>
        <w:sdtPr>
          <w:rPr>
            <w:rFonts w:eastAsiaTheme="minorHAnsi"/>
            <w:color w:val="000000" w:themeColor="text1"/>
          </w:rPr>
          <w:tag w:val="MENDELEY_CITATION_v3_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"/>
          <w:id w:val="1451737608"/>
          <w:placeholder>
            <w:docPart w:val="C796E44BA29C7B49B74F3F722913E754"/>
          </w:placeholder>
        </w:sdtPr>
        <w:sdtContent>
          <w:r w:rsidR="00C006F8" w:rsidRPr="00806C98">
            <w:rPr>
              <w:rFonts w:eastAsiaTheme="minorHAnsi"/>
              <w:color w:val="000000" w:themeColor="text1"/>
            </w:rPr>
            <w:t>(Idrees et al., 2011)</w:t>
          </w:r>
        </w:sdtContent>
      </w:sdt>
      <w:r w:rsidRPr="00806C98">
        <w:rPr>
          <w:rFonts w:eastAsiaTheme="minorHAnsi"/>
          <w:color w:val="000000" w:themeColor="text1"/>
        </w:rPr>
        <w:t xml:space="preserve">, </w:t>
      </w:r>
      <w:r w:rsidRPr="00806C98">
        <w:rPr>
          <w:rFonts w:eastAsiaTheme="minorHAnsi"/>
          <w:i/>
          <w:iCs/>
          <w:color w:val="000000" w:themeColor="text1"/>
        </w:rPr>
        <w:t>Rubia cordifolia</w:t>
      </w:r>
      <w:r w:rsidRPr="00806C98">
        <w:rPr>
          <w:rFonts w:eastAsiaTheme="minorHAnsi"/>
          <w:color w:val="000000" w:themeColor="text1"/>
        </w:rPr>
        <w:t xml:space="preserve"> </w:t>
      </w:r>
      <w:r w:rsidR="00737DE7" w:rsidRPr="00806C98">
        <w:rPr>
          <w:rFonts w:eastAsiaTheme="minorHAnsi"/>
          <w:color w:val="000000" w:themeColor="text1"/>
        </w:rPr>
        <w:t>has</w:t>
      </w:r>
      <w:r w:rsidRPr="00806C98">
        <w:rPr>
          <w:rFonts w:eastAsiaTheme="minorHAnsi"/>
          <w:color w:val="000000" w:themeColor="text1"/>
        </w:rPr>
        <w:t xml:space="preserve"> enhanced the production of anthraquinone when treated with salicylic acid </w:t>
      </w:r>
      <w:sdt>
        <w:sdtPr>
          <w:rPr>
            <w:rFonts w:eastAsiaTheme="minorHAnsi"/>
            <w:color w:val="000000" w:themeColor="text1"/>
          </w:rPr>
          <w:tag w:val="MENDELEY_CITATION_v3_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"/>
          <w:id w:val="114025221"/>
          <w:placeholder>
            <w:docPart w:val="C796E44BA29C7B49B74F3F722913E754"/>
          </w:placeholder>
        </w:sdtPr>
        <w:sdtContent>
          <w:r w:rsidR="00C006F8" w:rsidRPr="00806C98">
            <w:rPr>
              <w:rFonts w:eastAsiaTheme="minorHAnsi"/>
              <w:color w:val="000000" w:themeColor="text1"/>
            </w:rPr>
            <w:t>(Bulgakov et al., 2002)</w:t>
          </w:r>
        </w:sdtContent>
      </w:sdt>
      <w:r w:rsidRPr="00806C98">
        <w:rPr>
          <w:rFonts w:eastAsiaTheme="minorHAnsi"/>
          <w:color w:val="000000" w:themeColor="text1"/>
        </w:rPr>
        <w:t>.</w:t>
      </w:r>
    </w:p>
    <w:p w14:paraId="4D99AF40" w14:textId="77777777" w:rsidR="0019038E" w:rsidRPr="00806C98" w:rsidRDefault="0019038E" w:rsidP="0019038E">
      <w:pPr>
        <w:pStyle w:val="Heading3"/>
      </w:pPr>
      <w:bookmarkStart w:id="170" w:name="_Toc83751493"/>
      <w:r w:rsidRPr="00806C98">
        <w:t>4.4.4. Role of alkaloids in plant secondary metabolite</w:t>
      </w:r>
      <w:bookmarkEnd w:id="170"/>
    </w:p>
    <w:p w14:paraId="1BE50DD5" w14:textId="77777777" w:rsidR="0019038E" w:rsidRPr="00806C98" w:rsidRDefault="0019038E" w:rsidP="0019038E">
      <w:pPr>
        <w:rPr>
          <w:color w:val="000000" w:themeColor="text1"/>
        </w:rPr>
      </w:pPr>
    </w:p>
    <w:p w14:paraId="509483B8" w14:textId="02890D06" w:rsidR="0019038E" w:rsidRPr="005C686F" w:rsidRDefault="0019038E" w:rsidP="005C686F">
      <w:pPr>
        <w:spacing w:afterLines="280" w:after="672" w:line="360" w:lineRule="auto"/>
        <w:jc w:val="lowKashida"/>
        <w:rPr>
          <w:color w:val="000000" w:themeColor="text1"/>
        </w:rPr>
      </w:pPr>
      <w:r w:rsidRPr="00806C98">
        <w:rPr>
          <w:color w:val="000000" w:themeColor="text1"/>
        </w:rPr>
        <w:t xml:space="preserve">         Alkaloids </w:t>
      </w:r>
      <w:r w:rsidR="004F413A" w:rsidRPr="00806C98">
        <w:rPr>
          <w:color w:val="000000" w:themeColor="text1"/>
        </w:rPr>
        <w:t>are</w:t>
      </w:r>
      <w:r w:rsidRPr="00806C98">
        <w:rPr>
          <w:color w:val="000000" w:themeColor="text1"/>
        </w:rPr>
        <w:t xml:space="preserve"> mostly useful to stop insects from breeding prevent insects from eating act as Growth Stimulators and Inhibitors against pathogens, growth regulators</w:t>
      </w:r>
      <w:r w:rsidR="005C686F" w:rsidRPr="00806C98">
        <w:rPr>
          <w:color w:val="000000" w:themeColor="text1"/>
        </w:rPr>
        <w:t xml:space="preserve"> and</w:t>
      </w:r>
      <w:r w:rsidRPr="00806C98">
        <w:rPr>
          <w:color w:val="000000" w:themeColor="text1"/>
        </w:rPr>
        <w:t xml:space="preserve"> substitutes for some minerals in plants </w:t>
      </w:r>
      <w:sdt>
        <w:sdtPr>
          <w:rPr>
            <w:color w:val="000000" w:themeColor="text1"/>
          </w:rPr>
          <w:tag w:val="MENDELEY_CITATION_v3_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"/>
          <w:id w:val="-2090151022"/>
          <w:placeholder>
            <w:docPart w:val="C796E44BA29C7B49B74F3F722913E754"/>
          </w:placeholder>
        </w:sdtPr>
        <w:sdtContent>
          <w:r w:rsidR="00C006F8" w:rsidRPr="00806C98">
            <w:rPr>
              <w:color w:val="000000" w:themeColor="text1"/>
            </w:rPr>
            <w:t>(Waller &amp; Nowacki, 1978)</w:t>
          </w:r>
        </w:sdtContent>
      </w:sdt>
      <w:r w:rsidRPr="00806C98">
        <w:rPr>
          <w:color w:val="000000" w:themeColor="text1"/>
        </w:rPr>
        <w:t xml:space="preserve">. </w:t>
      </w:r>
      <w:r w:rsidRPr="00806C98">
        <w:rPr>
          <w:rFonts w:eastAsiaTheme="minorHAnsi"/>
          <w:color w:val="000000" w:themeColor="text1"/>
        </w:rPr>
        <w:t xml:space="preserve">they can be classified </w:t>
      </w:r>
      <w:r w:rsidRPr="001B2AE1">
        <w:rPr>
          <w:rFonts w:eastAsiaTheme="minorHAnsi"/>
        </w:rPr>
        <w:t xml:space="preserve">based on different characteristics, </w:t>
      </w:r>
      <w:r w:rsidR="0079569E">
        <w:rPr>
          <w:rFonts w:eastAsiaTheme="minorHAnsi"/>
        </w:rPr>
        <w:t>For example</w:t>
      </w:r>
      <w:r w:rsidRPr="001B2AE1">
        <w:rPr>
          <w:rFonts w:eastAsiaTheme="minorHAnsi"/>
        </w:rPr>
        <w:t xml:space="preserve"> according to the amino acids from which derive, also according to the structure of the ring system containing the nitrogen atom like (pyrrolidine, piperidine, pyrrolizidine, tropane, quinoline, isoquinoline, indole, imidazole, diazocine, purine, steroidal, amino, and diterpene alkaloids).</w:t>
      </w:r>
    </w:p>
    <w:p w14:paraId="6C8E0268" w14:textId="001173D8" w:rsidR="0019038E" w:rsidRPr="001B2AE1" w:rsidRDefault="0019038E" w:rsidP="005C686F">
      <w:pPr>
        <w:pStyle w:val="mythesis"/>
        <w:rPr>
          <w:rFonts w:eastAsiaTheme="minorHAnsi"/>
        </w:rPr>
      </w:pPr>
      <w:r w:rsidRPr="001B2AE1">
        <w:rPr>
          <w:rFonts w:eastAsiaTheme="minorHAnsi"/>
        </w:rPr>
        <w:t xml:space="preserve">The role of alkaloids in plants is mostly in defense against predators such as insects and herbivores, also against microorganisms. Most alkaloids derive from amino acid precursors (ornithine, lysine, tyrosine, tryptophan, and histidine) or from anthranilic acid or nicotinic acid. So, alkaloids synthesized in the tricarboxylic acid cycle pathway </w:t>
      </w:r>
      <w:sdt>
        <w:sdtPr>
          <w:rPr>
            <w:rFonts w:eastAsiaTheme="minorHAnsi"/>
            <w:color w:val="000000"/>
          </w:rPr>
          <w:tag w:val="MENDELEY_CITATION_v3_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"/>
          <w:id w:val="-1570263215"/>
          <w:placeholder>
            <w:docPart w:val="C796E44BA29C7B49B74F3F722913E754"/>
          </w:placeholder>
        </w:sdtPr>
        <w:sdtContent>
          <w:r w:rsidR="00C006F8" w:rsidRPr="00C006F8">
            <w:rPr>
              <w:rFonts w:eastAsiaTheme="minorHAnsi"/>
              <w:color w:val="000000"/>
            </w:rPr>
            <w:t>(Jamwal et al., 2018a)</w:t>
          </w:r>
        </w:sdtContent>
      </w:sdt>
      <w:r w:rsidRPr="001B2AE1">
        <w:rPr>
          <w:rFonts w:eastAsiaTheme="minorHAnsi"/>
        </w:rPr>
        <w:t xml:space="preserve">. </w:t>
      </w:r>
    </w:p>
    <w:p w14:paraId="4BFDC0E2" w14:textId="195307FE" w:rsidR="0019038E" w:rsidRPr="0037482F" w:rsidRDefault="0019038E" w:rsidP="0037482F">
      <w:pPr>
        <w:pStyle w:val="mythesis"/>
        <w:rPr>
          <w:lang w:val="en-SA"/>
        </w:rPr>
      </w:pPr>
      <w:r w:rsidRPr="001B2AE1">
        <w:rPr>
          <w:rFonts w:eastAsiaTheme="minorHAnsi"/>
        </w:rPr>
        <w:t xml:space="preserve">Alkaloids involved in the regulation of many of the abiotic stress such as high temperature, the plant increased the level of essential metabolites and thereby tolerate unfavorable conditions </w:t>
      </w:r>
      <w:sdt>
        <w:sdtPr>
          <w:rPr>
            <w:rFonts w:eastAsiaTheme="minorHAnsi"/>
          </w:rPr>
          <w:tag w:val="MENDELEY_CITATION_v3_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"/>
          <w:id w:val="44111710"/>
          <w:placeholder>
            <w:docPart w:val="C796E44BA29C7B49B74F3F722913E754"/>
          </w:placeholder>
        </w:sdtPr>
        <w:sdtContent>
          <w:r w:rsidR="00C006F8">
            <w:t>(Karwasara &amp; Dixit, 2013)</w:t>
          </w:r>
        </w:sdtContent>
      </w:sdt>
      <w:r w:rsidRPr="001B2AE1">
        <w:rPr>
          <w:rFonts w:eastAsiaTheme="minorHAnsi"/>
        </w:rPr>
        <w:t>. High temperatures improve alkaloid biosynthesis</w:t>
      </w:r>
      <w:r w:rsidR="00747480">
        <w:rPr>
          <w:rFonts w:eastAsiaTheme="minorHAnsi"/>
        </w:rPr>
        <w:t>,</w:t>
      </w:r>
      <w:r w:rsidRPr="001B2AE1">
        <w:rPr>
          <w:rFonts w:eastAsiaTheme="minorHAnsi"/>
        </w:rPr>
        <w:t xml:space="preserve"> on another hand, alkaloid synthesis (phthalisoquinoline, morphinane and benzylisoquinoline) is inhibited in plants at low temperature</w:t>
      </w:r>
      <w:r w:rsidR="004966F0">
        <w:rPr>
          <w:rFonts w:eastAsiaTheme="minorHAnsi"/>
        </w:rPr>
        <w:t>s</w:t>
      </w:r>
      <w:r w:rsidRPr="001B2AE1">
        <w:rPr>
          <w:rFonts w:eastAsiaTheme="minorHAnsi"/>
        </w:rPr>
        <w:t xml:space="preserve"> such as </w:t>
      </w:r>
      <w:r w:rsidRPr="001B2AE1">
        <w:rPr>
          <w:rFonts w:eastAsiaTheme="minorHAnsi"/>
          <w:i/>
        </w:rPr>
        <w:t>Papaver somniferum</w:t>
      </w:r>
      <w:r w:rsidRPr="001B2AE1">
        <w:rPr>
          <w:rFonts w:eastAsiaTheme="minorHAnsi"/>
        </w:rPr>
        <w:t xml:space="preserve">. For example, alkaloid </w:t>
      </w:r>
      <w:r w:rsidRPr="00806C98">
        <w:rPr>
          <w:rFonts w:eastAsiaTheme="minorHAnsi"/>
        </w:rPr>
        <w:t>accumulation</w:t>
      </w:r>
      <w:r w:rsidR="004966F0" w:rsidRPr="00806C98">
        <w:rPr>
          <w:rFonts w:eastAsiaTheme="minorHAnsi"/>
        </w:rPr>
        <w:t xml:space="preserve"> is</w:t>
      </w:r>
      <w:r w:rsidRPr="00806C98">
        <w:rPr>
          <w:rFonts w:eastAsiaTheme="minorHAnsi"/>
        </w:rPr>
        <w:t xml:space="preserve"> induced </w:t>
      </w:r>
      <w:r w:rsidRPr="001B2AE1">
        <w:rPr>
          <w:rFonts w:eastAsiaTheme="minorHAnsi"/>
        </w:rPr>
        <w:lastRenderedPageBreak/>
        <w:t xml:space="preserve">considerably by different cultivars of </w:t>
      </w:r>
      <w:r w:rsidRPr="00D30C2B">
        <w:rPr>
          <w:rFonts w:eastAsiaTheme="minorHAnsi"/>
          <w:i/>
        </w:rPr>
        <w:t xml:space="preserve">Lupinus </w:t>
      </w:r>
      <w:r w:rsidR="00D30C2B">
        <w:rPr>
          <w:rFonts w:eastAsiaTheme="minorHAnsi"/>
          <w:i/>
        </w:rPr>
        <w:t>a</w:t>
      </w:r>
      <w:r w:rsidRPr="00D30C2B">
        <w:rPr>
          <w:rFonts w:eastAsiaTheme="minorHAnsi"/>
          <w:i/>
        </w:rPr>
        <w:t>ngustifolius</w:t>
      </w:r>
      <w:r w:rsidRPr="001B2AE1">
        <w:rPr>
          <w:rFonts w:eastAsiaTheme="minorHAnsi"/>
        </w:rPr>
        <w:t xml:space="preserve"> subjected to high temperatures in the field </w:t>
      </w:r>
      <w:sdt>
        <w:sdtPr>
          <w:rPr>
            <w:rFonts w:eastAsiaTheme="minorHAnsi"/>
            <w:color w:val="000000"/>
          </w:rPr>
          <w:tag w:val="MENDELEY_CITATION_v3_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"/>
          <w:id w:val="-378777925"/>
          <w:placeholder>
            <w:docPart w:val="C796E44BA29C7B49B74F3F722913E754"/>
          </w:placeholder>
        </w:sdtPr>
        <w:sdtContent>
          <w:r w:rsidR="00C006F8" w:rsidRPr="00C006F8">
            <w:rPr>
              <w:rFonts w:eastAsiaTheme="minorHAnsi"/>
              <w:color w:val="000000"/>
            </w:rPr>
            <w:t>(Jansen et al., 2009)</w:t>
          </w:r>
        </w:sdtContent>
      </w:sdt>
      <w:r w:rsidRPr="001B2AE1">
        <w:rPr>
          <w:rFonts w:eastAsiaTheme="minorHAnsi"/>
        </w:rPr>
        <w:t>.</w:t>
      </w:r>
      <w:r w:rsidR="00747480">
        <w:rPr>
          <w:rFonts w:eastAsiaTheme="minorHAnsi"/>
        </w:rPr>
        <w:t xml:space="preserve"> A</w:t>
      </w:r>
      <w:r w:rsidRPr="001B2AE1">
        <w:rPr>
          <w:rFonts w:eastAsiaTheme="minorHAnsi"/>
        </w:rPr>
        <w:t xml:space="preserve">lso, the alkaloid (hydroxycamptothecin) accumulation was reported as 6 times higher in </w:t>
      </w:r>
      <w:r w:rsidRPr="001B2AE1">
        <w:rPr>
          <w:rFonts w:eastAsiaTheme="minorHAnsi"/>
          <w:i/>
        </w:rPr>
        <w:t>Camptotheca acuminata</w:t>
      </w:r>
      <w:r w:rsidRPr="001B2AE1">
        <w:rPr>
          <w:rFonts w:eastAsiaTheme="minorHAnsi"/>
        </w:rPr>
        <w:t xml:space="preserve"> seedling leaves when incubation at </w:t>
      </w:r>
      <w:r w:rsidRPr="001B2AE1">
        <w:rPr>
          <w:rFonts w:asciiTheme="majorBidi" w:eastAsiaTheme="minorHAnsi" w:hAnsiTheme="majorBidi" w:cstheme="majorBidi"/>
        </w:rPr>
        <w:t xml:space="preserve">40 </w:t>
      </w:r>
      <w:r w:rsidRPr="001B2AE1">
        <w:rPr>
          <w:rFonts w:asciiTheme="majorBidi" w:hAnsiTheme="majorBidi" w:cstheme="majorBidi"/>
          <w:sz w:val="21"/>
          <w:szCs w:val="21"/>
          <w:shd w:val="clear" w:color="auto" w:fill="FFFFFF"/>
          <w:lang w:val="en-SA"/>
        </w:rPr>
        <w:t>°C</w:t>
      </w:r>
      <w:r w:rsidR="005C686F">
        <w:t xml:space="preserve"> </w:t>
      </w:r>
      <w:r w:rsidRPr="001B2AE1">
        <w:rPr>
          <w:rFonts w:eastAsiaTheme="minorHAnsi"/>
        </w:rPr>
        <w:t xml:space="preserve">for 2 h that supports that alkaloid could involve in the plant tolerance of the heat-shock </w:t>
      </w:r>
      <w:sdt>
        <w:sdtPr>
          <w:rPr>
            <w:rFonts w:eastAsiaTheme="minorHAnsi"/>
            <w:color w:val="000000"/>
          </w:rPr>
          <w:tag w:val="MENDELEY_CITATION_v3_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"/>
          <w:id w:val="152344859"/>
          <w:placeholder>
            <w:docPart w:val="C796E44BA29C7B49B74F3F722913E754"/>
          </w:placeholder>
        </w:sdtPr>
        <w:sdtContent>
          <w:r w:rsidR="00C006F8" w:rsidRPr="00C006F8">
            <w:rPr>
              <w:rFonts w:eastAsiaTheme="minorHAnsi"/>
              <w:color w:val="000000"/>
            </w:rPr>
            <w:t>(Zu et al., 2003)</w:t>
          </w:r>
        </w:sdtContent>
      </w:sdt>
      <w:r w:rsidRPr="001B2AE1">
        <w:t xml:space="preserve">, </w:t>
      </w:r>
      <w:r w:rsidRPr="001B2AE1">
        <w:rPr>
          <w:rFonts w:eastAsiaTheme="minorHAnsi"/>
        </w:rPr>
        <w:t xml:space="preserve">on the contrary, when exposed </w:t>
      </w:r>
      <w:r w:rsidRPr="001B2AE1">
        <w:rPr>
          <w:rFonts w:eastAsiaTheme="minorHAnsi"/>
          <w:i/>
        </w:rPr>
        <w:t>Catharanthus roseus</w:t>
      </w:r>
      <w:r w:rsidRPr="001B2AE1">
        <w:rPr>
          <w:rFonts w:eastAsiaTheme="minorHAnsi"/>
        </w:rPr>
        <w:t xml:space="preserve"> leaves to low temperatures, the rose leaves of </w:t>
      </w:r>
      <w:r w:rsidRPr="001B2AE1">
        <w:rPr>
          <w:rFonts w:eastAsiaTheme="minorHAnsi"/>
          <w:i/>
        </w:rPr>
        <w:t>Catharanthus</w:t>
      </w:r>
      <w:r w:rsidRPr="001B2AE1">
        <w:rPr>
          <w:rFonts w:eastAsiaTheme="minorHAnsi"/>
        </w:rPr>
        <w:t xml:space="preserve"> display</w:t>
      </w:r>
      <w:r w:rsidR="00747480">
        <w:rPr>
          <w:rFonts w:eastAsiaTheme="minorHAnsi"/>
        </w:rPr>
        <w:t>ed</w:t>
      </w:r>
      <w:r w:rsidRPr="001B2AE1">
        <w:rPr>
          <w:rFonts w:eastAsiaTheme="minorHAnsi"/>
        </w:rPr>
        <w:t xml:space="preserve"> lower amounts of alkaloids compounds (vindoline and catharanthine) </w:t>
      </w:r>
      <w:sdt>
        <w:sdtPr>
          <w:rPr>
            <w:rFonts w:eastAsiaTheme="minorHAnsi"/>
            <w:color w:val="000000"/>
          </w:rPr>
          <w:tag w:val="MENDELEY_CITATION_v3_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"/>
          <w:id w:val="694583074"/>
          <w:placeholder>
            <w:docPart w:val="C796E44BA29C7B49B74F3F722913E754"/>
          </w:placeholder>
        </w:sdtPr>
        <w:sdtContent>
          <w:r w:rsidR="00C006F8" w:rsidRPr="00C006F8">
            <w:rPr>
              <w:rFonts w:eastAsiaTheme="minorHAnsi"/>
              <w:color w:val="000000"/>
            </w:rPr>
            <w:t>(Dutta et al., 2007)</w:t>
          </w:r>
        </w:sdtContent>
      </w:sdt>
      <w:r w:rsidRPr="001B2AE1">
        <w:rPr>
          <w:rFonts w:eastAsiaTheme="minorHAnsi"/>
        </w:rPr>
        <w:t>.</w:t>
      </w:r>
    </w:p>
    <w:p w14:paraId="60DD88F3" w14:textId="7513242F" w:rsidR="0019038E" w:rsidRPr="001B2AE1" w:rsidRDefault="0019038E" w:rsidP="0037482F">
      <w:pPr>
        <w:pStyle w:val="mythesis"/>
      </w:pPr>
      <w:r w:rsidRPr="001B2AE1">
        <w:rPr>
          <w:rFonts w:eastAsiaTheme="minorHAnsi"/>
        </w:rPr>
        <w:t xml:space="preserve">Changes in the concentrations in secondary plant metabolite of AM plants for may be (1) because of improved mineral nutrition, and/or (2) due to fungal colonization in plants </w:t>
      </w:r>
      <w:sdt>
        <w:sdtPr>
          <w:rPr>
            <w:rFonts w:eastAsiaTheme="minorHAnsi"/>
            <w:color w:val="000000"/>
          </w:rPr>
          <w:tag w:val="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"/>
          <w:id w:val="577630866"/>
          <w:placeholder>
            <w:docPart w:val="C796E44BA29C7B49B74F3F722913E754"/>
          </w:placeholder>
        </w:sdtPr>
        <w:sdtEndPr>
          <w:rPr>
            <w:rFonts w:eastAsia="Times New Roman"/>
            <w:shd w:val="clear" w:color="auto" w:fill="FFFFFF"/>
          </w:rPr>
        </w:sdtEndPr>
        <w:sdtContent>
          <w:r w:rsidR="00C006F8" w:rsidRPr="00C006F8">
            <w:rPr>
              <w:color w:val="000000"/>
              <w:shd w:val="clear" w:color="auto" w:fill="FFFFFF"/>
            </w:rPr>
            <w:t>(Ceccarelli et al., 2010; Copetta et al., 2006; Fontana et al., 2009; Kapoor et al., 2007; Mandal et al., 2013; Sbrana et al., 2014; Toussaint, 2007; Toussaint et al., 2007)</w:t>
          </w:r>
        </w:sdtContent>
      </w:sdt>
      <w:r w:rsidRPr="001B2AE1">
        <w:rPr>
          <w:shd w:val="clear" w:color="auto" w:fill="FFFFFF"/>
        </w:rPr>
        <w:t>,</w:t>
      </w:r>
      <w:r w:rsidRPr="001B2AE1">
        <w:t xml:space="preserve"> </w:t>
      </w:r>
      <w:r w:rsidRPr="001B2AE1">
        <w:rPr>
          <w:shd w:val="clear" w:color="auto" w:fill="FFFFFF"/>
        </w:rPr>
        <w:t xml:space="preserve">The explanations for the impact of AMF on phenolic acid, jasmonic alkaloids and flavonoids in </w:t>
      </w:r>
      <w:r w:rsidRPr="001B2AE1">
        <w:rPr>
          <w:i/>
          <w:shd w:val="clear" w:color="auto" w:fill="FFFFFF"/>
        </w:rPr>
        <w:t>Zea mays</w:t>
      </w:r>
      <w:r w:rsidRPr="001B2AE1">
        <w:rPr>
          <w:shd w:val="clear" w:color="auto" w:fill="FFFFFF"/>
        </w:rPr>
        <w:t xml:space="preserve"> in our study are both possible in these mechanisms.</w:t>
      </w:r>
    </w:p>
    <w:p w14:paraId="2DDBACDE" w14:textId="04145FDF" w:rsidR="0019038E" w:rsidRPr="001B2AE1" w:rsidRDefault="0019038E" w:rsidP="0037482F">
      <w:pPr>
        <w:pStyle w:val="mythesis"/>
        <w:rPr>
          <w:rFonts w:eastAsiaTheme="minorHAnsi"/>
        </w:rPr>
      </w:pPr>
      <w:r w:rsidRPr="001B2AE1">
        <w:rPr>
          <w:rFonts w:eastAsiaTheme="minorHAnsi"/>
        </w:rPr>
        <w:t xml:space="preserve">There were important positive correlations found in shootings and roots of </w:t>
      </w:r>
      <w:r w:rsidRPr="001B2AE1">
        <w:rPr>
          <w:rFonts w:eastAsiaTheme="minorHAnsi"/>
          <w:i/>
        </w:rPr>
        <w:t>Zea mays</w:t>
      </w:r>
      <w:r w:rsidRPr="001B2AE1">
        <w:rPr>
          <w:rFonts w:eastAsiaTheme="minorHAnsi"/>
        </w:rPr>
        <w:t xml:space="preserve"> between mycorrhizal parameters and element concentrations,</w:t>
      </w:r>
      <w:r w:rsidRPr="001B2AE1">
        <w:t xml:space="preserve"> </w:t>
      </w:r>
      <w:r w:rsidRPr="001B2AE1">
        <w:rPr>
          <w:rFonts w:eastAsiaTheme="minorHAnsi"/>
        </w:rPr>
        <w:t xml:space="preserve">A likely mechanism for this relationship is increased P, and other nutrients transfer through more abundant mycorrhizal structures </w:t>
      </w:r>
      <w:sdt>
        <w:sdtPr>
          <w:rPr>
            <w:rFonts w:eastAsiaTheme="minorHAnsi"/>
          </w:rPr>
          <w:tag w:val="MENDELEY_CITATION_v3_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"/>
          <w:id w:val="-1410536593"/>
          <w:placeholder>
            <w:docPart w:val="C796E44BA29C7B49B74F3F722913E754"/>
          </w:placeholder>
        </w:sdtPr>
        <w:sdtContent>
          <w:r w:rsidR="00C006F8">
            <w:t>( Smith &amp; Read, 2008; Treseder, 2013)</w:t>
          </w:r>
        </w:sdtContent>
      </w:sdt>
      <w:r w:rsidRPr="001B2AE1">
        <w:rPr>
          <w:rFonts w:eastAsiaTheme="minorHAnsi"/>
        </w:rPr>
        <w:t>.</w:t>
      </w:r>
      <w:r w:rsidRPr="001B2AE1">
        <w:t xml:space="preserve"> </w:t>
      </w:r>
      <w:r w:rsidRPr="001B2AE1">
        <w:rPr>
          <w:rFonts w:eastAsiaTheme="minorHAnsi"/>
        </w:rPr>
        <w:t xml:space="preserve">Higher availability of nutrients in AM plants could therefore help to create both the amino acids that are the precursors for phenol compounds and enzymes in which this group of chemicals is synthesized </w:t>
      </w:r>
      <w:sdt>
        <w:sdtPr>
          <w:rPr>
            <w:rFonts w:eastAsiaTheme="minorHAnsi"/>
            <w:color w:val="000000"/>
          </w:rPr>
          <w:tag w:val="MENDELEY_CITATION_v3_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"/>
          <w:id w:val="1978791866"/>
          <w:placeholder>
            <w:docPart w:val="C796E44BA29C7B49B74F3F722913E754"/>
          </w:placeholder>
        </w:sdtPr>
        <w:sdtContent>
          <w:r w:rsidR="00C006F8" w:rsidRPr="00C006F8">
            <w:rPr>
              <w:rFonts w:eastAsiaTheme="minorHAnsi"/>
              <w:color w:val="000000"/>
            </w:rPr>
            <w:t>(Toussaint, 2007)</w:t>
          </w:r>
        </w:sdtContent>
      </w:sdt>
      <w:r w:rsidRPr="001B2AE1">
        <w:rPr>
          <w:rFonts w:eastAsiaTheme="minorHAnsi"/>
        </w:rPr>
        <w:t>.</w:t>
      </w:r>
    </w:p>
    <w:p w14:paraId="5F838B47" w14:textId="414971EE" w:rsidR="0019038E" w:rsidRPr="001B2AE1" w:rsidRDefault="0019038E" w:rsidP="0037482F">
      <w:pPr>
        <w:pStyle w:val="mythesis"/>
      </w:pPr>
      <w:r w:rsidRPr="001B2AE1">
        <w:rPr>
          <w:shd w:val="clear" w:color="auto" w:fill="FFFFFF"/>
        </w:rPr>
        <w:t xml:space="preserve">Such a trend of biomass decline in mycorrhizal plants is usually explained by carbon drain for the maintenance of AM symbiosis </w:t>
      </w:r>
      <w:sdt>
        <w:sdtPr>
          <w:rPr>
            <w:shd w:val="clear" w:color="auto" w:fill="FFFFFF"/>
          </w:rPr>
          <w:tag w:val="MENDELEY_CITATION_v3_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"/>
          <w:id w:val="-1647115704"/>
          <w:placeholder>
            <w:docPart w:val="C796E44BA29C7B49B74F3F722913E754"/>
          </w:placeholder>
        </w:sdtPr>
        <w:sdtContent>
          <w:r w:rsidR="00C006F8">
            <w:t>( Smith &amp; Read, 2008)</w:t>
          </w:r>
        </w:sdtContent>
      </w:sdt>
      <w:r w:rsidRPr="001B2AE1">
        <w:rPr>
          <w:shd w:val="clear" w:color="auto" w:fill="FFFFFF"/>
        </w:rPr>
        <w:t xml:space="preserve">. If the outflow of photosynthates to fungi is greater than the increase in productivity due to better plant nutrition, there may be a net decrease in carbon supply, leading to a decline in biomass </w:t>
      </w:r>
      <w:sdt>
        <w:sdtPr>
          <w:rPr>
            <w:color w:val="000000"/>
            <w:shd w:val="clear" w:color="auto" w:fill="FFFFFF"/>
          </w:rPr>
          <w:tag w:val="MENDELEY_CITATION_v3_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"/>
          <w:id w:val="-345869204"/>
          <w:placeholder>
            <w:docPart w:val="C796E44BA29C7B49B74F3F722913E754"/>
          </w:placeholder>
        </w:sdtPr>
        <w:sdtContent>
          <w:r w:rsidR="00C006F8" w:rsidRPr="00C006F8">
            <w:rPr>
              <w:color w:val="000000"/>
              <w:shd w:val="clear" w:color="auto" w:fill="FFFFFF"/>
            </w:rPr>
            <w:t>(Fontana et al., 2009).</w:t>
          </w:r>
        </w:sdtContent>
      </w:sdt>
    </w:p>
    <w:p w14:paraId="3FA42A37" w14:textId="4BAD8D21" w:rsidR="0019038E" w:rsidRPr="001B2AE1" w:rsidRDefault="0019038E" w:rsidP="0037482F">
      <w:pPr>
        <w:pStyle w:val="mythesis"/>
        <w:rPr>
          <w:rFonts w:eastAsiaTheme="minorHAnsi"/>
        </w:rPr>
      </w:pPr>
      <w:r w:rsidRPr="001B2AE1">
        <w:rPr>
          <w:rFonts w:eastAsiaTheme="minorHAnsi"/>
        </w:rPr>
        <w:t xml:space="preserve">Enhanced production of </w:t>
      </w:r>
      <w:r w:rsidRPr="001B2AE1">
        <w:rPr>
          <w:rFonts w:eastAsiaTheme="minorHAnsi"/>
          <w:i/>
        </w:rPr>
        <w:t>V. Tricolor</w:t>
      </w:r>
      <w:r w:rsidRPr="001B2AE1">
        <w:rPr>
          <w:rFonts w:eastAsiaTheme="minorHAnsi"/>
        </w:rPr>
        <w:t xml:space="preserve"> secondary metabolites can be caused by improved AMF mineral nutrition and/or by an overall plant defense reaction to fungal colonization The tendency towards biomass reduction in AMF therapies can be explained by allocating plant carbon to support symbiont and improved secondary compound production </w:t>
      </w:r>
      <w:sdt>
        <w:sdtPr>
          <w:rPr>
            <w:rFonts w:eastAsiaTheme="minorHAnsi"/>
            <w:color w:val="000000"/>
          </w:rPr>
          <w:tag w:val="MENDELEY_CITATION_v3_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"/>
          <w:id w:val="-1256966504"/>
          <w:placeholder>
            <w:docPart w:val="C796E44BA29C7B49B74F3F722913E754"/>
          </w:placeholder>
        </w:sdtPr>
        <w:sdtContent>
          <w:r w:rsidR="00C006F8" w:rsidRPr="00C006F8">
            <w:rPr>
              <w:rFonts w:eastAsiaTheme="minorHAnsi"/>
              <w:color w:val="000000"/>
            </w:rPr>
            <w:t>(Zubek et al., 2015).</w:t>
          </w:r>
        </w:sdtContent>
      </w:sdt>
    </w:p>
    <w:p w14:paraId="17F44EE2" w14:textId="53B27E3B" w:rsidR="0019038E" w:rsidRPr="001B2AE1" w:rsidRDefault="0019038E" w:rsidP="0037482F">
      <w:pPr>
        <w:pStyle w:val="mythesis"/>
      </w:pPr>
      <w:r w:rsidRPr="001B2AE1">
        <w:lastRenderedPageBreak/>
        <w:t xml:space="preserve">The tendency towards biomass decrease in AM treatments might be explained by the distribution of plant carbon to maintain fungal symbiont and improved secondary metabolite production </w:t>
      </w:r>
      <w:sdt>
        <w:sdtPr>
          <w:rPr>
            <w:color w:val="000000"/>
          </w:rPr>
          <w:tag w:val="MENDELEY_CITATION_v3_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"/>
          <w:id w:val="324790592"/>
          <w:placeholder>
            <w:docPart w:val="C796E44BA29C7B49B74F3F722913E754"/>
          </w:placeholder>
        </w:sdtPr>
        <w:sdtContent>
          <w:r w:rsidR="00C006F8" w:rsidRPr="00C006F8">
            <w:rPr>
              <w:color w:val="000000"/>
            </w:rPr>
            <w:t>(Fontana et al., 2009).</w:t>
          </w:r>
        </w:sdtContent>
      </w:sdt>
    </w:p>
    <w:p w14:paraId="1282F1D8" w14:textId="42F5D100" w:rsidR="0019038E" w:rsidRPr="001B2AE1" w:rsidRDefault="0019038E" w:rsidP="0037482F">
      <w:pPr>
        <w:pStyle w:val="mythesis"/>
        <w:rPr>
          <w:rFonts w:eastAsiaTheme="minorHAnsi"/>
        </w:rPr>
      </w:pPr>
      <w:r w:rsidRPr="001B2AE1">
        <w:rPr>
          <w:shd w:val="clear" w:color="auto" w:fill="FFFFFF"/>
        </w:rPr>
        <w:t>A second possible mechanism of AMF influence on plant secondary metabolism is not related to hosting nutritional status.</w:t>
      </w:r>
      <w:r w:rsidRPr="001B2AE1">
        <w:rPr>
          <w:rFonts w:eastAsiaTheme="minorHAnsi"/>
        </w:rPr>
        <w:t xml:space="preserve"> But connected with the formation of AM symbiosis is characterized by a chemical crosstalk mediated by genetic changes in plant and fungal in their molecular signals.</w:t>
      </w:r>
      <w:r w:rsidRPr="001B2AE1">
        <w:t xml:space="preserve"> </w:t>
      </w:r>
      <w:r w:rsidRPr="001B2AE1">
        <w:rPr>
          <w:rFonts w:eastAsiaTheme="minorHAnsi"/>
        </w:rPr>
        <w:t xml:space="preserve">Chemical defense is induced by the altering genetic expressions in hosts due to AMF colonization influence their metabolism </w:t>
      </w:r>
      <w:sdt>
        <w:sdtPr>
          <w:rPr>
            <w:rFonts w:eastAsiaTheme="minorHAnsi"/>
            <w:color w:val="000000"/>
          </w:rPr>
          <w:tag w:val="MENDELEY_CITATION_v3_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"/>
          <w:id w:val="-570963780"/>
          <w:placeholder>
            <w:docPart w:val="C796E44BA29C7B49B74F3F722913E754"/>
          </w:placeholder>
        </w:sdtPr>
        <w:sdtContent>
          <w:r w:rsidR="00C006F8" w:rsidRPr="00C006F8">
            <w:rPr>
              <w:rFonts w:eastAsiaTheme="minorHAnsi"/>
              <w:color w:val="000000"/>
            </w:rPr>
            <w:t>(Cameron et al., 2013a; Fontana et al., 2009; Volpin et al., 1994)</w:t>
          </w:r>
        </w:sdtContent>
      </w:sdt>
      <w:r w:rsidRPr="001B2AE1">
        <w:rPr>
          <w:rFonts w:eastAsiaTheme="minorHAnsi"/>
        </w:rPr>
        <w:t>,</w:t>
      </w:r>
      <w:r w:rsidRPr="001B2AE1">
        <w:t xml:space="preserve"> </w:t>
      </w:r>
      <w:r w:rsidRPr="001B2AE1">
        <w:rPr>
          <w:rFonts w:eastAsiaTheme="minorHAnsi"/>
        </w:rPr>
        <w:t>Roots colonized with AMF were found to have increased levels of transcripts encoding phenylalanine ammonia-lyase (PAL) and chalcone synthase (CHS) </w:t>
      </w:r>
      <w:sdt>
        <w:sdtPr>
          <w:rPr>
            <w:rFonts w:eastAsiaTheme="minorHAnsi"/>
            <w:color w:val="000000"/>
          </w:rPr>
          <w:tag w:val="MENDELEY_CITATION_v3_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"/>
          <w:id w:val="-1620985117"/>
          <w:placeholder>
            <w:docPart w:val="C796E44BA29C7B49B74F3F722913E754"/>
          </w:placeholder>
        </w:sdtPr>
        <w:sdtContent>
          <w:r w:rsidR="00C006F8" w:rsidRPr="00C006F8">
            <w:rPr>
              <w:rFonts w:eastAsiaTheme="minorHAnsi"/>
              <w:color w:val="000000"/>
            </w:rPr>
            <w:t>(Blilou et al., 2000; Bonanomi et al., 2001)</w:t>
          </w:r>
        </w:sdtContent>
      </w:sdt>
      <w:r w:rsidRPr="001B2AE1">
        <w:rPr>
          <w:rFonts w:eastAsiaTheme="minorHAnsi"/>
        </w:rPr>
        <w:t>.</w:t>
      </w:r>
      <w:r w:rsidRPr="001B2AE1">
        <w:t xml:space="preserve"> </w:t>
      </w:r>
      <w:r w:rsidRPr="001B2AE1">
        <w:rPr>
          <w:rFonts w:eastAsiaTheme="minorHAnsi"/>
        </w:rPr>
        <w:t xml:space="preserve">PAL is involved in the synthesis of a variety of phenolic compounds on the phenylpropanoid pathway </w:t>
      </w:r>
      <w:sdt>
        <w:sdtPr>
          <w:rPr>
            <w:rFonts w:eastAsiaTheme="minorHAnsi"/>
          </w:rPr>
          <w:tag w:val="MENDELEY_CITATION_v3_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"/>
          <w:id w:val="666670264"/>
          <w:placeholder>
            <w:docPart w:val="C796E44BA29C7B49B74F3F722913E754"/>
          </w:placeholder>
        </w:sdtPr>
        <w:sdtContent>
          <w:r w:rsidR="00C006F8">
            <w:t>(MacDonald &amp; D’Cunha, 2007)</w:t>
          </w:r>
        </w:sdtContent>
      </w:sdt>
      <w:r w:rsidRPr="001B2AE1">
        <w:rPr>
          <w:rFonts w:eastAsiaTheme="minorHAnsi"/>
        </w:rPr>
        <w:t>,</w:t>
      </w:r>
      <w:r w:rsidRPr="001B2AE1">
        <w:t xml:space="preserve">While CHS is the major flavonoid biosynthesis enzyme </w:t>
      </w:r>
      <w:sdt>
        <w:sdtPr>
          <w:tag w:val="MENDELEY_CITATION_v3_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"/>
          <w:id w:val="-219058354"/>
          <w:placeholder>
            <w:docPart w:val="C796E44BA29C7B49B74F3F722913E754"/>
          </w:placeholder>
        </w:sdtPr>
        <w:sdtContent>
          <w:r w:rsidR="00C006F8">
            <w:t>(Austin &amp; Noel, 2003).</w:t>
          </w:r>
        </w:sdtContent>
      </w:sdt>
    </w:p>
    <w:p w14:paraId="4484B8B8" w14:textId="77777777" w:rsidR="0019038E" w:rsidRPr="001B2AE1" w:rsidRDefault="0019038E" w:rsidP="0019038E">
      <w:pPr>
        <w:pStyle w:val="Heading3"/>
      </w:pPr>
      <w:bookmarkStart w:id="171" w:name="_Toc83751494"/>
      <w:r w:rsidRPr="001B2AE1">
        <w:t xml:space="preserve">4.4.5 Pathways that play important role in the detected secondary metabolites compounds in shoots and roots of </w:t>
      </w:r>
      <w:r w:rsidRPr="001B2AE1">
        <w:rPr>
          <w:i/>
        </w:rPr>
        <w:t>Zea mays</w:t>
      </w:r>
      <w:bookmarkEnd w:id="171"/>
    </w:p>
    <w:p w14:paraId="32AF4F19" w14:textId="77777777" w:rsidR="0019038E" w:rsidRPr="001B2AE1" w:rsidRDefault="0019038E" w:rsidP="0019038E">
      <w:pPr>
        <w:rPr>
          <w:color w:val="000000" w:themeColor="text1"/>
        </w:rPr>
      </w:pPr>
    </w:p>
    <w:p w14:paraId="0A7A4D46" w14:textId="6198D0FF" w:rsidR="0019038E" w:rsidRPr="001B2AE1" w:rsidRDefault="00000000" w:rsidP="00496A31">
      <w:pPr>
        <w:pStyle w:val="mythesis"/>
        <w:rPr>
          <w:rFonts w:eastAsiaTheme="minorHAnsi"/>
        </w:rPr>
      </w:pPr>
      <w:sdt>
        <w:sdtPr>
          <w:rPr>
            <w:rFonts w:eastAsiaTheme="minorHAnsi"/>
            <w:color w:val="000000"/>
          </w:rPr>
          <w:tag w:val="MENDELEY_CITATION_v3_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"/>
          <w:id w:val="-1810315756"/>
          <w:placeholder>
            <w:docPart w:val="C796E44BA29C7B49B74F3F722913E754"/>
          </w:placeholder>
        </w:sdtPr>
        <w:sdtContent>
          <w:r w:rsidR="00C006F8" w:rsidRPr="00C006F8">
            <w:rPr>
              <w:rFonts w:eastAsiaTheme="minorHAnsi"/>
              <w:color w:val="000000"/>
            </w:rPr>
            <w:t>(Jan et al., 2021)</w:t>
          </w:r>
        </w:sdtContent>
      </w:sdt>
      <w:r w:rsidR="0019038E" w:rsidRPr="001B2AE1">
        <w:rPr>
          <w:rFonts w:eastAsiaTheme="minorHAnsi"/>
        </w:rPr>
        <w:t xml:space="preserve"> </w:t>
      </w:r>
      <w:r w:rsidR="0019038E" w:rsidRPr="00806C98">
        <w:rPr>
          <w:rFonts w:eastAsiaTheme="minorHAnsi"/>
        </w:rPr>
        <w:t xml:space="preserve">discussed in </w:t>
      </w:r>
      <w:r w:rsidR="00C6689E" w:rsidRPr="00806C98">
        <w:rPr>
          <w:rFonts w:eastAsiaTheme="minorHAnsi"/>
        </w:rPr>
        <w:t>their</w:t>
      </w:r>
      <w:r w:rsidR="0019038E" w:rsidRPr="00806C98">
        <w:rPr>
          <w:rFonts w:eastAsiaTheme="minorHAnsi"/>
        </w:rPr>
        <w:t xml:space="preserve"> review that Plants generate secondary metabolites through multiple metabolism pathways which successfully adapt to stress conditions, these routes are started from primary metabolite pathways, which generate secondary metabolites' ultimate precursors. Shikimate pathway is the initial one for production </w:t>
      </w:r>
      <w:r w:rsidR="0019038E" w:rsidRPr="001B2AE1">
        <w:rPr>
          <w:rFonts w:eastAsiaTheme="minorHAnsi"/>
        </w:rPr>
        <w:t xml:space="preserve">of aromatic amino acids; shikimate pathway activated in stress conditions and produced tyrosine, tryptophan, and phenylalanine then these compounds enhancing the biosynthesis of secondary metabolites </w:t>
      </w:r>
      <w:sdt>
        <w:sdtPr>
          <w:rPr>
            <w:rFonts w:eastAsiaTheme="minorHAnsi"/>
            <w:color w:val="000000"/>
          </w:rPr>
          <w:tag w:val="MENDELEY_CITATION_v3_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"/>
          <w:id w:val="874054004"/>
          <w:placeholder>
            <w:docPart w:val="C796E44BA29C7B49B74F3F722913E754"/>
          </w:placeholder>
        </w:sdtPr>
        <w:sdtContent>
          <w:r w:rsidR="00C006F8" w:rsidRPr="00C006F8">
            <w:rPr>
              <w:rFonts w:eastAsiaTheme="minorHAnsi"/>
              <w:color w:val="000000"/>
            </w:rPr>
            <w:t>(Parker et al., 2009)</w:t>
          </w:r>
        </w:sdtContent>
      </w:sdt>
      <w:r w:rsidR="0019038E" w:rsidRPr="001B2AE1">
        <w:rPr>
          <w:rFonts w:eastAsiaTheme="minorHAnsi"/>
        </w:rPr>
        <w:t xml:space="preserve">, Depending on stress conditions, different secondary metabolites build up conditionally in different plant parts </w:t>
      </w:r>
      <w:sdt>
        <w:sdtPr>
          <w:rPr>
            <w:rFonts w:eastAsiaTheme="minorHAnsi"/>
            <w:color w:val="000000"/>
          </w:rPr>
          <w:tag w:val="MENDELEY_CITATION_v3_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"/>
          <w:id w:val="399186819"/>
          <w:placeholder>
            <w:docPart w:val="C796E44BA29C7B49B74F3F722913E754"/>
          </w:placeholder>
        </w:sdtPr>
        <w:sdtContent>
          <w:r w:rsidR="00C006F8" w:rsidRPr="00C006F8">
            <w:rPr>
              <w:rFonts w:eastAsiaTheme="minorHAnsi"/>
              <w:color w:val="000000"/>
            </w:rPr>
            <w:t>(Ahuja et al., 2012)</w:t>
          </w:r>
        </w:sdtContent>
      </w:sdt>
      <w:r w:rsidR="0019038E" w:rsidRPr="001B2AE1">
        <w:rPr>
          <w:rFonts w:eastAsiaTheme="minorHAnsi"/>
        </w:rPr>
        <w:t xml:space="preserve">. </w:t>
      </w:r>
    </w:p>
    <w:p w14:paraId="10F32C15" w14:textId="5BF0B9AF" w:rsidR="0019038E" w:rsidRPr="001B2AE1" w:rsidRDefault="00496A31" w:rsidP="00496A31">
      <w:pPr>
        <w:pStyle w:val="mythesis"/>
      </w:pPr>
      <w:r>
        <w:t>The</w:t>
      </w:r>
      <w:r w:rsidR="0019038E" w:rsidRPr="001B2AE1">
        <w:t xml:space="preserve"> prospector</w:t>
      </w:r>
      <w:r>
        <w:t xml:space="preserve"> </w:t>
      </w:r>
      <w:r w:rsidR="0019038E" w:rsidRPr="001B2AE1">
        <w:t>(initiator)</w:t>
      </w:r>
      <w:r>
        <w:t xml:space="preserve"> </w:t>
      </w:r>
      <w:r w:rsidR="0019038E" w:rsidRPr="001B2AE1">
        <w:t xml:space="preserve">(predecessor) of the shikimate pathway is Shikimic acid, its   produced from a combination of phosphoenolpyruvate (from the glycolytic pathway) and erythrose 4-phosphate (from the pentose phosphate pathway). Many compounds produced in the shikimate pathway like Phenylalanine, tyrosine, and tryptophan; these are the building blocks of protein synthesis and common precursors for plant </w:t>
      </w:r>
      <w:r>
        <w:t>secondary metabolites</w:t>
      </w:r>
      <w:r w:rsidR="0019038E" w:rsidRPr="001B2AE1">
        <w:t xml:space="preserve"> such as phenolics and nitrogen-</w:t>
      </w:r>
      <w:r w:rsidR="0019038E" w:rsidRPr="001B2AE1">
        <w:lastRenderedPageBreak/>
        <w:t xml:space="preserve">containing compounds </w:t>
      </w:r>
      <w:sdt>
        <w:sdtPr>
          <w:rPr>
            <w:color w:val="000000"/>
          </w:rPr>
          <w:tag w:val="MENDELEY_CITATION_v3_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"/>
          <w:id w:val="-1202479081"/>
          <w:placeholder>
            <w:docPart w:val="C796E44BA29C7B49B74F3F722913E754"/>
          </w:placeholder>
        </w:sdtPr>
        <w:sdtContent>
          <w:r w:rsidR="00C006F8" w:rsidRPr="00C006F8">
            <w:rPr>
              <w:color w:val="000000"/>
            </w:rPr>
            <w:t>(Ahuja et al., 2012)</w:t>
          </w:r>
        </w:sdtContent>
      </w:sdt>
      <w:r w:rsidR="0019038E" w:rsidRPr="001B2AE1">
        <w:t xml:space="preserve">. </w:t>
      </w:r>
      <w:r w:rsidR="00E876C1">
        <w:t>T</w:t>
      </w:r>
      <w:r w:rsidR="0019038E" w:rsidRPr="001B2AE1">
        <w:t xml:space="preserve">he common precursor of flavonoids, lignans, lignins, condensed tannins and Phenylalanine, phenylpropanoid, benzenoid volatiles; tyrosine further produces isoquinoline alkaloids, pigment betalains, and quinones, and tryptophan is the precursor of alkaloids, phytoalexins, indole glycosinolates, and the plant hormone auxin </w:t>
      </w:r>
      <w:sdt>
        <w:sdtPr>
          <w:tag w:val="MENDELEY_CITATION_v3_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"/>
          <w:id w:val="27770318"/>
          <w:placeholder>
            <w:docPart w:val="C796E44BA29C7B49B74F3F722913E754"/>
          </w:placeholder>
        </w:sdtPr>
        <w:sdtContent>
          <w:r w:rsidR="00C006F8">
            <w:t>(Maeda &amp; Dudareva, 2012)</w:t>
          </w:r>
        </w:sdtContent>
      </w:sdt>
      <w:r w:rsidR="0019038E" w:rsidRPr="001B2AE1">
        <w:t>.</w:t>
      </w:r>
    </w:p>
    <w:p w14:paraId="5BEED734" w14:textId="3524B0D1" w:rsidR="0019038E" w:rsidRPr="001B2AE1" w:rsidRDefault="0019038E" w:rsidP="00496A31">
      <w:pPr>
        <w:pStyle w:val="mythesis"/>
        <w:rPr>
          <w:rFonts w:eastAsiaTheme="minorHAnsi"/>
        </w:rPr>
      </w:pPr>
      <w:r w:rsidRPr="001B2AE1">
        <w:rPr>
          <w:rFonts w:eastAsiaTheme="minorHAnsi"/>
        </w:rPr>
        <w:t xml:space="preserve">Mycorrhizal fungal colonization of diverse plants results in higher endogenous levels of jasmonates inside the roots. this was shown in our results also agreed with many studies, </w:t>
      </w:r>
      <w:sdt>
        <w:sdtPr>
          <w:rPr>
            <w:rFonts w:eastAsiaTheme="minorHAnsi"/>
            <w:color w:val="000000"/>
          </w:rPr>
          <w:tag w:val="MENDELEY_CITATION_v3_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"/>
          <w:id w:val="-790665869"/>
          <w:placeholder>
            <w:docPart w:val="C796E44BA29C7B49B74F3F722913E754"/>
          </w:placeholder>
        </w:sdtPr>
        <w:sdtContent>
          <w:r w:rsidR="00C006F8" w:rsidRPr="00C006F8">
            <w:rPr>
              <w:rFonts w:eastAsiaTheme="minorHAnsi"/>
              <w:color w:val="000000"/>
            </w:rPr>
            <w:t>(Hause et al., 2002)</w:t>
          </w:r>
        </w:sdtContent>
      </w:sdt>
      <w:r w:rsidRPr="001B2AE1">
        <w:rPr>
          <w:rFonts w:eastAsiaTheme="minorHAnsi"/>
        </w:rPr>
        <w:t xml:space="preserve"> observed that in </w:t>
      </w:r>
      <w:r w:rsidRPr="001B2AE1">
        <w:rPr>
          <w:rFonts w:eastAsiaTheme="minorHAnsi"/>
          <w:i/>
        </w:rPr>
        <w:t>H. vulgare</w:t>
      </w:r>
      <w:r w:rsidRPr="001B2AE1">
        <w:rPr>
          <w:rFonts w:eastAsiaTheme="minorHAnsi"/>
        </w:rPr>
        <w:t xml:space="preserve">, and </w:t>
      </w:r>
      <w:sdt>
        <w:sdtPr>
          <w:rPr>
            <w:rFonts w:eastAsiaTheme="minorHAnsi"/>
          </w:rPr>
          <w:tag w:val="MENDELEY_CITATION_v3_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"/>
          <w:id w:val="-2111046913"/>
          <w:placeholder>
            <w:docPart w:val="C796E44BA29C7B49B74F3F722913E754"/>
          </w:placeholder>
        </w:sdtPr>
        <w:sdtContent>
          <w:r w:rsidR="00C006F8">
            <w:t>(Vierheilig &amp; Piché, 2002)</w:t>
          </w:r>
        </w:sdtContent>
      </w:sdt>
      <w:r w:rsidRPr="001B2AE1">
        <w:rPr>
          <w:rFonts w:eastAsiaTheme="minorHAnsi"/>
        </w:rPr>
        <w:t xml:space="preserve"> in </w:t>
      </w:r>
      <w:r w:rsidRPr="001B2AE1">
        <w:rPr>
          <w:rFonts w:eastAsiaTheme="minorHAnsi"/>
          <w:i/>
        </w:rPr>
        <w:t>Cucumis sativus</w:t>
      </w:r>
      <w:r w:rsidRPr="001B2AE1">
        <w:rPr>
          <w:rFonts w:eastAsiaTheme="minorHAnsi"/>
        </w:rPr>
        <w:t>.</w:t>
      </w:r>
    </w:p>
    <w:p w14:paraId="7DEE42E0" w14:textId="0E3843B7" w:rsidR="0019038E" w:rsidRPr="001B2AE1" w:rsidRDefault="00496A31" w:rsidP="00496A31">
      <w:pPr>
        <w:pStyle w:val="mythesis"/>
        <w:rPr>
          <w:rFonts w:eastAsiaTheme="minorHAnsi"/>
        </w:rPr>
      </w:pPr>
      <w:r>
        <w:rPr>
          <w:rFonts w:eastAsiaTheme="minorHAnsi"/>
        </w:rPr>
        <w:t>The</w:t>
      </w:r>
      <w:r w:rsidR="0019038E" w:rsidRPr="001B2AE1">
        <w:rPr>
          <w:rFonts w:eastAsiaTheme="minorHAnsi"/>
        </w:rPr>
        <w:t xml:space="preserve"> increase in mycorrhizal roots jasmonates varied considerably between the different plant species compared with non-mycorrhizal roots.  the expression of JA biosynthetic genes that was used in </w:t>
      </w:r>
      <w:r w:rsidR="0019038E" w:rsidRPr="001B2AE1">
        <w:rPr>
          <w:rFonts w:eastAsiaTheme="minorHAnsi"/>
          <w:i/>
        </w:rPr>
        <w:t>H. vulgare</w:t>
      </w:r>
      <w:r w:rsidR="0019038E" w:rsidRPr="001B2AE1">
        <w:rPr>
          <w:rFonts w:eastAsiaTheme="minorHAnsi"/>
        </w:rPr>
        <w:t xml:space="preserve"> and </w:t>
      </w:r>
      <w:r w:rsidR="0019038E" w:rsidRPr="001B2AE1">
        <w:rPr>
          <w:rFonts w:eastAsiaTheme="minorHAnsi"/>
          <w:i/>
        </w:rPr>
        <w:t>M. truncatula</w:t>
      </w:r>
      <w:r w:rsidR="0019038E" w:rsidRPr="001B2AE1">
        <w:rPr>
          <w:rFonts w:eastAsiaTheme="minorHAnsi"/>
        </w:rPr>
        <w:t xml:space="preserve"> </w:t>
      </w:r>
      <w:sdt>
        <w:sdtPr>
          <w:rPr>
            <w:rFonts w:eastAsiaTheme="minorHAnsi"/>
            <w:color w:val="000000"/>
          </w:rPr>
          <w:tag w:val="MENDELEY_CITATION_v3_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"/>
          <w:id w:val="-2070563217"/>
          <w:placeholder>
            <w:docPart w:val="C796E44BA29C7B49B74F3F722913E754"/>
          </w:placeholder>
        </w:sdtPr>
        <w:sdtContent>
          <w:r w:rsidR="00C006F8" w:rsidRPr="00C006F8">
            <w:rPr>
              <w:rFonts w:eastAsiaTheme="minorHAnsi"/>
              <w:color w:val="000000"/>
            </w:rPr>
            <w:t>(Hause et al., 2002; Isayenkov et al., 2005).</w:t>
          </w:r>
        </w:sdtContent>
      </w:sdt>
      <w:r w:rsidR="0019038E" w:rsidRPr="001B2AE1">
        <w:rPr>
          <w:rFonts w:eastAsiaTheme="minorHAnsi"/>
        </w:rPr>
        <w:t xml:space="preserve"> It may be considered a sign for high JA </w:t>
      </w:r>
      <w:sdt>
        <w:sdtPr>
          <w:rPr>
            <w:rFonts w:eastAsiaTheme="minorHAnsi"/>
            <w:color w:val="000000"/>
          </w:rPr>
          <w:tag w:val="MENDELEY_CITATION_v3_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"/>
          <w:id w:val="-90394573"/>
          <w:placeholder>
            <w:docPart w:val="C796E44BA29C7B49B74F3F722913E754"/>
          </w:placeholder>
        </w:sdtPr>
        <w:sdtContent>
          <w:r w:rsidR="00C006F8" w:rsidRPr="00C006F8">
            <w:rPr>
              <w:rFonts w:eastAsiaTheme="minorHAnsi"/>
              <w:color w:val="000000"/>
            </w:rPr>
            <w:t>(Maucher et al., 2000)</w:t>
          </w:r>
        </w:sdtContent>
      </w:sdt>
      <w:r w:rsidR="0019038E" w:rsidRPr="001B2AE1">
        <w:rPr>
          <w:rFonts w:eastAsiaTheme="minorHAnsi"/>
        </w:rPr>
        <w:t xml:space="preserve">. Furthermore, a protein encoded by the JA reactive gene could be used as a marker of high levels of JA that have the capacity to signal </w:t>
      </w:r>
      <w:sdt>
        <w:sdtPr>
          <w:rPr>
            <w:rFonts w:eastAsiaTheme="minorHAnsi"/>
            <w:color w:val="000000"/>
          </w:rPr>
          <w:tag w:val="MENDELEY_CITATION_v3_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"/>
          <w:id w:val="-310176594"/>
          <w:placeholder>
            <w:docPart w:val="C796E44BA29C7B49B74F3F722913E754"/>
          </w:placeholder>
        </w:sdtPr>
        <w:sdtContent>
          <w:r w:rsidR="00C006F8" w:rsidRPr="00C006F8">
            <w:rPr>
              <w:rFonts w:eastAsiaTheme="minorHAnsi"/>
              <w:color w:val="000000"/>
            </w:rPr>
            <w:t>(Hause et al., 1996)</w:t>
          </w:r>
        </w:sdtContent>
      </w:sdt>
      <w:r w:rsidR="0019038E" w:rsidRPr="001B2AE1">
        <w:rPr>
          <w:rFonts w:eastAsiaTheme="minorHAnsi"/>
        </w:rPr>
        <w:t xml:space="preserve">. </w:t>
      </w:r>
      <w:r w:rsidR="009B2AB0">
        <w:rPr>
          <w:rFonts w:eastAsiaTheme="minorHAnsi"/>
        </w:rPr>
        <w:t>W</w:t>
      </w:r>
      <w:r w:rsidR="0019038E" w:rsidRPr="001B2AE1">
        <w:rPr>
          <w:rFonts w:eastAsiaTheme="minorHAnsi"/>
        </w:rPr>
        <w:t xml:space="preserve">hile the non-mycorrhizal root cortex cells contained no detectable protein levels </w:t>
      </w:r>
      <w:sdt>
        <w:sdtPr>
          <w:rPr>
            <w:rFonts w:eastAsiaTheme="minorHAnsi"/>
            <w:color w:val="000000"/>
          </w:rPr>
          <w:tag w:val="MENDELEY_CITATION_v3_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"/>
          <w:id w:val="1774119539"/>
          <w:placeholder>
            <w:docPart w:val="C796E44BA29C7B49B74F3F722913E754"/>
          </w:placeholder>
        </w:sdtPr>
        <w:sdtContent>
          <w:r w:rsidR="00C006F8" w:rsidRPr="00C006F8">
            <w:rPr>
              <w:rFonts w:eastAsiaTheme="minorHAnsi"/>
              <w:color w:val="000000"/>
            </w:rPr>
            <w:t>(Hause et al., 2002; Isayenkov et al., 2005)</w:t>
          </w:r>
        </w:sdtContent>
      </w:sdt>
      <w:r w:rsidR="0019038E" w:rsidRPr="001B2AE1">
        <w:rPr>
          <w:rFonts w:eastAsiaTheme="minorHAnsi"/>
        </w:rPr>
        <w:t xml:space="preserve">. Spatial and coordinate expression means local JA increases, particularly in cells containing arbuscules. JA or derivatives from it could not be excluded though, since jasmonates have been demonstrated to be mobile signals in response to an injury and might migrate into other cells or organisms </w:t>
      </w:r>
      <w:sdt>
        <w:sdtPr>
          <w:rPr>
            <w:rFonts w:eastAsiaTheme="minorHAnsi"/>
          </w:rPr>
          <w:tag w:val="MENDELEY_CITATION_v3_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"/>
          <w:id w:val="-361369953"/>
          <w:placeholder>
            <w:docPart w:val="C796E44BA29C7B49B74F3F722913E754"/>
          </w:placeholder>
        </w:sdtPr>
        <w:sdtContent>
          <w:r w:rsidR="00C006F8">
            <w:t>(Schilmiller &amp; Howe, 2005).</w:t>
          </w:r>
        </w:sdtContent>
      </w:sdt>
      <w:r w:rsidR="0019038E" w:rsidRPr="001B2AE1">
        <w:rPr>
          <w:rFonts w:eastAsiaTheme="minorHAnsi"/>
        </w:rPr>
        <w:t xml:space="preserve"> well-established rather than the recognition of mycorrhiza engaging partners or the formation of a symbiotic relationship,</w:t>
      </w:r>
      <w:r w:rsidR="0019038E" w:rsidRPr="001B2AE1">
        <w:t xml:space="preserve"> </w:t>
      </w:r>
      <w:r w:rsidR="0019038E" w:rsidRPr="001B2AE1">
        <w:rPr>
          <w:rFonts w:eastAsiaTheme="minorHAnsi"/>
        </w:rPr>
        <w:t xml:space="preserve">the interface may cause the production of genes coding for JA synthesis enzymes and an increase in JA levels. Enhanced JA levels can relate to a rise in the number of collapsed arbuscles in mycorrhizal roots </w:t>
      </w:r>
      <w:sdt>
        <w:sdtPr>
          <w:rPr>
            <w:rFonts w:eastAsiaTheme="minorHAnsi"/>
            <w:color w:val="000000"/>
          </w:rPr>
          <w:tag w:val="MENDELEY_CITATION_v3_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"/>
          <w:id w:val="-861971091"/>
          <w:placeholder>
            <w:docPart w:val="C796E44BA29C7B49B74F3F722913E754"/>
          </w:placeholder>
        </w:sdtPr>
        <w:sdtContent>
          <w:r w:rsidR="00C006F8" w:rsidRPr="00C006F8">
            <w:rPr>
              <w:rFonts w:eastAsiaTheme="minorHAnsi"/>
              <w:color w:val="000000"/>
            </w:rPr>
            <w:t>(Vierheilig, 2004)</w:t>
          </w:r>
        </w:sdtContent>
      </w:sdt>
      <w:r w:rsidR="0019038E" w:rsidRPr="001B2AE1">
        <w:rPr>
          <w:rFonts w:eastAsiaTheme="minorHAnsi"/>
        </w:rPr>
        <w:t>.</w:t>
      </w:r>
    </w:p>
    <w:p w14:paraId="38889505" w14:textId="2B634575" w:rsidR="0019038E" w:rsidRPr="001B2AE1" w:rsidRDefault="00000000" w:rsidP="00496A31">
      <w:pPr>
        <w:pStyle w:val="mythesis"/>
        <w:rPr>
          <w:rFonts w:eastAsiaTheme="minorHAnsi"/>
        </w:rPr>
      </w:pPr>
      <w:sdt>
        <w:sdtPr>
          <w:rPr>
            <w:rFonts w:eastAsiaTheme="minorHAnsi"/>
            <w:color w:val="000000"/>
          </w:rPr>
          <w:tag w:val="MENDELEY_CITATION_v3_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"/>
          <w:id w:val="-1066490884"/>
          <w:placeholder>
            <w:docPart w:val="C796E44BA29C7B49B74F3F722913E754"/>
          </w:placeholder>
        </w:sdtPr>
        <w:sdtContent>
          <w:r w:rsidR="00C006F8" w:rsidRPr="00C006F8">
            <w:rPr>
              <w:rFonts w:eastAsiaTheme="minorHAnsi"/>
              <w:color w:val="000000"/>
            </w:rPr>
            <w:t>(Hause et al., 2002)</w:t>
          </w:r>
        </w:sdtContent>
      </w:sdt>
      <w:r w:rsidR="0019038E" w:rsidRPr="001B2AE1">
        <w:rPr>
          <w:rFonts w:eastAsiaTheme="minorHAnsi"/>
        </w:rPr>
        <w:t xml:space="preserve"> mentioned that regarding mycorrhizal </w:t>
      </w:r>
      <w:r w:rsidR="0019038E" w:rsidRPr="001B2AE1">
        <w:rPr>
          <w:rFonts w:eastAsiaTheme="minorHAnsi"/>
          <w:i/>
        </w:rPr>
        <w:t>H. vulgare</w:t>
      </w:r>
      <w:r w:rsidR="0019038E" w:rsidRPr="001B2AE1">
        <w:rPr>
          <w:rFonts w:eastAsiaTheme="minorHAnsi"/>
        </w:rPr>
        <w:t xml:space="preserve"> roots, the increased JA generation could be related to the stress from the shoot onto the mycorrhizal root, caused by an increased glucose inflow.</w:t>
      </w:r>
      <w:r w:rsidR="0019038E" w:rsidRPr="001B2AE1" w:rsidDel="00152F13">
        <w:rPr>
          <w:rFonts w:eastAsiaTheme="minorHAnsi"/>
        </w:rPr>
        <w:t xml:space="preserve"> </w:t>
      </w:r>
      <w:r w:rsidR="0019038E" w:rsidRPr="001B2AE1">
        <w:rPr>
          <w:rFonts w:eastAsiaTheme="minorHAnsi"/>
        </w:rPr>
        <w:t xml:space="preserve"> And this response could be because of </w:t>
      </w:r>
      <w:r w:rsidR="00507010">
        <w:rPr>
          <w:rFonts w:eastAsiaTheme="minorHAnsi"/>
        </w:rPr>
        <w:t>s</w:t>
      </w:r>
      <w:r w:rsidR="0019038E" w:rsidRPr="001B2AE1">
        <w:rPr>
          <w:rFonts w:eastAsiaTheme="minorHAnsi"/>
        </w:rPr>
        <w:t>ugar which can lead to the expression of JA biosynthesis enzyme genes and, ultimately, to an increase in JA level; then JA generated in mycorrhizal roots may improve their sink strength.</w:t>
      </w:r>
      <w:r w:rsidR="0019038E" w:rsidRPr="001B2AE1">
        <w:t xml:space="preserve"> </w:t>
      </w:r>
      <w:r w:rsidR="0019038E" w:rsidRPr="001B2AE1">
        <w:rPr>
          <w:rFonts w:eastAsiaTheme="minorHAnsi"/>
        </w:rPr>
        <w:t xml:space="preserve">an extracellular invertase enzyme </w:t>
      </w:r>
      <w:r w:rsidR="0019038E" w:rsidRPr="001B2AE1">
        <w:rPr>
          <w:rFonts w:eastAsiaTheme="minorHAnsi"/>
        </w:rPr>
        <w:lastRenderedPageBreak/>
        <w:t>could be the mediator, according to this possibility, because its expression is increased and induced in mycorrhizal roots </w:t>
      </w:r>
      <w:sdt>
        <w:sdtPr>
          <w:rPr>
            <w:rFonts w:eastAsiaTheme="minorHAnsi"/>
            <w:color w:val="000000"/>
          </w:rPr>
          <w:tag w:val="MENDELEY_CITATION_v3_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"/>
          <w:id w:val="-426971809"/>
          <w:placeholder>
            <w:docPart w:val="C796E44BA29C7B49B74F3F722913E754"/>
          </w:placeholder>
        </w:sdtPr>
        <w:sdtContent>
          <w:r w:rsidR="00C006F8" w:rsidRPr="00C006F8">
            <w:rPr>
              <w:rFonts w:eastAsiaTheme="minorHAnsi"/>
              <w:color w:val="000000"/>
            </w:rPr>
            <w:t>(Schaarschmidt et al., 2006)</w:t>
          </w:r>
        </w:sdtContent>
      </w:sdt>
      <w:r w:rsidR="0019038E" w:rsidRPr="001B2AE1">
        <w:rPr>
          <w:rFonts w:eastAsiaTheme="minorHAnsi"/>
        </w:rPr>
        <w:t>.</w:t>
      </w:r>
    </w:p>
    <w:p w14:paraId="6AC9AE37" w14:textId="77777777" w:rsidR="0019038E" w:rsidRPr="001B2AE1" w:rsidRDefault="0019038E" w:rsidP="0019038E">
      <w:pPr>
        <w:pStyle w:val="Heading2"/>
        <w:rPr>
          <w:color w:val="000000" w:themeColor="text1"/>
          <w:lang w:val="en-US"/>
        </w:rPr>
      </w:pPr>
    </w:p>
    <w:p w14:paraId="562D662C" w14:textId="77777777" w:rsidR="0019038E" w:rsidRPr="001B2AE1" w:rsidRDefault="0019038E" w:rsidP="0019038E">
      <w:pPr>
        <w:pStyle w:val="Heading2"/>
        <w:rPr>
          <w:color w:val="000000" w:themeColor="text1"/>
        </w:rPr>
      </w:pPr>
      <w:bookmarkStart w:id="172" w:name="_Toc83751495"/>
      <w:r w:rsidRPr="001B2AE1">
        <w:rPr>
          <w:color w:val="000000" w:themeColor="text1"/>
        </w:rPr>
        <w:t>4.5 Conclusions</w:t>
      </w:r>
      <w:bookmarkEnd w:id="172"/>
    </w:p>
    <w:p w14:paraId="26B578EF" w14:textId="77777777" w:rsidR="0019038E" w:rsidRPr="001B2AE1" w:rsidRDefault="0019038E" w:rsidP="0019038E">
      <w:pPr>
        <w:rPr>
          <w:rFonts w:eastAsiaTheme="minorHAnsi"/>
          <w:color w:val="000000" w:themeColor="text1"/>
          <w:lang w:val="en-GB"/>
        </w:rPr>
      </w:pPr>
    </w:p>
    <w:p w14:paraId="0B022904" w14:textId="77819FE8" w:rsidR="0019038E" w:rsidRDefault="0019038E" w:rsidP="00F90B76">
      <w:pPr>
        <w:pStyle w:val="mythesis"/>
        <w:rPr>
          <w:rFonts w:eastAsiaTheme="minorHAnsi"/>
        </w:rPr>
      </w:pPr>
      <w:r w:rsidRPr="001B2AE1">
        <w:rPr>
          <w:rFonts w:eastAsiaTheme="minorHAnsi"/>
        </w:rPr>
        <w:t xml:space="preserve">It was clear from the above and the results of our study that the jasmonate hormone shows a clear indication of a major role for this hormone in mycorrhizal roots among all phytohormones tested in mycorrhizal plants so far. Jasmonates have shown that they can have different effects on mycorrhization. Increased JA levels during mycorrhization may improve the defensive condition of mycorrhizal tissues. </w:t>
      </w:r>
      <w:sdt>
        <w:sdtPr>
          <w:rPr>
            <w:rFonts w:eastAsiaTheme="minorHAnsi"/>
            <w:color w:val="000000"/>
          </w:rPr>
          <w:tag w:val="MENDELEY_CITATION_v3_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"/>
          <w:id w:val="1880202624"/>
          <w:placeholder>
            <w:docPart w:val="C796E44BA29C7B49B74F3F722913E754"/>
          </w:placeholder>
        </w:sdtPr>
        <w:sdtContent>
          <w:r w:rsidR="00C006F8" w:rsidRPr="00C006F8">
            <w:rPr>
              <w:rFonts w:eastAsiaTheme="minorHAnsi"/>
              <w:color w:val="000000"/>
            </w:rPr>
            <w:t>(Pozo et al., 2004)</w:t>
          </w:r>
        </w:sdtContent>
      </w:sdt>
      <w:r w:rsidRPr="001B2AE1">
        <w:rPr>
          <w:rFonts w:eastAsiaTheme="minorHAnsi"/>
        </w:rPr>
        <w:t xml:space="preserve"> suggested that could be similar to the growth-promoting action of nonpathogenic rhizobacteria and induced systemic resistance (ISR).</w:t>
      </w:r>
      <w:r w:rsidRPr="001B2AE1" w:rsidDel="00916A82">
        <w:rPr>
          <w:rFonts w:eastAsiaTheme="minorHAnsi"/>
        </w:rPr>
        <w:t xml:space="preserve"> </w:t>
      </w:r>
      <w:r w:rsidRPr="001B2AE1">
        <w:rPr>
          <w:rFonts w:eastAsiaTheme="minorHAnsi"/>
        </w:rPr>
        <w:t xml:space="preserve">And several ISR elements in the roots of AM fungus have been observed </w:t>
      </w:r>
      <w:sdt>
        <w:sdtPr>
          <w:rPr>
            <w:rFonts w:eastAsiaTheme="minorHAnsi"/>
          </w:rPr>
          <w:tag w:val="MENDELEY_CITATION_v3_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"/>
          <w:id w:val="1354847195"/>
          <w:placeholder>
            <w:docPart w:val="C796E44BA29C7B49B74F3F722913E754"/>
          </w:placeholder>
        </w:sdtPr>
        <w:sdtContent>
          <w:r w:rsidR="00C006F8">
            <w:t>(Hause &amp; Fester, 2005)</w:t>
          </w:r>
        </w:sdtContent>
      </w:sdt>
      <w:r w:rsidRPr="001B2AE1">
        <w:rPr>
          <w:rFonts w:eastAsiaTheme="minorHAnsi"/>
        </w:rPr>
        <w:t>. It remains to be clarified whether Jasmonates could act as a supposed endogenous signal in the ISR caused by mycorrhiza.</w:t>
      </w:r>
      <w:r w:rsidRPr="001B2AE1" w:rsidDel="006C572B">
        <w:rPr>
          <w:rFonts w:eastAsiaTheme="minorHAnsi"/>
        </w:rPr>
        <w:t xml:space="preserve"> </w:t>
      </w:r>
      <w:r w:rsidRPr="001B2AE1">
        <w:rPr>
          <w:rFonts w:eastAsiaTheme="minorHAnsi"/>
        </w:rPr>
        <w:t>It was concluded that jasmonates may mediate at least a portion of the maximum advantage that mycorrhizal plants derive from the symbiotic association.</w:t>
      </w:r>
    </w:p>
    <w:p w14:paraId="42E078B9" w14:textId="5C6FDCDB" w:rsidR="00806C98" w:rsidRDefault="00806C98" w:rsidP="00F90B76">
      <w:pPr>
        <w:pStyle w:val="mythesis"/>
        <w:rPr>
          <w:rFonts w:eastAsiaTheme="minorHAnsi"/>
        </w:rPr>
      </w:pPr>
    </w:p>
    <w:p w14:paraId="4A78B3A5" w14:textId="6D43FD08" w:rsidR="00806C98" w:rsidRDefault="00806C98" w:rsidP="00F90B76">
      <w:pPr>
        <w:pStyle w:val="mythesis"/>
        <w:rPr>
          <w:rFonts w:eastAsiaTheme="minorHAnsi"/>
        </w:rPr>
      </w:pPr>
    </w:p>
    <w:p w14:paraId="644F1D15" w14:textId="2C408434" w:rsidR="00806C98" w:rsidRDefault="00806C98" w:rsidP="00F90B76">
      <w:pPr>
        <w:pStyle w:val="mythesis"/>
        <w:rPr>
          <w:rFonts w:eastAsiaTheme="minorHAnsi"/>
        </w:rPr>
      </w:pPr>
    </w:p>
    <w:p w14:paraId="421C87DF" w14:textId="5B954CB4" w:rsidR="00806C98" w:rsidRDefault="00806C98" w:rsidP="00F90B76">
      <w:pPr>
        <w:pStyle w:val="mythesis"/>
        <w:rPr>
          <w:rFonts w:eastAsiaTheme="minorHAnsi"/>
        </w:rPr>
      </w:pPr>
    </w:p>
    <w:p w14:paraId="09AC754D" w14:textId="3A37E02D" w:rsidR="00806C98" w:rsidRDefault="00806C98" w:rsidP="00F90B76">
      <w:pPr>
        <w:pStyle w:val="mythesis"/>
        <w:rPr>
          <w:rFonts w:eastAsiaTheme="minorHAnsi"/>
        </w:rPr>
      </w:pPr>
    </w:p>
    <w:p w14:paraId="0C9FFFC2" w14:textId="2BDE392B" w:rsidR="00806C98" w:rsidRDefault="00806C98" w:rsidP="00F90B76">
      <w:pPr>
        <w:pStyle w:val="mythesis"/>
        <w:rPr>
          <w:rFonts w:eastAsiaTheme="minorHAnsi"/>
        </w:rPr>
      </w:pPr>
    </w:p>
    <w:p w14:paraId="0743F5F9" w14:textId="77777777" w:rsidR="00806C98" w:rsidRPr="00F90B76" w:rsidRDefault="00806C98" w:rsidP="00F90B76">
      <w:pPr>
        <w:pStyle w:val="mythesis"/>
        <w:rPr>
          <w:rFonts w:eastAsiaTheme="minorHAnsi"/>
        </w:rPr>
      </w:pPr>
    </w:p>
    <w:p w14:paraId="6CEC3406" w14:textId="77777777" w:rsidR="0019038E" w:rsidRDefault="0019038E" w:rsidP="0019038E">
      <w:pPr>
        <w:pStyle w:val="Heading1"/>
        <w:numPr>
          <w:ilvl w:val="0"/>
          <w:numId w:val="1"/>
        </w:numPr>
        <w:tabs>
          <w:tab w:val="num" w:pos="720"/>
        </w:tabs>
      </w:pPr>
      <w:bookmarkStart w:id="173" w:name="_Toc83751496"/>
      <w:r>
        <w:lastRenderedPageBreak/>
        <w:t>General Discussion</w:t>
      </w:r>
      <w:bookmarkEnd w:id="173"/>
      <w:r>
        <w:t xml:space="preserve"> </w:t>
      </w:r>
    </w:p>
    <w:p w14:paraId="3C94C583" w14:textId="77777777" w:rsidR="0019038E" w:rsidRDefault="0019038E" w:rsidP="0019038E"/>
    <w:p w14:paraId="326A0BD5" w14:textId="77777777" w:rsidR="0019038E" w:rsidRPr="00803E53" w:rsidRDefault="0019038E" w:rsidP="0019038E"/>
    <w:p w14:paraId="2954AAAB" w14:textId="77777777" w:rsidR="0019038E" w:rsidRPr="002932E6" w:rsidRDefault="0019038E" w:rsidP="00CF6E89">
      <w:pPr>
        <w:pStyle w:val="mythesis"/>
      </w:pPr>
      <w:r w:rsidRPr="002932E6">
        <w:t>There is a lot of diversity between our cultivars, and we clarified from Figure 5.1</w:t>
      </w:r>
      <w:r>
        <w:t xml:space="preserve"> </w:t>
      </w:r>
      <w:r w:rsidRPr="002932E6">
        <w:t xml:space="preserve">that the diversity, as it was clear in the morphological form of the </w:t>
      </w:r>
      <w:r w:rsidRPr="002932E6">
        <w:rPr>
          <w:i/>
        </w:rPr>
        <w:t>Zea mays</w:t>
      </w:r>
      <w:r w:rsidRPr="002932E6">
        <w:t xml:space="preserve"> cultivars, was also clear in the genetic origin between them. And that is what is called the diversity panel.</w:t>
      </w:r>
    </w:p>
    <w:p w14:paraId="3024361E" w14:textId="7C856022" w:rsidR="0019038E" w:rsidRDefault="0019038E" w:rsidP="00CF6E89">
      <w:pPr>
        <w:pStyle w:val="mythesis"/>
      </w:pPr>
      <w:r w:rsidRPr="002932E6">
        <w:t>The phylogenetic relationship showed that the cultivars were diverse from each other, so we are interested to understand how can this crop which was collected from South America and is now all over Europe, North Africa and Asia and planted also in the Arabian Peninsula how can happen this diversity and be also in the genetic and explore the ability of this diversity panel to manage the acquisition of nutrients and resistance to pests diseases and know the secret of that.</w:t>
      </w:r>
    </w:p>
    <w:p w14:paraId="2D034B9D" w14:textId="77777777" w:rsidR="00CF6E89" w:rsidRPr="002932E6" w:rsidRDefault="00CF6E89" w:rsidP="00CF6E89">
      <w:pPr>
        <w:pStyle w:val="mythesis"/>
      </w:pPr>
    </w:p>
    <w:p w14:paraId="293CF41D" w14:textId="77777777" w:rsidR="00843EDC" w:rsidRDefault="0019038E" w:rsidP="00843EDC">
      <w:pPr>
        <w:pStyle w:val="mythesis"/>
        <w:keepNext/>
      </w:pPr>
      <w:r>
        <w:t xml:space="preserve">                             </w:t>
      </w:r>
      <w:r w:rsidR="00843EDC">
        <w:rPr>
          <w:noProof/>
        </w:rPr>
        <w:drawing>
          <wp:inline distT="0" distB="0" distL="0" distR="0" wp14:anchorId="5A02C21D" wp14:editId="7418EECA">
            <wp:extent cx="5448300" cy="24511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448300" cy="2451100"/>
                    </a:xfrm>
                    <a:prstGeom prst="rect">
                      <a:avLst/>
                    </a:prstGeom>
                  </pic:spPr>
                </pic:pic>
              </a:graphicData>
            </a:graphic>
          </wp:inline>
        </w:drawing>
      </w:r>
    </w:p>
    <w:p w14:paraId="783CE820" w14:textId="697192FD" w:rsidR="0019038E" w:rsidRPr="00843EDC" w:rsidRDefault="00843EDC" w:rsidP="00843EDC">
      <w:pPr>
        <w:pStyle w:val="Caption"/>
        <w:jc w:val="lowKashida"/>
        <w:rPr>
          <w:b w:val="0"/>
          <w:bCs w:val="0"/>
          <w:sz w:val="20"/>
          <w:szCs w:val="20"/>
        </w:rPr>
      </w:pPr>
      <w:bookmarkStart w:id="174" w:name="_Toc83751396"/>
      <w:r w:rsidRPr="00843EDC">
        <w:rPr>
          <w:b w:val="0"/>
          <w:bCs w:val="0"/>
          <w:sz w:val="20"/>
          <w:szCs w:val="20"/>
        </w:rPr>
        <w:t xml:space="preserve">Figure </w:t>
      </w:r>
      <w:r w:rsidRPr="00843EDC">
        <w:rPr>
          <w:b w:val="0"/>
          <w:bCs w:val="0"/>
          <w:sz w:val="20"/>
          <w:szCs w:val="20"/>
        </w:rPr>
        <w:fldChar w:fldCharType="begin"/>
      </w:r>
      <w:r w:rsidRPr="00843EDC">
        <w:rPr>
          <w:b w:val="0"/>
          <w:bCs w:val="0"/>
          <w:sz w:val="20"/>
          <w:szCs w:val="20"/>
        </w:rPr>
        <w:instrText xml:space="preserve"> STYLEREF 1 \s </w:instrText>
      </w:r>
      <w:r w:rsidRPr="00843EDC">
        <w:rPr>
          <w:b w:val="0"/>
          <w:bCs w:val="0"/>
          <w:sz w:val="20"/>
          <w:szCs w:val="20"/>
        </w:rPr>
        <w:fldChar w:fldCharType="separate"/>
      </w:r>
      <w:r w:rsidRPr="00843EDC">
        <w:rPr>
          <w:b w:val="0"/>
          <w:bCs w:val="0"/>
          <w:noProof/>
          <w:sz w:val="20"/>
          <w:szCs w:val="20"/>
          <w:cs/>
        </w:rPr>
        <w:t>‎</w:t>
      </w:r>
      <w:r w:rsidRPr="00843EDC">
        <w:rPr>
          <w:b w:val="0"/>
          <w:bCs w:val="0"/>
          <w:noProof/>
          <w:sz w:val="20"/>
          <w:szCs w:val="20"/>
        </w:rPr>
        <w:t>5</w:t>
      </w:r>
      <w:r w:rsidRPr="00843EDC">
        <w:rPr>
          <w:b w:val="0"/>
          <w:bCs w:val="0"/>
          <w:sz w:val="20"/>
          <w:szCs w:val="20"/>
        </w:rPr>
        <w:fldChar w:fldCharType="end"/>
      </w:r>
      <w:r w:rsidRPr="00843EDC">
        <w:rPr>
          <w:b w:val="0"/>
          <w:bCs w:val="0"/>
          <w:sz w:val="20"/>
          <w:szCs w:val="20"/>
        </w:rPr>
        <w:t>.</w:t>
      </w:r>
      <w:r w:rsidRPr="00843EDC">
        <w:rPr>
          <w:b w:val="0"/>
          <w:bCs w:val="0"/>
          <w:sz w:val="20"/>
          <w:szCs w:val="20"/>
        </w:rPr>
        <w:fldChar w:fldCharType="begin"/>
      </w:r>
      <w:r w:rsidRPr="00843EDC">
        <w:rPr>
          <w:b w:val="0"/>
          <w:bCs w:val="0"/>
          <w:sz w:val="20"/>
          <w:szCs w:val="20"/>
        </w:rPr>
        <w:instrText xml:space="preserve"> SEQ Figure \* ARABIC \s 1 </w:instrText>
      </w:r>
      <w:r w:rsidRPr="00843EDC">
        <w:rPr>
          <w:b w:val="0"/>
          <w:bCs w:val="0"/>
          <w:sz w:val="20"/>
          <w:szCs w:val="20"/>
        </w:rPr>
        <w:fldChar w:fldCharType="separate"/>
      </w:r>
      <w:r w:rsidRPr="00843EDC">
        <w:rPr>
          <w:b w:val="0"/>
          <w:bCs w:val="0"/>
          <w:noProof/>
          <w:sz w:val="20"/>
          <w:szCs w:val="20"/>
        </w:rPr>
        <w:t>1</w:t>
      </w:r>
      <w:r w:rsidRPr="00843EDC">
        <w:rPr>
          <w:b w:val="0"/>
          <w:bCs w:val="0"/>
          <w:sz w:val="20"/>
          <w:szCs w:val="20"/>
        </w:rPr>
        <w:fldChar w:fldCharType="end"/>
      </w:r>
      <w:r w:rsidRPr="00843EDC">
        <w:rPr>
          <w:b w:val="0"/>
          <w:bCs w:val="0"/>
          <w:sz w:val="20"/>
          <w:szCs w:val="20"/>
        </w:rPr>
        <w:t xml:space="preserve"> : shows the variation of 18 varieties of collective </w:t>
      </w:r>
      <w:r w:rsidRPr="00843EDC">
        <w:rPr>
          <w:b w:val="0"/>
          <w:bCs w:val="0"/>
          <w:i/>
          <w:iCs/>
          <w:sz w:val="20"/>
          <w:szCs w:val="20"/>
        </w:rPr>
        <w:t>Zea mays</w:t>
      </w:r>
      <w:r w:rsidRPr="00843EDC">
        <w:rPr>
          <w:b w:val="0"/>
          <w:bCs w:val="0"/>
          <w:sz w:val="20"/>
          <w:szCs w:val="20"/>
        </w:rPr>
        <w:t xml:space="preserve"> seeds and the commercial names</w:t>
      </w:r>
      <w:bookmarkEnd w:id="174"/>
    </w:p>
    <w:p w14:paraId="0CC550F4" w14:textId="77777777" w:rsidR="00CF6E89" w:rsidRDefault="00CF6E89" w:rsidP="00CF6E89">
      <w:pPr>
        <w:pStyle w:val="mythesis"/>
      </w:pPr>
    </w:p>
    <w:p w14:paraId="30B7214D" w14:textId="77777777" w:rsidR="00CF6E89" w:rsidRDefault="00CF6E89" w:rsidP="00CF6E89">
      <w:pPr>
        <w:pStyle w:val="mythesis"/>
      </w:pPr>
    </w:p>
    <w:p w14:paraId="214226F0" w14:textId="3E925268" w:rsidR="0019038E" w:rsidRDefault="0019038E" w:rsidP="00CF6E89">
      <w:pPr>
        <w:pStyle w:val="mythesis"/>
      </w:pPr>
      <w:r w:rsidRPr="002932E6">
        <w:lastRenderedPageBreak/>
        <w:t xml:space="preserve">And the first thing to understand is the relationship with the microbial world </w:t>
      </w:r>
      <w:r>
        <w:t>,</w:t>
      </w:r>
      <w:r w:rsidRPr="002932E6">
        <w:t xml:space="preserve">This very diverse panel is that a secret varied within it microbial world, and as we know (AMF), phylum Glomeromycota, are obligate root symbionts that live in most terrestrial ecosystems and form mutualistic symbioses with a variety of plant species worldwide </w:t>
      </w:r>
      <w:sdt>
        <w:sdtPr>
          <w:rPr>
            <w:color w:val="000000"/>
          </w:rPr>
          <w:tag w:val="MENDELEY_CITATION_v3_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"/>
          <w:id w:val="2057582352"/>
          <w:placeholder>
            <w:docPart w:val="C796E44BA29C7B49B74F3F722913E754"/>
          </w:placeholder>
        </w:sdtPr>
        <w:sdtContent>
          <w:r w:rsidR="00C006F8" w:rsidRPr="00C006F8">
            <w:rPr>
              <w:color w:val="000000"/>
            </w:rPr>
            <w:t>(Lekberg et al., 2013)</w:t>
          </w:r>
        </w:sdtContent>
      </w:sdt>
      <w:r w:rsidR="001C3A60">
        <w:t>,</w:t>
      </w:r>
      <w:r w:rsidRPr="002932E6">
        <w:t xml:space="preserve"> Plants are constantly interacting with other microorganisms in their environment</w:t>
      </w:r>
      <w:r>
        <w:t xml:space="preserve"> </w:t>
      </w:r>
      <w:sdt>
        <w:sdtPr>
          <w:rPr>
            <w:color w:val="000000"/>
          </w:rPr>
          <w:tag w:val="MENDELEY_CITATION_v3_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"/>
          <w:id w:val="-2083433315"/>
          <w:placeholder>
            <w:docPart w:val="C796E44BA29C7B49B74F3F722913E754"/>
          </w:placeholder>
        </w:sdtPr>
        <w:sdtContent>
          <w:r w:rsidR="00C006F8" w:rsidRPr="00C006F8">
            <w:rPr>
              <w:color w:val="000000"/>
            </w:rPr>
            <w:t>(López-Ráez et al., 2011; Raaijmakers et al., 2009)</w:t>
          </w:r>
        </w:sdtContent>
      </w:sdt>
      <w:r w:rsidRPr="002932E6">
        <w:t xml:space="preserve">, Furthermore, they can form mutually beneficial relationships with some of the microorganisms found in the rhizosphere. One of the most well-studied beneficial plant microorganism associations is that established with AMF, Interestingly, the vast majority of land plants, including most agricultural crop species, are able to establish AM symbiosis which are soil fungi </w:t>
      </w:r>
      <w:sdt>
        <w:sdtPr>
          <w:tag w:val="MENDELEY_CITATION_v3_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"/>
          <w:id w:val="-692146614"/>
          <w:placeholder>
            <w:docPart w:val="C796E44BA29C7B49B74F3F722913E754"/>
          </w:placeholder>
        </w:sdtPr>
        <w:sdtContent>
          <w:r w:rsidR="00C006F8">
            <w:t>(Smith &amp; Read, 2008)</w:t>
          </w:r>
        </w:sdtContent>
      </w:sdt>
      <w:r w:rsidRPr="002932E6">
        <w:t xml:space="preserve">. AMF may live symbiotically on the roots of approximately 80 % of different plant types </w:t>
      </w:r>
      <w:sdt>
        <w:sdtPr>
          <w:tag w:val="MENDELEY_CITATION_v3_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"/>
          <w:id w:val="1605690148"/>
          <w:placeholder>
            <w:docPart w:val="C796E44BA29C7B49B74F3F722913E754"/>
          </w:placeholder>
        </w:sdtPr>
        <w:sdtContent>
          <w:r w:rsidR="00C006F8">
            <w:t>(Koltai &amp; Kapulnik, 2010)</w:t>
          </w:r>
        </w:sdtContent>
      </w:sdt>
      <w:r w:rsidRPr="002932E6">
        <w:t xml:space="preserve">. AMF work in poor soils to uptake and transport nutrients (macro and micro), although mycorrhizal association role related to carbon flux is less defined </w:t>
      </w:r>
      <w:sdt>
        <w:sdtPr>
          <w:tag w:val="MENDELEY_CITATION_v3_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"/>
          <w:id w:val="716474561"/>
          <w:placeholder>
            <w:docPart w:val="C796E44BA29C7B49B74F3F722913E754"/>
          </w:placeholder>
        </w:sdtPr>
        <w:sdtContent>
          <w:r w:rsidR="00C006F8">
            <w:t>(Kayama &amp; Yamanaka, 2016; Selosse &amp; Roy, 2009)</w:t>
          </w:r>
        </w:sdtContent>
      </w:sdt>
      <w:r w:rsidRPr="002932E6">
        <w:t xml:space="preserve">, Plants invest 10-30 percent of their fungal symbionts in their photosynthetic outputs and obtain up to 90 % of their nutritional demands </w:t>
      </w:r>
      <w:sdt>
        <w:sdtPr>
          <w:tag w:val="MENDELEY_CITATION_v3_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"/>
          <w:id w:val="-1711882060"/>
          <w:placeholder>
            <w:docPart w:val="C796E44BA29C7B49B74F3F722913E754"/>
          </w:placeholder>
        </w:sdtPr>
        <w:sdtContent>
          <w:r w:rsidR="00C006F8">
            <w:t>(Drigo et al., 2010; Walder &amp; van der Heijden, 2015)</w:t>
          </w:r>
        </w:sdtContent>
      </w:sdt>
      <w:r w:rsidRPr="002932E6">
        <w:t>.</w:t>
      </w:r>
    </w:p>
    <w:p w14:paraId="169A7D12" w14:textId="77777777" w:rsidR="00CF6E89" w:rsidRPr="00C6668F" w:rsidRDefault="00CF6E89" w:rsidP="00CF6E89">
      <w:pPr>
        <w:pStyle w:val="mythesis"/>
      </w:pPr>
    </w:p>
    <w:p w14:paraId="044429F5" w14:textId="75AC330A" w:rsidR="0019038E" w:rsidRDefault="0019038E" w:rsidP="00411DBF">
      <w:pPr>
        <w:pStyle w:val="Heading2"/>
        <w:rPr>
          <w:shd w:val="clear" w:color="auto" w:fill="FFFFFF"/>
        </w:rPr>
      </w:pPr>
      <w:bookmarkStart w:id="175" w:name="_Toc83751497"/>
      <w:r w:rsidRPr="00A31FAD">
        <w:rPr>
          <w:shd w:val="clear" w:color="auto" w:fill="FFFFFF"/>
        </w:rPr>
        <w:t xml:space="preserve">5.1 The influence of </w:t>
      </w:r>
      <w:r w:rsidR="001E5003">
        <w:rPr>
          <w:shd w:val="clear" w:color="auto" w:fill="FFFFFF"/>
        </w:rPr>
        <w:t>A</w:t>
      </w:r>
      <w:r w:rsidRPr="00A31FAD">
        <w:rPr>
          <w:shd w:val="clear" w:color="auto" w:fill="FFFFFF"/>
        </w:rPr>
        <w:t xml:space="preserve">rbuscular </w:t>
      </w:r>
      <w:r w:rsidR="001E5003">
        <w:rPr>
          <w:shd w:val="clear" w:color="auto" w:fill="FFFFFF"/>
        </w:rPr>
        <w:t>M</w:t>
      </w:r>
      <w:r w:rsidRPr="00A31FAD">
        <w:rPr>
          <w:shd w:val="clear" w:color="auto" w:fill="FFFFFF"/>
        </w:rPr>
        <w:t xml:space="preserve">ycorrhizal </w:t>
      </w:r>
      <w:r w:rsidR="001E5003">
        <w:rPr>
          <w:shd w:val="clear" w:color="auto" w:fill="FFFFFF"/>
        </w:rPr>
        <w:t>F</w:t>
      </w:r>
      <w:r w:rsidRPr="00A31FAD">
        <w:rPr>
          <w:shd w:val="clear" w:color="auto" w:fill="FFFFFF"/>
        </w:rPr>
        <w:t xml:space="preserve">ungi on the physiology of a diverse panel of </w:t>
      </w:r>
      <w:r w:rsidRPr="00F7669E">
        <w:rPr>
          <w:i/>
          <w:iCs/>
          <w:shd w:val="clear" w:color="auto" w:fill="FFFFFF"/>
        </w:rPr>
        <w:t>Zea</w:t>
      </w:r>
      <w:r w:rsidRPr="00A31FAD">
        <w:rPr>
          <w:shd w:val="clear" w:color="auto" w:fill="FFFFFF"/>
        </w:rPr>
        <w:t xml:space="preserve"> </w:t>
      </w:r>
      <w:r w:rsidRPr="00F7669E">
        <w:rPr>
          <w:i/>
          <w:iCs/>
          <w:shd w:val="clear" w:color="auto" w:fill="FFFFFF"/>
        </w:rPr>
        <w:t>mays</w:t>
      </w:r>
      <w:r w:rsidRPr="00A31FAD">
        <w:rPr>
          <w:shd w:val="clear" w:color="auto" w:fill="FFFFFF"/>
        </w:rPr>
        <w:t xml:space="preserve"> cultivars produced in the Arabian Peninsula.</w:t>
      </w:r>
      <w:bookmarkEnd w:id="175"/>
    </w:p>
    <w:p w14:paraId="41474AE4" w14:textId="77777777" w:rsidR="00411DBF" w:rsidRPr="00411DBF" w:rsidRDefault="00411DBF" w:rsidP="00411DBF">
      <w:pPr>
        <w:rPr>
          <w:lang w:val="en-GB"/>
        </w:rPr>
      </w:pPr>
    </w:p>
    <w:p w14:paraId="460A48D0" w14:textId="1176403C" w:rsidR="0019038E" w:rsidRPr="00434C56" w:rsidRDefault="0019038E" w:rsidP="00CF6E89">
      <w:pPr>
        <w:pStyle w:val="mythesis"/>
      </w:pPr>
      <w:r w:rsidRPr="002932E6">
        <w:t xml:space="preserve">Biofertilizers and biocontrol microorganisms are central low input sustainable agricultures, and every species of these microbes plays an important role in the soil nevertheless the interaction between AMF and PGPR is very necessary for the development and productivity of the sustainable agriculture. Although   the mechanisms of these interaction are still not fully understood, there are some processes used like PCR-based methods, molecular markers, that can help us identify and spatiotemporal location of bacteria in the mycorrhizosphere </w:t>
      </w:r>
      <w:sdt>
        <w:sdtPr>
          <w:rPr>
            <w:color w:val="000000"/>
          </w:rPr>
          <w:tag w:val="MENDELEY_CITATION_v3_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"/>
          <w:id w:val="1733969641"/>
          <w:placeholder>
            <w:docPart w:val="C796E44BA29C7B49B74F3F722913E754"/>
          </w:placeholder>
        </w:sdtPr>
        <w:sdtContent>
          <w:r w:rsidR="00C006F8" w:rsidRPr="00C006F8">
            <w:rPr>
              <w:color w:val="000000"/>
            </w:rPr>
            <w:t>(Johansson et al., 2004)</w:t>
          </w:r>
        </w:sdtContent>
      </w:sdt>
      <w:r w:rsidRPr="002932E6">
        <w:t>.</w:t>
      </w:r>
    </w:p>
    <w:p w14:paraId="139835DD" w14:textId="48327973" w:rsidR="0019038E" w:rsidRPr="002932E6" w:rsidRDefault="0019038E" w:rsidP="00CF6E89">
      <w:pPr>
        <w:pStyle w:val="mythesis"/>
      </w:pPr>
      <w:r w:rsidRPr="002932E6">
        <w:t>In low input cropping agriculture system, the activities of the microorganisms promote the increase of crop production, enhance biocontrol against the pathogen factors and increase the amount of nutrients uptake</w:t>
      </w:r>
      <w:r w:rsidR="006026B9">
        <w:t>,</w:t>
      </w:r>
      <w:r w:rsidRPr="002932E6">
        <w:t xml:space="preserve"> </w:t>
      </w:r>
      <w:sdt>
        <w:sdtPr>
          <w:rPr>
            <w:color w:val="000000"/>
          </w:rPr>
          <w:tag w:val="MENDELEY_CITATION_v3_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"/>
          <w:id w:val="-265617159"/>
          <w:placeholder>
            <w:docPart w:val="C796E44BA29C7B49B74F3F722913E754"/>
          </w:placeholder>
        </w:sdtPr>
        <w:sdtContent>
          <w:r w:rsidR="00C006F8" w:rsidRPr="00C006F8">
            <w:rPr>
              <w:color w:val="000000"/>
            </w:rPr>
            <w:t>(Johansson et al., 2004)</w:t>
          </w:r>
        </w:sdtContent>
      </w:sdt>
      <w:r w:rsidRPr="002932E6">
        <w:t xml:space="preserve"> suggested that the AMF has been improved P nutrition, promoted disease resistance and increased N uptake. Also, it’s important in the soil with </w:t>
      </w:r>
      <w:r w:rsidRPr="002932E6">
        <w:lastRenderedPageBreak/>
        <w:t xml:space="preserve">low inputs cropping system. Moreover, PGPR had benefits like N fixation in the soil, enhance P solubilization and this interaction between AMF and PGPR promote the soil health and plant development </w:t>
      </w:r>
      <w:sdt>
        <w:sdtPr>
          <w:tag w:val="MENDELEY_CITATION_v3_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"/>
          <w:id w:val="298813668"/>
          <w:placeholder>
            <w:docPart w:val="C796E44BA29C7B49B74F3F722913E754"/>
          </w:placeholder>
        </w:sdtPr>
        <w:sdtContent>
          <w:r w:rsidR="00C006F8">
            <w:t>(Smith &amp; &amp; Read, 1997)</w:t>
          </w:r>
        </w:sdtContent>
      </w:sdt>
      <w:r w:rsidRPr="002932E6">
        <w:t>.</w:t>
      </w:r>
    </w:p>
    <w:p w14:paraId="51570F77" w14:textId="5D915C70" w:rsidR="0019038E" w:rsidRPr="00E62F65" w:rsidRDefault="00000000" w:rsidP="00CF6E89">
      <w:pPr>
        <w:pStyle w:val="mythesis"/>
      </w:pPr>
      <w:sdt>
        <w:sdtPr>
          <w:rPr>
            <w:color w:val="000000"/>
          </w:rPr>
          <w:tag w:val="MENDELEY_CITATION_v3_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"/>
          <w:id w:val="-595331546"/>
          <w:placeholder>
            <w:docPart w:val="C796E44BA29C7B49B74F3F722913E754"/>
          </w:placeholder>
        </w:sdtPr>
        <w:sdtContent>
          <w:r w:rsidR="00C006F8" w:rsidRPr="00C006F8">
            <w:rPr>
              <w:color w:val="000000"/>
            </w:rPr>
            <w:t>(Mathiyazhagan et al., 2004)</w:t>
          </w:r>
        </w:sdtContent>
      </w:sdt>
      <w:r w:rsidR="0019038E" w:rsidRPr="002932E6">
        <w:t xml:space="preserve"> reported that the PGPR play an important role also as a biocontrol against a various fungal disease. The studies also have been explained that the PGPR protect the plant from the pathogen. For instance, </w:t>
      </w:r>
      <w:r w:rsidR="0019038E" w:rsidRPr="002932E6">
        <w:rPr>
          <w:i/>
        </w:rPr>
        <w:t>Bacillus</w:t>
      </w:r>
      <w:r w:rsidR="0019038E" w:rsidRPr="002932E6">
        <w:t xml:space="preserve"> strain has been inhibited the blight of squash disease </w:t>
      </w:r>
      <w:sdt>
        <w:sdtPr>
          <w:rPr>
            <w:color w:val="000000"/>
          </w:rPr>
          <w:tag w:val="MENDELEY_CITATION_v3_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"/>
          <w:id w:val="1882209564"/>
          <w:placeholder>
            <w:docPart w:val="C796E44BA29C7B49B74F3F722913E754"/>
          </w:placeholder>
        </w:sdtPr>
        <w:sdtContent>
          <w:r w:rsidR="00C006F8" w:rsidRPr="00C006F8">
            <w:rPr>
              <w:color w:val="000000"/>
            </w:rPr>
            <w:t>(Zhang et al., 2010)</w:t>
          </w:r>
        </w:sdtContent>
      </w:sdt>
      <w:r w:rsidR="0019038E" w:rsidRPr="002932E6">
        <w:t xml:space="preserve">. Also, </w:t>
      </w:r>
      <w:r w:rsidR="0019038E" w:rsidRPr="002932E6">
        <w:rPr>
          <w:i/>
        </w:rPr>
        <w:t>Bacillus subtilis</w:t>
      </w:r>
      <w:r w:rsidR="0019038E" w:rsidRPr="002932E6">
        <w:t xml:space="preserve"> ME 488 has been inhibited the soil borne pathogen of cucumber and paper </w:t>
      </w:r>
      <w:sdt>
        <w:sdtPr>
          <w:rPr>
            <w:color w:val="000000"/>
          </w:rPr>
          <w:tag w:val="MENDELEY_CITATION_v3_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"/>
          <w:id w:val="1660652348"/>
          <w:placeholder>
            <w:docPart w:val="C796E44BA29C7B49B74F3F722913E754"/>
          </w:placeholder>
        </w:sdtPr>
        <w:sdtContent>
          <w:r w:rsidR="00C006F8" w:rsidRPr="00C006F8">
            <w:rPr>
              <w:color w:val="000000"/>
            </w:rPr>
            <w:t>(Chung et al., 2008)</w:t>
          </w:r>
        </w:sdtContent>
      </w:sdt>
      <w:r w:rsidR="0019038E" w:rsidRPr="002932E6">
        <w:t>.</w:t>
      </w:r>
    </w:p>
    <w:p w14:paraId="566F0BCA" w14:textId="7F84D494" w:rsidR="0019038E" w:rsidRPr="002932E6" w:rsidRDefault="0019038E" w:rsidP="0019038E">
      <w:pPr>
        <w:spacing w:afterLines="280" w:after="672" w:line="360" w:lineRule="auto"/>
        <w:jc w:val="lowKashida"/>
        <w:rPr>
          <w:color w:val="000000" w:themeColor="text1"/>
        </w:rPr>
      </w:pPr>
      <w:r w:rsidRPr="002932E6">
        <w:rPr>
          <w:color w:val="000000" w:themeColor="text1"/>
        </w:rPr>
        <w:t xml:space="preserve">         Perhaps the reason for the formation of colonization between AMF the root greatly in most species is because they are similar and closely related genetically, and studies have found that Thicker-rooted species, like young maize, are more likely to have AMF colonization </w:t>
      </w:r>
      <w:sdt>
        <w:sdtPr>
          <w:rPr>
            <w:color w:val="000000"/>
          </w:rPr>
          <w:tag w:val="MENDELEY_CITATION_v3_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"/>
          <w:id w:val="-1245335036"/>
          <w:placeholder>
            <w:docPart w:val="09FCF8C24FBE8A49864069FAF7FC7D91"/>
          </w:placeholder>
        </w:sdtPr>
        <w:sdtContent>
          <w:r w:rsidR="00C006F8" w:rsidRPr="00C006F8">
            <w:rPr>
              <w:color w:val="000000"/>
            </w:rPr>
            <w:t>(Wen et al., 2020)</w:t>
          </w:r>
        </w:sdtContent>
      </w:sdt>
      <w:r w:rsidRPr="002932E6">
        <w:rPr>
          <w:color w:val="000000" w:themeColor="text1"/>
        </w:rPr>
        <w:t xml:space="preserve">. </w:t>
      </w:r>
      <w:r w:rsidR="00C6668F">
        <w:rPr>
          <w:color w:val="000000" w:themeColor="text1"/>
        </w:rPr>
        <w:t>H</w:t>
      </w:r>
      <w:r w:rsidRPr="002932E6">
        <w:rPr>
          <w:color w:val="000000" w:themeColor="text1"/>
        </w:rPr>
        <w:t xml:space="preserve">owever, it contrasts with chickpea data, which showed a relatively higher AMF colonization in the thinner roots </w:t>
      </w:r>
      <w:sdt>
        <w:sdtPr>
          <w:rPr>
            <w:color w:val="000000"/>
          </w:rPr>
          <w:tag w:val="MENDELEY_CITATION_v3_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"/>
          <w:id w:val="-801684457"/>
          <w:placeholder>
            <w:docPart w:val="09FCF8C24FBE8A49864069FAF7FC7D91"/>
          </w:placeholder>
        </w:sdtPr>
        <w:sdtContent>
          <w:r w:rsidR="00C006F8" w:rsidRPr="00C006F8">
            <w:rPr>
              <w:color w:val="000000"/>
            </w:rPr>
            <w:t>(Chu et al., 2013, 2020)</w:t>
          </w:r>
        </w:sdtContent>
      </w:sdt>
      <w:r w:rsidRPr="002932E6">
        <w:rPr>
          <w:color w:val="000000" w:themeColor="text1"/>
        </w:rPr>
        <w:t xml:space="preserve">. </w:t>
      </w:r>
      <w:r w:rsidR="00EB272F">
        <w:rPr>
          <w:color w:val="000000" w:themeColor="text1"/>
        </w:rPr>
        <w:t>T</w:t>
      </w:r>
      <w:r w:rsidRPr="002932E6">
        <w:rPr>
          <w:color w:val="000000" w:themeColor="text1"/>
        </w:rPr>
        <w:t xml:space="preserve">hese differences show the integration by various species and possibly by different genotype within one species of alternative AMF interaction strategies. It was expressed concern that, even during the rather short breeding period between 1950s and 2000s for cultures such as maize, mycorrhizal colonization and responsiveness had declined, even if only a very few lines of this trait were evaluated </w:t>
      </w:r>
      <w:sdt>
        <w:sdtPr>
          <w:rPr>
            <w:color w:val="000000"/>
          </w:rPr>
          <w:tag w:val="MENDELEY_CITATION_v3_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"/>
          <w:id w:val="977645934"/>
          <w:placeholder>
            <w:docPart w:val="09FCF8C24FBE8A49864069FAF7FC7D91"/>
          </w:placeholder>
        </w:sdtPr>
        <w:sdtContent>
          <w:r w:rsidR="00C006F8" w:rsidRPr="00C006F8">
            <w:rPr>
              <w:color w:val="000000"/>
            </w:rPr>
            <w:t>(Chu et al., 2013, 2020)</w:t>
          </w:r>
        </w:sdtContent>
      </w:sdt>
      <w:r>
        <w:rPr>
          <w:color w:val="000000" w:themeColor="text1"/>
        </w:rPr>
        <w:t>.</w:t>
      </w:r>
    </w:p>
    <w:p w14:paraId="7D24287C" w14:textId="1260A7FB" w:rsidR="0019038E" w:rsidRPr="002932E6" w:rsidRDefault="0019038E" w:rsidP="00CF6E89">
      <w:pPr>
        <w:pStyle w:val="mythesis"/>
      </w:pPr>
      <w:r w:rsidRPr="002932E6">
        <w:t xml:space="preserve">   There may be differences in the percentage of colonization root, the level of P and the total content of P for each type of maze's inherent genotypes </w:t>
      </w:r>
      <w:sdt>
        <w:sdtPr>
          <w:rPr>
            <w:color w:val="000000"/>
          </w:rPr>
          <w:tag w:val="MENDELEY_CITATION_v3_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"/>
          <w:id w:val="-491258663"/>
          <w:placeholder>
            <w:docPart w:val="9E2AD82F90C98945841E1F77570B0B74"/>
          </w:placeholder>
        </w:sdtPr>
        <w:sdtContent>
          <w:r w:rsidR="00C006F8" w:rsidRPr="00C006F8">
            <w:rPr>
              <w:color w:val="000000"/>
            </w:rPr>
            <w:t>(Zhu et al., 2005)</w:t>
          </w:r>
        </w:sdtContent>
      </w:sdt>
      <w:r w:rsidRPr="002932E6">
        <w:t xml:space="preserve">, While other varieties may increase nutrient absorption and form more root colonization in mycorrhizal symbiosis </w:t>
      </w:r>
      <w:sdt>
        <w:sdtPr>
          <w:tag w:val="MENDELEY_CITATION_v3_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"/>
          <w:id w:val="-1807383284"/>
          <w:placeholder>
            <w:docPart w:val="9E2AD82F90C98945841E1F77570B0B74"/>
          </w:placeholder>
        </w:sdtPr>
        <w:sdtContent>
          <w:r w:rsidR="00C006F8">
            <w:t>(Ortas &amp; Akpinar, 2011)</w:t>
          </w:r>
        </w:sdtContent>
      </w:sdt>
      <w:r w:rsidRPr="002932E6">
        <w:t>.</w:t>
      </w:r>
      <w:r w:rsidR="00C97048">
        <w:t xml:space="preserve"> Several studies </w:t>
      </w:r>
      <w:sdt>
        <w:sdtPr>
          <w:rPr>
            <w:color w:val="000000"/>
          </w:rPr>
          <w:tag w:val="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"/>
          <w:id w:val="-1342707157"/>
          <w:placeholder>
            <w:docPart w:val="9E2AD82F90C98945841E1F77570B0B74"/>
          </w:placeholder>
        </w:sdtPr>
        <w:sdtContent>
          <w:r w:rsidR="00C006F8" w:rsidRPr="00C006F8">
            <w:rPr>
              <w:color w:val="000000"/>
            </w:rPr>
            <w:t>(Jansa et al., 2005; Munkvold et al., 2004; Thonar et al., 2011)</w:t>
          </w:r>
        </w:sdtContent>
      </w:sdt>
      <w:r w:rsidRPr="002932E6">
        <w:t xml:space="preserve"> showed a significant increase in the total P in the shoot treated with AMF inoculum. The AMF species were known to differentiate considerably in their P acquisition strategies </w:t>
      </w:r>
      <w:sdt>
        <w:sdtPr>
          <w:rPr>
            <w:color w:val="000000"/>
          </w:rPr>
          <w:tag w:val="MENDELEY_CITATION_v3_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"/>
          <w:id w:val="349613466"/>
          <w:placeholder>
            <w:docPart w:val="9E2AD82F90C98945841E1F77570B0B74"/>
          </w:placeholder>
        </w:sdtPr>
        <w:sdtContent>
          <w:r w:rsidR="00C006F8" w:rsidRPr="00C006F8">
            <w:rPr>
              <w:color w:val="000000"/>
            </w:rPr>
            <w:t>(Smith et al., 2003)</w:t>
          </w:r>
        </w:sdtContent>
      </w:sdt>
      <w:r w:rsidRPr="002932E6">
        <w:t>.</w:t>
      </w:r>
    </w:p>
    <w:p w14:paraId="6EB607B9" w14:textId="319B8FCA" w:rsidR="0019038E" w:rsidRPr="002932E6" w:rsidRDefault="00000000" w:rsidP="00CF6E89">
      <w:pPr>
        <w:pStyle w:val="mythesis"/>
      </w:pPr>
      <w:sdt>
        <w:sdtPr>
          <w:rPr>
            <w:color w:val="000000"/>
          </w:rPr>
          <w:tag w:val="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"/>
          <w:id w:val="-1785726182"/>
          <w:placeholder>
            <w:docPart w:val="ABF7951694535343AFF09B6323D27699"/>
          </w:placeholder>
        </w:sdtPr>
        <w:sdtContent>
          <w:r w:rsidR="00C006F8" w:rsidRPr="00C006F8">
            <w:rPr>
              <w:color w:val="000000"/>
            </w:rPr>
            <w:t>(Ma et al., 2018)</w:t>
          </w:r>
        </w:sdtContent>
      </w:sdt>
      <w:r w:rsidR="0019038E" w:rsidRPr="002932E6">
        <w:t xml:space="preserve"> reported that on evolutionary time scale, since their first emergence in land ecosystems, plants have significantly reduced their dependence on symbiotic mycorrhized </w:t>
      </w:r>
      <w:r w:rsidR="00151E28" w:rsidRPr="002932E6">
        <w:t>funguses</w:t>
      </w:r>
      <w:r w:rsidR="0019038E" w:rsidRPr="002932E6">
        <w:t xml:space="preserve"> </w:t>
      </w:r>
      <w:sdt>
        <w:sdtPr>
          <w:rPr>
            <w:color w:val="000000"/>
          </w:rPr>
          <w:tag w:val="MENDELEY_CITATION_v3_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"/>
          <w:id w:val="-429814081"/>
          <w:placeholder>
            <w:docPart w:val="ABF7951694535343AFF09B6323D27699"/>
          </w:placeholder>
        </w:sdtPr>
        <w:sdtContent>
          <w:r w:rsidR="00C006F8" w:rsidRPr="00C006F8">
            <w:rPr>
              <w:color w:val="000000"/>
            </w:rPr>
            <w:t>(Wright et al., 2005)</w:t>
          </w:r>
        </w:sdtContent>
      </w:sdt>
      <w:r w:rsidR="0019038E" w:rsidRPr="002932E6">
        <w:t xml:space="preserve">. </w:t>
      </w:r>
      <w:r w:rsidR="00D75D27">
        <w:t>In</w:t>
      </w:r>
      <w:r w:rsidR="0019038E" w:rsidRPr="002932E6">
        <w:t xml:space="preserve"> fact, a landrace comparison with hybrid varieties of maize has </w:t>
      </w:r>
      <w:r w:rsidR="0019038E" w:rsidRPr="002932E6">
        <w:lastRenderedPageBreak/>
        <w:t xml:space="preserve">shown a better reaction to AMF mycorrhization, while a mycorrhizal infection was more pronounced than an African line within a modern European elite </w:t>
      </w:r>
      <w:sdt>
        <w:sdtPr>
          <w:rPr>
            <w:color w:val="000000"/>
          </w:rPr>
          <w:tag w:val="MENDELEY_CITATION_v3_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"/>
          <w:id w:val="-1395660740"/>
          <w:placeholder>
            <w:docPart w:val="ABF7951694535343AFF09B6323D27699"/>
          </w:placeholder>
        </w:sdtPr>
        <w:sdtContent>
          <w:r w:rsidR="00C006F8" w:rsidRPr="00C006F8">
            <w:rPr>
              <w:color w:val="000000"/>
            </w:rPr>
            <w:t>(Li et al., 2021)</w:t>
          </w:r>
        </w:sdtContent>
      </w:sdt>
      <w:r w:rsidR="0019038E" w:rsidRPr="002932E6">
        <w:t xml:space="preserve">. But </w:t>
      </w:r>
      <w:sdt>
        <w:sdtPr>
          <w:rPr>
            <w:color w:val="000000"/>
          </w:rPr>
          <w:tag w:val="MENDELEY_CITATION_v3_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"/>
          <w:id w:val="-128861040"/>
          <w:placeholder>
            <w:docPart w:val="ABF7951694535343AFF09B6323D27699"/>
          </w:placeholder>
        </w:sdtPr>
        <w:sdtContent>
          <w:r w:rsidR="00C006F8" w:rsidRPr="00C006F8">
            <w:rPr>
              <w:color w:val="000000"/>
            </w:rPr>
            <w:t>( Li et al., 2021)</w:t>
          </w:r>
        </w:sdtContent>
      </w:sdt>
      <w:r w:rsidR="0019038E" w:rsidRPr="002932E6">
        <w:t>showed that there has been no obvious trend in this field towards the loss of mycorrhization for European genotypes during the breeding process, but interestingly, several other doubled haploid (DH) lines from the same landrace have been colonized even less than modern flints. therefore, they may be effective breed candidates to superior AMF mycorrhization</w:t>
      </w:r>
      <w:r w:rsidR="008B1296">
        <w:tab/>
      </w:r>
      <w:r w:rsidR="008B1296">
        <w:tab/>
      </w:r>
      <w:r w:rsidR="0019038E" w:rsidRPr="002932E6">
        <w:t xml:space="preserve"> while such material could contribute interesting genetics in modern elite lines, landrace DH lines do not actually increase modern elite lines for these traits.  Also </w:t>
      </w:r>
      <w:sdt>
        <w:sdtPr>
          <w:tag w:val="MENDELEY_CITATION_v3_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"/>
          <w:id w:val="245691493"/>
          <w:placeholder>
            <w:docPart w:val="ABF7951694535343AFF09B6323D27699"/>
          </w:placeholder>
        </w:sdtPr>
        <w:sdtContent>
          <w:r w:rsidR="00C006F8">
            <w:t>(Porter &amp; Sachs, 2020b)</w:t>
          </w:r>
          <w:r w:rsidR="006D0A81">
            <w:t xml:space="preserve"> </w:t>
          </w:r>
        </w:sdtContent>
      </w:sdt>
      <w:r w:rsidR="0019038E" w:rsidRPr="002932E6">
        <w:t>Clarif</w:t>
      </w:r>
      <w:r w:rsidR="006708CF">
        <w:t>ied</w:t>
      </w:r>
      <w:r w:rsidR="0019038E" w:rsidRPr="002932E6">
        <w:t xml:space="preserve"> that the period of intensive maize breeding in recent five decades appears to be little affected by the mycorrhizal colonization, but trends in the European elite flint maize for loss of citrate have been identified. Lack of mycorrhization effects and other features during intensive breeding may indicate (1) the pressure of selection on these features was low, (2) that those features were poorly inherited, or (3) the traits had little relation with the selected features. The second would argue that the mycorrhization is selectable without adversely affecting maize's agronomically important characteristics.</w:t>
      </w:r>
    </w:p>
    <w:p w14:paraId="58532670" w14:textId="0F60F967" w:rsidR="0019038E" w:rsidRPr="003D6324" w:rsidRDefault="00000000" w:rsidP="00CF6E89">
      <w:pPr>
        <w:pStyle w:val="mythesis"/>
        <w:rPr>
          <w:shd w:val="clear" w:color="auto" w:fill="FFFFFF"/>
        </w:rPr>
      </w:pPr>
      <w:sdt>
        <w:sdtPr>
          <w:tag w:val="MENDELEY_CITATION_v3_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"/>
          <w:id w:val="1520051638"/>
          <w:placeholder>
            <w:docPart w:val="ABF7951694535343AFF09B6323D27699"/>
          </w:placeholder>
        </w:sdtPr>
        <w:sdtContent>
          <w:r w:rsidR="00C006F8">
            <w:t>(Porter &amp; Sachs, 2020b)</w:t>
          </w:r>
        </w:sdtContent>
      </w:sdt>
      <w:r w:rsidR="008F2F55">
        <w:t>have</w:t>
      </w:r>
      <w:r w:rsidR="0019038E" w:rsidRPr="002932E6">
        <w:t xml:space="preserve"> been attributed in </w:t>
      </w:r>
      <w:r w:rsidR="008F2F55">
        <w:t>thier</w:t>
      </w:r>
      <w:r w:rsidR="0019038E" w:rsidRPr="002932E6">
        <w:t xml:space="preserve"> review the reasons for the occurrence of the disruption of Plant–Microbial Symbiosis to artificial selection, breeding population dynamics and agriculturally neutral selectively and </w:t>
      </w:r>
      <w:r w:rsidR="0019038E" w:rsidRPr="002932E6">
        <w:rPr>
          <w:shd w:val="clear" w:color="auto" w:fill="FFFFFF"/>
        </w:rPr>
        <w:t>Because of the Domestication which is important for human food benefit, the disruption of interactions between plants and beneficial microbiota was occurred. and the theory in this review predicting that there are 3 reasons disrupt plant–microbial symbiosis under domestication and it is evolutionary trade-offs, genetic costs and relaxed selection.</w:t>
      </w:r>
      <w:r w:rsidR="0019038E" w:rsidRPr="002932E6">
        <w:t xml:space="preserve"> we note that not all traits deterioration under relaxed selection: symbiosis traits might not decay during domestication if new or secondary functions result in high yield, if symbiosis traits are positively genetically correlated with traits that result in high yield, or</w:t>
      </w:r>
      <w:r w:rsidR="0019038E" w:rsidRPr="002932E6">
        <w:rPr>
          <w:shd w:val="clear" w:color="auto" w:fill="FFFFFF"/>
        </w:rPr>
        <w:t xml:space="preserve"> </w:t>
      </w:r>
      <w:r w:rsidR="0019038E" w:rsidRPr="002932E6">
        <w:t>if crops retain gene flow with wild populations where the trait is under selection for function.</w:t>
      </w:r>
      <w:r w:rsidR="0019038E" w:rsidRPr="002932E6">
        <w:rPr>
          <w:shd w:val="clear" w:color="auto" w:fill="FFFFFF"/>
        </w:rPr>
        <w:t xml:space="preserve">  </w:t>
      </w:r>
    </w:p>
    <w:p w14:paraId="08F675A0" w14:textId="13048286" w:rsidR="0019038E" w:rsidRPr="00423552" w:rsidRDefault="0019038E" w:rsidP="00CF6E89">
      <w:pPr>
        <w:pStyle w:val="mythesis"/>
        <w:rPr>
          <w:lang w:val="en-GB"/>
        </w:rPr>
      </w:pPr>
      <w:r w:rsidRPr="002932E6">
        <w:rPr>
          <w:lang w:val="en-GB"/>
        </w:rPr>
        <w:t xml:space="preserve"> Due to these restrictions, variants that increase plant investment in symbiosis will be harmful to overall agricultural performance. </w:t>
      </w:r>
      <w:r w:rsidR="00A91CB6">
        <w:rPr>
          <w:lang w:val="en-GB"/>
        </w:rPr>
        <w:t>H</w:t>
      </w:r>
      <w:r w:rsidRPr="002932E6">
        <w:rPr>
          <w:lang w:val="en-GB"/>
        </w:rPr>
        <w:t xml:space="preserve">owever, trade-offs that are driven by genetic linkage can be improved by breeding programs that select for recombination events that break up such </w:t>
      </w:r>
      <w:r w:rsidRPr="002932E6">
        <w:rPr>
          <w:lang w:val="en-GB"/>
        </w:rPr>
        <w:lastRenderedPageBreak/>
        <w:t>linkage. Trade-offs can also be improved by gene duplication, or by tissue-specific or ontogenetic stage-specific gene regulation</w:t>
      </w:r>
      <w:sdt>
        <w:sdtPr>
          <w:rPr>
            <w:color w:val="000000"/>
            <w:lang w:val="en-GB"/>
          </w:rPr>
          <w:tag w:val="MENDELEY_CITATION_v3_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"/>
          <w:id w:val="1996061485"/>
          <w:placeholder>
            <w:docPart w:val="ABF7951694535343AFF09B6323D27699"/>
          </w:placeholder>
        </w:sdtPr>
        <w:sdtContent>
          <w:r w:rsidR="00C006F8" w:rsidRPr="00C006F8">
            <w:rPr>
              <w:color w:val="000000"/>
              <w:lang w:val="en-GB"/>
            </w:rPr>
            <w:t>(Gange et al., 1999).</w:t>
          </w:r>
        </w:sdtContent>
      </w:sdt>
    </w:p>
    <w:p w14:paraId="32D3B270" w14:textId="5537B019" w:rsidR="0019038E" w:rsidRPr="002932E6" w:rsidRDefault="00000000" w:rsidP="00CF6E89">
      <w:pPr>
        <w:pStyle w:val="mythesis"/>
      </w:pPr>
      <w:sdt>
        <w:sdtPr>
          <w:rPr>
            <w:shd w:val="clear" w:color="auto" w:fill="FFFFFF"/>
          </w:rPr>
          <w:tag w:val="MENDELEY_CITATION_v3_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"/>
          <w:id w:val="1329486924"/>
          <w:placeholder>
            <w:docPart w:val="DefaultPlaceholder_-1854013440"/>
          </w:placeholder>
        </w:sdtPr>
        <w:sdtContent>
          <w:r w:rsidR="00C006F8">
            <w:t>(Walder &amp; van der Heijden, 2015b)</w:t>
          </w:r>
        </w:sdtContent>
      </w:sdt>
      <w:r w:rsidR="00D11416">
        <w:rPr>
          <w:shd w:val="clear" w:color="auto" w:fill="FFFFFF"/>
        </w:rPr>
        <w:t xml:space="preserve"> </w:t>
      </w:r>
      <w:r w:rsidR="0004005A">
        <w:rPr>
          <w:shd w:val="clear" w:color="auto" w:fill="FFFFFF"/>
        </w:rPr>
        <w:t>c</w:t>
      </w:r>
      <w:r w:rsidR="00D11416">
        <w:rPr>
          <w:shd w:val="clear" w:color="auto" w:fill="FFFFFF"/>
        </w:rPr>
        <w:t>larified that AMF</w:t>
      </w:r>
      <w:r w:rsidR="0019038E" w:rsidRPr="002932E6">
        <w:rPr>
          <w:shd w:val="clear" w:color="auto" w:fill="FFFFFF"/>
        </w:rPr>
        <w:t xml:space="preserve"> can provide significant amounts of N and P to their host plants, especially those that have a lack of nutrients in the soil</w:t>
      </w:r>
      <w:r w:rsidR="00287F34">
        <w:rPr>
          <w:shd w:val="clear" w:color="auto" w:fill="FFFFFF"/>
        </w:rPr>
        <w:t>.</w:t>
      </w:r>
      <w:r w:rsidR="00562C37">
        <w:rPr>
          <w:shd w:val="clear" w:color="auto" w:fill="FFFFFF"/>
        </w:rPr>
        <w:t xml:space="preserve"> </w:t>
      </w:r>
      <w:sdt>
        <w:sdtPr>
          <w:rPr>
            <w:shd w:val="clear" w:color="auto" w:fill="FFFFFF"/>
          </w:rPr>
          <w:tag w:val="MENDELEY_CITATION_v3_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"/>
          <w:id w:val="-2008271569"/>
          <w:placeholder>
            <w:docPart w:val="DefaultPlaceholder_-1854013440"/>
          </w:placeholder>
        </w:sdtPr>
        <w:sdtContent>
          <w:r w:rsidR="00C006F8">
            <w:t>(Jakobsen et al., 1992; Leake et al., 2004; S. E. Smith &amp; Smith, 2011c)</w:t>
          </w:r>
        </w:sdtContent>
      </w:sdt>
      <w:r w:rsidR="0019038E" w:rsidRPr="002932E6">
        <w:rPr>
          <w:shd w:val="clear" w:color="auto" w:fill="FFFFFF"/>
        </w:rPr>
        <w:t xml:space="preserve"> found in their experiments that Single plants and plant communities have demonstrated that up to 90% of plant P contribute to AM fungus,</w:t>
      </w:r>
      <w:r w:rsidR="0019038E" w:rsidRPr="002932E6">
        <w:t xml:space="preserve"> also </w:t>
      </w:r>
      <w:sdt>
        <w:sdtPr>
          <w:tag w:val="MENDELEY_CITATION_v3_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"/>
          <w:id w:val="1380591467"/>
          <w:placeholder>
            <w:docPart w:val="C796E44BA29C7B49B74F3F722913E754"/>
          </w:placeholder>
        </w:sdtPr>
        <w:sdtEndPr>
          <w:rPr>
            <w:shd w:val="clear" w:color="auto" w:fill="FFFFFF"/>
          </w:rPr>
        </w:sdtEndPr>
        <w:sdtContent>
          <w:r w:rsidR="00C006F8">
            <w:t>(Hodge &amp; Storer, 2015; Mader et al., 2000; Tobar et al., 1994)</w:t>
          </w:r>
        </w:sdtContent>
      </w:sdt>
      <w:r w:rsidR="0019038E" w:rsidRPr="002932E6">
        <w:rPr>
          <w:shd w:val="clear" w:color="auto" w:fill="FFFFFF"/>
        </w:rPr>
        <w:t xml:space="preserve"> found that the contribution of AM fungi to plant N nutrition is less prominent, often minimal, and is dependent on soil water content, pH, and soil type. Furthermore, AM fungus may immobilize significant amounts of nitrogen in mycelia </w:t>
      </w:r>
      <w:sdt>
        <w:sdtPr>
          <w:rPr>
            <w:shd w:val="clear" w:color="auto" w:fill="FFFFFF"/>
          </w:rPr>
          <w:tag w:val="MENDELEY_CITATION_v3_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"/>
          <w:id w:val="-741021954"/>
          <w:placeholder>
            <w:docPart w:val="C796E44BA29C7B49B74F3F722913E754"/>
          </w:placeholder>
        </w:sdtPr>
        <w:sdtContent>
          <w:r w:rsidR="00C006F8">
            <w:t>(Hodge &amp; Fitter, 2010).</w:t>
          </w:r>
        </w:sdtContent>
      </w:sdt>
    </w:p>
    <w:p w14:paraId="57E892E0" w14:textId="14D00791" w:rsidR="0019038E" w:rsidRPr="00477EEA" w:rsidRDefault="0019038E" w:rsidP="00CF6E89">
      <w:pPr>
        <w:pStyle w:val="mythesis"/>
      </w:pPr>
      <w:r w:rsidRPr="002932E6">
        <w:t xml:space="preserve"> </w:t>
      </w:r>
      <w:sdt>
        <w:sdtPr>
          <w:rPr>
            <w:color w:val="000000"/>
          </w:rPr>
          <w:tag w:val="MENDELEY_CITATION_v3_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"/>
          <w:id w:val="1145476985"/>
          <w:placeholder>
            <w:docPart w:val="BB7DDE6702EF03409D4F99D8529D7EC4"/>
          </w:placeholder>
        </w:sdtPr>
        <w:sdtContent>
          <w:r w:rsidR="00C006F8" w:rsidRPr="00C006F8">
            <w:rPr>
              <w:color w:val="000000"/>
            </w:rPr>
            <w:t>(Ingraffia et al., 2020)</w:t>
          </w:r>
        </w:sdtContent>
      </w:sdt>
      <w:r w:rsidRPr="002932E6">
        <w:t xml:space="preserve"> reported that under the availability of N, the AMF had no effect on the plant biomass but N concentrations in plant tissue, plant N uptake, and total N recovered from the fertilizer were increased, AM fungi led to a reduction of overgrown biomass in N-deficient soil. that suggests that AM fungi and plants may have competed for N. their data showed that arbuscular mycorrhizae play an active role in favor of N-related traits of plants when N is not a limiting factor and indicate that this fungus helps to recover N of the fertilizer. these results have great potential to increase maize sustainability.</w:t>
      </w:r>
      <w:r w:rsidR="00477EEA">
        <w:t xml:space="preserve"> Moreover,</w:t>
      </w:r>
      <w:r w:rsidRPr="002932E6">
        <w:t xml:space="preserve"> </w:t>
      </w:r>
      <w:sdt>
        <w:sdtPr>
          <w:rPr>
            <w:color w:val="000000"/>
          </w:rPr>
          <w:tag w:val="MENDELEY_CITATION_v3_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"/>
          <w:id w:val="-1536430503"/>
          <w:placeholder>
            <w:docPart w:val="D6F435F00B0DE44DA99388238EDA49D8"/>
          </w:placeholder>
        </w:sdtPr>
        <w:sdtContent>
          <w:r w:rsidR="00C006F8" w:rsidRPr="00C006F8">
            <w:rPr>
              <w:color w:val="000000"/>
            </w:rPr>
            <w:t>(Elliott et al., 2020)</w:t>
          </w:r>
        </w:sdtContent>
      </w:sdt>
      <w:r w:rsidRPr="002932E6">
        <w:t xml:space="preserve"> reported in their study that</w:t>
      </w:r>
      <w:r w:rsidRPr="002932E6">
        <w:rPr>
          <w:b/>
        </w:rPr>
        <w:t xml:space="preserve"> </w:t>
      </w:r>
      <w:r w:rsidRPr="002932E6">
        <w:t xml:space="preserve">the N uptake </w:t>
      </w:r>
      <w:r>
        <w:t>did not</w:t>
      </w:r>
      <w:r w:rsidRPr="002932E6">
        <w:t xml:space="preserve"> increased when the AMF inoculum was added and that what we observed in our study, and that could be because of AMF is more beneficial for plant P uptake while not much for plant P uptake because inorganic N sources are more mobile in the soil and therefore not depleted in the rhizosphere, which limit root access </w:t>
      </w:r>
      <w:sdt>
        <w:sdtPr>
          <w:tag w:val="MENDELEY_CITATION_v3_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"/>
          <w:id w:val="1325320434"/>
          <w:placeholder>
            <w:docPart w:val="D6F435F00B0DE44DA99388238EDA49D8"/>
          </w:placeholder>
        </w:sdtPr>
        <w:sdtContent>
          <w:r w:rsidR="00C006F8">
            <w:t>(Smith &amp; Smith, 2011).</w:t>
          </w:r>
        </w:sdtContent>
      </w:sdt>
    </w:p>
    <w:p w14:paraId="10577584" w14:textId="377D9403" w:rsidR="0019038E" w:rsidRPr="002932E6" w:rsidRDefault="00000000" w:rsidP="00CF6E89">
      <w:pPr>
        <w:pStyle w:val="mythesis"/>
      </w:pPr>
      <w:sdt>
        <w:sdtPr>
          <w:rPr>
            <w:color w:val="000000"/>
            <w:shd w:val="clear" w:color="auto" w:fill="FFFFFF"/>
          </w:rPr>
          <w:tag w:val="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"/>
          <w:id w:val="1365482697"/>
          <w:placeholder>
            <w:docPart w:val="0D684B554825BE4E832D7B1898B6C3A2"/>
          </w:placeholder>
        </w:sdtPr>
        <w:sdtContent>
          <w:r w:rsidR="00C006F8" w:rsidRPr="00C006F8">
            <w:rPr>
              <w:color w:val="000000"/>
              <w:shd w:val="clear" w:color="auto" w:fill="FFFFFF"/>
            </w:rPr>
            <w:t>(Gamper et al., 2004; Staddon et al., 2004)</w:t>
          </w:r>
        </w:sdtContent>
      </w:sdt>
      <w:r w:rsidR="0019038E" w:rsidRPr="002932E6">
        <w:rPr>
          <w:shd w:val="clear" w:color="auto" w:fill="FFFFFF"/>
        </w:rPr>
        <w:t xml:space="preserve"> </w:t>
      </w:r>
      <w:r w:rsidR="0019038E" w:rsidRPr="002932E6">
        <w:t>reported that reduced colonization of mycorrhizal root in plants grown in soil rich in nutrients,</w:t>
      </w:r>
      <w:r w:rsidR="0019038E" w:rsidRPr="002932E6">
        <w:rPr>
          <w:shd w:val="clear" w:color="auto" w:fill="FFFFFF"/>
        </w:rPr>
        <w:t xml:space="preserve"> the plant can better satisfy its food requirements under nutrient-enriched conditions without photosynthesis being transferred to mycorrhizae,</w:t>
      </w:r>
      <w:r w:rsidR="0019038E" w:rsidRPr="002932E6">
        <w:t xml:space="preserve"> </w:t>
      </w:r>
      <w:r w:rsidR="0019038E" w:rsidRPr="002932E6">
        <w:rPr>
          <w:shd w:val="clear" w:color="auto" w:fill="FFFFFF"/>
        </w:rPr>
        <w:t xml:space="preserve">While the plant is stimulated to develop a symbiotic relation in N-deficient conditions, this will increase its chances of intercepting more nutrients. also, </w:t>
      </w:r>
      <w:sdt>
        <w:sdtPr>
          <w:rPr>
            <w:color w:val="000000"/>
            <w:shd w:val="clear" w:color="auto" w:fill="FFFFFF"/>
          </w:rPr>
          <w:tag w:val="MENDELEY_CITATION_v3_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"/>
          <w:id w:val="1568841026"/>
          <w:placeholder>
            <w:docPart w:val="0D684B554825BE4E832D7B1898B6C3A2"/>
          </w:placeholder>
        </w:sdtPr>
        <w:sdtContent>
          <w:r w:rsidR="00C006F8" w:rsidRPr="00C006F8">
            <w:rPr>
              <w:color w:val="000000"/>
              <w:shd w:val="clear" w:color="auto" w:fill="FFFFFF"/>
            </w:rPr>
            <w:t>(Ingraffia et al., 2020)</w:t>
          </w:r>
        </w:sdtContent>
      </w:sdt>
      <w:r w:rsidR="0019038E" w:rsidRPr="002932E6">
        <w:rPr>
          <w:shd w:val="clear" w:color="auto" w:fill="FFFFFF"/>
        </w:rPr>
        <w:t xml:space="preserve">found in </w:t>
      </w:r>
      <w:r w:rsidR="00BF689A">
        <w:rPr>
          <w:shd w:val="clear" w:color="auto" w:fill="FFFFFF"/>
        </w:rPr>
        <w:t>thier</w:t>
      </w:r>
      <w:r w:rsidR="0019038E" w:rsidRPr="002932E6">
        <w:rPr>
          <w:shd w:val="clear" w:color="auto" w:fill="FFFFFF"/>
        </w:rPr>
        <w:t xml:space="preserve"> study that there was no association between the increase in mycorrhization percentage and the plant growth benefit and N uptake benefit.</w:t>
      </w:r>
      <w:r w:rsidR="0019038E" w:rsidRPr="002932E6">
        <w:t xml:space="preserve"> Indeed, mycorrhization resulted in lower plant growth, N concentration and </w:t>
      </w:r>
      <w:r w:rsidR="0019038E" w:rsidRPr="002932E6">
        <w:lastRenderedPageBreak/>
        <w:t xml:space="preserve">uptake in the absence of fertilization (N0), which shows how AM fungi competes strongly for the low available N, however, when N fertilizer is applied, small benefits have sometimes been observed. Indeed, mycorrhizal colonization led to an increase in the N concentration and overall absorption of tissue from plants. when N was not a limiting factor. And that agree with our results. Contrasting results have indeed been reported for the relationship between AM colonization with its impact on plant performance   </w:t>
      </w:r>
      <w:sdt>
        <w:sdtPr>
          <w:rPr>
            <w:color w:val="000000"/>
          </w:rPr>
          <w:tag w:val="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"/>
          <w:id w:val="1388218920"/>
          <w:placeholder>
            <w:docPart w:val="4B4A7B45557A6646A4EFDFEE2B6B1E26"/>
          </w:placeholder>
        </w:sdtPr>
        <w:sdtContent>
          <w:r w:rsidR="00C006F8" w:rsidRPr="00C006F8">
            <w:rPr>
              <w:color w:val="000000"/>
            </w:rPr>
            <w:t>(Büscher et al., 2012; Corrêa et al., 2014; Fellbaum et al., 2014; van der Heijden et al., 2006).</w:t>
          </w:r>
        </w:sdtContent>
      </w:sdt>
      <w:r w:rsidR="0019038E" w:rsidRPr="002932E6">
        <w:t xml:space="preserve"> </w:t>
      </w:r>
      <w:sdt>
        <w:sdtPr>
          <w:rPr>
            <w:color w:val="000000"/>
          </w:rPr>
          <w:tag w:val="MENDELEY_CITATION_v3_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"/>
          <w:id w:val="-1988779281"/>
          <w:placeholder>
            <w:docPart w:val="0D684B554825BE4E832D7B1898B6C3A2"/>
          </w:placeholder>
        </w:sdtPr>
        <w:sdtContent>
          <w:r w:rsidR="00C006F8" w:rsidRPr="00C006F8">
            <w:rPr>
              <w:color w:val="000000"/>
            </w:rPr>
            <w:t>(Wu et al., 2011)</w:t>
          </w:r>
        </w:sdtContent>
      </w:sdt>
      <w:r w:rsidR="0019038E" w:rsidRPr="002932E6">
        <w:t xml:space="preserve"> reported that however, the mycorrhization led in regardless of plant growth to a more efficient acquisition of soil N, leaving soil with less residual N. It is remarkable that in the presence of AM fungi, N</w:t>
      </w:r>
      <w:r w:rsidR="0019038E">
        <w:t>0</w:t>
      </w:r>
      <w:r w:rsidR="0019038E" w:rsidRPr="002932E6">
        <w:t xml:space="preserve"> has a lower residual mineral N in the soil, although in the absence of inoculum plant N absorption is higher. This suggests that the limited amount of soil N has been used effectively by AM fungi for its own growth. Also, the expression of ammonium transporters was regulated by AM fungi when its growing in N-limiting conditions which acquire N from the soil retaining the N for their own metabolism, this behavior has been previously reported by </w:t>
      </w:r>
      <w:sdt>
        <w:sdtPr>
          <w:rPr>
            <w:color w:val="000000"/>
          </w:rPr>
          <w:tag w:val="MENDELEY_CITATION_v3_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"/>
          <w:id w:val="1485665017"/>
          <w:placeholder>
            <w:docPart w:val="0D684B554825BE4E832D7B1898B6C3A2"/>
          </w:placeholder>
        </w:sdtPr>
        <w:sdtContent>
          <w:r w:rsidR="00C006F8" w:rsidRPr="00C006F8">
            <w:rPr>
              <w:color w:val="000000"/>
            </w:rPr>
            <w:t>(Guether et al., 2009; Pérez-Tienda et al., 2011).</w:t>
          </w:r>
        </w:sdtContent>
      </w:sdt>
    </w:p>
    <w:p w14:paraId="06441024" w14:textId="4E8C5947" w:rsidR="0019038E" w:rsidRPr="002932E6" w:rsidRDefault="009D78E0" w:rsidP="00CF6E89">
      <w:pPr>
        <w:pStyle w:val="mythesis"/>
      </w:pPr>
      <w:r>
        <w:t xml:space="preserve">There </w:t>
      </w:r>
      <w:r w:rsidRPr="002932E6">
        <w:t>were</w:t>
      </w:r>
      <w:r w:rsidR="0019038E" w:rsidRPr="002932E6">
        <w:t xml:space="preserve"> some of studies regarding mycorrhizal colonization dealing with the percentage of P and N</w:t>
      </w:r>
      <w:sdt>
        <w:sdtPr>
          <w:tag w:val="MENDELEY_CITATION_v3_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"/>
          <w:id w:val="1545791923"/>
          <w:placeholder>
            <w:docPart w:val="3CA71E10BD7AB847967889232EA94205"/>
          </w:placeholder>
        </w:sdtPr>
        <w:sdtContent>
          <w:r w:rsidR="00C006F8">
            <w:t>, (Bååth &amp; Spokes, 1989)</w:t>
          </w:r>
        </w:sdtContent>
      </w:sdt>
      <w:r w:rsidR="0019038E" w:rsidRPr="002932E6">
        <w:t xml:space="preserve"> recorded that only a combination of high concentrations of P and N has resulted in decreased mycorrhization. </w:t>
      </w:r>
      <w:sdt>
        <w:sdtPr>
          <w:tag w:val="MENDELEY_CITATION_v3_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"/>
          <w:id w:val="-815103849"/>
          <w:placeholder>
            <w:docPart w:val="3CA71E10BD7AB847967889232EA94205"/>
          </w:placeholder>
        </w:sdtPr>
        <w:sdtContent>
          <w:r w:rsidR="00C006F8">
            <w:t>(Mosse &amp; Phillps, 1971)</w:t>
          </w:r>
        </w:sdtContent>
      </w:sdt>
      <w:r w:rsidR="0019038E" w:rsidRPr="002932E6">
        <w:t xml:space="preserve"> noticed that roots were only colonized at high levels of P when the N is not available in the medium. However, they did not realize that AMF might needed N nutrition. </w:t>
      </w:r>
      <w:sdt>
        <w:sdtPr>
          <w:tag w:val="MENDELEY_CITATION_v3_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"/>
          <w:id w:val="-110831711"/>
          <w:placeholder>
            <w:docPart w:val="3CA71E10BD7AB847967889232EA94205"/>
          </w:placeholder>
        </w:sdtPr>
        <w:sdtContent>
          <w:r w:rsidR="00C006F8">
            <w:t>(Sylvia &amp; Neal, 1990)</w:t>
          </w:r>
        </w:sdtContent>
      </w:sdt>
      <w:r w:rsidR="0019038E" w:rsidRPr="002932E6">
        <w:t xml:space="preserve"> established a later connection between P and N availability, as they recorded that the addition of P had no effect on mycorrhizal colonization under N-limiting conditions, while the colonization was suppressed by the addition of P when sufficient amount of N was provided. </w:t>
      </w:r>
    </w:p>
    <w:p w14:paraId="38FBBE7C" w14:textId="17742D10" w:rsidR="0019038E" w:rsidRPr="002932E6" w:rsidRDefault="0019038E" w:rsidP="00CF6E89">
      <w:pPr>
        <w:pStyle w:val="mythesis"/>
      </w:pPr>
      <w:r w:rsidRPr="002932E6">
        <w:t xml:space="preserve"> The acquisition of phosphorus from soil to plant, including many significant farm crops is highly influenced by arbuscular mycorrhizal symbiosis (AM). It does not generally play a prominent or beneficial role in plant nitrogen (N) nutrition except for some situations where N is mainly available in organic forms. however, AM fungi (AMF) are unlikely to degenerate organic compounds by themselves as a result of their poor exoenzymatic repertoire, and therefore could rely on other microorganisms to release nutrients in those materials </w:t>
      </w:r>
      <w:sdt>
        <w:sdtPr>
          <w:rPr>
            <w:color w:val="000000"/>
          </w:rPr>
          <w:tag w:val="MENDELEY_CITATION_v3_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"/>
          <w:id w:val="684321085"/>
          <w:placeholder>
            <w:docPart w:val="BBC5259182A8074FAD78BFA079ADF02B"/>
          </w:placeholder>
        </w:sdtPr>
        <w:sdtContent>
          <w:r w:rsidR="00C006F8" w:rsidRPr="00C006F8">
            <w:rPr>
              <w:color w:val="000000"/>
            </w:rPr>
            <w:t>(Jansa et al., 2019).</w:t>
          </w:r>
        </w:sdtContent>
      </w:sdt>
    </w:p>
    <w:p w14:paraId="2CC77F14" w14:textId="14F544C6" w:rsidR="0019038E" w:rsidRPr="0005639D" w:rsidRDefault="00000000" w:rsidP="0005639D">
      <w:pPr>
        <w:pStyle w:val="mythesis"/>
      </w:pPr>
      <w:sdt>
        <w:sdtPr>
          <w:rPr>
            <w:color w:val="000000"/>
          </w:rPr>
          <w:tag w:val="MENDELEY_CITATION_v3_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"/>
          <w:id w:val="-809165720"/>
          <w:placeholder>
            <w:docPart w:val="3B16E32CD488CE4CA62F59A71A63EAC7"/>
          </w:placeholder>
        </w:sdtPr>
        <w:sdtContent>
          <w:r w:rsidR="00C006F8" w:rsidRPr="00C006F8">
            <w:rPr>
              <w:color w:val="000000"/>
            </w:rPr>
            <w:t>(Chu et al., 2013)</w:t>
          </w:r>
        </w:sdtContent>
      </w:sdt>
      <w:r w:rsidR="0019038E" w:rsidRPr="0005639D">
        <w:t xml:space="preserve"> clarified that the Physiological, morphological, and mycorrhizal are three main kinds of functional characteristics that determine the acquisition of P in crops. Physiological and morphological features were the focus of the breeding of modern P-efficient varieties. This suggests that root exudate-related processes (phosphatase or proton extrusion) are the dominant pathway for P acquisition by maize seedlings on a low-P soil while improved surface absorption via AMF hyphae may be most important to acquire P in a high-p soil. and there was an indicator that the root diameter was same in both low and high P soils, which indicates that this is not one of the major traits of maize uptake</w:t>
      </w:r>
      <w:sdt>
        <w:sdtPr>
          <w:rPr>
            <w:color w:val="000000"/>
          </w:rPr>
          <w:tag w:val="MENDELEY_CITATION_v3_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"/>
          <w:id w:val="1732496761"/>
          <w:placeholder>
            <w:docPart w:val="3B16E32CD488CE4CA62F59A71A63EAC7"/>
          </w:placeholder>
        </w:sdtPr>
        <w:sdtContent>
          <w:r w:rsidR="00C006F8" w:rsidRPr="00C006F8">
            <w:rPr>
              <w:color w:val="000000"/>
            </w:rPr>
            <w:t>(Chu et al., 2013).</w:t>
          </w:r>
        </w:sdtContent>
      </w:sdt>
    </w:p>
    <w:p w14:paraId="7C62E88C" w14:textId="7CD05FB9" w:rsidR="0019038E" w:rsidRPr="0005639D" w:rsidRDefault="0019038E" w:rsidP="0005639D">
      <w:pPr>
        <w:pStyle w:val="mythesis"/>
      </w:pPr>
      <w:r w:rsidRPr="0005639D">
        <w:t xml:space="preserve"> </w:t>
      </w:r>
      <w:r w:rsidR="005A03CA">
        <w:t xml:space="preserve">According to </w:t>
      </w:r>
      <w:sdt>
        <w:sdtPr>
          <w:rPr>
            <w:color w:val="000000"/>
          </w:rPr>
          <w:tag w:val="MENDELEY_CITATION_v3_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"/>
          <w:id w:val="654488529"/>
          <w:placeholder>
            <w:docPart w:val="DefaultPlaceholder_-1854013440"/>
          </w:placeholder>
        </w:sdtPr>
        <w:sdtContent>
          <w:r w:rsidR="00C006F8" w:rsidRPr="00C006F8">
            <w:rPr>
              <w:color w:val="000000"/>
            </w:rPr>
            <w:t>(Glassop et al., 2005; Paszkowski et al., 2002)</w:t>
          </w:r>
        </w:sdtContent>
      </w:sdt>
      <w:r w:rsidRPr="0005639D">
        <w:t>AM symbiosis can modify the physiology and the environment of a plant in ways that can improve nutrient uptake, without direct P contribution by fungal hyphae. Plant P gene expression has been shown to change as a result of AMF colonization</w:t>
      </w:r>
      <w:r w:rsidR="005A03CA">
        <w:t xml:space="preserve">. </w:t>
      </w:r>
      <w:sdt>
        <w:sdtPr>
          <w:rPr>
            <w:color w:val="000000"/>
          </w:rPr>
          <w:tag w:val="MENDELEY_CITATION_v3_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"/>
          <w:id w:val="-890968020"/>
          <w:placeholder>
            <w:docPart w:val="3B16E32CD488CE4CA62F59A71A63EAC7"/>
          </w:placeholder>
        </w:sdtPr>
        <w:sdtContent>
          <w:r w:rsidR="00C006F8" w:rsidRPr="00C006F8">
            <w:rPr>
              <w:color w:val="000000"/>
            </w:rPr>
            <w:t>(Grønlund et al., 2013)</w:t>
          </w:r>
        </w:sdtContent>
      </w:sdt>
      <w:r w:rsidRPr="0005639D">
        <w:t xml:space="preserve"> reported that his gene expression could potentially alert plant uptake, while changes in P transporter expression and P uptake changes were rarely associated.</w:t>
      </w:r>
    </w:p>
    <w:p w14:paraId="450777AF" w14:textId="1CA9521F" w:rsidR="0019038E" w:rsidRPr="0005639D" w:rsidRDefault="0019038E" w:rsidP="0005639D">
      <w:pPr>
        <w:pStyle w:val="mythesis"/>
      </w:pPr>
      <w:r w:rsidRPr="0005639D">
        <w:t>Our results showed a correlation between the mycorrhizal responsiveness and the nutrient up takes while there was no correlation between the mycorrhization, and the nutrient up takes</w:t>
      </w:r>
      <w:r w:rsidR="0005639D">
        <w:t>.</w:t>
      </w:r>
    </w:p>
    <w:p w14:paraId="4A875B27" w14:textId="759F0926" w:rsidR="0019038E" w:rsidRPr="0005639D" w:rsidRDefault="00000000" w:rsidP="0005639D">
      <w:pPr>
        <w:pStyle w:val="mythesis"/>
      </w:pPr>
      <w:sdt>
        <w:sdtPr>
          <w:rPr>
            <w:color w:val="000000"/>
          </w:rPr>
          <w:tag w:val="MENDELEY_CITATION_v3_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"/>
          <w:id w:val="1455212353"/>
          <w:placeholder>
            <w:docPart w:val="EC3705E68A697D42A756BF2C83C8692D"/>
          </w:placeholder>
        </w:sdtPr>
        <w:sdtContent>
          <w:r w:rsidR="00C006F8" w:rsidRPr="00C006F8">
            <w:rPr>
              <w:color w:val="000000"/>
            </w:rPr>
            <w:t>(Jiao et al., 2011)</w:t>
          </w:r>
        </w:sdtContent>
      </w:sdt>
      <w:r w:rsidR="0019038E" w:rsidRPr="0005639D">
        <w:t xml:space="preserve">found in </w:t>
      </w:r>
      <w:r w:rsidR="00BC57AE">
        <w:t>thier</w:t>
      </w:r>
      <w:r w:rsidR="0019038E" w:rsidRPr="0005639D">
        <w:t xml:space="preserve"> results that all genotypes maize that not treated with AMF showed the same growth response pattern against Olsen-P levels nevertheless of when they were released, while there was a different response in growth between the Old (HMY) and Modern (NE15) genotype when treated with AMF. </w:t>
      </w:r>
      <w:r w:rsidR="00BC57AE">
        <w:t>T</w:t>
      </w:r>
      <w:r w:rsidR="0019038E" w:rsidRPr="0005639D">
        <w:t xml:space="preserve">his mycorrhizal-induced change in maize growth response to soil Olsen-P levels in the old to recently developed genotypes suggest a change in maize-AMF relationship in the breeding process. In low-P soil, symbiosis involving ancient genotypes was favored by low-P, while in high-P soil it was favored by high-P conditions involving modern genotypes </w:t>
      </w:r>
      <w:sdt>
        <w:sdtPr>
          <w:rPr>
            <w:color w:val="000000"/>
          </w:rPr>
          <w:tag w:val="MENDELEY_CITATION_v3_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"/>
          <w:id w:val="1109237890"/>
          <w:placeholder>
            <w:docPart w:val="EC3705E68A697D42A756BF2C83C8692D"/>
          </w:placeholder>
        </w:sdtPr>
        <w:sdtContent>
          <w:r w:rsidR="00C006F8" w:rsidRPr="00C006F8">
            <w:rPr>
              <w:color w:val="000000"/>
            </w:rPr>
            <w:t>(Grigera et al., 2007).</w:t>
          </w:r>
        </w:sdtContent>
      </w:sdt>
      <w:r w:rsidR="0019038E" w:rsidRPr="0005639D">
        <w:t xml:space="preserve"> In intensively managed and productive farms, diverse AMF communities can exist, and indigenous AMF can play an important role in the supply of P-to high-yield maize soil </w:t>
      </w:r>
      <w:sdt>
        <w:sdtPr>
          <w:rPr>
            <w:color w:val="000000"/>
          </w:rPr>
          <w:tag w:val="MENDELEY_CITATION_v3_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"/>
          <w:id w:val="-1235467681"/>
          <w:placeholder>
            <w:docPart w:val="EC3705E68A697D42A756BF2C83C8692D"/>
          </w:placeholder>
        </w:sdtPr>
        <w:sdtContent>
          <w:r w:rsidR="00C006F8" w:rsidRPr="00C006F8">
            <w:rPr>
              <w:color w:val="000000"/>
            </w:rPr>
            <w:t>(Li et al., 2021).</w:t>
          </w:r>
        </w:sdtContent>
      </w:sdt>
    </w:p>
    <w:p w14:paraId="0CCDB184" w14:textId="643C230A" w:rsidR="0019038E" w:rsidRPr="0005639D" w:rsidRDefault="0019038E" w:rsidP="0005639D">
      <w:pPr>
        <w:pStyle w:val="mythesis"/>
      </w:pPr>
      <w:r w:rsidRPr="0005639D">
        <w:lastRenderedPageBreak/>
        <w:t xml:space="preserve">      </w:t>
      </w:r>
      <w:sdt>
        <w:sdtPr>
          <w:rPr>
            <w:color w:val="000000"/>
          </w:rPr>
          <w:tag w:val="MENDELEY_CITATION_v3_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"/>
          <w:id w:val="1991448948"/>
          <w:placeholder>
            <w:docPart w:val="DBBA029B28AAF54FBBE95C436EAB753F"/>
          </w:placeholder>
        </w:sdtPr>
        <w:sdtContent>
          <w:r w:rsidR="00C006F8" w:rsidRPr="00C006F8">
            <w:rPr>
              <w:color w:val="000000"/>
            </w:rPr>
            <w:t>(Csathó et al., 2007)</w:t>
          </w:r>
        </w:sdtContent>
      </w:sdt>
      <w:r w:rsidRPr="0005639D">
        <w:t xml:space="preserve"> from the previous studies </w:t>
      </w:r>
      <w:r w:rsidR="00D87031">
        <w:t xml:space="preserve">can </w:t>
      </w:r>
      <w:r w:rsidRPr="0005639D">
        <w:t xml:space="preserve">revealed that mycorrhizal responsiveness varies among the crops genotypes that were bred at different times and that the modern verities lose the traits that responsible for colonization where they were against AMF association. While </w:t>
      </w:r>
      <w:sdt>
        <w:sdtPr>
          <w:rPr>
            <w:color w:val="000000"/>
          </w:rPr>
          <w:tag w:val="MENDELEY_CITATION_v3_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"/>
          <w:id w:val="-757601654"/>
          <w:placeholder>
            <w:docPart w:val="7C20D95494B80746A145E43D97B1AE50"/>
          </w:placeholder>
        </w:sdtPr>
        <w:sdtContent>
          <w:r w:rsidR="00C006F8" w:rsidRPr="00C006F8">
            <w:rPr>
              <w:color w:val="000000"/>
            </w:rPr>
            <w:t>(Wright et al., 2005)</w:t>
          </w:r>
        </w:sdtContent>
      </w:sdt>
      <w:r w:rsidRPr="0005639D">
        <w:t xml:space="preserve"> have indicated that in modern cultivars mycorrhizal response was not lost. Nevertheless, previous studies were carried out mainly in P-deficient soils. The fertility of arable soils, especially the P content available, has increased considerably in recent decades because of the high application rates of chemical fertilizer </w:t>
      </w:r>
      <w:sdt>
        <w:sdtPr>
          <w:rPr>
            <w:color w:val="000000"/>
          </w:rPr>
          <w:tag w:val="MENDELEY_CITATION_v3_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"/>
          <w:id w:val="-1437214808"/>
          <w:placeholder>
            <w:docPart w:val="DBBA029B28AAF54FBBE95C436EAB753F"/>
          </w:placeholder>
        </w:sdtPr>
        <w:sdtContent>
          <w:r w:rsidR="00C006F8" w:rsidRPr="00C006F8">
            <w:rPr>
              <w:color w:val="000000"/>
            </w:rPr>
            <w:t>(Oehl et al., 2005),</w:t>
          </w:r>
        </w:sdtContent>
      </w:sdt>
      <w:r w:rsidRPr="0005639D">
        <w:t xml:space="preserve"> and soil profile diversity of the AMFs can be significantly enriched </w:t>
      </w:r>
      <w:sdt>
        <w:sdtPr>
          <w:rPr>
            <w:color w:val="000000"/>
          </w:rPr>
          <w:tag w:val="MENDELEY_CITATION_v3_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"/>
          <w:id w:val="1034392271"/>
          <w:placeholder>
            <w:docPart w:val="DBBA029B28AAF54FBBE95C436EAB753F"/>
          </w:placeholder>
        </w:sdtPr>
        <w:sdtContent>
          <w:r w:rsidR="00C006F8" w:rsidRPr="00C006F8">
            <w:rPr>
              <w:color w:val="000000"/>
            </w:rPr>
            <w:t>(Chu et al., 2013</w:t>
          </w:r>
        </w:sdtContent>
      </w:sdt>
      <w:r w:rsidRPr="0005639D">
        <w:t>).</w:t>
      </w:r>
    </w:p>
    <w:p w14:paraId="3DD71EB8" w14:textId="14F33085" w:rsidR="0019038E" w:rsidRPr="0005639D" w:rsidRDefault="0019038E" w:rsidP="0005639D">
      <w:pPr>
        <w:pStyle w:val="mythesis"/>
      </w:pPr>
      <w:r w:rsidRPr="0005639D">
        <w:t xml:space="preserve"> Although the mycorrhizal response has a heritage characteristic, </w:t>
      </w:r>
      <w:sdt>
        <w:sdtPr>
          <w:rPr>
            <w:color w:val="000000"/>
          </w:rPr>
          <w:tag w:val="MENDELEY_CITATION_v3_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"/>
          <w:id w:val="1575778871"/>
          <w:placeholder>
            <w:docPart w:val="CE58DD48AEA495458651E01D6817A815"/>
          </w:placeholder>
        </w:sdtPr>
        <w:sdtContent>
          <w:r w:rsidR="00C006F8" w:rsidRPr="00C006F8">
            <w:rPr>
              <w:color w:val="000000"/>
            </w:rPr>
            <w:t>(An et al., 2010)</w:t>
          </w:r>
        </w:sdtContent>
      </w:sdt>
      <w:r w:rsidRPr="0005639D">
        <w:t xml:space="preserve"> recorded that the trait of breeding P-efficient crops was not considered. Mycorrhizal colonization made the largest contribution in the first main component for high-P soils among all mycorrhiza-related features of the maize genotype studied. The results are similar to the ones of a previous study </w:t>
      </w:r>
      <w:sdt>
        <w:sdtPr>
          <w:rPr>
            <w:color w:val="000000"/>
          </w:rPr>
          <w:tag w:val="MENDELEY_CITATION_v3_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"/>
          <w:id w:val="-92010296"/>
          <w:placeholder>
            <w:docPart w:val="CE58DD48AEA495458651E01D6817A815"/>
          </w:placeholder>
        </w:sdtPr>
        <w:sdtContent>
          <w:r w:rsidR="00C006F8" w:rsidRPr="00C006F8">
            <w:rPr>
              <w:color w:val="000000"/>
            </w:rPr>
            <w:t>(Bolan et al., 1983)</w:t>
          </w:r>
        </w:sdtContent>
      </w:sdt>
      <w:r w:rsidRPr="0005639D">
        <w:t xml:space="preserve">, in which the AM colonization of maize was related to the year of release and modern hybrids showed significantly higher values than native lines and older landraces. </w:t>
      </w:r>
      <w:r w:rsidR="00437D29">
        <w:t>It</w:t>
      </w:r>
      <w:r w:rsidRPr="0005639D">
        <w:t xml:space="preserve"> has been found that mycorrhizal plants require lower levels of P soil available to reach maximum growth in relation to non-mycorrhizal plants </w:t>
      </w:r>
      <w:sdt>
        <w:sdtPr>
          <w:rPr>
            <w:color w:val="000000"/>
          </w:rPr>
          <w:tag w:val="MENDELEY_CITATION_v3_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"/>
          <w:id w:val="-812017145"/>
          <w:placeholder>
            <w:docPart w:val="6913FFFCEF9B234FB36FB95CBEC66E6A"/>
          </w:placeholder>
        </w:sdtPr>
        <w:sdtContent>
          <w:r w:rsidR="00C006F8" w:rsidRPr="00C006F8">
            <w:rPr>
              <w:color w:val="000000"/>
            </w:rPr>
            <w:t>(Chu et al., 2013)</w:t>
          </w:r>
        </w:sdtContent>
      </w:sdt>
      <w:r w:rsidR="009D78E0" w:rsidRPr="0005639D">
        <w:t>.</w:t>
      </w:r>
    </w:p>
    <w:p w14:paraId="00C25742" w14:textId="1941B618" w:rsidR="0019038E" w:rsidRPr="002932E6" w:rsidRDefault="00000000" w:rsidP="0019038E">
      <w:pPr>
        <w:pStyle w:val="mythesis"/>
      </w:pPr>
      <w:sdt>
        <w:sdtPr>
          <w:tag w:val="MENDELEY_CITATION_v3_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"/>
          <w:id w:val="-103804736"/>
          <w:placeholder>
            <w:docPart w:val="7C20D95494B80746A145E43D97B1AE50"/>
          </w:placeholder>
        </w:sdtPr>
        <w:sdtContent>
          <w:r w:rsidR="00C006F8">
            <w:t>(Hohmann &amp; Messmer, 2017)</w:t>
          </w:r>
        </w:sdtContent>
      </w:sdt>
      <w:r w:rsidR="0019038E" w:rsidRPr="002932E6">
        <w:t xml:space="preserve"> found a widely ranged among 104 pea genotypes for their ability to interact with the AM-fungus </w:t>
      </w:r>
      <w:r w:rsidR="0019038E" w:rsidRPr="00F343F5">
        <w:rPr>
          <w:i/>
        </w:rPr>
        <w:t>R. irregularis</w:t>
      </w:r>
      <w:r w:rsidR="0019038E" w:rsidRPr="002932E6">
        <w:t>, from where mycorrhizal responsiveness and mycorrhization, However, the correlation between MR and Mycorrhization was not significant.</w:t>
      </w:r>
    </w:p>
    <w:p w14:paraId="3A9A2D5C" w14:textId="30FD01EC" w:rsidR="0019038E" w:rsidRPr="006D39D0" w:rsidRDefault="0019038E" w:rsidP="0019038E">
      <w:pPr>
        <w:pStyle w:val="mythesis"/>
      </w:pPr>
      <w:r w:rsidRPr="002932E6">
        <w:t>The mycorrhizal responsiveness is known as (MR</w:t>
      </w:r>
      <w:r>
        <w:t>:</w:t>
      </w:r>
      <w:r w:rsidRPr="002932E6">
        <w:t xml:space="preserve"> expressed as the difference in shoot dry weight between mycorrhized and non-mycorrhized plants), and mycorrhization is known as (expressed as % root length colonized (RLC) by arbuscules).</w:t>
      </w:r>
      <w:r>
        <w:t xml:space="preserve"> </w:t>
      </w:r>
      <w:r w:rsidR="009D78E0">
        <w:t xml:space="preserve">This </w:t>
      </w:r>
      <w:r w:rsidRPr="002932E6">
        <w:t xml:space="preserve">non-significant correlation between mycorrhization and mycorrhizal responsiveness (Based on biomass, shoot P or grain yield) was also shown in several other studies </w:t>
      </w:r>
      <w:sdt>
        <w:sdtPr>
          <w:tag w:val="MENDELEY_CITATION_v3_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"/>
          <w:id w:val="105083337"/>
          <w:placeholder>
            <w:docPart w:val="7C20D95494B80746A145E43D97B1AE50"/>
          </w:placeholder>
        </w:sdtPr>
        <w:sdtContent>
          <w:r w:rsidR="00C006F8">
            <w:t>(Baon et al., 1993; Kaeppler et al., 2000a; Kitson &amp; Mellon, 1944)</w:t>
          </w:r>
        </w:sdtContent>
      </w:sdt>
      <w:r w:rsidRPr="002932E6">
        <w:t xml:space="preserve">. </w:t>
      </w:r>
    </w:p>
    <w:p w14:paraId="47CAE69C" w14:textId="3451F3FC" w:rsidR="0019038E" w:rsidRPr="002932E6" w:rsidRDefault="0019038E" w:rsidP="0019038E">
      <w:pPr>
        <w:pStyle w:val="mythesis"/>
      </w:pPr>
      <w:r w:rsidRPr="002932E6">
        <w:t xml:space="preserve">And most of the cultivars had the same behavior in terms of high responsiveness to the mycorrhizal or were neutral except only one cultivar that was responding significant negatively to </w:t>
      </w:r>
      <w:r w:rsidRPr="002932E6">
        <w:lastRenderedPageBreak/>
        <w:t xml:space="preserve">the mycorrhizal responsiveness. </w:t>
      </w:r>
      <w:r w:rsidR="00F107FA">
        <w:t>S</w:t>
      </w:r>
      <w:r w:rsidRPr="002932E6">
        <w:t xml:space="preserve">o we concluded from our results that most of the cultivars want to be mycorrhizal as </w:t>
      </w:r>
      <w:sdt>
        <w:sdtPr>
          <w:tag w:val="MENDELEY_CITATION_v3_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"/>
          <w:id w:val="18595259"/>
          <w:placeholder>
            <w:docPart w:val="7C20D95494B80746A145E43D97B1AE50"/>
          </w:placeholder>
        </w:sdtPr>
        <w:sdtContent>
          <w:r w:rsidR="00C006F8">
            <w:t>(Walder &amp; van der Heijden, 2015)</w:t>
          </w:r>
        </w:sdtContent>
      </w:sdt>
      <w:r w:rsidRPr="002932E6">
        <w:t xml:space="preserve"> hypothesized in their work that most of the plant prefer to be in relation with AMF because of the benefits they get from this relation, and that in terms of how mycotrophic these cultivars are. </w:t>
      </w:r>
    </w:p>
    <w:p w14:paraId="4DFDB8DA" w14:textId="1B30326B" w:rsidR="0019038E" w:rsidRPr="002932E6" w:rsidRDefault="00000000" w:rsidP="0019038E">
      <w:pPr>
        <w:pStyle w:val="mythesis"/>
      </w:pPr>
      <w:sdt>
        <w:sdtPr>
          <w:rPr>
            <w:u w:val="single"/>
          </w:rPr>
          <w:tag w:val="MENDELEY_CITATION_v3_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"/>
          <w:id w:val="1190032582"/>
          <w:placeholder>
            <w:docPart w:val="7C20D95494B80746A145E43D97B1AE50"/>
          </w:placeholder>
        </w:sdtPr>
        <w:sdtEndPr>
          <w:rPr>
            <w:u w:val="none"/>
          </w:rPr>
        </w:sdtEndPr>
        <w:sdtContent>
          <w:r w:rsidR="00C006F8">
            <w:t>(Walder &amp; van der Heijden, 2015)</w:t>
          </w:r>
        </w:sdtContent>
      </w:sdt>
      <w:r w:rsidR="0019038E" w:rsidRPr="002932E6">
        <w:t xml:space="preserve">  proved in </w:t>
      </w:r>
      <w:r w:rsidR="0019038E">
        <w:t>their</w:t>
      </w:r>
      <w:r w:rsidR="0019038E" w:rsidRPr="002932E6">
        <w:t xml:space="preserve"> review that the benefits that AM fungi provide to plants are diverse. AM fungi not only deliver nutrients to plants but can also provide pathogen protection, drought tolerance, trace elements, and vitamins </w:t>
      </w:r>
      <w:sdt>
        <w:sdtPr>
          <w:tag w:val="MENDELEY_CITATION_v3_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"/>
          <w:id w:val="-1669936754"/>
          <w:placeholder>
            <w:docPart w:val="7C20D95494B80746A145E43D97B1AE50"/>
          </w:placeholder>
        </w:sdtPr>
        <w:sdtContent>
          <w:r w:rsidR="00C006F8">
            <w:t>(Newsham et al., 1995; Smith &amp; Read, 2008)</w:t>
          </w:r>
        </w:sdtContent>
      </w:sdt>
      <w:r w:rsidR="0019038E" w:rsidRPr="002932E6">
        <w:t>. Therefore, besides the exchange of carbon for nutrients. Also AM symbiosis costs and advantages are strongly associated with the environmental and time context</w:t>
      </w:r>
      <w:r w:rsidR="0019038E">
        <w:t xml:space="preserve">, </w:t>
      </w:r>
      <w:r w:rsidR="0019038E" w:rsidRPr="002932E6">
        <w:t>for example, symbiosis positive effects rely heavily on phosphorus and nitrogen in the soil relative availability. AM fungi have proved advantageous for plants in phosphorus-limited soils, yet the same AM fungus can reduce growth</w:t>
      </w:r>
      <w:r w:rsidR="0019038E">
        <w:t xml:space="preserve"> in nitrogen -limited soils</w:t>
      </w:r>
      <w:r w:rsidR="0019038E" w:rsidRPr="002932E6">
        <w:t xml:space="preserve"> </w:t>
      </w:r>
      <w:sdt>
        <w:sdtPr>
          <w:rPr>
            <w:color w:val="000000"/>
          </w:rPr>
          <w:tag w:val="MENDELEY_CITATION_v3_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"/>
          <w:id w:val="-1818869849"/>
          <w:placeholder>
            <w:docPart w:val="7C20D95494B80746A145E43D97B1AE50"/>
          </w:placeholder>
        </w:sdtPr>
        <w:sdtContent>
          <w:r w:rsidR="00C006F8" w:rsidRPr="00C006F8">
            <w:rPr>
              <w:color w:val="000000"/>
            </w:rPr>
            <w:t>(Johnson et al., 2010).</w:t>
          </w:r>
        </w:sdtContent>
      </w:sdt>
      <w:r w:rsidR="0019038E" w:rsidRPr="002932E6">
        <w:t xml:space="preserve"> Moreover, most AM fungi have the potential to increase plant development and nourishment (proof of the trickery of AM fungi that prevent plant growth under all conditions has, to our knowledge, never been demonstrated </w:t>
      </w:r>
      <w:sdt>
        <w:sdtPr>
          <w:rPr>
            <w:color w:val="000000"/>
          </w:rPr>
          <w:tag w:val="MENDELEY_CITATION_v3_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"/>
          <w:id w:val="747545129"/>
          <w:placeholder>
            <w:docPart w:val="7C20D95494B80746A145E43D97B1AE50"/>
          </w:placeholder>
        </w:sdtPr>
        <w:sdtContent>
          <w:r w:rsidR="00C006F8" w:rsidRPr="00C006F8">
            <w:rPr>
              <w:color w:val="000000"/>
            </w:rPr>
            <w:t>(Hart et al., 2013)</w:t>
          </w:r>
        </w:sdtContent>
      </w:sdt>
      <w:r w:rsidR="0019038E" w:rsidRPr="002932E6">
        <w:t xml:space="preserve">. </w:t>
      </w:r>
      <w:r w:rsidR="00504B34">
        <w:t>W</w:t>
      </w:r>
      <w:r w:rsidR="0019038E" w:rsidRPr="002932E6">
        <w:t xml:space="preserve">e concluded from </w:t>
      </w:r>
      <w:sdt>
        <w:sdtPr>
          <w:tag w:val="MENDELEY_CITATION_v3_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"/>
          <w:id w:val="672458962"/>
          <w:placeholder>
            <w:docPart w:val="7C20D95494B80746A145E43D97B1AE50"/>
          </w:placeholder>
        </w:sdtPr>
        <w:sdtEndPr>
          <w:rPr>
            <w:u w:val="single"/>
          </w:rPr>
        </w:sdtEndPr>
        <w:sdtContent>
          <w:r w:rsidR="00C006F8">
            <w:t>(Walder &amp; van der Heijden, 2015)</w:t>
          </w:r>
        </w:sdtContent>
      </w:sdt>
      <w:r w:rsidR="0019038E" w:rsidRPr="002932E6">
        <w:t xml:space="preserve">that the AM symbiosis must therefore be viewed as a 'conditioned mutualism' </w:t>
      </w:r>
      <w:sdt>
        <w:sdtPr>
          <w:rPr>
            <w:color w:val="000000"/>
          </w:rPr>
          <w:tag w:val="MENDELEY_CITATION_v3_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"/>
          <w:id w:val="1868176709"/>
          <w:placeholder>
            <w:docPart w:val="7C20D95494B80746A145E43D97B1AE50"/>
          </w:placeholder>
        </w:sdtPr>
        <w:sdtContent>
          <w:r w:rsidR="00C006F8" w:rsidRPr="00C006F8">
            <w:rPr>
              <w:color w:val="000000"/>
            </w:rPr>
            <w:t>(Bronstein, 2001)</w:t>
          </w:r>
        </w:sdtContent>
      </w:sdt>
      <w:r w:rsidR="0019038E" w:rsidRPr="002932E6">
        <w:t>, and in any situation it cannot be advantageous. Thus, the evolutionary value of a current AM relationship is difficult to measure for the AM symbionts because investment to a non-beneficial partner can be crucial later for survival under changing environmental conditions.</w:t>
      </w:r>
    </w:p>
    <w:p w14:paraId="6AC9C6B6" w14:textId="49EB7622" w:rsidR="003D2648" w:rsidRPr="00820E1E" w:rsidRDefault="0019038E" w:rsidP="00820E1E">
      <w:pPr>
        <w:pStyle w:val="mythesis"/>
        <w:rPr>
          <w:color w:val="FF0000"/>
        </w:rPr>
      </w:pPr>
      <w:r w:rsidRPr="002932E6">
        <w:t xml:space="preserve">In general, mycorrhization is positive across the maize germplasm but we </w:t>
      </w:r>
      <w:r>
        <w:t>did not</w:t>
      </w:r>
      <w:r w:rsidRPr="002932E6">
        <w:t xml:space="preserve"> find a connection between the response of the plant to mycorrhization and its genetic affinity or from the same genetic origin. the results </w:t>
      </w:r>
      <w:r>
        <w:t>did not</w:t>
      </w:r>
      <w:r w:rsidRPr="002932E6">
        <w:t xml:space="preserve"> find a connection with the evolutionary history based on the results that we found</w:t>
      </w:r>
      <w:r>
        <w:t>.</w:t>
      </w:r>
      <w:r w:rsidRPr="002932E6">
        <w:rPr>
          <w:color w:val="FF0000"/>
        </w:rPr>
        <w:t xml:space="preserve"> </w:t>
      </w:r>
    </w:p>
    <w:p w14:paraId="10A42CC3" w14:textId="02B2E3B1" w:rsidR="0019038E" w:rsidRPr="00516418" w:rsidRDefault="00516418" w:rsidP="00516418">
      <w:pPr>
        <w:pStyle w:val="Heading2"/>
      </w:pPr>
      <w:bookmarkStart w:id="176" w:name="_Toc83751498"/>
      <w:r>
        <w:t xml:space="preserve">5.2 the phylogenetic relationship between 18 cultivars of </w:t>
      </w:r>
      <w:r w:rsidRPr="00516418">
        <w:rPr>
          <w:i/>
        </w:rPr>
        <w:t>Zea mays</w:t>
      </w:r>
      <w:r>
        <w:t xml:space="preserve"> and their mycorrhizal responsiveness</w:t>
      </w:r>
      <w:bookmarkEnd w:id="176"/>
    </w:p>
    <w:p w14:paraId="0555E03A" w14:textId="77777777" w:rsidR="0019038E" w:rsidRPr="002932E6" w:rsidRDefault="0019038E" w:rsidP="0019038E">
      <w:pPr>
        <w:pStyle w:val="mythesis"/>
      </w:pPr>
    </w:p>
    <w:p w14:paraId="4A87CB11" w14:textId="0DF7B3CB" w:rsidR="0019038E" w:rsidRPr="002932E6" w:rsidRDefault="00000000" w:rsidP="0019038E">
      <w:pPr>
        <w:pStyle w:val="mythesis"/>
      </w:pPr>
      <w:sdt>
        <w:sdtPr>
          <w:tag w:val="MENDELEY_CITATION_v3_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"/>
          <w:id w:val="1118112008"/>
          <w:placeholder>
            <w:docPart w:val="7C20D95494B80746A145E43D97B1AE50"/>
          </w:placeholder>
        </w:sdtPr>
        <w:sdtContent>
          <w:r w:rsidR="00C006F8">
            <w:t>(Porter &amp; Sachs, 2020)</w:t>
          </w:r>
        </w:sdtContent>
      </w:sdt>
      <w:r w:rsidR="0019038E" w:rsidRPr="002932E6">
        <w:t xml:space="preserve"> suggested that Due to randomized genetic processes such as drift and increased breeding in agriculture, alleles that disrupt symbiosis accumulate, and certain alleles can disappear. Because selection does not oppose </w:t>
      </w:r>
      <w:r w:rsidR="0019038E" w:rsidRPr="004E5946">
        <w:t xml:space="preserve">them, the </w:t>
      </w:r>
      <w:r w:rsidR="00C64718" w:rsidRPr="004E5946">
        <w:t>lack</w:t>
      </w:r>
      <w:r w:rsidR="0019038E" w:rsidRPr="004E5946">
        <w:t xml:space="preserve"> of selection </w:t>
      </w:r>
      <w:r w:rsidR="0019038E" w:rsidRPr="002932E6">
        <w:t>on symbiosis traits in agriculture accumulates randomly for alleles that disrupt symbiosis.</w:t>
      </w:r>
    </w:p>
    <w:p w14:paraId="56861547" w14:textId="6C43CAC0" w:rsidR="0019038E" w:rsidRPr="002932E6" w:rsidRDefault="00000000" w:rsidP="0019038E">
      <w:pPr>
        <w:pStyle w:val="mythesis"/>
      </w:pPr>
      <w:sdt>
        <w:sdtPr>
          <w:rPr>
            <w:color w:val="000000"/>
          </w:rPr>
          <w:tag w:val="MENDELEY_CITATION_v3_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"/>
          <w:id w:val="-1407904904"/>
          <w:placeholder>
            <w:docPart w:val="DefaultPlaceholder_-1854013440"/>
          </w:placeholder>
        </w:sdtPr>
        <w:sdtContent>
          <w:r w:rsidR="00C006F8" w:rsidRPr="00C006F8">
            <w:rPr>
              <w:color w:val="000000"/>
            </w:rPr>
            <w:t>(Hetrick et al., 1992)</w:t>
          </w:r>
        </w:sdtContent>
      </w:sdt>
      <w:r w:rsidR="0019038E" w:rsidRPr="002932E6">
        <w:t xml:space="preserve"> discovered a significant genetic difference in colonization level between species. However, the variance in AM colonization among genotypes of each plant species, as well as the variables that determine genetic variation, are not thoroughly understood, even though the variation and factors are crucial components for analysis and optimization of AM symbiosis</w:t>
      </w:r>
      <w:r w:rsidR="00B64C5B">
        <w:t>.</w:t>
      </w:r>
      <w:r w:rsidR="0019038E" w:rsidRPr="002932E6">
        <w:t xml:space="preserve"> </w:t>
      </w:r>
      <w:r w:rsidR="00B64C5B">
        <w:t>A</w:t>
      </w:r>
      <w:r w:rsidR="0019038E" w:rsidRPr="002932E6">
        <w:t xml:space="preserve">lso </w:t>
      </w:r>
      <w:sdt>
        <w:sdtPr>
          <w:rPr>
            <w:color w:val="000000"/>
          </w:rPr>
          <w:tag w:val="MENDELEY_CITATION_v3_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"/>
          <w:id w:val="251482882"/>
          <w:placeholder>
            <w:docPart w:val="7C20D95494B80746A145E43D97B1AE50"/>
          </w:placeholder>
        </w:sdtPr>
        <w:sdtContent>
          <w:r w:rsidR="00C006F8" w:rsidRPr="00C006F8">
            <w:rPr>
              <w:color w:val="000000"/>
            </w:rPr>
            <w:t>(An et al., 2010)</w:t>
          </w:r>
        </w:sdtContent>
      </w:sdt>
      <w:r w:rsidR="0019038E">
        <w:t>clarified that</w:t>
      </w:r>
      <w:r w:rsidR="0019038E" w:rsidRPr="002932E6">
        <w:t xml:space="preserve"> maize germplasms may help to clarify how AM colonization changes with plant genotype and may provide knowledge that can be used to construct sustainable agroecosystems. </w:t>
      </w:r>
    </w:p>
    <w:p w14:paraId="70EB3748" w14:textId="03E3CCE1" w:rsidR="0019038E" w:rsidRPr="002932E6" w:rsidRDefault="0019038E" w:rsidP="0019038E">
      <w:pPr>
        <w:pStyle w:val="mythesis"/>
      </w:pPr>
      <w:r w:rsidRPr="002932E6">
        <w:t xml:space="preserve">Furthermore </w:t>
      </w:r>
      <w:sdt>
        <w:sdtPr>
          <w:rPr>
            <w:color w:val="000000"/>
          </w:rPr>
          <w:tag w:val="MENDELEY_CITATION_v3_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"/>
          <w:id w:val="-535432586"/>
          <w:placeholder>
            <w:docPart w:val="7C20D95494B80746A145E43D97B1AE50"/>
          </w:placeholder>
        </w:sdtPr>
        <w:sdtContent>
          <w:r w:rsidR="00C006F8" w:rsidRPr="00C006F8">
            <w:rPr>
              <w:color w:val="000000"/>
            </w:rPr>
            <w:t>(Toth et al., 1990)</w:t>
          </w:r>
        </w:sdtContent>
      </w:sdt>
      <w:r w:rsidRPr="002932E6">
        <w:t xml:space="preserve"> </w:t>
      </w:r>
      <w:r>
        <w:t xml:space="preserve">suggested that </w:t>
      </w:r>
      <w:r w:rsidRPr="002932E6">
        <w:t xml:space="preserve">colonization decreased for disease-resistant lines relative to susceptible lines in 13 maize </w:t>
      </w:r>
      <w:r w:rsidRPr="002932E6">
        <w:rPr>
          <w:i/>
        </w:rPr>
        <w:t>Zea mays</w:t>
      </w:r>
      <w:r w:rsidRPr="002932E6">
        <w:t xml:space="preserve"> inbred lines. These previous findings suggest that plant breeding programs influence AM colonization; however, the data analyzed in these studies were obtained by assessing a limited number and range of plant genotypes and cannot be used to determine conclusively if and how colonization varies in response to breeding programs.</w:t>
      </w:r>
    </w:p>
    <w:p w14:paraId="0AB4B3FB" w14:textId="3348B3B7" w:rsidR="0019038E" w:rsidRPr="002932E6" w:rsidRDefault="00000000" w:rsidP="0019038E">
      <w:pPr>
        <w:pStyle w:val="mythesis"/>
      </w:pPr>
      <w:sdt>
        <w:sdtPr>
          <w:rPr>
            <w:color w:val="000000"/>
          </w:rPr>
          <w:tag w:val="MENDELEY_CITATION_v3_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"/>
          <w:id w:val="-1788960744"/>
          <w:placeholder>
            <w:docPart w:val="7C20D95494B80746A145E43D97B1AE50"/>
          </w:placeholder>
        </w:sdtPr>
        <w:sdtContent>
          <w:r w:rsidR="00C006F8" w:rsidRPr="00C006F8">
            <w:rPr>
              <w:color w:val="000000"/>
            </w:rPr>
            <w:t>(McCouch, 2004)</w:t>
          </w:r>
        </w:sdtContent>
      </w:sdt>
      <w:r w:rsidR="0019038E" w:rsidRPr="002932E6">
        <w:t xml:space="preserve"> recorded that Natural genetic diversity is a critical source for developing desirable traits in plant breeding programs. However, genetic heterogeneity in AM colonization was influenced by development stage and cropping year</w:t>
      </w:r>
      <w:r w:rsidR="0013732D">
        <w:t>,</w:t>
      </w:r>
      <w:r w:rsidR="0019038E" w:rsidRPr="002932E6">
        <w:t xml:space="preserve"> thus, great attention must be used when selecting such locations and genotypes </w:t>
      </w:r>
      <w:sdt>
        <w:sdtPr>
          <w:rPr>
            <w:color w:val="000000"/>
          </w:rPr>
          <w:tag w:val="MENDELEY_CITATION_v3_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"/>
          <w:id w:val="1772278107"/>
          <w:placeholder>
            <w:docPart w:val="7C20D95494B80746A145E43D97B1AE50"/>
          </w:placeholder>
        </w:sdtPr>
        <w:sdtContent>
          <w:r w:rsidR="00C006F8" w:rsidRPr="00C006F8">
            <w:rPr>
              <w:color w:val="000000"/>
            </w:rPr>
            <w:t>(An et al., 2010)</w:t>
          </w:r>
        </w:sdtContent>
      </w:sdt>
      <w:r w:rsidR="0019038E" w:rsidRPr="002932E6">
        <w:t>.</w:t>
      </w:r>
    </w:p>
    <w:p w14:paraId="51694A2C" w14:textId="05E49EA0" w:rsidR="0019038E" w:rsidRPr="002932E6" w:rsidRDefault="0019038E" w:rsidP="0019038E">
      <w:pPr>
        <w:pStyle w:val="mythesis"/>
      </w:pPr>
      <w:r w:rsidRPr="002932E6">
        <w:t xml:space="preserve">While mycorrhizal responsiveness is a heritage trait, it has not been considered to be a trait in breeding P-efficient crops </w:t>
      </w:r>
      <w:sdt>
        <w:sdtPr>
          <w:tag w:val="MENDELEY_CITATION_v3_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"/>
          <w:id w:val="-1761135212"/>
          <w:placeholder>
            <w:docPart w:val="7C20D95494B80746A145E43D97B1AE50"/>
          </w:placeholder>
        </w:sdtPr>
        <w:sdtContent>
          <w:r w:rsidR="00C006F8">
            <w:t>(Kaeppler et al., 2000a; Kapulnik &amp; Kushnir, 1991)</w:t>
          </w:r>
        </w:sdtContent>
      </w:sdt>
      <w:r w:rsidRPr="002932E6">
        <w:t xml:space="preserve">. Mycorrhizal colonization made the largest contribution to the first main component of high-P soil among all mycorrhizal traits in the study genotypes of maize. This is similar to the previous research </w:t>
      </w:r>
      <w:sdt>
        <w:sdtPr>
          <w:rPr>
            <w:color w:val="000000"/>
          </w:rPr>
          <w:tag w:val="MENDELEY_CITATION_v3_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"/>
          <w:id w:val="-1044985650"/>
          <w:placeholder>
            <w:docPart w:val="7C20D95494B80746A145E43D97B1AE50"/>
          </w:placeholder>
        </w:sdtPr>
        <w:sdtContent>
          <w:r w:rsidR="00C006F8" w:rsidRPr="00C006F8">
            <w:rPr>
              <w:color w:val="000000"/>
            </w:rPr>
            <w:t>(An et al., 2010)</w:t>
          </w:r>
        </w:sdtContent>
      </w:sdt>
      <w:r w:rsidRPr="002932E6">
        <w:t>, in which AM colonization of the maize was linked to the release year and modern hybrids displayed substantially higher values than inbred lines and older landraces.</w:t>
      </w:r>
    </w:p>
    <w:p w14:paraId="4F4F5758" w14:textId="5693DAB9" w:rsidR="0019038E" w:rsidRPr="002932E6" w:rsidRDefault="0019038E" w:rsidP="0019038E">
      <w:pPr>
        <w:pStyle w:val="mythesis"/>
      </w:pPr>
      <w:r w:rsidRPr="002932E6">
        <w:lastRenderedPageBreak/>
        <w:t xml:space="preserve">In general, modern agriculture faces the challenge of increasing food production in times of declines in agricultural land and rapidly depletion of phosphate rock </w:t>
      </w:r>
      <w:r>
        <w:t xml:space="preserve">supplies </w:t>
      </w:r>
      <w:sdt>
        <w:sdtPr>
          <w:rPr>
            <w:color w:val="000000"/>
          </w:rPr>
          <w:tag w:val="MENDELEY_CITATION_v3_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"/>
          <w:id w:val="5724853"/>
          <w:placeholder>
            <w:docPart w:val="7C20D95494B80746A145E43D97B1AE50"/>
          </w:placeholder>
        </w:sdtPr>
        <w:sdtContent>
          <w:r w:rsidR="00C006F8" w:rsidRPr="00C006F8">
            <w:rPr>
              <w:color w:val="000000"/>
            </w:rPr>
            <w:t xml:space="preserve">(Gilbert, 2009). </w:t>
          </w:r>
        </w:sdtContent>
      </w:sdt>
      <w:r w:rsidRPr="002932E6">
        <w:t xml:space="preserve">Attempts at improving the P nutrition of plants have led to variable result by adding the AMF in fields </w:t>
      </w:r>
      <w:sdt>
        <w:sdtPr>
          <w:rPr>
            <w:color w:val="000000"/>
          </w:rPr>
          <w:tag w:val="MENDELEY_CITATION_v3_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"/>
          <w:id w:val="-1840776253"/>
          <w:placeholder>
            <w:docPart w:val="7C20D95494B80746A145E43D97B1AE50"/>
          </w:placeholder>
        </w:sdtPr>
        <w:sdtContent>
          <w:r w:rsidR="00C006F8" w:rsidRPr="00C006F8">
            <w:rPr>
              <w:color w:val="000000"/>
            </w:rPr>
            <w:t>(Lekberg et al., 2008).</w:t>
          </w:r>
        </w:sdtContent>
      </w:sdt>
      <w:r w:rsidRPr="002932E6">
        <w:t>Since AMF in agricultural soil and commonly colonize crop plants is ubiquitous, a better approach to improving the efficiency of P uptake may be to breed strongly reacting crop varieties to indigenous AMF. The results of this study show that the percentage of the colonized root length may be an important parameter for breeding varieties with increased mycorrhizal response in the presence of productive AMF</w:t>
      </w:r>
      <w:r>
        <w:t>.</w:t>
      </w:r>
    </w:p>
    <w:p w14:paraId="31D6B13F" w14:textId="4BEEA479" w:rsidR="0019038E" w:rsidRPr="002932E6" w:rsidRDefault="0019038E" w:rsidP="0019038E">
      <w:pPr>
        <w:pStyle w:val="mythesis"/>
      </w:pPr>
      <w:r w:rsidRPr="002932E6">
        <w:t xml:space="preserve">Also </w:t>
      </w:r>
      <w:sdt>
        <w:sdtPr>
          <w:rPr>
            <w:color w:val="000000"/>
          </w:rPr>
          <w:tag w:val="MENDELEY_CITATION_v3_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"/>
          <w:id w:val="-1146662884"/>
          <w:placeholder>
            <w:docPart w:val="7C20D95494B80746A145E43D97B1AE50"/>
          </w:placeholder>
        </w:sdtPr>
        <w:sdtContent>
          <w:r w:rsidR="00C006F8" w:rsidRPr="00C006F8">
            <w:rPr>
              <w:color w:val="000000"/>
            </w:rPr>
            <w:t>(Li et al., 2021)</w:t>
          </w:r>
        </w:sdtContent>
      </w:sdt>
      <w:r w:rsidRPr="002932E6">
        <w:t xml:space="preserve"> clarified that Although modest trends occur, the notion that modern top maize varieties have lost advantageous features for nutrient uptake is unsubstantiated for the entire pool of maize</w:t>
      </w:r>
      <w:r w:rsidR="004E7719">
        <w:t>,</w:t>
      </w:r>
      <w:r w:rsidRPr="002932E6">
        <w:t xml:space="preserve"> Lines linked with improved P-acquisition efficiency in the presence of limited P availability should be used to breed more sustainable cultivars.</w:t>
      </w:r>
    </w:p>
    <w:p w14:paraId="145A9568" w14:textId="7F519D83" w:rsidR="0019038E" w:rsidRPr="002932E6" w:rsidRDefault="00000000" w:rsidP="0019038E">
      <w:pPr>
        <w:pStyle w:val="mythesis"/>
      </w:pPr>
      <w:sdt>
        <w:sdtPr>
          <w:tag w:val="MENDELEY_CITATION_v3_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"/>
          <w:id w:val="-489942814"/>
          <w:placeholder>
            <w:docPart w:val="7C20D95494B80746A145E43D97B1AE50"/>
          </w:placeholder>
        </w:sdtPr>
        <w:sdtContent>
          <w:r w:rsidR="00C006F8">
            <w:t>(Hohmann &amp; Messmer, 2017)</w:t>
          </w:r>
        </w:sdtContent>
      </w:sdt>
      <w:r w:rsidR="0019038E" w:rsidRPr="002932E6">
        <w:t xml:space="preserve"> clarified that there was no significant correlation between</w:t>
      </w:r>
      <w:r w:rsidR="0019038E">
        <w:t xml:space="preserve"> </w:t>
      </w:r>
      <w:r w:rsidR="0019038E" w:rsidRPr="002932E6">
        <w:t xml:space="preserve">mycorrhizal responsiveness and mycorrhization, there were also several more studies which showed that there was no positive correlation between mycorrhization and mycorrhizal responsiveness by biomass, P in the shoot, or grain yield </w:t>
      </w:r>
      <w:sdt>
        <w:sdtPr>
          <w:tag w:val="MENDELEY_CITATION_v3_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"/>
          <w:id w:val="-428041148"/>
          <w:placeholder>
            <w:docPart w:val="7C20D95494B80746A145E43D97B1AE50"/>
          </w:placeholder>
        </w:sdtPr>
        <w:sdtEndPr>
          <w:rPr>
            <w:rFonts w:eastAsiaTheme="minorHAnsi"/>
          </w:rPr>
        </w:sdtEndPr>
        <w:sdtContent>
          <w:r w:rsidR="00C006F8">
            <w:t>(Kaeppler et al., 2000a; Leiser et al., 2016; Smith &amp; Smith, 2012).</w:t>
          </w:r>
        </w:sdtContent>
      </w:sdt>
    </w:p>
    <w:p w14:paraId="72227040" w14:textId="73DFBEAD" w:rsidR="0019038E" w:rsidRPr="002932E6" w:rsidRDefault="0019038E" w:rsidP="0019038E">
      <w:pPr>
        <w:pStyle w:val="mythesis"/>
      </w:pPr>
      <w:r w:rsidRPr="002932E6">
        <w:t xml:space="preserve">The population of genetic variation for mycorrhizal responsiveness that can be attributed to differences in plant-microbe interaction vs. the population that can be attributed to the </w:t>
      </w:r>
      <w:r w:rsidR="002B44E5">
        <w:t>P</w:t>
      </w:r>
      <w:r w:rsidRPr="002932E6">
        <w:t xml:space="preserve"> test level is an essential issue in interpreting study results that was agree with </w:t>
      </w:r>
      <w:sdt>
        <w:sdtPr>
          <w:rPr>
            <w:color w:val="000000"/>
          </w:rPr>
          <w:tag w:val="MENDELEY_CITATION_v3_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"/>
          <w:id w:val="386453734"/>
          <w:placeholder>
            <w:docPart w:val="7C20D95494B80746A145E43D97B1AE50"/>
          </w:placeholder>
        </w:sdtPr>
        <w:sdtContent>
          <w:r w:rsidR="00C006F8" w:rsidRPr="00C006F8">
            <w:rPr>
              <w:color w:val="000000"/>
            </w:rPr>
            <w:t>(Kaeppler et al., 2000)</w:t>
          </w:r>
        </w:sdtContent>
      </w:sdt>
      <w:r w:rsidRPr="002932E6">
        <w:t>, and that is they can be a degree to which a genotype can respond.</w:t>
      </w:r>
    </w:p>
    <w:p w14:paraId="2E392D4E" w14:textId="11290054" w:rsidR="0019038E" w:rsidRPr="002932E6" w:rsidRDefault="0019038E" w:rsidP="0019038E">
      <w:pPr>
        <w:pStyle w:val="mythesis"/>
      </w:pPr>
      <w:r w:rsidRPr="002932E6">
        <w:t>Recently, plant genetic diversity was determined using RBCL gene sequences as a core</w:t>
      </w:r>
      <w:r>
        <w:t xml:space="preserve"> </w:t>
      </w:r>
      <w:r w:rsidRPr="002932E6">
        <w:t xml:space="preserve">plant DNA barcoding marker </w:t>
      </w:r>
      <w:sdt>
        <w:sdtPr>
          <w:rPr>
            <w:color w:val="000000"/>
          </w:rPr>
          <w:tag w:val="MENDELEY_CITATION_v3_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"/>
          <w:id w:val="679480363"/>
          <w:placeholder>
            <w:docPart w:val="7C20D95494B80746A145E43D97B1AE50"/>
          </w:placeholder>
        </w:sdtPr>
        <w:sdtContent>
          <w:r w:rsidR="00C006F8" w:rsidRPr="00C006F8">
            <w:rPr>
              <w:color w:val="000000"/>
            </w:rPr>
            <w:t>(Kesanakurti et al., 2011)</w:t>
          </w:r>
        </w:sdtContent>
      </w:sdt>
      <w:r>
        <w:t>.</w:t>
      </w:r>
      <w:r w:rsidRPr="002932E6">
        <w:t xml:space="preserve">  </w:t>
      </w:r>
      <w:r w:rsidR="00491972">
        <w:t>W</w:t>
      </w:r>
      <w:r w:rsidRPr="002932E6">
        <w:t xml:space="preserve">e found that RBCL will be very useful for the barcoding of </w:t>
      </w:r>
      <w:r w:rsidRPr="002932E6">
        <w:rPr>
          <w:i/>
        </w:rPr>
        <w:t>Zea mays</w:t>
      </w:r>
      <w:r w:rsidRPr="002932E6">
        <w:t xml:space="preserve"> that </w:t>
      </w:r>
      <w:r w:rsidR="00413927">
        <w:t>grow</w:t>
      </w:r>
      <w:r w:rsidRPr="002932E6">
        <w:t xml:space="preserve"> in Saudi Arabia.</w:t>
      </w:r>
    </w:p>
    <w:p w14:paraId="628BCC18" w14:textId="12184439" w:rsidR="0019038E" w:rsidRPr="002932E6" w:rsidRDefault="0019038E" w:rsidP="0019038E">
      <w:pPr>
        <w:pStyle w:val="mythesis"/>
      </w:pPr>
      <w:r w:rsidRPr="002932E6">
        <w:t xml:space="preserve">The genetic diversity found in this </w:t>
      </w:r>
      <w:r w:rsidRPr="004E5946">
        <w:t xml:space="preserve">study is a resource </w:t>
      </w:r>
      <w:r w:rsidR="006F423C" w:rsidRPr="004E5946">
        <w:t>that</w:t>
      </w:r>
      <w:r w:rsidRPr="004E5946">
        <w:t xml:space="preserve"> may be leveraged </w:t>
      </w:r>
      <w:r w:rsidRPr="002932E6">
        <w:t>to successfully conduct hybrid breeding</w:t>
      </w:r>
      <w:r w:rsidR="00BF3DDF">
        <w:t>.</w:t>
      </w:r>
      <w:r w:rsidRPr="002932E6">
        <w:t xml:space="preserve"> This study found that employing ISSR markers to molecularly </w:t>
      </w:r>
      <w:r w:rsidRPr="002932E6">
        <w:lastRenderedPageBreak/>
        <w:t xml:space="preserve">characterize genotypes is an effective method. </w:t>
      </w:r>
      <w:sdt>
        <w:sdtPr>
          <w:rPr>
            <w:color w:val="000000"/>
          </w:rPr>
          <w:tag w:val="MENDELEY_CITATION_v3_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"/>
          <w:id w:val="1401254807"/>
          <w:placeholder>
            <w:docPart w:val="7C20D95494B80746A145E43D97B1AE50"/>
          </w:placeholder>
        </w:sdtPr>
        <w:sdtContent>
          <w:r w:rsidR="00C006F8" w:rsidRPr="00C006F8">
            <w:rPr>
              <w:color w:val="000000"/>
            </w:rPr>
            <w:t>(Júnior, 2011)</w:t>
          </w:r>
        </w:sdtContent>
      </w:sdt>
      <w:r w:rsidRPr="002932E6">
        <w:t xml:space="preserve"> discovered </w:t>
      </w:r>
      <w:r w:rsidR="00BF3DDF">
        <w:t xml:space="preserve">that </w:t>
      </w:r>
      <w:r w:rsidRPr="002932E6">
        <w:t xml:space="preserve">genetic diversity among maize genotypes using 15 ISSR primers and amplified 266 bands, 228 (88.9%) of which were polymorphic. Similarly, </w:t>
      </w:r>
      <w:sdt>
        <w:sdtPr>
          <w:rPr>
            <w:color w:val="000000"/>
          </w:rPr>
          <w:tag w:val="MENDELEY_CITATION_v3_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"/>
          <w:id w:val="-1120218440"/>
          <w:placeholder>
            <w:docPart w:val="7C20D95494B80746A145E43D97B1AE50"/>
          </w:placeholder>
        </w:sdtPr>
        <w:sdtContent>
          <w:r w:rsidR="00C006F8" w:rsidRPr="00C006F8">
            <w:rPr>
              <w:color w:val="000000"/>
            </w:rPr>
            <w:t>(Najaphy et al., 2012)</w:t>
          </w:r>
        </w:sdtContent>
      </w:sdt>
      <w:r w:rsidRPr="002932E6">
        <w:t xml:space="preserve"> used ISSR markers to evaluate genetic diversity in wheat genotypes and detected adequate polymorphisms and reproducible fingerprint profiles.</w:t>
      </w:r>
    </w:p>
    <w:p w14:paraId="2821AEDB" w14:textId="1BA68381" w:rsidR="0019038E" w:rsidRPr="00CE18FE" w:rsidRDefault="00110D70" w:rsidP="0019038E">
      <w:pPr>
        <w:pStyle w:val="mythesis"/>
      </w:pPr>
      <w:r>
        <w:t>This</w:t>
      </w:r>
      <w:r w:rsidR="0019038E" w:rsidRPr="002932E6">
        <w:t xml:space="preserve"> in terms that the people are familiar with the idea of plant-microbes relationship and its benefits and this is a nutritional relationship and under the modern agriculture systems, this nutrient relationship is important and for future facilities is going to be important, but what the people are forgotten and ignore that these symbioses reprogram the biochemistry of the whole plant not just the root system as our data showed that the whole plant was totally alerted by the presence of mycorrhizas. And these shoot and root signals that generated both above and underground metabolic phenotype could build a key to suppressing the disease sustainability.</w:t>
      </w:r>
    </w:p>
    <w:p w14:paraId="0E3FD28F" w14:textId="63125148" w:rsidR="0019038E" w:rsidRDefault="0019038E" w:rsidP="00042153">
      <w:pPr>
        <w:pStyle w:val="Heading2"/>
      </w:pPr>
      <w:bookmarkStart w:id="177" w:name="_Toc83561297"/>
      <w:bookmarkStart w:id="178" w:name="_Toc83751499"/>
      <w:r w:rsidRPr="002932E6">
        <w:t xml:space="preserve">5.3 The effect of </w:t>
      </w:r>
      <w:r w:rsidR="00042153">
        <w:rPr>
          <w:shd w:val="clear" w:color="auto" w:fill="FFFFFF"/>
        </w:rPr>
        <w:t>A</w:t>
      </w:r>
      <w:r w:rsidR="00042153" w:rsidRPr="002932E6">
        <w:rPr>
          <w:shd w:val="clear" w:color="auto" w:fill="FFFFFF"/>
        </w:rPr>
        <w:t>rbuscular</w:t>
      </w:r>
      <w:r w:rsidRPr="002932E6">
        <w:rPr>
          <w:shd w:val="clear" w:color="auto" w:fill="FFFFFF"/>
        </w:rPr>
        <w:t xml:space="preserve"> </w:t>
      </w:r>
      <w:r w:rsidR="00042153">
        <w:rPr>
          <w:shd w:val="clear" w:color="auto" w:fill="FFFFFF"/>
        </w:rPr>
        <w:t>M</w:t>
      </w:r>
      <w:r w:rsidRPr="002932E6">
        <w:rPr>
          <w:shd w:val="clear" w:color="auto" w:fill="FFFFFF"/>
        </w:rPr>
        <w:t xml:space="preserve">ycorrhizal </w:t>
      </w:r>
      <w:r w:rsidR="00042153">
        <w:rPr>
          <w:shd w:val="clear" w:color="auto" w:fill="FFFFFF"/>
        </w:rPr>
        <w:t>F</w:t>
      </w:r>
      <w:r w:rsidRPr="002932E6">
        <w:rPr>
          <w:shd w:val="clear" w:color="auto" w:fill="FFFFFF"/>
        </w:rPr>
        <w:t xml:space="preserve">ungi </w:t>
      </w:r>
      <w:r w:rsidRPr="002932E6">
        <w:t xml:space="preserve">on </w:t>
      </w:r>
      <w:r w:rsidRPr="00486DFD">
        <w:rPr>
          <w:i/>
        </w:rPr>
        <w:t xml:space="preserve">Zea </w:t>
      </w:r>
      <w:r w:rsidR="00157A6D">
        <w:rPr>
          <w:i/>
        </w:rPr>
        <w:t>m</w:t>
      </w:r>
      <w:r w:rsidRPr="00486DFD">
        <w:rPr>
          <w:i/>
        </w:rPr>
        <w:t>ays</w:t>
      </w:r>
      <w:r w:rsidRPr="002932E6">
        <w:t xml:space="preserve"> Shoots and Roots biochemical reactions</w:t>
      </w:r>
      <w:bookmarkEnd w:id="177"/>
      <w:bookmarkEnd w:id="178"/>
    </w:p>
    <w:p w14:paraId="6758F023" w14:textId="77777777" w:rsidR="00042153" w:rsidRPr="00042153" w:rsidRDefault="00042153" w:rsidP="00042153">
      <w:pPr>
        <w:rPr>
          <w:lang w:val="en-GB"/>
        </w:rPr>
      </w:pPr>
    </w:p>
    <w:p w14:paraId="417D77F0" w14:textId="5D8FBDF0" w:rsidR="0019038E" w:rsidRPr="002932E6" w:rsidRDefault="00A911BF" w:rsidP="0019038E">
      <w:pPr>
        <w:pStyle w:val="mythesis"/>
      </w:pPr>
      <w:r w:rsidRPr="00A911BF">
        <w:t xml:space="preserve">And how the SA and JA pathways feature very strongly among the most induced metabolite by mycorrhization as (Cameron et al., 2013) predicted model and the results that we found agreed with Duncan model, (Pérez-De-Luque et al., 2017)  suggested </w:t>
      </w:r>
      <w:r w:rsidRPr="004E5946">
        <w:t>that there was strongly correlate</w:t>
      </w:r>
      <w:r w:rsidR="009C2588" w:rsidRPr="004E5946">
        <w:t>d</w:t>
      </w:r>
      <w:r w:rsidRPr="004E5946">
        <w:t xml:space="preserve"> </w:t>
      </w:r>
      <w:r w:rsidRPr="00A911BF">
        <w:t>between the defensive and phenotype</w:t>
      </w:r>
      <w:r w:rsidR="0019038E" w:rsidRPr="002932E6">
        <w:t>.</w:t>
      </w:r>
    </w:p>
    <w:p w14:paraId="056F10AD" w14:textId="10E65879" w:rsidR="0019038E" w:rsidRPr="002932E6" w:rsidRDefault="00000000" w:rsidP="0019038E">
      <w:pPr>
        <w:pStyle w:val="mythesis"/>
      </w:pPr>
      <w:sdt>
        <w:sdtPr>
          <w:rPr>
            <w:color w:val="000000"/>
          </w:rPr>
          <w:tag w:val="MENDELEY_CITATION_v3_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"/>
          <w:id w:val="1897399100"/>
          <w:placeholder>
            <w:docPart w:val="7C20D95494B80746A145E43D97B1AE50"/>
          </w:placeholder>
        </w:sdtPr>
        <w:sdtContent>
          <w:r w:rsidR="00C006F8" w:rsidRPr="00C006F8">
            <w:rPr>
              <w:color w:val="000000"/>
            </w:rPr>
            <w:t>(Pérez-De-Luque et al., 2017)</w:t>
          </w:r>
        </w:sdtContent>
      </w:sdt>
      <w:r w:rsidR="0019038E" w:rsidRPr="002932E6">
        <w:t xml:space="preserve"> discovered that particular alterations in root exudation chemistry could explain the low mycorrhizal and low microbial colonization phenotypes found in the ‘Avalon' cultivar. A notable advance occurred with the discovery that strigulates stimulated branching in mycorrhizal hyphae, hence improving root colonization</w:t>
      </w:r>
      <w:r w:rsidR="0019038E">
        <w:t xml:space="preserve"> </w:t>
      </w:r>
      <w:sdt>
        <w:sdtPr>
          <w:rPr>
            <w:color w:val="000000"/>
          </w:rPr>
          <w:tag w:val="MENDELEY_CITATION_v3_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"/>
          <w:id w:val="-1075274822"/>
          <w:placeholder>
            <w:docPart w:val="7C20D95494B80746A145E43D97B1AE50"/>
          </w:placeholder>
        </w:sdtPr>
        <w:sdtContent>
          <w:r w:rsidR="00C006F8" w:rsidRPr="00C006F8">
            <w:rPr>
              <w:color w:val="000000"/>
            </w:rPr>
            <w:t>(Akiyama et al., 2005)</w:t>
          </w:r>
        </w:sdtContent>
      </w:sdt>
      <w:r w:rsidR="0019038E" w:rsidRPr="002932E6">
        <w:t>.</w:t>
      </w:r>
    </w:p>
    <w:p w14:paraId="10DF7233" w14:textId="6367F736" w:rsidR="0019038E" w:rsidRPr="002932E6" w:rsidRDefault="0019038E" w:rsidP="0019038E">
      <w:pPr>
        <w:pStyle w:val="mythesis"/>
      </w:pPr>
      <w:r w:rsidRPr="002932E6">
        <w:t xml:space="preserve">AMF and PGPR can also systemically prime their host plants for enhanced plant defense. This induced resistance cannot be directly attributed to enhanced plant nutrition as a result of AMF and PGPR colonization of the roots </w:t>
      </w:r>
      <w:sdt>
        <w:sdtPr>
          <w:rPr>
            <w:color w:val="000000"/>
          </w:rPr>
          <w:tag w:val="MENDELEY_CITATION_v3_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"/>
          <w:id w:val="244461715"/>
          <w:placeholder>
            <w:docPart w:val="7C20D95494B80746A145E43D97B1AE50"/>
          </w:placeholder>
        </w:sdtPr>
        <w:sdtContent>
          <w:r w:rsidR="00C006F8" w:rsidRPr="00C006F8">
            <w:rPr>
              <w:color w:val="000000"/>
            </w:rPr>
            <w:t>(Fritz et al., 2006)</w:t>
          </w:r>
        </w:sdtContent>
      </w:sdt>
      <w:r w:rsidRPr="002932E6">
        <w:t xml:space="preserve">. </w:t>
      </w:r>
      <w:r w:rsidR="00C006F8">
        <w:t>B</w:t>
      </w:r>
      <w:r w:rsidRPr="002932E6">
        <w:t xml:space="preserve">ut rather a result of symbionts modulating the host immune system </w:t>
      </w:r>
      <w:sdt>
        <w:sdtPr>
          <w:rPr>
            <w:color w:val="000000"/>
          </w:rPr>
          <w:tag w:val="MENDELEY_CITATION_v3_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"/>
          <w:id w:val="1115867233"/>
          <w:placeholder>
            <w:docPart w:val="7C20D95494B80746A145E43D97B1AE50"/>
          </w:placeholder>
        </w:sdtPr>
        <w:sdtContent>
          <w:r w:rsidR="00C006F8" w:rsidRPr="00C006F8">
            <w:rPr>
              <w:color w:val="000000"/>
            </w:rPr>
            <w:t>(Cameron et al., 2013; Jung et al., 2012)</w:t>
          </w:r>
        </w:sdtContent>
      </w:sdt>
      <w:r w:rsidRPr="002932E6">
        <w:t xml:space="preserve">. This mycorrhiza-induced resistance (MIR) shares features with pathogen-induced systemic-acquired resistance (SAR), such </w:t>
      </w:r>
      <w:r w:rsidRPr="002932E6">
        <w:lastRenderedPageBreak/>
        <w:t xml:space="preserve">as priming of salicylic SA-dependent genes, and rhizobacterial induced systemic resistance (ISR), which is often characterized by priming of JA-dependent defenses and cell wall defenses </w:t>
      </w:r>
      <w:sdt>
        <w:sdtPr>
          <w:rPr>
            <w:color w:val="000000"/>
          </w:rPr>
          <w:tag w:val="MENDELEY_CITATION_v3_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"/>
          <w:id w:val="-1719281176"/>
          <w:placeholder>
            <w:docPart w:val="7C20D95494B80746A145E43D97B1AE50"/>
          </w:placeholder>
        </w:sdtPr>
        <w:sdtContent>
          <w:r w:rsidR="00C006F8" w:rsidRPr="00C006F8">
            <w:rPr>
              <w:color w:val="000000"/>
            </w:rPr>
            <w:t>(van Wees et al., 2008)</w:t>
          </w:r>
        </w:sdtContent>
      </w:sdt>
      <w:r w:rsidRPr="002932E6">
        <w:t xml:space="preserve">. </w:t>
      </w:r>
      <w:sdt>
        <w:sdtPr>
          <w:rPr>
            <w:color w:val="000000"/>
          </w:rPr>
          <w:tag w:val="MENDELEY_CITATION_v3_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"/>
          <w:id w:val="-1889255122"/>
          <w:placeholder>
            <w:docPart w:val="7C20D95494B80746A145E43D97B1AE50"/>
          </w:placeholder>
        </w:sdtPr>
        <w:sdtContent>
          <w:r w:rsidR="00C006F8" w:rsidRPr="00C006F8">
            <w:rPr>
              <w:color w:val="000000"/>
            </w:rPr>
            <w:t>(Cameron et al., 2013)</w:t>
          </w:r>
        </w:sdtContent>
      </w:sdt>
      <w:r w:rsidRPr="002932E6">
        <w:t xml:space="preserve"> proposed that MIR is the cumulative result of AMF-induced and PGPR-induced priming processes.</w:t>
      </w:r>
    </w:p>
    <w:p w14:paraId="672CCE97" w14:textId="338251B5" w:rsidR="0019038E" w:rsidRPr="002932E6" w:rsidRDefault="0019038E" w:rsidP="0019038E">
      <w:pPr>
        <w:pStyle w:val="mythesis"/>
      </w:pPr>
      <w:r w:rsidRPr="002932E6">
        <w:t xml:space="preserve">Phytohormones are extremely important in all aspects of plant growth and development, including ABA, SA and derivatives, JA and derivatives, auxins, brassinosteroids, cytokinins, gibberellins, strigolactones, ethylene, peptide hormones, and polyamines. Phytohormones work as both local and long-distance signaling molecules, and they can act antagonistically and synergistically, affecting defense-related gene expression and transcription levels, cellular division, and growth, both locally and systemically </w:t>
      </w:r>
      <w:sdt>
        <w:sdtPr>
          <w:tag w:val="MENDELEY_CITATION_v3_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"/>
          <w:id w:val="-1152912854"/>
          <w:placeholder>
            <w:docPart w:val="7C20D95494B80746A145E43D97B1AE50"/>
          </w:placeholder>
        </w:sdtPr>
        <w:sdtContent>
          <w:r w:rsidR="00C006F8">
            <w:t>(Bürger &amp; Chory, 2019).</w:t>
          </w:r>
        </w:sdtContent>
      </w:sdt>
      <w:r w:rsidRPr="002932E6">
        <w:t xml:space="preserve"> </w:t>
      </w:r>
    </w:p>
    <w:p w14:paraId="3CFE5C4F" w14:textId="72C9D54D" w:rsidR="0019038E" w:rsidRPr="0005639D" w:rsidRDefault="0019038E" w:rsidP="0005639D">
      <w:pPr>
        <w:pStyle w:val="mythesis"/>
      </w:pPr>
      <w:r w:rsidRPr="0005639D">
        <w:t xml:space="preserve">Metabolomics techniques have shown previously unknown degrees of complexity in phytohormonal control and balance in biotic stress responses. SA and JA have traditionally related to positively regulating biotrophic and necrotrophic interactions, respectively, and are also thought to be mutually antagonistic. The use of transcriptome data in focused phytohormone analysis, on the other hand, revealed a vital early role for ABA, indicating that biotrophic diseases capture ABA to increase virulence </w:t>
      </w:r>
      <w:sdt>
        <w:sdtPr>
          <w:rPr>
            <w:color w:val="000000"/>
          </w:rPr>
          <w:tag w:val="MENDELEY_CITATION_v3_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"/>
          <w:id w:val="-672344125"/>
          <w:placeholder>
            <w:docPart w:val="7C20D95494B80746A145E43D97B1AE50"/>
          </w:placeholder>
        </w:sdtPr>
        <w:sdtContent>
          <w:r w:rsidR="00C006F8" w:rsidRPr="00C006F8">
            <w:rPr>
              <w:color w:val="000000"/>
            </w:rPr>
            <w:t>(de Torres Zabala et al., 2015; de Torres-Zabala et al., 2007)</w:t>
          </w:r>
        </w:sdtContent>
      </w:sdt>
      <w:r w:rsidRPr="0005639D">
        <w:t>.</w:t>
      </w:r>
    </w:p>
    <w:p w14:paraId="05281A4B" w14:textId="34B4D950" w:rsidR="0019038E" w:rsidRPr="0005639D" w:rsidRDefault="0019038E" w:rsidP="0005639D">
      <w:pPr>
        <w:pStyle w:val="mythesis"/>
        <w:rPr>
          <w:rFonts w:eastAsiaTheme="minorHAnsi"/>
        </w:rPr>
      </w:pPr>
      <w:r w:rsidRPr="0005639D">
        <w:rPr>
          <w:rFonts w:eastAsiaTheme="minorHAnsi"/>
        </w:rPr>
        <w:t xml:space="preserve"> For example, gibberellins are significant diterpenes with a central role in the germination of seeds, flowers and fruits, leaf expansion, production of biomass, stomatal conductance, and CO2 fixation </w:t>
      </w:r>
      <w:sdt>
        <w:sdtPr>
          <w:rPr>
            <w:rFonts w:eastAsiaTheme="minorHAnsi"/>
            <w:color w:val="000000"/>
          </w:rPr>
          <w:tag w:val="MENDELEY_CITATION_v3_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"/>
          <w:id w:val="-1745475156"/>
          <w:placeholder>
            <w:docPart w:val="7C20D95494B80746A145E43D97B1AE50"/>
          </w:placeholder>
        </w:sdtPr>
        <w:sdtContent>
          <w:r w:rsidR="00C006F8" w:rsidRPr="00C006F8">
            <w:rPr>
              <w:rFonts w:eastAsiaTheme="minorHAnsi"/>
              <w:color w:val="000000"/>
            </w:rPr>
            <w:t>(Mazid, Khan, et al., 2011)</w:t>
          </w:r>
          <w:r w:rsidR="00813874">
            <w:rPr>
              <w:rFonts w:eastAsiaTheme="minorHAnsi"/>
              <w:color w:val="000000"/>
            </w:rPr>
            <w:t>.</w:t>
          </w:r>
        </w:sdtContent>
      </w:sdt>
      <w:r w:rsidRPr="0005639D">
        <w:rPr>
          <w:rFonts w:eastAsiaTheme="minorHAnsi"/>
        </w:rPr>
        <w:t xml:space="preserve"> Diterpenes consisting of two terpene units are biosynthesized by plant</w:t>
      </w:r>
      <w:r w:rsidR="008B6B62" w:rsidRPr="008B6B62">
        <w:rPr>
          <w:rFonts w:eastAsiaTheme="minorHAnsi"/>
          <w:color w:val="FF0000"/>
        </w:rPr>
        <w:t>s</w:t>
      </w:r>
      <w:r w:rsidRPr="0005639D">
        <w:rPr>
          <w:rFonts w:eastAsiaTheme="minorHAnsi"/>
        </w:rPr>
        <w:t xml:space="preserve"> via the isoprenoid pathway (like mevalonate path) using geranylgeranyl pyrophosphate </w:t>
      </w:r>
      <w:sdt>
        <w:sdtPr>
          <w:rPr>
            <w:rFonts w:eastAsiaTheme="minorHAnsi"/>
          </w:rPr>
          <w:tag w:val="MENDELEY_CITATION_v3_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"/>
          <w:id w:val="764809935"/>
          <w:placeholder>
            <w:docPart w:val="7C20D95494B80746A145E43D97B1AE50"/>
          </w:placeholder>
        </w:sdtPr>
        <w:sdtContent>
          <w:r w:rsidR="00C006F8">
            <w:t>(Mafu &amp; Zerbe, 2018).</w:t>
          </w:r>
        </w:sdtContent>
      </w:sdt>
      <w:r w:rsidRPr="0005639D">
        <w:rPr>
          <w:rFonts w:eastAsiaTheme="minorHAnsi"/>
        </w:rPr>
        <w:t xml:space="preserve"> Gibberellin Phytohormone is also an active enhancer in </w:t>
      </w:r>
      <w:r w:rsidR="00813270">
        <w:rPr>
          <w:rFonts w:eastAsiaTheme="minorHAnsi"/>
        </w:rPr>
        <w:t>secondary metabolites</w:t>
      </w:r>
      <w:r w:rsidRPr="0005639D">
        <w:rPr>
          <w:rFonts w:eastAsiaTheme="minorHAnsi"/>
        </w:rPr>
        <w:t xml:space="preserve"> production </w:t>
      </w:r>
      <w:sdt>
        <w:sdtPr>
          <w:rPr>
            <w:rFonts w:eastAsiaTheme="minorHAnsi"/>
            <w:color w:val="000000"/>
          </w:rPr>
          <w:tag w:val="MENDELEY_CITATION_v3_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"/>
          <w:id w:val="-14542826"/>
          <w:placeholder>
            <w:docPart w:val="7C20D95494B80746A145E43D97B1AE50"/>
          </w:placeholder>
        </w:sdtPr>
        <w:sdtContent>
          <w:r w:rsidR="00C006F8" w:rsidRPr="00C006F8">
            <w:rPr>
              <w:rFonts w:eastAsiaTheme="minorHAnsi"/>
              <w:color w:val="000000"/>
            </w:rPr>
            <w:t>(Liang et al., 2013).</w:t>
          </w:r>
        </w:sdtContent>
      </w:sdt>
    </w:p>
    <w:p w14:paraId="6E856FAF" w14:textId="4708160B" w:rsidR="0019038E" w:rsidRPr="004E5946" w:rsidRDefault="0019038E" w:rsidP="0019038E">
      <w:pPr>
        <w:pStyle w:val="mythesis"/>
        <w:rPr>
          <w:rFonts w:eastAsiaTheme="minorHAnsi"/>
        </w:rPr>
      </w:pPr>
      <w:r w:rsidRPr="002932E6">
        <w:rPr>
          <w:rFonts w:eastAsiaTheme="minorHAnsi"/>
        </w:rPr>
        <w:t xml:space="preserve">The gibberellic acid diterpenoid is synthesized by the same pathway for biosynthesizing artemisinin </w:t>
      </w:r>
      <w:sdt>
        <w:sdtPr>
          <w:rPr>
            <w:rFonts w:eastAsiaTheme="minorHAnsi"/>
            <w:color w:val="000000"/>
          </w:rPr>
          <w:tag w:val="MENDELEY_CITATION_v3_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"/>
          <w:id w:val="-1021786709"/>
          <w:placeholder>
            <w:docPart w:val="7C20D95494B80746A145E43D97B1AE50"/>
          </w:placeholder>
        </w:sdtPr>
        <w:sdtContent>
          <w:r w:rsidR="00C006F8" w:rsidRPr="00C006F8">
            <w:rPr>
              <w:rFonts w:eastAsiaTheme="minorHAnsi"/>
              <w:color w:val="000000"/>
            </w:rPr>
            <w:t>(Bertea et al., 2005; Liu et al., 2005)</w:t>
          </w:r>
        </w:sdtContent>
      </w:sdt>
      <w:r w:rsidRPr="002932E6">
        <w:rPr>
          <w:rFonts w:eastAsiaTheme="minorHAnsi"/>
        </w:rPr>
        <w:t xml:space="preserve">. Different studies have studied the use of the elicitor of gibberellic acid. For example, the production of caffeic acid derivatives and tanshinones in hairy root cultures of </w:t>
      </w:r>
      <w:r w:rsidRPr="002932E6">
        <w:rPr>
          <w:rFonts w:eastAsiaTheme="minorHAnsi"/>
          <w:i/>
        </w:rPr>
        <w:t>Echinacea pupurea</w:t>
      </w:r>
      <w:r w:rsidRPr="002932E6">
        <w:rPr>
          <w:rFonts w:eastAsiaTheme="minorHAnsi"/>
        </w:rPr>
        <w:t xml:space="preserve"> and </w:t>
      </w:r>
      <w:r w:rsidRPr="002932E6">
        <w:rPr>
          <w:rFonts w:eastAsiaTheme="minorHAnsi"/>
          <w:i/>
        </w:rPr>
        <w:t>S. miltiorrhiza</w:t>
      </w:r>
      <w:r w:rsidRPr="002932E6">
        <w:rPr>
          <w:rFonts w:eastAsiaTheme="minorHAnsi"/>
        </w:rPr>
        <w:t xml:space="preserve"> has been improved when gibberellic </w:t>
      </w:r>
      <w:r w:rsidRPr="004E5946">
        <w:rPr>
          <w:rFonts w:eastAsiaTheme="minorHAnsi"/>
        </w:rPr>
        <w:t xml:space="preserve">acid </w:t>
      </w:r>
      <w:r w:rsidR="008B6B62" w:rsidRPr="004E5946">
        <w:rPr>
          <w:rFonts w:eastAsiaTheme="minorHAnsi"/>
        </w:rPr>
        <w:t xml:space="preserve">is </w:t>
      </w:r>
      <w:r w:rsidRPr="004E5946">
        <w:rPr>
          <w:rFonts w:eastAsiaTheme="minorHAnsi"/>
        </w:rPr>
        <w:t xml:space="preserve">used </w:t>
      </w:r>
      <w:sdt>
        <w:sdtPr>
          <w:rPr>
            <w:rFonts w:eastAsiaTheme="minorHAnsi"/>
          </w:rPr>
          <w:tag w:val="MENDELEY_CITATION_v3_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"/>
          <w:id w:val="-229542758"/>
          <w:placeholder>
            <w:docPart w:val="7C20D95494B80746A145E43D97B1AE50"/>
          </w:placeholder>
        </w:sdtPr>
        <w:sdtContent>
          <w:r w:rsidR="00C006F8" w:rsidRPr="004E5946">
            <w:rPr>
              <w:rFonts w:eastAsiaTheme="minorHAnsi"/>
            </w:rPr>
            <w:t>(Abbasi et al., 2012; Yuan, 2008)</w:t>
          </w:r>
        </w:sdtContent>
      </w:sdt>
      <w:r w:rsidRPr="004E5946">
        <w:rPr>
          <w:rFonts w:eastAsiaTheme="minorHAnsi"/>
        </w:rPr>
        <w:t xml:space="preserve">. Gibberellic acid has also been used in </w:t>
      </w:r>
      <w:r w:rsidRPr="004E5946">
        <w:rPr>
          <w:rFonts w:eastAsiaTheme="minorHAnsi"/>
          <w:i/>
        </w:rPr>
        <w:lastRenderedPageBreak/>
        <w:t>Artemisia annua</w:t>
      </w:r>
      <w:r w:rsidRPr="004E5946">
        <w:rPr>
          <w:rFonts w:eastAsiaTheme="minorHAnsi"/>
        </w:rPr>
        <w:t xml:space="preserve"> to enhance amounts of artemisinin also to enhance the biosynthesis of polyphenolics (flavonoids and phenolics) in suspended </w:t>
      </w:r>
      <w:r w:rsidRPr="004E5946">
        <w:rPr>
          <w:rFonts w:eastAsiaTheme="minorHAnsi"/>
          <w:i/>
        </w:rPr>
        <w:t>Artemisia</w:t>
      </w:r>
      <w:r w:rsidRPr="004E5946">
        <w:rPr>
          <w:rFonts w:eastAsiaTheme="minorHAnsi"/>
        </w:rPr>
        <w:t xml:space="preserve"> cells </w:t>
      </w:r>
      <w:sdt>
        <w:sdtPr>
          <w:rPr>
            <w:rFonts w:eastAsiaTheme="minorHAnsi"/>
          </w:rPr>
          <w:tag w:val="MENDELEY_CITATION_v3_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"/>
          <w:id w:val="-749734923"/>
          <w:placeholder>
            <w:docPart w:val="7C20D95494B80746A145E43D97B1AE50"/>
          </w:placeholder>
        </w:sdtPr>
        <w:sdtContent>
          <w:r w:rsidR="00C006F8" w:rsidRPr="004E5946">
            <w:rPr>
              <w:rFonts w:eastAsiaTheme="minorHAnsi"/>
            </w:rPr>
            <w:t>(Banyai et al., 2011)</w:t>
          </w:r>
        </w:sdtContent>
      </w:sdt>
      <w:r w:rsidRPr="004E5946">
        <w:rPr>
          <w:rFonts w:eastAsiaTheme="minorHAnsi"/>
        </w:rPr>
        <w:t>.</w:t>
      </w:r>
    </w:p>
    <w:p w14:paraId="610E3449" w14:textId="15FF0739" w:rsidR="0019038E" w:rsidRPr="0005639D" w:rsidRDefault="0019038E" w:rsidP="0005639D">
      <w:pPr>
        <w:pStyle w:val="mythesis"/>
      </w:pPr>
      <w:r w:rsidRPr="004E5946">
        <w:t xml:space="preserve"> </w:t>
      </w:r>
      <w:r w:rsidR="0005639D" w:rsidRPr="004E5946">
        <w:t>Also</w:t>
      </w:r>
      <w:r w:rsidRPr="004E5946">
        <w:t>, mycotoxins are secondary metabolites and their production depend</w:t>
      </w:r>
      <w:r w:rsidR="0038121F" w:rsidRPr="004E5946">
        <w:t>s</w:t>
      </w:r>
      <w:r w:rsidRPr="004E5946">
        <w:t xml:space="preserve"> on the stress condition around the plant. Thus, in the case of </w:t>
      </w:r>
      <w:r w:rsidRPr="0005639D">
        <w:t xml:space="preserve">antifungal compounds at sublethal levels, the fungus may become stressful and the production of mycotoxins may be stimulated, and ketone played important role in this field as </w:t>
      </w:r>
      <w:sdt>
        <w:sdtPr>
          <w:rPr>
            <w:color w:val="000000"/>
          </w:rPr>
          <w:tag w:val="MENDELEY_CITATION_v3_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"/>
          <w:id w:val="796571067"/>
          <w:placeholder>
            <w:docPart w:val="7C20D95494B80746A145E43D97B1AE50"/>
          </w:placeholder>
        </w:sdtPr>
        <w:sdtContent>
          <w:r w:rsidR="00C006F8" w:rsidRPr="00C006F8">
            <w:rPr>
              <w:color w:val="000000"/>
            </w:rPr>
            <w:t>(Pizzolitto et al., 2015)</w:t>
          </w:r>
        </w:sdtContent>
      </w:sdt>
      <w:r w:rsidRPr="0005639D">
        <w:t xml:space="preserve"> found that antifungal activities of nine ketones were tested against pests. Few studies report the antifungal activity of pure ketones and essential oils rich in these compounds against </w:t>
      </w:r>
      <w:r w:rsidRPr="00911308">
        <w:rPr>
          <w:i/>
          <w:iCs w:val="0"/>
        </w:rPr>
        <w:t>F. verticillioides</w:t>
      </w:r>
      <w:r w:rsidRPr="0005639D">
        <w:t xml:space="preserve"> </w:t>
      </w:r>
      <w:sdt>
        <w:sdtPr>
          <w:rPr>
            <w:color w:val="000000"/>
          </w:rPr>
          <w:tag w:val="MENDELEY_CITATION_v3_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"/>
          <w:id w:val="1304882062"/>
          <w:placeholder>
            <w:docPart w:val="7C20D95494B80746A145E43D97B1AE50"/>
          </w:placeholder>
        </w:sdtPr>
        <w:sdtContent>
          <w:r w:rsidR="00911308">
            <w:rPr>
              <w:color w:val="000000"/>
            </w:rPr>
            <w:t>(</w:t>
          </w:r>
          <w:r w:rsidR="00C006F8" w:rsidRPr="00C006F8">
            <w:rPr>
              <w:color w:val="000000"/>
            </w:rPr>
            <w:t>Dambolena et al., 2008; Dambolena et al., 2010)</w:t>
          </w:r>
        </w:sdtContent>
      </w:sdt>
      <w:r w:rsidRPr="0005639D">
        <w:t>. Similar results were obtained by phenolic compounds</w:t>
      </w:r>
      <w:r w:rsidR="00915127">
        <w:t xml:space="preserve"> </w:t>
      </w:r>
      <w:sdt>
        <w:sdtPr>
          <w:rPr>
            <w:color w:val="000000"/>
          </w:rPr>
          <w:tag w:val="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"/>
          <w:id w:val="-1841613895"/>
          <w:placeholder>
            <w:docPart w:val="DefaultPlaceholder_-1854013440"/>
          </w:placeholder>
        </w:sdtPr>
        <w:sdtContent>
          <w:r w:rsidR="00C006F8" w:rsidRPr="00C006F8">
            <w:rPr>
              <w:color w:val="000000"/>
            </w:rPr>
            <w:t>(Dambolena et al., 2012; Gallucci et al., 2014; Pizzolitto et al., 2015; Samapundo et al., 2007)</w:t>
          </w:r>
        </w:sdtContent>
      </w:sdt>
      <w:r w:rsidRPr="0005639D">
        <w:t>.</w:t>
      </w:r>
      <w:r w:rsidR="0005639D">
        <w:t xml:space="preserve"> </w:t>
      </w:r>
      <w:r w:rsidRPr="0005639D">
        <w:rPr>
          <w:rFonts w:eastAsiaTheme="minorHAnsi"/>
        </w:rPr>
        <w:t xml:space="preserve">And </w:t>
      </w:r>
      <w:r w:rsidRPr="004E5946">
        <w:rPr>
          <w:rFonts w:eastAsiaTheme="minorHAnsi"/>
        </w:rPr>
        <w:t xml:space="preserve">that </w:t>
      </w:r>
      <w:r w:rsidR="002A6E2C" w:rsidRPr="004E5946">
        <w:rPr>
          <w:rFonts w:eastAsiaTheme="minorHAnsi"/>
        </w:rPr>
        <w:t xml:space="preserve">is </w:t>
      </w:r>
      <w:r w:rsidRPr="0005639D">
        <w:rPr>
          <w:rFonts w:eastAsiaTheme="minorHAnsi"/>
        </w:rPr>
        <w:t>what we found in our results about the increas of the ketone and mycotoxin in the treated plant root. And that can be used widely as a biocontrol model to maintain the sustainability of corn cultivation.</w:t>
      </w:r>
    </w:p>
    <w:p w14:paraId="78F8C429" w14:textId="57E33203" w:rsidR="0019038E" w:rsidRPr="004E5946" w:rsidRDefault="00000000" w:rsidP="0019038E">
      <w:pPr>
        <w:pStyle w:val="mythesis"/>
        <w:rPr>
          <w:rFonts w:eastAsiaTheme="minorHAnsi"/>
        </w:rPr>
      </w:pPr>
      <w:sdt>
        <w:sdtPr>
          <w:rPr>
            <w:rFonts w:eastAsiaTheme="minorHAnsi"/>
            <w:color w:val="000000"/>
          </w:rPr>
          <w:tag w:val="MENDELEY_CITATION_v3_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"/>
          <w:id w:val="-991941396"/>
          <w:placeholder>
            <w:docPart w:val="7C20D95494B80746A145E43D97B1AE50"/>
          </w:placeholder>
        </w:sdtPr>
        <w:sdtContent>
          <w:r w:rsidR="00C006F8" w:rsidRPr="00C006F8">
            <w:rPr>
              <w:rFonts w:eastAsiaTheme="minorHAnsi"/>
              <w:color w:val="000000"/>
            </w:rPr>
            <w:t>(Pang et al., 2021)</w:t>
          </w:r>
        </w:sdtContent>
      </w:sdt>
      <w:r w:rsidR="0019038E" w:rsidRPr="002932E6">
        <w:rPr>
          <w:rFonts w:eastAsiaTheme="minorHAnsi"/>
        </w:rPr>
        <w:t xml:space="preserve"> mentioned that many studies suggest that plants may influence the microbiome by secreting different metabolites, and that the microbiome can in turn also alter the host plant's metabolome. However, the communication between the interacting partners is not widely known to affect their phenotypic alterations. Most The bulk nature of these samples is the major material that represents average plant cells in a certain tissue or organ in the traditional investigations of </w:t>
      </w:r>
      <w:r w:rsidR="0019038E" w:rsidRPr="002932E6">
        <w:rPr>
          <w:shd w:val="clear" w:color="auto" w:fill="FFFFFF"/>
        </w:rPr>
        <w:t>plant secondary metabolites</w:t>
      </w:r>
      <w:r w:rsidR="0019038E" w:rsidRPr="002932E6">
        <w:rPr>
          <w:rFonts w:eastAsiaTheme="minorHAnsi"/>
        </w:rPr>
        <w:t xml:space="preserve">, which use extracts of representative plant tissues </w:t>
      </w:r>
      <w:sdt>
        <w:sdtPr>
          <w:rPr>
            <w:rFonts w:eastAsiaTheme="minorHAnsi"/>
            <w:color w:val="000000"/>
          </w:rPr>
          <w:tag w:val="MENDELEY_CITATION_v3_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"/>
          <w:id w:val="1494683216"/>
          <w:placeholder>
            <w:docPart w:val="7C20D95494B80746A145E43D97B1AE50"/>
          </w:placeholder>
        </w:sdtPr>
        <w:sdtContent>
          <w:r w:rsidR="00C006F8" w:rsidRPr="00C006F8">
            <w:rPr>
              <w:rFonts w:eastAsiaTheme="minorHAnsi"/>
              <w:color w:val="000000"/>
            </w:rPr>
            <w:t>(Masuda et al., 2018).</w:t>
          </w:r>
        </w:sdtContent>
      </w:sdt>
      <w:r w:rsidR="0019038E" w:rsidRPr="002932E6">
        <w:t xml:space="preserve"> </w:t>
      </w:r>
      <w:r w:rsidR="0019038E" w:rsidRPr="002932E6">
        <w:rPr>
          <w:rFonts w:eastAsiaTheme="minorHAnsi"/>
        </w:rPr>
        <w:t xml:space="preserve">It is frequently difficult to distinguish between </w:t>
      </w:r>
      <w:r w:rsidR="0019038E" w:rsidRPr="002932E6">
        <w:rPr>
          <w:shd w:val="clear" w:color="auto" w:fill="FFFFFF"/>
        </w:rPr>
        <w:t>plant secondary metabolites</w:t>
      </w:r>
      <w:r w:rsidR="0019038E" w:rsidRPr="002932E6">
        <w:t xml:space="preserve"> </w:t>
      </w:r>
      <w:r w:rsidR="0019038E" w:rsidRPr="002932E6">
        <w:rPr>
          <w:rFonts w:eastAsiaTheme="minorHAnsi"/>
        </w:rPr>
        <w:t xml:space="preserve">produced by host plants and those produced by their associated microorganisms. However, there is currently a growing interest in limiting </w:t>
      </w:r>
      <w:r w:rsidR="0019038E">
        <w:rPr>
          <w:rFonts w:eastAsiaTheme="minorHAnsi"/>
        </w:rPr>
        <w:t>plant secondary metabolites</w:t>
      </w:r>
      <w:r w:rsidR="0019038E" w:rsidRPr="002932E6">
        <w:rPr>
          <w:rFonts w:eastAsiaTheme="minorHAnsi"/>
        </w:rPr>
        <w:t xml:space="preserve"> investigations down to the single-cell level, allowing plant cells to be separated from potentially related microbial cells,</w:t>
      </w:r>
      <w:r w:rsidR="0019038E" w:rsidRPr="002932E6">
        <w:t xml:space="preserve"> </w:t>
      </w:r>
      <w:r w:rsidR="0019038E" w:rsidRPr="002932E6">
        <w:rPr>
          <w:rFonts w:eastAsiaTheme="minorHAnsi"/>
        </w:rPr>
        <w:t xml:space="preserve">Approaches such as matrix-assisted laser desorption ionization (MALDI) can be used to achieve such separations and personalized analysis </w:t>
      </w:r>
      <w:sdt>
        <w:sdtPr>
          <w:rPr>
            <w:rFonts w:eastAsiaTheme="minorHAnsi"/>
            <w:color w:val="000000"/>
          </w:rPr>
          <w:tag w:val="MENDELEY_CITATION_v3_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"/>
          <w:id w:val="70016996"/>
          <w:placeholder>
            <w:docPart w:val="7C20D95494B80746A145E43D97B1AE50"/>
          </w:placeholder>
        </w:sdtPr>
        <w:sdtContent>
          <w:r w:rsidR="00C006F8" w:rsidRPr="00C006F8">
            <w:rPr>
              <w:rFonts w:eastAsiaTheme="minorHAnsi"/>
              <w:color w:val="000000"/>
            </w:rPr>
            <w:t>(Bhattacharjee et al., 2020; Etalo et al., 2018)</w:t>
          </w:r>
        </w:sdtContent>
      </w:sdt>
      <w:r w:rsidR="0019038E" w:rsidRPr="002932E6">
        <w:rPr>
          <w:rFonts w:eastAsiaTheme="minorHAnsi"/>
        </w:rPr>
        <w:t>,</w:t>
      </w:r>
      <w:r w:rsidR="0019038E" w:rsidRPr="002932E6">
        <w:t xml:space="preserve"> </w:t>
      </w:r>
      <w:r w:rsidR="0019038E" w:rsidRPr="002932E6">
        <w:rPr>
          <w:rFonts w:eastAsiaTheme="minorHAnsi"/>
        </w:rPr>
        <w:t xml:space="preserve">These methods, when combined with MS data alignment, molecular networking software, and relevant databases, enable the detection of a high number (hundreds to thousands) of metabolites obtained from a single plant cell </w:t>
      </w:r>
      <w:sdt>
        <w:sdtPr>
          <w:rPr>
            <w:rFonts w:eastAsiaTheme="minorHAnsi"/>
            <w:color w:val="000000"/>
          </w:rPr>
          <w:tag w:val="MENDELEY_CITATION_v3_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"/>
          <w:id w:val="-1749876484"/>
          <w:placeholder>
            <w:docPart w:val="7C20D95494B80746A145E43D97B1AE50"/>
          </w:placeholder>
        </w:sdtPr>
        <w:sdtContent>
          <w:r w:rsidR="00C006F8" w:rsidRPr="00C006F8">
            <w:rPr>
              <w:rFonts w:eastAsiaTheme="minorHAnsi"/>
              <w:color w:val="000000"/>
            </w:rPr>
            <w:t>(Brader et al., 2014)</w:t>
          </w:r>
        </w:sdtContent>
      </w:sdt>
      <w:r w:rsidR="0019038E" w:rsidRPr="002932E6">
        <w:rPr>
          <w:rFonts w:eastAsiaTheme="minorHAnsi"/>
        </w:rPr>
        <w:t>.</w:t>
      </w:r>
      <w:r w:rsidR="0019038E" w:rsidRPr="002932E6">
        <w:t xml:space="preserve"> </w:t>
      </w:r>
      <w:r w:rsidR="0019038E" w:rsidRPr="002932E6">
        <w:rPr>
          <w:rFonts w:eastAsiaTheme="minorHAnsi"/>
        </w:rPr>
        <w:t xml:space="preserve">These platforms represent important advances in the discovery of in-situ metabolites as well as the dynamics of interactions between plant and </w:t>
      </w:r>
      <w:r w:rsidR="0019038E" w:rsidRPr="002932E6">
        <w:rPr>
          <w:rFonts w:eastAsiaTheme="minorHAnsi"/>
        </w:rPr>
        <w:lastRenderedPageBreak/>
        <w:t xml:space="preserve">microbial cells at the single-cell level. </w:t>
      </w:r>
      <w:r w:rsidR="0019038E" w:rsidRPr="004E5946">
        <w:rPr>
          <w:rFonts w:eastAsiaTheme="minorHAnsi"/>
        </w:rPr>
        <w:t xml:space="preserve">And we used (MALDI </w:t>
      </w:r>
      <w:r w:rsidR="00E25432" w:rsidRPr="004E5946">
        <w:rPr>
          <w:rFonts w:eastAsiaTheme="minorHAnsi"/>
        </w:rPr>
        <w:t>MS</w:t>
      </w:r>
      <w:r w:rsidR="0019038E" w:rsidRPr="004E5946">
        <w:rPr>
          <w:rFonts w:eastAsiaTheme="minorHAnsi"/>
        </w:rPr>
        <w:t xml:space="preserve">) in our study to discover the compounds of the secondary metabolite in shoot and root in </w:t>
      </w:r>
      <w:r w:rsidR="0019038E" w:rsidRPr="004E5946">
        <w:rPr>
          <w:rFonts w:eastAsiaTheme="minorHAnsi"/>
          <w:i/>
        </w:rPr>
        <w:t>Zea mays</w:t>
      </w:r>
      <w:r w:rsidR="0019038E" w:rsidRPr="004E5946">
        <w:rPr>
          <w:rFonts w:eastAsiaTheme="minorHAnsi"/>
        </w:rPr>
        <w:t>.</w:t>
      </w:r>
    </w:p>
    <w:p w14:paraId="7A8A4B75" w14:textId="7B8B987C" w:rsidR="0019038E" w:rsidRPr="004E5946" w:rsidRDefault="0019038E" w:rsidP="0019038E">
      <w:pPr>
        <w:pStyle w:val="mythesis"/>
      </w:pPr>
      <w:r w:rsidRPr="004E5946">
        <w:rPr>
          <w:lang w:val="en-GB"/>
        </w:rPr>
        <w:t xml:space="preserve">We can </w:t>
      </w:r>
      <w:r w:rsidR="00F95963" w:rsidRPr="004E5946">
        <w:t>use</w:t>
      </w:r>
      <w:r w:rsidRPr="004E5946">
        <w:t xml:space="preserve"> ISR mechanism by AMF induced on priming of JA – dependent defenses and the result will be faster and stronger on plant</w:t>
      </w:r>
      <w:r w:rsidR="008E2170" w:rsidRPr="004E5946">
        <w:t>s</w:t>
      </w:r>
      <w:r w:rsidRPr="004E5946">
        <w:t xml:space="preserve"> resisted against </w:t>
      </w:r>
      <w:r w:rsidR="00F95963" w:rsidRPr="004E5946">
        <w:t xml:space="preserve">a </w:t>
      </w:r>
      <w:r w:rsidRPr="004E5946">
        <w:t>wild range of pathogenic organisms.</w:t>
      </w:r>
    </w:p>
    <w:p w14:paraId="267DBD5E" w14:textId="161883DD" w:rsidR="0019038E" w:rsidRPr="002932E6" w:rsidRDefault="0019038E" w:rsidP="0019038E">
      <w:pPr>
        <w:pStyle w:val="mythesis"/>
      </w:pPr>
      <w:r w:rsidRPr="004E5946">
        <w:t xml:space="preserve">Also, rhizosphere signaling and </w:t>
      </w:r>
      <w:r w:rsidR="008E2170" w:rsidRPr="004E5946">
        <w:t xml:space="preserve">the </w:t>
      </w:r>
      <w:r w:rsidRPr="004E5946">
        <w:t xml:space="preserve">result of integration between the rhizosphere microbes (AMF and PGPR) on ISR on maize plant </w:t>
      </w:r>
      <w:sdt>
        <w:sdtPr>
          <w:tag w:val="MENDELEY_CITATION_v3_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"/>
          <w:id w:val="-267543766"/>
          <w:placeholder>
            <w:docPart w:val="7C20D95494B80746A145E43D97B1AE50"/>
          </w:placeholder>
        </w:sdtPr>
        <w:sdtContent>
          <w:r w:rsidR="00C006F8" w:rsidRPr="004E5946">
            <w:t>(Cameron et al., 2013)</w:t>
          </w:r>
        </w:sdtContent>
      </w:sdt>
      <w:r w:rsidRPr="004E5946">
        <w:t xml:space="preserve">, we can use this interaction in further studies and that the mycorrhiza-induced systemic </w:t>
      </w:r>
      <w:r w:rsidRPr="002932E6">
        <w:t xml:space="preserve">resistance depends on plant beneficial Rhizobacteria.   </w:t>
      </w:r>
    </w:p>
    <w:p w14:paraId="40D68E59" w14:textId="390B006E" w:rsidR="0019038E" w:rsidRDefault="0019038E" w:rsidP="004B7F80">
      <w:pPr>
        <w:pStyle w:val="Heading2"/>
      </w:pPr>
      <w:bookmarkStart w:id="179" w:name="_Toc83561298"/>
      <w:bookmarkStart w:id="180" w:name="_Toc83751500"/>
      <w:r w:rsidRPr="002932E6">
        <w:t>5.4 Conclusion</w:t>
      </w:r>
      <w:bookmarkEnd w:id="179"/>
      <w:bookmarkEnd w:id="180"/>
    </w:p>
    <w:p w14:paraId="761C4B9B" w14:textId="77777777" w:rsidR="004B7F80" w:rsidRPr="004B7F80" w:rsidRDefault="004B7F80" w:rsidP="004B7F80">
      <w:pPr>
        <w:rPr>
          <w:lang w:val="en-GB"/>
        </w:rPr>
      </w:pPr>
    </w:p>
    <w:p w14:paraId="021FC5F3" w14:textId="77777777" w:rsidR="0019038E" w:rsidRPr="004E5946" w:rsidRDefault="0019038E" w:rsidP="0019038E">
      <w:pPr>
        <w:pStyle w:val="mythesis"/>
      </w:pPr>
      <w:r w:rsidRPr="002932E6">
        <w:t xml:space="preserve">This PhD thesis has enhanced our current understanding of the effect of inoculating the </w:t>
      </w:r>
      <w:r w:rsidRPr="002932E6">
        <w:rPr>
          <w:i/>
        </w:rPr>
        <w:t>Zea mays</w:t>
      </w:r>
      <w:r w:rsidRPr="002932E6">
        <w:t xml:space="preserve"> plant with the AMF and its effective contribution to improving plant growth and utilization of nutrients in the soil such as P and N due to the formation of symbiosis with the AMF as well as the induction of secondary metabolic compounds like JA and SA that play a major role in resisting biotic and abiotic condition, also I terms of genetics and diversity panel among the </w:t>
      </w:r>
      <w:r w:rsidRPr="002932E6">
        <w:rPr>
          <w:i/>
        </w:rPr>
        <w:t>Zea mays</w:t>
      </w:r>
      <w:r w:rsidRPr="002932E6">
        <w:t xml:space="preserve"> cultivars that were used, we concluded that the responsiveness was different despite the genetic affinity found in some cultivars and that the genetic origin was not affecting the mycorrhizal response of the plant. </w:t>
      </w:r>
    </w:p>
    <w:p w14:paraId="134BFA73" w14:textId="4E896B01" w:rsidR="00FC0809" w:rsidRDefault="0019038E" w:rsidP="004C731F">
      <w:pPr>
        <w:pStyle w:val="mythesis"/>
      </w:pPr>
      <w:r w:rsidRPr="004E5946">
        <w:t xml:space="preserve">Furthermore, these data can help in </w:t>
      </w:r>
      <w:r w:rsidR="00617331" w:rsidRPr="004E5946">
        <w:t xml:space="preserve">the </w:t>
      </w:r>
      <w:r w:rsidRPr="004E5946">
        <w:t xml:space="preserve">future to deducing the expected effect from using AMF in the pathogen experiment a prospective test to test the effectiveness of relationship in disease resistance, based on the data and pathways obtained from this </w:t>
      </w:r>
      <w:r w:rsidR="00ED0BA6" w:rsidRPr="004E5946">
        <w:t>thesis. That</w:t>
      </w:r>
      <w:r w:rsidRPr="004E5946">
        <w:t xml:space="preserve"> to be wonderful if we test the pathogen and from the results that we have obtained from this thesis, we have a strong evidence and suggestion that the mycorrhizas will affect and prime the pathways of defense against the pathogen such as SA and JA, an</w:t>
      </w:r>
      <w:r w:rsidR="00265E41" w:rsidRPr="004E5946">
        <w:t>d</w:t>
      </w:r>
      <w:r w:rsidRPr="004E5946">
        <w:t xml:space="preserve"> that inoculation with the mycorrhizal will help </w:t>
      </w:r>
      <w:r w:rsidR="001A7EEF" w:rsidRPr="004E5946">
        <w:t>to resist</w:t>
      </w:r>
      <w:r w:rsidRPr="004E5946">
        <w:t xml:space="preserve"> the maize leaf blight disease caused by the pathogenic fungi (</w:t>
      </w:r>
      <w:r w:rsidRPr="004E5946">
        <w:rPr>
          <w:i/>
        </w:rPr>
        <w:t>Setosphaeria turcica</w:t>
      </w:r>
      <w:r w:rsidRPr="004E5946">
        <w:t xml:space="preserve">) that </w:t>
      </w:r>
      <w:r w:rsidR="001A7EEF" w:rsidRPr="004E5946">
        <w:t>were</w:t>
      </w:r>
      <w:r w:rsidRPr="004E5946">
        <w:t xml:space="preserve"> planned to be used to test the ability of the mycorrhization to induce the immune system of the </w:t>
      </w:r>
      <w:r w:rsidRPr="004E5946">
        <w:rPr>
          <w:i/>
        </w:rPr>
        <w:t>Zea mays</w:t>
      </w:r>
      <w:r w:rsidRPr="004E5946">
        <w:t xml:space="preserve"> before the Covid 19 pandemic and the experiment design was prepared</w:t>
      </w:r>
      <w:r w:rsidR="00411DBF" w:rsidRPr="00ED0BA6">
        <w:t>.</w:t>
      </w:r>
    </w:p>
    <w:p w14:paraId="481EDDD1" w14:textId="124F2FC5" w:rsidR="000E1FC0" w:rsidRDefault="000E1FC0" w:rsidP="000E1FC0">
      <w:pPr>
        <w:pStyle w:val="NormalWeb"/>
        <w:spacing w:line="360" w:lineRule="auto"/>
        <w:rPr>
          <w:rFonts w:asciiTheme="majorBidi" w:hAnsiTheme="majorBidi" w:cstheme="majorBidi"/>
          <w:color w:val="00B050"/>
        </w:rPr>
      </w:pPr>
    </w:p>
    <w:p w14:paraId="02E84B99" w14:textId="7D668599" w:rsidR="00B12F75" w:rsidRDefault="00B12F75" w:rsidP="000E1FC0">
      <w:pPr>
        <w:pStyle w:val="NormalWeb"/>
        <w:spacing w:line="360" w:lineRule="auto"/>
        <w:rPr>
          <w:rFonts w:asciiTheme="majorBidi" w:hAnsiTheme="majorBidi" w:cstheme="majorBidi"/>
          <w:color w:val="00B050"/>
        </w:rPr>
      </w:pPr>
    </w:p>
    <w:p w14:paraId="61203CD6" w14:textId="310CC225" w:rsidR="00B12F75" w:rsidRDefault="00B12F75" w:rsidP="000E1FC0">
      <w:pPr>
        <w:pStyle w:val="NormalWeb"/>
        <w:spacing w:line="360" w:lineRule="auto"/>
        <w:rPr>
          <w:rFonts w:asciiTheme="majorBidi" w:hAnsiTheme="majorBidi" w:cstheme="majorBidi"/>
          <w:color w:val="00B050"/>
        </w:rPr>
      </w:pPr>
    </w:p>
    <w:p w14:paraId="5180E07B" w14:textId="393EDB40" w:rsidR="00B12F75" w:rsidRDefault="00B12F75" w:rsidP="000E1FC0">
      <w:pPr>
        <w:pStyle w:val="NormalWeb"/>
        <w:spacing w:line="360" w:lineRule="auto"/>
        <w:rPr>
          <w:rFonts w:asciiTheme="majorBidi" w:hAnsiTheme="majorBidi" w:cstheme="majorBidi"/>
          <w:color w:val="00B050"/>
        </w:rPr>
      </w:pPr>
    </w:p>
    <w:p w14:paraId="3B6E0662" w14:textId="2B648515" w:rsidR="00B12F75" w:rsidRDefault="00B12F75" w:rsidP="000E1FC0">
      <w:pPr>
        <w:pStyle w:val="NormalWeb"/>
        <w:spacing w:line="360" w:lineRule="auto"/>
        <w:rPr>
          <w:rFonts w:asciiTheme="majorBidi" w:hAnsiTheme="majorBidi" w:cstheme="majorBidi"/>
          <w:color w:val="00B050"/>
        </w:rPr>
      </w:pPr>
    </w:p>
    <w:p w14:paraId="4A524D78" w14:textId="07A205D6" w:rsidR="00B12F75" w:rsidRDefault="00B12F75" w:rsidP="000E1FC0">
      <w:pPr>
        <w:pStyle w:val="NormalWeb"/>
        <w:spacing w:line="360" w:lineRule="auto"/>
        <w:rPr>
          <w:rFonts w:asciiTheme="majorBidi" w:hAnsiTheme="majorBidi" w:cstheme="majorBidi"/>
          <w:color w:val="00B050"/>
        </w:rPr>
      </w:pPr>
    </w:p>
    <w:p w14:paraId="6DC6A1E7" w14:textId="13188A25" w:rsidR="00B12F75" w:rsidRDefault="00B12F75" w:rsidP="000E1FC0">
      <w:pPr>
        <w:pStyle w:val="NormalWeb"/>
        <w:spacing w:line="360" w:lineRule="auto"/>
        <w:rPr>
          <w:rFonts w:asciiTheme="majorBidi" w:hAnsiTheme="majorBidi" w:cstheme="majorBidi"/>
          <w:color w:val="00B050"/>
        </w:rPr>
      </w:pPr>
    </w:p>
    <w:p w14:paraId="2F786BA3" w14:textId="4B01819E" w:rsidR="00B12F75" w:rsidRDefault="00B12F75" w:rsidP="000E1FC0">
      <w:pPr>
        <w:pStyle w:val="NormalWeb"/>
        <w:spacing w:line="360" w:lineRule="auto"/>
        <w:rPr>
          <w:rFonts w:asciiTheme="majorBidi" w:hAnsiTheme="majorBidi" w:cstheme="majorBidi"/>
          <w:color w:val="00B050"/>
        </w:rPr>
      </w:pPr>
    </w:p>
    <w:p w14:paraId="13D677B9" w14:textId="0B754D84" w:rsidR="00B12F75" w:rsidRDefault="00B12F75" w:rsidP="000E1FC0">
      <w:pPr>
        <w:pStyle w:val="NormalWeb"/>
        <w:spacing w:line="360" w:lineRule="auto"/>
        <w:rPr>
          <w:rFonts w:asciiTheme="majorBidi" w:hAnsiTheme="majorBidi" w:cstheme="majorBidi"/>
          <w:color w:val="00B050"/>
        </w:rPr>
      </w:pPr>
    </w:p>
    <w:p w14:paraId="2E2B6B70" w14:textId="42E0D96B" w:rsidR="00B12F75" w:rsidRDefault="00B12F75" w:rsidP="000E1FC0">
      <w:pPr>
        <w:pStyle w:val="NormalWeb"/>
        <w:spacing w:line="360" w:lineRule="auto"/>
        <w:rPr>
          <w:rFonts w:asciiTheme="majorBidi" w:hAnsiTheme="majorBidi" w:cstheme="majorBidi"/>
          <w:color w:val="00B050"/>
        </w:rPr>
      </w:pPr>
    </w:p>
    <w:p w14:paraId="4701AA39" w14:textId="32159DA8" w:rsidR="00B12F75" w:rsidRDefault="00B12F75" w:rsidP="000E1FC0">
      <w:pPr>
        <w:pStyle w:val="NormalWeb"/>
        <w:spacing w:line="360" w:lineRule="auto"/>
        <w:rPr>
          <w:rFonts w:asciiTheme="majorBidi" w:hAnsiTheme="majorBidi" w:cstheme="majorBidi"/>
          <w:color w:val="00B050"/>
        </w:rPr>
      </w:pPr>
    </w:p>
    <w:p w14:paraId="024E15DE" w14:textId="6EBFEA2B" w:rsidR="00B12F75" w:rsidRDefault="00B12F75" w:rsidP="000E1FC0">
      <w:pPr>
        <w:pStyle w:val="NormalWeb"/>
        <w:spacing w:line="360" w:lineRule="auto"/>
        <w:rPr>
          <w:rFonts w:asciiTheme="majorBidi" w:hAnsiTheme="majorBidi" w:cstheme="majorBidi"/>
          <w:color w:val="00B050"/>
        </w:rPr>
      </w:pPr>
    </w:p>
    <w:p w14:paraId="538766A3" w14:textId="4F079CED" w:rsidR="00B12F75" w:rsidRDefault="00B12F75" w:rsidP="000E1FC0">
      <w:pPr>
        <w:pStyle w:val="NormalWeb"/>
        <w:spacing w:line="360" w:lineRule="auto"/>
        <w:rPr>
          <w:rFonts w:asciiTheme="majorBidi" w:hAnsiTheme="majorBidi" w:cstheme="majorBidi"/>
          <w:color w:val="00B050"/>
        </w:rPr>
      </w:pPr>
    </w:p>
    <w:p w14:paraId="721C0237" w14:textId="159B8847" w:rsidR="00B12F75" w:rsidRDefault="00B12F75" w:rsidP="000E1FC0">
      <w:pPr>
        <w:pStyle w:val="NormalWeb"/>
        <w:spacing w:line="360" w:lineRule="auto"/>
        <w:rPr>
          <w:rFonts w:asciiTheme="majorBidi" w:hAnsiTheme="majorBidi" w:cstheme="majorBidi"/>
          <w:color w:val="00B050"/>
        </w:rPr>
      </w:pPr>
    </w:p>
    <w:p w14:paraId="0AC7BE86" w14:textId="5A65BDEB" w:rsidR="00B12F75" w:rsidRDefault="00B12F75" w:rsidP="000E1FC0">
      <w:pPr>
        <w:pStyle w:val="NormalWeb"/>
        <w:spacing w:line="360" w:lineRule="auto"/>
        <w:rPr>
          <w:rFonts w:asciiTheme="majorBidi" w:hAnsiTheme="majorBidi" w:cstheme="majorBidi"/>
          <w:color w:val="00B050"/>
        </w:rPr>
      </w:pPr>
    </w:p>
    <w:p w14:paraId="0C33CF58" w14:textId="213C67D6" w:rsidR="00B12F75" w:rsidRDefault="00B12F75" w:rsidP="000E1FC0">
      <w:pPr>
        <w:pStyle w:val="NormalWeb"/>
        <w:spacing w:line="360" w:lineRule="auto"/>
        <w:rPr>
          <w:rFonts w:asciiTheme="majorBidi" w:hAnsiTheme="majorBidi" w:cstheme="majorBidi"/>
          <w:color w:val="00B050"/>
        </w:rPr>
      </w:pPr>
    </w:p>
    <w:p w14:paraId="25684CD8" w14:textId="40E99A27" w:rsidR="00B12F75" w:rsidRDefault="00B12F75" w:rsidP="000E1FC0">
      <w:pPr>
        <w:pStyle w:val="NormalWeb"/>
        <w:spacing w:line="360" w:lineRule="auto"/>
        <w:rPr>
          <w:rFonts w:asciiTheme="majorBidi" w:hAnsiTheme="majorBidi" w:cstheme="majorBidi"/>
          <w:color w:val="00B050"/>
        </w:rPr>
      </w:pPr>
    </w:p>
    <w:p w14:paraId="5CCB935F" w14:textId="77777777" w:rsidR="00B12F75" w:rsidRPr="00D14935" w:rsidRDefault="00B12F75" w:rsidP="000E1FC0">
      <w:pPr>
        <w:pStyle w:val="NormalWeb"/>
        <w:spacing w:line="360" w:lineRule="auto"/>
        <w:rPr>
          <w:rFonts w:asciiTheme="majorBidi" w:hAnsiTheme="majorBidi" w:cstheme="majorBidi"/>
          <w:color w:val="00B050"/>
        </w:rPr>
      </w:pPr>
    </w:p>
    <w:p w14:paraId="60EECCE0" w14:textId="03B1D75C" w:rsidR="005E3F83" w:rsidRDefault="005E3F83" w:rsidP="005E3F83">
      <w:pPr>
        <w:pStyle w:val="Heading1"/>
        <w:numPr>
          <w:ilvl w:val="0"/>
          <w:numId w:val="0"/>
        </w:numPr>
        <w:ind w:left="360"/>
      </w:pPr>
      <w:bookmarkStart w:id="181" w:name="_Toc83751501"/>
      <w:r>
        <w:lastRenderedPageBreak/>
        <w:t>Bibliography</w:t>
      </w:r>
      <w:bookmarkEnd w:id="181"/>
    </w:p>
    <w:p w14:paraId="76DE6663" w14:textId="77777777" w:rsidR="005E3F83" w:rsidRDefault="005E3F83" w:rsidP="005E3F83"/>
    <w:p w14:paraId="3ABF72B8" w14:textId="77777777" w:rsidR="005E3F83" w:rsidRDefault="005E3F83">
      <w:pPr>
        <w:autoSpaceDE w:val="0"/>
        <w:autoSpaceDN w:val="0"/>
        <w:ind w:hanging="480"/>
        <w:divId w:val="86122587"/>
      </w:pPr>
    </w:p>
    <w:sdt>
      <w:sdtPr>
        <w:tag w:val="MENDELEY_BIBLIOGRAPHY"/>
        <w:id w:val="-1902817942"/>
        <w:placeholder>
          <w:docPart w:val="DefaultPlaceholder_-1854013440"/>
        </w:placeholder>
      </w:sdtPr>
      <w:sdtContent>
        <w:p w14:paraId="24EB2677" w14:textId="6F235D4E" w:rsidR="005E3F83" w:rsidRDefault="005E3F83" w:rsidP="005E3F83">
          <w:pPr>
            <w:pStyle w:val="mythesis"/>
            <w:divId w:val="86122587"/>
          </w:pPr>
          <w:r>
            <w:t xml:space="preserve">A. H. Fitter and B. Moyersoen. (1996). Evolutionary trends in root-microbe symbioses. </w:t>
          </w:r>
          <w:r>
            <w:rPr>
              <w:i/>
            </w:rPr>
            <w:t>Philosophical Transactions of the Royal Society of London. Series B: Biological Sciences</w:t>
          </w:r>
          <w:r>
            <w:t xml:space="preserve">, </w:t>
          </w:r>
          <w:r>
            <w:rPr>
              <w:i/>
            </w:rPr>
            <w:t>351</w:t>
          </w:r>
          <w:r>
            <w:t>(1345). https://doi.org/10.1098/rstb.1996.0120</w:t>
          </w:r>
        </w:p>
        <w:p w14:paraId="6C2F6491" w14:textId="77777777" w:rsidR="005E3F83" w:rsidRDefault="005E3F83" w:rsidP="005E3F83">
          <w:pPr>
            <w:pStyle w:val="mythesis"/>
            <w:divId w:val="1509951866"/>
          </w:pPr>
          <w:r>
            <w:t xml:space="preserve">Abbasi, B. H., Stiles, A. R., Saxena, P. K., &amp; Liu, C.-Z. (2012). Gibberellic Acid Increases Secondary Metabolite Production in Echinacea purpurea Hairy Roots. </w:t>
          </w:r>
          <w:r>
            <w:rPr>
              <w:i/>
            </w:rPr>
            <w:t>Applied Biochemistry and Biotechnology</w:t>
          </w:r>
          <w:r>
            <w:t xml:space="preserve">, </w:t>
          </w:r>
          <w:r>
            <w:rPr>
              <w:i/>
            </w:rPr>
            <w:t>168</w:t>
          </w:r>
          <w:r>
            <w:t>(7). https://doi.org/10.1007/s12010-012-9917-z</w:t>
          </w:r>
        </w:p>
        <w:p w14:paraId="7131F77F" w14:textId="77777777" w:rsidR="005E3F83" w:rsidRDefault="005E3F83" w:rsidP="005E3F83">
          <w:pPr>
            <w:pStyle w:val="mythesis"/>
            <w:divId w:val="205215345"/>
          </w:pPr>
          <w:r>
            <w:t xml:space="preserve">Abdel-Fattah, G. M., &amp; Asrar, A. W. A. (2012). Arbuscular mycorrhizal fungal application to improve growth and tolerance of wheat (Triticum aestivum L.) plants grown in saline soil. </w:t>
          </w:r>
          <w:r>
            <w:rPr>
              <w:i/>
            </w:rPr>
            <w:t>Acta Physiologiae Plantarum</w:t>
          </w:r>
          <w:r>
            <w:t xml:space="preserve">, </w:t>
          </w:r>
          <w:r>
            <w:rPr>
              <w:i/>
            </w:rPr>
            <w:t>34</w:t>
          </w:r>
          <w:r>
            <w:t>(1), 267–277. https://doi.org/10.1007/s11738-011-0825-6</w:t>
          </w:r>
        </w:p>
        <w:p w14:paraId="24F0C7D6" w14:textId="77777777" w:rsidR="005E3F83" w:rsidRDefault="005E3F83" w:rsidP="005E3F83">
          <w:pPr>
            <w:pStyle w:val="mythesis"/>
            <w:divId w:val="1016689273"/>
          </w:pPr>
          <w:r>
            <w:t xml:space="preserve">Abdel-Mawgood, A. L., A. A., &amp; and Abdellatif, T. (2005). Genetic diversity in an isolated population of Capparis dicidua. . </w:t>
          </w:r>
          <w:r>
            <w:rPr>
              <w:i/>
            </w:rPr>
            <w:t>Proceeding of the Workshop “The Role of Biotechnology for the Characterization and Conservation of Crop, Forestry, Animal and Fishery Genetic Resources</w:t>
          </w:r>
          <w:r>
            <w:t>, 82–83.</w:t>
          </w:r>
        </w:p>
        <w:p w14:paraId="442F2A98" w14:textId="77777777" w:rsidR="005E3F83" w:rsidRDefault="005E3F83" w:rsidP="005E3F83">
          <w:pPr>
            <w:pStyle w:val="mythesis"/>
            <w:divId w:val="944968050"/>
          </w:pPr>
          <w:r>
            <w:t xml:space="preserve">Adie, B., Chico, J. M., Rubio-Somoza, I., &amp; Solano, R. (2007). Modulation of Plant Defenses by Ethylene. </w:t>
          </w:r>
          <w:r>
            <w:rPr>
              <w:i/>
            </w:rPr>
            <w:t>Journal of Plant Growth Regulation</w:t>
          </w:r>
          <w:r>
            <w:t xml:space="preserve">, </w:t>
          </w:r>
          <w:r>
            <w:rPr>
              <w:i/>
            </w:rPr>
            <w:t>26</w:t>
          </w:r>
          <w:r>
            <w:t>(2). https://doi.org/10.1007/s00344-007-0012-6</w:t>
          </w:r>
        </w:p>
        <w:p w14:paraId="6081D87E" w14:textId="77777777" w:rsidR="005E3F83" w:rsidRDefault="005E3F83" w:rsidP="005E3F83">
          <w:pPr>
            <w:pStyle w:val="mythesis"/>
            <w:divId w:val="1613201328"/>
          </w:pPr>
          <w:r>
            <w:t xml:space="preserve">Ahuja, I., Kissen, R., &amp; Bones, A. M. (2012). Phytoalexins in defense against pathogens. </w:t>
          </w:r>
          <w:r>
            <w:rPr>
              <w:i/>
            </w:rPr>
            <w:t>Trends in Plant Science</w:t>
          </w:r>
          <w:r>
            <w:t xml:space="preserve">, </w:t>
          </w:r>
          <w:r>
            <w:rPr>
              <w:i/>
            </w:rPr>
            <w:t>17</w:t>
          </w:r>
          <w:r>
            <w:t>(2). https://doi.org/10.1016/j.tplants.2011.11.002</w:t>
          </w:r>
        </w:p>
        <w:p w14:paraId="705B3A5A" w14:textId="77777777" w:rsidR="005E3F83" w:rsidRDefault="005E3F83" w:rsidP="005E3F83">
          <w:pPr>
            <w:pStyle w:val="mythesis"/>
            <w:divId w:val="987250352"/>
          </w:pPr>
          <w:r>
            <w:t xml:space="preserve">Akiyama, K., Matsuoka, H., &amp; Hayashi, H. (2002). Isolation and Identification of a Phosphate Deficiency-Induced </w:t>
          </w:r>
          <w:r>
            <w:rPr>
              <w:i/>
            </w:rPr>
            <w:t>C</w:t>
          </w:r>
          <w:r>
            <w:t xml:space="preserve"> -Glycosylflavonoid That Stimulates Arbuscular Mycorrhiza Formation in Melon Roots. </w:t>
          </w:r>
          <w:r>
            <w:rPr>
              <w:i/>
            </w:rPr>
            <w:t>Molecular Plant-Microbe Interactions®</w:t>
          </w:r>
          <w:r>
            <w:t xml:space="preserve">, </w:t>
          </w:r>
          <w:r>
            <w:rPr>
              <w:i/>
            </w:rPr>
            <w:t>15</w:t>
          </w:r>
          <w:r>
            <w:t>(4). https://doi.org/10.1094/MPMI.2002.15.4.334</w:t>
          </w:r>
        </w:p>
        <w:p w14:paraId="76DA9411" w14:textId="77777777" w:rsidR="005E3F83" w:rsidRDefault="005E3F83" w:rsidP="005E3F83">
          <w:pPr>
            <w:pStyle w:val="mythesis"/>
            <w:divId w:val="2008482921"/>
          </w:pPr>
          <w:r>
            <w:lastRenderedPageBreak/>
            <w:t xml:space="preserve">Akiyama, K., Matsuzaki, K., &amp; Hayashi, H. (2005). Plant sesquiterpenes induce hyphal branching in arbuscular mycorrhizal fungi. </w:t>
          </w:r>
          <w:r>
            <w:rPr>
              <w:i/>
            </w:rPr>
            <w:t>Nature</w:t>
          </w:r>
          <w:r>
            <w:t xml:space="preserve">, </w:t>
          </w:r>
          <w:r>
            <w:rPr>
              <w:i/>
            </w:rPr>
            <w:t>435</w:t>
          </w:r>
          <w:r>
            <w:t>(7043). https://doi.org/10.1038/nature03608</w:t>
          </w:r>
        </w:p>
        <w:p w14:paraId="3A6F364E" w14:textId="77777777" w:rsidR="005E3F83" w:rsidRDefault="005E3F83" w:rsidP="005E3F83">
          <w:pPr>
            <w:pStyle w:val="mythesis"/>
            <w:divId w:val="802581804"/>
          </w:pPr>
          <w:r>
            <w:t xml:space="preserve">Akula, R., &amp; Ravishankar, G. A. (2011). Influence of abiotic stress signals on secondary metabolites in plants. </w:t>
          </w:r>
          <w:r>
            <w:rPr>
              <w:i/>
            </w:rPr>
            <w:t>Plant Signaling &amp; Behavior</w:t>
          </w:r>
          <w:r>
            <w:t xml:space="preserve">, </w:t>
          </w:r>
          <w:r>
            <w:rPr>
              <w:i/>
            </w:rPr>
            <w:t>6</w:t>
          </w:r>
          <w:r>
            <w:t>(11). https://doi.org/10.4161/psb.6.11.17613</w:t>
          </w:r>
        </w:p>
        <w:p w14:paraId="578317FD" w14:textId="77777777" w:rsidR="005E3F83" w:rsidRDefault="005E3F83" w:rsidP="005E3F83">
          <w:pPr>
            <w:pStyle w:val="mythesis"/>
            <w:divId w:val="1399472647"/>
          </w:pPr>
          <w:r>
            <w:t xml:space="preserve">Al-Garni, S. M., &amp; Daft, M. J. (1990). Occurrence and Effectiveness of Vesicular Arbuscular Mycorrhizas in Agricultural Soils from Saudi Arabia. </w:t>
          </w:r>
          <w:r>
            <w:rPr>
              <w:i/>
            </w:rPr>
            <w:t>Biological Agriculture &amp; Horticulture</w:t>
          </w:r>
          <w:r>
            <w:t xml:space="preserve">, </w:t>
          </w:r>
          <w:r>
            <w:rPr>
              <w:i/>
            </w:rPr>
            <w:t>7</w:t>
          </w:r>
          <w:r>
            <w:t>(1), 69–80. https://doi.org/10.1080/01448765.1990.11978496</w:t>
          </w:r>
        </w:p>
        <w:p w14:paraId="5B3C33F4" w14:textId="77777777" w:rsidR="005E3F83" w:rsidRDefault="005E3F83" w:rsidP="005E3F83">
          <w:pPr>
            <w:pStyle w:val="mythesis"/>
            <w:divId w:val="809519712"/>
          </w:pPr>
          <w:r>
            <w:t xml:space="preserve">Allier, A., Teyssèdre, S., Lehermeier, C., Moreau, L., &amp; Charcosset, A. (2020). Optimized breeding strategies to harness genetic resources with different performance levels. </w:t>
          </w:r>
          <w:r>
            <w:rPr>
              <w:i/>
            </w:rPr>
            <w:t>BMC Genomics</w:t>
          </w:r>
          <w:r>
            <w:t xml:space="preserve">, </w:t>
          </w:r>
          <w:r>
            <w:rPr>
              <w:i/>
            </w:rPr>
            <w:t>21</w:t>
          </w:r>
          <w:r>
            <w:t>(1). https://doi.org/10.1186/s12864-020-6756-0</w:t>
          </w:r>
        </w:p>
        <w:p w14:paraId="2FA1F8D3" w14:textId="77777777" w:rsidR="005E3F83" w:rsidRDefault="005E3F83" w:rsidP="005E3F83">
          <w:pPr>
            <w:pStyle w:val="mythesis"/>
            <w:divId w:val="1931352833"/>
          </w:pPr>
          <w:r>
            <w:t xml:space="preserve">Almagro, L., Gutierrez, J., Pedreño, M. A., &amp; Sottomayor, M. (2014). Synergistic and additive influence of cyclodextrins and methyl jasmonate on the expression of the terpenoid indole alkaloid pathway genes and metabolites in Catharanthus roseus cell cultures. </w:t>
          </w:r>
          <w:r>
            <w:rPr>
              <w:i/>
            </w:rPr>
            <w:t>Plant Cell, Tissue and Organ Culture (PCTOC)</w:t>
          </w:r>
          <w:r>
            <w:t xml:space="preserve">, </w:t>
          </w:r>
          <w:r>
            <w:rPr>
              <w:i/>
            </w:rPr>
            <w:t>119</w:t>
          </w:r>
          <w:r>
            <w:t>(3). https://doi.org/10.1007/s11240-014-0554-9</w:t>
          </w:r>
        </w:p>
        <w:p w14:paraId="73D380AE" w14:textId="77777777" w:rsidR="005E3F83" w:rsidRDefault="005E3F83" w:rsidP="005E3F83">
          <w:pPr>
            <w:pStyle w:val="mythesis"/>
            <w:divId w:val="2140293729"/>
          </w:pPr>
          <w:r>
            <w:t xml:space="preserve">Aloui, A., Recorbet, G., Robert, F., Schoefs, B., Bertrand, M., Henry, C., Gianinazzi-Pearson, V., Dumas-Gaudot, E., &amp; Aschi-Smiti, S. (2011). Arbuscular mycorrhizal symbiosis elicits shoot proteome changes that are modified during cadmium stress alleviation in Medicago truncatula. </w:t>
          </w:r>
          <w:r>
            <w:rPr>
              <w:i/>
            </w:rPr>
            <w:t>BMC Plant Biology</w:t>
          </w:r>
          <w:r>
            <w:t xml:space="preserve">, </w:t>
          </w:r>
          <w:r>
            <w:rPr>
              <w:i/>
            </w:rPr>
            <w:t>11</w:t>
          </w:r>
          <w:r>
            <w:t>(1). https://doi.org/10.1186/1471-2229-11-75</w:t>
          </w:r>
        </w:p>
        <w:p w14:paraId="13FC7EBC" w14:textId="77777777" w:rsidR="005E3F83" w:rsidRDefault="005E3F83" w:rsidP="005E3F83">
          <w:pPr>
            <w:pStyle w:val="mythesis"/>
            <w:divId w:val="206571215"/>
          </w:pPr>
          <w:r>
            <w:t xml:space="preserve">An, G. H., Kobayashi, S., Enoki, H., Sonobe, K., Muraki, M., Karasawa, T., &amp; Ezawa, T. (2010). How does arbuscular mycorrhizal colonization vary with host plant genotype? An example based on maize (Zea mays) germplasms. </w:t>
          </w:r>
          <w:r>
            <w:rPr>
              <w:i/>
            </w:rPr>
            <w:t>Plant and Soil</w:t>
          </w:r>
          <w:r>
            <w:t xml:space="preserve">, </w:t>
          </w:r>
          <w:r>
            <w:rPr>
              <w:i/>
            </w:rPr>
            <w:t>327</w:t>
          </w:r>
          <w:r>
            <w:t>(1), 441–453. https://doi.org/10.1007/s11104-009-0073-3</w:t>
          </w:r>
        </w:p>
        <w:p w14:paraId="5896BEF3" w14:textId="77777777" w:rsidR="005E3F83" w:rsidRDefault="005E3F83" w:rsidP="005E3F83">
          <w:pPr>
            <w:pStyle w:val="mythesis"/>
            <w:divId w:val="1175657264"/>
          </w:pPr>
          <w:r>
            <w:lastRenderedPageBreak/>
            <w:t xml:space="preserve">An, G.-H., Kobayashi, S., Enoki, H., Sonobe, K., Muraki, M., Karasawa, T., &amp; Ezawa, T. (2010). How does arbuscular mycorrhizal colonization vary with host plant genotype? An example based on maize (Zea mays) germplasms. </w:t>
          </w:r>
          <w:r>
            <w:rPr>
              <w:i/>
            </w:rPr>
            <w:t>Plant and Soil</w:t>
          </w:r>
          <w:r>
            <w:t xml:space="preserve">, </w:t>
          </w:r>
          <w:r>
            <w:rPr>
              <w:i/>
            </w:rPr>
            <w:t>327</w:t>
          </w:r>
          <w:r>
            <w:t>(1–2). https://doi.org/10.1007/s11104-009-0073-3</w:t>
          </w:r>
        </w:p>
        <w:p w14:paraId="2A284326" w14:textId="77777777" w:rsidR="005E3F83" w:rsidRDefault="005E3F83" w:rsidP="005E3F83">
          <w:pPr>
            <w:pStyle w:val="mythesis"/>
            <w:divId w:val="329912616"/>
          </w:pPr>
          <w:r>
            <w:t xml:space="preserve">Andrew Smith, F., &amp; Smith, S. E. (2011). What is the significance of the arbuscular mycorrhizal colonisation of many economically important crop plants? </w:t>
          </w:r>
          <w:r>
            <w:rPr>
              <w:i/>
            </w:rPr>
            <w:t>Plant and Soil</w:t>
          </w:r>
          <w:r>
            <w:t xml:space="preserve">, </w:t>
          </w:r>
          <w:r>
            <w:rPr>
              <w:i/>
            </w:rPr>
            <w:t>348</w:t>
          </w:r>
          <w:r>
            <w:t>(1–2), 63–79. https://doi.org/10.1007/s11104-011-0865-0</w:t>
          </w:r>
        </w:p>
        <w:p w14:paraId="65A4DE98" w14:textId="77777777" w:rsidR="005E3F83" w:rsidRDefault="005E3F83" w:rsidP="005E3F83">
          <w:pPr>
            <w:pStyle w:val="mythesis"/>
            <w:divId w:val="1068961847"/>
          </w:pPr>
          <w:r>
            <w:t xml:space="preserve">Anjum, S. A., Tanveer, M., Ashraf, U., Hussain, S., Shahzad, B., Khan, I., &amp; Wang, L. (2016). Effect of progressive drought stress on growth, leaf gas exchange, and antioxidant production in two maize cultivars. </w:t>
          </w:r>
          <w:r>
            <w:rPr>
              <w:i/>
            </w:rPr>
            <w:t>Environmental Science and Pollution Research</w:t>
          </w:r>
          <w:r>
            <w:t xml:space="preserve">, </w:t>
          </w:r>
          <w:r>
            <w:rPr>
              <w:i/>
            </w:rPr>
            <w:t>23</w:t>
          </w:r>
          <w:r>
            <w:t>(17). https://doi.org/10.1007/s11356-016-6894-8</w:t>
          </w:r>
        </w:p>
        <w:p w14:paraId="00FC6C9A" w14:textId="77777777" w:rsidR="005E3F83" w:rsidRDefault="005E3F83" w:rsidP="005E3F83">
          <w:pPr>
            <w:pStyle w:val="mythesis"/>
            <w:divId w:val="667287574"/>
          </w:pPr>
          <w:r>
            <w:t xml:space="preserve">Araim, G., Saleem, A., Arnason, J. T., &amp; Charest, C. (2009). Root colonization by an arbuscular mycorrhizal (AM) fungus increases growth and secondary metabolism of purple coneflower, Echinacea purpurea (L.) Moench. </w:t>
          </w:r>
          <w:r>
            <w:rPr>
              <w:i/>
            </w:rPr>
            <w:t>Journal of Agricultural and Food Chemistry</w:t>
          </w:r>
          <w:r>
            <w:t xml:space="preserve">, </w:t>
          </w:r>
          <w:r>
            <w:rPr>
              <w:i/>
            </w:rPr>
            <w:t>57</w:t>
          </w:r>
          <w:r>
            <w:t>(6), 2255–2258. https://doi.org/10.1021/jf803173x</w:t>
          </w:r>
        </w:p>
        <w:p w14:paraId="6EDEFB54" w14:textId="77777777" w:rsidR="005E3F83" w:rsidRDefault="005E3F83" w:rsidP="005E3F83">
          <w:pPr>
            <w:pStyle w:val="mythesis"/>
            <w:divId w:val="1245265912"/>
          </w:pPr>
          <w:r>
            <w:t xml:space="preserve">Aroca, R., Porcel, R., &amp; Ruiz‐Lozano, J. M. (2007). How does arbuscular mycorrhizal symbiosis regulate root hydraulic properties and plasma membrane aquaporins in </w:t>
          </w:r>
          <w:r>
            <w:rPr>
              <w:i/>
            </w:rPr>
            <w:t>Phaseolus vulgaris</w:t>
          </w:r>
          <w:r>
            <w:t xml:space="preserve"> under drought, cold or salinity stresses? </w:t>
          </w:r>
          <w:r>
            <w:rPr>
              <w:i/>
            </w:rPr>
            <w:t>New Phytologist</w:t>
          </w:r>
          <w:r>
            <w:t xml:space="preserve">, </w:t>
          </w:r>
          <w:r>
            <w:rPr>
              <w:i/>
            </w:rPr>
            <w:t>173</w:t>
          </w:r>
          <w:r>
            <w:t>(4). https://doi.org/10.1111/j.1469-8137.2006.01961.x</w:t>
          </w:r>
        </w:p>
        <w:p w14:paraId="7B5CA5DF" w14:textId="77777777" w:rsidR="005E3F83" w:rsidRDefault="005E3F83" w:rsidP="005E3F83">
          <w:pPr>
            <w:pStyle w:val="mythesis"/>
            <w:divId w:val="498008487"/>
          </w:pPr>
          <w:r>
            <w:t xml:space="preserve">Asai, T. (1944).   Über die Mykorrhizenbildung der leguminosen Pflanzen. . </w:t>
          </w:r>
          <w:r>
            <w:rPr>
              <w:i/>
            </w:rPr>
            <w:t>Japanese Journal of Botany</w:t>
          </w:r>
          <w:r>
            <w:t xml:space="preserve">, </w:t>
          </w:r>
          <w:r>
            <w:rPr>
              <w:i/>
            </w:rPr>
            <w:t>13</w:t>
          </w:r>
          <w:r>
            <w:t>, 463–485.</w:t>
          </w:r>
        </w:p>
        <w:p w14:paraId="2C545805" w14:textId="77777777" w:rsidR="005E3F83" w:rsidRDefault="005E3F83" w:rsidP="005E3F83">
          <w:pPr>
            <w:pStyle w:val="mythesis"/>
            <w:divId w:val="1776753197"/>
          </w:pPr>
          <w:r>
            <w:t xml:space="preserve">Augé, R. M. (2001). Water relations, drought and vesicular-arbuscular mycorrhizal symbiosis. </w:t>
          </w:r>
          <w:r>
            <w:rPr>
              <w:i/>
            </w:rPr>
            <w:t>Mycorrhiza</w:t>
          </w:r>
          <w:r>
            <w:t xml:space="preserve">, </w:t>
          </w:r>
          <w:r>
            <w:rPr>
              <w:i/>
            </w:rPr>
            <w:t>11</w:t>
          </w:r>
          <w:r>
            <w:t>(1). https://doi.org/10.1007/s005720100097</w:t>
          </w:r>
        </w:p>
        <w:p w14:paraId="3AC182F8" w14:textId="77777777" w:rsidR="005E3F83" w:rsidRDefault="005E3F83" w:rsidP="005E3F83">
          <w:pPr>
            <w:pStyle w:val="mythesis"/>
            <w:divId w:val="1093206641"/>
          </w:pPr>
          <w:r>
            <w:lastRenderedPageBreak/>
            <w:t xml:space="preserve">Austin, M. B., &amp; Noel, J. P. (2003). The chalcone synthase superfamily of type III polyketide synthases. </w:t>
          </w:r>
          <w:r>
            <w:rPr>
              <w:i/>
            </w:rPr>
            <w:t>Natural Product Reports</w:t>
          </w:r>
          <w:r>
            <w:t xml:space="preserve">, </w:t>
          </w:r>
          <w:r>
            <w:rPr>
              <w:i/>
            </w:rPr>
            <w:t>20</w:t>
          </w:r>
          <w:r>
            <w:t>(1). https://doi.org/10.1039/b100917f</w:t>
          </w:r>
        </w:p>
        <w:p w14:paraId="2CCA450D" w14:textId="77777777" w:rsidR="005E3F83" w:rsidRDefault="005E3F83" w:rsidP="005E3F83">
          <w:pPr>
            <w:pStyle w:val="mythesis"/>
            <w:divId w:val="746534411"/>
          </w:pPr>
          <w:r>
            <w:t xml:space="preserve">Ausubel, F. M. (2005a). Are innate immune signaling pathways in plants and animals conserved? </w:t>
          </w:r>
          <w:r>
            <w:rPr>
              <w:i/>
            </w:rPr>
            <w:t>Nature Immunology</w:t>
          </w:r>
          <w:r>
            <w:t xml:space="preserve">, </w:t>
          </w:r>
          <w:r>
            <w:rPr>
              <w:i/>
            </w:rPr>
            <w:t>6</w:t>
          </w:r>
          <w:r>
            <w:t>(10). https://doi.org/10.1038/ni1253</w:t>
          </w:r>
        </w:p>
        <w:p w14:paraId="66C7DF35" w14:textId="77777777" w:rsidR="005E3F83" w:rsidRDefault="005E3F83" w:rsidP="005E3F83">
          <w:pPr>
            <w:pStyle w:val="mythesis"/>
            <w:divId w:val="1690640538"/>
          </w:pPr>
          <w:r>
            <w:t xml:space="preserve">Ausubel, F. M. (2005b). Are innate immune signaling pathways in plants and animals conserved? </w:t>
          </w:r>
          <w:r>
            <w:rPr>
              <w:i/>
            </w:rPr>
            <w:t>Nature Immunology</w:t>
          </w:r>
          <w:r>
            <w:t xml:space="preserve">, </w:t>
          </w:r>
          <w:r>
            <w:rPr>
              <w:i/>
            </w:rPr>
            <w:t>6</w:t>
          </w:r>
          <w:r>
            <w:t>(10). https://doi.org/10.1038/ni1253</w:t>
          </w:r>
        </w:p>
        <w:p w14:paraId="1CCAEC24" w14:textId="77777777" w:rsidR="005E3F83" w:rsidRDefault="005E3F83" w:rsidP="005E3F83">
          <w:pPr>
            <w:pStyle w:val="mythesis"/>
            <w:divId w:val="1197154575"/>
          </w:pPr>
          <w:r>
            <w:t xml:space="preserve">Azcárate-Peril, M. A., &amp; Raya, R. R. (2001). Methods for Plasmid and Genomic DNA Isolation from Lactobacilli. In </w:t>
          </w:r>
          <w:r>
            <w:rPr>
              <w:i/>
            </w:rPr>
            <w:t>Food Microbiology Protocols</w:t>
          </w:r>
          <w:r>
            <w:t>. Humana Press. https://doi.org/10.1385/1-59259-029-2:135</w:t>
          </w:r>
        </w:p>
        <w:p w14:paraId="2FD1EC88" w14:textId="77777777" w:rsidR="005E3F83" w:rsidRDefault="005E3F83" w:rsidP="005E3F83">
          <w:pPr>
            <w:pStyle w:val="mythesis"/>
            <w:divId w:val="1520854942"/>
          </w:pPr>
          <w:r>
            <w:t xml:space="preserve">AzcÓn, R., Gomez-ortega, M., &amp; Barea, J. M. (1982). Comparative effects of foliar or soil-applied nitrate on vesicular-arbuscular mycorrhizal infection maize. </w:t>
          </w:r>
          <w:r>
            <w:rPr>
              <w:i/>
            </w:rPr>
            <w:t>New Phytologist</w:t>
          </w:r>
          <w:r>
            <w:t xml:space="preserve">, </w:t>
          </w:r>
          <w:r>
            <w:rPr>
              <w:i/>
            </w:rPr>
            <w:t>92</w:t>
          </w:r>
          <w:r>
            <w:t>(4), 553–559. https://doi.org/10.1111/j.1469-8137.1982.tb03414.x</w:t>
          </w:r>
        </w:p>
        <w:p w14:paraId="236BF3E0" w14:textId="77777777" w:rsidR="005E3F83" w:rsidRDefault="005E3F83" w:rsidP="005E3F83">
          <w:pPr>
            <w:pStyle w:val="mythesis"/>
            <w:divId w:val="920679716"/>
          </w:pPr>
          <w:r>
            <w:t xml:space="preserve">Azcón-Aguilar, C., &amp; Barea, J. M. (1997). Arbuscular mycorrhizas and biological control of soil-borne plant pathogens - an overview of the mechanisms involved. </w:t>
          </w:r>
          <w:r>
            <w:rPr>
              <w:i/>
            </w:rPr>
            <w:t>Mycorrhiza</w:t>
          </w:r>
          <w:r>
            <w:t xml:space="preserve">, </w:t>
          </w:r>
          <w:r>
            <w:rPr>
              <w:i/>
            </w:rPr>
            <w:t>6</w:t>
          </w:r>
          <w:r>
            <w:t>(6). https://doi.org/10.1007/s005720050147</w:t>
          </w:r>
        </w:p>
        <w:p w14:paraId="7F77A360" w14:textId="77777777" w:rsidR="005E3F83" w:rsidRDefault="005E3F83" w:rsidP="005E3F83">
          <w:pPr>
            <w:pStyle w:val="mythesis"/>
            <w:divId w:val="14578311"/>
          </w:pPr>
          <w:r>
            <w:t xml:space="preserve">Bååth, E., &amp; Spokes, J. (1989). The effect of added nitrogen and phosphorus on mycorrhizal growth response and infection in Allium schoenoprasum . </w:t>
          </w:r>
          <w:r>
            <w:rPr>
              <w:i/>
            </w:rPr>
            <w:t>Canadian Journal of Botany</w:t>
          </w:r>
          <w:r>
            <w:t xml:space="preserve">, </w:t>
          </w:r>
          <w:r>
            <w:rPr>
              <w:i/>
            </w:rPr>
            <w:t>67</w:t>
          </w:r>
          <w:r>
            <w:t>(11), 3227–3232. https://doi.org/10.1139/b89-402</w:t>
          </w:r>
        </w:p>
        <w:p w14:paraId="2BC39343" w14:textId="77777777" w:rsidR="005E3F83" w:rsidRDefault="005E3F83" w:rsidP="005E3F83">
          <w:pPr>
            <w:pStyle w:val="mythesis"/>
            <w:divId w:val="1176772542"/>
          </w:pPr>
          <w:r>
            <w:t xml:space="preserve">Babikova, Z., Gilbert, L., Bruce, T., Dewhirst, S. Y., Pickett, J. A., &amp; Johnson, D. (2014). Arbuscular mycorrhizal fungi and aphids interact by changing host plant quality and volatile emission. </w:t>
          </w:r>
          <w:r>
            <w:rPr>
              <w:i/>
            </w:rPr>
            <w:t>Functional Ecology</w:t>
          </w:r>
          <w:r>
            <w:t xml:space="preserve">, </w:t>
          </w:r>
          <w:r>
            <w:rPr>
              <w:i/>
            </w:rPr>
            <w:t>28</w:t>
          </w:r>
          <w:r>
            <w:t>(2). https://doi.org/10.1111/1365-2435.12181</w:t>
          </w:r>
        </w:p>
        <w:p w14:paraId="08F52EB6" w14:textId="77777777" w:rsidR="005E3F83" w:rsidRDefault="005E3F83" w:rsidP="005E3F83">
          <w:pPr>
            <w:pStyle w:val="mythesis"/>
            <w:divId w:val="1113331011"/>
          </w:pPr>
          <w:r>
            <w:lastRenderedPageBreak/>
            <w:t xml:space="preserve">Bachman, M. S., Tamulonis, J. P., Nickell, C. D., &amp; Bent, A. F. (2001). Molecular Markers Linked to Brown Stem Rot Resistance Genes, </w:t>
          </w:r>
          <w:r>
            <w:rPr>
              <w:i/>
            </w:rPr>
            <w:t xml:space="preserve">Rbs </w:t>
          </w:r>
          <w:r>
            <w:rPr>
              <w:i/>
              <w:vertAlign w:val="subscript"/>
            </w:rPr>
            <w:t>1</w:t>
          </w:r>
          <w:r>
            <w:rPr>
              <w:i/>
            </w:rPr>
            <w:t xml:space="preserve"> </w:t>
          </w:r>
          <w:r>
            <w:t xml:space="preserve">and </w:t>
          </w:r>
          <w:r>
            <w:rPr>
              <w:i/>
            </w:rPr>
            <w:t xml:space="preserve">Rbs </w:t>
          </w:r>
          <w:r>
            <w:rPr>
              <w:i/>
              <w:vertAlign w:val="subscript"/>
            </w:rPr>
            <w:t>2</w:t>
          </w:r>
          <w:r>
            <w:rPr>
              <w:i/>
            </w:rPr>
            <w:t xml:space="preserve"> </w:t>
          </w:r>
          <w:r>
            <w:t xml:space="preserve">, in Soybean. </w:t>
          </w:r>
          <w:r>
            <w:rPr>
              <w:i/>
            </w:rPr>
            <w:t>Crop Science</w:t>
          </w:r>
          <w:r>
            <w:t xml:space="preserve">, </w:t>
          </w:r>
          <w:r>
            <w:rPr>
              <w:i/>
            </w:rPr>
            <w:t>41</w:t>
          </w:r>
          <w:r>
            <w:t>(2). https://doi.org/10.2135/cropsci2001.412527x</w:t>
          </w:r>
        </w:p>
        <w:p w14:paraId="410DA687" w14:textId="77777777" w:rsidR="005E3F83" w:rsidRDefault="005E3F83" w:rsidP="005E3F83">
          <w:pPr>
            <w:pStyle w:val="mythesis"/>
            <w:divId w:val="843713083"/>
          </w:pPr>
          <w:r>
            <w:t xml:space="preserve">Badstue, L. B., Bellon, M. R., Berthaud, J., Ramírez, A., Flores, D., &amp; Juárez, X. (2007). The Dynamics of Farmers’ Maize Seed Supply Practices in the Central Valleys of Oaxaca, Mexico. </w:t>
          </w:r>
          <w:r>
            <w:rPr>
              <w:i/>
            </w:rPr>
            <w:t>World Development</w:t>
          </w:r>
          <w:r>
            <w:t xml:space="preserve">, </w:t>
          </w:r>
          <w:r>
            <w:rPr>
              <w:i/>
            </w:rPr>
            <w:t>35</w:t>
          </w:r>
          <w:r>
            <w:t>(9), 1579–1593. https://doi.org/10.1016/j.worlddev.2006.05.023</w:t>
          </w:r>
        </w:p>
        <w:p w14:paraId="43BA5B8A" w14:textId="77777777" w:rsidR="005E3F83" w:rsidRDefault="005E3F83" w:rsidP="005E3F83">
          <w:pPr>
            <w:pStyle w:val="mythesis"/>
            <w:divId w:val="103506286"/>
          </w:pPr>
          <w:r>
            <w:t xml:space="preserve">Balzergue, C., Chabaud, M., Barker, D. G., Bécard, G., &amp; Rochange, S. F. (2013). High phosphate reduces host ability to develop arbuscular mycorrhizal symbiosis without affecting root calcium spiking responses to the fungus. </w:t>
          </w:r>
          <w:r>
            <w:rPr>
              <w:i/>
            </w:rPr>
            <w:t>Frontiers in Plant Science</w:t>
          </w:r>
          <w:r>
            <w:t xml:space="preserve">, </w:t>
          </w:r>
          <w:r>
            <w:rPr>
              <w:i/>
            </w:rPr>
            <w:t>4</w:t>
          </w:r>
          <w:r>
            <w:t>. https://doi.org/10.3389/fpls.2013.00426</w:t>
          </w:r>
        </w:p>
        <w:p w14:paraId="5F569672" w14:textId="77777777" w:rsidR="005E3F83" w:rsidRDefault="005E3F83" w:rsidP="005E3F83">
          <w:pPr>
            <w:pStyle w:val="mythesis"/>
            <w:divId w:val="1742097745"/>
          </w:pPr>
          <w:r>
            <w:t xml:space="preserve">Bandurska, H., Stroihski, A., &amp; Kubig, J. (2003). The effect of jasmonic acid on the accumulation of ABA, proline and spermidine and its influence on membrane injury under water deficit in two barley genotypes. In </w:t>
          </w:r>
          <w:r>
            <w:rPr>
              <w:i/>
            </w:rPr>
            <w:t>ACTA PHYSIOLOGIAE PLANTARUM</w:t>
          </w:r>
          <w:r>
            <w:t xml:space="preserve"> (Vol. 25, Issue 3).</w:t>
          </w:r>
        </w:p>
        <w:p w14:paraId="17D68109" w14:textId="77777777" w:rsidR="005E3F83" w:rsidRDefault="005E3F83" w:rsidP="005E3F83">
          <w:pPr>
            <w:pStyle w:val="mythesis"/>
            <w:divId w:val="1190413074"/>
          </w:pPr>
          <w:r>
            <w:t xml:space="preserve">Banyai, W., Mii, M., &amp; Supaibulwatana, K. (2011). Enhancement of artemisinin content and biomass in Artemisia annua by exogenous GA3 treatment. </w:t>
          </w:r>
          <w:r>
            <w:rPr>
              <w:i/>
            </w:rPr>
            <w:t>Plant Growth Regulation</w:t>
          </w:r>
          <w:r>
            <w:t xml:space="preserve">, </w:t>
          </w:r>
          <w:r>
            <w:rPr>
              <w:i/>
            </w:rPr>
            <w:t>63</w:t>
          </w:r>
          <w:r>
            <w:t>(1). https://doi.org/10.1007/s10725-010-9510-9</w:t>
          </w:r>
        </w:p>
        <w:p w14:paraId="1B210625" w14:textId="77777777" w:rsidR="005E3F83" w:rsidRDefault="005E3F83" w:rsidP="005E3F83">
          <w:pPr>
            <w:pStyle w:val="mythesis"/>
            <w:divId w:val="441850550"/>
          </w:pPr>
          <w:r>
            <w:t xml:space="preserve">Baon, J. B., Smith, S. E., &amp; Alston, A. M. (1993). Mycorrhizal responses of barley cultivars differing in P efficiency. </w:t>
          </w:r>
          <w:r>
            <w:rPr>
              <w:i/>
            </w:rPr>
            <w:t>Plant and Soil</w:t>
          </w:r>
          <w:r>
            <w:t xml:space="preserve">, </w:t>
          </w:r>
          <w:r>
            <w:rPr>
              <w:i/>
            </w:rPr>
            <w:t>157</w:t>
          </w:r>
          <w:r>
            <w:t>(1). https://doi.org/10.1007/BF00038752</w:t>
          </w:r>
        </w:p>
        <w:p w14:paraId="5CF5850B" w14:textId="77777777" w:rsidR="005E3F83" w:rsidRDefault="005E3F83" w:rsidP="005E3F83">
          <w:pPr>
            <w:pStyle w:val="mythesis"/>
            <w:divId w:val="1116754112"/>
          </w:pPr>
          <w:r>
            <w:t xml:space="preserve">Baslam, M., Garmendia, I., &amp; Goicoechea, N. (2011). Arbuscular Mycorrhizal Fungi (AMF) Improved Growth and Nutritional Quality of Greenhouse-Grown Lettuce. </w:t>
          </w:r>
          <w:r>
            <w:rPr>
              <w:i/>
            </w:rPr>
            <w:t>Journal of Agricultural and Food Chemistry</w:t>
          </w:r>
          <w:r>
            <w:t xml:space="preserve">, </w:t>
          </w:r>
          <w:r>
            <w:rPr>
              <w:i/>
            </w:rPr>
            <w:t>59</w:t>
          </w:r>
          <w:r>
            <w:t>(10). https://doi.org/10.1021/jf200501c</w:t>
          </w:r>
        </w:p>
        <w:p w14:paraId="51FDDB66" w14:textId="77777777" w:rsidR="005E3F83" w:rsidRDefault="005E3F83" w:rsidP="005E3F83">
          <w:pPr>
            <w:pStyle w:val="mythesis"/>
            <w:divId w:val="1842161531"/>
          </w:pPr>
          <w:r>
            <w:lastRenderedPageBreak/>
            <w:t xml:space="preserve">Beckers, G. J., &amp; Conrath, U. (2007). Priming for stress resistance: from the lab to the field. </w:t>
          </w:r>
          <w:r>
            <w:rPr>
              <w:i/>
            </w:rPr>
            <w:t>Current Opinion in Plant Biology</w:t>
          </w:r>
          <w:r>
            <w:t xml:space="preserve">, </w:t>
          </w:r>
          <w:r>
            <w:rPr>
              <w:i/>
            </w:rPr>
            <w:t>10</w:t>
          </w:r>
          <w:r>
            <w:t>(4). https://doi.org/10.1016/j.pbi.2007.06.002</w:t>
          </w:r>
        </w:p>
        <w:p w14:paraId="12D6C12F" w14:textId="77777777" w:rsidR="005E3F83" w:rsidRDefault="005E3F83" w:rsidP="005E3F83">
          <w:pPr>
            <w:pStyle w:val="mythesis"/>
            <w:divId w:val="981077656"/>
          </w:pPr>
          <w:r>
            <w:t xml:space="preserve">Begum, N., Qin, C., Ahanger, M. A., Raza, S., Khan, M. I., Ashraf, M., Ahmed, N., &amp; Zhang, L. (2019). Role of Arbuscular Mycorrhizal Fungi in Plant Growth Regulation: Implications in Abiotic Stress Tolerance. In </w:t>
          </w:r>
          <w:r>
            <w:rPr>
              <w:i/>
            </w:rPr>
            <w:t>Frontiers in Plant Science</w:t>
          </w:r>
          <w:r>
            <w:t xml:space="preserve"> (Vol. 10). Frontiers Media S.A. https://doi.org/10.3389/fpls.2019.01068</w:t>
          </w:r>
        </w:p>
        <w:p w14:paraId="53BDD57B" w14:textId="77777777" w:rsidR="005E3F83" w:rsidRDefault="005E3F83" w:rsidP="005E3F83">
          <w:pPr>
            <w:pStyle w:val="mythesis"/>
            <w:divId w:val="1705597899"/>
          </w:pPr>
          <w:r>
            <w:t xml:space="preserve">Bélanger, G., &amp; Richards, J. E. (1999). Relationship between P and N concentrations in timothy. </w:t>
          </w:r>
          <w:r>
            <w:rPr>
              <w:i/>
            </w:rPr>
            <w:t>Canadian Journal of Plant Science</w:t>
          </w:r>
          <w:r>
            <w:t xml:space="preserve">, </w:t>
          </w:r>
          <w:r>
            <w:rPr>
              <w:i/>
            </w:rPr>
            <w:t>79</w:t>
          </w:r>
          <w:r>
            <w:t>(1), 65–70. https://doi.org/10.4141/P97-125</w:t>
          </w:r>
        </w:p>
        <w:p w14:paraId="34B3AC5F" w14:textId="77777777" w:rsidR="005E3F83" w:rsidRDefault="005E3F83" w:rsidP="005E3F83">
          <w:pPr>
            <w:pStyle w:val="mythesis"/>
            <w:divId w:val="712845314"/>
          </w:pPr>
          <w:r>
            <w:t xml:space="preserve">Bennett, A. E., Millar, N. S., Gedrovics, E., &amp; Karley, A. J. (2016). Plant and insect microbial symbionts alter the outcome of plant–herbivore–parasitoid interactions: implications for invaded, agricultural and natural systems. </w:t>
          </w:r>
          <w:r>
            <w:rPr>
              <w:i/>
            </w:rPr>
            <w:t>Journal of Ecology</w:t>
          </w:r>
          <w:r>
            <w:t xml:space="preserve">, </w:t>
          </w:r>
          <w:r>
            <w:rPr>
              <w:i/>
            </w:rPr>
            <w:t>104</w:t>
          </w:r>
          <w:r>
            <w:t>(6). https://doi.org/10.1111/1365-2745.12620</w:t>
          </w:r>
        </w:p>
        <w:p w14:paraId="6BE8866F" w14:textId="77777777" w:rsidR="005E3F83" w:rsidRDefault="005E3F83" w:rsidP="005E3F83">
          <w:pPr>
            <w:pStyle w:val="mythesis"/>
            <w:divId w:val="1917859915"/>
          </w:pPr>
          <w:r>
            <w:t xml:space="preserve">Berens, M. L., Berry, H. M., Mine, A., Argueso, C. T., &amp; Tsuda, K. (2017). Evolution of Hormone Signaling Networks in Plant Defense. </w:t>
          </w:r>
          <w:r>
            <w:rPr>
              <w:i/>
            </w:rPr>
            <w:t>Annual Review of Phytopathology</w:t>
          </w:r>
          <w:r>
            <w:t xml:space="preserve">, </w:t>
          </w:r>
          <w:r>
            <w:rPr>
              <w:i/>
            </w:rPr>
            <w:t>55</w:t>
          </w:r>
          <w:r>
            <w:t>(1). https://doi.org/10.1146/annurev-phyto-080516-035544</w:t>
          </w:r>
        </w:p>
        <w:p w14:paraId="527A4CEE" w14:textId="77777777" w:rsidR="005E3F83" w:rsidRDefault="005E3F83" w:rsidP="005E3F83">
          <w:pPr>
            <w:pStyle w:val="mythesis"/>
            <w:divId w:val="491263503"/>
          </w:pPr>
          <w:r>
            <w:t xml:space="preserve">Berg, G., Opelt, K., Zachow, C., Lottmann, J., GÃ¶tz, M., Costa, R., &amp; Smalla, K. (2006). The rhizosphere effect on bacteria antagonistic towards the pathogenic fungus Verticillium differs depending on plant species and site. </w:t>
          </w:r>
          <w:r>
            <w:rPr>
              <w:i/>
            </w:rPr>
            <w:t>FEMS Microbiology Ecology</w:t>
          </w:r>
          <w:r>
            <w:t xml:space="preserve">, </w:t>
          </w:r>
          <w:r>
            <w:rPr>
              <w:i/>
            </w:rPr>
            <w:t>56</w:t>
          </w:r>
          <w:r>
            <w:t>(2). https://doi.org/10.1111/j.1574-6941.2005.00025.x</w:t>
          </w:r>
        </w:p>
        <w:p w14:paraId="38E62300" w14:textId="77777777" w:rsidR="005E3F83" w:rsidRDefault="005E3F83" w:rsidP="005E3F83">
          <w:pPr>
            <w:pStyle w:val="mythesis"/>
            <w:divId w:val="1462334864"/>
          </w:pPr>
          <w:r>
            <w:t xml:space="preserve">Bertea, C. M., Freije, J. R., van der Woude, H., Verstappen, F. W., Perk, L., Marquez, V., de Kraker, J.-W., Posthumus, M. A., Jansen, B. J., de Groot, Ae., Franssen, M. C., &amp; Bouwmeester, H. J. (2005). Identification of Intermediates and Enzymes Involved in the Early Steps of Artemisinin Biosynthesis in </w:t>
          </w:r>
          <w:r>
            <w:rPr>
              <w:i/>
            </w:rPr>
            <w:t>Artemisia annua</w:t>
          </w:r>
          <w:r>
            <w:t xml:space="preserve">. </w:t>
          </w:r>
          <w:r>
            <w:rPr>
              <w:i/>
            </w:rPr>
            <w:t>Planta Medica</w:t>
          </w:r>
          <w:r>
            <w:t xml:space="preserve">, </w:t>
          </w:r>
          <w:r>
            <w:rPr>
              <w:i/>
            </w:rPr>
            <w:t>71</w:t>
          </w:r>
          <w:r>
            <w:t>(1). https://doi.org/10.1055/s-2005-837749</w:t>
          </w:r>
        </w:p>
        <w:p w14:paraId="6FD976FC" w14:textId="77777777" w:rsidR="005E3F83" w:rsidRDefault="005E3F83" w:rsidP="005E3F83">
          <w:pPr>
            <w:pStyle w:val="mythesis"/>
            <w:divId w:val="928345958"/>
          </w:pPr>
          <w:r>
            <w:lastRenderedPageBreak/>
            <w:t xml:space="preserve">Bethlenfalvay, G. J., &amp; Barea, J.-M. (1994). Mycorrhizae in sustainable agriculture. I. Effects on seed yield and soil aggregation. </w:t>
          </w:r>
          <w:r>
            <w:rPr>
              <w:i/>
            </w:rPr>
            <w:t>American Journal of Alternative Agriculture</w:t>
          </w:r>
          <w:r>
            <w:t xml:space="preserve">, </w:t>
          </w:r>
          <w:r>
            <w:rPr>
              <w:i/>
            </w:rPr>
            <w:t>9</w:t>
          </w:r>
          <w:r>
            <w:t>(4). https://doi.org/10.1017/S0889189300005919</w:t>
          </w:r>
        </w:p>
        <w:p w14:paraId="04B6A666" w14:textId="77777777" w:rsidR="005E3F83" w:rsidRDefault="005E3F83" w:rsidP="005E3F83">
          <w:pPr>
            <w:pStyle w:val="mythesis"/>
            <w:divId w:val="1347057825"/>
          </w:pPr>
          <w:r>
            <w:t xml:space="preserve">Bhattacharjee, A., Velickovic, D., Wietsma, T. W., Bell, S. L., Jansson, J. K., Hofmockel, K. S., &amp; Anderton, C. R. (2020). Visualizing Microbial Community Dynamics via a Controllable Soil Environment. </w:t>
          </w:r>
          <w:r>
            <w:rPr>
              <w:i/>
            </w:rPr>
            <w:t>MSystems</w:t>
          </w:r>
          <w:r>
            <w:t xml:space="preserve">, </w:t>
          </w:r>
          <w:r>
            <w:rPr>
              <w:i/>
            </w:rPr>
            <w:t>5</w:t>
          </w:r>
          <w:r>
            <w:t>(1). https://doi.org/10.1128/mSystems.00645-19</w:t>
          </w:r>
        </w:p>
        <w:p w14:paraId="6E1A4C7A" w14:textId="77777777" w:rsidR="005E3F83" w:rsidRDefault="005E3F83" w:rsidP="005E3F83">
          <w:pPr>
            <w:pStyle w:val="mythesis"/>
            <w:divId w:val="1585454812"/>
          </w:pPr>
          <w:r>
            <w:t xml:space="preserve">Bhattacharya, A., Sood, P., &amp; Citovsky, V. (2010). The roles of plant phenolics in defence and communication during Agrobacterium and Rhizobium infection. </w:t>
          </w:r>
          <w:r>
            <w:rPr>
              <w:i/>
            </w:rPr>
            <w:t>Molecular Plant Pathology</w:t>
          </w:r>
          <w:r>
            <w:t xml:space="preserve">, </w:t>
          </w:r>
          <w:r>
            <w:rPr>
              <w:i/>
            </w:rPr>
            <w:t>11</w:t>
          </w:r>
          <w:r>
            <w:t>(5), 705–719. https://doi.org/10.1111/j.1364-3703.2010.00625.x</w:t>
          </w:r>
        </w:p>
        <w:p w14:paraId="01F4D1B8" w14:textId="77777777" w:rsidR="005E3F83" w:rsidRDefault="005E3F83" w:rsidP="005E3F83">
          <w:pPr>
            <w:pStyle w:val="mythesis"/>
            <w:divId w:val="1686664944"/>
          </w:pPr>
          <w:r>
            <w:t xml:space="preserve">Blilou, I., Ocampo, J. A., &amp; García‐Garrido, J. M. (2000). Induction of Ltp (lipid transfer protein) and Pal (phenylalanine ammonia‐lyase) gene expression in rice roots colonized by the arbuscular mycorrhizal fungus Glomus mosseae. </w:t>
          </w:r>
          <w:r>
            <w:rPr>
              <w:i/>
            </w:rPr>
            <w:t>Journal of Experimental Botany</w:t>
          </w:r>
          <w:r>
            <w:t xml:space="preserve">, </w:t>
          </w:r>
          <w:r>
            <w:rPr>
              <w:i/>
            </w:rPr>
            <w:t>51</w:t>
          </w:r>
          <w:r>
            <w:t>(353). https://doi.org/10.1093/jexbot/51.353.1969</w:t>
          </w:r>
        </w:p>
        <w:p w14:paraId="281E3AD0" w14:textId="77777777" w:rsidR="005E3F83" w:rsidRDefault="005E3F83" w:rsidP="005E3F83">
          <w:pPr>
            <w:pStyle w:val="mythesis"/>
            <w:divId w:val="147479241"/>
          </w:pPr>
          <w:r>
            <w:t xml:space="preserve">Bloem, E., Haneklaus, S., Salac, I., Wickenhäuser, P., &amp; Schnug, E. (2007). Facts and Fiction about Sulfur Metabolism in Relation to Plant-Pathogen Interactions. </w:t>
          </w:r>
          <w:r>
            <w:rPr>
              <w:i/>
            </w:rPr>
            <w:t>Plant Biology</w:t>
          </w:r>
          <w:r>
            <w:t xml:space="preserve">, </w:t>
          </w:r>
          <w:r>
            <w:rPr>
              <w:i/>
            </w:rPr>
            <w:t>9</w:t>
          </w:r>
          <w:r>
            <w:t>(5). https://doi.org/10.1055/s-2007-965420</w:t>
          </w:r>
        </w:p>
        <w:p w14:paraId="2AC31588" w14:textId="77777777" w:rsidR="005E3F83" w:rsidRDefault="005E3F83" w:rsidP="005E3F83">
          <w:pPr>
            <w:pStyle w:val="mythesis"/>
            <w:divId w:val="1994262175"/>
          </w:pPr>
          <w:r>
            <w:t xml:space="preserve">Bogdanović, M. D., Dragićević, M. B., Tanić, N. T., Todorović, S. I., Mišić, D. M., Živković, S. T., Tissier, A., &amp; Simonović, A. D. (2013). Reverse Transcription of 18S rRNA with Poly(dT)18 and Other Homopolymers. </w:t>
          </w:r>
          <w:r>
            <w:rPr>
              <w:i/>
            </w:rPr>
            <w:t>Plant Molecular Biology Reporter</w:t>
          </w:r>
          <w:r>
            <w:t xml:space="preserve">, </w:t>
          </w:r>
          <w:r>
            <w:rPr>
              <w:i/>
            </w:rPr>
            <w:t>31</w:t>
          </w:r>
          <w:r>
            <w:t>(1), 55–63. https://doi.org/10.1007/s11105-012-0474-y</w:t>
          </w:r>
        </w:p>
        <w:p w14:paraId="191DD654" w14:textId="77777777" w:rsidR="005E3F83" w:rsidRDefault="005E3F83" w:rsidP="005E3F83">
          <w:pPr>
            <w:pStyle w:val="mythesis"/>
            <w:divId w:val="358548669"/>
          </w:pPr>
          <w:r>
            <w:t xml:space="preserve">Bolan, N. S., Robson, A. D., &amp; Barrow, N. J. (1983). Plant and soil factors including mycorrhizal infection causing sigmoidal response of plants to applied phosphorus. </w:t>
          </w:r>
          <w:r>
            <w:rPr>
              <w:i/>
            </w:rPr>
            <w:t>Plant and Soil</w:t>
          </w:r>
          <w:r>
            <w:t xml:space="preserve">, </w:t>
          </w:r>
          <w:r>
            <w:rPr>
              <w:i/>
            </w:rPr>
            <w:t>73</w:t>
          </w:r>
          <w:r>
            <w:t>(2), 187–201. https://doi.org/10.1007/BF02197715</w:t>
          </w:r>
        </w:p>
        <w:p w14:paraId="28B418C7" w14:textId="77777777" w:rsidR="005E3F83" w:rsidRDefault="005E3F83" w:rsidP="005E3F83">
          <w:pPr>
            <w:pStyle w:val="mythesis"/>
            <w:divId w:val="1533807825"/>
          </w:pPr>
          <w:r>
            <w:lastRenderedPageBreak/>
            <w:t xml:space="preserve">Boller, T., &amp; He, S. Y. (2009). Innate Immunity in Plants: An Arms Race Between Pattern Recognition Receptors in Plants and Effectors in Microbial Pathogens. </w:t>
          </w:r>
          <w:r>
            <w:rPr>
              <w:i/>
            </w:rPr>
            <w:t>Science</w:t>
          </w:r>
          <w:r>
            <w:t xml:space="preserve">, </w:t>
          </w:r>
          <w:r>
            <w:rPr>
              <w:i/>
            </w:rPr>
            <w:t>324</w:t>
          </w:r>
          <w:r>
            <w:t>(5928). https://doi.org/10.1126/science.1171647</w:t>
          </w:r>
        </w:p>
        <w:p w14:paraId="20274FFB" w14:textId="77777777" w:rsidR="005E3F83" w:rsidRDefault="005E3F83" w:rsidP="005E3F83">
          <w:pPr>
            <w:pStyle w:val="mythesis"/>
            <w:divId w:val="997076231"/>
          </w:pPr>
          <w:r>
            <w:t xml:space="preserve">Bonanomi, A., Oetiker, J. H., Guggenheim, R., Boller, T., Wiemken, A., &amp; Vögeli-Lange, R. (2001). Arbuscular mycorrhiza in mini-mycorrhizotrons: first contact of </w:t>
          </w:r>
          <w:r>
            <w:rPr>
              <w:i/>
            </w:rPr>
            <w:t>Medicago truncatula</w:t>
          </w:r>
          <w:r>
            <w:t xml:space="preserve"> roots with </w:t>
          </w:r>
          <w:r>
            <w:rPr>
              <w:i/>
            </w:rPr>
            <w:t>Glomus intraradices</w:t>
          </w:r>
          <w:r>
            <w:t xml:space="preserve"> induces chalcone synthase. </w:t>
          </w:r>
          <w:r>
            <w:rPr>
              <w:i/>
            </w:rPr>
            <w:t>New Phytologist</w:t>
          </w:r>
          <w:r>
            <w:t xml:space="preserve">, </w:t>
          </w:r>
          <w:r>
            <w:rPr>
              <w:i/>
            </w:rPr>
            <w:t>150</w:t>
          </w:r>
          <w:r>
            <w:t>(3). https://doi.org/10.1046/j.1469-8137.2001.00135.x</w:t>
          </w:r>
        </w:p>
        <w:p w14:paraId="1F3400D0" w14:textId="77777777" w:rsidR="005E3F83" w:rsidRDefault="005E3F83" w:rsidP="005E3F83">
          <w:pPr>
            <w:pStyle w:val="mythesis"/>
            <w:divId w:val="2066832126"/>
          </w:pPr>
          <w:r>
            <w:t xml:space="preserve">Borowicz, V. A. (2013). The impact of arbuscular mycorrhizal fungi on plant growth following herbivory: A search for pattern. </w:t>
          </w:r>
          <w:r>
            <w:rPr>
              <w:i/>
            </w:rPr>
            <w:t>Acta Oecologica</w:t>
          </w:r>
          <w:r>
            <w:t xml:space="preserve">, </w:t>
          </w:r>
          <w:r>
            <w:rPr>
              <w:i/>
            </w:rPr>
            <w:t>52</w:t>
          </w:r>
          <w:r>
            <w:t>. https://doi.org/10.1016/j.actao.2013.06.004</w:t>
          </w:r>
        </w:p>
        <w:p w14:paraId="291000FC" w14:textId="77777777" w:rsidR="005E3F83" w:rsidRDefault="005E3F83" w:rsidP="005E3F83">
          <w:pPr>
            <w:pStyle w:val="mythesis"/>
            <w:divId w:val="1625887847"/>
          </w:pPr>
          <w:r>
            <w:t xml:space="preserve">Borrego, E. J., &amp; Kolomiets, M. v. (2012). Lipid-Mediated Signaling Between Fungi and Plants. In </w:t>
          </w:r>
          <w:r>
            <w:rPr>
              <w:i/>
            </w:rPr>
            <w:t>Biocommunication of Fungi</w:t>
          </w:r>
          <w:r>
            <w:t>. Springer Netherlands. https://doi.org/10.1007/978-94-007-4264-2_16</w:t>
          </w:r>
        </w:p>
        <w:p w14:paraId="660279B8" w14:textId="77777777" w:rsidR="005E3F83" w:rsidRDefault="005E3F83" w:rsidP="005E3F83">
          <w:pPr>
            <w:pStyle w:val="mythesis"/>
            <w:divId w:val="1025443765"/>
          </w:pPr>
          <w:r>
            <w:t xml:space="preserve">Borrego, E. J., &amp; Kolomiets, M. v. (2016). Synthesis and functions of jasmonates in maize. In </w:t>
          </w:r>
          <w:r>
            <w:rPr>
              <w:i/>
            </w:rPr>
            <w:t>Plants</w:t>
          </w:r>
          <w:r>
            <w:t xml:space="preserve"> (Vol. 5, Issue 4, pp. 1–13). MDPI AG. https://doi.org/10.3390/plants5040041</w:t>
          </w:r>
        </w:p>
        <w:p w14:paraId="08046E33" w14:textId="77777777" w:rsidR="005E3F83" w:rsidRDefault="005E3F83" w:rsidP="005E3F83">
          <w:pPr>
            <w:pStyle w:val="mythesis"/>
            <w:divId w:val="939800622"/>
          </w:pPr>
          <w:r>
            <w:t xml:space="preserve">Boucher, A., Dalpé, Y., &amp; Charest, C. (1999). Effect of arbuscular mycorrhizal colonization of four species of </w:t>
          </w:r>
          <w:r>
            <w:rPr>
              <w:i/>
            </w:rPr>
            <w:t>glomus</w:t>
          </w:r>
          <w:r>
            <w:t xml:space="preserve"> on physiological responses of maize. </w:t>
          </w:r>
          <w:r>
            <w:rPr>
              <w:i/>
            </w:rPr>
            <w:t>Journal of Plant Nutrition</w:t>
          </w:r>
          <w:r>
            <w:t xml:space="preserve">, </w:t>
          </w:r>
          <w:r>
            <w:rPr>
              <w:i/>
            </w:rPr>
            <w:t>22</w:t>
          </w:r>
          <w:r>
            <w:t>(4–5). https://doi.org/10.1080/01904169909365671</w:t>
          </w:r>
        </w:p>
        <w:p w14:paraId="2D0452A6" w14:textId="77777777" w:rsidR="005E3F83" w:rsidRDefault="005E3F83" w:rsidP="005E3F83">
          <w:pPr>
            <w:pStyle w:val="mythesis"/>
            <w:divId w:val="1737046752"/>
          </w:pPr>
          <w:r>
            <w:t xml:space="preserve">Bowles, T. M., Barrios-Masias, F. H., Carlisle, E. A., Cavagnaro, T. R., &amp; Jackson, L. E. (2016). Effects of arbuscular mycorrhizae on tomato yield, nutrient uptake, water relations, and soil carbon dynamics under deficit irrigation in field conditions. </w:t>
          </w:r>
          <w:r>
            <w:rPr>
              <w:i/>
            </w:rPr>
            <w:t>Science of The Total Environment</w:t>
          </w:r>
          <w:r>
            <w:t xml:space="preserve">, </w:t>
          </w:r>
          <w:r>
            <w:rPr>
              <w:i/>
            </w:rPr>
            <w:t>566–567</w:t>
          </w:r>
          <w:r>
            <w:t>. https://doi.org/10.1016/j.scitotenv.2016.05.178</w:t>
          </w:r>
        </w:p>
        <w:p w14:paraId="19E38605" w14:textId="77777777" w:rsidR="005E3F83" w:rsidRDefault="005E3F83" w:rsidP="005E3F83">
          <w:pPr>
            <w:pStyle w:val="mythesis"/>
            <w:divId w:val="897204619"/>
          </w:pPr>
          <w:r>
            <w:lastRenderedPageBreak/>
            <w:t xml:space="preserve">Bradáčová, K., Kandeler, E., Berger, N., Ludewig, U., &amp; Neumann, G. (2020). Microbial consortia inoculants stimulate early growth of maize depending on nitrogen and phosphorus supply. </w:t>
          </w:r>
          <w:r>
            <w:rPr>
              <w:i/>
            </w:rPr>
            <w:t>Plant, Soil and Environment</w:t>
          </w:r>
          <w:r>
            <w:t xml:space="preserve">, </w:t>
          </w:r>
          <w:r>
            <w:rPr>
              <w:i/>
            </w:rPr>
            <w:t>66</w:t>
          </w:r>
          <w:r>
            <w:t>(No. 3). https://doi.org/10.17221/382/2019-PSE</w:t>
          </w:r>
        </w:p>
        <w:p w14:paraId="48992DE1" w14:textId="77777777" w:rsidR="005E3F83" w:rsidRDefault="005E3F83" w:rsidP="005E3F83">
          <w:pPr>
            <w:pStyle w:val="mythesis"/>
            <w:divId w:val="246310688"/>
          </w:pPr>
          <w:r>
            <w:t xml:space="preserve">Bradáčová, K., Sittinger, M., Tietz, K., Neuhäuser, B., Kandeler, E., Berger, N., Ludewig, U., &amp; Neumann, G. (2019). Maize Inoculation with Microbial Consortia: Contrasting Effects on Rhizosphere Activities, Nutrient Acquisition and Early Growth in Different Soils. </w:t>
          </w:r>
          <w:r>
            <w:rPr>
              <w:i/>
            </w:rPr>
            <w:t>Microorganisms</w:t>
          </w:r>
          <w:r>
            <w:t xml:space="preserve">, </w:t>
          </w:r>
          <w:r>
            <w:rPr>
              <w:i/>
            </w:rPr>
            <w:t>7</w:t>
          </w:r>
          <w:r>
            <w:t>(9). https://doi.org/10.3390/microorganisms7090329</w:t>
          </w:r>
        </w:p>
        <w:p w14:paraId="3781F631" w14:textId="77777777" w:rsidR="005E3F83" w:rsidRDefault="005E3F83" w:rsidP="005E3F83">
          <w:pPr>
            <w:pStyle w:val="mythesis"/>
            <w:divId w:val="1306471221"/>
          </w:pPr>
          <w:r>
            <w:t xml:space="preserve">Brader, G., Compant, S., Mitter, B., Trognitz, F., &amp; Sessitsch, A. (2014). Metabolic potential of endophytic bacteria. </w:t>
          </w:r>
          <w:r>
            <w:rPr>
              <w:i/>
            </w:rPr>
            <w:t>Current Opinion in Biotechnology</w:t>
          </w:r>
          <w:r>
            <w:t xml:space="preserve">, </w:t>
          </w:r>
          <w:r>
            <w:rPr>
              <w:i/>
            </w:rPr>
            <w:t>27</w:t>
          </w:r>
          <w:r>
            <w:t>. https://doi.org/10.1016/j.copbio.2013.09.012</w:t>
          </w:r>
        </w:p>
        <w:p w14:paraId="0FCE8D65" w14:textId="77777777" w:rsidR="005E3F83" w:rsidRDefault="005E3F83" w:rsidP="005E3F83">
          <w:pPr>
            <w:pStyle w:val="mythesis"/>
            <w:divId w:val="563151071"/>
          </w:pPr>
          <w:r>
            <w:t xml:space="preserve">Bronstein, J. L. (2001). The exploitation of mutualisms. </w:t>
          </w:r>
          <w:r>
            <w:rPr>
              <w:i/>
            </w:rPr>
            <w:t>Ecology Letters</w:t>
          </w:r>
          <w:r>
            <w:t xml:space="preserve">, </w:t>
          </w:r>
          <w:r>
            <w:rPr>
              <w:i/>
            </w:rPr>
            <w:t>4</w:t>
          </w:r>
          <w:r>
            <w:t>(3). https://doi.org/10.1046/j.1461-0248.2001.00218.x</w:t>
          </w:r>
        </w:p>
        <w:p w14:paraId="02131C22" w14:textId="77777777" w:rsidR="005E3F83" w:rsidRDefault="005E3F83" w:rsidP="005E3F83">
          <w:pPr>
            <w:pStyle w:val="mythesis"/>
            <w:divId w:val="1729914411"/>
          </w:pPr>
          <w:r>
            <w:t xml:space="preserve">Bruetsch, T. F., &amp; Estes, G. O. (1976). Genotype Variation in Nutrient Uptake Efficiency in Corn </w:t>
          </w:r>
          <w:r>
            <w:rPr>
              <w:vertAlign w:val="superscript"/>
            </w:rPr>
            <w:t>1</w:t>
          </w:r>
          <w:r>
            <w:t xml:space="preserve">. </w:t>
          </w:r>
          <w:r>
            <w:rPr>
              <w:i/>
            </w:rPr>
            <w:t>Agronomy Journal</w:t>
          </w:r>
          <w:r>
            <w:t xml:space="preserve">, </w:t>
          </w:r>
          <w:r>
            <w:rPr>
              <w:i/>
            </w:rPr>
            <w:t>68</w:t>
          </w:r>
          <w:r>
            <w:t>(3), 521–523. https://doi.org/10.2134/agronj1976.00021962006800030023x</w:t>
          </w:r>
        </w:p>
        <w:p w14:paraId="322AFFEC" w14:textId="77777777" w:rsidR="005E3F83" w:rsidRDefault="005E3F83" w:rsidP="005E3F83">
          <w:pPr>
            <w:pStyle w:val="mythesis"/>
            <w:divId w:val="339745123"/>
          </w:pPr>
          <w:r>
            <w:t xml:space="preserve">Brundrett, M. (2004). Diversity and classification of mycorrhizal associations. In </w:t>
          </w:r>
          <w:r>
            <w:rPr>
              <w:i/>
            </w:rPr>
            <w:t>Biological Reviews of the Cambridge Philosophical Society</w:t>
          </w:r>
          <w:r>
            <w:t xml:space="preserve"> (Vol. 79, Issue 3, pp. 473–495). https://doi.org/10.1017/S1464793103006316</w:t>
          </w:r>
        </w:p>
        <w:p w14:paraId="36A8C3B9" w14:textId="77777777" w:rsidR="005E3F83" w:rsidRDefault="005E3F83" w:rsidP="005E3F83">
          <w:pPr>
            <w:pStyle w:val="mythesis"/>
            <w:divId w:val="2052458949"/>
          </w:pPr>
          <w:r>
            <w:t xml:space="preserve">Brundrett, M., Bougher, N., Dell, B., Grove, T., Disclaimer, N. M., Neale, M. B., Grove, B. T., Malajczuk, N., Csiro, :, &amp; Products, F. (1996). </w:t>
          </w:r>
          <w:r>
            <w:rPr>
              <w:i/>
            </w:rPr>
            <w:t>Working with Mycorrhizas in Forestry and Agriculture The Authors</w:t>
          </w:r>
          <w:r>
            <w:t>. https://doi.org/10.22004/AG.ECON.119356</w:t>
          </w:r>
        </w:p>
        <w:p w14:paraId="03696987" w14:textId="77777777" w:rsidR="005E3F83" w:rsidRDefault="005E3F83" w:rsidP="005E3F83">
          <w:pPr>
            <w:pStyle w:val="mythesis"/>
            <w:divId w:val="1465387739"/>
          </w:pPr>
          <w:r>
            <w:t xml:space="preserve">Bulgakov, V. P., Tchernoded, G. K., Mischenko, N. P., Khodakovskaya, M. V., Glazunov, V. P., Radchenko, S. V., Zvereva, E. V., Fedoreyev, S. A., &amp; Zhuravlev, Yu. N. </w:t>
          </w:r>
          <w:r>
            <w:lastRenderedPageBreak/>
            <w:t xml:space="preserve">(2002). Effect of salicylic acid, methyl jasmonate, ethephon and cantharidin on anthraquinone production by Rubia cordifolia callus cultures transformed with the rolB and rolC genes. </w:t>
          </w:r>
          <w:r>
            <w:rPr>
              <w:i/>
            </w:rPr>
            <w:t>Journal of Biotechnology</w:t>
          </w:r>
          <w:r>
            <w:t xml:space="preserve">, </w:t>
          </w:r>
          <w:r>
            <w:rPr>
              <w:i/>
            </w:rPr>
            <w:t>97</w:t>
          </w:r>
          <w:r>
            <w:t>(3). https://doi.org/10.1016/S0168-1656(02)00067-6</w:t>
          </w:r>
        </w:p>
        <w:p w14:paraId="7E0200EF" w14:textId="77777777" w:rsidR="005E3F83" w:rsidRDefault="005E3F83" w:rsidP="005E3F83">
          <w:pPr>
            <w:pStyle w:val="mythesis"/>
            <w:divId w:val="1905093672"/>
          </w:pPr>
          <w:r>
            <w:t xml:space="preserve">Bürger, M., &amp; Chory, J. (2019). Stressed Out About Hormones: How Plants Orchestrate Immunity. </w:t>
          </w:r>
          <w:r>
            <w:rPr>
              <w:i/>
            </w:rPr>
            <w:t>Cell Host &amp; Microbe</w:t>
          </w:r>
          <w:r>
            <w:t xml:space="preserve">, </w:t>
          </w:r>
          <w:r>
            <w:rPr>
              <w:i/>
            </w:rPr>
            <w:t>26</w:t>
          </w:r>
          <w:r>
            <w:t>(2). https://doi.org/10.1016/j.chom.2019.07.006</w:t>
          </w:r>
        </w:p>
        <w:p w14:paraId="2DEAC710" w14:textId="77777777" w:rsidR="005E3F83" w:rsidRDefault="005E3F83" w:rsidP="005E3F83">
          <w:pPr>
            <w:pStyle w:val="mythesis"/>
            <w:divId w:val="1418137520"/>
          </w:pPr>
          <w:r>
            <w:t xml:space="preserve">Burgos, N. R., Stephenson, D. O., Agrama, H. A., Oliver, L. R., &amp; Bond, J. A. (2011). A Survey of Genetic Diversity of the Weedy Species &amp;amp;lt;i&amp;amp;gt;Ipomoea lacunosa&amp;amp;lt;/i&amp;amp;gt; L. in the USA Mid-South. </w:t>
          </w:r>
          <w:r>
            <w:rPr>
              <w:i/>
            </w:rPr>
            <w:t>American Journal of Plant Sciences</w:t>
          </w:r>
          <w:r>
            <w:t xml:space="preserve">, </w:t>
          </w:r>
          <w:r>
            <w:rPr>
              <w:i/>
            </w:rPr>
            <w:t>02</w:t>
          </w:r>
          <w:r>
            <w:t>(03). https://doi.org/10.4236/ajps.2011.23045</w:t>
          </w:r>
        </w:p>
        <w:p w14:paraId="22E37C91" w14:textId="77777777" w:rsidR="005E3F83" w:rsidRDefault="005E3F83" w:rsidP="005E3F83">
          <w:pPr>
            <w:pStyle w:val="mythesis"/>
            <w:divId w:val="1343775369"/>
          </w:pPr>
          <w:r>
            <w:t xml:space="preserve">Burni, T., Hussain, F., &amp; Sharief, M. (2011). Arbuscular mycorrhizal fungi (AMF) associated with the rhizoshpere of Mentha arvensis L., and M.longifolia huds. In </w:t>
          </w:r>
          <w:r>
            <w:rPr>
              <w:i/>
            </w:rPr>
            <w:t>Pak. J. Bot</w:t>
          </w:r>
          <w:r>
            <w:t xml:space="preserve"> (Vol. 43, Issue 6).</w:t>
          </w:r>
        </w:p>
        <w:p w14:paraId="0C2E92A8" w14:textId="77777777" w:rsidR="005E3F83" w:rsidRDefault="005E3F83" w:rsidP="005E3F83">
          <w:pPr>
            <w:pStyle w:val="mythesis"/>
            <w:divId w:val="1275094693"/>
          </w:pPr>
          <w:r>
            <w:t xml:space="preserve">Büscher, M., Zavalloni, C., de Boulois, H. D., Vicca, S., van den Berge, J., Declerck, S., Ceulemans, R., Janssens, I. A., &amp; Nijs, I. (2012). Effects of arbuscular mycorrhizal fungi on grassland productivity are altered by future climate and below-ground resource availability. </w:t>
          </w:r>
          <w:r>
            <w:rPr>
              <w:i/>
            </w:rPr>
            <w:t>Environmental and Experimental Botany</w:t>
          </w:r>
          <w:r>
            <w:t xml:space="preserve">, </w:t>
          </w:r>
          <w:r>
            <w:rPr>
              <w:i/>
            </w:rPr>
            <w:t>81</w:t>
          </w:r>
          <w:r>
            <w:t>, 62–71. https://doi.org/10.1016/j.envexpbot.2012.03.003</w:t>
          </w:r>
        </w:p>
        <w:p w14:paraId="71BCF18C" w14:textId="77777777" w:rsidR="005E3F83" w:rsidRDefault="005E3F83" w:rsidP="005E3F83">
          <w:pPr>
            <w:pStyle w:val="mythesis"/>
            <w:divId w:val="1743671717"/>
          </w:pPr>
          <w:r>
            <w:t xml:space="preserve">Busse, M. D., &amp; Ellis, J. R. (1985). Vesicular–arbuscular mycorrhizal ( </w:t>
          </w:r>
          <w:r>
            <w:rPr>
              <w:i/>
            </w:rPr>
            <w:t>Glomus fasciculatum</w:t>
          </w:r>
          <w:r>
            <w:t xml:space="preserve"> ) influence on soybean drought tolerance in high phosphorus soil. </w:t>
          </w:r>
          <w:r>
            <w:rPr>
              <w:i/>
            </w:rPr>
            <w:t>Canadian Journal of Botany</w:t>
          </w:r>
          <w:r>
            <w:t xml:space="preserve">, </w:t>
          </w:r>
          <w:r>
            <w:rPr>
              <w:i/>
            </w:rPr>
            <w:t>63</w:t>
          </w:r>
          <w:r>
            <w:t>(12). https://doi.org/10.1139/b85-327</w:t>
          </w:r>
        </w:p>
        <w:p w14:paraId="788B82BD" w14:textId="77777777" w:rsidR="005E3F83" w:rsidRDefault="005E3F83" w:rsidP="005E3F83">
          <w:pPr>
            <w:pStyle w:val="mythesis"/>
            <w:divId w:val="1164473433"/>
          </w:pPr>
          <w:r>
            <w:t xml:space="preserve">Bustin SA. (2000). Absolute quantification of mRNA using real-time reverse transcription polymerase chain reaction assays. . </w:t>
          </w:r>
          <w:r>
            <w:rPr>
              <w:i/>
            </w:rPr>
            <w:t xml:space="preserve">J Mol Endocrinol </w:t>
          </w:r>
          <w:r>
            <w:t xml:space="preserve">, </w:t>
          </w:r>
          <w:r>
            <w:rPr>
              <w:i/>
            </w:rPr>
            <w:t>25</w:t>
          </w:r>
          <w:r>
            <w:t>, 169–193.</w:t>
          </w:r>
        </w:p>
        <w:p w14:paraId="1B2388AB" w14:textId="77777777" w:rsidR="005E3F83" w:rsidRDefault="005E3F83" w:rsidP="005E3F83">
          <w:pPr>
            <w:pStyle w:val="mythesis"/>
            <w:divId w:val="484325865"/>
          </w:pPr>
          <w:r>
            <w:t xml:space="preserve">Cairney, J. W. G. (2000). Evolution of mycorrhiza systems. </w:t>
          </w:r>
          <w:r>
            <w:rPr>
              <w:i/>
            </w:rPr>
            <w:t>Naturwissenschaften</w:t>
          </w:r>
          <w:r>
            <w:t xml:space="preserve">, </w:t>
          </w:r>
          <w:r>
            <w:rPr>
              <w:i/>
            </w:rPr>
            <w:t>87</w:t>
          </w:r>
          <w:r>
            <w:t>(11). https://doi.org/10.1007/s001140050762</w:t>
          </w:r>
        </w:p>
        <w:p w14:paraId="3D3ED346" w14:textId="77777777" w:rsidR="005E3F83" w:rsidRDefault="005E3F83" w:rsidP="005E3F83">
          <w:pPr>
            <w:pStyle w:val="mythesis"/>
            <w:divId w:val="761026527"/>
          </w:pPr>
          <w:r>
            <w:lastRenderedPageBreak/>
            <w:t xml:space="preserve">Çakmakçi, R., Dönmez, F., Aydın, A., &amp; Şahin, F. (2006). Growth promotion of plants by plant growth-promoting rhizobacteria under greenhouse and two different field soil conditions. </w:t>
          </w:r>
          <w:r>
            <w:rPr>
              <w:i/>
            </w:rPr>
            <w:t>Soil Biology and Biochemistry</w:t>
          </w:r>
          <w:r>
            <w:t xml:space="preserve">, </w:t>
          </w:r>
          <w:r>
            <w:rPr>
              <w:i/>
            </w:rPr>
            <w:t>38</w:t>
          </w:r>
          <w:r>
            <w:t>(6). https://doi.org/10.1016/j.soilbio.2005.09.019</w:t>
          </w:r>
        </w:p>
        <w:p w14:paraId="2E3C0563" w14:textId="77777777" w:rsidR="005E3F83" w:rsidRDefault="005E3F83" w:rsidP="005E3F83">
          <w:pPr>
            <w:pStyle w:val="mythesis"/>
            <w:divId w:val="939606491"/>
          </w:pPr>
          <w:r>
            <w:t xml:space="preserve">Cameron, D. D. (2010). Arbuscular mycorrhizal fungi as (agro)ecosystem engineers. </w:t>
          </w:r>
          <w:r>
            <w:rPr>
              <w:i/>
            </w:rPr>
            <w:t>Plant and Soil</w:t>
          </w:r>
          <w:r>
            <w:t xml:space="preserve">, </w:t>
          </w:r>
          <w:r>
            <w:rPr>
              <w:i/>
            </w:rPr>
            <w:t>333</w:t>
          </w:r>
          <w:r>
            <w:t>(1–2). https://doi.org/10.1007/s11104-010-0361-y</w:t>
          </w:r>
        </w:p>
        <w:p w14:paraId="4FA78274" w14:textId="77777777" w:rsidR="005E3F83" w:rsidRDefault="005E3F83" w:rsidP="005E3F83">
          <w:pPr>
            <w:pStyle w:val="mythesis"/>
            <w:divId w:val="417285532"/>
          </w:pPr>
          <w:r>
            <w:t xml:space="preserve">Cameron, D. D., &amp; Bolin, J. F. (2010). Isotopic evidence of partial mycoheterotrophy in the gentianaceae: Bartonia virginica and obolaria virginica as case studies. </w:t>
          </w:r>
          <w:r>
            <w:rPr>
              <w:i/>
            </w:rPr>
            <w:t>American Journal of Botany</w:t>
          </w:r>
          <w:r>
            <w:t xml:space="preserve">, </w:t>
          </w:r>
          <w:r>
            <w:rPr>
              <w:i/>
            </w:rPr>
            <w:t>97</w:t>
          </w:r>
          <w:r>
            <w:t>(8), 1272–1277. https://doi.org/10.3732/ajb.0900292</w:t>
          </w:r>
        </w:p>
        <w:p w14:paraId="68446DA9" w14:textId="77777777" w:rsidR="005E3F83" w:rsidRDefault="005E3F83" w:rsidP="005E3F83">
          <w:pPr>
            <w:pStyle w:val="mythesis"/>
            <w:divId w:val="171378832"/>
          </w:pPr>
          <w:r>
            <w:t xml:space="preserve">Cameron, D. D., Johnson, I., Read, D. J., &amp; Leake, J. R. (2008). Giving and receiving: Measuring the carbon cost of mycorrhizas in the green orchid, Goodyera repens. </w:t>
          </w:r>
          <w:r>
            <w:rPr>
              <w:i/>
            </w:rPr>
            <w:t>New Phytologist</w:t>
          </w:r>
          <w:r>
            <w:t xml:space="preserve">, </w:t>
          </w:r>
          <w:r>
            <w:rPr>
              <w:i/>
            </w:rPr>
            <w:t>180</w:t>
          </w:r>
          <w:r>
            <w:t>(1), 176–184. https://doi.org/10.1111/j.1469-8137.2008.02533.x</w:t>
          </w:r>
        </w:p>
        <w:p w14:paraId="242FDE36" w14:textId="77777777" w:rsidR="005E3F83" w:rsidRDefault="005E3F83" w:rsidP="005E3F83">
          <w:pPr>
            <w:pStyle w:val="mythesis"/>
            <w:divId w:val="371423034"/>
          </w:pPr>
          <w:r>
            <w:t xml:space="preserve">Cameron, D. D., Neal, A. L., van Wees, S. C. M., &amp; Ton, J. (2013a). Mycorrhiza-induced resistance: More than the sum of its parts? In </w:t>
          </w:r>
          <w:r>
            <w:rPr>
              <w:i/>
            </w:rPr>
            <w:t>Trends in Plant Science</w:t>
          </w:r>
          <w:r>
            <w:t xml:space="preserve"> (Vol. 18, Issue 10, pp. 539–545). https://doi.org/10.1016/j.tplants.2013.06.004</w:t>
          </w:r>
        </w:p>
        <w:p w14:paraId="5B6C9415" w14:textId="77777777" w:rsidR="005E3F83" w:rsidRDefault="005E3F83" w:rsidP="005E3F83">
          <w:pPr>
            <w:pStyle w:val="mythesis"/>
            <w:divId w:val="624581996"/>
          </w:pPr>
          <w:r>
            <w:t xml:space="preserve">Cameron, D. D., Neal, A. L., van Wees, S. C. M., &amp; Ton, J. (2013b). Mycorrhiza-induced resistance: More than the sum of its parts? In </w:t>
          </w:r>
          <w:r>
            <w:rPr>
              <w:i/>
            </w:rPr>
            <w:t>Trends in Plant Science</w:t>
          </w:r>
          <w:r>
            <w:t xml:space="preserve"> (Vol. 18, Issue 10, pp. 539–545). https://doi.org/10.1016/j.tplants.2013.06.004</w:t>
          </w:r>
        </w:p>
        <w:p w14:paraId="6F79DAFE" w14:textId="77777777" w:rsidR="005E3F83" w:rsidRDefault="005E3F83" w:rsidP="005E3F83">
          <w:pPr>
            <w:pStyle w:val="mythesis"/>
            <w:divId w:val="509368386"/>
          </w:pPr>
          <w:r>
            <w:t xml:space="preserve">Camlin, M. S. (2003). Plant cultivar identification and registration – therole for molecular techniques. . </w:t>
          </w:r>
          <w:r>
            <w:rPr>
              <w:i/>
            </w:rPr>
            <w:t xml:space="preserve">Acta Horticulturae </w:t>
          </w:r>
          <w:r>
            <w:t xml:space="preserve">, </w:t>
          </w:r>
          <w:r>
            <w:rPr>
              <w:i/>
            </w:rPr>
            <w:t>625</w:t>
          </w:r>
          <w:r>
            <w:t>, 37–47.</w:t>
          </w:r>
        </w:p>
        <w:p w14:paraId="30D33BA9" w14:textId="77777777" w:rsidR="005E3F83" w:rsidRDefault="005E3F83" w:rsidP="005E3F83">
          <w:pPr>
            <w:pStyle w:val="mythesis"/>
            <w:divId w:val="1946031929"/>
          </w:pPr>
          <w:r>
            <w:t xml:space="preserve">Ceccarelli, N., Curadi, M., Martelloni, L., Sbrana, C., Picciarelli, P., &amp; Giovannetti, M. (2010). Mycorrhizal colonization impacts on phenolic content and antioxidant properties of artichoke leaves and flower heads two years after field transplant. </w:t>
          </w:r>
          <w:r>
            <w:rPr>
              <w:i/>
            </w:rPr>
            <w:t>Plant and Soil</w:t>
          </w:r>
          <w:r>
            <w:t xml:space="preserve">, </w:t>
          </w:r>
          <w:r>
            <w:rPr>
              <w:i/>
            </w:rPr>
            <w:t>335</w:t>
          </w:r>
          <w:r>
            <w:t>(1–2). https://doi.org/10.1007/s11104-010-0417-z</w:t>
          </w:r>
        </w:p>
        <w:p w14:paraId="32A47FC3" w14:textId="77777777" w:rsidR="005E3F83" w:rsidRDefault="005E3F83" w:rsidP="005E3F83">
          <w:pPr>
            <w:pStyle w:val="mythesis"/>
            <w:divId w:val="2112620473"/>
          </w:pPr>
          <w:r>
            <w:lastRenderedPageBreak/>
            <w:t xml:space="preserve">Charif, D., &amp; Lobry, J. R. (2007). </w:t>
          </w:r>
          <w:r>
            <w:rPr>
              <w:i/>
            </w:rPr>
            <w:t>SeqinR 1.0-2: A Contributed Package to the R Project for Statistical Computing Devoted to Biological Sequences Retrieval and Analysis</w:t>
          </w:r>
          <w:r>
            <w:t xml:space="preserve"> (pp. 207–232). Springer, Berlin, Heidelberg. https://doi.org/10.1007/978-3-540-35306-5_10</w:t>
          </w:r>
        </w:p>
        <w:p w14:paraId="6BC62C9C" w14:textId="77777777" w:rsidR="005E3F83" w:rsidRDefault="005E3F83" w:rsidP="005E3F83">
          <w:pPr>
            <w:pStyle w:val="mythesis"/>
            <w:divId w:val="1262640033"/>
          </w:pPr>
          <w:r>
            <w:t xml:space="preserve">Chen, K., Fessehaie, A., &amp; Arora, R. (2012). Selection of Reference Genes for Normalizing Gene Expression During Seed Priming and Germination Using qPCR in Zea mays and Spinacia oleracea. </w:t>
          </w:r>
          <w:r>
            <w:rPr>
              <w:i/>
            </w:rPr>
            <w:t>Plant Molecular Biology Reporter</w:t>
          </w:r>
          <w:r>
            <w:t xml:space="preserve">, </w:t>
          </w:r>
          <w:r>
            <w:rPr>
              <w:i/>
            </w:rPr>
            <w:t>30</w:t>
          </w:r>
          <w:r>
            <w:t>(2). https://doi.org/10.1007/s11105-011-0354-x</w:t>
          </w:r>
        </w:p>
        <w:p w14:paraId="2CAA5588" w14:textId="77777777" w:rsidR="005E3F83" w:rsidRDefault="005E3F83" w:rsidP="005E3F83">
          <w:pPr>
            <w:pStyle w:val="mythesis"/>
            <w:divId w:val="1493177909"/>
          </w:pPr>
          <w:r>
            <w:t xml:space="preserve">Chen, S., Jin, W., Liu, A., Zhang, S., Liu, D., Wang, F., Lin, X., &amp; He, C. (2013). Arbuscular mycorrhizal fungi (AMF) increase growth and secondary metabolism in cucumber subjected to low temperature stress. </w:t>
          </w:r>
          <w:r>
            <w:rPr>
              <w:i/>
            </w:rPr>
            <w:t>Scientia Horticulturae</w:t>
          </w:r>
          <w:r>
            <w:t xml:space="preserve">, </w:t>
          </w:r>
          <w:r>
            <w:rPr>
              <w:i/>
            </w:rPr>
            <w:t>160</w:t>
          </w:r>
          <w:r>
            <w:t>, 222–229. https://doi.org/10.1016/j.scienta.2013.05.039</w:t>
          </w:r>
        </w:p>
        <w:p w14:paraId="1DA01BCC" w14:textId="77777777" w:rsidR="005E3F83" w:rsidRDefault="005E3F83" w:rsidP="005E3F83">
          <w:pPr>
            <w:pStyle w:val="mythesis"/>
            <w:divId w:val="180317577"/>
          </w:pPr>
          <w:r>
            <w:t xml:space="preserve">Chu, Q., Wang, X., Yang, Y., Chen, F., Zhang, F., &amp; Feng, G. (2013a). Mycorrhizal responsiveness of maize (Zea mays L.) genotypes as related to releasing date and available P content in soil. </w:t>
          </w:r>
          <w:r>
            <w:rPr>
              <w:i/>
            </w:rPr>
            <w:t>Mycorrhiza</w:t>
          </w:r>
          <w:r>
            <w:t xml:space="preserve">, </w:t>
          </w:r>
          <w:r>
            <w:rPr>
              <w:i/>
            </w:rPr>
            <w:t>23</w:t>
          </w:r>
          <w:r>
            <w:t>(6), 497–505. https://doi.org/10.1007/s00572-013-0492-0</w:t>
          </w:r>
        </w:p>
        <w:p w14:paraId="22572F56" w14:textId="77777777" w:rsidR="005E3F83" w:rsidRDefault="005E3F83" w:rsidP="005E3F83">
          <w:pPr>
            <w:pStyle w:val="mythesis"/>
            <w:divId w:val="1200557727"/>
          </w:pPr>
          <w:r>
            <w:t xml:space="preserve">Chu, Q., Wang, X., Yang, Y., Chen, F., Zhang, F., &amp; Feng, G. (2013b). Mycorrhizal responsiveness of maize (Zea mays L.) genotypes as related to releasing date and available P content in soil. </w:t>
          </w:r>
          <w:r>
            <w:rPr>
              <w:i/>
            </w:rPr>
            <w:t>Mycorrhiza</w:t>
          </w:r>
          <w:r>
            <w:t xml:space="preserve">, </w:t>
          </w:r>
          <w:r>
            <w:rPr>
              <w:i/>
            </w:rPr>
            <w:t>23</w:t>
          </w:r>
          <w:r>
            <w:t>(6). https://doi.org/10.1007/s00572-013-0492-0</w:t>
          </w:r>
        </w:p>
        <w:p w14:paraId="05BFC200" w14:textId="77777777" w:rsidR="005E3F83" w:rsidRDefault="005E3F83" w:rsidP="005E3F83">
          <w:pPr>
            <w:pStyle w:val="mythesis"/>
            <w:divId w:val="1977098706"/>
          </w:pPr>
          <w:r>
            <w:t xml:space="preserve">Chu, Q., Zhang, L., Zhou, J., Yuan, L., Chen, F., Zhang, F., Feng, G., &amp; Rengel, Z. (2020a). Soil plant-available phosphorus levels and maize genotypes determine the phosphorus acquisition efficiency and contribution of mycorrhizal pathway. </w:t>
          </w:r>
          <w:r>
            <w:rPr>
              <w:i/>
            </w:rPr>
            <w:t>Plant and Soil</w:t>
          </w:r>
          <w:r>
            <w:t xml:space="preserve">, </w:t>
          </w:r>
          <w:r>
            <w:rPr>
              <w:i/>
            </w:rPr>
            <w:t>449</w:t>
          </w:r>
          <w:r>
            <w:t>(1–2), 357–371. https://doi.org/10.1007/s11104-020-04494-4</w:t>
          </w:r>
        </w:p>
        <w:p w14:paraId="28821F9E" w14:textId="77777777" w:rsidR="005E3F83" w:rsidRDefault="005E3F83" w:rsidP="005E3F83">
          <w:pPr>
            <w:pStyle w:val="mythesis"/>
            <w:divId w:val="424571507"/>
          </w:pPr>
          <w:r>
            <w:t xml:space="preserve">Chu, Q., Zhang, L., Zhou, J., Yuan, L., Chen, F., Zhang, F., Feng, G., &amp; Rengel, Z. (2020b). Soil plant-available phosphorus levels and maize genotypes determine the phosphorus acquisition efficiency and contribution of mycorrhizal pathway. </w:t>
          </w:r>
          <w:r>
            <w:rPr>
              <w:i/>
            </w:rPr>
            <w:t>Plant and Soil</w:t>
          </w:r>
          <w:r>
            <w:t xml:space="preserve">, </w:t>
          </w:r>
          <w:r>
            <w:rPr>
              <w:i/>
            </w:rPr>
            <w:t>449</w:t>
          </w:r>
          <w:r>
            <w:t>(1–2), 357–371. https://doi.org/10.1007/s11104-020-04494-4</w:t>
          </w:r>
        </w:p>
        <w:p w14:paraId="2303AAEB" w14:textId="77777777" w:rsidR="005E3F83" w:rsidRDefault="005E3F83" w:rsidP="005E3F83">
          <w:pPr>
            <w:pStyle w:val="mythesis"/>
            <w:divId w:val="1500075910"/>
          </w:pPr>
          <w:r>
            <w:lastRenderedPageBreak/>
            <w:t xml:space="preserve">Chung, S., Kong, H., Buyer, J. S., Lakshman, D. K., Lydon, J., Kim, S.-D., &amp; Roberts, D. P. (2008). Isolation and partial characterization of Bacillus subtilis ME488 for suppression of soilborne pathogens of cucumber and pepper. </w:t>
          </w:r>
          <w:r>
            <w:rPr>
              <w:i/>
            </w:rPr>
            <w:t>Applied Microbiology and Biotechnology</w:t>
          </w:r>
          <w:r>
            <w:t xml:space="preserve">, </w:t>
          </w:r>
          <w:r>
            <w:rPr>
              <w:i/>
            </w:rPr>
            <w:t>80</w:t>
          </w:r>
          <w:r>
            <w:t>(1). https://doi.org/10.1007/s00253-008-1520-4</w:t>
          </w:r>
        </w:p>
        <w:p w14:paraId="5EC0CDE3" w14:textId="77777777" w:rsidR="005E3F83" w:rsidRDefault="005E3F83" w:rsidP="005E3F83">
          <w:pPr>
            <w:pStyle w:val="mythesis"/>
            <w:divId w:val="1076971968"/>
          </w:pPr>
          <w:r>
            <w:t xml:space="preserve">Citernesi, A. S. , Fortuna, P. , Filippi, C. , Bagnoli, G., &amp; &amp; GiovannettiI, M. (1996). The occurrence of antagonistic bacteria in Glomus mosseae pot cultures. </w:t>
          </w:r>
          <w:r>
            <w:rPr>
              <w:i/>
            </w:rPr>
            <w:t xml:space="preserve">Agronomie-Sciences Des Productions Vegetales et de l’Environnement, </w:t>
          </w:r>
          <w:r>
            <w:t xml:space="preserve">, </w:t>
          </w:r>
          <w:r>
            <w:rPr>
              <w:i/>
            </w:rPr>
            <w:t>16</w:t>
          </w:r>
          <w:r>
            <w:t>, 671–678.</w:t>
          </w:r>
        </w:p>
        <w:p w14:paraId="25A77979" w14:textId="77777777" w:rsidR="005E3F83" w:rsidRDefault="005E3F83" w:rsidP="005E3F83">
          <w:pPr>
            <w:pStyle w:val="mythesis"/>
            <w:divId w:val="1832063473"/>
          </w:pPr>
          <w:r>
            <w:t xml:space="preserve">Conrath, U., Beckers, G. J. M., Flors, V., García-Agustín, P., Jakab, G., Mauch, F., Newman, M.-A., Pieterse, C. M. J., Poinssot, B., Pozo, M. J., Pugin, A., Schaffrath, U., Ton, J., Wendehenne, D., Zimmerli, L., &amp; Mauch-Mani, B. (2006). Priming: Getting Ready for Battle. </w:t>
          </w:r>
          <w:r>
            <w:rPr>
              <w:i/>
            </w:rPr>
            <w:t>Molecular Plant-Microbe Interactions®</w:t>
          </w:r>
          <w:r>
            <w:t xml:space="preserve">, </w:t>
          </w:r>
          <w:r>
            <w:rPr>
              <w:i/>
            </w:rPr>
            <w:t>19</w:t>
          </w:r>
          <w:r>
            <w:t>(10). https://doi.org/10.1094/MPMI-19-1062</w:t>
          </w:r>
        </w:p>
        <w:p w14:paraId="24EBE20A" w14:textId="77777777" w:rsidR="005E3F83" w:rsidRDefault="005E3F83" w:rsidP="005E3F83">
          <w:pPr>
            <w:pStyle w:val="mythesis"/>
            <w:divId w:val="1461261015"/>
          </w:pPr>
          <w:r>
            <w:t xml:space="preserve">Copetta, A., Lingua, G., &amp; Berta, G. (2006). Effects of three AM fungi on growth, distribution of glandular hairs, and essential oil production in Ocimum basilicum L. var. Genovese. </w:t>
          </w:r>
          <w:r>
            <w:rPr>
              <w:i/>
            </w:rPr>
            <w:t>Mycorrhiza</w:t>
          </w:r>
          <w:r>
            <w:t xml:space="preserve">, </w:t>
          </w:r>
          <w:r>
            <w:rPr>
              <w:i/>
            </w:rPr>
            <w:t>16</w:t>
          </w:r>
          <w:r>
            <w:t>(7). https://doi.org/10.1007/s00572-006-0065-6</w:t>
          </w:r>
        </w:p>
        <w:p w14:paraId="084B4D43" w14:textId="77777777" w:rsidR="005E3F83" w:rsidRDefault="005E3F83" w:rsidP="005E3F83">
          <w:pPr>
            <w:pStyle w:val="mythesis"/>
            <w:divId w:val="1657414228"/>
          </w:pPr>
          <w:r>
            <w:t xml:space="preserve">Cordier, C., Pozo, M. J., Barea, J. M., Gianinazzi, S., &amp; Gianinazzi-Pearson, V. (1998). Cell Defense Responses Associated with Localized and Systemic Resistance to </w:t>
          </w:r>
          <w:r>
            <w:rPr>
              <w:i/>
            </w:rPr>
            <w:t>Phytophthora parasitica</w:t>
          </w:r>
          <w:r>
            <w:t xml:space="preserve"> Induced in Tomato by an Arbuscular Mycorrhizal Fungus. </w:t>
          </w:r>
          <w:r>
            <w:rPr>
              <w:i/>
            </w:rPr>
            <w:t>Molecular Plant-Microbe Interactions®</w:t>
          </w:r>
          <w:r>
            <w:t xml:space="preserve">, </w:t>
          </w:r>
          <w:r>
            <w:rPr>
              <w:i/>
            </w:rPr>
            <w:t>11</w:t>
          </w:r>
          <w:r>
            <w:t>(10). https://doi.org/10.1094/MPMI.1998.11.10.1017</w:t>
          </w:r>
        </w:p>
        <w:p w14:paraId="4BDFBC96" w14:textId="77777777" w:rsidR="005E3F83" w:rsidRDefault="005E3F83" w:rsidP="005E3F83">
          <w:pPr>
            <w:pStyle w:val="mythesis"/>
            <w:divId w:val="150758374"/>
          </w:pPr>
          <w:r>
            <w:t xml:space="preserve">Corrêa, A., Cruz, C., Pérez-Tienda, J., &amp; Ferrol, N. (2014). Shedding light onto nutrient responses of arbuscular mycorrhizal plants: Nutrient interactions may lead to unpredicted outcomes of the symbiosis. </w:t>
          </w:r>
          <w:r>
            <w:rPr>
              <w:i/>
            </w:rPr>
            <w:t>Plant Science</w:t>
          </w:r>
          <w:r>
            <w:t xml:space="preserve">, </w:t>
          </w:r>
          <w:r>
            <w:rPr>
              <w:i/>
            </w:rPr>
            <w:t>221–222</w:t>
          </w:r>
          <w:r>
            <w:t>, 29–41. https://doi.org/10.1016/j.plantsci.2014.01.009</w:t>
          </w:r>
        </w:p>
        <w:p w14:paraId="615297A3" w14:textId="77777777" w:rsidR="005E3F83" w:rsidRDefault="005E3F83" w:rsidP="005E3F83">
          <w:pPr>
            <w:pStyle w:val="mythesis"/>
            <w:divId w:val="114522085"/>
          </w:pPr>
          <w:r>
            <w:t xml:space="preserve">Croteau, R. , Kutchan, T. M., &amp; and Lewis, N. G. (2000). Natural Products (Secondary Metabolites).  . In </w:t>
          </w:r>
          <w:r>
            <w:rPr>
              <w:i/>
            </w:rPr>
            <w:t>Biochemistry and Molecular Biology of Plants,</w:t>
          </w:r>
          <w:r>
            <w:t xml:space="preserve"> (Vol. 24, pp. 1250–1319).</w:t>
          </w:r>
        </w:p>
        <w:p w14:paraId="38903D8E" w14:textId="77777777" w:rsidR="005E3F83" w:rsidRDefault="005E3F83" w:rsidP="005E3F83">
          <w:pPr>
            <w:pStyle w:val="mythesis"/>
            <w:divId w:val="846944611"/>
          </w:pPr>
          <w:r>
            <w:lastRenderedPageBreak/>
            <w:t xml:space="preserve">Crozier, R. H. (1997). Preserving the information content of species: genetic diversity, phylogeny,and conservation worth. </w:t>
          </w:r>
          <w:r>
            <w:rPr>
              <w:i/>
            </w:rPr>
            <w:t>Annual Review of Ecology and Systematics</w:t>
          </w:r>
          <w:r>
            <w:t xml:space="preserve">, </w:t>
          </w:r>
          <w:r>
            <w:rPr>
              <w:i/>
            </w:rPr>
            <w:t>28</w:t>
          </w:r>
          <w:r>
            <w:t>(1). https://doi.org/10.1146/annurev.ecolsys.28.1.243</w:t>
          </w:r>
        </w:p>
        <w:p w14:paraId="1096354C" w14:textId="77777777" w:rsidR="005E3F83" w:rsidRDefault="005E3F83" w:rsidP="005E3F83">
          <w:pPr>
            <w:pStyle w:val="mythesis"/>
            <w:divId w:val="1483892819"/>
          </w:pPr>
          <w:r>
            <w:t xml:space="preserve">Csathó, P., Sisák, I., Radimszky, L., Lushaj, S., Spiegel, H., Nikolova, M. T., Nikolov, N., Čermák, P., Klir, J., Astover, A., Karklins, A., Lazauskas, S., Kopiński, J., Hera, C., Dumitru, E., Manojlovic, M., Bogdanović, D., Torma, S., Leskošek, M., &amp; Khristenko, A. (2007). Agriculture as a source of phosphorus causing eutrophication in Central and Eastern Europe. </w:t>
          </w:r>
          <w:r>
            <w:rPr>
              <w:i/>
            </w:rPr>
            <w:t>Soil Use and Management</w:t>
          </w:r>
          <w:r>
            <w:t xml:space="preserve">, </w:t>
          </w:r>
          <w:r>
            <w:rPr>
              <w:i/>
            </w:rPr>
            <w:t>23</w:t>
          </w:r>
          <w:r>
            <w:t>(s1), 36–56. https://doi.org/10.1111/j.1475-2743.2007.00109.x</w:t>
          </w:r>
        </w:p>
        <w:p w14:paraId="6D876DBD" w14:textId="77777777" w:rsidR="005E3F83" w:rsidRDefault="005E3F83" w:rsidP="005E3F83">
          <w:pPr>
            <w:pStyle w:val="mythesis"/>
            <w:divId w:val="1311516285"/>
          </w:pPr>
          <w:r>
            <w:t xml:space="preserve">Dambolena, J. S., López, A. G., Cánepa, M. C., Theumer, M. G., Zygadlo, J. A., &amp; Rubinstein, H. R. (2008). Inhibitory effect of cyclic terpenes (limonene, menthol, menthone and thymol) on Fusarium verticillioides MRC 826 growth and fumonisin B1 biosynthesis. </w:t>
          </w:r>
          <w:r>
            <w:rPr>
              <w:i/>
            </w:rPr>
            <w:t>Toxicon</w:t>
          </w:r>
          <w:r>
            <w:t xml:space="preserve">, </w:t>
          </w:r>
          <w:r>
            <w:rPr>
              <w:i/>
            </w:rPr>
            <w:t>51</w:t>
          </w:r>
          <w:r>
            <w:t>(1). https://doi.org/10.1016/j.toxicon.2007.07.005</w:t>
          </w:r>
        </w:p>
        <w:p w14:paraId="7F89D049" w14:textId="77777777" w:rsidR="005E3F83" w:rsidRDefault="005E3F83" w:rsidP="005E3F83">
          <w:pPr>
            <w:pStyle w:val="mythesis"/>
            <w:divId w:val="286548819"/>
          </w:pPr>
          <w:r>
            <w:t xml:space="preserve">Dambolena, J. S., López, A. G., Meriles, J. M., Rubinstein, H. R., &amp; Zygadlo, J. A. (2012). Inhibitory effect of 10 natural phenolic compounds on Fusarium verticillioides. A structure–property–activity relationship study. </w:t>
          </w:r>
          <w:r>
            <w:rPr>
              <w:i/>
            </w:rPr>
            <w:t>Food Control</w:t>
          </w:r>
          <w:r>
            <w:t xml:space="preserve">, </w:t>
          </w:r>
          <w:r>
            <w:rPr>
              <w:i/>
            </w:rPr>
            <w:t>28</w:t>
          </w:r>
          <w:r>
            <w:t>(1). https://doi.org/10.1016/j.foodcont.2012.05.008</w:t>
          </w:r>
        </w:p>
        <w:p w14:paraId="65087E9F" w14:textId="77777777" w:rsidR="005E3F83" w:rsidRDefault="005E3F83" w:rsidP="005E3F83">
          <w:pPr>
            <w:pStyle w:val="mythesis"/>
            <w:divId w:val="433676667"/>
          </w:pPr>
          <w:r>
            <w:t xml:space="preserve">Dambolena, J. S. ;, Zunino, M. P. ;, López, A. G. ;, Rubinstein, H. R. ;, Zygadlo, J. A. ;, MwaJ.W.;, Thoithi, G. N. ;, Kibwage, I. O. ;, Mwalukumbi, J. M. ;, &amp; Kariuki, S. T. (2010). Essential oils composition of Ocimum basilicumL. and Ocimum gratissimumL. from Kenya and their inhibitory effects on growth and fumonisin production by Fusarium verticillioides. . </w:t>
          </w:r>
          <w:r>
            <w:rPr>
              <w:i/>
            </w:rPr>
            <w:t>Innov.Food Sci.Emerg.Technol</w:t>
          </w:r>
          <w:r>
            <w:t xml:space="preserve">, </w:t>
          </w:r>
          <w:r>
            <w:rPr>
              <w:i/>
            </w:rPr>
            <w:t>11</w:t>
          </w:r>
          <w:r>
            <w:t>, 410–414.</w:t>
          </w:r>
        </w:p>
        <w:p w14:paraId="11EE8E94" w14:textId="77777777" w:rsidR="005E3F83" w:rsidRDefault="005E3F83" w:rsidP="005E3F83">
          <w:pPr>
            <w:pStyle w:val="mythesis"/>
            <w:divId w:val="1046221515"/>
          </w:pPr>
          <w:r>
            <w:t xml:space="preserve">Daneshmand, F., Arvin, M. J., &amp; Kalantari, K. M. (2010). Physiological responses to NaCl stress in three wild species of potato in vitro. </w:t>
          </w:r>
          <w:r>
            <w:rPr>
              <w:i/>
            </w:rPr>
            <w:t>Acta Physiologiae Plantarum</w:t>
          </w:r>
          <w:r>
            <w:t xml:space="preserve">, </w:t>
          </w:r>
          <w:r>
            <w:rPr>
              <w:i/>
            </w:rPr>
            <w:t>32</w:t>
          </w:r>
          <w:r>
            <w:t>(1). https://doi.org/10.1007/s11738-009-0384-2</w:t>
          </w:r>
        </w:p>
        <w:p w14:paraId="07E07E10" w14:textId="77777777" w:rsidR="005E3F83" w:rsidRDefault="005E3F83" w:rsidP="005E3F83">
          <w:pPr>
            <w:pStyle w:val="mythesis"/>
            <w:divId w:val="93718738"/>
          </w:pPr>
          <w:r>
            <w:lastRenderedPageBreak/>
            <w:t xml:space="preserve">de Melo, K. A., &amp; Carrenho, R. (2017). Growth and mycorrhizal colonization of maize plants treated with aqueous extracts from nonmycorrhizal weeds. </w:t>
          </w:r>
          <w:r>
            <w:rPr>
              <w:i/>
            </w:rPr>
            <w:t>Pesquisa Agropecuaria Brasileira</w:t>
          </w:r>
          <w:r>
            <w:t xml:space="preserve">, </w:t>
          </w:r>
          <w:r>
            <w:rPr>
              <w:i/>
            </w:rPr>
            <w:t>52</w:t>
          </w:r>
          <w:r>
            <w:t>(11), 1042–1049. https://doi.org/10.1590/S0100-204X2017001100010</w:t>
          </w:r>
        </w:p>
        <w:p w14:paraId="4A50EB6D" w14:textId="77777777" w:rsidR="005E3F83" w:rsidRDefault="005E3F83" w:rsidP="005E3F83">
          <w:pPr>
            <w:pStyle w:val="mythesis"/>
            <w:divId w:val="1941988607"/>
          </w:pPr>
          <w:r>
            <w:t xml:space="preserve">de Torres Zabala, M., Littlejohn, G., Jayaraman, S., Studholme, D., Bailey, T., Lawson, T., Tillich, M., Licht, D., Bölter, B., Delfino, L., Truman, W., Mansfield, J., Smirnoff, N., &amp; Grant, M. (2015). Chloroplasts play a central role in plant defence and are targeted by pathogen effectors. </w:t>
          </w:r>
          <w:r>
            <w:rPr>
              <w:i/>
            </w:rPr>
            <w:t>Nature Plants</w:t>
          </w:r>
          <w:r>
            <w:t xml:space="preserve">, </w:t>
          </w:r>
          <w:r>
            <w:rPr>
              <w:i/>
            </w:rPr>
            <w:t>1</w:t>
          </w:r>
          <w:r>
            <w:t>(6). https://doi.org/10.1038/nplants.2015.74</w:t>
          </w:r>
        </w:p>
        <w:p w14:paraId="1D64969B" w14:textId="77777777" w:rsidR="005E3F83" w:rsidRDefault="005E3F83" w:rsidP="005E3F83">
          <w:pPr>
            <w:pStyle w:val="mythesis"/>
            <w:divId w:val="853375359"/>
          </w:pPr>
          <w:r>
            <w:t xml:space="preserve">de Torres-Zabala, M., Truman, W., Bennett, M. H., Lafforgue, G., Mansfield, J. W., Rodriguez Egea, P., Bögre, L., &amp; Grant, M. (2007). Pseudomonas syringae pv. tomato hijacks the Arabidopsis abscisic acid signalling pathway to cause disease. </w:t>
          </w:r>
          <w:r>
            <w:rPr>
              <w:i/>
            </w:rPr>
            <w:t>The EMBO Journal</w:t>
          </w:r>
          <w:r>
            <w:t xml:space="preserve">, </w:t>
          </w:r>
          <w:r>
            <w:rPr>
              <w:i/>
            </w:rPr>
            <w:t>26</w:t>
          </w:r>
          <w:r>
            <w:t>(5). https://doi.org/10.1038/sj.emboj.7601575</w:t>
          </w:r>
        </w:p>
        <w:p w14:paraId="36F28244" w14:textId="77777777" w:rsidR="005E3F83" w:rsidRDefault="005E3F83" w:rsidP="005E3F83">
          <w:pPr>
            <w:pStyle w:val="mythesis"/>
            <w:divId w:val="620497218"/>
          </w:pPr>
          <w:r>
            <w:t xml:space="preserve">Debasis, P., &amp; and Paramjit, K. (2001). Wheat biotechnology: A minireview. . </w:t>
          </w:r>
          <w:r>
            <w:rPr>
              <w:i/>
            </w:rPr>
            <w:t>Electronic Journal of Biotechnology</w:t>
          </w:r>
          <w:r>
            <w:t xml:space="preserve">, </w:t>
          </w:r>
          <w:r>
            <w:rPr>
              <w:i/>
            </w:rPr>
            <w:t>4</w:t>
          </w:r>
          <w:r>
            <w:t>, 74–102.</w:t>
          </w:r>
        </w:p>
        <w:p w14:paraId="107C28E6" w14:textId="77777777" w:rsidR="005E3F83" w:rsidRDefault="005E3F83" w:rsidP="005E3F83">
          <w:pPr>
            <w:pStyle w:val="mythesis"/>
            <w:divId w:val="808592954"/>
          </w:pPr>
          <w:r>
            <w:t xml:space="preserve">Declerck, S., Plenchette, C., &amp; Strullu, D. G. (1995). Mycorrhizal dependency of banana (Musa acuminata, AAA group) cultivar. In </w:t>
          </w:r>
          <w:r>
            <w:rPr>
              <w:i/>
            </w:rPr>
            <w:t>Plant and Soil</w:t>
          </w:r>
          <w:r>
            <w:t xml:space="preserve"> (Vol. 176). Kluwer Academic Publishers.</w:t>
          </w:r>
        </w:p>
        <w:p w14:paraId="0639A9E5" w14:textId="77777777" w:rsidR="005E3F83" w:rsidRDefault="005E3F83" w:rsidP="005E3F83">
          <w:pPr>
            <w:pStyle w:val="mythesis"/>
            <w:divId w:val="155582501"/>
          </w:pPr>
          <w:r>
            <w:t xml:space="preserve">Dewick, P. M. (2002). </w:t>
          </w:r>
          <w:r>
            <w:rPr>
              <w:i/>
            </w:rPr>
            <w:t>Medicinal natural products : a biosynthetic approach</w:t>
          </w:r>
          <w:r>
            <w:t>. 507.</w:t>
          </w:r>
        </w:p>
        <w:p w14:paraId="6D375B5A" w14:textId="77777777" w:rsidR="005E3F83" w:rsidRDefault="005E3F83" w:rsidP="005E3F83">
          <w:pPr>
            <w:pStyle w:val="mythesis"/>
            <w:divId w:val="257176775"/>
          </w:pPr>
          <w:r>
            <w:t xml:space="preserve">Dixon, R. A., &amp; Paiva, N. L. (1995). Stress-Induced Phenylpropanoid Metabolism. </w:t>
          </w:r>
          <w:r>
            <w:rPr>
              <w:i/>
            </w:rPr>
            <w:t>The Plant Cell</w:t>
          </w:r>
          <w:r>
            <w:t>. https://doi.org/10.1105/tpc.7.7.1085</w:t>
          </w:r>
        </w:p>
        <w:p w14:paraId="7FB88F7E" w14:textId="77777777" w:rsidR="005E3F83" w:rsidRDefault="005E3F83" w:rsidP="005E3F83">
          <w:pPr>
            <w:pStyle w:val="mythesis"/>
            <w:divId w:val="1307275155"/>
          </w:pPr>
          <w:r>
            <w:t xml:space="preserve">Dobbelaere, S., Vanderleyden, J., &amp; Okon, Y. (2003). Plant Growth-Promoting Effects of Diazotrophs in the Rhizosphere. </w:t>
          </w:r>
          <w:r>
            <w:rPr>
              <w:i/>
            </w:rPr>
            <w:t>Critical Reviews in Plant Sciences</w:t>
          </w:r>
          <w:r>
            <w:t xml:space="preserve">, </w:t>
          </w:r>
          <w:r>
            <w:rPr>
              <w:i/>
            </w:rPr>
            <w:t>22</w:t>
          </w:r>
          <w:r>
            <w:t>(2). https://doi.org/10.1080/713610853</w:t>
          </w:r>
        </w:p>
        <w:p w14:paraId="6665C218" w14:textId="77777777" w:rsidR="005E3F83" w:rsidRDefault="005E3F83" w:rsidP="005E3F83">
          <w:pPr>
            <w:pStyle w:val="mythesis"/>
            <w:divId w:val="203098094"/>
          </w:pPr>
          <w:r>
            <w:lastRenderedPageBreak/>
            <w:t xml:space="preserve">Dong, Allen., Rendig, V. v., Burau, R. G., &amp; Besga, G. S. (1987). Phosphoric acid, nitric acid, and hydrogen peroxide digestion of soil and plant materials for selenium determination. </w:t>
          </w:r>
          <w:r>
            <w:rPr>
              <w:i/>
            </w:rPr>
            <w:t>Analytical Chemistry</w:t>
          </w:r>
          <w:r>
            <w:t xml:space="preserve">, </w:t>
          </w:r>
          <w:r>
            <w:rPr>
              <w:i/>
            </w:rPr>
            <w:t>59</w:t>
          </w:r>
          <w:r>
            <w:t>(22). https://doi.org/10.1021/ac00149a020</w:t>
          </w:r>
        </w:p>
        <w:p w14:paraId="68D3ED28" w14:textId="77777777" w:rsidR="005E3F83" w:rsidRDefault="005E3F83" w:rsidP="005E3F83">
          <w:pPr>
            <w:pStyle w:val="mythesis"/>
            <w:divId w:val="763962830"/>
          </w:pPr>
          <w:r>
            <w:t xml:space="preserve">Drigo, B., Pijl, A. S., Duyts, H., Kielak, A. M., Gamper, H. A., Houtekamer, M. J., Boschker, H. T. S., Bodelier, P. L. E., Whiteley, A. S., Veen, J. A. v., &amp; Kowalchuk, G. A. (2010). Shifting carbon flow from roots into associated microbial communities in response to elevated atmospheric CO2. </w:t>
          </w:r>
          <w:r>
            <w:rPr>
              <w:i/>
            </w:rPr>
            <w:t>Proceedings of the National Academy of Sciences</w:t>
          </w:r>
          <w:r>
            <w:t xml:space="preserve">, </w:t>
          </w:r>
          <w:r>
            <w:rPr>
              <w:i/>
            </w:rPr>
            <w:t>107</w:t>
          </w:r>
          <w:r>
            <w:t>(24). https://doi.org/10.1073/pnas.0912421107</w:t>
          </w:r>
        </w:p>
        <w:p w14:paraId="253DFA97" w14:textId="77777777" w:rsidR="005E3F83" w:rsidRDefault="005E3F83" w:rsidP="005E3F83">
          <w:pPr>
            <w:pStyle w:val="mythesis"/>
            <w:divId w:val="1896815310"/>
          </w:pPr>
          <w:r>
            <w:t xml:space="preserve">Dubcovsky, J. (2004). Marker-assisted selection in public breeding programs:The wheat experience. </w:t>
          </w:r>
          <w:r>
            <w:rPr>
              <w:i/>
            </w:rPr>
            <w:t>Crop Sci.</w:t>
          </w:r>
          <w:r>
            <w:t xml:space="preserve">, </w:t>
          </w:r>
          <w:r>
            <w:rPr>
              <w:i/>
            </w:rPr>
            <w:t>44</w:t>
          </w:r>
          <w:r>
            <w:t>, 1895–1898.</w:t>
          </w:r>
        </w:p>
        <w:p w14:paraId="55C32B47" w14:textId="77777777" w:rsidR="005E3F83" w:rsidRDefault="005E3F83" w:rsidP="005E3F83">
          <w:pPr>
            <w:pStyle w:val="mythesis"/>
            <w:divId w:val="1717970773"/>
          </w:pPr>
          <w:r>
            <w:t xml:space="preserve">Duc, N. H., Vo, A. T., Haddidi, I., Daood, H., &amp; Posta, K. (2021). Arbuscular Mycorrhizal Fungi Improve Tolerance of the Medicinal Plant Eclipta prostrata (L.) and Induce Major Changes in Polyphenol Profiles Under Salt Stresses. </w:t>
          </w:r>
          <w:r>
            <w:rPr>
              <w:i/>
            </w:rPr>
            <w:t>Frontiers in Plant Science</w:t>
          </w:r>
          <w:r>
            <w:t xml:space="preserve">, </w:t>
          </w:r>
          <w:r>
            <w:rPr>
              <w:i/>
            </w:rPr>
            <w:t>11</w:t>
          </w:r>
          <w:r>
            <w:t>. https://doi.org/10.3389/fpls.2020.612299</w:t>
          </w:r>
        </w:p>
        <w:p w14:paraId="3B601404" w14:textId="77777777" w:rsidR="005E3F83" w:rsidRDefault="005E3F83" w:rsidP="005E3F83">
          <w:pPr>
            <w:pStyle w:val="mythesis"/>
            <w:divId w:val="1869441078"/>
          </w:pPr>
          <w:r>
            <w:t xml:space="preserve">Dudareva, N., Pichersky, E., &amp; Gershenzon, J. (2004). Biochemistry of Plant Volatiles. </w:t>
          </w:r>
          <w:r>
            <w:rPr>
              <w:i/>
            </w:rPr>
            <w:t>Plant Physiology</w:t>
          </w:r>
          <w:r>
            <w:t xml:space="preserve">, </w:t>
          </w:r>
          <w:r>
            <w:rPr>
              <w:i/>
            </w:rPr>
            <w:t>135</w:t>
          </w:r>
          <w:r>
            <w:t>(4). https://doi.org/10.1104/pp.104.049981</w:t>
          </w:r>
        </w:p>
        <w:p w14:paraId="6FECB365" w14:textId="77777777" w:rsidR="005E3F83" w:rsidRDefault="005E3F83" w:rsidP="005E3F83">
          <w:pPr>
            <w:pStyle w:val="mythesis"/>
            <w:divId w:val="1969505501"/>
          </w:pPr>
          <w:r>
            <w:t xml:space="preserve">Dutta, A. ;, Sen, J. ;, &amp; Deswal, R. (2007). Downregulation of terpenoid indole alkaloid biosynthetic pathway by low temperature and cloningof a AP2 type C-repeat binding factor (CBF) fromCatharanthus roseus(L). G. . </w:t>
          </w:r>
          <w:r>
            <w:rPr>
              <w:i/>
            </w:rPr>
            <w:t xml:space="preserve">Don.Plant Cell Rep. </w:t>
          </w:r>
          <w:r>
            <w:t xml:space="preserve">, </w:t>
          </w:r>
          <w:r>
            <w:rPr>
              <w:i/>
            </w:rPr>
            <w:t>26</w:t>
          </w:r>
          <w:r>
            <w:t>, 1869–1878.</w:t>
          </w:r>
        </w:p>
        <w:p w14:paraId="66AB10A4" w14:textId="77777777" w:rsidR="005E3F83" w:rsidRDefault="005E3F83" w:rsidP="005E3F83">
          <w:pPr>
            <w:pStyle w:val="mythesis"/>
            <w:divId w:val="1790005825"/>
          </w:pPr>
          <w:r>
            <w:t xml:space="preserve">Edris, S., Abo-Aba, S., Algandaby, M. M., MRamadan, A., Gadalla, N. O., Al-Kordy, M. A., Sabir, J. S., El-Domyati, F. M., Alzohairy, A. M., Bahieldin, A., Ramadan, A. M., &amp; Bahieldin Molecular, A. (2014). Molecular characterization of tomato cultivarsgrown in Saudi Arabia and differing in earliness of fruit development as revealed by AFLP and ISSR. In </w:t>
          </w:r>
          <w:r>
            <w:rPr>
              <w:i/>
            </w:rPr>
            <w:t>Life Science Journal</w:t>
          </w:r>
          <w:r>
            <w:t xml:space="preserve"> (Vol. 11, Issue 8s). http://www.lifesciencesite.comhttp://www.lifesciencesite.com.</w:t>
          </w:r>
        </w:p>
        <w:p w14:paraId="4BAA5398" w14:textId="77777777" w:rsidR="005E3F83" w:rsidRDefault="005E3F83" w:rsidP="005E3F83">
          <w:pPr>
            <w:pStyle w:val="mythesis"/>
            <w:divId w:val="582497867"/>
          </w:pPr>
          <w:r>
            <w:lastRenderedPageBreak/>
            <w:t xml:space="preserve">Eftekhari, M., Alizadeh, M., &amp; Ebrahimi, P. (2012). Evaluation of the total phenolics and quercetin content of foliage in mycorrhizal grape (Vitis vinifera L.) varieties and effect of postharvest drying on quercetin yield. </w:t>
          </w:r>
          <w:r>
            <w:rPr>
              <w:i/>
            </w:rPr>
            <w:t>Industrial Crops and Products</w:t>
          </w:r>
          <w:r>
            <w:t xml:space="preserve">, </w:t>
          </w:r>
          <w:r>
            <w:rPr>
              <w:i/>
            </w:rPr>
            <w:t>38</w:t>
          </w:r>
          <w:r>
            <w:t>. https://doi.org/10.1016/j.indcrop.2012.01.022</w:t>
          </w:r>
        </w:p>
        <w:p w14:paraId="6055DD43" w14:textId="77777777" w:rsidR="005E3F83" w:rsidRDefault="005E3F83" w:rsidP="005E3F83">
          <w:pPr>
            <w:pStyle w:val="mythesis"/>
            <w:divId w:val="2056347219"/>
          </w:pPr>
          <w:r>
            <w:t xml:space="preserve">Elliott, A. J., Daniell, T. J., Cameron, D. D., &amp; Field, K. J. (2020). A commercial arbuscular mycorrhizal inoculum increases root colonization across wheat cultivars but does not increase assimilation of mycorrhiza‐acquired nutrients. </w:t>
          </w:r>
          <w:r>
            <w:rPr>
              <w:i/>
            </w:rPr>
            <w:t>PLANTS, PEOPLE, PLANET</w:t>
          </w:r>
          <w:r>
            <w:t>, ppp3.10094. https://doi.org/10.1002/ppp3.10094</w:t>
          </w:r>
        </w:p>
        <w:p w14:paraId="59163485" w14:textId="77777777" w:rsidR="005E3F83" w:rsidRDefault="005E3F83" w:rsidP="005E3F83">
          <w:pPr>
            <w:pStyle w:val="mythesis"/>
            <w:divId w:val="917833963"/>
          </w:pPr>
          <w:r>
            <w:t xml:space="preserve">Elliott, A. J., Daniell, T. J., Cameron, D. D., &amp; Field, K. J. (2021). A commercial arbuscular mycorrhizal inoculum increases root colonization across wheat cultivars but does not increase assimilation of mycorrhiza‐acquired nutrients. </w:t>
          </w:r>
          <w:r>
            <w:rPr>
              <w:i/>
            </w:rPr>
            <w:t>PLANTS, PEOPLE, PLANET</w:t>
          </w:r>
          <w:r>
            <w:t xml:space="preserve">, </w:t>
          </w:r>
          <w:r>
            <w:rPr>
              <w:i/>
            </w:rPr>
            <w:t>3</w:t>
          </w:r>
          <w:r>
            <w:t>(5), 588–599. https://doi.org/10.1002/ppp3.10094</w:t>
          </w:r>
        </w:p>
        <w:p w14:paraId="43E9C2B5" w14:textId="77777777" w:rsidR="005E3F83" w:rsidRDefault="005E3F83" w:rsidP="005E3F83">
          <w:pPr>
            <w:pStyle w:val="mythesis"/>
            <w:divId w:val="671762508"/>
          </w:pPr>
          <w:r>
            <w:t xml:space="preserve">Elsadig Idris, A., Babiker Hamza, N., Osman Yagoub, S., Ibrahim, A. I., &amp; El-Amin, H. K. (2012). Maize (Zea mays L.) Genotypes Diversity Study by Utilization of Inter-Simple Sequence Repeat (ISSR) Markers. </w:t>
          </w:r>
          <w:r>
            <w:rPr>
              <w:i/>
            </w:rPr>
            <w:t>Australian Journal of Basic and Applied Sciences</w:t>
          </w:r>
          <w:r>
            <w:t xml:space="preserve">, </w:t>
          </w:r>
          <w:r>
            <w:rPr>
              <w:i/>
            </w:rPr>
            <w:t>6</w:t>
          </w:r>
          <w:r>
            <w:t>(10), 42–47.</w:t>
          </w:r>
        </w:p>
        <w:p w14:paraId="79DF8546" w14:textId="77777777" w:rsidR="005E3F83" w:rsidRDefault="005E3F83" w:rsidP="005E3F83">
          <w:pPr>
            <w:pStyle w:val="mythesis"/>
            <w:divId w:val="780225861"/>
          </w:pPr>
          <w:r>
            <w:t xml:space="preserve">Etalo, D. W., Díez-Simón, C., de Vos, R. C. H., &amp; Hall, R. D. (2018). </w:t>
          </w:r>
          <w:r>
            <w:rPr>
              <w:i/>
            </w:rPr>
            <w:t>Laser Ablation Electrospray Ionization-Mass Spectrometry Imaging (LAESI-MS) for Spatially Resolved Plant Metabolomics</w:t>
          </w:r>
          <w:r>
            <w:t>. https://doi.org/10.1007/978-1-4939-7819-9_18</w:t>
          </w:r>
        </w:p>
        <w:p w14:paraId="0F08C15F" w14:textId="77777777" w:rsidR="005E3F83" w:rsidRDefault="005E3F83" w:rsidP="005E3F83">
          <w:pPr>
            <w:pStyle w:val="mythesis"/>
            <w:divId w:val="2146924382"/>
          </w:pPr>
          <w:r>
            <w:t xml:space="preserve">FAO. (2003). http://www.fao.org/3/av007e/av007e.pdf. </w:t>
          </w:r>
          <w:r>
            <w:rPr>
              <w:i/>
            </w:rPr>
            <w:t>Http://Www.Fao.Org/in-Action/Inpho/Crop-Compendium/Cereals-Grains/En/</w:t>
          </w:r>
          <w:r>
            <w:t>.</w:t>
          </w:r>
        </w:p>
        <w:p w14:paraId="5DEF2590" w14:textId="77777777" w:rsidR="005E3F83" w:rsidRDefault="005E3F83" w:rsidP="005E3F83">
          <w:pPr>
            <w:pStyle w:val="mythesis"/>
            <w:divId w:val="192234554"/>
          </w:pPr>
          <w:r>
            <w:t xml:space="preserve">FAO. (2008). </w:t>
          </w:r>
          <w:r>
            <w:rPr>
              <w:i/>
            </w:rPr>
            <w:t xml:space="preserve">Food and Agricultural Organization of the United Nations. The State of Food Insecurity in the World : High Food Prices and Food Security-Threats and Opportunities. </w:t>
          </w:r>
          <w:r>
            <w:t>.</w:t>
          </w:r>
        </w:p>
        <w:p w14:paraId="3A80ED2A" w14:textId="77777777" w:rsidR="005E3F83" w:rsidRDefault="005E3F83" w:rsidP="005E3F83">
          <w:pPr>
            <w:pStyle w:val="mythesis"/>
            <w:divId w:val="1945920044"/>
          </w:pPr>
          <w:r>
            <w:lastRenderedPageBreak/>
            <w:t xml:space="preserve">FAO. (2021). </w:t>
          </w:r>
          <w:r>
            <w:rPr>
              <w:i/>
            </w:rPr>
            <w:t>FAO Cereal Supply and Demand Brief http://www.fao.org/worldfoodsituation/csdb/en/</w:t>
          </w:r>
          <w:r>
            <w:t>.</w:t>
          </w:r>
        </w:p>
        <w:p w14:paraId="7F1734A7" w14:textId="77777777" w:rsidR="005E3F83" w:rsidRDefault="005E3F83" w:rsidP="005E3F83">
          <w:pPr>
            <w:pStyle w:val="mythesis"/>
            <w:divId w:val="1729961740"/>
          </w:pPr>
          <w:r>
            <w:t xml:space="preserve">Fellbaum, C. R., Mensah, J. A., Cloos, A. J., Strahan, G. E., Pfeffer, P. E., Kiers, E. T., &amp; Bücking, H. (2014). Fungal nutrient allocation in common mycorrhizal networks is regulated by the carbon source strength of individual host plants. </w:t>
          </w:r>
          <w:r>
            <w:rPr>
              <w:i/>
            </w:rPr>
            <w:t>New Phytologist</w:t>
          </w:r>
          <w:r>
            <w:t xml:space="preserve">, </w:t>
          </w:r>
          <w:r>
            <w:rPr>
              <w:i/>
            </w:rPr>
            <w:t>203</w:t>
          </w:r>
          <w:r>
            <w:t>(2), 646–656. https://doi.org/10.1111/nph.12827</w:t>
          </w:r>
        </w:p>
        <w:p w14:paraId="384BE70D" w14:textId="77777777" w:rsidR="005E3F83" w:rsidRDefault="005E3F83" w:rsidP="005E3F83">
          <w:pPr>
            <w:pStyle w:val="mythesis"/>
            <w:divId w:val="530000153"/>
          </w:pPr>
          <w:r>
            <w:t xml:space="preserve">Fernández, I., Merlos, M., López-Ráez, J. A., Martínez-Medina, A., Ferrol, N., Azcón, C., Bonfante, P., Flors, V., &amp; Pozo, M. J. (2014). Defense Related Phytohormones Regulation in Arbuscular Mycorrhizal Symbioses Depends on the Partner Genotypes. </w:t>
          </w:r>
          <w:r>
            <w:rPr>
              <w:i/>
            </w:rPr>
            <w:t>Journal of Chemical Ecology</w:t>
          </w:r>
          <w:r>
            <w:t xml:space="preserve">, </w:t>
          </w:r>
          <w:r>
            <w:rPr>
              <w:i/>
            </w:rPr>
            <w:t>40</w:t>
          </w:r>
          <w:r>
            <w:t>(7). https://doi.org/10.1007/s10886-014-0473-6</w:t>
          </w:r>
        </w:p>
        <w:p w14:paraId="52EBA547" w14:textId="77777777" w:rsidR="005E3F83" w:rsidRDefault="005E3F83" w:rsidP="005E3F83">
          <w:pPr>
            <w:pStyle w:val="mythesis"/>
            <w:divId w:val="1201819304"/>
          </w:pPr>
          <w:r>
            <w:t xml:space="preserve">Fester, T., Fetzer, I., Buchert, S., Lucas, R., Rillig, M. C., &amp; Härtig, C. (2011). Towards a systemic metabolic signature of the arbuscular mycorrhizal interaction. </w:t>
          </w:r>
          <w:r>
            <w:rPr>
              <w:i/>
            </w:rPr>
            <w:t>Oecologia</w:t>
          </w:r>
          <w:r>
            <w:t xml:space="preserve">, </w:t>
          </w:r>
          <w:r>
            <w:rPr>
              <w:i/>
            </w:rPr>
            <w:t>167</w:t>
          </w:r>
          <w:r>
            <w:t>(4). https://doi.org/10.1007/s00442-011-2037-6</w:t>
          </w:r>
        </w:p>
        <w:p w14:paraId="3530808A" w14:textId="77777777" w:rsidR="005E3F83" w:rsidRDefault="005E3F83" w:rsidP="005E3F83">
          <w:pPr>
            <w:pStyle w:val="mythesis"/>
            <w:divId w:val="876895337"/>
          </w:pPr>
          <w:r>
            <w:t xml:space="preserve">Fester, T., &amp; Hause, G. (2005). Accumulation of reactive oxygen species in arbuscular mycorrhizal roots. </w:t>
          </w:r>
          <w:r>
            <w:rPr>
              <w:i/>
            </w:rPr>
            <w:t>Mycorrhiza</w:t>
          </w:r>
          <w:r>
            <w:t xml:space="preserve">, </w:t>
          </w:r>
          <w:r>
            <w:rPr>
              <w:i/>
            </w:rPr>
            <w:t>15</w:t>
          </w:r>
          <w:r>
            <w:t>(5). https://doi.org/10.1007/s00572-005-0363-4</w:t>
          </w:r>
        </w:p>
        <w:p w14:paraId="20C00F9E" w14:textId="77777777" w:rsidR="005E3F83" w:rsidRDefault="005E3F83" w:rsidP="005E3F83">
          <w:pPr>
            <w:pStyle w:val="mythesis"/>
            <w:divId w:val="1562523046"/>
          </w:pPr>
          <w:r>
            <w:t xml:space="preserve">Fester, T., Maier, W., &amp; Strack, D. (1999). Accumulation of secondary compounds in barley and wheat roots in response to inoculation with an arbuscular mycorrhizal fungus and co-inoculation with rhizosphere bacteria. </w:t>
          </w:r>
          <w:r>
            <w:rPr>
              <w:i/>
            </w:rPr>
            <w:t>Mycorrhiza</w:t>
          </w:r>
          <w:r>
            <w:t xml:space="preserve">, </w:t>
          </w:r>
          <w:r>
            <w:rPr>
              <w:i/>
            </w:rPr>
            <w:t>8</w:t>
          </w:r>
          <w:r>
            <w:t>(5). https://doi.org/10.1007/s005720050240</w:t>
          </w:r>
        </w:p>
        <w:p w14:paraId="0323DFF1" w14:textId="77777777" w:rsidR="005E3F83" w:rsidRDefault="005E3F83" w:rsidP="005E3F83">
          <w:pPr>
            <w:pStyle w:val="mythesis"/>
            <w:divId w:val="1127358199"/>
          </w:pPr>
          <w:r>
            <w:t xml:space="preserve">Fester, T., &amp; Sawers, R. (2011). Progress and challenges in agricultural applications of arbuscular mycorrhizal Fungi. </w:t>
          </w:r>
          <w:r>
            <w:rPr>
              <w:i/>
            </w:rPr>
            <w:t>Critical Reviews in Plant Sciences</w:t>
          </w:r>
          <w:r>
            <w:t xml:space="preserve">, </w:t>
          </w:r>
          <w:r>
            <w:rPr>
              <w:i/>
            </w:rPr>
            <w:t>30</w:t>
          </w:r>
          <w:r>
            <w:t>(5), 459–470. https://doi.org/10.1080/07352689.2011.605741</w:t>
          </w:r>
        </w:p>
        <w:p w14:paraId="1252D53A" w14:textId="77777777" w:rsidR="005E3F83" w:rsidRDefault="005E3F83" w:rsidP="005E3F83">
          <w:pPr>
            <w:pStyle w:val="mythesis"/>
            <w:divId w:val="2093621652"/>
          </w:pPr>
          <w:r>
            <w:t xml:space="preserve">Field, K. J., Bidartondo, M. I., Rimington, W. R., Hoysted, G. A., Beerling, D. J., Cameron, D. D., Duckett, J. G., Leake, J. R., &amp; Pressel, S. (2019). Functional </w:t>
          </w:r>
          <w:r>
            <w:lastRenderedPageBreak/>
            <w:t xml:space="preserve">complementarity of ancient plant–fungal mutualisms: contrasting nitrogen, phosphorus and carbon exchanges between Mucoromycotina and Glomeromycotina fungal symbionts of liverworts. </w:t>
          </w:r>
          <w:r>
            <w:rPr>
              <w:i/>
            </w:rPr>
            <w:t>New Phytologist</w:t>
          </w:r>
          <w:r>
            <w:t xml:space="preserve">, </w:t>
          </w:r>
          <w:r>
            <w:rPr>
              <w:i/>
            </w:rPr>
            <w:t>223</w:t>
          </w:r>
          <w:r>
            <w:t>(2), 908–921. https://doi.org/10.1111/nph.15819</w:t>
          </w:r>
        </w:p>
        <w:p w14:paraId="0ECAE027" w14:textId="77777777" w:rsidR="005E3F83" w:rsidRDefault="005E3F83" w:rsidP="005E3F83">
          <w:pPr>
            <w:pStyle w:val="mythesis"/>
            <w:divId w:val="1080130050"/>
          </w:pPr>
          <w:r>
            <w:t xml:space="preserve">Field, K. J., Cameron, D. D., Leake, J. R., Tille, S., Bidartondo, M. I., &amp; Beerling, D. J. (2012). Contrasting arbuscular mycorrhizal responses of vascular and non-vascular plants to a simulated Palaeozoic CO2 decline. </w:t>
          </w:r>
          <w:r>
            <w:rPr>
              <w:i/>
            </w:rPr>
            <w:t>Nature Communications</w:t>
          </w:r>
          <w:r>
            <w:t xml:space="preserve">, </w:t>
          </w:r>
          <w:r>
            <w:rPr>
              <w:i/>
            </w:rPr>
            <w:t>3</w:t>
          </w:r>
          <w:r>
            <w:t>. https://doi.org/10.1038/ncomms1831</w:t>
          </w:r>
        </w:p>
        <w:p w14:paraId="1805E6A0" w14:textId="77777777" w:rsidR="005E3F83" w:rsidRDefault="005E3F83" w:rsidP="005E3F83">
          <w:pPr>
            <w:pStyle w:val="mythesis"/>
            <w:divId w:val="1111632832"/>
          </w:pPr>
          <w:r>
            <w:t xml:space="preserve">Fiorilli, V., Catoni, M., Miozzi, L., Novero, M., Accotto, G. P., &amp; Lanfranco, L. (2009). Global and cell‐type gene expression profiles in tomato plants colonized by an arbuscular mycorrhizal fungus. </w:t>
          </w:r>
          <w:r>
            <w:rPr>
              <w:i/>
            </w:rPr>
            <w:t>New Phytologist</w:t>
          </w:r>
          <w:r>
            <w:t xml:space="preserve">, </w:t>
          </w:r>
          <w:r>
            <w:rPr>
              <w:i/>
            </w:rPr>
            <w:t>184</w:t>
          </w:r>
          <w:r>
            <w:t>(4). https://doi.org/10.1111/j.1469-8137.2009.03031.x</w:t>
          </w:r>
        </w:p>
        <w:p w14:paraId="356D5347" w14:textId="77777777" w:rsidR="005E3F83" w:rsidRDefault="005E3F83" w:rsidP="005E3F83">
          <w:pPr>
            <w:pStyle w:val="mythesis"/>
            <w:divId w:val="2108848618"/>
          </w:pPr>
          <w:r>
            <w:t xml:space="preserve">Fitter, A. H., &amp; Garbaye, J. (1994). Interactions between mycorrhizal fungi and other soil organisms. </w:t>
          </w:r>
          <w:r>
            <w:rPr>
              <w:i/>
            </w:rPr>
            <w:t>Plant and Soil</w:t>
          </w:r>
          <w:r>
            <w:t xml:space="preserve">, </w:t>
          </w:r>
          <w:r>
            <w:rPr>
              <w:i/>
            </w:rPr>
            <w:t>159</w:t>
          </w:r>
          <w:r>
            <w:t>(1). https://doi.org/10.1007/BF00000101</w:t>
          </w:r>
        </w:p>
        <w:p w14:paraId="3E20ABC0" w14:textId="77777777" w:rsidR="005E3F83" w:rsidRDefault="005E3F83" w:rsidP="005E3F83">
          <w:pPr>
            <w:pStyle w:val="mythesis"/>
            <w:divId w:val="880215726"/>
          </w:pPr>
          <w:r>
            <w:t xml:space="preserve">Flint-Garcia, S. A., Bodnar, A. L., &amp; Scott, M. P. (2009). Wide variability in kernel composition, seed characteristics, and zein profiles among diverse maize inbreds, landraces, and teosinte. </w:t>
          </w:r>
          <w:r>
            <w:rPr>
              <w:i/>
            </w:rPr>
            <w:t>Theoretical and Applied Genetics</w:t>
          </w:r>
          <w:r>
            <w:t xml:space="preserve">, </w:t>
          </w:r>
          <w:r>
            <w:rPr>
              <w:i/>
            </w:rPr>
            <w:t>119</w:t>
          </w:r>
          <w:r>
            <w:t>(6), 1129–1142. https://doi.org/10.1007/s00122-009-1115-1</w:t>
          </w:r>
        </w:p>
        <w:p w14:paraId="0669C03E" w14:textId="77777777" w:rsidR="005E3F83" w:rsidRDefault="005E3F83" w:rsidP="005E3F83">
          <w:pPr>
            <w:pStyle w:val="mythesis"/>
            <w:divId w:val="969289893"/>
          </w:pPr>
          <w:r>
            <w:t xml:space="preserve">Follett, R. F., Grunes, D. L., Reichman, G. A., &amp; Carlson, C. W. (1974). Recovery of Corn Yield on Gardena Subsoil as Related to Leaf and Soil Analysis. </w:t>
          </w:r>
          <w:r>
            <w:rPr>
              <w:i/>
            </w:rPr>
            <w:t>Soil Science Society of America Journal</w:t>
          </w:r>
          <w:r>
            <w:t xml:space="preserve">, </w:t>
          </w:r>
          <w:r>
            <w:rPr>
              <w:i/>
            </w:rPr>
            <w:t>38</w:t>
          </w:r>
          <w:r>
            <w:t>(2), 327–331. https://doi.org/10.2136/sssaj1974.03615995003800020032x</w:t>
          </w:r>
        </w:p>
        <w:p w14:paraId="2200B5AF" w14:textId="77777777" w:rsidR="005E3F83" w:rsidRDefault="005E3F83" w:rsidP="005E3F83">
          <w:pPr>
            <w:pStyle w:val="mythesis"/>
            <w:divId w:val="952249751"/>
          </w:pPr>
          <w:r>
            <w:t xml:space="preserve">Fontana, A., Reichelt, M., Hempel, S., Gershenzon, J., &amp; Unsicker, S. B. (2009). The Effects of Arbuscular Mycorrhizal Fungi on Direct and Indirect Defense Metabolites of Plantago lanceolata L. </w:t>
          </w:r>
          <w:r>
            <w:rPr>
              <w:i/>
            </w:rPr>
            <w:t>Journal of Chemical Ecology</w:t>
          </w:r>
          <w:r>
            <w:t xml:space="preserve">, </w:t>
          </w:r>
          <w:r>
            <w:rPr>
              <w:i/>
            </w:rPr>
            <w:t>35</w:t>
          </w:r>
          <w:r>
            <w:t>(7). https://doi.org/10.1007/s10886-009-9654-0</w:t>
          </w:r>
        </w:p>
        <w:p w14:paraId="1046C608" w14:textId="77777777" w:rsidR="005E3F83" w:rsidRDefault="005E3F83" w:rsidP="005E3F83">
          <w:pPr>
            <w:pStyle w:val="mythesis"/>
            <w:divId w:val="352533160"/>
          </w:pPr>
          <w:r>
            <w:lastRenderedPageBreak/>
            <w:t xml:space="preserve">Frew, A., &amp; Wilson, B. A. L. (2021). Different mycorrhizal fungal communities differentially affect plant phenolic-based resistance to insect herbivory. </w:t>
          </w:r>
          <w:r>
            <w:rPr>
              <w:i/>
            </w:rPr>
            <w:t>Rhizosphere</w:t>
          </w:r>
          <w:r>
            <w:t xml:space="preserve">, </w:t>
          </w:r>
          <w:r>
            <w:rPr>
              <w:i/>
            </w:rPr>
            <w:t>19</w:t>
          </w:r>
          <w:r>
            <w:t>. https://doi.org/10.1016/j.rhisph.2021.100365</w:t>
          </w:r>
        </w:p>
        <w:p w14:paraId="0627D104" w14:textId="77777777" w:rsidR="005E3F83" w:rsidRDefault="005E3F83" w:rsidP="005E3F83">
          <w:pPr>
            <w:pStyle w:val="mythesis"/>
            <w:divId w:val="1265384115"/>
          </w:pPr>
          <w:r>
            <w:t xml:space="preserve">Fritz, M., Jakobsen, I., Lyngkjær, M. F., Thordal-Christensen, H., &amp; Pons-Kühnemann, J. (2006). Arbuscular mycorrhiza reduces susceptibility of tomato to Alternaria solani. </w:t>
          </w:r>
          <w:r>
            <w:rPr>
              <w:i/>
            </w:rPr>
            <w:t>Mycorrhiza</w:t>
          </w:r>
          <w:r>
            <w:t xml:space="preserve">, </w:t>
          </w:r>
          <w:r>
            <w:rPr>
              <w:i/>
            </w:rPr>
            <w:t>16</w:t>
          </w:r>
          <w:r>
            <w:t>(6). https://doi.org/10.1007/s00572-006-0051-z</w:t>
          </w:r>
        </w:p>
        <w:p w14:paraId="408A2B18" w14:textId="77777777" w:rsidR="005E3F83" w:rsidRDefault="005E3F83" w:rsidP="005E3F83">
          <w:pPr>
            <w:pStyle w:val="mythesis"/>
            <w:divId w:val="2100523397"/>
          </w:pPr>
          <w:r>
            <w:t xml:space="preserve">Gallucci, M. N., Carezzano, M. E., Oliva, M. M., Demo, M. S., Pizzolitto, R. P., Zunino, M. P., Zygadlo, J. A., &amp; Dambolena, J. S. (2014). In vitro activity of natural phenolic compounds against fluconazole-resistant </w:t>
          </w:r>
          <w:r>
            <w:rPr>
              <w:i/>
            </w:rPr>
            <w:t>Candida</w:t>
          </w:r>
          <w:r>
            <w:t xml:space="preserve"> species: a quantitative structure-activity relationship analysis. </w:t>
          </w:r>
          <w:r>
            <w:rPr>
              <w:i/>
            </w:rPr>
            <w:t>Journal of Applied Microbiology</w:t>
          </w:r>
          <w:r>
            <w:t xml:space="preserve">, </w:t>
          </w:r>
          <w:r>
            <w:rPr>
              <w:i/>
            </w:rPr>
            <w:t>116</w:t>
          </w:r>
          <w:r>
            <w:t>(4). https://doi.org/10.1111/jam.12432</w:t>
          </w:r>
        </w:p>
        <w:p w14:paraId="0FA40ABE" w14:textId="77777777" w:rsidR="005E3F83" w:rsidRDefault="005E3F83" w:rsidP="005E3F83">
          <w:pPr>
            <w:pStyle w:val="mythesis"/>
            <w:divId w:val="384721727"/>
          </w:pPr>
          <w:r>
            <w:t xml:space="preserve">Gamper, H., Peter, M., Jansa, J., Lüscher, A., Hartwig, U. A., &amp; Leuchtmann, A. (2004). Arbuscular mycorrhizal fungi benefit from 7 years of free air CO </w:t>
          </w:r>
          <w:r>
            <w:rPr>
              <w:vertAlign w:val="subscript"/>
            </w:rPr>
            <w:t>2</w:t>
          </w:r>
          <w:r>
            <w:t xml:space="preserve"> enrichment in well-fertilized grass and legume monocultures. </w:t>
          </w:r>
          <w:r>
            <w:rPr>
              <w:i/>
            </w:rPr>
            <w:t>Global Change Biology</w:t>
          </w:r>
          <w:r>
            <w:t xml:space="preserve">, </w:t>
          </w:r>
          <w:r>
            <w:rPr>
              <w:i/>
            </w:rPr>
            <w:t>10</w:t>
          </w:r>
          <w:r>
            <w:t>(2), 189–199. https://doi.org/10.1111/j.1529-8817.2003.00734.x</w:t>
          </w:r>
        </w:p>
        <w:p w14:paraId="233CD864" w14:textId="77777777" w:rsidR="005E3F83" w:rsidRDefault="005E3F83" w:rsidP="005E3F83">
          <w:pPr>
            <w:pStyle w:val="mythesis"/>
            <w:divId w:val="2127235268"/>
          </w:pPr>
          <w:r>
            <w:t xml:space="preserve">Gange, A. C., Bower, E., Stagg, P. G., Aplin, D. M., Gillam, A. E., &amp; Bracken, M. (1999). A comparison of visualization techniques for recording arbuscular mycorrhizal colonization. </w:t>
          </w:r>
          <w:r>
            <w:rPr>
              <w:i/>
            </w:rPr>
            <w:t>New Phytologist</w:t>
          </w:r>
          <w:r>
            <w:t xml:space="preserve">, </w:t>
          </w:r>
          <w:r>
            <w:rPr>
              <w:i/>
            </w:rPr>
            <w:t>142</w:t>
          </w:r>
          <w:r>
            <w:t>(1), 123–132. https://doi.org/10.1046/j.1469-8137.1999.00371.x</w:t>
          </w:r>
        </w:p>
        <w:p w14:paraId="70464519" w14:textId="77777777" w:rsidR="005E3F83" w:rsidRDefault="005E3F83" w:rsidP="005E3F83">
          <w:pPr>
            <w:pStyle w:val="mythesis"/>
            <w:divId w:val="1372193314"/>
          </w:pPr>
          <w:r>
            <w:t xml:space="preserve">Gaume, A., Mächler, F., de León, C., Narro, L., &amp; Frossard, E. (2001). Low-P tolerance by maize (Zea mays L.) genotypes: Significance of root growth, and organic acids and acid phosphatase root exudation. </w:t>
          </w:r>
          <w:r>
            <w:rPr>
              <w:i/>
            </w:rPr>
            <w:t>Plant and Soil</w:t>
          </w:r>
          <w:r>
            <w:t xml:space="preserve">, </w:t>
          </w:r>
          <w:r>
            <w:rPr>
              <w:i/>
            </w:rPr>
            <w:t>228</w:t>
          </w:r>
          <w:r>
            <w:t>(2), 253–264. https://doi.org/10.1023/A:1004824019289</w:t>
          </w:r>
        </w:p>
        <w:p w14:paraId="52D5C8F1" w14:textId="77777777" w:rsidR="005E3F83" w:rsidRDefault="005E3F83" w:rsidP="005E3F83">
          <w:pPr>
            <w:pStyle w:val="mythesis"/>
            <w:divId w:val="1392771767"/>
          </w:pPr>
          <w:r>
            <w:lastRenderedPageBreak/>
            <w:t xml:space="preserve">Gavito, M. E., &amp; Miller, M. H. (1998). Changes in mycorrhiza development in maize indeed by crop management practices. </w:t>
          </w:r>
          <w:r>
            <w:rPr>
              <w:i/>
            </w:rPr>
            <w:t>Plant and Soil</w:t>
          </w:r>
          <w:r>
            <w:t xml:space="preserve">, </w:t>
          </w:r>
          <w:r>
            <w:rPr>
              <w:i/>
            </w:rPr>
            <w:t>198</w:t>
          </w:r>
          <w:r>
            <w:t>(2), 185–192. https://doi.org/10.1023/A:1004314406653</w:t>
          </w:r>
        </w:p>
        <w:p w14:paraId="6E8A9EF0" w14:textId="77777777" w:rsidR="005E3F83" w:rsidRDefault="005E3F83" w:rsidP="005E3F83">
          <w:pPr>
            <w:pStyle w:val="mythesis"/>
            <w:divId w:val="904490838"/>
          </w:pPr>
          <w:r>
            <w:t xml:space="preserve">Gemma, J. L., &amp; &amp; Koske, R. E. (2006). Use of Mycorrhizae in Restoration of Hawaiian Habitats. . </w:t>
          </w:r>
          <w:r>
            <w:rPr>
              <w:i/>
            </w:rPr>
            <w:t xml:space="preserve">Hawaii Conservation Alliance. </w:t>
          </w:r>
          <w:r>
            <w:t>.</w:t>
          </w:r>
        </w:p>
        <w:p w14:paraId="570051C6" w14:textId="77777777" w:rsidR="005E3F83" w:rsidRDefault="005E3F83" w:rsidP="005E3F83">
          <w:pPr>
            <w:pStyle w:val="mythesis"/>
            <w:divId w:val="1843546184"/>
          </w:pPr>
          <w:r>
            <w:t xml:space="preserve">George, M. L., Regalado, E., Warburton, M., Vasal, S., &amp; Hoisington, D. (2004). Genetic diversity of maize inbred lines in relation to downy mildew. </w:t>
          </w:r>
          <w:r>
            <w:rPr>
              <w:i/>
            </w:rPr>
            <w:t>Euphytica</w:t>
          </w:r>
          <w:r>
            <w:t xml:space="preserve">, </w:t>
          </w:r>
          <w:r>
            <w:rPr>
              <w:i/>
            </w:rPr>
            <w:t>135</w:t>
          </w:r>
          <w:r>
            <w:t>(2). https://doi.org/10.1023/B:EUPH.0000014904.80451.7f</w:t>
          </w:r>
        </w:p>
        <w:p w14:paraId="424E0B0C" w14:textId="77777777" w:rsidR="005E3F83" w:rsidRDefault="005E3F83" w:rsidP="005E3F83">
          <w:pPr>
            <w:pStyle w:val="mythesis"/>
            <w:divId w:val="297608684"/>
          </w:pPr>
          <w:r>
            <w:t xml:space="preserve">Gianinazzi, S., Gollotte, A., Binet, M.-N., van Tuinen, D., Redecker, D., &amp; Wipf, D. (2010). Agroecology: the key role of arbuscular mycorrhizas in ecosystem services. </w:t>
          </w:r>
          <w:r>
            <w:rPr>
              <w:i/>
            </w:rPr>
            <w:t xml:space="preserve">Mycorrhiza </w:t>
          </w:r>
          <w:r>
            <w:t xml:space="preserve">, </w:t>
          </w:r>
          <w:r>
            <w:rPr>
              <w:i/>
            </w:rPr>
            <w:t>20</w:t>
          </w:r>
          <w:r>
            <w:t>, 519–530. https://doi.org/10.1007/s00572-010-0333-3</w:t>
          </w:r>
        </w:p>
        <w:p w14:paraId="470A9756" w14:textId="77777777" w:rsidR="005E3F83" w:rsidRDefault="005E3F83" w:rsidP="005E3F83">
          <w:pPr>
            <w:pStyle w:val="mythesis"/>
            <w:divId w:val="1423333883"/>
          </w:pPr>
          <w:r>
            <w:t xml:space="preserve">Gilbert, N. (2009). Environment: The disappearing nutrient. </w:t>
          </w:r>
          <w:r>
            <w:rPr>
              <w:i/>
            </w:rPr>
            <w:t>Nature</w:t>
          </w:r>
          <w:r>
            <w:t xml:space="preserve">, </w:t>
          </w:r>
          <w:r>
            <w:rPr>
              <w:i/>
            </w:rPr>
            <w:t>461</w:t>
          </w:r>
          <w:r>
            <w:t>(7265). https://doi.org/10.1038/461716a</w:t>
          </w:r>
        </w:p>
        <w:p w14:paraId="7C5C9F1F" w14:textId="77777777" w:rsidR="005E3F83" w:rsidRDefault="005E3F83" w:rsidP="005E3F83">
          <w:pPr>
            <w:pStyle w:val="mythesis"/>
            <w:divId w:val="558398649"/>
          </w:pPr>
          <w:r>
            <w:t xml:space="preserve">Gildon, A., &amp; Tinker, P. B. (1983). Interactions of vesicular-arbuscular mycorrhizal infection and heavy metals in plants.I.the effects of heavy metals on the development of vesicular-arbuscular mycorrhizas. </w:t>
          </w:r>
          <w:r>
            <w:rPr>
              <w:i/>
            </w:rPr>
            <w:t>New Phytologist</w:t>
          </w:r>
          <w:r>
            <w:t xml:space="preserve">, </w:t>
          </w:r>
          <w:r>
            <w:rPr>
              <w:i/>
            </w:rPr>
            <w:t>95</w:t>
          </w:r>
          <w:r>
            <w:t>(2). https://doi.org/10.1111/j.1469-8137.1983.tb03491.x</w:t>
          </w:r>
        </w:p>
        <w:p w14:paraId="08516326" w14:textId="77777777" w:rsidR="005E3F83" w:rsidRDefault="005E3F83" w:rsidP="005E3F83">
          <w:pPr>
            <w:pStyle w:val="mythesis"/>
            <w:divId w:val="2008703181"/>
          </w:pPr>
          <w:r>
            <w:t xml:space="preserve">Giovannetti, M., Avio, L., Barale, R., Ceccarelli, N., Cristofani, R., Iezzi, A., Mignolli, F., Picciarelli, P., Pinto, B., Reali, D., Sbrana, C., &amp; Scarpato, R. (2012). Nutraceutical value and safety of tomato fruits produced by mycorrhizal plants. </w:t>
          </w:r>
          <w:r>
            <w:rPr>
              <w:i/>
            </w:rPr>
            <w:t>British Journal of Nutrition</w:t>
          </w:r>
          <w:r>
            <w:t xml:space="preserve">, </w:t>
          </w:r>
          <w:r>
            <w:rPr>
              <w:i/>
            </w:rPr>
            <w:t>107</w:t>
          </w:r>
          <w:r>
            <w:t>(2). https://doi.org/10.1017/S000711451100290X</w:t>
          </w:r>
        </w:p>
        <w:p w14:paraId="35555816" w14:textId="77777777" w:rsidR="005E3F83" w:rsidRDefault="005E3F83" w:rsidP="005E3F83">
          <w:pPr>
            <w:pStyle w:val="mythesis"/>
            <w:divId w:val="1276667647"/>
          </w:pPr>
          <w:r>
            <w:t xml:space="preserve">Giovannetti, M., &amp; Mosse, B. (1980). An Evaluation of techniques for measuring vesicular-arbuscular mycorrhizal infection in roots. </w:t>
          </w:r>
          <w:r>
            <w:rPr>
              <w:i/>
            </w:rPr>
            <w:t>New Phytologist</w:t>
          </w:r>
          <w:r>
            <w:t xml:space="preserve">, </w:t>
          </w:r>
          <w:r>
            <w:rPr>
              <w:i/>
            </w:rPr>
            <w:t>84</w:t>
          </w:r>
          <w:r>
            <w:t>(3), 489–500. https://doi.org/10.1111/j.1469-8137.1980.tb04556.x</w:t>
          </w:r>
        </w:p>
        <w:p w14:paraId="26210F12" w14:textId="77777777" w:rsidR="005E3F83" w:rsidRDefault="005E3F83" w:rsidP="005E3F83">
          <w:pPr>
            <w:pStyle w:val="mythesis"/>
            <w:divId w:val="1481313240"/>
          </w:pPr>
          <w:r>
            <w:lastRenderedPageBreak/>
            <w:t xml:space="preserve">Glassop, D., Smith, S. E., &amp; Smith, F. W. (2005). Cereal phosphate transporters associated with the mycorrhizal pathway of phosphate uptake into roots. </w:t>
          </w:r>
          <w:r>
            <w:rPr>
              <w:i/>
            </w:rPr>
            <w:t>Planta</w:t>
          </w:r>
          <w:r>
            <w:t xml:space="preserve">, </w:t>
          </w:r>
          <w:r>
            <w:rPr>
              <w:i/>
            </w:rPr>
            <w:t>222</w:t>
          </w:r>
          <w:r>
            <w:t>(4), 688–698. https://doi.org/10.1007/s00425-005-0015-0</w:t>
          </w:r>
        </w:p>
        <w:p w14:paraId="5D4BFF87" w14:textId="77777777" w:rsidR="005E3F83" w:rsidRDefault="005E3F83" w:rsidP="005E3F83">
          <w:pPr>
            <w:pStyle w:val="mythesis"/>
            <w:divId w:val="1856530591"/>
          </w:pPr>
          <w:r>
            <w:t xml:space="preserve">Glazebrook, J. (2005). Contrasting Mechanisms of Defense Against Biotrophic and Necrotrophic Pathogens. </w:t>
          </w:r>
          <w:r>
            <w:rPr>
              <w:i/>
            </w:rPr>
            <w:t>Annual Review of Phytopathology</w:t>
          </w:r>
          <w:r>
            <w:t xml:space="preserve">, </w:t>
          </w:r>
          <w:r>
            <w:rPr>
              <w:i/>
            </w:rPr>
            <w:t>43</w:t>
          </w:r>
          <w:r>
            <w:t>(1). https://doi.org/10.1146/annurev.phyto.43.040204.135923</w:t>
          </w:r>
        </w:p>
        <w:p w14:paraId="4796BDA7" w14:textId="77777777" w:rsidR="005E3F83" w:rsidRDefault="005E3F83" w:rsidP="005E3F83">
          <w:pPr>
            <w:pStyle w:val="mythesis"/>
            <w:divId w:val="975648029"/>
          </w:pPr>
          <w:r>
            <w:t xml:space="preserve">Glenn, K. C. (2007). Nutritional and Safety Assessments of Foods and Feeds Nutritionally Improved Through Biotechnology: Lysine Maize as a Case Study. </w:t>
          </w:r>
          <w:r>
            <w:rPr>
              <w:i/>
            </w:rPr>
            <w:t>Journal of AOAC INTERNATIONAL</w:t>
          </w:r>
          <w:r>
            <w:t xml:space="preserve">, </w:t>
          </w:r>
          <w:r>
            <w:rPr>
              <w:i/>
            </w:rPr>
            <w:t>90</w:t>
          </w:r>
          <w:r>
            <w:t>(5). https://doi.org/10.1093/jaoac/90.5.1470</w:t>
          </w:r>
        </w:p>
        <w:p w14:paraId="7CF680D0" w14:textId="77777777" w:rsidR="005E3F83" w:rsidRDefault="005E3F83" w:rsidP="005E3F83">
          <w:pPr>
            <w:pStyle w:val="mythesis"/>
            <w:divId w:val="709770796"/>
          </w:pPr>
          <w:r>
            <w:t xml:space="preserve">Goidin, D., Mamessier, A., Staquet, M.-J., Schmitt, D., &amp; Berthier-Vergnes, O. (2001). Ribosomal 18S RNA Prevails over Glyceraldehyde-3-Phosphate Dehydrogenase and β-Actin Genes as Internal Standard for Quantitative Comparison of mRNA Levels in Invasive and Noninvasive Human Melanoma Cell Subpopulations. </w:t>
          </w:r>
          <w:r>
            <w:rPr>
              <w:i/>
            </w:rPr>
            <w:t>Analytical Biochemistry</w:t>
          </w:r>
          <w:r>
            <w:t xml:space="preserve">, </w:t>
          </w:r>
          <w:r>
            <w:rPr>
              <w:i/>
            </w:rPr>
            <w:t>295</w:t>
          </w:r>
          <w:r>
            <w:t>(1). https://doi.org/10.1006/abio.2001.5171</w:t>
          </w:r>
        </w:p>
        <w:p w14:paraId="17B8A0E7" w14:textId="77777777" w:rsidR="005E3F83" w:rsidRDefault="005E3F83" w:rsidP="005E3F83">
          <w:pPr>
            <w:pStyle w:val="mythesis"/>
            <w:divId w:val="948898156"/>
          </w:pPr>
          <w:r>
            <w:t xml:space="preserve">Goldman N. (1990). </w:t>
          </w:r>
          <w:r>
            <w:rPr>
              <w:i/>
            </w:rPr>
            <w:t xml:space="preserve">Maximum likelihood inference of phylogenetic trees, with special reference to a Poisson process model of DNA substitution and to parsimony analyses Systematic Biology. </w:t>
          </w:r>
          <w:r>
            <w:t xml:space="preserve">. </w:t>
          </w:r>
          <w:r>
            <w:rPr>
              <w:i/>
            </w:rPr>
            <w:t>39</w:t>
          </w:r>
          <w:r>
            <w:t>(4), 345.</w:t>
          </w:r>
        </w:p>
        <w:p w14:paraId="210182C7" w14:textId="77777777" w:rsidR="005E3F83" w:rsidRDefault="005E3F83" w:rsidP="005E3F83">
          <w:pPr>
            <w:pStyle w:val="mythesis"/>
            <w:divId w:val="170025882"/>
          </w:pPr>
          <w:r>
            <w:t xml:space="preserve">Graham, J. H., Leonard, R. T., &amp; Menge, J. A. (1981). Membrane-Mediated Decrease in Root Exudation Responsible for Phorphorus Inhibition of Vesicular-Arbuscular Mycorrhiza Formation. </w:t>
          </w:r>
          <w:r>
            <w:rPr>
              <w:i/>
            </w:rPr>
            <w:t>Plant Physiology</w:t>
          </w:r>
          <w:r>
            <w:t xml:space="preserve">, </w:t>
          </w:r>
          <w:r>
            <w:rPr>
              <w:i/>
            </w:rPr>
            <w:t>68</w:t>
          </w:r>
          <w:r>
            <w:t>(3), 548–552. https://doi.org/10.1104/pp.68.3.548</w:t>
          </w:r>
        </w:p>
        <w:p w14:paraId="5202E35C" w14:textId="77777777" w:rsidR="005E3F83" w:rsidRDefault="005E3F83" w:rsidP="005E3F83">
          <w:pPr>
            <w:pStyle w:val="mythesis"/>
            <w:divId w:val="516387528"/>
          </w:pPr>
          <w:r>
            <w:t xml:space="preserve">Graham, J. H., &amp; Syvertsen, J. P. (1984). Influence of vesicular-arbuscular mycorrhiza on the hydraulic conductivity of roots of two citrus rootstocks. </w:t>
          </w:r>
          <w:r>
            <w:rPr>
              <w:i/>
            </w:rPr>
            <w:t>New Phytologist</w:t>
          </w:r>
          <w:r>
            <w:t xml:space="preserve">, </w:t>
          </w:r>
          <w:r>
            <w:rPr>
              <w:i/>
            </w:rPr>
            <w:t>97</w:t>
          </w:r>
          <w:r>
            <w:t>(2). https://doi.org/10.1111/j.1469-8137.1984.tb04132.x</w:t>
          </w:r>
        </w:p>
        <w:p w14:paraId="53D91CCF" w14:textId="77777777" w:rsidR="005E3F83" w:rsidRDefault="005E3F83" w:rsidP="005E3F83">
          <w:pPr>
            <w:pStyle w:val="mythesis"/>
            <w:divId w:val="500629970"/>
          </w:pPr>
          <w:r>
            <w:lastRenderedPageBreak/>
            <w:t xml:space="preserve">Grant, C., Bittman, S., Montreal, M., Plenchette, C., &amp; Morel, C. (2005). Soil and fertilizer phosphorus: Effects on plant P supply and mycorrhizal development. </w:t>
          </w:r>
          <w:r>
            <w:rPr>
              <w:i/>
            </w:rPr>
            <w:t>Canadian Journal of Plant Science</w:t>
          </w:r>
          <w:r>
            <w:t xml:space="preserve">, </w:t>
          </w:r>
          <w:r>
            <w:rPr>
              <w:i/>
            </w:rPr>
            <w:t>85</w:t>
          </w:r>
          <w:r>
            <w:t>(1), 3–14. https://doi.org/10.4141/P03-182</w:t>
          </w:r>
        </w:p>
        <w:p w14:paraId="4B33099D" w14:textId="77777777" w:rsidR="005E3F83" w:rsidRDefault="005E3F83" w:rsidP="005E3F83">
          <w:pPr>
            <w:pStyle w:val="mythesis"/>
            <w:divId w:val="1647320631"/>
          </w:pPr>
          <w:r>
            <w:t xml:space="preserve">Grigera, M. S., Drijber, R. A., &amp; Wienhold, B. J. (2007). Increased abundance of arbuscular mycorrhizal fungi in soil coincides with the reproductive stages of maize. </w:t>
          </w:r>
          <w:r>
            <w:rPr>
              <w:i/>
            </w:rPr>
            <w:t>Agronomy &amp; Horticulture -- Faculty Publications</w:t>
          </w:r>
          <w:r>
            <w:t>. https://digitalcommons.unl.edu/agronomyfacpub/33</w:t>
          </w:r>
        </w:p>
        <w:p w14:paraId="0004B2C4" w14:textId="77777777" w:rsidR="005E3F83" w:rsidRDefault="005E3F83" w:rsidP="005E3F83">
          <w:pPr>
            <w:pStyle w:val="mythesis"/>
            <w:divId w:val="582377152"/>
          </w:pPr>
          <w:r>
            <w:t xml:space="preserve">Grønlund, M., Albrechtsen, M., Johansen, I. E., Hammer, E. C., Nielsen, T. H., &amp; Jakobsen, I. (2013). The interplay between P uptake pathways in mycorrhizal peas: a combined physiological and gene-silencing approach. </w:t>
          </w:r>
          <w:r>
            <w:rPr>
              <w:i/>
            </w:rPr>
            <w:t>Physiologia Plantarum</w:t>
          </w:r>
          <w:r>
            <w:t xml:space="preserve">, </w:t>
          </w:r>
          <w:r>
            <w:rPr>
              <w:i/>
            </w:rPr>
            <w:t>149</w:t>
          </w:r>
          <w:r>
            <w:t>(2), 234–248. https://doi.org/10.1111/ppl.12030</w:t>
          </w:r>
        </w:p>
        <w:p w14:paraId="4F4ABDCD" w14:textId="77777777" w:rsidR="005E3F83" w:rsidRDefault="005E3F83" w:rsidP="005E3F83">
          <w:pPr>
            <w:pStyle w:val="mythesis"/>
            <w:divId w:val="582572543"/>
          </w:pPr>
          <w:r>
            <w:t xml:space="preserve">Guether, M., Neuhäuser, B., Balestrini, R., Dynowski, M., Ludewig, U., &amp; Bonfante, P. (2009). A mycorrhizal-specific ammonium transporter from lotus japonicus acquires nitrogen released by Arbuscular Mycorrhizal Fungi. </w:t>
          </w:r>
          <w:r>
            <w:rPr>
              <w:i/>
            </w:rPr>
            <w:t>Plant Physiology</w:t>
          </w:r>
          <w:r>
            <w:t xml:space="preserve">, </w:t>
          </w:r>
          <w:r>
            <w:rPr>
              <w:i/>
            </w:rPr>
            <w:t>150</w:t>
          </w:r>
          <w:r>
            <w:t>(1), 73–83. https://doi.org/10.1104/pp.109.136390</w:t>
          </w:r>
        </w:p>
        <w:p w14:paraId="01604EF3" w14:textId="77777777" w:rsidR="005E3F83" w:rsidRDefault="005E3F83" w:rsidP="005E3F83">
          <w:pPr>
            <w:pStyle w:val="mythesis"/>
            <w:divId w:val="797379197"/>
          </w:pPr>
          <w:r>
            <w:t xml:space="preserve">Gupta, H. O. ; L. M. L. ; S. J. ; M. S. L. (1987). Protein quality of normal and opaque maize at different stages of ripening. . </w:t>
          </w:r>
          <w:r>
            <w:rPr>
              <w:i/>
            </w:rPr>
            <w:t>J. Food Sci. Technol.</w:t>
          </w:r>
          <w:r>
            <w:t xml:space="preserve">, </w:t>
          </w:r>
          <w:r>
            <w:rPr>
              <w:i/>
            </w:rPr>
            <w:t>15</w:t>
          </w:r>
          <w:r>
            <w:t>, 148–149.</w:t>
          </w:r>
        </w:p>
        <w:p w14:paraId="66C169B6" w14:textId="77777777" w:rsidR="005E3F83" w:rsidRDefault="005E3F83" w:rsidP="005E3F83">
          <w:pPr>
            <w:pStyle w:val="mythesis"/>
            <w:divId w:val="1977834682"/>
          </w:pPr>
          <w:r>
            <w:t xml:space="preserve">Gutjahr, C., Casieri, L., &amp; Paszkowski, U. (2009). Glomus intraradices induces changes in root system architecture of rice independently of common symbiosis signaling. </w:t>
          </w:r>
          <w:r>
            <w:rPr>
              <w:i/>
            </w:rPr>
            <w:t>New Phytologist</w:t>
          </w:r>
          <w:r>
            <w:t xml:space="preserve">, </w:t>
          </w:r>
          <w:r>
            <w:rPr>
              <w:i/>
            </w:rPr>
            <w:t>182</w:t>
          </w:r>
          <w:r>
            <w:t>(4), 829–837. https://doi.org/10.1111/j.1469-8137.2009.02839.x</w:t>
          </w:r>
        </w:p>
        <w:p w14:paraId="2501561E" w14:textId="77777777" w:rsidR="005E3F83" w:rsidRDefault="005E3F83" w:rsidP="005E3F83">
          <w:pPr>
            <w:pStyle w:val="mythesis"/>
            <w:divId w:val="1615364087"/>
          </w:pPr>
          <w:r>
            <w:t xml:space="preserve">Hallett, P. D., Feeney, D. S., Bengough, A. G., Rillig, M. C., Scrimgeour, C. M., &amp; Young, I. M. (2009). Disentangling the impact of AM fungi versus roots on soil structure and water transport. </w:t>
          </w:r>
          <w:r>
            <w:rPr>
              <w:i/>
            </w:rPr>
            <w:t>Plant and Soil</w:t>
          </w:r>
          <w:r>
            <w:t xml:space="preserve">, </w:t>
          </w:r>
          <w:r>
            <w:rPr>
              <w:i/>
            </w:rPr>
            <w:t>314</w:t>
          </w:r>
          <w:r>
            <w:t>(1–2). https://doi.org/10.1007/s11104-008-9717-y</w:t>
          </w:r>
        </w:p>
        <w:p w14:paraId="3F518A86" w14:textId="77777777" w:rsidR="005E3F83" w:rsidRDefault="005E3F83" w:rsidP="005E3F83">
          <w:pPr>
            <w:pStyle w:val="mythesis"/>
            <w:divId w:val="1270702386"/>
          </w:pPr>
          <w:r>
            <w:lastRenderedPageBreak/>
            <w:t xml:space="preserve">Hamblin, M. T., Casa, A. M., Sun, H., Murray, S. C., Paterson, A. H., Aquadro, C. F., &amp; Kresovich, S. (2006). Challenges of detecting directional selection after a bottleneck: Lessons from Sorghum bicolor. </w:t>
          </w:r>
          <w:r>
            <w:rPr>
              <w:i/>
            </w:rPr>
            <w:t>Genetics</w:t>
          </w:r>
          <w:r>
            <w:t xml:space="preserve">, </w:t>
          </w:r>
          <w:r>
            <w:rPr>
              <w:i/>
            </w:rPr>
            <w:t>173</w:t>
          </w:r>
          <w:r>
            <w:t>(2), 953–964. https://doi.org/10.1534/genetics.105.054312</w:t>
          </w:r>
        </w:p>
        <w:p w14:paraId="363C176A" w14:textId="77777777" w:rsidR="005E3F83" w:rsidRDefault="005E3F83" w:rsidP="005E3F83">
          <w:pPr>
            <w:pStyle w:val="mythesis"/>
            <w:divId w:val="1729381346"/>
          </w:pPr>
          <w:r>
            <w:t xml:space="preserve">Hamel, C., &amp; Smith, D. L. (1991). Interspecific N-transfer and plant development in a mycorrhizal field-grown mixture. In </w:t>
          </w:r>
          <w:r>
            <w:rPr>
              <w:i/>
            </w:rPr>
            <w:t>Soil Biol. B&amp;hem</w:t>
          </w:r>
          <w:r>
            <w:t xml:space="preserve"> (Vol. 23, Issue 1).</w:t>
          </w:r>
        </w:p>
        <w:p w14:paraId="3A5B0417" w14:textId="77777777" w:rsidR="005E3F83" w:rsidRDefault="005E3F83" w:rsidP="005E3F83">
          <w:pPr>
            <w:pStyle w:val="mythesis"/>
            <w:divId w:val="1055857884"/>
          </w:pPr>
          <w:r>
            <w:t xml:space="preserve">Hao, X., Shi, M., Cui, L., Xu, C., Zhang, Y., &amp; Kai, G. (2015). Effects of methyl jasmonate and salicylic acid on tanshinone production and biosynthetic gene expression in transgenic </w:t>
          </w:r>
          <w:r>
            <w:rPr>
              <w:i/>
            </w:rPr>
            <w:t>Salvia miltiorrhiza</w:t>
          </w:r>
          <w:r>
            <w:t xml:space="preserve"> hairy roots. </w:t>
          </w:r>
          <w:r>
            <w:rPr>
              <w:i/>
            </w:rPr>
            <w:t>Biotechnology and Applied Biochemistry</w:t>
          </w:r>
          <w:r>
            <w:t xml:space="preserve">, </w:t>
          </w:r>
          <w:r>
            <w:rPr>
              <w:i/>
            </w:rPr>
            <w:t>62</w:t>
          </w:r>
          <w:r>
            <w:t>(1). https://doi.org/10.1002/bab.1236</w:t>
          </w:r>
        </w:p>
        <w:p w14:paraId="50B8C43D" w14:textId="77777777" w:rsidR="005E3F83" w:rsidRDefault="005E3F83" w:rsidP="005E3F83">
          <w:pPr>
            <w:pStyle w:val="mythesis"/>
            <w:divId w:val="729184207"/>
          </w:pPr>
          <w:r>
            <w:t xml:space="preserve">Harrison, M. J. (1999). MOLECULAR AND CELLULAR ASPECTS OF THE ARBUSCULAR MYCORRHIZAL SYMBIOSIS. </w:t>
          </w:r>
          <w:r>
            <w:rPr>
              <w:i/>
            </w:rPr>
            <w:t>Annual Review of Plant Physiology and Plant Molecular Biology</w:t>
          </w:r>
          <w:r>
            <w:t xml:space="preserve">, </w:t>
          </w:r>
          <w:r>
            <w:rPr>
              <w:i/>
            </w:rPr>
            <w:t>50</w:t>
          </w:r>
          <w:r>
            <w:t>(1). https://doi.org/10.1146/annurev.arplant.50.1.361</w:t>
          </w:r>
        </w:p>
        <w:p w14:paraId="5B4D48DA" w14:textId="77777777" w:rsidR="005E3F83" w:rsidRDefault="005E3F83" w:rsidP="005E3F83">
          <w:pPr>
            <w:pStyle w:val="mythesis"/>
            <w:divId w:val="1958486993"/>
          </w:pPr>
          <w:r>
            <w:t xml:space="preserve">Hart, M. M., Forsythe, J., Oshowski, B., Bücking, H., Jansa, J., &amp; Kiers, E. T. (2013). Hiding in a crowd—does diversity facilitate persistence of a low-quality fungal partner in the mycorrhizal symbiosis? </w:t>
          </w:r>
          <w:r>
            <w:rPr>
              <w:i/>
            </w:rPr>
            <w:t>Symbiosis</w:t>
          </w:r>
          <w:r>
            <w:t xml:space="preserve">, </w:t>
          </w:r>
          <w:r>
            <w:rPr>
              <w:i/>
            </w:rPr>
            <w:t>59</w:t>
          </w:r>
          <w:r>
            <w:t>(1). https://doi.org/10.1007/s13199-012-0197-8</w:t>
          </w:r>
        </w:p>
        <w:p w14:paraId="3EF0B43A" w14:textId="77777777" w:rsidR="005E3F83" w:rsidRDefault="005E3F83" w:rsidP="005E3F83">
          <w:pPr>
            <w:pStyle w:val="mythesis"/>
            <w:divId w:val="477695469"/>
          </w:pPr>
          <w:r>
            <w:t xml:space="preserve">Hartmann, T. (2007). From waste products to ecochemicals: Fifty years research of plant secondary metabolism. </w:t>
          </w:r>
          <w:r>
            <w:rPr>
              <w:i/>
            </w:rPr>
            <w:t>Phytochemistry</w:t>
          </w:r>
          <w:r>
            <w:t xml:space="preserve">, </w:t>
          </w:r>
          <w:r>
            <w:rPr>
              <w:i/>
            </w:rPr>
            <w:t>68</w:t>
          </w:r>
          <w:r>
            <w:t>(22–24). https://doi.org/10.1016/j.phytochem.2007.09.017</w:t>
          </w:r>
        </w:p>
        <w:p w14:paraId="333EF787" w14:textId="77777777" w:rsidR="005E3F83" w:rsidRDefault="005E3F83" w:rsidP="005E3F83">
          <w:pPr>
            <w:pStyle w:val="mythesis"/>
            <w:divId w:val="1536040903"/>
          </w:pPr>
          <w:r>
            <w:t xml:space="preserve">Hasebe, M., Omori, T., Nakazawa, M., Sano, T., Kato, M., &amp; Iwatsuki, K. (1994). rbcL gene sequences provide evidence for the evolutionary lineages of leptosporangiate ferns. </w:t>
          </w:r>
          <w:r>
            <w:rPr>
              <w:i/>
            </w:rPr>
            <w:t>Proceedings of the National Academy of Sciences of the United States of America</w:t>
          </w:r>
          <w:r>
            <w:t xml:space="preserve">, </w:t>
          </w:r>
          <w:r>
            <w:rPr>
              <w:i/>
            </w:rPr>
            <w:t>91</w:t>
          </w:r>
          <w:r>
            <w:t>(12), 5730–5734. https://doi.org/10.1073/pnas.91.12.5730</w:t>
          </w:r>
        </w:p>
        <w:p w14:paraId="11AAC372" w14:textId="77777777" w:rsidR="005E3F83" w:rsidRDefault="005E3F83" w:rsidP="005E3F83">
          <w:pPr>
            <w:pStyle w:val="mythesis"/>
            <w:divId w:val="630282886"/>
          </w:pPr>
          <w:r>
            <w:lastRenderedPageBreak/>
            <w:t xml:space="preserve">Hause, B., Demus, U., Teichmann, C., Parthier, B., &amp; Wasternack, C. (1996). Developmental and Tissue-Specific Expression of JIP-23, a Jasmonate-Inducible Protein of Barley. </w:t>
          </w:r>
          <w:r>
            <w:rPr>
              <w:i/>
            </w:rPr>
            <w:t>Plant and Cell Physiology</w:t>
          </w:r>
          <w:r>
            <w:t xml:space="preserve">, </w:t>
          </w:r>
          <w:r>
            <w:rPr>
              <w:i/>
            </w:rPr>
            <w:t>37</w:t>
          </w:r>
          <w:r>
            <w:t>(5). https://doi.org/10.1093/oxfordjournals.pcp.a028993</w:t>
          </w:r>
        </w:p>
        <w:p w14:paraId="5F18B83D" w14:textId="77777777" w:rsidR="005E3F83" w:rsidRDefault="005E3F83" w:rsidP="005E3F83">
          <w:pPr>
            <w:pStyle w:val="mythesis"/>
            <w:divId w:val="1474371857"/>
          </w:pPr>
          <w:r>
            <w:t xml:space="preserve">Hause, B., &amp; Fester, T. (2005). Molecular and cell biology of arbuscular mycorrhizal symbiosis. </w:t>
          </w:r>
          <w:r>
            <w:rPr>
              <w:i/>
            </w:rPr>
            <w:t>Planta</w:t>
          </w:r>
          <w:r>
            <w:t xml:space="preserve">, </w:t>
          </w:r>
          <w:r>
            <w:rPr>
              <w:i/>
            </w:rPr>
            <w:t>221</w:t>
          </w:r>
          <w:r>
            <w:t>(2). https://doi.org/10.1007/s00425-004-1436-x</w:t>
          </w:r>
        </w:p>
        <w:p w14:paraId="5260F578" w14:textId="77777777" w:rsidR="005E3F83" w:rsidRDefault="005E3F83" w:rsidP="005E3F83">
          <w:pPr>
            <w:pStyle w:val="mythesis"/>
            <w:divId w:val="618071706"/>
          </w:pPr>
          <w:r>
            <w:t xml:space="preserve">Hause, B., Maier, W., Miersch, O., Kramell, R., &amp; Strack, D. (2002). Induction of Jasmonate Biosynthesis in Arbuscular Mycorrhizal Barley Roots,. </w:t>
          </w:r>
          <w:r>
            <w:rPr>
              <w:i/>
            </w:rPr>
            <w:t>Plant Physiology</w:t>
          </w:r>
          <w:r>
            <w:t xml:space="preserve">, </w:t>
          </w:r>
          <w:r>
            <w:rPr>
              <w:i/>
            </w:rPr>
            <w:t>130</w:t>
          </w:r>
          <w:r>
            <w:t>(3). https://doi.org/10.1104/pp.006007</w:t>
          </w:r>
        </w:p>
        <w:p w14:paraId="6CB5D95A" w14:textId="77777777" w:rsidR="005E3F83" w:rsidRDefault="005E3F83" w:rsidP="005E3F83">
          <w:pPr>
            <w:pStyle w:val="mythesis"/>
            <w:divId w:val="1377968740"/>
          </w:pPr>
          <w:r>
            <w:t xml:space="preserve">Hause, B., Mrosk, C., Isayenkov, S., &amp; Strack, D. (2007). Jasmonates in arbuscular mycorrhizal interactions. </w:t>
          </w:r>
          <w:r>
            <w:rPr>
              <w:i/>
            </w:rPr>
            <w:t>Phytochemistry</w:t>
          </w:r>
          <w:r>
            <w:t xml:space="preserve">, </w:t>
          </w:r>
          <w:r>
            <w:rPr>
              <w:i/>
            </w:rPr>
            <w:t>68</w:t>
          </w:r>
          <w:r>
            <w:t>(1). https://doi.org/10.1016/j.phytochem.2006.09.025</w:t>
          </w:r>
        </w:p>
        <w:p w14:paraId="17604CF5" w14:textId="77777777" w:rsidR="005E3F83" w:rsidRDefault="005E3F83" w:rsidP="005E3F83">
          <w:pPr>
            <w:pStyle w:val="mythesis"/>
            <w:divId w:val="2025477151"/>
          </w:pPr>
          <w:r>
            <w:t xml:space="preserve">Hayashi, H., Huang, P., &amp; Inoue, K. (2003). Up-regulation of Soyasaponin Biosynthesis by Methyl Jasmonate in Cultured Cells of Glycyrrhiza glabra. </w:t>
          </w:r>
          <w:r>
            <w:rPr>
              <w:i/>
            </w:rPr>
            <w:t>Plant and Cell Physiology</w:t>
          </w:r>
          <w:r>
            <w:t xml:space="preserve">, </w:t>
          </w:r>
          <w:r>
            <w:rPr>
              <w:i/>
            </w:rPr>
            <w:t>44</w:t>
          </w:r>
          <w:r>
            <w:t>(4). https://doi.org/10.1093/pcp/pcg054</w:t>
          </w:r>
        </w:p>
        <w:p w14:paraId="6474FED6" w14:textId="77777777" w:rsidR="005E3F83" w:rsidRDefault="005E3F83" w:rsidP="005E3F83">
          <w:pPr>
            <w:pStyle w:val="mythesis"/>
            <w:divId w:val="1190333314"/>
          </w:pPr>
          <w:r>
            <w:t xml:space="preserve">Hayat, R., Ahmed, I., &amp; Sheirdil, R. A. (2012). An Overview of Plant Growth Promoting Rhizobacteria (PGPR) for Sustainable Agriculture. In </w:t>
          </w:r>
          <w:r>
            <w:rPr>
              <w:i/>
            </w:rPr>
            <w:t>Crop Production for Agricultural Improvement</w:t>
          </w:r>
          <w:r>
            <w:t>. Springer Netherlands. https://doi.org/10.1007/978-94-007-4116-4_22</w:t>
          </w:r>
        </w:p>
        <w:p w14:paraId="77613B8B" w14:textId="77777777" w:rsidR="005E3F83" w:rsidRDefault="005E3F83" w:rsidP="005E3F83">
          <w:pPr>
            <w:pStyle w:val="mythesis"/>
            <w:divId w:val="342903015"/>
          </w:pPr>
          <w:r>
            <w:t xml:space="preserve">Hebert, P. D. N., Cywinska, A., Ball, S. L., &amp; DeWaard, J. R. (2003). Biological identifications through DNA barcodes. </w:t>
          </w:r>
          <w:r>
            <w:rPr>
              <w:i/>
            </w:rPr>
            <w:t>Proceedings of the Royal Society B: Biological Sciences</w:t>
          </w:r>
          <w:r>
            <w:t xml:space="preserve">, </w:t>
          </w:r>
          <w:r>
            <w:rPr>
              <w:i/>
            </w:rPr>
            <w:t>270</w:t>
          </w:r>
          <w:r>
            <w:t>(1512), 313–321. https://doi.org/10.1098/rspb.2002.2218</w:t>
          </w:r>
        </w:p>
        <w:p w14:paraId="68364199" w14:textId="77777777" w:rsidR="005E3F83" w:rsidRDefault="005E3F83" w:rsidP="005E3F83">
          <w:pPr>
            <w:pStyle w:val="mythesis"/>
            <w:divId w:val="1922711331"/>
          </w:pPr>
          <w:r>
            <w:t xml:space="preserve">Heckman, D. S. (2001). Molecular Evidence for the Early Colonization of Land by Fungi and Plants. </w:t>
          </w:r>
          <w:r>
            <w:rPr>
              <w:i/>
            </w:rPr>
            <w:t>Science</w:t>
          </w:r>
          <w:r>
            <w:t xml:space="preserve">, </w:t>
          </w:r>
          <w:r>
            <w:rPr>
              <w:i/>
            </w:rPr>
            <w:t>293</w:t>
          </w:r>
          <w:r>
            <w:t>(5532). https://doi.org/10.1126/science.1061457</w:t>
          </w:r>
        </w:p>
        <w:p w14:paraId="047F7F66" w14:textId="77777777" w:rsidR="005E3F83" w:rsidRDefault="005E3F83" w:rsidP="005E3F83">
          <w:pPr>
            <w:pStyle w:val="mythesis"/>
            <w:divId w:val="861167780"/>
          </w:pPr>
          <w:r>
            <w:lastRenderedPageBreak/>
            <w:t xml:space="preserve">Heil, M., &amp; Ton, J. (2008). Long-distance signalling in plant defence. </w:t>
          </w:r>
          <w:r>
            <w:rPr>
              <w:i/>
            </w:rPr>
            <w:t>Trends in Plant Science</w:t>
          </w:r>
          <w:r>
            <w:t xml:space="preserve">, </w:t>
          </w:r>
          <w:r>
            <w:rPr>
              <w:i/>
            </w:rPr>
            <w:t>13</w:t>
          </w:r>
          <w:r>
            <w:t>(6). https://doi.org/10.1016/j.tplants.2008.03.005</w:t>
          </w:r>
        </w:p>
        <w:p w14:paraId="2A47265A" w14:textId="77777777" w:rsidR="005E3F83" w:rsidRDefault="005E3F83" w:rsidP="005E3F83">
          <w:pPr>
            <w:pStyle w:val="mythesis"/>
            <w:divId w:val="447889852"/>
          </w:pPr>
          <w:r>
            <w:t xml:space="preserve">Hetrick, B. A. D., Wilson, G. W. T., &amp; Cox, T. S. (1992). Mycorrhizal dependence of modern wheat varieties, landraces, and ancestors. </w:t>
          </w:r>
          <w:r>
            <w:rPr>
              <w:i/>
            </w:rPr>
            <w:t>Canadian Journal of Botany</w:t>
          </w:r>
          <w:r>
            <w:t xml:space="preserve">, </w:t>
          </w:r>
          <w:r>
            <w:rPr>
              <w:i/>
            </w:rPr>
            <w:t>70</w:t>
          </w:r>
          <w:r>
            <w:t>(10), 2032–2040. https://doi.org/10.1139/b92-253</w:t>
          </w:r>
        </w:p>
        <w:p w14:paraId="06970A50" w14:textId="77777777" w:rsidR="005E3F83" w:rsidRDefault="005E3F83" w:rsidP="005E3F83">
          <w:pPr>
            <w:pStyle w:val="mythesis"/>
            <w:divId w:val="1620796140"/>
          </w:pPr>
          <w:r>
            <w:t xml:space="preserve">Hetrick, B. A. D., Wilson, G. W. T., &amp; Cox, T. S. (1993). Mycorrhizal dependence of modern wheat cultivars and ancestors: a synthesis. </w:t>
          </w:r>
          <w:r>
            <w:rPr>
              <w:i/>
            </w:rPr>
            <w:t>Canadian Journal of Botany</w:t>
          </w:r>
          <w:r>
            <w:t xml:space="preserve">, </w:t>
          </w:r>
          <w:r>
            <w:rPr>
              <w:i/>
            </w:rPr>
            <w:t>71</w:t>
          </w:r>
          <w:r>
            <w:t>(3). https://doi.org/10.1139/b93-056</w:t>
          </w:r>
        </w:p>
        <w:p w14:paraId="6B735AB4" w14:textId="77777777" w:rsidR="005E3F83" w:rsidRDefault="005E3F83" w:rsidP="005E3F83">
          <w:pPr>
            <w:pStyle w:val="mythesis"/>
            <w:divId w:val="357901224"/>
          </w:pPr>
          <w:r>
            <w:t xml:space="preserve">Hill, E. M., Robinson, L. A., Abdul-Sada, A., Vanbergen, A. J., Hodge, A., &amp; Hartley, S. E. (2018). Arbuscular Mycorrhizal Fungi and Plant Chemical Defence: Effects of Colonisation on Aboveground and Belowground Metabolomes. </w:t>
          </w:r>
          <w:r>
            <w:rPr>
              <w:i/>
            </w:rPr>
            <w:t>Journal of Chemical Ecology</w:t>
          </w:r>
          <w:r>
            <w:t xml:space="preserve">, </w:t>
          </w:r>
          <w:r>
            <w:rPr>
              <w:i/>
            </w:rPr>
            <w:t>44</w:t>
          </w:r>
          <w:r>
            <w:t>(2), 198–208. https://doi.org/10.1007/s10886-017-0921-1</w:t>
          </w:r>
        </w:p>
        <w:p w14:paraId="436B9BB5" w14:textId="77777777" w:rsidR="005E3F83" w:rsidRDefault="005E3F83" w:rsidP="005E3F83">
          <w:pPr>
            <w:pStyle w:val="mythesis"/>
            <w:divId w:val="43531911"/>
          </w:pPr>
          <w:r>
            <w:t xml:space="preserve">Hodge, A., Campbell, C. D., &amp; Fitter, A. H. (2001). An arbuscular mycorrhizal fungus accelerates decomposition and acquires nitrogen directly from organic material. </w:t>
          </w:r>
          <w:r>
            <w:rPr>
              <w:i/>
            </w:rPr>
            <w:t>Nature</w:t>
          </w:r>
          <w:r>
            <w:t xml:space="preserve">, </w:t>
          </w:r>
          <w:r>
            <w:rPr>
              <w:i/>
            </w:rPr>
            <w:t>413</w:t>
          </w:r>
          <w:r>
            <w:t>(6853). https://doi.org/10.1038/35095041</w:t>
          </w:r>
        </w:p>
        <w:p w14:paraId="12415363" w14:textId="77777777" w:rsidR="005E3F83" w:rsidRDefault="005E3F83" w:rsidP="005E3F83">
          <w:pPr>
            <w:pStyle w:val="mythesis"/>
            <w:divId w:val="1481844434"/>
          </w:pPr>
          <w:r>
            <w:t xml:space="preserve">Hodge, A., &amp; Fitter, A. H. (2010). Substantial nitrogen acquisition by arbuscular mycorrhizal fungi from organic material has implications for N cycling. </w:t>
          </w:r>
          <w:r>
            <w:rPr>
              <w:i/>
            </w:rPr>
            <w:t>Proceedings of the National Academy of Sciences</w:t>
          </w:r>
          <w:r>
            <w:t xml:space="preserve">, </w:t>
          </w:r>
          <w:r>
            <w:rPr>
              <w:i/>
            </w:rPr>
            <w:t>107</w:t>
          </w:r>
          <w:r>
            <w:t>(31). https://doi.org/10.1073/pnas.1005874107</w:t>
          </w:r>
        </w:p>
        <w:p w14:paraId="6F28AE44" w14:textId="77777777" w:rsidR="005E3F83" w:rsidRDefault="005E3F83" w:rsidP="005E3F83">
          <w:pPr>
            <w:pStyle w:val="mythesis"/>
            <w:divId w:val="1591699809"/>
          </w:pPr>
          <w:r>
            <w:t xml:space="preserve">Hodge, A., &amp; Storer, K. (2015). Arbuscular mycorrhiza and nitrogen: implications for individual plants through to ecosystems. </w:t>
          </w:r>
          <w:r>
            <w:rPr>
              <w:i/>
            </w:rPr>
            <w:t>Plant and Soil</w:t>
          </w:r>
          <w:r>
            <w:t xml:space="preserve">, </w:t>
          </w:r>
          <w:r>
            <w:rPr>
              <w:i/>
            </w:rPr>
            <w:t>386</w:t>
          </w:r>
          <w:r>
            <w:t>(1–2). https://doi.org/10.1007/s11104-014-2162-1</w:t>
          </w:r>
        </w:p>
        <w:p w14:paraId="06B2547A" w14:textId="77777777" w:rsidR="005E3F83" w:rsidRDefault="005E3F83" w:rsidP="005E3F83">
          <w:pPr>
            <w:pStyle w:val="mythesis"/>
            <w:divId w:val="1749618142"/>
          </w:pPr>
          <w:r>
            <w:t xml:space="preserve">Hohmann, P., &amp; Messmer, M. M. (2017). Breeding for mycorrhizal symbiosis: focus on disease resistance. </w:t>
          </w:r>
          <w:r>
            <w:rPr>
              <w:i/>
            </w:rPr>
            <w:t>Euphytica</w:t>
          </w:r>
          <w:r>
            <w:t xml:space="preserve">, </w:t>
          </w:r>
          <w:r>
            <w:rPr>
              <w:i/>
            </w:rPr>
            <w:t>213</w:t>
          </w:r>
          <w:r>
            <w:t>(5). https://doi.org/10.1007/s10681-017-1900-x</w:t>
          </w:r>
        </w:p>
        <w:p w14:paraId="025F83D9" w14:textId="77777777" w:rsidR="005E3F83" w:rsidRDefault="005E3F83" w:rsidP="005E3F83">
          <w:pPr>
            <w:pStyle w:val="mythesis"/>
            <w:divId w:val="473718704"/>
          </w:pPr>
          <w:r>
            <w:lastRenderedPageBreak/>
            <w:t xml:space="preserve">Hollingsworth, P. M., Forrest, L. L., Spouge, J. L., Hajibabaei, M., Ratnasingham, S., van der Bank, M., Chase, M. W., Cowan, R. S., Erickson, D. L., Fazekas, A. J., Graham, S. W., James, K. E., Kim, K. J., John Kress, W., Schneider, H., van AlphenStahl, J., Barrett, S. C. H., van den Berg, C., Bogarin, D., … Little, D. P. (2009). A DNA barcode for land plants. </w:t>
          </w:r>
          <w:r>
            <w:rPr>
              <w:i/>
            </w:rPr>
            <w:t>Proceedings of the National Academy of Sciences of the United States of America</w:t>
          </w:r>
          <w:r>
            <w:t xml:space="preserve">, </w:t>
          </w:r>
          <w:r>
            <w:rPr>
              <w:i/>
            </w:rPr>
            <w:t>106</w:t>
          </w:r>
          <w:r>
            <w:t>(31), 12794–12797. https://doi.org/10.1073/pnas.0905845106</w:t>
          </w:r>
        </w:p>
        <w:p w14:paraId="2551BFCD" w14:textId="77777777" w:rsidR="005E3F83" w:rsidRDefault="005E3F83" w:rsidP="005E3F83">
          <w:pPr>
            <w:pStyle w:val="mythesis"/>
            <w:divId w:val="2116627939"/>
          </w:pPr>
          <w:r>
            <w:t xml:space="preserve">Hollingsworth, P. M., Graham, S. W., &amp; Little, D. P. (2011). Choosing and using a plant DNA barcode. </w:t>
          </w:r>
          <w:r>
            <w:rPr>
              <w:i/>
            </w:rPr>
            <w:t>PLoS ONE</w:t>
          </w:r>
          <w:r>
            <w:t xml:space="preserve">, </w:t>
          </w:r>
          <w:r>
            <w:rPr>
              <w:i/>
            </w:rPr>
            <w:t>6</w:t>
          </w:r>
          <w:r>
            <w:t>(5), e19254. https://doi.org/10.1371/journal.pone.0019254</w:t>
          </w:r>
        </w:p>
        <w:p w14:paraId="4C37D625" w14:textId="77777777" w:rsidR="005E3F83" w:rsidRDefault="005E3F83" w:rsidP="005E3F83">
          <w:pPr>
            <w:pStyle w:val="mythesis"/>
            <w:divId w:val="33429269"/>
          </w:pPr>
          <w:r>
            <w:t xml:space="preserve">Hopkins, D. P., Cameron, D. D., &amp; Butlin, R. K. (2017). The chemical signatures underlying host plant discrimination by aphids. </w:t>
          </w:r>
          <w:r>
            <w:rPr>
              <w:i/>
            </w:rPr>
            <w:t>Scientific Reports</w:t>
          </w:r>
          <w:r>
            <w:t xml:space="preserve">, </w:t>
          </w:r>
          <w:r>
            <w:rPr>
              <w:i/>
            </w:rPr>
            <w:t>7</w:t>
          </w:r>
          <w:r>
            <w:t>(1). https://doi.org/10.1038/s41598-017-07729-0</w:t>
          </w:r>
        </w:p>
        <w:p w14:paraId="151F1C8A" w14:textId="77777777" w:rsidR="005E3F83" w:rsidRDefault="005E3F83" w:rsidP="005E3F83">
          <w:pPr>
            <w:pStyle w:val="mythesis"/>
            <w:divId w:val="261189128"/>
          </w:pPr>
          <w:r>
            <w:t xml:space="preserve">Hoysted, G. A., Jacob, A. S., Kowal, J., Giesemann, P., Bidartondo, M. I., Duckett, J. G., Gebauer, G., Rimington, W. R., Schornack, S., Pressel, S., &amp; Field, K. J. (2019). Mucoromycotina fine root endophyte fungi form nutritional mutualisms with vascular plants. </w:t>
          </w:r>
          <w:r>
            <w:rPr>
              <w:i/>
            </w:rPr>
            <w:t>Plant Physiology</w:t>
          </w:r>
          <w:r>
            <w:t xml:space="preserve">, </w:t>
          </w:r>
          <w:r>
            <w:rPr>
              <w:i/>
            </w:rPr>
            <w:t>181</w:t>
          </w:r>
          <w:r>
            <w:t>(2), 565–577. https://doi.org/10.1104/pp.19.00729</w:t>
          </w:r>
        </w:p>
        <w:p w14:paraId="65969E77" w14:textId="77777777" w:rsidR="005E3F83" w:rsidRDefault="005E3F83" w:rsidP="005E3F83">
          <w:pPr>
            <w:pStyle w:val="mythesis"/>
            <w:divId w:val="1195312470"/>
          </w:pPr>
          <w:r>
            <w:t xml:space="preserve">Huang, M., Tang, J., Yang, B., &amp; Zhu, Q. (2016). Classification of maize seeds of different years based on hyperspectral imaging and model updating. </w:t>
          </w:r>
          <w:r>
            <w:rPr>
              <w:i/>
            </w:rPr>
            <w:t>Computers and Electronics in Agriculture</w:t>
          </w:r>
          <w:r>
            <w:t xml:space="preserve">, </w:t>
          </w:r>
          <w:r>
            <w:rPr>
              <w:i/>
            </w:rPr>
            <w:t>122</w:t>
          </w:r>
          <w:r>
            <w:t>, 139–145. https://doi.org/10.1016/j.compag.2016.01.029</w:t>
          </w:r>
        </w:p>
        <w:p w14:paraId="5E4A2E3E" w14:textId="77777777" w:rsidR="005E3F83" w:rsidRDefault="005E3F83" w:rsidP="005E3F83">
          <w:pPr>
            <w:pStyle w:val="mythesis"/>
            <w:divId w:val="1242060145"/>
          </w:pPr>
          <w:r>
            <w:t xml:space="preserve">Hyten, D. L., Song, Q., Zhu, Y., Choi, I.-Y., Nelson, R. L., Costa, J. M., Specht, J. E., Shoemaker, R. C., Cregan, P. B., &amp; Tanksley, S. D. (2006). </w:t>
          </w:r>
          <w:r>
            <w:rPr>
              <w:i/>
            </w:rPr>
            <w:t>Impacts of genetic bottlenecks on soybean genome diversity</w:t>
          </w:r>
          <w:r>
            <w:t>. www.pnas.orgcgidoi10.1073pnas.0604379103</w:t>
          </w:r>
        </w:p>
        <w:p w14:paraId="5EDCF9C1" w14:textId="77777777" w:rsidR="005E3F83" w:rsidRDefault="005E3F83" w:rsidP="005E3F83">
          <w:pPr>
            <w:pStyle w:val="mythesis"/>
            <w:divId w:val="1775633014"/>
          </w:pPr>
          <w:r>
            <w:t xml:space="preserve">Idrees, M., Naeem, M., Aftab, T., Khan, M. M. A., &amp; Moinuddin. (2011). Salicylic acid mitigates salinity stress by improving antioxidant defence system and enhances vincristine and vinblastine alkaloids production in periwinkle [Catharanthus roseus (L.) G. Don]. </w:t>
          </w:r>
          <w:r>
            <w:rPr>
              <w:i/>
            </w:rPr>
            <w:t>Acta Physiologiae Plantarum</w:t>
          </w:r>
          <w:r>
            <w:t xml:space="preserve">, </w:t>
          </w:r>
          <w:r>
            <w:rPr>
              <w:i/>
            </w:rPr>
            <w:t>33</w:t>
          </w:r>
          <w:r>
            <w:t>(3). https://doi.org/10.1007/s11738-010-0631-6</w:t>
          </w:r>
        </w:p>
        <w:p w14:paraId="5E665D45" w14:textId="77777777" w:rsidR="005E3F83" w:rsidRDefault="005E3F83" w:rsidP="005E3F83">
          <w:pPr>
            <w:pStyle w:val="mythesis"/>
            <w:divId w:val="1904753141"/>
          </w:pPr>
          <w:r>
            <w:lastRenderedPageBreak/>
            <w:t xml:space="preserve">Ingraffia, R., Amato, G., Sosa-Hernández, M. A., Frenda, A. S., Rillig, M. C., &amp; Giambalvo, D. (2020). Nitrogen Type and Availability Drive Mycorrhizal Effects on Wheat Performance, Nitrogen Uptake and Recovery, and Production Sustainability. </w:t>
          </w:r>
          <w:r>
            <w:rPr>
              <w:i/>
            </w:rPr>
            <w:t>Frontiers in Plant Science</w:t>
          </w:r>
          <w:r>
            <w:t xml:space="preserve">, </w:t>
          </w:r>
          <w:r>
            <w:rPr>
              <w:i/>
            </w:rPr>
            <w:t>11</w:t>
          </w:r>
          <w:r>
            <w:t>. https://doi.org/10.3389/fpls.2020.00760</w:t>
          </w:r>
        </w:p>
        <w:p w14:paraId="1814F915" w14:textId="77777777" w:rsidR="005E3F83" w:rsidRDefault="005E3F83" w:rsidP="005E3F83">
          <w:pPr>
            <w:pStyle w:val="mythesis"/>
            <w:divId w:val="321548736"/>
          </w:pPr>
          <w:r>
            <w:t xml:space="preserve">Iranshahi, M. ;, Askari, M. ;, Sahebkar, A. ;, &amp; Hadjipavlou, L. D. (2009). Evaluation of antioxidant, anti-inflammatory and lipoxygenaseinhibitory activities of the prenylated coumarin umbelliprenin. </w:t>
          </w:r>
          <w:r>
            <w:rPr>
              <w:i/>
            </w:rPr>
            <w:t>DARU J. Pharm. Sci</w:t>
          </w:r>
          <w:r>
            <w:t xml:space="preserve">, </w:t>
          </w:r>
          <w:r>
            <w:rPr>
              <w:i/>
            </w:rPr>
            <w:t>17</w:t>
          </w:r>
          <w:r>
            <w:t>, 99–103.</w:t>
          </w:r>
        </w:p>
        <w:p w14:paraId="77A46C5F" w14:textId="77777777" w:rsidR="005E3F83" w:rsidRDefault="005E3F83" w:rsidP="005E3F83">
          <w:pPr>
            <w:pStyle w:val="mythesis"/>
            <w:divId w:val="2091659517"/>
          </w:pPr>
          <w:r>
            <w:t xml:space="preserve">Isayenkov, S., Mrosk, C., Stenzel, I., Strack, D., &amp; Hause, B. (2005). Suppression of Allene Oxide Cyclase in Hairy Roots of </w:t>
          </w:r>
          <w:r>
            <w:rPr>
              <w:i/>
            </w:rPr>
            <w:t>Medicago truncatula</w:t>
          </w:r>
          <w:r>
            <w:t xml:space="preserve"> Reduces Jasmonate Levels and the Degree of Mycorrhization with </w:t>
          </w:r>
          <w:r>
            <w:rPr>
              <w:i/>
            </w:rPr>
            <w:t>Glomus intraradices</w:t>
          </w:r>
          <w:r>
            <w:t xml:space="preserve">    . </w:t>
          </w:r>
          <w:r>
            <w:rPr>
              <w:i/>
            </w:rPr>
            <w:t>Plant Physiology</w:t>
          </w:r>
          <w:r>
            <w:t xml:space="preserve">, </w:t>
          </w:r>
          <w:r>
            <w:rPr>
              <w:i/>
            </w:rPr>
            <w:t>139</w:t>
          </w:r>
          <w:r>
            <w:t>(3). https://doi.org/10.1104/pp.105.069054</w:t>
          </w:r>
        </w:p>
        <w:p w14:paraId="79DE7F3B" w14:textId="77777777" w:rsidR="005E3F83" w:rsidRDefault="005E3F83" w:rsidP="005E3F83">
          <w:pPr>
            <w:pStyle w:val="mythesis"/>
            <w:divId w:val="1617445562"/>
          </w:pPr>
          <w:r>
            <w:t xml:space="preserve">Jaizme-vega, M. D. C. , Rodriguez-romero, A. S., &amp; &amp; Barroso nuneza, L. A. (2006). Effect of the combined inoculation of arbuscular mycorrhizal fungi and plant growth-promoting rhizobacteria on carica papaya L.) infected with the root-knot nematoda meloidogyn incognita. </w:t>
          </w:r>
          <w:r>
            <w:rPr>
              <w:i/>
            </w:rPr>
            <w:t>Fruits,</w:t>
          </w:r>
          <w:r>
            <w:t xml:space="preserve"> </w:t>
          </w:r>
          <w:r>
            <w:rPr>
              <w:i/>
            </w:rPr>
            <w:t>61</w:t>
          </w:r>
          <w:r>
            <w:t>, 151–162.</w:t>
          </w:r>
        </w:p>
        <w:p w14:paraId="67C3EB0C" w14:textId="77777777" w:rsidR="005E3F83" w:rsidRDefault="005E3F83" w:rsidP="005E3F83">
          <w:pPr>
            <w:pStyle w:val="mythesis"/>
            <w:divId w:val="5638828"/>
          </w:pPr>
          <w:r>
            <w:t xml:space="preserve">Jakobsen, I., Abbott, L. K., &amp; Robson, A. D. (1992). External hyphae of vesicular-arbuscular mycorrhizal fungi associated with Trifolium subterraneum L.. 1. Spread of hyphae and phosphorus inflow into roots. </w:t>
          </w:r>
          <w:r>
            <w:rPr>
              <w:i/>
            </w:rPr>
            <w:t>New Phytologist</w:t>
          </w:r>
          <w:r>
            <w:t xml:space="preserve">, </w:t>
          </w:r>
          <w:r>
            <w:rPr>
              <w:i/>
            </w:rPr>
            <w:t>120</w:t>
          </w:r>
          <w:r>
            <w:t>(3). https://doi.org/10.1111/j.1469-8137.1992.tb01077.x</w:t>
          </w:r>
        </w:p>
        <w:p w14:paraId="621D2BDC" w14:textId="77777777" w:rsidR="005E3F83" w:rsidRDefault="005E3F83" w:rsidP="005E3F83">
          <w:pPr>
            <w:pStyle w:val="mythesis"/>
            <w:divId w:val="1753698036"/>
          </w:pPr>
          <w:r>
            <w:t xml:space="preserve">Jamwal, K. ;, Bhattacharya, S. ;, &amp; Puri, S. (2018a). Plant growth regulator mediated consequences of secondary metabolites in medicinal plants.J. . </w:t>
          </w:r>
          <w:r>
            <w:rPr>
              <w:i/>
            </w:rPr>
            <w:t>Appl. Res. Med. Aromat. Plants</w:t>
          </w:r>
          <w:r>
            <w:t xml:space="preserve">, </w:t>
          </w:r>
          <w:r>
            <w:rPr>
              <w:i/>
            </w:rPr>
            <w:t>9</w:t>
          </w:r>
          <w:r>
            <w:t>, 26–38.</w:t>
          </w:r>
        </w:p>
        <w:p w14:paraId="14288478" w14:textId="77777777" w:rsidR="005E3F83" w:rsidRDefault="005E3F83" w:rsidP="005E3F83">
          <w:pPr>
            <w:pStyle w:val="mythesis"/>
            <w:divId w:val="190806720"/>
          </w:pPr>
          <w:r>
            <w:t xml:space="preserve">Jamwal, K., Bhattacharya, S., &amp; Puri, S. (2018b). Plant growth regulator mediated consequences of secondary metabolites in medicinal plants. </w:t>
          </w:r>
          <w:r>
            <w:rPr>
              <w:i/>
            </w:rPr>
            <w:t>Journal of Applied Research on Medicinal and Aromatic Plants</w:t>
          </w:r>
          <w:r>
            <w:t xml:space="preserve">, </w:t>
          </w:r>
          <w:r>
            <w:rPr>
              <w:i/>
            </w:rPr>
            <w:t>9</w:t>
          </w:r>
          <w:r>
            <w:t>, 26–38. https://doi.org/10.1016/j.jarmap.2017.12.003</w:t>
          </w:r>
        </w:p>
        <w:p w14:paraId="716EB87F" w14:textId="77777777" w:rsidR="005E3F83" w:rsidRDefault="005E3F83" w:rsidP="005E3F83">
          <w:pPr>
            <w:pStyle w:val="mythesis"/>
            <w:divId w:val="1153645084"/>
          </w:pPr>
          <w:r>
            <w:lastRenderedPageBreak/>
            <w:t xml:space="preserve">Jan, R., Asaf, S., Numan, M., Lubna, &amp; Kim, K. M. (2021). Plant secondary metabolite biosynthesis and transcriptional regulation in response to biotic and abiotic stress conditions. In </w:t>
          </w:r>
          <w:r>
            <w:rPr>
              <w:i/>
            </w:rPr>
            <w:t>Agronomy</w:t>
          </w:r>
          <w:r>
            <w:t xml:space="preserve"> (Vol. 11, Issue 5). MDPI AG. https://doi.org/10.3390/agronomy11050968</w:t>
          </w:r>
        </w:p>
        <w:p w14:paraId="3FA8D639" w14:textId="77777777" w:rsidR="005E3F83" w:rsidRDefault="005E3F83" w:rsidP="005E3F83">
          <w:pPr>
            <w:pStyle w:val="mythesis"/>
            <w:divId w:val="1261179744"/>
          </w:pPr>
          <w:r>
            <w:t xml:space="preserve">Jana, Ţ., Slavomíra, S., Milan, B., Katarína, R., Masnica, M., &amp; Mária, L. (2013). ISSR markers as a tool to distinguish Idt and SSS populations of Zea mays L. </w:t>
          </w:r>
          <w:r>
            <w:rPr>
              <w:i/>
            </w:rPr>
            <w:t>Journal of Central European Agriculture</w:t>
          </w:r>
          <w:r>
            <w:t xml:space="preserve">, </w:t>
          </w:r>
          <w:r>
            <w:rPr>
              <w:i/>
            </w:rPr>
            <w:t>14</w:t>
          </w:r>
          <w:r>
            <w:t>(2), 11–21. https://doi.org/10.5513/JCEA01/14.2.1227</w:t>
          </w:r>
        </w:p>
        <w:p w14:paraId="4B2F2CBC" w14:textId="77777777" w:rsidR="005E3F83" w:rsidRDefault="005E3F83" w:rsidP="005E3F83">
          <w:pPr>
            <w:pStyle w:val="mythesis"/>
            <w:divId w:val="1707220977"/>
          </w:pPr>
          <w:r>
            <w:t xml:space="preserve">Janos, D. P. (2007). Plant responsiveness to mycorrhizas differs from dependence upon mycorrhizas. In </w:t>
          </w:r>
          <w:r>
            <w:rPr>
              <w:i/>
            </w:rPr>
            <w:t>Mycorrhiza</w:t>
          </w:r>
          <w:r>
            <w:t xml:space="preserve"> (Vol. 17, Issue 2, pp. 75–91). Springer. https://doi.org/10.1007/s00572-006-0094-1</w:t>
          </w:r>
        </w:p>
        <w:p w14:paraId="6BD414F1" w14:textId="77777777" w:rsidR="005E3F83" w:rsidRDefault="005E3F83" w:rsidP="005E3F83">
          <w:pPr>
            <w:pStyle w:val="mythesis"/>
            <w:divId w:val="27797473"/>
          </w:pPr>
          <w:r>
            <w:t xml:space="preserve">Janoušková, M., Krak, K., Vosátka, M., Püschel, D., &amp; Štorchová, H. (2017). Inoculation effects on root-colonizing arbuscular mycorrhizal fungal communities spread beyond directly inoculated plants. </w:t>
          </w:r>
          <w:r>
            <w:rPr>
              <w:i/>
            </w:rPr>
            <w:t>PLOS ONE</w:t>
          </w:r>
          <w:r>
            <w:t xml:space="preserve">, </w:t>
          </w:r>
          <w:r>
            <w:rPr>
              <w:i/>
            </w:rPr>
            <w:t>12</w:t>
          </w:r>
          <w:r>
            <w:t>(7). https://doi.org/10.1371/journal.pone.0181525</w:t>
          </w:r>
        </w:p>
        <w:p w14:paraId="423449ED" w14:textId="77777777" w:rsidR="005E3F83" w:rsidRDefault="005E3F83" w:rsidP="005E3F83">
          <w:pPr>
            <w:pStyle w:val="mythesis"/>
            <w:divId w:val="7490195"/>
          </w:pPr>
          <w:r>
            <w:t xml:space="preserve">Jansa, J., Forczek, S. T., Rozmoš, M., Püschel, D., Bukovská, P., &amp; Hršelová, H. (2019). Arbuscular mycorrhiza and soil organic nitrogen: network of players and interactions. In </w:t>
          </w:r>
          <w:r>
            <w:rPr>
              <w:i/>
            </w:rPr>
            <w:t>Chemical and Biological Technologies in Agriculture</w:t>
          </w:r>
          <w:r>
            <w:t xml:space="preserve"> (Vol. 6, Issue 1). Springer International Publishing. https://doi.org/10.1186/s40538-019-0147-2</w:t>
          </w:r>
        </w:p>
        <w:p w14:paraId="6B04E3FC" w14:textId="77777777" w:rsidR="005E3F83" w:rsidRDefault="005E3F83" w:rsidP="005E3F83">
          <w:pPr>
            <w:pStyle w:val="mythesis"/>
            <w:divId w:val="352265268"/>
          </w:pPr>
          <w:r>
            <w:t xml:space="preserve">Jansa, J., Mozafar, A., &amp; Frossard, E. (2005). Phosphorus acquisition strategies within arbuscular mycorrhizal fungal community of a single field site. </w:t>
          </w:r>
          <w:r>
            <w:rPr>
              <w:i/>
            </w:rPr>
            <w:t>Plant and Soil</w:t>
          </w:r>
          <w:r>
            <w:t xml:space="preserve">, </w:t>
          </w:r>
          <w:r>
            <w:rPr>
              <w:i/>
            </w:rPr>
            <w:t>276</w:t>
          </w:r>
          <w:r>
            <w:t>(1–2), 163–176. https://doi.org/10.1007/s11104-005-4274-0</w:t>
          </w:r>
        </w:p>
        <w:p w14:paraId="35AB210D" w14:textId="77777777" w:rsidR="005E3F83" w:rsidRDefault="005E3F83" w:rsidP="005E3F83">
          <w:pPr>
            <w:pStyle w:val="mythesis"/>
            <w:divId w:val="1950550630"/>
          </w:pPr>
          <w:r>
            <w:t xml:space="preserve">Jansen, G., Jürgens, H.-U., &amp; Ordon, F. (2009). Effects of Temperature on the Alkaloid Content of Seeds of </w:t>
          </w:r>
          <w:r>
            <w:rPr>
              <w:i/>
            </w:rPr>
            <w:t>Lupinus angustifolius</w:t>
          </w:r>
          <w:r>
            <w:t xml:space="preserve"> Cultivars. </w:t>
          </w:r>
          <w:r>
            <w:rPr>
              <w:i/>
            </w:rPr>
            <w:t>Journal of Agronomy and Crop Science</w:t>
          </w:r>
          <w:r>
            <w:t xml:space="preserve">, </w:t>
          </w:r>
          <w:r>
            <w:rPr>
              <w:i/>
            </w:rPr>
            <w:t>195</w:t>
          </w:r>
          <w:r>
            <w:t>(3). https://doi.org/10.1111/j.1439-037X.2008.00356.x</w:t>
          </w:r>
        </w:p>
        <w:p w14:paraId="011FB5C9" w14:textId="77777777" w:rsidR="005E3F83" w:rsidRDefault="005E3F83" w:rsidP="005E3F83">
          <w:pPr>
            <w:pStyle w:val="mythesis"/>
            <w:divId w:val="125129107"/>
          </w:pPr>
          <w:r>
            <w:lastRenderedPageBreak/>
            <w:t xml:space="preserve">Jarošová, J., &amp; Kundu, J. K. (2010). Validation of reference genes as internal control for studying viral infections in cereals by quantitative real-time RT-PCR. </w:t>
          </w:r>
          <w:r>
            <w:rPr>
              <w:i/>
            </w:rPr>
            <w:t>BMC Plant Biology</w:t>
          </w:r>
          <w:r>
            <w:t xml:space="preserve">, </w:t>
          </w:r>
          <w:r>
            <w:rPr>
              <w:i/>
            </w:rPr>
            <w:t>10</w:t>
          </w:r>
          <w:r>
            <w:t>(1). https://doi.org/10.1186/1471-2229-10-146</w:t>
          </w:r>
        </w:p>
        <w:p w14:paraId="388D8D21" w14:textId="77777777" w:rsidR="005E3F83" w:rsidRDefault="005E3F83" w:rsidP="005E3F83">
          <w:pPr>
            <w:pStyle w:val="mythesis"/>
            <w:divId w:val="479926350"/>
          </w:pPr>
          <w:r>
            <w:t xml:space="preserve">Jeong, H.-S., Lee, J., &amp; Eom, A.-H. (2006). Effects of Interspecific Interactions of Arbuscular Mycorrhizal Fungi on Growth of Soybean and Corn. </w:t>
          </w:r>
          <w:r>
            <w:rPr>
              <w:i/>
            </w:rPr>
            <w:t>Mycobiology</w:t>
          </w:r>
          <w:r>
            <w:t xml:space="preserve">, </w:t>
          </w:r>
          <w:r>
            <w:rPr>
              <w:i/>
            </w:rPr>
            <w:t>34</w:t>
          </w:r>
          <w:r>
            <w:t>(1), 34. https://doi.org/10.4489/myco.2006.34.1.034</w:t>
          </w:r>
        </w:p>
        <w:p w14:paraId="296BEBCE" w14:textId="77777777" w:rsidR="005E3F83" w:rsidRDefault="005E3F83" w:rsidP="005E3F83">
          <w:pPr>
            <w:pStyle w:val="mythesis"/>
            <w:divId w:val="1820919277"/>
          </w:pPr>
          <w:r>
            <w:t xml:space="preserve">Jiao, H., Chen, Y., Lin, X., &amp; Liu, R. (2011). Diversity of arbuscular mycorrhizal fungi in greenhouse soils continuously planted to watermelon in North China. </w:t>
          </w:r>
          <w:r>
            <w:rPr>
              <w:i/>
            </w:rPr>
            <w:t>Mycorrhiza</w:t>
          </w:r>
          <w:r>
            <w:t xml:space="preserve">, </w:t>
          </w:r>
          <w:r>
            <w:rPr>
              <w:i/>
            </w:rPr>
            <w:t>21</w:t>
          </w:r>
          <w:r>
            <w:t>(8), 681–688. https://doi.org/10.1007/s00572-011-0377-z</w:t>
          </w:r>
        </w:p>
        <w:p w14:paraId="2C420159" w14:textId="77777777" w:rsidR="005E3F83" w:rsidRDefault="005E3F83" w:rsidP="005E3F83">
          <w:pPr>
            <w:pStyle w:val="mythesis"/>
            <w:divId w:val="1833910653"/>
          </w:pPr>
          <w:r>
            <w:t xml:space="preserve">Johansson, J. F., Paul, L. R., &amp; Finlay, R. D. (2004). Microbial interactions in the mycorrhizosphere and their significance for sustainable agriculture. </w:t>
          </w:r>
          <w:r>
            <w:rPr>
              <w:i/>
            </w:rPr>
            <w:t>FEMS Microbiology Ecology</w:t>
          </w:r>
          <w:r>
            <w:t xml:space="preserve">, </w:t>
          </w:r>
          <w:r>
            <w:rPr>
              <w:i/>
            </w:rPr>
            <w:t>48</w:t>
          </w:r>
          <w:r>
            <w:t>(1). https://doi.org/10.1016/j.femsec.2003.11.012</w:t>
          </w:r>
        </w:p>
        <w:p w14:paraId="7B3A800E" w14:textId="77777777" w:rsidR="005E3F83" w:rsidRDefault="005E3F83" w:rsidP="005E3F83">
          <w:pPr>
            <w:pStyle w:val="mythesis"/>
            <w:divId w:val="78408764"/>
          </w:pPr>
          <w:r>
            <w:t xml:space="preserve">Johns, C. D. (2014). </w:t>
          </w:r>
          <w:r>
            <w:rPr>
              <w:i/>
            </w:rPr>
            <w:t>Agricultural Application of Mycorrhizal Fungi to Increase Crop Yields, Promote Soil Health and Combat Climate Change</w:t>
          </w:r>
          <w:r>
            <w:t>.</w:t>
          </w:r>
        </w:p>
        <w:p w14:paraId="0E4F994B" w14:textId="77777777" w:rsidR="005E3F83" w:rsidRDefault="005E3F83" w:rsidP="005E3F83">
          <w:pPr>
            <w:pStyle w:val="mythesis"/>
            <w:divId w:val="1330980563"/>
          </w:pPr>
          <w:r>
            <w:t xml:space="preserve">Johnson, N. C., Wilson, G. W. T., Bowker, M. A., Wilson, J. A., &amp; Miller, R. M. (2010a). Resource limitation is a driver of local adaptation in mycorrhizal symbioses. </w:t>
          </w:r>
          <w:r>
            <w:rPr>
              <w:i/>
            </w:rPr>
            <w:t>Proceedings of the National Academy of Sciences of the United States of America</w:t>
          </w:r>
          <w:r>
            <w:t xml:space="preserve">, </w:t>
          </w:r>
          <w:r>
            <w:rPr>
              <w:i/>
            </w:rPr>
            <w:t>107</w:t>
          </w:r>
          <w:r>
            <w:t>(5), 2093–2098. https://doi.org/10.1073/pnas.0906710107</w:t>
          </w:r>
        </w:p>
        <w:p w14:paraId="1EB87DA2" w14:textId="77777777" w:rsidR="005E3F83" w:rsidRDefault="005E3F83" w:rsidP="005E3F83">
          <w:pPr>
            <w:pStyle w:val="mythesis"/>
            <w:divId w:val="266691955"/>
          </w:pPr>
          <w:r>
            <w:t xml:space="preserve">Johnson, N. C., Wilson, G. W. T., Bowker, M. A., Wilson, J. A., &amp; Miller, R. M. (2010b). Resource limitation is a driver of local adaptation in mycorrhizal symbioses. </w:t>
          </w:r>
          <w:r>
            <w:rPr>
              <w:i/>
            </w:rPr>
            <w:t>Proceedings of the National Academy of Sciences</w:t>
          </w:r>
          <w:r>
            <w:t xml:space="preserve">, </w:t>
          </w:r>
          <w:r>
            <w:rPr>
              <w:i/>
            </w:rPr>
            <w:t>107</w:t>
          </w:r>
          <w:r>
            <w:t>(5). https://doi.org/10.1073/pnas.0906710107</w:t>
          </w:r>
        </w:p>
        <w:p w14:paraId="26B869D9" w14:textId="77777777" w:rsidR="005E3F83" w:rsidRDefault="005E3F83" w:rsidP="005E3F83">
          <w:pPr>
            <w:pStyle w:val="mythesis"/>
            <w:divId w:val="354454"/>
          </w:pPr>
          <w:r>
            <w:t xml:space="preserve">Jones, J. D. G., &amp; Dangl, J. L. (2006a). The plant immune system. </w:t>
          </w:r>
          <w:r>
            <w:rPr>
              <w:i/>
            </w:rPr>
            <w:t>Nature</w:t>
          </w:r>
          <w:r>
            <w:t xml:space="preserve">, </w:t>
          </w:r>
          <w:r>
            <w:rPr>
              <w:i/>
            </w:rPr>
            <w:t>444</w:t>
          </w:r>
          <w:r>
            <w:t>(7117). https://doi.org/10.1038/nature05286</w:t>
          </w:r>
        </w:p>
        <w:p w14:paraId="0BC173F1" w14:textId="77777777" w:rsidR="005E3F83" w:rsidRDefault="005E3F83" w:rsidP="005E3F83">
          <w:pPr>
            <w:pStyle w:val="mythesis"/>
            <w:divId w:val="1495561810"/>
          </w:pPr>
          <w:r>
            <w:lastRenderedPageBreak/>
            <w:t xml:space="preserve">Jones, J. D. G., &amp; Dangl, J. L. (2006b). The plant immune system. </w:t>
          </w:r>
          <w:r>
            <w:rPr>
              <w:i/>
            </w:rPr>
            <w:t>Nature</w:t>
          </w:r>
          <w:r>
            <w:t xml:space="preserve">, </w:t>
          </w:r>
          <w:r>
            <w:rPr>
              <w:i/>
            </w:rPr>
            <w:t>444</w:t>
          </w:r>
          <w:r>
            <w:t>(7117). https://doi.org/10.1038/nature05286</w:t>
          </w:r>
        </w:p>
        <w:p w14:paraId="17898A51" w14:textId="77777777" w:rsidR="005E3F83" w:rsidRDefault="005E3F83" w:rsidP="005E3F83">
          <w:pPr>
            <w:pStyle w:val="mythesis"/>
            <w:divId w:val="1601060167"/>
          </w:pPr>
          <w:r>
            <w:t xml:space="preserve">Jung, S. C., Martinez-Medina, A., Lopez-Raez, J. A., &amp; Pozo, M. J. (2012a). Mycorrhiza-Induced Resistance and Priming of Plant Defenses. </w:t>
          </w:r>
          <w:r>
            <w:rPr>
              <w:i/>
            </w:rPr>
            <w:t>Journal of Chemical Ecology</w:t>
          </w:r>
          <w:r>
            <w:t xml:space="preserve">, </w:t>
          </w:r>
          <w:r>
            <w:rPr>
              <w:i/>
            </w:rPr>
            <w:t>38</w:t>
          </w:r>
          <w:r>
            <w:t>(6), 651–664. https://doi.org/10.1007/s10886-012-0134-6</w:t>
          </w:r>
        </w:p>
        <w:p w14:paraId="128C0DE2" w14:textId="77777777" w:rsidR="005E3F83" w:rsidRDefault="005E3F83" w:rsidP="005E3F83">
          <w:pPr>
            <w:pStyle w:val="mythesis"/>
            <w:divId w:val="1720785111"/>
          </w:pPr>
          <w:r>
            <w:t xml:space="preserve">Jung, S. C., Martinez-Medina, A., Lopez-Raez, J. A., &amp; Pozo, M. J. (2012b). Mycorrhiza-Induced Resistance and Priming of Plant Defenses. </w:t>
          </w:r>
          <w:r>
            <w:rPr>
              <w:i/>
            </w:rPr>
            <w:t>Journal of Chemical Ecology</w:t>
          </w:r>
          <w:r>
            <w:t xml:space="preserve">, </w:t>
          </w:r>
          <w:r>
            <w:rPr>
              <w:i/>
            </w:rPr>
            <w:t>38</w:t>
          </w:r>
          <w:r>
            <w:t>(6). https://doi.org/10.1007/s10886-012-0134-6</w:t>
          </w:r>
        </w:p>
        <w:p w14:paraId="21FD6361" w14:textId="77777777" w:rsidR="005E3F83" w:rsidRDefault="005E3F83" w:rsidP="005E3F83">
          <w:pPr>
            <w:pStyle w:val="mythesis"/>
            <w:divId w:val="1851139636"/>
          </w:pPr>
          <w:r>
            <w:t xml:space="preserve">Júnior. (2011). Assessment of genetic diversity among maize accessions using inter simple sequence repeats (ISSR) markers. </w:t>
          </w:r>
          <w:r>
            <w:rPr>
              <w:i/>
            </w:rPr>
            <w:t>AFRICAN JOURNAL OF BIOTECHNOLOGY</w:t>
          </w:r>
          <w:r>
            <w:t xml:space="preserve">, </w:t>
          </w:r>
          <w:r>
            <w:rPr>
              <w:i/>
            </w:rPr>
            <w:t>10</w:t>
          </w:r>
          <w:r>
            <w:t>(69). https://doi.org/10.5897/AJB10.2624</w:t>
          </w:r>
        </w:p>
        <w:p w14:paraId="10DA56A2" w14:textId="77777777" w:rsidR="005E3F83" w:rsidRDefault="005E3F83" w:rsidP="005E3F83">
          <w:pPr>
            <w:pStyle w:val="mythesis"/>
            <w:divId w:val="958800372"/>
          </w:pPr>
          <w:r>
            <w:t xml:space="preserve">Kaeppler, S. M., Parke, J. L., Mueller, S. M., Senior, L., Stuber, C., &amp; Tracy, W. F. (2000a). Variation among Maize Inbred Lines and Detection of Quantitative Trait Loci for Growth at Low Phosphorus and Responsiveness to Arbuscular Mycorrhizal Fungi. </w:t>
          </w:r>
          <w:r>
            <w:rPr>
              <w:i/>
            </w:rPr>
            <w:t>Crop Science</w:t>
          </w:r>
          <w:r>
            <w:t xml:space="preserve">, </w:t>
          </w:r>
          <w:r>
            <w:rPr>
              <w:i/>
            </w:rPr>
            <w:t>40</w:t>
          </w:r>
          <w:r>
            <w:t>(2). https://doi.org/10.2135/cropsci2000.402358x</w:t>
          </w:r>
        </w:p>
        <w:p w14:paraId="233A48E3" w14:textId="77777777" w:rsidR="005E3F83" w:rsidRDefault="005E3F83" w:rsidP="005E3F83">
          <w:pPr>
            <w:pStyle w:val="mythesis"/>
            <w:divId w:val="307517432"/>
          </w:pPr>
          <w:r>
            <w:t xml:space="preserve">Kaeppler, S. M., Parke, J. L., Mueller, S. M., Senior, L., Stuber, C., &amp; Tracy, W. F. (2000b). Variation among Maize Inbred Lines and Detection of Quantitative Trait Loci for Growth at Low Phosphorus and Responsiveness to Arbuscular Mycorrhizal Fungi. </w:t>
          </w:r>
          <w:r>
            <w:rPr>
              <w:i/>
            </w:rPr>
            <w:t>Crop Science</w:t>
          </w:r>
          <w:r>
            <w:t xml:space="preserve">, </w:t>
          </w:r>
          <w:r>
            <w:rPr>
              <w:i/>
            </w:rPr>
            <w:t>40</w:t>
          </w:r>
          <w:r>
            <w:t>(2), 358–364. https://doi.org/10.2135/cropsci2000.402358x</w:t>
          </w:r>
        </w:p>
        <w:p w14:paraId="0E0B039C" w14:textId="77777777" w:rsidR="005E3F83" w:rsidRDefault="005E3F83" w:rsidP="005E3F83">
          <w:pPr>
            <w:pStyle w:val="mythesis"/>
            <w:divId w:val="1875655794"/>
          </w:pPr>
          <w:r>
            <w:t xml:space="preserve">Kapoor, R., &amp; &amp; Mukerji, K. G. (1998). Microbial interactions in mycorrhizosphere of Anethum graveolens L. . </w:t>
          </w:r>
          <w:r>
            <w:rPr>
              <w:i/>
            </w:rPr>
            <w:t xml:space="preserve">Phytomorphology, </w:t>
          </w:r>
          <w:r>
            <w:t xml:space="preserve">, </w:t>
          </w:r>
          <w:r>
            <w:rPr>
              <w:i/>
            </w:rPr>
            <w:t>48</w:t>
          </w:r>
          <w:r>
            <w:t>, 383–389.</w:t>
          </w:r>
        </w:p>
        <w:p w14:paraId="579634AA" w14:textId="77777777" w:rsidR="005E3F83" w:rsidRDefault="005E3F83" w:rsidP="005E3F83">
          <w:pPr>
            <w:pStyle w:val="mythesis"/>
            <w:divId w:val="157774045"/>
          </w:pPr>
          <w:r>
            <w:t xml:space="preserve">Kapoor, R., Chaudhary, V., &amp; Bhatnagar, A. K. (2007). Effects of arbuscular mycorrhiza and phosphorus application on artemisinin concentration in Artemisia annua L. </w:t>
          </w:r>
          <w:r>
            <w:rPr>
              <w:i/>
            </w:rPr>
            <w:t>Mycorrhiza</w:t>
          </w:r>
          <w:r>
            <w:t xml:space="preserve">, </w:t>
          </w:r>
          <w:r>
            <w:rPr>
              <w:i/>
            </w:rPr>
            <w:t>17</w:t>
          </w:r>
          <w:r>
            <w:t>(7). https://doi.org/10.1007/s00572-007-0135-4</w:t>
          </w:r>
        </w:p>
        <w:p w14:paraId="386F320E" w14:textId="77777777" w:rsidR="005E3F83" w:rsidRDefault="005E3F83" w:rsidP="005E3F83">
          <w:pPr>
            <w:pStyle w:val="mythesis"/>
            <w:divId w:val="14815712"/>
          </w:pPr>
          <w:r>
            <w:lastRenderedPageBreak/>
            <w:t xml:space="preserve">Kapoor, R., Giri, B., &amp; Mukerji, K. G. (2002). Glomus macrocarpum: a potential bioinoculant to improve essential oil quality and concentration in Dill (Anethumgraveolens L.) and Carum (Trachyspermumammi (Linn.) Sprague). </w:t>
          </w:r>
          <w:r>
            <w:rPr>
              <w:i/>
            </w:rPr>
            <w:t>World Journal of Microbiology and Biotechnology</w:t>
          </w:r>
          <w:r>
            <w:t xml:space="preserve">, </w:t>
          </w:r>
          <w:r>
            <w:rPr>
              <w:i/>
            </w:rPr>
            <w:t>18</w:t>
          </w:r>
          <w:r>
            <w:t>(5). https://doi.org/10.1023/A:1015522100497</w:t>
          </w:r>
        </w:p>
        <w:p w14:paraId="1CE003D4" w14:textId="77777777" w:rsidR="005E3F83" w:rsidRDefault="005E3F83" w:rsidP="005E3F83">
          <w:pPr>
            <w:pStyle w:val="mythesis"/>
            <w:divId w:val="1468816381"/>
          </w:pPr>
          <w:r>
            <w:t xml:space="preserve">Kapulnik, Y., &amp; Kushnir, U. (1991). Growth dependency of wild, primitive and modern cultivated wheat lines on vesicular-arbuscular mycorrhiza fungi. </w:t>
          </w:r>
          <w:r>
            <w:rPr>
              <w:i/>
            </w:rPr>
            <w:t>Euphytica</w:t>
          </w:r>
          <w:r>
            <w:t xml:space="preserve">, </w:t>
          </w:r>
          <w:r>
            <w:rPr>
              <w:i/>
            </w:rPr>
            <w:t>56</w:t>
          </w:r>
          <w:r>
            <w:t>(1), 27–36. https://doi.org/10.1007/BF00041740</w:t>
          </w:r>
        </w:p>
        <w:p w14:paraId="58FF8D18" w14:textId="77777777" w:rsidR="005E3F83" w:rsidRDefault="005E3F83" w:rsidP="005E3F83">
          <w:pPr>
            <w:pStyle w:val="mythesis"/>
            <w:divId w:val="205147742"/>
          </w:pPr>
          <w:r>
            <w:t xml:space="preserve">Karapetsi, L., Pantelidis, G., Pratsinakis, E. D., Drogoudi, P., &amp; Madesis, P. (2021). Fruit Quality Traits and Genotypic Characterization in a Pomegranate Ex Situ (Punica granatum L.) Collection in Greece. </w:t>
          </w:r>
          <w:r>
            <w:rPr>
              <w:i/>
            </w:rPr>
            <w:t>Agriculture</w:t>
          </w:r>
          <w:r>
            <w:t xml:space="preserve">, </w:t>
          </w:r>
          <w:r>
            <w:rPr>
              <w:i/>
            </w:rPr>
            <w:t>11</w:t>
          </w:r>
          <w:r>
            <w:t>(6). https://doi.org/10.3390/agriculture11060482</w:t>
          </w:r>
        </w:p>
        <w:p w14:paraId="5ED4AA95" w14:textId="77777777" w:rsidR="005E3F83" w:rsidRDefault="005E3F83" w:rsidP="005E3F83">
          <w:pPr>
            <w:pStyle w:val="mythesis"/>
            <w:divId w:val="434714987"/>
          </w:pPr>
          <w:r>
            <w:t xml:space="preserve">Karwasara, V. S., &amp; Dixit, V. K. (2013). Culture medium optimization for camptothecin production in cell suspension cultures of Nothapodytes nimmoniana (J. Grah.) Mabberley. </w:t>
          </w:r>
          <w:r>
            <w:rPr>
              <w:i/>
            </w:rPr>
            <w:t>Plant Biotechnology Reports</w:t>
          </w:r>
          <w:r>
            <w:t xml:space="preserve">, </w:t>
          </w:r>
          <w:r>
            <w:rPr>
              <w:i/>
            </w:rPr>
            <w:t>7</w:t>
          </w:r>
          <w:r>
            <w:t>(3). https://doi.org/10.1007/s11816-012-0270-z</w:t>
          </w:r>
        </w:p>
        <w:p w14:paraId="1FA1004E" w14:textId="77777777" w:rsidR="005E3F83" w:rsidRDefault="005E3F83" w:rsidP="005E3F83">
          <w:pPr>
            <w:pStyle w:val="mythesis"/>
            <w:divId w:val="1226724231"/>
          </w:pPr>
          <w:r>
            <w:t xml:space="preserve">Kaschuk, G., Kuyper, T. W., Leffelaar, P. A., Hungria, M., &amp; Giller, K. E. (2009). Are the rates of photosynthesis stimulated by the carbon sink strength of rhizobial and arbuscular mycorrhizal symbioses? </w:t>
          </w:r>
          <w:r>
            <w:rPr>
              <w:i/>
            </w:rPr>
            <w:t>Soil Biology and Biochemistry</w:t>
          </w:r>
          <w:r>
            <w:t xml:space="preserve">, </w:t>
          </w:r>
          <w:r>
            <w:rPr>
              <w:i/>
            </w:rPr>
            <w:t>41</w:t>
          </w:r>
          <w:r>
            <w:t>(6). https://doi.org/10.1016/j.soilbio.2009.03.005</w:t>
          </w:r>
        </w:p>
        <w:p w14:paraId="7E957292" w14:textId="77777777" w:rsidR="005E3F83" w:rsidRDefault="005E3F83" w:rsidP="005E3F83">
          <w:pPr>
            <w:pStyle w:val="mythesis"/>
            <w:divId w:val="111680975"/>
          </w:pPr>
          <w:r>
            <w:t xml:space="preserve">Kaur, S., &amp; Suseela, V. (2020). Unraveling arbuscular mycorrhiza-induced changes in plant primary and secondary metabolome. In </w:t>
          </w:r>
          <w:r>
            <w:rPr>
              <w:i/>
            </w:rPr>
            <w:t>Metabolites</w:t>
          </w:r>
          <w:r>
            <w:t xml:space="preserve"> (Vol. 10, Issue 8, pp. 1–30). MDPI AG. https://doi.org/10.3390/metabo10080335</w:t>
          </w:r>
        </w:p>
        <w:p w14:paraId="46593AC2" w14:textId="77777777" w:rsidR="005E3F83" w:rsidRDefault="005E3F83" w:rsidP="005E3F83">
          <w:pPr>
            <w:pStyle w:val="mythesis"/>
            <w:divId w:val="668871038"/>
          </w:pPr>
          <w:r>
            <w:t xml:space="preserve">Kayama, M., &amp; Yamanaka, T. (2016). Growth Characteristics of Ectomycorrhizal Seedlings of Quercus glauca, Quercus salicina, Quercus myrsinaefolia, and Castanopsis cuspidata Planted in Calcareous Soil. </w:t>
          </w:r>
          <w:r>
            <w:rPr>
              <w:i/>
            </w:rPr>
            <w:t>Forests</w:t>
          </w:r>
          <w:r>
            <w:t xml:space="preserve">, </w:t>
          </w:r>
          <w:r>
            <w:rPr>
              <w:i/>
            </w:rPr>
            <w:t>7</w:t>
          </w:r>
          <w:r>
            <w:t>(12). https://doi.org/10.3390/f7110266</w:t>
          </w:r>
        </w:p>
        <w:p w14:paraId="682FF7B8" w14:textId="77777777" w:rsidR="005E3F83" w:rsidRDefault="005E3F83" w:rsidP="005E3F83">
          <w:pPr>
            <w:pStyle w:val="mythesis"/>
            <w:divId w:val="1225989529"/>
          </w:pPr>
          <w:r>
            <w:lastRenderedPageBreak/>
            <w:t xml:space="preserve">Kazan, K., &amp; Manners, J. M. (2009). Linking development to defense: auxin in plant–pathogen interactions. </w:t>
          </w:r>
          <w:r>
            <w:rPr>
              <w:i/>
            </w:rPr>
            <w:t>Trends in Plant Science</w:t>
          </w:r>
          <w:r>
            <w:t xml:space="preserve">, </w:t>
          </w:r>
          <w:r>
            <w:rPr>
              <w:i/>
            </w:rPr>
            <w:t>14</w:t>
          </w:r>
          <w:r>
            <w:t>(7). https://doi.org/10.1016/j.tplants.2009.04.005</w:t>
          </w:r>
        </w:p>
        <w:p w14:paraId="133F467B" w14:textId="77777777" w:rsidR="005E3F83" w:rsidRDefault="005E3F83" w:rsidP="005E3F83">
          <w:pPr>
            <w:pStyle w:val="mythesis"/>
            <w:divId w:val="132064220"/>
          </w:pPr>
          <w:r>
            <w:t xml:space="preserve">Kellogg, E. A., &amp; Juliano, N. D. (1997). The structure and function of RuBisCO and their implications for systematic studies. In </w:t>
          </w:r>
          <w:r>
            <w:rPr>
              <w:i/>
            </w:rPr>
            <w:t>American Journal of Botany</w:t>
          </w:r>
          <w:r>
            <w:t xml:space="preserve"> (Vol. 84, Issue 3, pp. 413–428). Botanical Society of America Inc. https://doi.org/10.2307/2446015</w:t>
          </w:r>
        </w:p>
        <w:p w14:paraId="7D7FA117" w14:textId="77777777" w:rsidR="005E3F83" w:rsidRDefault="005E3F83" w:rsidP="005E3F83">
          <w:pPr>
            <w:pStyle w:val="mythesis"/>
            <w:divId w:val="1018629098"/>
          </w:pPr>
          <w:r>
            <w:t xml:space="preserve">Kennedy, A. C., &amp; Smith, K. L. (1995). Soil microbial diversity and the sustainability of agricultural soils. </w:t>
          </w:r>
          <w:r>
            <w:rPr>
              <w:i/>
            </w:rPr>
            <w:t>Plant and Soil</w:t>
          </w:r>
          <w:r>
            <w:t xml:space="preserve">, </w:t>
          </w:r>
          <w:r>
            <w:rPr>
              <w:i/>
            </w:rPr>
            <w:t>170</w:t>
          </w:r>
          <w:r>
            <w:t>(1). https://doi.org/10.1007/BF02183056</w:t>
          </w:r>
        </w:p>
        <w:p w14:paraId="2453E957" w14:textId="77777777" w:rsidR="005E3F83" w:rsidRDefault="005E3F83" w:rsidP="005E3F83">
          <w:pPr>
            <w:pStyle w:val="mythesis"/>
            <w:divId w:val="387269083"/>
          </w:pPr>
          <w:r>
            <w:t xml:space="preserve">Kesanakurti, P. R., Fazekas, A. J., Burgess, K. S., Percy, D. M., Newmaster, S. G., Graham, S. W., Barrett, S. C. H., Hajibabaei, M., &amp; Husband, B. C. (2011). Spatial patterns of plant diversity below-ground as revealed by DNA barcoding. </w:t>
          </w:r>
          <w:r>
            <w:rPr>
              <w:i/>
            </w:rPr>
            <w:t>Molecular Ecology</w:t>
          </w:r>
          <w:r>
            <w:t xml:space="preserve">, </w:t>
          </w:r>
          <w:r>
            <w:rPr>
              <w:i/>
            </w:rPr>
            <w:t>20</w:t>
          </w:r>
          <w:r>
            <w:t>(6). https://doi.org/10.1111/j.1365-294X.2010.04989.x</w:t>
          </w:r>
        </w:p>
        <w:p w14:paraId="422B7D5B" w14:textId="77777777" w:rsidR="005E3F83" w:rsidRDefault="005E3F83" w:rsidP="005E3F83">
          <w:pPr>
            <w:pStyle w:val="mythesis"/>
            <w:divId w:val="7022768"/>
          </w:pPr>
          <w:r>
            <w:t xml:space="preserve">Khadi, S. W., &amp; Rodrigues, B. F. (2009). Applications of arbuscular mycorrhizal fungi in agroecosystems. Tropical and Subtropical Agroecosystems. </w:t>
          </w:r>
          <w:r>
            <w:rPr>
              <w:i/>
            </w:rPr>
            <w:t>Tropical and Subtropical Agroecosystems</w:t>
          </w:r>
          <w:r>
            <w:t xml:space="preserve">, </w:t>
          </w:r>
          <w:r>
            <w:rPr>
              <w:i/>
            </w:rPr>
            <w:t>10</w:t>
          </w:r>
          <w:r>
            <w:t>, 337–354.</w:t>
          </w:r>
        </w:p>
        <w:p w14:paraId="1974E23B" w14:textId="77777777" w:rsidR="005E3F83" w:rsidRDefault="005E3F83" w:rsidP="005E3F83">
          <w:pPr>
            <w:pStyle w:val="mythesis"/>
            <w:divId w:val="1901792258"/>
          </w:pPr>
          <w:r>
            <w:t xml:space="preserve">Khalil, S., Loynachan, T. E., &amp; Tabatabai, M. A. (1994). Mycorrhizal Dependency and Nutrient Uptake by Improved and Unimproved Corn and Soybean Cultivars. </w:t>
          </w:r>
          <w:r>
            <w:rPr>
              <w:i/>
            </w:rPr>
            <w:t>Agronomy Journal</w:t>
          </w:r>
          <w:r>
            <w:t xml:space="preserve">, </w:t>
          </w:r>
          <w:r>
            <w:rPr>
              <w:i/>
            </w:rPr>
            <w:t>86</w:t>
          </w:r>
          <w:r>
            <w:t>(6). https://doi.org/10.2134/agronj1994.00021962008600060005x</w:t>
          </w:r>
        </w:p>
        <w:p w14:paraId="3417A091" w14:textId="77777777" w:rsidR="005E3F83" w:rsidRDefault="005E3F83" w:rsidP="005E3F83">
          <w:pPr>
            <w:pStyle w:val="mythesis"/>
            <w:divId w:val="819078056"/>
          </w:pPr>
          <w:r>
            <w:t xml:space="preserve">Khan, I., Shinwari, Z. K., Zahra, N. B., Jan, S. A., Shinwari, S., &amp; Najeebullah, S. (2020). DNA barcoding and molecular systematics of selected species of family Acanthaceae. </w:t>
          </w:r>
          <w:r>
            <w:rPr>
              <w:i/>
            </w:rPr>
            <w:t>Pakistan Journal of Botany</w:t>
          </w:r>
          <w:r>
            <w:t xml:space="preserve">, </w:t>
          </w:r>
          <w:r>
            <w:rPr>
              <w:i/>
            </w:rPr>
            <w:t>52</w:t>
          </w:r>
          <w:r>
            <w:t>(1), 205–212. https://doi.org/10.30848/PJB2020-1(27)</w:t>
          </w:r>
        </w:p>
        <w:p w14:paraId="097797D2" w14:textId="77777777" w:rsidR="005E3F83" w:rsidRDefault="005E3F83" w:rsidP="005E3F83">
          <w:pPr>
            <w:pStyle w:val="mythesis"/>
            <w:divId w:val="90245685"/>
          </w:pPr>
          <w:r>
            <w:t xml:space="preserve">Khan Shinwari, Z. (2012). Molecular identification and comparative analysis of novel 18S ribosomal RNA genomic sequences of a wide range of medicinal plants. </w:t>
          </w:r>
          <w:r>
            <w:rPr>
              <w:i/>
            </w:rPr>
            <w:t xml:space="preserve">Pakistan </w:t>
          </w:r>
          <w:r>
            <w:rPr>
              <w:i/>
            </w:rPr>
            <w:lastRenderedPageBreak/>
            <w:t>Journal of Botany 44(6)</w:t>
          </w:r>
          <w:r>
            <w:t xml:space="preserve">, </w:t>
          </w:r>
          <w:r>
            <w:rPr>
              <w:i/>
            </w:rPr>
            <w:t>44</w:t>
          </w:r>
          <w:r>
            <w:t>(6), 2021–2026. https://www.researchgate.net/publication/286032849</w:t>
          </w:r>
        </w:p>
        <w:p w14:paraId="4C080F28" w14:textId="77777777" w:rsidR="005E3F83" w:rsidRDefault="005E3F83" w:rsidP="005E3F83">
          <w:pPr>
            <w:pStyle w:val="mythesis"/>
            <w:divId w:val="691423252"/>
          </w:pPr>
          <w:r>
            <w:t xml:space="preserve">Khaosaad, T., Vierheilig, H., Nell, M., Zitterl-Eglseer, K., &amp; Novak, J. (2006). Arbuscular mycorrhiza alter the concentration of essential oils in oregano (Origanum sp., Lamiaceae). </w:t>
          </w:r>
          <w:r>
            <w:rPr>
              <w:i/>
            </w:rPr>
            <w:t>Mycorrhiza</w:t>
          </w:r>
          <w:r>
            <w:t xml:space="preserve">, </w:t>
          </w:r>
          <w:r>
            <w:rPr>
              <w:i/>
            </w:rPr>
            <w:t>16</w:t>
          </w:r>
          <w:r>
            <w:t>(6). https://doi.org/10.1007/s00572-006-0062-9</w:t>
          </w:r>
        </w:p>
        <w:p w14:paraId="6C3A5063" w14:textId="77777777" w:rsidR="005E3F83" w:rsidRDefault="005E3F83" w:rsidP="005E3F83">
          <w:pPr>
            <w:pStyle w:val="mythesis"/>
            <w:divId w:val="1358854004"/>
          </w:pPr>
          <w:r>
            <w:t xml:space="preserve">Kitson, R. E., &amp; Mellon, M. G. (1944). Colorimetric Determination of Phosphorus as Molybdivanadophosphoric Acid. </w:t>
          </w:r>
          <w:r>
            <w:rPr>
              <w:i/>
            </w:rPr>
            <w:t>Industrial &amp; Engineering Chemistry Analytical Edition</w:t>
          </w:r>
          <w:r>
            <w:t xml:space="preserve">, </w:t>
          </w:r>
          <w:r>
            <w:rPr>
              <w:i/>
            </w:rPr>
            <w:t>16</w:t>
          </w:r>
          <w:r>
            <w:t>(6). https://doi.org/10.1021/i560130a017</w:t>
          </w:r>
        </w:p>
        <w:p w14:paraId="142AE486" w14:textId="77777777" w:rsidR="005E3F83" w:rsidRDefault="005E3F83" w:rsidP="005E3F83">
          <w:pPr>
            <w:pStyle w:val="mythesis"/>
            <w:divId w:val="1163550321"/>
          </w:pPr>
          <w:r>
            <w:t xml:space="preserve">Köhl, L., Lukasiewicz, C. E., &amp; van der Heijden, M. G. A. (2015). </w:t>
          </w:r>
          <w:r>
            <w:rPr>
              <w:i/>
            </w:rPr>
            <w:t>Establishment and effectiveness of inoculated arbuscular mycorrhizal fungi in agricultural soils</w:t>
          </w:r>
          <w:r>
            <w:t>. https://doi.org/10.1111/pce.12600</w:t>
          </w:r>
        </w:p>
        <w:p w14:paraId="4C8D9436" w14:textId="77777777" w:rsidR="005E3F83" w:rsidRDefault="005E3F83" w:rsidP="005E3F83">
          <w:pPr>
            <w:pStyle w:val="mythesis"/>
            <w:divId w:val="851458379"/>
          </w:pPr>
          <w:r>
            <w:t xml:space="preserve">Koide, R. T., &amp; Kabir, Z. (2000). Extraradical hyphae of the mycorrhizal fungus </w:t>
          </w:r>
          <w:r>
            <w:rPr>
              <w:i/>
            </w:rPr>
            <w:t>Glomus intraradices</w:t>
          </w:r>
          <w:r>
            <w:t xml:space="preserve"> can hydrolyse organic phosphate. </w:t>
          </w:r>
          <w:r>
            <w:rPr>
              <w:i/>
            </w:rPr>
            <w:t>New Phytologist</w:t>
          </w:r>
          <w:r>
            <w:t xml:space="preserve">, </w:t>
          </w:r>
          <w:r>
            <w:rPr>
              <w:i/>
            </w:rPr>
            <w:t>148</w:t>
          </w:r>
          <w:r>
            <w:t>(3). https://doi.org/10.1046/j.1469-8137.2000.00776.x</w:t>
          </w:r>
        </w:p>
        <w:p w14:paraId="6E7BC9E9" w14:textId="77777777" w:rsidR="005E3F83" w:rsidRDefault="005E3F83" w:rsidP="005E3F83">
          <w:pPr>
            <w:pStyle w:val="mythesis"/>
            <w:divId w:val="333339311"/>
          </w:pPr>
          <w:r>
            <w:t xml:space="preserve">Koide, R. T., &amp; Mosse, B. (2004). A history of research on arbuscular mycorrhiza. In </w:t>
          </w:r>
          <w:r>
            <w:rPr>
              <w:i/>
            </w:rPr>
            <w:t>Mycorrhiza</w:t>
          </w:r>
          <w:r>
            <w:t xml:space="preserve"> (Vol. 14, Issue 3, pp. 145–163). Springer Verlag. https://doi.org/10.1007/s00572-004-0307-4</w:t>
          </w:r>
        </w:p>
        <w:p w14:paraId="1DFDD7DF" w14:textId="77777777" w:rsidR="005E3F83" w:rsidRDefault="005E3F83" w:rsidP="005E3F83">
          <w:pPr>
            <w:pStyle w:val="mythesis"/>
            <w:divId w:val="249241937"/>
          </w:pPr>
          <w:r>
            <w:t xml:space="preserve">Koltai, H., &amp; Kapulnik, Y. (2010). </w:t>
          </w:r>
          <w:r>
            <w:rPr>
              <w:i/>
            </w:rPr>
            <w:t>Arbuscular Mycorrhizas: Physiology and Function</w:t>
          </w:r>
          <w:r>
            <w:t xml:space="preserve"> (H. Koltai &amp; Y. Kapulnik, Eds.; 2th Edition.). Springer Netherlands. https://doi.org/10.1007/978-90-481-9489-6</w:t>
          </w:r>
        </w:p>
        <w:p w14:paraId="2E4F52F7" w14:textId="77777777" w:rsidR="005E3F83" w:rsidRDefault="005E3F83" w:rsidP="005E3F83">
          <w:pPr>
            <w:pStyle w:val="mythesis"/>
            <w:divId w:val="955452030"/>
          </w:pPr>
          <w:r>
            <w:t xml:space="preserve">Koske, R. E., &amp; Gemma, J. N. (1989). A modified procedure for staining roots to detect VA mycorrhizas. </w:t>
          </w:r>
          <w:r>
            <w:rPr>
              <w:i/>
            </w:rPr>
            <w:t>Mycological Research</w:t>
          </w:r>
          <w:r>
            <w:t xml:space="preserve">, </w:t>
          </w:r>
          <w:r>
            <w:rPr>
              <w:i/>
            </w:rPr>
            <w:t>92</w:t>
          </w:r>
          <w:r>
            <w:t>(4), 486–488. https://doi.org/10.1016/S0953-7562(89)80195-9</w:t>
          </w:r>
        </w:p>
        <w:p w14:paraId="342E961D" w14:textId="77777777" w:rsidR="005E3F83" w:rsidRDefault="005E3F83" w:rsidP="005E3F83">
          <w:pPr>
            <w:pStyle w:val="mythesis"/>
            <w:divId w:val="147021394"/>
          </w:pPr>
          <w:r>
            <w:lastRenderedPageBreak/>
            <w:t xml:space="preserve">Krishna, K. R., Shetty, K. G., Dart, P. J., &amp; Andrews, D. J. (1985). Genotype dependent variation in mycorrhizal colonization and response to inoculation of pearl millet. </w:t>
          </w:r>
          <w:r>
            <w:rPr>
              <w:i/>
            </w:rPr>
            <w:t>Plant and Soil</w:t>
          </w:r>
          <w:r>
            <w:t xml:space="preserve">, </w:t>
          </w:r>
          <w:r>
            <w:rPr>
              <w:i/>
            </w:rPr>
            <w:t>86</w:t>
          </w:r>
          <w:r>
            <w:t>(1), 113–125. https://doi.org/10.1007/BF02185031</w:t>
          </w:r>
        </w:p>
        <w:p w14:paraId="7A419BD7" w14:textId="77777777" w:rsidR="005E3F83" w:rsidRDefault="005E3F83" w:rsidP="005E3F83">
          <w:pPr>
            <w:pStyle w:val="mythesis"/>
            <w:divId w:val="413749101"/>
          </w:pPr>
          <w:r>
            <w:t xml:space="preserve">Krzyzanowska, J., Czubacka, A., Pecio, L., Przybys, M., Doroszewska, T., Stochmal, A., &amp; Oleszek, W. (2012). The effects of jasmonic acid and methyl jasmonate on rosmarinic acid production in Mentha × piperita cell suspension cultures. </w:t>
          </w:r>
          <w:r>
            <w:rPr>
              <w:i/>
            </w:rPr>
            <w:t>Plant Cell, Tissue and Organ Culture (PCTOC)</w:t>
          </w:r>
          <w:r>
            <w:t xml:space="preserve">, </w:t>
          </w:r>
          <w:r>
            <w:rPr>
              <w:i/>
            </w:rPr>
            <w:t>108</w:t>
          </w:r>
          <w:r>
            <w:t>(1). https://doi.org/10.1007/s11240-011-0014-8</w:t>
          </w:r>
        </w:p>
        <w:p w14:paraId="420487FB" w14:textId="77777777" w:rsidR="005E3F83" w:rsidRDefault="005E3F83" w:rsidP="005E3F83">
          <w:pPr>
            <w:pStyle w:val="mythesis"/>
            <w:divId w:val="484005260"/>
          </w:pPr>
          <w:r>
            <w:t xml:space="preserve">Kwapata, M. B., &amp; Hall, A. E. (1985). Effects of moisture regime and phosphorus on mycorrhizal infection, nutrient uptake, and growth of cowpeas (Vigna unguiculata (L.) Walp.). </w:t>
          </w:r>
          <w:r>
            <w:rPr>
              <w:i/>
            </w:rPr>
            <w:t>Field Crops Research</w:t>
          </w:r>
          <w:r>
            <w:t xml:space="preserve">, </w:t>
          </w:r>
          <w:r>
            <w:rPr>
              <w:i/>
            </w:rPr>
            <w:t>12</w:t>
          </w:r>
          <w:r>
            <w:t>. https://doi.org/10.1016/0378-4290(85)90072-3</w:t>
          </w:r>
        </w:p>
        <w:p w14:paraId="42E19235" w14:textId="77777777" w:rsidR="005E3F83" w:rsidRDefault="005E3F83" w:rsidP="005E3F83">
          <w:pPr>
            <w:pStyle w:val="mythesis"/>
            <w:divId w:val="176307413"/>
          </w:pPr>
          <w:r>
            <w:t xml:space="preserve">Langyan, S., Dar, Z. A., Chaudhary, D. P., Shekhar, J. C., Herlambang, S., el Enshasy, H., Sayyed, R. Z., &amp; Rakshit, S. (2021). Analysis of Nutritional Quality Attributes and Their Inter-Relationship in Maize Inbred Lines for Sustainable Livelihood. </w:t>
          </w:r>
          <w:r>
            <w:rPr>
              <w:i/>
            </w:rPr>
            <w:t>Sustainability</w:t>
          </w:r>
          <w:r>
            <w:t xml:space="preserve">, </w:t>
          </w:r>
          <w:r>
            <w:rPr>
              <w:i/>
            </w:rPr>
            <w:t>13</w:t>
          </w:r>
          <w:r>
            <w:t>(11). https://doi.org/10.3390/su13116137</w:t>
          </w:r>
        </w:p>
        <w:p w14:paraId="62B2D5EA" w14:textId="77777777" w:rsidR="005E3F83" w:rsidRDefault="005E3F83" w:rsidP="005E3F83">
          <w:pPr>
            <w:pStyle w:val="mythesis"/>
            <w:divId w:val="1520925030"/>
          </w:pPr>
          <w:r>
            <w:t xml:space="preserve">Larkin, M. A., Blackshields, G., Brown, N. P., Chenna, R., McGettigan, P. A., McWilliam, H., Valentin, F., Wallace, I. M., Wilm, A., Lopez, R., Thompson, J. D., Gibson, T. J., &amp; Higgins, D. G. (2007). Clustal W and Clustal X version 2.0. </w:t>
          </w:r>
          <w:r>
            <w:rPr>
              <w:i/>
            </w:rPr>
            <w:t>Bioinformatics</w:t>
          </w:r>
          <w:r>
            <w:t xml:space="preserve">, </w:t>
          </w:r>
          <w:r>
            <w:rPr>
              <w:i/>
            </w:rPr>
            <w:t>23</w:t>
          </w:r>
          <w:r>
            <w:t>(21), 2947–2948. https://doi.org/10.1093/bioinformatics/btm404</w:t>
          </w:r>
        </w:p>
        <w:p w14:paraId="01C569F9" w14:textId="77777777" w:rsidR="005E3F83" w:rsidRDefault="005E3F83" w:rsidP="005E3F83">
          <w:pPr>
            <w:pStyle w:val="mythesis"/>
            <w:divId w:val="1863282105"/>
          </w:pPr>
          <w:r>
            <w:t xml:space="preserve">Larose, G., Chênevert, R., Moutoglis, P., Gagné, S., Piché, Y., &amp; Vierheilig, H. (2002). Flavonoid levels in roots of Medicago sativa are modulated by the developmental stage of the symbiosis and the root colonizing arbuscular mycorrhizal fungus. </w:t>
          </w:r>
          <w:r>
            <w:rPr>
              <w:i/>
            </w:rPr>
            <w:t>Journal of Plant Physiology</w:t>
          </w:r>
          <w:r>
            <w:t xml:space="preserve">, </w:t>
          </w:r>
          <w:r>
            <w:rPr>
              <w:i/>
            </w:rPr>
            <w:t>159</w:t>
          </w:r>
          <w:r>
            <w:t>(12). https://doi.org/10.1078/0176-1617-00896</w:t>
          </w:r>
        </w:p>
        <w:p w14:paraId="0D7F2185" w14:textId="77777777" w:rsidR="005E3F83" w:rsidRDefault="005E3F83" w:rsidP="005E3F83">
          <w:pPr>
            <w:pStyle w:val="mythesis"/>
            <w:divId w:val="1997299496"/>
          </w:pPr>
          <w:r>
            <w:t xml:space="preserve">Leake, J., Johnson, D., Donnelly, D., Muckle, G., Boddy, L., &amp; Read, D. (2004). Networks of power and influence: the role of mycorrhizal mycelium in controlling plant </w:t>
          </w:r>
          <w:r>
            <w:lastRenderedPageBreak/>
            <w:t xml:space="preserve">communities and agroecosystem functioning. </w:t>
          </w:r>
          <w:r>
            <w:rPr>
              <w:i/>
            </w:rPr>
            <w:t>Canadian Journal of Botany</w:t>
          </w:r>
          <w:r>
            <w:t xml:space="preserve">, </w:t>
          </w:r>
          <w:r>
            <w:rPr>
              <w:i/>
            </w:rPr>
            <w:t>82</w:t>
          </w:r>
          <w:r>
            <w:t>(8). https://doi.org/10.1139/b04-060</w:t>
          </w:r>
        </w:p>
        <w:p w14:paraId="6135974D" w14:textId="77777777" w:rsidR="005E3F83" w:rsidRDefault="005E3F83" w:rsidP="005E3F83">
          <w:pPr>
            <w:pStyle w:val="mythesis"/>
            <w:divId w:val="824324042"/>
          </w:pPr>
          <w:r>
            <w:t xml:space="preserve">Lee, T. T., &amp; Dumas, T. (1983). Effect of Glyphosate on Ethylene Production in Tobacco Callus. </w:t>
          </w:r>
          <w:r>
            <w:rPr>
              <w:i/>
            </w:rPr>
            <w:t>Plant Physiology</w:t>
          </w:r>
          <w:r>
            <w:t xml:space="preserve">, </w:t>
          </w:r>
          <w:r>
            <w:rPr>
              <w:i/>
            </w:rPr>
            <w:t>72</w:t>
          </w:r>
          <w:r>
            <w:t>(3). https://doi.org/10.1104/pp.72.3.855</w:t>
          </w:r>
        </w:p>
        <w:p w14:paraId="5FFA475A" w14:textId="77777777" w:rsidR="005E3F83" w:rsidRDefault="005E3F83" w:rsidP="005E3F83">
          <w:pPr>
            <w:pStyle w:val="mythesis"/>
            <w:divId w:val="1949192210"/>
          </w:pPr>
          <w:r>
            <w:t xml:space="preserve">Leiser, W. L., Olatoye, M. O., Rattunde, H. F. W., Neumann, G., Weltzien, E., &amp; Haussmann, B. I. G. (2016). No need to breed for enhanced colonization by arbuscular mycorrhizal fungi to improve low-P adaptation of West African sorghums. </w:t>
          </w:r>
          <w:r>
            <w:rPr>
              <w:i/>
            </w:rPr>
            <w:t>Plant and Soil</w:t>
          </w:r>
          <w:r>
            <w:t xml:space="preserve">, </w:t>
          </w:r>
          <w:r>
            <w:rPr>
              <w:i/>
            </w:rPr>
            <w:t>401</w:t>
          </w:r>
          <w:r>
            <w:t>(1–2). https://doi.org/10.1007/s11104-015-2437-1</w:t>
          </w:r>
        </w:p>
        <w:p w14:paraId="1F90347E" w14:textId="77777777" w:rsidR="005E3F83" w:rsidRDefault="005E3F83" w:rsidP="005E3F83">
          <w:pPr>
            <w:pStyle w:val="mythesis"/>
            <w:divId w:val="1379822181"/>
          </w:pPr>
          <w:r>
            <w:t xml:space="preserve">Lekberg, Y., Gibbons, S. M., Rosendahl, S., &amp; Ramsey, P. W. (2013). Severe plant invasions can increase mycorrhizal fungal abundance and diversity. </w:t>
          </w:r>
          <w:r>
            <w:rPr>
              <w:i/>
            </w:rPr>
            <w:t>The ISME Journal</w:t>
          </w:r>
          <w:r>
            <w:t xml:space="preserve">, </w:t>
          </w:r>
          <w:r>
            <w:rPr>
              <w:i/>
            </w:rPr>
            <w:t>7</w:t>
          </w:r>
          <w:r>
            <w:t>(7). https://doi.org/10.1038/ismej.2013.41</w:t>
          </w:r>
        </w:p>
        <w:p w14:paraId="7A3A95B8" w14:textId="77777777" w:rsidR="005E3F83" w:rsidRDefault="005E3F83" w:rsidP="005E3F83">
          <w:pPr>
            <w:pStyle w:val="mythesis"/>
            <w:divId w:val="1380126888"/>
          </w:pPr>
          <w:r>
            <w:t xml:space="preserve">Lekberg, Y., Koide, R. T., &amp; Twomlow, S. J. (2008). Effect of agricultural management practices on arbuscular mycorrhizal fungal abundance in low-input cropping systems of southern Africa: a case study from Zimbabwe. </w:t>
          </w:r>
          <w:r>
            <w:rPr>
              <w:i/>
            </w:rPr>
            <w:t>Biology and Fertility of Soils</w:t>
          </w:r>
          <w:r>
            <w:t xml:space="preserve">, </w:t>
          </w:r>
          <w:r>
            <w:rPr>
              <w:i/>
            </w:rPr>
            <w:t>44</w:t>
          </w:r>
          <w:r>
            <w:t>(7). https://doi.org/10.1007/s00374-008-0274-6</w:t>
          </w:r>
        </w:p>
        <w:p w14:paraId="348EACC7" w14:textId="77777777" w:rsidR="005E3F83" w:rsidRDefault="005E3F83" w:rsidP="005E3F83">
          <w:pPr>
            <w:pStyle w:val="mythesis"/>
            <w:divId w:val="32317184"/>
          </w:pPr>
          <w:r>
            <w:t xml:space="preserve">Les, D. H., Garvin, D. K., &amp; Wimpee, C. F. (1991). Molecular evolutionary history of ancient aquatic angiosperms. </w:t>
          </w:r>
          <w:r>
            <w:rPr>
              <w:i/>
            </w:rPr>
            <w:t>Proceedings of the National Academy of Sciences of the United States of America</w:t>
          </w:r>
          <w:r>
            <w:t xml:space="preserve">, </w:t>
          </w:r>
          <w:r>
            <w:rPr>
              <w:i/>
            </w:rPr>
            <w:t>88</w:t>
          </w:r>
          <w:r>
            <w:t>(22), 10119–10123. https://doi.org/10.1073/pnas.88.22.10119</w:t>
          </w:r>
        </w:p>
        <w:p w14:paraId="60872EB9" w14:textId="77777777" w:rsidR="005E3F83" w:rsidRDefault="005E3F83" w:rsidP="005E3F83">
          <w:pPr>
            <w:pStyle w:val="mythesis"/>
            <w:divId w:val="1507283517"/>
          </w:pPr>
          <w:r>
            <w:t xml:space="preserve">Li, D. C. , Wang, B. R. , Huang, J. , Zhang, Y. Z. , Xu, M. G. , &amp; Zhang, S. X. (2019). Change of phosphorus in red soil and its effect to grain yield under long-term different fertilizations. </w:t>
          </w:r>
          <w:r>
            <w:rPr>
              <w:i/>
            </w:rPr>
            <w:t xml:space="preserve">Sci. Agric. Sin. </w:t>
          </w:r>
          <w:r>
            <w:t xml:space="preserve">, </w:t>
          </w:r>
          <w:r>
            <w:rPr>
              <w:i/>
            </w:rPr>
            <w:t>52</w:t>
          </w:r>
          <w:r>
            <w:t>(21), 3830–3841.</w:t>
          </w:r>
        </w:p>
        <w:p w14:paraId="3D1866A5" w14:textId="77777777" w:rsidR="005E3F83" w:rsidRDefault="005E3F83" w:rsidP="005E3F83">
          <w:pPr>
            <w:pStyle w:val="mythesis"/>
            <w:divId w:val="271933972"/>
          </w:pPr>
          <w:r>
            <w:t xml:space="preserve">Li, X., Quan, X., Mang, M., Neumann, G., Melchinger, A., &amp; Ludewig, U. (2021). Flint maize root mycorrhization and organic acid exudates under phosphorus deficiency: Trends in </w:t>
          </w:r>
          <w:r>
            <w:lastRenderedPageBreak/>
            <w:t xml:space="preserve">breeding lines and doubled haploid lines from landraces. </w:t>
          </w:r>
          <w:r>
            <w:rPr>
              <w:i/>
            </w:rPr>
            <w:t>Journal of Plant Nutrition and Soil Science</w:t>
          </w:r>
          <w:r>
            <w:t>. https://doi.org/10.1002/jpln.202000471</w:t>
          </w:r>
        </w:p>
        <w:p w14:paraId="6C268FF2" w14:textId="77777777" w:rsidR="005E3F83" w:rsidRDefault="005E3F83" w:rsidP="005E3F83">
          <w:pPr>
            <w:pStyle w:val="mythesis"/>
            <w:divId w:val="1341350519"/>
          </w:pPr>
          <w:r>
            <w:t xml:space="preserve">Liang, Z., Ma, Y., Xu, T., Cui, B., Liu, Y., Guo, Z., &amp; Yang, D. (2013). Effects of Abscisic Acid, Gibberellin, Ethylene and Their Interactions on Production of Phenolic Acids in Salvia miltiorrhiza Bunge Hairy Roots. </w:t>
          </w:r>
          <w:r>
            <w:rPr>
              <w:i/>
            </w:rPr>
            <w:t>PLoS ONE</w:t>
          </w:r>
          <w:r>
            <w:t xml:space="preserve">, </w:t>
          </w:r>
          <w:r>
            <w:rPr>
              <w:i/>
            </w:rPr>
            <w:t>8</w:t>
          </w:r>
          <w:r>
            <w:t>(9). https://doi.org/10.1371/journal.pone.0072806</w:t>
          </w:r>
        </w:p>
        <w:p w14:paraId="1E6D261C" w14:textId="77777777" w:rsidR="005E3F83" w:rsidRDefault="005E3F83" w:rsidP="005E3F83">
          <w:pPr>
            <w:pStyle w:val="mythesis"/>
            <w:divId w:val="430668471"/>
          </w:pPr>
          <w:r>
            <w:t xml:space="preserve">Liu, J., Maldonado-Mendoza, I., Lopez-Meyer, M., Cheung, F., Town, C. D., &amp; Harrison, M. J. (2007). Arbuscular mycorrhizal symbiosis is accompanied by local and systemic alterations in gene expression and an increase in disease resistance in the shoots. </w:t>
          </w:r>
          <w:r>
            <w:rPr>
              <w:i/>
            </w:rPr>
            <w:t>The Plant Journal</w:t>
          </w:r>
          <w:r>
            <w:t xml:space="preserve">, </w:t>
          </w:r>
          <w:r>
            <w:rPr>
              <w:i/>
            </w:rPr>
            <w:t>50</w:t>
          </w:r>
          <w:r>
            <w:t>(3). https://doi.org/10.1111/j.1365-313X.2007.03069.x</w:t>
          </w:r>
        </w:p>
        <w:p w14:paraId="5C5BC8ED" w14:textId="77777777" w:rsidR="005E3F83" w:rsidRDefault="005E3F83" w:rsidP="005E3F83">
          <w:pPr>
            <w:pStyle w:val="mythesis"/>
            <w:divId w:val="1584602249"/>
          </w:pPr>
          <w:r>
            <w:t xml:space="preserve">Liu, W. J., Zeng, F. X., &amp; Jiang, H. (2013). Determination of Total Nitrogen in Solid Samples by Two-Step Digestion–Ultraviolet Spectrophotometry Method. </w:t>
          </w:r>
          <w:r>
            <w:rPr>
              <w:i/>
            </w:rPr>
            <w:t>Communications in Soil Science and Plant Analysis</w:t>
          </w:r>
          <w:r>
            <w:t xml:space="preserve">, </w:t>
          </w:r>
          <w:r>
            <w:rPr>
              <w:i/>
            </w:rPr>
            <w:t>44</w:t>
          </w:r>
          <w:r>
            <w:t>(6). https://doi.org/10.1080/00103624.2012.750330</w:t>
          </w:r>
        </w:p>
        <w:p w14:paraId="4838143F" w14:textId="77777777" w:rsidR="005E3F83" w:rsidRDefault="005E3F83" w:rsidP="005E3F83">
          <w:pPr>
            <w:pStyle w:val="mythesis"/>
            <w:divId w:val="1343773891"/>
          </w:pPr>
          <w:r>
            <w:t xml:space="preserve">Liu, Y. ;, Wang, H. ;, Ye, H. C. ;, &amp; Li, G. F. (2005). Advances in the plant isoprenoid biosynthesis pathway and its metabolic engineering. </w:t>
          </w:r>
          <w:r>
            <w:rPr>
              <w:i/>
            </w:rPr>
            <w:t>J. Integr.Plant Biol.</w:t>
          </w:r>
          <w:r>
            <w:t xml:space="preserve">, </w:t>
          </w:r>
          <w:r>
            <w:rPr>
              <w:i/>
            </w:rPr>
            <w:t>47</w:t>
          </w:r>
          <w:r>
            <w:t>, 769–782.</w:t>
          </w:r>
        </w:p>
        <w:p w14:paraId="2A6DA129" w14:textId="77777777" w:rsidR="005E3F83" w:rsidRDefault="005E3F83" w:rsidP="005E3F83">
          <w:pPr>
            <w:pStyle w:val="mythesis"/>
            <w:divId w:val="1354376445"/>
          </w:pPr>
          <w:r>
            <w:t xml:space="preserve">Lodha, M. L. ; S. K. N. ; G. H. O. ; E. B. O. ; M. S. L. ; S. J. (1976). Nutritive value of normal and opaque-2 maize. . </w:t>
          </w:r>
          <w:r>
            <w:rPr>
              <w:i/>
            </w:rPr>
            <w:t>Curr. Sci</w:t>
          </w:r>
          <w:r>
            <w:t xml:space="preserve">, </w:t>
          </w:r>
          <w:r>
            <w:rPr>
              <w:i/>
            </w:rPr>
            <w:t>45</w:t>
          </w:r>
          <w:r>
            <w:t>, 287–289.</w:t>
          </w:r>
        </w:p>
        <w:p w14:paraId="4ACC676D" w14:textId="77777777" w:rsidR="005E3F83" w:rsidRDefault="005E3F83" w:rsidP="005E3F83">
          <w:pPr>
            <w:pStyle w:val="mythesis"/>
            <w:divId w:val="265432790"/>
          </w:pPr>
          <w:r>
            <w:t xml:space="preserve">López-Ráez, J. A., Flors, V., García, J. M., &amp; Pozo, M. J. (2010). AM symbiosis alters phenolic acid content in tomato roots. </w:t>
          </w:r>
          <w:r>
            <w:rPr>
              <w:i/>
            </w:rPr>
            <w:t>Plant Signaling &amp; Behavior</w:t>
          </w:r>
          <w:r>
            <w:t xml:space="preserve">, </w:t>
          </w:r>
          <w:r>
            <w:rPr>
              <w:i/>
            </w:rPr>
            <w:t>5</w:t>
          </w:r>
          <w:r>
            <w:t>(9). https://doi.org/10.4161/psb.5.9.12659</w:t>
          </w:r>
        </w:p>
        <w:p w14:paraId="1EA8B005" w14:textId="77777777" w:rsidR="005E3F83" w:rsidRDefault="005E3F83" w:rsidP="005E3F83">
          <w:pPr>
            <w:pStyle w:val="mythesis"/>
            <w:divId w:val="1493327787"/>
          </w:pPr>
          <w:r>
            <w:t xml:space="preserve">López-Ráez, J. A., Pozo, M. J., &amp; García-Garrido, J. M. (2011). Strigolactones: a cry for help in the rhizosphere. </w:t>
          </w:r>
          <w:r>
            <w:rPr>
              <w:i/>
            </w:rPr>
            <w:t>Botany</w:t>
          </w:r>
          <w:r>
            <w:t xml:space="preserve">, </w:t>
          </w:r>
          <w:r>
            <w:rPr>
              <w:i/>
            </w:rPr>
            <w:t>89</w:t>
          </w:r>
          <w:r>
            <w:t>(8). https://doi.org/10.1139/b11-046</w:t>
          </w:r>
        </w:p>
        <w:p w14:paraId="4875671D" w14:textId="77777777" w:rsidR="005E3F83" w:rsidRDefault="005E3F83" w:rsidP="005E3F83">
          <w:pPr>
            <w:pStyle w:val="mythesis"/>
            <w:divId w:val="1388185642"/>
          </w:pPr>
          <w:r>
            <w:lastRenderedPageBreak/>
            <w:t xml:space="preserve">López-Ráez, J. A., Verhage, A., Fernández, I., García, J. M., Azcón-Aguilar, C., Flors, V., &amp; Pozo, M. J. (2010a). Hormonal and transcriptional profiles highlight common and differential host responses to arbuscular mycorrhizal fungi and the regulation of the oxylipin pathway. </w:t>
          </w:r>
          <w:r>
            <w:rPr>
              <w:i/>
            </w:rPr>
            <w:t>Journal of Experimental Botany</w:t>
          </w:r>
          <w:r>
            <w:t xml:space="preserve">, </w:t>
          </w:r>
          <w:r>
            <w:rPr>
              <w:i/>
            </w:rPr>
            <w:t>61</w:t>
          </w:r>
          <w:r>
            <w:t>(10). https://doi.org/10.1093/jxb/erq089</w:t>
          </w:r>
        </w:p>
        <w:p w14:paraId="5B019F52" w14:textId="77777777" w:rsidR="005E3F83" w:rsidRDefault="005E3F83" w:rsidP="005E3F83">
          <w:pPr>
            <w:pStyle w:val="mythesis"/>
            <w:divId w:val="832991420"/>
          </w:pPr>
          <w:r>
            <w:t xml:space="preserve">López-Ráez, J. A., Verhage, A., Fernández, I., García, J. M., Azcón-Aguilar, C., Flors, V., &amp; Pozo, M. J. (2010b). Hormonal and transcriptional profiles highlight common and differential host responses to arbuscular mycorrhizal fungi and the regulation of the oxylipin pathway. </w:t>
          </w:r>
          <w:r>
            <w:rPr>
              <w:i/>
            </w:rPr>
            <w:t>Journal of Experimental Botany</w:t>
          </w:r>
          <w:r>
            <w:t xml:space="preserve">, </w:t>
          </w:r>
          <w:r>
            <w:rPr>
              <w:i/>
            </w:rPr>
            <w:t>61</w:t>
          </w:r>
          <w:r>
            <w:t>(10). https://doi.org/10.1093/jxb/erq089</w:t>
          </w:r>
        </w:p>
        <w:p w14:paraId="6849FA2F" w14:textId="77777777" w:rsidR="005E3F83" w:rsidRDefault="005E3F83" w:rsidP="005E3F83">
          <w:pPr>
            <w:pStyle w:val="mythesis"/>
            <w:divId w:val="368847512"/>
          </w:pPr>
          <w:r>
            <w:t xml:space="preserve">Ludwig-Müller, J. (2000). Hormonal Balance in Plants During Colonization by Mycorrhizal Fungi. In </w:t>
          </w:r>
          <w:r>
            <w:rPr>
              <w:i/>
            </w:rPr>
            <w:t>Arbuscular Mycorrhizas: Physiology and Function</w:t>
          </w:r>
          <w:r>
            <w:t>. Springer Netherlands. https://doi.org/10.1007/978-94-017-0776-3_12</w:t>
          </w:r>
        </w:p>
        <w:p w14:paraId="790FBE67" w14:textId="77777777" w:rsidR="005E3F83" w:rsidRDefault="005E3F83" w:rsidP="005E3F83">
          <w:pPr>
            <w:pStyle w:val="mythesis"/>
            <w:divId w:val="494420409"/>
          </w:pPr>
          <w:r>
            <w:t xml:space="preserve">Ludwig-Müller, J., Bennett, R. N., García-Garrido, J. M., Piché, Y., &amp; Vierheilig, H. (2002). Reduced arbuscular mycorrhizal root colonization in Tropaeolum majus and Carica papaya after jasmonic acid application can not be attributed to increased glucosinolate levels. </w:t>
          </w:r>
          <w:r>
            <w:rPr>
              <w:i/>
            </w:rPr>
            <w:t>Journal of Plant Physiology</w:t>
          </w:r>
          <w:r>
            <w:t xml:space="preserve">, </w:t>
          </w:r>
          <w:r>
            <w:rPr>
              <w:i/>
            </w:rPr>
            <w:t>159</w:t>
          </w:r>
          <w:r>
            <w:t>(5). https://doi.org/10.1078/0176-1617-00731</w:t>
          </w:r>
        </w:p>
        <w:p w14:paraId="6C0873BF" w14:textId="77777777" w:rsidR="005E3F83" w:rsidRDefault="005E3F83" w:rsidP="005E3F83">
          <w:pPr>
            <w:pStyle w:val="mythesis"/>
            <w:divId w:val="1682930177"/>
          </w:pPr>
          <w:r>
            <w:t xml:space="preserve">Lutz, W., Sanderson, W., &amp; Scherbov, S. (2001). The end of world population growth. </w:t>
          </w:r>
          <w:r>
            <w:rPr>
              <w:i/>
            </w:rPr>
            <w:t>Nature</w:t>
          </w:r>
          <w:r>
            <w:t xml:space="preserve">, </w:t>
          </w:r>
          <w:r>
            <w:rPr>
              <w:i/>
            </w:rPr>
            <w:t>412</w:t>
          </w:r>
          <w:r>
            <w:t>(6846). https://doi.org/10.1038/35087589</w:t>
          </w:r>
        </w:p>
        <w:p w14:paraId="1B4D49D2" w14:textId="77777777" w:rsidR="005E3F83" w:rsidRDefault="005E3F83" w:rsidP="005E3F83">
          <w:pPr>
            <w:pStyle w:val="mythesis"/>
            <w:divId w:val="526066950"/>
          </w:pPr>
          <w:r>
            <w:t xml:space="preserve">Ma, Z., Guo, D., Xu, X., Lu, mingzhen, Bardgett, R. D., Eissenstat, D., mccormack, L., &amp; hedin, L. O. (2018). Evolutionary history resolves global organization of root functional traits. </w:t>
          </w:r>
          <w:r>
            <w:rPr>
              <w:i/>
            </w:rPr>
            <w:t>Nature Publishing Group</w:t>
          </w:r>
          <w:r>
            <w:t>. https://doi.org/10.1038/nature25783</w:t>
          </w:r>
        </w:p>
        <w:p w14:paraId="7F15B243" w14:textId="77777777" w:rsidR="005E3F83" w:rsidRDefault="005E3F83" w:rsidP="005E3F83">
          <w:pPr>
            <w:pStyle w:val="mythesis"/>
            <w:divId w:val="1758746479"/>
          </w:pPr>
          <w:r>
            <w:t xml:space="preserve">MacDonald, M. J., &amp; D’Cunha, G. B. (2007). A modern view of phenylalanine ammonia lyase. </w:t>
          </w:r>
          <w:r>
            <w:rPr>
              <w:i/>
            </w:rPr>
            <w:t>Biochemistry and Cell Biology</w:t>
          </w:r>
          <w:r>
            <w:t xml:space="preserve">, </w:t>
          </w:r>
          <w:r>
            <w:rPr>
              <w:i/>
            </w:rPr>
            <w:t>85</w:t>
          </w:r>
          <w:r>
            <w:t>(3). https://doi.org/10.1139/O07-018</w:t>
          </w:r>
        </w:p>
        <w:p w14:paraId="7E649E49" w14:textId="77777777" w:rsidR="005E3F83" w:rsidRDefault="005E3F83" w:rsidP="005E3F83">
          <w:pPr>
            <w:pStyle w:val="mythesis"/>
            <w:divId w:val="1854294544"/>
          </w:pPr>
          <w:r>
            <w:t xml:space="preserve">Mader, P., Vierheilig, H., Streitwolf-engel, R., Boller, T., Frey, B., Christie, P., &amp; Wiemken, A. (2000). Transport of 15N from a soil compartment separated by a </w:t>
          </w:r>
          <w:r>
            <w:lastRenderedPageBreak/>
            <w:t xml:space="preserve">polytetrafluoroethylene membrane to plant roots via the hyphae of arbuscular mycorrhizal fungi. </w:t>
          </w:r>
          <w:r>
            <w:rPr>
              <w:i/>
            </w:rPr>
            <w:t>New Phytologist</w:t>
          </w:r>
          <w:r>
            <w:t xml:space="preserve">, </w:t>
          </w:r>
          <w:r>
            <w:rPr>
              <w:i/>
            </w:rPr>
            <w:t>146</w:t>
          </w:r>
          <w:r>
            <w:t>(1). https://doi.org/10.1046/j.1469-8137.2000.00615.x</w:t>
          </w:r>
        </w:p>
        <w:p w14:paraId="751950BA" w14:textId="77777777" w:rsidR="005E3F83" w:rsidRDefault="005E3F83" w:rsidP="005E3F83">
          <w:pPr>
            <w:pStyle w:val="mythesis"/>
            <w:divId w:val="1632713906"/>
          </w:pPr>
          <w:r>
            <w:t xml:space="preserve">Maeda, H., &amp; Dudareva, N. (2012). The Shikimate Pathway and Aromatic Amino Acid Biosynthesis in Plants. </w:t>
          </w:r>
          <w:r>
            <w:rPr>
              <w:i/>
            </w:rPr>
            <w:t>Annual Review of Plant Biology</w:t>
          </w:r>
          <w:r>
            <w:t xml:space="preserve">, </w:t>
          </w:r>
          <w:r>
            <w:rPr>
              <w:i/>
            </w:rPr>
            <w:t>63</w:t>
          </w:r>
          <w:r>
            <w:t>(1). https://doi.org/10.1146/annurev-arplant-042811-105439</w:t>
          </w:r>
        </w:p>
        <w:p w14:paraId="673AD34C" w14:textId="77777777" w:rsidR="005E3F83" w:rsidRDefault="005E3F83" w:rsidP="005E3F83">
          <w:pPr>
            <w:pStyle w:val="mythesis"/>
            <w:divId w:val="441922138"/>
          </w:pPr>
          <w:r>
            <w:t xml:space="preserve">Mafu, S., &amp; Zerbe, P. (2018). Plant diterpenoid metabolism for manufacturing the biopharmaceuticals of tomorrow: prospects and challenges. </w:t>
          </w:r>
          <w:r>
            <w:rPr>
              <w:i/>
            </w:rPr>
            <w:t>Phytochemistry Reviews</w:t>
          </w:r>
          <w:r>
            <w:t xml:space="preserve">, </w:t>
          </w:r>
          <w:r>
            <w:rPr>
              <w:i/>
            </w:rPr>
            <w:t>17</w:t>
          </w:r>
          <w:r>
            <w:t>(1). https://doi.org/10.1007/s11101-017-9513-5</w:t>
          </w:r>
        </w:p>
        <w:p w14:paraId="56C901D2" w14:textId="77777777" w:rsidR="005E3F83" w:rsidRDefault="005E3F83" w:rsidP="005E3F83">
          <w:pPr>
            <w:pStyle w:val="mythesis"/>
            <w:divId w:val="992832988"/>
          </w:pPr>
          <w:r>
            <w:t xml:space="preserve">Malik RJ, Ali JG, &amp; Bever JD. (2018). Mycorrhizal composition influences plant anatomical defense and impacts herbivore growth and survival in a life-stage dependent manner. . </w:t>
          </w:r>
          <w:r>
            <w:rPr>
              <w:i/>
            </w:rPr>
            <w:t>Pedobiologia</w:t>
          </w:r>
          <w:r>
            <w:t xml:space="preserve">, </w:t>
          </w:r>
          <w:r>
            <w:rPr>
              <w:i/>
            </w:rPr>
            <w:t>66</w:t>
          </w:r>
          <w:r>
            <w:t>, 29–35.</w:t>
          </w:r>
        </w:p>
        <w:p w14:paraId="7857AEC0" w14:textId="77777777" w:rsidR="005E3F83" w:rsidRDefault="005E3F83" w:rsidP="005E3F83">
          <w:pPr>
            <w:pStyle w:val="mythesis"/>
            <w:divId w:val="1092631775"/>
          </w:pPr>
          <w:r>
            <w:t xml:space="preserve">Mandal, S., Evelin, H., Giri, B., Singh, V. P., &amp; Kapoor, R. (2013). Arbuscular mycorrhiza enhances the production of stevioside and rebaudioside-A in Stevia rebaudiana via nutritional and non-nutritional mechanisms. </w:t>
          </w:r>
          <w:r>
            <w:rPr>
              <w:i/>
            </w:rPr>
            <w:t>Applied Soil Ecology</w:t>
          </w:r>
          <w:r>
            <w:t xml:space="preserve">, </w:t>
          </w:r>
          <w:r>
            <w:rPr>
              <w:i/>
            </w:rPr>
            <w:t>72</w:t>
          </w:r>
          <w:r>
            <w:t>. https://doi.org/10.1016/j.apsoil.2013.07.003</w:t>
          </w:r>
        </w:p>
        <w:p w14:paraId="56D7F74E" w14:textId="77777777" w:rsidR="005E3F83" w:rsidRDefault="005E3F83" w:rsidP="005E3F83">
          <w:pPr>
            <w:pStyle w:val="mythesis"/>
            <w:divId w:val="1392967759"/>
          </w:pPr>
          <w:r>
            <w:t xml:space="preserve">Mandal, S., Upadhyay, S., Wajid, S., Ram, M., Jain, D. C., Singh, V. P., Abdin, M. Z., &amp; Kapoor, R. (2015). Arbuscular mycorrhiza increase artemisinin accumulation in Artemisia annua by higher expression of key biosynthesis genes via enhanced jasmonic acid levels. </w:t>
          </w:r>
          <w:r>
            <w:rPr>
              <w:i/>
            </w:rPr>
            <w:t>Mycorrhiza</w:t>
          </w:r>
          <w:r>
            <w:t xml:space="preserve">, </w:t>
          </w:r>
          <w:r>
            <w:rPr>
              <w:i/>
            </w:rPr>
            <w:t>25</w:t>
          </w:r>
          <w:r>
            <w:t>(5). https://doi.org/10.1007/s00572-014-0614-3</w:t>
          </w:r>
        </w:p>
        <w:p w14:paraId="36375968" w14:textId="77777777" w:rsidR="005E3F83" w:rsidRDefault="005E3F83" w:rsidP="005E3F83">
          <w:pPr>
            <w:pStyle w:val="mythesis"/>
            <w:divId w:val="1541746475"/>
          </w:pPr>
          <w:r>
            <w:t xml:space="preserve">Maroufi, A., van Bockstaele, E., &amp; de Loose, M. (2010). Validation of reference genes for gene expression analysis in chicory (Cichorium intybus) using quantitative real-time PCR. </w:t>
          </w:r>
          <w:r>
            <w:rPr>
              <w:i/>
            </w:rPr>
            <w:t>BMC Molecular Biology</w:t>
          </w:r>
          <w:r>
            <w:t xml:space="preserve">, </w:t>
          </w:r>
          <w:r>
            <w:rPr>
              <w:i/>
            </w:rPr>
            <w:t>11</w:t>
          </w:r>
          <w:r>
            <w:t>(1). https://doi.org/10.1186/1471-2199-11-15</w:t>
          </w:r>
        </w:p>
        <w:p w14:paraId="046DBE1B" w14:textId="77777777" w:rsidR="005E3F83" w:rsidRDefault="005E3F83" w:rsidP="005E3F83">
          <w:pPr>
            <w:pStyle w:val="mythesis"/>
            <w:divId w:val="753667681"/>
          </w:pPr>
          <w:r>
            <w:lastRenderedPageBreak/>
            <w:t xml:space="preserve">Marschener, H. (1998). Role of root growth, arbuscular mycorrhiza, and root exudates for the efficiency in nutrient acquisition. </w:t>
          </w:r>
          <w:r>
            <w:rPr>
              <w:i/>
            </w:rPr>
            <w:t>Field Crops Research</w:t>
          </w:r>
          <w:r>
            <w:t xml:space="preserve">, </w:t>
          </w:r>
          <w:r>
            <w:rPr>
              <w:i/>
            </w:rPr>
            <w:t>56</w:t>
          </w:r>
          <w:r>
            <w:t>(1–2), 203–207. https://doi.org/10.1016/S0378-4290(97)00131-7</w:t>
          </w:r>
        </w:p>
        <w:p w14:paraId="0122C4B0" w14:textId="77777777" w:rsidR="005E3F83" w:rsidRDefault="005E3F83" w:rsidP="005E3F83">
          <w:pPr>
            <w:pStyle w:val="mythesis"/>
            <w:divId w:val="823594107"/>
          </w:pPr>
          <w:r>
            <w:t xml:space="preserve">Marschner, H., &amp; Dell, B. (1994). Nutrient uptake in mycorrhizal symbiosis. </w:t>
          </w:r>
          <w:r>
            <w:rPr>
              <w:i/>
            </w:rPr>
            <w:t>Plant and Soil</w:t>
          </w:r>
          <w:r>
            <w:t xml:space="preserve">, </w:t>
          </w:r>
          <w:r>
            <w:rPr>
              <w:i/>
            </w:rPr>
            <w:t>159</w:t>
          </w:r>
          <w:r>
            <w:t>(1). https://doi.org/10.1007/BF00000098</w:t>
          </w:r>
        </w:p>
        <w:p w14:paraId="2DE0543A" w14:textId="77777777" w:rsidR="005E3F83" w:rsidRDefault="005E3F83" w:rsidP="005E3F83">
          <w:pPr>
            <w:pStyle w:val="mythesis"/>
            <w:divId w:val="1516266323"/>
          </w:pPr>
          <w:r>
            <w:t xml:space="preserve">Martín-Robles, N., Lehmann, A., Seco, E., Aroca, R., Rillig, M. C., &amp; Milla, R. (2018). Impacts of domestication on the arbuscular mycorrhizal symbiosis of 27 crop species. </w:t>
          </w:r>
          <w:r>
            <w:rPr>
              <w:i/>
            </w:rPr>
            <w:t>New Phytologist</w:t>
          </w:r>
          <w:r>
            <w:t xml:space="preserve">, </w:t>
          </w:r>
          <w:r>
            <w:rPr>
              <w:i/>
            </w:rPr>
            <w:t>218</w:t>
          </w:r>
          <w:r>
            <w:t>(1). https://doi.org/10.1111/nph.14962</w:t>
          </w:r>
        </w:p>
        <w:p w14:paraId="120C0912" w14:textId="77777777" w:rsidR="005E3F83" w:rsidRDefault="005E3F83" w:rsidP="005E3F83">
          <w:pPr>
            <w:pStyle w:val="mythesis"/>
            <w:divId w:val="2100563922"/>
          </w:pPr>
          <w:r>
            <w:t xml:space="preserve">Masuda, K., Abouleila, Y., Ali, A., Yanagida, T., &amp; Masujima, T. (2018). </w:t>
          </w:r>
          <w:r>
            <w:rPr>
              <w:i/>
            </w:rPr>
            <w:t>Live Single-Cell Mass Spectrometry (LSC-MS) for Plant Metabolomics</w:t>
          </w:r>
          <w:r>
            <w:t>. https://doi.org/10.1007/978-1-4939-7819-9_19</w:t>
          </w:r>
        </w:p>
        <w:p w14:paraId="72C4A7E7" w14:textId="77777777" w:rsidR="005E3F83" w:rsidRDefault="005E3F83" w:rsidP="005E3F83">
          <w:pPr>
            <w:pStyle w:val="mythesis"/>
            <w:divId w:val="166139590"/>
          </w:pPr>
          <w:r>
            <w:t xml:space="preserve">Mathiyazhagan, S., Kavitha, K., Nakkeeran, S., Chandrasekar, G., Manian, K., Renukadevi, P., Krishnamoorthy, A., &amp; Fernando, W. (2004). PGPR mediated management of stem blight of </w:t>
          </w:r>
          <w:r>
            <w:rPr>
              <w:i/>
            </w:rPr>
            <w:t>Phyllanthus amarus</w:t>
          </w:r>
          <w:r>
            <w:t xml:space="preserve"> (Schum and Thonn) caused by </w:t>
          </w:r>
          <w:r>
            <w:rPr>
              <w:i/>
            </w:rPr>
            <w:t>Corynespora cassiicola</w:t>
          </w:r>
          <w:r>
            <w:t xml:space="preserve"> (Berk and Curt) Wei. </w:t>
          </w:r>
          <w:r>
            <w:rPr>
              <w:i/>
            </w:rPr>
            <w:t>Archives Of Phytopathology And Plant Protection</w:t>
          </w:r>
          <w:r>
            <w:t xml:space="preserve">, </w:t>
          </w:r>
          <w:r>
            <w:rPr>
              <w:i/>
            </w:rPr>
            <w:t>37</w:t>
          </w:r>
          <w:r>
            <w:t>(3). https://doi.org/10.1080/03235400410001730658</w:t>
          </w:r>
        </w:p>
        <w:p w14:paraId="7D6A3F7D" w14:textId="77777777" w:rsidR="005E3F83" w:rsidRDefault="005E3F83" w:rsidP="005E3F83">
          <w:pPr>
            <w:pStyle w:val="mythesis"/>
            <w:divId w:val="1246837367"/>
          </w:pPr>
          <w:r>
            <w:t xml:space="preserve">Matt K John. (1970). Colorimetric determination of phosphorus in soil and plant materials with ascorbic acid. </w:t>
          </w:r>
          <w:r>
            <w:rPr>
              <w:i/>
            </w:rPr>
            <w:t>Soil Science</w:t>
          </w:r>
          <w:r>
            <w:t xml:space="preserve">, </w:t>
          </w:r>
          <w:r>
            <w:rPr>
              <w:i/>
            </w:rPr>
            <w:t>109</w:t>
          </w:r>
          <w:r>
            <w:t>(4), 214–220.</w:t>
          </w:r>
        </w:p>
        <w:p w14:paraId="70129CA9" w14:textId="77777777" w:rsidR="005E3F83" w:rsidRDefault="005E3F83" w:rsidP="005E3F83">
          <w:pPr>
            <w:pStyle w:val="mythesis"/>
            <w:divId w:val="188877067"/>
          </w:pPr>
          <w:r>
            <w:t xml:space="preserve">Maucher, H., Hause, B., Feussner, I., Ziegler, J., &amp; Wasternack, C. (2000). Allene oxide synthases of barley (Hordeum vulgare cv. Salome): tissue specific regulation in seedling development. </w:t>
          </w:r>
          <w:r>
            <w:rPr>
              <w:i/>
            </w:rPr>
            <w:t>The Plant Journal</w:t>
          </w:r>
          <w:r>
            <w:t xml:space="preserve">, </w:t>
          </w:r>
          <w:r>
            <w:rPr>
              <w:i/>
            </w:rPr>
            <w:t>21</w:t>
          </w:r>
          <w:r>
            <w:t>(2). https://doi.org/10.1046/j.1365-313x.2000.00669.x</w:t>
          </w:r>
        </w:p>
        <w:p w14:paraId="15110226" w14:textId="77777777" w:rsidR="005E3F83" w:rsidRDefault="005E3F83" w:rsidP="005E3F83">
          <w:pPr>
            <w:pStyle w:val="mythesis"/>
            <w:divId w:val="120803209"/>
          </w:pPr>
          <w:r>
            <w:t xml:space="preserve">Mayer, Z. (2019). Impact of arbuscular mycorrhizal fungi on some defference enzyme activities at an early stage of maize (Zea mays.L ) under different abiotic stress . </w:t>
          </w:r>
          <w:r>
            <w:rPr>
              <w:i/>
            </w:rPr>
            <w:t>Applied Ecology and Environmental Research</w:t>
          </w:r>
          <w:r>
            <w:t xml:space="preserve">, </w:t>
          </w:r>
          <w:r>
            <w:rPr>
              <w:i/>
            </w:rPr>
            <w:t>17</w:t>
          </w:r>
          <w:r>
            <w:t>(3). https://doi.org/10.15666/aeer/1703_62416253</w:t>
          </w:r>
        </w:p>
        <w:p w14:paraId="488C1DEE" w14:textId="77777777" w:rsidR="005E3F83" w:rsidRDefault="005E3F83" w:rsidP="005E3F83">
          <w:pPr>
            <w:pStyle w:val="mythesis"/>
            <w:divId w:val="1582106414"/>
          </w:pPr>
          <w:r>
            <w:lastRenderedPageBreak/>
            <w:t xml:space="preserve">Mazid, M. ;, Khan, T. ;, &amp; Mohammad, F. (2011). Role of secondary metabolites in defense mechanisms of plants. </w:t>
          </w:r>
          <w:r>
            <w:rPr>
              <w:i/>
            </w:rPr>
            <w:t>Biol. Med</w:t>
          </w:r>
          <w:r>
            <w:t xml:space="preserve">, </w:t>
          </w:r>
          <w:r>
            <w:rPr>
              <w:i/>
            </w:rPr>
            <w:t>3</w:t>
          </w:r>
          <w:r>
            <w:t>, 232–249.</w:t>
          </w:r>
        </w:p>
        <w:p w14:paraId="42652128" w14:textId="77777777" w:rsidR="005E3F83" w:rsidRDefault="005E3F83" w:rsidP="005E3F83">
          <w:pPr>
            <w:pStyle w:val="mythesis"/>
            <w:divId w:val="2019426883"/>
          </w:pPr>
          <w:r>
            <w:t xml:space="preserve">Mazid, Ta, K., &amp; Mohammad F. (2011). Role of secondary metabolites in defense mechanisms of plants. </w:t>
          </w:r>
          <w:r>
            <w:rPr>
              <w:i/>
            </w:rPr>
            <w:t>Biology and Medicine</w:t>
          </w:r>
          <w:r>
            <w:t xml:space="preserve">, </w:t>
          </w:r>
          <w:r>
            <w:rPr>
              <w:i/>
            </w:rPr>
            <w:t>3</w:t>
          </w:r>
          <w:r>
            <w:t>(2), 232–249. www.biolmedonline.com</w:t>
          </w:r>
        </w:p>
        <w:p w14:paraId="3CB5D260" w14:textId="77777777" w:rsidR="005E3F83" w:rsidRDefault="005E3F83" w:rsidP="005E3F83">
          <w:pPr>
            <w:pStyle w:val="mythesis"/>
            <w:divId w:val="1122572746"/>
          </w:pPr>
          <w:r>
            <w:t xml:space="preserve">McCouch, S. (2004). Diversifying Selection in Plant Breeding. </w:t>
          </w:r>
          <w:r>
            <w:rPr>
              <w:i/>
            </w:rPr>
            <w:t>PLoS Biology</w:t>
          </w:r>
          <w:r>
            <w:t xml:space="preserve">, </w:t>
          </w:r>
          <w:r>
            <w:rPr>
              <w:i/>
            </w:rPr>
            <w:t>2</w:t>
          </w:r>
          <w:r>
            <w:t>(10). https://doi.org/10.1371/journal.pbio.0020347</w:t>
          </w:r>
        </w:p>
        <w:p w14:paraId="2654745C" w14:textId="77777777" w:rsidR="005E3F83" w:rsidRDefault="005E3F83" w:rsidP="005E3F83">
          <w:pPr>
            <w:pStyle w:val="mythesis"/>
            <w:divId w:val="1758284639"/>
          </w:pPr>
          <w:r>
            <w:t xml:space="preserve">Meixner, C., Ludwig-Müller, J., Miersch, O., Gresshoff, P., Staehelin, C., &amp; Vierheilig, H. (2005). Lack of mycorrhizal autoregulation and phytohormonal changes in the supernodulating soybean mutant nts1007. </w:t>
          </w:r>
          <w:r>
            <w:rPr>
              <w:i/>
            </w:rPr>
            <w:t>Planta</w:t>
          </w:r>
          <w:r>
            <w:t xml:space="preserve">, </w:t>
          </w:r>
          <w:r>
            <w:rPr>
              <w:i/>
            </w:rPr>
            <w:t>222</w:t>
          </w:r>
          <w:r>
            <w:t>(4). https://doi.org/10.1007/s00425-005-0003-4</w:t>
          </w:r>
        </w:p>
        <w:p w14:paraId="1100ABD7" w14:textId="77777777" w:rsidR="005E3F83" w:rsidRDefault="005E3F83" w:rsidP="005E3F83">
          <w:pPr>
            <w:pStyle w:val="mythesis"/>
            <w:divId w:val="188034586"/>
          </w:pPr>
          <w:r>
            <w:t xml:space="preserve">Menge, J. A. (1983). Utilization of vesicular–arbuscular mycorrhizal fungi in agriculture. </w:t>
          </w:r>
          <w:r>
            <w:rPr>
              <w:i/>
            </w:rPr>
            <w:t>Canadian Journal of Botany</w:t>
          </w:r>
          <w:r>
            <w:t xml:space="preserve">, </w:t>
          </w:r>
          <w:r>
            <w:rPr>
              <w:i/>
            </w:rPr>
            <w:t>61</w:t>
          </w:r>
          <w:r>
            <w:t>(3). https://doi.org/10.1139/b83-109</w:t>
          </w:r>
        </w:p>
        <w:p w14:paraId="61CD1658" w14:textId="77777777" w:rsidR="005E3F83" w:rsidRDefault="005E3F83" w:rsidP="005E3F83">
          <w:pPr>
            <w:pStyle w:val="mythesis"/>
            <w:divId w:val="683023278"/>
          </w:pPr>
          <w:r>
            <w:t xml:space="preserve">Menge, J. A., Steirle, D., Bagyaraj, D. J., Johnson, E. L. v, &amp; Leonard, R. T. (1978). PHOSPHORUS CONCENTRATIONS IN PLANTS RESPONSIBLE FOR INHIBITION OF MYCORRHIZAL INFECTION. In </w:t>
          </w:r>
          <w:r>
            <w:rPr>
              <w:i/>
            </w:rPr>
            <w:t>New Phytol</w:t>
          </w:r>
          <w:r>
            <w:t xml:space="preserve"> (Vol. 80).</w:t>
          </w:r>
        </w:p>
        <w:p w14:paraId="13DF1380" w14:textId="77777777" w:rsidR="005E3F83" w:rsidRDefault="005E3F83" w:rsidP="005E3F83">
          <w:pPr>
            <w:pStyle w:val="mythesis"/>
            <w:divId w:val="1620644142"/>
          </w:pPr>
          <w:r>
            <w:t xml:space="preserve">Mi, G. H., Chen, F. J., Wu, Q. P., Lai, N. W., Yuan, L. X., &amp; Zhang, F. S. (2010). Ideotype root architecture for efficient nitrogen acquisition by maize in intensive cropping systems. </w:t>
          </w:r>
          <w:r>
            <w:rPr>
              <w:i/>
            </w:rPr>
            <w:t>Science China Life Sciences</w:t>
          </w:r>
          <w:r>
            <w:t xml:space="preserve">, </w:t>
          </w:r>
          <w:r>
            <w:rPr>
              <w:i/>
            </w:rPr>
            <w:t>53</w:t>
          </w:r>
          <w:r>
            <w:t>(12), 1369–1373. https://doi.org/10.1007/s11427-010-4097-y</w:t>
          </w:r>
        </w:p>
        <w:p w14:paraId="6FFBCDB2" w14:textId="77777777" w:rsidR="005E3F83" w:rsidRDefault="005E3F83" w:rsidP="005E3F83">
          <w:pPr>
            <w:pStyle w:val="mythesis"/>
            <w:divId w:val="601186618"/>
          </w:pPr>
          <w:r>
            <w:t xml:space="preserve">Micallef, S. A., Shiaris, M. P., &amp; Colón-Carmona, A. (2009). Influence of Arabidopsis thaliana accessions on rhizobacterial communities and natural variation in root exudates. </w:t>
          </w:r>
          <w:r>
            <w:rPr>
              <w:i/>
            </w:rPr>
            <w:t>Journal of Experimental Botany</w:t>
          </w:r>
          <w:r>
            <w:t xml:space="preserve">, </w:t>
          </w:r>
          <w:r>
            <w:rPr>
              <w:i/>
            </w:rPr>
            <w:t>60</w:t>
          </w:r>
          <w:r>
            <w:t>(6). https://doi.org/10.1093/jxb/erp053</w:t>
          </w:r>
        </w:p>
        <w:p w14:paraId="2A0F0859" w14:textId="77777777" w:rsidR="005E3F83" w:rsidRDefault="005E3F83" w:rsidP="005E3F83">
          <w:pPr>
            <w:pStyle w:val="mythesis"/>
            <w:divId w:val="154758682"/>
          </w:pPr>
          <w:r>
            <w:lastRenderedPageBreak/>
            <w:t xml:space="preserve">Miersch, O., Bohlmann, H., &amp; Wasternack, C. (1999). Jasmonates and related compounds from Fusarium oxysporum. </w:t>
          </w:r>
          <w:r>
            <w:rPr>
              <w:i/>
            </w:rPr>
            <w:t>Phytochemistry</w:t>
          </w:r>
          <w:r>
            <w:t xml:space="preserve">, </w:t>
          </w:r>
          <w:r>
            <w:rPr>
              <w:i/>
            </w:rPr>
            <w:t>50</w:t>
          </w:r>
          <w:r>
            <w:t>(4). https://doi.org/10.1016/S0031-9422(98)00596-2</w:t>
          </w:r>
        </w:p>
        <w:p w14:paraId="1DBFFA5A" w14:textId="77777777" w:rsidR="005E3F83" w:rsidRDefault="005E3F83" w:rsidP="005E3F83">
          <w:pPr>
            <w:pStyle w:val="mythesis"/>
            <w:divId w:val="298456180"/>
          </w:pPr>
          <w:r>
            <w:t xml:space="preserve">Miersch, O., Günther, T., Fritsche, W., &amp; Sembdner, G. (1993). Jasmonates from Different Fungal Species. </w:t>
          </w:r>
          <w:r>
            <w:rPr>
              <w:i/>
            </w:rPr>
            <w:t>Natural Product Letters</w:t>
          </w:r>
          <w:r>
            <w:t xml:space="preserve">, </w:t>
          </w:r>
          <w:r>
            <w:rPr>
              <w:i/>
            </w:rPr>
            <w:t>2</w:t>
          </w:r>
          <w:r>
            <w:t>(4). https://doi.org/10.1080/10575639308043825</w:t>
          </w:r>
        </w:p>
        <w:p w14:paraId="68F41520" w14:textId="77777777" w:rsidR="005E3F83" w:rsidRDefault="005E3F83" w:rsidP="005E3F83">
          <w:pPr>
            <w:pStyle w:val="mythesis"/>
            <w:divId w:val="863859989"/>
          </w:pPr>
          <w:r>
            <w:t xml:space="preserve">Miransari, M. (2011). Arbuscular mycorrhizal fungi and nitrogen uptake. In </w:t>
          </w:r>
          <w:r>
            <w:rPr>
              <w:i/>
            </w:rPr>
            <w:t>Archives of Microbiology</w:t>
          </w:r>
          <w:r>
            <w:t xml:space="preserve"> (Vol. 193, Issue 2, pp. 77–81). https://doi.org/10.1007/s00203-010-0657-6</w:t>
          </w:r>
        </w:p>
        <w:p w14:paraId="76DB62EF" w14:textId="77777777" w:rsidR="005E3F83" w:rsidRDefault="005E3F83" w:rsidP="005E3F83">
          <w:pPr>
            <w:pStyle w:val="mythesis"/>
            <w:divId w:val="1080448768"/>
          </w:pPr>
          <w:r>
            <w:t xml:space="preserve">Miyasaka S.C., H. M. , F. J. B. , and J. E. V. (2003). </w:t>
          </w:r>
          <w:r>
            <w:rPr>
              <w:i/>
            </w:rPr>
            <w:t>Manual on Arbuscular Mycorrhizal Fungus Production and Inoculation Techniques</w:t>
          </w:r>
          <w:r>
            <w:t>. http://www.ctahr.hawaii.edu/freepubs</w:t>
          </w:r>
        </w:p>
        <w:p w14:paraId="596F63C2" w14:textId="77777777" w:rsidR="005E3F83" w:rsidRDefault="005E3F83" w:rsidP="005E3F83">
          <w:pPr>
            <w:pStyle w:val="mythesis"/>
            <w:divId w:val="793905166"/>
          </w:pPr>
          <w:r>
            <w:t xml:space="preserve">Mizuno, N. and M. M. (1980). The use of H2 S04 -H2 0 2 for the destruction of plants matter as a preliminary to determination of N, K, Mg, Ca, Fe, Mn. </w:t>
          </w:r>
          <w:r>
            <w:rPr>
              <w:i/>
            </w:rPr>
            <w:t>Soil Sci. Manure, Lpn</w:t>
          </w:r>
          <w:r>
            <w:t xml:space="preserve">, </w:t>
          </w:r>
          <w:r>
            <w:rPr>
              <w:i/>
            </w:rPr>
            <w:t>51</w:t>
          </w:r>
          <w:r>
            <w:t>, 418–420.</w:t>
          </w:r>
        </w:p>
        <w:p w14:paraId="2152E9E9" w14:textId="77777777" w:rsidR="005E3F83" w:rsidRDefault="005E3F83" w:rsidP="005E3F83">
          <w:pPr>
            <w:pStyle w:val="mythesis"/>
            <w:divId w:val="406610282"/>
          </w:pPr>
          <w:r>
            <w:t xml:space="preserve">Mosse, B. (1957). Growth and chemical composition of mycorrhizal and non-mycorrhizal apples. In </w:t>
          </w:r>
          <w:r>
            <w:rPr>
              <w:i/>
            </w:rPr>
            <w:t>Nature</w:t>
          </w:r>
          <w:r>
            <w:t xml:space="preserve"> (Vol. 179, Issue 4566, pp. 922–924). Nature Publishing Group. https://doi.org/10.1038/179922b0</w:t>
          </w:r>
        </w:p>
        <w:p w14:paraId="04E460B9" w14:textId="77777777" w:rsidR="005E3F83" w:rsidRDefault="005E3F83" w:rsidP="005E3F83">
          <w:pPr>
            <w:pStyle w:val="mythesis"/>
            <w:divId w:val="990057967"/>
          </w:pPr>
          <w:r>
            <w:t xml:space="preserve">Mosse, B. (1973). Advances in the Study of Vesicular-Arbuscular Mycorrhiza. </w:t>
          </w:r>
          <w:r>
            <w:rPr>
              <w:i/>
            </w:rPr>
            <w:t>Annual Review of Phytopathology</w:t>
          </w:r>
          <w:r>
            <w:t xml:space="preserve">, </w:t>
          </w:r>
          <w:r>
            <w:rPr>
              <w:i/>
            </w:rPr>
            <w:t>11</w:t>
          </w:r>
          <w:r>
            <w:t>(1), 171–196. https://doi.org/10.1146/annurev.py.11.090173.001131</w:t>
          </w:r>
        </w:p>
        <w:p w14:paraId="485F3ADA" w14:textId="77777777" w:rsidR="005E3F83" w:rsidRDefault="005E3F83" w:rsidP="005E3F83">
          <w:pPr>
            <w:pStyle w:val="mythesis"/>
            <w:divId w:val="156117146"/>
          </w:pPr>
          <w:r>
            <w:t xml:space="preserve">Mosse, B., &amp; Phillps, J. M. (1971). The Influence of Phosphate and Other Nutrients on the Development of Vesicular-arbuscular Mycorrhiza in Culture. </w:t>
          </w:r>
          <w:r>
            <w:rPr>
              <w:i/>
            </w:rPr>
            <w:t>Journal of General Microbiology</w:t>
          </w:r>
          <w:r>
            <w:t xml:space="preserve">, </w:t>
          </w:r>
          <w:r>
            <w:rPr>
              <w:i/>
            </w:rPr>
            <w:t>69</w:t>
          </w:r>
          <w:r>
            <w:t>(2), 157–166. https://doi.org/10.1099/00221287-69-2-157</w:t>
          </w:r>
        </w:p>
        <w:p w14:paraId="08618608" w14:textId="77777777" w:rsidR="005E3F83" w:rsidRDefault="005E3F83" w:rsidP="005E3F83">
          <w:pPr>
            <w:pStyle w:val="mythesis"/>
            <w:divId w:val="573973453"/>
          </w:pPr>
          <w:r>
            <w:lastRenderedPageBreak/>
            <w:t xml:space="preserve">Munkvold, L., Kjøller, R., Vestberg, M., Rosendahl, S., &amp; Jakobsen, I. (2004). High functional diversity within species of arbuscular mycorrhizal fungi. </w:t>
          </w:r>
          <w:r>
            <w:rPr>
              <w:i/>
            </w:rPr>
            <w:t>New Phytologist</w:t>
          </w:r>
          <w:r>
            <w:t xml:space="preserve">, </w:t>
          </w:r>
          <w:r>
            <w:rPr>
              <w:i/>
            </w:rPr>
            <w:t>164</w:t>
          </w:r>
          <w:r>
            <w:t>(2), 357–364. https://doi.org/10.1111/j.1469-8137.2004.01169.x</w:t>
          </w:r>
        </w:p>
        <w:p w14:paraId="205F834D" w14:textId="77777777" w:rsidR="005E3F83" w:rsidRDefault="005E3F83" w:rsidP="005E3F83">
          <w:pPr>
            <w:pStyle w:val="mythesis"/>
            <w:divId w:val="2142644920"/>
          </w:pPr>
          <w:r>
            <w:t xml:space="preserve">Murphy, J., &amp; Riley, J. P. (1962). A modified single solution method for the determination of phosphate in natural waters. </w:t>
          </w:r>
          <w:r>
            <w:rPr>
              <w:i/>
            </w:rPr>
            <w:t>Analytica Chimica Acta</w:t>
          </w:r>
          <w:r>
            <w:t xml:space="preserve">, </w:t>
          </w:r>
          <w:r>
            <w:rPr>
              <w:i/>
            </w:rPr>
            <w:t>27</w:t>
          </w:r>
          <w:r>
            <w:t>(C), 31–36. https://doi.org/10.1016/S0003-2670(00)88444-5</w:t>
          </w:r>
        </w:p>
        <w:p w14:paraId="0B3CE2C3" w14:textId="77777777" w:rsidR="005E3F83" w:rsidRDefault="005E3F83" w:rsidP="005E3F83">
          <w:pPr>
            <w:pStyle w:val="mythesis"/>
            <w:divId w:val="2075734672"/>
          </w:pPr>
          <w:r>
            <w:t xml:space="preserve">Mustafa, A. A. A., Othman, R., Zainal Abidin, M. A., &amp; Ganesan, V. (2010). Growth response of sweet corn (Zea mays) to Glomus mosseae inoculation over different plant ages. </w:t>
          </w:r>
          <w:r>
            <w:rPr>
              <w:i/>
            </w:rPr>
            <w:t>Asian Journal of Plant Sciences</w:t>
          </w:r>
          <w:r>
            <w:t xml:space="preserve">, </w:t>
          </w:r>
          <w:r>
            <w:rPr>
              <w:i/>
            </w:rPr>
            <w:t>9</w:t>
          </w:r>
          <w:r>
            <w:t>(6), 337–343. https://doi.org/10.3923/ajps.2010.337.343</w:t>
          </w:r>
        </w:p>
        <w:p w14:paraId="39D418C0" w14:textId="77777777" w:rsidR="005E3F83" w:rsidRDefault="005E3F83" w:rsidP="005E3F83">
          <w:pPr>
            <w:pStyle w:val="mythesis"/>
            <w:divId w:val="1287354023"/>
          </w:pPr>
          <w:r>
            <w:t xml:space="preserve">Najaphy A, Parchin RA and, &amp; Farshadfar E. (2012). Comparison of phenotypic and molecular characterizations of some important wheat cultivars and advanced breeding lines. </w:t>
          </w:r>
          <w:r>
            <w:rPr>
              <w:i/>
            </w:rPr>
            <w:t>Aust. J. Crop Sci.</w:t>
          </w:r>
          <w:r>
            <w:t xml:space="preserve">, </w:t>
          </w:r>
          <w:r>
            <w:rPr>
              <w:i/>
            </w:rPr>
            <w:t>6</w:t>
          </w:r>
          <w:r>
            <w:t>, 326–332.</w:t>
          </w:r>
        </w:p>
        <w:p w14:paraId="18C64349" w14:textId="77777777" w:rsidR="005E3F83" w:rsidRDefault="005E3F83" w:rsidP="005E3F83">
          <w:pPr>
            <w:pStyle w:val="mythesis"/>
            <w:divId w:val="566187926"/>
          </w:pPr>
          <w:r>
            <w:t xml:space="preserve">Nature e.g. (2004). Monsanto wins seven-year court battle for seed patent. </w:t>
          </w:r>
          <w:r>
            <w:rPr>
              <w:i/>
            </w:rPr>
            <w:t>Nature</w:t>
          </w:r>
          <w:r>
            <w:t xml:space="preserve">, </w:t>
          </w:r>
          <w:r>
            <w:rPr>
              <w:i/>
            </w:rPr>
            <w:t>429</w:t>
          </w:r>
          <w:r>
            <w:t>, 330.</w:t>
          </w:r>
        </w:p>
        <w:p w14:paraId="09101094" w14:textId="77777777" w:rsidR="005E3F83" w:rsidRDefault="005E3F83" w:rsidP="005E3F83">
          <w:pPr>
            <w:pStyle w:val="mythesis"/>
            <w:divId w:val="667437776"/>
          </w:pPr>
          <w:r>
            <w:t xml:space="preserve">Newmaster, S. G., Fazekas, A. J., &amp; Ragupathy, S. (2006). DNA barcoding in land plants: Evaluation of rbcL in a multigene tiered approach. In </w:t>
          </w:r>
          <w:r>
            <w:rPr>
              <w:i/>
            </w:rPr>
            <w:t>Canadian Journal of Botany</w:t>
          </w:r>
          <w:r>
            <w:t xml:space="preserve"> (Vol. 84, Issue 3, pp. 335–341). https://doi.org/10.1139/B06-047</w:t>
          </w:r>
        </w:p>
        <w:p w14:paraId="4858B510" w14:textId="77777777" w:rsidR="005E3F83" w:rsidRDefault="005E3F83" w:rsidP="005E3F83">
          <w:pPr>
            <w:pStyle w:val="mythesis"/>
            <w:divId w:val="907037417"/>
          </w:pPr>
          <w:r>
            <w:t xml:space="preserve">Newsham, K. K., Fitter, A. H., &amp; Watkinson, A. R. (1995). Multi-functionality and biodiversity in arbuscular mycorrhizas. </w:t>
          </w:r>
          <w:r>
            <w:rPr>
              <w:i/>
            </w:rPr>
            <w:t>Trends in Ecology &amp; Evolution</w:t>
          </w:r>
          <w:r>
            <w:t xml:space="preserve">, </w:t>
          </w:r>
          <w:r>
            <w:rPr>
              <w:i/>
            </w:rPr>
            <w:t>10</w:t>
          </w:r>
          <w:r>
            <w:t>(10). https://doi.org/10.1016/S0169-5347(00)89157-0</w:t>
          </w:r>
        </w:p>
        <w:p w14:paraId="0E27029A" w14:textId="77777777" w:rsidR="005E3F83" w:rsidRDefault="005E3F83" w:rsidP="005E3F83">
          <w:pPr>
            <w:pStyle w:val="mythesis"/>
            <w:divId w:val="1517160393"/>
          </w:pPr>
          <w:r>
            <w:t xml:space="preserve">Nicot, N., Hausman, J.-F., Hoffmann, L., &amp; Evers, D. (2005). Housekeeping gene selection for real-time RT-PCR normalization in potato during biotic and abiotic stress. </w:t>
          </w:r>
          <w:r>
            <w:rPr>
              <w:i/>
            </w:rPr>
            <w:t>Journal of Experimental Botany</w:t>
          </w:r>
          <w:r>
            <w:t xml:space="preserve">, </w:t>
          </w:r>
          <w:r>
            <w:rPr>
              <w:i/>
            </w:rPr>
            <w:t>56</w:t>
          </w:r>
          <w:r>
            <w:t>(421). https://doi.org/10.1093/jxb/eri285</w:t>
          </w:r>
        </w:p>
        <w:p w14:paraId="099B94FB" w14:textId="77777777" w:rsidR="005E3F83" w:rsidRDefault="005E3F83" w:rsidP="005E3F83">
          <w:pPr>
            <w:pStyle w:val="mythesis"/>
            <w:divId w:val="929508141"/>
          </w:pPr>
          <w:r>
            <w:lastRenderedPageBreak/>
            <w:t xml:space="preserve">Niemira, B. A. , Hammerschmidt, R., &amp; &amp; Safir, G. R. (1996). Postharvest suppression of potato dry rot (Fusarium sambucinum) in prenuclear minitubers by arbuscular mycorrhizal fungal inoculum. . </w:t>
          </w:r>
          <w:r>
            <w:rPr>
              <w:i/>
            </w:rPr>
            <w:t>American Potato Journal, 73, 509-515.</w:t>
          </w:r>
          <w:r>
            <w:t xml:space="preserve">, </w:t>
          </w:r>
          <w:r>
            <w:rPr>
              <w:i/>
            </w:rPr>
            <w:t>73</w:t>
          </w:r>
          <w:r>
            <w:t>, 509–515.</w:t>
          </w:r>
        </w:p>
        <w:p w14:paraId="30AF1C27" w14:textId="77777777" w:rsidR="005E3F83" w:rsidRDefault="005E3F83" w:rsidP="005E3F83">
          <w:pPr>
            <w:pStyle w:val="mythesis"/>
            <w:divId w:val="64881344"/>
          </w:pPr>
          <w:r>
            <w:t xml:space="preserve">Nishida, T., Katayama, N., Izumi, N., &amp; Ohgushi, T. (2010). Arbuscular mycorrhizal fungi species-specifically affect induced plant responses to a spider mite. </w:t>
          </w:r>
          <w:r>
            <w:rPr>
              <w:i/>
            </w:rPr>
            <w:t>Population Ecology</w:t>
          </w:r>
          <w:r>
            <w:t xml:space="preserve">, </w:t>
          </w:r>
          <w:r>
            <w:rPr>
              <w:i/>
            </w:rPr>
            <w:t>52</w:t>
          </w:r>
          <w:r>
            <w:t>(4). https://doi.org/10.1007/s10144-010-0208-7</w:t>
          </w:r>
        </w:p>
        <w:p w14:paraId="48D7DC22" w14:textId="77777777" w:rsidR="005E3F83" w:rsidRDefault="005E3F83" w:rsidP="005E3F83">
          <w:pPr>
            <w:pStyle w:val="mythesis"/>
            <w:divId w:val="78605215"/>
          </w:pPr>
          <w:r>
            <w:t xml:space="preserve">Nogueira, M. A., &amp; Cardoso, E. J. B. N. (2006). Plant growth and phosphorus uptake in mycorrhizal rangpur lime seedlings under different levels of phosphorus. </w:t>
          </w:r>
          <w:r>
            <w:rPr>
              <w:i/>
            </w:rPr>
            <w:t>Pesquisa Agropecuaria Brasileira</w:t>
          </w:r>
          <w:r>
            <w:t xml:space="preserve">, </w:t>
          </w:r>
          <w:r>
            <w:rPr>
              <w:i/>
            </w:rPr>
            <w:t>41</w:t>
          </w:r>
          <w:r>
            <w:t>(1), 93–99. https://doi.org/10.1590/S0100-204X2006000100013</w:t>
          </w:r>
        </w:p>
        <w:p w14:paraId="1C24E7A2" w14:textId="77777777" w:rsidR="005E3F83" w:rsidRDefault="005E3F83" w:rsidP="005E3F83">
          <w:pPr>
            <w:pStyle w:val="mythesis"/>
            <w:divId w:val="1465612543"/>
          </w:pPr>
          <w:r>
            <w:t xml:space="preserve">Norastehnia A and Asghari MN. (2006). Effect of Methyl Jasmonate on the Enzymatic Antioxidant Defense System in Maize Seedlings Subjected to Paraquat. </w:t>
          </w:r>
          <w:r>
            <w:rPr>
              <w:i/>
            </w:rPr>
            <w:t>Asian Journal of Plant Sciences</w:t>
          </w:r>
          <w:r>
            <w:t xml:space="preserve">, </w:t>
          </w:r>
          <w:r>
            <w:rPr>
              <w:i/>
            </w:rPr>
            <w:t>5</w:t>
          </w:r>
          <w:r>
            <w:t>(1), 17–23.</w:t>
          </w:r>
        </w:p>
        <w:p w14:paraId="4ED6FF2D" w14:textId="77777777" w:rsidR="005E3F83" w:rsidRDefault="005E3F83" w:rsidP="005E3F83">
          <w:pPr>
            <w:pStyle w:val="mythesis"/>
            <w:divId w:val="1909874201"/>
          </w:pPr>
          <w:r>
            <w:t xml:space="preserve">Oehl, F., Sieverding, E., Ineichen, K., Ris, E. A., Boller, T., &amp; Wiemken, A. (2005). Community structure of arbuscular mycorrhizal fungi at different soil depths in extensively and intensively managed agroecosystems. </w:t>
          </w:r>
          <w:r>
            <w:rPr>
              <w:i/>
            </w:rPr>
            <w:t>New Phytologist</w:t>
          </w:r>
          <w:r>
            <w:t xml:space="preserve">, </w:t>
          </w:r>
          <w:r>
            <w:rPr>
              <w:i/>
            </w:rPr>
            <w:t>165</w:t>
          </w:r>
          <w:r>
            <w:t>(1), 273–283. https://doi.org/10.1111/j.1469-8137.2004.01235.x</w:t>
          </w:r>
        </w:p>
        <w:p w14:paraId="29084C92" w14:textId="77777777" w:rsidR="005E3F83" w:rsidRDefault="005E3F83" w:rsidP="005E3F83">
          <w:pPr>
            <w:pStyle w:val="mythesis"/>
            <w:divId w:val="117336275"/>
          </w:pPr>
          <w:r>
            <w:t xml:space="preserve">Oehl, F., Sieverding, E., Mäder, P., Dubois, D., Ineichen, K., Boller, T., &amp; Wiemken, A. (2004). Impact of long-term conventional and organic farming on the diversity of arbuscular mycorrhizal fungi. </w:t>
          </w:r>
          <w:r>
            <w:rPr>
              <w:i/>
            </w:rPr>
            <w:t>Oecologia</w:t>
          </w:r>
          <w:r>
            <w:t xml:space="preserve">, </w:t>
          </w:r>
          <w:r>
            <w:rPr>
              <w:i/>
            </w:rPr>
            <w:t>138</w:t>
          </w:r>
          <w:r>
            <w:t>(4). https://doi.org/10.1007/s00442-003-1458-2</w:t>
          </w:r>
        </w:p>
        <w:p w14:paraId="3E6E541B" w14:textId="77777777" w:rsidR="005E3F83" w:rsidRDefault="005E3F83" w:rsidP="005E3F83">
          <w:pPr>
            <w:pStyle w:val="mythesis"/>
            <w:divId w:val="72165191"/>
          </w:pPr>
          <w:r>
            <w:t xml:space="preserve">Oláh, B., Brière, C., Bécard, G., Dénarié, J., &amp; Gough, C. (2005). Nod factors and a diffusible factor from arbuscular mycorrhizal fungi stimulate lateral root formation in Medicago truncatula via the DMI1/DMI2 signalling pathway. </w:t>
          </w:r>
          <w:r>
            <w:rPr>
              <w:i/>
            </w:rPr>
            <w:t>The Plant Journal</w:t>
          </w:r>
          <w:r>
            <w:t xml:space="preserve">, </w:t>
          </w:r>
          <w:r>
            <w:rPr>
              <w:i/>
            </w:rPr>
            <w:t>44</w:t>
          </w:r>
          <w:r>
            <w:t>(2), 195–207. https://doi.org/10.1111/j.1365-313X.2005.02522.x</w:t>
          </w:r>
        </w:p>
        <w:p w14:paraId="299D6C32" w14:textId="77777777" w:rsidR="005E3F83" w:rsidRDefault="005E3F83" w:rsidP="005E3F83">
          <w:pPr>
            <w:pStyle w:val="mythesis"/>
            <w:divId w:val="1733692799"/>
          </w:pPr>
          <w:r>
            <w:lastRenderedPageBreak/>
            <w:t xml:space="preserve">Oliveira, M. de S., da Silva Campos, M. A., de Albuquerque, U. P., &amp; da Silva, F. S. B. (2013). Arbuscular mycorrhizal fungi (AMF) affects biomolecules content in Myracrodruon urundeuva seedlings. </w:t>
          </w:r>
          <w:r>
            <w:rPr>
              <w:i/>
            </w:rPr>
            <w:t>Industrial Crops and Products</w:t>
          </w:r>
          <w:r>
            <w:t xml:space="preserve">, </w:t>
          </w:r>
          <w:r>
            <w:rPr>
              <w:i/>
            </w:rPr>
            <w:t>50</w:t>
          </w:r>
          <w:r>
            <w:t>. https://doi.org/10.1016/j.indcrop.2013.07.041</w:t>
          </w:r>
        </w:p>
        <w:p w14:paraId="174C9295" w14:textId="77777777" w:rsidR="005E3F83" w:rsidRDefault="005E3F83" w:rsidP="005E3F83">
          <w:pPr>
            <w:pStyle w:val="mythesis"/>
            <w:divId w:val="1271858099"/>
          </w:pPr>
          <w:r>
            <w:t xml:space="preserve">Oliveira, M. S., Campos, M. A., &amp; Silva, F. S. (2015). Arbuscular mycorrhizal fungi and vermicompost to maximize the production of foliar biomolecules in </w:t>
          </w:r>
          <w:r>
            <w:rPr>
              <w:i/>
            </w:rPr>
            <w:t>Passiflora alata</w:t>
          </w:r>
          <w:r>
            <w:t xml:space="preserve"> Curtis seedlings. </w:t>
          </w:r>
          <w:r>
            <w:rPr>
              <w:i/>
            </w:rPr>
            <w:t>Journal of the Science of Food and Agriculture</w:t>
          </w:r>
          <w:r>
            <w:t xml:space="preserve">, </w:t>
          </w:r>
          <w:r>
            <w:rPr>
              <w:i/>
            </w:rPr>
            <w:t>95</w:t>
          </w:r>
          <w:r>
            <w:t>(3). https://doi.org/10.1002/jsfa.6767</w:t>
          </w:r>
        </w:p>
        <w:p w14:paraId="6FA01E7D" w14:textId="77777777" w:rsidR="005E3F83" w:rsidRDefault="005E3F83" w:rsidP="005E3F83">
          <w:pPr>
            <w:pStyle w:val="mythesis"/>
            <w:divId w:val="1795904929"/>
          </w:pPr>
          <w:r>
            <w:t xml:space="preserve">Olsson, P. A., Baath, E., &amp; Jakobsen, I. (1997). Phosphorus effects on the mycelium and storage structures of an arbuscular mycorrhizal fungus as studied in the soil and roots by analysis of Fatty Acid signatures. </w:t>
          </w:r>
          <w:r>
            <w:rPr>
              <w:i/>
            </w:rPr>
            <w:t>Applied and Environmental Microbiology</w:t>
          </w:r>
          <w:r>
            <w:t xml:space="preserve">, </w:t>
          </w:r>
          <w:r>
            <w:rPr>
              <w:i/>
            </w:rPr>
            <w:t>63</w:t>
          </w:r>
          <w:r>
            <w:t>(9).</w:t>
          </w:r>
        </w:p>
        <w:p w14:paraId="6CBEA2BC" w14:textId="77777777" w:rsidR="005E3F83" w:rsidRDefault="005E3F83" w:rsidP="005E3F83">
          <w:pPr>
            <w:pStyle w:val="mythesis"/>
            <w:divId w:val="453642612"/>
          </w:pPr>
          <w:r>
            <w:t xml:space="preserve">Olsson, P. A., Thingstrup, I., Jakobsen, I., &amp; Bååth, E. (1999). Estimation of the biomass of arbuscular mycorrhizal fungi in a linseed field. </w:t>
          </w:r>
          <w:r>
            <w:rPr>
              <w:i/>
            </w:rPr>
            <w:t>Soil Biology and Biochemistry</w:t>
          </w:r>
          <w:r>
            <w:t xml:space="preserve">, </w:t>
          </w:r>
          <w:r>
            <w:rPr>
              <w:i/>
            </w:rPr>
            <w:t>31</w:t>
          </w:r>
          <w:r>
            <w:t>(13). https://doi.org/10.1016/S0038-0717(99)00119-4</w:t>
          </w:r>
        </w:p>
        <w:p w14:paraId="6875F3EA" w14:textId="77777777" w:rsidR="005E3F83" w:rsidRDefault="005E3F83" w:rsidP="005E3F83">
          <w:pPr>
            <w:pStyle w:val="mythesis"/>
            <w:divId w:val="766659698"/>
          </w:pPr>
          <w:r>
            <w:t xml:space="preserve">Ortas, I., &amp; Akpinar, Ç. (2011). Response of maize genotypes to several mycorrhizal inoculums in terms of plant growth, nutrient uptake and spore production. </w:t>
          </w:r>
          <w:r>
            <w:rPr>
              <w:i/>
            </w:rPr>
            <w:t>Journal of Plant Nutrition</w:t>
          </w:r>
          <w:r>
            <w:t xml:space="preserve">, </w:t>
          </w:r>
          <w:r>
            <w:rPr>
              <w:i/>
            </w:rPr>
            <w:t>34</w:t>
          </w:r>
          <w:r>
            <w:t>(7), 970–987. https://doi.org/10.1080/01904167.2011.555580</w:t>
          </w:r>
        </w:p>
        <w:p w14:paraId="101B4E53" w14:textId="77777777" w:rsidR="005E3F83" w:rsidRDefault="005E3F83" w:rsidP="005E3F83">
          <w:pPr>
            <w:pStyle w:val="mythesis"/>
            <w:divId w:val="1406882414"/>
          </w:pPr>
          <w:r>
            <w:t xml:space="preserve">Osipova, E. S., Koveza, O. v., Troitskij, A. v., Dolgikh, Y. I., Shamina, Z. B., &amp; Gostimskij, S. A. (2003). Analysis of specific RAPD and ISSR fragments in maize (Zea mays L.) somaclones and development of SCAR markers on their basis. </w:t>
          </w:r>
          <w:r>
            <w:rPr>
              <w:i/>
            </w:rPr>
            <w:t>Genetika</w:t>
          </w:r>
          <w:r>
            <w:t xml:space="preserve">, </w:t>
          </w:r>
          <w:r>
            <w:rPr>
              <w:i/>
            </w:rPr>
            <w:t>39</w:t>
          </w:r>
          <w:r>
            <w:t>(12), 1664–1672. https://europepmc.org/article/med/14964834</w:t>
          </w:r>
        </w:p>
        <w:p w14:paraId="0298725D" w14:textId="77777777" w:rsidR="005E3F83" w:rsidRDefault="005E3F83" w:rsidP="005E3F83">
          <w:pPr>
            <w:pStyle w:val="mythesis"/>
            <w:divId w:val="1758404382"/>
          </w:pPr>
          <w:r>
            <w:t xml:space="preserve">Othira, J. O. (2012). Effectiveness of arbuscular mycorrhizal fungi in protection of maize (Zea mays L.) against witchweed (Striga hermonthica Del Benth) infestation. </w:t>
          </w:r>
          <w:r>
            <w:rPr>
              <w:i/>
            </w:rPr>
            <w:t>Journal of Agricultural Biotechnology and Sustainable Development</w:t>
          </w:r>
          <w:r>
            <w:t xml:space="preserve">, </w:t>
          </w:r>
          <w:r>
            <w:rPr>
              <w:i/>
            </w:rPr>
            <w:t>4</w:t>
          </w:r>
          <w:r>
            <w:t>(3). https://doi.org/10.5897/JABSD12.007</w:t>
          </w:r>
        </w:p>
        <w:p w14:paraId="2D6813B5" w14:textId="77777777" w:rsidR="005E3F83" w:rsidRDefault="005E3F83" w:rsidP="005E3F83">
          <w:pPr>
            <w:pStyle w:val="mythesis"/>
            <w:divId w:val="1435632397"/>
          </w:pPr>
          <w:r>
            <w:lastRenderedPageBreak/>
            <w:t xml:space="preserve">Overy, S. A. (2004). Application of metabolite profiling to the identification of traits in a population of tomato introgression lines. </w:t>
          </w:r>
          <w:r>
            <w:rPr>
              <w:i/>
            </w:rPr>
            <w:t>Journal of Experimental Botany</w:t>
          </w:r>
          <w:r>
            <w:t xml:space="preserve">, </w:t>
          </w:r>
          <w:r>
            <w:rPr>
              <w:i/>
            </w:rPr>
            <w:t>56</w:t>
          </w:r>
          <w:r>
            <w:t>(410). https://doi.org/10.1093/jxb/eri070</w:t>
          </w:r>
        </w:p>
        <w:p w14:paraId="0CC8C9E5" w14:textId="77777777" w:rsidR="005E3F83" w:rsidRDefault="005E3F83" w:rsidP="005E3F83">
          <w:pPr>
            <w:pStyle w:val="mythesis"/>
            <w:divId w:val="494763981"/>
          </w:pPr>
          <w:r>
            <w:t xml:space="preserve">Palmer, J. D. K. , Jansen, H. J., Michaels, M. K., Chase, &amp; and J. R. Manhart. (1988). Chloroplast DNA variation and plant phylogeny. . </w:t>
          </w:r>
          <w:r>
            <w:rPr>
              <w:i/>
            </w:rPr>
            <w:t xml:space="preserve">Ann. MO. Bot. Garden </w:t>
          </w:r>
          <w:r>
            <w:t xml:space="preserve">, </w:t>
          </w:r>
          <w:r>
            <w:rPr>
              <w:i/>
            </w:rPr>
            <w:t>75</w:t>
          </w:r>
          <w:r>
            <w:t>, 1180–1206.</w:t>
          </w:r>
        </w:p>
        <w:p w14:paraId="0DF61715" w14:textId="77777777" w:rsidR="005E3F83" w:rsidRDefault="005E3F83" w:rsidP="005E3F83">
          <w:pPr>
            <w:pStyle w:val="mythesis"/>
            <w:divId w:val="91436756"/>
          </w:pPr>
          <w:r>
            <w:t xml:space="preserve">Pang, Z., Chen, J., Wang, T., Gao, C., Li, Z., Guo, L., Xu, J., &amp; Cheng, Y. (2021). Linking Plant Secondary Metabolites and Plant Microbiomes: A Review. </w:t>
          </w:r>
          <w:r>
            <w:rPr>
              <w:i/>
            </w:rPr>
            <w:t>Frontiers in Plant Science</w:t>
          </w:r>
          <w:r>
            <w:t xml:space="preserve">, </w:t>
          </w:r>
          <w:r>
            <w:rPr>
              <w:i/>
            </w:rPr>
            <w:t>12</w:t>
          </w:r>
          <w:r>
            <w:t>. https://doi.org/10.3389/fpls.2021.621276</w:t>
          </w:r>
        </w:p>
        <w:p w14:paraId="34E03FA5" w14:textId="77777777" w:rsidR="005E3F83" w:rsidRDefault="005E3F83" w:rsidP="005E3F83">
          <w:pPr>
            <w:pStyle w:val="mythesis"/>
            <w:divId w:val="1816097240"/>
          </w:pPr>
          <w:r>
            <w:t xml:space="preserve">Paradis, E., Claude, J., &amp; Strimmer, K. (2004). APE: Analyses of Phylogenetics and Evolution in R language. </w:t>
          </w:r>
          <w:r>
            <w:rPr>
              <w:i/>
            </w:rPr>
            <w:t>Bioinformatics</w:t>
          </w:r>
          <w:r>
            <w:t xml:space="preserve">, </w:t>
          </w:r>
          <w:r>
            <w:rPr>
              <w:i/>
            </w:rPr>
            <w:t>20</w:t>
          </w:r>
          <w:r>
            <w:t>(2), 289–290. https://doi.org/10.1093/bioinformatics/btg412</w:t>
          </w:r>
        </w:p>
        <w:p w14:paraId="19F66D91" w14:textId="77777777" w:rsidR="005E3F83" w:rsidRDefault="005E3F83" w:rsidP="005E3F83">
          <w:pPr>
            <w:pStyle w:val="mythesis"/>
            <w:divId w:val="651910734"/>
          </w:pPr>
          <w:r>
            <w:t xml:space="preserve">Parke, J. L., &amp; Kaeppler, S. W. (2000). Effects of Genetic Differences among Crop Species and Cultivars Upon the Arbuscular Mycorrhizal Symbiosis. In </w:t>
          </w:r>
          <w:r>
            <w:rPr>
              <w:i/>
            </w:rPr>
            <w:t>Arbuscular Mycorrhizas: Physiology and Function</w:t>
          </w:r>
          <w:r>
            <w:t>. Springer Netherlands. https://doi.org/10.1007/978-94-017-0776-3_7</w:t>
          </w:r>
        </w:p>
        <w:p w14:paraId="1DD6183D" w14:textId="77777777" w:rsidR="005E3F83" w:rsidRDefault="005E3F83" w:rsidP="005E3F83">
          <w:pPr>
            <w:pStyle w:val="mythesis"/>
            <w:divId w:val="1881630524"/>
          </w:pPr>
          <w:r>
            <w:t xml:space="preserve">Parker, D., Beckmann, M., Zubair, H., Enot, D. P., Caracuel-Rios, Z., Overy, D. P., Snowdon, S., Talbot, N. J., &amp; Draper, J. (2009). Metabolomic analysis reveals a common pattern of metabolic re-programming during invasion of three host plant species by </w:t>
          </w:r>
          <w:r>
            <w:rPr>
              <w:i/>
            </w:rPr>
            <w:t>Magnaporthe grisea</w:t>
          </w:r>
          <w:r>
            <w:t xml:space="preserve">. </w:t>
          </w:r>
          <w:r>
            <w:rPr>
              <w:i/>
            </w:rPr>
            <w:t>The Plant Journal</w:t>
          </w:r>
          <w:r>
            <w:t xml:space="preserve">, </w:t>
          </w:r>
          <w:r>
            <w:rPr>
              <w:i/>
            </w:rPr>
            <w:t>59</w:t>
          </w:r>
          <w:r>
            <w:t>(5). https://doi.org/10.1111/j.1365-313X.2009.03912.x</w:t>
          </w:r>
        </w:p>
        <w:p w14:paraId="396C975B" w14:textId="77777777" w:rsidR="005E3F83" w:rsidRDefault="005E3F83" w:rsidP="005E3F83">
          <w:pPr>
            <w:pStyle w:val="mythesis"/>
            <w:divId w:val="2110469876"/>
          </w:pPr>
          <w:r>
            <w:t xml:space="preserve">Parniske, M. (2008). Arbuscular mycorrhiza: the mother of plant root endosymbioses. </w:t>
          </w:r>
          <w:r>
            <w:rPr>
              <w:i/>
            </w:rPr>
            <w:t>Nature Reviews Microbiology</w:t>
          </w:r>
          <w:r>
            <w:t xml:space="preserve">, </w:t>
          </w:r>
          <w:r>
            <w:rPr>
              <w:i/>
            </w:rPr>
            <w:t>6</w:t>
          </w:r>
          <w:r>
            <w:t>(10). https://doi.org/10.1038/nrmicro1987</w:t>
          </w:r>
        </w:p>
        <w:p w14:paraId="15F74492" w14:textId="77777777" w:rsidR="005E3F83" w:rsidRDefault="005E3F83" w:rsidP="005E3F83">
          <w:pPr>
            <w:pStyle w:val="mythesis"/>
            <w:divId w:val="1367750111"/>
          </w:pPr>
          <w:r>
            <w:lastRenderedPageBreak/>
            <w:t xml:space="preserve">Parson, W., Pegoraro, K., Niederstätter, H., Föger, M., &amp; Steinlechner, M. (2000). Species identification by means of the cytochrome b gene. </w:t>
          </w:r>
          <w:r>
            <w:rPr>
              <w:i/>
            </w:rPr>
            <w:t>International Journal of Legal Medicine</w:t>
          </w:r>
          <w:r>
            <w:t xml:space="preserve">, </w:t>
          </w:r>
          <w:r>
            <w:rPr>
              <w:i/>
            </w:rPr>
            <w:t>114</w:t>
          </w:r>
          <w:r>
            <w:t>(1–2), 23–28. https://doi.org/10.1007/s004140000134</w:t>
          </w:r>
        </w:p>
        <w:p w14:paraId="4A0E4598" w14:textId="77777777" w:rsidR="005E3F83" w:rsidRDefault="005E3F83" w:rsidP="005E3F83">
          <w:pPr>
            <w:pStyle w:val="mythesis"/>
            <w:divId w:val="1102842271"/>
          </w:pPr>
          <w:r>
            <w:t xml:space="preserve">Paschold, A., Halitschke, R., &amp; Baldwin, I. T. (2006). Using ‘mute’ plants to translate volatile signals. </w:t>
          </w:r>
          <w:r>
            <w:rPr>
              <w:i/>
            </w:rPr>
            <w:t>The Plant Journal</w:t>
          </w:r>
          <w:r>
            <w:t xml:space="preserve">, </w:t>
          </w:r>
          <w:r>
            <w:rPr>
              <w:i/>
            </w:rPr>
            <w:t>45</w:t>
          </w:r>
          <w:r>
            <w:t>(2). https://doi.org/10.1111/j.1365-313X.2005.02623.x</w:t>
          </w:r>
        </w:p>
        <w:p w14:paraId="2090A6AC" w14:textId="77777777" w:rsidR="005E3F83" w:rsidRDefault="005E3F83" w:rsidP="005E3F83">
          <w:pPr>
            <w:pStyle w:val="mythesis"/>
            <w:divId w:val="832911992"/>
          </w:pPr>
          <w:r>
            <w:t xml:space="preserve">Pascual, U., &amp; Perrings, C. (2007). Developing incentives and economic mechanisms for in situ biodiversity conservation in agricultural landscapes. </w:t>
          </w:r>
          <w:r>
            <w:rPr>
              <w:i/>
            </w:rPr>
            <w:t>Agriculture, Ecosystems and Environment</w:t>
          </w:r>
          <w:r>
            <w:t xml:space="preserve">, </w:t>
          </w:r>
          <w:r>
            <w:rPr>
              <w:i/>
            </w:rPr>
            <w:t>121</w:t>
          </w:r>
          <w:r>
            <w:t>(3), 256–268. https://doi.org/10.1016/j.agee.2006.12.025</w:t>
          </w:r>
        </w:p>
        <w:p w14:paraId="6856CEC7" w14:textId="77777777" w:rsidR="005E3F83" w:rsidRDefault="005E3F83" w:rsidP="005E3F83">
          <w:pPr>
            <w:pStyle w:val="mythesis"/>
            <w:divId w:val="642659944"/>
          </w:pPr>
          <w:r>
            <w:t xml:space="preserve">Paszkowski, U. (2006). A journey through signaling in arbuscular mycorrhizal symbioses 2006. </w:t>
          </w:r>
          <w:r>
            <w:rPr>
              <w:i/>
            </w:rPr>
            <w:t>New Phytologist</w:t>
          </w:r>
          <w:r>
            <w:t xml:space="preserve">, </w:t>
          </w:r>
          <w:r>
            <w:rPr>
              <w:i/>
            </w:rPr>
            <w:t>172</w:t>
          </w:r>
          <w:r>
            <w:t>(1), 35–46. https://doi.org/10.1111/j.1469-8137.2006.01840.x</w:t>
          </w:r>
        </w:p>
        <w:p w14:paraId="65478E45" w14:textId="77777777" w:rsidR="005E3F83" w:rsidRDefault="005E3F83" w:rsidP="005E3F83">
          <w:pPr>
            <w:pStyle w:val="mythesis"/>
            <w:divId w:val="954752974"/>
          </w:pPr>
          <w:r>
            <w:t xml:space="preserve">Paszkowski, U., Kroken, S., Roux, C., &amp; Briggs, S. P. (2002). Rice phosphate transporters include an evolutionarily divergent gene specifically activated in arbuscular mycorrhizal symbiosis. </w:t>
          </w:r>
          <w:r>
            <w:rPr>
              <w:i/>
            </w:rPr>
            <w:t>Proceedings of the National Academy of Sciences of the United States of America</w:t>
          </w:r>
          <w:r>
            <w:t xml:space="preserve">, </w:t>
          </w:r>
          <w:r>
            <w:rPr>
              <w:i/>
            </w:rPr>
            <w:t>99</w:t>
          </w:r>
          <w:r>
            <w:t>(20), 13324–13329. https://doi.org/10.1073/pnas.202474599</w:t>
          </w:r>
        </w:p>
        <w:p w14:paraId="0529CF14" w14:textId="77777777" w:rsidR="005E3F83" w:rsidRDefault="005E3F83" w:rsidP="005E3F83">
          <w:pPr>
            <w:pStyle w:val="mythesis"/>
            <w:divId w:val="1968853963"/>
          </w:pPr>
          <w:r>
            <w:t xml:space="preserve">Pauwels, L., Inzé, D., &amp; Goossens, A. (2009). Jasmonate-inducible gene: what does it mean? </w:t>
          </w:r>
          <w:r>
            <w:rPr>
              <w:i/>
            </w:rPr>
            <w:t>Trends in Plant Science</w:t>
          </w:r>
          <w:r>
            <w:t xml:space="preserve">, </w:t>
          </w:r>
          <w:r>
            <w:rPr>
              <w:i/>
            </w:rPr>
            <w:t>14</w:t>
          </w:r>
          <w:r>
            <w:t>(2). https://doi.org/10.1016/j.tplants.2008.11.005</w:t>
          </w:r>
        </w:p>
        <w:p w14:paraId="2FF9D5DC" w14:textId="77777777" w:rsidR="005E3F83" w:rsidRDefault="005E3F83" w:rsidP="005E3F83">
          <w:pPr>
            <w:pStyle w:val="mythesis"/>
            <w:divId w:val="865674738"/>
          </w:pPr>
          <w:r>
            <w:t xml:space="preserve">Pearson, J. N., &amp; Jakobsen, I. (1993). The relative contribution of hyphae and roots to phosphorus uptake by arbuscular mycorrhizal plants, measured by dual labelling with 32P and 33P. </w:t>
          </w:r>
          <w:r>
            <w:rPr>
              <w:i/>
            </w:rPr>
            <w:t>New Phytologist</w:t>
          </w:r>
          <w:r>
            <w:t xml:space="preserve">, </w:t>
          </w:r>
          <w:r>
            <w:rPr>
              <w:i/>
            </w:rPr>
            <w:t>124</w:t>
          </w:r>
          <w:r>
            <w:t>(3). https://doi.org/10.1111/j.1469-8137.1993.tb03840.x</w:t>
          </w:r>
        </w:p>
        <w:p w14:paraId="1E8E171D" w14:textId="77777777" w:rsidR="005E3F83" w:rsidRDefault="005E3F83" w:rsidP="005E3F83">
          <w:pPr>
            <w:pStyle w:val="mythesis"/>
            <w:divId w:val="1345397547"/>
          </w:pPr>
          <w:r>
            <w:t xml:space="preserve">Pedapudi, S., Chin, C.-K., &amp; Pedersen, H. (2000). Production and Elicitation of Benzalacetone and the Raspberry Ketone in Cell Suspension Cultures of Rubus idaeus. </w:t>
          </w:r>
          <w:r>
            <w:rPr>
              <w:i/>
            </w:rPr>
            <w:t>Biotechnology Progress</w:t>
          </w:r>
          <w:r>
            <w:t xml:space="preserve">, </w:t>
          </w:r>
          <w:r>
            <w:rPr>
              <w:i/>
            </w:rPr>
            <w:t>16</w:t>
          </w:r>
          <w:r>
            <w:t>(3). https://doi.org/10.1021/bp000033i</w:t>
          </w:r>
        </w:p>
        <w:p w14:paraId="4C19843C" w14:textId="77777777" w:rsidR="005E3F83" w:rsidRDefault="005E3F83" w:rsidP="005E3F83">
          <w:pPr>
            <w:pStyle w:val="mythesis"/>
            <w:divId w:val="685669428"/>
          </w:pPr>
          <w:r>
            <w:lastRenderedPageBreak/>
            <w:t xml:space="preserve">Peiffer, J. A., Spor, A., Koren, O., Jin, Z., Tringe, S. G., Dangl, J. L., Buckler, E. S., &amp; Ley, R. E. (2013). Diversity and heritability of the maize rhizosphere microbiome under field conditions. </w:t>
          </w:r>
          <w:r>
            <w:rPr>
              <w:i/>
            </w:rPr>
            <w:t>Proceedings of the National Academy of Sciences</w:t>
          </w:r>
          <w:r>
            <w:t xml:space="preserve">, </w:t>
          </w:r>
          <w:r>
            <w:rPr>
              <w:i/>
            </w:rPr>
            <w:t>110</w:t>
          </w:r>
          <w:r>
            <w:t>(16). https://doi.org/10.1073/pnas.1302837110</w:t>
          </w:r>
        </w:p>
        <w:p w14:paraId="09F2BD54" w14:textId="77777777" w:rsidR="005E3F83" w:rsidRDefault="005E3F83" w:rsidP="005E3F83">
          <w:pPr>
            <w:pStyle w:val="mythesis"/>
            <w:divId w:val="66732759"/>
          </w:pPr>
          <w:r>
            <w:t xml:space="preserve">Pérez-De-Luque, A., Tille, S., Johnson, I., Pascual-Pardo, D., Ton, J., &amp; Cameron, D. D. (2017a). The interactive effects of arbuscular mycorrhiza and plant growth-promoting rhizobacteria synergistically enhance host plant defences against pathogen. </w:t>
          </w:r>
          <w:r>
            <w:rPr>
              <w:i/>
            </w:rPr>
            <w:t>Scientific Reports</w:t>
          </w:r>
          <w:r>
            <w:t xml:space="preserve">, </w:t>
          </w:r>
          <w:r>
            <w:rPr>
              <w:i/>
            </w:rPr>
            <w:t>7</w:t>
          </w:r>
          <w:r>
            <w:t>(1). https://doi.org/10.1038/s41598-017-16697-4</w:t>
          </w:r>
        </w:p>
        <w:p w14:paraId="4055F697" w14:textId="77777777" w:rsidR="005E3F83" w:rsidRDefault="005E3F83" w:rsidP="005E3F83">
          <w:pPr>
            <w:pStyle w:val="mythesis"/>
            <w:divId w:val="1471049361"/>
          </w:pPr>
          <w:r>
            <w:t xml:space="preserve">Pérez-De-Luque, A., Tille, S., Johnson, I., Pascual-Pardo, D., Ton, J., &amp; Cameron, D. D. (2017b). The interactive effects of arbuscular mycorrhiza and plant growth-promoting rhizobacteria synergistically enhance host plant defences against pathogen. </w:t>
          </w:r>
          <w:r>
            <w:rPr>
              <w:i/>
            </w:rPr>
            <w:t>Scientific Reports</w:t>
          </w:r>
          <w:r>
            <w:t xml:space="preserve">, </w:t>
          </w:r>
          <w:r>
            <w:rPr>
              <w:i/>
            </w:rPr>
            <w:t>7</w:t>
          </w:r>
          <w:r>
            <w:t>(1). https://doi.org/10.1038/s41598-017-16697-4</w:t>
          </w:r>
        </w:p>
        <w:p w14:paraId="3CE1C5BD" w14:textId="77777777" w:rsidR="005E3F83" w:rsidRDefault="005E3F83" w:rsidP="005E3F83">
          <w:pPr>
            <w:pStyle w:val="mythesis"/>
            <w:divId w:val="1256329391"/>
          </w:pPr>
          <w:r>
            <w:t xml:space="preserve">Pérez-Tienda, J., Testillano, P. S., Balestrini, R., Fiorilli, V., Azcón-Aguilar, C., &amp; Ferrol, N. (2011). GintAMT2, a new member of the ammonium transporter family in the arbuscular mycorrhizal fungus Glomus intraradices. </w:t>
          </w:r>
          <w:r>
            <w:rPr>
              <w:i/>
            </w:rPr>
            <w:t>Fungal Genetics and Biology</w:t>
          </w:r>
          <w:r>
            <w:t xml:space="preserve">, </w:t>
          </w:r>
          <w:r>
            <w:rPr>
              <w:i/>
            </w:rPr>
            <w:t>48</w:t>
          </w:r>
          <w:r>
            <w:t>(11), 1044–1055. https://doi.org/10.1016/j.fgb.2011.08.003</w:t>
          </w:r>
        </w:p>
        <w:p w14:paraId="3C6BB70E" w14:textId="77777777" w:rsidR="005E3F83" w:rsidRDefault="005E3F83" w:rsidP="005E3F83">
          <w:pPr>
            <w:pStyle w:val="mythesis"/>
            <w:divId w:val="386030868"/>
          </w:pPr>
          <w:r>
            <w:t xml:space="preserve">Phillips, J. M., &amp; Hayman, D. S. (1970). Improved procedures for clearing roots and staining parasitic and vesicular-arbuscular mycorrhizal fungi for rapid assessment of infection. </w:t>
          </w:r>
          <w:r>
            <w:rPr>
              <w:i/>
            </w:rPr>
            <w:t>Transactions of the British Mycological Society</w:t>
          </w:r>
          <w:r>
            <w:t xml:space="preserve">, </w:t>
          </w:r>
          <w:r>
            <w:rPr>
              <w:i/>
            </w:rPr>
            <w:t>55</w:t>
          </w:r>
          <w:r>
            <w:t>(1), 158-IN18. https://doi.org/10.1016/s0007-1536(70)80110-3</w:t>
          </w:r>
        </w:p>
        <w:p w14:paraId="0B5A744C" w14:textId="77777777" w:rsidR="005E3F83" w:rsidRDefault="005E3F83" w:rsidP="005E3F83">
          <w:pPr>
            <w:pStyle w:val="mythesis"/>
            <w:divId w:val="1907061250"/>
          </w:pPr>
          <w:r>
            <w:t xml:space="preserve">Pieterse, C. M. J. , Koornneef, A. , Leonreyes, H. A. , Ritsema, T. , Verhage, A. , Joosten, R. G. , Vos, M. D. , Oosten, V. R. V. , &amp; Dicke, M. (2008). Cross-talk between signaling pathways leading to defense against pathogens and insects. </w:t>
          </w:r>
          <w:r>
            <w:rPr>
              <w:i/>
            </w:rPr>
            <w:t>In M. Lorito, S. L. Woo, and F. Scala (Eds.) Biology of Plant-Microbe Interactions. International Society for Molecular Plant-Microbe Interactions, St. Paul, MN.</w:t>
          </w:r>
          <w:r>
            <w:t>, 1–9.</w:t>
          </w:r>
        </w:p>
        <w:p w14:paraId="282C43C7" w14:textId="77777777" w:rsidR="005E3F83" w:rsidRDefault="005E3F83" w:rsidP="005E3F83">
          <w:pPr>
            <w:pStyle w:val="mythesis"/>
            <w:divId w:val="1564222103"/>
          </w:pPr>
          <w:r>
            <w:lastRenderedPageBreak/>
            <w:t xml:space="preserve">Pieterse, C. M. J., Leon-Reyes, A., van der Ent, S., &amp; van Wees, S. C. M. (2009). Networking by small-molecule hormones in plant immunity. </w:t>
          </w:r>
          <w:r>
            <w:rPr>
              <w:i/>
            </w:rPr>
            <w:t>Nature Chemical Biology</w:t>
          </w:r>
          <w:r>
            <w:t xml:space="preserve">, </w:t>
          </w:r>
          <w:r>
            <w:rPr>
              <w:i/>
            </w:rPr>
            <w:t>5</w:t>
          </w:r>
          <w:r>
            <w:t>(5). https://doi.org/10.1038/nchembio.164</w:t>
          </w:r>
        </w:p>
        <w:p w14:paraId="4530FDAA" w14:textId="77777777" w:rsidR="005E3F83" w:rsidRDefault="005E3F83" w:rsidP="005E3F83">
          <w:pPr>
            <w:pStyle w:val="mythesis"/>
            <w:divId w:val="274942274"/>
          </w:pPr>
          <w:r>
            <w:t xml:space="preserve">Pizzolitto, R. P., Barberis, C. L., Dambolena, J. S., Herrera, J. M., Zunino, M. P., Magnoli, C. E., Rubinstein, H. R., Zygadlo, J. A., &amp; Dalcero, A. M. (2015). Inhibitory Effect of Natural Phenolic Compounds on </w:t>
          </w:r>
          <w:r>
            <w:rPr>
              <w:i/>
            </w:rPr>
            <w:t>Aspergillus parasiticus</w:t>
          </w:r>
          <w:r>
            <w:t xml:space="preserve"> Growth. </w:t>
          </w:r>
          <w:r>
            <w:rPr>
              <w:i/>
            </w:rPr>
            <w:t>Journal of Chemistry</w:t>
          </w:r>
          <w:r>
            <w:t xml:space="preserve">, </w:t>
          </w:r>
          <w:r>
            <w:rPr>
              <w:i/>
            </w:rPr>
            <w:t>2015</w:t>
          </w:r>
          <w:r>
            <w:t>. https://doi.org/10.1155/2015/547925</w:t>
          </w:r>
        </w:p>
        <w:p w14:paraId="03802A78" w14:textId="77777777" w:rsidR="005E3F83" w:rsidRDefault="005E3F83" w:rsidP="005E3F83">
          <w:pPr>
            <w:pStyle w:val="mythesis"/>
            <w:divId w:val="2020959024"/>
          </w:pPr>
          <w:r>
            <w:t xml:space="preserve">Porcel, R. (2004). Arbuscular mycorrhizal influence on leaf water potential, solute accumulation, and oxidative stress in soybean plants subjected to drought stress. </w:t>
          </w:r>
          <w:r>
            <w:rPr>
              <w:i/>
            </w:rPr>
            <w:t>Journal of Experimental Botany</w:t>
          </w:r>
          <w:r>
            <w:t xml:space="preserve">, </w:t>
          </w:r>
          <w:r>
            <w:rPr>
              <w:i/>
            </w:rPr>
            <w:t>55</w:t>
          </w:r>
          <w:r>
            <w:t>(403). https://doi.org/10.1093/jxb/erh188</w:t>
          </w:r>
        </w:p>
        <w:p w14:paraId="66E9EA8C" w14:textId="77777777" w:rsidR="005E3F83" w:rsidRDefault="005E3F83" w:rsidP="005E3F83">
          <w:pPr>
            <w:pStyle w:val="mythesis"/>
            <w:divId w:val="1520195802"/>
          </w:pPr>
          <w:r>
            <w:t xml:space="preserve">Porter, S. S., &amp; Sachs, J. L. (2020a). Agriculture and the Disruption of Plant–Microbial Symbiosis. </w:t>
          </w:r>
          <w:r>
            <w:rPr>
              <w:i/>
            </w:rPr>
            <w:t>Trends in Ecology &amp; Evolution</w:t>
          </w:r>
          <w:r>
            <w:t xml:space="preserve">, </w:t>
          </w:r>
          <w:r>
            <w:rPr>
              <w:i/>
            </w:rPr>
            <w:t>35</w:t>
          </w:r>
          <w:r>
            <w:t>(5). https://doi.org/10.1016/j.tree.2020.01.006</w:t>
          </w:r>
        </w:p>
        <w:p w14:paraId="36D7FC77" w14:textId="77777777" w:rsidR="005E3F83" w:rsidRDefault="005E3F83" w:rsidP="005E3F83">
          <w:pPr>
            <w:pStyle w:val="mythesis"/>
            <w:divId w:val="1370059874"/>
          </w:pPr>
          <w:r>
            <w:t xml:space="preserve">Porter, S. S., &amp; Sachs, J. L. (2020b). Agriculture and the Disruption of Plant–Microbial Symbiosis. In </w:t>
          </w:r>
          <w:r>
            <w:rPr>
              <w:i/>
            </w:rPr>
            <w:t>Trends in Ecology and Evolution</w:t>
          </w:r>
          <w:r>
            <w:t xml:space="preserve"> (Vol. 35, Issue 5, pp. 426–439). Elsevier Ltd. https://doi.org/10.1016/j.tree.2020.01.006</w:t>
          </w:r>
        </w:p>
        <w:p w14:paraId="16FD2186" w14:textId="77777777" w:rsidR="005E3F83" w:rsidRDefault="005E3F83" w:rsidP="005E3F83">
          <w:pPr>
            <w:pStyle w:val="mythesis"/>
            <w:divId w:val="1884825453"/>
          </w:pPr>
          <w:r>
            <w:t xml:space="preserve">Posta, K., &amp; Hong Duc, N. (2020). Benefits of Arbuscular Mycorrhizal Fungi Application to Crop Production under Water Scarcity. In </w:t>
          </w:r>
          <w:r>
            <w:rPr>
              <w:i/>
            </w:rPr>
            <w:t>Drought - Detection and Solutions</w:t>
          </w:r>
          <w:r>
            <w:t>. IntechOpen. https://doi.org/10.5772/intechopen.86595</w:t>
          </w:r>
        </w:p>
        <w:p w14:paraId="07FBBF51" w14:textId="77777777" w:rsidR="005E3F83" w:rsidRDefault="005E3F83" w:rsidP="005E3F83">
          <w:pPr>
            <w:pStyle w:val="mythesis"/>
            <w:divId w:val="308947613"/>
          </w:pPr>
          <w:r>
            <w:t xml:space="preserve">Pozo, M. J., &amp; Azcón-Aguilar, C. (2007). Unraveling mycorrhiza-induced resistance. </w:t>
          </w:r>
          <w:r>
            <w:rPr>
              <w:i/>
            </w:rPr>
            <w:t>Current Opinion in Plant Biology</w:t>
          </w:r>
          <w:r>
            <w:t xml:space="preserve">, </w:t>
          </w:r>
          <w:r>
            <w:rPr>
              <w:i/>
            </w:rPr>
            <w:t>10</w:t>
          </w:r>
          <w:r>
            <w:t>(4). https://doi.org/10.1016/j.pbi.2007.05.004</w:t>
          </w:r>
        </w:p>
        <w:p w14:paraId="5FE72B4A" w14:textId="77777777" w:rsidR="005E3F83" w:rsidRDefault="005E3F83" w:rsidP="005E3F83">
          <w:pPr>
            <w:pStyle w:val="mythesis"/>
            <w:divId w:val="1543129094"/>
          </w:pPr>
          <w:r>
            <w:t xml:space="preserve">Pozo, M. J., Cordier, C., Dumas‐Gaudot, E., Gianinazzi, S., Barea, J. M., &amp; Azcón‐Aguilar, C. (2002). Localized versus systemic effect of arbuscular mycorrhizal fungi on defence responses to Phytophthora infection in tomato plants. </w:t>
          </w:r>
          <w:r>
            <w:rPr>
              <w:i/>
            </w:rPr>
            <w:t>Journal of Experimental Botany</w:t>
          </w:r>
          <w:r>
            <w:t xml:space="preserve">, </w:t>
          </w:r>
          <w:r>
            <w:rPr>
              <w:i/>
            </w:rPr>
            <w:t>53</w:t>
          </w:r>
          <w:r>
            <w:t>(368). https://doi.org/10.1093/jexbot/53.368.525</w:t>
          </w:r>
        </w:p>
        <w:p w14:paraId="42749DCF" w14:textId="77777777" w:rsidR="005E3F83" w:rsidRDefault="005E3F83" w:rsidP="005E3F83">
          <w:pPr>
            <w:pStyle w:val="mythesis"/>
            <w:divId w:val="863910034"/>
          </w:pPr>
          <w:r>
            <w:lastRenderedPageBreak/>
            <w:t xml:space="preserve">Pozo, M. J., van Loon, L. C., &amp; Pieterse, C. M. J. (2004). Jasmonates - Signals in Plant-Microbe Interactions. </w:t>
          </w:r>
          <w:r>
            <w:rPr>
              <w:i/>
            </w:rPr>
            <w:t>Journal of Plant Growth Regulation</w:t>
          </w:r>
          <w:r>
            <w:t xml:space="preserve">, </w:t>
          </w:r>
          <w:r>
            <w:rPr>
              <w:i/>
            </w:rPr>
            <w:t>23</w:t>
          </w:r>
          <w:r>
            <w:t>(3). https://doi.org/10.1007/s00344-004-0031-5</w:t>
          </w:r>
        </w:p>
        <w:p w14:paraId="0ED6E592" w14:textId="77777777" w:rsidR="005E3F83" w:rsidRDefault="005E3F83" w:rsidP="005E3F83">
          <w:pPr>
            <w:pStyle w:val="mythesis"/>
            <w:divId w:val="1442991500"/>
          </w:pPr>
          <w:r>
            <w:t xml:space="preserve">Pozo, M. J., Verhage, A., García-Andrade, J., García, J. M., &amp; Azcón-Aguilar, C. (2009). Priming Plant Defence Against Pathogens by Arbuscular Mycorrhizal Fungi. In </w:t>
          </w:r>
          <w:r>
            <w:rPr>
              <w:i/>
            </w:rPr>
            <w:t>Mycorrhizas - Functional Processes and Ecological Impact</w:t>
          </w:r>
          <w:r>
            <w:t>. Springer Berlin Heidelberg. https://doi.org/10.1007/978-3-540-87978-7_9</w:t>
          </w:r>
        </w:p>
        <w:p w14:paraId="6531BD92" w14:textId="77777777" w:rsidR="005E3F83" w:rsidRDefault="005E3F83" w:rsidP="005E3F83">
          <w:pPr>
            <w:pStyle w:val="mythesis"/>
            <w:divId w:val="320888461"/>
          </w:pPr>
          <w:r>
            <w:t xml:space="preserve">Pradeep Reddy, M., Sarla, N., &amp; Siddiq, E. A. (2002). Inter simple sequence repeat (ISSR) polymorphism and its application in plant breeding. </w:t>
          </w:r>
          <w:r>
            <w:rPr>
              <w:i/>
            </w:rPr>
            <w:t>Euphytica</w:t>
          </w:r>
          <w:r>
            <w:t xml:space="preserve">, </w:t>
          </w:r>
          <w:r>
            <w:rPr>
              <w:i/>
            </w:rPr>
            <w:t>128</w:t>
          </w:r>
          <w:r>
            <w:t>(1). https://doi.org/10.1023/A:1020691618797</w:t>
          </w:r>
        </w:p>
        <w:p w14:paraId="40427855" w14:textId="77777777" w:rsidR="005E3F83" w:rsidRDefault="005E3F83" w:rsidP="005E3F83">
          <w:pPr>
            <w:pStyle w:val="mythesis"/>
            <w:divId w:val="1651713968"/>
          </w:pPr>
          <w:r>
            <w:t xml:space="preserve">Pradhan, J., Sahoo, S. K., Lalotra, S., &amp; Sarma, R. S. (2017). Positive impact of abiotic stress on medicinal and aromatic plants. </w:t>
          </w:r>
          <w:r>
            <w:rPr>
              <w:i/>
            </w:rPr>
            <w:t xml:space="preserve">International Journal of Plant Sciences </w:t>
          </w:r>
          <w:r>
            <w:t xml:space="preserve">, </w:t>
          </w:r>
          <w:r>
            <w:rPr>
              <w:i/>
            </w:rPr>
            <w:t>12</w:t>
          </w:r>
          <w:r>
            <w:t>(2). https://doi.org/10.15740/HAS/IJPS/12.2/309-313</w:t>
          </w:r>
        </w:p>
        <w:p w14:paraId="510F3D1A" w14:textId="77777777" w:rsidR="005E3F83" w:rsidRDefault="005E3F83" w:rsidP="005E3F83">
          <w:pPr>
            <w:pStyle w:val="mythesis"/>
            <w:divId w:val="460273145"/>
          </w:pPr>
          <w:r>
            <w:t xml:space="preserve">Price, N. S., Roncadori, R. W., &amp; Hussey, R. S. (1989). Cotton root growth as influenced by phosphorus nutrition and vesicular-arbuscular mycorrhizas. </w:t>
          </w:r>
          <w:r>
            <w:rPr>
              <w:i/>
            </w:rPr>
            <w:t>New Phytologist</w:t>
          </w:r>
          <w:r>
            <w:t xml:space="preserve">, </w:t>
          </w:r>
          <w:r>
            <w:rPr>
              <w:i/>
            </w:rPr>
            <w:t>111</w:t>
          </w:r>
          <w:r>
            <w:t>(1), 61–66. https://doi.org/10.1111/j.1469-8137.1989.tb04218.x</w:t>
          </w:r>
        </w:p>
        <w:p w14:paraId="50A801AF" w14:textId="77777777" w:rsidR="005E3F83" w:rsidRDefault="005E3F83" w:rsidP="005E3F83">
          <w:pPr>
            <w:pStyle w:val="mythesis"/>
            <w:divId w:val="991645119"/>
          </w:pPr>
          <w:r>
            <w:t>Pusztahelyi, T., Holb, I. J., &amp; PÃ</w:t>
          </w:r>
          <w:r>
            <w:rPr>
              <w:vertAlign w:val="superscript"/>
            </w:rPr>
            <w:t>3</w:t>
          </w:r>
          <w:r>
            <w:t xml:space="preserve">csi, I. (2015). Secondary metabolites in fungus-plant interactions. </w:t>
          </w:r>
          <w:r>
            <w:rPr>
              <w:i/>
            </w:rPr>
            <w:t>Frontiers in Plant Science</w:t>
          </w:r>
          <w:r>
            <w:t xml:space="preserve">, </w:t>
          </w:r>
          <w:r>
            <w:rPr>
              <w:i/>
            </w:rPr>
            <w:t>6</w:t>
          </w:r>
          <w:r>
            <w:t>. https://doi.org/10.3389/fpls.2015.00573</w:t>
          </w:r>
        </w:p>
        <w:p w14:paraId="58557E59" w14:textId="77777777" w:rsidR="005E3F83" w:rsidRDefault="005E3F83" w:rsidP="005E3F83">
          <w:pPr>
            <w:pStyle w:val="mythesis"/>
            <w:divId w:val="736822536"/>
          </w:pPr>
          <w:r>
            <w:t xml:space="preserve">Qi, L. L., Echalier, B., Chao, S., Lazo, G. R., Butler, G. E., Anderson, O. D., Akhunov, E. D., Dvořák, J., Linkiewicz, A. M., Ratnasiri, A., Dubcovsky, J., Bermudez-Kandianis, C. E., Greene, R. A., Kantety, R., la Rota, C. M., Munkvold, J. D., Sorrells, S. F., Sorrells, M. E., Dilbirligi, M., … Gill, B. S. (2004). A Chromosome Bin Map of 16,000 Expressed Sequence Tag Loci and Distribution of Genes Among the Three Genomes of Polyploid Wheat. </w:t>
          </w:r>
          <w:r>
            <w:rPr>
              <w:i/>
            </w:rPr>
            <w:t>Genetics</w:t>
          </w:r>
          <w:r>
            <w:t xml:space="preserve">, </w:t>
          </w:r>
          <w:r>
            <w:rPr>
              <w:i/>
            </w:rPr>
            <w:t>168</w:t>
          </w:r>
          <w:r>
            <w:t>(2). https://doi.org/10.1534/genetics.104.034868</w:t>
          </w:r>
        </w:p>
        <w:p w14:paraId="62DD0C20" w14:textId="77777777" w:rsidR="005E3F83" w:rsidRDefault="005E3F83" w:rsidP="005E3F83">
          <w:pPr>
            <w:pStyle w:val="mythesis"/>
            <w:divId w:val="372387736"/>
          </w:pPr>
          <w:r>
            <w:lastRenderedPageBreak/>
            <w:t xml:space="preserve">R Core Team. (2021). </w:t>
          </w:r>
          <w:r>
            <w:rPr>
              <w:i/>
            </w:rPr>
            <w:t>R: A language and environment for statistical computing. R Foundation for Statistical Computing, Vienna, Austria.</w:t>
          </w:r>
        </w:p>
        <w:p w14:paraId="552701C3" w14:textId="77777777" w:rsidR="005E3F83" w:rsidRDefault="005E3F83" w:rsidP="005E3F83">
          <w:pPr>
            <w:pStyle w:val="mythesis"/>
            <w:divId w:val="2079086541"/>
          </w:pPr>
          <w:r>
            <w:t xml:space="preserve">Raaijmakers, J. M., Paulitz, T. C., Steinberg, C., Alabouvette, C., &amp; Moënne-Loccoz, Y. (2009). The rhizosphere: a playground and battlefield for soilborne pathogens and beneficial microorganisms. </w:t>
          </w:r>
          <w:r>
            <w:rPr>
              <w:i/>
            </w:rPr>
            <w:t>Plant and Soil</w:t>
          </w:r>
          <w:r>
            <w:t xml:space="preserve">, </w:t>
          </w:r>
          <w:r>
            <w:rPr>
              <w:i/>
            </w:rPr>
            <w:t>321</w:t>
          </w:r>
          <w:r>
            <w:t>(1–2). https://doi.org/10.1007/s11104-008-9568-6</w:t>
          </w:r>
        </w:p>
        <w:p w14:paraId="547B8362" w14:textId="77777777" w:rsidR="005E3F83" w:rsidRDefault="005E3F83" w:rsidP="005E3F83">
          <w:pPr>
            <w:pStyle w:val="mythesis"/>
            <w:divId w:val="1907373196"/>
          </w:pPr>
          <w:r>
            <w:t xml:space="preserve">Raman, R. (2017). The impact of Genetically Modified (GM) crops in modern agriculture: A review. In </w:t>
          </w:r>
          <w:r>
            <w:rPr>
              <w:i/>
            </w:rPr>
            <w:t>GM Crops and Food</w:t>
          </w:r>
          <w:r>
            <w:t xml:space="preserve"> (Vol. 8, Issue 4, pp. 195–208). Taylor and Francis Ltd. https://doi.org/10.1080/21645698.2017.1413522</w:t>
          </w:r>
        </w:p>
        <w:p w14:paraId="216C35DF" w14:textId="77777777" w:rsidR="005E3F83" w:rsidRDefault="005E3F83" w:rsidP="005E3F83">
          <w:pPr>
            <w:pStyle w:val="mythesis"/>
            <w:divId w:val="2078699627"/>
          </w:pPr>
          <w:r>
            <w:t xml:space="preserve">Ramírez-Flores, M. R., Perez-Limon, S., Li, M., Barrales-Gamez, B., Albinsky, D., Paszkowski, U., Olalde-Portugal, V., &amp; Sawers, R. J. (2020). The genetic architecture of host response reveals the importance of arbuscular mycorrhizae to maize cultivation. </w:t>
          </w:r>
          <w:r>
            <w:rPr>
              <w:i/>
            </w:rPr>
            <w:t>ELife</w:t>
          </w:r>
          <w:r>
            <w:t xml:space="preserve">, </w:t>
          </w:r>
          <w:r>
            <w:rPr>
              <w:i/>
            </w:rPr>
            <w:t>9</w:t>
          </w:r>
          <w:r>
            <w:t>. https://doi.org/10.7554/eLife.61701</w:t>
          </w:r>
        </w:p>
        <w:p w14:paraId="4F5B7BBC" w14:textId="77777777" w:rsidR="005E3F83" w:rsidRDefault="005E3F83" w:rsidP="005E3F83">
          <w:pPr>
            <w:pStyle w:val="mythesis"/>
            <w:divId w:val="1391922525"/>
          </w:pPr>
          <w:r>
            <w:t xml:space="preserve">Rao, N. K. (2004). Plant genetic resources: Advancing conservation and use through biotechnology. </w:t>
          </w:r>
          <w:r>
            <w:rPr>
              <w:i/>
            </w:rPr>
            <w:t>African Journal of Biotechnology</w:t>
          </w:r>
          <w:r>
            <w:t xml:space="preserve">, </w:t>
          </w:r>
          <w:r>
            <w:rPr>
              <w:i/>
            </w:rPr>
            <w:t>3</w:t>
          </w:r>
          <w:r>
            <w:t>(2), 136–145. https://doi.org/10.5897/AJB2004.000-2025</w:t>
          </w:r>
        </w:p>
        <w:p w14:paraId="03A6BF55" w14:textId="77777777" w:rsidR="005E3F83" w:rsidRDefault="005E3F83" w:rsidP="005E3F83">
          <w:pPr>
            <w:pStyle w:val="mythesis"/>
            <w:divId w:val="710883514"/>
          </w:pPr>
          <w:r>
            <w:t xml:space="preserve">Rasmussen, P. U., Amin, T., Bennett, A. E., Karlsson Green, K., Timonen, S., van nouhuys, S., &amp; Tack, A. J. M. (2017). Plant and insect genetic variation mediate the impact of arbuscular mycorrhizal fungi on a natural plant-herbivore interaction. </w:t>
          </w:r>
          <w:r>
            <w:rPr>
              <w:i/>
            </w:rPr>
            <w:t>Ecological Entomology</w:t>
          </w:r>
          <w:r>
            <w:t xml:space="preserve">, </w:t>
          </w:r>
          <w:r>
            <w:rPr>
              <w:i/>
            </w:rPr>
            <w:t>42</w:t>
          </w:r>
          <w:r>
            <w:t>(6). https://doi.org/10.1111/een.12453</w:t>
          </w:r>
        </w:p>
        <w:p w14:paraId="2F06BFCD" w14:textId="77777777" w:rsidR="005E3F83" w:rsidRDefault="005E3F83" w:rsidP="005E3F83">
          <w:pPr>
            <w:pStyle w:val="mythesis"/>
            <w:divId w:val="1128205248"/>
          </w:pPr>
          <w:r>
            <w:t xml:space="preserve">Redecker, D. (2000). Glomalean Fungi from the Ordovician. </w:t>
          </w:r>
          <w:r>
            <w:rPr>
              <w:i/>
            </w:rPr>
            <w:t>Science</w:t>
          </w:r>
          <w:r>
            <w:t xml:space="preserve">, </w:t>
          </w:r>
          <w:r>
            <w:rPr>
              <w:i/>
            </w:rPr>
            <w:t>289</w:t>
          </w:r>
          <w:r>
            <w:t>(5486). https://doi.org/10.1126/science.289.5486.1920</w:t>
          </w:r>
        </w:p>
        <w:p w14:paraId="30F8DD7C" w14:textId="77777777" w:rsidR="005E3F83" w:rsidRDefault="005E3F83" w:rsidP="005E3F83">
          <w:pPr>
            <w:pStyle w:val="mythesis"/>
            <w:divId w:val="1394355501"/>
          </w:pPr>
          <w:r>
            <w:lastRenderedPageBreak/>
            <w:t xml:space="preserve">Regvar, M., Gogala, N., &amp; Zalar, P. (1996). Effects of jasmonic acid on mycorrhizal </w:t>
          </w:r>
          <w:r>
            <w:rPr>
              <w:i/>
            </w:rPr>
            <w:t>Allium sativum</w:t>
          </w:r>
          <w:r>
            <w:t xml:space="preserve">. </w:t>
          </w:r>
          <w:r>
            <w:rPr>
              <w:i/>
            </w:rPr>
            <w:t>New Phytologist</w:t>
          </w:r>
          <w:r>
            <w:t xml:space="preserve">, </w:t>
          </w:r>
          <w:r>
            <w:rPr>
              <w:i/>
            </w:rPr>
            <w:t>134</w:t>
          </w:r>
          <w:r>
            <w:t>(4). https://doi.org/10.1111/j.1469-8137.1996.tb04936.x</w:t>
          </w:r>
        </w:p>
        <w:p w14:paraId="5655B8DC" w14:textId="77777777" w:rsidR="005E3F83" w:rsidRDefault="005E3F83" w:rsidP="005E3F83">
          <w:pPr>
            <w:pStyle w:val="mythesis"/>
            <w:divId w:val="803234926"/>
          </w:pPr>
          <w:r>
            <w:t xml:space="preserve">Reinhart, K. O., Wilson, G. W. T., &amp; Rinella, M. J. (2012). Predicting plant responses to mycorrhizae: integrating evolutionary history and plant traits. </w:t>
          </w:r>
          <w:r>
            <w:rPr>
              <w:i/>
            </w:rPr>
            <w:t>Ecology Letters</w:t>
          </w:r>
          <w:r>
            <w:t xml:space="preserve">, </w:t>
          </w:r>
          <w:r>
            <w:rPr>
              <w:i/>
            </w:rPr>
            <w:t>15</w:t>
          </w:r>
          <w:r>
            <w:t>(7). https://doi.org/10.1111/j.1461-0248.2012.01786.x</w:t>
          </w:r>
        </w:p>
        <w:p w14:paraId="31A1AF75" w14:textId="77777777" w:rsidR="005E3F83" w:rsidRDefault="005E3F83" w:rsidP="005E3F83">
          <w:pPr>
            <w:pStyle w:val="mythesis"/>
            <w:divId w:val="1676884177"/>
          </w:pPr>
          <w:r>
            <w:t xml:space="preserve">Reyes-García, V., Vadez, V., Martí, N., Huanca, T., Leonard, W. R., &amp; Tanner, S. (2008). Ethnobotanical knowledge and crop diversity in Swidden fields: A study in a native Amazonian society. </w:t>
          </w:r>
          <w:r>
            <w:rPr>
              <w:i/>
            </w:rPr>
            <w:t>Human Ecology</w:t>
          </w:r>
          <w:r>
            <w:t xml:space="preserve">, </w:t>
          </w:r>
          <w:r>
            <w:rPr>
              <w:i/>
            </w:rPr>
            <w:t>36</w:t>
          </w:r>
          <w:r>
            <w:t>(4), 569–580. https://doi.org/10.1007/s10745-008-9177-2</w:t>
          </w:r>
        </w:p>
        <w:p w14:paraId="22D4E5AF" w14:textId="77777777" w:rsidR="005E3F83" w:rsidRDefault="005E3F83" w:rsidP="005E3F83">
          <w:pPr>
            <w:pStyle w:val="mythesis"/>
            <w:divId w:val="1231846003"/>
          </w:pPr>
          <w:r>
            <w:t xml:space="preserve">Rillig, M. C., &amp; Steinberg, P. D. (2002). Glomalin production by an arbuscular mycorrhizal fungus: a mechanism of habitat modification? </w:t>
          </w:r>
          <w:r>
            <w:rPr>
              <w:i/>
            </w:rPr>
            <w:t>Soil Biology and Biochemistry</w:t>
          </w:r>
          <w:r>
            <w:t xml:space="preserve">, </w:t>
          </w:r>
          <w:r>
            <w:rPr>
              <w:i/>
            </w:rPr>
            <w:t>34</w:t>
          </w:r>
          <w:r>
            <w:t>(9). https://doi.org/10.1016/S0038-0717(02)00060-3</w:t>
          </w:r>
        </w:p>
        <w:p w14:paraId="5C7C3DAB" w14:textId="77777777" w:rsidR="005E3F83" w:rsidRDefault="005E3F83" w:rsidP="005E3F83">
          <w:pPr>
            <w:pStyle w:val="mythesis"/>
            <w:divId w:val="1240409504"/>
          </w:pPr>
          <w:r>
            <w:t xml:space="preserve">Rinaudo, V., Bàrberi, P., Giovannetti, M., &amp; van der Heijden, M. G. A. (2010). Mycorrhizal fungi suppress aggressive agricultural weeds. </w:t>
          </w:r>
          <w:r>
            <w:rPr>
              <w:i/>
            </w:rPr>
            <w:t>Plant and Soil</w:t>
          </w:r>
          <w:r>
            <w:t xml:space="preserve">, </w:t>
          </w:r>
          <w:r>
            <w:rPr>
              <w:i/>
            </w:rPr>
            <w:t>333</w:t>
          </w:r>
          <w:r>
            <w:t>(1–2). https://doi.org/10.1007/s11104-009-0202-z</w:t>
          </w:r>
        </w:p>
        <w:p w14:paraId="2556B3D2" w14:textId="77777777" w:rsidR="005E3F83" w:rsidRDefault="005E3F83" w:rsidP="005E3F83">
          <w:pPr>
            <w:pStyle w:val="mythesis"/>
            <w:divId w:val="1964578361"/>
          </w:pPr>
          <w:r>
            <w:t xml:space="preserve">Robert-Seilaniantz, A., Grant, M., &amp; Jones, J. D. G. (2011). Hormone Crosstalk in Plant Disease and Defense: More Than Just JASMONATE-SALICYLATE Antagonism. </w:t>
          </w:r>
          <w:r>
            <w:rPr>
              <w:i/>
            </w:rPr>
            <w:t>Annual Review of Phytopathology</w:t>
          </w:r>
          <w:r>
            <w:t xml:space="preserve">, </w:t>
          </w:r>
          <w:r>
            <w:rPr>
              <w:i/>
            </w:rPr>
            <w:t>49</w:t>
          </w:r>
          <w:r>
            <w:t>(1). https://doi.org/10.1146/annurev-phyto-073009-114447</w:t>
          </w:r>
        </w:p>
        <w:p w14:paraId="0A3D4BF2" w14:textId="77777777" w:rsidR="005E3F83" w:rsidRDefault="005E3F83" w:rsidP="005E3F83">
          <w:pPr>
            <w:pStyle w:val="mythesis"/>
            <w:divId w:val="362367736"/>
          </w:pPr>
          <w:r>
            <w:t xml:space="preserve">Rohlf, F. J. (1997). NTSYS-pc Version. 2.02i Numerical Taxonomy and Multivariate Analysis System.  . </w:t>
          </w:r>
          <w:r>
            <w:rPr>
              <w:i/>
            </w:rPr>
            <w:t>Applied Biostatistics Inc.,Exeter Software, Setauket, New York.</w:t>
          </w:r>
        </w:p>
        <w:p w14:paraId="6C972F6B" w14:textId="77777777" w:rsidR="005E3F83" w:rsidRDefault="005E3F83" w:rsidP="005E3F83">
          <w:pPr>
            <w:pStyle w:val="mythesis"/>
            <w:divId w:val="718552084"/>
          </w:pPr>
          <w:r>
            <w:t xml:space="preserve">Romero, L. R., Tacke, D., Koopmann, B., &amp; von Tiedemann, A. (2021). First Characterisation of the Phoma Species Complex on Maize Leaves in Central Europe. </w:t>
          </w:r>
          <w:r>
            <w:rPr>
              <w:i/>
            </w:rPr>
            <w:t>Pathogens</w:t>
          </w:r>
          <w:r>
            <w:t xml:space="preserve">, </w:t>
          </w:r>
          <w:r>
            <w:rPr>
              <w:i/>
            </w:rPr>
            <w:t>10</w:t>
          </w:r>
          <w:r>
            <w:t>(1216), 1–18. https://doi.org/10.3390/pathogens10091216</w:t>
          </w:r>
        </w:p>
        <w:p w14:paraId="7F031806" w14:textId="77777777" w:rsidR="005E3F83" w:rsidRDefault="005E3F83" w:rsidP="005E3F83">
          <w:pPr>
            <w:pStyle w:val="mythesis"/>
            <w:divId w:val="1606497669"/>
          </w:pPr>
          <w:r>
            <w:lastRenderedPageBreak/>
            <w:t xml:space="preserve">Rouf Shah, T., Prasad, K., &amp; Kumar, P. (2016). Maize-A potential source of human nutrition and health: A review. </w:t>
          </w:r>
          <w:r>
            <w:rPr>
              <w:i/>
            </w:rPr>
            <w:t>Cogent Food &amp; Agriculture</w:t>
          </w:r>
          <w:r>
            <w:t xml:space="preserve">, </w:t>
          </w:r>
          <w:r>
            <w:rPr>
              <w:i/>
            </w:rPr>
            <w:t>2</w:t>
          </w:r>
          <w:r>
            <w:t>(1). https://doi.org/10.1080/23311932.2016.1166995</w:t>
          </w:r>
        </w:p>
        <w:p w14:paraId="34BD9DA2" w14:textId="77777777" w:rsidR="005E3F83" w:rsidRDefault="005E3F83" w:rsidP="005E3F83">
          <w:pPr>
            <w:pStyle w:val="mythesis"/>
            <w:divId w:val="1301958434"/>
          </w:pPr>
          <w:r>
            <w:t xml:space="preserve">Roy, S., Tyagi, A., Shukla, V., Kumar, A., Singh, U. M., Chaudhary, L. B., Datt, B., Bag, S. K., Singh, P. K., Nair, N. K., Husain, T., &amp; Tuli, R. (2010). Universal plant DNA barcode loci may not work in complex groups: A case study with Indian berberis species. </w:t>
          </w:r>
          <w:r>
            <w:rPr>
              <w:i/>
            </w:rPr>
            <w:t>PLoS ONE</w:t>
          </w:r>
          <w:r>
            <w:t xml:space="preserve">, </w:t>
          </w:r>
          <w:r>
            <w:rPr>
              <w:i/>
            </w:rPr>
            <w:t>5</w:t>
          </w:r>
          <w:r>
            <w:t>(10), e13674. https://doi.org/10.1371/journal.pone.0013674</w:t>
          </w:r>
        </w:p>
        <w:p w14:paraId="695528A4" w14:textId="77777777" w:rsidR="005E3F83" w:rsidRDefault="005E3F83" w:rsidP="005E3F83">
          <w:pPr>
            <w:pStyle w:val="mythesis"/>
            <w:divId w:val="1864634473"/>
          </w:pPr>
          <w:r>
            <w:t xml:space="preserve">Ruan, J., Zhou, Y., Zhou, M., Yan, J., Khurshid, M., Weng, W., Cheng, J., &amp; Zhang, K. (2019). Jasmonic acid signaling pathway in plants. In </w:t>
          </w:r>
          <w:r>
            <w:rPr>
              <w:i/>
            </w:rPr>
            <w:t>International Journal of Molecular Sciences</w:t>
          </w:r>
          <w:r>
            <w:t xml:space="preserve"> (Vol. 20, Issue 10). MDPI AG. https://doi.org/10.3390/ijms20102479</w:t>
          </w:r>
        </w:p>
        <w:p w14:paraId="0304FECA" w14:textId="77777777" w:rsidR="005E3F83" w:rsidRDefault="005E3F83" w:rsidP="005E3F83">
          <w:pPr>
            <w:pStyle w:val="mythesis"/>
            <w:divId w:val="692462353"/>
          </w:pPr>
          <w:r>
            <w:t xml:space="preserve">Russell, W. A. (1972). Registration of B70 and B73 Parental Lines of Maize </w:t>
          </w:r>
          <w:r>
            <w:rPr>
              <w:vertAlign w:val="superscript"/>
            </w:rPr>
            <w:t>1</w:t>
          </w:r>
          <w:r>
            <w:t xml:space="preserve"> (Reg. Nos. PL16 and PL17). </w:t>
          </w:r>
          <w:r>
            <w:rPr>
              <w:i/>
            </w:rPr>
            <w:t>Crop Science</w:t>
          </w:r>
          <w:r>
            <w:t xml:space="preserve">, </w:t>
          </w:r>
          <w:r>
            <w:rPr>
              <w:i/>
            </w:rPr>
            <w:t>12</w:t>
          </w:r>
          <w:r>
            <w:t>(5). https://doi.org/10.2135/cropsci1972.0011183X001200050085x</w:t>
          </w:r>
        </w:p>
        <w:p w14:paraId="71AF2B60" w14:textId="77777777" w:rsidR="005E3F83" w:rsidRDefault="005E3F83" w:rsidP="005E3F83">
          <w:pPr>
            <w:pStyle w:val="mythesis"/>
            <w:divId w:val="1382826989"/>
          </w:pPr>
          <w:r>
            <w:t xml:space="preserve">Sabir, J. S. M., Abo-Aba, S., Bafeel, S., Zari, T. A., Edris, S., Shokry, A. M., Atef, A., Gadalla, N. O., Ramadan, A. M., Al-Kordy, M. A., El-Domyati, F. M., Jansen, R. K., &amp; Bahieldin, A. (2014a). Characterization of ten date palm (Phoenix dactylifera L.) cultivars from Saudi Arabia using AFLP and ISSR markers. </w:t>
          </w:r>
          <w:r>
            <w:rPr>
              <w:i/>
            </w:rPr>
            <w:t>Comptes Rendus - Biologies</w:t>
          </w:r>
          <w:r>
            <w:t xml:space="preserve">, </w:t>
          </w:r>
          <w:r>
            <w:rPr>
              <w:i/>
            </w:rPr>
            <w:t>337</w:t>
          </w:r>
          <w:r>
            <w:t>(1), 6–18. https://doi.org/10.1016/j.crvi.2013.11.003</w:t>
          </w:r>
        </w:p>
        <w:p w14:paraId="681FF138" w14:textId="77777777" w:rsidR="005E3F83" w:rsidRDefault="005E3F83" w:rsidP="005E3F83">
          <w:pPr>
            <w:pStyle w:val="mythesis"/>
            <w:divId w:val="2096243283"/>
          </w:pPr>
          <w:r>
            <w:t xml:space="preserve">Sabir, J. S. M., Abo-Aba, S., Bafeel, S., Zari, T. A., Edris, S., Shokry, A. M., Atef, A., Gadalla, N. O., Ramadan, A. M., Al-Kordy, M. A., El-Domyati, F. M., Jansen, R. K., &amp; Bahieldin, A. (2014b). Characterization of ten date palm (Phoenix dactylifera L.) cultivars from Saudi Arabia using AFLP and ISSR markers. </w:t>
          </w:r>
          <w:r>
            <w:rPr>
              <w:i/>
            </w:rPr>
            <w:t>Comptes Rendus Biologies</w:t>
          </w:r>
          <w:r>
            <w:t xml:space="preserve">, </w:t>
          </w:r>
          <w:r>
            <w:rPr>
              <w:i/>
            </w:rPr>
            <w:t>337</w:t>
          </w:r>
          <w:r>
            <w:t>(1). https://doi.org/10.1016/j.crvi.2013.11.003</w:t>
          </w:r>
        </w:p>
        <w:p w14:paraId="2C75DF1D" w14:textId="77777777" w:rsidR="005E3F83" w:rsidRDefault="005E3F83" w:rsidP="005E3F83">
          <w:pPr>
            <w:pStyle w:val="mythesis"/>
            <w:divId w:val="1305545667"/>
          </w:pPr>
          <w:r>
            <w:t xml:space="preserve">Samapundo, S., Demeulenaer, B., Oseinimoh, D., Lamboni, Y., Debevere, J., &amp; Devlieghere, F. (2007). Can phenolic compounds be used for the protection of corn from </w:t>
          </w:r>
          <w:r>
            <w:lastRenderedPageBreak/>
            <w:t xml:space="preserve">fungal invasion and mycotoxin contamination during storage? </w:t>
          </w:r>
          <w:r>
            <w:rPr>
              <w:i/>
            </w:rPr>
            <w:t>Food Microbiology</w:t>
          </w:r>
          <w:r>
            <w:t xml:space="preserve">, </w:t>
          </w:r>
          <w:r>
            <w:rPr>
              <w:i/>
            </w:rPr>
            <w:t>24</w:t>
          </w:r>
          <w:r>
            <w:t>(5). https://doi.org/10.1016/j.fm.2006.10.003</w:t>
          </w:r>
        </w:p>
        <w:p w14:paraId="40FD3958" w14:textId="77777777" w:rsidR="005E3F83" w:rsidRDefault="005E3F83" w:rsidP="005E3F83">
          <w:pPr>
            <w:pStyle w:val="mythesis"/>
            <w:divId w:val="1034691348"/>
          </w:pPr>
          <w:r>
            <w:t xml:space="preserve">Sarwat, M. (2012). </w:t>
          </w:r>
          <w:r>
            <w:rPr>
              <w:i/>
            </w:rPr>
            <w:t>ISSR: A Reliable and Cost-Effective Technique for Detection of DNA Polymorphism</w:t>
          </w:r>
          <w:r>
            <w:t>. https://doi.org/10.1007/978-1-61779-609-8_9</w:t>
          </w:r>
        </w:p>
        <w:p w14:paraId="4D8DCEB1" w14:textId="77777777" w:rsidR="005E3F83" w:rsidRDefault="005E3F83" w:rsidP="005E3F83">
          <w:pPr>
            <w:pStyle w:val="mythesis"/>
            <w:divId w:val="1277518047"/>
          </w:pPr>
          <w:r>
            <w:t xml:space="preserve">Sattari, S. Z., Bouwman, A. F., Giller, K. E., &amp; van Ittersum, M. K. (2012). Residual soil phosphorus as the missing piece in the global phosphorus crisis puzzle. </w:t>
          </w:r>
          <w:r>
            <w:rPr>
              <w:i/>
            </w:rPr>
            <w:t>Proceedings of the National Academy of Sciences</w:t>
          </w:r>
          <w:r>
            <w:t xml:space="preserve">, </w:t>
          </w:r>
          <w:r>
            <w:rPr>
              <w:i/>
            </w:rPr>
            <w:t>109</w:t>
          </w:r>
          <w:r>
            <w:t>(16). https://doi.org/10.1073/pnas.1113675109</w:t>
          </w:r>
        </w:p>
        <w:p w14:paraId="543F4174" w14:textId="77777777" w:rsidR="005E3F83" w:rsidRDefault="005E3F83" w:rsidP="005E3F83">
          <w:pPr>
            <w:pStyle w:val="mythesis"/>
            <w:divId w:val="1689024532"/>
          </w:pPr>
          <w:r>
            <w:t xml:space="preserve">Sawers, R. J. H., Gebreselassie, M. N., Janos, D. P., &amp; Paszkowski, U. (2010). Characterizing variation in mycorrhiza effect among diverse plant varieties. </w:t>
          </w:r>
          <w:r>
            <w:rPr>
              <w:i/>
            </w:rPr>
            <w:t>Theoretical and Applied Genetics</w:t>
          </w:r>
          <w:r>
            <w:t xml:space="preserve">, </w:t>
          </w:r>
          <w:r>
            <w:rPr>
              <w:i/>
            </w:rPr>
            <w:t>120</w:t>
          </w:r>
          <w:r>
            <w:t>(5). https://doi.org/10.1007/s00122-009-1231-y</w:t>
          </w:r>
        </w:p>
        <w:p w14:paraId="19BEE139" w14:textId="77777777" w:rsidR="005E3F83" w:rsidRDefault="005E3F83" w:rsidP="005E3F83">
          <w:pPr>
            <w:pStyle w:val="mythesis"/>
            <w:divId w:val="1052265189"/>
          </w:pPr>
          <w:r>
            <w:t xml:space="preserve">Sawers, R. J. H., Gutjahr, C., &amp; Paszkowski, U. (2008). Cereal mycorrhiza: an ancient symbiosis in modern agriculture. In </w:t>
          </w:r>
          <w:r>
            <w:rPr>
              <w:i/>
            </w:rPr>
            <w:t>Trends in Plant Science</w:t>
          </w:r>
          <w:r>
            <w:t xml:space="preserve"> (Vol. 13, Issue 2, pp. 93–97). https://doi.org/10.1016/j.tplants.2007.11.006</w:t>
          </w:r>
        </w:p>
        <w:p w14:paraId="4AD318A1" w14:textId="77777777" w:rsidR="005E3F83" w:rsidRDefault="005E3F83" w:rsidP="005E3F83">
          <w:pPr>
            <w:pStyle w:val="mythesis"/>
            <w:divId w:val="1662199059"/>
          </w:pPr>
          <w:r>
            <w:t xml:space="preserve">Sawers, R. J. H., Svane, S. F., Quan, C., Grønlund, M., Wozniak, B., Gebreselassie, M.-N., González-Muñoz, E., Chávez Montes, R. A., Baxter, I., Goudet, J., Jakobsen, I., &amp; Paszkowski, U. (2017). Phosphorus acquisition efficiency in arbuscular mycorrhizal maize is correlated with the abundance of root-external hyphae and the accumulation of transcripts encoding PHT1 phosphate transporters. </w:t>
          </w:r>
          <w:r>
            <w:rPr>
              <w:i/>
            </w:rPr>
            <w:t>New Phytologist</w:t>
          </w:r>
          <w:r>
            <w:t xml:space="preserve">, </w:t>
          </w:r>
          <w:r>
            <w:rPr>
              <w:i/>
            </w:rPr>
            <w:t>214</w:t>
          </w:r>
          <w:r>
            <w:t>(2), 632–643. https://doi.org/10.1111/nph.14403</w:t>
          </w:r>
        </w:p>
        <w:p w14:paraId="1F64B8EC" w14:textId="77777777" w:rsidR="005E3F83" w:rsidRDefault="005E3F83" w:rsidP="005E3F83">
          <w:pPr>
            <w:pStyle w:val="mythesis"/>
            <w:divId w:val="1301108010"/>
          </w:pPr>
          <w:r>
            <w:t xml:space="preserve">Sayyed, R. Z., Reddy, M. S., Kumar, K. V., Yellareddygari, S. K. R., Deshmukh, A. M., Patel, P. R., &amp; Gangurde, N. S. (2012). Potential of Plant Growth-Promoting Rhizobacteria for Sustainable Agriculture. In </w:t>
          </w:r>
          <w:r>
            <w:rPr>
              <w:i/>
            </w:rPr>
            <w:t>Bacteria in Agrobiology: Plant Probiotics</w:t>
          </w:r>
          <w:r>
            <w:t>. Springer Berlin Heidelberg. https://doi.org/10.1007/978-3-642-27515-9_16</w:t>
          </w:r>
        </w:p>
        <w:p w14:paraId="761706CE" w14:textId="77777777" w:rsidR="005E3F83" w:rsidRDefault="005E3F83" w:rsidP="005E3F83">
          <w:pPr>
            <w:pStyle w:val="mythesis"/>
            <w:divId w:val="1512328834"/>
          </w:pPr>
          <w:r>
            <w:lastRenderedPageBreak/>
            <w:t xml:space="preserve">Sbrana, C., Avio, L., &amp; Giovannetti, M. (2014). Beneficial mycorrhizal symbionts affecting the production of health-promoting phytochemicals. </w:t>
          </w:r>
          <w:r>
            <w:rPr>
              <w:i/>
            </w:rPr>
            <w:t>ELECTROPHORESIS</w:t>
          </w:r>
          <w:r>
            <w:t xml:space="preserve">, </w:t>
          </w:r>
          <w:r>
            <w:rPr>
              <w:i/>
            </w:rPr>
            <w:t>35</w:t>
          </w:r>
          <w:r>
            <w:t>(11). https://doi.org/10.1002/elps.201300568</w:t>
          </w:r>
        </w:p>
        <w:p w14:paraId="6C6CFB34" w14:textId="77777777" w:rsidR="005E3F83" w:rsidRDefault="005E3F83" w:rsidP="005E3F83">
          <w:pPr>
            <w:pStyle w:val="mythesis"/>
            <w:divId w:val="1776437480"/>
          </w:pPr>
          <w:r>
            <w:t xml:space="preserve">Schaal, B. A., Hayworth, D. A., Olsen, K. M., Rauscher, J. T., &amp; Smith, W. A. (1998). Phylogeographic studies in plants: problems and prospects. </w:t>
          </w:r>
          <w:r>
            <w:rPr>
              <w:i/>
            </w:rPr>
            <w:t>Molecular Ecology</w:t>
          </w:r>
          <w:r>
            <w:t xml:space="preserve">, </w:t>
          </w:r>
          <w:r>
            <w:rPr>
              <w:i/>
            </w:rPr>
            <w:t>7</w:t>
          </w:r>
          <w:r>
            <w:t>(4). https://doi.org/10.1046/j.1365-294x.1998.00318.x</w:t>
          </w:r>
        </w:p>
        <w:p w14:paraId="2BEDE929" w14:textId="77777777" w:rsidR="005E3F83" w:rsidRDefault="005E3F83" w:rsidP="005E3F83">
          <w:pPr>
            <w:pStyle w:val="mythesis"/>
            <w:divId w:val="186992866"/>
          </w:pPr>
          <w:r>
            <w:t xml:space="preserve">Schaarschmidt, S., Roitsch, T., &amp; Hause, B. (2006). Arbuscular mycorrhiza induces gene expression of the apoplastic invertase LIN6 in tomato (Lycopersicon esculentum) roots. </w:t>
          </w:r>
          <w:r>
            <w:rPr>
              <w:i/>
            </w:rPr>
            <w:t>Journal of Experimental Botany</w:t>
          </w:r>
          <w:r>
            <w:t xml:space="preserve">, </w:t>
          </w:r>
          <w:r>
            <w:rPr>
              <w:i/>
            </w:rPr>
            <w:t>57</w:t>
          </w:r>
          <w:r>
            <w:t>(15). https://doi.org/10.1093/jxb/erl172</w:t>
          </w:r>
        </w:p>
        <w:p w14:paraId="611699B1" w14:textId="77777777" w:rsidR="005E3F83" w:rsidRDefault="005E3F83" w:rsidP="005E3F83">
          <w:pPr>
            <w:pStyle w:val="mythesis"/>
            <w:divId w:val="282158697"/>
          </w:pPr>
          <w:r>
            <w:t xml:space="preserve">Schilmiller, A. L., &amp; Howe, G. A. (2005). Systemic signaling in the wound response. </w:t>
          </w:r>
          <w:r>
            <w:rPr>
              <w:i/>
            </w:rPr>
            <w:t>Current Opinion in Plant Biology</w:t>
          </w:r>
          <w:r>
            <w:t xml:space="preserve">, </w:t>
          </w:r>
          <w:r>
            <w:rPr>
              <w:i/>
            </w:rPr>
            <w:t>8</w:t>
          </w:r>
          <w:r>
            <w:t>(4). https://doi.org/10.1016/j.pbi.2005.05.008</w:t>
          </w:r>
        </w:p>
        <w:p w14:paraId="3B13064D" w14:textId="77777777" w:rsidR="005E3F83" w:rsidRDefault="005E3F83" w:rsidP="005E3F83">
          <w:pPr>
            <w:pStyle w:val="mythesis"/>
            <w:divId w:val="23990082"/>
          </w:pPr>
          <w:r>
            <w:t xml:space="preserve">Schippers, B., Scheffer, R. J., Lugtenberg, B. J. J., &amp; Weisbeek, P. J. (1995). Biocoating of Seeds with Plant Growth-Promoting Rhizobacteria to Improve Plant Establishment. </w:t>
          </w:r>
          <w:r>
            <w:rPr>
              <w:i/>
            </w:rPr>
            <w:t>Outlook on Agriculture</w:t>
          </w:r>
          <w:r>
            <w:t xml:space="preserve">, </w:t>
          </w:r>
          <w:r>
            <w:rPr>
              <w:i/>
            </w:rPr>
            <w:t>24</w:t>
          </w:r>
          <w:r>
            <w:t>(3). https://doi.org/10.1177/003072709502400308</w:t>
          </w:r>
        </w:p>
        <w:p w14:paraId="63E57A22" w14:textId="77777777" w:rsidR="005E3F83" w:rsidRDefault="005E3F83" w:rsidP="005E3F83">
          <w:pPr>
            <w:pStyle w:val="mythesis"/>
            <w:divId w:val="1602761805"/>
          </w:pPr>
          <w:r>
            <w:t xml:space="preserve">Schüβler, A., Schwarzott, D., &amp; Walker, C. (2001). A new fungal phylum, the Glomeromycota: phylogeny and evolution. </w:t>
          </w:r>
          <w:r>
            <w:rPr>
              <w:i/>
            </w:rPr>
            <w:t>Mycological Research</w:t>
          </w:r>
          <w:r>
            <w:t xml:space="preserve">, </w:t>
          </w:r>
          <w:r>
            <w:rPr>
              <w:i/>
            </w:rPr>
            <w:t>105</w:t>
          </w:r>
          <w:r>
            <w:t>(12). https://doi.org/10.1017/S0953756201005196</w:t>
          </w:r>
        </w:p>
        <w:p w14:paraId="758B5319" w14:textId="77777777" w:rsidR="005E3F83" w:rsidRDefault="005E3F83" w:rsidP="005E3F83">
          <w:pPr>
            <w:pStyle w:val="mythesis"/>
            <w:divId w:val="307828690"/>
          </w:pPr>
          <w:r>
            <w:t xml:space="preserve">Seehalak, W., Tomooka, N., Waranyuwat, A., Thipyapong, P., Laosuwan, P., Kaga, A., &amp; Vaughan, D. A. (2006). Genetic Diversity of the Vigna Germplasm from Thailand and Neighboring Regions Revealed by AFLP Analysis. </w:t>
          </w:r>
          <w:r>
            <w:rPr>
              <w:i/>
            </w:rPr>
            <w:t>Genetic Resources and Crop Evolution</w:t>
          </w:r>
          <w:r>
            <w:t xml:space="preserve">, </w:t>
          </w:r>
          <w:r>
            <w:rPr>
              <w:i/>
            </w:rPr>
            <w:t>53</w:t>
          </w:r>
          <w:r>
            <w:t>(5). https://doi.org/10.1007/s10722-004-7939-2</w:t>
          </w:r>
        </w:p>
        <w:p w14:paraId="7CFFE3BC" w14:textId="77777777" w:rsidR="005E3F83" w:rsidRDefault="005E3F83" w:rsidP="005E3F83">
          <w:pPr>
            <w:pStyle w:val="mythesis"/>
            <w:divId w:val="1856068578"/>
          </w:pPr>
          <w:r>
            <w:t xml:space="preserve">Seifi, E., Teymoor, Y. S., Alizadeh, M., &amp; Fereydooni, H. (2014). Olive mycorrhization: Influences of genotype, mycorrhiza, and growing periods. </w:t>
          </w:r>
          <w:r>
            <w:rPr>
              <w:i/>
            </w:rPr>
            <w:t>Scientia Horticulturae</w:t>
          </w:r>
          <w:r>
            <w:t xml:space="preserve">, </w:t>
          </w:r>
          <w:r>
            <w:rPr>
              <w:i/>
            </w:rPr>
            <w:t>180</w:t>
          </w:r>
          <w:r>
            <w:t>. https://doi.org/10.1016/j.scienta.2014.10.042</w:t>
          </w:r>
        </w:p>
        <w:p w14:paraId="7FD094A9" w14:textId="77777777" w:rsidR="005E3F83" w:rsidRDefault="005E3F83" w:rsidP="005E3F83">
          <w:pPr>
            <w:pStyle w:val="mythesis"/>
            <w:divId w:val="367876905"/>
          </w:pPr>
          <w:r>
            <w:lastRenderedPageBreak/>
            <w:t xml:space="preserve">Selosse, M.-A., &amp; Roy, M. (2009). Green plants that feed on fungi: facts and questions about mixotrophy. </w:t>
          </w:r>
          <w:r>
            <w:rPr>
              <w:i/>
            </w:rPr>
            <w:t>Trends in Plant Science</w:t>
          </w:r>
          <w:r>
            <w:t xml:space="preserve">, </w:t>
          </w:r>
          <w:r>
            <w:rPr>
              <w:i/>
            </w:rPr>
            <w:t>14</w:t>
          </w:r>
          <w:r>
            <w:t>(2). https://doi.org/10.1016/j.tplants.2008.11.004</w:t>
          </w:r>
        </w:p>
        <w:p w14:paraId="7FE410DA" w14:textId="77777777" w:rsidR="005E3F83" w:rsidRDefault="005E3F83" w:rsidP="005E3F83">
          <w:pPr>
            <w:pStyle w:val="mythesis"/>
            <w:divId w:val="1670712967"/>
          </w:pPr>
          <w:r>
            <w:t xml:space="preserve">Shahzad, A. N., Pitann, B., Ali, H., Qayyum, M. F., Fatima, A., &amp; Bakhat, H. F. (2015). Maize Genotypes Differing in Salt Resistance Vary in Jasmonic Acid Accumulation During the First Phase of Salt Stress. </w:t>
          </w:r>
          <w:r>
            <w:rPr>
              <w:i/>
            </w:rPr>
            <w:t>Journal of Agronomy and Crop Science</w:t>
          </w:r>
          <w:r>
            <w:t xml:space="preserve">, </w:t>
          </w:r>
          <w:r>
            <w:rPr>
              <w:i/>
            </w:rPr>
            <w:t>201</w:t>
          </w:r>
          <w:r>
            <w:t>(6), 443–451. https://doi.org/10.1111/jac.12134</w:t>
          </w:r>
        </w:p>
        <w:p w14:paraId="6B6765F7" w14:textId="77777777" w:rsidR="005E3F83" w:rsidRDefault="005E3F83" w:rsidP="005E3F83">
          <w:pPr>
            <w:pStyle w:val="mythesis"/>
            <w:divId w:val="1243561363"/>
          </w:pPr>
          <w:r>
            <w:t xml:space="preserve">Shang, Y., Hasan, Md. K., Ahammed, G. J., Li, M., Yin, H., &amp; Zhou, J. (2019). Applications of Nanotechnology in Plant Growth and Crop Protection: A Review. </w:t>
          </w:r>
          <w:r>
            <w:rPr>
              <w:i/>
            </w:rPr>
            <w:t>Molecules</w:t>
          </w:r>
          <w:r>
            <w:t xml:space="preserve">, </w:t>
          </w:r>
          <w:r>
            <w:rPr>
              <w:i/>
            </w:rPr>
            <w:t>24</w:t>
          </w:r>
          <w:r>
            <w:t>(14). https://doi.org/10.3390/molecules24142558</w:t>
          </w:r>
        </w:p>
        <w:p w14:paraId="78BFAEC9" w14:textId="77777777" w:rsidR="005E3F83" w:rsidRDefault="005E3F83" w:rsidP="005E3F83">
          <w:pPr>
            <w:pStyle w:val="mythesis"/>
            <w:divId w:val="1180661075"/>
          </w:pPr>
          <w:r>
            <w:t xml:space="preserve">Sharma, A., Shahzad, B., Rehman, A., Bhardwaj, R., Landi, M., &amp; Zheng, B. (2019). Response of Phenylpropanoid Pathway and the Role of Polyphenols in Plants under Abiotic Stress. </w:t>
          </w:r>
          <w:r>
            <w:rPr>
              <w:i/>
            </w:rPr>
            <w:t>Molecules</w:t>
          </w:r>
          <w:r>
            <w:t xml:space="preserve">, </w:t>
          </w:r>
          <w:r>
            <w:rPr>
              <w:i/>
            </w:rPr>
            <w:t>24</w:t>
          </w:r>
          <w:r>
            <w:t>(13). https://doi.org/10.3390/molecules24132452</w:t>
          </w:r>
        </w:p>
        <w:p w14:paraId="6CA1512C" w14:textId="77777777" w:rsidR="005E3F83" w:rsidRDefault="005E3F83" w:rsidP="005E3F83">
          <w:pPr>
            <w:pStyle w:val="mythesis"/>
            <w:divId w:val="355272556"/>
          </w:pPr>
          <w:r>
            <w:t xml:space="preserve">Sharma, S. N., Jha, Z., Sinha, R. K., &amp; Geda, A. K. (2015). Jasmonate-induced biosynthesis of andrographolide in </w:t>
          </w:r>
          <w:r>
            <w:rPr>
              <w:i/>
            </w:rPr>
            <w:t>Andrographis paniculata</w:t>
          </w:r>
          <w:r>
            <w:t xml:space="preserve">. </w:t>
          </w:r>
          <w:r>
            <w:rPr>
              <w:i/>
            </w:rPr>
            <w:t>Physiologia Plantarum</w:t>
          </w:r>
          <w:r>
            <w:t xml:space="preserve">, </w:t>
          </w:r>
          <w:r>
            <w:rPr>
              <w:i/>
            </w:rPr>
            <w:t>153</w:t>
          </w:r>
          <w:r>
            <w:t>(2). https://doi.org/10.1111/ppl.12252</w:t>
          </w:r>
        </w:p>
        <w:p w14:paraId="03B40471" w14:textId="77777777" w:rsidR="005E3F83" w:rsidRDefault="005E3F83" w:rsidP="005E3F83">
          <w:pPr>
            <w:pStyle w:val="mythesis"/>
            <w:divId w:val="1055004718"/>
          </w:pPr>
          <w:r>
            <w:t xml:space="preserve">Sheng, M., Tang, M., Chen, H., Yang, B., Zhang, F., &amp; Huang, Y. (2008). Influence of arbuscular mycorrhizae on photosynthesis and water status of maize plants under salt stress. </w:t>
          </w:r>
          <w:r>
            <w:rPr>
              <w:i/>
            </w:rPr>
            <w:t>Mycorrhiza</w:t>
          </w:r>
          <w:r>
            <w:t xml:space="preserve">, </w:t>
          </w:r>
          <w:r>
            <w:rPr>
              <w:i/>
            </w:rPr>
            <w:t>18</w:t>
          </w:r>
          <w:r>
            <w:t>(6–7). https://doi.org/10.1007/s00572-008-0180-7</w:t>
          </w:r>
        </w:p>
        <w:p w14:paraId="2C1B157B" w14:textId="77777777" w:rsidR="005E3F83" w:rsidRDefault="005E3F83" w:rsidP="005E3F83">
          <w:pPr>
            <w:pStyle w:val="mythesis"/>
            <w:divId w:val="417484760"/>
          </w:pPr>
          <w:r>
            <w:t xml:space="preserve">Sikes, B. A., Cottenie, K., &amp; Klironomos, J. N. (2009). Plant and fungal identity determines pathogen protection of plant roots by arbuscular mycorrhizas. </w:t>
          </w:r>
          <w:r>
            <w:rPr>
              <w:i/>
            </w:rPr>
            <w:t>Journal of Ecology</w:t>
          </w:r>
          <w:r>
            <w:t xml:space="preserve">, </w:t>
          </w:r>
          <w:r>
            <w:rPr>
              <w:i/>
            </w:rPr>
            <w:t>97</w:t>
          </w:r>
          <w:r>
            <w:t>(6). https://doi.org/10.1111/j.1365-2745.2009.01557.x</w:t>
          </w:r>
        </w:p>
        <w:p w14:paraId="2613CC87" w14:textId="77777777" w:rsidR="005E3F83" w:rsidRDefault="005E3F83" w:rsidP="005E3F83">
          <w:pPr>
            <w:pStyle w:val="mythesis"/>
            <w:divId w:val="811219310"/>
          </w:pPr>
          <w:r>
            <w:lastRenderedPageBreak/>
            <w:t xml:space="preserve">Silva, F. A., Maia, L. C., &amp; Silva, F. S. B. (2019a). Arbuscular mycorrhizal fungi as biotechnology alternative to increase concentrate of secondary metabolites in Zea mays L. </w:t>
          </w:r>
          <w:r>
            <w:rPr>
              <w:i/>
            </w:rPr>
            <w:t>Revista Brasileira de Botanica</w:t>
          </w:r>
          <w:r>
            <w:t xml:space="preserve">, </w:t>
          </w:r>
          <w:r>
            <w:rPr>
              <w:i/>
            </w:rPr>
            <w:t>42</w:t>
          </w:r>
          <w:r>
            <w:t>(1), 189–193. https://doi.org/10.1007/s40415-018-0508-2</w:t>
          </w:r>
        </w:p>
        <w:p w14:paraId="609A1D66" w14:textId="77777777" w:rsidR="005E3F83" w:rsidRDefault="005E3F83" w:rsidP="005E3F83">
          <w:pPr>
            <w:pStyle w:val="mythesis"/>
            <w:divId w:val="1147280449"/>
          </w:pPr>
          <w:r>
            <w:t xml:space="preserve">Silva, F. A., Maia, L. C., &amp; Silva, F. S. B. (2019b). Arbuscular mycorrhizal fungi as biotechnology alternative to increase concentrate of secondary metabolites in Zea mays L. </w:t>
          </w:r>
          <w:r>
            <w:rPr>
              <w:i/>
            </w:rPr>
            <w:t>Revista Brasileira de Botanica</w:t>
          </w:r>
          <w:r>
            <w:t xml:space="preserve">, </w:t>
          </w:r>
          <w:r>
            <w:rPr>
              <w:i/>
            </w:rPr>
            <w:t>42</w:t>
          </w:r>
          <w:r>
            <w:t>(1), 189–193. https://doi.org/10.1007/s40415-018-0508-2</w:t>
          </w:r>
        </w:p>
        <w:p w14:paraId="1366C167" w14:textId="77777777" w:rsidR="005E3F83" w:rsidRDefault="005E3F83" w:rsidP="005E3F83">
          <w:pPr>
            <w:pStyle w:val="mythesis"/>
            <w:divId w:val="1919942951"/>
          </w:pPr>
          <w:r>
            <w:t xml:space="preserve">Silva, J. A., &amp; &amp; Uchida, R. S. (2000). </w:t>
          </w:r>
          <w:r>
            <w:rPr>
              <w:i/>
            </w:rPr>
            <w:t>Plant Nutrient Management in Hawaii’s Soils: Approaches for Tropical and Subtropical Agriculture</w:t>
          </w:r>
          <w:r>
            <w:t>.</w:t>
          </w:r>
        </w:p>
        <w:p w14:paraId="68163CBF" w14:textId="77777777" w:rsidR="005E3F83" w:rsidRDefault="005E3F83" w:rsidP="005E3F83">
          <w:pPr>
            <w:pStyle w:val="mythesis"/>
            <w:divId w:val="1293562171"/>
          </w:pPr>
          <w:r>
            <w:t xml:space="preserve">Singh, C., Sharma, A. K., &amp; Johri, B. N. (2002). Host Genotype Determines the Impact of Soil Phosphorus on Arbuscular Mycorrhizal Symbiosis in Maize (Zea mays L.) 1 2 1 *. In </w:t>
          </w:r>
          <w:r>
            <w:rPr>
              <w:i/>
            </w:rPr>
            <w:t>Symbiosis</w:t>
          </w:r>
          <w:r>
            <w:t xml:space="preserve"> (Vol. 33).</w:t>
          </w:r>
        </w:p>
        <w:p w14:paraId="38254B4C" w14:textId="77777777" w:rsidR="005E3F83" w:rsidRDefault="005E3F83" w:rsidP="005E3F83">
          <w:pPr>
            <w:pStyle w:val="mythesis"/>
            <w:divId w:val="1193497166"/>
          </w:pPr>
          <w:r>
            <w:t xml:space="preserve">Singh, J. S., Pandey, V. C., &amp; Singh, D. P. (2011). Efficient soil microorganisms: A new dimension for sustainable agriculture and environmental development. </w:t>
          </w:r>
          <w:r>
            <w:rPr>
              <w:i/>
            </w:rPr>
            <w:t>Agriculture, Ecosystems &amp; Environment</w:t>
          </w:r>
          <w:r>
            <w:t xml:space="preserve">, </w:t>
          </w:r>
          <w:r>
            <w:rPr>
              <w:i/>
            </w:rPr>
            <w:t>140</w:t>
          </w:r>
          <w:r>
            <w:t>(3–4). https://doi.org/10.1016/j.agee.2011.01.017</w:t>
          </w:r>
        </w:p>
        <w:p w14:paraId="09C66945" w14:textId="77777777" w:rsidR="005E3F83" w:rsidRDefault="005E3F83" w:rsidP="005E3F83">
          <w:pPr>
            <w:pStyle w:val="mythesis"/>
            <w:divId w:val="174854357"/>
          </w:pPr>
          <w:r>
            <w:t xml:space="preserve">Smith, F. A., Jakobsen, I., &amp; Smith, S. E. (2000). Spatial differences in acquisition of soil phosphate between two arbuscular mycorrhizal fungi in symbiosis with Medicago truncatula. </w:t>
          </w:r>
          <w:r>
            <w:rPr>
              <w:i/>
            </w:rPr>
            <w:t>New Phytologist</w:t>
          </w:r>
          <w:r>
            <w:t xml:space="preserve">, </w:t>
          </w:r>
          <w:r>
            <w:rPr>
              <w:i/>
            </w:rPr>
            <w:t>147</w:t>
          </w:r>
          <w:r>
            <w:t>(2), 357–366. https://doi.org/10.1046/j.1469-8137.2000.00695.x</w:t>
          </w:r>
        </w:p>
        <w:p w14:paraId="1BC13A8F" w14:textId="77777777" w:rsidR="005E3F83" w:rsidRDefault="005E3F83" w:rsidP="005E3F83">
          <w:pPr>
            <w:pStyle w:val="mythesis"/>
            <w:divId w:val="1425808573"/>
          </w:pPr>
          <w:r>
            <w:t xml:space="preserve">Smith, S. E., &amp; &amp; Read, D. J. (1997). </w:t>
          </w:r>
          <w:r>
            <w:rPr>
              <w:i/>
            </w:rPr>
            <w:t xml:space="preserve">Mycorrhizal symbiosis. </w:t>
          </w:r>
          <w:r>
            <w:t>(. Academic Press, Ed.).</w:t>
          </w:r>
        </w:p>
        <w:p w14:paraId="5EF04628" w14:textId="77777777" w:rsidR="005E3F83" w:rsidRDefault="005E3F83" w:rsidP="005E3F83">
          <w:pPr>
            <w:pStyle w:val="mythesis"/>
            <w:divId w:val="103353292"/>
          </w:pPr>
          <w:r>
            <w:t xml:space="preserve">Smith, S. E., &amp; Smith, F. A. (2011a). Roles of Arbuscular Mycorrhizas in Plant Nutrition and Growth: New Paradigms from Cellular to Ecosystem Scales. </w:t>
          </w:r>
          <w:r>
            <w:rPr>
              <w:i/>
            </w:rPr>
            <w:t>Annual Review of Plant Biology</w:t>
          </w:r>
          <w:r>
            <w:t xml:space="preserve">, </w:t>
          </w:r>
          <w:r>
            <w:rPr>
              <w:i/>
            </w:rPr>
            <w:t>62</w:t>
          </w:r>
          <w:r>
            <w:t>(1). https://doi.org/10.1146/annurev-arplant-042110-103846</w:t>
          </w:r>
        </w:p>
        <w:p w14:paraId="42C04DF0" w14:textId="77777777" w:rsidR="005E3F83" w:rsidRDefault="005E3F83" w:rsidP="005E3F83">
          <w:pPr>
            <w:pStyle w:val="mythesis"/>
            <w:divId w:val="419958716"/>
          </w:pPr>
          <w:r>
            <w:lastRenderedPageBreak/>
            <w:t xml:space="preserve">Smith, S. E., &amp; Smith, F. A. (2011b). Roles of arbuscular mycorrhizas in plant nutrition and growth: New paradigms from cellular to ecosystem scales. </w:t>
          </w:r>
          <w:r>
            <w:rPr>
              <w:i/>
            </w:rPr>
            <w:t>Annual Review of Plant Biology</w:t>
          </w:r>
          <w:r>
            <w:t xml:space="preserve">, </w:t>
          </w:r>
          <w:r>
            <w:rPr>
              <w:i/>
            </w:rPr>
            <w:t>62</w:t>
          </w:r>
          <w:r>
            <w:t>, 227–250. https://doi.org/10.1146/annurev-arplant-042110-103846</w:t>
          </w:r>
        </w:p>
        <w:p w14:paraId="667ACF1F" w14:textId="77777777" w:rsidR="005E3F83" w:rsidRDefault="005E3F83" w:rsidP="005E3F83">
          <w:pPr>
            <w:pStyle w:val="mythesis"/>
            <w:divId w:val="446313093"/>
          </w:pPr>
          <w:r>
            <w:t xml:space="preserve">Smith, S. E., &amp; Smith, F. A. (2011c). Roles of Arbuscular Mycorrhizas in Plant Nutrition and Growth: New Paradigms from Cellular to Ecosystem Scales. </w:t>
          </w:r>
          <w:r>
            <w:rPr>
              <w:i/>
            </w:rPr>
            <w:t>Annual Review of Plant Biology</w:t>
          </w:r>
          <w:r>
            <w:t xml:space="preserve">, </w:t>
          </w:r>
          <w:r>
            <w:rPr>
              <w:i/>
            </w:rPr>
            <w:t>62</w:t>
          </w:r>
          <w:r>
            <w:t>(1). https://doi.org/10.1146/annurev-arplant-042110-103846</w:t>
          </w:r>
        </w:p>
        <w:p w14:paraId="1068B76D" w14:textId="77777777" w:rsidR="005E3F83" w:rsidRDefault="005E3F83" w:rsidP="005E3F83">
          <w:pPr>
            <w:pStyle w:val="mythesis"/>
            <w:divId w:val="934748985"/>
          </w:pPr>
          <w:r>
            <w:t xml:space="preserve">Smith, S. E., &amp; Smith, F. A. (2011d). Roles of arbuscular mycorrhizas in plant nutrition and growth: New paradigms from cellular to ecosystem scales. </w:t>
          </w:r>
          <w:r>
            <w:rPr>
              <w:i/>
            </w:rPr>
            <w:t>Annual Review of Plant Biology</w:t>
          </w:r>
          <w:r>
            <w:t xml:space="preserve">, </w:t>
          </w:r>
          <w:r>
            <w:rPr>
              <w:i/>
            </w:rPr>
            <w:t>62</w:t>
          </w:r>
          <w:r>
            <w:t>, 227–250. https://doi.org/10.1146/annurev-arplant-042110-103846</w:t>
          </w:r>
        </w:p>
        <w:p w14:paraId="1C5177F0" w14:textId="77777777" w:rsidR="005E3F83" w:rsidRDefault="005E3F83" w:rsidP="005E3F83">
          <w:pPr>
            <w:pStyle w:val="mythesis"/>
            <w:divId w:val="1546091863"/>
          </w:pPr>
          <w:r>
            <w:t xml:space="preserve">Smith, S. E., &amp; Smith, F. A. (2012a). Fresh perspectives on the roles of arbuscular mycorrhizal fungi in plant nutrition and growth. </w:t>
          </w:r>
          <w:r>
            <w:rPr>
              <w:i/>
            </w:rPr>
            <w:t>Mycologia</w:t>
          </w:r>
          <w:r>
            <w:t xml:space="preserve">, </w:t>
          </w:r>
          <w:r>
            <w:rPr>
              <w:i/>
            </w:rPr>
            <w:t>104</w:t>
          </w:r>
          <w:r>
            <w:t>(1), 1–13. https://doi.org/10.3852/11-229</w:t>
          </w:r>
        </w:p>
        <w:p w14:paraId="7C72F386" w14:textId="77777777" w:rsidR="005E3F83" w:rsidRDefault="005E3F83" w:rsidP="005E3F83">
          <w:pPr>
            <w:pStyle w:val="mythesis"/>
            <w:divId w:val="494223312"/>
          </w:pPr>
          <w:r>
            <w:t xml:space="preserve">Smith, S. E., &amp; Smith, F. A. (2012b). Fresh perspectives on the roles of arbuscular mycorrhizal fungi in plant nutrition and growth. </w:t>
          </w:r>
          <w:r>
            <w:rPr>
              <w:i/>
            </w:rPr>
            <w:t>Mycologia</w:t>
          </w:r>
          <w:r>
            <w:t xml:space="preserve">, </w:t>
          </w:r>
          <w:r>
            <w:rPr>
              <w:i/>
            </w:rPr>
            <w:t>104</w:t>
          </w:r>
          <w:r>
            <w:t>(1), 1–13. https://doi.org/10.3852/11-229</w:t>
          </w:r>
        </w:p>
        <w:p w14:paraId="60F54481" w14:textId="77777777" w:rsidR="005E3F83" w:rsidRDefault="005E3F83" w:rsidP="005E3F83">
          <w:pPr>
            <w:pStyle w:val="mythesis"/>
            <w:divId w:val="1000815773"/>
          </w:pPr>
          <w:r>
            <w:t xml:space="preserve">Smith, S. E., Smith, F. A., &amp; Jakobsen, I. (2003). Mycorrhizal fungi can dominate phosphate supply to plants irrespective of growth responses. </w:t>
          </w:r>
          <w:r>
            <w:rPr>
              <w:i/>
            </w:rPr>
            <w:t>Plant Physiology</w:t>
          </w:r>
          <w:r>
            <w:t xml:space="preserve">, </w:t>
          </w:r>
          <w:r>
            <w:rPr>
              <w:i/>
            </w:rPr>
            <w:t>133</w:t>
          </w:r>
          <w:r>
            <w:t>(1), 16–20. https://doi.org/10.1104/pp.103.024380</w:t>
          </w:r>
        </w:p>
        <w:p w14:paraId="3C51E733" w14:textId="77777777" w:rsidR="005E3F83" w:rsidRDefault="005E3F83" w:rsidP="005E3F83">
          <w:pPr>
            <w:pStyle w:val="mythesis"/>
            <w:divId w:val="1921911814"/>
          </w:pPr>
          <w:r>
            <w:t xml:space="preserve">Smith, S., &amp; Read, D. (2008). Mycorrhizal Symbiosis. In </w:t>
          </w:r>
          <w:r>
            <w:rPr>
              <w:i/>
            </w:rPr>
            <w:t>Mycorrhizal Symbiosis</w:t>
          </w:r>
          <w:r>
            <w:t>. Elsevier Ltd. https://doi.org/10.1016/B978-0-12-370526-6.X5001-6</w:t>
          </w:r>
        </w:p>
        <w:p w14:paraId="2D1F5D4E" w14:textId="77777777" w:rsidR="005E3F83" w:rsidRDefault="005E3F83" w:rsidP="005E3F83">
          <w:pPr>
            <w:pStyle w:val="mythesis"/>
            <w:divId w:val="983244489"/>
          </w:pPr>
          <w:r>
            <w:t xml:space="preserve">Sneath, P. H. A., &amp; and Sokal, R. R. (1973). </w:t>
          </w:r>
          <w:r>
            <w:rPr>
              <w:i/>
            </w:rPr>
            <w:t xml:space="preserve">Numerical taxonomy. In The principles and practices of classification. </w:t>
          </w:r>
          <w:r>
            <w:t>(1st ed.). ed, W.H. Freeman and Co, .</w:t>
          </w:r>
        </w:p>
        <w:p w14:paraId="274B41A5" w14:textId="77777777" w:rsidR="005E3F83" w:rsidRDefault="005E3F83" w:rsidP="005E3F83">
          <w:pPr>
            <w:pStyle w:val="mythesis"/>
            <w:divId w:val="436144081"/>
          </w:pPr>
          <w:r>
            <w:lastRenderedPageBreak/>
            <w:t xml:space="preserve">Sreenivasa, M. N., &amp; Bagyaraj, D. J. (1989). Use of pesticides for mass production of vesicular-arbuscular mycorrhizal inoculum. </w:t>
          </w:r>
          <w:r>
            <w:rPr>
              <w:i/>
            </w:rPr>
            <w:t>Plant and Soil</w:t>
          </w:r>
          <w:r>
            <w:t xml:space="preserve">, </w:t>
          </w:r>
          <w:r>
            <w:rPr>
              <w:i/>
            </w:rPr>
            <w:t>119</w:t>
          </w:r>
          <w:r>
            <w:t>(1). https://doi.org/10.1007/BF02370276</w:t>
          </w:r>
        </w:p>
        <w:p w14:paraId="0D221549" w14:textId="77777777" w:rsidR="005E3F83" w:rsidRDefault="005E3F83" w:rsidP="005E3F83">
          <w:pPr>
            <w:pStyle w:val="mythesis"/>
            <w:divId w:val="1559171809"/>
          </w:pPr>
          <w:r>
            <w:t xml:space="preserve">Staddon, P. L., Jakobsen, I., &amp; Blum, H. (2004). Nitrogen input mediates the effect of free-air CO2 enrichment on mycorrhizal fungal abundance. </w:t>
          </w:r>
          <w:r>
            <w:rPr>
              <w:i/>
            </w:rPr>
            <w:t>Global Change Biology</w:t>
          </w:r>
          <w:r>
            <w:t xml:space="preserve">, </w:t>
          </w:r>
          <w:r>
            <w:rPr>
              <w:i/>
            </w:rPr>
            <w:t>10</w:t>
          </w:r>
          <w:r>
            <w:t>(10), 1678–1688. https://doi.org/10.1111/j.1365-2486.2004.00853.x</w:t>
          </w:r>
        </w:p>
        <w:p w14:paraId="6F9749CA" w14:textId="77777777" w:rsidR="005E3F83" w:rsidRDefault="005E3F83" w:rsidP="005E3F83">
          <w:pPr>
            <w:pStyle w:val="mythesis"/>
            <w:divId w:val="1572036321"/>
          </w:pPr>
          <w:r>
            <w:t xml:space="preserve">Stepanova, A. N., &amp; Alonso, J. M. (2009). Ethylene signaling and response: where different regulatory modules meet. </w:t>
          </w:r>
          <w:r>
            <w:rPr>
              <w:i/>
            </w:rPr>
            <w:t>Current Opinion in Plant Biology</w:t>
          </w:r>
          <w:r>
            <w:t xml:space="preserve">, </w:t>
          </w:r>
          <w:r>
            <w:rPr>
              <w:i/>
            </w:rPr>
            <w:t>12</w:t>
          </w:r>
          <w:r>
            <w:t>(5). https://doi.org/10.1016/j.pbi.2009.07.009</w:t>
          </w:r>
        </w:p>
        <w:p w14:paraId="19F6B409" w14:textId="77777777" w:rsidR="005E3F83" w:rsidRDefault="005E3F83" w:rsidP="005E3F83">
          <w:pPr>
            <w:pStyle w:val="mythesis"/>
            <w:divId w:val="146282988"/>
          </w:pPr>
          <w:r>
            <w:t xml:space="preserve">Stromberg, P. M., Pascual, U., &amp; Bellon, M. R. (2010). Seed systems and farmers’ seed choices: The case of maize in the Peruvian Amazon. </w:t>
          </w:r>
          <w:r>
            <w:rPr>
              <w:i/>
            </w:rPr>
            <w:t>Human Ecology</w:t>
          </w:r>
          <w:r>
            <w:t xml:space="preserve">, </w:t>
          </w:r>
          <w:r>
            <w:rPr>
              <w:i/>
            </w:rPr>
            <w:t>38</w:t>
          </w:r>
          <w:r>
            <w:t>(4), 539–553. https://doi.org/10.1007/s10745-010-9333-3</w:t>
          </w:r>
        </w:p>
        <w:p w14:paraId="2865753E" w14:textId="77777777" w:rsidR="005E3F83" w:rsidRDefault="005E3F83" w:rsidP="005E3F83">
          <w:pPr>
            <w:pStyle w:val="mythesis"/>
            <w:divId w:val="1942910669"/>
          </w:pPr>
          <w:r>
            <w:t xml:space="preserve">Stumpe, M., Carsjens, J.-G., Stenzel, I., Göbel, C., Lang, I., Pawlowski, K., Hause, B., &amp; Feussner, I. (2005). Lipid metabolism in arbuscular mycorrhizal roots of Medicago truncatula. </w:t>
          </w:r>
          <w:r>
            <w:rPr>
              <w:i/>
            </w:rPr>
            <w:t>Phytochemistry</w:t>
          </w:r>
          <w:r>
            <w:t xml:space="preserve">, </w:t>
          </w:r>
          <w:r>
            <w:rPr>
              <w:i/>
            </w:rPr>
            <w:t>66</w:t>
          </w:r>
          <w:r>
            <w:t>(7). https://doi.org/10.1016/j.phytochem.2005.01.020</w:t>
          </w:r>
        </w:p>
        <w:p w14:paraId="574F994C" w14:textId="77777777" w:rsidR="005E3F83" w:rsidRDefault="005E3F83" w:rsidP="005E3F83">
          <w:pPr>
            <w:pStyle w:val="mythesis"/>
            <w:divId w:val="851458706"/>
          </w:pPr>
          <w:r>
            <w:t xml:space="preserve">Subramanian K.S., &amp; and Charest C. (1995). Influence of arbuscular mycorrhizae on the metabolism of maize under drought stress. </w:t>
          </w:r>
          <w:r>
            <w:rPr>
              <w:i/>
            </w:rPr>
            <w:t>Mycorrhiza</w:t>
          </w:r>
          <w:r>
            <w:t xml:space="preserve">, </w:t>
          </w:r>
          <w:r>
            <w:rPr>
              <w:i/>
            </w:rPr>
            <w:t>5</w:t>
          </w:r>
          <w:r>
            <w:t>, 273–278.</w:t>
          </w:r>
        </w:p>
        <w:p w14:paraId="23B8E748" w14:textId="77777777" w:rsidR="005E3F83" w:rsidRDefault="005E3F83" w:rsidP="005E3F83">
          <w:pPr>
            <w:pStyle w:val="mythesis"/>
            <w:divId w:val="2062945938"/>
          </w:pPr>
          <w:r>
            <w:t xml:space="preserve">Sylvia, D. M., &amp; Neal, L. H. (1990). Nitrogen affects the phosphorus response of VA mycorrhiza. </w:t>
          </w:r>
          <w:r>
            <w:rPr>
              <w:i/>
            </w:rPr>
            <w:t>New Phytologist</w:t>
          </w:r>
          <w:r>
            <w:t xml:space="preserve">, </w:t>
          </w:r>
          <w:r>
            <w:rPr>
              <w:i/>
            </w:rPr>
            <w:t>115</w:t>
          </w:r>
          <w:r>
            <w:t>(2), 303–310. https://doi.org/10.1111/j.1469-8137.1990.tb00456.x</w:t>
          </w:r>
        </w:p>
        <w:p w14:paraId="078D7380" w14:textId="77777777" w:rsidR="005E3F83" w:rsidRDefault="005E3F83" w:rsidP="005E3F83">
          <w:pPr>
            <w:pStyle w:val="mythesis"/>
            <w:divId w:val="220290770"/>
          </w:pPr>
          <w:r>
            <w:t xml:space="preserve">Taerum, S. J., Steven, B., Gage, D. J., &amp; Triplett, L. R. (2020). Validation of a PNA Clamping Method for Reducing Host DNA Amplification and Increasing Eukaryotic Diversity in Rhizosphere Microbiome Studies. </w:t>
          </w:r>
          <w:r>
            <w:rPr>
              <w:i/>
            </w:rPr>
            <w:t>Phytobiomes Journal</w:t>
          </w:r>
          <w:r>
            <w:t xml:space="preserve">, </w:t>
          </w:r>
          <w:r>
            <w:rPr>
              <w:i/>
            </w:rPr>
            <w:t>4</w:t>
          </w:r>
          <w:r>
            <w:t>(4). https://doi.org/10.1094/PBIOMES-05-20-0040-TA</w:t>
          </w:r>
        </w:p>
        <w:p w14:paraId="5894ADC5" w14:textId="77777777" w:rsidR="005E3F83" w:rsidRDefault="005E3F83" w:rsidP="005E3F83">
          <w:pPr>
            <w:pStyle w:val="mythesis"/>
            <w:divId w:val="1130588039"/>
          </w:pPr>
          <w:r>
            <w:lastRenderedPageBreak/>
            <w:t xml:space="preserve">Tang, T., Lu, J., Huang, J., He, J., McCouch, S. R., Shen, Y., Kai, Z., Purugganan, M. D., Shi, S., &amp; Wu, C. I. (2006). Genomic variation in rice: Genesis of highly polymorphic linkage blocks during domestication. </w:t>
          </w:r>
          <w:r>
            <w:rPr>
              <w:i/>
            </w:rPr>
            <w:t>PLoS Genetics</w:t>
          </w:r>
          <w:r>
            <w:t xml:space="preserve">, </w:t>
          </w:r>
          <w:r>
            <w:rPr>
              <w:i/>
            </w:rPr>
            <w:t>2</w:t>
          </w:r>
          <w:r>
            <w:t>(11), 1824–1833. https://doi.org/10.1371/journal.pgen.0020199</w:t>
          </w:r>
        </w:p>
        <w:p w14:paraId="5ADB4837" w14:textId="77777777" w:rsidR="005E3F83" w:rsidRDefault="005E3F83" w:rsidP="005E3F83">
          <w:pPr>
            <w:pStyle w:val="mythesis"/>
            <w:divId w:val="1372075456"/>
          </w:pPr>
          <w:r>
            <w:t xml:space="preserve">Tawaraya, K. (2003). Arbuscular mycorrhizal dependency of different plant species and cultivars. </w:t>
          </w:r>
          <w:r>
            <w:rPr>
              <w:i/>
            </w:rPr>
            <w:t>Soil Science and Plant Nutrition</w:t>
          </w:r>
          <w:r>
            <w:t xml:space="preserve">, </w:t>
          </w:r>
          <w:r>
            <w:rPr>
              <w:i/>
            </w:rPr>
            <w:t>49</w:t>
          </w:r>
          <w:r>
            <w:t>(5), 655–668. https://doi.org/10.1080/00380768.2003.10410323</w:t>
          </w:r>
        </w:p>
        <w:p w14:paraId="296E442B" w14:textId="77777777" w:rsidR="005E3F83" w:rsidRDefault="005E3F83" w:rsidP="005E3F83">
          <w:pPr>
            <w:pStyle w:val="mythesis"/>
            <w:divId w:val="582765995"/>
          </w:pPr>
          <w:r>
            <w:t xml:space="preserve">Tawaraya, K., Naito, M., &amp; Wagatsuma, T. (2006). Solubilization of Insoluble Inorganic Phosphate by Hyphal Exudates of Arbuscular Mycorrhizal Fungi. </w:t>
          </w:r>
          <w:r>
            <w:rPr>
              <w:i/>
            </w:rPr>
            <w:t>Journal of Plant Nutrition</w:t>
          </w:r>
          <w:r>
            <w:t xml:space="preserve">, </w:t>
          </w:r>
          <w:r>
            <w:rPr>
              <w:i/>
            </w:rPr>
            <w:t>29</w:t>
          </w:r>
          <w:r>
            <w:t>(4). https://doi.org/10.1080/01904160600564428</w:t>
          </w:r>
        </w:p>
        <w:p w14:paraId="0639E577" w14:textId="77777777" w:rsidR="005E3F83" w:rsidRDefault="005E3F83" w:rsidP="005E3F83">
          <w:pPr>
            <w:pStyle w:val="mythesis"/>
            <w:divId w:val="943461335"/>
          </w:pPr>
          <w:r>
            <w:t xml:space="preserve">Thaler, J. S., Humphrey, P. T., &amp; Whiteman, N. K. (2012). Evolution of jasmonate and salicylate signal crosstalk. </w:t>
          </w:r>
          <w:r>
            <w:rPr>
              <w:i/>
            </w:rPr>
            <w:t>Trends in Plant Science</w:t>
          </w:r>
          <w:r>
            <w:t xml:space="preserve">, </w:t>
          </w:r>
          <w:r>
            <w:rPr>
              <w:i/>
            </w:rPr>
            <w:t>17</w:t>
          </w:r>
          <w:r>
            <w:t>(5). https://doi.org/10.1016/j.tplants.2012.02.010</w:t>
          </w:r>
        </w:p>
        <w:p w14:paraId="7624B06A" w14:textId="77777777" w:rsidR="005E3F83" w:rsidRDefault="005E3F83" w:rsidP="005E3F83">
          <w:pPr>
            <w:pStyle w:val="mythesis"/>
            <w:divId w:val="816995343"/>
          </w:pPr>
          <w:r>
            <w:t xml:space="preserve">Thirkell, T., Cameron, D., &amp; Hodge, A. (2019). Contrasting Nitrogen Fertilisation Rates Alter Mycorrhizal Contribution to Barley Nutrition in a Field Trial. </w:t>
          </w:r>
          <w:r>
            <w:rPr>
              <w:i/>
            </w:rPr>
            <w:t>Frontiers in Plant Science</w:t>
          </w:r>
          <w:r>
            <w:t xml:space="preserve">, </w:t>
          </w:r>
          <w:r>
            <w:rPr>
              <w:i/>
            </w:rPr>
            <w:t>10</w:t>
          </w:r>
          <w:r>
            <w:t>. https://doi.org/10.3389/fpls.2019.01312</w:t>
          </w:r>
        </w:p>
        <w:p w14:paraId="7890B676" w14:textId="77777777" w:rsidR="005E3F83" w:rsidRDefault="005E3F83" w:rsidP="005E3F83">
          <w:pPr>
            <w:pStyle w:val="mythesis"/>
            <w:divId w:val="1078751921"/>
          </w:pPr>
          <w:r>
            <w:t xml:space="preserve">Thirkell, T. J., Cameron, D. D., &amp; Hodge, A. (2016). Resolving the ‘nitrogen paradox’ of </w:t>
          </w:r>
          <w:r>
            <w:rPr>
              <w:i/>
            </w:rPr>
            <w:t>arbuscular mycorrhizas</w:t>
          </w:r>
          <w:r>
            <w:t xml:space="preserve"> : fertilization with organic matter brings considerable benefits for plant nutrition and growth. </w:t>
          </w:r>
          <w:r>
            <w:rPr>
              <w:i/>
            </w:rPr>
            <w:t>Plant, Cell &amp; Environment</w:t>
          </w:r>
          <w:r>
            <w:t xml:space="preserve">, </w:t>
          </w:r>
          <w:r>
            <w:rPr>
              <w:i/>
            </w:rPr>
            <w:t>39</w:t>
          </w:r>
          <w:r>
            <w:t>(8). https://doi.org/10.1111/pce.12667</w:t>
          </w:r>
        </w:p>
        <w:p w14:paraId="62B4B2B1" w14:textId="77777777" w:rsidR="005E3F83" w:rsidRDefault="005E3F83" w:rsidP="005E3F83">
          <w:pPr>
            <w:pStyle w:val="mythesis"/>
            <w:divId w:val="449472251"/>
          </w:pPr>
          <w:r>
            <w:t xml:space="preserve">Thomma, B. P. H. J., Nürnberger, T., &amp; Joosten, M. H. A. J. (2011). Of PAMPs and Effectors: The Blurred PTI-ETI Dichotomy. </w:t>
          </w:r>
          <w:r>
            <w:rPr>
              <w:i/>
            </w:rPr>
            <w:t>The Plant Cell</w:t>
          </w:r>
          <w:r>
            <w:t xml:space="preserve">, </w:t>
          </w:r>
          <w:r>
            <w:rPr>
              <w:i/>
            </w:rPr>
            <w:t>23</w:t>
          </w:r>
          <w:r>
            <w:t>(1). https://doi.org/10.1105/tpc.110.082602</w:t>
          </w:r>
        </w:p>
        <w:p w14:paraId="49382ACF" w14:textId="77777777" w:rsidR="005E3F83" w:rsidRDefault="005E3F83" w:rsidP="005E3F83">
          <w:pPr>
            <w:pStyle w:val="mythesis"/>
            <w:divId w:val="1535581067"/>
          </w:pPr>
          <w:r>
            <w:lastRenderedPageBreak/>
            <w:t xml:space="preserve">Thomson, B. D., Bell, R. W., &amp; Bolland, M. D. A. (1992). Low seed phosphorus concentration depresses early growth and nodulation of narrow‐leafed Lupin ( </w:t>
          </w:r>
          <w:r>
            <w:rPr>
              <w:i/>
            </w:rPr>
            <w:t>Lupinus angustifolius</w:t>
          </w:r>
          <w:r>
            <w:t xml:space="preserve"> cv. Gungurru). </w:t>
          </w:r>
          <w:r>
            <w:rPr>
              <w:i/>
            </w:rPr>
            <w:t>Journal of Plant Nutrition</w:t>
          </w:r>
          <w:r>
            <w:t xml:space="preserve">, </w:t>
          </w:r>
          <w:r>
            <w:rPr>
              <w:i/>
            </w:rPr>
            <w:t>15</w:t>
          </w:r>
          <w:r>
            <w:t>(8). https://doi.org/10.1080/01904169209364390</w:t>
          </w:r>
        </w:p>
        <w:p w14:paraId="0ACF205E" w14:textId="77777777" w:rsidR="005E3F83" w:rsidRDefault="005E3F83" w:rsidP="005E3F83">
          <w:pPr>
            <w:pStyle w:val="mythesis"/>
            <w:divId w:val="977035484"/>
          </w:pPr>
          <w:r>
            <w:t xml:space="preserve">Thonar, C., Schnepf, A., Frossard, E., Roose, T., &amp; Jansa, J. (2011). Traits related to differences in function among three arbuscular mycorrhizal fungi. </w:t>
          </w:r>
          <w:r>
            <w:rPr>
              <w:i/>
            </w:rPr>
            <w:t>Plant and Soil</w:t>
          </w:r>
          <w:r>
            <w:t xml:space="preserve">, </w:t>
          </w:r>
          <w:r>
            <w:rPr>
              <w:i/>
            </w:rPr>
            <w:t>339</w:t>
          </w:r>
          <w:r>
            <w:t>(1), 231–245. https://doi.org/10.1007/s11104-010-0571-3</w:t>
          </w:r>
        </w:p>
        <w:p w14:paraId="47196F78" w14:textId="77777777" w:rsidR="005E3F83" w:rsidRDefault="005E3F83" w:rsidP="005E3F83">
          <w:pPr>
            <w:pStyle w:val="mythesis"/>
            <w:divId w:val="139689801"/>
          </w:pPr>
          <w:r>
            <w:t xml:space="preserve">Tian, Q., Chen, F., Liu, J., Zhang, F., &amp; Mi, G. (2008). Inhibition of maize root growth by high nitrate supply is correlated with reduced IAA levels in roots. </w:t>
          </w:r>
          <w:r>
            <w:rPr>
              <w:i/>
            </w:rPr>
            <w:t>Journal of Plant Physiology</w:t>
          </w:r>
          <w:r>
            <w:t xml:space="preserve">, </w:t>
          </w:r>
          <w:r>
            <w:rPr>
              <w:i/>
            </w:rPr>
            <w:t>165</w:t>
          </w:r>
          <w:r>
            <w:t>(9), 942–951. https://doi.org/10.1016/j.jplph.2007.02.011</w:t>
          </w:r>
        </w:p>
        <w:p w14:paraId="35D626B6" w14:textId="77777777" w:rsidR="005E3F83" w:rsidRDefault="005E3F83" w:rsidP="005E3F83">
          <w:pPr>
            <w:pStyle w:val="mythesis"/>
            <w:divId w:val="1041173784"/>
          </w:pPr>
          <w:r>
            <w:t xml:space="preserve">Tian, Q., Chen, F., Zhang, F., &amp; Mi, G. (2005). Possible involvement of cytokinin in nitrate-mediated root growth in maize. </w:t>
          </w:r>
          <w:r>
            <w:rPr>
              <w:i/>
            </w:rPr>
            <w:t>Plant and Soil</w:t>
          </w:r>
          <w:r>
            <w:t xml:space="preserve">, </w:t>
          </w:r>
          <w:r>
            <w:rPr>
              <w:i/>
            </w:rPr>
            <w:t>277</w:t>
          </w:r>
          <w:r>
            <w:t>(1–2), 185–196. https://doi.org/10.1007/s11104-005-6837-5</w:t>
          </w:r>
        </w:p>
        <w:p w14:paraId="7397DEF8" w14:textId="77777777" w:rsidR="005E3F83" w:rsidRDefault="005E3F83" w:rsidP="005E3F83">
          <w:pPr>
            <w:pStyle w:val="mythesis"/>
            <w:divId w:val="1445227250"/>
          </w:pPr>
          <w:r>
            <w:t xml:space="preserve">Tilak, K. , Ranganayaki, N. , Pal, K. K. , De, R. , Saxena, A. K. , Nautiyal, C. S. , Mittal, S. , Tripathi, A. K., &amp; &amp; Johri, B. N. (2005). Diversity of plant growth and soil health supporting bacteria. . </w:t>
          </w:r>
          <w:r>
            <w:rPr>
              <w:i/>
            </w:rPr>
            <w:t>Current Science,</w:t>
          </w:r>
          <w:r>
            <w:t xml:space="preserve"> </w:t>
          </w:r>
          <w:r>
            <w:rPr>
              <w:i/>
            </w:rPr>
            <w:t>89</w:t>
          </w:r>
          <w:r>
            <w:t>, 136–150.</w:t>
          </w:r>
        </w:p>
        <w:p w14:paraId="2451BB8B" w14:textId="77777777" w:rsidR="005E3F83" w:rsidRDefault="005E3F83" w:rsidP="005E3F83">
          <w:pPr>
            <w:pStyle w:val="mythesis"/>
            <w:divId w:val="1892115113"/>
          </w:pPr>
          <w:r>
            <w:t xml:space="preserve">Tisdale, S. , Nelson, W., &amp; Baton, J. (1995). </w:t>
          </w:r>
          <w:r>
            <w:rPr>
              <w:i/>
            </w:rPr>
            <w:t xml:space="preserve">Soil Fertility and Fertilizers, </w:t>
          </w:r>
          <w:r>
            <w:t>. Macmillan Publishing Company.</w:t>
          </w:r>
        </w:p>
        <w:p w14:paraId="6E948940" w14:textId="77777777" w:rsidR="005E3F83" w:rsidRDefault="005E3F83" w:rsidP="005E3F83">
          <w:pPr>
            <w:pStyle w:val="mythesis"/>
            <w:divId w:val="489296283"/>
          </w:pPr>
          <w:r>
            <w:t xml:space="preserve">Tobar, R., Azcon, R., &amp; Barea, J. M. (1994). Improved nitrogen uptake and transport from </w:t>
          </w:r>
          <w:r>
            <w:rPr>
              <w:vertAlign w:val="superscript"/>
            </w:rPr>
            <w:t>15</w:t>
          </w:r>
          <w:r>
            <w:t xml:space="preserve"> N-labelled nitrate by external hyphae of arbuscular mycorrhiza under water-stressed conditions. </w:t>
          </w:r>
          <w:r>
            <w:rPr>
              <w:i/>
            </w:rPr>
            <w:t>New Phytologist</w:t>
          </w:r>
          <w:r>
            <w:t xml:space="preserve">, </w:t>
          </w:r>
          <w:r>
            <w:rPr>
              <w:i/>
            </w:rPr>
            <w:t>126</w:t>
          </w:r>
          <w:r>
            <w:t>(1). https://doi.org/10.1111/j.1469-8137.1994.tb07536.x</w:t>
          </w:r>
        </w:p>
        <w:p w14:paraId="53626093" w14:textId="77777777" w:rsidR="005E3F83" w:rsidRDefault="005E3F83" w:rsidP="005E3F83">
          <w:pPr>
            <w:pStyle w:val="mythesis"/>
            <w:divId w:val="2116634288"/>
          </w:pPr>
          <w:r>
            <w:t xml:space="preserve">Toth, R., Toth, D., Starke, D., &amp; Smith, D. R. (1990a). Vesicular-arbuscular mycorrhizal colonization in Zea mays affected by breeding for resistance to fungal pathogens. </w:t>
          </w:r>
          <w:r>
            <w:rPr>
              <w:i/>
            </w:rPr>
            <w:t>Canadian Journal of Botany</w:t>
          </w:r>
          <w:r>
            <w:t xml:space="preserve">, </w:t>
          </w:r>
          <w:r>
            <w:rPr>
              <w:i/>
            </w:rPr>
            <w:t>68</w:t>
          </w:r>
          <w:r>
            <w:t>(5), 1039–1044. https://doi.org/10.1139/b90-131</w:t>
          </w:r>
        </w:p>
        <w:p w14:paraId="001FB8DB" w14:textId="77777777" w:rsidR="005E3F83" w:rsidRDefault="005E3F83" w:rsidP="005E3F83">
          <w:pPr>
            <w:pStyle w:val="mythesis"/>
            <w:divId w:val="2015567426"/>
          </w:pPr>
          <w:r>
            <w:lastRenderedPageBreak/>
            <w:t xml:space="preserve">Toth, R., Toth, D., Starke, D., &amp; Smith, D. R. (1990b). Vesicular–arbuscular mycorrhizal colonization in </w:t>
          </w:r>
          <w:r>
            <w:rPr>
              <w:i/>
            </w:rPr>
            <w:t>Zea mays</w:t>
          </w:r>
          <w:r>
            <w:t xml:space="preserve"> affected by breeding for resistance to fungal pathogens. </w:t>
          </w:r>
          <w:r>
            <w:rPr>
              <w:i/>
            </w:rPr>
            <w:t>Canadian Journal of Botany</w:t>
          </w:r>
          <w:r>
            <w:t xml:space="preserve">, </w:t>
          </w:r>
          <w:r>
            <w:rPr>
              <w:i/>
            </w:rPr>
            <w:t>68</w:t>
          </w:r>
          <w:r>
            <w:t>(5). https://doi.org/10.1139/b90-131</w:t>
          </w:r>
        </w:p>
        <w:p w14:paraId="5C0347AE" w14:textId="77777777" w:rsidR="005E3F83" w:rsidRDefault="005E3F83" w:rsidP="005E3F83">
          <w:pPr>
            <w:pStyle w:val="mythesis"/>
            <w:divId w:val="1824396620"/>
          </w:pPr>
          <w:r>
            <w:t xml:space="preserve">Toussaint, J.-P. (2007). Investigating physiological changes in the aerial parts of AM plants: what do we know and where should we be heading? </w:t>
          </w:r>
          <w:r>
            <w:rPr>
              <w:i/>
            </w:rPr>
            <w:t>Mycorrhiza</w:t>
          </w:r>
          <w:r>
            <w:t xml:space="preserve">, </w:t>
          </w:r>
          <w:r>
            <w:rPr>
              <w:i/>
            </w:rPr>
            <w:t>17</w:t>
          </w:r>
          <w:r>
            <w:t>(4). https://doi.org/10.1007/s00572-007-0133-6</w:t>
          </w:r>
        </w:p>
        <w:p w14:paraId="04E1B8CE" w14:textId="77777777" w:rsidR="005E3F83" w:rsidRDefault="005E3F83" w:rsidP="005E3F83">
          <w:pPr>
            <w:pStyle w:val="mythesis"/>
            <w:divId w:val="632641057"/>
          </w:pPr>
          <w:r>
            <w:t xml:space="preserve">Toussaint, J.-P., Smith, F. A., &amp; Smith, S. E. (2007). Arbuscular mycorrhizal fungi can induce the production of phytochemicals in sweet basil irrespective of phosphorus nutrition. </w:t>
          </w:r>
          <w:r>
            <w:rPr>
              <w:i/>
            </w:rPr>
            <w:t>Mycorrhiza</w:t>
          </w:r>
          <w:r>
            <w:t xml:space="preserve">, </w:t>
          </w:r>
          <w:r>
            <w:rPr>
              <w:i/>
            </w:rPr>
            <w:t>17</w:t>
          </w:r>
          <w:r>
            <w:t>(4). https://doi.org/10.1007/s00572-006-0104-3</w:t>
          </w:r>
        </w:p>
        <w:p w14:paraId="627B697C" w14:textId="77777777" w:rsidR="005E3F83" w:rsidRDefault="005E3F83" w:rsidP="005E3F83">
          <w:pPr>
            <w:pStyle w:val="mythesis"/>
            <w:divId w:val="1173882949"/>
          </w:pPr>
          <w:r>
            <w:t xml:space="preserve">Toussaint, J.-P., St-Arnaud, M., &amp; Charest, C. (2004). Nitrogen transfer and assimilation between the arbuscular mycorrhizal fungus </w:t>
          </w:r>
          <w:r>
            <w:rPr>
              <w:i/>
            </w:rPr>
            <w:t>Glomus intraradices</w:t>
          </w:r>
          <w:r>
            <w:t xml:space="preserve"> Schenck &amp;amp; Smith and Ri T-DNA roots of </w:t>
          </w:r>
          <w:r>
            <w:rPr>
              <w:i/>
            </w:rPr>
            <w:t>Daucus carota</w:t>
          </w:r>
          <w:r>
            <w:t xml:space="preserve"> L. in an in vitro compartmented system. </w:t>
          </w:r>
          <w:r>
            <w:rPr>
              <w:i/>
            </w:rPr>
            <w:t>Canadian Journal of Microbiology</w:t>
          </w:r>
          <w:r>
            <w:t xml:space="preserve">, </w:t>
          </w:r>
          <w:r>
            <w:rPr>
              <w:i/>
            </w:rPr>
            <w:t>50</w:t>
          </w:r>
          <w:r>
            <w:t>(4). https://doi.org/10.1139/w04-009</w:t>
          </w:r>
        </w:p>
        <w:p w14:paraId="338AB228" w14:textId="77777777" w:rsidR="005E3F83" w:rsidRDefault="005E3F83" w:rsidP="005E3F83">
          <w:pPr>
            <w:pStyle w:val="mythesis"/>
            <w:divId w:val="1157724022"/>
          </w:pPr>
          <w:r>
            <w:t xml:space="preserve">Treseder, K. K. (2013a). The extent of mycorrhizal colonization of roots and its influence on plant growth and phosphorus content. </w:t>
          </w:r>
          <w:r>
            <w:rPr>
              <w:i/>
            </w:rPr>
            <w:t>Plant Soil</w:t>
          </w:r>
          <w:r>
            <w:t xml:space="preserve">, </w:t>
          </w:r>
          <w:r>
            <w:rPr>
              <w:i/>
            </w:rPr>
            <w:t>371</w:t>
          </w:r>
          <w:r>
            <w:t>, 1–13. https://doi.org/10.1007/s11104-013-1681-5</w:t>
          </w:r>
        </w:p>
        <w:p w14:paraId="6AE188E3" w14:textId="77777777" w:rsidR="005E3F83" w:rsidRDefault="005E3F83" w:rsidP="005E3F83">
          <w:pPr>
            <w:pStyle w:val="mythesis"/>
            <w:divId w:val="372580891"/>
          </w:pPr>
          <w:r>
            <w:t xml:space="preserve">Treseder, K. K. (2013b). The extent of mycorrhizal colonization of roots and its influence on plant growth and phosphorus content. In </w:t>
          </w:r>
          <w:r>
            <w:rPr>
              <w:i/>
            </w:rPr>
            <w:t>Plant and Soil</w:t>
          </w:r>
          <w:r>
            <w:t xml:space="preserve"> (Vol. 371, Issues 1–2, pp. 1–13). https://doi.org/10.1007/s11104-013-1681-5</w:t>
          </w:r>
        </w:p>
        <w:p w14:paraId="694D5CEE" w14:textId="77777777" w:rsidR="005E3F83" w:rsidRDefault="005E3F83" w:rsidP="005E3F83">
          <w:pPr>
            <w:pStyle w:val="mythesis"/>
            <w:divId w:val="1863937353"/>
          </w:pPr>
          <w:r>
            <w:t xml:space="preserve">Tsukada, K., Takahashi, K., &amp; Nabeta, K. (2010). Biosynthesis of jasmonic acid in a plant pathogenic fungus, Lasiodiplodia theobromae. </w:t>
          </w:r>
          <w:r>
            <w:rPr>
              <w:i/>
            </w:rPr>
            <w:t>Phytochemistry</w:t>
          </w:r>
          <w:r>
            <w:t xml:space="preserve">, </w:t>
          </w:r>
          <w:r>
            <w:rPr>
              <w:i/>
            </w:rPr>
            <w:t>71</w:t>
          </w:r>
          <w:r>
            <w:t>(17–18). https://doi.org/10.1016/j.phytochem.2010.09.013</w:t>
          </w:r>
        </w:p>
        <w:p w14:paraId="57F30906" w14:textId="77777777" w:rsidR="005E3F83" w:rsidRDefault="005E3F83" w:rsidP="005E3F83">
          <w:pPr>
            <w:pStyle w:val="mythesis"/>
            <w:divId w:val="743721489"/>
          </w:pPr>
          <w:r>
            <w:t xml:space="preserve">Uslan, U., &amp; Nur Jannah. (2020). Genetic diversity of local corn (Zea mays) cultivars from South Amarasi, Kupang District, Indonesia by Inter Simple Sequence Repeats marker. </w:t>
          </w:r>
          <w:r>
            <w:rPr>
              <w:i/>
            </w:rPr>
            <w:lastRenderedPageBreak/>
            <w:t>Biodiversitas Journal of Biological Diversity</w:t>
          </w:r>
          <w:r>
            <w:t xml:space="preserve">, </w:t>
          </w:r>
          <w:r>
            <w:rPr>
              <w:i/>
            </w:rPr>
            <w:t>21</w:t>
          </w:r>
          <w:r>
            <w:t>(3). https://doi.org/10.13057/biodiv/d210348</w:t>
          </w:r>
        </w:p>
        <w:p w14:paraId="21AE20F8" w14:textId="77777777" w:rsidR="005E3F83" w:rsidRDefault="005E3F83" w:rsidP="005E3F83">
          <w:pPr>
            <w:pStyle w:val="mythesis"/>
            <w:divId w:val="479268951"/>
          </w:pPr>
          <w:r>
            <w:t xml:space="preserve">Valle EM, Boggio SB, &amp; Heldt HW. (1998). Free amino acid composition of phloem sap and growing fruit of Lycopersicon esculentum. . </w:t>
          </w:r>
          <w:r>
            <w:rPr>
              <w:i/>
            </w:rPr>
            <w:t>Plant and Cell Physiology, 39, 458–461.</w:t>
          </w:r>
          <w:r>
            <w:t xml:space="preserve">, </w:t>
          </w:r>
          <w:r>
            <w:rPr>
              <w:i/>
            </w:rPr>
            <w:t>39</w:t>
          </w:r>
          <w:r>
            <w:t>, 458–461.</w:t>
          </w:r>
        </w:p>
        <w:p w14:paraId="30339240" w14:textId="77777777" w:rsidR="005E3F83" w:rsidRDefault="005E3F83" w:rsidP="005E3F83">
          <w:pPr>
            <w:pStyle w:val="mythesis"/>
            <w:divId w:val="1749617663"/>
          </w:pPr>
          <w:r>
            <w:t xml:space="preserve">van der Heijden, M. G. A., &amp; Scheublin, T. R. (2007). Functional traits in mycorrhizal ecology: their use for predicting the impact of arbuscular mycorrhizal fungal communities on plant growth and ecosystem functioning. </w:t>
          </w:r>
          <w:r>
            <w:rPr>
              <w:i/>
            </w:rPr>
            <w:t>New Phytologist</w:t>
          </w:r>
          <w:r>
            <w:t xml:space="preserve">, </w:t>
          </w:r>
          <w:r>
            <w:rPr>
              <w:i/>
            </w:rPr>
            <w:t>174</w:t>
          </w:r>
          <w:r>
            <w:t>(2). https://doi.org/10.1111/j.1469-8137.2007.02041.x</w:t>
          </w:r>
        </w:p>
        <w:p w14:paraId="457E7804" w14:textId="77777777" w:rsidR="005E3F83" w:rsidRDefault="005E3F83" w:rsidP="005E3F83">
          <w:pPr>
            <w:pStyle w:val="mythesis"/>
            <w:divId w:val="823666778"/>
          </w:pPr>
          <w:r>
            <w:t xml:space="preserve">van der Heijden, M. G. A., Streitwolf-Engel, R., Riedl, R., Siegrist, S., Neudecker, A., Ineichen, K., Boller, T., Wiemken, A., &amp; Sanders, I. R. (2006). The mycorrhizal contribution to plant productivity, plant nutrition and soil structure in experimental grassland. </w:t>
          </w:r>
          <w:r>
            <w:rPr>
              <w:i/>
            </w:rPr>
            <w:t>New Phytologist</w:t>
          </w:r>
          <w:r>
            <w:t xml:space="preserve">, </w:t>
          </w:r>
          <w:r>
            <w:rPr>
              <w:i/>
            </w:rPr>
            <w:t>172</w:t>
          </w:r>
          <w:r>
            <w:t>(4), 739–752. https://doi.org/10.1111/j.1469-8137.2006.01862.x</w:t>
          </w:r>
        </w:p>
        <w:p w14:paraId="1FCF1855" w14:textId="77777777" w:rsidR="005E3F83" w:rsidRDefault="005E3F83" w:rsidP="005E3F83">
          <w:pPr>
            <w:pStyle w:val="mythesis"/>
            <w:divId w:val="730202485"/>
          </w:pPr>
          <w:r>
            <w:t xml:space="preserve">van Hulten, M., Pelser, M., van Loon, L. C., Pieterse, C. M. J., &amp; Ton, J. (2006). Costs and benefits of priming for defense in Arabidopsis. </w:t>
          </w:r>
          <w:r>
            <w:rPr>
              <w:i/>
            </w:rPr>
            <w:t>Proceedings of the National Academy of Sciences</w:t>
          </w:r>
          <w:r>
            <w:t xml:space="preserve">, </w:t>
          </w:r>
          <w:r>
            <w:rPr>
              <w:i/>
            </w:rPr>
            <w:t>103</w:t>
          </w:r>
          <w:r>
            <w:t>(14). https://doi.org/10.1073/pnas.0510213103</w:t>
          </w:r>
        </w:p>
        <w:p w14:paraId="66E5376A" w14:textId="77777777" w:rsidR="005E3F83" w:rsidRDefault="005E3F83" w:rsidP="005E3F83">
          <w:pPr>
            <w:pStyle w:val="mythesis"/>
            <w:divId w:val="2047175540"/>
          </w:pPr>
          <w:r>
            <w:t xml:space="preserve">van Loon, L. C., Rep, M., &amp; Pieterse, C. M. J. (2006). Significance of Inducible Defense-related Proteins in Infected Plants. </w:t>
          </w:r>
          <w:r>
            <w:rPr>
              <w:i/>
            </w:rPr>
            <w:t>Annual Review of Phytopathology</w:t>
          </w:r>
          <w:r>
            <w:t xml:space="preserve">, </w:t>
          </w:r>
          <w:r>
            <w:rPr>
              <w:i/>
            </w:rPr>
            <w:t>44</w:t>
          </w:r>
          <w:r>
            <w:t>(1). https://doi.org/10.1146/annurev.phyto.44.070505.143425</w:t>
          </w:r>
        </w:p>
        <w:p w14:paraId="028BC2BD" w14:textId="77777777" w:rsidR="005E3F83" w:rsidRDefault="005E3F83" w:rsidP="005E3F83">
          <w:pPr>
            <w:pStyle w:val="mythesis"/>
            <w:divId w:val="1876306698"/>
          </w:pPr>
          <w:r>
            <w:t xml:space="preserve">van Wees, S. C., van der Ent, S., &amp; Pieterse, C. M. (2008). Plant immune responses triggered by beneficial microbes. </w:t>
          </w:r>
          <w:r>
            <w:rPr>
              <w:i/>
            </w:rPr>
            <w:t>Current Opinion in Plant Biology</w:t>
          </w:r>
          <w:r>
            <w:t xml:space="preserve">, </w:t>
          </w:r>
          <w:r>
            <w:rPr>
              <w:i/>
            </w:rPr>
            <w:t>11</w:t>
          </w:r>
          <w:r>
            <w:t>(4). https://doi.org/10.1016/j.pbi.2008.05.005</w:t>
          </w:r>
        </w:p>
        <w:p w14:paraId="46BA8F59" w14:textId="77777777" w:rsidR="005E3F83" w:rsidRDefault="005E3F83" w:rsidP="005E3F83">
          <w:pPr>
            <w:pStyle w:val="mythesis"/>
            <w:divId w:val="1055930904"/>
          </w:pPr>
          <w:r>
            <w:lastRenderedPageBreak/>
            <w:t xml:space="preserve">Veerabhadraswamy, A. L., &amp; &amp; Garamoalli, R. H. (2011). </w:t>
          </w:r>
          <w:r>
            <w:rPr>
              <w:i/>
            </w:rPr>
            <w:t xml:space="preserve">Effect of Arbuscular Mycorrhizal Fungi in the Management of Black Bundle Disease of Maize caused by Cephalosporium acremonium. </w:t>
          </w:r>
          <w:r>
            <w:t>.</w:t>
          </w:r>
        </w:p>
        <w:p w14:paraId="7E1A1622" w14:textId="77777777" w:rsidR="005E3F83" w:rsidRDefault="005E3F83" w:rsidP="005E3F83">
          <w:pPr>
            <w:pStyle w:val="mythesis"/>
            <w:divId w:val="1251548477"/>
          </w:pPr>
          <w:r>
            <w:t xml:space="preserve">Venditti, A., &amp; Bianco, A. (2020). Sulfur-containing Secondary Metabolites as Neuroprotective Agents. </w:t>
          </w:r>
          <w:r>
            <w:rPr>
              <w:i/>
            </w:rPr>
            <w:t>Current Medicinal Chemistry</w:t>
          </w:r>
          <w:r>
            <w:t xml:space="preserve">, </w:t>
          </w:r>
          <w:r>
            <w:rPr>
              <w:i/>
            </w:rPr>
            <w:t>27</w:t>
          </w:r>
          <w:r>
            <w:t>(26). https://doi.org/10.2174/0929867325666180912105036</w:t>
          </w:r>
        </w:p>
        <w:p w14:paraId="49D00E29" w14:textId="77777777" w:rsidR="005E3F83" w:rsidRDefault="005E3F83" w:rsidP="005E3F83">
          <w:pPr>
            <w:pStyle w:val="mythesis"/>
            <w:divId w:val="732654964"/>
          </w:pPr>
          <w:r>
            <w:t xml:space="preserve">Verhoeven, J. T. A., Koerselman, W., &amp; Meuleman, A. F. M. (1996). Nitrogen- or phosphorus-limited growth in herbaceous, wet vegetation: Relations with atmospheric inputs and management regimes. In </w:t>
          </w:r>
          <w:r>
            <w:rPr>
              <w:i/>
            </w:rPr>
            <w:t>Trends in Ecology and Evolution</w:t>
          </w:r>
          <w:r>
            <w:t xml:space="preserve"> (Vol. 11, Issue 12, pp. 494–497). Elsevier Current Trends. https://doi.org/10.1016/S0169-5347(96)10055-0</w:t>
          </w:r>
        </w:p>
        <w:p w14:paraId="4DBC25D1" w14:textId="77777777" w:rsidR="005E3F83" w:rsidRDefault="005E3F83" w:rsidP="005E3F83">
          <w:pPr>
            <w:pStyle w:val="mythesis"/>
            <w:divId w:val="754012034"/>
          </w:pPr>
          <w:r>
            <w:t xml:space="preserve">Verma LN. (1993). </w:t>
          </w:r>
          <w:r>
            <w:rPr>
              <w:i/>
            </w:rPr>
            <w:t>Biofertilizer in agriculture. In: P. K. Thampan (ed.) Organics in soil health and crop production. Peekay Tree Crops Development Foundation,</w:t>
          </w:r>
          <w:r>
            <w:t xml:space="preserve"> (pp. 152–183).</w:t>
          </w:r>
        </w:p>
        <w:p w14:paraId="4603A47B" w14:textId="77777777" w:rsidR="005E3F83" w:rsidRDefault="005E3F83" w:rsidP="005E3F83">
          <w:pPr>
            <w:pStyle w:val="mythesis"/>
            <w:divId w:val="1200974696"/>
          </w:pPr>
          <w:r>
            <w:t xml:space="preserve">Vestberg, M., Kahiluoto, H., &amp; Wallius, E. (2011). Arbuscular mycorrhizal fungal diversity and species dominance in a temperate soil with long-term conventional and low-input cropping systems. </w:t>
          </w:r>
          <w:r>
            <w:rPr>
              <w:i/>
            </w:rPr>
            <w:t>Mycorrhiza</w:t>
          </w:r>
          <w:r>
            <w:t xml:space="preserve">, </w:t>
          </w:r>
          <w:r>
            <w:rPr>
              <w:i/>
            </w:rPr>
            <w:t>21</w:t>
          </w:r>
          <w:r>
            <w:t>(5). https://doi.org/10.1007/s00572-010-0346-y</w:t>
          </w:r>
        </w:p>
        <w:p w14:paraId="14C9EF8F" w14:textId="77777777" w:rsidR="005E3F83" w:rsidRDefault="005E3F83" w:rsidP="005E3F83">
          <w:pPr>
            <w:pStyle w:val="mythesis"/>
            <w:divId w:val="494077559"/>
          </w:pPr>
          <w:r>
            <w:t xml:space="preserve">Viebahn, M., Veenman, C., Wernars, K., Loon, L. C., Smit, E., &amp; Bakker, P. A. H. M. (2005). Assessment of differences in ascomycete communities in the rhizosphere of field-grown wheat and potato. </w:t>
          </w:r>
          <w:r>
            <w:rPr>
              <w:i/>
            </w:rPr>
            <w:t>FEMS Microbiology Ecology</w:t>
          </w:r>
          <w:r>
            <w:t xml:space="preserve">, </w:t>
          </w:r>
          <w:r>
            <w:rPr>
              <w:i/>
            </w:rPr>
            <w:t>53</w:t>
          </w:r>
          <w:r>
            <w:t>(2). https://doi.org/10.1016/j.femsec.2004.12.014</w:t>
          </w:r>
        </w:p>
        <w:p w14:paraId="21F7F181" w14:textId="77777777" w:rsidR="005E3F83" w:rsidRDefault="005E3F83" w:rsidP="005E3F83">
          <w:pPr>
            <w:pStyle w:val="mythesis"/>
            <w:divId w:val="302394274"/>
          </w:pPr>
          <w:r>
            <w:t xml:space="preserve">Vierheilig  H, B. B. A. C. P. M. P. Y. (1998). </w:t>
          </w:r>
          <w:r>
            <w:rPr>
              <w:i/>
            </w:rPr>
            <w:t>Flavonoids and arbuscular mycorrhizal fungi</w:t>
          </w:r>
          <w:r>
            <w:t>.</w:t>
          </w:r>
        </w:p>
        <w:p w14:paraId="3FF8B050" w14:textId="77777777" w:rsidR="005E3F83" w:rsidRDefault="005E3F83" w:rsidP="005E3F83">
          <w:pPr>
            <w:pStyle w:val="mythesis"/>
            <w:divId w:val="1810785477"/>
          </w:pPr>
          <w:r>
            <w:lastRenderedPageBreak/>
            <w:t xml:space="preserve">Vierheilig, H. (2004). Regulatory mechanisms during the plant &amp;#150; arbuscular mycorrhizal fungus interaction. </w:t>
          </w:r>
          <w:r>
            <w:rPr>
              <w:i/>
            </w:rPr>
            <w:t>Canadian Journal of Botany</w:t>
          </w:r>
          <w:r>
            <w:t xml:space="preserve">, </w:t>
          </w:r>
          <w:r>
            <w:rPr>
              <w:i/>
            </w:rPr>
            <w:t>82</w:t>
          </w:r>
          <w:r>
            <w:t>(8). https://doi.org/10.1139/b04-015</w:t>
          </w:r>
        </w:p>
        <w:p w14:paraId="4290CDB8" w14:textId="77777777" w:rsidR="005E3F83" w:rsidRDefault="005E3F83" w:rsidP="005E3F83">
          <w:pPr>
            <w:pStyle w:val="mythesis"/>
            <w:divId w:val="108740324"/>
          </w:pPr>
          <w:r>
            <w:t xml:space="preserve">Vierheilig, H., &amp; Piché, Y. (2002a). </w:t>
          </w:r>
          <w:r>
            <w:rPr>
              <w:i/>
            </w:rPr>
            <w:t>Signalling in Arbuscular Mycorrhiza: Facts and Hypotheses</w:t>
          </w:r>
          <w:r>
            <w:t xml:space="preserve"> (Vol. 505, pp. 23–39). https://doi.org/10.1007/978-1-4757-5235-9_3</w:t>
          </w:r>
        </w:p>
        <w:p w14:paraId="4830F1D2" w14:textId="77777777" w:rsidR="005E3F83" w:rsidRDefault="005E3F83" w:rsidP="005E3F83">
          <w:pPr>
            <w:pStyle w:val="mythesis"/>
            <w:divId w:val="1153524445"/>
          </w:pPr>
          <w:r>
            <w:t xml:space="preserve">Vierheilig, H., &amp; Piché, Y. (2002b). </w:t>
          </w:r>
          <w:r>
            <w:rPr>
              <w:i/>
            </w:rPr>
            <w:t>Signalling in Arbuscular Mycorrhiza: Facts and Hypotheses</w:t>
          </w:r>
          <w:r>
            <w:t>. https://doi.org/10.1007/978-1-4757-5235-9_3</w:t>
          </w:r>
        </w:p>
        <w:p w14:paraId="18B9E74C" w14:textId="77777777" w:rsidR="005E3F83" w:rsidRDefault="005E3F83" w:rsidP="005E3F83">
          <w:pPr>
            <w:pStyle w:val="mythesis"/>
            <w:divId w:val="1586114596"/>
          </w:pPr>
          <w:r>
            <w:t xml:space="preserve">Vijayan, K. (2005). Inter Simple Sequence Repeat (ISSR) Polymorphism and Its Application in Mulberry Genome Analysis [Review] Inter Simple Sequence Repeat (ISSR) Polymorphism and Its Application in Mulberry Genome Analysis. In </w:t>
          </w:r>
          <w:r>
            <w:rPr>
              <w:i/>
            </w:rPr>
            <w:t>Int. J. Indust. Entomol</w:t>
          </w:r>
          <w:r>
            <w:t xml:space="preserve"> (Vol. 10, Issue 2). https://www.researchgate.net/publication/257657433</w:t>
          </w:r>
        </w:p>
        <w:p w14:paraId="2EEB1891" w14:textId="77777777" w:rsidR="005E3F83" w:rsidRDefault="005E3F83" w:rsidP="005E3F83">
          <w:pPr>
            <w:pStyle w:val="mythesis"/>
            <w:divId w:val="1582449397"/>
          </w:pPr>
          <w:r>
            <w:t xml:space="preserve">Vogt, T. (2010). Phenylpropanoid Biosynthesis. </w:t>
          </w:r>
          <w:r>
            <w:rPr>
              <w:i/>
            </w:rPr>
            <w:t>Molecular Plant</w:t>
          </w:r>
          <w:r>
            <w:t xml:space="preserve">, </w:t>
          </w:r>
          <w:r>
            <w:rPr>
              <w:i/>
            </w:rPr>
            <w:t>3</w:t>
          </w:r>
          <w:r>
            <w:t>(1). https://doi.org/10.1093/mp/ssp106</w:t>
          </w:r>
        </w:p>
        <w:p w14:paraId="0C1A30DF" w14:textId="77777777" w:rsidR="005E3F83" w:rsidRDefault="005E3F83" w:rsidP="005E3F83">
          <w:pPr>
            <w:pStyle w:val="mythesis"/>
            <w:divId w:val="1051226678"/>
          </w:pPr>
          <w:r>
            <w:t xml:space="preserve">Volpin, H., Elkind, Y., Okon, Y., &amp; Kapulnik, Y. (1994). A Vesicular Arbuscular Mycorrhizal Fungus (Glomus intraradix) Induces a Defense Response in Alfalfa Roots. </w:t>
          </w:r>
          <w:r>
            <w:rPr>
              <w:i/>
            </w:rPr>
            <w:t>Plant Physiology</w:t>
          </w:r>
          <w:r>
            <w:t xml:space="preserve">, </w:t>
          </w:r>
          <w:r>
            <w:rPr>
              <w:i/>
            </w:rPr>
            <w:t>104</w:t>
          </w:r>
          <w:r>
            <w:t>(2). https://doi.org/10.1104/pp.104.2.683</w:t>
          </w:r>
        </w:p>
        <w:p w14:paraId="63D18558" w14:textId="77777777" w:rsidR="005E3F83" w:rsidRDefault="005E3F83" w:rsidP="005E3F83">
          <w:pPr>
            <w:pStyle w:val="mythesis"/>
            <w:divId w:val="900095548"/>
          </w:pPr>
          <w:r>
            <w:t xml:space="preserve">Vranová, E., Coman, D., &amp; Gruissem, W. (2012). Structure and Dynamics of the Isoprenoid Pathway Network. </w:t>
          </w:r>
          <w:r>
            <w:rPr>
              <w:i/>
            </w:rPr>
            <w:t>Molecular Plant</w:t>
          </w:r>
          <w:r>
            <w:t xml:space="preserve">, </w:t>
          </w:r>
          <w:r>
            <w:rPr>
              <w:i/>
            </w:rPr>
            <w:t>5</w:t>
          </w:r>
          <w:r>
            <w:t>(2). https://doi.org/10.1093/mp/sss015</w:t>
          </w:r>
        </w:p>
        <w:p w14:paraId="77F572DB" w14:textId="77777777" w:rsidR="005E3F83" w:rsidRDefault="005E3F83" w:rsidP="005E3F83">
          <w:pPr>
            <w:pStyle w:val="mythesis"/>
            <w:divId w:val="1439787927"/>
          </w:pPr>
          <w:r>
            <w:t xml:space="preserve">Walder, F., &amp; van der Heijden, M. G. A. (2015a). Regulation of resource exchange in the arbuscular mycorrhizal symbiosis. In </w:t>
          </w:r>
          <w:r>
            <w:rPr>
              <w:i/>
            </w:rPr>
            <w:t>Nature Plants</w:t>
          </w:r>
          <w:r>
            <w:t xml:space="preserve"> (Vol. 1, pp. 1–7). Palgrave Macmillan Ltd. https://doi.org/10.1038/nplants.2015.159</w:t>
          </w:r>
        </w:p>
        <w:p w14:paraId="1E443F5C" w14:textId="77777777" w:rsidR="005E3F83" w:rsidRDefault="005E3F83" w:rsidP="005E3F83">
          <w:pPr>
            <w:pStyle w:val="mythesis"/>
            <w:divId w:val="968168576"/>
          </w:pPr>
          <w:r>
            <w:lastRenderedPageBreak/>
            <w:t xml:space="preserve">Walder, F., &amp; van der Heijden, M. G. A. (2015b). Regulation of resource exchange in the arbuscular mycorrhizal symbiosis. In </w:t>
          </w:r>
          <w:r>
            <w:rPr>
              <w:i/>
            </w:rPr>
            <w:t>Nature Plants</w:t>
          </w:r>
          <w:r>
            <w:t xml:space="preserve"> (Vol. 1). Palgrave Macmillan Ltd. https://doi.org/10.1038/nplants.2015.159</w:t>
          </w:r>
        </w:p>
        <w:p w14:paraId="3B3F7361" w14:textId="77777777" w:rsidR="005E3F83" w:rsidRDefault="005E3F83" w:rsidP="005E3F83">
          <w:pPr>
            <w:pStyle w:val="mythesis"/>
            <w:divId w:val="2126652561"/>
          </w:pPr>
          <w:r>
            <w:t xml:space="preserve">Walia, H., Wilson, C., Condamine, P., Liu, X., Ismail, A. M., &amp; Close, T. J. (2007). Large-scale expression profiling and physiological characterization of jasmonic acid-mediated adaptation of barley to salinity stress. </w:t>
          </w:r>
          <w:r>
            <w:rPr>
              <w:i/>
            </w:rPr>
            <w:t>Plant, Cell and Environment</w:t>
          </w:r>
          <w:r>
            <w:t xml:space="preserve">, </w:t>
          </w:r>
          <w:r>
            <w:rPr>
              <w:i/>
            </w:rPr>
            <w:t>30</w:t>
          </w:r>
          <w:r>
            <w:t>(4), 410–421. https://doi.org/10.1111/j.1365-3040.2006.01628.x</w:t>
          </w:r>
        </w:p>
        <w:p w14:paraId="0C3A2A9B" w14:textId="77777777" w:rsidR="005E3F83" w:rsidRDefault="005E3F83" w:rsidP="005E3F83">
          <w:pPr>
            <w:pStyle w:val="mythesis"/>
            <w:divId w:val="1372074596"/>
          </w:pPr>
          <w:r>
            <w:t xml:space="preserve">Walker, C., &amp; Schler, A. (2004). Nomenclatural Clarifications and New Taxa in the Glomeromycota. </w:t>
          </w:r>
          <w:r>
            <w:rPr>
              <w:i/>
            </w:rPr>
            <w:t>Mycological Research</w:t>
          </w:r>
          <w:r>
            <w:t xml:space="preserve">, </w:t>
          </w:r>
          <w:r>
            <w:rPr>
              <w:i/>
            </w:rPr>
            <w:t>108</w:t>
          </w:r>
          <w:r>
            <w:t>(9), 981–982. https://doi.org/10.1017/S0953756204231173</w:t>
          </w:r>
        </w:p>
        <w:p w14:paraId="2E813209" w14:textId="77777777" w:rsidR="005E3F83" w:rsidRDefault="005E3F83" w:rsidP="005E3F83">
          <w:pPr>
            <w:pStyle w:val="mythesis"/>
            <w:divId w:val="1083255900"/>
          </w:pPr>
          <w:r>
            <w:t xml:space="preserve">Walker, E. H., Pacold, M. E., Perisic, O., Stephens, L., Hawkins, P. T., Wymann, M. P., &amp; Williams, R. L. (2000). Structural Determinants of Phosphoinositide 3-Kinase Inhibition by Wortmannin, LY294002, Quercetin, Myricetin, and Staurosporine. </w:t>
          </w:r>
          <w:r>
            <w:rPr>
              <w:i/>
            </w:rPr>
            <w:t>Molecular Cell</w:t>
          </w:r>
          <w:r>
            <w:t xml:space="preserve">, </w:t>
          </w:r>
          <w:r>
            <w:rPr>
              <w:i/>
            </w:rPr>
            <w:t>6</w:t>
          </w:r>
          <w:r>
            <w:t>(4). https://doi.org/10.1016/S1097-2765(05)00089-4</w:t>
          </w:r>
        </w:p>
        <w:p w14:paraId="2D693FD0" w14:textId="77777777" w:rsidR="005E3F83" w:rsidRDefault="005E3F83" w:rsidP="005E3F83">
          <w:pPr>
            <w:pStyle w:val="mythesis"/>
            <w:divId w:val="1362129755"/>
          </w:pPr>
          <w:r>
            <w:t xml:space="preserve">Waller, G. R., &amp; Nowacki, E. K. (1978). </w:t>
          </w:r>
          <w:r>
            <w:rPr>
              <w:i/>
            </w:rPr>
            <w:t>Alkaloid Biology and Metabolism in Plants</w:t>
          </w:r>
          <w:r>
            <w:t>. Springer US. https://doi.org/10.1007/978-1-4684-0772-3</w:t>
          </w:r>
        </w:p>
        <w:p w14:paraId="39C1DF69" w14:textId="77777777" w:rsidR="005E3F83" w:rsidRDefault="005E3F83" w:rsidP="005E3F83">
          <w:pPr>
            <w:pStyle w:val="mythesis"/>
            <w:divId w:val="458307442"/>
          </w:pPr>
          <w:r>
            <w:t xml:space="preserve">Walters, D., &amp; Heil, M. (2007). Costs and trade-offs associated with induced resistance. </w:t>
          </w:r>
          <w:r>
            <w:rPr>
              <w:i/>
            </w:rPr>
            <w:t>Physiological and Molecular Plant Pathology</w:t>
          </w:r>
          <w:r>
            <w:t xml:space="preserve">, </w:t>
          </w:r>
          <w:r>
            <w:rPr>
              <w:i/>
            </w:rPr>
            <w:t>71</w:t>
          </w:r>
          <w:r>
            <w:t>(1–3). https://doi.org/10.1016/j.pmpp.2007.09.008</w:t>
          </w:r>
        </w:p>
        <w:p w14:paraId="5DA4989C" w14:textId="77777777" w:rsidR="005E3F83" w:rsidRDefault="005E3F83" w:rsidP="005E3F83">
          <w:pPr>
            <w:pStyle w:val="mythesis"/>
            <w:divId w:val="691610251"/>
          </w:pPr>
          <w:r>
            <w:t xml:space="preserve">Wang, D., Pajerowska-Mukhtar, K., Culler, A. H., &amp; Dong, X. (2007). Salicylic Acid Inhibits Pathogen Growth in Plants through Repression of the Auxin Signaling Pathway. </w:t>
          </w:r>
          <w:r>
            <w:rPr>
              <w:i/>
            </w:rPr>
            <w:t>Current Biology</w:t>
          </w:r>
          <w:r>
            <w:t xml:space="preserve">, </w:t>
          </w:r>
          <w:r>
            <w:rPr>
              <w:i/>
            </w:rPr>
            <w:t>17</w:t>
          </w:r>
          <w:r>
            <w:t>(20). https://doi.org/10.1016/j.cub.2007.09.025</w:t>
          </w:r>
        </w:p>
        <w:p w14:paraId="0E7F6DDE" w14:textId="77777777" w:rsidR="005E3F83" w:rsidRDefault="005E3F83" w:rsidP="005E3F83">
          <w:pPr>
            <w:pStyle w:val="mythesis"/>
            <w:divId w:val="1162504217"/>
          </w:pPr>
          <w:r>
            <w:lastRenderedPageBreak/>
            <w:t xml:space="preserve">Wang, X., Yan, X., &amp; Liao, H. (2010). Genetic improvement for phosphorus efficiency in soybean: A radical approach. </w:t>
          </w:r>
          <w:r>
            <w:rPr>
              <w:i/>
            </w:rPr>
            <w:t>Annals of Botany</w:t>
          </w:r>
          <w:r>
            <w:t xml:space="preserve">, </w:t>
          </w:r>
          <w:r>
            <w:rPr>
              <w:i/>
            </w:rPr>
            <w:t>106</w:t>
          </w:r>
          <w:r>
            <w:t>(1), 215–222. https://doi.org/10.1093/aob/mcq029</w:t>
          </w:r>
        </w:p>
        <w:p w14:paraId="49A6A548" w14:textId="77777777" w:rsidR="005E3F83" w:rsidRDefault="005E3F83" w:rsidP="005E3F83">
          <w:pPr>
            <w:pStyle w:val="mythesis"/>
            <w:divId w:val="991370701"/>
          </w:pPr>
          <w:r>
            <w:t xml:space="preserve">Wen, Z., Pang, J., Tueux, G., Liu, Y., Shen, J., Ryan, M. H., Lambers, H., &amp; Siddique, K. H. M. (2020). Contrasting patterns in biomass allocation, root morphology and mycorrhizal symbiosis for phosphorus acquisition among 20 chickpea genotypes with different amounts of rhizosheath carboxylates. </w:t>
          </w:r>
          <w:r>
            <w:rPr>
              <w:i/>
            </w:rPr>
            <w:t>Functional Ecology</w:t>
          </w:r>
          <w:r>
            <w:t xml:space="preserve">, </w:t>
          </w:r>
          <w:r>
            <w:rPr>
              <w:i/>
            </w:rPr>
            <w:t>34</w:t>
          </w:r>
          <w:r>
            <w:t>(7), 1311–1324. https://doi.org/10.1111/1365-2435.13562</w:t>
          </w:r>
        </w:p>
        <w:p w14:paraId="191F8783" w14:textId="77777777" w:rsidR="005E3F83" w:rsidRDefault="005E3F83" w:rsidP="005E3F83">
          <w:pPr>
            <w:pStyle w:val="mythesis"/>
            <w:divId w:val="1456564172"/>
          </w:pPr>
          <w:r>
            <w:t xml:space="preserve">Wetterauer, D. G., &amp; &amp; Killorn, R. J. (1996). Fallow- and Flooded-Soil Syndromes: Effects on Crop Production. . </w:t>
          </w:r>
          <w:r>
            <w:rPr>
              <w:i/>
            </w:rPr>
            <w:t xml:space="preserve">J. Prod. Agric, </w:t>
          </w:r>
          <w:r>
            <w:t xml:space="preserve">, </w:t>
          </w:r>
          <w:r>
            <w:rPr>
              <w:i/>
            </w:rPr>
            <w:t>9</w:t>
          </w:r>
          <w:r>
            <w:t>, 39–41.</w:t>
          </w:r>
        </w:p>
        <w:p w14:paraId="699E6396" w14:textId="77777777" w:rsidR="005E3F83" w:rsidRDefault="005E3F83" w:rsidP="005E3F83">
          <w:pPr>
            <w:pStyle w:val="mythesis"/>
            <w:divId w:val="682441463"/>
          </w:pPr>
          <w:r>
            <w:t xml:space="preserve">Wiesler, F., &amp; Horst, W. J. (1993). Differences among maize cultivars in the utilization of soil nitrate and the related losses of nitrate through leaching. </w:t>
          </w:r>
          <w:r>
            <w:rPr>
              <w:i/>
            </w:rPr>
            <w:t>Plant and Soil</w:t>
          </w:r>
          <w:r>
            <w:t xml:space="preserve">, </w:t>
          </w:r>
          <w:r>
            <w:rPr>
              <w:i/>
            </w:rPr>
            <w:t>151</w:t>
          </w:r>
          <w:r>
            <w:t>(2), 193–203. https://doi.org/10.1007/BF00016284</w:t>
          </w:r>
        </w:p>
        <w:p w14:paraId="7C5F57C4" w14:textId="77777777" w:rsidR="005E3F83" w:rsidRDefault="005E3F83" w:rsidP="005E3F83">
          <w:pPr>
            <w:pStyle w:val="mythesis"/>
            <w:divId w:val="684595661"/>
          </w:pPr>
          <w:r>
            <w:t xml:space="preserve">Williams, P. C. (1964). The colorimetric determination of total nitrogen in feeding stuffs. </w:t>
          </w:r>
          <w:r>
            <w:rPr>
              <w:i/>
            </w:rPr>
            <w:t>The Analyst</w:t>
          </w:r>
          <w:r>
            <w:t xml:space="preserve">, </w:t>
          </w:r>
          <w:r>
            <w:rPr>
              <w:i/>
            </w:rPr>
            <w:t>89</w:t>
          </w:r>
          <w:r>
            <w:t>(1057). https://doi.org/10.1039/an9648900276</w:t>
          </w:r>
        </w:p>
        <w:p w14:paraId="70B6F814" w14:textId="77777777" w:rsidR="005E3F83" w:rsidRDefault="005E3F83" w:rsidP="005E3F83">
          <w:pPr>
            <w:pStyle w:val="mythesis"/>
            <w:divId w:val="1363827936"/>
          </w:pPr>
          <w:r>
            <w:t xml:space="preserve">Wissuwa, M., Mazzola, M., &amp; Picard, C. (2009). Novel approaches in plant breeding for rhizosphere-related traits. </w:t>
          </w:r>
          <w:r>
            <w:rPr>
              <w:i/>
            </w:rPr>
            <w:t>Plant and Soil</w:t>
          </w:r>
          <w:r>
            <w:t xml:space="preserve">, </w:t>
          </w:r>
          <w:r>
            <w:rPr>
              <w:i/>
            </w:rPr>
            <w:t>321</w:t>
          </w:r>
          <w:r>
            <w:t>(1–2). https://doi.org/10.1007/s11104-008-9693-2</w:t>
          </w:r>
        </w:p>
        <w:p w14:paraId="36581D77" w14:textId="77777777" w:rsidR="005E3F83" w:rsidRDefault="005E3F83" w:rsidP="005E3F83">
          <w:pPr>
            <w:pStyle w:val="mythesis"/>
            <w:divId w:val="519971574"/>
          </w:pPr>
          <w:r>
            <w:t xml:space="preserve">Wongsawad, P., &amp; Peerapornpisal, Y. (2014). Molecular identification and phylogenetic relationship of green algae, Spirogyra ellipsospora (Chlorophyta) using ISSR and rbcL markers. </w:t>
          </w:r>
          <w:r>
            <w:rPr>
              <w:i/>
            </w:rPr>
            <w:t>Saudi Journal of Biological Sciences</w:t>
          </w:r>
          <w:r>
            <w:t xml:space="preserve">, </w:t>
          </w:r>
          <w:r>
            <w:rPr>
              <w:i/>
            </w:rPr>
            <w:t>21</w:t>
          </w:r>
          <w:r>
            <w:t>(5). https://doi.org/10.1016/j.sjbs.2014.01.003</w:t>
          </w:r>
        </w:p>
        <w:p w14:paraId="6D6F1DFE" w14:textId="77777777" w:rsidR="005E3F83" w:rsidRDefault="005E3F83" w:rsidP="005E3F83">
          <w:pPr>
            <w:pStyle w:val="mythesis"/>
            <w:divId w:val="929851918"/>
          </w:pPr>
          <w:r>
            <w:t xml:space="preserve">Wood, N. T. (2001). Nodulation by numbers: the role of ethylene in symbiotic nitrogen fixation. </w:t>
          </w:r>
          <w:r>
            <w:rPr>
              <w:i/>
            </w:rPr>
            <w:t>Trends in Plant Science</w:t>
          </w:r>
          <w:r>
            <w:t xml:space="preserve">, </w:t>
          </w:r>
          <w:r>
            <w:rPr>
              <w:i/>
            </w:rPr>
            <w:t>6</w:t>
          </w:r>
          <w:r>
            <w:t>(11). https://doi.org/10.1016/S1360-1385(01)02128-8</w:t>
          </w:r>
        </w:p>
        <w:p w14:paraId="5ADE8937" w14:textId="77777777" w:rsidR="005E3F83" w:rsidRDefault="005E3F83" w:rsidP="005E3F83">
          <w:pPr>
            <w:pStyle w:val="mythesis"/>
            <w:divId w:val="867834779"/>
          </w:pPr>
          <w:r>
            <w:lastRenderedPageBreak/>
            <w:t xml:space="preserve">Wright, D. P., Scholes, J. D., Read, D. J., &amp; Rolfe, S. A. (2005). European and African maize cultivars differ in their physiological and molecular responses to mycorrhizal infection. </w:t>
          </w:r>
          <w:r>
            <w:rPr>
              <w:i/>
            </w:rPr>
            <w:t>New Phytologist</w:t>
          </w:r>
          <w:r>
            <w:t xml:space="preserve">, </w:t>
          </w:r>
          <w:r>
            <w:rPr>
              <w:i/>
            </w:rPr>
            <w:t>167</w:t>
          </w:r>
          <w:r>
            <w:t>(3), 881–896. https://doi.org/10.1111/j.1469-8137.2005.01472.x</w:t>
          </w:r>
        </w:p>
        <w:p w14:paraId="2642EB35" w14:textId="77777777" w:rsidR="005E3F83" w:rsidRDefault="005E3F83" w:rsidP="005E3F83">
          <w:pPr>
            <w:pStyle w:val="mythesis"/>
            <w:divId w:val="454183680"/>
          </w:pPr>
          <w:r>
            <w:t xml:space="preserve">Wright, S. I., Bi, I. V., Schroeder, S. C., Yamasaki, M., Doebley, J. F., McMullen, M. D., &amp; Gaut, B. S. (2005). Evolution: The effects of artificial selection on the maize genome. </w:t>
          </w:r>
          <w:r>
            <w:rPr>
              <w:i/>
            </w:rPr>
            <w:t>Science</w:t>
          </w:r>
          <w:r>
            <w:t xml:space="preserve">, </w:t>
          </w:r>
          <w:r>
            <w:rPr>
              <w:i/>
            </w:rPr>
            <w:t>308</w:t>
          </w:r>
          <w:r>
            <w:t>(5726), 1310–1314. https://doi.org/10.1126/science.1107891</w:t>
          </w:r>
        </w:p>
        <w:p w14:paraId="70461D21" w14:textId="77777777" w:rsidR="005E3F83" w:rsidRDefault="005E3F83" w:rsidP="005E3F83">
          <w:pPr>
            <w:pStyle w:val="mythesis"/>
            <w:divId w:val="1553690443"/>
          </w:pPr>
          <w:r>
            <w:t xml:space="preserve">Wu, Q. P., Chen, F. J., Chen, Y. L., Yuan, L. X., Zhang, F. S., &amp; Mi, G. H. (2011). Root growth in response to nitrogen supply in Chinese maize hybrids released between 1973 and 2009. </w:t>
          </w:r>
          <w:r>
            <w:rPr>
              <w:i/>
            </w:rPr>
            <w:t>Science China Life Sciences</w:t>
          </w:r>
          <w:r>
            <w:t xml:space="preserve">, </w:t>
          </w:r>
          <w:r>
            <w:rPr>
              <w:i/>
            </w:rPr>
            <w:t>54</w:t>
          </w:r>
          <w:r>
            <w:t>(7), 642–650. https://doi.org/10.1007/s11427-011-4186-6</w:t>
          </w:r>
        </w:p>
        <w:p w14:paraId="4CD862C3" w14:textId="77777777" w:rsidR="005E3F83" w:rsidRDefault="005E3F83" w:rsidP="005E3F83">
          <w:pPr>
            <w:pStyle w:val="mythesis"/>
            <w:divId w:val="1125612037"/>
          </w:pPr>
          <w:r>
            <w:t xml:space="preserve">Wu, S. C., Cao, Z. H., Li, Z. G., Cheung, K. C., &amp; Wong, M. H. (2005). Effects of biofertilizer containing N-fixer, P and K solubilizers and AM fungi on maize growth: a greenhouse trial. </w:t>
          </w:r>
          <w:r>
            <w:rPr>
              <w:i/>
            </w:rPr>
            <w:t>Geoderma</w:t>
          </w:r>
          <w:r>
            <w:t xml:space="preserve">, </w:t>
          </w:r>
          <w:r>
            <w:rPr>
              <w:i/>
            </w:rPr>
            <w:t>125</w:t>
          </w:r>
          <w:r>
            <w:t>(1–2). https://doi.org/10.1016/j.geoderma.2004.07.003</w:t>
          </w:r>
        </w:p>
        <w:p w14:paraId="2451C2B6" w14:textId="77777777" w:rsidR="005E3F83" w:rsidRDefault="005E3F83" w:rsidP="005E3F83">
          <w:pPr>
            <w:pStyle w:val="mythesis"/>
            <w:divId w:val="899825937"/>
          </w:pPr>
          <w:r>
            <w:t xml:space="preserve">Wuyts, N., de Waele, D., &amp; Swennen, R. (2006). Extraction and partial characterization of polyphenol oxidase from banana (Musa acuminata Grande naine) roots. </w:t>
          </w:r>
          <w:r>
            <w:rPr>
              <w:i/>
            </w:rPr>
            <w:t>Plant Physiology and Biochemistry</w:t>
          </w:r>
          <w:r>
            <w:t xml:space="preserve">, </w:t>
          </w:r>
          <w:r>
            <w:rPr>
              <w:i/>
            </w:rPr>
            <w:t>44</w:t>
          </w:r>
          <w:r>
            <w:t>(5–6). https://doi.org/10.1016/j.plaphy.2006.06.005</w:t>
          </w:r>
        </w:p>
        <w:p w14:paraId="6FA77ADC" w14:textId="77777777" w:rsidR="005E3F83" w:rsidRDefault="005E3F83" w:rsidP="005E3F83">
          <w:pPr>
            <w:pStyle w:val="mythesis"/>
            <w:divId w:val="1304117821"/>
          </w:pPr>
          <w:r>
            <w:t xml:space="preserve">Xie, X., Weng, B., Cai, B., Dong, Y., &amp; Yan, C. (2014). Effects of arbuscular mycorrhizal inoculation and phosphorus supply on the growth and nutrient uptake of Kandelia obovata (Sheue, Liu &amp; Yong) seedlings in autoclaved soil. </w:t>
          </w:r>
          <w:r>
            <w:rPr>
              <w:i/>
            </w:rPr>
            <w:t>Applied Soil Ecology</w:t>
          </w:r>
          <w:r>
            <w:t xml:space="preserve">, </w:t>
          </w:r>
          <w:r>
            <w:rPr>
              <w:i/>
            </w:rPr>
            <w:t>75</w:t>
          </w:r>
          <w:r>
            <w:t>, 162–171. https://doi.org/10.1016/j.apsoil.2013.11.009</w:t>
          </w:r>
        </w:p>
        <w:p w14:paraId="0721335A" w14:textId="77777777" w:rsidR="005E3F83" w:rsidRDefault="005E3F83" w:rsidP="005E3F83">
          <w:pPr>
            <w:pStyle w:val="mythesis"/>
            <w:divId w:val="1011447782"/>
          </w:pPr>
          <w:r>
            <w:t xml:space="preserve">Xu, A., Zhan, J.-C., &amp; Huang, W.-D. (2015). Effects of ultraviolet C, methyl jasmonate and salicylic acid, alone or in combination, on stilbene biosynthesis in cell suspension cultures of Vitis vinifera L. cv. Cabernet Sauvignon. </w:t>
          </w:r>
          <w:r>
            <w:rPr>
              <w:i/>
            </w:rPr>
            <w:t>Plant Cell, Tissue and Organ Culture (PCTOC)</w:t>
          </w:r>
          <w:r>
            <w:t xml:space="preserve">, </w:t>
          </w:r>
          <w:r>
            <w:rPr>
              <w:i/>
            </w:rPr>
            <w:t>122</w:t>
          </w:r>
          <w:r>
            <w:t>(1). https://doi.org/10.1007/s11240-015-0761-z</w:t>
          </w:r>
        </w:p>
        <w:p w14:paraId="1FBBA6B0" w14:textId="77777777" w:rsidR="005E3F83" w:rsidRDefault="005E3F83" w:rsidP="005E3F83">
          <w:pPr>
            <w:pStyle w:val="mythesis"/>
            <w:divId w:val="1414626048"/>
          </w:pPr>
          <w:r>
            <w:lastRenderedPageBreak/>
            <w:t xml:space="preserve">Yamasaki, M., Tenaillon, M. I., Bi, I. V., Schroeder, S. G., Sanchez-Villeda, H., Doebley, J. F., Gaut, B. S., &amp; McMullen, M. D. (2005). A large-scale screen for artificial selection in maize identifies candidate agronomic loci for domestication and crop improvement. </w:t>
          </w:r>
          <w:r>
            <w:rPr>
              <w:i/>
            </w:rPr>
            <w:t>Plant Cell</w:t>
          </w:r>
          <w:r>
            <w:t xml:space="preserve">, </w:t>
          </w:r>
          <w:r>
            <w:rPr>
              <w:i/>
            </w:rPr>
            <w:t>17</w:t>
          </w:r>
          <w:r>
            <w:t>(11), 2859–2872. https://doi.org/10.1105/tpc.105.037242</w:t>
          </w:r>
        </w:p>
        <w:p w14:paraId="7CF6811B" w14:textId="77777777" w:rsidR="005E3F83" w:rsidRDefault="005E3F83" w:rsidP="005E3F83">
          <w:pPr>
            <w:pStyle w:val="mythesis"/>
            <w:divId w:val="1844281082"/>
          </w:pPr>
          <w:r>
            <w:t xml:space="preserve">Yang, H., Yuan, Y., Zhang, Q., Tang, J., Liu, Y., &amp; Chen, X. (2011). Changes in soil organic carbon, total nitrogen, and abundance of arbuscular mycorrhizal fungi along a large-scale aridity gradient. </w:t>
          </w:r>
          <w:r>
            <w:rPr>
              <w:i/>
            </w:rPr>
            <w:t>Catena</w:t>
          </w:r>
          <w:r>
            <w:t xml:space="preserve">, </w:t>
          </w:r>
          <w:r>
            <w:rPr>
              <w:i/>
            </w:rPr>
            <w:t>87</w:t>
          </w:r>
          <w:r>
            <w:t>(1), 70–77. https://doi.org/10.1016/j.catena.2011.05.009</w:t>
          </w:r>
        </w:p>
        <w:p w14:paraId="17C3DA7A" w14:textId="77777777" w:rsidR="005E3F83" w:rsidRDefault="005E3F83" w:rsidP="005E3F83">
          <w:pPr>
            <w:pStyle w:val="mythesis"/>
            <w:divId w:val="1802920414"/>
          </w:pPr>
          <w:r>
            <w:t xml:space="preserve">Yano, K., Yamauchi, A., &amp; Kono, Y. (1996). Localized alteration in lateral root development in roots colonized by an arbuscular mycorrhizal fungus. </w:t>
          </w:r>
          <w:r>
            <w:rPr>
              <w:i/>
            </w:rPr>
            <w:t>Mycorrhiza</w:t>
          </w:r>
          <w:r>
            <w:t xml:space="preserve">, </w:t>
          </w:r>
          <w:r>
            <w:rPr>
              <w:i/>
            </w:rPr>
            <w:t>6</w:t>
          </w:r>
          <w:r>
            <w:t>(5), 409–415. https://doi.org/10.1007/s005720050140</w:t>
          </w:r>
        </w:p>
        <w:p w14:paraId="4FA142ED" w14:textId="77777777" w:rsidR="005E3F83" w:rsidRDefault="005E3F83" w:rsidP="005E3F83">
          <w:pPr>
            <w:pStyle w:val="mythesis"/>
            <w:divId w:val="600183171"/>
          </w:pPr>
          <w:r>
            <w:t xml:space="preserve">Yao, Q., Li, X., &amp; Christie, P. (2001). Factors affecting arbuscular mycorrhizal dependency of wheat genotypes with different phosphorus efficiencies. </w:t>
          </w:r>
          <w:r>
            <w:rPr>
              <w:i/>
            </w:rPr>
            <w:t>Journal of Plant Nutrition</w:t>
          </w:r>
          <w:r>
            <w:t xml:space="preserve">, </w:t>
          </w:r>
          <w:r>
            <w:rPr>
              <w:i/>
            </w:rPr>
            <w:t>24</w:t>
          </w:r>
          <w:r>
            <w:t>(9), 1409–1419. https://doi.org/10.1081/PLN-100106991</w:t>
          </w:r>
        </w:p>
        <w:p w14:paraId="7891584F" w14:textId="77777777" w:rsidR="005E3F83" w:rsidRDefault="005E3F83" w:rsidP="005E3F83">
          <w:pPr>
            <w:pStyle w:val="mythesis"/>
            <w:divId w:val="1744374212"/>
          </w:pPr>
          <w:r>
            <w:t xml:space="preserve">Yuan, Y. ; H. L.-Q. ; C. G.-H. ; M. Y. ; H. X.-R. (2008). Effect of gibberellins and its synthetic inhibitor on metabolism of tanshinones. </w:t>
          </w:r>
          <w:r>
            <w:rPr>
              <w:i/>
            </w:rPr>
            <w:t>Chin. J. Exp. Tradit. Medi-Cal Formulae</w:t>
          </w:r>
          <w:r>
            <w:t xml:space="preserve">, </w:t>
          </w:r>
          <w:r>
            <w:rPr>
              <w:i/>
            </w:rPr>
            <w:t>6</w:t>
          </w:r>
          <w:r>
            <w:t>(2).</w:t>
          </w:r>
        </w:p>
        <w:p w14:paraId="7AF5C336" w14:textId="77777777" w:rsidR="005E3F83" w:rsidRDefault="005E3F83" w:rsidP="005E3F83">
          <w:pPr>
            <w:pStyle w:val="mythesis"/>
            <w:divId w:val="1097679505"/>
          </w:pPr>
          <w:r>
            <w:t xml:space="preserve">Zhang, J., Beusen, A. H. W., van Apeldoorn, D. F., Mogollón, J. M., Yu, C., &amp; Bouwman, A. F. (2017). Spatiotemporal dynamics of soil phosphorus and crop uptake in global cropland during the 20th century. </w:t>
          </w:r>
          <w:r>
            <w:rPr>
              <w:i/>
            </w:rPr>
            <w:t>Biogeosciences</w:t>
          </w:r>
          <w:r>
            <w:t xml:space="preserve">, </w:t>
          </w:r>
          <w:r>
            <w:rPr>
              <w:i/>
            </w:rPr>
            <w:t>14</w:t>
          </w:r>
          <w:r>
            <w:t>(8). https://doi.org/10.5194/bg-14-2055-2017</w:t>
          </w:r>
        </w:p>
        <w:p w14:paraId="414ED9D7" w14:textId="77777777" w:rsidR="005E3F83" w:rsidRDefault="005E3F83" w:rsidP="005E3F83">
          <w:pPr>
            <w:pStyle w:val="mythesis"/>
            <w:divId w:val="1388147437"/>
          </w:pPr>
          <w:r>
            <w:t xml:space="preserve">Zhang, R.-Q., Zhu, H.-H., Zhao, H.-Q., &amp; Yao, Q. (2013). Arbuscular mycorrhizal fungal inoculation increases phenolic synthesis in clover roots via hydrogen peroxide, salicylic acid and nitric oxide signaling pathways. </w:t>
          </w:r>
          <w:r>
            <w:rPr>
              <w:i/>
            </w:rPr>
            <w:t>Journal of Plant Physiology</w:t>
          </w:r>
          <w:r>
            <w:t xml:space="preserve">, </w:t>
          </w:r>
          <w:r>
            <w:rPr>
              <w:i/>
            </w:rPr>
            <w:t>170</w:t>
          </w:r>
          <w:r>
            <w:t>(1). https://doi.org/10.1016/j.jplph.2012.08.022</w:t>
          </w:r>
        </w:p>
        <w:p w14:paraId="0907E440" w14:textId="77777777" w:rsidR="005E3F83" w:rsidRDefault="005E3F83" w:rsidP="005E3F83">
          <w:pPr>
            <w:pStyle w:val="mythesis"/>
            <w:divId w:val="447160489"/>
          </w:pPr>
          <w:r>
            <w:lastRenderedPageBreak/>
            <w:t xml:space="preserve">Zhang, S., White, T. L., Martinez, M. C., McInroy, J. A., Kloepper, J. W., &amp; Klassen, W. (2010). Evaluation of plant growth-promoting rhizobacteria for control of Phytophthora blight on squash under greenhouse conditions. </w:t>
          </w:r>
          <w:r>
            <w:rPr>
              <w:i/>
            </w:rPr>
            <w:t>Biological Control</w:t>
          </w:r>
          <w:r>
            <w:t xml:space="preserve">, </w:t>
          </w:r>
          <w:r>
            <w:rPr>
              <w:i/>
            </w:rPr>
            <w:t>53</w:t>
          </w:r>
          <w:r>
            <w:t>(1). https://doi.org/10.1016/j.biocontrol.2009.10.015</w:t>
          </w:r>
        </w:p>
        <w:p w14:paraId="0ECC283F" w14:textId="77777777" w:rsidR="005E3F83" w:rsidRDefault="005E3F83" w:rsidP="005E3F83">
          <w:pPr>
            <w:pStyle w:val="mythesis"/>
            <w:divId w:val="143200465"/>
          </w:pPr>
          <w:r>
            <w:t xml:space="preserve">Zhang, X., Liu, F., He, Y., &amp; Li, X. (2012). Application of hyperspectral imaging and chemometric calibrations for variety discrimination of maize seeds. </w:t>
          </w:r>
          <w:r>
            <w:rPr>
              <w:i/>
            </w:rPr>
            <w:t>Sensors (Switzerland)</w:t>
          </w:r>
          <w:r>
            <w:t xml:space="preserve">, </w:t>
          </w:r>
          <w:r>
            <w:rPr>
              <w:i/>
            </w:rPr>
            <w:t>12</w:t>
          </w:r>
          <w:r>
            <w:t>(12), 17234–17246. https://doi.org/10.3390/s121217234</w:t>
          </w:r>
        </w:p>
        <w:p w14:paraId="4930A6D1" w14:textId="77777777" w:rsidR="005E3F83" w:rsidRDefault="005E3F83" w:rsidP="005E3F83">
          <w:pPr>
            <w:pStyle w:val="mythesis"/>
            <w:divId w:val="958025172"/>
          </w:pPr>
          <w:r>
            <w:t xml:space="preserve">Zhao, J., Kong, Y., Guo, J., Chi, S., Wei, D., Guo, Q., ZhaoJ.R., Kong, Y. F. , Guo, J. L. , Chi, S. M. , Wei, D. M., &amp; and Guo, Q. (1997). A study on the purity of hybrid maize Nongda 108 through DNA fingerprint identification. . </w:t>
          </w:r>
          <w:r>
            <w:rPr>
              <w:i/>
            </w:rPr>
            <w:t xml:space="preserve">Beijing Agricultural Sciences </w:t>
          </w:r>
          <w:r>
            <w:t xml:space="preserve">, </w:t>
          </w:r>
          <w:r>
            <w:rPr>
              <w:i/>
            </w:rPr>
            <w:t>16</w:t>
          </w:r>
          <w:r>
            <w:t>, 1–2.</w:t>
          </w:r>
        </w:p>
        <w:p w14:paraId="6A7C8706" w14:textId="77777777" w:rsidR="005E3F83" w:rsidRDefault="005E3F83" w:rsidP="005E3F83">
          <w:pPr>
            <w:pStyle w:val="mythesis"/>
            <w:divId w:val="1867790783"/>
          </w:pPr>
          <w:r>
            <w:t xml:space="preserve">Zhao, Y. H., Jia, X., Wang, W. K., Liu, T., Huang, S. P., &amp; Yang, M. Y. (2016). Growth under elevated air temperature alters secondary metabolites in Robinia pseudoacacia L. seedlings in Cd- and Pb-contaminated soils. </w:t>
          </w:r>
          <w:r>
            <w:rPr>
              <w:i/>
            </w:rPr>
            <w:t>Science of The Total Environment</w:t>
          </w:r>
          <w:r>
            <w:t xml:space="preserve">, </w:t>
          </w:r>
          <w:r>
            <w:rPr>
              <w:i/>
            </w:rPr>
            <w:t>565</w:t>
          </w:r>
          <w:r>
            <w:t>. https://doi.org/10.1016/j.scitotenv.2016.05.058</w:t>
          </w:r>
        </w:p>
        <w:p w14:paraId="4654EEFC" w14:textId="77777777" w:rsidR="005E3F83" w:rsidRDefault="005E3F83" w:rsidP="005E3F83">
          <w:pPr>
            <w:pStyle w:val="mythesis"/>
            <w:divId w:val="2125617543"/>
          </w:pPr>
          <w:r>
            <w:t xml:space="preserve">Zhou, Y., Zhang, Y., He, W., Wang, J., Peng, F., Huang, L., Zhao, S., &amp; Deng, W. (2018). Rapid Regeneration and Reuse of Silica Columns from PCR Purification and Gel Extraction Kits. </w:t>
          </w:r>
          <w:r>
            <w:rPr>
              <w:i/>
            </w:rPr>
            <w:t>Scientific Reports</w:t>
          </w:r>
          <w:r>
            <w:t xml:space="preserve">, </w:t>
          </w:r>
          <w:r>
            <w:rPr>
              <w:i/>
            </w:rPr>
            <w:t>8</w:t>
          </w:r>
          <w:r>
            <w:t>(1). https://doi.org/10.1038/s41598-018-30316-w</w:t>
          </w:r>
        </w:p>
        <w:p w14:paraId="43611269" w14:textId="77777777" w:rsidR="005E3F83" w:rsidRDefault="005E3F83" w:rsidP="005E3F83">
          <w:pPr>
            <w:pStyle w:val="mythesis"/>
            <w:divId w:val="539128970"/>
          </w:pPr>
          <w:r>
            <w:t xml:space="preserve">Zhu, J., Kaeppler, S. M., &amp; Lynch, J. P. (2005). Mapping of QTL controlling root hair length in maize (Zea mays L.) under phosphorus deficiency. </w:t>
          </w:r>
          <w:r>
            <w:rPr>
              <w:i/>
            </w:rPr>
            <w:t>Plant and Soil</w:t>
          </w:r>
          <w:r>
            <w:t xml:space="preserve">, </w:t>
          </w:r>
          <w:r>
            <w:rPr>
              <w:i/>
            </w:rPr>
            <w:t>270</w:t>
          </w:r>
          <w:r>
            <w:t>(1), 299–310. https://doi.org/10.1007/s11104-004-1697-y</w:t>
          </w:r>
        </w:p>
        <w:p w14:paraId="7E0C3051" w14:textId="77777777" w:rsidR="005E3F83" w:rsidRDefault="005E3F83" w:rsidP="005E3F83">
          <w:pPr>
            <w:pStyle w:val="mythesis"/>
            <w:divId w:val="2002193473"/>
          </w:pPr>
          <w:r>
            <w:t xml:space="preserve">Zhu, X. C., Song, F. B., Liu, S. Q., Liu, T. D., &amp; Zhou, X. (2012). Arbuscular mycorrhizae improve photosynthesis and water status of Zea mays L. under drought stress. </w:t>
          </w:r>
          <w:r>
            <w:rPr>
              <w:i/>
            </w:rPr>
            <w:t>Plant, Soil and Environment</w:t>
          </w:r>
          <w:r>
            <w:t xml:space="preserve">, </w:t>
          </w:r>
          <w:r>
            <w:rPr>
              <w:i/>
            </w:rPr>
            <w:t>58</w:t>
          </w:r>
          <w:r>
            <w:t>(No. 4). https://doi.org/10.17221/23/2011-PSE</w:t>
          </w:r>
        </w:p>
        <w:p w14:paraId="34A67C07" w14:textId="77777777" w:rsidR="005E3F83" w:rsidRDefault="005E3F83" w:rsidP="005E3F83">
          <w:pPr>
            <w:pStyle w:val="mythesis"/>
            <w:divId w:val="734814761"/>
          </w:pPr>
          <w:r>
            <w:lastRenderedPageBreak/>
            <w:t xml:space="preserve">Zhu, X., Song, F., &amp; Xu, H. (2010). Influence of arbuscular mycorrhiza on lipid peroxidation and antioxidant enzyme activity of maize plants under temperature stress. </w:t>
          </w:r>
          <w:r>
            <w:rPr>
              <w:i/>
            </w:rPr>
            <w:t>Mycorrhiza</w:t>
          </w:r>
          <w:r>
            <w:t xml:space="preserve">, </w:t>
          </w:r>
          <w:r>
            <w:rPr>
              <w:i/>
            </w:rPr>
            <w:t>20</w:t>
          </w:r>
          <w:r>
            <w:t>(5), 325–332. https://doi.org/10.1007/s00572-009-0285-7</w:t>
          </w:r>
        </w:p>
        <w:p w14:paraId="71F0E1E5" w14:textId="77777777" w:rsidR="005E3F83" w:rsidRDefault="005E3F83" w:rsidP="005E3F83">
          <w:pPr>
            <w:pStyle w:val="mythesis"/>
            <w:divId w:val="1755086367"/>
          </w:pPr>
          <w:r>
            <w:t xml:space="preserve">Zhu, Y.-G., Smith, S. E., Barritt, A. R., &amp; Smith, F. A. (2001). Phosphorus (P) efficiencies and mycorrhizal responsiveness of old and modern wheat cultivars. In </w:t>
          </w:r>
          <w:r>
            <w:rPr>
              <w:i/>
            </w:rPr>
            <w:t>Plant and Soil</w:t>
          </w:r>
          <w:r>
            <w:t xml:space="preserve"> (Vol. 237).</w:t>
          </w:r>
        </w:p>
        <w:p w14:paraId="411707BA" w14:textId="77777777" w:rsidR="005E3F83" w:rsidRDefault="005E3F83" w:rsidP="005E3F83">
          <w:pPr>
            <w:pStyle w:val="mythesis"/>
            <w:divId w:val="169612075"/>
          </w:pPr>
          <w:r>
            <w:t xml:space="preserve">Zu, Y.-G. ;, Tang, Z.-H. ;, Yu, J.-H. ;, Liu, S.-G. ;, Wang, W. ;, &amp; Guo, X.-R. (2003). Different responses of camptothecin and 10-hydroxycamptothecinto heat shock in Camptotheca acuminata seedlings. </w:t>
          </w:r>
          <w:r>
            <w:rPr>
              <w:i/>
            </w:rPr>
            <w:t>J. Integr. Plant Biol.2003,45, 809–814</w:t>
          </w:r>
          <w:r>
            <w:t xml:space="preserve">, </w:t>
          </w:r>
          <w:r>
            <w:rPr>
              <w:i/>
            </w:rPr>
            <w:t>45</w:t>
          </w:r>
          <w:r>
            <w:t>, 809–814.</w:t>
          </w:r>
        </w:p>
        <w:p w14:paraId="2B903606" w14:textId="77777777" w:rsidR="005E3F83" w:rsidRDefault="005E3F83" w:rsidP="005E3F83">
          <w:pPr>
            <w:pStyle w:val="mythesis"/>
            <w:divId w:val="1669364065"/>
          </w:pPr>
          <w:r>
            <w:t xml:space="preserve">Zubek, S., Rola, K., Szewczyk, A., Majewska, M. L., &amp; Turnau, K. (2015). Enhanced concentrations of elements and secondary metabolites in Viola tricolor L. induced by arbuscular mycorrhizal fungi. </w:t>
          </w:r>
          <w:r>
            <w:rPr>
              <w:i/>
            </w:rPr>
            <w:t>Plant and Soil</w:t>
          </w:r>
          <w:r>
            <w:t xml:space="preserve">, </w:t>
          </w:r>
          <w:r>
            <w:rPr>
              <w:i/>
            </w:rPr>
            <w:t>390</w:t>
          </w:r>
          <w:r>
            <w:t>(1–2), 129–142. https://doi.org/10.1007/s11104-015-2388-6</w:t>
          </w:r>
        </w:p>
        <w:p w14:paraId="48E45203" w14:textId="77777777" w:rsidR="000F2668" w:rsidRDefault="005E3F83" w:rsidP="005E3F83">
          <w:pPr>
            <w:pStyle w:val="mythesis"/>
          </w:pPr>
          <w:r>
            <w:t> </w:t>
          </w:r>
        </w:p>
        <w:p w14:paraId="04DBF5AA" w14:textId="2E352BF6" w:rsidR="005E3F83" w:rsidRPr="005E3F83" w:rsidRDefault="00000000" w:rsidP="000F2668">
          <w:pPr>
            <w:pStyle w:val="mythesis"/>
            <w:ind w:firstLine="0"/>
            <w:sectPr w:rsidR="005E3F83" w:rsidRPr="005E3F83">
              <w:pgSz w:w="12240" w:h="15840"/>
              <w:pgMar w:top="1440" w:right="1440" w:bottom="1440" w:left="1440" w:header="708" w:footer="708" w:gutter="0"/>
              <w:cols w:space="708"/>
              <w:docGrid w:linePitch="360"/>
            </w:sectPr>
          </w:pPr>
        </w:p>
      </w:sdtContent>
    </w:sdt>
    <w:p w14:paraId="5B8F224D" w14:textId="1E73BB3E" w:rsidR="005E3F83" w:rsidRDefault="000F2668" w:rsidP="000F2668">
      <w:pPr>
        <w:pStyle w:val="Heading1"/>
        <w:numPr>
          <w:ilvl w:val="0"/>
          <w:numId w:val="0"/>
        </w:numPr>
        <w:ind w:left="360"/>
      </w:pPr>
      <w:bookmarkStart w:id="182" w:name="_Toc83751502"/>
      <w:r>
        <w:lastRenderedPageBreak/>
        <w:t>Appendix</w:t>
      </w:r>
      <w:bookmarkEnd w:id="182"/>
    </w:p>
    <w:p w14:paraId="19794A53" w14:textId="77777777" w:rsidR="000F2668" w:rsidRDefault="000F2668" w:rsidP="005A514B">
      <w:pPr>
        <w:pStyle w:val="mythesis"/>
        <w:ind w:firstLine="0"/>
      </w:pPr>
    </w:p>
    <w:p w14:paraId="74CAEFD1" w14:textId="77777777" w:rsidR="000F2668" w:rsidRDefault="000F2668" w:rsidP="005A514B">
      <w:pPr>
        <w:pStyle w:val="mythesis"/>
        <w:ind w:firstLine="0"/>
      </w:pPr>
    </w:p>
    <w:p w14:paraId="61578064" w14:textId="77777777" w:rsidR="000F2668" w:rsidRDefault="000F2668" w:rsidP="005A514B">
      <w:pPr>
        <w:pStyle w:val="mythesis"/>
        <w:ind w:firstLine="0"/>
      </w:pPr>
    </w:p>
    <w:p w14:paraId="2054FCB2" w14:textId="77777777" w:rsidR="000F2668" w:rsidRDefault="000F2668" w:rsidP="005A514B">
      <w:pPr>
        <w:pStyle w:val="mythesis"/>
        <w:ind w:firstLine="0"/>
      </w:pPr>
    </w:p>
    <w:p w14:paraId="78CA0BB1" w14:textId="77777777" w:rsidR="000F2668" w:rsidRDefault="000F2668" w:rsidP="005A514B">
      <w:pPr>
        <w:pStyle w:val="mythesis"/>
        <w:ind w:firstLine="0"/>
      </w:pPr>
    </w:p>
    <w:p w14:paraId="0986959E" w14:textId="77777777" w:rsidR="000F2668" w:rsidRDefault="000F2668" w:rsidP="005A514B">
      <w:pPr>
        <w:pStyle w:val="mythesis"/>
        <w:ind w:firstLine="0"/>
      </w:pPr>
    </w:p>
    <w:p w14:paraId="5FDB39D6" w14:textId="77777777" w:rsidR="000F2668" w:rsidRDefault="000F2668" w:rsidP="005A514B">
      <w:pPr>
        <w:pStyle w:val="mythesis"/>
        <w:ind w:firstLine="0"/>
      </w:pPr>
    </w:p>
    <w:p w14:paraId="4D53CEB5" w14:textId="77777777" w:rsidR="000F2668" w:rsidRDefault="000F2668" w:rsidP="005A514B">
      <w:pPr>
        <w:pStyle w:val="mythesis"/>
        <w:ind w:firstLine="0"/>
      </w:pPr>
    </w:p>
    <w:p w14:paraId="30CF3CE4" w14:textId="77777777" w:rsidR="000F2668" w:rsidRDefault="000F2668" w:rsidP="005A514B">
      <w:pPr>
        <w:pStyle w:val="mythesis"/>
        <w:ind w:firstLine="0"/>
      </w:pPr>
    </w:p>
    <w:p w14:paraId="091D6118" w14:textId="77777777" w:rsidR="000F2668" w:rsidRDefault="000F2668" w:rsidP="005A514B">
      <w:pPr>
        <w:pStyle w:val="mythesis"/>
        <w:ind w:firstLine="0"/>
      </w:pPr>
    </w:p>
    <w:p w14:paraId="12DF15E0" w14:textId="77777777" w:rsidR="000F2668" w:rsidRDefault="000F2668" w:rsidP="005A514B">
      <w:pPr>
        <w:pStyle w:val="mythesis"/>
        <w:ind w:firstLine="0"/>
      </w:pPr>
    </w:p>
    <w:p w14:paraId="06DC77F5" w14:textId="77777777" w:rsidR="000F2668" w:rsidRDefault="000F2668" w:rsidP="005A514B">
      <w:pPr>
        <w:pStyle w:val="mythesis"/>
        <w:ind w:firstLine="0"/>
      </w:pPr>
    </w:p>
    <w:p w14:paraId="43DF990B" w14:textId="77777777" w:rsidR="000F2668" w:rsidRDefault="000F2668" w:rsidP="005A514B">
      <w:pPr>
        <w:pStyle w:val="mythesis"/>
        <w:ind w:firstLine="0"/>
      </w:pPr>
    </w:p>
    <w:p w14:paraId="0FBC2207" w14:textId="77777777" w:rsidR="000F2668" w:rsidRDefault="000F2668" w:rsidP="005A514B">
      <w:pPr>
        <w:pStyle w:val="mythesis"/>
        <w:ind w:firstLine="0"/>
        <w:sectPr w:rsidR="000F2668">
          <w:pgSz w:w="12240" w:h="15840"/>
          <w:pgMar w:top="1440" w:right="1440" w:bottom="1440" w:left="1440" w:header="708" w:footer="708" w:gutter="0"/>
          <w:cols w:space="708"/>
          <w:docGrid w:linePitch="360"/>
        </w:sectPr>
      </w:pPr>
    </w:p>
    <w:p w14:paraId="167DE765" w14:textId="602CC342" w:rsidR="004D1935" w:rsidRDefault="004D1935" w:rsidP="004D1935">
      <w:pPr>
        <w:autoSpaceDE w:val="0"/>
        <w:autoSpaceDN w:val="0"/>
        <w:adjustRightInd w:val="0"/>
        <w:rPr>
          <w:rFonts w:eastAsiaTheme="minorHAnsi"/>
          <w:sz w:val="16"/>
          <w:szCs w:val="16"/>
        </w:rPr>
      </w:pPr>
      <w:r>
        <w:rPr>
          <w:rFonts w:eastAsiaTheme="minorHAnsi"/>
          <w:sz w:val="16"/>
          <w:szCs w:val="16"/>
        </w:rPr>
        <w:lastRenderedPageBreak/>
        <w:t xml:space="preserve">Table A 4.6: Discriminant mass bins (145) in shoot organic phase and their associated detected masses looking for compound identification accounts for protonated adduct (H) and </w:t>
      </w:r>
      <w:r w:rsidR="00D5746C">
        <w:rPr>
          <w:rFonts w:eastAsiaTheme="minorHAnsi"/>
          <w:sz w:val="16"/>
          <w:szCs w:val="16"/>
        </w:rPr>
        <w:t>K,</w:t>
      </w:r>
      <w:r>
        <w:rPr>
          <w:rFonts w:eastAsiaTheme="minorHAnsi"/>
          <w:sz w:val="16"/>
          <w:szCs w:val="16"/>
        </w:rPr>
        <w:t xml:space="preserve"> NA</w:t>
      </w:r>
      <w:r w:rsidRPr="00396597">
        <w:rPr>
          <w:rFonts w:eastAsiaTheme="minorHAnsi"/>
          <w:sz w:val="16"/>
          <w:szCs w:val="16"/>
        </w:rPr>
        <w:t xml:space="preserve"> </w:t>
      </w:r>
      <w:r>
        <w:rPr>
          <w:rFonts w:eastAsiaTheme="minorHAnsi"/>
          <w:sz w:val="16"/>
          <w:szCs w:val="16"/>
        </w:rPr>
        <w:t>in positive mode in the analysis. The putatively identified compounds, their chemical groups, and the associated pathways are displayed.</w:t>
      </w:r>
    </w:p>
    <w:p w14:paraId="7722C429" w14:textId="77777777" w:rsidR="004D1935" w:rsidRDefault="004D1935" w:rsidP="004D1935">
      <w:pPr>
        <w:autoSpaceDE w:val="0"/>
        <w:autoSpaceDN w:val="0"/>
        <w:adjustRightInd w:val="0"/>
        <w:rPr>
          <w:rFonts w:eastAsiaTheme="minorHAnsi"/>
          <w:sz w:val="16"/>
          <w:szCs w:val="16"/>
        </w:rPr>
      </w:pPr>
    </w:p>
    <w:tbl>
      <w:tblPr>
        <w:tblStyle w:val="TableGrid"/>
        <w:tblW w:w="13887" w:type="dxa"/>
        <w:tblLayout w:type="fixed"/>
        <w:tblLook w:val="04A0" w:firstRow="1" w:lastRow="0" w:firstColumn="1" w:lastColumn="0" w:noHBand="0" w:noVBand="1"/>
      </w:tblPr>
      <w:tblGrid>
        <w:gridCol w:w="704"/>
        <w:gridCol w:w="851"/>
        <w:gridCol w:w="1701"/>
        <w:gridCol w:w="2693"/>
        <w:gridCol w:w="1134"/>
        <w:gridCol w:w="6804"/>
      </w:tblGrid>
      <w:tr w:rsidR="004D1935" w:rsidRPr="00F54137" w14:paraId="1D25D5AC" w14:textId="77777777" w:rsidTr="00E24DC9">
        <w:tc>
          <w:tcPr>
            <w:tcW w:w="704" w:type="dxa"/>
            <w:vAlign w:val="center"/>
          </w:tcPr>
          <w:p w14:paraId="0BCC5B20"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Theme="majorBidi" w:hAnsiTheme="majorBidi" w:cstheme="majorBidi"/>
                <w:color w:val="000000" w:themeColor="text1"/>
                <w:sz w:val="16"/>
                <w:szCs w:val="16"/>
              </w:rPr>
              <w:t>adduct</w:t>
            </w:r>
          </w:p>
        </w:tc>
        <w:tc>
          <w:tcPr>
            <w:tcW w:w="851" w:type="dxa"/>
            <w:tcBorders>
              <w:bottom w:val="single" w:sz="4" w:space="0" w:color="auto"/>
            </w:tcBorders>
            <w:vAlign w:val="center"/>
          </w:tcPr>
          <w:p w14:paraId="39D0826A"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Theme="majorBidi" w:hAnsiTheme="majorBidi" w:cstheme="majorBidi"/>
                <w:color w:val="000000" w:themeColor="text1"/>
                <w:sz w:val="16"/>
                <w:szCs w:val="16"/>
              </w:rPr>
              <w:t>Mass detected</w:t>
            </w:r>
          </w:p>
        </w:tc>
        <w:tc>
          <w:tcPr>
            <w:tcW w:w="1701" w:type="dxa"/>
            <w:vAlign w:val="center"/>
          </w:tcPr>
          <w:p w14:paraId="0F27E14C"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Theme="majorBidi" w:hAnsiTheme="majorBidi" w:cstheme="majorBidi"/>
                <w:color w:val="000000" w:themeColor="text1"/>
                <w:sz w:val="16"/>
                <w:szCs w:val="16"/>
              </w:rPr>
              <w:t>COMPOUNDS NAME</w:t>
            </w:r>
          </w:p>
        </w:tc>
        <w:tc>
          <w:tcPr>
            <w:tcW w:w="2693" w:type="dxa"/>
            <w:vAlign w:val="center"/>
          </w:tcPr>
          <w:p w14:paraId="07FACA59" w14:textId="77777777" w:rsidR="004D1935" w:rsidRPr="00722D87" w:rsidRDefault="004D1935" w:rsidP="00E24DC9">
            <w:pPr>
              <w:jc w:val="center"/>
              <w:rPr>
                <w:rFonts w:asciiTheme="majorBidi" w:hAnsiTheme="majorBidi" w:cstheme="majorBidi"/>
                <w:color w:val="000000" w:themeColor="text1"/>
                <w:sz w:val="16"/>
                <w:szCs w:val="16"/>
              </w:rPr>
            </w:pPr>
            <w:r w:rsidRPr="00F54137">
              <w:rPr>
                <w:rFonts w:asciiTheme="majorBidi" w:hAnsiTheme="majorBidi" w:cstheme="majorBidi"/>
                <w:color w:val="000000" w:themeColor="text1"/>
                <w:sz w:val="16"/>
                <w:szCs w:val="16"/>
              </w:rPr>
              <w:t xml:space="preserve">chemical </w:t>
            </w:r>
            <w:r>
              <w:rPr>
                <w:rFonts w:asciiTheme="majorBidi" w:hAnsiTheme="majorBidi" w:cstheme="majorBidi"/>
                <w:color w:val="000000" w:themeColor="text1"/>
                <w:sz w:val="16"/>
                <w:szCs w:val="16"/>
              </w:rPr>
              <w:t>group</w:t>
            </w:r>
          </w:p>
        </w:tc>
        <w:tc>
          <w:tcPr>
            <w:tcW w:w="1134" w:type="dxa"/>
            <w:vAlign w:val="center"/>
          </w:tcPr>
          <w:p w14:paraId="3B31727A" w14:textId="77777777" w:rsidR="004D1935" w:rsidRPr="00722D87" w:rsidRDefault="004D1935" w:rsidP="00E24DC9">
            <w:pPr>
              <w:jc w:val="center"/>
              <w:rPr>
                <w:rFonts w:asciiTheme="majorBidi" w:hAnsiTheme="majorBidi" w:cstheme="majorBidi"/>
                <w:color w:val="000000" w:themeColor="text1"/>
                <w:sz w:val="16"/>
                <w:szCs w:val="16"/>
              </w:rPr>
            </w:pPr>
            <w:r w:rsidRPr="00F54137">
              <w:rPr>
                <w:rFonts w:asciiTheme="majorBidi" w:hAnsiTheme="majorBidi" w:cstheme="majorBidi"/>
                <w:color w:val="000000" w:themeColor="text1"/>
                <w:sz w:val="16"/>
                <w:szCs w:val="16"/>
              </w:rPr>
              <w:t xml:space="preserve">chemical </w:t>
            </w:r>
            <w:r>
              <w:rPr>
                <w:rFonts w:asciiTheme="majorBidi" w:hAnsiTheme="majorBidi" w:cstheme="majorBidi"/>
                <w:color w:val="000000" w:themeColor="text1"/>
                <w:sz w:val="16"/>
                <w:szCs w:val="16"/>
              </w:rPr>
              <w:t>formula</w:t>
            </w:r>
          </w:p>
        </w:tc>
        <w:tc>
          <w:tcPr>
            <w:tcW w:w="6804" w:type="dxa"/>
            <w:vAlign w:val="center"/>
          </w:tcPr>
          <w:p w14:paraId="73018A5C"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Theme="majorBidi" w:hAnsiTheme="majorBidi" w:cstheme="majorBidi"/>
                <w:color w:val="000000" w:themeColor="text1"/>
                <w:sz w:val="16"/>
                <w:szCs w:val="16"/>
              </w:rPr>
              <w:t>pathway</w:t>
            </w:r>
          </w:p>
        </w:tc>
      </w:tr>
      <w:tr w:rsidR="004D1935" w:rsidRPr="00F54137" w14:paraId="35B8CD06" w14:textId="77777777" w:rsidTr="00E24DC9">
        <w:tc>
          <w:tcPr>
            <w:tcW w:w="704" w:type="dxa"/>
            <w:vMerge w:val="restart"/>
            <w:vAlign w:val="center"/>
          </w:tcPr>
          <w:p w14:paraId="4F82F0D7" w14:textId="77777777" w:rsidR="004D1935" w:rsidRPr="00F54137" w:rsidRDefault="004D1935" w:rsidP="00E24DC9">
            <w:pPr>
              <w:jc w:val="center"/>
              <w:rPr>
                <w:rFonts w:ascii="Calibri" w:hAnsi="Calibri" w:cs="Calibri"/>
                <w:color w:val="000000" w:themeColor="text1"/>
                <w:sz w:val="16"/>
                <w:szCs w:val="16"/>
              </w:rPr>
            </w:pPr>
          </w:p>
        </w:tc>
        <w:tc>
          <w:tcPr>
            <w:tcW w:w="851" w:type="dxa"/>
            <w:tcBorders>
              <w:bottom w:val="nil"/>
            </w:tcBorders>
            <w:vAlign w:val="center"/>
          </w:tcPr>
          <w:p w14:paraId="6D5E3B46"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144.9284</w:t>
            </w:r>
          </w:p>
        </w:tc>
        <w:tc>
          <w:tcPr>
            <w:tcW w:w="1701" w:type="dxa"/>
            <w:vMerge w:val="restart"/>
            <w:vAlign w:val="center"/>
          </w:tcPr>
          <w:p w14:paraId="5314DE18" w14:textId="77777777" w:rsidR="004D1935" w:rsidRPr="00F54137" w:rsidRDefault="00000000" w:rsidP="00E24DC9">
            <w:pPr>
              <w:jc w:val="center"/>
              <w:rPr>
                <w:rFonts w:asciiTheme="majorBidi" w:hAnsiTheme="majorBidi" w:cstheme="majorBidi"/>
                <w:color w:val="000000" w:themeColor="text1"/>
                <w:sz w:val="16"/>
                <w:szCs w:val="16"/>
              </w:rPr>
            </w:pPr>
            <w:hyperlink r:id="rId68" w:history="1">
              <w:r w:rsidR="004D1935" w:rsidRPr="00F54137">
                <w:rPr>
                  <w:rFonts w:ascii="Calibri" w:hAnsi="Calibri" w:cs="Calibri"/>
                  <w:color w:val="000000" w:themeColor="text1"/>
                  <w:sz w:val="16"/>
                  <w:szCs w:val="16"/>
                </w:rPr>
                <w:t>quinolin-4-ol</w:t>
              </w:r>
            </w:hyperlink>
          </w:p>
          <w:p w14:paraId="62992DB0" w14:textId="77777777" w:rsidR="004D1935" w:rsidRPr="00F54137" w:rsidRDefault="00000000" w:rsidP="00E24DC9">
            <w:pPr>
              <w:jc w:val="center"/>
              <w:rPr>
                <w:rFonts w:asciiTheme="majorBidi" w:hAnsiTheme="majorBidi" w:cstheme="majorBidi"/>
                <w:color w:val="000000" w:themeColor="text1"/>
                <w:sz w:val="16"/>
                <w:szCs w:val="16"/>
              </w:rPr>
            </w:pPr>
            <w:hyperlink r:id="rId69" w:history="1">
              <w:r w:rsidR="004D1935" w:rsidRPr="00F54137">
                <w:rPr>
                  <w:rFonts w:ascii="Calibri" w:hAnsi="Calibri" w:cs="Calibri"/>
                  <w:color w:val="000000" w:themeColor="text1"/>
                  <w:sz w:val="16"/>
                  <w:szCs w:val="16"/>
                </w:rPr>
                <w:t>4-oxoglutaramate</w:t>
              </w:r>
            </w:hyperlink>
          </w:p>
          <w:p w14:paraId="297A9327" w14:textId="77777777" w:rsidR="004D1935" w:rsidRPr="00F54137" w:rsidRDefault="00000000" w:rsidP="00E24DC9">
            <w:pPr>
              <w:jc w:val="center"/>
              <w:rPr>
                <w:rFonts w:asciiTheme="majorBidi" w:hAnsiTheme="majorBidi" w:cstheme="majorBidi"/>
                <w:color w:val="000000" w:themeColor="text1"/>
                <w:sz w:val="16"/>
                <w:szCs w:val="16"/>
              </w:rPr>
            </w:pPr>
            <w:hyperlink r:id="rId70" w:history="1">
              <w:r w:rsidR="004D1935" w:rsidRPr="00F54137">
                <w:rPr>
                  <w:rFonts w:ascii="Calibri" w:hAnsi="Calibri" w:cs="Calibri"/>
                  <w:color w:val="000000" w:themeColor="text1"/>
                  <w:sz w:val="16"/>
                  <w:szCs w:val="16"/>
                </w:rPr>
                <w:t>2-oxoglutaramate</w:t>
              </w:r>
            </w:hyperlink>
          </w:p>
        </w:tc>
        <w:tc>
          <w:tcPr>
            <w:tcW w:w="2693" w:type="dxa"/>
            <w:vMerge w:val="restart"/>
            <w:vAlign w:val="center"/>
          </w:tcPr>
          <w:p w14:paraId="5E6C0D51" w14:textId="77777777" w:rsidR="004D1935" w:rsidRDefault="004D1935" w:rsidP="00E24DC9">
            <w:pPr>
              <w:jc w:val="center"/>
              <w:rPr>
                <w:rFonts w:ascii="Calibri" w:hAnsi="Calibri" w:cs="Calibri"/>
                <w:color w:val="000000" w:themeColor="text1"/>
                <w:sz w:val="16"/>
                <w:szCs w:val="16"/>
              </w:rPr>
            </w:pPr>
          </w:p>
          <w:p w14:paraId="7247C792"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quinoline/alkaloids</w:t>
            </w:r>
          </w:p>
          <w:p w14:paraId="46C02280"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Verdana" w:hAnsi="Verdana" w:cs="Calibri"/>
                <w:color w:val="000000" w:themeColor="text1"/>
                <w:sz w:val="16"/>
                <w:szCs w:val="16"/>
              </w:rPr>
              <w:t>carboxy acid/amines/peptides</w:t>
            </w:r>
          </w:p>
          <w:p w14:paraId="53F86915" w14:textId="77777777" w:rsidR="004D1935" w:rsidRDefault="004D1935" w:rsidP="00E24DC9">
            <w:pPr>
              <w:jc w:val="center"/>
              <w:rPr>
                <w:rFonts w:ascii="Arial" w:hAnsi="Arial" w:cs="Arial"/>
                <w:color w:val="000000" w:themeColor="text1"/>
                <w:sz w:val="16"/>
                <w:szCs w:val="16"/>
                <w:shd w:val="clear" w:color="auto" w:fill="FFFFFF"/>
              </w:rPr>
            </w:pPr>
            <w:r w:rsidRPr="00F54137">
              <w:rPr>
                <w:rFonts w:ascii="Calibri (Body)" w:hAnsi="Calibri (Body)" w:cs="Calibri"/>
                <w:color w:val="000000" w:themeColor="text1"/>
                <w:sz w:val="16"/>
                <w:szCs w:val="16"/>
              </w:rPr>
              <w:t>carboxy acid</w:t>
            </w:r>
          </w:p>
          <w:p w14:paraId="7BE429A2"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restart"/>
            <w:vAlign w:val="center"/>
          </w:tcPr>
          <w:p w14:paraId="7B1E3857" w14:textId="77777777" w:rsidR="004D1935" w:rsidRDefault="004D1935" w:rsidP="00E24DC9">
            <w:pPr>
              <w:jc w:val="center"/>
              <w:rPr>
                <w:rFonts w:ascii="Arial" w:hAnsi="Arial" w:cs="Arial"/>
                <w:color w:val="000000" w:themeColor="text1"/>
                <w:sz w:val="16"/>
                <w:szCs w:val="16"/>
                <w:shd w:val="clear" w:color="auto" w:fill="FFFFFF"/>
              </w:rPr>
            </w:pPr>
          </w:p>
          <w:p w14:paraId="5164519F" w14:textId="77777777" w:rsidR="004D1935" w:rsidRPr="006A4B56" w:rsidRDefault="004D1935" w:rsidP="00E24DC9">
            <w:pPr>
              <w:jc w:val="center"/>
              <w:rPr>
                <w:color w:val="000000" w:themeColor="text1"/>
                <w:sz w:val="16"/>
                <w:szCs w:val="16"/>
              </w:rPr>
            </w:pPr>
            <w:r w:rsidRPr="00F54137">
              <w:rPr>
                <w:rFonts w:ascii="Arial" w:hAnsi="Arial" w:cs="Arial"/>
                <w:color w:val="000000" w:themeColor="text1"/>
                <w:sz w:val="16"/>
                <w:szCs w:val="16"/>
                <w:shd w:val="clear" w:color="auto" w:fill="FFFFFF"/>
              </w:rPr>
              <w:t>C</w:t>
            </w:r>
            <w:r w:rsidRPr="00F54137">
              <w:rPr>
                <w:rFonts w:ascii="Arial" w:hAnsi="Arial" w:cs="Arial"/>
                <w:color w:val="000000" w:themeColor="text1"/>
                <w:sz w:val="16"/>
                <w:szCs w:val="16"/>
                <w:shd w:val="clear" w:color="auto" w:fill="FFFFFF"/>
                <w:vertAlign w:val="subscript"/>
              </w:rPr>
              <w:t>9</w:t>
            </w:r>
            <w:r w:rsidRPr="00F54137">
              <w:rPr>
                <w:rFonts w:ascii="Arial" w:hAnsi="Arial" w:cs="Arial"/>
                <w:color w:val="000000" w:themeColor="text1"/>
                <w:sz w:val="16"/>
                <w:szCs w:val="16"/>
                <w:shd w:val="clear" w:color="auto" w:fill="FFFFFF"/>
              </w:rPr>
              <w:t>H</w:t>
            </w:r>
            <w:r w:rsidRPr="00F54137">
              <w:rPr>
                <w:rFonts w:ascii="Arial" w:hAnsi="Arial" w:cs="Arial"/>
                <w:color w:val="000000" w:themeColor="text1"/>
                <w:sz w:val="16"/>
                <w:szCs w:val="16"/>
                <w:shd w:val="clear" w:color="auto" w:fill="FFFFFF"/>
                <w:vertAlign w:val="subscript"/>
              </w:rPr>
              <w:t>7</w:t>
            </w:r>
            <w:r w:rsidRPr="00F54137">
              <w:rPr>
                <w:rFonts w:ascii="Arial" w:hAnsi="Arial" w:cs="Arial"/>
                <w:color w:val="000000" w:themeColor="text1"/>
                <w:sz w:val="16"/>
                <w:szCs w:val="16"/>
                <w:shd w:val="clear" w:color="auto" w:fill="FFFFFF"/>
              </w:rPr>
              <w:t>NO</w:t>
            </w:r>
          </w:p>
          <w:p w14:paraId="109C2FE2" w14:textId="77777777" w:rsidR="004D1935" w:rsidRPr="00F54137" w:rsidRDefault="004D1935" w:rsidP="00E24DC9">
            <w:pPr>
              <w:jc w:val="center"/>
              <w:rPr>
                <w:color w:val="000000" w:themeColor="text1"/>
                <w:sz w:val="16"/>
                <w:szCs w:val="16"/>
              </w:rPr>
            </w:pPr>
            <w:r w:rsidRPr="00F54137">
              <w:rPr>
                <w:rFonts w:ascii="Arial" w:hAnsi="Arial" w:cs="Arial"/>
                <w:color w:val="000000" w:themeColor="text1"/>
                <w:sz w:val="16"/>
                <w:szCs w:val="16"/>
                <w:shd w:val="clear" w:color="auto" w:fill="FFFFFF"/>
              </w:rPr>
              <w:t>C</w:t>
            </w:r>
            <w:r w:rsidRPr="00F54137">
              <w:rPr>
                <w:rFonts w:ascii="Arial" w:hAnsi="Arial" w:cs="Arial"/>
                <w:color w:val="000000" w:themeColor="text1"/>
                <w:sz w:val="16"/>
                <w:szCs w:val="16"/>
                <w:shd w:val="clear" w:color="auto" w:fill="FFFFFF"/>
                <w:vertAlign w:val="subscript"/>
              </w:rPr>
              <w:t>5</w:t>
            </w:r>
            <w:r w:rsidRPr="00F54137">
              <w:rPr>
                <w:rFonts w:ascii="Arial" w:hAnsi="Arial" w:cs="Arial"/>
                <w:color w:val="000000" w:themeColor="text1"/>
                <w:sz w:val="16"/>
                <w:szCs w:val="16"/>
                <w:shd w:val="clear" w:color="auto" w:fill="FFFFFF"/>
              </w:rPr>
              <w:t>H</w:t>
            </w:r>
            <w:r w:rsidRPr="00F54137">
              <w:rPr>
                <w:rFonts w:ascii="Arial" w:hAnsi="Arial" w:cs="Arial"/>
                <w:color w:val="000000" w:themeColor="text1"/>
                <w:sz w:val="16"/>
                <w:szCs w:val="16"/>
                <w:shd w:val="clear" w:color="auto" w:fill="FFFFFF"/>
                <w:vertAlign w:val="subscript"/>
              </w:rPr>
              <w:t>6</w:t>
            </w:r>
            <w:r w:rsidRPr="00F54137">
              <w:rPr>
                <w:rFonts w:ascii="Arial" w:hAnsi="Arial" w:cs="Arial"/>
                <w:color w:val="000000" w:themeColor="text1"/>
                <w:sz w:val="16"/>
                <w:szCs w:val="16"/>
                <w:shd w:val="clear" w:color="auto" w:fill="FFFFFF"/>
              </w:rPr>
              <w:t>NO</w:t>
            </w:r>
            <w:r w:rsidRPr="00F54137">
              <w:rPr>
                <w:rFonts w:ascii="Arial" w:hAnsi="Arial" w:cs="Arial"/>
                <w:color w:val="000000" w:themeColor="text1"/>
                <w:sz w:val="16"/>
                <w:szCs w:val="16"/>
                <w:shd w:val="clear" w:color="auto" w:fill="FFFFFF"/>
                <w:vertAlign w:val="subscript"/>
              </w:rPr>
              <w:t>4</w:t>
            </w:r>
          </w:p>
          <w:p w14:paraId="52E5B2E3" w14:textId="77777777" w:rsidR="004D1935" w:rsidRPr="00F54137" w:rsidRDefault="004D1935" w:rsidP="00E24DC9">
            <w:pPr>
              <w:jc w:val="center"/>
              <w:rPr>
                <w:color w:val="000000" w:themeColor="text1"/>
                <w:sz w:val="16"/>
                <w:szCs w:val="16"/>
              </w:rPr>
            </w:pPr>
            <w:r w:rsidRPr="00F54137">
              <w:rPr>
                <w:rFonts w:ascii="Arial" w:hAnsi="Arial" w:cs="Arial"/>
                <w:color w:val="000000" w:themeColor="text1"/>
                <w:sz w:val="16"/>
                <w:szCs w:val="16"/>
                <w:shd w:val="clear" w:color="auto" w:fill="FFFFFF"/>
              </w:rPr>
              <w:t>C</w:t>
            </w:r>
            <w:r w:rsidRPr="00F54137">
              <w:rPr>
                <w:rFonts w:ascii="Arial" w:hAnsi="Arial" w:cs="Arial"/>
                <w:color w:val="000000" w:themeColor="text1"/>
                <w:sz w:val="16"/>
                <w:szCs w:val="16"/>
                <w:shd w:val="clear" w:color="auto" w:fill="FFFFFF"/>
                <w:vertAlign w:val="subscript"/>
              </w:rPr>
              <w:t>5</w:t>
            </w:r>
            <w:r w:rsidRPr="00F54137">
              <w:rPr>
                <w:rFonts w:ascii="Arial" w:hAnsi="Arial" w:cs="Arial"/>
                <w:color w:val="000000" w:themeColor="text1"/>
                <w:sz w:val="16"/>
                <w:szCs w:val="16"/>
                <w:shd w:val="clear" w:color="auto" w:fill="FFFFFF"/>
              </w:rPr>
              <w:t>H</w:t>
            </w:r>
            <w:r w:rsidRPr="00F54137">
              <w:rPr>
                <w:rFonts w:ascii="Arial" w:hAnsi="Arial" w:cs="Arial"/>
                <w:color w:val="000000" w:themeColor="text1"/>
                <w:sz w:val="16"/>
                <w:szCs w:val="16"/>
                <w:shd w:val="clear" w:color="auto" w:fill="FFFFFF"/>
                <w:vertAlign w:val="subscript"/>
              </w:rPr>
              <w:t>6</w:t>
            </w:r>
            <w:r w:rsidRPr="00F54137">
              <w:rPr>
                <w:rFonts w:ascii="Arial" w:hAnsi="Arial" w:cs="Arial"/>
                <w:color w:val="000000" w:themeColor="text1"/>
                <w:sz w:val="16"/>
                <w:szCs w:val="16"/>
                <w:shd w:val="clear" w:color="auto" w:fill="FFFFFF"/>
              </w:rPr>
              <w:t>NO</w:t>
            </w:r>
            <w:r w:rsidRPr="00F54137">
              <w:rPr>
                <w:rFonts w:ascii="Arial" w:hAnsi="Arial" w:cs="Arial"/>
                <w:color w:val="000000" w:themeColor="text1"/>
                <w:sz w:val="16"/>
                <w:szCs w:val="16"/>
                <w:shd w:val="clear" w:color="auto" w:fill="FFFFFF"/>
                <w:vertAlign w:val="subscript"/>
              </w:rPr>
              <w:t>4</w:t>
            </w:r>
          </w:p>
          <w:p w14:paraId="510C9ABC"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restart"/>
            <w:vAlign w:val="center"/>
          </w:tcPr>
          <w:p w14:paraId="6B990A31"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Verdana" w:hAnsi="Verdana" w:cs="Calibri"/>
                <w:color w:val="000000" w:themeColor="text1"/>
                <w:sz w:val="16"/>
                <w:szCs w:val="16"/>
              </w:rPr>
              <w:t>Biosynthesis of antibiotics</w:t>
            </w:r>
          </w:p>
          <w:p w14:paraId="6928E938"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Verdana" w:hAnsi="Verdana" w:cs="Calibri"/>
                <w:color w:val="000000" w:themeColor="text1"/>
                <w:sz w:val="16"/>
                <w:szCs w:val="16"/>
              </w:rPr>
              <w:t>Histidine metabolism</w:t>
            </w:r>
          </w:p>
          <w:p w14:paraId="6187E714"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Verdana" w:hAnsi="Verdana" w:cs="Calibri"/>
                <w:color w:val="000000" w:themeColor="text1"/>
                <w:sz w:val="16"/>
                <w:szCs w:val="16"/>
              </w:rPr>
              <w:t>Alanine, aspartate and glutamate metabolism</w:t>
            </w:r>
          </w:p>
        </w:tc>
      </w:tr>
      <w:tr w:rsidR="004D1935" w:rsidRPr="00F54137" w14:paraId="0B6605FA" w14:textId="77777777" w:rsidTr="00E24DC9">
        <w:tc>
          <w:tcPr>
            <w:tcW w:w="704" w:type="dxa"/>
            <w:vMerge/>
            <w:vAlign w:val="center"/>
          </w:tcPr>
          <w:p w14:paraId="0D9E2218"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068EAE11"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144.9556</w:t>
            </w:r>
          </w:p>
        </w:tc>
        <w:tc>
          <w:tcPr>
            <w:tcW w:w="1701" w:type="dxa"/>
            <w:vMerge/>
            <w:vAlign w:val="center"/>
          </w:tcPr>
          <w:p w14:paraId="2AB87042"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00B762A8"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16506FDF"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26E07144"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42CEEFEA" w14:textId="77777777" w:rsidTr="00E24DC9">
        <w:tc>
          <w:tcPr>
            <w:tcW w:w="704" w:type="dxa"/>
            <w:vMerge/>
            <w:vAlign w:val="center"/>
          </w:tcPr>
          <w:p w14:paraId="63FFEF7E"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6C93A8A6"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144.9863</w:t>
            </w:r>
          </w:p>
        </w:tc>
        <w:tc>
          <w:tcPr>
            <w:tcW w:w="1701" w:type="dxa"/>
            <w:vMerge/>
            <w:vAlign w:val="center"/>
          </w:tcPr>
          <w:p w14:paraId="77B9D1CD"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2EB29C16"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151AC027"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3E4A4892"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2B13C17C" w14:textId="77777777" w:rsidTr="00E24DC9">
        <w:tc>
          <w:tcPr>
            <w:tcW w:w="704" w:type="dxa"/>
            <w:vMerge/>
            <w:vAlign w:val="center"/>
          </w:tcPr>
          <w:p w14:paraId="17D6CCE9"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267FC583"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145.0214</w:t>
            </w:r>
          </w:p>
        </w:tc>
        <w:tc>
          <w:tcPr>
            <w:tcW w:w="1701" w:type="dxa"/>
            <w:vMerge/>
            <w:vAlign w:val="center"/>
          </w:tcPr>
          <w:p w14:paraId="0EC8F548"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4E767198"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30F0B507"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1D5D9B19"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5EBA8236" w14:textId="77777777" w:rsidTr="00E24DC9">
        <w:tc>
          <w:tcPr>
            <w:tcW w:w="704" w:type="dxa"/>
            <w:vMerge/>
            <w:vAlign w:val="center"/>
          </w:tcPr>
          <w:p w14:paraId="2FF27CC0"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04A8AF44"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145.0530</w:t>
            </w:r>
          </w:p>
        </w:tc>
        <w:tc>
          <w:tcPr>
            <w:tcW w:w="1701" w:type="dxa"/>
            <w:vMerge/>
            <w:vAlign w:val="center"/>
          </w:tcPr>
          <w:p w14:paraId="56586B30"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19150614"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5696E77C"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763B5F0E"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263F8464" w14:textId="77777777" w:rsidTr="00E24DC9">
        <w:tc>
          <w:tcPr>
            <w:tcW w:w="704" w:type="dxa"/>
            <w:vMerge/>
            <w:vAlign w:val="center"/>
          </w:tcPr>
          <w:p w14:paraId="342241A3"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213CD2E6"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145.0863</w:t>
            </w:r>
          </w:p>
        </w:tc>
        <w:tc>
          <w:tcPr>
            <w:tcW w:w="1701" w:type="dxa"/>
            <w:vMerge/>
            <w:vAlign w:val="center"/>
          </w:tcPr>
          <w:p w14:paraId="35737C60"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2A7738E8"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3ACEE171"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2DAB78A1"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39DE5DEA" w14:textId="77777777" w:rsidTr="00E24DC9">
        <w:tc>
          <w:tcPr>
            <w:tcW w:w="704" w:type="dxa"/>
            <w:vMerge/>
            <w:vAlign w:val="center"/>
          </w:tcPr>
          <w:p w14:paraId="6DC6CA3D"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7E498529"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144.9687</w:t>
            </w:r>
          </w:p>
        </w:tc>
        <w:tc>
          <w:tcPr>
            <w:tcW w:w="1701" w:type="dxa"/>
            <w:vMerge/>
            <w:vAlign w:val="center"/>
          </w:tcPr>
          <w:p w14:paraId="65867199"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71C0F696"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12C0C9F0"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090FAFF7"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66B02579" w14:textId="77777777" w:rsidTr="00E24DC9">
        <w:tc>
          <w:tcPr>
            <w:tcW w:w="704" w:type="dxa"/>
            <w:vMerge/>
            <w:vAlign w:val="center"/>
          </w:tcPr>
          <w:p w14:paraId="22C5A2EA"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1307BABC"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144.9994</w:t>
            </w:r>
          </w:p>
        </w:tc>
        <w:tc>
          <w:tcPr>
            <w:tcW w:w="1701" w:type="dxa"/>
            <w:vMerge/>
            <w:vAlign w:val="center"/>
          </w:tcPr>
          <w:p w14:paraId="2A937BF7"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77077903"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74BA5076"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2AADC01F"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19ED5CD7" w14:textId="77777777" w:rsidTr="00E24DC9">
        <w:tc>
          <w:tcPr>
            <w:tcW w:w="704" w:type="dxa"/>
            <w:vMerge/>
            <w:vAlign w:val="center"/>
          </w:tcPr>
          <w:p w14:paraId="0E9A865A"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5920D3AE"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145.0302</w:t>
            </w:r>
          </w:p>
        </w:tc>
        <w:tc>
          <w:tcPr>
            <w:tcW w:w="1701" w:type="dxa"/>
            <w:vMerge/>
            <w:vAlign w:val="center"/>
          </w:tcPr>
          <w:p w14:paraId="5B65A1C3"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64FB90BA"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21EC1613"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79179CF5"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5D7BC199" w14:textId="77777777" w:rsidTr="00E24DC9">
        <w:tc>
          <w:tcPr>
            <w:tcW w:w="704" w:type="dxa"/>
            <w:vMerge/>
            <w:vAlign w:val="center"/>
          </w:tcPr>
          <w:p w14:paraId="420F6512"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63A52985"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145.0565</w:t>
            </w:r>
          </w:p>
        </w:tc>
        <w:tc>
          <w:tcPr>
            <w:tcW w:w="1701" w:type="dxa"/>
            <w:vMerge/>
            <w:vAlign w:val="center"/>
          </w:tcPr>
          <w:p w14:paraId="5236C62E"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1A5DBE03"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194F30C4"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0E0E811C"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0AEDC179" w14:textId="77777777" w:rsidTr="00E24DC9">
        <w:tc>
          <w:tcPr>
            <w:tcW w:w="704" w:type="dxa"/>
            <w:vMerge/>
            <w:vAlign w:val="center"/>
          </w:tcPr>
          <w:p w14:paraId="6FBEEDC9"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0AB524BE"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145.0881</w:t>
            </w:r>
          </w:p>
        </w:tc>
        <w:tc>
          <w:tcPr>
            <w:tcW w:w="1701" w:type="dxa"/>
            <w:vMerge/>
            <w:vAlign w:val="center"/>
          </w:tcPr>
          <w:p w14:paraId="624F5614"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18A61AEE"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3763D1E3"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0B77B880"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74F9E0F6" w14:textId="77777777" w:rsidTr="00E24DC9">
        <w:tc>
          <w:tcPr>
            <w:tcW w:w="704" w:type="dxa"/>
            <w:vMerge/>
            <w:vAlign w:val="center"/>
          </w:tcPr>
          <w:p w14:paraId="5E23F08F"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23D0813B"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144.9301</w:t>
            </w:r>
          </w:p>
        </w:tc>
        <w:tc>
          <w:tcPr>
            <w:tcW w:w="1701" w:type="dxa"/>
            <w:vMerge/>
            <w:vAlign w:val="center"/>
          </w:tcPr>
          <w:p w14:paraId="10FA81C3"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7550DAB2"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39E2DC18"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4F226141"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06E4E1E1" w14:textId="77777777" w:rsidTr="00E24DC9">
        <w:tc>
          <w:tcPr>
            <w:tcW w:w="704" w:type="dxa"/>
            <w:vMerge/>
            <w:vAlign w:val="center"/>
          </w:tcPr>
          <w:p w14:paraId="31384237"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565113C4"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144.9591</w:t>
            </w:r>
          </w:p>
        </w:tc>
        <w:tc>
          <w:tcPr>
            <w:tcW w:w="1701" w:type="dxa"/>
            <w:vMerge/>
            <w:vAlign w:val="center"/>
          </w:tcPr>
          <w:p w14:paraId="7F703398"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0E7855EB"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3984CA0D"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3648189C"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24BFD3FC" w14:textId="77777777" w:rsidTr="00E24DC9">
        <w:tc>
          <w:tcPr>
            <w:tcW w:w="704" w:type="dxa"/>
            <w:vMerge/>
            <w:vAlign w:val="center"/>
          </w:tcPr>
          <w:p w14:paraId="15BA39FA"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244ED901"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144.9871</w:t>
            </w:r>
          </w:p>
        </w:tc>
        <w:tc>
          <w:tcPr>
            <w:tcW w:w="1701" w:type="dxa"/>
            <w:vMerge/>
            <w:vAlign w:val="center"/>
          </w:tcPr>
          <w:p w14:paraId="7FE7C324"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79363CBA"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30C4A721"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034C64B3"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528D1832" w14:textId="77777777" w:rsidTr="00E24DC9">
        <w:tc>
          <w:tcPr>
            <w:tcW w:w="704" w:type="dxa"/>
            <w:vMerge/>
            <w:vAlign w:val="center"/>
          </w:tcPr>
          <w:p w14:paraId="6E3443C9"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661973AC"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145.0196</w:t>
            </w:r>
          </w:p>
        </w:tc>
        <w:tc>
          <w:tcPr>
            <w:tcW w:w="1701" w:type="dxa"/>
            <w:vMerge/>
            <w:vAlign w:val="center"/>
          </w:tcPr>
          <w:p w14:paraId="79777ED9"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784A4436"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5427D5B6"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173E77F8"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5DC9DEC4" w14:textId="77777777" w:rsidTr="00E24DC9">
        <w:tc>
          <w:tcPr>
            <w:tcW w:w="704" w:type="dxa"/>
            <w:vMerge/>
            <w:vAlign w:val="center"/>
          </w:tcPr>
          <w:p w14:paraId="09E60B5C"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594E900D"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145.0512</w:t>
            </w:r>
          </w:p>
        </w:tc>
        <w:tc>
          <w:tcPr>
            <w:tcW w:w="1701" w:type="dxa"/>
            <w:vMerge/>
            <w:vAlign w:val="center"/>
          </w:tcPr>
          <w:p w14:paraId="35F93570"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3483E70D"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43439DA3"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14034DBC"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634A197F" w14:textId="77777777" w:rsidTr="00E24DC9">
        <w:tc>
          <w:tcPr>
            <w:tcW w:w="704" w:type="dxa"/>
            <w:vMerge/>
            <w:vAlign w:val="center"/>
          </w:tcPr>
          <w:p w14:paraId="2473EB42"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0E150597"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145.0267</w:t>
            </w:r>
          </w:p>
        </w:tc>
        <w:tc>
          <w:tcPr>
            <w:tcW w:w="1701" w:type="dxa"/>
            <w:vMerge/>
            <w:vAlign w:val="center"/>
          </w:tcPr>
          <w:p w14:paraId="578437B0"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06593FDF"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28F3F4D4"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32041FF0"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11E1B0B2" w14:textId="77777777" w:rsidTr="00E24DC9">
        <w:tc>
          <w:tcPr>
            <w:tcW w:w="704" w:type="dxa"/>
            <w:vMerge/>
            <w:vAlign w:val="center"/>
          </w:tcPr>
          <w:p w14:paraId="2CC0F8C7"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0214A364"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145.0547</w:t>
            </w:r>
          </w:p>
        </w:tc>
        <w:tc>
          <w:tcPr>
            <w:tcW w:w="1701" w:type="dxa"/>
            <w:vMerge/>
            <w:vAlign w:val="center"/>
          </w:tcPr>
          <w:p w14:paraId="6CCCF689"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0E1AE35B"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3890CEBC"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2657D060"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013BD02E" w14:textId="77777777" w:rsidTr="00E24DC9">
        <w:tc>
          <w:tcPr>
            <w:tcW w:w="704" w:type="dxa"/>
            <w:vMerge/>
            <w:vAlign w:val="center"/>
          </w:tcPr>
          <w:p w14:paraId="1A444A86"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48EBB073"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144.9161</w:t>
            </w:r>
          </w:p>
        </w:tc>
        <w:tc>
          <w:tcPr>
            <w:tcW w:w="1701" w:type="dxa"/>
            <w:vMerge/>
            <w:vAlign w:val="center"/>
          </w:tcPr>
          <w:p w14:paraId="14DD0758"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7E6F6D18"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13B91F6B"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3FF6FC5A"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4B031A4F" w14:textId="77777777" w:rsidTr="00E24DC9">
        <w:tc>
          <w:tcPr>
            <w:tcW w:w="704" w:type="dxa"/>
            <w:vMerge/>
            <w:vAlign w:val="center"/>
          </w:tcPr>
          <w:p w14:paraId="6EAE3320"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2BEC383B"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144.9608</w:t>
            </w:r>
          </w:p>
        </w:tc>
        <w:tc>
          <w:tcPr>
            <w:tcW w:w="1701" w:type="dxa"/>
            <w:vMerge/>
            <w:vAlign w:val="center"/>
          </w:tcPr>
          <w:p w14:paraId="2035FA24"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51C9EE39"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4AC4F4EC"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00F4D103"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1E5B4F11" w14:textId="77777777" w:rsidTr="00E24DC9">
        <w:tc>
          <w:tcPr>
            <w:tcW w:w="704" w:type="dxa"/>
            <w:vMerge/>
            <w:vAlign w:val="center"/>
          </w:tcPr>
          <w:p w14:paraId="511527B5"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33A13C59"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144.9968</w:t>
            </w:r>
          </w:p>
        </w:tc>
        <w:tc>
          <w:tcPr>
            <w:tcW w:w="1701" w:type="dxa"/>
            <w:vMerge/>
            <w:vAlign w:val="center"/>
          </w:tcPr>
          <w:p w14:paraId="4B94E3E5"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29F79F8F"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1BB102D9"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70C706C3"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7C389F37" w14:textId="77777777" w:rsidTr="00E24DC9">
        <w:tc>
          <w:tcPr>
            <w:tcW w:w="704" w:type="dxa"/>
            <w:vMerge/>
            <w:vAlign w:val="center"/>
          </w:tcPr>
          <w:p w14:paraId="2FF50C21"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66DF165E"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144.9565</w:t>
            </w:r>
          </w:p>
        </w:tc>
        <w:tc>
          <w:tcPr>
            <w:tcW w:w="1701" w:type="dxa"/>
            <w:vMerge/>
            <w:vAlign w:val="center"/>
          </w:tcPr>
          <w:p w14:paraId="1769FFD3"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5887F5CD"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72EDA37E"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21A619CD"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64672929" w14:textId="77777777" w:rsidTr="00E24DC9">
        <w:tc>
          <w:tcPr>
            <w:tcW w:w="704" w:type="dxa"/>
            <w:vMerge/>
            <w:vAlign w:val="center"/>
          </w:tcPr>
          <w:p w14:paraId="234107B4"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10D14EA6"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145.0029</w:t>
            </w:r>
          </w:p>
        </w:tc>
        <w:tc>
          <w:tcPr>
            <w:tcW w:w="1701" w:type="dxa"/>
            <w:vMerge/>
            <w:vAlign w:val="center"/>
          </w:tcPr>
          <w:p w14:paraId="48C2EA01"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78980EF0"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7C820093"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225CFD1E"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6B2215DF" w14:textId="77777777" w:rsidTr="00E24DC9">
        <w:tc>
          <w:tcPr>
            <w:tcW w:w="704" w:type="dxa"/>
            <w:vMerge/>
            <w:vAlign w:val="center"/>
          </w:tcPr>
          <w:p w14:paraId="64A2EBC0"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593B0721"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145.0319</w:t>
            </w:r>
          </w:p>
        </w:tc>
        <w:tc>
          <w:tcPr>
            <w:tcW w:w="1701" w:type="dxa"/>
            <w:vMerge/>
            <w:vAlign w:val="center"/>
          </w:tcPr>
          <w:p w14:paraId="488D69C9"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742013F7"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0DAAE3AB"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6FECD130"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31970813" w14:textId="77777777" w:rsidTr="00E24DC9">
        <w:tc>
          <w:tcPr>
            <w:tcW w:w="704" w:type="dxa"/>
            <w:vMerge/>
            <w:vAlign w:val="center"/>
          </w:tcPr>
          <w:p w14:paraId="15ADFA89"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4E710A3F"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144.9134</w:t>
            </w:r>
          </w:p>
        </w:tc>
        <w:tc>
          <w:tcPr>
            <w:tcW w:w="1701" w:type="dxa"/>
            <w:vMerge/>
            <w:vAlign w:val="center"/>
          </w:tcPr>
          <w:p w14:paraId="61A300BB"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455FEAB6"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0BBC2DB9"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4D32D15F"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1537C7F2" w14:textId="77777777" w:rsidTr="00E24DC9">
        <w:tc>
          <w:tcPr>
            <w:tcW w:w="704" w:type="dxa"/>
            <w:vMerge/>
            <w:vAlign w:val="center"/>
          </w:tcPr>
          <w:p w14:paraId="0A1D7D39"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2859AFA7"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144.9407</w:t>
            </w:r>
          </w:p>
        </w:tc>
        <w:tc>
          <w:tcPr>
            <w:tcW w:w="1701" w:type="dxa"/>
            <w:vMerge/>
            <w:vAlign w:val="center"/>
          </w:tcPr>
          <w:p w14:paraId="13B45923"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08CC416D"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1EF69E6F"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7628C5C3"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5CBDDB7C" w14:textId="77777777" w:rsidTr="00E24DC9">
        <w:tc>
          <w:tcPr>
            <w:tcW w:w="704" w:type="dxa"/>
            <w:vMerge/>
            <w:vAlign w:val="center"/>
          </w:tcPr>
          <w:p w14:paraId="17FE5D5E"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14509972"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144.9679</w:t>
            </w:r>
          </w:p>
        </w:tc>
        <w:tc>
          <w:tcPr>
            <w:tcW w:w="1701" w:type="dxa"/>
            <w:vMerge/>
            <w:vAlign w:val="center"/>
          </w:tcPr>
          <w:p w14:paraId="731B6A07"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7DBF708C"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344D9B2E"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2046F1FB"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71A3EC7F" w14:textId="77777777" w:rsidTr="00E24DC9">
        <w:tc>
          <w:tcPr>
            <w:tcW w:w="704" w:type="dxa"/>
            <w:vMerge/>
            <w:vAlign w:val="center"/>
          </w:tcPr>
          <w:p w14:paraId="7A9A11D0"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03AA5CBD"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145.0030</w:t>
            </w:r>
          </w:p>
        </w:tc>
        <w:tc>
          <w:tcPr>
            <w:tcW w:w="1701" w:type="dxa"/>
            <w:vMerge/>
            <w:vAlign w:val="center"/>
          </w:tcPr>
          <w:p w14:paraId="39B48205"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5CECDEF8"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0632B22E"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61EA3945"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3A84987C" w14:textId="77777777" w:rsidTr="00E24DC9">
        <w:tc>
          <w:tcPr>
            <w:tcW w:w="704" w:type="dxa"/>
            <w:vMerge/>
            <w:vAlign w:val="center"/>
          </w:tcPr>
          <w:p w14:paraId="38B4BB93"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088CBE90"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144.9056</w:t>
            </w:r>
          </w:p>
        </w:tc>
        <w:tc>
          <w:tcPr>
            <w:tcW w:w="1701" w:type="dxa"/>
            <w:vMerge/>
            <w:vAlign w:val="center"/>
          </w:tcPr>
          <w:p w14:paraId="1A774AB8"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6D7A355B"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045DCCF6"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1D8CB83C"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6B9A2989" w14:textId="77777777" w:rsidTr="00E24DC9">
        <w:tc>
          <w:tcPr>
            <w:tcW w:w="704" w:type="dxa"/>
            <w:vMerge/>
            <w:vAlign w:val="center"/>
          </w:tcPr>
          <w:p w14:paraId="0BDA99DA"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5C4CFAA3"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144.9652</w:t>
            </w:r>
          </w:p>
        </w:tc>
        <w:tc>
          <w:tcPr>
            <w:tcW w:w="1701" w:type="dxa"/>
            <w:vMerge/>
            <w:vAlign w:val="center"/>
          </w:tcPr>
          <w:p w14:paraId="10383322"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570E52C0"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5B8980D1"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451FAF70"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4D9BAC99" w14:textId="77777777" w:rsidTr="00E24DC9">
        <w:tc>
          <w:tcPr>
            <w:tcW w:w="704" w:type="dxa"/>
            <w:vMerge/>
            <w:vAlign w:val="center"/>
          </w:tcPr>
          <w:p w14:paraId="14386269"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52241083"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144.9977</w:t>
            </w:r>
          </w:p>
        </w:tc>
        <w:tc>
          <w:tcPr>
            <w:tcW w:w="1701" w:type="dxa"/>
            <w:vMerge/>
            <w:vAlign w:val="center"/>
          </w:tcPr>
          <w:p w14:paraId="4C9A5E89"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59298BA7"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29DF765D"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7CCC8873"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214F94AB" w14:textId="77777777" w:rsidTr="00E24DC9">
        <w:tc>
          <w:tcPr>
            <w:tcW w:w="704" w:type="dxa"/>
            <w:vMerge/>
            <w:vAlign w:val="center"/>
          </w:tcPr>
          <w:p w14:paraId="68393721"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7604ED1D"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144.9152</w:t>
            </w:r>
          </w:p>
        </w:tc>
        <w:tc>
          <w:tcPr>
            <w:tcW w:w="1701" w:type="dxa"/>
            <w:vMerge/>
            <w:vAlign w:val="center"/>
          </w:tcPr>
          <w:p w14:paraId="3609629A"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21188B88"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45ADB53A"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340E3D39"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324279CA" w14:textId="77777777" w:rsidTr="00E24DC9">
        <w:tc>
          <w:tcPr>
            <w:tcW w:w="704" w:type="dxa"/>
            <w:vMerge/>
            <w:vAlign w:val="center"/>
          </w:tcPr>
          <w:p w14:paraId="05071940"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7C605768"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144.9459</w:t>
            </w:r>
          </w:p>
        </w:tc>
        <w:tc>
          <w:tcPr>
            <w:tcW w:w="1701" w:type="dxa"/>
            <w:vMerge/>
            <w:vAlign w:val="center"/>
          </w:tcPr>
          <w:p w14:paraId="1706229A"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616A1E1F"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3F128399"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444F537B"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5E3137DD" w14:textId="77777777" w:rsidTr="00E24DC9">
        <w:tc>
          <w:tcPr>
            <w:tcW w:w="704" w:type="dxa"/>
            <w:vMerge/>
            <w:vAlign w:val="center"/>
          </w:tcPr>
          <w:p w14:paraId="3B4707A2"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2EFCB61B"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144.9749</w:t>
            </w:r>
          </w:p>
        </w:tc>
        <w:tc>
          <w:tcPr>
            <w:tcW w:w="1701" w:type="dxa"/>
            <w:vMerge/>
            <w:vAlign w:val="center"/>
          </w:tcPr>
          <w:p w14:paraId="2FE304FF"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334386A6"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40916A3E"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25A5A17E"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4955840E" w14:textId="77777777" w:rsidTr="00E24DC9">
        <w:tc>
          <w:tcPr>
            <w:tcW w:w="704" w:type="dxa"/>
            <w:vMerge/>
            <w:vAlign w:val="center"/>
          </w:tcPr>
          <w:p w14:paraId="2138F201"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20A8C63D"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145.0240</w:t>
            </w:r>
          </w:p>
        </w:tc>
        <w:tc>
          <w:tcPr>
            <w:tcW w:w="1701" w:type="dxa"/>
            <w:vMerge/>
            <w:vAlign w:val="center"/>
          </w:tcPr>
          <w:p w14:paraId="05C9DCA5"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2C22482F"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3A380D4A"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13629E09"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6E03712E" w14:textId="77777777" w:rsidTr="00E24DC9">
        <w:tc>
          <w:tcPr>
            <w:tcW w:w="704" w:type="dxa"/>
            <w:vMerge/>
            <w:vAlign w:val="center"/>
          </w:tcPr>
          <w:p w14:paraId="70B7DD2E"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58AD3495"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145.0135</w:t>
            </w:r>
          </w:p>
        </w:tc>
        <w:tc>
          <w:tcPr>
            <w:tcW w:w="1701" w:type="dxa"/>
            <w:vMerge/>
            <w:vAlign w:val="center"/>
          </w:tcPr>
          <w:p w14:paraId="07C7102C"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7AC42BDE"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52D3D337"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235AD0A8"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6EE3DD48" w14:textId="77777777" w:rsidTr="00E24DC9">
        <w:tc>
          <w:tcPr>
            <w:tcW w:w="704" w:type="dxa"/>
            <w:vMerge/>
            <w:vAlign w:val="center"/>
          </w:tcPr>
          <w:p w14:paraId="1519DBBD"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1C0F960A"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145.0846</w:t>
            </w:r>
          </w:p>
        </w:tc>
        <w:tc>
          <w:tcPr>
            <w:tcW w:w="1701" w:type="dxa"/>
            <w:vMerge/>
            <w:vAlign w:val="center"/>
          </w:tcPr>
          <w:p w14:paraId="1CFBAFD6"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7E95730A"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466B3FB8"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1B783DB4"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7C5CC6CC" w14:textId="77777777" w:rsidTr="00E24DC9">
        <w:tc>
          <w:tcPr>
            <w:tcW w:w="704" w:type="dxa"/>
            <w:vMerge/>
            <w:vAlign w:val="center"/>
          </w:tcPr>
          <w:p w14:paraId="36AD0A85"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2779516E"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144.9950</w:t>
            </w:r>
          </w:p>
        </w:tc>
        <w:tc>
          <w:tcPr>
            <w:tcW w:w="1701" w:type="dxa"/>
            <w:vMerge/>
            <w:vAlign w:val="center"/>
          </w:tcPr>
          <w:p w14:paraId="7435BCE1"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4C9BEE5C"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15142B8C"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41D75175"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0D72C474" w14:textId="77777777" w:rsidTr="00E24DC9">
        <w:tc>
          <w:tcPr>
            <w:tcW w:w="704" w:type="dxa"/>
            <w:vMerge/>
            <w:vAlign w:val="center"/>
          </w:tcPr>
          <w:p w14:paraId="0E438363"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single" w:sz="4" w:space="0" w:color="auto"/>
            </w:tcBorders>
            <w:vAlign w:val="center"/>
          </w:tcPr>
          <w:p w14:paraId="4F14296E" w14:textId="77777777" w:rsidR="004D1935"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145.0223</w:t>
            </w:r>
          </w:p>
          <w:p w14:paraId="53865134" w14:textId="77777777" w:rsidR="004D1935" w:rsidRDefault="004D1935" w:rsidP="00E24DC9">
            <w:pPr>
              <w:jc w:val="center"/>
              <w:rPr>
                <w:rFonts w:ascii="Calibri" w:hAnsi="Calibri" w:cs="Calibri"/>
                <w:color w:val="000000" w:themeColor="text1"/>
                <w:sz w:val="16"/>
                <w:szCs w:val="16"/>
              </w:rPr>
            </w:pPr>
          </w:p>
          <w:p w14:paraId="62E61579" w14:textId="77777777" w:rsidR="004D1935" w:rsidRPr="00F54137" w:rsidRDefault="004D1935" w:rsidP="00E24DC9">
            <w:pPr>
              <w:jc w:val="center"/>
              <w:rPr>
                <w:rFonts w:ascii="Calibri" w:hAnsi="Calibri" w:cs="Calibri"/>
                <w:color w:val="000000" w:themeColor="text1"/>
                <w:sz w:val="16"/>
                <w:szCs w:val="16"/>
              </w:rPr>
            </w:pPr>
          </w:p>
        </w:tc>
        <w:tc>
          <w:tcPr>
            <w:tcW w:w="1701" w:type="dxa"/>
            <w:vMerge/>
            <w:vAlign w:val="center"/>
          </w:tcPr>
          <w:p w14:paraId="2FD2BE24"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42D5363B"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088E5665"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579515D1"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1EB64746" w14:textId="77777777" w:rsidTr="00E24DC9">
        <w:tc>
          <w:tcPr>
            <w:tcW w:w="704" w:type="dxa"/>
            <w:vMerge w:val="restart"/>
            <w:vAlign w:val="center"/>
          </w:tcPr>
          <w:p w14:paraId="06E73B3C" w14:textId="77777777" w:rsidR="004D1935" w:rsidRPr="00F54137" w:rsidRDefault="004D1935" w:rsidP="00E24DC9">
            <w:pPr>
              <w:jc w:val="center"/>
              <w:rPr>
                <w:rFonts w:ascii="Calibri" w:hAnsi="Calibri" w:cs="Calibri"/>
                <w:color w:val="000000" w:themeColor="text1"/>
                <w:sz w:val="16"/>
                <w:szCs w:val="16"/>
              </w:rPr>
            </w:pPr>
            <w:r w:rsidRPr="00F54137">
              <w:rPr>
                <w:rFonts w:asciiTheme="majorBidi" w:hAnsiTheme="majorBidi" w:cstheme="majorBidi"/>
                <w:color w:val="000000" w:themeColor="text1"/>
                <w:sz w:val="16"/>
                <w:szCs w:val="16"/>
              </w:rPr>
              <w:lastRenderedPageBreak/>
              <w:t>H</w:t>
            </w:r>
          </w:p>
        </w:tc>
        <w:tc>
          <w:tcPr>
            <w:tcW w:w="851" w:type="dxa"/>
            <w:tcBorders>
              <w:bottom w:val="nil"/>
            </w:tcBorders>
            <w:vAlign w:val="center"/>
          </w:tcPr>
          <w:p w14:paraId="6FD81CE6" w14:textId="77777777" w:rsidR="004D1935" w:rsidRPr="00F54137" w:rsidRDefault="004D1935" w:rsidP="00E24DC9">
            <w:pPr>
              <w:jc w:val="center"/>
              <w:rPr>
                <w:rFonts w:ascii="Calibri" w:hAnsi="Calibri" w:cs="Calibri"/>
                <w:color w:val="000000" w:themeColor="text1"/>
                <w:sz w:val="16"/>
                <w:szCs w:val="16"/>
              </w:rPr>
            </w:pPr>
          </w:p>
        </w:tc>
        <w:tc>
          <w:tcPr>
            <w:tcW w:w="1701" w:type="dxa"/>
            <w:vMerge w:val="restart"/>
            <w:vAlign w:val="center"/>
          </w:tcPr>
          <w:p w14:paraId="50D994EC" w14:textId="77777777" w:rsidR="004D1935" w:rsidRPr="00F54137" w:rsidRDefault="00000000" w:rsidP="00E24DC9">
            <w:pPr>
              <w:rPr>
                <w:rFonts w:asciiTheme="majorBidi" w:hAnsiTheme="majorBidi" w:cstheme="majorBidi"/>
                <w:color w:val="000000" w:themeColor="text1"/>
                <w:sz w:val="16"/>
                <w:szCs w:val="16"/>
              </w:rPr>
            </w:pPr>
            <w:hyperlink r:id="rId71" w:history="1">
              <w:r w:rsidR="004D1935" w:rsidRPr="00F54137">
                <w:rPr>
                  <w:rFonts w:ascii="Calibri" w:hAnsi="Calibri" w:cs="Calibri"/>
                  <w:color w:val="000000" w:themeColor="text1"/>
                  <w:sz w:val="16"/>
                  <w:szCs w:val="16"/>
                </w:rPr>
                <w:t>2-methyleneglutarate</w:t>
              </w:r>
            </w:hyperlink>
          </w:p>
          <w:p w14:paraId="4632F4D4" w14:textId="77777777" w:rsidR="004D1935" w:rsidRPr="00F54137" w:rsidRDefault="00000000" w:rsidP="00E24DC9">
            <w:pPr>
              <w:rPr>
                <w:rFonts w:asciiTheme="majorBidi" w:hAnsiTheme="majorBidi" w:cstheme="majorBidi"/>
                <w:color w:val="000000" w:themeColor="text1"/>
                <w:sz w:val="16"/>
                <w:szCs w:val="16"/>
              </w:rPr>
            </w:pPr>
            <w:hyperlink r:id="rId72" w:history="1">
              <w:r w:rsidR="004D1935" w:rsidRPr="00F54137">
                <w:rPr>
                  <w:rFonts w:ascii="Calibri" w:hAnsi="Calibri" w:cs="Calibri"/>
                  <w:color w:val="000000" w:themeColor="text1"/>
                  <w:sz w:val="16"/>
                  <w:szCs w:val="16"/>
                </w:rPr>
                <w:t>dimethylmaleate</w:t>
              </w:r>
            </w:hyperlink>
          </w:p>
          <w:p w14:paraId="2BE753B7" w14:textId="77777777" w:rsidR="004D1935" w:rsidRPr="00F54137" w:rsidRDefault="00000000" w:rsidP="00E24DC9">
            <w:pPr>
              <w:rPr>
                <w:rFonts w:asciiTheme="majorBidi" w:hAnsiTheme="majorBidi" w:cstheme="majorBidi"/>
                <w:color w:val="000000" w:themeColor="text1"/>
                <w:sz w:val="16"/>
                <w:szCs w:val="16"/>
              </w:rPr>
            </w:pPr>
            <w:hyperlink r:id="rId73" w:history="1">
              <w:r w:rsidR="004D1935" w:rsidRPr="00F54137">
                <w:rPr>
                  <w:rFonts w:ascii="Calibri" w:hAnsi="Calibri" w:cs="Calibri"/>
                  <w:color w:val="000000" w:themeColor="text1"/>
                  <w:sz w:val="16"/>
                  <w:szCs w:val="16"/>
                </w:rPr>
                <w:t>4-chlorocatechol</w:t>
              </w:r>
            </w:hyperlink>
          </w:p>
          <w:p w14:paraId="64836021" w14:textId="77777777" w:rsidR="004D1935" w:rsidRPr="00F54137" w:rsidRDefault="00000000" w:rsidP="00E24DC9">
            <w:pPr>
              <w:rPr>
                <w:rFonts w:asciiTheme="majorBidi" w:hAnsiTheme="majorBidi" w:cstheme="majorBidi"/>
                <w:color w:val="000000" w:themeColor="text1"/>
                <w:sz w:val="16"/>
                <w:szCs w:val="16"/>
              </w:rPr>
            </w:pPr>
            <w:hyperlink r:id="rId74" w:history="1">
              <w:r w:rsidR="004D1935" w:rsidRPr="00F54137">
                <w:rPr>
                  <w:rFonts w:ascii="Calibri" w:hAnsi="Calibri" w:cs="Calibri"/>
                  <w:color w:val="000000" w:themeColor="text1"/>
                  <w:sz w:val="16"/>
                  <w:szCs w:val="16"/>
                </w:rPr>
                <w:t>chlorohydroquinone</w:t>
              </w:r>
            </w:hyperlink>
          </w:p>
        </w:tc>
        <w:tc>
          <w:tcPr>
            <w:tcW w:w="2693" w:type="dxa"/>
            <w:vMerge w:val="restart"/>
            <w:vAlign w:val="center"/>
          </w:tcPr>
          <w:p w14:paraId="1F0BCB39"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carboxilic acid</w:t>
            </w:r>
          </w:p>
          <w:p w14:paraId="22801F81"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carboxilic acid/ fatty acid</w:t>
            </w:r>
          </w:p>
          <w:p w14:paraId="28454A84"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Benzenoids/phenols</w:t>
            </w:r>
          </w:p>
          <w:p w14:paraId="05487BB4" w14:textId="77777777" w:rsidR="004D1935" w:rsidRPr="00F54137" w:rsidRDefault="004D1935" w:rsidP="00E24DC9">
            <w:pPr>
              <w:jc w:val="center"/>
              <w:rPr>
                <w:rFonts w:asciiTheme="majorBidi" w:hAnsiTheme="majorBidi" w:cstheme="majorBidi"/>
                <w:color w:val="000000" w:themeColor="text1"/>
                <w:sz w:val="16"/>
                <w:szCs w:val="16"/>
              </w:rPr>
            </w:pPr>
            <w:r w:rsidRPr="00F54137">
              <w:rPr>
                <w:rFonts w:ascii="Calibri" w:hAnsi="Calibri" w:cs="Calibri"/>
                <w:color w:val="000000" w:themeColor="text1"/>
                <w:sz w:val="16"/>
                <w:szCs w:val="16"/>
              </w:rPr>
              <w:t>Benzenoids/phenols</w:t>
            </w:r>
          </w:p>
        </w:tc>
        <w:tc>
          <w:tcPr>
            <w:tcW w:w="1134" w:type="dxa"/>
            <w:vMerge w:val="restart"/>
            <w:vAlign w:val="center"/>
          </w:tcPr>
          <w:p w14:paraId="48BE6263" w14:textId="77777777" w:rsidR="004D1935" w:rsidRPr="00F54137" w:rsidRDefault="004D1935" w:rsidP="00E24DC9">
            <w:pPr>
              <w:jc w:val="center"/>
              <w:rPr>
                <w:rFonts w:ascii="Verdana" w:hAnsi="Verdana" w:cs="Calibri"/>
                <w:color w:val="000000" w:themeColor="text1"/>
                <w:sz w:val="16"/>
                <w:szCs w:val="16"/>
              </w:rPr>
            </w:pPr>
          </w:p>
          <w:p w14:paraId="4AD13A12" w14:textId="77777777" w:rsidR="004D1935" w:rsidRPr="00F54137" w:rsidRDefault="004D1935" w:rsidP="00E24DC9">
            <w:pPr>
              <w:jc w:val="center"/>
              <w:rPr>
                <w:color w:val="000000" w:themeColor="text1"/>
                <w:sz w:val="16"/>
                <w:szCs w:val="16"/>
              </w:rPr>
            </w:pPr>
            <w:r w:rsidRPr="00F54137">
              <w:rPr>
                <w:rFonts w:ascii="Arial" w:hAnsi="Arial" w:cs="Arial"/>
                <w:color w:val="000000" w:themeColor="text1"/>
                <w:sz w:val="16"/>
                <w:szCs w:val="16"/>
                <w:shd w:val="clear" w:color="auto" w:fill="FFFFFF"/>
              </w:rPr>
              <w:t>C</w:t>
            </w:r>
            <w:r w:rsidRPr="00F54137">
              <w:rPr>
                <w:rFonts w:ascii="Arial" w:hAnsi="Arial" w:cs="Arial"/>
                <w:color w:val="000000" w:themeColor="text1"/>
                <w:sz w:val="16"/>
                <w:szCs w:val="16"/>
                <w:shd w:val="clear" w:color="auto" w:fill="FFFFFF"/>
                <w:vertAlign w:val="subscript"/>
              </w:rPr>
              <w:t>6</w:t>
            </w:r>
            <w:r w:rsidRPr="00F54137">
              <w:rPr>
                <w:rFonts w:ascii="Arial" w:hAnsi="Arial" w:cs="Arial"/>
                <w:color w:val="000000" w:themeColor="text1"/>
                <w:sz w:val="16"/>
                <w:szCs w:val="16"/>
                <w:shd w:val="clear" w:color="auto" w:fill="FFFFFF"/>
              </w:rPr>
              <w:t>H</w:t>
            </w:r>
            <w:r w:rsidRPr="00F54137">
              <w:rPr>
                <w:rFonts w:ascii="Arial" w:hAnsi="Arial" w:cs="Arial"/>
                <w:color w:val="000000" w:themeColor="text1"/>
                <w:sz w:val="16"/>
                <w:szCs w:val="16"/>
                <w:shd w:val="clear" w:color="auto" w:fill="FFFFFF"/>
                <w:vertAlign w:val="subscript"/>
              </w:rPr>
              <w:t>6</w:t>
            </w:r>
            <w:r w:rsidRPr="00F54137">
              <w:rPr>
                <w:rFonts w:ascii="Arial" w:hAnsi="Arial" w:cs="Arial"/>
                <w:color w:val="000000" w:themeColor="text1"/>
                <w:sz w:val="16"/>
                <w:szCs w:val="16"/>
                <w:shd w:val="clear" w:color="auto" w:fill="FFFFFF"/>
              </w:rPr>
              <w:t>O</w:t>
            </w:r>
            <w:r w:rsidRPr="00F54137">
              <w:rPr>
                <w:rFonts w:ascii="Arial" w:hAnsi="Arial" w:cs="Arial"/>
                <w:color w:val="000000" w:themeColor="text1"/>
                <w:sz w:val="16"/>
                <w:szCs w:val="16"/>
                <w:shd w:val="clear" w:color="auto" w:fill="FFFFFF"/>
                <w:vertAlign w:val="subscript"/>
              </w:rPr>
              <w:t>4</w:t>
            </w:r>
          </w:p>
          <w:p w14:paraId="57AD90AA" w14:textId="77777777" w:rsidR="004D1935" w:rsidRPr="00F54137" w:rsidRDefault="004D1935" w:rsidP="00E24DC9">
            <w:pPr>
              <w:jc w:val="center"/>
              <w:rPr>
                <w:color w:val="000000" w:themeColor="text1"/>
                <w:sz w:val="16"/>
                <w:szCs w:val="16"/>
              </w:rPr>
            </w:pPr>
            <w:r w:rsidRPr="00F54137">
              <w:rPr>
                <w:rFonts w:ascii="Arial" w:hAnsi="Arial" w:cs="Arial"/>
                <w:color w:val="000000" w:themeColor="text1"/>
                <w:sz w:val="16"/>
                <w:szCs w:val="16"/>
                <w:shd w:val="clear" w:color="auto" w:fill="FFFFFF"/>
              </w:rPr>
              <w:t>C</w:t>
            </w:r>
            <w:r w:rsidRPr="00F54137">
              <w:rPr>
                <w:rFonts w:ascii="Arial" w:hAnsi="Arial" w:cs="Arial"/>
                <w:color w:val="000000" w:themeColor="text1"/>
                <w:sz w:val="16"/>
                <w:szCs w:val="16"/>
                <w:shd w:val="clear" w:color="auto" w:fill="FFFFFF"/>
                <w:vertAlign w:val="subscript"/>
              </w:rPr>
              <w:t>6</w:t>
            </w:r>
            <w:r w:rsidRPr="00F54137">
              <w:rPr>
                <w:rFonts w:ascii="Arial" w:hAnsi="Arial" w:cs="Arial"/>
                <w:color w:val="000000" w:themeColor="text1"/>
                <w:sz w:val="16"/>
                <w:szCs w:val="16"/>
                <w:shd w:val="clear" w:color="auto" w:fill="FFFFFF"/>
              </w:rPr>
              <w:t>H</w:t>
            </w:r>
            <w:r w:rsidRPr="00F54137">
              <w:rPr>
                <w:rFonts w:ascii="Arial" w:hAnsi="Arial" w:cs="Arial"/>
                <w:color w:val="000000" w:themeColor="text1"/>
                <w:sz w:val="16"/>
                <w:szCs w:val="16"/>
                <w:shd w:val="clear" w:color="auto" w:fill="FFFFFF"/>
                <w:vertAlign w:val="subscript"/>
              </w:rPr>
              <w:t>6</w:t>
            </w:r>
            <w:r w:rsidRPr="00F54137">
              <w:rPr>
                <w:rFonts w:ascii="Arial" w:hAnsi="Arial" w:cs="Arial"/>
                <w:color w:val="000000" w:themeColor="text1"/>
                <w:sz w:val="16"/>
                <w:szCs w:val="16"/>
                <w:shd w:val="clear" w:color="auto" w:fill="FFFFFF"/>
              </w:rPr>
              <w:t>O</w:t>
            </w:r>
            <w:r w:rsidRPr="00F54137">
              <w:rPr>
                <w:rFonts w:ascii="Arial" w:hAnsi="Arial" w:cs="Arial"/>
                <w:color w:val="000000" w:themeColor="text1"/>
                <w:sz w:val="16"/>
                <w:szCs w:val="16"/>
                <w:shd w:val="clear" w:color="auto" w:fill="FFFFFF"/>
                <w:vertAlign w:val="subscript"/>
              </w:rPr>
              <w:t>4</w:t>
            </w:r>
          </w:p>
          <w:p w14:paraId="3893B894" w14:textId="77777777" w:rsidR="004D1935" w:rsidRPr="00F54137" w:rsidRDefault="004D1935" w:rsidP="00E24DC9">
            <w:pPr>
              <w:jc w:val="center"/>
              <w:rPr>
                <w:color w:val="000000" w:themeColor="text1"/>
                <w:sz w:val="16"/>
                <w:szCs w:val="16"/>
              </w:rPr>
            </w:pPr>
            <w:r w:rsidRPr="00F54137">
              <w:rPr>
                <w:rFonts w:ascii="Arial" w:hAnsi="Arial" w:cs="Arial"/>
                <w:color w:val="000000" w:themeColor="text1"/>
                <w:sz w:val="16"/>
                <w:szCs w:val="16"/>
                <w:shd w:val="clear" w:color="auto" w:fill="FFFFFF"/>
              </w:rPr>
              <w:t>C</w:t>
            </w:r>
            <w:r w:rsidRPr="00F54137">
              <w:rPr>
                <w:rFonts w:ascii="Arial" w:hAnsi="Arial" w:cs="Arial"/>
                <w:color w:val="000000" w:themeColor="text1"/>
                <w:sz w:val="16"/>
                <w:szCs w:val="16"/>
                <w:shd w:val="clear" w:color="auto" w:fill="FFFFFF"/>
                <w:vertAlign w:val="subscript"/>
              </w:rPr>
              <w:t>6</w:t>
            </w:r>
            <w:r w:rsidRPr="00F54137">
              <w:rPr>
                <w:rFonts w:ascii="Arial" w:hAnsi="Arial" w:cs="Arial"/>
                <w:color w:val="000000" w:themeColor="text1"/>
                <w:sz w:val="16"/>
                <w:szCs w:val="16"/>
                <w:shd w:val="clear" w:color="auto" w:fill="FFFFFF"/>
              </w:rPr>
              <w:t>H</w:t>
            </w:r>
            <w:r w:rsidRPr="00F54137">
              <w:rPr>
                <w:rFonts w:ascii="Arial" w:hAnsi="Arial" w:cs="Arial"/>
                <w:color w:val="000000" w:themeColor="text1"/>
                <w:sz w:val="16"/>
                <w:szCs w:val="16"/>
                <w:shd w:val="clear" w:color="auto" w:fill="FFFFFF"/>
                <w:vertAlign w:val="subscript"/>
              </w:rPr>
              <w:t>5</w:t>
            </w:r>
            <w:r w:rsidRPr="00F54137">
              <w:rPr>
                <w:rFonts w:ascii="Arial" w:hAnsi="Arial" w:cs="Arial"/>
                <w:color w:val="000000" w:themeColor="text1"/>
                <w:sz w:val="16"/>
                <w:szCs w:val="16"/>
                <w:shd w:val="clear" w:color="auto" w:fill="FFFFFF"/>
              </w:rPr>
              <w:t>O</w:t>
            </w:r>
            <w:r w:rsidRPr="00F54137">
              <w:rPr>
                <w:rFonts w:ascii="Arial" w:hAnsi="Arial" w:cs="Arial"/>
                <w:color w:val="000000" w:themeColor="text1"/>
                <w:sz w:val="16"/>
                <w:szCs w:val="16"/>
                <w:shd w:val="clear" w:color="auto" w:fill="FFFFFF"/>
                <w:vertAlign w:val="subscript"/>
              </w:rPr>
              <w:t>2</w:t>
            </w:r>
            <w:r w:rsidRPr="00F54137">
              <w:rPr>
                <w:rFonts w:ascii="Arial" w:hAnsi="Arial" w:cs="Arial"/>
                <w:color w:val="000000" w:themeColor="text1"/>
                <w:sz w:val="16"/>
                <w:szCs w:val="16"/>
                <w:shd w:val="clear" w:color="auto" w:fill="FFFFFF"/>
              </w:rPr>
              <w:t>Cl</w:t>
            </w:r>
          </w:p>
          <w:p w14:paraId="161CD20C" w14:textId="77777777" w:rsidR="004D1935" w:rsidRPr="00F54137" w:rsidRDefault="004D1935" w:rsidP="00E24DC9">
            <w:pPr>
              <w:jc w:val="center"/>
              <w:rPr>
                <w:color w:val="000000" w:themeColor="text1"/>
                <w:sz w:val="16"/>
                <w:szCs w:val="16"/>
              </w:rPr>
            </w:pPr>
            <w:r w:rsidRPr="00F54137">
              <w:rPr>
                <w:rFonts w:ascii="Arial" w:hAnsi="Arial" w:cs="Arial"/>
                <w:color w:val="000000" w:themeColor="text1"/>
                <w:sz w:val="16"/>
                <w:szCs w:val="16"/>
                <w:shd w:val="clear" w:color="auto" w:fill="FFFFFF"/>
              </w:rPr>
              <w:t>C</w:t>
            </w:r>
            <w:r w:rsidRPr="00F54137">
              <w:rPr>
                <w:rFonts w:ascii="Arial" w:hAnsi="Arial" w:cs="Arial"/>
                <w:color w:val="000000" w:themeColor="text1"/>
                <w:sz w:val="16"/>
                <w:szCs w:val="16"/>
                <w:shd w:val="clear" w:color="auto" w:fill="FFFFFF"/>
                <w:vertAlign w:val="subscript"/>
              </w:rPr>
              <w:t>6</w:t>
            </w:r>
            <w:r w:rsidRPr="00F54137">
              <w:rPr>
                <w:rFonts w:ascii="Arial" w:hAnsi="Arial" w:cs="Arial"/>
                <w:color w:val="000000" w:themeColor="text1"/>
                <w:sz w:val="16"/>
                <w:szCs w:val="16"/>
                <w:shd w:val="clear" w:color="auto" w:fill="FFFFFF"/>
              </w:rPr>
              <w:t>H</w:t>
            </w:r>
            <w:r w:rsidRPr="00F54137">
              <w:rPr>
                <w:rFonts w:ascii="Arial" w:hAnsi="Arial" w:cs="Arial"/>
                <w:color w:val="000000" w:themeColor="text1"/>
                <w:sz w:val="16"/>
                <w:szCs w:val="16"/>
                <w:shd w:val="clear" w:color="auto" w:fill="FFFFFF"/>
                <w:vertAlign w:val="subscript"/>
              </w:rPr>
              <w:t>5</w:t>
            </w:r>
            <w:r w:rsidRPr="00F54137">
              <w:rPr>
                <w:rFonts w:ascii="Arial" w:hAnsi="Arial" w:cs="Arial"/>
                <w:color w:val="000000" w:themeColor="text1"/>
                <w:sz w:val="16"/>
                <w:szCs w:val="16"/>
                <w:shd w:val="clear" w:color="auto" w:fill="FFFFFF"/>
              </w:rPr>
              <w:t>O</w:t>
            </w:r>
            <w:r w:rsidRPr="00F54137">
              <w:rPr>
                <w:rFonts w:ascii="Arial" w:hAnsi="Arial" w:cs="Arial"/>
                <w:color w:val="000000" w:themeColor="text1"/>
                <w:sz w:val="16"/>
                <w:szCs w:val="16"/>
                <w:shd w:val="clear" w:color="auto" w:fill="FFFFFF"/>
                <w:vertAlign w:val="subscript"/>
              </w:rPr>
              <w:t>2</w:t>
            </w:r>
            <w:r w:rsidRPr="00F54137">
              <w:rPr>
                <w:rFonts w:ascii="Arial" w:hAnsi="Arial" w:cs="Arial"/>
                <w:color w:val="000000" w:themeColor="text1"/>
                <w:sz w:val="16"/>
                <w:szCs w:val="16"/>
                <w:shd w:val="clear" w:color="auto" w:fill="FFFFFF"/>
              </w:rPr>
              <w:t>Cl</w:t>
            </w:r>
          </w:p>
          <w:p w14:paraId="6AB2C663"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restart"/>
            <w:vAlign w:val="center"/>
          </w:tcPr>
          <w:p w14:paraId="6771AE5C" w14:textId="77777777" w:rsidR="004D1935" w:rsidRDefault="004D1935" w:rsidP="00E24DC9">
            <w:pPr>
              <w:jc w:val="center"/>
              <w:rPr>
                <w:rFonts w:ascii="Verdana" w:hAnsi="Verdana" w:cs="Calibri"/>
                <w:color w:val="000000" w:themeColor="text1"/>
                <w:sz w:val="11"/>
                <w:szCs w:val="11"/>
              </w:rPr>
            </w:pPr>
          </w:p>
          <w:p w14:paraId="0F3AFCEE" w14:textId="77777777" w:rsidR="004D1935" w:rsidRDefault="004D1935" w:rsidP="00E24DC9">
            <w:pPr>
              <w:jc w:val="center"/>
              <w:rPr>
                <w:rFonts w:ascii="Verdana" w:hAnsi="Verdana" w:cs="Calibri"/>
                <w:color w:val="000000" w:themeColor="text1"/>
                <w:sz w:val="11"/>
                <w:szCs w:val="11"/>
              </w:rPr>
            </w:pPr>
          </w:p>
          <w:p w14:paraId="6505F373" w14:textId="77777777" w:rsidR="004D1935" w:rsidRDefault="004D1935" w:rsidP="00E24DC9">
            <w:pPr>
              <w:jc w:val="center"/>
              <w:rPr>
                <w:rFonts w:ascii="Verdana" w:hAnsi="Verdana" w:cs="Calibri"/>
                <w:color w:val="000000" w:themeColor="text1"/>
                <w:sz w:val="11"/>
                <w:szCs w:val="11"/>
              </w:rPr>
            </w:pPr>
            <w:r w:rsidRPr="0040595E">
              <w:rPr>
                <w:rFonts w:ascii="Verdana" w:hAnsi="Verdana" w:cs="Calibri"/>
                <w:color w:val="000000" w:themeColor="text1"/>
                <w:sz w:val="11"/>
                <w:szCs w:val="11"/>
              </w:rPr>
              <w:t>Nicotinate and nicotinamide metabolism</w:t>
            </w:r>
          </w:p>
          <w:p w14:paraId="30597D70" w14:textId="77777777" w:rsidR="004D1935" w:rsidRPr="0040595E" w:rsidRDefault="004D1935" w:rsidP="00E24DC9">
            <w:pPr>
              <w:jc w:val="center"/>
              <w:rPr>
                <w:rFonts w:asciiTheme="majorBidi" w:hAnsiTheme="majorBidi" w:cstheme="majorBidi"/>
                <w:color w:val="000000" w:themeColor="text1"/>
                <w:sz w:val="11"/>
                <w:szCs w:val="11"/>
              </w:rPr>
            </w:pPr>
          </w:p>
          <w:p w14:paraId="742DF26C" w14:textId="77777777" w:rsidR="004D1935" w:rsidRDefault="004D1935" w:rsidP="00E24DC9">
            <w:pPr>
              <w:jc w:val="center"/>
              <w:rPr>
                <w:rFonts w:ascii="Verdana" w:hAnsi="Verdana" w:cs="Calibri"/>
                <w:color w:val="000000" w:themeColor="text1"/>
                <w:sz w:val="11"/>
                <w:szCs w:val="11"/>
              </w:rPr>
            </w:pPr>
            <w:r w:rsidRPr="0040595E">
              <w:rPr>
                <w:rFonts w:ascii="Verdana" w:hAnsi="Verdana" w:cs="Calibri"/>
                <w:color w:val="000000" w:themeColor="text1"/>
                <w:sz w:val="11"/>
                <w:szCs w:val="11"/>
              </w:rPr>
              <w:t>Nicotinate and nicotinamide metabolism</w:t>
            </w:r>
          </w:p>
          <w:p w14:paraId="21BA170B" w14:textId="77777777" w:rsidR="004D1935" w:rsidRPr="0040595E" w:rsidRDefault="004D1935" w:rsidP="00E24DC9">
            <w:pPr>
              <w:jc w:val="center"/>
              <w:rPr>
                <w:rFonts w:asciiTheme="majorBidi" w:hAnsiTheme="majorBidi" w:cstheme="majorBidi"/>
                <w:color w:val="000000" w:themeColor="text1"/>
                <w:sz w:val="11"/>
                <w:szCs w:val="11"/>
              </w:rPr>
            </w:pPr>
          </w:p>
          <w:p w14:paraId="7B12B392" w14:textId="77777777" w:rsidR="004D1935" w:rsidRDefault="004D1935" w:rsidP="00E24DC9">
            <w:pPr>
              <w:jc w:val="center"/>
              <w:rPr>
                <w:rFonts w:ascii="Calibri" w:hAnsi="Calibri" w:cs="Calibri"/>
                <w:color w:val="000000" w:themeColor="text1"/>
                <w:sz w:val="11"/>
                <w:szCs w:val="11"/>
              </w:rPr>
            </w:pPr>
            <w:r w:rsidRPr="0040595E">
              <w:rPr>
                <w:rFonts w:ascii="Calibri" w:hAnsi="Calibri" w:cs="Calibri"/>
                <w:color w:val="000000" w:themeColor="text1"/>
                <w:sz w:val="11"/>
                <w:szCs w:val="11"/>
              </w:rPr>
              <w:t>Chlorocyclohexane and chlorobenzene degradation/Degradation of aromatic compounds/ Shikimate pathway/jasmonic acid biosynthesis/Riboflavin/Flavanone/Flavonoid biosynthesis/fatty acid biosynthesis</w:t>
            </w:r>
          </w:p>
          <w:p w14:paraId="177FD92F" w14:textId="77777777" w:rsidR="004D1935" w:rsidRPr="0040595E" w:rsidRDefault="004D1935" w:rsidP="00E24DC9">
            <w:pPr>
              <w:jc w:val="center"/>
              <w:rPr>
                <w:rFonts w:asciiTheme="majorBidi" w:hAnsiTheme="majorBidi" w:cstheme="majorBidi"/>
                <w:color w:val="000000" w:themeColor="text1"/>
                <w:sz w:val="11"/>
                <w:szCs w:val="11"/>
              </w:rPr>
            </w:pPr>
          </w:p>
          <w:p w14:paraId="1EBB9E58" w14:textId="77777777" w:rsidR="004D1935" w:rsidRPr="00F54137" w:rsidRDefault="004D1935" w:rsidP="00E24DC9">
            <w:pPr>
              <w:jc w:val="center"/>
              <w:rPr>
                <w:rFonts w:asciiTheme="majorBidi" w:hAnsiTheme="majorBidi" w:cstheme="majorBidi"/>
                <w:color w:val="000000" w:themeColor="text1"/>
                <w:sz w:val="16"/>
                <w:szCs w:val="16"/>
              </w:rPr>
            </w:pPr>
            <w:r w:rsidRPr="0040595E">
              <w:rPr>
                <w:rFonts w:ascii="Calibri" w:hAnsi="Calibri" w:cs="Calibri"/>
                <w:color w:val="000000" w:themeColor="text1"/>
                <w:sz w:val="11"/>
                <w:szCs w:val="11"/>
              </w:rPr>
              <w:t>Chlorocyclohexane and chlorobenzene degradation/Degradation of aromatic compounds/ Shikimate pathway/jasmonic acid biosynthesis/Riboflavin/Flavanone/Flavonoid biosynthesis/fatty acid biosynthesis</w:t>
            </w:r>
          </w:p>
        </w:tc>
      </w:tr>
      <w:tr w:rsidR="004D1935" w:rsidRPr="00F54137" w14:paraId="19C7CAFD" w14:textId="77777777" w:rsidTr="00E24DC9">
        <w:tc>
          <w:tcPr>
            <w:tcW w:w="704" w:type="dxa"/>
            <w:vMerge/>
            <w:vAlign w:val="center"/>
          </w:tcPr>
          <w:p w14:paraId="51D90FD6"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0F41628E"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143.9205</w:t>
            </w:r>
          </w:p>
        </w:tc>
        <w:tc>
          <w:tcPr>
            <w:tcW w:w="1701" w:type="dxa"/>
            <w:vMerge/>
            <w:vAlign w:val="center"/>
          </w:tcPr>
          <w:p w14:paraId="5A6EA4F2"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61BABD11"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53F41742"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562D0FE6"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49D1E600" w14:textId="77777777" w:rsidTr="00E24DC9">
        <w:tc>
          <w:tcPr>
            <w:tcW w:w="704" w:type="dxa"/>
            <w:vMerge/>
            <w:vAlign w:val="center"/>
          </w:tcPr>
          <w:p w14:paraId="20C31CFC"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783BB78D"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143.9478</w:t>
            </w:r>
          </w:p>
        </w:tc>
        <w:tc>
          <w:tcPr>
            <w:tcW w:w="1701" w:type="dxa"/>
            <w:vMerge/>
            <w:vAlign w:val="center"/>
          </w:tcPr>
          <w:p w14:paraId="25FD8B6B"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0ADA50A1"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7453F246"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538253B3"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1A598803" w14:textId="77777777" w:rsidTr="00E24DC9">
        <w:tc>
          <w:tcPr>
            <w:tcW w:w="704" w:type="dxa"/>
            <w:vMerge/>
            <w:vAlign w:val="center"/>
          </w:tcPr>
          <w:p w14:paraId="14715E07"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5C30E5B8"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143.9785</w:t>
            </w:r>
          </w:p>
        </w:tc>
        <w:tc>
          <w:tcPr>
            <w:tcW w:w="1701" w:type="dxa"/>
            <w:vMerge/>
            <w:vAlign w:val="center"/>
          </w:tcPr>
          <w:p w14:paraId="5AE9A001"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4FAC303C"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1BC360E4"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3168BE4E"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7C9A437A" w14:textId="77777777" w:rsidTr="00E24DC9">
        <w:tc>
          <w:tcPr>
            <w:tcW w:w="704" w:type="dxa"/>
            <w:vMerge/>
            <w:vAlign w:val="center"/>
          </w:tcPr>
          <w:p w14:paraId="77C38E1D"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242FE320"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144.0136</w:t>
            </w:r>
          </w:p>
        </w:tc>
        <w:tc>
          <w:tcPr>
            <w:tcW w:w="1701" w:type="dxa"/>
            <w:vMerge/>
            <w:vAlign w:val="center"/>
          </w:tcPr>
          <w:p w14:paraId="5C290E60"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2E196B38"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2032FDDD"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5F41DBCD"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5F9523B7" w14:textId="77777777" w:rsidTr="00E24DC9">
        <w:tc>
          <w:tcPr>
            <w:tcW w:w="704" w:type="dxa"/>
            <w:vMerge/>
            <w:vAlign w:val="center"/>
          </w:tcPr>
          <w:p w14:paraId="451B90C3"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4D8D62FA"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144.0451</w:t>
            </w:r>
          </w:p>
        </w:tc>
        <w:tc>
          <w:tcPr>
            <w:tcW w:w="1701" w:type="dxa"/>
            <w:vMerge/>
            <w:vAlign w:val="center"/>
          </w:tcPr>
          <w:p w14:paraId="441AFE5E"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5A9D250D"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59A359CF"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6AB93E3A"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0F410339" w14:textId="77777777" w:rsidTr="00E24DC9">
        <w:tc>
          <w:tcPr>
            <w:tcW w:w="704" w:type="dxa"/>
            <w:vMerge/>
            <w:vAlign w:val="center"/>
          </w:tcPr>
          <w:p w14:paraId="77880BDA"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393BAB5F"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144.0785</w:t>
            </w:r>
          </w:p>
        </w:tc>
        <w:tc>
          <w:tcPr>
            <w:tcW w:w="1701" w:type="dxa"/>
            <w:vMerge/>
            <w:vAlign w:val="center"/>
          </w:tcPr>
          <w:p w14:paraId="412A3B0C"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0C28058B"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7669523A"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418465C5"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6F8FBB78" w14:textId="77777777" w:rsidTr="00E24DC9">
        <w:tc>
          <w:tcPr>
            <w:tcW w:w="704" w:type="dxa"/>
            <w:vMerge/>
            <w:vAlign w:val="center"/>
          </w:tcPr>
          <w:p w14:paraId="4C254E37"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4E3669C6"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143.9609</w:t>
            </w:r>
          </w:p>
        </w:tc>
        <w:tc>
          <w:tcPr>
            <w:tcW w:w="1701" w:type="dxa"/>
            <w:vMerge/>
            <w:vAlign w:val="center"/>
          </w:tcPr>
          <w:p w14:paraId="1884A9F2"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34787AA9"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0D0685C1"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4E460738"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2523AC9C" w14:textId="77777777" w:rsidTr="00E24DC9">
        <w:tc>
          <w:tcPr>
            <w:tcW w:w="704" w:type="dxa"/>
            <w:vMerge/>
            <w:vAlign w:val="center"/>
          </w:tcPr>
          <w:p w14:paraId="7817D969"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45FC83DC"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143.9916</w:t>
            </w:r>
          </w:p>
        </w:tc>
        <w:tc>
          <w:tcPr>
            <w:tcW w:w="1701" w:type="dxa"/>
            <w:vMerge/>
            <w:vAlign w:val="center"/>
          </w:tcPr>
          <w:p w14:paraId="035B6C5D"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6558CC4D"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1AA29FBC"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6BD6A924"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7C213FEA" w14:textId="77777777" w:rsidTr="00E24DC9">
        <w:tc>
          <w:tcPr>
            <w:tcW w:w="704" w:type="dxa"/>
            <w:vMerge/>
            <w:vAlign w:val="center"/>
          </w:tcPr>
          <w:p w14:paraId="64A1B11D"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2A149A93"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144.0224</w:t>
            </w:r>
          </w:p>
        </w:tc>
        <w:tc>
          <w:tcPr>
            <w:tcW w:w="1701" w:type="dxa"/>
            <w:vMerge/>
            <w:vAlign w:val="center"/>
          </w:tcPr>
          <w:p w14:paraId="737AC899"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486E958F"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556C7214"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3C614F05"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32EA7A43" w14:textId="77777777" w:rsidTr="00E24DC9">
        <w:tc>
          <w:tcPr>
            <w:tcW w:w="704" w:type="dxa"/>
            <w:vMerge/>
            <w:vAlign w:val="center"/>
          </w:tcPr>
          <w:p w14:paraId="229DF0B1"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2027735F"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144.0487</w:t>
            </w:r>
          </w:p>
        </w:tc>
        <w:tc>
          <w:tcPr>
            <w:tcW w:w="1701" w:type="dxa"/>
            <w:vMerge/>
            <w:vAlign w:val="center"/>
          </w:tcPr>
          <w:p w14:paraId="2481B86A"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1F8C7721"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6AC2DE70"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50DC6A65"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2B4DC00A" w14:textId="77777777" w:rsidTr="00E24DC9">
        <w:tc>
          <w:tcPr>
            <w:tcW w:w="704" w:type="dxa"/>
            <w:vMerge/>
            <w:vAlign w:val="center"/>
          </w:tcPr>
          <w:p w14:paraId="68612073"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7126B9E2"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144.0803</w:t>
            </w:r>
          </w:p>
        </w:tc>
        <w:tc>
          <w:tcPr>
            <w:tcW w:w="1701" w:type="dxa"/>
            <w:vMerge/>
            <w:vAlign w:val="center"/>
          </w:tcPr>
          <w:p w14:paraId="75B618B2"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65DE5FC5"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1F0CF331"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4EDA647C"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0EA18BF4" w14:textId="77777777" w:rsidTr="00E24DC9">
        <w:tc>
          <w:tcPr>
            <w:tcW w:w="704" w:type="dxa"/>
            <w:vMerge/>
            <w:vAlign w:val="center"/>
          </w:tcPr>
          <w:p w14:paraId="60CD150D"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36AD7043"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143.9223</w:t>
            </w:r>
          </w:p>
        </w:tc>
        <w:tc>
          <w:tcPr>
            <w:tcW w:w="1701" w:type="dxa"/>
            <w:vMerge/>
            <w:vAlign w:val="center"/>
          </w:tcPr>
          <w:p w14:paraId="36B87A54"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5E39C700"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699426B6"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739DFA8B"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3D717200" w14:textId="77777777" w:rsidTr="00E24DC9">
        <w:tc>
          <w:tcPr>
            <w:tcW w:w="704" w:type="dxa"/>
            <w:vMerge/>
            <w:vAlign w:val="center"/>
          </w:tcPr>
          <w:p w14:paraId="6682C104"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4133AB31"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143.9513</w:t>
            </w:r>
          </w:p>
        </w:tc>
        <w:tc>
          <w:tcPr>
            <w:tcW w:w="1701" w:type="dxa"/>
            <w:vMerge/>
            <w:vAlign w:val="center"/>
          </w:tcPr>
          <w:p w14:paraId="763B507D"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5C8BB582"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76BF1DDB"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1CE94E66"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0E6B9E45" w14:textId="77777777" w:rsidTr="00E24DC9">
        <w:tc>
          <w:tcPr>
            <w:tcW w:w="704" w:type="dxa"/>
            <w:vMerge/>
            <w:vAlign w:val="center"/>
          </w:tcPr>
          <w:p w14:paraId="442F46C3"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64BA7BBB"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143.9793</w:t>
            </w:r>
          </w:p>
        </w:tc>
        <w:tc>
          <w:tcPr>
            <w:tcW w:w="1701" w:type="dxa"/>
            <w:vMerge/>
            <w:vAlign w:val="center"/>
          </w:tcPr>
          <w:p w14:paraId="6129AD6B"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16EEBEB6"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6017019D"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6DA5D865"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0ED1F2BC" w14:textId="77777777" w:rsidTr="00E24DC9">
        <w:tc>
          <w:tcPr>
            <w:tcW w:w="704" w:type="dxa"/>
            <w:vMerge/>
            <w:vAlign w:val="center"/>
          </w:tcPr>
          <w:p w14:paraId="51A36F0B"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05E7D8C2"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144.0118</w:t>
            </w:r>
          </w:p>
        </w:tc>
        <w:tc>
          <w:tcPr>
            <w:tcW w:w="1701" w:type="dxa"/>
            <w:vMerge/>
            <w:vAlign w:val="center"/>
          </w:tcPr>
          <w:p w14:paraId="2A734333"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22E5C243"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635A49CC"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19CDFF90"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1A60C9B8" w14:textId="77777777" w:rsidTr="00E24DC9">
        <w:tc>
          <w:tcPr>
            <w:tcW w:w="704" w:type="dxa"/>
            <w:vMerge/>
            <w:vAlign w:val="center"/>
          </w:tcPr>
          <w:p w14:paraId="2759CB59"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3ADADFE3"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144.0434</w:t>
            </w:r>
          </w:p>
        </w:tc>
        <w:tc>
          <w:tcPr>
            <w:tcW w:w="1701" w:type="dxa"/>
            <w:vMerge/>
            <w:vAlign w:val="center"/>
          </w:tcPr>
          <w:p w14:paraId="79CBD709"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1C0570BA"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17C25E2C"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16A38638"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2B1B55A3" w14:textId="77777777" w:rsidTr="00E24DC9">
        <w:tc>
          <w:tcPr>
            <w:tcW w:w="704" w:type="dxa"/>
            <w:vMerge/>
            <w:vAlign w:val="center"/>
          </w:tcPr>
          <w:p w14:paraId="0E27543D"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15D76B13"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144.0188</w:t>
            </w:r>
          </w:p>
        </w:tc>
        <w:tc>
          <w:tcPr>
            <w:tcW w:w="1701" w:type="dxa"/>
            <w:vMerge/>
            <w:vAlign w:val="center"/>
          </w:tcPr>
          <w:p w14:paraId="04337340"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44D90C55"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55BAE78D"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7E5201C8"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1ECA65E3" w14:textId="77777777" w:rsidTr="00E24DC9">
        <w:tc>
          <w:tcPr>
            <w:tcW w:w="704" w:type="dxa"/>
            <w:vMerge/>
            <w:vAlign w:val="center"/>
          </w:tcPr>
          <w:p w14:paraId="52B10AFB"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6CFF24EF"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144.0469</w:t>
            </w:r>
          </w:p>
        </w:tc>
        <w:tc>
          <w:tcPr>
            <w:tcW w:w="1701" w:type="dxa"/>
            <w:vMerge/>
            <w:vAlign w:val="center"/>
          </w:tcPr>
          <w:p w14:paraId="1338D84B"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06CE6547"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371018D4"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7F955427"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6C7B5BBD" w14:textId="77777777" w:rsidTr="00E24DC9">
        <w:tc>
          <w:tcPr>
            <w:tcW w:w="704" w:type="dxa"/>
            <w:vMerge/>
            <w:vAlign w:val="center"/>
          </w:tcPr>
          <w:p w14:paraId="55B389E8"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63BE7E51"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143.9083</w:t>
            </w:r>
          </w:p>
        </w:tc>
        <w:tc>
          <w:tcPr>
            <w:tcW w:w="1701" w:type="dxa"/>
            <w:vMerge/>
            <w:vAlign w:val="center"/>
          </w:tcPr>
          <w:p w14:paraId="1E00DEFE"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22776987"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5A181CCF"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6A1616F3"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6D64DF91" w14:textId="77777777" w:rsidTr="00E24DC9">
        <w:tc>
          <w:tcPr>
            <w:tcW w:w="704" w:type="dxa"/>
            <w:vMerge/>
            <w:vAlign w:val="center"/>
          </w:tcPr>
          <w:p w14:paraId="537B5E57"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3EDF1309"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143.9530</w:t>
            </w:r>
          </w:p>
        </w:tc>
        <w:tc>
          <w:tcPr>
            <w:tcW w:w="1701" w:type="dxa"/>
            <w:vMerge/>
            <w:vAlign w:val="center"/>
          </w:tcPr>
          <w:p w14:paraId="0EEA1B89"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462F1363"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170794C9"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18E39201"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50356339" w14:textId="77777777" w:rsidTr="00E24DC9">
        <w:tc>
          <w:tcPr>
            <w:tcW w:w="704" w:type="dxa"/>
            <w:vMerge/>
            <w:vAlign w:val="center"/>
          </w:tcPr>
          <w:p w14:paraId="51E1A826"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58FC97FD"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143.9890</w:t>
            </w:r>
          </w:p>
        </w:tc>
        <w:tc>
          <w:tcPr>
            <w:tcW w:w="1701" w:type="dxa"/>
            <w:vMerge/>
            <w:vAlign w:val="center"/>
          </w:tcPr>
          <w:p w14:paraId="6D5FAB1C"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0A344816"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12BE31A9"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2583E6AE"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4D537AED" w14:textId="77777777" w:rsidTr="00E24DC9">
        <w:tc>
          <w:tcPr>
            <w:tcW w:w="704" w:type="dxa"/>
            <w:vMerge/>
            <w:vAlign w:val="center"/>
          </w:tcPr>
          <w:p w14:paraId="2B2C5C86"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5FE639D9"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143.9486</w:t>
            </w:r>
          </w:p>
        </w:tc>
        <w:tc>
          <w:tcPr>
            <w:tcW w:w="1701" w:type="dxa"/>
            <w:vMerge/>
            <w:vAlign w:val="center"/>
          </w:tcPr>
          <w:p w14:paraId="1E462A60"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04D477F9"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660B4FCA"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5B00EB65"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51ADAE57" w14:textId="77777777" w:rsidTr="00E24DC9">
        <w:tc>
          <w:tcPr>
            <w:tcW w:w="704" w:type="dxa"/>
            <w:vMerge/>
            <w:vAlign w:val="center"/>
          </w:tcPr>
          <w:p w14:paraId="169FABE5"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069222D9"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143.9951</w:t>
            </w:r>
          </w:p>
        </w:tc>
        <w:tc>
          <w:tcPr>
            <w:tcW w:w="1701" w:type="dxa"/>
            <w:vMerge/>
            <w:vAlign w:val="center"/>
          </w:tcPr>
          <w:p w14:paraId="2F4F8A38"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19764057"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688F13B5"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53F3F93E"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3A6FE145" w14:textId="77777777" w:rsidTr="00E24DC9">
        <w:tc>
          <w:tcPr>
            <w:tcW w:w="704" w:type="dxa"/>
            <w:vMerge/>
            <w:vAlign w:val="center"/>
          </w:tcPr>
          <w:p w14:paraId="0F063240"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7BC27147"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144.0241</w:t>
            </w:r>
          </w:p>
        </w:tc>
        <w:tc>
          <w:tcPr>
            <w:tcW w:w="1701" w:type="dxa"/>
            <w:vMerge/>
            <w:vAlign w:val="center"/>
          </w:tcPr>
          <w:p w14:paraId="6D809B30"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79CE7DF0"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01C269FC"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1A689D86"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4D552EF1" w14:textId="77777777" w:rsidTr="00E24DC9">
        <w:tc>
          <w:tcPr>
            <w:tcW w:w="704" w:type="dxa"/>
            <w:vMerge/>
            <w:vAlign w:val="center"/>
          </w:tcPr>
          <w:p w14:paraId="7121D866"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3A77B412"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143.9056</w:t>
            </w:r>
          </w:p>
        </w:tc>
        <w:tc>
          <w:tcPr>
            <w:tcW w:w="1701" w:type="dxa"/>
            <w:vMerge/>
            <w:vAlign w:val="center"/>
          </w:tcPr>
          <w:p w14:paraId="1D43E97D"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516116CF"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14B4D819"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78D2E2D6"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6B043B55" w14:textId="77777777" w:rsidTr="00E24DC9">
        <w:tc>
          <w:tcPr>
            <w:tcW w:w="704" w:type="dxa"/>
            <w:vMerge/>
            <w:vAlign w:val="center"/>
          </w:tcPr>
          <w:p w14:paraId="57F6AF7D"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2DB72361"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143.9329</w:t>
            </w:r>
          </w:p>
        </w:tc>
        <w:tc>
          <w:tcPr>
            <w:tcW w:w="1701" w:type="dxa"/>
            <w:vMerge/>
            <w:vAlign w:val="center"/>
          </w:tcPr>
          <w:p w14:paraId="65D51953"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3B39843B"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2892A7AC"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1D373BF7"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366EC77A" w14:textId="77777777" w:rsidTr="00E24DC9">
        <w:tc>
          <w:tcPr>
            <w:tcW w:w="704" w:type="dxa"/>
            <w:vMerge/>
            <w:vAlign w:val="center"/>
          </w:tcPr>
          <w:p w14:paraId="1C652C75"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706752A7"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143.9600</w:t>
            </w:r>
          </w:p>
        </w:tc>
        <w:tc>
          <w:tcPr>
            <w:tcW w:w="1701" w:type="dxa"/>
            <w:vMerge/>
            <w:vAlign w:val="center"/>
          </w:tcPr>
          <w:p w14:paraId="46DABBD1"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5064112C"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29F3B36E"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053752C3"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41CDD071" w14:textId="77777777" w:rsidTr="00E24DC9">
        <w:tc>
          <w:tcPr>
            <w:tcW w:w="704" w:type="dxa"/>
            <w:vMerge/>
            <w:vAlign w:val="center"/>
          </w:tcPr>
          <w:p w14:paraId="52E7557B"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0FC73870"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143.8977</w:t>
            </w:r>
          </w:p>
        </w:tc>
        <w:tc>
          <w:tcPr>
            <w:tcW w:w="1701" w:type="dxa"/>
            <w:vMerge/>
            <w:vAlign w:val="center"/>
          </w:tcPr>
          <w:p w14:paraId="68CCD19D"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14926554"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4F461391"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4E698987"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659F1886" w14:textId="77777777" w:rsidTr="00E24DC9">
        <w:tc>
          <w:tcPr>
            <w:tcW w:w="704" w:type="dxa"/>
            <w:vMerge/>
            <w:vAlign w:val="center"/>
          </w:tcPr>
          <w:p w14:paraId="0FC25512"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2D465B19"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143.9574</w:t>
            </w:r>
          </w:p>
        </w:tc>
        <w:tc>
          <w:tcPr>
            <w:tcW w:w="1701" w:type="dxa"/>
            <w:vMerge/>
            <w:vAlign w:val="center"/>
          </w:tcPr>
          <w:p w14:paraId="7F219376"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46231DB6"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4C37B518"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102B3BBA"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4932BF9A" w14:textId="77777777" w:rsidTr="00E24DC9">
        <w:tc>
          <w:tcPr>
            <w:tcW w:w="704" w:type="dxa"/>
            <w:vMerge/>
            <w:vAlign w:val="center"/>
          </w:tcPr>
          <w:p w14:paraId="237CB13C"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01A81B80"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143.9898</w:t>
            </w:r>
          </w:p>
        </w:tc>
        <w:tc>
          <w:tcPr>
            <w:tcW w:w="1701" w:type="dxa"/>
            <w:vMerge/>
            <w:vAlign w:val="center"/>
          </w:tcPr>
          <w:p w14:paraId="2933A2AB"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3CF43132"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7F101D8B"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284A65DE"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23A791F7" w14:textId="77777777" w:rsidTr="00E24DC9">
        <w:tc>
          <w:tcPr>
            <w:tcW w:w="704" w:type="dxa"/>
            <w:vMerge/>
            <w:vAlign w:val="center"/>
          </w:tcPr>
          <w:p w14:paraId="3AED5B80"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3EDC0E33"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143.9074</w:t>
            </w:r>
          </w:p>
        </w:tc>
        <w:tc>
          <w:tcPr>
            <w:tcW w:w="1701" w:type="dxa"/>
            <w:vMerge/>
            <w:vAlign w:val="center"/>
          </w:tcPr>
          <w:p w14:paraId="1B19860F"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3D38A486"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410C6F90"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1520BAB6"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1838A214" w14:textId="77777777" w:rsidTr="00E24DC9">
        <w:tc>
          <w:tcPr>
            <w:tcW w:w="704" w:type="dxa"/>
            <w:vMerge/>
            <w:vAlign w:val="center"/>
          </w:tcPr>
          <w:p w14:paraId="6E976CE5"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423987ED"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143.9381</w:t>
            </w:r>
          </w:p>
        </w:tc>
        <w:tc>
          <w:tcPr>
            <w:tcW w:w="1701" w:type="dxa"/>
            <w:vMerge/>
            <w:vAlign w:val="center"/>
          </w:tcPr>
          <w:p w14:paraId="342056F4"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57B4AFE5"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49CCDB8D"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530F979F"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708C91E4" w14:textId="77777777" w:rsidTr="00E24DC9">
        <w:tc>
          <w:tcPr>
            <w:tcW w:w="704" w:type="dxa"/>
            <w:vMerge/>
            <w:vAlign w:val="center"/>
          </w:tcPr>
          <w:p w14:paraId="4FAEA1A5"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797C229C"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143.9670</w:t>
            </w:r>
          </w:p>
        </w:tc>
        <w:tc>
          <w:tcPr>
            <w:tcW w:w="1701" w:type="dxa"/>
            <w:vMerge/>
            <w:vAlign w:val="center"/>
          </w:tcPr>
          <w:p w14:paraId="2A48BB8D"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434FD3E2"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68805FC3"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1FE6B3CD"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321ED47D" w14:textId="77777777" w:rsidTr="00E24DC9">
        <w:tc>
          <w:tcPr>
            <w:tcW w:w="704" w:type="dxa"/>
            <w:vMerge/>
            <w:vAlign w:val="center"/>
          </w:tcPr>
          <w:p w14:paraId="5BC5D089"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4EDE0996"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144.0162</w:t>
            </w:r>
          </w:p>
        </w:tc>
        <w:tc>
          <w:tcPr>
            <w:tcW w:w="1701" w:type="dxa"/>
            <w:vMerge/>
            <w:vAlign w:val="center"/>
          </w:tcPr>
          <w:p w14:paraId="372295F6"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44DFC95F"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583D1488"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3A498923"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0ABAC091" w14:textId="77777777" w:rsidTr="00E24DC9">
        <w:tc>
          <w:tcPr>
            <w:tcW w:w="704" w:type="dxa"/>
            <w:vMerge/>
            <w:vAlign w:val="center"/>
          </w:tcPr>
          <w:p w14:paraId="63CA91E8"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6D4C4A98"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144.0056</w:t>
            </w:r>
          </w:p>
        </w:tc>
        <w:tc>
          <w:tcPr>
            <w:tcW w:w="1701" w:type="dxa"/>
            <w:vMerge/>
            <w:vAlign w:val="center"/>
          </w:tcPr>
          <w:p w14:paraId="22D696D7"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1D65860E"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5AD499A8"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2917A251"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12242649" w14:textId="77777777" w:rsidTr="00E24DC9">
        <w:tc>
          <w:tcPr>
            <w:tcW w:w="704" w:type="dxa"/>
            <w:vMerge/>
            <w:vAlign w:val="center"/>
          </w:tcPr>
          <w:p w14:paraId="397A2490"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1DD97065"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144.0767</w:t>
            </w:r>
          </w:p>
        </w:tc>
        <w:tc>
          <w:tcPr>
            <w:tcW w:w="1701" w:type="dxa"/>
            <w:vMerge/>
            <w:vAlign w:val="center"/>
          </w:tcPr>
          <w:p w14:paraId="39B9A27E"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219B8069"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6599FE4E"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5FBDDF16"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0EEC4A92" w14:textId="77777777" w:rsidTr="00E24DC9">
        <w:tc>
          <w:tcPr>
            <w:tcW w:w="704" w:type="dxa"/>
            <w:vMerge/>
            <w:vAlign w:val="center"/>
          </w:tcPr>
          <w:p w14:paraId="0FDD8973"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40EECCD4"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143.9872</w:t>
            </w:r>
          </w:p>
        </w:tc>
        <w:tc>
          <w:tcPr>
            <w:tcW w:w="1701" w:type="dxa"/>
            <w:vMerge/>
            <w:vAlign w:val="center"/>
          </w:tcPr>
          <w:p w14:paraId="2434C8DE"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180ABD0D"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6F034B60"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6C6F8FCB"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63CC17F7" w14:textId="77777777" w:rsidTr="00E24DC9">
        <w:tc>
          <w:tcPr>
            <w:tcW w:w="704" w:type="dxa"/>
            <w:vMerge/>
            <w:vAlign w:val="center"/>
          </w:tcPr>
          <w:p w14:paraId="19F58534"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single" w:sz="4" w:space="0" w:color="auto"/>
            </w:tcBorders>
            <w:vAlign w:val="center"/>
          </w:tcPr>
          <w:p w14:paraId="7B03DE46" w14:textId="77777777" w:rsidR="004D1935"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144.0144</w:t>
            </w:r>
          </w:p>
          <w:p w14:paraId="5E732115" w14:textId="77777777" w:rsidR="004D1935" w:rsidRDefault="004D1935" w:rsidP="00E24DC9">
            <w:pPr>
              <w:rPr>
                <w:rFonts w:ascii="Calibri" w:hAnsi="Calibri" w:cs="Calibri"/>
                <w:color w:val="000000" w:themeColor="text1"/>
                <w:sz w:val="16"/>
                <w:szCs w:val="16"/>
              </w:rPr>
            </w:pPr>
          </w:p>
          <w:p w14:paraId="01C91400" w14:textId="77777777" w:rsidR="004D1935" w:rsidRDefault="004D1935" w:rsidP="00E24DC9">
            <w:pPr>
              <w:jc w:val="center"/>
              <w:rPr>
                <w:rFonts w:ascii="Calibri" w:hAnsi="Calibri" w:cs="Calibri"/>
                <w:color w:val="000000" w:themeColor="text1"/>
                <w:sz w:val="16"/>
                <w:szCs w:val="16"/>
              </w:rPr>
            </w:pPr>
          </w:p>
          <w:p w14:paraId="1A10F0A9" w14:textId="77777777" w:rsidR="004D1935" w:rsidRDefault="004D1935" w:rsidP="00E24DC9">
            <w:pPr>
              <w:jc w:val="center"/>
              <w:rPr>
                <w:rFonts w:ascii="Calibri" w:hAnsi="Calibri" w:cs="Calibri"/>
                <w:color w:val="000000" w:themeColor="text1"/>
                <w:sz w:val="16"/>
                <w:szCs w:val="16"/>
              </w:rPr>
            </w:pPr>
          </w:p>
          <w:p w14:paraId="16ED40C4" w14:textId="77777777" w:rsidR="004D1935" w:rsidRDefault="004D1935" w:rsidP="00E24DC9">
            <w:pPr>
              <w:jc w:val="center"/>
              <w:rPr>
                <w:rFonts w:ascii="Calibri" w:hAnsi="Calibri" w:cs="Calibri"/>
                <w:color w:val="000000" w:themeColor="text1"/>
                <w:sz w:val="16"/>
                <w:szCs w:val="16"/>
              </w:rPr>
            </w:pPr>
          </w:p>
          <w:p w14:paraId="26DA609E" w14:textId="77777777" w:rsidR="004D1935" w:rsidRDefault="004D1935" w:rsidP="00E24DC9">
            <w:pPr>
              <w:jc w:val="center"/>
              <w:rPr>
                <w:rFonts w:ascii="Calibri" w:hAnsi="Calibri" w:cs="Calibri"/>
                <w:color w:val="000000" w:themeColor="text1"/>
                <w:sz w:val="16"/>
                <w:szCs w:val="16"/>
              </w:rPr>
            </w:pPr>
          </w:p>
          <w:p w14:paraId="22B956D5" w14:textId="77777777" w:rsidR="004D1935" w:rsidRPr="00F54137" w:rsidRDefault="004D1935" w:rsidP="00E24DC9">
            <w:pPr>
              <w:jc w:val="center"/>
              <w:rPr>
                <w:rFonts w:ascii="Calibri" w:hAnsi="Calibri" w:cs="Calibri"/>
                <w:color w:val="000000" w:themeColor="text1"/>
                <w:sz w:val="16"/>
                <w:szCs w:val="16"/>
              </w:rPr>
            </w:pPr>
          </w:p>
        </w:tc>
        <w:tc>
          <w:tcPr>
            <w:tcW w:w="1701" w:type="dxa"/>
            <w:vMerge/>
            <w:vAlign w:val="center"/>
          </w:tcPr>
          <w:p w14:paraId="3B44DD28"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5BE50EB6"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7D724B62"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24C2E4B1"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722D87" w14:paraId="3A2E51CB" w14:textId="77777777" w:rsidTr="00E24DC9">
        <w:tc>
          <w:tcPr>
            <w:tcW w:w="704" w:type="dxa"/>
            <w:vMerge w:val="restart"/>
            <w:vAlign w:val="center"/>
          </w:tcPr>
          <w:p w14:paraId="27C04B61" w14:textId="77777777" w:rsidR="004D1935" w:rsidRPr="00F54137" w:rsidRDefault="004D1935" w:rsidP="00E24DC9">
            <w:pPr>
              <w:jc w:val="center"/>
              <w:rPr>
                <w:rFonts w:ascii="Calibri" w:hAnsi="Calibri" w:cs="Calibri"/>
                <w:color w:val="000000" w:themeColor="text1"/>
                <w:sz w:val="16"/>
                <w:szCs w:val="16"/>
              </w:rPr>
            </w:pPr>
            <w:r w:rsidRPr="00F54137">
              <w:rPr>
                <w:rFonts w:asciiTheme="majorBidi" w:hAnsiTheme="majorBidi" w:cstheme="majorBidi"/>
                <w:color w:val="000000" w:themeColor="text1"/>
                <w:sz w:val="16"/>
                <w:szCs w:val="16"/>
              </w:rPr>
              <w:lastRenderedPageBreak/>
              <w:t>NA</w:t>
            </w:r>
          </w:p>
        </w:tc>
        <w:tc>
          <w:tcPr>
            <w:tcW w:w="851" w:type="dxa"/>
            <w:tcBorders>
              <w:bottom w:val="nil"/>
            </w:tcBorders>
            <w:vAlign w:val="center"/>
          </w:tcPr>
          <w:p w14:paraId="17188A41" w14:textId="77777777" w:rsidR="004D1935" w:rsidRPr="00F54137" w:rsidRDefault="004D1935" w:rsidP="00E24DC9">
            <w:pPr>
              <w:jc w:val="center"/>
              <w:rPr>
                <w:rFonts w:ascii="Calibri" w:hAnsi="Calibri" w:cs="Calibri"/>
                <w:color w:val="000000" w:themeColor="text1"/>
                <w:sz w:val="16"/>
                <w:szCs w:val="16"/>
              </w:rPr>
            </w:pPr>
          </w:p>
        </w:tc>
        <w:tc>
          <w:tcPr>
            <w:tcW w:w="1701" w:type="dxa"/>
            <w:vMerge w:val="restart"/>
            <w:vAlign w:val="center"/>
          </w:tcPr>
          <w:p w14:paraId="237C9411" w14:textId="77777777" w:rsidR="004D1935" w:rsidRPr="009D5D84" w:rsidRDefault="00000000" w:rsidP="00E24DC9">
            <w:pPr>
              <w:spacing w:line="360" w:lineRule="auto"/>
              <w:jc w:val="center"/>
              <w:rPr>
                <w:rFonts w:asciiTheme="majorBidi" w:hAnsiTheme="majorBidi" w:cstheme="majorBidi"/>
                <w:color w:val="000000" w:themeColor="text1"/>
                <w:sz w:val="11"/>
                <w:szCs w:val="11"/>
              </w:rPr>
            </w:pPr>
            <w:hyperlink r:id="rId75" w:history="1">
              <w:r w:rsidR="004D1935" w:rsidRPr="009D5D84">
                <w:rPr>
                  <w:rFonts w:ascii="Calibri" w:hAnsi="Calibri" w:cs="Calibri"/>
                  <w:color w:val="000000" w:themeColor="text1"/>
                  <w:sz w:val="11"/>
                  <w:szCs w:val="11"/>
                </w:rPr>
                <w:t>4-hydroxybenzaldehyde</w:t>
              </w:r>
            </w:hyperlink>
          </w:p>
          <w:p w14:paraId="7D490958" w14:textId="77777777" w:rsidR="004D1935" w:rsidRPr="009D5D84" w:rsidRDefault="00000000" w:rsidP="00E24DC9">
            <w:pPr>
              <w:spacing w:line="360" w:lineRule="auto"/>
              <w:jc w:val="center"/>
              <w:rPr>
                <w:rFonts w:asciiTheme="majorBidi" w:hAnsiTheme="majorBidi" w:cstheme="majorBidi"/>
                <w:color w:val="000000" w:themeColor="text1"/>
                <w:sz w:val="11"/>
                <w:szCs w:val="11"/>
              </w:rPr>
            </w:pPr>
            <w:hyperlink r:id="rId76" w:history="1">
              <w:r w:rsidR="004D1935" w:rsidRPr="009D5D84">
                <w:rPr>
                  <w:rFonts w:ascii="Calibri" w:hAnsi="Calibri" w:cs="Calibri"/>
                  <w:color w:val="000000" w:themeColor="text1"/>
                  <w:sz w:val="11"/>
                  <w:szCs w:val="11"/>
                </w:rPr>
                <w:t>D-cysteine</w:t>
              </w:r>
            </w:hyperlink>
          </w:p>
          <w:p w14:paraId="75F86582" w14:textId="77777777" w:rsidR="004D1935" w:rsidRPr="009D5D84" w:rsidRDefault="00000000" w:rsidP="00E24DC9">
            <w:pPr>
              <w:spacing w:line="360" w:lineRule="auto"/>
              <w:jc w:val="center"/>
              <w:rPr>
                <w:rFonts w:asciiTheme="majorBidi" w:hAnsiTheme="majorBidi" w:cstheme="majorBidi"/>
                <w:color w:val="000000" w:themeColor="text1"/>
                <w:sz w:val="11"/>
                <w:szCs w:val="11"/>
              </w:rPr>
            </w:pPr>
            <w:hyperlink r:id="rId77" w:history="1">
              <w:r w:rsidR="004D1935" w:rsidRPr="009D5D84">
                <w:rPr>
                  <w:rFonts w:ascii="Calibri" w:hAnsi="Calibri" w:cs="Calibri"/>
                  <w:color w:val="000000" w:themeColor="text1"/>
                  <w:sz w:val="11"/>
                  <w:szCs w:val="11"/>
                </w:rPr>
                <w:t>L-cysteine</w:t>
              </w:r>
            </w:hyperlink>
          </w:p>
          <w:p w14:paraId="555B25D6" w14:textId="77777777" w:rsidR="004D1935" w:rsidRPr="009D5D84" w:rsidRDefault="00000000" w:rsidP="00E24DC9">
            <w:pPr>
              <w:spacing w:line="360" w:lineRule="auto"/>
              <w:jc w:val="center"/>
              <w:rPr>
                <w:rFonts w:asciiTheme="majorBidi" w:hAnsiTheme="majorBidi" w:cstheme="majorBidi"/>
                <w:color w:val="000000" w:themeColor="text1"/>
                <w:sz w:val="11"/>
                <w:szCs w:val="11"/>
              </w:rPr>
            </w:pPr>
            <w:hyperlink r:id="rId78" w:history="1">
              <w:r w:rsidR="004D1935" w:rsidRPr="009D5D84">
                <w:rPr>
                  <w:rFonts w:ascii="Calibri" w:hAnsi="Calibri" w:cs="Calibri"/>
                  <w:color w:val="000000" w:themeColor="text1"/>
                  <w:sz w:val="11"/>
                  <w:szCs w:val="11"/>
                </w:rPr>
                <w:t>salicylaldehyde</w:t>
              </w:r>
            </w:hyperlink>
          </w:p>
          <w:p w14:paraId="24C75517" w14:textId="77777777" w:rsidR="004D1935" w:rsidRPr="009D5D84" w:rsidRDefault="00000000" w:rsidP="00E24DC9">
            <w:pPr>
              <w:spacing w:line="360" w:lineRule="auto"/>
              <w:jc w:val="center"/>
              <w:rPr>
                <w:rFonts w:asciiTheme="majorBidi" w:hAnsiTheme="majorBidi" w:cstheme="majorBidi"/>
                <w:color w:val="000000" w:themeColor="text1"/>
                <w:sz w:val="11"/>
                <w:szCs w:val="11"/>
              </w:rPr>
            </w:pPr>
            <w:hyperlink r:id="rId79" w:history="1">
              <w:r w:rsidR="004D1935" w:rsidRPr="009D5D84">
                <w:rPr>
                  <w:rFonts w:ascii="Calibri" w:hAnsi="Calibri" w:cs="Calibri"/>
                  <w:color w:val="000000" w:themeColor="text1"/>
                  <w:sz w:val="11"/>
                  <w:szCs w:val="11"/>
                </w:rPr>
                <w:t>benzoate</w:t>
              </w:r>
            </w:hyperlink>
          </w:p>
          <w:p w14:paraId="0E181EBD" w14:textId="77777777" w:rsidR="004D1935" w:rsidRPr="009D5D84" w:rsidRDefault="00000000" w:rsidP="00E24DC9">
            <w:pPr>
              <w:spacing w:line="360" w:lineRule="auto"/>
              <w:jc w:val="center"/>
              <w:rPr>
                <w:rFonts w:asciiTheme="majorBidi" w:hAnsiTheme="majorBidi" w:cstheme="majorBidi"/>
                <w:color w:val="000000" w:themeColor="text1"/>
                <w:sz w:val="11"/>
                <w:szCs w:val="11"/>
              </w:rPr>
            </w:pPr>
            <w:hyperlink r:id="rId80" w:history="1">
              <w:r w:rsidR="004D1935" w:rsidRPr="009D5D84">
                <w:rPr>
                  <w:rFonts w:ascii="Calibri" w:hAnsi="Calibri" w:cs="Calibri"/>
                  <w:color w:val="000000" w:themeColor="text1"/>
                  <w:sz w:val="11"/>
                  <w:szCs w:val="11"/>
                </w:rPr>
                <w:t>erythritol</w:t>
              </w:r>
            </w:hyperlink>
          </w:p>
          <w:p w14:paraId="4E5FE1CC" w14:textId="77777777" w:rsidR="004D1935" w:rsidRPr="009D5D84" w:rsidRDefault="00000000" w:rsidP="00E24DC9">
            <w:pPr>
              <w:spacing w:line="360" w:lineRule="auto"/>
              <w:jc w:val="center"/>
              <w:rPr>
                <w:rFonts w:asciiTheme="majorBidi" w:hAnsiTheme="majorBidi" w:cstheme="majorBidi"/>
                <w:color w:val="000000" w:themeColor="text1"/>
                <w:sz w:val="11"/>
                <w:szCs w:val="11"/>
              </w:rPr>
            </w:pPr>
            <w:hyperlink r:id="rId81" w:history="1">
              <w:r w:rsidR="004D1935" w:rsidRPr="009D5D84">
                <w:rPr>
                  <w:rFonts w:ascii="Calibri" w:hAnsi="Calibri" w:cs="Calibri"/>
                  <w:color w:val="000000" w:themeColor="text1"/>
                  <w:sz w:val="11"/>
                  <w:szCs w:val="11"/>
                </w:rPr>
                <w:t>nicotinamide</w:t>
              </w:r>
            </w:hyperlink>
          </w:p>
        </w:tc>
        <w:tc>
          <w:tcPr>
            <w:tcW w:w="2693" w:type="dxa"/>
            <w:vMerge w:val="restart"/>
            <w:vAlign w:val="center"/>
          </w:tcPr>
          <w:p w14:paraId="4F661E3C" w14:textId="77777777" w:rsidR="004D1935" w:rsidRPr="009D5D84" w:rsidRDefault="004D1935" w:rsidP="00E24DC9">
            <w:pPr>
              <w:spacing w:line="360" w:lineRule="auto"/>
              <w:jc w:val="center"/>
              <w:rPr>
                <w:rFonts w:asciiTheme="majorBidi" w:hAnsiTheme="majorBidi" w:cstheme="majorBidi"/>
                <w:color w:val="000000" w:themeColor="text1"/>
                <w:sz w:val="11"/>
                <w:szCs w:val="11"/>
              </w:rPr>
            </w:pPr>
            <w:r w:rsidRPr="009D5D84">
              <w:rPr>
                <w:rFonts w:ascii="Calibri" w:hAnsi="Calibri" w:cs="Calibri"/>
                <w:color w:val="000000" w:themeColor="text1"/>
                <w:sz w:val="11"/>
                <w:szCs w:val="11"/>
              </w:rPr>
              <w:t>carbonyl compounds/Hydroxybenzaldehydes /</w:t>
            </w:r>
          </w:p>
          <w:p w14:paraId="1BA2B672" w14:textId="77777777" w:rsidR="004D1935" w:rsidRPr="009D5D84" w:rsidRDefault="004D1935" w:rsidP="00E24DC9">
            <w:pPr>
              <w:spacing w:line="360" w:lineRule="auto"/>
              <w:jc w:val="center"/>
              <w:rPr>
                <w:rFonts w:asciiTheme="majorBidi" w:hAnsiTheme="majorBidi" w:cstheme="majorBidi"/>
                <w:color w:val="000000" w:themeColor="text1"/>
                <w:sz w:val="11"/>
                <w:szCs w:val="11"/>
              </w:rPr>
            </w:pPr>
            <w:r w:rsidRPr="009D5D84">
              <w:rPr>
                <w:rFonts w:ascii="Calibri" w:hAnsi="Calibri" w:cs="Calibri"/>
                <w:color w:val="000000" w:themeColor="text1"/>
                <w:sz w:val="11"/>
                <w:szCs w:val="11"/>
              </w:rPr>
              <w:t>amino acid/peptides/carboxy acid</w:t>
            </w:r>
          </w:p>
          <w:p w14:paraId="4C3DF44D" w14:textId="77777777" w:rsidR="004D1935" w:rsidRPr="009D5D84" w:rsidRDefault="004D1935" w:rsidP="00E24DC9">
            <w:pPr>
              <w:spacing w:line="360" w:lineRule="auto"/>
              <w:jc w:val="center"/>
              <w:rPr>
                <w:rFonts w:asciiTheme="majorBidi" w:hAnsiTheme="majorBidi" w:cstheme="majorBidi"/>
                <w:color w:val="000000" w:themeColor="text1"/>
                <w:sz w:val="11"/>
                <w:szCs w:val="11"/>
              </w:rPr>
            </w:pPr>
            <w:r w:rsidRPr="009D5D84">
              <w:rPr>
                <w:rFonts w:ascii="Calibri" w:hAnsi="Calibri" w:cs="Calibri"/>
                <w:color w:val="000000" w:themeColor="text1"/>
                <w:sz w:val="11"/>
                <w:szCs w:val="11"/>
              </w:rPr>
              <w:t>amino acid/peptides/carboxy acid</w:t>
            </w:r>
          </w:p>
          <w:p w14:paraId="7FD21359" w14:textId="77777777" w:rsidR="004D1935" w:rsidRPr="009D5D84" w:rsidRDefault="004D1935" w:rsidP="00E24DC9">
            <w:pPr>
              <w:spacing w:line="360" w:lineRule="auto"/>
              <w:jc w:val="center"/>
              <w:rPr>
                <w:rFonts w:asciiTheme="majorBidi" w:hAnsiTheme="majorBidi" w:cstheme="majorBidi"/>
                <w:color w:val="000000" w:themeColor="text1"/>
                <w:sz w:val="11"/>
                <w:szCs w:val="11"/>
              </w:rPr>
            </w:pPr>
            <w:r w:rsidRPr="009D5D84">
              <w:rPr>
                <w:rFonts w:ascii="Calibri" w:hAnsi="Calibri" w:cs="Calibri"/>
                <w:color w:val="000000" w:themeColor="text1"/>
                <w:sz w:val="11"/>
                <w:szCs w:val="11"/>
              </w:rPr>
              <w:t>aldehydes/ aromatic compounds</w:t>
            </w:r>
          </w:p>
          <w:p w14:paraId="393D3452" w14:textId="77777777" w:rsidR="004D1935" w:rsidRPr="009D5D84" w:rsidRDefault="004D1935" w:rsidP="00E24DC9">
            <w:pPr>
              <w:spacing w:line="360" w:lineRule="auto"/>
              <w:jc w:val="center"/>
              <w:rPr>
                <w:rFonts w:asciiTheme="majorBidi" w:hAnsiTheme="majorBidi" w:cstheme="majorBidi"/>
                <w:color w:val="000000" w:themeColor="text1"/>
                <w:sz w:val="11"/>
                <w:szCs w:val="11"/>
              </w:rPr>
            </w:pPr>
            <w:r w:rsidRPr="009D5D84">
              <w:rPr>
                <w:rFonts w:ascii="Arial" w:hAnsi="Arial" w:cs="Arial"/>
                <w:color w:val="000000" w:themeColor="text1"/>
                <w:sz w:val="11"/>
                <w:szCs w:val="11"/>
              </w:rPr>
              <w:t>carboxy acids/aromatic carboxylate</w:t>
            </w:r>
          </w:p>
          <w:p w14:paraId="7C0CF258" w14:textId="77777777" w:rsidR="004D1935" w:rsidRPr="009D5D84" w:rsidRDefault="004D1935" w:rsidP="00E24DC9">
            <w:pPr>
              <w:spacing w:line="360" w:lineRule="auto"/>
              <w:jc w:val="center"/>
              <w:rPr>
                <w:rFonts w:asciiTheme="majorBidi" w:hAnsiTheme="majorBidi" w:cstheme="majorBidi"/>
                <w:color w:val="000000" w:themeColor="text1"/>
                <w:sz w:val="11"/>
                <w:szCs w:val="11"/>
              </w:rPr>
            </w:pPr>
            <w:r w:rsidRPr="009D5D84">
              <w:rPr>
                <w:rFonts w:ascii="Calibri" w:hAnsi="Calibri" w:cs="Calibri"/>
                <w:color w:val="000000" w:themeColor="text1"/>
                <w:sz w:val="11"/>
                <w:szCs w:val="11"/>
              </w:rPr>
              <w:t>alchohol/charbohydrate/glycan/ tetritol</w:t>
            </w:r>
          </w:p>
          <w:p w14:paraId="17BA21E4" w14:textId="77777777" w:rsidR="004D1935" w:rsidRPr="009D5D84" w:rsidRDefault="004D1935" w:rsidP="00E24DC9">
            <w:pPr>
              <w:spacing w:line="360" w:lineRule="auto"/>
              <w:jc w:val="center"/>
              <w:rPr>
                <w:rFonts w:asciiTheme="majorBidi" w:hAnsiTheme="majorBidi" w:cstheme="majorBidi"/>
                <w:color w:val="000000" w:themeColor="text1"/>
                <w:sz w:val="11"/>
                <w:szCs w:val="11"/>
              </w:rPr>
            </w:pPr>
            <w:r w:rsidRPr="009D5D84">
              <w:rPr>
                <w:rFonts w:ascii="Calibri" w:hAnsi="Calibri" w:cs="Calibri"/>
                <w:color w:val="000000" w:themeColor="text1"/>
                <w:sz w:val="11"/>
                <w:szCs w:val="11"/>
              </w:rPr>
              <w:t>amide/vitamin</w:t>
            </w:r>
          </w:p>
        </w:tc>
        <w:tc>
          <w:tcPr>
            <w:tcW w:w="1134" w:type="dxa"/>
            <w:vMerge w:val="restart"/>
            <w:vAlign w:val="center"/>
          </w:tcPr>
          <w:p w14:paraId="5AB2EE7C" w14:textId="77777777" w:rsidR="004D1935" w:rsidRDefault="004D1935" w:rsidP="00E24DC9">
            <w:pPr>
              <w:spacing w:line="360" w:lineRule="auto"/>
              <w:rPr>
                <w:rFonts w:ascii="Arial" w:hAnsi="Arial" w:cs="Arial"/>
                <w:color w:val="000000" w:themeColor="text1"/>
                <w:sz w:val="11"/>
                <w:szCs w:val="11"/>
                <w:shd w:val="clear" w:color="auto" w:fill="FFFFFF"/>
              </w:rPr>
            </w:pPr>
          </w:p>
          <w:p w14:paraId="1D73EFE7" w14:textId="77777777" w:rsidR="004D1935" w:rsidRPr="009D5D84" w:rsidRDefault="004D1935" w:rsidP="00E24DC9">
            <w:pPr>
              <w:spacing w:line="360" w:lineRule="auto"/>
              <w:jc w:val="center"/>
              <w:rPr>
                <w:rFonts w:ascii="Arial" w:hAnsi="Arial" w:cs="Arial"/>
                <w:color w:val="000000" w:themeColor="text1"/>
                <w:sz w:val="11"/>
                <w:szCs w:val="11"/>
                <w:shd w:val="clear" w:color="auto" w:fill="FFFFFF"/>
                <w:vertAlign w:val="subscript"/>
              </w:rPr>
            </w:pPr>
            <w:r w:rsidRPr="009D5D84">
              <w:rPr>
                <w:rFonts w:ascii="Arial" w:hAnsi="Arial" w:cs="Arial"/>
                <w:color w:val="000000" w:themeColor="text1"/>
                <w:sz w:val="11"/>
                <w:szCs w:val="11"/>
                <w:shd w:val="clear" w:color="auto" w:fill="FFFFFF"/>
              </w:rPr>
              <w:t>C</w:t>
            </w:r>
            <w:r w:rsidRPr="009D5D84">
              <w:rPr>
                <w:rFonts w:ascii="Arial" w:hAnsi="Arial" w:cs="Arial"/>
                <w:color w:val="000000" w:themeColor="text1"/>
                <w:sz w:val="11"/>
                <w:szCs w:val="11"/>
                <w:shd w:val="clear" w:color="auto" w:fill="FFFFFF"/>
                <w:vertAlign w:val="subscript"/>
              </w:rPr>
              <w:t>7</w:t>
            </w:r>
            <w:r w:rsidRPr="009D5D84">
              <w:rPr>
                <w:rFonts w:ascii="Arial" w:hAnsi="Arial" w:cs="Arial"/>
                <w:color w:val="000000" w:themeColor="text1"/>
                <w:sz w:val="11"/>
                <w:szCs w:val="11"/>
                <w:shd w:val="clear" w:color="auto" w:fill="FFFFFF"/>
              </w:rPr>
              <w:t>H</w:t>
            </w:r>
            <w:r w:rsidRPr="009D5D84">
              <w:rPr>
                <w:rFonts w:ascii="Arial" w:hAnsi="Arial" w:cs="Arial"/>
                <w:color w:val="000000" w:themeColor="text1"/>
                <w:sz w:val="11"/>
                <w:szCs w:val="11"/>
                <w:shd w:val="clear" w:color="auto" w:fill="FFFFFF"/>
                <w:vertAlign w:val="subscript"/>
              </w:rPr>
              <w:t>6</w:t>
            </w:r>
            <w:r w:rsidRPr="009D5D84">
              <w:rPr>
                <w:rFonts w:ascii="Arial" w:hAnsi="Arial" w:cs="Arial"/>
                <w:color w:val="000000" w:themeColor="text1"/>
                <w:sz w:val="11"/>
                <w:szCs w:val="11"/>
                <w:shd w:val="clear" w:color="auto" w:fill="FFFFFF"/>
              </w:rPr>
              <w:t>O</w:t>
            </w:r>
            <w:r w:rsidRPr="009D5D84">
              <w:rPr>
                <w:rFonts w:ascii="Arial" w:hAnsi="Arial" w:cs="Arial"/>
                <w:color w:val="000000" w:themeColor="text1"/>
                <w:sz w:val="11"/>
                <w:szCs w:val="11"/>
                <w:shd w:val="clear" w:color="auto" w:fill="FFFFFF"/>
                <w:vertAlign w:val="subscript"/>
              </w:rPr>
              <w:t>2</w:t>
            </w:r>
          </w:p>
          <w:p w14:paraId="03C73721" w14:textId="77777777" w:rsidR="004D1935" w:rsidRPr="009D5D84" w:rsidRDefault="004D1935" w:rsidP="00E24DC9">
            <w:pPr>
              <w:spacing w:line="360" w:lineRule="auto"/>
              <w:jc w:val="center"/>
              <w:rPr>
                <w:rFonts w:ascii="Arial" w:hAnsi="Arial" w:cs="Arial"/>
                <w:color w:val="000000" w:themeColor="text1"/>
                <w:sz w:val="11"/>
                <w:szCs w:val="11"/>
                <w:shd w:val="clear" w:color="auto" w:fill="FFFFFF"/>
              </w:rPr>
            </w:pPr>
            <w:r w:rsidRPr="009D5D84">
              <w:rPr>
                <w:rFonts w:ascii="Arial" w:hAnsi="Arial" w:cs="Arial"/>
                <w:color w:val="000000" w:themeColor="text1"/>
                <w:sz w:val="11"/>
                <w:szCs w:val="11"/>
                <w:shd w:val="clear" w:color="auto" w:fill="FFFFFF"/>
              </w:rPr>
              <w:t>C</w:t>
            </w:r>
            <w:r w:rsidRPr="009D5D84">
              <w:rPr>
                <w:rFonts w:ascii="Arial" w:hAnsi="Arial" w:cs="Arial"/>
                <w:color w:val="000000" w:themeColor="text1"/>
                <w:sz w:val="11"/>
                <w:szCs w:val="11"/>
                <w:shd w:val="clear" w:color="auto" w:fill="FFFFFF"/>
                <w:vertAlign w:val="subscript"/>
              </w:rPr>
              <w:t>3</w:t>
            </w:r>
            <w:r w:rsidRPr="009D5D84">
              <w:rPr>
                <w:rFonts w:ascii="Arial" w:hAnsi="Arial" w:cs="Arial"/>
                <w:color w:val="000000" w:themeColor="text1"/>
                <w:sz w:val="11"/>
                <w:szCs w:val="11"/>
                <w:shd w:val="clear" w:color="auto" w:fill="FFFFFF"/>
              </w:rPr>
              <w:t>H</w:t>
            </w:r>
            <w:r w:rsidRPr="009D5D84">
              <w:rPr>
                <w:rFonts w:ascii="Arial" w:hAnsi="Arial" w:cs="Arial"/>
                <w:color w:val="000000" w:themeColor="text1"/>
                <w:sz w:val="11"/>
                <w:szCs w:val="11"/>
                <w:shd w:val="clear" w:color="auto" w:fill="FFFFFF"/>
                <w:vertAlign w:val="subscript"/>
              </w:rPr>
              <w:t>7</w:t>
            </w:r>
            <w:r w:rsidRPr="009D5D84">
              <w:rPr>
                <w:rFonts w:ascii="Arial" w:hAnsi="Arial" w:cs="Arial"/>
                <w:color w:val="000000" w:themeColor="text1"/>
                <w:sz w:val="11"/>
                <w:szCs w:val="11"/>
                <w:shd w:val="clear" w:color="auto" w:fill="FFFFFF"/>
              </w:rPr>
              <w:t>NO</w:t>
            </w:r>
            <w:r w:rsidRPr="009D5D84">
              <w:rPr>
                <w:rFonts w:ascii="Arial" w:hAnsi="Arial" w:cs="Arial"/>
                <w:color w:val="000000" w:themeColor="text1"/>
                <w:sz w:val="11"/>
                <w:szCs w:val="11"/>
                <w:shd w:val="clear" w:color="auto" w:fill="FFFFFF"/>
                <w:vertAlign w:val="subscript"/>
              </w:rPr>
              <w:t>2</w:t>
            </w:r>
            <w:r w:rsidRPr="009D5D84">
              <w:rPr>
                <w:rFonts w:ascii="Arial" w:hAnsi="Arial" w:cs="Arial"/>
                <w:color w:val="000000" w:themeColor="text1"/>
                <w:sz w:val="11"/>
                <w:szCs w:val="11"/>
                <w:shd w:val="clear" w:color="auto" w:fill="FFFFFF"/>
              </w:rPr>
              <w:t>S</w:t>
            </w:r>
          </w:p>
          <w:p w14:paraId="0C9AA809" w14:textId="77777777" w:rsidR="004D1935" w:rsidRPr="009D5D84" w:rsidRDefault="004D1935" w:rsidP="00E24DC9">
            <w:pPr>
              <w:spacing w:line="360" w:lineRule="auto"/>
              <w:jc w:val="center"/>
              <w:rPr>
                <w:color w:val="000000" w:themeColor="text1"/>
                <w:sz w:val="11"/>
                <w:szCs w:val="11"/>
              </w:rPr>
            </w:pPr>
            <w:r w:rsidRPr="009D5D84">
              <w:rPr>
                <w:rFonts w:ascii="Arial" w:hAnsi="Arial" w:cs="Arial"/>
                <w:color w:val="000000" w:themeColor="text1"/>
                <w:sz w:val="11"/>
                <w:szCs w:val="11"/>
                <w:shd w:val="clear" w:color="auto" w:fill="FFFFFF"/>
              </w:rPr>
              <w:t>C</w:t>
            </w:r>
            <w:r w:rsidRPr="009D5D84">
              <w:rPr>
                <w:rFonts w:ascii="Arial" w:hAnsi="Arial" w:cs="Arial"/>
                <w:color w:val="000000" w:themeColor="text1"/>
                <w:sz w:val="11"/>
                <w:szCs w:val="11"/>
                <w:shd w:val="clear" w:color="auto" w:fill="FFFFFF"/>
                <w:vertAlign w:val="subscript"/>
              </w:rPr>
              <w:t>3</w:t>
            </w:r>
            <w:r w:rsidRPr="009D5D84">
              <w:rPr>
                <w:rFonts w:ascii="Arial" w:hAnsi="Arial" w:cs="Arial"/>
                <w:color w:val="000000" w:themeColor="text1"/>
                <w:sz w:val="11"/>
                <w:szCs w:val="11"/>
                <w:shd w:val="clear" w:color="auto" w:fill="FFFFFF"/>
              </w:rPr>
              <w:t>H</w:t>
            </w:r>
            <w:r w:rsidRPr="009D5D84">
              <w:rPr>
                <w:rFonts w:ascii="Arial" w:hAnsi="Arial" w:cs="Arial"/>
                <w:color w:val="000000" w:themeColor="text1"/>
                <w:sz w:val="11"/>
                <w:szCs w:val="11"/>
                <w:shd w:val="clear" w:color="auto" w:fill="FFFFFF"/>
                <w:vertAlign w:val="subscript"/>
              </w:rPr>
              <w:t>7</w:t>
            </w:r>
            <w:r w:rsidRPr="009D5D84">
              <w:rPr>
                <w:rFonts w:ascii="Arial" w:hAnsi="Arial" w:cs="Arial"/>
                <w:color w:val="000000" w:themeColor="text1"/>
                <w:sz w:val="11"/>
                <w:szCs w:val="11"/>
                <w:shd w:val="clear" w:color="auto" w:fill="FFFFFF"/>
              </w:rPr>
              <w:t>NO</w:t>
            </w:r>
            <w:r w:rsidRPr="009D5D84">
              <w:rPr>
                <w:rFonts w:ascii="Arial" w:hAnsi="Arial" w:cs="Arial"/>
                <w:color w:val="000000" w:themeColor="text1"/>
                <w:sz w:val="11"/>
                <w:szCs w:val="11"/>
                <w:shd w:val="clear" w:color="auto" w:fill="FFFFFF"/>
                <w:vertAlign w:val="subscript"/>
              </w:rPr>
              <w:t>2</w:t>
            </w:r>
            <w:r w:rsidRPr="009D5D84">
              <w:rPr>
                <w:rFonts w:ascii="Arial" w:hAnsi="Arial" w:cs="Arial"/>
                <w:color w:val="000000" w:themeColor="text1"/>
                <w:sz w:val="11"/>
                <w:szCs w:val="11"/>
                <w:shd w:val="clear" w:color="auto" w:fill="FFFFFF"/>
              </w:rPr>
              <w:t>S</w:t>
            </w:r>
          </w:p>
          <w:p w14:paraId="242D19D8" w14:textId="77777777" w:rsidR="004D1935" w:rsidRPr="009D5D84" w:rsidRDefault="004D1935" w:rsidP="00E24DC9">
            <w:pPr>
              <w:spacing w:line="360" w:lineRule="auto"/>
              <w:jc w:val="center"/>
              <w:rPr>
                <w:color w:val="000000" w:themeColor="text1"/>
                <w:sz w:val="11"/>
                <w:szCs w:val="11"/>
              </w:rPr>
            </w:pPr>
            <w:r w:rsidRPr="009D5D84">
              <w:rPr>
                <w:rFonts w:ascii="Arial" w:hAnsi="Arial" w:cs="Arial"/>
                <w:color w:val="000000" w:themeColor="text1"/>
                <w:sz w:val="11"/>
                <w:szCs w:val="11"/>
                <w:shd w:val="clear" w:color="auto" w:fill="FFFFFF"/>
              </w:rPr>
              <w:t>C</w:t>
            </w:r>
            <w:r w:rsidRPr="009D5D84">
              <w:rPr>
                <w:rFonts w:ascii="Arial" w:hAnsi="Arial" w:cs="Arial"/>
                <w:color w:val="000000" w:themeColor="text1"/>
                <w:sz w:val="11"/>
                <w:szCs w:val="11"/>
                <w:shd w:val="clear" w:color="auto" w:fill="FFFFFF"/>
                <w:vertAlign w:val="subscript"/>
              </w:rPr>
              <w:t>7</w:t>
            </w:r>
            <w:r w:rsidRPr="009D5D84">
              <w:rPr>
                <w:rFonts w:ascii="Arial" w:hAnsi="Arial" w:cs="Arial"/>
                <w:color w:val="000000" w:themeColor="text1"/>
                <w:sz w:val="11"/>
                <w:szCs w:val="11"/>
                <w:shd w:val="clear" w:color="auto" w:fill="FFFFFF"/>
              </w:rPr>
              <w:t>H</w:t>
            </w:r>
            <w:r w:rsidRPr="009D5D84">
              <w:rPr>
                <w:rFonts w:ascii="Arial" w:hAnsi="Arial" w:cs="Arial"/>
                <w:color w:val="000000" w:themeColor="text1"/>
                <w:sz w:val="11"/>
                <w:szCs w:val="11"/>
                <w:shd w:val="clear" w:color="auto" w:fill="FFFFFF"/>
                <w:vertAlign w:val="subscript"/>
              </w:rPr>
              <w:t>6</w:t>
            </w:r>
            <w:r w:rsidRPr="009D5D84">
              <w:rPr>
                <w:rFonts w:ascii="Arial" w:hAnsi="Arial" w:cs="Arial"/>
                <w:color w:val="000000" w:themeColor="text1"/>
                <w:sz w:val="11"/>
                <w:szCs w:val="11"/>
                <w:shd w:val="clear" w:color="auto" w:fill="FFFFFF"/>
              </w:rPr>
              <w:t>O</w:t>
            </w:r>
            <w:r w:rsidRPr="009D5D84">
              <w:rPr>
                <w:rFonts w:ascii="Arial" w:hAnsi="Arial" w:cs="Arial"/>
                <w:color w:val="000000" w:themeColor="text1"/>
                <w:sz w:val="11"/>
                <w:szCs w:val="11"/>
                <w:shd w:val="clear" w:color="auto" w:fill="FFFFFF"/>
                <w:vertAlign w:val="subscript"/>
              </w:rPr>
              <w:t>2</w:t>
            </w:r>
          </w:p>
          <w:p w14:paraId="71452C43" w14:textId="77777777" w:rsidR="004D1935" w:rsidRPr="009D5D84" w:rsidRDefault="004D1935" w:rsidP="00E24DC9">
            <w:pPr>
              <w:spacing w:line="360" w:lineRule="auto"/>
              <w:jc w:val="center"/>
              <w:rPr>
                <w:color w:val="000000" w:themeColor="text1"/>
                <w:sz w:val="11"/>
                <w:szCs w:val="11"/>
              </w:rPr>
            </w:pPr>
            <w:r w:rsidRPr="009D5D84">
              <w:rPr>
                <w:rFonts w:ascii="Arial" w:hAnsi="Arial" w:cs="Arial"/>
                <w:color w:val="000000" w:themeColor="text1"/>
                <w:sz w:val="11"/>
                <w:szCs w:val="11"/>
                <w:shd w:val="clear" w:color="auto" w:fill="FFFFFF"/>
              </w:rPr>
              <w:t>C</w:t>
            </w:r>
            <w:r w:rsidRPr="009D5D84">
              <w:rPr>
                <w:rFonts w:ascii="Arial" w:hAnsi="Arial" w:cs="Arial"/>
                <w:color w:val="000000" w:themeColor="text1"/>
                <w:sz w:val="11"/>
                <w:szCs w:val="11"/>
                <w:shd w:val="clear" w:color="auto" w:fill="FFFFFF"/>
                <w:vertAlign w:val="subscript"/>
              </w:rPr>
              <w:t>7</w:t>
            </w:r>
            <w:r w:rsidRPr="009D5D84">
              <w:rPr>
                <w:rFonts w:ascii="Arial" w:hAnsi="Arial" w:cs="Arial"/>
                <w:color w:val="000000" w:themeColor="text1"/>
                <w:sz w:val="11"/>
                <w:szCs w:val="11"/>
                <w:shd w:val="clear" w:color="auto" w:fill="FFFFFF"/>
              </w:rPr>
              <w:t>H</w:t>
            </w:r>
            <w:r w:rsidRPr="009D5D84">
              <w:rPr>
                <w:rFonts w:ascii="Arial" w:hAnsi="Arial" w:cs="Arial"/>
                <w:color w:val="000000" w:themeColor="text1"/>
                <w:sz w:val="11"/>
                <w:szCs w:val="11"/>
                <w:shd w:val="clear" w:color="auto" w:fill="FFFFFF"/>
                <w:vertAlign w:val="subscript"/>
              </w:rPr>
              <w:t>5</w:t>
            </w:r>
            <w:r w:rsidRPr="009D5D84">
              <w:rPr>
                <w:rFonts w:ascii="Arial" w:hAnsi="Arial" w:cs="Arial"/>
                <w:color w:val="000000" w:themeColor="text1"/>
                <w:sz w:val="11"/>
                <w:szCs w:val="11"/>
                <w:shd w:val="clear" w:color="auto" w:fill="FFFFFF"/>
              </w:rPr>
              <w:t>O</w:t>
            </w:r>
            <w:r w:rsidRPr="009D5D84">
              <w:rPr>
                <w:rFonts w:ascii="Arial" w:hAnsi="Arial" w:cs="Arial"/>
                <w:color w:val="000000" w:themeColor="text1"/>
                <w:sz w:val="11"/>
                <w:szCs w:val="11"/>
                <w:shd w:val="clear" w:color="auto" w:fill="FFFFFF"/>
                <w:vertAlign w:val="subscript"/>
              </w:rPr>
              <w:t>2</w:t>
            </w:r>
          </w:p>
          <w:p w14:paraId="05BFFA68" w14:textId="77777777" w:rsidR="004D1935" w:rsidRPr="009D5D84" w:rsidRDefault="004D1935" w:rsidP="00E24DC9">
            <w:pPr>
              <w:spacing w:line="360" w:lineRule="auto"/>
              <w:jc w:val="center"/>
              <w:rPr>
                <w:color w:val="000000" w:themeColor="text1"/>
                <w:sz w:val="11"/>
                <w:szCs w:val="11"/>
              </w:rPr>
            </w:pPr>
            <w:r w:rsidRPr="009D5D84">
              <w:rPr>
                <w:rFonts w:ascii="Arial" w:hAnsi="Arial" w:cs="Arial"/>
                <w:color w:val="000000" w:themeColor="text1"/>
                <w:sz w:val="11"/>
                <w:szCs w:val="11"/>
                <w:shd w:val="clear" w:color="auto" w:fill="FFFFFF"/>
              </w:rPr>
              <w:t>C</w:t>
            </w:r>
            <w:r w:rsidRPr="009D5D84">
              <w:rPr>
                <w:rFonts w:ascii="Arial" w:hAnsi="Arial" w:cs="Arial"/>
                <w:color w:val="000000" w:themeColor="text1"/>
                <w:sz w:val="11"/>
                <w:szCs w:val="11"/>
                <w:shd w:val="clear" w:color="auto" w:fill="FFFFFF"/>
                <w:vertAlign w:val="subscript"/>
              </w:rPr>
              <w:t>4</w:t>
            </w:r>
            <w:r w:rsidRPr="009D5D84">
              <w:rPr>
                <w:rFonts w:ascii="Arial" w:hAnsi="Arial" w:cs="Arial"/>
                <w:color w:val="000000" w:themeColor="text1"/>
                <w:sz w:val="11"/>
                <w:szCs w:val="11"/>
                <w:shd w:val="clear" w:color="auto" w:fill="FFFFFF"/>
              </w:rPr>
              <w:t>H</w:t>
            </w:r>
            <w:r w:rsidRPr="009D5D84">
              <w:rPr>
                <w:rFonts w:ascii="Arial" w:hAnsi="Arial" w:cs="Arial"/>
                <w:color w:val="000000" w:themeColor="text1"/>
                <w:sz w:val="11"/>
                <w:szCs w:val="11"/>
                <w:shd w:val="clear" w:color="auto" w:fill="FFFFFF"/>
                <w:vertAlign w:val="subscript"/>
              </w:rPr>
              <w:t>10</w:t>
            </w:r>
            <w:r w:rsidRPr="009D5D84">
              <w:rPr>
                <w:rFonts w:ascii="Arial" w:hAnsi="Arial" w:cs="Arial"/>
                <w:color w:val="000000" w:themeColor="text1"/>
                <w:sz w:val="11"/>
                <w:szCs w:val="11"/>
                <w:shd w:val="clear" w:color="auto" w:fill="FFFFFF"/>
              </w:rPr>
              <w:t>O</w:t>
            </w:r>
            <w:r w:rsidRPr="009D5D84">
              <w:rPr>
                <w:rFonts w:ascii="Arial" w:hAnsi="Arial" w:cs="Arial"/>
                <w:color w:val="000000" w:themeColor="text1"/>
                <w:sz w:val="11"/>
                <w:szCs w:val="11"/>
                <w:shd w:val="clear" w:color="auto" w:fill="FFFFFF"/>
                <w:vertAlign w:val="subscript"/>
              </w:rPr>
              <w:t>4</w:t>
            </w:r>
          </w:p>
          <w:p w14:paraId="30F62932" w14:textId="77777777" w:rsidR="004D1935" w:rsidRPr="009D5D84" w:rsidRDefault="004D1935" w:rsidP="00E24DC9">
            <w:pPr>
              <w:spacing w:line="360" w:lineRule="auto"/>
              <w:jc w:val="center"/>
              <w:rPr>
                <w:color w:val="000000" w:themeColor="text1"/>
                <w:sz w:val="11"/>
                <w:szCs w:val="11"/>
              </w:rPr>
            </w:pPr>
            <w:r w:rsidRPr="009D5D84">
              <w:rPr>
                <w:rFonts w:ascii="Arial" w:hAnsi="Arial" w:cs="Arial"/>
                <w:color w:val="000000" w:themeColor="text1"/>
                <w:sz w:val="11"/>
                <w:szCs w:val="11"/>
                <w:shd w:val="clear" w:color="auto" w:fill="FFFFFF"/>
              </w:rPr>
              <w:t>C</w:t>
            </w:r>
            <w:r w:rsidRPr="009D5D84">
              <w:rPr>
                <w:rFonts w:ascii="Arial" w:hAnsi="Arial" w:cs="Arial"/>
                <w:color w:val="000000" w:themeColor="text1"/>
                <w:sz w:val="11"/>
                <w:szCs w:val="11"/>
                <w:shd w:val="clear" w:color="auto" w:fill="FFFFFF"/>
                <w:vertAlign w:val="subscript"/>
              </w:rPr>
              <w:t>6</w:t>
            </w:r>
            <w:r w:rsidRPr="009D5D84">
              <w:rPr>
                <w:rFonts w:ascii="Arial" w:hAnsi="Arial" w:cs="Arial"/>
                <w:color w:val="000000" w:themeColor="text1"/>
                <w:sz w:val="11"/>
                <w:szCs w:val="11"/>
                <w:shd w:val="clear" w:color="auto" w:fill="FFFFFF"/>
              </w:rPr>
              <w:t>H</w:t>
            </w:r>
            <w:r w:rsidRPr="009D5D84">
              <w:rPr>
                <w:rFonts w:ascii="Arial" w:hAnsi="Arial" w:cs="Arial"/>
                <w:color w:val="000000" w:themeColor="text1"/>
                <w:sz w:val="11"/>
                <w:szCs w:val="11"/>
                <w:shd w:val="clear" w:color="auto" w:fill="FFFFFF"/>
                <w:vertAlign w:val="subscript"/>
              </w:rPr>
              <w:t>6</w:t>
            </w:r>
            <w:r w:rsidRPr="009D5D84">
              <w:rPr>
                <w:rFonts w:ascii="Arial" w:hAnsi="Arial" w:cs="Arial"/>
                <w:color w:val="000000" w:themeColor="text1"/>
                <w:sz w:val="11"/>
                <w:szCs w:val="11"/>
                <w:shd w:val="clear" w:color="auto" w:fill="FFFFFF"/>
              </w:rPr>
              <w:t>N</w:t>
            </w:r>
            <w:r w:rsidRPr="009D5D84">
              <w:rPr>
                <w:rFonts w:ascii="Arial" w:hAnsi="Arial" w:cs="Arial"/>
                <w:color w:val="000000" w:themeColor="text1"/>
                <w:sz w:val="11"/>
                <w:szCs w:val="11"/>
                <w:shd w:val="clear" w:color="auto" w:fill="FFFFFF"/>
                <w:vertAlign w:val="subscript"/>
              </w:rPr>
              <w:t>2</w:t>
            </w:r>
            <w:r w:rsidRPr="009D5D84">
              <w:rPr>
                <w:rFonts w:ascii="Arial" w:hAnsi="Arial" w:cs="Arial"/>
                <w:color w:val="000000" w:themeColor="text1"/>
                <w:sz w:val="11"/>
                <w:szCs w:val="11"/>
                <w:shd w:val="clear" w:color="auto" w:fill="FFFFFF"/>
              </w:rPr>
              <w:t>O</w:t>
            </w:r>
          </w:p>
          <w:p w14:paraId="6E972C97" w14:textId="77777777" w:rsidR="004D1935" w:rsidRPr="009D5D84" w:rsidRDefault="004D1935" w:rsidP="00E24DC9">
            <w:pPr>
              <w:jc w:val="center"/>
              <w:rPr>
                <w:rFonts w:asciiTheme="majorBidi" w:hAnsiTheme="majorBidi" w:cstheme="majorBidi"/>
                <w:color w:val="000000" w:themeColor="text1"/>
                <w:sz w:val="11"/>
                <w:szCs w:val="11"/>
              </w:rPr>
            </w:pPr>
          </w:p>
        </w:tc>
        <w:tc>
          <w:tcPr>
            <w:tcW w:w="6804" w:type="dxa"/>
            <w:vMerge w:val="restart"/>
            <w:vAlign w:val="center"/>
          </w:tcPr>
          <w:p w14:paraId="38969D5C" w14:textId="77777777" w:rsidR="004D1935" w:rsidRPr="00722D87" w:rsidRDefault="004D1935" w:rsidP="00E24DC9">
            <w:pPr>
              <w:jc w:val="center"/>
              <w:rPr>
                <w:rFonts w:ascii="Verdana" w:hAnsi="Verdana" w:cs="Calibri"/>
                <w:color w:val="000000" w:themeColor="text1"/>
                <w:sz w:val="11"/>
                <w:szCs w:val="11"/>
              </w:rPr>
            </w:pPr>
          </w:p>
          <w:p w14:paraId="051F99AF" w14:textId="77777777" w:rsidR="004D1935" w:rsidRPr="00722D87" w:rsidRDefault="004D1935" w:rsidP="00E24DC9">
            <w:pPr>
              <w:jc w:val="center"/>
              <w:rPr>
                <w:rFonts w:ascii="Verdana" w:hAnsi="Verdana" w:cs="Calibri"/>
                <w:color w:val="000000" w:themeColor="text1"/>
                <w:sz w:val="11"/>
                <w:szCs w:val="11"/>
              </w:rPr>
            </w:pPr>
          </w:p>
          <w:p w14:paraId="28577816" w14:textId="77777777" w:rsidR="004D1935" w:rsidRPr="00722D87" w:rsidRDefault="004D1935" w:rsidP="00E24DC9">
            <w:pPr>
              <w:jc w:val="center"/>
              <w:rPr>
                <w:rFonts w:ascii="Verdana" w:hAnsi="Verdana" w:cs="Calibri"/>
                <w:color w:val="000000" w:themeColor="text1"/>
                <w:sz w:val="11"/>
                <w:szCs w:val="11"/>
              </w:rPr>
            </w:pPr>
          </w:p>
          <w:p w14:paraId="3EA6AF98" w14:textId="77777777" w:rsidR="004D1935" w:rsidRPr="00722D87" w:rsidRDefault="004D1935" w:rsidP="00E24DC9">
            <w:pPr>
              <w:jc w:val="center"/>
              <w:rPr>
                <w:rFonts w:ascii="Verdana" w:hAnsi="Verdana" w:cs="Calibri"/>
                <w:color w:val="000000" w:themeColor="text1"/>
                <w:sz w:val="11"/>
                <w:szCs w:val="11"/>
              </w:rPr>
            </w:pPr>
          </w:p>
          <w:p w14:paraId="1BAB3EA0" w14:textId="77777777" w:rsidR="004D1935" w:rsidRPr="00722D87" w:rsidRDefault="004D1935" w:rsidP="00E24DC9">
            <w:pPr>
              <w:jc w:val="center"/>
              <w:rPr>
                <w:rFonts w:asciiTheme="majorBidi" w:hAnsiTheme="majorBidi" w:cstheme="majorBidi"/>
                <w:color w:val="000000" w:themeColor="text1"/>
                <w:sz w:val="11"/>
                <w:szCs w:val="11"/>
              </w:rPr>
            </w:pPr>
            <w:r w:rsidRPr="00722D87">
              <w:rPr>
                <w:rFonts w:ascii="Verdana" w:hAnsi="Verdana" w:cs="Calibri"/>
                <w:color w:val="000000" w:themeColor="text1"/>
                <w:sz w:val="11"/>
                <w:szCs w:val="11"/>
              </w:rPr>
              <w:t>Bisphenol degradation/Biosynthesis of phenylpropanoids /Biosynthesis of phenylpropanoids /Shikimate pathway/jasmonic acid biosynthesis/Riboflavin/Flavanone/Flavonoid biosynthesis/fatty acid biosynthesis</w:t>
            </w:r>
          </w:p>
          <w:p w14:paraId="138E42E4" w14:textId="77777777" w:rsidR="004D1935" w:rsidRPr="00722D87" w:rsidRDefault="004D1935" w:rsidP="00E24DC9">
            <w:pPr>
              <w:jc w:val="center"/>
              <w:rPr>
                <w:rFonts w:asciiTheme="majorBidi" w:hAnsiTheme="majorBidi" w:cstheme="majorBidi"/>
                <w:color w:val="000000" w:themeColor="text1"/>
                <w:sz w:val="11"/>
                <w:szCs w:val="11"/>
              </w:rPr>
            </w:pPr>
            <w:r w:rsidRPr="00722D87">
              <w:rPr>
                <w:rFonts w:ascii="Verdana" w:hAnsi="Verdana" w:cs="Calibri"/>
                <w:color w:val="000000" w:themeColor="text1"/>
                <w:sz w:val="11"/>
                <w:szCs w:val="11"/>
              </w:rPr>
              <w:t>Cysteine and methionine metabolism</w:t>
            </w:r>
          </w:p>
          <w:p w14:paraId="53A8D23C" w14:textId="77777777" w:rsidR="004D1935" w:rsidRPr="00722D87" w:rsidRDefault="004D1935" w:rsidP="00E24DC9">
            <w:pPr>
              <w:jc w:val="center"/>
              <w:rPr>
                <w:rFonts w:asciiTheme="majorBidi" w:hAnsiTheme="majorBidi" w:cstheme="majorBidi"/>
                <w:color w:val="000000" w:themeColor="text1"/>
                <w:sz w:val="11"/>
                <w:szCs w:val="11"/>
              </w:rPr>
            </w:pPr>
            <w:r w:rsidRPr="00722D87">
              <w:rPr>
                <w:rFonts w:ascii="Calibri" w:hAnsi="Calibri" w:cs="Calibri"/>
                <w:color w:val="000000" w:themeColor="text1"/>
                <w:sz w:val="11"/>
                <w:szCs w:val="11"/>
              </w:rPr>
              <w:t>/Terpenoid backbone biosynthesis/Histidine metabolism/Biosynthesis of amino acids/Shikimate pathway/jasmonic acid biosynthesis/Riboflavin/Flavanone/Flavonoid biosynthesis/fatty acid biosynthesis</w:t>
            </w:r>
          </w:p>
          <w:p w14:paraId="0E96247D" w14:textId="77777777" w:rsidR="004D1935" w:rsidRPr="00722D87" w:rsidRDefault="004D1935" w:rsidP="00E24DC9">
            <w:pPr>
              <w:rPr>
                <w:rFonts w:asciiTheme="majorBidi" w:hAnsiTheme="majorBidi" w:cstheme="majorBidi"/>
                <w:color w:val="000000" w:themeColor="text1"/>
                <w:sz w:val="11"/>
                <w:szCs w:val="11"/>
              </w:rPr>
            </w:pPr>
            <w:r w:rsidRPr="00722D87">
              <w:rPr>
                <w:rFonts w:ascii="Verdana" w:hAnsi="Verdana" w:cs="Calibri"/>
                <w:color w:val="000000" w:themeColor="text1"/>
                <w:sz w:val="11"/>
                <w:szCs w:val="11"/>
              </w:rPr>
              <w:t>/Biosynthesis of phenylpropanoids /Shikimate pathway/jasmonic acid biosynthesis/Riboflavin/Flavanone/Flavonoid biosynthesis/fatty acid biosynthesis</w:t>
            </w:r>
          </w:p>
          <w:p w14:paraId="310276F9" w14:textId="77777777" w:rsidR="004D1935" w:rsidRPr="00722D87" w:rsidRDefault="004D1935" w:rsidP="00E24DC9">
            <w:pPr>
              <w:jc w:val="center"/>
              <w:rPr>
                <w:rFonts w:asciiTheme="majorBidi" w:hAnsiTheme="majorBidi" w:cstheme="majorBidi"/>
                <w:color w:val="000000" w:themeColor="text1"/>
                <w:sz w:val="11"/>
                <w:szCs w:val="11"/>
              </w:rPr>
            </w:pPr>
            <w:r w:rsidRPr="00722D87">
              <w:rPr>
                <w:rFonts w:ascii="Verdana" w:hAnsi="Verdana" w:cs="Calibri"/>
                <w:color w:val="000000" w:themeColor="text1"/>
                <w:sz w:val="11"/>
                <w:szCs w:val="11"/>
              </w:rPr>
              <w:t>Aminobenzoate degradation/Ubiquinone and other terpenoid-quinone biosynthesis/Degradation of aromatic compounds/Biosynthesis of antibiotics/Shikimate pathway/jasmonic acid biosynthesis/Riboflavin/Flavanone/Flavonoid biosynthesis/fatty acid biosynthesis</w:t>
            </w:r>
          </w:p>
          <w:p w14:paraId="469B04B3" w14:textId="77777777" w:rsidR="004D1935" w:rsidRPr="00722D87" w:rsidRDefault="004D1935" w:rsidP="00E24DC9">
            <w:pPr>
              <w:jc w:val="center"/>
              <w:rPr>
                <w:rFonts w:asciiTheme="majorBidi" w:hAnsiTheme="majorBidi" w:cstheme="majorBidi"/>
                <w:color w:val="000000" w:themeColor="text1"/>
                <w:sz w:val="11"/>
                <w:szCs w:val="11"/>
              </w:rPr>
            </w:pPr>
            <w:r w:rsidRPr="00722D87">
              <w:rPr>
                <w:rFonts w:ascii="Verdana" w:hAnsi="Verdana" w:cs="Calibri"/>
                <w:color w:val="000000" w:themeColor="text1"/>
                <w:sz w:val="11"/>
                <w:szCs w:val="11"/>
              </w:rPr>
              <w:t>Terpenoid backbone biosynthesis/Biosynthesis of antibiotics /Biosynthesis of plant hormones /Biosynthesis of terpenoids and steroids /Shikimate pathway/jasmonic acid biosynthesis/Riboflavin/Flavanone/Flavonoid biosynthesis/fatty acid biosynthesis</w:t>
            </w:r>
          </w:p>
          <w:p w14:paraId="4410237D" w14:textId="77777777" w:rsidR="004D1935" w:rsidRPr="00722D87" w:rsidRDefault="004D1935" w:rsidP="00E24DC9">
            <w:pPr>
              <w:jc w:val="center"/>
              <w:rPr>
                <w:rFonts w:asciiTheme="majorBidi" w:hAnsiTheme="majorBidi" w:cstheme="majorBidi"/>
                <w:color w:val="000000" w:themeColor="text1"/>
                <w:sz w:val="11"/>
                <w:szCs w:val="11"/>
              </w:rPr>
            </w:pPr>
            <w:r w:rsidRPr="00722D87">
              <w:rPr>
                <w:rFonts w:ascii="Verdana" w:hAnsi="Verdana" w:cs="Calibri"/>
                <w:color w:val="000000" w:themeColor="text1"/>
                <w:sz w:val="11"/>
                <w:szCs w:val="11"/>
              </w:rPr>
              <w:t>Nicotinate and nicotinamide metabolism/Biosynthesis of alkaloids derived from ornithine, lysine and nicotinic acid/Tropane, piperidine and pyridine alkaloid biosynthesis/Vitamin digestion and absorption/ / Shikimate pathway/jasmonic acid biosynthesis/Riboflavin/Flavanone/Flavonoid biosynthesis/fatty acid biosynthesis</w:t>
            </w:r>
          </w:p>
        </w:tc>
      </w:tr>
      <w:tr w:rsidR="004D1935" w:rsidRPr="00722D87" w14:paraId="6A1294DB" w14:textId="77777777" w:rsidTr="00E24DC9">
        <w:tc>
          <w:tcPr>
            <w:tcW w:w="704" w:type="dxa"/>
            <w:vMerge/>
            <w:vAlign w:val="center"/>
          </w:tcPr>
          <w:p w14:paraId="1E04BB5B"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36944709"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121.9386</w:t>
            </w:r>
          </w:p>
        </w:tc>
        <w:tc>
          <w:tcPr>
            <w:tcW w:w="1701" w:type="dxa"/>
            <w:vMerge/>
            <w:vAlign w:val="center"/>
          </w:tcPr>
          <w:p w14:paraId="7175E7DA"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534C9041"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3B46E368"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298EE5CC" w14:textId="77777777" w:rsidR="004D1935" w:rsidRPr="00722D87" w:rsidRDefault="004D1935" w:rsidP="00E24DC9">
            <w:pPr>
              <w:jc w:val="center"/>
              <w:rPr>
                <w:rFonts w:asciiTheme="majorBidi" w:hAnsiTheme="majorBidi" w:cstheme="majorBidi"/>
                <w:color w:val="000000" w:themeColor="text1"/>
                <w:sz w:val="11"/>
                <w:szCs w:val="11"/>
              </w:rPr>
            </w:pPr>
          </w:p>
        </w:tc>
      </w:tr>
      <w:tr w:rsidR="004D1935" w:rsidRPr="00722D87" w14:paraId="05C916A6" w14:textId="77777777" w:rsidTr="00E24DC9">
        <w:tc>
          <w:tcPr>
            <w:tcW w:w="704" w:type="dxa"/>
            <w:vMerge/>
            <w:vAlign w:val="center"/>
          </w:tcPr>
          <w:p w14:paraId="65E575EA"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2EE9827A"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121.9658</w:t>
            </w:r>
          </w:p>
        </w:tc>
        <w:tc>
          <w:tcPr>
            <w:tcW w:w="1701" w:type="dxa"/>
            <w:vMerge/>
            <w:vAlign w:val="center"/>
          </w:tcPr>
          <w:p w14:paraId="4F3F4E72"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4AB15A3C"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10DF7C14"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68A7BB4B" w14:textId="77777777" w:rsidR="004D1935" w:rsidRPr="00722D87" w:rsidRDefault="004D1935" w:rsidP="00E24DC9">
            <w:pPr>
              <w:jc w:val="center"/>
              <w:rPr>
                <w:rFonts w:asciiTheme="majorBidi" w:hAnsiTheme="majorBidi" w:cstheme="majorBidi"/>
                <w:color w:val="000000" w:themeColor="text1"/>
                <w:sz w:val="11"/>
                <w:szCs w:val="11"/>
              </w:rPr>
            </w:pPr>
          </w:p>
        </w:tc>
      </w:tr>
      <w:tr w:rsidR="004D1935" w:rsidRPr="00722D87" w14:paraId="3D230F6B" w14:textId="77777777" w:rsidTr="00E24DC9">
        <w:tc>
          <w:tcPr>
            <w:tcW w:w="704" w:type="dxa"/>
            <w:vMerge/>
            <w:vAlign w:val="center"/>
          </w:tcPr>
          <w:p w14:paraId="0E768F16"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755BFBFB"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121.9965</w:t>
            </w:r>
          </w:p>
        </w:tc>
        <w:tc>
          <w:tcPr>
            <w:tcW w:w="1701" w:type="dxa"/>
            <w:vMerge/>
            <w:vAlign w:val="center"/>
          </w:tcPr>
          <w:p w14:paraId="64DEC6D7"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517F0D48"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122D6192"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7204CC6B" w14:textId="77777777" w:rsidR="004D1935" w:rsidRPr="00722D87" w:rsidRDefault="004D1935" w:rsidP="00E24DC9">
            <w:pPr>
              <w:jc w:val="center"/>
              <w:rPr>
                <w:rFonts w:asciiTheme="majorBidi" w:hAnsiTheme="majorBidi" w:cstheme="majorBidi"/>
                <w:color w:val="000000" w:themeColor="text1"/>
                <w:sz w:val="11"/>
                <w:szCs w:val="11"/>
              </w:rPr>
            </w:pPr>
          </w:p>
        </w:tc>
      </w:tr>
      <w:tr w:rsidR="004D1935" w:rsidRPr="00722D87" w14:paraId="043A5E80" w14:textId="77777777" w:rsidTr="00E24DC9">
        <w:tc>
          <w:tcPr>
            <w:tcW w:w="704" w:type="dxa"/>
            <w:vMerge/>
            <w:vAlign w:val="center"/>
          </w:tcPr>
          <w:p w14:paraId="0513611A"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5380E521"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122.0316</w:t>
            </w:r>
          </w:p>
        </w:tc>
        <w:tc>
          <w:tcPr>
            <w:tcW w:w="1701" w:type="dxa"/>
            <w:vMerge/>
            <w:vAlign w:val="center"/>
          </w:tcPr>
          <w:p w14:paraId="12E31628"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2CD5B6FA"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1DD96260"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379FB047" w14:textId="77777777" w:rsidR="004D1935" w:rsidRPr="00722D87" w:rsidRDefault="004D1935" w:rsidP="00E24DC9">
            <w:pPr>
              <w:jc w:val="center"/>
              <w:rPr>
                <w:rFonts w:asciiTheme="majorBidi" w:hAnsiTheme="majorBidi" w:cstheme="majorBidi"/>
                <w:color w:val="000000" w:themeColor="text1"/>
                <w:sz w:val="11"/>
                <w:szCs w:val="11"/>
              </w:rPr>
            </w:pPr>
          </w:p>
        </w:tc>
      </w:tr>
      <w:tr w:rsidR="004D1935" w:rsidRPr="00722D87" w14:paraId="3178211F" w14:textId="77777777" w:rsidTr="00E24DC9">
        <w:tc>
          <w:tcPr>
            <w:tcW w:w="704" w:type="dxa"/>
            <w:vMerge/>
            <w:vAlign w:val="center"/>
          </w:tcPr>
          <w:p w14:paraId="4E480BA6"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3CF3AD28"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122.0632</w:t>
            </w:r>
          </w:p>
        </w:tc>
        <w:tc>
          <w:tcPr>
            <w:tcW w:w="1701" w:type="dxa"/>
            <w:vMerge/>
            <w:vAlign w:val="center"/>
          </w:tcPr>
          <w:p w14:paraId="6B46A6CE"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107A0D6C"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3561A0F5"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7D689DBC" w14:textId="77777777" w:rsidR="004D1935" w:rsidRPr="00722D87" w:rsidRDefault="004D1935" w:rsidP="00E24DC9">
            <w:pPr>
              <w:jc w:val="center"/>
              <w:rPr>
                <w:rFonts w:asciiTheme="majorBidi" w:hAnsiTheme="majorBidi" w:cstheme="majorBidi"/>
                <w:color w:val="000000" w:themeColor="text1"/>
                <w:sz w:val="11"/>
                <w:szCs w:val="11"/>
              </w:rPr>
            </w:pPr>
          </w:p>
        </w:tc>
      </w:tr>
      <w:tr w:rsidR="004D1935" w:rsidRPr="00722D87" w14:paraId="7BBC15F9" w14:textId="77777777" w:rsidTr="00E24DC9">
        <w:tc>
          <w:tcPr>
            <w:tcW w:w="704" w:type="dxa"/>
            <w:vMerge/>
            <w:vAlign w:val="center"/>
          </w:tcPr>
          <w:p w14:paraId="689B646C"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2C686BFC"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122.0966</w:t>
            </w:r>
          </w:p>
        </w:tc>
        <w:tc>
          <w:tcPr>
            <w:tcW w:w="1701" w:type="dxa"/>
            <w:vMerge/>
            <w:vAlign w:val="center"/>
          </w:tcPr>
          <w:p w14:paraId="3D0379D7"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4965F809"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67E93D52"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79E25AA3" w14:textId="77777777" w:rsidR="004D1935" w:rsidRPr="00722D87" w:rsidRDefault="004D1935" w:rsidP="00E24DC9">
            <w:pPr>
              <w:jc w:val="center"/>
              <w:rPr>
                <w:rFonts w:asciiTheme="majorBidi" w:hAnsiTheme="majorBidi" w:cstheme="majorBidi"/>
                <w:color w:val="000000" w:themeColor="text1"/>
                <w:sz w:val="11"/>
                <w:szCs w:val="11"/>
              </w:rPr>
            </w:pPr>
          </w:p>
        </w:tc>
      </w:tr>
      <w:tr w:rsidR="004D1935" w:rsidRPr="00722D87" w14:paraId="3EF58474" w14:textId="77777777" w:rsidTr="00E24DC9">
        <w:tc>
          <w:tcPr>
            <w:tcW w:w="704" w:type="dxa"/>
            <w:vMerge/>
            <w:vAlign w:val="center"/>
          </w:tcPr>
          <w:p w14:paraId="79A3EDE9"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20EAF89C"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121.9790</w:t>
            </w:r>
          </w:p>
        </w:tc>
        <w:tc>
          <w:tcPr>
            <w:tcW w:w="1701" w:type="dxa"/>
            <w:vMerge/>
            <w:vAlign w:val="center"/>
          </w:tcPr>
          <w:p w14:paraId="715040FA"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2ED99B86"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6D304250"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6F6CE0B5" w14:textId="77777777" w:rsidR="004D1935" w:rsidRPr="00722D87" w:rsidRDefault="004D1935" w:rsidP="00E24DC9">
            <w:pPr>
              <w:jc w:val="center"/>
              <w:rPr>
                <w:rFonts w:asciiTheme="majorBidi" w:hAnsiTheme="majorBidi" w:cstheme="majorBidi"/>
                <w:color w:val="000000" w:themeColor="text1"/>
                <w:sz w:val="11"/>
                <w:szCs w:val="11"/>
              </w:rPr>
            </w:pPr>
          </w:p>
        </w:tc>
      </w:tr>
      <w:tr w:rsidR="004D1935" w:rsidRPr="00722D87" w14:paraId="1E133DC9" w14:textId="77777777" w:rsidTr="00E24DC9">
        <w:tc>
          <w:tcPr>
            <w:tcW w:w="704" w:type="dxa"/>
            <w:vMerge/>
            <w:vAlign w:val="center"/>
          </w:tcPr>
          <w:p w14:paraId="6BE723FD"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1D5C968D"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122.0097</w:t>
            </w:r>
          </w:p>
        </w:tc>
        <w:tc>
          <w:tcPr>
            <w:tcW w:w="1701" w:type="dxa"/>
            <w:vMerge/>
            <w:vAlign w:val="center"/>
          </w:tcPr>
          <w:p w14:paraId="04085999"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4F61E2CD"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7946B05B"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27E883C1" w14:textId="77777777" w:rsidR="004D1935" w:rsidRPr="00722D87" w:rsidRDefault="004D1935" w:rsidP="00E24DC9">
            <w:pPr>
              <w:jc w:val="center"/>
              <w:rPr>
                <w:rFonts w:asciiTheme="majorBidi" w:hAnsiTheme="majorBidi" w:cstheme="majorBidi"/>
                <w:color w:val="000000" w:themeColor="text1"/>
                <w:sz w:val="11"/>
                <w:szCs w:val="11"/>
              </w:rPr>
            </w:pPr>
          </w:p>
        </w:tc>
      </w:tr>
      <w:tr w:rsidR="004D1935" w:rsidRPr="00722D87" w14:paraId="5FBD1969" w14:textId="77777777" w:rsidTr="00E24DC9">
        <w:tc>
          <w:tcPr>
            <w:tcW w:w="704" w:type="dxa"/>
            <w:vMerge/>
            <w:vAlign w:val="center"/>
          </w:tcPr>
          <w:p w14:paraId="6336041C"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2A4899F0"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122.0404</w:t>
            </w:r>
          </w:p>
        </w:tc>
        <w:tc>
          <w:tcPr>
            <w:tcW w:w="1701" w:type="dxa"/>
            <w:vMerge/>
            <w:vAlign w:val="center"/>
          </w:tcPr>
          <w:p w14:paraId="3E465804"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2BAB6466"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693779D0"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10491BD3" w14:textId="77777777" w:rsidR="004D1935" w:rsidRPr="00722D87" w:rsidRDefault="004D1935" w:rsidP="00E24DC9">
            <w:pPr>
              <w:jc w:val="center"/>
              <w:rPr>
                <w:rFonts w:asciiTheme="majorBidi" w:hAnsiTheme="majorBidi" w:cstheme="majorBidi"/>
                <w:color w:val="000000" w:themeColor="text1"/>
                <w:sz w:val="11"/>
                <w:szCs w:val="11"/>
              </w:rPr>
            </w:pPr>
          </w:p>
        </w:tc>
      </w:tr>
      <w:tr w:rsidR="004D1935" w:rsidRPr="00722D87" w14:paraId="21AD038E" w14:textId="77777777" w:rsidTr="00E24DC9">
        <w:tc>
          <w:tcPr>
            <w:tcW w:w="704" w:type="dxa"/>
            <w:vMerge/>
            <w:vAlign w:val="center"/>
          </w:tcPr>
          <w:p w14:paraId="7484ADFA"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2113520C"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122.0667</w:t>
            </w:r>
          </w:p>
        </w:tc>
        <w:tc>
          <w:tcPr>
            <w:tcW w:w="1701" w:type="dxa"/>
            <w:vMerge/>
            <w:vAlign w:val="center"/>
          </w:tcPr>
          <w:p w14:paraId="7D3F6482"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03FFBA61"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049DC521"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33A024B5" w14:textId="77777777" w:rsidR="004D1935" w:rsidRPr="00722D87" w:rsidRDefault="004D1935" w:rsidP="00E24DC9">
            <w:pPr>
              <w:jc w:val="center"/>
              <w:rPr>
                <w:rFonts w:asciiTheme="majorBidi" w:hAnsiTheme="majorBidi" w:cstheme="majorBidi"/>
                <w:color w:val="000000" w:themeColor="text1"/>
                <w:sz w:val="11"/>
                <w:szCs w:val="11"/>
              </w:rPr>
            </w:pPr>
          </w:p>
        </w:tc>
      </w:tr>
      <w:tr w:rsidR="004D1935" w:rsidRPr="00722D87" w14:paraId="64B84F95" w14:textId="77777777" w:rsidTr="00E24DC9">
        <w:tc>
          <w:tcPr>
            <w:tcW w:w="704" w:type="dxa"/>
            <w:vMerge/>
            <w:vAlign w:val="center"/>
          </w:tcPr>
          <w:p w14:paraId="056E2339"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6D4A03DE"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122.0983</w:t>
            </w:r>
          </w:p>
        </w:tc>
        <w:tc>
          <w:tcPr>
            <w:tcW w:w="1701" w:type="dxa"/>
            <w:vMerge/>
            <w:vAlign w:val="center"/>
          </w:tcPr>
          <w:p w14:paraId="4B834466"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05E3D480"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105BE501"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306D1B2D" w14:textId="77777777" w:rsidR="004D1935" w:rsidRPr="00722D87" w:rsidRDefault="004D1935" w:rsidP="00E24DC9">
            <w:pPr>
              <w:jc w:val="center"/>
              <w:rPr>
                <w:rFonts w:asciiTheme="majorBidi" w:hAnsiTheme="majorBidi" w:cstheme="majorBidi"/>
                <w:color w:val="000000" w:themeColor="text1"/>
                <w:sz w:val="11"/>
                <w:szCs w:val="11"/>
              </w:rPr>
            </w:pPr>
          </w:p>
        </w:tc>
      </w:tr>
      <w:tr w:rsidR="004D1935" w:rsidRPr="00722D87" w14:paraId="709EAD90" w14:textId="77777777" w:rsidTr="00E24DC9">
        <w:tc>
          <w:tcPr>
            <w:tcW w:w="704" w:type="dxa"/>
            <w:vMerge/>
            <w:vAlign w:val="center"/>
          </w:tcPr>
          <w:p w14:paraId="0DD1F6DA"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4AF7B601"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121.9404</w:t>
            </w:r>
          </w:p>
        </w:tc>
        <w:tc>
          <w:tcPr>
            <w:tcW w:w="1701" w:type="dxa"/>
            <w:vMerge/>
            <w:vAlign w:val="center"/>
          </w:tcPr>
          <w:p w14:paraId="1C0E0FAB"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627BDBA6"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44A668EA"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3F13AB48" w14:textId="77777777" w:rsidR="004D1935" w:rsidRPr="00722D87" w:rsidRDefault="004D1935" w:rsidP="00E24DC9">
            <w:pPr>
              <w:jc w:val="center"/>
              <w:rPr>
                <w:rFonts w:asciiTheme="majorBidi" w:hAnsiTheme="majorBidi" w:cstheme="majorBidi"/>
                <w:color w:val="000000" w:themeColor="text1"/>
                <w:sz w:val="11"/>
                <w:szCs w:val="11"/>
              </w:rPr>
            </w:pPr>
          </w:p>
        </w:tc>
      </w:tr>
      <w:tr w:rsidR="004D1935" w:rsidRPr="00722D87" w14:paraId="101FAD52" w14:textId="77777777" w:rsidTr="00E24DC9">
        <w:tc>
          <w:tcPr>
            <w:tcW w:w="704" w:type="dxa"/>
            <w:vMerge/>
            <w:vAlign w:val="center"/>
          </w:tcPr>
          <w:p w14:paraId="1275674D"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3D089D5C"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121.9693</w:t>
            </w:r>
          </w:p>
        </w:tc>
        <w:tc>
          <w:tcPr>
            <w:tcW w:w="1701" w:type="dxa"/>
            <w:vMerge/>
            <w:vAlign w:val="center"/>
          </w:tcPr>
          <w:p w14:paraId="0E89A898"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52157E59"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1D9CFFD7"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2B0F96FA" w14:textId="77777777" w:rsidR="004D1935" w:rsidRPr="00722D87" w:rsidRDefault="004D1935" w:rsidP="00E24DC9">
            <w:pPr>
              <w:jc w:val="center"/>
              <w:rPr>
                <w:rFonts w:asciiTheme="majorBidi" w:hAnsiTheme="majorBidi" w:cstheme="majorBidi"/>
                <w:color w:val="000000" w:themeColor="text1"/>
                <w:sz w:val="11"/>
                <w:szCs w:val="11"/>
              </w:rPr>
            </w:pPr>
          </w:p>
        </w:tc>
      </w:tr>
      <w:tr w:rsidR="004D1935" w:rsidRPr="00722D87" w14:paraId="6892B17C" w14:textId="77777777" w:rsidTr="00E24DC9">
        <w:tc>
          <w:tcPr>
            <w:tcW w:w="704" w:type="dxa"/>
            <w:vMerge/>
            <w:vAlign w:val="center"/>
          </w:tcPr>
          <w:p w14:paraId="2A48D49E"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47118338"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121.9974</w:t>
            </w:r>
          </w:p>
        </w:tc>
        <w:tc>
          <w:tcPr>
            <w:tcW w:w="1701" w:type="dxa"/>
            <w:vMerge/>
            <w:vAlign w:val="center"/>
          </w:tcPr>
          <w:p w14:paraId="05E3E2AC"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127BA678"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2CAE1619"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2D928204" w14:textId="77777777" w:rsidR="004D1935" w:rsidRPr="00722D87" w:rsidRDefault="004D1935" w:rsidP="00E24DC9">
            <w:pPr>
              <w:jc w:val="center"/>
              <w:rPr>
                <w:rFonts w:asciiTheme="majorBidi" w:hAnsiTheme="majorBidi" w:cstheme="majorBidi"/>
                <w:color w:val="000000" w:themeColor="text1"/>
                <w:sz w:val="11"/>
                <w:szCs w:val="11"/>
              </w:rPr>
            </w:pPr>
          </w:p>
        </w:tc>
      </w:tr>
      <w:tr w:rsidR="004D1935" w:rsidRPr="00722D87" w14:paraId="45605D41" w14:textId="77777777" w:rsidTr="00E24DC9">
        <w:tc>
          <w:tcPr>
            <w:tcW w:w="704" w:type="dxa"/>
            <w:vMerge/>
            <w:vAlign w:val="center"/>
          </w:tcPr>
          <w:p w14:paraId="5EAFE0AD"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1C4B25A4"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122.0298</w:t>
            </w:r>
          </w:p>
        </w:tc>
        <w:tc>
          <w:tcPr>
            <w:tcW w:w="1701" w:type="dxa"/>
            <w:vMerge/>
            <w:vAlign w:val="center"/>
          </w:tcPr>
          <w:p w14:paraId="09EFC16C"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4DDC1297"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0EC21A34"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4773ED38" w14:textId="77777777" w:rsidR="004D1935" w:rsidRPr="00722D87" w:rsidRDefault="004D1935" w:rsidP="00E24DC9">
            <w:pPr>
              <w:jc w:val="center"/>
              <w:rPr>
                <w:rFonts w:asciiTheme="majorBidi" w:hAnsiTheme="majorBidi" w:cstheme="majorBidi"/>
                <w:color w:val="000000" w:themeColor="text1"/>
                <w:sz w:val="11"/>
                <w:szCs w:val="11"/>
              </w:rPr>
            </w:pPr>
          </w:p>
        </w:tc>
      </w:tr>
      <w:tr w:rsidR="004D1935" w:rsidRPr="00722D87" w14:paraId="24348C2F" w14:textId="77777777" w:rsidTr="00E24DC9">
        <w:tc>
          <w:tcPr>
            <w:tcW w:w="704" w:type="dxa"/>
            <w:vMerge/>
            <w:vAlign w:val="center"/>
          </w:tcPr>
          <w:p w14:paraId="1CE64D46"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4A2F34EB"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122.0614</w:t>
            </w:r>
          </w:p>
        </w:tc>
        <w:tc>
          <w:tcPr>
            <w:tcW w:w="1701" w:type="dxa"/>
            <w:vMerge/>
            <w:vAlign w:val="center"/>
          </w:tcPr>
          <w:p w14:paraId="100E07F2"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055389F6"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70E05AEF"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6A0D8858" w14:textId="77777777" w:rsidR="004D1935" w:rsidRPr="00722D87" w:rsidRDefault="004D1935" w:rsidP="00E24DC9">
            <w:pPr>
              <w:jc w:val="center"/>
              <w:rPr>
                <w:rFonts w:asciiTheme="majorBidi" w:hAnsiTheme="majorBidi" w:cstheme="majorBidi"/>
                <w:color w:val="000000" w:themeColor="text1"/>
                <w:sz w:val="11"/>
                <w:szCs w:val="11"/>
              </w:rPr>
            </w:pPr>
          </w:p>
        </w:tc>
      </w:tr>
      <w:tr w:rsidR="004D1935" w:rsidRPr="00722D87" w14:paraId="456FE90F" w14:textId="77777777" w:rsidTr="00E24DC9">
        <w:tc>
          <w:tcPr>
            <w:tcW w:w="704" w:type="dxa"/>
            <w:vMerge/>
            <w:vAlign w:val="center"/>
          </w:tcPr>
          <w:p w14:paraId="0EF2B65A"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104A54EB"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122.0369</w:t>
            </w:r>
          </w:p>
        </w:tc>
        <w:tc>
          <w:tcPr>
            <w:tcW w:w="1701" w:type="dxa"/>
            <w:vMerge/>
            <w:vAlign w:val="center"/>
          </w:tcPr>
          <w:p w14:paraId="0EA87405"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6F77A394"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5BCB54B5"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227D8BFB" w14:textId="77777777" w:rsidR="004D1935" w:rsidRPr="00722D87" w:rsidRDefault="004D1935" w:rsidP="00E24DC9">
            <w:pPr>
              <w:jc w:val="center"/>
              <w:rPr>
                <w:rFonts w:asciiTheme="majorBidi" w:hAnsiTheme="majorBidi" w:cstheme="majorBidi"/>
                <w:color w:val="000000" w:themeColor="text1"/>
                <w:sz w:val="11"/>
                <w:szCs w:val="11"/>
              </w:rPr>
            </w:pPr>
          </w:p>
        </w:tc>
      </w:tr>
      <w:tr w:rsidR="004D1935" w:rsidRPr="00722D87" w14:paraId="35002DFC" w14:textId="77777777" w:rsidTr="00E24DC9">
        <w:tc>
          <w:tcPr>
            <w:tcW w:w="704" w:type="dxa"/>
            <w:vMerge/>
            <w:vAlign w:val="center"/>
          </w:tcPr>
          <w:p w14:paraId="714CCC39"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2A439680"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122.0650</w:t>
            </w:r>
          </w:p>
        </w:tc>
        <w:tc>
          <w:tcPr>
            <w:tcW w:w="1701" w:type="dxa"/>
            <w:vMerge/>
            <w:vAlign w:val="center"/>
          </w:tcPr>
          <w:p w14:paraId="7DF186A3"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35C708C3"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2FA7E9E5"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57C4D3DA" w14:textId="77777777" w:rsidR="004D1935" w:rsidRPr="00722D87" w:rsidRDefault="004D1935" w:rsidP="00E24DC9">
            <w:pPr>
              <w:jc w:val="center"/>
              <w:rPr>
                <w:rFonts w:asciiTheme="majorBidi" w:hAnsiTheme="majorBidi" w:cstheme="majorBidi"/>
                <w:color w:val="000000" w:themeColor="text1"/>
                <w:sz w:val="11"/>
                <w:szCs w:val="11"/>
              </w:rPr>
            </w:pPr>
          </w:p>
        </w:tc>
      </w:tr>
      <w:tr w:rsidR="004D1935" w:rsidRPr="00722D87" w14:paraId="55A22CA5" w14:textId="77777777" w:rsidTr="00E24DC9">
        <w:tc>
          <w:tcPr>
            <w:tcW w:w="704" w:type="dxa"/>
            <w:vMerge/>
            <w:vAlign w:val="center"/>
          </w:tcPr>
          <w:p w14:paraId="62F0E394"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4E578619"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121.9263</w:t>
            </w:r>
          </w:p>
        </w:tc>
        <w:tc>
          <w:tcPr>
            <w:tcW w:w="1701" w:type="dxa"/>
            <w:vMerge/>
            <w:vAlign w:val="center"/>
          </w:tcPr>
          <w:p w14:paraId="0EC0450D"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0125C0A5"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205C20E8"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09672925" w14:textId="77777777" w:rsidR="004D1935" w:rsidRPr="00722D87" w:rsidRDefault="004D1935" w:rsidP="00E24DC9">
            <w:pPr>
              <w:jc w:val="center"/>
              <w:rPr>
                <w:rFonts w:asciiTheme="majorBidi" w:hAnsiTheme="majorBidi" w:cstheme="majorBidi"/>
                <w:color w:val="000000" w:themeColor="text1"/>
                <w:sz w:val="11"/>
                <w:szCs w:val="11"/>
              </w:rPr>
            </w:pPr>
          </w:p>
        </w:tc>
      </w:tr>
      <w:tr w:rsidR="004D1935" w:rsidRPr="00722D87" w14:paraId="0EAAD7A0" w14:textId="77777777" w:rsidTr="00E24DC9">
        <w:tc>
          <w:tcPr>
            <w:tcW w:w="704" w:type="dxa"/>
            <w:vMerge/>
            <w:vAlign w:val="center"/>
          </w:tcPr>
          <w:p w14:paraId="4997A0FA"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59076FAF"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121.9711</w:t>
            </w:r>
          </w:p>
        </w:tc>
        <w:tc>
          <w:tcPr>
            <w:tcW w:w="1701" w:type="dxa"/>
            <w:vMerge/>
            <w:vAlign w:val="center"/>
          </w:tcPr>
          <w:p w14:paraId="0D5476C0"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7C5C65FC"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7FC16443"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393057F3" w14:textId="77777777" w:rsidR="004D1935" w:rsidRPr="00722D87" w:rsidRDefault="004D1935" w:rsidP="00E24DC9">
            <w:pPr>
              <w:jc w:val="center"/>
              <w:rPr>
                <w:rFonts w:asciiTheme="majorBidi" w:hAnsiTheme="majorBidi" w:cstheme="majorBidi"/>
                <w:color w:val="000000" w:themeColor="text1"/>
                <w:sz w:val="11"/>
                <w:szCs w:val="11"/>
              </w:rPr>
            </w:pPr>
          </w:p>
        </w:tc>
      </w:tr>
      <w:tr w:rsidR="004D1935" w:rsidRPr="00722D87" w14:paraId="53AF308E" w14:textId="77777777" w:rsidTr="00E24DC9">
        <w:tc>
          <w:tcPr>
            <w:tcW w:w="704" w:type="dxa"/>
            <w:vMerge/>
            <w:vAlign w:val="center"/>
          </w:tcPr>
          <w:p w14:paraId="4B1EE081"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7A97845C"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122.0070</w:t>
            </w:r>
          </w:p>
        </w:tc>
        <w:tc>
          <w:tcPr>
            <w:tcW w:w="1701" w:type="dxa"/>
            <w:vMerge/>
            <w:vAlign w:val="center"/>
          </w:tcPr>
          <w:p w14:paraId="21BDB2E9"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0585674B"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69D86922"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2E4622BB" w14:textId="77777777" w:rsidR="004D1935" w:rsidRPr="00722D87" w:rsidRDefault="004D1935" w:rsidP="00E24DC9">
            <w:pPr>
              <w:jc w:val="center"/>
              <w:rPr>
                <w:rFonts w:asciiTheme="majorBidi" w:hAnsiTheme="majorBidi" w:cstheme="majorBidi"/>
                <w:color w:val="000000" w:themeColor="text1"/>
                <w:sz w:val="11"/>
                <w:szCs w:val="11"/>
              </w:rPr>
            </w:pPr>
          </w:p>
        </w:tc>
      </w:tr>
      <w:tr w:rsidR="004D1935" w:rsidRPr="00722D87" w14:paraId="4725DD19" w14:textId="77777777" w:rsidTr="00E24DC9">
        <w:tc>
          <w:tcPr>
            <w:tcW w:w="704" w:type="dxa"/>
            <w:vMerge/>
            <w:vAlign w:val="center"/>
          </w:tcPr>
          <w:p w14:paraId="02E6A283"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64F536C8"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121.9667</w:t>
            </w:r>
          </w:p>
        </w:tc>
        <w:tc>
          <w:tcPr>
            <w:tcW w:w="1701" w:type="dxa"/>
            <w:vMerge/>
            <w:vAlign w:val="center"/>
          </w:tcPr>
          <w:p w14:paraId="2E438388"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6F19BFF6"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49E62C1D"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1E37362B" w14:textId="77777777" w:rsidR="004D1935" w:rsidRPr="00722D87" w:rsidRDefault="004D1935" w:rsidP="00E24DC9">
            <w:pPr>
              <w:jc w:val="center"/>
              <w:rPr>
                <w:rFonts w:asciiTheme="majorBidi" w:hAnsiTheme="majorBidi" w:cstheme="majorBidi"/>
                <w:color w:val="000000" w:themeColor="text1"/>
                <w:sz w:val="11"/>
                <w:szCs w:val="11"/>
              </w:rPr>
            </w:pPr>
          </w:p>
        </w:tc>
      </w:tr>
      <w:tr w:rsidR="004D1935" w:rsidRPr="00722D87" w14:paraId="22FD49C7" w14:textId="77777777" w:rsidTr="00E24DC9">
        <w:tc>
          <w:tcPr>
            <w:tcW w:w="704" w:type="dxa"/>
            <w:vMerge/>
            <w:vAlign w:val="center"/>
          </w:tcPr>
          <w:p w14:paraId="129FDAE2"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199CB891"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122.0132</w:t>
            </w:r>
          </w:p>
        </w:tc>
        <w:tc>
          <w:tcPr>
            <w:tcW w:w="1701" w:type="dxa"/>
            <w:vMerge/>
            <w:vAlign w:val="center"/>
          </w:tcPr>
          <w:p w14:paraId="2C614973"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2B4B9227"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0D329FB0"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6A24DB48" w14:textId="77777777" w:rsidR="004D1935" w:rsidRPr="00722D87" w:rsidRDefault="004D1935" w:rsidP="00E24DC9">
            <w:pPr>
              <w:jc w:val="center"/>
              <w:rPr>
                <w:rFonts w:asciiTheme="majorBidi" w:hAnsiTheme="majorBidi" w:cstheme="majorBidi"/>
                <w:color w:val="000000" w:themeColor="text1"/>
                <w:sz w:val="11"/>
                <w:szCs w:val="11"/>
              </w:rPr>
            </w:pPr>
          </w:p>
        </w:tc>
      </w:tr>
      <w:tr w:rsidR="004D1935" w:rsidRPr="00722D87" w14:paraId="548F65F2" w14:textId="77777777" w:rsidTr="00E24DC9">
        <w:tc>
          <w:tcPr>
            <w:tcW w:w="704" w:type="dxa"/>
            <w:vMerge/>
            <w:vAlign w:val="center"/>
          </w:tcPr>
          <w:p w14:paraId="6A040AFE"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382698DA"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122.0422</w:t>
            </w:r>
          </w:p>
        </w:tc>
        <w:tc>
          <w:tcPr>
            <w:tcW w:w="1701" w:type="dxa"/>
            <w:vMerge/>
            <w:vAlign w:val="center"/>
          </w:tcPr>
          <w:p w14:paraId="3BC2B039"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36EF4A0F"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14F8E2A4"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2B1B621B" w14:textId="77777777" w:rsidR="004D1935" w:rsidRPr="00722D87" w:rsidRDefault="004D1935" w:rsidP="00E24DC9">
            <w:pPr>
              <w:jc w:val="center"/>
              <w:rPr>
                <w:rFonts w:asciiTheme="majorBidi" w:hAnsiTheme="majorBidi" w:cstheme="majorBidi"/>
                <w:color w:val="000000" w:themeColor="text1"/>
                <w:sz w:val="11"/>
                <w:szCs w:val="11"/>
              </w:rPr>
            </w:pPr>
          </w:p>
        </w:tc>
      </w:tr>
      <w:tr w:rsidR="004D1935" w:rsidRPr="00722D87" w14:paraId="69192F8C" w14:textId="77777777" w:rsidTr="00E24DC9">
        <w:tc>
          <w:tcPr>
            <w:tcW w:w="704" w:type="dxa"/>
            <w:vMerge/>
            <w:vAlign w:val="center"/>
          </w:tcPr>
          <w:p w14:paraId="1C46E156"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663F73B6"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121.9237</w:t>
            </w:r>
          </w:p>
        </w:tc>
        <w:tc>
          <w:tcPr>
            <w:tcW w:w="1701" w:type="dxa"/>
            <w:vMerge/>
            <w:vAlign w:val="center"/>
          </w:tcPr>
          <w:p w14:paraId="2B46F44C"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5C16BFA8"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6FC364C6"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35FDEA7B" w14:textId="77777777" w:rsidR="004D1935" w:rsidRPr="00722D87" w:rsidRDefault="004D1935" w:rsidP="00E24DC9">
            <w:pPr>
              <w:jc w:val="center"/>
              <w:rPr>
                <w:rFonts w:asciiTheme="majorBidi" w:hAnsiTheme="majorBidi" w:cstheme="majorBidi"/>
                <w:color w:val="000000" w:themeColor="text1"/>
                <w:sz w:val="11"/>
                <w:szCs w:val="11"/>
              </w:rPr>
            </w:pPr>
          </w:p>
        </w:tc>
      </w:tr>
      <w:tr w:rsidR="004D1935" w:rsidRPr="00722D87" w14:paraId="71FD37D2" w14:textId="77777777" w:rsidTr="00E24DC9">
        <w:tc>
          <w:tcPr>
            <w:tcW w:w="704" w:type="dxa"/>
            <w:vMerge/>
            <w:vAlign w:val="center"/>
          </w:tcPr>
          <w:p w14:paraId="0641F6EA"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2BAA1573"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121.9509</w:t>
            </w:r>
          </w:p>
        </w:tc>
        <w:tc>
          <w:tcPr>
            <w:tcW w:w="1701" w:type="dxa"/>
            <w:vMerge/>
            <w:vAlign w:val="center"/>
          </w:tcPr>
          <w:p w14:paraId="37059739"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6C873341"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19C644BE"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6647F7E0" w14:textId="77777777" w:rsidR="004D1935" w:rsidRPr="00722D87" w:rsidRDefault="004D1935" w:rsidP="00E24DC9">
            <w:pPr>
              <w:jc w:val="center"/>
              <w:rPr>
                <w:rFonts w:asciiTheme="majorBidi" w:hAnsiTheme="majorBidi" w:cstheme="majorBidi"/>
                <w:color w:val="000000" w:themeColor="text1"/>
                <w:sz w:val="11"/>
                <w:szCs w:val="11"/>
              </w:rPr>
            </w:pPr>
          </w:p>
        </w:tc>
      </w:tr>
      <w:tr w:rsidR="004D1935" w:rsidRPr="00722D87" w14:paraId="5B0FB2A5" w14:textId="77777777" w:rsidTr="00E24DC9">
        <w:tc>
          <w:tcPr>
            <w:tcW w:w="704" w:type="dxa"/>
            <w:vMerge/>
            <w:vAlign w:val="center"/>
          </w:tcPr>
          <w:p w14:paraId="1A535F43"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0B7A5D71"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121.9781</w:t>
            </w:r>
          </w:p>
        </w:tc>
        <w:tc>
          <w:tcPr>
            <w:tcW w:w="1701" w:type="dxa"/>
            <w:vMerge/>
            <w:vAlign w:val="center"/>
          </w:tcPr>
          <w:p w14:paraId="705F7231"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18ACC035"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36567537"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2DDB8F28" w14:textId="77777777" w:rsidR="004D1935" w:rsidRPr="00722D87" w:rsidRDefault="004D1935" w:rsidP="00E24DC9">
            <w:pPr>
              <w:jc w:val="center"/>
              <w:rPr>
                <w:rFonts w:asciiTheme="majorBidi" w:hAnsiTheme="majorBidi" w:cstheme="majorBidi"/>
                <w:color w:val="000000" w:themeColor="text1"/>
                <w:sz w:val="11"/>
                <w:szCs w:val="11"/>
              </w:rPr>
            </w:pPr>
          </w:p>
        </w:tc>
      </w:tr>
      <w:tr w:rsidR="004D1935" w:rsidRPr="00722D87" w14:paraId="5CE1E4FB" w14:textId="77777777" w:rsidTr="00E24DC9">
        <w:tc>
          <w:tcPr>
            <w:tcW w:w="704" w:type="dxa"/>
            <w:vMerge/>
            <w:vAlign w:val="center"/>
          </w:tcPr>
          <w:p w14:paraId="044537DD"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6E7CDD8B"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121.9158</w:t>
            </w:r>
          </w:p>
        </w:tc>
        <w:tc>
          <w:tcPr>
            <w:tcW w:w="1701" w:type="dxa"/>
            <w:vMerge/>
            <w:vAlign w:val="center"/>
          </w:tcPr>
          <w:p w14:paraId="474C098B"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4B16F0A3"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4A1A8092"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75C33555" w14:textId="77777777" w:rsidR="004D1935" w:rsidRPr="00722D87" w:rsidRDefault="004D1935" w:rsidP="00E24DC9">
            <w:pPr>
              <w:jc w:val="center"/>
              <w:rPr>
                <w:rFonts w:asciiTheme="majorBidi" w:hAnsiTheme="majorBidi" w:cstheme="majorBidi"/>
                <w:color w:val="000000" w:themeColor="text1"/>
                <w:sz w:val="11"/>
                <w:szCs w:val="11"/>
              </w:rPr>
            </w:pPr>
          </w:p>
        </w:tc>
      </w:tr>
      <w:tr w:rsidR="004D1935" w:rsidRPr="00722D87" w14:paraId="63E216C2" w14:textId="77777777" w:rsidTr="00E24DC9">
        <w:tc>
          <w:tcPr>
            <w:tcW w:w="704" w:type="dxa"/>
            <w:vMerge/>
            <w:vAlign w:val="center"/>
          </w:tcPr>
          <w:p w14:paraId="611A48A0"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4860FAFD"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121.9754</w:t>
            </w:r>
          </w:p>
        </w:tc>
        <w:tc>
          <w:tcPr>
            <w:tcW w:w="1701" w:type="dxa"/>
            <w:vMerge/>
            <w:vAlign w:val="center"/>
          </w:tcPr>
          <w:p w14:paraId="4B89A615"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7AB55C3A"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1AA00CCA"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091774A2" w14:textId="77777777" w:rsidR="004D1935" w:rsidRPr="00722D87" w:rsidRDefault="004D1935" w:rsidP="00E24DC9">
            <w:pPr>
              <w:jc w:val="center"/>
              <w:rPr>
                <w:rFonts w:asciiTheme="majorBidi" w:hAnsiTheme="majorBidi" w:cstheme="majorBidi"/>
                <w:color w:val="000000" w:themeColor="text1"/>
                <w:sz w:val="11"/>
                <w:szCs w:val="11"/>
              </w:rPr>
            </w:pPr>
          </w:p>
        </w:tc>
      </w:tr>
      <w:tr w:rsidR="004D1935" w:rsidRPr="00F54137" w14:paraId="56F5AD44" w14:textId="77777777" w:rsidTr="00E24DC9">
        <w:tc>
          <w:tcPr>
            <w:tcW w:w="704" w:type="dxa"/>
            <w:vMerge/>
            <w:vAlign w:val="center"/>
          </w:tcPr>
          <w:p w14:paraId="738FFB3F"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75A699DE"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122.0079</w:t>
            </w:r>
          </w:p>
        </w:tc>
        <w:tc>
          <w:tcPr>
            <w:tcW w:w="1701" w:type="dxa"/>
            <w:vMerge/>
            <w:vAlign w:val="center"/>
          </w:tcPr>
          <w:p w14:paraId="1369CEC4"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5D2DE515"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44BA3317"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3646D8BD"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580433E8" w14:textId="77777777" w:rsidTr="00E24DC9">
        <w:tc>
          <w:tcPr>
            <w:tcW w:w="704" w:type="dxa"/>
            <w:vMerge/>
            <w:vAlign w:val="center"/>
          </w:tcPr>
          <w:p w14:paraId="2A04E50B"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18D39A96"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121.9255</w:t>
            </w:r>
          </w:p>
        </w:tc>
        <w:tc>
          <w:tcPr>
            <w:tcW w:w="1701" w:type="dxa"/>
            <w:vMerge/>
            <w:vAlign w:val="center"/>
          </w:tcPr>
          <w:p w14:paraId="08DE19D4"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4B91895F"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294FD38F"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7673EAD0"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28818E56" w14:textId="77777777" w:rsidTr="00E24DC9">
        <w:tc>
          <w:tcPr>
            <w:tcW w:w="704" w:type="dxa"/>
            <w:vMerge/>
            <w:vAlign w:val="center"/>
          </w:tcPr>
          <w:p w14:paraId="34483F59"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52B2FAAB"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121.9561</w:t>
            </w:r>
          </w:p>
        </w:tc>
        <w:tc>
          <w:tcPr>
            <w:tcW w:w="1701" w:type="dxa"/>
            <w:vMerge/>
            <w:vAlign w:val="center"/>
          </w:tcPr>
          <w:p w14:paraId="37475AF2"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4778D42C"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01708929"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554A8FF5"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44390F24" w14:textId="77777777" w:rsidTr="00E24DC9">
        <w:tc>
          <w:tcPr>
            <w:tcW w:w="704" w:type="dxa"/>
            <w:vMerge/>
            <w:vAlign w:val="center"/>
          </w:tcPr>
          <w:p w14:paraId="0D3E4081"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283D3E60"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121.9851</w:t>
            </w:r>
          </w:p>
        </w:tc>
        <w:tc>
          <w:tcPr>
            <w:tcW w:w="1701" w:type="dxa"/>
            <w:vMerge/>
            <w:vAlign w:val="center"/>
          </w:tcPr>
          <w:p w14:paraId="508EB47A"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0DAE90BA"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7CF2F254"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0F477AA7"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35970642" w14:textId="77777777" w:rsidTr="00E24DC9">
        <w:tc>
          <w:tcPr>
            <w:tcW w:w="704" w:type="dxa"/>
            <w:vMerge/>
            <w:vAlign w:val="center"/>
          </w:tcPr>
          <w:p w14:paraId="5C06B3F0"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0831F28E"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122.0343</w:t>
            </w:r>
          </w:p>
        </w:tc>
        <w:tc>
          <w:tcPr>
            <w:tcW w:w="1701" w:type="dxa"/>
            <w:vMerge/>
            <w:vAlign w:val="center"/>
          </w:tcPr>
          <w:p w14:paraId="7F32E86E"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5F0BC2AA"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6137D397"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35BD2DE9"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1D144DCA" w14:textId="77777777" w:rsidTr="00E24DC9">
        <w:tc>
          <w:tcPr>
            <w:tcW w:w="704" w:type="dxa"/>
            <w:vMerge/>
            <w:vAlign w:val="center"/>
          </w:tcPr>
          <w:p w14:paraId="7DD7D7CE"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5C7F0520"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122.0237</w:t>
            </w:r>
          </w:p>
        </w:tc>
        <w:tc>
          <w:tcPr>
            <w:tcW w:w="1701" w:type="dxa"/>
            <w:vMerge/>
            <w:vAlign w:val="center"/>
          </w:tcPr>
          <w:p w14:paraId="0FF4903E"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344E586A"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3CA2B5B2"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492149AD"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3DAC9CB1" w14:textId="77777777" w:rsidTr="00E24DC9">
        <w:tc>
          <w:tcPr>
            <w:tcW w:w="704" w:type="dxa"/>
            <w:vMerge/>
            <w:vAlign w:val="center"/>
          </w:tcPr>
          <w:p w14:paraId="2EF8ECFD"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1EA87F01"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122.0948</w:t>
            </w:r>
          </w:p>
        </w:tc>
        <w:tc>
          <w:tcPr>
            <w:tcW w:w="1701" w:type="dxa"/>
            <w:vMerge/>
            <w:vAlign w:val="center"/>
          </w:tcPr>
          <w:p w14:paraId="411CFBB7"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0FF177B8"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3D8A9853"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090270C3"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46245FD1" w14:textId="77777777" w:rsidTr="00E24DC9">
        <w:tc>
          <w:tcPr>
            <w:tcW w:w="704" w:type="dxa"/>
            <w:vMerge/>
            <w:vAlign w:val="center"/>
          </w:tcPr>
          <w:p w14:paraId="22040074"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0E9226EE"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122.0053</w:t>
            </w:r>
          </w:p>
        </w:tc>
        <w:tc>
          <w:tcPr>
            <w:tcW w:w="1701" w:type="dxa"/>
            <w:vMerge/>
            <w:vAlign w:val="center"/>
          </w:tcPr>
          <w:p w14:paraId="17EC2233"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58E8B8AC"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73017686"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1A2CDCEE"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5DAFDB4E" w14:textId="77777777" w:rsidTr="00E24DC9">
        <w:tc>
          <w:tcPr>
            <w:tcW w:w="704" w:type="dxa"/>
            <w:vMerge/>
            <w:vAlign w:val="center"/>
          </w:tcPr>
          <w:p w14:paraId="7C7CA818"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bottom w:val="nil"/>
            </w:tcBorders>
            <w:vAlign w:val="center"/>
          </w:tcPr>
          <w:p w14:paraId="55499262"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122.0325</w:t>
            </w:r>
          </w:p>
        </w:tc>
        <w:tc>
          <w:tcPr>
            <w:tcW w:w="1701" w:type="dxa"/>
            <w:vMerge/>
            <w:vAlign w:val="center"/>
          </w:tcPr>
          <w:p w14:paraId="0281A893"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432CC341"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274B62C5"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1218D4FE" w14:textId="77777777" w:rsidR="004D1935" w:rsidRPr="00F54137" w:rsidRDefault="004D1935" w:rsidP="00E24DC9">
            <w:pPr>
              <w:jc w:val="center"/>
              <w:rPr>
                <w:rFonts w:asciiTheme="majorBidi" w:hAnsiTheme="majorBidi" w:cstheme="majorBidi"/>
                <w:color w:val="000000" w:themeColor="text1"/>
                <w:sz w:val="16"/>
                <w:szCs w:val="16"/>
              </w:rPr>
            </w:pPr>
          </w:p>
        </w:tc>
      </w:tr>
      <w:tr w:rsidR="004D1935" w:rsidRPr="00F54137" w14:paraId="6EFDFCF4" w14:textId="77777777" w:rsidTr="00E24DC9">
        <w:tc>
          <w:tcPr>
            <w:tcW w:w="704" w:type="dxa"/>
            <w:vMerge/>
            <w:vAlign w:val="center"/>
          </w:tcPr>
          <w:p w14:paraId="3E7D20AB" w14:textId="77777777" w:rsidR="004D1935" w:rsidRPr="00F54137" w:rsidRDefault="004D1935" w:rsidP="00E24DC9">
            <w:pPr>
              <w:jc w:val="center"/>
              <w:rPr>
                <w:rFonts w:ascii="Calibri" w:hAnsi="Calibri" w:cs="Calibri"/>
                <w:color w:val="000000" w:themeColor="text1"/>
                <w:sz w:val="16"/>
                <w:szCs w:val="16"/>
              </w:rPr>
            </w:pPr>
          </w:p>
        </w:tc>
        <w:tc>
          <w:tcPr>
            <w:tcW w:w="851" w:type="dxa"/>
            <w:tcBorders>
              <w:top w:val="nil"/>
            </w:tcBorders>
            <w:vAlign w:val="center"/>
          </w:tcPr>
          <w:p w14:paraId="615B1816" w14:textId="77777777" w:rsidR="004D1935" w:rsidRPr="00F54137" w:rsidRDefault="004D1935" w:rsidP="00E24DC9">
            <w:pPr>
              <w:jc w:val="center"/>
              <w:rPr>
                <w:rFonts w:ascii="Calibri" w:hAnsi="Calibri" w:cs="Calibri"/>
                <w:color w:val="000000" w:themeColor="text1"/>
                <w:sz w:val="16"/>
                <w:szCs w:val="16"/>
              </w:rPr>
            </w:pPr>
            <w:r w:rsidRPr="00F54137">
              <w:rPr>
                <w:rFonts w:ascii="Calibri" w:hAnsi="Calibri" w:cs="Calibri"/>
                <w:color w:val="000000" w:themeColor="text1"/>
                <w:sz w:val="16"/>
                <w:szCs w:val="16"/>
              </w:rPr>
              <w:t>122.0615</w:t>
            </w:r>
          </w:p>
        </w:tc>
        <w:tc>
          <w:tcPr>
            <w:tcW w:w="1701" w:type="dxa"/>
            <w:vMerge/>
            <w:vAlign w:val="center"/>
          </w:tcPr>
          <w:p w14:paraId="7EB7E745" w14:textId="77777777" w:rsidR="004D1935" w:rsidRPr="00F54137" w:rsidRDefault="004D1935" w:rsidP="00E24DC9">
            <w:pPr>
              <w:jc w:val="center"/>
              <w:rPr>
                <w:rFonts w:asciiTheme="majorBidi" w:hAnsiTheme="majorBidi" w:cstheme="majorBidi"/>
                <w:color w:val="000000" w:themeColor="text1"/>
                <w:sz w:val="16"/>
                <w:szCs w:val="16"/>
              </w:rPr>
            </w:pPr>
          </w:p>
        </w:tc>
        <w:tc>
          <w:tcPr>
            <w:tcW w:w="2693" w:type="dxa"/>
            <w:vMerge/>
            <w:vAlign w:val="center"/>
          </w:tcPr>
          <w:p w14:paraId="703035C1" w14:textId="77777777" w:rsidR="004D1935" w:rsidRPr="00F54137" w:rsidRDefault="004D1935" w:rsidP="00E24DC9">
            <w:pPr>
              <w:jc w:val="center"/>
              <w:rPr>
                <w:rFonts w:asciiTheme="majorBidi" w:hAnsiTheme="majorBidi" w:cstheme="majorBidi"/>
                <w:color w:val="000000" w:themeColor="text1"/>
                <w:sz w:val="16"/>
                <w:szCs w:val="16"/>
              </w:rPr>
            </w:pPr>
          </w:p>
        </w:tc>
        <w:tc>
          <w:tcPr>
            <w:tcW w:w="1134" w:type="dxa"/>
            <w:vMerge/>
            <w:vAlign w:val="center"/>
          </w:tcPr>
          <w:p w14:paraId="048B1857" w14:textId="77777777" w:rsidR="004D1935" w:rsidRPr="00F54137" w:rsidRDefault="004D1935" w:rsidP="00E24DC9">
            <w:pPr>
              <w:jc w:val="center"/>
              <w:rPr>
                <w:rFonts w:asciiTheme="majorBidi" w:hAnsiTheme="majorBidi" w:cstheme="majorBidi"/>
                <w:color w:val="000000" w:themeColor="text1"/>
                <w:sz w:val="16"/>
                <w:szCs w:val="16"/>
              </w:rPr>
            </w:pPr>
          </w:p>
        </w:tc>
        <w:tc>
          <w:tcPr>
            <w:tcW w:w="6804" w:type="dxa"/>
            <w:vMerge/>
            <w:vAlign w:val="center"/>
          </w:tcPr>
          <w:p w14:paraId="67317262" w14:textId="77777777" w:rsidR="004D1935" w:rsidRPr="00F54137" w:rsidRDefault="004D1935" w:rsidP="00E24DC9">
            <w:pPr>
              <w:jc w:val="center"/>
              <w:rPr>
                <w:rFonts w:asciiTheme="majorBidi" w:hAnsiTheme="majorBidi" w:cstheme="majorBidi"/>
                <w:color w:val="000000" w:themeColor="text1"/>
                <w:sz w:val="16"/>
                <w:szCs w:val="16"/>
              </w:rPr>
            </w:pPr>
          </w:p>
        </w:tc>
      </w:tr>
    </w:tbl>
    <w:p w14:paraId="0330A5CA" w14:textId="77777777" w:rsidR="004D1935" w:rsidRDefault="004D1935" w:rsidP="004D1935"/>
    <w:p w14:paraId="7C54EE6D" w14:textId="77777777" w:rsidR="004D1935" w:rsidRDefault="004D1935" w:rsidP="004D1935"/>
    <w:p w14:paraId="4630CEA7" w14:textId="77777777" w:rsidR="004D1935" w:rsidRDefault="004D1935" w:rsidP="004D1935">
      <w:pPr>
        <w:autoSpaceDE w:val="0"/>
        <w:autoSpaceDN w:val="0"/>
        <w:adjustRightInd w:val="0"/>
        <w:rPr>
          <w:rFonts w:eastAsiaTheme="minorHAnsi"/>
          <w:sz w:val="16"/>
          <w:szCs w:val="16"/>
        </w:rPr>
      </w:pPr>
    </w:p>
    <w:p w14:paraId="6D28AF4B" w14:textId="77777777" w:rsidR="004D1935" w:rsidRDefault="004D1935" w:rsidP="004D1935">
      <w:pPr>
        <w:autoSpaceDE w:val="0"/>
        <w:autoSpaceDN w:val="0"/>
        <w:adjustRightInd w:val="0"/>
        <w:rPr>
          <w:rFonts w:eastAsiaTheme="minorHAnsi"/>
          <w:sz w:val="16"/>
          <w:szCs w:val="16"/>
        </w:rPr>
      </w:pPr>
    </w:p>
    <w:p w14:paraId="614BC6B5" w14:textId="5974B3F5" w:rsidR="004D1935" w:rsidRDefault="004D1935" w:rsidP="004D1935">
      <w:pPr>
        <w:autoSpaceDE w:val="0"/>
        <w:autoSpaceDN w:val="0"/>
        <w:adjustRightInd w:val="0"/>
        <w:rPr>
          <w:rFonts w:eastAsiaTheme="minorHAnsi"/>
          <w:sz w:val="16"/>
          <w:szCs w:val="16"/>
        </w:rPr>
      </w:pPr>
      <w:r>
        <w:rPr>
          <w:rFonts w:eastAsiaTheme="minorHAnsi"/>
          <w:sz w:val="16"/>
          <w:szCs w:val="16"/>
        </w:rPr>
        <w:lastRenderedPageBreak/>
        <w:t>Table A 4.7: Discriminant mass bins (172) in shoot organic phase and their associated detected masses looking for compound identification accounts for protonated adduct (H) and K, NA</w:t>
      </w:r>
      <w:r w:rsidRPr="00396597">
        <w:rPr>
          <w:rFonts w:eastAsiaTheme="minorHAnsi"/>
          <w:sz w:val="16"/>
          <w:szCs w:val="16"/>
        </w:rPr>
        <w:t xml:space="preserve"> </w:t>
      </w:r>
      <w:r>
        <w:rPr>
          <w:rFonts w:eastAsiaTheme="minorHAnsi"/>
          <w:sz w:val="16"/>
          <w:szCs w:val="16"/>
        </w:rPr>
        <w:t>in positive mode in the analysis. The putatively identified compounds, their chemical groups, and the associated pathways are displayed.</w:t>
      </w:r>
    </w:p>
    <w:p w14:paraId="3312E8F1" w14:textId="77777777" w:rsidR="004D1935" w:rsidRDefault="004D1935" w:rsidP="004D1935">
      <w:pPr>
        <w:autoSpaceDE w:val="0"/>
        <w:autoSpaceDN w:val="0"/>
        <w:adjustRightInd w:val="0"/>
        <w:rPr>
          <w:rFonts w:eastAsiaTheme="minorHAnsi"/>
          <w:sz w:val="16"/>
          <w:szCs w:val="16"/>
        </w:rPr>
      </w:pPr>
    </w:p>
    <w:p w14:paraId="777F418F" w14:textId="77777777" w:rsidR="004D1935" w:rsidRDefault="004D1935" w:rsidP="004D1935">
      <w:pPr>
        <w:autoSpaceDE w:val="0"/>
        <w:autoSpaceDN w:val="0"/>
        <w:adjustRightInd w:val="0"/>
        <w:rPr>
          <w:rFonts w:eastAsiaTheme="minorHAnsi"/>
          <w:sz w:val="16"/>
          <w:szCs w:val="16"/>
        </w:rPr>
      </w:pPr>
    </w:p>
    <w:tbl>
      <w:tblPr>
        <w:tblStyle w:val="TableGrid"/>
        <w:tblW w:w="13745" w:type="dxa"/>
        <w:tblLook w:val="04A0" w:firstRow="1" w:lastRow="0" w:firstColumn="1" w:lastColumn="0" w:noHBand="0" w:noVBand="1"/>
      </w:tblPr>
      <w:tblGrid>
        <w:gridCol w:w="892"/>
        <w:gridCol w:w="1513"/>
        <w:gridCol w:w="2371"/>
        <w:gridCol w:w="1333"/>
        <w:gridCol w:w="1365"/>
        <w:gridCol w:w="6271"/>
      </w:tblGrid>
      <w:tr w:rsidR="004D1935" w14:paraId="6B1D1648" w14:textId="77777777" w:rsidTr="00E24DC9">
        <w:tc>
          <w:tcPr>
            <w:tcW w:w="892" w:type="dxa"/>
          </w:tcPr>
          <w:p w14:paraId="68030D3F" w14:textId="77777777" w:rsidR="004D1935" w:rsidRPr="00DD4FFC" w:rsidRDefault="004D1935" w:rsidP="00E24DC9">
            <w:r>
              <w:t>adduct</w:t>
            </w:r>
          </w:p>
        </w:tc>
        <w:tc>
          <w:tcPr>
            <w:tcW w:w="1513" w:type="dxa"/>
            <w:tcBorders>
              <w:bottom w:val="single" w:sz="4" w:space="0" w:color="auto"/>
            </w:tcBorders>
            <w:vAlign w:val="bottom"/>
          </w:tcPr>
          <w:p w14:paraId="5820254B" w14:textId="77777777" w:rsidR="004D1935" w:rsidRDefault="004D1935" w:rsidP="00E24DC9">
            <w:r w:rsidRPr="00C523D9">
              <w:rPr>
                <w:rFonts w:ascii="Calibri" w:hAnsi="Calibri" w:cs="Calibri"/>
                <w:color w:val="000000" w:themeColor="text1"/>
                <w:sz w:val="16"/>
                <w:szCs w:val="16"/>
              </w:rPr>
              <w:t>MASS DETECTED</w:t>
            </w:r>
          </w:p>
        </w:tc>
        <w:tc>
          <w:tcPr>
            <w:tcW w:w="2371" w:type="dxa"/>
            <w:vAlign w:val="center"/>
          </w:tcPr>
          <w:p w14:paraId="64438E4D" w14:textId="77777777" w:rsidR="004D1935" w:rsidRDefault="004D1935" w:rsidP="00E24DC9">
            <w:r w:rsidRPr="00F54137">
              <w:rPr>
                <w:rFonts w:asciiTheme="majorBidi" w:hAnsiTheme="majorBidi" w:cstheme="majorBidi"/>
                <w:color w:val="000000" w:themeColor="text1"/>
                <w:sz w:val="16"/>
                <w:szCs w:val="16"/>
              </w:rPr>
              <w:t>COMPOUNDS NAME</w:t>
            </w:r>
          </w:p>
        </w:tc>
        <w:tc>
          <w:tcPr>
            <w:tcW w:w="1333" w:type="dxa"/>
            <w:vAlign w:val="center"/>
          </w:tcPr>
          <w:p w14:paraId="0EB71AEF" w14:textId="77777777" w:rsidR="004D1935" w:rsidRDefault="004D1935" w:rsidP="00E24DC9">
            <w:r w:rsidRPr="00F54137">
              <w:rPr>
                <w:rFonts w:asciiTheme="majorBidi" w:hAnsiTheme="majorBidi" w:cstheme="majorBidi"/>
                <w:color w:val="000000" w:themeColor="text1"/>
                <w:sz w:val="16"/>
                <w:szCs w:val="16"/>
              </w:rPr>
              <w:t>chemical formula</w:t>
            </w:r>
          </w:p>
        </w:tc>
        <w:tc>
          <w:tcPr>
            <w:tcW w:w="1365" w:type="dxa"/>
            <w:vAlign w:val="center"/>
          </w:tcPr>
          <w:p w14:paraId="2190F913" w14:textId="77777777" w:rsidR="004D1935" w:rsidRDefault="004D1935" w:rsidP="00E24DC9">
            <w:r w:rsidRPr="00F54137">
              <w:rPr>
                <w:rFonts w:asciiTheme="majorBidi" w:hAnsiTheme="majorBidi" w:cstheme="majorBidi"/>
                <w:color w:val="000000" w:themeColor="text1"/>
                <w:sz w:val="16"/>
                <w:szCs w:val="16"/>
              </w:rPr>
              <w:t>chemical group</w:t>
            </w:r>
          </w:p>
        </w:tc>
        <w:tc>
          <w:tcPr>
            <w:tcW w:w="6271" w:type="dxa"/>
            <w:vAlign w:val="center"/>
          </w:tcPr>
          <w:p w14:paraId="51B014DC" w14:textId="77777777" w:rsidR="004D1935" w:rsidRDefault="004D1935" w:rsidP="00E24DC9">
            <w:r w:rsidRPr="00F54137">
              <w:rPr>
                <w:rFonts w:asciiTheme="majorBidi" w:hAnsiTheme="majorBidi" w:cstheme="majorBidi"/>
                <w:color w:val="000000" w:themeColor="text1"/>
                <w:sz w:val="16"/>
                <w:szCs w:val="16"/>
              </w:rPr>
              <w:t>pathway</w:t>
            </w:r>
          </w:p>
        </w:tc>
      </w:tr>
      <w:tr w:rsidR="004D1935" w14:paraId="7231A1C5" w14:textId="77777777" w:rsidTr="00E24DC9">
        <w:tc>
          <w:tcPr>
            <w:tcW w:w="892" w:type="dxa"/>
            <w:vMerge w:val="restart"/>
          </w:tcPr>
          <w:p w14:paraId="55ECCA9B" w14:textId="77777777" w:rsidR="004D1935" w:rsidRDefault="004D1935" w:rsidP="00E24DC9"/>
        </w:tc>
        <w:tc>
          <w:tcPr>
            <w:tcW w:w="1513" w:type="dxa"/>
            <w:tcBorders>
              <w:bottom w:val="nil"/>
            </w:tcBorders>
            <w:vAlign w:val="center"/>
          </w:tcPr>
          <w:p w14:paraId="78257F49" w14:textId="77777777" w:rsidR="004D1935" w:rsidRPr="00106291" w:rsidRDefault="004D1935" w:rsidP="00E24DC9">
            <w:pPr>
              <w:jc w:val="center"/>
              <w:rPr>
                <w:color w:val="000000" w:themeColor="text1"/>
                <w:sz w:val="15"/>
                <w:szCs w:val="15"/>
              </w:rPr>
            </w:pPr>
            <w:r w:rsidRPr="00106291">
              <w:rPr>
                <w:rFonts w:ascii="Calibri" w:hAnsi="Calibri" w:cs="Calibri"/>
                <w:color w:val="000000" w:themeColor="text1"/>
                <w:sz w:val="15"/>
                <w:szCs w:val="15"/>
              </w:rPr>
              <w:t>171.9037</w:t>
            </w:r>
          </w:p>
        </w:tc>
        <w:tc>
          <w:tcPr>
            <w:tcW w:w="2371" w:type="dxa"/>
            <w:vMerge w:val="restart"/>
            <w:vAlign w:val="center"/>
          </w:tcPr>
          <w:p w14:paraId="519111B3" w14:textId="77777777" w:rsidR="004D1935" w:rsidRPr="009C2A74" w:rsidRDefault="00000000" w:rsidP="00E24DC9">
            <w:pPr>
              <w:jc w:val="center"/>
              <w:rPr>
                <w:color w:val="000000" w:themeColor="text1"/>
              </w:rPr>
            </w:pPr>
            <w:hyperlink r:id="rId82" w:history="1">
              <w:r w:rsidR="004D1935" w:rsidRPr="009C2A74">
                <w:rPr>
                  <w:rFonts w:ascii="Calibri" w:hAnsi="Calibri" w:cs="Calibri"/>
                  <w:color w:val="000000" w:themeColor="text1"/>
                  <w:sz w:val="16"/>
                  <w:szCs w:val="16"/>
                </w:rPr>
                <w:t>glycerol 1-phosphate</w:t>
              </w:r>
            </w:hyperlink>
          </w:p>
          <w:p w14:paraId="4560D55F" w14:textId="77777777" w:rsidR="004D1935" w:rsidRPr="009C2A74" w:rsidRDefault="00000000" w:rsidP="00E24DC9">
            <w:pPr>
              <w:jc w:val="center"/>
              <w:rPr>
                <w:color w:val="000000" w:themeColor="text1"/>
              </w:rPr>
            </w:pPr>
            <w:hyperlink r:id="rId83" w:history="1">
              <w:r w:rsidR="004D1935" w:rsidRPr="009C2A74">
                <w:rPr>
                  <w:rFonts w:ascii="Calibri" w:hAnsi="Calibri" w:cs="Calibri"/>
                  <w:color w:val="000000" w:themeColor="text1"/>
                  <w:sz w:val="16"/>
                  <w:szCs w:val="16"/>
                </w:rPr>
                <w:t>sn-glycerol 3-phosphate</w:t>
              </w:r>
            </w:hyperlink>
          </w:p>
          <w:p w14:paraId="2EE67315" w14:textId="77777777" w:rsidR="004D1935" w:rsidRPr="009C2A74" w:rsidRDefault="00000000" w:rsidP="00E24DC9">
            <w:pPr>
              <w:jc w:val="center"/>
              <w:rPr>
                <w:color w:val="000000" w:themeColor="text1"/>
              </w:rPr>
            </w:pPr>
            <w:hyperlink r:id="rId84" w:history="1">
              <w:r w:rsidR="004D1935" w:rsidRPr="009C2A74">
                <w:rPr>
                  <w:rFonts w:ascii="Calibri" w:hAnsi="Calibri" w:cs="Calibri"/>
                  <w:color w:val="000000" w:themeColor="text1"/>
                  <w:sz w:val="16"/>
                  <w:szCs w:val="16"/>
                </w:rPr>
                <w:t>sn-glycerol 1-phosphate</w:t>
              </w:r>
            </w:hyperlink>
          </w:p>
          <w:p w14:paraId="59D9B0BD" w14:textId="77777777" w:rsidR="004D1935" w:rsidRPr="009C2A74" w:rsidRDefault="00000000" w:rsidP="00E24DC9">
            <w:pPr>
              <w:jc w:val="center"/>
              <w:rPr>
                <w:color w:val="000000" w:themeColor="text1"/>
              </w:rPr>
            </w:pPr>
            <w:hyperlink r:id="rId85" w:history="1">
              <w:r w:rsidR="004D1935" w:rsidRPr="009C2A74">
                <w:rPr>
                  <w:rFonts w:ascii="Calibri" w:hAnsi="Calibri" w:cs="Calibri"/>
                  <w:color w:val="000000" w:themeColor="text1"/>
                  <w:sz w:val="16"/>
                  <w:szCs w:val="16"/>
                </w:rPr>
                <w:t>2-naphthoate</w:t>
              </w:r>
            </w:hyperlink>
          </w:p>
        </w:tc>
        <w:tc>
          <w:tcPr>
            <w:tcW w:w="1333" w:type="dxa"/>
            <w:vMerge w:val="restart"/>
            <w:vAlign w:val="center"/>
          </w:tcPr>
          <w:p w14:paraId="0F5E20C6" w14:textId="77777777" w:rsidR="004D1935" w:rsidRDefault="004D1935" w:rsidP="00E24DC9">
            <w:pPr>
              <w:jc w:val="center"/>
              <w:rPr>
                <w:rFonts w:ascii="Arial" w:hAnsi="Arial" w:cs="Arial"/>
                <w:color w:val="000000" w:themeColor="text1"/>
                <w:sz w:val="16"/>
                <w:szCs w:val="16"/>
                <w:shd w:val="clear" w:color="auto" w:fill="FFFFFF"/>
              </w:rPr>
            </w:pPr>
          </w:p>
          <w:p w14:paraId="291C04CD" w14:textId="77777777" w:rsidR="004D1935" w:rsidRDefault="004D1935" w:rsidP="00E24DC9">
            <w:pPr>
              <w:jc w:val="center"/>
              <w:rPr>
                <w:rFonts w:ascii="Arial" w:hAnsi="Arial" w:cs="Arial"/>
                <w:color w:val="000000" w:themeColor="text1"/>
                <w:sz w:val="16"/>
                <w:szCs w:val="16"/>
                <w:shd w:val="clear" w:color="auto" w:fill="FFFFFF"/>
              </w:rPr>
            </w:pPr>
          </w:p>
          <w:p w14:paraId="32F10125" w14:textId="77777777" w:rsidR="004D1935" w:rsidRPr="009C2A74" w:rsidRDefault="004D1935" w:rsidP="00E24DC9">
            <w:pPr>
              <w:jc w:val="center"/>
              <w:rPr>
                <w:color w:val="000000" w:themeColor="text1"/>
                <w:sz w:val="16"/>
                <w:szCs w:val="16"/>
              </w:rPr>
            </w:pPr>
            <w:r w:rsidRPr="009C2A74">
              <w:rPr>
                <w:rFonts w:ascii="Arial" w:hAnsi="Arial" w:cs="Arial"/>
                <w:color w:val="000000" w:themeColor="text1"/>
                <w:sz w:val="16"/>
                <w:szCs w:val="16"/>
                <w:shd w:val="clear" w:color="auto" w:fill="FFFFFF"/>
              </w:rPr>
              <w:t>C</w:t>
            </w:r>
            <w:r w:rsidRPr="009C2A74">
              <w:rPr>
                <w:rFonts w:ascii="Arial" w:hAnsi="Arial" w:cs="Arial"/>
                <w:color w:val="000000" w:themeColor="text1"/>
                <w:sz w:val="16"/>
                <w:szCs w:val="16"/>
                <w:shd w:val="clear" w:color="auto" w:fill="FFFFFF"/>
                <w:vertAlign w:val="subscript"/>
              </w:rPr>
              <w:t>3</w:t>
            </w:r>
            <w:r w:rsidRPr="009C2A74">
              <w:rPr>
                <w:rFonts w:ascii="Arial" w:hAnsi="Arial" w:cs="Arial"/>
                <w:color w:val="000000" w:themeColor="text1"/>
                <w:sz w:val="16"/>
                <w:szCs w:val="16"/>
                <w:shd w:val="clear" w:color="auto" w:fill="FFFFFF"/>
              </w:rPr>
              <w:t>H</w:t>
            </w:r>
            <w:r w:rsidRPr="009C2A74">
              <w:rPr>
                <w:rFonts w:ascii="Arial" w:hAnsi="Arial" w:cs="Arial"/>
                <w:color w:val="000000" w:themeColor="text1"/>
                <w:sz w:val="16"/>
                <w:szCs w:val="16"/>
                <w:shd w:val="clear" w:color="auto" w:fill="FFFFFF"/>
                <w:vertAlign w:val="subscript"/>
              </w:rPr>
              <w:t>9</w:t>
            </w:r>
            <w:r w:rsidRPr="009C2A74">
              <w:rPr>
                <w:rFonts w:ascii="Arial" w:hAnsi="Arial" w:cs="Arial"/>
                <w:color w:val="000000" w:themeColor="text1"/>
                <w:sz w:val="16"/>
                <w:szCs w:val="16"/>
                <w:shd w:val="clear" w:color="auto" w:fill="FFFFFF"/>
              </w:rPr>
              <w:t>O</w:t>
            </w:r>
            <w:r w:rsidRPr="009C2A74">
              <w:rPr>
                <w:rFonts w:ascii="Arial" w:hAnsi="Arial" w:cs="Arial"/>
                <w:color w:val="000000" w:themeColor="text1"/>
                <w:sz w:val="16"/>
                <w:szCs w:val="16"/>
                <w:shd w:val="clear" w:color="auto" w:fill="FFFFFF"/>
                <w:vertAlign w:val="subscript"/>
              </w:rPr>
              <w:t>6</w:t>
            </w:r>
            <w:r w:rsidRPr="009C2A74">
              <w:rPr>
                <w:rFonts w:ascii="Arial" w:hAnsi="Arial" w:cs="Arial"/>
                <w:color w:val="000000" w:themeColor="text1"/>
                <w:sz w:val="16"/>
                <w:szCs w:val="16"/>
                <w:shd w:val="clear" w:color="auto" w:fill="FFFFFF"/>
              </w:rPr>
              <w:t>P</w:t>
            </w:r>
          </w:p>
          <w:p w14:paraId="62C5A5A8" w14:textId="77777777" w:rsidR="004D1935" w:rsidRPr="009C2A74" w:rsidRDefault="004D1935" w:rsidP="00E24DC9">
            <w:pPr>
              <w:jc w:val="center"/>
              <w:rPr>
                <w:color w:val="000000" w:themeColor="text1"/>
                <w:sz w:val="16"/>
                <w:szCs w:val="16"/>
              </w:rPr>
            </w:pPr>
            <w:r w:rsidRPr="009C2A74">
              <w:rPr>
                <w:rFonts w:ascii="Arial" w:hAnsi="Arial" w:cs="Arial"/>
                <w:color w:val="000000" w:themeColor="text1"/>
                <w:sz w:val="16"/>
                <w:szCs w:val="16"/>
                <w:shd w:val="clear" w:color="auto" w:fill="FFFFFF"/>
              </w:rPr>
              <w:t>C</w:t>
            </w:r>
            <w:r w:rsidRPr="009C2A74">
              <w:rPr>
                <w:rFonts w:ascii="Arial" w:hAnsi="Arial" w:cs="Arial"/>
                <w:color w:val="000000" w:themeColor="text1"/>
                <w:sz w:val="16"/>
                <w:szCs w:val="16"/>
                <w:shd w:val="clear" w:color="auto" w:fill="FFFFFF"/>
                <w:vertAlign w:val="subscript"/>
              </w:rPr>
              <w:t>3</w:t>
            </w:r>
            <w:r w:rsidRPr="009C2A74">
              <w:rPr>
                <w:rFonts w:ascii="Arial" w:hAnsi="Arial" w:cs="Arial"/>
                <w:color w:val="000000" w:themeColor="text1"/>
                <w:sz w:val="16"/>
                <w:szCs w:val="16"/>
                <w:shd w:val="clear" w:color="auto" w:fill="FFFFFF"/>
              </w:rPr>
              <w:t>H</w:t>
            </w:r>
            <w:r w:rsidRPr="009C2A74">
              <w:rPr>
                <w:rFonts w:ascii="Arial" w:hAnsi="Arial" w:cs="Arial"/>
                <w:color w:val="000000" w:themeColor="text1"/>
                <w:sz w:val="16"/>
                <w:szCs w:val="16"/>
                <w:shd w:val="clear" w:color="auto" w:fill="FFFFFF"/>
                <w:vertAlign w:val="subscript"/>
              </w:rPr>
              <w:t>9</w:t>
            </w:r>
            <w:r w:rsidRPr="009C2A74">
              <w:rPr>
                <w:rFonts w:ascii="Arial" w:hAnsi="Arial" w:cs="Arial"/>
                <w:color w:val="000000" w:themeColor="text1"/>
                <w:sz w:val="16"/>
                <w:szCs w:val="16"/>
                <w:shd w:val="clear" w:color="auto" w:fill="FFFFFF"/>
              </w:rPr>
              <w:t>O</w:t>
            </w:r>
            <w:r w:rsidRPr="009C2A74">
              <w:rPr>
                <w:rFonts w:ascii="Arial" w:hAnsi="Arial" w:cs="Arial"/>
                <w:color w:val="000000" w:themeColor="text1"/>
                <w:sz w:val="16"/>
                <w:szCs w:val="16"/>
                <w:shd w:val="clear" w:color="auto" w:fill="FFFFFF"/>
                <w:vertAlign w:val="subscript"/>
              </w:rPr>
              <w:t>6</w:t>
            </w:r>
            <w:r w:rsidRPr="009C2A74">
              <w:rPr>
                <w:rFonts w:ascii="Arial" w:hAnsi="Arial" w:cs="Arial"/>
                <w:color w:val="000000" w:themeColor="text1"/>
                <w:sz w:val="16"/>
                <w:szCs w:val="16"/>
                <w:shd w:val="clear" w:color="auto" w:fill="FFFFFF"/>
              </w:rPr>
              <w:t>P</w:t>
            </w:r>
          </w:p>
          <w:p w14:paraId="5371073B" w14:textId="77777777" w:rsidR="004D1935" w:rsidRPr="009C2A74" w:rsidRDefault="004D1935" w:rsidP="00E24DC9">
            <w:pPr>
              <w:jc w:val="center"/>
              <w:rPr>
                <w:color w:val="000000" w:themeColor="text1"/>
                <w:sz w:val="16"/>
                <w:szCs w:val="16"/>
              </w:rPr>
            </w:pPr>
            <w:r w:rsidRPr="009C2A74">
              <w:rPr>
                <w:rFonts w:ascii="Arial" w:hAnsi="Arial" w:cs="Arial"/>
                <w:color w:val="000000" w:themeColor="text1"/>
                <w:sz w:val="16"/>
                <w:szCs w:val="16"/>
                <w:shd w:val="clear" w:color="auto" w:fill="FFFFFF"/>
              </w:rPr>
              <w:t>C</w:t>
            </w:r>
            <w:r w:rsidRPr="009C2A74">
              <w:rPr>
                <w:rFonts w:ascii="Arial" w:hAnsi="Arial" w:cs="Arial"/>
                <w:color w:val="000000" w:themeColor="text1"/>
                <w:sz w:val="16"/>
                <w:szCs w:val="16"/>
                <w:shd w:val="clear" w:color="auto" w:fill="FFFFFF"/>
                <w:vertAlign w:val="subscript"/>
              </w:rPr>
              <w:t>3</w:t>
            </w:r>
            <w:r w:rsidRPr="009C2A74">
              <w:rPr>
                <w:rFonts w:ascii="Arial" w:hAnsi="Arial" w:cs="Arial"/>
                <w:color w:val="000000" w:themeColor="text1"/>
                <w:sz w:val="16"/>
                <w:szCs w:val="16"/>
                <w:shd w:val="clear" w:color="auto" w:fill="FFFFFF"/>
              </w:rPr>
              <w:t>H</w:t>
            </w:r>
            <w:r w:rsidRPr="009C2A74">
              <w:rPr>
                <w:rFonts w:ascii="Arial" w:hAnsi="Arial" w:cs="Arial"/>
                <w:color w:val="000000" w:themeColor="text1"/>
                <w:sz w:val="16"/>
                <w:szCs w:val="16"/>
                <w:shd w:val="clear" w:color="auto" w:fill="FFFFFF"/>
                <w:vertAlign w:val="subscript"/>
              </w:rPr>
              <w:t>9</w:t>
            </w:r>
            <w:r w:rsidRPr="009C2A74">
              <w:rPr>
                <w:rFonts w:ascii="Arial" w:hAnsi="Arial" w:cs="Arial"/>
                <w:color w:val="000000" w:themeColor="text1"/>
                <w:sz w:val="16"/>
                <w:szCs w:val="16"/>
                <w:shd w:val="clear" w:color="auto" w:fill="FFFFFF"/>
              </w:rPr>
              <w:t>O</w:t>
            </w:r>
            <w:r w:rsidRPr="009C2A74">
              <w:rPr>
                <w:rFonts w:ascii="Arial" w:hAnsi="Arial" w:cs="Arial"/>
                <w:color w:val="000000" w:themeColor="text1"/>
                <w:sz w:val="16"/>
                <w:szCs w:val="16"/>
                <w:shd w:val="clear" w:color="auto" w:fill="FFFFFF"/>
                <w:vertAlign w:val="subscript"/>
              </w:rPr>
              <w:t>6</w:t>
            </w:r>
            <w:r w:rsidRPr="009C2A74">
              <w:rPr>
                <w:rFonts w:ascii="Arial" w:hAnsi="Arial" w:cs="Arial"/>
                <w:color w:val="000000" w:themeColor="text1"/>
                <w:sz w:val="16"/>
                <w:szCs w:val="16"/>
                <w:shd w:val="clear" w:color="auto" w:fill="FFFFFF"/>
              </w:rPr>
              <w:t>P</w:t>
            </w:r>
          </w:p>
          <w:p w14:paraId="322F3D2C" w14:textId="77777777" w:rsidR="004D1935" w:rsidRPr="009C2A74" w:rsidRDefault="004D1935" w:rsidP="00E24DC9">
            <w:pPr>
              <w:jc w:val="center"/>
              <w:rPr>
                <w:color w:val="000000" w:themeColor="text1"/>
                <w:sz w:val="16"/>
                <w:szCs w:val="16"/>
              </w:rPr>
            </w:pPr>
            <w:r w:rsidRPr="009C2A74">
              <w:rPr>
                <w:rFonts w:ascii="Arial" w:hAnsi="Arial" w:cs="Arial"/>
                <w:color w:val="000000" w:themeColor="text1"/>
                <w:sz w:val="16"/>
                <w:szCs w:val="16"/>
                <w:shd w:val="clear" w:color="auto" w:fill="FFFFFF"/>
              </w:rPr>
              <w:t>C</w:t>
            </w:r>
            <w:r w:rsidRPr="009C2A74">
              <w:rPr>
                <w:rFonts w:ascii="Arial" w:hAnsi="Arial" w:cs="Arial"/>
                <w:color w:val="000000" w:themeColor="text1"/>
                <w:sz w:val="16"/>
                <w:szCs w:val="16"/>
                <w:shd w:val="clear" w:color="auto" w:fill="FFFFFF"/>
                <w:vertAlign w:val="subscript"/>
              </w:rPr>
              <w:t>7</w:t>
            </w:r>
            <w:r w:rsidRPr="009C2A74">
              <w:rPr>
                <w:rFonts w:ascii="Arial" w:hAnsi="Arial" w:cs="Arial"/>
                <w:color w:val="000000" w:themeColor="text1"/>
                <w:sz w:val="16"/>
                <w:szCs w:val="16"/>
                <w:shd w:val="clear" w:color="auto" w:fill="FFFFFF"/>
              </w:rPr>
              <w:t>H</w:t>
            </w:r>
            <w:r w:rsidRPr="009C2A74">
              <w:rPr>
                <w:rFonts w:ascii="Arial" w:hAnsi="Arial" w:cs="Arial"/>
                <w:color w:val="000000" w:themeColor="text1"/>
                <w:sz w:val="16"/>
                <w:szCs w:val="16"/>
                <w:shd w:val="clear" w:color="auto" w:fill="FFFFFF"/>
                <w:vertAlign w:val="subscript"/>
              </w:rPr>
              <w:t>11</w:t>
            </w:r>
            <w:r w:rsidRPr="009C2A74">
              <w:rPr>
                <w:rFonts w:ascii="Arial" w:hAnsi="Arial" w:cs="Arial"/>
                <w:color w:val="000000" w:themeColor="text1"/>
                <w:sz w:val="16"/>
                <w:szCs w:val="16"/>
                <w:shd w:val="clear" w:color="auto" w:fill="FFFFFF"/>
              </w:rPr>
              <w:t>O</w:t>
            </w:r>
            <w:r w:rsidRPr="009C2A74">
              <w:rPr>
                <w:rFonts w:ascii="Arial" w:hAnsi="Arial" w:cs="Arial"/>
                <w:color w:val="000000" w:themeColor="text1"/>
                <w:sz w:val="16"/>
                <w:szCs w:val="16"/>
                <w:shd w:val="clear" w:color="auto" w:fill="FFFFFF"/>
                <w:vertAlign w:val="subscript"/>
              </w:rPr>
              <w:t>2</w:t>
            </w:r>
          </w:p>
          <w:p w14:paraId="594A998C" w14:textId="77777777" w:rsidR="004D1935" w:rsidRPr="009C2A74" w:rsidRDefault="004D1935" w:rsidP="00E24DC9">
            <w:pPr>
              <w:jc w:val="center"/>
              <w:rPr>
                <w:color w:val="000000" w:themeColor="text1"/>
              </w:rPr>
            </w:pPr>
          </w:p>
        </w:tc>
        <w:tc>
          <w:tcPr>
            <w:tcW w:w="1365" w:type="dxa"/>
            <w:vMerge w:val="restart"/>
            <w:vAlign w:val="center"/>
          </w:tcPr>
          <w:p w14:paraId="1DF18486" w14:textId="77777777" w:rsidR="004D1935" w:rsidRPr="009C2A74" w:rsidRDefault="004D1935" w:rsidP="00E24DC9">
            <w:pPr>
              <w:jc w:val="center"/>
              <w:rPr>
                <w:color w:val="000000" w:themeColor="text1"/>
              </w:rPr>
            </w:pPr>
            <w:r w:rsidRPr="009C2A74">
              <w:rPr>
                <w:rFonts w:ascii="Calibri" w:hAnsi="Calibri" w:cs="Calibri"/>
                <w:color w:val="000000" w:themeColor="text1"/>
                <w:sz w:val="16"/>
                <w:szCs w:val="16"/>
              </w:rPr>
              <w:t>alkaloids/steroids</w:t>
            </w:r>
          </w:p>
          <w:p w14:paraId="5575DB66" w14:textId="77777777" w:rsidR="004D1935" w:rsidRPr="009C2A74" w:rsidRDefault="004D1935" w:rsidP="00E24DC9">
            <w:pPr>
              <w:jc w:val="center"/>
              <w:rPr>
                <w:color w:val="000000" w:themeColor="text1"/>
              </w:rPr>
            </w:pPr>
            <w:r w:rsidRPr="009C2A74">
              <w:rPr>
                <w:rFonts w:ascii="Calibri" w:hAnsi="Calibri" w:cs="Calibri"/>
                <w:color w:val="000000" w:themeColor="text1"/>
                <w:sz w:val="16"/>
                <w:szCs w:val="16"/>
              </w:rPr>
              <w:t>alkaloids/steroids</w:t>
            </w:r>
          </w:p>
          <w:p w14:paraId="256EC647" w14:textId="77777777" w:rsidR="004D1935" w:rsidRPr="009C2A74" w:rsidRDefault="004D1935" w:rsidP="00E24DC9">
            <w:pPr>
              <w:jc w:val="center"/>
              <w:rPr>
                <w:color w:val="000000" w:themeColor="text1"/>
              </w:rPr>
            </w:pPr>
            <w:r w:rsidRPr="009C2A74">
              <w:rPr>
                <w:rFonts w:ascii="Calibri" w:hAnsi="Calibri" w:cs="Calibri"/>
                <w:color w:val="000000" w:themeColor="text1"/>
                <w:sz w:val="16"/>
                <w:szCs w:val="16"/>
              </w:rPr>
              <w:t>alkaloids/steroids</w:t>
            </w:r>
          </w:p>
          <w:p w14:paraId="25B94CB0" w14:textId="77777777" w:rsidR="004D1935" w:rsidRPr="009C2A74" w:rsidRDefault="004D1935" w:rsidP="00E24DC9">
            <w:pPr>
              <w:jc w:val="center"/>
              <w:rPr>
                <w:color w:val="000000" w:themeColor="text1"/>
              </w:rPr>
            </w:pPr>
            <w:r w:rsidRPr="009C2A74">
              <w:rPr>
                <w:rFonts w:ascii="Calibri" w:hAnsi="Calibri" w:cs="Calibri"/>
                <w:color w:val="000000" w:themeColor="text1"/>
                <w:sz w:val="16"/>
                <w:szCs w:val="16"/>
              </w:rPr>
              <w:t>carboxlic acid</w:t>
            </w:r>
          </w:p>
        </w:tc>
        <w:tc>
          <w:tcPr>
            <w:tcW w:w="6271" w:type="dxa"/>
            <w:vMerge w:val="restart"/>
            <w:vAlign w:val="center"/>
          </w:tcPr>
          <w:p w14:paraId="50BFCCEF" w14:textId="77777777" w:rsidR="004D1935" w:rsidRPr="009C2A74" w:rsidRDefault="004D1935" w:rsidP="00E24DC9">
            <w:pPr>
              <w:jc w:val="center"/>
              <w:rPr>
                <w:color w:val="000000" w:themeColor="text1"/>
              </w:rPr>
            </w:pPr>
            <w:r w:rsidRPr="009C2A74">
              <w:rPr>
                <w:rFonts w:ascii="Verdana" w:hAnsi="Verdana" w:cs="Calibri"/>
                <w:color w:val="000000" w:themeColor="text1"/>
                <w:sz w:val="11"/>
                <w:szCs w:val="11"/>
              </w:rPr>
              <w:t>Glycerolipid metabolism/ Shikimate pathway/jasmonic acid biosynthesis/Riboflavin/Flavanone/Flavonoid biosynthesis/fatty acid biosynthesis</w:t>
            </w:r>
          </w:p>
          <w:p w14:paraId="6925D439" w14:textId="77777777" w:rsidR="004D1935" w:rsidRPr="009C2A74" w:rsidRDefault="004D1935" w:rsidP="00E24DC9">
            <w:pPr>
              <w:jc w:val="center"/>
              <w:rPr>
                <w:color w:val="000000" w:themeColor="text1"/>
              </w:rPr>
            </w:pPr>
            <w:r w:rsidRPr="009C2A74">
              <w:rPr>
                <w:rFonts w:ascii="Verdana" w:hAnsi="Verdana" w:cs="Calibri"/>
                <w:color w:val="000000" w:themeColor="text1"/>
                <w:sz w:val="11"/>
                <w:szCs w:val="11"/>
              </w:rPr>
              <w:t>Glycerolipid metabolism/ Shikimate pathway/jasmonic acid biosynthesis/Riboflavin/Flavanone/Flavonoid biosynthesis/fatty acid biosynthesis</w:t>
            </w:r>
          </w:p>
          <w:p w14:paraId="6B4B8205" w14:textId="77777777" w:rsidR="004D1935" w:rsidRPr="009C2A74" w:rsidRDefault="004D1935" w:rsidP="00E24DC9">
            <w:pPr>
              <w:jc w:val="center"/>
              <w:rPr>
                <w:color w:val="000000" w:themeColor="text1"/>
              </w:rPr>
            </w:pPr>
            <w:r w:rsidRPr="009C2A74">
              <w:rPr>
                <w:rFonts w:ascii="Verdana" w:hAnsi="Verdana" w:cs="Calibri"/>
                <w:color w:val="000000" w:themeColor="text1"/>
                <w:sz w:val="11"/>
                <w:szCs w:val="11"/>
              </w:rPr>
              <w:t>Glycerolipid metabolism/ Shikimate pathway/jasmonic acid biosynthesis/Riboflavin/Flavanone/Flavonoid biosynthesis/fatty acid biosynthesis</w:t>
            </w:r>
          </w:p>
          <w:p w14:paraId="4AC7E88F" w14:textId="77777777" w:rsidR="004D1935" w:rsidRPr="009C2A74" w:rsidRDefault="004D1935" w:rsidP="00E24DC9">
            <w:pPr>
              <w:jc w:val="center"/>
              <w:rPr>
                <w:color w:val="000000" w:themeColor="text1"/>
              </w:rPr>
            </w:pPr>
            <w:r w:rsidRPr="009C2A74">
              <w:rPr>
                <w:rFonts w:ascii="Verdana" w:hAnsi="Verdana" w:cs="Calibri"/>
                <w:color w:val="000000" w:themeColor="text1"/>
                <w:sz w:val="11"/>
                <w:szCs w:val="11"/>
              </w:rPr>
              <w:t>Biosynthesis of antibiotics/ Shikimate pathway/jasmonic acid biosynthesis/Riboflavin/Flavanone/Flavonoid biosynthesis</w:t>
            </w:r>
          </w:p>
        </w:tc>
      </w:tr>
      <w:tr w:rsidR="004D1935" w14:paraId="387FC9B4" w14:textId="77777777" w:rsidTr="00E24DC9">
        <w:tc>
          <w:tcPr>
            <w:tcW w:w="892" w:type="dxa"/>
            <w:vMerge/>
          </w:tcPr>
          <w:p w14:paraId="7517EB03" w14:textId="77777777" w:rsidR="004D1935" w:rsidRDefault="004D1935" w:rsidP="00E24DC9"/>
        </w:tc>
        <w:tc>
          <w:tcPr>
            <w:tcW w:w="1513" w:type="dxa"/>
            <w:tcBorders>
              <w:top w:val="nil"/>
              <w:bottom w:val="nil"/>
            </w:tcBorders>
            <w:vAlign w:val="center"/>
          </w:tcPr>
          <w:p w14:paraId="319FDA63" w14:textId="77777777" w:rsidR="004D1935" w:rsidRPr="00106291" w:rsidRDefault="004D1935" w:rsidP="00E24DC9">
            <w:pPr>
              <w:jc w:val="center"/>
              <w:rPr>
                <w:color w:val="000000" w:themeColor="text1"/>
                <w:sz w:val="15"/>
                <w:szCs w:val="15"/>
              </w:rPr>
            </w:pPr>
            <w:r w:rsidRPr="00106291">
              <w:rPr>
                <w:rFonts w:ascii="Calibri" w:hAnsi="Calibri" w:cs="Calibri"/>
                <w:color w:val="000000" w:themeColor="text1"/>
                <w:sz w:val="15"/>
                <w:szCs w:val="15"/>
              </w:rPr>
              <w:t>171.9333</w:t>
            </w:r>
          </w:p>
        </w:tc>
        <w:tc>
          <w:tcPr>
            <w:tcW w:w="2371" w:type="dxa"/>
            <w:vMerge/>
            <w:vAlign w:val="center"/>
          </w:tcPr>
          <w:p w14:paraId="5C89CB06" w14:textId="77777777" w:rsidR="004D1935" w:rsidRPr="009C2A74" w:rsidRDefault="004D1935" w:rsidP="00E24DC9">
            <w:pPr>
              <w:jc w:val="center"/>
              <w:rPr>
                <w:color w:val="000000" w:themeColor="text1"/>
              </w:rPr>
            </w:pPr>
          </w:p>
        </w:tc>
        <w:tc>
          <w:tcPr>
            <w:tcW w:w="1333" w:type="dxa"/>
            <w:vMerge/>
            <w:vAlign w:val="center"/>
          </w:tcPr>
          <w:p w14:paraId="2D3E94D3" w14:textId="77777777" w:rsidR="004D1935" w:rsidRPr="009C2A74" w:rsidRDefault="004D1935" w:rsidP="00E24DC9">
            <w:pPr>
              <w:jc w:val="center"/>
              <w:rPr>
                <w:color w:val="000000" w:themeColor="text1"/>
              </w:rPr>
            </w:pPr>
          </w:p>
        </w:tc>
        <w:tc>
          <w:tcPr>
            <w:tcW w:w="1365" w:type="dxa"/>
            <w:vMerge/>
            <w:vAlign w:val="center"/>
          </w:tcPr>
          <w:p w14:paraId="54E02EDA" w14:textId="77777777" w:rsidR="004D1935" w:rsidRPr="009C2A74" w:rsidRDefault="004D1935" w:rsidP="00E24DC9">
            <w:pPr>
              <w:jc w:val="center"/>
              <w:rPr>
                <w:color w:val="000000" w:themeColor="text1"/>
              </w:rPr>
            </w:pPr>
          </w:p>
        </w:tc>
        <w:tc>
          <w:tcPr>
            <w:tcW w:w="6271" w:type="dxa"/>
            <w:vMerge/>
            <w:vAlign w:val="center"/>
          </w:tcPr>
          <w:p w14:paraId="377256FC" w14:textId="77777777" w:rsidR="004D1935" w:rsidRPr="009C2A74" w:rsidRDefault="004D1935" w:rsidP="00E24DC9">
            <w:pPr>
              <w:jc w:val="center"/>
              <w:rPr>
                <w:color w:val="000000" w:themeColor="text1"/>
              </w:rPr>
            </w:pPr>
          </w:p>
        </w:tc>
      </w:tr>
      <w:tr w:rsidR="004D1935" w14:paraId="4B330F6A" w14:textId="77777777" w:rsidTr="00E24DC9">
        <w:tc>
          <w:tcPr>
            <w:tcW w:w="892" w:type="dxa"/>
            <w:vMerge/>
          </w:tcPr>
          <w:p w14:paraId="1969D529" w14:textId="77777777" w:rsidR="004D1935" w:rsidRDefault="004D1935" w:rsidP="00E24DC9"/>
        </w:tc>
        <w:tc>
          <w:tcPr>
            <w:tcW w:w="1513" w:type="dxa"/>
            <w:tcBorders>
              <w:top w:val="nil"/>
              <w:bottom w:val="nil"/>
            </w:tcBorders>
            <w:vAlign w:val="center"/>
          </w:tcPr>
          <w:p w14:paraId="0C234669" w14:textId="77777777" w:rsidR="004D1935" w:rsidRPr="00106291" w:rsidRDefault="004D1935" w:rsidP="00E24DC9">
            <w:pPr>
              <w:jc w:val="center"/>
              <w:rPr>
                <w:color w:val="000000" w:themeColor="text1"/>
                <w:sz w:val="15"/>
                <w:szCs w:val="15"/>
              </w:rPr>
            </w:pPr>
            <w:r w:rsidRPr="00106291">
              <w:rPr>
                <w:rFonts w:ascii="Calibri" w:hAnsi="Calibri" w:cs="Calibri"/>
                <w:color w:val="000000" w:themeColor="text1"/>
                <w:sz w:val="15"/>
                <w:szCs w:val="15"/>
              </w:rPr>
              <w:t>171.9620</w:t>
            </w:r>
          </w:p>
        </w:tc>
        <w:tc>
          <w:tcPr>
            <w:tcW w:w="2371" w:type="dxa"/>
            <w:vMerge/>
            <w:vAlign w:val="center"/>
          </w:tcPr>
          <w:p w14:paraId="4050ECAE" w14:textId="77777777" w:rsidR="004D1935" w:rsidRPr="009C2A74" w:rsidRDefault="004D1935" w:rsidP="00E24DC9">
            <w:pPr>
              <w:jc w:val="center"/>
              <w:rPr>
                <w:color w:val="000000" w:themeColor="text1"/>
              </w:rPr>
            </w:pPr>
          </w:p>
        </w:tc>
        <w:tc>
          <w:tcPr>
            <w:tcW w:w="1333" w:type="dxa"/>
            <w:vMerge/>
            <w:vAlign w:val="center"/>
          </w:tcPr>
          <w:p w14:paraId="7B94B470" w14:textId="77777777" w:rsidR="004D1935" w:rsidRPr="009C2A74" w:rsidRDefault="004D1935" w:rsidP="00E24DC9">
            <w:pPr>
              <w:jc w:val="center"/>
              <w:rPr>
                <w:color w:val="000000" w:themeColor="text1"/>
              </w:rPr>
            </w:pPr>
          </w:p>
        </w:tc>
        <w:tc>
          <w:tcPr>
            <w:tcW w:w="1365" w:type="dxa"/>
            <w:vMerge/>
            <w:vAlign w:val="center"/>
          </w:tcPr>
          <w:p w14:paraId="12DB15BD" w14:textId="77777777" w:rsidR="004D1935" w:rsidRPr="009C2A74" w:rsidRDefault="004D1935" w:rsidP="00E24DC9">
            <w:pPr>
              <w:jc w:val="center"/>
              <w:rPr>
                <w:color w:val="000000" w:themeColor="text1"/>
              </w:rPr>
            </w:pPr>
          </w:p>
        </w:tc>
        <w:tc>
          <w:tcPr>
            <w:tcW w:w="6271" w:type="dxa"/>
            <w:vMerge/>
            <w:vAlign w:val="center"/>
          </w:tcPr>
          <w:p w14:paraId="79DDC09C" w14:textId="77777777" w:rsidR="004D1935" w:rsidRPr="009C2A74" w:rsidRDefault="004D1935" w:rsidP="00E24DC9">
            <w:pPr>
              <w:jc w:val="center"/>
              <w:rPr>
                <w:color w:val="000000" w:themeColor="text1"/>
              </w:rPr>
            </w:pPr>
          </w:p>
        </w:tc>
      </w:tr>
      <w:tr w:rsidR="004D1935" w14:paraId="7B6E3417" w14:textId="77777777" w:rsidTr="00E24DC9">
        <w:tc>
          <w:tcPr>
            <w:tcW w:w="892" w:type="dxa"/>
            <w:vMerge/>
          </w:tcPr>
          <w:p w14:paraId="00E34155" w14:textId="77777777" w:rsidR="004D1935" w:rsidRDefault="004D1935" w:rsidP="00E24DC9"/>
        </w:tc>
        <w:tc>
          <w:tcPr>
            <w:tcW w:w="1513" w:type="dxa"/>
            <w:tcBorders>
              <w:top w:val="nil"/>
              <w:bottom w:val="nil"/>
            </w:tcBorders>
            <w:vAlign w:val="center"/>
          </w:tcPr>
          <w:p w14:paraId="294E1BF8" w14:textId="77777777" w:rsidR="004D1935" w:rsidRPr="00106291" w:rsidRDefault="004D1935" w:rsidP="00E24DC9">
            <w:pPr>
              <w:jc w:val="center"/>
              <w:rPr>
                <w:color w:val="000000" w:themeColor="text1"/>
                <w:sz w:val="15"/>
                <w:szCs w:val="15"/>
              </w:rPr>
            </w:pPr>
            <w:r w:rsidRPr="00106291">
              <w:rPr>
                <w:rFonts w:ascii="Calibri" w:hAnsi="Calibri" w:cs="Calibri"/>
                <w:color w:val="000000" w:themeColor="text1"/>
                <w:sz w:val="15"/>
                <w:szCs w:val="15"/>
              </w:rPr>
              <w:t>172.0041</w:t>
            </w:r>
          </w:p>
        </w:tc>
        <w:tc>
          <w:tcPr>
            <w:tcW w:w="2371" w:type="dxa"/>
            <w:vMerge/>
            <w:vAlign w:val="center"/>
          </w:tcPr>
          <w:p w14:paraId="3493B484" w14:textId="77777777" w:rsidR="004D1935" w:rsidRPr="009C2A74" w:rsidRDefault="004D1935" w:rsidP="00E24DC9">
            <w:pPr>
              <w:jc w:val="center"/>
              <w:rPr>
                <w:color w:val="000000" w:themeColor="text1"/>
              </w:rPr>
            </w:pPr>
          </w:p>
        </w:tc>
        <w:tc>
          <w:tcPr>
            <w:tcW w:w="1333" w:type="dxa"/>
            <w:vMerge/>
            <w:vAlign w:val="center"/>
          </w:tcPr>
          <w:p w14:paraId="2180EC82" w14:textId="77777777" w:rsidR="004D1935" w:rsidRPr="009C2A74" w:rsidRDefault="004D1935" w:rsidP="00E24DC9">
            <w:pPr>
              <w:jc w:val="center"/>
              <w:rPr>
                <w:color w:val="000000" w:themeColor="text1"/>
              </w:rPr>
            </w:pPr>
          </w:p>
        </w:tc>
        <w:tc>
          <w:tcPr>
            <w:tcW w:w="1365" w:type="dxa"/>
            <w:vMerge/>
            <w:vAlign w:val="center"/>
          </w:tcPr>
          <w:p w14:paraId="69FDEA10" w14:textId="77777777" w:rsidR="004D1935" w:rsidRPr="009C2A74" w:rsidRDefault="004D1935" w:rsidP="00E24DC9">
            <w:pPr>
              <w:jc w:val="center"/>
              <w:rPr>
                <w:color w:val="000000" w:themeColor="text1"/>
              </w:rPr>
            </w:pPr>
          </w:p>
        </w:tc>
        <w:tc>
          <w:tcPr>
            <w:tcW w:w="6271" w:type="dxa"/>
            <w:vMerge/>
            <w:vAlign w:val="center"/>
          </w:tcPr>
          <w:p w14:paraId="4D095E29" w14:textId="77777777" w:rsidR="004D1935" w:rsidRPr="009C2A74" w:rsidRDefault="004D1935" w:rsidP="00E24DC9">
            <w:pPr>
              <w:jc w:val="center"/>
              <w:rPr>
                <w:color w:val="000000" w:themeColor="text1"/>
              </w:rPr>
            </w:pPr>
          </w:p>
        </w:tc>
      </w:tr>
      <w:tr w:rsidR="004D1935" w14:paraId="5BDB9160" w14:textId="77777777" w:rsidTr="00E24DC9">
        <w:tc>
          <w:tcPr>
            <w:tcW w:w="892" w:type="dxa"/>
            <w:vMerge/>
          </w:tcPr>
          <w:p w14:paraId="4DD15775" w14:textId="77777777" w:rsidR="004D1935" w:rsidRDefault="004D1935" w:rsidP="00E24DC9"/>
        </w:tc>
        <w:tc>
          <w:tcPr>
            <w:tcW w:w="1513" w:type="dxa"/>
            <w:tcBorders>
              <w:top w:val="nil"/>
              <w:bottom w:val="nil"/>
            </w:tcBorders>
            <w:vAlign w:val="center"/>
          </w:tcPr>
          <w:p w14:paraId="7314FC24" w14:textId="77777777" w:rsidR="004D1935" w:rsidRPr="00106291" w:rsidRDefault="004D1935" w:rsidP="00E24DC9">
            <w:pPr>
              <w:jc w:val="center"/>
              <w:rPr>
                <w:color w:val="000000" w:themeColor="text1"/>
                <w:sz w:val="15"/>
                <w:szCs w:val="15"/>
              </w:rPr>
            </w:pPr>
            <w:r w:rsidRPr="00106291">
              <w:rPr>
                <w:rFonts w:ascii="Calibri" w:hAnsi="Calibri" w:cs="Calibri"/>
                <w:color w:val="000000" w:themeColor="text1"/>
                <w:sz w:val="15"/>
                <w:szCs w:val="15"/>
              </w:rPr>
              <w:t>172.0748</w:t>
            </w:r>
          </w:p>
        </w:tc>
        <w:tc>
          <w:tcPr>
            <w:tcW w:w="2371" w:type="dxa"/>
            <w:vMerge/>
            <w:vAlign w:val="center"/>
          </w:tcPr>
          <w:p w14:paraId="0719ECB7" w14:textId="77777777" w:rsidR="004D1935" w:rsidRPr="009C2A74" w:rsidRDefault="004D1935" w:rsidP="00E24DC9">
            <w:pPr>
              <w:jc w:val="center"/>
              <w:rPr>
                <w:color w:val="000000" w:themeColor="text1"/>
              </w:rPr>
            </w:pPr>
          </w:p>
        </w:tc>
        <w:tc>
          <w:tcPr>
            <w:tcW w:w="1333" w:type="dxa"/>
            <w:vMerge/>
            <w:vAlign w:val="center"/>
          </w:tcPr>
          <w:p w14:paraId="089AD0DF" w14:textId="77777777" w:rsidR="004D1935" w:rsidRPr="009C2A74" w:rsidRDefault="004D1935" w:rsidP="00E24DC9">
            <w:pPr>
              <w:jc w:val="center"/>
              <w:rPr>
                <w:color w:val="000000" w:themeColor="text1"/>
              </w:rPr>
            </w:pPr>
          </w:p>
        </w:tc>
        <w:tc>
          <w:tcPr>
            <w:tcW w:w="1365" w:type="dxa"/>
            <w:vMerge/>
            <w:vAlign w:val="center"/>
          </w:tcPr>
          <w:p w14:paraId="364BAAD1" w14:textId="77777777" w:rsidR="004D1935" w:rsidRPr="009C2A74" w:rsidRDefault="004D1935" w:rsidP="00E24DC9">
            <w:pPr>
              <w:jc w:val="center"/>
              <w:rPr>
                <w:color w:val="000000" w:themeColor="text1"/>
              </w:rPr>
            </w:pPr>
          </w:p>
        </w:tc>
        <w:tc>
          <w:tcPr>
            <w:tcW w:w="6271" w:type="dxa"/>
            <w:vMerge/>
            <w:vAlign w:val="center"/>
          </w:tcPr>
          <w:p w14:paraId="0FE4E96C" w14:textId="77777777" w:rsidR="004D1935" w:rsidRPr="009C2A74" w:rsidRDefault="004D1935" w:rsidP="00E24DC9">
            <w:pPr>
              <w:jc w:val="center"/>
              <w:rPr>
                <w:color w:val="000000" w:themeColor="text1"/>
              </w:rPr>
            </w:pPr>
          </w:p>
        </w:tc>
      </w:tr>
      <w:tr w:rsidR="004D1935" w14:paraId="75B99C6A" w14:textId="77777777" w:rsidTr="00E24DC9">
        <w:tc>
          <w:tcPr>
            <w:tcW w:w="892" w:type="dxa"/>
            <w:vMerge/>
          </w:tcPr>
          <w:p w14:paraId="1164F21C" w14:textId="77777777" w:rsidR="004D1935" w:rsidRDefault="004D1935" w:rsidP="00E24DC9"/>
        </w:tc>
        <w:tc>
          <w:tcPr>
            <w:tcW w:w="1513" w:type="dxa"/>
            <w:tcBorders>
              <w:top w:val="nil"/>
              <w:bottom w:val="nil"/>
            </w:tcBorders>
            <w:vAlign w:val="center"/>
          </w:tcPr>
          <w:p w14:paraId="68A8D4AA" w14:textId="77777777" w:rsidR="004D1935" w:rsidRPr="00106291" w:rsidRDefault="004D1935" w:rsidP="00E24DC9">
            <w:pPr>
              <w:jc w:val="center"/>
              <w:rPr>
                <w:color w:val="000000" w:themeColor="text1"/>
                <w:sz w:val="15"/>
                <w:szCs w:val="15"/>
              </w:rPr>
            </w:pPr>
            <w:r w:rsidRPr="00106291">
              <w:rPr>
                <w:rFonts w:ascii="Calibri" w:hAnsi="Calibri" w:cs="Calibri"/>
                <w:color w:val="000000" w:themeColor="text1"/>
                <w:sz w:val="15"/>
                <w:szCs w:val="15"/>
              </w:rPr>
              <w:t>171.9104</w:t>
            </w:r>
          </w:p>
        </w:tc>
        <w:tc>
          <w:tcPr>
            <w:tcW w:w="2371" w:type="dxa"/>
            <w:vMerge/>
            <w:vAlign w:val="center"/>
          </w:tcPr>
          <w:p w14:paraId="2FF37C50" w14:textId="77777777" w:rsidR="004D1935" w:rsidRPr="009C2A74" w:rsidRDefault="004D1935" w:rsidP="00E24DC9">
            <w:pPr>
              <w:jc w:val="center"/>
              <w:rPr>
                <w:color w:val="000000" w:themeColor="text1"/>
              </w:rPr>
            </w:pPr>
          </w:p>
        </w:tc>
        <w:tc>
          <w:tcPr>
            <w:tcW w:w="1333" w:type="dxa"/>
            <w:vMerge/>
            <w:vAlign w:val="center"/>
          </w:tcPr>
          <w:p w14:paraId="2AF4DAE3" w14:textId="77777777" w:rsidR="004D1935" w:rsidRPr="009C2A74" w:rsidRDefault="004D1935" w:rsidP="00E24DC9">
            <w:pPr>
              <w:jc w:val="center"/>
              <w:rPr>
                <w:color w:val="000000" w:themeColor="text1"/>
              </w:rPr>
            </w:pPr>
          </w:p>
        </w:tc>
        <w:tc>
          <w:tcPr>
            <w:tcW w:w="1365" w:type="dxa"/>
            <w:vMerge/>
            <w:vAlign w:val="center"/>
          </w:tcPr>
          <w:p w14:paraId="0E7DF76E" w14:textId="77777777" w:rsidR="004D1935" w:rsidRPr="009C2A74" w:rsidRDefault="004D1935" w:rsidP="00E24DC9">
            <w:pPr>
              <w:jc w:val="center"/>
              <w:rPr>
                <w:color w:val="000000" w:themeColor="text1"/>
              </w:rPr>
            </w:pPr>
          </w:p>
        </w:tc>
        <w:tc>
          <w:tcPr>
            <w:tcW w:w="6271" w:type="dxa"/>
            <w:vMerge/>
            <w:vAlign w:val="center"/>
          </w:tcPr>
          <w:p w14:paraId="1189FCF2" w14:textId="77777777" w:rsidR="004D1935" w:rsidRPr="009C2A74" w:rsidRDefault="004D1935" w:rsidP="00E24DC9">
            <w:pPr>
              <w:jc w:val="center"/>
              <w:rPr>
                <w:color w:val="000000" w:themeColor="text1"/>
              </w:rPr>
            </w:pPr>
          </w:p>
        </w:tc>
      </w:tr>
      <w:tr w:rsidR="004D1935" w14:paraId="6CC8444B" w14:textId="77777777" w:rsidTr="00E24DC9">
        <w:tc>
          <w:tcPr>
            <w:tcW w:w="892" w:type="dxa"/>
            <w:vMerge/>
          </w:tcPr>
          <w:p w14:paraId="6CB279CD" w14:textId="77777777" w:rsidR="004D1935" w:rsidRDefault="004D1935" w:rsidP="00E24DC9"/>
        </w:tc>
        <w:tc>
          <w:tcPr>
            <w:tcW w:w="1513" w:type="dxa"/>
            <w:tcBorders>
              <w:top w:val="nil"/>
              <w:bottom w:val="nil"/>
            </w:tcBorders>
            <w:vAlign w:val="center"/>
          </w:tcPr>
          <w:p w14:paraId="15F7B1E0" w14:textId="77777777" w:rsidR="004D1935" w:rsidRPr="00106291" w:rsidRDefault="004D1935" w:rsidP="00E24DC9">
            <w:pPr>
              <w:jc w:val="center"/>
              <w:rPr>
                <w:color w:val="000000" w:themeColor="text1"/>
                <w:sz w:val="15"/>
                <w:szCs w:val="15"/>
              </w:rPr>
            </w:pPr>
            <w:r w:rsidRPr="00106291">
              <w:rPr>
                <w:rFonts w:ascii="Calibri" w:hAnsi="Calibri" w:cs="Calibri"/>
                <w:color w:val="000000" w:themeColor="text1"/>
                <w:sz w:val="15"/>
                <w:szCs w:val="15"/>
              </w:rPr>
              <w:t>171.9400</w:t>
            </w:r>
          </w:p>
        </w:tc>
        <w:tc>
          <w:tcPr>
            <w:tcW w:w="2371" w:type="dxa"/>
            <w:vMerge/>
            <w:vAlign w:val="center"/>
          </w:tcPr>
          <w:p w14:paraId="5A6F905A" w14:textId="77777777" w:rsidR="004D1935" w:rsidRPr="009C2A74" w:rsidRDefault="004D1935" w:rsidP="00E24DC9">
            <w:pPr>
              <w:jc w:val="center"/>
              <w:rPr>
                <w:color w:val="000000" w:themeColor="text1"/>
              </w:rPr>
            </w:pPr>
          </w:p>
        </w:tc>
        <w:tc>
          <w:tcPr>
            <w:tcW w:w="1333" w:type="dxa"/>
            <w:vMerge/>
            <w:vAlign w:val="center"/>
          </w:tcPr>
          <w:p w14:paraId="0501AC75" w14:textId="77777777" w:rsidR="004D1935" w:rsidRPr="009C2A74" w:rsidRDefault="004D1935" w:rsidP="00E24DC9">
            <w:pPr>
              <w:jc w:val="center"/>
              <w:rPr>
                <w:color w:val="000000" w:themeColor="text1"/>
              </w:rPr>
            </w:pPr>
          </w:p>
        </w:tc>
        <w:tc>
          <w:tcPr>
            <w:tcW w:w="1365" w:type="dxa"/>
            <w:vMerge/>
            <w:vAlign w:val="center"/>
          </w:tcPr>
          <w:p w14:paraId="2C41BD3A" w14:textId="77777777" w:rsidR="004D1935" w:rsidRPr="009C2A74" w:rsidRDefault="004D1935" w:rsidP="00E24DC9">
            <w:pPr>
              <w:jc w:val="center"/>
              <w:rPr>
                <w:color w:val="000000" w:themeColor="text1"/>
              </w:rPr>
            </w:pPr>
          </w:p>
        </w:tc>
        <w:tc>
          <w:tcPr>
            <w:tcW w:w="6271" w:type="dxa"/>
            <w:vMerge/>
            <w:vAlign w:val="center"/>
          </w:tcPr>
          <w:p w14:paraId="710520CD" w14:textId="77777777" w:rsidR="004D1935" w:rsidRPr="009C2A74" w:rsidRDefault="004D1935" w:rsidP="00E24DC9">
            <w:pPr>
              <w:jc w:val="center"/>
              <w:rPr>
                <w:color w:val="000000" w:themeColor="text1"/>
              </w:rPr>
            </w:pPr>
          </w:p>
        </w:tc>
      </w:tr>
      <w:tr w:rsidR="004D1935" w14:paraId="28101E93" w14:textId="77777777" w:rsidTr="00E24DC9">
        <w:tc>
          <w:tcPr>
            <w:tcW w:w="892" w:type="dxa"/>
            <w:vMerge/>
          </w:tcPr>
          <w:p w14:paraId="59F0D9C5" w14:textId="77777777" w:rsidR="004D1935" w:rsidRDefault="004D1935" w:rsidP="00E24DC9"/>
        </w:tc>
        <w:tc>
          <w:tcPr>
            <w:tcW w:w="1513" w:type="dxa"/>
            <w:tcBorders>
              <w:top w:val="nil"/>
              <w:bottom w:val="nil"/>
            </w:tcBorders>
            <w:vAlign w:val="center"/>
          </w:tcPr>
          <w:p w14:paraId="07DF4365" w14:textId="77777777" w:rsidR="004D1935" w:rsidRPr="00106291" w:rsidRDefault="004D1935" w:rsidP="00E24DC9">
            <w:pPr>
              <w:jc w:val="center"/>
              <w:rPr>
                <w:color w:val="000000" w:themeColor="text1"/>
                <w:sz w:val="15"/>
                <w:szCs w:val="15"/>
              </w:rPr>
            </w:pPr>
            <w:r w:rsidRPr="00106291">
              <w:rPr>
                <w:rFonts w:ascii="Calibri" w:hAnsi="Calibri" w:cs="Calibri"/>
                <w:color w:val="000000" w:themeColor="text1"/>
                <w:sz w:val="15"/>
                <w:szCs w:val="15"/>
              </w:rPr>
              <w:t>171.9696</w:t>
            </w:r>
          </w:p>
        </w:tc>
        <w:tc>
          <w:tcPr>
            <w:tcW w:w="2371" w:type="dxa"/>
            <w:vMerge/>
            <w:vAlign w:val="center"/>
          </w:tcPr>
          <w:p w14:paraId="1B293197" w14:textId="77777777" w:rsidR="004D1935" w:rsidRPr="009C2A74" w:rsidRDefault="004D1935" w:rsidP="00E24DC9">
            <w:pPr>
              <w:jc w:val="center"/>
              <w:rPr>
                <w:color w:val="000000" w:themeColor="text1"/>
              </w:rPr>
            </w:pPr>
          </w:p>
        </w:tc>
        <w:tc>
          <w:tcPr>
            <w:tcW w:w="1333" w:type="dxa"/>
            <w:vMerge/>
            <w:vAlign w:val="center"/>
          </w:tcPr>
          <w:p w14:paraId="166034AA" w14:textId="77777777" w:rsidR="004D1935" w:rsidRPr="009C2A74" w:rsidRDefault="004D1935" w:rsidP="00E24DC9">
            <w:pPr>
              <w:jc w:val="center"/>
              <w:rPr>
                <w:color w:val="000000" w:themeColor="text1"/>
              </w:rPr>
            </w:pPr>
          </w:p>
        </w:tc>
        <w:tc>
          <w:tcPr>
            <w:tcW w:w="1365" w:type="dxa"/>
            <w:vMerge/>
            <w:vAlign w:val="center"/>
          </w:tcPr>
          <w:p w14:paraId="03D12A30" w14:textId="77777777" w:rsidR="004D1935" w:rsidRPr="009C2A74" w:rsidRDefault="004D1935" w:rsidP="00E24DC9">
            <w:pPr>
              <w:jc w:val="center"/>
              <w:rPr>
                <w:color w:val="000000" w:themeColor="text1"/>
              </w:rPr>
            </w:pPr>
          </w:p>
        </w:tc>
        <w:tc>
          <w:tcPr>
            <w:tcW w:w="6271" w:type="dxa"/>
            <w:vMerge/>
            <w:vAlign w:val="center"/>
          </w:tcPr>
          <w:p w14:paraId="0A4C3168" w14:textId="77777777" w:rsidR="004D1935" w:rsidRPr="009C2A74" w:rsidRDefault="004D1935" w:rsidP="00E24DC9">
            <w:pPr>
              <w:jc w:val="center"/>
              <w:rPr>
                <w:color w:val="000000" w:themeColor="text1"/>
              </w:rPr>
            </w:pPr>
          </w:p>
        </w:tc>
      </w:tr>
      <w:tr w:rsidR="004D1935" w14:paraId="58EC5948" w14:textId="77777777" w:rsidTr="00E24DC9">
        <w:tc>
          <w:tcPr>
            <w:tcW w:w="892" w:type="dxa"/>
            <w:vMerge/>
          </w:tcPr>
          <w:p w14:paraId="0D71C54C" w14:textId="77777777" w:rsidR="004D1935" w:rsidRDefault="004D1935" w:rsidP="00E24DC9"/>
        </w:tc>
        <w:tc>
          <w:tcPr>
            <w:tcW w:w="1513" w:type="dxa"/>
            <w:tcBorders>
              <w:top w:val="nil"/>
              <w:bottom w:val="nil"/>
            </w:tcBorders>
            <w:vAlign w:val="center"/>
          </w:tcPr>
          <w:p w14:paraId="60AAAA8E" w14:textId="77777777" w:rsidR="004D1935" w:rsidRPr="00106291" w:rsidRDefault="004D1935" w:rsidP="00E24DC9">
            <w:pPr>
              <w:jc w:val="center"/>
              <w:rPr>
                <w:color w:val="000000" w:themeColor="text1"/>
                <w:sz w:val="15"/>
                <w:szCs w:val="15"/>
              </w:rPr>
            </w:pPr>
            <w:r w:rsidRPr="00106291">
              <w:rPr>
                <w:rFonts w:ascii="Calibri" w:hAnsi="Calibri" w:cs="Calibri"/>
                <w:color w:val="000000" w:themeColor="text1"/>
                <w:sz w:val="15"/>
                <w:szCs w:val="15"/>
              </w:rPr>
              <w:t>172.0079</w:t>
            </w:r>
          </w:p>
        </w:tc>
        <w:tc>
          <w:tcPr>
            <w:tcW w:w="2371" w:type="dxa"/>
            <w:vMerge/>
            <w:vAlign w:val="center"/>
          </w:tcPr>
          <w:p w14:paraId="0E5E0166" w14:textId="77777777" w:rsidR="004D1935" w:rsidRPr="009C2A74" w:rsidRDefault="004D1935" w:rsidP="00E24DC9">
            <w:pPr>
              <w:jc w:val="center"/>
              <w:rPr>
                <w:color w:val="000000" w:themeColor="text1"/>
              </w:rPr>
            </w:pPr>
          </w:p>
        </w:tc>
        <w:tc>
          <w:tcPr>
            <w:tcW w:w="1333" w:type="dxa"/>
            <w:vMerge/>
            <w:vAlign w:val="center"/>
          </w:tcPr>
          <w:p w14:paraId="47686A8A" w14:textId="77777777" w:rsidR="004D1935" w:rsidRPr="009C2A74" w:rsidRDefault="004D1935" w:rsidP="00E24DC9">
            <w:pPr>
              <w:jc w:val="center"/>
              <w:rPr>
                <w:color w:val="000000" w:themeColor="text1"/>
              </w:rPr>
            </w:pPr>
          </w:p>
        </w:tc>
        <w:tc>
          <w:tcPr>
            <w:tcW w:w="1365" w:type="dxa"/>
            <w:vMerge/>
            <w:vAlign w:val="center"/>
          </w:tcPr>
          <w:p w14:paraId="0BCC0ABA" w14:textId="77777777" w:rsidR="004D1935" w:rsidRPr="009C2A74" w:rsidRDefault="004D1935" w:rsidP="00E24DC9">
            <w:pPr>
              <w:jc w:val="center"/>
              <w:rPr>
                <w:color w:val="000000" w:themeColor="text1"/>
              </w:rPr>
            </w:pPr>
          </w:p>
        </w:tc>
        <w:tc>
          <w:tcPr>
            <w:tcW w:w="6271" w:type="dxa"/>
            <w:vMerge/>
            <w:vAlign w:val="center"/>
          </w:tcPr>
          <w:p w14:paraId="2DC425D6" w14:textId="77777777" w:rsidR="004D1935" w:rsidRPr="009C2A74" w:rsidRDefault="004D1935" w:rsidP="00E24DC9">
            <w:pPr>
              <w:jc w:val="center"/>
              <w:rPr>
                <w:color w:val="000000" w:themeColor="text1"/>
              </w:rPr>
            </w:pPr>
          </w:p>
        </w:tc>
      </w:tr>
      <w:tr w:rsidR="004D1935" w14:paraId="5D54DF62" w14:textId="77777777" w:rsidTr="00E24DC9">
        <w:tc>
          <w:tcPr>
            <w:tcW w:w="892" w:type="dxa"/>
            <w:vMerge/>
          </w:tcPr>
          <w:p w14:paraId="7E2A177D" w14:textId="77777777" w:rsidR="004D1935" w:rsidRDefault="004D1935" w:rsidP="00E24DC9"/>
        </w:tc>
        <w:tc>
          <w:tcPr>
            <w:tcW w:w="1513" w:type="dxa"/>
            <w:tcBorders>
              <w:top w:val="nil"/>
              <w:bottom w:val="nil"/>
            </w:tcBorders>
            <w:vAlign w:val="center"/>
          </w:tcPr>
          <w:p w14:paraId="2FD40BAD" w14:textId="77777777" w:rsidR="004D1935" w:rsidRPr="00106291" w:rsidRDefault="004D1935" w:rsidP="00E24DC9">
            <w:pPr>
              <w:jc w:val="center"/>
              <w:rPr>
                <w:color w:val="000000" w:themeColor="text1"/>
                <w:sz w:val="15"/>
                <w:szCs w:val="15"/>
              </w:rPr>
            </w:pPr>
            <w:r w:rsidRPr="00106291">
              <w:rPr>
                <w:rFonts w:ascii="Calibri" w:hAnsi="Calibri" w:cs="Calibri"/>
                <w:color w:val="000000" w:themeColor="text1"/>
                <w:sz w:val="15"/>
                <w:szCs w:val="15"/>
              </w:rPr>
              <w:t>172.0461</w:t>
            </w:r>
          </w:p>
        </w:tc>
        <w:tc>
          <w:tcPr>
            <w:tcW w:w="2371" w:type="dxa"/>
            <w:vMerge/>
            <w:vAlign w:val="center"/>
          </w:tcPr>
          <w:p w14:paraId="74D0A9A9" w14:textId="77777777" w:rsidR="004D1935" w:rsidRPr="009C2A74" w:rsidRDefault="004D1935" w:rsidP="00E24DC9">
            <w:pPr>
              <w:jc w:val="center"/>
              <w:rPr>
                <w:color w:val="000000" w:themeColor="text1"/>
              </w:rPr>
            </w:pPr>
          </w:p>
        </w:tc>
        <w:tc>
          <w:tcPr>
            <w:tcW w:w="1333" w:type="dxa"/>
            <w:vMerge/>
            <w:vAlign w:val="center"/>
          </w:tcPr>
          <w:p w14:paraId="0409B2FB" w14:textId="77777777" w:rsidR="004D1935" w:rsidRPr="009C2A74" w:rsidRDefault="004D1935" w:rsidP="00E24DC9">
            <w:pPr>
              <w:jc w:val="center"/>
              <w:rPr>
                <w:color w:val="000000" w:themeColor="text1"/>
              </w:rPr>
            </w:pPr>
          </w:p>
        </w:tc>
        <w:tc>
          <w:tcPr>
            <w:tcW w:w="1365" w:type="dxa"/>
            <w:vMerge/>
            <w:vAlign w:val="center"/>
          </w:tcPr>
          <w:p w14:paraId="032400F5" w14:textId="77777777" w:rsidR="004D1935" w:rsidRPr="009C2A74" w:rsidRDefault="004D1935" w:rsidP="00E24DC9">
            <w:pPr>
              <w:jc w:val="center"/>
              <w:rPr>
                <w:color w:val="000000" w:themeColor="text1"/>
              </w:rPr>
            </w:pPr>
          </w:p>
        </w:tc>
        <w:tc>
          <w:tcPr>
            <w:tcW w:w="6271" w:type="dxa"/>
            <w:vMerge/>
            <w:vAlign w:val="center"/>
          </w:tcPr>
          <w:p w14:paraId="17456C35" w14:textId="77777777" w:rsidR="004D1935" w:rsidRPr="009C2A74" w:rsidRDefault="004D1935" w:rsidP="00E24DC9">
            <w:pPr>
              <w:jc w:val="center"/>
              <w:rPr>
                <w:color w:val="000000" w:themeColor="text1"/>
              </w:rPr>
            </w:pPr>
          </w:p>
        </w:tc>
      </w:tr>
      <w:tr w:rsidR="004D1935" w14:paraId="568B786B" w14:textId="77777777" w:rsidTr="00E24DC9">
        <w:tc>
          <w:tcPr>
            <w:tcW w:w="892" w:type="dxa"/>
            <w:vMerge/>
          </w:tcPr>
          <w:p w14:paraId="1C0A90F0" w14:textId="77777777" w:rsidR="004D1935" w:rsidRDefault="004D1935" w:rsidP="00E24DC9"/>
        </w:tc>
        <w:tc>
          <w:tcPr>
            <w:tcW w:w="1513" w:type="dxa"/>
            <w:tcBorders>
              <w:top w:val="nil"/>
              <w:bottom w:val="nil"/>
            </w:tcBorders>
            <w:vAlign w:val="center"/>
          </w:tcPr>
          <w:p w14:paraId="5C6714F6" w14:textId="77777777" w:rsidR="004D1935" w:rsidRPr="00106291" w:rsidRDefault="004D1935" w:rsidP="00E24DC9">
            <w:pPr>
              <w:jc w:val="center"/>
              <w:rPr>
                <w:color w:val="000000" w:themeColor="text1"/>
                <w:sz w:val="15"/>
                <w:szCs w:val="15"/>
              </w:rPr>
            </w:pPr>
            <w:r w:rsidRPr="00106291">
              <w:rPr>
                <w:rFonts w:ascii="Calibri" w:hAnsi="Calibri" w:cs="Calibri"/>
                <w:color w:val="000000" w:themeColor="text1"/>
                <w:sz w:val="15"/>
                <w:szCs w:val="15"/>
              </w:rPr>
              <w:t>172.0767</w:t>
            </w:r>
          </w:p>
        </w:tc>
        <w:tc>
          <w:tcPr>
            <w:tcW w:w="2371" w:type="dxa"/>
            <w:vMerge/>
            <w:vAlign w:val="center"/>
          </w:tcPr>
          <w:p w14:paraId="799C1008" w14:textId="77777777" w:rsidR="004D1935" w:rsidRPr="009C2A74" w:rsidRDefault="004D1935" w:rsidP="00E24DC9">
            <w:pPr>
              <w:jc w:val="center"/>
              <w:rPr>
                <w:color w:val="000000" w:themeColor="text1"/>
              </w:rPr>
            </w:pPr>
          </w:p>
        </w:tc>
        <w:tc>
          <w:tcPr>
            <w:tcW w:w="1333" w:type="dxa"/>
            <w:vMerge/>
            <w:vAlign w:val="center"/>
          </w:tcPr>
          <w:p w14:paraId="73200DF8" w14:textId="77777777" w:rsidR="004D1935" w:rsidRPr="009C2A74" w:rsidRDefault="004D1935" w:rsidP="00E24DC9">
            <w:pPr>
              <w:jc w:val="center"/>
              <w:rPr>
                <w:color w:val="000000" w:themeColor="text1"/>
              </w:rPr>
            </w:pPr>
          </w:p>
        </w:tc>
        <w:tc>
          <w:tcPr>
            <w:tcW w:w="1365" w:type="dxa"/>
            <w:vMerge/>
            <w:vAlign w:val="center"/>
          </w:tcPr>
          <w:p w14:paraId="2FC4E818" w14:textId="77777777" w:rsidR="004D1935" w:rsidRPr="009C2A74" w:rsidRDefault="004D1935" w:rsidP="00E24DC9">
            <w:pPr>
              <w:jc w:val="center"/>
              <w:rPr>
                <w:color w:val="000000" w:themeColor="text1"/>
              </w:rPr>
            </w:pPr>
          </w:p>
        </w:tc>
        <w:tc>
          <w:tcPr>
            <w:tcW w:w="6271" w:type="dxa"/>
            <w:vMerge/>
            <w:vAlign w:val="center"/>
          </w:tcPr>
          <w:p w14:paraId="3008A415" w14:textId="77777777" w:rsidR="004D1935" w:rsidRPr="009C2A74" w:rsidRDefault="004D1935" w:rsidP="00E24DC9">
            <w:pPr>
              <w:jc w:val="center"/>
              <w:rPr>
                <w:color w:val="000000" w:themeColor="text1"/>
              </w:rPr>
            </w:pPr>
          </w:p>
        </w:tc>
      </w:tr>
      <w:tr w:rsidR="004D1935" w14:paraId="20CA8C04" w14:textId="77777777" w:rsidTr="00E24DC9">
        <w:tc>
          <w:tcPr>
            <w:tcW w:w="892" w:type="dxa"/>
            <w:vMerge/>
          </w:tcPr>
          <w:p w14:paraId="3F9782F4" w14:textId="77777777" w:rsidR="004D1935" w:rsidRDefault="004D1935" w:rsidP="00E24DC9"/>
        </w:tc>
        <w:tc>
          <w:tcPr>
            <w:tcW w:w="1513" w:type="dxa"/>
            <w:tcBorders>
              <w:top w:val="nil"/>
              <w:bottom w:val="nil"/>
            </w:tcBorders>
            <w:vAlign w:val="center"/>
          </w:tcPr>
          <w:p w14:paraId="32879B90" w14:textId="77777777" w:rsidR="004D1935" w:rsidRPr="00106291" w:rsidRDefault="004D1935" w:rsidP="00E24DC9">
            <w:pPr>
              <w:jc w:val="center"/>
              <w:rPr>
                <w:color w:val="000000" w:themeColor="text1"/>
                <w:sz w:val="15"/>
                <w:szCs w:val="15"/>
              </w:rPr>
            </w:pPr>
            <w:r w:rsidRPr="00106291">
              <w:rPr>
                <w:rFonts w:ascii="Calibri" w:hAnsi="Calibri" w:cs="Calibri"/>
                <w:color w:val="000000" w:themeColor="text1"/>
                <w:sz w:val="15"/>
                <w:szCs w:val="15"/>
              </w:rPr>
              <w:t>171.9180</w:t>
            </w:r>
          </w:p>
        </w:tc>
        <w:tc>
          <w:tcPr>
            <w:tcW w:w="2371" w:type="dxa"/>
            <w:vMerge/>
            <w:vAlign w:val="center"/>
          </w:tcPr>
          <w:p w14:paraId="1767C3BF" w14:textId="77777777" w:rsidR="004D1935" w:rsidRPr="009C2A74" w:rsidRDefault="004D1935" w:rsidP="00E24DC9">
            <w:pPr>
              <w:jc w:val="center"/>
              <w:rPr>
                <w:color w:val="000000" w:themeColor="text1"/>
              </w:rPr>
            </w:pPr>
          </w:p>
        </w:tc>
        <w:tc>
          <w:tcPr>
            <w:tcW w:w="1333" w:type="dxa"/>
            <w:vMerge/>
            <w:vAlign w:val="center"/>
          </w:tcPr>
          <w:p w14:paraId="02CD4777" w14:textId="77777777" w:rsidR="004D1935" w:rsidRPr="009C2A74" w:rsidRDefault="004D1935" w:rsidP="00E24DC9">
            <w:pPr>
              <w:jc w:val="center"/>
              <w:rPr>
                <w:color w:val="000000" w:themeColor="text1"/>
              </w:rPr>
            </w:pPr>
          </w:p>
        </w:tc>
        <w:tc>
          <w:tcPr>
            <w:tcW w:w="1365" w:type="dxa"/>
            <w:vMerge/>
            <w:vAlign w:val="center"/>
          </w:tcPr>
          <w:p w14:paraId="183B41E0" w14:textId="77777777" w:rsidR="004D1935" w:rsidRPr="009C2A74" w:rsidRDefault="004D1935" w:rsidP="00E24DC9">
            <w:pPr>
              <w:jc w:val="center"/>
              <w:rPr>
                <w:color w:val="000000" w:themeColor="text1"/>
              </w:rPr>
            </w:pPr>
          </w:p>
        </w:tc>
        <w:tc>
          <w:tcPr>
            <w:tcW w:w="6271" w:type="dxa"/>
            <w:vMerge/>
            <w:vAlign w:val="center"/>
          </w:tcPr>
          <w:p w14:paraId="345AF735" w14:textId="77777777" w:rsidR="004D1935" w:rsidRPr="009C2A74" w:rsidRDefault="004D1935" w:rsidP="00E24DC9">
            <w:pPr>
              <w:jc w:val="center"/>
              <w:rPr>
                <w:color w:val="000000" w:themeColor="text1"/>
              </w:rPr>
            </w:pPr>
          </w:p>
        </w:tc>
      </w:tr>
      <w:tr w:rsidR="004D1935" w14:paraId="17C7D22C" w14:textId="77777777" w:rsidTr="00E24DC9">
        <w:tc>
          <w:tcPr>
            <w:tcW w:w="892" w:type="dxa"/>
            <w:vMerge/>
          </w:tcPr>
          <w:p w14:paraId="156A2E2D" w14:textId="77777777" w:rsidR="004D1935" w:rsidRDefault="004D1935" w:rsidP="00E24DC9"/>
        </w:tc>
        <w:tc>
          <w:tcPr>
            <w:tcW w:w="1513" w:type="dxa"/>
            <w:tcBorders>
              <w:top w:val="nil"/>
              <w:bottom w:val="nil"/>
            </w:tcBorders>
            <w:vAlign w:val="center"/>
          </w:tcPr>
          <w:p w14:paraId="257A3B15" w14:textId="77777777" w:rsidR="004D1935" w:rsidRPr="00106291" w:rsidRDefault="004D1935" w:rsidP="00E24DC9">
            <w:pPr>
              <w:jc w:val="center"/>
              <w:rPr>
                <w:color w:val="000000" w:themeColor="text1"/>
                <w:sz w:val="15"/>
                <w:szCs w:val="15"/>
              </w:rPr>
            </w:pPr>
            <w:r w:rsidRPr="00106291">
              <w:rPr>
                <w:rFonts w:ascii="Calibri" w:hAnsi="Calibri" w:cs="Calibri"/>
                <w:color w:val="000000" w:themeColor="text1"/>
                <w:sz w:val="15"/>
                <w:szCs w:val="15"/>
              </w:rPr>
              <w:t>171.9677</w:t>
            </w:r>
          </w:p>
        </w:tc>
        <w:tc>
          <w:tcPr>
            <w:tcW w:w="2371" w:type="dxa"/>
            <w:vMerge/>
            <w:vAlign w:val="center"/>
          </w:tcPr>
          <w:p w14:paraId="5D395A16" w14:textId="77777777" w:rsidR="004D1935" w:rsidRPr="009C2A74" w:rsidRDefault="004D1935" w:rsidP="00E24DC9">
            <w:pPr>
              <w:jc w:val="center"/>
              <w:rPr>
                <w:color w:val="000000" w:themeColor="text1"/>
              </w:rPr>
            </w:pPr>
          </w:p>
        </w:tc>
        <w:tc>
          <w:tcPr>
            <w:tcW w:w="1333" w:type="dxa"/>
            <w:vMerge/>
            <w:vAlign w:val="center"/>
          </w:tcPr>
          <w:p w14:paraId="7C41E670" w14:textId="77777777" w:rsidR="004D1935" w:rsidRPr="009C2A74" w:rsidRDefault="004D1935" w:rsidP="00E24DC9">
            <w:pPr>
              <w:jc w:val="center"/>
              <w:rPr>
                <w:color w:val="000000" w:themeColor="text1"/>
              </w:rPr>
            </w:pPr>
          </w:p>
        </w:tc>
        <w:tc>
          <w:tcPr>
            <w:tcW w:w="1365" w:type="dxa"/>
            <w:vMerge/>
            <w:vAlign w:val="center"/>
          </w:tcPr>
          <w:p w14:paraId="07325ED6" w14:textId="77777777" w:rsidR="004D1935" w:rsidRPr="009C2A74" w:rsidRDefault="004D1935" w:rsidP="00E24DC9">
            <w:pPr>
              <w:jc w:val="center"/>
              <w:rPr>
                <w:color w:val="000000" w:themeColor="text1"/>
              </w:rPr>
            </w:pPr>
          </w:p>
        </w:tc>
        <w:tc>
          <w:tcPr>
            <w:tcW w:w="6271" w:type="dxa"/>
            <w:vMerge/>
            <w:vAlign w:val="center"/>
          </w:tcPr>
          <w:p w14:paraId="326CECDE" w14:textId="77777777" w:rsidR="004D1935" w:rsidRPr="009C2A74" w:rsidRDefault="004D1935" w:rsidP="00E24DC9">
            <w:pPr>
              <w:jc w:val="center"/>
              <w:rPr>
                <w:color w:val="000000" w:themeColor="text1"/>
              </w:rPr>
            </w:pPr>
          </w:p>
        </w:tc>
      </w:tr>
      <w:tr w:rsidR="004D1935" w14:paraId="3175B259" w14:textId="77777777" w:rsidTr="00E24DC9">
        <w:tc>
          <w:tcPr>
            <w:tcW w:w="892" w:type="dxa"/>
            <w:vMerge/>
          </w:tcPr>
          <w:p w14:paraId="67D6AD6F" w14:textId="77777777" w:rsidR="004D1935" w:rsidRDefault="004D1935" w:rsidP="00E24DC9"/>
        </w:tc>
        <w:tc>
          <w:tcPr>
            <w:tcW w:w="1513" w:type="dxa"/>
            <w:tcBorders>
              <w:top w:val="nil"/>
              <w:bottom w:val="nil"/>
            </w:tcBorders>
            <w:vAlign w:val="center"/>
          </w:tcPr>
          <w:p w14:paraId="31C87828" w14:textId="77777777" w:rsidR="004D1935" w:rsidRPr="00106291" w:rsidRDefault="004D1935" w:rsidP="00E24DC9">
            <w:pPr>
              <w:jc w:val="center"/>
              <w:rPr>
                <w:color w:val="000000" w:themeColor="text1"/>
                <w:sz w:val="15"/>
                <w:szCs w:val="15"/>
              </w:rPr>
            </w:pPr>
            <w:r w:rsidRPr="00106291">
              <w:rPr>
                <w:rFonts w:ascii="Calibri" w:hAnsi="Calibri" w:cs="Calibri"/>
                <w:color w:val="000000" w:themeColor="text1"/>
                <w:sz w:val="15"/>
                <w:szCs w:val="15"/>
              </w:rPr>
              <w:t>172.0069</w:t>
            </w:r>
          </w:p>
        </w:tc>
        <w:tc>
          <w:tcPr>
            <w:tcW w:w="2371" w:type="dxa"/>
            <w:vMerge/>
            <w:vAlign w:val="center"/>
          </w:tcPr>
          <w:p w14:paraId="72B66188" w14:textId="77777777" w:rsidR="004D1935" w:rsidRPr="009C2A74" w:rsidRDefault="004D1935" w:rsidP="00E24DC9">
            <w:pPr>
              <w:jc w:val="center"/>
              <w:rPr>
                <w:color w:val="000000" w:themeColor="text1"/>
              </w:rPr>
            </w:pPr>
          </w:p>
        </w:tc>
        <w:tc>
          <w:tcPr>
            <w:tcW w:w="1333" w:type="dxa"/>
            <w:vMerge/>
            <w:vAlign w:val="center"/>
          </w:tcPr>
          <w:p w14:paraId="59C897CA" w14:textId="77777777" w:rsidR="004D1935" w:rsidRPr="009C2A74" w:rsidRDefault="004D1935" w:rsidP="00E24DC9">
            <w:pPr>
              <w:jc w:val="center"/>
              <w:rPr>
                <w:color w:val="000000" w:themeColor="text1"/>
              </w:rPr>
            </w:pPr>
          </w:p>
        </w:tc>
        <w:tc>
          <w:tcPr>
            <w:tcW w:w="1365" w:type="dxa"/>
            <w:vMerge/>
            <w:vAlign w:val="center"/>
          </w:tcPr>
          <w:p w14:paraId="7F74041C" w14:textId="77777777" w:rsidR="004D1935" w:rsidRPr="009C2A74" w:rsidRDefault="004D1935" w:rsidP="00E24DC9">
            <w:pPr>
              <w:jc w:val="center"/>
              <w:rPr>
                <w:color w:val="000000" w:themeColor="text1"/>
              </w:rPr>
            </w:pPr>
          </w:p>
        </w:tc>
        <w:tc>
          <w:tcPr>
            <w:tcW w:w="6271" w:type="dxa"/>
            <w:vMerge/>
            <w:vAlign w:val="center"/>
          </w:tcPr>
          <w:p w14:paraId="20CE9D4F" w14:textId="77777777" w:rsidR="004D1935" w:rsidRPr="009C2A74" w:rsidRDefault="004D1935" w:rsidP="00E24DC9">
            <w:pPr>
              <w:jc w:val="center"/>
              <w:rPr>
                <w:color w:val="000000" w:themeColor="text1"/>
              </w:rPr>
            </w:pPr>
          </w:p>
        </w:tc>
      </w:tr>
      <w:tr w:rsidR="004D1935" w14:paraId="643F8CFF" w14:textId="77777777" w:rsidTr="00E24DC9">
        <w:tc>
          <w:tcPr>
            <w:tcW w:w="892" w:type="dxa"/>
            <w:vMerge/>
          </w:tcPr>
          <w:p w14:paraId="0B47C139" w14:textId="77777777" w:rsidR="004D1935" w:rsidRDefault="004D1935" w:rsidP="00E24DC9"/>
        </w:tc>
        <w:tc>
          <w:tcPr>
            <w:tcW w:w="1513" w:type="dxa"/>
            <w:tcBorders>
              <w:top w:val="nil"/>
              <w:bottom w:val="nil"/>
            </w:tcBorders>
            <w:vAlign w:val="center"/>
          </w:tcPr>
          <w:p w14:paraId="5ACC66B8" w14:textId="77777777" w:rsidR="004D1935" w:rsidRPr="00106291" w:rsidRDefault="004D1935" w:rsidP="00E24DC9">
            <w:pPr>
              <w:jc w:val="center"/>
              <w:rPr>
                <w:color w:val="000000" w:themeColor="text1"/>
                <w:sz w:val="15"/>
                <w:szCs w:val="15"/>
              </w:rPr>
            </w:pPr>
            <w:r w:rsidRPr="00106291">
              <w:rPr>
                <w:rFonts w:ascii="Calibri" w:hAnsi="Calibri" w:cs="Calibri"/>
                <w:color w:val="000000" w:themeColor="text1"/>
                <w:sz w:val="15"/>
                <w:szCs w:val="15"/>
              </w:rPr>
              <w:t>171.9581</w:t>
            </w:r>
          </w:p>
        </w:tc>
        <w:tc>
          <w:tcPr>
            <w:tcW w:w="2371" w:type="dxa"/>
            <w:vMerge/>
            <w:vAlign w:val="center"/>
          </w:tcPr>
          <w:p w14:paraId="6E8D97D4" w14:textId="77777777" w:rsidR="004D1935" w:rsidRPr="009C2A74" w:rsidRDefault="004D1935" w:rsidP="00E24DC9">
            <w:pPr>
              <w:jc w:val="center"/>
              <w:rPr>
                <w:color w:val="000000" w:themeColor="text1"/>
              </w:rPr>
            </w:pPr>
          </w:p>
        </w:tc>
        <w:tc>
          <w:tcPr>
            <w:tcW w:w="1333" w:type="dxa"/>
            <w:vMerge/>
            <w:vAlign w:val="center"/>
          </w:tcPr>
          <w:p w14:paraId="49068AF0" w14:textId="77777777" w:rsidR="004D1935" w:rsidRPr="009C2A74" w:rsidRDefault="004D1935" w:rsidP="00E24DC9">
            <w:pPr>
              <w:jc w:val="center"/>
              <w:rPr>
                <w:color w:val="000000" w:themeColor="text1"/>
              </w:rPr>
            </w:pPr>
          </w:p>
        </w:tc>
        <w:tc>
          <w:tcPr>
            <w:tcW w:w="1365" w:type="dxa"/>
            <w:vMerge/>
            <w:vAlign w:val="center"/>
          </w:tcPr>
          <w:p w14:paraId="1B0CFAD2" w14:textId="77777777" w:rsidR="004D1935" w:rsidRPr="009C2A74" w:rsidRDefault="004D1935" w:rsidP="00E24DC9">
            <w:pPr>
              <w:jc w:val="center"/>
              <w:rPr>
                <w:color w:val="000000" w:themeColor="text1"/>
              </w:rPr>
            </w:pPr>
          </w:p>
        </w:tc>
        <w:tc>
          <w:tcPr>
            <w:tcW w:w="6271" w:type="dxa"/>
            <w:vMerge/>
            <w:vAlign w:val="center"/>
          </w:tcPr>
          <w:p w14:paraId="5BFF17C3" w14:textId="77777777" w:rsidR="004D1935" w:rsidRPr="009C2A74" w:rsidRDefault="004D1935" w:rsidP="00E24DC9">
            <w:pPr>
              <w:jc w:val="center"/>
              <w:rPr>
                <w:color w:val="000000" w:themeColor="text1"/>
              </w:rPr>
            </w:pPr>
          </w:p>
        </w:tc>
      </w:tr>
      <w:tr w:rsidR="004D1935" w14:paraId="71360FE7" w14:textId="77777777" w:rsidTr="00E24DC9">
        <w:tc>
          <w:tcPr>
            <w:tcW w:w="892" w:type="dxa"/>
            <w:vMerge/>
          </w:tcPr>
          <w:p w14:paraId="751107D2" w14:textId="77777777" w:rsidR="004D1935" w:rsidRDefault="004D1935" w:rsidP="00E24DC9"/>
        </w:tc>
        <w:tc>
          <w:tcPr>
            <w:tcW w:w="1513" w:type="dxa"/>
            <w:tcBorders>
              <w:top w:val="nil"/>
              <w:bottom w:val="nil"/>
            </w:tcBorders>
            <w:vAlign w:val="center"/>
          </w:tcPr>
          <w:p w14:paraId="296606CA" w14:textId="77777777" w:rsidR="004D1935" w:rsidRPr="00106291" w:rsidRDefault="004D1935" w:rsidP="00E24DC9">
            <w:pPr>
              <w:jc w:val="center"/>
              <w:rPr>
                <w:color w:val="000000" w:themeColor="text1"/>
                <w:sz w:val="15"/>
                <w:szCs w:val="15"/>
              </w:rPr>
            </w:pPr>
            <w:r w:rsidRPr="00106291">
              <w:rPr>
                <w:rFonts w:ascii="Calibri" w:hAnsi="Calibri" w:cs="Calibri"/>
                <w:color w:val="000000" w:themeColor="text1"/>
                <w:sz w:val="15"/>
                <w:szCs w:val="15"/>
              </w:rPr>
              <w:t>172.0117</w:t>
            </w:r>
          </w:p>
        </w:tc>
        <w:tc>
          <w:tcPr>
            <w:tcW w:w="2371" w:type="dxa"/>
            <w:vMerge/>
            <w:vAlign w:val="center"/>
          </w:tcPr>
          <w:p w14:paraId="4A1F44D4" w14:textId="77777777" w:rsidR="004D1935" w:rsidRPr="009C2A74" w:rsidRDefault="004D1935" w:rsidP="00E24DC9">
            <w:pPr>
              <w:jc w:val="center"/>
              <w:rPr>
                <w:color w:val="000000" w:themeColor="text1"/>
              </w:rPr>
            </w:pPr>
          </w:p>
        </w:tc>
        <w:tc>
          <w:tcPr>
            <w:tcW w:w="1333" w:type="dxa"/>
            <w:vMerge/>
            <w:vAlign w:val="center"/>
          </w:tcPr>
          <w:p w14:paraId="2CA063DD" w14:textId="77777777" w:rsidR="004D1935" w:rsidRPr="009C2A74" w:rsidRDefault="004D1935" w:rsidP="00E24DC9">
            <w:pPr>
              <w:jc w:val="center"/>
              <w:rPr>
                <w:color w:val="000000" w:themeColor="text1"/>
              </w:rPr>
            </w:pPr>
          </w:p>
        </w:tc>
        <w:tc>
          <w:tcPr>
            <w:tcW w:w="1365" w:type="dxa"/>
            <w:vMerge/>
            <w:vAlign w:val="center"/>
          </w:tcPr>
          <w:p w14:paraId="2023EFE0" w14:textId="77777777" w:rsidR="004D1935" w:rsidRPr="009C2A74" w:rsidRDefault="004D1935" w:rsidP="00E24DC9">
            <w:pPr>
              <w:jc w:val="center"/>
              <w:rPr>
                <w:color w:val="000000" w:themeColor="text1"/>
              </w:rPr>
            </w:pPr>
          </w:p>
        </w:tc>
        <w:tc>
          <w:tcPr>
            <w:tcW w:w="6271" w:type="dxa"/>
            <w:vMerge/>
            <w:vAlign w:val="center"/>
          </w:tcPr>
          <w:p w14:paraId="1DB62F02" w14:textId="77777777" w:rsidR="004D1935" w:rsidRPr="009C2A74" w:rsidRDefault="004D1935" w:rsidP="00E24DC9">
            <w:pPr>
              <w:jc w:val="center"/>
              <w:rPr>
                <w:color w:val="000000" w:themeColor="text1"/>
              </w:rPr>
            </w:pPr>
          </w:p>
        </w:tc>
      </w:tr>
      <w:tr w:rsidR="004D1935" w14:paraId="59AE03C2" w14:textId="77777777" w:rsidTr="00E24DC9">
        <w:tc>
          <w:tcPr>
            <w:tcW w:w="892" w:type="dxa"/>
            <w:vMerge/>
          </w:tcPr>
          <w:p w14:paraId="420D0941" w14:textId="77777777" w:rsidR="004D1935" w:rsidRDefault="004D1935" w:rsidP="00E24DC9"/>
        </w:tc>
        <w:tc>
          <w:tcPr>
            <w:tcW w:w="1513" w:type="dxa"/>
            <w:tcBorders>
              <w:top w:val="nil"/>
              <w:bottom w:val="nil"/>
            </w:tcBorders>
            <w:vAlign w:val="center"/>
          </w:tcPr>
          <w:p w14:paraId="0928D1AB" w14:textId="77777777" w:rsidR="004D1935" w:rsidRPr="00106291" w:rsidRDefault="004D1935" w:rsidP="00E24DC9">
            <w:pPr>
              <w:jc w:val="center"/>
              <w:rPr>
                <w:sz w:val="15"/>
                <w:szCs w:val="15"/>
              </w:rPr>
            </w:pPr>
            <w:r w:rsidRPr="00106291">
              <w:rPr>
                <w:rFonts w:ascii="Calibri" w:hAnsi="Calibri" w:cs="Calibri"/>
                <w:color w:val="000000" w:themeColor="text1"/>
                <w:sz w:val="15"/>
                <w:szCs w:val="15"/>
              </w:rPr>
              <w:t>171.9238</w:t>
            </w:r>
          </w:p>
        </w:tc>
        <w:tc>
          <w:tcPr>
            <w:tcW w:w="2371" w:type="dxa"/>
            <w:vMerge/>
          </w:tcPr>
          <w:p w14:paraId="7E00326F" w14:textId="77777777" w:rsidR="004D1935" w:rsidRDefault="004D1935" w:rsidP="00E24DC9"/>
        </w:tc>
        <w:tc>
          <w:tcPr>
            <w:tcW w:w="1333" w:type="dxa"/>
            <w:vMerge/>
          </w:tcPr>
          <w:p w14:paraId="689BB7B2" w14:textId="77777777" w:rsidR="004D1935" w:rsidRDefault="004D1935" w:rsidP="00E24DC9"/>
        </w:tc>
        <w:tc>
          <w:tcPr>
            <w:tcW w:w="1365" w:type="dxa"/>
            <w:vMerge/>
          </w:tcPr>
          <w:p w14:paraId="38E30CBE" w14:textId="77777777" w:rsidR="004D1935" w:rsidRDefault="004D1935" w:rsidP="00E24DC9"/>
        </w:tc>
        <w:tc>
          <w:tcPr>
            <w:tcW w:w="6271" w:type="dxa"/>
            <w:vMerge/>
          </w:tcPr>
          <w:p w14:paraId="796CB022" w14:textId="77777777" w:rsidR="004D1935" w:rsidRDefault="004D1935" w:rsidP="00E24DC9"/>
        </w:tc>
      </w:tr>
      <w:tr w:rsidR="004D1935" w14:paraId="26043848" w14:textId="77777777" w:rsidTr="00E24DC9">
        <w:tc>
          <w:tcPr>
            <w:tcW w:w="892" w:type="dxa"/>
            <w:vMerge/>
          </w:tcPr>
          <w:p w14:paraId="03D3099D" w14:textId="77777777" w:rsidR="004D1935" w:rsidRDefault="004D1935" w:rsidP="00E24DC9"/>
        </w:tc>
        <w:tc>
          <w:tcPr>
            <w:tcW w:w="1513" w:type="dxa"/>
            <w:tcBorders>
              <w:top w:val="nil"/>
              <w:bottom w:val="nil"/>
            </w:tcBorders>
            <w:vAlign w:val="center"/>
          </w:tcPr>
          <w:p w14:paraId="5224813C" w14:textId="77777777" w:rsidR="004D1935" w:rsidRPr="00106291" w:rsidRDefault="004D1935" w:rsidP="00E24DC9">
            <w:pPr>
              <w:jc w:val="center"/>
              <w:rPr>
                <w:sz w:val="15"/>
                <w:szCs w:val="15"/>
              </w:rPr>
            </w:pPr>
            <w:r w:rsidRPr="00106291">
              <w:rPr>
                <w:rFonts w:ascii="Calibri" w:hAnsi="Calibri" w:cs="Calibri"/>
                <w:color w:val="000000" w:themeColor="text1"/>
                <w:sz w:val="15"/>
                <w:szCs w:val="15"/>
              </w:rPr>
              <w:t>171.9524</w:t>
            </w:r>
          </w:p>
        </w:tc>
        <w:tc>
          <w:tcPr>
            <w:tcW w:w="2371" w:type="dxa"/>
            <w:vMerge/>
          </w:tcPr>
          <w:p w14:paraId="5D7EB349" w14:textId="77777777" w:rsidR="004D1935" w:rsidRDefault="004D1935" w:rsidP="00E24DC9"/>
        </w:tc>
        <w:tc>
          <w:tcPr>
            <w:tcW w:w="1333" w:type="dxa"/>
            <w:vMerge/>
          </w:tcPr>
          <w:p w14:paraId="60B0E536" w14:textId="77777777" w:rsidR="004D1935" w:rsidRDefault="004D1935" w:rsidP="00E24DC9"/>
        </w:tc>
        <w:tc>
          <w:tcPr>
            <w:tcW w:w="1365" w:type="dxa"/>
            <w:vMerge/>
          </w:tcPr>
          <w:p w14:paraId="7D5645D2" w14:textId="77777777" w:rsidR="004D1935" w:rsidRDefault="004D1935" w:rsidP="00E24DC9"/>
        </w:tc>
        <w:tc>
          <w:tcPr>
            <w:tcW w:w="6271" w:type="dxa"/>
            <w:vMerge/>
          </w:tcPr>
          <w:p w14:paraId="71C17722" w14:textId="77777777" w:rsidR="004D1935" w:rsidRDefault="004D1935" w:rsidP="00E24DC9"/>
        </w:tc>
      </w:tr>
      <w:tr w:rsidR="004D1935" w14:paraId="13DEBA34" w14:textId="77777777" w:rsidTr="00E24DC9">
        <w:tc>
          <w:tcPr>
            <w:tcW w:w="892" w:type="dxa"/>
            <w:vMerge/>
          </w:tcPr>
          <w:p w14:paraId="0AEFEF69" w14:textId="77777777" w:rsidR="004D1935" w:rsidRDefault="004D1935" w:rsidP="00E24DC9"/>
        </w:tc>
        <w:tc>
          <w:tcPr>
            <w:tcW w:w="1513" w:type="dxa"/>
            <w:tcBorders>
              <w:top w:val="nil"/>
              <w:bottom w:val="nil"/>
            </w:tcBorders>
            <w:vAlign w:val="center"/>
          </w:tcPr>
          <w:p w14:paraId="31C04D09" w14:textId="77777777" w:rsidR="004D1935" w:rsidRPr="00106291" w:rsidRDefault="004D1935" w:rsidP="00E24DC9">
            <w:pPr>
              <w:jc w:val="center"/>
              <w:rPr>
                <w:sz w:val="15"/>
                <w:szCs w:val="15"/>
              </w:rPr>
            </w:pPr>
            <w:r w:rsidRPr="00106291">
              <w:rPr>
                <w:rFonts w:ascii="Calibri" w:hAnsi="Calibri" w:cs="Calibri"/>
                <w:color w:val="000000" w:themeColor="text1"/>
                <w:sz w:val="15"/>
                <w:szCs w:val="15"/>
              </w:rPr>
              <w:t>172.0050</w:t>
            </w:r>
          </w:p>
        </w:tc>
        <w:tc>
          <w:tcPr>
            <w:tcW w:w="2371" w:type="dxa"/>
            <w:vMerge/>
          </w:tcPr>
          <w:p w14:paraId="39582D75" w14:textId="77777777" w:rsidR="004D1935" w:rsidRDefault="004D1935" w:rsidP="00E24DC9"/>
        </w:tc>
        <w:tc>
          <w:tcPr>
            <w:tcW w:w="1333" w:type="dxa"/>
            <w:vMerge/>
          </w:tcPr>
          <w:p w14:paraId="06D4BD85" w14:textId="77777777" w:rsidR="004D1935" w:rsidRDefault="004D1935" w:rsidP="00E24DC9"/>
        </w:tc>
        <w:tc>
          <w:tcPr>
            <w:tcW w:w="1365" w:type="dxa"/>
            <w:vMerge/>
          </w:tcPr>
          <w:p w14:paraId="2A774CE4" w14:textId="77777777" w:rsidR="004D1935" w:rsidRDefault="004D1935" w:rsidP="00E24DC9"/>
        </w:tc>
        <w:tc>
          <w:tcPr>
            <w:tcW w:w="6271" w:type="dxa"/>
            <w:vMerge/>
          </w:tcPr>
          <w:p w14:paraId="3DCD9BCC" w14:textId="77777777" w:rsidR="004D1935" w:rsidRDefault="004D1935" w:rsidP="00E24DC9"/>
        </w:tc>
      </w:tr>
      <w:tr w:rsidR="004D1935" w14:paraId="2CC9BF1C" w14:textId="77777777" w:rsidTr="00E24DC9">
        <w:tc>
          <w:tcPr>
            <w:tcW w:w="892" w:type="dxa"/>
            <w:vMerge/>
          </w:tcPr>
          <w:p w14:paraId="629A0F3E" w14:textId="77777777" w:rsidR="004D1935" w:rsidRDefault="004D1935" w:rsidP="00E24DC9"/>
        </w:tc>
        <w:tc>
          <w:tcPr>
            <w:tcW w:w="1513" w:type="dxa"/>
            <w:tcBorders>
              <w:top w:val="nil"/>
              <w:bottom w:val="nil"/>
            </w:tcBorders>
            <w:vAlign w:val="center"/>
          </w:tcPr>
          <w:p w14:paraId="4B4799C3" w14:textId="77777777" w:rsidR="004D1935" w:rsidRPr="00106291" w:rsidRDefault="004D1935" w:rsidP="00E24DC9">
            <w:pPr>
              <w:jc w:val="center"/>
              <w:rPr>
                <w:sz w:val="15"/>
                <w:szCs w:val="15"/>
              </w:rPr>
            </w:pPr>
            <w:r w:rsidRPr="00106291">
              <w:rPr>
                <w:rFonts w:ascii="Calibri" w:hAnsi="Calibri" w:cs="Calibri"/>
                <w:color w:val="000000" w:themeColor="text1"/>
                <w:sz w:val="15"/>
                <w:szCs w:val="15"/>
              </w:rPr>
              <w:t>172.0088</w:t>
            </w:r>
          </w:p>
        </w:tc>
        <w:tc>
          <w:tcPr>
            <w:tcW w:w="2371" w:type="dxa"/>
            <w:vMerge/>
          </w:tcPr>
          <w:p w14:paraId="14E29852" w14:textId="77777777" w:rsidR="004D1935" w:rsidRDefault="004D1935" w:rsidP="00E24DC9"/>
        </w:tc>
        <w:tc>
          <w:tcPr>
            <w:tcW w:w="1333" w:type="dxa"/>
            <w:vMerge/>
          </w:tcPr>
          <w:p w14:paraId="53FA4A65" w14:textId="77777777" w:rsidR="004D1935" w:rsidRDefault="004D1935" w:rsidP="00E24DC9"/>
        </w:tc>
        <w:tc>
          <w:tcPr>
            <w:tcW w:w="1365" w:type="dxa"/>
            <w:vMerge/>
          </w:tcPr>
          <w:p w14:paraId="4404DEE8" w14:textId="77777777" w:rsidR="004D1935" w:rsidRDefault="004D1935" w:rsidP="00E24DC9"/>
        </w:tc>
        <w:tc>
          <w:tcPr>
            <w:tcW w:w="6271" w:type="dxa"/>
            <w:vMerge/>
          </w:tcPr>
          <w:p w14:paraId="09E8386F" w14:textId="77777777" w:rsidR="004D1935" w:rsidRDefault="004D1935" w:rsidP="00E24DC9"/>
        </w:tc>
      </w:tr>
      <w:tr w:rsidR="004D1935" w14:paraId="39C2BB76" w14:textId="77777777" w:rsidTr="00E24DC9">
        <w:tc>
          <w:tcPr>
            <w:tcW w:w="892" w:type="dxa"/>
            <w:vMerge/>
          </w:tcPr>
          <w:p w14:paraId="52B56545" w14:textId="77777777" w:rsidR="004D1935" w:rsidRDefault="004D1935" w:rsidP="00E24DC9"/>
        </w:tc>
        <w:tc>
          <w:tcPr>
            <w:tcW w:w="1513" w:type="dxa"/>
            <w:tcBorders>
              <w:top w:val="nil"/>
              <w:bottom w:val="nil"/>
            </w:tcBorders>
            <w:vAlign w:val="center"/>
          </w:tcPr>
          <w:p w14:paraId="13FAE894" w14:textId="77777777" w:rsidR="004D1935" w:rsidRPr="00106291" w:rsidRDefault="004D1935" w:rsidP="00E24DC9">
            <w:pPr>
              <w:jc w:val="center"/>
              <w:rPr>
                <w:sz w:val="15"/>
                <w:szCs w:val="15"/>
              </w:rPr>
            </w:pPr>
            <w:r w:rsidRPr="00106291">
              <w:rPr>
                <w:rFonts w:ascii="Calibri" w:hAnsi="Calibri" w:cs="Calibri"/>
                <w:color w:val="000000" w:themeColor="text1"/>
                <w:sz w:val="15"/>
                <w:szCs w:val="15"/>
              </w:rPr>
              <w:t>171.9285</w:t>
            </w:r>
          </w:p>
        </w:tc>
        <w:tc>
          <w:tcPr>
            <w:tcW w:w="2371" w:type="dxa"/>
            <w:vMerge/>
          </w:tcPr>
          <w:p w14:paraId="1BB92772" w14:textId="77777777" w:rsidR="004D1935" w:rsidRDefault="004D1935" w:rsidP="00E24DC9"/>
        </w:tc>
        <w:tc>
          <w:tcPr>
            <w:tcW w:w="1333" w:type="dxa"/>
            <w:vMerge/>
          </w:tcPr>
          <w:p w14:paraId="292B044D" w14:textId="77777777" w:rsidR="004D1935" w:rsidRDefault="004D1935" w:rsidP="00E24DC9"/>
        </w:tc>
        <w:tc>
          <w:tcPr>
            <w:tcW w:w="1365" w:type="dxa"/>
            <w:vMerge/>
          </w:tcPr>
          <w:p w14:paraId="7250C72D" w14:textId="77777777" w:rsidR="004D1935" w:rsidRDefault="004D1935" w:rsidP="00E24DC9"/>
        </w:tc>
        <w:tc>
          <w:tcPr>
            <w:tcW w:w="6271" w:type="dxa"/>
            <w:vMerge/>
          </w:tcPr>
          <w:p w14:paraId="1FF5F4F2" w14:textId="77777777" w:rsidR="004D1935" w:rsidRDefault="004D1935" w:rsidP="00E24DC9"/>
        </w:tc>
      </w:tr>
      <w:tr w:rsidR="004D1935" w14:paraId="5FB0BB11" w14:textId="77777777" w:rsidTr="00E24DC9">
        <w:tc>
          <w:tcPr>
            <w:tcW w:w="892" w:type="dxa"/>
            <w:vMerge/>
          </w:tcPr>
          <w:p w14:paraId="7E9E65A5" w14:textId="77777777" w:rsidR="004D1935" w:rsidRDefault="004D1935" w:rsidP="00E24DC9"/>
        </w:tc>
        <w:tc>
          <w:tcPr>
            <w:tcW w:w="1513" w:type="dxa"/>
            <w:tcBorders>
              <w:top w:val="nil"/>
              <w:bottom w:val="nil"/>
            </w:tcBorders>
            <w:vAlign w:val="center"/>
          </w:tcPr>
          <w:p w14:paraId="1DAE6B99" w14:textId="77777777" w:rsidR="004D1935" w:rsidRPr="00106291" w:rsidRDefault="004D1935" w:rsidP="00E24DC9">
            <w:pPr>
              <w:jc w:val="center"/>
              <w:rPr>
                <w:sz w:val="15"/>
                <w:szCs w:val="15"/>
              </w:rPr>
            </w:pPr>
            <w:r w:rsidRPr="00106291">
              <w:rPr>
                <w:rFonts w:ascii="Calibri" w:hAnsi="Calibri" w:cs="Calibri"/>
                <w:color w:val="000000" w:themeColor="text1"/>
                <w:sz w:val="15"/>
                <w:szCs w:val="15"/>
              </w:rPr>
              <w:t>171.9582</w:t>
            </w:r>
          </w:p>
        </w:tc>
        <w:tc>
          <w:tcPr>
            <w:tcW w:w="2371" w:type="dxa"/>
            <w:vMerge/>
          </w:tcPr>
          <w:p w14:paraId="47627B69" w14:textId="77777777" w:rsidR="004D1935" w:rsidRDefault="004D1935" w:rsidP="00E24DC9"/>
        </w:tc>
        <w:tc>
          <w:tcPr>
            <w:tcW w:w="1333" w:type="dxa"/>
            <w:vMerge/>
          </w:tcPr>
          <w:p w14:paraId="28255924" w14:textId="77777777" w:rsidR="004D1935" w:rsidRDefault="004D1935" w:rsidP="00E24DC9"/>
        </w:tc>
        <w:tc>
          <w:tcPr>
            <w:tcW w:w="1365" w:type="dxa"/>
            <w:vMerge/>
          </w:tcPr>
          <w:p w14:paraId="3BD9866E" w14:textId="77777777" w:rsidR="004D1935" w:rsidRDefault="004D1935" w:rsidP="00E24DC9"/>
        </w:tc>
        <w:tc>
          <w:tcPr>
            <w:tcW w:w="6271" w:type="dxa"/>
            <w:vMerge/>
          </w:tcPr>
          <w:p w14:paraId="23070753" w14:textId="77777777" w:rsidR="004D1935" w:rsidRDefault="004D1935" w:rsidP="00E24DC9"/>
        </w:tc>
      </w:tr>
      <w:tr w:rsidR="004D1935" w14:paraId="7EFC50D8" w14:textId="77777777" w:rsidTr="00E24DC9">
        <w:tc>
          <w:tcPr>
            <w:tcW w:w="892" w:type="dxa"/>
            <w:vMerge/>
          </w:tcPr>
          <w:p w14:paraId="1A0552B2" w14:textId="77777777" w:rsidR="004D1935" w:rsidRDefault="004D1935" w:rsidP="00E24DC9"/>
        </w:tc>
        <w:tc>
          <w:tcPr>
            <w:tcW w:w="1513" w:type="dxa"/>
            <w:tcBorders>
              <w:top w:val="nil"/>
              <w:bottom w:val="nil"/>
            </w:tcBorders>
            <w:vAlign w:val="center"/>
          </w:tcPr>
          <w:p w14:paraId="59423022" w14:textId="77777777" w:rsidR="004D1935" w:rsidRPr="00106291" w:rsidRDefault="004D1935" w:rsidP="00E24DC9">
            <w:pPr>
              <w:jc w:val="center"/>
              <w:rPr>
                <w:sz w:val="15"/>
                <w:szCs w:val="15"/>
              </w:rPr>
            </w:pPr>
            <w:r w:rsidRPr="00106291">
              <w:rPr>
                <w:rFonts w:ascii="Calibri" w:hAnsi="Calibri" w:cs="Calibri"/>
                <w:color w:val="000000" w:themeColor="text1"/>
                <w:sz w:val="15"/>
                <w:szCs w:val="15"/>
              </w:rPr>
              <w:t>171.9314</w:t>
            </w:r>
          </w:p>
        </w:tc>
        <w:tc>
          <w:tcPr>
            <w:tcW w:w="2371" w:type="dxa"/>
            <w:vMerge/>
          </w:tcPr>
          <w:p w14:paraId="5B3D6E67" w14:textId="77777777" w:rsidR="004D1935" w:rsidRDefault="004D1935" w:rsidP="00E24DC9"/>
        </w:tc>
        <w:tc>
          <w:tcPr>
            <w:tcW w:w="1333" w:type="dxa"/>
            <w:vMerge/>
          </w:tcPr>
          <w:p w14:paraId="5EC14E64" w14:textId="77777777" w:rsidR="004D1935" w:rsidRDefault="004D1935" w:rsidP="00E24DC9"/>
        </w:tc>
        <w:tc>
          <w:tcPr>
            <w:tcW w:w="1365" w:type="dxa"/>
            <w:vMerge/>
          </w:tcPr>
          <w:p w14:paraId="38E93E86" w14:textId="77777777" w:rsidR="004D1935" w:rsidRDefault="004D1935" w:rsidP="00E24DC9"/>
        </w:tc>
        <w:tc>
          <w:tcPr>
            <w:tcW w:w="6271" w:type="dxa"/>
            <w:vMerge/>
          </w:tcPr>
          <w:p w14:paraId="67107F9B" w14:textId="77777777" w:rsidR="004D1935" w:rsidRDefault="004D1935" w:rsidP="00E24DC9"/>
        </w:tc>
      </w:tr>
      <w:tr w:rsidR="004D1935" w14:paraId="1D0C610E" w14:textId="77777777" w:rsidTr="00E24DC9">
        <w:tc>
          <w:tcPr>
            <w:tcW w:w="892" w:type="dxa"/>
            <w:vMerge/>
          </w:tcPr>
          <w:p w14:paraId="30B6721E" w14:textId="77777777" w:rsidR="004D1935" w:rsidRDefault="004D1935" w:rsidP="00E24DC9"/>
        </w:tc>
        <w:tc>
          <w:tcPr>
            <w:tcW w:w="1513" w:type="dxa"/>
            <w:tcBorders>
              <w:top w:val="nil"/>
              <w:bottom w:val="nil"/>
            </w:tcBorders>
            <w:vAlign w:val="center"/>
          </w:tcPr>
          <w:p w14:paraId="6244C848" w14:textId="77777777" w:rsidR="004D1935" w:rsidRPr="00106291" w:rsidRDefault="004D1935" w:rsidP="00E24DC9">
            <w:pPr>
              <w:jc w:val="center"/>
              <w:rPr>
                <w:sz w:val="15"/>
                <w:szCs w:val="15"/>
              </w:rPr>
            </w:pPr>
            <w:r w:rsidRPr="00106291">
              <w:rPr>
                <w:rFonts w:ascii="Calibri" w:hAnsi="Calibri" w:cs="Calibri"/>
                <w:color w:val="000000" w:themeColor="text1"/>
                <w:sz w:val="15"/>
                <w:szCs w:val="15"/>
              </w:rPr>
              <w:t>171.9601</w:t>
            </w:r>
          </w:p>
        </w:tc>
        <w:tc>
          <w:tcPr>
            <w:tcW w:w="2371" w:type="dxa"/>
            <w:vMerge/>
          </w:tcPr>
          <w:p w14:paraId="03C454C4" w14:textId="77777777" w:rsidR="004D1935" w:rsidRDefault="004D1935" w:rsidP="00E24DC9"/>
        </w:tc>
        <w:tc>
          <w:tcPr>
            <w:tcW w:w="1333" w:type="dxa"/>
            <w:vMerge/>
          </w:tcPr>
          <w:p w14:paraId="1DF4982E" w14:textId="77777777" w:rsidR="004D1935" w:rsidRDefault="004D1935" w:rsidP="00E24DC9"/>
        </w:tc>
        <w:tc>
          <w:tcPr>
            <w:tcW w:w="1365" w:type="dxa"/>
            <w:vMerge/>
          </w:tcPr>
          <w:p w14:paraId="4B7EE04C" w14:textId="77777777" w:rsidR="004D1935" w:rsidRDefault="004D1935" w:rsidP="00E24DC9"/>
        </w:tc>
        <w:tc>
          <w:tcPr>
            <w:tcW w:w="6271" w:type="dxa"/>
            <w:vMerge/>
          </w:tcPr>
          <w:p w14:paraId="5D6F974E" w14:textId="77777777" w:rsidR="004D1935" w:rsidRDefault="004D1935" w:rsidP="00E24DC9"/>
        </w:tc>
      </w:tr>
      <w:tr w:rsidR="004D1935" w14:paraId="4ADD3544" w14:textId="77777777" w:rsidTr="00E24DC9">
        <w:tc>
          <w:tcPr>
            <w:tcW w:w="892" w:type="dxa"/>
            <w:vMerge/>
          </w:tcPr>
          <w:p w14:paraId="7EF42821" w14:textId="77777777" w:rsidR="004D1935" w:rsidRDefault="004D1935" w:rsidP="00E24DC9"/>
        </w:tc>
        <w:tc>
          <w:tcPr>
            <w:tcW w:w="1513" w:type="dxa"/>
            <w:tcBorders>
              <w:top w:val="nil"/>
              <w:bottom w:val="nil"/>
            </w:tcBorders>
            <w:vAlign w:val="center"/>
          </w:tcPr>
          <w:p w14:paraId="77B47637" w14:textId="77777777" w:rsidR="004D1935" w:rsidRPr="00106291" w:rsidRDefault="004D1935" w:rsidP="00E24DC9">
            <w:pPr>
              <w:jc w:val="center"/>
              <w:rPr>
                <w:sz w:val="15"/>
                <w:szCs w:val="15"/>
              </w:rPr>
            </w:pPr>
            <w:r w:rsidRPr="00106291">
              <w:rPr>
                <w:rFonts w:ascii="Calibri" w:hAnsi="Calibri" w:cs="Calibri"/>
                <w:color w:val="000000" w:themeColor="text1"/>
                <w:sz w:val="15"/>
                <w:szCs w:val="15"/>
              </w:rPr>
              <w:t>172.0031</w:t>
            </w:r>
          </w:p>
        </w:tc>
        <w:tc>
          <w:tcPr>
            <w:tcW w:w="2371" w:type="dxa"/>
            <w:vMerge/>
          </w:tcPr>
          <w:p w14:paraId="6128227A" w14:textId="77777777" w:rsidR="004D1935" w:rsidRDefault="004D1935" w:rsidP="00E24DC9"/>
        </w:tc>
        <w:tc>
          <w:tcPr>
            <w:tcW w:w="1333" w:type="dxa"/>
            <w:vMerge/>
          </w:tcPr>
          <w:p w14:paraId="5BBF7DF5" w14:textId="77777777" w:rsidR="004D1935" w:rsidRDefault="004D1935" w:rsidP="00E24DC9"/>
        </w:tc>
        <w:tc>
          <w:tcPr>
            <w:tcW w:w="1365" w:type="dxa"/>
            <w:vMerge/>
          </w:tcPr>
          <w:p w14:paraId="5C4FFF76" w14:textId="77777777" w:rsidR="004D1935" w:rsidRDefault="004D1935" w:rsidP="00E24DC9"/>
        </w:tc>
        <w:tc>
          <w:tcPr>
            <w:tcW w:w="6271" w:type="dxa"/>
            <w:vMerge/>
          </w:tcPr>
          <w:p w14:paraId="04083B72" w14:textId="77777777" w:rsidR="004D1935" w:rsidRDefault="004D1935" w:rsidP="00E24DC9"/>
        </w:tc>
      </w:tr>
      <w:tr w:rsidR="004D1935" w14:paraId="21E7E120" w14:textId="77777777" w:rsidTr="00E24DC9">
        <w:tc>
          <w:tcPr>
            <w:tcW w:w="892" w:type="dxa"/>
            <w:vMerge/>
          </w:tcPr>
          <w:p w14:paraId="23515C07" w14:textId="77777777" w:rsidR="004D1935" w:rsidRDefault="004D1935" w:rsidP="00E24DC9"/>
        </w:tc>
        <w:tc>
          <w:tcPr>
            <w:tcW w:w="1513" w:type="dxa"/>
            <w:tcBorders>
              <w:top w:val="nil"/>
              <w:bottom w:val="nil"/>
            </w:tcBorders>
            <w:vAlign w:val="center"/>
          </w:tcPr>
          <w:p w14:paraId="034448B8" w14:textId="77777777" w:rsidR="004D1935" w:rsidRPr="00106291" w:rsidRDefault="004D1935" w:rsidP="00E24DC9">
            <w:pPr>
              <w:jc w:val="center"/>
              <w:rPr>
                <w:sz w:val="15"/>
                <w:szCs w:val="15"/>
              </w:rPr>
            </w:pPr>
            <w:r w:rsidRPr="00106291">
              <w:rPr>
                <w:rFonts w:ascii="Calibri" w:hAnsi="Calibri" w:cs="Calibri"/>
                <w:color w:val="000000" w:themeColor="text1"/>
                <w:sz w:val="15"/>
                <w:szCs w:val="15"/>
              </w:rPr>
              <w:t>171.9219</w:t>
            </w:r>
          </w:p>
        </w:tc>
        <w:tc>
          <w:tcPr>
            <w:tcW w:w="2371" w:type="dxa"/>
            <w:vMerge/>
          </w:tcPr>
          <w:p w14:paraId="6DA67BF4" w14:textId="77777777" w:rsidR="004D1935" w:rsidRDefault="004D1935" w:rsidP="00E24DC9"/>
        </w:tc>
        <w:tc>
          <w:tcPr>
            <w:tcW w:w="1333" w:type="dxa"/>
            <w:vMerge/>
          </w:tcPr>
          <w:p w14:paraId="26EE39EE" w14:textId="77777777" w:rsidR="004D1935" w:rsidRDefault="004D1935" w:rsidP="00E24DC9"/>
        </w:tc>
        <w:tc>
          <w:tcPr>
            <w:tcW w:w="1365" w:type="dxa"/>
            <w:vMerge/>
          </w:tcPr>
          <w:p w14:paraId="1C311470" w14:textId="77777777" w:rsidR="004D1935" w:rsidRDefault="004D1935" w:rsidP="00E24DC9"/>
        </w:tc>
        <w:tc>
          <w:tcPr>
            <w:tcW w:w="6271" w:type="dxa"/>
            <w:vMerge/>
          </w:tcPr>
          <w:p w14:paraId="21E9D046" w14:textId="77777777" w:rsidR="004D1935" w:rsidRDefault="004D1935" w:rsidP="00E24DC9"/>
        </w:tc>
      </w:tr>
      <w:tr w:rsidR="004D1935" w14:paraId="451585A1" w14:textId="77777777" w:rsidTr="00E24DC9">
        <w:tc>
          <w:tcPr>
            <w:tcW w:w="892" w:type="dxa"/>
            <w:vMerge/>
          </w:tcPr>
          <w:p w14:paraId="57B45E58" w14:textId="77777777" w:rsidR="004D1935" w:rsidRDefault="004D1935" w:rsidP="00E24DC9"/>
        </w:tc>
        <w:tc>
          <w:tcPr>
            <w:tcW w:w="1513" w:type="dxa"/>
            <w:tcBorders>
              <w:top w:val="nil"/>
              <w:bottom w:val="nil"/>
            </w:tcBorders>
            <w:vAlign w:val="center"/>
          </w:tcPr>
          <w:p w14:paraId="3D942804" w14:textId="77777777" w:rsidR="004D1935" w:rsidRPr="00106291" w:rsidRDefault="004D1935" w:rsidP="00E24DC9">
            <w:pPr>
              <w:jc w:val="center"/>
              <w:rPr>
                <w:sz w:val="15"/>
                <w:szCs w:val="15"/>
              </w:rPr>
            </w:pPr>
            <w:r w:rsidRPr="00106291">
              <w:rPr>
                <w:rFonts w:ascii="Calibri" w:hAnsi="Calibri" w:cs="Calibri"/>
                <w:color w:val="000000" w:themeColor="text1"/>
                <w:sz w:val="15"/>
                <w:szCs w:val="15"/>
              </w:rPr>
              <w:t>171.9514</w:t>
            </w:r>
          </w:p>
        </w:tc>
        <w:tc>
          <w:tcPr>
            <w:tcW w:w="2371" w:type="dxa"/>
            <w:vMerge/>
          </w:tcPr>
          <w:p w14:paraId="77CFF751" w14:textId="77777777" w:rsidR="004D1935" w:rsidRDefault="004D1935" w:rsidP="00E24DC9"/>
        </w:tc>
        <w:tc>
          <w:tcPr>
            <w:tcW w:w="1333" w:type="dxa"/>
            <w:vMerge/>
          </w:tcPr>
          <w:p w14:paraId="004FE4C7" w14:textId="77777777" w:rsidR="004D1935" w:rsidRDefault="004D1935" w:rsidP="00E24DC9"/>
        </w:tc>
        <w:tc>
          <w:tcPr>
            <w:tcW w:w="1365" w:type="dxa"/>
            <w:vMerge/>
          </w:tcPr>
          <w:p w14:paraId="14084DA2" w14:textId="77777777" w:rsidR="004D1935" w:rsidRDefault="004D1935" w:rsidP="00E24DC9"/>
        </w:tc>
        <w:tc>
          <w:tcPr>
            <w:tcW w:w="6271" w:type="dxa"/>
            <w:vMerge/>
          </w:tcPr>
          <w:p w14:paraId="1D970131" w14:textId="77777777" w:rsidR="004D1935" w:rsidRDefault="004D1935" w:rsidP="00E24DC9"/>
        </w:tc>
      </w:tr>
      <w:tr w:rsidR="004D1935" w14:paraId="3E6492C4" w14:textId="77777777" w:rsidTr="00E24DC9">
        <w:tc>
          <w:tcPr>
            <w:tcW w:w="892" w:type="dxa"/>
            <w:vMerge/>
          </w:tcPr>
          <w:p w14:paraId="65B452D1" w14:textId="77777777" w:rsidR="004D1935" w:rsidRDefault="004D1935" w:rsidP="00E24DC9"/>
        </w:tc>
        <w:tc>
          <w:tcPr>
            <w:tcW w:w="1513" w:type="dxa"/>
            <w:tcBorders>
              <w:top w:val="nil"/>
              <w:bottom w:val="nil"/>
            </w:tcBorders>
            <w:vAlign w:val="center"/>
          </w:tcPr>
          <w:p w14:paraId="51DA1A41" w14:textId="77777777" w:rsidR="004D1935" w:rsidRPr="00106291" w:rsidRDefault="004D1935" w:rsidP="00E24DC9">
            <w:pPr>
              <w:jc w:val="center"/>
              <w:rPr>
                <w:sz w:val="15"/>
                <w:szCs w:val="15"/>
              </w:rPr>
            </w:pPr>
            <w:r w:rsidRPr="00106291">
              <w:rPr>
                <w:rFonts w:ascii="Calibri" w:hAnsi="Calibri" w:cs="Calibri"/>
                <w:color w:val="000000" w:themeColor="text1"/>
                <w:sz w:val="15"/>
                <w:szCs w:val="15"/>
              </w:rPr>
              <w:t>171.9161</w:t>
            </w:r>
          </w:p>
        </w:tc>
        <w:tc>
          <w:tcPr>
            <w:tcW w:w="2371" w:type="dxa"/>
            <w:vMerge/>
          </w:tcPr>
          <w:p w14:paraId="372E12E5" w14:textId="77777777" w:rsidR="004D1935" w:rsidRDefault="004D1935" w:rsidP="00E24DC9"/>
        </w:tc>
        <w:tc>
          <w:tcPr>
            <w:tcW w:w="1333" w:type="dxa"/>
            <w:vMerge/>
          </w:tcPr>
          <w:p w14:paraId="7D97A884" w14:textId="77777777" w:rsidR="004D1935" w:rsidRDefault="004D1935" w:rsidP="00E24DC9"/>
        </w:tc>
        <w:tc>
          <w:tcPr>
            <w:tcW w:w="1365" w:type="dxa"/>
            <w:vMerge/>
          </w:tcPr>
          <w:p w14:paraId="3E28BB2D" w14:textId="77777777" w:rsidR="004D1935" w:rsidRDefault="004D1935" w:rsidP="00E24DC9"/>
        </w:tc>
        <w:tc>
          <w:tcPr>
            <w:tcW w:w="6271" w:type="dxa"/>
            <w:vMerge/>
          </w:tcPr>
          <w:p w14:paraId="3BA1847D" w14:textId="77777777" w:rsidR="004D1935" w:rsidRDefault="004D1935" w:rsidP="00E24DC9"/>
        </w:tc>
      </w:tr>
      <w:tr w:rsidR="004D1935" w14:paraId="1B50F8E4" w14:textId="77777777" w:rsidTr="00E24DC9">
        <w:tc>
          <w:tcPr>
            <w:tcW w:w="892" w:type="dxa"/>
            <w:vMerge/>
          </w:tcPr>
          <w:p w14:paraId="335F3D80" w14:textId="77777777" w:rsidR="004D1935" w:rsidRDefault="004D1935" w:rsidP="00E24DC9"/>
        </w:tc>
        <w:tc>
          <w:tcPr>
            <w:tcW w:w="1513" w:type="dxa"/>
            <w:tcBorders>
              <w:top w:val="nil"/>
              <w:bottom w:val="nil"/>
            </w:tcBorders>
            <w:vAlign w:val="center"/>
          </w:tcPr>
          <w:p w14:paraId="67C7183C" w14:textId="77777777" w:rsidR="004D1935" w:rsidRPr="00106291" w:rsidRDefault="004D1935" w:rsidP="00E24DC9">
            <w:pPr>
              <w:jc w:val="center"/>
              <w:rPr>
                <w:sz w:val="15"/>
                <w:szCs w:val="15"/>
              </w:rPr>
            </w:pPr>
            <w:r w:rsidRPr="00106291">
              <w:rPr>
                <w:rFonts w:ascii="Calibri" w:hAnsi="Calibri" w:cs="Calibri"/>
                <w:color w:val="000000" w:themeColor="text1"/>
                <w:sz w:val="15"/>
                <w:szCs w:val="15"/>
              </w:rPr>
              <w:t>171.9448</w:t>
            </w:r>
          </w:p>
        </w:tc>
        <w:tc>
          <w:tcPr>
            <w:tcW w:w="2371" w:type="dxa"/>
            <w:vMerge/>
          </w:tcPr>
          <w:p w14:paraId="5BF9B39A" w14:textId="77777777" w:rsidR="004D1935" w:rsidRDefault="004D1935" w:rsidP="00E24DC9"/>
        </w:tc>
        <w:tc>
          <w:tcPr>
            <w:tcW w:w="1333" w:type="dxa"/>
            <w:vMerge/>
          </w:tcPr>
          <w:p w14:paraId="156BF3D0" w14:textId="77777777" w:rsidR="004D1935" w:rsidRDefault="004D1935" w:rsidP="00E24DC9"/>
        </w:tc>
        <w:tc>
          <w:tcPr>
            <w:tcW w:w="1365" w:type="dxa"/>
            <w:vMerge/>
          </w:tcPr>
          <w:p w14:paraId="6975365F" w14:textId="77777777" w:rsidR="004D1935" w:rsidRDefault="004D1935" w:rsidP="00E24DC9"/>
        </w:tc>
        <w:tc>
          <w:tcPr>
            <w:tcW w:w="6271" w:type="dxa"/>
            <w:vMerge/>
          </w:tcPr>
          <w:p w14:paraId="50B3C31C" w14:textId="77777777" w:rsidR="004D1935" w:rsidRDefault="004D1935" w:rsidP="00E24DC9"/>
        </w:tc>
      </w:tr>
      <w:tr w:rsidR="004D1935" w14:paraId="2801F733" w14:textId="77777777" w:rsidTr="00E24DC9">
        <w:tc>
          <w:tcPr>
            <w:tcW w:w="892" w:type="dxa"/>
            <w:vMerge/>
          </w:tcPr>
          <w:p w14:paraId="0C691601" w14:textId="77777777" w:rsidR="004D1935" w:rsidRDefault="004D1935" w:rsidP="00E24DC9"/>
        </w:tc>
        <w:tc>
          <w:tcPr>
            <w:tcW w:w="1513" w:type="dxa"/>
            <w:tcBorders>
              <w:top w:val="nil"/>
              <w:bottom w:val="nil"/>
            </w:tcBorders>
            <w:vAlign w:val="center"/>
          </w:tcPr>
          <w:p w14:paraId="367DC94E" w14:textId="77777777" w:rsidR="004D1935" w:rsidRPr="00106291" w:rsidRDefault="004D1935" w:rsidP="00E24DC9">
            <w:pPr>
              <w:jc w:val="center"/>
              <w:rPr>
                <w:rFonts w:ascii="Calibri" w:hAnsi="Calibri" w:cs="Calibri"/>
                <w:color w:val="000000" w:themeColor="text1"/>
                <w:sz w:val="15"/>
                <w:szCs w:val="15"/>
              </w:rPr>
            </w:pPr>
            <w:r w:rsidRPr="00106291">
              <w:rPr>
                <w:rFonts w:ascii="Calibri" w:hAnsi="Calibri" w:cs="Calibri"/>
                <w:color w:val="000000" w:themeColor="text1"/>
                <w:sz w:val="15"/>
                <w:szCs w:val="15"/>
              </w:rPr>
              <w:t>171.9735</w:t>
            </w:r>
          </w:p>
        </w:tc>
        <w:tc>
          <w:tcPr>
            <w:tcW w:w="2371" w:type="dxa"/>
            <w:vMerge/>
          </w:tcPr>
          <w:p w14:paraId="12A07DDF" w14:textId="77777777" w:rsidR="004D1935" w:rsidRDefault="004D1935" w:rsidP="00E24DC9"/>
        </w:tc>
        <w:tc>
          <w:tcPr>
            <w:tcW w:w="1333" w:type="dxa"/>
            <w:vMerge/>
          </w:tcPr>
          <w:p w14:paraId="320980E5" w14:textId="77777777" w:rsidR="004D1935" w:rsidRDefault="004D1935" w:rsidP="00E24DC9"/>
        </w:tc>
        <w:tc>
          <w:tcPr>
            <w:tcW w:w="1365" w:type="dxa"/>
            <w:vMerge/>
          </w:tcPr>
          <w:p w14:paraId="31A2A377" w14:textId="77777777" w:rsidR="004D1935" w:rsidRDefault="004D1935" w:rsidP="00E24DC9"/>
        </w:tc>
        <w:tc>
          <w:tcPr>
            <w:tcW w:w="6271" w:type="dxa"/>
            <w:vMerge/>
          </w:tcPr>
          <w:p w14:paraId="4765D0A4" w14:textId="77777777" w:rsidR="004D1935" w:rsidRDefault="004D1935" w:rsidP="00E24DC9"/>
        </w:tc>
      </w:tr>
      <w:tr w:rsidR="004D1935" w14:paraId="2B876E16" w14:textId="77777777" w:rsidTr="00E24DC9">
        <w:tc>
          <w:tcPr>
            <w:tcW w:w="892" w:type="dxa"/>
            <w:vMerge/>
          </w:tcPr>
          <w:p w14:paraId="6E752E46" w14:textId="77777777" w:rsidR="004D1935" w:rsidRDefault="004D1935" w:rsidP="00E24DC9"/>
        </w:tc>
        <w:tc>
          <w:tcPr>
            <w:tcW w:w="1513" w:type="dxa"/>
            <w:tcBorders>
              <w:top w:val="nil"/>
              <w:bottom w:val="nil"/>
            </w:tcBorders>
            <w:vAlign w:val="center"/>
          </w:tcPr>
          <w:p w14:paraId="207D2FF6" w14:textId="77777777" w:rsidR="004D1935" w:rsidRPr="00106291" w:rsidRDefault="004D1935" w:rsidP="00E24DC9">
            <w:pPr>
              <w:jc w:val="center"/>
              <w:rPr>
                <w:rFonts w:ascii="Calibri" w:hAnsi="Calibri" w:cs="Calibri"/>
                <w:color w:val="000000" w:themeColor="text1"/>
                <w:sz w:val="15"/>
                <w:szCs w:val="15"/>
              </w:rPr>
            </w:pPr>
            <w:r w:rsidRPr="00106291">
              <w:rPr>
                <w:rFonts w:ascii="Calibri" w:hAnsi="Calibri" w:cs="Calibri"/>
                <w:color w:val="000000" w:themeColor="text1"/>
                <w:sz w:val="15"/>
                <w:szCs w:val="15"/>
              </w:rPr>
              <w:t>172.0098</w:t>
            </w:r>
          </w:p>
        </w:tc>
        <w:tc>
          <w:tcPr>
            <w:tcW w:w="2371" w:type="dxa"/>
            <w:vMerge/>
          </w:tcPr>
          <w:p w14:paraId="7DA5C602" w14:textId="77777777" w:rsidR="004D1935" w:rsidRDefault="004D1935" w:rsidP="00E24DC9"/>
        </w:tc>
        <w:tc>
          <w:tcPr>
            <w:tcW w:w="1333" w:type="dxa"/>
            <w:vMerge/>
          </w:tcPr>
          <w:p w14:paraId="5BAA2C2B" w14:textId="77777777" w:rsidR="004D1935" w:rsidRDefault="004D1935" w:rsidP="00E24DC9"/>
        </w:tc>
        <w:tc>
          <w:tcPr>
            <w:tcW w:w="1365" w:type="dxa"/>
            <w:vMerge/>
          </w:tcPr>
          <w:p w14:paraId="2A6D47C3" w14:textId="77777777" w:rsidR="004D1935" w:rsidRDefault="004D1935" w:rsidP="00E24DC9"/>
        </w:tc>
        <w:tc>
          <w:tcPr>
            <w:tcW w:w="6271" w:type="dxa"/>
            <w:vMerge/>
          </w:tcPr>
          <w:p w14:paraId="3D66CB06" w14:textId="77777777" w:rsidR="004D1935" w:rsidRDefault="004D1935" w:rsidP="00E24DC9"/>
        </w:tc>
      </w:tr>
      <w:tr w:rsidR="004D1935" w14:paraId="47E97B32" w14:textId="77777777" w:rsidTr="00E24DC9">
        <w:tc>
          <w:tcPr>
            <w:tcW w:w="892" w:type="dxa"/>
            <w:vMerge/>
          </w:tcPr>
          <w:p w14:paraId="059711B8" w14:textId="77777777" w:rsidR="004D1935" w:rsidRDefault="004D1935" w:rsidP="00E24DC9"/>
        </w:tc>
        <w:tc>
          <w:tcPr>
            <w:tcW w:w="1513" w:type="dxa"/>
            <w:tcBorders>
              <w:top w:val="nil"/>
              <w:bottom w:val="nil"/>
            </w:tcBorders>
            <w:vAlign w:val="center"/>
          </w:tcPr>
          <w:p w14:paraId="0F8F7D83" w14:textId="77777777" w:rsidR="004D1935" w:rsidRPr="00106291" w:rsidRDefault="004D1935" w:rsidP="00E24DC9">
            <w:pPr>
              <w:jc w:val="center"/>
              <w:rPr>
                <w:rFonts w:ascii="Calibri" w:hAnsi="Calibri" w:cs="Calibri"/>
                <w:color w:val="000000" w:themeColor="text1"/>
                <w:sz w:val="15"/>
                <w:szCs w:val="15"/>
              </w:rPr>
            </w:pPr>
            <w:r w:rsidRPr="00106291">
              <w:rPr>
                <w:rFonts w:ascii="Calibri" w:hAnsi="Calibri" w:cs="Calibri"/>
                <w:color w:val="000000" w:themeColor="text1"/>
                <w:sz w:val="15"/>
                <w:szCs w:val="15"/>
              </w:rPr>
              <w:t>172.0796</w:t>
            </w:r>
          </w:p>
        </w:tc>
        <w:tc>
          <w:tcPr>
            <w:tcW w:w="2371" w:type="dxa"/>
            <w:vMerge/>
          </w:tcPr>
          <w:p w14:paraId="0ECED0E0" w14:textId="77777777" w:rsidR="004D1935" w:rsidRDefault="004D1935" w:rsidP="00E24DC9"/>
        </w:tc>
        <w:tc>
          <w:tcPr>
            <w:tcW w:w="1333" w:type="dxa"/>
            <w:vMerge/>
          </w:tcPr>
          <w:p w14:paraId="2F2FE363" w14:textId="77777777" w:rsidR="004D1935" w:rsidRDefault="004D1935" w:rsidP="00E24DC9"/>
        </w:tc>
        <w:tc>
          <w:tcPr>
            <w:tcW w:w="1365" w:type="dxa"/>
            <w:vMerge/>
          </w:tcPr>
          <w:p w14:paraId="5B3327C7" w14:textId="77777777" w:rsidR="004D1935" w:rsidRDefault="004D1935" w:rsidP="00E24DC9"/>
        </w:tc>
        <w:tc>
          <w:tcPr>
            <w:tcW w:w="6271" w:type="dxa"/>
            <w:vMerge/>
          </w:tcPr>
          <w:p w14:paraId="5489DCD3" w14:textId="77777777" w:rsidR="004D1935" w:rsidRDefault="004D1935" w:rsidP="00E24DC9"/>
        </w:tc>
      </w:tr>
      <w:tr w:rsidR="004D1935" w14:paraId="0AA5F972" w14:textId="77777777" w:rsidTr="00E24DC9">
        <w:tc>
          <w:tcPr>
            <w:tcW w:w="892" w:type="dxa"/>
            <w:vMerge/>
          </w:tcPr>
          <w:p w14:paraId="63280042" w14:textId="77777777" w:rsidR="004D1935" w:rsidRDefault="004D1935" w:rsidP="00E24DC9"/>
        </w:tc>
        <w:tc>
          <w:tcPr>
            <w:tcW w:w="1513" w:type="dxa"/>
            <w:tcBorders>
              <w:top w:val="nil"/>
              <w:bottom w:val="nil"/>
            </w:tcBorders>
            <w:vAlign w:val="center"/>
          </w:tcPr>
          <w:p w14:paraId="109ECEAD" w14:textId="77777777" w:rsidR="004D1935" w:rsidRPr="00106291" w:rsidRDefault="004D1935" w:rsidP="00E24DC9">
            <w:pPr>
              <w:jc w:val="center"/>
              <w:rPr>
                <w:rFonts w:ascii="Calibri" w:hAnsi="Calibri" w:cs="Calibri"/>
                <w:color w:val="000000" w:themeColor="text1"/>
                <w:sz w:val="15"/>
                <w:szCs w:val="15"/>
              </w:rPr>
            </w:pPr>
            <w:r w:rsidRPr="00106291">
              <w:rPr>
                <w:rFonts w:ascii="Calibri" w:hAnsi="Calibri" w:cs="Calibri"/>
                <w:color w:val="000000" w:themeColor="text1"/>
                <w:sz w:val="15"/>
                <w:szCs w:val="15"/>
              </w:rPr>
              <w:t>171.9562</w:t>
            </w:r>
          </w:p>
        </w:tc>
        <w:tc>
          <w:tcPr>
            <w:tcW w:w="2371" w:type="dxa"/>
            <w:vMerge/>
          </w:tcPr>
          <w:p w14:paraId="376B8F80" w14:textId="77777777" w:rsidR="004D1935" w:rsidRDefault="004D1935" w:rsidP="00E24DC9"/>
        </w:tc>
        <w:tc>
          <w:tcPr>
            <w:tcW w:w="1333" w:type="dxa"/>
            <w:vMerge/>
          </w:tcPr>
          <w:p w14:paraId="346CF45F" w14:textId="77777777" w:rsidR="004D1935" w:rsidRDefault="004D1935" w:rsidP="00E24DC9"/>
        </w:tc>
        <w:tc>
          <w:tcPr>
            <w:tcW w:w="1365" w:type="dxa"/>
            <w:vMerge/>
          </w:tcPr>
          <w:p w14:paraId="52E7B64E" w14:textId="77777777" w:rsidR="004D1935" w:rsidRDefault="004D1935" w:rsidP="00E24DC9"/>
        </w:tc>
        <w:tc>
          <w:tcPr>
            <w:tcW w:w="6271" w:type="dxa"/>
            <w:vMerge/>
          </w:tcPr>
          <w:p w14:paraId="1E49A75A" w14:textId="77777777" w:rsidR="004D1935" w:rsidRDefault="004D1935" w:rsidP="00E24DC9"/>
        </w:tc>
      </w:tr>
      <w:tr w:rsidR="004D1935" w14:paraId="7EEAA105" w14:textId="77777777" w:rsidTr="00E24DC9">
        <w:tc>
          <w:tcPr>
            <w:tcW w:w="892" w:type="dxa"/>
            <w:vMerge/>
          </w:tcPr>
          <w:p w14:paraId="1C5F4469" w14:textId="77777777" w:rsidR="004D1935" w:rsidRDefault="004D1935" w:rsidP="00E24DC9"/>
        </w:tc>
        <w:tc>
          <w:tcPr>
            <w:tcW w:w="1513" w:type="dxa"/>
            <w:tcBorders>
              <w:top w:val="nil"/>
              <w:bottom w:val="nil"/>
            </w:tcBorders>
            <w:vAlign w:val="center"/>
          </w:tcPr>
          <w:p w14:paraId="0DD03A41" w14:textId="77777777" w:rsidR="004D1935" w:rsidRPr="00106291" w:rsidRDefault="004D1935" w:rsidP="00E24DC9">
            <w:pPr>
              <w:jc w:val="center"/>
              <w:rPr>
                <w:rFonts w:ascii="Calibri" w:hAnsi="Calibri" w:cs="Calibri"/>
                <w:color w:val="000000" w:themeColor="text1"/>
                <w:sz w:val="15"/>
                <w:szCs w:val="15"/>
              </w:rPr>
            </w:pPr>
            <w:r w:rsidRPr="00106291">
              <w:rPr>
                <w:rFonts w:ascii="Calibri" w:hAnsi="Calibri" w:cs="Calibri"/>
                <w:color w:val="000000" w:themeColor="text1"/>
                <w:sz w:val="15"/>
                <w:szCs w:val="15"/>
              </w:rPr>
              <w:t>172.0805</w:t>
            </w:r>
          </w:p>
        </w:tc>
        <w:tc>
          <w:tcPr>
            <w:tcW w:w="2371" w:type="dxa"/>
            <w:vMerge/>
          </w:tcPr>
          <w:p w14:paraId="08577562" w14:textId="77777777" w:rsidR="004D1935" w:rsidRDefault="004D1935" w:rsidP="00E24DC9"/>
        </w:tc>
        <w:tc>
          <w:tcPr>
            <w:tcW w:w="1333" w:type="dxa"/>
            <w:vMerge/>
          </w:tcPr>
          <w:p w14:paraId="1E3ED2B2" w14:textId="77777777" w:rsidR="004D1935" w:rsidRDefault="004D1935" w:rsidP="00E24DC9"/>
        </w:tc>
        <w:tc>
          <w:tcPr>
            <w:tcW w:w="1365" w:type="dxa"/>
            <w:vMerge/>
          </w:tcPr>
          <w:p w14:paraId="6B25C2F0" w14:textId="77777777" w:rsidR="004D1935" w:rsidRDefault="004D1935" w:rsidP="00E24DC9"/>
        </w:tc>
        <w:tc>
          <w:tcPr>
            <w:tcW w:w="6271" w:type="dxa"/>
            <w:vMerge/>
          </w:tcPr>
          <w:p w14:paraId="22B46DF2" w14:textId="77777777" w:rsidR="004D1935" w:rsidRDefault="004D1935" w:rsidP="00E24DC9"/>
        </w:tc>
      </w:tr>
      <w:tr w:rsidR="004D1935" w14:paraId="79F336C2" w14:textId="77777777" w:rsidTr="00E24DC9">
        <w:tc>
          <w:tcPr>
            <w:tcW w:w="892" w:type="dxa"/>
            <w:vMerge/>
          </w:tcPr>
          <w:p w14:paraId="0A30414B" w14:textId="77777777" w:rsidR="004D1935" w:rsidRDefault="004D1935" w:rsidP="00E24DC9"/>
        </w:tc>
        <w:tc>
          <w:tcPr>
            <w:tcW w:w="1513" w:type="dxa"/>
            <w:tcBorders>
              <w:top w:val="nil"/>
              <w:bottom w:val="nil"/>
            </w:tcBorders>
            <w:vAlign w:val="center"/>
          </w:tcPr>
          <w:p w14:paraId="7845931D" w14:textId="77777777" w:rsidR="004D1935" w:rsidRPr="00106291" w:rsidRDefault="004D1935" w:rsidP="00E24DC9">
            <w:pPr>
              <w:jc w:val="center"/>
              <w:rPr>
                <w:rFonts w:ascii="Calibri" w:hAnsi="Calibri" w:cs="Calibri"/>
                <w:color w:val="000000" w:themeColor="text1"/>
                <w:sz w:val="15"/>
                <w:szCs w:val="15"/>
              </w:rPr>
            </w:pPr>
            <w:r w:rsidRPr="00106291">
              <w:rPr>
                <w:rFonts w:ascii="Calibri" w:hAnsi="Calibri" w:cs="Calibri"/>
                <w:color w:val="000000" w:themeColor="text1"/>
                <w:sz w:val="15"/>
                <w:szCs w:val="15"/>
              </w:rPr>
              <w:t>172.0777</w:t>
            </w:r>
          </w:p>
        </w:tc>
        <w:tc>
          <w:tcPr>
            <w:tcW w:w="2371" w:type="dxa"/>
            <w:vMerge/>
          </w:tcPr>
          <w:p w14:paraId="2029BA92" w14:textId="77777777" w:rsidR="004D1935" w:rsidRDefault="004D1935" w:rsidP="00E24DC9"/>
        </w:tc>
        <w:tc>
          <w:tcPr>
            <w:tcW w:w="1333" w:type="dxa"/>
            <w:vMerge/>
          </w:tcPr>
          <w:p w14:paraId="7BE73067" w14:textId="77777777" w:rsidR="004D1935" w:rsidRDefault="004D1935" w:rsidP="00E24DC9"/>
        </w:tc>
        <w:tc>
          <w:tcPr>
            <w:tcW w:w="1365" w:type="dxa"/>
            <w:vMerge/>
          </w:tcPr>
          <w:p w14:paraId="6F38D68D" w14:textId="77777777" w:rsidR="004D1935" w:rsidRDefault="004D1935" w:rsidP="00E24DC9"/>
        </w:tc>
        <w:tc>
          <w:tcPr>
            <w:tcW w:w="6271" w:type="dxa"/>
            <w:vMerge/>
          </w:tcPr>
          <w:p w14:paraId="728BD83B" w14:textId="77777777" w:rsidR="004D1935" w:rsidRDefault="004D1935" w:rsidP="00E24DC9"/>
        </w:tc>
      </w:tr>
      <w:tr w:rsidR="004D1935" w14:paraId="3CA6D17D" w14:textId="77777777" w:rsidTr="00E24DC9">
        <w:tc>
          <w:tcPr>
            <w:tcW w:w="892" w:type="dxa"/>
            <w:vMerge/>
          </w:tcPr>
          <w:p w14:paraId="02889CE7" w14:textId="77777777" w:rsidR="004D1935" w:rsidRDefault="004D1935" w:rsidP="00E24DC9"/>
        </w:tc>
        <w:tc>
          <w:tcPr>
            <w:tcW w:w="1513" w:type="dxa"/>
            <w:tcBorders>
              <w:top w:val="nil"/>
              <w:bottom w:val="nil"/>
            </w:tcBorders>
            <w:vAlign w:val="center"/>
          </w:tcPr>
          <w:p w14:paraId="4DF7F719" w14:textId="77777777" w:rsidR="004D1935" w:rsidRPr="00C523D9" w:rsidRDefault="004D1935" w:rsidP="00E24DC9">
            <w:pPr>
              <w:jc w:val="center"/>
              <w:rPr>
                <w:rFonts w:ascii="Calibri" w:hAnsi="Calibri" w:cs="Calibri"/>
                <w:color w:val="000000" w:themeColor="text1"/>
                <w:sz w:val="16"/>
                <w:szCs w:val="16"/>
              </w:rPr>
            </w:pPr>
          </w:p>
        </w:tc>
        <w:tc>
          <w:tcPr>
            <w:tcW w:w="2371" w:type="dxa"/>
            <w:vMerge/>
          </w:tcPr>
          <w:p w14:paraId="3CCF683B" w14:textId="77777777" w:rsidR="004D1935" w:rsidRDefault="004D1935" w:rsidP="00E24DC9"/>
        </w:tc>
        <w:tc>
          <w:tcPr>
            <w:tcW w:w="1333" w:type="dxa"/>
            <w:vMerge/>
          </w:tcPr>
          <w:p w14:paraId="7BDE6A5C" w14:textId="77777777" w:rsidR="004D1935" w:rsidRDefault="004D1935" w:rsidP="00E24DC9"/>
        </w:tc>
        <w:tc>
          <w:tcPr>
            <w:tcW w:w="1365" w:type="dxa"/>
            <w:vMerge/>
          </w:tcPr>
          <w:p w14:paraId="1EA33DD7" w14:textId="77777777" w:rsidR="004D1935" w:rsidRDefault="004D1935" w:rsidP="00E24DC9"/>
        </w:tc>
        <w:tc>
          <w:tcPr>
            <w:tcW w:w="6271" w:type="dxa"/>
            <w:vMerge/>
          </w:tcPr>
          <w:p w14:paraId="778822AA" w14:textId="77777777" w:rsidR="004D1935" w:rsidRDefault="004D1935" w:rsidP="00E24DC9"/>
        </w:tc>
      </w:tr>
      <w:tr w:rsidR="004D1935" w14:paraId="792F904D" w14:textId="77777777" w:rsidTr="00E24DC9">
        <w:tc>
          <w:tcPr>
            <w:tcW w:w="892" w:type="dxa"/>
            <w:vMerge/>
          </w:tcPr>
          <w:p w14:paraId="66BF7A74" w14:textId="77777777" w:rsidR="004D1935" w:rsidRDefault="004D1935" w:rsidP="00E24DC9"/>
        </w:tc>
        <w:tc>
          <w:tcPr>
            <w:tcW w:w="1513" w:type="dxa"/>
            <w:tcBorders>
              <w:top w:val="nil"/>
              <w:bottom w:val="nil"/>
            </w:tcBorders>
            <w:vAlign w:val="bottom"/>
          </w:tcPr>
          <w:p w14:paraId="5AC9B05F" w14:textId="77777777" w:rsidR="004D1935" w:rsidRPr="00C523D9" w:rsidRDefault="004D1935" w:rsidP="00E24DC9">
            <w:pPr>
              <w:rPr>
                <w:rFonts w:ascii="Calibri" w:hAnsi="Calibri" w:cs="Calibri"/>
                <w:color w:val="000000" w:themeColor="text1"/>
                <w:sz w:val="16"/>
                <w:szCs w:val="16"/>
              </w:rPr>
            </w:pPr>
          </w:p>
        </w:tc>
        <w:tc>
          <w:tcPr>
            <w:tcW w:w="2371" w:type="dxa"/>
            <w:vMerge/>
          </w:tcPr>
          <w:p w14:paraId="06800C80" w14:textId="77777777" w:rsidR="004D1935" w:rsidRDefault="004D1935" w:rsidP="00E24DC9"/>
        </w:tc>
        <w:tc>
          <w:tcPr>
            <w:tcW w:w="1333" w:type="dxa"/>
            <w:vMerge/>
          </w:tcPr>
          <w:p w14:paraId="796C31C2" w14:textId="77777777" w:rsidR="004D1935" w:rsidRDefault="004D1935" w:rsidP="00E24DC9"/>
        </w:tc>
        <w:tc>
          <w:tcPr>
            <w:tcW w:w="1365" w:type="dxa"/>
            <w:vMerge/>
          </w:tcPr>
          <w:p w14:paraId="46BDE692" w14:textId="77777777" w:rsidR="004D1935" w:rsidRDefault="004D1935" w:rsidP="00E24DC9"/>
        </w:tc>
        <w:tc>
          <w:tcPr>
            <w:tcW w:w="6271" w:type="dxa"/>
            <w:vMerge/>
          </w:tcPr>
          <w:p w14:paraId="7E435C0E" w14:textId="77777777" w:rsidR="004D1935" w:rsidRDefault="004D1935" w:rsidP="00E24DC9"/>
        </w:tc>
      </w:tr>
      <w:tr w:rsidR="004D1935" w14:paraId="4C880176" w14:textId="77777777" w:rsidTr="00E24DC9">
        <w:tc>
          <w:tcPr>
            <w:tcW w:w="892" w:type="dxa"/>
            <w:vMerge/>
          </w:tcPr>
          <w:p w14:paraId="30BFC6B2" w14:textId="77777777" w:rsidR="004D1935" w:rsidRDefault="004D1935" w:rsidP="00E24DC9"/>
        </w:tc>
        <w:tc>
          <w:tcPr>
            <w:tcW w:w="1513" w:type="dxa"/>
            <w:tcBorders>
              <w:top w:val="nil"/>
              <w:bottom w:val="nil"/>
            </w:tcBorders>
            <w:vAlign w:val="bottom"/>
          </w:tcPr>
          <w:p w14:paraId="483663B8" w14:textId="77777777" w:rsidR="004D1935" w:rsidRPr="00C523D9" w:rsidRDefault="004D1935" w:rsidP="00E24DC9">
            <w:pPr>
              <w:rPr>
                <w:rFonts w:ascii="Calibri" w:hAnsi="Calibri" w:cs="Calibri"/>
                <w:color w:val="000000" w:themeColor="text1"/>
                <w:sz w:val="16"/>
                <w:szCs w:val="16"/>
              </w:rPr>
            </w:pPr>
          </w:p>
        </w:tc>
        <w:tc>
          <w:tcPr>
            <w:tcW w:w="2371" w:type="dxa"/>
            <w:vMerge/>
          </w:tcPr>
          <w:p w14:paraId="699C6780" w14:textId="77777777" w:rsidR="004D1935" w:rsidRDefault="004D1935" w:rsidP="00E24DC9"/>
        </w:tc>
        <w:tc>
          <w:tcPr>
            <w:tcW w:w="1333" w:type="dxa"/>
            <w:vMerge/>
          </w:tcPr>
          <w:p w14:paraId="303B9BA7" w14:textId="77777777" w:rsidR="004D1935" w:rsidRDefault="004D1935" w:rsidP="00E24DC9"/>
        </w:tc>
        <w:tc>
          <w:tcPr>
            <w:tcW w:w="1365" w:type="dxa"/>
            <w:vMerge/>
          </w:tcPr>
          <w:p w14:paraId="79CF1CB2" w14:textId="77777777" w:rsidR="004D1935" w:rsidRDefault="004D1935" w:rsidP="00E24DC9"/>
        </w:tc>
        <w:tc>
          <w:tcPr>
            <w:tcW w:w="6271" w:type="dxa"/>
            <w:vMerge/>
          </w:tcPr>
          <w:p w14:paraId="198CE05D" w14:textId="77777777" w:rsidR="004D1935" w:rsidRDefault="004D1935" w:rsidP="00E24DC9"/>
        </w:tc>
      </w:tr>
      <w:tr w:rsidR="004D1935" w14:paraId="6D21E8BF" w14:textId="77777777" w:rsidTr="00E24DC9">
        <w:tc>
          <w:tcPr>
            <w:tcW w:w="892" w:type="dxa"/>
            <w:vMerge/>
          </w:tcPr>
          <w:p w14:paraId="18ACF61E" w14:textId="77777777" w:rsidR="004D1935" w:rsidRDefault="004D1935" w:rsidP="00E24DC9"/>
        </w:tc>
        <w:tc>
          <w:tcPr>
            <w:tcW w:w="1513" w:type="dxa"/>
            <w:tcBorders>
              <w:top w:val="nil"/>
              <w:bottom w:val="nil"/>
            </w:tcBorders>
            <w:vAlign w:val="bottom"/>
          </w:tcPr>
          <w:p w14:paraId="3E6AA61B" w14:textId="77777777" w:rsidR="004D1935" w:rsidRPr="00C523D9" w:rsidRDefault="004D1935" w:rsidP="00E24DC9">
            <w:pPr>
              <w:rPr>
                <w:rFonts w:ascii="Calibri" w:hAnsi="Calibri" w:cs="Calibri"/>
                <w:color w:val="000000" w:themeColor="text1"/>
                <w:sz w:val="16"/>
                <w:szCs w:val="16"/>
              </w:rPr>
            </w:pPr>
          </w:p>
        </w:tc>
        <w:tc>
          <w:tcPr>
            <w:tcW w:w="2371" w:type="dxa"/>
            <w:vMerge/>
          </w:tcPr>
          <w:p w14:paraId="1C731F0B" w14:textId="77777777" w:rsidR="004D1935" w:rsidRDefault="004D1935" w:rsidP="00E24DC9"/>
        </w:tc>
        <w:tc>
          <w:tcPr>
            <w:tcW w:w="1333" w:type="dxa"/>
            <w:vMerge/>
          </w:tcPr>
          <w:p w14:paraId="077ABC8B" w14:textId="77777777" w:rsidR="004D1935" w:rsidRDefault="004D1935" w:rsidP="00E24DC9"/>
        </w:tc>
        <w:tc>
          <w:tcPr>
            <w:tcW w:w="1365" w:type="dxa"/>
            <w:vMerge/>
          </w:tcPr>
          <w:p w14:paraId="0A9FE848" w14:textId="77777777" w:rsidR="004D1935" w:rsidRDefault="004D1935" w:rsidP="00E24DC9"/>
        </w:tc>
        <w:tc>
          <w:tcPr>
            <w:tcW w:w="6271" w:type="dxa"/>
            <w:vMerge/>
          </w:tcPr>
          <w:p w14:paraId="339EC615" w14:textId="77777777" w:rsidR="004D1935" w:rsidRDefault="004D1935" w:rsidP="00E24DC9"/>
        </w:tc>
      </w:tr>
      <w:tr w:rsidR="004D1935" w14:paraId="10240569" w14:textId="77777777" w:rsidTr="00E24DC9">
        <w:tc>
          <w:tcPr>
            <w:tcW w:w="892" w:type="dxa"/>
            <w:vMerge/>
          </w:tcPr>
          <w:p w14:paraId="48EACE6A" w14:textId="77777777" w:rsidR="004D1935" w:rsidRDefault="004D1935" w:rsidP="00E24DC9"/>
        </w:tc>
        <w:tc>
          <w:tcPr>
            <w:tcW w:w="1513" w:type="dxa"/>
            <w:tcBorders>
              <w:top w:val="nil"/>
              <w:bottom w:val="nil"/>
            </w:tcBorders>
            <w:vAlign w:val="bottom"/>
          </w:tcPr>
          <w:p w14:paraId="72FD890E" w14:textId="77777777" w:rsidR="004D1935" w:rsidRPr="00C523D9" w:rsidRDefault="004D1935" w:rsidP="00E24DC9">
            <w:pPr>
              <w:rPr>
                <w:rFonts w:ascii="Calibri" w:hAnsi="Calibri" w:cs="Calibri"/>
                <w:color w:val="000000" w:themeColor="text1"/>
                <w:sz w:val="16"/>
                <w:szCs w:val="16"/>
              </w:rPr>
            </w:pPr>
          </w:p>
        </w:tc>
        <w:tc>
          <w:tcPr>
            <w:tcW w:w="2371" w:type="dxa"/>
            <w:vMerge/>
          </w:tcPr>
          <w:p w14:paraId="037FC20B" w14:textId="77777777" w:rsidR="004D1935" w:rsidRDefault="004D1935" w:rsidP="00E24DC9"/>
        </w:tc>
        <w:tc>
          <w:tcPr>
            <w:tcW w:w="1333" w:type="dxa"/>
            <w:vMerge/>
          </w:tcPr>
          <w:p w14:paraId="5743DF76" w14:textId="77777777" w:rsidR="004D1935" w:rsidRDefault="004D1935" w:rsidP="00E24DC9"/>
        </w:tc>
        <w:tc>
          <w:tcPr>
            <w:tcW w:w="1365" w:type="dxa"/>
            <w:vMerge/>
          </w:tcPr>
          <w:p w14:paraId="61E085EF" w14:textId="77777777" w:rsidR="004D1935" w:rsidRDefault="004D1935" w:rsidP="00E24DC9"/>
        </w:tc>
        <w:tc>
          <w:tcPr>
            <w:tcW w:w="6271" w:type="dxa"/>
            <w:vMerge/>
          </w:tcPr>
          <w:p w14:paraId="7D7F1A61" w14:textId="77777777" w:rsidR="004D1935" w:rsidRDefault="004D1935" w:rsidP="00E24DC9"/>
        </w:tc>
      </w:tr>
      <w:tr w:rsidR="004D1935" w14:paraId="18236365" w14:textId="77777777" w:rsidTr="00E24DC9">
        <w:tc>
          <w:tcPr>
            <w:tcW w:w="892" w:type="dxa"/>
            <w:vMerge/>
          </w:tcPr>
          <w:p w14:paraId="50F03E86" w14:textId="77777777" w:rsidR="004D1935" w:rsidRDefault="004D1935" w:rsidP="00E24DC9"/>
        </w:tc>
        <w:tc>
          <w:tcPr>
            <w:tcW w:w="1513" w:type="dxa"/>
            <w:tcBorders>
              <w:top w:val="nil"/>
            </w:tcBorders>
            <w:vAlign w:val="bottom"/>
          </w:tcPr>
          <w:p w14:paraId="2B9B690E" w14:textId="77777777" w:rsidR="004D1935" w:rsidRPr="00C523D9" w:rsidRDefault="004D1935" w:rsidP="00E24DC9">
            <w:pPr>
              <w:rPr>
                <w:rFonts w:ascii="Calibri" w:hAnsi="Calibri" w:cs="Calibri"/>
                <w:color w:val="000000" w:themeColor="text1"/>
                <w:sz w:val="16"/>
                <w:szCs w:val="16"/>
              </w:rPr>
            </w:pPr>
          </w:p>
        </w:tc>
        <w:tc>
          <w:tcPr>
            <w:tcW w:w="2371" w:type="dxa"/>
            <w:vMerge/>
          </w:tcPr>
          <w:p w14:paraId="041A17C7" w14:textId="77777777" w:rsidR="004D1935" w:rsidRDefault="004D1935" w:rsidP="00E24DC9"/>
        </w:tc>
        <w:tc>
          <w:tcPr>
            <w:tcW w:w="1333" w:type="dxa"/>
            <w:vMerge/>
          </w:tcPr>
          <w:p w14:paraId="780EF106" w14:textId="77777777" w:rsidR="004D1935" w:rsidRDefault="004D1935" w:rsidP="00E24DC9"/>
        </w:tc>
        <w:tc>
          <w:tcPr>
            <w:tcW w:w="1365" w:type="dxa"/>
            <w:vMerge/>
          </w:tcPr>
          <w:p w14:paraId="70417B2C" w14:textId="77777777" w:rsidR="004D1935" w:rsidRDefault="004D1935" w:rsidP="00E24DC9"/>
        </w:tc>
        <w:tc>
          <w:tcPr>
            <w:tcW w:w="6271" w:type="dxa"/>
            <w:vMerge/>
          </w:tcPr>
          <w:p w14:paraId="1B1F3AE7" w14:textId="77777777" w:rsidR="004D1935" w:rsidRDefault="004D1935" w:rsidP="00E24DC9"/>
        </w:tc>
      </w:tr>
    </w:tbl>
    <w:p w14:paraId="20A8EB5E" w14:textId="77777777" w:rsidR="004D1935" w:rsidRDefault="004D1935" w:rsidP="004D1935">
      <w:pPr>
        <w:autoSpaceDE w:val="0"/>
        <w:autoSpaceDN w:val="0"/>
        <w:adjustRightInd w:val="0"/>
        <w:rPr>
          <w:rFonts w:eastAsiaTheme="minorHAnsi"/>
          <w:sz w:val="16"/>
          <w:szCs w:val="16"/>
        </w:rPr>
      </w:pPr>
      <w:r>
        <w:rPr>
          <w:rFonts w:eastAsiaTheme="minorHAnsi"/>
          <w:sz w:val="16"/>
          <w:szCs w:val="16"/>
        </w:rPr>
        <w:lastRenderedPageBreak/>
        <w:t>Table A 4.8: Discriminant mass bins (174) in shoot organic phase and their associated detected masses looking for compound identification accounts for protonated adduct (H) and K , NA</w:t>
      </w:r>
      <w:r w:rsidRPr="00396597">
        <w:rPr>
          <w:rFonts w:eastAsiaTheme="minorHAnsi"/>
          <w:sz w:val="16"/>
          <w:szCs w:val="16"/>
        </w:rPr>
        <w:t xml:space="preserve"> </w:t>
      </w:r>
      <w:r>
        <w:rPr>
          <w:rFonts w:eastAsiaTheme="minorHAnsi"/>
          <w:sz w:val="16"/>
          <w:szCs w:val="16"/>
        </w:rPr>
        <w:t>in positive mode in the analysis. The putatively identified compounds, their chemical groups, and the associated pathways are displayed.</w:t>
      </w:r>
    </w:p>
    <w:p w14:paraId="0B5A282E" w14:textId="77777777" w:rsidR="004D1935" w:rsidRDefault="004D1935" w:rsidP="004D1935">
      <w:pPr>
        <w:autoSpaceDE w:val="0"/>
        <w:autoSpaceDN w:val="0"/>
        <w:adjustRightInd w:val="0"/>
        <w:rPr>
          <w:rFonts w:eastAsiaTheme="minorHAnsi"/>
          <w:sz w:val="16"/>
          <w:szCs w:val="16"/>
        </w:rPr>
      </w:pPr>
    </w:p>
    <w:p w14:paraId="1CC41493" w14:textId="77777777" w:rsidR="004D1935" w:rsidRDefault="004D1935" w:rsidP="004D1935">
      <w:pPr>
        <w:autoSpaceDE w:val="0"/>
        <w:autoSpaceDN w:val="0"/>
        <w:adjustRightInd w:val="0"/>
        <w:rPr>
          <w:rFonts w:eastAsiaTheme="minorHAnsi"/>
          <w:sz w:val="16"/>
          <w:szCs w:val="16"/>
        </w:rPr>
      </w:pPr>
      <w:r>
        <w:rPr>
          <w:rFonts w:eastAsiaTheme="minorHAnsi"/>
          <w:sz w:val="16"/>
          <w:szCs w:val="16"/>
        </w:rPr>
        <w:t>.</w:t>
      </w:r>
    </w:p>
    <w:tbl>
      <w:tblPr>
        <w:tblStyle w:val="TableGrid"/>
        <w:tblW w:w="13887" w:type="dxa"/>
        <w:tblLayout w:type="fixed"/>
        <w:tblLook w:val="04A0" w:firstRow="1" w:lastRow="0" w:firstColumn="1" w:lastColumn="0" w:noHBand="0" w:noVBand="1"/>
      </w:tblPr>
      <w:tblGrid>
        <w:gridCol w:w="704"/>
        <w:gridCol w:w="851"/>
        <w:gridCol w:w="2268"/>
        <w:gridCol w:w="992"/>
        <w:gridCol w:w="1843"/>
        <w:gridCol w:w="7229"/>
      </w:tblGrid>
      <w:tr w:rsidR="004D1935" w14:paraId="1177EE44" w14:textId="77777777" w:rsidTr="00E24DC9">
        <w:tc>
          <w:tcPr>
            <w:tcW w:w="704" w:type="dxa"/>
          </w:tcPr>
          <w:p w14:paraId="29561728" w14:textId="77777777" w:rsidR="004D1935" w:rsidRPr="00606FDD" w:rsidRDefault="004D1935" w:rsidP="00E24DC9">
            <w:pPr>
              <w:rPr>
                <w:sz w:val="16"/>
                <w:szCs w:val="16"/>
              </w:rPr>
            </w:pPr>
            <w:r w:rsidRPr="00606FDD">
              <w:rPr>
                <w:sz w:val="16"/>
                <w:szCs w:val="16"/>
              </w:rPr>
              <w:t>adduct</w:t>
            </w:r>
          </w:p>
        </w:tc>
        <w:tc>
          <w:tcPr>
            <w:tcW w:w="851" w:type="dxa"/>
            <w:tcBorders>
              <w:bottom w:val="single" w:sz="4" w:space="0" w:color="auto"/>
            </w:tcBorders>
            <w:vAlign w:val="bottom"/>
          </w:tcPr>
          <w:p w14:paraId="66C32582" w14:textId="77777777" w:rsidR="004D1935" w:rsidRDefault="004D1935" w:rsidP="00E24DC9">
            <w:r w:rsidRPr="00C523D9">
              <w:rPr>
                <w:rFonts w:ascii="Calibri" w:hAnsi="Calibri" w:cs="Calibri"/>
                <w:color w:val="000000" w:themeColor="text1"/>
                <w:sz w:val="16"/>
                <w:szCs w:val="16"/>
              </w:rPr>
              <w:t>MASS DETECTED</w:t>
            </w:r>
          </w:p>
        </w:tc>
        <w:tc>
          <w:tcPr>
            <w:tcW w:w="2268" w:type="dxa"/>
            <w:vAlign w:val="center"/>
          </w:tcPr>
          <w:p w14:paraId="6782CD1B" w14:textId="77777777" w:rsidR="004D1935" w:rsidRDefault="004D1935" w:rsidP="00E24DC9">
            <w:r w:rsidRPr="00F54137">
              <w:rPr>
                <w:rFonts w:asciiTheme="majorBidi" w:hAnsiTheme="majorBidi" w:cstheme="majorBidi"/>
                <w:color w:val="000000" w:themeColor="text1"/>
                <w:sz w:val="16"/>
                <w:szCs w:val="16"/>
              </w:rPr>
              <w:t>COMPOUNDS NAME</w:t>
            </w:r>
          </w:p>
        </w:tc>
        <w:tc>
          <w:tcPr>
            <w:tcW w:w="992" w:type="dxa"/>
            <w:vAlign w:val="center"/>
          </w:tcPr>
          <w:p w14:paraId="20037FB1" w14:textId="77777777" w:rsidR="004D1935" w:rsidRPr="00CB7A8A" w:rsidRDefault="004D1935" w:rsidP="00E24DC9">
            <w:pPr>
              <w:rPr>
                <w:sz w:val="20"/>
                <w:szCs w:val="20"/>
              </w:rPr>
            </w:pPr>
            <w:r w:rsidRPr="00CB7A8A">
              <w:rPr>
                <w:rFonts w:asciiTheme="majorBidi" w:hAnsiTheme="majorBidi" w:cstheme="majorBidi"/>
                <w:color w:val="000000" w:themeColor="text1"/>
                <w:sz w:val="20"/>
                <w:szCs w:val="20"/>
              </w:rPr>
              <w:t>chemical formula</w:t>
            </w:r>
          </w:p>
        </w:tc>
        <w:tc>
          <w:tcPr>
            <w:tcW w:w="1843" w:type="dxa"/>
            <w:vAlign w:val="center"/>
          </w:tcPr>
          <w:p w14:paraId="41467EF2" w14:textId="77777777" w:rsidR="004D1935" w:rsidRPr="00CB7A8A" w:rsidRDefault="004D1935" w:rsidP="00E24DC9">
            <w:pPr>
              <w:rPr>
                <w:sz w:val="16"/>
                <w:szCs w:val="16"/>
              </w:rPr>
            </w:pPr>
            <w:r w:rsidRPr="00CB7A8A">
              <w:rPr>
                <w:rFonts w:asciiTheme="majorBidi" w:hAnsiTheme="majorBidi" w:cstheme="majorBidi"/>
                <w:color w:val="000000" w:themeColor="text1"/>
                <w:sz w:val="16"/>
                <w:szCs w:val="16"/>
              </w:rPr>
              <w:t>chemical group</w:t>
            </w:r>
          </w:p>
        </w:tc>
        <w:tc>
          <w:tcPr>
            <w:tcW w:w="7229" w:type="dxa"/>
            <w:vAlign w:val="center"/>
          </w:tcPr>
          <w:p w14:paraId="4880D4FE" w14:textId="77777777" w:rsidR="004D1935" w:rsidRDefault="004D1935" w:rsidP="00E24DC9">
            <w:r w:rsidRPr="00F54137">
              <w:rPr>
                <w:rFonts w:asciiTheme="majorBidi" w:hAnsiTheme="majorBidi" w:cstheme="majorBidi"/>
                <w:color w:val="000000" w:themeColor="text1"/>
                <w:sz w:val="16"/>
                <w:szCs w:val="16"/>
              </w:rPr>
              <w:t>pathway</w:t>
            </w:r>
          </w:p>
        </w:tc>
      </w:tr>
      <w:tr w:rsidR="004D1935" w14:paraId="65DEFBA6" w14:textId="77777777" w:rsidTr="00E24DC9">
        <w:tc>
          <w:tcPr>
            <w:tcW w:w="704" w:type="dxa"/>
            <w:vMerge w:val="restart"/>
          </w:tcPr>
          <w:p w14:paraId="40FC5FF3" w14:textId="77777777" w:rsidR="004D1935" w:rsidRDefault="004D1935" w:rsidP="00E24DC9"/>
        </w:tc>
        <w:tc>
          <w:tcPr>
            <w:tcW w:w="851" w:type="dxa"/>
            <w:tcBorders>
              <w:bottom w:val="nil"/>
            </w:tcBorders>
            <w:vAlign w:val="bottom"/>
          </w:tcPr>
          <w:p w14:paraId="2CF9BE6D" w14:textId="77777777" w:rsidR="004D1935" w:rsidRDefault="004D1935" w:rsidP="00E24DC9">
            <w:r w:rsidRPr="00B61D7D">
              <w:rPr>
                <w:rFonts w:ascii="Calibri" w:hAnsi="Calibri" w:cs="Calibri"/>
                <w:color w:val="000000"/>
                <w:sz w:val="16"/>
                <w:szCs w:val="16"/>
              </w:rPr>
              <w:t>173.9211</w:t>
            </w:r>
          </w:p>
        </w:tc>
        <w:tc>
          <w:tcPr>
            <w:tcW w:w="2268" w:type="dxa"/>
            <w:vMerge w:val="restart"/>
            <w:vAlign w:val="center"/>
          </w:tcPr>
          <w:p w14:paraId="040B2A93" w14:textId="77777777" w:rsidR="004D1935" w:rsidRPr="004622AB" w:rsidRDefault="00000000" w:rsidP="00E24DC9">
            <w:pPr>
              <w:jc w:val="center"/>
              <w:rPr>
                <w:color w:val="000000" w:themeColor="text1"/>
              </w:rPr>
            </w:pPr>
            <w:hyperlink r:id="rId86" w:history="1">
              <w:r w:rsidR="004D1935" w:rsidRPr="004622AB">
                <w:rPr>
                  <w:rFonts w:ascii="Calibri" w:hAnsi="Calibri" w:cs="Calibri"/>
                  <w:color w:val="000000" w:themeColor="text1"/>
                  <w:sz w:val="16"/>
                  <w:szCs w:val="16"/>
                </w:rPr>
                <w:t>phenyl phosphate</w:t>
              </w:r>
            </w:hyperlink>
          </w:p>
          <w:p w14:paraId="3B6D0E1D" w14:textId="77777777" w:rsidR="004D1935" w:rsidRPr="004622AB" w:rsidRDefault="00000000" w:rsidP="00E24DC9">
            <w:pPr>
              <w:jc w:val="center"/>
              <w:rPr>
                <w:color w:val="000000" w:themeColor="text1"/>
              </w:rPr>
            </w:pPr>
            <w:hyperlink r:id="rId87" w:history="1">
              <w:r w:rsidR="004D1935" w:rsidRPr="004622AB">
                <w:rPr>
                  <w:rFonts w:ascii="Calibri" w:hAnsi="Calibri" w:cs="Calibri"/>
                  <w:color w:val="000000" w:themeColor="text1"/>
                  <w:sz w:val="16"/>
                  <w:szCs w:val="16"/>
                </w:rPr>
                <w:t>L-dehydro-ascorbate</w:t>
              </w:r>
            </w:hyperlink>
          </w:p>
          <w:p w14:paraId="61C337AA" w14:textId="77777777" w:rsidR="004D1935" w:rsidRPr="004622AB" w:rsidRDefault="00000000" w:rsidP="00E24DC9">
            <w:pPr>
              <w:jc w:val="center"/>
              <w:rPr>
                <w:color w:val="000000" w:themeColor="text1"/>
              </w:rPr>
            </w:pPr>
            <w:hyperlink r:id="rId88" w:history="1">
              <w:r w:rsidR="004D1935" w:rsidRPr="004622AB">
                <w:rPr>
                  <w:rFonts w:ascii="Calibri" w:hAnsi="Calibri" w:cs="Calibri"/>
                  <w:color w:val="000000" w:themeColor="text1"/>
                  <w:sz w:val="16"/>
                  <w:szCs w:val="16"/>
                </w:rPr>
                <w:t>trans-aconitate</w:t>
              </w:r>
            </w:hyperlink>
          </w:p>
          <w:p w14:paraId="193B5964" w14:textId="77777777" w:rsidR="004D1935" w:rsidRPr="004622AB" w:rsidRDefault="00000000" w:rsidP="00E24DC9">
            <w:pPr>
              <w:jc w:val="center"/>
              <w:rPr>
                <w:color w:val="000000" w:themeColor="text1"/>
              </w:rPr>
            </w:pPr>
            <w:hyperlink r:id="rId89" w:history="1">
              <w:r w:rsidR="004D1935" w:rsidRPr="004622AB">
                <w:rPr>
                  <w:rFonts w:ascii="Calibri" w:hAnsi="Calibri" w:cs="Calibri"/>
                  <w:color w:val="000000" w:themeColor="text1"/>
                  <w:sz w:val="16"/>
                  <w:szCs w:val="16"/>
                </w:rPr>
                <w:t>cis-aconitate</w:t>
              </w:r>
            </w:hyperlink>
          </w:p>
          <w:p w14:paraId="14E102A2" w14:textId="77777777" w:rsidR="004D1935" w:rsidRPr="004622AB" w:rsidRDefault="00000000" w:rsidP="00E24DC9">
            <w:pPr>
              <w:jc w:val="center"/>
              <w:rPr>
                <w:color w:val="000000" w:themeColor="text1"/>
              </w:rPr>
            </w:pPr>
            <w:hyperlink r:id="rId90" w:history="1">
              <w:r w:rsidR="004D1935" w:rsidRPr="004622AB">
                <w:rPr>
                  <w:rFonts w:ascii="Calibri" w:hAnsi="Calibri" w:cs="Calibri"/>
                  <w:color w:val="000000" w:themeColor="text1"/>
                  <w:sz w:val="16"/>
                  <w:szCs w:val="16"/>
                </w:rPr>
                <w:t>2-oxopimelate</w:t>
              </w:r>
            </w:hyperlink>
          </w:p>
          <w:p w14:paraId="172EC843" w14:textId="77777777" w:rsidR="004D1935" w:rsidRPr="00C171E0" w:rsidRDefault="00000000" w:rsidP="00E24DC9">
            <w:pPr>
              <w:jc w:val="center"/>
              <w:rPr>
                <w:color w:val="000000" w:themeColor="text1"/>
                <w:sz w:val="13"/>
                <w:szCs w:val="13"/>
              </w:rPr>
            </w:pPr>
            <w:hyperlink r:id="rId91" w:history="1">
              <w:r w:rsidR="004D1935" w:rsidRPr="00C171E0">
                <w:rPr>
                  <w:rFonts w:ascii="Calibri" w:hAnsi="Calibri" w:cs="Calibri"/>
                  <w:color w:val="000000" w:themeColor="text1"/>
                  <w:sz w:val="13"/>
                  <w:szCs w:val="13"/>
                </w:rPr>
                <w:t>(2S)-2-isopropyl-3-oxosuccinate</w:t>
              </w:r>
            </w:hyperlink>
          </w:p>
          <w:p w14:paraId="78C569C9" w14:textId="77777777" w:rsidR="004D1935" w:rsidRPr="004622AB" w:rsidRDefault="00000000" w:rsidP="00E24DC9">
            <w:pPr>
              <w:jc w:val="center"/>
              <w:rPr>
                <w:color w:val="000000" w:themeColor="text1"/>
              </w:rPr>
            </w:pPr>
            <w:hyperlink r:id="rId92" w:history="1">
              <w:r w:rsidR="004D1935" w:rsidRPr="004622AB">
                <w:rPr>
                  <w:rFonts w:ascii="Calibri" w:hAnsi="Calibri" w:cs="Calibri"/>
                  <w:color w:val="000000" w:themeColor="text1"/>
                  <w:sz w:val="16"/>
                  <w:szCs w:val="16"/>
                </w:rPr>
                <w:t>shikimate</w:t>
              </w:r>
            </w:hyperlink>
          </w:p>
          <w:p w14:paraId="48782DBE" w14:textId="77777777" w:rsidR="004D1935" w:rsidRPr="004622AB" w:rsidRDefault="00000000" w:rsidP="00E24DC9">
            <w:pPr>
              <w:jc w:val="center"/>
              <w:rPr>
                <w:color w:val="000000" w:themeColor="text1"/>
              </w:rPr>
            </w:pPr>
            <w:hyperlink r:id="rId93" w:history="1">
              <w:r w:rsidR="004D1935" w:rsidRPr="004622AB">
                <w:rPr>
                  <w:rFonts w:ascii="Calibri" w:hAnsi="Calibri" w:cs="Calibri"/>
                  <w:color w:val="000000" w:themeColor="text1"/>
                  <w:sz w:val="16"/>
                  <w:szCs w:val="16"/>
                </w:rPr>
                <w:t>suberate</w:t>
              </w:r>
            </w:hyperlink>
          </w:p>
          <w:p w14:paraId="457FB740" w14:textId="77777777" w:rsidR="004D1935" w:rsidRPr="004622AB" w:rsidRDefault="00000000" w:rsidP="00E24DC9">
            <w:pPr>
              <w:jc w:val="center"/>
              <w:rPr>
                <w:color w:val="000000" w:themeColor="text1"/>
              </w:rPr>
            </w:pPr>
            <w:hyperlink r:id="rId94" w:history="1">
              <w:r w:rsidR="004D1935" w:rsidRPr="004622AB">
                <w:rPr>
                  <w:rFonts w:ascii="Calibri" w:hAnsi="Calibri" w:cs="Calibri"/>
                  <w:color w:val="000000" w:themeColor="text1"/>
                  <w:sz w:val="16"/>
                  <w:szCs w:val="16"/>
                </w:rPr>
                <w:t>5-guanidino-2-oxopentanoate</w:t>
              </w:r>
            </w:hyperlink>
          </w:p>
        </w:tc>
        <w:tc>
          <w:tcPr>
            <w:tcW w:w="992" w:type="dxa"/>
            <w:vMerge w:val="restart"/>
            <w:vAlign w:val="center"/>
          </w:tcPr>
          <w:p w14:paraId="4FA5FB4D" w14:textId="77777777" w:rsidR="004D1935" w:rsidRDefault="004D1935" w:rsidP="00E24DC9">
            <w:pPr>
              <w:jc w:val="center"/>
              <w:rPr>
                <w:rStyle w:val="eq0j8"/>
                <w:rFonts w:ascii="Arial" w:eastAsiaTheme="majorEastAsia" w:hAnsi="Arial" w:cs="Arial"/>
                <w:sz w:val="16"/>
                <w:szCs w:val="16"/>
                <w:shd w:val="clear" w:color="auto" w:fill="FFFFFF"/>
              </w:rPr>
            </w:pPr>
          </w:p>
          <w:p w14:paraId="2DA685C7" w14:textId="77777777" w:rsidR="004D1935" w:rsidRPr="00606FDD" w:rsidRDefault="004D1935" w:rsidP="00E24DC9">
            <w:pPr>
              <w:jc w:val="center"/>
              <w:rPr>
                <w:color w:val="000000" w:themeColor="text1"/>
                <w:sz w:val="16"/>
                <w:szCs w:val="16"/>
              </w:rPr>
            </w:pPr>
            <w:r w:rsidRPr="00606FDD">
              <w:rPr>
                <w:rStyle w:val="eq0j8"/>
                <w:rFonts w:ascii="Arial" w:eastAsiaTheme="majorEastAsia" w:hAnsi="Arial" w:cs="Arial"/>
                <w:sz w:val="16"/>
                <w:szCs w:val="16"/>
                <w:shd w:val="clear" w:color="auto" w:fill="FFFFFF"/>
              </w:rPr>
              <w:t>C</w:t>
            </w:r>
            <w:r w:rsidRPr="00606FDD">
              <w:rPr>
                <w:rStyle w:val="eq0j8"/>
                <w:rFonts w:ascii="Arial" w:eastAsiaTheme="majorEastAsia" w:hAnsi="Arial" w:cs="Arial"/>
                <w:sz w:val="16"/>
                <w:szCs w:val="16"/>
                <w:shd w:val="clear" w:color="auto" w:fill="FFFFFF"/>
                <w:vertAlign w:val="subscript"/>
              </w:rPr>
              <w:t>18</w:t>
            </w:r>
            <w:r w:rsidRPr="00606FDD">
              <w:rPr>
                <w:rStyle w:val="eq0j8"/>
                <w:rFonts w:ascii="Arial" w:eastAsiaTheme="majorEastAsia" w:hAnsi="Arial" w:cs="Arial"/>
                <w:sz w:val="16"/>
                <w:szCs w:val="16"/>
                <w:shd w:val="clear" w:color="auto" w:fill="FFFFFF"/>
              </w:rPr>
              <w:t>H</w:t>
            </w:r>
            <w:r w:rsidRPr="00606FDD">
              <w:rPr>
                <w:rStyle w:val="eq0j8"/>
                <w:rFonts w:ascii="Arial" w:eastAsiaTheme="majorEastAsia" w:hAnsi="Arial" w:cs="Arial"/>
                <w:sz w:val="16"/>
                <w:szCs w:val="16"/>
                <w:shd w:val="clear" w:color="auto" w:fill="FFFFFF"/>
                <w:vertAlign w:val="subscript"/>
              </w:rPr>
              <w:t>15</w:t>
            </w:r>
            <w:r w:rsidRPr="00606FDD">
              <w:rPr>
                <w:rStyle w:val="eq0j8"/>
                <w:rFonts w:ascii="Arial" w:eastAsiaTheme="majorEastAsia" w:hAnsi="Arial" w:cs="Arial"/>
                <w:sz w:val="16"/>
                <w:szCs w:val="16"/>
                <w:shd w:val="clear" w:color="auto" w:fill="FFFFFF"/>
              </w:rPr>
              <w:t>O</w:t>
            </w:r>
            <w:r w:rsidRPr="00606FDD">
              <w:rPr>
                <w:rStyle w:val="eq0j8"/>
                <w:rFonts w:ascii="Arial" w:eastAsiaTheme="majorEastAsia" w:hAnsi="Arial" w:cs="Arial"/>
                <w:sz w:val="16"/>
                <w:szCs w:val="16"/>
                <w:shd w:val="clear" w:color="auto" w:fill="FFFFFF"/>
                <w:vertAlign w:val="subscript"/>
              </w:rPr>
              <w:t>4</w:t>
            </w:r>
            <w:r w:rsidRPr="00606FDD">
              <w:rPr>
                <w:rStyle w:val="eq0j8"/>
                <w:rFonts w:ascii="Arial" w:eastAsiaTheme="majorEastAsia" w:hAnsi="Arial" w:cs="Arial"/>
                <w:sz w:val="16"/>
                <w:szCs w:val="16"/>
                <w:shd w:val="clear" w:color="auto" w:fill="FFFFFF"/>
              </w:rPr>
              <w:t>P</w:t>
            </w:r>
          </w:p>
          <w:p w14:paraId="6866DDBC" w14:textId="77777777" w:rsidR="004D1935" w:rsidRPr="00606FDD" w:rsidRDefault="004D1935" w:rsidP="00E24DC9">
            <w:pPr>
              <w:jc w:val="center"/>
              <w:rPr>
                <w:color w:val="000000" w:themeColor="text1"/>
                <w:sz w:val="16"/>
                <w:szCs w:val="16"/>
              </w:rPr>
            </w:pPr>
            <w:r w:rsidRPr="00606FDD">
              <w:rPr>
                <w:rStyle w:val="eq0j8"/>
                <w:rFonts w:ascii="Arial" w:eastAsiaTheme="majorEastAsia" w:hAnsi="Arial" w:cs="Arial"/>
                <w:sz w:val="16"/>
                <w:szCs w:val="16"/>
                <w:shd w:val="clear" w:color="auto" w:fill="FFFFFF"/>
              </w:rPr>
              <w:t>C</w:t>
            </w:r>
            <w:r w:rsidRPr="00606FDD">
              <w:rPr>
                <w:rStyle w:val="eq0j8"/>
                <w:rFonts w:ascii="Arial" w:eastAsiaTheme="majorEastAsia" w:hAnsi="Arial" w:cs="Arial"/>
                <w:sz w:val="16"/>
                <w:szCs w:val="16"/>
                <w:shd w:val="clear" w:color="auto" w:fill="FFFFFF"/>
                <w:vertAlign w:val="subscript"/>
              </w:rPr>
              <w:t>6</w:t>
            </w:r>
            <w:r w:rsidRPr="00606FDD">
              <w:rPr>
                <w:rStyle w:val="eq0j8"/>
                <w:rFonts w:ascii="Arial" w:eastAsiaTheme="majorEastAsia" w:hAnsi="Arial" w:cs="Arial"/>
                <w:sz w:val="16"/>
                <w:szCs w:val="16"/>
                <w:shd w:val="clear" w:color="auto" w:fill="FFFFFF"/>
              </w:rPr>
              <w:t>H</w:t>
            </w:r>
            <w:r w:rsidRPr="00606FDD">
              <w:rPr>
                <w:rStyle w:val="eq0j8"/>
                <w:rFonts w:ascii="Arial" w:eastAsiaTheme="majorEastAsia" w:hAnsi="Arial" w:cs="Arial"/>
                <w:sz w:val="16"/>
                <w:szCs w:val="16"/>
                <w:shd w:val="clear" w:color="auto" w:fill="FFFFFF"/>
                <w:vertAlign w:val="subscript"/>
              </w:rPr>
              <w:t>6</w:t>
            </w:r>
            <w:r w:rsidRPr="00606FDD">
              <w:rPr>
                <w:rStyle w:val="eq0j8"/>
                <w:rFonts w:ascii="Arial" w:eastAsiaTheme="majorEastAsia" w:hAnsi="Arial" w:cs="Arial"/>
                <w:sz w:val="16"/>
                <w:szCs w:val="16"/>
                <w:shd w:val="clear" w:color="auto" w:fill="FFFFFF"/>
              </w:rPr>
              <w:t>O</w:t>
            </w:r>
            <w:r w:rsidRPr="00606FDD">
              <w:rPr>
                <w:rStyle w:val="eq0j8"/>
                <w:rFonts w:ascii="Arial" w:eastAsiaTheme="majorEastAsia" w:hAnsi="Arial" w:cs="Arial"/>
                <w:sz w:val="16"/>
                <w:szCs w:val="16"/>
                <w:shd w:val="clear" w:color="auto" w:fill="FFFFFF"/>
                <w:vertAlign w:val="subscript"/>
              </w:rPr>
              <w:t>6</w:t>
            </w:r>
          </w:p>
          <w:p w14:paraId="4D556936" w14:textId="77777777" w:rsidR="004D1935" w:rsidRPr="00606FDD" w:rsidRDefault="004D1935" w:rsidP="00E24DC9">
            <w:pPr>
              <w:jc w:val="center"/>
              <w:rPr>
                <w:color w:val="000000" w:themeColor="text1"/>
                <w:sz w:val="16"/>
                <w:szCs w:val="16"/>
              </w:rPr>
            </w:pPr>
            <w:r w:rsidRPr="00606FDD">
              <w:rPr>
                <w:rFonts w:ascii="Arial" w:hAnsi="Arial" w:cs="Arial"/>
                <w:color w:val="000000" w:themeColor="text1"/>
                <w:sz w:val="16"/>
                <w:szCs w:val="16"/>
                <w:shd w:val="clear" w:color="auto" w:fill="FFFFFF"/>
              </w:rPr>
              <w:t>C</w:t>
            </w:r>
            <w:r w:rsidRPr="00606FDD">
              <w:rPr>
                <w:rFonts w:ascii="Arial" w:hAnsi="Arial" w:cs="Arial"/>
                <w:color w:val="000000" w:themeColor="text1"/>
                <w:sz w:val="16"/>
                <w:szCs w:val="16"/>
                <w:shd w:val="clear" w:color="auto" w:fill="FFFFFF"/>
                <w:vertAlign w:val="subscript"/>
              </w:rPr>
              <w:t>6</w:t>
            </w:r>
            <w:r w:rsidRPr="00606FDD">
              <w:rPr>
                <w:rFonts w:ascii="Arial" w:hAnsi="Arial" w:cs="Arial"/>
                <w:color w:val="000000" w:themeColor="text1"/>
                <w:sz w:val="16"/>
                <w:szCs w:val="16"/>
                <w:shd w:val="clear" w:color="auto" w:fill="FFFFFF"/>
              </w:rPr>
              <w:t>H</w:t>
            </w:r>
            <w:r w:rsidRPr="00606FDD">
              <w:rPr>
                <w:rFonts w:ascii="Arial" w:hAnsi="Arial" w:cs="Arial"/>
                <w:color w:val="000000" w:themeColor="text1"/>
                <w:sz w:val="16"/>
                <w:szCs w:val="16"/>
                <w:shd w:val="clear" w:color="auto" w:fill="FFFFFF"/>
                <w:vertAlign w:val="subscript"/>
              </w:rPr>
              <w:t>6</w:t>
            </w:r>
            <w:r w:rsidRPr="00606FDD">
              <w:rPr>
                <w:rFonts w:ascii="Arial" w:hAnsi="Arial" w:cs="Arial"/>
                <w:color w:val="000000" w:themeColor="text1"/>
                <w:sz w:val="16"/>
                <w:szCs w:val="16"/>
                <w:shd w:val="clear" w:color="auto" w:fill="FFFFFF"/>
              </w:rPr>
              <w:t>O</w:t>
            </w:r>
            <w:r w:rsidRPr="00606FDD">
              <w:rPr>
                <w:rFonts w:ascii="Arial" w:hAnsi="Arial" w:cs="Arial"/>
                <w:color w:val="000000" w:themeColor="text1"/>
                <w:sz w:val="16"/>
                <w:szCs w:val="16"/>
                <w:shd w:val="clear" w:color="auto" w:fill="FFFFFF"/>
                <w:vertAlign w:val="subscript"/>
              </w:rPr>
              <w:t>6</w:t>
            </w:r>
          </w:p>
          <w:p w14:paraId="60B21661" w14:textId="77777777" w:rsidR="004D1935" w:rsidRPr="00606FDD" w:rsidRDefault="004D1935" w:rsidP="00E24DC9">
            <w:pPr>
              <w:jc w:val="center"/>
              <w:rPr>
                <w:color w:val="000000" w:themeColor="text1"/>
                <w:sz w:val="16"/>
                <w:szCs w:val="16"/>
              </w:rPr>
            </w:pPr>
            <w:r w:rsidRPr="00606FDD">
              <w:rPr>
                <w:rFonts w:ascii="Arial" w:hAnsi="Arial" w:cs="Arial"/>
                <w:color w:val="000000" w:themeColor="text1"/>
                <w:sz w:val="16"/>
                <w:szCs w:val="16"/>
                <w:shd w:val="clear" w:color="auto" w:fill="FFFFFF"/>
              </w:rPr>
              <w:t>C</w:t>
            </w:r>
            <w:r w:rsidRPr="00606FDD">
              <w:rPr>
                <w:rFonts w:ascii="Arial" w:hAnsi="Arial" w:cs="Arial"/>
                <w:color w:val="000000" w:themeColor="text1"/>
                <w:sz w:val="16"/>
                <w:szCs w:val="16"/>
                <w:shd w:val="clear" w:color="auto" w:fill="FFFFFF"/>
                <w:vertAlign w:val="subscript"/>
              </w:rPr>
              <w:t>6</w:t>
            </w:r>
            <w:r w:rsidRPr="00606FDD">
              <w:rPr>
                <w:rFonts w:ascii="Arial" w:hAnsi="Arial" w:cs="Arial"/>
                <w:color w:val="000000" w:themeColor="text1"/>
                <w:sz w:val="16"/>
                <w:szCs w:val="16"/>
                <w:shd w:val="clear" w:color="auto" w:fill="FFFFFF"/>
              </w:rPr>
              <w:t>H</w:t>
            </w:r>
            <w:r w:rsidRPr="00606FDD">
              <w:rPr>
                <w:rFonts w:ascii="Arial" w:hAnsi="Arial" w:cs="Arial"/>
                <w:color w:val="000000" w:themeColor="text1"/>
                <w:sz w:val="16"/>
                <w:szCs w:val="16"/>
                <w:shd w:val="clear" w:color="auto" w:fill="FFFFFF"/>
                <w:vertAlign w:val="subscript"/>
              </w:rPr>
              <w:t>6</w:t>
            </w:r>
            <w:r w:rsidRPr="00606FDD">
              <w:rPr>
                <w:rFonts w:ascii="Arial" w:hAnsi="Arial" w:cs="Arial"/>
                <w:color w:val="000000" w:themeColor="text1"/>
                <w:sz w:val="16"/>
                <w:szCs w:val="16"/>
                <w:shd w:val="clear" w:color="auto" w:fill="FFFFFF"/>
              </w:rPr>
              <w:t>O</w:t>
            </w:r>
            <w:r w:rsidRPr="00606FDD">
              <w:rPr>
                <w:rFonts w:ascii="Arial" w:hAnsi="Arial" w:cs="Arial"/>
                <w:color w:val="000000" w:themeColor="text1"/>
                <w:sz w:val="16"/>
                <w:szCs w:val="16"/>
                <w:shd w:val="clear" w:color="auto" w:fill="FFFFFF"/>
                <w:vertAlign w:val="subscript"/>
              </w:rPr>
              <w:t>6</w:t>
            </w:r>
          </w:p>
          <w:p w14:paraId="2B11784F" w14:textId="77777777" w:rsidR="004D1935" w:rsidRPr="00606FDD" w:rsidRDefault="004D1935" w:rsidP="00E24DC9">
            <w:pPr>
              <w:jc w:val="center"/>
              <w:rPr>
                <w:color w:val="000000" w:themeColor="text1"/>
                <w:sz w:val="16"/>
                <w:szCs w:val="16"/>
              </w:rPr>
            </w:pPr>
            <w:r w:rsidRPr="00606FDD">
              <w:rPr>
                <w:rFonts w:ascii="Arial" w:hAnsi="Arial" w:cs="Arial"/>
                <w:color w:val="000000" w:themeColor="text1"/>
                <w:sz w:val="16"/>
                <w:szCs w:val="16"/>
                <w:shd w:val="clear" w:color="auto" w:fill="FFFFFF"/>
              </w:rPr>
              <w:t>C</w:t>
            </w:r>
            <w:r w:rsidRPr="00606FDD">
              <w:rPr>
                <w:rFonts w:ascii="Arial" w:hAnsi="Arial" w:cs="Arial"/>
                <w:color w:val="000000" w:themeColor="text1"/>
                <w:sz w:val="16"/>
                <w:szCs w:val="16"/>
                <w:shd w:val="clear" w:color="auto" w:fill="FFFFFF"/>
                <w:vertAlign w:val="subscript"/>
              </w:rPr>
              <w:t>7</w:t>
            </w:r>
            <w:r w:rsidRPr="00606FDD">
              <w:rPr>
                <w:rFonts w:ascii="Arial" w:hAnsi="Arial" w:cs="Arial"/>
                <w:color w:val="000000" w:themeColor="text1"/>
                <w:sz w:val="16"/>
                <w:szCs w:val="16"/>
                <w:shd w:val="clear" w:color="auto" w:fill="FFFFFF"/>
              </w:rPr>
              <w:t>H</w:t>
            </w:r>
            <w:r w:rsidRPr="00606FDD">
              <w:rPr>
                <w:rFonts w:ascii="Arial" w:hAnsi="Arial" w:cs="Arial"/>
                <w:color w:val="000000" w:themeColor="text1"/>
                <w:sz w:val="16"/>
                <w:szCs w:val="16"/>
                <w:shd w:val="clear" w:color="auto" w:fill="FFFFFF"/>
                <w:vertAlign w:val="subscript"/>
              </w:rPr>
              <w:t>8</w:t>
            </w:r>
            <w:r w:rsidRPr="00606FDD">
              <w:rPr>
                <w:rFonts w:ascii="Arial" w:hAnsi="Arial" w:cs="Arial"/>
                <w:color w:val="000000" w:themeColor="text1"/>
                <w:sz w:val="16"/>
                <w:szCs w:val="16"/>
                <w:shd w:val="clear" w:color="auto" w:fill="FFFFFF"/>
              </w:rPr>
              <w:t>O</w:t>
            </w:r>
            <w:r w:rsidRPr="00606FDD">
              <w:rPr>
                <w:rFonts w:ascii="Arial" w:hAnsi="Arial" w:cs="Arial"/>
                <w:color w:val="000000" w:themeColor="text1"/>
                <w:sz w:val="16"/>
                <w:szCs w:val="16"/>
                <w:shd w:val="clear" w:color="auto" w:fill="FFFFFF"/>
                <w:vertAlign w:val="subscript"/>
              </w:rPr>
              <w:t>5</w:t>
            </w:r>
          </w:p>
          <w:p w14:paraId="584125D8" w14:textId="77777777" w:rsidR="004D1935" w:rsidRPr="00606FDD" w:rsidRDefault="004D1935" w:rsidP="00E24DC9">
            <w:pPr>
              <w:jc w:val="center"/>
              <w:rPr>
                <w:color w:val="000000" w:themeColor="text1"/>
                <w:sz w:val="16"/>
                <w:szCs w:val="16"/>
              </w:rPr>
            </w:pPr>
            <w:r w:rsidRPr="00606FDD">
              <w:rPr>
                <w:rFonts w:ascii="Arial" w:hAnsi="Arial" w:cs="Arial"/>
                <w:color w:val="000000" w:themeColor="text1"/>
                <w:sz w:val="16"/>
                <w:szCs w:val="16"/>
                <w:shd w:val="clear" w:color="auto" w:fill="FFFFFF"/>
              </w:rPr>
              <w:t>C</w:t>
            </w:r>
            <w:r w:rsidRPr="00606FDD">
              <w:rPr>
                <w:rFonts w:ascii="Arial" w:hAnsi="Arial" w:cs="Arial"/>
                <w:color w:val="000000" w:themeColor="text1"/>
                <w:sz w:val="16"/>
                <w:szCs w:val="16"/>
                <w:shd w:val="clear" w:color="auto" w:fill="FFFFFF"/>
                <w:vertAlign w:val="subscript"/>
              </w:rPr>
              <w:t>7</w:t>
            </w:r>
            <w:r w:rsidRPr="00606FDD">
              <w:rPr>
                <w:rFonts w:ascii="Arial" w:hAnsi="Arial" w:cs="Arial"/>
                <w:color w:val="000000" w:themeColor="text1"/>
                <w:sz w:val="16"/>
                <w:szCs w:val="16"/>
                <w:shd w:val="clear" w:color="auto" w:fill="FFFFFF"/>
              </w:rPr>
              <w:t>H</w:t>
            </w:r>
            <w:r w:rsidRPr="00606FDD">
              <w:rPr>
                <w:rFonts w:ascii="Arial" w:hAnsi="Arial" w:cs="Arial"/>
                <w:color w:val="000000" w:themeColor="text1"/>
                <w:sz w:val="16"/>
                <w:szCs w:val="16"/>
                <w:shd w:val="clear" w:color="auto" w:fill="FFFFFF"/>
                <w:vertAlign w:val="subscript"/>
              </w:rPr>
              <w:t>1</w:t>
            </w:r>
            <w:r w:rsidRPr="00606FDD">
              <w:rPr>
                <w:color w:val="000000" w:themeColor="text1"/>
                <w:sz w:val="16"/>
                <w:szCs w:val="16"/>
                <w:shd w:val="clear" w:color="auto" w:fill="FFFFFF"/>
                <w:vertAlign w:val="subscript"/>
              </w:rPr>
              <w:t>0</w:t>
            </w:r>
            <w:r w:rsidRPr="00606FDD">
              <w:rPr>
                <w:rFonts w:ascii="Arial" w:hAnsi="Arial" w:cs="Arial"/>
                <w:color w:val="000000" w:themeColor="text1"/>
                <w:sz w:val="16"/>
                <w:szCs w:val="16"/>
                <w:shd w:val="clear" w:color="auto" w:fill="FFFFFF"/>
              </w:rPr>
              <w:t>O</w:t>
            </w:r>
            <w:r w:rsidRPr="00606FDD">
              <w:rPr>
                <w:rFonts w:ascii="Arial" w:hAnsi="Arial" w:cs="Arial"/>
                <w:color w:val="000000" w:themeColor="text1"/>
                <w:sz w:val="16"/>
                <w:szCs w:val="16"/>
                <w:shd w:val="clear" w:color="auto" w:fill="FFFFFF"/>
                <w:vertAlign w:val="subscript"/>
              </w:rPr>
              <w:t>5</w:t>
            </w:r>
          </w:p>
          <w:p w14:paraId="5655C3AE" w14:textId="77777777" w:rsidR="004D1935" w:rsidRPr="00606FDD" w:rsidRDefault="004D1935" w:rsidP="00E24DC9">
            <w:pPr>
              <w:jc w:val="center"/>
              <w:rPr>
                <w:color w:val="000000" w:themeColor="text1"/>
                <w:sz w:val="16"/>
                <w:szCs w:val="16"/>
              </w:rPr>
            </w:pPr>
            <w:r w:rsidRPr="00606FDD">
              <w:rPr>
                <w:rFonts w:ascii="Arial" w:hAnsi="Arial" w:cs="Arial"/>
                <w:color w:val="000000" w:themeColor="text1"/>
                <w:sz w:val="16"/>
                <w:szCs w:val="16"/>
                <w:shd w:val="clear" w:color="auto" w:fill="FFFFFF"/>
              </w:rPr>
              <w:t>C</w:t>
            </w:r>
            <w:r w:rsidRPr="00606FDD">
              <w:rPr>
                <w:rFonts w:ascii="Arial" w:hAnsi="Arial" w:cs="Arial"/>
                <w:color w:val="000000" w:themeColor="text1"/>
                <w:sz w:val="16"/>
                <w:szCs w:val="16"/>
                <w:shd w:val="clear" w:color="auto" w:fill="FFFFFF"/>
                <w:vertAlign w:val="subscript"/>
              </w:rPr>
              <w:t>7</w:t>
            </w:r>
            <w:r w:rsidRPr="00606FDD">
              <w:rPr>
                <w:rFonts w:ascii="Arial" w:hAnsi="Arial" w:cs="Arial"/>
                <w:color w:val="000000" w:themeColor="text1"/>
                <w:sz w:val="16"/>
                <w:szCs w:val="16"/>
                <w:shd w:val="clear" w:color="auto" w:fill="FFFFFF"/>
              </w:rPr>
              <w:t>H</w:t>
            </w:r>
            <w:r w:rsidRPr="00606FDD">
              <w:rPr>
                <w:rFonts w:ascii="Arial" w:hAnsi="Arial" w:cs="Arial"/>
                <w:color w:val="000000" w:themeColor="text1"/>
                <w:sz w:val="16"/>
                <w:szCs w:val="16"/>
                <w:shd w:val="clear" w:color="auto" w:fill="FFFFFF"/>
                <w:vertAlign w:val="subscript"/>
              </w:rPr>
              <w:t>10</w:t>
            </w:r>
            <w:r w:rsidRPr="00606FDD">
              <w:rPr>
                <w:rFonts w:ascii="Arial" w:hAnsi="Arial" w:cs="Arial"/>
                <w:color w:val="000000" w:themeColor="text1"/>
                <w:sz w:val="16"/>
                <w:szCs w:val="16"/>
                <w:shd w:val="clear" w:color="auto" w:fill="FFFFFF"/>
              </w:rPr>
              <w:t>O</w:t>
            </w:r>
            <w:r w:rsidRPr="00606FDD">
              <w:rPr>
                <w:rFonts w:ascii="Arial" w:hAnsi="Arial" w:cs="Arial"/>
                <w:color w:val="000000" w:themeColor="text1"/>
                <w:sz w:val="16"/>
                <w:szCs w:val="16"/>
                <w:shd w:val="clear" w:color="auto" w:fill="FFFFFF"/>
                <w:vertAlign w:val="subscript"/>
              </w:rPr>
              <w:t>5</w:t>
            </w:r>
          </w:p>
          <w:p w14:paraId="3340DFD9" w14:textId="77777777" w:rsidR="004D1935" w:rsidRPr="00606FDD" w:rsidRDefault="004D1935" w:rsidP="00E24DC9">
            <w:pPr>
              <w:jc w:val="center"/>
              <w:rPr>
                <w:color w:val="000000" w:themeColor="text1"/>
                <w:sz w:val="16"/>
                <w:szCs w:val="16"/>
              </w:rPr>
            </w:pPr>
            <w:r w:rsidRPr="00606FDD">
              <w:rPr>
                <w:rFonts w:ascii="Arial" w:hAnsi="Arial" w:cs="Arial"/>
                <w:color w:val="000000" w:themeColor="text1"/>
                <w:sz w:val="16"/>
                <w:szCs w:val="16"/>
                <w:shd w:val="clear" w:color="auto" w:fill="FFFFFF"/>
              </w:rPr>
              <w:t>C</w:t>
            </w:r>
            <w:r w:rsidRPr="00606FDD">
              <w:rPr>
                <w:rFonts w:ascii="Arial" w:hAnsi="Arial" w:cs="Arial"/>
                <w:color w:val="000000" w:themeColor="text1"/>
                <w:sz w:val="16"/>
                <w:szCs w:val="16"/>
                <w:shd w:val="clear" w:color="auto" w:fill="FFFFFF"/>
                <w:vertAlign w:val="subscript"/>
              </w:rPr>
              <w:t>8</w:t>
            </w:r>
            <w:r w:rsidRPr="00606FDD">
              <w:rPr>
                <w:rFonts w:ascii="Arial" w:hAnsi="Arial" w:cs="Arial"/>
                <w:color w:val="000000" w:themeColor="text1"/>
                <w:sz w:val="16"/>
                <w:szCs w:val="16"/>
                <w:shd w:val="clear" w:color="auto" w:fill="FFFFFF"/>
              </w:rPr>
              <w:t>H</w:t>
            </w:r>
            <w:r w:rsidRPr="00606FDD">
              <w:rPr>
                <w:rFonts w:ascii="Arial" w:hAnsi="Arial" w:cs="Arial"/>
                <w:color w:val="000000" w:themeColor="text1"/>
                <w:sz w:val="16"/>
                <w:szCs w:val="16"/>
                <w:shd w:val="clear" w:color="auto" w:fill="FFFFFF"/>
                <w:vertAlign w:val="subscript"/>
              </w:rPr>
              <w:t>14</w:t>
            </w:r>
            <w:r w:rsidRPr="00606FDD">
              <w:rPr>
                <w:rFonts w:ascii="Arial" w:hAnsi="Arial" w:cs="Arial"/>
                <w:color w:val="000000" w:themeColor="text1"/>
                <w:sz w:val="16"/>
                <w:szCs w:val="16"/>
                <w:shd w:val="clear" w:color="auto" w:fill="FFFFFF"/>
              </w:rPr>
              <w:t>O</w:t>
            </w:r>
            <w:r w:rsidRPr="00606FDD">
              <w:rPr>
                <w:rFonts w:ascii="Arial" w:hAnsi="Arial" w:cs="Arial"/>
                <w:color w:val="000000" w:themeColor="text1"/>
                <w:sz w:val="16"/>
                <w:szCs w:val="16"/>
                <w:shd w:val="clear" w:color="auto" w:fill="FFFFFF"/>
                <w:vertAlign w:val="subscript"/>
              </w:rPr>
              <w:t>4</w:t>
            </w:r>
          </w:p>
          <w:p w14:paraId="5AD8686A" w14:textId="77777777" w:rsidR="004D1935" w:rsidRPr="00606FDD" w:rsidRDefault="004D1935" w:rsidP="00E24DC9">
            <w:pPr>
              <w:jc w:val="center"/>
              <w:rPr>
                <w:color w:val="000000" w:themeColor="text1"/>
                <w:sz w:val="16"/>
                <w:szCs w:val="16"/>
              </w:rPr>
            </w:pPr>
            <w:r w:rsidRPr="00606FDD">
              <w:rPr>
                <w:rFonts w:ascii="Arial" w:hAnsi="Arial" w:cs="Arial"/>
                <w:color w:val="000000" w:themeColor="text1"/>
                <w:sz w:val="16"/>
                <w:szCs w:val="16"/>
                <w:shd w:val="clear" w:color="auto" w:fill="FFFFFF"/>
              </w:rPr>
              <w:t>C</w:t>
            </w:r>
            <w:r w:rsidRPr="00606FDD">
              <w:rPr>
                <w:rFonts w:ascii="Arial" w:hAnsi="Arial" w:cs="Arial"/>
                <w:color w:val="000000" w:themeColor="text1"/>
                <w:sz w:val="16"/>
                <w:szCs w:val="16"/>
                <w:shd w:val="clear" w:color="auto" w:fill="FFFFFF"/>
                <w:vertAlign w:val="subscript"/>
              </w:rPr>
              <w:t>6</w:t>
            </w:r>
            <w:r w:rsidRPr="00606FDD">
              <w:rPr>
                <w:rFonts w:ascii="Arial" w:hAnsi="Arial" w:cs="Arial"/>
                <w:color w:val="000000" w:themeColor="text1"/>
                <w:sz w:val="16"/>
                <w:szCs w:val="16"/>
                <w:shd w:val="clear" w:color="auto" w:fill="FFFFFF"/>
              </w:rPr>
              <w:t>H</w:t>
            </w:r>
            <w:r w:rsidRPr="00606FDD">
              <w:rPr>
                <w:rFonts w:ascii="Arial" w:hAnsi="Arial" w:cs="Arial"/>
                <w:color w:val="000000" w:themeColor="text1"/>
                <w:sz w:val="16"/>
                <w:szCs w:val="16"/>
                <w:shd w:val="clear" w:color="auto" w:fill="FFFFFF"/>
                <w:vertAlign w:val="subscript"/>
              </w:rPr>
              <w:t>10</w:t>
            </w:r>
            <w:r w:rsidRPr="00606FDD">
              <w:rPr>
                <w:rFonts w:ascii="Arial" w:hAnsi="Arial" w:cs="Arial"/>
                <w:color w:val="000000" w:themeColor="text1"/>
                <w:sz w:val="16"/>
                <w:szCs w:val="16"/>
                <w:shd w:val="clear" w:color="auto" w:fill="FFFFFF"/>
              </w:rPr>
              <w:t>N</w:t>
            </w:r>
            <w:r w:rsidRPr="00606FDD">
              <w:rPr>
                <w:rFonts w:ascii="Arial" w:hAnsi="Arial" w:cs="Arial"/>
                <w:color w:val="000000" w:themeColor="text1"/>
                <w:sz w:val="16"/>
                <w:szCs w:val="16"/>
                <w:shd w:val="clear" w:color="auto" w:fill="FFFFFF"/>
                <w:vertAlign w:val="subscript"/>
              </w:rPr>
              <w:t>3</w:t>
            </w:r>
            <w:r w:rsidRPr="00606FDD">
              <w:rPr>
                <w:rFonts w:ascii="Arial" w:hAnsi="Arial" w:cs="Arial"/>
                <w:color w:val="000000" w:themeColor="text1"/>
                <w:sz w:val="16"/>
                <w:szCs w:val="16"/>
                <w:shd w:val="clear" w:color="auto" w:fill="FFFFFF"/>
              </w:rPr>
              <w:t>O</w:t>
            </w:r>
            <w:r w:rsidRPr="00606FDD">
              <w:rPr>
                <w:rFonts w:ascii="Arial" w:hAnsi="Arial" w:cs="Arial"/>
                <w:color w:val="000000" w:themeColor="text1"/>
                <w:sz w:val="16"/>
                <w:szCs w:val="16"/>
                <w:shd w:val="clear" w:color="auto" w:fill="FFFFFF"/>
                <w:vertAlign w:val="subscript"/>
              </w:rPr>
              <w:t>3</w:t>
            </w:r>
          </w:p>
          <w:p w14:paraId="3B2A8984" w14:textId="77777777" w:rsidR="004D1935" w:rsidRPr="004622AB" w:rsidRDefault="004D1935" w:rsidP="00E24DC9">
            <w:pPr>
              <w:jc w:val="center"/>
              <w:rPr>
                <w:color w:val="000000" w:themeColor="text1"/>
                <w:sz w:val="20"/>
                <w:szCs w:val="20"/>
              </w:rPr>
            </w:pPr>
          </w:p>
        </w:tc>
        <w:tc>
          <w:tcPr>
            <w:tcW w:w="1843" w:type="dxa"/>
            <w:vMerge w:val="restart"/>
            <w:vAlign w:val="center"/>
          </w:tcPr>
          <w:p w14:paraId="69EA7314" w14:textId="77777777" w:rsidR="004D1935" w:rsidRPr="004622AB" w:rsidRDefault="004D1935" w:rsidP="00E24DC9">
            <w:pPr>
              <w:jc w:val="center"/>
              <w:rPr>
                <w:color w:val="000000" w:themeColor="text1"/>
                <w:sz w:val="16"/>
                <w:szCs w:val="16"/>
              </w:rPr>
            </w:pPr>
            <w:r w:rsidRPr="004622AB">
              <w:rPr>
                <w:rFonts w:ascii="Calibri" w:hAnsi="Calibri" w:cs="Calibri"/>
                <w:color w:val="000000" w:themeColor="text1"/>
                <w:sz w:val="16"/>
                <w:szCs w:val="16"/>
              </w:rPr>
              <w:t>terpene</w:t>
            </w:r>
          </w:p>
          <w:p w14:paraId="624DB635" w14:textId="77777777" w:rsidR="004D1935" w:rsidRPr="004622AB" w:rsidRDefault="004D1935" w:rsidP="00E24DC9">
            <w:pPr>
              <w:jc w:val="center"/>
              <w:rPr>
                <w:color w:val="000000" w:themeColor="text1"/>
                <w:sz w:val="16"/>
                <w:szCs w:val="16"/>
              </w:rPr>
            </w:pPr>
            <w:r w:rsidRPr="004622AB">
              <w:rPr>
                <w:rFonts w:ascii="Calibri" w:hAnsi="Calibri" w:cs="Calibri"/>
                <w:color w:val="000000" w:themeColor="text1"/>
                <w:sz w:val="16"/>
                <w:szCs w:val="16"/>
              </w:rPr>
              <w:t>lactons/vitamin c</w:t>
            </w:r>
          </w:p>
          <w:p w14:paraId="5A53F754" w14:textId="77777777" w:rsidR="004D1935" w:rsidRPr="004622AB" w:rsidRDefault="004D1935" w:rsidP="00E24DC9">
            <w:pPr>
              <w:jc w:val="center"/>
              <w:rPr>
                <w:color w:val="000000" w:themeColor="text1"/>
                <w:sz w:val="16"/>
                <w:szCs w:val="16"/>
              </w:rPr>
            </w:pPr>
            <w:r w:rsidRPr="004622AB">
              <w:rPr>
                <w:rFonts w:ascii="Calibri" w:hAnsi="Calibri" w:cs="Calibri"/>
                <w:color w:val="000000" w:themeColor="text1"/>
                <w:sz w:val="16"/>
                <w:szCs w:val="16"/>
              </w:rPr>
              <w:t>carboxy acid</w:t>
            </w:r>
          </w:p>
          <w:p w14:paraId="624436D1" w14:textId="77777777" w:rsidR="004D1935" w:rsidRPr="004622AB" w:rsidRDefault="004D1935" w:rsidP="00E24DC9">
            <w:pPr>
              <w:jc w:val="center"/>
              <w:rPr>
                <w:color w:val="000000" w:themeColor="text1"/>
                <w:sz w:val="16"/>
                <w:szCs w:val="16"/>
              </w:rPr>
            </w:pPr>
            <w:r w:rsidRPr="004622AB">
              <w:rPr>
                <w:rFonts w:ascii="Calibri" w:hAnsi="Calibri" w:cs="Calibri"/>
                <w:color w:val="000000" w:themeColor="text1"/>
                <w:sz w:val="16"/>
                <w:szCs w:val="16"/>
              </w:rPr>
              <w:t>carboxy acid</w:t>
            </w:r>
          </w:p>
          <w:p w14:paraId="6DF7DFF1" w14:textId="77777777" w:rsidR="004D1935" w:rsidRPr="004622AB" w:rsidRDefault="004D1935" w:rsidP="00E24DC9">
            <w:pPr>
              <w:jc w:val="center"/>
              <w:rPr>
                <w:color w:val="000000" w:themeColor="text1"/>
                <w:sz w:val="16"/>
                <w:szCs w:val="16"/>
              </w:rPr>
            </w:pPr>
            <w:r w:rsidRPr="004622AB">
              <w:rPr>
                <w:rFonts w:ascii="Calibri" w:hAnsi="Calibri" w:cs="Calibri"/>
                <w:color w:val="000000" w:themeColor="text1"/>
                <w:sz w:val="16"/>
                <w:szCs w:val="16"/>
              </w:rPr>
              <w:t>carboxy acid</w:t>
            </w:r>
          </w:p>
          <w:p w14:paraId="59570F98" w14:textId="77777777" w:rsidR="004D1935" w:rsidRPr="004622AB" w:rsidRDefault="004D1935" w:rsidP="00E24DC9">
            <w:pPr>
              <w:jc w:val="center"/>
              <w:rPr>
                <w:color w:val="000000" w:themeColor="text1"/>
                <w:sz w:val="16"/>
                <w:szCs w:val="16"/>
              </w:rPr>
            </w:pPr>
            <w:r w:rsidRPr="004622AB">
              <w:rPr>
                <w:rFonts w:ascii="Calibri" w:hAnsi="Calibri" w:cs="Calibri"/>
                <w:color w:val="000000" w:themeColor="text1"/>
                <w:sz w:val="16"/>
                <w:szCs w:val="16"/>
              </w:rPr>
              <w:t>carboxy acid</w:t>
            </w:r>
          </w:p>
          <w:p w14:paraId="7BFE1B8C" w14:textId="77777777" w:rsidR="004D1935" w:rsidRPr="004622AB" w:rsidRDefault="004D1935" w:rsidP="00E24DC9">
            <w:pPr>
              <w:jc w:val="center"/>
              <w:rPr>
                <w:color w:val="000000" w:themeColor="text1"/>
                <w:sz w:val="16"/>
                <w:szCs w:val="16"/>
              </w:rPr>
            </w:pPr>
            <w:r w:rsidRPr="004622AB">
              <w:rPr>
                <w:rFonts w:ascii="Calibri" w:hAnsi="Calibri" w:cs="Calibri"/>
                <w:color w:val="000000" w:themeColor="text1"/>
                <w:sz w:val="16"/>
                <w:szCs w:val="16"/>
              </w:rPr>
              <w:t>glycoside/shikimic acid</w:t>
            </w:r>
          </w:p>
          <w:p w14:paraId="5E73C830" w14:textId="77777777" w:rsidR="004D1935" w:rsidRPr="004622AB" w:rsidRDefault="004D1935" w:rsidP="00E24DC9">
            <w:pPr>
              <w:jc w:val="center"/>
              <w:rPr>
                <w:color w:val="000000" w:themeColor="text1"/>
                <w:sz w:val="16"/>
                <w:szCs w:val="16"/>
              </w:rPr>
            </w:pPr>
            <w:r w:rsidRPr="004622AB">
              <w:rPr>
                <w:rFonts w:ascii="Calibri" w:hAnsi="Calibri" w:cs="Calibri"/>
                <w:color w:val="000000" w:themeColor="text1"/>
                <w:sz w:val="16"/>
                <w:szCs w:val="16"/>
              </w:rPr>
              <w:t>carboxy acid/fatty acid</w:t>
            </w:r>
          </w:p>
          <w:p w14:paraId="1AD3BCDF" w14:textId="77777777" w:rsidR="004D1935" w:rsidRPr="004622AB" w:rsidRDefault="004D1935" w:rsidP="00E24DC9">
            <w:pPr>
              <w:jc w:val="center"/>
              <w:rPr>
                <w:color w:val="000000" w:themeColor="text1"/>
                <w:sz w:val="16"/>
                <w:szCs w:val="16"/>
              </w:rPr>
            </w:pPr>
            <w:r w:rsidRPr="004622AB">
              <w:rPr>
                <w:rFonts w:ascii="Calibri" w:hAnsi="Calibri" w:cs="Calibri"/>
                <w:color w:val="000000" w:themeColor="text1"/>
                <w:sz w:val="16"/>
                <w:szCs w:val="16"/>
              </w:rPr>
              <w:t>carboxy acid</w:t>
            </w:r>
          </w:p>
        </w:tc>
        <w:tc>
          <w:tcPr>
            <w:tcW w:w="7229" w:type="dxa"/>
            <w:vMerge w:val="restart"/>
            <w:vAlign w:val="center"/>
          </w:tcPr>
          <w:p w14:paraId="48016BE9" w14:textId="77777777" w:rsidR="004D1935" w:rsidRPr="00DE4B93" w:rsidRDefault="004D1935" w:rsidP="00E24DC9">
            <w:pPr>
              <w:jc w:val="center"/>
              <w:rPr>
                <w:color w:val="000000" w:themeColor="text1"/>
                <w:sz w:val="10"/>
                <w:szCs w:val="10"/>
              </w:rPr>
            </w:pPr>
            <w:r w:rsidRPr="00DE4B93">
              <w:rPr>
                <w:rFonts w:ascii="Verdana" w:hAnsi="Verdana" w:cs="Calibri"/>
                <w:color w:val="000000" w:themeColor="text1"/>
                <w:sz w:val="10"/>
                <w:szCs w:val="10"/>
              </w:rPr>
              <w:t>Biosynthesis of phenylpropanoids /Shikimate pathway/jasmonic acid biosynthesis/Riboflavin/Flavanone/Flavonoid biosynthesis</w:t>
            </w:r>
          </w:p>
          <w:p w14:paraId="7995AC9F" w14:textId="77777777" w:rsidR="004D1935" w:rsidRPr="00DE4B93" w:rsidRDefault="004D1935" w:rsidP="00E24DC9">
            <w:pPr>
              <w:jc w:val="center"/>
              <w:rPr>
                <w:color w:val="000000" w:themeColor="text1"/>
                <w:sz w:val="10"/>
                <w:szCs w:val="10"/>
              </w:rPr>
            </w:pPr>
            <w:r w:rsidRPr="00DE4B93">
              <w:rPr>
                <w:rFonts w:ascii="Verdana" w:hAnsi="Verdana" w:cs="Calibri"/>
                <w:color w:val="000000" w:themeColor="text1"/>
                <w:sz w:val="10"/>
                <w:szCs w:val="10"/>
              </w:rPr>
              <w:t>Ascorbate and aldarate metabolism</w:t>
            </w:r>
          </w:p>
          <w:p w14:paraId="7E0C4DF0" w14:textId="77777777" w:rsidR="004D1935" w:rsidRPr="00DE4B93" w:rsidRDefault="004D1935" w:rsidP="00E24DC9">
            <w:pPr>
              <w:jc w:val="center"/>
              <w:rPr>
                <w:color w:val="000000" w:themeColor="text1"/>
                <w:sz w:val="10"/>
                <w:szCs w:val="10"/>
              </w:rPr>
            </w:pPr>
            <w:r w:rsidRPr="00DE4B93">
              <w:rPr>
                <w:rFonts w:ascii="Verdana" w:hAnsi="Verdana" w:cs="Calibri"/>
                <w:color w:val="000000" w:themeColor="text1"/>
                <w:sz w:val="10"/>
                <w:szCs w:val="10"/>
              </w:rPr>
              <w:t>Propanoate metabolism/C5-Branched dibasic acid metabolism</w:t>
            </w:r>
          </w:p>
          <w:p w14:paraId="3916EBE5" w14:textId="77777777" w:rsidR="004D1935" w:rsidRPr="00DE4B93" w:rsidRDefault="004D1935" w:rsidP="00E24DC9">
            <w:pPr>
              <w:jc w:val="center"/>
              <w:rPr>
                <w:color w:val="000000" w:themeColor="text1"/>
                <w:sz w:val="10"/>
                <w:szCs w:val="10"/>
              </w:rPr>
            </w:pPr>
            <w:r w:rsidRPr="00DE4B93">
              <w:rPr>
                <w:rFonts w:ascii="Calibri" w:hAnsi="Calibri" w:cs="Calibri"/>
                <w:color w:val="000000" w:themeColor="text1"/>
                <w:sz w:val="10"/>
                <w:szCs w:val="10"/>
              </w:rPr>
              <w:t>Biosynthesis of phenylpropanoids/Biosynthesis of terpenoids and steroids/Biosynthesis of alkaloids derived from shikimate pathway/plant hormone/jasmonic acid biosynthesis/Riboflavin/Flavanone/Flavonoid biosynthesis/fatty acid biosynthesis</w:t>
            </w:r>
          </w:p>
          <w:p w14:paraId="3F6485D6" w14:textId="77777777" w:rsidR="004D1935" w:rsidRPr="00DE4B93" w:rsidRDefault="004D1935" w:rsidP="00E24DC9">
            <w:pPr>
              <w:jc w:val="center"/>
              <w:rPr>
                <w:color w:val="000000" w:themeColor="text1"/>
                <w:sz w:val="10"/>
                <w:szCs w:val="10"/>
              </w:rPr>
            </w:pPr>
            <w:r w:rsidRPr="00DE4B93">
              <w:rPr>
                <w:rFonts w:ascii="Calibri" w:hAnsi="Calibri" w:cs="Calibri"/>
                <w:color w:val="000000" w:themeColor="text1"/>
                <w:sz w:val="10"/>
                <w:szCs w:val="10"/>
              </w:rPr>
              <w:t>Methane metabolism/2-Oxocarboxylic acid metabolism</w:t>
            </w:r>
          </w:p>
          <w:p w14:paraId="0E6F2DD3" w14:textId="77777777" w:rsidR="004D1935" w:rsidRPr="00DE4B93" w:rsidRDefault="004D1935" w:rsidP="00E24DC9">
            <w:pPr>
              <w:jc w:val="center"/>
              <w:rPr>
                <w:color w:val="000000" w:themeColor="text1"/>
                <w:sz w:val="10"/>
                <w:szCs w:val="10"/>
              </w:rPr>
            </w:pPr>
            <w:r w:rsidRPr="00DE4B93">
              <w:rPr>
                <w:rFonts w:ascii="Verdana" w:hAnsi="Verdana" w:cs="Calibri"/>
                <w:color w:val="000000" w:themeColor="text1"/>
                <w:sz w:val="10"/>
                <w:szCs w:val="10"/>
              </w:rPr>
              <w:t>Valine, leucine and isoleucine biosynthesis/2-Oxocarboxylic acid metabolism/Shikimate pathway/jasmonic acid biosynthesis/Riboflavin/Flavanone/Flavonoid biosynthesis/fatty acid biosynthesis</w:t>
            </w:r>
          </w:p>
          <w:p w14:paraId="5A3DAB47" w14:textId="77777777" w:rsidR="004D1935" w:rsidRPr="00DE4B93" w:rsidRDefault="004D1935" w:rsidP="00E24DC9">
            <w:pPr>
              <w:jc w:val="center"/>
              <w:rPr>
                <w:color w:val="000000" w:themeColor="text1"/>
                <w:sz w:val="10"/>
                <w:szCs w:val="10"/>
              </w:rPr>
            </w:pPr>
            <w:r w:rsidRPr="00DE4B93">
              <w:rPr>
                <w:rFonts w:ascii="Calibri" w:hAnsi="Calibri" w:cs="Calibri"/>
                <w:color w:val="000000" w:themeColor="text1"/>
                <w:sz w:val="10"/>
                <w:szCs w:val="10"/>
              </w:rPr>
              <w:t>Biosynthesis of alkaloids derived from shikimate pathway/Ubiquinone and other terpenoid-quinone biosynthesis/ / Shikimate pathway/jasmonic acid biosynthesis/Riboflavin/Flavanone/Flavonoid biosynthesis/fatty acid biosynthesis</w:t>
            </w:r>
          </w:p>
          <w:p w14:paraId="0AE0A268" w14:textId="77777777" w:rsidR="004D1935" w:rsidRPr="00DE4B93" w:rsidRDefault="004D1935" w:rsidP="00E24DC9">
            <w:pPr>
              <w:jc w:val="center"/>
              <w:rPr>
                <w:color w:val="000000" w:themeColor="text1"/>
                <w:sz w:val="10"/>
                <w:szCs w:val="10"/>
              </w:rPr>
            </w:pPr>
            <w:r w:rsidRPr="00DE4B93">
              <w:rPr>
                <w:rFonts w:ascii="Calibri" w:hAnsi="Calibri" w:cs="Calibri"/>
                <w:color w:val="000000" w:themeColor="text1"/>
                <w:sz w:val="10"/>
                <w:szCs w:val="10"/>
              </w:rPr>
              <w:t>2-Oxocarboxylic acid metabolism/Methane metabolism</w:t>
            </w:r>
          </w:p>
          <w:p w14:paraId="66C31A90" w14:textId="77777777" w:rsidR="004D1935" w:rsidRPr="004622AB" w:rsidRDefault="004D1935" w:rsidP="00E24DC9">
            <w:pPr>
              <w:jc w:val="center"/>
              <w:rPr>
                <w:color w:val="000000" w:themeColor="text1"/>
              </w:rPr>
            </w:pPr>
            <w:r w:rsidRPr="00DE4B93">
              <w:rPr>
                <w:rFonts w:ascii="Verdana" w:hAnsi="Verdana" w:cs="Calibri"/>
                <w:color w:val="000000" w:themeColor="text1"/>
                <w:sz w:val="10"/>
                <w:szCs w:val="10"/>
              </w:rPr>
              <w:t>Arginine and proline metabolism/D-Arginine and D-ornithine metabolism</w:t>
            </w:r>
          </w:p>
        </w:tc>
      </w:tr>
      <w:tr w:rsidR="004D1935" w14:paraId="6DA9D096" w14:textId="77777777" w:rsidTr="00E24DC9">
        <w:tc>
          <w:tcPr>
            <w:tcW w:w="704" w:type="dxa"/>
            <w:vMerge/>
          </w:tcPr>
          <w:p w14:paraId="3668FA61" w14:textId="77777777" w:rsidR="004D1935" w:rsidRDefault="004D1935" w:rsidP="00E24DC9"/>
        </w:tc>
        <w:tc>
          <w:tcPr>
            <w:tcW w:w="851" w:type="dxa"/>
            <w:tcBorders>
              <w:top w:val="nil"/>
              <w:bottom w:val="nil"/>
            </w:tcBorders>
            <w:vAlign w:val="bottom"/>
          </w:tcPr>
          <w:p w14:paraId="745A245E" w14:textId="77777777" w:rsidR="004D1935" w:rsidRDefault="004D1935" w:rsidP="00E24DC9">
            <w:r w:rsidRPr="00B61D7D">
              <w:rPr>
                <w:rFonts w:ascii="Calibri" w:hAnsi="Calibri" w:cs="Calibri"/>
                <w:color w:val="000000"/>
                <w:sz w:val="16"/>
                <w:szCs w:val="16"/>
              </w:rPr>
              <w:t>173.9538</w:t>
            </w:r>
          </w:p>
        </w:tc>
        <w:tc>
          <w:tcPr>
            <w:tcW w:w="2268" w:type="dxa"/>
            <w:vMerge/>
          </w:tcPr>
          <w:p w14:paraId="41320EC7" w14:textId="77777777" w:rsidR="004D1935" w:rsidRDefault="004D1935" w:rsidP="00E24DC9"/>
        </w:tc>
        <w:tc>
          <w:tcPr>
            <w:tcW w:w="992" w:type="dxa"/>
            <w:vMerge/>
          </w:tcPr>
          <w:p w14:paraId="386DC009" w14:textId="77777777" w:rsidR="004D1935" w:rsidRPr="00CB7A8A" w:rsidRDefault="004D1935" w:rsidP="00E24DC9">
            <w:pPr>
              <w:rPr>
                <w:sz w:val="20"/>
                <w:szCs w:val="20"/>
              </w:rPr>
            </w:pPr>
          </w:p>
        </w:tc>
        <w:tc>
          <w:tcPr>
            <w:tcW w:w="1843" w:type="dxa"/>
            <w:vMerge/>
            <w:vAlign w:val="bottom"/>
          </w:tcPr>
          <w:p w14:paraId="656CE7A4" w14:textId="77777777" w:rsidR="004D1935" w:rsidRPr="00CB7A8A" w:rsidRDefault="004D1935" w:rsidP="00E24DC9">
            <w:pPr>
              <w:rPr>
                <w:sz w:val="16"/>
                <w:szCs w:val="16"/>
              </w:rPr>
            </w:pPr>
          </w:p>
        </w:tc>
        <w:tc>
          <w:tcPr>
            <w:tcW w:w="7229" w:type="dxa"/>
            <w:vMerge/>
            <w:vAlign w:val="bottom"/>
          </w:tcPr>
          <w:p w14:paraId="1DFF7EA2" w14:textId="77777777" w:rsidR="004D1935" w:rsidRDefault="004D1935" w:rsidP="00E24DC9"/>
        </w:tc>
      </w:tr>
      <w:tr w:rsidR="004D1935" w14:paraId="41E6B797" w14:textId="77777777" w:rsidTr="00E24DC9">
        <w:tc>
          <w:tcPr>
            <w:tcW w:w="704" w:type="dxa"/>
            <w:vMerge/>
          </w:tcPr>
          <w:p w14:paraId="26B3EC20" w14:textId="77777777" w:rsidR="004D1935" w:rsidRDefault="004D1935" w:rsidP="00E24DC9"/>
        </w:tc>
        <w:tc>
          <w:tcPr>
            <w:tcW w:w="851" w:type="dxa"/>
            <w:tcBorders>
              <w:top w:val="nil"/>
              <w:bottom w:val="nil"/>
            </w:tcBorders>
            <w:vAlign w:val="bottom"/>
          </w:tcPr>
          <w:p w14:paraId="5F76552D" w14:textId="77777777" w:rsidR="004D1935" w:rsidRDefault="004D1935" w:rsidP="00E24DC9">
            <w:r w:rsidRPr="00B61D7D">
              <w:rPr>
                <w:rFonts w:ascii="Calibri" w:hAnsi="Calibri" w:cs="Calibri"/>
                <w:color w:val="000000"/>
                <w:sz w:val="16"/>
                <w:szCs w:val="16"/>
              </w:rPr>
              <w:t>174.0086</w:t>
            </w:r>
          </w:p>
        </w:tc>
        <w:tc>
          <w:tcPr>
            <w:tcW w:w="2268" w:type="dxa"/>
            <w:vMerge/>
          </w:tcPr>
          <w:p w14:paraId="59AE791C" w14:textId="77777777" w:rsidR="004D1935" w:rsidRDefault="004D1935" w:rsidP="00E24DC9"/>
        </w:tc>
        <w:tc>
          <w:tcPr>
            <w:tcW w:w="992" w:type="dxa"/>
            <w:vMerge/>
          </w:tcPr>
          <w:p w14:paraId="1569183E" w14:textId="77777777" w:rsidR="004D1935" w:rsidRPr="00CB7A8A" w:rsidRDefault="004D1935" w:rsidP="00E24DC9">
            <w:pPr>
              <w:rPr>
                <w:sz w:val="20"/>
                <w:szCs w:val="20"/>
              </w:rPr>
            </w:pPr>
          </w:p>
        </w:tc>
        <w:tc>
          <w:tcPr>
            <w:tcW w:w="1843" w:type="dxa"/>
            <w:vMerge/>
            <w:vAlign w:val="bottom"/>
          </w:tcPr>
          <w:p w14:paraId="7BD3B9AB" w14:textId="77777777" w:rsidR="004D1935" w:rsidRPr="00CB7A8A" w:rsidRDefault="004D1935" w:rsidP="00E24DC9">
            <w:pPr>
              <w:rPr>
                <w:sz w:val="16"/>
                <w:szCs w:val="16"/>
              </w:rPr>
            </w:pPr>
          </w:p>
        </w:tc>
        <w:tc>
          <w:tcPr>
            <w:tcW w:w="7229" w:type="dxa"/>
            <w:vMerge/>
            <w:vAlign w:val="bottom"/>
          </w:tcPr>
          <w:p w14:paraId="0486C957" w14:textId="77777777" w:rsidR="004D1935" w:rsidRDefault="004D1935" w:rsidP="00E24DC9"/>
        </w:tc>
      </w:tr>
      <w:tr w:rsidR="004D1935" w14:paraId="52B5C2B6" w14:textId="77777777" w:rsidTr="00E24DC9">
        <w:tc>
          <w:tcPr>
            <w:tcW w:w="704" w:type="dxa"/>
            <w:vMerge/>
          </w:tcPr>
          <w:p w14:paraId="4B1E0368" w14:textId="77777777" w:rsidR="004D1935" w:rsidRDefault="004D1935" w:rsidP="00E24DC9"/>
        </w:tc>
        <w:tc>
          <w:tcPr>
            <w:tcW w:w="851" w:type="dxa"/>
            <w:tcBorders>
              <w:top w:val="nil"/>
              <w:bottom w:val="nil"/>
            </w:tcBorders>
            <w:vAlign w:val="bottom"/>
          </w:tcPr>
          <w:p w14:paraId="597587AB" w14:textId="77777777" w:rsidR="004D1935" w:rsidRDefault="004D1935" w:rsidP="00E24DC9">
            <w:r w:rsidRPr="00B61D7D">
              <w:rPr>
                <w:rFonts w:ascii="Calibri" w:hAnsi="Calibri" w:cs="Calibri"/>
                <w:color w:val="000000"/>
                <w:sz w:val="16"/>
                <w:szCs w:val="16"/>
              </w:rPr>
              <w:t>174.0537</w:t>
            </w:r>
          </w:p>
        </w:tc>
        <w:tc>
          <w:tcPr>
            <w:tcW w:w="2268" w:type="dxa"/>
            <w:vMerge/>
          </w:tcPr>
          <w:p w14:paraId="0CE291A0" w14:textId="77777777" w:rsidR="004D1935" w:rsidRDefault="004D1935" w:rsidP="00E24DC9"/>
        </w:tc>
        <w:tc>
          <w:tcPr>
            <w:tcW w:w="992" w:type="dxa"/>
            <w:vMerge/>
          </w:tcPr>
          <w:p w14:paraId="6AF96D2E" w14:textId="77777777" w:rsidR="004D1935" w:rsidRPr="00CB7A8A" w:rsidRDefault="004D1935" w:rsidP="00E24DC9">
            <w:pPr>
              <w:rPr>
                <w:sz w:val="20"/>
                <w:szCs w:val="20"/>
              </w:rPr>
            </w:pPr>
          </w:p>
        </w:tc>
        <w:tc>
          <w:tcPr>
            <w:tcW w:w="1843" w:type="dxa"/>
            <w:vMerge/>
            <w:vAlign w:val="bottom"/>
          </w:tcPr>
          <w:p w14:paraId="7DDE778A" w14:textId="77777777" w:rsidR="004D1935" w:rsidRPr="00CB7A8A" w:rsidRDefault="004D1935" w:rsidP="00E24DC9">
            <w:pPr>
              <w:rPr>
                <w:sz w:val="16"/>
                <w:szCs w:val="16"/>
              </w:rPr>
            </w:pPr>
          </w:p>
        </w:tc>
        <w:tc>
          <w:tcPr>
            <w:tcW w:w="7229" w:type="dxa"/>
            <w:vMerge/>
            <w:vAlign w:val="bottom"/>
          </w:tcPr>
          <w:p w14:paraId="5A9CF6D2" w14:textId="77777777" w:rsidR="004D1935" w:rsidRDefault="004D1935" w:rsidP="00E24DC9"/>
        </w:tc>
      </w:tr>
      <w:tr w:rsidR="004D1935" w14:paraId="44E1540B" w14:textId="77777777" w:rsidTr="00E24DC9">
        <w:tc>
          <w:tcPr>
            <w:tcW w:w="704" w:type="dxa"/>
            <w:vMerge/>
          </w:tcPr>
          <w:p w14:paraId="21FB9397" w14:textId="77777777" w:rsidR="004D1935" w:rsidRDefault="004D1935" w:rsidP="00E24DC9"/>
        </w:tc>
        <w:tc>
          <w:tcPr>
            <w:tcW w:w="851" w:type="dxa"/>
            <w:tcBorders>
              <w:top w:val="nil"/>
              <w:bottom w:val="nil"/>
            </w:tcBorders>
            <w:vAlign w:val="bottom"/>
          </w:tcPr>
          <w:p w14:paraId="4B59C8AB" w14:textId="77777777" w:rsidR="004D1935" w:rsidRDefault="004D1935" w:rsidP="00E24DC9">
            <w:r w:rsidRPr="00B61D7D">
              <w:rPr>
                <w:rFonts w:ascii="Calibri" w:hAnsi="Calibri" w:cs="Calibri"/>
                <w:color w:val="000000"/>
                <w:sz w:val="16"/>
                <w:szCs w:val="16"/>
              </w:rPr>
              <w:t>174.0883</w:t>
            </w:r>
          </w:p>
        </w:tc>
        <w:tc>
          <w:tcPr>
            <w:tcW w:w="2268" w:type="dxa"/>
            <w:vMerge/>
          </w:tcPr>
          <w:p w14:paraId="4E742688" w14:textId="77777777" w:rsidR="004D1935" w:rsidRDefault="004D1935" w:rsidP="00E24DC9"/>
        </w:tc>
        <w:tc>
          <w:tcPr>
            <w:tcW w:w="992" w:type="dxa"/>
            <w:vMerge/>
          </w:tcPr>
          <w:p w14:paraId="58F70426" w14:textId="77777777" w:rsidR="004D1935" w:rsidRPr="00CB7A8A" w:rsidRDefault="004D1935" w:rsidP="00E24DC9">
            <w:pPr>
              <w:rPr>
                <w:sz w:val="20"/>
                <w:szCs w:val="20"/>
              </w:rPr>
            </w:pPr>
          </w:p>
        </w:tc>
        <w:tc>
          <w:tcPr>
            <w:tcW w:w="1843" w:type="dxa"/>
            <w:vMerge/>
            <w:vAlign w:val="bottom"/>
          </w:tcPr>
          <w:p w14:paraId="1767105B" w14:textId="77777777" w:rsidR="004D1935" w:rsidRPr="00CB7A8A" w:rsidRDefault="004D1935" w:rsidP="00E24DC9">
            <w:pPr>
              <w:rPr>
                <w:sz w:val="16"/>
                <w:szCs w:val="16"/>
              </w:rPr>
            </w:pPr>
          </w:p>
        </w:tc>
        <w:tc>
          <w:tcPr>
            <w:tcW w:w="7229" w:type="dxa"/>
            <w:vMerge/>
            <w:vAlign w:val="bottom"/>
          </w:tcPr>
          <w:p w14:paraId="67EB31C5" w14:textId="77777777" w:rsidR="004D1935" w:rsidRDefault="004D1935" w:rsidP="00E24DC9"/>
        </w:tc>
      </w:tr>
      <w:tr w:rsidR="004D1935" w14:paraId="74813E42" w14:textId="77777777" w:rsidTr="00E24DC9">
        <w:tc>
          <w:tcPr>
            <w:tcW w:w="704" w:type="dxa"/>
            <w:vMerge/>
          </w:tcPr>
          <w:p w14:paraId="1361FF0B" w14:textId="77777777" w:rsidR="004D1935" w:rsidRDefault="004D1935" w:rsidP="00E24DC9"/>
        </w:tc>
        <w:tc>
          <w:tcPr>
            <w:tcW w:w="851" w:type="dxa"/>
            <w:tcBorders>
              <w:top w:val="nil"/>
              <w:bottom w:val="nil"/>
            </w:tcBorders>
            <w:vAlign w:val="bottom"/>
          </w:tcPr>
          <w:p w14:paraId="318202B1" w14:textId="77777777" w:rsidR="004D1935" w:rsidRDefault="004D1935" w:rsidP="00E24DC9">
            <w:r w:rsidRPr="00B61D7D">
              <w:rPr>
                <w:rFonts w:ascii="Calibri" w:hAnsi="Calibri" w:cs="Calibri"/>
                <w:color w:val="000000"/>
                <w:sz w:val="16"/>
                <w:szCs w:val="16"/>
              </w:rPr>
              <w:t>173.9653</w:t>
            </w:r>
          </w:p>
        </w:tc>
        <w:tc>
          <w:tcPr>
            <w:tcW w:w="2268" w:type="dxa"/>
            <w:vMerge/>
            <w:vAlign w:val="bottom"/>
          </w:tcPr>
          <w:p w14:paraId="63AE14E5" w14:textId="77777777" w:rsidR="004D1935" w:rsidRDefault="004D1935" w:rsidP="00E24DC9"/>
        </w:tc>
        <w:tc>
          <w:tcPr>
            <w:tcW w:w="992" w:type="dxa"/>
            <w:vMerge/>
          </w:tcPr>
          <w:p w14:paraId="286471CE" w14:textId="77777777" w:rsidR="004D1935" w:rsidRPr="00CB7A8A" w:rsidRDefault="004D1935" w:rsidP="00E24DC9">
            <w:pPr>
              <w:rPr>
                <w:sz w:val="20"/>
                <w:szCs w:val="20"/>
              </w:rPr>
            </w:pPr>
          </w:p>
        </w:tc>
        <w:tc>
          <w:tcPr>
            <w:tcW w:w="1843" w:type="dxa"/>
            <w:vMerge/>
            <w:vAlign w:val="bottom"/>
          </w:tcPr>
          <w:p w14:paraId="306EB2CB" w14:textId="77777777" w:rsidR="004D1935" w:rsidRPr="00CB7A8A" w:rsidRDefault="004D1935" w:rsidP="00E24DC9">
            <w:pPr>
              <w:rPr>
                <w:sz w:val="16"/>
                <w:szCs w:val="16"/>
              </w:rPr>
            </w:pPr>
          </w:p>
        </w:tc>
        <w:tc>
          <w:tcPr>
            <w:tcW w:w="7229" w:type="dxa"/>
            <w:vMerge/>
            <w:vAlign w:val="bottom"/>
          </w:tcPr>
          <w:p w14:paraId="21CDF01D" w14:textId="77777777" w:rsidR="004D1935" w:rsidRDefault="004D1935" w:rsidP="00E24DC9"/>
        </w:tc>
      </w:tr>
      <w:tr w:rsidR="004D1935" w14:paraId="18FDEAC1" w14:textId="77777777" w:rsidTr="00E24DC9">
        <w:tc>
          <w:tcPr>
            <w:tcW w:w="704" w:type="dxa"/>
            <w:vMerge/>
          </w:tcPr>
          <w:p w14:paraId="1D3E4CE2" w14:textId="77777777" w:rsidR="004D1935" w:rsidRDefault="004D1935" w:rsidP="00E24DC9"/>
        </w:tc>
        <w:tc>
          <w:tcPr>
            <w:tcW w:w="851" w:type="dxa"/>
            <w:tcBorders>
              <w:top w:val="nil"/>
              <w:bottom w:val="nil"/>
            </w:tcBorders>
            <w:vAlign w:val="bottom"/>
          </w:tcPr>
          <w:p w14:paraId="7A184AF2" w14:textId="77777777" w:rsidR="004D1935" w:rsidRDefault="004D1935" w:rsidP="00E24DC9">
            <w:r w:rsidRPr="00B61D7D">
              <w:rPr>
                <w:rFonts w:ascii="Calibri" w:hAnsi="Calibri" w:cs="Calibri"/>
                <w:color w:val="000000"/>
                <w:sz w:val="16"/>
                <w:szCs w:val="16"/>
              </w:rPr>
              <w:t>174.0105</w:t>
            </w:r>
          </w:p>
        </w:tc>
        <w:tc>
          <w:tcPr>
            <w:tcW w:w="2268" w:type="dxa"/>
            <w:vMerge/>
          </w:tcPr>
          <w:p w14:paraId="110025BF" w14:textId="77777777" w:rsidR="004D1935" w:rsidRDefault="004D1935" w:rsidP="00E24DC9"/>
        </w:tc>
        <w:tc>
          <w:tcPr>
            <w:tcW w:w="992" w:type="dxa"/>
            <w:vMerge/>
          </w:tcPr>
          <w:p w14:paraId="4DB4BF5E" w14:textId="77777777" w:rsidR="004D1935" w:rsidRPr="00CB7A8A" w:rsidRDefault="004D1935" w:rsidP="00E24DC9">
            <w:pPr>
              <w:rPr>
                <w:sz w:val="20"/>
                <w:szCs w:val="20"/>
              </w:rPr>
            </w:pPr>
          </w:p>
        </w:tc>
        <w:tc>
          <w:tcPr>
            <w:tcW w:w="1843" w:type="dxa"/>
            <w:vMerge/>
            <w:vAlign w:val="bottom"/>
          </w:tcPr>
          <w:p w14:paraId="2A1E4EB8" w14:textId="77777777" w:rsidR="004D1935" w:rsidRPr="00CB7A8A" w:rsidRDefault="004D1935" w:rsidP="00E24DC9">
            <w:pPr>
              <w:rPr>
                <w:sz w:val="16"/>
                <w:szCs w:val="16"/>
              </w:rPr>
            </w:pPr>
          </w:p>
        </w:tc>
        <w:tc>
          <w:tcPr>
            <w:tcW w:w="7229" w:type="dxa"/>
            <w:vMerge/>
            <w:vAlign w:val="bottom"/>
          </w:tcPr>
          <w:p w14:paraId="67BEACF4" w14:textId="77777777" w:rsidR="004D1935" w:rsidRDefault="004D1935" w:rsidP="00E24DC9"/>
        </w:tc>
      </w:tr>
      <w:tr w:rsidR="004D1935" w14:paraId="67E18B43" w14:textId="77777777" w:rsidTr="00E24DC9">
        <w:tc>
          <w:tcPr>
            <w:tcW w:w="704" w:type="dxa"/>
            <w:vMerge/>
          </w:tcPr>
          <w:p w14:paraId="6023A6FB" w14:textId="77777777" w:rsidR="004D1935" w:rsidRDefault="004D1935" w:rsidP="00E24DC9"/>
        </w:tc>
        <w:tc>
          <w:tcPr>
            <w:tcW w:w="851" w:type="dxa"/>
            <w:tcBorders>
              <w:top w:val="nil"/>
              <w:bottom w:val="nil"/>
            </w:tcBorders>
            <w:vAlign w:val="bottom"/>
          </w:tcPr>
          <w:p w14:paraId="52C9E637" w14:textId="77777777" w:rsidR="004D1935" w:rsidRDefault="004D1935" w:rsidP="00E24DC9">
            <w:r w:rsidRPr="00B61D7D">
              <w:rPr>
                <w:rFonts w:ascii="Calibri" w:hAnsi="Calibri" w:cs="Calibri"/>
                <w:color w:val="000000"/>
                <w:sz w:val="16"/>
                <w:szCs w:val="16"/>
              </w:rPr>
              <w:t>173.9191</w:t>
            </w:r>
          </w:p>
        </w:tc>
        <w:tc>
          <w:tcPr>
            <w:tcW w:w="2268" w:type="dxa"/>
            <w:vMerge/>
          </w:tcPr>
          <w:p w14:paraId="2691AF90" w14:textId="77777777" w:rsidR="004D1935" w:rsidRDefault="004D1935" w:rsidP="00E24DC9"/>
        </w:tc>
        <w:tc>
          <w:tcPr>
            <w:tcW w:w="992" w:type="dxa"/>
            <w:vMerge/>
          </w:tcPr>
          <w:p w14:paraId="3E08EA26" w14:textId="77777777" w:rsidR="004D1935" w:rsidRPr="00CB7A8A" w:rsidRDefault="004D1935" w:rsidP="00E24DC9">
            <w:pPr>
              <w:rPr>
                <w:sz w:val="20"/>
                <w:szCs w:val="20"/>
              </w:rPr>
            </w:pPr>
          </w:p>
        </w:tc>
        <w:tc>
          <w:tcPr>
            <w:tcW w:w="1843" w:type="dxa"/>
            <w:vMerge/>
            <w:vAlign w:val="bottom"/>
          </w:tcPr>
          <w:p w14:paraId="770B8E8A" w14:textId="77777777" w:rsidR="004D1935" w:rsidRPr="00CB7A8A" w:rsidRDefault="004D1935" w:rsidP="00E24DC9">
            <w:pPr>
              <w:rPr>
                <w:sz w:val="16"/>
                <w:szCs w:val="16"/>
              </w:rPr>
            </w:pPr>
          </w:p>
        </w:tc>
        <w:tc>
          <w:tcPr>
            <w:tcW w:w="7229" w:type="dxa"/>
            <w:vMerge/>
            <w:vAlign w:val="bottom"/>
          </w:tcPr>
          <w:p w14:paraId="11684311" w14:textId="77777777" w:rsidR="004D1935" w:rsidRDefault="004D1935" w:rsidP="00E24DC9"/>
        </w:tc>
      </w:tr>
      <w:tr w:rsidR="004D1935" w14:paraId="7E2065CA" w14:textId="77777777" w:rsidTr="00E24DC9">
        <w:tc>
          <w:tcPr>
            <w:tcW w:w="704" w:type="dxa"/>
            <w:vMerge/>
          </w:tcPr>
          <w:p w14:paraId="52A869FF" w14:textId="77777777" w:rsidR="004D1935" w:rsidRDefault="004D1935" w:rsidP="00E24DC9"/>
        </w:tc>
        <w:tc>
          <w:tcPr>
            <w:tcW w:w="851" w:type="dxa"/>
            <w:tcBorders>
              <w:top w:val="nil"/>
              <w:bottom w:val="nil"/>
            </w:tcBorders>
            <w:vAlign w:val="bottom"/>
          </w:tcPr>
          <w:p w14:paraId="21F7419E" w14:textId="77777777" w:rsidR="004D1935" w:rsidRDefault="004D1935" w:rsidP="00E24DC9">
            <w:r w:rsidRPr="00B61D7D">
              <w:rPr>
                <w:rFonts w:ascii="Calibri" w:hAnsi="Calibri" w:cs="Calibri"/>
                <w:color w:val="000000"/>
                <w:sz w:val="16"/>
                <w:szCs w:val="16"/>
              </w:rPr>
              <w:t>173.9480</w:t>
            </w:r>
          </w:p>
        </w:tc>
        <w:tc>
          <w:tcPr>
            <w:tcW w:w="2268" w:type="dxa"/>
            <w:vMerge/>
            <w:vAlign w:val="bottom"/>
          </w:tcPr>
          <w:p w14:paraId="259D060B" w14:textId="77777777" w:rsidR="004D1935" w:rsidRDefault="004D1935" w:rsidP="00E24DC9"/>
        </w:tc>
        <w:tc>
          <w:tcPr>
            <w:tcW w:w="992" w:type="dxa"/>
            <w:vMerge/>
          </w:tcPr>
          <w:p w14:paraId="13FD9DF4" w14:textId="77777777" w:rsidR="004D1935" w:rsidRPr="00CB7A8A" w:rsidRDefault="004D1935" w:rsidP="00E24DC9">
            <w:pPr>
              <w:rPr>
                <w:sz w:val="20"/>
                <w:szCs w:val="20"/>
              </w:rPr>
            </w:pPr>
          </w:p>
        </w:tc>
        <w:tc>
          <w:tcPr>
            <w:tcW w:w="1843" w:type="dxa"/>
            <w:vMerge/>
            <w:vAlign w:val="bottom"/>
          </w:tcPr>
          <w:p w14:paraId="03A157D6" w14:textId="77777777" w:rsidR="004D1935" w:rsidRPr="00CB7A8A" w:rsidRDefault="004D1935" w:rsidP="00E24DC9">
            <w:pPr>
              <w:rPr>
                <w:sz w:val="16"/>
                <w:szCs w:val="16"/>
              </w:rPr>
            </w:pPr>
          </w:p>
        </w:tc>
        <w:tc>
          <w:tcPr>
            <w:tcW w:w="7229" w:type="dxa"/>
            <w:vMerge/>
            <w:vAlign w:val="bottom"/>
          </w:tcPr>
          <w:p w14:paraId="5FB35713" w14:textId="77777777" w:rsidR="004D1935" w:rsidRDefault="004D1935" w:rsidP="00E24DC9"/>
        </w:tc>
      </w:tr>
      <w:tr w:rsidR="004D1935" w14:paraId="5EA24736" w14:textId="77777777" w:rsidTr="00E24DC9">
        <w:tc>
          <w:tcPr>
            <w:tcW w:w="704" w:type="dxa"/>
            <w:vMerge/>
          </w:tcPr>
          <w:p w14:paraId="3BEDFA2F" w14:textId="77777777" w:rsidR="004D1935" w:rsidRDefault="004D1935" w:rsidP="00E24DC9"/>
        </w:tc>
        <w:tc>
          <w:tcPr>
            <w:tcW w:w="851" w:type="dxa"/>
            <w:tcBorders>
              <w:top w:val="nil"/>
              <w:bottom w:val="nil"/>
            </w:tcBorders>
            <w:vAlign w:val="bottom"/>
          </w:tcPr>
          <w:p w14:paraId="33A3A408" w14:textId="77777777" w:rsidR="004D1935" w:rsidRDefault="004D1935" w:rsidP="00E24DC9">
            <w:r w:rsidRPr="00B61D7D">
              <w:rPr>
                <w:rFonts w:ascii="Calibri" w:hAnsi="Calibri" w:cs="Calibri"/>
                <w:color w:val="000000"/>
                <w:sz w:val="16"/>
                <w:szCs w:val="16"/>
              </w:rPr>
              <w:t>174.0191</w:t>
            </w:r>
          </w:p>
        </w:tc>
        <w:tc>
          <w:tcPr>
            <w:tcW w:w="2268" w:type="dxa"/>
            <w:vMerge/>
          </w:tcPr>
          <w:p w14:paraId="27D8A146" w14:textId="77777777" w:rsidR="004D1935" w:rsidRDefault="004D1935" w:rsidP="00E24DC9"/>
        </w:tc>
        <w:tc>
          <w:tcPr>
            <w:tcW w:w="992" w:type="dxa"/>
            <w:vMerge/>
          </w:tcPr>
          <w:p w14:paraId="3CAFB027" w14:textId="77777777" w:rsidR="004D1935" w:rsidRPr="00CB7A8A" w:rsidRDefault="004D1935" w:rsidP="00E24DC9">
            <w:pPr>
              <w:rPr>
                <w:sz w:val="20"/>
                <w:szCs w:val="20"/>
              </w:rPr>
            </w:pPr>
          </w:p>
        </w:tc>
        <w:tc>
          <w:tcPr>
            <w:tcW w:w="1843" w:type="dxa"/>
            <w:vMerge/>
          </w:tcPr>
          <w:p w14:paraId="3B05AB13" w14:textId="77777777" w:rsidR="004D1935" w:rsidRPr="00CB7A8A" w:rsidRDefault="004D1935" w:rsidP="00E24DC9">
            <w:pPr>
              <w:rPr>
                <w:sz w:val="16"/>
                <w:szCs w:val="16"/>
              </w:rPr>
            </w:pPr>
          </w:p>
        </w:tc>
        <w:tc>
          <w:tcPr>
            <w:tcW w:w="7229" w:type="dxa"/>
            <w:vMerge/>
          </w:tcPr>
          <w:p w14:paraId="6380C8C0" w14:textId="77777777" w:rsidR="004D1935" w:rsidRDefault="004D1935" w:rsidP="00E24DC9"/>
        </w:tc>
      </w:tr>
      <w:tr w:rsidR="004D1935" w14:paraId="1118F8D5" w14:textId="77777777" w:rsidTr="00E24DC9">
        <w:tc>
          <w:tcPr>
            <w:tcW w:w="704" w:type="dxa"/>
            <w:vMerge/>
          </w:tcPr>
          <w:p w14:paraId="1292DE2D" w14:textId="77777777" w:rsidR="004D1935" w:rsidRDefault="004D1935" w:rsidP="00E24DC9"/>
        </w:tc>
        <w:tc>
          <w:tcPr>
            <w:tcW w:w="851" w:type="dxa"/>
            <w:tcBorders>
              <w:top w:val="nil"/>
              <w:bottom w:val="nil"/>
            </w:tcBorders>
            <w:vAlign w:val="bottom"/>
          </w:tcPr>
          <w:p w14:paraId="27622BFB" w14:textId="77777777" w:rsidR="004D1935" w:rsidRDefault="004D1935" w:rsidP="00E24DC9">
            <w:r w:rsidRPr="00B61D7D">
              <w:rPr>
                <w:rFonts w:ascii="Calibri" w:hAnsi="Calibri" w:cs="Calibri"/>
                <w:color w:val="000000"/>
                <w:sz w:val="16"/>
                <w:szCs w:val="16"/>
              </w:rPr>
              <w:t>174.0595</w:t>
            </w:r>
          </w:p>
        </w:tc>
        <w:tc>
          <w:tcPr>
            <w:tcW w:w="2268" w:type="dxa"/>
            <w:vMerge/>
          </w:tcPr>
          <w:p w14:paraId="7C3E0888" w14:textId="77777777" w:rsidR="004D1935" w:rsidRDefault="004D1935" w:rsidP="00E24DC9"/>
        </w:tc>
        <w:tc>
          <w:tcPr>
            <w:tcW w:w="992" w:type="dxa"/>
            <w:vMerge/>
          </w:tcPr>
          <w:p w14:paraId="72DA4D21" w14:textId="77777777" w:rsidR="004D1935" w:rsidRPr="00CB7A8A" w:rsidRDefault="004D1935" w:rsidP="00E24DC9">
            <w:pPr>
              <w:rPr>
                <w:sz w:val="20"/>
                <w:szCs w:val="20"/>
              </w:rPr>
            </w:pPr>
          </w:p>
        </w:tc>
        <w:tc>
          <w:tcPr>
            <w:tcW w:w="1843" w:type="dxa"/>
            <w:vMerge/>
          </w:tcPr>
          <w:p w14:paraId="3BCDD16A" w14:textId="77777777" w:rsidR="004D1935" w:rsidRPr="00CB7A8A" w:rsidRDefault="004D1935" w:rsidP="00E24DC9">
            <w:pPr>
              <w:rPr>
                <w:sz w:val="16"/>
                <w:szCs w:val="16"/>
              </w:rPr>
            </w:pPr>
          </w:p>
        </w:tc>
        <w:tc>
          <w:tcPr>
            <w:tcW w:w="7229" w:type="dxa"/>
            <w:vMerge/>
          </w:tcPr>
          <w:p w14:paraId="61E7B509" w14:textId="77777777" w:rsidR="004D1935" w:rsidRDefault="004D1935" w:rsidP="00E24DC9"/>
        </w:tc>
      </w:tr>
      <w:tr w:rsidR="004D1935" w14:paraId="68C1FFD2" w14:textId="77777777" w:rsidTr="00E24DC9">
        <w:tc>
          <w:tcPr>
            <w:tcW w:w="704" w:type="dxa"/>
            <w:vMerge/>
          </w:tcPr>
          <w:p w14:paraId="060EBFB3" w14:textId="77777777" w:rsidR="004D1935" w:rsidRDefault="004D1935" w:rsidP="00E24DC9"/>
        </w:tc>
        <w:tc>
          <w:tcPr>
            <w:tcW w:w="851" w:type="dxa"/>
            <w:tcBorders>
              <w:top w:val="nil"/>
              <w:bottom w:val="nil"/>
            </w:tcBorders>
            <w:vAlign w:val="bottom"/>
          </w:tcPr>
          <w:p w14:paraId="7EDCF1F7" w14:textId="77777777" w:rsidR="004D1935" w:rsidRDefault="004D1935" w:rsidP="00E24DC9">
            <w:r w:rsidRPr="00B61D7D">
              <w:rPr>
                <w:rFonts w:ascii="Calibri" w:hAnsi="Calibri" w:cs="Calibri"/>
                <w:color w:val="000000"/>
                <w:sz w:val="16"/>
                <w:szCs w:val="16"/>
              </w:rPr>
              <w:t>173.9345</w:t>
            </w:r>
          </w:p>
        </w:tc>
        <w:tc>
          <w:tcPr>
            <w:tcW w:w="2268" w:type="dxa"/>
            <w:vMerge/>
          </w:tcPr>
          <w:p w14:paraId="7D3B9CEB" w14:textId="77777777" w:rsidR="004D1935" w:rsidRDefault="004D1935" w:rsidP="00E24DC9"/>
        </w:tc>
        <w:tc>
          <w:tcPr>
            <w:tcW w:w="992" w:type="dxa"/>
            <w:vMerge/>
          </w:tcPr>
          <w:p w14:paraId="72FFDDE0" w14:textId="77777777" w:rsidR="004D1935" w:rsidRPr="00CB7A8A" w:rsidRDefault="004D1935" w:rsidP="00E24DC9">
            <w:pPr>
              <w:spacing w:before="45" w:after="45"/>
              <w:rPr>
                <w:sz w:val="20"/>
                <w:szCs w:val="20"/>
              </w:rPr>
            </w:pPr>
          </w:p>
        </w:tc>
        <w:tc>
          <w:tcPr>
            <w:tcW w:w="1843" w:type="dxa"/>
            <w:vMerge/>
          </w:tcPr>
          <w:p w14:paraId="5CEFD9FA" w14:textId="77777777" w:rsidR="004D1935" w:rsidRPr="00CB7A8A" w:rsidRDefault="004D1935" w:rsidP="00E24DC9">
            <w:pPr>
              <w:rPr>
                <w:sz w:val="16"/>
                <w:szCs w:val="16"/>
              </w:rPr>
            </w:pPr>
          </w:p>
        </w:tc>
        <w:tc>
          <w:tcPr>
            <w:tcW w:w="7229" w:type="dxa"/>
            <w:vMerge/>
          </w:tcPr>
          <w:p w14:paraId="788A328B" w14:textId="77777777" w:rsidR="004D1935" w:rsidRDefault="004D1935" w:rsidP="00E24DC9"/>
        </w:tc>
      </w:tr>
      <w:tr w:rsidR="004D1935" w14:paraId="3D499FFC" w14:textId="77777777" w:rsidTr="00E24DC9">
        <w:tc>
          <w:tcPr>
            <w:tcW w:w="704" w:type="dxa"/>
            <w:vMerge/>
          </w:tcPr>
          <w:p w14:paraId="758008E8" w14:textId="77777777" w:rsidR="004D1935" w:rsidRDefault="004D1935" w:rsidP="00E24DC9"/>
        </w:tc>
        <w:tc>
          <w:tcPr>
            <w:tcW w:w="851" w:type="dxa"/>
            <w:tcBorders>
              <w:top w:val="nil"/>
              <w:bottom w:val="nil"/>
            </w:tcBorders>
            <w:vAlign w:val="bottom"/>
          </w:tcPr>
          <w:p w14:paraId="4BE2A285" w14:textId="77777777" w:rsidR="004D1935" w:rsidRDefault="004D1935" w:rsidP="00E24DC9">
            <w:r w:rsidRPr="00B61D7D">
              <w:rPr>
                <w:rFonts w:ascii="Calibri" w:hAnsi="Calibri" w:cs="Calibri"/>
                <w:color w:val="000000"/>
                <w:sz w:val="16"/>
                <w:szCs w:val="16"/>
              </w:rPr>
              <w:t>173.9633</w:t>
            </w:r>
          </w:p>
        </w:tc>
        <w:tc>
          <w:tcPr>
            <w:tcW w:w="2268" w:type="dxa"/>
            <w:vMerge/>
          </w:tcPr>
          <w:p w14:paraId="50819411" w14:textId="77777777" w:rsidR="004D1935" w:rsidRDefault="004D1935" w:rsidP="00E24DC9"/>
        </w:tc>
        <w:tc>
          <w:tcPr>
            <w:tcW w:w="992" w:type="dxa"/>
            <w:vMerge/>
          </w:tcPr>
          <w:p w14:paraId="161A4285" w14:textId="77777777" w:rsidR="004D1935" w:rsidRPr="00CB7A8A" w:rsidRDefault="004D1935" w:rsidP="00E24DC9">
            <w:pPr>
              <w:rPr>
                <w:sz w:val="20"/>
                <w:szCs w:val="20"/>
              </w:rPr>
            </w:pPr>
          </w:p>
        </w:tc>
        <w:tc>
          <w:tcPr>
            <w:tcW w:w="1843" w:type="dxa"/>
            <w:vMerge/>
          </w:tcPr>
          <w:p w14:paraId="0876A2D7" w14:textId="77777777" w:rsidR="004D1935" w:rsidRPr="00CB7A8A" w:rsidRDefault="004D1935" w:rsidP="00E24DC9">
            <w:pPr>
              <w:rPr>
                <w:sz w:val="16"/>
                <w:szCs w:val="16"/>
              </w:rPr>
            </w:pPr>
          </w:p>
        </w:tc>
        <w:tc>
          <w:tcPr>
            <w:tcW w:w="7229" w:type="dxa"/>
            <w:vMerge/>
          </w:tcPr>
          <w:p w14:paraId="4A51C043" w14:textId="77777777" w:rsidR="004D1935" w:rsidRDefault="004D1935" w:rsidP="00E24DC9"/>
        </w:tc>
      </w:tr>
      <w:tr w:rsidR="004D1935" w14:paraId="2437037D" w14:textId="77777777" w:rsidTr="00E24DC9">
        <w:tc>
          <w:tcPr>
            <w:tcW w:w="704" w:type="dxa"/>
            <w:vMerge/>
          </w:tcPr>
          <w:p w14:paraId="4C8B51A0" w14:textId="77777777" w:rsidR="004D1935" w:rsidRDefault="004D1935" w:rsidP="00E24DC9"/>
        </w:tc>
        <w:tc>
          <w:tcPr>
            <w:tcW w:w="851" w:type="dxa"/>
            <w:tcBorders>
              <w:top w:val="nil"/>
              <w:bottom w:val="nil"/>
            </w:tcBorders>
            <w:vAlign w:val="bottom"/>
          </w:tcPr>
          <w:p w14:paraId="17C7411E" w14:textId="77777777" w:rsidR="004D1935" w:rsidRDefault="004D1935" w:rsidP="00E24DC9">
            <w:r w:rsidRPr="00B61D7D">
              <w:rPr>
                <w:rFonts w:ascii="Calibri" w:hAnsi="Calibri" w:cs="Calibri"/>
                <w:color w:val="000000"/>
                <w:sz w:val="16"/>
                <w:szCs w:val="16"/>
              </w:rPr>
              <w:t>173.9768</w:t>
            </w:r>
          </w:p>
        </w:tc>
        <w:tc>
          <w:tcPr>
            <w:tcW w:w="2268" w:type="dxa"/>
            <w:vMerge/>
          </w:tcPr>
          <w:p w14:paraId="5219D525" w14:textId="77777777" w:rsidR="004D1935" w:rsidRDefault="004D1935" w:rsidP="00E24DC9"/>
        </w:tc>
        <w:tc>
          <w:tcPr>
            <w:tcW w:w="992" w:type="dxa"/>
            <w:vMerge/>
          </w:tcPr>
          <w:p w14:paraId="4412BD97" w14:textId="77777777" w:rsidR="004D1935" w:rsidRPr="00CB7A8A" w:rsidRDefault="004D1935" w:rsidP="00E24DC9">
            <w:pPr>
              <w:rPr>
                <w:sz w:val="20"/>
                <w:szCs w:val="20"/>
              </w:rPr>
            </w:pPr>
          </w:p>
        </w:tc>
        <w:tc>
          <w:tcPr>
            <w:tcW w:w="1843" w:type="dxa"/>
            <w:vMerge/>
          </w:tcPr>
          <w:p w14:paraId="1E0018D5" w14:textId="77777777" w:rsidR="004D1935" w:rsidRPr="00CB7A8A" w:rsidRDefault="004D1935" w:rsidP="00E24DC9">
            <w:pPr>
              <w:rPr>
                <w:sz w:val="16"/>
                <w:szCs w:val="16"/>
              </w:rPr>
            </w:pPr>
          </w:p>
        </w:tc>
        <w:tc>
          <w:tcPr>
            <w:tcW w:w="7229" w:type="dxa"/>
            <w:vMerge/>
          </w:tcPr>
          <w:p w14:paraId="04C56818" w14:textId="77777777" w:rsidR="004D1935" w:rsidRDefault="004D1935" w:rsidP="00E24DC9"/>
        </w:tc>
      </w:tr>
      <w:tr w:rsidR="004D1935" w14:paraId="1A96A099" w14:textId="77777777" w:rsidTr="00E24DC9">
        <w:tc>
          <w:tcPr>
            <w:tcW w:w="704" w:type="dxa"/>
            <w:vMerge/>
          </w:tcPr>
          <w:p w14:paraId="6D8D90AC" w14:textId="77777777" w:rsidR="004D1935" w:rsidRDefault="004D1935" w:rsidP="00E24DC9"/>
        </w:tc>
        <w:tc>
          <w:tcPr>
            <w:tcW w:w="851" w:type="dxa"/>
            <w:tcBorders>
              <w:top w:val="nil"/>
              <w:bottom w:val="nil"/>
            </w:tcBorders>
            <w:vAlign w:val="bottom"/>
          </w:tcPr>
          <w:p w14:paraId="6AF41483" w14:textId="77777777" w:rsidR="004D1935" w:rsidRDefault="004D1935" w:rsidP="00E24DC9">
            <w:r w:rsidRPr="00B61D7D">
              <w:rPr>
                <w:rFonts w:ascii="Calibri" w:hAnsi="Calibri" w:cs="Calibri"/>
                <w:color w:val="000000"/>
                <w:sz w:val="16"/>
                <w:szCs w:val="16"/>
              </w:rPr>
              <w:t>174.0162</w:t>
            </w:r>
          </w:p>
        </w:tc>
        <w:tc>
          <w:tcPr>
            <w:tcW w:w="2268" w:type="dxa"/>
            <w:vMerge/>
          </w:tcPr>
          <w:p w14:paraId="30C3D383" w14:textId="77777777" w:rsidR="004D1935" w:rsidRDefault="004D1935" w:rsidP="00E24DC9"/>
        </w:tc>
        <w:tc>
          <w:tcPr>
            <w:tcW w:w="992" w:type="dxa"/>
            <w:vMerge/>
          </w:tcPr>
          <w:p w14:paraId="63960E0C" w14:textId="77777777" w:rsidR="004D1935" w:rsidRPr="00CB7A8A" w:rsidRDefault="004D1935" w:rsidP="00E24DC9">
            <w:pPr>
              <w:rPr>
                <w:sz w:val="20"/>
                <w:szCs w:val="20"/>
              </w:rPr>
            </w:pPr>
          </w:p>
        </w:tc>
        <w:tc>
          <w:tcPr>
            <w:tcW w:w="1843" w:type="dxa"/>
            <w:vMerge/>
          </w:tcPr>
          <w:p w14:paraId="0EA5CAD0" w14:textId="77777777" w:rsidR="004D1935" w:rsidRPr="00CB7A8A" w:rsidRDefault="004D1935" w:rsidP="00E24DC9">
            <w:pPr>
              <w:rPr>
                <w:sz w:val="16"/>
                <w:szCs w:val="16"/>
              </w:rPr>
            </w:pPr>
          </w:p>
        </w:tc>
        <w:tc>
          <w:tcPr>
            <w:tcW w:w="7229" w:type="dxa"/>
            <w:vMerge/>
          </w:tcPr>
          <w:p w14:paraId="096248FC" w14:textId="77777777" w:rsidR="004D1935" w:rsidRDefault="004D1935" w:rsidP="00E24DC9"/>
        </w:tc>
      </w:tr>
      <w:tr w:rsidR="004D1935" w14:paraId="24AA2228" w14:textId="77777777" w:rsidTr="00E24DC9">
        <w:tc>
          <w:tcPr>
            <w:tcW w:w="704" w:type="dxa"/>
            <w:vMerge/>
          </w:tcPr>
          <w:p w14:paraId="1F9BD823" w14:textId="77777777" w:rsidR="004D1935" w:rsidRDefault="004D1935" w:rsidP="00E24DC9"/>
        </w:tc>
        <w:tc>
          <w:tcPr>
            <w:tcW w:w="851" w:type="dxa"/>
            <w:tcBorders>
              <w:top w:val="nil"/>
              <w:bottom w:val="nil"/>
            </w:tcBorders>
            <w:vAlign w:val="bottom"/>
          </w:tcPr>
          <w:p w14:paraId="38BF864A" w14:textId="77777777" w:rsidR="004D1935" w:rsidRDefault="004D1935" w:rsidP="00E24DC9">
            <w:r w:rsidRPr="00B61D7D">
              <w:rPr>
                <w:rFonts w:ascii="Calibri" w:hAnsi="Calibri" w:cs="Calibri"/>
                <w:color w:val="000000"/>
                <w:sz w:val="16"/>
                <w:szCs w:val="16"/>
              </w:rPr>
              <w:t>174.0566</w:t>
            </w:r>
          </w:p>
        </w:tc>
        <w:tc>
          <w:tcPr>
            <w:tcW w:w="2268" w:type="dxa"/>
            <w:vMerge/>
          </w:tcPr>
          <w:p w14:paraId="268F9AFA" w14:textId="77777777" w:rsidR="004D1935" w:rsidRDefault="004D1935" w:rsidP="00E24DC9"/>
        </w:tc>
        <w:tc>
          <w:tcPr>
            <w:tcW w:w="992" w:type="dxa"/>
            <w:vMerge/>
          </w:tcPr>
          <w:p w14:paraId="6E393758" w14:textId="77777777" w:rsidR="004D1935" w:rsidRPr="00CB7A8A" w:rsidRDefault="004D1935" w:rsidP="00E24DC9">
            <w:pPr>
              <w:rPr>
                <w:sz w:val="20"/>
                <w:szCs w:val="20"/>
              </w:rPr>
            </w:pPr>
          </w:p>
        </w:tc>
        <w:tc>
          <w:tcPr>
            <w:tcW w:w="1843" w:type="dxa"/>
            <w:vMerge/>
          </w:tcPr>
          <w:p w14:paraId="240D1299" w14:textId="77777777" w:rsidR="004D1935" w:rsidRPr="00CB7A8A" w:rsidRDefault="004D1935" w:rsidP="00E24DC9">
            <w:pPr>
              <w:rPr>
                <w:sz w:val="16"/>
                <w:szCs w:val="16"/>
              </w:rPr>
            </w:pPr>
          </w:p>
        </w:tc>
        <w:tc>
          <w:tcPr>
            <w:tcW w:w="7229" w:type="dxa"/>
            <w:vMerge/>
          </w:tcPr>
          <w:p w14:paraId="248F3327" w14:textId="77777777" w:rsidR="004D1935" w:rsidRDefault="004D1935" w:rsidP="00E24DC9"/>
        </w:tc>
      </w:tr>
      <w:tr w:rsidR="004D1935" w14:paraId="4C2382F8" w14:textId="77777777" w:rsidTr="00E24DC9">
        <w:tc>
          <w:tcPr>
            <w:tcW w:w="704" w:type="dxa"/>
            <w:vMerge/>
          </w:tcPr>
          <w:p w14:paraId="2DED1AD8" w14:textId="77777777" w:rsidR="004D1935" w:rsidRDefault="004D1935" w:rsidP="00E24DC9"/>
        </w:tc>
        <w:tc>
          <w:tcPr>
            <w:tcW w:w="851" w:type="dxa"/>
            <w:tcBorders>
              <w:top w:val="nil"/>
              <w:bottom w:val="nil"/>
            </w:tcBorders>
            <w:vAlign w:val="bottom"/>
          </w:tcPr>
          <w:p w14:paraId="7C2BA0CA" w14:textId="77777777" w:rsidR="004D1935" w:rsidRDefault="004D1935" w:rsidP="00E24DC9">
            <w:r w:rsidRPr="00B61D7D">
              <w:rPr>
                <w:rFonts w:ascii="Calibri" w:hAnsi="Calibri" w:cs="Calibri"/>
                <w:color w:val="000000"/>
                <w:sz w:val="16"/>
                <w:szCs w:val="16"/>
              </w:rPr>
              <w:t>174.0902</w:t>
            </w:r>
          </w:p>
        </w:tc>
        <w:tc>
          <w:tcPr>
            <w:tcW w:w="2268" w:type="dxa"/>
            <w:vMerge/>
          </w:tcPr>
          <w:p w14:paraId="30C45ACC" w14:textId="77777777" w:rsidR="004D1935" w:rsidRDefault="004D1935" w:rsidP="00E24DC9"/>
        </w:tc>
        <w:tc>
          <w:tcPr>
            <w:tcW w:w="992" w:type="dxa"/>
            <w:vMerge/>
          </w:tcPr>
          <w:p w14:paraId="77DC0FDC" w14:textId="77777777" w:rsidR="004D1935" w:rsidRPr="00CB7A8A" w:rsidRDefault="004D1935" w:rsidP="00E24DC9">
            <w:pPr>
              <w:rPr>
                <w:sz w:val="20"/>
                <w:szCs w:val="20"/>
              </w:rPr>
            </w:pPr>
          </w:p>
        </w:tc>
        <w:tc>
          <w:tcPr>
            <w:tcW w:w="1843" w:type="dxa"/>
            <w:vMerge/>
          </w:tcPr>
          <w:p w14:paraId="50595D43" w14:textId="77777777" w:rsidR="004D1935" w:rsidRPr="00CB7A8A" w:rsidRDefault="004D1935" w:rsidP="00E24DC9">
            <w:pPr>
              <w:rPr>
                <w:sz w:val="16"/>
                <w:szCs w:val="16"/>
              </w:rPr>
            </w:pPr>
          </w:p>
        </w:tc>
        <w:tc>
          <w:tcPr>
            <w:tcW w:w="7229" w:type="dxa"/>
            <w:vMerge/>
          </w:tcPr>
          <w:p w14:paraId="0F5BB460" w14:textId="77777777" w:rsidR="004D1935" w:rsidRDefault="004D1935" w:rsidP="00E24DC9"/>
        </w:tc>
      </w:tr>
      <w:tr w:rsidR="004D1935" w14:paraId="5AA88AE4" w14:textId="77777777" w:rsidTr="00E24DC9">
        <w:tc>
          <w:tcPr>
            <w:tcW w:w="704" w:type="dxa"/>
            <w:vMerge/>
          </w:tcPr>
          <w:p w14:paraId="09643180" w14:textId="77777777" w:rsidR="004D1935" w:rsidRDefault="004D1935" w:rsidP="00E24DC9"/>
        </w:tc>
        <w:tc>
          <w:tcPr>
            <w:tcW w:w="851" w:type="dxa"/>
            <w:tcBorders>
              <w:top w:val="nil"/>
              <w:bottom w:val="nil"/>
            </w:tcBorders>
            <w:vAlign w:val="bottom"/>
          </w:tcPr>
          <w:p w14:paraId="63CBA0F6" w14:textId="77777777" w:rsidR="004D1935" w:rsidRDefault="004D1935" w:rsidP="00E24DC9">
            <w:r w:rsidRPr="00B61D7D">
              <w:rPr>
                <w:rFonts w:ascii="Calibri" w:hAnsi="Calibri" w:cs="Calibri"/>
                <w:color w:val="000000"/>
                <w:sz w:val="16"/>
                <w:szCs w:val="16"/>
              </w:rPr>
              <w:t>173.9230</w:t>
            </w:r>
          </w:p>
        </w:tc>
        <w:tc>
          <w:tcPr>
            <w:tcW w:w="2268" w:type="dxa"/>
            <w:vMerge/>
          </w:tcPr>
          <w:p w14:paraId="15EAF6AE" w14:textId="77777777" w:rsidR="004D1935" w:rsidRDefault="004D1935" w:rsidP="00E24DC9"/>
        </w:tc>
        <w:tc>
          <w:tcPr>
            <w:tcW w:w="992" w:type="dxa"/>
            <w:vMerge/>
          </w:tcPr>
          <w:p w14:paraId="7206279B" w14:textId="77777777" w:rsidR="004D1935" w:rsidRPr="00CB7A8A" w:rsidRDefault="004D1935" w:rsidP="00E24DC9">
            <w:pPr>
              <w:rPr>
                <w:sz w:val="20"/>
                <w:szCs w:val="20"/>
              </w:rPr>
            </w:pPr>
          </w:p>
        </w:tc>
        <w:tc>
          <w:tcPr>
            <w:tcW w:w="1843" w:type="dxa"/>
            <w:vMerge/>
          </w:tcPr>
          <w:p w14:paraId="712A6090" w14:textId="77777777" w:rsidR="004D1935" w:rsidRPr="00CB7A8A" w:rsidRDefault="004D1935" w:rsidP="00E24DC9">
            <w:pPr>
              <w:rPr>
                <w:sz w:val="16"/>
                <w:szCs w:val="16"/>
              </w:rPr>
            </w:pPr>
          </w:p>
        </w:tc>
        <w:tc>
          <w:tcPr>
            <w:tcW w:w="7229" w:type="dxa"/>
            <w:vMerge/>
          </w:tcPr>
          <w:p w14:paraId="01C76CE0" w14:textId="77777777" w:rsidR="004D1935" w:rsidRDefault="004D1935" w:rsidP="00E24DC9"/>
        </w:tc>
      </w:tr>
      <w:tr w:rsidR="004D1935" w14:paraId="3D5CC543" w14:textId="77777777" w:rsidTr="00E24DC9">
        <w:tc>
          <w:tcPr>
            <w:tcW w:w="704" w:type="dxa"/>
            <w:vMerge/>
          </w:tcPr>
          <w:p w14:paraId="0EE52B8B" w14:textId="77777777" w:rsidR="004D1935" w:rsidRDefault="004D1935" w:rsidP="00E24DC9"/>
        </w:tc>
        <w:tc>
          <w:tcPr>
            <w:tcW w:w="851" w:type="dxa"/>
            <w:tcBorders>
              <w:top w:val="nil"/>
              <w:bottom w:val="nil"/>
            </w:tcBorders>
            <w:vAlign w:val="bottom"/>
          </w:tcPr>
          <w:p w14:paraId="08C42E65" w14:textId="77777777" w:rsidR="004D1935" w:rsidRDefault="004D1935" w:rsidP="00E24DC9">
            <w:r w:rsidRPr="00B61D7D">
              <w:rPr>
                <w:rFonts w:ascii="Calibri" w:hAnsi="Calibri" w:cs="Calibri"/>
                <w:color w:val="000000"/>
                <w:sz w:val="16"/>
                <w:szCs w:val="16"/>
              </w:rPr>
              <w:t>173.9519</w:t>
            </w:r>
          </w:p>
        </w:tc>
        <w:tc>
          <w:tcPr>
            <w:tcW w:w="2268" w:type="dxa"/>
            <w:vMerge/>
          </w:tcPr>
          <w:p w14:paraId="69348353" w14:textId="77777777" w:rsidR="004D1935" w:rsidRDefault="004D1935" w:rsidP="00E24DC9"/>
        </w:tc>
        <w:tc>
          <w:tcPr>
            <w:tcW w:w="992" w:type="dxa"/>
            <w:vMerge/>
          </w:tcPr>
          <w:p w14:paraId="1E9EEE8E" w14:textId="77777777" w:rsidR="004D1935" w:rsidRPr="00CB7A8A" w:rsidRDefault="004D1935" w:rsidP="00E24DC9">
            <w:pPr>
              <w:rPr>
                <w:sz w:val="20"/>
                <w:szCs w:val="20"/>
              </w:rPr>
            </w:pPr>
          </w:p>
        </w:tc>
        <w:tc>
          <w:tcPr>
            <w:tcW w:w="1843" w:type="dxa"/>
            <w:vMerge/>
          </w:tcPr>
          <w:p w14:paraId="52328A89" w14:textId="77777777" w:rsidR="004D1935" w:rsidRPr="00CB7A8A" w:rsidRDefault="004D1935" w:rsidP="00E24DC9">
            <w:pPr>
              <w:rPr>
                <w:sz w:val="16"/>
                <w:szCs w:val="16"/>
              </w:rPr>
            </w:pPr>
          </w:p>
        </w:tc>
        <w:tc>
          <w:tcPr>
            <w:tcW w:w="7229" w:type="dxa"/>
            <w:vMerge/>
          </w:tcPr>
          <w:p w14:paraId="77F99883" w14:textId="77777777" w:rsidR="004D1935" w:rsidRDefault="004D1935" w:rsidP="00E24DC9"/>
        </w:tc>
      </w:tr>
      <w:tr w:rsidR="004D1935" w14:paraId="1BE8D406" w14:textId="77777777" w:rsidTr="00E24DC9">
        <w:tc>
          <w:tcPr>
            <w:tcW w:w="704" w:type="dxa"/>
            <w:vMerge/>
          </w:tcPr>
          <w:p w14:paraId="2B0875EE" w14:textId="77777777" w:rsidR="004D1935" w:rsidRDefault="004D1935" w:rsidP="00E24DC9"/>
        </w:tc>
        <w:tc>
          <w:tcPr>
            <w:tcW w:w="851" w:type="dxa"/>
            <w:tcBorders>
              <w:top w:val="nil"/>
              <w:bottom w:val="nil"/>
            </w:tcBorders>
            <w:vAlign w:val="bottom"/>
          </w:tcPr>
          <w:p w14:paraId="7EA0F616" w14:textId="77777777" w:rsidR="004D1935" w:rsidRDefault="004D1935" w:rsidP="00E24DC9">
            <w:r w:rsidRPr="00B61D7D">
              <w:rPr>
                <w:rFonts w:ascii="Calibri" w:hAnsi="Calibri" w:cs="Calibri"/>
                <w:color w:val="000000"/>
                <w:sz w:val="16"/>
                <w:szCs w:val="16"/>
              </w:rPr>
              <w:t>174.0134</w:t>
            </w:r>
          </w:p>
        </w:tc>
        <w:tc>
          <w:tcPr>
            <w:tcW w:w="2268" w:type="dxa"/>
            <w:vMerge/>
          </w:tcPr>
          <w:p w14:paraId="000DA6E7" w14:textId="77777777" w:rsidR="004D1935" w:rsidRDefault="004D1935" w:rsidP="00E24DC9"/>
        </w:tc>
        <w:tc>
          <w:tcPr>
            <w:tcW w:w="992" w:type="dxa"/>
            <w:vMerge/>
          </w:tcPr>
          <w:p w14:paraId="26C8979A" w14:textId="77777777" w:rsidR="004D1935" w:rsidRPr="00CB7A8A" w:rsidRDefault="004D1935" w:rsidP="00E24DC9">
            <w:pPr>
              <w:rPr>
                <w:sz w:val="20"/>
                <w:szCs w:val="20"/>
              </w:rPr>
            </w:pPr>
          </w:p>
        </w:tc>
        <w:tc>
          <w:tcPr>
            <w:tcW w:w="1843" w:type="dxa"/>
            <w:vMerge/>
          </w:tcPr>
          <w:p w14:paraId="786CC4D0" w14:textId="77777777" w:rsidR="004D1935" w:rsidRPr="00CB7A8A" w:rsidRDefault="004D1935" w:rsidP="00E24DC9">
            <w:pPr>
              <w:rPr>
                <w:sz w:val="16"/>
                <w:szCs w:val="16"/>
              </w:rPr>
            </w:pPr>
          </w:p>
        </w:tc>
        <w:tc>
          <w:tcPr>
            <w:tcW w:w="7229" w:type="dxa"/>
            <w:vMerge/>
          </w:tcPr>
          <w:p w14:paraId="7FC74D2E" w14:textId="77777777" w:rsidR="004D1935" w:rsidRDefault="004D1935" w:rsidP="00E24DC9"/>
        </w:tc>
      </w:tr>
      <w:tr w:rsidR="004D1935" w14:paraId="39D17E1C" w14:textId="77777777" w:rsidTr="00E24DC9">
        <w:tc>
          <w:tcPr>
            <w:tcW w:w="704" w:type="dxa"/>
            <w:vMerge/>
          </w:tcPr>
          <w:p w14:paraId="4E1ABCD3" w14:textId="77777777" w:rsidR="004D1935" w:rsidRDefault="004D1935" w:rsidP="00E24DC9"/>
        </w:tc>
        <w:tc>
          <w:tcPr>
            <w:tcW w:w="851" w:type="dxa"/>
            <w:tcBorders>
              <w:top w:val="nil"/>
              <w:bottom w:val="nil"/>
            </w:tcBorders>
            <w:vAlign w:val="bottom"/>
          </w:tcPr>
          <w:p w14:paraId="72CAD1E7" w14:textId="77777777" w:rsidR="004D1935" w:rsidRDefault="004D1935" w:rsidP="00E24DC9">
            <w:r w:rsidRPr="00B61D7D">
              <w:rPr>
                <w:rFonts w:ascii="Calibri" w:hAnsi="Calibri" w:cs="Calibri"/>
                <w:color w:val="000000"/>
                <w:sz w:val="16"/>
                <w:szCs w:val="16"/>
              </w:rPr>
              <w:t>173.9259</w:t>
            </w:r>
          </w:p>
        </w:tc>
        <w:tc>
          <w:tcPr>
            <w:tcW w:w="2268" w:type="dxa"/>
            <w:vMerge/>
          </w:tcPr>
          <w:p w14:paraId="69E3704B" w14:textId="77777777" w:rsidR="004D1935" w:rsidRDefault="004D1935" w:rsidP="00E24DC9"/>
        </w:tc>
        <w:tc>
          <w:tcPr>
            <w:tcW w:w="992" w:type="dxa"/>
            <w:vMerge/>
          </w:tcPr>
          <w:p w14:paraId="5557E44E" w14:textId="77777777" w:rsidR="004D1935" w:rsidRPr="00CB7A8A" w:rsidRDefault="004D1935" w:rsidP="00E24DC9">
            <w:pPr>
              <w:rPr>
                <w:sz w:val="20"/>
                <w:szCs w:val="20"/>
              </w:rPr>
            </w:pPr>
          </w:p>
        </w:tc>
        <w:tc>
          <w:tcPr>
            <w:tcW w:w="1843" w:type="dxa"/>
            <w:vMerge/>
          </w:tcPr>
          <w:p w14:paraId="27DE763B" w14:textId="77777777" w:rsidR="004D1935" w:rsidRPr="00CB7A8A" w:rsidRDefault="004D1935" w:rsidP="00E24DC9">
            <w:pPr>
              <w:rPr>
                <w:sz w:val="16"/>
                <w:szCs w:val="16"/>
              </w:rPr>
            </w:pPr>
          </w:p>
        </w:tc>
        <w:tc>
          <w:tcPr>
            <w:tcW w:w="7229" w:type="dxa"/>
            <w:vMerge/>
          </w:tcPr>
          <w:p w14:paraId="1C6A6C82" w14:textId="77777777" w:rsidR="004D1935" w:rsidRDefault="004D1935" w:rsidP="00E24DC9"/>
        </w:tc>
      </w:tr>
      <w:tr w:rsidR="004D1935" w14:paraId="56E76D41" w14:textId="77777777" w:rsidTr="00E24DC9">
        <w:tc>
          <w:tcPr>
            <w:tcW w:w="704" w:type="dxa"/>
            <w:vMerge/>
          </w:tcPr>
          <w:p w14:paraId="34DFCB91" w14:textId="77777777" w:rsidR="004D1935" w:rsidRDefault="004D1935" w:rsidP="00E24DC9"/>
        </w:tc>
        <w:tc>
          <w:tcPr>
            <w:tcW w:w="851" w:type="dxa"/>
            <w:tcBorders>
              <w:top w:val="nil"/>
              <w:bottom w:val="nil"/>
            </w:tcBorders>
            <w:vAlign w:val="bottom"/>
          </w:tcPr>
          <w:p w14:paraId="089159E3" w14:textId="77777777" w:rsidR="004D1935" w:rsidRDefault="004D1935" w:rsidP="00E24DC9">
            <w:r w:rsidRPr="00B61D7D">
              <w:rPr>
                <w:rFonts w:ascii="Calibri" w:hAnsi="Calibri" w:cs="Calibri"/>
                <w:color w:val="000000"/>
                <w:sz w:val="16"/>
                <w:szCs w:val="16"/>
              </w:rPr>
              <w:t>173.9778</w:t>
            </w:r>
          </w:p>
        </w:tc>
        <w:tc>
          <w:tcPr>
            <w:tcW w:w="2268" w:type="dxa"/>
            <w:vMerge/>
          </w:tcPr>
          <w:p w14:paraId="4B3215A2" w14:textId="77777777" w:rsidR="004D1935" w:rsidRDefault="004D1935" w:rsidP="00E24DC9"/>
        </w:tc>
        <w:tc>
          <w:tcPr>
            <w:tcW w:w="992" w:type="dxa"/>
            <w:vMerge/>
          </w:tcPr>
          <w:p w14:paraId="5B74BC38" w14:textId="77777777" w:rsidR="004D1935" w:rsidRPr="00CB7A8A" w:rsidRDefault="004D1935" w:rsidP="00E24DC9">
            <w:pPr>
              <w:rPr>
                <w:sz w:val="20"/>
                <w:szCs w:val="20"/>
              </w:rPr>
            </w:pPr>
          </w:p>
        </w:tc>
        <w:tc>
          <w:tcPr>
            <w:tcW w:w="1843" w:type="dxa"/>
            <w:vMerge/>
          </w:tcPr>
          <w:p w14:paraId="28659E6A" w14:textId="77777777" w:rsidR="004D1935" w:rsidRPr="00CB7A8A" w:rsidRDefault="004D1935" w:rsidP="00E24DC9">
            <w:pPr>
              <w:rPr>
                <w:sz w:val="16"/>
                <w:szCs w:val="16"/>
              </w:rPr>
            </w:pPr>
          </w:p>
        </w:tc>
        <w:tc>
          <w:tcPr>
            <w:tcW w:w="7229" w:type="dxa"/>
            <w:vMerge/>
          </w:tcPr>
          <w:p w14:paraId="5D7B1BD4" w14:textId="77777777" w:rsidR="004D1935" w:rsidRDefault="004D1935" w:rsidP="00E24DC9"/>
        </w:tc>
      </w:tr>
      <w:tr w:rsidR="004D1935" w14:paraId="0DD55DFD" w14:textId="77777777" w:rsidTr="00E24DC9">
        <w:tc>
          <w:tcPr>
            <w:tcW w:w="704" w:type="dxa"/>
            <w:vMerge/>
          </w:tcPr>
          <w:p w14:paraId="07573D45" w14:textId="77777777" w:rsidR="004D1935" w:rsidRDefault="004D1935" w:rsidP="00E24DC9"/>
        </w:tc>
        <w:tc>
          <w:tcPr>
            <w:tcW w:w="851" w:type="dxa"/>
            <w:tcBorders>
              <w:top w:val="nil"/>
              <w:bottom w:val="nil"/>
            </w:tcBorders>
            <w:vAlign w:val="bottom"/>
          </w:tcPr>
          <w:p w14:paraId="38D62DB3" w14:textId="77777777" w:rsidR="004D1935" w:rsidRDefault="004D1935" w:rsidP="00E24DC9">
            <w:r w:rsidRPr="00B61D7D">
              <w:rPr>
                <w:rFonts w:ascii="Calibri" w:hAnsi="Calibri" w:cs="Calibri"/>
                <w:color w:val="000000"/>
                <w:sz w:val="16"/>
                <w:szCs w:val="16"/>
              </w:rPr>
              <w:t>173.9038</w:t>
            </w:r>
          </w:p>
        </w:tc>
        <w:tc>
          <w:tcPr>
            <w:tcW w:w="2268" w:type="dxa"/>
            <w:vMerge/>
          </w:tcPr>
          <w:p w14:paraId="0BA3F742" w14:textId="77777777" w:rsidR="004D1935" w:rsidRDefault="004D1935" w:rsidP="00E24DC9"/>
        </w:tc>
        <w:tc>
          <w:tcPr>
            <w:tcW w:w="992" w:type="dxa"/>
            <w:vMerge/>
          </w:tcPr>
          <w:p w14:paraId="2C51608A" w14:textId="77777777" w:rsidR="004D1935" w:rsidRPr="00CB7A8A" w:rsidRDefault="004D1935" w:rsidP="00E24DC9">
            <w:pPr>
              <w:rPr>
                <w:sz w:val="20"/>
                <w:szCs w:val="20"/>
              </w:rPr>
            </w:pPr>
          </w:p>
        </w:tc>
        <w:tc>
          <w:tcPr>
            <w:tcW w:w="1843" w:type="dxa"/>
            <w:vMerge/>
          </w:tcPr>
          <w:p w14:paraId="48F16580" w14:textId="77777777" w:rsidR="004D1935" w:rsidRPr="00CB7A8A" w:rsidRDefault="004D1935" w:rsidP="00E24DC9">
            <w:pPr>
              <w:rPr>
                <w:sz w:val="16"/>
                <w:szCs w:val="16"/>
              </w:rPr>
            </w:pPr>
          </w:p>
        </w:tc>
        <w:tc>
          <w:tcPr>
            <w:tcW w:w="7229" w:type="dxa"/>
            <w:vMerge/>
          </w:tcPr>
          <w:p w14:paraId="6FCFB165" w14:textId="77777777" w:rsidR="004D1935" w:rsidRDefault="004D1935" w:rsidP="00E24DC9"/>
        </w:tc>
      </w:tr>
      <w:tr w:rsidR="004D1935" w14:paraId="65D7AC90" w14:textId="77777777" w:rsidTr="00E24DC9">
        <w:tc>
          <w:tcPr>
            <w:tcW w:w="704" w:type="dxa"/>
            <w:vMerge/>
          </w:tcPr>
          <w:p w14:paraId="4D8374C6" w14:textId="77777777" w:rsidR="004D1935" w:rsidRDefault="004D1935" w:rsidP="00E24DC9"/>
        </w:tc>
        <w:tc>
          <w:tcPr>
            <w:tcW w:w="851" w:type="dxa"/>
            <w:tcBorders>
              <w:top w:val="nil"/>
              <w:bottom w:val="nil"/>
            </w:tcBorders>
            <w:vAlign w:val="bottom"/>
          </w:tcPr>
          <w:p w14:paraId="47239CCE" w14:textId="77777777" w:rsidR="004D1935" w:rsidRDefault="004D1935" w:rsidP="00E24DC9">
            <w:r w:rsidRPr="00B61D7D">
              <w:rPr>
                <w:rFonts w:ascii="Calibri" w:hAnsi="Calibri" w:cs="Calibri"/>
                <w:color w:val="000000"/>
                <w:sz w:val="16"/>
                <w:szCs w:val="16"/>
              </w:rPr>
              <w:t>173.9365</w:t>
            </w:r>
          </w:p>
        </w:tc>
        <w:tc>
          <w:tcPr>
            <w:tcW w:w="2268" w:type="dxa"/>
            <w:vMerge/>
          </w:tcPr>
          <w:p w14:paraId="3C43729D" w14:textId="77777777" w:rsidR="004D1935" w:rsidRDefault="004D1935" w:rsidP="00E24DC9"/>
        </w:tc>
        <w:tc>
          <w:tcPr>
            <w:tcW w:w="992" w:type="dxa"/>
            <w:vMerge/>
          </w:tcPr>
          <w:p w14:paraId="0290BA78" w14:textId="77777777" w:rsidR="004D1935" w:rsidRPr="00CB7A8A" w:rsidRDefault="004D1935" w:rsidP="00E24DC9">
            <w:pPr>
              <w:rPr>
                <w:sz w:val="20"/>
                <w:szCs w:val="20"/>
              </w:rPr>
            </w:pPr>
          </w:p>
        </w:tc>
        <w:tc>
          <w:tcPr>
            <w:tcW w:w="1843" w:type="dxa"/>
            <w:vMerge/>
          </w:tcPr>
          <w:p w14:paraId="054E4160" w14:textId="77777777" w:rsidR="004D1935" w:rsidRPr="00CB7A8A" w:rsidRDefault="004D1935" w:rsidP="00E24DC9">
            <w:pPr>
              <w:rPr>
                <w:sz w:val="16"/>
                <w:szCs w:val="16"/>
              </w:rPr>
            </w:pPr>
          </w:p>
        </w:tc>
        <w:tc>
          <w:tcPr>
            <w:tcW w:w="7229" w:type="dxa"/>
            <w:vMerge/>
          </w:tcPr>
          <w:p w14:paraId="262EA0B3" w14:textId="77777777" w:rsidR="004D1935" w:rsidRDefault="004D1935" w:rsidP="00E24DC9"/>
        </w:tc>
      </w:tr>
      <w:tr w:rsidR="004D1935" w14:paraId="1C45DCB6" w14:textId="77777777" w:rsidTr="00E24DC9">
        <w:tc>
          <w:tcPr>
            <w:tcW w:w="704" w:type="dxa"/>
            <w:vMerge/>
          </w:tcPr>
          <w:p w14:paraId="1E03EE16" w14:textId="77777777" w:rsidR="004D1935" w:rsidRDefault="004D1935" w:rsidP="00E24DC9"/>
        </w:tc>
        <w:tc>
          <w:tcPr>
            <w:tcW w:w="851" w:type="dxa"/>
            <w:tcBorders>
              <w:top w:val="nil"/>
              <w:bottom w:val="nil"/>
            </w:tcBorders>
            <w:vAlign w:val="bottom"/>
          </w:tcPr>
          <w:p w14:paraId="17D19504" w14:textId="77777777" w:rsidR="004D1935" w:rsidRDefault="004D1935" w:rsidP="00E24DC9">
            <w:r w:rsidRPr="00B61D7D">
              <w:rPr>
                <w:rFonts w:ascii="Calibri" w:hAnsi="Calibri" w:cs="Calibri"/>
                <w:color w:val="000000"/>
                <w:sz w:val="16"/>
                <w:szCs w:val="16"/>
              </w:rPr>
              <w:t>173.9672</w:t>
            </w:r>
          </w:p>
        </w:tc>
        <w:tc>
          <w:tcPr>
            <w:tcW w:w="2268" w:type="dxa"/>
            <w:vMerge/>
          </w:tcPr>
          <w:p w14:paraId="5E4E77D1" w14:textId="77777777" w:rsidR="004D1935" w:rsidRDefault="004D1935" w:rsidP="00E24DC9"/>
        </w:tc>
        <w:tc>
          <w:tcPr>
            <w:tcW w:w="992" w:type="dxa"/>
            <w:vMerge/>
          </w:tcPr>
          <w:p w14:paraId="03578411" w14:textId="77777777" w:rsidR="004D1935" w:rsidRPr="00CB7A8A" w:rsidRDefault="004D1935" w:rsidP="00E24DC9">
            <w:pPr>
              <w:rPr>
                <w:sz w:val="20"/>
                <w:szCs w:val="20"/>
              </w:rPr>
            </w:pPr>
          </w:p>
        </w:tc>
        <w:tc>
          <w:tcPr>
            <w:tcW w:w="1843" w:type="dxa"/>
            <w:vMerge/>
          </w:tcPr>
          <w:p w14:paraId="4F722C4F" w14:textId="77777777" w:rsidR="004D1935" w:rsidRPr="00CB7A8A" w:rsidRDefault="004D1935" w:rsidP="00E24DC9">
            <w:pPr>
              <w:rPr>
                <w:sz w:val="16"/>
                <w:szCs w:val="16"/>
              </w:rPr>
            </w:pPr>
          </w:p>
        </w:tc>
        <w:tc>
          <w:tcPr>
            <w:tcW w:w="7229" w:type="dxa"/>
            <w:vMerge/>
          </w:tcPr>
          <w:p w14:paraId="6A1AAC03" w14:textId="77777777" w:rsidR="004D1935" w:rsidRDefault="004D1935" w:rsidP="00E24DC9"/>
        </w:tc>
      </w:tr>
      <w:tr w:rsidR="004D1935" w14:paraId="31D56EB4" w14:textId="77777777" w:rsidTr="00E24DC9">
        <w:tc>
          <w:tcPr>
            <w:tcW w:w="704" w:type="dxa"/>
            <w:vMerge/>
          </w:tcPr>
          <w:p w14:paraId="3F3101FE" w14:textId="77777777" w:rsidR="004D1935" w:rsidRDefault="004D1935" w:rsidP="00E24DC9"/>
        </w:tc>
        <w:tc>
          <w:tcPr>
            <w:tcW w:w="851" w:type="dxa"/>
            <w:tcBorders>
              <w:top w:val="nil"/>
              <w:bottom w:val="nil"/>
            </w:tcBorders>
            <w:vAlign w:val="bottom"/>
          </w:tcPr>
          <w:p w14:paraId="562638E0" w14:textId="77777777" w:rsidR="004D1935" w:rsidRDefault="004D1935" w:rsidP="00E24DC9">
            <w:r w:rsidRPr="00B61D7D">
              <w:rPr>
                <w:rFonts w:ascii="Calibri" w:hAnsi="Calibri" w:cs="Calibri"/>
                <w:color w:val="000000"/>
                <w:sz w:val="16"/>
                <w:szCs w:val="16"/>
              </w:rPr>
              <w:t>174.0143</w:t>
            </w:r>
          </w:p>
        </w:tc>
        <w:tc>
          <w:tcPr>
            <w:tcW w:w="2268" w:type="dxa"/>
            <w:vMerge/>
          </w:tcPr>
          <w:p w14:paraId="1360CDC8" w14:textId="77777777" w:rsidR="004D1935" w:rsidRDefault="004D1935" w:rsidP="00E24DC9"/>
        </w:tc>
        <w:tc>
          <w:tcPr>
            <w:tcW w:w="992" w:type="dxa"/>
            <w:vMerge/>
          </w:tcPr>
          <w:p w14:paraId="03C3346C" w14:textId="77777777" w:rsidR="004D1935" w:rsidRPr="00CB7A8A" w:rsidRDefault="004D1935" w:rsidP="00E24DC9">
            <w:pPr>
              <w:rPr>
                <w:sz w:val="20"/>
                <w:szCs w:val="20"/>
              </w:rPr>
            </w:pPr>
          </w:p>
        </w:tc>
        <w:tc>
          <w:tcPr>
            <w:tcW w:w="1843" w:type="dxa"/>
            <w:vMerge/>
          </w:tcPr>
          <w:p w14:paraId="72BEC0A3" w14:textId="77777777" w:rsidR="004D1935" w:rsidRPr="00CB7A8A" w:rsidRDefault="004D1935" w:rsidP="00E24DC9">
            <w:pPr>
              <w:rPr>
                <w:sz w:val="16"/>
                <w:szCs w:val="16"/>
              </w:rPr>
            </w:pPr>
          </w:p>
        </w:tc>
        <w:tc>
          <w:tcPr>
            <w:tcW w:w="7229" w:type="dxa"/>
            <w:vMerge/>
          </w:tcPr>
          <w:p w14:paraId="1AF13044" w14:textId="77777777" w:rsidR="004D1935" w:rsidRDefault="004D1935" w:rsidP="00E24DC9"/>
        </w:tc>
      </w:tr>
      <w:tr w:rsidR="004D1935" w14:paraId="061765F6" w14:textId="77777777" w:rsidTr="00E24DC9">
        <w:tc>
          <w:tcPr>
            <w:tcW w:w="704" w:type="dxa"/>
            <w:vMerge/>
          </w:tcPr>
          <w:p w14:paraId="6404CC99" w14:textId="77777777" w:rsidR="004D1935" w:rsidRDefault="004D1935" w:rsidP="00E24DC9"/>
        </w:tc>
        <w:tc>
          <w:tcPr>
            <w:tcW w:w="851" w:type="dxa"/>
            <w:tcBorders>
              <w:top w:val="nil"/>
              <w:bottom w:val="nil"/>
            </w:tcBorders>
            <w:vAlign w:val="bottom"/>
          </w:tcPr>
          <w:p w14:paraId="272A084A" w14:textId="77777777" w:rsidR="004D1935" w:rsidRDefault="004D1935" w:rsidP="00E24DC9">
            <w:r w:rsidRPr="00B61D7D">
              <w:rPr>
                <w:rFonts w:ascii="Calibri" w:hAnsi="Calibri" w:cs="Calibri"/>
                <w:color w:val="000000"/>
                <w:sz w:val="16"/>
                <w:szCs w:val="16"/>
              </w:rPr>
              <w:t>174.0605</w:t>
            </w:r>
          </w:p>
        </w:tc>
        <w:tc>
          <w:tcPr>
            <w:tcW w:w="2268" w:type="dxa"/>
            <w:vMerge/>
          </w:tcPr>
          <w:p w14:paraId="128CB848" w14:textId="77777777" w:rsidR="004D1935" w:rsidRDefault="004D1935" w:rsidP="00E24DC9"/>
        </w:tc>
        <w:tc>
          <w:tcPr>
            <w:tcW w:w="992" w:type="dxa"/>
            <w:vMerge/>
          </w:tcPr>
          <w:p w14:paraId="3B865AE1" w14:textId="77777777" w:rsidR="004D1935" w:rsidRPr="00CB7A8A" w:rsidRDefault="004D1935" w:rsidP="00E24DC9">
            <w:pPr>
              <w:rPr>
                <w:sz w:val="20"/>
                <w:szCs w:val="20"/>
              </w:rPr>
            </w:pPr>
          </w:p>
        </w:tc>
        <w:tc>
          <w:tcPr>
            <w:tcW w:w="1843" w:type="dxa"/>
            <w:vMerge/>
          </w:tcPr>
          <w:p w14:paraId="2C593079" w14:textId="77777777" w:rsidR="004D1935" w:rsidRPr="00CB7A8A" w:rsidRDefault="004D1935" w:rsidP="00E24DC9">
            <w:pPr>
              <w:rPr>
                <w:sz w:val="16"/>
                <w:szCs w:val="16"/>
              </w:rPr>
            </w:pPr>
          </w:p>
        </w:tc>
        <w:tc>
          <w:tcPr>
            <w:tcW w:w="7229" w:type="dxa"/>
            <w:vMerge/>
          </w:tcPr>
          <w:p w14:paraId="74A5576A" w14:textId="77777777" w:rsidR="004D1935" w:rsidRDefault="004D1935" w:rsidP="00E24DC9"/>
        </w:tc>
      </w:tr>
      <w:tr w:rsidR="004D1935" w14:paraId="1E691569" w14:textId="77777777" w:rsidTr="00E24DC9">
        <w:tc>
          <w:tcPr>
            <w:tcW w:w="704" w:type="dxa"/>
            <w:vMerge/>
          </w:tcPr>
          <w:p w14:paraId="4AAF49EF" w14:textId="77777777" w:rsidR="004D1935" w:rsidRDefault="004D1935" w:rsidP="00E24DC9"/>
        </w:tc>
        <w:tc>
          <w:tcPr>
            <w:tcW w:w="851" w:type="dxa"/>
            <w:tcBorders>
              <w:top w:val="nil"/>
              <w:bottom w:val="nil"/>
            </w:tcBorders>
            <w:vAlign w:val="bottom"/>
          </w:tcPr>
          <w:p w14:paraId="41B43F2C" w14:textId="77777777" w:rsidR="004D1935" w:rsidRDefault="004D1935" w:rsidP="00E24DC9">
            <w:r w:rsidRPr="00B61D7D">
              <w:rPr>
                <w:rFonts w:ascii="Calibri" w:hAnsi="Calibri" w:cs="Calibri"/>
                <w:color w:val="000000"/>
                <w:sz w:val="16"/>
                <w:szCs w:val="16"/>
              </w:rPr>
              <w:t>173.9518</w:t>
            </w:r>
          </w:p>
        </w:tc>
        <w:tc>
          <w:tcPr>
            <w:tcW w:w="2268" w:type="dxa"/>
            <w:vMerge/>
          </w:tcPr>
          <w:p w14:paraId="3AE863A9" w14:textId="77777777" w:rsidR="004D1935" w:rsidRDefault="004D1935" w:rsidP="00E24DC9"/>
        </w:tc>
        <w:tc>
          <w:tcPr>
            <w:tcW w:w="992" w:type="dxa"/>
            <w:vMerge/>
          </w:tcPr>
          <w:p w14:paraId="00441AB9" w14:textId="77777777" w:rsidR="004D1935" w:rsidRPr="00CB7A8A" w:rsidRDefault="004D1935" w:rsidP="00E24DC9">
            <w:pPr>
              <w:rPr>
                <w:sz w:val="20"/>
                <w:szCs w:val="20"/>
              </w:rPr>
            </w:pPr>
          </w:p>
        </w:tc>
        <w:tc>
          <w:tcPr>
            <w:tcW w:w="1843" w:type="dxa"/>
            <w:vMerge/>
          </w:tcPr>
          <w:p w14:paraId="4FC1D3E4" w14:textId="77777777" w:rsidR="004D1935" w:rsidRPr="00CB7A8A" w:rsidRDefault="004D1935" w:rsidP="00E24DC9">
            <w:pPr>
              <w:rPr>
                <w:sz w:val="16"/>
                <w:szCs w:val="16"/>
              </w:rPr>
            </w:pPr>
          </w:p>
        </w:tc>
        <w:tc>
          <w:tcPr>
            <w:tcW w:w="7229" w:type="dxa"/>
            <w:vMerge/>
          </w:tcPr>
          <w:p w14:paraId="59EAC3DF" w14:textId="77777777" w:rsidR="004D1935" w:rsidRDefault="004D1935" w:rsidP="00E24DC9"/>
        </w:tc>
      </w:tr>
      <w:tr w:rsidR="004D1935" w14:paraId="67E3A4E6" w14:textId="77777777" w:rsidTr="00E24DC9">
        <w:tc>
          <w:tcPr>
            <w:tcW w:w="704" w:type="dxa"/>
            <w:vMerge/>
          </w:tcPr>
          <w:p w14:paraId="406716FD" w14:textId="77777777" w:rsidR="004D1935" w:rsidRDefault="004D1935" w:rsidP="00E24DC9"/>
        </w:tc>
        <w:tc>
          <w:tcPr>
            <w:tcW w:w="851" w:type="dxa"/>
            <w:tcBorders>
              <w:top w:val="nil"/>
              <w:bottom w:val="nil"/>
            </w:tcBorders>
            <w:vAlign w:val="bottom"/>
          </w:tcPr>
          <w:p w14:paraId="4DE9CA71" w14:textId="77777777" w:rsidR="004D1935" w:rsidRDefault="004D1935" w:rsidP="00E24DC9">
            <w:r w:rsidRPr="00B61D7D">
              <w:rPr>
                <w:rFonts w:ascii="Calibri" w:hAnsi="Calibri" w:cs="Calibri"/>
                <w:color w:val="000000"/>
                <w:sz w:val="16"/>
                <w:szCs w:val="16"/>
              </w:rPr>
              <w:t>173.9297</w:t>
            </w:r>
          </w:p>
        </w:tc>
        <w:tc>
          <w:tcPr>
            <w:tcW w:w="2268" w:type="dxa"/>
            <w:vMerge/>
          </w:tcPr>
          <w:p w14:paraId="1D08256C" w14:textId="77777777" w:rsidR="004D1935" w:rsidRDefault="004D1935" w:rsidP="00E24DC9"/>
        </w:tc>
        <w:tc>
          <w:tcPr>
            <w:tcW w:w="992" w:type="dxa"/>
            <w:vMerge/>
          </w:tcPr>
          <w:p w14:paraId="5C9067F0" w14:textId="77777777" w:rsidR="004D1935" w:rsidRPr="00CB7A8A" w:rsidRDefault="004D1935" w:rsidP="00E24DC9">
            <w:pPr>
              <w:rPr>
                <w:sz w:val="20"/>
                <w:szCs w:val="20"/>
              </w:rPr>
            </w:pPr>
          </w:p>
        </w:tc>
        <w:tc>
          <w:tcPr>
            <w:tcW w:w="1843" w:type="dxa"/>
            <w:vMerge/>
          </w:tcPr>
          <w:p w14:paraId="2AF05BDF" w14:textId="77777777" w:rsidR="004D1935" w:rsidRPr="00CB7A8A" w:rsidRDefault="004D1935" w:rsidP="00E24DC9">
            <w:pPr>
              <w:rPr>
                <w:sz w:val="16"/>
                <w:szCs w:val="16"/>
              </w:rPr>
            </w:pPr>
          </w:p>
        </w:tc>
        <w:tc>
          <w:tcPr>
            <w:tcW w:w="7229" w:type="dxa"/>
            <w:vMerge/>
          </w:tcPr>
          <w:p w14:paraId="62015340" w14:textId="77777777" w:rsidR="004D1935" w:rsidRDefault="004D1935" w:rsidP="00E24DC9"/>
        </w:tc>
      </w:tr>
      <w:tr w:rsidR="004D1935" w14:paraId="79834224" w14:textId="77777777" w:rsidTr="00E24DC9">
        <w:trPr>
          <w:trHeight w:val="262"/>
        </w:trPr>
        <w:tc>
          <w:tcPr>
            <w:tcW w:w="704" w:type="dxa"/>
            <w:vMerge/>
          </w:tcPr>
          <w:p w14:paraId="233A05EA" w14:textId="77777777" w:rsidR="004D1935" w:rsidRDefault="004D1935" w:rsidP="00E24DC9"/>
        </w:tc>
        <w:tc>
          <w:tcPr>
            <w:tcW w:w="851" w:type="dxa"/>
            <w:tcBorders>
              <w:top w:val="nil"/>
              <w:bottom w:val="nil"/>
            </w:tcBorders>
            <w:vAlign w:val="bottom"/>
          </w:tcPr>
          <w:p w14:paraId="0401AD3D" w14:textId="77777777" w:rsidR="004D1935" w:rsidRDefault="004D1935" w:rsidP="00E24DC9">
            <w:r w:rsidRPr="00B61D7D">
              <w:rPr>
                <w:rFonts w:ascii="Calibri" w:hAnsi="Calibri" w:cs="Calibri"/>
                <w:color w:val="000000"/>
                <w:sz w:val="16"/>
                <w:szCs w:val="16"/>
              </w:rPr>
              <w:t>173.9624</w:t>
            </w:r>
          </w:p>
        </w:tc>
        <w:tc>
          <w:tcPr>
            <w:tcW w:w="2268" w:type="dxa"/>
            <w:vMerge/>
          </w:tcPr>
          <w:p w14:paraId="4F5FBEB9" w14:textId="77777777" w:rsidR="004D1935" w:rsidRDefault="004D1935" w:rsidP="00E24DC9"/>
        </w:tc>
        <w:tc>
          <w:tcPr>
            <w:tcW w:w="992" w:type="dxa"/>
            <w:vMerge/>
          </w:tcPr>
          <w:p w14:paraId="27249693" w14:textId="77777777" w:rsidR="004D1935" w:rsidRPr="00CB7A8A" w:rsidRDefault="004D1935" w:rsidP="00E24DC9">
            <w:pPr>
              <w:rPr>
                <w:sz w:val="20"/>
                <w:szCs w:val="20"/>
              </w:rPr>
            </w:pPr>
          </w:p>
        </w:tc>
        <w:tc>
          <w:tcPr>
            <w:tcW w:w="1843" w:type="dxa"/>
            <w:vMerge/>
          </w:tcPr>
          <w:p w14:paraId="41B1574D" w14:textId="77777777" w:rsidR="004D1935" w:rsidRPr="00CB7A8A" w:rsidRDefault="004D1935" w:rsidP="00E24DC9">
            <w:pPr>
              <w:rPr>
                <w:sz w:val="16"/>
                <w:szCs w:val="16"/>
              </w:rPr>
            </w:pPr>
          </w:p>
        </w:tc>
        <w:tc>
          <w:tcPr>
            <w:tcW w:w="7229" w:type="dxa"/>
            <w:vMerge/>
          </w:tcPr>
          <w:p w14:paraId="4B6EECE7" w14:textId="77777777" w:rsidR="004D1935" w:rsidRDefault="004D1935" w:rsidP="00E24DC9"/>
        </w:tc>
      </w:tr>
      <w:tr w:rsidR="004D1935" w14:paraId="537C2CD0" w14:textId="77777777" w:rsidTr="00E24DC9">
        <w:tc>
          <w:tcPr>
            <w:tcW w:w="704" w:type="dxa"/>
            <w:vMerge/>
          </w:tcPr>
          <w:p w14:paraId="3B8D5252" w14:textId="77777777" w:rsidR="004D1935" w:rsidRDefault="004D1935" w:rsidP="00E24DC9"/>
        </w:tc>
        <w:tc>
          <w:tcPr>
            <w:tcW w:w="851" w:type="dxa"/>
            <w:tcBorders>
              <w:top w:val="nil"/>
              <w:bottom w:val="single" w:sz="4" w:space="0" w:color="auto"/>
            </w:tcBorders>
            <w:vAlign w:val="bottom"/>
          </w:tcPr>
          <w:p w14:paraId="379BD55A" w14:textId="77777777" w:rsidR="004D1935" w:rsidRDefault="004D1935" w:rsidP="00E24DC9">
            <w:pPr>
              <w:rPr>
                <w:rFonts w:ascii="Calibri" w:hAnsi="Calibri" w:cs="Calibri"/>
                <w:color w:val="000000"/>
                <w:sz w:val="16"/>
                <w:szCs w:val="16"/>
              </w:rPr>
            </w:pPr>
            <w:r w:rsidRPr="00B61D7D">
              <w:rPr>
                <w:rFonts w:ascii="Calibri" w:hAnsi="Calibri" w:cs="Calibri"/>
                <w:color w:val="000000"/>
                <w:sz w:val="16"/>
                <w:szCs w:val="16"/>
              </w:rPr>
              <w:t>174.0172</w:t>
            </w:r>
          </w:p>
          <w:p w14:paraId="7054B50F" w14:textId="77777777" w:rsidR="004D1935" w:rsidRDefault="004D1935" w:rsidP="00E24DC9">
            <w:pPr>
              <w:rPr>
                <w:rFonts w:ascii="Calibri" w:hAnsi="Calibri" w:cs="Calibri"/>
                <w:color w:val="000000"/>
                <w:sz w:val="16"/>
                <w:szCs w:val="16"/>
              </w:rPr>
            </w:pPr>
          </w:p>
          <w:p w14:paraId="7CB2F8B5" w14:textId="77777777" w:rsidR="004D1935" w:rsidRDefault="004D1935" w:rsidP="00E24DC9">
            <w:pPr>
              <w:rPr>
                <w:rFonts w:ascii="Calibri" w:hAnsi="Calibri" w:cs="Calibri"/>
                <w:color w:val="000000"/>
                <w:sz w:val="16"/>
                <w:szCs w:val="16"/>
              </w:rPr>
            </w:pPr>
          </w:p>
          <w:p w14:paraId="78FC261F" w14:textId="77777777" w:rsidR="004D1935" w:rsidRDefault="004D1935" w:rsidP="00E24DC9">
            <w:pPr>
              <w:rPr>
                <w:rFonts w:ascii="Calibri" w:hAnsi="Calibri" w:cs="Calibri"/>
                <w:color w:val="000000"/>
                <w:sz w:val="16"/>
                <w:szCs w:val="16"/>
              </w:rPr>
            </w:pPr>
          </w:p>
          <w:p w14:paraId="7C4F6287" w14:textId="77777777" w:rsidR="004D1935" w:rsidRDefault="004D1935" w:rsidP="00E24DC9">
            <w:pPr>
              <w:rPr>
                <w:rFonts w:ascii="Calibri" w:hAnsi="Calibri" w:cs="Calibri"/>
                <w:color w:val="000000"/>
                <w:sz w:val="16"/>
                <w:szCs w:val="16"/>
              </w:rPr>
            </w:pPr>
          </w:p>
          <w:p w14:paraId="0C83CB35" w14:textId="77777777" w:rsidR="004D1935" w:rsidRDefault="004D1935" w:rsidP="00E24DC9">
            <w:pPr>
              <w:rPr>
                <w:rFonts w:ascii="Calibri" w:hAnsi="Calibri" w:cs="Calibri"/>
                <w:color w:val="000000"/>
                <w:sz w:val="16"/>
                <w:szCs w:val="16"/>
              </w:rPr>
            </w:pPr>
          </w:p>
          <w:p w14:paraId="371774F7" w14:textId="77777777" w:rsidR="004D1935" w:rsidRDefault="004D1935" w:rsidP="00E24DC9">
            <w:pPr>
              <w:rPr>
                <w:rFonts w:ascii="Calibri" w:hAnsi="Calibri" w:cs="Calibri"/>
                <w:color w:val="000000"/>
                <w:sz w:val="16"/>
                <w:szCs w:val="16"/>
              </w:rPr>
            </w:pPr>
          </w:p>
          <w:p w14:paraId="19EEF0DD" w14:textId="77777777" w:rsidR="004D1935" w:rsidRDefault="004D1935" w:rsidP="00E24DC9"/>
        </w:tc>
        <w:tc>
          <w:tcPr>
            <w:tcW w:w="2268" w:type="dxa"/>
            <w:vMerge/>
          </w:tcPr>
          <w:p w14:paraId="7E9B0C8C" w14:textId="77777777" w:rsidR="004D1935" w:rsidRDefault="004D1935" w:rsidP="00E24DC9"/>
        </w:tc>
        <w:tc>
          <w:tcPr>
            <w:tcW w:w="992" w:type="dxa"/>
            <w:vMerge/>
          </w:tcPr>
          <w:p w14:paraId="1D3D54E4" w14:textId="77777777" w:rsidR="004D1935" w:rsidRPr="00CB7A8A" w:rsidRDefault="004D1935" w:rsidP="00E24DC9">
            <w:pPr>
              <w:rPr>
                <w:sz w:val="20"/>
                <w:szCs w:val="20"/>
              </w:rPr>
            </w:pPr>
          </w:p>
        </w:tc>
        <w:tc>
          <w:tcPr>
            <w:tcW w:w="1843" w:type="dxa"/>
            <w:vMerge/>
          </w:tcPr>
          <w:p w14:paraId="54EE7662" w14:textId="77777777" w:rsidR="004D1935" w:rsidRPr="00CB7A8A" w:rsidRDefault="004D1935" w:rsidP="00E24DC9">
            <w:pPr>
              <w:rPr>
                <w:sz w:val="16"/>
                <w:szCs w:val="16"/>
              </w:rPr>
            </w:pPr>
          </w:p>
        </w:tc>
        <w:tc>
          <w:tcPr>
            <w:tcW w:w="7229" w:type="dxa"/>
            <w:vMerge/>
          </w:tcPr>
          <w:p w14:paraId="5B407959" w14:textId="77777777" w:rsidR="004D1935" w:rsidRDefault="004D1935" w:rsidP="00E24DC9"/>
        </w:tc>
      </w:tr>
      <w:tr w:rsidR="004D1935" w14:paraId="7B1D1E0F" w14:textId="77777777" w:rsidTr="00E24DC9">
        <w:tc>
          <w:tcPr>
            <w:tcW w:w="704" w:type="dxa"/>
            <w:vMerge w:val="restart"/>
            <w:vAlign w:val="center"/>
          </w:tcPr>
          <w:p w14:paraId="5DD00D77" w14:textId="77777777" w:rsidR="004D1935" w:rsidRPr="00BF5347" w:rsidRDefault="004D1935" w:rsidP="00E24DC9">
            <w:pPr>
              <w:jc w:val="center"/>
            </w:pPr>
            <w:r>
              <w:lastRenderedPageBreak/>
              <w:t>NA</w:t>
            </w:r>
          </w:p>
        </w:tc>
        <w:tc>
          <w:tcPr>
            <w:tcW w:w="851" w:type="dxa"/>
            <w:tcBorders>
              <w:bottom w:val="nil"/>
            </w:tcBorders>
            <w:vAlign w:val="bottom"/>
          </w:tcPr>
          <w:p w14:paraId="11A16946" w14:textId="77777777" w:rsidR="004D1935" w:rsidRDefault="004D1935" w:rsidP="00E24DC9">
            <w:r w:rsidRPr="00A65011">
              <w:rPr>
                <w:rFonts w:ascii="Calibri" w:hAnsi="Calibri" w:cs="Calibri"/>
                <w:color w:val="000000"/>
                <w:sz w:val="16"/>
                <w:szCs w:val="16"/>
              </w:rPr>
              <w:t>150.9313</w:t>
            </w:r>
          </w:p>
        </w:tc>
        <w:tc>
          <w:tcPr>
            <w:tcW w:w="2268" w:type="dxa"/>
            <w:vMerge w:val="restart"/>
            <w:vAlign w:val="center"/>
          </w:tcPr>
          <w:p w14:paraId="78504A23" w14:textId="77777777" w:rsidR="004D1935" w:rsidRPr="004622AB" w:rsidRDefault="00000000" w:rsidP="00E24DC9">
            <w:pPr>
              <w:jc w:val="center"/>
              <w:rPr>
                <w:color w:val="000000" w:themeColor="text1"/>
              </w:rPr>
            </w:pPr>
            <w:hyperlink r:id="rId95" w:history="1">
              <w:r w:rsidR="004D1935" w:rsidRPr="004622AB">
                <w:rPr>
                  <w:rFonts w:ascii="Calibri" w:hAnsi="Calibri" w:cs="Calibri"/>
                  <w:color w:val="000000" w:themeColor="text1"/>
                  <w:sz w:val="16"/>
                  <w:szCs w:val="16"/>
                </w:rPr>
                <w:t>N-methylanthranilate</w:t>
              </w:r>
            </w:hyperlink>
          </w:p>
        </w:tc>
        <w:tc>
          <w:tcPr>
            <w:tcW w:w="992" w:type="dxa"/>
            <w:vMerge w:val="restart"/>
            <w:vAlign w:val="center"/>
          </w:tcPr>
          <w:p w14:paraId="3B392B42" w14:textId="77777777" w:rsidR="004D1935" w:rsidRPr="00A242B4" w:rsidRDefault="004D1935" w:rsidP="00E24DC9">
            <w:pPr>
              <w:jc w:val="center"/>
              <w:rPr>
                <w:color w:val="000000" w:themeColor="text1"/>
                <w:sz w:val="15"/>
                <w:szCs w:val="15"/>
              </w:rPr>
            </w:pPr>
            <w:r w:rsidRPr="00A242B4">
              <w:rPr>
                <w:rStyle w:val="eq0j8"/>
                <w:rFonts w:ascii="Arial" w:eastAsiaTheme="majorEastAsia" w:hAnsi="Arial" w:cs="Arial"/>
                <w:sz w:val="15"/>
                <w:szCs w:val="15"/>
                <w:shd w:val="clear" w:color="auto" w:fill="FFFFFF"/>
              </w:rPr>
              <w:t>C</w:t>
            </w:r>
            <w:r w:rsidRPr="00A242B4">
              <w:rPr>
                <w:rStyle w:val="eq0j8"/>
                <w:rFonts w:ascii="Arial" w:eastAsiaTheme="majorEastAsia" w:hAnsi="Arial" w:cs="Arial"/>
                <w:sz w:val="15"/>
                <w:szCs w:val="15"/>
                <w:shd w:val="clear" w:color="auto" w:fill="FFFFFF"/>
                <w:vertAlign w:val="subscript"/>
              </w:rPr>
              <w:t>8</w:t>
            </w:r>
            <w:r w:rsidRPr="00A242B4">
              <w:rPr>
                <w:rStyle w:val="eq0j8"/>
                <w:rFonts w:ascii="Arial" w:eastAsiaTheme="majorEastAsia" w:hAnsi="Arial" w:cs="Arial"/>
                <w:sz w:val="15"/>
                <w:szCs w:val="15"/>
                <w:shd w:val="clear" w:color="auto" w:fill="FFFFFF"/>
              </w:rPr>
              <w:t>H</w:t>
            </w:r>
            <w:r w:rsidRPr="00A242B4">
              <w:rPr>
                <w:rStyle w:val="eq0j8"/>
                <w:rFonts w:ascii="Arial" w:eastAsiaTheme="majorEastAsia" w:hAnsi="Arial" w:cs="Arial"/>
                <w:sz w:val="15"/>
                <w:szCs w:val="15"/>
                <w:shd w:val="clear" w:color="auto" w:fill="FFFFFF"/>
                <w:vertAlign w:val="subscript"/>
              </w:rPr>
              <w:t>8</w:t>
            </w:r>
            <w:r w:rsidRPr="00A242B4">
              <w:rPr>
                <w:rStyle w:val="eq0j8"/>
                <w:rFonts w:ascii="Arial" w:eastAsiaTheme="majorEastAsia" w:hAnsi="Arial" w:cs="Arial"/>
                <w:sz w:val="15"/>
                <w:szCs w:val="15"/>
                <w:shd w:val="clear" w:color="auto" w:fill="FFFFFF"/>
              </w:rPr>
              <w:t>NO</w:t>
            </w:r>
            <w:r w:rsidRPr="00A242B4">
              <w:rPr>
                <w:rStyle w:val="eq0j8"/>
                <w:rFonts w:ascii="Arial" w:eastAsiaTheme="majorEastAsia" w:hAnsi="Arial" w:cs="Arial"/>
                <w:sz w:val="15"/>
                <w:szCs w:val="15"/>
                <w:shd w:val="clear" w:color="auto" w:fill="FFFFFF"/>
                <w:vertAlign w:val="subscript"/>
              </w:rPr>
              <w:t>2</w:t>
            </w:r>
          </w:p>
        </w:tc>
        <w:tc>
          <w:tcPr>
            <w:tcW w:w="1843" w:type="dxa"/>
            <w:vMerge w:val="restart"/>
            <w:vAlign w:val="center"/>
          </w:tcPr>
          <w:p w14:paraId="1B3D5746" w14:textId="77777777" w:rsidR="004D1935" w:rsidRPr="004622AB" w:rsidRDefault="004D1935" w:rsidP="00E24DC9">
            <w:pPr>
              <w:jc w:val="center"/>
              <w:rPr>
                <w:color w:val="000000" w:themeColor="text1"/>
                <w:sz w:val="16"/>
                <w:szCs w:val="16"/>
              </w:rPr>
            </w:pPr>
            <w:r w:rsidRPr="004622AB">
              <w:rPr>
                <w:rFonts w:ascii="Arial" w:hAnsi="Arial" w:cs="Arial"/>
                <w:color w:val="000000" w:themeColor="text1"/>
                <w:sz w:val="16"/>
                <w:szCs w:val="16"/>
              </w:rPr>
              <w:t>aromatic amino acid/carboxy acids</w:t>
            </w:r>
          </w:p>
        </w:tc>
        <w:tc>
          <w:tcPr>
            <w:tcW w:w="7229" w:type="dxa"/>
            <w:vMerge w:val="restart"/>
            <w:vAlign w:val="center"/>
          </w:tcPr>
          <w:p w14:paraId="1B49D92C" w14:textId="77777777" w:rsidR="004D1935" w:rsidRPr="004622AB" w:rsidRDefault="004D1935" w:rsidP="00E24DC9">
            <w:pPr>
              <w:jc w:val="center"/>
              <w:rPr>
                <w:color w:val="000000" w:themeColor="text1"/>
              </w:rPr>
            </w:pPr>
            <w:r w:rsidRPr="004622AB">
              <w:rPr>
                <w:rFonts w:ascii="Verdana" w:hAnsi="Verdana" w:cs="Calibri"/>
                <w:color w:val="000000" w:themeColor="text1"/>
                <w:sz w:val="11"/>
                <w:szCs w:val="11"/>
              </w:rPr>
              <w:t>Acridone alkaloid biosynthesis/Biosynthesis of alkaloids derived from shikimate pathway/Shikimate pathway/jasmonic acid biosynthesis/Riboflavin/Flavanone/Flavonoid biosynthesis</w:t>
            </w:r>
          </w:p>
        </w:tc>
      </w:tr>
      <w:tr w:rsidR="004D1935" w14:paraId="402F295C" w14:textId="77777777" w:rsidTr="00E24DC9">
        <w:tc>
          <w:tcPr>
            <w:tcW w:w="704" w:type="dxa"/>
            <w:vMerge/>
          </w:tcPr>
          <w:p w14:paraId="271724AE" w14:textId="77777777" w:rsidR="004D1935" w:rsidRDefault="004D1935" w:rsidP="00E24DC9"/>
        </w:tc>
        <w:tc>
          <w:tcPr>
            <w:tcW w:w="851" w:type="dxa"/>
            <w:tcBorders>
              <w:top w:val="nil"/>
              <w:bottom w:val="nil"/>
            </w:tcBorders>
            <w:vAlign w:val="bottom"/>
          </w:tcPr>
          <w:p w14:paraId="3DE6EB2C" w14:textId="77777777" w:rsidR="004D1935" w:rsidRPr="00B61D7D" w:rsidRDefault="004D1935" w:rsidP="00E24DC9">
            <w:pPr>
              <w:rPr>
                <w:rFonts w:ascii="Calibri" w:hAnsi="Calibri" w:cs="Calibri"/>
                <w:color w:val="000000"/>
                <w:sz w:val="16"/>
                <w:szCs w:val="16"/>
              </w:rPr>
            </w:pPr>
            <w:r w:rsidRPr="00A65011">
              <w:rPr>
                <w:rFonts w:ascii="Calibri" w:hAnsi="Calibri" w:cs="Calibri"/>
                <w:color w:val="000000"/>
                <w:sz w:val="16"/>
                <w:szCs w:val="16"/>
              </w:rPr>
              <w:t>150.9640</w:t>
            </w:r>
          </w:p>
        </w:tc>
        <w:tc>
          <w:tcPr>
            <w:tcW w:w="2268" w:type="dxa"/>
            <w:vMerge/>
          </w:tcPr>
          <w:p w14:paraId="5ED8C728" w14:textId="77777777" w:rsidR="004D1935" w:rsidRDefault="004D1935" w:rsidP="00E24DC9"/>
        </w:tc>
        <w:tc>
          <w:tcPr>
            <w:tcW w:w="992" w:type="dxa"/>
            <w:vMerge/>
          </w:tcPr>
          <w:p w14:paraId="3D5D3102" w14:textId="77777777" w:rsidR="004D1935" w:rsidRPr="00CB7A8A" w:rsidRDefault="004D1935" w:rsidP="00E24DC9">
            <w:pPr>
              <w:rPr>
                <w:sz w:val="20"/>
                <w:szCs w:val="20"/>
              </w:rPr>
            </w:pPr>
          </w:p>
        </w:tc>
        <w:tc>
          <w:tcPr>
            <w:tcW w:w="1843" w:type="dxa"/>
            <w:vMerge/>
          </w:tcPr>
          <w:p w14:paraId="3B2DEDA6" w14:textId="77777777" w:rsidR="004D1935" w:rsidRPr="00CB7A8A" w:rsidRDefault="004D1935" w:rsidP="00E24DC9">
            <w:pPr>
              <w:rPr>
                <w:sz w:val="16"/>
                <w:szCs w:val="16"/>
              </w:rPr>
            </w:pPr>
          </w:p>
        </w:tc>
        <w:tc>
          <w:tcPr>
            <w:tcW w:w="7229" w:type="dxa"/>
            <w:vMerge/>
          </w:tcPr>
          <w:p w14:paraId="6C02BD90" w14:textId="77777777" w:rsidR="004D1935" w:rsidRDefault="004D1935" w:rsidP="00E24DC9"/>
        </w:tc>
      </w:tr>
      <w:tr w:rsidR="004D1935" w14:paraId="3BBE6FF7" w14:textId="77777777" w:rsidTr="00E24DC9">
        <w:tc>
          <w:tcPr>
            <w:tcW w:w="704" w:type="dxa"/>
            <w:vMerge/>
          </w:tcPr>
          <w:p w14:paraId="6C528590" w14:textId="77777777" w:rsidR="004D1935" w:rsidRDefault="004D1935" w:rsidP="00E24DC9"/>
        </w:tc>
        <w:tc>
          <w:tcPr>
            <w:tcW w:w="851" w:type="dxa"/>
            <w:tcBorders>
              <w:top w:val="nil"/>
              <w:bottom w:val="nil"/>
            </w:tcBorders>
            <w:vAlign w:val="bottom"/>
          </w:tcPr>
          <w:p w14:paraId="34DAC8AB" w14:textId="77777777" w:rsidR="004D1935" w:rsidRPr="00B61D7D" w:rsidRDefault="004D1935" w:rsidP="00E24DC9">
            <w:pPr>
              <w:rPr>
                <w:rFonts w:ascii="Calibri" w:hAnsi="Calibri" w:cs="Calibri"/>
                <w:color w:val="000000"/>
                <w:sz w:val="16"/>
                <w:szCs w:val="16"/>
              </w:rPr>
            </w:pPr>
            <w:r w:rsidRPr="00A65011">
              <w:rPr>
                <w:rFonts w:ascii="Calibri" w:hAnsi="Calibri" w:cs="Calibri"/>
                <w:color w:val="000000"/>
                <w:sz w:val="16"/>
                <w:szCs w:val="16"/>
              </w:rPr>
              <w:t>151.0188</w:t>
            </w:r>
          </w:p>
        </w:tc>
        <w:tc>
          <w:tcPr>
            <w:tcW w:w="2268" w:type="dxa"/>
            <w:vMerge/>
          </w:tcPr>
          <w:p w14:paraId="48511C91" w14:textId="77777777" w:rsidR="004D1935" w:rsidRDefault="004D1935" w:rsidP="00E24DC9"/>
        </w:tc>
        <w:tc>
          <w:tcPr>
            <w:tcW w:w="992" w:type="dxa"/>
            <w:vMerge/>
          </w:tcPr>
          <w:p w14:paraId="6AC1B559" w14:textId="77777777" w:rsidR="004D1935" w:rsidRPr="00CB7A8A" w:rsidRDefault="004D1935" w:rsidP="00E24DC9">
            <w:pPr>
              <w:rPr>
                <w:sz w:val="20"/>
                <w:szCs w:val="20"/>
              </w:rPr>
            </w:pPr>
          </w:p>
        </w:tc>
        <w:tc>
          <w:tcPr>
            <w:tcW w:w="1843" w:type="dxa"/>
            <w:vMerge/>
          </w:tcPr>
          <w:p w14:paraId="24570CE6" w14:textId="77777777" w:rsidR="004D1935" w:rsidRPr="00CB7A8A" w:rsidRDefault="004D1935" w:rsidP="00E24DC9">
            <w:pPr>
              <w:rPr>
                <w:sz w:val="16"/>
                <w:szCs w:val="16"/>
              </w:rPr>
            </w:pPr>
          </w:p>
        </w:tc>
        <w:tc>
          <w:tcPr>
            <w:tcW w:w="7229" w:type="dxa"/>
            <w:vMerge/>
          </w:tcPr>
          <w:p w14:paraId="3A9686CE" w14:textId="77777777" w:rsidR="004D1935" w:rsidRDefault="004D1935" w:rsidP="00E24DC9"/>
        </w:tc>
      </w:tr>
      <w:tr w:rsidR="004D1935" w14:paraId="6955BF0F" w14:textId="77777777" w:rsidTr="00E24DC9">
        <w:tc>
          <w:tcPr>
            <w:tcW w:w="704" w:type="dxa"/>
            <w:vMerge/>
          </w:tcPr>
          <w:p w14:paraId="13DA3C7C" w14:textId="77777777" w:rsidR="004D1935" w:rsidRDefault="004D1935" w:rsidP="00E24DC9"/>
        </w:tc>
        <w:tc>
          <w:tcPr>
            <w:tcW w:w="851" w:type="dxa"/>
            <w:tcBorders>
              <w:top w:val="nil"/>
              <w:bottom w:val="nil"/>
            </w:tcBorders>
            <w:vAlign w:val="bottom"/>
          </w:tcPr>
          <w:p w14:paraId="364F2E26" w14:textId="77777777" w:rsidR="004D1935" w:rsidRPr="00B61D7D" w:rsidRDefault="004D1935" w:rsidP="00E24DC9">
            <w:pPr>
              <w:rPr>
                <w:rFonts w:ascii="Calibri" w:hAnsi="Calibri" w:cs="Calibri"/>
                <w:color w:val="000000"/>
                <w:sz w:val="16"/>
                <w:szCs w:val="16"/>
              </w:rPr>
            </w:pPr>
            <w:r w:rsidRPr="00A65011">
              <w:rPr>
                <w:rFonts w:ascii="Calibri" w:hAnsi="Calibri" w:cs="Calibri"/>
                <w:color w:val="000000"/>
                <w:sz w:val="16"/>
                <w:szCs w:val="16"/>
              </w:rPr>
              <w:t>151.0639</w:t>
            </w:r>
          </w:p>
        </w:tc>
        <w:tc>
          <w:tcPr>
            <w:tcW w:w="2268" w:type="dxa"/>
            <w:vMerge/>
          </w:tcPr>
          <w:p w14:paraId="16AA3E20" w14:textId="77777777" w:rsidR="004D1935" w:rsidRDefault="004D1935" w:rsidP="00E24DC9"/>
        </w:tc>
        <w:tc>
          <w:tcPr>
            <w:tcW w:w="992" w:type="dxa"/>
            <w:vMerge/>
          </w:tcPr>
          <w:p w14:paraId="1C1E0EB2" w14:textId="77777777" w:rsidR="004D1935" w:rsidRPr="00CB7A8A" w:rsidRDefault="004D1935" w:rsidP="00E24DC9">
            <w:pPr>
              <w:rPr>
                <w:sz w:val="20"/>
                <w:szCs w:val="20"/>
              </w:rPr>
            </w:pPr>
          </w:p>
        </w:tc>
        <w:tc>
          <w:tcPr>
            <w:tcW w:w="1843" w:type="dxa"/>
            <w:vMerge/>
          </w:tcPr>
          <w:p w14:paraId="48267790" w14:textId="77777777" w:rsidR="004D1935" w:rsidRPr="00CB7A8A" w:rsidRDefault="004D1935" w:rsidP="00E24DC9">
            <w:pPr>
              <w:rPr>
                <w:sz w:val="16"/>
                <w:szCs w:val="16"/>
              </w:rPr>
            </w:pPr>
          </w:p>
        </w:tc>
        <w:tc>
          <w:tcPr>
            <w:tcW w:w="7229" w:type="dxa"/>
            <w:vMerge/>
          </w:tcPr>
          <w:p w14:paraId="06C5B24C" w14:textId="77777777" w:rsidR="004D1935" w:rsidRDefault="004D1935" w:rsidP="00E24DC9"/>
        </w:tc>
      </w:tr>
      <w:tr w:rsidR="004D1935" w14:paraId="1AE7914A" w14:textId="77777777" w:rsidTr="00E24DC9">
        <w:tc>
          <w:tcPr>
            <w:tcW w:w="704" w:type="dxa"/>
            <w:vMerge/>
          </w:tcPr>
          <w:p w14:paraId="198F9E29" w14:textId="77777777" w:rsidR="004D1935" w:rsidRDefault="004D1935" w:rsidP="00E24DC9"/>
        </w:tc>
        <w:tc>
          <w:tcPr>
            <w:tcW w:w="851" w:type="dxa"/>
            <w:tcBorders>
              <w:top w:val="nil"/>
              <w:bottom w:val="nil"/>
            </w:tcBorders>
            <w:vAlign w:val="bottom"/>
          </w:tcPr>
          <w:p w14:paraId="35B33A1A" w14:textId="77777777" w:rsidR="004D1935" w:rsidRPr="00B61D7D" w:rsidRDefault="004D1935" w:rsidP="00E24DC9">
            <w:pPr>
              <w:rPr>
                <w:rFonts w:ascii="Calibri" w:hAnsi="Calibri" w:cs="Calibri"/>
                <w:color w:val="000000"/>
                <w:sz w:val="16"/>
                <w:szCs w:val="16"/>
              </w:rPr>
            </w:pPr>
            <w:r w:rsidRPr="00A65011">
              <w:rPr>
                <w:rFonts w:ascii="Calibri" w:hAnsi="Calibri" w:cs="Calibri"/>
                <w:color w:val="000000"/>
                <w:sz w:val="16"/>
                <w:szCs w:val="16"/>
              </w:rPr>
              <w:t>151.0985</w:t>
            </w:r>
          </w:p>
        </w:tc>
        <w:tc>
          <w:tcPr>
            <w:tcW w:w="2268" w:type="dxa"/>
            <w:vMerge/>
          </w:tcPr>
          <w:p w14:paraId="37C8BB8E" w14:textId="77777777" w:rsidR="004D1935" w:rsidRDefault="004D1935" w:rsidP="00E24DC9"/>
        </w:tc>
        <w:tc>
          <w:tcPr>
            <w:tcW w:w="992" w:type="dxa"/>
            <w:vMerge/>
          </w:tcPr>
          <w:p w14:paraId="2AD014B3" w14:textId="77777777" w:rsidR="004D1935" w:rsidRPr="00CB7A8A" w:rsidRDefault="004D1935" w:rsidP="00E24DC9">
            <w:pPr>
              <w:rPr>
                <w:sz w:val="20"/>
                <w:szCs w:val="20"/>
              </w:rPr>
            </w:pPr>
          </w:p>
        </w:tc>
        <w:tc>
          <w:tcPr>
            <w:tcW w:w="1843" w:type="dxa"/>
            <w:vMerge/>
          </w:tcPr>
          <w:p w14:paraId="0BB6CFE7" w14:textId="77777777" w:rsidR="004D1935" w:rsidRPr="00CB7A8A" w:rsidRDefault="004D1935" w:rsidP="00E24DC9">
            <w:pPr>
              <w:rPr>
                <w:sz w:val="16"/>
                <w:szCs w:val="16"/>
              </w:rPr>
            </w:pPr>
          </w:p>
        </w:tc>
        <w:tc>
          <w:tcPr>
            <w:tcW w:w="7229" w:type="dxa"/>
            <w:vMerge/>
          </w:tcPr>
          <w:p w14:paraId="7F527F38" w14:textId="77777777" w:rsidR="004D1935" w:rsidRDefault="004D1935" w:rsidP="00E24DC9"/>
        </w:tc>
      </w:tr>
      <w:tr w:rsidR="004D1935" w14:paraId="4CCFEFEB" w14:textId="77777777" w:rsidTr="00E24DC9">
        <w:tc>
          <w:tcPr>
            <w:tcW w:w="704" w:type="dxa"/>
            <w:vMerge/>
          </w:tcPr>
          <w:p w14:paraId="40BD86CB" w14:textId="77777777" w:rsidR="004D1935" w:rsidRDefault="004D1935" w:rsidP="00E24DC9"/>
        </w:tc>
        <w:tc>
          <w:tcPr>
            <w:tcW w:w="851" w:type="dxa"/>
            <w:tcBorders>
              <w:top w:val="nil"/>
              <w:bottom w:val="nil"/>
            </w:tcBorders>
            <w:vAlign w:val="bottom"/>
          </w:tcPr>
          <w:p w14:paraId="41E8FB74" w14:textId="77777777" w:rsidR="004D1935" w:rsidRPr="00B61D7D" w:rsidRDefault="004D1935" w:rsidP="00E24DC9">
            <w:pPr>
              <w:rPr>
                <w:rFonts w:ascii="Calibri" w:hAnsi="Calibri" w:cs="Calibri"/>
                <w:color w:val="000000"/>
                <w:sz w:val="16"/>
                <w:szCs w:val="16"/>
              </w:rPr>
            </w:pPr>
            <w:r w:rsidRPr="00A65011">
              <w:rPr>
                <w:rFonts w:ascii="Calibri" w:hAnsi="Calibri" w:cs="Calibri"/>
                <w:color w:val="000000"/>
                <w:sz w:val="16"/>
                <w:szCs w:val="16"/>
              </w:rPr>
              <w:t>150.9755</w:t>
            </w:r>
          </w:p>
        </w:tc>
        <w:tc>
          <w:tcPr>
            <w:tcW w:w="2268" w:type="dxa"/>
            <w:vMerge/>
          </w:tcPr>
          <w:p w14:paraId="22036596" w14:textId="77777777" w:rsidR="004D1935" w:rsidRDefault="004D1935" w:rsidP="00E24DC9"/>
        </w:tc>
        <w:tc>
          <w:tcPr>
            <w:tcW w:w="992" w:type="dxa"/>
            <w:vMerge/>
          </w:tcPr>
          <w:p w14:paraId="775CFA2A" w14:textId="77777777" w:rsidR="004D1935" w:rsidRPr="00CB7A8A" w:rsidRDefault="004D1935" w:rsidP="00E24DC9">
            <w:pPr>
              <w:rPr>
                <w:sz w:val="20"/>
                <w:szCs w:val="20"/>
              </w:rPr>
            </w:pPr>
          </w:p>
        </w:tc>
        <w:tc>
          <w:tcPr>
            <w:tcW w:w="1843" w:type="dxa"/>
            <w:vMerge/>
          </w:tcPr>
          <w:p w14:paraId="44F612D2" w14:textId="77777777" w:rsidR="004D1935" w:rsidRPr="00CB7A8A" w:rsidRDefault="004D1935" w:rsidP="00E24DC9">
            <w:pPr>
              <w:rPr>
                <w:sz w:val="16"/>
                <w:szCs w:val="16"/>
              </w:rPr>
            </w:pPr>
          </w:p>
        </w:tc>
        <w:tc>
          <w:tcPr>
            <w:tcW w:w="7229" w:type="dxa"/>
            <w:vMerge/>
          </w:tcPr>
          <w:p w14:paraId="2F3CDBFB" w14:textId="77777777" w:rsidR="004D1935" w:rsidRDefault="004D1935" w:rsidP="00E24DC9"/>
        </w:tc>
      </w:tr>
      <w:tr w:rsidR="004D1935" w14:paraId="52CC41BB" w14:textId="77777777" w:rsidTr="00E24DC9">
        <w:tc>
          <w:tcPr>
            <w:tcW w:w="704" w:type="dxa"/>
            <w:vMerge/>
          </w:tcPr>
          <w:p w14:paraId="6033EC00" w14:textId="77777777" w:rsidR="004D1935" w:rsidRDefault="004D1935" w:rsidP="00E24DC9"/>
        </w:tc>
        <w:tc>
          <w:tcPr>
            <w:tcW w:w="851" w:type="dxa"/>
            <w:tcBorders>
              <w:top w:val="nil"/>
              <w:bottom w:val="nil"/>
            </w:tcBorders>
            <w:vAlign w:val="bottom"/>
          </w:tcPr>
          <w:p w14:paraId="42F1AFD7" w14:textId="77777777" w:rsidR="004D1935" w:rsidRPr="00B61D7D" w:rsidRDefault="004D1935" w:rsidP="00E24DC9">
            <w:pPr>
              <w:rPr>
                <w:rFonts w:ascii="Calibri" w:hAnsi="Calibri" w:cs="Calibri"/>
                <w:color w:val="000000"/>
                <w:sz w:val="16"/>
                <w:szCs w:val="16"/>
              </w:rPr>
            </w:pPr>
            <w:r w:rsidRPr="00A65011">
              <w:rPr>
                <w:rFonts w:ascii="Calibri" w:hAnsi="Calibri" w:cs="Calibri"/>
                <w:color w:val="000000"/>
                <w:sz w:val="16"/>
                <w:szCs w:val="16"/>
              </w:rPr>
              <w:t>151.0207</w:t>
            </w:r>
          </w:p>
        </w:tc>
        <w:tc>
          <w:tcPr>
            <w:tcW w:w="2268" w:type="dxa"/>
            <w:vMerge/>
          </w:tcPr>
          <w:p w14:paraId="4CF39DE7" w14:textId="77777777" w:rsidR="004D1935" w:rsidRDefault="004D1935" w:rsidP="00E24DC9"/>
        </w:tc>
        <w:tc>
          <w:tcPr>
            <w:tcW w:w="992" w:type="dxa"/>
            <w:vMerge/>
          </w:tcPr>
          <w:p w14:paraId="38FD75BE" w14:textId="77777777" w:rsidR="004D1935" w:rsidRPr="00CB7A8A" w:rsidRDefault="004D1935" w:rsidP="00E24DC9">
            <w:pPr>
              <w:rPr>
                <w:sz w:val="20"/>
                <w:szCs w:val="20"/>
              </w:rPr>
            </w:pPr>
          </w:p>
        </w:tc>
        <w:tc>
          <w:tcPr>
            <w:tcW w:w="1843" w:type="dxa"/>
            <w:vMerge/>
          </w:tcPr>
          <w:p w14:paraId="6E9AD728" w14:textId="77777777" w:rsidR="004D1935" w:rsidRPr="00CB7A8A" w:rsidRDefault="004D1935" w:rsidP="00E24DC9">
            <w:pPr>
              <w:rPr>
                <w:sz w:val="16"/>
                <w:szCs w:val="16"/>
              </w:rPr>
            </w:pPr>
          </w:p>
        </w:tc>
        <w:tc>
          <w:tcPr>
            <w:tcW w:w="7229" w:type="dxa"/>
            <w:vMerge/>
          </w:tcPr>
          <w:p w14:paraId="453D1144" w14:textId="77777777" w:rsidR="004D1935" w:rsidRDefault="004D1935" w:rsidP="00E24DC9"/>
        </w:tc>
      </w:tr>
      <w:tr w:rsidR="004D1935" w14:paraId="0B446D61" w14:textId="77777777" w:rsidTr="00E24DC9">
        <w:tc>
          <w:tcPr>
            <w:tcW w:w="704" w:type="dxa"/>
            <w:vMerge/>
          </w:tcPr>
          <w:p w14:paraId="01028F95" w14:textId="77777777" w:rsidR="004D1935" w:rsidRDefault="004D1935" w:rsidP="00E24DC9"/>
        </w:tc>
        <w:tc>
          <w:tcPr>
            <w:tcW w:w="851" w:type="dxa"/>
            <w:tcBorders>
              <w:top w:val="nil"/>
              <w:bottom w:val="nil"/>
            </w:tcBorders>
            <w:vAlign w:val="bottom"/>
          </w:tcPr>
          <w:p w14:paraId="5A4B0924" w14:textId="77777777" w:rsidR="004D1935" w:rsidRPr="00B61D7D" w:rsidRDefault="004D1935" w:rsidP="00E24DC9">
            <w:pPr>
              <w:rPr>
                <w:rFonts w:ascii="Calibri" w:hAnsi="Calibri" w:cs="Calibri"/>
                <w:color w:val="000000"/>
                <w:sz w:val="16"/>
                <w:szCs w:val="16"/>
              </w:rPr>
            </w:pPr>
            <w:r w:rsidRPr="00A65011">
              <w:rPr>
                <w:rFonts w:ascii="Calibri" w:hAnsi="Calibri" w:cs="Calibri"/>
                <w:color w:val="000000"/>
                <w:sz w:val="16"/>
                <w:szCs w:val="16"/>
              </w:rPr>
              <w:t>150.9294</w:t>
            </w:r>
          </w:p>
        </w:tc>
        <w:tc>
          <w:tcPr>
            <w:tcW w:w="2268" w:type="dxa"/>
            <w:vMerge/>
          </w:tcPr>
          <w:p w14:paraId="0BAA84E5" w14:textId="77777777" w:rsidR="004D1935" w:rsidRDefault="004D1935" w:rsidP="00E24DC9"/>
        </w:tc>
        <w:tc>
          <w:tcPr>
            <w:tcW w:w="992" w:type="dxa"/>
            <w:vMerge/>
          </w:tcPr>
          <w:p w14:paraId="27B909D4" w14:textId="77777777" w:rsidR="004D1935" w:rsidRPr="00CB7A8A" w:rsidRDefault="004D1935" w:rsidP="00E24DC9">
            <w:pPr>
              <w:rPr>
                <w:sz w:val="20"/>
                <w:szCs w:val="20"/>
              </w:rPr>
            </w:pPr>
          </w:p>
        </w:tc>
        <w:tc>
          <w:tcPr>
            <w:tcW w:w="1843" w:type="dxa"/>
            <w:vMerge/>
          </w:tcPr>
          <w:p w14:paraId="00BACC2E" w14:textId="77777777" w:rsidR="004D1935" w:rsidRPr="00CB7A8A" w:rsidRDefault="004D1935" w:rsidP="00E24DC9">
            <w:pPr>
              <w:rPr>
                <w:sz w:val="16"/>
                <w:szCs w:val="16"/>
              </w:rPr>
            </w:pPr>
          </w:p>
        </w:tc>
        <w:tc>
          <w:tcPr>
            <w:tcW w:w="7229" w:type="dxa"/>
            <w:vMerge/>
          </w:tcPr>
          <w:p w14:paraId="1937C31A" w14:textId="77777777" w:rsidR="004D1935" w:rsidRDefault="004D1935" w:rsidP="00E24DC9"/>
        </w:tc>
      </w:tr>
      <w:tr w:rsidR="004D1935" w14:paraId="7F43DBC5" w14:textId="77777777" w:rsidTr="00E24DC9">
        <w:tc>
          <w:tcPr>
            <w:tcW w:w="704" w:type="dxa"/>
            <w:vMerge/>
          </w:tcPr>
          <w:p w14:paraId="5B24D24E" w14:textId="77777777" w:rsidR="004D1935" w:rsidRDefault="004D1935" w:rsidP="00E24DC9"/>
        </w:tc>
        <w:tc>
          <w:tcPr>
            <w:tcW w:w="851" w:type="dxa"/>
            <w:tcBorders>
              <w:top w:val="nil"/>
              <w:bottom w:val="nil"/>
            </w:tcBorders>
            <w:vAlign w:val="bottom"/>
          </w:tcPr>
          <w:p w14:paraId="2EA4D50A" w14:textId="77777777" w:rsidR="004D1935" w:rsidRPr="00B61D7D" w:rsidRDefault="004D1935" w:rsidP="00E24DC9">
            <w:pPr>
              <w:rPr>
                <w:rFonts w:ascii="Calibri" w:hAnsi="Calibri" w:cs="Calibri"/>
                <w:color w:val="000000"/>
                <w:sz w:val="16"/>
                <w:szCs w:val="16"/>
              </w:rPr>
            </w:pPr>
            <w:r w:rsidRPr="00A65011">
              <w:rPr>
                <w:rFonts w:ascii="Calibri" w:hAnsi="Calibri" w:cs="Calibri"/>
                <w:color w:val="000000"/>
                <w:sz w:val="16"/>
                <w:szCs w:val="16"/>
              </w:rPr>
              <w:t>150.9582</w:t>
            </w:r>
          </w:p>
        </w:tc>
        <w:tc>
          <w:tcPr>
            <w:tcW w:w="2268" w:type="dxa"/>
            <w:vMerge/>
          </w:tcPr>
          <w:p w14:paraId="048DA293" w14:textId="77777777" w:rsidR="004D1935" w:rsidRDefault="004D1935" w:rsidP="00E24DC9"/>
        </w:tc>
        <w:tc>
          <w:tcPr>
            <w:tcW w:w="992" w:type="dxa"/>
            <w:vMerge/>
          </w:tcPr>
          <w:p w14:paraId="48A28EE2" w14:textId="77777777" w:rsidR="004D1935" w:rsidRPr="00CB7A8A" w:rsidRDefault="004D1935" w:rsidP="00E24DC9">
            <w:pPr>
              <w:rPr>
                <w:sz w:val="20"/>
                <w:szCs w:val="20"/>
              </w:rPr>
            </w:pPr>
          </w:p>
        </w:tc>
        <w:tc>
          <w:tcPr>
            <w:tcW w:w="1843" w:type="dxa"/>
            <w:vMerge/>
          </w:tcPr>
          <w:p w14:paraId="1F5057C2" w14:textId="77777777" w:rsidR="004D1935" w:rsidRPr="00CB7A8A" w:rsidRDefault="004D1935" w:rsidP="00E24DC9">
            <w:pPr>
              <w:rPr>
                <w:sz w:val="16"/>
                <w:szCs w:val="16"/>
              </w:rPr>
            </w:pPr>
          </w:p>
        </w:tc>
        <w:tc>
          <w:tcPr>
            <w:tcW w:w="7229" w:type="dxa"/>
            <w:vMerge/>
          </w:tcPr>
          <w:p w14:paraId="68437747" w14:textId="77777777" w:rsidR="004D1935" w:rsidRDefault="004D1935" w:rsidP="00E24DC9"/>
        </w:tc>
      </w:tr>
      <w:tr w:rsidR="004D1935" w14:paraId="3F96608A" w14:textId="77777777" w:rsidTr="00E24DC9">
        <w:tc>
          <w:tcPr>
            <w:tcW w:w="704" w:type="dxa"/>
            <w:vMerge/>
          </w:tcPr>
          <w:p w14:paraId="695313DE" w14:textId="77777777" w:rsidR="004D1935" w:rsidRDefault="004D1935" w:rsidP="00E24DC9"/>
        </w:tc>
        <w:tc>
          <w:tcPr>
            <w:tcW w:w="851" w:type="dxa"/>
            <w:tcBorders>
              <w:top w:val="nil"/>
              <w:bottom w:val="nil"/>
            </w:tcBorders>
            <w:vAlign w:val="bottom"/>
          </w:tcPr>
          <w:p w14:paraId="332E1CDE" w14:textId="77777777" w:rsidR="004D1935" w:rsidRPr="00B61D7D" w:rsidRDefault="004D1935" w:rsidP="00E24DC9">
            <w:pPr>
              <w:rPr>
                <w:rFonts w:ascii="Calibri" w:hAnsi="Calibri" w:cs="Calibri"/>
                <w:color w:val="000000"/>
                <w:sz w:val="16"/>
                <w:szCs w:val="16"/>
              </w:rPr>
            </w:pPr>
            <w:r w:rsidRPr="00A65011">
              <w:rPr>
                <w:rFonts w:ascii="Calibri" w:hAnsi="Calibri" w:cs="Calibri"/>
                <w:color w:val="000000"/>
                <w:sz w:val="16"/>
                <w:szCs w:val="16"/>
              </w:rPr>
              <w:t>151.0294</w:t>
            </w:r>
          </w:p>
        </w:tc>
        <w:tc>
          <w:tcPr>
            <w:tcW w:w="2268" w:type="dxa"/>
            <w:vMerge/>
          </w:tcPr>
          <w:p w14:paraId="0B1635BC" w14:textId="77777777" w:rsidR="004D1935" w:rsidRDefault="004D1935" w:rsidP="00E24DC9"/>
        </w:tc>
        <w:tc>
          <w:tcPr>
            <w:tcW w:w="992" w:type="dxa"/>
            <w:vMerge/>
          </w:tcPr>
          <w:p w14:paraId="6E1832E7" w14:textId="77777777" w:rsidR="004D1935" w:rsidRPr="00CB7A8A" w:rsidRDefault="004D1935" w:rsidP="00E24DC9">
            <w:pPr>
              <w:rPr>
                <w:sz w:val="20"/>
                <w:szCs w:val="20"/>
              </w:rPr>
            </w:pPr>
          </w:p>
        </w:tc>
        <w:tc>
          <w:tcPr>
            <w:tcW w:w="1843" w:type="dxa"/>
            <w:vMerge/>
          </w:tcPr>
          <w:p w14:paraId="3165BE4E" w14:textId="77777777" w:rsidR="004D1935" w:rsidRPr="00CB7A8A" w:rsidRDefault="004D1935" w:rsidP="00E24DC9">
            <w:pPr>
              <w:rPr>
                <w:sz w:val="16"/>
                <w:szCs w:val="16"/>
              </w:rPr>
            </w:pPr>
          </w:p>
        </w:tc>
        <w:tc>
          <w:tcPr>
            <w:tcW w:w="7229" w:type="dxa"/>
            <w:vMerge/>
          </w:tcPr>
          <w:p w14:paraId="27428FE1" w14:textId="77777777" w:rsidR="004D1935" w:rsidRDefault="004D1935" w:rsidP="00E24DC9"/>
        </w:tc>
      </w:tr>
      <w:tr w:rsidR="004D1935" w14:paraId="7D0B21CF" w14:textId="77777777" w:rsidTr="00E24DC9">
        <w:tc>
          <w:tcPr>
            <w:tcW w:w="704" w:type="dxa"/>
            <w:vMerge/>
          </w:tcPr>
          <w:p w14:paraId="070251A6" w14:textId="77777777" w:rsidR="004D1935" w:rsidRDefault="004D1935" w:rsidP="00E24DC9"/>
        </w:tc>
        <w:tc>
          <w:tcPr>
            <w:tcW w:w="851" w:type="dxa"/>
            <w:tcBorders>
              <w:top w:val="nil"/>
              <w:bottom w:val="nil"/>
            </w:tcBorders>
            <w:vAlign w:val="bottom"/>
          </w:tcPr>
          <w:p w14:paraId="7F02F3AA" w14:textId="77777777" w:rsidR="004D1935" w:rsidRPr="00B61D7D" w:rsidRDefault="004D1935" w:rsidP="00E24DC9">
            <w:pPr>
              <w:rPr>
                <w:rFonts w:ascii="Calibri" w:hAnsi="Calibri" w:cs="Calibri"/>
                <w:color w:val="000000"/>
                <w:sz w:val="16"/>
                <w:szCs w:val="16"/>
              </w:rPr>
            </w:pPr>
            <w:r w:rsidRPr="00A65011">
              <w:rPr>
                <w:rFonts w:ascii="Calibri" w:hAnsi="Calibri" w:cs="Calibri"/>
                <w:color w:val="000000"/>
                <w:sz w:val="16"/>
                <w:szCs w:val="16"/>
              </w:rPr>
              <w:t>151.0697</w:t>
            </w:r>
          </w:p>
        </w:tc>
        <w:tc>
          <w:tcPr>
            <w:tcW w:w="2268" w:type="dxa"/>
            <w:vMerge/>
          </w:tcPr>
          <w:p w14:paraId="2F4AC0F6" w14:textId="77777777" w:rsidR="004D1935" w:rsidRDefault="004D1935" w:rsidP="00E24DC9"/>
        </w:tc>
        <w:tc>
          <w:tcPr>
            <w:tcW w:w="992" w:type="dxa"/>
            <w:vMerge/>
          </w:tcPr>
          <w:p w14:paraId="61D96F1D" w14:textId="77777777" w:rsidR="004D1935" w:rsidRPr="00CB7A8A" w:rsidRDefault="004D1935" w:rsidP="00E24DC9">
            <w:pPr>
              <w:rPr>
                <w:sz w:val="20"/>
                <w:szCs w:val="20"/>
              </w:rPr>
            </w:pPr>
          </w:p>
        </w:tc>
        <w:tc>
          <w:tcPr>
            <w:tcW w:w="1843" w:type="dxa"/>
            <w:vMerge/>
          </w:tcPr>
          <w:p w14:paraId="6D888BE4" w14:textId="77777777" w:rsidR="004D1935" w:rsidRPr="00CB7A8A" w:rsidRDefault="004D1935" w:rsidP="00E24DC9">
            <w:pPr>
              <w:rPr>
                <w:sz w:val="16"/>
                <w:szCs w:val="16"/>
              </w:rPr>
            </w:pPr>
          </w:p>
        </w:tc>
        <w:tc>
          <w:tcPr>
            <w:tcW w:w="7229" w:type="dxa"/>
            <w:vMerge/>
          </w:tcPr>
          <w:p w14:paraId="2A6B9A4C" w14:textId="77777777" w:rsidR="004D1935" w:rsidRDefault="004D1935" w:rsidP="00E24DC9"/>
        </w:tc>
      </w:tr>
      <w:tr w:rsidR="004D1935" w14:paraId="56DA9ED5" w14:textId="77777777" w:rsidTr="00E24DC9">
        <w:tc>
          <w:tcPr>
            <w:tcW w:w="704" w:type="dxa"/>
            <w:vMerge/>
          </w:tcPr>
          <w:p w14:paraId="2F1CF7FD" w14:textId="77777777" w:rsidR="004D1935" w:rsidRDefault="004D1935" w:rsidP="00E24DC9"/>
        </w:tc>
        <w:tc>
          <w:tcPr>
            <w:tcW w:w="851" w:type="dxa"/>
            <w:tcBorders>
              <w:top w:val="nil"/>
              <w:bottom w:val="nil"/>
            </w:tcBorders>
            <w:vAlign w:val="bottom"/>
          </w:tcPr>
          <w:p w14:paraId="05626D12" w14:textId="77777777" w:rsidR="004D1935" w:rsidRPr="00B61D7D" w:rsidRDefault="004D1935" w:rsidP="00E24DC9">
            <w:pPr>
              <w:rPr>
                <w:rFonts w:ascii="Calibri" w:hAnsi="Calibri" w:cs="Calibri"/>
                <w:color w:val="000000"/>
                <w:sz w:val="16"/>
                <w:szCs w:val="16"/>
              </w:rPr>
            </w:pPr>
            <w:r w:rsidRPr="00A65011">
              <w:rPr>
                <w:rFonts w:ascii="Calibri" w:hAnsi="Calibri" w:cs="Calibri"/>
                <w:color w:val="000000"/>
                <w:sz w:val="16"/>
                <w:szCs w:val="16"/>
              </w:rPr>
              <w:t>150.9448</w:t>
            </w:r>
          </w:p>
        </w:tc>
        <w:tc>
          <w:tcPr>
            <w:tcW w:w="2268" w:type="dxa"/>
            <w:vMerge/>
          </w:tcPr>
          <w:p w14:paraId="2BFEFBF2" w14:textId="77777777" w:rsidR="004D1935" w:rsidRDefault="004D1935" w:rsidP="00E24DC9"/>
        </w:tc>
        <w:tc>
          <w:tcPr>
            <w:tcW w:w="992" w:type="dxa"/>
            <w:vMerge/>
          </w:tcPr>
          <w:p w14:paraId="7014336D" w14:textId="77777777" w:rsidR="004D1935" w:rsidRPr="00CB7A8A" w:rsidRDefault="004D1935" w:rsidP="00E24DC9">
            <w:pPr>
              <w:rPr>
                <w:sz w:val="20"/>
                <w:szCs w:val="20"/>
              </w:rPr>
            </w:pPr>
          </w:p>
        </w:tc>
        <w:tc>
          <w:tcPr>
            <w:tcW w:w="1843" w:type="dxa"/>
            <w:vMerge/>
          </w:tcPr>
          <w:p w14:paraId="5205C57F" w14:textId="77777777" w:rsidR="004D1935" w:rsidRPr="00CB7A8A" w:rsidRDefault="004D1935" w:rsidP="00E24DC9">
            <w:pPr>
              <w:rPr>
                <w:sz w:val="16"/>
                <w:szCs w:val="16"/>
              </w:rPr>
            </w:pPr>
          </w:p>
        </w:tc>
        <w:tc>
          <w:tcPr>
            <w:tcW w:w="7229" w:type="dxa"/>
            <w:vMerge/>
          </w:tcPr>
          <w:p w14:paraId="42767E5D" w14:textId="77777777" w:rsidR="004D1935" w:rsidRDefault="004D1935" w:rsidP="00E24DC9"/>
        </w:tc>
      </w:tr>
      <w:tr w:rsidR="004D1935" w14:paraId="61A154DD" w14:textId="77777777" w:rsidTr="00E24DC9">
        <w:tc>
          <w:tcPr>
            <w:tcW w:w="704" w:type="dxa"/>
            <w:vMerge/>
          </w:tcPr>
          <w:p w14:paraId="1C0C448C" w14:textId="77777777" w:rsidR="004D1935" w:rsidRDefault="004D1935" w:rsidP="00E24DC9"/>
        </w:tc>
        <w:tc>
          <w:tcPr>
            <w:tcW w:w="851" w:type="dxa"/>
            <w:tcBorders>
              <w:top w:val="nil"/>
              <w:bottom w:val="nil"/>
            </w:tcBorders>
            <w:vAlign w:val="bottom"/>
          </w:tcPr>
          <w:p w14:paraId="1DAE694E" w14:textId="77777777" w:rsidR="004D1935" w:rsidRPr="00B61D7D" w:rsidRDefault="004D1935" w:rsidP="00E24DC9">
            <w:pPr>
              <w:rPr>
                <w:rFonts w:ascii="Calibri" w:hAnsi="Calibri" w:cs="Calibri"/>
                <w:color w:val="000000"/>
                <w:sz w:val="16"/>
                <w:szCs w:val="16"/>
              </w:rPr>
            </w:pPr>
            <w:r w:rsidRPr="00A65011">
              <w:rPr>
                <w:rFonts w:ascii="Calibri" w:hAnsi="Calibri" w:cs="Calibri"/>
                <w:color w:val="000000"/>
                <w:sz w:val="16"/>
                <w:szCs w:val="16"/>
              </w:rPr>
              <w:t>150.9736</w:t>
            </w:r>
          </w:p>
        </w:tc>
        <w:tc>
          <w:tcPr>
            <w:tcW w:w="2268" w:type="dxa"/>
            <w:vMerge/>
          </w:tcPr>
          <w:p w14:paraId="470AA2E3" w14:textId="77777777" w:rsidR="004D1935" w:rsidRDefault="004D1935" w:rsidP="00E24DC9"/>
        </w:tc>
        <w:tc>
          <w:tcPr>
            <w:tcW w:w="992" w:type="dxa"/>
            <w:vMerge/>
          </w:tcPr>
          <w:p w14:paraId="7E17B83A" w14:textId="77777777" w:rsidR="004D1935" w:rsidRPr="00CB7A8A" w:rsidRDefault="004D1935" w:rsidP="00E24DC9">
            <w:pPr>
              <w:rPr>
                <w:sz w:val="20"/>
                <w:szCs w:val="20"/>
              </w:rPr>
            </w:pPr>
          </w:p>
        </w:tc>
        <w:tc>
          <w:tcPr>
            <w:tcW w:w="1843" w:type="dxa"/>
            <w:vMerge/>
          </w:tcPr>
          <w:p w14:paraId="6F037A22" w14:textId="77777777" w:rsidR="004D1935" w:rsidRPr="00CB7A8A" w:rsidRDefault="004D1935" w:rsidP="00E24DC9">
            <w:pPr>
              <w:rPr>
                <w:sz w:val="16"/>
                <w:szCs w:val="16"/>
              </w:rPr>
            </w:pPr>
          </w:p>
        </w:tc>
        <w:tc>
          <w:tcPr>
            <w:tcW w:w="7229" w:type="dxa"/>
            <w:vMerge/>
          </w:tcPr>
          <w:p w14:paraId="73716E4C" w14:textId="77777777" w:rsidR="004D1935" w:rsidRDefault="004D1935" w:rsidP="00E24DC9"/>
        </w:tc>
      </w:tr>
      <w:tr w:rsidR="004D1935" w14:paraId="7FEDE6B2" w14:textId="77777777" w:rsidTr="00E24DC9">
        <w:tc>
          <w:tcPr>
            <w:tcW w:w="704" w:type="dxa"/>
            <w:vMerge/>
          </w:tcPr>
          <w:p w14:paraId="05419AD9" w14:textId="77777777" w:rsidR="004D1935" w:rsidRDefault="004D1935" w:rsidP="00E24DC9"/>
        </w:tc>
        <w:tc>
          <w:tcPr>
            <w:tcW w:w="851" w:type="dxa"/>
            <w:tcBorders>
              <w:top w:val="nil"/>
              <w:bottom w:val="nil"/>
            </w:tcBorders>
            <w:vAlign w:val="bottom"/>
          </w:tcPr>
          <w:p w14:paraId="40DE3446" w14:textId="77777777" w:rsidR="004D1935" w:rsidRPr="00B61D7D" w:rsidRDefault="004D1935" w:rsidP="00E24DC9">
            <w:pPr>
              <w:rPr>
                <w:rFonts w:ascii="Calibri" w:hAnsi="Calibri" w:cs="Calibri"/>
                <w:color w:val="000000"/>
                <w:sz w:val="16"/>
                <w:szCs w:val="16"/>
              </w:rPr>
            </w:pPr>
            <w:r w:rsidRPr="00A65011">
              <w:rPr>
                <w:rFonts w:ascii="Calibri" w:hAnsi="Calibri" w:cs="Calibri"/>
                <w:color w:val="000000"/>
                <w:sz w:val="16"/>
                <w:szCs w:val="16"/>
              </w:rPr>
              <w:t>150.9871</w:t>
            </w:r>
          </w:p>
        </w:tc>
        <w:tc>
          <w:tcPr>
            <w:tcW w:w="2268" w:type="dxa"/>
            <w:vMerge/>
          </w:tcPr>
          <w:p w14:paraId="2788392C" w14:textId="77777777" w:rsidR="004D1935" w:rsidRDefault="004D1935" w:rsidP="00E24DC9"/>
        </w:tc>
        <w:tc>
          <w:tcPr>
            <w:tcW w:w="992" w:type="dxa"/>
            <w:vMerge/>
          </w:tcPr>
          <w:p w14:paraId="30061B5C" w14:textId="77777777" w:rsidR="004D1935" w:rsidRPr="00CB7A8A" w:rsidRDefault="004D1935" w:rsidP="00E24DC9">
            <w:pPr>
              <w:rPr>
                <w:sz w:val="20"/>
                <w:szCs w:val="20"/>
              </w:rPr>
            </w:pPr>
          </w:p>
        </w:tc>
        <w:tc>
          <w:tcPr>
            <w:tcW w:w="1843" w:type="dxa"/>
            <w:vMerge/>
          </w:tcPr>
          <w:p w14:paraId="7554721C" w14:textId="77777777" w:rsidR="004D1935" w:rsidRPr="00CB7A8A" w:rsidRDefault="004D1935" w:rsidP="00E24DC9">
            <w:pPr>
              <w:rPr>
                <w:sz w:val="16"/>
                <w:szCs w:val="16"/>
              </w:rPr>
            </w:pPr>
          </w:p>
        </w:tc>
        <w:tc>
          <w:tcPr>
            <w:tcW w:w="7229" w:type="dxa"/>
            <w:vMerge/>
          </w:tcPr>
          <w:p w14:paraId="43AA8645" w14:textId="77777777" w:rsidR="004D1935" w:rsidRDefault="004D1935" w:rsidP="00E24DC9"/>
        </w:tc>
      </w:tr>
      <w:tr w:rsidR="004D1935" w14:paraId="6B67D440" w14:textId="77777777" w:rsidTr="00E24DC9">
        <w:tc>
          <w:tcPr>
            <w:tcW w:w="704" w:type="dxa"/>
            <w:vMerge/>
          </w:tcPr>
          <w:p w14:paraId="64B82E80" w14:textId="77777777" w:rsidR="004D1935" w:rsidRDefault="004D1935" w:rsidP="00E24DC9"/>
        </w:tc>
        <w:tc>
          <w:tcPr>
            <w:tcW w:w="851" w:type="dxa"/>
            <w:tcBorders>
              <w:top w:val="nil"/>
              <w:bottom w:val="nil"/>
            </w:tcBorders>
            <w:vAlign w:val="bottom"/>
          </w:tcPr>
          <w:p w14:paraId="08DCDDD0" w14:textId="77777777" w:rsidR="004D1935" w:rsidRPr="00B61D7D" w:rsidRDefault="004D1935" w:rsidP="00E24DC9">
            <w:pPr>
              <w:rPr>
                <w:rFonts w:ascii="Calibri" w:hAnsi="Calibri" w:cs="Calibri"/>
                <w:color w:val="000000"/>
                <w:sz w:val="16"/>
                <w:szCs w:val="16"/>
              </w:rPr>
            </w:pPr>
            <w:r w:rsidRPr="00A65011">
              <w:rPr>
                <w:rFonts w:ascii="Calibri" w:hAnsi="Calibri" w:cs="Calibri"/>
                <w:color w:val="000000"/>
                <w:sz w:val="16"/>
                <w:szCs w:val="16"/>
              </w:rPr>
              <w:t>151.0265</w:t>
            </w:r>
          </w:p>
        </w:tc>
        <w:tc>
          <w:tcPr>
            <w:tcW w:w="2268" w:type="dxa"/>
            <w:vMerge/>
          </w:tcPr>
          <w:p w14:paraId="1C362AF7" w14:textId="77777777" w:rsidR="004D1935" w:rsidRDefault="004D1935" w:rsidP="00E24DC9"/>
        </w:tc>
        <w:tc>
          <w:tcPr>
            <w:tcW w:w="992" w:type="dxa"/>
            <w:vMerge/>
          </w:tcPr>
          <w:p w14:paraId="651AF442" w14:textId="77777777" w:rsidR="004D1935" w:rsidRPr="00CB7A8A" w:rsidRDefault="004D1935" w:rsidP="00E24DC9">
            <w:pPr>
              <w:rPr>
                <w:sz w:val="20"/>
                <w:szCs w:val="20"/>
              </w:rPr>
            </w:pPr>
          </w:p>
        </w:tc>
        <w:tc>
          <w:tcPr>
            <w:tcW w:w="1843" w:type="dxa"/>
            <w:vMerge/>
          </w:tcPr>
          <w:p w14:paraId="56198076" w14:textId="77777777" w:rsidR="004D1935" w:rsidRPr="00CB7A8A" w:rsidRDefault="004D1935" w:rsidP="00E24DC9">
            <w:pPr>
              <w:rPr>
                <w:sz w:val="16"/>
                <w:szCs w:val="16"/>
              </w:rPr>
            </w:pPr>
          </w:p>
        </w:tc>
        <w:tc>
          <w:tcPr>
            <w:tcW w:w="7229" w:type="dxa"/>
            <w:vMerge/>
          </w:tcPr>
          <w:p w14:paraId="2B620BB4" w14:textId="77777777" w:rsidR="004D1935" w:rsidRDefault="004D1935" w:rsidP="00E24DC9"/>
        </w:tc>
      </w:tr>
      <w:tr w:rsidR="004D1935" w14:paraId="65288AF7" w14:textId="77777777" w:rsidTr="00E24DC9">
        <w:tc>
          <w:tcPr>
            <w:tcW w:w="704" w:type="dxa"/>
            <w:vMerge/>
          </w:tcPr>
          <w:p w14:paraId="09468F9E" w14:textId="77777777" w:rsidR="004D1935" w:rsidRDefault="004D1935" w:rsidP="00E24DC9"/>
        </w:tc>
        <w:tc>
          <w:tcPr>
            <w:tcW w:w="851" w:type="dxa"/>
            <w:tcBorders>
              <w:top w:val="nil"/>
              <w:bottom w:val="nil"/>
            </w:tcBorders>
            <w:vAlign w:val="bottom"/>
          </w:tcPr>
          <w:p w14:paraId="73005751" w14:textId="77777777" w:rsidR="004D1935" w:rsidRPr="00B61D7D" w:rsidRDefault="004D1935" w:rsidP="00E24DC9">
            <w:pPr>
              <w:rPr>
                <w:rFonts w:ascii="Calibri" w:hAnsi="Calibri" w:cs="Calibri"/>
                <w:color w:val="000000"/>
                <w:sz w:val="16"/>
                <w:szCs w:val="16"/>
              </w:rPr>
            </w:pPr>
            <w:r w:rsidRPr="00A65011">
              <w:rPr>
                <w:rFonts w:ascii="Calibri" w:hAnsi="Calibri" w:cs="Calibri"/>
                <w:color w:val="000000"/>
                <w:sz w:val="16"/>
                <w:szCs w:val="16"/>
              </w:rPr>
              <w:t>151.0668</w:t>
            </w:r>
          </w:p>
        </w:tc>
        <w:tc>
          <w:tcPr>
            <w:tcW w:w="2268" w:type="dxa"/>
            <w:vMerge/>
          </w:tcPr>
          <w:p w14:paraId="6F22C418" w14:textId="77777777" w:rsidR="004D1935" w:rsidRDefault="004D1935" w:rsidP="00E24DC9"/>
        </w:tc>
        <w:tc>
          <w:tcPr>
            <w:tcW w:w="992" w:type="dxa"/>
            <w:vMerge/>
          </w:tcPr>
          <w:p w14:paraId="23C9CEB9" w14:textId="77777777" w:rsidR="004D1935" w:rsidRPr="00CB7A8A" w:rsidRDefault="004D1935" w:rsidP="00E24DC9">
            <w:pPr>
              <w:rPr>
                <w:sz w:val="20"/>
                <w:szCs w:val="20"/>
              </w:rPr>
            </w:pPr>
          </w:p>
        </w:tc>
        <w:tc>
          <w:tcPr>
            <w:tcW w:w="1843" w:type="dxa"/>
            <w:vMerge/>
          </w:tcPr>
          <w:p w14:paraId="100C4861" w14:textId="77777777" w:rsidR="004D1935" w:rsidRPr="00CB7A8A" w:rsidRDefault="004D1935" w:rsidP="00E24DC9">
            <w:pPr>
              <w:rPr>
                <w:sz w:val="16"/>
                <w:szCs w:val="16"/>
              </w:rPr>
            </w:pPr>
          </w:p>
        </w:tc>
        <w:tc>
          <w:tcPr>
            <w:tcW w:w="7229" w:type="dxa"/>
            <w:vMerge/>
          </w:tcPr>
          <w:p w14:paraId="42417B6B" w14:textId="77777777" w:rsidR="004D1935" w:rsidRDefault="004D1935" w:rsidP="00E24DC9"/>
        </w:tc>
      </w:tr>
      <w:tr w:rsidR="004D1935" w14:paraId="36FEEA26" w14:textId="77777777" w:rsidTr="00E24DC9">
        <w:tc>
          <w:tcPr>
            <w:tcW w:w="704" w:type="dxa"/>
            <w:vMerge/>
          </w:tcPr>
          <w:p w14:paraId="5F68106D" w14:textId="77777777" w:rsidR="004D1935" w:rsidRDefault="004D1935" w:rsidP="00E24DC9"/>
        </w:tc>
        <w:tc>
          <w:tcPr>
            <w:tcW w:w="851" w:type="dxa"/>
            <w:tcBorders>
              <w:top w:val="nil"/>
              <w:bottom w:val="nil"/>
            </w:tcBorders>
            <w:vAlign w:val="bottom"/>
          </w:tcPr>
          <w:p w14:paraId="364B189D" w14:textId="77777777" w:rsidR="004D1935" w:rsidRPr="00B61D7D" w:rsidRDefault="004D1935" w:rsidP="00E24DC9">
            <w:pPr>
              <w:rPr>
                <w:rFonts w:ascii="Calibri" w:hAnsi="Calibri" w:cs="Calibri"/>
                <w:color w:val="000000"/>
                <w:sz w:val="16"/>
                <w:szCs w:val="16"/>
              </w:rPr>
            </w:pPr>
            <w:r w:rsidRPr="00A65011">
              <w:rPr>
                <w:rFonts w:ascii="Calibri" w:hAnsi="Calibri" w:cs="Calibri"/>
                <w:color w:val="000000"/>
                <w:sz w:val="16"/>
                <w:szCs w:val="16"/>
              </w:rPr>
              <w:t>151.1005</w:t>
            </w:r>
          </w:p>
        </w:tc>
        <w:tc>
          <w:tcPr>
            <w:tcW w:w="2268" w:type="dxa"/>
            <w:vMerge/>
          </w:tcPr>
          <w:p w14:paraId="79FC11E7" w14:textId="77777777" w:rsidR="004D1935" w:rsidRDefault="004D1935" w:rsidP="00E24DC9"/>
        </w:tc>
        <w:tc>
          <w:tcPr>
            <w:tcW w:w="992" w:type="dxa"/>
            <w:vMerge/>
          </w:tcPr>
          <w:p w14:paraId="5647C713" w14:textId="77777777" w:rsidR="004D1935" w:rsidRPr="00CB7A8A" w:rsidRDefault="004D1935" w:rsidP="00E24DC9">
            <w:pPr>
              <w:rPr>
                <w:sz w:val="20"/>
                <w:szCs w:val="20"/>
              </w:rPr>
            </w:pPr>
          </w:p>
        </w:tc>
        <w:tc>
          <w:tcPr>
            <w:tcW w:w="1843" w:type="dxa"/>
            <w:vMerge/>
          </w:tcPr>
          <w:p w14:paraId="1AACFCFF" w14:textId="77777777" w:rsidR="004D1935" w:rsidRPr="00CB7A8A" w:rsidRDefault="004D1935" w:rsidP="00E24DC9">
            <w:pPr>
              <w:rPr>
                <w:sz w:val="16"/>
                <w:szCs w:val="16"/>
              </w:rPr>
            </w:pPr>
          </w:p>
        </w:tc>
        <w:tc>
          <w:tcPr>
            <w:tcW w:w="7229" w:type="dxa"/>
            <w:vMerge/>
          </w:tcPr>
          <w:p w14:paraId="797274FC" w14:textId="77777777" w:rsidR="004D1935" w:rsidRDefault="004D1935" w:rsidP="00E24DC9"/>
        </w:tc>
      </w:tr>
      <w:tr w:rsidR="004D1935" w14:paraId="10A97C97" w14:textId="77777777" w:rsidTr="00E24DC9">
        <w:tc>
          <w:tcPr>
            <w:tcW w:w="704" w:type="dxa"/>
            <w:vMerge/>
          </w:tcPr>
          <w:p w14:paraId="6C697E5B" w14:textId="77777777" w:rsidR="004D1935" w:rsidRDefault="004D1935" w:rsidP="00E24DC9"/>
        </w:tc>
        <w:tc>
          <w:tcPr>
            <w:tcW w:w="851" w:type="dxa"/>
            <w:tcBorders>
              <w:top w:val="nil"/>
              <w:bottom w:val="nil"/>
            </w:tcBorders>
            <w:vAlign w:val="bottom"/>
          </w:tcPr>
          <w:p w14:paraId="26215EFF" w14:textId="77777777" w:rsidR="004D1935" w:rsidRPr="00B61D7D" w:rsidRDefault="004D1935" w:rsidP="00E24DC9">
            <w:pPr>
              <w:rPr>
                <w:rFonts w:ascii="Calibri" w:hAnsi="Calibri" w:cs="Calibri"/>
                <w:color w:val="000000"/>
                <w:sz w:val="16"/>
                <w:szCs w:val="16"/>
              </w:rPr>
            </w:pPr>
            <w:r w:rsidRPr="00A65011">
              <w:rPr>
                <w:rFonts w:ascii="Calibri" w:hAnsi="Calibri" w:cs="Calibri"/>
                <w:color w:val="000000"/>
                <w:sz w:val="16"/>
                <w:szCs w:val="16"/>
              </w:rPr>
              <w:t>150.9332</w:t>
            </w:r>
          </w:p>
        </w:tc>
        <w:tc>
          <w:tcPr>
            <w:tcW w:w="2268" w:type="dxa"/>
            <w:vMerge/>
          </w:tcPr>
          <w:p w14:paraId="694632E1" w14:textId="77777777" w:rsidR="004D1935" w:rsidRDefault="004D1935" w:rsidP="00E24DC9"/>
        </w:tc>
        <w:tc>
          <w:tcPr>
            <w:tcW w:w="992" w:type="dxa"/>
            <w:vMerge/>
          </w:tcPr>
          <w:p w14:paraId="451ABE33" w14:textId="77777777" w:rsidR="004D1935" w:rsidRPr="00CB7A8A" w:rsidRDefault="004D1935" w:rsidP="00E24DC9">
            <w:pPr>
              <w:rPr>
                <w:sz w:val="20"/>
                <w:szCs w:val="20"/>
              </w:rPr>
            </w:pPr>
          </w:p>
        </w:tc>
        <w:tc>
          <w:tcPr>
            <w:tcW w:w="1843" w:type="dxa"/>
            <w:vMerge/>
          </w:tcPr>
          <w:p w14:paraId="2DFF89EA" w14:textId="77777777" w:rsidR="004D1935" w:rsidRPr="00CB7A8A" w:rsidRDefault="004D1935" w:rsidP="00E24DC9">
            <w:pPr>
              <w:rPr>
                <w:sz w:val="16"/>
                <w:szCs w:val="16"/>
              </w:rPr>
            </w:pPr>
          </w:p>
        </w:tc>
        <w:tc>
          <w:tcPr>
            <w:tcW w:w="7229" w:type="dxa"/>
            <w:vMerge/>
          </w:tcPr>
          <w:p w14:paraId="3F5A9240" w14:textId="77777777" w:rsidR="004D1935" w:rsidRDefault="004D1935" w:rsidP="00E24DC9"/>
        </w:tc>
      </w:tr>
      <w:tr w:rsidR="004D1935" w14:paraId="1C8CE1C2" w14:textId="77777777" w:rsidTr="00E24DC9">
        <w:tc>
          <w:tcPr>
            <w:tcW w:w="704" w:type="dxa"/>
            <w:vMerge/>
          </w:tcPr>
          <w:p w14:paraId="511D7071" w14:textId="77777777" w:rsidR="004D1935" w:rsidRDefault="004D1935" w:rsidP="00E24DC9"/>
        </w:tc>
        <w:tc>
          <w:tcPr>
            <w:tcW w:w="851" w:type="dxa"/>
            <w:tcBorders>
              <w:top w:val="nil"/>
              <w:bottom w:val="nil"/>
            </w:tcBorders>
            <w:vAlign w:val="bottom"/>
          </w:tcPr>
          <w:p w14:paraId="716F72BE" w14:textId="77777777" w:rsidR="004D1935" w:rsidRPr="00B61D7D" w:rsidRDefault="004D1935" w:rsidP="00E24DC9">
            <w:pPr>
              <w:rPr>
                <w:rFonts w:ascii="Calibri" w:hAnsi="Calibri" w:cs="Calibri"/>
                <w:color w:val="000000"/>
                <w:sz w:val="16"/>
                <w:szCs w:val="16"/>
              </w:rPr>
            </w:pPr>
            <w:r w:rsidRPr="00A65011">
              <w:rPr>
                <w:rFonts w:ascii="Calibri" w:hAnsi="Calibri" w:cs="Calibri"/>
                <w:color w:val="000000"/>
                <w:sz w:val="16"/>
                <w:szCs w:val="16"/>
              </w:rPr>
              <w:t>150.9621</w:t>
            </w:r>
          </w:p>
        </w:tc>
        <w:tc>
          <w:tcPr>
            <w:tcW w:w="2268" w:type="dxa"/>
            <w:vMerge/>
          </w:tcPr>
          <w:p w14:paraId="5B91DF1A" w14:textId="77777777" w:rsidR="004D1935" w:rsidRDefault="004D1935" w:rsidP="00E24DC9"/>
        </w:tc>
        <w:tc>
          <w:tcPr>
            <w:tcW w:w="992" w:type="dxa"/>
            <w:vMerge/>
          </w:tcPr>
          <w:p w14:paraId="0628E0DC" w14:textId="77777777" w:rsidR="004D1935" w:rsidRPr="00CB7A8A" w:rsidRDefault="004D1935" w:rsidP="00E24DC9">
            <w:pPr>
              <w:rPr>
                <w:sz w:val="20"/>
                <w:szCs w:val="20"/>
              </w:rPr>
            </w:pPr>
          </w:p>
        </w:tc>
        <w:tc>
          <w:tcPr>
            <w:tcW w:w="1843" w:type="dxa"/>
            <w:vMerge/>
          </w:tcPr>
          <w:p w14:paraId="6947076D" w14:textId="77777777" w:rsidR="004D1935" w:rsidRPr="00CB7A8A" w:rsidRDefault="004D1935" w:rsidP="00E24DC9">
            <w:pPr>
              <w:rPr>
                <w:sz w:val="16"/>
                <w:szCs w:val="16"/>
              </w:rPr>
            </w:pPr>
          </w:p>
        </w:tc>
        <w:tc>
          <w:tcPr>
            <w:tcW w:w="7229" w:type="dxa"/>
            <w:vMerge/>
          </w:tcPr>
          <w:p w14:paraId="64F4C094" w14:textId="77777777" w:rsidR="004D1935" w:rsidRDefault="004D1935" w:rsidP="00E24DC9"/>
        </w:tc>
      </w:tr>
      <w:tr w:rsidR="004D1935" w14:paraId="1B40707D" w14:textId="77777777" w:rsidTr="00E24DC9">
        <w:tc>
          <w:tcPr>
            <w:tcW w:w="704" w:type="dxa"/>
            <w:vMerge/>
          </w:tcPr>
          <w:p w14:paraId="63BD89D8" w14:textId="77777777" w:rsidR="004D1935" w:rsidRDefault="004D1935" w:rsidP="00E24DC9"/>
        </w:tc>
        <w:tc>
          <w:tcPr>
            <w:tcW w:w="851" w:type="dxa"/>
            <w:tcBorders>
              <w:top w:val="nil"/>
              <w:bottom w:val="nil"/>
            </w:tcBorders>
            <w:vAlign w:val="bottom"/>
          </w:tcPr>
          <w:p w14:paraId="795E1069" w14:textId="77777777" w:rsidR="004D1935" w:rsidRPr="00B61D7D" w:rsidRDefault="004D1935" w:rsidP="00E24DC9">
            <w:pPr>
              <w:rPr>
                <w:rFonts w:ascii="Calibri" w:hAnsi="Calibri" w:cs="Calibri"/>
                <w:color w:val="000000"/>
                <w:sz w:val="16"/>
                <w:szCs w:val="16"/>
              </w:rPr>
            </w:pPr>
            <w:r w:rsidRPr="00A65011">
              <w:rPr>
                <w:rFonts w:ascii="Calibri" w:hAnsi="Calibri" w:cs="Calibri"/>
                <w:color w:val="000000"/>
                <w:sz w:val="16"/>
                <w:szCs w:val="16"/>
              </w:rPr>
              <w:t>151.0236</w:t>
            </w:r>
          </w:p>
        </w:tc>
        <w:tc>
          <w:tcPr>
            <w:tcW w:w="2268" w:type="dxa"/>
            <w:vMerge/>
          </w:tcPr>
          <w:p w14:paraId="28A89065" w14:textId="77777777" w:rsidR="004D1935" w:rsidRDefault="004D1935" w:rsidP="00E24DC9"/>
        </w:tc>
        <w:tc>
          <w:tcPr>
            <w:tcW w:w="992" w:type="dxa"/>
            <w:vMerge/>
          </w:tcPr>
          <w:p w14:paraId="65B83D18" w14:textId="77777777" w:rsidR="004D1935" w:rsidRPr="00CB7A8A" w:rsidRDefault="004D1935" w:rsidP="00E24DC9">
            <w:pPr>
              <w:rPr>
                <w:sz w:val="20"/>
                <w:szCs w:val="20"/>
              </w:rPr>
            </w:pPr>
          </w:p>
        </w:tc>
        <w:tc>
          <w:tcPr>
            <w:tcW w:w="1843" w:type="dxa"/>
            <w:vMerge/>
          </w:tcPr>
          <w:p w14:paraId="680CA9B8" w14:textId="77777777" w:rsidR="004D1935" w:rsidRPr="00CB7A8A" w:rsidRDefault="004D1935" w:rsidP="00E24DC9">
            <w:pPr>
              <w:rPr>
                <w:sz w:val="16"/>
                <w:szCs w:val="16"/>
              </w:rPr>
            </w:pPr>
          </w:p>
        </w:tc>
        <w:tc>
          <w:tcPr>
            <w:tcW w:w="7229" w:type="dxa"/>
            <w:vMerge/>
          </w:tcPr>
          <w:p w14:paraId="48D7D62E" w14:textId="77777777" w:rsidR="004D1935" w:rsidRDefault="004D1935" w:rsidP="00E24DC9"/>
        </w:tc>
      </w:tr>
      <w:tr w:rsidR="004D1935" w14:paraId="7FDAFB21" w14:textId="77777777" w:rsidTr="00E24DC9">
        <w:tc>
          <w:tcPr>
            <w:tcW w:w="704" w:type="dxa"/>
            <w:vMerge/>
          </w:tcPr>
          <w:p w14:paraId="122833B8" w14:textId="77777777" w:rsidR="004D1935" w:rsidRDefault="004D1935" w:rsidP="00E24DC9"/>
        </w:tc>
        <w:tc>
          <w:tcPr>
            <w:tcW w:w="851" w:type="dxa"/>
            <w:tcBorders>
              <w:top w:val="nil"/>
              <w:bottom w:val="nil"/>
            </w:tcBorders>
            <w:vAlign w:val="bottom"/>
          </w:tcPr>
          <w:p w14:paraId="2B54D830" w14:textId="77777777" w:rsidR="004D1935" w:rsidRPr="00B61D7D" w:rsidRDefault="004D1935" w:rsidP="00E24DC9">
            <w:pPr>
              <w:rPr>
                <w:rFonts w:ascii="Calibri" w:hAnsi="Calibri" w:cs="Calibri"/>
                <w:color w:val="000000"/>
                <w:sz w:val="16"/>
                <w:szCs w:val="16"/>
              </w:rPr>
            </w:pPr>
            <w:r w:rsidRPr="00A65011">
              <w:rPr>
                <w:rFonts w:ascii="Calibri" w:hAnsi="Calibri" w:cs="Calibri"/>
                <w:color w:val="000000"/>
                <w:sz w:val="16"/>
                <w:szCs w:val="16"/>
              </w:rPr>
              <w:t>150.9361</w:t>
            </w:r>
          </w:p>
        </w:tc>
        <w:tc>
          <w:tcPr>
            <w:tcW w:w="2268" w:type="dxa"/>
            <w:vMerge/>
          </w:tcPr>
          <w:p w14:paraId="70F661B5" w14:textId="77777777" w:rsidR="004D1935" w:rsidRDefault="004D1935" w:rsidP="00E24DC9"/>
        </w:tc>
        <w:tc>
          <w:tcPr>
            <w:tcW w:w="992" w:type="dxa"/>
            <w:vMerge/>
          </w:tcPr>
          <w:p w14:paraId="370F4667" w14:textId="77777777" w:rsidR="004D1935" w:rsidRPr="00CB7A8A" w:rsidRDefault="004D1935" w:rsidP="00E24DC9">
            <w:pPr>
              <w:rPr>
                <w:sz w:val="20"/>
                <w:szCs w:val="20"/>
              </w:rPr>
            </w:pPr>
          </w:p>
        </w:tc>
        <w:tc>
          <w:tcPr>
            <w:tcW w:w="1843" w:type="dxa"/>
            <w:vMerge/>
          </w:tcPr>
          <w:p w14:paraId="600CBBC0" w14:textId="77777777" w:rsidR="004D1935" w:rsidRPr="00CB7A8A" w:rsidRDefault="004D1935" w:rsidP="00E24DC9">
            <w:pPr>
              <w:rPr>
                <w:sz w:val="16"/>
                <w:szCs w:val="16"/>
              </w:rPr>
            </w:pPr>
          </w:p>
        </w:tc>
        <w:tc>
          <w:tcPr>
            <w:tcW w:w="7229" w:type="dxa"/>
            <w:vMerge/>
          </w:tcPr>
          <w:p w14:paraId="638BA8E3" w14:textId="77777777" w:rsidR="004D1935" w:rsidRDefault="004D1935" w:rsidP="00E24DC9"/>
        </w:tc>
      </w:tr>
      <w:tr w:rsidR="004D1935" w14:paraId="12958CE9" w14:textId="77777777" w:rsidTr="00E24DC9">
        <w:tc>
          <w:tcPr>
            <w:tcW w:w="704" w:type="dxa"/>
            <w:vMerge/>
          </w:tcPr>
          <w:p w14:paraId="0EE12C0F" w14:textId="77777777" w:rsidR="004D1935" w:rsidRDefault="004D1935" w:rsidP="00E24DC9"/>
        </w:tc>
        <w:tc>
          <w:tcPr>
            <w:tcW w:w="851" w:type="dxa"/>
            <w:tcBorders>
              <w:top w:val="nil"/>
              <w:bottom w:val="nil"/>
            </w:tcBorders>
            <w:vAlign w:val="bottom"/>
          </w:tcPr>
          <w:p w14:paraId="6F63F3B8" w14:textId="77777777" w:rsidR="004D1935" w:rsidRPr="00B61D7D" w:rsidRDefault="004D1935" w:rsidP="00E24DC9">
            <w:pPr>
              <w:rPr>
                <w:rFonts w:ascii="Calibri" w:hAnsi="Calibri" w:cs="Calibri"/>
                <w:color w:val="000000"/>
                <w:sz w:val="16"/>
                <w:szCs w:val="16"/>
              </w:rPr>
            </w:pPr>
            <w:r w:rsidRPr="00A65011">
              <w:rPr>
                <w:rFonts w:ascii="Calibri" w:hAnsi="Calibri" w:cs="Calibri"/>
                <w:color w:val="000000"/>
                <w:sz w:val="16"/>
                <w:szCs w:val="16"/>
              </w:rPr>
              <w:t>150.9881</w:t>
            </w:r>
          </w:p>
        </w:tc>
        <w:tc>
          <w:tcPr>
            <w:tcW w:w="2268" w:type="dxa"/>
            <w:vMerge/>
          </w:tcPr>
          <w:p w14:paraId="6889C37E" w14:textId="77777777" w:rsidR="004D1935" w:rsidRDefault="004D1935" w:rsidP="00E24DC9"/>
        </w:tc>
        <w:tc>
          <w:tcPr>
            <w:tcW w:w="992" w:type="dxa"/>
            <w:vMerge/>
          </w:tcPr>
          <w:p w14:paraId="081D971D" w14:textId="77777777" w:rsidR="004D1935" w:rsidRPr="00CB7A8A" w:rsidRDefault="004D1935" w:rsidP="00E24DC9">
            <w:pPr>
              <w:rPr>
                <w:sz w:val="20"/>
                <w:szCs w:val="20"/>
              </w:rPr>
            </w:pPr>
          </w:p>
        </w:tc>
        <w:tc>
          <w:tcPr>
            <w:tcW w:w="1843" w:type="dxa"/>
            <w:vMerge/>
          </w:tcPr>
          <w:p w14:paraId="723ADAF2" w14:textId="77777777" w:rsidR="004D1935" w:rsidRPr="00CB7A8A" w:rsidRDefault="004D1935" w:rsidP="00E24DC9">
            <w:pPr>
              <w:rPr>
                <w:sz w:val="16"/>
                <w:szCs w:val="16"/>
              </w:rPr>
            </w:pPr>
          </w:p>
        </w:tc>
        <w:tc>
          <w:tcPr>
            <w:tcW w:w="7229" w:type="dxa"/>
            <w:vMerge/>
          </w:tcPr>
          <w:p w14:paraId="56EE6495" w14:textId="77777777" w:rsidR="004D1935" w:rsidRDefault="004D1935" w:rsidP="00E24DC9"/>
        </w:tc>
      </w:tr>
      <w:tr w:rsidR="004D1935" w14:paraId="44B0FA1B" w14:textId="77777777" w:rsidTr="00E24DC9">
        <w:tc>
          <w:tcPr>
            <w:tcW w:w="704" w:type="dxa"/>
            <w:vMerge/>
          </w:tcPr>
          <w:p w14:paraId="0E4B85E3" w14:textId="77777777" w:rsidR="004D1935" w:rsidRDefault="004D1935" w:rsidP="00E24DC9"/>
        </w:tc>
        <w:tc>
          <w:tcPr>
            <w:tcW w:w="851" w:type="dxa"/>
            <w:tcBorders>
              <w:top w:val="nil"/>
              <w:bottom w:val="nil"/>
            </w:tcBorders>
            <w:vAlign w:val="bottom"/>
          </w:tcPr>
          <w:p w14:paraId="025C14A2" w14:textId="77777777" w:rsidR="004D1935" w:rsidRPr="00B61D7D" w:rsidRDefault="004D1935" w:rsidP="00E24DC9">
            <w:pPr>
              <w:rPr>
                <w:rFonts w:ascii="Calibri" w:hAnsi="Calibri" w:cs="Calibri"/>
                <w:color w:val="000000"/>
                <w:sz w:val="16"/>
                <w:szCs w:val="16"/>
              </w:rPr>
            </w:pPr>
            <w:r w:rsidRPr="00A65011">
              <w:rPr>
                <w:rFonts w:ascii="Calibri" w:hAnsi="Calibri" w:cs="Calibri"/>
                <w:color w:val="000000"/>
                <w:sz w:val="16"/>
                <w:szCs w:val="16"/>
              </w:rPr>
              <w:t>151.0293</w:t>
            </w:r>
          </w:p>
        </w:tc>
        <w:tc>
          <w:tcPr>
            <w:tcW w:w="2268" w:type="dxa"/>
            <w:vMerge/>
          </w:tcPr>
          <w:p w14:paraId="2190430D" w14:textId="77777777" w:rsidR="004D1935" w:rsidRDefault="004D1935" w:rsidP="00E24DC9"/>
        </w:tc>
        <w:tc>
          <w:tcPr>
            <w:tcW w:w="992" w:type="dxa"/>
            <w:vMerge/>
          </w:tcPr>
          <w:p w14:paraId="3669060B" w14:textId="77777777" w:rsidR="004D1935" w:rsidRPr="00CB7A8A" w:rsidRDefault="004D1935" w:rsidP="00E24DC9">
            <w:pPr>
              <w:rPr>
                <w:sz w:val="20"/>
                <w:szCs w:val="20"/>
              </w:rPr>
            </w:pPr>
          </w:p>
        </w:tc>
        <w:tc>
          <w:tcPr>
            <w:tcW w:w="1843" w:type="dxa"/>
            <w:vMerge/>
          </w:tcPr>
          <w:p w14:paraId="7619A6F0" w14:textId="77777777" w:rsidR="004D1935" w:rsidRPr="00CB7A8A" w:rsidRDefault="004D1935" w:rsidP="00E24DC9">
            <w:pPr>
              <w:rPr>
                <w:sz w:val="16"/>
                <w:szCs w:val="16"/>
              </w:rPr>
            </w:pPr>
          </w:p>
        </w:tc>
        <w:tc>
          <w:tcPr>
            <w:tcW w:w="7229" w:type="dxa"/>
            <w:vMerge/>
          </w:tcPr>
          <w:p w14:paraId="51264850" w14:textId="77777777" w:rsidR="004D1935" w:rsidRDefault="004D1935" w:rsidP="00E24DC9"/>
        </w:tc>
      </w:tr>
      <w:tr w:rsidR="004D1935" w14:paraId="49B32447" w14:textId="77777777" w:rsidTr="00E24DC9">
        <w:tc>
          <w:tcPr>
            <w:tcW w:w="704" w:type="dxa"/>
            <w:vMerge/>
          </w:tcPr>
          <w:p w14:paraId="5477BDDE" w14:textId="77777777" w:rsidR="004D1935" w:rsidRDefault="004D1935" w:rsidP="00E24DC9"/>
        </w:tc>
        <w:tc>
          <w:tcPr>
            <w:tcW w:w="851" w:type="dxa"/>
            <w:tcBorders>
              <w:top w:val="nil"/>
              <w:bottom w:val="nil"/>
            </w:tcBorders>
            <w:vAlign w:val="bottom"/>
          </w:tcPr>
          <w:p w14:paraId="10BBC23F" w14:textId="77777777" w:rsidR="004D1935" w:rsidRPr="00B61D7D" w:rsidRDefault="004D1935" w:rsidP="00E24DC9">
            <w:pPr>
              <w:rPr>
                <w:rFonts w:ascii="Calibri" w:hAnsi="Calibri" w:cs="Calibri"/>
                <w:color w:val="000000"/>
                <w:sz w:val="16"/>
                <w:szCs w:val="16"/>
              </w:rPr>
            </w:pPr>
            <w:r w:rsidRPr="00A65011">
              <w:rPr>
                <w:rFonts w:ascii="Calibri" w:hAnsi="Calibri" w:cs="Calibri"/>
                <w:color w:val="000000"/>
                <w:sz w:val="16"/>
                <w:szCs w:val="16"/>
              </w:rPr>
              <w:t>150.9140</w:t>
            </w:r>
          </w:p>
        </w:tc>
        <w:tc>
          <w:tcPr>
            <w:tcW w:w="2268" w:type="dxa"/>
            <w:vMerge/>
          </w:tcPr>
          <w:p w14:paraId="0E17A123" w14:textId="77777777" w:rsidR="004D1935" w:rsidRDefault="004D1935" w:rsidP="00E24DC9"/>
        </w:tc>
        <w:tc>
          <w:tcPr>
            <w:tcW w:w="992" w:type="dxa"/>
            <w:vMerge/>
          </w:tcPr>
          <w:p w14:paraId="3B8D82AC" w14:textId="77777777" w:rsidR="004D1935" w:rsidRPr="00CB7A8A" w:rsidRDefault="004D1935" w:rsidP="00E24DC9">
            <w:pPr>
              <w:rPr>
                <w:sz w:val="20"/>
                <w:szCs w:val="20"/>
              </w:rPr>
            </w:pPr>
          </w:p>
        </w:tc>
        <w:tc>
          <w:tcPr>
            <w:tcW w:w="1843" w:type="dxa"/>
            <w:vMerge/>
          </w:tcPr>
          <w:p w14:paraId="3EDADAD9" w14:textId="77777777" w:rsidR="004D1935" w:rsidRPr="00CB7A8A" w:rsidRDefault="004D1935" w:rsidP="00E24DC9">
            <w:pPr>
              <w:rPr>
                <w:sz w:val="16"/>
                <w:szCs w:val="16"/>
              </w:rPr>
            </w:pPr>
          </w:p>
        </w:tc>
        <w:tc>
          <w:tcPr>
            <w:tcW w:w="7229" w:type="dxa"/>
            <w:vMerge/>
          </w:tcPr>
          <w:p w14:paraId="6D0A92EB" w14:textId="77777777" w:rsidR="004D1935" w:rsidRDefault="004D1935" w:rsidP="00E24DC9"/>
        </w:tc>
      </w:tr>
      <w:tr w:rsidR="004D1935" w14:paraId="73B17D44" w14:textId="77777777" w:rsidTr="00E24DC9">
        <w:tc>
          <w:tcPr>
            <w:tcW w:w="704" w:type="dxa"/>
            <w:vMerge/>
          </w:tcPr>
          <w:p w14:paraId="788388A3" w14:textId="77777777" w:rsidR="004D1935" w:rsidRDefault="004D1935" w:rsidP="00E24DC9"/>
        </w:tc>
        <w:tc>
          <w:tcPr>
            <w:tcW w:w="851" w:type="dxa"/>
            <w:tcBorders>
              <w:top w:val="nil"/>
              <w:bottom w:val="nil"/>
            </w:tcBorders>
            <w:vAlign w:val="bottom"/>
          </w:tcPr>
          <w:p w14:paraId="691DD50A" w14:textId="77777777" w:rsidR="004D1935" w:rsidRPr="00B61D7D" w:rsidRDefault="004D1935" w:rsidP="00E24DC9">
            <w:pPr>
              <w:rPr>
                <w:rFonts w:ascii="Calibri" w:hAnsi="Calibri" w:cs="Calibri"/>
                <w:color w:val="000000"/>
                <w:sz w:val="16"/>
                <w:szCs w:val="16"/>
              </w:rPr>
            </w:pPr>
            <w:r w:rsidRPr="00A65011">
              <w:rPr>
                <w:rFonts w:ascii="Calibri" w:hAnsi="Calibri" w:cs="Calibri"/>
                <w:color w:val="000000"/>
                <w:sz w:val="16"/>
                <w:szCs w:val="16"/>
              </w:rPr>
              <w:t>150.9467</w:t>
            </w:r>
          </w:p>
        </w:tc>
        <w:tc>
          <w:tcPr>
            <w:tcW w:w="2268" w:type="dxa"/>
            <w:vMerge/>
          </w:tcPr>
          <w:p w14:paraId="3882DC57" w14:textId="77777777" w:rsidR="004D1935" w:rsidRDefault="004D1935" w:rsidP="00E24DC9"/>
        </w:tc>
        <w:tc>
          <w:tcPr>
            <w:tcW w:w="992" w:type="dxa"/>
            <w:vMerge/>
          </w:tcPr>
          <w:p w14:paraId="0F4BCB2D" w14:textId="77777777" w:rsidR="004D1935" w:rsidRPr="00CB7A8A" w:rsidRDefault="004D1935" w:rsidP="00E24DC9">
            <w:pPr>
              <w:rPr>
                <w:sz w:val="20"/>
                <w:szCs w:val="20"/>
              </w:rPr>
            </w:pPr>
          </w:p>
        </w:tc>
        <w:tc>
          <w:tcPr>
            <w:tcW w:w="1843" w:type="dxa"/>
            <w:vMerge/>
          </w:tcPr>
          <w:p w14:paraId="69BE4175" w14:textId="77777777" w:rsidR="004D1935" w:rsidRPr="00CB7A8A" w:rsidRDefault="004D1935" w:rsidP="00E24DC9">
            <w:pPr>
              <w:rPr>
                <w:sz w:val="16"/>
                <w:szCs w:val="16"/>
              </w:rPr>
            </w:pPr>
          </w:p>
        </w:tc>
        <w:tc>
          <w:tcPr>
            <w:tcW w:w="7229" w:type="dxa"/>
            <w:vMerge/>
          </w:tcPr>
          <w:p w14:paraId="42E2039D" w14:textId="77777777" w:rsidR="004D1935" w:rsidRDefault="004D1935" w:rsidP="00E24DC9"/>
        </w:tc>
      </w:tr>
      <w:tr w:rsidR="004D1935" w14:paraId="7BDFF65B" w14:textId="77777777" w:rsidTr="00E24DC9">
        <w:tc>
          <w:tcPr>
            <w:tcW w:w="704" w:type="dxa"/>
            <w:vMerge/>
          </w:tcPr>
          <w:p w14:paraId="7B1F94BB" w14:textId="77777777" w:rsidR="004D1935" w:rsidRDefault="004D1935" w:rsidP="00E24DC9"/>
        </w:tc>
        <w:tc>
          <w:tcPr>
            <w:tcW w:w="851" w:type="dxa"/>
            <w:tcBorders>
              <w:top w:val="nil"/>
              <w:bottom w:val="nil"/>
            </w:tcBorders>
            <w:vAlign w:val="bottom"/>
          </w:tcPr>
          <w:p w14:paraId="0599D408" w14:textId="77777777" w:rsidR="004D1935" w:rsidRPr="00B61D7D" w:rsidRDefault="004D1935" w:rsidP="00E24DC9">
            <w:pPr>
              <w:rPr>
                <w:rFonts w:ascii="Calibri" w:hAnsi="Calibri" w:cs="Calibri"/>
                <w:color w:val="000000"/>
                <w:sz w:val="16"/>
                <w:szCs w:val="16"/>
              </w:rPr>
            </w:pPr>
            <w:r w:rsidRPr="00A65011">
              <w:rPr>
                <w:rFonts w:ascii="Calibri" w:hAnsi="Calibri" w:cs="Calibri"/>
                <w:color w:val="000000"/>
                <w:sz w:val="16"/>
                <w:szCs w:val="16"/>
              </w:rPr>
              <w:t>150.9774</w:t>
            </w:r>
          </w:p>
        </w:tc>
        <w:tc>
          <w:tcPr>
            <w:tcW w:w="2268" w:type="dxa"/>
            <w:vMerge/>
          </w:tcPr>
          <w:p w14:paraId="7967E163" w14:textId="77777777" w:rsidR="004D1935" w:rsidRDefault="004D1935" w:rsidP="00E24DC9"/>
        </w:tc>
        <w:tc>
          <w:tcPr>
            <w:tcW w:w="992" w:type="dxa"/>
            <w:vMerge/>
          </w:tcPr>
          <w:p w14:paraId="213E92CB" w14:textId="77777777" w:rsidR="004D1935" w:rsidRPr="00CB7A8A" w:rsidRDefault="004D1935" w:rsidP="00E24DC9">
            <w:pPr>
              <w:rPr>
                <w:sz w:val="20"/>
                <w:szCs w:val="20"/>
              </w:rPr>
            </w:pPr>
          </w:p>
        </w:tc>
        <w:tc>
          <w:tcPr>
            <w:tcW w:w="1843" w:type="dxa"/>
            <w:vMerge/>
          </w:tcPr>
          <w:p w14:paraId="78924B16" w14:textId="77777777" w:rsidR="004D1935" w:rsidRPr="00CB7A8A" w:rsidRDefault="004D1935" w:rsidP="00E24DC9">
            <w:pPr>
              <w:rPr>
                <w:sz w:val="16"/>
                <w:szCs w:val="16"/>
              </w:rPr>
            </w:pPr>
          </w:p>
        </w:tc>
        <w:tc>
          <w:tcPr>
            <w:tcW w:w="7229" w:type="dxa"/>
            <w:vMerge/>
          </w:tcPr>
          <w:p w14:paraId="1F5786ED" w14:textId="77777777" w:rsidR="004D1935" w:rsidRDefault="004D1935" w:rsidP="00E24DC9"/>
        </w:tc>
      </w:tr>
      <w:tr w:rsidR="004D1935" w14:paraId="2E2A340E" w14:textId="77777777" w:rsidTr="00E24DC9">
        <w:tc>
          <w:tcPr>
            <w:tcW w:w="704" w:type="dxa"/>
            <w:vMerge/>
          </w:tcPr>
          <w:p w14:paraId="59FAED1B" w14:textId="77777777" w:rsidR="004D1935" w:rsidRDefault="004D1935" w:rsidP="00E24DC9"/>
        </w:tc>
        <w:tc>
          <w:tcPr>
            <w:tcW w:w="851" w:type="dxa"/>
            <w:tcBorders>
              <w:top w:val="nil"/>
              <w:bottom w:val="nil"/>
            </w:tcBorders>
            <w:vAlign w:val="bottom"/>
          </w:tcPr>
          <w:p w14:paraId="0A66FBF4" w14:textId="77777777" w:rsidR="004D1935" w:rsidRPr="00B61D7D" w:rsidRDefault="004D1935" w:rsidP="00E24DC9">
            <w:pPr>
              <w:rPr>
                <w:rFonts w:ascii="Calibri" w:hAnsi="Calibri" w:cs="Calibri"/>
                <w:color w:val="000000"/>
                <w:sz w:val="16"/>
                <w:szCs w:val="16"/>
              </w:rPr>
            </w:pPr>
            <w:r w:rsidRPr="00A65011">
              <w:rPr>
                <w:rFonts w:ascii="Calibri" w:hAnsi="Calibri" w:cs="Calibri"/>
                <w:color w:val="000000"/>
                <w:sz w:val="16"/>
                <w:szCs w:val="16"/>
              </w:rPr>
              <w:t>151.0246</w:t>
            </w:r>
          </w:p>
        </w:tc>
        <w:tc>
          <w:tcPr>
            <w:tcW w:w="2268" w:type="dxa"/>
            <w:vMerge/>
          </w:tcPr>
          <w:p w14:paraId="2BDC7CA2" w14:textId="77777777" w:rsidR="004D1935" w:rsidRDefault="004D1935" w:rsidP="00E24DC9"/>
        </w:tc>
        <w:tc>
          <w:tcPr>
            <w:tcW w:w="992" w:type="dxa"/>
            <w:vMerge/>
          </w:tcPr>
          <w:p w14:paraId="44A62725" w14:textId="77777777" w:rsidR="004D1935" w:rsidRPr="00CB7A8A" w:rsidRDefault="004D1935" w:rsidP="00E24DC9">
            <w:pPr>
              <w:rPr>
                <w:sz w:val="20"/>
                <w:szCs w:val="20"/>
              </w:rPr>
            </w:pPr>
          </w:p>
        </w:tc>
        <w:tc>
          <w:tcPr>
            <w:tcW w:w="1843" w:type="dxa"/>
            <w:vMerge/>
          </w:tcPr>
          <w:p w14:paraId="35389D8B" w14:textId="77777777" w:rsidR="004D1935" w:rsidRPr="00CB7A8A" w:rsidRDefault="004D1935" w:rsidP="00E24DC9">
            <w:pPr>
              <w:rPr>
                <w:sz w:val="16"/>
                <w:szCs w:val="16"/>
              </w:rPr>
            </w:pPr>
          </w:p>
        </w:tc>
        <w:tc>
          <w:tcPr>
            <w:tcW w:w="7229" w:type="dxa"/>
            <w:vMerge/>
          </w:tcPr>
          <w:p w14:paraId="5800B4F0" w14:textId="77777777" w:rsidR="004D1935" w:rsidRDefault="004D1935" w:rsidP="00E24DC9"/>
        </w:tc>
      </w:tr>
      <w:tr w:rsidR="004D1935" w14:paraId="7C77E7FA" w14:textId="77777777" w:rsidTr="00E24DC9">
        <w:tc>
          <w:tcPr>
            <w:tcW w:w="704" w:type="dxa"/>
            <w:vMerge/>
          </w:tcPr>
          <w:p w14:paraId="241BC0E6" w14:textId="77777777" w:rsidR="004D1935" w:rsidRDefault="004D1935" w:rsidP="00E24DC9"/>
        </w:tc>
        <w:tc>
          <w:tcPr>
            <w:tcW w:w="851" w:type="dxa"/>
            <w:tcBorders>
              <w:top w:val="nil"/>
              <w:bottom w:val="nil"/>
            </w:tcBorders>
            <w:vAlign w:val="bottom"/>
          </w:tcPr>
          <w:p w14:paraId="57C3F9CA" w14:textId="77777777" w:rsidR="004D1935" w:rsidRPr="00B61D7D" w:rsidRDefault="004D1935" w:rsidP="00E24DC9">
            <w:pPr>
              <w:rPr>
                <w:rFonts w:ascii="Calibri" w:hAnsi="Calibri" w:cs="Calibri"/>
                <w:color w:val="000000"/>
                <w:sz w:val="16"/>
                <w:szCs w:val="16"/>
              </w:rPr>
            </w:pPr>
            <w:r w:rsidRPr="00A65011">
              <w:rPr>
                <w:rFonts w:ascii="Calibri" w:hAnsi="Calibri" w:cs="Calibri"/>
                <w:color w:val="000000"/>
                <w:sz w:val="16"/>
                <w:szCs w:val="16"/>
              </w:rPr>
              <w:t>151.0707</w:t>
            </w:r>
          </w:p>
        </w:tc>
        <w:tc>
          <w:tcPr>
            <w:tcW w:w="2268" w:type="dxa"/>
            <w:vMerge/>
          </w:tcPr>
          <w:p w14:paraId="1452AA1B" w14:textId="77777777" w:rsidR="004D1935" w:rsidRDefault="004D1935" w:rsidP="00E24DC9"/>
        </w:tc>
        <w:tc>
          <w:tcPr>
            <w:tcW w:w="992" w:type="dxa"/>
            <w:vMerge/>
          </w:tcPr>
          <w:p w14:paraId="42547A9E" w14:textId="77777777" w:rsidR="004D1935" w:rsidRPr="00CB7A8A" w:rsidRDefault="004D1935" w:rsidP="00E24DC9">
            <w:pPr>
              <w:rPr>
                <w:sz w:val="20"/>
                <w:szCs w:val="20"/>
              </w:rPr>
            </w:pPr>
          </w:p>
        </w:tc>
        <w:tc>
          <w:tcPr>
            <w:tcW w:w="1843" w:type="dxa"/>
            <w:vMerge/>
          </w:tcPr>
          <w:p w14:paraId="3DF0CAB4" w14:textId="77777777" w:rsidR="004D1935" w:rsidRPr="00CB7A8A" w:rsidRDefault="004D1935" w:rsidP="00E24DC9">
            <w:pPr>
              <w:rPr>
                <w:sz w:val="16"/>
                <w:szCs w:val="16"/>
              </w:rPr>
            </w:pPr>
          </w:p>
        </w:tc>
        <w:tc>
          <w:tcPr>
            <w:tcW w:w="7229" w:type="dxa"/>
            <w:vMerge/>
          </w:tcPr>
          <w:p w14:paraId="599D23EC" w14:textId="77777777" w:rsidR="004D1935" w:rsidRDefault="004D1935" w:rsidP="00E24DC9"/>
        </w:tc>
      </w:tr>
      <w:tr w:rsidR="004D1935" w14:paraId="2A4F310C" w14:textId="77777777" w:rsidTr="00E24DC9">
        <w:tc>
          <w:tcPr>
            <w:tcW w:w="704" w:type="dxa"/>
            <w:vMerge/>
          </w:tcPr>
          <w:p w14:paraId="1F0B5A75" w14:textId="77777777" w:rsidR="004D1935" w:rsidRDefault="004D1935" w:rsidP="00E24DC9"/>
        </w:tc>
        <w:tc>
          <w:tcPr>
            <w:tcW w:w="851" w:type="dxa"/>
            <w:tcBorders>
              <w:top w:val="nil"/>
              <w:bottom w:val="nil"/>
            </w:tcBorders>
            <w:vAlign w:val="bottom"/>
          </w:tcPr>
          <w:p w14:paraId="1199FF11" w14:textId="77777777" w:rsidR="004D1935" w:rsidRPr="00B61D7D" w:rsidRDefault="004D1935" w:rsidP="00E24DC9">
            <w:pPr>
              <w:rPr>
                <w:rFonts w:ascii="Calibri" w:hAnsi="Calibri" w:cs="Calibri"/>
                <w:color w:val="000000"/>
                <w:sz w:val="16"/>
                <w:szCs w:val="16"/>
              </w:rPr>
            </w:pPr>
            <w:r w:rsidRPr="00A65011">
              <w:rPr>
                <w:rFonts w:ascii="Calibri" w:hAnsi="Calibri" w:cs="Calibri"/>
                <w:color w:val="000000"/>
                <w:sz w:val="16"/>
                <w:szCs w:val="16"/>
              </w:rPr>
              <w:t>150.9399</w:t>
            </w:r>
          </w:p>
        </w:tc>
        <w:tc>
          <w:tcPr>
            <w:tcW w:w="2268" w:type="dxa"/>
            <w:vMerge/>
          </w:tcPr>
          <w:p w14:paraId="5BDAEA5E" w14:textId="77777777" w:rsidR="004D1935" w:rsidRDefault="004D1935" w:rsidP="00E24DC9"/>
        </w:tc>
        <w:tc>
          <w:tcPr>
            <w:tcW w:w="992" w:type="dxa"/>
            <w:vMerge/>
          </w:tcPr>
          <w:p w14:paraId="785E0504" w14:textId="77777777" w:rsidR="004D1935" w:rsidRPr="00CB7A8A" w:rsidRDefault="004D1935" w:rsidP="00E24DC9">
            <w:pPr>
              <w:rPr>
                <w:sz w:val="20"/>
                <w:szCs w:val="20"/>
              </w:rPr>
            </w:pPr>
          </w:p>
        </w:tc>
        <w:tc>
          <w:tcPr>
            <w:tcW w:w="1843" w:type="dxa"/>
            <w:vMerge/>
          </w:tcPr>
          <w:p w14:paraId="49F367BC" w14:textId="77777777" w:rsidR="004D1935" w:rsidRPr="00CB7A8A" w:rsidRDefault="004D1935" w:rsidP="00E24DC9">
            <w:pPr>
              <w:rPr>
                <w:sz w:val="16"/>
                <w:szCs w:val="16"/>
              </w:rPr>
            </w:pPr>
          </w:p>
        </w:tc>
        <w:tc>
          <w:tcPr>
            <w:tcW w:w="7229" w:type="dxa"/>
            <w:vMerge/>
          </w:tcPr>
          <w:p w14:paraId="19DF65C0" w14:textId="77777777" w:rsidR="004D1935" w:rsidRDefault="004D1935" w:rsidP="00E24DC9"/>
        </w:tc>
      </w:tr>
      <w:tr w:rsidR="004D1935" w14:paraId="5609022A" w14:textId="77777777" w:rsidTr="00E24DC9">
        <w:trPr>
          <w:trHeight w:val="106"/>
        </w:trPr>
        <w:tc>
          <w:tcPr>
            <w:tcW w:w="704" w:type="dxa"/>
            <w:vMerge/>
          </w:tcPr>
          <w:p w14:paraId="3B1958F9" w14:textId="77777777" w:rsidR="004D1935" w:rsidRDefault="004D1935" w:rsidP="00E24DC9"/>
        </w:tc>
        <w:tc>
          <w:tcPr>
            <w:tcW w:w="851" w:type="dxa"/>
            <w:tcBorders>
              <w:top w:val="nil"/>
              <w:bottom w:val="nil"/>
            </w:tcBorders>
            <w:vAlign w:val="bottom"/>
          </w:tcPr>
          <w:p w14:paraId="56772A76" w14:textId="77777777" w:rsidR="004D1935" w:rsidRPr="00B61D7D" w:rsidRDefault="004D1935" w:rsidP="00E24DC9">
            <w:pPr>
              <w:rPr>
                <w:rFonts w:ascii="Calibri" w:hAnsi="Calibri" w:cs="Calibri"/>
                <w:color w:val="000000"/>
                <w:sz w:val="16"/>
                <w:szCs w:val="16"/>
              </w:rPr>
            </w:pPr>
            <w:r w:rsidRPr="00A65011">
              <w:rPr>
                <w:rFonts w:ascii="Calibri" w:hAnsi="Calibri" w:cs="Calibri"/>
                <w:color w:val="000000"/>
                <w:sz w:val="16"/>
                <w:szCs w:val="16"/>
              </w:rPr>
              <w:t>150.9726</w:t>
            </w:r>
          </w:p>
        </w:tc>
        <w:tc>
          <w:tcPr>
            <w:tcW w:w="2268" w:type="dxa"/>
            <w:vMerge/>
          </w:tcPr>
          <w:p w14:paraId="34A4E130" w14:textId="77777777" w:rsidR="004D1935" w:rsidRDefault="004D1935" w:rsidP="00E24DC9"/>
        </w:tc>
        <w:tc>
          <w:tcPr>
            <w:tcW w:w="992" w:type="dxa"/>
            <w:vMerge/>
          </w:tcPr>
          <w:p w14:paraId="345FACA1" w14:textId="77777777" w:rsidR="004D1935" w:rsidRPr="00CB7A8A" w:rsidRDefault="004D1935" w:rsidP="00E24DC9">
            <w:pPr>
              <w:rPr>
                <w:sz w:val="20"/>
                <w:szCs w:val="20"/>
              </w:rPr>
            </w:pPr>
          </w:p>
        </w:tc>
        <w:tc>
          <w:tcPr>
            <w:tcW w:w="1843" w:type="dxa"/>
            <w:vMerge/>
          </w:tcPr>
          <w:p w14:paraId="556E6D2F" w14:textId="77777777" w:rsidR="004D1935" w:rsidRPr="00CB7A8A" w:rsidRDefault="004D1935" w:rsidP="00E24DC9">
            <w:pPr>
              <w:rPr>
                <w:sz w:val="16"/>
                <w:szCs w:val="16"/>
              </w:rPr>
            </w:pPr>
          </w:p>
        </w:tc>
        <w:tc>
          <w:tcPr>
            <w:tcW w:w="7229" w:type="dxa"/>
            <w:vMerge/>
          </w:tcPr>
          <w:p w14:paraId="085F95F8" w14:textId="77777777" w:rsidR="004D1935" w:rsidRDefault="004D1935" w:rsidP="00E24DC9"/>
        </w:tc>
      </w:tr>
      <w:tr w:rsidR="004D1935" w14:paraId="6D2C89B0" w14:textId="77777777" w:rsidTr="00E24DC9">
        <w:tc>
          <w:tcPr>
            <w:tcW w:w="704" w:type="dxa"/>
            <w:vMerge/>
          </w:tcPr>
          <w:p w14:paraId="32A4F281" w14:textId="77777777" w:rsidR="004D1935" w:rsidRDefault="004D1935" w:rsidP="00E24DC9"/>
        </w:tc>
        <w:tc>
          <w:tcPr>
            <w:tcW w:w="851" w:type="dxa"/>
            <w:tcBorders>
              <w:top w:val="nil"/>
            </w:tcBorders>
            <w:vAlign w:val="bottom"/>
          </w:tcPr>
          <w:p w14:paraId="7CF81241" w14:textId="77777777" w:rsidR="004D1935" w:rsidRPr="00B61D7D" w:rsidRDefault="004D1935" w:rsidP="00E24DC9">
            <w:pPr>
              <w:rPr>
                <w:rFonts w:ascii="Calibri" w:hAnsi="Calibri" w:cs="Calibri"/>
                <w:color w:val="000000"/>
                <w:sz w:val="16"/>
                <w:szCs w:val="16"/>
              </w:rPr>
            </w:pPr>
            <w:r w:rsidRPr="00A65011">
              <w:rPr>
                <w:rFonts w:ascii="Calibri" w:hAnsi="Calibri" w:cs="Calibri"/>
                <w:color w:val="000000"/>
                <w:sz w:val="16"/>
                <w:szCs w:val="16"/>
              </w:rPr>
              <w:t>151.0274</w:t>
            </w:r>
          </w:p>
        </w:tc>
        <w:tc>
          <w:tcPr>
            <w:tcW w:w="2268" w:type="dxa"/>
            <w:vMerge/>
          </w:tcPr>
          <w:p w14:paraId="53E14E2F" w14:textId="77777777" w:rsidR="004D1935" w:rsidRDefault="004D1935" w:rsidP="00E24DC9"/>
        </w:tc>
        <w:tc>
          <w:tcPr>
            <w:tcW w:w="992" w:type="dxa"/>
            <w:vMerge/>
          </w:tcPr>
          <w:p w14:paraId="0581439C" w14:textId="77777777" w:rsidR="004D1935" w:rsidRPr="00CB7A8A" w:rsidRDefault="004D1935" w:rsidP="00E24DC9">
            <w:pPr>
              <w:rPr>
                <w:sz w:val="20"/>
                <w:szCs w:val="20"/>
              </w:rPr>
            </w:pPr>
          </w:p>
        </w:tc>
        <w:tc>
          <w:tcPr>
            <w:tcW w:w="1843" w:type="dxa"/>
            <w:vMerge/>
          </w:tcPr>
          <w:p w14:paraId="4B0B65AD" w14:textId="77777777" w:rsidR="004D1935" w:rsidRPr="00CB7A8A" w:rsidRDefault="004D1935" w:rsidP="00E24DC9">
            <w:pPr>
              <w:rPr>
                <w:sz w:val="16"/>
                <w:szCs w:val="16"/>
              </w:rPr>
            </w:pPr>
          </w:p>
        </w:tc>
        <w:tc>
          <w:tcPr>
            <w:tcW w:w="7229" w:type="dxa"/>
            <w:vMerge/>
          </w:tcPr>
          <w:p w14:paraId="0F488BEC" w14:textId="77777777" w:rsidR="004D1935" w:rsidRDefault="004D1935" w:rsidP="00E24DC9"/>
        </w:tc>
      </w:tr>
    </w:tbl>
    <w:p w14:paraId="60AB248A" w14:textId="77777777" w:rsidR="004D1935" w:rsidRDefault="004D1935" w:rsidP="004D1935"/>
    <w:p w14:paraId="20A5A8DD" w14:textId="77777777" w:rsidR="004D1935" w:rsidRDefault="004D1935" w:rsidP="004D1935"/>
    <w:p w14:paraId="0E4BDAE3" w14:textId="77777777" w:rsidR="004D1935" w:rsidRDefault="004D1935" w:rsidP="004D1935"/>
    <w:p w14:paraId="0F18FD93" w14:textId="77777777" w:rsidR="004D1935" w:rsidRDefault="004D1935" w:rsidP="004D1935"/>
    <w:p w14:paraId="4CC4B257" w14:textId="77777777" w:rsidR="004D1935" w:rsidRDefault="004D1935" w:rsidP="004D1935"/>
    <w:p w14:paraId="30FA8774" w14:textId="77777777" w:rsidR="004D1935" w:rsidRDefault="004D1935" w:rsidP="004D1935"/>
    <w:p w14:paraId="162B2A6F" w14:textId="77777777" w:rsidR="004D1935" w:rsidRDefault="004D1935" w:rsidP="004D1935"/>
    <w:p w14:paraId="1107AE22" w14:textId="304BACDE" w:rsidR="004D1935" w:rsidRDefault="004D1935" w:rsidP="004D1935"/>
    <w:p w14:paraId="62339E15" w14:textId="77777777" w:rsidR="00D5746C" w:rsidRDefault="00D5746C" w:rsidP="004D1935"/>
    <w:p w14:paraId="6EAFFE9A" w14:textId="77777777" w:rsidR="004D1935" w:rsidRDefault="004D1935" w:rsidP="004D1935"/>
    <w:p w14:paraId="70C7593F" w14:textId="6ADDFCC5" w:rsidR="004D1935" w:rsidRPr="00D03AEF" w:rsidRDefault="004D1935" w:rsidP="004D1935">
      <w:pPr>
        <w:autoSpaceDE w:val="0"/>
        <w:autoSpaceDN w:val="0"/>
        <w:adjustRightInd w:val="0"/>
        <w:rPr>
          <w:rFonts w:eastAsiaTheme="minorHAnsi"/>
          <w:sz w:val="16"/>
          <w:szCs w:val="16"/>
        </w:rPr>
      </w:pPr>
      <w:r>
        <w:rPr>
          <w:rFonts w:eastAsiaTheme="minorHAnsi"/>
          <w:sz w:val="16"/>
          <w:szCs w:val="16"/>
        </w:rPr>
        <w:lastRenderedPageBreak/>
        <w:t xml:space="preserve">Table A 4.9: Discriminant mass bins (333) in shoot organic phase and their associated detected masses looking for compound accounts for protonated adduct (H) and </w:t>
      </w:r>
      <w:r w:rsidR="00D5746C">
        <w:rPr>
          <w:rFonts w:eastAsiaTheme="minorHAnsi"/>
          <w:sz w:val="16"/>
          <w:szCs w:val="16"/>
        </w:rPr>
        <w:t>K,</w:t>
      </w:r>
      <w:r>
        <w:rPr>
          <w:rFonts w:eastAsiaTheme="minorHAnsi"/>
          <w:sz w:val="16"/>
          <w:szCs w:val="16"/>
        </w:rPr>
        <w:t xml:space="preserve"> NA</w:t>
      </w:r>
      <w:r w:rsidRPr="00396597">
        <w:rPr>
          <w:rFonts w:eastAsiaTheme="minorHAnsi"/>
          <w:sz w:val="16"/>
          <w:szCs w:val="16"/>
        </w:rPr>
        <w:t xml:space="preserve"> </w:t>
      </w:r>
      <w:r>
        <w:rPr>
          <w:rFonts w:eastAsiaTheme="minorHAnsi"/>
          <w:sz w:val="16"/>
          <w:szCs w:val="16"/>
        </w:rPr>
        <w:t>in positive mode in the analysis. The putatively identified compounds, their chemical groups, and the associated pathways are displayed.</w:t>
      </w:r>
    </w:p>
    <w:tbl>
      <w:tblPr>
        <w:tblStyle w:val="TableGrid"/>
        <w:tblW w:w="13887" w:type="dxa"/>
        <w:tblLook w:val="04A0" w:firstRow="1" w:lastRow="0" w:firstColumn="1" w:lastColumn="0" w:noHBand="0" w:noVBand="1"/>
      </w:tblPr>
      <w:tblGrid>
        <w:gridCol w:w="713"/>
        <w:gridCol w:w="809"/>
        <w:gridCol w:w="2017"/>
        <w:gridCol w:w="1276"/>
        <w:gridCol w:w="2126"/>
        <w:gridCol w:w="6946"/>
      </w:tblGrid>
      <w:tr w:rsidR="004D1935" w14:paraId="06DB3483" w14:textId="77777777" w:rsidTr="00E24DC9">
        <w:tc>
          <w:tcPr>
            <w:tcW w:w="713" w:type="dxa"/>
            <w:vAlign w:val="center"/>
          </w:tcPr>
          <w:p w14:paraId="2AB7B71B" w14:textId="77777777" w:rsidR="004D1935" w:rsidRDefault="004D1935" w:rsidP="00E24DC9">
            <w:r w:rsidRPr="00F54137">
              <w:rPr>
                <w:rFonts w:asciiTheme="majorBidi" w:hAnsiTheme="majorBidi" w:cstheme="majorBidi"/>
                <w:color w:val="000000" w:themeColor="text1"/>
                <w:sz w:val="16"/>
                <w:szCs w:val="16"/>
              </w:rPr>
              <w:t>adduct</w:t>
            </w:r>
          </w:p>
        </w:tc>
        <w:tc>
          <w:tcPr>
            <w:tcW w:w="809" w:type="dxa"/>
            <w:tcBorders>
              <w:bottom w:val="single" w:sz="4" w:space="0" w:color="auto"/>
            </w:tcBorders>
            <w:vAlign w:val="center"/>
          </w:tcPr>
          <w:p w14:paraId="64F84BF7" w14:textId="77777777" w:rsidR="004D1935" w:rsidRDefault="004D1935" w:rsidP="00E24DC9">
            <w:r w:rsidRPr="00F54137">
              <w:rPr>
                <w:rFonts w:asciiTheme="majorBidi" w:hAnsiTheme="majorBidi" w:cstheme="majorBidi"/>
                <w:color w:val="000000" w:themeColor="text1"/>
                <w:sz w:val="16"/>
                <w:szCs w:val="16"/>
              </w:rPr>
              <w:t>Mass detected</w:t>
            </w:r>
          </w:p>
        </w:tc>
        <w:tc>
          <w:tcPr>
            <w:tcW w:w="2017" w:type="dxa"/>
            <w:vAlign w:val="center"/>
          </w:tcPr>
          <w:p w14:paraId="248735AC" w14:textId="77777777" w:rsidR="004D1935" w:rsidRDefault="004D1935" w:rsidP="00E24DC9">
            <w:r w:rsidRPr="00F54137">
              <w:rPr>
                <w:rFonts w:asciiTheme="majorBidi" w:hAnsiTheme="majorBidi" w:cstheme="majorBidi"/>
                <w:color w:val="000000" w:themeColor="text1"/>
                <w:sz w:val="16"/>
                <w:szCs w:val="16"/>
              </w:rPr>
              <w:t>COMPOUNDS NAME</w:t>
            </w:r>
          </w:p>
        </w:tc>
        <w:tc>
          <w:tcPr>
            <w:tcW w:w="1276" w:type="dxa"/>
            <w:vAlign w:val="center"/>
          </w:tcPr>
          <w:p w14:paraId="7222D362" w14:textId="77777777" w:rsidR="004D1935" w:rsidRDefault="004D1935" w:rsidP="00E24DC9">
            <w:r w:rsidRPr="00F54137">
              <w:rPr>
                <w:rFonts w:asciiTheme="majorBidi" w:hAnsiTheme="majorBidi" w:cstheme="majorBidi"/>
                <w:color w:val="000000" w:themeColor="text1"/>
                <w:sz w:val="16"/>
                <w:szCs w:val="16"/>
              </w:rPr>
              <w:t>chemical formula</w:t>
            </w:r>
          </w:p>
        </w:tc>
        <w:tc>
          <w:tcPr>
            <w:tcW w:w="2126" w:type="dxa"/>
            <w:vAlign w:val="center"/>
          </w:tcPr>
          <w:p w14:paraId="3D1456E1" w14:textId="77777777" w:rsidR="004D1935" w:rsidRDefault="004D1935" w:rsidP="00E24DC9">
            <w:r w:rsidRPr="00F54137">
              <w:rPr>
                <w:rFonts w:asciiTheme="majorBidi" w:hAnsiTheme="majorBidi" w:cstheme="majorBidi"/>
                <w:color w:val="000000" w:themeColor="text1"/>
                <w:sz w:val="16"/>
                <w:szCs w:val="16"/>
              </w:rPr>
              <w:t>chemical group</w:t>
            </w:r>
          </w:p>
        </w:tc>
        <w:tc>
          <w:tcPr>
            <w:tcW w:w="6946" w:type="dxa"/>
            <w:vAlign w:val="center"/>
          </w:tcPr>
          <w:p w14:paraId="5055CE61" w14:textId="77777777" w:rsidR="004D1935" w:rsidRDefault="004D1935" w:rsidP="00E24DC9">
            <w:r w:rsidRPr="00F54137">
              <w:rPr>
                <w:rFonts w:asciiTheme="majorBidi" w:hAnsiTheme="majorBidi" w:cstheme="majorBidi"/>
                <w:color w:val="000000" w:themeColor="text1"/>
                <w:sz w:val="16"/>
                <w:szCs w:val="16"/>
              </w:rPr>
              <w:t>pathway</w:t>
            </w:r>
          </w:p>
        </w:tc>
      </w:tr>
      <w:tr w:rsidR="004D1935" w14:paraId="327C68BE" w14:textId="77777777" w:rsidTr="00E24DC9">
        <w:tc>
          <w:tcPr>
            <w:tcW w:w="713" w:type="dxa"/>
            <w:vMerge w:val="restart"/>
            <w:vAlign w:val="center"/>
          </w:tcPr>
          <w:p w14:paraId="227A2DD4" w14:textId="77777777" w:rsidR="004D1935" w:rsidRDefault="004D1935" w:rsidP="00E24DC9">
            <w:pPr>
              <w:jc w:val="center"/>
            </w:pPr>
          </w:p>
        </w:tc>
        <w:tc>
          <w:tcPr>
            <w:tcW w:w="809" w:type="dxa"/>
            <w:tcBorders>
              <w:bottom w:val="nil"/>
            </w:tcBorders>
            <w:vAlign w:val="bottom"/>
          </w:tcPr>
          <w:p w14:paraId="443CE63F" w14:textId="77777777" w:rsidR="004D1935" w:rsidRDefault="004D1935" w:rsidP="00E24DC9">
            <w:r w:rsidRPr="006F6B8E">
              <w:rPr>
                <w:rFonts w:ascii="Calibri" w:hAnsi="Calibri" w:cs="Calibri"/>
                <w:color w:val="000000"/>
                <w:sz w:val="13"/>
                <w:szCs w:val="13"/>
              </w:rPr>
              <w:t>332.9173</w:t>
            </w:r>
          </w:p>
        </w:tc>
        <w:tc>
          <w:tcPr>
            <w:tcW w:w="2017" w:type="dxa"/>
            <w:vMerge w:val="restart"/>
            <w:vAlign w:val="center"/>
          </w:tcPr>
          <w:p w14:paraId="6F59DC9F" w14:textId="77777777" w:rsidR="004D1935" w:rsidRPr="006B44AD" w:rsidRDefault="00000000" w:rsidP="00E24DC9">
            <w:pPr>
              <w:jc w:val="center"/>
              <w:rPr>
                <w:color w:val="000000" w:themeColor="text1"/>
              </w:rPr>
            </w:pPr>
            <w:hyperlink r:id="rId96" w:history="1">
              <w:r w:rsidR="004D1935" w:rsidRPr="006B44AD">
                <w:rPr>
                  <w:rFonts w:ascii="Calibri" w:hAnsi="Calibri" w:cs="Calibri"/>
                  <w:color w:val="000000" w:themeColor="text1"/>
                  <w:sz w:val="13"/>
                  <w:szCs w:val="13"/>
                </w:rPr>
                <w:t>dihydrosanguinarine</w:t>
              </w:r>
            </w:hyperlink>
          </w:p>
        </w:tc>
        <w:tc>
          <w:tcPr>
            <w:tcW w:w="1276" w:type="dxa"/>
            <w:vMerge w:val="restart"/>
            <w:vAlign w:val="center"/>
          </w:tcPr>
          <w:p w14:paraId="6571A284" w14:textId="77777777" w:rsidR="004D1935" w:rsidRPr="006B44AD" w:rsidRDefault="004D1935" w:rsidP="00E24DC9">
            <w:pPr>
              <w:jc w:val="center"/>
              <w:rPr>
                <w:color w:val="000000" w:themeColor="text1"/>
                <w:sz w:val="16"/>
                <w:szCs w:val="16"/>
              </w:rPr>
            </w:pPr>
            <w:r w:rsidRPr="006B44AD">
              <w:rPr>
                <w:rFonts w:ascii="Arial" w:hAnsi="Arial" w:cs="Arial"/>
                <w:color w:val="000000" w:themeColor="text1"/>
                <w:sz w:val="16"/>
                <w:szCs w:val="16"/>
                <w:shd w:val="clear" w:color="auto" w:fill="FFFFFF"/>
              </w:rPr>
              <w:t>C</w:t>
            </w:r>
            <w:r w:rsidRPr="006B44AD">
              <w:rPr>
                <w:rFonts w:ascii="Arial" w:hAnsi="Arial" w:cs="Arial"/>
                <w:color w:val="000000" w:themeColor="text1"/>
                <w:sz w:val="16"/>
                <w:szCs w:val="16"/>
                <w:shd w:val="clear" w:color="auto" w:fill="FFFFFF"/>
                <w:vertAlign w:val="subscript"/>
              </w:rPr>
              <w:t>20</w:t>
            </w:r>
            <w:r w:rsidRPr="006B44AD">
              <w:rPr>
                <w:rFonts w:ascii="Arial" w:hAnsi="Arial" w:cs="Arial"/>
                <w:color w:val="000000" w:themeColor="text1"/>
                <w:sz w:val="16"/>
                <w:szCs w:val="16"/>
                <w:shd w:val="clear" w:color="auto" w:fill="FFFFFF"/>
              </w:rPr>
              <w:t>H</w:t>
            </w:r>
            <w:r w:rsidRPr="006B44AD">
              <w:rPr>
                <w:rFonts w:ascii="Arial" w:hAnsi="Arial" w:cs="Arial"/>
                <w:color w:val="000000" w:themeColor="text1"/>
                <w:sz w:val="16"/>
                <w:szCs w:val="16"/>
                <w:shd w:val="clear" w:color="auto" w:fill="FFFFFF"/>
                <w:vertAlign w:val="subscript"/>
              </w:rPr>
              <w:t>15</w:t>
            </w:r>
            <w:r w:rsidRPr="006B44AD">
              <w:rPr>
                <w:rFonts w:ascii="Arial" w:hAnsi="Arial" w:cs="Arial"/>
                <w:color w:val="000000" w:themeColor="text1"/>
                <w:sz w:val="16"/>
                <w:szCs w:val="16"/>
                <w:shd w:val="clear" w:color="auto" w:fill="FFFFFF"/>
              </w:rPr>
              <w:t>NO</w:t>
            </w:r>
            <w:r w:rsidRPr="006B44AD">
              <w:rPr>
                <w:rFonts w:ascii="Arial" w:hAnsi="Arial" w:cs="Arial"/>
                <w:color w:val="000000" w:themeColor="text1"/>
                <w:sz w:val="16"/>
                <w:szCs w:val="16"/>
                <w:shd w:val="clear" w:color="auto" w:fill="FFFFFF"/>
                <w:vertAlign w:val="subscript"/>
              </w:rPr>
              <w:t>4</w:t>
            </w:r>
          </w:p>
          <w:p w14:paraId="53748B60" w14:textId="77777777" w:rsidR="004D1935" w:rsidRPr="006B44AD" w:rsidRDefault="004D1935" w:rsidP="00E24DC9">
            <w:pPr>
              <w:jc w:val="center"/>
              <w:rPr>
                <w:color w:val="000000" w:themeColor="text1"/>
              </w:rPr>
            </w:pPr>
          </w:p>
        </w:tc>
        <w:tc>
          <w:tcPr>
            <w:tcW w:w="2126" w:type="dxa"/>
            <w:vMerge w:val="restart"/>
            <w:vAlign w:val="center"/>
          </w:tcPr>
          <w:p w14:paraId="3913D185" w14:textId="77777777" w:rsidR="004D1935" w:rsidRPr="006B44AD" w:rsidRDefault="004D1935" w:rsidP="00E24DC9">
            <w:pPr>
              <w:jc w:val="center"/>
              <w:rPr>
                <w:color w:val="000000" w:themeColor="text1"/>
              </w:rPr>
            </w:pPr>
            <w:r w:rsidRPr="006B44AD">
              <w:rPr>
                <w:rFonts w:ascii="Calibri" w:hAnsi="Calibri" w:cs="Calibri"/>
                <w:color w:val="000000" w:themeColor="text1"/>
                <w:sz w:val="13"/>
                <w:szCs w:val="13"/>
              </w:rPr>
              <w:t>quinoline/alkaloids</w:t>
            </w:r>
          </w:p>
        </w:tc>
        <w:tc>
          <w:tcPr>
            <w:tcW w:w="6946" w:type="dxa"/>
            <w:vMerge w:val="restart"/>
            <w:vAlign w:val="center"/>
          </w:tcPr>
          <w:p w14:paraId="4859A785" w14:textId="77777777" w:rsidR="004D1935" w:rsidRPr="006B44AD" w:rsidRDefault="004D1935" w:rsidP="00E24DC9">
            <w:pPr>
              <w:jc w:val="center"/>
              <w:rPr>
                <w:color w:val="000000" w:themeColor="text1"/>
              </w:rPr>
            </w:pPr>
            <w:r w:rsidRPr="006B44AD">
              <w:rPr>
                <w:rFonts w:ascii="Verdana" w:hAnsi="Verdana" w:cs="Calibri"/>
                <w:color w:val="000000" w:themeColor="text1"/>
                <w:sz w:val="13"/>
                <w:szCs w:val="13"/>
              </w:rPr>
              <w:t>Isoquinoline alkaloid biosynthesis/ Shikimate pathway/jasmonic acid biosynthesis/Riboflavin/Flavanone/Flavonoid biosynthesis/fatty acid biosynthesis</w:t>
            </w:r>
          </w:p>
        </w:tc>
      </w:tr>
      <w:tr w:rsidR="004D1935" w14:paraId="202C1361" w14:textId="77777777" w:rsidTr="00E24DC9">
        <w:tc>
          <w:tcPr>
            <w:tcW w:w="713" w:type="dxa"/>
            <w:vMerge/>
            <w:vAlign w:val="center"/>
          </w:tcPr>
          <w:p w14:paraId="69CB092D" w14:textId="77777777" w:rsidR="004D1935" w:rsidRDefault="004D1935" w:rsidP="00E24DC9">
            <w:pPr>
              <w:jc w:val="center"/>
            </w:pPr>
          </w:p>
        </w:tc>
        <w:tc>
          <w:tcPr>
            <w:tcW w:w="809" w:type="dxa"/>
            <w:tcBorders>
              <w:top w:val="nil"/>
              <w:bottom w:val="nil"/>
            </w:tcBorders>
            <w:vAlign w:val="bottom"/>
          </w:tcPr>
          <w:p w14:paraId="2D2C007B" w14:textId="77777777" w:rsidR="004D1935" w:rsidRDefault="004D1935" w:rsidP="00E24DC9">
            <w:r w:rsidRPr="006F6B8E">
              <w:rPr>
                <w:rFonts w:ascii="Calibri" w:hAnsi="Calibri" w:cs="Calibri"/>
                <w:color w:val="000000"/>
                <w:sz w:val="13"/>
                <w:szCs w:val="13"/>
              </w:rPr>
              <w:t>333.0343</w:t>
            </w:r>
          </w:p>
        </w:tc>
        <w:tc>
          <w:tcPr>
            <w:tcW w:w="2017" w:type="dxa"/>
            <w:vMerge/>
          </w:tcPr>
          <w:p w14:paraId="0C1B2F33" w14:textId="77777777" w:rsidR="004D1935" w:rsidRPr="006B44AD" w:rsidRDefault="004D1935" w:rsidP="00E24DC9">
            <w:pPr>
              <w:rPr>
                <w:color w:val="000000" w:themeColor="text1"/>
              </w:rPr>
            </w:pPr>
          </w:p>
        </w:tc>
        <w:tc>
          <w:tcPr>
            <w:tcW w:w="1276" w:type="dxa"/>
            <w:vMerge/>
          </w:tcPr>
          <w:p w14:paraId="09EE7A11" w14:textId="77777777" w:rsidR="004D1935" w:rsidRPr="006B44AD" w:rsidRDefault="004D1935" w:rsidP="00E24DC9">
            <w:pPr>
              <w:rPr>
                <w:color w:val="000000" w:themeColor="text1"/>
              </w:rPr>
            </w:pPr>
          </w:p>
        </w:tc>
        <w:tc>
          <w:tcPr>
            <w:tcW w:w="2126" w:type="dxa"/>
            <w:vMerge/>
          </w:tcPr>
          <w:p w14:paraId="1CCD9D0B" w14:textId="77777777" w:rsidR="004D1935" w:rsidRPr="006B44AD" w:rsidRDefault="004D1935" w:rsidP="00E24DC9">
            <w:pPr>
              <w:rPr>
                <w:color w:val="000000" w:themeColor="text1"/>
              </w:rPr>
            </w:pPr>
          </w:p>
        </w:tc>
        <w:tc>
          <w:tcPr>
            <w:tcW w:w="6946" w:type="dxa"/>
            <w:vMerge/>
          </w:tcPr>
          <w:p w14:paraId="170E71AF" w14:textId="77777777" w:rsidR="004D1935" w:rsidRPr="006B44AD" w:rsidRDefault="004D1935" w:rsidP="00E24DC9">
            <w:pPr>
              <w:rPr>
                <w:color w:val="000000" w:themeColor="text1"/>
              </w:rPr>
            </w:pPr>
          </w:p>
        </w:tc>
      </w:tr>
      <w:tr w:rsidR="004D1935" w14:paraId="4C80A3E3" w14:textId="77777777" w:rsidTr="00E24DC9">
        <w:tc>
          <w:tcPr>
            <w:tcW w:w="713" w:type="dxa"/>
            <w:vMerge/>
            <w:vAlign w:val="center"/>
          </w:tcPr>
          <w:p w14:paraId="55F02AAE" w14:textId="77777777" w:rsidR="004D1935" w:rsidRDefault="004D1935" w:rsidP="00E24DC9">
            <w:pPr>
              <w:jc w:val="center"/>
            </w:pPr>
          </w:p>
        </w:tc>
        <w:tc>
          <w:tcPr>
            <w:tcW w:w="809" w:type="dxa"/>
            <w:tcBorders>
              <w:top w:val="nil"/>
              <w:bottom w:val="nil"/>
            </w:tcBorders>
            <w:vAlign w:val="bottom"/>
          </w:tcPr>
          <w:p w14:paraId="79A2491F" w14:textId="77777777" w:rsidR="004D1935" w:rsidRDefault="004D1935" w:rsidP="00E24DC9">
            <w:r w:rsidRPr="006F6B8E">
              <w:rPr>
                <w:rFonts w:ascii="Calibri" w:hAnsi="Calibri" w:cs="Calibri"/>
                <w:color w:val="000000"/>
                <w:sz w:val="13"/>
                <w:szCs w:val="13"/>
              </w:rPr>
              <w:t>333.0928</w:t>
            </w:r>
          </w:p>
        </w:tc>
        <w:tc>
          <w:tcPr>
            <w:tcW w:w="2017" w:type="dxa"/>
            <w:vMerge/>
          </w:tcPr>
          <w:p w14:paraId="61DC2A63" w14:textId="77777777" w:rsidR="004D1935" w:rsidRPr="006B44AD" w:rsidRDefault="004D1935" w:rsidP="00E24DC9">
            <w:pPr>
              <w:rPr>
                <w:color w:val="000000" w:themeColor="text1"/>
              </w:rPr>
            </w:pPr>
          </w:p>
        </w:tc>
        <w:tc>
          <w:tcPr>
            <w:tcW w:w="1276" w:type="dxa"/>
            <w:vMerge/>
          </w:tcPr>
          <w:p w14:paraId="5653092E" w14:textId="77777777" w:rsidR="004D1935" w:rsidRPr="006B44AD" w:rsidRDefault="004D1935" w:rsidP="00E24DC9">
            <w:pPr>
              <w:rPr>
                <w:color w:val="000000" w:themeColor="text1"/>
              </w:rPr>
            </w:pPr>
          </w:p>
        </w:tc>
        <w:tc>
          <w:tcPr>
            <w:tcW w:w="2126" w:type="dxa"/>
            <w:vMerge/>
          </w:tcPr>
          <w:p w14:paraId="4A941528" w14:textId="77777777" w:rsidR="004D1935" w:rsidRPr="006B44AD" w:rsidRDefault="004D1935" w:rsidP="00E24DC9">
            <w:pPr>
              <w:rPr>
                <w:color w:val="000000" w:themeColor="text1"/>
              </w:rPr>
            </w:pPr>
          </w:p>
        </w:tc>
        <w:tc>
          <w:tcPr>
            <w:tcW w:w="6946" w:type="dxa"/>
            <w:vMerge/>
          </w:tcPr>
          <w:p w14:paraId="2DFC8B81" w14:textId="77777777" w:rsidR="004D1935" w:rsidRPr="006B44AD" w:rsidRDefault="004D1935" w:rsidP="00E24DC9">
            <w:pPr>
              <w:rPr>
                <w:color w:val="000000" w:themeColor="text1"/>
              </w:rPr>
            </w:pPr>
          </w:p>
        </w:tc>
      </w:tr>
      <w:tr w:rsidR="004D1935" w14:paraId="28552AFC" w14:textId="77777777" w:rsidTr="00E24DC9">
        <w:tc>
          <w:tcPr>
            <w:tcW w:w="713" w:type="dxa"/>
            <w:vMerge/>
            <w:vAlign w:val="center"/>
          </w:tcPr>
          <w:p w14:paraId="7E1C1500" w14:textId="77777777" w:rsidR="004D1935" w:rsidRDefault="004D1935" w:rsidP="00E24DC9">
            <w:pPr>
              <w:jc w:val="center"/>
            </w:pPr>
          </w:p>
        </w:tc>
        <w:tc>
          <w:tcPr>
            <w:tcW w:w="809" w:type="dxa"/>
            <w:tcBorders>
              <w:top w:val="nil"/>
              <w:bottom w:val="nil"/>
            </w:tcBorders>
            <w:vAlign w:val="bottom"/>
          </w:tcPr>
          <w:p w14:paraId="165EA387" w14:textId="77777777" w:rsidR="004D1935" w:rsidRDefault="004D1935" w:rsidP="00E24DC9">
            <w:r w:rsidRPr="006F6B8E">
              <w:rPr>
                <w:rFonts w:ascii="Calibri" w:hAnsi="Calibri" w:cs="Calibri"/>
                <w:color w:val="000000"/>
                <w:sz w:val="13"/>
                <w:szCs w:val="13"/>
              </w:rPr>
              <w:t>332.9266</w:t>
            </w:r>
          </w:p>
        </w:tc>
        <w:tc>
          <w:tcPr>
            <w:tcW w:w="2017" w:type="dxa"/>
            <w:vMerge/>
          </w:tcPr>
          <w:p w14:paraId="47B435B4" w14:textId="77777777" w:rsidR="004D1935" w:rsidRPr="006B44AD" w:rsidRDefault="004D1935" w:rsidP="00E24DC9">
            <w:pPr>
              <w:rPr>
                <w:color w:val="000000" w:themeColor="text1"/>
              </w:rPr>
            </w:pPr>
          </w:p>
        </w:tc>
        <w:tc>
          <w:tcPr>
            <w:tcW w:w="1276" w:type="dxa"/>
            <w:vMerge/>
          </w:tcPr>
          <w:p w14:paraId="677D150D" w14:textId="77777777" w:rsidR="004D1935" w:rsidRPr="006B44AD" w:rsidRDefault="004D1935" w:rsidP="00E24DC9">
            <w:pPr>
              <w:rPr>
                <w:color w:val="000000" w:themeColor="text1"/>
              </w:rPr>
            </w:pPr>
          </w:p>
        </w:tc>
        <w:tc>
          <w:tcPr>
            <w:tcW w:w="2126" w:type="dxa"/>
            <w:vMerge/>
          </w:tcPr>
          <w:p w14:paraId="449D8BAF" w14:textId="77777777" w:rsidR="004D1935" w:rsidRPr="006B44AD" w:rsidRDefault="004D1935" w:rsidP="00E24DC9">
            <w:pPr>
              <w:rPr>
                <w:color w:val="000000" w:themeColor="text1"/>
              </w:rPr>
            </w:pPr>
          </w:p>
        </w:tc>
        <w:tc>
          <w:tcPr>
            <w:tcW w:w="6946" w:type="dxa"/>
            <w:vMerge/>
          </w:tcPr>
          <w:p w14:paraId="6B048AFE" w14:textId="77777777" w:rsidR="004D1935" w:rsidRPr="006B44AD" w:rsidRDefault="004D1935" w:rsidP="00E24DC9">
            <w:pPr>
              <w:rPr>
                <w:color w:val="000000" w:themeColor="text1"/>
              </w:rPr>
            </w:pPr>
          </w:p>
        </w:tc>
      </w:tr>
      <w:tr w:rsidR="004D1935" w14:paraId="63762B42" w14:textId="77777777" w:rsidTr="00E24DC9">
        <w:tc>
          <w:tcPr>
            <w:tcW w:w="713" w:type="dxa"/>
            <w:vMerge/>
            <w:vAlign w:val="center"/>
          </w:tcPr>
          <w:p w14:paraId="665ED0FF" w14:textId="77777777" w:rsidR="004D1935" w:rsidRDefault="004D1935" w:rsidP="00E24DC9">
            <w:pPr>
              <w:jc w:val="center"/>
            </w:pPr>
          </w:p>
        </w:tc>
        <w:tc>
          <w:tcPr>
            <w:tcW w:w="809" w:type="dxa"/>
            <w:tcBorders>
              <w:top w:val="nil"/>
              <w:bottom w:val="nil"/>
            </w:tcBorders>
            <w:vAlign w:val="bottom"/>
          </w:tcPr>
          <w:p w14:paraId="5E84C377" w14:textId="77777777" w:rsidR="004D1935" w:rsidRDefault="004D1935" w:rsidP="00E24DC9">
            <w:r w:rsidRPr="006F6B8E">
              <w:rPr>
                <w:rFonts w:ascii="Calibri" w:hAnsi="Calibri" w:cs="Calibri"/>
                <w:color w:val="000000"/>
                <w:sz w:val="13"/>
                <w:szCs w:val="13"/>
              </w:rPr>
              <w:t>332.9691</w:t>
            </w:r>
          </w:p>
        </w:tc>
        <w:tc>
          <w:tcPr>
            <w:tcW w:w="2017" w:type="dxa"/>
            <w:vMerge/>
          </w:tcPr>
          <w:p w14:paraId="264B9D99" w14:textId="77777777" w:rsidR="004D1935" w:rsidRPr="006B44AD" w:rsidRDefault="004D1935" w:rsidP="00E24DC9">
            <w:pPr>
              <w:rPr>
                <w:color w:val="000000" w:themeColor="text1"/>
              </w:rPr>
            </w:pPr>
          </w:p>
        </w:tc>
        <w:tc>
          <w:tcPr>
            <w:tcW w:w="1276" w:type="dxa"/>
            <w:vMerge/>
          </w:tcPr>
          <w:p w14:paraId="3DE9C99A" w14:textId="77777777" w:rsidR="004D1935" w:rsidRPr="006B44AD" w:rsidRDefault="004D1935" w:rsidP="00E24DC9">
            <w:pPr>
              <w:rPr>
                <w:color w:val="000000" w:themeColor="text1"/>
              </w:rPr>
            </w:pPr>
          </w:p>
        </w:tc>
        <w:tc>
          <w:tcPr>
            <w:tcW w:w="2126" w:type="dxa"/>
            <w:vMerge/>
          </w:tcPr>
          <w:p w14:paraId="4CE7FCAD" w14:textId="77777777" w:rsidR="004D1935" w:rsidRPr="006B44AD" w:rsidRDefault="004D1935" w:rsidP="00E24DC9">
            <w:pPr>
              <w:rPr>
                <w:color w:val="000000" w:themeColor="text1"/>
              </w:rPr>
            </w:pPr>
          </w:p>
        </w:tc>
        <w:tc>
          <w:tcPr>
            <w:tcW w:w="6946" w:type="dxa"/>
            <w:vMerge/>
          </w:tcPr>
          <w:p w14:paraId="7AD5499E" w14:textId="77777777" w:rsidR="004D1935" w:rsidRPr="006B44AD" w:rsidRDefault="004D1935" w:rsidP="00E24DC9">
            <w:pPr>
              <w:rPr>
                <w:color w:val="000000" w:themeColor="text1"/>
              </w:rPr>
            </w:pPr>
          </w:p>
        </w:tc>
      </w:tr>
      <w:tr w:rsidR="004D1935" w14:paraId="3257479A" w14:textId="77777777" w:rsidTr="00E24DC9">
        <w:tc>
          <w:tcPr>
            <w:tcW w:w="713" w:type="dxa"/>
            <w:vMerge/>
            <w:vAlign w:val="center"/>
          </w:tcPr>
          <w:p w14:paraId="47665C5E" w14:textId="77777777" w:rsidR="004D1935" w:rsidRDefault="004D1935" w:rsidP="00E24DC9">
            <w:pPr>
              <w:jc w:val="center"/>
            </w:pPr>
          </w:p>
        </w:tc>
        <w:tc>
          <w:tcPr>
            <w:tcW w:w="809" w:type="dxa"/>
            <w:tcBorders>
              <w:top w:val="nil"/>
              <w:bottom w:val="nil"/>
            </w:tcBorders>
            <w:vAlign w:val="bottom"/>
          </w:tcPr>
          <w:p w14:paraId="3CF25060" w14:textId="77777777" w:rsidR="004D1935" w:rsidRDefault="004D1935" w:rsidP="00E24DC9">
            <w:r w:rsidRPr="006F6B8E">
              <w:rPr>
                <w:rFonts w:ascii="Calibri" w:hAnsi="Calibri" w:cs="Calibri"/>
                <w:color w:val="000000"/>
                <w:sz w:val="13"/>
                <w:szCs w:val="13"/>
              </w:rPr>
              <w:t>333.0317</w:t>
            </w:r>
          </w:p>
        </w:tc>
        <w:tc>
          <w:tcPr>
            <w:tcW w:w="2017" w:type="dxa"/>
            <w:vMerge/>
          </w:tcPr>
          <w:p w14:paraId="37023EA1" w14:textId="77777777" w:rsidR="004D1935" w:rsidRPr="006B44AD" w:rsidRDefault="004D1935" w:rsidP="00E24DC9">
            <w:pPr>
              <w:rPr>
                <w:color w:val="000000" w:themeColor="text1"/>
              </w:rPr>
            </w:pPr>
          </w:p>
        </w:tc>
        <w:tc>
          <w:tcPr>
            <w:tcW w:w="1276" w:type="dxa"/>
            <w:vMerge/>
          </w:tcPr>
          <w:p w14:paraId="6C297277" w14:textId="77777777" w:rsidR="004D1935" w:rsidRPr="006B44AD" w:rsidRDefault="004D1935" w:rsidP="00E24DC9">
            <w:pPr>
              <w:rPr>
                <w:color w:val="000000" w:themeColor="text1"/>
              </w:rPr>
            </w:pPr>
          </w:p>
        </w:tc>
        <w:tc>
          <w:tcPr>
            <w:tcW w:w="2126" w:type="dxa"/>
            <w:vMerge/>
          </w:tcPr>
          <w:p w14:paraId="0D19201E" w14:textId="77777777" w:rsidR="004D1935" w:rsidRPr="006B44AD" w:rsidRDefault="004D1935" w:rsidP="00E24DC9">
            <w:pPr>
              <w:rPr>
                <w:color w:val="000000" w:themeColor="text1"/>
              </w:rPr>
            </w:pPr>
          </w:p>
        </w:tc>
        <w:tc>
          <w:tcPr>
            <w:tcW w:w="6946" w:type="dxa"/>
            <w:vMerge/>
          </w:tcPr>
          <w:p w14:paraId="17F1CD22" w14:textId="77777777" w:rsidR="004D1935" w:rsidRPr="006B44AD" w:rsidRDefault="004D1935" w:rsidP="00E24DC9">
            <w:pPr>
              <w:rPr>
                <w:color w:val="000000" w:themeColor="text1"/>
              </w:rPr>
            </w:pPr>
          </w:p>
        </w:tc>
      </w:tr>
      <w:tr w:rsidR="004D1935" w14:paraId="209A3CF4" w14:textId="77777777" w:rsidTr="00E24DC9">
        <w:tc>
          <w:tcPr>
            <w:tcW w:w="713" w:type="dxa"/>
            <w:vMerge/>
            <w:vAlign w:val="center"/>
          </w:tcPr>
          <w:p w14:paraId="5962A5E7" w14:textId="77777777" w:rsidR="004D1935" w:rsidRDefault="004D1935" w:rsidP="00E24DC9">
            <w:pPr>
              <w:jc w:val="center"/>
            </w:pPr>
          </w:p>
        </w:tc>
        <w:tc>
          <w:tcPr>
            <w:tcW w:w="809" w:type="dxa"/>
            <w:tcBorders>
              <w:top w:val="nil"/>
              <w:bottom w:val="nil"/>
            </w:tcBorders>
            <w:vAlign w:val="bottom"/>
          </w:tcPr>
          <w:p w14:paraId="38836948" w14:textId="77777777" w:rsidR="004D1935" w:rsidRDefault="004D1935" w:rsidP="00E24DC9">
            <w:r w:rsidRPr="006F6B8E">
              <w:rPr>
                <w:rFonts w:ascii="Calibri" w:hAnsi="Calibri" w:cs="Calibri"/>
                <w:color w:val="000000"/>
                <w:sz w:val="13"/>
                <w:szCs w:val="13"/>
              </w:rPr>
              <w:t>332.9093</w:t>
            </w:r>
          </w:p>
        </w:tc>
        <w:tc>
          <w:tcPr>
            <w:tcW w:w="2017" w:type="dxa"/>
            <w:vMerge/>
          </w:tcPr>
          <w:p w14:paraId="246ACB3F" w14:textId="77777777" w:rsidR="004D1935" w:rsidRPr="006B44AD" w:rsidRDefault="004D1935" w:rsidP="00E24DC9">
            <w:pPr>
              <w:rPr>
                <w:color w:val="000000" w:themeColor="text1"/>
              </w:rPr>
            </w:pPr>
          </w:p>
        </w:tc>
        <w:tc>
          <w:tcPr>
            <w:tcW w:w="1276" w:type="dxa"/>
            <w:vMerge/>
          </w:tcPr>
          <w:p w14:paraId="3003EC6E" w14:textId="77777777" w:rsidR="004D1935" w:rsidRPr="006B44AD" w:rsidRDefault="004D1935" w:rsidP="00E24DC9">
            <w:pPr>
              <w:rPr>
                <w:color w:val="000000" w:themeColor="text1"/>
              </w:rPr>
            </w:pPr>
          </w:p>
        </w:tc>
        <w:tc>
          <w:tcPr>
            <w:tcW w:w="2126" w:type="dxa"/>
            <w:vMerge/>
          </w:tcPr>
          <w:p w14:paraId="219208D0" w14:textId="77777777" w:rsidR="004D1935" w:rsidRPr="006B44AD" w:rsidRDefault="004D1935" w:rsidP="00E24DC9">
            <w:pPr>
              <w:rPr>
                <w:color w:val="000000" w:themeColor="text1"/>
              </w:rPr>
            </w:pPr>
          </w:p>
        </w:tc>
        <w:tc>
          <w:tcPr>
            <w:tcW w:w="6946" w:type="dxa"/>
            <w:vMerge/>
          </w:tcPr>
          <w:p w14:paraId="7A68C6A9" w14:textId="77777777" w:rsidR="004D1935" w:rsidRPr="006B44AD" w:rsidRDefault="004D1935" w:rsidP="00E24DC9">
            <w:pPr>
              <w:rPr>
                <w:color w:val="000000" w:themeColor="text1"/>
              </w:rPr>
            </w:pPr>
          </w:p>
        </w:tc>
      </w:tr>
      <w:tr w:rsidR="004D1935" w14:paraId="3B9EA4E1" w14:textId="77777777" w:rsidTr="00E24DC9">
        <w:tc>
          <w:tcPr>
            <w:tcW w:w="713" w:type="dxa"/>
            <w:vMerge/>
            <w:vAlign w:val="center"/>
          </w:tcPr>
          <w:p w14:paraId="58212459" w14:textId="77777777" w:rsidR="004D1935" w:rsidRDefault="004D1935" w:rsidP="00E24DC9">
            <w:pPr>
              <w:jc w:val="center"/>
            </w:pPr>
          </w:p>
        </w:tc>
        <w:tc>
          <w:tcPr>
            <w:tcW w:w="809" w:type="dxa"/>
            <w:tcBorders>
              <w:top w:val="nil"/>
              <w:bottom w:val="nil"/>
            </w:tcBorders>
            <w:vAlign w:val="bottom"/>
          </w:tcPr>
          <w:p w14:paraId="0A7C3DA8" w14:textId="77777777" w:rsidR="004D1935" w:rsidRDefault="004D1935" w:rsidP="00E24DC9">
            <w:r w:rsidRPr="006F6B8E">
              <w:rPr>
                <w:rFonts w:ascii="Calibri" w:hAnsi="Calibri" w:cs="Calibri"/>
                <w:color w:val="000000"/>
                <w:sz w:val="13"/>
                <w:szCs w:val="13"/>
              </w:rPr>
              <w:t>332.9505</w:t>
            </w:r>
          </w:p>
        </w:tc>
        <w:tc>
          <w:tcPr>
            <w:tcW w:w="2017" w:type="dxa"/>
            <w:vMerge/>
          </w:tcPr>
          <w:p w14:paraId="5B5608E8" w14:textId="77777777" w:rsidR="004D1935" w:rsidRPr="006B44AD" w:rsidRDefault="004D1935" w:rsidP="00E24DC9">
            <w:pPr>
              <w:rPr>
                <w:color w:val="000000" w:themeColor="text1"/>
              </w:rPr>
            </w:pPr>
          </w:p>
        </w:tc>
        <w:tc>
          <w:tcPr>
            <w:tcW w:w="1276" w:type="dxa"/>
            <w:vMerge/>
          </w:tcPr>
          <w:p w14:paraId="0EA092F0" w14:textId="77777777" w:rsidR="004D1935" w:rsidRPr="006B44AD" w:rsidRDefault="004D1935" w:rsidP="00E24DC9">
            <w:pPr>
              <w:rPr>
                <w:color w:val="000000" w:themeColor="text1"/>
              </w:rPr>
            </w:pPr>
          </w:p>
        </w:tc>
        <w:tc>
          <w:tcPr>
            <w:tcW w:w="2126" w:type="dxa"/>
            <w:vMerge/>
          </w:tcPr>
          <w:p w14:paraId="4131AED2" w14:textId="77777777" w:rsidR="004D1935" w:rsidRPr="006B44AD" w:rsidRDefault="004D1935" w:rsidP="00E24DC9">
            <w:pPr>
              <w:rPr>
                <w:color w:val="000000" w:themeColor="text1"/>
              </w:rPr>
            </w:pPr>
          </w:p>
        </w:tc>
        <w:tc>
          <w:tcPr>
            <w:tcW w:w="6946" w:type="dxa"/>
            <w:vMerge/>
          </w:tcPr>
          <w:p w14:paraId="2A0C7985" w14:textId="77777777" w:rsidR="004D1935" w:rsidRPr="006B44AD" w:rsidRDefault="004D1935" w:rsidP="00E24DC9">
            <w:pPr>
              <w:rPr>
                <w:color w:val="000000" w:themeColor="text1"/>
              </w:rPr>
            </w:pPr>
          </w:p>
        </w:tc>
      </w:tr>
      <w:tr w:rsidR="004D1935" w14:paraId="367E2E9A" w14:textId="77777777" w:rsidTr="00E24DC9">
        <w:tc>
          <w:tcPr>
            <w:tcW w:w="713" w:type="dxa"/>
            <w:vMerge/>
            <w:vAlign w:val="center"/>
          </w:tcPr>
          <w:p w14:paraId="5028231B" w14:textId="77777777" w:rsidR="004D1935" w:rsidRDefault="004D1935" w:rsidP="00E24DC9">
            <w:pPr>
              <w:jc w:val="center"/>
            </w:pPr>
          </w:p>
        </w:tc>
        <w:tc>
          <w:tcPr>
            <w:tcW w:w="809" w:type="dxa"/>
            <w:tcBorders>
              <w:top w:val="nil"/>
              <w:bottom w:val="nil"/>
            </w:tcBorders>
            <w:vAlign w:val="bottom"/>
          </w:tcPr>
          <w:p w14:paraId="2ED794B5" w14:textId="77777777" w:rsidR="004D1935" w:rsidRDefault="004D1935" w:rsidP="00E24DC9">
            <w:r w:rsidRPr="006F6B8E">
              <w:rPr>
                <w:rFonts w:ascii="Calibri" w:hAnsi="Calibri" w:cs="Calibri"/>
                <w:color w:val="000000"/>
                <w:sz w:val="13"/>
                <w:szCs w:val="13"/>
              </w:rPr>
              <w:t>333.0463</w:t>
            </w:r>
          </w:p>
        </w:tc>
        <w:tc>
          <w:tcPr>
            <w:tcW w:w="2017" w:type="dxa"/>
            <w:vMerge/>
          </w:tcPr>
          <w:p w14:paraId="1F70ABB0" w14:textId="77777777" w:rsidR="004D1935" w:rsidRPr="006B44AD" w:rsidRDefault="004D1935" w:rsidP="00E24DC9">
            <w:pPr>
              <w:rPr>
                <w:color w:val="000000" w:themeColor="text1"/>
              </w:rPr>
            </w:pPr>
          </w:p>
        </w:tc>
        <w:tc>
          <w:tcPr>
            <w:tcW w:w="1276" w:type="dxa"/>
            <w:vMerge/>
          </w:tcPr>
          <w:p w14:paraId="407740CD" w14:textId="77777777" w:rsidR="004D1935" w:rsidRPr="006B44AD" w:rsidRDefault="004D1935" w:rsidP="00E24DC9">
            <w:pPr>
              <w:rPr>
                <w:color w:val="000000" w:themeColor="text1"/>
              </w:rPr>
            </w:pPr>
          </w:p>
        </w:tc>
        <w:tc>
          <w:tcPr>
            <w:tcW w:w="2126" w:type="dxa"/>
            <w:vMerge/>
          </w:tcPr>
          <w:p w14:paraId="39FDC55A" w14:textId="77777777" w:rsidR="004D1935" w:rsidRPr="006B44AD" w:rsidRDefault="004D1935" w:rsidP="00E24DC9">
            <w:pPr>
              <w:rPr>
                <w:color w:val="000000" w:themeColor="text1"/>
              </w:rPr>
            </w:pPr>
          </w:p>
        </w:tc>
        <w:tc>
          <w:tcPr>
            <w:tcW w:w="6946" w:type="dxa"/>
            <w:vMerge/>
          </w:tcPr>
          <w:p w14:paraId="5788CF1B" w14:textId="77777777" w:rsidR="004D1935" w:rsidRPr="006B44AD" w:rsidRDefault="004D1935" w:rsidP="00E24DC9">
            <w:pPr>
              <w:rPr>
                <w:color w:val="000000" w:themeColor="text1"/>
              </w:rPr>
            </w:pPr>
          </w:p>
        </w:tc>
      </w:tr>
      <w:tr w:rsidR="004D1935" w14:paraId="0DD4577F" w14:textId="77777777" w:rsidTr="00E24DC9">
        <w:tc>
          <w:tcPr>
            <w:tcW w:w="713" w:type="dxa"/>
            <w:vMerge/>
            <w:vAlign w:val="center"/>
          </w:tcPr>
          <w:p w14:paraId="21CEA416" w14:textId="77777777" w:rsidR="004D1935" w:rsidRDefault="004D1935" w:rsidP="00E24DC9">
            <w:pPr>
              <w:jc w:val="center"/>
            </w:pPr>
          </w:p>
        </w:tc>
        <w:tc>
          <w:tcPr>
            <w:tcW w:w="809" w:type="dxa"/>
            <w:tcBorders>
              <w:top w:val="nil"/>
              <w:bottom w:val="nil"/>
            </w:tcBorders>
            <w:vAlign w:val="bottom"/>
          </w:tcPr>
          <w:p w14:paraId="0F79A72D" w14:textId="77777777" w:rsidR="004D1935" w:rsidRDefault="004D1935" w:rsidP="00E24DC9">
            <w:r w:rsidRPr="006F6B8E">
              <w:rPr>
                <w:rFonts w:ascii="Calibri" w:hAnsi="Calibri" w:cs="Calibri"/>
                <w:color w:val="000000"/>
                <w:sz w:val="13"/>
                <w:szCs w:val="13"/>
              </w:rPr>
              <w:t>332.9293</w:t>
            </w:r>
          </w:p>
        </w:tc>
        <w:tc>
          <w:tcPr>
            <w:tcW w:w="2017" w:type="dxa"/>
            <w:vMerge/>
          </w:tcPr>
          <w:p w14:paraId="490F3241" w14:textId="77777777" w:rsidR="004D1935" w:rsidRPr="006B44AD" w:rsidRDefault="004D1935" w:rsidP="00E24DC9">
            <w:pPr>
              <w:rPr>
                <w:color w:val="000000" w:themeColor="text1"/>
              </w:rPr>
            </w:pPr>
          </w:p>
        </w:tc>
        <w:tc>
          <w:tcPr>
            <w:tcW w:w="1276" w:type="dxa"/>
            <w:vMerge/>
          </w:tcPr>
          <w:p w14:paraId="6707B756" w14:textId="77777777" w:rsidR="004D1935" w:rsidRPr="006B44AD" w:rsidRDefault="004D1935" w:rsidP="00E24DC9">
            <w:pPr>
              <w:rPr>
                <w:color w:val="000000" w:themeColor="text1"/>
              </w:rPr>
            </w:pPr>
          </w:p>
        </w:tc>
        <w:tc>
          <w:tcPr>
            <w:tcW w:w="2126" w:type="dxa"/>
            <w:vMerge/>
          </w:tcPr>
          <w:p w14:paraId="2E114246" w14:textId="77777777" w:rsidR="004D1935" w:rsidRPr="006B44AD" w:rsidRDefault="004D1935" w:rsidP="00E24DC9">
            <w:pPr>
              <w:rPr>
                <w:color w:val="000000" w:themeColor="text1"/>
              </w:rPr>
            </w:pPr>
          </w:p>
        </w:tc>
        <w:tc>
          <w:tcPr>
            <w:tcW w:w="6946" w:type="dxa"/>
            <w:vMerge/>
          </w:tcPr>
          <w:p w14:paraId="67283DB6" w14:textId="77777777" w:rsidR="004D1935" w:rsidRPr="006B44AD" w:rsidRDefault="004D1935" w:rsidP="00E24DC9">
            <w:pPr>
              <w:rPr>
                <w:color w:val="000000" w:themeColor="text1"/>
              </w:rPr>
            </w:pPr>
          </w:p>
        </w:tc>
      </w:tr>
      <w:tr w:rsidR="004D1935" w14:paraId="183ECF97" w14:textId="77777777" w:rsidTr="00E24DC9">
        <w:tc>
          <w:tcPr>
            <w:tcW w:w="713" w:type="dxa"/>
            <w:vMerge/>
            <w:vAlign w:val="center"/>
          </w:tcPr>
          <w:p w14:paraId="262D5797" w14:textId="77777777" w:rsidR="004D1935" w:rsidRDefault="004D1935" w:rsidP="00E24DC9">
            <w:pPr>
              <w:jc w:val="center"/>
            </w:pPr>
          </w:p>
        </w:tc>
        <w:tc>
          <w:tcPr>
            <w:tcW w:w="809" w:type="dxa"/>
            <w:tcBorders>
              <w:top w:val="nil"/>
              <w:bottom w:val="nil"/>
            </w:tcBorders>
            <w:vAlign w:val="bottom"/>
          </w:tcPr>
          <w:p w14:paraId="3485F507" w14:textId="77777777" w:rsidR="004D1935" w:rsidRDefault="004D1935" w:rsidP="00E24DC9">
            <w:r w:rsidRPr="006F6B8E">
              <w:rPr>
                <w:rFonts w:ascii="Calibri" w:hAnsi="Calibri" w:cs="Calibri"/>
                <w:color w:val="000000"/>
                <w:sz w:val="13"/>
                <w:szCs w:val="13"/>
              </w:rPr>
              <w:t>332.9731</w:t>
            </w:r>
          </w:p>
        </w:tc>
        <w:tc>
          <w:tcPr>
            <w:tcW w:w="2017" w:type="dxa"/>
            <w:vMerge/>
          </w:tcPr>
          <w:p w14:paraId="1215D7BA" w14:textId="77777777" w:rsidR="004D1935" w:rsidRPr="006B44AD" w:rsidRDefault="004D1935" w:rsidP="00E24DC9">
            <w:pPr>
              <w:rPr>
                <w:color w:val="000000" w:themeColor="text1"/>
              </w:rPr>
            </w:pPr>
          </w:p>
        </w:tc>
        <w:tc>
          <w:tcPr>
            <w:tcW w:w="1276" w:type="dxa"/>
            <w:vMerge/>
          </w:tcPr>
          <w:p w14:paraId="6B01A74D" w14:textId="77777777" w:rsidR="004D1935" w:rsidRPr="006B44AD" w:rsidRDefault="004D1935" w:rsidP="00E24DC9">
            <w:pPr>
              <w:rPr>
                <w:color w:val="000000" w:themeColor="text1"/>
              </w:rPr>
            </w:pPr>
          </w:p>
        </w:tc>
        <w:tc>
          <w:tcPr>
            <w:tcW w:w="2126" w:type="dxa"/>
            <w:vMerge/>
          </w:tcPr>
          <w:p w14:paraId="397C1FAC" w14:textId="77777777" w:rsidR="004D1935" w:rsidRPr="006B44AD" w:rsidRDefault="004D1935" w:rsidP="00E24DC9">
            <w:pPr>
              <w:rPr>
                <w:color w:val="000000" w:themeColor="text1"/>
              </w:rPr>
            </w:pPr>
          </w:p>
        </w:tc>
        <w:tc>
          <w:tcPr>
            <w:tcW w:w="6946" w:type="dxa"/>
            <w:vMerge/>
          </w:tcPr>
          <w:p w14:paraId="69D7D622" w14:textId="77777777" w:rsidR="004D1935" w:rsidRPr="006B44AD" w:rsidRDefault="004D1935" w:rsidP="00E24DC9">
            <w:pPr>
              <w:rPr>
                <w:color w:val="000000" w:themeColor="text1"/>
              </w:rPr>
            </w:pPr>
          </w:p>
        </w:tc>
      </w:tr>
      <w:tr w:rsidR="004D1935" w14:paraId="7B9BC734" w14:textId="77777777" w:rsidTr="00E24DC9">
        <w:tc>
          <w:tcPr>
            <w:tcW w:w="713" w:type="dxa"/>
            <w:vMerge/>
            <w:vAlign w:val="center"/>
          </w:tcPr>
          <w:p w14:paraId="3CAE8349" w14:textId="77777777" w:rsidR="004D1935" w:rsidRDefault="004D1935" w:rsidP="00E24DC9">
            <w:pPr>
              <w:jc w:val="center"/>
            </w:pPr>
          </w:p>
        </w:tc>
        <w:tc>
          <w:tcPr>
            <w:tcW w:w="809" w:type="dxa"/>
            <w:tcBorders>
              <w:top w:val="nil"/>
              <w:bottom w:val="nil"/>
            </w:tcBorders>
            <w:vAlign w:val="bottom"/>
          </w:tcPr>
          <w:p w14:paraId="0DEF608A" w14:textId="77777777" w:rsidR="004D1935" w:rsidRDefault="004D1935" w:rsidP="00E24DC9">
            <w:r w:rsidRPr="006F6B8E">
              <w:rPr>
                <w:rFonts w:ascii="Calibri" w:hAnsi="Calibri" w:cs="Calibri"/>
                <w:color w:val="000000"/>
                <w:sz w:val="13"/>
                <w:szCs w:val="13"/>
              </w:rPr>
              <w:t>333.0330</w:t>
            </w:r>
          </w:p>
        </w:tc>
        <w:tc>
          <w:tcPr>
            <w:tcW w:w="2017" w:type="dxa"/>
            <w:vMerge/>
          </w:tcPr>
          <w:p w14:paraId="33573984" w14:textId="77777777" w:rsidR="004D1935" w:rsidRPr="006B44AD" w:rsidRDefault="004D1935" w:rsidP="00E24DC9">
            <w:pPr>
              <w:rPr>
                <w:color w:val="000000" w:themeColor="text1"/>
              </w:rPr>
            </w:pPr>
          </w:p>
        </w:tc>
        <w:tc>
          <w:tcPr>
            <w:tcW w:w="1276" w:type="dxa"/>
            <w:vMerge/>
          </w:tcPr>
          <w:p w14:paraId="34465D50" w14:textId="77777777" w:rsidR="004D1935" w:rsidRPr="006B44AD" w:rsidRDefault="004D1935" w:rsidP="00E24DC9">
            <w:pPr>
              <w:rPr>
                <w:color w:val="000000" w:themeColor="text1"/>
              </w:rPr>
            </w:pPr>
          </w:p>
        </w:tc>
        <w:tc>
          <w:tcPr>
            <w:tcW w:w="2126" w:type="dxa"/>
            <w:vMerge/>
          </w:tcPr>
          <w:p w14:paraId="0A76902C" w14:textId="77777777" w:rsidR="004D1935" w:rsidRPr="006B44AD" w:rsidRDefault="004D1935" w:rsidP="00E24DC9">
            <w:pPr>
              <w:rPr>
                <w:color w:val="000000" w:themeColor="text1"/>
              </w:rPr>
            </w:pPr>
          </w:p>
        </w:tc>
        <w:tc>
          <w:tcPr>
            <w:tcW w:w="6946" w:type="dxa"/>
            <w:vMerge/>
          </w:tcPr>
          <w:p w14:paraId="01858DC1" w14:textId="77777777" w:rsidR="004D1935" w:rsidRPr="006B44AD" w:rsidRDefault="004D1935" w:rsidP="00E24DC9">
            <w:pPr>
              <w:rPr>
                <w:color w:val="000000" w:themeColor="text1"/>
              </w:rPr>
            </w:pPr>
          </w:p>
        </w:tc>
      </w:tr>
      <w:tr w:rsidR="004D1935" w14:paraId="175F143A" w14:textId="77777777" w:rsidTr="00E24DC9">
        <w:tc>
          <w:tcPr>
            <w:tcW w:w="713" w:type="dxa"/>
            <w:vMerge/>
            <w:vAlign w:val="center"/>
          </w:tcPr>
          <w:p w14:paraId="22360889" w14:textId="77777777" w:rsidR="004D1935" w:rsidRDefault="004D1935" w:rsidP="00E24DC9">
            <w:pPr>
              <w:jc w:val="center"/>
            </w:pPr>
          </w:p>
        </w:tc>
        <w:tc>
          <w:tcPr>
            <w:tcW w:w="809" w:type="dxa"/>
            <w:tcBorders>
              <w:top w:val="nil"/>
              <w:bottom w:val="nil"/>
            </w:tcBorders>
            <w:vAlign w:val="bottom"/>
          </w:tcPr>
          <w:p w14:paraId="0DF22B57" w14:textId="77777777" w:rsidR="004D1935" w:rsidRDefault="004D1935" w:rsidP="00E24DC9">
            <w:r w:rsidRPr="006F6B8E">
              <w:rPr>
                <w:rFonts w:ascii="Calibri" w:hAnsi="Calibri" w:cs="Calibri"/>
                <w:color w:val="000000"/>
                <w:sz w:val="13"/>
                <w:szCs w:val="13"/>
              </w:rPr>
              <w:t>332.9345</w:t>
            </w:r>
          </w:p>
        </w:tc>
        <w:tc>
          <w:tcPr>
            <w:tcW w:w="2017" w:type="dxa"/>
            <w:vMerge/>
          </w:tcPr>
          <w:p w14:paraId="1E756B98" w14:textId="77777777" w:rsidR="004D1935" w:rsidRPr="006B44AD" w:rsidRDefault="004D1935" w:rsidP="00E24DC9">
            <w:pPr>
              <w:rPr>
                <w:color w:val="000000" w:themeColor="text1"/>
              </w:rPr>
            </w:pPr>
          </w:p>
        </w:tc>
        <w:tc>
          <w:tcPr>
            <w:tcW w:w="1276" w:type="dxa"/>
            <w:vMerge/>
          </w:tcPr>
          <w:p w14:paraId="19AD6888" w14:textId="77777777" w:rsidR="004D1935" w:rsidRPr="006B44AD" w:rsidRDefault="004D1935" w:rsidP="00E24DC9">
            <w:pPr>
              <w:rPr>
                <w:color w:val="000000" w:themeColor="text1"/>
              </w:rPr>
            </w:pPr>
          </w:p>
        </w:tc>
        <w:tc>
          <w:tcPr>
            <w:tcW w:w="2126" w:type="dxa"/>
            <w:vMerge/>
          </w:tcPr>
          <w:p w14:paraId="2C8FF9BB" w14:textId="77777777" w:rsidR="004D1935" w:rsidRPr="006B44AD" w:rsidRDefault="004D1935" w:rsidP="00E24DC9">
            <w:pPr>
              <w:rPr>
                <w:color w:val="000000" w:themeColor="text1"/>
              </w:rPr>
            </w:pPr>
          </w:p>
        </w:tc>
        <w:tc>
          <w:tcPr>
            <w:tcW w:w="6946" w:type="dxa"/>
            <w:vMerge/>
          </w:tcPr>
          <w:p w14:paraId="2A6C49FC" w14:textId="77777777" w:rsidR="004D1935" w:rsidRPr="006B44AD" w:rsidRDefault="004D1935" w:rsidP="00E24DC9">
            <w:pPr>
              <w:rPr>
                <w:color w:val="000000" w:themeColor="text1"/>
              </w:rPr>
            </w:pPr>
          </w:p>
        </w:tc>
      </w:tr>
      <w:tr w:rsidR="004D1935" w14:paraId="4247E210" w14:textId="77777777" w:rsidTr="00E24DC9">
        <w:tc>
          <w:tcPr>
            <w:tcW w:w="713" w:type="dxa"/>
            <w:vMerge/>
            <w:vAlign w:val="center"/>
          </w:tcPr>
          <w:p w14:paraId="3597BA15" w14:textId="77777777" w:rsidR="004D1935" w:rsidRDefault="004D1935" w:rsidP="00E24DC9">
            <w:pPr>
              <w:jc w:val="center"/>
            </w:pPr>
          </w:p>
        </w:tc>
        <w:tc>
          <w:tcPr>
            <w:tcW w:w="809" w:type="dxa"/>
            <w:tcBorders>
              <w:top w:val="nil"/>
              <w:bottom w:val="nil"/>
            </w:tcBorders>
            <w:vAlign w:val="bottom"/>
          </w:tcPr>
          <w:p w14:paraId="18CA7646" w14:textId="77777777" w:rsidR="004D1935" w:rsidRDefault="004D1935" w:rsidP="00E24DC9">
            <w:r w:rsidRPr="006F6B8E">
              <w:rPr>
                <w:rFonts w:ascii="Calibri" w:hAnsi="Calibri" w:cs="Calibri"/>
                <w:color w:val="000000"/>
                <w:sz w:val="13"/>
                <w:szCs w:val="13"/>
              </w:rPr>
              <w:t>332.9798</w:t>
            </w:r>
          </w:p>
        </w:tc>
        <w:tc>
          <w:tcPr>
            <w:tcW w:w="2017" w:type="dxa"/>
            <w:vMerge/>
          </w:tcPr>
          <w:p w14:paraId="2A280936" w14:textId="77777777" w:rsidR="004D1935" w:rsidRPr="006B44AD" w:rsidRDefault="004D1935" w:rsidP="00E24DC9">
            <w:pPr>
              <w:rPr>
                <w:color w:val="000000" w:themeColor="text1"/>
              </w:rPr>
            </w:pPr>
          </w:p>
        </w:tc>
        <w:tc>
          <w:tcPr>
            <w:tcW w:w="1276" w:type="dxa"/>
            <w:vMerge/>
          </w:tcPr>
          <w:p w14:paraId="5CF635C8" w14:textId="77777777" w:rsidR="004D1935" w:rsidRPr="006B44AD" w:rsidRDefault="004D1935" w:rsidP="00E24DC9">
            <w:pPr>
              <w:rPr>
                <w:color w:val="000000" w:themeColor="text1"/>
              </w:rPr>
            </w:pPr>
          </w:p>
        </w:tc>
        <w:tc>
          <w:tcPr>
            <w:tcW w:w="2126" w:type="dxa"/>
            <w:vMerge/>
          </w:tcPr>
          <w:p w14:paraId="6C7A1956" w14:textId="77777777" w:rsidR="004D1935" w:rsidRPr="006B44AD" w:rsidRDefault="004D1935" w:rsidP="00E24DC9">
            <w:pPr>
              <w:rPr>
                <w:color w:val="000000" w:themeColor="text1"/>
              </w:rPr>
            </w:pPr>
          </w:p>
        </w:tc>
        <w:tc>
          <w:tcPr>
            <w:tcW w:w="6946" w:type="dxa"/>
            <w:vMerge/>
          </w:tcPr>
          <w:p w14:paraId="232AF6B9" w14:textId="77777777" w:rsidR="004D1935" w:rsidRPr="006B44AD" w:rsidRDefault="004D1935" w:rsidP="00E24DC9">
            <w:pPr>
              <w:rPr>
                <w:color w:val="000000" w:themeColor="text1"/>
              </w:rPr>
            </w:pPr>
          </w:p>
        </w:tc>
      </w:tr>
      <w:tr w:rsidR="004D1935" w14:paraId="3940F8A9" w14:textId="77777777" w:rsidTr="00E24DC9">
        <w:tc>
          <w:tcPr>
            <w:tcW w:w="713" w:type="dxa"/>
            <w:vMerge/>
            <w:vAlign w:val="center"/>
          </w:tcPr>
          <w:p w14:paraId="5AB844E5" w14:textId="77777777" w:rsidR="004D1935" w:rsidRDefault="004D1935" w:rsidP="00E24DC9">
            <w:pPr>
              <w:jc w:val="center"/>
            </w:pPr>
          </w:p>
        </w:tc>
        <w:tc>
          <w:tcPr>
            <w:tcW w:w="809" w:type="dxa"/>
            <w:tcBorders>
              <w:top w:val="nil"/>
              <w:bottom w:val="nil"/>
            </w:tcBorders>
            <w:vAlign w:val="bottom"/>
          </w:tcPr>
          <w:p w14:paraId="6A37F129" w14:textId="77777777" w:rsidR="004D1935" w:rsidRDefault="004D1935" w:rsidP="00E24DC9">
            <w:r w:rsidRPr="006F6B8E">
              <w:rPr>
                <w:rFonts w:ascii="Calibri" w:hAnsi="Calibri" w:cs="Calibri"/>
                <w:color w:val="000000"/>
                <w:sz w:val="13"/>
                <w:szCs w:val="13"/>
              </w:rPr>
              <w:t>333.0370</w:t>
            </w:r>
          </w:p>
        </w:tc>
        <w:tc>
          <w:tcPr>
            <w:tcW w:w="2017" w:type="dxa"/>
            <w:vMerge/>
          </w:tcPr>
          <w:p w14:paraId="7F2BA847" w14:textId="77777777" w:rsidR="004D1935" w:rsidRPr="006B44AD" w:rsidRDefault="004D1935" w:rsidP="00E24DC9">
            <w:pPr>
              <w:rPr>
                <w:color w:val="000000" w:themeColor="text1"/>
              </w:rPr>
            </w:pPr>
          </w:p>
        </w:tc>
        <w:tc>
          <w:tcPr>
            <w:tcW w:w="1276" w:type="dxa"/>
            <w:vMerge/>
          </w:tcPr>
          <w:p w14:paraId="48E3ABB2" w14:textId="77777777" w:rsidR="004D1935" w:rsidRPr="006B44AD" w:rsidRDefault="004D1935" w:rsidP="00E24DC9">
            <w:pPr>
              <w:rPr>
                <w:color w:val="000000" w:themeColor="text1"/>
              </w:rPr>
            </w:pPr>
          </w:p>
        </w:tc>
        <w:tc>
          <w:tcPr>
            <w:tcW w:w="2126" w:type="dxa"/>
            <w:vMerge/>
          </w:tcPr>
          <w:p w14:paraId="613EA7E6" w14:textId="77777777" w:rsidR="004D1935" w:rsidRPr="006B44AD" w:rsidRDefault="004D1935" w:rsidP="00E24DC9">
            <w:pPr>
              <w:rPr>
                <w:color w:val="000000" w:themeColor="text1"/>
              </w:rPr>
            </w:pPr>
          </w:p>
        </w:tc>
        <w:tc>
          <w:tcPr>
            <w:tcW w:w="6946" w:type="dxa"/>
            <w:vMerge/>
          </w:tcPr>
          <w:p w14:paraId="3BBC1366" w14:textId="77777777" w:rsidR="004D1935" w:rsidRPr="006B44AD" w:rsidRDefault="004D1935" w:rsidP="00E24DC9">
            <w:pPr>
              <w:rPr>
                <w:color w:val="000000" w:themeColor="text1"/>
              </w:rPr>
            </w:pPr>
          </w:p>
        </w:tc>
      </w:tr>
      <w:tr w:rsidR="004D1935" w14:paraId="4DBE4BF4" w14:textId="77777777" w:rsidTr="00E24DC9">
        <w:tc>
          <w:tcPr>
            <w:tcW w:w="713" w:type="dxa"/>
            <w:vMerge/>
            <w:vAlign w:val="center"/>
          </w:tcPr>
          <w:p w14:paraId="0C90459D" w14:textId="77777777" w:rsidR="004D1935" w:rsidRDefault="004D1935" w:rsidP="00E24DC9">
            <w:pPr>
              <w:jc w:val="center"/>
            </w:pPr>
          </w:p>
        </w:tc>
        <w:tc>
          <w:tcPr>
            <w:tcW w:w="809" w:type="dxa"/>
            <w:tcBorders>
              <w:top w:val="nil"/>
              <w:bottom w:val="nil"/>
            </w:tcBorders>
            <w:vAlign w:val="bottom"/>
          </w:tcPr>
          <w:p w14:paraId="15CB3FD3" w14:textId="77777777" w:rsidR="004D1935" w:rsidRDefault="004D1935" w:rsidP="00E24DC9">
            <w:r w:rsidRPr="006F6B8E">
              <w:rPr>
                <w:rFonts w:ascii="Calibri" w:hAnsi="Calibri" w:cs="Calibri"/>
                <w:color w:val="000000"/>
                <w:sz w:val="13"/>
                <w:szCs w:val="13"/>
              </w:rPr>
              <w:t>332.9306</w:t>
            </w:r>
          </w:p>
        </w:tc>
        <w:tc>
          <w:tcPr>
            <w:tcW w:w="2017" w:type="dxa"/>
            <w:vMerge/>
          </w:tcPr>
          <w:p w14:paraId="315C4670" w14:textId="77777777" w:rsidR="004D1935" w:rsidRPr="006B44AD" w:rsidRDefault="004D1935" w:rsidP="00E24DC9">
            <w:pPr>
              <w:rPr>
                <w:color w:val="000000" w:themeColor="text1"/>
              </w:rPr>
            </w:pPr>
          </w:p>
        </w:tc>
        <w:tc>
          <w:tcPr>
            <w:tcW w:w="1276" w:type="dxa"/>
            <w:vMerge/>
          </w:tcPr>
          <w:p w14:paraId="3C0706C9" w14:textId="77777777" w:rsidR="004D1935" w:rsidRPr="006B44AD" w:rsidRDefault="004D1935" w:rsidP="00E24DC9">
            <w:pPr>
              <w:rPr>
                <w:color w:val="000000" w:themeColor="text1"/>
              </w:rPr>
            </w:pPr>
          </w:p>
        </w:tc>
        <w:tc>
          <w:tcPr>
            <w:tcW w:w="2126" w:type="dxa"/>
            <w:vMerge/>
          </w:tcPr>
          <w:p w14:paraId="749C2D86" w14:textId="77777777" w:rsidR="004D1935" w:rsidRPr="006B44AD" w:rsidRDefault="004D1935" w:rsidP="00E24DC9">
            <w:pPr>
              <w:rPr>
                <w:color w:val="000000" w:themeColor="text1"/>
              </w:rPr>
            </w:pPr>
          </w:p>
        </w:tc>
        <w:tc>
          <w:tcPr>
            <w:tcW w:w="6946" w:type="dxa"/>
            <w:vMerge/>
          </w:tcPr>
          <w:p w14:paraId="268B6C16" w14:textId="77777777" w:rsidR="004D1935" w:rsidRPr="006B44AD" w:rsidRDefault="004D1935" w:rsidP="00E24DC9">
            <w:pPr>
              <w:rPr>
                <w:color w:val="000000" w:themeColor="text1"/>
              </w:rPr>
            </w:pPr>
          </w:p>
        </w:tc>
      </w:tr>
      <w:tr w:rsidR="004D1935" w14:paraId="52A41B39" w14:textId="77777777" w:rsidTr="00E24DC9">
        <w:tc>
          <w:tcPr>
            <w:tcW w:w="713" w:type="dxa"/>
            <w:vMerge/>
            <w:vAlign w:val="center"/>
          </w:tcPr>
          <w:p w14:paraId="18749FD1" w14:textId="77777777" w:rsidR="004D1935" w:rsidRDefault="004D1935" w:rsidP="00E24DC9">
            <w:pPr>
              <w:jc w:val="center"/>
            </w:pPr>
          </w:p>
        </w:tc>
        <w:tc>
          <w:tcPr>
            <w:tcW w:w="809" w:type="dxa"/>
            <w:tcBorders>
              <w:top w:val="nil"/>
              <w:bottom w:val="nil"/>
            </w:tcBorders>
            <w:vAlign w:val="bottom"/>
          </w:tcPr>
          <w:p w14:paraId="4D23D60A" w14:textId="77777777" w:rsidR="004D1935" w:rsidRDefault="004D1935" w:rsidP="00E24DC9">
            <w:r w:rsidRPr="006F6B8E">
              <w:rPr>
                <w:rFonts w:ascii="Calibri" w:hAnsi="Calibri" w:cs="Calibri"/>
                <w:color w:val="000000"/>
                <w:sz w:val="13"/>
                <w:szCs w:val="13"/>
              </w:rPr>
              <w:t>332.9704</w:t>
            </w:r>
          </w:p>
        </w:tc>
        <w:tc>
          <w:tcPr>
            <w:tcW w:w="2017" w:type="dxa"/>
            <w:vMerge/>
          </w:tcPr>
          <w:p w14:paraId="72D7118D" w14:textId="77777777" w:rsidR="004D1935" w:rsidRPr="006B44AD" w:rsidRDefault="004D1935" w:rsidP="00E24DC9">
            <w:pPr>
              <w:rPr>
                <w:color w:val="000000" w:themeColor="text1"/>
              </w:rPr>
            </w:pPr>
          </w:p>
        </w:tc>
        <w:tc>
          <w:tcPr>
            <w:tcW w:w="1276" w:type="dxa"/>
            <w:vMerge/>
          </w:tcPr>
          <w:p w14:paraId="3FC938D9" w14:textId="77777777" w:rsidR="004D1935" w:rsidRPr="006B44AD" w:rsidRDefault="004D1935" w:rsidP="00E24DC9">
            <w:pPr>
              <w:rPr>
                <w:color w:val="000000" w:themeColor="text1"/>
              </w:rPr>
            </w:pPr>
          </w:p>
        </w:tc>
        <w:tc>
          <w:tcPr>
            <w:tcW w:w="2126" w:type="dxa"/>
            <w:vMerge/>
          </w:tcPr>
          <w:p w14:paraId="2596A298" w14:textId="77777777" w:rsidR="004D1935" w:rsidRPr="006B44AD" w:rsidRDefault="004D1935" w:rsidP="00E24DC9">
            <w:pPr>
              <w:rPr>
                <w:color w:val="000000" w:themeColor="text1"/>
              </w:rPr>
            </w:pPr>
          </w:p>
        </w:tc>
        <w:tc>
          <w:tcPr>
            <w:tcW w:w="6946" w:type="dxa"/>
            <w:vMerge/>
          </w:tcPr>
          <w:p w14:paraId="1EE858D1" w14:textId="77777777" w:rsidR="004D1935" w:rsidRPr="006B44AD" w:rsidRDefault="004D1935" w:rsidP="00E24DC9">
            <w:pPr>
              <w:rPr>
                <w:color w:val="000000" w:themeColor="text1"/>
              </w:rPr>
            </w:pPr>
          </w:p>
        </w:tc>
      </w:tr>
      <w:tr w:rsidR="004D1935" w14:paraId="28166E9F" w14:textId="77777777" w:rsidTr="00E24DC9">
        <w:tc>
          <w:tcPr>
            <w:tcW w:w="713" w:type="dxa"/>
            <w:vMerge/>
            <w:vAlign w:val="center"/>
          </w:tcPr>
          <w:p w14:paraId="7CB5369D" w14:textId="77777777" w:rsidR="004D1935" w:rsidRDefault="004D1935" w:rsidP="00E24DC9">
            <w:pPr>
              <w:jc w:val="center"/>
            </w:pPr>
          </w:p>
        </w:tc>
        <w:tc>
          <w:tcPr>
            <w:tcW w:w="809" w:type="dxa"/>
            <w:tcBorders>
              <w:top w:val="nil"/>
              <w:bottom w:val="nil"/>
            </w:tcBorders>
            <w:vAlign w:val="bottom"/>
          </w:tcPr>
          <w:p w14:paraId="4EFD2E3A" w14:textId="77777777" w:rsidR="004D1935" w:rsidRDefault="004D1935" w:rsidP="00E24DC9">
            <w:r w:rsidRPr="006F6B8E">
              <w:rPr>
                <w:rFonts w:ascii="Calibri" w:hAnsi="Calibri" w:cs="Calibri"/>
                <w:color w:val="000000"/>
                <w:sz w:val="13"/>
                <w:szCs w:val="13"/>
              </w:rPr>
              <w:t>333.0449</w:t>
            </w:r>
          </w:p>
        </w:tc>
        <w:tc>
          <w:tcPr>
            <w:tcW w:w="2017" w:type="dxa"/>
            <w:vMerge/>
          </w:tcPr>
          <w:p w14:paraId="61E35763" w14:textId="77777777" w:rsidR="004D1935" w:rsidRPr="006B44AD" w:rsidRDefault="004D1935" w:rsidP="00E24DC9">
            <w:pPr>
              <w:rPr>
                <w:color w:val="000000" w:themeColor="text1"/>
              </w:rPr>
            </w:pPr>
          </w:p>
        </w:tc>
        <w:tc>
          <w:tcPr>
            <w:tcW w:w="1276" w:type="dxa"/>
            <w:vMerge/>
          </w:tcPr>
          <w:p w14:paraId="699C5584" w14:textId="77777777" w:rsidR="004D1935" w:rsidRPr="006B44AD" w:rsidRDefault="004D1935" w:rsidP="00E24DC9">
            <w:pPr>
              <w:rPr>
                <w:color w:val="000000" w:themeColor="text1"/>
              </w:rPr>
            </w:pPr>
          </w:p>
        </w:tc>
        <w:tc>
          <w:tcPr>
            <w:tcW w:w="2126" w:type="dxa"/>
            <w:vMerge/>
          </w:tcPr>
          <w:p w14:paraId="2D89A004" w14:textId="77777777" w:rsidR="004D1935" w:rsidRPr="006B44AD" w:rsidRDefault="004D1935" w:rsidP="00E24DC9">
            <w:pPr>
              <w:rPr>
                <w:color w:val="000000" w:themeColor="text1"/>
              </w:rPr>
            </w:pPr>
          </w:p>
        </w:tc>
        <w:tc>
          <w:tcPr>
            <w:tcW w:w="6946" w:type="dxa"/>
            <w:vMerge/>
          </w:tcPr>
          <w:p w14:paraId="13CC84FC" w14:textId="77777777" w:rsidR="004D1935" w:rsidRPr="006B44AD" w:rsidRDefault="004D1935" w:rsidP="00E24DC9">
            <w:pPr>
              <w:rPr>
                <w:color w:val="000000" w:themeColor="text1"/>
              </w:rPr>
            </w:pPr>
          </w:p>
        </w:tc>
      </w:tr>
      <w:tr w:rsidR="004D1935" w14:paraId="09745BDA" w14:textId="77777777" w:rsidTr="00E24DC9">
        <w:tc>
          <w:tcPr>
            <w:tcW w:w="713" w:type="dxa"/>
            <w:vMerge/>
            <w:vAlign w:val="center"/>
          </w:tcPr>
          <w:p w14:paraId="7F9E90A4" w14:textId="77777777" w:rsidR="004D1935" w:rsidRDefault="004D1935" w:rsidP="00E24DC9">
            <w:pPr>
              <w:jc w:val="center"/>
            </w:pPr>
          </w:p>
        </w:tc>
        <w:tc>
          <w:tcPr>
            <w:tcW w:w="809" w:type="dxa"/>
            <w:tcBorders>
              <w:top w:val="nil"/>
              <w:bottom w:val="nil"/>
            </w:tcBorders>
            <w:vAlign w:val="bottom"/>
          </w:tcPr>
          <w:p w14:paraId="011FDD57" w14:textId="77777777" w:rsidR="004D1935" w:rsidRDefault="004D1935" w:rsidP="00E24DC9">
            <w:r w:rsidRPr="006F6B8E">
              <w:rPr>
                <w:rFonts w:ascii="Calibri" w:hAnsi="Calibri" w:cs="Calibri"/>
                <w:color w:val="000000"/>
                <w:sz w:val="13"/>
                <w:szCs w:val="13"/>
              </w:rPr>
              <w:t>332.9771</w:t>
            </w:r>
          </w:p>
        </w:tc>
        <w:tc>
          <w:tcPr>
            <w:tcW w:w="2017" w:type="dxa"/>
            <w:vMerge/>
          </w:tcPr>
          <w:p w14:paraId="3E7B0C87" w14:textId="77777777" w:rsidR="004D1935" w:rsidRPr="006B44AD" w:rsidRDefault="004D1935" w:rsidP="00E24DC9">
            <w:pPr>
              <w:rPr>
                <w:color w:val="000000" w:themeColor="text1"/>
              </w:rPr>
            </w:pPr>
          </w:p>
        </w:tc>
        <w:tc>
          <w:tcPr>
            <w:tcW w:w="1276" w:type="dxa"/>
            <w:vMerge/>
          </w:tcPr>
          <w:p w14:paraId="119C5A2F" w14:textId="77777777" w:rsidR="004D1935" w:rsidRPr="006B44AD" w:rsidRDefault="004D1935" w:rsidP="00E24DC9">
            <w:pPr>
              <w:rPr>
                <w:color w:val="000000" w:themeColor="text1"/>
              </w:rPr>
            </w:pPr>
          </w:p>
        </w:tc>
        <w:tc>
          <w:tcPr>
            <w:tcW w:w="2126" w:type="dxa"/>
            <w:vMerge/>
          </w:tcPr>
          <w:p w14:paraId="363C726D" w14:textId="77777777" w:rsidR="004D1935" w:rsidRPr="006B44AD" w:rsidRDefault="004D1935" w:rsidP="00E24DC9">
            <w:pPr>
              <w:rPr>
                <w:color w:val="000000" w:themeColor="text1"/>
              </w:rPr>
            </w:pPr>
          </w:p>
        </w:tc>
        <w:tc>
          <w:tcPr>
            <w:tcW w:w="6946" w:type="dxa"/>
            <w:vMerge/>
          </w:tcPr>
          <w:p w14:paraId="47FE7FA9" w14:textId="77777777" w:rsidR="004D1935" w:rsidRPr="006B44AD" w:rsidRDefault="004D1935" w:rsidP="00E24DC9">
            <w:pPr>
              <w:rPr>
                <w:color w:val="000000" w:themeColor="text1"/>
              </w:rPr>
            </w:pPr>
          </w:p>
        </w:tc>
      </w:tr>
      <w:tr w:rsidR="004D1935" w14:paraId="350D095B" w14:textId="77777777" w:rsidTr="00E24DC9">
        <w:tc>
          <w:tcPr>
            <w:tcW w:w="713" w:type="dxa"/>
            <w:vMerge/>
            <w:vAlign w:val="center"/>
          </w:tcPr>
          <w:p w14:paraId="4FF46B6C" w14:textId="77777777" w:rsidR="004D1935" w:rsidRDefault="004D1935" w:rsidP="00E24DC9">
            <w:pPr>
              <w:jc w:val="center"/>
            </w:pPr>
          </w:p>
        </w:tc>
        <w:tc>
          <w:tcPr>
            <w:tcW w:w="809" w:type="dxa"/>
            <w:tcBorders>
              <w:top w:val="nil"/>
              <w:bottom w:val="nil"/>
            </w:tcBorders>
            <w:vAlign w:val="bottom"/>
          </w:tcPr>
          <w:p w14:paraId="6EC9F509" w14:textId="77777777" w:rsidR="004D1935" w:rsidRDefault="004D1935" w:rsidP="00E24DC9">
            <w:r w:rsidRPr="006F6B8E">
              <w:rPr>
                <w:rFonts w:ascii="Calibri" w:hAnsi="Calibri" w:cs="Calibri"/>
                <w:color w:val="000000"/>
                <w:sz w:val="13"/>
                <w:szCs w:val="13"/>
              </w:rPr>
              <w:t>333.0357</w:t>
            </w:r>
          </w:p>
        </w:tc>
        <w:tc>
          <w:tcPr>
            <w:tcW w:w="2017" w:type="dxa"/>
            <w:vMerge/>
          </w:tcPr>
          <w:p w14:paraId="54CA3C33" w14:textId="77777777" w:rsidR="004D1935" w:rsidRPr="006B44AD" w:rsidRDefault="004D1935" w:rsidP="00E24DC9">
            <w:pPr>
              <w:rPr>
                <w:color w:val="000000" w:themeColor="text1"/>
              </w:rPr>
            </w:pPr>
          </w:p>
        </w:tc>
        <w:tc>
          <w:tcPr>
            <w:tcW w:w="1276" w:type="dxa"/>
            <w:vMerge/>
          </w:tcPr>
          <w:p w14:paraId="6D7459F3" w14:textId="77777777" w:rsidR="004D1935" w:rsidRPr="006B44AD" w:rsidRDefault="004D1935" w:rsidP="00E24DC9">
            <w:pPr>
              <w:rPr>
                <w:color w:val="000000" w:themeColor="text1"/>
              </w:rPr>
            </w:pPr>
          </w:p>
        </w:tc>
        <w:tc>
          <w:tcPr>
            <w:tcW w:w="2126" w:type="dxa"/>
            <w:vMerge/>
          </w:tcPr>
          <w:p w14:paraId="23ABAEEC" w14:textId="77777777" w:rsidR="004D1935" w:rsidRPr="006B44AD" w:rsidRDefault="004D1935" w:rsidP="00E24DC9">
            <w:pPr>
              <w:rPr>
                <w:color w:val="000000" w:themeColor="text1"/>
              </w:rPr>
            </w:pPr>
          </w:p>
        </w:tc>
        <w:tc>
          <w:tcPr>
            <w:tcW w:w="6946" w:type="dxa"/>
            <w:vMerge/>
          </w:tcPr>
          <w:p w14:paraId="0C626017" w14:textId="77777777" w:rsidR="004D1935" w:rsidRPr="006B44AD" w:rsidRDefault="004D1935" w:rsidP="00E24DC9">
            <w:pPr>
              <w:rPr>
                <w:color w:val="000000" w:themeColor="text1"/>
              </w:rPr>
            </w:pPr>
          </w:p>
        </w:tc>
      </w:tr>
      <w:tr w:rsidR="004D1935" w14:paraId="64BC0D0C" w14:textId="77777777" w:rsidTr="00E24DC9">
        <w:tc>
          <w:tcPr>
            <w:tcW w:w="713" w:type="dxa"/>
            <w:vMerge/>
            <w:vAlign w:val="center"/>
          </w:tcPr>
          <w:p w14:paraId="502CA7F9" w14:textId="77777777" w:rsidR="004D1935" w:rsidRDefault="004D1935" w:rsidP="00E24DC9">
            <w:pPr>
              <w:jc w:val="center"/>
            </w:pPr>
          </w:p>
        </w:tc>
        <w:tc>
          <w:tcPr>
            <w:tcW w:w="809" w:type="dxa"/>
            <w:tcBorders>
              <w:top w:val="nil"/>
              <w:bottom w:val="nil"/>
            </w:tcBorders>
            <w:vAlign w:val="bottom"/>
          </w:tcPr>
          <w:p w14:paraId="5C34D2F9" w14:textId="77777777" w:rsidR="004D1935" w:rsidRDefault="004D1935" w:rsidP="00E24DC9">
            <w:r w:rsidRPr="006F6B8E">
              <w:rPr>
                <w:rFonts w:ascii="Calibri" w:hAnsi="Calibri" w:cs="Calibri"/>
                <w:color w:val="000000"/>
                <w:sz w:val="13"/>
                <w:szCs w:val="13"/>
              </w:rPr>
              <w:t>332.9519</w:t>
            </w:r>
          </w:p>
        </w:tc>
        <w:tc>
          <w:tcPr>
            <w:tcW w:w="2017" w:type="dxa"/>
            <w:vMerge/>
          </w:tcPr>
          <w:p w14:paraId="718E7A4A" w14:textId="77777777" w:rsidR="004D1935" w:rsidRPr="006B44AD" w:rsidRDefault="004D1935" w:rsidP="00E24DC9">
            <w:pPr>
              <w:rPr>
                <w:color w:val="000000" w:themeColor="text1"/>
              </w:rPr>
            </w:pPr>
          </w:p>
        </w:tc>
        <w:tc>
          <w:tcPr>
            <w:tcW w:w="1276" w:type="dxa"/>
            <w:vMerge/>
          </w:tcPr>
          <w:p w14:paraId="01F64EF0" w14:textId="77777777" w:rsidR="004D1935" w:rsidRPr="006B44AD" w:rsidRDefault="004D1935" w:rsidP="00E24DC9">
            <w:pPr>
              <w:rPr>
                <w:color w:val="000000" w:themeColor="text1"/>
              </w:rPr>
            </w:pPr>
          </w:p>
        </w:tc>
        <w:tc>
          <w:tcPr>
            <w:tcW w:w="2126" w:type="dxa"/>
            <w:vMerge/>
          </w:tcPr>
          <w:p w14:paraId="613F0FF2" w14:textId="77777777" w:rsidR="004D1935" w:rsidRPr="006B44AD" w:rsidRDefault="004D1935" w:rsidP="00E24DC9">
            <w:pPr>
              <w:rPr>
                <w:color w:val="000000" w:themeColor="text1"/>
              </w:rPr>
            </w:pPr>
          </w:p>
        </w:tc>
        <w:tc>
          <w:tcPr>
            <w:tcW w:w="6946" w:type="dxa"/>
            <w:vMerge/>
          </w:tcPr>
          <w:p w14:paraId="4B53B10D" w14:textId="77777777" w:rsidR="004D1935" w:rsidRPr="006B44AD" w:rsidRDefault="004D1935" w:rsidP="00E24DC9">
            <w:pPr>
              <w:rPr>
                <w:color w:val="000000" w:themeColor="text1"/>
              </w:rPr>
            </w:pPr>
          </w:p>
        </w:tc>
      </w:tr>
      <w:tr w:rsidR="004D1935" w14:paraId="0A07E837" w14:textId="77777777" w:rsidTr="00E24DC9">
        <w:tc>
          <w:tcPr>
            <w:tcW w:w="713" w:type="dxa"/>
            <w:vMerge/>
            <w:vAlign w:val="center"/>
          </w:tcPr>
          <w:p w14:paraId="1D4D7096" w14:textId="77777777" w:rsidR="004D1935" w:rsidRDefault="004D1935" w:rsidP="00E24DC9">
            <w:pPr>
              <w:jc w:val="center"/>
            </w:pPr>
          </w:p>
        </w:tc>
        <w:tc>
          <w:tcPr>
            <w:tcW w:w="809" w:type="dxa"/>
            <w:tcBorders>
              <w:top w:val="nil"/>
              <w:bottom w:val="nil"/>
            </w:tcBorders>
            <w:vAlign w:val="bottom"/>
          </w:tcPr>
          <w:p w14:paraId="3EE4DB32" w14:textId="77777777" w:rsidR="004D1935" w:rsidRDefault="004D1935" w:rsidP="00E24DC9">
            <w:r w:rsidRPr="006F6B8E">
              <w:rPr>
                <w:rFonts w:ascii="Calibri" w:hAnsi="Calibri" w:cs="Calibri"/>
                <w:color w:val="000000"/>
                <w:sz w:val="13"/>
                <w:szCs w:val="13"/>
              </w:rPr>
              <w:t>333.0450</w:t>
            </w:r>
          </w:p>
        </w:tc>
        <w:tc>
          <w:tcPr>
            <w:tcW w:w="2017" w:type="dxa"/>
            <w:vMerge/>
          </w:tcPr>
          <w:p w14:paraId="6CB9E98C" w14:textId="77777777" w:rsidR="004D1935" w:rsidRPr="006B44AD" w:rsidRDefault="004D1935" w:rsidP="00E24DC9">
            <w:pPr>
              <w:rPr>
                <w:color w:val="000000" w:themeColor="text1"/>
              </w:rPr>
            </w:pPr>
          </w:p>
        </w:tc>
        <w:tc>
          <w:tcPr>
            <w:tcW w:w="1276" w:type="dxa"/>
            <w:vMerge/>
          </w:tcPr>
          <w:p w14:paraId="33419EA4" w14:textId="77777777" w:rsidR="004D1935" w:rsidRPr="006B44AD" w:rsidRDefault="004D1935" w:rsidP="00E24DC9">
            <w:pPr>
              <w:rPr>
                <w:color w:val="000000" w:themeColor="text1"/>
              </w:rPr>
            </w:pPr>
          </w:p>
        </w:tc>
        <w:tc>
          <w:tcPr>
            <w:tcW w:w="2126" w:type="dxa"/>
            <w:vMerge/>
          </w:tcPr>
          <w:p w14:paraId="776FB9F0" w14:textId="77777777" w:rsidR="004D1935" w:rsidRPr="006B44AD" w:rsidRDefault="004D1935" w:rsidP="00E24DC9">
            <w:pPr>
              <w:rPr>
                <w:color w:val="000000" w:themeColor="text1"/>
              </w:rPr>
            </w:pPr>
          </w:p>
        </w:tc>
        <w:tc>
          <w:tcPr>
            <w:tcW w:w="6946" w:type="dxa"/>
            <w:vMerge/>
          </w:tcPr>
          <w:p w14:paraId="143D2D84" w14:textId="77777777" w:rsidR="004D1935" w:rsidRPr="006B44AD" w:rsidRDefault="004D1935" w:rsidP="00E24DC9">
            <w:pPr>
              <w:rPr>
                <w:color w:val="000000" w:themeColor="text1"/>
              </w:rPr>
            </w:pPr>
          </w:p>
        </w:tc>
      </w:tr>
      <w:tr w:rsidR="004D1935" w14:paraId="5AEDB77F" w14:textId="77777777" w:rsidTr="00E24DC9">
        <w:tc>
          <w:tcPr>
            <w:tcW w:w="713" w:type="dxa"/>
            <w:vMerge/>
            <w:vAlign w:val="center"/>
          </w:tcPr>
          <w:p w14:paraId="6C642F7D" w14:textId="77777777" w:rsidR="004D1935" w:rsidRDefault="004D1935" w:rsidP="00E24DC9">
            <w:pPr>
              <w:jc w:val="center"/>
            </w:pPr>
          </w:p>
        </w:tc>
        <w:tc>
          <w:tcPr>
            <w:tcW w:w="809" w:type="dxa"/>
            <w:tcBorders>
              <w:top w:val="nil"/>
              <w:bottom w:val="nil"/>
            </w:tcBorders>
            <w:vAlign w:val="bottom"/>
          </w:tcPr>
          <w:p w14:paraId="5A7EC060" w14:textId="77777777" w:rsidR="004D1935" w:rsidRDefault="004D1935" w:rsidP="00E24DC9">
            <w:r w:rsidRPr="006F6B8E">
              <w:rPr>
                <w:rFonts w:ascii="Calibri" w:hAnsi="Calibri" w:cs="Calibri"/>
                <w:color w:val="000000"/>
                <w:sz w:val="13"/>
                <w:szCs w:val="13"/>
              </w:rPr>
              <w:t>332.9532</w:t>
            </w:r>
          </w:p>
        </w:tc>
        <w:tc>
          <w:tcPr>
            <w:tcW w:w="2017" w:type="dxa"/>
            <w:vMerge/>
          </w:tcPr>
          <w:p w14:paraId="4BA7075A" w14:textId="77777777" w:rsidR="004D1935" w:rsidRPr="006B44AD" w:rsidRDefault="004D1935" w:rsidP="00E24DC9">
            <w:pPr>
              <w:rPr>
                <w:color w:val="000000" w:themeColor="text1"/>
              </w:rPr>
            </w:pPr>
          </w:p>
        </w:tc>
        <w:tc>
          <w:tcPr>
            <w:tcW w:w="1276" w:type="dxa"/>
            <w:vMerge/>
          </w:tcPr>
          <w:p w14:paraId="61D1F7C9" w14:textId="77777777" w:rsidR="004D1935" w:rsidRPr="006B44AD" w:rsidRDefault="004D1935" w:rsidP="00E24DC9">
            <w:pPr>
              <w:rPr>
                <w:color w:val="000000" w:themeColor="text1"/>
              </w:rPr>
            </w:pPr>
          </w:p>
        </w:tc>
        <w:tc>
          <w:tcPr>
            <w:tcW w:w="2126" w:type="dxa"/>
            <w:vMerge/>
          </w:tcPr>
          <w:p w14:paraId="4F1BD008" w14:textId="77777777" w:rsidR="004D1935" w:rsidRPr="006B44AD" w:rsidRDefault="004D1935" w:rsidP="00E24DC9">
            <w:pPr>
              <w:rPr>
                <w:color w:val="000000" w:themeColor="text1"/>
              </w:rPr>
            </w:pPr>
          </w:p>
        </w:tc>
        <w:tc>
          <w:tcPr>
            <w:tcW w:w="6946" w:type="dxa"/>
            <w:vMerge/>
          </w:tcPr>
          <w:p w14:paraId="79089FF7" w14:textId="77777777" w:rsidR="004D1935" w:rsidRPr="006B44AD" w:rsidRDefault="004D1935" w:rsidP="00E24DC9">
            <w:pPr>
              <w:rPr>
                <w:color w:val="000000" w:themeColor="text1"/>
              </w:rPr>
            </w:pPr>
          </w:p>
        </w:tc>
      </w:tr>
      <w:tr w:rsidR="004D1935" w14:paraId="02CFB9E2" w14:textId="77777777" w:rsidTr="00E24DC9">
        <w:tc>
          <w:tcPr>
            <w:tcW w:w="713" w:type="dxa"/>
            <w:vMerge/>
            <w:vAlign w:val="center"/>
          </w:tcPr>
          <w:p w14:paraId="6CA56B36" w14:textId="77777777" w:rsidR="004D1935" w:rsidRDefault="004D1935" w:rsidP="00E24DC9">
            <w:pPr>
              <w:jc w:val="center"/>
            </w:pPr>
          </w:p>
        </w:tc>
        <w:tc>
          <w:tcPr>
            <w:tcW w:w="809" w:type="dxa"/>
            <w:tcBorders>
              <w:top w:val="nil"/>
              <w:bottom w:val="nil"/>
            </w:tcBorders>
            <w:vAlign w:val="bottom"/>
          </w:tcPr>
          <w:p w14:paraId="210EDBEC" w14:textId="77777777" w:rsidR="004D1935" w:rsidRDefault="004D1935" w:rsidP="00E24DC9">
            <w:r w:rsidRPr="006F6B8E">
              <w:rPr>
                <w:rFonts w:ascii="Calibri" w:hAnsi="Calibri" w:cs="Calibri"/>
                <w:color w:val="000000"/>
                <w:sz w:val="13"/>
                <w:szCs w:val="13"/>
              </w:rPr>
              <w:t>333.0410</w:t>
            </w:r>
          </w:p>
        </w:tc>
        <w:tc>
          <w:tcPr>
            <w:tcW w:w="2017" w:type="dxa"/>
            <w:vMerge/>
          </w:tcPr>
          <w:p w14:paraId="5217B663" w14:textId="77777777" w:rsidR="004D1935" w:rsidRPr="006B44AD" w:rsidRDefault="004D1935" w:rsidP="00E24DC9">
            <w:pPr>
              <w:rPr>
                <w:color w:val="000000" w:themeColor="text1"/>
              </w:rPr>
            </w:pPr>
          </w:p>
        </w:tc>
        <w:tc>
          <w:tcPr>
            <w:tcW w:w="1276" w:type="dxa"/>
            <w:vMerge/>
          </w:tcPr>
          <w:p w14:paraId="72BCE301" w14:textId="77777777" w:rsidR="004D1935" w:rsidRPr="006B44AD" w:rsidRDefault="004D1935" w:rsidP="00E24DC9">
            <w:pPr>
              <w:rPr>
                <w:color w:val="000000" w:themeColor="text1"/>
              </w:rPr>
            </w:pPr>
          </w:p>
        </w:tc>
        <w:tc>
          <w:tcPr>
            <w:tcW w:w="2126" w:type="dxa"/>
            <w:vMerge/>
          </w:tcPr>
          <w:p w14:paraId="535DA4E8" w14:textId="77777777" w:rsidR="004D1935" w:rsidRPr="006B44AD" w:rsidRDefault="004D1935" w:rsidP="00E24DC9">
            <w:pPr>
              <w:rPr>
                <w:color w:val="000000" w:themeColor="text1"/>
              </w:rPr>
            </w:pPr>
          </w:p>
        </w:tc>
        <w:tc>
          <w:tcPr>
            <w:tcW w:w="6946" w:type="dxa"/>
            <w:vMerge/>
          </w:tcPr>
          <w:p w14:paraId="4A8C48C0" w14:textId="77777777" w:rsidR="004D1935" w:rsidRPr="006B44AD" w:rsidRDefault="004D1935" w:rsidP="00E24DC9">
            <w:pPr>
              <w:rPr>
                <w:color w:val="000000" w:themeColor="text1"/>
              </w:rPr>
            </w:pPr>
          </w:p>
        </w:tc>
      </w:tr>
      <w:tr w:rsidR="004D1935" w14:paraId="70F4609B" w14:textId="77777777" w:rsidTr="00E24DC9">
        <w:tc>
          <w:tcPr>
            <w:tcW w:w="713" w:type="dxa"/>
            <w:vMerge/>
            <w:vAlign w:val="center"/>
          </w:tcPr>
          <w:p w14:paraId="761AB531" w14:textId="77777777" w:rsidR="004D1935" w:rsidRDefault="004D1935" w:rsidP="00E24DC9">
            <w:pPr>
              <w:jc w:val="center"/>
            </w:pPr>
          </w:p>
        </w:tc>
        <w:tc>
          <w:tcPr>
            <w:tcW w:w="809" w:type="dxa"/>
            <w:tcBorders>
              <w:top w:val="nil"/>
              <w:bottom w:val="nil"/>
            </w:tcBorders>
            <w:vAlign w:val="bottom"/>
          </w:tcPr>
          <w:p w14:paraId="79A60B71" w14:textId="77777777" w:rsidR="004D1935" w:rsidRDefault="004D1935" w:rsidP="00E24DC9">
            <w:r w:rsidRPr="006F6B8E">
              <w:rPr>
                <w:rFonts w:ascii="Calibri" w:hAnsi="Calibri" w:cs="Calibri"/>
                <w:color w:val="000000"/>
                <w:sz w:val="13"/>
                <w:szCs w:val="13"/>
              </w:rPr>
              <w:t>332.9439</w:t>
            </w:r>
          </w:p>
        </w:tc>
        <w:tc>
          <w:tcPr>
            <w:tcW w:w="2017" w:type="dxa"/>
            <w:vMerge/>
          </w:tcPr>
          <w:p w14:paraId="7211DB85" w14:textId="77777777" w:rsidR="004D1935" w:rsidRPr="006B44AD" w:rsidRDefault="004D1935" w:rsidP="00E24DC9">
            <w:pPr>
              <w:rPr>
                <w:color w:val="000000" w:themeColor="text1"/>
              </w:rPr>
            </w:pPr>
          </w:p>
        </w:tc>
        <w:tc>
          <w:tcPr>
            <w:tcW w:w="1276" w:type="dxa"/>
            <w:vMerge/>
          </w:tcPr>
          <w:p w14:paraId="321F65B1" w14:textId="77777777" w:rsidR="004D1935" w:rsidRPr="006B44AD" w:rsidRDefault="004D1935" w:rsidP="00E24DC9">
            <w:pPr>
              <w:rPr>
                <w:color w:val="000000" w:themeColor="text1"/>
              </w:rPr>
            </w:pPr>
          </w:p>
        </w:tc>
        <w:tc>
          <w:tcPr>
            <w:tcW w:w="2126" w:type="dxa"/>
            <w:vMerge/>
          </w:tcPr>
          <w:p w14:paraId="798D1230" w14:textId="77777777" w:rsidR="004D1935" w:rsidRPr="006B44AD" w:rsidRDefault="004D1935" w:rsidP="00E24DC9">
            <w:pPr>
              <w:rPr>
                <w:color w:val="000000" w:themeColor="text1"/>
              </w:rPr>
            </w:pPr>
          </w:p>
        </w:tc>
        <w:tc>
          <w:tcPr>
            <w:tcW w:w="6946" w:type="dxa"/>
            <w:vMerge/>
          </w:tcPr>
          <w:p w14:paraId="33FFA1F1" w14:textId="77777777" w:rsidR="004D1935" w:rsidRPr="006B44AD" w:rsidRDefault="004D1935" w:rsidP="00E24DC9">
            <w:pPr>
              <w:rPr>
                <w:color w:val="000000" w:themeColor="text1"/>
              </w:rPr>
            </w:pPr>
          </w:p>
        </w:tc>
      </w:tr>
      <w:tr w:rsidR="004D1935" w14:paraId="6C8AC7B8" w14:textId="77777777" w:rsidTr="00E24DC9">
        <w:tc>
          <w:tcPr>
            <w:tcW w:w="713" w:type="dxa"/>
            <w:vMerge/>
            <w:vAlign w:val="center"/>
          </w:tcPr>
          <w:p w14:paraId="6A2B1424" w14:textId="77777777" w:rsidR="004D1935" w:rsidRDefault="004D1935" w:rsidP="00E24DC9">
            <w:pPr>
              <w:jc w:val="center"/>
            </w:pPr>
          </w:p>
        </w:tc>
        <w:tc>
          <w:tcPr>
            <w:tcW w:w="809" w:type="dxa"/>
            <w:tcBorders>
              <w:top w:val="nil"/>
              <w:bottom w:val="nil"/>
            </w:tcBorders>
            <w:vAlign w:val="bottom"/>
          </w:tcPr>
          <w:p w14:paraId="11B09068" w14:textId="77777777" w:rsidR="004D1935" w:rsidRDefault="004D1935" w:rsidP="00E24DC9">
            <w:r w:rsidRPr="006F6B8E">
              <w:rPr>
                <w:rFonts w:ascii="Calibri" w:hAnsi="Calibri" w:cs="Calibri"/>
                <w:color w:val="000000"/>
                <w:sz w:val="13"/>
                <w:szCs w:val="13"/>
              </w:rPr>
              <w:t>332.9864</w:t>
            </w:r>
          </w:p>
        </w:tc>
        <w:tc>
          <w:tcPr>
            <w:tcW w:w="2017" w:type="dxa"/>
            <w:vMerge/>
          </w:tcPr>
          <w:p w14:paraId="3DA0ABC4" w14:textId="77777777" w:rsidR="004D1935" w:rsidRPr="006B44AD" w:rsidRDefault="004D1935" w:rsidP="00E24DC9">
            <w:pPr>
              <w:rPr>
                <w:color w:val="000000" w:themeColor="text1"/>
              </w:rPr>
            </w:pPr>
          </w:p>
        </w:tc>
        <w:tc>
          <w:tcPr>
            <w:tcW w:w="1276" w:type="dxa"/>
            <w:vMerge/>
          </w:tcPr>
          <w:p w14:paraId="57EA4AB4" w14:textId="77777777" w:rsidR="004D1935" w:rsidRPr="006B44AD" w:rsidRDefault="004D1935" w:rsidP="00E24DC9">
            <w:pPr>
              <w:rPr>
                <w:color w:val="000000" w:themeColor="text1"/>
              </w:rPr>
            </w:pPr>
          </w:p>
        </w:tc>
        <w:tc>
          <w:tcPr>
            <w:tcW w:w="2126" w:type="dxa"/>
            <w:vMerge/>
          </w:tcPr>
          <w:p w14:paraId="5240C6B0" w14:textId="77777777" w:rsidR="004D1935" w:rsidRPr="006B44AD" w:rsidRDefault="004D1935" w:rsidP="00E24DC9">
            <w:pPr>
              <w:rPr>
                <w:color w:val="000000" w:themeColor="text1"/>
              </w:rPr>
            </w:pPr>
          </w:p>
        </w:tc>
        <w:tc>
          <w:tcPr>
            <w:tcW w:w="6946" w:type="dxa"/>
            <w:vMerge/>
          </w:tcPr>
          <w:p w14:paraId="1A132BFA" w14:textId="77777777" w:rsidR="004D1935" w:rsidRPr="006B44AD" w:rsidRDefault="004D1935" w:rsidP="00E24DC9">
            <w:pPr>
              <w:rPr>
                <w:color w:val="000000" w:themeColor="text1"/>
              </w:rPr>
            </w:pPr>
          </w:p>
        </w:tc>
      </w:tr>
      <w:tr w:rsidR="004D1935" w14:paraId="078E383D" w14:textId="77777777" w:rsidTr="00E24DC9">
        <w:tc>
          <w:tcPr>
            <w:tcW w:w="713" w:type="dxa"/>
            <w:vMerge/>
            <w:vAlign w:val="center"/>
          </w:tcPr>
          <w:p w14:paraId="231CDD00" w14:textId="77777777" w:rsidR="004D1935" w:rsidRDefault="004D1935" w:rsidP="00E24DC9">
            <w:pPr>
              <w:jc w:val="center"/>
            </w:pPr>
          </w:p>
        </w:tc>
        <w:tc>
          <w:tcPr>
            <w:tcW w:w="809" w:type="dxa"/>
            <w:tcBorders>
              <w:top w:val="nil"/>
              <w:bottom w:val="nil"/>
            </w:tcBorders>
            <w:vAlign w:val="bottom"/>
          </w:tcPr>
          <w:p w14:paraId="255705EB" w14:textId="77777777" w:rsidR="004D1935" w:rsidRDefault="004D1935" w:rsidP="00E24DC9">
            <w:r w:rsidRPr="006F6B8E">
              <w:rPr>
                <w:rFonts w:ascii="Calibri" w:hAnsi="Calibri" w:cs="Calibri"/>
                <w:color w:val="000000"/>
                <w:sz w:val="13"/>
                <w:szCs w:val="13"/>
              </w:rPr>
              <w:t>333.0397</w:t>
            </w:r>
          </w:p>
        </w:tc>
        <w:tc>
          <w:tcPr>
            <w:tcW w:w="2017" w:type="dxa"/>
            <w:vMerge/>
          </w:tcPr>
          <w:p w14:paraId="168AD5B3" w14:textId="77777777" w:rsidR="004D1935" w:rsidRPr="006B44AD" w:rsidRDefault="004D1935" w:rsidP="00E24DC9">
            <w:pPr>
              <w:rPr>
                <w:color w:val="000000" w:themeColor="text1"/>
              </w:rPr>
            </w:pPr>
          </w:p>
        </w:tc>
        <w:tc>
          <w:tcPr>
            <w:tcW w:w="1276" w:type="dxa"/>
            <w:vMerge/>
          </w:tcPr>
          <w:p w14:paraId="6734F8E2" w14:textId="77777777" w:rsidR="004D1935" w:rsidRPr="006B44AD" w:rsidRDefault="004D1935" w:rsidP="00E24DC9">
            <w:pPr>
              <w:rPr>
                <w:color w:val="000000" w:themeColor="text1"/>
              </w:rPr>
            </w:pPr>
          </w:p>
        </w:tc>
        <w:tc>
          <w:tcPr>
            <w:tcW w:w="2126" w:type="dxa"/>
            <w:vMerge/>
          </w:tcPr>
          <w:p w14:paraId="763CF387" w14:textId="77777777" w:rsidR="004D1935" w:rsidRPr="006B44AD" w:rsidRDefault="004D1935" w:rsidP="00E24DC9">
            <w:pPr>
              <w:rPr>
                <w:color w:val="000000" w:themeColor="text1"/>
              </w:rPr>
            </w:pPr>
          </w:p>
        </w:tc>
        <w:tc>
          <w:tcPr>
            <w:tcW w:w="6946" w:type="dxa"/>
            <w:vMerge/>
          </w:tcPr>
          <w:p w14:paraId="1B5784CC" w14:textId="77777777" w:rsidR="004D1935" w:rsidRPr="006B44AD" w:rsidRDefault="004D1935" w:rsidP="00E24DC9">
            <w:pPr>
              <w:rPr>
                <w:color w:val="000000" w:themeColor="text1"/>
              </w:rPr>
            </w:pPr>
          </w:p>
        </w:tc>
      </w:tr>
      <w:tr w:rsidR="004D1935" w14:paraId="6CE6DF76" w14:textId="77777777" w:rsidTr="00E24DC9">
        <w:tc>
          <w:tcPr>
            <w:tcW w:w="713" w:type="dxa"/>
            <w:vMerge/>
            <w:vAlign w:val="center"/>
          </w:tcPr>
          <w:p w14:paraId="7610437D" w14:textId="77777777" w:rsidR="004D1935" w:rsidRDefault="004D1935" w:rsidP="00E24DC9">
            <w:pPr>
              <w:jc w:val="center"/>
            </w:pPr>
          </w:p>
        </w:tc>
        <w:tc>
          <w:tcPr>
            <w:tcW w:w="809" w:type="dxa"/>
            <w:tcBorders>
              <w:top w:val="nil"/>
              <w:bottom w:val="nil"/>
            </w:tcBorders>
            <w:vAlign w:val="bottom"/>
          </w:tcPr>
          <w:p w14:paraId="68FA0F9D" w14:textId="77777777" w:rsidR="004D1935" w:rsidRDefault="004D1935" w:rsidP="00E24DC9">
            <w:r w:rsidRPr="006F6B8E">
              <w:rPr>
                <w:rFonts w:ascii="Calibri" w:hAnsi="Calibri" w:cs="Calibri"/>
                <w:color w:val="000000"/>
                <w:sz w:val="13"/>
                <w:szCs w:val="13"/>
              </w:rPr>
              <w:t>332.9744</w:t>
            </w:r>
          </w:p>
        </w:tc>
        <w:tc>
          <w:tcPr>
            <w:tcW w:w="2017" w:type="dxa"/>
            <w:vMerge/>
          </w:tcPr>
          <w:p w14:paraId="5C35E7F4" w14:textId="77777777" w:rsidR="004D1935" w:rsidRPr="006B44AD" w:rsidRDefault="004D1935" w:rsidP="00E24DC9">
            <w:pPr>
              <w:rPr>
                <w:color w:val="000000" w:themeColor="text1"/>
              </w:rPr>
            </w:pPr>
          </w:p>
        </w:tc>
        <w:tc>
          <w:tcPr>
            <w:tcW w:w="1276" w:type="dxa"/>
            <w:vMerge/>
          </w:tcPr>
          <w:p w14:paraId="1B106764" w14:textId="77777777" w:rsidR="004D1935" w:rsidRPr="006B44AD" w:rsidRDefault="004D1935" w:rsidP="00E24DC9">
            <w:pPr>
              <w:rPr>
                <w:color w:val="000000" w:themeColor="text1"/>
              </w:rPr>
            </w:pPr>
          </w:p>
        </w:tc>
        <w:tc>
          <w:tcPr>
            <w:tcW w:w="2126" w:type="dxa"/>
            <w:vMerge/>
          </w:tcPr>
          <w:p w14:paraId="5F5B2272" w14:textId="77777777" w:rsidR="004D1935" w:rsidRPr="006B44AD" w:rsidRDefault="004D1935" w:rsidP="00E24DC9">
            <w:pPr>
              <w:rPr>
                <w:color w:val="000000" w:themeColor="text1"/>
              </w:rPr>
            </w:pPr>
          </w:p>
        </w:tc>
        <w:tc>
          <w:tcPr>
            <w:tcW w:w="6946" w:type="dxa"/>
            <w:vMerge/>
          </w:tcPr>
          <w:p w14:paraId="46455551" w14:textId="77777777" w:rsidR="004D1935" w:rsidRPr="006B44AD" w:rsidRDefault="004D1935" w:rsidP="00E24DC9">
            <w:pPr>
              <w:rPr>
                <w:color w:val="000000" w:themeColor="text1"/>
              </w:rPr>
            </w:pPr>
          </w:p>
        </w:tc>
      </w:tr>
      <w:tr w:rsidR="004D1935" w14:paraId="326F4497" w14:textId="77777777" w:rsidTr="00E24DC9">
        <w:tc>
          <w:tcPr>
            <w:tcW w:w="713" w:type="dxa"/>
            <w:vMerge/>
            <w:vAlign w:val="center"/>
          </w:tcPr>
          <w:p w14:paraId="7017A64E" w14:textId="77777777" w:rsidR="004D1935" w:rsidRDefault="004D1935" w:rsidP="00E24DC9">
            <w:pPr>
              <w:jc w:val="center"/>
            </w:pPr>
          </w:p>
        </w:tc>
        <w:tc>
          <w:tcPr>
            <w:tcW w:w="809" w:type="dxa"/>
            <w:tcBorders>
              <w:top w:val="nil"/>
              <w:bottom w:val="single" w:sz="4" w:space="0" w:color="auto"/>
            </w:tcBorders>
            <w:vAlign w:val="bottom"/>
          </w:tcPr>
          <w:p w14:paraId="5653E2AA" w14:textId="77777777" w:rsidR="004D1935" w:rsidRDefault="004D1935" w:rsidP="00E24DC9">
            <w:r w:rsidRPr="006F6B8E">
              <w:rPr>
                <w:rFonts w:ascii="Calibri" w:hAnsi="Calibri" w:cs="Calibri"/>
                <w:color w:val="000000"/>
                <w:sz w:val="13"/>
                <w:szCs w:val="13"/>
              </w:rPr>
              <w:t>332.9997</w:t>
            </w:r>
          </w:p>
        </w:tc>
        <w:tc>
          <w:tcPr>
            <w:tcW w:w="2017" w:type="dxa"/>
            <w:vMerge/>
          </w:tcPr>
          <w:p w14:paraId="6B2B75FD" w14:textId="77777777" w:rsidR="004D1935" w:rsidRPr="006B44AD" w:rsidRDefault="004D1935" w:rsidP="00E24DC9">
            <w:pPr>
              <w:rPr>
                <w:color w:val="000000" w:themeColor="text1"/>
              </w:rPr>
            </w:pPr>
          </w:p>
        </w:tc>
        <w:tc>
          <w:tcPr>
            <w:tcW w:w="1276" w:type="dxa"/>
            <w:vMerge/>
          </w:tcPr>
          <w:p w14:paraId="7D5A49C4" w14:textId="77777777" w:rsidR="004D1935" w:rsidRPr="006B44AD" w:rsidRDefault="004D1935" w:rsidP="00E24DC9">
            <w:pPr>
              <w:rPr>
                <w:color w:val="000000" w:themeColor="text1"/>
              </w:rPr>
            </w:pPr>
          </w:p>
        </w:tc>
        <w:tc>
          <w:tcPr>
            <w:tcW w:w="2126" w:type="dxa"/>
            <w:vMerge/>
          </w:tcPr>
          <w:p w14:paraId="0BCCE2E9" w14:textId="77777777" w:rsidR="004D1935" w:rsidRPr="006B44AD" w:rsidRDefault="004D1935" w:rsidP="00E24DC9">
            <w:pPr>
              <w:rPr>
                <w:color w:val="000000" w:themeColor="text1"/>
              </w:rPr>
            </w:pPr>
          </w:p>
        </w:tc>
        <w:tc>
          <w:tcPr>
            <w:tcW w:w="6946" w:type="dxa"/>
            <w:vMerge/>
          </w:tcPr>
          <w:p w14:paraId="4E29BE1D" w14:textId="77777777" w:rsidR="004D1935" w:rsidRPr="006B44AD" w:rsidRDefault="004D1935" w:rsidP="00E24DC9">
            <w:pPr>
              <w:rPr>
                <w:color w:val="000000" w:themeColor="text1"/>
              </w:rPr>
            </w:pPr>
          </w:p>
        </w:tc>
      </w:tr>
      <w:tr w:rsidR="004D1935" w14:paraId="7B8E3A3C" w14:textId="77777777" w:rsidTr="00E24DC9">
        <w:tc>
          <w:tcPr>
            <w:tcW w:w="713" w:type="dxa"/>
            <w:vMerge w:val="restart"/>
            <w:vAlign w:val="center"/>
          </w:tcPr>
          <w:p w14:paraId="71A71777" w14:textId="77777777" w:rsidR="004D1935" w:rsidRDefault="004D1935" w:rsidP="00E24DC9">
            <w:pPr>
              <w:jc w:val="center"/>
            </w:pPr>
            <w:r>
              <w:t>H</w:t>
            </w:r>
          </w:p>
        </w:tc>
        <w:tc>
          <w:tcPr>
            <w:tcW w:w="809" w:type="dxa"/>
            <w:tcBorders>
              <w:bottom w:val="nil"/>
            </w:tcBorders>
            <w:vAlign w:val="bottom"/>
          </w:tcPr>
          <w:p w14:paraId="323C1C6E" w14:textId="77777777" w:rsidR="004D1935" w:rsidRPr="006F6B8E" w:rsidRDefault="004D1935" w:rsidP="00E24DC9">
            <w:pPr>
              <w:rPr>
                <w:rFonts w:ascii="Calibri" w:hAnsi="Calibri" w:cs="Calibri"/>
                <w:color w:val="000000"/>
                <w:sz w:val="13"/>
                <w:szCs w:val="13"/>
              </w:rPr>
            </w:pPr>
            <w:r w:rsidRPr="005D27EF">
              <w:rPr>
                <w:rFonts w:ascii="Calibri" w:hAnsi="Calibri" w:cs="Calibri"/>
                <w:color w:val="000000"/>
                <w:sz w:val="13"/>
                <w:szCs w:val="13"/>
              </w:rPr>
              <w:t>331.9095</w:t>
            </w:r>
          </w:p>
        </w:tc>
        <w:tc>
          <w:tcPr>
            <w:tcW w:w="2017" w:type="dxa"/>
            <w:vMerge w:val="restart"/>
            <w:vAlign w:val="center"/>
          </w:tcPr>
          <w:p w14:paraId="471B6687" w14:textId="77777777" w:rsidR="004D1935" w:rsidRPr="006B44AD" w:rsidRDefault="00000000" w:rsidP="00E24DC9">
            <w:pPr>
              <w:jc w:val="center"/>
              <w:rPr>
                <w:color w:val="000000" w:themeColor="text1"/>
              </w:rPr>
            </w:pPr>
            <w:hyperlink r:id="rId97" w:history="1">
              <w:r w:rsidR="004D1935" w:rsidRPr="006B44AD">
                <w:rPr>
                  <w:rFonts w:ascii="Calibri" w:hAnsi="Calibri" w:cs="Calibri"/>
                  <w:color w:val="000000" w:themeColor="text1"/>
                  <w:sz w:val="13"/>
                  <w:szCs w:val="13"/>
                </w:rPr>
                <w:t>sanguinarine</w:t>
              </w:r>
            </w:hyperlink>
          </w:p>
          <w:p w14:paraId="01391639" w14:textId="77777777" w:rsidR="004D1935" w:rsidRPr="006B44AD" w:rsidRDefault="004D1935" w:rsidP="00E24DC9">
            <w:pPr>
              <w:jc w:val="center"/>
              <w:rPr>
                <w:color w:val="000000" w:themeColor="text1"/>
                <w:sz w:val="16"/>
                <w:szCs w:val="16"/>
              </w:rPr>
            </w:pPr>
            <w:r w:rsidRPr="006B44AD">
              <w:rPr>
                <w:color w:val="000000" w:themeColor="text1"/>
                <w:sz w:val="16"/>
                <w:szCs w:val="16"/>
              </w:rPr>
              <w:t>dIMP</w:t>
            </w:r>
          </w:p>
          <w:p w14:paraId="06163FA2" w14:textId="77777777" w:rsidR="004D1935" w:rsidRPr="006B44AD" w:rsidRDefault="004D1935" w:rsidP="00E24DC9">
            <w:pPr>
              <w:jc w:val="center"/>
              <w:rPr>
                <w:color w:val="000000" w:themeColor="text1"/>
              </w:rPr>
            </w:pPr>
            <w:r w:rsidRPr="006B44AD">
              <w:rPr>
                <w:color w:val="000000" w:themeColor="text1"/>
                <w:sz w:val="16"/>
                <w:szCs w:val="16"/>
              </w:rPr>
              <w:t>laricitrin</w:t>
            </w:r>
          </w:p>
        </w:tc>
        <w:tc>
          <w:tcPr>
            <w:tcW w:w="1276" w:type="dxa"/>
            <w:vMerge w:val="restart"/>
            <w:vAlign w:val="center"/>
          </w:tcPr>
          <w:p w14:paraId="1E93E2CD" w14:textId="77777777" w:rsidR="004D1935" w:rsidRPr="006B44AD" w:rsidRDefault="004D1935" w:rsidP="00E24DC9">
            <w:pPr>
              <w:jc w:val="center"/>
              <w:rPr>
                <w:rFonts w:asciiTheme="majorBidi" w:hAnsiTheme="majorBidi" w:cstheme="majorBidi"/>
                <w:color w:val="000000" w:themeColor="text1"/>
                <w:sz w:val="16"/>
                <w:szCs w:val="16"/>
              </w:rPr>
            </w:pPr>
            <w:r w:rsidRPr="006B44AD">
              <w:rPr>
                <w:rFonts w:asciiTheme="majorBidi" w:hAnsiTheme="majorBidi" w:cstheme="majorBidi"/>
                <w:color w:val="000000" w:themeColor="text1"/>
                <w:sz w:val="16"/>
                <w:szCs w:val="16"/>
                <w:shd w:val="clear" w:color="auto" w:fill="FFFFFF"/>
              </w:rPr>
              <w:t>C</w:t>
            </w:r>
            <w:r w:rsidRPr="006B44AD">
              <w:rPr>
                <w:rFonts w:asciiTheme="majorBidi" w:hAnsiTheme="majorBidi" w:cstheme="majorBidi"/>
                <w:color w:val="000000" w:themeColor="text1"/>
                <w:sz w:val="16"/>
                <w:szCs w:val="16"/>
                <w:shd w:val="clear" w:color="auto" w:fill="FFFFFF"/>
                <w:vertAlign w:val="subscript"/>
              </w:rPr>
              <w:t>20</w:t>
            </w:r>
            <w:r w:rsidRPr="006B44AD">
              <w:rPr>
                <w:rFonts w:asciiTheme="majorBidi" w:hAnsiTheme="majorBidi" w:cstheme="majorBidi"/>
                <w:color w:val="000000" w:themeColor="text1"/>
                <w:sz w:val="16"/>
                <w:szCs w:val="16"/>
                <w:shd w:val="clear" w:color="auto" w:fill="FFFFFF"/>
              </w:rPr>
              <w:t>H</w:t>
            </w:r>
            <w:r w:rsidRPr="006B44AD">
              <w:rPr>
                <w:rFonts w:asciiTheme="majorBidi" w:hAnsiTheme="majorBidi" w:cstheme="majorBidi"/>
                <w:color w:val="000000" w:themeColor="text1"/>
                <w:sz w:val="16"/>
                <w:szCs w:val="16"/>
                <w:shd w:val="clear" w:color="auto" w:fill="FFFFFF"/>
                <w:vertAlign w:val="subscript"/>
              </w:rPr>
              <w:t>15</w:t>
            </w:r>
            <w:r w:rsidRPr="006B44AD">
              <w:rPr>
                <w:rFonts w:asciiTheme="majorBidi" w:hAnsiTheme="majorBidi" w:cstheme="majorBidi"/>
                <w:color w:val="000000" w:themeColor="text1"/>
                <w:sz w:val="16"/>
                <w:szCs w:val="16"/>
                <w:shd w:val="clear" w:color="auto" w:fill="FFFFFF"/>
              </w:rPr>
              <w:t>NO</w:t>
            </w:r>
            <w:r w:rsidRPr="006B44AD">
              <w:rPr>
                <w:rFonts w:asciiTheme="majorBidi" w:hAnsiTheme="majorBidi" w:cstheme="majorBidi"/>
                <w:color w:val="000000" w:themeColor="text1"/>
                <w:sz w:val="16"/>
                <w:szCs w:val="16"/>
                <w:shd w:val="clear" w:color="auto" w:fill="FFFFFF"/>
                <w:vertAlign w:val="subscript"/>
              </w:rPr>
              <w:t>5</w:t>
            </w:r>
          </w:p>
          <w:p w14:paraId="2A70933F" w14:textId="77777777" w:rsidR="004D1935" w:rsidRPr="006B44AD" w:rsidRDefault="004D1935" w:rsidP="00E24DC9">
            <w:pPr>
              <w:jc w:val="center"/>
              <w:rPr>
                <w:rFonts w:asciiTheme="majorBidi" w:hAnsiTheme="majorBidi" w:cstheme="majorBidi"/>
                <w:color w:val="000000" w:themeColor="text1"/>
                <w:sz w:val="16"/>
                <w:szCs w:val="16"/>
              </w:rPr>
            </w:pPr>
            <w:r w:rsidRPr="006B44AD">
              <w:rPr>
                <w:rFonts w:asciiTheme="majorBidi" w:hAnsiTheme="majorBidi" w:cstheme="majorBidi"/>
                <w:color w:val="000000" w:themeColor="text1"/>
                <w:sz w:val="16"/>
                <w:szCs w:val="16"/>
                <w:shd w:val="clear" w:color="auto" w:fill="F8F9FA"/>
              </w:rPr>
              <w:t>C</w:t>
            </w:r>
            <w:r w:rsidRPr="006B44AD">
              <w:rPr>
                <w:rFonts w:asciiTheme="majorBidi" w:hAnsiTheme="majorBidi" w:cstheme="majorBidi"/>
                <w:color w:val="000000" w:themeColor="text1"/>
                <w:sz w:val="16"/>
                <w:szCs w:val="16"/>
                <w:shd w:val="clear" w:color="auto" w:fill="F8F9FA"/>
                <w:vertAlign w:val="subscript"/>
              </w:rPr>
              <w:t>10</w:t>
            </w:r>
            <w:r w:rsidRPr="006B44AD">
              <w:rPr>
                <w:rFonts w:asciiTheme="majorBidi" w:hAnsiTheme="majorBidi" w:cstheme="majorBidi"/>
                <w:color w:val="000000" w:themeColor="text1"/>
                <w:sz w:val="16"/>
                <w:szCs w:val="16"/>
                <w:shd w:val="clear" w:color="auto" w:fill="F8F9FA"/>
              </w:rPr>
              <w:t>H</w:t>
            </w:r>
            <w:r w:rsidRPr="006B44AD">
              <w:rPr>
                <w:rFonts w:asciiTheme="majorBidi" w:hAnsiTheme="majorBidi" w:cstheme="majorBidi"/>
                <w:color w:val="000000" w:themeColor="text1"/>
                <w:sz w:val="16"/>
                <w:szCs w:val="16"/>
                <w:shd w:val="clear" w:color="auto" w:fill="F8F9FA"/>
                <w:vertAlign w:val="subscript"/>
              </w:rPr>
              <w:t>13</w:t>
            </w:r>
            <w:r w:rsidRPr="006B44AD">
              <w:rPr>
                <w:rFonts w:asciiTheme="majorBidi" w:hAnsiTheme="majorBidi" w:cstheme="majorBidi"/>
                <w:color w:val="000000" w:themeColor="text1"/>
                <w:sz w:val="16"/>
                <w:szCs w:val="16"/>
                <w:shd w:val="clear" w:color="auto" w:fill="F8F9FA"/>
              </w:rPr>
              <w:t>N</w:t>
            </w:r>
            <w:r w:rsidRPr="006B44AD">
              <w:rPr>
                <w:rFonts w:asciiTheme="majorBidi" w:hAnsiTheme="majorBidi" w:cstheme="majorBidi"/>
                <w:color w:val="000000" w:themeColor="text1"/>
                <w:sz w:val="16"/>
                <w:szCs w:val="16"/>
                <w:shd w:val="clear" w:color="auto" w:fill="F8F9FA"/>
                <w:vertAlign w:val="subscript"/>
              </w:rPr>
              <w:t>4</w:t>
            </w:r>
            <w:r w:rsidRPr="006B44AD">
              <w:rPr>
                <w:rFonts w:asciiTheme="majorBidi" w:hAnsiTheme="majorBidi" w:cstheme="majorBidi"/>
                <w:color w:val="000000" w:themeColor="text1"/>
                <w:sz w:val="16"/>
                <w:szCs w:val="16"/>
                <w:shd w:val="clear" w:color="auto" w:fill="F8F9FA"/>
              </w:rPr>
              <w:t>O</w:t>
            </w:r>
            <w:r w:rsidRPr="006B44AD">
              <w:rPr>
                <w:rFonts w:asciiTheme="majorBidi" w:hAnsiTheme="majorBidi" w:cstheme="majorBidi"/>
                <w:color w:val="000000" w:themeColor="text1"/>
                <w:sz w:val="16"/>
                <w:szCs w:val="16"/>
                <w:shd w:val="clear" w:color="auto" w:fill="F8F9FA"/>
                <w:vertAlign w:val="subscript"/>
              </w:rPr>
              <w:t>7</w:t>
            </w:r>
            <w:r w:rsidRPr="006B44AD">
              <w:rPr>
                <w:rFonts w:asciiTheme="majorBidi" w:hAnsiTheme="majorBidi" w:cstheme="majorBidi"/>
                <w:color w:val="000000" w:themeColor="text1"/>
                <w:sz w:val="16"/>
                <w:szCs w:val="16"/>
                <w:shd w:val="clear" w:color="auto" w:fill="F8F9FA"/>
              </w:rPr>
              <w:t>P</w:t>
            </w:r>
          </w:p>
          <w:p w14:paraId="3BCD97FD" w14:textId="77777777" w:rsidR="004D1935" w:rsidRPr="006B44AD" w:rsidRDefault="004D1935" w:rsidP="00E24DC9">
            <w:pPr>
              <w:jc w:val="center"/>
              <w:rPr>
                <w:rFonts w:asciiTheme="majorBidi" w:hAnsiTheme="majorBidi" w:cstheme="majorBidi"/>
                <w:color w:val="000000" w:themeColor="text1"/>
                <w:sz w:val="16"/>
                <w:szCs w:val="16"/>
              </w:rPr>
            </w:pPr>
            <w:r w:rsidRPr="006B44AD">
              <w:rPr>
                <w:rStyle w:val="eq0j8"/>
                <w:rFonts w:asciiTheme="majorBidi" w:eastAsiaTheme="majorEastAsia" w:hAnsiTheme="majorBidi"/>
                <w:sz w:val="16"/>
                <w:szCs w:val="16"/>
                <w:shd w:val="clear" w:color="auto" w:fill="FFFFFF"/>
              </w:rPr>
              <w:t>C</w:t>
            </w:r>
            <w:r w:rsidRPr="006B44AD">
              <w:rPr>
                <w:rStyle w:val="eq0j8"/>
                <w:rFonts w:asciiTheme="majorBidi" w:eastAsiaTheme="majorEastAsia" w:hAnsiTheme="majorBidi"/>
                <w:sz w:val="16"/>
                <w:szCs w:val="16"/>
                <w:shd w:val="clear" w:color="auto" w:fill="FFFFFF"/>
                <w:vertAlign w:val="subscript"/>
              </w:rPr>
              <w:t>16</w:t>
            </w:r>
            <w:r w:rsidRPr="006B44AD">
              <w:rPr>
                <w:rStyle w:val="eq0j8"/>
                <w:rFonts w:asciiTheme="majorBidi" w:eastAsiaTheme="majorEastAsia" w:hAnsiTheme="majorBidi"/>
                <w:sz w:val="16"/>
                <w:szCs w:val="16"/>
                <w:shd w:val="clear" w:color="auto" w:fill="FFFFFF"/>
              </w:rPr>
              <w:t>H</w:t>
            </w:r>
            <w:r w:rsidRPr="006B44AD">
              <w:rPr>
                <w:rStyle w:val="eq0j8"/>
                <w:rFonts w:asciiTheme="majorBidi" w:eastAsiaTheme="majorEastAsia" w:hAnsiTheme="majorBidi"/>
                <w:sz w:val="16"/>
                <w:szCs w:val="16"/>
                <w:shd w:val="clear" w:color="auto" w:fill="FFFFFF"/>
                <w:vertAlign w:val="subscript"/>
              </w:rPr>
              <w:t>12</w:t>
            </w:r>
            <w:r w:rsidRPr="006B44AD">
              <w:rPr>
                <w:rStyle w:val="eq0j8"/>
                <w:rFonts w:asciiTheme="majorBidi" w:eastAsiaTheme="majorEastAsia" w:hAnsiTheme="majorBidi"/>
                <w:sz w:val="16"/>
                <w:szCs w:val="16"/>
                <w:shd w:val="clear" w:color="auto" w:fill="FFFFFF"/>
              </w:rPr>
              <w:t>O</w:t>
            </w:r>
            <w:r w:rsidRPr="006B44AD">
              <w:rPr>
                <w:rStyle w:val="eq0j8"/>
                <w:rFonts w:asciiTheme="majorBidi" w:eastAsiaTheme="majorEastAsia" w:hAnsiTheme="majorBidi"/>
                <w:sz w:val="16"/>
                <w:szCs w:val="16"/>
                <w:shd w:val="clear" w:color="auto" w:fill="FFFFFF"/>
                <w:vertAlign w:val="subscript"/>
              </w:rPr>
              <w:t>8</w:t>
            </w:r>
          </w:p>
          <w:p w14:paraId="594C9AAA" w14:textId="77777777" w:rsidR="004D1935" w:rsidRPr="006B44AD" w:rsidRDefault="004D1935" w:rsidP="00E24DC9">
            <w:pPr>
              <w:jc w:val="center"/>
              <w:rPr>
                <w:rFonts w:asciiTheme="majorBidi" w:hAnsiTheme="majorBidi" w:cstheme="majorBidi"/>
                <w:color w:val="000000" w:themeColor="text1"/>
                <w:sz w:val="16"/>
                <w:szCs w:val="16"/>
              </w:rPr>
            </w:pPr>
          </w:p>
        </w:tc>
        <w:tc>
          <w:tcPr>
            <w:tcW w:w="2126" w:type="dxa"/>
            <w:vMerge w:val="restart"/>
            <w:vAlign w:val="center"/>
          </w:tcPr>
          <w:p w14:paraId="6AD65481" w14:textId="77777777" w:rsidR="004D1935" w:rsidRPr="006B44AD" w:rsidRDefault="004D1935" w:rsidP="00E24DC9">
            <w:pPr>
              <w:jc w:val="center"/>
              <w:rPr>
                <w:color w:val="000000" w:themeColor="text1"/>
              </w:rPr>
            </w:pPr>
            <w:r w:rsidRPr="006B44AD">
              <w:rPr>
                <w:rFonts w:ascii="Verdana" w:hAnsi="Verdana" w:cs="Calibri"/>
                <w:color w:val="000000" w:themeColor="text1"/>
                <w:sz w:val="13"/>
                <w:szCs w:val="13"/>
              </w:rPr>
              <w:t xml:space="preserve">Isoquinoline alkaloid </w:t>
            </w:r>
          </w:p>
          <w:p w14:paraId="3B74D685" w14:textId="77777777" w:rsidR="004D1935" w:rsidRPr="006B44AD" w:rsidRDefault="004D1935" w:rsidP="00E24DC9">
            <w:pPr>
              <w:jc w:val="center"/>
              <w:rPr>
                <w:color w:val="000000" w:themeColor="text1"/>
              </w:rPr>
            </w:pPr>
            <w:r w:rsidRPr="006B44AD">
              <w:rPr>
                <w:rFonts w:ascii="Calibri" w:hAnsi="Calibri" w:cs="Calibri"/>
                <w:color w:val="000000" w:themeColor="text1"/>
                <w:sz w:val="13"/>
                <w:szCs w:val="13"/>
              </w:rPr>
              <w:t>nucleotide/purine/alkaloids</w:t>
            </w:r>
          </w:p>
          <w:p w14:paraId="0C567753" w14:textId="77777777" w:rsidR="004D1935" w:rsidRPr="006B44AD" w:rsidRDefault="004D1935" w:rsidP="00E24DC9">
            <w:pPr>
              <w:jc w:val="center"/>
              <w:rPr>
                <w:color w:val="000000" w:themeColor="text1"/>
              </w:rPr>
            </w:pPr>
            <w:r w:rsidRPr="006B44AD">
              <w:rPr>
                <w:rFonts w:ascii="Calibri" w:hAnsi="Calibri" w:cs="Calibri"/>
                <w:color w:val="000000" w:themeColor="text1"/>
                <w:sz w:val="13"/>
                <w:szCs w:val="13"/>
              </w:rPr>
              <w:t>flavone/flavonoid</w:t>
            </w:r>
          </w:p>
        </w:tc>
        <w:tc>
          <w:tcPr>
            <w:tcW w:w="6946" w:type="dxa"/>
            <w:vMerge w:val="restart"/>
            <w:vAlign w:val="center"/>
          </w:tcPr>
          <w:p w14:paraId="6C2C57CF" w14:textId="77777777" w:rsidR="004D1935" w:rsidRPr="006B44AD" w:rsidRDefault="004D1935" w:rsidP="00E24DC9">
            <w:pPr>
              <w:jc w:val="center"/>
              <w:rPr>
                <w:color w:val="000000" w:themeColor="text1"/>
              </w:rPr>
            </w:pPr>
            <w:r w:rsidRPr="006B44AD">
              <w:rPr>
                <w:rFonts w:ascii="Calibri" w:hAnsi="Calibri" w:cs="Calibri"/>
                <w:color w:val="000000" w:themeColor="text1"/>
                <w:sz w:val="13"/>
                <w:szCs w:val="13"/>
              </w:rPr>
              <w:t>Shikimate pathway/jasmonic acid biosynthesis/Riboflavin/Flavanone/Flavonoid biosynthesis/fatty acid biosynthesis</w:t>
            </w:r>
          </w:p>
          <w:p w14:paraId="7C3183ED" w14:textId="77777777" w:rsidR="004D1935" w:rsidRPr="006B44AD" w:rsidRDefault="004D1935" w:rsidP="00E24DC9">
            <w:pPr>
              <w:jc w:val="center"/>
              <w:rPr>
                <w:color w:val="000000" w:themeColor="text1"/>
              </w:rPr>
            </w:pPr>
            <w:r w:rsidRPr="006B44AD">
              <w:rPr>
                <w:rFonts w:ascii="Verdana" w:hAnsi="Verdana" w:cs="Calibri"/>
                <w:color w:val="000000" w:themeColor="text1"/>
                <w:sz w:val="13"/>
                <w:szCs w:val="13"/>
              </w:rPr>
              <w:t>Purine metabolism</w:t>
            </w:r>
          </w:p>
          <w:p w14:paraId="129F1250" w14:textId="77777777" w:rsidR="004D1935" w:rsidRPr="006B44AD" w:rsidRDefault="004D1935" w:rsidP="00E24DC9">
            <w:pPr>
              <w:jc w:val="center"/>
              <w:rPr>
                <w:color w:val="000000" w:themeColor="text1"/>
              </w:rPr>
            </w:pPr>
            <w:r w:rsidRPr="006B44AD">
              <w:rPr>
                <w:rFonts w:ascii="Verdana" w:hAnsi="Verdana" w:cs="Calibri"/>
                <w:color w:val="000000" w:themeColor="text1"/>
                <w:sz w:val="13"/>
                <w:szCs w:val="13"/>
              </w:rPr>
              <w:t>Flavone and flavonol biosynthesis</w:t>
            </w:r>
          </w:p>
        </w:tc>
      </w:tr>
      <w:tr w:rsidR="004D1935" w14:paraId="2AD20EDE" w14:textId="77777777" w:rsidTr="00E24DC9">
        <w:tc>
          <w:tcPr>
            <w:tcW w:w="713" w:type="dxa"/>
            <w:vMerge/>
            <w:vAlign w:val="center"/>
          </w:tcPr>
          <w:p w14:paraId="1A5D1253" w14:textId="77777777" w:rsidR="004D1935" w:rsidRDefault="004D1935" w:rsidP="00E24DC9">
            <w:pPr>
              <w:jc w:val="center"/>
            </w:pPr>
          </w:p>
        </w:tc>
        <w:tc>
          <w:tcPr>
            <w:tcW w:w="809" w:type="dxa"/>
            <w:tcBorders>
              <w:top w:val="nil"/>
              <w:bottom w:val="nil"/>
            </w:tcBorders>
            <w:vAlign w:val="bottom"/>
          </w:tcPr>
          <w:p w14:paraId="7F94BDCF" w14:textId="77777777" w:rsidR="004D1935" w:rsidRPr="006F6B8E" w:rsidRDefault="004D1935" w:rsidP="00E24DC9">
            <w:pPr>
              <w:rPr>
                <w:rFonts w:ascii="Calibri" w:hAnsi="Calibri" w:cs="Calibri"/>
                <w:color w:val="000000"/>
                <w:sz w:val="13"/>
                <w:szCs w:val="13"/>
              </w:rPr>
            </w:pPr>
            <w:r w:rsidRPr="005D27EF">
              <w:rPr>
                <w:rFonts w:ascii="Calibri" w:hAnsi="Calibri" w:cs="Calibri"/>
                <w:color w:val="000000"/>
                <w:sz w:val="13"/>
                <w:szCs w:val="13"/>
              </w:rPr>
              <w:t>332.0265</w:t>
            </w:r>
          </w:p>
        </w:tc>
        <w:tc>
          <w:tcPr>
            <w:tcW w:w="2017" w:type="dxa"/>
            <w:vMerge/>
          </w:tcPr>
          <w:p w14:paraId="0842AF3B" w14:textId="77777777" w:rsidR="004D1935" w:rsidRPr="006B44AD" w:rsidRDefault="004D1935" w:rsidP="00E24DC9">
            <w:pPr>
              <w:rPr>
                <w:color w:val="000000" w:themeColor="text1"/>
                <w:sz w:val="16"/>
                <w:szCs w:val="16"/>
              </w:rPr>
            </w:pPr>
          </w:p>
        </w:tc>
        <w:tc>
          <w:tcPr>
            <w:tcW w:w="1276" w:type="dxa"/>
            <w:vMerge/>
          </w:tcPr>
          <w:p w14:paraId="014915D2" w14:textId="77777777" w:rsidR="004D1935" w:rsidRPr="006B44AD" w:rsidRDefault="004D1935" w:rsidP="00E24DC9">
            <w:pPr>
              <w:rPr>
                <w:rFonts w:asciiTheme="majorBidi" w:hAnsiTheme="majorBidi" w:cstheme="majorBidi"/>
                <w:color w:val="000000" w:themeColor="text1"/>
                <w:sz w:val="16"/>
                <w:szCs w:val="16"/>
              </w:rPr>
            </w:pPr>
          </w:p>
        </w:tc>
        <w:tc>
          <w:tcPr>
            <w:tcW w:w="2126" w:type="dxa"/>
            <w:vMerge/>
            <w:vAlign w:val="bottom"/>
          </w:tcPr>
          <w:p w14:paraId="6BD6D348" w14:textId="77777777" w:rsidR="004D1935" w:rsidRPr="006B44AD" w:rsidRDefault="004D1935" w:rsidP="00E24DC9">
            <w:pPr>
              <w:rPr>
                <w:color w:val="000000" w:themeColor="text1"/>
              </w:rPr>
            </w:pPr>
          </w:p>
        </w:tc>
        <w:tc>
          <w:tcPr>
            <w:tcW w:w="6946" w:type="dxa"/>
            <w:vMerge/>
            <w:vAlign w:val="bottom"/>
          </w:tcPr>
          <w:p w14:paraId="2B7461A0" w14:textId="77777777" w:rsidR="004D1935" w:rsidRPr="006B44AD" w:rsidRDefault="004D1935" w:rsidP="00E24DC9">
            <w:pPr>
              <w:rPr>
                <w:color w:val="000000" w:themeColor="text1"/>
              </w:rPr>
            </w:pPr>
          </w:p>
        </w:tc>
      </w:tr>
      <w:tr w:rsidR="004D1935" w14:paraId="73774AB5" w14:textId="77777777" w:rsidTr="00E24DC9">
        <w:tc>
          <w:tcPr>
            <w:tcW w:w="713" w:type="dxa"/>
            <w:vMerge/>
            <w:vAlign w:val="center"/>
          </w:tcPr>
          <w:p w14:paraId="57912906" w14:textId="77777777" w:rsidR="004D1935" w:rsidRDefault="004D1935" w:rsidP="00E24DC9">
            <w:pPr>
              <w:jc w:val="center"/>
            </w:pPr>
          </w:p>
        </w:tc>
        <w:tc>
          <w:tcPr>
            <w:tcW w:w="809" w:type="dxa"/>
            <w:tcBorders>
              <w:top w:val="nil"/>
              <w:bottom w:val="nil"/>
            </w:tcBorders>
            <w:vAlign w:val="bottom"/>
          </w:tcPr>
          <w:p w14:paraId="76DFA4DE" w14:textId="77777777" w:rsidR="004D1935" w:rsidRPr="006F6B8E" w:rsidRDefault="004D1935" w:rsidP="00E24DC9">
            <w:pPr>
              <w:rPr>
                <w:rFonts w:ascii="Calibri" w:hAnsi="Calibri" w:cs="Calibri"/>
                <w:color w:val="000000"/>
                <w:sz w:val="13"/>
                <w:szCs w:val="13"/>
              </w:rPr>
            </w:pPr>
            <w:r w:rsidRPr="005D27EF">
              <w:rPr>
                <w:rFonts w:ascii="Calibri" w:hAnsi="Calibri" w:cs="Calibri"/>
                <w:color w:val="000000"/>
                <w:sz w:val="13"/>
                <w:szCs w:val="13"/>
              </w:rPr>
              <w:t>332.0850</w:t>
            </w:r>
          </w:p>
        </w:tc>
        <w:tc>
          <w:tcPr>
            <w:tcW w:w="2017" w:type="dxa"/>
            <w:vMerge/>
          </w:tcPr>
          <w:p w14:paraId="7CC4C2BE" w14:textId="77777777" w:rsidR="004D1935" w:rsidRPr="006B44AD" w:rsidRDefault="004D1935" w:rsidP="00E24DC9">
            <w:pPr>
              <w:rPr>
                <w:color w:val="000000" w:themeColor="text1"/>
                <w:sz w:val="16"/>
                <w:szCs w:val="16"/>
              </w:rPr>
            </w:pPr>
          </w:p>
        </w:tc>
        <w:tc>
          <w:tcPr>
            <w:tcW w:w="1276" w:type="dxa"/>
            <w:vMerge/>
          </w:tcPr>
          <w:p w14:paraId="236FFB05" w14:textId="77777777" w:rsidR="004D1935" w:rsidRPr="006B44AD" w:rsidRDefault="004D1935" w:rsidP="00E24DC9">
            <w:pPr>
              <w:rPr>
                <w:rFonts w:asciiTheme="majorBidi" w:hAnsiTheme="majorBidi" w:cstheme="majorBidi"/>
                <w:color w:val="000000" w:themeColor="text1"/>
                <w:sz w:val="16"/>
                <w:szCs w:val="16"/>
              </w:rPr>
            </w:pPr>
          </w:p>
        </w:tc>
        <w:tc>
          <w:tcPr>
            <w:tcW w:w="2126" w:type="dxa"/>
            <w:vMerge/>
            <w:vAlign w:val="bottom"/>
          </w:tcPr>
          <w:p w14:paraId="19FDBC5F" w14:textId="77777777" w:rsidR="004D1935" w:rsidRPr="006B44AD" w:rsidRDefault="004D1935" w:rsidP="00E24DC9">
            <w:pPr>
              <w:rPr>
                <w:color w:val="000000" w:themeColor="text1"/>
              </w:rPr>
            </w:pPr>
          </w:p>
        </w:tc>
        <w:tc>
          <w:tcPr>
            <w:tcW w:w="6946" w:type="dxa"/>
            <w:vMerge/>
            <w:vAlign w:val="bottom"/>
          </w:tcPr>
          <w:p w14:paraId="36303BEA" w14:textId="77777777" w:rsidR="004D1935" w:rsidRPr="006B44AD" w:rsidRDefault="004D1935" w:rsidP="00E24DC9">
            <w:pPr>
              <w:rPr>
                <w:color w:val="000000" w:themeColor="text1"/>
              </w:rPr>
            </w:pPr>
          </w:p>
        </w:tc>
      </w:tr>
      <w:tr w:rsidR="004D1935" w14:paraId="08DC7AA2" w14:textId="77777777" w:rsidTr="00E24DC9">
        <w:tc>
          <w:tcPr>
            <w:tcW w:w="713" w:type="dxa"/>
            <w:vMerge/>
            <w:vAlign w:val="center"/>
          </w:tcPr>
          <w:p w14:paraId="427A05A1" w14:textId="77777777" w:rsidR="004D1935" w:rsidRDefault="004D1935" w:rsidP="00E24DC9">
            <w:pPr>
              <w:jc w:val="center"/>
            </w:pPr>
          </w:p>
        </w:tc>
        <w:tc>
          <w:tcPr>
            <w:tcW w:w="809" w:type="dxa"/>
            <w:tcBorders>
              <w:top w:val="nil"/>
              <w:bottom w:val="nil"/>
            </w:tcBorders>
            <w:vAlign w:val="bottom"/>
          </w:tcPr>
          <w:p w14:paraId="5E36BF56" w14:textId="77777777" w:rsidR="004D1935" w:rsidRPr="006F6B8E" w:rsidRDefault="004D1935" w:rsidP="00E24DC9">
            <w:pPr>
              <w:rPr>
                <w:rFonts w:ascii="Calibri" w:hAnsi="Calibri" w:cs="Calibri"/>
                <w:color w:val="000000"/>
                <w:sz w:val="13"/>
                <w:szCs w:val="13"/>
              </w:rPr>
            </w:pPr>
            <w:r w:rsidRPr="005D27EF">
              <w:rPr>
                <w:rFonts w:ascii="Calibri" w:hAnsi="Calibri" w:cs="Calibri"/>
                <w:color w:val="000000"/>
                <w:sz w:val="13"/>
                <w:szCs w:val="13"/>
              </w:rPr>
              <w:t>331.9188</w:t>
            </w:r>
          </w:p>
        </w:tc>
        <w:tc>
          <w:tcPr>
            <w:tcW w:w="2017" w:type="dxa"/>
            <w:vMerge/>
          </w:tcPr>
          <w:p w14:paraId="75573BE0" w14:textId="77777777" w:rsidR="004D1935" w:rsidRPr="006B44AD" w:rsidRDefault="004D1935" w:rsidP="00E24DC9">
            <w:pPr>
              <w:rPr>
                <w:color w:val="000000" w:themeColor="text1"/>
              </w:rPr>
            </w:pPr>
          </w:p>
        </w:tc>
        <w:tc>
          <w:tcPr>
            <w:tcW w:w="1276" w:type="dxa"/>
            <w:vMerge/>
          </w:tcPr>
          <w:p w14:paraId="2EA10752" w14:textId="77777777" w:rsidR="004D1935" w:rsidRPr="006B44AD" w:rsidRDefault="004D1935" w:rsidP="00E24DC9">
            <w:pPr>
              <w:rPr>
                <w:color w:val="000000" w:themeColor="text1"/>
              </w:rPr>
            </w:pPr>
          </w:p>
        </w:tc>
        <w:tc>
          <w:tcPr>
            <w:tcW w:w="2126" w:type="dxa"/>
            <w:vMerge/>
          </w:tcPr>
          <w:p w14:paraId="72A2B3DF" w14:textId="77777777" w:rsidR="004D1935" w:rsidRPr="006B44AD" w:rsidRDefault="004D1935" w:rsidP="00E24DC9">
            <w:pPr>
              <w:rPr>
                <w:color w:val="000000" w:themeColor="text1"/>
              </w:rPr>
            </w:pPr>
          </w:p>
        </w:tc>
        <w:tc>
          <w:tcPr>
            <w:tcW w:w="6946" w:type="dxa"/>
            <w:vMerge/>
          </w:tcPr>
          <w:p w14:paraId="66DB5F1B" w14:textId="77777777" w:rsidR="004D1935" w:rsidRPr="006B44AD" w:rsidRDefault="004D1935" w:rsidP="00E24DC9">
            <w:pPr>
              <w:rPr>
                <w:color w:val="000000" w:themeColor="text1"/>
              </w:rPr>
            </w:pPr>
          </w:p>
        </w:tc>
      </w:tr>
      <w:tr w:rsidR="004D1935" w14:paraId="60021A91" w14:textId="77777777" w:rsidTr="00E24DC9">
        <w:tc>
          <w:tcPr>
            <w:tcW w:w="713" w:type="dxa"/>
            <w:vMerge/>
            <w:vAlign w:val="center"/>
          </w:tcPr>
          <w:p w14:paraId="0D595AF1" w14:textId="77777777" w:rsidR="004D1935" w:rsidRDefault="004D1935" w:rsidP="00E24DC9">
            <w:pPr>
              <w:jc w:val="center"/>
            </w:pPr>
          </w:p>
        </w:tc>
        <w:tc>
          <w:tcPr>
            <w:tcW w:w="809" w:type="dxa"/>
            <w:tcBorders>
              <w:top w:val="nil"/>
              <w:bottom w:val="nil"/>
            </w:tcBorders>
            <w:vAlign w:val="bottom"/>
          </w:tcPr>
          <w:p w14:paraId="38028AF8" w14:textId="77777777" w:rsidR="004D1935" w:rsidRPr="006F6B8E" w:rsidRDefault="004D1935" w:rsidP="00E24DC9">
            <w:pPr>
              <w:rPr>
                <w:rFonts w:ascii="Calibri" w:hAnsi="Calibri" w:cs="Calibri"/>
                <w:color w:val="000000"/>
                <w:sz w:val="13"/>
                <w:szCs w:val="13"/>
              </w:rPr>
            </w:pPr>
            <w:r w:rsidRPr="005D27EF">
              <w:rPr>
                <w:rFonts w:ascii="Calibri" w:hAnsi="Calibri" w:cs="Calibri"/>
                <w:color w:val="000000"/>
                <w:sz w:val="13"/>
                <w:szCs w:val="13"/>
              </w:rPr>
              <w:t>331.9613</w:t>
            </w:r>
          </w:p>
        </w:tc>
        <w:tc>
          <w:tcPr>
            <w:tcW w:w="2017" w:type="dxa"/>
            <w:vMerge/>
          </w:tcPr>
          <w:p w14:paraId="549A2781" w14:textId="77777777" w:rsidR="004D1935" w:rsidRPr="006B44AD" w:rsidRDefault="004D1935" w:rsidP="00E24DC9">
            <w:pPr>
              <w:rPr>
                <w:color w:val="000000" w:themeColor="text1"/>
              </w:rPr>
            </w:pPr>
          </w:p>
        </w:tc>
        <w:tc>
          <w:tcPr>
            <w:tcW w:w="1276" w:type="dxa"/>
            <w:vMerge/>
          </w:tcPr>
          <w:p w14:paraId="38EA70C8" w14:textId="77777777" w:rsidR="004D1935" w:rsidRPr="006B44AD" w:rsidRDefault="004D1935" w:rsidP="00E24DC9">
            <w:pPr>
              <w:rPr>
                <w:color w:val="000000" w:themeColor="text1"/>
              </w:rPr>
            </w:pPr>
          </w:p>
        </w:tc>
        <w:tc>
          <w:tcPr>
            <w:tcW w:w="2126" w:type="dxa"/>
            <w:vMerge/>
          </w:tcPr>
          <w:p w14:paraId="14F5783C" w14:textId="77777777" w:rsidR="004D1935" w:rsidRPr="006B44AD" w:rsidRDefault="004D1935" w:rsidP="00E24DC9">
            <w:pPr>
              <w:rPr>
                <w:color w:val="000000" w:themeColor="text1"/>
              </w:rPr>
            </w:pPr>
          </w:p>
        </w:tc>
        <w:tc>
          <w:tcPr>
            <w:tcW w:w="6946" w:type="dxa"/>
            <w:vMerge/>
          </w:tcPr>
          <w:p w14:paraId="28124587" w14:textId="77777777" w:rsidR="004D1935" w:rsidRPr="006B44AD" w:rsidRDefault="004D1935" w:rsidP="00E24DC9">
            <w:pPr>
              <w:rPr>
                <w:color w:val="000000" w:themeColor="text1"/>
              </w:rPr>
            </w:pPr>
          </w:p>
        </w:tc>
      </w:tr>
      <w:tr w:rsidR="004D1935" w14:paraId="43DB57C2" w14:textId="77777777" w:rsidTr="00E24DC9">
        <w:tc>
          <w:tcPr>
            <w:tcW w:w="713" w:type="dxa"/>
            <w:vMerge/>
            <w:vAlign w:val="center"/>
          </w:tcPr>
          <w:p w14:paraId="4BC2144D" w14:textId="77777777" w:rsidR="004D1935" w:rsidRDefault="004D1935" w:rsidP="00E24DC9">
            <w:pPr>
              <w:jc w:val="center"/>
            </w:pPr>
          </w:p>
        </w:tc>
        <w:tc>
          <w:tcPr>
            <w:tcW w:w="809" w:type="dxa"/>
            <w:tcBorders>
              <w:top w:val="nil"/>
              <w:bottom w:val="nil"/>
            </w:tcBorders>
            <w:vAlign w:val="bottom"/>
          </w:tcPr>
          <w:p w14:paraId="6F91AFD4" w14:textId="77777777" w:rsidR="004D1935" w:rsidRPr="006F6B8E" w:rsidRDefault="004D1935" w:rsidP="00E24DC9">
            <w:pPr>
              <w:rPr>
                <w:rFonts w:ascii="Calibri" w:hAnsi="Calibri" w:cs="Calibri"/>
                <w:color w:val="000000"/>
                <w:sz w:val="13"/>
                <w:szCs w:val="13"/>
              </w:rPr>
            </w:pPr>
            <w:r w:rsidRPr="005D27EF">
              <w:rPr>
                <w:rFonts w:ascii="Calibri" w:hAnsi="Calibri" w:cs="Calibri"/>
                <w:color w:val="000000"/>
                <w:sz w:val="13"/>
                <w:szCs w:val="13"/>
              </w:rPr>
              <w:t>332.0238</w:t>
            </w:r>
          </w:p>
        </w:tc>
        <w:tc>
          <w:tcPr>
            <w:tcW w:w="2017" w:type="dxa"/>
            <w:vMerge/>
          </w:tcPr>
          <w:p w14:paraId="43133A66" w14:textId="77777777" w:rsidR="004D1935" w:rsidRPr="006B44AD" w:rsidRDefault="004D1935" w:rsidP="00E24DC9">
            <w:pPr>
              <w:rPr>
                <w:color w:val="000000" w:themeColor="text1"/>
              </w:rPr>
            </w:pPr>
          </w:p>
        </w:tc>
        <w:tc>
          <w:tcPr>
            <w:tcW w:w="1276" w:type="dxa"/>
            <w:vMerge/>
          </w:tcPr>
          <w:p w14:paraId="53B42190" w14:textId="77777777" w:rsidR="004D1935" w:rsidRPr="006B44AD" w:rsidRDefault="004D1935" w:rsidP="00E24DC9">
            <w:pPr>
              <w:rPr>
                <w:color w:val="000000" w:themeColor="text1"/>
              </w:rPr>
            </w:pPr>
          </w:p>
        </w:tc>
        <w:tc>
          <w:tcPr>
            <w:tcW w:w="2126" w:type="dxa"/>
            <w:vMerge/>
          </w:tcPr>
          <w:p w14:paraId="4078683B" w14:textId="77777777" w:rsidR="004D1935" w:rsidRPr="006B44AD" w:rsidRDefault="004D1935" w:rsidP="00E24DC9">
            <w:pPr>
              <w:rPr>
                <w:color w:val="000000" w:themeColor="text1"/>
              </w:rPr>
            </w:pPr>
          </w:p>
        </w:tc>
        <w:tc>
          <w:tcPr>
            <w:tcW w:w="6946" w:type="dxa"/>
            <w:vMerge/>
          </w:tcPr>
          <w:p w14:paraId="66436DE2" w14:textId="77777777" w:rsidR="004D1935" w:rsidRPr="006B44AD" w:rsidRDefault="004D1935" w:rsidP="00E24DC9">
            <w:pPr>
              <w:rPr>
                <w:color w:val="000000" w:themeColor="text1"/>
              </w:rPr>
            </w:pPr>
          </w:p>
        </w:tc>
      </w:tr>
      <w:tr w:rsidR="004D1935" w14:paraId="58FAA82D" w14:textId="77777777" w:rsidTr="00E24DC9">
        <w:tc>
          <w:tcPr>
            <w:tcW w:w="713" w:type="dxa"/>
            <w:vMerge/>
            <w:vAlign w:val="center"/>
          </w:tcPr>
          <w:p w14:paraId="50C29374" w14:textId="77777777" w:rsidR="004D1935" w:rsidRDefault="004D1935" w:rsidP="00E24DC9">
            <w:pPr>
              <w:jc w:val="center"/>
            </w:pPr>
          </w:p>
        </w:tc>
        <w:tc>
          <w:tcPr>
            <w:tcW w:w="809" w:type="dxa"/>
            <w:tcBorders>
              <w:top w:val="nil"/>
              <w:bottom w:val="nil"/>
            </w:tcBorders>
            <w:vAlign w:val="bottom"/>
          </w:tcPr>
          <w:p w14:paraId="539FAB25" w14:textId="77777777" w:rsidR="004D1935" w:rsidRPr="006F6B8E" w:rsidRDefault="004D1935" w:rsidP="00E24DC9">
            <w:pPr>
              <w:rPr>
                <w:rFonts w:ascii="Calibri" w:hAnsi="Calibri" w:cs="Calibri"/>
                <w:color w:val="000000"/>
                <w:sz w:val="13"/>
                <w:szCs w:val="13"/>
              </w:rPr>
            </w:pPr>
            <w:r w:rsidRPr="005D27EF">
              <w:rPr>
                <w:rFonts w:ascii="Calibri" w:hAnsi="Calibri" w:cs="Calibri"/>
                <w:color w:val="000000"/>
                <w:sz w:val="13"/>
                <w:szCs w:val="13"/>
              </w:rPr>
              <w:t>331.9015</w:t>
            </w:r>
          </w:p>
        </w:tc>
        <w:tc>
          <w:tcPr>
            <w:tcW w:w="2017" w:type="dxa"/>
            <w:vMerge/>
          </w:tcPr>
          <w:p w14:paraId="2F759AC3" w14:textId="77777777" w:rsidR="004D1935" w:rsidRPr="006B44AD" w:rsidRDefault="004D1935" w:rsidP="00E24DC9">
            <w:pPr>
              <w:rPr>
                <w:color w:val="000000" w:themeColor="text1"/>
              </w:rPr>
            </w:pPr>
          </w:p>
        </w:tc>
        <w:tc>
          <w:tcPr>
            <w:tcW w:w="1276" w:type="dxa"/>
            <w:vMerge/>
          </w:tcPr>
          <w:p w14:paraId="4DBEE908" w14:textId="77777777" w:rsidR="004D1935" w:rsidRPr="006B44AD" w:rsidRDefault="004D1935" w:rsidP="00E24DC9">
            <w:pPr>
              <w:rPr>
                <w:color w:val="000000" w:themeColor="text1"/>
              </w:rPr>
            </w:pPr>
          </w:p>
        </w:tc>
        <w:tc>
          <w:tcPr>
            <w:tcW w:w="2126" w:type="dxa"/>
            <w:vMerge/>
          </w:tcPr>
          <w:p w14:paraId="2FFEA89B" w14:textId="77777777" w:rsidR="004D1935" w:rsidRPr="006B44AD" w:rsidRDefault="004D1935" w:rsidP="00E24DC9">
            <w:pPr>
              <w:rPr>
                <w:color w:val="000000" w:themeColor="text1"/>
              </w:rPr>
            </w:pPr>
          </w:p>
        </w:tc>
        <w:tc>
          <w:tcPr>
            <w:tcW w:w="6946" w:type="dxa"/>
            <w:vMerge/>
          </w:tcPr>
          <w:p w14:paraId="57970DD6" w14:textId="77777777" w:rsidR="004D1935" w:rsidRPr="006B44AD" w:rsidRDefault="004D1935" w:rsidP="00E24DC9">
            <w:pPr>
              <w:rPr>
                <w:color w:val="000000" w:themeColor="text1"/>
              </w:rPr>
            </w:pPr>
          </w:p>
        </w:tc>
      </w:tr>
      <w:tr w:rsidR="004D1935" w14:paraId="39BA14F0" w14:textId="77777777" w:rsidTr="00E24DC9">
        <w:tc>
          <w:tcPr>
            <w:tcW w:w="713" w:type="dxa"/>
            <w:vMerge/>
            <w:vAlign w:val="center"/>
          </w:tcPr>
          <w:p w14:paraId="2312B398" w14:textId="77777777" w:rsidR="004D1935" w:rsidRDefault="004D1935" w:rsidP="00E24DC9">
            <w:pPr>
              <w:jc w:val="center"/>
            </w:pPr>
          </w:p>
        </w:tc>
        <w:tc>
          <w:tcPr>
            <w:tcW w:w="809" w:type="dxa"/>
            <w:tcBorders>
              <w:top w:val="nil"/>
              <w:bottom w:val="nil"/>
            </w:tcBorders>
            <w:vAlign w:val="bottom"/>
          </w:tcPr>
          <w:p w14:paraId="1F80A19E" w14:textId="77777777" w:rsidR="004D1935" w:rsidRPr="006F6B8E" w:rsidRDefault="004D1935" w:rsidP="00E24DC9">
            <w:pPr>
              <w:rPr>
                <w:rFonts w:ascii="Calibri" w:hAnsi="Calibri" w:cs="Calibri"/>
                <w:color w:val="000000"/>
                <w:sz w:val="13"/>
                <w:szCs w:val="13"/>
              </w:rPr>
            </w:pPr>
            <w:r w:rsidRPr="005D27EF">
              <w:rPr>
                <w:rFonts w:ascii="Calibri" w:hAnsi="Calibri" w:cs="Calibri"/>
                <w:color w:val="000000"/>
                <w:sz w:val="13"/>
                <w:szCs w:val="13"/>
              </w:rPr>
              <w:t>331.9427</w:t>
            </w:r>
          </w:p>
        </w:tc>
        <w:tc>
          <w:tcPr>
            <w:tcW w:w="2017" w:type="dxa"/>
            <w:vMerge/>
          </w:tcPr>
          <w:p w14:paraId="24C4E43F" w14:textId="77777777" w:rsidR="004D1935" w:rsidRPr="006B44AD" w:rsidRDefault="004D1935" w:rsidP="00E24DC9">
            <w:pPr>
              <w:rPr>
                <w:color w:val="000000" w:themeColor="text1"/>
              </w:rPr>
            </w:pPr>
          </w:p>
        </w:tc>
        <w:tc>
          <w:tcPr>
            <w:tcW w:w="1276" w:type="dxa"/>
            <w:vMerge/>
          </w:tcPr>
          <w:p w14:paraId="3075010E" w14:textId="77777777" w:rsidR="004D1935" w:rsidRPr="006B44AD" w:rsidRDefault="004D1935" w:rsidP="00E24DC9">
            <w:pPr>
              <w:rPr>
                <w:color w:val="000000" w:themeColor="text1"/>
              </w:rPr>
            </w:pPr>
          </w:p>
        </w:tc>
        <w:tc>
          <w:tcPr>
            <w:tcW w:w="2126" w:type="dxa"/>
            <w:vMerge/>
          </w:tcPr>
          <w:p w14:paraId="13B64A75" w14:textId="77777777" w:rsidR="004D1935" w:rsidRPr="006B44AD" w:rsidRDefault="004D1935" w:rsidP="00E24DC9">
            <w:pPr>
              <w:rPr>
                <w:color w:val="000000" w:themeColor="text1"/>
              </w:rPr>
            </w:pPr>
          </w:p>
        </w:tc>
        <w:tc>
          <w:tcPr>
            <w:tcW w:w="6946" w:type="dxa"/>
            <w:vMerge/>
          </w:tcPr>
          <w:p w14:paraId="53533236" w14:textId="77777777" w:rsidR="004D1935" w:rsidRPr="006B44AD" w:rsidRDefault="004D1935" w:rsidP="00E24DC9">
            <w:pPr>
              <w:rPr>
                <w:color w:val="000000" w:themeColor="text1"/>
              </w:rPr>
            </w:pPr>
          </w:p>
        </w:tc>
      </w:tr>
      <w:tr w:rsidR="004D1935" w14:paraId="79D9DBB1" w14:textId="77777777" w:rsidTr="00E24DC9">
        <w:tc>
          <w:tcPr>
            <w:tcW w:w="713" w:type="dxa"/>
            <w:vMerge/>
            <w:vAlign w:val="center"/>
          </w:tcPr>
          <w:p w14:paraId="32C2146E" w14:textId="77777777" w:rsidR="004D1935" w:rsidRDefault="004D1935" w:rsidP="00E24DC9">
            <w:pPr>
              <w:jc w:val="center"/>
            </w:pPr>
          </w:p>
        </w:tc>
        <w:tc>
          <w:tcPr>
            <w:tcW w:w="809" w:type="dxa"/>
            <w:tcBorders>
              <w:top w:val="nil"/>
              <w:bottom w:val="nil"/>
            </w:tcBorders>
            <w:vAlign w:val="bottom"/>
          </w:tcPr>
          <w:p w14:paraId="5A968040" w14:textId="77777777" w:rsidR="004D1935" w:rsidRPr="006F6B8E" w:rsidRDefault="004D1935" w:rsidP="00E24DC9">
            <w:pPr>
              <w:rPr>
                <w:rFonts w:ascii="Calibri" w:hAnsi="Calibri" w:cs="Calibri"/>
                <w:color w:val="000000"/>
                <w:sz w:val="13"/>
                <w:szCs w:val="13"/>
              </w:rPr>
            </w:pPr>
            <w:r w:rsidRPr="005D27EF">
              <w:rPr>
                <w:rFonts w:ascii="Calibri" w:hAnsi="Calibri" w:cs="Calibri"/>
                <w:color w:val="000000"/>
                <w:sz w:val="13"/>
                <w:szCs w:val="13"/>
              </w:rPr>
              <w:t>332.0384</w:t>
            </w:r>
          </w:p>
        </w:tc>
        <w:tc>
          <w:tcPr>
            <w:tcW w:w="2017" w:type="dxa"/>
            <w:vMerge/>
          </w:tcPr>
          <w:p w14:paraId="5AC2EB3E" w14:textId="77777777" w:rsidR="004D1935" w:rsidRPr="006B44AD" w:rsidRDefault="004D1935" w:rsidP="00E24DC9">
            <w:pPr>
              <w:rPr>
                <w:color w:val="000000" w:themeColor="text1"/>
              </w:rPr>
            </w:pPr>
          </w:p>
        </w:tc>
        <w:tc>
          <w:tcPr>
            <w:tcW w:w="1276" w:type="dxa"/>
            <w:vMerge/>
          </w:tcPr>
          <w:p w14:paraId="02C79B1E" w14:textId="77777777" w:rsidR="004D1935" w:rsidRPr="006B44AD" w:rsidRDefault="004D1935" w:rsidP="00E24DC9">
            <w:pPr>
              <w:rPr>
                <w:color w:val="000000" w:themeColor="text1"/>
              </w:rPr>
            </w:pPr>
          </w:p>
        </w:tc>
        <w:tc>
          <w:tcPr>
            <w:tcW w:w="2126" w:type="dxa"/>
            <w:vMerge/>
          </w:tcPr>
          <w:p w14:paraId="3E968F76" w14:textId="77777777" w:rsidR="004D1935" w:rsidRPr="006B44AD" w:rsidRDefault="004D1935" w:rsidP="00E24DC9">
            <w:pPr>
              <w:rPr>
                <w:color w:val="000000" w:themeColor="text1"/>
              </w:rPr>
            </w:pPr>
          </w:p>
        </w:tc>
        <w:tc>
          <w:tcPr>
            <w:tcW w:w="6946" w:type="dxa"/>
            <w:vMerge/>
          </w:tcPr>
          <w:p w14:paraId="310A793D" w14:textId="77777777" w:rsidR="004D1935" w:rsidRPr="006B44AD" w:rsidRDefault="004D1935" w:rsidP="00E24DC9">
            <w:pPr>
              <w:rPr>
                <w:color w:val="000000" w:themeColor="text1"/>
              </w:rPr>
            </w:pPr>
          </w:p>
        </w:tc>
      </w:tr>
      <w:tr w:rsidR="004D1935" w14:paraId="33294C4E" w14:textId="77777777" w:rsidTr="00E24DC9">
        <w:tc>
          <w:tcPr>
            <w:tcW w:w="713" w:type="dxa"/>
            <w:vMerge/>
            <w:vAlign w:val="center"/>
          </w:tcPr>
          <w:p w14:paraId="35CE20E5" w14:textId="77777777" w:rsidR="004D1935" w:rsidRDefault="004D1935" w:rsidP="00E24DC9">
            <w:pPr>
              <w:jc w:val="center"/>
            </w:pPr>
          </w:p>
        </w:tc>
        <w:tc>
          <w:tcPr>
            <w:tcW w:w="809" w:type="dxa"/>
            <w:tcBorders>
              <w:top w:val="nil"/>
              <w:bottom w:val="nil"/>
            </w:tcBorders>
            <w:vAlign w:val="bottom"/>
          </w:tcPr>
          <w:p w14:paraId="3FD0B3F4" w14:textId="77777777" w:rsidR="004D1935" w:rsidRPr="006F6B8E" w:rsidRDefault="004D1935" w:rsidP="00E24DC9">
            <w:pPr>
              <w:rPr>
                <w:rFonts w:ascii="Calibri" w:hAnsi="Calibri" w:cs="Calibri"/>
                <w:color w:val="000000"/>
                <w:sz w:val="13"/>
                <w:szCs w:val="13"/>
              </w:rPr>
            </w:pPr>
            <w:r w:rsidRPr="005D27EF">
              <w:rPr>
                <w:rFonts w:ascii="Calibri" w:hAnsi="Calibri" w:cs="Calibri"/>
                <w:color w:val="000000"/>
                <w:sz w:val="13"/>
                <w:szCs w:val="13"/>
              </w:rPr>
              <w:t>331.9214</w:t>
            </w:r>
          </w:p>
        </w:tc>
        <w:tc>
          <w:tcPr>
            <w:tcW w:w="2017" w:type="dxa"/>
            <w:vMerge/>
          </w:tcPr>
          <w:p w14:paraId="44946B69" w14:textId="77777777" w:rsidR="004D1935" w:rsidRPr="006B44AD" w:rsidRDefault="004D1935" w:rsidP="00E24DC9">
            <w:pPr>
              <w:rPr>
                <w:color w:val="000000" w:themeColor="text1"/>
              </w:rPr>
            </w:pPr>
          </w:p>
        </w:tc>
        <w:tc>
          <w:tcPr>
            <w:tcW w:w="1276" w:type="dxa"/>
            <w:vMerge/>
          </w:tcPr>
          <w:p w14:paraId="0CE977D6" w14:textId="77777777" w:rsidR="004D1935" w:rsidRPr="006B44AD" w:rsidRDefault="004D1935" w:rsidP="00E24DC9">
            <w:pPr>
              <w:rPr>
                <w:color w:val="000000" w:themeColor="text1"/>
              </w:rPr>
            </w:pPr>
          </w:p>
        </w:tc>
        <w:tc>
          <w:tcPr>
            <w:tcW w:w="2126" w:type="dxa"/>
            <w:vMerge/>
          </w:tcPr>
          <w:p w14:paraId="73A6F44D" w14:textId="77777777" w:rsidR="004D1935" w:rsidRPr="006B44AD" w:rsidRDefault="004D1935" w:rsidP="00E24DC9">
            <w:pPr>
              <w:rPr>
                <w:color w:val="000000" w:themeColor="text1"/>
              </w:rPr>
            </w:pPr>
          </w:p>
        </w:tc>
        <w:tc>
          <w:tcPr>
            <w:tcW w:w="6946" w:type="dxa"/>
            <w:vMerge/>
          </w:tcPr>
          <w:p w14:paraId="66F72A94" w14:textId="77777777" w:rsidR="004D1935" w:rsidRPr="006B44AD" w:rsidRDefault="004D1935" w:rsidP="00E24DC9">
            <w:pPr>
              <w:rPr>
                <w:color w:val="000000" w:themeColor="text1"/>
              </w:rPr>
            </w:pPr>
          </w:p>
        </w:tc>
      </w:tr>
      <w:tr w:rsidR="004D1935" w14:paraId="6707A71D" w14:textId="77777777" w:rsidTr="00E24DC9">
        <w:tc>
          <w:tcPr>
            <w:tcW w:w="713" w:type="dxa"/>
            <w:vMerge/>
            <w:vAlign w:val="center"/>
          </w:tcPr>
          <w:p w14:paraId="52610C53" w14:textId="77777777" w:rsidR="004D1935" w:rsidRDefault="004D1935" w:rsidP="00E24DC9">
            <w:pPr>
              <w:jc w:val="center"/>
            </w:pPr>
          </w:p>
        </w:tc>
        <w:tc>
          <w:tcPr>
            <w:tcW w:w="809" w:type="dxa"/>
            <w:tcBorders>
              <w:top w:val="nil"/>
              <w:bottom w:val="nil"/>
            </w:tcBorders>
            <w:vAlign w:val="bottom"/>
          </w:tcPr>
          <w:p w14:paraId="7022AAA2" w14:textId="77777777" w:rsidR="004D1935" w:rsidRPr="006F6B8E" w:rsidRDefault="004D1935" w:rsidP="00E24DC9">
            <w:pPr>
              <w:rPr>
                <w:rFonts w:ascii="Calibri" w:hAnsi="Calibri" w:cs="Calibri"/>
                <w:color w:val="000000"/>
                <w:sz w:val="13"/>
                <w:szCs w:val="13"/>
              </w:rPr>
            </w:pPr>
            <w:r w:rsidRPr="005D27EF">
              <w:rPr>
                <w:rFonts w:ascii="Calibri" w:hAnsi="Calibri" w:cs="Calibri"/>
                <w:color w:val="000000"/>
                <w:sz w:val="13"/>
                <w:szCs w:val="13"/>
              </w:rPr>
              <w:t>331.9653</w:t>
            </w:r>
          </w:p>
        </w:tc>
        <w:tc>
          <w:tcPr>
            <w:tcW w:w="2017" w:type="dxa"/>
            <w:vMerge/>
          </w:tcPr>
          <w:p w14:paraId="7CF90AEC" w14:textId="77777777" w:rsidR="004D1935" w:rsidRPr="006B44AD" w:rsidRDefault="004D1935" w:rsidP="00E24DC9">
            <w:pPr>
              <w:rPr>
                <w:color w:val="000000" w:themeColor="text1"/>
              </w:rPr>
            </w:pPr>
          </w:p>
        </w:tc>
        <w:tc>
          <w:tcPr>
            <w:tcW w:w="1276" w:type="dxa"/>
            <w:vMerge/>
          </w:tcPr>
          <w:p w14:paraId="79250C85" w14:textId="77777777" w:rsidR="004D1935" w:rsidRPr="006B44AD" w:rsidRDefault="004D1935" w:rsidP="00E24DC9">
            <w:pPr>
              <w:rPr>
                <w:color w:val="000000" w:themeColor="text1"/>
              </w:rPr>
            </w:pPr>
          </w:p>
        </w:tc>
        <w:tc>
          <w:tcPr>
            <w:tcW w:w="2126" w:type="dxa"/>
            <w:vMerge/>
          </w:tcPr>
          <w:p w14:paraId="1D5E5636" w14:textId="77777777" w:rsidR="004D1935" w:rsidRPr="006B44AD" w:rsidRDefault="004D1935" w:rsidP="00E24DC9">
            <w:pPr>
              <w:rPr>
                <w:color w:val="000000" w:themeColor="text1"/>
              </w:rPr>
            </w:pPr>
          </w:p>
        </w:tc>
        <w:tc>
          <w:tcPr>
            <w:tcW w:w="6946" w:type="dxa"/>
            <w:vMerge/>
          </w:tcPr>
          <w:p w14:paraId="471E0DE3" w14:textId="77777777" w:rsidR="004D1935" w:rsidRPr="006B44AD" w:rsidRDefault="004D1935" w:rsidP="00E24DC9">
            <w:pPr>
              <w:rPr>
                <w:color w:val="000000" w:themeColor="text1"/>
              </w:rPr>
            </w:pPr>
          </w:p>
        </w:tc>
      </w:tr>
      <w:tr w:rsidR="004D1935" w14:paraId="282C2F95" w14:textId="77777777" w:rsidTr="00E24DC9">
        <w:tc>
          <w:tcPr>
            <w:tcW w:w="713" w:type="dxa"/>
            <w:vMerge/>
            <w:vAlign w:val="center"/>
          </w:tcPr>
          <w:p w14:paraId="2BA2E1B9" w14:textId="77777777" w:rsidR="004D1935" w:rsidRDefault="004D1935" w:rsidP="00E24DC9">
            <w:pPr>
              <w:jc w:val="center"/>
            </w:pPr>
          </w:p>
        </w:tc>
        <w:tc>
          <w:tcPr>
            <w:tcW w:w="809" w:type="dxa"/>
            <w:tcBorders>
              <w:top w:val="nil"/>
              <w:bottom w:val="nil"/>
            </w:tcBorders>
            <w:vAlign w:val="bottom"/>
          </w:tcPr>
          <w:p w14:paraId="22BA360C" w14:textId="77777777" w:rsidR="004D1935" w:rsidRPr="006F6B8E" w:rsidRDefault="004D1935" w:rsidP="00E24DC9">
            <w:pPr>
              <w:rPr>
                <w:rFonts w:ascii="Calibri" w:hAnsi="Calibri" w:cs="Calibri"/>
                <w:color w:val="000000"/>
                <w:sz w:val="13"/>
                <w:szCs w:val="13"/>
              </w:rPr>
            </w:pPr>
            <w:r w:rsidRPr="005D27EF">
              <w:rPr>
                <w:rFonts w:ascii="Calibri" w:hAnsi="Calibri" w:cs="Calibri"/>
                <w:color w:val="000000"/>
                <w:sz w:val="13"/>
                <w:szCs w:val="13"/>
              </w:rPr>
              <w:t>332.0252</w:t>
            </w:r>
          </w:p>
        </w:tc>
        <w:tc>
          <w:tcPr>
            <w:tcW w:w="2017" w:type="dxa"/>
            <w:vMerge/>
          </w:tcPr>
          <w:p w14:paraId="5CB83AE8" w14:textId="77777777" w:rsidR="004D1935" w:rsidRPr="006B44AD" w:rsidRDefault="004D1935" w:rsidP="00E24DC9">
            <w:pPr>
              <w:rPr>
                <w:color w:val="000000" w:themeColor="text1"/>
              </w:rPr>
            </w:pPr>
          </w:p>
        </w:tc>
        <w:tc>
          <w:tcPr>
            <w:tcW w:w="1276" w:type="dxa"/>
            <w:vMerge/>
          </w:tcPr>
          <w:p w14:paraId="22B8BA3D" w14:textId="77777777" w:rsidR="004D1935" w:rsidRPr="006B44AD" w:rsidRDefault="004D1935" w:rsidP="00E24DC9">
            <w:pPr>
              <w:rPr>
                <w:color w:val="000000" w:themeColor="text1"/>
              </w:rPr>
            </w:pPr>
          </w:p>
        </w:tc>
        <w:tc>
          <w:tcPr>
            <w:tcW w:w="2126" w:type="dxa"/>
            <w:vMerge/>
          </w:tcPr>
          <w:p w14:paraId="23CD757A" w14:textId="77777777" w:rsidR="004D1935" w:rsidRPr="006B44AD" w:rsidRDefault="004D1935" w:rsidP="00E24DC9">
            <w:pPr>
              <w:rPr>
                <w:color w:val="000000" w:themeColor="text1"/>
              </w:rPr>
            </w:pPr>
          </w:p>
        </w:tc>
        <w:tc>
          <w:tcPr>
            <w:tcW w:w="6946" w:type="dxa"/>
            <w:vMerge/>
          </w:tcPr>
          <w:p w14:paraId="1C208F75" w14:textId="77777777" w:rsidR="004D1935" w:rsidRPr="006B44AD" w:rsidRDefault="004D1935" w:rsidP="00E24DC9">
            <w:pPr>
              <w:rPr>
                <w:color w:val="000000" w:themeColor="text1"/>
              </w:rPr>
            </w:pPr>
          </w:p>
        </w:tc>
      </w:tr>
      <w:tr w:rsidR="004D1935" w14:paraId="510CE474" w14:textId="77777777" w:rsidTr="00E24DC9">
        <w:tc>
          <w:tcPr>
            <w:tcW w:w="713" w:type="dxa"/>
            <w:vMerge/>
            <w:vAlign w:val="center"/>
          </w:tcPr>
          <w:p w14:paraId="422A23D2" w14:textId="77777777" w:rsidR="004D1935" w:rsidRDefault="004D1935" w:rsidP="00E24DC9">
            <w:pPr>
              <w:jc w:val="center"/>
            </w:pPr>
          </w:p>
        </w:tc>
        <w:tc>
          <w:tcPr>
            <w:tcW w:w="809" w:type="dxa"/>
            <w:tcBorders>
              <w:top w:val="nil"/>
              <w:bottom w:val="nil"/>
            </w:tcBorders>
            <w:vAlign w:val="bottom"/>
          </w:tcPr>
          <w:p w14:paraId="65AD0E12" w14:textId="77777777" w:rsidR="004D1935" w:rsidRPr="006F6B8E" w:rsidRDefault="004D1935" w:rsidP="00E24DC9">
            <w:pPr>
              <w:rPr>
                <w:rFonts w:ascii="Calibri" w:hAnsi="Calibri" w:cs="Calibri"/>
                <w:color w:val="000000"/>
                <w:sz w:val="13"/>
                <w:szCs w:val="13"/>
              </w:rPr>
            </w:pPr>
            <w:r w:rsidRPr="005D27EF">
              <w:rPr>
                <w:rFonts w:ascii="Calibri" w:hAnsi="Calibri" w:cs="Calibri"/>
                <w:color w:val="000000"/>
                <w:sz w:val="13"/>
                <w:szCs w:val="13"/>
              </w:rPr>
              <w:t>331.9267</w:t>
            </w:r>
          </w:p>
        </w:tc>
        <w:tc>
          <w:tcPr>
            <w:tcW w:w="2017" w:type="dxa"/>
            <w:vMerge/>
          </w:tcPr>
          <w:p w14:paraId="3B01C020" w14:textId="77777777" w:rsidR="004D1935" w:rsidRPr="006B44AD" w:rsidRDefault="004D1935" w:rsidP="00E24DC9">
            <w:pPr>
              <w:rPr>
                <w:color w:val="000000" w:themeColor="text1"/>
              </w:rPr>
            </w:pPr>
          </w:p>
        </w:tc>
        <w:tc>
          <w:tcPr>
            <w:tcW w:w="1276" w:type="dxa"/>
            <w:vMerge/>
          </w:tcPr>
          <w:p w14:paraId="4D346191" w14:textId="77777777" w:rsidR="004D1935" w:rsidRPr="006B44AD" w:rsidRDefault="004D1935" w:rsidP="00E24DC9">
            <w:pPr>
              <w:rPr>
                <w:color w:val="000000" w:themeColor="text1"/>
              </w:rPr>
            </w:pPr>
          </w:p>
        </w:tc>
        <w:tc>
          <w:tcPr>
            <w:tcW w:w="2126" w:type="dxa"/>
            <w:vMerge/>
          </w:tcPr>
          <w:p w14:paraId="6D8FDEA0" w14:textId="77777777" w:rsidR="004D1935" w:rsidRPr="006B44AD" w:rsidRDefault="004D1935" w:rsidP="00E24DC9">
            <w:pPr>
              <w:rPr>
                <w:color w:val="000000" w:themeColor="text1"/>
              </w:rPr>
            </w:pPr>
          </w:p>
        </w:tc>
        <w:tc>
          <w:tcPr>
            <w:tcW w:w="6946" w:type="dxa"/>
            <w:vMerge/>
          </w:tcPr>
          <w:p w14:paraId="435C8FFE" w14:textId="77777777" w:rsidR="004D1935" w:rsidRPr="006B44AD" w:rsidRDefault="004D1935" w:rsidP="00E24DC9">
            <w:pPr>
              <w:rPr>
                <w:color w:val="000000" w:themeColor="text1"/>
              </w:rPr>
            </w:pPr>
          </w:p>
        </w:tc>
      </w:tr>
      <w:tr w:rsidR="004D1935" w14:paraId="6E5E2D7C" w14:textId="77777777" w:rsidTr="00E24DC9">
        <w:tc>
          <w:tcPr>
            <w:tcW w:w="713" w:type="dxa"/>
            <w:vMerge/>
            <w:vAlign w:val="center"/>
          </w:tcPr>
          <w:p w14:paraId="76A52688" w14:textId="77777777" w:rsidR="004D1935" w:rsidRDefault="004D1935" w:rsidP="00E24DC9">
            <w:pPr>
              <w:jc w:val="center"/>
            </w:pPr>
          </w:p>
        </w:tc>
        <w:tc>
          <w:tcPr>
            <w:tcW w:w="809" w:type="dxa"/>
            <w:tcBorders>
              <w:top w:val="nil"/>
              <w:bottom w:val="nil"/>
            </w:tcBorders>
            <w:vAlign w:val="bottom"/>
          </w:tcPr>
          <w:p w14:paraId="38C41AEE"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331.9719</w:t>
            </w:r>
          </w:p>
        </w:tc>
        <w:tc>
          <w:tcPr>
            <w:tcW w:w="2017" w:type="dxa"/>
            <w:vMerge/>
          </w:tcPr>
          <w:p w14:paraId="5649E91D" w14:textId="77777777" w:rsidR="004D1935" w:rsidRPr="006B44AD" w:rsidRDefault="004D1935" w:rsidP="00E24DC9">
            <w:pPr>
              <w:rPr>
                <w:color w:val="000000" w:themeColor="text1"/>
              </w:rPr>
            </w:pPr>
          </w:p>
        </w:tc>
        <w:tc>
          <w:tcPr>
            <w:tcW w:w="1276" w:type="dxa"/>
            <w:vMerge/>
          </w:tcPr>
          <w:p w14:paraId="6C80D067" w14:textId="77777777" w:rsidR="004D1935" w:rsidRPr="006B44AD" w:rsidRDefault="004D1935" w:rsidP="00E24DC9">
            <w:pPr>
              <w:rPr>
                <w:color w:val="000000" w:themeColor="text1"/>
              </w:rPr>
            </w:pPr>
          </w:p>
        </w:tc>
        <w:tc>
          <w:tcPr>
            <w:tcW w:w="2126" w:type="dxa"/>
            <w:vMerge/>
          </w:tcPr>
          <w:p w14:paraId="24C7FB93" w14:textId="77777777" w:rsidR="004D1935" w:rsidRPr="006B44AD" w:rsidRDefault="004D1935" w:rsidP="00E24DC9">
            <w:pPr>
              <w:rPr>
                <w:color w:val="000000" w:themeColor="text1"/>
              </w:rPr>
            </w:pPr>
          </w:p>
        </w:tc>
        <w:tc>
          <w:tcPr>
            <w:tcW w:w="6946" w:type="dxa"/>
            <w:vMerge/>
          </w:tcPr>
          <w:p w14:paraId="270B0F7E" w14:textId="77777777" w:rsidR="004D1935" w:rsidRPr="006B44AD" w:rsidRDefault="004D1935" w:rsidP="00E24DC9">
            <w:pPr>
              <w:rPr>
                <w:color w:val="000000" w:themeColor="text1"/>
              </w:rPr>
            </w:pPr>
          </w:p>
        </w:tc>
      </w:tr>
      <w:tr w:rsidR="004D1935" w14:paraId="4E079458" w14:textId="77777777" w:rsidTr="00E24DC9">
        <w:tc>
          <w:tcPr>
            <w:tcW w:w="713" w:type="dxa"/>
            <w:vMerge/>
            <w:vAlign w:val="center"/>
          </w:tcPr>
          <w:p w14:paraId="2E03F0A6" w14:textId="77777777" w:rsidR="004D1935" w:rsidRDefault="004D1935" w:rsidP="00E24DC9">
            <w:pPr>
              <w:jc w:val="center"/>
            </w:pPr>
          </w:p>
        </w:tc>
        <w:tc>
          <w:tcPr>
            <w:tcW w:w="809" w:type="dxa"/>
            <w:tcBorders>
              <w:top w:val="nil"/>
              <w:bottom w:val="nil"/>
            </w:tcBorders>
            <w:vAlign w:val="bottom"/>
          </w:tcPr>
          <w:p w14:paraId="6833DADB"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332.0292</w:t>
            </w:r>
          </w:p>
        </w:tc>
        <w:tc>
          <w:tcPr>
            <w:tcW w:w="2017" w:type="dxa"/>
            <w:vMerge/>
          </w:tcPr>
          <w:p w14:paraId="285FF97F" w14:textId="77777777" w:rsidR="004D1935" w:rsidRPr="006B44AD" w:rsidRDefault="004D1935" w:rsidP="00E24DC9">
            <w:pPr>
              <w:rPr>
                <w:color w:val="000000" w:themeColor="text1"/>
              </w:rPr>
            </w:pPr>
          </w:p>
        </w:tc>
        <w:tc>
          <w:tcPr>
            <w:tcW w:w="1276" w:type="dxa"/>
            <w:vMerge/>
          </w:tcPr>
          <w:p w14:paraId="04F3533C" w14:textId="77777777" w:rsidR="004D1935" w:rsidRPr="006B44AD" w:rsidRDefault="004D1935" w:rsidP="00E24DC9">
            <w:pPr>
              <w:rPr>
                <w:color w:val="000000" w:themeColor="text1"/>
              </w:rPr>
            </w:pPr>
          </w:p>
        </w:tc>
        <w:tc>
          <w:tcPr>
            <w:tcW w:w="2126" w:type="dxa"/>
            <w:vMerge/>
          </w:tcPr>
          <w:p w14:paraId="05CCCCF6" w14:textId="77777777" w:rsidR="004D1935" w:rsidRPr="006B44AD" w:rsidRDefault="004D1935" w:rsidP="00E24DC9">
            <w:pPr>
              <w:rPr>
                <w:color w:val="000000" w:themeColor="text1"/>
              </w:rPr>
            </w:pPr>
          </w:p>
        </w:tc>
        <w:tc>
          <w:tcPr>
            <w:tcW w:w="6946" w:type="dxa"/>
            <w:vMerge/>
          </w:tcPr>
          <w:p w14:paraId="1CDFBAA2" w14:textId="77777777" w:rsidR="004D1935" w:rsidRPr="006B44AD" w:rsidRDefault="004D1935" w:rsidP="00E24DC9">
            <w:pPr>
              <w:rPr>
                <w:color w:val="000000" w:themeColor="text1"/>
              </w:rPr>
            </w:pPr>
          </w:p>
        </w:tc>
      </w:tr>
      <w:tr w:rsidR="004D1935" w14:paraId="1269E312" w14:textId="77777777" w:rsidTr="00E24DC9">
        <w:tc>
          <w:tcPr>
            <w:tcW w:w="713" w:type="dxa"/>
            <w:vMerge/>
            <w:vAlign w:val="center"/>
          </w:tcPr>
          <w:p w14:paraId="13D2D65A" w14:textId="77777777" w:rsidR="004D1935" w:rsidRDefault="004D1935" w:rsidP="00E24DC9">
            <w:pPr>
              <w:jc w:val="center"/>
            </w:pPr>
          </w:p>
        </w:tc>
        <w:tc>
          <w:tcPr>
            <w:tcW w:w="809" w:type="dxa"/>
            <w:tcBorders>
              <w:top w:val="nil"/>
              <w:bottom w:val="nil"/>
            </w:tcBorders>
            <w:vAlign w:val="bottom"/>
          </w:tcPr>
          <w:p w14:paraId="1A760121"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331.9228</w:t>
            </w:r>
          </w:p>
        </w:tc>
        <w:tc>
          <w:tcPr>
            <w:tcW w:w="2017" w:type="dxa"/>
            <w:vMerge/>
          </w:tcPr>
          <w:p w14:paraId="3C161EF0" w14:textId="77777777" w:rsidR="004D1935" w:rsidRPr="006B44AD" w:rsidRDefault="004D1935" w:rsidP="00E24DC9">
            <w:pPr>
              <w:rPr>
                <w:color w:val="000000" w:themeColor="text1"/>
              </w:rPr>
            </w:pPr>
          </w:p>
        </w:tc>
        <w:tc>
          <w:tcPr>
            <w:tcW w:w="1276" w:type="dxa"/>
            <w:vMerge/>
          </w:tcPr>
          <w:p w14:paraId="37ADAFC2" w14:textId="77777777" w:rsidR="004D1935" w:rsidRPr="006B44AD" w:rsidRDefault="004D1935" w:rsidP="00E24DC9">
            <w:pPr>
              <w:rPr>
                <w:color w:val="000000" w:themeColor="text1"/>
              </w:rPr>
            </w:pPr>
          </w:p>
        </w:tc>
        <w:tc>
          <w:tcPr>
            <w:tcW w:w="2126" w:type="dxa"/>
            <w:vMerge/>
          </w:tcPr>
          <w:p w14:paraId="1D3C85C3" w14:textId="77777777" w:rsidR="004D1935" w:rsidRPr="006B44AD" w:rsidRDefault="004D1935" w:rsidP="00E24DC9">
            <w:pPr>
              <w:rPr>
                <w:color w:val="000000" w:themeColor="text1"/>
              </w:rPr>
            </w:pPr>
          </w:p>
        </w:tc>
        <w:tc>
          <w:tcPr>
            <w:tcW w:w="6946" w:type="dxa"/>
            <w:vMerge/>
          </w:tcPr>
          <w:p w14:paraId="35E44CFA" w14:textId="77777777" w:rsidR="004D1935" w:rsidRPr="006B44AD" w:rsidRDefault="004D1935" w:rsidP="00E24DC9">
            <w:pPr>
              <w:rPr>
                <w:color w:val="000000" w:themeColor="text1"/>
              </w:rPr>
            </w:pPr>
          </w:p>
        </w:tc>
      </w:tr>
      <w:tr w:rsidR="004D1935" w14:paraId="5ED6765C" w14:textId="77777777" w:rsidTr="00E24DC9">
        <w:tc>
          <w:tcPr>
            <w:tcW w:w="713" w:type="dxa"/>
            <w:vMerge/>
            <w:vAlign w:val="center"/>
          </w:tcPr>
          <w:p w14:paraId="0338F1A0" w14:textId="77777777" w:rsidR="004D1935" w:rsidRDefault="004D1935" w:rsidP="00E24DC9">
            <w:pPr>
              <w:jc w:val="center"/>
            </w:pPr>
          </w:p>
        </w:tc>
        <w:tc>
          <w:tcPr>
            <w:tcW w:w="809" w:type="dxa"/>
            <w:tcBorders>
              <w:top w:val="nil"/>
              <w:bottom w:val="nil"/>
            </w:tcBorders>
            <w:vAlign w:val="bottom"/>
          </w:tcPr>
          <w:p w14:paraId="3A9A3090"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331.9626</w:t>
            </w:r>
          </w:p>
        </w:tc>
        <w:tc>
          <w:tcPr>
            <w:tcW w:w="2017" w:type="dxa"/>
            <w:vMerge/>
          </w:tcPr>
          <w:p w14:paraId="4845C8F3" w14:textId="77777777" w:rsidR="004D1935" w:rsidRPr="006B44AD" w:rsidRDefault="004D1935" w:rsidP="00E24DC9">
            <w:pPr>
              <w:rPr>
                <w:color w:val="000000" w:themeColor="text1"/>
              </w:rPr>
            </w:pPr>
          </w:p>
        </w:tc>
        <w:tc>
          <w:tcPr>
            <w:tcW w:w="1276" w:type="dxa"/>
            <w:vMerge/>
          </w:tcPr>
          <w:p w14:paraId="383AEB71" w14:textId="77777777" w:rsidR="004D1935" w:rsidRPr="006B44AD" w:rsidRDefault="004D1935" w:rsidP="00E24DC9">
            <w:pPr>
              <w:rPr>
                <w:color w:val="000000" w:themeColor="text1"/>
              </w:rPr>
            </w:pPr>
          </w:p>
        </w:tc>
        <w:tc>
          <w:tcPr>
            <w:tcW w:w="2126" w:type="dxa"/>
            <w:vMerge/>
          </w:tcPr>
          <w:p w14:paraId="47672DBC" w14:textId="77777777" w:rsidR="004D1935" w:rsidRPr="006B44AD" w:rsidRDefault="004D1935" w:rsidP="00E24DC9">
            <w:pPr>
              <w:rPr>
                <w:color w:val="000000" w:themeColor="text1"/>
              </w:rPr>
            </w:pPr>
          </w:p>
        </w:tc>
        <w:tc>
          <w:tcPr>
            <w:tcW w:w="6946" w:type="dxa"/>
            <w:vMerge/>
          </w:tcPr>
          <w:p w14:paraId="5C525D69" w14:textId="77777777" w:rsidR="004D1935" w:rsidRPr="006B44AD" w:rsidRDefault="004D1935" w:rsidP="00E24DC9">
            <w:pPr>
              <w:rPr>
                <w:color w:val="000000" w:themeColor="text1"/>
              </w:rPr>
            </w:pPr>
          </w:p>
        </w:tc>
      </w:tr>
      <w:tr w:rsidR="004D1935" w14:paraId="1DF07C17" w14:textId="77777777" w:rsidTr="00E24DC9">
        <w:tc>
          <w:tcPr>
            <w:tcW w:w="713" w:type="dxa"/>
            <w:vMerge/>
            <w:vAlign w:val="center"/>
          </w:tcPr>
          <w:p w14:paraId="648792DE" w14:textId="77777777" w:rsidR="004D1935" w:rsidRDefault="004D1935" w:rsidP="00E24DC9">
            <w:pPr>
              <w:jc w:val="center"/>
            </w:pPr>
          </w:p>
        </w:tc>
        <w:tc>
          <w:tcPr>
            <w:tcW w:w="809" w:type="dxa"/>
            <w:tcBorders>
              <w:top w:val="nil"/>
              <w:bottom w:val="nil"/>
            </w:tcBorders>
            <w:vAlign w:val="bottom"/>
          </w:tcPr>
          <w:p w14:paraId="401A3A9F"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332.0371</w:t>
            </w:r>
          </w:p>
        </w:tc>
        <w:tc>
          <w:tcPr>
            <w:tcW w:w="2017" w:type="dxa"/>
            <w:vMerge/>
          </w:tcPr>
          <w:p w14:paraId="4947B5C9" w14:textId="77777777" w:rsidR="004D1935" w:rsidRPr="006B44AD" w:rsidRDefault="004D1935" w:rsidP="00E24DC9">
            <w:pPr>
              <w:rPr>
                <w:color w:val="000000" w:themeColor="text1"/>
              </w:rPr>
            </w:pPr>
          </w:p>
        </w:tc>
        <w:tc>
          <w:tcPr>
            <w:tcW w:w="1276" w:type="dxa"/>
            <w:vMerge/>
          </w:tcPr>
          <w:p w14:paraId="5F15B98F" w14:textId="77777777" w:rsidR="004D1935" w:rsidRPr="006B44AD" w:rsidRDefault="004D1935" w:rsidP="00E24DC9">
            <w:pPr>
              <w:rPr>
                <w:color w:val="000000" w:themeColor="text1"/>
              </w:rPr>
            </w:pPr>
          </w:p>
        </w:tc>
        <w:tc>
          <w:tcPr>
            <w:tcW w:w="2126" w:type="dxa"/>
            <w:vMerge/>
          </w:tcPr>
          <w:p w14:paraId="5F7C7F1C" w14:textId="77777777" w:rsidR="004D1935" w:rsidRPr="006B44AD" w:rsidRDefault="004D1935" w:rsidP="00E24DC9">
            <w:pPr>
              <w:rPr>
                <w:color w:val="000000" w:themeColor="text1"/>
              </w:rPr>
            </w:pPr>
          </w:p>
        </w:tc>
        <w:tc>
          <w:tcPr>
            <w:tcW w:w="6946" w:type="dxa"/>
            <w:vMerge/>
          </w:tcPr>
          <w:p w14:paraId="46253F0C" w14:textId="77777777" w:rsidR="004D1935" w:rsidRPr="006B44AD" w:rsidRDefault="004D1935" w:rsidP="00E24DC9">
            <w:pPr>
              <w:rPr>
                <w:color w:val="000000" w:themeColor="text1"/>
              </w:rPr>
            </w:pPr>
          </w:p>
        </w:tc>
      </w:tr>
      <w:tr w:rsidR="004D1935" w14:paraId="7DCAF631" w14:textId="77777777" w:rsidTr="00E24DC9">
        <w:tc>
          <w:tcPr>
            <w:tcW w:w="713" w:type="dxa"/>
            <w:vMerge/>
            <w:vAlign w:val="center"/>
          </w:tcPr>
          <w:p w14:paraId="2DD531D5" w14:textId="77777777" w:rsidR="004D1935" w:rsidRDefault="004D1935" w:rsidP="00E24DC9">
            <w:pPr>
              <w:jc w:val="center"/>
            </w:pPr>
          </w:p>
        </w:tc>
        <w:tc>
          <w:tcPr>
            <w:tcW w:w="809" w:type="dxa"/>
            <w:tcBorders>
              <w:top w:val="nil"/>
              <w:bottom w:val="nil"/>
            </w:tcBorders>
            <w:vAlign w:val="bottom"/>
          </w:tcPr>
          <w:p w14:paraId="66E58A0C"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331.9693</w:t>
            </w:r>
          </w:p>
        </w:tc>
        <w:tc>
          <w:tcPr>
            <w:tcW w:w="2017" w:type="dxa"/>
            <w:vMerge/>
          </w:tcPr>
          <w:p w14:paraId="0EEDEE1E" w14:textId="77777777" w:rsidR="004D1935" w:rsidRPr="006B44AD" w:rsidRDefault="004D1935" w:rsidP="00E24DC9">
            <w:pPr>
              <w:rPr>
                <w:color w:val="000000" w:themeColor="text1"/>
              </w:rPr>
            </w:pPr>
          </w:p>
        </w:tc>
        <w:tc>
          <w:tcPr>
            <w:tcW w:w="1276" w:type="dxa"/>
            <w:vMerge/>
          </w:tcPr>
          <w:p w14:paraId="58D49CC2" w14:textId="77777777" w:rsidR="004D1935" w:rsidRPr="006B44AD" w:rsidRDefault="004D1935" w:rsidP="00E24DC9">
            <w:pPr>
              <w:rPr>
                <w:color w:val="000000" w:themeColor="text1"/>
              </w:rPr>
            </w:pPr>
          </w:p>
        </w:tc>
        <w:tc>
          <w:tcPr>
            <w:tcW w:w="2126" w:type="dxa"/>
            <w:vMerge/>
          </w:tcPr>
          <w:p w14:paraId="6F8EB097" w14:textId="77777777" w:rsidR="004D1935" w:rsidRPr="006B44AD" w:rsidRDefault="004D1935" w:rsidP="00E24DC9">
            <w:pPr>
              <w:rPr>
                <w:color w:val="000000" w:themeColor="text1"/>
              </w:rPr>
            </w:pPr>
          </w:p>
        </w:tc>
        <w:tc>
          <w:tcPr>
            <w:tcW w:w="6946" w:type="dxa"/>
            <w:vMerge/>
          </w:tcPr>
          <w:p w14:paraId="50198332" w14:textId="77777777" w:rsidR="004D1935" w:rsidRPr="006B44AD" w:rsidRDefault="004D1935" w:rsidP="00E24DC9">
            <w:pPr>
              <w:rPr>
                <w:color w:val="000000" w:themeColor="text1"/>
              </w:rPr>
            </w:pPr>
          </w:p>
        </w:tc>
      </w:tr>
      <w:tr w:rsidR="004D1935" w14:paraId="32254D4A" w14:textId="77777777" w:rsidTr="00E24DC9">
        <w:tc>
          <w:tcPr>
            <w:tcW w:w="713" w:type="dxa"/>
            <w:vMerge/>
            <w:vAlign w:val="center"/>
          </w:tcPr>
          <w:p w14:paraId="6E53BE9E" w14:textId="77777777" w:rsidR="004D1935" w:rsidRDefault="004D1935" w:rsidP="00E24DC9">
            <w:pPr>
              <w:jc w:val="center"/>
            </w:pPr>
          </w:p>
        </w:tc>
        <w:tc>
          <w:tcPr>
            <w:tcW w:w="809" w:type="dxa"/>
            <w:tcBorders>
              <w:top w:val="nil"/>
              <w:bottom w:val="nil"/>
            </w:tcBorders>
            <w:vAlign w:val="bottom"/>
          </w:tcPr>
          <w:p w14:paraId="1DC4A751"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332.0278</w:t>
            </w:r>
          </w:p>
        </w:tc>
        <w:tc>
          <w:tcPr>
            <w:tcW w:w="2017" w:type="dxa"/>
            <w:vMerge/>
          </w:tcPr>
          <w:p w14:paraId="1C5381E7" w14:textId="77777777" w:rsidR="004D1935" w:rsidRPr="006B44AD" w:rsidRDefault="004D1935" w:rsidP="00E24DC9">
            <w:pPr>
              <w:rPr>
                <w:color w:val="000000" w:themeColor="text1"/>
              </w:rPr>
            </w:pPr>
          </w:p>
        </w:tc>
        <w:tc>
          <w:tcPr>
            <w:tcW w:w="1276" w:type="dxa"/>
            <w:vMerge/>
          </w:tcPr>
          <w:p w14:paraId="4AAB4C97" w14:textId="77777777" w:rsidR="004D1935" w:rsidRPr="006B44AD" w:rsidRDefault="004D1935" w:rsidP="00E24DC9">
            <w:pPr>
              <w:rPr>
                <w:color w:val="000000" w:themeColor="text1"/>
              </w:rPr>
            </w:pPr>
          </w:p>
        </w:tc>
        <w:tc>
          <w:tcPr>
            <w:tcW w:w="2126" w:type="dxa"/>
            <w:vMerge/>
          </w:tcPr>
          <w:p w14:paraId="28A6163F" w14:textId="77777777" w:rsidR="004D1935" w:rsidRPr="006B44AD" w:rsidRDefault="004D1935" w:rsidP="00E24DC9">
            <w:pPr>
              <w:rPr>
                <w:color w:val="000000" w:themeColor="text1"/>
              </w:rPr>
            </w:pPr>
          </w:p>
        </w:tc>
        <w:tc>
          <w:tcPr>
            <w:tcW w:w="6946" w:type="dxa"/>
            <w:vMerge/>
          </w:tcPr>
          <w:p w14:paraId="06B03D1E" w14:textId="77777777" w:rsidR="004D1935" w:rsidRPr="006B44AD" w:rsidRDefault="004D1935" w:rsidP="00E24DC9">
            <w:pPr>
              <w:rPr>
                <w:color w:val="000000" w:themeColor="text1"/>
              </w:rPr>
            </w:pPr>
          </w:p>
        </w:tc>
      </w:tr>
      <w:tr w:rsidR="004D1935" w14:paraId="6EB04EBC" w14:textId="77777777" w:rsidTr="00E24DC9">
        <w:tc>
          <w:tcPr>
            <w:tcW w:w="713" w:type="dxa"/>
            <w:vMerge/>
            <w:vAlign w:val="center"/>
          </w:tcPr>
          <w:p w14:paraId="5C12DBDC" w14:textId="77777777" w:rsidR="004D1935" w:rsidRDefault="004D1935" w:rsidP="00E24DC9">
            <w:pPr>
              <w:jc w:val="center"/>
            </w:pPr>
          </w:p>
        </w:tc>
        <w:tc>
          <w:tcPr>
            <w:tcW w:w="809" w:type="dxa"/>
            <w:tcBorders>
              <w:top w:val="nil"/>
              <w:bottom w:val="nil"/>
            </w:tcBorders>
            <w:vAlign w:val="bottom"/>
          </w:tcPr>
          <w:p w14:paraId="5A8967CE"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331.9440</w:t>
            </w:r>
          </w:p>
        </w:tc>
        <w:tc>
          <w:tcPr>
            <w:tcW w:w="2017" w:type="dxa"/>
            <w:vMerge/>
          </w:tcPr>
          <w:p w14:paraId="64601E5A" w14:textId="77777777" w:rsidR="004D1935" w:rsidRPr="006B44AD" w:rsidRDefault="004D1935" w:rsidP="00E24DC9">
            <w:pPr>
              <w:rPr>
                <w:color w:val="000000" w:themeColor="text1"/>
              </w:rPr>
            </w:pPr>
          </w:p>
        </w:tc>
        <w:tc>
          <w:tcPr>
            <w:tcW w:w="1276" w:type="dxa"/>
            <w:vMerge/>
          </w:tcPr>
          <w:p w14:paraId="56795EB3" w14:textId="77777777" w:rsidR="004D1935" w:rsidRPr="006B44AD" w:rsidRDefault="004D1935" w:rsidP="00E24DC9">
            <w:pPr>
              <w:rPr>
                <w:color w:val="000000" w:themeColor="text1"/>
              </w:rPr>
            </w:pPr>
          </w:p>
        </w:tc>
        <w:tc>
          <w:tcPr>
            <w:tcW w:w="2126" w:type="dxa"/>
            <w:vMerge/>
          </w:tcPr>
          <w:p w14:paraId="0932EA79" w14:textId="77777777" w:rsidR="004D1935" w:rsidRPr="006B44AD" w:rsidRDefault="004D1935" w:rsidP="00E24DC9">
            <w:pPr>
              <w:rPr>
                <w:color w:val="000000" w:themeColor="text1"/>
              </w:rPr>
            </w:pPr>
          </w:p>
        </w:tc>
        <w:tc>
          <w:tcPr>
            <w:tcW w:w="6946" w:type="dxa"/>
            <w:vMerge/>
          </w:tcPr>
          <w:p w14:paraId="0159D796" w14:textId="77777777" w:rsidR="004D1935" w:rsidRPr="006B44AD" w:rsidRDefault="004D1935" w:rsidP="00E24DC9">
            <w:pPr>
              <w:rPr>
                <w:color w:val="000000" w:themeColor="text1"/>
              </w:rPr>
            </w:pPr>
          </w:p>
        </w:tc>
      </w:tr>
      <w:tr w:rsidR="004D1935" w14:paraId="792D0EB1" w14:textId="77777777" w:rsidTr="00E24DC9">
        <w:tc>
          <w:tcPr>
            <w:tcW w:w="713" w:type="dxa"/>
            <w:vMerge/>
            <w:vAlign w:val="center"/>
          </w:tcPr>
          <w:p w14:paraId="7CC979CE" w14:textId="77777777" w:rsidR="004D1935" w:rsidRDefault="004D1935" w:rsidP="00E24DC9">
            <w:pPr>
              <w:jc w:val="center"/>
            </w:pPr>
          </w:p>
        </w:tc>
        <w:tc>
          <w:tcPr>
            <w:tcW w:w="809" w:type="dxa"/>
            <w:tcBorders>
              <w:top w:val="nil"/>
              <w:bottom w:val="nil"/>
            </w:tcBorders>
            <w:vAlign w:val="bottom"/>
          </w:tcPr>
          <w:p w14:paraId="5852D4C9"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331.9453</w:t>
            </w:r>
          </w:p>
        </w:tc>
        <w:tc>
          <w:tcPr>
            <w:tcW w:w="2017" w:type="dxa"/>
            <w:vMerge/>
          </w:tcPr>
          <w:p w14:paraId="7CBA1415" w14:textId="77777777" w:rsidR="004D1935" w:rsidRPr="006B44AD" w:rsidRDefault="004D1935" w:rsidP="00E24DC9">
            <w:pPr>
              <w:rPr>
                <w:color w:val="000000" w:themeColor="text1"/>
              </w:rPr>
            </w:pPr>
          </w:p>
        </w:tc>
        <w:tc>
          <w:tcPr>
            <w:tcW w:w="1276" w:type="dxa"/>
            <w:vMerge/>
          </w:tcPr>
          <w:p w14:paraId="09A16D82" w14:textId="77777777" w:rsidR="004D1935" w:rsidRPr="006B44AD" w:rsidRDefault="004D1935" w:rsidP="00E24DC9">
            <w:pPr>
              <w:rPr>
                <w:color w:val="000000" w:themeColor="text1"/>
              </w:rPr>
            </w:pPr>
          </w:p>
        </w:tc>
        <w:tc>
          <w:tcPr>
            <w:tcW w:w="2126" w:type="dxa"/>
            <w:vMerge/>
          </w:tcPr>
          <w:p w14:paraId="10F2BBB8" w14:textId="77777777" w:rsidR="004D1935" w:rsidRPr="006B44AD" w:rsidRDefault="004D1935" w:rsidP="00E24DC9">
            <w:pPr>
              <w:rPr>
                <w:color w:val="000000" w:themeColor="text1"/>
              </w:rPr>
            </w:pPr>
          </w:p>
        </w:tc>
        <w:tc>
          <w:tcPr>
            <w:tcW w:w="6946" w:type="dxa"/>
            <w:vMerge/>
          </w:tcPr>
          <w:p w14:paraId="4B182AC1" w14:textId="77777777" w:rsidR="004D1935" w:rsidRPr="006B44AD" w:rsidRDefault="004D1935" w:rsidP="00E24DC9">
            <w:pPr>
              <w:rPr>
                <w:color w:val="000000" w:themeColor="text1"/>
              </w:rPr>
            </w:pPr>
          </w:p>
        </w:tc>
      </w:tr>
      <w:tr w:rsidR="004D1935" w14:paraId="2198EB94" w14:textId="77777777" w:rsidTr="00E24DC9">
        <w:tc>
          <w:tcPr>
            <w:tcW w:w="713" w:type="dxa"/>
            <w:vMerge/>
            <w:vAlign w:val="center"/>
          </w:tcPr>
          <w:p w14:paraId="5099A1AC" w14:textId="77777777" w:rsidR="004D1935" w:rsidRDefault="004D1935" w:rsidP="00E24DC9">
            <w:pPr>
              <w:jc w:val="center"/>
            </w:pPr>
          </w:p>
        </w:tc>
        <w:tc>
          <w:tcPr>
            <w:tcW w:w="809" w:type="dxa"/>
            <w:tcBorders>
              <w:top w:val="nil"/>
              <w:bottom w:val="nil"/>
            </w:tcBorders>
            <w:vAlign w:val="bottom"/>
          </w:tcPr>
          <w:p w14:paraId="30DC299D"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332.0331</w:t>
            </w:r>
          </w:p>
        </w:tc>
        <w:tc>
          <w:tcPr>
            <w:tcW w:w="2017" w:type="dxa"/>
            <w:vMerge/>
          </w:tcPr>
          <w:p w14:paraId="0935359E" w14:textId="77777777" w:rsidR="004D1935" w:rsidRPr="006B44AD" w:rsidRDefault="004D1935" w:rsidP="00E24DC9">
            <w:pPr>
              <w:rPr>
                <w:color w:val="000000" w:themeColor="text1"/>
              </w:rPr>
            </w:pPr>
          </w:p>
        </w:tc>
        <w:tc>
          <w:tcPr>
            <w:tcW w:w="1276" w:type="dxa"/>
            <w:vMerge/>
          </w:tcPr>
          <w:p w14:paraId="5956B01C" w14:textId="77777777" w:rsidR="004D1935" w:rsidRPr="006B44AD" w:rsidRDefault="004D1935" w:rsidP="00E24DC9">
            <w:pPr>
              <w:rPr>
                <w:color w:val="000000" w:themeColor="text1"/>
              </w:rPr>
            </w:pPr>
          </w:p>
        </w:tc>
        <w:tc>
          <w:tcPr>
            <w:tcW w:w="2126" w:type="dxa"/>
            <w:vMerge/>
          </w:tcPr>
          <w:p w14:paraId="6DAF0779" w14:textId="77777777" w:rsidR="004D1935" w:rsidRPr="006B44AD" w:rsidRDefault="004D1935" w:rsidP="00E24DC9">
            <w:pPr>
              <w:rPr>
                <w:color w:val="000000" w:themeColor="text1"/>
              </w:rPr>
            </w:pPr>
          </w:p>
        </w:tc>
        <w:tc>
          <w:tcPr>
            <w:tcW w:w="6946" w:type="dxa"/>
            <w:vMerge/>
          </w:tcPr>
          <w:p w14:paraId="6EBE9CF9" w14:textId="77777777" w:rsidR="004D1935" w:rsidRPr="006B44AD" w:rsidRDefault="004D1935" w:rsidP="00E24DC9">
            <w:pPr>
              <w:rPr>
                <w:color w:val="000000" w:themeColor="text1"/>
              </w:rPr>
            </w:pPr>
          </w:p>
        </w:tc>
      </w:tr>
      <w:tr w:rsidR="004D1935" w14:paraId="4C9DB9F2" w14:textId="77777777" w:rsidTr="00E24DC9">
        <w:tc>
          <w:tcPr>
            <w:tcW w:w="713" w:type="dxa"/>
            <w:vMerge/>
            <w:vAlign w:val="center"/>
          </w:tcPr>
          <w:p w14:paraId="02924EA2" w14:textId="77777777" w:rsidR="004D1935" w:rsidRDefault="004D1935" w:rsidP="00E24DC9">
            <w:pPr>
              <w:jc w:val="center"/>
            </w:pPr>
          </w:p>
        </w:tc>
        <w:tc>
          <w:tcPr>
            <w:tcW w:w="809" w:type="dxa"/>
            <w:tcBorders>
              <w:top w:val="nil"/>
              <w:bottom w:val="nil"/>
            </w:tcBorders>
            <w:vAlign w:val="bottom"/>
          </w:tcPr>
          <w:p w14:paraId="41DF435D"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331.9360</w:t>
            </w:r>
          </w:p>
        </w:tc>
        <w:tc>
          <w:tcPr>
            <w:tcW w:w="2017" w:type="dxa"/>
            <w:vMerge/>
          </w:tcPr>
          <w:p w14:paraId="2D282E91" w14:textId="77777777" w:rsidR="004D1935" w:rsidRPr="006B44AD" w:rsidRDefault="004D1935" w:rsidP="00E24DC9">
            <w:pPr>
              <w:rPr>
                <w:color w:val="000000" w:themeColor="text1"/>
              </w:rPr>
            </w:pPr>
          </w:p>
        </w:tc>
        <w:tc>
          <w:tcPr>
            <w:tcW w:w="1276" w:type="dxa"/>
            <w:vMerge/>
          </w:tcPr>
          <w:p w14:paraId="798F2ABE" w14:textId="77777777" w:rsidR="004D1935" w:rsidRPr="006B44AD" w:rsidRDefault="004D1935" w:rsidP="00E24DC9">
            <w:pPr>
              <w:rPr>
                <w:color w:val="000000" w:themeColor="text1"/>
              </w:rPr>
            </w:pPr>
          </w:p>
        </w:tc>
        <w:tc>
          <w:tcPr>
            <w:tcW w:w="2126" w:type="dxa"/>
            <w:vMerge/>
          </w:tcPr>
          <w:p w14:paraId="0467B277" w14:textId="77777777" w:rsidR="004D1935" w:rsidRPr="006B44AD" w:rsidRDefault="004D1935" w:rsidP="00E24DC9">
            <w:pPr>
              <w:rPr>
                <w:color w:val="000000" w:themeColor="text1"/>
              </w:rPr>
            </w:pPr>
          </w:p>
        </w:tc>
        <w:tc>
          <w:tcPr>
            <w:tcW w:w="6946" w:type="dxa"/>
            <w:vMerge/>
          </w:tcPr>
          <w:p w14:paraId="19362107" w14:textId="77777777" w:rsidR="004D1935" w:rsidRPr="006B44AD" w:rsidRDefault="004D1935" w:rsidP="00E24DC9">
            <w:pPr>
              <w:rPr>
                <w:color w:val="000000" w:themeColor="text1"/>
              </w:rPr>
            </w:pPr>
          </w:p>
        </w:tc>
      </w:tr>
      <w:tr w:rsidR="004D1935" w14:paraId="1A3287F9" w14:textId="77777777" w:rsidTr="00E24DC9">
        <w:tc>
          <w:tcPr>
            <w:tcW w:w="713" w:type="dxa"/>
            <w:vMerge/>
            <w:vAlign w:val="center"/>
          </w:tcPr>
          <w:p w14:paraId="59F35FCA" w14:textId="77777777" w:rsidR="004D1935" w:rsidRDefault="004D1935" w:rsidP="00E24DC9">
            <w:pPr>
              <w:jc w:val="center"/>
            </w:pPr>
          </w:p>
        </w:tc>
        <w:tc>
          <w:tcPr>
            <w:tcW w:w="809" w:type="dxa"/>
            <w:tcBorders>
              <w:top w:val="nil"/>
              <w:bottom w:val="nil"/>
            </w:tcBorders>
            <w:vAlign w:val="bottom"/>
          </w:tcPr>
          <w:p w14:paraId="68AEB148"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331.9786</w:t>
            </w:r>
          </w:p>
        </w:tc>
        <w:tc>
          <w:tcPr>
            <w:tcW w:w="2017" w:type="dxa"/>
            <w:vMerge/>
          </w:tcPr>
          <w:p w14:paraId="10D3FC63" w14:textId="77777777" w:rsidR="004D1935" w:rsidRPr="006B44AD" w:rsidRDefault="004D1935" w:rsidP="00E24DC9">
            <w:pPr>
              <w:rPr>
                <w:color w:val="000000" w:themeColor="text1"/>
              </w:rPr>
            </w:pPr>
          </w:p>
        </w:tc>
        <w:tc>
          <w:tcPr>
            <w:tcW w:w="1276" w:type="dxa"/>
            <w:vMerge/>
          </w:tcPr>
          <w:p w14:paraId="2F8624A7" w14:textId="77777777" w:rsidR="004D1935" w:rsidRPr="006B44AD" w:rsidRDefault="004D1935" w:rsidP="00E24DC9">
            <w:pPr>
              <w:rPr>
                <w:color w:val="000000" w:themeColor="text1"/>
              </w:rPr>
            </w:pPr>
          </w:p>
        </w:tc>
        <w:tc>
          <w:tcPr>
            <w:tcW w:w="2126" w:type="dxa"/>
            <w:vMerge/>
          </w:tcPr>
          <w:p w14:paraId="4838E778" w14:textId="77777777" w:rsidR="004D1935" w:rsidRPr="006B44AD" w:rsidRDefault="004D1935" w:rsidP="00E24DC9">
            <w:pPr>
              <w:rPr>
                <w:color w:val="000000" w:themeColor="text1"/>
              </w:rPr>
            </w:pPr>
          </w:p>
        </w:tc>
        <w:tc>
          <w:tcPr>
            <w:tcW w:w="6946" w:type="dxa"/>
            <w:vMerge/>
          </w:tcPr>
          <w:p w14:paraId="4A14C767" w14:textId="77777777" w:rsidR="004D1935" w:rsidRPr="006B44AD" w:rsidRDefault="004D1935" w:rsidP="00E24DC9">
            <w:pPr>
              <w:rPr>
                <w:color w:val="000000" w:themeColor="text1"/>
              </w:rPr>
            </w:pPr>
          </w:p>
        </w:tc>
      </w:tr>
      <w:tr w:rsidR="004D1935" w14:paraId="5805DB95" w14:textId="77777777" w:rsidTr="00E24DC9">
        <w:tc>
          <w:tcPr>
            <w:tcW w:w="713" w:type="dxa"/>
            <w:vMerge/>
            <w:vAlign w:val="center"/>
          </w:tcPr>
          <w:p w14:paraId="1F970EDC" w14:textId="77777777" w:rsidR="004D1935" w:rsidRDefault="004D1935" w:rsidP="00E24DC9">
            <w:pPr>
              <w:jc w:val="center"/>
            </w:pPr>
          </w:p>
        </w:tc>
        <w:tc>
          <w:tcPr>
            <w:tcW w:w="809" w:type="dxa"/>
            <w:tcBorders>
              <w:top w:val="nil"/>
              <w:bottom w:val="nil"/>
            </w:tcBorders>
            <w:vAlign w:val="bottom"/>
          </w:tcPr>
          <w:p w14:paraId="0121D8A1"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332.0318</w:t>
            </w:r>
          </w:p>
        </w:tc>
        <w:tc>
          <w:tcPr>
            <w:tcW w:w="2017" w:type="dxa"/>
            <w:vMerge/>
          </w:tcPr>
          <w:p w14:paraId="0A804FA4" w14:textId="77777777" w:rsidR="004D1935" w:rsidRPr="006B44AD" w:rsidRDefault="004D1935" w:rsidP="00E24DC9">
            <w:pPr>
              <w:rPr>
                <w:color w:val="000000" w:themeColor="text1"/>
              </w:rPr>
            </w:pPr>
          </w:p>
        </w:tc>
        <w:tc>
          <w:tcPr>
            <w:tcW w:w="1276" w:type="dxa"/>
            <w:vMerge/>
          </w:tcPr>
          <w:p w14:paraId="777BEE10" w14:textId="77777777" w:rsidR="004D1935" w:rsidRPr="006B44AD" w:rsidRDefault="004D1935" w:rsidP="00E24DC9">
            <w:pPr>
              <w:rPr>
                <w:color w:val="000000" w:themeColor="text1"/>
              </w:rPr>
            </w:pPr>
          </w:p>
        </w:tc>
        <w:tc>
          <w:tcPr>
            <w:tcW w:w="2126" w:type="dxa"/>
            <w:vMerge/>
          </w:tcPr>
          <w:p w14:paraId="6868DCF3" w14:textId="77777777" w:rsidR="004D1935" w:rsidRPr="006B44AD" w:rsidRDefault="004D1935" w:rsidP="00E24DC9">
            <w:pPr>
              <w:rPr>
                <w:color w:val="000000" w:themeColor="text1"/>
              </w:rPr>
            </w:pPr>
          </w:p>
        </w:tc>
        <w:tc>
          <w:tcPr>
            <w:tcW w:w="6946" w:type="dxa"/>
            <w:vMerge/>
          </w:tcPr>
          <w:p w14:paraId="19F1458C" w14:textId="77777777" w:rsidR="004D1935" w:rsidRPr="006B44AD" w:rsidRDefault="004D1935" w:rsidP="00E24DC9">
            <w:pPr>
              <w:rPr>
                <w:color w:val="000000" w:themeColor="text1"/>
              </w:rPr>
            </w:pPr>
          </w:p>
        </w:tc>
      </w:tr>
      <w:tr w:rsidR="004D1935" w14:paraId="60CBC035" w14:textId="77777777" w:rsidTr="00E24DC9">
        <w:tc>
          <w:tcPr>
            <w:tcW w:w="713" w:type="dxa"/>
            <w:vMerge/>
            <w:vAlign w:val="center"/>
          </w:tcPr>
          <w:p w14:paraId="73C5C728" w14:textId="77777777" w:rsidR="004D1935" w:rsidRDefault="004D1935" w:rsidP="00E24DC9">
            <w:pPr>
              <w:jc w:val="center"/>
            </w:pPr>
          </w:p>
        </w:tc>
        <w:tc>
          <w:tcPr>
            <w:tcW w:w="809" w:type="dxa"/>
            <w:tcBorders>
              <w:top w:val="nil"/>
              <w:bottom w:val="nil"/>
            </w:tcBorders>
            <w:vAlign w:val="bottom"/>
          </w:tcPr>
          <w:p w14:paraId="0576362E"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331.9227</w:t>
            </w:r>
          </w:p>
        </w:tc>
        <w:tc>
          <w:tcPr>
            <w:tcW w:w="2017" w:type="dxa"/>
            <w:vMerge/>
          </w:tcPr>
          <w:p w14:paraId="230944E0" w14:textId="77777777" w:rsidR="004D1935" w:rsidRPr="006B44AD" w:rsidRDefault="004D1935" w:rsidP="00E24DC9">
            <w:pPr>
              <w:rPr>
                <w:color w:val="000000" w:themeColor="text1"/>
              </w:rPr>
            </w:pPr>
          </w:p>
        </w:tc>
        <w:tc>
          <w:tcPr>
            <w:tcW w:w="1276" w:type="dxa"/>
            <w:vMerge/>
          </w:tcPr>
          <w:p w14:paraId="35A407C3" w14:textId="77777777" w:rsidR="004D1935" w:rsidRPr="006B44AD" w:rsidRDefault="004D1935" w:rsidP="00E24DC9">
            <w:pPr>
              <w:rPr>
                <w:color w:val="000000" w:themeColor="text1"/>
              </w:rPr>
            </w:pPr>
          </w:p>
        </w:tc>
        <w:tc>
          <w:tcPr>
            <w:tcW w:w="2126" w:type="dxa"/>
            <w:vMerge/>
          </w:tcPr>
          <w:p w14:paraId="70CA9B21" w14:textId="77777777" w:rsidR="004D1935" w:rsidRPr="006B44AD" w:rsidRDefault="004D1935" w:rsidP="00E24DC9">
            <w:pPr>
              <w:rPr>
                <w:color w:val="000000" w:themeColor="text1"/>
              </w:rPr>
            </w:pPr>
          </w:p>
        </w:tc>
        <w:tc>
          <w:tcPr>
            <w:tcW w:w="6946" w:type="dxa"/>
            <w:vMerge/>
          </w:tcPr>
          <w:p w14:paraId="27AE3248" w14:textId="77777777" w:rsidR="004D1935" w:rsidRPr="006B44AD" w:rsidRDefault="004D1935" w:rsidP="00E24DC9">
            <w:pPr>
              <w:rPr>
                <w:color w:val="000000" w:themeColor="text1"/>
              </w:rPr>
            </w:pPr>
          </w:p>
        </w:tc>
      </w:tr>
      <w:tr w:rsidR="004D1935" w14:paraId="12757A7A" w14:textId="77777777" w:rsidTr="00E24DC9">
        <w:tc>
          <w:tcPr>
            <w:tcW w:w="713" w:type="dxa"/>
            <w:vMerge/>
            <w:vAlign w:val="center"/>
          </w:tcPr>
          <w:p w14:paraId="0399991C" w14:textId="77777777" w:rsidR="004D1935" w:rsidRDefault="004D1935" w:rsidP="00E24DC9">
            <w:pPr>
              <w:jc w:val="center"/>
            </w:pPr>
          </w:p>
        </w:tc>
        <w:tc>
          <w:tcPr>
            <w:tcW w:w="809" w:type="dxa"/>
            <w:tcBorders>
              <w:top w:val="nil"/>
              <w:bottom w:val="nil"/>
            </w:tcBorders>
            <w:vAlign w:val="bottom"/>
          </w:tcPr>
          <w:p w14:paraId="36937135"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331.9666</w:t>
            </w:r>
          </w:p>
        </w:tc>
        <w:tc>
          <w:tcPr>
            <w:tcW w:w="2017" w:type="dxa"/>
            <w:vMerge/>
          </w:tcPr>
          <w:p w14:paraId="516AD445" w14:textId="77777777" w:rsidR="004D1935" w:rsidRPr="006B44AD" w:rsidRDefault="004D1935" w:rsidP="00E24DC9">
            <w:pPr>
              <w:rPr>
                <w:color w:val="000000" w:themeColor="text1"/>
              </w:rPr>
            </w:pPr>
          </w:p>
        </w:tc>
        <w:tc>
          <w:tcPr>
            <w:tcW w:w="1276" w:type="dxa"/>
            <w:vMerge/>
          </w:tcPr>
          <w:p w14:paraId="0A5E48FD" w14:textId="77777777" w:rsidR="004D1935" w:rsidRPr="006B44AD" w:rsidRDefault="004D1935" w:rsidP="00E24DC9">
            <w:pPr>
              <w:rPr>
                <w:color w:val="000000" w:themeColor="text1"/>
              </w:rPr>
            </w:pPr>
          </w:p>
        </w:tc>
        <w:tc>
          <w:tcPr>
            <w:tcW w:w="2126" w:type="dxa"/>
            <w:vMerge/>
          </w:tcPr>
          <w:p w14:paraId="5E22D74B" w14:textId="77777777" w:rsidR="004D1935" w:rsidRPr="006B44AD" w:rsidRDefault="004D1935" w:rsidP="00E24DC9">
            <w:pPr>
              <w:rPr>
                <w:color w:val="000000" w:themeColor="text1"/>
              </w:rPr>
            </w:pPr>
          </w:p>
        </w:tc>
        <w:tc>
          <w:tcPr>
            <w:tcW w:w="6946" w:type="dxa"/>
            <w:vMerge/>
          </w:tcPr>
          <w:p w14:paraId="79AA39B9" w14:textId="77777777" w:rsidR="004D1935" w:rsidRPr="006B44AD" w:rsidRDefault="004D1935" w:rsidP="00E24DC9">
            <w:pPr>
              <w:rPr>
                <w:color w:val="000000" w:themeColor="text1"/>
              </w:rPr>
            </w:pPr>
          </w:p>
        </w:tc>
      </w:tr>
      <w:tr w:rsidR="004D1935" w14:paraId="55034395" w14:textId="77777777" w:rsidTr="00E24DC9">
        <w:tc>
          <w:tcPr>
            <w:tcW w:w="713" w:type="dxa"/>
            <w:vMerge/>
            <w:vAlign w:val="center"/>
          </w:tcPr>
          <w:p w14:paraId="3FE84EFF" w14:textId="77777777" w:rsidR="004D1935" w:rsidRDefault="004D1935" w:rsidP="00E24DC9">
            <w:pPr>
              <w:jc w:val="center"/>
            </w:pPr>
          </w:p>
        </w:tc>
        <w:tc>
          <w:tcPr>
            <w:tcW w:w="809" w:type="dxa"/>
            <w:tcBorders>
              <w:top w:val="nil"/>
              <w:bottom w:val="nil"/>
            </w:tcBorders>
            <w:vAlign w:val="bottom"/>
          </w:tcPr>
          <w:p w14:paraId="4E2B5AB6"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331.9919</w:t>
            </w:r>
          </w:p>
        </w:tc>
        <w:tc>
          <w:tcPr>
            <w:tcW w:w="2017" w:type="dxa"/>
            <w:vMerge/>
          </w:tcPr>
          <w:p w14:paraId="7043DC4B" w14:textId="77777777" w:rsidR="004D1935" w:rsidRPr="006B44AD" w:rsidRDefault="004D1935" w:rsidP="00E24DC9">
            <w:pPr>
              <w:rPr>
                <w:color w:val="000000" w:themeColor="text1"/>
              </w:rPr>
            </w:pPr>
          </w:p>
        </w:tc>
        <w:tc>
          <w:tcPr>
            <w:tcW w:w="1276" w:type="dxa"/>
            <w:vMerge/>
          </w:tcPr>
          <w:p w14:paraId="766723D3" w14:textId="77777777" w:rsidR="004D1935" w:rsidRPr="006B44AD" w:rsidRDefault="004D1935" w:rsidP="00E24DC9">
            <w:pPr>
              <w:rPr>
                <w:color w:val="000000" w:themeColor="text1"/>
              </w:rPr>
            </w:pPr>
          </w:p>
        </w:tc>
        <w:tc>
          <w:tcPr>
            <w:tcW w:w="2126" w:type="dxa"/>
            <w:vMerge/>
          </w:tcPr>
          <w:p w14:paraId="6DD65C25" w14:textId="77777777" w:rsidR="004D1935" w:rsidRPr="006B44AD" w:rsidRDefault="004D1935" w:rsidP="00E24DC9">
            <w:pPr>
              <w:rPr>
                <w:color w:val="000000" w:themeColor="text1"/>
              </w:rPr>
            </w:pPr>
          </w:p>
        </w:tc>
        <w:tc>
          <w:tcPr>
            <w:tcW w:w="6946" w:type="dxa"/>
            <w:vMerge/>
          </w:tcPr>
          <w:p w14:paraId="5399F971" w14:textId="77777777" w:rsidR="004D1935" w:rsidRPr="006B44AD" w:rsidRDefault="004D1935" w:rsidP="00E24DC9">
            <w:pPr>
              <w:rPr>
                <w:color w:val="000000" w:themeColor="text1"/>
              </w:rPr>
            </w:pPr>
          </w:p>
        </w:tc>
      </w:tr>
      <w:tr w:rsidR="004D1935" w14:paraId="78FF26A9" w14:textId="77777777" w:rsidTr="00E24DC9">
        <w:tc>
          <w:tcPr>
            <w:tcW w:w="713" w:type="dxa"/>
            <w:vMerge/>
            <w:vAlign w:val="center"/>
          </w:tcPr>
          <w:p w14:paraId="79449BAB" w14:textId="77777777" w:rsidR="004D1935" w:rsidRDefault="004D1935" w:rsidP="00E24DC9">
            <w:pPr>
              <w:jc w:val="center"/>
            </w:pPr>
          </w:p>
        </w:tc>
        <w:tc>
          <w:tcPr>
            <w:tcW w:w="809" w:type="dxa"/>
            <w:tcBorders>
              <w:top w:val="nil"/>
              <w:bottom w:val="single" w:sz="4" w:space="0" w:color="auto"/>
            </w:tcBorders>
            <w:vAlign w:val="bottom"/>
          </w:tcPr>
          <w:p w14:paraId="5814E894" w14:textId="77777777" w:rsidR="004D1935" w:rsidRDefault="004D1935" w:rsidP="00E24DC9">
            <w:pPr>
              <w:rPr>
                <w:rFonts w:ascii="Calibri" w:hAnsi="Calibri" w:cs="Calibri"/>
                <w:color w:val="000000"/>
                <w:sz w:val="13"/>
                <w:szCs w:val="13"/>
              </w:rPr>
            </w:pPr>
            <w:r w:rsidRPr="005D27EF">
              <w:rPr>
                <w:rFonts w:ascii="Calibri" w:hAnsi="Calibri" w:cs="Calibri"/>
                <w:color w:val="000000"/>
                <w:sz w:val="13"/>
                <w:szCs w:val="13"/>
              </w:rPr>
              <w:t>332.0385</w:t>
            </w:r>
          </w:p>
          <w:p w14:paraId="352B608A" w14:textId="77777777" w:rsidR="004D1935" w:rsidRDefault="004D1935" w:rsidP="00E24DC9">
            <w:pPr>
              <w:rPr>
                <w:rFonts w:ascii="Calibri" w:hAnsi="Calibri" w:cs="Calibri"/>
                <w:color w:val="000000"/>
                <w:sz w:val="13"/>
                <w:szCs w:val="13"/>
              </w:rPr>
            </w:pPr>
          </w:p>
          <w:p w14:paraId="5C2361C0" w14:textId="77777777" w:rsidR="004D1935" w:rsidRDefault="004D1935" w:rsidP="00E24DC9">
            <w:pPr>
              <w:rPr>
                <w:rFonts w:ascii="Calibri" w:hAnsi="Calibri" w:cs="Calibri"/>
                <w:color w:val="000000"/>
                <w:sz w:val="13"/>
                <w:szCs w:val="13"/>
              </w:rPr>
            </w:pPr>
          </w:p>
          <w:p w14:paraId="5469F7DD" w14:textId="77777777" w:rsidR="004D1935" w:rsidRDefault="004D1935" w:rsidP="00E24DC9">
            <w:pPr>
              <w:rPr>
                <w:rFonts w:ascii="Calibri" w:hAnsi="Calibri" w:cs="Calibri"/>
                <w:color w:val="000000"/>
                <w:sz w:val="13"/>
                <w:szCs w:val="13"/>
              </w:rPr>
            </w:pPr>
          </w:p>
          <w:p w14:paraId="0056AF75" w14:textId="77777777" w:rsidR="004D1935" w:rsidRDefault="004D1935" w:rsidP="00E24DC9">
            <w:pPr>
              <w:rPr>
                <w:rFonts w:ascii="Calibri" w:hAnsi="Calibri" w:cs="Calibri"/>
                <w:color w:val="000000"/>
                <w:sz w:val="13"/>
                <w:szCs w:val="13"/>
              </w:rPr>
            </w:pPr>
          </w:p>
          <w:p w14:paraId="1895CAA3" w14:textId="77777777" w:rsidR="004D1935" w:rsidRDefault="004D1935" w:rsidP="00E24DC9">
            <w:pPr>
              <w:rPr>
                <w:rFonts w:ascii="Calibri" w:hAnsi="Calibri" w:cs="Calibri"/>
                <w:color w:val="000000"/>
                <w:sz w:val="13"/>
                <w:szCs w:val="13"/>
              </w:rPr>
            </w:pPr>
          </w:p>
          <w:p w14:paraId="458B8C5C" w14:textId="77777777" w:rsidR="004D1935" w:rsidRDefault="004D1935" w:rsidP="00E24DC9">
            <w:pPr>
              <w:rPr>
                <w:rFonts w:ascii="Calibri" w:hAnsi="Calibri" w:cs="Calibri"/>
                <w:color w:val="000000"/>
                <w:sz w:val="13"/>
                <w:szCs w:val="13"/>
              </w:rPr>
            </w:pPr>
          </w:p>
          <w:p w14:paraId="15946FA9" w14:textId="77777777" w:rsidR="004D1935" w:rsidRDefault="004D1935" w:rsidP="00E24DC9">
            <w:pPr>
              <w:rPr>
                <w:rFonts w:ascii="Calibri" w:hAnsi="Calibri" w:cs="Calibri"/>
                <w:color w:val="000000"/>
                <w:sz w:val="13"/>
                <w:szCs w:val="13"/>
              </w:rPr>
            </w:pPr>
          </w:p>
          <w:p w14:paraId="7A8C61F6" w14:textId="77777777" w:rsidR="004D1935" w:rsidRDefault="004D1935" w:rsidP="00E24DC9">
            <w:pPr>
              <w:rPr>
                <w:rFonts w:ascii="Calibri" w:hAnsi="Calibri" w:cs="Calibri"/>
                <w:color w:val="000000"/>
                <w:sz w:val="13"/>
                <w:szCs w:val="13"/>
              </w:rPr>
            </w:pPr>
          </w:p>
          <w:p w14:paraId="769703B7" w14:textId="77777777" w:rsidR="004D1935" w:rsidRDefault="004D1935" w:rsidP="00E24DC9">
            <w:pPr>
              <w:rPr>
                <w:rFonts w:ascii="Calibri" w:hAnsi="Calibri" w:cs="Calibri"/>
                <w:color w:val="000000"/>
                <w:sz w:val="13"/>
                <w:szCs w:val="13"/>
              </w:rPr>
            </w:pPr>
          </w:p>
          <w:p w14:paraId="1A766C4F" w14:textId="77777777" w:rsidR="004D1935" w:rsidRDefault="004D1935" w:rsidP="00E24DC9">
            <w:pPr>
              <w:rPr>
                <w:rFonts w:ascii="Calibri" w:hAnsi="Calibri" w:cs="Calibri"/>
                <w:color w:val="000000"/>
                <w:sz w:val="13"/>
                <w:szCs w:val="13"/>
              </w:rPr>
            </w:pPr>
          </w:p>
          <w:p w14:paraId="4C25CAAC" w14:textId="77777777" w:rsidR="004D1935" w:rsidRDefault="004D1935" w:rsidP="00E24DC9">
            <w:pPr>
              <w:rPr>
                <w:rFonts w:ascii="Calibri" w:hAnsi="Calibri" w:cs="Calibri"/>
                <w:color w:val="000000"/>
                <w:sz w:val="13"/>
                <w:szCs w:val="13"/>
              </w:rPr>
            </w:pPr>
          </w:p>
          <w:p w14:paraId="60DCF642" w14:textId="77777777" w:rsidR="004D1935" w:rsidRDefault="004D1935" w:rsidP="00E24DC9">
            <w:pPr>
              <w:rPr>
                <w:rFonts w:ascii="Calibri" w:hAnsi="Calibri" w:cs="Calibri"/>
                <w:color w:val="000000"/>
                <w:sz w:val="13"/>
                <w:szCs w:val="13"/>
              </w:rPr>
            </w:pPr>
          </w:p>
          <w:p w14:paraId="17E030A6" w14:textId="77777777" w:rsidR="004D1935" w:rsidRDefault="004D1935" w:rsidP="00E24DC9">
            <w:pPr>
              <w:rPr>
                <w:rFonts w:ascii="Calibri" w:hAnsi="Calibri" w:cs="Calibri"/>
                <w:color w:val="000000"/>
                <w:sz w:val="13"/>
                <w:szCs w:val="13"/>
              </w:rPr>
            </w:pPr>
          </w:p>
          <w:p w14:paraId="0EB70EA6" w14:textId="77777777" w:rsidR="004D1935" w:rsidRDefault="004D1935" w:rsidP="00E24DC9">
            <w:pPr>
              <w:rPr>
                <w:rFonts w:ascii="Calibri" w:hAnsi="Calibri" w:cs="Calibri"/>
                <w:color w:val="000000"/>
                <w:sz w:val="13"/>
                <w:szCs w:val="13"/>
              </w:rPr>
            </w:pPr>
          </w:p>
          <w:p w14:paraId="1FB9AE94" w14:textId="77777777" w:rsidR="004D1935" w:rsidRDefault="004D1935" w:rsidP="00E24DC9">
            <w:pPr>
              <w:rPr>
                <w:rFonts w:ascii="Calibri" w:hAnsi="Calibri" w:cs="Calibri"/>
                <w:color w:val="000000"/>
                <w:sz w:val="13"/>
                <w:szCs w:val="13"/>
              </w:rPr>
            </w:pPr>
          </w:p>
          <w:p w14:paraId="316B270D" w14:textId="77777777" w:rsidR="004D1935" w:rsidRPr="005D27EF" w:rsidRDefault="004D1935" w:rsidP="00E24DC9">
            <w:pPr>
              <w:rPr>
                <w:rFonts w:ascii="Calibri" w:hAnsi="Calibri" w:cs="Calibri"/>
                <w:color w:val="000000"/>
                <w:sz w:val="13"/>
                <w:szCs w:val="13"/>
              </w:rPr>
            </w:pPr>
          </w:p>
        </w:tc>
        <w:tc>
          <w:tcPr>
            <w:tcW w:w="2017" w:type="dxa"/>
            <w:vMerge/>
          </w:tcPr>
          <w:p w14:paraId="76C5FBE8" w14:textId="77777777" w:rsidR="004D1935" w:rsidRPr="006B44AD" w:rsidRDefault="004D1935" w:rsidP="00E24DC9">
            <w:pPr>
              <w:rPr>
                <w:color w:val="000000" w:themeColor="text1"/>
              </w:rPr>
            </w:pPr>
          </w:p>
        </w:tc>
        <w:tc>
          <w:tcPr>
            <w:tcW w:w="1276" w:type="dxa"/>
            <w:vMerge/>
          </w:tcPr>
          <w:p w14:paraId="245DD97C" w14:textId="77777777" w:rsidR="004D1935" w:rsidRPr="006B44AD" w:rsidRDefault="004D1935" w:rsidP="00E24DC9">
            <w:pPr>
              <w:rPr>
                <w:color w:val="000000" w:themeColor="text1"/>
              </w:rPr>
            </w:pPr>
          </w:p>
        </w:tc>
        <w:tc>
          <w:tcPr>
            <w:tcW w:w="2126" w:type="dxa"/>
            <w:vMerge/>
          </w:tcPr>
          <w:p w14:paraId="3F6D3A98" w14:textId="77777777" w:rsidR="004D1935" w:rsidRPr="006B44AD" w:rsidRDefault="004D1935" w:rsidP="00E24DC9">
            <w:pPr>
              <w:rPr>
                <w:color w:val="000000" w:themeColor="text1"/>
              </w:rPr>
            </w:pPr>
          </w:p>
        </w:tc>
        <w:tc>
          <w:tcPr>
            <w:tcW w:w="6946" w:type="dxa"/>
            <w:vMerge/>
          </w:tcPr>
          <w:p w14:paraId="5C6DBD2C" w14:textId="77777777" w:rsidR="004D1935" w:rsidRPr="006B44AD" w:rsidRDefault="004D1935" w:rsidP="00E24DC9">
            <w:pPr>
              <w:rPr>
                <w:color w:val="000000" w:themeColor="text1"/>
              </w:rPr>
            </w:pPr>
          </w:p>
        </w:tc>
      </w:tr>
      <w:tr w:rsidR="004D1935" w14:paraId="7733C215" w14:textId="77777777" w:rsidTr="00E24DC9">
        <w:trPr>
          <w:trHeight w:val="502"/>
        </w:trPr>
        <w:tc>
          <w:tcPr>
            <w:tcW w:w="713" w:type="dxa"/>
            <w:vMerge w:val="restart"/>
            <w:vAlign w:val="center"/>
          </w:tcPr>
          <w:p w14:paraId="6F7B0DE3" w14:textId="77777777" w:rsidR="004D1935" w:rsidRDefault="004D1935" w:rsidP="00E24DC9">
            <w:pPr>
              <w:jc w:val="center"/>
            </w:pPr>
            <w:r>
              <w:t>NA</w:t>
            </w:r>
          </w:p>
        </w:tc>
        <w:tc>
          <w:tcPr>
            <w:tcW w:w="809" w:type="dxa"/>
            <w:tcBorders>
              <w:bottom w:val="nil"/>
            </w:tcBorders>
            <w:vAlign w:val="bottom"/>
          </w:tcPr>
          <w:p w14:paraId="5ED0BE44"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309.9275</w:t>
            </w:r>
          </w:p>
        </w:tc>
        <w:tc>
          <w:tcPr>
            <w:tcW w:w="2017" w:type="dxa"/>
            <w:vMerge w:val="restart"/>
            <w:vAlign w:val="center"/>
          </w:tcPr>
          <w:p w14:paraId="092019D6" w14:textId="77777777" w:rsidR="004D1935" w:rsidRPr="006B44AD" w:rsidRDefault="00000000" w:rsidP="00E24DC9">
            <w:pPr>
              <w:jc w:val="center"/>
              <w:rPr>
                <w:color w:val="000000" w:themeColor="text1"/>
              </w:rPr>
            </w:pPr>
            <w:hyperlink r:id="rId98" w:history="1">
              <w:r w:rsidR="004D1935" w:rsidRPr="006B44AD">
                <w:rPr>
                  <w:rFonts w:ascii="Calibri" w:hAnsi="Calibri" w:cs="Calibri"/>
                  <w:color w:val="000000" w:themeColor="text1"/>
                  <w:sz w:val="13"/>
                  <w:szCs w:val="13"/>
                </w:rPr>
                <w:t>α-D-ribose 1,5-bisphosphate</w:t>
              </w:r>
            </w:hyperlink>
          </w:p>
        </w:tc>
        <w:tc>
          <w:tcPr>
            <w:tcW w:w="1276" w:type="dxa"/>
            <w:vMerge w:val="restart"/>
            <w:vAlign w:val="center"/>
          </w:tcPr>
          <w:p w14:paraId="2F8BE622" w14:textId="77777777" w:rsidR="004D1935" w:rsidRPr="006B44AD" w:rsidRDefault="004D1935" w:rsidP="00E24DC9">
            <w:pPr>
              <w:jc w:val="center"/>
              <w:rPr>
                <w:rFonts w:asciiTheme="majorBidi" w:hAnsiTheme="majorBidi" w:cstheme="majorBidi"/>
                <w:color w:val="000000" w:themeColor="text1"/>
                <w:sz w:val="16"/>
                <w:szCs w:val="16"/>
              </w:rPr>
            </w:pPr>
            <w:r w:rsidRPr="006B44AD">
              <w:rPr>
                <w:rFonts w:asciiTheme="majorBidi" w:hAnsiTheme="majorBidi" w:cstheme="majorBidi"/>
                <w:color w:val="000000" w:themeColor="text1"/>
                <w:sz w:val="16"/>
                <w:szCs w:val="16"/>
                <w:shd w:val="clear" w:color="auto" w:fill="F8F9FA"/>
              </w:rPr>
              <w:t>C</w:t>
            </w:r>
            <w:r w:rsidRPr="006B44AD">
              <w:rPr>
                <w:rFonts w:asciiTheme="majorBidi" w:hAnsiTheme="majorBidi" w:cstheme="majorBidi"/>
                <w:color w:val="000000" w:themeColor="text1"/>
                <w:sz w:val="16"/>
                <w:szCs w:val="16"/>
                <w:shd w:val="clear" w:color="auto" w:fill="F8F9FA"/>
                <w:vertAlign w:val="subscript"/>
              </w:rPr>
              <w:t>5</w:t>
            </w:r>
            <w:r w:rsidRPr="006B44AD">
              <w:rPr>
                <w:rFonts w:asciiTheme="majorBidi" w:hAnsiTheme="majorBidi" w:cstheme="majorBidi"/>
                <w:color w:val="000000" w:themeColor="text1"/>
                <w:sz w:val="16"/>
                <w:szCs w:val="16"/>
                <w:shd w:val="clear" w:color="auto" w:fill="F8F9FA"/>
              </w:rPr>
              <w:t>H</w:t>
            </w:r>
            <w:r w:rsidRPr="006B44AD">
              <w:rPr>
                <w:rFonts w:asciiTheme="majorBidi" w:hAnsiTheme="majorBidi" w:cstheme="majorBidi"/>
                <w:color w:val="000000" w:themeColor="text1"/>
                <w:sz w:val="16"/>
                <w:szCs w:val="16"/>
                <w:shd w:val="clear" w:color="auto" w:fill="F8F9FA"/>
                <w:vertAlign w:val="subscript"/>
              </w:rPr>
              <w:t>12</w:t>
            </w:r>
            <w:r w:rsidRPr="006B44AD">
              <w:rPr>
                <w:rFonts w:asciiTheme="majorBidi" w:hAnsiTheme="majorBidi" w:cstheme="majorBidi"/>
                <w:color w:val="000000" w:themeColor="text1"/>
                <w:sz w:val="16"/>
                <w:szCs w:val="16"/>
                <w:shd w:val="clear" w:color="auto" w:fill="F8F9FA"/>
              </w:rPr>
              <w:t>O</w:t>
            </w:r>
            <w:r w:rsidRPr="006B44AD">
              <w:rPr>
                <w:rFonts w:asciiTheme="majorBidi" w:hAnsiTheme="majorBidi" w:cstheme="majorBidi"/>
                <w:color w:val="000000" w:themeColor="text1"/>
                <w:sz w:val="16"/>
                <w:szCs w:val="16"/>
                <w:shd w:val="clear" w:color="auto" w:fill="F8F9FA"/>
                <w:vertAlign w:val="subscript"/>
              </w:rPr>
              <w:t>11</w:t>
            </w:r>
            <w:r w:rsidRPr="006B44AD">
              <w:rPr>
                <w:rFonts w:asciiTheme="majorBidi" w:hAnsiTheme="majorBidi" w:cstheme="majorBidi"/>
                <w:color w:val="000000" w:themeColor="text1"/>
                <w:sz w:val="16"/>
                <w:szCs w:val="16"/>
                <w:shd w:val="clear" w:color="auto" w:fill="F8F9FA"/>
              </w:rPr>
              <w:t>P</w:t>
            </w:r>
            <w:r w:rsidRPr="006B44AD">
              <w:rPr>
                <w:rFonts w:asciiTheme="majorBidi" w:hAnsiTheme="majorBidi" w:cstheme="majorBidi"/>
                <w:color w:val="000000" w:themeColor="text1"/>
                <w:sz w:val="16"/>
                <w:szCs w:val="16"/>
                <w:shd w:val="clear" w:color="auto" w:fill="F8F9FA"/>
                <w:vertAlign w:val="subscript"/>
              </w:rPr>
              <w:t>2</w:t>
            </w:r>
          </w:p>
          <w:p w14:paraId="25087374" w14:textId="77777777" w:rsidR="004D1935" w:rsidRPr="006B44AD" w:rsidRDefault="004D1935" w:rsidP="00E24DC9">
            <w:pPr>
              <w:jc w:val="center"/>
              <w:rPr>
                <w:color w:val="000000" w:themeColor="text1"/>
              </w:rPr>
            </w:pPr>
          </w:p>
        </w:tc>
        <w:tc>
          <w:tcPr>
            <w:tcW w:w="2126" w:type="dxa"/>
            <w:vMerge w:val="restart"/>
            <w:vAlign w:val="center"/>
          </w:tcPr>
          <w:p w14:paraId="5041FF75" w14:textId="77777777" w:rsidR="004D1935" w:rsidRPr="006B44AD" w:rsidRDefault="00000000" w:rsidP="00E24DC9">
            <w:pPr>
              <w:jc w:val="center"/>
              <w:rPr>
                <w:color w:val="000000" w:themeColor="text1"/>
              </w:rPr>
            </w:pPr>
            <w:hyperlink r:id="rId99" w:history="1">
              <w:r w:rsidR="004D1935" w:rsidRPr="006B44AD">
                <w:rPr>
                  <w:rFonts w:ascii="Calibri" w:hAnsi="Calibri" w:cs="Calibri"/>
                  <w:color w:val="000000" w:themeColor="text1"/>
                  <w:sz w:val="13"/>
                  <w:szCs w:val="13"/>
                </w:rPr>
                <w:t>Carbohydrates and carbohydrate conjugates/</w:t>
              </w:r>
            </w:hyperlink>
          </w:p>
        </w:tc>
        <w:tc>
          <w:tcPr>
            <w:tcW w:w="6946" w:type="dxa"/>
            <w:vMerge w:val="restart"/>
            <w:vAlign w:val="center"/>
          </w:tcPr>
          <w:p w14:paraId="0EF20EF0" w14:textId="77777777" w:rsidR="004D1935" w:rsidRPr="006B44AD" w:rsidRDefault="004D1935" w:rsidP="00E24DC9">
            <w:pPr>
              <w:jc w:val="center"/>
              <w:rPr>
                <w:color w:val="000000" w:themeColor="text1"/>
              </w:rPr>
            </w:pPr>
            <w:r w:rsidRPr="006B44AD">
              <w:rPr>
                <w:rFonts w:ascii="Verdana" w:hAnsi="Verdana" w:cs="Calibri"/>
                <w:color w:val="000000" w:themeColor="text1"/>
                <w:sz w:val="13"/>
                <w:szCs w:val="13"/>
              </w:rPr>
              <w:t>Phosphonate and phosphinate metabolism</w:t>
            </w:r>
          </w:p>
        </w:tc>
      </w:tr>
      <w:tr w:rsidR="004D1935" w14:paraId="033389CD" w14:textId="77777777" w:rsidTr="00E24DC9">
        <w:tc>
          <w:tcPr>
            <w:tcW w:w="713" w:type="dxa"/>
            <w:vMerge/>
          </w:tcPr>
          <w:p w14:paraId="17A9A8FA" w14:textId="77777777" w:rsidR="004D1935" w:rsidRDefault="004D1935" w:rsidP="00E24DC9"/>
        </w:tc>
        <w:tc>
          <w:tcPr>
            <w:tcW w:w="809" w:type="dxa"/>
            <w:tcBorders>
              <w:top w:val="nil"/>
              <w:bottom w:val="nil"/>
            </w:tcBorders>
            <w:vAlign w:val="bottom"/>
          </w:tcPr>
          <w:p w14:paraId="62C43059"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310.0446</w:t>
            </w:r>
          </w:p>
        </w:tc>
        <w:tc>
          <w:tcPr>
            <w:tcW w:w="2017" w:type="dxa"/>
            <w:vMerge/>
          </w:tcPr>
          <w:p w14:paraId="1B7FA2A5" w14:textId="77777777" w:rsidR="004D1935" w:rsidRDefault="004D1935" w:rsidP="00E24DC9"/>
        </w:tc>
        <w:tc>
          <w:tcPr>
            <w:tcW w:w="1276" w:type="dxa"/>
            <w:vMerge/>
          </w:tcPr>
          <w:p w14:paraId="0A8F6564" w14:textId="77777777" w:rsidR="004D1935" w:rsidRDefault="004D1935" w:rsidP="00E24DC9"/>
        </w:tc>
        <w:tc>
          <w:tcPr>
            <w:tcW w:w="2126" w:type="dxa"/>
            <w:vMerge/>
          </w:tcPr>
          <w:p w14:paraId="3A3171D0" w14:textId="77777777" w:rsidR="004D1935" w:rsidRDefault="004D1935" w:rsidP="00E24DC9"/>
        </w:tc>
        <w:tc>
          <w:tcPr>
            <w:tcW w:w="6946" w:type="dxa"/>
            <w:vMerge/>
          </w:tcPr>
          <w:p w14:paraId="15E81327" w14:textId="77777777" w:rsidR="004D1935" w:rsidRDefault="004D1935" w:rsidP="00E24DC9"/>
        </w:tc>
      </w:tr>
      <w:tr w:rsidR="004D1935" w14:paraId="507856FB" w14:textId="77777777" w:rsidTr="00E24DC9">
        <w:tc>
          <w:tcPr>
            <w:tcW w:w="713" w:type="dxa"/>
            <w:vMerge/>
          </w:tcPr>
          <w:p w14:paraId="6B3A2DA6" w14:textId="77777777" w:rsidR="004D1935" w:rsidRDefault="004D1935" w:rsidP="00E24DC9"/>
        </w:tc>
        <w:tc>
          <w:tcPr>
            <w:tcW w:w="809" w:type="dxa"/>
            <w:tcBorders>
              <w:top w:val="nil"/>
              <w:bottom w:val="nil"/>
            </w:tcBorders>
            <w:vAlign w:val="bottom"/>
          </w:tcPr>
          <w:p w14:paraId="31F631A5"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310.1030</w:t>
            </w:r>
          </w:p>
        </w:tc>
        <w:tc>
          <w:tcPr>
            <w:tcW w:w="2017" w:type="dxa"/>
            <w:vMerge/>
          </w:tcPr>
          <w:p w14:paraId="4CDB468E" w14:textId="77777777" w:rsidR="004D1935" w:rsidRDefault="004D1935" w:rsidP="00E24DC9"/>
        </w:tc>
        <w:tc>
          <w:tcPr>
            <w:tcW w:w="1276" w:type="dxa"/>
            <w:vMerge/>
          </w:tcPr>
          <w:p w14:paraId="132E9798" w14:textId="77777777" w:rsidR="004D1935" w:rsidRDefault="004D1935" w:rsidP="00E24DC9"/>
        </w:tc>
        <w:tc>
          <w:tcPr>
            <w:tcW w:w="2126" w:type="dxa"/>
            <w:vMerge/>
          </w:tcPr>
          <w:p w14:paraId="7D7A6C2B" w14:textId="77777777" w:rsidR="004D1935" w:rsidRDefault="004D1935" w:rsidP="00E24DC9"/>
        </w:tc>
        <w:tc>
          <w:tcPr>
            <w:tcW w:w="6946" w:type="dxa"/>
            <w:vMerge/>
          </w:tcPr>
          <w:p w14:paraId="5C94B889" w14:textId="77777777" w:rsidR="004D1935" w:rsidRDefault="004D1935" w:rsidP="00E24DC9"/>
        </w:tc>
      </w:tr>
      <w:tr w:rsidR="004D1935" w14:paraId="479A94CD" w14:textId="77777777" w:rsidTr="00E24DC9">
        <w:tc>
          <w:tcPr>
            <w:tcW w:w="713" w:type="dxa"/>
            <w:vMerge/>
          </w:tcPr>
          <w:p w14:paraId="33ADB4A6" w14:textId="77777777" w:rsidR="004D1935" w:rsidRDefault="004D1935" w:rsidP="00E24DC9"/>
        </w:tc>
        <w:tc>
          <w:tcPr>
            <w:tcW w:w="809" w:type="dxa"/>
            <w:tcBorders>
              <w:top w:val="nil"/>
              <w:bottom w:val="nil"/>
            </w:tcBorders>
            <w:vAlign w:val="bottom"/>
          </w:tcPr>
          <w:p w14:paraId="29F81980"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309.9368</w:t>
            </w:r>
          </w:p>
        </w:tc>
        <w:tc>
          <w:tcPr>
            <w:tcW w:w="2017" w:type="dxa"/>
            <w:vMerge/>
          </w:tcPr>
          <w:p w14:paraId="2DF70B22" w14:textId="77777777" w:rsidR="004D1935" w:rsidRDefault="004D1935" w:rsidP="00E24DC9"/>
        </w:tc>
        <w:tc>
          <w:tcPr>
            <w:tcW w:w="1276" w:type="dxa"/>
            <w:vMerge/>
          </w:tcPr>
          <w:p w14:paraId="7972E3B3" w14:textId="77777777" w:rsidR="004D1935" w:rsidRDefault="004D1935" w:rsidP="00E24DC9"/>
        </w:tc>
        <w:tc>
          <w:tcPr>
            <w:tcW w:w="2126" w:type="dxa"/>
            <w:vMerge/>
          </w:tcPr>
          <w:p w14:paraId="47964DC0" w14:textId="77777777" w:rsidR="004D1935" w:rsidRDefault="004D1935" w:rsidP="00E24DC9"/>
        </w:tc>
        <w:tc>
          <w:tcPr>
            <w:tcW w:w="6946" w:type="dxa"/>
            <w:vMerge/>
          </w:tcPr>
          <w:p w14:paraId="6C31A52D" w14:textId="77777777" w:rsidR="004D1935" w:rsidRDefault="004D1935" w:rsidP="00E24DC9"/>
        </w:tc>
      </w:tr>
      <w:tr w:rsidR="004D1935" w14:paraId="1A9A71E3" w14:textId="77777777" w:rsidTr="00E24DC9">
        <w:tc>
          <w:tcPr>
            <w:tcW w:w="713" w:type="dxa"/>
            <w:vMerge/>
          </w:tcPr>
          <w:p w14:paraId="104B5438" w14:textId="77777777" w:rsidR="004D1935" w:rsidRDefault="004D1935" w:rsidP="00E24DC9"/>
        </w:tc>
        <w:tc>
          <w:tcPr>
            <w:tcW w:w="809" w:type="dxa"/>
            <w:tcBorders>
              <w:top w:val="nil"/>
              <w:bottom w:val="nil"/>
            </w:tcBorders>
            <w:vAlign w:val="bottom"/>
          </w:tcPr>
          <w:p w14:paraId="34EA905B"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309.9793</w:t>
            </w:r>
          </w:p>
        </w:tc>
        <w:tc>
          <w:tcPr>
            <w:tcW w:w="2017" w:type="dxa"/>
            <w:vMerge/>
          </w:tcPr>
          <w:p w14:paraId="25B0CCC0" w14:textId="77777777" w:rsidR="004D1935" w:rsidRDefault="004D1935" w:rsidP="00E24DC9"/>
        </w:tc>
        <w:tc>
          <w:tcPr>
            <w:tcW w:w="1276" w:type="dxa"/>
            <w:vMerge/>
          </w:tcPr>
          <w:p w14:paraId="0AABA57D" w14:textId="77777777" w:rsidR="004D1935" w:rsidRDefault="004D1935" w:rsidP="00E24DC9"/>
        </w:tc>
        <w:tc>
          <w:tcPr>
            <w:tcW w:w="2126" w:type="dxa"/>
            <w:vMerge/>
          </w:tcPr>
          <w:p w14:paraId="75F867AD" w14:textId="77777777" w:rsidR="004D1935" w:rsidRDefault="004D1935" w:rsidP="00E24DC9"/>
        </w:tc>
        <w:tc>
          <w:tcPr>
            <w:tcW w:w="6946" w:type="dxa"/>
            <w:vMerge/>
          </w:tcPr>
          <w:p w14:paraId="55AE4BB0" w14:textId="77777777" w:rsidR="004D1935" w:rsidRDefault="004D1935" w:rsidP="00E24DC9"/>
        </w:tc>
      </w:tr>
      <w:tr w:rsidR="004D1935" w14:paraId="7CBF59CD" w14:textId="77777777" w:rsidTr="00E24DC9">
        <w:tc>
          <w:tcPr>
            <w:tcW w:w="713" w:type="dxa"/>
            <w:vMerge/>
          </w:tcPr>
          <w:p w14:paraId="320FC7DD" w14:textId="77777777" w:rsidR="004D1935" w:rsidRDefault="004D1935" w:rsidP="00E24DC9"/>
        </w:tc>
        <w:tc>
          <w:tcPr>
            <w:tcW w:w="809" w:type="dxa"/>
            <w:tcBorders>
              <w:top w:val="nil"/>
              <w:bottom w:val="nil"/>
            </w:tcBorders>
            <w:vAlign w:val="bottom"/>
          </w:tcPr>
          <w:p w14:paraId="22733E2E"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310.0419</w:t>
            </w:r>
          </w:p>
        </w:tc>
        <w:tc>
          <w:tcPr>
            <w:tcW w:w="2017" w:type="dxa"/>
            <w:vMerge/>
          </w:tcPr>
          <w:p w14:paraId="3A253CD5" w14:textId="77777777" w:rsidR="004D1935" w:rsidRDefault="004D1935" w:rsidP="00E24DC9"/>
        </w:tc>
        <w:tc>
          <w:tcPr>
            <w:tcW w:w="1276" w:type="dxa"/>
            <w:vMerge/>
          </w:tcPr>
          <w:p w14:paraId="419B9437" w14:textId="77777777" w:rsidR="004D1935" w:rsidRDefault="004D1935" w:rsidP="00E24DC9"/>
        </w:tc>
        <w:tc>
          <w:tcPr>
            <w:tcW w:w="2126" w:type="dxa"/>
            <w:vMerge/>
          </w:tcPr>
          <w:p w14:paraId="0891DDD9" w14:textId="77777777" w:rsidR="004D1935" w:rsidRDefault="004D1935" w:rsidP="00E24DC9"/>
        </w:tc>
        <w:tc>
          <w:tcPr>
            <w:tcW w:w="6946" w:type="dxa"/>
            <w:vMerge/>
          </w:tcPr>
          <w:p w14:paraId="5EF87578" w14:textId="77777777" w:rsidR="004D1935" w:rsidRDefault="004D1935" w:rsidP="00E24DC9"/>
        </w:tc>
      </w:tr>
      <w:tr w:rsidR="004D1935" w14:paraId="19F62DF6" w14:textId="77777777" w:rsidTr="00E24DC9">
        <w:tc>
          <w:tcPr>
            <w:tcW w:w="713" w:type="dxa"/>
            <w:vMerge/>
          </w:tcPr>
          <w:p w14:paraId="53E50C2D" w14:textId="77777777" w:rsidR="004D1935" w:rsidRDefault="004D1935" w:rsidP="00E24DC9"/>
        </w:tc>
        <w:tc>
          <w:tcPr>
            <w:tcW w:w="809" w:type="dxa"/>
            <w:tcBorders>
              <w:top w:val="nil"/>
              <w:bottom w:val="nil"/>
            </w:tcBorders>
            <w:vAlign w:val="bottom"/>
          </w:tcPr>
          <w:p w14:paraId="1510FA2F"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309.9195</w:t>
            </w:r>
          </w:p>
        </w:tc>
        <w:tc>
          <w:tcPr>
            <w:tcW w:w="2017" w:type="dxa"/>
            <w:vMerge/>
          </w:tcPr>
          <w:p w14:paraId="475A9CC3" w14:textId="77777777" w:rsidR="004D1935" w:rsidRDefault="004D1935" w:rsidP="00E24DC9"/>
        </w:tc>
        <w:tc>
          <w:tcPr>
            <w:tcW w:w="1276" w:type="dxa"/>
            <w:vMerge/>
          </w:tcPr>
          <w:p w14:paraId="7A3CCDD0" w14:textId="77777777" w:rsidR="004D1935" w:rsidRDefault="004D1935" w:rsidP="00E24DC9"/>
        </w:tc>
        <w:tc>
          <w:tcPr>
            <w:tcW w:w="2126" w:type="dxa"/>
            <w:vMerge/>
          </w:tcPr>
          <w:p w14:paraId="09B090C3" w14:textId="77777777" w:rsidR="004D1935" w:rsidRDefault="004D1935" w:rsidP="00E24DC9"/>
        </w:tc>
        <w:tc>
          <w:tcPr>
            <w:tcW w:w="6946" w:type="dxa"/>
            <w:vMerge/>
          </w:tcPr>
          <w:p w14:paraId="55AE4767" w14:textId="77777777" w:rsidR="004D1935" w:rsidRDefault="004D1935" w:rsidP="00E24DC9"/>
        </w:tc>
      </w:tr>
      <w:tr w:rsidR="004D1935" w14:paraId="3060E572" w14:textId="77777777" w:rsidTr="00E24DC9">
        <w:tc>
          <w:tcPr>
            <w:tcW w:w="713" w:type="dxa"/>
            <w:vMerge/>
          </w:tcPr>
          <w:p w14:paraId="144DED4B" w14:textId="77777777" w:rsidR="004D1935" w:rsidRDefault="004D1935" w:rsidP="00E24DC9"/>
        </w:tc>
        <w:tc>
          <w:tcPr>
            <w:tcW w:w="809" w:type="dxa"/>
            <w:tcBorders>
              <w:top w:val="nil"/>
              <w:bottom w:val="nil"/>
            </w:tcBorders>
            <w:vAlign w:val="bottom"/>
          </w:tcPr>
          <w:p w14:paraId="0C950F32"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309.9608</w:t>
            </w:r>
          </w:p>
        </w:tc>
        <w:tc>
          <w:tcPr>
            <w:tcW w:w="2017" w:type="dxa"/>
            <w:vMerge/>
          </w:tcPr>
          <w:p w14:paraId="4D74A670" w14:textId="77777777" w:rsidR="004D1935" w:rsidRDefault="004D1935" w:rsidP="00E24DC9"/>
        </w:tc>
        <w:tc>
          <w:tcPr>
            <w:tcW w:w="1276" w:type="dxa"/>
            <w:vMerge/>
          </w:tcPr>
          <w:p w14:paraId="0F21F626" w14:textId="77777777" w:rsidR="004D1935" w:rsidRDefault="004D1935" w:rsidP="00E24DC9"/>
        </w:tc>
        <w:tc>
          <w:tcPr>
            <w:tcW w:w="2126" w:type="dxa"/>
            <w:vMerge/>
          </w:tcPr>
          <w:p w14:paraId="24ECD304" w14:textId="77777777" w:rsidR="004D1935" w:rsidRDefault="004D1935" w:rsidP="00E24DC9"/>
        </w:tc>
        <w:tc>
          <w:tcPr>
            <w:tcW w:w="6946" w:type="dxa"/>
            <w:vMerge/>
          </w:tcPr>
          <w:p w14:paraId="2C6817AC" w14:textId="77777777" w:rsidR="004D1935" w:rsidRDefault="004D1935" w:rsidP="00E24DC9"/>
        </w:tc>
      </w:tr>
      <w:tr w:rsidR="004D1935" w14:paraId="1617EA6A" w14:textId="77777777" w:rsidTr="00E24DC9">
        <w:tc>
          <w:tcPr>
            <w:tcW w:w="713" w:type="dxa"/>
            <w:vMerge/>
          </w:tcPr>
          <w:p w14:paraId="104F1697" w14:textId="77777777" w:rsidR="004D1935" w:rsidRDefault="004D1935" w:rsidP="00E24DC9"/>
        </w:tc>
        <w:tc>
          <w:tcPr>
            <w:tcW w:w="809" w:type="dxa"/>
            <w:tcBorders>
              <w:top w:val="nil"/>
              <w:bottom w:val="nil"/>
            </w:tcBorders>
            <w:vAlign w:val="bottom"/>
          </w:tcPr>
          <w:p w14:paraId="45225FF8"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310.0565</w:t>
            </w:r>
          </w:p>
        </w:tc>
        <w:tc>
          <w:tcPr>
            <w:tcW w:w="2017" w:type="dxa"/>
            <w:vMerge/>
          </w:tcPr>
          <w:p w14:paraId="52C88103" w14:textId="77777777" w:rsidR="004D1935" w:rsidRDefault="004D1935" w:rsidP="00E24DC9"/>
        </w:tc>
        <w:tc>
          <w:tcPr>
            <w:tcW w:w="1276" w:type="dxa"/>
            <w:vMerge/>
          </w:tcPr>
          <w:p w14:paraId="710A3AB6" w14:textId="77777777" w:rsidR="004D1935" w:rsidRDefault="004D1935" w:rsidP="00E24DC9"/>
        </w:tc>
        <w:tc>
          <w:tcPr>
            <w:tcW w:w="2126" w:type="dxa"/>
            <w:vMerge/>
          </w:tcPr>
          <w:p w14:paraId="307B442A" w14:textId="77777777" w:rsidR="004D1935" w:rsidRDefault="004D1935" w:rsidP="00E24DC9"/>
        </w:tc>
        <w:tc>
          <w:tcPr>
            <w:tcW w:w="6946" w:type="dxa"/>
            <w:vMerge/>
          </w:tcPr>
          <w:p w14:paraId="03F2D667" w14:textId="77777777" w:rsidR="004D1935" w:rsidRDefault="004D1935" w:rsidP="00E24DC9"/>
        </w:tc>
      </w:tr>
      <w:tr w:rsidR="004D1935" w14:paraId="6493146C" w14:textId="77777777" w:rsidTr="00E24DC9">
        <w:tc>
          <w:tcPr>
            <w:tcW w:w="713" w:type="dxa"/>
            <w:vMerge/>
          </w:tcPr>
          <w:p w14:paraId="2E889271" w14:textId="77777777" w:rsidR="004D1935" w:rsidRDefault="004D1935" w:rsidP="00E24DC9"/>
        </w:tc>
        <w:tc>
          <w:tcPr>
            <w:tcW w:w="809" w:type="dxa"/>
            <w:tcBorders>
              <w:top w:val="nil"/>
              <w:bottom w:val="nil"/>
            </w:tcBorders>
            <w:vAlign w:val="bottom"/>
          </w:tcPr>
          <w:p w14:paraId="4866B9CA"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309.9395</w:t>
            </w:r>
          </w:p>
        </w:tc>
        <w:tc>
          <w:tcPr>
            <w:tcW w:w="2017" w:type="dxa"/>
            <w:vMerge/>
          </w:tcPr>
          <w:p w14:paraId="27F251D3" w14:textId="77777777" w:rsidR="004D1935" w:rsidRDefault="004D1935" w:rsidP="00E24DC9"/>
        </w:tc>
        <w:tc>
          <w:tcPr>
            <w:tcW w:w="1276" w:type="dxa"/>
            <w:vMerge/>
          </w:tcPr>
          <w:p w14:paraId="1639E485" w14:textId="77777777" w:rsidR="004D1935" w:rsidRDefault="004D1935" w:rsidP="00E24DC9"/>
        </w:tc>
        <w:tc>
          <w:tcPr>
            <w:tcW w:w="2126" w:type="dxa"/>
            <w:vMerge/>
          </w:tcPr>
          <w:p w14:paraId="46008620" w14:textId="77777777" w:rsidR="004D1935" w:rsidRDefault="004D1935" w:rsidP="00E24DC9"/>
        </w:tc>
        <w:tc>
          <w:tcPr>
            <w:tcW w:w="6946" w:type="dxa"/>
            <w:vMerge/>
          </w:tcPr>
          <w:p w14:paraId="1D26623A" w14:textId="77777777" w:rsidR="004D1935" w:rsidRDefault="004D1935" w:rsidP="00E24DC9"/>
        </w:tc>
      </w:tr>
      <w:tr w:rsidR="004D1935" w14:paraId="4D0E57F4" w14:textId="77777777" w:rsidTr="00E24DC9">
        <w:tc>
          <w:tcPr>
            <w:tcW w:w="713" w:type="dxa"/>
            <w:vMerge/>
          </w:tcPr>
          <w:p w14:paraId="79836CC4" w14:textId="77777777" w:rsidR="004D1935" w:rsidRDefault="004D1935" w:rsidP="00E24DC9"/>
        </w:tc>
        <w:tc>
          <w:tcPr>
            <w:tcW w:w="809" w:type="dxa"/>
            <w:tcBorders>
              <w:top w:val="nil"/>
              <w:bottom w:val="nil"/>
            </w:tcBorders>
            <w:vAlign w:val="bottom"/>
          </w:tcPr>
          <w:p w14:paraId="41F08CDF"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309.9833</w:t>
            </w:r>
          </w:p>
        </w:tc>
        <w:tc>
          <w:tcPr>
            <w:tcW w:w="2017" w:type="dxa"/>
            <w:vMerge/>
          </w:tcPr>
          <w:p w14:paraId="44590F9E" w14:textId="77777777" w:rsidR="004D1935" w:rsidRDefault="004D1935" w:rsidP="00E24DC9"/>
        </w:tc>
        <w:tc>
          <w:tcPr>
            <w:tcW w:w="1276" w:type="dxa"/>
            <w:vMerge/>
          </w:tcPr>
          <w:p w14:paraId="27B8FA9D" w14:textId="77777777" w:rsidR="004D1935" w:rsidRDefault="004D1935" w:rsidP="00E24DC9"/>
        </w:tc>
        <w:tc>
          <w:tcPr>
            <w:tcW w:w="2126" w:type="dxa"/>
            <w:vMerge/>
          </w:tcPr>
          <w:p w14:paraId="7E73272F" w14:textId="77777777" w:rsidR="004D1935" w:rsidRDefault="004D1935" w:rsidP="00E24DC9"/>
        </w:tc>
        <w:tc>
          <w:tcPr>
            <w:tcW w:w="6946" w:type="dxa"/>
            <w:vMerge/>
          </w:tcPr>
          <w:p w14:paraId="22B32139" w14:textId="77777777" w:rsidR="004D1935" w:rsidRDefault="004D1935" w:rsidP="00E24DC9"/>
        </w:tc>
      </w:tr>
      <w:tr w:rsidR="004D1935" w14:paraId="4661EBBC" w14:textId="77777777" w:rsidTr="00E24DC9">
        <w:tc>
          <w:tcPr>
            <w:tcW w:w="713" w:type="dxa"/>
            <w:vMerge/>
          </w:tcPr>
          <w:p w14:paraId="3A511A16" w14:textId="77777777" w:rsidR="004D1935" w:rsidRDefault="004D1935" w:rsidP="00E24DC9"/>
        </w:tc>
        <w:tc>
          <w:tcPr>
            <w:tcW w:w="809" w:type="dxa"/>
            <w:tcBorders>
              <w:top w:val="nil"/>
              <w:bottom w:val="nil"/>
            </w:tcBorders>
            <w:vAlign w:val="bottom"/>
          </w:tcPr>
          <w:p w14:paraId="54628DCA"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310.0432</w:t>
            </w:r>
          </w:p>
        </w:tc>
        <w:tc>
          <w:tcPr>
            <w:tcW w:w="2017" w:type="dxa"/>
            <w:vMerge/>
          </w:tcPr>
          <w:p w14:paraId="63E66961" w14:textId="77777777" w:rsidR="004D1935" w:rsidRDefault="004D1935" w:rsidP="00E24DC9"/>
        </w:tc>
        <w:tc>
          <w:tcPr>
            <w:tcW w:w="1276" w:type="dxa"/>
            <w:vMerge/>
          </w:tcPr>
          <w:p w14:paraId="196596C4" w14:textId="77777777" w:rsidR="004D1935" w:rsidRDefault="004D1935" w:rsidP="00E24DC9"/>
        </w:tc>
        <w:tc>
          <w:tcPr>
            <w:tcW w:w="2126" w:type="dxa"/>
            <w:vMerge/>
          </w:tcPr>
          <w:p w14:paraId="69559F96" w14:textId="77777777" w:rsidR="004D1935" w:rsidRDefault="004D1935" w:rsidP="00E24DC9"/>
        </w:tc>
        <w:tc>
          <w:tcPr>
            <w:tcW w:w="6946" w:type="dxa"/>
            <w:vMerge/>
          </w:tcPr>
          <w:p w14:paraId="14D83B26" w14:textId="77777777" w:rsidR="004D1935" w:rsidRDefault="004D1935" w:rsidP="00E24DC9"/>
        </w:tc>
      </w:tr>
      <w:tr w:rsidR="004D1935" w14:paraId="45EF8C85" w14:textId="77777777" w:rsidTr="00E24DC9">
        <w:tc>
          <w:tcPr>
            <w:tcW w:w="713" w:type="dxa"/>
            <w:vMerge/>
          </w:tcPr>
          <w:p w14:paraId="359D575A" w14:textId="77777777" w:rsidR="004D1935" w:rsidRDefault="004D1935" w:rsidP="00E24DC9"/>
        </w:tc>
        <w:tc>
          <w:tcPr>
            <w:tcW w:w="809" w:type="dxa"/>
            <w:tcBorders>
              <w:top w:val="nil"/>
              <w:bottom w:val="nil"/>
            </w:tcBorders>
            <w:vAlign w:val="bottom"/>
          </w:tcPr>
          <w:p w14:paraId="702CD92E"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309.9448</w:t>
            </w:r>
          </w:p>
        </w:tc>
        <w:tc>
          <w:tcPr>
            <w:tcW w:w="2017" w:type="dxa"/>
            <w:vMerge/>
          </w:tcPr>
          <w:p w14:paraId="0394B07A" w14:textId="77777777" w:rsidR="004D1935" w:rsidRDefault="004D1935" w:rsidP="00E24DC9"/>
        </w:tc>
        <w:tc>
          <w:tcPr>
            <w:tcW w:w="1276" w:type="dxa"/>
            <w:vMerge/>
          </w:tcPr>
          <w:p w14:paraId="7A42E80C" w14:textId="77777777" w:rsidR="004D1935" w:rsidRDefault="004D1935" w:rsidP="00E24DC9"/>
        </w:tc>
        <w:tc>
          <w:tcPr>
            <w:tcW w:w="2126" w:type="dxa"/>
            <w:vMerge/>
          </w:tcPr>
          <w:p w14:paraId="73CD093F" w14:textId="77777777" w:rsidR="004D1935" w:rsidRDefault="004D1935" w:rsidP="00E24DC9"/>
        </w:tc>
        <w:tc>
          <w:tcPr>
            <w:tcW w:w="6946" w:type="dxa"/>
            <w:vMerge/>
          </w:tcPr>
          <w:p w14:paraId="1BE89D84" w14:textId="77777777" w:rsidR="004D1935" w:rsidRDefault="004D1935" w:rsidP="00E24DC9"/>
        </w:tc>
      </w:tr>
      <w:tr w:rsidR="004D1935" w14:paraId="0016AFF2" w14:textId="77777777" w:rsidTr="00E24DC9">
        <w:tc>
          <w:tcPr>
            <w:tcW w:w="713" w:type="dxa"/>
            <w:vMerge/>
          </w:tcPr>
          <w:p w14:paraId="11EEB3AB" w14:textId="77777777" w:rsidR="004D1935" w:rsidRDefault="004D1935" w:rsidP="00E24DC9"/>
        </w:tc>
        <w:tc>
          <w:tcPr>
            <w:tcW w:w="809" w:type="dxa"/>
            <w:tcBorders>
              <w:top w:val="nil"/>
              <w:bottom w:val="nil"/>
            </w:tcBorders>
            <w:vAlign w:val="bottom"/>
          </w:tcPr>
          <w:p w14:paraId="0D6F6970"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309.9900</w:t>
            </w:r>
          </w:p>
        </w:tc>
        <w:tc>
          <w:tcPr>
            <w:tcW w:w="2017" w:type="dxa"/>
            <w:vMerge/>
          </w:tcPr>
          <w:p w14:paraId="062C97A7" w14:textId="77777777" w:rsidR="004D1935" w:rsidRDefault="004D1935" w:rsidP="00E24DC9"/>
        </w:tc>
        <w:tc>
          <w:tcPr>
            <w:tcW w:w="1276" w:type="dxa"/>
            <w:vMerge/>
          </w:tcPr>
          <w:p w14:paraId="77C28A5A" w14:textId="77777777" w:rsidR="004D1935" w:rsidRDefault="004D1935" w:rsidP="00E24DC9"/>
        </w:tc>
        <w:tc>
          <w:tcPr>
            <w:tcW w:w="2126" w:type="dxa"/>
            <w:vMerge/>
          </w:tcPr>
          <w:p w14:paraId="7D4290BC" w14:textId="77777777" w:rsidR="004D1935" w:rsidRDefault="004D1935" w:rsidP="00E24DC9"/>
        </w:tc>
        <w:tc>
          <w:tcPr>
            <w:tcW w:w="6946" w:type="dxa"/>
            <w:vMerge/>
          </w:tcPr>
          <w:p w14:paraId="7DB767D1" w14:textId="77777777" w:rsidR="004D1935" w:rsidRDefault="004D1935" w:rsidP="00E24DC9"/>
        </w:tc>
      </w:tr>
      <w:tr w:rsidR="004D1935" w14:paraId="788B0DB9" w14:textId="77777777" w:rsidTr="00E24DC9">
        <w:tc>
          <w:tcPr>
            <w:tcW w:w="713" w:type="dxa"/>
            <w:vMerge/>
          </w:tcPr>
          <w:p w14:paraId="01688380" w14:textId="77777777" w:rsidR="004D1935" w:rsidRDefault="004D1935" w:rsidP="00E24DC9"/>
        </w:tc>
        <w:tc>
          <w:tcPr>
            <w:tcW w:w="809" w:type="dxa"/>
            <w:tcBorders>
              <w:top w:val="nil"/>
              <w:bottom w:val="nil"/>
            </w:tcBorders>
            <w:vAlign w:val="bottom"/>
          </w:tcPr>
          <w:p w14:paraId="21897BE7"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310.0472</w:t>
            </w:r>
          </w:p>
        </w:tc>
        <w:tc>
          <w:tcPr>
            <w:tcW w:w="2017" w:type="dxa"/>
            <w:vMerge/>
          </w:tcPr>
          <w:p w14:paraId="3263091B" w14:textId="77777777" w:rsidR="004D1935" w:rsidRDefault="004D1935" w:rsidP="00E24DC9"/>
        </w:tc>
        <w:tc>
          <w:tcPr>
            <w:tcW w:w="1276" w:type="dxa"/>
            <w:vMerge/>
          </w:tcPr>
          <w:p w14:paraId="1C6111D9" w14:textId="77777777" w:rsidR="004D1935" w:rsidRDefault="004D1935" w:rsidP="00E24DC9"/>
        </w:tc>
        <w:tc>
          <w:tcPr>
            <w:tcW w:w="2126" w:type="dxa"/>
            <w:vMerge/>
          </w:tcPr>
          <w:p w14:paraId="52F67EC8" w14:textId="77777777" w:rsidR="004D1935" w:rsidRDefault="004D1935" w:rsidP="00E24DC9"/>
        </w:tc>
        <w:tc>
          <w:tcPr>
            <w:tcW w:w="6946" w:type="dxa"/>
            <w:vMerge/>
          </w:tcPr>
          <w:p w14:paraId="556AAD66" w14:textId="77777777" w:rsidR="004D1935" w:rsidRDefault="004D1935" w:rsidP="00E24DC9"/>
        </w:tc>
      </w:tr>
      <w:tr w:rsidR="004D1935" w14:paraId="092545E5" w14:textId="77777777" w:rsidTr="00E24DC9">
        <w:tc>
          <w:tcPr>
            <w:tcW w:w="713" w:type="dxa"/>
            <w:vMerge/>
          </w:tcPr>
          <w:p w14:paraId="099A7316" w14:textId="77777777" w:rsidR="004D1935" w:rsidRDefault="004D1935" w:rsidP="00E24DC9"/>
        </w:tc>
        <w:tc>
          <w:tcPr>
            <w:tcW w:w="809" w:type="dxa"/>
            <w:tcBorders>
              <w:top w:val="nil"/>
              <w:bottom w:val="nil"/>
            </w:tcBorders>
            <w:vAlign w:val="bottom"/>
          </w:tcPr>
          <w:p w14:paraId="053DD6A8"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309.9408</w:t>
            </w:r>
          </w:p>
        </w:tc>
        <w:tc>
          <w:tcPr>
            <w:tcW w:w="2017" w:type="dxa"/>
            <w:vMerge/>
          </w:tcPr>
          <w:p w14:paraId="30609F55" w14:textId="77777777" w:rsidR="004D1935" w:rsidRDefault="004D1935" w:rsidP="00E24DC9"/>
        </w:tc>
        <w:tc>
          <w:tcPr>
            <w:tcW w:w="1276" w:type="dxa"/>
            <w:vMerge/>
          </w:tcPr>
          <w:p w14:paraId="05CD517B" w14:textId="77777777" w:rsidR="004D1935" w:rsidRDefault="004D1935" w:rsidP="00E24DC9"/>
        </w:tc>
        <w:tc>
          <w:tcPr>
            <w:tcW w:w="2126" w:type="dxa"/>
            <w:vMerge/>
          </w:tcPr>
          <w:p w14:paraId="30BB87BE" w14:textId="77777777" w:rsidR="004D1935" w:rsidRDefault="004D1935" w:rsidP="00E24DC9"/>
        </w:tc>
        <w:tc>
          <w:tcPr>
            <w:tcW w:w="6946" w:type="dxa"/>
            <w:vMerge/>
          </w:tcPr>
          <w:p w14:paraId="2553565F" w14:textId="77777777" w:rsidR="004D1935" w:rsidRDefault="004D1935" w:rsidP="00E24DC9"/>
        </w:tc>
      </w:tr>
      <w:tr w:rsidR="004D1935" w14:paraId="7BC35468" w14:textId="77777777" w:rsidTr="00E24DC9">
        <w:tc>
          <w:tcPr>
            <w:tcW w:w="713" w:type="dxa"/>
            <w:vMerge/>
          </w:tcPr>
          <w:p w14:paraId="75F70B53" w14:textId="77777777" w:rsidR="004D1935" w:rsidRDefault="004D1935" w:rsidP="00E24DC9"/>
        </w:tc>
        <w:tc>
          <w:tcPr>
            <w:tcW w:w="809" w:type="dxa"/>
            <w:tcBorders>
              <w:top w:val="nil"/>
              <w:bottom w:val="nil"/>
            </w:tcBorders>
            <w:vAlign w:val="bottom"/>
          </w:tcPr>
          <w:p w14:paraId="217A64A4"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309.9807</w:t>
            </w:r>
          </w:p>
        </w:tc>
        <w:tc>
          <w:tcPr>
            <w:tcW w:w="2017" w:type="dxa"/>
            <w:vMerge/>
          </w:tcPr>
          <w:p w14:paraId="6F73BA39" w14:textId="77777777" w:rsidR="004D1935" w:rsidRDefault="004D1935" w:rsidP="00E24DC9"/>
        </w:tc>
        <w:tc>
          <w:tcPr>
            <w:tcW w:w="1276" w:type="dxa"/>
            <w:vMerge/>
          </w:tcPr>
          <w:p w14:paraId="45BC03F5" w14:textId="77777777" w:rsidR="004D1935" w:rsidRDefault="004D1935" w:rsidP="00E24DC9"/>
        </w:tc>
        <w:tc>
          <w:tcPr>
            <w:tcW w:w="2126" w:type="dxa"/>
            <w:vMerge/>
          </w:tcPr>
          <w:p w14:paraId="58F0B388" w14:textId="77777777" w:rsidR="004D1935" w:rsidRDefault="004D1935" w:rsidP="00E24DC9"/>
        </w:tc>
        <w:tc>
          <w:tcPr>
            <w:tcW w:w="6946" w:type="dxa"/>
            <w:vMerge/>
          </w:tcPr>
          <w:p w14:paraId="252446F8" w14:textId="77777777" w:rsidR="004D1935" w:rsidRDefault="004D1935" w:rsidP="00E24DC9"/>
        </w:tc>
      </w:tr>
      <w:tr w:rsidR="004D1935" w14:paraId="77C78D32" w14:textId="77777777" w:rsidTr="00E24DC9">
        <w:tc>
          <w:tcPr>
            <w:tcW w:w="713" w:type="dxa"/>
            <w:vMerge/>
          </w:tcPr>
          <w:p w14:paraId="0F8A2274" w14:textId="77777777" w:rsidR="004D1935" w:rsidRDefault="004D1935" w:rsidP="00E24DC9"/>
        </w:tc>
        <w:tc>
          <w:tcPr>
            <w:tcW w:w="809" w:type="dxa"/>
            <w:tcBorders>
              <w:top w:val="nil"/>
              <w:bottom w:val="nil"/>
            </w:tcBorders>
            <w:vAlign w:val="bottom"/>
          </w:tcPr>
          <w:p w14:paraId="41587B9B"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310.0552</w:t>
            </w:r>
          </w:p>
        </w:tc>
        <w:tc>
          <w:tcPr>
            <w:tcW w:w="2017" w:type="dxa"/>
            <w:vMerge/>
          </w:tcPr>
          <w:p w14:paraId="7A8ABD60" w14:textId="77777777" w:rsidR="004D1935" w:rsidRDefault="004D1935" w:rsidP="00E24DC9"/>
        </w:tc>
        <w:tc>
          <w:tcPr>
            <w:tcW w:w="1276" w:type="dxa"/>
            <w:vMerge/>
          </w:tcPr>
          <w:p w14:paraId="3790046F" w14:textId="77777777" w:rsidR="004D1935" w:rsidRDefault="004D1935" w:rsidP="00E24DC9"/>
        </w:tc>
        <w:tc>
          <w:tcPr>
            <w:tcW w:w="2126" w:type="dxa"/>
            <w:vMerge/>
          </w:tcPr>
          <w:p w14:paraId="2B06FA35" w14:textId="77777777" w:rsidR="004D1935" w:rsidRDefault="004D1935" w:rsidP="00E24DC9"/>
        </w:tc>
        <w:tc>
          <w:tcPr>
            <w:tcW w:w="6946" w:type="dxa"/>
            <w:vMerge/>
          </w:tcPr>
          <w:p w14:paraId="45B97B9A" w14:textId="77777777" w:rsidR="004D1935" w:rsidRDefault="004D1935" w:rsidP="00E24DC9"/>
        </w:tc>
      </w:tr>
      <w:tr w:rsidR="004D1935" w14:paraId="704216B3" w14:textId="77777777" w:rsidTr="00E24DC9">
        <w:tc>
          <w:tcPr>
            <w:tcW w:w="713" w:type="dxa"/>
            <w:vMerge/>
          </w:tcPr>
          <w:p w14:paraId="3D80B797" w14:textId="77777777" w:rsidR="004D1935" w:rsidRDefault="004D1935" w:rsidP="00E24DC9"/>
        </w:tc>
        <w:tc>
          <w:tcPr>
            <w:tcW w:w="809" w:type="dxa"/>
            <w:tcBorders>
              <w:top w:val="nil"/>
              <w:bottom w:val="nil"/>
            </w:tcBorders>
            <w:vAlign w:val="bottom"/>
          </w:tcPr>
          <w:p w14:paraId="0E100296"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309.9873</w:t>
            </w:r>
          </w:p>
        </w:tc>
        <w:tc>
          <w:tcPr>
            <w:tcW w:w="2017" w:type="dxa"/>
            <w:vMerge/>
          </w:tcPr>
          <w:p w14:paraId="173FE918" w14:textId="77777777" w:rsidR="004D1935" w:rsidRDefault="004D1935" w:rsidP="00E24DC9"/>
        </w:tc>
        <w:tc>
          <w:tcPr>
            <w:tcW w:w="1276" w:type="dxa"/>
            <w:vMerge/>
          </w:tcPr>
          <w:p w14:paraId="09DE04D4" w14:textId="77777777" w:rsidR="004D1935" w:rsidRDefault="004D1935" w:rsidP="00E24DC9"/>
        </w:tc>
        <w:tc>
          <w:tcPr>
            <w:tcW w:w="2126" w:type="dxa"/>
            <w:vMerge/>
          </w:tcPr>
          <w:p w14:paraId="256BFAF4" w14:textId="77777777" w:rsidR="004D1935" w:rsidRDefault="004D1935" w:rsidP="00E24DC9"/>
        </w:tc>
        <w:tc>
          <w:tcPr>
            <w:tcW w:w="6946" w:type="dxa"/>
            <w:vMerge/>
          </w:tcPr>
          <w:p w14:paraId="3A87367C" w14:textId="77777777" w:rsidR="004D1935" w:rsidRDefault="004D1935" w:rsidP="00E24DC9"/>
        </w:tc>
      </w:tr>
      <w:tr w:rsidR="004D1935" w14:paraId="6F411FDC" w14:textId="77777777" w:rsidTr="00E24DC9">
        <w:tc>
          <w:tcPr>
            <w:tcW w:w="713" w:type="dxa"/>
            <w:vMerge/>
          </w:tcPr>
          <w:p w14:paraId="326DC132" w14:textId="77777777" w:rsidR="004D1935" w:rsidRDefault="004D1935" w:rsidP="00E24DC9"/>
        </w:tc>
        <w:tc>
          <w:tcPr>
            <w:tcW w:w="809" w:type="dxa"/>
            <w:tcBorders>
              <w:top w:val="nil"/>
              <w:bottom w:val="nil"/>
            </w:tcBorders>
            <w:vAlign w:val="bottom"/>
          </w:tcPr>
          <w:p w14:paraId="379971DB"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310.0459</w:t>
            </w:r>
          </w:p>
        </w:tc>
        <w:tc>
          <w:tcPr>
            <w:tcW w:w="2017" w:type="dxa"/>
            <w:vMerge/>
          </w:tcPr>
          <w:p w14:paraId="14B1BE78" w14:textId="77777777" w:rsidR="004D1935" w:rsidRDefault="004D1935" w:rsidP="00E24DC9"/>
        </w:tc>
        <w:tc>
          <w:tcPr>
            <w:tcW w:w="1276" w:type="dxa"/>
            <w:vMerge/>
          </w:tcPr>
          <w:p w14:paraId="01E4C841" w14:textId="77777777" w:rsidR="004D1935" w:rsidRDefault="004D1935" w:rsidP="00E24DC9"/>
        </w:tc>
        <w:tc>
          <w:tcPr>
            <w:tcW w:w="2126" w:type="dxa"/>
            <w:vMerge/>
          </w:tcPr>
          <w:p w14:paraId="40E3241B" w14:textId="77777777" w:rsidR="004D1935" w:rsidRDefault="004D1935" w:rsidP="00E24DC9"/>
        </w:tc>
        <w:tc>
          <w:tcPr>
            <w:tcW w:w="6946" w:type="dxa"/>
            <w:vMerge/>
          </w:tcPr>
          <w:p w14:paraId="64ECE604" w14:textId="77777777" w:rsidR="004D1935" w:rsidRDefault="004D1935" w:rsidP="00E24DC9"/>
        </w:tc>
      </w:tr>
      <w:tr w:rsidR="004D1935" w14:paraId="63F38C12" w14:textId="77777777" w:rsidTr="00E24DC9">
        <w:tc>
          <w:tcPr>
            <w:tcW w:w="713" w:type="dxa"/>
            <w:vMerge/>
          </w:tcPr>
          <w:p w14:paraId="30703727" w14:textId="77777777" w:rsidR="004D1935" w:rsidRDefault="004D1935" w:rsidP="00E24DC9"/>
        </w:tc>
        <w:tc>
          <w:tcPr>
            <w:tcW w:w="809" w:type="dxa"/>
            <w:tcBorders>
              <w:top w:val="nil"/>
              <w:bottom w:val="nil"/>
            </w:tcBorders>
            <w:vAlign w:val="bottom"/>
          </w:tcPr>
          <w:p w14:paraId="5C00B34D"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309.9621</w:t>
            </w:r>
          </w:p>
        </w:tc>
        <w:tc>
          <w:tcPr>
            <w:tcW w:w="2017" w:type="dxa"/>
            <w:vMerge/>
          </w:tcPr>
          <w:p w14:paraId="21EB6C8A" w14:textId="77777777" w:rsidR="004D1935" w:rsidRDefault="004D1935" w:rsidP="00E24DC9"/>
        </w:tc>
        <w:tc>
          <w:tcPr>
            <w:tcW w:w="1276" w:type="dxa"/>
            <w:vMerge/>
          </w:tcPr>
          <w:p w14:paraId="5FAF9C42" w14:textId="77777777" w:rsidR="004D1935" w:rsidRDefault="004D1935" w:rsidP="00E24DC9"/>
        </w:tc>
        <w:tc>
          <w:tcPr>
            <w:tcW w:w="2126" w:type="dxa"/>
            <w:vMerge/>
          </w:tcPr>
          <w:p w14:paraId="6F0A7DAB" w14:textId="77777777" w:rsidR="004D1935" w:rsidRDefault="004D1935" w:rsidP="00E24DC9"/>
        </w:tc>
        <w:tc>
          <w:tcPr>
            <w:tcW w:w="6946" w:type="dxa"/>
            <w:vMerge/>
          </w:tcPr>
          <w:p w14:paraId="00840655" w14:textId="77777777" w:rsidR="004D1935" w:rsidRDefault="004D1935" w:rsidP="00E24DC9"/>
        </w:tc>
      </w:tr>
      <w:tr w:rsidR="004D1935" w14:paraId="38C3BB86" w14:textId="77777777" w:rsidTr="00E24DC9">
        <w:tc>
          <w:tcPr>
            <w:tcW w:w="713" w:type="dxa"/>
            <w:vMerge/>
          </w:tcPr>
          <w:p w14:paraId="11517A4A" w14:textId="77777777" w:rsidR="004D1935" w:rsidRDefault="004D1935" w:rsidP="00E24DC9"/>
        </w:tc>
        <w:tc>
          <w:tcPr>
            <w:tcW w:w="809" w:type="dxa"/>
            <w:tcBorders>
              <w:top w:val="nil"/>
              <w:bottom w:val="nil"/>
            </w:tcBorders>
            <w:vAlign w:val="bottom"/>
          </w:tcPr>
          <w:p w14:paraId="7DCD2F76"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309.9634</w:t>
            </w:r>
          </w:p>
        </w:tc>
        <w:tc>
          <w:tcPr>
            <w:tcW w:w="2017" w:type="dxa"/>
            <w:vMerge/>
          </w:tcPr>
          <w:p w14:paraId="43A2C61E" w14:textId="77777777" w:rsidR="004D1935" w:rsidRDefault="004D1935" w:rsidP="00E24DC9"/>
        </w:tc>
        <w:tc>
          <w:tcPr>
            <w:tcW w:w="1276" w:type="dxa"/>
            <w:vMerge/>
          </w:tcPr>
          <w:p w14:paraId="5697374D" w14:textId="77777777" w:rsidR="004D1935" w:rsidRDefault="004D1935" w:rsidP="00E24DC9"/>
        </w:tc>
        <w:tc>
          <w:tcPr>
            <w:tcW w:w="2126" w:type="dxa"/>
            <w:vMerge/>
          </w:tcPr>
          <w:p w14:paraId="02316CFA" w14:textId="77777777" w:rsidR="004D1935" w:rsidRDefault="004D1935" w:rsidP="00E24DC9"/>
        </w:tc>
        <w:tc>
          <w:tcPr>
            <w:tcW w:w="6946" w:type="dxa"/>
            <w:vMerge/>
          </w:tcPr>
          <w:p w14:paraId="3D2E6ACB" w14:textId="77777777" w:rsidR="004D1935" w:rsidRDefault="004D1935" w:rsidP="00E24DC9"/>
        </w:tc>
      </w:tr>
      <w:tr w:rsidR="004D1935" w14:paraId="293625EB" w14:textId="77777777" w:rsidTr="00E24DC9">
        <w:tc>
          <w:tcPr>
            <w:tcW w:w="713" w:type="dxa"/>
            <w:vMerge/>
          </w:tcPr>
          <w:p w14:paraId="47FDE2FD" w14:textId="77777777" w:rsidR="004D1935" w:rsidRDefault="004D1935" w:rsidP="00E24DC9"/>
        </w:tc>
        <w:tc>
          <w:tcPr>
            <w:tcW w:w="809" w:type="dxa"/>
            <w:tcBorders>
              <w:top w:val="nil"/>
              <w:bottom w:val="nil"/>
            </w:tcBorders>
            <w:vAlign w:val="bottom"/>
          </w:tcPr>
          <w:p w14:paraId="71F9DF8B"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310.0512</w:t>
            </w:r>
          </w:p>
        </w:tc>
        <w:tc>
          <w:tcPr>
            <w:tcW w:w="2017" w:type="dxa"/>
            <w:vMerge/>
          </w:tcPr>
          <w:p w14:paraId="1A01DD52" w14:textId="77777777" w:rsidR="004D1935" w:rsidRDefault="004D1935" w:rsidP="00E24DC9"/>
        </w:tc>
        <w:tc>
          <w:tcPr>
            <w:tcW w:w="1276" w:type="dxa"/>
            <w:vMerge/>
          </w:tcPr>
          <w:p w14:paraId="54945626" w14:textId="77777777" w:rsidR="004D1935" w:rsidRDefault="004D1935" w:rsidP="00E24DC9"/>
        </w:tc>
        <w:tc>
          <w:tcPr>
            <w:tcW w:w="2126" w:type="dxa"/>
            <w:vMerge/>
          </w:tcPr>
          <w:p w14:paraId="59B9D4F5" w14:textId="77777777" w:rsidR="004D1935" w:rsidRDefault="004D1935" w:rsidP="00E24DC9"/>
        </w:tc>
        <w:tc>
          <w:tcPr>
            <w:tcW w:w="6946" w:type="dxa"/>
            <w:vMerge/>
          </w:tcPr>
          <w:p w14:paraId="492B9D16" w14:textId="77777777" w:rsidR="004D1935" w:rsidRDefault="004D1935" w:rsidP="00E24DC9"/>
        </w:tc>
      </w:tr>
      <w:tr w:rsidR="004D1935" w14:paraId="170C5E08" w14:textId="77777777" w:rsidTr="00E24DC9">
        <w:tc>
          <w:tcPr>
            <w:tcW w:w="713" w:type="dxa"/>
            <w:vMerge/>
          </w:tcPr>
          <w:p w14:paraId="1D596271" w14:textId="77777777" w:rsidR="004D1935" w:rsidRDefault="004D1935" w:rsidP="00E24DC9"/>
        </w:tc>
        <w:tc>
          <w:tcPr>
            <w:tcW w:w="809" w:type="dxa"/>
            <w:tcBorders>
              <w:top w:val="nil"/>
              <w:bottom w:val="nil"/>
            </w:tcBorders>
            <w:vAlign w:val="bottom"/>
          </w:tcPr>
          <w:p w14:paraId="09225A20"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309.9541</w:t>
            </w:r>
          </w:p>
        </w:tc>
        <w:tc>
          <w:tcPr>
            <w:tcW w:w="2017" w:type="dxa"/>
            <w:vMerge/>
          </w:tcPr>
          <w:p w14:paraId="05E845A3" w14:textId="77777777" w:rsidR="004D1935" w:rsidRDefault="004D1935" w:rsidP="00E24DC9"/>
        </w:tc>
        <w:tc>
          <w:tcPr>
            <w:tcW w:w="1276" w:type="dxa"/>
            <w:vMerge/>
          </w:tcPr>
          <w:p w14:paraId="3AC420AF" w14:textId="77777777" w:rsidR="004D1935" w:rsidRDefault="004D1935" w:rsidP="00E24DC9"/>
        </w:tc>
        <w:tc>
          <w:tcPr>
            <w:tcW w:w="2126" w:type="dxa"/>
            <w:vMerge/>
          </w:tcPr>
          <w:p w14:paraId="1126A255" w14:textId="77777777" w:rsidR="004D1935" w:rsidRDefault="004D1935" w:rsidP="00E24DC9"/>
        </w:tc>
        <w:tc>
          <w:tcPr>
            <w:tcW w:w="6946" w:type="dxa"/>
            <w:vMerge/>
          </w:tcPr>
          <w:p w14:paraId="122E58AB" w14:textId="77777777" w:rsidR="004D1935" w:rsidRDefault="004D1935" w:rsidP="00E24DC9"/>
        </w:tc>
      </w:tr>
      <w:tr w:rsidR="004D1935" w14:paraId="77D6C309" w14:textId="77777777" w:rsidTr="00E24DC9">
        <w:tc>
          <w:tcPr>
            <w:tcW w:w="713" w:type="dxa"/>
            <w:vMerge/>
          </w:tcPr>
          <w:p w14:paraId="50801E70" w14:textId="77777777" w:rsidR="004D1935" w:rsidRDefault="004D1935" w:rsidP="00E24DC9"/>
        </w:tc>
        <w:tc>
          <w:tcPr>
            <w:tcW w:w="809" w:type="dxa"/>
            <w:tcBorders>
              <w:top w:val="nil"/>
              <w:bottom w:val="nil"/>
            </w:tcBorders>
            <w:vAlign w:val="bottom"/>
          </w:tcPr>
          <w:p w14:paraId="5E1C9E1B"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309.9967</w:t>
            </w:r>
          </w:p>
        </w:tc>
        <w:tc>
          <w:tcPr>
            <w:tcW w:w="2017" w:type="dxa"/>
            <w:vMerge/>
          </w:tcPr>
          <w:p w14:paraId="0AEA4F79" w14:textId="77777777" w:rsidR="004D1935" w:rsidRDefault="004D1935" w:rsidP="00E24DC9"/>
        </w:tc>
        <w:tc>
          <w:tcPr>
            <w:tcW w:w="1276" w:type="dxa"/>
            <w:vMerge/>
          </w:tcPr>
          <w:p w14:paraId="59F78A61" w14:textId="77777777" w:rsidR="004D1935" w:rsidRDefault="004D1935" w:rsidP="00E24DC9"/>
        </w:tc>
        <w:tc>
          <w:tcPr>
            <w:tcW w:w="2126" w:type="dxa"/>
            <w:vMerge/>
          </w:tcPr>
          <w:p w14:paraId="088498A3" w14:textId="77777777" w:rsidR="004D1935" w:rsidRDefault="004D1935" w:rsidP="00E24DC9"/>
        </w:tc>
        <w:tc>
          <w:tcPr>
            <w:tcW w:w="6946" w:type="dxa"/>
            <w:vMerge/>
          </w:tcPr>
          <w:p w14:paraId="61E0602F" w14:textId="77777777" w:rsidR="004D1935" w:rsidRDefault="004D1935" w:rsidP="00E24DC9"/>
        </w:tc>
      </w:tr>
      <w:tr w:rsidR="004D1935" w14:paraId="5830EA6E" w14:textId="77777777" w:rsidTr="00E24DC9">
        <w:tc>
          <w:tcPr>
            <w:tcW w:w="713" w:type="dxa"/>
            <w:vMerge/>
          </w:tcPr>
          <w:p w14:paraId="050539EB" w14:textId="77777777" w:rsidR="004D1935" w:rsidRDefault="004D1935" w:rsidP="00E24DC9"/>
        </w:tc>
        <w:tc>
          <w:tcPr>
            <w:tcW w:w="809" w:type="dxa"/>
            <w:tcBorders>
              <w:top w:val="nil"/>
              <w:bottom w:val="nil"/>
            </w:tcBorders>
            <w:vAlign w:val="bottom"/>
          </w:tcPr>
          <w:p w14:paraId="348B9369"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310.0499</w:t>
            </w:r>
          </w:p>
        </w:tc>
        <w:tc>
          <w:tcPr>
            <w:tcW w:w="2017" w:type="dxa"/>
            <w:vMerge/>
          </w:tcPr>
          <w:p w14:paraId="69A2EEF8" w14:textId="77777777" w:rsidR="004D1935" w:rsidRDefault="004D1935" w:rsidP="00E24DC9"/>
        </w:tc>
        <w:tc>
          <w:tcPr>
            <w:tcW w:w="1276" w:type="dxa"/>
            <w:vMerge/>
          </w:tcPr>
          <w:p w14:paraId="2AB69967" w14:textId="77777777" w:rsidR="004D1935" w:rsidRDefault="004D1935" w:rsidP="00E24DC9"/>
        </w:tc>
        <w:tc>
          <w:tcPr>
            <w:tcW w:w="2126" w:type="dxa"/>
            <w:vMerge/>
          </w:tcPr>
          <w:p w14:paraId="3A27E12E" w14:textId="77777777" w:rsidR="004D1935" w:rsidRDefault="004D1935" w:rsidP="00E24DC9"/>
        </w:tc>
        <w:tc>
          <w:tcPr>
            <w:tcW w:w="6946" w:type="dxa"/>
            <w:vMerge/>
          </w:tcPr>
          <w:p w14:paraId="26F6769B" w14:textId="77777777" w:rsidR="004D1935" w:rsidRDefault="004D1935" w:rsidP="00E24DC9"/>
        </w:tc>
      </w:tr>
      <w:tr w:rsidR="004D1935" w14:paraId="265F3172" w14:textId="77777777" w:rsidTr="00E24DC9">
        <w:tc>
          <w:tcPr>
            <w:tcW w:w="713" w:type="dxa"/>
            <w:vMerge/>
          </w:tcPr>
          <w:p w14:paraId="679E5ACC" w14:textId="77777777" w:rsidR="004D1935" w:rsidRDefault="004D1935" w:rsidP="00E24DC9"/>
        </w:tc>
        <w:tc>
          <w:tcPr>
            <w:tcW w:w="809" w:type="dxa"/>
            <w:tcBorders>
              <w:top w:val="nil"/>
              <w:bottom w:val="nil"/>
            </w:tcBorders>
            <w:vAlign w:val="bottom"/>
          </w:tcPr>
          <w:p w14:paraId="410E1FF9"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309.9847</w:t>
            </w:r>
          </w:p>
        </w:tc>
        <w:tc>
          <w:tcPr>
            <w:tcW w:w="2017" w:type="dxa"/>
            <w:vMerge/>
          </w:tcPr>
          <w:p w14:paraId="55ED6175" w14:textId="77777777" w:rsidR="004D1935" w:rsidRDefault="004D1935" w:rsidP="00E24DC9"/>
        </w:tc>
        <w:tc>
          <w:tcPr>
            <w:tcW w:w="1276" w:type="dxa"/>
            <w:vMerge/>
          </w:tcPr>
          <w:p w14:paraId="0EC0A2B8" w14:textId="77777777" w:rsidR="004D1935" w:rsidRDefault="004D1935" w:rsidP="00E24DC9"/>
        </w:tc>
        <w:tc>
          <w:tcPr>
            <w:tcW w:w="2126" w:type="dxa"/>
            <w:vMerge/>
          </w:tcPr>
          <w:p w14:paraId="0F2F1ED3" w14:textId="77777777" w:rsidR="004D1935" w:rsidRDefault="004D1935" w:rsidP="00E24DC9"/>
        </w:tc>
        <w:tc>
          <w:tcPr>
            <w:tcW w:w="6946" w:type="dxa"/>
            <w:vMerge/>
          </w:tcPr>
          <w:p w14:paraId="1DBE3E0D" w14:textId="77777777" w:rsidR="004D1935" w:rsidRDefault="004D1935" w:rsidP="00E24DC9"/>
        </w:tc>
      </w:tr>
      <w:tr w:rsidR="004D1935" w14:paraId="292BD335" w14:textId="77777777" w:rsidTr="00E24DC9">
        <w:tc>
          <w:tcPr>
            <w:tcW w:w="713" w:type="dxa"/>
            <w:vMerge/>
          </w:tcPr>
          <w:p w14:paraId="2CF8A926" w14:textId="77777777" w:rsidR="004D1935" w:rsidRDefault="004D1935" w:rsidP="00E24DC9"/>
        </w:tc>
        <w:tc>
          <w:tcPr>
            <w:tcW w:w="809" w:type="dxa"/>
            <w:tcBorders>
              <w:top w:val="nil"/>
            </w:tcBorders>
            <w:vAlign w:val="bottom"/>
          </w:tcPr>
          <w:p w14:paraId="5A7DDC43" w14:textId="77777777" w:rsidR="004D1935" w:rsidRPr="005D27EF" w:rsidRDefault="004D1935" w:rsidP="00E24DC9">
            <w:pPr>
              <w:rPr>
                <w:rFonts w:ascii="Calibri" w:hAnsi="Calibri" w:cs="Calibri"/>
                <w:color w:val="000000"/>
                <w:sz w:val="13"/>
                <w:szCs w:val="13"/>
              </w:rPr>
            </w:pPr>
            <w:r w:rsidRPr="005D27EF">
              <w:rPr>
                <w:rFonts w:ascii="Calibri" w:hAnsi="Calibri" w:cs="Calibri"/>
                <w:color w:val="000000"/>
                <w:sz w:val="13"/>
                <w:szCs w:val="13"/>
              </w:rPr>
              <w:t>310.0100</w:t>
            </w:r>
          </w:p>
        </w:tc>
        <w:tc>
          <w:tcPr>
            <w:tcW w:w="2017" w:type="dxa"/>
            <w:vMerge/>
          </w:tcPr>
          <w:p w14:paraId="2977DECB" w14:textId="77777777" w:rsidR="004D1935" w:rsidRDefault="004D1935" w:rsidP="00E24DC9"/>
        </w:tc>
        <w:tc>
          <w:tcPr>
            <w:tcW w:w="1276" w:type="dxa"/>
            <w:vMerge/>
          </w:tcPr>
          <w:p w14:paraId="76AACD29" w14:textId="77777777" w:rsidR="004D1935" w:rsidRDefault="004D1935" w:rsidP="00E24DC9"/>
        </w:tc>
        <w:tc>
          <w:tcPr>
            <w:tcW w:w="2126" w:type="dxa"/>
            <w:vMerge/>
          </w:tcPr>
          <w:p w14:paraId="118D9FAC" w14:textId="77777777" w:rsidR="004D1935" w:rsidRDefault="004D1935" w:rsidP="00E24DC9"/>
        </w:tc>
        <w:tc>
          <w:tcPr>
            <w:tcW w:w="6946" w:type="dxa"/>
            <w:vMerge/>
          </w:tcPr>
          <w:p w14:paraId="0133540B" w14:textId="77777777" w:rsidR="004D1935" w:rsidRDefault="004D1935" w:rsidP="00E24DC9"/>
        </w:tc>
      </w:tr>
    </w:tbl>
    <w:p w14:paraId="11526E5A" w14:textId="77777777" w:rsidR="004D1935" w:rsidRDefault="004D1935" w:rsidP="004D1935"/>
    <w:p w14:paraId="2260265C" w14:textId="6136F1D9" w:rsidR="004D1935" w:rsidRDefault="004D1935" w:rsidP="004D1935">
      <w:pPr>
        <w:autoSpaceDE w:val="0"/>
        <w:autoSpaceDN w:val="0"/>
        <w:adjustRightInd w:val="0"/>
        <w:rPr>
          <w:rFonts w:eastAsiaTheme="minorHAnsi"/>
          <w:sz w:val="16"/>
          <w:szCs w:val="16"/>
        </w:rPr>
      </w:pPr>
      <w:r>
        <w:rPr>
          <w:rFonts w:eastAsiaTheme="minorHAnsi"/>
          <w:sz w:val="16"/>
          <w:szCs w:val="16"/>
        </w:rPr>
        <w:lastRenderedPageBreak/>
        <w:t>Table A 4.10: Discriminant mass bins (335.2) in shoot organic phase and their associated detected masses looking for compound identification accounts for protonated adduct (H) and K , NA</w:t>
      </w:r>
      <w:r w:rsidRPr="00396597">
        <w:rPr>
          <w:rFonts w:eastAsiaTheme="minorHAnsi"/>
          <w:sz w:val="16"/>
          <w:szCs w:val="16"/>
        </w:rPr>
        <w:t xml:space="preserve"> </w:t>
      </w:r>
      <w:r>
        <w:rPr>
          <w:rFonts w:eastAsiaTheme="minorHAnsi"/>
          <w:sz w:val="16"/>
          <w:szCs w:val="16"/>
        </w:rPr>
        <w:t>in positive mode in the analysis. The putatively identified compounds, their chemical groups, and the associated pathways are displayed.</w:t>
      </w:r>
    </w:p>
    <w:p w14:paraId="13E8FB69" w14:textId="77777777" w:rsidR="00D5746C" w:rsidRDefault="00D5746C" w:rsidP="004D1935">
      <w:pPr>
        <w:autoSpaceDE w:val="0"/>
        <w:autoSpaceDN w:val="0"/>
        <w:adjustRightInd w:val="0"/>
        <w:rPr>
          <w:rFonts w:eastAsiaTheme="minorHAnsi"/>
          <w:sz w:val="16"/>
          <w:szCs w:val="16"/>
        </w:rPr>
      </w:pPr>
    </w:p>
    <w:tbl>
      <w:tblPr>
        <w:tblStyle w:val="TableGrid"/>
        <w:tblW w:w="13745" w:type="dxa"/>
        <w:tblLook w:val="04A0" w:firstRow="1" w:lastRow="0" w:firstColumn="1" w:lastColumn="0" w:noHBand="0" w:noVBand="1"/>
      </w:tblPr>
      <w:tblGrid>
        <w:gridCol w:w="643"/>
        <w:gridCol w:w="749"/>
        <w:gridCol w:w="1418"/>
        <w:gridCol w:w="1369"/>
        <w:gridCol w:w="2711"/>
        <w:gridCol w:w="6855"/>
      </w:tblGrid>
      <w:tr w:rsidR="004D1935" w14:paraId="603AF166" w14:textId="77777777" w:rsidTr="00E24DC9">
        <w:tc>
          <w:tcPr>
            <w:tcW w:w="643" w:type="dxa"/>
            <w:vAlign w:val="center"/>
          </w:tcPr>
          <w:p w14:paraId="5DAC6755" w14:textId="77777777" w:rsidR="004D1935" w:rsidRDefault="004D1935" w:rsidP="00E24DC9">
            <w:pPr>
              <w:jc w:val="center"/>
            </w:pPr>
            <w:r w:rsidRPr="00F54137">
              <w:rPr>
                <w:rFonts w:asciiTheme="majorBidi" w:hAnsiTheme="majorBidi" w:cstheme="majorBidi"/>
                <w:color w:val="000000" w:themeColor="text1"/>
                <w:sz w:val="16"/>
                <w:szCs w:val="16"/>
              </w:rPr>
              <w:t>adduct</w:t>
            </w:r>
          </w:p>
        </w:tc>
        <w:tc>
          <w:tcPr>
            <w:tcW w:w="749" w:type="dxa"/>
            <w:tcBorders>
              <w:bottom w:val="single" w:sz="4" w:space="0" w:color="auto"/>
            </w:tcBorders>
            <w:vAlign w:val="center"/>
          </w:tcPr>
          <w:p w14:paraId="3A050A26" w14:textId="77777777" w:rsidR="004D1935" w:rsidRDefault="004D1935" w:rsidP="00E24DC9">
            <w:pPr>
              <w:jc w:val="center"/>
            </w:pPr>
            <w:r w:rsidRPr="00F54137">
              <w:rPr>
                <w:rFonts w:asciiTheme="majorBidi" w:hAnsiTheme="majorBidi" w:cstheme="majorBidi"/>
                <w:color w:val="000000" w:themeColor="text1"/>
                <w:sz w:val="16"/>
                <w:szCs w:val="16"/>
              </w:rPr>
              <w:t>Mass detected</w:t>
            </w:r>
          </w:p>
        </w:tc>
        <w:tc>
          <w:tcPr>
            <w:tcW w:w="1418" w:type="dxa"/>
            <w:vAlign w:val="center"/>
          </w:tcPr>
          <w:p w14:paraId="6E6322ED" w14:textId="77777777" w:rsidR="004D1935" w:rsidRDefault="004D1935" w:rsidP="00E24DC9">
            <w:pPr>
              <w:jc w:val="center"/>
            </w:pPr>
            <w:r w:rsidRPr="00F54137">
              <w:rPr>
                <w:rFonts w:asciiTheme="majorBidi" w:hAnsiTheme="majorBidi" w:cstheme="majorBidi"/>
                <w:color w:val="000000" w:themeColor="text1"/>
                <w:sz w:val="16"/>
                <w:szCs w:val="16"/>
              </w:rPr>
              <w:t>COMPOUNDS NAME</w:t>
            </w:r>
          </w:p>
        </w:tc>
        <w:tc>
          <w:tcPr>
            <w:tcW w:w="1369" w:type="dxa"/>
            <w:vAlign w:val="center"/>
          </w:tcPr>
          <w:p w14:paraId="6C3FD71B" w14:textId="77777777" w:rsidR="004D1935" w:rsidRDefault="004D1935" w:rsidP="00E24DC9">
            <w:pPr>
              <w:jc w:val="center"/>
            </w:pPr>
            <w:r w:rsidRPr="00F54137">
              <w:rPr>
                <w:rFonts w:asciiTheme="majorBidi" w:hAnsiTheme="majorBidi" w:cstheme="majorBidi"/>
                <w:color w:val="000000" w:themeColor="text1"/>
                <w:sz w:val="16"/>
                <w:szCs w:val="16"/>
              </w:rPr>
              <w:t>chemical formula</w:t>
            </w:r>
          </w:p>
        </w:tc>
        <w:tc>
          <w:tcPr>
            <w:tcW w:w="2711" w:type="dxa"/>
            <w:vAlign w:val="center"/>
          </w:tcPr>
          <w:p w14:paraId="682C0E22" w14:textId="77777777" w:rsidR="004D1935" w:rsidRDefault="004D1935" w:rsidP="00E24DC9">
            <w:pPr>
              <w:jc w:val="center"/>
            </w:pPr>
            <w:r w:rsidRPr="00F54137">
              <w:rPr>
                <w:rFonts w:asciiTheme="majorBidi" w:hAnsiTheme="majorBidi" w:cstheme="majorBidi"/>
                <w:color w:val="000000" w:themeColor="text1"/>
                <w:sz w:val="16"/>
                <w:szCs w:val="16"/>
              </w:rPr>
              <w:t>chemical group</w:t>
            </w:r>
          </w:p>
        </w:tc>
        <w:tc>
          <w:tcPr>
            <w:tcW w:w="6855" w:type="dxa"/>
            <w:vAlign w:val="center"/>
          </w:tcPr>
          <w:p w14:paraId="7D271AC5" w14:textId="77777777" w:rsidR="004D1935" w:rsidRDefault="004D1935" w:rsidP="00E24DC9">
            <w:pPr>
              <w:jc w:val="center"/>
            </w:pPr>
            <w:r w:rsidRPr="00F54137">
              <w:rPr>
                <w:rFonts w:asciiTheme="majorBidi" w:hAnsiTheme="majorBidi" w:cstheme="majorBidi"/>
                <w:color w:val="000000" w:themeColor="text1"/>
                <w:sz w:val="16"/>
                <w:szCs w:val="16"/>
              </w:rPr>
              <w:t>pathway</w:t>
            </w:r>
          </w:p>
        </w:tc>
      </w:tr>
      <w:tr w:rsidR="004D1935" w14:paraId="1C9E252F" w14:textId="77777777" w:rsidTr="00E24DC9">
        <w:tc>
          <w:tcPr>
            <w:tcW w:w="643" w:type="dxa"/>
            <w:vMerge w:val="restart"/>
            <w:vAlign w:val="center"/>
          </w:tcPr>
          <w:p w14:paraId="504BBD61" w14:textId="77777777" w:rsidR="004D1935" w:rsidRDefault="004D1935" w:rsidP="00E24DC9">
            <w:pPr>
              <w:jc w:val="center"/>
            </w:pPr>
          </w:p>
        </w:tc>
        <w:tc>
          <w:tcPr>
            <w:tcW w:w="749" w:type="dxa"/>
            <w:tcBorders>
              <w:bottom w:val="nil"/>
            </w:tcBorders>
            <w:vAlign w:val="center"/>
          </w:tcPr>
          <w:p w14:paraId="04AD1E97" w14:textId="77777777" w:rsidR="004D1935" w:rsidRDefault="004D1935" w:rsidP="00E24DC9">
            <w:pPr>
              <w:jc w:val="center"/>
            </w:pPr>
            <w:r w:rsidRPr="00C419D2">
              <w:rPr>
                <w:rFonts w:ascii="Calibri" w:hAnsi="Calibri" w:cs="Calibri"/>
                <w:color w:val="000000"/>
                <w:sz w:val="13"/>
                <w:szCs w:val="13"/>
              </w:rPr>
              <w:t>335.1070</w:t>
            </w:r>
          </w:p>
        </w:tc>
        <w:tc>
          <w:tcPr>
            <w:tcW w:w="1418" w:type="dxa"/>
            <w:vMerge w:val="restart"/>
            <w:vAlign w:val="center"/>
          </w:tcPr>
          <w:p w14:paraId="007B2D00" w14:textId="77777777" w:rsidR="004D1935" w:rsidRPr="00B0721F" w:rsidRDefault="00000000" w:rsidP="00E24DC9">
            <w:pPr>
              <w:jc w:val="center"/>
              <w:rPr>
                <w:color w:val="000000" w:themeColor="text1"/>
              </w:rPr>
            </w:pPr>
            <w:hyperlink r:id="rId100" w:history="1">
              <w:r w:rsidR="004D1935" w:rsidRPr="00B0721F">
                <w:rPr>
                  <w:rFonts w:ascii="Calibri" w:hAnsi="Calibri" w:cs="Calibri"/>
                  <w:color w:val="000000" w:themeColor="text1"/>
                  <w:sz w:val="13"/>
                  <w:szCs w:val="13"/>
                </w:rPr>
                <w:t>isopentenyl adenosine</w:t>
              </w:r>
            </w:hyperlink>
          </w:p>
          <w:p w14:paraId="1079F793" w14:textId="77777777" w:rsidR="004D1935" w:rsidRPr="00B0721F" w:rsidRDefault="00000000" w:rsidP="00E24DC9">
            <w:pPr>
              <w:jc w:val="center"/>
              <w:rPr>
                <w:color w:val="000000" w:themeColor="text1"/>
              </w:rPr>
            </w:pPr>
            <w:hyperlink r:id="rId101" w:history="1">
              <w:r w:rsidR="004D1935" w:rsidRPr="00B0721F">
                <w:rPr>
                  <w:rFonts w:ascii="Calibri" w:hAnsi="Calibri" w:cs="Calibri"/>
                  <w:color w:val="000000" w:themeColor="text1"/>
                  <w:sz w:val="13"/>
                  <w:szCs w:val="13"/>
                </w:rPr>
                <w:t>senecionine</w:t>
              </w:r>
            </w:hyperlink>
          </w:p>
          <w:p w14:paraId="321B7A14" w14:textId="77777777" w:rsidR="004D1935" w:rsidRPr="00B0721F" w:rsidRDefault="00000000" w:rsidP="00E24DC9">
            <w:pPr>
              <w:jc w:val="center"/>
              <w:rPr>
                <w:color w:val="000000" w:themeColor="text1"/>
              </w:rPr>
            </w:pPr>
            <w:hyperlink r:id="rId102" w:history="1">
              <w:r w:rsidR="004D1935" w:rsidRPr="00B0721F">
                <w:rPr>
                  <w:rFonts w:ascii="Calibri" w:hAnsi="Calibri" w:cs="Calibri"/>
                  <w:color w:val="000000" w:themeColor="text1"/>
                  <w:sz w:val="13"/>
                  <w:szCs w:val="13"/>
                </w:rPr>
                <w:t>strychnine</w:t>
              </w:r>
            </w:hyperlink>
          </w:p>
        </w:tc>
        <w:tc>
          <w:tcPr>
            <w:tcW w:w="1369" w:type="dxa"/>
            <w:vMerge w:val="restart"/>
            <w:vAlign w:val="center"/>
          </w:tcPr>
          <w:p w14:paraId="63270EAB" w14:textId="77777777" w:rsidR="004D1935" w:rsidRPr="00B0721F" w:rsidRDefault="004D1935" w:rsidP="00E24DC9">
            <w:pPr>
              <w:jc w:val="center"/>
              <w:rPr>
                <w:rFonts w:ascii="Verdana" w:hAnsi="Verdana" w:cs="Calibri"/>
                <w:color w:val="000000" w:themeColor="text1"/>
                <w:sz w:val="15"/>
                <w:szCs w:val="15"/>
              </w:rPr>
            </w:pPr>
          </w:p>
          <w:p w14:paraId="6C6A9D8F" w14:textId="77777777" w:rsidR="004D1935" w:rsidRPr="00B0721F" w:rsidRDefault="004D1935" w:rsidP="00E24DC9">
            <w:pPr>
              <w:jc w:val="center"/>
              <w:rPr>
                <w:color w:val="000000" w:themeColor="text1"/>
                <w:sz w:val="15"/>
                <w:szCs w:val="15"/>
              </w:rPr>
            </w:pPr>
            <w:r w:rsidRPr="00B0721F">
              <w:rPr>
                <w:rFonts w:ascii="Arial" w:hAnsi="Arial" w:cs="Arial"/>
                <w:color w:val="000000" w:themeColor="text1"/>
                <w:sz w:val="15"/>
                <w:szCs w:val="15"/>
                <w:shd w:val="clear" w:color="auto" w:fill="FFFFFF"/>
              </w:rPr>
              <w:t>C</w:t>
            </w:r>
            <w:r w:rsidRPr="00B0721F">
              <w:rPr>
                <w:rFonts w:ascii="Arial" w:hAnsi="Arial" w:cs="Arial"/>
                <w:color w:val="000000" w:themeColor="text1"/>
                <w:sz w:val="15"/>
                <w:szCs w:val="15"/>
                <w:shd w:val="clear" w:color="auto" w:fill="FFFFFF"/>
                <w:vertAlign w:val="subscript"/>
              </w:rPr>
              <w:t>15</w:t>
            </w:r>
            <w:r w:rsidRPr="00B0721F">
              <w:rPr>
                <w:rFonts w:ascii="Arial" w:hAnsi="Arial" w:cs="Arial"/>
                <w:color w:val="000000" w:themeColor="text1"/>
                <w:sz w:val="15"/>
                <w:szCs w:val="15"/>
                <w:shd w:val="clear" w:color="auto" w:fill="FFFFFF"/>
              </w:rPr>
              <w:t>H</w:t>
            </w:r>
            <w:r w:rsidRPr="00B0721F">
              <w:rPr>
                <w:rFonts w:ascii="Arial" w:hAnsi="Arial" w:cs="Arial"/>
                <w:color w:val="000000" w:themeColor="text1"/>
                <w:sz w:val="15"/>
                <w:szCs w:val="15"/>
                <w:shd w:val="clear" w:color="auto" w:fill="FFFFFF"/>
                <w:vertAlign w:val="subscript"/>
              </w:rPr>
              <w:t>21</w:t>
            </w:r>
            <w:r w:rsidRPr="00B0721F">
              <w:rPr>
                <w:rFonts w:ascii="Arial" w:hAnsi="Arial" w:cs="Arial"/>
                <w:color w:val="000000" w:themeColor="text1"/>
                <w:sz w:val="15"/>
                <w:szCs w:val="15"/>
                <w:shd w:val="clear" w:color="auto" w:fill="FFFFFF"/>
              </w:rPr>
              <w:t>N</w:t>
            </w:r>
            <w:r w:rsidRPr="00B0721F">
              <w:rPr>
                <w:rFonts w:ascii="Arial" w:hAnsi="Arial" w:cs="Arial"/>
                <w:color w:val="000000" w:themeColor="text1"/>
                <w:sz w:val="15"/>
                <w:szCs w:val="15"/>
                <w:shd w:val="clear" w:color="auto" w:fill="FFFFFF"/>
                <w:vertAlign w:val="subscript"/>
              </w:rPr>
              <w:t>5</w:t>
            </w:r>
            <w:r w:rsidRPr="00B0721F">
              <w:rPr>
                <w:rFonts w:ascii="Arial" w:hAnsi="Arial" w:cs="Arial"/>
                <w:color w:val="000000" w:themeColor="text1"/>
                <w:sz w:val="15"/>
                <w:szCs w:val="15"/>
                <w:shd w:val="clear" w:color="auto" w:fill="FFFFFF"/>
              </w:rPr>
              <w:t>O</w:t>
            </w:r>
            <w:r w:rsidRPr="00B0721F">
              <w:rPr>
                <w:rFonts w:ascii="Arial" w:hAnsi="Arial" w:cs="Arial"/>
                <w:color w:val="000000" w:themeColor="text1"/>
                <w:sz w:val="15"/>
                <w:szCs w:val="15"/>
                <w:shd w:val="clear" w:color="auto" w:fill="FFFFFF"/>
                <w:vertAlign w:val="subscript"/>
              </w:rPr>
              <w:t>4</w:t>
            </w:r>
          </w:p>
          <w:p w14:paraId="512B5A9A" w14:textId="77777777" w:rsidR="004D1935" w:rsidRPr="00B0721F" w:rsidRDefault="004D1935" w:rsidP="00E24DC9">
            <w:pPr>
              <w:jc w:val="center"/>
              <w:rPr>
                <w:color w:val="000000" w:themeColor="text1"/>
                <w:sz w:val="15"/>
                <w:szCs w:val="15"/>
              </w:rPr>
            </w:pPr>
            <w:r w:rsidRPr="00B0721F">
              <w:rPr>
                <w:rFonts w:ascii="Arial" w:hAnsi="Arial" w:cs="Arial"/>
                <w:color w:val="000000" w:themeColor="text1"/>
                <w:sz w:val="15"/>
                <w:szCs w:val="15"/>
                <w:shd w:val="clear" w:color="auto" w:fill="FFFFFF"/>
              </w:rPr>
              <w:t>C</w:t>
            </w:r>
            <w:r w:rsidRPr="00B0721F">
              <w:rPr>
                <w:rFonts w:ascii="Arial" w:hAnsi="Arial" w:cs="Arial"/>
                <w:color w:val="000000" w:themeColor="text1"/>
                <w:sz w:val="15"/>
                <w:szCs w:val="15"/>
                <w:shd w:val="clear" w:color="auto" w:fill="FFFFFF"/>
                <w:vertAlign w:val="subscript"/>
              </w:rPr>
              <w:t>18</w:t>
            </w:r>
            <w:r w:rsidRPr="00B0721F">
              <w:rPr>
                <w:rFonts w:ascii="Arial" w:hAnsi="Arial" w:cs="Arial"/>
                <w:color w:val="000000" w:themeColor="text1"/>
                <w:sz w:val="15"/>
                <w:szCs w:val="15"/>
                <w:shd w:val="clear" w:color="auto" w:fill="FFFFFF"/>
              </w:rPr>
              <w:t>H</w:t>
            </w:r>
            <w:r w:rsidRPr="00B0721F">
              <w:rPr>
                <w:rFonts w:ascii="Arial" w:hAnsi="Arial" w:cs="Arial"/>
                <w:color w:val="000000" w:themeColor="text1"/>
                <w:sz w:val="15"/>
                <w:szCs w:val="15"/>
                <w:shd w:val="clear" w:color="auto" w:fill="FFFFFF"/>
                <w:vertAlign w:val="subscript"/>
              </w:rPr>
              <w:t>25</w:t>
            </w:r>
            <w:r w:rsidRPr="00B0721F">
              <w:rPr>
                <w:rFonts w:ascii="Arial" w:hAnsi="Arial" w:cs="Arial"/>
                <w:color w:val="000000" w:themeColor="text1"/>
                <w:sz w:val="15"/>
                <w:szCs w:val="15"/>
                <w:shd w:val="clear" w:color="auto" w:fill="FFFFFF"/>
              </w:rPr>
              <w:t>NO</w:t>
            </w:r>
            <w:r w:rsidRPr="00B0721F">
              <w:rPr>
                <w:rFonts w:ascii="Arial" w:hAnsi="Arial" w:cs="Arial"/>
                <w:color w:val="000000" w:themeColor="text1"/>
                <w:sz w:val="15"/>
                <w:szCs w:val="15"/>
                <w:shd w:val="clear" w:color="auto" w:fill="FFFFFF"/>
                <w:vertAlign w:val="subscript"/>
              </w:rPr>
              <w:t>5</w:t>
            </w:r>
          </w:p>
          <w:p w14:paraId="073FB644" w14:textId="77777777" w:rsidR="004D1935" w:rsidRPr="00B0721F" w:rsidRDefault="004D1935" w:rsidP="00E24DC9">
            <w:pPr>
              <w:jc w:val="center"/>
              <w:rPr>
                <w:color w:val="000000" w:themeColor="text1"/>
                <w:sz w:val="15"/>
                <w:szCs w:val="15"/>
              </w:rPr>
            </w:pPr>
            <w:r w:rsidRPr="00B0721F">
              <w:rPr>
                <w:rFonts w:ascii="Arial" w:hAnsi="Arial" w:cs="Arial"/>
                <w:color w:val="000000" w:themeColor="text1"/>
                <w:sz w:val="15"/>
                <w:szCs w:val="15"/>
                <w:shd w:val="clear" w:color="auto" w:fill="FFFFFF"/>
              </w:rPr>
              <w:t>C</w:t>
            </w:r>
            <w:r w:rsidRPr="00B0721F">
              <w:rPr>
                <w:rFonts w:ascii="Arial" w:hAnsi="Arial" w:cs="Arial"/>
                <w:color w:val="000000" w:themeColor="text1"/>
                <w:sz w:val="15"/>
                <w:szCs w:val="15"/>
                <w:shd w:val="clear" w:color="auto" w:fill="FFFFFF"/>
                <w:vertAlign w:val="subscript"/>
              </w:rPr>
              <w:t>21</w:t>
            </w:r>
            <w:r w:rsidRPr="00B0721F">
              <w:rPr>
                <w:rFonts w:ascii="Arial" w:hAnsi="Arial" w:cs="Arial"/>
                <w:color w:val="000000" w:themeColor="text1"/>
                <w:sz w:val="15"/>
                <w:szCs w:val="15"/>
                <w:shd w:val="clear" w:color="auto" w:fill="FFFFFF"/>
              </w:rPr>
              <w:t>H</w:t>
            </w:r>
            <w:r w:rsidRPr="00B0721F">
              <w:rPr>
                <w:rFonts w:ascii="Arial" w:hAnsi="Arial" w:cs="Arial"/>
                <w:color w:val="000000" w:themeColor="text1"/>
                <w:sz w:val="15"/>
                <w:szCs w:val="15"/>
                <w:shd w:val="clear" w:color="auto" w:fill="FFFFFF"/>
                <w:vertAlign w:val="subscript"/>
              </w:rPr>
              <w:t>23</w:t>
            </w:r>
            <w:r w:rsidRPr="00B0721F">
              <w:rPr>
                <w:rFonts w:ascii="Arial" w:hAnsi="Arial" w:cs="Arial"/>
                <w:color w:val="000000" w:themeColor="text1"/>
                <w:sz w:val="15"/>
                <w:szCs w:val="15"/>
                <w:shd w:val="clear" w:color="auto" w:fill="FFFFFF"/>
              </w:rPr>
              <w:t>N</w:t>
            </w:r>
            <w:r w:rsidRPr="00B0721F">
              <w:rPr>
                <w:rFonts w:ascii="Arial" w:hAnsi="Arial" w:cs="Arial"/>
                <w:color w:val="000000" w:themeColor="text1"/>
                <w:sz w:val="15"/>
                <w:szCs w:val="15"/>
                <w:shd w:val="clear" w:color="auto" w:fill="FFFFFF"/>
                <w:vertAlign w:val="subscript"/>
              </w:rPr>
              <w:t>2</w:t>
            </w:r>
            <w:r w:rsidRPr="00B0721F">
              <w:rPr>
                <w:rFonts w:ascii="Arial" w:hAnsi="Arial" w:cs="Arial"/>
                <w:color w:val="000000" w:themeColor="text1"/>
                <w:sz w:val="15"/>
                <w:szCs w:val="15"/>
                <w:shd w:val="clear" w:color="auto" w:fill="FFFFFF"/>
              </w:rPr>
              <w:t>O</w:t>
            </w:r>
            <w:r w:rsidRPr="00B0721F">
              <w:rPr>
                <w:rFonts w:ascii="Arial" w:hAnsi="Arial" w:cs="Arial"/>
                <w:color w:val="000000" w:themeColor="text1"/>
                <w:sz w:val="15"/>
                <w:szCs w:val="15"/>
                <w:shd w:val="clear" w:color="auto" w:fill="FFFFFF"/>
                <w:vertAlign w:val="subscript"/>
              </w:rPr>
              <w:t>2</w:t>
            </w:r>
          </w:p>
          <w:p w14:paraId="32400CE5" w14:textId="77777777" w:rsidR="004D1935" w:rsidRPr="00B0721F" w:rsidRDefault="004D1935" w:rsidP="00E24DC9">
            <w:pPr>
              <w:jc w:val="center"/>
              <w:rPr>
                <w:color w:val="000000" w:themeColor="text1"/>
              </w:rPr>
            </w:pPr>
          </w:p>
        </w:tc>
        <w:tc>
          <w:tcPr>
            <w:tcW w:w="2711" w:type="dxa"/>
            <w:vMerge w:val="restart"/>
            <w:vAlign w:val="center"/>
          </w:tcPr>
          <w:p w14:paraId="5E3B7DE3" w14:textId="77777777" w:rsidR="004D1935" w:rsidRPr="00B0721F" w:rsidRDefault="004D1935" w:rsidP="00E24DC9">
            <w:pPr>
              <w:jc w:val="center"/>
              <w:rPr>
                <w:color w:val="000000" w:themeColor="text1"/>
              </w:rPr>
            </w:pPr>
            <w:r w:rsidRPr="00B0721F">
              <w:rPr>
                <w:rFonts w:ascii="Calibri" w:hAnsi="Calibri" w:cs="Calibri"/>
                <w:color w:val="000000" w:themeColor="text1"/>
                <w:sz w:val="13"/>
                <w:szCs w:val="13"/>
              </w:rPr>
              <w:t>alkaloid/purine</w:t>
            </w:r>
          </w:p>
          <w:p w14:paraId="2B595F5C" w14:textId="77777777" w:rsidR="004D1935" w:rsidRPr="00B0721F" w:rsidRDefault="004D1935" w:rsidP="00E24DC9">
            <w:pPr>
              <w:jc w:val="center"/>
              <w:rPr>
                <w:color w:val="000000" w:themeColor="text1"/>
              </w:rPr>
            </w:pPr>
            <w:r w:rsidRPr="00B0721F">
              <w:rPr>
                <w:rFonts w:ascii="Calibri" w:hAnsi="Calibri" w:cs="Calibri"/>
                <w:color w:val="000000" w:themeColor="text1"/>
                <w:sz w:val="13"/>
                <w:szCs w:val="13"/>
              </w:rPr>
              <w:t>alkaloid</w:t>
            </w:r>
          </w:p>
          <w:p w14:paraId="1EAC037F" w14:textId="77777777" w:rsidR="004D1935" w:rsidRPr="00B0721F" w:rsidRDefault="004D1935" w:rsidP="00E24DC9">
            <w:pPr>
              <w:jc w:val="center"/>
              <w:rPr>
                <w:color w:val="000000" w:themeColor="text1"/>
              </w:rPr>
            </w:pPr>
            <w:r w:rsidRPr="00B0721F">
              <w:rPr>
                <w:rFonts w:ascii="Calibri" w:hAnsi="Calibri" w:cs="Calibri"/>
                <w:color w:val="000000" w:themeColor="text1"/>
                <w:sz w:val="13"/>
                <w:szCs w:val="13"/>
              </w:rPr>
              <w:t>alkaloid</w:t>
            </w:r>
          </w:p>
        </w:tc>
        <w:tc>
          <w:tcPr>
            <w:tcW w:w="6855" w:type="dxa"/>
            <w:vMerge w:val="restart"/>
            <w:vAlign w:val="center"/>
          </w:tcPr>
          <w:p w14:paraId="480EE605" w14:textId="77777777" w:rsidR="004D1935" w:rsidRPr="00B0721F" w:rsidRDefault="004D1935" w:rsidP="00E24DC9">
            <w:pPr>
              <w:jc w:val="center"/>
              <w:rPr>
                <w:color w:val="000000" w:themeColor="text1"/>
              </w:rPr>
            </w:pPr>
            <w:r w:rsidRPr="00B0721F">
              <w:rPr>
                <w:rFonts w:ascii="Verdana" w:hAnsi="Verdana" w:cs="Calibri"/>
                <w:color w:val="000000" w:themeColor="text1"/>
                <w:sz w:val="11"/>
                <w:szCs w:val="11"/>
              </w:rPr>
              <w:t>Zeatin biosynthesis/ Shikimate pathway/jasmonic acid biosynthesis/Riboflavin/Flavanone/Flavonoid biosynthesis</w:t>
            </w:r>
          </w:p>
          <w:p w14:paraId="7E9B2135" w14:textId="77777777" w:rsidR="004D1935" w:rsidRPr="00B0721F" w:rsidRDefault="004D1935" w:rsidP="00E24DC9">
            <w:pPr>
              <w:jc w:val="center"/>
              <w:rPr>
                <w:color w:val="000000" w:themeColor="text1"/>
              </w:rPr>
            </w:pPr>
            <w:r w:rsidRPr="00B0721F">
              <w:rPr>
                <w:rFonts w:ascii="Verdana" w:hAnsi="Verdana" w:cs="Calibri"/>
                <w:color w:val="000000" w:themeColor="text1"/>
                <w:sz w:val="11"/>
                <w:szCs w:val="11"/>
              </w:rPr>
              <w:t>Tropane, piperidine and pyridine alkaloid biosynthesis/ Shikimate pathway/jasmonic acid biosynthesis/Riboflavin/Flavanone/Flavonoid biosynthesis</w:t>
            </w:r>
          </w:p>
          <w:p w14:paraId="2055F4D4" w14:textId="77777777" w:rsidR="004D1935" w:rsidRPr="00B0721F" w:rsidRDefault="004D1935" w:rsidP="00E24DC9">
            <w:pPr>
              <w:jc w:val="center"/>
              <w:rPr>
                <w:color w:val="000000" w:themeColor="text1"/>
              </w:rPr>
            </w:pPr>
            <w:r w:rsidRPr="00B0721F">
              <w:rPr>
                <w:rFonts w:ascii="Calibri" w:hAnsi="Calibri" w:cs="Calibri"/>
                <w:color w:val="000000" w:themeColor="text1"/>
                <w:sz w:val="11"/>
                <w:szCs w:val="11"/>
              </w:rPr>
              <w:t>Biosynthesis of alkaloids derived from shikimate pathway jasmonic acid biosynthesis/Riboflavin/Flavanone/Flavonoid biosynthesis</w:t>
            </w:r>
          </w:p>
        </w:tc>
      </w:tr>
      <w:tr w:rsidR="004D1935" w14:paraId="746E9830" w14:textId="77777777" w:rsidTr="00E24DC9">
        <w:tc>
          <w:tcPr>
            <w:tcW w:w="643" w:type="dxa"/>
            <w:vMerge/>
            <w:vAlign w:val="center"/>
          </w:tcPr>
          <w:p w14:paraId="7A055071" w14:textId="77777777" w:rsidR="004D1935" w:rsidRDefault="004D1935" w:rsidP="00E24DC9">
            <w:pPr>
              <w:jc w:val="center"/>
            </w:pPr>
          </w:p>
        </w:tc>
        <w:tc>
          <w:tcPr>
            <w:tcW w:w="749" w:type="dxa"/>
            <w:tcBorders>
              <w:top w:val="nil"/>
              <w:bottom w:val="nil"/>
            </w:tcBorders>
            <w:vAlign w:val="center"/>
          </w:tcPr>
          <w:p w14:paraId="38EBED1F" w14:textId="77777777" w:rsidR="004D1935" w:rsidRDefault="004D1935" w:rsidP="00E24DC9">
            <w:pPr>
              <w:jc w:val="center"/>
            </w:pPr>
            <w:r w:rsidRPr="00C419D2">
              <w:rPr>
                <w:rFonts w:ascii="Calibri" w:hAnsi="Calibri" w:cs="Calibri"/>
                <w:color w:val="000000"/>
                <w:sz w:val="13"/>
                <w:szCs w:val="13"/>
              </w:rPr>
              <w:t>335.1631</w:t>
            </w:r>
          </w:p>
        </w:tc>
        <w:tc>
          <w:tcPr>
            <w:tcW w:w="1418" w:type="dxa"/>
            <w:vMerge/>
            <w:vAlign w:val="center"/>
          </w:tcPr>
          <w:p w14:paraId="4DF491A8" w14:textId="77777777" w:rsidR="004D1935" w:rsidRPr="00B0721F" w:rsidRDefault="004D1935" w:rsidP="00E24DC9">
            <w:pPr>
              <w:jc w:val="center"/>
              <w:rPr>
                <w:color w:val="000000" w:themeColor="text1"/>
              </w:rPr>
            </w:pPr>
          </w:p>
        </w:tc>
        <w:tc>
          <w:tcPr>
            <w:tcW w:w="1369" w:type="dxa"/>
            <w:vMerge/>
            <w:vAlign w:val="center"/>
          </w:tcPr>
          <w:p w14:paraId="3A84BA3D" w14:textId="77777777" w:rsidR="004D1935" w:rsidRPr="00B0721F" w:rsidRDefault="004D1935" w:rsidP="00E24DC9">
            <w:pPr>
              <w:jc w:val="center"/>
              <w:rPr>
                <w:color w:val="000000" w:themeColor="text1"/>
              </w:rPr>
            </w:pPr>
          </w:p>
        </w:tc>
        <w:tc>
          <w:tcPr>
            <w:tcW w:w="2711" w:type="dxa"/>
            <w:vMerge/>
            <w:vAlign w:val="center"/>
          </w:tcPr>
          <w:p w14:paraId="10E998B2" w14:textId="77777777" w:rsidR="004D1935" w:rsidRPr="00B0721F" w:rsidRDefault="004D1935" w:rsidP="00E24DC9">
            <w:pPr>
              <w:jc w:val="center"/>
              <w:rPr>
                <w:color w:val="000000" w:themeColor="text1"/>
              </w:rPr>
            </w:pPr>
          </w:p>
        </w:tc>
        <w:tc>
          <w:tcPr>
            <w:tcW w:w="6855" w:type="dxa"/>
            <w:vMerge/>
            <w:vAlign w:val="center"/>
          </w:tcPr>
          <w:p w14:paraId="6C9392AB" w14:textId="77777777" w:rsidR="004D1935" w:rsidRPr="00B0721F" w:rsidRDefault="004D1935" w:rsidP="00E24DC9">
            <w:pPr>
              <w:jc w:val="center"/>
              <w:rPr>
                <w:color w:val="000000" w:themeColor="text1"/>
              </w:rPr>
            </w:pPr>
          </w:p>
        </w:tc>
      </w:tr>
      <w:tr w:rsidR="004D1935" w14:paraId="50BD4EE2" w14:textId="77777777" w:rsidTr="00E24DC9">
        <w:tc>
          <w:tcPr>
            <w:tcW w:w="643" w:type="dxa"/>
            <w:vMerge/>
            <w:vAlign w:val="center"/>
          </w:tcPr>
          <w:p w14:paraId="51D16332" w14:textId="77777777" w:rsidR="004D1935" w:rsidRDefault="004D1935" w:rsidP="00E24DC9">
            <w:pPr>
              <w:jc w:val="center"/>
            </w:pPr>
          </w:p>
        </w:tc>
        <w:tc>
          <w:tcPr>
            <w:tcW w:w="749" w:type="dxa"/>
            <w:tcBorders>
              <w:top w:val="nil"/>
              <w:bottom w:val="nil"/>
            </w:tcBorders>
            <w:vAlign w:val="center"/>
          </w:tcPr>
          <w:p w14:paraId="68D75572" w14:textId="77777777" w:rsidR="004D1935" w:rsidRDefault="004D1935" w:rsidP="00E24DC9">
            <w:pPr>
              <w:jc w:val="center"/>
            </w:pPr>
            <w:r w:rsidRPr="00C419D2">
              <w:rPr>
                <w:rFonts w:ascii="Calibri" w:hAnsi="Calibri" w:cs="Calibri"/>
                <w:color w:val="000000"/>
                <w:sz w:val="13"/>
                <w:szCs w:val="13"/>
              </w:rPr>
              <w:t>335.2031</w:t>
            </w:r>
          </w:p>
        </w:tc>
        <w:tc>
          <w:tcPr>
            <w:tcW w:w="1418" w:type="dxa"/>
            <w:vMerge/>
            <w:vAlign w:val="center"/>
          </w:tcPr>
          <w:p w14:paraId="27F5DFEA" w14:textId="77777777" w:rsidR="004D1935" w:rsidRPr="00B0721F" w:rsidRDefault="004D1935" w:rsidP="00E24DC9">
            <w:pPr>
              <w:jc w:val="center"/>
              <w:rPr>
                <w:color w:val="000000" w:themeColor="text1"/>
              </w:rPr>
            </w:pPr>
          </w:p>
        </w:tc>
        <w:tc>
          <w:tcPr>
            <w:tcW w:w="1369" w:type="dxa"/>
            <w:vMerge/>
            <w:vAlign w:val="center"/>
          </w:tcPr>
          <w:p w14:paraId="1E9BE442" w14:textId="77777777" w:rsidR="004D1935" w:rsidRPr="00B0721F" w:rsidRDefault="004D1935" w:rsidP="00E24DC9">
            <w:pPr>
              <w:jc w:val="center"/>
              <w:rPr>
                <w:color w:val="000000" w:themeColor="text1"/>
              </w:rPr>
            </w:pPr>
          </w:p>
        </w:tc>
        <w:tc>
          <w:tcPr>
            <w:tcW w:w="2711" w:type="dxa"/>
            <w:vMerge/>
            <w:vAlign w:val="center"/>
          </w:tcPr>
          <w:p w14:paraId="5D90800E" w14:textId="77777777" w:rsidR="004D1935" w:rsidRPr="00B0721F" w:rsidRDefault="004D1935" w:rsidP="00E24DC9">
            <w:pPr>
              <w:jc w:val="center"/>
              <w:rPr>
                <w:color w:val="000000" w:themeColor="text1"/>
              </w:rPr>
            </w:pPr>
          </w:p>
        </w:tc>
        <w:tc>
          <w:tcPr>
            <w:tcW w:w="6855" w:type="dxa"/>
            <w:vMerge/>
            <w:vAlign w:val="center"/>
          </w:tcPr>
          <w:p w14:paraId="0B8D8F40" w14:textId="77777777" w:rsidR="004D1935" w:rsidRPr="00B0721F" w:rsidRDefault="004D1935" w:rsidP="00E24DC9">
            <w:pPr>
              <w:jc w:val="center"/>
              <w:rPr>
                <w:color w:val="000000" w:themeColor="text1"/>
              </w:rPr>
            </w:pPr>
          </w:p>
        </w:tc>
      </w:tr>
      <w:tr w:rsidR="004D1935" w14:paraId="2B88530E" w14:textId="77777777" w:rsidTr="00E24DC9">
        <w:tc>
          <w:tcPr>
            <w:tcW w:w="643" w:type="dxa"/>
            <w:vMerge/>
            <w:vAlign w:val="center"/>
          </w:tcPr>
          <w:p w14:paraId="09881CA1" w14:textId="77777777" w:rsidR="004D1935" w:rsidRDefault="004D1935" w:rsidP="00E24DC9">
            <w:pPr>
              <w:jc w:val="center"/>
            </w:pPr>
          </w:p>
        </w:tc>
        <w:tc>
          <w:tcPr>
            <w:tcW w:w="749" w:type="dxa"/>
            <w:tcBorders>
              <w:top w:val="nil"/>
              <w:bottom w:val="nil"/>
            </w:tcBorders>
            <w:vAlign w:val="center"/>
          </w:tcPr>
          <w:p w14:paraId="45BF0EE0" w14:textId="77777777" w:rsidR="004D1935" w:rsidRDefault="004D1935" w:rsidP="00E24DC9">
            <w:pPr>
              <w:jc w:val="center"/>
            </w:pPr>
            <w:r w:rsidRPr="00C419D2">
              <w:rPr>
                <w:rFonts w:ascii="Calibri" w:hAnsi="Calibri" w:cs="Calibri"/>
                <w:color w:val="000000"/>
                <w:sz w:val="13"/>
                <w:szCs w:val="13"/>
              </w:rPr>
              <w:t>335.2431</w:t>
            </w:r>
          </w:p>
        </w:tc>
        <w:tc>
          <w:tcPr>
            <w:tcW w:w="1418" w:type="dxa"/>
            <w:vMerge/>
            <w:vAlign w:val="center"/>
          </w:tcPr>
          <w:p w14:paraId="4DAA7EAA" w14:textId="77777777" w:rsidR="004D1935" w:rsidRPr="00B0721F" w:rsidRDefault="004D1935" w:rsidP="00E24DC9">
            <w:pPr>
              <w:jc w:val="center"/>
              <w:rPr>
                <w:color w:val="000000" w:themeColor="text1"/>
              </w:rPr>
            </w:pPr>
          </w:p>
        </w:tc>
        <w:tc>
          <w:tcPr>
            <w:tcW w:w="1369" w:type="dxa"/>
            <w:vMerge/>
            <w:vAlign w:val="center"/>
          </w:tcPr>
          <w:p w14:paraId="20CA310D" w14:textId="77777777" w:rsidR="004D1935" w:rsidRPr="00B0721F" w:rsidRDefault="004D1935" w:rsidP="00E24DC9">
            <w:pPr>
              <w:jc w:val="center"/>
              <w:rPr>
                <w:color w:val="000000" w:themeColor="text1"/>
              </w:rPr>
            </w:pPr>
          </w:p>
        </w:tc>
        <w:tc>
          <w:tcPr>
            <w:tcW w:w="2711" w:type="dxa"/>
            <w:vMerge/>
            <w:vAlign w:val="center"/>
          </w:tcPr>
          <w:p w14:paraId="07C88BC7" w14:textId="77777777" w:rsidR="004D1935" w:rsidRPr="00B0721F" w:rsidRDefault="004D1935" w:rsidP="00E24DC9">
            <w:pPr>
              <w:jc w:val="center"/>
              <w:rPr>
                <w:color w:val="000000" w:themeColor="text1"/>
              </w:rPr>
            </w:pPr>
          </w:p>
        </w:tc>
        <w:tc>
          <w:tcPr>
            <w:tcW w:w="6855" w:type="dxa"/>
            <w:vMerge/>
            <w:vAlign w:val="center"/>
          </w:tcPr>
          <w:p w14:paraId="33A712C8" w14:textId="77777777" w:rsidR="004D1935" w:rsidRPr="00B0721F" w:rsidRDefault="004D1935" w:rsidP="00E24DC9">
            <w:pPr>
              <w:jc w:val="center"/>
              <w:rPr>
                <w:color w:val="000000" w:themeColor="text1"/>
              </w:rPr>
            </w:pPr>
          </w:p>
        </w:tc>
      </w:tr>
      <w:tr w:rsidR="004D1935" w14:paraId="2573D884" w14:textId="77777777" w:rsidTr="00E24DC9">
        <w:tc>
          <w:tcPr>
            <w:tcW w:w="643" w:type="dxa"/>
            <w:vMerge/>
            <w:vAlign w:val="center"/>
          </w:tcPr>
          <w:p w14:paraId="27E7161B" w14:textId="77777777" w:rsidR="004D1935" w:rsidRDefault="004D1935" w:rsidP="00E24DC9">
            <w:pPr>
              <w:jc w:val="center"/>
            </w:pPr>
          </w:p>
        </w:tc>
        <w:tc>
          <w:tcPr>
            <w:tcW w:w="749" w:type="dxa"/>
            <w:tcBorders>
              <w:top w:val="nil"/>
              <w:bottom w:val="nil"/>
            </w:tcBorders>
            <w:vAlign w:val="center"/>
          </w:tcPr>
          <w:p w14:paraId="6747D15D" w14:textId="77777777" w:rsidR="004D1935" w:rsidRDefault="004D1935" w:rsidP="00E24DC9">
            <w:pPr>
              <w:jc w:val="center"/>
            </w:pPr>
            <w:r w:rsidRPr="00C419D2">
              <w:rPr>
                <w:rFonts w:ascii="Calibri" w:hAnsi="Calibri" w:cs="Calibri"/>
                <w:color w:val="000000"/>
                <w:sz w:val="13"/>
                <w:szCs w:val="13"/>
              </w:rPr>
              <w:t>335.2831</w:t>
            </w:r>
          </w:p>
        </w:tc>
        <w:tc>
          <w:tcPr>
            <w:tcW w:w="1418" w:type="dxa"/>
            <w:vMerge/>
            <w:vAlign w:val="center"/>
          </w:tcPr>
          <w:p w14:paraId="4937C888" w14:textId="77777777" w:rsidR="004D1935" w:rsidRPr="00B0721F" w:rsidRDefault="004D1935" w:rsidP="00E24DC9">
            <w:pPr>
              <w:jc w:val="center"/>
              <w:rPr>
                <w:color w:val="000000" w:themeColor="text1"/>
              </w:rPr>
            </w:pPr>
          </w:p>
        </w:tc>
        <w:tc>
          <w:tcPr>
            <w:tcW w:w="1369" w:type="dxa"/>
            <w:vMerge/>
            <w:vAlign w:val="center"/>
          </w:tcPr>
          <w:p w14:paraId="7C14EAE2" w14:textId="77777777" w:rsidR="004D1935" w:rsidRPr="00B0721F" w:rsidRDefault="004D1935" w:rsidP="00E24DC9">
            <w:pPr>
              <w:jc w:val="center"/>
              <w:rPr>
                <w:color w:val="000000" w:themeColor="text1"/>
              </w:rPr>
            </w:pPr>
          </w:p>
        </w:tc>
        <w:tc>
          <w:tcPr>
            <w:tcW w:w="2711" w:type="dxa"/>
            <w:vMerge/>
            <w:vAlign w:val="center"/>
          </w:tcPr>
          <w:p w14:paraId="4983EC5E" w14:textId="77777777" w:rsidR="004D1935" w:rsidRPr="00B0721F" w:rsidRDefault="004D1935" w:rsidP="00E24DC9">
            <w:pPr>
              <w:jc w:val="center"/>
              <w:rPr>
                <w:color w:val="000000" w:themeColor="text1"/>
              </w:rPr>
            </w:pPr>
          </w:p>
        </w:tc>
        <w:tc>
          <w:tcPr>
            <w:tcW w:w="6855" w:type="dxa"/>
            <w:vMerge/>
            <w:vAlign w:val="center"/>
          </w:tcPr>
          <w:p w14:paraId="650FAD2F" w14:textId="77777777" w:rsidR="004D1935" w:rsidRPr="00B0721F" w:rsidRDefault="004D1935" w:rsidP="00E24DC9">
            <w:pPr>
              <w:jc w:val="center"/>
              <w:rPr>
                <w:color w:val="000000" w:themeColor="text1"/>
              </w:rPr>
            </w:pPr>
          </w:p>
        </w:tc>
      </w:tr>
      <w:tr w:rsidR="004D1935" w14:paraId="29C6C34E" w14:textId="77777777" w:rsidTr="00E24DC9">
        <w:tc>
          <w:tcPr>
            <w:tcW w:w="643" w:type="dxa"/>
            <w:vMerge/>
            <w:vAlign w:val="center"/>
          </w:tcPr>
          <w:p w14:paraId="6845FDC4" w14:textId="77777777" w:rsidR="004D1935" w:rsidRDefault="004D1935" w:rsidP="00E24DC9">
            <w:pPr>
              <w:jc w:val="center"/>
            </w:pPr>
          </w:p>
        </w:tc>
        <w:tc>
          <w:tcPr>
            <w:tcW w:w="749" w:type="dxa"/>
            <w:tcBorders>
              <w:top w:val="nil"/>
              <w:bottom w:val="nil"/>
            </w:tcBorders>
            <w:vAlign w:val="center"/>
          </w:tcPr>
          <w:p w14:paraId="602542C9" w14:textId="77777777" w:rsidR="004D1935" w:rsidRDefault="004D1935" w:rsidP="00E24DC9">
            <w:pPr>
              <w:jc w:val="center"/>
            </w:pPr>
            <w:r w:rsidRPr="00C419D2">
              <w:rPr>
                <w:rFonts w:ascii="Calibri" w:hAnsi="Calibri" w:cs="Calibri"/>
                <w:color w:val="000000"/>
                <w:sz w:val="13"/>
                <w:szCs w:val="13"/>
              </w:rPr>
              <w:t>335.1604</w:t>
            </w:r>
          </w:p>
        </w:tc>
        <w:tc>
          <w:tcPr>
            <w:tcW w:w="1418" w:type="dxa"/>
            <w:vMerge/>
            <w:vAlign w:val="center"/>
          </w:tcPr>
          <w:p w14:paraId="107FF928" w14:textId="77777777" w:rsidR="004D1935" w:rsidRPr="00B0721F" w:rsidRDefault="004D1935" w:rsidP="00E24DC9">
            <w:pPr>
              <w:jc w:val="center"/>
              <w:rPr>
                <w:color w:val="000000" w:themeColor="text1"/>
              </w:rPr>
            </w:pPr>
          </w:p>
        </w:tc>
        <w:tc>
          <w:tcPr>
            <w:tcW w:w="1369" w:type="dxa"/>
            <w:vMerge/>
            <w:vAlign w:val="center"/>
          </w:tcPr>
          <w:p w14:paraId="188628BC" w14:textId="77777777" w:rsidR="004D1935" w:rsidRPr="00B0721F" w:rsidRDefault="004D1935" w:rsidP="00E24DC9">
            <w:pPr>
              <w:jc w:val="center"/>
              <w:rPr>
                <w:color w:val="000000" w:themeColor="text1"/>
              </w:rPr>
            </w:pPr>
          </w:p>
        </w:tc>
        <w:tc>
          <w:tcPr>
            <w:tcW w:w="2711" w:type="dxa"/>
            <w:vMerge/>
            <w:vAlign w:val="center"/>
          </w:tcPr>
          <w:p w14:paraId="6DD5666C" w14:textId="77777777" w:rsidR="004D1935" w:rsidRPr="00B0721F" w:rsidRDefault="004D1935" w:rsidP="00E24DC9">
            <w:pPr>
              <w:jc w:val="center"/>
              <w:rPr>
                <w:color w:val="000000" w:themeColor="text1"/>
              </w:rPr>
            </w:pPr>
          </w:p>
        </w:tc>
        <w:tc>
          <w:tcPr>
            <w:tcW w:w="6855" w:type="dxa"/>
            <w:vMerge/>
            <w:vAlign w:val="center"/>
          </w:tcPr>
          <w:p w14:paraId="2EC72AEE" w14:textId="77777777" w:rsidR="004D1935" w:rsidRPr="00B0721F" w:rsidRDefault="004D1935" w:rsidP="00E24DC9">
            <w:pPr>
              <w:jc w:val="center"/>
              <w:rPr>
                <w:color w:val="000000" w:themeColor="text1"/>
              </w:rPr>
            </w:pPr>
          </w:p>
        </w:tc>
      </w:tr>
      <w:tr w:rsidR="004D1935" w14:paraId="4DC399B0" w14:textId="77777777" w:rsidTr="00E24DC9">
        <w:tc>
          <w:tcPr>
            <w:tcW w:w="643" w:type="dxa"/>
            <w:vMerge/>
            <w:vAlign w:val="center"/>
          </w:tcPr>
          <w:p w14:paraId="493F4ED1" w14:textId="77777777" w:rsidR="004D1935" w:rsidRDefault="004D1935" w:rsidP="00E24DC9">
            <w:pPr>
              <w:jc w:val="center"/>
            </w:pPr>
          </w:p>
        </w:tc>
        <w:tc>
          <w:tcPr>
            <w:tcW w:w="749" w:type="dxa"/>
            <w:tcBorders>
              <w:top w:val="nil"/>
              <w:bottom w:val="nil"/>
            </w:tcBorders>
            <w:vAlign w:val="center"/>
          </w:tcPr>
          <w:p w14:paraId="1CBF8CB5" w14:textId="77777777" w:rsidR="004D1935" w:rsidRDefault="004D1935" w:rsidP="00E24DC9">
            <w:pPr>
              <w:jc w:val="center"/>
            </w:pPr>
            <w:r w:rsidRPr="00C419D2">
              <w:rPr>
                <w:rFonts w:ascii="Calibri" w:hAnsi="Calibri" w:cs="Calibri"/>
                <w:color w:val="000000"/>
                <w:sz w:val="13"/>
                <w:szCs w:val="13"/>
              </w:rPr>
              <w:t>335.2004</w:t>
            </w:r>
          </w:p>
        </w:tc>
        <w:tc>
          <w:tcPr>
            <w:tcW w:w="1418" w:type="dxa"/>
            <w:vMerge/>
            <w:vAlign w:val="center"/>
          </w:tcPr>
          <w:p w14:paraId="7B85BAFD" w14:textId="77777777" w:rsidR="004D1935" w:rsidRPr="00B0721F" w:rsidRDefault="004D1935" w:rsidP="00E24DC9">
            <w:pPr>
              <w:jc w:val="center"/>
              <w:rPr>
                <w:color w:val="000000" w:themeColor="text1"/>
              </w:rPr>
            </w:pPr>
          </w:p>
        </w:tc>
        <w:tc>
          <w:tcPr>
            <w:tcW w:w="1369" w:type="dxa"/>
            <w:vMerge/>
            <w:vAlign w:val="center"/>
          </w:tcPr>
          <w:p w14:paraId="546387CD" w14:textId="77777777" w:rsidR="004D1935" w:rsidRPr="00B0721F" w:rsidRDefault="004D1935" w:rsidP="00E24DC9">
            <w:pPr>
              <w:jc w:val="center"/>
              <w:rPr>
                <w:color w:val="000000" w:themeColor="text1"/>
              </w:rPr>
            </w:pPr>
          </w:p>
        </w:tc>
        <w:tc>
          <w:tcPr>
            <w:tcW w:w="2711" w:type="dxa"/>
            <w:vMerge/>
            <w:vAlign w:val="center"/>
          </w:tcPr>
          <w:p w14:paraId="095DA21C" w14:textId="77777777" w:rsidR="004D1935" w:rsidRPr="00B0721F" w:rsidRDefault="004D1935" w:rsidP="00E24DC9">
            <w:pPr>
              <w:jc w:val="center"/>
              <w:rPr>
                <w:color w:val="000000" w:themeColor="text1"/>
              </w:rPr>
            </w:pPr>
          </w:p>
        </w:tc>
        <w:tc>
          <w:tcPr>
            <w:tcW w:w="6855" w:type="dxa"/>
            <w:vMerge/>
            <w:vAlign w:val="center"/>
          </w:tcPr>
          <w:p w14:paraId="6820CF75" w14:textId="77777777" w:rsidR="004D1935" w:rsidRPr="00B0721F" w:rsidRDefault="004D1935" w:rsidP="00E24DC9">
            <w:pPr>
              <w:jc w:val="center"/>
              <w:rPr>
                <w:color w:val="000000" w:themeColor="text1"/>
              </w:rPr>
            </w:pPr>
          </w:p>
        </w:tc>
      </w:tr>
      <w:tr w:rsidR="004D1935" w14:paraId="5B9EC32A" w14:textId="77777777" w:rsidTr="00E24DC9">
        <w:tc>
          <w:tcPr>
            <w:tcW w:w="643" w:type="dxa"/>
            <w:vMerge/>
            <w:vAlign w:val="center"/>
          </w:tcPr>
          <w:p w14:paraId="63EBDB23" w14:textId="77777777" w:rsidR="004D1935" w:rsidRDefault="004D1935" w:rsidP="00E24DC9">
            <w:pPr>
              <w:jc w:val="center"/>
            </w:pPr>
          </w:p>
        </w:tc>
        <w:tc>
          <w:tcPr>
            <w:tcW w:w="749" w:type="dxa"/>
            <w:tcBorders>
              <w:top w:val="nil"/>
              <w:bottom w:val="nil"/>
            </w:tcBorders>
            <w:vAlign w:val="center"/>
          </w:tcPr>
          <w:p w14:paraId="6A42C4A0" w14:textId="77777777" w:rsidR="004D1935" w:rsidRDefault="004D1935" w:rsidP="00E24DC9">
            <w:pPr>
              <w:jc w:val="center"/>
            </w:pPr>
            <w:r w:rsidRPr="00C419D2">
              <w:rPr>
                <w:rFonts w:ascii="Calibri" w:hAnsi="Calibri" w:cs="Calibri"/>
                <w:color w:val="000000"/>
                <w:sz w:val="13"/>
                <w:szCs w:val="13"/>
              </w:rPr>
              <w:t>335.2404</w:t>
            </w:r>
          </w:p>
        </w:tc>
        <w:tc>
          <w:tcPr>
            <w:tcW w:w="1418" w:type="dxa"/>
            <w:vMerge/>
            <w:vAlign w:val="center"/>
          </w:tcPr>
          <w:p w14:paraId="1E7E1215" w14:textId="77777777" w:rsidR="004D1935" w:rsidRPr="00B0721F" w:rsidRDefault="004D1935" w:rsidP="00E24DC9">
            <w:pPr>
              <w:jc w:val="center"/>
              <w:rPr>
                <w:color w:val="000000" w:themeColor="text1"/>
              </w:rPr>
            </w:pPr>
          </w:p>
        </w:tc>
        <w:tc>
          <w:tcPr>
            <w:tcW w:w="1369" w:type="dxa"/>
            <w:vMerge/>
            <w:vAlign w:val="center"/>
          </w:tcPr>
          <w:p w14:paraId="65886EF1" w14:textId="77777777" w:rsidR="004D1935" w:rsidRPr="00B0721F" w:rsidRDefault="004D1935" w:rsidP="00E24DC9">
            <w:pPr>
              <w:jc w:val="center"/>
              <w:rPr>
                <w:color w:val="000000" w:themeColor="text1"/>
              </w:rPr>
            </w:pPr>
          </w:p>
        </w:tc>
        <w:tc>
          <w:tcPr>
            <w:tcW w:w="2711" w:type="dxa"/>
            <w:vMerge/>
            <w:vAlign w:val="center"/>
          </w:tcPr>
          <w:p w14:paraId="3E15000C" w14:textId="77777777" w:rsidR="004D1935" w:rsidRPr="00B0721F" w:rsidRDefault="004D1935" w:rsidP="00E24DC9">
            <w:pPr>
              <w:jc w:val="center"/>
              <w:rPr>
                <w:color w:val="000000" w:themeColor="text1"/>
              </w:rPr>
            </w:pPr>
          </w:p>
        </w:tc>
        <w:tc>
          <w:tcPr>
            <w:tcW w:w="6855" w:type="dxa"/>
            <w:vMerge/>
            <w:vAlign w:val="center"/>
          </w:tcPr>
          <w:p w14:paraId="46AFA6CC" w14:textId="77777777" w:rsidR="004D1935" w:rsidRPr="00B0721F" w:rsidRDefault="004D1935" w:rsidP="00E24DC9">
            <w:pPr>
              <w:jc w:val="center"/>
              <w:rPr>
                <w:color w:val="000000" w:themeColor="text1"/>
              </w:rPr>
            </w:pPr>
          </w:p>
        </w:tc>
      </w:tr>
      <w:tr w:rsidR="004D1935" w14:paraId="51B190D3" w14:textId="77777777" w:rsidTr="00E24DC9">
        <w:tc>
          <w:tcPr>
            <w:tcW w:w="643" w:type="dxa"/>
            <w:vMerge/>
            <w:vAlign w:val="center"/>
          </w:tcPr>
          <w:p w14:paraId="74B2010A" w14:textId="77777777" w:rsidR="004D1935" w:rsidRDefault="004D1935" w:rsidP="00E24DC9">
            <w:pPr>
              <w:jc w:val="center"/>
            </w:pPr>
          </w:p>
        </w:tc>
        <w:tc>
          <w:tcPr>
            <w:tcW w:w="749" w:type="dxa"/>
            <w:tcBorders>
              <w:top w:val="nil"/>
              <w:bottom w:val="nil"/>
            </w:tcBorders>
            <w:vAlign w:val="center"/>
          </w:tcPr>
          <w:p w14:paraId="6BDED437" w14:textId="77777777" w:rsidR="004D1935" w:rsidRDefault="004D1935" w:rsidP="00E24DC9">
            <w:pPr>
              <w:jc w:val="center"/>
            </w:pPr>
            <w:r w:rsidRPr="00C419D2">
              <w:rPr>
                <w:rFonts w:ascii="Calibri" w:hAnsi="Calibri" w:cs="Calibri"/>
                <w:color w:val="000000"/>
                <w:sz w:val="13"/>
                <w:szCs w:val="13"/>
              </w:rPr>
              <w:t>335.2804</w:t>
            </w:r>
          </w:p>
        </w:tc>
        <w:tc>
          <w:tcPr>
            <w:tcW w:w="1418" w:type="dxa"/>
            <w:vMerge/>
            <w:vAlign w:val="center"/>
          </w:tcPr>
          <w:p w14:paraId="5E803E49" w14:textId="77777777" w:rsidR="004D1935" w:rsidRPr="00B0721F" w:rsidRDefault="004D1935" w:rsidP="00E24DC9">
            <w:pPr>
              <w:jc w:val="center"/>
              <w:rPr>
                <w:color w:val="000000" w:themeColor="text1"/>
              </w:rPr>
            </w:pPr>
          </w:p>
        </w:tc>
        <w:tc>
          <w:tcPr>
            <w:tcW w:w="1369" w:type="dxa"/>
            <w:vMerge/>
            <w:vAlign w:val="center"/>
          </w:tcPr>
          <w:p w14:paraId="78E25D8B" w14:textId="77777777" w:rsidR="004D1935" w:rsidRPr="00B0721F" w:rsidRDefault="004D1935" w:rsidP="00E24DC9">
            <w:pPr>
              <w:jc w:val="center"/>
              <w:rPr>
                <w:color w:val="000000" w:themeColor="text1"/>
              </w:rPr>
            </w:pPr>
          </w:p>
        </w:tc>
        <w:tc>
          <w:tcPr>
            <w:tcW w:w="2711" w:type="dxa"/>
            <w:vMerge/>
            <w:vAlign w:val="center"/>
          </w:tcPr>
          <w:p w14:paraId="1F2B9456" w14:textId="77777777" w:rsidR="004D1935" w:rsidRPr="00B0721F" w:rsidRDefault="004D1935" w:rsidP="00E24DC9">
            <w:pPr>
              <w:jc w:val="center"/>
              <w:rPr>
                <w:color w:val="000000" w:themeColor="text1"/>
              </w:rPr>
            </w:pPr>
          </w:p>
        </w:tc>
        <w:tc>
          <w:tcPr>
            <w:tcW w:w="6855" w:type="dxa"/>
            <w:vMerge/>
            <w:vAlign w:val="center"/>
          </w:tcPr>
          <w:p w14:paraId="65E65E03" w14:textId="77777777" w:rsidR="004D1935" w:rsidRPr="00B0721F" w:rsidRDefault="004D1935" w:rsidP="00E24DC9">
            <w:pPr>
              <w:jc w:val="center"/>
              <w:rPr>
                <w:color w:val="000000" w:themeColor="text1"/>
              </w:rPr>
            </w:pPr>
          </w:p>
        </w:tc>
      </w:tr>
      <w:tr w:rsidR="004D1935" w14:paraId="6264913F" w14:textId="77777777" w:rsidTr="00E24DC9">
        <w:tc>
          <w:tcPr>
            <w:tcW w:w="643" w:type="dxa"/>
            <w:vMerge/>
            <w:vAlign w:val="center"/>
          </w:tcPr>
          <w:p w14:paraId="240DD289" w14:textId="77777777" w:rsidR="004D1935" w:rsidRDefault="004D1935" w:rsidP="00E24DC9">
            <w:pPr>
              <w:jc w:val="center"/>
            </w:pPr>
          </w:p>
        </w:tc>
        <w:tc>
          <w:tcPr>
            <w:tcW w:w="749" w:type="dxa"/>
            <w:tcBorders>
              <w:top w:val="nil"/>
              <w:bottom w:val="nil"/>
            </w:tcBorders>
            <w:vAlign w:val="center"/>
          </w:tcPr>
          <w:p w14:paraId="41528A1E" w14:textId="77777777" w:rsidR="004D1935" w:rsidRDefault="004D1935" w:rsidP="00E24DC9">
            <w:pPr>
              <w:jc w:val="center"/>
            </w:pPr>
            <w:r w:rsidRPr="00C419D2">
              <w:rPr>
                <w:rFonts w:ascii="Calibri" w:hAnsi="Calibri" w:cs="Calibri"/>
                <w:color w:val="000000"/>
                <w:sz w:val="13"/>
                <w:szCs w:val="13"/>
              </w:rPr>
              <w:t>335.1577</w:t>
            </w:r>
          </w:p>
        </w:tc>
        <w:tc>
          <w:tcPr>
            <w:tcW w:w="1418" w:type="dxa"/>
            <w:vMerge/>
            <w:vAlign w:val="center"/>
          </w:tcPr>
          <w:p w14:paraId="16896B28" w14:textId="77777777" w:rsidR="004D1935" w:rsidRPr="00B0721F" w:rsidRDefault="004D1935" w:rsidP="00E24DC9">
            <w:pPr>
              <w:jc w:val="center"/>
              <w:rPr>
                <w:color w:val="000000" w:themeColor="text1"/>
              </w:rPr>
            </w:pPr>
          </w:p>
        </w:tc>
        <w:tc>
          <w:tcPr>
            <w:tcW w:w="1369" w:type="dxa"/>
            <w:vMerge/>
            <w:vAlign w:val="center"/>
          </w:tcPr>
          <w:p w14:paraId="30E0913C" w14:textId="77777777" w:rsidR="004D1935" w:rsidRPr="00B0721F" w:rsidRDefault="004D1935" w:rsidP="00E24DC9">
            <w:pPr>
              <w:jc w:val="center"/>
              <w:rPr>
                <w:color w:val="000000" w:themeColor="text1"/>
              </w:rPr>
            </w:pPr>
          </w:p>
        </w:tc>
        <w:tc>
          <w:tcPr>
            <w:tcW w:w="2711" w:type="dxa"/>
            <w:vMerge/>
            <w:vAlign w:val="center"/>
          </w:tcPr>
          <w:p w14:paraId="32306B03" w14:textId="77777777" w:rsidR="004D1935" w:rsidRPr="00B0721F" w:rsidRDefault="004D1935" w:rsidP="00E24DC9">
            <w:pPr>
              <w:jc w:val="center"/>
              <w:rPr>
                <w:color w:val="000000" w:themeColor="text1"/>
              </w:rPr>
            </w:pPr>
          </w:p>
        </w:tc>
        <w:tc>
          <w:tcPr>
            <w:tcW w:w="6855" w:type="dxa"/>
            <w:vMerge/>
            <w:vAlign w:val="center"/>
          </w:tcPr>
          <w:p w14:paraId="06861F1F" w14:textId="77777777" w:rsidR="004D1935" w:rsidRPr="00B0721F" w:rsidRDefault="004D1935" w:rsidP="00E24DC9">
            <w:pPr>
              <w:jc w:val="center"/>
              <w:rPr>
                <w:color w:val="000000" w:themeColor="text1"/>
              </w:rPr>
            </w:pPr>
          </w:p>
        </w:tc>
      </w:tr>
      <w:tr w:rsidR="004D1935" w14:paraId="0F2DB5AE" w14:textId="77777777" w:rsidTr="00E24DC9">
        <w:tc>
          <w:tcPr>
            <w:tcW w:w="643" w:type="dxa"/>
            <w:vMerge/>
            <w:vAlign w:val="center"/>
          </w:tcPr>
          <w:p w14:paraId="47250570" w14:textId="77777777" w:rsidR="004D1935" w:rsidRDefault="004D1935" w:rsidP="00E24DC9">
            <w:pPr>
              <w:jc w:val="center"/>
            </w:pPr>
          </w:p>
        </w:tc>
        <w:tc>
          <w:tcPr>
            <w:tcW w:w="749" w:type="dxa"/>
            <w:tcBorders>
              <w:top w:val="nil"/>
              <w:bottom w:val="nil"/>
            </w:tcBorders>
            <w:vAlign w:val="center"/>
          </w:tcPr>
          <w:p w14:paraId="724E7493" w14:textId="77777777" w:rsidR="004D1935" w:rsidRDefault="004D1935" w:rsidP="00E24DC9">
            <w:pPr>
              <w:jc w:val="center"/>
            </w:pPr>
            <w:r w:rsidRPr="00C419D2">
              <w:rPr>
                <w:rFonts w:ascii="Calibri" w:hAnsi="Calibri" w:cs="Calibri"/>
                <w:color w:val="000000"/>
                <w:sz w:val="13"/>
                <w:szCs w:val="13"/>
              </w:rPr>
              <w:t>335.1978</w:t>
            </w:r>
          </w:p>
        </w:tc>
        <w:tc>
          <w:tcPr>
            <w:tcW w:w="1418" w:type="dxa"/>
            <w:vMerge/>
            <w:vAlign w:val="center"/>
          </w:tcPr>
          <w:p w14:paraId="46DB11E7" w14:textId="77777777" w:rsidR="004D1935" w:rsidRPr="00B0721F" w:rsidRDefault="004D1935" w:rsidP="00E24DC9">
            <w:pPr>
              <w:jc w:val="center"/>
              <w:rPr>
                <w:color w:val="000000" w:themeColor="text1"/>
              </w:rPr>
            </w:pPr>
          </w:p>
        </w:tc>
        <w:tc>
          <w:tcPr>
            <w:tcW w:w="1369" w:type="dxa"/>
            <w:vMerge/>
            <w:vAlign w:val="center"/>
          </w:tcPr>
          <w:p w14:paraId="5D4AB756" w14:textId="77777777" w:rsidR="004D1935" w:rsidRPr="00B0721F" w:rsidRDefault="004D1935" w:rsidP="00E24DC9">
            <w:pPr>
              <w:jc w:val="center"/>
              <w:rPr>
                <w:color w:val="000000" w:themeColor="text1"/>
              </w:rPr>
            </w:pPr>
          </w:p>
        </w:tc>
        <w:tc>
          <w:tcPr>
            <w:tcW w:w="2711" w:type="dxa"/>
            <w:vMerge/>
            <w:vAlign w:val="center"/>
          </w:tcPr>
          <w:p w14:paraId="16685814" w14:textId="77777777" w:rsidR="004D1935" w:rsidRPr="00B0721F" w:rsidRDefault="004D1935" w:rsidP="00E24DC9">
            <w:pPr>
              <w:jc w:val="center"/>
              <w:rPr>
                <w:color w:val="000000" w:themeColor="text1"/>
              </w:rPr>
            </w:pPr>
          </w:p>
        </w:tc>
        <w:tc>
          <w:tcPr>
            <w:tcW w:w="6855" w:type="dxa"/>
            <w:vMerge/>
            <w:vAlign w:val="center"/>
          </w:tcPr>
          <w:p w14:paraId="3C07B814" w14:textId="77777777" w:rsidR="004D1935" w:rsidRPr="00B0721F" w:rsidRDefault="004D1935" w:rsidP="00E24DC9">
            <w:pPr>
              <w:jc w:val="center"/>
              <w:rPr>
                <w:color w:val="000000" w:themeColor="text1"/>
              </w:rPr>
            </w:pPr>
          </w:p>
        </w:tc>
      </w:tr>
      <w:tr w:rsidR="004D1935" w14:paraId="78DF8E34" w14:textId="77777777" w:rsidTr="00E24DC9">
        <w:tc>
          <w:tcPr>
            <w:tcW w:w="643" w:type="dxa"/>
            <w:vMerge/>
            <w:vAlign w:val="center"/>
          </w:tcPr>
          <w:p w14:paraId="679F8297" w14:textId="77777777" w:rsidR="004D1935" w:rsidRDefault="004D1935" w:rsidP="00E24DC9">
            <w:pPr>
              <w:jc w:val="center"/>
            </w:pPr>
          </w:p>
        </w:tc>
        <w:tc>
          <w:tcPr>
            <w:tcW w:w="749" w:type="dxa"/>
            <w:tcBorders>
              <w:top w:val="nil"/>
              <w:bottom w:val="nil"/>
            </w:tcBorders>
            <w:vAlign w:val="center"/>
          </w:tcPr>
          <w:p w14:paraId="6D61C567" w14:textId="77777777" w:rsidR="004D1935" w:rsidRDefault="004D1935" w:rsidP="00E24DC9">
            <w:pPr>
              <w:jc w:val="center"/>
            </w:pPr>
            <w:r w:rsidRPr="00C419D2">
              <w:rPr>
                <w:rFonts w:ascii="Calibri" w:hAnsi="Calibri" w:cs="Calibri"/>
                <w:color w:val="000000"/>
                <w:sz w:val="13"/>
                <w:szCs w:val="13"/>
              </w:rPr>
              <w:t>335.2378</w:t>
            </w:r>
          </w:p>
        </w:tc>
        <w:tc>
          <w:tcPr>
            <w:tcW w:w="1418" w:type="dxa"/>
            <w:vMerge/>
            <w:vAlign w:val="center"/>
          </w:tcPr>
          <w:p w14:paraId="5ADEE57F" w14:textId="77777777" w:rsidR="004D1935" w:rsidRPr="00B0721F" w:rsidRDefault="004D1935" w:rsidP="00E24DC9">
            <w:pPr>
              <w:jc w:val="center"/>
              <w:rPr>
                <w:color w:val="000000" w:themeColor="text1"/>
              </w:rPr>
            </w:pPr>
          </w:p>
        </w:tc>
        <w:tc>
          <w:tcPr>
            <w:tcW w:w="1369" w:type="dxa"/>
            <w:vMerge/>
            <w:vAlign w:val="center"/>
          </w:tcPr>
          <w:p w14:paraId="34171453" w14:textId="77777777" w:rsidR="004D1935" w:rsidRPr="00B0721F" w:rsidRDefault="004D1935" w:rsidP="00E24DC9">
            <w:pPr>
              <w:jc w:val="center"/>
              <w:rPr>
                <w:color w:val="000000" w:themeColor="text1"/>
              </w:rPr>
            </w:pPr>
          </w:p>
        </w:tc>
        <w:tc>
          <w:tcPr>
            <w:tcW w:w="2711" w:type="dxa"/>
            <w:vMerge/>
            <w:vAlign w:val="center"/>
          </w:tcPr>
          <w:p w14:paraId="74739029" w14:textId="77777777" w:rsidR="004D1935" w:rsidRPr="00B0721F" w:rsidRDefault="004D1935" w:rsidP="00E24DC9">
            <w:pPr>
              <w:jc w:val="center"/>
              <w:rPr>
                <w:color w:val="000000" w:themeColor="text1"/>
              </w:rPr>
            </w:pPr>
          </w:p>
        </w:tc>
        <w:tc>
          <w:tcPr>
            <w:tcW w:w="6855" w:type="dxa"/>
            <w:vMerge/>
            <w:vAlign w:val="center"/>
          </w:tcPr>
          <w:p w14:paraId="106E7733" w14:textId="77777777" w:rsidR="004D1935" w:rsidRPr="00B0721F" w:rsidRDefault="004D1935" w:rsidP="00E24DC9">
            <w:pPr>
              <w:jc w:val="center"/>
              <w:rPr>
                <w:color w:val="000000" w:themeColor="text1"/>
              </w:rPr>
            </w:pPr>
          </w:p>
        </w:tc>
      </w:tr>
      <w:tr w:rsidR="004D1935" w14:paraId="3FA4365F" w14:textId="77777777" w:rsidTr="00E24DC9">
        <w:tc>
          <w:tcPr>
            <w:tcW w:w="643" w:type="dxa"/>
            <w:vMerge/>
            <w:vAlign w:val="center"/>
          </w:tcPr>
          <w:p w14:paraId="335F6750" w14:textId="77777777" w:rsidR="004D1935" w:rsidRDefault="004D1935" w:rsidP="00E24DC9">
            <w:pPr>
              <w:jc w:val="center"/>
            </w:pPr>
          </w:p>
        </w:tc>
        <w:tc>
          <w:tcPr>
            <w:tcW w:w="749" w:type="dxa"/>
            <w:tcBorders>
              <w:top w:val="nil"/>
              <w:bottom w:val="nil"/>
            </w:tcBorders>
            <w:vAlign w:val="center"/>
          </w:tcPr>
          <w:p w14:paraId="6E0B3CCE" w14:textId="77777777" w:rsidR="004D1935" w:rsidRDefault="004D1935" w:rsidP="00E24DC9">
            <w:pPr>
              <w:jc w:val="center"/>
            </w:pPr>
            <w:r w:rsidRPr="00C419D2">
              <w:rPr>
                <w:rFonts w:ascii="Calibri" w:hAnsi="Calibri" w:cs="Calibri"/>
                <w:color w:val="000000"/>
                <w:sz w:val="13"/>
                <w:szCs w:val="13"/>
              </w:rPr>
              <w:t>335.2778</w:t>
            </w:r>
          </w:p>
        </w:tc>
        <w:tc>
          <w:tcPr>
            <w:tcW w:w="1418" w:type="dxa"/>
            <w:vMerge/>
            <w:vAlign w:val="center"/>
          </w:tcPr>
          <w:p w14:paraId="40289562" w14:textId="77777777" w:rsidR="004D1935" w:rsidRPr="00B0721F" w:rsidRDefault="004D1935" w:rsidP="00E24DC9">
            <w:pPr>
              <w:jc w:val="center"/>
              <w:rPr>
                <w:color w:val="000000" w:themeColor="text1"/>
              </w:rPr>
            </w:pPr>
          </w:p>
        </w:tc>
        <w:tc>
          <w:tcPr>
            <w:tcW w:w="1369" w:type="dxa"/>
            <w:vMerge/>
            <w:vAlign w:val="center"/>
          </w:tcPr>
          <w:p w14:paraId="6FF7B5D4" w14:textId="77777777" w:rsidR="004D1935" w:rsidRPr="00B0721F" w:rsidRDefault="004D1935" w:rsidP="00E24DC9">
            <w:pPr>
              <w:jc w:val="center"/>
              <w:rPr>
                <w:color w:val="000000" w:themeColor="text1"/>
              </w:rPr>
            </w:pPr>
          </w:p>
        </w:tc>
        <w:tc>
          <w:tcPr>
            <w:tcW w:w="2711" w:type="dxa"/>
            <w:vMerge/>
            <w:vAlign w:val="center"/>
          </w:tcPr>
          <w:p w14:paraId="0D076F12" w14:textId="77777777" w:rsidR="004D1935" w:rsidRPr="00B0721F" w:rsidRDefault="004D1935" w:rsidP="00E24DC9">
            <w:pPr>
              <w:jc w:val="center"/>
              <w:rPr>
                <w:color w:val="000000" w:themeColor="text1"/>
              </w:rPr>
            </w:pPr>
          </w:p>
        </w:tc>
        <w:tc>
          <w:tcPr>
            <w:tcW w:w="6855" w:type="dxa"/>
            <w:vMerge/>
            <w:vAlign w:val="center"/>
          </w:tcPr>
          <w:p w14:paraId="713CAC20" w14:textId="77777777" w:rsidR="004D1935" w:rsidRPr="00B0721F" w:rsidRDefault="004D1935" w:rsidP="00E24DC9">
            <w:pPr>
              <w:jc w:val="center"/>
              <w:rPr>
                <w:color w:val="000000" w:themeColor="text1"/>
              </w:rPr>
            </w:pPr>
          </w:p>
        </w:tc>
      </w:tr>
      <w:tr w:rsidR="004D1935" w14:paraId="390F34FD" w14:textId="77777777" w:rsidTr="00E24DC9">
        <w:tc>
          <w:tcPr>
            <w:tcW w:w="643" w:type="dxa"/>
            <w:vMerge/>
            <w:vAlign w:val="center"/>
          </w:tcPr>
          <w:p w14:paraId="19C69FF9" w14:textId="77777777" w:rsidR="004D1935" w:rsidRDefault="004D1935" w:rsidP="00E24DC9">
            <w:pPr>
              <w:jc w:val="center"/>
            </w:pPr>
          </w:p>
        </w:tc>
        <w:tc>
          <w:tcPr>
            <w:tcW w:w="749" w:type="dxa"/>
            <w:tcBorders>
              <w:top w:val="nil"/>
              <w:bottom w:val="nil"/>
            </w:tcBorders>
            <w:vAlign w:val="center"/>
          </w:tcPr>
          <w:p w14:paraId="73F3D58A" w14:textId="77777777" w:rsidR="004D1935" w:rsidRDefault="004D1935" w:rsidP="00E24DC9">
            <w:pPr>
              <w:jc w:val="center"/>
            </w:pPr>
            <w:r w:rsidRPr="00C419D2">
              <w:rPr>
                <w:rFonts w:ascii="Calibri" w:hAnsi="Calibri" w:cs="Calibri"/>
                <w:color w:val="000000"/>
                <w:sz w:val="13"/>
                <w:szCs w:val="13"/>
              </w:rPr>
              <w:t>335.1123</w:t>
            </w:r>
          </w:p>
        </w:tc>
        <w:tc>
          <w:tcPr>
            <w:tcW w:w="1418" w:type="dxa"/>
            <w:vMerge/>
            <w:vAlign w:val="center"/>
          </w:tcPr>
          <w:p w14:paraId="6C541746" w14:textId="77777777" w:rsidR="004D1935" w:rsidRPr="00B0721F" w:rsidRDefault="004D1935" w:rsidP="00E24DC9">
            <w:pPr>
              <w:jc w:val="center"/>
              <w:rPr>
                <w:color w:val="000000" w:themeColor="text1"/>
              </w:rPr>
            </w:pPr>
          </w:p>
        </w:tc>
        <w:tc>
          <w:tcPr>
            <w:tcW w:w="1369" w:type="dxa"/>
            <w:vMerge/>
            <w:vAlign w:val="center"/>
          </w:tcPr>
          <w:p w14:paraId="710DDA47" w14:textId="77777777" w:rsidR="004D1935" w:rsidRPr="00B0721F" w:rsidRDefault="004D1935" w:rsidP="00E24DC9">
            <w:pPr>
              <w:jc w:val="center"/>
              <w:rPr>
                <w:color w:val="000000" w:themeColor="text1"/>
              </w:rPr>
            </w:pPr>
          </w:p>
        </w:tc>
        <w:tc>
          <w:tcPr>
            <w:tcW w:w="2711" w:type="dxa"/>
            <w:vMerge/>
            <w:vAlign w:val="center"/>
          </w:tcPr>
          <w:p w14:paraId="3B7BCDC1" w14:textId="77777777" w:rsidR="004D1935" w:rsidRPr="00B0721F" w:rsidRDefault="004D1935" w:rsidP="00E24DC9">
            <w:pPr>
              <w:jc w:val="center"/>
              <w:rPr>
                <w:color w:val="000000" w:themeColor="text1"/>
              </w:rPr>
            </w:pPr>
          </w:p>
        </w:tc>
        <w:tc>
          <w:tcPr>
            <w:tcW w:w="6855" w:type="dxa"/>
            <w:vMerge/>
            <w:vAlign w:val="center"/>
          </w:tcPr>
          <w:p w14:paraId="1791379D" w14:textId="77777777" w:rsidR="004D1935" w:rsidRPr="00B0721F" w:rsidRDefault="004D1935" w:rsidP="00E24DC9">
            <w:pPr>
              <w:jc w:val="center"/>
              <w:rPr>
                <w:color w:val="000000" w:themeColor="text1"/>
              </w:rPr>
            </w:pPr>
          </w:p>
        </w:tc>
      </w:tr>
      <w:tr w:rsidR="004D1935" w14:paraId="68C543B1" w14:textId="77777777" w:rsidTr="00E24DC9">
        <w:tc>
          <w:tcPr>
            <w:tcW w:w="643" w:type="dxa"/>
            <w:vMerge/>
            <w:vAlign w:val="center"/>
          </w:tcPr>
          <w:p w14:paraId="1770952B" w14:textId="77777777" w:rsidR="004D1935" w:rsidRDefault="004D1935" w:rsidP="00E24DC9">
            <w:pPr>
              <w:jc w:val="center"/>
            </w:pPr>
          </w:p>
        </w:tc>
        <w:tc>
          <w:tcPr>
            <w:tcW w:w="749" w:type="dxa"/>
            <w:tcBorders>
              <w:top w:val="nil"/>
              <w:bottom w:val="nil"/>
            </w:tcBorders>
            <w:vAlign w:val="center"/>
          </w:tcPr>
          <w:p w14:paraId="5517627E" w14:textId="77777777" w:rsidR="004D1935" w:rsidRDefault="004D1935" w:rsidP="00E24DC9">
            <w:pPr>
              <w:jc w:val="center"/>
            </w:pPr>
            <w:r w:rsidRPr="00C419D2">
              <w:rPr>
                <w:rFonts w:ascii="Calibri" w:hAnsi="Calibri" w:cs="Calibri"/>
                <w:color w:val="000000"/>
                <w:sz w:val="13"/>
                <w:szCs w:val="13"/>
              </w:rPr>
              <w:t>335.1550</w:t>
            </w:r>
          </w:p>
        </w:tc>
        <w:tc>
          <w:tcPr>
            <w:tcW w:w="1418" w:type="dxa"/>
            <w:vMerge/>
            <w:vAlign w:val="center"/>
          </w:tcPr>
          <w:p w14:paraId="7D2A6DBC" w14:textId="77777777" w:rsidR="004D1935" w:rsidRPr="00B0721F" w:rsidRDefault="004D1935" w:rsidP="00E24DC9">
            <w:pPr>
              <w:jc w:val="center"/>
              <w:rPr>
                <w:color w:val="000000" w:themeColor="text1"/>
              </w:rPr>
            </w:pPr>
          </w:p>
        </w:tc>
        <w:tc>
          <w:tcPr>
            <w:tcW w:w="1369" w:type="dxa"/>
            <w:vMerge/>
            <w:vAlign w:val="center"/>
          </w:tcPr>
          <w:p w14:paraId="5FC0D010" w14:textId="77777777" w:rsidR="004D1935" w:rsidRPr="00B0721F" w:rsidRDefault="004D1935" w:rsidP="00E24DC9">
            <w:pPr>
              <w:jc w:val="center"/>
              <w:rPr>
                <w:color w:val="000000" w:themeColor="text1"/>
              </w:rPr>
            </w:pPr>
          </w:p>
        </w:tc>
        <w:tc>
          <w:tcPr>
            <w:tcW w:w="2711" w:type="dxa"/>
            <w:vMerge/>
            <w:vAlign w:val="center"/>
          </w:tcPr>
          <w:p w14:paraId="02FADEF1" w14:textId="77777777" w:rsidR="004D1935" w:rsidRPr="00B0721F" w:rsidRDefault="004D1935" w:rsidP="00E24DC9">
            <w:pPr>
              <w:jc w:val="center"/>
              <w:rPr>
                <w:color w:val="000000" w:themeColor="text1"/>
              </w:rPr>
            </w:pPr>
          </w:p>
        </w:tc>
        <w:tc>
          <w:tcPr>
            <w:tcW w:w="6855" w:type="dxa"/>
            <w:vMerge/>
            <w:vAlign w:val="center"/>
          </w:tcPr>
          <w:p w14:paraId="6D4770F4" w14:textId="77777777" w:rsidR="004D1935" w:rsidRPr="00B0721F" w:rsidRDefault="004D1935" w:rsidP="00E24DC9">
            <w:pPr>
              <w:jc w:val="center"/>
              <w:rPr>
                <w:color w:val="000000" w:themeColor="text1"/>
              </w:rPr>
            </w:pPr>
          </w:p>
        </w:tc>
      </w:tr>
      <w:tr w:rsidR="004D1935" w14:paraId="2098F05C" w14:textId="77777777" w:rsidTr="00E24DC9">
        <w:tc>
          <w:tcPr>
            <w:tcW w:w="643" w:type="dxa"/>
            <w:vMerge/>
            <w:vAlign w:val="center"/>
          </w:tcPr>
          <w:p w14:paraId="72C2C23A" w14:textId="77777777" w:rsidR="004D1935" w:rsidRDefault="004D1935" w:rsidP="00E24DC9">
            <w:pPr>
              <w:jc w:val="center"/>
            </w:pPr>
          </w:p>
        </w:tc>
        <w:tc>
          <w:tcPr>
            <w:tcW w:w="749" w:type="dxa"/>
            <w:tcBorders>
              <w:top w:val="nil"/>
              <w:bottom w:val="nil"/>
            </w:tcBorders>
            <w:vAlign w:val="center"/>
          </w:tcPr>
          <w:p w14:paraId="34A21E9C" w14:textId="77777777" w:rsidR="004D1935" w:rsidRDefault="004D1935" w:rsidP="00E24DC9">
            <w:pPr>
              <w:jc w:val="center"/>
            </w:pPr>
            <w:r w:rsidRPr="00C419D2">
              <w:rPr>
                <w:rFonts w:ascii="Calibri" w:hAnsi="Calibri" w:cs="Calibri"/>
                <w:color w:val="000000"/>
                <w:sz w:val="13"/>
                <w:szCs w:val="13"/>
              </w:rPr>
              <w:t>335.1951</w:t>
            </w:r>
          </w:p>
        </w:tc>
        <w:tc>
          <w:tcPr>
            <w:tcW w:w="1418" w:type="dxa"/>
            <w:vMerge/>
            <w:vAlign w:val="center"/>
          </w:tcPr>
          <w:p w14:paraId="4A7D241B" w14:textId="77777777" w:rsidR="004D1935" w:rsidRPr="00B0721F" w:rsidRDefault="004D1935" w:rsidP="00E24DC9">
            <w:pPr>
              <w:jc w:val="center"/>
              <w:rPr>
                <w:color w:val="000000" w:themeColor="text1"/>
              </w:rPr>
            </w:pPr>
          </w:p>
        </w:tc>
        <w:tc>
          <w:tcPr>
            <w:tcW w:w="1369" w:type="dxa"/>
            <w:vMerge/>
            <w:vAlign w:val="center"/>
          </w:tcPr>
          <w:p w14:paraId="3DDF0D0E" w14:textId="77777777" w:rsidR="004D1935" w:rsidRPr="00B0721F" w:rsidRDefault="004D1935" w:rsidP="00E24DC9">
            <w:pPr>
              <w:jc w:val="center"/>
              <w:rPr>
                <w:color w:val="000000" w:themeColor="text1"/>
              </w:rPr>
            </w:pPr>
          </w:p>
        </w:tc>
        <w:tc>
          <w:tcPr>
            <w:tcW w:w="2711" w:type="dxa"/>
            <w:vMerge/>
            <w:vAlign w:val="center"/>
          </w:tcPr>
          <w:p w14:paraId="3104A57B" w14:textId="77777777" w:rsidR="004D1935" w:rsidRPr="00B0721F" w:rsidRDefault="004D1935" w:rsidP="00E24DC9">
            <w:pPr>
              <w:jc w:val="center"/>
              <w:rPr>
                <w:color w:val="000000" w:themeColor="text1"/>
              </w:rPr>
            </w:pPr>
          </w:p>
        </w:tc>
        <w:tc>
          <w:tcPr>
            <w:tcW w:w="6855" w:type="dxa"/>
            <w:vMerge/>
            <w:vAlign w:val="center"/>
          </w:tcPr>
          <w:p w14:paraId="1A4D3FE5" w14:textId="77777777" w:rsidR="004D1935" w:rsidRPr="00B0721F" w:rsidRDefault="004D1935" w:rsidP="00E24DC9">
            <w:pPr>
              <w:jc w:val="center"/>
              <w:rPr>
                <w:color w:val="000000" w:themeColor="text1"/>
              </w:rPr>
            </w:pPr>
          </w:p>
        </w:tc>
      </w:tr>
      <w:tr w:rsidR="004D1935" w14:paraId="71934E83" w14:textId="77777777" w:rsidTr="00E24DC9">
        <w:tc>
          <w:tcPr>
            <w:tcW w:w="643" w:type="dxa"/>
            <w:vMerge/>
            <w:vAlign w:val="center"/>
          </w:tcPr>
          <w:p w14:paraId="2649CDCB" w14:textId="77777777" w:rsidR="004D1935" w:rsidRDefault="004D1935" w:rsidP="00E24DC9">
            <w:pPr>
              <w:jc w:val="center"/>
            </w:pPr>
          </w:p>
        </w:tc>
        <w:tc>
          <w:tcPr>
            <w:tcW w:w="749" w:type="dxa"/>
            <w:tcBorders>
              <w:top w:val="nil"/>
              <w:bottom w:val="nil"/>
            </w:tcBorders>
            <w:vAlign w:val="center"/>
          </w:tcPr>
          <w:p w14:paraId="7868AC73" w14:textId="77777777" w:rsidR="004D1935" w:rsidRDefault="004D1935" w:rsidP="00E24DC9">
            <w:pPr>
              <w:jc w:val="center"/>
            </w:pPr>
            <w:r w:rsidRPr="00C419D2">
              <w:rPr>
                <w:rFonts w:ascii="Calibri" w:hAnsi="Calibri" w:cs="Calibri"/>
                <w:color w:val="000000"/>
                <w:sz w:val="13"/>
                <w:szCs w:val="13"/>
              </w:rPr>
              <w:t>335.2351</w:t>
            </w:r>
          </w:p>
        </w:tc>
        <w:tc>
          <w:tcPr>
            <w:tcW w:w="1418" w:type="dxa"/>
            <w:vMerge/>
            <w:vAlign w:val="center"/>
          </w:tcPr>
          <w:p w14:paraId="62ACB176" w14:textId="77777777" w:rsidR="004D1935" w:rsidRPr="00B0721F" w:rsidRDefault="004D1935" w:rsidP="00E24DC9">
            <w:pPr>
              <w:jc w:val="center"/>
              <w:rPr>
                <w:color w:val="000000" w:themeColor="text1"/>
              </w:rPr>
            </w:pPr>
          </w:p>
        </w:tc>
        <w:tc>
          <w:tcPr>
            <w:tcW w:w="1369" w:type="dxa"/>
            <w:vMerge/>
            <w:vAlign w:val="center"/>
          </w:tcPr>
          <w:p w14:paraId="1620D51C" w14:textId="77777777" w:rsidR="004D1935" w:rsidRPr="00B0721F" w:rsidRDefault="004D1935" w:rsidP="00E24DC9">
            <w:pPr>
              <w:jc w:val="center"/>
              <w:rPr>
                <w:color w:val="000000" w:themeColor="text1"/>
              </w:rPr>
            </w:pPr>
          </w:p>
        </w:tc>
        <w:tc>
          <w:tcPr>
            <w:tcW w:w="2711" w:type="dxa"/>
            <w:vMerge/>
            <w:vAlign w:val="center"/>
          </w:tcPr>
          <w:p w14:paraId="049C5377" w14:textId="77777777" w:rsidR="004D1935" w:rsidRPr="00B0721F" w:rsidRDefault="004D1935" w:rsidP="00E24DC9">
            <w:pPr>
              <w:jc w:val="center"/>
              <w:rPr>
                <w:color w:val="000000" w:themeColor="text1"/>
              </w:rPr>
            </w:pPr>
          </w:p>
        </w:tc>
        <w:tc>
          <w:tcPr>
            <w:tcW w:w="6855" w:type="dxa"/>
            <w:vMerge/>
            <w:vAlign w:val="center"/>
          </w:tcPr>
          <w:p w14:paraId="7C3AA9DC" w14:textId="77777777" w:rsidR="004D1935" w:rsidRPr="00B0721F" w:rsidRDefault="004D1935" w:rsidP="00E24DC9">
            <w:pPr>
              <w:jc w:val="center"/>
              <w:rPr>
                <w:color w:val="000000" w:themeColor="text1"/>
              </w:rPr>
            </w:pPr>
          </w:p>
        </w:tc>
      </w:tr>
      <w:tr w:rsidR="004D1935" w14:paraId="5E7FA5D2" w14:textId="77777777" w:rsidTr="00E24DC9">
        <w:tc>
          <w:tcPr>
            <w:tcW w:w="643" w:type="dxa"/>
            <w:vMerge/>
            <w:vAlign w:val="center"/>
          </w:tcPr>
          <w:p w14:paraId="3B37DF84" w14:textId="77777777" w:rsidR="004D1935" w:rsidRDefault="004D1935" w:rsidP="00E24DC9">
            <w:pPr>
              <w:jc w:val="center"/>
            </w:pPr>
          </w:p>
        </w:tc>
        <w:tc>
          <w:tcPr>
            <w:tcW w:w="749" w:type="dxa"/>
            <w:tcBorders>
              <w:top w:val="nil"/>
              <w:bottom w:val="nil"/>
            </w:tcBorders>
            <w:vAlign w:val="center"/>
          </w:tcPr>
          <w:p w14:paraId="6986A264" w14:textId="77777777" w:rsidR="004D1935" w:rsidRDefault="004D1935" w:rsidP="00E24DC9">
            <w:pPr>
              <w:jc w:val="center"/>
            </w:pPr>
            <w:r w:rsidRPr="00C419D2">
              <w:rPr>
                <w:rFonts w:ascii="Calibri" w:hAnsi="Calibri" w:cs="Calibri"/>
                <w:color w:val="000000"/>
                <w:sz w:val="13"/>
                <w:szCs w:val="13"/>
              </w:rPr>
              <w:t>335.2751</w:t>
            </w:r>
          </w:p>
        </w:tc>
        <w:tc>
          <w:tcPr>
            <w:tcW w:w="1418" w:type="dxa"/>
            <w:vMerge/>
            <w:vAlign w:val="center"/>
          </w:tcPr>
          <w:p w14:paraId="6D10D58E" w14:textId="77777777" w:rsidR="004D1935" w:rsidRPr="00B0721F" w:rsidRDefault="004D1935" w:rsidP="00E24DC9">
            <w:pPr>
              <w:jc w:val="center"/>
              <w:rPr>
                <w:color w:val="000000" w:themeColor="text1"/>
              </w:rPr>
            </w:pPr>
          </w:p>
        </w:tc>
        <w:tc>
          <w:tcPr>
            <w:tcW w:w="1369" w:type="dxa"/>
            <w:vMerge/>
            <w:vAlign w:val="center"/>
          </w:tcPr>
          <w:p w14:paraId="39DD92C3" w14:textId="77777777" w:rsidR="004D1935" w:rsidRPr="00B0721F" w:rsidRDefault="004D1935" w:rsidP="00E24DC9">
            <w:pPr>
              <w:jc w:val="center"/>
              <w:rPr>
                <w:color w:val="000000" w:themeColor="text1"/>
              </w:rPr>
            </w:pPr>
          </w:p>
        </w:tc>
        <w:tc>
          <w:tcPr>
            <w:tcW w:w="2711" w:type="dxa"/>
            <w:vMerge/>
            <w:vAlign w:val="center"/>
          </w:tcPr>
          <w:p w14:paraId="04540528" w14:textId="77777777" w:rsidR="004D1935" w:rsidRPr="00B0721F" w:rsidRDefault="004D1935" w:rsidP="00E24DC9">
            <w:pPr>
              <w:jc w:val="center"/>
              <w:rPr>
                <w:color w:val="000000" w:themeColor="text1"/>
              </w:rPr>
            </w:pPr>
          </w:p>
        </w:tc>
        <w:tc>
          <w:tcPr>
            <w:tcW w:w="6855" w:type="dxa"/>
            <w:vMerge/>
            <w:vAlign w:val="center"/>
          </w:tcPr>
          <w:p w14:paraId="2656797E" w14:textId="77777777" w:rsidR="004D1935" w:rsidRPr="00B0721F" w:rsidRDefault="004D1935" w:rsidP="00E24DC9">
            <w:pPr>
              <w:jc w:val="center"/>
              <w:rPr>
                <w:color w:val="000000" w:themeColor="text1"/>
              </w:rPr>
            </w:pPr>
          </w:p>
        </w:tc>
      </w:tr>
      <w:tr w:rsidR="004D1935" w14:paraId="400AF4A5" w14:textId="77777777" w:rsidTr="00E24DC9">
        <w:tc>
          <w:tcPr>
            <w:tcW w:w="643" w:type="dxa"/>
            <w:vMerge/>
            <w:vAlign w:val="center"/>
          </w:tcPr>
          <w:p w14:paraId="62095B54" w14:textId="77777777" w:rsidR="004D1935" w:rsidRDefault="004D1935" w:rsidP="00E24DC9">
            <w:pPr>
              <w:jc w:val="center"/>
            </w:pPr>
          </w:p>
        </w:tc>
        <w:tc>
          <w:tcPr>
            <w:tcW w:w="749" w:type="dxa"/>
            <w:tcBorders>
              <w:top w:val="nil"/>
              <w:bottom w:val="nil"/>
            </w:tcBorders>
            <w:vAlign w:val="center"/>
          </w:tcPr>
          <w:p w14:paraId="1C0190E4" w14:textId="77777777" w:rsidR="004D1935" w:rsidRDefault="004D1935" w:rsidP="00E24DC9">
            <w:pPr>
              <w:jc w:val="center"/>
            </w:pPr>
            <w:r w:rsidRPr="00C419D2">
              <w:rPr>
                <w:rFonts w:ascii="Calibri" w:hAnsi="Calibri" w:cs="Calibri"/>
                <w:color w:val="000000"/>
                <w:sz w:val="13"/>
                <w:szCs w:val="13"/>
              </w:rPr>
              <w:t>335.1617</w:t>
            </w:r>
          </w:p>
        </w:tc>
        <w:tc>
          <w:tcPr>
            <w:tcW w:w="1418" w:type="dxa"/>
            <w:vMerge/>
            <w:vAlign w:val="center"/>
          </w:tcPr>
          <w:p w14:paraId="03203979" w14:textId="77777777" w:rsidR="004D1935" w:rsidRPr="00B0721F" w:rsidRDefault="004D1935" w:rsidP="00E24DC9">
            <w:pPr>
              <w:jc w:val="center"/>
              <w:rPr>
                <w:color w:val="000000" w:themeColor="text1"/>
              </w:rPr>
            </w:pPr>
          </w:p>
        </w:tc>
        <w:tc>
          <w:tcPr>
            <w:tcW w:w="1369" w:type="dxa"/>
            <w:vMerge/>
            <w:vAlign w:val="center"/>
          </w:tcPr>
          <w:p w14:paraId="064984BE" w14:textId="77777777" w:rsidR="004D1935" w:rsidRPr="00B0721F" w:rsidRDefault="004D1935" w:rsidP="00E24DC9">
            <w:pPr>
              <w:jc w:val="center"/>
              <w:rPr>
                <w:color w:val="000000" w:themeColor="text1"/>
              </w:rPr>
            </w:pPr>
          </w:p>
        </w:tc>
        <w:tc>
          <w:tcPr>
            <w:tcW w:w="2711" w:type="dxa"/>
            <w:vMerge/>
            <w:vAlign w:val="center"/>
          </w:tcPr>
          <w:p w14:paraId="4D761FD4" w14:textId="77777777" w:rsidR="004D1935" w:rsidRPr="00B0721F" w:rsidRDefault="004D1935" w:rsidP="00E24DC9">
            <w:pPr>
              <w:jc w:val="center"/>
              <w:rPr>
                <w:color w:val="000000" w:themeColor="text1"/>
              </w:rPr>
            </w:pPr>
          </w:p>
        </w:tc>
        <w:tc>
          <w:tcPr>
            <w:tcW w:w="6855" w:type="dxa"/>
            <w:vMerge/>
            <w:vAlign w:val="center"/>
          </w:tcPr>
          <w:p w14:paraId="47AFD854" w14:textId="77777777" w:rsidR="004D1935" w:rsidRPr="00B0721F" w:rsidRDefault="004D1935" w:rsidP="00E24DC9">
            <w:pPr>
              <w:jc w:val="center"/>
              <w:rPr>
                <w:color w:val="000000" w:themeColor="text1"/>
              </w:rPr>
            </w:pPr>
          </w:p>
        </w:tc>
      </w:tr>
      <w:tr w:rsidR="004D1935" w14:paraId="4747AAB9" w14:textId="77777777" w:rsidTr="00E24DC9">
        <w:tc>
          <w:tcPr>
            <w:tcW w:w="643" w:type="dxa"/>
            <w:vMerge/>
            <w:vAlign w:val="center"/>
          </w:tcPr>
          <w:p w14:paraId="7F582784" w14:textId="77777777" w:rsidR="004D1935" w:rsidRDefault="004D1935" w:rsidP="00E24DC9">
            <w:pPr>
              <w:jc w:val="center"/>
            </w:pPr>
          </w:p>
        </w:tc>
        <w:tc>
          <w:tcPr>
            <w:tcW w:w="749" w:type="dxa"/>
            <w:tcBorders>
              <w:top w:val="nil"/>
              <w:bottom w:val="single" w:sz="4" w:space="0" w:color="auto"/>
            </w:tcBorders>
            <w:vAlign w:val="center"/>
          </w:tcPr>
          <w:p w14:paraId="73F10164" w14:textId="77777777" w:rsidR="004D1935" w:rsidRDefault="004D1935" w:rsidP="00E24DC9">
            <w:pPr>
              <w:jc w:val="center"/>
            </w:pPr>
            <w:r w:rsidRPr="00C419D2">
              <w:rPr>
                <w:rFonts w:ascii="Calibri" w:hAnsi="Calibri" w:cs="Calibri"/>
                <w:color w:val="000000"/>
                <w:sz w:val="13"/>
                <w:szCs w:val="13"/>
              </w:rPr>
              <w:t>335.1097</w:t>
            </w:r>
          </w:p>
        </w:tc>
        <w:tc>
          <w:tcPr>
            <w:tcW w:w="1418" w:type="dxa"/>
            <w:vMerge/>
            <w:vAlign w:val="center"/>
          </w:tcPr>
          <w:p w14:paraId="7FCF3EB4" w14:textId="77777777" w:rsidR="004D1935" w:rsidRPr="00B0721F" w:rsidRDefault="004D1935" w:rsidP="00E24DC9">
            <w:pPr>
              <w:jc w:val="center"/>
              <w:rPr>
                <w:color w:val="000000" w:themeColor="text1"/>
              </w:rPr>
            </w:pPr>
          </w:p>
        </w:tc>
        <w:tc>
          <w:tcPr>
            <w:tcW w:w="1369" w:type="dxa"/>
            <w:vMerge/>
            <w:vAlign w:val="center"/>
          </w:tcPr>
          <w:p w14:paraId="4CA57674" w14:textId="77777777" w:rsidR="004D1935" w:rsidRPr="00B0721F" w:rsidRDefault="004D1935" w:rsidP="00E24DC9">
            <w:pPr>
              <w:jc w:val="center"/>
              <w:rPr>
                <w:color w:val="000000" w:themeColor="text1"/>
              </w:rPr>
            </w:pPr>
          </w:p>
        </w:tc>
        <w:tc>
          <w:tcPr>
            <w:tcW w:w="2711" w:type="dxa"/>
            <w:vMerge/>
            <w:vAlign w:val="center"/>
          </w:tcPr>
          <w:p w14:paraId="02BE0BBF" w14:textId="77777777" w:rsidR="004D1935" w:rsidRPr="00B0721F" w:rsidRDefault="004D1935" w:rsidP="00E24DC9">
            <w:pPr>
              <w:jc w:val="center"/>
              <w:rPr>
                <w:color w:val="000000" w:themeColor="text1"/>
              </w:rPr>
            </w:pPr>
          </w:p>
        </w:tc>
        <w:tc>
          <w:tcPr>
            <w:tcW w:w="6855" w:type="dxa"/>
            <w:vMerge/>
            <w:vAlign w:val="center"/>
          </w:tcPr>
          <w:p w14:paraId="4FD55C6D" w14:textId="77777777" w:rsidR="004D1935" w:rsidRPr="00B0721F" w:rsidRDefault="004D1935" w:rsidP="00E24DC9">
            <w:pPr>
              <w:jc w:val="center"/>
              <w:rPr>
                <w:color w:val="000000" w:themeColor="text1"/>
              </w:rPr>
            </w:pPr>
          </w:p>
        </w:tc>
      </w:tr>
      <w:tr w:rsidR="004D1935" w14:paraId="6522AA64" w14:textId="77777777" w:rsidTr="00E24DC9">
        <w:tc>
          <w:tcPr>
            <w:tcW w:w="643" w:type="dxa"/>
            <w:vMerge w:val="restart"/>
            <w:vAlign w:val="center"/>
          </w:tcPr>
          <w:p w14:paraId="236D65FB" w14:textId="77777777" w:rsidR="004D1935" w:rsidRDefault="004D1935" w:rsidP="00E24DC9">
            <w:pPr>
              <w:jc w:val="center"/>
            </w:pPr>
            <w:r>
              <w:t>H</w:t>
            </w:r>
          </w:p>
        </w:tc>
        <w:tc>
          <w:tcPr>
            <w:tcW w:w="749" w:type="dxa"/>
            <w:tcBorders>
              <w:bottom w:val="nil"/>
            </w:tcBorders>
            <w:vAlign w:val="center"/>
          </w:tcPr>
          <w:p w14:paraId="36EE21CE" w14:textId="77777777" w:rsidR="004D1935" w:rsidRDefault="004D1935" w:rsidP="00E24DC9">
            <w:pPr>
              <w:jc w:val="center"/>
            </w:pPr>
            <w:r w:rsidRPr="00C419D2">
              <w:rPr>
                <w:rFonts w:ascii="Calibri" w:hAnsi="Calibri" w:cs="Calibri"/>
                <w:color w:val="000000"/>
                <w:sz w:val="11"/>
                <w:szCs w:val="11"/>
              </w:rPr>
              <w:t>334.0992</w:t>
            </w:r>
          </w:p>
        </w:tc>
        <w:tc>
          <w:tcPr>
            <w:tcW w:w="1418" w:type="dxa"/>
            <w:vMerge w:val="restart"/>
            <w:vAlign w:val="center"/>
          </w:tcPr>
          <w:p w14:paraId="6893AA95" w14:textId="77777777" w:rsidR="004D1935" w:rsidRPr="00B0721F" w:rsidRDefault="00000000" w:rsidP="00E24DC9">
            <w:pPr>
              <w:jc w:val="center"/>
              <w:rPr>
                <w:color w:val="000000" w:themeColor="text1"/>
                <w:sz w:val="16"/>
                <w:szCs w:val="16"/>
              </w:rPr>
            </w:pPr>
            <w:hyperlink r:id="rId103" w:history="1">
              <w:r w:rsidR="004D1935" w:rsidRPr="00B0721F">
                <w:rPr>
                  <w:rFonts w:ascii="Calibri" w:hAnsi="Calibri" w:cs="Calibri"/>
                  <w:color w:val="000000" w:themeColor="text1"/>
                  <w:sz w:val="16"/>
                  <w:szCs w:val="16"/>
                </w:rPr>
                <w:t>penicillin G</w:t>
              </w:r>
            </w:hyperlink>
          </w:p>
          <w:p w14:paraId="040412AA" w14:textId="77777777" w:rsidR="004D1935" w:rsidRPr="00B0721F" w:rsidRDefault="004D1935" w:rsidP="00E24DC9">
            <w:pPr>
              <w:jc w:val="center"/>
              <w:rPr>
                <w:color w:val="000000" w:themeColor="text1"/>
                <w:sz w:val="16"/>
                <w:szCs w:val="16"/>
              </w:rPr>
            </w:pPr>
            <w:r w:rsidRPr="00B0721F">
              <w:rPr>
                <w:color w:val="000000" w:themeColor="text1"/>
                <w:sz w:val="16"/>
                <w:szCs w:val="16"/>
              </w:rPr>
              <w:t>vinorine</w:t>
            </w:r>
          </w:p>
          <w:p w14:paraId="2B4CB2E4" w14:textId="77777777" w:rsidR="004D1935" w:rsidRPr="00B0721F" w:rsidRDefault="00000000" w:rsidP="00E24DC9">
            <w:pPr>
              <w:jc w:val="center"/>
              <w:rPr>
                <w:color w:val="000000" w:themeColor="text1"/>
                <w:sz w:val="16"/>
                <w:szCs w:val="16"/>
              </w:rPr>
            </w:pPr>
            <w:hyperlink r:id="rId104" w:history="1">
              <w:r w:rsidR="004D1935" w:rsidRPr="00B0721F">
                <w:rPr>
                  <w:rFonts w:ascii="Calibri" w:hAnsi="Calibri" w:cs="Calibri"/>
                  <w:color w:val="000000" w:themeColor="text1"/>
                  <w:sz w:val="16"/>
                  <w:szCs w:val="16"/>
                </w:rPr>
                <w:t>prostaglandin J2</w:t>
              </w:r>
            </w:hyperlink>
          </w:p>
          <w:p w14:paraId="387791F8" w14:textId="77777777" w:rsidR="004D1935" w:rsidRPr="00B0721F" w:rsidRDefault="00000000" w:rsidP="00E24DC9">
            <w:pPr>
              <w:jc w:val="center"/>
              <w:rPr>
                <w:color w:val="000000" w:themeColor="text1"/>
                <w:sz w:val="16"/>
                <w:szCs w:val="16"/>
              </w:rPr>
            </w:pPr>
            <w:hyperlink r:id="rId105" w:history="1">
              <w:r w:rsidR="004D1935" w:rsidRPr="00B0721F">
                <w:rPr>
                  <w:rFonts w:ascii="Calibri" w:hAnsi="Calibri" w:cs="Calibri"/>
                  <w:color w:val="000000" w:themeColor="text1"/>
                  <w:sz w:val="16"/>
                  <w:szCs w:val="16"/>
                </w:rPr>
                <w:t>prostaglandin A2</w:t>
              </w:r>
            </w:hyperlink>
          </w:p>
          <w:p w14:paraId="5E27B953" w14:textId="77777777" w:rsidR="004D1935" w:rsidRPr="00B0721F" w:rsidRDefault="00000000" w:rsidP="00E24DC9">
            <w:pPr>
              <w:jc w:val="center"/>
              <w:rPr>
                <w:color w:val="000000" w:themeColor="text1"/>
                <w:sz w:val="16"/>
                <w:szCs w:val="16"/>
              </w:rPr>
            </w:pPr>
            <w:hyperlink r:id="rId106" w:history="1">
              <w:r w:rsidR="004D1935" w:rsidRPr="00B0721F">
                <w:rPr>
                  <w:rFonts w:ascii="Calibri" w:hAnsi="Calibri" w:cs="Calibri"/>
                  <w:color w:val="000000" w:themeColor="text1"/>
                  <w:sz w:val="16"/>
                  <w:szCs w:val="16"/>
                </w:rPr>
                <w:t>S-(hercyn-2-yl)-L-cysteine S-oxide</w:t>
              </w:r>
            </w:hyperlink>
          </w:p>
        </w:tc>
        <w:tc>
          <w:tcPr>
            <w:tcW w:w="1369" w:type="dxa"/>
            <w:vMerge w:val="restart"/>
            <w:vAlign w:val="center"/>
          </w:tcPr>
          <w:p w14:paraId="34FD8403" w14:textId="77777777" w:rsidR="004D1935" w:rsidRPr="00B0721F" w:rsidRDefault="004D1935" w:rsidP="00E24DC9">
            <w:pPr>
              <w:jc w:val="center"/>
              <w:rPr>
                <w:color w:val="000000" w:themeColor="text1"/>
                <w:sz w:val="16"/>
                <w:szCs w:val="16"/>
              </w:rPr>
            </w:pPr>
            <w:r w:rsidRPr="00B0721F">
              <w:rPr>
                <w:rFonts w:ascii="Arial" w:hAnsi="Arial" w:cs="Arial"/>
                <w:color w:val="000000" w:themeColor="text1"/>
                <w:sz w:val="16"/>
                <w:szCs w:val="16"/>
                <w:shd w:val="clear" w:color="auto" w:fill="FFFFFF"/>
              </w:rPr>
              <w:t>C</w:t>
            </w:r>
            <w:r w:rsidRPr="00B0721F">
              <w:rPr>
                <w:rFonts w:ascii="Arial" w:hAnsi="Arial" w:cs="Arial"/>
                <w:color w:val="000000" w:themeColor="text1"/>
                <w:sz w:val="16"/>
                <w:szCs w:val="16"/>
                <w:shd w:val="clear" w:color="auto" w:fill="FFFFFF"/>
                <w:vertAlign w:val="subscript"/>
              </w:rPr>
              <w:t>16</w:t>
            </w:r>
            <w:r w:rsidRPr="00B0721F">
              <w:rPr>
                <w:rFonts w:ascii="Arial" w:hAnsi="Arial" w:cs="Arial"/>
                <w:color w:val="000000" w:themeColor="text1"/>
                <w:sz w:val="16"/>
                <w:szCs w:val="16"/>
                <w:shd w:val="clear" w:color="auto" w:fill="FFFFFF"/>
              </w:rPr>
              <w:t>H</w:t>
            </w:r>
            <w:r w:rsidRPr="00B0721F">
              <w:rPr>
                <w:rFonts w:ascii="Arial" w:hAnsi="Arial" w:cs="Arial"/>
                <w:color w:val="000000" w:themeColor="text1"/>
                <w:sz w:val="16"/>
                <w:szCs w:val="16"/>
                <w:shd w:val="clear" w:color="auto" w:fill="FFFFFF"/>
                <w:vertAlign w:val="subscript"/>
              </w:rPr>
              <w:t>18</w:t>
            </w:r>
            <w:r w:rsidRPr="00B0721F">
              <w:rPr>
                <w:rFonts w:ascii="Arial" w:hAnsi="Arial" w:cs="Arial"/>
                <w:color w:val="000000" w:themeColor="text1"/>
                <w:sz w:val="16"/>
                <w:szCs w:val="16"/>
                <w:shd w:val="clear" w:color="auto" w:fill="FFFFFF"/>
              </w:rPr>
              <w:t>N</w:t>
            </w:r>
            <w:r w:rsidRPr="00B0721F">
              <w:rPr>
                <w:rFonts w:ascii="Arial" w:hAnsi="Arial" w:cs="Arial"/>
                <w:color w:val="000000" w:themeColor="text1"/>
                <w:sz w:val="16"/>
                <w:szCs w:val="16"/>
                <w:shd w:val="clear" w:color="auto" w:fill="FFFFFF"/>
                <w:vertAlign w:val="subscript"/>
              </w:rPr>
              <w:t>2</w:t>
            </w:r>
            <w:r w:rsidRPr="00B0721F">
              <w:rPr>
                <w:rFonts w:ascii="Arial" w:hAnsi="Arial" w:cs="Arial"/>
                <w:color w:val="000000" w:themeColor="text1"/>
                <w:sz w:val="16"/>
                <w:szCs w:val="16"/>
                <w:shd w:val="clear" w:color="auto" w:fill="FFFFFF"/>
              </w:rPr>
              <w:t>O</w:t>
            </w:r>
            <w:r w:rsidRPr="00B0721F">
              <w:rPr>
                <w:rFonts w:ascii="Arial" w:hAnsi="Arial" w:cs="Arial"/>
                <w:color w:val="000000" w:themeColor="text1"/>
                <w:sz w:val="16"/>
                <w:szCs w:val="16"/>
                <w:shd w:val="clear" w:color="auto" w:fill="FFFFFF"/>
                <w:vertAlign w:val="subscript"/>
              </w:rPr>
              <w:t>4</w:t>
            </w:r>
            <w:r w:rsidRPr="00B0721F">
              <w:rPr>
                <w:rFonts w:ascii="Arial" w:hAnsi="Arial" w:cs="Arial"/>
                <w:color w:val="000000" w:themeColor="text1"/>
                <w:sz w:val="16"/>
                <w:szCs w:val="16"/>
                <w:shd w:val="clear" w:color="auto" w:fill="FFFFFF"/>
              </w:rPr>
              <w:t>S</w:t>
            </w:r>
          </w:p>
          <w:p w14:paraId="7CBE3F47" w14:textId="77777777" w:rsidR="004D1935" w:rsidRPr="00B0721F" w:rsidRDefault="004D1935" w:rsidP="00E24DC9">
            <w:pPr>
              <w:jc w:val="center"/>
              <w:rPr>
                <w:color w:val="000000" w:themeColor="text1"/>
                <w:sz w:val="16"/>
                <w:szCs w:val="16"/>
              </w:rPr>
            </w:pPr>
            <w:r w:rsidRPr="00B0721F">
              <w:rPr>
                <w:rFonts w:ascii="Arial" w:hAnsi="Arial" w:cs="Arial"/>
                <w:color w:val="000000" w:themeColor="text1"/>
                <w:sz w:val="16"/>
                <w:szCs w:val="16"/>
                <w:shd w:val="clear" w:color="auto" w:fill="F8F9FA"/>
              </w:rPr>
              <w:t>C</w:t>
            </w:r>
            <w:r w:rsidRPr="00B0721F">
              <w:rPr>
                <w:rFonts w:ascii="Arial" w:hAnsi="Arial" w:cs="Arial"/>
                <w:color w:val="000000" w:themeColor="text1"/>
                <w:sz w:val="16"/>
                <w:szCs w:val="16"/>
                <w:shd w:val="clear" w:color="auto" w:fill="F8F9FA"/>
                <w:vertAlign w:val="subscript"/>
              </w:rPr>
              <w:t>21</w:t>
            </w:r>
            <w:r w:rsidRPr="00B0721F">
              <w:rPr>
                <w:rFonts w:ascii="Arial" w:hAnsi="Arial" w:cs="Arial"/>
                <w:color w:val="000000" w:themeColor="text1"/>
                <w:sz w:val="16"/>
                <w:szCs w:val="16"/>
                <w:shd w:val="clear" w:color="auto" w:fill="F8F9FA"/>
              </w:rPr>
              <w:t>H</w:t>
            </w:r>
            <w:r w:rsidRPr="00B0721F">
              <w:rPr>
                <w:rFonts w:ascii="Arial" w:hAnsi="Arial" w:cs="Arial"/>
                <w:color w:val="000000" w:themeColor="text1"/>
                <w:sz w:val="16"/>
                <w:szCs w:val="16"/>
                <w:shd w:val="clear" w:color="auto" w:fill="F8F9FA"/>
                <w:vertAlign w:val="subscript"/>
              </w:rPr>
              <w:t>22</w:t>
            </w:r>
            <w:r w:rsidRPr="00B0721F">
              <w:rPr>
                <w:rFonts w:ascii="Arial" w:hAnsi="Arial" w:cs="Arial"/>
                <w:color w:val="000000" w:themeColor="text1"/>
                <w:sz w:val="16"/>
                <w:szCs w:val="16"/>
                <w:shd w:val="clear" w:color="auto" w:fill="F8F9FA"/>
              </w:rPr>
              <w:t>N</w:t>
            </w:r>
            <w:r w:rsidRPr="00B0721F">
              <w:rPr>
                <w:rFonts w:ascii="Arial" w:hAnsi="Arial" w:cs="Arial"/>
                <w:color w:val="000000" w:themeColor="text1"/>
                <w:sz w:val="16"/>
                <w:szCs w:val="16"/>
                <w:shd w:val="clear" w:color="auto" w:fill="F8F9FA"/>
                <w:vertAlign w:val="subscript"/>
              </w:rPr>
              <w:t>2</w:t>
            </w:r>
            <w:r w:rsidRPr="00B0721F">
              <w:rPr>
                <w:rFonts w:ascii="Arial" w:hAnsi="Arial" w:cs="Arial"/>
                <w:color w:val="000000" w:themeColor="text1"/>
                <w:sz w:val="16"/>
                <w:szCs w:val="16"/>
                <w:shd w:val="clear" w:color="auto" w:fill="F8F9FA"/>
              </w:rPr>
              <w:t>O</w:t>
            </w:r>
            <w:r w:rsidRPr="00B0721F">
              <w:rPr>
                <w:rFonts w:ascii="Arial" w:hAnsi="Arial" w:cs="Arial"/>
                <w:color w:val="000000" w:themeColor="text1"/>
                <w:sz w:val="16"/>
                <w:szCs w:val="16"/>
                <w:shd w:val="clear" w:color="auto" w:fill="F8F9FA"/>
                <w:vertAlign w:val="subscript"/>
              </w:rPr>
              <w:t>2</w:t>
            </w:r>
          </w:p>
          <w:p w14:paraId="298E7EFB" w14:textId="77777777" w:rsidR="004D1935" w:rsidRPr="00B0721F" w:rsidRDefault="004D1935" w:rsidP="00E24DC9">
            <w:pPr>
              <w:jc w:val="center"/>
              <w:rPr>
                <w:color w:val="000000" w:themeColor="text1"/>
                <w:sz w:val="16"/>
                <w:szCs w:val="16"/>
              </w:rPr>
            </w:pPr>
            <w:r w:rsidRPr="00B0721F">
              <w:rPr>
                <w:rFonts w:ascii="Arial" w:hAnsi="Arial" w:cs="Arial"/>
                <w:color w:val="000000" w:themeColor="text1"/>
                <w:sz w:val="16"/>
                <w:szCs w:val="16"/>
                <w:shd w:val="clear" w:color="auto" w:fill="F8F9FA"/>
              </w:rPr>
              <w:t>C</w:t>
            </w:r>
            <w:r w:rsidRPr="00B0721F">
              <w:rPr>
                <w:rFonts w:ascii="Arial" w:hAnsi="Arial" w:cs="Arial"/>
                <w:color w:val="000000" w:themeColor="text1"/>
                <w:sz w:val="16"/>
                <w:szCs w:val="16"/>
                <w:shd w:val="clear" w:color="auto" w:fill="F8F9FA"/>
                <w:vertAlign w:val="subscript"/>
              </w:rPr>
              <w:t>20</w:t>
            </w:r>
            <w:r w:rsidRPr="00B0721F">
              <w:rPr>
                <w:rFonts w:ascii="Arial" w:hAnsi="Arial" w:cs="Arial"/>
                <w:color w:val="000000" w:themeColor="text1"/>
                <w:sz w:val="16"/>
                <w:szCs w:val="16"/>
                <w:shd w:val="clear" w:color="auto" w:fill="F8F9FA"/>
              </w:rPr>
              <w:t>H</w:t>
            </w:r>
            <w:r w:rsidRPr="00B0721F">
              <w:rPr>
                <w:rFonts w:ascii="Arial" w:hAnsi="Arial" w:cs="Arial"/>
                <w:color w:val="000000" w:themeColor="text1"/>
                <w:sz w:val="16"/>
                <w:szCs w:val="16"/>
                <w:shd w:val="clear" w:color="auto" w:fill="F8F9FA"/>
                <w:vertAlign w:val="subscript"/>
              </w:rPr>
              <w:t>30</w:t>
            </w:r>
            <w:r w:rsidRPr="00B0721F">
              <w:rPr>
                <w:rFonts w:ascii="Arial" w:hAnsi="Arial" w:cs="Arial"/>
                <w:color w:val="000000" w:themeColor="text1"/>
                <w:sz w:val="16"/>
                <w:szCs w:val="16"/>
                <w:shd w:val="clear" w:color="auto" w:fill="F8F9FA"/>
              </w:rPr>
              <w:t>O</w:t>
            </w:r>
            <w:r w:rsidRPr="00B0721F">
              <w:rPr>
                <w:rFonts w:ascii="Arial" w:hAnsi="Arial" w:cs="Arial"/>
                <w:color w:val="000000" w:themeColor="text1"/>
                <w:sz w:val="16"/>
                <w:szCs w:val="16"/>
                <w:shd w:val="clear" w:color="auto" w:fill="F8F9FA"/>
                <w:vertAlign w:val="subscript"/>
              </w:rPr>
              <w:t>4</w:t>
            </w:r>
          </w:p>
          <w:p w14:paraId="5AAA2425" w14:textId="77777777" w:rsidR="004D1935" w:rsidRPr="00B0721F" w:rsidRDefault="004D1935" w:rsidP="00E24DC9">
            <w:pPr>
              <w:jc w:val="center"/>
              <w:rPr>
                <w:color w:val="000000" w:themeColor="text1"/>
                <w:sz w:val="16"/>
                <w:szCs w:val="16"/>
              </w:rPr>
            </w:pPr>
            <w:r w:rsidRPr="00B0721F">
              <w:rPr>
                <w:rFonts w:ascii="Arial" w:hAnsi="Arial" w:cs="Arial"/>
                <w:color w:val="000000" w:themeColor="text1"/>
                <w:sz w:val="16"/>
                <w:szCs w:val="16"/>
                <w:shd w:val="clear" w:color="auto" w:fill="F8F9FA"/>
              </w:rPr>
              <w:t>C</w:t>
            </w:r>
            <w:r w:rsidRPr="00B0721F">
              <w:rPr>
                <w:rFonts w:ascii="Arial" w:hAnsi="Arial" w:cs="Arial"/>
                <w:color w:val="000000" w:themeColor="text1"/>
                <w:sz w:val="16"/>
                <w:szCs w:val="16"/>
                <w:shd w:val="clear" w:color="auto" w:fill="F8F9FA"/>
                <w:vertAlign w:val="subscript"/>
              </w:rPr>
              <w:t>20</w:t>
            </w:r>
            <w:r w:rsidRPr="00B0721F">
              <w:rPr>
                <w:rFonts w:ascii="Arial" w:hAnsi="Arial" w:cs="Arial"/>
                <w:color w:val="000000" w:themeColor="text1"/>
                <w:sz w:val="16"/>
                <w:szCs w:val="16"/>
                <w:shd w:val="clear" w:color="auto" w:fill="F8F9FA"/>
              </w:rPr>
              <w:t>H</w:t>
            </w:r>
            <w:r w:rsidRPr="00B0721F">
              <w:rPr>
                <w:rFonts w:ascii="Arial" w:hAnsi="Arial" w:cs="Arial"/>
                <w:color w:val="000000" w:themeColor="text1"/>
                <w:sz w:val="16"/>
                <w:szCs w:val="16"/>
                <w:shd w:val="clear" w:color="auto" w:fill="F8F9FA"/>
                <w:vertAlign w:val="subscript"/>
              </w:rPr>
              <w:t>30</w:t>
            </w:r>
            <w:r w:rsidRPr="00B0721F">
              <w:rPr>
                <w:rFonts w:ascii="Arial" w:hAnsi="Arial" w:cs="Arial"/>
                <w:color w:val="000000" w:themeColor="text1"/>
                <w:sz w:val="16"/>
                <w:szCs w:val="16"/>
                <w:shd w:val="clear" w:color="auto" w:fill="F8F9FA"/>
              </w:rPr>
              <w:t>O</w:t>
            </w:r>
            <w:r w:rsidRPr="00B0721F">
              <w:rPr>
                <w:rFonts w:ascii="Arial" w:hAnsi="Arial" w:cs="Arial"/>
                <w:color w:val="000000" w:themeColor="text1"/>
                <w:sz w:val="16"/>
                <w:szCs w:val="16"/>
                <w:shd w:val="clear" w:color="auto" w:fill="F8F9FA"/>
                <w:vertAlign w:val="subscript"/>
              </w:rPr>
              <w:t>4</w:t>
            </w:r>
          </w:p>
          <w:p w14:paraId="4C398BCA" w14:textId="77777777" w:rsidR="004D1935" w:rsidRPr="00B0721F" w:rsidRDefault="004D1935" w:rsidP="00E24DC9">
            <w:pPr>
              <w:jc w:val="center"/>
              <w:rPr>
                <w:color w:val="000000" w:themeColor="text1"/>
                <w:sz w:val="16"/>
                <w:szCs w:val="16"/>
              </w:rPr>
            </w:pPr>
            <w:r w:rsidRPr="00B0721F">
              <w:rPr>
                <w:rFonts w:ascii="Arial" w:hAnsi="Arial" w:cs="Arial"/>
                <w:color w:val="000000" w:themeColor="text1"/>
                <w:sz w:val="16"/>
                <w:szCs w:val="16"/>
                <w:shd w:val="clear" w:color="auto" w:fill="FFFFFF"/>
              </w:rPr>
              <w:t>C</w:t>
            </w:r>
            <w:r w:rsidRPr="00B0721F">
              <w:rPr>
                <w:rFonts w:ascii="Arial" w:hAnsi="Arial" w:cs="Arial"/>
                <w:color w:val="000000" w:themeColor="text1"/>
                <w:sz w:val="16"/>
                <w:szCs w:val="16"/>
                <w:shd w:val="clear" w:color="auto" w:fill="FFFFFF"/>
                <w:vertAlign w:val="subscript"/>
              </w:rPr>
              <w:t>12</w:t>
            </w:r>
            <w:r w:rsidRPr="00B0721F">
              <w:rPr>
                <w:rFonts w:ascii="Arial" w:hAnsi="Arial" w:cs="Arial"/>
                <w:color w:val="000000" w:themeColor="text1"/>
                <w:sz w:val="16"/>
                <w:szCs w:val="16"/>
                <w:shd w:val="clear" w:color="auto" w:fill="FFFFFF"/>
              </w:rPr>
              <w:t>H</w:t>
            </w:r>
            <w:r w:rsidRPr="00B0721F">
              <w:rPr>
                <w:rFonts w:ascii="Arial" w:hAnsi="Arial" w:cs="Arial"/>
                <w:color w:val="000000" w:themeColor="text1"/>
                <w:sz w:val="16"/>
                <w:szCs w:val="16"/>
                <w:shd w:val="clear" w:color="auto" w:fill="FFFFFF"/>
                <w:vertAlign w:val="subscript"/>
              </w:rPr>
              <w:t>21</w:t>
            </w:r>
            <w:r w:rsidRPr="00B0721F">
              <w:rPr>
                <w:rFonts w:ascii="Arial" w:hAnsi="Arial" w:cs="Arial"/>
                <w:color w:val="000000" w:themeColor="text1"/>
                <w:sz w:val="16"/>
                <w:szCs w:val="16"/>
                <w:shd w:val="clear" w:color="auto" w:fill="FFFFFF"/>
              </w:rPr>
              <w:t>N</w:t>
            </w:r>
            <w:r w:rsidRPr="00B0721F">
              <w:rPr>
                <w:rFonts w:ascii="Arial" w:hAnsi="Arial" w:cs="Arial"/>
                <w:color w:val="000000" w:themeColor="text1"/>
                <w:sz w:val="16"/>
                <w:szCs w:val="16"/>
                <w:shd w:val="clear" w:color="auto" w:fill="FFFFFF"/>
                <w:vertAlign w:val="subscript"/>
              </w:rPr>
              <w:t>4</w:t>
            </w:r>
            <w:r w:rsidRPr="00B0721F">
              <w:rPr>
                <w:rFonts w:ascii="Arial" w:hAnsi="Arial" w:cs="Arial"/>
                <w:color w:val="000000" w:themeColor="text1"/>
                <w:sz w:val="16"/>
                <w:szCs w:val="16"/>
                <w:shd w:val="clear" w:color="auto" w:fill="FFFFFF"/>
              </w:rPr>
              <w:t>O</w:t>
            </w:r>
            <w:r w:rsidRPr="00B0721F">
              <w:rPr>
                <w:rFonts w:ascii="Arial" w:hAnsi="Arial" w:cs="Arial"/>
                <w:color w:val="000000" w:themeColor="text1"/>
                <w:sz w:val="16"/>
                <w:szCs w:val="16"/>
                <w:shd w:val="clear" w:color="auto" w:fill="FFFFFF"/>
                <w:vertAlign w:val="subscript"/>
              </w:rPr>
              <w:t>5</w:t>
            </w:r>
            <w:r w:rsidRPr="00B0721F">
              <w:rPr>
                <w:rFonts w:ascii="Arial" w:hAnsi="Arial" w:cs="Arial"/>
                <w:color w:val="000000" w:themeColor="text1"/>
                <w:sz w:val="16"/>
                <w:szCs w:val="16"/>
                <w:shd w:val="clear" w:color="auto" w:fill="FFFFFF"/>
              </w:rPr>
              <w:t>S</w:t>
            </w:r>
          </w:p>
          <w:p w14:paraId="56B490E2" w14:textId="77777777" w:rsidR="004D1935" w:rsidRPr="00B0721F" w:rsidRDefault="00000000" w:rsidP="00E24DC9">
            <w:pPr>
              <w:jc w:val="center"/>
              <w:rPr>
                <w:rFonts w:ascii="Segoe UI" w:hAnsi="Segoe UI" w:cs="Segoe UI"/>
                <w:color w:val="000000" w:themeColor="text1"/>
                <w:sz w:val="16"/>
                <w:szCs w:val="16"/>
              </w:rPr>
            </w:pPr>
            <w:hyperlink r:id="rId107" w:anchor="query=C20H30O4" w:tooltip="Find all compounds that have this formula" w:history="1">
              <w:r w:rsidR="004D1935" w:rsidRPr="00B0721F">
                <w:rPr>
                  <w:rFonts w:ascii="Segoe UI" w:hAnsi="Segoe UI" w:cs="Segoe UI"/>
                  <w:color w:val="000000" w:themeColor="text1"/>
                  <w:sz w:val="16"/>
                  <w:szCs w:val="16"/>
                </w:rPr>
                <w:br/>
              </w:r>
            </w:hyperlink>
          </w:p>
          <w:p w14:paraId="68271966" w14:textId="77777777" w:rsidR="004D1935" w:rsidRPr="00B0721F" w:rsidRDefault="004D1935" w:rsidP="00E24DC9">
            <w:pPr>
              <w:jc w:val="center"/>
              <w:rPr>
                <w:color w:val="000000" w:themeColor="text1"/>
                <w:sz w:val="16"/>
                <w:szCs w:val="16"/>
              </w:rPr>
            </w:pPr>
          </w:p>
        </w:tc>
        <w:tc>
          <w:tcPr>
            <w:tcW w:w="2711" w:type="dxa"/>
            <w:vMerge w:val="restart"/>
            <w:vAlign w:val="center"/>
          </w:tcPr>
          <w:p w14:paraId="3F063C17" w14:textId="77777777" w:rsidR="004D1935" w:rsidRPr="00B0721F" w:rsidRDefault="004D1935" w:rsidP="00E24DC9">
            <w:pPr>
              <w:jc w:val="center"/>
              <w:rPr>
                <w:color w:val="000000" w:themeColor="text1"/>
                <w:sz w:val="16"/>
                <w:szCs w:val="16"/>
              </w:rPr>
            </w:pPr>
            <w:r w:rsidRPr="00B0721F">
              <w:rPr>
                <w:rFonts w:ascii="Calibri" w:hAnsi="Calibri" w:cs="Calibri"/>
                <w:color w:val="000000" w:themeColor="text1"/>
                <w:sz w:val="16"/>
                <w:szCs w:val="16"/>
              </w:rPr>
              <w:t>antibiotic/amide/aminoacid/carboxilic acid/peptide</w:t>
            </w:r>
          </w:p>
          <w:p w14:paraId="6D3C169E" w14:textId="77777777" w:rsidR="004D1935" w:rsidRPr="00B0721F" w:rsidRDefault="004D1935" w:rsidP="00E24DC9">
            <w:pPr>
              <w:jc w:val="center"/>
              <w:rPr>
                <w:color w:val="000000" w:themeColor="text1"/>
                <w:sz w:val="16"/>
                <w:szCs w:val="16"/>
              </w:rPr>
            </w:pPr>
            <w:r w:rsidRPr="00B0721F">
              <w:rPr>
                <w:rFonts w:ascii="Calibri" w:hAnsi="Calibri" w:cs="Calibri"/>
                <w:color w:val="000000" w:themeColor="text1"/>
                <w:sz w:val="16"/>
                <w:szCs w:val="16"/>
              </w:rPr>
              <w:t>indole/alkaloid</w:t>
            </w:r>
          </w:p>
          <w:p w14:paraId="353CAA8E" w14:textId="77777777" w:rsidR="004D1935" w:rsidRPr="00B0721F" w:rsidRDefault="004D1935" w:rsidP="00E24DC9">
            <w:pPr>
              <w:jc w:val="center"/>
              <w:rPr>
                <w:color w:val="000000" w:themeColor="text1"/>
                <w:sz w:val="16"/>
                <w:szCs w:val="16"/>
              </w:rPr>
            </w:pPr>
            <w:r w:rsidRPr="00B0721F">
              <w:rPr>
                <w:rFonts w:ascii="Calibri" w:hAnsi="Calibri" w:cs="Calibri"/>
                <w:color w:val="000000" w:themeColor="text1"/>
                <w:sz w:val="16"/>
                <w:szCs w:val="16"/>
              </w:rPr>
              <w:t>fatty acid</w:t>
            </w:r>
          </w:p>
          <w:p w14:paraId="7367C680" w14:textId="77777777" w:rsidR="004D1935" w:rsidRPr="00B0721F" w:rsidRDefault="004D1935" w:rsidP="00E24DC9">
            <w:pPr>
              <w:jc w:val="center"/>
              <w:rPr>
                <w:color w:val="000000" w:themeColor="text1"/>
                <w:sz w:val="16"/>
                <w:szCs w:val="16"/>
              </w:rPr>
            </w:pPr>
            <w:r w:rsidRPr="00B0721F">
              <w:rPr>
                <w:rFonts w:ascii="Calibri" w:hAnsi="Calibri" w:cs="Calibri"/>
                <w:color w:val="000000" w:themeColor="text1"/>
                <w:sz w:val="16"/>
                <w:szCs w:val="16"/>
              </w:rPr>
              <w:t>fatty acid</w:t>
            </w:r>
          </w:p>
          <w:p w14:paraId="6F371030" w14:textId="77777777" w:rsidR="004D1935" w:rsidRPr="00B0721F" w:rsidRDefault="004D1935" w:rsidP="00E24DC9">
            <w:pPr>
              <w:jc w:val="center"/>
              <w:rPr>
                <w:color w:val="000000" w:themeColor="text1"/>
                <w:sz w:val="16"/>
                <w:szCs w:val="16"/>
              </w:rPr>
            </w:pPr>
            <w:r w:rsidRPr="00B0721F">
              <w:rPr>
                <w:rFonts w:ascii="Calibri (Body)" w:hAnsi="Calibri (Body)" w:cs="Calibri"/>
                <w:color w:val="000000" w:themeColor="text1"/>
                <w:sz w:val="16"/>
                <w:szCs w:val="16"/>
              </w:rPr>
              <w:t>carboxy acid/amino acid/Amine/amide</w:t>
            </w:r>
          </w:p>
        </w:tc>
        <w:tc>
          <w:tcPr>
            <w:tcW w:w="6855" w:type="dxa"/>
            <w:vMerge w:val="restart"/>
            <w:vAlign w:val="center"/>
          </w:tcPr>
          <w:p w14:paraId="2E74ECA9" w14:textId="77777777" w:rsidR="004D1935" w:rsidRPr="00B0721F" w:rsidRDefault="004D1935" w:rsidP="00E24DC9">
            <w:pPr>
              <w:jc w:val="center"/>
              <w:rPr>
                <w:color w:val="000000" w:themeColor="text1"/>
                <w:sz w:val="16"/>
                <w:szCs w:val="16"/>
              </w:rPr>
            </w:pPr>
            <w:r w:rsidRPr="00B0721F">
              <w:rPr>
                <w:rFonts w:ascii="Verdana" w:hAnsi="Verdana" w:cs="Calibri"/>
                <w:color w:val="000000" w:themeColor="text1"/>
                <w:sz w:val="16"/>
                <w:szCs w:val="16"/>
              </w:rPr>
              <w:t>Penicillin and cephalosporin biosynthesis/</w:t>
            </w:r>
            <w:r w:rsidRPr="00B0721F">
              <w:rPr>
                <w:rFonts w:ascii="Verdana" w:hAnsi="Verdana"/>
                <w:color w:val="000000" w:themeColor="text1"/>
                <w:sz w:val="16"/>
                <w:szCs w:val="16"/>
                <w:shd w:val="clear" w:color="auto" w:fill="FFFFFF"/>
              </w:rPr>
              <w:t>Lysine de</w:t>
            </w:r>
            <w:r w:rsidRPr="00B0721F">
              <w:rPr>
                <w:rFonts w:ascii="Verdana" w:hAnsi="Verdana"/>
                <w:color w:val="000000" w:themeColor="text1"/>
                <w:sz w:val="16"/>
                <w:szCs w:val="16"/>
              </w:rPr>
              <w:t>g</w:t>
            </w:r>
            <w:r w:rsidRPr="00B0721F">
              <w:rPr>
                <w:rFonts w:ascii="Verdana" w:hAnsi="Verdana"/>
                <w:color w:val="000000" w:themeColor="text1"/>
                <w:sz w:val="16"/>
                <w:szCs w:val="16"/>
                <w:shd w:val="clear" w:color="auto" w:fill="FFFFFF"/>
              </w:rPr>
              <w:t>radation</w:t>
            </w:r>
          </w:p>
          <w:p w14:paraId="56A7E689" w14:textId="77777777" w:rsidR="004D1935" w:rsidRPr="00B0721F" w:rsidRDefault="004D1935" w:rsidP="00E24DC9">
            <w:pPr>
              <w:jc w:val="center"/>
              <w:rPr>
                <w:color w:val="000000" w:themeColor="text1"/>
                <w:sz w:val="16"/>
                <w:szCs w:val="16"/>
              </w:rPr>
            </w:pPr>
            <w:r w:rsidRPr="00B0721F">
              <w:rPr>
                <w:rFonts w:ascii="Verdana" w:hAnsi="Verdana" w:cs="Calibri"/>
                <w:color w:val="000000" w:themeColor="text1"/>
                <w:sz w:val="16"/>
                <w:szCs w:val="16"/>
              </w:rPr>
              <w:t>Indole alkaloid biosynthesis/ Shikimate pathway/jasmonic acid biosynthesis/Riboflavin/Flavanone/Flavonoid biosynthesis</w:t>
            </w:r>
          </w:p>
          <w:p w14:paraId="0243F921" w14:textId="77777777" w:rsidR="004D1935" w:rsidRPr="00B0721F" w:rsidRDefault="004D1935" w:rsidP="00E24DC9">
            <w:pPr>
              <w:jc w:val="center"/>
              <w:rPr>
                <w:color w:val="000000" w:themeColor="text1"/>
                <w:sz w:val="16"/>
                <w:szCs w:val="16"/>
              </w:rPr>
            </w:pPr>
            <w:r w:rsidRPr="00B0721F">
              <w:rPr>
                <w:rFonts w:ascii="Verdana" w:hAnsi="Verdana" w:cs="Calibri"/>
                <w:color w:val="000000" w:themeColor="text1"/>
                <w:sz w:val="16"/>
                <w:szCs w:val="16"/>
              </w:rPr>
              <w:t>Oxytocin signaling pathway/Arachidonic acid metabolism/ Shikimate pathway/jasmonic acid biosynthesis/Riboflavin/Flavanone/Flavonoid biosynthesis/fatty acid biosynthesis</w:t>
            </w:r>
          </w:p>
          <w:p w14:paraId="04B914EC" w14:textId="77777777" w:rsidR="004D1935" w:rsidRPr="00B0721F" w:rsidRDefault="004D1935" w:rsidP="00E24DC9">
            <w:pPr>
              <w:jc w:val="center"/>
              <w:rPr>
                <w:color w:val="000000" w:themeColor="text1"/>
                <w:sz w:val="16"/>
                <w:szCs w:val="16"/>
              </w:rPr>
            </w:pPr>
            <w:r w:rsidRPr="00B0721F">
              <w:rPr>
                <w:rFonts w:ascii="Verdana" w:hAnsi="Verdana" w:cs="Calibri"/>
                <w:color w:val="000000" w:themeColor="text1"/>
                <w:sz w:val="16"/>
                <w:szCs w:val="16"/>
              </w:rPr>
              <w:t>Oxytocin signaling pathway/Arachidonic acid metabolism/ Shikimate pathway/jasmonic acid biosynthesis/Riboflavin/Flavanone/Flavonoid biosynthesis/fatty acid biosynthesis</w:t>
            </w:r>
          </w:p>
          <w:p w14:paraId="4B646279" w14:textId="77777777" w:rsidR="004D1935" w:rsidRPr="00B0721F" w:rsidRDefault="004D1935" w:rsidP="00E24DC9">
            <w:pPr>
              <w:jc w:val="center"/>
              <w:rPr>
                <w:color w:val="000000" w:themeColor="text1"/>
                <w:sz w:val="16"/>
                <w:szCs w:val="16"/>
              </w:rPr>
            </w:pPr>
            <w:r w:rsidRPr="00B0721F">
              <w:rPr>
                <w:rFonts w:ascii="Verdana" w:hAnsi="Verdana" w:cs="Calibri"/>
                <w:color w:val="000000" w:themeColor="text1"/>
                <w:sz w:val="16"/>
                <w:szCs w:val="16"/>
              </w:rPr>
              <w:t>Histidine metabolism</w:t>
            </w:r>
          </w:p>
        </w:tc>
      </w:tr>
      <w:tr w:rsidR="004D1935" w14:paraId="0FE02991" w14:textId="77777777" w:rsidTr="00E24DC9">
        <w:tc>
          <w:tcPr>
            <w:tcW w:w="643" w:type="dxa"/>
            <w:vMerge/>
            <w:vAlign w:val="center"/>
          </w:tcPr>
          <w:p w14:paraId="7DEFA534" w14:textId="77777777" w:rsidR="004D1935" w:rsidRDefault="004D1935" w:rsidP="00E24DC9">
            <w:pPr>
              <w:jc w:val="center"/>
            </w:pPr>
          </w:p>
        </w:tc>
        <w:tc>
          <w:tcPr>
            <w:tcW w:w="749" w:type="dxa"/>
            <w:tcBorders>
              <w:top w:val="nil"/>
              <w:bottom w:val="nil"/>
            </w:tcBorders>
            <w:vAlign w:val="center"/>
          </w:tcPr>
          <w:p w14:paraId="6DA1A4CA" w14:textId="77777777" w:rsidR="004D1935" w:rsidRDefault="004D1935" w:rsidP="00E24DC9">
            <w:pPr>
              <w:jc w:val="center"/>
            </w:pPr>
            <w:r w:rsidRPr="00C419D2">
              <w:rPr>
                <w:rFonts w:ascii="Calibri" w:hAnsi="Calibri" w:cs="Calibri"/>
                <w:color w:val="000000"/>
                <w:sz w:val="11"/>
                <w:szCs w:val="11"/>
              </w:rPr>
              <w:t>334.1553</w:t>
            </w:r>
          </w:p>
        </w:tc>
        <w:tc>
          <w:tcPr>
            <w:tcW w:w="1418" w:type="dxa"/>
            <w:vMerge/>
            <w:vAlign w:val="center"/>
          </w:tcPr>
          <w:p w14:paraId="6D3BBE9C" w14:textId="77777777" w:rsidR="004D1935" w:rsidRDefault="004D1935" w:rsidP="00E24DC9">
            <w:pPr>
              <w:jc w:val="center"/>
            </w:pPr>
          </w:p>
        </w:tc>
        <w:tc>
          <w:tcPr>
            <w:tcW w:w="1369" w:type="dxa"/>
            <w:vMerge/>
            <w:vAlign w:val="center"/>
          </w:tcPr>
          <w:p w14:paraId="280C4FCC" w14:textId="77777777" w:rsidR="004D1935" w:rsidRDefault="004D1935" w:rsidP="00E24DC9">
            <w:pPr>
              <w:jc w:val="center"/>
            </w:pPr>
          </w:p>
        </w:tc>
        <w:tc>
          <w:tcPr>
            <w:tcW w:w="2711" w:type="dxa"/>
            <w:vMerge/>
            <w:vAlign w:val="center"/>
          </w:tcPr>
          <w:p w14:paraId="7B5E18F3" w14:textId="77777777" w:rsidR="004D1935" w:rsidRDefault="004D1935" w:rsidP="00E24DC9">
            <w:pPr>
              <w:jc w:val="center"/>
            </w:pPr>
          </w:p>
        </w:tc>
        <w:tc>
          <w:tcPr>
            <w:tcW w:w="6855" w:type="dxa"/>
            <w:vMerge/>
            <w:vAlign w:val="center"/>
          </w:tcPr>
          <w:p w14:paraId="63F02C4B" w14:textId="77777777" w:rsidR="004D1935" w:rsidRDefault="004D1935" w:rsidP="00E24DC9">
            <w:pPr>
              <w:jc w:val="center"/>
            </w:pPr>
          </w:p>
        </w:tc>
      </w:tr>
      <w:tr w:rsidR="004D1935" w14:paraId="54943B83" w14:textId="77777777" w:rsidTr="00E24DC9">
        <w:tc>
          <w:tcPr>
            <w:tcW w:w="643" w:type="dxa"/>
            <w:vMerge/>
            <w:vAlign w:val="center"/>
          </w:tcPr>
          <w:p w14:paraId="25A75DDE" w14:textId="77777777" w:rsidR="004D1935" w:rsidRDefault="004D1935" w:rsidP="00E24DC9">
            <w:pPr>
              <w:jc w:val="center"/>
            </w:pPr>
          </w:p>
        </w:tc>
        <w:tc>
          <w:tcPr>
            <w:tcW w:w="749" w:type="dxa"/>
            <w:tcBorders>
              <w:top w:val="nil"/>
              <w:bottom w:val="nil"/>
            </w:tcBorders>
            <w:vAlign w:val="center"/>
          </w:tcPr>
          <w:p w14:paraId="20C8DE59" w14:textId="77777777" w:rsidR="004D1935" w:rsidRDefault="004D1935" w:rsidP="00E24DC9">
            <w:pPr>
              <w:jc w:val="center"/>
            </w:pPr>
            <w:r w:rsidRPr="00C419D2">
              <w:rPr>
                <w:rFonts w:ascii="Calibri" w:hAnsi="Calibri" w:cs="Calibri"/>
                <w:color w:val="000000"/>
                <w:sz w:val="11"/>
                <w:szCs w:val="11"/>
              </w:rPr>
              <w:t>334.1953</w:t>
            </w:r>
          </w:p>
        </w:tc>
        <w:tc>
          <w:tcPr>
            <w:tcW w:w="1418" w:type="dxa"/>
            <w:vMerge/>
            <w:vAlign w:val="center"/>
          </w:tcPr>
          <w:p w14:paraId="5506C7DC" w14:textId="77777777" w:rsidR="004D1935" w:rsidRDefault="004D1935" w:rsidP="00E24DC9">
            <w:pPr>
              <w:jc w:val="center"/>
            </w:pPr>
          </w:p>
        </w:tc>
        <w:tc>
          <w:tcPr>
            <w:tcW w:w="1369" w:type="dxa"/>
            <w:vMerge/>
            <w:vAlign w:val="center"/>
          </w:tcPr>
          <w:p w14:paraId="002E205D" w14:textId="77777777" w:rsidR="004D1935" w:rsidRDefault="004D1935" w:rsidP="00E24DC9">
            <w:pPr>
              <w:jc w:val="center"/>
            </w:pPr>
          </w:p>
        </w:tc>
        <w:tc>
          <w:tcPr>
            <w:tcW w:w="2711" w:type="dxa"/>
            <w:vMerge/>
            <w:vAlign w:val="center"/>
          </w:tcPr>
          <w:p w14:paraId="049C304F" w14:textId="77777777" w:rsidR="004D1935" w:rsidRDefault="004D1935" w:rsidP="00E24DC9">
            <w:pPr>
              <w:jc w:val="center"/>
            </w:pPr>
          </w:p>
        </w:tc>
        <w:tc>
          <w:tcPr>
            <w:tcW w:w="6855" w:type="dxa"/>
            <w:vMerge/>
            <w:vAlign w:val="center"/>
          </w:tcPr>
          <w:p w14:paraId="76F5F3BB" w14:textId="77777777" w:rsidR="004D1935" w:rsidRDefault="004D1935" w:rsidP="00E24DC9">
            <w:pPr>
              <w:jc w:val="center"/>
            </w:pPr>
          </w:p>
        </w:tc>
      </w:tr>
      <w:tr w:rsidR="004D1935" w14:paraId="2DDF7526" w14:textId="77777777" w:rsidTr="00E24DC9">
        <w:tc>
          <w:tcPr>
            <w:tcW w:w="643" w:type="dxa"/>
            <w:vMerge/>
            <w:vAlign w:val="center"/>
          </w:tcPr>
          <w:p w14:paraId="55BBFDE9" w14:textId="77777777" w:rsidR="004D1935" w:rsidRDefault="004D1935" w:rsidP="00E24DC9">
            <w:pPr>
              <w:jc w:val="center"/>
            </w:pPr>
          </w:p>
        </w:tc>
        <w:tc>
          <w:tcPr>
            <w:tcW w:w="749" w:type="dxa"/>
            <w:tcBorders>
              <w:top w:val="nil"/>
              <w:bottom w:val="nil"/>
            </w:tcBorders>
            <w:vAlign w:val="center"/>
          </w:tcPr>
          <w:p w14:paraId="2808AE03" w14:textId="77777777" w:rsidR="004D1935" w:rsidRDefault="004D1935" w:rsidP="00E24DC9">
            <w:pPr>
              <w:jc w:val="center"/>
            </w:pPr>
            <w:r w:rsidRPr="00C419D2">
              <w:rPr>
                <w:rFonts w:ascii="Calibri" w:hAnsi="Calibri" w:cs="Calibri"/>
                <w:color w:val="000000"/>
                <w:sz w:val="11"/>
                <w:szCs w:val="11"/>
              </w:rPr>
              <w:t>334.2353</w:t>
            </w:r>
          </w:p>
        </w:tc>
        <w:tc>
          <w:tcPr>
            <w:tcW w:w="1418" w:type="dxa"/>
            <w:vMerge/>
            <w:vAlign w:val="center"/>
          </w:tcPr>
          <w:p w14:paraId="70085ED0" w14:textId="77777777" w:rsidR="004D1935" w:rsidRDefault="004D1935" w:rsidP="00E24DC9">
            <w:pPr>
              <w:jc w:val="center"/>
            </w:pPr>
          </w:p>
        </w:tc>
        <w:tc>
          <w:tcPr>
            <w:tcW w:w="1369" w:type="dxa"/>
            <w:vMerge/>
            <w:vAlign w:val="center"/>
          </w:tcPr>
          <w:p w14:paraId="0C2A3479" w14:textId="77777777" w:rsidR="004D1935" w:rsidRDefault="004D1935" w:rsidP="00E24DC9">
            <w:pPr>
              <w:jc w:val="center"/>
            </w:pPr>
          </w:p>
        </w:tc>
        <w:tc>
          <w:tcPr>
            <w:tcW w:w="2711" w:type="dxa"/>
            <w:vMerge/>
            <w:vAlign w:val="center"/>
          </w:tcPr>
          <w:p w14:paraId="4A2BB071" w14:textId="77777777" w:rsidR="004D1935" w:rsidRDefault="004D1935" w:rsidP="00E24DC9">
            <w:pPr>
              <w:jc w:val="center"/>
            </w:pPr>
          </w:p>
        </w:tc>
        <w:tc>
          <w:tcPr>
            <w:tcW w:w="6855" w:type="dxa"/>
            <w:vMerge/>
            <w:vAlign w:val="center"/>
          </w:tcPr>
          <w:p w14:paraId="091CB885" w14:textId="77777777" w:rsidR="004D1935" w:rsidRDefault="004D1935" w:rsidP="00E24DC9">
            <w:pPr>
              <w:jc w:val="center"/>
            </w:pPr>
          </w:p>
        </w:tc>
      </w:tr>
      <w:tr w:rsidR="004D1935" w14:paraId="46C2804A" w14:textId="77777777" w:rsidTr="00E24DC9">
        <w:tc>
          <w:tcPr>
            <w:tcW w:w="643" w:type="dxa"/>
            <w:vMerge/>
            <w:vAlign w:val="center"/>
          </w:tcPr>
          <w:p w14:paraId="709DFA6F" w14:textId="77777777" w:rsidR="004D1935" w:rsidRDefault="004D1935" w:rsidP="00E24DC9">
            <w:pPr>
              <w:jc w:val="center"/>
            </w:pPr>
          </w:p>
        </w:tc>
        <w:tc>
          <w:tcPr>
            <w:tcW w:w="749" w:type="dxa"/>
            <w:tcBorders>
              <w:top w:val="nil"/>
              <w:bottom w:val="nil"/>
            </w:tcBorders>
            <w:vAlign w:val="center"/>
          </w:tcPr>
          <w:p w14:paraId="779D6709" w14:textId="77777777" w:rsidR="004D1935" w:rsidRDefault="004D1935" w:rsidP="00E24DC9">
            <w:pPr>
              <w:jc w:val="center"/>
            </w:pPr>
            <w:r w:rsidRPr="00C419D2">
              <w:rPr>
                <w:rFonts w:ascii="Calibri" w:hAnsi="Calibri" w:cs="Calibri"/>
                <w:color w:val="000000"/>
                <w:sz w:val="11"/>
                <w:szCs w:val="11"/>
              </w:rPr>
              <w:t>334.2753</w:t>
            </w:r>
          </w:p>
        </w:tc>
        <w:tc>
          <w:tcPr>
            <w:tcW w:w="1418" w:type="dxa"/>
            <w:vMerge/>
            <w:vAlign w:val="center"/>
          </w:tcPr>
          <w:p w14:paraId="6C86C811" w14:textId="77777777" w:rsidR="004D1935" w:rsidRDefault="004D1935" w:rsidP="00E24DC9">
            <w:pPr>
              <w:jc w:val="center"/>
            </w:pPr>
          </w:p>
        </w:tc>
        <w:tc>
          <w:tcPr>
            <w:tcW w:w="1369" w:type="dxa"/>
            <w:vMerge/>
            <w:vAlign w:val="center"/>
          </w:tcPr>
          <w:p w14:paraId="09B62180" w14:textId="77777777" w:rsidR="004D1935" w:rsidRDefault="004D1935" w:rsidP="00E24DC9">
            <w:pPr>
              <w:jc w:val="center"/>
            </w:pPr>
          </w:p>
        </w:tc>
        <w:tc>
          <w:tcPr>
            <w:tcW w:w="2711" w:type="dxa"/>
            <w:vMerge/>
            <w:vAlign w:val="center"/>
          </w:tcPr>
          <w:p w14:paraId="2B2FDF94" w14:textId="77777777" w:rsidR="004D1935" w:rsidRDefault="004D1935" w:rsidP="00E24DC9">
            <w:pPr>
              <w:jc w:val="center"/>
            </w:pPr>
          </w:p>
        </w:tc>
        <w:tc>
          <w:tcPr>
            <w:tcW w:w="6855" w:type="dxa"/>
            <w:vMerge/>
            <w:vAlign w:val="center"/>
          </w:tcPr>
          <w:p w14:paraId="66A0ED75" w14:textId="77777777" w:rsidR="004D1935" w:rsidRDefault="004D1935" w:rsidP="00E24DC9">
            <w:pPr>
              <w:jc w:val="center"/>
            </w:pPr>
          </w:p>
        </w:tc>
      </w:tr>
      <w:tr w:rsidR="004D1935" w14:paraId="49FF088D" w14:textId="77777777" w:rsidTr="00E24DC9">
        <w:tc>
          <w:tcPr>
            <w:tcW w:w="643" w:type="dxa"/>
            <w:vMerge/>
            <w:vAlign w:val="center"/>
          </w:tcPr>
          <w:p w14:paraId="2EC0681B" w14:textId="77777777" w:rsidR="004D1935" w:rsidRDefault="004D1935" w:rsidP="00E24DC9">
            <w:pPr>
              <w:jc w:val="center"/>
            </w:pPr>
          </w:p>
        </w:tc>
        <w:tc>
          <w:tcPr>
            <w:tcW w:w="749" w:type="dxa"/>
            <w:tcBorders>
              <w:top w:val="nil"/>
              <w:bottom w:val="nil"/>
            </w:tcBorders>
            <w:vAlign w:val="center"/>
          </w:tcPr>
          <w:p w14:paraId="2666A9C1" w14:textId="77777777" w:rsidR="004D1935" w:rsidRDefault="004D1935" w:rsidP="00E24DC9">
            <w:pPr>
              <w:jc w:val="center"/>
            </w:pPr>
          </w:p>
        </w:tc>
        <w:tc>
          <w:tcPr>
            <w:tcW w:w="1418" w:type="dxa"/>
            <w:vMerge/>
            <w:vAlign w:val="center"/>
          </w:tcPr>
          <w:p w14:paraId="4B8B11B3" w14:textId="77777777" w:rsidR="004D1935" w:rsidRDefault="004D1935" w:rsidP="00E24DC9">
            <w:pPr>
              <w:jc w:val="center"/>
            </w:pPr>
          </w:p>
        </w:tc>
        <w:tc>
          <w:tcPr>
            <w:tcW w:w="1369" w:type="dxa"/>
            <w:vMerge/>
            <w:vAlign w:val="center"/>
          </w:tcPr>
          <w:p w14:paraId="3132EFE6" w14:textId="77777777" w:rsidR="004D1935" w:rsidRDefault="004D1935" w:rsidP="00E24DC9">
            <w:pPr>
              <w:jc w:val="center"/>
            </w:pPr>
          </w:p>
        </w:tc>
        <w:tc>
          <w:tcPr>
            <w:tcW w:w="2711" w:type="dxa"/>
            <w:vMerge/>
            <w:vAlign w:val="center"/>
          </w:tcPr>
          <w:p w14:paraId="0A2A054D" w14:textId="77777777" w:rsidR="004D1935" w:rsidRDefault="004D1935" w:rsidP="00E24DC9">
            <w:pPr>
              <w:jc w:val="center"/>
            </w:pPr>
          </w:p>
        </w:tc>
        <w:tc>
          <w:tcPr>
            <w:tcW w:w="6855" w:type="dxa"/>
            <w:vMerge/>
            <w:vAlign w:val="center"/>
          </w:tcPr>
          <w:p w14:paraId="091A1E0A" w14:textId="77777777" w:rsidR="004D1935" w:rsidRDefault="004D1935" w:rsidP="00E24DC9">
            <w:pPr>
              <w:jc w:val="center"/>
            </w:pPr>
          </w:p>
        </w:tc>
      </w:tr>
      <w:tr w:rsidR="004D1935" w14:paraId="621498B2" w14:textId="77777777" w:rsidTr="00E24DC9">
        <w:tc>
          <w:tcPr>
            <w:tcW w:w="643" w:type="dxa"/>
            <w:vMerge/>
            <w:vAlign w:val="center"/>
          </w:tcPr>
          <w:p w14:paraId="57F7D56C" w14:textId="77777777" w:rsidR="004D1935" w:rsidRDefault="004D1935" w:rsidP="00E24DC9">
            <w:pPr>
              <w:jc w:val="center"/>
            </w:pPr>
          </w:p>
        </w:tc>
        <w:tc>
          <w:tcPr>
            <w:tcW w:w="749" w:type="dxa"/>
            <w:tcBorders>
              <w:top w:val="nil"/>
              <w:bottom w:val="nil"/>
            </w:tcBorders>
            <w:vAlign w:val="center"/>
          </w:tcPr>
          <w:p w14:paraId="59C38605" w14:textId="77777777" w:rsidR="004D1935" w:rsidRDefault="004D1935" w:rsidP="00E24DC9">
            <w:pPr>
              <w:jc w:val="center"/>
            </w:pPr>
            <w:r w:rsidRPr="00C419D2">
              <w:rPr>
                <w:rFonts w:ascii="Calibri" w:hAnsi="Calibri" w:cs="Calibri"/>
                <w:color w:val="000000"/>
                <w:sz w:val="11"/>
                <w:szCs w:val="11"/>
              </w:rPr>
              <w:t>334.1526</w:t>
            </w:r>
          </w:p>
        </w:tc>
        <w:tc>
          <w:tcPr>
            <w:tcW w:w="1418" w:type="dxa"/>
            <w:vMerge/>
            <w:vAlign w:val="center"/>
          </w:tcPr>
          <w:p w14:paraId="3CF95C56" w14:textId="77777777" w:rsidR="004D1935" w:rsidRDefault="004D1935" w:rsidP="00E24DC9">
            <w:pPr>
              <w:jc w:val="center"/>
            </w:pPr>
          </w:p>
        </w:tc>
        <w:tc>
          <w:tcPr>
            <w:tcW w:w="1369" w:type="dxa"/>
            <w:vMerge/>
            <w:vAlign w:val="center"/>
          </w:tcPr>
          <w:p w14:paraId="45582602" w14:textId="77777777" w:rsidR="004D1935" w:rsidRDefault="004D1935" w:rsidP="00E24DC9">
            <w:pPr>
              <w:jc w:val="center"/>
            </w:pPr>
          </w:p>
        </w:tc>
        <w:tc>
          <w:tcPr>
            <w:tcW w:w="2711" w:type="dxa"/>
            <w:vMerge/>
            <w:vAlign w:val="center"/>
          </w:tcPr>
          <w:p w14:paraId="61B7019A" w14:textId="77777777" w:rsidR="004D1935" w:rsidRDefault="004D1935" w:rsidP="00E24DC9">
            <w:pPr>
              <w:jc w:val="center"/>
            </w:pPr>
          </w:p>
        </w:tc>
        <w:tc>
          <w:tcPr>
            <w:tcW w:w="6855" w:type="dxa"/>
            <w:vMerge/>
            <w:vAlign w:val="center"/>
          </w:tcPr>
          <w:p w14:paraId="44C559D8" w14:textId="77777777" w:rsidR="004D1935" w:rsidRDefault="004D1935" w:rsidP="00E24DC9">
            <w:pPr>
              <w:jc w:val="center"/>
            </w:pPr>
          </w:p>
        </w:tc>
      </w:tr>
      <w:tr w:rsidR="004D1935" w14:paraId="0B503C18" w14:textId="77777777" w:rsidTr="00E24DC9">
        <w:tc>
          <w:tcPr>
            <w:tcW w:w="643" w:type="dxa"/>
            <w:vMerge/>
            <w:vAlign w:val="center"/>
          </w:tcPr>
          <w:p w14:paraId="4B32CDB7" w14:textId="77777777" w:rsidR="004D1935" w:rsidRDefault="004D1935" w:rsidP="00E24DC9">
            <w:pPr>
              <w:jc w:val="center"/>
            </w:pPr>
          </w:p>
        </w:tc>
        <w:tc>
          <w:tcPr>
            <w:tcW w:w="749" w:type="dxa"/>
            <w:tcBorders>
              <w:top w:val="nil"/>
              <w:bottom w:val="nil"/>
            </w:tcBorders>
            <w:vAlign w:val="center"/>
          </w:tcPr>
          <w:p w14:paraId="770AB247" w14:textId="77777777" w:rsidR="004D1935" w:rsidRDefault="004D1935" w:rsidP="00E24DC9">
            <w:pPr>
              <w:jc w:val="center"/>
            </w:pPr>
            <w:r w:rsidRPr="00C419D2">
              <w:rPr>
                <w:rFonts w:ascii="Calibri" w:hAnsi="Calibri" w:cs="Calibri"/>
                <w:color w:val="000000"/>
                <w:sz w:val="11"/>
                <w:szCs w:val="11"/>
              </w:rPr>
              <w:t>334.1926</w:t>
            </w:r>
          </w:p>
        </w:tc>
        <w:tc>
          <w:tcPr>
            <w:tcW w:w="1418" w:type="dxa"/>
            <w:vMerge/>
            <w:vAlign w:val="center"/>
          </w:tcPr>
          <w:p w14:paraId="706654F6" w14:textId="77777777" w:rsidR="004D1935" w:rsidRDefault="004D1935" w:rsidP="00E24DC9">
            <w:pPr>
              <w:jc w:val="center"/>
            </w:pPr>
          </w:p>
        </w:tc>
        <w:tc>
          <w:tcPr>
            <w:tcW w:w="1369" w:type="dxa"/>
            <w:vMerge/>
            <w:vAlign w:val="center"/>
          </w:tcPr>
          <w:p w14:paraId="20D65549" w14:textId="77777777" w:rsidR="004D1935" w:rsidRDefault="004D1935" w:rsidP="00E24DC9">
            <w:pPr>
              <w:jc w:val="center"/>
            </w:pPr>
          </w:p>
        </w:tc>
        <w:tc>
          <w:tcPr>
            <w:tcW w:w="2711" w:type="dxa"/>
            <w:vMerge/>
            <w:vAlign w:val="center"/>
          </w:tcPr>
          <w:p w14:paraId="599284FE" w14:textId="77777777" w:rsidR="004D1935" w:rsidRDefault="004D1935" w:rsidP="00E24DC9">
            <w:pPr>
              <w:jc w:val="center"/>
            </w:pPr>
          </w:p>
        </w:tc>
        <w:tc>
          <w:tcPr>
            <w:tcW w:w="6855" w:type="dxa"/>
            <w:vMerge/>
            <w:vAlign w:val="center"/>
          </w:tcPr>
          <w:p w14:paraId="6504FC4E" w14:textId="77777777" w:rsidR="004D1935" w:rsidRDefault="004D1935" w:rsidP="00E24DC9">
            <w:pPr>
              <w:jc w:val="center"/>
            </w:pPr>
          </w:p>
        </w:tc>
      </w:tr>
      <w:tr w:rsidR="004D1935" w14:paraId="26D5AD30" w14:textId="77777777" w:rsidTr="00E24DC9">
        <w:tc>
          <w:tcPr>
            <w:tcW w:w="643" w:type="dxa"/>
            <w:vMerge/>
            <w:vAlign w:val="center"/>
          </w:tcPr>
          <w:p w14:paraId="201E0C95" w14:textId="77777777" w:rsidR="004D1935" w:rsidRDefault="004D1935" w:rsidP="00E24DC9">
            <w:pPr>
              <w:jc w:val="center"/>
            </w:pPr>
          </w:p>
        </w:tc>
        <w:tc>
          <w:tcPr>
            <w:tcW w:w="749" w:type="dxa"/>
            <w:tcBorders>
              <w:top w:val="nil"/>
              <w:bottom w:val="nil"/>
            </w:tcBorders>
            <w:vAlign w:val="center"/>
          </w:tcPr>
          <w:p w14:paraId="3BD57BE2" w14:textId="77777777" w:rsidR="004D1935" w:rsidRDefault="004D1935" w:rsidP="00E24DC9">
            <w:pPr>
              <w:jc w:val="center"/>
            </w:pPr>
            <w:r w:rsidRPr="00C419D2">
              <w:rPr>
                <w:rFonts w:ascii="Calibri" w:hAnsi="Calibri" w:cs="Calibri"/>
                <w:color w:val="000000"/>
                <w:sz w:val="11"/>
                <w:szCs w:val="11"/>
              </w:rPr>
              <w:t>334.2326</w:t>
            </w:r>
          </w:p>
        </w:tc>
        <w:tc>
          <w:tcPr>
            <w:tcW w:w="1418" w:type="dxa"/>
            <w:vMerge/>
            <w:vAlign w:val="center"/>
          </w:tcPr>
          <w:p w14:paraId="07FE5915" w14:textId="77777777" w:rsidR="004D1935" w:rsidRDefault="004D1935" w:rsidP="00E24DC9">
            <w:pPr>
              <w:jc w:val="center"/>
            </w:pPr>
          </w:p>
        </w:tc>
        <w:tc>
          <w:tcPr>
            <w:tcW w:w="1369" w:type="dxa"/>
            <w:vMerge/>
            <w:vAlign w:val="center"/>
          </w:tcPr>
          <w:p w14:paraId="43AC3526" w14:textId="77777777" w:rsidR="004D1935" w:rsidRDefault="004D1935" w:rsidP="00E24DC9">
            <w:pPr>
              <w:jc w:val="center"/>
            </w:pPr>
          </w:p>
        </w:tc>
        <w:tc>
          <w:tcPr>
            <w:tcW w:w="2711" w:type="dxa"/>
            <w:vMerge/>
            <w:vAlign w:val="center"/>
          </w:tcPr>
          <w:p w14:paraId="407FC753" w14:textId="77777777" w:rsidR="004D1935" w:rsidRDefault="004D1935" w:rsidP="00E24DC9">
            <w:pPr>
              <w:jc w:val="center"/>
            </w:pPr>
          </w:p>
        </w:tc>
        <w:tc>
          <w:tcPr>
            <w:tcW w:w="6855" w:type="dxa"/>
            <w:vMerge/>
            <w:vAlign w:val="center"/>
          </w:tcPr>
          <w:p w14:paraId="010E90CD" w14:textId="77777777" w:rsidR="004D1935" w:rsidRDefault="004D1935" w:rsidP="00E24DC9">
            <w:pPr>
              <w:jc w:val="center"/>
            </w:pPr>
          </w:p>
        </w:tc>
      </w:tr>
      <w:tr w:rsidR="004D1935" w14:paraId="0C8A0D51" w14:textId="77777777" w:rsidTr="00E24DC9">
        <w:tc>
          <w:tcPr>
            <w:tcW w:w="643" w:type="dxa"/>
            <w:vMerge/>
            <w:vAlign w:val="center"/>
          </w:tcPr>
          <w:p w14:paraId="6E61E46D" w14:textId="77777777" w:rsidR="004D1935" w:rsidRDefault="004D1935" w:rsidP="00E24DC9">
            <w:pPr>
              <w:jc w:val="center"/>
            </w:pPr>
          </w:p>
        </w:tc>
        <w:tc>
          <w:tcPr>
            <w:tcW w:w="749" w:type="dxa"/>
            <w:tcBorders>
              <w:top w:val="nil"/>
              <w:bottom w:val="nil"/>
            </w:tcBorders>
            <w:vAlign w:val="center"/>
          </w:tcPr>
          <w:p w14:paraId="3C8514B5" w14:textId="77777777" w:rsidR="004D1935" w:rsidRDefault="004D1935" w:rsidP="00E24DC9">
            <w:pPr>
              <w:jc w:val="center"/>
            </w:pPr>
            <w:r w:rsidRPr="00C419D2">
              <w:rPr>
                <w:rFonts w:ascii="Calibri" w:hAnsi="Calibri" w:cs="Calibri"/>
                <w:color w:val="000000"/>
                <w:sz w:val="11"/>
                <w:szCs w:val="11"/>
              </w:rPr>
              <w:t>334.2726</w:t>
            </w:r>
          </w:p>
        </w:tc>
        <w:tc>
          <w:tcPr>
            <w:tcW w:w="1418" w:type="dxa"/>
            <w:vMerge/>
            <w:vAlign w:val="center"/>
          </w:tcPr>
          <w:p w14:paraId="58784396" w14:textId="77777777" w:rsidR="004D1935" w:rsidRDefault="004D1935" w:rsidP="00E24DC9">
            <w:pPr>
              <w:jc w:val="center"/>
            </w:pPr>
          </w:p>
        </w:tc>
        <w:tc>
          <w:tcPr>
            <w:tcW w:w="1369" w:type="dxa"/>
            <w:vMerge/>
            <w:vAlign w:val="center"/>
          </w:tcPr>
          <w:p w14:paraId="18C5B78C" w14:textId="77777777" w:rsidR="004D1935" w:rsidRDefault="004D1935" w:rsidP="00E24DC9">
            <w:pPr>
              <w:jc w:val="center"/>
            </w:pPr>
          </w:p>
        </w:tc>
        <w:tc>
          <w:tcPr>
            <w:tcW w:w="2711" w:type="dxa"/>
            <w:vMerge/>
            <w:vAlign w:val="center"/>
          </w:tcPr>
          <w:p w14:paraId="741F3878" w14:textId="77777777" w:rsidR="004D1935" w:rsidRDefault="004D1935" w:rsidP="00E24DC9">
            <w:pPr>
              <w:jc w:val="center"/>
            </w:pPr>
          </w:p>
        </w:tc>
        <w:tc>
          <w:tcPr>
            <w:tcW w:w="6855" w:type="dxa"/>
            <w:vMerge/>
            <w:vAlign w:val="center"/>
          </w:tcPr>
          <w:p w14:paraId="6CC63FCA" w14:textId="77777777" w:rsidR="004D1935" w:rsidRDefault="004D1935" w:rsidP="00E24DC9">
            <w:pPr>
              <w:jc w:val="center"/>
            </w:pPr>
          </w:p>
        </w:tc>
      </w:tr>
      <w:tr w:rsidR="004D1935" w14:paraId="15998BBB" w14:textId="77777777" w:rsidTr="00E24DC9">
        <w:tc>
          <w:tcPr>
            <w:tcW w:w="643" w:type="dxa"/>
            <w:vMerge/>
            <w:vAlign w:val="center"/>
          </w:tcPr>
          <w:p w14:paraId="272D8351" w14:textId="77777777" w:rsidR="004D1935" w:rsidRDefault="004D1935" w:rsidP="00E24DC9">
            <w:pPr>
              <w:jc w:val="center"/>
            </w:pPr>
          </w:p>
        </w:tc>
        <w:tc>
          <w:tcPr>
            <w:tcW w:w="749" w:type="dxa"/>
            <w:tcBorders>
              <w:top w:val="nil"/>
              <w:bottom w:val="nil"/>
            </w:tcBorders>
            <w:vAlign w:val="center"/>
          </w:tcPr>
          <w:p w14:paraId="18137852" w14:textId="77777777" w:rsidR="004D1935" w:rsidRDefault="004D1935" w:rsidP="00E24DC9">
            <w:pPr>
              <w:jc w:val="center"/>
            </w:pPr>
            <w:r w:rsidRPr="00C419D2">
              <w:rPr>
                <w:rFonts w:ascii="Calibri" w:hAnsi="Calibri" w:cs="Calibri"/>
                <w:color w:val="000000"/>
                <w:sz w:val="11"/>
                <w:szCs w:val="11"/>
              </w:rPr>
              <w:t>334.1499</w:t>
            </w:r>
          </w:p>
        </w:tc>
        <w:tc>
          <w:tcPr>
            <w:tcW w:w="1418" w:type="dxa"/>
            <w:vMerge/>
            <w:vAlign w:val="center"/>
          </w:tcPr>
          <w:p w14:paraId="3DFB969D" w14:textId="77777777" w:rsidR="004D1935" w:rsidRDefault="004D1935" w:rsidP="00E24DC9">
            <w:pPr>
              <w:jc w:val="center"/>
            </w:pPr>
          </w:p>
        </w:tc>
        <w:tc>
          <w:tcPr>
            <w:tcW w:w="1369" w:type="dxa"/>
            <w:vMerge/>
            <w:vAlign w:val="center"/>
          </w:tcPr>
          <w:p w14:paraId="77CDE10B" w14:textId="77777777" w:rsidR="004D1935" w:rsidRDefault="004D1935" w:rsidP="00E24DC9">
            <w:pPr>
              <w:jc w:val="center"/>
            </w:pPr>
          </w:p>
        </w:tc>
        <w:tc>
          <w:tcPr>
            <w:tcW w:w="2711" w:type="dxa"/>
            <w:vMerge/>
            <w:vAlign w:val="center"/>
          </w:tcPr>
          <w:p w14:paraId="303F654C" w14:textId="77777777" w:rsidR="004D1935" w:rsidRDefault="004D1935" w:rsidP="00E24DC9">
            <w:pPr>
              <w:jc w:val="center"/>
            </w:pPr>
          </w:p>
        </w:tc>
        <w:tc>
          <w:tcPr>
            <w:tcW w:w="6855" w:type="dxa"/>
            <w:vMerge/>
            <w:vAlign w:val="center"/>
          </w:tcPr>
          <w:p w14:paraId="0B1DE9A8" w14:textId="77777777" w:rsidR="004D1935" w:rsidRDefault="004D1935" w:rsidP="00E24DC9">
            <w:pPr>
              <w:jc w:val="center"/>
            </w:pPr>
          </w:p>
        </w:tc>
      </w:tr>
      <w:tr w:rsidR="004D1935" w14:paraId="68D04FAF" w14:textId="77777777" w:rsidTr="00E24DC9">
        <w:tc>
          <w:tcPr>
            <w:tcW w:w="643" w:type="dxa"/>
            <w:vMerge/>
            <w:vAlign w:val="center"/>
          </w:tcPr>
          <w:p w14:paraId="3E92332A" w14:textId="77777777" w:rsidR="004D1935" w:rsidRDefault="004D1935" w:rsidP="00E24DC9">
            <w:pPr>
              <w:jc w:val="center"/>
            </w:pPr>
          </w:p>
        </w:tc>
        <w:tc>
          <w:tcPr>
            <w:tcW w:w="749" w:type="dxa"/>
            <w:tcBorders>
              <w:top w:val="nil"/>
              <w:bottom w:val="nil"/>
            </w:tcBorders>
            <w:vAlign w:val="center"/>
          </w:tcPr>
          <w:p w14:paraId="09C1AEDF" w14:textId="77777777" w:rsidR="004D1935" w:rsidRDefault="004D1935" w:rsidP="00E24DC9">
            <w:pPr>
              <w:jc w:val="center"/>
            </w:pPr>
            <w:r w:rsidRPr="00C419D2">
              <w:rPr>
                <w:rFonts w:ascii="Calibri" w:hAnsi="Calibri" w:cs="Calibri"/>
                <w:color w:val="000000"/>
                <w:sz w:val="11"/>
                <w:szCs w:val="11"/>
              </w:rPr>
              <w:t>334.1899</w:t>
            </w:r>
          </w:p>
        </w:tc>
        <w:tc>
          <w:tcPr>
            <w:tcW w:w="1418" w:type="dxa"/>
            <w:vMerge/>
            <w:vAlign w:val="center"/>
          </w:tcPr>
          <w:p w14:paraId="665E67F8" w14:textId="77777777" w:rsidR="004D1935" w:rsidRDefault="004D1935" w:rsidP="00E24DC9">
            <w:pPr>
              <w:jc w:val="center"/>
            </w:pPr>
          </w:p>
        </w:tc>
        <w:tc>
          <w:tcPr>
            <w:tcW w:w="1369" w:type="dxa"/>
            <w:vMerge/>
            <w:vAlign w:val="center"/>
          </w:tcPr>
          <w:p w14:paraId="4EC76F75" w14:textId="77777777" w:rsidR="004D1935" w:rsidRDefault="004D1935" w:rsidP="00E24DC9">
            <w:pPr>
              <w:jc w:val="center"/>
            </w:pPr>
          </w:p>
        </w:tc>
        <w:tc>
          <w:tcPr>
            <w:tcW w:w="2711" w:type="dxa"/>
            <w:vMerge/>
            <w:vAlign w:val="center"/>
          </w:tcPr>
          <w:p w14:paraId="540BB797" w14:textId="77777777" w:rsidR="004D1935" w:rsidRDefault="004D1935" w:rsidP="00E24DC9">
            <w:pPr>
              <w:jc w:val="center"/>
            </w:pPr>
          </w:p>
        </w:tc>
        <w:tc>
          <w:tcPr>
            <w:tcW w:w="6855" w:type="dxa"/>
            <w:vMerge/>
            <w:vAlign w:val="center"/>
          </w:tcPr>
          <w:p w14:paraId="608EFEC2" w14:textId="77777777" w:rsidR="004D1935" w:rsidRDefault="004D1935" w:rsidP="00E24DC9">
            <w:pPr>
              <w:jc w:val="center"/>
            </w:pPr>
          </w:p>
        </w:tc>
      </w:tr>
      <w:tr w:rsidR="004D1935" w14:paraId="440C16FB" w14:textId="77777777" w:rsidTr="00E24DC9">
        <w:tc>
          <w:tcPr>
            <w:tcW w:w="643" w:type="dxa"/>
            <w:vMerge/>
            <w:vAlign w:val="center"/>
          </w:tcPr>
          <w:p w14:paraId="1A8DEC68" w14:textId="77777777" w:rsidR="004D1935" w:rsidRDefault="004D1935" w:rsidP="00E24DC9">
            <w:pPr>
              <w:jc w:val="center"/>
            </w:pPr>
          </w:p>
        </w:tc>
        <w:tc>
          <w:tcPr>
            <w:tcW w:w="749" w:type="dxa"/>
            <w:tcBorders>
              <w:top w:val="nil"/>
              <w:bottom w:val="nil"/>
            </w:tcBorders>
            <w:vAlign w:val="center"/>
          </w:tcPr>
          <w:p w14:paraId="51B3009C" w14:textId="77777777" w:rsidR="004D1935" w:rsidRDefault="004D1935" w:rsidP="00E24DC9">
            <w:pPr>
              <w:jc w:val="center"/>
            </w:pPr>
            <w:r w:rsidRPr="00C419D2">
              <w:rPr>
                <w:rFonts w:ascii="Calibri" w:hAnsi="Calibri" w:cs="Calibri"/>
                <w:color w:val="000000"/>
                <w:sz w:val="11"/>
                <w:szCs w:val="11"/>
              </w:rPr>
              <w:t>334.2299</w:t>
            </w:r>
          </w:p>
        </w:tc>
        <w:tc>
          <w:tcPr>
            <w:tcW w:w="1418" w:type="dxa"/>
            <w:vMerge/>
            <w:vAlign w:val="center"/>
          </w:tcPr>
          <w:p w14:paraId="5B2B4EAA" w14:textId="77777777" w:rsidR="004D1935" w:rsidRDefault="004D1935" w:rsidP="00E24DC9">
            <w:pPr>
              <w:jc w:val="center"/>
            </w:pPr>
          </w:p>
        </w:tc>
        <w:tc>
          <w:tcPr>
            <w:tcW w:w="1369" w:type="dxa"/>
            <w:vMerge/>
            <w:vAlign w:val="center"/>
          </w:tcPr>
          <w:p w14:paraId="2775C27A" w14:textId="77777777" w:rsidR="004D1935" w:rsidRDefault="004D1935" w:rsidP="00E24DC9">
            <w:pPr>
              <w:jc w:val="center"/>
            </w:pPr>
          </w:p>
        </w:tc>
        <w:tc>
          <w:tcPr>
            <w:tcW w:w="2711" w:type="dxa"/>
            <w:vMerge/>
            <w:vAlign w:val="center"/>
          </w:tcPr>
          <w:p w14:paraId="6BB27951" w14:textId="77777777" w:rsidR="004D1935" w:rsidRDefault="004D1935" w:rsidP="00E24DC9">
            <w:pPr>
              <w:jc w:val="center"/>
            </w:pPr>
          </w:p>
        </w:tc>
        <w:tc>
          <w:tcPr>
            <w:tcW w:w="6855" w:type="dxa"/>
            <w:vMerge/>
            <w:vAlign w:val="center"/>
          </w:tcPr>
          <w:p w14:paraId="38E4FEB4" w14:textId="77777777" w:rsidR="004D1935" w:rsidRDefault="004D1935" w:rsidP="00E24DC9">
            <w:pPr>
              <w:jc w:val="center"/>
            </w:pPr>
          </w:p>
        </w:tc>
      </w:tr>
      <w:tr w:rsidR="004D1935" w14:paraId="6F61308D" w14:textId="77777777" w:rsidTr="00E24DC9">
        <w:tc>
          <w:tcPr>
            <w:tcW w:w="643" w:type="dxa"/>
            <w:vMerge/>
            <w:vAlign w:val="center"/>
          </w:tcPr>
          <w:p w14:paraId="1EDA81FD" w14:textId="77777777" w:rsidR="004D1935" w:rsidRDefault="004D1935" w:rsidP="00E24DC9">
            <w:pPr>
              <w:jc w:val="center"/>
            </w:pPr>
          </w:p>
        </w:tc>
        <w:tc>
          <w:tcPr>
            <w:tcW w:w="749" w:type="dxa"/>
            <w:tcBorders>
              <w:top w:val="nil"/>
              <w:bottom w:val="nil"/>
            </w:tcBorders>
            <w:vAlign w:val="center"/>
          </w:tcPr>
          <w:p w14:paraId="3FB9827A" w14:textId="77777777" w:rsidR="004D1935" w:rsidRDefault="004D1935" w:rsidP="00E24DC9">
            <w:pPr>
              <w:jc w:val="center"/>
            </w:pPr>
            <w:r w:rsidRPr="00C419D2">
              <w:rPr>
                <w:rFonts w:ascii="Calibri" w:hAnsi="Calibri" w:cs="Calibri"/>
                <w:color w:val="000000"/>
                <w:sz w:val="11"/>
                <w:szCs w:val="11"/>
              </w:rPr>
              <w:t>334.2699</w:t>
            </w:r>
          </w:p>
        </w:tc>
        <w:tc>
          <w:tcPr>
            <w:tcW w:w="1418" w:type="dxa"/>
            <w:vMerge/>
            <w:vAlign w:val="center"/>
          </w:tcPr>
          <w:p w14:paraId="4ACF6BAB" w14:textId="77777777" w:rsidR="004D1935" w:rsidRDefault="004D1935" w:rsidP="00E24DC9">
            <w:pPr>
              <w:jc w:val="center"/>
            </w:pPr>
          </w:p>
        </w:tc>
        <w:tc>
          <w:tcPr>
            <w:tcW w:w="1369" w:type="dxa"/>
            <w:vMerge/>
            <w:vAlign w:val="center"/>
          </w:tcPr>
          <w:p w14:paraId="126267CD" w14:textId="77777777" w:rsidR="004D1935" w:rsidRDefault="004D1935" w:rsidP="00E24DC9">
            <w:pPr>
              <w:jc w:val="center"/>
            </w:pPr>
          </w:p>
        </w:tc>
        <w:tc>
          <w:tcPr>
            <w:tcW w:w="2711" w:type="dxa"/>
            <w:vMerge/>
            <w:vAlign w:val="center"/>
          </w:tcPr>
          <w:p w14:paraId="6434CD6E" w14:textId="77777777" w:rsidR="004D1935" w:rsidRDefault="004D1935" w:rsidP="00E24DC9">
            <w:pPr>
              <w:jc w:val="center"/>
            </w:pPr>
          </w:p>
        </w:tc>
        <w:tc>
          <w:tcPr>
            <w:tcW w:w="6855" w:type="dxa"/>
            <w:vMerge/>
            <w:vAlign w:val="center"/>
          </w:tcPr>
          <w:p w14:paraId="58B9EA5F" w14:textId="77777777" w:rsidR="004D1935" w:rsidRDefault="004D1935" w:rsidP="00E24DC9">
            <w:pPr>
              <w:jc w:val="center"/>
            </w:pPr>
          </w:p>
        </w:tc>
      </w:tr>
      <w:tr w:rsidR="004D1935" w14:paraId="0E393B61" w14:textId="77777777" w:rsidTr="00E24DC9">
        <w:tc>
          <w:tcPr>
            <w:tcW w:w="643" w:type="dxa"/>
            <w:vMerge/>
            <w:vAlign w:val="center"/>
          </w:tcPr>
          <w:p w14:paraId="7E907C97" w14:textId="77777777" w:rsidR="004D1935" w:rsidRDefault="004D1935" w:rsidP="00E24DC9">
            <w:pPr>
              <w:jc w:val="center"/>
            </w:pPr>
          </w:p>
        </w:tc>
        <w:tc>
          <w:tcPr>
            <w:tcW w:w="749" w:type="dxa"/>
            <w:tcBorders>
              <w:top w:val="nil"/>
              <w:bottom w:val="nil"/>
            </w:tcBorders>
            <w:vAlign w:val="center"/>
          </w:tcPr>
          <w:p w14:paraId="0808B84D" w14:textId="77777777" w:rsidR="004D1935" w:rsidRDefault="004D1935" w:rsidP="00E24DC9">
            <w:pPr>
              <w:jc w:val="center"/>
            </w:pPr>
            <w:r w:rsidRPr="00C419D2">
              <w:rPr>
                <w:rFonts w:ascii="Calibri" w:hAnsi="Calibri" w:cs="Calibri"/>
                <w:color w:val="000000"/>
                <w:sz w:val="11"/>
                <w:szCs w:val="11"/>
              </w:rPr>
              <w:t>334.1045</w:t>
            </w:r>
          </w:p>
        </w:tc>
        <w:tc>
          <w:tcPr>
            <w:tcW w:w="1418" w:type="dxa"/>
            <w:vMerge/>
            <w:vAlign w:val="center"/>
          </w:tcPr>
          <w:p w14:paraId="519316CC" w14:textId="77777777" w:rsidR="004D1935" w:rsidRDefault="004D1935" w:rsidP="00E24DC9">
            <w:pPr>
              <w:jc w:val="center"/>
            </w:pPr>
          </w:p>
        </w:tc>
        <w:tc>
          <w:tcPr>
            <w:tcW w:w="1369" w:type="dxa"/>
            <w:vMerge/>
            <w:vAlign w:val="center"/>
          </w:tcPr>
          <w:p w14:paraId="12DE6C20" w14:textId="77777777" w:rsidR="004D1935" w:rsidRDefault="004D1935" w:rsidP="00E24DC9">
            <w:pPr>
              <w:jc w:val="center"/>
            </w:pPr>
          </w:p>
        </w:tc>
        <w:tc>
          <w:tcPr>
            <w:tcW w:w="2711" w:type="dxa"/>
            <w:vMerge/>
            <w:vAlign w:val="center"/>
          </w:tcPr>
          <w:p w14:paraId="79E6BD32" w14:textId="77777777" w:rsidR="004D1935" w:rsidRDefault="004D1935" w:rsidP="00E24DC9">
            <w:pPr>
              <w:jc w:val="center"/>
            </w:pPr>
          </w:p>
        </w:tc>
        <w:tc>
          <w:tcPr>
            <w:tcW w:w="6855" w:type="dxa"/>
            <w:vMerge/>
            <w:vAlign w:val="center"/>
          </w:tcPr>
          <w:p w14:paraId="23F52280" w14:textId="77777777" w:rsidR="004D1935" w:rsidRDefault="004D1935" w:rsidP="00E24DC9">
            <w:pPr>
              <w:jc w:val="center"/>
            </w:pPr>
          </w:p>
        </w:tc>
      </w:tr>
      <w:tr w:rsidR="004D1935" w14:paraId="5CAC9745" w14:textId="77777777" w:rsidTr="00E24DC9">
        <w:tc>
          <w:tcPr>
            <w:tcW w:w="643" w:type="dxa"/>
            <w:vMerge/>
            <w:vAlign w:val="center"/>
          </w:tcPr>
          <w:p w14:paraId="44A7B887" w14:textId="77777777" w:rsidR="004D1935" w:rsidRDefault="004D1935" w:rsidP="00E24DC9">
            <w:pPr>
              <w:jc w:val="center"/>
            </w:pPr>
          </w:p>
        </w:tc>
        <w:tc>
          <w:tcPr>
            <w:tcW w:w="749" w:type="dxa"/>
            <w:tcBorders>
              <w:top w:val="nil"/>
              <w:bottom w:val="nil"/>
            </w:tcBorders>
            <w:vAlign w:val="center"/>
          </w:tcPr>
          <w:p w14:paraId="715EE709" w14:textId="77777777" w:rsidR="004D1935" w:rsidRDefault="004D1935" w:rsidP="00E24DC9">
            <w:pPr>
              <w:jc w:val="center"/>
            </w:pPr>
            <w:r w:rsidRPr="00C419D2">
              <w:rPr>
                <w:rFonts w:ascii="Calibri" w:hAnsi="Calibri" w:cs="Calibri"/>
                <w:color w:val="000000"/>
                <w:sz w:val="11"/>
                <w:szCs w:val="11"/>
              </w:rPr>
              <w:t>334.1472</w:t>
            </w:r>
          </w:p>
        </w:tc>
        <w:tc>
          <w:tcPr>
            <w:tcW w:w="1418" w:type="dxa"/>
            <w:vMerge/>
            <w:vAlign w:val="center"/>
          </w:tcPr>
          <w:p w14:paraId="60D235DC" w14:textId="77777777" w:rsidR="004D1935" w:rsidRDefault="004D1935" w:rsidP="00E24DC9">
            <w:pPr>
              <w:jc w:val="center"/>
            </w:pPr>
          </w:p>
        </w:tc>
        <w:tc>
          <w:tcPr>
            <w:tcW w:w="1369" w:type="dxa"/>
            <w:vMerge/>
            <w:vAlign w:val="center"/>
          </w:tcPr>
          <w:p w14:paraId="7B6920D8" w14:textId="77777777" w:rsidR="004D1935" w:rsidRDefault="004D1935" w:rsidP="00E24DC9">
            <w:pPr>
              <w:jc w:val="center"/>
            </w:pPr>
          </w:p>
        </w:tc>
        <w:tc>
          <w:tcPr>
            <w:tcW w:w="2711" w:type="dxa"/>
            <w:vMerge/>
            <w:vAlign w:val="center"/>
          </w:tcPr>
          <w:p w14:paraId="0B1DFC34" w14:textId="77777777" w:rsidR="004D1935" w:rsidRDefault="004D1935" w:rsidP="00E24DC9">
            <w:pPr>
              <w:jc w:val="center"/>
            </w:pPr>
          </w:p>
        </w:tc>
        <w:tc>
          <w:tcPr>
            <w:tcW w:w="6855" w:type="dxa"/>
            <w:vMerge/>
            <w:vAlign w:val="center"/>
          </w:tcPr>
          <w:p w14:paraId="18610294" w14:textId="77777777" w:rsidR="004D1935" w:rsidRDefault="004D1935" w:rsidP="00E24DC9">
            <w:pPr>
              <w:jc w:val="center"/>
            </w:pPr>
          </w:p>
        </w:tc>
      </w:tr>
      <w:tr w:rsidR="004D1935" w14:paraId="3AC23E91" w14:textId="77777777" w:rsidTr="00E24DC9">
        <w:tc>
          <w:tcPr>
            <w:tcW w:w="643" w:type="dxa"/>
            <w:vMerge/>
            <w:vAlign w:val="center"/>
          </w:tcPr>
          <w:p w14:paraId="6434120C" w14:textId="77777777" w:rsidR="004D1935" w:rsidRDefault="004D1935" w:rsidP="00E24DC9">
            <w:pPr>
              <w:jc w:val="center"/>
            </w:pPr>
          </w:p>
        </w:tc>
        <w:tc>
          <w:tcPr>
            <w:tcW w:w="749" w:type="dxa"/>
            <w:tcBorders>
              <w:top w:val="nil"/>
              <w:bottom w:val="nil"/>
            </w:tcBorders>
            <w:vAlign w:val="center"/>
          </w:tcPr>
          <w:p w14:paraId="3CA54A59" w14:textId="77777777" w:rsidR="004D1935" w:rsidRDefault="004D1935" w:rsidP="00E24DC9">
            <w:pPr>
              <w:jc w:val="center"/>
            </w:pPr>
            <w:r w:rsidRPr="00C419D2">
              <w:rPr>
                <w:rFonts w:ascii="Calibri" w:hAnsi="Calibri" w:cs="Calibri"/>
                <w:color w:val="000000"/>
                <w:sz w:val="11"/>
                <w:szCs w:val="11"/>
              </w:rPr>
              <w:t>334.1873</w:t>
            </w:r>
          </w:p>
        </w:tc>
        <w:tc>
          <w:tcPr>
            <w:tcW w:w="1418" w:type="dxa"/>
            <w:vMerge/>
            <w:vAlign w:val="center"/>
          </w:tcPr>
          <w:p w14:paraId="2C221911" w14:textId="77777777" w:rsidR="004D1935" w:rsidRDefault="004D1935" w:rsidP="00E24DC9">
            <w:pPr>
              <w:jc w:val="center"/>
            </w:pPr>
          </w:p>
        </w:tc>
        <w:tc>
          <w:tcPr>
            <w:tcW w:w="1369" w:type="dxa"/>
            <w:vMerge/>
            <w:vAlign w:val="center"/>
          </w:tcPr>
          <w:p w14:paraId="332867C2" w14:textId="77777777" w:rsidR="004D1935" w:rsidRDefault="004D1935" w:rsidP="00E24DC9">
            <w:pPr>
              <w:jc w:val="center"/>
            </w:pPr>
          </w:p>
        </w:tc>
        <w:tc>
          <w:tcPr>
            <w:tcW w:w="2711" w:type="dxa"/>
            <w:vMerge/>
            <w:vAlign w:val="center"/>
          </w:tcPr>
          <w:p w14:paraId="30215B5D" w14:textId="77777777" w:rsidR="004D1935" w:rsidRDefault="004D1935" w:rsidP="00E24DC9">
            <w:pPr>
              <w:jc w:val="center"/>
            </w:pPr>
          </w:p>
        </w:tc>
        <w:tc>
          <w:tcPr>
            <w:tcW w:w="6855" w:type="dxa"/>
            <w:vMerge/>
            <w:vAlign w:val="center"/>
          </w:tcPr>
          <w:p w14:paraId="0ABAC91E" w14:textId="77777777" w:rsidR="004D1935" w:rsidRDefault="004D1935" w:rsidP="00E24DC9">
            <w:pPr>
              <w:jc w:val="center"/>
            </w:pPr>
          </w:p>
        </w:tc>
      </w:tr>
      <w:tr w:rsidR="004D1935" w14:paraId="50D630E6" w14:textId="77777777" w:rsidTr="00E24DC9">
        <w:tc>
          <w:tcPr>
            <w:tcW w:w="643" w:type="dxa"/>
            <w:vMerge/>
            <w:vAlign w:val="center"/>
          </w:tcPr>
          <w:p w14:paraId="48E72322" w14:textId="77777777" w:rsidR="004D1935" w:rsidRDefault="004D1935" w:rsidP="00E24DC9">
            <w:pPr>
              <w:jc w:val="center"/>
            </w:pPr>
          </w:p>
        </w:tc>
        <w:tc>
          <w:tcPr>
            <w:tcW w:w="749" w:type="dxa"/>
            <w:tcBorders>
              <w:top w:val="nil"/>
              <w:bottom w:val="nil"/>
            </w:tcBorders>
            <w:vAlign w:val="center"/>
          </w:tcPr>
          <w:p w14:paraId="663B9CC0" w14:textId="77777777" w:rsidR="004D1935" w:rsidRDefault="004D1935" w:rsidP="00E24DC9">
            <w:pPr>
              <w:jc w:val="center"/>
            </w:pPr>
            <w:r w:rsidRPr="00C419D2">
              <w:rPr>
                <w:rFonts w:ascii="Calibri" w:hAnsi="Calibri" w:cs="Calibri"/>
                <w:color w:val="000000"/>
                <w:sz w:val="11"/>
                <w:szCs w:val="11"/>
              </w:rPr>
              <w:t>334.2273</w:t>
            </w:r>
          </w:p>
        </w:tc>
        <w:tc>
          <w:tcPr>
            <w:tcW w:w="1418" w:type="dxa"/>
            <w:vMerge/>
            <w:vAlign w:val="center"/>
          </w:tcPr>
          <w:p w14:paraId="17F963F2" w14:textId="77777777" w:rsidR="004D1935" w:rsidRDefault="004D1935" w:rsidP="00E24DC9">
            <w:pPr>
              <w:jc w:val="center"/>
            </w:pPr>
          </w:p>
        </w:tc>
        <w:tc>
          <w:tcPr>
            <w:tcW w:w="1369" w:type="dxa"/>
            <w:vMerge/>
            <w:vAlign w:val="center"/>
          </w:tcPr>
          <w:p w14:paraId="557BE77F" w14:textId="77777777" w:rsidR="004D1935" w:rsidRDefault="004D1935" w:rsidP="00E24DC9">
            <w:pPr>
              <w:jc w:val="center"/>
            </w:pPr>
          </w:p>
        </w:tc>
        <w:tc>
          <w:tcPr>
            <w:tcW w:w="2711" w:type="dxa"/>
            <w:vMerge/>
            <w:vAlign w:val="center"/>
          </w:tcPr>
          <w:p w14:paraId="0D6CCFE7" w14:textId="77777777" w:rsidR="004D1935" w:rsidRDefault="004D1935" w:rsidP="00E24DC9">
            <w:pPr>
              <w:jc w:val="center"/>
            </w:pPr>
          </w:p>
        </w:tc>
        <w:tc>
          <w:tcPr>
            <w:tcW w:w="6855" w:type="dxa"/>
            <w:vMerge/>
            <w:vAlign w:val="center"/>
          </w:tcPr>
          <w:p w14:paraId="22707F73" w14:textId="77777777" w:rsidR="004D1935" w:rsidRDefault="004D1935" w:rsidP="00E24DC9">
            <w:pPr>
              <w:jc w:val="center"/>
            </w:pPr>
          </w:p>
        </w:tc>
      </w:tr>
      <w:tr w:rsidR="004D1935" w14:paraId="03F95192" w14:textId="77777777" w:rsidTr="00E24DC9">
        <w:tc>
          <w:tcPr>
            <w:tcW w:w="643" w:type="dxa"/>
            <w:vMerge/>
            <w:vAlign w:val="center"/>
          </w:tcPr>
          <w:p w14:paraId="441EC464" w14:textId="77777777" w:rsidR="004D1935" w:rsidRDefault="004D1935" w:rsidP="00E24DC9">
            <w:pPr>
              <w:jc w:val="center"/>
            </w:pPr>
          </w:p>
        </w:tc>
        <w:tc>
          <w:tcPr>
            <w:tcW w:w="749" w:type="dxa"/>
            <w:tcBorders>
              <w:top w:val="nil"/>
              <w:bottom w:val="nil"/>
            </w:tcBorders>
            <w:vAlign w:val="center"/>
          </w:tcPr>
          <w:p w14:paraId="6B610C30" w14:textId="77777777" w:rsidR="004D1935" w:rsidRDefault="004D1935" w:rsidP="00E24DC9">
            <w:pPr>
              <w:jc w:val="center"/>
            </w:pPr>
            <w:r w:rsidRPr="00C419D2">
              <w:rPr>
                <w:rFonts w:ascii="Calibri" w:hAnsi="Calibri" w:cs="Calibri"/>
                <w:color w:val="000000"/>
                <w:sz w:val="11"/>
                <w:szCs w:val="11"/>
              </w:rPr>
              <w:t>334.2673</w:t>
            </w:r>
          </w:p>
        </w:tc>
        <w:tc>
          <w:tcPr>
            <w:tcW w:w="1418" w:type="dxa"/>
            <w:vMerge/>
            <w:vAlign w:val="center"/>
          </w:tcPr>
          <w:p w14:paraId="051D81CE" w14:textId="77777777" w:rsidR="004D1935" w:rsidRDefault="004D1935" w:rsidP="00E24DC9">
            <w:pPr>
              <w:jc w:val="center"/>
            </w:pPr>
          </w:p>
        </w:tc>
        <w:tc>
          <w:tcPr>
            <w:tcW w:w="1369" w:type="dxa"/>
            <w:vMerge/>
            <w:vAlign w:val="center"/>
          </w:tcPr>
          <w:p w14:paraId="580972C2" w14:textId="77777777" w:rsidR="004D1935" w:rsidRDefault="004D1935" w:rsidP="00E24DC9">
            <w:pPr>
              <w:jc w:val="center"/>
            </w:pPr>
          </w:p>
        </w:tc>
        <w:tc>
          <w:tcPr>
            <w:tcW w:w="2711" w:type="dxa"/>
            <w:vMerge/>
            <w:vAlign w:val="center"/>
          </w:tcPr>
          <w:p w14:paraId="7D845BC8" w14:textId="77777777" w:rsidR="004D1935" w:rsidRDefault="004D1935" w:rsidP="00E24DC9">
            <w:pPr>
              <w:jc w:val="center"/>
            </w:pPr>
          </w:p>
        </w:tc>
        <w:tc>
          <w:tcPr>
            <w:tcW w:w="6855" w:type="dxa"/>
            <w:vMerge/>
            <w:vAlign w:val="center"/>
          </w:tcPr>
          <w:p w14:paraId="59C209A8" w14:textId="77777777" w:rsidR="004D1935" w:rsidRDefault="004D1935" w:rsidP="00E24DC9">
            <w:pPr>
              <w:jc w:val="center"/>
            </w:pPr>
          </w:p>
        </w:tc>
      </w:tr>
      <w:tr w:rsidR="004D1935" w14:paraId="0F997FB2" w14:textId="77777777" w:rsidTr="00E24DC9">
        <w:tc>
          <w:tcPr>
            <w:tcW w:w="643" w:type="dxa"/>
            <w:vMerge/>
            <w:vAlign w:val="center"/>
          </w:tcPr>
          <w:p w14:paraId="0EBAF1DC" w14:textId="77777777" w:rsidR="004D1935" w:rsidRDefault="004D1935" w:rsidP="00E24DC9">
            <w:pPr>
              <w:jc w:val="center"/>
            </w:pPr>
          </w:p>
        </w:tc>
        <w:tc>
          <w:tcPr>
            <w:tcW w:w="749" w:type="dxa"/>
            <w:tcBorders>
              <w:top w:val="nil"/>
              <w:bottom w:val="single" w:sz="4" w:space="0" w:color="auto"/>
            </w:tcBorders>
            <w:vAlign w:val="center"/>
          </w:tcPr>
          <w:p w14:paraId="34DD31A8" w14:textId="77777777" w:rsidR="004D1935" w:rsidRDefault="004D1935" w:rsidP="00E24DC9">
            <w:pPr>
              <w:jc w:val="center"/>
              <w:rPr>
                <w:rFonts w:ascii="Calibri" w:hAnsi="Calibri" w:cs="Calibri"/>
                <w:color w:val="000000"/>
                <w:sz w:val="11"/>
                <w:szCs w:val="11"/>
              </w:rPr>
            </w:pPr>
            <w:r w:rsidRPr="00C419D2">
              <w:rPr>
                <w:rFonts w:ascii="Calibri" w:hAnsi="Calibri" w:cs="Calibri"/>
                <w:color w:val="000000"/>
                <w:sz w:val="11"/>
                <w:szCs w:val="11"/>
              </w:rPr>
              <w:t>334.1539</w:t>
            </w:r>
          </w:p>
          <w:p w14:paraId="24C6BE5E" w14:textId="77777777" w:rsidR="004D1935" w:rsidRDefault="004D1935" w:rsidP="00E24DC9">
            <w:pPr>
              <w:jc w:val="center"/>
              <w:rPr>
                <w:sz w:val="11"/>
                <w:szCs w:val="11"/>
              </w:rPr>
            </w:pPr>
          </w:p>
          <w:p w14:paraId="7781E8CC" w14:textId="77777777" w:rsidR="004D1935" w:rsidRDefault="004D1935" w:rsidP="00E24DC9">
            <w:pPr>
              <w:jc w:val="center"/>
              <w:rPr>
                <w:sz w:val="11"/>
                <w:szCs w:val="11"/>
              </w:rPr>
            </w:pPr>
          </w:p>
          <w:p w14:paraId="4DCCD358" w14:textId="77777777" w:rsidR="004D1935" w:rsidRDefault="004D1935" w:rsidP="00E24DC9">
            <w:pPr>
              <w:jc w:val="center"/>
              <w:rPr>
                <w:sz w:val="11"/>
                <w:szCs w:val="11"/>
              </w:rPr>
            </w:pPr>
          </w:p>
          <w:p w14:paraId="45D4ACE9" w14:textId="77777777" w:rsidR="004D1935" w:rsidRDefault="004D1935" w:rsidP="00E24DC9">
            <w:pPr>
              <w:jc w:val="center"/>
              <w:rPr>
                <w:sz w:val="11"/>
                <w:szCs w:val="11"/>
              </w:rPr>
            </w:pPr>
          </w:p>
          <w:p w14:paraId="0AFA4D99" w14:textId="77777777" w:rsidR="004D1935" w:rsidRDefault="004D1935" w:rsidP="00E24DC9">
            <w:pPr>
              <w:jc w:val="center"/>
              <w:rPr>
                <w:sz w:val="11"/>
                <w:szCs w:val="11"/>
              </w:rPr>
            </w:pPr>
          </w:p>
          <w:p w14:paraId="3F7FB016" w14:textId="77777777" w:rsidR="004D1935" w:rsidRDefault="004D1935" w:rsidP="00E24DC9">
            <w:pPr>
              <w:jc w:val="center"/>
              <w:rPr>
                <w:sz w:val="11"/>
                <w:szCs w:val="11"/>
              </w:rPr>
            </w:pPr>
          </w:p>
          <w:p w14:paraId="20931D1A" w14:textId="77777777" w:rsidR="004D1935" w:rsidRDefault="004D1935" w:rsidP="00E24DC9">
            <w:pPr>
              <w:jc w:val="center"/>
              <w:rPr>
                <w:sz w:val="11"/>
                <w:szCs w:val="11"/>
              </w:rPr>
            </w:pPr>
          </w:p>
          <w:p w14:paraId="46D03182" w14:textId="77777777" w:rsidR="004D1935" w:rsidRDefault="004D1935" w:rsidP="00E24DC9">
            <w:pPr>
              <w:jc w:val="center"/>
              <w:rPr>
                <w:sz w:val="11"/>
                <w:szCs w:val="11"/>
              </w:rPr>
            </w:pPr>
          </w:p>
          <w:p w14:paraId="3C081182" w14:textId="77777777" w:rsidR="004D1935" w:rsidRDefault="004D1935" w:rsidP="00E24DC9">
            <w:pPr>
              <w:jc w:val="center"/>
              <w:rPr>
                <w:sz w:val="11"/>
                <w:szCs w:val="11"/>
              </w:rPr>
            </w:pPr>
          </w:p>
          <w:p w14:paraId="1C94746E" w14:textId="77777777" w:rsidR="004D1935" w:rsidRDefault="004D1935" w:rsidP="00E24DC9">
            <w:pPr>
              <w:jc w:val="center"/>
              <w:rPr>
                <w:sz w:val="11"/>
                <w:szCs w:val="11"/>
              </w:rPr>
            </w:pPr>
          </w:p>
          <w:p w14:paraId="06436F64" w14:textId="77777777" w:rsidR="004D1935" w:rsidRDefault="004D1935" w:rsidP="00E24DC9">
            <w:pPr>
              <w:jc w:val="center"/>
              <w:rPr>
                <w:sz w:val="11"/>
                <w:szCs w:val="11"/>
              </w:rPr>
            </w:pPr>
          </w:p>
          <w:p w14:paraId="6414F11E" w14:textId="77777777" w:rsidR="004D1935" w:rsidRDefault="004D1935" w:rsidP="00E24DC9">
            <w:pPr>
              <w:jc w:val="center"/>
              <w:rPr>
                <w:sz w:val="11"/>
                <w:szCs w:val="11"/>
              </w:rPr>
            </w:pPr>
          </w:p>
          <w:p w14:paraId="12730908" w14:textId="77777777" w:rsidR="004D1935" w:rsidRDefault="004D1935" w:rsidP="00E24DC9">
            <w:pPr>
              <w:jc w:val="center"/>
              <w:rPr>
                <w:sz w:val="11"/>
                <w:szCs w:val="11"/>
              </w:rPr>
            </w:pPr>
          </w:p>
          <w:p w14:paraId="622E386B" w14:textId="77777777" w:rsidR="004D1935" w:rsidRDefault="004D1935" w:rsidP="00E24DC9">
            <w:pPr>
              <w:jc w:val="center"/>
              <w:rPr>
                <w:sz w:val="11"/>
                <w:szCs w:val="11"/>
              </w:rPr>
            </w:pPr>
          </w:p>
          <w:p w14:paraId="223749C6" w14:textId="77777777" w:rsidR="004D1935" w:rsidRDefault="004D1935" w:rsidP="00E24DC9"/>
        </w:tc>
        <w:tc>
          <w:tcPr>
            <w:tcW w:w="1418" w:type="dxa"/>
            <w:vMerge/>
            <w:vAlign w:val="center"/>
          </w:tcPr>
          <w:p w14:paraId="3E15EFCC" w14:textId="77777777" w:rsidR="004D1935" w:rsidRDefault="004D1935" w:rsidP="00E24DC9">
            <w:pPr>
              <w:jc w:val="center"/>
            </w:pPr>
          </w:p>
        </w:tc>
        <w:tc>
          <w:tcPr>
            <w:tcW w:w="1369" w:type="dxa"/>
            <w:vMerge/>
            <w:vAlign w:val="center"/>
          </w:tcPr>
          <w:p w14:paraId="6A9D27CB" w14:textId="77777777" w:rsidR="004D1935" w:rsidRDefault="004D1935" w:rsidP="00E24DC9">
            <w:pPr>
              <w:jc w:val="center"/>
            </w:pPr>
          </w:p>
        </w:tc>
        <w:tc>
          <w:tcPr>
            <w:tcW w:w="2711" w:type="dxa"/>
            <w:vMerge/>
            <w:vAlign w:val="center"/>
          </w:tcPr>
          <w:p w14:paraId="2A0C89EA" w14:textId="77777777" w:rsidR="004D1935" w:rsidRDefault="004D1935" w:rsidP="00E24DC9">
            <w:pPr>
              <w:jc w:val="center"/>
            </w:pPr>
          </w:p>
        </w:tc>
        <w:tc>
          <w:tcPr>
            <w:tcW w:w="6855" w:type="dxa"/>
            <w:vMerge/>
            <w:vAlign w:val="center"/>
          </w:tcPr>
          <w:p w14:paraId="3E139074" w14:textId="77777777" w:rsidR="004D1935" w:rsidRDefault="004D1935" w:rsidP="00E24DC9">
            <w:pPr>
              <w:jc w:val="center"/>
            </w:pPr>
          </w:p>
        </w:tc>
      </w:tr>
      <w:tr w:rsidR="004D1935" w14:paraId="2F5A446E" w14:textId="77777777" w:rsidTr="00E24DC9">
        <w:tc>
          <w:tcPr>
            <w:tcW w:w="643" w:type="dxa"/>
            <w:vMerge w:val="restart"/>
            <w:vAlign w:val="center"/>
          </w:tcPr>
          <w:p w14:paraId="0EC48311" w14:textId="77777777" w:rsidR="004D1935" w:rsidRDefault="004D1935" w:rsidP="00E24DC9">
            <w:pPr>
              <w:jc w:val="center"/>
            </w:pPr>
            <w:r>
              <w:lastRenderedPageBreak/>
              <w:t>NA</w:t>
            </w:r>
          </w:p>
        </w:tc>
        <w:tc>
          <w:tcPr>
            <w:tcW w:w="749" w:type="dxa"/>
            <w:tcBorders>
              <w:bottom w:val="nil"/>
            </w:tcBorders>
            <w:vAlign w:val="center"/>
          </w:tcPr>
          <w:p w14:paraId="23E4EDE2" w14:textId="77777777" w:rsidR="004D1935" w:rsidRDefault="004D1935" w:rsidP="00E24DC9">
            <w:pPr>
              <w:jc w:val="center"/>
            </w:pPr>
          </w:p>
        </w:tc>
        <w:tc>
          <w:tcPr>
            <w:tcW w:w="1418" w:type="dxa"/>
            <w:vMerge w:val="restart"/>
            <w:vAlign w:val="center"/>
          </w:tcPr>
          <w:p w14:paraId="2086AE40" w14:textId="77777777" w:rsidR="004D1935" w:rsidRPr="007443A9" w:rsidRDefault="00000000" w:rsidP="00E24DC9">
            <w:pPr>
              <w:jc w:val="center"/>
              <w:rPr>
                <w:color w:val="000000" w:themeColor="text1"/>
              </w:rPr>
            </w:pPr>
            <w:hyperlink r:id="rId108" w:history="1">
              <w:r w:rsidR="004D1935" w:rsidRPr="007443A9">
                <w:rPr>
                  <w:rFonts w:ascii="Calibri" w:hAnsi="Calibri" w:cs="Calibri"/>
                  <w:color w:val="000000" w:themeColor="text1"/>
                  <w:sz w:val="13"/>
                  <w:szCs w:val="13"/>
                </w:rPr>
                <w:t>nivalenol</w:t>
              </w:r>
            </w:hyperlink>
          </w:p>
          <w:p w14:paraId="69D79B19" w14:textId="77777777" w:rsidR="004D1935" w:rsidRPr="007443A9" w:rsidRDefault="00000000" w:rsidP="00E24DC9">
            <w:pPr>
              <w:jc w:val="center"/>
              <w:rPr>
                <w:color w:val="000000" w:themeColor="text1"/>
              </w:rPr>
            </w:pPr>
            <w:hyperlink r:id="rId109" w:history="1">
              <w:r w:rsidR="004D1935" w:rsidRPr="007443A9">
                <w:rPr>
                  <w:rFonts w:ascii="Calibri" w:hAnsi="Calibri" w:cs="Calibri"/>
                  <w:color w:val="000000" w:themeColor="text1"/>
                  <w:sz w:val="13"/>
                  <w:szCs w:val="13"/>
                </w:rPr>
                <w:t>norajmaline</w:t>
              </w:r>
            </w:hyperlink>
          </w:p>
          <w:p w14:paraId="0F6603B9" w14:textId="77777777" w:rsidR="004D1935" w:rsidRPr="007443A9" w:rsidRDefault="00000000" w:rsidP="00E24DC9">
            <w:pPr>
              <w:jc w:val="center"/>
              <w:rPr>
                <w:color w:val="000000" w:themeColor="text1"/>
              </w:rPr>
            </w:pPr>
            <w:hyperlink r:id="rId110" w:history="1">
              <w:r w:rsidR="004D1935" w:rsidRPr="007443A9">
                <w:rPr>
                  <w:rFonts w:ascii="Calibri" w:hAnsi="Calibri" w:cs="Calibri"/>
                  <w:color w:val="000000" w:themeColor="text1"/>
                  <w:sz w:val="13"/>
                  <w:szCs w:val="13"/>
                </w:rPr>
                <w:t>thebaine</w:t>
              </w:r>
            </w:hyperlink>
          </w:p>
          <w:p w14:paraId="57A98A6D" w14:textId="77777777" w:rsidR="004D1935" w:rsidRPr="007443A9" w:rsidRDefault="00000000" w:rsidP="00E24DC9">
            <w:pPr>
              <w:jc w:val="center"/>
              <w:rPr>
                <w:color w:val="000000" w:themeColor="text1"/>
              </w:rPr>
            </w:pPr>
            <w:hyperlink r:id="rId111" w:history="1">
              <w:r w:rsidR="004D1935" w:rsidRPr="007443A9">
                <w:rPr>
                  <w:rFonts w:ascii="Calibri" w:hAnsi="Calibri" w:cs="Calibri"/>
                  <w:color w:val="000000" w:themeColor="text1"/>
                  <w:sz w:val="13"/>
                  <w:szCs w:val="13"/>
                </w:rPr>
                <w:t>a chlorin</w:t>
              </w:r>
            </w:hyperlink>
          </w:p>
          <w:p w14:paraId="1E30569C" w14:textId="77777777" w:rsidR="004D1935" w:rsidRPr="007443A9" w:rsidRDefault="00000000" w:rsidP="00E24DC9">
            <w:pPr>
              <w:jc w:val="center"/>
              <w:rPr>
                <w:color w:val="000000" w:themeColor="text1"/>
              </w:rPr>
            </w:pPr>
            <w:hyperlink r:id="rId112" w:history="1">
              <w:r w:rsidR="004D1935" w:rsidRPr="007443A9">
                <w:rPr>
                  <w:rFonts w:ascii="Calibri" w:hAnsi="Calibri" w:cs="Calibri"/>
                  <w:color w:val="000000" w:themeColor="text1"/>
                  <w:sz w:val="13"/>
                  <w:szCs w:val="13"/>
                </w:rPr>
                <w:t>9,10-12,13-diepoxyoctadecanoate</w:t>
              </w:r>
            </w:hyperlink>
          </w:p>
        </w:tc>
        <w:tc>
          <w:tcPr>
            <w:tcW w:w="1369" w:type="dxa"/>
            <w:vMerge w:val="restart"/>
            <w:vAlign w:val="center"/>
          </w:tcPr>
          <w:p w14:paraId="3F775E70" w14:textId="77777777" w:rsidR="004D1935" w:rsidRPr="00A242B4" w:rsidRDefault="004D1935" w:rsidP="00E24DC9">
            <w:pPr>
              <w:jc w:val="center"/>
              <w:rPr>
                <w:sz w:val="15"/>
                <w:szCs w:val="15"/>
              </w:rPr>
            </w:pPr>
            <w:r w:rsidRPr="00A242B4">
              <w:rPr>
                <w:rFonts w:ascii="Arial" w:hAnsi="Arial" w:cs="Arial"/>
                <w:color w:val="222222"/>
                <w:sz w:val="15"/>
                <w:szCs w:val="15"/>
                <w:shd w:val="clear" w:color="auto" w:fill="FFFFFF"/>
              </w:rPr>
              <w:t>C</w:t>
            </w:r>
            <w:r w:rsidRPr="00A242B4">
              <w:rPr>
                <w:rFonts w:ascii="Arial" w:hAnsi="Arial" w:cs="Arial"/>
                <w:color w:val="222222"/>
                <w:sz w:val="15"/>
                <w:szCs w:val="15"/>
                <w:shd w:val="clear" w:color="auto" w:fill="FFFFFF"/>
                <w:vertAlign w:val="subscript"/>
              </w:rPr>
              <w:t>15</w:t>
            </w:r>
            <w:r w:rsidRPr="00A242B4">
              <w:rPr>
                <w:rFonts w:ascii="Arial" w:hAnsi="Arial" w:cs="Arial"/>
                <w:color w:val="222222"/>
                <w:sz w:val="15"/>
                <w:szCs w:val="15"/>
                <w:shd w:val="clear" w:color="auto" w:fill="FFFFFF"/>
              </w:rPr>
              <w:t>H</w:t>
            </w:r>
            <w:r w:rsidRPr="00A242B4">
              <w:rPr>
                <w:rFonts w:ascii="Arial" w:hAnsi="Arial" w:cs="Arial"/>
                <w:color w:val="222222"/>
                <w:sz w:val="15"/>
                <w:szCs w:val="15"/>
                <w:shd w:val="clear" w:color="auto" w:fill="FFFFFF"/>
                <w:vertAlign w:val="subscript"/>
              </w:rPr>
              <w:t>20</w:t>
            </w:r>
            <w:r w:rsidRPr="00A242B4">
              <w:rPr>
                <w:rFonts w:ascii="Arial" w:hAnsi="Arial" w:cs="Arial"/>
                <w:color w:val="222222"/>
                <w:sz w:val="15"/>
                <w:szCs w:val="15"/>
                <w:shd w:val="clear" w:color="auto" w:fill="FFFFFF"/>
              </w:rPr>
              <w:t>O</w:t>
            </w:r>
            <w:r w:rsidRPr="00A242B4">
              <w:rPr>
                <w:rFonts w:ascii="Arial" w:hAnsi="Arial" w:cs="Arial"/>
                <w:color w:val="222222"/>
                <w:sz w:val="15"/>
                <w:szCs w:val="15"/>
                <w:shd w:val="clear" w:color="auto" w:fill="FFFFFF"/>
                <w:vertAlign w:val="subscript"/>
              </w:rPr>
              <w:t>7</w:t>
            </w:r>
          </w:p>
          <w:p w14:paraId="616EB844" w14:textId="77777777" w:rsidR="004D1935" w:rsidRPr="00A242B4" w:rsidRDefault="004D1935" w:rsidP="00E24DC9">
            <w:pPr>
              <w:jc w:val="center"/>
              <w:rPr>
                <w:sz w:val="15"/>
                <w:szCs w:val="15"/>
              </w:rPr>
            </w:pPr>
            <w:r w:rsidRPr="00A242B4">
              <w:rPr>
                <w:rFonts w:ascii="Arial" w:hAnsi="Arial" w:cs="Arial"/>
                <w:color w:val="222222"/>
                <w:sz w:val="15"/>
                <w:szCs w:val="15"/>
                <w:shd w:val="clear" w:color="auto" w:fill="FFFFFF"/>
              </w:rPr>
              <w:t>C</w:t>
            </w:r>
            <w:r w:rsidRPr="00A242B4">
              <w:rPr>
                <w:rFonts w:ascii="Arial" w:hAnsi="Arial" w:cs="Arial"/>
                <w:color w:val="222222"/>
                <w:sz w:val="15"/>
                <w:szCs w:val="15"/>
                <w:shd w:val="clear" w:color="auto" w:fill="FFFFFF"/>
                <w:vertAlign w:val="subscript"/>
              </w:rPr>
              <w:t>19</w:t>
            </w:r>
            <w:r w:rsidRPr="00A242B4">
              <w:rPr>
                <w:rFonts w:ascii="Arial" w:hAnsi="Arial" w:cs="Arial"/>
                <w:color w:val="222222"/>
                <w:sz w:val="15"/>
                <w:szCs w:val="15"/>
                <w:shd w:val="clear" w:color="auto" w:fill="FFFFFF"/>
              </w:rPr>
              <w:t>H</w:t>
            </w:r>
            <w:r w:rsidRPr="00A242B4">
              <w:rPr>
                <w:rFonts w:ascii="Arial" w:hAnsi="Arial" w:cs="Arial"/>
                <w:color w:val="222222"/>
                <w:sz w:val="15"/>
                <w:szCs w:val="15"/>
                <w:shd w:val="clear" w:color="auto" w:fill="FFFFFF"/>
                <w:vertAlign w:val="subscript"/>
              </w:rPr>
              <w:t>24</w:t>
            </w:r>
            <w:r w:rsidRPr="00A242B4">
              <w:rPr>
                <w:rFonts w:ascii="Arial" w:hAnsi="Arial" w:cs="Arial"/>
                <w:color w:val="222222"/>
                <w:sz w:val="15"/>
                <w:szCs w:val="15"/>
                <w:shd w:val="clear" w:color="auto" w:fill="FFFFFF"/>
              </w:rPr>
              <w:t>N</w:t>
            </w:r>
            <w:r w:rsidRPr="00A242B4">
              <w:rPr>
                <w:rFonts w:ascii="Arial" w:hAnsi="Arial" w:cs="Arial"/>
                <w:color w:val="222222"/>
                <w:sz w:val="15"/>
                <w:szCs w:val="15"/>
                <w:shd w:val="clear" w:color="auto" w:fill="FFFFFF"/>
                <w:vertAlign w:val="subscript"/>
              </w:rPr>
              <w:t>2</w:t>
            </w:r>
            <w:r w:rsidRPr="00A242B4">
              <w:rPr>
                <w:rFonts w:ascii="Arial" w:hAnsi="Arial" w:cs="Arial"/>
                <w:color w:val="222222"/>
                <w:sz w:val="15"/>
                <w:szCs w:val="15"/>
                <w:shd w:val="clear" w:color="auto" w:fill="FFFFFF"/>
              </w:rPr>
              <w:t>O</w:t>
            </w:r>
            <w:r w:rsidRPr="00A242B4">
              <w:rPr>
                <w:rFonts w:ascii="Arial" w:hAnsi="Arial" w:cs="Arial"/>
                <w:color w:val="222222"/>
                <w:sz w:val="15"/>
                <w:szCs w:val="15"/>
                <w:shd w:val="clear" w:color="auto" w:fill="FFFFFF"/>
                <w:vertAlign w:val="subscript"/>
              </w:rPr>
              <w:t>2</w:t>
            </w:r>
          </w:p>
          <w:p w14:paraId="6F9FF0C7" w14:textId="77777777" w:rsidR="004D1935" w:rsidRPr="00A242B4" w:rsidRDefault="004D1935" w:rsidP="00E24DC9">
            <w:pPr>
              <w:rPr>
                <w:sz w:val="15"/>
                <w:szCs w:val="15"/>
              </w:rPr>
            </w:pPr>
            <w:r w:rsidRPr="00A242B4">
              <w:rPr>
                <w:rFonts w:ascii="Arial" w:hAnsi="Arial" w:cs="Arial"/>
                <w:color w:val="222222"/>
                <w:sz w:val="15"/>
                <w:szCs w:val="15"/>
                <w:shd w:val="clear" w:color="auto" w:fill="FFFFFF"/>
              </w:rPr>
              <w:t>C</w:t>
            </w:r>
            <w:r w:rsidRPr="00A242B4">
              <w:rPr>
                <w:rFonts w:ascii="Arial" w:hAnsi="Arial" w:cs="Arial"/>
                <w:color w:val="222222"/>
                <w:sz w:val="15"/>
                <w:szCs w:val="15"/>
                <w:shd w:val="clear" w:color="auto" w:fill="FFFFFF"/>
                <w:vertAlign w:val="subscript"/>
              </w:rPr>
              <w:t>19</w:t>
            </w:r>
            <w:r w:rsidRPr="00A242B4">
              <w:rPr>
                <w:rFonts w:ascii="Arial" w:hAnsi="Arial" w:cs="Arial"/>
                <w:color w:val="222222"/>
                <w:sz w:val="15"/>
                <w:szCs w:val="15"/>
                <w:shd w:val="clear" w:color="auto" w:fill="FFFFFF"/>
              </w:rPr>
              <w:t>H</w:t>
            </w:r>
            <w:r w:rsidRPr="00A242B4">
              <w:rPr>
                <w:rFonts w:ascii="Arial" w:hAnsi="Arial" w:cs="Arial"/>
                <w:color w:val="222222"/>
                <w:sz w:val="15"/>
                <w:szCs w:val="15"/>
                <w:shd w:val="clear" w:color="auto" w:fill="FFFFFF"/>
                <w:vertAlign w:val="subscript"/>
              </w:rPr>
              <w:t>21</w:t>
            </w:r>
            <w:r w:rsidRPr="00A242B4">
              <w:rPr>
                <w:rFonts w:ascii="Arial" w:hAnsi="Arial" w:cs="Arial"/>
                <w:color w:val="222222"/>
                <w:sz w:val="15"/>
                <w:szCs w:val="15"/>
                <w:shd w:val="clear" w:color="auto" w:fill="FFFFFF"/>
              </w:rPr>
              <w:t>NO</w:t>
            </w:r>
            <w:r w:rsidRPr="00A242B4">
              <w:rPr>
                <w:rFonts w:ascii="Arial" w:hAnsi="Arial" w:cs="Arial"/>
                <w:color w:val="222222"/>
                <w:sz w:val="15"/>
                <w:szCs w:val="15"/>
                <w:shd w:val="clear" w:color="auto" w:fill="FFFFFF"/>
                <w:vertAlign w:val="subscript"/>
              </w:rPr>
              <w:t>3</w:t>
            </w:r>
            <w:r>
              <w:rPr>
                <w:rFonts w:ascii="Arial" w:hAnsi="Arial" w:cs="Arial"/>
                <w:color w:val="222222"/>
                <w:sz w:val="15"/>
                <w:szCs w:val="15"/>
                <w:shd w:val="clear" w:color="auto" w:fill="FFFFFF"/>
                <w:vertAlign w:val="subscript"/>
              </w:rPr>
              <w:t xml:space="preserve"> </w:t>
            </w:r>
            <w:r w:rsidRPr="00A242B4">
              <w:rPr>
                <w:rFonts w:ascii="Arial" w:hAnsi="Arial" w:cs="Arial"/>
                <w:color w:val="222222"/>
                <w:sz w:val="15"/>
                <w:szCs w:val="15"/>
                <w:shd w:val="clear" w:color="auto" w:fill="FFFFFF"/>
              </w:rPr>
              <w:t>Cl</w:t>
            </w:r>
          </w:p>
          <w:p w14:paraId="65E4E798" w14:textId="77777777" w:rsidR="004D1935" w:rsidRPr="00A242B4" w:rsidRDefault="004D1935" w:rsidP="00E24DC9">
            <w:pPr>
              <w:jc w:val="center"/>
              <w:rPr>
                <w:sz w:val="15"/>
                <w:szCs w:val="15"/>
              </w:rPr>
            </w:pPr>
            <w:r w:rsidRPr="00A242B4">
              <w:rPr>
                <w:rFonts w:ascii="Arial" w:hAnsi="Arial" w:cs="Arial"/>
                <w:color w:val="333333"/>
                <w:sz w:val="15"/>
                <w:szCs w:val="15"/>
                <w:shd w:val="clear" w:color="auto" w:fill="FFFFFF"/>
              </w:rPr>
              <w:t>C</w:t>
            </w:r>
            <w:r w:rsidRPr="00A242B4">
              <w:rPr>
                <w:rFonts w:ascii="Arial" w:hAnsi="Arial" w:cs="Arial"/>
                <w:color w:val="333333"/>
                <w:sz w:val="15"/>
                <w:szCs w:val="15"/>
                <w:shd w:val="clear" w:color="auto" w:fill="FFFFFF"/>
                <w:vertAlign w:val="subscript"/>
              </w:rPr>
              <w:t>18</w:t>
            </w:r>
            <w:r w:rsidRPr="00A242B4">
              <w:rPr>
                <w:rFonts w:ascii="Arial" w:hAnsi="Arial" w:cs="Arial"/>
                <w:color w:val="333333"/>
                <w:sz w:val="15"/>
                <w:szCs w:val="15"/>
                <w:shd w:val="clear" w:color="auto" w:fill="FFFFFF"/>
              </w:rPr>
              <w:t>H</w:t>
            </w:r>
            <w:r w:rsidRPr="00A242B4">
              <w:rPr>
                <w:rFonts w:ascii="Arial" w:hAnsi="Arial" w:cs="Arial"/>
                <w:color w:val="333333"/>
                <w:sz w:val="15"/>
                <w:szCs w:val="15"/>
                <w:shd w:val="clear" w:color="auto" w:fill="FFFFFF"/>
                <w:vertAlign w:val="subscript"/>
              </w:rPr>
              <w:t>34</w:t>
            </w:r>
            <w:r w:rsidRPr="00A242B4">
              <w:rPr>
                <w:rFonts w:ascii="Arial" w:hAnsi="Arial" w:cs="Arial"/>
                <w:color w:val="333333"/>
                <w:sz w:val="15"/>
                <w:szCs w:val="15"/>
                <w:shd w:val="clear" w:color="auto" w:fill="FFFFFF"/>
              </w:rPr>
              <w:t>O</w:t>
            </w:r>
            <w:r w:rsidRPr="00A242B4">
              <w:rPr>
                <w:rFonts w:ascii="Arial" w:hAnsi="Arial" w:cs="Arial"/>
                <w:color w:val="333333"/>
                <w:sz w:val="15"/>
                <w:szCs w:val="15"/>
                <w:shd w:val="clear" w:color="auto" w:fill="FFFFFF"/>
                <w:vertAlign w:val="subscript"/>
              </w:rPr>
              <w:t>5</w:t>
            </w:r>
          </w:p>
          <w:p w14:paraId="1995A23D" w14:textId="77777777" w:rsidR="004D1935" w:rsidRDefault="004D1935" w:rsidP="00E24DC9">
            <w:pPr>
              <w:jc w:val="center"/>
            </w:pPr>
          </w:p>
        </w:tc>
        <w:tc>
          <w:tcPr>
            <w:tcW w:w="2711" w:type="dxa"/>
            <w:vMerge w:val="restart"/>
            <w:vAlign w:val="center"/>
          </w:tcPr>
          <w:p w14:paraId="1C7DC6D8" w14:textId="77777777" w:rsidR="004D1935" w:rsidRPr="00472BE3" w:rsidRDefault="004D1935" w:rsidP="00E24DC9">
            <w:pPr>
              <w:jc w:val="center"/>
            </w:pPr>
            <w:r w:rsidRPr="00C419D2">
              <w:rPr>
                <w:rFonts w:ascii="Calibri" w:hAnsi="Calibri" w:cs="Calibri"/>
                <w:color w:val="000000"/>
                <w:sz w:val="13"/>
                <w:szCs w:val="13"/>
              </w:rPr>
              <w:t>lipid/terpinoid/terpenes</w:t>
            </w:r>
            <w:r>
              <w:rPr>
                <w:rFonts w:ascii="Calibri" w:hAnsi="Calibri" w:cs="Calibri"/>
                <w:color w:val="000000"/>
                <w:sz w:val="13"/>
                <w:szCs w:val="13"/>
              </w:rPr>
              <w:t>/mycotoxin</w:t>
            </w:r>
          </w:p>
          <w:p w14:paraId="2042074A" w14:textId="77777777" w:rsidR="004D1935" w:rsidRDefault="004D1935" w:rsidP="00E24DC9">
            <w:pPr>
              <w:jc w:val="center"/>
            </w:pPr>
            <w:r w:rsidRPr="00C419D2">
              <w:rPr>
                <w:rFonts w:ascii="Calibri" w:hAnsi="Calibri" w:cs="Calibri"/>
                <w:color w:val="000000"/>
                <w:sz w:val="13"/>
                <w:szCs w:val="13"/>
              </w:rPr>
              <w:t>terpinoid/indole/alkaloid</w:t>
            </w:r>
          </w:p>
          <w:p w14:paraId="201E6BEA" w14:textId="77777777" w:rsidR="004D1935" w:rsidRDefault="004D1935" w:rsidP="00E24DC9">
            <w:pPr>
              <w:jc w:val="center"/>
            </w:pPr>
            <w:r w:rsidRPr="00C419D2">
              <w:rPr>
                <w:rFonts w:ascii="Calibri" w:hAnsi="Calibri" w:cs="Calibri"/>
                <w:color w:val="000000"/>
                <w:sz w:val="13"/>
                <w:szCs w:val="13"/>
              </w:rPr>
              <w:t>alkaloid</w:t>
            </w:r>
          </w:p>
          <w:p w14:paraId="4A1EB52B" w14:textId="77777777" w:rsidR="004D1935" w:rsidRPr="007443A9" w:rsidRDefault="004D1935" w:rsidP="00E24DC9">
            <w:pPr>
              <w:jc w:val="center"/>
              <w:rPr>
                <w:color w:val="000000" w:themeColor="text1"/>
              </w:rPr>
            </w:pPr>
            <w:r w:rsidRPr="007443A9">
              <w:rPr>
                <w:rFonts w:ascii="Calibri" w:hAnsi="Calibri" w:cs="Calibri"/>
                <w:color w:val="000000" w:themeColor="text1"/>
                <w:sz w:val="13"/>
                <w:szCs w:val="13"/>
              </w:rPr>
              <w:t>N/A</w:t>
            </w:r>
          </w:p>
          <w:p w14:paraId="1718FF33" w14:textId="77777777" w:rsidR="004D1935" w:rsidRPr="00472BE3" w:rsidRDefault="004D1935" w:rsidP="00E24DC9">
            <w:pPr>
              <w:jc w:val="center"/>
            </w:pPr>
            <w:r w:rsidRPr="007443A9">
              <w:rPr>
                <w:rFonts w:ascii="Calibri" w:hAnsi="Calibri" w:cs="Calibri"/>
                <w:color w:val="000000" w:themeColor="text1"/>
                <w:sz w:val="13"/>
                <w:szCs w:val="13"/>
              </w:rPr>
              <w:t xml:space="preserve">carboxy acid/fatty </w:t>
            </w:r>
            <w:r w:rsidRPr="00C419D2">
              <w:rPr>
                <w:rFonts w:ascii="Calibri" w:hAnsi="Calibri" w:cs="Calibri"/>
                <w:color w:val="000000"/>
                <w:sz w:val="13"/>
                <w:szCs w:val="13"/>
              </w:rPr>
              <w:t>acid</w:t>
            </w:r>
          </w:p>
        </w:tc>
        <w:tc>
          <w:tcPr>
            <w:tcW w:w="6855" w:type="dxa"/>
            <w:vMerge w:val="restart"/>
            <w:vAlign w:val="center"/>
          </w:tcPr>
          <w:p w14:paraId="3503136E" w14:textId="77777777" w:rsidR="004D1935" w:rsidRPr="007443A9" w:rsidRDefault="004D1935" w:rsidP="00E24DC9">
            <w:pPr>
              <w:jc w:val="center"/>
              <w:rPr>
                <w:color w:val="000000" w:themeColor="text1"/>
              </w:rPr>
            </w:pPr>
            <w:r w:rsidRPr="007443A9">
              <w:rPr>
                <w:rFonts w:ascii="Verdana" w:hAnsi="Verdana" w:cs="Calibri"/>
                <w:color w:val="000000" w:themeColor="text1"/>
                <w:sz w:val="11"/>
                <w:szCs w:val="11"/>
              </w:rPr>
              <w:t>Sesquiterpenoid and triterpenoid biosynthesis</w:t>
            </w:r>
          </w:p>
          <w:p w14:paraId="520D3CE0" w14:textId="77777777" w:rsidR="004D1935" w:rsidRPr="007443A9" w:rsidRDefault="004D1935" w:rsidP="00E24DC9">
            <w:pPr>
              <w:jc w:val="center"/>
              <w:rPr>
                <w:color w:val="000000" w:themeColor="text1"/>
              </w:rPr>
            </w:pPr>
            <w:r w:rsidRPr="007443A9">
              <w:rPr>
                <w:rFonts w:ascii="Verdana" w:hAnsi="Verdana" w:cs="Calibri"/>
                <w:color w:val="000000" w:themeColor="text1"/>
                <w:sz w:val="11"/>
                <w:szCs w:val="11"/>
              </w:rPr>
              <w:t>Indole alkaloid biosynthesis/ Shikimate pathway/jasmonic acid biosynthesis/Riboflavin/Flavanone/Flavonoid biosynthesis</w:t>
            </w:r>
          </w:p>
          <w:p w14:paraId="60E53603" w14:textId="77777777" w:rsidR="004D1935" w:rsidRPr="007443A9" w:rsidRDefault="004D1935" w:rsidP="00E24DC9">
            <w:pPr>
              <w:jc w:val="center"/>
              <w:rPr>
                <w:color w:val="000000" w:themeColor="text1"/>
              </w:rPr>
            </w:pPr>
            <w:r w:rsidRPr="007443A9">
              <w:rPr>
                <w:rFonts w:ascii="Calibri" w:hAnsi="Calibri" w:cs="Calibri"/>
                <w:color w:val="000000" w:themeColor="text1"/>
                <w:sz w:val="11"/>
                <w:szCs w:val="11"/>
              </w:rPr>
              <w:t>Isoquinoline alkaloid biosynthesis/Biosynthesis of alkaloids derived from shikimate pathway/ Shikimate pathway/jasmonic acid biosynthesis/Riboflavin/Flavanone/Flavonoid biosynthesis/fatty acid biosynthesis</w:t>
            </w:r>
          </w:p>
          <w:p w14:paraId="54560CB8" w14:textId="77777777" w:rsidR="004D1935" w:rsidRPr="007443A9" w:rsidRDefault="004D1935" w:rsidP="00E24DC9">
            <w:pPr>
              <w:jc w:val="center"/>
              <w:rPr>
                <w:color w:val="000000" w:themeColor="text1"/>
              </w:rPr>
            </w:pPr>
            <w:r w:rsidRPr="007443A9">
              <w:rPr>
                <w:rFonts w:ascii="Verdana" w:hAnsi="Verdana" w:cs="Calibri"/>
                <w:color w:val="000000" w:themeColor="text1"/>
                <w:sz w:val="11"/>
                <w:szCs w:val="11"/>
              </w:rPr>
              <w:t>Porphyrin and chlorophyll metabolism/ Shikimate pathway/jasmonic acid biosynthesis/Riboflavin/Flavanone/Flavonoid biosynthesis/fatty acid biosynthesis</w:t>
            </w:r>
          </w:p>
          <w:p w14:paraId="0432E3D0" w14:textId="77777777" w:rsidR="004D1935" w:rsidRPr="007443A9" w:rsidRDefault="004D1935" w:rsidP="00E24DC9">
            <w:pPr>
              <w:jc w:val="center"/>
              <w:rPr>
                <w:color w:val="000000" w:themeColor="text1"/>
              </w:rPr>
            </w:pPr>
            <w:r w:rsidRPr="007443A9">
              <w:rPr>
                <w:rFonts w:ascii="Calibri" w:hAnsi="Calibri" w:cs="Calibri"/>
                <w:color w:val="000000" w:themeColor="text1"/>
                <w:sz w:val="13"/>
                <w:szCs w:val="13"/>
              </w:rPr>
              <w:t>Linoleic acid metabolism</w:t>
            </w:r>
          </w:p>
        </w:tc>
      </w:tr>
      <w:tr w:rsidR="004D1935" w14:paraId="5482954C" w14:textId="77777777" w:rsidTr="00E24DC9">
        <w:tc>
          <w:tcPr>
            <w:tcW w:w="643" w:type="dxa"/>
            <w:vMerge/>
            <w:vAlign w:val="center"/>
          </w:tcPr>
          <w:p w14:paraId="35000DB2" w14:textId="77777777" w:rsidR="004D1935" w:rsidRDefault="004D1935" w:rsidP="00E24DC9">
            <w:pPr>
              <w:jc w:val="center"/>
            </w:pPr>
          </w:p>
        </w:tc>
        <w:tc>
          <w:tcPr>
            <w:tcW w:w="749" w:type="dxa"/>
            <w:tcBorders>
              <w:top w:val="nil"/>
              <w:bottom w:val="nil"/>
            </w:tcBorders>
            <w:vAlign w:val="center"/>
          </w:tcPr>
          <w:p w14:paraId="5E1A486B" w14:textId="77777777" w:rsidR="004D1935" w:rsidRDefault="004D1935" w:rsidP="00E24DC9">
            <w:pPr>
              <w:jc w:val="center"/>
            </w:pPr>
            <w:r w:rsidRPr="00C419D2">
              <w:rPr>
                <w:rFonts w:ascii="Calibri" w:hAnsi="Calibri" w:cs="Calibri"/>
                <w:color w:val="000000"/>
                <w:sz w:val="13"/>
                <w:szCs w:val="13"/>
              </w:rPr>
              <w:t>312.1172</w:t>
            </w:r>
          </w:p>
        </w:tc>
        <w:tc>
          <w:tcPr>
            <w:tcW w:w="1418" w:type="dxa"/>
            <w:vMerge/>
            <w:vAlign w:val="center"/>
          </w:tcPr>
          <w:p w14:paraId="31591A26" w14:textId="77777777" w:rsidR="004D1935" w:rsidRPr="007443A9" w:rsidRDefault="004D1935" w:rsidP="00E24DC9">
            <w:pPr>
              <w:jc w:val="center"/>
              <w:rPr>
                <w:color w:val="000000" w:themeColor="text1"/>
              </w:rPr>
            </w:pPr>
          </w:p>
        </w:tc>
        <w:tc>
          <w:tcPr>
            <w:tcW w:w="1369" w:type="dxa"/>
            <w:vMerge/>
            <w:vAlign w:val="center"/>
          </w:tcPr>
          <w:p w14:paraId="424CDF26" w14:textId="77777777" w:rsidR="004D1935" w:rsidRDefault="004D1935" w:rsidP="00E24DC9">
            <w:pPr>
              <w:jc w:val="center"/>
            </w:pPr>
          </w:p>
        </w:tc>
        <w:tc>
          <w:tcPr>
            <w:tcW w:w="2711" w:type="dxa"/>
            <w:vMerge/>
            <w:vAlign w:val="center"/>
          </w:tcPr>
          <w:p w14:paraId="1A198940" w14:textId="77777777" w:rsidR="004D1935" w:rsidRDefault="004D1935" w:rsidP="00E24DC9">
            <w:pPr>
              <w:jc w:val="center"/>
            </w:pPr>
          </w:p>
        </w:tc>
        <w:tc>
          <w:tcPr>
            <w:tcW w:w="6855" w:type="dxa"/>
            <w:vMerge/>
            <w:vAlign w:val="center"/>
          </w:tcPr>
          <w:p w14:paraId="60B32AEC" w14:textId="77777777" w:rsidR="004D1935" w:rsidRPr="007443A9" w:rsidRDefault="004D1935" w:rsidP="00E24DC9">
            <w:pPr>
              <w:jc w:val="center"/>
              <w:rPr>
                <w:color w:val="000000" w:themeColor="text1"/>
              </w:rPr>
            </w:pPr>
          </w:p>
        </w:tc>
      </w:tr>
      <w:tr w:rsidR="004D1935" w14:paraId="63EED128" w14:textId="77777777" w:rsidTr="00E24DC9">
        <w:tc>
          <w:tcPr>
            <w:tcW w:w="643" w:type="dxa"/>
            <w:vMerge/>
            <w:vAlign w:val="center"/>
          </w:tcPr>
          <w:p w14:paraId="30A65E3A" w14:textId="77777777" w:rsidR="004D1935" w:rsidRDefault="004D1935" w:rsidP="00E24DC9">
            <w:pPr>
              <w:jc w:val="center"/>
            </w:pPr>
          </w:p>
        </w:tc>
        <w:tc>
          <w:tcPr>
            <w:tcW w:w="749" w:type="dxa"/>
            <w:tcBorders>
              <w:top w:val="nil"/>
              <w:bottom w:val="nil"/>
            </w:tcBorders>
            <w:vAlign w:val="center"/>
          </w:tcPr>
          <w:p w14:paraId="797993D5" w14:textId="77777777" w:rsidR="004D1935" w:rsidRDefault="004D1935" w:rsidP="00E24DC9">
            <w:pPr>
              <w:jc w:val="center"/>
            </w:pPr>
            <w:r w:rsidRPr="00C419D2">
              <w:rPr>
                <w:rFonts w:ascii="Calibri" w:hAnsi="Calibri" w:cs="Calibri"/>
                <w:color w:val="000000"/>
                <w:sz w:val="13"/>
                <w:szCs w:val="13"/>
              </w:rPr>
              <w:t>312.1733</w:t>
            </w:r>
          </w:p>
        </w:tc>
        <w:tc>
          <w:tcPr>
            <w:tcW w:w="1418" w:type="dxa"/>
            <w:vMerge/>
            <w:vAlign w:val="center"/>
          </w:tcPr>
          <w:p w14:paraId="48295E7F" w14:textId="77777777" w:rsidR="004D1935" w:rsidRPr="007443A9" w:rsidRDefault="004D1935" w:rsidP="00E24DC9">
            <w:pPr>
              <w:jc w:val="center"/>
              <w:rPr>
                <w:color w:val="000000" w:themeColor="text1"/>
              </w:rPr>
            </w:pPr>
          </w:p>
        </w:tc>
        <w:tc>
          <w:tcPr>
            <w:tcW w:w="1369" w:type="dxa"/>
            <w:vMerge/>
            <w:vAlign w:val="center"/>
          </w:tcPr>
          <w:p w14:paraId="761AFB63" w14:textId="77777777" w:rsidR="004D1935" w:rsidRDefault="004D1935" w:rsidP="00E24DC9">
            <w:pPr>
              <w:jc w:val="center"/>
            </w:pPr>
          </w:p>
        </w:tc>
        <w:tc>
          <w:tcPr>
            <w:tcW w:w="2711" w:type="dxa"/>
            <w:vMerge/>
            <w:vAlign w:val="center"/>
          </w:tcPr>
          <w:p w14:paraId="042AE939" w14:textId="77777777" w:rsidR="004D1935" w:rsidRDefault="004D1935" w:rsidP="00E24DC9">
            <w:pPr>
              <w:jc w:val="center"/>
            </w:pPr>
          </w:p>
        </w:tc>
        <w:tc>
          <w:tcPr>
            <w:tcW w:w="6855" w:type="dxa"/>
            <w:vMerge/>
            <w:vAlign w:val="center"/>
          </w:tcPr>
          <w:p w14:paraId="7D41E4AE" w14:textId="77777777" w:rsidR="004D1935" w:rsidRPr="007443A9" w:rsidRDefault="004D1935" w:rsidP="00E24DC9">
            <w:pPr>
              <w:jc w:val="center"/>
              <w:rPr>
                <w:color w:val="000000" w:themeColor="text1"/>
              </w:rPr>
            </w:pPr>
          </w:p>
        </w:tc>
      </w:tr>
      <w:tr w:rsidR="004D1935" w14:paraId="59391173" w14:textId="77777777" w:rsidTr="00E24DC9">
        <w:tc>
          <w:tcPr>
            <w:tcW w:w="643" w:type="dxa"/>
            <w:vMerge/>
            <w:vAlign w:val="center"/>
          </w:tcPr>
          <w:p w14:paraId="5BDAE5BD" w14:textId="77777777" w:rsidR="004D1935" w:rsidRDefault="004D1935" w:rsidP="00E24DC9">
            <w:pPr>
              <w:jc w:val="center"/>
            </w:pPr>
          </w:p>
        </w:tc>
        <w:tc>
          <w:tcPr>
            <w:tcW w:w="749" w:type="dxa"/>
            <w:tcBorders>
              <w:top w:val="nil"/>
              <w:bottom w:val="nil"/>
            </w:tcBorders>
            <w:vAlign w:val="center"/>
          </w:tcPr>
          <w:p w14:paraId="77AC6750" w14:textId="77777777" w:rsidR="004D1935" w:rsidRDefault="004D1935" w:rsidP="00E24DC9">
            <w:pPr>
              <w:jc w:val="center"/>
            </w:pPr>
            <w:r w:rsidRPr="00C419D2">
              <w:rPr>
                <w:rFonts w:ascii="Calibri" w:hAnsi="Calibri" w:cs="Calibri"/>
                <w:color w:val="000000"/>
                <w:sz w:val="13"/>
                <w:szCs w:val="13"/>
              </w:rPr>
              <w:t>312.2133</w:t>
            </w:r>
          </w:p>
        </w:tc>
        <w:tc>
          <w:tcPr>
            <w:tcW w:w="1418" w:type="dxa"/>
            <w:vMerge/>
            <w:vAlign w:val="center"/>
          </w:tcPr>
          <w:p w14:paraId="2C04583B" w14:textId="77777777" w:rsidR="004D1935" w:rsidRPr="007443A9" w:rsidRDefault="004D1935" w:rsidP="00E24DC9">
            <w:pPr>
              <w:jc w:val="center"/>
              <w:rPr>
                <w:color w:val="000000" w:themeColor="text1"/>
              </w:rPr>
            </w:pPr>
          </w:p>
        </w:tc>
        <w:tc>
          <w:tcPr>
            <w:tcW w:w="1369" w:type="dxa"/>
            <w:vMerge/>
            <w:vAlign w:val="center"/>
          </w:tcPr>
          <w:p w14:paraId="3DB9A620" w14:textId="77777777" w:rsidR="004D1935" w:rsidRDefault="004D1935" w:rsidP="00E24DC9">
            <w:pPr>
              <w:jc w:val="center"/>
            </w:pPr>
          </w:p>
        </w:tc>
        <w:tc>
          <w:tcPr>
            <w:tcW w:w="2711" w:type="dxa"/>
            <w:vMerge/>
            <w:vAlign w:val="center"/>
          </w:tcPr>
          <w:p w14:paraId="1626F989" w14:textId="77777777" w:rsidR="004D1935" w:rsidRPr="00BC749E" w:rsidRDefault="004D1935" w:rsidP="00E24DC9">
            <w:pPr>
              <w:jc w:val="center"/>
            </w:pPr>
          </w:p>
        </w:tc>
        <w:tc>
          <w:tcPr>
            <w:tcW w:w="6855" w:type="dxa"/>
            <w:vMerge/>
            <w:vAlign w:val="center"/>
          </w:tcPr>
          <w:p w14:paraId="703FC36D" w14:textId="77777777" w:rsidR="004D1935" w:rsidRPr="007443A9" w:rsidRDefault="004D1935" w:rsidP="00E24DC9">
            <w:pPr>
              <w:jc w:val="center"/>
              <w:rPr>
                <w:color w:val="000000" w:themeColor="text1"/>
              </w:rPr>
            </w:pPr>
          </w:p>
        </w:tc>
      </w:tr>
      <w:tr w:rsidR="004D1935" w14:paraId="6692931E" w14:textId="77777777" w:rsidTr="00E24DC9">
        <w:tc>
          <w:tcPr>
            <w:tcW w:w="643" w:type="dxa"/>
            <w:vMerge/>
            <w:vAlign w:val="center"/>
          </w:tcPr>
          <w:p w14:paraId="7D5F557F" w14:textId="77777777" w:rsidR="004D1935" w:rsidRDefault="004D1935" w:rsidP="00E24DC9">
            <w:pPr>
              <w:jc w:val="center"/>
            </w:pPr>
          </w:p>
        </w:tc>
        <w:tc>
          <w:tcPr>
            <w:tcW w:w="749" w:type="dxa"/>
            <w:tcBorders>
              <w:top w:val="nil"/>
              <w:bottom w:val="nil"/>
            </w:tcBorders>
            <w:vAlign w:val="center"/>
          </w:tcPr>
          <w:p w14:paraId="4D5FD87B" w14:textId="77777777" w:rsidR="004D1935" w:rsidRDefault="004D1935" w:rsidP="00E24DC9">
            <w:pPr>
              <w:jc w:val="center"/>
            </w:pPr>
            <w:r w:rsidRPr="00C419D2">
              <w:rPr>
                <w:rFonts w:ascii="Calibri" w:hAnsi="Calibri" w:cs="Calibri"/>
                <w:color w:val="000000"/>
                <w:sz w:val="13"/>
                <w:szCs w:val="13"/>
              </w:rPr>
              <w:t>312.2533</w:t>
            </w:r>
          </w:p>
        </w:tc>
        <w:tc>
          <w:tcPr>
            <w:tcW w:w="1418" w:type="dxa"/>
            <w:vMerge/>
            <w:vAlign w:val="center"/>
          </w:tcPr>
          <w:p w14:paraId="7100BD86" w14:textId="77777777" w:rsidR="004D1935" w:rsidRPr="007443A9" w:rsidRDefault="004D1935" w:rsidP="00E24DC9">
            <w:pPr>
              <w:jc w:val="center"/>
              <w:rPr>
                <w:color w:val="000000" w:themeColor="text1"/>
              </w:rPr>
            </w:pPr>
          </w:p>
        </w:tc>
        <w:tc>
          <w:tcPr>
            <w:tcW w:w="1369" w:type="dxa"/>
            <w:vMerge/>
            <w:vAlign w:val="center"/>
          </w:tcPr>
          <w:p w14:paraId="4473AB86" w14:textId="77777777" w:rsidR="004D1935" w:rsidRDefault="004D1935" w:rsidP="00E24DC9">
            <w:pPr>
              <w:jc w:val="center"/>
            </w:pPr>
          </w:p>
        </w:tc>
        <w:tc>
          <w:tcPr>
            <w:tcW w:w="2711" w:type="dxa"/>
            <w:vMerge/>
            <w:vAlign w:val="center"/>
          </w:tcPr>
          <w:p w14:paraId="2488189C" w14:textId="77777777" w:rsidR="004D1935" w:rsidRDefault="004D1935" w:rsidP="00E24DC9">
            <w:pPr>
              <w:jc w:val="center"/>
            </w:pPr>
          </w:p>
        </w:tc>
        <w:tc>
          <w:tcPr>
            <w:tcW w:w="6855" w:type="dxa"/>
            <w:vMerge/>
            <w:vAlign w:val="center"/>
          </w:tcPr>
          <w:p w14:paraId="1424E5DA" w14:textId="77777777" w:rsidR="004D1935" w:rsidRPr="007443A9" w:rsidRDefault="004D1935" w:rsidP="00E24DC9">
            <w:pPr>
              <w:jc w:val="center"/>
              <w:rPr>
                <w:color w:val="000000" w:themeColor="text1"/>
              </w:rPr>
            </w:pPr>
          </w:p>
        </w:tc>
      </w:tr>
      <w:tr w:rsidR="004D1935" w14:paraId="63BB7D1F" w14:textId="77777777" w:rsidTr="00E24DC9">
        <w:tc>
          <w:tcPr>
            <w:tcW w:w="643" w:type="dxa"/>
            <w:vMerge/>
            <w:vAlign w:val="center"/>
          </w:tcPr>
          <w:p w14:paraId="2022C536" w14:textId="77777777" w:rsidR="004D1935" w:rsidRDefault="004D1935" w:rsidP="00E24DC9">
            <w:pPr>
              <w:jc w:val="center"/>
            </w:pPr>
          </w:p>
        </w:tc>
        <w:tc>
          <w:tcPr>
            <w:tcW w:w="749" w:type="dxa"/>
            <w:tcBorders>
              <w:top w:val="nil"/>
              <w:bottom w:val="nil"/>
            </w:tcBorders>
            <w:vAlign w:val="center"/>
          </w:tcPr>
          <w:p w14:paraId="70F45DE3" w14:textId="77777777" w:rsidR="004D1935" w:rsidRDefault="004D1935" w:rsidP="00E24DC9">
            <w:pPr>
              <w:jc w:val="center"/>
            </w:pPr>
            <w:r w:rsidRPr="00C419D2">
              <w:rPr>
                <w:rFonts w:ascii="Calibri" w:hAnsi="Calibri" w:cs="Calibri"/>
                <w:color w:val="000000"/>
                <w:sz w:val="13"/>
                <w:szCs w:val="13"/>
              </w:rPr>
              <w:t>312.2933</w:t>
            </w:r>
          </w:p>
        </w:tc>
        <w:tc>
          <w:tcPr>
            <w:tcW w:w="1418" w:type="dxa"/>
            <w:vMerge/>
            <w:vAlign w:val="center"/>
          </w:tcPr>
          <w:p w14:paraId="69C2D349" w14:textId="77777777" w:rsidR="004D1935" w:rsidRPr="007443A9" w:rsidRDefault="004D1935" w:rsidP="00E24DC9">
            <w:pPr>
              <w:jc w:val="center"/>
              <w:rPr>
                <w:color w:val="000000" w:themeColor="text1"/>
              </w:rPr>
            </w:pPr>
          </w:p>
        </w:tc>
        <w:tc>
          <w:tcPr>
            <w:tcW w:w="1369" w:type="dxa"/>
            <w:vMerge/>
            <w:vAlign w:val="center"/>
          </w:tcPr>
          <w:p w14:paraId="7230813E" w14:textId="77777777" w:rsidR="004D1935" w:rsidRDefault="004D1935" w:rsidP="00E24DC9">
            <w:pPr>
              <w:jc w:val="center"/>
            </w:pPr>
          </w:p>
        </w:tc>
        <w:tc>
          <w:tcPr>
            <w:tcW w:w="2711" w:type="dxa"/>
            <w:vMerge/>
            <w:vAlign w:val="center"/>
          </w:tcPr>
          <w:p w14:paraId="49DB0CAD" w14:textId="77777777" w:rsidR="004D1935" w:rsidRDefault="004D1935" w:rsidP="00E24DC9">
            <w:pPr>
              <w:jc w:val="center"/>
            </w:pPr>
          </w:p>
        </w:tc>
        <w:tc>
          <w:tcPr>
            <w:tcW w:w="6855" w:type="dxa"/>
            <w:vMerge/>
            <w:vAlign w:val="center"/>
          </w:tcPr>
          <w:p w14:paraId="73822B13" w14:textId="77777777" w:rsidR="004D1935" w:rsidRPr="007443A9" w:rsidRDefault="004D1935" w:rsidP="00E24DC9">
            <w:pPr>
              <w:jc w:val="center"/>
              <w:rPr>
                <w:color w:val="000000" w:themeColor="text1"/>
              </w:rPr>
            </w:pPr>
          </w:p>
        </w:tc>
      </w:tr>
      <w:tr w:rsidR="004D1935" w14:paraId="5E251EC7" w14:textId="77777777" w:rsidTr="00E24DC9">
        <w:tc>
          <w:tcPr>
            <w:tcW w:w="643" w:type="dxa"/>
            <w:vMerge/>
            <w:vAlign w:val="center"/>
          </w:tcPr>
          <w:p w14:paraId="2ABC0CF8" w14:textId="77777777" w:rsidR="004D1935" w:rsidRDefault="004D1935" w:rsidP="00E24DC9">
            <w:pPr>
              <w:jc w:val="center"/>
            </w:pPr>
          </w:p>
        </w:tc>
        <w:tc>
          <w:tcPr>
            <w:tcW w:w="749" w:type="dxa"/>
            <w:tcBorders>
              <w:top w:val="nil"/>
              <w:bottom w:val="nil"/>
            </w:tcBorders>
            <w:vAlign w:val="center"/>
          </w:tcPr>
          <w:p w14:paraId="0B4A3F7E" w14:textId="77777777" w:rsidR="004D1935" w:rsidRDefault="004D1935" w:rsidP="00E24DC9">
            <w:pPr>
              <w:jc w:val="center"/>
            </w:pPr>
            <w:r w:rsidRPr="00C419D2">
              <w:rPr>
                <w:rFonts w:ascii="Calibri" w:hAnsi="Calibri" w:cs="Calibri"/>
                <w:color w:val="000000"/>
                <w:sz w:val="13"/>
                <w:szCs w:val="13"/>
              </w:rPr>
              <w:t>312.1706</w:t>
            </w:r>
          </w:p>
        </w:tc>
        <w:tc>
          <w:tcPr>
            <w:tcW w:w="1418" w:type="dxa"/>
            <w:vMerge/>
            <w:vAlign w:val="center"/>
          </w:tcPr>
          <w:p w14:paraId="3A727D7F" w14:textId="77777777" w:rsidR="004D1935" w:rsidRPr="007443A9" w:rsidRDefault="004D1935" w:rsidP="00E24DC9">
            <w:pPr>
              <w:jc w:val="center"/>
              <w:rPr>
                <w:color w:val="000000" w:themeColor="text1"/>
              </w:rPr>
            </w:pPr>
          </w:p>
        </w:tc>
        <w:tc>
          <w:tcPr>
            <w:tcW w:w="1369" w:type="dxa"/>
            <w:vMerge/>
            <w:vAlign w:val="center"/>
          </w:tcPr>
          <w:p w14:paraId="554537DE" w14:textId="77777777" w:rsidR="004D1935" w:rsidRDefault="004D1935" w:rsidP="00E24DC9">
            <w:pPr>
              <w:jc w:val="center"/>
            </w:pPr>
          </w:p>
        </w:tc>
        <w:tc>
          <w:tcPr>
            <w:tcW w:w="2711" w:type="dxa"/>
            <w:vMerge/>
            <w:vAlign w:val="center"/>
          </w:tcPr>
          <w:p w14:paraId="5B7D2B78" w14:textId="77777777" w:rsidR="004D1935" w:rsidRDefault="004D1935" w:rsidP="00E24DC9">
            <w:pPr>
              <w:jc w:val="center"/>
            </w:pPr>
          </w:p>
        </w:tc>
        <w:tc>
          <w:tcPr>
            <w:tcW w:w="6855" w:type="dxa"/>
            <w:vMerge/>
            <w:vAlign w:val="center"/>
          </w:tcPr>
          <w:p w14:paraId="6BF9830B" w14:textId="77777777" w:rsidR="004D1935" w:rsidRPr="007443A9" w:rsidRDefault="004D1935" w:rsidP="00E24DC9">
            <w:pPr>
              <w:jc w:val="center"/>
              <w:rPr>
                <w:color w:val="000000" w:themeColor="text1"/>
              </w:rPr>
            </w:pPr>
          </w:p>
        </w:tc>
      </w:tr>
      <w:tr w:rsidR="004D1935" w14:paraId="45997C77" w14:textId="77777777" w:rsidTr="00E24DC9">
        <w:tc>
          <w:tcPr>
            <w:tcW w:w="643" w:type="dxa"/>
            <w:vMerge/>
            <w:vAlign w:val="center"/>
          </w:tcPr>
          <w:p w14:paraId="511A93C8" w14:textId="77777777" w:rsidR="004D1935" w:rsidRDefault="004D1935" w:rsidP="00E24DC9">
            <w:pPr>
              <w:jc w:val="center"/>
            </w:pPr>
          </w:p>
        </w:tc>
        <w:tc>
          <w:tcPr>
            <w:tcW w:w="749" w:type="dxa"/>
            <w:tcBorders>
              <w:top w:val="nil"/>
              <w:bottom w:val="nil"/>
            </w:tcBorders>
            <w:vAlign w:val="center"/>
          </w:tcPr>
          <w:p w14:paraId="03A4312F" w14:textId="77777777" w:rsidR="004D1935" w:rsidRPr="00C419D2" w:rsidRDefault="004D1935" w:rsidP="00E24DC9">
            <w:pPr>
              <w:jc w:val="center"/>
              <w:rPr>
                <w:rFonts w:ascii="Calibri" w:hAnsi="Calibri" w:cs="Calibri"/>
                <w:color w:val="000000"/>
                <w:sz w:val="13"/>
                <w:szCs w:val="13"/>
              </w:rPr>
            </w:pPr>
            <w:r w:rsidRPr="00C419D2">
              <w:rPr>
                <w:rFonts w:ascii="Calibri" w:hAnsi="Calibri" w:cs="Calibri"/>
                <w:color w:val="000000"/>
                <w:sz w:val="13"/>
                <w:szCs w:val="13"/>
              </w:rPr>
              <w:t>312.2107</w:t>
            </w:r>
          </w:p>
        </w:tc>
        <w:tc>
          <w:tcPr>
            <w:tcW w:w="1418" w:type="dxa"/>
            <w:vMerge/>
            <w:vAlign w:val="center"/>
          </w:tcPr>
          <w:p w14:paraId="4CFF7D2A" w14:textId="77777777" w:rsidR="004D1935" w:rsidRPr="007443A9" w:rsidRDefault="004D1935" w:rsidP="00E24DC9">
            <w:pPr>
              <w:jc w:val="center"/>
              <w:rPr>
                <w:color w:val="000000" w:themeColor="text1"/>
              </w:rPr>
            </w:pPr>
          </w:p>
        </w:tc>
        <w:tc>
          <w:tcPr>
            <w:tcW w:w="1369" w:type="dxa"/>
            <w:vMerge/>
            <w:vAlign w:val="center"/>
          </w:tcPr>
          <w:p w14:paraId="00718ABB" w14:textId="77777777" w:rsidR="004D1935" w:rsidRDefault="004D1935" w:rsidP="00E24DC9">
            <w:pPr>
              <w:jc w:val="center"/>
            </w:pPr>
          </w:p>
        </w:tc>
        <w:tc>
          <w:tcPr>
            <w:tcW w:w="2711" w:type="dxa"/>
            <w:vMerge/>
            <w:vAlign w:val="center"/>
          </w:tcPr>
          <w:p w14:paraId="1EE3CC93" w14:textId="77777777" w:rsidR="004D1935" w:rsidRDefault="004D1935" w:rsidP="00E24DC9">
            <w:pPr>
              <w:jc w:val="center"/>
            </w:pPr>
          </w:p>
        </w:tc>
        <w:tc>
          <w:tcPr>
            <w:tcW w:w="6855" w:type="dxa"/>
            <w:vMerge/>
            <w:vAlign w:val="center"/>
          </w:tcPr>
          <w:p w14:paraId="242BF66D" w14:textId="77777777" w:rsidR="004D1935" w:rsidRPr="007443A9" w:rsidRDefault="004D1935" w:rsidP="00E24DC9">
            <w:pPr>
              <w:jc w:val="center"/>
              <w:rPr>
                <w:color w:val="000000" w:themeColor="text1"/>
              </w:rPr>
            </w:pPr>
          </w:p>
        </w:tc>
      </w:tr>
      <w:tr w:rsidR="004D1935" w14:paraId="4FE90742" w14:textId="77777777" w:rsidTr="00E24DC9">
        <w:tc>
          <w:tcPr>
            <w:tcW w:w="643" w:type="dxa"/>
            <w:vMerge/>
            <w:vAlign w:val="center"/>
          </w:tcPr>
          <w:p w14:paraId="2C48C0A7" w14:textId="77777777" w:rsidR="004D1935" w:rsidRDefault="004D1935" w:rsidP="00E24DC9">
            <w:pPr>
              <w:jc w:val="center"/>
            </w:pPr>
          </w:p>
        </w:tc>
        <w:tc>
          <w:tcPr>
            <w:tcW w:w="749" w:type="dxa"/>
            <w:tcBorders>
              <w:top w:val="nil"/>
              <w:bottom w:val="nil"/>
            </w:tcBorders>
            <w:vAlign w:val="center"/>
          </w:tcPr>
          <w:p w14:paraId="7E139989" w14:textId="77777777" w:rsidR="004D1935" w:rsidRPr="00C419D2" w:rsidRDefault="004D1935" w:rsidP="00E24DC9">
            <w:pPr>
              <w:jc w:val="center"/>
              <w:rPr>
                <w:rFonts w:ascii="Calibri" w:hAnsi="Calibri" w:cs="Calibri"/>
                <w:color w:val="000000"/>
                <w:sz w:val="13"/>
                <w:szCs w:val="13"/>
              </w:rPr>
            </w:pPr>
            <w:r w:rsidRPr="00C419D2">
              <w:rPr>
                <w:rFonts w:ascii="Calibri" w:hAnsi="Calibri" w:cs="Calibri"/>
                <w:color w:val="000000"/>
                <w:sz w:val="13"/>
                <w:szCs w:val="13"/>
              </w:rPr>
              <w:t>312.2507</w:t>
            </w:r>
          </w:p>
        </w:tc>
        <w:tc>
          <w:tcPr>
            <w:tcW w:w="1418" w:type="dxa"/>
            <w:vMerge/>
            <w:vAlign w:val="center"/>
          </w:tcPr>
          <w:p w14:paraId="50F618ED" w14:textId="77777777" w:rsidR="004D1935" w:rsidRPr="007443A9" w:rsidRDefault="004D1935" w:rsidP="00E24DC9">
            <w:pPr>
              <w:jc w:val="center"/>
              <w:rPr>
                <w:color w:val="000000" w:themeColor="text1"/>
              </w:rPr>
            </w:pPr>
          </w:p>
        </w:tc>
        <w:tc>
          <w:tcPr>
            <w:tcW w:w="1369" w:type="dxa"/>
            <w:vMerge/>
            <w:vAlign w:val="center"/>
          </w:tcPr>
          <w:p w14:paraId="0C271531" w14:textId="77777777" w:rsidR="004D1935" w:rsidRDefault="004D1935" w:rsidP="00E24DC9">
            <w:pPr>
              <w:jc w:val="center"/>
            </w:pPr>
          </w:p>
        </w:tc>
        <w:tc>
          <w:tcPr>
            <w:tcW w:w="2711" w:type="dxa"/>
            <w:vMerge/>
            <w:vAlign w:val="center"/>
          </w:tcPr>
          <w:p w14:paraId="5264AB27" w14:textId="77777777" w:rsidR="004D1935" w:rsidRDefault="004D1935" w:rsidP="00E24DC9">
            <w:pPr>
              <w:jc w:val="center"/>
            </w:pPr>
          </w:p>
        </w:tc>
        <w:tc>
          <w:tcPr>
            <w:tcW w:w="6855" w:type="dxa"/>
            <w:vMerge/>
            <w:vAlign w:val="center"/>
          </w:tcPr>
          <w:p w14:paraId="7B06D367" w14:textId="77777777" w:rsidR="004D1935" w:rsidRPr="007443A9" w:rsidRDefault="004D1935" w:rsidP="00E24DC9">
            <w:pPr>
              <w:jc w:val="center"/>
              <w:rPr>
                <w:color w:val="000000" w:themeColor="text1"/>
              </w:rPr>
            </w:pPr>
          </w:p>
        </w:tc>
      </w:tr>
      <w:tr w:rsidR="004D1935" w14:paraId="77262085" w14:textId="77777777" w:rsidTr="00E24DC9">
        <w:tc>
          <w:tcPr>
            <w:tcW w:w="643" w:type="dxa"/>
            <w:vMerge/>
            <w:vAlign w:val="center"/>
          </w:tcPr>
          <w:p w14:paraId="39C85E19" w14:textId="77777777" w:rsidR="004D1935" w:rsidRDefault="004D1935" w:rsidP="00E24DC9">
            <w:pPr>
              <w:jc w:val="center"/>
            </w:pPr>
          </w:p>
        </w:tc>
        <w:tc>
          <w:tcPr>
            <w:tcW w:w="749" w:type="dxa"/>
            <w:tcBorders>
              <w:top w:val="nil"/>
              <w:bottom w:val="nil"/>
            </w:tcBorders>
            <w:vAlign w:val="center"/>
          </w:tcPr>
          <w:p w14:paraId="56CEA6DE" w14:textId="77777777" w:rsidR="004D1935" w:rsidRPr="00C419D2" w:rsidRDefault="004D1935" w:rsidP="00E24DC9">
            <w:pPr>
              <w:jc w:val="center"/>
              <w:rPr>
                <w:rFonts w:ascii="Calibri" w:hAnsi="Calibri" w:cs="Calibri"/>
                <w:color w:val="000000"/>
                <w:sz w:val="13"/>
                <w:szCs w:val="13"/>
              </w:rPr>
            </w:pPr>
            <w:r w:rsidRPr="00C419D2">
              <w:rPr>
                <w:rFonts w:ascii="Calibri" w:hAnsi="Calibri" w:cs="Calibri"/>
                <w:color w:val="000000"/>
                <w:sz w:val="13"/>
                <w:szCs w:val="13"/>
              </w:rPr>
              <w:t>312.2907</w:t>
            </w:r>
          </w:p>
        </w:tc>
        <w:tc>
          <w:tcPr>
            <w:tcW w:w="1418" w:type="dxa"/>
            <w:vMerge/>
            <w:vAlign w:val="center"/>
          </w:tcPr>
          <w:p w14:paraId="50E47EEB" w14:textId="77777777" w:rsidR="004D1935" w:rsidRPr="007443A9" w:rsidRDefault="004D1935" w:rsidP="00E24DC9">
            <w:pPr>
              <w:jc w:val="center"/>
              <w:rPr>
                <w:color w:val="000000" w:themeColor="text1"/>
              </w:rPr>
            </w:pPr>
          </w:p>
        </w:tc>
        <w:tc>
          <w:tcPr>
            <w:tcW w:w="1369" w:type="dxa"/>
            <w:vMerge/>
            <w:vAlign w:val="center"/>
          </w:tcPr>
          <w:p w14:paraId="68E5E944" w14:textId="77777777" w:rsidR="004D1935" w:rsidRDefault="004D1935" w:rsidP="00E24DC9">
            <w:pPr>
              <w:jc w:val="center"/>
            </w:pPr>
          </w:p>
        </w:tc>
        <w:tc>
          <w:tcPr>
            <w:tcW w:w="2711" w:type="dxa"/>
            <w:vMerge/>
            <w:vAlign w:val="center"/>
          </w:tcPr>
          <w:p w14:paraId="5732C51F" w14:textId="77777777" w:rsidR="004D1935" w:rsidRDefault="004D1935" w:rsidP="00E24DC9">
            <w:pPr>
              <w:jc w:val="center"/>
            </w:pPr>
          </w:p>
        </w:tc>
        <w:tc>
          <w:tcPr>
            <w:tcW w:w="6855" w:type="dxa"/>
            <w:vMerge/>
            <w:vAlign w:val="center"/>
          </w:tcPr>
          <w:p w14:paraId="51C113EC" w14:textId="77777777" w:rsidR="004D1935" w:rsidRPr="007443A9" w:rsidRDefault="004D1935" w:rsidP="00E24DC9">
            <w:pPr>
              <w:jc w:val="center"/>
              <w:rPr>
                <w:color w:val="000000" w:themeColor="text1"/>
              </w:rPr>
            </w:pPr>
          </w:p>
        </w:tc>
      </w:tr>
      <w:tr w:rsidR="004D1935" w14:paraId="57979C77" w14:textId="77777777" w:rsidTr="00E24DC9">
        <w:tc>
          <w:tcPr>
            <w:tcW w:w="643" w:type="dxa"/>
            <w:vMerge/>
            <w:vAlign w:val="center"/>
          </w:tcPr>
          <w:p w14:paraId="0CBA7BB7" w14:textId="77777777" w:rsidR="004D1935" w:rsidRDefault="004D1935" w:rsidP="00E24DC9">
            <w:pPr>
              <w:jc w:val="center"/>
            </w:pPr>
          </w:p>
        </w:tc>
        <w:tc>
          <w:tcPr>
            <w:tcW w:w="749" w:type="dxa"/>
            <w:tcBorders>
              <w:top w:val="nil"/>
              <w:bottom w:val="nil"/>
            </w:tcBorders>
            <w:vAlign w:val="center"/>
          </w:tcPr>
          <w:p w14:paraId="6928D672" w14:textId="77777777" w:rsidR="004D1935" w:rsidRPr="00C419D2" w:rsidRDefault="004D1935" w:rsidP="00E24DC9">
            <w:pPr>
              <w:jc w:val="center"/>
              <w:rPr>
                <w:rFonts w:ascii="Calibri" w:hAnsi="Calibri" w:cs="Calibri"/>
                <w:color w:val="000000"/>
                <w:sz w:val="13"/>
                <w:szCs w:val="13"/>
              </w:rPr>
            </w:pPr>
            <w:r w:rsidRPr="00C419D2">
              <w:rPr>
                <w:rFonts w:ascii="Calibri" w:hAnsi="Calibri" w:cs="Calibri"/>
                <w:color w:val="000000"/>
                <w:sz w:val="13"/>
                <w:szCs w:val="13"/>
              </w:rPr>
              <w:t>312.1679</w:t>
            </w:r>
          </w:p>
        </w:tc>
        <w:tc>
          <w:tcPr>
            <w:tcW w:w="1418" w:type="dxa"/>
            <w:vMerge/>
            <w:vAlign w:val="center"/>
          </w:tcPr>
          <w:p w14:paraId="5EB7D1BE" w14:textId="77777777" w:rsidR="004D1935" w:rsidRPr="007443A9" w:rsidRDefault="004D1935" w:rsidP="00E24DC9">
            <w:pPr>
              <w:jc w:val="center"/>
              <w:rPr>
                <w:color w:val="000000" w:themeColor="text1"/>
              </w:rPr>
            </w:pPr>
          </w:p>
        </w:tc>
        <w:tc>
          <w:tcPr>
            <w:tcW w:w="1369" w:type="dxa"/>
            <w:vMerge/>
            <w:vAlign w:val="center"/>
          </w:tcPr>
          <w:p w14:paraId="4CF6494E" w14:textId="77777777" w:rsidR="004D1935" w:rsidRDefault="004D1935" w:rsidP="00E24DC9">
            <w:pPr>
              <w:jc w:val="center"/>
            </w:pPr>
          </w:p>
        </w:tc>
        <w:tc>
          <w:tcPr>
            <w:tcW w:w="2711" w:type="dxa"/>
            <w:vMerge/>
            <w:vAlign w:val="center"/>
          </w:tcPr>
          <w:p w14:paraId="1F6702AA" w14:textId="77777777" w:rsidR="004D1935" w:rsidRDefault="004D1935" w:rsidP="00E24DC9">
            <w:pPr>
              <w:jc w:val="center"/>
            </w:pPr>
          </w:p>
        </w:tc>
        <w:tc>
          <w:tcPr>
            <w:tcW w:w="6855" w:type="dxa"/>
            <w:vMerge/>
            <w:vAlign w:val="center"/>
          </w:tcPr>
          <w:p w14:paraId="4DDDF89E" w14:textId="77777777" w:rsidR="004D1935" w:rsidRPr="007443A9" w:rsidRDefault="004D1935" w:rsidP="00E24DC9">
            <w:pPr>
              <w:jc w:val="center"/>
              <w:rPr>
                <w:color w:val="000000" w:themeColor="text1"/>
              </w:rPr>
            </w:pPr>
          </w:p>
        </w:tc>
      </w:tr>
      <w:tr w:rsidR="004D1935" w14:paraId="5DC2F220" w14:textId="77777777" w:rsidTr="00E24DC9">
        <w:tc>
          <w:tcPr>
            <w:tcW w:w="643" w:type="dxa"/>
            <w:vMerge/>
            <w:vAlign w:val="center"/>
          </w:tcPr>
          <w:p w14:paraId="6E5A5D9D" w14:textId="77777777" w:rsidR="004D1935" w:rsidRDefault="004D1935" w:rsidP="00E24DC9">
            <w:pPr>
              <w:jc w:val="center"/>
            </w:pPr>
          </w:p>
        </w:tc>
        <w:tc>
          <w:tcPr>
            <w:tcW w:w="749" w:type="dxa"/>
            <w:tcBorders>
              <w:top w:val="nil"/>
              <w:bottom w:val="nil"/>
            </w:tcBorders>
            <w:vAlign w:val="center"/>
          </w:tcPr>
          <w:p w14:paraId="1BC64ED1" w14:textId="77777777" w:rsidR="004D1935" w:rsidRPr="00C419D2" w:rsidRDefault="004D1935" w:rsidP="00E24DC9">
            <w:pPr>
              <w:jc w:val="center"/>
              <w:rPr>
                <w:rFonts w:ascii="Calibri" w:hAnsi="Calibri" w:cs="Calibri"/>
                <w:color w:val="000000"/>
                <w:sz w:val="13"/>
                <w:szCs w:val="13"/>
              </w:rPr>
            </w:pPr>
            <w:r w:rsidRPr="00C419D2">
              <w:rPr>
                <w:rFonts w:ascii="Calibri" w:hAnsi="Calibri" w:cs="Calibri"/>
                <w:color w:val="000000"/>
                <w:sz w:val="13"/>
                <w:szCs w:val="13"/>
              </w:rPr>
              <w:t>312.2080</w:t>
            </w:r>
          </w:p>
        </w:tc>
        <w:tc>
          <w:tcPr>
            <w:tcW w:w="1418" w:type="dxa"/>
            <w:vMerge/>
            <w:vAlign w:val="center"/>
          </w:tcPr>
          <w:p w14:paraId="21CA684B" w14:textId="77777777" w:rsidR="004D1935" w:rsidRPr="007443A9" w:rsidRDefault="004D1935" w:rsidP="00E24DC9">
            <w:pPr>
              <w:jc w:val="center"/>
              <w:rPr>
                <w:color w:val="000000" w:themeColor="text1"/>
              </w:rPr>
            </w:pPr>
          </w:p>
        </w:tc>
        <w:tc>
          <w:tcPr>
            <w:tcW w:w="1369" w:type="dxa"/>
            <w:vMerge/>
            <w:vAlign w:val="center"/>
          </w:tcPr>
          <w:p w14:paraId="6D0FB9D8" w14:textId="77777777" w:rsidR="004D1935" w:rsidRDefault="004D1935" w:rsidP="00E24DC9">
            <w:pPr>
              <w:jc w:val="center"/>
            </w:pPr>
          </w:p>
        </w:tc>
        <w:tc>
          <w:tcPr>
            <w:tcW w:w="2711" w:type="dxa"/>
            <w:vMerge/>
            <w:vAlign w:val="center"/>
          </w:tcPr>
          <w:p w14:paraId="0F5980F1" w14:textId="77777777" w:rsidR="004D1935" w:rsidRDefault="004D1935" w:rsidP="00E24DC9">
            <w:pPr>
              <w:jc w:val="center"/>
            </w:pPr>
          </w:p>
        </w:tc>
        <w:tc>
          <w:tcPr>
            <w:tcW w:w="6855" w:type="dxa"/>
            <w:vMerge/>
            <w:vAlign w:val="center"/>
          </w:tcPr>
          <w:p w14:paraId="77B45F8F" w14:textId="77777777" w:rsidR="004D1935" w:rsidRPr="007443A9" w:rsidRDefault="004D1935" w:rsidP="00E24DC9">
            <w:pPr>
              <w:jc w:val="center"/>
              <w:rPr>
                <w:color w:val="000000" w:themeColor="text1"/>
              </w:rPr>
            </w:pPr>
          </w:p>
        </w:tc>
      </w:tr>
      <w:tr w:rsidR="004D1935" w14:paraId="55A4C69B" w14:textId="77777777" w:rsidTr="00E24DC9">
        <w:tc>
          <w:tcPr>
            <w:tcW w:w="643" w:type="dxa"/>
            <w:vMerge/>
            <w:vAlign w:val="center"/>
          </w:tcPr>
          <w:p w14:paraId="1ACF9529" w14:textId="77777777" w:rsidR="004D1935" w:rsidRDefault="004D1935" w:rsidP="00E24DC9">
            <w:pPr>
              <w:jc w:val="center"/>
            </w:pPr>
          </w:p>
        </w:tc>
        <w:tc>
          <w:tcPr>
            <w:tcW w:w="749" w:type="dxa"/>
            <w:tcBorders>
              <w:top w:val="nil"/>
              <w:bottom w:val="nil"/>
            </w:tcBorders>
            <w:vAlign w:val="center"/>
          </w:tcPr>
          <w:p w14:paraId="289A1013" w14:textId="77777777" w:rsidR="004D1935" w:rsidRPr="00C419D2" w:rsidRDefault="004D1935" w:rsidP="00E24DC9">
            <w:pPr>
              <w:jc w:val="center"/>
              <w:rPr>
                <w:rFonts w:ascii="Calibri" w:hAnsi="Calibri" w:cs="Calibri"/>
                <w:color w:val="000000"/>
                <w:sz w:val="13"/>
                <w:szCs w:val="13"/>
              </w:rPr>
            </w:pPr>
            <w:r w:rsidRPr="00C419D2">
              <w:rPr>
                <w:rFonts w:ascii="Calibri" w:hAnsi="Calibri" w:cs="Calibri"/>
                <w:color w:val="000000"/>
                <w:sz w:val="13"/>
                <w:szCs w:val="13"/>
              </w:rPr>
              <w:t>312.2480</w:t>
            </w:r>
          </w:p>
        </w:tc>
        <w:tc>
          <w:tcPr>
            <w:tcW w:w="1418" w:type="dxa"/>
            <w:vMerge/>
            <w:vAlign w:val="center"/>
          </w:tcPr>
          <w:p w14:paraId="39677C00" w14:textId="77777777" w:rsidR="004D1935" w:rsidRPr="007443A9" w:rsidRDefault="004D1935" w:rsidP="00E24DC9">
            <w:pPr>
              <w:jc w:val="center"/>
              <w:rPr>
                <w:color w:val="000000" w:themeColor="text1"/>
              </w:rPr>
            </w:pPr>
          </w:p>
        </w:tc>
        <w:tc>
          <w:tcPr>
            <w:tcW w:w="1369" w:type="dxa"/>
            <w:vMerge/>
            <w:vAlign w:val="center"/>
          </w:tcPr>
          <w:p w14:paraId="520CD055" w14:textId="77777777" w:rsidR="004D1935" w:rsidRDefault="004D1935" w:rsidP="00E24DC9">
            <w:pPr>
              <w:jc w:val="center"/>
            </w:pPr>
          </w:p>
        </w:tc>
        <w:tc>
          <w:tcPr>
            <w:tcW w:w="2711" w:type="dxa"/>
            <w:vMerge/>
            <w:vAlign w:val="center"/>
          </w:tcPr>
          <w:p w14:paraId="50A13FE5" w14:textId="77777777" w:rsidR="004D1935" w:rsidRDefault="004D1935" w:rsidP="00E24DC9">
            <w:pPr>
              <w:jc w:val="center"/>
            </w:pPr>
          </w:p>
        </w:tc>
        <w:tc>
          <w:tcPr>
            <w:tcW w:w="6855" w:type="dxa"/>
            <w:vMerge/>
            <w:vAlign w:val="center"/>
          </w:tcPr>
          <w:p w14:paraId="551D0710" w14:textId="77777777" w:rsidR="004D1935" w:rsidRPr="007443A9" w:rsidRDefault="004D1935" w:rsidP="00E24DC9">
            <w:pPr>
              <w:jc w:val="center"/>
              <w:rPr>
                <w:color w:val="000000" w:themeColor="text1"/>
              </w:rPr>
            </w:pPr>
          </w:p>
        </w:tc>
      </w:tr>
      <w:tr w:rsidR="004D1935" w14:paraId="7EC87CA9" w14:textId="77777777" w:rsidTr="00E24DC9">
        <w:tc>
          <w:tcPr>
            <w:tcW w:w="643" w:type="dxa"/>
            <w:vMerge/>
            <w:vAlign w:val="center"/>
          </w:tcPr>
          <w:p w14:paraId="2D640153" w14:textId="77777777" w:rsidR="004D1935" w:rsidRDefault="004D1935" w:rsidP="00E24DC9">
            <w:pPr>
              <w:jc w:val="center"/>
            </w:pPr>
          </w:p>
        </w:tc>
        <w:tc>
          <w:tcPr>
            <w:tcW w:w="749" w:type="dxa"/>
            <w:tcBorders>
              <w:top w:val="nil"/>
              <w:bottom w:val="nil"/>
            </w:tcBorders>
            <w:vAlign w:val="center"/>
          </w:tcPr>
          <w:p w14:paraId="70939EE5" w14:textId="77777777" w:rsidR="004D1935" w:rsidRPr="00C419D2" w:rsidRDefault="004D1935" w:rsidP="00E24DC9">
            <w:pPr>
              <w:jc w:val="center"/>
              <w:rPr>
                <w:rFonts w:ascii="Calibri" w:hAnsi="Calibri" w:cs="Calibri"/>
                <w:color w:val="000000"/>
                <w:sz w:val="13"/>
                <w:szCs w:val="13"/>
              </w:rPr>
            </w:pPr>
            <w:r w:rsidRPr="00C419D2">
              <w:rPr>
                <w:rFonts w:ascii="Calibri" w:hAnsi="Calibri" w:cs="Calibri"/>
                <w:color w:val="000000"/>
                <w:sz w:val="13"/>
                <w:szCs w:val="13"/>
              </w:rPr>
              <w:t>312.2880</w:t>
            </w:r>
          </w:p>
        </w:tc>
        <w:tc>
          <w:tcPr>
            <w:tcW w:w="1418" w:type="dxa"/>
            <w:vMerge/>
            <w:vAlign w:val="center"/>
          </w:tcPr>
          <w:p w14:paraId="6A43BDE9" w14:textId="77777777" w:rsidR="004D1935" w:rsidRPr="007443A9" w:rsidRDefault="004D1935" w:rsidP="00E24DC9">
            <w:pPr>
              <w:jc w:val="center"/>
              <w:rPr>
                <w:color w:val="000000" w:themeColor="text1"/>
              </w:rPr>
            </w:pPr>
          </w:p>
        </w:tc>
        <w:tc>
          <w:tcPr>
            <w:tcW w:w="1369" w:type="dxa"/>
            <w:vMerge/>
            <w:vAlign w:val="center"/>
          </w:tcPr>
          <w:p w14:paraId="43D98443" w14:textId="77777777" w:rsidR="004D1935" w:rsidRDefault="004D1935" w:rsidP="00E24DC9">
            <w:pPr>
              <w:jc w:val="center"/>
            </w:pPr>
          </w:p>
        </w:tc>
        <w:tc>
          <w:tcPr>
            <w:tcW w:w="2711" w:type="dxa"/>
            <w:vMerge/>
            <w:vAlign w:val="center"/>
          </w:tcPr>
          <w:p w14:paraId="0AB3D868" w14:textId="77777777" w:rsidR="004D1935" w:rsidRDefault="004D1935" w:rsidP="00E24DC9">
            <w:pPr>
              <w:jc w:val="center"/>
            </w:pPr>
          </w:p>
        </w:tc>
        <w:tc>
          <w:tcPr>
            <w:tcW w:w="6855" w:type="dxa"/>
            <w:vMerge/>
            <w:vAlign w:val="center"/>
          </w:tcPr>
          <w:p w14:paraId="3081CDFF" w14:textId="77777777" w:rsidR="004D1935" w:rsidRPr="007443A9" w:rsidRDefault="004D1935" w:rsidP="00E24DC9">
            <w:pPr>
              <w:jc w:val="center"/>
              <w:rPr>
                <w:color w:val="000000" w:themeColor="text1"/>
              </w:rPr>
            </w:pPr>
          </w:p>
        </w:tc>
      </w:tr>
      <w:tr w:rsidR="004D1935" w14:paraId="155EB2D8" w14:textId="77777777" w:rsidTr="00E24DC9">
        <w:tc>
          <w:tcPr>
            <w:tcW w:w="643" w:type="dxa"/>
            <w:vMerge/>
            <w:vAlign w:val="center"/>
          </w:tcPr>
          <w:p w14:paraId="6C63551B" w14:textId="77777777" w:rsidR="004D1935" w:rsidRDefault="004D1935" w:rsidP="00E24DC9">
            <w:pPr>
              <w:jc w:val="center"/>
            </w:pPr>
          </w:p>
        </w:tc>
        <w:tc>
          <w:tcPr>
            <w:tcW w:w="749" w:type="dxa"/>
            <w:tcBorders>
              <w:top w:val="nil"/>
              <w:bottom w:val="nil"/>
            </w:tcBorders>
            <w:vAlign w:val="center"/>
          </w:tcPr>
          <w:p w14:paraId="39C4D46F" w14:textId="77777777" w:rsidR="004D1935" w:rsidRPr="00C419D2" w:rsidRDefault="004D1935" w:rsidP="00E24DC9">
            <w:pPr>
              <w:jc w:val="center"/>
              <w:rPr>
                <w:rFonts w:ascii="Calibri" w:hAnsi="Calibri" w:cs="Calibri"/>
                <w:color w:val="000000"/>
                <w:sz w:val="13"/>
                <w:szCs w:val="13"/>
              </w:rPr>
            </w:pPr>
            <w:r w:rsidRPr="00C419D2">
              <w:rPr>
                <w:rFonts w:ascii="Calibri" w:hAnsi="Calibri" w:cs="Calibri"/>
                <w:color w:val="000000"/>
                <w:sz w:val="13"/>
                <w:szCs w:val="13"/>
              </w:rPr>
              <w:t>312.1226</w:t>
            </w:r>
          </w:p>
        </w:tc>
        <w:tc>
          <w:tcPr>
            <w:tcW w:w="1418" w:type="dxa"/>
            <w:vMerge/>
            <w:vAlign w:val="center"/>
          </w:tcPr>
          <w:p w14:paraId="4F168841" w14:textId="77777777" w:rsidR="004D1935" w:rsidRPr="007443A9" w:rsidRDefault="004D1935" w:rsidP="00E24DC9">
            <w:pPr>
              <w:jc w:val="center"/>
              <w:rPr>
                <w:color w:val="000000" w:themeColor="text1"/>
              </w:rPr>
            </w:pPr>
          </w:p>
        </w:tc>
        <w:tc>
          <w:tcPr>
            <w:tcW w:w="1369" w:type="dxa"/>
            <w:vMerge/>
            <w:vAlign w:val="center"/>
          </w:tcPr>
          <w:p w14:paraId="2E760EF7" w14:textId="77777777" w:rsidR="004D1935" w:rsidRDefault="004D1935" w:rsidP="00E24DC9">
            <w:pPr>
              <w:jc w:val="center"/>
            </w:pPr>
          </w:p>
        </w:tc>
        <w:tc>
          <w:tcPr>
            <w:tcW w:w="2711" w:type="dxa"/>
            <w:vMerge/>
            <w:vAlign w:val="center"/>
          </w:tcPr>
          <w:p w14:paraId="0228DC0C" w14:textId="77777777" w:rsidR="004D1935" w:rsidRDefault="004D1935" w:rsidP="00E24DC9">
            <w:pPr>
              <w:jc w:val="center"/>
            </w:pPr>
          </w:p>
        </w:tc>
        <w:tc>
          <w:tcPr>
            <w:tcW w:w="6855" w:type="dxa"/>
            <w:vMerge/>
            <w:vAlign w:val="center"/>
          </w:tcPr>
          <w:p w14:paraId="748E6251" w14:textId="77777777" w:rsidR="004D1935" w:rsidRPr="007443A9" w:rsidRDefault="004D1935" w:rsidP="00E24DC9">
            <w:pPr>
              <w:jc w:val="center"/>
              <w:rPr>
                <w:color w:val="000000" w:themeColor="text1"/>
              </w:rPr>
            </w:pPr>
          </w:p>
        </w:tc>
      </w:tr>
      <w:tr w:rsidR="004D1935" w14:paraId="53F32043" w14:textId="77777777" w:rsidTr="00E24DC9">
        <w:tc>
          <w:tcPr>
            <w:tcW w:w="643" w:type="dxa"/>
            <w:vMerge/>
            <w:vAlign w:val="center"/>
          </w:tcPr>
          <w:p w14:paraId="6CFFC4C9" w14:textId="77777777" w:rsidR="004D1935" w:rsidRDefault="004D1935" w:rsidP="00E24DC9">
            <w:pPr>
              <w:jc w:val="center"/>
            </w:pPr>
          </w:p>
        </w:tc>
        <w:tc>
          <w:tcPr>
            <w:tcW w:w="749" w:type="dxa"/>
            <w:tcBorders>
              <w:top w:val="nil"/>
              <w:bottom w:val="nil"/>
            </w:tcBorders>
            <w:vAlign w:val="center"/>
          </w:tcPr>
          <w:p w14:paraId="2B2D3554" w14:textId="77777777" w:rsidR="004D1935" w:rsidRPr="00C419D2" w:rsidRDefault="004D1935" w:rsidP="00E24DC9">
            <w:pPr>
              <w:jc w:val="center"/>
              <w:rPr>
                <w:rFonts w:ascii="Calibri" w:hAnsi="Calibri" w:cs="Calibri"/>
                <w:color w:val="000000"/>
                <w:sz w:val="13"/>
                <w:szCs w:val="13"/>
              </w:rPr>
            </w:pPr>
            <w:r w:rsidRPr="00C419D2">
              <w:rPr>
                <w:rFonts w:ascii="Calibri" w:hAnsi="Calibri" w:cs="Calibri"/>
                <w:color w:val="000000"/>
                <w:sz w:val="13"/>
                <w:szCs w:val="13"/>
              </w:rPr>
              <w:t>312.1652</w:t>
            </w:r>
          </w:p>
        </w:tc>
        <w:tc>
          <w:tcPr>
            <w:tcW w:w="1418" w:type="dxa"/>
            <w:vMerge/>
            <w:vAlign w:val="center"/>
          </w:tcPr>
          <w:p w14:paraId="006396FC" w14:textId="77777777" w:rsidR="004D1935" w:rsidRPr="007443A9" w:rsidRDefault="004D1935" w:rsidP="00E24DC9">
            <w:pPr>
              <w:jc w:val="center"/>
              <w:rPr>
                <w:color w:val="000000" w:themeColor="text1"/>
              </w:rPr>
            </w:pPr>
          </w:p>
        </w:tc>
        <w:tc>
          <w:tcPr>
            <w:tcW w:w="1369" w:type="dxa"/>
            <w:vMerge/>
            <w:vAlign w:val="center"/>
          </w:tcPr>
          <w:p w14:paraId="07A3EF42" w14:textId="77777777" w:rsidR="004D1935" w:rsidRDefault="004D1935" w:rsidP="00E24DC9">
            <w:pPr>
              <w:jc w:val="center"/>
            </w:pPr>
          </w:p>
        </w:tc>
        <w:tc>
          <w:tcPr>
            <w:tcW w:w="2711" w:type="dxa"/>
            <w:vMerge/>
            <w:vAlign w:val="center"/>
          </w:tcPr>
          <w:p w14:paraId="371E62D0" w14:textId="77777777" w:rsidR="004D1935" w:rsidRDefault="004D1935" w:rsidP="00E24DC9">
            <w:pPr>
              <w:jc w:val="center"/>
            </w:pPr>
          </w:p>
        </w:tc>
        <w:tc>
          <w:tcPr>
            <w:tcW w:w="6855" w:type="dxa"/>
            <w:vMerge/>
            <w:vAlign w:val="center"/>
          </w:tcPr>
          <w:p w14:paraId="23C19162" w14:textId="77777777" w:rsidR="004D1935" w:rsidRPr="007443A9" w:rsidRDefault="004D1935" w:rsidP="00E24DC9">
            <w:pPr>
              <w:jc w:val="center"/>
              <w:rPr>
                <w:color w:val="000000" w:themeColor="text1"/>
              </w:rPr>
            </w:pPr>
          </w:p>
        </w:tc>
      </w:tr>
      <w:tr w:rsidR="004D1935" w14:paraId="5216522D" w14:textId="77777777" w:rsidTr="00E24DC9">
        <w:tc>
          <w:tcPr>
            <w:tcW w:w="643" w:type="dxa"/>
            <w:vMerge/>
            <w:vAlign w:val="center"/>
          </w:tcPr>
          <w:p w14:paraId="31298501" w14:textId="77777777" w:rsidR="004D1935" w:rsidRDefault="004D1935" w:rsidP="00E24DC9">
            <w:pPr>
              <w:jc w:val="center"/>
            </w:pPr>
          </w:p>
        </w:tc>
        <w:tc>
          <w:tcPr>
            <w:tcW w:w="749" w:type="dxa"/>
            <w:tcBorders>
              <w:top w:val="nil"/>
              <w:bottom w:val="nil"/>
            </w:tcBorders>
            <w:vAlign w:val="center"/>
          </w:tcPr>
          <w:p w14:paraId="20E048F6" w14:textId="77777777" w:rsidR="004D1935" w:rsidRPr="00C419D2" w:rsidRDefault="004D1935" w:rsidP="00E24DC9">
            <w:pPr>
              <w:jc w:val="center"/>
              <w:rPr>
                <w:rFonts w:ascii="Calibri" w:hAnsi="Calibri" w:cs="Calibri"/>
                <w:color w:val="000000"/>
                <w:sz w:val="13"/>
                <w:szCs w:val="13"/>
              </w:rPr>
            </w:pPr>
            <w:r w:rsidRPr="00C419D2">
              <w:rPr>
                <w:rFonts w:ascii="Calibri" w:hAnsi="Calibri" w:cs="Calibri"/>
                <w:color w:val="000000"/>
                <w:sz w:val="13"/>
                <w:szCs w:val="13"/>
              </w:rPr>
              <w:t>312.2053</w:t>
            </w:r>
          </w:p>
        </w:tc>
        <w:tc>
          <w:tcPr>
            <w:tcW w:w="1418" w:type="dxa"/>
            <w:vMerge/>
            <w:vAlign w:val="center"/>
          </w:tcPr>
          <w:p w14:paraId="575BD7CA" w14:textId="77777777" w:rsidR="004D1935" w:rsidRPr="007443A9" w:rsidRDefault="004D1935" w:rsidP="00E24DC9">
            <w:pPr>
              <w:jc w:val="center"/>
              <w:rPr>
                <w:color w:val="000000" w:themeColor="text1"/>
              </w:rPr>
            </w:pPr>
          </w:p>
        </w:tc>
        <w:tc>
          <w:tcPr>
            <w:tcW w:w="1369" w:type="dxa"/>
            <w:vMerge/>
            <w:vAlign w:val="center"/>
          </w:tcPr>
          <w:p w14:paraId="797232BA" w14:textId="77777777" w:rsidR="004D1935" w:rsidRDefault="004D1935" w:rsidP="00E24DC9">
            <w:pPr>
              <w:jc w:val="center"/>
            </w:pPr>
          </w:p>
        </w:tc>
        <w:tc>
          <w:tcPr>
            <w:tcW w:w="2711" w:type="dxa"/>
            <w:vMerge/>
            <w:vAlign w:val="center"/>
          </w:tcPr>
          <w:p w14:paraId="2D10FB50" w14:textId="77777777" w:rsidR="004D1935" w:rsidRDefault="004D1935" w:rsidP="00E24DC9">
            <w:pPr>
              <w:jc w:val="center"/>
            </w:pPr>
          </w:p>
        </w:tc>
        <w:tc>
          <w:tcPr>
            <w:tcW w:w="6855" w:type="dxa"/>
            <w:vMerge/>
            <w:vAlign w:val="center"/>
          </w:tcPr>
          <w:p w14:paraId="7F85FBB5" w14:textId="77777777" w:rsidR="004D1935" w:rsidRPr="007443A9" w:rsidRDefault="004D1935" w:rsidP="00E24DC9">
            <w:pPr>
              <w:jc w:val="center"/>
              <w:rPr>
                <w:color w:val="000000" w:themeColor="text1"/>
              </w:rPr>
            </w:pPr>
          </w:p>
        </w:tc>
      </w:tr>
      <w:tr w:rsidR="004D1935" w14:paraId="44BA1EB5" w14:textId="77777777" w:rsidTr="00E24DC9">
        <w:tc>
          <w:tcPr>
            <w:tcW w:w="643" w:type="dxa"/>
            <w:vMerge/>
            <w:vAlign w:val="center"/>
          </w:tcPr>
          <w:p w14:paraId="3D5B7944" w14:textId="77777777" w:rsidR="004D1935" w:rsidRDefault="004D1935" w:rsidP="00E24DC9">
            <w:pPr>
              <w:jc w:val="center"/>
            </w:pPr>
          </w:p>
        </w:tc>
        <w:tc>
          <w:tcPr>
            <w:tcW w:w="749" w:type="dxa"/>
            <w:tcBorders>
              <w:top w:val="nil"/>
              <w:bottom w:val="nil"/>
            </w:tcBorders>
            <w:vAlign w:val="center"/>
          </w:tcPr>
          <w:p w14:paraId="7947F546" w14:textId="77777777" w:rsidR="004D1935" w:rsidRPr="00C419D2" w:rsidRDefault="004D1935" w:rsidP="00E24DC9">
            <w:pPr>
              <w:jc w:val="center"/>
              <w:rPr>
                <w:rFonts w:ascii="Calibri" w:hAnsi="Calibri" w:cs="Calibri"/>
                <w:color w:val="000000"/>
                <w:sz w:val="13"/>
                <w:szCs w:val="13"/>
              </w:rPr>
            </w:pPr>
            <w:r w:rsidRPr="00C419D2">
              <w:rPr>
                <w:rFonts w:ascii="Calibri" w:hAnsi="Calibri" w:cs="Calibri"/>
                <w:color w:val="000000"/>
                <w:sz w:val="13"/>
                <w:szCs w:val="13"/>
              </w:rPr>
              <w:t>312.2453</w:t>
            </w:r>
          </w:p>
        </w:tc>
        <w:tc>
          <w:tcPr>
            <w:tcW w:w="1418" w:type="dxa"/>
            <w:vMerge/>
            <w:vAlign w:val="center"/>
          </w:tcPr>
          <w:p w14:paraId="58997AE2" w14:textId="77777777" w:rsidR="004D1935" w:rsidRPr="007443A9" w:rsidRDefault="004D1935" w:rsidP="00E24DC9">
            <w:pPr>
              <w:jc w:val="center"/>
              <w:rPr>
                <w:color w:val="000000" w:themeColor="text1"/>
              </w:rPr>
            </w:pPr>
          </w:p>
        </w:tc>
        <w:tc>
          <w:tcPr>
            <w:tcW w:w="1369" w:type="dxa"/>
            <w:vMerge/>
            <w:vAlign w:val="center"/>
          </w:tcPr>
          <w:p w14:paraId="130C2511" w14:textId="77777777" w:rsidR="004D1935" w:rsidRDefault="004D1935" w:rsidP="00E24DC9">
            <w:pPr>
              <w:jc w:val="center"/>
            </w:pPr>
          </w:p>
        </w:tc>
        <w:tc>
          <w:tcPr>
            <w:tcW w:w="2711" w:type="dxa"/>
            <w:vMerge/>
            <w:vAlign w:val="center"/>
          </w:tcPr>
          <w:p w14:paraId="53F6C568" w14:textId="77777777" w:rsidR="004D1935" w:rsidRDefault="004D1935" w:rsidP="00E24DC9">
            <w:pPr>
              <w:jc w:val="center"/>
            </w:pPr>
          </w:p>
        </w:tc>
        <w:tc>
          <w:tcPr>
            <w:tcW w:w="6855" w:type="dxa"/>
            <w:vMerge/>
            <w:vAlign w:val="center"/>
          </w:tcPr>
          <w:p w14:paraId="3D000484" w14:textId="77777777" w:rsidR="004D1935" w:rsidRPr="007443A9" w:rsidRDefault="004D1935" w:rsidP="00E24DC9">
            <w:pPr>
              <w:jc w:val="center"/>
              <w:rPr>
                <w:color w:val="000000" w:themeColor="text1"/>
              </w:rPr>
            </w:pPr>
          </w:p>
        </w:tc>
      </w:tr>
      <w:tr w:rsidR="004D1935" w14:paraId="36B6FDE9" w14:textId="77777777" w:rsidTr="00E24DC9">
        <w:tc>
          <w:tcPr>
            <w:tcW w:w="643" w:type="dxa"/>
            <w:vMerge/>
            <w:vAlign w:val="center"/>
          </w:tcPr>
          <w:p w14:paraId="3338EF07" w14:textId="77777777" w:rsidR="004D1935" w:rsidRDefault="004D1935" w:rsidP="00E24DC9">
            <w:pPr>
              <w:jc w:val="center"/>
            </w:pPr>
          </w:p>
        </w:tc>
        <w:tc>
          <w:tcPr>
            <w:tcW w:w="749" w:type="dxa"/>
            <w:tcBorders>
              <w:top w:val="nil"/>
              <w:bottom w:val="nil"/>
            </w:tcBorders>
            <w:vAlign w:val="center"/>
          </w:tcPr>
          <w:p w14:paraId="2A36C140" w14:textId="77777777" w:rsidR="004D1935" w:rsidRPr="00C419D2" w:rsidRDefault="004D1935" w:rsidP="00E24DC9">
            <w:pPr>
              <w:jc w:val="center"/>
              <w:rPr>
                <w:rFonts w:ascii="Calibri" w:hAnsi="Calibri" w:cs="Calibri"/>
                <w:color w:val="000000"/>
                <w:sz w:val="13"/>
                <w:szCs w:val="13"/>
              </w:rPr>
            </w:pPr>
            <w:r w:rsidRPr="00C419D2">
              <w:rPr>
                <w:rFonts w:ascii="Calibri" w:hAnsi="Calibri" w:cs="Calibri"/>
                <w:color w:val="000000"/>
                <w:sz w:val="13"/>
                <w:szCs w:val="13"/>
              </w:rPr>
              <w:t>312.2853</w:t>
            </w:r>
          </w:p>
        </w:tc>
        <w:tc>
          <w:tcPr>
            <w:tcW w:w="1418" w:type="dxa"/>
            <w:vMerge/>
            <w:vAlign w:val="center"/>
          </w:tcPr>
          <w:p w14:paraId="11A088B3" w14:textId="77777777" w:rsidR="004D1935" w:rsidRPr="007443A9" w:rsidRDefault="004D1935" w:rsidP="00E24DC9">
            <w:pPr>
              <w:jc w:val="center"/>
              <w:rPr>
                <w:color w:val="000000" w:themeColor="text1"/>
              </w:rPr>
            </w:pPr>
          </w:p>
        </w:tc>
        <w:tc>
          <w:tcPr>
            <w:tcW w:w="1369" w:type="dxa"/>
            <w:vMerge/>
            <w:vAlign w:val="center"/>
          </w:tcPr>
          <w:p w14:paraId="56A8E356" w14:textId="77777777" w:rsidR="004D1935" w:rsidRDefault="004D1935" w:rsidP="00E24DC9">
            <w:pPr>
              <w:jc w:val="center"/>
            </w:pPr>
          </w:p>
        </w:tc>
        <w:tc>
          <w:tcPr>
            <w:tcW w:w="2711" w:type="dxa"/>
            <w:vMerge/>
            <w:vAlign w:val="center"/>
          </w:tcPr>
          <w:p w14:paraId="28264FCE" w14:textId="77777777" w:rsidR="004D1935" w:rsidRDefault="004D1935" w:rsidP="00E24DC9">
            <w:pPr>
              <w:jc w:val="center"/>
            </w:pPr>
          </w:p>
        </w:tc>
        <w:tc>
          <w:tcPr>
            <w:tcW w:w="6855" w:type="dxa"/>
            <w:vMerge/>
            <w:vAlign w:val="center"/>
          </w:tcPr>
          <w:p w14:paraId="60D06B73" w14:textId="77777777" w:rsidR="004D1935" w:rsidRPr="007443A9" w:rsidRDefault="004D1935" w:rsidP="00E24DC9">
            <w:pPr>
              <w:jc w:val="center"/>
              <w:rPr>
                <w:color w:val="000000" w:themeColor="text1"/>
              </w:rPr>
            </w:pPr>
          </w:p>
        </w:tc>
      </w:tr>
      <w:tr w:rsidR="004D1935" w14:paraId="334D2CB9" w14:textId="77777777" w:rsidTr="00E24DC9">
        <w:tc>
          <w:tcPr>
            <w:tcW w:w="643" w:type="dxa"/>
            <w:vMerge/>
            <w:vAlign w:val="center"/>
          </w:tcPr>
          <w:p w14:paraId="25379309" w14:textId="77777777" w:rsidR="004D1935" w:rsidRDefault="004D1935" w:rsidP="00E24DC9">
            <w:pPr>
              <w:jc w:val="center"/>
            </w:pPr>
          </w:p>
        </w:tc>
        <w:tc>
          <w:tcPr>
            <w:tcW w:w="749" w:type="dxa"/>
            <w:tcBorders>
              <w:top w:val="nil"/>
              <w:bottom w:val="nil"/>
            </w:tcBorders>
            <w:vAlign w:val="center"/>
          </w:tcPr>
          <w:p w14:paraId="60108D5E" w14:textId="77777777" w:rsidR="004D1935" w:rsidRPr="00C419D2" w:rsidRDefault="004D1935" w:rsidP="00E24DC9">
            <w:pPr>
              <w:jc w:val="center"/>
              <w:rPr>
                <w:rFonts w:ascii="Calibri" w:hAnsi="Calibri" w:cs="Calibri"/>
                <w:color w:val="000000"/>
                <w:sz w:val="13"/>
                <w:szCs w:val="13"/>
              </w:rPr>
            </w:pPr>
            <w:r w:rsidRPr="00C419D2">
              <w:rPr>
                <w:rFonts w:ascii="Calibri" w:hAnsi="Calibri" w:cs="Calibri"/>
                <w:color w:val="000000"/>
                <w:sz w:val="13"/>
                <w:szCs w:val="13"/>
              </w:rPr>
              <w:t>312.1720</w:t>
            </w:r>
          </w:p>
        </w:tc>
        <w:tc>
          <w:tcPr>
            <w:tcW w:w="1418" w:type="dxa"/>
            <w:vMerge/>
            <w:vAlign w:val="center"/>
          </w:tcPr>
          <w:p w14:paraId="760C4BD3" w14:textId="77777777" w:rsidR="004D1935" w:rsidRPr="007443A9" w:rsidRDefault="004D1935" w:rsidP="00E24DC9">
            <w:pPr>
              <w:jc w:val="center"/>
              <w:rPr>
                <w:color w:val="000000" w:themeColor="text1"/>
              </w:rPr>
            </w:pPr>
          </w:p>
        </w:tc>
        <w:tc>
          <w:tcPr>
            <w:tcW w:w="1369" w:type="dxa"/>
            <w:vMerge/>
            <w:vAlign w:val="center"/>
          </w:tcPr>
          <w:p w14:paraId="50C5E772" w14:textId="77777777" w:rsidR="004D1935" w:rsidRDefault="004D1935" w:rsidP="00E24DC9">
            <w:pPr>
              <w:jc w:val="center"/>
            </w:pPr>
          </w:p>
        </w:tc>
        <w:tc>
          <w:tcPr>
            <w:tcW w:w="2711" w:type="dxa"/>
            <w:vMerge/>
            <w:vAlign w:val="center"/>
          </w:tcPr>
          <w:p w14:paraId="534CDBC0" w14:textId="77777777" w:rsidR="004D1935" w:rsidRDefault="004D1935" w:rsidP="00E24DC9">
            <w:pPr>
              <w:jc w:val="center"/>
            </w:pPr>
          </w:p>
        </w:tc>
        <w:tc>
          <w:tcPr>
            <w:tcW w:w="6855" w:type="dxa"/>
            <w:vMerge/>
            <w:vAlign w:val="center"/>
          </w:tcPr>
          <w:p w14:paraId="46973EB3" w14:textId="77777777" w:rsidR="004D1935" w:rsidRPr="007443A9" w:rsidRDefault="004D1935" w:rsidP="00E24DC9">
            <w:pPr>
              <w:jc w:val="center"/>
              <w:rPr>
                <w:color w:val="000000" w:themeColor="text1"/>
              </w:rPr>
            </w:pPr>
          </w:p>
        </w:tc>
      </w:tr>
      <w:tr w:rsidR="004D1935" w14:paraId="4238E1D0" w14:textId="77777777" w:rsidTr="00E24DC9">
        <w:tc>
          <w:tcPr>
            <w:tcW w:w="643" w:type="dxa"/>
            <w:vMerge/>
            <w:vAlign w:val="center"/>
          </w:tcPr>
          <w:p w14:paraId="32B98AED" w14:textId="77777777" w:rsidR="004D1935" w:rsidRDefault="004D1935" w:rsidP="00E24DC9">
            <w:pPr>
              <w:jc w:val="center"/>
            </w:pPr>
          </w:p>
        </w:tc>
        <w:tc>
          <w:tcPr>
            <w:tcW w:w="749" w:type="dxa"/>
            <w:tcBorders>
              <w:top w:val="nil"/>
              <w:bottom w:val="single" w:sz="4" w:space="0" w:color="auto"/>
            </w:tcBorders>
            <w:vAlign w:val="center"/>
          </w:tcPr>
          <w:p w14:paraId="13137826" w14:textId="77777777" w:rsidR="004D1935" w:rsidRPr="00C419D2" w:rsidRDefault="004D1935" w:rsidP="00E24DC9">
            <w:pPr>
              <w:jc w:val="center"/>
              <w:rPr>
                <w:rFonts w:ascii="Calibri" w:hAnsi="Calibri" w:cs="Calibri"/>
                <w:color w:val="000000"/>
                <w:sz w:val="13"/>
                <w:szCs w:val="13"/>
              </w:rPr>
            </w:pPr>
            <w:r w:rsidRPr="00C419D2">
              <w:rPr>
                <w:rFonts w:ascii="Calibri" w:hAnsi="Calibri" w:cs="Calibri"/>
                <w:color w:val="000000"/>
                <w:sz w:val="13"/>
                <w:szCs w:val="13"/>
              </w:rPr>
              <w:t>312.1199</w:t>
            </w:r>
          </w:p>
        </w:tc>
        <w:tc>
          <w:tcPr>
            <w:tcW w:w="1418" w:type="dxa"/>
            <w:vMerge/>
            <w:vAlign w:val="center"/>
          </w:tcPr>
          <w:p w14:paraId="6CF4F94F" w14:textId="77777777" w:rsidR="004D1935" w:rsidRPr="007443A9" w:rsidRDefault="004D1935" w:rsidP="00E24DC9">
            <w:pPr>
              <w:jc w:val="center"/>
              <w:rPr>
                <w:color w:val="000000" w:themeColor="text1"/>
              </w:rPr>
            </w:pPr>
          </w:p>
        </w:tc>
        <w:tc>
          <w:tcPr>
            <w:tcW w:w="1369" w:type="dxa"/>
            <w:vMerge/>
            <w:vAlign w:val="center"/>
          </w:tcPr>
          <w:p w14:paraId="0D0D2BB0" w14:textId="77777777" w:rsidR="004D1935" w:rsidRDefault="004D1935" w:rsidP="00E24DC9">
            <w:pPr>
              <w:jc w:val="center"/>
            </w:pPr>
          </w:p>
        </w:tc>
        <w:tc>
          <w:tcPr>
            <w:tcW w:w="2711" w:type="dxa"/>
            <w:vMerge/>
            <w:vAlign w:val="center"/>
          </w:tcPr>
          <w:p w14:paraId="4D51A646" w14:textId="77777777" w:rsidR="004D1935" w:rsidRDefault="004D1935" w:rsidP="00E24DC9">
            <w:pPr>
              <w:jc w:val="center"/>
            </w:pPr>
          </w:p>
        </w:tc>
        <w:tc>
          <w:tcPr>
            <w:tcW w:w="6855" w:type="dxa"/>
            <w:vMerge/>
            <w:vAlign w:val="center"/>
          </w:tcPr>
          <w:p w14:paraId="5064B321" w14:textId="77777777" w:rsidR="004D1935" w:rsidRPr="007443A9" w:rsidRDefault="004D1935" w:rsidP="00E24DC9">
            <w:pPr>
              <w:jc w:val="center"/>
              <w:rPr>
                <w:color w:val="000000" w:themeColor="text1"/>
              </w:rPr>
            </w:pPr>
          </w:p>
        </w:tc>
      </w:tr>
      <w:tr w:rsidR="004D1935" w14:paraId="26DEE546" w14:textId="77777777" w:rsidTr="00E24DC9">
        <w:tc>
          <w:tcPr>
            <w:tcW w:w="643" w:type="dxa"/>
            <w:vMerge w:val="restart"/>
            <w:vAlign w:val="center"/>
          </w:tcPr>
          <w:p w14:paraId="1B3BC6D3" w14:textId="77777777" w:rsidR="004D1935" w:rsidRDefault="004D1935" w:rsidP="00E24DC9">
            <w:pPr>
              <w:jc w:val="center"/>
            </w:pPr>
            <w:r>
              <w:t>K</w:t>
            </w:r>
          </w:p>
        </w:tc>
        <w:tc>
          <w:tcPr>
            <w:tcW w:w="749" w:type="dxa"/>
            <w:tcBorders>
              <w:bottom w:val="nil"/>
            </w:tcBorders>
            <w:vAlign w:val="center"/>
          </w:tcPr>
          <w:p w14:paraId="5F475375" w14:textId="77777777" w:rsidR="004D1935" w:rsidRPr="00C419D2" w:rsidRDefault="004D1935" w:rsidP="00E24DC9">
            <w:pPr>
              <w:jc w:val="center"/>
              <w:rPr>
                <w:rFonts w:ascii="Calibri" w:hAnsi="Calibri" w:cs="Calibri"/>
                <w:color w:val="000000"/>
                <w:sz w:val="13"/>
                <w:szCs w:val="13"/>
              </w:rPr>
            </w:pPr>
            <w:r w:rsidRPr="00C419D2">
              <w:rPr>
                <w:rFonts w:ascii="Calibri" w:hAnsi="Calibri" w:cs="Calibri"/>
                <w:color w:val="000000"/>
                <w:sz w:val="13"/>
                <w:szCs w:val="13"/>
              </w:rPr>
              <w:t>296.0087</w:t>
            </w:r>
          </w:p>
        </w:tc>
        <w:tc>
          <w:tcPr>
            <w:tcW w:w="1418" w:type="dxa"/>
            <w:vMerge w:val="restart"/>
            <w:vAlign w:val="center"/>
          </w:tcPr>
          <w:p w14:paraId="4E59A24B" w14:textId="77777777" w:rsidR="004D1935" w:rsidRPr="007443A9" w:rsidRDefault="00000000" w:rsidP="00E24DC9">
            <w:pPr>
              <w:jc w:val="center"/>
              <w:rPr>
                <w:color w:val="000000" w:themeColor="text1"/>
              </w:rPr>
            </w:pPr>
            <w:hyperlink r:id="rId113" w:history="1">
              <w:r w:rsidR="004D1935" w:rsidRPr="007443A9">
                <w:rPr>
                  <w:rFonts w:ascii="Calibri" w:hAnsi="Calibri" w:cs="Calibri"/>
                  <w:color w:val="000000" w:themeColor="text1"/>
                  <w:sz w:val="13"/>
                  <w:szCs w:val="13"/>
                </w:rPr>
                <w:t>dehypoxanthine futalosine</w:t>
              </w:r>
            </w:hyperlink>
          </w:p>
          <w:p w14:paraId="5FB3FB93" w14:textId="77777777" w:rsidR="004D1935" w:rsidRPr="007443A9" w:rsidRDefault="004D1935" w:rsidP="00E24DC9">
            <w:pPr>
              <w:jc w:val="center"/>
              <w:rPr>
                <w:color w:val="000000" w:themeColor="text1"/>
              </w:rPr>
            </w:pPr>
          </w:p>
        </w:tc>
        <w:tc>
          <w:tcPr>
            <w:tcW w:w="1369" w:type="dxa"/>
            <w:vMerge w:val="restart"/>
            <w:vAlign w:val="center"/>
          </w:tcPr>
          <w:p w14:paraId="16C71890" w14:textId="77777777" w:rsidR="004D1935" w:rsidRPr="00F345D2" w:rsidRDefault="004D1935" w:rsidP="00E24DC9">
            <w:pPr>
              <w:jc w:val="center"/>
              <w:rPr>
                <w:sz w:val="15"/>
                <w:szCs w:val="15"/>
              </w:rPr>
            </w:pPr>
            <w:r w:rsidRPr="00D51FB1">
              <w:rPr>
                <w:rFonts w:ascii="Arial" w:hAnsi="Arial" w:cs="Arial"/>
                <w:color w:val="333333"/>
                <w:sz w:val="15"/>
                <w:szCs w:val="15"/>
                <w:shd w:val="clear" w:color="auto" w:fill="FFFFFF"/>
              </w:rPr>
              <w:t>C</w:t>
            </w:r>
            <w:r>
              <w:rPr>
                <w:rFonts w:ascii="Arial" w:hAnsi="Arial" w:cs="Arial"/>
                <w:color w:val="333333"/>
                <w:sz w:val="15"/>
                <w:szCs w:val="15"/>
                <w:shd w:val="clear" w:color="auto" w:fill="FFFFFF"/>
                <w:vertAlign w:val="subscript"/>
              </w:rPr>
              <w:t>14</w:t>
            </w:r>
            <w:r w:rsidRPr="00D51FB1">
              <w:rPr>
                <w:rFonts w:ascii="Arial" w:hAnsi="Arial" w:cs="Arial"/>
                <w:color w:val="333333"/>
                <w:sz w:val="15"/>
                <w:szCs w:val="15"/>
                <w:shd w:val="clear" w:color="auto" w:fill="FFFFFF"/>
              </w:rPr>
              <w:t>H</w:t>
            </w:r>
            <w:r>
              <w:rPr>
                <w:rFonts w:ascii="Arial" w:hAnsi="Arial" w:cs="Arial"/>
                <w:color w:val="333333"/>
                <w:sz w:val="15"/>
                <w:szCs w:val="15"/>
                <w:shd w:val="clear" w:color="auto" w:fill="FFFFFF"/>
                <w:vertAlign w:val="subscript"/>
              </w:rPr>
              <w:t>16</w:t>
            </w:r>
            <w:r w:rsidRPr="00D51FB1">
              <w:rPr>
                <w:rFonts w:ascii="Arial" w:hAnsi="Arial" w:cs="Arial"/>
                <w:color w:val="333333"/>
                <w:sz w:val="15"/>
                <w:szCs w:val="15"/>
                <w:shd w:val="clear" w:color="auto" w:fill="FFFFFF"/>
              </w:rPr>
              <w:t>O</w:t>
            </w:r>
            <w:r>
              <w:rPr>
                <w:rFonts w:ascii="Arial" w:hAnsi="Arial" w:cs="Arial"/>
                <w:color w:val="333333"/>
                <w:sz w:val="15"/>
                <w:szCs w:val="15"/>
                <w:shd w:val="clear" w:color="auto" w:fill="FFFFFF"/>
                <w:vertAlign w:val="subscript"/>
              </w:rPr>
              <w:t>7</w:t>
            </w:r>
          </w:p>
          <w:p w14:paraId="6F05FDD6" w14:textId="77777777" w:rsidR="004D1935" w:rsidRDefault="004D1935" w:rsidP="00E24DC9">
            <w:pPr>
              <w:jc w:val="center"/>
            </w:pPr>
          </w:p>
        </w:tc>
        <w:tc>
          <w:tcPr>
            <w:tcW w:w="2711" w:type="dxa"/>
            <w:vMerge w:val="restart"/>
            <w:vAlign w:val="center"/>
          </w:tcPr>
          <w:p w14:paraId="53E7FD6B" w14:textId="77777777" w:rsidR="004D1935" w:rsidRPr="007443A9" w:rsidRDefault="004D1935" w:rsidP="00E24DC9">
            <w:pPr>
              <w:jc w:val="center"/>
            </w:pPr>
            <w:r w:rsidRPr="007443A9">
              <w:rPr>
                <w:rFonts w:ascii="Calibri (Body)" w:hAnsi="Calibri (Body)" w:cs="Calibri"/>
                <w:color w:val="000000"/>
                <w:sz w:val="13"/>
                <w:szCs w:val="13"/>
              </w:rPr>
              <w:t>aromatic compounds</w:t>
            </w:r>
            <w:r w:rsidRPr="007443A9">
              <w:rPr>
                <w:rFonts w:ascii="Calibri" w:hAnsi="Calibri" w:cs="Calibri"/>
                <w:color w:val="FF0000"/>
                <w:sz w:val="13"/>
                <w:szCs w:val="13"/>
              </w:rPr>
              <w:t xml:space="preserve"> </w:t>
            </w:r>
          </w:p>
        </w:tc>
        <w:tc>
          <w:tcPr>
            <w:tcW w:w="6855" w:type="dxa"/>
            <w:vMerge w:val="restart"/>
            <w:vAlign w:val="center"/>
          </w:tcPr>
          <w:p w14:paraId="05F1C352" w14:textId="77777777" w:rsidR="004D1935" w:rsidRPr="007443A9" w:rsidRDefault="004D1935" w:rsidP="00E24DC9">
            <w:pPr>
              <w:jc w:val="center"/>
              <w:rPr>
                <w:color w:val="000000" w:themeColor="text1"/>
              </w:rPr>
            </w:pPr>
            <w:r w:rsidRPr="007443A9">
              <w:rPr>
                <w:rFonts w:ascii="Verdana" w:hAnsi="Verdana" w:cs="Calibri"/>
                <w:color w:val="000000" w:themeColor="text1"/>
                <w:sz w:val="10"/>
                <w:szCs w:val="10"/>
              </w:rPr>
              <w:t>Ubiquinone and other terpenoid-quinone biosynthesis/ Shikimate pathway/jasmonic acid biosynthesis/Riboflavin/Flavanone/Flavonoid biosynthesis/fatty acid biosynthesis</w:t>
            </w:r>
          </w:p>
        </w:tc>
      </w:tr>
      <w:tr w:rsidR="004D1935" w14:paraId="62A1C866" w14:textId="77777777" w:rsidTr="00E24DC9">
        <w:tc>
          <w:tcPr>
            <w:tcW w:w="643" w:type="dxa"/>
            <w:vMerge/>
            <w:vAlign w:val="center"/>
          </w:tcPr>
          <w:p w14:paraId="500E8904" w14:textId="77777777" w:rsidR="004D1935" w:rsidRDefault="004D1935" w:rsidP="00E24DC9">
            <w:pPr>
              <w:jc w:val="center"/>
            </w:pPr>
          </w:p>
        </w:tc>
        <w:tc>
          <w:tcPr>
            <w:tcW w:w="749" w:type="dxa"/>
            <w:tcBorders>
              <w:top w:val="nil"/>
              <w:bottom w:val="nil"/>
            </w:tcBorders>
            <w:vAlign w:val="center"/>
          </w:tcPr>
          <w:p w14:paraId="58AB4F72" w14:textId="77777777" w:rsidR="004D1935" w:rsidRPr="00C419D2" w:rsidRDefault="004D1935" w:rsidP="00E24DC9">
            <w:pPr>
              <w:jc w:val="center"/>
              <w:rPr>
                <w:rFonts w:ascii="Calibri" w:hAnsi="Calibri" w:cs="Calibri"/>
                <w:color w:val="000000"/>
                <w:sz w:val="13"/>
                <w:szCs w:val="13"/>
              </w:rPr>
            </w:pPr>
            <w:r w:rsidRPr="00C419D2">
              <w:rPr>
                <w:rFonts w:ascii="Calibri" w:hAnsi="Calibri" w:cs="Calibri"/>
                <w:color w:val="000000"/>
                <w:sz w:val="13"/>
                <w:szCs w:val="13"/>
              </w:rPr>
              <w:t>296.0648</w:t>
            </w:r>
          </w:p>
        </w:tc>
        <w:tc>
          <w:tcPr>
            <w:tcW w:w="1418" w:type="dxa"/>
            <w:vMerge/>
            <w:vAlign w:val="center"/>
          </w:tcPr>
          <w:p w14:paraId="3F139EF5" w14:textId="77777777" w:rsidR="004D1935" w:rsidRDefault="004D1935" w:rsidP="00E24DC9">
            <w:pPr>
              <w:jc w:val="center"/>
            </w:pPr>
          </w:p>
        </w:tc>
        <w:tc>
          <w:tcPr>
            <w:tcW w:w="1369" w:type="dxa"/>
            <w:vMerge/>
            <w:vAlign w:val="center"/>
          </w:tcPr>
          <w:p w14:paraId="6EC5EEF9" w14:textId="77777777" w:rsidR="004D1935" w:rsidRDefault="004D1935" w:rsidP="00E24DC9">
            <w:pPr>
              <w:jc w:val="center"/>
            </w:pPr>
          </w:p>
        </w:tc>
        <w:tc>
          <w:tcPr>
            <w:tcW w:w="2711" w:type="dxa"/>
            <w:vMerge/>
            <w:vAlign w:val="center"/>
          </w:tcPr>
          <w:p w14:paraId="3A6DBBB8" w14:textId="77777777" w:rsidR="004D1935" w:rsidRDefault="004D1935" w:rsidP="00E24DC9">
            <w:pPr>
              <w:jc w:val="center"/>
            </w:pPr>
          </w:p>
        </w:tc>
        <w:tc>
          <w:tcPr>
            <w:tcW w:w="6855" w:type="dxa"/>
            <w:vMerge/>
            <w:vAlign w:val="center"/>
          </w:tcPr>
          <w:p w14:paraId="1EC76606" w14:textId="77777777" w:rsidR="004D1935" w:rsidRDefault="004D1935" w:rsidP="00E24DC9">
            <w:pPr>
              <w:jc w:val="center"/>
            </w:pPr>
          </w:p>
        </w:tc>
      </w:tr>
      <w:tr w:rsidR="004D1935" w14:paraId="3EF3A452" w14:textId="77777777" w:rsidTr="00E24DC9">
        <w:tc>
          <w:tcPr>
            <w:tcW w:w="643" w:type="dxa"/>
            <w:vMerge/>
            <w:vAlign w:val="center"/>
          </w:tcPr>
          <w:p w14:paraId="7391D12F" w14:textId="77777777" w:rsidR="004D1935" w:rsidRDefault="004D1935" w:rsidP="00E24DC9">
            <w:pPr>
              <w:jc w:val="center"/>
            </w:pPr>
          </w:p>
        </w:tc>
        <w:tc>
          <w:tcPr>
            <w:tcW w:w="749" w:type="dxa"/>
            <w:tcBorders>
              <w:top w:val="nil"/>
              <w:bottom w:val="nil"/>
            </w:tcBorders>
            <w:vAlign w:val="center"/>
          </w:tcPr>
          <w:p w14:paraId="3C12FA00" w14:textId="77777777" w:rsidR="004D1935" w:rsidRPr="00C419D2" w:rsidRDefault="004D1935" w:rsidP="00E24DC9">
            <w:pPr>
              <w:jc w:val="center"/>
              <w:rPr>
                <w:rFonts w:ascii="Calibri" w:hAnsi="Calibri" w:cs="Calibri"/>
                <w:color w:val="000000"/>
                <w:sz w:val="13"/>
                <w:szCs w:val="13"/>
              </w:rPr>
            </w:pPr>
            <w:r w:rsidRPr="00C419D2">
              <w:rPr>
                <w:rFonts w:ascii="Calibri" w:hAnsi="Calibri" w:cs="Calibri"/>
                <w:color w:val="000000"/>
                <w:sz w:val="13"/>
                <w:szCs w:val="13"/>
              </w:rPr>
              <w:t>296.1048</w:t>
            </w:r>
          </w:p>
        </w:tc>
        <w:tc>
          <w:tcPr>
            <w:tcW w:w="1418" w:type="dxa"/>
            <w:vMerge/>
            <w:vAlign w:val="center"/>
          </w:tcPr>
          <w:p w14:paraId="3F0DAAA4" w14:textId="77777777" w:rsidR="004D1935" w:rsidRDefault="004D1935" w:rsidP="00E24DC9">
            <w:pPr>
              <w:jc w:val="center"/>
            </w:pPr>
          </w:p>
        </w:tc>
        <w:tc>
          <w:tcPr>
            <w:tcW w:w="1369" w:type="dxa"/>
            <w:vMerge/>
            <w:vAlign w:val="center"/>
          </w:tcPr>
          <w:p w14:paraId="0A582ADA" w14:textId="77777777" w:rsidR="004D1935" w:rsidRDefault="004D1935" w:rsidP="00E24DC9">
            <w:pPr>
              <w:jc w:val="center"/>
            </w:pPr>
          </w:p>
        </w:tc>
        <w:tc>
          <w:tcPr>
            <w:tcW w:w="2711" w:type="dxa"/>
            <w:vMerge/>
            <w:vAlign w:val="center"/>
          </w:tcPr>
          <w:p w14:paraId="7370956E" w14:textId="77777777" w:rsidR="004D1935" w:rsidRDefault="004D1935" w:rsidP="00E24DC9">
            <w:pPr>
              <w:jc w:val="center"/>
            </w:pPr>
          </w:p>
        </w:tc>
        <w:tc>
          <w:tcPr>
            <w:tcW w:w="6855" w:type="dxa"/>
            <w:vMerge/>
            <w:vAlign w:val="center"/>
          </w:tcPr>
          <w:p w14:paraId="41218B8E" w14:textId="77777777" w:rsidR="004D1935" w:rsidRDefault="004D1935" w:rsidP="00E24DC9">
            <w:pPr>
              <w:jc w:val="center"/>
            </w:pPr>
          </w:p>
        </w:tc>
      </w:tr>
      <w:tr w:rsidR="004D1935" w14:paraId="1D1D196D" w14:textId="77777777" w:rsidTr="00E24DC9">
        <w:tc>
          <w:tcPr>
            <w:tcW w:w="643" w:type="dxa"/>
            <w:vMerge/>
            <w:vAlign w:val="center"/>
          </w:tcPr>
          <w:p w14:paraId="23F3C08C" w14:textId="77777777" w:rsidR="004D1935" w:rsidRDefault="004D1935" w:rsidP="00E24DC9">
            <w:pPr>
              <w:jc w:val="center"/>
            </w:pPr>
          </w:p>
        </w:tc>
        <w:tc>
          <w:tcPr>
            <w:tcW w:w="749" w:type="dxa"/>
            <w:tcBorders>
              <w:top w:val="nil"/>
              <w:bottom w:val="nil"/>
            </w:tcBorders>
            <w:vAlign w:val="center"/>
          </w:tcPr>
          <w:p w14:paraId="592E7DC5" w14:textId="77777777" w:rsidR="004D1935" w:rsidRPr="00C419D2" w:rsidRDefault="004D1935" w:rsidP="00E24DC9">
            <w:pPr>
              <w:jc w:val="center"/>
              <w:rPr>
                <w:rFonts w:ascii="Calibri" w:hAnsi="Calibri" w:cs="Calibri"/>
                <w:color w:val="000000"/>
                <w:sz w:val="13"/>
                <w:szCs w:val="13"/>
              </w:rPr>
            </w:pPr>
            <w:r w:rsidRPr="00C419D2">
              <w:rPr>
                <w:rFonts w:ascii="Calibri" w:hAnsi="Calibri" w:cs="Calibri"/>
                <w:color w:val="000000"/>
                <w:sz w:val="13"/>
                <w:szCs w:val="13"/>
              </w:rPr>
              <w:t>296.1448</w:t>
            </w:r>
          </w:p>
        </w:tc>
        <w:tc>
          <w:tcPr>
            <w:tcW w:w="1418" w:type="dxa"/>
            <w:vMerge/>
            <w:vAlign w:val="center"/>
          </w:tcPr>
          <w:p w14:paraId="679BD045" w14:textId="77777777" w:rsidR="004D1935" w:rsidRDefault="004D1935" w:rsidP="00E24DC9">
            <w:pPr>
              <w:jc w:val="center"/>
            </w:pPr>
          </w:p>
        </w:tc>
        <w:tc>
          <w:tcPr>
            <w:tcW w:w="1369" w:type="dxa"/>
            <w:vMerge/>
            <w:vAlign w:val="center"/>
          </w:tcPr>
          <w:p w14:paraId="5F91E1DF" w14:textId="77777777" w:rsidR="004D1935" w:rsidRDefault="004D1935" w:rsidP="00E24DC9">
            <w:pPr>
              <w:jc w:val="center"/>
            </w:pPr>
          </w:p>
        </w:tc>
        <w:tc>
          <w:tcPr>
            <w:tcW w:w="2711" w:type="dxa"/>
            <w:vMerge/>
            <w:vAlign w:val="center"/>
          </w:tcPr>
          <w:p w14:paraId="7A931D0C" w14:textId="77777777" w:rsidR="004D1935" w:rsidRDefault="004D1935" w:rsidP="00E24DC9">
            <w:pPr>
              <w:jc w:val="center"/>
            </w:pPr>
          </w:p>
        </w:tc>
        <w:tc>
          <w:tcPr>
            <w:tcW w:w="6855" w:type="dxa"/>
            <w:vMerge/>
            <w:vAlign w:val="center"/>
          </w:tcPr>
          <w:p w14:paraId="78CE4AEB" w14:textId="77777777" w:rsidR="004D1935" w:rsidRDefault="004D1935" w:rsidP="00E24DC9">
            <w:pPr>
              <w:jc w:val="center"/>
            </w:pPr>
          </w:p>
        </w:tc>
      </w:tr>
      <w:tr w:rsidR="004D1935" w14:paraId="6AE930B4" w14:textId="77777777" w:rsidTr="00E24DC9">
        <w:tc>
          <w:tcPr>
            <w:tcW w:w="643" w:type="dxa"/>
            <w:vMerge/>
            <w:vAlign w:val="center"/>
          </w:tcPr>
          <w:p w14:paraId="00652E69" w14:textId="77777777" w:rsidR="004D1935" w:rsidRDefault="004D1935" w:rsidP="00E24DC9">
            <w:pPr>
              <w:jc w:val="center"/>
            </w:pPr>
          </w:p>
        </w:tc>
        <w:tc>
          <w:tcPr>
            <w:tcW w:w="749" w:type="dxa"/>
            <w:tcBorders>
              <w:top w:val="nil"/>
              <w:bottom w:val="nil"/>
            </w:tcBorders>
            <w:vAlign w:val="center"/>
          </w:tcPr>
          <w:p w14:paraId="44B23462" w14:textId="77777777" w:rsidR="004D1935" w:rsidRPr="00C419D2" w:rsidRDefault="004D1935" w:rsidP="00E24DC9">
            <w:pPr>
              <w:jc w:val="center"/>
              <w:rPr>
                <w:rFonts w:ascii="Calibri" w:hAnsi="Calibri" w:cs="Calibri"/>
                <w:color w:val="000000"/>
                <w:sz w:val="13"/>
                <w:szCs w:val="13"/>
              </w:rPr>
            </w:pPr>
            <w:r w:rsidRPr="00C419D2">
              <w:rPr>
                <w:rFonts w:ascii="Calibri" w:hAnsi="Calibri" w:cs="Calibri"/>
                <w:color w:val="000000"/>
                <w:sz w:val="13"/>
                <w:szCs w:val="13"/>
              </w:rPr>
              <w:t>296.1848</w:t>
            </w:r>
          </w:p>
        </w:tc>
        <w:tc>
          <w:tcPr>
            <w:tcW w:w="1418" w:type="dxa"/>
            <w:vMerge/>
            <w:vAlign w:val="center"/>
          </w:tcPr>
          <w:p w14:paraId="03905CF6" w14:textId="77777777" w:rsidR="004D1935" w:rsidRDefault="004D1935" w:rsidP="00E24DC9">
            <w:pPr>
              <w:jc w:val="center"/>
            </w:pPr>
          </w:p>
        </w:tc>
        <w:tc>
          <w:tcPr>
            <w:tcW w:w="1369" w:type="dxa"/>
            <w:vMerge/>
            <w:vAlign w:val="center"/>
          </w:tcPr>
          <w:p w14:paraId="544B048F" w14:textId="77777777" w:rsidR="004D1935" w:rsidRDefault="004D1935" w:rsidP="00E24DC9">
            <w:pPr>
              <w:jc w:val="center"/>
            </w:pPr>
          </w:p>
        </w:tc>
        <w:tc>
          <w:tcPr>
            <w:tcW w:w="2711" w:type="dxa"/>
            <w:vMerge/>
            <w:vAlign w:val="center"/>
          </w:tcPr>
          <w:p w14:paraId="5CFACED2" w14:textId="77777777" w:rsidR="004D1935" w:rsidRDefault="004D1935" w:rsidP="00E24DC9">
            <w:pPr>
              <w:jc w:val="center"/>
            </w:pPr>
          </w:p>
        </w:tc>
        <w:tc>
          <w:tcPr>
            <w:tcW w:w="6855" w:type="dxa"/>
            <w:vMerge/>
            <w:vAlign w:val="center"/>
          </w:tcPr>
          <w:p w14:paraId="1CDD2535" w14:textId="77777777" w:rsidR="004D1935" w:rsidRDefault="004D1935" w:rsidP="00E24DC9">
            <w:pPr>
              <w:jc w:val="center"/>
            </w:pPr>
          </w:p>
        </w:tc>
      </w:tr>
      <w:tr w:rsidR="004D1935" w14:paraId="7C1B5CDF" w14:textId="77777777" w:rsidTr="00E24DC9">
        <w:tc>
          <w:tcPr>
            <w:tcW w:w="643" w:type="dxa"/>
            <w:vMerge/>
            <w:vAlign w:val="center"/>
          </w:tcPr>
          <w:p w14:paraId="0EFE4A0D" w14:textId="77777777" w:rsidR="004D1935" w:rsidRDefault="004D1935" w:rsidP="00E24DC9">
            <w:pPr>
              <w:jc w:val="center"/>
            </w:pPr>
          </w:p>
        </w:tc>
        <w:tc>
          <w:tcPr>
            <w:tcW w:w="749" w:type="dxa"/>
            <w:tcBorders>
              <w:top w:val="nil"/>
              <w:bottom w:val="nil"/>
            </w:tcBorders>
            <w:vAlign w:val="center"/>
          </w:tcPr>
          <w:p w14:paraId="4C6B947C" w14:textId="77777777" w:rsidR="004D1935" w:rsidRPr="00C419D2" w:rsidRDefault="004D1935" w:rsidP="00E24DC9">
            <w:pPr>
              <w:jc w:val="center"/>
              <w:rPr>
                <w:rFonts w:ascii="Calibri" w:hAnsi="Calibri" w:cs="Calibri"/>
                <w:color w:val="000000"/>
                <w:sz w:val="13"/>
                <w:szCs w:val="13"/>
              </w:rPr>
            </w:pPr>
            <w:r w:rsidRPr="00C419D2">
              <w:rPr>
                <w:rFonts w:ascii="Calibri" w:hAnsi="Calibri" w:cs="Calibri"/>
                <w:color w:val="000000"/>
                <w:sz w:val="13"/>
                <w:szCs w:val="13"/>
              </w:rPr>
              <w:t>296.0621</w:t>
            </w:r>
          </w:p>
        </w:tc>
        <w:tc>
          <w:tcPr>
            <w:tcW w:w="1418" w:type="dxa"/>
            <w:vMerge/>
            <w:vAlign w:val="center"/>
          </w:tcPr>
          <w:p w14:paraId="562C48FD" w14:textId="77777777" w:rsidR="004D1935" w:rsidRDefault="004D1935" w:rsidP="00E24DC9">
            <w:pPr>
              <w:jc w:val="center"/>
            </w:pPr>
          </w:p>
        </w:tc>
        <w:tc>
          <w:tcPr>
            <w:tcW w:w="1369" w:type="dxa"/>
            <w:vMerge/>
            <w:vAlign w:val="center"/>
          </w:tcPr>
          <w:p w14:paraId="7BF8F9FB" w14:textId="77777777" w:rsidR="004D1935" w:rsidRDefault="004D1935" w:rsidP="00E24DC9">
            <w:pPr>
              <w:jc w:val="center"/>
            </w:pPr>
          </w:p>
        </w:tc>
        <w:tc>
          <w:tcPr>
            <w:tcW w:w="2711" w:type="dxa"/>
            <w:vMerge/>
            <w:vAlign w:val="center"/>
          </w:tcPr>
          <w:p w14:paraId="199B1DDA" w14:textId="77777777" w:rsidR="004D1935" w:rsidRDefault="004D1935" w:rsidP="00E24DC9">
            <w:pPr>
              <w:jc w:val="center"/>
            </w:pPr>
          </w:p>
        </w:tc>
        <w:tc>
          <w:tcPr>
            <w:tcW w:w="6855" w:type="dxa"/>
            <w:vMerge/>
            <w:vAlign w:val="center"/>
          </w:tcPr>
          <w:p w14:paraId="6ED4FDD9" w14:textId="77777777" w:rsidR="004D1935" w:rsidRDefault="004D1935" w:rsidP="00E24DC9">
            <w:pPr>
              <w:jc w:val="center"/>
            </w:pPr>
          </w:p>
        </w:tc>
      </w:tr>
      <w:tr w:rsidR="004D1935" w14:paraId="0E2F0EF9" w14:textId="77777777" w:rsidTr="00E24DC9">
        <w:tc>
          <w:tcPr>
            <w:tcW w:w="643" w:type="dxa"/>
            <w:vMerge/>
            <w:vAlign w:val="center"/>
          </w:tcPr>
          <w:p w14:paraId="40C6DEB5" w14:textId="77777777" w:rsidR="004D1935" w:rsidRDefault="004D1935" w:rsidP="00E24DC9">
            <w:pPr>
              <w:jc w:val="center"/>
            </w:pPr>
          </w:p>
        </w:tc>
        <w:tc>
          <w:tcPr>
            <w:tcW w:w="749" w:type="dxa"/>
            <w:tcBorders>
              <w:top w:val="nil"/>
              <w:bottom w:val="nil"/>
            </w:tcBorders>
            <w:vAlign w:val="center"/>
          </w:tcPr>
          <w:p w14:paraId="285A9DCC" w14:textId="77777777" w:rsidR="004D1935" w:rsidRPr="00C419D2" w:rsidRDefault="004D1935" w:rsidP="00E24DC9">
            <w:pPr>
              <w:jc w:val="center"/>
              <w:rPr>
                <w:rFonts w:ascii="Calibri" w:hAnsi="Calibri" w:cs="Calibri"/>
                <w:color w:val="000000"/>
                <w:sz w:val="11"/>
                <w:szCs w:val="11"/>
              </w:rPr>
            </w:pPr>
            <w:r w:rsidRPr="00C419D2">
              <w:rPr>
                <w:rFonts w:ascii="Calibri" w:hAnsi="Calibri" w:cs="Calibri"/>
                <w:color w:val="000000"/>
                <w:sz w:val="13"/>
                <w:szCs w:val="13"/>
              </w:rPr>
              <w:t>296.1021</w:t>
            </w:r>
          </w:p>
        </w:tc>
        <w:tc>
          <w:tcPr>
            <w:tcW w:w="1418" w:type="dxa"/>
            <w:vMerge/>
            <w:vAlign w:val="center"/>
          </w:tcPr>
          <w:p w14:paraId="37645EFF" w14:textId="77777777" w:rsidR="004D1935" w:rsidRDefault="004D1935" w:rsidP="00E24DC9">
            <w:pPr>
              <w:jc w:val="center"/>
            </w:pPr>
          </w:p>
        </w:tc>
        <w:tc>
          <w:tcPr>
            <w:tcW w:w="1369" w:type="dxa"/>
            <w:vMerge/>
            <w:vAlign w:val="center"/>
          </w:tcPr>
          <w:p w14:paraId="209D25D8" w14:textId="77777777" w:rsidR="004D1935" w:rsidRDefault="004D1935" w:rsidP="00E24DC9">
            <w:pPr>
              <w:jc w:val="center"/>
            </w:pPr>
          </w:p>
        </w:tc>
        <w:tc>
          <w:tcPr>
            <w:tcW w:w="2711" w:type="dxa"/>
            <w:vMerge/>
            <w:vAlign w:val="center"/>
          </w:tcPr>
          <w:p w14:paraId="47C194B4" w14:textId="77777777" w:rsidR="004D1935" w:rsidRDefault="004D1935" w:rsidP="00E24DC9">
            <w:pPr>
              <w:jc w:val="center"/>
            </w:pPr>
          </w:p>
        </w:tc>
        <w:tc>
          <w:tcPr>
            <w:tcW w:w="6855" w:type="dxa"/>
            <w:vMerge/>
            <w:vAlign w:val="center"/>
          </w:tcPr>
          <w:p w14:paraId="687290EF" w14:textId="77777777" w:rsidR="004D1935" w:rsidRDefault="004D1935" w:rsidP="00E24DC9">
            <w:pPr>
              <w:jc w:val="center"/>
            </w:pPr>
          </w:p>
        </w:tc>
      </w:tr>
      <w:tr w:rsidR="004D1935" w14:paraId="07BD4184" w14:textId="77777777" w:rsidTr="00E24DC9">
        <w:tc>
          <w:tcPr>
            <w:tcW w:w="643" w:type="dxa"/>
            <w:vMerge/>
            <w:vAlign w:val="center"/>
          </w:tcPr>
          <w:p w14:paraId="3E5E1A62" w14:textId="77777777" w:rsidR="004D1935" w:rsidRDefault="004D1935" w:rsidP="00E24DC9">
            <w:pPr>
              <w:jc w:val="center"/>
            </w:pPr>
          </w:p>
        </w:tc>
        <w:tc>
          <w:tcPr>
            <w:tcW w:w="749" w:type="dxa"/>
            <w:tcBorders>
              <w:top w:val="nil"/>
              <w:bottom w:val="nil"/>
            </w:tcBorders>
            <w:vAlign w:val="center"/>
          </w:tcPr>
          <w:p w14:paraId="3B26F6B9" w14:textId="77777777" w:rsidR="004D1935" w:rsidRPr="00C419D2" w:rsidRDefault="004D1935" w:rsidP="00E24DC9">
            <w:pPr>
              <w:jc w:val="center"/>
              <w:rPr>
                <w:rFonts w:ascii="Calibri" w:hAnsi="Calibri" w:cs="Calibri"/>
                <w:color w:val="000000"/>
                <w:sz w:val="11"/>
                <w:szCs w:val="11"/>
              </w:rPr>
            </w:pPr>
            <w:r w:rsidRPr="00C419D2">
              <w:rPr>
                <w:rFonts w:ascii="Calibri" w:hAnsi="Calibri" w:cs="Calibri"/>
                <w:color w:val="000000"/>
                <w:sz w:val="13"/>
                <w:szCs w:val="13"/>
              </w:rPr>
              <w:t>296.1421</w:t>
            </w:r>
          </w:p>
        </w:tc>
        <w:tc>
          <w:tcPr>
            <w:tcW w:w="1418" w:type="dxa"/>
            <w:vMerge/>
            <w:vAlign w:val="center"/>
          </w:tcPr>
          <w:p w14:paraId="60D3D7DE" w14:textId="77777777" w:rsidR="004D1935" w:rsidRDefault="004D1935" w:rsidP="00E24DC9">
            <w:pPr>
              <w:jc w:val="center"/>
            </w:pPr>
          </w:p>
        </w:tc>
        <w:tc>
          <w:tcPr>
            <w:tcW w:w="1369" w:type="dxa"/>
            <w:vMerge/>
            <w:vAlign w:val="center"/>
          </w:tcPr>
          <w:p w14:paraId="3A0D567C" w14:textId="77777777" w:rsidR="004D1935" w:rsidRDefault="004D1935" w:rsidP="00E24DC9">
            <w:pPr>
              <w:jc w:val="center"/>
            </w:pPr>
          </w:p>
        </w:tc>
        <w:tc>
          <w:tcPr>
            <w:tcW w:w="2711" w:type="dxa"/>
            <w:vMerge/>
            <w:vAlign w:val="center"/>
          </w:tcPr>
          <w:p w14:paraId="2CBBB009" w14:textId="77777777" w:rsidR="004D1935" w:rsidRDefault="004D1935" w:rsidP="00E24DC9">
            <w:pPr>
              <w:jc w:val="center"/>
            </w:pPr>
          </w:p>
        </w:tc>
        <w:tc>
          <w:tcPr>
            <w:tcW w:w="6855" w:type="dxa"/>
            <w:vMerge/>
            <w:vAlign w:val="center"/>
          </w:tcPr>
          <w:p w14:paraId="375D0CB5" w14:textId="77777777" w:rsidR="004D1935" w:rsidRDefault="004D1935" w:rsidP="00E24DC9">
            <w:pPr>
              <w:jc w:val="center"/>
            </w:pPr>
          </w:p>
        </w:tc>
      </w:tr>
      <w:tr w:rsidR="004D1935" w14:paraId="6E00219A" w14:textId="77777777" w:rsidTr="00E24DC9">
        <w:tc>
          <w:tcPr>
            <w:tcW w:w="643" w:type="dxa"/>
            <w:vMerge/>
            <w:vAlign w:val="center"/>
          </w:tcPr>
          <w:p w14:paraId="02871C8E" w14:textId="77777777" w:rsidR="004D1935" w:rsidRDefault="004D1935" w:rsidP="00E24DC9">
            <w:pPr>
              <w:jc w:val="center"/>
            </w:pPr>
          </w:p>
        </w:tc>
        <w:tc>
          <w:tcPr>
            <w:tcW w:w="749" w:type="dxa"/>
            <w:tcBorders>
              <w:top w:val="nil"/>
              <w:bottom w:val="nil"/>
            </w:tcBorders>
            <w:vAlign w:val="center"/>
          </w:tcPr>
          <w:p w14:paraId="145F1E86" w14:textId="77777777" w:rsidR="004D1935" w:rsidRPr="00C419D2" w:rsidRDefault="004D1935" w:rsidP="00E24DC9">
            <w:pPr>
              <w:jc w:val="center"/>
              <w:rPr>
                <w:rFonts w:ascii="Calibri" w:hAnsi="Calibri" w:cs="Calibri"/>
                <w:color w:val="000000"/>
                <w:sz w:val="11"/>
                <w:szCs w:val="11"/>
              </w:rPr>
            </w:pPr>
            <w:r w:rsidRPr="00C419D2">
              <w:rPr>
                <w:rFonts w:ascii="Calibri" w:hAnsi="Calibri" w:cs="Calibri"/>
                <w:color w:val="000000"/>
                <w:sz w:val="13"/>
                <w:szCs w:val="13"/>
              </w:rPr>
              <w:t>296.1821</w:t>
            </w:r>
          </w:p>
        </w:tc>
        <w:tc>
          <w:tcPr>
            <w:tcW w:w="1418" w:type="dxa"/>
            <w:vMerge/>
            <w:vAlign w:val="center"/>
          </w:tcPr>
          <w:p w14:paraId="2022B13B" w14:textId="77777777" w:rsidR="004D1935" w:rsidRDefault="004D1935" w:rsidP="00E24DC9">
            <w:pPr>
              <w:jc w:val="center"/>
            </w:pPr>
          </w:p>
        </w:tc>
        <w:tc>
          <w:tcPr>
            <w:tcW w:w="1369" w:type="dxa"/>
            <w:vMerge/>
            <w:vAlign w:val="center"/>
          </w:tcPr>
          <w:p w14:paraId="6DF5F7E7" w14:textId="77777777" w:rsidR="004D1935" w:rsidRDefault="004D1935" w:rsidP="00E24DC9">
            <w:pPr>
              <w:jc w:val="center"/>
            </w:pPr>
          </w:p>
        </w:tc>
        <w:tc>
          <w:tcPr>
            <w:tcW w:w="2711" w:type="dxa"/>
            <w:vMerge/>
            <w:vAlign w:val="center"/>
          </w:tcPr>
          <w:p w14:paraId="10344019" w14:textId="77777777" w:rsidR="004D1935" w:rsidRDefault="004D1935" w:rsidP="00E24DC9">
            <w:pPr>
              <w:jc w:val="center"/>
            </w:pPr>
          </w:p>
        </w:tc>
        <w:tc>
          <w:tcPr>
            <w:tcW w:w="6855" w:type="dxa"/>
            <w:vMerge/>
            <w:vAlign w:val="center"/>
          </w:tcPr>
          <w:p w14:paraId="3F8BB734" w14:textId="77777777" w:rsidR="004D1935" w:rsidRDefault="004D1935" w:rsidP="00E24DC9">
            <w:pPr>
              <w:jc w:val="center"/>
            </w:pPr>
          </w:p>
        </w:tc>
      </w:tr>
      <w:tr w:rsidR="004D1935" w14:paraId="572BA2CE" w14:textId="77777777" w:rsidTr="00E24DC9">
        <w:tc>
          <w:tcPr>
            <w:tcW w:w="643" w:type="dxa"/>
            <w:vMerge/>
            <w:vAlign w:val="center"/>
          </w:tcPr>
          <w:p w14:paraId="1615F760" w14:textId="77777777" w:rsidR="004D1935" w:rsidRDefault="004D1935" w:rsidP="00E24DC9">
            <w:pPr>
              <w:jc w:val="center"/>
            </w:pPr>
          </w:p>
        </w:tc>
        <w:tc>
          <w:tcPr>
            <w:tcW w:w="749" w:type="dxa"/>
            <w:tcBorders>
              <w:top w:val="nil"/>
              <w:bottom w:val="nil"/>
            </w:tcBorders>
            <w:vAlign w:val="center"/>
          </w:tcPr>
          <w:p w14:paraId="63BFDD0A" w14:textId="77777777" w:rsidR="004D1935" w:rsidRPr="00C419D2" w:rsidRDefault="004D1935" w:rsidP="00E24DC9">
            <w:pPr>
              <w:jc w:val="center"/>
              <w:rPr>
                <w:rFonts w:ascii="Calibri" w:hAnsi="Calibri" w:cs="Calibri"/>
                <w:color w:val="000000"/>
                <w:sz w:val="11"/>
                <w:szCs w:val="11"/>
              </w:rPr>
            </w:pPr>
            <w:r w:rsidRPr="00C419D2">
              <w:rPr>
                <w:rFonts w:ascii="Calibri" w:hAnsi="Calibri" w:cs="Calibri"/>
                <w:color w:val="000000"/>
                <w:sz w:val="13"/>
                <w:szCs w:val="13"/>
              </w:rPr>
              <w:t>296.0594</w:t>
            </w:r>
          </w:p>
        </w:tc>
        <w:tc>
          <w:tcPr>
            <w:tcW w:w="1418" w:type="dxa"/>
            <w:vMerge/>
            <w:vAlign w:val="center"/>
          </w:tcPr>
          <w:p w14:paraId="528FA731" w14:textId="77777777" w:rsidR="004D1935" w:rsidRDefault="004D1935" w:rsidP="00E24DC9">
            <w:pPr>
              <w:jc w:val="center"/>
            </w:pPr>
          </w:p>
        </w:tc>
        <w:tc>
          <w:tcPr>
            <w:tcW w:w="1369" w:type="dxa"/>
            <w:vMerge/>
            <w:vAlign w:val="center"/>
          </w:tcPr>
          <w:p w14:paraId="6C0DE57B" w14:textId="77777777" w:rsidR="004D1935" w:rsidRDefault="004D1935" w:rsidP="00E24DC9">
            <w:pPr>
              <w:jc w:val="center"/>
            </w:pPr>
          </w:p>
        </w:tc>
        <w:tc>
          <w:tcPr>
            <w:tcW w:w="2711" w:type="dxa"/>
            <w:vMerge/>
            <w:vAlign w:val="center"/>
          </w:tcPr>
          <w:p w14:paraId="6C2981FD" w14:textId="77777777" w:rsidR="004D1935" w:rsidRDefault="004D1935" w:rsidP="00E24DC9">
            <w:pPr>
              <w:jc w:val="center"/>
            </w:pPr>
          </w:p>
        </w:tc>
        <w:tc>
          <w:tcPr>
            <w:tcW w:w="6855" w:type="dxa"/>
            <w:vMerge/>
            <w:vAlign w:val="center"/>
          </w:tcPr>
          <w:p w14:paraId="0F6CACBE" w14:textId="77777777" w:rsidR="004D1935" w:rsidRDefault="004D1935" w:rsidP="00E24DC9">
            <w:pPr>
              <w:jc w:val="center"/>
            </w:pPr>
          </w:p>
        </w:tc>
      </w:tr>
      <w:tr w:rsidR="004D1935" w14:paraId="70DD29BF" w14:textId="77777777" w:rsidTr="00E24DC9">
        <w:tc>
          <w:tcPr>
            <w:tcW w:w="643" w:type="dxa"/>
            <w:vMerge/>
            <w:vAlign w:val="center"/>
          </w:tcPr>
          <w:p w14:paraId="40119200" w14:textId="77777777" w:rsidR="004D1935" w:rsidRDefault="004D1935" w:rsidP="00E24DC9">
            <w:pPr>
              <w:jc w:val="center"/>
            </w:pPr>
          </w:p>
        </w:tc>
        <w:tc>
          <w:tcPr>
            <w:tcW w:w="749" w:type="dxa"/>
            <w:tcBorders>
              <w:top w:val="nil"/>
              <w:bottom w:val="nil"/>
            </w:tcBorders>
            <w:vAlign w:val="center"/>
          </w:tcPr>
          <w:p w14:paraId="7D1AE9AE" w14:textId="77777777" w:rsidR="004D1935" w:rsidRPr="00C419D2" w:rsidRDefault="004D1935" w:rsidP="00E24DC9">
            <w:pPr>
              <w:jc w:val="center"/>
              <w:rPr>
                <w:rFonts w:ascii="Calibri" w:hAnsi="Calibri" w:cs="Calibri"/>
                <w:color w:val="000000"/>
                <w:sz w:val="11"/>
                <w:szCs w:val="11"/>
              </w:rPr>
            </w:pPr>
            <w:r w:rsidRPr="00C419D2">
              <w:rPr>
                <w:rFonts w:ascii="Calibri" w:hAnsi="Calibri" w:cs="Calibri"/>
                <w:color w:val="000000"/>
                <w:sz w:val="13"/>
                <w:szCs w:val="13"/>
              </w:rPr>
              <w:t>296.0995</w:t>
            </w:r>
          </w:p>
        </w:tc>
        <w:tc>
          <w:tcPr>
            <w:tcW w:w="1418" w:type="dxa"/>
            <w:vMerge/>
            <w:vAlign w:val="center"/>
          </w:tcPr>
          <w:p w14:paraId="0C83B6B1" w14:textId="77777777" w:rsidR="004D1935" w:rsidRDefault="004D1935" w:rsidP="00E24DC9">
            <w:pPr>
              <w:jc w:val="center"/>
            </w:pPr>
          </w:p>
        </w:tc>
        <w:tc>
          <w:tcPr>
            <w:tcW w:w="1369" w:type="dxa"/>
            <w:vMerge/>
            <w:vAlign w:val="center"/>
          </w:tcPr>
          <w:p w14:paraId="34046F28" w14:textId="77777777" w:rsidR="004D1935" w:rsidRDefault="004D1935" w:rsidP="00E24DC9">
            <w:pPr>
              <w:jc w:val="center"/>
            </w:pPr>
          </w:p>
        </w:tc>
        <w:tc>
          <w:tcPr>
            <w:tcW w:w="2711" w:type="dxa"/>
            <w:vMerge/>
            <w:vAlign w:val="center"/>
          </w:tcPr>
          <w:p w14:paraId="2929169E" w14:textId="77777777" w:rsidR="004D1935" w:rsidRDefault="004D1935" w:rsidP="00E24DC9">
            <w:pPr>
              <w:jc w:val="center"/>
            </w:pPr>
          </w:p>
        </w:tc>
        <w:tc>
          <w:tcPr>
            <w:tcW w:w="6855" w:type="dxa"/>
            <w:vMerge/>
            <w:vAlign w:val="center"/>
          </w:tcPr>
          <w:p w14:paraId="28557102" w14:textId="77777777" w:rsidR="004D1935" w:rsidRDefault="004D1935" w:rsidP="00E24DC9">
            <w:pPr>
              <w:jc w:val="center"/>
            </w:pPr>
          </w:p>
        </w:tc>
      </w:tr>
      <w:tr w:rsidR="004D1935" w14:paraId="230D986F" w14:textId="77777777" w:rsidTr="00E24DC9">
        <w:tc>
          <w:tcPr>
            <w:tcW w:w="643" w:type="dxa"/>
            <w:vMerge/>
            <w:vAlign w:val="center"/>
          </w:tcPr>
          <w:p w14:paraId="6F978449" w14:textId="77777777" w:rsidR="004D1935" w:rsidRDefault="004D1935" w:rsidP="00E24DC9">
            <w:pPr>
              <w:jc w:val="center"/>
            </w:pPr>
          </w:p>
        </w:tc>
        <w:tc>
          <w:tcPr>
            <w:tcW w:w="749" w:type="dxa"/>
            <w:tcBorders>
              <w:top w:val="nil"/>
              <w:bottom w:val="nil"/>
            </w:tcBorders>
            <w:vAlign w:val="center"/>
          </w:tcPr>
          <w:p w14:paraId="22BAE71F" w14:textId="77777777" w:rsidR="004D1935" w:rsidRPr="00C419D2" w:rsidRDefault="004D1935" w:rsidP="00E24DC9">
            <w:pPr>
              <w:jc w:val="center"/>
              <w:rPr>
                <w:rFonts w:ascii="Calibri" w:hAnsi="Calibri" w:cs="Calibri"/>
                <w:color w:val="000000"/>
                <w:sz w:val="11"/>
                <w:szCs w:val="11"/>
              </w:rPr>
            </w:pPr>
            <w:r w:rsidRPr="00C419D2">
              <w:rPr>
                <w:rFonts w:ascii="Calibri" w:hAnsi="Calibri" w:cs="Calibri"/>
                <w:color w:val="000000"/>
                <w:sz w:val="13"/>
                <w:szCs w:val="13"/>
              </w:rPr>
              <w:t>296.1395</w:t>
            </w:r>
          </w:p>
        </w:tc>
        <w:tc>
          <w:tcPr>
            <w:tcW w:w="1418" w:type="dxa"/>
            <w:vMerge/>
            <w:vAlign w:val="center"/>
          </w:tcPr>
          <w:p w14:paraId="77415AD0" w14:textId="77777777" w:rsidR="004D1935" w:rsidRDefault="004D1935" w:rsidP="00E24DC9">
            <w:pPr>
              <w:jc w:val="center"/>
            </w:pPr>
          </w:p>
        </w:tc>
        <w:tc>
          <w:tcPr>
            <w:tcW w:w="1369" w:type="dxa"/>
            <w:vMerge/>
            <w:vAlign w:val="center"/>
          </w:tcPr>
          <w:p w14:paraId="2145D380" w14:textId="77777777" w:rsidR="004D1935" w:rsidRDefault="004D1935" w:rsidP="00E24DC9">
            <w:pPr>
              <w:jc w:val="center"/>
            </w:pPr>
          </w:p>
        </w:tc>
        <w:tc>
          <w:tcPr>
            <w:tcW w:w="2711" w:type="dxa"/>
            <w:vMerge/>
            <w:vAlign w:val="center"/>
          </w:tcPr>
          <w:p w14:paraId="0ECFABBF" w14:textId="77777777" w:rsidR="004D1935" w:rsidRDefault="004D1935" w:rsidP="00E24DC9">
            <w:pPr>
              <w:jc w:val="center"/>
            </w:pPr>
          </w:p>
        </w:tc>
        <w:tc>
          <w:tcPr>
            <w:tcW w:w="6855" w:type="dxa"/>
            <w:vMerge/>
            <w:vAlign w:val="center"/>
          </w:tcPr>
          <w:p w14:paraId="4FFC747C" w14:textId="77777777" w:rsidR="004D1935" w:rsidRDefault="004D1935" w:rsidP="00E24DC9">
            <w:pPr>
              <w:jc w:val="center"/>
            </w:pPr>
          </w:p>
        </w:tc>
      </w:tr>
      <w:tr w:rsidR="004D1935" w14:paraId="69694356" w14:textId="77777777" w:rsidTr="00E24DC9">
        <w:tc>
          <w:tcPr>
            <w:tcW w:w="643" w:type="dxa"/>
            <w:vMerge/>
            <w:vAlign w:val="center"/>
          </w:tcPr>
          <w:p w14:paraId="5B9D9691" w14:textId="77777777" w:rsidR="004D1935" w:rsidRDefault="004D1935" w:rsidP="00E24DC9">
            <w:pPr>
              <w:jc w:val="center"/>
            </w:pPr>
          </w:p>
        </w:tc>
        <w:tc>
          <w:tcPr>
            <w:tcW w:w="749" w:type="dxa"/>
            <w:tcBorders>
              <w:top w:val="nil"/>
              <w:bottom w:val="nil"/>
            </w:tcBorders>
            <w:vAlign w:val="center"/>
          </w:tcPr>
          <w:p w14:paraId="47A61403" w14:textId="77777777" w:rsidR="004D1935" w:rsidRPr="00C419D2" w:rsidRDefault="004D1935" w:rsidP="00E24DC9">
            <w:pPr>
              <w:jc w:val="center"/>
              <w:rPr>
                <w:rFonts w:ascii="Calibri" w:hAnsi="Calibri" w:cs="Calibri"/>
                <w:color w:val="000000"/>
                <w:sz w:val="11"/>
                <w:szCs w:val="11"/>
              </w:rPr>
            </w:pPr>
            <w:r w:rsidRPr="00C419D2">
              <w:rPr>
                <w:rFonts w:ascii="Calibri" w:hAnsi="Calibri" w:cs="Calibri"/>
                <w:color w:val="000000"/>
                <w:sz w:val="13"/>
                <w:szCs w:val="13"/>
              </w:rPr>
              <w:t>296.1795</w:t>
            </w:r>
          </w:p>
        </w:tc>
        <w:tc>
          <w:tcPr>
            <w:tcW w:w="1418" w:type="dxa"/>
            <w:vMerge/>
            <w:vAlign w:val="center"/>
          </w:tcPr>
          <w:p w14:paraId="495AA10A" w14:textId="77777777" w:rsidR="004D1935" w:rsidRDefault="004D1935" w:rsidP="00E24DC9">
            <w:pPr>
              <w:jc w:val="center"/>
            </w:pPr>
          </w:p>
        </w:tc>
        <w:tc>
          <w:tcPr>
            <w:tcW w:w="1369" w:type="dxa"/>
            <w:vMerge/>
            <w:vAlign w:val="center"/>
          </w:tcPr>
          <w:p w14:paraId="34E0D054" w14:textId="77777777" w:rsidR="004D1935" w:rsidRDefault="004D1935" w:rsidP="00E24DC9">
            <w:pPr>
              <w:jc w:val="center"/>
            </w:pPr>
          </w:p>
        </w:tc>
        <w:tc>
          <w:tcPr>
            <w:tcW w:w="2711" w:type="dxa"/>
            <w:vMerge/>
            <w:vAlign w:val="center"/>
          </w:tcPr>
          <w:p w14:paraId="2FA4FC3C" w14:textId="77777777" w:rsidR="004D1935" w:rsidRDefault="004D1935" w:rsidP="00E24DC9">
            <w:pPr>
              <w:jc w:val="center"/>
            </w:pPr>
          </w:p>
        </w:tc>
        <w:tc>
          <w:tcPr>
            <w:tcW w:w="6855" w:type="dxa"/>
            <w:vMerge/>
            <w:vAlign w:val="center"/>
          </w:tcPr>
          <w:p w14:paraId="676D5BD7" w14:textId="77777777" w:rsidR="004D1935" w:rsidRDefault="004D1935" w:rsidP="00E24DC9">
            <w:pPr>
              <w:jc w:val="center"/>
            </w:pPr>
          </w:p>
        </w:tc>
      </w:tr>
      <w:tr w:rsidR="004D1935" w14:paraId="1D626EBF" w14:textId="77777777" w:rsidTr="00E24DC9">
        <w:tc>
          <w:tcPr>
            <w:tcW w:w="643" w:type="dxa"/>
            <w:vMerge/>
            <w:vAlign w:val="center"/>
          </w:tcPr>
          <w:p w14:paraId="06491A3B" w14:textId="77777777" w:rsidR="004D1935" w:rsidRDefault="004D1935" w:rsidP="00E24DC9">
            <w:pPr>
              <w:jc w:val="center"/>
            </w:pPr>
          </w:p>
        </w:tc>
        <w:tc>
          <w:tcPr>
            <w:tcW w:w="749" w:type="dxa"/>
            <w:tcBorders>
              <w:top w:val="nil"/>
              <w:bottom w:val="nil"/>
            </w:tcBorders>
            <w:vAlign w:val="center"/>
          </w:tcPr>
          <w:p w14:paraId="3D7FF0B2" w14:textId="77777777" w:rsidR="004D1935" w:rsidRPr="00C419D2" w:rsidRDefault="004D1935" w:rsidP="00E24DC9">
            <w:pPr>
              <w:jc w:val="center"/>
              <w:rPr>
                <w:rFonts w:ascii="Calibri" w:hAnsi="Calibri" w:cs="Calibri"/>
                <w:color w:val="000000"/>
                <w:sz w:val="11"/>
                <w:szCs w:val="11"/>
              </w:rPr>
            </w:pPr>
            <w:r w:rsidRPr="00C419D2">
              <w:rPr>
                <w:rFonts w:ascii="Calibri" w:hAnsi="Calibri" w:cs="Calibri"/>
                <w:color w:val="000000"/>
                <w:sz w:val="13"/>
                <w:szCs w:val="13"/>
              </w:rPr>
              <w:t>296.0140</w:t>
            </w:r>
          </w:p>
        </w:tc>
        <w:tc>
          <w:tcPr>
            <w:tcW w:w="1418" w:type="dxa"/>
            <w:vMerge/>
            <w:vAlign w:val="center"/>
          </w:tcPr>
          <w:p w14:paraId="7041BD65" w14:textId="77777777" w:rsidR="004D1935" w:rsidRDefault="004D1935" w:rsidP="00E24DC9">
            <w:pPr>
              <w:jc w:val="center"/>
            </w:pPr>
          </w:p>
        </w:tc>
        <w:tc>
          <w:tcPr>
            <w:tcW w:w="1369" w:type="dxa"/>
            <w:vMerge/>
            <w:vAlign w:val="center"/>
          </w:tcPr>
          <w:p w14:paraId="250BB8A4" w14:textId="77777777" w:rsidR="004D1935" w:rsidRDefault="004D1935" w:rsidP="00E24DC9">
            <w:pPr>
              <w:jc w:val="center"/>
            </w:pPr>
          </w:p>
        </w:tc>
        <w:tc>
          <w:tcPr>
            <w:tcW w:w="2711" w:type="dxa"/>
            <w:vMerge/>
            <w:vAlign w:val="center"/>
          </w:tcPr>
          <w:p w14:paraId="4DB72340" w14:textId="77777777" w:rsidR="004D1935" w:rsidRDefault="004D1935" w:rsidP="00E24DC9">
            <w:pPr>
              <w:jc w:val="center"/>
            </w:pPr>
          </w:p>
        </w:tc>
        <w:tc>
          <w:tcPr>
            <w:tcW w:w="6855" w:type="dxa"/>
            <w:vMerge/>
            <w:vAlign w:val="center"/>
          </w:tcPr>
          <w:p w14:paraId="05D02685" w14:textId="77777777" w:rsidR="004D1935" w:rsidRDefault="004D1935" w:rsidP="00E24DC9">
            <w:pPr>
              <w:jc w:val="center"/>
            </w:pPr>
          </w:p>
        </w:tc>
      </w:tr>
      <w:tr w:rsidR="004D1935" w14:paraId="77C0299D" w14:textId="77777777" w:rsidTr="00E24DC9">
        <w:tc>
          <w:tcPr>
            <w:tcW w:w="643" w:type="dxa"/>
            <w:vMerge/>
            <w:vAlign w:val="center"/>
          </w:tcPr>
          <w:p w14:paraId="643F523A" w14:textId="77777777" w:rsidR="004D1935" w:rsidRDefault="004D1935" w:rsidP="00E24DC9">
            <w:pPr>
              <w:jc w:val="center"/>
            </w:pPr>
          </w:p>
        </w:tc>
        <w:tc>
          <w:tcPr>
            <w:tcW w:w="749" w:type="dxa"/>
            <w:tcBorders>
              <w:top w:val="nil"/>
              <w:bottom w:val="nil"/>
            </w:tcBorders>
            <w:vAlign w:val="center"/>
          </w:tcPr>
          <w:p w14:paraId="6C4267CA" w14:textId="77777777" w:rsidR="004D1935" w:rsidRPr="00C419D2" w:rsidRDefault="004D1935" w:rsidP="00E24DC9">
            <w:pPr>
              <w:jc w:val="center"/>
              <w:rPr>
                <w:rFonts w:ascii="Calibri" w:hAnsi="Calibri" w:cs="Calibri"/>
                <w:color w:val="000000"/>
                <w:sz w:val="11"/>
                <w:szCs w:val="11"/>
              </w:rPr>
            </w:pPr>
            <w:r w:rsidRPr="00C419D2">
              <w:rPr>
                <w:rFonts w:ascii="Calibri" w:hAnsi="Calibri" w:cs="Calibri"/>
                <w:color w:val="000000"/>
                <w:sz w:val="13"/>
                <w:szCs w:val="13"/>
              </w:rPr>
              <w:t>296.0567</w:t>
            </w:r>
          </w:p>
        </w:tc>
        <w:tc>
          <w:tcPr>
            <w:tcW w:w="1418" w:type="dxa"/>
            <w:vMerge/>
            <w:vAlign w:val="center"/>
          </w:tcPr>
          <w:p w14:paraId="4A949FBA" w14:textId="77777777" w:rsidR="004D1935" w:rsidRDefault="004D1935" w:rsidP="00E24DC9">
            <w:pPr>
              <w:jc w:val="center"/>
            </w:pPr>
          </w:p>
        </w:tc>
        <w:tc>
          <w:tcPr>
            <w:tcW w:w="1369" w:type="dxa"/>
            <w:vMerge/>
            <w:vAlign w:val="center"/>
          </w:tcPr>
          <w:p w14:paraId="42C0796A" w14:textId="77777777" w:rsidR="004D1935" w:rsidRDefault="004D1935" w:rsidP="00E24DC9">
            <w:pPr>
              <w:jc w:val="center"/>
            </w:pPr>
          </w:p>
        </w:tc>
        <w:tc>
          <w:tcPr>
            <w:tcW w:w="2711" w:type="dxa"/>
            <w:vMerge/>
            <w:vAlign w:val="center"/>
          </w:tcPr>
          <w:p w14:paraId="6CFE9EFD" w14:textId="77777777" w:rsidR="004D1935" w:rsidRDefault="004D1935" w:rsidP="00E24DC9">
            <w:pPr>
              <w:jc w:val="center"/>
            </w:pPr>
          </w:p>
        </w:tc>
        <w:tc>
          <w:tcPr>
            <w:tcW w:w="6855" w:type="dxa"/>
            <w:vMerge/>
            <w:vAlign w:val="center"/>
          </w:tcPr>
          <w:p w14:paraId="7F2634AF" w14:textId="77777777" w:rsidR="004D1935" w:rsidRDefault="004D1935" w:rsidP="00E24DC9">
            <w:pPr>
              <w:jc w:val="center"/>
            </w:pPr>
          </w:p>
        </w:tc>
      </w:tr>
      <w:tr w:rsidR="004D1935" w14:paraId="4F908462" w14:textId="77777777" w:rsidTr="00E24DC9">
        <w:tc>
          <w:tcPr>
            <w:tcW w:w="643" w:type="dxa"/>
            <w:vMerge/>
            <w:vAlign w:val="center"/>
          </w:tcPr>
          <w:p w14:paraId="2209589C" w14:textId="77777777" w:rsidR="004D1935" w:rsidRDefault="004D1935" w:rsidP="00E24DC9">
            <w:pPr>
              <w:jc w:val="center"/>
            </w:pPr>
          </w:p>
        </w:tc>
        <w:tc>
          <w:tcPr>
            <w:tcW w:w="749" w:type="dxa"/>
            <w:tcBorders>
              <w:top w:val="nil"/>
              <w:bottom w:val="nil"/>
            </w:tcBorders>
            <w:vAlign w:val="center"/>
          </w:tcPr>
          <w:p w14:paraId="5B9913CA" w14:textId="77777777" w:rsidR="004D1935" w:rsidRPr="00C419D2" w:rsidRDefault="004D1935" w:rsidP="00E24DC9">
            <w:pPr>
              <w:jc w:val="center"/>
              <w:rPr>
                <w:rFonts w:ascii="Calibri" w:hAnsi="Calibri" w:cs="Calibri"/>
                <w:color w:val="000000"/>
                <w:sz w:val="11"/>
                <w:szCs w:val="11"/>
              </w:rPr>
            </w:pPr>
            <w:r w:rsidRPr="00C419D2">
              <w:rPr>
                <w:rFonts w:ascii="Calibri" w:hAnsi="Calibri" w:cs="Calibri"/>
                <w:color w:val="000000"/>
                <w:sz w:val="13"/>
                <w:szCs w:val="13"/>
              </w:rPr>
              <w:t>296.0968</w:t>
            </w:r>
          </w:p>
        </w:tc>
        <w:tc>
          <w:tcPr>
            <w:tcW w:w="1418" w:type="dxa"/>
            <w:vMerge/>
            <w:vAlign w:val="center"/>
          </w:tcPr>
          <w:p w14:paraId="1A99124A" w14:textId="77777777" w:rsidR="004D1935" w:rsidRDefault="004D1935" w:rsidP="00E24DC9">
            <w:pPr>
              <w:jc w:val="center"/>
            </w:pPr>
          </w:p>
        </w:tc>
        <w:tc>
          <w:tcPr>
            <w:tcW w:w="1369" w:type="dxa"/>
            <w:vMerge/>
            <w:vAlign w:val="center"/>
          </w:tcPr>
          <w:p w14:paraId="7D5F558E" w14:textId="77777777" w:rsidR="004D1935" w:rsidRDefault="004D1935" w:rsidP="00E24DC9">
            <w:pPr>
              <w:jc w:val="center"/>
            </w:pPr>
          </w:p>
        </w:tc>
        <w:tc>
          <w:tcPr>
            <w:tcW w:w="2711" w:type="dxa"/>
            <w:vMerge/>
            <w:vAlign w:val="center"/>
          </w:tcPr>
          <w:p w14:paraId="4D621D06" w14:textId="77777777" w:rsidR="004D1935" w:rsidRDefault="004D1935" w:rsidP="00E24DC9">
            <w:pPr>
              <w:jc w:val="center"/>
            </w:pPr>
          </w:p>
        </w:tc>
        <w:tc>
          <w:tcPr>
            <w:tcW w:w="6855" w:type="dxa"/>
            <w:vMerge/>
            <w:vAlign w:val="center"/>
          </w:tcPr>
          <w:p w14:paraId="48005382" w14:textId="77777777" w:rsidR="004D1935" w:rsidRDefault="004D1935" w:rsidP="00E24DC9">
            <w:pPr>
              <w:jc w:val="center"/>
            </w:pPr>
          </w:p>
        </w:tc>
      </w:tr>
      <w:tr w:rsidR="004D1935" w14:paraId="445F9444" w14:textId="77777777" w:rsidTr="00E24DC9">
        <w:tc>
          <w:tcPr>
            <w:tcW w:w="643" w:type="dxa"/>
            <w:vMerge/>
            <w:vAlign w:val="center"/>
          </w:tcPr>
          <w:p w14:paraId="76337B7D" w14:textId="77777777" w:rsidR="004D1935" w:rsidRDefault="004D1935" w:rsidP="00E24DC9">
            <w:pPr>
              <w:jc w:val="center"/>
            </w:pPr>
          </w:p>
        </w:tc>
        <w:tc>
          <w:tcPr>
            <w:tcW w:w="749" w:type="dxa"/>
            <w:tcBorders>
              <w:top w:val="nil"/>
              <w:bottom w:val="nil"/>
            </w:tcBorders>
            <w:vAlign w:val="center"/>
          </w:tcPr>
          <w:p w14:paraId="30156D16" w14:textId="77777777" w:rsidR="004D1935" w:rsidRPr="00C419D2" w:rsidRDefault="004D1935" w:rsidP="00E24DC9">
            <w:pPr>
              <w:jc w:val="center"/>
              <w:rPr>
                <w:rFonts w:ascii="Calibri" w:hAnsi="Calibri" w:cs="Calibri"/>
                <w:color w:val="000000"/>
                <w:sz w:val="11"/>
                <w:szCs w:val="11"/>
              </w:rPr>
            </w:pPr>
            <w:r w:rsidRPr="00C419D2">
              <w:rPr>
                <w:rFonts w:ascii="Calibri" w:hAnsi="Calibri" w:cs="Calibri"/>
                <w:color w:val="000000"/>
                <w:sz w:val="13"/>
                <w:szCs w:val="13"/>
              </w:rPr>
              <w:t>296.1368</w:t>
            </w:r>
          </w:p>
        </w:tc>
        <w:tc>
          <w:tcPr>
            <w:tcW w:w="1418" w:type="dxa"/>
            <w:vMerge/>
            <w:vAlign w:val="center"/>
          </w:tcPr>
          <w:p w14:paraId="4106B671" w14:textId="77777777" w:rsidR="004D1935" w:rsidRDefault="004D1935" w:rsidP="00E24DC9">
            <w:pPr>
              <w:jc w:val="center"/>
            </w:pPr>
          </w:p>
        </w:tc>
        <w:tc>
          <w:tcPr>
            <w:tcW w:w="1369" w:type="dxa"/>
            <w:vMerge/>
            <w:vAlign w:val="center"/>
          </w:tcPr>
          <w:p w14:paraId="3991D189" w14:textId="77777777" w:rsidR="004D1935" w:rsidRDefault="004D1935" w:rsidP="00E24DC9">
            <w:pPr>
              <w:jc w:val="center"/>
            </w:pPr>
          </w:p>
        </w:tc>
        <w:tc>
          <w:tcPr>
            <w:tcW w:w="2711" w:type="dxa"/>
            <w:vMerge/>
            <w:vAlign w:val="center"/>
          </w:tcPr>
          <w:p w14:paraId="2A204F5C" w14:textId="77777777" w:rsidR="004D1935" w:rsidRDefault="004D1935" w:rsidP="00E24DC9">
            <w:pPr>
              <w:jc w:val="center"/>
            </w:pPr>
          </w:p>
        </w:tc>
        <w:tc>
          <w:tcPr>
            <w:tcW w:w="6855" w:type="dxa"/>
            <w:vMerge/>
            <w:vAlign w:val="center"/>
          </w:tcPr>
          <w:p w14:paraId="3491470D" w14:textId="77777777" w:rsidR="004D1935" w:rsidRDefault="004D1935" w:rsidP="00E24DC9">
            <w:pPr>
              <w:jc w:val="center"/>
            </w:pPr>
          </w:p>
        </w:tc>
      </w:tr>
      <w:tr w:rsidR="004D1935" w14:paraId="55249D70" w14:textId="77777777" w:rsidTr="00E24DC9">
        <w:tc>
          <w:tcPr>
            <w:tcW w:w="643" w:type="dxa"/>
            <w:vMerge/>
            <w:vAlign w:val="center"/>
          </w:tcPr>
          <w:p w14:paraId="21C7C6AD" w14:textId="77777777" w:rsidR="004D1935" w:rsidRDefault="004D1935" w:rsidP="00E24DC9">
            <w:pPr>
              <w:jc w:val="center"/>
            </w:pPr>
          </w:p>
        </w:tc>
        <w:tc>
          <w:tcPr>
            <w:tcW w:w="749" w:type="dxa"/>
            <w:tcBorders>
              <w:top w:val="nil"/>
              <w:bottom w:val="nil"/>
            </w:tcBorders>
            <w:vAlign w:val="center"/>
          </w:tcPr>
          <w:p w14:paraId="081DA9C0" w14:textId="77777777" w:rsidR="004D1935" w:rsidRPr="00C419D2" w:rsidRDefault="004D1935" w:rsidP="00E24DC9">
            <w:pPr>
              <w:jc w:val="center"/>
              <w:rPr>
                <w:rFonts w:ascii="Calibri" w:hAnsi="Calibri" w:cs="Calibri"/>
                <w:color w:val="000000"/>
                <w:sz w:val="11"/>
                <w:szCs w:val="11"/>
              </w:rPr>
            </w:pPr>
            <w:r w:rsidRPr="00C419D2">
              <w:rPr>
                <w:rFonts w:ascii="Calibri" w:hAnsi="Calibri" w:cs="Calibri"/>
                <w:color w:val="000000"/>
                <w:sz w:val="13"/>
                <w:szCs w:val="13"/>
              </w:rPr>
              <w:t>296.1768</w:t>
            </w:r>
          </w:p>
        </w:tc>
        <w:tc>
          <w:tcPr>
            <w:tcW w:w="1418" w:type="dxa"/>
            <w:vMerge/>
            <w:vAlign w:val="center"/>
          </w:tcPr>
          <w:p w14:paraId="7505E87D" w14:textId="77777777" w:rsidR="004D1935" w:rsidRDefault="004D1935" w:rsidP="00E24DC9">
            <w:pPr>
              <w:jc w:val="center"/>
            </w:pPr>
          </w:p>
        </w:tc>
        <w:tc>
          <w:tcPr>
            <w:tcW w:w="1369" w:type="dxa"/>
            <w:vMerge/>
            <w:vAlign w:val="center"/>
          </w:tcPr>
          <w:p w14:paraId="7EB4F705" w14:textId="77777777" w:rsidR="004D1935" w:rsidRDefault="004D1935" w:rsidP="00E24DC9">
            <w:pPr>
              <w:jc w:val="center"/>
            </w:pPr>
          </w:p>
        </w:tc>
        <w:tc>
          <w:tcPr>
            <w:tcW w:w="2711" w:type="dxa"/>
            <w:vMerge/>
            <w:vAlign w:val="center"/>
          </w:tcPr>
          <w:p w14:paraId="7F758581" w14:textId="77777777" w:rsidR="004D1935" w:rsidRDefault="004D1935" w:rsidP="00E24DC9">
            <w:pPr>
              <w:jc w:val="center"/>
            </w:pPr>
          </w:p>
        </w:tc>
        <w:tc>
          <w:tcPr>
            <w:tcW w:w="6855" w:type="dxa"/>
            <w:vMerge/>
            <w:vAlign w:val="center"/>
          </w:tcPr>
          <w:p w14:paraId="5A8FAE75" w14:textId="77777777" w:rsidR="004D1935" w:rsidRDefault="004D1935" w:rsidP="00E24DC9">
            <w:pPr>
              <w:jc w:val="center"/>
            </w:pPr>
          </w:p>
        </w:tc>
      </w:tr>
      <w:tr w:rsidR="004D1935" w14:paraId="5BBE9AC3" w14:textId="77777777" w:rsidTr="00E24DC9">
        <w:tc>
          <w:tcPr>
            <w:tcW w:w="643" w:type="dxa"/>
            <w:vMerge/>
            <w:vAlign w:val="center"/>
          </w:tcPr>
          <w:p w14:paraId="78B8B0D8" w14:textId="77777777" w:rsidR="004D1935" w:rsidRDefault="004D1935" w:rsidP="00E24DC9">
            <w:pPr>
              <w:jc w:val="center"/>
            </w:pPr>
          </w:p>
        </w:tc>
        <w:tc>
          <w:tcPr>
            <w:tcW w:w="749" w:type="dxa"/>
            <w:tcBorders>
              <w:top w:val="nil"/>
              <w:bottom w:val="nil"/>
            </w:tcBorders>
            <w:vAlign w:val="center"/>
          </w:tcPr>
          <w:p w14:paraId="60654288" w14:textId="77777777" w:rsidR="004D1935" w:rsidRPr="00C419D2" w:rsidRDefault="004D1935" w:rsidP="00E24DC9">
            <w:pPr>
              <w:jc w:val="center"/>
              <w:rPr>
                <w:rFonts w:ascii="Calibri" w:hAnsi="Calibri" w:cs="Calibri"/>
                <w:color w:val="000000"/>
                <w:sz w:val="11"/>
                <w:szCs w:val="11"/>
              </w:rPr>
            </w:pPr>
            <w:r w:rsidRPr="00C419D2">
              <w:rPr>
                <w:rFonts w:ascii="Calibri" w:hAnsi="Calibri" w:cs="Calibri"/>
                <w:color w:val="000000"/>
                <w:sz w:val="13"/>
                <w:szCs w:val="13"/>
              </w:rPr>
              <w:t>296.0634</w:t>
            </w:r>
          </w:p>
        </w:tc>
        <w:tc>
          <w:tcPr>
            <w:tcW w:w="1418" w:type="dxa"/>
            <w:vMerge/>
            <w:vAlign w:val="center"/>
          </w:tcPr>
          <w:p w14:paraId="27B6432F" w14:textId="77777777" w:rsidR="004D1935" w:rsidRDefault="004D1935" w:rsidP="00E24DC9">
            <w:pPr>
              <w:jc w:val="center"/>
            </w:pPr>
          </w:p>
        </w:tc>
        <w:tc>
          <w:tcPr>
            <w:tcW w:w="1369" w:type="dxa"/>
            <w:vMerge/>
            <w:vAlign w:val="center"/>
          </w:tcPr>
          <w:p w14:paraId="163C2B82" w14:textId="77777777" w:rsidR="004D1935" w:rsidRDefault="004D1935" w:rsidP="00E24DC9">
            <w:pPr>
              <w:jc w:val="center"/>
            </w:pPr>
          </w:p>
        </w:tc>
        <w:tc>
          <w:tcPr>
            <w:tcW w:w="2711" w:type="dxa"/>
            <w:vMerge/>
            <w:vAlign w:val="center"/>
          </w:tcPr>
          <w:p w14:paraId="1D5DCE01" w14:textId="77777777" w:rsidR="004D1935" w:rsidRDefault="004D1935" w:rsidP="00E24DC9">
            <w:pPr>
              <w:jc w:val="center"/>
            </w:pPr>
          </w:p>
        </w:tc>
        <w:tc>
          <w:tcPr>
            <w:tcW w:w="6855" w:type="dxa"/>
            <w:vMerge/>
            <w:vAlign w:val="center"/>
          </w:tcPr>
          <w:p w14:paraId="32B4C38C" w14:textId="77777777" w:rsidR="004D1935" w:rsidRDefault="004D1935" w:rsidP="00E24DC9">
            <w:pPr>
              <w:jc w:val="center"/>
            </w:pPr>
          </w:p>
        </w:tc>
      </w:tr>
      <w:tr w:rsidR="004D1935" w14:paraId="7839D777" w14:textId="77777777" w:rsidTr="00E24DC9">
        <w:tc>
          <w:tcPr>
            <w:tcW w:w="643" w:type="dxa"/>
            <w:vMerge/>
            <w:vAlign w:val="center"/>
          </w:tcPr>
          <w:p w14:paraId="3A4420ED" w14:textId="77777777" w:rsidR="004D1935" w:rsidRDefault="004D1935" w:rsidP="00E24DC9">
            <w:pPr>
              <w:jc w:val="center"/>
            </w:pPr>
          </w:p>
        </w:tc>
        <w:tc>
          <w:tcPr>
            <w:tcW w:w="749" w:type="dxa"/>
            <w:tcBorders>
              <w:top w:val="nil"/>
            </w:tcBorders>
            <w:vAlign w:val="center"/>
          </w:tcPr>
          <w:p w14:paraId="62B00820" w14:textId="77777777" w:rsidR="004D1935" w:rsidRPr="00C419D2" w:rsidRDefault="004D1935" w:rsidP="00E24DC9">
            <w:pPr>
              <w:jc w:val="center"/>
              <w:rPr>
                <w:rFonts w:ascii="Calibri" w:hAnsi="Calibri" w:cs="Calibri"/>
                <w:color w:val="000000"/>
                <w:sz w:val="11"/>
                <w:szCs w:val="11"/>
              </w:rPr>
            </w:pPr>
            <w:r w:rsidRPr="00C419D2">
              <w:rPr>
                <w:rFonts w:ascii="Calibri" w:hAnsi="Calibri" w:cs="Calibri"/>
                <w:color w:val="000000"/>
                <w:sz w:val="13"/>
                <w:szCs w:val="13"/>
              </w:rPr>
              <w:t>296.0114</w:t>
            </w:r>
          </w:p>
        </w:tc>
        <w:tc>
          <w:tcPr>
            <w:tcW w:w="1418" w:type="dxa"/>
            <w:vMerge/>
            <w:vAlign w:val="center"/>
          </w:tcPr>
          <w:p w14:paraId="1634A046" w14:textId="77777777" w:rsidR="004D1935" w:rsidRDefault="004D1935" w:rsidP="00E24DC9">
            <w:pPr>
              <w:jc w:val="center"/>
            </w:pPr>
          </w:p>
        </w:tc>
        <w:tc>
          <w:tcPr>
            <w:tcW w:w="1369" w:type="dxa"/>
            <w:vMerge/>
            <w:vAlign w:val="center"/>
          </w:tcPr>
          <w:p w14:paraId="7BF55F70" w14:textId="77777777" w:rsidR="004D1935" w:rsidRDefault="004D1935" w:rsidP="00E24DC9">
            <w:pPr>
              <w:jc w:val="center"/>
            </w:pPr>
          </w:p>
        </w:tc>
        <w:tc>
          <w:tcPr>
            <w:tcW w:w="2711" w:type="dxa"/>
            <w:vMerge/>
            <w:vAlign w:val="center"/>
          </w:tcPr>
          <w:p w14:paraId="0F5B4CDE" w14:textId="77777777" w:rsidR="004D1935" w:rsidRDefault="004D1935" w:rsidP="00E24DC9">
            <w:pPr>
              <w:jc w:val="center"/>
            </w:pPr>
          </w:p>
        </w:tc>
        <w:tc>
          <w:tcPr>
            <w:tcW w:w="6855" w:type="dxa"/>
            <w:vMerge/>
            <w:vAlign w:val="center"/>
          </w:tcPr>
          <w:p w14:paraId="3CA099D2" w14:textId="77777777" w:rsidR="004D1935" w:rsidRDefault="004D1935" w:rsidP="00E24DC9">
            <w:pPr>
              <w:jc w:val="center"/>
            </w:pPr>
          </w:p>
        </w:tc>
      </w:tr>
    </w:tbl>
    <w:p w14:paraId="5E0BE9B0" w14:textId="77777777" w:rsidR="004D1935" w:rsidRDefault="004D1935" w:rsidP="004D1935"/>
    <w:p w14:paraId="0A10EFB7" w14:textId="77777777" w:rsidR="004D1935" w:rsidRDefault="004D1935" w:rsidP="004D1935"/>
    <w:p w14:paraId="46C8ECBD" w14:textId="77777777" w:rsidR="004D1935" w:rsidRDefault="004D1935" w:rsidP="004D1935"/>
    <w:p w14:paraId="252EDD69" w14:textId="77777777" w:rsidR="004D1935" w:rsidRDefault="004D1935" w:rsidP="004D1935"/>
    <w:p w14:paraId="11F0DB51" w14:textId="77777777" w:rsidR="004D1935" w:rsidRDefault="004D1935" w:rsidP="004D1935"/>
    <w:p w14:paraId="601A618E" w14:textId="6CAB9BBC" w:rsidR="004D1935" w:rsidRDefault="004D1935" w:rsidP="004D1935"/>
    <w:p w14:paraId="0E8267F2" w14:textId="77777777" w:rsidR="004D1935" w:rsidRDefault="004D1935" w:rsidP="004D1935"/>
    <w:p w14:paraId="6F1D6817" w14:textId="77777777" w:rsidR="004D1935" w:rsidRDefault="004D1935" w:rsidP="004D1935"/>
    <w:p w14:paraId="562F1C96" w14:textId="77777777" w:rsidR="004D1935" w:rsidRPr="00251B92" w:rsidRDefault="004D1935" w:rsidP="004D1935">
      <w:pPr>
        <w:autoSpaceDE w:val="0"/>
        <w:autoSpaceDN w:val="0"/>
        <w:adjustRightInd w:val="0"/>
        <w:rPr>
          <w:rFonts w:eastAsiaTheme="minorHAnsi"/>
          <w:sz w:val="16"/>
          <w:szCs w:val="16"/>
        </w:rPr>
      </w:pPr>
      <w:r>
        <w:rPr>
          <w:rFonts w:eastAsiaTheme="minorHAnsi"/>
          <w:sz w:val="16"/>
          <w:szCs w:val="16"/>
        </w:rPr>
        <w:lastRenderedPageBreak/>
        <w:t>Table A 4.11: Discriminant mass bins (146) in root aqueous phase and their associated detected masses looking for compound identification accounts for protonated adduct (H) and K, NA</w:t>
      </w:r>
      <w:r w:rsidRPr="00396597">
        <w:rPr>
          <w:rFonts w:eastAsiaTheme="minorHAnsi"/>
          <w:sz w:val="16"/>
          <w:szCs w:val="16"/>
        </w:rPr>
        <w:t xml:space="preserve"> </w:t>
      </w:r>
      <w:r>
        <w:rPr>
          <w:rFonts w:eastAsiaTheme="minorHAnsi"/>
          <w:sz w:val="16"/>
          <w:szCs w:val="16"/>
        </w:rPr>
        <w:t>in positive mode in the analysis. The putatively identified compounds, their chemical groups, and the associated pathways are displayed.</w:t>
      </w:r>
    </w:p>
    <w:tbl>
      <w:tblPr>
        <w:tblStyle w:val="TableGrid"/>
        <w:tblW w:w="0" w:type="auto"/>
        <w:tblLook w:val="04A0" w:firstRow="1" w:lastRow="0" w:firstColumn="1" w:lastColumn="0" w:noHBand="0" w:noVBand="1"/>
      </w:tblPr>
      <w:tblGrid>
        <w:gridCol w:w="1472"/>
        <w:gridCol w:w="798"/>
        <w:gridCol w:w="1727"/>
        <w:gridCol w:w="2122"/>
        <w:gridCol w:w="991"/>
        <w:gridCol w:w="5840"/>
      </w:tblGrid>
      <w:tr w:rsidR="004D1935" w14:paraId="5FF8AB0C" w14:textId="77777777" w:rsidTr="00E24DC9">
        <w:tc>
          <w:tcPr>
            <w:tcW w:w="1479" w:type="dxa"/>
            <w:vAlign w:val="center"/>
          </w:tcPr>
          <w:p w14:paraId="6868856D" w14:textId="77777777" w:rsidR="004D1935" w:rsidRPr="00F1161C" w:rsidRDefault="004D1935" w:rsidP="00E24DC9">
            <w:pPr>
              <w:jc w:val="center"/>
              <w:rPr>
                <w:sz w:val="16"/>
                <w:szCs w:val="16"/>
              </w:rPr>
            </w:pPr>
            <w:r w:rsidRPr="00F1161C">
              <w:rPr>
                <w:sz w:val="16"/>
                <w:szCs w:val="16"/>
              </w:rPr>
              <w:t>Adduct</w:t>
            </w:r>
          </w:p>
        </w:tc>
        <w:tc>
          <w:tcPr>
            <w:tcW w:w="798" w:type="dxa"/>
            <w:tcBorders>
              <w:bottom w:val="single" w:sz="4" w:space="0" w:color="auto"/>
            </w:tcBorders>
            <w:vAlign w:val="center"/>
          </w:tcPr>
          <w:p w14:paraId="0CD385C3" w14:textId="77777777" w:rsidR="004D1935" w:rsidRPr="00CF64A4" w:rsidRDefault="004D1935" w:rsidP="00E24DC9">
            <w:pPr>
              <w:jc w:val="center"/>
              <w:rPr>
                <w:sz w:val="13"/>
                <w:szCs w:val="13"/>
              </w:rPr>
            </w:pPr>
            <w:r w:rsidRPr="00CF64A4">
              <w:rPr>
                <w:sz w:val="13"/>
                <w:szCs w:val="13"/>
              </w:rPr>
              <w:t>Mass detected</w:t>
            </w:r>
          </w:p>
        </w:tc>
        <w:tc>
          <w:tcPr>
            <w:tcW w:w="1687" w:type="dxa"/>
            <w:vAlign w:val="center"/>
          </w:tcPr>
          <w:p w14:paraId="29BF312E" w14:textId="77777777" w:rsidR="004D1935" w:rsidRPr="00F1161C" w:rsidRDefault="004D1935" w:rsidP="00E24DC9">
            <w:pPr>
              <w:jc w:val="center"/>
              <w:rPr>
                <w:sz w:val="16"/>
                <w:szCs w:val="16"/>
              </w:rPr>
            </w:pPr>
            <w:r w:rsidRPr="00F1161C">
              <w:rPr>
                <w:rFonts w:asciiTheme="majorBidi" w:hAnsiTheme="majorBidi" w:cstheme="majorBidi"/>
                <w:color w:val="000000" w:themeColor="text1"/>
                <w:sz w:val="16"/>
                <w:szCs w:val="16"/>
              </w:rPr>
              <w:t>COMPOUNDS NAME</w:t>
            </w:r>
          </w:p>
        </w:tc>
        <w:tc>
          <w:tcPr>
            <w:tcW w:w="2127" w:type="dxa"/>
            <w:vAlign w:val="center"/>
          </w:tcPr>
          <w:p w14:paraId="26CE730D" w14:textId="77777777" w:rsidR="004D1935" w:rsidRPr="00F1161C" w:rsidRDefault="004D1935" w:rsidP="00E24DC9">
            <w:pPr>
              <w:jc w:val="center"/>
              <w:rPr>
                <w:sz w:val="16"/>
                <w:szCs w:val="16"/>
              </w:rPr>
            </w:pPr>
            <w:r w:rsidRPr="00F1161C">
              <w:rPr>
                <w:rFonts w:asciiTheme="majorBidi" w:hAnsiTheme="majorBidi" w:cstheme="majorBidi"/>
                <w:color w:val="000000" w:themeColor="text1"/>
                <w:sz w:val="16"/>
                <w:szCs w:val="16"/>
              </w:rPr>
              <w:t>chemical formula</w:t>
            </w:r>
          </w:p>
        </w:tc>
        <w:tc>
          <w:tcPr>
            <w:tcW w:w="992" w:type="dxa"/>
            <w:vAlign w:val="center"/>
          </w:tcPr>
          <w:p w14:paraId="59207C2F" w14:textId="77777777" w:rsidR="004D1935" w:rsidRPr="00F1161C" w:rsidRDefault="004D1935" w:rsidP="00E24DC9">
            <w:pPr>
              <w:jc w:val="center"/>
              <w:rPr>
                <w:sz w:val="16"/>
                <w:szCs w:val="16"/>
              </w:rPr>
            </w:pPr>
            <w:r w:rsidRPr="00F1161C">
              <w:rPr>
                <w:rFonts w:asciiTheme="majorBidi" w:hAnsiTheme="majorBidi" w:cstheme="majorBidi"/>
                <w:color w:val="000000" w:themeColor="text1"/>
                <w:sz w:val="16"/>
                <w:szCs w:val="16"/>
              </w:rPr>
              <w:t>chemical group</w:t>
            </w:r>
          </w:p>
        </w:tc>
        <w:tc>
          <w:tcPr>
            <w:tcW w:w="5867" w:type="dxa"/>
            <w:vAlign w:val="center"/>
          </w:tcPr>
          <w:p w14:paraId="4E48F555" w14:textId="77777777" w:rsidR="004D1935" w:rsidRPr="00F1161C" w:rsidRDefault="004D1935" w:rsidP="00E24DC9">
            <w:pPr>
              <w:jc w:val="center"/>
              <w:rPr>
                <w:sz w:val="16"/>
                <w:szCs w:val="16"/>
              </w:rPr>
            </w:pPr>
            <w:r w:rsidRPr="00F1161C">
              <w:rPr>
                <w:rFonts w:asciiTheme="majorBidi" w:hAnsiTheme="majorBidi" w:cstheme="majorBidi"/>
                <w:color w:val="000000" w:themeColor="text1"/>
                <w:sz w:val="16"/>
                <w:szCs w:val="16"/>
              </w:rPr>
              <w:t>pathway</w:t>
            </w:r>
          </w:p>
        </w:tc>
      </w:tr>
      <w:tr w:rsidR="004D1935" w:rsidRPr="008A7867" w14:paraId="4329BCF9" w14:textId="77777777" w:rsidTr="00E24DC9">
        <w:tc>
          <w:tcPr>
            <w:tcW w:w="1479" w:type="dxa"/>
            <w:vMerge w:val="restart"/>
            <w:vAlign w:val="center"/>
          </w:tcPr>
          <w:p w14:paraId="61C6DE26" w14:textId="77777777" w:rsidR="004D1935" w:rsidRPr="008A7867" w:rsidRDefault="004D1935" w:rsidP="00E24DC9">
            <w:pPr>
              <w:jc w:val="center"/>
              <w:rPr>
                <w:color w:val="000000" w:themeColor="text1"/>
              </w:rPr>
            </w:pPr>
          </w:p>
        </w:tc>
        <w:tc>
          <w:tcPr>
            <w:tcW w:w="798" w:type="dxa"/>
            <w:tcBorders>
              <w:bottom w:val="nil"/>
            </w:tcBorders>
            <w:vAlign w:val="center"/>
          </w:tcPr>
          <w:p w14:paraId="25453C23" w14:textId="77777777" w:rsidR="004D1935" w:rsidRPr="008A7867" w:rsidRDefault="004D1935" w:rsidP="00E24DC9">
            <w:pPr>
              <w:jc w:val="center"/>
              <w:rPr>
                <w:color w:val="000000" w:themeColor="text1"/>
                <w:sz w:val="13"/>
                <w:szCs w:val="13"/>
              </w:rPr>
            </w:pPr>
            <w:r w:rsidRPr="008A7867">
              <w:rPr>
                <w:rFonts w:ascii="Calibri" w:hAnsi="Calibri" w:cs="Calibri"/>
                <w:color w:val="000000" w:themeColor="text1"/>
                <w:sz w:val="13"/>
                <w:szCs w:val="13"/>
              </w:rPr>
              <w:t>146.9288</w:t>
            </w:r>
          </w:p>
        </w:tc>
        <w:tc>
          <w:tcPr>
            <w:tcW w:w="1687" w:type="dxa"/>
            <w:vMerge w:val="restart"/>
            <w:vAlign w:val="center"/>
          </w:tcPr>
          <w:p w14:paraId="6C20C681" w14:textId="77777777" w:rsidR="004D1935" w:rsidRPr="008A7867" w:rsidRDefault="004D1935" w:rsidP="00E24DC9">
            <w:pPr>
              <w:jc w:val="center"/>
              <w:rPr>
                <w:color w:val="000000" w:themeColor="text1"/>
              </w:rPr>
            </w:pPr>
          </w:p>
          <w:p w14:paraId="406C411E" w14:textId="77777777" w:rsidR="004D1935" w:rsidRPr="008A7867" w:rsidRDefault="004D1935" w:rsidP="00E24DC9">
            <w:pPr>
              <w:jc w:val="center"/>
              <w:rPr>
                <w:color w:val="000000" w:themeColor="text1"/>
              </w:rPr>
            </w:pPr>
          </w:p>
          <w:p w14:paraId="140AF84A" w14:textId="77777777" w:rsidR="004D1935" w:rsidRPr="008A7867" w:rsidRDefault="004D1935" w:rsidP="00E24DC9">
            <w:pPr>
              <w:jc w:val="center"/>
              <w:rPr>
                <w:color w:val="000000" w:themeColor="text1"/>
              </w:rPr>
            </w:pPr>
          </w:p>
          <w:p w14:paraId="03E3E0F0" w14:textId="77777777" w:rsidR="004D1935" w:rsidRPr="008A7867" w:rsidRDefault="004D1935" w:rsidP="00E24DC9">
            <w:pPr>
              <w:jc w:val="center"/>
              <w:rPr>
                <w:color w:val="000000" w:themeColor="text1"/>
              </w:rPr>
            </w:pPr>
          </w:p>
          <w:p w14:paraId="5839178D" w14:textId="77777777" w:rsidR="004D1935" w:rsidRPr="008A7867" w:rsidRDefault="004D1935" w:rsidP="00E24DC9">
            <w:pPr>
              <w:jc w:val="center"/>
              <w:rPr>
                <w:color w:val="000000" w:themeColor="text1"/>
              </w:rPr>
            </w:pPr>
          </w:p>
          <w:p w14:paraId="21495730" w14:textId="77777777" w:rsidR="004D1935" w:rsidRPr="008A7867" w:rsidRDefault="004D1935" w:rsidP="00E24DC9">
            <w:pPr>
              <w:jc w:val="center"/>
              <w:rPr>
                <w:color w:val="000000" w:themeColor="text1"/>
              </w:rPr>
            </w:pPr>
          </w:p>
          <w:p w14:paraId="15A2938C" w14:textId="77777777" w:rsidR="004D1935" w:rsidRPr="008A7867" w:rsidRDefault="004D1935" w:rsidP="00E24DC9">
            <w:pPr>
              <w:jc w:val="center"/>
              <w:rPr>
                <w:color w:val="000000" w:themeColor="text1"/>
              </w:rPr>
            </w:pPr>
          </w:p>
          <w:p w14:paraId="190323CD" w14:textId="77777777" w:rsidR="004D1935" w:rsidRPr="008A7867" w:rsidRDefault="004D1935" w:rsidP="00E24DC9">
            <w:pPr>
              <w:jc w:val="center"/>
              <w:rPr>
                <w:color w:val="000000" w:themeColor="text1"/>
              </w:rPr>
            </w:pPr>
          </w:p>
          <w:p w14:paraId="28811CF5" w14:textId="77777777" w:rsidR="004D1935" w:rsidRPr="008A7867" w:rsidRDefault="004D1935" w:rsidP="00E24DC9">
            <w:pPr>
              <w:jc w:val="center"/>
              <w:rPr>
                <w:color w:val="000000" w:themeColor="text1"/>
              </w:rPr>
            </w:pPr>
          </w:p>
          <w:p w14:paraId="7C40A04B" w14:textId="77777777" w:rsidR="004D1935" w:rsidRPr="008A7867" w:rsidRDefault="004D1935" w:rsidP="00E24DC9">
            <w:pPr>
              <w:jc w:val="center"/>
              <w:rPr>
                <w:color w:val="000000" w:themeColor="text1"/>
              </w:rPr>
            </w:pPr>
          </w:p>
          <w:p w14:paraId="56524D6A" w14:textId="77777777" w:rsidR="004D1935" w:rsidRPr="008A7867" w:rsidRDefault="004D1935" w:rsidP="00E24DC9">
            <w:pPr>
              <w:jc w:val="center"/>
              <w:rPr>
                <w:color w:val="000000" w:themeColor="text1"/>
              </w:rPr>
            </w:pPr>
          </w:p>
          <w:p w14:paraId="2E70B234" w14:textId="77777777" w:rsidR="004D1935" w:rsidRPr="008A7867" w:rsidRDefault="004D1935" w:rsidP="00E24DC9">
            <w:pPr>
              <w:jc w:val="center"/>
              <w:rPr>
                <w:color w:val="000000" w:themeColor="text1"/>
              </w:rPr>
            </w:pPr>
          </w:p>
          <w:p w14:paraId="34712E70" w14:textId="77777777" w:rsidR="004D1935" w:rsidRPr="008A7867" w:rsidRDefault="004D1935" w:rsidP="00E24DC9">
            <w:pPr>
              <w:jc w:val="center"/>
              <w:rPr>
                <w:color w:val="000000" w:themeColor="text1"/>
              </w:rPr>
            </w:pPr>
          </w:p>
          <w:p w14:paraId="750F4558" w14:textId="77777777" w:rsidR="004D1935" w:rsidRPr="008A7867" w:rsidRDefault="004D1935" w:rsidP="00E24DC9">
            <w:pPr>
              <w:jc w:val="center"/>
              <w:rPr>
                <w:color w:val="000000" w:themeColor="text1"/>
              </w:rPr>
            </w:pPr>
          </w:p>
          <w:p w14:paraId="65E425D2" w14:textId="77777777" w:rsidR="004D1935" w:rsidRPr="008A7867" w:rsidRDefault="00000000" w:rsidP="00E24DC9">
            <w:pPr>
              <w:jc w:val="center"/>
              <w:rPr>
                <w:color w:val="000000" w:themeColor="text1"/>
              </w:rPr>
            </w:pPr>
            <w:hyperlink r:id="rId114" w:history="1">
              <w:r w:rsidR="004D1935" w:rsidRPr="008A7867">
                <w:rPr>
                  <w:rFonts w:ascii="Calibri" w:hAnsi="Calibri" w:cs="Calibri"/>
                  <w:color w:val="000000" w:themeColor="text1"/>
                  <w:sz w:val="15"/>
                  <w:szCs w:val="15"/>
                </w:rPr>
                <w:t>L-glutamine</w:t>
              </w:r>
            </w:hyperlink>
          </w:p>
          <w:p w14:paraId="7C8BD602" w14:textId="77777777" w:rsidR="004D1935" w:rsidRPr="008A7867" w:rsidRDefault="00000000" w:rsidP="00E24DC9">
            <w:pPr>
              <w:jc w:val="center"/>
              <w:rPr>
                <w:color w:val="000000" w:themeColor="text1"/>
              </w:rPr>
            </w:pPr>
            <w:hyperlink r:id="rId115" w:history="1">
              <w:r w:rsidR="004D1935" w:rsidRPr="008A7867">
                <w:rPr>
                  <w:rFonts w:ascii="Calibri" w:hAnsi="Calibri" w:cs="Calibri"/>
                  <w:color w:val="000000" w:themeColor="text1"/>
                  <w:sz w:val="15"/>
                  <w:szCs w:val="15"/>
                </w:rPr>
                <w:t>D-glutamine</w:t>
              </w:r>
            </w:hyperlink>
          </w:p>
          <w:p w14:paraId="1B9DFA13" w14:textId="77777777" w:rsidR="004D1935" w:rsidRPr="008A7867" w:rsidRDefault="004D1935" w:rsidP="00E24DC9">
            <w:pPr>
              <w:jc w:val="center"/>
              <w:rPr>
                <w:color w:val="000000" w:themeColor="text1"/>
              </w:rPr>
            </w:pPr>
          </w:p>
          <w:p w14:paraId="168F5B62" w14:textId="77777777" w:rsidR="004D1935" w:rsidRPr="008A7867" w:rsidRDefault="004D1935" w:rsidP="00E24DC9">
            <w:pPr>
              <w:jc w:val="center"/>
              <w:rPr>
                <w:color w:val="000000" w:themeColor="text1"/>
              </w:rPr>
            </w:pPr>
          </w:p>
          <w:p w14:paraId="14B18616" w14:textId="77777777" w:rsidR="004D1935" w:rsidRPr="008A7867" w:rsidRDefault="004D1935" w:rsidP="00E24DC9">
            <w:pPr>
              <w:jc w:val="center"/>
              <w:rPr>
                <w:color w:val="000000" w:themeColor="text1"/>
              </w:rPr>
            </w:pPr>
          </w:p>
          <w:p w14:paraId="7971B867" w14:textId="77777777" w:rsidR="004D1935" w:rsidRPr="008A7867" w:rsidRDefault="004D1935" w:rsidP="00E24DC9">
            <w:pPr>
              <w:jc w:val="center"/>
              <w:rPr>
                <w:color w:val="000000" w:themeColor="text1"/>
              </w:rPr>
            </w:pPr>
          </w:p>
          <w:p w14:paraId="1ABC5363" w14:textId="77777777" w:rsidR="004D1935" w:rsidRPr="008A7867" w:rsidRDefault="004D1935" w:rsidP="00E24DC9">
            <w:pPr>
              <w:jc w:val="center"/>
              <w:rPr>
                <w:color w:val="000000" w:themeColor="text1"/>
              </w:rPr>
            </w:pPr>
          </w:p>
          <w:p w14:paraId="45D7BC21" w14:textId="77777777" w:rsidR="004D1935" w:rsidRPr="008A7867" w:rsidRDefault="004D1935" w:rsidP="00E24DC9">
            <w:pPr>
              <w:jc w:val="center"/>
              <w:rPr>
                <w:color w:val="000000" w:themeColor="text1"/>
              </w:rPr>
            </w:pPr>
          </w:p>
          <w:p w14:paraId="00591C8D" w14:textId="77777777" w:rsidR="004D1935" w:rsidRPr="008A7867" w:rsidRDefault="004D1935" w:rsidP="00E24DC9">
            <w:pPr>
              <w:jc w:val="center"/>
              <w:rPr>
                <w:color w:val="000000" w:themeColor="text1"/>
              </w:rPr>
            </w:pPr>
          </w:p>
          <w:p w14:paraId="75A90989" w14:textId="77777777" w:rsidR="004D1935" w:rsidRPr="008A7867" w:rsidRDefault="004D1935" w:rsidP="00E24DC9">
            <w:pPr>
              <w:jc w:val="center"/>
              <w:rPr>
                <w:color w:val="000000" w:themeColor="text1"/>
              </w:rPr>
            </w:pPr>
          </w:p>
          <w:p w14:paraId="70DFD570" w14:textId="77777777" w:rsidR="004D1935" w:rsidRPr="008A7867" w:rsidRDefault="004D1935" w:rsidP="00E24DC9">
            <w:pPr>
              <w:jc w:val="center"/>
              <w:rPr>
                <w:color w:val="000000" w:themeColor="text1"/>
              </w:rPr>
            </w:pPr>
          </w:p>
          <w:p w14:paraId="560C1DE6" w14:textId="77777777" w:rsidR="004D1935" w:rsidRPr="008A7867" w:rsidRDefault="004D1935" w:rsidP="00E24DC9">
            <w:pPr>
              <w:jc w:val="center"/>
              <w:rPr>
                <w:color w:val="000000" w:themeColor="text1"/>
              </w:rPr>
            </w:pPr>
          </w:p>
          <w:p w14:paraId="29E3F645" w14:textId="77777777" w:rsidR="004D1935" w:rsidRPr="008A7867" w:rsidRDefault="004D1935" w:rsidP="00E24DC9">
            <w:pPr>
              <w:rPr>
                <w:color w:val="000000" w:themeColor="text1"/>
              </w:rPr>
            </w:pPr>
          </w:p>
          <w:p w14:paraId="296B7641" w14:textId="77777777" w:rsidR="004D1935" w:rsidRPr="008A7867" w:rsidRDefault="004D1935" w:rsidP="00E24DC9">
            <w:pPr>
              <w:jc w:val="center"/>
              <w:rPr>
                <w:color w:val="000000" w:themeColor="text1"/>
              </w:rPr>
            </w:pPr>
          </w:p>
          <w:p w14:paraId="1AA47681" w14:textId="77777777" w:rsidR="004D1935" w:rsidRPr="008A7867" w:rsidRDefault="004D1935" w:rsidP="00E24DC9">
            <w:pPr>
              <w:jc w:val="center"/>
              <w:rPr>
                <w:color w:val="000000" w:themeColor="text1"/>
              </w:rPr>
            </w:pPr>
          </w:p>
          <w:p w14:paraId="3262F301" w14:textId="77777777" w:rsidR="004D1935" w:rsidRPr="008A7867" w:rsidRDefault="004D1935" w:rsidP="00E24DC9">
            <w:pPr>
              <w:jc w:val="center"/>
              <w:rPr>
                <w:color w:val="000000" w:themeColor="text1"/>
              </w:rPr>
            </w:pPr>
          </w:p>
        </w:tc>
        <w:tc>
          <w:tcPr>
            <w:tcW w:w="2127" w:type="dxa"/>
            <w:vMerge w:val="restart"/>
            <w:vAlign w:val="center"/>
          </w:tcPr>
          <w:p w14:paraId="1911336D" w14:textId="77777777" w:rsidR="004D1935" w:rsidRPr="008A7867" w:rsidRDefault="004D1935" w:rsidP="00E24DC9">
            <w:pPr>
              <w:jc w:val="center"/>
              <w:rPr>
                <w:color w:val="000000" w:themeColor="text1"/>
              </w:rPr>
            </w:pPr>
            <w:r w:rsidRPr="008A7867">
              <w:rPr>
                <w:rFonts w:ascii="Calibri" w:hAnsi="Calibri" w:cs="Calibri"/>
                <w:color w:val="000000" w:themeColor="text1"/>
                <w:sz w:val="15"/>
                <w:szCs w:val="15"/>
              </w:rPr>
              <w:t>amino acid</w:t>
            </w:r>
          </w:p>
          <w:p w14:paraId="43EE89B4" w14:textId="77777777" w:rsidR="004D1935" w:rsidRPr="008A7867" w:rsidRDefault="004D1935" w:rsidP="00E24DC9">
            <w:pPr>
              <w:jc w:val="center"/>
              <w:rPr>
                <w:color w:val="000000" w:themeColor="text1"/>
              </w:rPr>
            </w:pPr>
            <w:r w:rsidRPr="008A7867">
              <w:rPr>
                <w:rFonts w:ascii="Calibri" w:hAnsi="Calibri" w:cs="Calibri"/>
                <w:color w:val="000000" w:themeColor="text1"/>
                <w:sz w:val="15"/>
                <w:szCs w:val="15"/>
              </w:rPr>
              <w:t>amino acid</w:t>
            </w:r>
          </w:p>
        </w:tc>
        <w:tc>
          <w:tcPr>
            <w:tcW w:w="992" w:type="dxa"/>
            <w:vMerge w:val="restart"/>
            <w:vAlign w:val="center"/>
          </w:tcPr>
          <w:p w14:paraId="3125A591" w14:textId="77777777" w:rsidR="004D1935" w:rsidRPr="008A7867" w:rsidRDefault="004D1935" w:rsidP="00E24DC9">
            <w:pPr>
              <w:jc w:val="center"/>
              <w:rPr>
                <w:color w:val="000000" w:themeColor="text1"/>
              </w:rPr>
            </w:pPr>
            <w:r w:rsidRPr="008A7867">
              <w:rPr>
                <w:rFonts w:ascii="Arial" w:hAnsi="Arial" w:cs="Arial"/>
                <w:b/>
                <w:bCs/>
                <w:color w:val="000000" w:themeColor="text1"/>
                <w:sz w:val="10"/>
                <w:szCs w:val="10"/>
                <w:shd w:val="clear" w:color="auto" w:fill="FFFFFF"/>
              </w:rPr>
              <w:t>C</w:t>
            </w:r>
            <w:r w:rsidRPr="008A7867">
              <w:rPr>
                <w:rFonts w:ascii="Arial" w:hAnsi="Arial" w:cs="Arial"/>
                <w:b/>
                <w:bCs/>
                <w:color w:val="000000" w:themeColor="text1"/>
                <w:sz w:val="10"/>
                <w:szCs w:val="10"/>
                <w:shd w:val="clear" w:color="auto" w:fill="FFFFFF"/>
                <w:vertAlign w:val="subscript"/>
              </w:rPr>
              <w:t>5</w:t>
            </w:r>
            <w:r w:rsidRPr="008A7867">
              <w:rPr>
                <w:rFonts w:ascii="Arial" w:hAnsi="Arial" w:cs="Arial"/>
                <w:b/>
                <w:bCs/>
                <w:color w:val="000000" w:themeColor="text1"/>
                <w:sz w:val="10"/>
                <w:szCs w:val="10"/>
                <w:shd w:val="clear" w:color="auto" w:fill="FFFFFF"/>
              </w:rPr>
              <w:t>H</w:t>
            </w:r>
            <w:r w:rsidRPr="008A7867">
              <w:rPr>
                <w:rFonts w:ascii="Arial" w:hAnsi="Arial" w:cs="Arial"/>
                <w:b/>
                <w:bCs/>
                <w:color w:val="000000" w:themeColor="text1"/>
                <w:sz w:val="10"/>
                <w:szCs w:val="10"/>
                <w:shd w:val="clear" w:color="auto" w:fill="FFFFFF"/>
                <w:vertAlign w:val="subscript"/>
              </w:rPr>
              <w:t>10</w:t>
            </w:r>
            <w:r w:rsidRPr="008A7867">
              <w:rPr>
                <w:rFonts w:ascii="Arial" w:hAnsi="Arial" w:cs="Arial"/>
                <w:b/>
                <w:bCs/>
                <w:color w:val="000000" w:themeColor="text1"/>
                <w:sz w:val="10"/>
                <w:szCs w:val="10"/>
                <w:shd w:val="clear" w:color="auto" w:fill="FFFFFF"/>
              </w:rPr>
              <w:t>N</w:t>
            </w:r>
            <w:r w:rsidRPr="008A7867">
              <w:rPr>
                <w:rFonts w:ascii="Arial" w:hAnsi="Arial" w:cs="Arial"/>
                <w:b/>
                <w:bCs/>
                <w:color w:val="000000" w:themeColor="text1"/>
                <w:sz w:val="10"/>
                <w:szCs w:val="10"/>
                <w:shd w:val="clear" w:color="auto" w:fill="FFFFFF"/>
                <w:vertAlign w:val="subscript"/>
              </w:rPr>
              <w:t>2</w:t>
            </w:r>
            <w:r w:rsidRPr="008A7867">
              <w:rPr>
                <w:rFonts w:ascii="Arial" w:hAnsi="Arial" w:cs="Arial"/>
                <w:b/>
                <w:bCs/>
                <w:color w:val="000000" w:themeColor="text1"/>
                <w:sz w:val="10"/>
                <w:szCs w:val="10"/>
                <w:shd w:val="clear" w:color="auto" w:fill="FFFFFF"/>
              </w:rPr>
              <w:t>O</w:t>
            </w:r>
            <w:r w:rsidRPr="008A7867">
              <w:rPr>
                <w:rFonts w:ascii="Arial" w:hAnsi="Arial" w:cs="Arial"/>
                <w:b/>
                <w:bCs/>
                <w:color w:val="000000" w:themeColor="text1"/>
                <w:sz w:val="10"/>
                <w:szCs w:val="10"/>
                <w:shd w:val="clear" w:color="auto" w:fill="FFFFFF"/>
                <w:vertAlign w:val="subscript"/>
              </w:rPr>
              <w:t>3</w:t>
            </w:r>
          </w:p>
          <w:p w14:paraId="0C4D8A17" w14:textId="77777777" w:rsidR="004D1935" w:rsidRPr="008A7867" w:rsidRDefault="004D1935" w:rsidP="00E24DC9">
            <w:pPr>
              <w:jc w:val="center"/>
              <w:rPr>
                <w:b/>
                <w:bCs/>
                <w:color w:val="000000" w:themeColor="text1"/>
                <w:sz w:val="10"/>
                <w:szCs w:val="10"/>
              </w:rPr>
            </w:pPr>
            <w:r w:rsidRPr="008A7867">
              <w:rPr>
                <w:rFonts w:ascii="Arial" w:hAnsi="Arial" w:cs="Arial"/>
                <w:b/>
                <w:bCs/>
                <w:color w:val="000000" w:themeColor="text1"/>
                <w:sz w:val="10"/>
                <w:szCs w:val="10"/>
                <w:shd w:val="clear" w:color="auto" w:fill="FFFFFF"/>
              </w:rPr>
              <w:t>C</w:t>
            </w:r>
            <w:r w:rsidRPr="008A7867">
              <w:rPr>
                <w:rFonts w:ascii="Arial" w:hAnsi="Arial" w:cs="Arial"/>
                <w:b/>
                <w:bCs/>
                <w:color w:val="000000" w:themeColor="text1"/>
                <w:sz w:val="10"/>
                <w:szCs w:val="10"/>
                <w:shd w:val="clear" w:color="auto" w:fill="FFFFFF"/>
                <w:vertAlign w:val="subscript"/>
              </w:rPr>
              <w:t>5</w:t>
            </w:r>
            <w:r w:rsidRPr="008A7867">
              <w:rPr>
                <w:rFonts w:ascii="Arial" w:hAnsi="Arial" w:cs="Arial"/>
                <w:b/>
                <w:bCs/>
                <w:color w:val="000000" w:themeColor="text1"/>
                <w:sz w:val="10"/>
                <w:szCs w:val="10"/>
                <w:shd w:val="clear" w:color="auto" w:fill="FFFFFF"/>
              </w:rPr>
              <w:t>H</w:t>
            </w:r>
            <w:r w:rsidRPr="008A7867">
              <w:rPr>
                <w:rFonts w:ascii="Arial" w:hAnsi="Arial" w:cs="Arial"/>
                <w:b/>
                <w:bCs/>
                <w:color w:val="000000" w:themeColor="text1"/>
                <w:sz w:val="10"/>
                <w:szCs w:val="10"/>
                <w:shd w:val="clear" w:color="auto" w:fill="FFFFFF"/>
                <w:vertAlign w:val="subscript"/>
              </w:rPr>
              <w:t>10</w:t>
            </w:r>
            <w:r w:rsidRPr="008A7867">
              <w:rPr>
                <w:rFonts w:ascii="Arial" w:hAnsi="Arial" w:cs="Arial"/>
                <w:b/>
                <w:bCs/>
                <w:color w:val="000000" w:themeColor="text1"/>
                <w:sz w:val="10"/>
                <w:szCs w:val="10"/>
                <w:shd w:val="clear" w:color="auto" w:fill="FFFFFF"/>
              </w:rPr>
              <w:t>N</w:t>
            </w:r>
            <w:r w:rsidRPr="008A7867">
              <w:rPr>
                <w:rFonts w:ascii="Arial" w:hAnsi="Arial" w:cs="Arial"/>
                <w:b/>
                <w:bCs/>
                <w:color w:val="000000" w:themeColor="text1"/>
                <w:sz w:val="10"/>
                <w:szCs w:val="10"/>
                <w:shd w:val="clear" w:color="auto" w:fill="FFFFFF"/>
                <w:vertAlign w:val="subscript"/>
              </w:rPr>
              <w:t>2</w:t>
            </w:r>
            <w:r w:rsidRPr="008A7867">
              <w:rPr>
                <w:rFonts w:ascii="Arial" w:hAnsi="Arial" w:cs="Arial"/>
                <w:b/>
                <w:bCs/>
                <w:color w:val="000000" w:themeColor="text1"/>
                <w:sz w:val="10"/>
                <w:szCs w:val="10"/>
                <w:shd w:val="clear" w:color="auto" w:fill="FFFFFF"/>
              </w:rPr>
              <w:t>O</w:t>
            </w:r>
            <w:r w:rsidRPr="008A7867">
              <w:rPr>
                <w:rFonts w:ascii="Arial" w:hAnsi="Arial" w:cs="Arial"/>
                <w:b/>
                <w:bCs/>
                <w:color w:val="000000" w:themeColor="text1"/>
                <w:sz w:val="10"/>
                <w:szCs w:val="10"/>
                <w:shd w:val="clear" w:color="auto" w:fill="FFFFFF"/>
                <w:vertAlign w:val="subscript"/>
              </w:rPr>
              <w:t>3</w:t>
            </w:r>
          </w:p>
          <w:p w14:paraId="15B742BD" w14:textId="77777777" w:rsidR="004D1935" w:rsidRPr="008A7867" w:rsidRDefault="004D1935" w:rsidP="00E24DC9">
            <w:pPr>
              <w:jc w:val="center"/>
              <w:rPr>
                <w:color w:val="000000" w:themeColor="text1"/>
              </w:rPr>
            </w:pPr>
          </w:p>
        </w:tc>
        <w:tc>
          <w:tcPr>
            <w:tcW w:w="5867" w:type="dxa"/>
            <w:vMerge w:val="restart"/>
            <w:vAlign w:val="center"/>
          </w:tcPr>
          <w:p w14:paraId="328810D9" w14:textId="77777777" w:rsidR="004D1935" w:rsidRPr="008A7867" w:rsidRDefault="004D1935" w:rsidP="00E24DC9">
            <w:pPr>
              <w:jc w:val="center"/>
              <w:rPr>
                <w:color w:val="000000" w:themeColor="text1"/>
              </w:rPr>
            </w:pPr>
            <w:r w:rsidRPr="008A7867">
              <w:rPr>
                <w:rFonts w:ascii="Calibri" w:hAnsi="Calibri" w:cs="Calibri"/>
                <w:color w:val="000000" w:themeColor="text1"/>
                <w:sz w:val="11"/>
                <w:szCs w:val="11"/>
              </w:rPr>
              <w:t>Pyrimidine/Purine /Alanine, aspartate and glutamate /Arginine  metabolism/jasmonic acid pathway/Riboflavin/Flavanone/Flavonoid/Abscisic acid biosynthesis/Shikimate/fatty acid</w:t>
            </w:r>
          </w:p>
          <w:p w14:paraId="28FB138C" w14:textId="77777777" w:rsidR="004D1935" w:rsidRPr="008A7867" w:rsidRDefault="004D1935" w:rsidP="00E24DC9">
            <w:pPr>
              <w:jc w:val="center"/>
              <w:rPr>
                <w:color w:val="000000" w:themeColor="text1"/>
              </w:rPr>
            </w:pPr>
            <w:r w:rsidRPr="008A7867">
              <w:rPr>
                <w:rFonts w:ascii="Calibri" w:hAnsi="Calibri" w:cs="Calibri"/>
                <w:color w:val="000000" w:themeColor="text1"/>
                <w:sz w:val="11"/>
                <w:szCs w:val="11"/>
              </w:rPr>
              <w:t>Amino sugar and nucleotide sugar metabolism /Cyanoamino acid /Alanine, aspartate and glutamate metabolism /jasmonic acid pathway/Riboflavin/Flavanone/Flavonoid/Abscisic acid biosynthesis/Shikimate/fatty acid</w:t>
            </w:r>
          </w:p>
        </w:tc>
      </w:tr>
      <w:tr w:rsidR="004D1935" w14:paraId="3DD34BC8" w14:textId="77777777" w:rsidTr="00E24DC9">
        <w:tc>
          <w:tcPr>
            <w:tcW w:w="1479" w:type="dxa"/>
            <w:vMerge/>
            <w:vAlign w:val="center"/>
          </w:tcPr>
          <w:p w14:paraId="33437180" w14:textId="77777777" w:rsidR="004D1935" w:rsidRDefault="004D1935" w:rsidP="00E24DC9">
            <w:pPr>
              <w:jc w:val="center"/>
            </w:pPr>
          </w:p>
        </w:tc>
        <w:tc>
          <w:tcPr>
            <w:tcW w:w="798" w:type="dxa"/>
            <w:tcBorders>
              <w:top w:val="nil"/>
              <w:bottom w:val="nil"/>
            </w:tcBorders>
            <w:vAlign w:val="center"/>
          </w:tcPr>
          <w:p w14:paraId="3D661B8F" w14:textId="77777777" w:rsidR="004D1935" w:rsidRPr="00CF64A4" w:rsidRDefault="004D1935" w:rsidP="00E24DC9">
            <w:pPr>
              <w:jc w:val="center"/>
              <w:rPr>
                <w:sz w:val="13"/>
                <w:szCs w:val="13"/>
              </w:rPr>
            </w:pPr>
            <w:r w:rsidRPr="00CF64A4">
              <w:rPr>
                <w:rFonts w:ascii="Calibri" w:hAnsi="Calibri" w:cs="Calibri"/>
                <w:color w:val="000000"/>
                <w:sz w:val="13"/>
                <w:szCs w:val="13"/>
              </w:rPr>
              <w:t>146.9561</w:t>
            </w:r>
          </w:p>
        </w:tc>
        <w:tc>
          <w:tcPr>
            <w:tcW w:w="1687" w:type="dxa"/>
            <w:vMerge/>
            <w:vAlign w:val="center"/>
          </w:tcPr>
          <w:p w14:paraId="113C118C" w14:textId="77777777" w:rsidR="004D1935" w:rsidRDefault="004D1935" w:rsidP="00E24DC9">
            <w:pPr>
              <w:jc w:val="center"/>
            </w:pPr>
          </w:p>
        </w:tc>
        <w:tc>
          <w:tcPr>
            <w:tcW w:w="2127" w:type="dxa"/>
            <w:vMerge/>
            <w:vAlign w:val="center"/>
          </w:tcPr>
          <w:p w14:paraId="4879DE1B" w14:textId="77777777" w:rsidR="004D1935" w:rsidRDefault="004D1935" w:rsidP="00E24DC9">
            <w:pPr>
              <w:jc w:val="center"/>
            </w:pPr>
          </w:p>
        </w:tc>
        <w:tc>
          <w:tcPr>
            <w:tcW w:w="992" w:type="dxa"/>
            <w:vMerge/>
            <w:vAlign w:val="center"/>
          </w:tcPr>
          <w:p w14:paraId="064A9F22" w14:textId="77777777" w:rsidR="004D1935" w:rsidRDefault="004D1935" w:rsidP="00E24DC9">
            <w:pPr>
              <w:jc w:val="center"/>
            </w:pPr>
          </w:p>
        </w:tc>
        <w:tc>
          <w:tcPr>
            <w:tcW w:w="5867" w:type="dxa"/>
            <w:vMerge/>
            <w:vAlign w:val="center"/>
          </w:tcPr>
          <w:p w14:paraId="77C78F59" w14:textId="77777777" w:rsidR="004D1935" w:rsidRDefault="004D1935" w:rsidP="00E24DC9">
            <w:pPr>
              <w:jc w:val="center"/>
            </w:pPr>
          </w:p>
        </w:tc>
      </w:tr>
      <w:tr w:rsidR="004D1935" w14:paraId="78EE5445" w14:textId="77777777" w:rsidTr="00E24DC9">
        <w:tc>
          <w:tcPr>
            <w:tcW w:w="1479" w:type="dxa"/>
            <w:vMerge/>
            <w:vAlign w:val="center"/>
          </w:tcPr>
          <w:p w14:paraId="6E0F1AA2" w14:textId="77777777" w:rsidR="004D1935" w:rsidRDefault="004D1935" w:rsidP="00E24DC9">
            <w:pPr>
              <w:jc w:val="center"/>
            </w:pPr>
          </w:p>
        </w:tc>
        <w:tc>
          <w:tcPr>
            <w:tcW w:w="798" w:type="dxa"/>
            <w:tcBorders>
              <w:top w:val="nil"/>
              <w:bottom w:val="nil"/>
            </w:tcBorders>
            <w:vAlign w:val="center"/>
          </w:tcPr>
          <w:p w14:paraId="547DB708" w14:textId="77777777" w:rsidR="004D1935" w:rsidRPr="00CF64A4" w:rsidRDefault="004D1935" w:rsidP="00E24DC9">
            <w:pPr>
              <w:jc w:val="center"/>
              <w:rPr>
                <w:sz w:val="13"/>
                <w:szCs w:val="13"/>
              </w:rPr>
            </w:pPr>
            <w:r w:rsidRPr="00CF64A4">
              <w:rPr>
                <w:rFonts w:ascii="Calibri" w:hAnsi="Calibri" w:cs="Calibri"/>
                <w:color w:val="000000"/>
                <w:sz w:val="13"/>
                <w:szCs w:val="13"/>
              </w:rPr>
              <w:t>146.9835</w:t>
            </w:r>
          </w:p>
        </w:tc>
        <w:tc>
          <w:tcPr>
            <w:tcW w:w="1687" w:type="dxa"/>
            <w:vMerge/>
            <w:vAlign w:val="center"/>
          </w:tcPr>
          <w:p w14:paraId="75E3833F" w14:textId="77777777" w:rsidR="004D1935" w:rsidRDefault="004D1935" w:rsidP="00E24DC9">
            <w:pPr>
              <w:jc w:val="center"/>
            </w:pPr>
          </w:p>
        </w:tc>
        <w:tc>
          <w:tcPr>
            <w:tcW w:w="2127" w:type="dxa"/>
            <w:vMerge/>
            <w:vAlign w:val="center"/>
          </w:tcPr>
          <w:p w14:paraId="342F03D2" w14:textId="77777777" w:rsidR="004D1935" w:rsidRDefault="004D1935" w:rsidP="00E24DC9">
            <w:pPr>
              <w:jc w:val="center"/>
            </w:pPr>
          </w:p>
        </w:tc>
        <w:tc>
          <w:tcPr>
            <w:tcW w:w="992" w:type="dxa"/>
            <w:vMerge/>
            <w:vAlign w:val="center"/>
          </w:tcPr>
          <w:p w14:paraId="0AB2538D" w14:textId="77777777" w:rsidR="004D1935" w:rsidRDefault="004D1935" w:rsidP="00E24DC9">
            <w:pPr>
              <w:jc w:val="center"/>
            </w:pPr>
          </w:p>
        </w:tc>
        <w:tc>
          <w:tcPr>
            <w:tcW w:w="5867" w:type="dxa"/>
            <w:vMerge/>
            <w:vAlign w:val="center"/>
          </w:tcPr>
          <w:p w14:paraId="763C0DE7" w14:textId="77777777" w:rsidR="004D1935" w:rsidRDefault="004D1935" w:rsidP="00E24DC9">
            <w:pPr>
              <w:jc w:val="center"/>
            </w:pPr>
          </w:p>
        </w:tc>
      </w:tr>
      <w:tr w:rsidR="004D1935" w14:paraId="78073BEE" w14:textId="77777777" w:rsidTr="00E24DC9">
        <w:tc>
          <w:tcPr>
            <w:tcW w:w="1479" w:type="dxa"/>
            <w:vMerge/>
            <w:vAlign w:val="center"/>
          </w:tcPr>
          <w:p w14:paraId="6A23D6EC" w14:textId="77777777" w:rsidR="004D1935" w:rsidRDefault="004D1935" w:rsidP="00E24DC9">
            <w:pPr>
              <w:jc w:val="center"/>
            </w:pPr>
          </w:p>
        </w:tc>
        <w:tc>
          <w:tcPr>
            <w:tcW w:w="798" w:type="dxa"/>
            <w:tcBorders>
              <w:top w:val="nil"/>
              <w:bottom w:val="nil"/>
            </w:tcBorders>
            <w:vAlign w:val="center"/>
          </w:tcPr>
          <w:p w14:paraId="7BF8FF50" w14:textId="77777777" w:rsidR="004D1935" w:rsidRPr="00CF64A4" w:rsidRDefault="004D1935" w:rsidP="00E24DC9">
            <w:pPr>
              <w:jc w:val="center"/>
              <w:rPr>
                <w:sz w:val="13"/>
                <w:szCs w:val="13"/>
              </w:rPr>
            </w:pPr>
            <w:r w:rsidRPr="00CF64A4">
              <w:rPr>
                <w:rFonts w:ascii="Calibri" w:hAnsi="Calibri" w:cs="Calibri"/>
                <w:color w:val="000000"/>
                <w:sz w:val="13"/>
                <w:szCs w:val="13"/>
              </w:rPr>
              <w:t>147.0188</w:t>
            </w:r>
          </w:p>
        </w:tc>
        <w:tc>
          <w:tcPr>
            <w:tcW w:w="1687" w:type="dxa"/>
            <w:vMerge/>
            <w:vAlign w:val="center"/>
          </w:tcPr>
          <w:p w14:paraId="1A678944" w14:textId="77777777" w:rsidR="004D1935" w:rsidRDefault="004D1935" w:rsidP="00E24DC9">
            <w:pPr>
              <w:jc w:val="center"/>
            </w:pPr>
          </w:p>
        </w:tc>
        <w:tc>
          <w:tcPr>
            <w:tcW w:w="2127" w:type="dxa"/>
            <w:vMerge/>
            <w:vAlign w:val="center"/>
          </w:tcPr>
          <w:p w14:paraId="1109AA15" w14:textId="77777777" w:rsidR="004D1935" w:rsidRDefault="004D1935" w:rsidP="00E24DC9">
            <w:pPr>
              <w:jc w:val="center"/>
            </w:pPr>
          </w:p>
        </w:tc>
        <w:tc>
          <w:tcPr>
            <w:tcW w:w="992" w:type="dxa"/>
            <w:vMerge/>
            <w:vAlign w:val="center"/>
          </w:tcPr>
          <w:p w14:paraId="3ACE99D5" w14:textId="77777777" w:rsidR="004D1935" w:rsidRDefault="004D1935" w:rsidP="00E24DC9">
            <w:pPr>
              <w:jc w:val="center"/>
            </w:pPr>
          </w:p>
        </w:tc>
        <w:tc>
          <w:tcPr>
            <w:tcW w:w="5867" w:type="dxa"/>
            <w:vMerge/>
            <w:vAlign w:val="center"/>
          </w:tcPr>
          <w:p w14:paraId="22F04EAE" w14:textId="77777777" w:rsidR="004D1935" w:rsidRDefault="004D1935" w:rsidP="00E24DC9">
            <w:pPr>
              <w:jc w:val="center"/>
            </w:pPr>
          </w:p>
        </w:tc>
      </w:tr>
      <w:tr w:rsidR="004D1935" w14:paraId="7B0803DE" w14:textId="77777777" w:rsidTr="00E24DC9">
        <w:tc>
          <w:tcPr>
            <w:tcW w:w="1479" w:type="dxa"/>
            <w:vMerge/>
            <w:vAlign w:val="center"/>
          </w:tcPr>
          <w:p w14:paraId="489307AE" w14:textId="77777777" w:rsidR="004D1935" w:rsidRDefault="004D1935" w:rsidP="00E24DC9">
            <w:pPr>
              <w:jc w:val="center"/>
            </w:pPr>
          </w:p>
        </w:tc>
        <w:tc>
          <w:tcPr>
            <w:tcW w:w="798" w:type="dxa"/>
            <w:tcBorders>
              <w:top w:val="nil"/>
              <w:bottom w:val="nil"/>
            </w:tcBorders>
            <w:vAlign w:val="center"/>
          </w:tcPr>
          <w:p w14:paraId="4B9A7F8B" w14:textId="77777777" w:rsidR="004D1935" w:rsidRPr="00CF64A4" w:rsidRDefault="004D1935" w:rsidP="00E24DC9">
            <w:pPr>
              <w:jc w:val="center"/>
              <w:rPr>
                <w:sz w:val="13"/>
                <w:szCs w:val="13"/>
              </w:rPr>
            </w:pPr>
            <w:r w:rsidRPr="00CF64A4">
              <w:rPr>
                <w:rFonts w:ascii="Calibri" w:hAnsi="Calibri" w:cs="Calibri"/>
                <w:color w:val="000000"/>
                <w:sz w:val="13"/>
                <w:szCs w:val="13"/>
              </w:rPr>
              <w:t>147.0542</w:t>
            </w:r>
          </w:p>
        </w:tc>
        <w:tc>
          <w:tcPr>
            <w:tcW w:w="1687" w:type="dxa"/>
            <w:vMerge/>
            <w:vAlign w:val="center"/>
          </w:tcPr>
          <w:p w14:paraId="011BCF77" w14:textId="77777777" w:rsidR="004D1935" w:rsidRDefault="004D1935" w:rsidP="00E24DC9">
            <w:pPr>
              <w:jc w:val="center"/>
            </w:pPr>
          </w:p>
        </w:tc>
        <w:tc>
          <w:tcPr>
            <w:tcW w:w="2127" w:type="dxa"/>
            <w:vMerge/>
            <w:vAlign w:val="center"/>
          </w:tcPr>
          <w:p w14:paraId="22F2C526" w14:textId="77777777" w:rsidR="004D1935" w:rsidRDefault="004D1935" w:rsidP="00E24DC9">
            <w:pPr>
              <w:jc w:val="center"/>
            </w:pPr>
          </w:p>
        </w:tc>
        <w:tc>
          <w:tcPr>
            <w:tcW w:w="992" w:type="dxa"/>
            <w:vMerge/>
            <w:vAlign w:val="center"/>
          </w:tcPr>
          <w:p w14:paraId="56821021" w14:textId="77777777" w:rsidR="004D1935" w:rsidRDefault="004D1935" w:rsidP="00E24DC9">
            <w:pPr>
              <w:jc w:val="center"/>
            </w:pPr>
          </w:p>
        </w:tc>
        <w:tc>
          <w:tcPr>
            <w:tcW w:w="5867" w:type="dxa"/>
            <w:vMerge/>
            <w:vAlign w:val="center"/>
          </w:tcPr>
          <w:p w14:paraId="56B1B8B6" w14:textId="77777777" w:rsidR="004D1935" w:rsidRDefault="004D1935" w:rsidP="00E24DC9">
            <w:pPr>
              <w:jc w:val="center"/>
            </w:pPr>
          </w:p>
        </w:tc>
      </w:tr>
      <w:tr w:rsidR="004D1935" w14:paraId="0C5FA08E" w14:textId="77777777" w:rsidTr="00E24DC9">
        <w:tc>
          <w:tcPr>
            <w:tcW w:w="1479" w:type="dxa"/>
            <w:vMerge/>
            <w:vAlign w:val="center"/>
          </w:tcPr>
          <w:p w14:paraId="7D894F1C" w14:textId="77777777" w:rsidR="004D1935" w:rsidRDefault="004D1935" w:rsidP="00E24DC9">
            <w:pPr>
              <w:jc w:val="center"/>
            </w:pPr>
          </w:p>
        </w:tc>
        <w:tc>
          <w:tcPr>
            <w:tcW w:w="798" w:type="dxa"/>
            <w:tcBorders>
              <w:top w:val="nil"/>
              <w:bottom w:val="nil"/>
            </w:tcBorders>
            <w:vAlign w:val="center"/>
          </w:tcPr>
          <w:p w14:paraId="17ACE1EE" w14:textId="77777777" w:rsidR="004D1935" w:rsidRPr="00CF64A4" w:rsidRDefault="004D1935" w:rsidP="00E24DC9">
            <w:pPr>
              <w:jc w:val="center"/>
              <w:rPr>
                <w:sz w:val="13"/>
                <w:szCs w:val="13"/>
              </w:rPr>
            </w:pPr>
            <w:r w:rsidRPr="00CF64A4">
              <w:rPr>
                <w:rFonts w:ascii="Calibri" w:hAnsi="Calibri" w:cs="Calibri"/>
                <w:color w:val="000000"/>
                <w:sz w:val="13"/>
                <w:szCs w:val="13"/>
              </w:rPr>
              <w:t>146.9057</w:t>
            </w:r>
          </w:p>
        </w:tc>
        <w:tc>
          <w:tcPr>
            <w:tcW w:w="1687" w:type="dxa"/>
            <w:vMerge/>
            <w:vAlign w:val="center"/>
          </w:tcPr>
          <w:p w14:paraId="5E642B92" w14:textId="77777777" w:rsidR="004D1935" w:rsidRDefault="004D1935" w:rsidP="00E24DC9">
            <w:pPr>
              <w:jc w:val="center"/>
            </w:pPr>
          </w:p>
        </w:tc>
        <w:tc>
          <w:tcPr>
            <w:tcW w:w="2127" w:type="dxa"/>
            <w:vMerge/>
            <w:vAlign w:val="center"/>
          </w:tcPr>
          <w:p w14:paraId="43E85E26" w14:textId="77777777" w:rsidR="004D1935" w:rsidRDefault="004D1935" w:rsidP="00E24DC9">
            <w:pPr>
              <w:jc w:val="center"/>
            </w:pPr>
          </w:p>
        </w:tc>
        <w:tc>
          <w:tcPr>
            <w:tcW w:w="992" w:type="dxa"/>
            <w:vMerge/>
            <w:vAlign w:val="center"/>
          </w:tcPr>
          <w:p w14:paraId="4470B70A" w14:textId="77777777" w:rsidR="004D1935" w:rsidRDefault="004D1935" w:rsidP="00E24DC9">
            <w:pPr>
              <w:jc w:val="center"/>
            </w:pPr>
          </w:p>
        </w:tc>
        <w:tc>
          <w:tcPr>
            <w:tcW w:w="5867" w:type="dxa"/>
            <w:vMerge/>
            <w:vAlign w:val="center"/>
          </w:tcPr>
          <w:p w14:paraId="332ACF4E" w14:textId="77777777" w:rsidR="004D1935" w:rsidRDefault="004D1935" w:rsidP="00E24DC9">
            <w:pPr>
              <w:jc w:val="center"/>
            </w:pPr>
          </w:p>
        </w:tc>
      </w:tr>
      <w:tr w:rsidR="004D1935" w14:paraId="218DF65D" w14:textId="77777777" w:rsidTr="00E24DC9">
        <w:tc>
          <w:tcPr>
            <w:tcW w:w="1479" w:type="dxa"/>
            <w:vMerge/>
            <w:vAlign w:val="center"/>
          </w:tcPr>
          <w:p w14:paraId="4B9F2A6C" w14:textId="77777777" w:rsidR="004D1935" w:rsidRDefault="004D1935" w:rsidP="00E24DC9">
            <w:pPr>
              <w:jc w:val="center"/>
            </w:pPr>
          </w:p>
        </w:tc>
        <w:tc>
          <w:tcPr>
            <w:tcW w:w="798" w:type="dxa"/>
            <w:tcBorders>
              <w:top w:val="nil"/>
              <w:bottom w:val="nil"/>
            </w:tcBorders>
            <w:vAlign w:val="center"/>
          </w:tcPr>
          <w:p w14:paraId="342B4BF9" w14:textId="77777777" w:rsidR="004D1935" w:rsidRPr="00CF64A4" w:rsidRDefault="004D1935" w:rsidP="00E24DC9">
            <w:pPr>
              <w:jc w:val="center"/>
              <w:rPr>
                <w:sz w:val="13"/>
                <w:szCs w:val="13"/>
              </w:rPr>
            </w:pPr>
            <w:r w:rsidRPr="00CF64A4">
              <w:rPr>
                <w:rFonts w:ascii="Calibri" w:hAnsi="Calibri" w:cs="Calibri"/>
                <w:color w:val="000000"/>
                <w:sz w:val="13"/>
                <w:szCs w:val="13"/>
              </w:rPr>
              <w:t>146.9341</w:t>
            </w:r>
          </w:p>
        </w:tc>
        <w:tc>
          <w:tcPr>
            <w:tcW w:w="1687" w:type="dxa"/>
            <w:vMerge/>
            <w:vAlign w:val="center"/>
          </w:tcPr>
          <w:p w14:paraId="7C0E6805" w14:textId="77777777" w:rsidR="004D1935" w:rsidRDefault="004D1935" w:rsidP="00E24DC9">
            <w:pPr>
              <w:jc w:val="center"/>
            </w:pPr>
          </w:p>
        </w:tc>
        <w:tc>
          <w:tcPr>
            <w:tcW w:w="2127" w:type="dxa"/>
            <w:vMerge/>
            <w:vAlign w:val="center"/>
          </w:tcPr>
          <w:p w14:paraId="4FB97C7B" w14:textId="77777777" w:rsidR="004D1935" w:rsidRDefault="004D1935" w:rsidP="00E24DC9">
            <w:pPr>
              <w:jc w:val="center"/>
            </w:pPr>
          </w:p>
        </w:tc>
        <w:tc>
          <w:tcPr>
            <w:tcW w:w="992" w:type="dxa"/>
            <w:vMerge/>
            <w:vAlign w:val="center"/>
          </w:tcPr>
          <w:p w14:paraId="19E94D7B" w14:textId="77777777" w:rsidR="004D1935" w:rsidRDefault="004D1935" w:rsidP="00E24DC9">
            <w:pPr>
              <w:jc w:val="center"/>
            </w:pPr>
          </w:p>
        </w:tc>
        <w:tc>
          <w:tcPr>
            <w:tcW w:w="5867" w:type="dxa"/>
            <w:vMerge/>
            <w:vAlign w:val="center"/>
          </w:tcPr>
          <w:p w14:paraId="264E3683" w14:textId="77777777" w:rsidR="004D1935" w:rsidRDefault="004D1935" w:rsidP="00E24DC9">
            <w:pPr>
              <w:jc w:val="center"/>
            </w:pPr>
          </w:p>
        </w:tc>
      </w:tr>
      <w:tr w:rsidR="004D1935" w14:paraId="10C9156C" w14:textId="77777777" w:rsidTr="00E24DC9">
        <w:tc>
          <w:tcPr>
            <w:tcW w:w="1479" w:type="dxa"/>
            <w:vMerge/>
            <w:vAlign w:val="center"/>
          </w:tcPr>
          <w:p w14:paraId="5E311F28" w14:textId="77777777" w:rsidR="004D1935" w:rsidRDefault="004D1935" w:rsidP="00E24DC9">
            <w:pPr>
              <w:jc w:val="center"/>
            </w:pPr>
          </w:p>
        </w:tc>
        <w:tc>
          <w:tcPr>
            <w:tcW w:w="798" w:type="dxa"/>
            <w:tcBorders>
              <w:top w:val="nil"/>
              <w:bottom w:val="nil"/>
            </w:tcBorders>
            <w:vAlign w:val="center"/>
          </w:tcPr>
          <w:p w14:paraId="1D85256A" w14:textId="77777777" w:rsidR="004D1935" w:rsidRPr="00CF64A4" w:rsidRDefault="004D1935" w:rsidP="00E24DC9">
            <w:pPr>
              <w:jc w:val="center"/>
              <w:rPr>
                <w:sz w:val="13"/>
                <w:szCs w:val="13"/>
              </w:rPr>
            </w:pPr>
            <w:r w:rsidRPr="00CF64A4">
              <w:rPr>
                <w:rFonts w:ascii="Calibri" w:hAnsi="Calibri" w:cs="Calibri"/>
                <w:color w:val="000000"/>
                <w:sz w:val="13"/>
                <w:szCs w:val="13"/>
              </w:rPr>
              <w:t>146.9606</w:t>
            </w:r>
          </w:p>
        </w:tc>
        <w:tc>
          <w:tcPr>
            <w:tcW w:w="1687" w:type="dxa"/>
            <w:vMerge/>
            <w:vAlign w:val="center"/>
          </w:tcPr>
          <w:p w14:paraId="17F90BDB" w14:textId="77777777" w:rsidR="004D1935" w:rsidRDefault="004D1935" w:rsidP="00E24DC9">
            <w:pPr>
              <w:jc w:val="center"/>
            </w:pPr>
          </w:p>
        </w:tc>
        <w:tc>
          <w:tcPr>
            <w:tcW w:w="2127" w:type="dxa"/>
            <w:vMerge/>
            <w:vAlign w:val="center"/>
          </w:tcPr>
          <w:p w14:paraId="48489AD0" w14:textId="77777777" w:rsidR="004D1935" w:rsidRDefault="004D1935" w:rsidP="00E24DC9">
            <w:pPr>
              <w:jc w:val="center"/>
            </w:pPr>
          </w:p>
        </w:tc>
        <w:tc>
          <w:tcPr>
            <w:tcW w:w="992" w:type="dxa"/>
            <w:vMerge/>
            <w:vAlign w:val="center"/>
          </w:tcPr>
          <w:p w14:paraId="2467F7A1" w14:textId="77777777" w:rsidR="004D1935" w:rsidRDefault="004D1935" w:rsidP="00E24DC9">
            <w:pPr>
              <w:jc w:val="center"/>
            </w:pPr>
          </w:p>
        </w:tc>
        <w:tc>
          <w:tcPr>
            <w:tcW w:w="5867" w:type="dxa"/>
            <w:vMerge/>
            <w:vAlign w:val="center"/>
          </w:tcPr>
          <w:p w14:paraId="43939BB4" w14:textId="77777777" w:rsidR="004D1935" w:rsidRDefault="004D1935" w:rsidP="00E24DC9">
            <w:pPr>
              <w:jc w:val="center"/>
            </w:pPr>
          </w:p>
        </w:tc>
      </w:tr>
      <w:tr w:rsidR="004D1935" w14:paraId="3907AF8C" w14:textId="77777777" w:rsidTr="00E24DC9">
        <w:tc>
          <w:tcPr>
            <w:tcW w:w="1479" w:type="dxa"/>
            <w:vMerge/>
            <w:vAlign w:val="center"/>
          </w:tcPr>
          <w:p w14:paraId="0D477939" w14:textId="77777777" w:rsidR="004D1935" w:rsidRDefault="004D1935" w:rsidP="00E24DC9">
            <w:pPr>
              <w:jc w:val="center"/>
            </w:pPr>
          </w:p>
        </w:tc>
        <w:tc>
          <w:tcPr>
            <w:tcW w:w="798" w:type="dxa"/>
            <w:tcBorders>
              <w:top w:val="nil"/>
              <w:bottom w:val="nil"/>
            </w:tcBorders>
            <w:vAlign w:val="center"/>
          </w:tcPr>
          <w:p w14:paraId="0A0240E6" w14:textId="77777777" w:rsidR="004D1935" w:rsidRPr="00CF64A4" w:rsidRDefault="004D1935" w:rsidP="00E24DC9">
            <w:pPr>
              <w:jc w:val="center"/>
              <w:rPr>
                <w:sz w:val="13"/>
                <w:szCs w:val="13"/>
              </w:rPr>
            </w:pPr>
            <w:r w:rsidRPr="00CF64A4">
              <w:rPr>
                <w:rFonts w:ascii="Calibri" w:hAnsi="Calibri" w:cs="Calibri"/>
                <w:color w:val="000000"/>
                <w:sz w:val="13"/>
                <w:szCs w:val="13"/>
              </w:rPr>
              <w:t>147.0171</w:t>
            </w:r>
          </w:p>
        </w:tc>
        <w:tc>
          <w:tcPr>
            <w:tcW w:w="1687" w:type="dxa"/>
            <w:vMerge/>
            <w:vAlign w:val="center"/>
          </w:tcPr>
          <w:p w14:paraId="13806C15" w14:textId="77777777" w:rsidR="004D1935" w:rsidRDefault="004D1935" w:rsidP="00E24DC9">
            <w:pPr>
              <w:jc w:val="center"/>
            </w:pPr>
          </w:p>
        </w:tc>
        <w:tc>
          <w:tcPr>
            <w:tcW w:w="2127" w:type="dxa"/>
            <w:vMerge/>
            <w:vAlign w:val="center"/>
          </w:tcPr>
          <w:p w14:paraId="40BF21C5" w14:textId="77777777" w:rsidR="004D1935" w:rsidRDefault="004D1935" w:rsidP="00E24DC9">
            <w:pPr>
              <w:jc w:val="center"/>
            </w:pPr>
          </w:p>
        </w:tc>
        <w:tc>
          <w:tcPr>
            <w:tcW w:w="992" w:type="dxa"/>
            <w:vMerge/>
            <w:vAlign w:val="center"/>
          </w:tcPr>
          <w:p w14:paraId="7F7F489F" w14:textId="77777777" w:rsidR="004D1935" w:rsidRDefault="004D1935" w:rsidP="00E24DC9">
            <w:pPr>
              <w:jc w:val="center"/>
            </w:pPr>
          </w:p>
        </w:tc>
        <w:tc>
          <w:tcPr>
            <w:tcW w:w="5867" w:type="dxa"/>
            <w:vMerge/>
            <w:vAlign w:val="center"/>
          </w:tcPr>
          <w:p w14:paraId="5111F598" w14:textId="77777777" w:rsidR="004D1935" w:rsidRDefault="004D1935" w:rsidP="00E24DC9">
            <w:pPr>
              <w:jc w:val="center"/>
            </w:pPr>
          </w:p>
        </w:tc>
      </w:tr>
      <w:tr w:rsidR="004D1935" w14:paraId="25784FAA" w14:textId="77777777" w:rsidTr="00E24DC9">
        <w:tc>
          <w:tcPr>
            <w:tcW w:w="1479" w:type="dxa"/>
            <w:vMerge/>
            <w:vAlign w:val="center"/>
          </w:tcPr>
          <w:p w14:paraId="76E653D7" w14:textId="77777777" w:rsidR="004D1935" w:rsidRDefault="004D1935" w:rsidP="00E24DC9">
            <w:pPr>
              <w:jc w:val="center"/>
            </w:pPr>
          </w:p>
        </w:tc>
        <w:tc>
          <w:tcPr>
            <w:tcW w:w="798" w:type="dxa"/>
            <w:tcBorders>
              <w:top w:val="nil"/>
              <w:bottom w:val="nil"/>
            </w:tcBorders>
            <w:vAlign w:val="center"/>
          </w:tcPr>
          <w:p w14:paraId="7D2B51F8" w14:textId="77777777" w:rsidR="004D1935" w:rsidRPr="00CF64A4" w:rsidRDefault="004D1935" w:rsidP="00E24DC9">
            <w:pPr>
              <w:jc w:val="center"/>
              <w:rPr>
                <w:sz w:val="13"/>
                <w:szCs w:val="13"/>
              </w:rPr>
            </w:pPr>
            <w:r w:rsidRPr="00CF64A4">
              <w:rPr>
                <w:rFonts w:ascii="Calibri" w:hAnsi="Calibri" w:cs="Calibri"/>
                <w:color w:val="000000"/>
                <w:sz w:val="13"/>
                <w:szCs w:val="13"/>
              </w:rPr>
              <w:t>146.9261</w:t>
            </w:r>
          </w:p>
        </w:tc>
        <w:tc>
          <w:tcPr>
            <w:tcW w:w="1687" w:type="dxa"/>
            <w:vMerge/>
            <w:vAlign w:val="center"/>
          </w:tcPr>
          <w:p w14:paraId="01F48278" w14:textId="77777777" w:rsidR="004D1935" w:rsidRDefault="004D1935" w:rsidP="00E24DC9">
            <w:pPr>
              <w:jc w:val="center"/>
            </w:pPr>
          </w:p>
        </w:tc>
        <w:tc>
          <w:tcPr>
            <w:tcW w:w="2127" w:type="dxa"/>
            <w:vMerge/>
            <w:vAlign w:val="center"/>
          </w:tcPr>
          <w:p w14:paraId="1C3DF450" w14:textId="77777777" w:rsidR="004D1935" w:rsidRDefault="004D1935" w:rsidP="00E24DC9">
            <w:pPr>
              <w:jc w:val="center"/>
            </w:pPr>
          </w:p>
        </w:tc>
        <w:tc>
          <w:tcPr>
            <w:tcW w:w="992" w:type="dxa"/>
            <w:vMerge/>
            <w:vAlign w:val="center"/>
          </w:tcPr>
          <w:p w14:paraId="0FD255D1" w14:textId="77777777" w:rsidR="004D1935" w:rsidRDefault="004D1935" w:rsidP="00E24DC9">
            <w:pPr>
              <w:jc w:val="center"/>
            </w:pPr>
          </w:p>
        </w:tc>
        <w:tc>
          <w:tcPr>
            <w:tcW w:w="5867" w:type="dxa"/>
            <w:vMerge/>
            <w:vAlign w:val="center"/>
          </w:tcPr>
          <w:p w14:paraId="1332F89D" w14:textId="77777777" w:rsidR="004D1935" w:rsidRDefault="004D1935" w:rsidP="00E24DC9">
            <w:pPr>
              <w:jc w:val="center"/>
            </w:pPr>
          </w:p>
        </w:tc>
      </w:tr>
      <w:tr w:rsidR="004D1935" w14:paraId="2671B414" w14:textId="77777777" w:rsidTr="00E24DC9">
        <w:tc>
          <w:tcPr>
            <w:tcW w:w="1479" w:type="dxa"/>
            <w:vMerge/>
            <w:vAlign w:val="center"/>
          </w:tcPr>
          <w:p w14:paraId="1395022E" w14:textId="77777777" w:rsidR="004D1935" w:rsidRDefault="004D1935" w:rsidP="00E24DC9">
            <w:pPr>
              <w:jc w:val="center"/>
            </w:pPr>
          </w:p>
        </w:tc>
        <w:tc>
          <w:tcPr>
            <w:tcW w:w="798" w:type="dxa"/>
            <w:tcBorders>
              <w:top w:val="nil"/>
              <w:bottom w:val="nil"/>
            </w:tcBorders>
            <w:vAlign w:val="center"/>
          </w:tcPr>
          <w:p w14:paraId="568154E2" w14:textId="77777777" w:rsidR="004D1935" w:rsidRPr="00CF64A4" w:rsidRDefault="004D1935" w:rsidP="00E24DC9">
            <w:pPr>
              <w:jc w:val="center"/>
              <w:rPr>
                <w:sz w:val="13"/>
                <w:szCs w:val="13"/>
              </w:rPr>
            </w:pPr>
            <w:r w:rsidRPr="00CF64A4">
              <w:rPr>
                <w:rFonts w:ascii="Calibri" w:hAnsi="Calibri" w:cs="Calibri"/>
                <w:color w:val="000000"/>
                <w:sz w:val="13"/>
                <w:szCs w:val="13"/>
              </w:rPr>
              <w:t>146.9729</w:t>
            </w:r>
          </w:p>
        </w:tc>
        <w:tc>
          <w:tcPr>
            <w:tcW w:w="1687" w:type="dxa"/>
            <w:vMerge/>
            <w:vAlign w:val="center"/>
          </w:tcPr>
          <w:p w14:paraId="3AA24874" w14:textId="77777777" w:rsidR="004D1935" w:rsidRDefault="004D1935" w:rsidP="00E24DC9">
            <w:pPr>
              <w:jc w:val="center"/>
            </w:pPr>
          </w:p>
        </w:tc>
        <w:tc>
          <w:tcPr>
            <w:tcW w:w="2127" w:type="dxa"/>
            <w:vMerge/>
            <w:vAlign w:val="center"/>
          </w:tcPr>
          <w:p w14:paraId="7EC2689F" w14:textId="77777777" w:rsidR="004D1935" w:rsidRDefault="004D1935" w:rsidP="00E24DC9">
            <w:pPr>
              <w:jc w:val="center"/>
            </w:pPr>
          </w:p>
        </w:tc>
        <w:tc>
          <w:tcPr>
            <w:tcW w:w="992" w:type="dxa"/>
            <w:vMerge/>
            <w:vAlign w:val="center"/>
          </w:tcPr>
          <w:p w14:paraId="03349DD7" w14:textId="77777777" w:rsidR="004D1935" w:rsidRDefault="004D1935" w:rsidP="00E24DC9">
            <w:pPr>
              <w:jc w:val="center"/>
            </w:pPr>
          </w:p>
        </w:tc>
        <w:tc>
          <w:tcPr>
            <w:tcW w:w="5867" w:type="dxa"/>
            <w:vMerge/>
            <w:vAlign w:val="center"/>
          </w:tcPr>
          <w:p w14:paraId="1498012C" w14:textId="77777777" w:rsidR="004D1935" w:rsidRDefault="004D1935" w:rsidP="00E24DC9">
            <w:pPr>
              <w:jc w:val="center"/>
            </w:pPr>
          </w:p>
        </w:tc>
      </w:tr>
      <w:tr w:rsidR="004D1935" w14:paraId="49F99F1A" w14:textId="77777777" w:rsidTr="00E24DC9">
        <w:tc>
          <w:tcPr>
            <w:tcW w:w="1479" w:type="dxa"/>
            <w:vMerge/>
            <w:vAlign w:val="center"/>
          </w:tcPr>
          <w:p w14:paraId="73162B7E" w14:textId="77777777" w:rsidR="004D1935" w:rsidRDefault="004D1935" w:rsidP="00E24DC9">
            <w:pPr>
              <w:jc w:val="center"/>
            </w:pPr>
          </w:p>
        </w:tc>
        <w:tc>
          <w:tcPr>
            <w:tcW w:w="798" w:type="dxa"/>
            <w:tcBorders>
              <w:top w:val="nil"/>
              <w:bottom w:val="nil"/>
            </w:tcBorders>
            <w:vAlign w:val="center"/>
          </w:tcPr>
          <w:p w14:paraId="348F84DF" w14:textId="77777777" w:rsidR="004D1935" w:rsidRPr="00CF64A4" w:rsidRDefault="004D1935" w:rsidP="00E24DC9">
            <w:pPr>
              <w:jc w:val="center"/>
              <w:rPr>
                <w:sz w:val="13"/>
                <w:szCs w:val="13"/>
              </w:rPr>
            </w:pPr>
            <w:r w:rsidRPr="00CF64A4">
              <w:rPr>
                <w:rFonts w:ascii="Calibri" w:hAnsi="Calibri" w:cs="Calibri"/>
                <w:color w:val="000000"/>
                <w:sz w:val="13"/>
                <w:szCs w:val="13"/>
              </w:rPr>
              <w:t>147.0047</w:t>
            </w:r>
          </w:p>
        </w:tc>
        <w:tc>
          <w:tcPr>
            <w:tcW w:w="1687" w:type="dxa"/>
            <w:vMerge/>
            <w:vAlign w:val="center"/>
          </w:tcPr>
          <w:p w14:paraId="00E941D9" w14:textId="77777777" w:rsidR="004D1935" w:rsidRDefault="004D1935" w:rsidP="00E24DC9">
            <w:pPr>
              <w:jc w:val="center"/>
            </w:pPr>
          </w:p>
        </w:tc>
        <w:tc>
          <w:tcPr>
            <w:tcW w:w="2127" w:type="dxa"/>
            <w:vMerge/>
            <w:vAlign w:val="center"/>
          </w:tcPr>
          <w:p w14:paraId="0F8FC55A" w14:textId="77777777" w:rsidR="004D1935" w:rsidRDefault="004D1935" w:rsidP="00E24DC9">
            <w:pPr>
              <w:jc w:val="center"/>
            </w:pPr>
          </w:p>
        </w:tc>
        <w:tc>
          <w:tcPr>
            <w:tcW w:w="992" w:type="dxa"/>
            <w:vMerge/>
            <w:vAlign w:val="center"/>
          </w:tcPr>
          <w:p w14:paraId="1992C4EC" w14:textId="77777777" w:rsidR="004D1935" w:rsidRDefault="004D1935" w:rsidP="00E24DC9">
            <w:pPr>
              <w:jc w:val="center"/>
            </w:pPr>
          </w:p>
        </w:tc>
        <w:tc>
          <w:tcPr>
            <w:tcW w:w="5867" w:type="dxa"/>
            <w:vMerge/>
            <w:vAlign w:val="center"/>
          </w:tcPr>
          <w:p w14:paraId="2E994BB1" w14:textId="77777777" w:rsidR="004D1935" w:rsidRDefault="004D1935" w:rsidP="00E24DC9">
            <w:pPr>
              <w:jc w:val="center"/>
            </w:pPr>
          </w:p>
        </w:tc>
      </w:tr>
      <w:tr w:rsidR="004D1935" w14:paraId="4317AFA6" w14:textId="77777777" w:rsidTr="00E24DC9">
        <w:tc>
          <w:tcPr>
            <w:tcW w:w="1479" w:type="dxa"/>
            <w:vMerge/>
            <w:vAlign w:val="center"/>
          </w:tcPr>
          <w:p w14:paraId="085989D1" w14:textId="77777777" w:rsidR="004D1935" w:rsidRDefault="004D1935" w:rsidP="00E24DC9">
            <w:pPr>
              <w:jc w:val="center"/>
            </w:pPr>
          </w:p>
        </w:tc>
        <w:tc>
          <w:tcPr>
            <w:tcW w:w="798" w:type="dxa"/>
            <w:tcBorders>
              <w:top w:val="nil"/>
              <w:bottom w:val="nil"/>
            </w:tcBorders>
            <w:vAlign w:val="center"/>
          </w:tcPr>
          <w:p w14:paraId="6E08DF27" w14:textId="77777777" w:rsidR="004D1935" w:rsidRPr="00CF64A4" w:rsidRDefault="004D1935" w:rsidP="00E24DC9">
            <w:pPr>
              <w:jc w:val="center"/>
              <w:rPr>
                <w:sz w:val="13"/>
                <w:szCs w:val="13"/>
              </w:rPr>
            </w:pPr>
            <w:r w:rsidRPr="00CF64A4">
              <w:rPr>
                <w:rFonts w:ascii="Calibri" w:hAnsi="Calibri" w:cs="Calibri"/>
                <w:color w:val="000000"/>
                <w:sz w:val="13"/>
                <w:szCs w:val="13"/>
              </w:rPr>
              <w:t>146.9182</w:t>
            </w:r>
          </w:p>
        </w:tc>
        <w:tc>
          <w:tcPr>
            <w:tcW w:w="1687" w:type="dxa"/>
            <w:vMerge/>
            <w:vAlign w:val="center"/>
          </w:tcPr>
          <w:p w14:paraId="6565DF44" w14:textId="77777777" w:rsidR="004D1935" w:rsidRDefault="004D1935" w:rsidP="00E24DC9">
            <w:pPr>
              <w:jc w:val="center"/>
            </w:pPr>
          </w:p>
        </w:tc>
        <w:tc>
          <w:tcPr>
            <w:tcW w:w="2127" w:type="dxa"/>
            <w:vMerge/>
            <w:vAlign w:val="center"/>
          </w:tcPr>
          <w:p w14:paraId="10331689" w14:textId="77777777" w:rsidR="004D1935" w:rsidRDefault="004D1935" w:rsidP="00E24DC9">
            <w:pPr>
              <w:jc w:val="center"/>
            </w:pPr>
          </w:p>
        </w:tc>
        <w:tc>
          <w:tcPr>
            <w:tcW w:w="992" w:type="dxa"/>
            <w:vMerge/>
            <w:vAlign w:val="center"/>
          </w:tcPr>
          <w:p w14:paraId="12F44FA7" w14:textId="77777777" w:rsidR="004D1935" w:rsidRDefault="004D1935" w:rsidP="00E24DC9">
            <w:pPr>
              <w:jc w:val="center"/>
            </w:pPr>
          </w:p>
        </w:tc>
        <w:tc>
          <w:tcPr>
            <w:tcW w:w="5867" w:type="dxa"/>
            <w:vMerge/>
            <w:vAlign w:val="center"/>
          </w:tcPr>
          <w:p w14:paraId="41A070E4" w14:textId="77777777" w:rsidR="004D1935" w:rsidRDefault="004D1935" w:rsidP="00E24DC9">
            <w:pPr>
              <w:jc w:val="center"/>
            </w:pPr>
          </w:p>
        </w:tc>
      </w:tr>
      <w:tr w:rsidR="004D1935" w14:paraId="4C4A3153" w14:textId="77777777" w:rsidTr="00E24DC9">
        <w:tc>
          <w:tcPr>
            <w:tcW w:w="1479" w:type="dxa"/>
            <w:vMerge/>
            <w:vAlign w:val="center"/>
          </w:tcPr>
          <w:p w14:paraId="7EBA3E74" w14:textId="77777777" w:rsidR="004D1935" w:rsidRDefault="004D1935" w:rsidP="00E24DC9">
            <w:pPr>
              <w:jc w:val="center"/>
            </w:pPr>
          </w:p>
        </w:tc>
        <w:tc>
          <w:tcPr>
            <w:tcW w:w="798" w:type="dxa"/>
            <w:tcBorders>
              <w:top w:val="nil"/>
              <w:bottom w:val="nil"/>
            </w:tcBorders>
            <w:vAlign w:val="center"/>
          </w:tcPr>
          <w:p w14:paraId="49FAEF76" w14:textId="77777777" w:rsidR="004D1935" w:rsidRPr="00CF64A4" w:rsidRDefault="004D1935" w:rsidP="00E24DC9">
            <w:pPr>
              <w:jc w:val="center"/>
              <w:rPr>
                <w:sz w:val="13"/>
                <w:szCs w:val="13"/>
              </w:rPr>
            </w:pPr>
            <w:r w:rsidRPr="00CF64A4">
              <w:rPr>
                <w:rFonts w:ascii="Calibri" w:hAnsi="Calibri" w:cs="Calibri"/>
                <w:color w:val="000000"/>
                <w:sz w:val="13"/>
                <w:szCs w:val="13"/>
              </w:rPr>
              <w:t>146.9447</w:t>
            </w:r>
          </w:p>
        </w:tc>
        <w:tc>
          <w:tcPr>
            <w:tcW w:w="1687" w:type="dxa"/>
            <w:vMerge/>
            <w:vAlign w:val="center"/>
          </w:tcPr>
          <w:p w14:paraId="3AC15D81" w14:textId="77777777" w:rsidR="004D1935" w:rsidRDefault="004D1935" w:rsidP="00E24DC9">
            <w:pPr>
              <w:jc w:val="center"/>
            </w:pPr>
          </w:p>
        </w:tc>
        <w:tc>
          <w:tcPr>
            <w:tcW w:w="2127" w:type="dxa"/>
            <w:vMerge/>
            <w:vAlign w:val="center"/>
          </w:tcPr>
          <w:p w14:paraId="272CFD53" w14:textId="77777777" w:rsidR="004D1935" w:rsidRDefault="004D1935" w:rsidP="00E24DC9">
            <w:pPr>
              <w:jc w:val="center"/>
            </w:pPr>
          </w:p>
        </w:tc>
        <w:tc>
          <w:tcPr>
            <w:tcW w:w="992" w:type="dxa"/>
            <w:vMerge/>
            <w:vAlign w:val="center"/>
          </w:tcPr>
          <w:p w14:paraId="03FF1C5E" w14:textId="77777777" w:rsidR="004D1935" w:rsidRDefault="004D1935" w:rsidP="00E24DC9">
            <w:pPr>
              <w:jc w:val="center"/>
            </w:pPr>
          </w:p>
        </w:tc>
        <w:tc>
          <w:tcPr>
            <w:tcW w:w="5867" w:type="dxa"/>
            <w:vMerge/>
            <w:vAlign w:val="center"/>
          </w:tcPr>
          <w:p w14:paraId="6CEFF300" w14:textId="77777777" w:rsidR="004D1935" w:rsidRDefault="004D1935" w:rsidP="00E24DC9">
            <w:pPr>
              <w:jc w:val="center"/>
            </w:pPr>
          </w:p>
        </w:tc>
      </w:tr>
      <w:tr w:rsidR="004D1935" w14:paraId="5680E37B" w14:textId="77777777" w:rsidTr="00E24DC9">
        <w:tc>
          <w:tcPr>
            <w:tcW w:w="1479" w:type="dxa"/>
            <w:vMerge/>
            <w:vAlign w:val="center"/>
          </w:tcPr>
          <w:p w14:paraId="55530D66" w14:textId="77777777" w:rsidR="004D1935" w:rsidRDefault="004D1935" w:rsidP="00E24DC9">
            <w:pPr>
              <w:jc w:val="center"/>
            </w:pPr>
          </w:p>
        </w:tc>
        <w:tc>
          <w:tcPr>
            <w:tcW w:w="798" w:type="dxa"/>
            <w:tcBorders>
              <w:top w:val="nil"/>
              <w:bottom w:val="nil"/>
            </w:tcBorders>
            <w:vAlign w:val="center"/>
          </w:tcPr>
          <w:p w14:paraId="6E35F07F" w14:textId="77777777" w:rsidR="004D1935" w:rsidRPr="00CF64A4" w:rsidRDefault="004D1935" w:rsidP="00E24DC9">
            <w:pPr>
              <w:jc w:val="center"/>
              <w:rPr>
                <w:sz w:val="13"/>
                <w:szCs w:val="13"/>
              </w:rPr>
            </w:pPr>
            <w:r w:rsidRPr="00CF64A4">
              <w:rPr>
                <w:rFonts w:ascii="Calibri" w:hAnsi="Calibri" w:cs="Calibri"/>
                <w:color w:val="000000"/>
                <w:sz w:val="13"/>
                <w:szCs w:val="13"/>
              </w:rPr>
              <w:t>146.9712</w:t>
            </w:r>
          </w:p>
        </w:tc>
        <w:tc>
          <w:tcPr>
            <w:tcW w:w="1687" w:type="dxa"/>
            <w:vMerge/>
            <w:vAlign w:val="center"/>
          </w:tcPr>
          <w:p w14:paraId="26582E4D" w14:textId="77777777" w:rsidR="004D1935" w:rsidRDefault="004D1935" w:rsidP="00E24DC9">
            <w:pPr>
              <w:jc w:val="center"/>
            </w:pPr>
          </w:p>
        </w:tc>
        <w:tc>
          <w:tcPr>
            <w:tcW w:w="2127" w:type="dxa"/>
            <w:vMerge/>
            <w:vAlign w:val="center"/>
          </w:tcPr>
          <w:p w14:paraId="1FF504AF" w14:textId="77777777" w:rsidR="004D1935" w:rsidRDefault="004D1935" w:rsidP="00E24DC9">
            <w:pPr>
              <w:jc w:val="center"/>
            </w:pPr>
          </w:p>
        </w:tc>
        <w:tc>
          <w:tcPr>
            <w:tcW w:w="992" w:type="dxa"/>
            <w:vMerge/>
            <w:vAlign w:val="center"/>
          </w:tcPr>
          <w:p w14:paraId="15C176B5" w14:textId="77777777" w:rsidR="004D1935" w:rsidRDefault="004D1935" w:rsidP="00E24DC9">
            <w:pPr>
              <w:jc w:val="center"/>
            </w:pPr>
          </w:p>
        </w:tc>
        <w:tc>
          <w:tcPr>
            <w:tcW w:w="5867" w:type="dxa"/>
            <w:vMerge/>
            <w:vAlign w:val="center"/>
          </w:tcPr>
          <w:p w14:paraId="39F3BC05" w14:textId="77777777" w:rsidR="004D1935" w:rsidRDefault="004D1935" w:rsidP="00E24DC9">
            <w:pPr>
              <w:jc w:val="center"/>
            </w:pPr>
          </w:p>
        </w:tc>
      </w:tr>
      <w:tr w:rsidR="004D1935" w14:paraId="749B456A" w14:textId="77777777" w:rsidTr="00E24DC9">
        <w:tc>
          <w:tcPr>
            <w:tcW w:w="1479" w:type="dxa"/>
            <w:vMerge/>
            <w:vAlign w:val="center"/>
          </w:tcPr>
          <w:p w14:paraId="29A3D375" w14:textId="77777777" w:rsidR="004D1935" w:rsidRDefault="004D1935" w:rsidP="00E24DC9">
            <w:pPr>
              <w:jc w:val="center"/>
            </w:pPr>
          </w:p>
        </w:tc>
        <w:tc>
          <w:tcPr>
            <w:tcW w:w="798" w:type="dxa"/>
            <w:tcBorders>
              <w:top w:val="nil"/>
              <w:bottom w:val="nil"/>
            </w:tcBorders>
            <w:vAlign w:val="center"/>
          </w:tcPr>
          <w:p w14:paraId="0CF3E6F4" w14:textId="77777777" w:rsidR="004D1935" w:rsidRPr="00CF64A4" w:rsidRDefault="004D1935" w:rsidP="00E24DC9">
            <w:pPr>
              <w:jc w:val="center"/>
              <w:rPr>
                <w:sz w:val="13"/>
                <w:szCs w:val="13"/>
              </w:rPr>
            </w:pPr>
            <w:r w:rsidRPr="00CF64A4">
              <w:rPr>
                <w:rFonts w:ascii="Calibri" w:hAnsi="Calibri" w:cs="Calibri"/>
                <w:color w:val="000000"/>
                <w:sz w:val="13"/>
                <w:szCs w:val="13"/>
              </w:rPr>
              <w:t>147.0189</w:t>
            </w:r>
          </w:p>
        </w:tc>
        <w:tc>
          <w:tcPr>
            <w:tcW w:w="1687" w:type="dxa"/>
            <w:vMerge/>
            <w:vAlign w:val="center"/>
          </w:tcPr>
          <w:p w14:paraId="03EFE201" w14:textId="77777777" w:rsidR="004D1935" w:rsidRDefault="004D1935" w:rsidP="00E24DC9">
            <w:pPr>
              <w:jc w:val="center"/>
            </w:pPr>
          </w:p>
        </w:tc>
        <w:tc>
          <w:tcPr>
            <w:tcW w:w="2127" w:type="dxa"/>
            <w:vMerge/>
            <w:vAlign w:val="center"/>
          </w:tcPr>
          <w:p w14:paraId="24BDFF28" w14:textId="77777777" w:rsidR="004D1935" w:rsidRDefault="004D1935" w:rsidP="00E24DC9">
            <w:pPr>
              <w:jc w:val="center"/>
            </w:pPr>
          </w:p>
        </w:tc>
        <w:tc>
          <w:tcPr>
            <w:tcW w:w="992" w:type="dxa"/>
            <w:vMerge/>
            <w:vAlign w:val="center"/>
          </w:tcPr>
          <w:p w14:paraId="27F25D40" w14:textId="77777777" w:rsidR="004D1935" w:rsidRDefault="004D1935" w:rsidP="00E24DC9">
            <w:pPr>
              <w:jc w:val="center"/>
            </w:pPr>
          </w:p>
        </w:tc>
        <w:tc>
          <w:tcPr>
            <w:tcW w:w="5867" w:type="dxa"/>
            <w:vMerge/>
            <w:vAlign w:val="center"/>
          </w:tcPr>
          <w:p w14:paraId="17F0312D" w14:textId="77777777" w:rsidR="004D1935" w:rsidRDefault="004D1935" w:rsidP="00E24DC9">
            <w:pPr>
              <w:jc w:val="center"/>
            </w:pPr>
          </w:p>
        </w:tc>
      </w:tr>
      <w:tr w:rsidR="004D1935" w14:paraId="65BF68C2" w14:textId="77777777" w:rsidTr="00E24DC9">
        <w:tc>
          <w:tcPr>
            <w:tcW w:w="1479" w:type="dxa"/>
            <w:vMerge/>
            <w:vAlign w:val="center"/>
          </w:tcPr>
          <w:p w14:paraId="03C2EAF3" w14:textId="77777777" w:rsidR="004D1935" w:rsidRDefault="004D1935" w:rsidP="00E24DC9">
            <w:pPr>
              <w:jc w:val="center"/>
            </w:pPr>
          </w:p>
        </w:tc>
        <w:tc>
          <w:tcPr>
            <w:tcW w:w="798" w:type="dxa"/>
            <w:tcBorders>
              <w:top w:val="nil"/>
              <w:bottom w:val="nil"/>
            </w:tcBorders>
            <w:vAlign w:val="center"/>
          </w:tcPr>
          <w:p w14:paraId="67BC0E11" w14:textId="77777777" w:rsidR="004D1935" w:rsidRPr="00CF64A4" w:rsidRDefault="004D1935" w:rsidP="00E24DC9">
            <w:pPr>
              <w:jc w:val="center"/>
              <w:rPr>
                <w:sz w:val="13"/>
                <w:szCs w:val="13"/>
              </w:rPr>
            </w:pPr>
            <w:r w:rsidRPr="00CF64A4">
              <w:rPr>
                <w:rFonts w:ascii="Calibri" w:hAnsi="Calibri" w:cs="Calibri"/>
                <w:color w:val="000000"/>
                <w:sz w:val="13"/>
                <w:szCs w:val="13"/>
              </w:rPr>
              <w:t>147.0489</w:t>
            </w:r>
          </w:p>
        </w:tc>
        <w:tc>
          <w:tcPr>
            <w:tcW w:w="1687" w:type="dxa"/>
            <w:vMerge/>
            <w:vAlign w:val="center"/>
          </w:tcPr>
          <w:p w14:paraId="34749F4F" w14:textId="77777777" w:rsidR="004D1935" w:rsidRDefault="004D1935" w:rsidP="00E24DC9">
            <w:pPr>
              <w:jc w:val="center"/>
            </w:pPr>
          </w:p>
        </w:tc>
        <w:tc>
          <w:tcPr>
            <w:tcW w:w="2127" w:type="dxa"/>
            <w:vMerge/>
            <w:vAlign w:val="center"/>
          </w:tcPr>
          <w:p w14:paraId="79105A36" w14:textId="77777777" w:rsidR="004D1935" w:rsidRDefault="004D1935" w:rsidP="00E24DC9">
            <w:pPr>
              <w:jc w:val="center"/>
            </w:pPr>
          </w:p>
        </w:tc>
        <w:tc>
          <w:tcPr>
            <w:tcW w:w="992" w:type="dxa"/>
            <w:vMerge/>
            <w:vAlign w:val="center"/>
          </w:tcPr>
          <w:p w14:paraId="0361B285" w14:textId="77777777" w:rsidR="004D1935" w:rsidRDefault="004D1935" w:rsidP="00E24DC9">
            <w:pPr>
              <w:jc w:val="center"/>
            </w:pPr>
          </w:p>
        </w:tc>
        <w:tc>
          <w:tcPr>
            <w:tcW w:w="5867" w:type="dxa"/>
            <w:vMerge/>
            <w:vAlign w:val="center"/>
          </w:tcPr>
          <w:p w14:paraId="560A572E" w14:textId="77777777" w:rsidR="004D1935" w:rsidRDefault="004D1935" w:rsidP="00E24DC9">
            <w:pPr>
              <w:jc w:val="center"/>
            </w:pPr>
          </w:p>
        </w:tc>
      </w:tr>
      <w:tr w:rsidR="004D1935" w14:paraId="084871A3" w14:textId="77777777" w:rsidTr="00E24DC9">
        <w:tc>
          <w:tcPr>
            <w:tcW w:w="1479" w:type="dxa"/>
            <w:vMerge/>
            <w:vAlign w:val="center"/>
          </w:tcPr>
          <w:p w14:paraId="7B22CDA3" w14:textId="77777777" w:rsidR="004D1935" w:rsidRDefault="004D1935" w:rsidP="00E24DC9">
            <w:pPr>
              <w:jc w:val="center"/>
            </w:pPr>
          </w:p>
        </w:tc>
        <w:tc>
          <w:tcPr>
            <w:tcW w:w="798" w:type="dxa"/>
            <w:tcBorders>
              <w:top w:val="nil"/>
              <w:bottom w:val="nil"/>
            </w:tcBorders>
            <w:vAlign w:val="center"/>
          </w:tcPr>
          <w:p w14:paraId="0137ED64" w14:textId="77777777" w:rsidR="004D1935" w:rsidRPr="00CF64A4" w:rsidRDefault="004D1935" w:rsidP="00E24DC9">
            <w:pPr>
              <w:jc w:val="center"/>
              <w:rPr>
                <w:sz w:val="13"/>
                <w:szCs w:val="13"/>
              </w:rPr>
            </w:pPr>
            <w:r w:rsidRPr="00CF64A4">
              <w:rPr>
                <w:rFonts w:ascii="Calibri" w:hAnsi="Calibri" w:cs="Calibri"/>
                <w:color w:val="000000"/>
                <w:sz w:val="13"/>
                <w:szCs w:val="13"/>
              </w:rPr>
              <w:t>147.0056</w:t>
            </w:r>
          </w:p>
        </w:tc>
        <w:tc>
          <w:tcPr>
            <w:tcW w:w="1687" w:type="dxa"/>
            <w:vMerge/>
            <w:vAlign w:val="center"/>
          </w:tcPr>
          <w:p w14:paraId="599ABC84" w14:textId="77777777" w:rsidR="004D1935" w:rsidRDefault="004D1935" w:rsidP="00E24DC9">
            <w:pPr>
              <w:jc w:val="center"/>
            </w:pPr>
          </w:p>
        </w:tc>
        <w:tc>
          <w:tcPr>
            <w:tcW w:w="2127" w:type="dxa"/>
            <w:vMerge/>
            <w:vAlign w:val="center"/>
          </w:tcPr>
          <w:p w14:paraId="203EEDB8" w14:textId="77777777" w:rsidR="004D1935" w:rsidRDefault="004D1935" w:rsidP="00E24DC9">
            <w:pPr>
              <w:jc w:val="center"/>
            </w:pPr>
          </w:p>
        </w:tc>
        <w:tc>
          <w:tcPr>
            <w:tcW w:w="992" w:type="dxa"/>
            <w:vMerge/>
            <w:vAlign w:val="center"/>
          </w:tcPr>
          <w:p w14:paraId="29328203" w14:textId="77777777" w:rsidR="004D1935" w:rsidRDefault="004D1935" w:rsidP="00E24DC9">
            <w:pPr>
              <w:jc w:val="center"/>
            </w:pPr>
          </w:p>
        </w:tc>
        <w:tc>
          <w:tcPr>
            <w:tcW w:w="5867" w:type="dxa"/>
            <w:vMerge/>
            <w:vAlign w:val="center"/>
          </w:tcPr>
          <w:p w14:paraId="11B28296" w14:textId="77777777" w:rsidR="004D1935" w:rsidRDefault="004D1935" w:rsidP="00E24DC9">
            <w:pPr>
              <w:jc w:val="center"/>
            </w:pPr>
          </w:p>
        </w:tc>
      </w:tr>
      <w:tr w:rsidR="004D1935" w14:paraId="66DC5FD4" w14:textId="77777777" w:rsidTr="00E24DC9">
        <w:tc>
          <w:tcPr>
            <w:tcW w:w="1479" w:type="dxa"/>
            <w:vMerge/>
            <w:vAlign w:val="center"/>
          </w:tcPr>
          <w:p w14:paraId="5E3C3615" w14:textId="77777777" w:rsidR="004D1935" w:rsidRDefault="004D1935" w:rsidP="00E24DC9">
            <w:pPr>
              <w:jc w:val="center"/>
            </w:pPr>
          </w:p>
        </w:tc>
        <w:tc>
          <w:tcPr>
            <w:tcW w:w="798" w:type="dxa"/>
            <w:tcBorders>
              <w:top w:val="nil"/>
              <w:bottom w:val="nil"/>
            </w:tcBorders>
            <w:vAlign w:val="center"/>
          </w:tcPr>
          <w:p w14:paraId="46F3A27D" w14:textId="77777777" w:rsidR="004D1935" w:rsidRPr="00CF64A4" w:rsidRDefault="004D1935" w:rsidP="00E24DC9">
            <w:pPr>
              <w:jc w:val="center"/>
              <w:rPr>
                <w:sz w:val="13"/>
                <w:szCs w:val="13"/>
              </w:rPr>
            </w:pPr>
            <w:r w:rsidRPr="00CF64A4">
              <w:rPr>
                <w:rFonts w:ascii="Calibri" w:hAnsi="Calibri" w:cs="Calibri"/>
                <w:color w:val="000000"/>
                <w:sz w:val="13"/>
                <w:szCs w:val="13"/>
              </w:rPr>
              <w:t>146.9455</w:t>
            </w:r>
          </w:p>
        </w:tc>
        <w:tc>
          <w:tcPr>
            <w:tcW w:w="1687" w:type="dxa"/>
            <w:vMerge/>
            <w:vAlign w:val="center"/>
          </w:tcPr>
          <w:p w14:paraId="0BAD6D9B" w14:textId="77777777" w:rsidR="004D1935" w:rsidRDefault="004D1935" w:rsidP="00E24DC9">
            <w:pPr>
              <w:jc w:val="center"/>
            </w:pPr>
          </w:p>
        </w:tc>
        <w:tc>
          <w:tcPr>
            <w:tcW w:w="2127" w:type="dxa"/>
            <w:vMerge/>
            <w:vAlign w:val="center"/>
          </w:tcPr>
          <w:p w14:paraId="17527EC5" w14:textId="77777777" w:rsidR="004D1935" w:rsidRDefault="004D1935" w:rsidP="00E24DC9">
            <w:pPr>
              <w:jc w:val="center"/>
            </w:pPr>
          </w:p>
        </w:tc>
        <w:tc>
          <w:tcPr>
            <w:tcW w:w="992" w:type="dxa"/>
            <w:vMerge/>
            <w:vAlign w:val="center"/>
          </w:tcPr>
          <w:p w14:paraId="52D60C87" w14:textId="77777777" w:rsidR="004D1935" w:rsidRDefault="004D1935" w:rsidP="00E24DC9">
            <w:pPr>
              <w:jc w:val="center"/>
            </w:pPr>
          </w:p>
        </w:tc>
        <w:tc>
          <w:tcPr>
            <w:tcW w:w="5867" w:type="dxa"/>
            <w:vMerge/>
            <w:vAlign w:val="center"/>
          </w:tcPr>
          <w:p w14:paraId="78AB8363" w14:textId="77777777" w:rsidR="004D1935" w:rsidRDefault="004D1935" w:rsidP="00E24DC9">
            <w:pPr>
              <w:jc w:val="center"/>
            </w:pPr>
          </w:p>
        </w:tc>
      </w:tr>
      <w:tr w:rsidR="004D1935" w14:paraId="15B5FAB9" w14:textId="77777777" w:rsidTr="00E24DC9">
        <w:tc>
          <w:tcPr>
            <w:tcW w:w="1479" w:type="dxa"/>
            <w:vMerge/>
            <w:vAlign w:val="center"/>
          </w:tcPr>
          <w:p w14:paraId="2F553364" w14:textId="77777777" w:rsidR="004D1935" w:rsidRDefault="004D1935" w:rsidP="00E24DC9">
            <w:pPr>
              <w:jc w:val="center"/>
            </w:pPr>
          </w:p>
        </w:tc>
        <w:tc>
          <w:tcPr>
            <w:tcW w:w="798" w:type="dxa"/>
            <w:tcBorders>
              <w:top w:val="nil"/>
              <w:bottom w:val="nil"/>
            </w:tcBorders>
            <w:vAlign w:val="center"/>
          </w:tcPr>
          <w:p w14:paraId="72A141F7" w14:textId="77777777" w:rsidR="004D1935" w:rsidRPr="00CF64A4" w:rsidRDefault="004D1935" w:rsidP="00E24DC9">
            <w:pPr>
              <w:jc w:val="center"/>
              <w:rPr>
                <w:sz w:val="13"/>
                <w:szCs w:val="13"/>
              </w:rPr>
            </w:pPr>
            <w:r w:rsidRPr="00CF64A4">
              <w:rPr>
                <w:rFonts w:ascii="Calibri" w:hAnsi="Calibri" w:cs="Calibri"/>
                <w:color w:val="000000"/>
                <w:sz w:val="13"/>
                <w:szCs w:val="13"/>
              </w:rPr>
              <w:t>147.0197</w:t>
            </w:r>
          </w:p>
        </w:tc>
        <w:tc>
          <w:tcPr>
            <w:tcW w:w="1687" w:type="dxa"/>
            <w:vMerge/>
            <w:vAlign w:val="center"/>
          </w:tcPr>
          <w:p w14:paraId="2F6C9B3D" w14:textId="77777777" w:rsidR="004D1935" w:rsidRDefault="004D1935" w:rsidP="00E24DC9">
            <w:pPr>
              <w:jc w:val="center"/>
            </w:pPr>
          </w:p>
        </w:tc>
        <w:tc>
          <w:tcPr>
            <w:tcW w:w="2127" w:type="dxa"/>
            <w:vMerge/>
            <w:vAlign w:val="center"/>
          </w:tcPr>
          <w:p w14:paraId="748C4C66" w14:textId="77777777" w:rsidR="004D1935" w:rsidRDefault="004D1935" w:rsidP="00E24DC9">
            <w:pPr>
              <w:jc w:val="center"/>
            </w:pPr>
          </w:p>
        </w:tc>
        <w:tc>
          <w:tcPr>
            <w:tcW w:w="992" w:type="dxa"/>
            <w:vMerge/>
            <w:vAlign w:val="center"/>
          </w:tcPr>
          <w:p w14:paraId="455BCBB5" w14:textId="77777777" w:rsidR="004D1935" w:rsidRDefault="004D1935" w:rsidP="00E24DC9">
            <w:pPr>
              <w:jc w:val="center"/>
            </w:pPr>
          </w:p>
        </w:tc>
        <w:tc>
          <w:tcPr>
            <w:tcW w:w="5867" w:type="dxa"/>
            <w:vMerge/>
            <w:vAlign w:val="center"/>
          </w:tcPr>
          <w:p w14:paraId="6DA2B2E5" w14:textId="77777777" w:rsidR="004D1935" w:rsidRDefault="004D1935" w:rsidP="00E24DC9">
            <w:pPr>
              <w:jc w:val="center"/>
            </w:pPr>
          </w:p>
        </w:tc>
      </w:tr>
      <w:tr w:rsidR="004D1935" w14:paraId="752A52B6" w14:textId="77777777" w:rsidTr="00E24DC9">
        <w:tc>
          <w:tcPr>
            <w:tcW w:w="1479" w:type="dxa"/>
            <w:vMerge/>
            <w:vAlign w:val="center"/>
          </w:tcPr>
          <w:p w14:paraId="016044AE" w14:textId="77777777" w:rsidR="004D1935" w:rsidRDefault="004D1935" w:rsidP="00E24DC9">
            <w:pPr>
              <w:jc w:val="center"/>
            </w:pPr>
          </w:p>
        </w:tc>
        <w:tc>
          <w:tcPr>
            <w:tcW w:w="798" w:type="dxa"/>
            <w:tcBorders>
              <w:top w:val="nil"/>
              <w:bottom w:val="nil"/>
            </w:tcBorders>
            <w:vAlign w:val="center"/>
          </w:tcPr>
          <w:p w14:paraId="653786E6" w14:textId="77777777" w:rsidR="004D1935" w:rsidRPr="00CF64A4" w:rsidRDefault="004D1935" w:rsidP="00E24DC9">
            <w:pPr>
              <w:jc w:val="center"/>
              <w:rPr>
                <w:sz w:val="13"/>
                <w:szCs w:val="13"/>
              </w:rPr>
            </w:pPr>
            <w:r w:rsidRPr="00CF64A4">
              <w:rPr>
                <w:rFonts w:ascii="Calibri" w:hAnsi="Calibri" w:cs="Calibri"/>
                <w:color w:val="000000"/>
                <w:sz w:val="13"/>
                <w:szCs w:val="13"/>
              </w:rPr>
              <w:t>147.0754</w:t>
            </w:r>
          </w:p>
        </w:tc>
        <w:tc>
          <w:tcPr>
            <w:tcW w:w="1687" w:type="dxa"/>
            <w:vMerge/>
            <w:vAlign w:val="center"/>
          </w:tcPr>
          <w:p w14:paraId="1E3F0E88" w14:textId="77777777" w:rsidR="004D1935" w:rsidRDefault="004D1935" w:rsidP="00E24DC9">
            <w:pPr>
              <w:jc w:val="center"/>
            </w:pPr>
          </w:p>
        </w:tc>
        <w:tc>
          <w:tcPr>
            <w:tcW w:w="2127" w:type="dxa"/>
            <w:vMerge/>
            <w:vAlign w:val="center"/>
          </w:tcPr>
          <w:p w14:paraId="741D48B3" w14:textId="77777777" w:rsidR="004D1935" w:rsidRDefault="004D1935" w:rsidP="00E24DC9">
            <w:pPr>
              <w:jc w:val="center"/>
            </w:pPr>
          </w:p>
        </w:tc>
        <w:tc>
          <w:tcPr>
            <w:tcW w:w="992" w:type="dxa"/>
            <w:vMerge/>
            <w:vAlign w:val="center"/>
          </w:tcPr>
          <w:p w14:paraId="227AFE4E" w14:textId="77777777" w:rsidR="004D1935" w:rsidRDefault="004D1935" w:rsidP="00E24DC9">
            <w:pPr>
              <w:jc w:val="center"/>
            </w:pPr>
          </w:p>
        </w:tc>
        <w:tc>
          <w:tcPr>
            <w:tcW w:w="5867" w:type="dxa"/>
            <w:vMerge/>
            <w:vAlign w:val="center"/>
          </w:tcPr>
          <w:p w14:paraId="637AB2CD" w14:textId="77777777" w:rsidR="004D1935" w:rsidRDefault="004D1935" w:rsidP="00E24DC9">
            <w:pPr>
              <w:jc w:val="center"/>
            </w:pPr>
          </w:p>
        </w:tc>
      </w:tr>
      <w:tr w:rsidR="004D1935" w14:paraId="7159E240" w14:textId="77777777" w:rsidTr="00E24DC9">
        <w:tc>
          <w:tcPr>
            <w:tcW w:w="1479" w:type="dxa"/>
            <w:vMerge/>
            <w:vAlign w:val="center"/>
          </w:tcPr>
          <w:p w14:paraId="73B41410" w14:textId="77777777" w:rsidR="004D1935" w:rsidRDefault="004D1935" w:rsidP="00E24DC9">
            <w:pPr>
              <w:jc w:val="center"/>
            </w:pPr>
          </w:p>
        </w:tc>
        <w:tc>
          <w:tcPr>
            <w:tcW w:w="798" w:type="dxa"/>
            <w:tcBorders>
              <w:top w:val="nil"/>
              <w:bottom w:val="nil"/>
            </w:tcBorders>
            <w:vAlign w:val="center"/>
          </w:tcPr>
          <w:p w14:paraId="5E72A511" w14:textId="77777777" w:rsidR="004D1935" w:rsidRPr="00CF64A4" w:rsidRDefault="004D1935" w:rsidP="00E24DC9">
            <w:pPr>
              <w:jc w:val="center"/>
              <w:rPr>
                <w:sz w:val="13"/>
                <w:szCs w:val="13"/>
              </w:rPr>
            </w:pPr>
            <w:r w:rsidRPr="00CF64A4">
              <w:rPr>
                <w:rFonts w:ascii="Calibri" w:hAnsi="Calibri" w:cs="Calibri"/>
                <w:color w:val="000000"/>
                <w:sz w:val="13"/>
                <w:szCs w:val="13"/>
              </w:rPr>
              <w:t>146.9146</w:t>
            </w:r>
          </w:p>
        </w:tc>
        <w:tc>
          <w:tcPr>
            <w:tcW w:w="1687" w:type="dxa"/>
            <w:vMerge/>
            <w:vAlign w:val="center"/>
          </w:tcPr>
          <w:p w14:paraId="6F3375BC" w14:textId="77777777" w:rsidR="004D1935" w:rsidRDefault="004D1935" w:rsidP="00E24DC9">
            <w:pPr>
              <w:jc w:val="center"/>
            </w:pPr>
          </w:p>
        </w:tc>
        <w:tc>
          <w:tcPr>
            <w:tcW w:w="2127" w:type="dxa"/>
            <w:vMerge/>
            <w:vAlign w:val="center"/>
          </w:tcPr>
          <w:p w14:paraId="2438911A" w14:textId="77777777" w:rsidR="004D1935" w:rsidRDefault="004D1935" w:rsidP="00E24DC9">
            <w:pPr>
              <w:jc w:val="center"/>
            </w:pPr>
          </w:p>
        </w:tc>
        <w:tc>
          <w:tcPr>
            <w:tcW w:w="992" w:type="dxa"/>
            <w:vMerge/>
            <w:vAlign w:val="center"/>
          </w:tcPr>
          <w:p w14:paraId="29236A30" w14:textId="77777777" w:rsidR="004D1935" w:rsidRDefault="004D1935" w:rsidP="00E24DC9">
            <w:pPr>
              <w:jc w:val="center"/>
            </w:pPr>
          </w:p>
        </w:tc>
        <w:tc>
          <w:tcPr>
            <w:tcW w:w="5867" w:type="dxa"/>
            <w:vMerge/>
            <w:vAlign w:val="center"/>
          </w:tcPr>
          <w:p w14:paraId="4EAD81D0" w14:textId="77777777" w:rsidR="004D1935" w:rsidRDefault="004D1935" w:rsidP="00E24DC9">
            <w:pPr>
              <w:jc w:val="center"/>
            </w:pPr>
          </w:p>
        </w:tc>
      </w:tr>
      <w:tr w:rsidR="004D1935" w14:paraId="7F8E2F01" w14:textId="77777777" w:rsidTr="00E24DC9">
        <w:tc>
          <w:tcPr>
            <w:tcW w:w="1479" w:type="dxa"/>
            <w:vMerge/>
            <w:vAlign w:val="center"/>
          </w:tcPr>
          <w:p w14:paraId="20499B5A" w14:textId="77777777" w:rsidR="004D1935" w:rsidRDefault="004D1935" w:rsidP="00E24DC9">
            <w:pPr>
              <w:jc w:val="center"/>
            </w:pPr>
          </w:p>
        </w:tc>
        <w:tc>
          <w:tcPr>
            <w:tcW w:w="798" w:type="dxa"/>
            <w:tcBorders>
              <w:top w:val="nil"/>
              <w:bottom w:val="nil"/>
            </w:tcBorders>
            <w:vAlign w:val="center"/>
          </w:tcPr>
          <w:p w14:paraId="42D986F7" w14:textId="77777777" w:rsidR="004D1935" w:rsidRPr="00CF64A4" w:rsidRDefault="004D1935" w:rsidP="00E24DC9">
            <w:pPr>
              <w:jc w:val="center"/>
              <w:rPr>
                <w:sz w:val="13"/>
                <w:szCs w:val="13"/>
              </w:rPr>
            </w:pPr>
            <w:r w:rsidRPr="00CF64A4">
              <w:rPr>
                <w:rFonts w:ascii="Calibri" w:hAnsi="Calibri" w:cs="Calibri"/>
                <w:color w:val="000000"/>
                <w:sz w:val="13"/>
                <w:szCs w:val="13"/>
              </w:rPr>
              <w:t>146.9411</w:t>
            </w:r>
          </w:p>
        </w:tc>
        <w:tc>
          <w:tcPr>
            <w:tcW w:w="1687" w:type="dxa"/>
            <w:vMerge/>
            <w:vAlign w:val="center"/>
          </w:tcPr>
          <w:p w14:paraId="2E1B7F35" w14:textId="77777777" w:rsidR="004D1935" w:rsidRDefault="004D1935" w:rsidP="00E24DC9">
            <w:pPr>
              <w:jc w:val="center"/>
            </w:pPr>
          </w:p>
        </w:tc>
        <w:tc>
          <w:tcPr>
            <w:tcW w:w="2127" w:type="dxa"/>
            <w:vMerge/>
            <w:vAlign w:val="center"/>
          </w:tcPr>
          <w:p w14:paraId="6FEBE70C" w14:textId="77777777" w:rsidR="004D1935" w:rsidRDefault="004D1935" w:rsidP="00E24DC9">
            <w:pPr>
              <w:jc w:val="center"/>
            </w:pPr>
          </w:p>
        </w:tc>
        <w:tc>
          <w:tcPr>
            <w:tcW w:w="992" w:type="dxa"/>
            <w:vMerge/>
            <w:vAlign w:val="center"/>
          </w:tcPr>
          <w:p w14:paraId="480BAC8C" w14:textId="77777777" w:rsidR="004D1935" w:rsidRDefault="004D1935" w:rsidP="00E24DC9">
            <w:pPr>
              <w:jc w:val="center"/>
            </w:pPr>
          </w:p>
        </w:tc>
        <w:tc>
          <w:tcPr>
            <w:tcW w:w="5867" w:type="dxa"/>
            <w:vMerge/>
            <w:vAlign w:val="center"/>
          </w:tcPr>
          <w:p w14:paraId="02E75400" w14:textId="77777777" w:rsidR="004D1935" w:rsidRDefault="004D1935" w:rsidP="00E24DC9">
            <w:pPr>
              <w:jc w:val="center"/>
            </w:pPr>
          </w:p>
        </w:tc>
      </w:tr>
      <w:tr w:rsidR="004D1935" w14:paraId="19B6B246" w14:textId="77777777" w:rsidTr="00E24DC9">
        <w:tc>
          <w:tcPr>
            <w:tcW w:w="1479" w:type="dxa"/>
            <w:vMerge/>
            <w:vAlign w:val="center"/>
          </w:tcPr>
          <w:p w14:paraId="0CAE439D" w14:textId="77777777" w:rsidR="004D1935" w:rsidRDefault="004D1935" w:rsidP="00E24DC9">
            <w:pPr>
              <w:jc w:val="center"/>
            </w:pPr>
          </w:p>
        </w:tc>
        <w:tc>
          <w:tcPr>
            <w:tcW w:w="798" w:type="dxa"/>
            <w:tcBorders>
              <w:top w:val="nil"/>
              <w:bottom w:val="nil"/>
            </w:tcBorders>
            <w:vAlign w:val="center"/>
          </w:tcPr>
          <w:p w14:paraId="14648706" w14:textId="77777777" w:rsidR="004D1935" w:rsidRPr="00CF64A4" w:rsidRDefault="004D1935" w:rsidP="00E24DC9">
            <w:pPr>
              <w:jc w:val="center"/>
              <w:rPr>
                <w:sz w:val="13"/>
                <w:szCs w:val="13"/>
              </w:rPr>
            </w:pPr>
            <w:r w:rsidRPr="00CF64A4">
              <w:rPr>
                <w:rFonts w:ascii="Calibri" w:hAnsi="Calibri" w:cs="Calibri"/>
                <w:color w:val="000000"/>
                <w:sz w:val="13"/>
                <w:szCs w:val="13"/>
              </w:rPr>
              <w:t>146.9676</w:t>
            </w:r>
          </w:p>
        </w:tc>
        <w:tc>
          <w:tcPr>
            <w:tcW w:w="1687" w:type="dxa"/>
            <w:vMerge/>
            <w:vAlign w:val="center"/>
          </w:tcPr>
          <w:p w14:paraId="6F9CB25D" w14:textId="77777777" w:rsidR="004D1935" w:rsidRDefault="004D1935" w:rsidP="00E24DC9">
            <w:pPr>
              <w:jc w:val="center"/>
            </w:pPr>
          </w:p>
        </w:tc>
        <w:tc>
          <w:tcPr>
            <w:tcW w:w="2127" w:type="dxa"/>
            <w:vMerge/>
            <w:vAlign w:val="center"/>
          </w:tcPr>
          <w:p w14:paraId="69739B09" w14:textId="77777777" w:rsidR="004D1935" w:rsidRDefault="004D1935" w:rsidP="00E24DC9">
            <w:pPr>
              <w:jc w:val="center"/>
            </w:pPr>
          </w:p>
        </w:tc>
        <w:tc>
          <w:tcPr>
            <w:tcW w:w="992" w:type="dxa"/>
            <w:vMerge/>
            <w:vAlign w:val="center"/>
          </w:tcPr>
          <w:p w14:paraId="130F8ED9" w14:textId="77777777" w:rsidR="004D1935" w:rsidRDefault="004D1935" w:rsidP="00E24DC9">
            <w:pPr>
              <w:jc w:val="center"/>
            </w:pPr>
          </w:p>
        </w:tc>
        <w:tc>
          <w:tcPr>
            <w:tcW w:w="5867" w:type="dxa"/>
            <w:vMerge/>
            <w:vAlign w:val="center"/>
          </w:tcPr>
          <w:p w14:paraId="56E7E7DB" w14:textId="77777777" w:rsidR="004D1935" w:rsidRDefault="004D1935" w:rsidP="00E24DC9">
            <w:pPr>
              <w:jc w:val="center"/>
            </w:pPr>
          </w:p>
        </w:tc>
      </w:tr>
      <w:tr w:rsidR="004D1935" w14:paraId="6A1B452A" w14:textId="77777777" w:rsidTr="00E24DC9">
        <w:tc>
          <w:tcPr>
            <w:tcW w:w="1479" w:type="dxa"/>
            <w:vMerge/>
            <w:vAlign w:val="center"/>
          </w:tcPr>
          <w:p w14:paraId="10E1E89F" w14:textId="77777777" w:rsidR="004D1935" w:rsidRDefault="004D1935" w:rsidP="00E24DC9">
            <w:pPr>
              <w:jc w:val="center"/>
            </w:pPr>
          </w:p>
        </w:tc>
        <w:tc>
          <w:tcPr>
            <w:tcW w:w="798" w:type="dxa"/>
            <w:tcBorders>
              <w:top w:val="nil"/>
              <w:bottom w:val="nil"/>
            </w:tcBorders>
            <w:vAlign w:val="center"/>
          </w:tcPr>
          <w:p w14:paraId="45A5D049" w14:textId="77777777" w:rsidR="004D1935" w:rsidRPr="00CF64A4" w:rsidRDefault="004D1935" w:rsidP="00E24DC9">
            <w:pPr>
              <w:jc w:val="center"/>
              <w:rPr>
                <w:sz w:val="13"/>
                <w:szCs w:val="13"/>
              </w:rPr>
            </w:pPr>
            <w:r w:rsidRPr="00CF64A4">
              <w:rPr>
                <w:rFonts w:ascii="Calibri" w:hAnsi="Calibri" w:cs="Calibri"/>
                <w:color w:val="000000"/>
                <w:sz w:val="13"/>
                <w:szCs w:val="13"/>
              </w:rPr>
              <w:t>146.9941</w:t>
            </w:r>
          </w:p>
        </w:tc>
        <w:tc>
          <w:tcPr>
            <w:tcW w:w="1687" w:type="dxa"/>
            <w:vMerge/>
            <w:vAlign w:val="center"/>
          </w:tcPr>
          <w:p w14:paraId="05346706" w14:textId="77777777" w:rsidR="004D1935" w:rsidRDefault="004D1935" w:rsidP="00E24DC9">
            <w:pPr>
              <w:jc w:val="center"/>
            </w:pPr>
          </w:p>
        </w:tc>
        <w:tc>
          <w:tcPr>
            <w:tcW w:w="2127" w:type="dxa"/>
            <w:vMerge/>
            <w:vAlign w:val="center"/>
          </w:tcPr>
          <w:p w14:paraId="4661173D" w14:textId="77777777" w:rsidR="004D1935" w:rsidRDefault="004D1935" w:rsidP="00E24DC9">
            <w:pPr>
              <w:jc w:val="center"/>
            </w:pPr>
          </w:p>
        </w:tc>
        <w:tc>
          <w:tcPr>
            <w:tcW w:w="992" w:type="dxa"/>
            <w:vMerge/>
            <w:vAlign w:val="center"/>
          </w:tcPr>
          <w:p w14:paraId="15C552A2" w14:textId="77777777" w:rsidR="004D1935" w:rsidRDefault="004D1935" w:rsidP="00E24DC9">
            <w:pPr>
              <w:jc w:val="center"/>
            </w:pPr>
          </w:p>
        </w:tc>
        <w:tc>
          <w:tcPr>
            <w:tcW w:w="5867" w:type="dxa"/>
            <w:vMerge/>
            <w:vAlign w:val="center"/>
          </w:tcPr>
          <w:p w14:paraId="4DFFD1AA" w14:textId="77777777" w:rsidR="004D1935" w:rsidRDefault="004D1935" w:rsidP="00E24DC9">
            <w:pPr>
              <w:jc w:val="center"/>
            </w:pPr>
          </w:p>
        </w:tc>
      </w:tr>
      <w:tr w:rsidR="004D1935" w14:paraId="2757E545" w14:textId="77777777" w:rsidTr="00E24DC9">
        <w:tc>
          <w:tcPr>
            <w:tcW w:w="1479" w:type="dxa"/>
            <w:vMerge/>
            <w:vAlign w:val="center"/>
          </w:tcPr>
          <w:p w14:paraId="3339575E" w14:textId="77777777" w:rsidR="004D1935" w:rsidRDefault="004D1935" w:rsidP="00E24DC9">
            <w:pPr>
              <w:jc w:val="center"/>
            </w:pPr>
          </w:p>
        </w:tc>
        <w:tc>
          <w:tcPr>
            <w:tcW w:w="798" w:type="dxa"/>
            <w:tcBorders>
              <w:top w:val="nil"/>
              <w:bottom w:val="nil"/>
            </w:tcBorders>
            <w:vAlign w:val="center"/>
          </w:tcPr>
          <w:p w14:paraId="39D97555" w14:textId="77777777" w:rsidR="004D1935" w:rsidRPr="00CF64A4" w:rsidRDefault="004D1935" w:rsidP="00E24DC9">
            <w:pPr>
              <w:jc w:val="center"/>
              <w:rPr>
                <w:sz w:val="13"/>
                <w:szCs w:val="13"/>
              </w:rPr>
            </w:pPr>
            <w:r w:rsidRPr="00CF64A4">
              <w:rPr>
                <w:rFonts w:ascii="Calibri" w:hAnsi="Calibri" w:cs="Calibri"/>
                <w:color w:val="000000"/>
                <w:sz w:val="13"/>
                <w:szCs w:val="13"/>
              </w:rPr>
              <w:t>147.0215</w:t>
            </w:r>
          </w:p>
        </w:tc>
        <w:tc>
          <w:tcPr>
            <w:tcW w:w="1687" w:type="dxa"/>
            <w:vMerge/>
            <w:vAlign w:val="center"/>
          </w:tcPr>
          <w:p w14:paraId="667722F5" w14:textId="77777777" w:rsidR="004D1935" w:rsidRDefault="004D1935" w:rsidP="00E24DC9">
            <w:pPr>
              <w:jc w:val="center"/>
            </w:pPr>
          </w:p>
        </w:tc>
        <w:tc>
          <w:tcPr>
            <w:tcW w:w="2127" w:type="dxa"/>
            <w:vMerge/>
            <w:vAlign w:val="center"/>
          </w:tcPr>
          <w:p w14:paraId="0384EC1F" w14:textId="77777777" w:rsidR="004D1935" w:rsidRDefault="004D1935" w:rsidP="00E24DC9">
            <w:pPr>
              <w:jc w:val="center"/>
            </w:pPr>
          </w:p>
        </w:tc>
        <w:tc>
          <w:tcPr>
            <w:tcW w:w="992" w:type="dxa"/>
            <w:vMerge/>
            <w:vAlign w:val="center"/>
          </w:tcPr>
          <w:p w14:paraId="1D630FF2" w14:textId="77777777" w:rsidR="004D1935" w:rsidRDefault="004D1935" w:rsidP="00E24DC9">
            <w:pPr>
              <w:jc w:val="center"/>
            </w:pPr>
          </w:p>
        </w:tc>
        <w:tc>
          <w:tcPr>
            <w:tcW w:w="5867" w:type="dxa"/>
            <w:vMerge/>
            <w:vAlign w:val="center"/>
          </w:tcPr>
          <w:p w14:paraId="7C67709B" w14:textId="77777777" w:rsidR="004D1935" w:rsidRDefault="004D1935" w:rsidP="00E24DC9">
            <w:pPr>
              <w:jc w:val="center"/>
            </w:pPr>
          </w:p>
        </w:tc>
      </w:tr>
      <w:tr w:rsidR="004D1935" w14:paraId="4EE597F6" w14:textId="77777777" w:rsidTr="00E24DC9">
        <w:tc>
          <w:tcPr>
            <w:tcW w:w="1479" w:type="dxa"/>
            <w:vMerge/>
            <w:vAlign w:val="center"/>
          </w:tcPr>
          <w:p w14:paraId="72033E63" w14:textId="77777777" w:rsidR="004D1935" w:rsidRDefault="004D1935" w:rsidP="00E24DC9">
            <w:pPr>
              <w:jc w:val="center"/>
            </w:pPr>
          </w:p>
        </w:tc>
        <w:tc>
          <w:tcPr>
            <w:tcW w:w="798" w:type="dxa"/>
            <w:tcBorders>
              <w:top w:val="nil"/>
              <w:bottom w:val="nil"/>
            </w:tcBorders>
            <w:vAlign w:val="center"/>
          </w:tcPr>
          <w:p w14:paraId="017D5042" w14:textId="77777777" w:rsidR="004D1935" w:rsidRPr="00CF64A4" w:rsidRDefault="004D1935" w:rsidP="00E24DC9">
            <w:pPr>
              <w:jc w:val="center"/>
              <w:rPr>
                <w:sz w:val="13"/>
                <w:szCs w:val="13"/>
              </w:rPr>
            </w:pPr>
            <w:r w:rsidRPr="00CF64A4">
              <w:rPr>
                <w:rFonts w:ascii="Calibri" w:hAnsi="Calibri" w:cs="Calibri"/>
                <w:color w:val="000000"/>
                <w:sz w:val="13"/>
                <w:szCs w:val="13"/>
              </w:rPr>
              <w:t>146.9022</w:t>
            </w:r>
          </w:p>
        </w:tc>
        <w:tc>
          <w:tcPr>
            <w:tcW w:w="1687" w:type="dxa"/>
            <w:vMerge/>
            <w:vAlign w:val="center"/>
          </w:tcPr>
          <w:p w14:paraId="3F7CA3DB" w14:textId="77777777" w:rsidR="004D1935" w:rsidRDefault="004D1935" w:rsidP="00E24DC9">
            <w:pPr>
              <w:jc w:val="center"/>
            </w:pPr>
          </w:p>
        </w:tc>
        <w:tc>
          <w:tcPr>
            <w:tcW w:w="2127" w:type="dxa"/>
            <w:vMerge/>
            <w:vAlign w:val="center"/>
          </w:tcPr>
          <w:p w14:paraId="2BA6E506" w14:textId="77777777" w:rsidR="004D1935" w:rsidRDefault="004D1935" w:rsidP="00E24DC9">
            <w:pPr>
              <w:jc w:val="center"/>
            </w:pPr>
          </w:p>
        </w:tc>
        <w:tc>
          <w:tcPr>
            <w:tcW w:w="992" w:type="dxa"/>
            <w:vMerge/>
            <w:vAlign w:val="center"/>
          </w:tcPr>
          <w:p w14:paraId="3CACDBAA" w14:textId="77777777" w:rsidR="004D1935" w:rsidRDefault="004D1935" w:rsidP="00E24DC9">
            <w:pPr>
              <w:jc w:val="center"/>
            </w:pPr>
          </w:p>
        </w:tc>
        <w:tc>
          <w:tcPr>
            <w:tcW w:w="5867" w:type="dxa"/>
            <w:vMerge/>
            <w:vAlign w:val="center"/>
          </w:tcPr>
          <w:p w14:paraId="4E73E358" w14:textId="77777777" w:rsidR="004D1935" w:rsidRDefault="004D1935" w:rsidP="00E24DC9">
            <w:pPr>
              <w:jc w:val="center"/>
            </w:pPr>
          </w:p>
        </w:tc>
      </w:tr>
      <w:tr w:rsidR="004D1935" w14:paraId="513BA8E7" w14:textId="77777777" w:rsidTr="00E24DC9">
        <w:tc>
          <w:tcPr>
            <w:tcW w:w="1479" w:type="dxa"/>
            <w:vMerge/>
            <w:vAlign w:val="center"/>
          </w:tcPr>
          <w:p w14:paraId="59038EE8" w14:textId="77777777" w:rsidR="004D1935" w:rsidRDefault="004D1935" w:rsidP="00E24DC9">
            <w:pPr>
              <w:jc w:val="center"/>
            </w:pPr>
          </w:p>
        </w:tc>
        <w:tc>
          <w:tcPr>
            <w:tcW w:w="798" w:type="dxa"/>
            <w:tcBorders>
              <w:top w:val="nil"/>
              <w:bottom w:val="nil"/>
            </w:tcBorders>
            <w:vAlign w:val="center"/>
          </w:tcPr>
          <w:p w14:paraId="788E529D" w14:textId="77777777" w:rsidR="004D1935" w:rsidRPr="00CF64A4" w:rsidRDefault="004D1935" w:rsidP="00E24DC9">
            <w:pPr>
              <w:jc w:val="center"/>
              <w:rPr>
                <w:sz w:val="13"/>
                <w:szCs w:val="13"/>
              </w:rPr>
            </w:pPr>
            <w:r w:rsidRPr="00CF64A4">
              <w:rPr>
                <w:rFonts w:ascii="Calibri" w:hAnsi="Calibri" w:cs="Calibri"/>
                <w:color w:val="000000"/>
                <w:sz w:val="13"/>
                <w:szCs w:val="13"/>
              </w:rPr>
              <w:t>146.9570</w:t>
            </w:r>
          </w:p>
        </w:tc>
        <w:tc>
          <w:tcPr>
            <w:tcW w:w="1687" w:type="dxa"/>
            <w:vMerge/>
            <w:vAlign w:val="center"/>
          </w:tcPr>
          <w:p w14:paraId="0704464D" w14:textId="77777777" w:rsidR="004D1935" w:rsidRDefault="004D1935" w:rsidP="00E24DC9">
            <w:pPr>
              <w:jc w:val="center"/>
            </w:pPr>
          </w:p>
        </w:tc>
        <w:tc>
          <w:tcPr>
            <w:tcW w:w="2127" w:type="dxa"/>
            <w:vMerge/>
            <w:vAlign w:val="center"/>
          </w:tcPr>
          <w:p w14:paraId="4A09B5CA" w14:textId="77777777" w:rsidR="004D1935" w:rsidRDefault="004D1935" w:rsidP="00E24DC9">
            <w:pPr>
              <w:jc w:val="center"/>
            </w:pPr>
          </w:p>
        </w:tc>
        <w:tc>
          <w:tcPr>
            <w:tcW w:w="992" w:type="dxa"/>
            <w:vMerge/>
            <w:vAlign w:val="center"/>
          </w:tcPr>
          <w:p w14:paraId="718FDA99" w14:textId="77777777" w:rsidR="004D1935" w:rsidRDefault="004D1935" w:rsidP="00E24DC9">
            <w:pPr>
              <w:jc w:val="center"/>
            </w:pPr>
          </w:p>
        </w:tc>
        <w:tc>
          <w:tcPr>
            <w:tcW w:w="5867" w:type="dxa"/>
            <w:vMerge/>
            <w:vAlign w:val="center"/>
          </w:tcPr>
          <w:p w14:paraId="36C22614" w14:textId="77777777" w:rsidR="004D1935" w:rsidRDefault="004D1935" w:rsidP="00E24DC9">
            <w:pPr>
              <w:jc w:val="center"/>
            </w:pPr>
          </w:p>
        </w:tc>
      </w:tr>
      <w:tr w:rsidR="004D1935" w14:paraId="5CFF4525" w14:textId="77777777" w:rsidTr="00E24DC9">
        <w:tc>
          <w:tcPr>
            <w:tcW w:w="1479" w:type="dxa"/>
            <w:vMerge/>
            <w:vAlign w:val="center"/>
          </w:tcPr>
          <w:p w14:paraId="78CB8560" w14:textId="77777777" w:rsidR="004D1935" w:rsidRDefault="004D1935" w:rsidP="00E24DC9">
            <w:pPr>
              <w:jc w:val="center"/>
            </w:pPr>
          </w:p>
        </w:tc>
        <w:tc>
          <w:tcPr>
            <w:tcW w:w="798" w:type="dxa"/>
            <w:tcBorders>
              <w:top w:val="nil"/>
              <w:bottom w:val="nil"/>
            </w:tcBorders>
            <w:vAlign w:val="center"/>
          </w:tcPr>
          <w:p w14:paraId="32C89D73" w14:textId="77777777" w:rsidR="004D1935" w:rsidRPr="00CF64A4" w:rsidRDefault="004D1935" w:rsidP="00E24DC9">
            <w:pPr>
              <w:jc w:val="center"/>
              <w:rPr>
                <w:sz w:val="13"/>
                <w:szCs w:val="13"/>
              </w:rPr>
            </w:pPr>
            <w:r w:rsidRPr="00CF64A4">
              <w:rPr>
                <w:rFonts w:ascii="Calibri" w:hAnsi="Calibri" w:cs="Calibri"/>
                <w:color w:val="000000"/>
                <w:sz w:val="13"/>
                <w:szCs w:val="13"/>
              </w:rPr>
              <w:t>147.0162</w:t>
            </w:r>
          </w:p>
        </w:tc>
        <w:tc>
          <w:tcPr>
            <w:tcW w:w="1687" w:type="dxa"/>
            <w:vMerge/>
            <w:vAlign w:val="center"/>
          </w:tcPr>
          <w:p w14:paraId="554D1C11" w14:textId="77777777" w:rsidR="004D1935" w:rsidRDefault="004D1935" w:rsidP="00E24DC9">
            <w:pPr>
              <w:jc w:val="center"/>
            </w:pPr>
          </w:p>
        </w:tc>
        <w:tc>
          <w:tcPr>
            <w:tcW w:w="2127" w:type="dxa"/>
            <w:vMerge/>
            <w:vAlign w:val="center"/>
          </w:tcPr>
          <w:p w14:paraId="0A3AA979" w14:textId="77777777" w:rsidR="004D1935" w:rsidRDefault="004D1935" w:rsidP="00E24DC9">
            <w:pPr>
              <w:jc w:val="center"/>
            </w:pPr>
          </w:p>
        </w:tc>
        <w:tc>
          <w:tcPr>
            <w:tcW w:w="992" w:type="dxa"/>
            <w:vMerge/>
            <w:vAlign w:val="center"/>
          </w:tcPr>
          <w:p w14:paraId="07842CA6" w14:textId="77777777" w:rsidR="004D1935" w:rsidRDefault="004D1935" w:rsidP="00E24DC9">
            <w:pPr>
              <w:jc w:val="center"/>
            </w:pPr>
          </w:p>
        </w:tc>
        <w:tc>
          <w:tcPr>
            <w:tcW w:w="5867" w:type="dxa"/>
            <w:vMerge/>
            <w:vAlign w:val="center"/>
          </w:tcPr>
          <w:p w14:paraId="74B19DCA" w14:textId="77777777" w:rsidR="004D1935" w:rsidRDefault="004D1935" w:rsidP="00E24DC9">
            <w:pPr>
              <w:jc w:val="center"/>
            </w:pPr>
          </w:p>
        </w:tc>
      </w:tr>
      <w:tr w:rsidR="004D1935" w14:paraId="1E7F8D8E" w14:textId="77777777" w:rsidTr="00E24DC9">
        <w:tc>
          <w:tcPr>
            <w:tcW w:w="1479" w:type="dxa"/>
            <w:vMerge/>
            <w:vAlign w:val="center"/>
          </w:tcPr>
          <w:p w14:paraId="480C7289" w14:textId="77777777" w:rsidR="004D1935" w:rsidRDefault="004D1935" w:rsidP="00E24DC9">
            <w:pPr>
              <w:jc w:val="center"/>
            </w:pPr>
          </w:p>
        </w:tc>
        <w:tc>
          <w:tcPr>
            <w:tcW w:w="798" w:type="dxa"/>
            <w:tcBorders>
              <w:top w:val="nil"/>
              <w:bottom w:val="nil"/>
            </w:tcBorders>
            <w:vAlign w:val="center"/>
          </w:tcPr>
          <w:p w14:paraId="2092C04C" w14:textId="77777777" w:rsidR="004D1935" w:rsidRPr="00CF64A4" w:rsidRDefault="004D1935" w:rsidP="00E24DC9">
            <w:pPr>
              <w:jc w:val="center"/>
              <w:rPr>
                <w:sz w:val="13"/>
                <w:szCs w:val="13"/>
              </w:rPr>
            </w:pPr>
            <w:r w:rsidRPr="00CF64A4">
              <w:rPr>
                <w:rFonts w:ascii="Calibri" w:hAnsi="Calibri" w:cs="Calibri"/>
                <w:color w:val="000000"/>
                <w:sz w:val="13"/>
                <w:szCs w:val="13"/>
              </w:rPr>
              <w:t>146.9287</w:t>
            </w:r>
          </w:p>
        </w:tc>
        <w:tc>
          <w:tcPr>
            <w:tcW w:w="1687" w:type="dxa"/>
            <w:vMerge/>
            <w:vAlign w:val="center"/>
          </w:tcPr>
          <w:p w14:paraId="38E7E4DF" w14:textId="77777777" w:rsidR="004D1935" w:rsidRDefault="004D1935" w:rsidP="00E24DC9">
            <w:pPr>
              <w:jc w:val="center"/>
            </w:pPr>
          </w:p>
        </w:tc>
        <w:tc>
          <w:tcPr>
            <w:tcW w:w="2127" w:type="dxa"/>
            <w:vMerge/>
            <w:vAlign w:val="center"/>
          </w:tcPr>
          <w:p w14:paraId="334420DF" w14:textId="77777777" w:rsidR="004D1935" w:rsidRDefault="004D1935" w:rsidP="00E24DC9">
            <w:pPr>
              <w:jc w:val="center"/>
            </w:pPr>
          </w:p>
        </w:tc>
        <w:tc>
          <w:tcPr>
            <w:tcW w:w="992" w:type="dxa"/>
            <w:vMerge/>
            <w:vAlign w:val="center"/>
          </w:tcPr>
          <w:p w14:paraId="57ADC707" w14:textId="77777777" w:rsidR="004D1935" w:rsidRDefault="004D1935" w:rsidP="00E24DC9">
            <w:pPr>
              <w:jc w:val="center"/>
            </w:pPr>
          </w:p>
        </w:tc>
        <w:tc>
          <w:tcPr>
            <w:tcW w:w="5867" w:type="dxa"/>
            <w:vMerge/>
            <w:vAlign w:val="center"/>
          </w:tcPr>
          <w:p w14:paraId="40B94457" w14:textId="77777777" w:rsidR="004D1935" w:rsidRDefault="004D1935" w:rsidP="00E24DC9">
            <w:pPr>
              <w:jc w:val="center"/>
            </w:pPr>
          </w:p>
        </w:tc>
      </w:tr>
      <w:tr w:rsidR="004D1935" w14:paraId="010E9DE9" w14:textId="77777777" w:rsidTr="00E24DC9">
        <w:tc>
          <w:tcPr>
            <w:tcW w:w="1479" w:type="dxa"/>
            <w:vMerge/>
            <w:vAlign w:val="center"/>
          </w:tcPr>
          <w:p w14:paraId="1E665329" w14:textId="77777777" w:rsidR="004D1935" w:rsidRDefault="004D1935" w:rsidP="00E24DC9">
            <w:pPr>
              <w:jc w:val="center"/>
            </w:pPr>
          </w:p>
        </w:tc>
        <w:tc>
          <w:tcPr>
            <w:tcW w:w="798" w:type="dxa"/>
            <w:tcBorders>
              <w:top w:val="nil"/>
              <w:bottom w:val="nil"/>
            </w:tcBorders>
            <w:vAlign w:val="center"/>
          </w:tcPr>
          <w:p w14:paraId="569105D0" w14:textId="77777777" w:rsidR="004D1935" w:rsidRPr="00CF64A4" w:rsidRDefault="004D1935" w:rsidP="00E24DC9">
            <w:pPr>
              <w:jc w:val="center"/>
              <w:rPr>
                <w:rFonts w:ascii="Calibri" w:hAnsi="Calibri" w:cs="Calibri"/>
                <w:color w:val="000000"/>
                <w:sz w:val="13"/>
                <w:szCs w:val="13"/>
              </w:rPr>
            </w:pPr>
            <w:r w:rsidRPr="00CF64A4">
              <w:rPr>
                <w:rFonts w:ascii="Calibri" w:hAnsi="Calibri" w:cs="Calibri"/>
                <w:color w:val="000000"/>
                <w:sz w:val="13"/>
                <w:szCs w:val="13"/>
              </w:rPr>
              <w:t>146.9553</w:t>
            </w:r>
          </w:p>
        </w:tc>
        <w:tc>
          <w:tcPr>
            <w:tcW w:w="1687" w:type="dxa"/>
            <w:vMerge/>
            <w:vAlign w:val="center"/>
          </w:tcPr>
          <w:p w14:paraId="1498E611" w14:textId="77777777" w:rsidR="004D1935" w:rsidRDefault="004D1935" w:rsidP="00E24DC9">
            <w:pPr>
              <w:jc w:val="center"/>
            </w:pPr>
          </w:p>
        </w:tc>
        <w:tc>
          <w:tcPr>
            <w:tcW w:w="2127" w:type="dxa"/>
            <w:vMerge/>
            <w:vAlign w:val="center"/>
          </w:tcPr>
          <w:p w14:paraId="48BEC40F" w14:textId="77777777" w:rsidR="004D1935" w:rsidRDefault="004D1935" w:rsidP="00E24DC9">
            <w:pPr>
              <w:jc w:val="center"/>
            </w:pPr>
          </w:p>
        </w:tc>
        <w:tc>
          <w:tcPr>
            <w:tcW w:w="992" w:type="dxa"/>
            <w:vMerge/>
            <w:vAlign w:val="center"/>
          </w:tcPr>
          <w:p w14:paraId="597461E4" w14:textId="77777777" w:rsidR="004D1935" w:rsidRDefault="004D1935" w:rsidP="00E24DC9">
            <w:pPr>
              <w:jc w:val="center"/>
            </w:pPr>
          </w:p>
        </w:tc>
        <w:tc>
          <w:tcPr>
            <w:tcW w:w="5867" w:type="dxa"/>
            <w:vMerge/>
            <w:vAlign w:val="center"/>
          </w:tcPr>
          <w:p w14:paraId="60DC5DFD" w14:textId="77777777" w:rsidR="004D1935" w:rsidRDefault="004D1935" w:rsidP="00E24DC9">
            <w:pPr>
              <w:jc w:val="center"/>
            </w:pPr>
          </w:p>
        </w:tc>
      </w:tr>
      <w:tr w:rsidR="004D1935" w14:paraId="6DADF3C9" w14:textId="77777777" w:rsidTr="00E24DC9">
        <w:tc>
          <w:tcPr>
            <w:tcW w:w="1479" w:type="dxa"/>
            <w:vMerge/>
            <w:vAlign w:val="center"/>
          </w:tcPr>
          <w:p w14:paraId="28CCB5CF" w14:textId="77777777" w:rsidR="004D1935" w:rsidRDefault="004D1935" w:rsidP="00E24DC9">
            <w:pPr>
              <w:jc w:val="center"/>
            </w:pPr>
          </w:p>
        </w:tc>
        <w:tc>
          <w:tcPr>
            <w:tcW w:w="798" w:type="dxa"/>
            <w:tcBorders>
              <w:top w:val="nil"/>
              <w:bottom w:val="nil"/>
            </w:tcBorders>
            <w:vAlign w:val="center"/>
          </w:tcPr>
          <w:p w14:paraId="50678896" w14:textId="77777777" w:rsidR="004D1935" w:rsidRPr="00CF64A4" w:rsidRDefault="004D1935" w:rsidP="00E24DC9">
            <w:pPr>
              <w:jc w:val="center"/>
              <w:rPr>
                <w:rFonts w:ascii="Calibri" w:hAnsi="Calibri" w:cs="Calibri"/>
                <w:color w:val="000000"/>
                <w:sz w:val="13"/>
                <w:szCs w:val="13"/>
              </w:rPr>
            </w:pPr>
            <w:r w:rsidRPr="00CF64A4">
              <w:rPr>
                <w:rFonts w:ascii="Calibri" w:hAnsi="Calibri" w:cs="Calibri"/>
                <w:color w:val="000000"/>
                <w:sz w:val="13"/>
                <w:szCs w:val="13"/>
              </w:rPr>
              <w:t>146.9535</w:t>
            </w:r>
          </w:p>
        </w:tc>
        <w:tc>
          <w:tcPr>
            <w:tcW w:w="1687" w:type="dxa"/>
            <w:vMerge/>
            <w:vAlign w:val="center"/>
          </w:tcPr>
          <w:p w14:paraId="2EEFC549" w14:textId="77777777" w:rsidR="004D1935" w:rsidRDefault="004D1935" w:rsidP="00E24DC9">
            <w:pPr>
              <w:jc w:val="center"/>
            </w:pPr>
          </w:p>
        </w:tc>
        <w:tc>
          <w:tcPr>
            <w:tcW w:w="2127" w:type="dxa"/>
            <w:vMerge/>
            <w:vAlign w:val="center"/>
          </w:tcPr>
          <w:p w14:paraId="3F705B22" w14:textId="77777777" w:rsidR="004D1935" w:rsidRDefault="004D1935" w:rsidP="00E24DC9">
            <w:pPr>
              <w:jc w:val="center"/>
            </w:pPr>
          </w:p>
        </w:tc>
        <w:tc>
          <w:tcPr>
            <w:tcW w:w="992" w:type="dxa"/>
            <w:vMerge/>
            <w:vAlign w:val="center"/>
          </w:tcPr>
          <w:p w14:paraId="54650A7B" w14:textId="77777777" w:rsidR="004D1935" w:rsidRDefault="004D1935" w:rsidP="00E24DC9">
            <w:pPr>
              <w:jc w:val="center"/>
            </w:pPr>
          </w:p>
        </w:tc>
        <w:tc>
          <w:tcPr>
            <w:tcW w:w="5867" w:type="dxa"/>
            <w:vMerge/>
            <w:vAlign w:val="center"/>
          </w:tcPr>
          <w:p w14:paraId="434FF670" w14:textId="77777777" w:rsidR="004D1935" w:rsidRDefault="004D1935" w:rsidP="00E24DC9">
            <w:pPr>
              <w:jc w:val="center"/>
            </w:pPr>
          </w:p>
        </w:tc>
      </w:tr>
      <w:tr w:rsidR="004D1935" w14:paraId="03BD7672" w14:textId="77777777" w:rsidTr="00E24DC9">
        <w:tc>
          <w:tcPr>
            <w:tcW w:w="1479" w:type="dxa"/>
            <w:vMerge/>
            <w:vAlign w:val="center"/>
          </w:tcPr>
          <w:p w14:paraId="456E62B3" w14:textId="77777777" w:rsidR="004D1935" w:rsidRDefault="004D1935" w:rsidP="00E24DC9">
            <w:pPr>
              <w:jc w:val="center"/>
            </w:pPr>
          </w:p>
        </w:tc>
        <w:tc>
          <w:tcPr>
            <w:tcW w:w="798" w:type="dxa"/>
            <w:tcBorders>
              <w:top w:val="nil"/>
              <w:bottom w:val="nil"/>
            </w:tcBorders>
            <w:vAlign w:val="center"/>
          </w:tcPr>
          <w:p w14:paraId="36CD5075" w14:textId="77777777" w:rsidR="004D1935" w:rsidRPr="00CF64A4" w:rsidRDefault="004D1935" w:rsidP="00E24DC9">
            <w:pPr>
              <w:jc w:val="center"/>
              <w:rPr>
                <w:rFonts w:ascii="Calibri" w:hAnsi="Calibri" w:cs="Calibri"/>
                <w:color w:val="000000"/>
                <w:sz w:val="13"/>
                <w:szCs w:val="13"/>
              </w:rPr>
            </w:pPr>
            <w:r w:rsidRPr="00CF64A4">
              <w:rPr>
                <w:rFonts w:ascii="Calibri" w:hAnsi="Calibri" w:cs="Calibri"/>
                <w:color w:val="000000"/>
                <w:sz w:val="13"/>
                <w:szCs w:val="13"/>
              </w:rPr>
              <w:t>146.9800</w:t>
            </w:r>
          </w:p>
        </w:tc>
        <w:tc>
          <w:tcPr>
            <w:tcW w:w="1687" w:type="dxa"/>
            <w:vMerge/>
            <w:vAlign w:val="center"/>
          </w:tcPr>
          <w:p w14:paraId="7D9473C3" w14:textId="77777777" w:rsidR="004D1935" w:rsidRDefault="004D1935" w:rsidP="00E24DC9">
            <w:pPr>
              <w:jc w:val="center"/>
            </w:pPr>
          </w:p>
        </w:tc>
        <w:tc>
          <w:tcPr>
            <w:tcW w:w="2127" w:type="dxa"/>
            <w:vMerge/>
            <w:vAlign w:val="center"/>
          </w:tcPr>
          <w:p w14:paraId="432A092F" w14:textId="77777777" w:rsidR="004D1935" w:rsidRDefault="004D1935" w:rsidP="00E24DC9">
            <w:pPr>
              <w:jc w:val="center"/>
            </w:pPr>
          </w:p>
        </w:tc>
        <w:tc>
          <w:tcPr>
            <w:tcW w:w="992" w:type="dxa"/>
            <w:vMerge/>
            <w:vAlign w:val="center"/>
          </w:tcPr>
          <w:p w14:paraId="3EAF27F7" w14:textId="77777777" w:rsidR="004D1935" w:rsidRDefault="004D1935" w:rsidP="00E24DC9">
            <w:pPr>
              <w:jc w:val="center"/>
            </w:pPr>
          </w:p>
        </w:tc>
        <w:tc>
          <w:tcPr>
            <w:tcW w:w="5867" w:type="dxa"/>
            <w:vMerge/>
            <w:vAlign w:val="center"/>
          </w:tcPr>
          <w:p w14:paraId="609D0B0A" w14:textId="77777777" w:rsidR="004D1935" w:rsidRDefault="004D1935" w:rsidP="00E24DC9">
            <w:pPr>
              <w:jc w:val="center"/>
            </w:pPr>
          </w:p>
        </w:tc>
      </w:tr>
      <w:tr w:rsidR="004D1935" w14:paraId="7CC3F792" w14:textId="77777777" w:rsidTr="00E24DC9">
        <w:tc>
          <w:tcPr>
            <w:tcW w:w="1479" w:type="dxa"/>
            <w:vMerge/>
            <w:vAlign w:val="center"/>
          </w:tcPr>
          <w:p w14:paraId="1675B7E7" w14:textId="77777777" w:rsidR="004D1935" w:rsidRDefault="004D1935" w:rsidP="00E24DC9">
            <w:pPr>
              <w:jc w:val="center"/>
            </w:pPr>
          </w:p>
        </w:tc>
        <w:tc>
          <w:tcPr>
            <w:tcW w:w="798" w:type="dxa"/>
            <w:tcBorders>
              <w:top w:val="nil"/>
              <w:bottom w:val="nil"/>
            </w:tcBorders>
            <w:vAlign w:val="center"/>
          </w:tcPr>
          <w:p w14:paraId="3D1CCD25" w14:textId="77777777" w:rsidR="004D1935" w:rsidRPr="00CF64A4" w:rsidRDefault="004D1935" w:rsidP="00E24DC9">
            <w:pPr>
              <w:jc w:val="center"/>
              <w:rPr>
                <w:rFonts w:ascii="Calibri" w:hAnsi="Calibri" w:cs="Calibri"/>
                <w:color w:val="000000"/>
                <w:sz w:val="13"/>
                <w:szCs w:val="13"/>
              </w:rPr>
            </w:pPr>
            <w:r w:rsidRPr="00CF64A4">
              <w:rPr>
                <w:rFonts w:ascii="Calibri" w:hAnsi="Calibri" w:cs="Calibri"/>
                <w:color w:val="000000"/>
                <w:sz w:val="13"/>
                <w:szCs w:val="13"/>
              </w:rPr>
              <w:t>147.0807</w:t>
            </w:r>
          </w:p>
        </w:tc>
        <w:tc>
          <w:tcPr>
            <w:tcW w:w="1687" w:type="dxa"/>
            <w:vMerge/>
            <w:vAlign w:val="center"/>
          </w:tcPr>
          <w:p w14:paraId="14F6CF13" w14:textId="77777777" w:rsidR="004D1935" w:rsidRDefault="004D1935" w:rsidP="00E24DC9">
            <w:pPr>
              <w:jc w:val="center"/>
            </w:pPr>
          </w:p>
        </w:tc>
        <w:tc>
          <w:tcPr>
            <w:tcW w:w="2127" w:type="dxa"/>
            <w:vMerge/>
            <w:vAlign w:val="center"/>
          </w:tcPr>
          <w:p w14:paraId="5B72BC14" w14:textId="77777777" w:rsidR="004D1935" w:rsidRDefault="004D1935" w:rsidP="00E24DC9">
            <w:pPr>
              <w:jc w:val="center"/>
            </w:pPr>
          </w:p>
        </w:tc>
        <w:tc>
          <w:tcPr>
            <w:tcW w:w="992" w:type="dxa"/>
            <w:vMerge/>
            <w:vAlign w:val="center"/>
          </w:tcPr>
          <w:p w14:paraId="5BA64399" w14:textId="77777777" w:rsidR="004D1935" w:rsidRDefault="004D1935" w:rsidP="00E24DC9">
            <w:pPr>
              <w:jc w:val="center"/>
            </w:pPr>
          </w:p>
        </w:tc>
        <w:tc>
          <w:tcPr>
            <w:tcW w:w="5867" w:type="dxa"/>
            <w:vMerge/>
            <w:vAlign w:val="center"/>
          </w:tcPr>
          <w:p w14:paraId="147C39D9" w14:textId="77777777" w:rsidR="004D1935" w:rsidRDefault="004D1935" w:rsidP="00E24DC9">
            <w:pPr>
              <w:jc w:val="center"/>
            </w:pPr>
          </w:p>
        </w:tc>
      </w:tr>
      <w:tr w:rsidR="004D1935" w14:paraId="4E87D342" w14:textId="77777777" w:rsidTr="00E24DC9">
        <w:tc>
          <w:tcPr>
            <w:tcW w:w="1479" w:type="dxa"/>
            <w:vMerge/>
            <w:vAlign w:val="center"/>
          </w:tcPr>
          <w:p w14:paraId="04FD8FA8" w14:textId="77777777" w:rsidR="004D1935" w:rsidRDefault="004D1935" w:rsidP="00E24DC9">
            <w:pPr>
              <w:jc w:val="center"/>
            </w:pPr>
          </w:p>
        </w:tc>
        <w:tc>
          <w:tcPr>
            <w:tcW w:w="798" w:type="dxa"/>
            <w:tcBorders>
              <w:top w:val="nil"/>
              <w:bottom w:val="nil"/>
            </w:tcBorders>
            <w:vAlign w:val="center"/>
          </w:tcPr>
          <w:p w14:paraId="0E7CDE00" w14:textId="77777777" w:rsidR="004D1935" w:rsidRPr="00CF64A4" w:rsidRDefault="004D1935" w:rsidP="00E24DC9">
            <w:pPr>
              <w:jc w:val="center"/>
              <w:rPr>
                <w:rFonts w:ascii="Calibri" w:hAnsi="Calibri" w:cs="Calibri"/>
                <w:color w:val="000000"/>
                <w:sz w:val="13"/>
                <w:szCs w:val="13"/>
              </w:rPr>
            </w:pPr>
            <w:r w:rsidRPr="00CF64A4">
              <w:rPr>
                <w:rFonts w:ascii="Calibri" w:hAnsi="Calibri" w:cs="Calibri"/>
                <w:color w:val="000000"/>
                <w:sz w:val="13"/>
                <w:szCs w:val="13"/>
              </w:rPr>
              <w:t>146.9818</w:t>
            </w:r>
          </w:p>
        </w:tc>
        <w:tc>
          <w:tcPr>
            <w:tcW w:w="1687" w:type="dxa"/>
            <w:vMerge/>
            <w:vAlign w:val="center"/>
          </w:tcPr>
          <w:p w14:paraId="675D61CA" w14:textId="77777777" w:rsidR="004D1935" w:rsidRDefault="004D1935" w:rsidP="00E24DC9">
            <w:pPr>
              <w:jc w:val="center"/>
            </w:pPr>
          </w:p>
        </w:tc>
        <w:tc>
          <w:tcPr>
            <w:tcW w:w="2127" w:type="dxa"/>
            <w:vMerge/>
            <w:vAlign w:val="center"/>
          </w:tcPr>
          <w:p w14:paraId="047D80A4" w14:textId="77777777" w:rsidR="004D1935" w:rsidRDefault="004D1935" w:rsidP="00E24DC9">
            <w:pPr>
              <w:jc w:val="center"/>
            </w:pPr>
          </w:p>
        </w:tc>
        <w:tc>
          <w:tcPr>
            <w:tcW w:w="992" w:type="dxa"/>
            <w:vMerge/>
            <w:vAlign w:val="center"/>
          </w:tcPr>
          <w:p w14:paraId="5DBCC986" w14:textId="77777777" w:rsidR="004D1935" w:rsidRDefault="004D1935" w:rsidP="00E24DC9">
            <w:pPr>
              <w:jc w:val="center"/>
            </w:pPr>
          </w:p>
        </w:tc>
        <w:tc>
          <w:tcPr>
            <w:tcW w:w="5867" w:type="dxa"/>
            <w:vMerge/>
            <w:vAlign w:val="center"/>
          </w:tcPr>
          <w:p w14:paraId="2E8C117E" w14:textId="77777777" w:rsidR="004D1935" w:rsidRDefault="004D1935" w:rsidP="00E24DC9">
            <w:pPr>
              <w:jc w:val="center"/>
            </w:pPr>
          </w:p>
        </w:tc>
      </w:tr>
      <w:tr w:rsidR="004D1935" w14:paraId="7B7805FA" w14:textId="77777777" w:rsidTr="00E24DC9">
        <w:tc>
          <w:tcPr>
            <w:tcW w:w="1479" w:type="dxa"/>
            <w:vMerge/>
            <w:vAlign w:val="center"/>
          </w:tcPr>
          <w:p w14:paraId="4BC06591" w14:textId="77777777" w:rsidR="004D1935" w:rsidRDefault="004D1935" w:rsidP="00E24DC9">
            <w:pPr>
              <w:jc w:val="center"/>
            </w:pPr>
          </w:p>
        </w:tc>
        <w:tc>
          <w:tcPr>
            <w:tcW w:w="798" w:type="dxa"/>
            <w:tcBorders>
              <w:top w:val="nil"/>
              <w:bottom w:val="nil"/>
            </w:tcBorders>
            <w:vAlign w:val="center"/>
          </w:tcPr>
          <w:p w14:paraId="2F05364E" w14:textId="77777777" w:rsidR="004D1935" w:rsidRPr="00CF64A4" w:rsidRDefault="004D1935" w:rsidP="00E24DC9">
            <w:pPr>
              <w:jc w:val="center"/>
              <w:rPr>
                <w:rFonts w:ascii="Calibri" w:hAnsi="Calibri" w:cs="Calibri"/>
                <w:color w:val="000000"/>
                <w:sz w:val="13"/>
                <w:szCs w:val="13"/>
              </w:rPr>
            </w:pPr>
            <w:r w:rsidRPr="00CF64A4">
              <w:rPr>
                <w:rFonts w:ascii="Calibri" w:hAnsi="Calibri" w:cs="Calibri"/>
                <w:color w:val="000000"/>
                <w:sz w:val="13"/>
                <w:szCs w:val="13"/>
              </w:rPr>
              <w:t>147.0224</w:t>
            </w:r>
          </w:p>
        </w:tc>
        <w:tc>
          <w:tcPr>
            <w:tcW w:w="1687" w:type="dxa"/>
            <w:vMerge/>
            <w:vAlign w:val="center"/>
          </w:tcPr>
          <w:p w14:paraId="760124E0" w14:textId="77777777" w:rsidR="004D1935" w:rsidRDefault="004D1935" w:rsidP="00E24DC9">
            <w:pPr>
              <w:jc w:val="center"/>
            </w:pPr>
          </w:p>
        </w:tc>
        <w:tc>
          <w:tcPr>
            <w:tcW w:w="2127" w:type="dxa"/>
            <w:vMerge/>
            <w:vAlign w:val="center"/>
          </w:tcPr>
          <w:p w14:paraId="24F09DB6" w14:textId="77777777" w:rsidR="004D1935" w:rsidRDefault="004D1935" w:rsidP="00E24DC9">
            <w:pPr>
              <w:jc w:val="center"/>
            </w:pPr>
          </w:p>
        </w:tc>
        <w:tc>
          <w:tcPr>
            <w:tcW w:w="992" w:type="dxa"/>
            <w:vMerge/>
            <w:vAlign w:val="center"/>
          </w:tcPr>
          <w:p w14:paraId="3DDF1E2B" w14:textId="77777777" w:rsidR="004D1935" w:rsidRDefault="004D1935" w:rsidP="00E24DC9">
            <w:pPr>
              <w:jc w:val="center"/>
            </w:pPr>
          </w:p>
        </w:tc>
        <w:tc>
          <w:tcPr>
            <w:tcW w:w="5867" w:type="dxa"/>
            <w:vMerge/>
            <w:vAlign w:val="center"/>
          </w:tcPr>
          <w:p w14:paraId="3395234D" w14:textId="77777777" w:rsidR="004D1935" w:rsidRDefault="004D1935" w:rsidP="00E24DC9">
            <w:pPr>
              <w:jc w:val="center"/>
            </w:pPr>
          </w:p>
        </w:tc>
      </w:tr>
      <w:tr w:rsidR="004D1935" w14:paraId="400AC7D9" w14:textId="77777777" w:rsidTr="00E24DC9">
        <w:tc>
          <w:tcPr>
            <w:tcW w:w="1479" w:type="dxa"/>
            <w:vMerge/>
            <w:vAlign w:val="center"/>
          </w:tcPr>
          <w:p w14:paraId="468A5330" w14:textId="77777777" w:rsidR="004D1935" w:rsidRDefault="004D1935" w:rsidP="00E24DC9">
            <w:pPr>
              <w:jc w:val="center"/>
            </w:pPr>
          </w:p>
        </w:tc>
        <w:tc>
          <w:tcPr>
            <w:tcW w:w="798" w:type="dxa"/>
            <w:tcBorders>
              <w:top w:val="nil"/>
              <w:bottom w:val="nil"/>
            </w:tcBorders>
            <w:vAlign w:val="center"/>
          </w:tcPr>
          <w:p w14:paraId="43A62C95" w14:textId="77777777" w:rsidR="004D1935" w:rsidRPr="00CF64A4" w:rsidRDefault="004D1935" w:rsidP="00E24DC9">
            <w:pPr>
              <w:jc w:val="center"/>
              <w:rPr>
                <w:rFonts w:ascii="Calibri" w:hAnsi="Calibri" w:cs="Calibri"/>
                <w:color w:val="000000"/>
                <w:sz w:val="13"/>
                <w:szCs w:val="13"/>
              </w:rPr>
            </w:pPr>
            <w:r w:rsidRPr="00CF64A4">
              <w:rPr>
                <w:rFonts w:ascii="Calibri" w:hAnsi="Calibri" w:cs="Calibri"/>
                <w:color w:val="000000"/>
                <w:sz w:val="13"/>
                <w:szCs w:val="13"/>
              </w:rPr>
              <w:t>146.9093</w:t>
            </w:r>
          </w:p>
        </w:tc>
        <w:tc>
          <w:tcPr>
            <w:tcW w:w="1687" w:type="dxa"/>
            <w:vMerge/>
            <w:vAlign w:val="center"/>
          </w:tcPr>
          <w:p w14:paraId="5909294B" w14:textId="77777777" w:rsidR="004D1935" w:rsidRDefault="004D1935" w:rsidP="00E24DC9">
            <w:pPr>
              <w:jc w:val="center"/>
            </w:pPr>
          </w:p>
        </w:tc>
        <w:tc>
          <w:tcPr>
            <w:tcW w:w="2127" w:type="dxa"/>
            <w:vMerge/>
            <w:vAlign w:val="center"/>
          </w:tcPr>
          <w:p w14:paraId="4F8201EE" w14:textId="77777777" w:rsidR="004D1935" w:rsidRDefault="004D1935" w:rsidP="00E24DC9">
            <w:pPr>
              <w:jc w:val="center"/>
            </w:pPr>
          </w:p>
        </w:tc>
        <w:tc>
          <w:tcPr>
            <w:tcW w:w="992" w:type="dxa"/>
            <w:vMerge/>
            <w:vAlign w:val="center"/>
          </w:tcPr>
          <w:p w14:paraId="4990DF94" w14:textId="77777777" w:rsidR="004D1935" w:rsidRDefault="004D1935" w:rsidP="00E24DC9">
            <w:pPr>
              <w:jc w:val="center"/>
            </w:pPr>
          </w:p>
        </w:tc>
        <w:tc>
          <w:tcPr>
            <w:tcW w:w="5867" w:type="dxa"/>
            <w:vMerge/>
            <w:vAlign w:val="center"/>
          </w:tcPr>
          <w:p w14:paraId="55DDFB9E" w14:textId="77777777" w:rsidR="004D1935" w:rsidRDefault="004D1935" w:rsidP="00E24DC9">
            <w:pPr>
              <w:jc w:val="center"/>
            </w:pPr>
          </w:p>
        </w:tc>
      </w:tr>
      <w:tr w:rsidR="004D1935" w14:paraId="33F49036" w14:textId="77777777" w:rsidTr="00E24DC9">
        <w:tc>
          <w:tcPr>
            <w:tcW w:w="1479" w:type="dxa"/>
            <w:vMerge/>
            <w:vAlign w:val="center"/>
          </w:tcPr>
          <w:p w14:paraId="78A19570" w14:textId="77777777" w:rsidR="004D1935" w:rsidRDefault="004D1935" w:rsidP="00E24DC9">
            <w:pPr>
              <w:jc w:val="center"/>
            </w:pPr>
          </w:p>
        </w:tc>
        <w:tc>
          <w:tcPr>
            <w:tcW w:w="798" w:type="dxa"/>
            <w:tcBorders>
              <w:top w:val="nil"/>
              <w:bottom w:val="nil"/>
            </w:tcBorders>
            <w:vAlign w:val="center"/>
          </w:tcPr>
          <w:p w14:paraId="69EEE012" w14:textId="77777777" w:rsidR="004D1935" w:rsidRPr="00CF64A4" w:rsidRDefault="004D1935" w:rsidP="00E24DC9">
            <w:pPr>
              <w:jc w:val="center"/>
              <w:rPr>
                <w:rFonts w:ascii="Calibri" w:hAnsi="Calibri" w:cs="Calibri"/>
                <w:color w:val="000000"/>
                <w:sz w:val="13"/>
                <w:szCs w:val="13"/>
              </w:rPr>
            </w:pPr>
            <w:r w:rsidRPr="00CF64A4">
              <w:rPr>
                <w:rFonts w:ascii="Calibri" w:hAnsi="Calibri" w:cs="Calibri"/>
                <w:color w:val="000000"/>
                <w:sz w:val="13"/>
                <w:szCs w:val="13"/>
              </w:rPr>
              <w:t>146.9358</w:t>
            </w:r>
          </w:p>
        </w:tc>
        <w:tc>
          <w:tcPr>
            <w:tcW w:w="1687" w:type="dxa"/>
            <w:vMerge/>
            <w:vAlign w:val="center"/>
          </w:tcPr>
          <w:p w14:paraId="0C171272" w14:textId="77777777" w:rsidR="004D1935" w:rsidRDefault="004D1935" w:rsidP="00E24DC9">
            <w:pPr>
              <w:jc w:val="center"/>
            </w:pPr>
          </w:p>
        </w:tc>
        <w:tc>
          <w:tcPr>
            <w:tcW w:w="2127" w:type="dxa"/>
            <w:vMerge/>
            <w:vAlign w:val="center"/>
          </w:tcPr>
          <w:p w14:paraId="6C2B5536" w14:textId="77777777" w:rsidR="004D1935" w:rsidRDefault="004D1935" w:rsidP="00E24DC9">
            <w:pPr>
              <w:jc w:val="center"/>
            </w:pPr>
          </w:p>
        </w:tc>
        <w:tc>
          <w:tcPr>
            <w:tcW w:w="992" w:type="dxa"/>
            <w:vMerge/>
            <w:vAlign w:val="center"/>
          </w:tcPr>
          <w:p w14:paraId="5570E27D" w14:textId="77777777" w:rsidR="004D1935" w:rsidRDefault="004D1935" w:rsidP="00E24DC9">
            <w:pPr>
              <w:jc w:val="center"/>
            </w:pPr>
          </w:p>
        </w:tc>
        <w:tc>
          <w:tcPr>
            <w:tcW w:w="5867" w:type="dxa"/>
            <w:vMerge/>
            <w:vAlign w:val="center"/>
          </w:tcPr>
          <w:p w14:paraId="66ADC893" w14:textId="77777777" w:rsidR="004D1935" w:rsidRDefault="004D1935" w:rsidP="00E24DC9">
            <w:pPr>
              <w:jc w:val="center"/>
            </w:pPr>
          </w:p>
        </w:tc>
      </w:tr>
      <w:tr w:rsidR="004D1935" w14:paraId="650E4336" w14:textId="77777777" w:rsidTr="00E24DC9">
        <w:tc>
          <w:tcPr>
            <w:tcW w:w="1479" w:type="dxa"/>
            <w:vMerge/>
            <w:vAlign w:val="center"/>
          </w:tcPr>
          <w:p w14:paraId="484D352B" w14:textId="77777777" w:rsidR="004D1935" w:rsidRDefault="004D1935" w:rsidP="00E24DC9">
            <w:pPr>
              <w:jc w:val="center"/>
            </w:pPr>
          </w:p>
        </w:tc>
        <w:tc>
          <w:tcPr>
            <w:tcW w:w="798" w:type="dxa"/>
            <w:tcBorders>
              <w:top w:val="nil"/>
              <w:bottom w:val="nil"/>
            </w:tcBorders>
            <w:vAlign w:val="center"/>
          </w:tcPr>
          <w:p w14:paraId="54FD8C62" w14:textId="77777777" w:rsidR="004D1935" w:rsidRPr="00CF64A4" w:rsidRDefault="004D1935" w:rsidP="00E24DC9">
            <w:pPr>
              <w:jc w:val="center"/>
              <w:rPr>
                <w:rFonts w:ascii="Calibri" w:hAnsi="Calibri" w:cs="Calibri"/>
                <w:color w:val="000000"/>
                <w:sz w:val="13"/>
                <w:szCs w:val="13"/>
              </w:rPr>
            </w:pPr>
            <w:r w:rsidRPr="00CF64A4">
              <w:rPr>
                <w:rFonts w:ascii="Calibri" w:hAnsi="Calibri" w:cs="Calibri"/>
                <w:color w:val="000000"/>
                <w:sz w:val="13"/>
                <w:szCs w:val="13"/>
              </w:rPr>
              <w:t>146.9623</w:t>
            </w:r>
          </w:p>
        </w:tc>
        <w:tc>
          <w:tcPr>
            <w:tcW w:w="1687" w:type="dxa"/>
            <w:vMerge/>
            <w:vAlign w:val="center"/>
          </w:tcPr>
          <w:p w14:paraId="1DFF7CAC" w14:textId="77777777" w:rsidR="004D1935" w:rsidRDefault="004D1935" w:rsidP="00E24DC9">
            <w:pPr>
              <w:jc w:val="center"/>
            </w:pPr>
          </w:p>
        </w:tc>
        <w:tc>
          <w:tcPr>
            <w:tcW w:w="2127" w:type="dxa"/>
            <w:vMerge/>
            <w:vAlign w:val="center"/>
          </w:tcPr>
          <w:p w14:paraId="6D5E89A1" w14:textId="77777777" w:rsidR="004D1935" w:rsidRDefault="004D1935" w:rsidP="00E24DC9">
            <w:pPr>
              <w:jc w:val="center"/>
            </w:pPr>
          </w:p>
        </w:tc>
        <w:tc>
          <w:tcPr>
            <w:tcW w:w="992" w:type="dxa"/>
            <w:vMerge/>
            <w:vAlign w:val="center"/>
          </w:tcPr>
          <w:p w14:paraId="5ED2D9B3" w14:textId="77777777" w:rsidR="004D1935" w:rsidRDefault="004D1935" w:rsidP="00E24DC9">
            <w:pPr>
              <w:jc w:val="center"/>
            </w:pPr>
          </w:p>
        </w:tc>
        <w:tc>
          <w:tcPr>
            <w:tcW w:w="5867" w:type="dxa"/>
            <w:vMerge/>
            <w:vAlign w:val="center"/>
          </w:tcPr>
          <w:p w14:paraId="59F69DBD" w14:textId="77777777" w:rsidR="004D1935" w:rsidRDefault="004D1935" w:rsidP="00E24DC9">
            <w:pPr>
              <w:jc w:val="center"/>
            </w:pPr>
          </w:p>
        </w:tc>
      </w:tr>
      <w:tr w:rsidR="004D1935" w14:paraId="6ED1ADD5" w14:textId="77777777" w:rsidTr="00E24DC9">
        <w:tc>
          <w:tcPr>
            <w:tcW w:w="1479" w:type="dxa"/>
            <w:vMerge/>
            <w:vAlign w:val="center"/>
          </w:tcPr>
          <w:p w14:paraId="6F354981" w14:textId="77777777" w:rsidR="004D1935" w:rsidRDefault="004D1935" w:rsidP="00E24DC9">
            <w:pPr>
              <w:jc w:val="center"/>
            </w:pPr>
          </w:p>
        </w:tc>
        <w:tc>
          <w:tcPr>
            <w:tcW w:w="798" w:type="dxa"/>
            <w:tcBorders>
              <w:top w:val="nil"/>
              <w:bottom w:val="nil"/>
            </w:tcBorders>
            <w:vAlign w:val="center"/>
          </w:tcPr>
          <w:p w14:paraId="6A51C05D" w14:textId="77777777" w:rsidR="004D1935" w:rsidRPr="00CF64A4" w:rsidRDefault="004D1935" w:rsidP="00E24DC9">
            <w:pPr>
              <w:jc w:val="center"/>
              <w:rPr>
                <w:rFonts w:ascii="Calibri" w:hAnsi="Calibri" w:cs="Calibri"/>
                <w:color w:val="000000"/>
                <w:sz w:val="13"/>
                <w:szCs w:val="13"/>
              </w:rPr>
            </w:pPr>
            <w:r w:rsidRPr="00CF64A4">
              <w:rPr>
                <w:rFonts w:ascii="Calibri" w:hAnsi="Calibri" w:cs="Calibri"/>
                <w:color w:val="000000"/>
                <w:sz w:val="13"/>
                <w:szCs w:val="13"/>
              </w:rPr>
              <w:t>146.9888</w:t>
            </w:r>
          </w:p>
        </w:tc>
        <w:tc>
          <w:tcPr>
            <w:tcW w:w="1687" w:type="dxa"/>
            <w:vMerge/>
            <w:vAlign w:val="center"/>
          </w:tcPr>
          <w:p w14:paraId="5D4D9C34" w14:textId="77777777" w:rsidR="004D1935" w:rsidRDefault="004D1935" w:rsidP="00E24DC9">
            <w:pPr>
              <w:jc w:val="center"/>
            </w:pPr>
          </w:p>
        </w:tc>
        <w:tc>
          <w:tcPr>
            <w:tcW w:w="2127" w:type="dxa"/>
            <w:vMerge/>
            <w:vAlign w:val="center"/>
          </w:tcPr>
          <w:p w14:paraId="056E70BA" w14:textId="77777777" w:rsidR="004D1935" w:rsidRDefault="004D1935" w:rsidP="00E24DC9">
            <w:pPr>
              <w:jc w:val="center"/>
            </w:pPr>
          </w:p>
        </w:tc>
        <w:tc>
          <w:tcPr>
            <w:tcW w:w="992" w:type="dxa"/>
            <w:vMerge/>
            <w:vAlign w:val="center"/>
          </w:tcPr>
          <w:p w14:paraId="78E75061" w14:textId="77777777" w:rsidR="004D1935" w:rsidRDefault="004D1935" w:rsidP="00E24DC9">
            <w:pPr>
              <w:jc w:val="center"/>
            </w:pPr>
          </w:p>
        </w:tc>
        <w:tc>
          <w:tcPr>
            <w:tcW w:w="5867" w:type="dxa"/>
            <w:vMerge/>
            <w:vAlign w:val="center"/>
          </w:tcPr>
          <w:p w14:paraId="5D039E02" w14:textId="77777777" w:rsidR="004D1935" w:rsidRDefault="004D1935" w:rsidP="00E24DC9">
            <w:pPr>
              <w:jc w:val="center"/>
            </w:pPr>
          </w:p>
        </w:tc>
      </w:tr>
      <w:tr w:rsidR="004D1935" w14:paraId="639EBB57" w14:textId="77777777" w:rsidTr="00E24DC9">
        <w:tc>
          <w:tcPr>
            <w:tcW w:w="1479" w:type="dxa"/>
            <w:vMerge/>
            <w:vAlign w:val="center"/>
          </w:tcPr>
          <w:p w14:paraId="7D06AEEC" w14:textId="77777777" w:rsidR="004D1935" w:rsidRDefault="004D1935" w:rsidP="00E24DC9">
            <w:pPr>
              <w:jc w:val="center"/>
            </w:pPr>
          </w:p>
        </w:tc>
        <w:tc>
          <w:tcPr>
            <w:tcW w:w="798" w:type="dxa"/>
            <w:tcBorders>
              <w:top w:val="nil"/>
              <w:bottom w:val="nil"/>
            </w:tcBorders>
            <w:vAlign w:val="center"/>
          </w:tcPr>
          <w:p w14:paraId="04719F54" w14:textId="77777777" w:rsidR="004D1935" w:rsidRPr="00CF64A4" w:rsidRDefault="004D1935" w:rsidP="00E24DC9">
            <w:pPr>
              <w:jc w:val="center"/>
              <w:rPr>
                <w:rFonts w:ascii="Calibri" w:hAnsi="Calibri" w:cs="Calibri"/>
                <w:color w:val="000000"/>
                <w:sz w:val="13"/>
                <w:szCs w:val="13"/>
              </w:rPr>
            </w:pPr>
            <w:r w:rsidRPr="00CF64A4">
              <w:rPr>
                <w:rFonts w:ascii="Calibri" w:hAnsi="Calibri" w:cs="Calibri"/>
                <w:color w:val="000000"/>
                <w:sz w:val="13"/>
                <w:szCs w:val="13"/>
              </w:rPr>
              <w:t>146.9270</w:t>
            </w:r>
          </w:p>
        </w:tc>
        <w:tc>
          <w:tcPr>
            <w:tcW w:w="1687" w:type="dxa"/>
            <w:vMerge/>
            <w:vAlign w:val="center"/>
          </w:tcPr>
          <w:p w14:paraId="15FA1C48" w14:textId="77777777" w:rsidR="004D1935" w:rsidRDefault="004D1935" w:rsidP="00E24DC9">
            <w:pPr>
              <w:jc w:val="center"/>
            </w:pPr>
          </w:p>
        </w:tc>
        <w:tc>
          <w:tcPr>
            <w:tcW w:w="2127" w:type="dxa"/>
            <w:vMerge/>
            <w:vAlign w:val="center"/>
          </w:tcPr>
          <w:p w14:paraId="371BA390" w14:textId="77777777" w:rsidR="004D1935" w:rsidRDefault="004D1935" w:rsidP="00E24DC9">
            <w:pPr>
              <w:jc w:val="center"/>
            </w:pPr>
          </w:p>
        </w:tc>
        <w:tc>
          <w:tcPr>
            <w:tcW w:w="992" w:type="dxa"/>
            <w:vMerge/>
            <w:vAlign w:val="center"/>
          </w:tcPr>
          <w:p w14:paraId="3A5EA800" w14:textId="77777777" w:rsidR="004D1935" w:rsidRDefault="004D1935" w:rsidP="00E24DC9">
            <w:pPr>
              <w:jc w:val="center"/>
            </w:pPr>
          </w:p>
        </w:tc>
        <w:tc>
          <w:tcPr>
            <w:tcW w:w="5867" w:type="dxa"/>
            <w:vMerge/>
            <w:vAlign w:val="center"/>
          </w:tcPr>
          <w:p w14:paraId="5C5FD5ED" w14:textId="77777777" w:rsidR="004D1935" w:rsidRDefault="004D1935" w:rsidP="00E24DC9">
            <w:pPr>
              <w:jc w:val="center"/>
            </w:pPr>
          </w:p>
        </w:tc>
      </w:tr>
      <w:tr w:rsidR="004D1935" w14:paraId="57F73A86" w14:textId="77777777" w:rsidTr="00E24DC9">
        <w:tc>
          <w:tcPr>
            <w:tcW w:w="1479" w:type="dxa"/>
            <w:vMerge/>
            <w:vAlign w:val="center"/>
          </w:tcPr>
          <w:p w14:paraId="5B85D511" w14:textId="77777777" w:rsidR="004D1935" w:rsidRDefault="004D1935" w:rsidP="00E24DC9">
            <w:pPr>
              <w:jc w:val="center"/>
            </w:pPr>
          </w:p>
        </w:tc>
        <w:tc>
          <w:tcPr>
            <w:tcW w:w="798" w:type="dxa"/>
            <w:tcBorders>
              <w:top w:val="nil"/>
              <w:bottom w:val="nil"/>
            </w:tcBorders>
            <w:vAlign w:val="center"/>
          </w:tcPr>
          <w:p w14:paraId="384BCC8F" w14:textId="77777777" w:rsidR="004D1935" w:rsidRPr="00CF64A4" w:rsidRDefault="004D1935" w:rsidP="00E24DC9">
            <w:pPr>
              <w:jc w:val="center"/>
              <w:rPr>
                <w:rFonts w:ascii="Calibri" w:hAnsi="Calibri" w:cs="Calibri"/>
                <w:color w:val="000000"/>
                <w:sz w:val="13"/>
                <w:szCs w:val="13"/>
              </w:rPr>
            </w:pPr>
            <w:r w:rsidRPr="00CF64A4">
              <w:rPr>
                <w:rFonts w:ascii="Calibri" w:hAnsi="Calibri" w:cs="Calibri"/>
                <w:color w:val="000000"/>
                <w:sz w:val="13"/>
                <w:szCs w:val="13"/>
              </w:rPr>
              <w:t>146.9385</w:t>
            </w:r>
          </w:p>
        </w:tc>
        <w:tc>
          <w:tcPr>
            <w:tcW w:w="1687" w:type="dxa"/>
            <w:vMerge/>
            <w:vAlign w:val="center"/>
          </w:tcPr>
          <w:p w14:paraId="4EF36C8E" w14:textId="77777777" w:rsidR="004D1935" w:rsidRDefault="004D1935" w:rsidP="00E24DC9">
            <w:pPr>
              <w:jc w:val="center"/>
            </w:pPr>
          </w:p>
        </w:tc>
        <w:tc>
          <w:tcPr>
            <w:tcW w:w="2127" w:type="dxa"/>
            <w:vMerge/>
            <w:vAlign w:val="center"/>
          </w:tcPr>
          <w:p w14:paraId="6B985EEC" w14:textId="77777777" w:rsidR="004D1935" w:rsidRDefault="004D1935" w:rsidP="00E24DC9">
            <w:pPr>
              <w:jc w:val="center"/>
            </w:pPr>
          </w:p>
        </w:tc>
        <w:tc>
          <w:tcPr>
            <w:tcW w:w="992" w:type="dxa"/>
            <w:vMerge/>
            <w:vAlign w:val="center"/>
          </w:tcPr>
          <w:p w14:paraId="4F7E6DAF" w14:textId="77777777" w:rsidR="004D1935" w:rsidRDefault="004D1935" w:rsidP="00E24DC9">
            <w:pPr>
              <w:jc w:val="center"/>
            </w:pPr>
          </w:p>
        </w:tc>
        <w:tc>
          <w:tcPr>
            <w:tcW w:w="5867" w:type="dxa"/>
            <w:vMerge/>
            <w:vAlign w:val="center"/>
          </w:tcPr>
          <w:p w14:paraId="4042A66B" w14:textId="77777777" w:rsidR="004D1935" w:rsidRDefault="004D1935" w:rsidP="00E24DC9">
            <w:pPr>
              <w:jc w:val="center"/>
            </w:pPr>
          </w:p>
        </w:tc>
      </w:tr>
      <w:tr w:rsidR="004D1935" w14:paraId="4344D343" w14:textId="77777777" w:rsidTr="00E24DC9">
        <w:tc>
          <w:tcPr>
            <w:tcW w:w="1479" w:type="dxa"/>
            <w:vMerge/>
            <w:vAlign w:val="center"/>
          </w:tcPr>
          <w:p w14:paraId="428D16D9" w14:textId="77777777" w:rsidR="004D1935" w:rsidRDefault="004D1935" w:rsidP="00E24DC9">
            <w:pPr>
              <w:jc w:val="center"/>
            </w:pPr>
          </w:p>
        </w:tc>
        <w:tc>
          <w:tcPr>
            <w:tcW w:w="798" w:type="dxa"/>
            <w:tcBorders>
              <w:top w:val="nil"/>
              <w:bottom w:val="nil"/>
            </w:tcBorders>
            <w:vAlign w:val="center"/>
          </w:tcPr>
          <w:p w14:paraId="39B25973" w14:textId="77777777" w:rsidR="004D1935" w:rsidRPr="00CF64A4" w:rsidRDefault="004D1935" w:rsidP="00E24DC9">
            <w:pPr>
              <w:jc w:val="center"/>
              <w:rPr>
                <w:rFonts w:ascii="Calibri" w:hAnsi="Calibri" w:cs="Calibri"/>
                <w:color w:val="000000"/>
                <w:sz w:val="13"/>
                <w:szCs w:val="13"/>
              </w:rPr>
            </w:pPr>
            <w:r w:rsidRPr="00CF64A4">
              <w:rPr>
                <w:rFonts w:ascii="Calibri" w:hAnsi="Calibri" w:cs="Calibri"/>
                <w:color w:val="000000"/>
                <w:sz w:val="13"/>
                <w:szCs w:val="13"/>
              </w:rPr>
              <w:t>146.9765</w:t>
            </w:r>
          </w:p>
        </w:tc>
        <w:tc>
          <w:tcPr>
            <w:tcW w:w="1687" w:type="dxa"/>
            <w:vMerge/>
            <w:vAlign w:val="center"/>
          </w:tcPr>
          <w:p w14:paraId="0A1E69B9" w14:textId="77777777" w:rsidR="004D1935" w:rsidRDefault="004D1935" w:rsidP="00E24DC9">
            <w:pPr>
              <w:jc w:val="center"/>
            </w:pPr>
          </w:p>
        </w:tc>
        <w:tc>
          <w:tcPr>
            <w:tcW w:w="2127" w:type="dxa"/>
            <w:vMerge/>
            <w:vAlign w:val="center"/>
          </w:tcPr>
          <w:p w14:paraId="4BCA829F" w14:textId="77777777" w:rsidR="004D1935" w:rsidRDefault="004D1935" w:rsidP="00E24DC9">
            <w:pPr>
              <w:jc w:val="center"/>
            </w:pPr>
          </w:p>
        </w:tc>
        <w:tc>
          <w:tcPr>
            <w:tcW w:w="992" w:type="dxa"/>
            <w:vMerge/>
            <w:vAlign w:val="center"/>
          </w:tcPr>
          <w:p w14:paraId="3301F23E" w14:textId="77777777" w:rsidR="004D1935" w:rsidRDefault="004D1935" w:rsidP="00E24DC9">
            <w:pPr>
              <w:jc w:val="center"/>
            </w:pPr>
          </w:p>
        </w:tc>
        <w:tc>
          <w:tcPr>
            <w:tcW w:w="5867" w:type="dxa"/>
            <w:vMerge/>
            <w:vAlign w:val="center"/>
          </w:tcPr>
          <w:p w14:paraId="6CB6FE40" w14:textId="77777777" w:rsidR="004D1935" w:rsidRDefault="004D1935" w:rsidP="00E24DC9">
            <w:pPr>
              <w:jc w:val="center"/>
            </w:pPr>
          </w:p>
        </w:tc>
      </w:tr>
      <w:tr w:rsidR="004D1935" w14:paraId="07AE068A" w14:textId="77777777" w:rsidTr="00E24DC9">
        <w:tc>
          <w:tcPr>
            <w:tcW w:w="1479" w:type="dxa"/>
            <w:vMerge/>
            <w:vAlign w:val="center"/>
          </w:tcPr>
          <w:p w14:paraId="42698E7A" w14:textId="77777777" w:rsidR="004D1935" w:rsidRDefault="004D1935" w:rsidP="00E24DC9">
            <w:pPr>
              <w:jc w:val="center"/>
            </w:pPr>
          </w:p>
        </w:tc>
        <w:tc>
          <w:tcPr>
            <w:tcW w:w="798" w:type="dxa"/>
            <w:tcBorders>
              <w:top w:val="nil"/>
              <w:bottom w:val="nil"/>
            </w:tcBorders>
            <w:vAlign w:val="center"/>
          </w:tcPr>
          <w:p w14:paraId="668BAFB1" w14:textId="77777777" w:rsidR="004D1935" w:rsidRPr="00CF64A4" w:rsidRDefault="004D1935" w:rsidP="00E24DC9">
            <w:pPr>
              <w:jc w:val="center"/>
              <w:rPr>
                <w:rFonts w:ascii="Calibri" w:hAnsi="Calibri" w:cs="Calibri"/>
                <w:color w:val="000000"/>
                <w:sz w:val="13"/>
                <w:szCs w:val="13"/>
              </w:rPr>
            </w:pPr>
            <w:r w:rsidRPr="00CF64A4">
              <w:rPr>
                <w:rFonts w:ascii="Calibri" w:hAnsi="Calibri" w:cs="Calibri"/>
                <w:color w:val="000000"/>
                <w:sz w:val="13"/>
                <w:szCs w:val="13"/>
              </w:rPr>
              <w:t>147.0153</w:t>
            </w:r>
          </w:p>
        </w:tc>
        <w:tc>
          <w:tcPr>
            <w:tcW w:w="1687" w:type="dxa"/>
            <w:vMerge/>
            <w:vAlign w:val="center"/>
          </w:tcPr>
          <w:p w14:paraId="17DFFD2F" w14:textId="77777777" w:rsidR="004D1935" w:rsidRDefault="004D1935" w:rsidP="00E24DC9">
            <w:pPr>
              <w:jc w:val="center"/>
            </w:pPr>
          </w:p>
        </w:tc>
        <w:tc>
          <w:tcPr>
            <w:tcW w:w="2127" w:type="dxa"/>
            <w:vMerge/>
            <w:vAlign w:val="center"/>
          </w:tcPr>
          <w:p w14:paraId="0700AC6D" w14:textId="77777777" w:rsidR="004D1935" w:rsidRDefault="004D1935" w:rsidP="00E24DC9">
            <w:pPr>
              <w:jc w:val="center"/>
            </w:pPr>
          </w:p>
        </w:tc>
        <w:tc>
          <w:tcPr>
            <w:tcW w:w="992" w:type="dxa"/>
            <w:vMerge/>
            <w:vAlign w:val="center"/>
          </w:tcPr>
          <w:p w14:paraId="3FE3757D" w14:textId="77777777" w:rsidR="004D1935" w:rsidRDefault="004D1935" w:rsidP="00E24DC9">
            <w:pPr>
              <w:jc w:val="center"/>
            </w:pPr>
          </w:p>
        </w:tc>
        <w:tc>
          <w:tcPr>
            <w:tcW w:w="5867" w:type="dxa"/>
            <w:vMerge/>
            <w:vAlign w:val="center"/>
          </w:tcPr>
          <w:p w14:paraId="141F167A" w14:textId="77777777" w:rsidR="004D1935" w:rsidRDefault="004D1935" w:rsidP="00E24DC9">
            <w:pPr>
              <w:jc w:val="center"/>
            </w:pPr>
          </w:p>
        </w:tc>
      </w:tr>
      <w:tr w:rsidR="004D1935" w14:paraId="15B47412" w14:textId="77777777" w:rsidTr="00E24DC9">
        <w:tc>
          <w:tcPr>
            <w:tcW w:w="1479" w:type="dxa"/>
            <w:vMerge/>
            <w:vAlign w:val="center"/>
          </w:tcPr>
          <w:p w14:paraId="3A3D82CC" w14:textId="77777777" w:rsidR="004D1935" w:rsidRDefault="004D1935" w:rsidP="00E24DC9">
            <w:pPr>
              <w:jc w:val="center"/>
            </w:pPr>
          </w:p>
        </w:tc>
        <w:tc>
          <w:tcPr>
            <w:tcW w:w="798" w:type="dxa"/>
            <w:tcBorders>
              <w:top w:val="nil"/>
              <w:bottom w:val="nil"/>
            </w:tcBorders>
            <w:vAlign w:val="center"/>
          </w:tcPr>
          <w:p w14:paraId="64CF9B75" w14:textId="77777777" w:rsidR="004D1935" w:rsidRPr="00CF64A4" w:rsidRDefault="004D1935" w:rsidP="00E24DC9">
            <w:pPr>
              <w:jc w:val="center"/>
              <w:rPr>
                <w:rFonts w:ascii="Calibri" w:hAnsi="Calibri" w:cs="Calibri"/>
                <w:color w:val="000000"/>
                <w:sz w:val="13"/>
                <w:szCs w:val="13"/>
              </w:rPr>
            </w:pPr>
            <w:r w:rsidRPr="00CF64A4">
              <w:rPr>
                <w:rFonts w:ascii="Calibri" w:hAnsi="Calibri" w:cs="Calibri"/>
                <w:color w:val="000000"/>
                <w:sz w:val="13"/>
                <w:szCs w:val="13"/>
              </w:rPr>
              <w:t>146.9004</w:t>
            </w:r>
          </w:p>
        </w:tc>
        <w:tc>
          <w:tcPr>
            <w:tcW w:w="1687" w:type="dxa"/>
            <w:vMerge/>
            <w:vAlign w:val="center"/>
          </w:tcPr>
          <w:p w14:paraId="0B8BBF0F" w14:textId="77777777" w:rsidR="004D1935" w:rsidRDefault="004D1935" w:rsidP="00E24DC9">
            <w:pPr>
              <w:jc w:val="center"/>
            </w:pPr>
          </w:p>
        </w:tc>
        <w:tc>
          <w:tcPr>
            <w:tcW w:w="2127" w:type="dxa"/>
            <w:vMerge/>
            <w:vAlign w:val="center"/>
          </w:tcPr>
          <w:p w14:paraId="0B2D56FA" w14:textId="77777777" w:rsidR="004D1935" w:rsidRDefault="004D1935" w:rsidP="00E24DC9">
            <w:pPr>
              <w:jc w:val="center"/>
            </w:pPr>
          </w:p>
        </w:tc>
        <w:tc>
          <w:tcPr>
            <w:tcW w:w="992" w:type="dxa"/>
            <w:vMerge/>
            <w:vAlign w:val="center"/>
          </w:tcPr>
          <w:p w14:paraId="656E74F5" w14:textId="77777777" w:rsidR="004D1935" w:rsidRDefault="004D1935" w:rsidP="00E24DC9">
            <w:pPr>
              <w:jc w:val="center"/>
            </w:pPr>
          </w:p>
        </w:tc>
        <w:tc>
          <w:tcPr>
            <w:tcW w:w="5867" w:type="dxa"/>
            <w:vMerge/>
            <w:vAlign w:val="center"/>
          </w:tcPr>
          <w:p w14:paraId="5989C76D" w14:textId="77777777" w:rsidR="004D1935" w:rsidRDefault="004D1935" w:rsidP="00E24DC9">
            <w:pPr>
              <w:jc w:val="center"/>
            </w:pPr>
          </w:p>
        </w:tc>
      </w:tr>
      <w:tr w:rsidR="004D1935" w14:paraId="0F525E22" w14:textId="77777777" w:rsidTr="00E24DC9">
        <w:tc>
          <w:tcPr>
            <w:tcW w:w="1479" w:type="dxa"/>
            <w:vMerge/>
          </w:tcPr>
          <w:p w14:paraId="46D5975A" w14:textId="77777777" w:rsidR="004D1935" w:rsidRDefault="004D1935" w:rsidP="00E24DC9"/>
        </w:tc>
        <w:tc>
          <w:tcPr>
            <w:tcW w:w="798" w:type="dxa"/>
            <w:tcBorders>
              <w:top w:val="nil"/>
              <w:bottom w:val="nil"/>
            </w:tcBorders>
            <w:vAlign w:val="bottom"/>
          </w:tcPr>
          <w:p w14:paraId="0B1C361C"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146.9252</w:t>
            </w:r>
          </w:p>
        </w:tc>
        <w:tc>
          <w:tcPr>
            <w:tcW w:w="1687" w:type="dxa"/>
            <w:vMerge/>
            <w:vAlign w:val="bottom"/>
          </w:tcPr>
          <w:p w14:paraId="54547E8D" w14:textId="77777777" w:rsidR="004D1935" w:rsidRDefault="004D1935" w:rsidP="00E24DC9"/>
        </w:tc>
        <w:tc>
          <w:tcPr>
            <w:tcW w:w="2127" w:type="dxa"/>
            <w:vMerge/>
          </w:tcPr>
          <w:p w14:paraId="4887D1C5" w14:textId="77777777" w:rsidR="004D1935" w:rsidRDefault="004D1935" w:rsidP="00E24DC9"/>
        </w:tc>
        <w:tc>
          <w:tcPr>
            <w:tcW w:w="992" w:type="dxa"/>
            <w:vMerge/>
          </w:tcPr>
          <w:p w14:paraId="1D8757A6" w14:textId="77777777" w:rsidR="004D1935" w:rsidRDefault="004D1935" w:rsidP="00E24DC9"/>
        </w:tc>
        <w:tc>
          <w:tcPr>
            <w:tcW w:w="5867" w:type="dxa"/>
            <w:vMerge/>
          </w:tcPr>
          <w:p w14:paraId="6C3A300D" w14:textId="77777777" w:rsidR="004D1935" w:rsidRDefault="004D1935" w:rsidP="00E24DC9"/>
        </w:tc>
      </w:tr>
      <w:tr w:rsidR="004D1935" w14:paraId="5424EB74" w14:textId="77777777" w:rsidTr="00E24DC9">
        <w:tc>
          <w:tcPr>
            <w:tcW w:w="1479" w:type="dxa"/>
            <w:vMerge/>
          </w:tcPr>
          <w:p w14:paraId="65F1F81F" w14:textId="77777777" w:rsidR="004D1935" w:rsidRDefault="004D1935" w:rsidP="00E24DC9"/>
        </w:tc>
        <w:tc>
          <w:tcPr>
            <w:tcW w:w="798" w:type="dxa"/>
            <w:tcBorders>
              <w:top w:val="nil"/>
              <w:bottom w:val="single" w:sz="4" w:space="0" w:color="auto"/>
            </w:tcBorders>
            <w:vAlign w:val="bottom"/>
          </w:tcPr>
          <w:p w14:paraId="0EC898D4"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146.9526</w:t>
            </w:r>
          </w:p>
          <w:p w14:paraId="409BAF25" w14:textId="77777777" w:rsidR="004D1935" w:rsidRPr="00CF64A4" w:rsidRDefault="004D1935" w:rsidP="00E24DC9">
            <w:pPr>
              <w:rPr>
                <w:rFonts w:ascii="Calibri" w:hAnsi="Calibri" w:cs="Calibri"/>
                <w:color w:val="000000"/>
                <w:sz w:val="13"/>
                <w:szCs w:val="13"/>
              </w:rPr>
            </w:pPr>
          </w:p>
          <w:p w14:paraId="2F9AE5C6" w14:textId="77777777" w:rsidR="004D1935" w:rsidRPr="00CF64A4" w:rsidRDefault="004D1935" w:rsidP="00E24DC9">
            <w:pPr>
              <w:rPr>
                <w:rFonts w:ascii="Calibri" w:hAnsi="Calibri" w:cs="Calibri"/>
                <w:color w:val="000000"/>
                <w:sz w:val="13"/>
                <w:szCs w:val="13"/>
              </w:rPr>
            </w:pPr>
          </w:p>
          <w:p w14:paraId="646DB3C5" w14:textId="77777777" w:rsidR="004D1935" w:rsidRPr="00CF64A4" w:rsidRDefault="004D1935" w:rsidP="00E24DC9">
            <w:pPr>
              <w:rPr>
                <w:rFonts w:ascii="Calibri" w:hAnsi="Calibri" w:cs="Calibri"/>
                <w:color w:val="000000"/>
                <w:sz w:val="13"/>
                <w:szCs w:val="13"/>
              </w:rPr>
            </w:pPr>
          </w:p>
          <w:p w14:paraId="5F967A69"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2AE2F2ED" w14:textId="77777777" w:rsidR="004D1935" w:rsidRDefault="004D1935" w:rsidP="00E24DC9"/>
        </w:tc>
        <w:tc>
          <w:tcPr>
            <w:tcW w:w="2127" w:type="dxa"/>
            <w:vMerge/>
          </w:tcPr>
          <w:p w14:paraId="5F8E2D56" w14:textId="77777777" w:rsidR="004D1935" w:rsidRDefault="004D1935" w:rsidP="00E24DC9"/>
        </w:tc>
        <w:tc>
          <w:tcPr>
            <w:tcW w:w="992" w:type="dxa"/>
            <w:vMerge/>
          </w:tcPr>
          <w:p w14:paraId="6C6E21C5" w14:textId="77777777" w:rsidR="004D1935" w:rsidRDefault="004D1935" w:rsidP="00E24DC9"/>
        </w:tc>
        <w:tc>
          <w:tcPr>
            <w:tcW w:w="5867" w:type="dxa"/>
            <w:vMerge/>
          </w:tcPr>
          <w:p w14:paraId="58126120" w14:textId="77777777" w:rsidR="004D1935" w:rsidRDefault="004D1935" w:rsidP="00E24DC9"/>
        </w:tc>
      </w:tr>
      <w:tr w:rsidR="004D1935" w14:paraId="7B572AB7" w14:textId="77777777" w:rsidTr="00E24DC9">
        <w:tc>
          <w:tcPr>
            <w:tcW w:w="1479" w:type="dxa"/>
            <w:vMerge w:val="restart"/>
            <w:vAlign w:val="center"/>
          </w:tcPr>
          <w:p w14:paraId="2769B163" w14:textId="77777777" w:rsidR="004D1935" w:rsidRDefault="004D1935" w:rsidP="00E24DC9">
            <w:pPr>
              <w:jc w:val="center"/>
            </w:pPr>
            <w:r>
              <w:lastRenderedPageBreak/>
              <w:t>H</w:t>
            </w:r>
          </w:p>
        </w:tc>
        <w:tc>
          <w:tcPr>
            <w:tcW w:w="798" w:type="dxa"/>
            <w:tcBorders>
              <w:bottom w:val="nil"/>
            </w:tcBorders>
            <w:vAlign w:val="bottom"/>
          </w:tcPr>
          <w:p w14:paraId="1CC6DA31"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145.9209</w:t>
            </w:r>
          </w:p>
        </w:tc>
        <w:tc>
          <w:tcPr>
            <w:tcW w:w="1687" w:type="dxa"/>
            <w:vMerge w:val="restart"/>
            <w:vAlign w:val="center"/>
          </w:tcPr>
          <w:p w14:paraId="13AD3842" w14:textId="77777777" w:rsidR="004D1935" w:rsidRPr="00CF64A4" w:rsidRDefault="004D1935" w:rsidP="00E24DC9">
            <w:pPr>
              <w:jc w:val="center"/>
              <w:rPr>
                <w:rFonts w:ascii="Calibri" w:hAnsi="Calibri" w:cs="Calibri"/>
                <w:color w:val="000000" w:themeColor="text1"/>
                <w:sz w:val="15"/>
                <w:szCs w:val="15"/>
              </w:rPr>
            </w:pPr>
          </w:p>
          <w:p w14:paraId="77540720" w14:textId="77777777" w:rsidR="004D1935" w:rsidRPr="00CF64A4" w:rsidRDefault="004D1935" w:rsidP="00E24DC9">
            <w:pPr>
              <w:jc w:val="center"/>
              <w:rPr>
                <w:rFonts w:ascii="Calibri" w:hAnsi="Calibri" w:cs="Calibri"/>
                <w:color w:val="000000" w:themeColor="text1"/>
                <w:sz w:val="15"/>
                <w:szCs w:val="15"/>
              </w:rPr>
            </w:pPr>
          </w:p>
          <w:p w14:paraId="6DA25DF1" w14:textId="77777777" w:rsidR="004D1935" w:rsidRPr="00CF64A4" w:rsidRDefault="004D1935" w:rsidP="00E24DC9">
            <w:pPr>
              <w:jc w:val="center"/>
              <w:rPr>
                <w:rFonts w:ascii="Calibri" w:hAnsi="Calibri" w:cs="Calibri"/>
                <w:color w:val="000000" w:themeColor="text1"/>
                <w:sz w:val="15"/>
                <w:szCs w:val="15"/>
              </w:rPr>
            </w:pPr>
          </w:p>
          <w:p w14:paraId="08FAE88E" w14:textId="77777777" w:rsidR="004D1935" w:rsidRPr="00CF64A4" w:rsidRDefault="004D1935" w:rsidP="00E24DC9">
            <w:pPr>
              <w:jc w:val="center"/>
              <w:rPr>
                <w:rFonts w:ascii="Calibri" w:hAnsi="Calibri" w:cs="Calibri"/>
                <w:color w:val="000000" w:themeColor="text1"/>
                <w:sz w:val="15"/>
                <w:szCs w:val="15"/>
              </w:rPr>
            </w:pPr>
          </w:p>
          <w:p w14:paraId="1CB848C2" w14:textId="77777777" w:rsidR="004D1935" w:rsidRPr="00CF64A4" w:rsidRDefault="004D1935" w:rsidP="00E24DC9">
            <w:pPr>
              <w:jc w:val="center"/>
              <w:rPr>
                <w:rFonts w:ascii="Calibri" w:hAnsi="Calibri" w:cs="Calibri"/>
                <w:color w:val="000000" w:themeColor="text1"/>
                <w:sz w:val="15"/>
                <w:szCs w:val="15"/>
              </w:rPr>
            </w:pPr>
          </w:p>
          <w:p w14:paraId="64CC04A7" w14:textId="77777777" w:rsidR="004D1935" w:rsidRPr="00CF64A4" w:rsidRDefault="004D1935" w:rsidP="00E24DC9">
            <w:pPr>
              <w:jc w:val="center"/>
              <w:rPr>
                <w:rFonts w:ascii="Calibri" w:hAnsi="Calibri" w:cs="Calibri"/>
                <w:color w:val="000000" w:themeColor="text1"/>
                <w:sz w:val="15"/>
                <w:szCs w:val="15"/>
              </w:rPr>
            </w:pPr>
          </w:p>
          <w:p w14:paraId="01DB7421" w14:textId="77777777" w:rsidR="004D1935" w:rsidRPr="00CF64A4" w:rsidRDefault="004D1935" w:rsidP="00E24DC9">
            <w:pPr>
              <w:jc w:val="center"/>
              <w:rPr>
                <w:rFonts w:ascii="Calibri" w:hAnsi="Calibri" w:cs="Calibri"/>
                <w:color w:val="000000" w:themeColor="text1"/>
                <w:sz w:val="15"/>
                <w:szCs w:val="15"/>
              </w:rPr>
            </w:pPr>
          </w:p>
          <w:p w14:paraId="5B02DA52" w14:textId="77777777" w:rsidR="004D1935" w:rsidRPr="00CF64A4" w:rsidRDefault="004D1935" w:rsidP="00E24DC9">
            <w:pPr>
              <w:jc w:val="center"/>
              <w:rPr>
                <w:rFonts w:ascii="Calibri" w:hAnsi="Calibri" w:cs="Calibri"/>
                <w:color w:val="000000" w:themeColor="text1"/>
                <w:sz w:val="15"/>
                <w:szCs w:val="15"/>
              </w:rPr>
            </w:pPr>
          </w:p>
          <w:p w14:paraId="177E6ECF" w14:textId="77777777" w:rsidR="004D1935" w:rsidRPr="00CF64A4" w:rsidRDefault="004D1935" w:rsidP="00E24DC9">
            <w:pPr>
              <w:jc w:val="center"/>
              <w:rPr>
                <w:rFonts w:ascii="Calibri" w:hAnsi="Calibri" w:cs="Calibri"/>
                <w:color w:val="000000" w:themeColor="text1"/>
                <w:sz w:val="15"/>
                <w:szCs w:val="15"/>
              </w:rPr>
            </w:pPr>
          </w:p>
          <w:p w14:paraId="686DBEB5" w14:textId="77777777" w:rsidR="004D1935" w:rsidRPr="00CF64A4" w:rsidRDefault="004D1935" w:rsidP="00E24DC9">
            <w:pPr>
              <w:jc w:val="center"/>
              <w:rPr>
                <w:rFonts w:ascii="Calibri" w:hAnsi="Calibri" w:cs="Calibri"/>
                <w:color w:val="000000" w:themeColor="text1"/>
                <w:sz w:val="15"/>
                <w:szCs w:val="15"/>
              </w:rPr>
            </w:pPr>
          </w:p>
          <w:p w14:paraId="553A18D8" w14:textId="77777777" w:rsidR="004D1935" w:rsidRPr="00CF64A4" w:rsidRDefault="004D1935" w:rsidP="00E24DC9">
            <w:pPr>
              <w:jc w:val="center"/>
              <w:rPr>
                <w:rFonts w:ascii="Calibri" w:hAnsi="Calibri" w:cs="Calibri"/>
                <w:color w:val="000000" w:themeColor="text1"/>
                <w:sz w:val="15"/>
                <w:szCs w:val="15"/>
              </w:rPr>
            </w:pPr>
          </w:p>
          <w:p w14:paraId="30D7F04F" w14:textId="77777777" w:rsidR="004D1935" w:rsidRPr="00CF64A4" w:rsidRDefault="004D1935" w:rsidP="00E24DC9">
            <w:pPr>
              <w:jc w:val="center"/>
              <w:rPr>
                <w:rFonts w:ascii="Calibri" w:hAnsi="Calibri" w:cs="Calibri"/>
                <w:color w:val="000000" w:themeColor="text1"/>
                <w:sz w:val="15"/>
                <w:szCs w:val="15"/>
              </w:rPr>
            </w:pPr>
          </w:p>
          <w:p w14:paraId="672AD85E" w14:textId="77777777" w:rsidR="004D1935" w:rsidRPr="00CF64A4" w:rsidRDefault="004D1935" w:rsidP="00E24DC9">
            <w:pPr>
              <w:jc w:val="center"/>
              <w:rPr>
                <w:rFonts w:ascii="Calibri" w:hAnsi="Calibri" w:cs="Calibri"/>
                <w:color w:val="000000" w:themeColor="text1"/>
                <w:sz w:val="15"/>
                <w:szCs w:val="15"/>
              </w:rPr>
            </w:pPr>
          </w:p>
          <w:p w14:paraId="71BB8DE6" w14:textId="77777777" w:rsidR="004D1935" w:rsidRPr="00CF64A4" w:rsidRDefault="004D1935" w:rsidP="00E24DC9">
            <w:pPr>
              <w:jc w:val="center"/>
              <w:rPr>
                <w:rFonts w:ascii="Calibri" w:hAnsi="Calibri" w:cs="Calibri"/>
                <w:color w:val="000000" w:themeColor="text1"/>
                <w:sz w:val="15"/>
                <w:szCs w:val="15"/>
              </w:rPr>
            </w:pPr>
          </w:p>
          <w:p w14:paraId="433FA525" w14:textId="77777777" w:rsidR="004D1935" w:rsidRPr="00CF64A4" w:rsidRDefault="004D1935" w:rsidP="00E24DC9">
            <w:pPr>
              <w:jc w:val="center"/>
              <w:rPr>
                <w:rFonts w:ascii="Calibri" w:hAnsi="Calibri" w:cs="Calibri"/>
                <w:color w:val="000000" w:themeColor="text1"/>
                <w:sz w:val="15"/>
                <w:szCs w:val="15"/>
              </w:rPr>
            </w:pPr>
          </w:p>
          <w:p w14:paraId="7BAF4831" w14:textId="77777777" w:rsidR="004D1935" w:rsidRPr="00CF64A4" w:rsidRDefault="004D1935" w:rsidP="00E24DC9">
            <w:pPr>
              <w:jc w:val="center"/>
              <w:rPr>
                <w:rFonts w:ascii="Calibri" w:hAnsi="Calibri" w:cs="Calibri"/>
                <w:color w:val="000000" w:themeColor="text1"/>
                <w:sz w:val="15"/>
                <w:szCs w:val="15"/>
              </w:rPr>
            </w:pPr>
          </w:p>
          <w:p w14:paraId="0E717225" w14:textId="77777777" w:rsidR="004D1935" w:rsidRPr="00CF64A4" w:rsidRDefault="004D1935" w:rsidP="00E24DC9">
            <w:pPr>
              <w:jc w:val="center"/>
              <w:rPr>
                <w:rFonts w:ascii="Calibri" w:hAnsi="Calibri" w:cs="Calibri"/>
                <w:color w:val="000000" w:themeColor="text1"/>
                <w:sz w:val="15"/>
                <w:szCs w:val="15"/>
              </w:rPr>
            </w:pPr>
          </w:p>
          <w:p w14:paraId="3134B01D" w14:textId="77777777" w:rsidR="004D1935" w:rsidRPr="00CF64A4" w:rsidRDefault="004D1935" w:rsidP="00E24DC9">
            <w:pPr>
              <w:jc w:val="center"/>
              <w:rPr>
                <w:rFonts w:ascii="Calibri" w:hAnsi="Calibri" w:cs="Calibri"/>
                <w:color w:val="000000" w:themeColor="text1"/>
                <w:sz w:val="13"/>
                <w:szCs w:val="13"/>
              </w:rPr>
            </w:pPr>
          </w:p>
          <w:p w14:paraId="4D5504A1" w14:textId="77777777" w:rsidR="004D1935" w:rsidRPr="00CF64A4" w:rsidRDefault="004D1935" w:rsidP="00E24DC9">
            <w:pPr>
              <w:jc w:val="center"/>
              <w:rPr>
                <w:rFonts w:ascii="Calibri" w:hAnsi="Calibri" w:cs="Calibri"/>
                <w:color w:val="000000" w:themeColor="text1"/>
                <w:sz w:val="13"/>
                <w:szCs w:val="13"/>
              </w:rPr>
            </w:pPr>
          </w:p>
          <w:p w14:paraId="519F61E3" w14:textId="77777777" w:rsidR="004D1935" w:rsidRPr="00CF64A4" w:rsidRDefault="004D1935" w:rsidP="00E24DC9">
            <w:pPr>
              <w:jc w:val="center"/>
              <w:rPr>
                <w:rFonts w:ascii="Calibri" w:hAnsi="Calibri" w:cs="Calibri"/>
                <w:color w:val="000000" w:themeColor="text1"/>
                <w:sz w:val="13"/>
                <w:szCs w:val="13"/>
              </w:rPr>
            </w:pPr>
          </w:p>
          <w:p w14:paraId="6A7B33A7" w14:textId="77777777" w:rsidR="004D1935" w:rsidRPr="00CF64A4" w:rsidRDefault="004D1935" w:rsidP="00E24DC9">
            <w:pPr>
              <w:jc w:val="center"/>
              <w:rPr>
                <w:rFonts w:ascii="Calibri" w:hAnsi="Calibri" w:cs="Calibri"/>
                <w:color w:val="000000" w:themeColor="text1"/>
                <w:sz w:val="13"/>
                <w:szCs w:val="13"/>
              </w:rPr>
            </w:pPr>
          </w:p>
          <w:p w14:paraId="137986FB" w14:textId="77777777" w:rsidR="004D1935" w:rsidRDefault="004D1935" w:rsidP="00E24DC9">
            <w:pPr>
              <w:jc w:val="center"/>
              <w:rPr>
                <w:rFonts w:ascii="Calibri" w:hAnsi="Calibri" w:cs="Calibri"/>
                <w:color w:val="000000" w:themeColor="text1"/>
                <w:sz w:val="13"/>
                <w:szCs w:val="13"/>
              </w:rPr>
            </w:pPr>
          </w:p>
          <w:p w14:paraId="383C0195" w14:textId="77777777" w:rsidR="004D1935" w:rsidRDefault="004D1935" w:rsidP="00E24DC9">
            <w:pPr>
              <w:jc w:val="center"/>
              <w:rPr>
                <w:rFonts w:ascii="Calibri" w:hAnsi="Calibri" w:cs="Calibri"/>
                <w:color w:val="000000" w:themeColor="text1"/>
                <w:sz w:val="13"/>
                <w:szCs w:val="13"/>
              </w:rPr>
            </w:pPr>
          </w:p>
          <w:p w14:paraId="71158605" w14:textId="77777777" w:rsidR="004D1935" w:rsidRPr="00CF64A4" w:rsidRDefault="004D1935" w:rsidP="00E24DC9">
            <w:pPr>
              <w:jc w:val="center"/>
              <w:rPr>
                <w:color w:val="000000" w:themeColor="text1"/>
                <w:sz w:val="13"/>
                <w:szCs w:val="13"/>
              </w:rPr>
            </w:pPr>
            <w:r w:rsidRPr="00CF64A4">
              <w:rPr>
                <w:rFonts w:ascii="Calibri" w:hAnsi="Calibri" w:cs="Calibri"/>
                <w:color w:val="000000" w:themeColor="text1"/>
                <w:sz w:val="13"/>
                <w:szCs w:val="13"/>
              </w:rPr>
              <w:t>selenate</w:t>
            </w:r>
          </w:p>
          <w:p w14:paraId="61C3664D" w14:textId="77777777" w:rsidR="004D1935" w:rsidRPr="00CF64A4" w:rsidRDefault="004D1935" w:rsidP="00E24DC9">
            <w:pPr>
              <w:jc w:val="center"/>
              <w:rPr>
                <w:color w:val="000000" w:themeColor="text1"/>
                <w:sz w:val="13"/>
                <w:szCs w:val="13"/>
              </w:rPr>
            </w:pPr>
            <w:r w:rsidRPr="00CF64A4">
              <w:rPr>
                <w:rFonts w:ascii="Calibri" w:hAnsi="Calibri" w:cs="Calibri"/>
                <w:color w:val="000000" w:themeColor="text1"/>
                <w:sz w:val="13"/>
                <w:szCs w:val="13"/>
              </w:rPr>
              <w:t>1,4-dichlorobenzene</w:t>
            </w:r>
          </w:p>
          <w:p w14:paraId="203874D0" w14:textId="77777777" w:rsidR="004D1935" w:rsidRPr="00CF64A4" w:rsidRDefault="004D1935" w:rsidP="00E24DC9">
            <w:pPr>
              <w:jc w:val="center"/>
              <w:rPr>
                <w:color w:val="000000" w:themeColor="text1"/>
                <w:sz w:val="13"/>
                <w:szCs w:val="13"/>
              </w:rPr>
            </w:pPr>
            <w:r w:rsidRPr="00CF64A4">
              <w:rPr>
                <w:rFonts w:ascii="Calibri" w:hAnsi="Calibri" w:cs="Calibri"/>
                <w:color w:val="000000" w:themeColor="text1"/>
                <w:sz w:val="13"/>
                <w:szCs w:val="13"/>
              </w:rPr>
              <w:t>coumarin</w:t>
            </w:r>
          </w:p>
          <w:p w14:paraId="30E60510" w14:textId="77777777" w:rsidR="004D1935" w:rsidRPr="00CF64A4" w:rsidRDefault="004D1935" w:rsidP="00E24DC9">
            <w:pPr>
              <w:jc w:val="center"/>
              <w:rPr>
                <w:color w:val="000000" w:themeColor="text1"/>
                <w:sz w:val="13"/>
                <w:szCs w:val="13"/>
              </w:rPr>
            </w:pPr>
            <w:r w:rsidRPr="00CF64A4">
              <w:rPr>
                <w:rFonts w:ascii="Calibri" w:hAnsi="Calibri" w:cs="Calibri"/>
                <w:color w:val="000000" w:themeColor="text1"/>
                <w:sz w:val="13"/>
                <w:szCs w:val="13"/>
              </w:rPr>
              <w:t>2-oxoglutarate</w:t>
            </w:r>
          </w:p>
          <w:p w14:paraId="035D04D1" w14:textId="77777777" w:rsidR="004D1935" w:rsidRPr="00CF64A4" w:rsidRDefault="004D1935" w:rsidP="00E24DC9">
            <w:pPr>
              <w:jc w:val="center"/>
              <w:rPr>
                <w:color w:val="000000" w:themeColor="text1"/>
                <w:sz w:val="13"/>
                <w:szCs w:val="13"/>
              </w:rPr>
            </w:pPr>
            <w:r w:rsidRPr="00CF64A4">
              <w:rPr>
                <w:rFonts w:ascii="Calibri" w:hAnsi="Calibri" w:cs="Calibri"/>
                <w:color w:val="000000" w:themeColor="text1"/>
                <w:sz w:val="13"/>
                <w:szCs w:val="13"/>
              </w:rPr>
              <w:t>2-hydroxyparaconate</w:t>
            </w:r>
          </w:p>
          <w:p w14:paraId="228E7CC7" w14:textId="77777777" w:rsidR="004D1935" w:rsidRPr="00CF64A4" w:rsidRDefault="004D1935" w:rsidP="00E24DC9">
            <w:pPr>
              <w:jc w:val="center"/>
              <w:rPr>
                <w:color w:val="000000" w:themeColor="text1"/>
                <w:sz w:val="13"/>
                <w:szCs w:val="13"/>
              </w:rPr>
            </w:pPr>
            <w:r w:rsidRPr="00CF64A4">
              <w:rPr>
                <w:rFonts w:ascii="Calibri" w:hAnsi="Calibri" w:cs="Calibri"/>
                <w:color w:val="000000" w:themeColor="text1"/>
                <w:sz w:val="13"/>
                <w:szCs w:val="13"/>
              </w:rPr>
              <w:t>methyloxaloacetate</w:t>
            </w:r>
          </w:p>
          <w:p w14:paraId="4F559045" w14:textId="77777777" w:rsidR="004D1935" w:rsidRPr="00CF64A4" w:rsidRDefault="004D1935" w:rsidP="00E24DC9">
            <w:pPr>
              <w:jc w:val="center"/>
              <w:rPr>
                <w:color w:val="000000" w:themeColor="text1"/>
                <w:sz w:val="13"/>
                <w:szCs w:val="13"/>
              </w:rPr>
            </w:pPr>
            <w:r w:rsidRPr="00CF64A4">
              <w:rPr>
                <w:rFonts w:ascii="Calibri" w:hAnsi="Calibri" w:cs="Calibri"/>
                <w:color w:val="000000" w:themeColor="text1"/>
                <w:sz w:val="13"/>
                <w:szCs w:val="13"/>
              </w:rPr>
              <w:t>oxaloacetate 4-methyl ester</w:t>
            </w:r>
          </w:p>
          <w:p w14:paraId="208C86D4" w14:textId="77777777" w:rsidR="004D1935" w:rsidRPr="00CF64A4" w:rsidRDefault="004D1935" w:rsidP="00E24DC9">
            <w:pPr>
              <w:jc w:val="center"/>
              <w:rPr>
                <w:color w:val="000000" w:themeColor="text1"/>
                <w:sz w:val="13"/>
                <w:szCs w:val="13"/>
              </w:rPr>
            </w:pPr>
          </w:p>
          <w:p w14:paraId="4A1D2BBC" w14:textId="77777777" w:rsidR="004D1935" w:rsidRPr="00CF64A4" w:rsidRDefault="004D1935" w:rsidP="00E24DC9">
            <w:pPr>
              <w:jc w:val="center"/>
              <w:rPr>
                <w:color w:val="000000" w:themeColor="text1"/>
              </w:rPr>
            </w:pPr>
          </w:p>
          <w:p w14:paraId="5C23B864" w14:textId="77777777" w:rsidR="004D1935" w:rsidRPr="00CF64A4" w:rsidRDefault="004D1935" w:rsidP="00E24DC9">
            <w:pPr>
              <w:jc w:val="center"/>
              <w:rPr>
                <w:color w:val="000000" w:themeColor="text1"/>
              </w:rPr>
            </w:pPr>
          </w:p>
          <w:p w14:paraId="6165C026" w14:textId="77777777" w:rsidR="004D1935" w:rsidRPr="00CF64A4" w:rsidRDefault="004D1935" w:rsidP="00E24DC9">
            <w:pPr>
              <w:jc w:val="center"/>
              <w:rPr>
                <w:color w:val="000000" w:themeColor="text1"/>
              </w:rPr>
            </w:pPr>
          </w:p>
          <w:p w14:paraId="17895A42" w14:textId="77777777" w:rsidR="004D1935" w:rsidRPr="00CF64A4" w:rsidRDefault="004D1935" w:rsidP="00E24DC9">
            <w:pPr>
              <w:jc w:val="center"/>
              <w:rPr>
                <w:color w:val="000000" w:themeColor="text1"/>
              </w:rPr>
            </w:pPr>
          </w:p>
          <w:p w14:paraId="0B585166" w14:textId="77777777" w:rsidR="004D1935" w:rsidRPr="00CF64A4" w:rsidRDefault="004D1935" w:rsidP="00E24DC9">
            <w:pPr>
              <w:jc w:val="center"/>
              <w:rPr>
                <w:color w:val="000000" w:themeColor="text1"/>
              </w:rPr>
            </w:pPr>
          </w:p>
          <w:p w14:paraId="56376B1A" w14:textId="77777777" w:rsidR="004D1935" w:rsidRPr="00CF64A4" w:rsidRDefault="004D1935" w:rsidP="00E24DC9">
            <w:pPr>
              <w:jc w:val="center"/>
              <w:rPr>
                <w:color w:val="000000" w:themeColor="text1"/>
              </w:rPr>
            </w:pPr>
          </w:p>
          <w:p w14:paraId="2714B55D" w14:textId="77777777" w:rsidR="004D1935" w:rsidRPr="00CF64A4" w:rsidRDefault="004D1935" w:rsidP="00E24DC9">
            <w:pPr>
              <w:jc w:val="center"/>
              <w:rPr>
                <w:color w:val="000000" w:themeColor="text1"/>
              </w:rPr>
            </w:pPr>
          </w:p>
          <w:p w14:paraId="607E805B" w14:textId="77777777" w:rsidR="004D1935" w:rsidRPr="00CF64A4" w:rsidRDefault="004D1935" w:rsidP="00E24DC9">
            <w:pPr>
              <w:jc w:val="center"/>
              <w:rPr>
                <w:color w:val="000000" w:themeColor="text1"/>
              </w:rPr>
            </w:pPr>
          </w:p>
          <w:p w14:paraId="700F1F83" w14:textId="77777777" w:rsidR="004D1935" w:rsidRPr="00CF64A4" w:rsidRDefault="004D1935" w:rsidP="00E24DC9">
            <w:pPr>
              <w:jc w:val="center"/>
              <w:rPr>
                <w:color w:val="000000" w:themeColor="text1"/>
              </w:rPr>
            </w:pPr>
          </w:p>
          <w:p w14:paraId="0F38D97B" w14:textId="77777777" w:rsidR="004D1935" w:rsidRPr="00CF64A4" w:rsidRDefault="004D1935" w:rsidP="00E24DC9">
            <w:pPr>
              <w:rPr>
                <w:color w:val="000000" w:themeColor="text1"/>
              </w:rPr>
            </w:pPr>
          </w:p>
          <w:p w14:paraId="12FC04F3" w14:textId="77777777" w:rsidR="004D1935" w:rsidRPr="00CF64A4" w:rsidRDefault="004D1935" w:rsidP="00E24DC9">
            <w:pPr>
              <w:jc w:val="center"/>
              <w:rPr>
                <w:color w:val="000000" w:themeColor="text1"/>
              </w:rPr>
            </w:pPr>
          </w:p>
          <w:p w14:paraId="695699C5" w14:textId="77777777" w:rsidR="004D1935" w:rsidRPr="00CF64A4" w:rsidRDefault="004D1935" w:rsidP="00E24DC9">
            <w:pPr>
              <w:jc w:val="center"/>
              <w:rPr>
                <w:color w:val="000000" w:themeColor="text1"/>
              </w:rPr>
            </w:pPr>
          </w:p>
          <w:p w14:paraId="3A55FCF3" w14:textId="77777777" w:rsidR="004D1935" w:rsidRPr="00CF64A4" w:rsidRDefault="004D1935" w:rsidP="00E24DC9">
            <w:pPr>
              <w:jc w:val="center"/>
              <w:rPr>
                <w:rFonts w:ascii="Calibri" w:hAnsi="Calibri" w:cs="Calibri"/>
                <w:color w:val="000000" w:themeColor="text1"/>
                <w:sz w:val="15"/>
                <w:szCs w:val="15"/>
              </w:rPr>
            </w:pPr>
          </w:p>
          <w:p w14:paraId="0FD5BCB7" w14:textId="77777777" w:rsidR="004D1935" w:rsidRPr="00CF64A4" w:rsidRDefault="004D1935" w:rsidP="00E24DC9">
            <w:pPr>
              <w:jc w:val="center"/>
              <w:rPr>
                <w:color w:val="000000" w:themeColor="text1"/>
              </w:rPr>
            </w:pPr>
          </w:p>
        </w:tc>
        <w:tc>
          <w:tcPr>
            <w:tcW w:w="2127" w:type="dxa"/>
            <w:vMerge w:val="restart"/>
            <w:vAlign w:val="center"/>
          </w:tcPr>
          <w:p w14:paraId="15B56212" w14:textId="77777777" w:rsidR="004D1935" w:rsidRPr="00CF64A4" w:rsidRDefault="004D1935" w:rsidP="00E24DC9">
            <w:pPr>
              <w:jc w:val="center"/>
              <w:rPr>
                <w:rFonts w:ascii="Calibri" w:hAnsi="Calibri" w:cs="Calibri"/>
                <w:color w:val="000000" w:themeColor="text1"/>
                <w:sz w:val="13"/>
                <w:szCs w:val="13"/>
              </w:rPr>
            </w:pPr>
          </w:p>
          <w:p w14:paraId="6A7FF8BF" w14:textId="77777777" w:rsidR="004D1935" w:rsidRPr="00CF64A4" w:rsidRDefault="004D1935" w:rsidP="00E24DC9">
            <w:pPr>
              <w:jc w:val="center"/>
              <w:rPr>
                <w:color w:val="000000" w:themeColor="text1"/>
                <w:sz w:val="13"/>
                <w:szCs w:val="13"/>
              </w:rPr>
            </w:pPr>
            <w:r w:rsidRPr="00CF64A4">
              <w:rPr>
                <w:rFonts w:ascii="Calibri" w:hAnsi="Calibri" w:cs="Calibri"/>
                <w:color w:val="000000" w:themeColor="text1"/>
                <w:sz w:val="13"/>
                <w:szCs w:val="13"/>
              </w:rPr>
              <w:t>anion</w:t>
            </w:r>
          </w:p>
          <w:p w14:paraId="4A7697AB" w14:textId="77777777" w:rsidR="004D1935" w:rsidRPr="00CF64A4" w:rsidRDefault="004D1935" w:rsidP="00E24DC9">
            <w:pPr>
              <w:jc w:val="center"/>
              <w:rPr>
                <w:color w:val="000000" w:themeColor="text1"/>
                <w:sz w:val="13"/>
                <w:szCs w:val="13"/>
              </w:rPr>
            </w:pPr>
            <w:r w:rsidRPr="00CF64A4">
              <w:rPr>
                <w:rFonts w:ascii="Calibri" w:hAnsi="Calibri" w:cs="Calibri"/>
                <w:color w:val="000000" w:themeColor="text1"/>
                <w:sz w:val="13"/>
                <w:szCs w:val="13"/>
              </w:rPr>
              <w:t>chloroaromatic compound</w:t>
            </w:r>
          </w:p>
          <w:p w14:paraId="42A5649F" w14:textId="77777777" w:rsidR="004D1935" w:rsidRPr="00CF64A4" w:rsidRDefault="004D1935" w:rsidP="00E24DC9">
            <w:pPr>
              <w:jc w:val="center"/>
              <w:rPr>
                <w:color w:val="000000" w:themeColor="text1"/>
                <w:sz w:val="13"/>
                <w:szCs w:val="13"/>
              </w:rPr>
            </w:pPr>
            <w:r w:rsidRPr="00CF64A4">
              <w:rPr>
                <w:rFonts w:ascii="Calibri" w:hAnsi="Calibri" w:cs="Calibri"/>
                <w:color w:val="000000" w:themeColor="text1"/>
                <w:sz w:val="13"/>
                <w:szCs w:val="13"/>
              </w:rPr>
              <w:t xml:space="preserve"> organic aromatic phenylpropanoid</w:t>
            </w:r>
          </w:p>
          <w:p w14:paraId="5E11F802" w14:textId="77777777" w:rsidR="004D1935" w:rsidRPr="00CF64A4" w:rsidRDefault="004D1935" w:rsidP="00E24DC9">
            <w:pPr>
              <w:jc w:val="center"/>
              <w:rPr>
                <w:color w:val="000000" w:themeColor="text1"/>
                <w:sz w:val="13"/>
                <w:szCs w:val="13"/>
              </w:rPr>
            </w:pPr>
            <w:r w:rsidRPr="00CF64A4">
              <w:rPr>
                <w:rFonts w:ascii="Calibri" w:hAnsi="Calibri" w:cs="Calibri"/>
                <w:color w:val="000000" w:themeColor="text1"/>
                <w:sz w:val="13"/>
                <w:szCs w:val="13"/>
              </w:rPr>
              <w:t>dicarboxyl acid/fatty acid</w:t>
            </w:r>
          </w:p>
          <w:p w14:paraId="7264532B" w14:textId="77777777" w:rsidR="004D1935" w:rsidRPr="00CF64A4" w:rsidRDefault="004D1935" w:rsidP="00E24DC9">
            <w:pPr>
              <w:jc w:val="center"/>
              <w:rPr>
                <w:color w:val="000000" w:themeColor="text1"/>
                <w:sz w:val="13"/>
                <w:szCs w:val="13"/>
              </w:rPr>
            </w:pPr>
            <w:r w:rsidRPr="00CF64A4">
              <w:rPr>
                <w:rFonts w:ascii="Calibri" w:hAnsi="Calibri" w:cs="Calibri"/>
                <w:color w:val="000000" w:themeColor="text1"/>
                <w:sz w:val="13"/>
                <w:szCs w:val="13"/>
              </w:rPr>
              <w:t>glycoside</w:t>
            </w:r>
          </w:p>
          <w:p w14:paraId="0DD78EC9" w14:textId="77777777" w:rsidR="004D1935" w:rsidRPr="00CF64A4" w:rsidRDefault="004D1935" w:rsidP="00E24DC9">
            <w:pPr>
              <w:jc w:val="center"/>
              <w:rPr>
                <w:color w:val="000000" w:themeColor="text1"/>
                <w:sz w:val="13"/>
                <w:szCs w:val="13"/>
              </w:rPr>
            </w:pPr>
            <w:r w:rsidRPr="00CF64A4">
              <w:rPr>
                <w:rFonts w:ascii="Calibri" w:hAnsi="Calibri" w:cs="Calibri"/>
                <w:color w:val="000000" w:themeColor="text1"/>
                <w:sz w:val="13"/>
                <w:szCs w:val="13"/>
              </w:rPr>
              <w:t>fatty acid</w:t>
            </w:r>
          </w:p>
          <w:p w14:paraId="218D79BB" w14:textId="77777777" w:rsidR="004D1935" w:rsidRPr="00CF64A4" w:rsidRDefault="004D1935" w:rsidP="00E24DC9">
            <w:pPr>
              <w:jc w:val="center"/>
              <w:rPr>
                <w:color w:val="000000" w:themeColor="text1"/>
              </w:rPr>
            </w:pPr>
            <w:r w:rsidRPr="00CF64A4">
              <w:rPr>
                <w:rFonts w:ascii="Calibri" w:hAnsi="Calibri" w:cs="Calibri"/>
                <w:color w:val="000000" w:themeColor="text1"/>
                <w:sz w:val="13"/>
                <w:szCs w:val="13"/>
              </w:rPr>
              <w:t>Fatty acid</w:t>
            </w:r>
          </w:p>
        </w:tc>
        <w:tc>
          <w:tcPr>
            <w:tcW w:w="992" w:type="dxa"/>
            <w:vMerge w:val="restart"/>
            <w:vAlign w:val="center"/>
          </w:tcPr>
          <w:p w14:paraId="4B83C410" w14:textId="77777777" w:rsidR="004D1935" w:rsidRPr="00CF64A4" w:rsidRDefault="004D1935" w:rsidP="00E24DC9">
            <w:pPr>
              <w:jc w:val="center"/>
              <w:rPr>
                <w:rFonts w:ascii="Arial" w:hAnsi="Arial" w:cs="Arial"/>
                <w:color w:val="000000" w:themeColor="text1"/>
                <w:sz w:val="15"/>
                <w:szCs w:val="15"/>
                <w:shd w:val="clear" w:color="auto" w:fill="FFFFFF"/>
              </w:rPr>
            </w:pPr>
          </w:p>
          <w:p w14:paraId="19057E72" w14:textId="77777777" w:rsidR="004D1935" w:rsidRPr="00CF64A4" w:rsidRDefault="004D1935" w:rsidP="00E24DC9">
            <w:pPr>
              <w:jc w:val="center"/>
              <w:rPr>
                <w:rFonts w:ascii="Arial" w:hAnsi="Arial" w:cs="Arial"/>
                <w:color w:val="000000" w:themeColor="text1"/>
                <w:sz w:val="15"/>
                <w:szCs w:val="15"/>
                <w:shd w:val="clear" w:color="auto" w:fill="FFFFFF"/>
              </w:rPr>
            </w:pPr>
          </w:p>
          <w:p w14:paraId="02D08CB9" w14:textId="77777777" w:rsidR="004D1935" w:rsidRPr="00CF64A4" w:rsidRDefault="004D1935" w:rsidP="00E24DC9">
            <w:pPr>
              <w:jc w:val="center"/>
              <w:rPr>
                <w:rFonts w:ascii="Arial" w:hAnsi="Arial" w:cs="Arial"/>
                <w:color w:val="000000" w:themeColor="text1"/>
                <w:sz w:val="15"/>
                <w:szCs w:val="15"/>
                <w:shd w:val="clear" w:color="auto" w:fill="FFFFFF"/>
              </w:rPr>
            </w:pPr>
          </w:p>
          <w:p w14:paraId="15B33641" w14:textId="77777777" w:rsidR="004D1935" w:rsidRPr="00CF64A4" w:rsidRDefault="004D1935" w:rsidP="00E24DC9">
            <w:pPr>
              <w:jc w:val="center"/>
              <w:rPr>
                <w:color w:val="000000" w:themeColor="text1"/>
                <w:sz w:val="15"/>
                <w:szCs w:val="15"/>
              </w:rPr>
            </w:pPr>
            <w:r w:rsidRPr="00CF64A4">
              <w:rPr>
                <w:rFonts w:ascii="Arial" w:hAnsi="Arial" w:cs="Arial"/>
                <w:color w:val="000000" w:themeColor="text1"/>
                <w:sz w:val="15"/>
                <w:szCs w:val="15"/>
                <w:shd w:val="clear" w:color="auto" w:fill="FFFFFF"/>
              </w:rPr>
              <w:t>O</w:t>
            </w:r>
            <w:r w:rsidRPr="00CF64A4">
              <w:rPr>
                <w:rFonts w:ascii="Arial" w:hAnsi="Arial" w:cs="Arial"/>
                <w:color w:val="000000" w:themeColor="text1"/>
                <w:sz w:val="15"/>
                <w:szCs w:val="15"/>
                <w:shd w:val="clear" w:color="auto" w:fill="FFFFFF"/>
                <w:vertAlign w:val="subscript"/>
              </w:rPr>
              <w:t>4</w:t>
            </w:r>
            <w:r w:rsidRPr="00CF64A4">
              <w:rPr>
                <w:rFonts w:ascii="Arial" w:hAnsi="Arial" w:cs="Arial"/>
                <w:color w:val="000000" w:themeColor="text1"/>
                <w:sz w:val="15"/>
                <w:szCs w:val="15"/>
                <w:shd w:val="clear" w:color="auto" w:fill="FFFFFF"/>
              </w:rPr>
              <w:t>Se</w:t>
            </w:r>
          </w:p>
          <w:p w14:paraId="17351311" w14:textId="77777777" w:rsidR="004D1935" w:rsidRPr="00CF64A4" w:rsidRDefault="004D1935" w:rsidP="00E24DC9">
            <w:pPr>
              <w:jc w:val="center"/>
              <w:rPr>
                <w:color w:val="000000" w:themeColor="text1"/>
                <w:sz w:val="15"/>
                <w:szCs w:val="15"/>
              </w:rPr>
            </w:pPr>
            <w:r w:rsidRPr="00CF64A4">
              <w:rPr>
                <w:rFonts w:ascii="Arial" w:hAnsi="Arial" w:cs="Arial"/>
                <w:color w:val="000000" w:themeColor="text1"/>
                <w:sz w:val="15"/>
                <w:szCs w:val="15"/>
                <w:shd w:val="clear" w:color="auto" w:fill="FFFFFF"/>
              </w:rPr>
              <w:t>C</w:t>
            </w:r>
            <w:r w:rsidRPr="00CF64A4">
              <w:rPr>
                <w:rFonts w:ascii="Arial" w:hAnsi="Arial" w:cs="Arial"/>
                <w:color w:val="000000" w:themeColor="text1"/>
                <w:sz w:val="15"/>
                <w:szCs w:val="15"/>
                <w:shd w:val="clear" w:color="auto" w:fill="FFFFFF"/>
                <w:vertAlign w:val="subscript"/>
              </w:rPr>
              <w:t>6</w:t>
            </w:r>
            <w:r w:rsidRPr="00CF64A4">
              <w:rPr>
                <w:rFonts w:ascii="Arial" w:hAnsi="Arial" w:cs="Arial"/>
                <w:color w:val="000000" w:themeColor="text1"/>
                <w:sz w:val="15"/>
                <w:szCs w:val="15"/>
                <w:shd w:val="clear" w:color="auto" w:fill="FFFFFF"/>
              </w:rPr>
              <w:t>H</w:t>
            </w:r>
            <w:r w:rsidRPr="00CF64A4">
              <w:rPr>
                <w:rFonts w:ascii="Arial" w:hAnsi="Arial" w:cs="Arial"/>
                <w:color w:val="000000" w:themeColor="text1"/>
                <w:sz w:val="15"/>
                <w:szCs w:val="15"/>
                <w:shd w:val="clear" w:color="auto" w:fill="FFFFFF"/>
                <w:vertAlign w:val="subscript"/>
              </w:rPr>
              <w:t>4</w:t>
            </w:r>
            <w:r w:rsidRPr="00CF64A4">
              <w:rPr>
                <w:rFonts w:ascii="Arial" w:hAnsi="Arial" w:cs="Arial"/>
                <w:color w:val="000000" w:themeColor="text1"/>
                <w:sz w:val="15"/>
                <w:szCs w:val="15"/>
                <w:shd w:val="clear" w:color="auto" w:fill="FFFFFF"/>
              </w:rPr>
              <w:t>Cl</w:t>
            </w:r>
            <w:r w:rsidRPr="00CF64A4">
              <w:rPr>
                <w:rFonts w:ascii="Arial" w:hAnsi="Arial" w:cs="Arial"/>
                <w:color w:val="000000" w:themeColor="text1"/>
                <w:sz w:val="15"/>
                <w:szCs w:val="15"/>
                <w:shd w:val="clear" w:color="auto" w:fill="FFFFFF"/>
                <w:vertAlign w:val="subscript"/>
              </w:rPr>
              <w:t>2</w:t>
            </w:r>
          </w:p>
          <w:p w14:paraId="6A29272C" w14:textId="77777777" w:rsidR="004D1935" w:rsidRPr="00CF64A4" w:rsidRDefault="004D1935" w:rsidP="00E24DC9">
            <w:pPr>
              <w:jc w:val="center"/>
              <w:rPr>
                <w:color w:val="000000" w:themeColor="text1"/>
                <w:sz w:val="15"/>
                <w:szCs w:val="15"/>
              </w:rPr>
            </w:pPr>
            <w:r w:rsidRPr="00CF64A4">
              <w:rPr>
                <w:rFonts w:ascii="Arial" w:hAnsi="Arial" w:cs="Arial"/>
                <w:color w:val="000000" w:themeColor="text1"/>
                <w:sz w:val="15"/>
                <w:szCs w:val="15"/>
                <w:shd w:val="clear" w:color="auto" w:fill="FFFFFF"/>
              </w:rPr>
              <w:t>C</w:t>
            </w:r>
            <w:r w:rsidRPr="00CF64A4">
              <w:rPr>
                <w:rFonts w:ascii="Arial" w:hAnsi="Arial" w:cs="Arial"/>
                <w:color w:val="000000" w:themeColor="text1"/>
                <w:sz w:val="15"/>
                <w:szCs w:val="15"/>
                <w:shd w:val="clear" w:color="auto" w:fill="FFFFFF"/>
                <w:vertAlign w:val="subscript"/>
              </w:rPr>
              <w:t>9</w:t>
            </w:r>
            <w:r w:rsidRPr="00CF64A4">
              <w:rPr>
                <w:rFonts w:ascii="Arial" w:hAnsi="Arial" w:cs="Arial"/>
                <w:color w:val="000000" w:themeColor="text1"/>
                <w:sz w:val="15"/>
                <w:szCs w:val="15"/>
                <w:shd w:val="clear" w:color="auto" w:fill="FFFFFF"/>
              </w:rPr>
              <w:t>H</w:t>
            </w:r>
            <w:r w:rsidRPr="00CF64A4">
              <w:rPr>
                <w:rFonts w:ascii="Arial" w:hAnsi="Arial" w:cs="Arial"/>
                <w:color w:val="000000" w:themeColor="text1"/>
                <w:sz w:val="15"/>
                <w:szCs w:val="15"/>
                <w:shd w:val="clear" w:color="auto" w:fill="FFFFFF"/>
                <w:vertAlign w:val="subscript"/>
              </w:rPr>
              <w:t>6</w:t>
            </w:r>
            <w:r w:rsidRPr="00CF64A4">
              <w:rPr>
                <w:rFonts w:ascii="Arial" w:hAnsi="Arial" w:cs="Arial"/>
                <w:color w:val="000000" w:themeColor="text1"/>
                <w:sz w:val="15"/>
                <w:szCs w:val="15"/>
                <w:shd w:val="clear" w:color="auto" w:fill="FFFFFF"/>
              </w:rPr>
              <w:t>O</w:t>
            </w:r>
            <w:r w:rsidRPr="00CF64A4">
              <w:rPr>
                <w:rFonts w:ascii="Arial" w:hAnsi="Arial" w:cs="Arial"/>
                <w:color w:val="000000" w:themeColor="text1"/>
                <w:sz w:val="15"/>
                <w:szCs w:val="15"/>
                <w:shd w:val="clear" w:color="auto" w:fill="FFFFFF"/>
                <w:vertAlign w:val="subscript"/>
              </w:rPr>
              <w:t>2</w:t>
            </w:r>
          </w:p>
          <w:p w14:paraId="47D0C56F" w14:textId="77777777" w:rsidR="004D1935" w:rsidRPr="00CF64A4" w:rsidRDefault="004D1935" w:rsidP="00E24DC9">
            <w:pPr>
              <w:jc w:val="center"/>
              <w:rPr>
                <w:color w:val="000000" w:themeColor="text1"/>
                <w:sz w:val="15"/>
                <w:szCs w:val="15"/>
              </w:rPr>
            </w:pPr>
            <w:r w:rsidRPr="00CF64A4">
              <w:rPr>
                <w:rFonts w:ascii="Arial" w:hAnsi="Arial" w:cs="Arial"/>
                <w:color w:val="000000" w:themeColor="text1"/>
                <w:sz w:val="15"/>
                <w:szCs w:val="15"/>
                <w:shd w:val="clear" w:color="auto" w:fill="FFFFFF"/>
              </w:rPr>
              <w:t>C</w:t>
            </w:r>
            <w:r w:rsidRPr="00CF64A4">
              <w:rPr>
                <w:rFonts w:ascii="Arial" w:hAnsi="Arial" w:cs="Arial"/>
                <w:color w:val="000000" w:themeColor="text1"/>
                <w:sz w:val="15"/>
                <w:szCs w:val="15"/>
                <w:shd w:val="clear" w:color="auto" w:fill="FFFFFF"/>
                <w:vertAlign w:val="subscript"/>
              </w:rPr>
              <w:t>5</w:t>
            </w:r>
            <w:r w:rsidRPr="00CF64A4">
              <w:rPr>
                <w:rFonts w:ascii="Arial" w:hAnsi="Arial" w:cs="Arial"/>
                <w:color w:val="000000" w:themeColor="text1"/>
                <w:sz w:val="15"/>
                <w:szCs w:val="15"/>
                <w:shd w:val="clear" w:color="auto" w:fill="FFFFFF"/>
              </w:rPr>
              <w:t>H</w:t>
            </w:r>
            <w:r w:rsidRPr="00CF64A4">
              <w:rPr>
                <w:rFonts w:ascii="Arial" w:hAnsi="Arial" w:cs="Arial"/>
                <w:color w:val="000000" w:themeColor="text1"/>
                <w:sz w:val="15"/>
                <w:szCs w:val="15"/>
                <w:shd w:val="clear" w:color="auto" w:fill="FFFFFF"/>
                <w:vertAlign w:val="subscript"/>
              </w:rPr>
              <w:t>4</w:t>
            </w:r>
            <w:r w:rsidRPr="00CF64A4">
              <w:rPr>
                <w:rFonts w:ascii="Arial" w:hAnsi="Arial" w:cs="Arial"/>
                <w:color w:val="000000" w:themeColor="text1"/>
                <w:sz w:val="15"/>
                <w:szCs w:val="15"/>
                <w:shd w:val="clear" w:color="auto" w:fill="FFFFFF"/>
              </w:rPr>
              <w:t>O</w:t>
            </w:r>
            <w:r w:rsidRPr="00CF64A4">
              <w:rPr>
                <w:rFonts w:ascii="Arial" w:hAnsi="Arial" w:cs="Arial"/>
                <w:color w:val="000000" w:themeColor="text1"/>
                <w:sz w:val="15"/>
                <w:szCs w:val="15"/>
                <w:shd w:val="clear" w:color="auto" w:fill="FFFFFF"/>
                <w:vertAlign w:val="subscript"/>
              </w:rPr>
              <w:t>5</w:t>
            </w:r>
          </w:p>
          <w:p w14:paraId="2F33163B" w14:textId="77777777" w:rsidR="004D1935" w:rsidRPr="00CF64A4" w:rsidRDefault="004D1935" w:rsidP="00E24DC9">
            <w:pPr>
              <w:jc w:val="center"/>
              <w:rPr>
                <w:color w:val="000000" w:themeColor="text1"/>
                <w:sz w:val="15"/>
                <w:szCs w:val="15"/>
              </w:rPr>
            </w:pPr>
            <w:r w:rsidRPr="00CF64A4">
              <w:rPr>
                <w:rFonts w:ascii="Arial" w:hAnsi="Arial" w:cs="Arial"/>
                <w:color w:val="000000" w:themeColor="text1"/>
                <w:sz w:val="15"/>
                <w:szCs w:val="15"/>
                <w:shd w:val="clear" w:color="auto" w:fill="FFFFFF"/>
              </w:rPr>
              <w:t>C</w:t>
            </w:r>
            <w:r w:rsidRPr="00CF64A4">
              <w:rPr>
                <w:rFonts w:ascii="Arial" w:hAnsi="Arial" w:cs="Arial"/>
                <w:color w:val="000000" w:themeColor="text1"/>
                <w:sz w:val="15"/>
                <w:szCs w:val="15"/>
                <w:shd w:val="clear" w:color="auto" w:fill="FFFFFF"/>
                <w:vertAlign w:val="subscript"/>
              </w:rPr>
              <w:t>5</w:t>
            </w:r>
            <w:r w:rsidRPr="00CF64A4">
              <w:rPr>
                <w:rFonts w:ascii="Arial" w:hAnsi="Arial" w:cs="Arial"/>
                <w:color w:val="000000" w:themeColor="text1"/>
                <w:sz w:val="15"/>
                <w:szCs w:val="15"/>
                <w:shd w:val="clear" w:color="auto" w:fill="FFFFFF"/>
              </w:rPr>
              <w:t>H</w:t>
            </w:r>
            <w:r w:rsidRPr="00CF64A4">
              <w:rPr>
                <w:rFonts w:ascii="Arial" w:hAnsi="Arial" w:cs="Arial"/>
                <w:color w:val="000000" w:themeColor="text1"/>
                <w:sz w:val="15"/>
                <w:szCs w:val="15"/>
                <w:shd w:val="clear" w:color="auto" w:fill="FFFFFF"/>
                <w:vertAlign w:val="subscript"/>
              </w:rPr>
              <w:t>5</w:t>
            </w:r>
            <w:r w:rsidRPr="00CF64A4">
              <w:rPr>
                <w:rFonts w:ascii="Arial" w:hAnsi="Arial" w:cs="Arial"/>
                <w:color w:val="000000" w:themeColor="text1"/>
                <w:sz w:val="15"/>
                <w:szCs w:val="15"/>
                <w:shd w:val="clear" w:color="auto" w:fill="FFFFFF"/>
              </w:rPr>
              <w:t>O</w:t>
            </w:r>
            <w:r w:rsidRPr="00CF64A4">
              <w:rPr>
                <w:rFonts w:ascii="Arial" w:hAnsi="Arial" w:cs="Arial"/>
                <w:color w:val="000000" w:themeColor="text1"/>
                <w:sz w:val="15"/>
                <w:szCs w:val="15"/>
                <w:shd w:val="clear" w:color="auto" w:fill="FFFFFF"/>
                <w:vertAlign w:val="subscript"/>
              </w:rPr>
              <w:t>5</w:t>
            </w:r>
          </w:p>
          <w:p w14:paraId="55E8A648" w14:textId="77777777" w:rsidR="004D1935" w:rsidRPr="00CF64A4" w:rsidRDefault="004D1935" w:rsidP="00E24DC9">
            <w:pPr>
              <w:jc w:val="center"/>
              <w:rPr>
                <w:color w:val="000000" w:themeColor="text1"/>
                <w:sz w:val="15"/>
                <w:szCs w:val="15"/>
              </w:rPr>
            </w:pPr>
            <w:r w:rsidRPr="00CF64A4">
              <w:rPr>
                <w:rFonts w:ascii="Arial" w:hAnsi="Arial" w:cs="Arial"/>
                <w:color w:val="000000" w:themeColor="text1"/>
                <w:sz w:val="15"/>
                <w:szCs w:val="15"/>
                <w:shd w:val="clear" w:color="auto" w:fill="FFFFFF"/>
              </w:rPr>
              <w:t>C</w:t>
            </w:r>
            <w:r w:rsidRPr="00CF64A4">
              <w:rPr>
                <w:rFonts w:ascii="Arial" w:hAnsi="Arial" w:cs="Arial"/>
                <w:color w:val="000000" w:themeColor="text1"/>
                <w:sz w:val="15"/>
                <w:szCs w:val="15"/>
                <w:shd w:val="clear" w:color="auto" w:fill="FFFFFF"/>
                <w:vertAlign w:val="subscript"/>
              </w:rPr>
              <w:t>5</w:t>
            </w:r>
            <w:r w:rsidRPr="00CF64A4">
              <w:rPr>
                <w:rFonts w:ascii="Arial" w:hAnsi="Arial" w:cs="Arial"/>
                <w:color w:val="000000" w:themeColor="text1"/>
                <w:sz w:val="15"/>
                <w:szCs w:val="15"/>
                <w:shd w:val="clear" w:color="auto" w:fill="FFFFFF"/>
              </w:rPr>
              <w:t>H</w:t>
            </w:r>
            <w:r w:rsidRPr="00CF64A4">
              <w:rPr>
                <w:rFonts w:ascii="Arial" w:hAnsi="Arial" w:cs="Arial"/>
                <w:color w:val="000000" w:themeColor="text1"/>
                <w:sz w:val="15"/>
                <w:szCs w:val="15"/>
                <w:shd w:val="clear" w:color="auto" w:fill="FFFFFF"/>
                <w:vertAlign w:val="subscript"/>
              </w:rPr>
              <w:t>4</w:t>
            </w:r>
            <w:r w:rsidRPr="00CF64A4">
              <w:rPr>
                <w:rFonts w:ascii="Arial" w:hAnsi="Arial" w:cs="Arial"/>
                <w:color w:val="000000" w:themeColor="text1"/>
                <w:sz w:val="15"/>
                <w:szCs w:val="15"/>
                <w:shd w:val="clear" w:color="auto" w:fill="FFFFFF"/>
              </w:rPr>
              <w:t>O</w:t>
            </w:r>
            <w:r w:rsidRPr="00CF64A4">
              <w:rPr>
                <w:rFonts w:ascii="Arial" w:hAnsi="Arial" w:cs="Arial"/>
                <w:color w:val="000000" w:themeColor="text1"/>
                <w:sz w:val="15"/>
                <w:szCs w:val="15"/>
                <w:shd w:val="clear" w:color="auto" w:fill="FFFFFF"/>
                <w:vertAlign w:val="subscript"/>
              </w:rPr>
              <w:t>5</w:t>
            </w:r>
          </w:p>
          <w:p w14:paraId="593FF19F" w14:textId="77777777" w:rsidR="004D1935" w:rsidRPr="00CF64A4" w:rsidRDefault="004D1935" w:rsidP="00E24DC9">
            <w:pPr>
              <w:jc w:val="center"/>
              <w:rPr>
                <w:color w:val="000000" w:themeColor="text1"/>
                <w:sz w:val="15"/>
                <w:szCs w:val="15"/>
              </w:rPr>
            </w:pPr>
            <w:r w:rsidRPr="00CF64A4">
              <w:rPr>
                <w:rFonts w:ascii="Arial" w:hAnsi="Arial" w:cs="Arial"/>
                <w:color w:val="000000" w:themeColor="text1"/>
                <w:sz w:val="15"/>
                <w:szCs w:val="15"/>
                <w:shd w:val="clear" w:color="auto" w:fill="FFFFFF"/>
              </w:rPr>
              <w:t>C</w:t>
            </w:r>
            <w:r w:rsidRPr="00CF64A4">
              <w:rPr>
                <w:rFonts w:ascii="Arial" w:hAnsi="Arial" w:cs="Arial"/>
                <w:color w:val="000000" w:themeColor="text1"/>
                <w:sz w:val="15"/>
                <w:szCs w:val="15"/>
                <w:shd w:val="clear" w:color="auto" w:fill="FFFFFF"/>
                <w:vertAlign w:val="subscript"/>
              </w:rPr>
              <w:t>5</w:t>
            </w:r>
            <w:r w:rsidRPr="00CF64A4">
              <w:rPr>
                <w:rFonts w:ascii="Arial" w:hAnsi="Arial" w:cs="Arial"/>
                <w:color w:val="000000" w:themeColor="text1"/>
                <w:sz w:val="15"/>
                <w:szCs w:val="15"/>
                <w:shd w:val="clear" w:color="auto" w:fill="FFFFFF"/>
              </w:rPr>
              <w:t>H</w:t>
            </w:r>
            <w:r w:rsidRPr="00CF64A4">
              <w:rPr>
                <w:rFonts w:ascii="Arial" w:hAnsi="Arial" w:cs="Arial"/>
                <w:color w:val="000000" w:themeColor="text1"/>
                <w:sz w:val="15"/>
                <w:szCs w:val="15"/>
                <w:shd w:val="clear" w:color="auto" w:fill="FFFFFF"/>
                <w:vertAlign w:val="subscript"/>
              </w:rPr>
              <w:t>5</w:t>
            </w:r>
            <w:r w:rsidRPr="00CF64A4">
              <w:rPr>
                <w:rFonts w:ascii="Arial" w:hAnsi="Arial" w:cs="Arial"/>
                <w:color w:val="000000" w:themeColor="text1"/>
                <w:sz w:val="15"/>
                <w:szCs w:val="15"/>
                <w:shd w:val="clear" w:color="auto" w:fill="FFFFFF"/>
              </w:rPr>
              <w:t>O</w:t>
            </w:r>
            <w:r w:rsidRPr="00CF64A4">
              <w:rPr>
                <w:rFonts w:ascii="Arial" w:hAnsi="Arial" w:cs="Arial"/>
                <w:color w:val="000000" w:themeColor="text1"/>
                <w:sz w:val="15"/>
                <w:szCs w:val="15"/>
                <w:shd w:val="clear" w:color="auto" w:fill="FFFFFF"/>
                <w:vertAlign w:val="subscript"/>
              </w:rPr>
              <w:t>5</w:t>
            </w:r>
          </w:p>
          <w:p w14:paraId="052535F6" w14:textId="77777777" w:rsidR="004D1935" w:rsidRPr="00CF64A4" w:rsidRDefault="004D1935" w:rsidP="00E24DC9">
            <w:pPr>
              <w:jc w:val="center"/>
              <w:rPr>
                <w:color w:val="000000" w:themeColor="text1"/>
              </w:rPr>
            </w:pPr>
          </w:p>
        </w:tc>
        <w:tc>
          <w:tcPr>
            <w:tcW w:w="5867" w:type="dxa"/>
            <w:vMerge w:val="restart"/>
            <w:vAlign w:val="center"/>
          </w:tcPr>
          <w:p w14:paraId="7F93BFA2" w14:textId="77777777" w:rsidR="004D1935" w:rsidRPr="00CF64A4" w:rsidRDefault="004D1935" w:rsidP="00E24DC9">
            <w:pPr>
              <w:jc w:val="center"/>
              <w:rPr>
                <w:color w:val="000000" w:themeColor="text1"/>
              </w:rPr>
            </w:pPr>
            <w:r w:rsidRPr="00CF64A4">
              <w:rPr>
                <w:rFonts w:ascii="Calibri" w:hAnsi="Calibri" w:cs="Calibri"/>
                <w:color w:val="000000" w:themeColor="text1"/>
                <w:sz w:val="11"/>
                <w:szCs w:val="11"/>
              </w:rPr>
              <w:t>Selenocompound metabolism</w:t>
            </w:r>
          </w:p>
          <w:p w14:paraId="622B9C91" w14:textId="77777777" w:rsidR="004D1935" w:rsidRPr="00CF64A4" w:rsidRDefault="004D1935" w:rsidP="00E24DC9">
            <w:pPr>
              <w:jc w:val="center"/>
              <w:rPr>
                <w:color w:val="000000" w:themeColor="text1"/>
              </w:rPr>
            </w:pPr>
            <w:r w:rsidRPr="00CF64A4">
              <w:rPr>
                <w:rFonts w:ascii="Calibri" w:hAnsi="Calibri" w:cs="Calibri"/>
                <w:color w:val="000000" w:themeColor="text1"/>
                <w:sz w:val="11"/>
                <w:szCs w:val="11"/>
              </w:rPr>
              <w:t>jasmonic acid pathway/Riboflavin/Flavanone/Flavonoid/Abscisic acid biosynthesis/Shikimate pathway/pyrovate/pyrimidine fatty acid biosynthesis/animonsugar nuclotides sugar metabolism</w:t>
            </w:r>
          </w:p>
          <w:p w14:paraId="3E22441D" w14:textId="77777777" w:rsidR="004D1935" w:rsidRPr="00CF64A4" w:rsidRDefault="004D1935" w:rsidP="00E24DC9">
            <w:pPr>
              <w:jc w:val="center"/>
              <w:rPr>
                <w:color w:val="000000" w:themeColor="text1"/>
              </w:rPr>
            </w:pPr>
            <w:r w:rsidRPr="00CF64A4">
              <w:rPr>
                <w:rFonts w:ascii="Calibri" w:hAnsi="Calibri" w:cs="Calibri"/>
                <w:color w:val="000000" w:themeColor="text1"/>
                <w:sz w:val="11"/>
                <w:szCs w:val="11"/>
              </w:rPr>
              <w:t>Phenylpropanoid biosynthesis/jasmonic acid pathway/Riboflavin/Flavanone/Flavonoid/Abscisic acid biosynthesis/Shikimate pathway/pyrovate/pyrimidine fatty acid biosynthesis/animonsugar nuclotides sugar metabolism</w:t>
            </w:r>
          </w:p>
          <w:p w14:paraId="439BD36B" w14:textId="77777777" w:rsidR="004D1935" w:rsidRPr="00CF64A4" w:rsidRDefault="004D1935" w:rsidP="00E24DC9">
            <w:pPr>
              <w:jc w:val="center"/>
              <w:rPr>
                <w:color w:val="000000" w:themeColor="text1"/>
              </w:rPr>
            </w:pPr>
            <w:r w:rsidRPr="00CF64A4">
              <w:rPr>
                <w:rFonts w:ascii="Calibri" w:hAnsi="Calibri" w:cs="Calibri"/>
                <w:color w:val="000000" w:themeColor="text1"/>
                <w:sz w:val="11"/>
                <w:szCs w:val="11"/>
              </w:rPr>
              <w:t>2-Oxocarboxylic acid metabolism/C5-Branched dibasic acid metabolism/jasmonic acid pathway/Riboflavin/Flavanone/Flavonoid/Abscisic acid biosynthesis/Shikimate pathway/pyrovate/pyrimidine fatty acid biosynthesis/animonsugar nuclotides sugar metabolism</w:t>
            </w:r>
          </w:p>
          <w:p w14:paraId="4C0A8344" w14:textId="77777777" w:rsidR="004D1935" w:rsidRPr="00CF64A4" w:rsidRDefault="004D1935" w:rsidP="00E24DC9">
            <w:pPr>
              <w:jc w:val="center"/>
              <w:rPr>
                <w:color w:val="000000" w:themeColor="text1"/>
              </w:rPr>
            </w:pPr>
            <w:r w:rsidRPr="00CF64A4">
              <w:rPr>
                <w:rFonts w:ascii="Calibri" w:hAnsi="Calibri" w:cs="Calibri"/>
                <w:color w:val="000000" w:themeColor="text1"/>
                <w:sz w:val="11"/>
                <w:szCs w:val="11"/>
              </w:rPr>
              <w:t>C5-Branched dibasic acid metabolism</w:t>
            </w:r>
          </w:p>
          <w:p w14:paraId="4A5AA7E9" w14:textId="77777777" w:rsidR="004D1935" w:rsidRPr="00CF64A4" w:rsidRDefault="004D1935" w:rsidP="00E24DC9">
            <w:pPr>
              <w:jc w:val="center"/>
              <w:rPr>
                <w:color w:val="000000" w:themeColor="text1"/>
              </w:rPr>
            </w:pPr>
            <w:r w:rsidRPr="00CF64A4">
              <w:rPr>
                <w:rFonts w:ascii="Calibri" w:hAnsi="Calibri" w:cs="Calibri"/>
                <w:color w:val="000000" w:themeColor="text1"/>
                <w:sz w:val="11"/>
                <w:szCs w:val="11"/>
              </w:rPr>
              <w:t>C5-Branched dibasic acid metabolism</w:t>
            </w:r>
          </w:p>
          <w:p w14:paraId="12E8782E" w14:textId="77777777" w:rsidR="004D1935" w:rsidRPr="00CF64A4" w:rsidRDefault="004D1935" w:rsidP="00E24DC9">
            <w:pPr>
              <w:jc w:val="center"/>
              <w:rPr>
                <w:color w:val="000000" w:themeColor="text1"/>
              </w:rPr>
            </w:pPr>
            <w:r w:rsidRPr="00CF64A4">
              <w:rPr>
                <w:rFonts w:ascii="Calibri" w:hAnsi="Calibri" w:cs="Calibri"/>
                <w:color w:val="000000" w:themeColor="text1"/>
                <w:sz w:val="11"/>
                <w:szCs w:val="11"/>
              </w:rPr>
              <w:t>jasmonic acid pathway/Riboflavin/Flavanone/Flavonoid/Abscisic acid biosynthesis/Shikimate pathway/pyrovate/pyrimidine fatty acid biosynthesis/animonsugar nuclotides sugar metabolism</w:t>
            </w:r>
          </w:p>
        </w:tc>
      </w:tr>
      <w:tr w:rsidR="004D1935" w14:paraId="08E3E4DE" w14:textId="77777777" w:rsidTr="00E24DC9">
        <w:tc>
          <w:tcPr>
            <w:tcW w:w="1479" w:type="dxa"/>
            <w:vMerge/>
          </w:tcPr>
          <w:p w14:paraId="5A0E9C8D" w14:textId="77777777" w:rsidR="004D1935" w:rsidRDefault="004D1935" w:rsidP="00E24DC9"/>
        </w:tc>
        <w:tc>
          <w:tcPr>
            <w:tcW w:w="798" w:type="dxa"/>
            <w:tcBorders>
              <w:top w:val="nil"/>
              <w:bottom w:val="nil"/>
            </w:tcBorders>
            <w:vAlign w:val="bottom"/>
          </w:tcPr>
          <w:p w14:paraId="7D98A09D"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145.9483</w:t>
            </w:r>
          </w:p>
        </w:tc>
        <w:tc>
          <w:tcPr>
            <w:tcW w:w="1687" w:type="dxa"/>
            <w:vMerge/>
            <w:vAlign w:val="bottom"/>
          </w:tcPr>
          <w:p w14:paraId="6356AD9B" w14:textId="77777777" w:rsidR="004D1935" w:rsidRDefault="004D1935" w:rsidP="00E24DC9"/>
        </w:tc>
        <w:tc>
          <w:tcPr>
            <w:tcW w:w="2127" w:type="dxa"/>
            <w:vMerge/>
            <w:vAlign w:val="bottom"/>
          </w:tcPr>
          <w:p w14:paraId="0F4EF5D8" w14:textId="77777777" w:rsidR="004D1935" w:rsidRDefault="004D1935" w:rsidP="00E24DC9"/>
        </w:tc>
        <w:tc>
          <w:tcPr>
            <w:tcW w:w="992" w:type="dxa"/>
            <w:vMerge/>
          </w:tcPr>
          <w:p w14:paraId="633A0D79" w14:textId="77777777" w:rsidR="004D1935" w:rsidRDefault="004D1935" w:rsidP="00E24DC9"/>
        </w:tc>
        <w:tc>
          <w:tcPr>
            <w:tcW w:w="5867" w:type="dxa"/>
            <w:vMerge/>
            <w:vAlign w:val="bottom"/>
          </w:tcPr>
          <w:p w14:paraId="4523C907" w14:textId="77777777" w:rsidR="004D1935" w:rsidRDefault="004D1935" w:rsidP="00E24DC9"/>
        </w:tc>
      </w:tr>
      <w:tr w:rsidR="004D1935" w14:paraId="4AF1F622" w14:textId="77777777" w:rsidTr="00E24DC9">
        <w:tc>
          <w:tcPr>
            <w:tcW w:w="1479" w:type="dxa"/>
            <w:vMerge/>
          </w:tcPr>
          <w:p w14:paraId="29CFCB87" w14:textId="77777777" w:rsidR="004D1935" w:rsidRDefault="004D1935" w:rsidP="00E24DC9"/>
        </w:tc>
        <w:tc>
          <w:tcPr>
            <w:tcW w:w="798" w:type="dxa"/>
            <w:tcBorders>
              <w:top w:val="nil"/>
              <w:bottom w:val="nil"/>
            </w:tcBorders>
            <w:vAlign w:val="bottom"/>
          </w:tcPr>
          <w:p w14:paraId="23BFBA55"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145.9757</w:t>
            </w:r>
          </w:p>
        </w:tc>
        <w:tc>
          <w:tcPr>
            <w:tcW w:w="1687" w:type="dxa"/>
            <w:vMerge/>
            <w:vAlign w:val="bottom"/>
          </w:tcPr>
          <w:p w14:paraId="0D5C22E0" w14:textId="77777777" w:rsidR="004D1935" w:rsidRDefault="004D1935" w:rsidP="00E24DC9"/>
        </w:tc>
        <w:tc>
          <w:tcPr>
            <w:tcW w:w="2127" w:type="dxa"/>
            <w:vMerge/>
            <w:vAlign w:val="bottom"/>
          </w:tcPr>
          <w:p w14:paraId="22B2B69B" w14:textId="77777777" w:rsidR="004D1935" w:rsidRDefault="004D1935" w:rsidP="00E24DC9"/>
        </w:tc>
        <w:tc>
          <w:tcPr>
            <w:tcW w:w="992" w:type="dxa"/>
            <w:vMerge/>
          </w:tcPr>
          <w:p w14:paraId="3D1419DF" w14:textId="77777777" w:rsidR="004D1935" w:rsidRDefault="004D1935" w:rsidP="00E24DC9"/>
        </w:tc>
        <w:tc>
          <w:tcPr>
            <w:tcW w:w="5867" w:type="dxa"/>
            <w:vMerge/>
            <w:vAlign w:val="bottom"/>
          </w:tcPr>
          <w:p w14:paraId="47315761" w14:textId="77777777" w:rsidR="004D1935" w:rsidRDefault="004D1935" w:rsidP="00E24DC9"/>
        </w:tc>
      </w:tr>
      <w:tr w:rsidR="004D1935" w14:paraId="56B49732" w14:textId="77777777" w:rsidTr="00E24DC9">
        <w:tc>
          <w:tcPr>
            <w:tcW w:w="1479" w:type="dxa"/>
            <w:vMerge/>
          </w:tcPr>
          <w:p w14:paraId="3F7C64A5" w14:textId="77777777" w:rsidR="004D1935" w:rsidRDefault="004D1935" w:rsidP="00E24DC9"/>
        </w:tc>
        <w:tc>
          <w:tcPr>
            <w:tcW w:w="798" w:type="dxa"/>
            <w:tcBorders>
              <w:top w:val="nil"/>
              <w:bottom w:val="nil"/>
            </w:tcBorders>
            <w:vAlign w:val="bottom"/>
          </w:tcPr>
          <w:p w14:paraId="222DF62B"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146.0110</w:t>
            </w:r>
          </w:p>
        </w:tc>
        <w:tc>
          <w:tcPr>
            <w:tcW w:w="1687" w:type="dxa"/>
            <w:vMerge/>
            <w:vAlign w:val="bottom"/>
          </w:tcPr>
          <w:p w14:paraId="58499C7F" w14:textId="77777777" w:rsidR="004D1935" w:rsidRDefault="004D1935" w:rsidP="00E24DC9"/>
        </w:tc>
        <w:tc>
          <w:tcPr>
            <w:tcW w:w="2127" w:type="dxa"/>
            <w:vMerge/>
            <w:vAlign w:val="bottom"/>
          </w:tcPr>
          <w:p w14:paraId="1B059BEA" w14:textId="77777777" w:rsidR="004D1935" w:rsidRDefault="004D1935" w:rsidP="00E24DC9"/>
        </w:tc>
        <w:tc>
          <w:tcPr>
            <w:tcW w:w="992" w:type="dxa"/>
            <w:vMerge/>
          </w:tcPr>
          <w:p w14:paraId="413B2970" w14:textId="77777777" w:rsidR="004D1935" w:rsidRDefault="004D1935" w:rsidP="00E24DC9"/>
        </w:tc>
        <w:tc>
          <w:tcPr>
            <w:tcW w:w="5867" w:type="dxa"/>
            <w:vMerge/>
            <w:vAlign w:val="bottom"/>
          </w:tcPr>
          <w:p w14:paraId="15B187D4" w14:textId="77777777" w:rsidR="004D1935" w:rsidRDefault="004D1935" w:rsidP="00E24DC9"/>
        </w:tc>
      </w:tr>
      <w:tr w:rsidR="004D1935" w14:paraId="356D7F85" w14:textId="77777777" w:rsidTr="00E24DC9">
        <w:tc>
          <w:tcPr>
            <w:tcW w:w="1479" w:type="dxa"/>
            <w:vMerge/>
          </w:tcPr>
          <w:p w14:paraId="6919486E" w14:textId="77777777" w:rsidR="004D1935" w:rsidRDefault="004D1935" w:rsidP="00E24DC9"/>
        </w:tc>
        <w:tc>
          <w:tcPr>
            <w:tcW w:w="798" w:type="dxa"/>
            <w:tcBorders>
              <w:top w:val="nil"/>
              <w:bottom w:val="nil"/>
            </w:tcBorders>
            <w:vAlign w:val="bottom"/>
          </w:tcPr>
          <w:p w14:paraId="09FC9A0D"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146.0464</w:t>
            </w:r>
          </w:p>
        </w:tc>
        <w:tc>
          <w:tcPr>
            <w:tcW w:w="1687" w:type="dxa"/>
            <w:vMerge/>
            <w:vAlign w:val="bottom"/>
          </w:tcPr>
          <w:p w14:paraId="3AAEA264" w14:textId="77777777" w:rsidR="004D1935" w:rsidRDefault="004D1935" w:rsidP="00E24DC9"/>
        </w:tc>
        <w:tc>
          <w:tcPr>
            <w:tcW w:w="2127" w:type="dxa"/>
            <w:vMerge/>
            <w:vAlign w:val="bottom"/>
          </w:tcPr>
          <w:p w14:paraId="58989C9C" w14:textId="77777777" w:rsidR="004D1935" w:rsidRDefault="004D1935" w:rsidP="00E24DC9"/>
        </w:tc>
        <w:tc>
          <w:tcPr>
            <w:tcW w:w="992" w:type="dxa"/>
            <w:vMerge/>
          </w:tcPr>
          <w:p w14:paraId="71BCF50B" w14:textId="77777777" w:rsidR="004D1935" w:rsidRDefault="004D1935" w:rsidP="00E24DC9"/>
        </w:tc>
        <w:tc>
          <w:tcPr>
            <w:tcW w:w="5867" w:type="dxa"/>
            <w:vMerge/>
            <w:vAlign w:val="bottom"/>
          </w:tcPr>
          <w:p w14:paraId="7911A82B" w14:textId="77777777" w:rsidR="004D1935" w:rsidRDefault="004D1935" w:rsidP="00E24DC9"/>
        </w:tc>
      </w:tr>
      <w:tr w:rsidR="004D1935" w14:paraId="7CBF5F05" w14:textId="77777777" w:rsidTr="00E24DC9">
        <w:tc>
          <w:tcPr>
            <w:tcW w:w="1479" w:type="dxa"/>
            <w:vMerge/>
          </w:tcPr>
          <w:p w14:paraId="44C1DB92" w14:textId="77777777" w:rsidR="004D1935" w:rsidRDefault="004D1935" w:rsidP="00E24DC9"/>
        </w:tc>
        <w:tc>
          <w:tcPr>
            <w:tcW w:w="798" w:type="dxa"/>
            <w:tcBorders>
              <w:top w:val="nil"/>
              <w:bottom w:val="nil"/>
            </w:tcBorders>
            <w:vAlign w:val="bottom"/>
          </w:tcPr>
          <w:p w14:paraId="5C114A1A"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145.8979</w:t>
            </w:r>
          </w:p>
        </w:tc>
        <w:tc>
          <w:tcPr>
            <w:tcW w:w="1687" w:type="dxa"/>
            <w:vMerge/>
            <w:vAlign w:val="bottom"/>
          </w:tcPr>
          <w:p w14:paraId="1E54AE06" w14:textId="77777777" w:rsidR="004D1935" w:rsidRDefault="004D1935" w:rsidP="00E24DC9"/>
        </w:tc>
        <w:tc>
          <w:tcPr>
            <w:tcW w:w="2127" w:type="dxa"/>
            <w:vMerge/>
            <w:vAlign w:val="bottom"/>
          </w:tcPr>
          <w:p w14:paraId="31A4E935" w14:textId="77777777" w:rsidR="004D1935" w:rsidRDefault="004D1935" w:rsidP="00E24DC9"/>
        </w:tc>
        <w:tc>
          <w:tcPr>
            <w:tcW w:w="992" w:type="dxa"/>
            <w:vMerge/>
          </w:tcPr>
          <w:p w14:paraId="1E93659B" w14:textId="77777777" w:rsidR="004D1935" w:rsidRDefault="004D1935" w:rsidP="00E24DC9"/>
        </w:tc>
        <w:tc>
          <w:tcPr>
            <w:tcW w:w="5867" w:type="dxa"/>
            <w:vMerge/>
            <w:vAlign w:val="bottom"/>
          </w:tcPr>
          <w:p w14:paraId="17ADAC80" w14:textId="77777777" w:rsidR="004D1935" w:rsidRDefault="004D1935" w:rsidP="00E24DC9"/>
        </w:tc>
      </w:tr>
      <w:tr w:rsidR="004D1935" w14:paraId="457E8957" w14:textId="77777777" w:rsidTr="00E24DC9">
        <w:tc>
          <w:tcPr>
            <w:tcW w:w="1479" w:type="dxa"/>
            <w:vMerge/>
          </w:tcPr>
          <w:p w14:paraId="54AD4FAE" w14:textId="77777777" w:rsidR="004D1935" w:rsidRDefault="004D1935" w:rsidP="00E24DC9"/>
        </w:tc>
        <w:tc>
          <w:tcPr>
            <w:tcW w:w="798" w:type="dxa"/>
            <w:tcBorders>
              <w:top w:val="nil"/>
              <w:bottom w:val="nil"/>
            </w:tcBorders>
            <w:vAlign w:val="bottom"/>
          </w:tcPr>
          <w:p w14:paraId="17D6B2A3"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145.9262</w:t>
            </w:r>
          </w:p>
        </w:tc>
        <w:tc>
          <w:tcPr>
            <w:tcW w:w="1687" w:type="dxa"/>
            <w:vMerge/>
            <w:vAlign w:val="bottom"/>
          </w:tcPr>
          <w:p w14:paraId="228FC453" w14:textId="77777777" w:rsidR="004D1935" w:rsidRDefault="004D1935" w:rsidP="00E24DC9"/>
        </w:tc>
        <w:tc>
          <w:tcPr>
            <w:tcW w:w="2127" w:type="dxa"/>
            <w:vMerge/>
            <w:vAlign w:val="bottom"/>
          </w:tcPr>
          <w:p w14:paraId="006B64F8" w14:textId="77777777" w:rsidR="004D1935" w:rsidRDefault="004D1935" w:rsidP="00E24DC9"/>
        </w:tc>
        <w:tc>
          <w:tcPr>
            <w:tcW w:w="992" w:type="dxa"/>
            <w:vMerge/>
          </w:tcPr>
          <w:p w14:paraId="330D3624" w14:textId="77777777" w:rsidR="004D1935" w:rsidRDefault="004D1935" w:rsidP="00E24DC9"/>
        </w:tc>
        <w:tc>
          <w:tcPr>
            <w:tcW w:w="5867" w:type="dxa"/>
            <w:vMerge/>
            <w:vAlign w:val="bottom"/>
          </w:tcPr>
          <w:p w14:paraId="1CE2D7D3" w14:textId="77777777" w:rsidR="004D1935" w:rsidRDefault="004D1935" w:rsidP="00E24DC9"/>
        </w:tc>
      </w:tr>
      <w:tr w:rsidR="004D1935" w14:paraId="36899351" w14:textId="77777777" w:rsidTr="00E24DC9">
        <w:tc>
          <w:tcPr>
            <w:tcW w:w="1479" w:type="dxa"/>
            <w:vMerge/>
          </w:tcPr>
          <w:p w14:paraId="22679BF9" w14:textId="77777777" w:rsidR="004D1935" w:rsidRDefault="004D1935" w:rsidP="00E24DC9"/>
        </w:tc>
        <w:tc>
          <w:tcPr>
            <w:tcW w:w="798" w:type="dxa"/>
            <w:tcBorders>
              <w:top w:val="nil"/>
              <w:bottom w:val="nil"/>
            </w:tcBorders>
            <w:vAlign w:val="bottom"/>
          </w:tcPr>
          <w:p w14:paraId="7BD754A7"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145.9527</w:t>
            </w:r>
          </w:p>
        </w:tc>
        <w:tc>
          <w:tcPr>
            <w:tcW w:w="1687" w:type="dxa"/>
            <w:vMerge/>
            <w:vAlign w:val="bottom"/>
          </w:tcPr>
          <w:p w14:paraId="0ED78986" w14:textId="77777777" w:rsidR="004D1935" w:rsidRDefault="004D1935" w:rsidP="00E24DC9"/>
        </w:tc>
        <w:tc>
          <w:tcPr>
            <w:tcW w:w="2127" w:type="dxa"/>
            <w:vMerge/>
          </w:tcPr>
          <w:p w14:paraId="7DC3A115" w14:textId="77777777" w:rsidR="004D1935" w:rsidRDefault="004D1935" w:rsidP="00E24DC9"/>
        </w:tc>
        <w:tc>
          <w:tcPr>
            <w:tcW w:w="992" w:type="dxa"/>
            <w:vMerge/>
          </w:tcPr>
          <w:p w14:paraId="5507A6CD" w14:textId="77777777" w:rsidR="004D1935" w:rsidRDefault="004D1935" w:rsidP="00E24DC9"/>
        </w:tc>
        <w:tc>
          <w:tcPr>
            <w:tcW w:w="5867" w:type="dxa"/>
            <w:vMerge/>
          </w:tcPr>
          <w:p w14:paraId="2196F033" w14:textId="77777777" w:rsidR="004D1935" w:rsidRDefault="004D1935" w:rsidP="00E24DC9"/>
        </w:tc>
      </w:tr>
      <w:tr w:rsidR="004D1935" w14:paraId="107F5788" w14:textId="77777777" w:rsidTr="00E24DC9">
        <w:tc>
          <w:tcPr>
            <w:tcW w:w="1479" w:type="dxa"/>
            <w:vMerge/>
          </w:tcPr>
          <w:p w14:paraId="56E56C81" w14:textId="77777777" w:rsidR="004D1935" w:rsidRDefault="004D1935" w:rsidP="00E24DC9"/>
        </w:tc>
        <w:tc>
          <w:tcPr>
            <w:tcW w:w="798" w:type="dxa"/>
            <w:tcBorders>
              <w:top w:val="nil"/>
              <w:bottom w:val="nil"/>
            </w:tcBorders>
            <w:vAlign w:val="bottom"/>
          </w:tcPr>
          <w:p w14:paraId="3A808826"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146.0092</w:t>
            </w:r>
          </w:p>
        </w:tc>
        <w:tc>
          <w:tcPr>
            <w:tcW w:w="1687" w:type="dxa"/>
            <w:vMerge/>
            <w:vAlign w:val="bottom"/>
          </w:tcPr>
          <w:p w14:paraId="6FF3FA3C" w14:textId="77777777" w:rsidR="004D1935" w:rsidRDefault="004D1935" w:rsidP="00E24DC9"/>
        </w:tc>
        <w:tc>
          <w:tcPr>
            <w:tcW w:w="2127" w:type="dxa"/>
            <w:vMerge/>
          </w:tcPr>
          <w:p w14:paraId="7DD3C73B" w14:textId="77777777" w:rsidR="004D1935" w:rsidRDefault="004D1935" w:rsidP="00E24DC9"/>
        </w:tc>
        <w:tc>
          <w:tcPr>
            <w:tcW w:w="992" w:type="dxa"/>
            <w:vMerge/>
          </w:tcPr>
          <w:p w14:paraId="408F10F4" w14:textId="77777777" w:rsidR="004D1935" w:rsidRDefault="004D1935" w:rsidP="00E24DC9"/>
        </w:tc>
        <w:tc>
          <w:tcPr>
            <w:tcW w:w="5867" w:type="dxa"/>
            <w:vMerge/>
          </w:tcPr>
          <w:p w14:paraId="4B8A377B" w14:textId="77777777" w:rsidR="004D1935" w:rsidRDefault="004D1935" w:rsidP="00E24DC9"/>
        </w:tc>
      </w:tr>
      <w:tr w:rsidR="004D1935" w14:paraId="525C4673" w14:textId="77777777" w:rsidTr="00E24DC9">
        <w:tc>
          <w:tcPr>
            <w:tcW w:w="1479" w:type="dxa"/>
            <w:vMerge/>
          </w:tcPr>
          <w:p w14:paraId="004DBAD3" w14:textId="77777777" w:rsidR="004D1935" w:rsidRDefault="004D1935" w:rsidP="00E24DC9"/>
        </w:tc>
        <w:tc>
          <w:tcPr>
            <w:tcW w:w="798" w:type="dxa"/>
            <w:tcBorders>
              <w:top w:val="nil"/>
              <w:bottom w:val="nil"/>
            </w:tcBorders>
            <w:vAlign w:val="bottom"/>
          </w:tcPr>
          <w:p w14:paraId="4104EFE4"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145.9183</w:t>
            </w:r>
          </w:p>
        </w:tc>
        <w:tc>
          <w:tcPr>
            <w:tcW w:w="1687" w:type="dxa"/>
            <w:vMerge/>
            <w:vAlign w:val="bottom"/>
          </w:tcPr>
          <w:p w14:paraId="7573E35B" w14:textId="77777777" w:rsidR="004D1935" w:rsidRDefault="004D1935" w:rsidP="00E24DC9"/>
        </w:tc>
        <w:tc>
          <w:tcPr>
            <w:tcW w:w="2127" w:type="dxa"/>
            <w:vMerge/>
          </w:tcPr>
          <w:p w14:paraId="79E60700" w14:textId="77777777" w:rsidR="004D1935" w:rsidRDefault="004D1935" w:rsidP="00E24DC9"/>
        </w:tc>
        <w:tc>
          <w:tcPr>
            <w:tcW w:w="992" w:type="dxa"/>
            <w:vMerge/>
          </w:tcPr>
          <w:p w14:paraId="08A78F67" w14:textId="77777777" w:rsidR="004D1935" w:rsidRDefault="004D1935" w:rsidP="00E24DC9"/>
        </w:tc>
        <w:tc>
          <w:tcPr>
            <w:tcW w:w="5867" w:type="dxa"/>
            <w:vMerge/>
          </w:tcPr>
          <w:p w14:paraId="1F351466" w14:textId="77777777" w:rsidR="004D1935" w:rsidRDefault="004D1935" w:rsidP="00E24DC9"/>
        </w:tc>
      </w:tr>
      <w:tr w:rsidR="004D1935" w14:paraId="4C8E1DB1" w14:textId="77777777" w:rsidTr="00E24DC9">
        <w:tc>
          <w:tcPr>
            <w:tcW w:w="1479" w:type="dxa"/>
            <w:vMerge/>
          </w:tcPr>
          <w:p w14:paraId="390788DD" w14:textId="77777777" w:rsidR="004D1935" w:rsidRDefault="004D1935" w:rsidP="00E24DC9"/>
        </w:tc>
        <w:tc>
          <w:tcPr>
            <w:tcW w:w="798" w:type="dxa"/>
            <w:tcBorders>
              <w:top w:val="nil"/>
              <w:bottom w:val="nil"/>
            </w:tcBorders>
            <w:vAlign w:val="bottom"/>
          </w:tcPr>
          <w:p w14:paraId="711A4D04"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145.9651</w:t>
            </w:r>
          </w:p>
        </w:tc>
        <w:tc>
          <w:tcPr>
            <w:tcW w:w="1687" w:type="dxa"/>
            <w:vMerge/>
            <w:vAlign w:val="bottom"/>
          </w:tcPr>
          <w:p w14:paraId="19097E47" w14:textId="77777777" w:rsidR="004D1935" w:rsidRDefault="004D1935" w:rsidP="00E24DC9"/>
        </w:tc>
        <w:tc>
          <w:tcPr>
            <w:tcW w:w="2127" w:type="dxa"/>
            <w:vMerge/>
          </w:tcPr>
          <w:p w14:paraId="1C3E2BF5" w14:textId="77777777" w:rsidR="004D1935" w:rsidRDefault="004D1935" w:rsidP="00E24DC9"/>
        </w:tc>
        <w:tc>
          <w:tcPr>
            <w:tcW w:w="992" w:type="dxa"/>
            <w:vMerge/>
          </w:tcPr>
          <w:p w14:paraId="18291865" w14:textId="77777777" w:rsidR="004D1935" w:rsidRDefault="004D1935" w:rsidP="00E24DC9"/>
        </w:tc>
        <w:tc>
          <w:tcPr>
            <w:tcW w:w="5867" w:type="dxa"/>
            <w:vMerge/>
          </w:tcPr>
          <w:p w14:paraId="7B998B9E" w14:textId="77777777" w:rsidR="004D1935" w:rsidRDefault="004D1935" w:rsidP="00E24DC9"/>
        </w:tc>
      </w:tr>
      <w:tr w:rsidR="004D1935" w14:paraId="13B7DE56" w14:textId="77777777" w:rsidTr="00E24DC9">
        <w:tc>
          <w:tcPr>
            <w:tcW w:w="1479" w:type="dxa"/>
            <w:vMerge/>
          </w:tcPr>
          <w:p w14:paraId="0315DB5B" w14:textId="77777777" w:rsidR="004D1935" w:rsidRDefault="004D1935" w:rsidP="00E24DC9"/>
        </w:tc>
        <w:tc>
          <w:tcPr>
            <w:tcW w:w="798" w:type="dxa"/>
            <w:tcBorders>
              <w:top w:val="nil"/>
              <w:bottom w:val="nil"/>
            </w:tcBorders>
            <w:vAlign w:val="bottom"/>
          </w:tcPr>
          <w:p w14:paraId="788CF38B"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145.9969</w:t>
            </w:r>
          </w:p>
        </w:tc>
        <w:tc>
          <w:tcPr>
            <w:tcW w:w="1687" w:type="dxa"/>
            <w:vMerge/>
            <w:vAlign w:val="bottom"/>
          </w:tcPr>
          <w:p w14:paraId="52681242" w14:textId="77777777" w:rsidR="004D1935" w:rsidRDefault="004D1935" w:rsidP="00E24DC9"/>
        </w:tc>
        <w:tc>
          <w:tcPr>
            <w:tcW w:w="2127" w:type="dxa"/>
            <w:vMerge/>
          </w:tcPr>
          <w:p w14:paraId="7D915AFE" w14:textId="77777777" w:rsidR="004D1935" w:rsidRDefault="004D1935" w:rsidP="00E24DC9"/>
        </w:tc>
        <w:tc>
          <w:tcPr>
            <w:tcW w:w="992" w:type="dxa"/>
            <w:vMerge/>
          </w:tcPr>
          <w:p w14:paraId="4C5CCD7D" w14:textId="77777777" w:rsidR="004D1935" w:rsidRDefault="004D1935" w:rsidP="00E24DC9"/>
        </w:tc>
        <w:tc>
          <w:tcPr>
            <w:tcW w:w="5867" w:type="dxa"/>
            <w:vMerge/>
          </w:tcPr>
          <w:p w14:paraId="1F442122" w14:textId="77777777" w:rsidR="004D1935" w:rsidRDefault="004D1935" w:rsidP="00E24DC9"/>
        </w:tc>
      </w:tr>
      <w:tr w:rsidR="004D1935" w14:paraId="101FA362" w14:textId="77777777" w:rsidTr="00E24DC9">
        <w:tc>
          <w:tcPr>
            <w:tcW w:w="1479" w:type="dxa"/>
            <w:vMerge/>
          </w:tcPr>
          <w:p w14:paraId="0FD93993" w14:textId="77777777" w:rsidR="004D1935" w:rsidRDefault="004D1935" w:rsidP="00E24DC9"/>
        </w:tc>
        <w:tc>
          <w:tcPr>
            <w:tcW w:w="798" w:type="dxa"/>
            <w:tcBorders>
              <w:top w:val="nil"/>
              <w:bottom w:val="nil"/>
            </w:tcBorders>
            <w:vAlign w:val="bottom"/>
          </w:tcPr>
          <w:p w14:paraId="1B8275F3"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145.9103</w:t>
            </w:r>
          </w:p>
        </w:tc>
        <w:tc>
          <w:tcPr>
            <w:tcW w:w="1687" w:type="dxa"/>
            <w:vMerge/>
            <w:vAlign w:val="bottom"/>
          </w:tcPr>
          <w:p w14:paraId="76F3B1EF" w14:textId="77777777" w:rsidR="004D1935" w:rsidRDefault="004D1935" w:rsidP="00E24DC9"/>
        </w:tc>
        <w:tc>
          <w:tcPr>
            <w:tcW w:w="2127" w:type="dxa"/>
            <w:vMerge/>
          </w:tcPr>
          <w:p w14:paraId="7DFE02AD" w14:textId="77777777" w:rsidR="004D1935" w:rsidRDefault="004D1935" w:rsidP="00E24DC9"/>
        </w:tc>
        <w:tc>
          <w:tcPr>
            <w:tcW w:w="992" w:type="dxa"/>
            <w:vMerge/>
          </w:tcPr>
          <w:p w14:paraId="14B99392" w14:textId="77777777" w:rsidR="004D1935" w:rsidRDefault="004D1935" w:rsidP="00E24DC9"/>
        </w:tc>
        <w:tc>
          <w:tcPr>
            <w:tcW w:w="5867" w:type="dxa"/>
            <w:vMerge/>
          </w:tcPr>
          <w:p w14:paraId="2E5F1118" w14:textId="77777777" w:rsidR="004D1935" w:rsidRDefault="004D1935" w:rsidP="00E24DC9"/>
        </w:tc>
      </w:tr>
      <w:tr w:rsidR="004D1935" w14:paraId="1167B817" w14:textId="77777777" w:rsidTr="00E24DC9">
        <w:tc>
          <w:tcPr>
            <w:tcW w:w="1479" w:type="dxa"/>
            <w:vMerge/>
          </w:tcPr>
          <w:p w14:paraId="28CB9C07" w14:textId="77777777" w:rsidR="004D1935" w:rsidRDefault="004D1935" w:rsidP="00E24DC9"/>
        </w:tc>
        <w:tc>
          <w:tcPr>
            <w:tcW w:w="798" w:type="dxa"/>
            <w:tcBorders>
              <w:top w:val="nil"/>
              <w:bottom w:val="nil"/>
            </w:tcBorders>
            <w:vAlign w:val="bottom"/>
          </w:tcPr>
          <w:p w14:paraId="262D7F94"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145.9368</w:t>
            </w:r>
          </w:p>
        </w:tc>
        <w:tc>
          <w:tcPr>
            <w:tcW w:w="1687" w:type="dxa"/>
            <w:vMerge/>
            <w:vAlign w:val="bottom"/>
          </w:tcPr>
          <w:p w14:paraId="3A840BBC" w14:textId="77777777" w:rsidR="004D1935" w:rsidRDefault="004D1935" w:rsidP="00E24DC9"/>
        </w:tc>
        <w:tc>
          <w:tcPr>
            <w:tcW w:w="2127" w:type="dxa"/>
            <w:vMerge/>
          </w:tcPr>
          <w:p w14:paraId="76C30342" w14:textId="77777777" w:rsidR="004D1935" w:rsidRDefault="004D1935" w:rsidP="00E24DC9"/>
        </w:tc>
        <w:tc>
          <w:tcPr>
            <w:tcW w:w="992" w:type="dxa"/>
            <w:vMerge/>
          </w:tcPr>
          <w:p w14:paraId="3261049F" w14:textId="77777777" w:rsidR="004D1935" w:rsidRDefault="004D1935" w:rsidP="00E24DC9"/>
        </w:tc>
        <w:tc>
          <w:tcPr>
            <w:tcW w:w="5867" w:type="dxa"/>
            <w:vMerge/>
          </w:tcPr>
          <w:p w14:paraId="4EFB1529" w14:textId="77777777" w:rsidR="004D1935" w:rsidRDefault="004D1935" w:rsidP="00E24DC9"/>
        </w:tc>
      </w:tr>
      <w:tr w:rsidR="004D1935" w14:paraId="06A1D3D7" w14:textId="77777777" w:rsidTr="00E24DC9">
        <w:tc>
          <w:tcPr>
            <w:tcW w:w="1479" w:type="dxa"/>
            <w:vMerge/>
          </w:tcPr>
          <w:p w14:paraId="530DF6F0" w14:textId="77777777" w:rsidR="004D1935" w:rsidRDefault="004D1935" w:rsidP="00E24DC9"/>
        </w:tc>
        <w:tc>
          <w:tcPr>
            <w:tcW w:w="798" w:type="dxa"/>
            <w:tcBorders>
              <w:top w:val="nil"/>
              <w:bottom w:val="nil"/>
            </w:tcBorders>
            <w:vAlign w:val="bottom"/>
          </w:tcPr>
          <w:p w14:paraId="59C731F3"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145.9633</w:t>
            </w:r>
          </w:p>
        </w:tc>
        <w:tc>
          <w:tcPr>
            <w:tcW w:w="1687" w:type="dxa"/>
            <w:vMerge/>
            <w:vAlign w:val="bottom"/>
          </w:tcPr>
          <w:p w14:paraId="49D40C2C" w14:textId="77777777" w:rsidR="004D1935" w:rsidRDefault="004D1935" w:rsidP="00E24DC9"/>
        </w:tc>
        <w:tc>
          <w:tcPr>
            <w:tcW w:w="2127" w:type="dxa"/>
            <w:vMerge/>
          </w:tcPr>
          <w:p w14:paraId="66E3C61B" w14:textId="77777777" w:rsidR="004D1935" w:rsidRDefault="004D1935" w:rsidP="00E24DC9"/>
        </w:tc>
        <w:tc>
          <w:tcPr>
            <w:tcW w:w="992" w:type="dxa"/>
            <w:vMerge/>
          </w:tcPr>
          <w:p w14:paraId="4B33D6A5" w14:textId="77777777" w:rsidR="004D1935" w:rsidRDefault="004D1935" w:rsidP="00E24DC9"/>
        </w:tc>
        <w:tc>
          <w:tcPr>
            <w:tcW w:w="5867" w:type="dxa"/>
            <w:vMerge/>
          </w:tcPr>
          <w:p w14:paraId="1EBE53CE" w14:textId="77777777" w:rsidR="004D1935" w:rsidRDefault="004D1935" w:rsidP="00E24DC9"/>
        </w:tc>
      </w:tr>
      <w:tr w:rsidR="004D1935" w14:paraId="11112FC0" w14:textId="77777777" w:rsidTr="00E24DC9">
        <w:tc>
          <w:tcPr>
            <w:tcW w:w="1479" w:type="dxa"/>
            <w:vMerge/>
          </w:tcPr>
          <w:p w14:paraId="094895F5" w14:textId="77777777" w:rsidR="004D1935" w:rsidRDefault="004D1935" w:rsidP="00E24DC9"/>
        </w:tc>
        <w:tc>
          <w:tcPr>
            <w:tcW w:w="798" w:type="dxa"/>
            <w:tcBorders>
              <w:top w:val="nil"/>
              <w:bottom w:val="nil"/>
            </w:tcBorders>
            <w:vAlign w:val="bottom"/>
          </w:tcPr>
          <w:p w14:paraId="40AD89FB"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146.0411</w:t>
            </w:r>
          </w:p>
        </w:tc>
        <w:tc>
          <w:tcPr>
            <w:tcW w:w="1687" w:type="dxa"/>
            <w:vMerge/>
            <w:vAlign w:val="bottom"/>
          </w:tcPr>
          <w:p w14:paraId="5C9341F1" w14:textId="77777777" w:rsidR="004D1935" w:rsidRDefault="004D1935" w:rsidP="00E24DC9"/>
        </w:tc>
        <w:tc>
          <w:tcPr>
            <w:tcW w:w="2127" w:type="dxa"/>
            <w:vMerge/>
          </w:tcPr>
          <w:p w14:paraId="185599A3" w14:textId="77777777" w:rsidR="004D1935" w:rsidRDefault="004D1935" w:rsidP="00E24DC9"/>
        </w:tc>
        <w:tc>
          <w:tcPr>
            <w:tcW w:w="992" w:type="dxa"/>
            <w:vMerge/>
          </w:tcPr>
          <w:p w14:paraId="26F3C8F3" w14:textId="77777777" w:rsidR="004D1935" w:rsidRDefault="004D1935" w:rsidP="00E24DC9"/>
        </w:tc>
        <w:tc>
          <w:tcPr>
            <w:tcW w:w="5867" w:type="dxa"/>
            <w:vMerge/>
          </w:tcPr>
          <w:p w14:paraId="7170D7BC" w14:textId="77777777" w:rsidR="004D1935" w:rsidRDefault="004D1935" w:rsidP="00E24DC9"/>
        </w:tc>
      </w:tr>
      <w:tr w:rsidR="004D1935" w14:paraId="592BEA97" w14:textId="77777777" w:rsidTr="00E24DC9">
        <w:tc>
          <w:tcPr>
            <w:tcW w:w="1479" w:type="dxa"/>
            <w:vMerge/>
          </w:tcPr>
          <w:p w14:paraId="5B619451" w14:textId="77777777" w:rsidR="004D1935" w:rsidRDefault="004D1935" w:rsidP="00E24DC9"/>
        </w:tc>
        <w:tc>
          <w:tcPr>
            <w:tcW w:w="798" w:type="dxa"/>
            <w:tcBorders>
              <w:top w:val="nil"/>
              <w:bottom w:val="nil"/>
            </w:tcBorders>
            <w:vAlign w:val="bottom"/>
          </w:tcPr>
          <w:p w14:paraId="4983D0C6"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145.9978</w:t>
            </w:r>
          </w:p>
        </w:tc>
        <w:tc>
          <w:tcPr>
            <w:tcW w:w="1687" w:type="dxa"/>
            <w:vMerge/>
            <w:vAlign w:val="bottom"/>
          </w:tcPr>
          <w:p w14:paraId="60ED249A" w14:textId="77777777" w:rsidR="004D1935" w:rsidRDefault="004D1935" w:rsidP="00E24DC9"/>
        </w:tc>
        <w:tc>
          <w:tcPr>
            <w:tcW w:w="2127" w:type="dxa"/>
            <w:vMerge/>
          </w:tcPr>
          <w:p w14:paraId="04A21EA3" w14:textId="77777777" w:rsidR="004D1935" w:rsidRDefault="004D1935" w:rsidP="00E24DC9"/>
        </w:tc>
        <w:tc>
          <w:tcPr>
            <w:tcW w:w="992" w:type="dxa"/>
            <w:vMerge/>
          </w:tcPr>
          <w:p w14:paraId="5A7DFBE6" w14:textId="77777777" w:rsidR="004D1935" w:rsidRDefault="004D1935" w:rsidP="00E24DC9"/>
        </w:tc>
        <w:tc>
          <w:tcPr>
            <w:tcW w:w="5867" w:type="dxa"/>
            <w:vMerge/>
          </w:tcPr>
          <w:p w14:paraId="2E359899" w14:textId="77777777" w:rsidR="004D1935" w:rsidRDefault="004D1935" w:rsidP="00E24DC9"/>
        </w:tc>
      </w:tr>
      <w:tr w:rsidR="004D1935" w14:paraId="2B9F1689" w14:textId="77777777" w:rsidTr="00E24DC9">
        <w:tc>
          <w:tcPr>
            <w:tcW w:w="1479" w:type="dxa"/>
            <w:vMerge/>
          </w:tcPr>
          <w:p w14:paraId="04D387DD" w14:textId="77777777" w:rsidR="004D1935" w:rsidRDefault="004D1935" w:rsidP="00E24DC9"/>
        </w:tc>
        <w:tc>
          <w:tcPr>
            <w:tcW w:w="798" w:type="dxa"/>
            <w:tcBorders>
              <w:top w:val="nil"/>
              <w:bottom w:val="nil"/>
            </w:tcBorders>
            <w:vAlign w:val="bottom"/>
          </w:tcPr>
          <w:p w14:paraId="420FD711"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145.9377</w:t>
            </w:r>
          </w:p>
        </w:tc>
        <w:tc>
          <w:tcPr>
            <w:tcW w:w="1687" w:type="dxa"/>
            <w:vMerge/>
            <w:vAlign w:val="bottom"/>
          </w:tcPr>
          <w:p w14:paraId="74BA8056" w14:textId="77777777" w:rsidR="004D1935" w:rsidRDefault="004D1935" w:rsidP="00E24DC9"/>
        </w:tc>
        <w:tc>
          <w:tcPr>
            <w:tcW w:w="2127" w:type="dxa"/>
            <w:vMerge/>
          </w:tcPr>
          <w:p w14:paraId="31DA694A" w14:textId="77777777" w:rsidR="004D1935" w:rsidRDefault="004D1935" w:rsidP="00E24DC9"/>
        </w:tc>
        <w:tc>
          <w:tcPr>
            <w:tcW w:w="992" w:type="dxa"/>
            <w:vMerge/>
          </w:tcPr>
          <w:p w14:paraId="23061413" w14:textId="77777777" w:rsidR="004D1935" w:rsidRDefault="004D1935" w:rsidP="00E24DC9"/>
        </w:tc>
        <w:tc>
          <w:tcPr>
            <w:tcW w:w="5867" w:type="dxa"/>
            <w:vMerge/>
          </w:tcPr>
          <w:p w14:paraId="3B3CEEBA" w14:textId="77777777" w:rsidR="004D1935" w:rsidRDefault="004D1935" w:rsidP="00E24DC9"/>
        </w:tc>
      </w:tr>
      <w:tr w:rsidR="004D1935" w14:paraId="3ACC358D" w14:textId="77777777" w:rsidTr="00E24DC9">
        <w:tc>
          <w:tcPr>
            <w:tcW w:w="1479" w:type="dxa"/>
            <w:vMerge/>
          </w:tcPr>
          <w:p w14:paraId="11304BC1" w14:textId="77777777" w:rsidR="004D1935" w:rsidRDefault="004D1935" w:rsidP="00E24DC9"/>
        </w:tc>
        <w:tc>
          <w:tcPr>
            <w:tcW w:w="798" w:type="dxa"/>
            <w:tcBorders>
              <w:top w:val="nil"/>
              <w:bottom w:val="nil"/>
            </w:tcBorders>
            <w:vAlign w:val="bottom"/>
          </w:tcPr>
          <w:p w14:paraId="04D6F79E"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146.0119</w:t>
            </w:r>
          </w:p>
        </w:tc>
        <w:tc>
          <w:tcPr>
            <w:tcW w:w="1687" w:type="dxa"/>
            <w:vMerge/>
            <w:vAlign w:val="bottom"/>
          </w:tcPr>
          <w:p w14:paraId="45E62D55" w14:textId="77777777" w:rsidR="004D1935" w:rsidRDefault="004D1935" w:rsidP="00E24DC9"/>
        </w:tc>
        <w:tc>
          <w:tcPr>
            <w:tcW w:w="2127" w:type="dxa"/>
            <w:vMerge/>
          </w:tcPr>
          <w:p w14:paraId="2A65F3EA" w14:textId="77777777" w:rsidR="004D1935" w:rsidRDefault="004D1935" w:rsidP="00E24DC9"/>
        </w:tc>
        <w:tc>
          <w:tcPr>
            <w:tcW w:w="992" w:type="dxa"/>
            <w:vMerge/>
          </w:tcPr>
          <w:p w14:paraId="244B3046" w14:textId="77777777" w:rsidR="004D1935" w:rsidRDefault="004D1935" w:rsidP="00E24DC9"/>
        </w:tc>
        <w:tc>
          <w:tcPr>
            <w:tcW w:w="5867" w:type="dxa"/>
            <w:vMerge/>
          </w:tcPr>
          <w:p w14:paraId="7387C638" w14:textId="77777777" w:rsidR="004D1935" w:rsidRDefault="004D1935" w:rsidP="00E24DC9"/>
        </w:tc>
      </w:tr>
      <w:tr w:rsidR="004D1935" w14:paraId="76C60DD9" w14:textId="77777777" w:rsidTr="00E24DC9">
        <w:tc>
          <w:tcPr>
            <w:tcW w:w="1479" w:type="dxa"/>
            <w:vMerge/>
          </w:tcPr>
          <w:p w14:paraId="472F2895" w14:textId="77777777" w:rsidR="004D1935" w:rsidRDefault="004D1935" w:rsidP="00E24DC9"/>
        </w:tc>
        <w:tc>
          <w:tcPr>
            <w:tcW w:w="798" w:type="dxa"/>
            <w:tcBorders>
              <w:top w:val="nil"/>
              <w:bottom w:val="nil"/>
            </w:tcBorders>
            <w:vAlign w:val="bottom"/>
          </w:tcPr>
          <w:p w14:paraId="7734A51B"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146.0676</w:t>
            </w:r>
          </w:p>
        </w:tc>
        <w:tc>
          <w:tcPr>
            <w:tcW w:w="1687" w:type="dxa"/>
            <w:vMerge/>
            <w:vAlign w:val="bottom"/>
          </w:tcPr>
          <w:p w14:paraId="39AEF9DD" w14:textId="77777777" w:rsidR="004D1935" w:rsidRDefault="004D1935" w:rsidP="00E24DC9"/>
        </w:tc>
        <w:tc>
          <w:tcPr>
            <w:tcW w:w="2127" w:type="dxa"/>
            <w:vMerge/>
          </w:tcPr>
          <w:p w14:paraId="08B47346" w14:textId="77777777" w:rsidR="004D1935" w:rsidRDefault="004D1935" w:rsidP="00E24DC9"/>
        </w:tc>
        <w:tc>
          <w:tcPr>
            <w:tcW w:w="992" w:type="dxa"/>
            <w:vMerge/>
          </w:tcPr>
          <w:p w14:paraId="0DB6EBB2" w14:textId="77777777" w:rsidR="004D1935" w:rsidRDefault="004D1935" w:rsidP="00E24DC9"/>
        </w:tc>
        <w:tc>
          <w:tcPr>
            <w:tcW w:w="5867" w:type="dxa"/>
            <w:vMerge/>
          </w:tcPr>
          <w:p w14:paraId="3D7CC609" w14:textId="77777777" w:rsidR="004D1935" w:rsidRDefault="004D1935" w:rsidP="00E24DC9"/>
        </w:tc>
      </w:tr>
      <w:tr w:rsidR="004D1935" w14:paraId="3412325F" w14:textId="77777777" w:rsidTr="00E24DC9">
        <w:tc>
          <w:tcPr>
            <w:tcW w:w="1479" w:type="dxa"/>
            <w:vMerge/>
          </w:tcPr>
          <w:p w14:paraId="270E4215" w14:textId="77777777" w:rsidR="004D1935" w:rsidRDefault="004D1935" w:rsidP="00E24DC9"/>
        </w:tc>
        <w:tc>
          <w:tcPr>
            <w:tcW w:w="798" w:type="dxa"/>
            <w:tcBorders>
              <w:top w:val="nil"/>
              <w:bottom w:val="nil"/>
            </w:tcBorders>
            <w:vAlign w:val="bottom"/>
          </w:tcPr>
          <w:p w14:paraId="6909EA08"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145.9068</w:t>
            </w:r>
          </w:p>
        </w:tc>
        <w:tc>
          <w:tcPr>
            <w:tcW w:w="1687" w:type="dxa"/>
            <w:vMerge/>
            <w:vAlign w:val="bottom"/>
          </w:tcPr>
          <w:p w14:paraId="3C641CE8" w14:textId="77777777" w:rsidR="004D1935" w:rsidRDefault="004D1935" w:rsidP="00E24DC9"/>
        </w:tc>
        <w:tc>
          <w:tcPr>
            <w:tcW w:w="2127" w:type="dxa"/>
            <w:vMerge/>
          </w:tcPr>
          <w:p w14:paraId="67B5CE9D" w14:textId="77777777" w:rsidR="004D1935" w:rsidRDefault="004D1935" w:rsidP="00E24DC9"/>
        </w:tc>
        <w:tc>
          <w:tcPr>
            <w:tcW w:w="992" w:type="dxa"/>
            <w:vMerge/>
          </w:tcPr>
          <w:p w14:paraId="44C4512D" w14:textId="77777777" w:rsidR="004D1935" w:rsidRDefault="004D1935" w:rsidP="00E24DC9"/>
        </w:tc>
        <w:tc>
          <w:tcPr>
            <w:tcW w:w="5867" w:type="dxa"/>
            <w:vMerge/>
          </w:tcPr>
          <w:p w14:paraId="3A6AF3A7" w14:textId="77777777" w:rsidR="004D1935" w:rsidRDefault="004D1935" w:rsidP="00E24DC9"/>
        </w:tc>
      </w:tr>
      <w:tr w:rsidR="004D1935" w14:paraId="507F7AEB" w14:textId="77777777" w:rsidTr="00E24DC9">
        <w:tc>
          <w:tcPr>
            <w:tcW w:w="1479" w:type="dxa"/>
            <w:vMerge/>
          </w:tcPr>
          <w:p w14:paraId="39234526" w14:textId="77777777" w:rsidR="004D1935" w:rsidRDefault="004D1935" w:rsidP="00E24DC9"/>
        </w:tc>
        <w:tc>
          <w:tcPr>
            <w:tcW w:w="798" w:type="dxa"/>
            <w:tcBorders>
              <w:top w:val="nil"/>
              <w:bottom w:val="nil"/>
            </w:tcBorders>
            <w:vAlign w:val="bottom"/>
          </w:tcPr>
          <w:p w14:paraId="19208618"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145.9333</w:t>
            </w:r>
          </w:p>
        </w:tc>
        <w:tc>
          <w:tcPr>
            <w:tcW w:w="1687" w:type="dxa"/>
            <w:vMerge/>
            <w:vAlign w:val="bottom"/>
          </w:tcPr>
          <w:p w14:paraId="0FC4FE8B" w14:textId="77777777" w:rsidR="004D1935" w:rsidRDefault="004D1935" w:rsidP="00E24DC9"/>
        </w:tc>
        <w:tc>
          <w:tcPr>
            <w:tcW w:w="2127" w:type="dxa"/>
            <w:vMerge/>
          </w:tcPr>
          <w:p w14:paraId="1365DA57" w14:textId="77777777" w:rsidR="004D1935" w:rsidRDefault="004D1935" w:rsidP="00E24DC9"/>
        </w:tc>
        <w:tc>
          <w:tcPr>
            <w:tcW w:w="992" w:type="dxa"/>
            <w:vMerge/>
          </w:tcPr>
          <w:p w14:paraId="4575E5CA" w14:textId="77777777" w:rsidR="004D1935" w:rsidRDefault="004D1935" w:rsidP="00E24DC9"/>
        </w:tc>
        <w:tc>
          <w:tcPr>
            <w:tcW w:w="5867" w:type="dxa"/>
            <w:vMerge/>
          </w:tcPr>
          <w:p w14:paraId="56FD5A56" w14:textId="77777777" w:rsidR="004D1935" w:rsidRDefault="004D1935" w:rsidP="00E24DC9"/>
        </w:tc>
      </w:tr>
      <w:tr w:rsidR="004D1935" w14:paraId="09711F77" w14:textId="77777777" w:rsidTr="00E24DC9">
        <w:tc>
          <w:tcPr>
            <w:tcW w:w="1479" w:type="dxa"/>
            <w:vMerge/>
          </w:tcPr>
          <w:p w14:paraId="459B75DE" w14:textId="77777777" w:rsidR="004D1935" w:rsidRDefault="004D1935" w:rsidP="00E24DC9"/>
        </w:tc>
        <w:tc>
          <w:tcPr>
            <w:tcW w:w="798" w:type="dxa"/>
            <w:tcBorders>
              <w:top w:val="nil"/>
              <w:bottom w:val="nil"/>
            </w:tcBorders>
            <w:vAlign w:val="bottom"/>
          </w:tcPr>
          <w:p w14:paraId="7805A015"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145.9598</w:t>
            </w:r>
          </w:p>
        </w:tc>
        <w:tc>
          <w:tcPr>
            <w:tcW w:w="1687" w:type="dxa"/>
            <w:vMerge/>
            <w:vAlign w:val="bottom"/>
          </w:tcPr>
          <w:p w14:paraId="0ADB4F0D" w14:textId="77777777" w:rsidR="004D1935" w:rsidRDefault="004D1935" w:rsidP="00E24DC9"/>
        </w:tc>
        <w:tc>
          <w:tcPr>
            <w:tcW w:w="2127" w:type="dxa"/>
            <w:vMerge/>
          </w:tcPr>
          <w:p w14:paraId="1A745E4C" w14:textId="77777777" w:rsidR="004D1935" w:rsidRDefault="004D1935" w:rsidP="00E24DC9"/>
        </w:tc>
        <w:tc>
          <w:tcPr>
            <w:tcW w:w="992" w:type="dxa"/>
            <w:vMerge/>
          </w:tcPr>
          <w:p w14:paraId="7D524267" w14:textId="77777777" w:rsidR="004D1935" w:rsidRDefault="004D1935" w:rsidP="00E24DC9"/>
        </w:tc>
        <w:tc>
          <w:tcPr>
            <w:tcW w:w="5867" w:type="dxa"/>
            <w:vMerge/>
          </w:tcPr>
          <w:p w14:paraId="57CA5D7B" w14:textId="77777777" w:rsidR="004D1935" w:rsidRDefault="004D1935" w:rsidP="00E24DC9"/>
        </w:tc>
      </w:tr>
      <w:tr w:rsidR="004D1935" w14:paraId="354904FD" w14:textId="77777777" w:rsidTr="00E24DC9">
        <w:tc>
          <w:tcPr>
            <w:tcW w:w="1479" w:type="dxa"/>
            <w:vMerge/>
          </w:tcPr>
          <w:p w14:paraId="53D0BB4C" w14:textId="77777777" w:rsidR="004D1935" w:rsidRDefault="004D1935" w:rsidP="00E24DC9"/>
        </w:tc>
        <w:tc>
          <w:tcPr>
            <w:tcW w:w="798" w:type="dxa"/>
            <w:tcBorders>
              <w:top w:val="nil"/>
              <w:bottom w:val="nil"/>
            </w:tcBorders>
            <w:vAlign w:val="bottom"/>
          </w:tcPr>
          <w:p w14:paraId="09AE2CC0"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145.9863</w:t>
            </w:r>
          </w:p>
        </w:tc>
        <w:tc>
          <w:tcPr>
            <w:tcW w:w="1687" w:type="dxa"/>
            <w:vMerge/>
            <w:vAlign w:val="bottom"/>
          </w:tcPr>
          <w:p w14:paraId="79F788EE" w14:textId="77777777" w:rsidR="004D1935" w:rsidRDefault="004D1935" w:rsidP="00E24DC9"/>
        </w:tc>
        <w:tc>
          <w:tcPr>
            <w:tcW w:w="2127" w:type="dxa"/>
            <w:vMerge/>
          </w:tcPr>
          <w:p w14:paraId="284D01BB" w14:textId="77777777" w:rsidR="004D1935" w:rsidRDefault="004D1935" w:rsidP="00E24DC9"/>
        </w:tc>
        <w:tc>
          <w:tcPr>
            <w:tcW w:w="992" w:type="dxa"/>
            <w:vMerge/>
          </w:tcPr>
          <w:p w14:paraId="2D4832BC" w14:textId="77777777" w:rsidR="004D1935" w:rsidRDefault="004D1935" w:rsidP="00E24DC9"/>
        </w:tc>
        <w:tc>
          <w:tcPr>
            <w:tcW w:w="5867" w:type="dxa"/>
            <w:vMerge/>
          </w:tcPr>
          <w:p w14:paraId="45CF1AEE" w14:textId="77777777" w:rsidR="004D1935" w:rsidRDefault="004D1935" w:rsidP="00E24DC9"/>
        </w:tc>
      </w:tr>
      <w:tr w:rsidR="004D1935" w14:paraId="306E89A7" w14:textId="77777777" w:rsidTr="00E24DC9">
        <w:tc>
          <w:tcPr>
            <w:tcW w:w="1479" w:type="dxa"/>
            <w:vMerge/>
          </w:tcPr>
          <w:p w14:paraId="4D51204C" w14:textId="77777777" w:rsidR="004D1935" w:rsidRDefault="004D1935" w:rsidP="00E24DC9"/>
        </w:tc>
        <w:tc>
          <w:tcPr>
            <w:tcW w:w="798" w:type="dxa"/>
            <w:tcBorders>
              <w:top w:val="nil"/>
              <w:bottom w:val="nil"/>
            </w:tcBorders>
            <w:vAlign w:val="bottom"/>
          </w:tcPr>
          <w:p w14:paraId="3C50DAE7"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146.0137</w:t>
            </w:r>
          </w:p>
        </w:tc>
        <w:tc>
          <w:tcPr>
            <w:tcW w:w="1687" w:type="dxa"/>
            <w:vMerge/>
            <w:vAlign w:val="bottom"/>
          </w:tcPr>
          <w:p w14:paraId="04EA9ADA" w14:textId="77777777" w:rsidR="004D1935" w:rsidRDefault="004D1935" w:rsidP="00E24DC9"/>
        </w:tc>
        <w:tc>
          <w:tcPr>
            <w:tcW w:w="2127" w:type="dxa"/>
            <w:vMerge/>
          </w:tcPr>
          <w:p w14:paraId="374342E3" w14:textId="77777777" w:rsidR="004D1935" w:rsidRDefault="004D1935" w:rsidP="00E24DC9"/>
        </w:tc>
        <w:tc>
          <w:tcPr>
            <w:tcW w:w="992" w:type="dxa"/>
            <w:vMerge/>
          </w:tcPr>
          <w:p w14:paraId="2A69BFF4" w14:textId="77777777" w:rsidR="004D1935" w:rsidRDefault="004D1935" w:rsidP="00E24DC9"/>
        </w:tc>
        <w:tc>
          <w:tcPr>
            <w:tcW w:w="5867" w:type="dxa"/>
            <w:vMerge/>
          </w:tcPr>
          <w:p w14:paraId="35F5C40A" w14:textId="77777777" w:rsidR="004D1935" w:rsidRDefault="004D1935" w:rsidP="00E24DC9"/>
        </w:tc>
      </w:tr>
      <w:tr w:rsidR="004D1935" w14:paraId="1D56FC75" w14:textId="77777777" w:rsidTr="00E24DC9">
        <w:tc>
          <w:tcPr>
            <w:tcW w:w="1479" w:type="dxa"/>
            <w:vMerge/>
          </w:tcPr>
          <w:p w14:paraId="1BA3933A" w14:textId="77777777" w:rsidR="004D1935" w:rsidRDefault="004D1935" w:rsidP="00E24DC9"/>
        </w:tc>
        <w:tc>
          <w:tcPr>
            <w:tcW w:w="798" w:type="dxa"/>
            <w:tcBorders>
              <w:top w:val="nil"/>
              <w:bottom w:val="nil"/>
            </w:tcBorders>
            <w:vAlign w:val="bottom"/>
          </w:tcPr>
          <w:p w14:paraId="6D53DD74"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145.8943</w:t>
            </w:r>
          </w:p>
        </w:tc>
        <w:tc>
          <w:tcPr>
            <w:tcW w:w="1687" w:type="dxa"/>
            <w:vMerge/>
            <w:vAlign w:val="bottom"/>
          </w:tcPr>
          <w:p w14:paraId="45638C9F" w14:textId="77777777" w:rsidR="004D1935" w:rsidRDefault="004D1935" w:rsidP="00E24DC9"/>
        </w:tc>
        <w:tc>
          <w:tcPr>
            <w:tcW w:w="2127" w:type="dxa"/>
            <w:vMerge/>
          </w:tcPr>
          <w:p w14:paraId="171695BE" w14:textId="77777777" w:rsidR="004D1935" w:rsidRDefault="004D1935" w:rsidP="00E24DC9"/>
        </w:tc>
        <w:tc>
          <w:tcPr>
            <w:tcW w:w="992" w:type="dxa"/>
            <w:vMerge/>
          </w:tcPr>
          <w:p w14:paraId="587B55AA" w14:textId="77777777" w:rsidR="004D1935" w:rsidRDefault="004D1935" w:rsidP="00E24DC9"/>
        </w:tc>
        <w:tc>
          <w:tcPr>
            <w:tcW w:w="5867" w:type="dxa"/>
            <w:vMerge/>
          </w:tcPr>
          <w:p w14:paraId="0E924B14" w14:textId="77777777" w:rsidR="004D1935" w:rsidRDefault="004D1935" w:rsidP="00E24DC9"/>
        </w:tc>
      </w:tr>
      <w:tr w:rsidR="004D1935" w14:paraId="516D3BFF" w14:textId="77777777" w:rsidTr="00E24DC9">
        <w:tc>
          <w:tcPr>
            <w:tcW w:w="1479" w:type="dxa"/>
            <w:vMerge/>
          </w:tcPr>
          <w:p w14:paraId="2D1FE534" w14:textId="77777777" w:rsidR="004D1935" w:rsidRDefault="004D1935" w:rsidP="00E24DC9"/>
        </w:tc>
        <w:tc>
          <w:tcPr>
            <w:tcW w:w="798" w:type="dxa"/>
            <w:tcBorders>
              <w:top w:val="nil"/>
              <w:bottom w:val="nil"/>
            </w:tcBorders>
            <w:vAlign w:val="bottom"/>
          </w:tcPr>
          <w:p w14:paraId="3BA8C76B"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145.9492</w:t>
            </w:r>
          </w:p>
        </w:tc>
        <w:tc>
          <w:tcPr>
            <w:tcW w:w="1687" w:type="dxa"/>
            <w:vMerge/>
            <w:vAlign w:val="bottom"/>
          </w:tcPr>
          <w:p w14:paraId="54F7314E" w14:textId="77777777" w:rsidR="004D1935" w:rsidRDefault="004D1935" w:rsidP="00E24DC9"/>
        </w:tc>
        <w:tc>
          <w:tcPr>
            <w:tcW w:w="2127" w:type="dxa"/>
            <w:vMerge/>
          </w:tcPr>
          <w:p w14:paraId="2A2B6A95" w14:textId="77777777" w:rsidR="004D1935" w:rsidRDefault="004D1935" w:rsidP="00E24DC9"/>
        </w:tc>
        <w:tc>
          <w:tcPr>
            <w:tcW w:w="992" w:type="dxa"/>
            <w:vMerge/>
          </w:tcPr>
          <w:p w14:paraId="5EA4A986" w14:textId="77777777" w:rsidR="004D1935" w:rsidRDefault="004D1935" w:rsidP="00E24DC9"/>
        </w:tc>
        <w:tc>
          <w:tcPr>
            <w:tcW w:w="5867" w:type="dxa"/>
            <w:vMerge/>
          </w:tcPr>
          <w:p w14:paraId="6E0859E3" w14:textId="77777777" w:rsidR="004D1935" w:rsidRDefault="004D1935" w:rsidP="00E24DC9"/>
        </w:tc>
      </w:tr>
      <w:tr w:rsidR="004D1935" w14:paraId="5DEC6FFC" w14:textId="77777777" w:rsidTr="00E24DC9">
        <w:tc>
          <w:tcPr>
            <w:tcW w:w="1479" w:type="dxa"/>
            <w:vMerge/>
          </w:tcPr>
          <w:p w14:paraId="66A37A14" w14:textId="77777777" w:rsidR="004D1935" w:rsidRDefault="004D1935" w:rsidP="00E24DC9"/>
        </w:tc>
        <w:tc>
          <w:tcPr>
            <w:tcW w:w="798" w:type="dxa"/>
            <w:tcBorders>
              <w:top w:val="nil"/>
              <w:bottom w:val="nil"/>
            </w:tcBorders>
            <w:vAlign w:val="bottom"/>
          </w:tcPr>
          <w:p w14:paraId="288F464E"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146.0084</w:t>
            </w:r>
          </w:p>
        </w:tc>
        <w:tc>
          <w:tcPr>
            <w:tcW w:w="1687" w:type="dxa"/>
            <w:vMerge/>
            <w:vAlign w:val="bottom"/>
          </w:tcPr>
          <w:p w14:paraId="1B88ED8A" w14:textId="77777777" w:rsidR="004D1935" w:rsidRDefault="004D1935" w:rsidP="00E24DC9"/>
        </w:tc>
        <w:tc>
          <w:tcPr>
            <w:tcW w:w="2127" w:type="dxa"/>
            <w:vMerge/>
          </w:tcPr>
          <w:p w14:paraId="6F0D7A62" w14:textId="77777777" w:rsidR="004D1935" w:rsidRDefault="004D1935" w:rsidP="00E24DC9"/>
        </w:tc>
        <w:tc>
          <w:tcPr>
            <w:tcW w:w="992" w:type="dxa"/>
            <w:vMerge/>
          </w:tcPr>
          <w:p w14:paraId="731CE4BB" w14:textId="77777777" w:rsidR="004D1935" w:rsidRDefault="004D1935" w:rsidP="00E24DC9"/>
        </w:tc>
        <w:tc>
          <w:tcPr>
            <w:tcW w:w="5867" w:type="dxa"/>
            <w:vMerge/>
          </w:tcPr>
          <w:p w14:paraId="367FBFC3" w14:textId="77777777" w:rsidR="004D1935" w:rsidRDefault="004D1935" w:rsidP="00E24DC9"/>
        </w:tc>
      </w:tr>
      <w:tr w:rsidR="004D1935" w14:paraId="72FF3085" w14:textId="77777777" w:rsidTr="00E24DC9">
        <w:tc>
          <w:tcPr>
            <w:tcW w:w="1479" w:type="dxa"/>
            <w:vMerge/>
          </w:tcPr>
          <w:p w14:paraId="5290EFB6" w14:textId="77777777" w:rsidR="004D1935" w:rsidRDefault="004D1935" w:rsidP="00E24DC9"/>
        </w:tc>
        <w:tc>
          <w:tcPr>
            <w:tcW w:w="798" w:type="dxa"/>
            <w:tcBorders>
              <w:top w:val="nil"/>
              <w:bottom w:val="nil"/>
            </w:tcBorders>
            <w:vAlign w:val="bottom"/>
          </w:tcPr>
          <w:p w14:paraId="1D48F8CE"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145.9474</w:t>
            </w:r>
          </w:p>
        </w:tc>
        <w:tc>
          <w:tcPr>
            <w:tcW w:w="1687" w:type="dxa"/>
            <w:vMerge/>
            <w:vAlign w:val="bottom"/>
          </w:tcPr>
          <w:p w14:paraId="137DA897" w14:textId="77777777" w:rsidR="004D1935" w:rsidRDefault="004D1935" w:rsidP="00E24DC9"/>
        </w:tc>
        <w:tc>
          <w:tcPr>
            <w:tcW w:w="2127" w:type="dxa"/>
            <w:vMerge/>
          </w:tcPr>
          <w:p w14:paraId="56B973B5" w14:textId="77777777" w:rsidR="004D1935" w:rsidRDefault="004D1935" w:rsidP="00E24DC9"/>
        </w:tc>
        <w:tc>
          <w:tcPr>
            <w:tcW w:w="992" w:type="dxa"/>
            <w:vMerge/>
          </w:tcPr>
          <w:p w14:paraId="2398D234" w14:textId="77777777" w:rsidR="004D1935" w:rsidRDefault="004D1935" w:rsidP="00E24DC9"/>
        </w:tc>
        <w:tc>
          <w:tcPr>
            <w:tcW w:w="5867" w:type="dxa"/>
            <w:vMerge/>
          </w:tcPr>
          <w:p w14:paraId="38C4DA80" w14:textId="77777777" w:rsidR="004D1935" w:rsidRDefault="004D1935" w:rsidP="00E24DC9"/>
        </w:tc>
      </w:tr>
      <w:tr w:rsidR="004D1935" w14:paraId="7407FF69" w14:textId="77777777" w:rsidTr="00E24DC9">
        <w:tc>
          <w:tcPr>
            <w:tcW w:w="1479" w:type="dxa"/>
            <w:vMerge/>
          </w:tcPr>
          <w:p w14:paraId="42F55E38" w14:textId="77777777" w:rsidR="004D1935" w:rsidRDefault="004D1935" w:rsidP="00E24DC9"/>
        </w:tc>
        <w:tc>
          <w:tcPr>
            <w:tcW w:w="798" w:type="dxa"/>
            <w:tcBorders>
              <w:top w:val="nil"/>
              <w:bottom w:val="nil"/>
            </w:tcBorders>
            <w:vAlign w:val="bottom"/>
          </w:tcPr>
          <w:p w14:paraId="5A2C6694"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145.9457</w:t>
            </w:r>
          </w:p>
        </w:tc>
        <w:tc>
          <w:tcPr>
            <w:tcW w:w="1687" w:type="dxa"/>
            <w:vMerge/>
            <w:vAlign w:val="bottom"/>
          </w:tcPr>
          <w:p w14:paraId="74682C9B" w14:textId="77777777" w:rsidR="004D1935" w:rsidRDefault="004D1935" w:rsidP="00E24DC9"/>
        </w:tc>
        <w:tc>
          <w:tcPr>
            <w:tcW w:w="2127" w:type="dxa"/>
            <w:vMerge/>
          </w:tcPr>
          <w:p w14:paraId="5B842547" w14:textId="77777777" w:rsidR="004D1935" w:rsidRDefault="004D1935" w:rsidP="00E24DC9"/>
        </w:tc>
        <w:tc>
          <w:tcPr>
            <w:tcW w:w="992" w:type="dxa"/>
            <w:vMerge/>
          </w:tcPr>
          <w:p w14:paraId="7796EF14" w14:textId="77777777" w:rsidR="004D1935" w:rsidRDefault="004D1935" w:rsidP="00E24DC9"/>
        </w:tc>
        <w:tc>
          <w:tcPr>
            <w:tcW w:w="5867" w:type="dxa"/>
            <w:vMerge/>
          </w:tcPr>
          <w:p w14:paraId="745ECDBF" w14:textId="77777777" w:rsidR="004D1935" w:rsidRDefault="004D1935" w:rsidP="00E24DC9"/>
        </w:tc>
      </w:tr>
      <w:tr w:rsidR="004D1935" w14:paraId="2185FF44" w14:textId="77777777" w:rsidTr="00E24DC9">
        <w:tc>
          <w:tcPr>
            <w:tcW w:w="1479" w:type="dxa"/>
            <w:vMerge/>
          </w:tcPr>
          <w:p w14:paraId="71DE560E" w14:textId="77777777" w:rsidR="004D1935" w:rsidRDefault="004D1935" w:rsidP="00E24DC9"/>
        </w:tc>
        <w:tc>
          <w:tcPr>
            <w:tcW w:w="798" w:type="dxa"/>
            <w:tcBorders>
              <w:top w:val="nil"/>
              <w:bottom w:val="nil"/>
            </w:tcBorders>
            <w:vAlign w:val="bottom"/>
          </w:tcPr>
          <w:p w14:paraId="79983B1D"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145.9722</w:t>
            </w:r>
          </w:p>
        </w:tc>
        <w:tc>
          <w:tcPr>
            <w:tcW w:w="1687" w:type="dxa"/>
            <w:vMerge/>
            <w:vAlign w:val="bottom"/>
          </w:tcPr>
          <w:p w14:paraId="6020B441" w14:textId="77777777" w:rsidR="004D1935" w:rsidRDefault="004D1935" w:rsidP="00E24DC9"/>
        </w:tc>
        <w:tc>
          <w:tcPr>
            <w:tcW w:w="2127" w:type="dxa"/>
            <w:vMerge/>
          </w:tcPr>
          <w:p w14:paraId="61B01108" w14:textId="77777777" w:rsidR="004D1935" w:rsidRDefault="004D1935" w:rsidP="00E24DC9"/>
        </w:tc>
        <w:tc>
          <w:tcPr>
            <w:tcW w:w="992" w:type="dxa"/>
            <w:vMerge/>
          </w:tcPr>
          <w:p w14:paraId="3A8A3D91" w14:textId="77777777" w:rsidR="004D1935" w:rsidRDefault="004D1935" w:rsidP="00E24DC9"/>
        </w:tc>
        <w:tc>
          <w:tcPr>
            <w:tcW w:w="5867" w:type="dxa"/>
            <w:vMerge/>
          </w:tcPr>
          <w:p w14:paraId="6468BF76" w14:textId="77777777" w:rsidR="004D1935" w:rsidRDefault="004D1935" w:rsidP="00E24DC9"/>
        </w:tc>
      </w:tr>
      <w:tr w:rsidR="004D1935" w14:paraId="4C278B0E" w14:textId="77777777" w:rsidTr="00E24DC9">
        <w:tc>
          <w:tcPr>
            <w:tcW w:w="1479" w:type="dxa"/>
            <w:vMerge/>
          </w:tcPr>
          <w:p w14:paraId="2C9E8EAC" w14:textId="77777777" w:rsidR="004D1935" w:rsidRDefault="004D1935" w:rsidP="00E24DC9"/>
        </w:tc>
        <w:tc>
          <w:tcPr>
            <w:tcW w:w="798" w:type="dxa"/>
            <w:tcBorders>
              <w:top w:val="nil"/>
              <w:bottom w:val="nil"/>
            </w:tcBorders>
            <w:vAlign w:val="bottom"/>
          </w:tcPr>
          <w:p w14:paraId="59D43473"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146.0729</w:t>
            </w:r>
          </w:p>
        </w:tc>
        <w:tc>
          <w:tcPr>
            <w:tcW w:w="1687" w:type="dxa"/>
            <w:vMerge/>
            <w:vAlign w:val="bottom"/>
          </w:tcPr>
          <w:p w14:paraId="3CED030F" w14:textId="77777777" w:rsidR="004D1935" w:rsidRDefault="004D1935" w:rsidP="00E24DC9"/>
        </w:tc>
        <w:tc>
          <w:tcPr>
            <w:tcW w:w="2127" w:type="dxa"/>
            <w:vMerge/>
          </w:tcPr>
          <w:p w14:paraId="6B9B23C6" w14:textId="77777777" w:rsidR="004D1935" w:rsidRDefault="004D1935" w:rsidP="00E24DC9"/>
        </w:tc>
        <w:tc>
          <w:tcPr>
            <w:tcW w:w="992" w:type="dxa"/>
            <w:vMerge/>
          </w:tcPr>
          <w:p w14:paraId="39B84E27" w14:textId="77777777" w:rsidR="004D1935" w:rsidRDefault="004D1935" w:rsidP="00E24DC9"/>
        </w:tc>
        <w:tc>
          <w:tcPr>
            <w:tcW w:w="5867" w:type="dxa"/>
            <w:vMerge/>
          </w:tcPr>
          <w:p w14:paraId="6E9B054F" w14:textId="77777777" w:rsidR="004D1935" w:rsidRDefault="004D1935" w:rsidP="00E24DC9"/>
        </w:tc>
      </w:tr>
      <w:tr w:rsidR="004D1935" w14:paraId="5C17AD6B" w14:textId="77777777" w:rsidTr="00E24DC9">
        <w:tc>
          <w:tcPr>
            <w:tcW w:w="1479" w:type="dxa"/>
            <w:vMerge/>
          </w:tcPr>
          <w:p w14:paraId="240E6C88" w14:textId="77777777" w:rsidR="004D1935" w:rsidRDefault="004D1935" w:rsidP="00E24DC9"/>
        </w:tc>
        <w:tc>
          <w:tcPr>
            <w:tcW w:w="798" w:type="dxa"/>
            <w:tcBorders>
              <w:top w:val="nil"/>
              <w:bottom w:val="nil"/>
            </w:tcBorders>
            <w:vAlign w:val="bottom"/>
          </w:tcPr>
          <w:p w14:paraId="58666C14"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145.9739</w:t>
            </w:r>
          </w:p>
        </w:tc>
        <w:tc>
          <w:tcPr>
            <w:tcW w:w="1687" w:type="dxa"/>
            <w:vMerge/>
            <w:vAlign w:val="bottom"/>
          </w:tcPr>
          <w:p w14:paraId="6C4D30D3" w14:textId="77777777" w:rsidR="004D1935" w:rsidRDefault="004D1935" w:rsidP="00E24DC9"/>
        </w:tc>
        <w:tc>
          <w:tcPr>
            <w:tcW w:w="2127" w:type="dxa"/>
            <w:vMerge/>
          </w:tcPr>
          <w:p w14:paraId="68570EA1" w14:textId="77777777" w:rsidR="004D1935" w:rsidRDefault="004D1935" w:rsidP="00E24DC9"/>
        </w:tc>
        <w:tc>
          <w:tcPr>
            <w:tcW w:w="992" w:type="dxa"/>
            <w:vMerge/>
          </w:tcPr>
          <w:p w14:paraId="6ED9199E" w14:textId="77777777" w:rsidR="004D1935" w:rsidRDefault="004D1935" w:rsidP="00E24DC9"/>
        </w:tc>
        <w:tc>
          <w:tcPr>
            <w:tcW w:w="5867" w:type="dxa"/>
            <w:vMerge/>
          </w:tcPr>
          <w:p w14:paraId="19B8A827" w14:textId="77777777" w:rsidR="004D1935" w:rsidRDefault="004D1935" w:rsidP="00E24DC9"/>
        </w:tc>
      </w:tr>
      <w:tr w:rsidR="004D1935" w14:paraId="4B05524E" w14:textId="77777777" w:rsidTr="00E24DC9">
        <w:tc>
          <w:tcPr>
            <w:tcW w:w="1479" w:type="dxa"/>
            <w:vMerge/>
          </w:tcPr>
          <w:p w14:paraId="1364C621" w14:textId="77777777" w:rsidR="004D1935" w:rsidRDefault="004D1935" w:rsidP="00E24DC9"/>
        </w:tc>
        <w:tc>
          <w:tcPr>
            <w:tcW w:w="798" w:type="dxa"/>
            <w:tcBorders>
              <w:top w:val="nil"/>
              <w:bottom w:val="nil"/>
            </w:tcBorders>
            <w:vAlign w:val="bottom"/>
          </w:tcPr>
          <w:p w14:paraId="1C1194D1"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146.0145</w:t>
            </w:r>
          </w:p>
        </w:tc>
        <w:tc>
          <w:tcPr>
            <w:tcW w:w="1687" w:type="dxa"/>
            <w:vMerge/>
            <w:vAlign w:val="bottom"/>
          </w:tcPr>
          <w:p w14:paraId="6986CB92" w14:textId="77777777" w:rsidR="004D1935" w:rsidRDefault="004D1935" w:rsidP="00E24DC9"/>
        </w:tc>
        <w:tc>
          <w:tcPr>
            <w:tcW w:w="2127" w:type="dxa"/>
            <w:vMerge/>
          </w:tcPr>
          <w:p w14:paraId="733CA256" w14:textId="77777777" w:rsidR="004D1935" w:rsidRDefault="004D1935" w:rsidP="00E24DC9"/>
        </w:tc>
        <w:tc>
          <w:tcPr>
            <w:tcW w:w="992" w:type="dxa"/>
            <w:vMerge/>
          </w:tcPr>
          <w:p w14:paraId="782CB892" w14:textId="77777777" w:rsidR="004D1935" w:rsidRDefault="004D1935" w:rsidP="00E24DC9"/>
        </w:tc>
        <w:tc>
          <w:tcPr>
            <w:tcW w:w="5867" w:type="dxa"/>
            <w:vMerge/>
          </w:tcPr>
          <w:p w14:paraId="66B1B8A4" w14:textId="77777777" w:rsidR="004D1935" w:rsidRDefault="004D1935" w:rsidP="00E24DC9"/>
        </w:tc>
      </w:tr>
      <w:tr w:rsidR="004D1935" w14:paraId="68D312F4" w14:textId="77777777" w:rsidTr="00E24DC9">
        <w:tc>
          <w:tcPr>
            <w:tcW w:w="1479" w:type="dxa"/>
            <w:vMerge/>
          </w:tcPr>
          <w:p w14:paraId="2633554D" w14:textId="77777777" w:rsidR="004D1935" w:rsidRDefault="004D1935" w:rsidP="00E24DC9"/>
        </w:tc>
        <w:tc>
          <w:tcPr>
            <w:tcW w:w="798" w:type="dxa"/>
            <w:tcBorders>
              <w:top w:val="nil"/>
              <w:bottom w:val="nil"/>
            </w:tcBorders>
            <w:vAlign w:val="bottom"/>
          </w:tcPr>
          <w:p w14:paraId="1A5C3215"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145.9014</w:t>
            </w:r>
          </w:p>
        </w:tc>
        <w:tc>
          <w:tcPr>
            <w:tcW w:w="1687" w:type="dxa"/>
            <w:vMerge/>
            <w:vAlign w:val="bottom"/>
          </w:tcPr>
          <w:p w14:paraId="5DFA1190" w14:textId="77777777" w:rsidR="004D1935" w:rsidRDefault="004D1935" w:rsidP="00E24DC9"/>
        </w:tc>
        <w:tc>
          <w:tcPr>
            <w:tcW w:w="2127" w:type="dxa"/>
            <w:vMerge/>
          </w:tcPr>
          <w:p w14:paraId="5D80BB85" w14:textId="77777777" w:rsidR="004D1935" w:rsidRDefault="004D1935" w:rsidP="00E24DC9"/>
        </w:tc>
        <w:tc>
          <w:tcPr>
            <w:tcW w:w="992" w:type="dxa"/>
            <w:vMerge/>
          </w:tcPr>
          <w:p w14:paraId="2EA6C0F9" w14:textId="77777777" w:rsidR="004D1935" w:rsidRDefault="004D1935" w:rsidP="00E24DC9"/>
        </w:tc>
        <w:tc>
          <w:tcPr>
            <w:tcW w:w="5867" w:type="dxa"/>
            <w:vMerge/>
          </w:tcPr>
          <w:p w14:paraId="4E45DA43" w14:textId="77777777" w:rsidR="004D1935" w:rsidRDefault="004D1935" w:rsidP="00E24DC9"/>
        </w:tc>
      </w:tr>
      <w:tr w:rsidR="004D1935" w14:paraId="7077257C" w14:textId="77777777" w:rsidTr="00E24DC9">
        <w:tc>
          <w:tcPr>
            <w:tcW w:w="1479" w:type="dxa"/>
            <w:vMerge/>
          </w:tcPr>
          <w:p w14:paraId="048B19F3" w14:textId="77777777" w:rsidR="004D1935" w:rsidRDefault="004D1935" w:rsidP="00E24DC9"/>
        </w:tc>
        <w:tc>
          <w:tcPr>
            <w:tcW w:w="798" w:type="dxa"/>
            <w:tcBorders>
              <w:top w:val="nil"/>
              <w:bottom w:val="nil"/>
            </w:tcBorders>
            <w:vAlign w:val="bottom"/>
          </w:tcPr>
          <w:p w14:paraId="676F23B1"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145.9280</w:t>
            </w:r>
          </w:p>
        </w:tc>
        <w:tc>
          <w:tcPr>
            <w:tcW w:w="1687" w:type="dxa"/>
            <w:vMerge/>
            <w:vAlign w:val="bottom"/>
          </w:tcPr>
          <w:p w14:paraId="2DB921C8" w14:textId="77777777" w:rsidR="004D1935" w:rsidRDefault="004D1935" w:rsidP="00E24DC9"/>
        </w:tc>
        <w:tc>
          <w:tcPr>
            <w:tcW w:w="2127" w:type="dxa"/>
            <w:vMerge/>
          </w:tcPr>
          <w:p w14:paraId="3251BF63" w14:textId="77777777" w:rsidR="004D1935" w:rsidRDefault="004D1935" w:rsidP="00E24DC9"/>
        </w:tc>
        <w:tc>
          <w:tcPr>
            <w:tcW w:w="992" w:type="dxa"/>
            <w:vMerge/>
          </w:tcPr>
          <w:p w14:paraId="0528089E" w14:textId="77777777" w:rsidR="004D1935" w:rsidRDefault="004D1935" w:rsidP="00E24DC9"/>
        </w:tc>
        <w:tc>
          <w:tcPr>
            <w:tcW w:w="5867" w:type="dxa"/>
            <w:vMerge/>
          </w:tcPr>
          <w:p w14:paraId="6BDF4C18" w14:textId="77777777" w:rsidR="004D1935" w:rsidRDefault="004D1935" w:rsidP="00E24DC9"/>
        </w:tc>
      </w:tr>
      <w:tr w:rsidR="004D1935" w14:paraId="1B2143F3" w14:textId="77777777" w:rsidTr="00E24DC9">
        <w:tc>
          <w:tcPr>
            <w:tcW w:w="1479" w:type="dxa"/>
            <w:vMerge/>
          </w:tcPr>
          <w:p w14:paraId="25E5EE20" w14:textId="77777777" w:rsidR="004D1935" w:rsidRDefault="004D1935" w:rsidP="00E24DC9"/>
        </w:tc>
        <w:tc>
          <w:tcPr>
            <w:tcW w:w="798" w:type="dxa"/>
            <w:tcBorders>
              <w:top w:val="nil"/>
              <w:bottom w:val="nil"/>
            </w:tcBorders>
            <w:vAlign w:val="bottom"/>
          </w:tcPr>
          <w:p w14:paraId="00ED00A5"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145.9545</w:t>
            </w:r>
          </w:p>
        </w:tc>
        <w:tc>
          <w:tcPr>
            <w:tcW w:w="1687" w:type="dxa"/>
            <w:vMerge/>
            <w:vAlign w:val="bottom"/>
          </w:tcPr>
          <w:p w14:paraId="1F3E6434" w14:textId="77777777" w:rsidR="004D1935" w:rsidRDefault="004D1935" w:rsidP="00E24DC9"/>
        </w:tc>
        <w:tc>
          <w:tcPr>
            <w:tcW w:w="2127" w:type="dxa"/>
            <w:vMerge/>
          </w:tcPr>
          <w:p w14:paraId="3796E374" w14:textId="77777777" w:rsidR="004D1935" w:rsidRDefault="004D1935" w:rsidP="00E24DC9"/>
        </w:tc>
        <w:tc>
          <w:tcPr>
            <w:tcW w:w="992" w:type="dxa"/>
            <w:vMerge/>
          </w:tcPr>
          <w:p w14:paraId="32A09FD6" w14:textId="77777777" w:rsidR="004D1935" w:rsidRDefault="004D1935" w:rsidP="00E24DC9"/>
        </w:tc>
        <w:tc>
          <w:tcPr>
            <w:tcW w:w="5867" w:type="dxa"/>
            <w:vMerge/>
          </w:tcPr>
          <w:p w14:paraId="5720A9DC" w14:textId="77777777" w:rsidR="004D1935" w:rsidRDefault="004D1935" w:rsidP="00E24DC9"/>
        </w:tc>
      </w:tr>
      <w:tr w:rsidR="004D1935" w14:paraId="0AD6BADF" w14:textId="77777777" w:rsidTr="00E24DC9">
        <w:tc>
          <w:tcPr>
            <w:tcW w:w="1479" w:type="dxa"/>
            <w:vMerge/>
          </w:tcPr>
          <w:p w14:paraId="663891C0" w14:textId="77777777" w:rsidR="004D1935" w:rsidRDefault="004D1935" w:rsidP="00E24DC9"/>
        </w:tc>
        <w:tc>
          <w:tcPr>
            <w:tcW w:w="798" w:type="dxa"/>
            <w:tcBorders>
              <w:top w:val="nil"/>
              <w:bottom w:val="nil"/>
            </w:tcBorders>
            <w:vAlign w:val="bottom"/>
          </w:tcPr>
          <w:p w14:paraId="233C4FBD"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145.9810</w:t>
            </w:r>
          </w:p>
        </w:tc>
        <w:tc>
          <w:tcPr>
            <w:tcW w:w="1687" w:type="dxa"/>
            <w:vMerge/>
            <w:vAlign w:val="bottom"/>
          </w:tcPr>
          <w:p w14:paraId="5BCBC918" w14:textId="77777777" w:rsidR="004D1935" w:rsidRDefault="004D1935" w:rsidP="00E24DC9"/>
        </w:tc>
        <w:tc>
          <w:tcPr>
            <w:tcW w:w="2127" w:type="dxa"/>
            <w:vMerge/>
          </w:tcPr>
          <w:p w14:paraId="33EE89D7" w14:textId="77777777" w:rsidR="004D1935" w:rsidRDefault="004D1935" w:rsidP="00E24DC9"/>
        </w:tc>
        <w:tc>
          <w:tcPr>
            <w:tcW w:w="992" w:type="dxa"/>
            <w:vMerge/>
          </w:tcPr>
          <w:p w14:paraId="612ADB10" w14:textId="77777777" w:rsidR="004D1935" w:rsidRDefault="004D1935" w:rsidP="00E24DC9"/>
        </w:tc>
        <w:tc>
          <w:tcPr>
            <w:tcW w:w="5867" w:type="dxa"/>
            <w:vMerge/>
          </w:tcPr>
          <w:p w14:paraId="4422EC79" w14:textId="77777777" w:rsidR="004D1935" w:rsidRDefault="004D1935" w:rsidP="00E24DC9"/>
        </w:tc>
      </w:tr>
      <w:tr w:rsidR="004D1935" w14:paraId="250C7599" w14:textId="77777777" w:rsidTr="00E24DC9">
        <w:tc>
          <w:tcPr>
            <w:tcW w:w="1479" w:type="dxa"/>
            <w:vMerge/>
          </w:tcPr>
          <w:p w14:paraId="6ACBB97A" w14:textId="77777777" w:rsidR="004D1935" w:rsidRDefault="004D1935" w:rsidP="00E24DC9"/>
        </w:tc>
        <w:tc>
          <w:tcPr>
            <w:tcW w:w="798" w:type="dxa"/>
            <w:tcBorders>
              <w:top w:val="nil"/>
              <w:bottom w:val="nil"/>
            </w:tcBorders>
            <w:vAlign w:val="bottom"/>
          </w:tcPr>
          <w:p w14:paraId="24976D91"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145.9192</w:t>
            </w:r>
          </w:p>
        </w:tc>
        <w:tc>
          <w:tcPr>
            <w:tcW w:w="1687" w:type="dxa"/>
            <w:vMerge/>
            <w:vAlign w:val="bottom"/>
          </w:tcPr>
          <w:p w14:paraId="60530B0C" w14:textId="77777777" w:rsidR="004D1935" w:rsidRDefault="004D1935" w:rsidP="00E24DC9"/>
        </w:tc>
        <w:tc>
          <w:tcPr>
            <w:tcW w:w="2127" w:type="dxa"/>
            <w:vMerge/>
          </w:tcPr>
          <w:p w14:paraId="6CDBAE1D" w14:textId="77777777" w:rsidR="004D1935" w:rsidRDefault="004D1935" w:rsidP="00E24DC9"/>
        </w:tc>
        <w:tc>
          <w:tcPr>
            <w:tcW w:w="992" w:type="dxa"/>
            <w:vMerge/>
          </w:tcPr>
          <w:p w14:paraId="42B377CF" w14:textId="77777777" w:rsidR="004D1935" w:rsidRDefault="004D1935" w:rsidP="00E24DC9"/>
        </w:tc>
        <w:tc>
          <w:tcPr>
            <w:tcW w:w="5867" w:type="dxa"/>
            <w:vMerge/>
          </w:tcPr>
          <w:p w14:paraId="7A0821FA" w14:textId="77777777" w:rsidR="004D1935" w:rsidRDefault="004D1935" w:rsidP="00E24DC9"/>
        </w:tc>
      </w:tr>
      <w:tr w:rsidR="004D1935" w14:paraId="5D0CC6C9" w14:textId="77777777" w:rsidTr="00E24DC9">
        <w:tc>
          <w:tcPr>
            <w:tcW w:w="1479" w:type="dxa"/>
            <w:vMerge/>
          </w:tcPr>
          <w:p w14:paraId="6A083922" w14:textId="77777777" w:rsidR="004D1935" w:rsidRDefault="004D1935" w:rsidP="00E24DC9"/>
        </w:tc>
        <w:tc>
          <w:tcPr>
            <w:tcW w:w="798" w:type="dxa"/>
            <w:tcBorders>
              <w:top w:val="nil"/>
              <w:bottom w:val="nil"/>
            </w:tcBorders>
            <w:vAlign w:val="bottom"/>
          </w:tcPr>
          <w:p w14:paraId="5884C34A"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145.9306</w:t>
            </w:r>
          </w:p>
        </w:tc>
        <w:tc>
          <w:tcPr>
            <w:tcW w:w="1687" w:type="dxa"/>
            <w:vMerge/>
            <w:vAlign w:val="bottom"/>
          </w:tcPr>
          <w:p w14:paraId="7844C3F9" w14:textId="77777777" w:rsidR="004D1935" w:rsidRDefault="004D1935" w:rsidP="00E24DC9"/>
        </w:tc>
        <w:tc>
          <w:tcPr>
            <w:tcW w:w="2127" w:type="dxa"/>
            <w:vMerge/>
          </w:tcPr>
          <w:p w14:paraId="011F1C59" w14:textId="77777777" w:rsidR="004D1935" w:rsidRDefault="004D1935" w:rsidP="00E24DC9"/>
        </w:tc>
        <w:tc>
          <w:tcPr>
            <w:tcW w:w="992" w:type="dxa"/>
            <w:vMerge/>
          </w:tcPr>
          <w:p w14:paraId="218F4399" w14:textId="77777777" w:rsidR="004D1935" w:rsidRDefault="004D1935" w:rsidP="00E24DC9"/>
        </w:tc>
        <w:tc>
          <w:tcPr>
            <w:tcW w:w="5867" w:type="dxa"/>
            <w:vMerge/>
          </w:tcPr>
          <w:p w14:paraId="10210014" w14:textId="77777777" w:rsidR="004D1935" w:rsidRDefault="004D1935" w:rsidP="00E24DC9"/>
        </w:tc>
      </w:tr>
      <w:tr w:rsidR="004D1935" w14:paraId="1B613C33" w14:textId="77777777" w:rsidTr="00E24DC9">
        <w:tc>
          <w:tcPr>
            <w:tcW w:w="1479" w:type="dxa"/>
            <w:vMerge/>
          </w:tcPr>
          <w:p w14:paraId="4E32E21A" w14:textId="77777777" w:rsidR="004D1935" w:rsidRDefault="004D1935" w:rsidP="00E24DC9"/>
        </w:tc>
        <w:tc>
          <w:tcPr>
            <w:tcW w:w="798" w:type="dxa"/>
            <w:tcBorders>
              <w:top w:val="nil"/>
              <w:bottom w:val="nil"/>
            </w:tcBorders>
            <w:vAlign w:val="bottom"/>
          </w:tcPr>
          <w:p w14:paraId="1118CFC6"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145.9686</w:t>
            </w:r>
          </w:p>
        </w:tc>
        <w:tc>
          <w:tcPr>
            <w:tcW w:w="1687" w:type="dxa"/>
            <w:vMerge/>
            <w:vAlign w:val="bottom"/>
          </w:tcPr>
          <w:p w14:paraId="7FE7879D" w14:textId="77777777" w:rsidR="004D1935" w:rsidRPr="002E1EAA" w:rsidRDefault="004D1935" w:rsidP="00E24DC9">
            <w:pPr>
              <w:rPr>
                <w:rFonts w:ascii="Calibri" w:hAnsi="Calibri" w:cs="Calibri"/>
                <w:color w:val="000000"/>
                <w:sz w:val="15"/>
                <w:szCs w:val="15"/>
              </w:rPr>
            </w:pPr>
          </w:p>
        </w:tc>
        <w:tc>
          <w:tcPr>
            <w:tcW w:w="2127" w:type="dxa"/>
            <w:vMerge/>
          </w:tcPr>
          <w:p w14:paraId="704A8413" w14:textId="77777777" w:rsidR="004D1935" w:rsidRDefault="004D1935" w:rsidP="00E24DC9"/>
        </w:tc>
        <w:tc>
          <w:tcPr>
            <w:tcW w:w="992" w:type="dxa"/>
            <w:vMerge/>
          </w:tcPr>
          <w:p w14:paraId="75B9B86C" w14:textId="77777777" w:rsidR="004D1935" w:rsidRDefault="004D1935" w:rsidP="00E24DC9"/>
        </w:tc>
        <w:tc>
          <w:tcPr>
            <w:tcW w:w="5867" w:type="dxa"/>
            <w:vMerge/>
          </w:tcPr>
          <w:p w14:paraId="70E4FA3F" w14:textId="77777777" w:rsidR="004D1935" w:rsidRDefault="004D1935" w:rsidP="00E24DC9"/>
        </w:tc>
      </w:tr>
      <w:tr w:rsidR="004D1935" w14:paraId="425FE531" w14:textId="77777777" w:rsidTr="00E24DC9">
        <w:tc>
          <w:tcPr>
            <w:tcW w:w="1479" w:type="dxa"/>
            <w:vMerge/>
          </w:tcPr>
          <w:p w14:paraId="7C4F26FF" w14:textId="77777777" w:rsidR="004D1935" w:rsidRDefault="004D1935" w:rsidP="00E24DC9"/>
        </w:tc>
        <w:tc>
          <w:tcPr>
            <w:tcW w:w="798" w:type="dxa"/>
            <w:tcBorders>
              <w:top w:val="nil"/>
              <w:bottom w:val="nil"/>
            </w:tcBorders>
            <w:vAlign w:val="bottom"/>
          </w:tcPr>
          <w:p w14:paraId="039806DE"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146.0075</w:t>
            </w:r>
          </w:p>
        </w:tc>
        <w:tc>
          <w:tcPr>
            <w:tcW w:w="1687" w:type="dxa"/>
            <w:vMerge/>
            <w:vAlign w:val="bottom"/>
          </w:tcPr>
          <w:p w14:paraId="7A4C1A6F" w14:textId="77777777" w:rsidR="004D1935" w:rsidRPr="002E1EAA" w:rsidRDefault="004D1935" w:rsidP="00E24DC9">
            <w:pPr>
              <w:rPr>
                <w:rFonts w:ascii="Calibri" w:hAnsi="Calibri" w:cs="Calibri"/>
                <w:color w:val="000000"/>
                <w:sz w:val="15"/>
                <w:szCs w:val="15"/>
              </w:rPr>
            </w:pPr>
          </w:p>
        </w:tc>
        <w:tc>
          <w:tcPr>
            <w:tcW w:w="2127" w:type="dxa"/>
            <w:vMerge/>
          </w:tcPr>
          <w:p w14:paraId="549EFF79" w14:textId="77777777" w:rsidR="004D1935" w:rsidRDefault="004D1935" w:rsidP="00E24DC9"/>
        </w:tc>
        <w:tc>
          <w:tcPr>
            <w:tcW w:w="992" w:type="dxa"/>
            <w:vMerge/>
          </w:tcPr>
          <w:p w14:paraId="72BB9534" w14:textId="77777777" w:rsidR="004D1935" w:rsidRDefault="004D1935" w:rsidP="00E24DC9"/>
        </w:tc>
        <w:tc>
          <w:tcPr>
            <w:tcW w:w="5867" w:type="dxa"/>
            <w:vMerge/>
          </w:tcPr>
          <w:p w14:paraId="2157DA56" w14:textId="77777777" w:rsidR="004D1935" w:rsidRDefault="004D1935" w:rsidP="00E24DC9"/>
        </w:tc>
      </w:tr>
      <w:tr w:rsidR="004D1935" w14:paraId="20A1F2A6" w14:textId="77777777" w:rsidTr="00E24DC9">
        <w:tc>
          <w:tcPr>
            <w:tcW w:w="1479" w:type="dxa"/>
            <w:vMerge/>
          </w:tcPr>
          <w:p w14:paraId="73E85B5E" w14:textId="77777777" w:rsidR="004D1935" w:rsidRDefault="004D1935" w:rsidP="00E24DC9"/>
        </w:tc>
        <w:tc>
          <w:tcPr>
            <w:tcW w:w="798" w:type="dxa"/>
            <w:tcBorders>
              <w:top w:val="nil"/>
              <w:bottom w:val="nil"/>
            </w:tcBorders>
            <w:vAlign w:val="bottom"/>
          </w:tcPr>
          <w:p w14:paraId="34062BCC"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145.8926</w:t>
            </w:r>
          </w:p>
        </w:tc>
        <w:tc>
          <w:tcPr>
            <w:tcW w:w="1687" w:type="dxa"/>
            <w:vMerge/>
            <w:vAlign w:val="bottom"/>
          </w:tcPr>
          <w:p w14:paraId="6BCAF451" w14:textId="77777777" w:rsidR="004D1935" w:rsidRPr="002E1EAA" w:rsidRDefault="004D1935" w:rsidP="00E24DC9">
            <w:pPr>
              <w:rPr>
                <w:rFonts w:ascii="Calibri" w:hAnsi="Calibri" w:cs="Calibri"/>
                <w:color w:val="000000"/>
                <w:sz w:val="15"/>
                <w:szCs w:val="15"/>
              </w:rPr>
            </w:pPr>
          </w:p>
        </w:tc>
        <w:tc>
          <w:tcPr>
            <w:tcW w:w="2127" w:type="dxa"/>
            <w:vMerge/>
          </w:tcPr>
          <w:p w14:paraId="640BC501" w14:textId="77777777" w:rsidR="004D1935" w:rsidRDefault="004D1935" w:rsidP="00E24DC9"/>
        </w:tc>
        <w:tc>
          <w:tcPr>
            <w:tcW w:w="992" w:type="dxa"/>
            <w:vMerge/>
          </w:tcPr>
          <w:p w14:paraId="3291A1B0" w14:textId="77777777" w:rsidR="004D1935" w:rsidRDefault="004D1935" w:rsidP="00E24DC9"/>
        </w:tc>
        <w:tc>
          <w:tcPr>
            <w:tcW w:w="5867" w:type="dxa"/>
            <w:vMerge/>
          </w:tcPr>
          <w:p w14:paraId="17F4AD1D" w14:textId="77777777" w:rsidR="004D1935" w:rsidRDefault="004D1935" w:rsidP="00E24DC9"/>
        </w:tc>
      </w:tr>
      <w:tr w:rsidR="004D1935" w14:paraId="5D29AB06" w14:textId="77777777" w:rsidTr="00E24DC9">
        <w:tc>
          <w:tcPr>
            <w:tcW w:w="1479" w:type="dxa"/>
            <w:vMerge/>
          </w:tcPr>
          <w:p w14:paraId="7FE69E39" w14:textId="77777777" w:rsidR="004D1935" w:rsidRDefault="004D1935" w:rsidP="00E24DC9"/>
        </w:tc>
        <w:tc>
          <w:tcPr>
            <w:tcW w:w="798" w:type="dxa"/>
            <w:tcBorders>
              <w:top w:val="nil"/>
              <w:bottom w:val="nil"/>
            </w:tcBorders>
            <w:vAlign w:val="bottom"/>
          </w:tcPr>
          <w:p w14:paraId="4D50DB54" w14:textId="77777777" w:rsidR="004D1935" w:rsidRPr="00CF64A4" w:rsidRDefault="004D1935" w:rsidP="00E24DC9">
            <w:pPr>
              <w:rPr>
                <w:rFonts w:ascii="Calibri" w:hAnsi="Calibri" w:cs="Calibri"/>
                <w:color w:val="000000"/>
                <w:sz w:val="13"/>
                <w:szCs w:val="13"/>
              </w:rPr>
            </w:pPr>
            <w:r w:rsidRPr="00CF64A4">
              <w:rPr>
                <w:rFonts w:ascii="Calibri" w:hAnsi="Calibri" w:cs="Calibri"/>
                <w:color w:val="000000"/>
                <w:sz w:val="13"/>
                <w:szCs w:val="13"/>
              </w:rPr>
              <w:t>145.9174</w:t>
            </w:r>
          </w:p>
        </w:tc>
        <w:tc>
          <w:tcPr>
            <w:tcW w:w="1687" w:type="dxa"/>
            <w:vMerge/>
            <w:vAlign w:val="bottom"/>
          </w:tcPr>
          <w:p w14:paraId="31FB11A3" w14:textId="77777777" w:rsidR="004D1935" w:rsidRPr="002E1EAA" w:rsidRDefault="004D1935" w:rsidP="00E24DC9">
            <w:pPr>
              <w:rPr>
                <w:rFonts w:ascii="Calibri" w:hAnsi="Calibri" w:cs="Calibri"/>
                <w:color w:val="000000"/>
                <w:sz w:val="15"/>
                <w:szCs w:val="15"/>
              </w:rPr>
            </w:pPr>
          </w:p>
        </w:tc>
        <w:tc>
          <w:tcPr>
            <w:tcW w:w="2127" w:type="dxa"/>
            <w:vMerge/>
          </w:tcPr>
          <w:p w14:paraId="07E0782E" w14:textId="77777777" w:rsidR="004D1935" w:rsidRDefault="004D1935" w:rsidP="00E24DC9"/>
        </w:tc>
        <w:tc>
          <w:tcPr>
            <w:tcW w:w="992" w:type="dxa"/>
            <w:vMerge/>
          </w:tcPr>
          <w:p w14:paraId="496F27A5" w14:textId="77777777" w:rsidR="004D1935" w:rsidRDefault="004D1935" w:rsidP="00E24DC9"/>
        </w:tc>
        <w:tc>
          <w:tcPr>
            <w:tcW w:w="5867" w:type="dxa"/>
            <w:vMerge/>
          </w:tcPr>
          <w:p w14:paraId="4850C1DA" w14:textId="77777777" w:rsidR="004D1935" w:rsidRDefault="004D1935" w:rsidP="00E24DC9"/>
        </w:tc>
      </w:tr>
      <w:tr w:rsidR="004D1935" w14:paraId="7D9DFBD2" w14:textId="77777777" w:rsidTr="00E24DC9">
        <w:trPr>
          <w:trHeight w:val="128"/>
        </w:trPr>
        <w:tc>
          <w:tcPr>
            <w:tcW w:w="1479" w:type="dxa"/>
            <w:vMerge/>
          </w:tcPr>
          <w:p w14:paraId="2292F56D" w14:textId="77777777" w:rsidR="004D1935" w:rsidRDefault="004D1935" w:rsidP="00E24DC9"/>
        </w:tc>
        <w:tc>
          <w:tcPr>
            <w:tcW w:w="798" w:type="dxa"/>
            <w:tcBorders>
              <w:top w:val="nil"/>
              <w:bottom w:val="nil"/>
            </w:tcBorders>
            <w:vAlign w:val="bottom"/>
          </w:tcPr>
          <w:p w14:paraId="7ADE0DD1" w14:textId="77777777" w:rsidR="004D1935" w:rsidRDefault="004D1935" w:rsidP="00E24DC9">
            <w:pPr>
              <w:rPr>
                <w:rFonts w:ascii="Calibri" w:hAnsi="Calibri" w:cs="Calibri"/>
                <w:color w:val="000000"/>
                <w:sz w:val="13"/>
                <w:szCs w:val="13"/>
              </w:rPr>
            </w:pPr>
            <w:r w:rsidRPr="00CF64A4">
              <w:rPr>
                <w:rFonts w:ascii="Calibri" w:hAnsi="Calibri" w:cs="Calibri"/>
                <w:color w:val="000000"/>
                <w:sz w:val="13"/>
                <w:szCs w:val="13"/>
              </w:rPr>
              <w:t>145.9448</w:t>
            </w:r>
          </w:p>
          <w:p w14:paraId="33C5061C" w14:textId="77777777" w:rsidR="004D1935" w:rsidRPr="00A6248D" w:rsidRDefault="004D1935" w:rsidP="00E24DC9">
            <w:pPr>
              <w:rPr>
                <w:rFonts w:ascii="Calibri" w:hAnsi="Calibri" w:cs="Calibri"/>
                <w:color w:val="000000"/>
                <w:sz w:val="13"/>
                <w:szCs w:val="13"/>
              </w:rPr>
            </w:pPr>
            <w:r>
              <w:rPr>
                <w:rFonts w:ascii="Calibri" w:hAnsi="Calibri" w:cs="Calibri"/>
                <w:color w:val="000000"/>
                <w:sz w:val="13"/>
                <w:szCs w:val="13"/>
              </w:rPr>
              <w:t>146.0093</w:t>
            </w:r>
          </w:p>
        </w:tc>
        <w:tc>
          <w:tcPr>
            <w:tcW w:w="1687" w:type="dxa"/>
            <w:vMerge/>
            <w:vAlign w:val="bottom"/>
          </w:tcPr>
          <w:p w14:paraId="28882B54" w14:textId="77777777" w:rsidR="004D1935" w:rsidRPr="002E1EAA" w:rsidRDefault="004D1935" w:rsidP="00E24DC9">
            <w:pPr>
              <w:rPr>
                <w:rFonts w:ascii="Calibri" w:hAnsi="Calibri" w:cs="Calibri"/>
                <w:color w:val="000000"/>
                <w:sz w:val="15"/>
                <w:szCs w:val="15"/>
              </w:rPr>
            </w:pPr>
          </w:p>
        </w:tc>
        <w:tc>
          <w:tcPr>
            <w:tcW w:w="2127" w:type="dxa"/>
            <w:vMerge/>
          </w:tcPr>
          <w:p w14:paraId="0AF2F01D" w14:textId="77777777" w:rsidR="004D1935" w:rsidRDefault="004D1935" w:rsidP="00E24DC9"/>
        </w:tc>
        <w:tc>
          <w:tcPr>
            <w:tcW w:w="992" w:type="dxa"/>
            <w:vMerge/>
          </w:tcPr>
          <w:p w14:paraId="24F23DA9" w14:textId="77777777" w:rsidR="004D1935" w:rsidRDefault="004D1935" w:rsidP="00E24DC9"/>
        </w:tc>
        <w:tc>
          <w:tcPr>
            <w:tcW w:w="5867" w:type="dxa"/>
            <w:vMerge/>
          </w:tcPr>
          <w:p w14:paraId="7C344DEA" w14:textId="77777777" w:rsidR="004D1935" w:rsidRDefault="004D1935" w:rsidP="00E24DC9"/>
        </w:tc>
      </w:tr>
      <w:tr w:rsidR="004D1935" w14:paraId="25C6FFAA" w14:textId="77777777" w:rsidTr="00E24DC9">
        <w:tc>
          <w:tcPr>
            <w:tcW w:w="1479" w:type="dxa"/>
            <w:vMerge/>
          </w:tcPr>
          <w:p w14:paraId="30D2A432" w14:textId="77777777" w:rsidR="004D1935" w:rsidRDefault="004D1935" w:rsidP="00E24DC9"/>
        </w:tc>
        <w:tc>
          <w:tcPr>
            <w:tcW w:w="798" w:type="dxa"/>
            <w:tcBorders>
              <w:top w:val="nil"/>
              <w:bottom w:val="single" w:sz="4" w:space="0" w:color="auto"/>
            </w:tcBorders>
            <w:vAlign w:val="bottom"/>
          </w:tcPr>
          <w:p w14:paraId="73C2757A" w14:textId="77777777" w:rsidR="004D1935" w:rsidRDefault="004D1935" w:rsidP="00E24DC9">
            <w:pPr>
              <w:rPr>
                <w:rFonts w:ascii="Calibri" w:hAnsi="Calibri" w:cs="Calibri"/>
                <w:color w:val="000000"/>
                <w:sz w:val="13"/>
                <w:szCs w:val="13"/>
              </w:rPr>
            </w:pPr>
          </w:p>
          <w:p w14:paraId="57BBBCC1" w14:textId="77777777" w:rsidR="00D5746C" w:rsidRDefault="00D5746C" w:rsidP="00E24DC9">
            <w:pPr>
              <w:rPr>
                <w:rFonts w:ascii="Calibri" w:hAnsi="Calibri" w:cs="Calibri"/>
                <w:color w:val="000000"/>
                <w:sz w:val="13"/>
                <w:szCs w:val="13"/>
              </w:rPr>
            </w:pPr>
          </w:p>
          <w:p w14:paraId="700D49EF" w14:textId="77777777" w:rsidR="00D5746C" w:rsidRDefault="00D5746C" w:rsidP="00E24DC9">
            <w:pPr>
              <w:rPr>
                <w:rFonts w:ascii="Calibri" w:hAnsi="Calibri" w:cs="Calibri"/>
                <w:color w:val="000000"/>
                <w:sz w:val="13"/>
                <w:szCs w:val="13"/>
              </w:rPr>
            </w:pPr>
          </w:p>
          <w:p w14:paraId="7ACFC01D" w14:textId="77777777" w:rsidR="00D5746C" w:rsidRDefault="00D5746C" w:rsidP="00E24DC9">
            <w:pPr>
              <w:rPr>
                <w:rFonts w:ascii="Calibri" w:hAnsi="Calibri" w:cs="Calibri"/>
                <w:color w:val="000000"/>
                <w:sz w:val="13"/>
                <w:szCs w:val="13"/>
              </w:rPr>
            </w:pPr>
          </w:p>
          <w:p w14:paraId="0E531FCB" w14:textId="4387656C" w:rsidR="00D5746C" w:rsidRDefault="00D5746C" w:rsidP="00E24DC9">
            <w:pPr>
              <w:rPr>
                <w:rFonts w:ascii="Calibri" w:hAnsi="Calibri" w:cs="Calibri"/>
                <w:color w:val="000000"/>
                <w:sz w:val="13"/>
                <w:szCs w:val="13"/>
              </w:rPr>
            </w:pPr>
          </w:p>
          <w:p w14:paraId="3C4ACB4F" w14:textId="1C665ED5" w:rsidR="00D5746C" w:rsidRDefault="00D5746C" w:rsidP="00E24DC9">
            <w:pPr>
              <w:rPr>
                <w:rFonts w:ascii="Calibri" w:hAnsi="Calibri" w:cs="Calibri"/>
                <w:color w:val="000000"/>
                <w:sz w:val="13"/>
                <w:szCs w:val="13"/>
              </w:rPr>
            </w:pPr>
          </w:p>
          <w:p w14:paraId="1E50CFA6" w14:textId="1D3AC49C" w:rsidR="00D5746C" w:rsidRDefault="00D5746C" w:rsidP="00E24DC9">
            <w:pPr>
              <w:rPr>
                <w:rFonts w:ascii="Calibri" w:hAnsi="Calibri" w:cs="Calibri"/>
                <w:color w:val="000000"/>
                <w:sz w:val="13"/>
                <w:szCs w:val="13"/>
              </w:rPr>
            </w:pPr>
          </w:p>
          <w:p w14:paraId="72955C13" w14:textId="66FA4913" w:rsidR="00D5746C" w:rsidRDefault="00D5746C" w:rsidP="00E24DC9">
            <w:pPr>
              <w:rPr>
                <w:rFonts w:ascii="Calibri" w:hAnsi="Calibri" w:cs="Calibri"/>
                <w:color w:val="000000"/>
                <w:sz w:val="13"/>
                <w:szCs w:val="13"/>
              </w:rPr>
            </w:pPr>
          </w:p>
          <w:p w14:paraId="2AD247A1" w14:textId="77777777" w:rsidR="00D5746C" w:rsidRDefault="00D5746C" w:rsidP="00E24DC9">
            <w:pPr>
              <w:rPr>
                <w:rFonts w:ascii="Calibri" w:hAnsi="Calibri" w:cs="Calibri"/>
                <w:color w:val="000000"/>
                <w:sz w:val="13"/>
                <w:szCs w:val="13"/>
              </w:rPr>
            </w:pPr>
          </w:p>
          <w:p w14:paraId="1BF1E437" w14:textId="0F0A0449" w:rsidR="00D5746C" w:rsidRPr="00CF64A4" w:rsidRDefault="00D5746C" w:rsidP="00E24DC9">
            <w:pPr>
              <w:rPr>
                <w:rFonts w:ascii="Calibri" w:hAnsi="Calibri" w:cs="Calibri"/>
                <w:color w:val="000000"/>
                <w:sz w:val="13"/>
                <w:szCs w:val="13"/>
              </w:rPr>
            </w:pPr>
          </w:p>
        </w:tc>
        <w:tc>
          <w:tcPr>
            <w:tcW w:w="1687" w:type="dxa"/>
            <w:vMerge/>
            <w:vAlign w:val="bottom"/>
          </w:tcPr>
          <w:p w14:paraId="29CCC17D" w14:textId="77777777" w:rsidR="004D1935" w:rsidRPr="002E1EAA" w:rsidRDefault="004D1935" w:rsidP="00E24DC9">
            <w:pPr>
              <w:rPr>
                <w:rFonts w:ascii="Calibri" w:hAnsi="Calibri" w:cs="Calibri"/>
                <w:color w:val="000000"/>
                <w:sz w:val="15"/>
                <w:szCs w:val="15"/>
              </w:rPr>
            </w:pPr>
          </w:p>
        </w:tc>
        <w:tc>
          <w:tcPr>
            <w:tcW w:w="2127" w:type="dxa"/>
            <w:vMerge/>
          </w:tcPr>
          <w:p w14:paraId="2F279208" w14:textId="77777777" w:rsidR="004D1935" w:rsidRDefault="004D1935" w:rsidP="00E24DC9"/>
        </w:tc>
        <w:tc>
          <w:tcPr>
            <w:tcW w:w="992" w:type="dxa"/>
            <w:vMerge/>
          </w:tcPr>
          <w:p w14:paraId="1C1A0A89" w14:textId="77777777" w:rsidR="004D1935" w:rsidRDefault="004D1935" w:rsidP="00E24DC9"/>
        </w:tc>
        <w:tc>
          <w:tcPr>
            <w:tcW w:w="5867" w:type="dxa"/>
            <w:vMerge/>
          </w:tcPr>
          <w:p w14:paraId="2E12E424" w14:textId="77777777" w:rsidR="004D1935" w:rsidRDefault="004D1935" w:rsidP="00E24DC9"/>
        </w:tc>
      </w:tr>
      <w:tr w:rsidR="004D1935" w14:paraId="1168B65E" w14:textId="77777777" w:rsidTr="00E24DC9">
        <w:tc>
          <w:tcPr>
            <w:tcW w:w="1479" w:type="dxa"/>
            <w:vMerge w:val="restart"/>
            <w:vAlign w:val="center"/>
          </w:tcPr>
          <w:p w14:paraId="11C365B5" w14:textId="77777777" w:rsidR="00D5746C" w:rsidRDefault="00D5746C" w:rsidP="00E24DC9">
            <w:pPr>
              <w:jc w:val="center"/>
            </w:pPr>
          </w:p>
          <w:p w14:paraId="5E4AD447" w14:textId="627085A1" w:rsidR="004D1935" w:rsidRDefault="004D1935" w:rsidP="00E24DC9">
            <w:pPr>
              <w:jc w:val="center"/>
            </w:pPr>
            <w:r>
              <w:t>NA</w:t>
            </w:r>
          </w:p>
        </w:tc>
        <w:tc>
          <w:tcPr>
            <w:tcW w:w="798" w:type="dxa"/>
            <w:tcBorders>
              <w:bottom w:val="nil"/>
            </w:tcBorders>
            <w:vAlign w:val="center"/>
          </w:tcPr>
          <w:p w14:paraId="1CA5ABB8" w14:textId="77777777" w:rsidR="00D5746C" w:rsidRDefault="00D5746C" w:rsidP="00E24DC9">
            <w:pPr>
              <w:jc w:val="center"/>
              <w:rPr>
                <w:rFonts w:ascii="Calibri" w:hAnsi="Calibri" w:cs="Calibri"/>
                <w:color w:val="000000"/>
                <w:sz w:val="15"/>
                <w:szCs w:val="15"/>
              </w:rPr>
            </w:pPr>
          </w:p>
          <w:p w14:paraId="77BE987B" w14:textId="1AB980AC" w:rsidR="004D1935" w:rsidRPr="009165A7" w:rsidRDefault="004D1935" w:rsidP="00D5746C">
            <w:pPr>
              <w:rPr>
                <w:rFonts w:ascii="Calibri" w:hAnsi="Calibri" w:cs="Calibri"/>
                <w:color w:val="000000"/>
                <w:sz w:val="15"/>
                <w:szCs w:val="15"/>
              </w:rPr>
            </w:pPr>
            <w:r w:rsidRPr="009165A7">
              <w:rPr>
                <w:rFonts w:ascii="Calibri" w:hAnsi="Calibri" w:cs="Calibri"/>
                <w:color w:val="000000"/>
                <w:sz w:val="15"/>
                <w:szCs w:val="15"/>
              </w:rPr>
              <w:t>123.9390</w:t>
            </w:r>
          </w:p>
        </w:tc>
        <w:tc>
          <w:tcPr>
            <w:tcW w:w="1687" w:type="dxa"/>
            <w:vMerge w:val="restart"/>
            <w:vAlign w:val="center"/>
          </w:tcPr>
          <w:p w14:paraId="4158A036" w14:textId="77777777" w:rsidR="00D5746C" w:rsidRDefault="00D5746C" w:rsidP="00E24DC9">
            <w:pPr>
              <w:jc w:val="center"/>
              <w:rPr>
                <w:rFonts w:ascii="Calibri" w:hAnsi="Calibri" w:cs="Calibri"/>
                <w:color w:val="000000" w:themeColor="text1"/>
                <w:sz w:val="15"/>
                <w:szCs w:val="15"/>
              </w:rPr>
            </w:pPr>
          </w:p>
          <w:p w14:paraId="2AF05EC5" w14:textId="77777777" w:rsidR="00D5746C" w:rsidRDefault="00D5746C" w:rsidP="00E24DC9">
            <w:pPr>
              <w:jc w:val="center"/>
              <w:rPr>
                <w:rFonts w:ascii="Calibri" w:hAnsi="Calibri" w:cs="Calibri"/>
                <w:color w:val="000000" w:themeColor="text1"/>
                <w:sz w:val="15"/>
                <w:szCs w:val="15"/>
              </w:rPr>
            </w:pPr>
          </w:p>
          <w:p w14:paraId="65ECAE14" w14:textId="00071655" w:rsidR="004D1935" w:rsidRPr="00F54759" w:rsidRDefault="004D1935" w:rsidP="00E24DC9">
            <w:pPr>
              <w:jc w:val="center"/>
              <w:rPr>
                <w:rFonts w:ascii="Calibri" w:hAnsi="Calibri" w:cs="Calibri"/>
                <w:color w:val="000000" w:themeColor="text1"/>
                <w:sz w:val="15"/>
                <w:szCs w:val="15"/>
              </w:rPr>
            </w:pPr>
            <w:r w:rsidRPr="00F54759">
              <w:rPr>
                <w:rFonts w:ascii="Calibri" w:hAnsi="Calibri" w:cs="Calibri"/>
                <w:color w:val="000000" w:themeColor="text1"/>
                <w:sz w:val="15"/>
                <w:szCs w:val="15"/>
              </w:rPr>
              <w:t>propylphosphonate</w:t>
            </w:r>
          </w:p>
          <w:p w14:paraId="43DF17CC" w14:textId="77777777" w:rsidR="004D1935" w:rsidRPr="00F54759" w:rsidRDefault="004D1935" w:rsidP="00E24DC9">
            <w:pPr>
              <w:jc w:val="center"/>
              <w:rPr>
                <w:rFonts w:ascii="Calibri" w:hAnsi="Calibri" w:cs="Calibri"/>
                <w:color w:val="000000" w:themeColor="text1"/>
                <w:sz w:val="15"/>
                <w:szCs w:val="15"/>
              </w:rPr>
            </w:pPr>
            <w:r w:rsidRPr="00F54759">
              <w:rPr>
                <w:rFonts w:ascii="Calibri" w:hAnsi="Calibri" w:cs="Calibri"/>
                <w:color w:val="000000" w:themeColor="text1"/>
                <w:sz w:val="15"/>
                <w:szCs w:val="15"/>
              </w:rPr>
              <w:t>phosphonoacetaldehyde</w:t>
            </w:r>
          </w:p>
          <w:p w14:paraId="60A0C17A" w14:textId="77777777" w:rsidR="004D1935" w:rsidRPr="00F54759" w:rsidRDefault="004D1935" w:rsidP="00E24DC9">
            <w:pPr>
              <w:jc w:val="center"/>
              <w:rPr>
                <w:rFonts w:ascii="Calibri" w:hAnsi="Calibri" w:cs="Calibri"/>
                <w:color w:val="000000" w:themeColor="text1"/>
                <w:sz w:val="15"/>
                <w:szCs w:val="15"/>
              </w:rPr>
            </w:pPr>
            <w:r w:rsidRPr="00F54759">
              <w:rPr>
                <w:rFonts w:ascii="Calibri" w:hAnsi="Calibri" w:cs="Calibri"/>
                <w:color w:val="000000" w:themeColor="text1"/>
                <w:sz w:val="15"/>
                <w:szCs w:val="15"/>
              </w:rPr>
              <w:t>sulfoacetaldehyde</w:t>
            </w:r>
          </w:p>
          <w:p w14:paraId="122B5365" w14:textId="77777777" w:rsidR="004D1935" w:rsidRPr="00F54759" w:rsidRDefault="004D1935" w:rsidP="00E24DC9">
            <w:pPr>
              <w:jc w:val="center"/>
              <w:rPr>
                <w:rFonts w:ascii="Calibri" w:hAnsi="Calibri" w:cs="Calibri"/>
                <w:color w:val="000000" w:themeColor="text1"/>
                <w:sz w:val="15"/>
                <w:szCs w:val="15"/>
              </w:rPr>
            </w:pPr>
            <w:r w:rsidRPr="00F54759">
              <w:rPr>
                <w:rFonts w:ascii="Calibri" w:hAnsi="Calibri" w:cs="Calibri"/>
                <w:color w:val="000000" w:themeColor="text1"/>
                <w:sz w:val="15"/>
                <w:szCs w:val="15"/>
              </w:rPr>
              <w:t>2-hydroxy-1,4-benzoquinone</w:t>
            </w:r>
          </w:p>
        </w:tc>
        <w:tc>
          <w:tcPr>
            <w:tcW w:w="2127" w:type="dxa"/>
            <w:vMerge w:val="restart"/>
            <w:vAlign w:val="center"/>
          </w:tcPr>
          <w:p w14:paraId="6F454F56" w14:textId="77777777" w:rsidR="00D5746C" w:rsidRDefault="00D5746C" w:rsidP="00E24DC9">
            <w:pPr>
              <w:jc w:val="center"/>
              <w:rPr>
                <w:rFonts w:ascii="Calibri" w:hAnsi="Calibri" w:cs="Calibri"/>
                <w:color w:val="000000" w:themeColor="text1"/>
                <w:sz w:val="15"/>
                <w:szCs w:val="15"/>
              </w:rPr>
            </w:pPr>
          </w:p>
          <w:p w14:paraId="45BBBC2A" w14:textId="77777777" w:rsidR="00D5746C" w:rsidRDefault="00D5746C" w:rsidP="00E24DC9">
            <w:pPr>
              <w:jc w:val="center"/>
              <w:rPr>
                <w:rFonts w:ascii="Calibri" w:hAnsi="Calibri" w:cs="Calibri"/>
                <w:color w:val="000000" w:themeColor="text1"/>
                <w:sz w:val="15"/>
                <w:szCs w:val="15"/>
              </w:rPr>
            </w:pPr>
          </w:p>
          <w:p w14:paraId="232AF6A7" w14:textId="51019B9D" w:rsidR="004D1935" w:rsidRPr="00F54759" w:rsidRDefault="004D1935" w:rsidP="00E24DC9">
            <w:pPr>
              <w:jc w:val="center"/>
              <w:rPr>
                <w:color w:val="000000" w:themeColor="text1"/>
              </w:rPr>
            </w:pPr>
            <w:r w:rsidRPr="00F54759">
              <w:rPr>
                <w:rFonts w:ascii="Calibri" w:hAnsi="Calibri" w:cs="Calibri"/>
                <w:color w:val="000000" w:themeColor="text1"/>
                <w:sz w:val="15"/>
                <w:szCs w:val="15"/>
              </w:rPr>
              <w:t>alkaylphosphonate</w:t>
            </w:r>
          </w:p>
          <w:p w14:paraId="4245178B" w14:textId="77777777" w:rsidR="004D1935" w:rsidRPr="00F54759" w:rsidRDefault="004D1935" w:rsidP="00E24DC9">
            <w:pPr>
              <w:jc w:val="center"/>
              <w:rPr>
                <w:color w:val="000000" w:themeColor="text1"/>
              </w:rPr>
            </w:pPr>
            <w:r w:rsidRPr="00F54759">
              <w:rPr>
                <w:rFonts w:ascii="Calibri" w:hAnsi="Calibri" w:cs="Calibri"/>
                <w:color w:val="000000" w:themeColor="text1"/>
                <w:sz w:val="15"/>
                <w:szCs w:val="15"/>
              </w:rPr>
              <w:t>organophosphonate</w:t>
            </w:r>
          </w:p>
          <w:p w14:paraId="6FA51625" w14:textId="77777777" w:rsidR="004D1935" w:rsidRPr="00F54759" w:rsidRDefault="004D1935" w:rsidP="00E24DC9">
            <w:pPr>
              <w:jc w:val="center"/>
              <w:rPr>
                <w:color w:val="000000" w:themeColor="text1"/>
              </w:rPr>
            </w:pPr>
            <w:r w:rsidRPr="00F54759">
              <w:rPr>
                <w:rFonts w:ascii="Calibri" w:hAnsi="Calibri" w:cs="Calibri"/>
                <w:color w:val="000000" w:themeColor="text1"/>
                <w:sz w:val="15"/>
                <w:szCs w:val="15"/>
              </w:rPr>
              <w:t>sulfonate</w:t>
            </w:r>
          </w:p>
          <w:p w14:paraId="2B4F83CD" w14:textId="77777777" w:rsidR="004D1935" w:rsidRPr="00F54759" w:rsidRDefault="004D1935" w:rsidP="00E24DC9">
            <w:pPr>
              <w:jc w:val="center"/>
              <w:rPr>
                <w:color w:val="000000" w:themeColor="text1"/>
              </w:rPr>
            </w:pPr>
            <w:r w:rsidRPr="00F54759">
              <w:rPr>
                <w:rFonts w:ascii="Calibri" w:hAnsi="Calibri" w:cs="Calibri"/>
                <w:color w:val="000000" w:themeColor="text1"/>
                <w:sz w:val="13"/>
                <w:szCs w:val="13"/>
              </w:rPr>
              <w:t>glycoside</w:t>
            </w:r>
          </w:p>
        </w:tc>
        <w:tc>
          <w:tcPr>
            <w:tcW w:w="992" w:type="dxa"/>
            <w:vMerge w:val="restart"/>
            <w:vAlign w:val="center"/>
          </w:tcPr>
          <w:p w14:paraId="24801AC7" w14:textId="77777777" w:rsidR="004D1935" w:rsidRPr="00F54759" w:rsidRDefault="004D1935" w:rsidP="00E24DC9">
            <w:pPr>
              <w:jc w:val="center"/>
              <w:rPr>
                <w:rFonts w:ascii="Arial" w:hAnsi="Arial" w:cs="Arial"/>
                <w:color w:val="000000" w:themeColor="text1"/>
                <w:sz w:val="15"/>
                <w:szCs w:val="15"/>
                <w:shd w:val="clear" w:color="auto" w:fill="FFFFFF"/>
              </w:rPr>
            </w:pPr>
          </w:p>
          <w:p w14:paraId="61900CD2" w14:textId="77777777" w:rsidR="004D1935" w:rsidRPr="00F54759" w:rsidRDefault="004D1935" w:rsidP="00E24DC9">
            <w:pPr>
              <w:jc w:val="center"/>
              <w:rPr>
                <w:rFonts w:ascii="Arial" w:hAnsi="Arial" w:cs="Arial"/>
                <w:color w:val="000000" w:themeColor="text1"/>
                <w:sz w:val="15"/>
                <w:szCs w:val="15"/>
                <w:shd w:val="clear" w:color="auto" w:fill="FFFFFF"/>
              </w:rPr>
            </w:pPr>
          </w:p>
          <w:p w14:paraId="6E48CDE5" w14:textId="77777777" w:rsidR="004D1935" w:rsidRPr="00F54759" w:rsidRDefault="004D1935" w:rsidP="00E24DC9">
            <w:pPr>
              <w:jc w:val="center"/>
              <w:rPr>
                <w:color w:val="000000" w:themeColor="text1"/>
                <w:sz w:val="15"/>
                <w:szCs w:val="15"/>
              </w:rPr>
            </w:pPr>
            <w:r w:rsidRPr="00F54759">
              <w:rPr>
                <w:rFonts w:ascii="Arial" w:hAnsi="Arial" w:cs="Arial"/>
                <w:color w:val="000000" w:themeColor="text1"/>
                <w:sz w:val="15"/>
                <w:szCs w:val="15"/>
                <w:shd w:val="clear" w:color="auto" w:fill="FFFFFF"/>
              </w:rPr>
              <w:t>C</w:t>
            </w:r>
            <w:r w:rsidRPr="00F54759">
              <w:rPr>
                <w:rFonts w:ascii="Arial" w:hAnsi="Arial" w:cs="Arial"/>
                <w:color w:val="000000" w:themeColor="text1"/>
                <w:sz w:val="15"/>
                <w:szCs w:val="15"/>
                <w:shd w:val="clear" w:color="auto" w:fill="FFFFFF"/>
                <w:vertAlign w:val="subscript"/>
              </w:rPr>
              <w:t>3</w:t>
            </w:r>
            <w:r w:rsidRPr="00F54759">
              <w:rPr>
                <w:rFonts w:ascii="Arial" w:hAnsi="Arial" w:cs="Arial"/>
                <w:color w:val="000000" w:themeColor="text1"/>
                <w:sz w:val="15"/>
                <w:szCs w:val="15"/>
                <w:shd w:val="clear" w:color="auto" w:fill="FFFFFF"/>
              </w:rPr>
              <w:t>H</w:t>
            </w:r>
            <w:r w:rsidRPr="00F54759">
              <w:rPr>
                <w:rFonts w:ascii="Arial" w:hAnsi="Arial" w:cs="Arial"/>
                <w:color w:val="000000" w:themeColor="text1"/>
                <w:sz w:val="15"/>
                <w:szCs w:val="15"/>
                <w:shd w:val="clear" w:color="auto" w:fill="FFFFFF"/>
                <w:vertAlign w:val="subscript"/>
              </w:rPr>
              <w:t>8</w:t>
            </w:r>
            <w:r w:rsidRPr="00F54759">
              <w:rPr>
                <w:rFonts w:ascii="Arial" w:hAnsi="Arial" w:cs="Arial"/>
                <w:color w:val="000000" w:themeColor="text1"/>
                <w:sz w:val="15"/>
                <w:szCs w:val="15"/>
                <w:shd w:val="clear" w:color="auto" w:fill="FFFFFF"/>
              </w:rPr>
              <w:t>O</w:t>
            </w:r>
            <w:r w:rsidRPr="00F54759">
              <w:rPr>
                <w:rFonts w:ascii="Arial" w:hAnsi="Arial" w:cs="Arial"/>
                <w:color w:val="000000" w:themeColor="text1"/>
                <w:sz w:val="15"/>
                <w:szCs w:val="15"/>
                <w:shd w:val="clear" w:color="auto" w:fill="FFFFFF"/>
                <w:vertAlign w:val="subscript"/>
              </w:rPr>
              <w:t>3</w:t>
            </w:r>
            <w:r w:rsidRPr="00F54759">
              <w:rPr>
                <w:rFonts w:ascii="Arial" w:hAnsi="Arial" w:cs="Arial"/>
                <w:color w:val="000000" w:themeColor="text1"/>
                <w:sz w:val="15"/>
                <w:szCs w:val="15"/>
                <w:shd w:val="clear" w:color="auto" w:fill="FFFFFF"/>
              </w:rPr>
              <w:t>P</w:t>
            </w:r>
          </w:p>
          <w:p w14:paraId="7A0FC2D3" w14:textId="77777777" w:rsidR="004D1935" w:rsidRPr="00F54759" w:rsidRDefault="004D1935" w:rsidP="00E24DC9">
            <w:pPr>
              <w:jc w:val="center"/>
              <w:rPr>
                <w:color w:val="000000" w:themeColor="text1"/>
                <w:sz w:val="15"/>
                <w:szCs w:val="15"/>
              </w:rPr>
            </w:pPr>
            <w:r w:rsidRPr="00F54759">
              <w:rPr>
                <w:rFonts w:ascii="Arial" w:hAnsi="Arial" w:cs="Arial"/>
                <w:color w:val="000000" w:themeColor="text1"/>
                <w:sz w:val="15"/>
                <w:szCs w:val="15"/>
                <w:shd w:val="clear" w:color="auto" w:fill="FFFFFF"/>
              </w:rPr>
              <w:t>C</w:t>
            </w:r>
            <w:r w:rsidRPr="00F54759">
              <w:rPr>
                <w:rFonts w:ascii="Arial" w:hAnsi="Arial" w:cs="Arial"/>
                <w:color w:val="000000" w:themeColor="text1"/>
                <w:sz w:val="15"/>
                <w:szCs w:val="15"/>
                <w:shd w:val="clear" w:color="auto" w:fill="FFFFFF"/>
                <w:vertAlign w:val="subscript"/>
              </w:rPr>
              <w:t>2</w:t>
            </w:r>
            <w:r w:rsidRPr="00F54759">
              <w:rPr>
                <w:rFonts w:ascii="Arial" w:hAnsi="Arial" w:cs="Arial"/>
                <w:color w:val="000000" w:themeColor="text1"/>
                <w:sz w:val="15"/>
                <w:szCs w:val="15"/>
                <w:shd w:val="clear" w:color="auto" w:fill="FFFFFF"/>
              </w:rPr>
              <w:t>H</w:t>
            </w:r>
            <w:r w:rsidRPr="00F54759">
              <w:rPr>
                <w:rFonts w:ascii="Arial" w:hAnsi="Arial" w:cs="Arial"/>
                <w:color w:val="000000" w:themeColor="text1"/>
                <w:sz w:val="15"/>
                <w:szCs w:val="15"/>
                <w:shd w:val="clear" w:color="auto" w:fill="FFFFFF"/>
                <w:vertAlign w:val="subscript"/>
              </w:rPr>
              <w:t>4</w:t>
            </w:r>
            <w:r w:rsidRPr="00F54759">
              <w:rPr>
                <w:rFonts w:ascii="Arial" w:hAnsi="Arial" w:cs="Arial"/>
                <w:color w:val="000000" w:themeColor="text1"/>
                <w:sz w:val="15"/>
                <w:szCs w:val="15"/>
                <w:shd w:val="clear" w:color="auto" w:fill="FFFFFF"/>
              </w:rPr>
              <w:t>O</w:t>
            </w:r>
            <w:r w:rsidRPr="00F54759">
              <w:rPr>
                <w:rFonts w:ascii="Arial" w:hAnsi="Arial" w:cs="Arial"/>
                <w:color w:val="000000" w:themeColor="text1"/>
                <w:sz w:val="15"/>
                <w:szCs w:val="15"/>
                <w:shd w:val="clear" w:color="auto" w:fill="FFFFFF"/>
                <w:vertAlign w:val="subscript"/>
              </w:rPr>
              <w:t>4</w:t>
            </w:r>
            <w:r w:rsidRPr="00F54759">
              <w:rPr>
                <w:rFonts w:ascii="Arial" w:hAnsi="Arial" w:cs="Arial"/>
                <w:color w:val="000000" w:themeColor="text1"/>
                <w:sz w:val="15"/>
                <w:szCs w:val="15"/>
                <w:shd w:val="clear" w:color="auto" w:fill="FFFFFF"/>
              </w:rPr>
              <w:t>P</w:t>
            </w:r>
          </w:p>
          <w:p w14:paraId="49B20393" w14:textId="77777777" w:rsidR="004D1935" w:rsidRPr="00F54759" w:rsidRDefault="004D1935" w:rsidP="00E24DC9">
            <w:pPr>
              <w:jc w:val="center"/>
              <w:rPr>
                <w:color w:val="000000" w:themeColor="text1"/>
                <w:sz w:val="15"/>
                <w:szCs w:val="15"/>
              </w:rPr>
            </w:pPr>
            <w:r w:rsidRPr="00F54759">
              <w:rPr>
                <w:rFonts w:ascii="Arial" w:hAnsi="Arial" w:cs="Arial"/>
                <w:color w:val="000000" w:themeColor="text1"/>
                <w:sz w:val="15"/>
                <w:szCs w:val="15"/>
                <w:shd w:val="clear" w:color="auto" w:fill="FFFFFF"/>
              </w:rPr>
              <w:t>C</w:t>
            </w:r>
            <w:r w:rsidRPr="00F54759">
              <w:rPr>
                <w:rFonts w:ascii="Arial" w:hAnsi="Arial" w:cs="Arial"/>
                <w:color w:val="000000" w:themeColor="text1"/>
                <w:sz w:val="15"/>
                <w:szCs w:val="15"/>
                <w:shd w:val="clear" w:color="auto" w:fill="FFFFFF"/>
                <w:vertAlign w:val="subscript"/>
              </w:rPr>
              <w:t>2</w:t>
            </w:r>
            <w:r w:rsidRPr="00F54759">
              <w:rPr>
                <w:rFonts w:ascii="Arial" w:hAnsi="Arial" w:cs="Arial"/>
                <w:color w:val="000000" w:themeColor="text1"/>
                <w:sz w:val="15"/>
                <w:szCs w:val="15"/>
                <w:shd w:val="clear" w:color="auto" w:fill="FFFFFF"/>
              </w:rPr>
              <w:t>H</w:t>
            </w:r>
            <w:r w:rsidRPr="00F54759">
              <w:rPr>
                <w:rFonts w:ascii="Arial" w:hAnsi="Arial" w:cs="Arial"/>
                <w:color w:val="000000" w:themeColor="text1"/>
                <w:sz w:val="15"/>
                <w:szCs w:val="15"/>
                <w:shd w:val="clear" w:color="auto" w:fill="FFFFFF"/>
                <w:vertAlign w:val="subscript"/>
              </w:rPr>
              <w:t>3</w:t>
            </w:r>
            <w:r w:rsidRPr="00F54759">
              <w:rPr>
                <w:rFonts w:ascii="Arial" w:hAnsi="Arial" w:cs="Arial"/>
                <w:color w:val="000000" w:themeColor="text1"/>
                <w:sz w:val="15"/>
                <w:szCs w:val="15"/>
                <w:shd w:val="clear" w:color="auto" w:fill="FFFFFF"/>
              </w:rPr>
              <w:t>O</w:t>
            </w:r>
            <w:r w:rsidRPr="00F54759">
              <w:rPr>
                <w:rFonts w:ascii="Arial" w:hAnsi="Arial" w:cs="Arial"/>
                <w:color w:val="000000" w:themeColor="text1"/>
                <w:sz w:val="15"/>
                <w:szCs w:val="15"/>
                <w:shd w:val="clear" w:color="auto" w:fill="FFFFFF"/>
                <w:vertAlign w:val="subscript"/>
              </w:rPr>
              <w:t>4</w:t>
            </w:r>
            <w:r w:rsidRPr="00F54759">
              <w:rPr>
                <w:rFonts w:ascii="Arial" w:hAnsi="Arial" w:cs="Arial"/>
                <w:color w:val="000000" w:themeColor="text1"/>
                <w:sz w:val="15"/>
                <w:szCs w:val="15"/>
                <w:shd w:val="clear" w:color="auto" w:fill="FFFFFF"/>
              </w:rPr>
              <w:t>S</w:t>
            </w:r>
          </w:p>
          <w:p w14:paraId="4D400009" w14:textId="77777777" w:rsidR="004D1935" w:rsidRPr="00F54759" w:rsidRDefault="004D1935" w:rsidP="00E24DC9">
            <w:pPr>
              <w:jc w:val="center"/>
              <w:rPr>
                <w:color w:val="000000" w:themeColor="text1"/>
                <w:sz w:val="15"/>
                <w:szCs w:val="15"/>
              </w:rPr>
            </w:pPr>
            <w:r w:rsidRPr="00F54759">
              <w:rPr>
                <w:rFonts w:ascii="Arial" w:hAnsi="Arial" w:cs="Arial"/>
                <w:color w:val="000000" w:themeColor="text1"/>
                <w:sz w:val="15"/>
                <w:szCs w:val="15"/>
                <w:shd w:val="clear" w:color="auto" w:fill="FFFFFF"/>
              </w:rPr>
              <w:t>C</w:t>
            </w:r>
            <w:r w:rsidRPr="00F54759">
              <w:rPr>
                <w:rFonts w:ascii="Arial" w:hAnsi="Arial" w:cs="Arial"/>
                <w:color w:val="000000" w:themeColor="text1"/>
                <w:sz w:val="15"/>
                <w:szCs w:val="15"/>
                <w:shd w:val="clear" w:color="auto" w:fill="FFFFFF"/>
                <w:vertAlign w:val="subscript"/>
              </w:rPr>
              <w:t>6</w:t>
            </w:r>
            <w:r w:rsidRPr="00F54759">
              <w:rPr>
                <w:rFonts w:ascii="Arial" w:hAnsi="Arial" w:cs="Arial"/>
                <w:color w:val="000000" w:themeColor="text1"/>
                <w:sz w:val="15"/>
                <w:szCs w:val="15"/>
                <w:shd w:val="clear" w:color="auto" w:fill="FFFFFF"/>
              </w:rPr>
              <w:t>H</w:t>
            </w:r>
            <w:r w:rsidRPr="00F54759">
              <w:rPr>
                <w:rFonts w:ascii="Arial" w:hAnsi="Arial" w:cs="Arial"/>
                <w:color w:val="000000" w:themeColor="text1"/>
                <w:sz w:val="15"/>
                <w:szCs w:val="15"/>
                <w:shd w:val="clear" w:color="auto" w:fill="FFFFFF"/>
                <w:vertAlign w:val="subscript"/>
              </w:rPr>
              <w:t>3</w:t>
            </w:r>
            <w:r w:rsidRPr="00F54759">
              <w:rPr>
                <w:rFonts w:ascii="Arial" w:hAnsi="Arial" w:cs="Arial"/>
                <w:color w:val="000000" w:themeColor="text1"/>
                <w:sz w:val="15"/>
                <w:szCs w:val="15"/>
                <w:shd w:val="clear" w:color="auto" w:fill="FFFFFF"/>
              </w:rPr>
              <w:t>O</w:t>
            </w:r>
            <w:r w:rsidRPr="00F54759">
              <w:rPr>
                <w:rFonts w:ascii="Arial" w:hAnsi="Arial" w:cs="Arial"/>
                <w:color w:val="000000" w:themeColor="text1"/>
                <w:sz w:val="15"/>
                <w:szCs w:val="15"/>
                <w:shd w:val="clear" w:color="auto" w:fill="FFFFFF"/>
                <w:vertAlign w:val="subscript"/>
              </w:rPr>
              <w:t>3</w:t>
            </w:r>
          </w:p>
          <w:p w14:paraId="2B4E26BF" w14:textId="77777777" w:rsidR="004D1935" w:rsidRPr="00F54759" w:rsidRDefault="004D1935" w:rsidP="00E24DC9">
            <w:pPr>
              <w:jc w:val="center"/>
              <w:rPr>
                <w:color w:val="000000" w:themeColor="text1"/>
              </w:rPr>
            </w:pPr>
          </w:p>
        </w:tc>
        <w:tc>
          <w:tcPr>
            <w:tcW w:w="5867" w:type="dxa"/>
            <w:vMerge w:val="restart"/>
            <w:vAlign w:val="center"/>
          </w:tcPr>
          <w:p w14:paraId="4E5BF6D5" w14:textId="77777777" w:rsidR="00D5746C" w:rsidRDefault="00D5746C" w:rsidP="00E24DC9">
            <w:pPr>
              <w:jc w:val="center"/>
              <w:rPr>
                <w:rFonts w:ascii="Calibri" w:hAnsi="Calibri" w:cs="Calibri"/>
                <w:color w:val="000000" w:themeColor="text1"/>
                <w:sz w:val="15"/>
                <w:szCs w:val="15"/>
              </w:rPr>
            </w:pPr>
          </w:p>
          <w:p w14:paraId="1546430F" w14:textId="77777777" w:rsidR="00D5746C" w:rsidRDefault="00D5746C" w:rsidP="00E24DC9">
            <w:pPr>
              <w:jc w:val="center"/>
              <w:rPr>
                <w:rFonts w:ascii="Calibri" w:hAnsi="Calibri" w:cs="Calibri"/>
                <w:color w:val="000000" w:themeColor="text1"/>
                <w:sz w:val="15"/>
                <w:szCs w:val="15"/>
              </w:rPr>
            </w:pPr>
          </w:p>
          <w:p w14:paraId="7031402E" w14:textId="391928FD" w:rsidR="004D1935" w:rsidRPr="00F54759" w:rsidRDefault="004D1935" w:rsidP="00E24DC9">
            <w:pPr>
              <w:jc w:val="center"/>
              <w:rPr>
                <w:color w:val="000000" w:themeColor="text1"/>
              </w:rPr>
            </w:pPr>
            <w:r w:rsidRPr="00F54759">
              <w:rPr>
                <w:rFonts w:ascii="Calibri" w:hAnsi="Calibri" w:cs="Calibri"/>
                <w:color w:val="000000" w:themeColor="text1"/>
                <w:sz w:val="15"/>
                <w:szCs w:val="15"/>
              </w:rPr>
              <w:t>Metabolism of other amino acids</w:t>
            </w:r>
          </w:p>
          <w:p w14:paraId="2C7819E6" w14:textId="77777777" w:rsidR="004D1935" w:rsidRPr="00F54759" w:rsidRDefault="004D1935" w:rsidP="00E24DC9">
            <w:pPr>
              <w:jc w:val="center"/>
              <w:rPr>
                <w:color w:val="000000" w:themeColor="text1"/>
              </w:rPr>
            </w:pPr>
            <w:r w:rsidRPr="00F54759">
              <w:rPr>
                <w:rFonts w:ascii="Calibri" w:hAnsi="Calibri" w:cs="Calibri"/>
                <w:color w:val="000000" w:themeColor="text1"/>
                <w:sz w:val="11"/>
                <w:szCs w:val="11"/>
              </w:rPr>
              <w:t>Phosphonate and phosphinate metabolism/Jasmonic acid biosynthesis/Abscisic acid biosynthesis Flavanone flavonoid /riboflavin biosynthesis/fatty acid pathway/Shikimate pathway, phosphoenolpyruvate</w:t>
            </w:r>
          </w:p>
          <w:p w14:paraId="168669B2" w14:textId="77777777" w:rsidR="004D1935" w:rsidRPr="00F54759" w:rsidRDefault="004D1935" w:rsidP="00E24DC9">
            <w:pPr>
              <w:jc w:val="center"/>
              <w:rPr>
                <w:color w:val="000000" w:themeColor="text1"/>
              </w:rPr>
            </w:pPr>
            <w:r w:rsidRPr="00F54759">
              <w:rPr>
                <w:rFonts w:ascii="Calibri" w:hAnsi="Calibri" w:cs="Calibri"/>
                <w:color w:val="000000" w:themeColor="text1"/>
                <w:sz w:val="11"/>
                <w:szCs w:val="11"/>
              </w:rPr>
              <w:t>Taurine and hypotaurine metabolism/Jasmonic acid biosynthesis/Abscisic acid biosynthesis Flavanone flavonoid /riboflavin biosynthesis/fatty acid pathway/Shikimate pathway, phosphoenolpyruvate</w:t>
            </w:r>
          </w:p>
          <w:p w14:paraId="3D917CAC" w14:textId="77777777" w:rsidR="004D1935" w:rsidRPr="00F54759" w:rsidRDefault="004D1935" w:rsidP="00E24DC9">
            <w:pPr>
              <w:jc w:val="center"/>
              <w:rPr>
                <w:color w:val="000000" w:themeColor="text1"/>
              </w:rPr>
            </w:pPr>
            <w:r w:rsidRPr="00F54759">
              <w:rPr>
                <w:rFonts w:ascii="Calibri" w:hAnsi="Calibri" w:cs="Calibri"/>
                <w:color w:val="000000" w:themeColor="text1"/>
                <w:sz w:val="11"/>
                <w:szCs w:val="11"/>
              </w:rPr>
              <w:t>Jasmonic acid biosynthesis/Abscisic acid biosynthesis Flavanone flavonoid /riboflavin biosynthesis/fatty acid pathway/Shikimate pathway, phosphoenolpyruvate</w:t>
            </w:r>
          </w:p>
        </w:tc>
      </w:tr>
      <w:tr w:rsidR="004D1935" w14:paraId="5A094847" w14:textId="77777777" w:rsidTr="00E24DC9">
        <w:tc>
          <w:tcPr>
            <w:tcW w:w="1479" w:type="dxa"/>
            <w:vMerge/>
          </w:tcPr>
          <w:p w14:paraId="7928EC7E" w14:textId="77777777" w:rsidR="004D1935" w:rsidRDefault="004D1935" w:rsidP="00E24DC9"/>
        </w:tc>
        <w:tc>
          <w:tcPr>
            <w:tcW w:w="798" w:type="dxa"/>
            <w:tcBorders>
              <w:top w:val="nil"/>
              <w:bottom w:val="nil"/>
            </w:tcBorders>
            <w:vAlign w:val="center"/>
          </w:tcPr>
          <w:p w14:paraId="32058E64"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123.9664</w:t>
            </w:r>
          </w:p>
        </w:tc>
        <w:tc>
          <w:tcPr>
            <w:tcW w:w="1687" w:type="dxa"/>
            <w:vMerge/>
            <w:vAlign w:val="bottom"/>
          </w:tcPr>
          <w:p w14:paraId="1A346C78" w14:textId="77777777" w:rsidR="004D1935" w:rsidRPr="002E1EAA" w:rsidRDefault="004D1935" w:rsidP="00E24DC9">
            <w:pPr>
              <w:rPr>
                <w:rFonts w:ascii="Calibri" w:hAnsi="Calibri" w:cs="Calibri"/>
                <w:color w:val="000000"/>
                <w:sz w:val="15"/>
                <w:szCs w:val="15"/>
              </w:rPr>
            </w:pPr>
          </w:p>
        </w:tc>
        <w:tc>
          <w:tcPr>
            <w:tcW w:w="2127" w:type="dxa"/>
            <w:vMerge/>
            <w:vAlign w:val="bottom"/>
          </w:tcPr>
          <w:p w14:paraId="6831FEC6" w14:textId="77777777" w:rsidR="004D1935" w:rsidRDefault="004D1935" w:rsidP="00E24DC9"/>
        </w:tc>
        <w:tc>
          <w:tcPr>
            <w:tcW w:w="992" w:type="dxa"/>
            <w:vMerge/>
          </w:tcPr>
          <w:p w14:paraId="6107E132" w14:textId="77777777" w:rsidR="004D1935" w:rsidRDefault="004D1935" w:rsidP="00E24DC9"/>
        </w:tc>
        <w:tc>
          <w:tcPr>
            <w:tcW w:w="5867" w:type="dxa"/>
            <w:vMerge/>
            <w:vAlign w:val="bottom"/>
          </w:tcPr>
          <w:p w14:paraId="06573141" w14:textId="77777777" w:rsidR="004D1935" w:rsidRDefault="004D1935" w:rsidP="00E24DC9"/>
        </w:tc>
      </w:tr>
      <w:tr w:rsidR="004D1935" w14:paraId="31AF3BD7" w14:textId="77777777" w:rsidTr="00E24DC9">
        <w:tc>
          <w:tcPr>
            <w:tcW w:w="1479" w:type="dxa"/>
            <w:vMerge/>
          </w:tcPr>
          <w:p w14:paraId="3126B871" w14:textId="77777777" w:rsidR="004D1935" w:rsidRDefault="004D1935" w:rsidP="00E24DC9"/>
        </w:tc>
        <w:tc>
          <w:tcPr>
            <w:tcW w:w="798" w:type="dxa"/>
            <w:tcBorders>
              <w:top w:val="nil"/>
              <w:bottom w:val="nil"/>
            </w:tcBorders>
            <w:vAlign w:val="center"/>
          </w:tcPr>
          <w:p w14:paraId="357E8910"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123.9938</w:t>
            </w:r>
          </w:p>
        </w:tc>
        <w:tc>
          <w:tcPr>
            <w:tcW w:w="1687" w:type="dxa"/>
            <w:vMerge/>
            <w:vAlign w:val="bottom"/>
          </w:tcPr>
          <w:p w14:paraId="525D05A0" w14:textId="77777777" w:rsidR="004D1935" w:rsidRPr="002E1EAA" w:rsidRDefault="004D1935" w:rsidP="00E24DC9">
            <w:pPr>
              <w:rPr>
                <w:rFonts w:ascii="Calibri" w:hAnsi="Calibri" w:cs="Calibri"/>
                <w:color w:val="000000"/>
                <w:sz w:val="15"/>
                <w:szCs w:val="15"/>
              </w:rPr>
            </w:pPr>
          </w:p>
        </w:tc>
        <w:tc>
          <w:tcPr>
            <w:tcW w:w="2127" w:type="dxa"/>
            <w:vMerge/>
            <w:vAlign w:val="bottom"/>
          </w:tcPr>
          <w:p w14:paraId="55ADAAA8" w14:textId="77777777" w:rsidR="004D1935" w:rsidRDefault="004D1935" w:rsidP="00E24DC9"/>
        </w:tc>
        <w:tc>
          <w:tcPr>
            <w:tcW w:w="992" w:type="dxa"/>
            <w:vMerge/>
          </w:tcPr>
          <w:p w14:paraId="0278DF94" w14:textId="77777777" w:rsidR="004D1935" w:rsidRDefault="004D1935" w:rsidP="00E24DC9"/>
        </w:tc>
        <w:tc>
          <w:tcPr>
            <w:tcW w:w="5867" w:type="dxa"/>
            <w:vMerge/>
            <w:vAlign w:val="bottom"/>
          </w:tcPr>
          <w:p w14:paraId="7225DD7F" w14:textId="77777777" w:rsidR="004D1935" w:rsidRDefault="004D1935" w:rsidP="00E24DC9"/>
        </w:tc>
      </w:tr>
      <w:tr w:rsidR="004D1935" w14:paraId="10500530" w14:textId="77777777" w:rsidTr="00E24DC9">
        <w:tc>
          <w:tcPr>
            <w:tcW w:w="1479" w:type="dxa"/>
            <w:vMerge/>
          </w:tcPr>
          <w:p w14:paraId="2A976479" w14:textId="77777777" w:rsidR="004D1935" w:rsidRDefault="004D1935" w:rsidP="00E24DC9"/>
        </w:tc>
        <w:tc>
          <w:tcPr>
            <w:tcW w:w="798" w:type="dxa"/>
            <w:tcBorders>
              <w:top w:val="nil"/>
              <w:bottom w:val="nil"/>
            </w:tcBorders>
            <w:vAlign w:val="center"/>
          </w:tcPr>
          <w:p w14:paraId="0CF646BC"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124.0291</w:t>
            </w:r>
          </w:p>
        </w:tc>
        <w:tc>
          <w:tcPr>
            <w:tcW w:w="1687" w:type="dxa"/>
            <w:vMerge/>
            <w:vAlign w:val="bottom"/>
          </w:tcPr>
          <w:p w14:paraId="5F04466E" w14:textId="77777777" w:rsidR="004D1935" w:rsidRPr="002E1EAA" w:rsidRDefault="004D1935" w:rsidP="00E24DC9">
            <w:pPr>
              <w:rPr>
                <w:rFonts w:ascii="Calibri" w:hAnsi="Calibri" w:cs="Calibri"/>
                <w:color w:val="000000"/>
                <w:sz w:val="15"/>
                <w:szCs w:val="15"/>
              </w:rPr>
            </w:pPr>
          </w:p>
        </w:tc>
        <w:tc>
          <w:tcPr>
            <w:tcW w:w="2127" w:type="dxa"/>
            <w:vMerge/>
            <w:vAlign w:val="bottom"/>
          </w:tcPr>
          <w:p w14:paraId="420EC347" w14:textId="77777777" w:rsidR="004D1935" w:rsidRDefault="004D1935" w:rsidP="00E24DC9"/>
        </w:tc>
        <w:tc>
          <w:tcPr>
            <w:tcW w:w="992" w:type="dxa"/>
            <w:vMerge/>
          </w:tcPr>
          <w:p w14:paraId="4B66420D" w14:textId="77777777" w:rsidR="004D1935" w:rsidRDefault="004D1935" w:rsidP="00E24DC9"/>
        </w:tc>
        <w:tc>
          <w:tcPr>
            <w:tcW w:w="5867" w:type="dxa"/>
            <w:vMerge/>
            <w:vAlign w:val="bottom"/>
          </w:tcPr>
          <w:p w14:paraId="2D00BC99" w14:textId="77777777" w:rsidR="004D1935" w:rsidRDefault="004D1935" w:rsidP="00E24DC9"/>
        </w:tc>
      </w:tr>
      <w:tr w:rsidR="004D1935" w14:paraId="32DDCD61" w14:textId="77777777" w:rsidTr="00E24DC9">
        <w:tc>
          <w:tcPr>
            <w:tcW w:w="1479" w:type="dxa"/>
            <w:vMerge/>
          </w:tcPr>
          <w:p w14:paraId="68E3C07A" w14:textId="77777777" w:rsidR="004D1935" w:rsidRDefault="004D1935" w:rsidP="00E24DC9"/>
        </w:tc>
        <w:tc>
          <w:tcPr>
            <w:tcW w:w="798" w:type="dxa"/>
            <w:tcBorders>
              <w:top w:val="nil"/>
              <w:bottom w:val="nil"/>
            </w:tcBorders>
            <w:vAlign w:val="center"/>
          </w:tcPr>
          <w:p w14:paraId="045BF173"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124.0644</w:t>
            </w:r>
          </w:p>
        </w:tc>
        <w:tc>
          <w:tcPr>
            <w:tcW w:w="1687" w:type="dxa"/>
            <w:vMerge/>
            <w:vAlign w:val="bottom"/>
          </w:tcPr>
          <w:p w14:paraId="564A762F" w14:textId="77777777" w:rsidR="004D1935" w:rsidRPr="002E1EAA" w:rsidRDefault="004D1935" w:rsidP="00E24DC9">
            <w:pPr>
              <w:rPr>
                <w:rFonts w:ascii="Calibri" w:hAnsi="Calibri" w:cs="Calibri"/>
                <w:color w:val="000000"/>
                <w:sz w:val="15"/>
                <w:szCs w:val="15"/>
              </w:rPr>
            </w:pPr>
          </w:p>
        </w:tc>
        <w:tc>
          <w:tcPr>
            <w:tcW w:w="2127" w:type="dxa"/>
            <w:vMerge/>
          </w:tcPr>
          <w:p w14:paraId="01A4C5C4" w14:textId="77777777" w:rsidR="004D1935" w:rsidRDefault="004D1935" w:rsidP="00E24DC9"/>
        </w:tc>
        <w:tc>
          <w:tcPr>
            <w:tcW w:w="992" w:type="dxa"/>
            <w:vMerge/>
          </w:tcPr>
          <w:p w14:paraId="294397C4" w14:textId="77777777" w:rsidR="004D1935" w:rsidRDefault="004D1935" w:rsidP="00E24DC9"/>
        </w:tc>
        <w:tc>
          <w:tcPr>
            <w:tcW w:w="5867" w:type="dxa"/>
            <w:vMerge/>
          </w:tcPr>
          <w:p w14:paraId="21221073" w14:textId="77777777" w:rsidR="004D1935" w:rsidRDefault="004D1935" w:rsidP="00E24DC9"/>
        </w:tc>
      </w:tr>
      <w:tr w:rsidR="004D1935" w14:paraId="1C9E8DD5" w14:textId="77777777" w:rsidTr="00E24DC9">
        <w:tc>
          <w:tcPr>
            <w:tcW w:w="1479" w:type="dxa"/>
            <w:vMerge/>
          </w:tcPr>
          <w:p w14:paraId="021CC9E9" w14:textId="77777777" w:rsidR="004D1935" w:rsidRDefault="004D1935" w:rsidP="00E24DC9"/>
        </w:tc>
        <w:tc>
          <w:tcPr>
            <w:tcW w:w="798" w:type="dxa"/>
            <w:tcBorders>
              <w:top w:val="nil"/>
              <w:bottom w:val="nil"/>
            </w:tcBorders>
            <w:vAlign w:val="center"/>
          </w:tcPr>
          <w:p w14:paraId="257AAC4D"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123.9159</w:t>
            </w:r>
          </w:p>
        </w:tc>
        <w:tc>
          <w:tcPr>
            <w:tcW w:w="1687" w:type="dxa"/>
            <w:vMerge/>
            <w:vAlign w:val="bottom"/>
          </w:tcPr>
          <w:p w14:paraId="6E30CE17" w14:textId="77777777" w:rsidR="004D1935" w:rsidRPr="002E1EAA" w:rsidRDefault="004D1935" w:rsidP="00E24DC9">
            <w:pPr>
              <w:rPr>
                <w:rFonts w:ascii="Calibri" w:hAnsi="Calibri" w:cs="Calibri"/>
                <w:color w:val="000000"/>
                <w:sz w:val="15"/>
                <w:szCs w:val="15"/>
              </w:rPr>
            </w:pPr>
          </w:p>
        </w:tc>
        <w:tc>
          <w:tcPr>
            <w:tcW w:w="2127" w:type="dxa"/>
            <w:vMerge/>
          </w:tcPr>
          <w:p w14:paraId="615F45D2" w14:textId="77777777" w:rsidR="004D1935" w:rsidRDefault="004D1935" w:rsidP="00E24DC9"/>
        </w:tc>
        <w:tc>
          <w:tcPr>
            <w:tcW w:w="992" w:type="dxa"/>
            <w:vMerge/>
          </w:tcPr>
          <w:p w14:paraId="1F067C75" w14:textId="77777777" w:rsidR="004D1935" w:rsidRDefault="004D1935" w:rsidP="00E24DC9"/>
        </w:tc>
        <w:tc>
          <w:tcPr>
            <w:tcW w:w="5867" w:type="dxa"/>
            <w:vMerge/>
          </w:tcPr>
          <w:p w14:paraId="56E14EF2" w14:textId="77777777" w:rsidR="004D1935" w:rsidRDefault="004D1935" w:rsidP="00E24DC9"/>
        </w:tc>
      </w:tr>
      <w:tr w:rsidR="004D1935" w14:paraId="6B774C7A" w14:textId="77777777" w:rsidTr="00E24DC9">
        <w:tc>
          <w:tcPr>
            <w:tcW w:w="1479" w:type="dxa"/>
            <w:vMerge/>
          </w:tcPr>
          <w:p w14:paraId="09B3D7C9" w14:textId="77777777" w:rsidR="004D1935" w:rsidRDefault="004D1935" w:rsidP="00E24DC9"/>
        </w:tc>
        <w:tc>
          <w:tcPr>
            <w:tcW w:w="798" w:type="dxa"/>
            <w:tcBorders>
              <w:top w:val="nil"/>
              <w:bottom w:val="nil"/>
            </w:tcBorders>
            <w:vAlign w:val="center"/>
          </w:tcPr>
          <w:p w14:paraId="5369DE5C"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123.9443</w:t>
            </w:r>
          </w:p>
        </w:tc>
        <w:tc>
          <w:tcPr>
            <w:tcW w:w="1687" w:type="dxa"/>
            <w:vMerge/>
            <w:vAlign w:val="bottom"/>
          </w:tcPr>
          <w:p w14:paraId="1F844CEF" w14:textId="77777777" w:rsidR="004D1935" w:rsidRPr="002E1EAA" w:rsidRDefault="004D1935" w:rsidP="00E24DC9">
            <w:pPr>
              <w:rPr>
                <w:rFonts w:ascii="Calibri" w:hAnsi="Calibri" w:cs="Calibri"/>
                <w:color w:val="000000"/>
                <w:sz w:val="15"/>
                <w:szCs w:val="15"/>
              </w:rPr>
            </w:pPr>
          </w:p>
        </w:tc>
        <w:tc>
          <w:tcPr>
            <w:tcW w:w="2127" w:type="dxa"/>
            <w:vMerge/>
          </w:tcPr>
          <w:p w14:paraId="31883AAD" w14:textId="77777777" w:rsidR="004D1935" w:rsidRDefault="004D1935" w:rsidP="00E24DC9"/>
        </w:tc>
        <w:tc>
          <w:tcPr>
            <w:tcW w:w="992" w:type="dxa"/>
            <w:vMerge/>
          </w:tcPr>
          <w:p w14:paraId="523FCE1F" w14:textId="77777777" w:rsidR="004D1935" w:rsidRDefault="004D1935" w:rsidP="00E24DC9"/>
        </w:tc>
        <w:tc>
          <w:tcPr>
            <w:tcW w:w="5867" w:type="dxa"/>
            <w:vMerge/>
          </w:tcPr>
          <w:p w14:paraId="74D35BD7" w14:textId="77777777" w:rsidR="004D1935" w:rsidRDefault="004D1935" w:rsidP="00E24DC9"/>
        </w:tc>
      </w:tr>
      <w:tr w:rsidR="004D1935" w14:paraId="3A20B061" w14:textId="77777777" w:rsidTr="00E24DC9">
        <w:tc>
          <w:tcPr>
            <w:tcW w:w="1479" w:type="dxa"/>
            <w:vMerge/>
          </w:tcPr>
          <w:p w14:paraId="5ABDCA72" w14:textId="77777777" w:rsidR="004D1935" w:rsidRDefault="004D1935" w:rsidP="00E24DC9"/>
        </w:tc>
        <w:tc>
          <w:tcPr>
            <w:tcW w:w="798" w:type="dxa"/>
            <w:tcBorders>
              <w:top w:val="nil"/>
              <w:bottom w:val="nil"/>
            </w:tcBorders>
            <w:vAlign w:val="center"/>
          </w:tcPr>
          <w:p w14:paraId="3E0C676F"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123.9708</w:t>
            </w:r>
          </w:p>
        </w:tc>
        <w:tc>
          <w:tcPr>
            <w:tcW w:w="1687" w:type="dxa"/>
            <w:vMerge/>
            <w:vAlign w:val="bottom"/>
          </w:tcPr>
          <w:p w14:paraId="7CE8D600" w14:textId="77777777" w:rsidR="004D1935" w:rsidRPr="002E1EAA" w:rsidRDefault="004D1935" w:rsidP="00E24DC9">
            <w:pPr>
              <w:rPr>
                <w:rFonts w:ascii="Calibri" w:hAnsi="Calibri" w:cs="Calibri"/>
                <w:color w:val="000000"/>
                <w:sz w:val="15"/>
                <w:szCs w:val="15"/>
              </w:rPr>
            </w:pPr>
          </w:p>
        </w:tc>
        <w:tc>
          <w:tcPr>
            <w:tcW w:w="2127" w:type="dxa"/>
            <w:vMerge/>
          </w:tcPr>
          <w:p w14:paraId="0B66C58C" w14:textId="77777777" w:rsidR="004D1935" w:rsidRDefault="004D1935" w:rsidP="00E24DC9"/>
        </w:tc>
        <w:tc>
          <w:tcPr>
            <w:tcW w:w="992" w:type="dxa"/>
            <w:vMerge/>
          </w:tcPr>
          <w:p w14:paraId="00B555F8" w14:textId="77777777" w:rsidR="004D1935" w:rsidRDefault="004D1935" w:rsidP="00E24DC9"/>
        </w:tc>
        <w:tc>
          <w:tcPr>
            <w:tcW w:w="5867" w:type="dxa"/>
            <w:vMerge/>
          </w:tcPr>
          <w:p w14:paraId="47AFB0DC" w14:textId="77777777" w:rsidR="004D1935" w:rsidRDefault="004D1935" w:rsidP="00E24DC9"/>
        </w:tc>
      </w:tr>
      <w:tr w:rsidR="004D1935" w14:paraId="601D60DF" w14:textId="77777777" w:rsidTr="00E24DC9">
        <w:tc>
          <w:tcPr>
            <w:tcW w:w="1479" w:type="dxa"/>
            <w:vMerge/>
          </w:tcPr>
          <w:p w14:paraId="131B50FB" w14:textId="77777777" w:rsidR="004D1935" w:rsidRDefault="004D1935" w:rsidP="00E24DC9"/>
        </w:tc>
        <w:tc>
          <w:tcPr>
            <w:tcW w:w="798" w:type="dxa"/>
            <w:tcBorders>
              <w:top w:val="nil"/>
              <w:bottom w:val="nil"/>
            </w:tcBorders>
            <w:vAlign w:val="center"/>
          </w:tcPr>
          <w:p w14:paraId="19FE7B90"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124.0273</w:t>
            </w:r>
          </w:p>
        </w:tc>
        <w:tc>
          <w:tcPr>
            <w:tcW w:w="1687" w:type="dxa"/>
            <w:vMerge/>
            <w:vAlign w:val="bottom"/>
          </w:tcPr>
          <w:p w14:paraId="52D6F6A3" w14:textId="77777777" w:rsidR="004D1935" w:rsidRPr="002E1EAA" w:rsidRDefault="004D1935" w:rsidP="00E24DC9">
            <w:pPr>
              <w:rPr>
                <w:rFonts w:ascii="Calibri" w:hAnsi="Calibri" w:cs="Calibri"/>
                <w:color w:val="000000"/>
                <w:sz w:val="15"/>
                <w:szCs w:val="15"/>
              </w:rPr>
            </w:pPr>
          </w:p>
        </w:tc>
        <w:tc>
          <w:tcPr>
            <w:tcW w:w="2127" w:type="dxa"/>
            <w:vMerge/>
          </w:tcPr>
          <w:p w14:paraId="1BC0B551" w14:textId="77777777" w:rsidR="004D1935" w:rsidRDefault="004D1935" w:rsidP="00E24DC9"/>
        </w:tc>
        <w:tc>
          <w:tcPr>
            <w:tcW w:w="992" w:type="dxa"/>
            <w:vMerge/>
          </w:tcPr>
          <w:p w14:paraId="4AF89FB2" w14:textId="77777777" w:rsidR="004D1935" w:rsidRDefault="004D1935" w:rsidP="00E24DC9"/>
        </w:tc>
        <w:tc>
          <w:tcPr>
            <w:tcW w:w="5867" w:type="dxa"/>
            <w:vMerge/>
          </w:tcPr>
          <w:p w14:paraId="3F133D24" w14:textId="77777777" w:rsidR="004D1935" w:rsidRDefault="004D1935" w:rsidP="00E24DC9"/>
        </w:tc>
      </w:tr>
      <w:tr w:rsidR="004D1935" w14:paraId="5829B9E9" w14:textId="77777777" w:rsidTr="00E24DC9">
        <w:tc>
          <w:tcPr>
            <w:tcW w:w="1479" w:type="dxa"/>
            <w:vMerge/>
          </w:tcPr>
          <w:p w14:paraId="621A4033" w14:textId="77777777" w:rsidR="004D1935" w:rsidRDefault="004D1935" w:rsidP="00E24DC9"/>
        </w:tc>
        <w:tc>
          <w:tcPr>
            <w:tcW w:w="798" w:type="dxa"/>
            <w:tcBorders>
              <w:top w:val="nil"/>
              <w:bottom w:val="nil"/>
            </w:tcBorders>
            <w:vAlign w:val="center"/>
          </w:tcPr>
          <w:p w14:paraId="241DC1AA"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123.9363</w:t>
            </w:r>
          </w:p>
        </w:tc>
        <w:tc>
          <w:tcPr>
            <w:tcW w:w="1687" w:type="dxa"/>
            <w:vMerge/>
            <w:vAlign w:val="bottom"/>
          </w:tcPr>
          <w:p w14:paraId="249B6822" w14:textId="77777777" w:rsidR="004D1935" w:rsidRPr="002E1EAA" w:rsidRDefault="004D1935" w:rsidP="00E24DC9">
            <w:pPr>
              <w:rPr>
                <w:rFonts w:ascii="Calibri" w:hAnsi="Calibri" w:cs="Calibri"/>
                <w:color w:val="000000"/>
                <w:sz w:val="15"/>
                <w:szCs w:val="15"/>
              </w:rPr>
            </w:pPr>
          </w:p>
        </w:tc>
        <w:tc>
          <w:tcPr>
            <w:tcW w:w="2127" w:type="dxa"/>
            <w:vMerge/>
          </w:tcPr>
          <w:p w14:paraId="78F69DDD" w14:textId="77777777" w:rsidR="004D1935" w:rsidRDefault="004D1935" w:rsidP="00E24DC9"/>
        </w:tc>
        <w:tc>
          <w:tcPr>
            <w:tcW w:w="992" w:type="dxa"/>
            <w:vMerge/>
          </w:tcPr>
          <w:p w14:paraId="28132C5C" w14:textId="77777777" w:rsidR="004D1935" w:rsidRDefault="004D1935" w:rsidP="00E24DC9"/>
        </w:tc>
        <w:tc>
          <w:tcPr>
            <w:tcW w:w="5867" w:type="dxa"/>
            <w:vMerge/>
          </w:tcPr>
          <w:p w14:paraId="02998FAE" w14:textId="77777777" w:rsidR="004D1935" w:rsidRDefault="004D1935" w:rsidP="00E24DC9"/>
        </w:tc>
      </w:tr>
      <w:tr w:rsidR="004D1935" w14:paraId="3332C81B" w14:textId="77777777" w:rsidTr="00E24DC9">
        <w:tc>
          <w:tcPr>
            <w:tcW w:w="1479" w:type="dxa"/>
            <w:vMerge/>
          </w:tcPr>
          <w:p w14:paraId="53CE0639" w14:textId="77777777" w:rsidR="004D1935" w:rsidRDefault="004D1935" w:rsidP="00E24DC9"/>
        </w:tc>
        <w:tc>
          <w:tcPr>
            <w:tcW w:w="798" w:type="dxa"/>
            <w:tcBorders>
              <w:top w:val="nil"/>
              <w:bottom w:val="nil"/>
            </w:tcBorders>
            <w:vAlign w:val="center"/>
          </w:tcPr>
          <w:p w14:paraId="21D19CBD"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123.9832</w:t>
            </w:r>
          </w:p>
        </w:tc>
        <w:tc>
          <w:tcPr>
            <w:tcW w:w="1687" w:type="dxa"/>
            <w:vMerge/>
            <w:vAlign w:val="bottom"/>
          </w:tcPr>
          <w:p w14:paraId="0176C4F2" w14:textId="77777777" w:rsidR="004D1935" w:rsidRPr="002E1EAA" w:rsidRDefault="004D1935" w:rsidP="00E24DC9">
            <w:pPr>
              <w:rPr>
                <w:rFonts w:ascii="Calibri" w:hAnsi="Calibri" w:cs="Calibri"/>
                <w:color w:val="000000"/>
                <w:sz w:val="15"/>
                <w:szCs w:val="15"/>
              </w:rPr>
            </w:pPr>
          </w:p>
        </w:tc>
        <w:tc>
          <w:tcPr>
            <w:tcW w:w="2127" w:type="dxa"/>
            <w:vMerge/>
          </w:tcPr>
          <w:p w14:paraId="446E39ED" w14:textId="77777777" w:rsidR="004D1935" w:rsidRDefault="004D1935" w:rsidP="00E24DC9"/>
        </w:tc>
        <w:tc>
          <w:tcPr>
            <w:tcW w:w="992" w:type="dxa"/>
            <w:vMerge/>
          </w:tcPr>
          <w:p w14:paraId="53B113E9" w14:textId="77777777" w:rsidR="004D1935" w:rsidRDefault="004D1935" w:rsidP="00E24DC9"/>
        </w:tc>
        <w:tc>
          <w:tcPr>
            <w:tcW w:w="5867" w:type="dxa"/>
            <w:vMerge/>
          </w:tcPr>
          <w:p w14:paraId="4B55BCA4" w14:textId="77777777" w:rsidR="004D1935" w:rsidRDefault="004D1935" w:rsidP="00E24DC9"/>
        </w:tc>
      </w:tr>
      <w:tr w:rsidR="004D1935" w14:paraId="04D1CD1E" w14:textId="77777777" w:rsidTr="00E24DC9">
        <w:tc>
          <w:tcPr>
            <w:tcW w:w="1479" w:type="dxa"/>
            <w:vMerge/>
          </w:tcPr>
          <w:p w14:paraId="3E337632" w14:textId="77777777" w:rsidR="004D1935" w:rsidRDefault="004D1935" w:rsidP="00E24DC9"/>
        </w:tc>
        <w:tc>
          <w:tcPr>
            <w:tcW w:w="798" w:type="dxa"/>
            <w:tcBorders>
              <w:top w:val="nil"/>
              <w:bottom w:val="nil"/>
            </w:tcBorders>
            <w:vAlign w:val="center"/>
          </w:tcPr>
          <w:p w14:paraId="574A3374"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124.0149</w:t>
            </w:r>
          </w:p>
        </w:tc>
        <w:tc>
          <w:tcPr>
            <w:tcW w:w="1687" w:type="dxa"/>
            <w:vMerge/>
            <w:vAlign w:val="bottom"/>
          </w:tcPr>
          <w:p w14:paraId="54A4DA6E" w14:textId="77777777" w:rsidR="004D1935" w:rsidRPr="002E1EAA" w:rsidRDefault="004D1935" w:rsidP="00E24DC9">
            <w:pPr>
              <w:rPr>
                <w:rFonts w:ascii="Calibri" w:hAnsi="Calibri" w:cs="Calibri"/>
                <w:color w:val="000000"/>
                <w:sz w:val="15"/>
                <w:szCs w:val="15"/>
              </w:rPr>
            </w:pPr>
          </w:p>
        </w:tc>
        <w:tc>
          <w:tcPr>
            <w:tcW w:w="2127" w:type="dxa"/>
            <w:vMerge/>
          </w:tcPr>
          <w:p w14:paraId="535CA060" w14:textId="77777777" w:rsidR="004D1935" w:rsidRDefault="004D1935" w:rsidP="00E24DC9"/>
        </w:tc>
        <w:tc>
          <w:tcPr>
            <w:tcW w:w="992" w:type="dxa"/>
            <w:vMerge/>
          </w:tcPr>
          <w:p w14:paraId="23816ABA" w14:textId="77777777" w:rsidR="004D1935" w:rsidRDefault="004D1935" w:rsidP="00E24DC9"/>
        </w:tc>
        <w:tc>
          <w:tcPr>
            <w:tcW w:w="5867" w:type="dxa"/>
            <w:vMerge/>
          </w:tcPr>
          <w:p w14:paraId="36E831F8" w14:textId="77777777" w:rsidR="004D1935" w:rsidRDefault="004D1935" w:rsidP="00E24DC9"/>
        </w:tc>
      </w:tr>
      <w:tr w:rsidR="004D1935" w14:paraId="56424DAC" w14:textId="77777777" w:rsidTr="00E24DC9">
        <w:tc>
          <w:tcPr>
            <w:tcW w:w="1479" w:type="dxa"/>
            <w:vMerge/>
          </w:tcPr>
          <w:p w14:paraId="7FB69917" w14:textId="77777777" w:rsidR="004D1935" w:rsidRDefault="004D1935" w:rsidP="00E24DC9"/>
        </w:tc>
        <w:tc>
          <w:tcPr>
            <w:tcW w:w="798" w:type="dxa"/>
            <w:tcBorders>
              <w:top w:val="nil"/>
              <w:bottom w:val="nil"/>
            </w:tcBorders>
            <w:vAlign w:val="center"/>
          </w:tcPr>
          <w:p w14:paraId="1B1BF31B"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123.9284</w:t>
            </w:r>
          </w:p>
        </w:tc>
        <w:tc>
          <w:tcPr>
            <w:tcW w:w="1687" w:type="dxa"/>
            <w:vMerge/>
            <w:vAlign w:val="bottom"/>
          </w:tcPr>
          <w:p w14:paraId="1A4A0E14" w14:textId="77777777" w:rsidR="004D1935" w:rsidRPr="002E1EAA" w:rsidRDefault="004D1935" w:rsidP="00E24DC9">
            <w:pPr>
              <w:rPr>
                <w:rFonts w:ascii="Calibri" w:hAnsi="Calibri" w:cs="Calibri"/>
                <w:color w:val="000000"/>
                <w:sz w:val="15"/>
                <w:szCs w:val="15"/>
              </w:rPr>
            </w:pPr>
          </w:p>
        </w:tc>
        <w:tc>
          <w:tcPr>
            <w:tcW w:w="2127" w:type="dxa"/>
            <w:vMerge/>
          </w:tcPr>
          <w:p w14:paraId="260AE2BE" w14:textId="77777777" w:rsidR="004D1935" w:rsidRDefault="004D1935" w:rsidP="00E24DC9"/>
        </w:tc>
        <w:tc>
          <w:tcPr>
            <w:tcW w:w="992" w:type="dxa"/>
            <w:vMerge/>
          </w:tcPr>
          <w:p w14:paraId="0AA965D3" w14:textId="77777777" w:rsidR="004D1935" w:rsidRDefault="004D1935" w:rsidP="00E24DC9"/>
        </w:tc>
        <w:tc>
          <w:tcPr>
            <w:tcW w:w="5867" w:type="dxa"/>
            <w:vMerge/>
          </w:tcPr>
          <w:p w14:paraId="1FB3F81E" w14:textId="77777777" w:rsidR="004D1935" w:rsidRDefault="004D1935" w:rsidP="00E24DC9"/>
        </w:tc>
      </w:tr>
      <w:tr w:rsidR="004D1935" w14:paraId="59059FE5" w14:textId="77777777" w:rsidTr="00E24DC9">
        <w:tc>
          <w:tcPr>
            <w:tcW w:w="1479" w:type="dxa"/>
            <w:vMerge/>
          </w:tcPr>
          <w:p w14:paraId="48AA90DB" w14:textId="77777777" w:rsidR="004D1935" w:rsidRDefault="004D1935" w:rsidP="00E24DC9"/>
        </w:tc>
        <w:tc>
          <w:tcPr>
            <w:tcW w:w="798" w:type="dxa"/>
            <w:tcBorders>
              <w:top w:val="nil"/>
              <w:bottom w:val="nil"/>
            </w:tcBorders>
            <w:vAlign w:val="center"/>
          </w:tcPr>
          <w:p w14:paraId="52840570"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123.9549</w:t>
            </w:r>
          </w:p>
        </w:tc>
        <w:tc>
          <w:tcPr>
            <w:tcW w:w="1687" w:type="dxa"/>
            <w:vMerge/>
            <w:vAlign w:val="bottom"/>
          </w:tcPr>
          <w:p w14:paraId="2DD17866" w14:textId="77777777" w:rsidR="004D1935" w:rsidRPr="002E1EAA" w:rsidRDefault="004D1935" w:rsidP="00E24DC9">
            <w:pPr>
              <w:rPr>
                <w:rFonts w:ascii="Calibri" w:hAnsi="Calibri" w:cs="Calibri"/>
                <w:color w:val="000000"/>
                <w:sz w:val="15"/>
                <w:szCs w:val="15"/>
              </w:rPr>
            </w:pPr>
          </w:p>
        </w:tc>
        <w:tc>
          <w:tcPr>
            <w:tcW w:w="2127" w:type="dxa"/>
            <w:vMerge/>
          </w:tcPr>
          <w:p w14:paraId="5804AB4F" w14:textId="77777777" w:rsidR="004D1935" w:rsidRDefault="004D1935" w:rsidP="00E24DC9"/>
        </w:tc>
        <w:tc>
          <w:tcPr>
            <w:tcW w:w="992" w:type="dxa"/>
            <w:vMerge/>
          </w:tcPr>
          <w:p w14:paraId="462CCFC3" w14:textId="77777777" w:rsidR="004D1935" w:rsidRDefault="004D1935" w:rsidP="00E24DC9"/>
        </w:tc>
        <w:tc>
          <w:tcPr>
            <w:tcW w:w="5867" w:type="dxa"/>
            <w:vMerge/>
          </w:tcPr>
          <w:p w14:paraId="402B526B" w14:textId="77777777" w:rsidR="004D1935" w:rsidRDefault="004D1935" w:rsidP="00E24DC9"/>
        </w:tc>
      </w:tr>
      <w:tr w:rsidR="004D1935" w14:paraId="453B007C" w14:textId="77777777" w:rsidTr="00E24DC9">
        <w:tc>
          <w:tcPr>
            <w:tcW w:w="1479" w:type="dxa"/>
            <w:vMerge/>
          </w:tcPr>
          <w:p w14:paraId="47D409E7" w14:textId="77777777" w:rsidR="004D1935" w:rsidRDefault="004D1935" w:rsidP="00E24DC9"/>
        </w:tc>
        <w:tc>
          <w:tcPr>
            <w:tcW w:w="798" w:type="dxa"/>
            <w:tcBorders>
              <w:top w:val="nil"/>
              <w:bottom w:val="nil"/>
            </w:tcBorders>
            <w:vAlign w:val="center"/>
          </w:tcPr>
          <w:p w14:paraId="2C8CCA78"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123.9814</w:t>
            </w:r>
          </w:p>
        </w:tc>
        <w:tc>
          <w:tcPr>
            <w:tcW w:w="1687" w:type="dxa"/>
            <w:vMerge/>
            <w:vAlign w:val="bottom"/>
          </w:tcPr>
          <w:p w14:paraId="3040387C" w14:textId="77777777" w:rsidR="004D1935" w:rsidRPr="002E1EAA" w:rsidRDefault="004D1935" w:rsidP="00E24DC9">
            <w:pPr>
              <w:rPr>
                <w:rFonts w:ascii="Calibri" w:hAnsi="Calibri" w:cs="Calibri"/>
                <w:color w:val="000000"/>
                <w:sz w:val="15"/>
                <w:szCs w:val="15"/>
              </w:rPr>
            </w:pPr>
          </w:p>
        </w:tc>
        <w:tc>
          <w:tcPr>
            <w:tcW w:w="2127" w:type="dxa"/>
            <w:vMerge/>
          </w:tcPr>
          <w:p w14:paraId="2AC3AD30" w14:textId="77777777" w:rsidR="004D1935" w:rsidRDefault="004D1935" w:rsidP="00E24DC9"/>
        </w:tc>
        <w:tc>
          <w:tcPr>
            <w:tcW w:w="992" w:type="dxa"/>
            <w:vMerge/>
          </w:tcPr>
          <w:p w14:paraId="2FD7D07F" w14:textId="77777777" w:rsidR="004D1935" w:rsidRDefault="004D1935" w:rsidP="00E24DC9"/>
        </w:tc>
        <w:tc>
          <w:tcPr>
            <w:tcW w:w="5867" w:type="dxa"/>
            <w:vMerge/>
          </w:tcPr>
          <w:p w14:paraId="05666B9C" w14:textId="77777777" w:rsidR="004D1935" w:rsidRDefault="004D1935" w:rsidP="00E24DC9"/>
        </w:tc>
      </w:tr>
      <w:tr w:rsidR="004D1935" w14:paraId="12B52156" w14:textId="77777777" w:rsidTr="00E24DC9">
        <w:tc>
          <w:tcPr>
            <w:tcW w:w="1479" w:type="dxa"/>
            <w:vMerge/>
          </w:tcPr>
          <w:p w14:paraId="038E7376" w14:textId="77777777" w:rsidR="004D1935" w:rsidRDefault="004D1935" w:rsidP="00E24DC9"/>
        </w:tc>
        <w:tc>
          <w:tcPr>
            <w:tcW w:w="798" w:type="dxa"/>
            <w:tcBorders>
              <w:top w:val="nil"/>
              <w:bottom w:val="nil"/>
            </w:tcBorders>
            <w:vAlign w:val="center"/>
          </w:tcPr>
          <w:p w14:paraId="0AF02440"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124.0591</w:t>
            </w:r>
          </w:p>
        </w:tc>
        <w:tc>
          <w:tcPr>
            <w:tcW w:w="1687" w:type="dxa"/>
            <w:vMerge/>
            <w:vAlign w:val="bottom"/>
          </w:tcPr>
          <w:p w14:paraId="39AB6F6F" w14:textId="77777777" w:rsidR="004D1935" w:rsidRPr="002E1EAA" w:rsidRDefault="004D1935" w:rsidP="00E24DC9">
            <w:pPr>
              <w:rPr>
                <w:rFonts w:ascii="Calibri" w:hAnsi="Calibri" w:cs="Calibri"/>
                <w:color w:val="000000"/>
                <w:sz w:val="15"/>
                <w:szCs w:val="15"/>
              </w:rPr>
            </w:pPr>
          </w:p>
        </w:tc>
        <w:tc>
          <w:tcPr>
            <w:tcW w:w="2127" w:type="dxa"/>
            <w:vMerge/>
          </w:tcPr>
          <w:p w14:paraId="00DEDA68" w14:textId="77777777" w:rsidR="004D1935" w:rsidRDefault="004D1935" w:rsidP="00E24DC9"/>
        </w:tc>
        <w:tc>
          <w:tcPr>
            <w:tcW w:w="992" w:type="dxa"/>
            <w:vMerge/>
          </w:tcPr>
          <w:p w14:paraId="006D7C89" w14:textId="77777777" w:rsidR="004D1935" w:rsidRDefault="004D1935" w:rsidP="00E24DC9"/>
        </w:tc>
        <w:tc>
          <w:tcPr>
            <w:tcW w:w="5867" w:type="dxa"/>
            <w:vMerge/>
          </w:tcPr>
          <w:p w14:paraId="034F4274" w14:textId="77777777" w:rsidR="004D1935" w:rsidRDefault="004D1935" w:rsidP="00E24DC9"/>
        </w:tc>
      </w:tr>
      <w:tr w:rsidR="004D1935" w14:paraId="040AD7EC" w14:textId="77777777" w:rsidTr="00E24DC9">
        <w:tc>
          <w:tcPr>
            <w:tcW w:w="1479" w:type="dxa"/>
            <w:vMerge/>
          </w:tcPr>
          <w:p w14:paraId="49CCAC7E" w14:textId="77777777" w:rsidR="004D1935" w:rsidRDefault="004D1935" w:rsidP="00E24DC9"/>
        </w:tc>
        <w:tc>
          <w:tcPr>
            <w:tcW w:w="798" w:type="dxa"/>
            <w:tcBorders>
              <w:top w:val="nil"/>
              <w:bottom w:val="nil"/>
            </w:tcBorders>
            <w:vAlign w:val="center"/>
          </w:tcPr>
          <w:p w14:paraId="4C022CBF"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124.0158</w:t>
            </w:r>
          </w:p>
        </w:tc>
        <w:tc>
          <w:tcPr>
            <w:tcW w:w="1687" w:type="dxa"/>
            <w:vMerge/>
            <w:vAlign w:val="bottom"/>
          </w:tcPr>
          <w:p w14:paraId="0A7B8676" w14:textId="77777777" w:rsidR="004D1935" w:rsidRPr="002E1EAA" w:rsidRDefault="004D1935" w:rsidP="00E24DC9">
            <w:pPr>
              <w:rPr>
                <w:rFonts w:ascii="Calibri" w:hAnsi="Calibri" w:cs="Calibri"/>
                <w:color w:val="000000"/>
                <w:sz w:val="15"/>
                <w:szCs w:val="15"/>
              </w:rPr>
            </w:pPr>
          </w:p>
        </w:tc>
        <w:tc>
          <w:tcPr>
            <w:tcW w:w="2127" w:type="dxa"/>
            <w:vMerge/>
          </w:tcPr>
          <w:p w14:paraId="3FE225FF" w14:textId="77777777" w:rsidR="004D1935" w:rsidRDefault="004D1935" w:rsidP="00E24DC9"/>
        </w:tc>
        <w:tc>
          <w:tcPr>
            <w:tcW w:w="992" w:type="dxa"/>
            <w:vMerge/>
          </w:tcPr>
          <w:p w14:paraId="61D88C44" w14:textId="77777777" w:rsidR="004D1935" w:rsidRDefault="004D1935" w:rsidP="00E24DC9"/>
        </w:tc>
        <w:tc>
          <w:tcPr>
            <w:tcW w:w="5867" w:type="dxa"/>
            <w:vMerge/>
          </w:tcPr>
          <w:p w14:paraId="4B89E45E" w14:textId="77777777" w:rsidR="004D1935" w:rsidRDefault="004D1935" w:rsidP="00E24DC9"/>
        </w:tc>
      </w:tr>
      <w:tr w:rsidR="004D1935" w14:paraId="031701B6" w14:textId="77777777" w:rsidTr="00E24DC9">
        <w:tc>
          <w:tcPr>
            <w:tcW w:w="1479" w:type="dxa"/>
            <w:vMerge/>
          </w:tcPr>
          <w:p w14:paraId="2F0A302F" w14:textId="77777777" w:rsidR="004D1935" w:rsidRDefault="004D1935" w:rsidP="00E24DC9"/>
        </w:tc>
        <w:tc>
          <w:tcPr>
            <w:tcW w:w="798" w:type="dxa"/>
            <w:tcBorders>
              <w:top w:val="nil"/>
              <w:bottom w:val="nil"/>
            </w:tcBorders>
            <w:vAlign w:val="center"/>
          </w:tcPr>
          <w:p w14:paraId="34E73E70"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123.9558</w:t>
            </w:r>
          </w:p>
        </w:tc>
        <w:tc>
          <w:tcPr>
            <w:tcW w:w="1687" w:type="dxa"/>
            <w:vMerge/>
            <w:vAlign w:val="bottom"/>
          </w:tcPr>
          <w:p w14:paraId="26530D7B" w14:textId="77777777" w:rsidR="004D1935" w:rsidRPr="002E1EAA" w:rsidRDefault="004D1935" w:rsidP="00E24DC9">
            <w:pPr>
              <w:rPr>
                <w:rFonts w:ascii="Calibri" w:hAnsi="Calibri" w:cs="Calibri"/>
                <w:color w:val="000000"/>
                <w:sz w:val="15"/>
                <w:szCs w:val="15"/>
              </w:rPr>
            </w:pPr>
          </w:p>
        </w:tc>
        <w:tc>
          <w:tcPr>
            <w:tcW w:w="2127" w:type="dxa"/>
            <w:vMerge/>
          </w:tcPr>
          <w:p w14:paraId="5B38E366" w14:textId="77777777" w:rsidR="004D1935" w:rsidRDefault="004D1935" w:rsidP="00E24DC9"/>
        </w:tc>
        <w:tc>
          <w:tcPr>
            <w:tcW w:w="992" w:type="dxa"/>
            <w:vMerge/>
          </w:tcPr>
          <w:p w14:paraId="3078B758" w14:textId="77777777" w:rsidR="004D1935" w:rsidRDefault="004D1935" w:rsidP="00E24DC9"/>
        </w:tc>
        <w:tc>
          <w:tcPr>
            <w:tcW w:w="5867" w:type="dxa"/>
            <w:vMerge/>
          </w:tcPr>
          <w:p w14:paraId="221E650A" w14:textId="77777777" w:rsidR="004D1935" w:rsidRDefault="004D1935" w:rsidP="00E24DC9"/>
        </w:tc>
      </w:tr>
      <w:tr w:rsidR="004D1935" w14:paraId="79479E9B" w14:textId="77777777" w:rsidTr="00E24DC9">
        <w:tc>
          <w:tcPr>
            <w:tcW w:w="1479" w:type="dxa"/>
            <w:vMerge/>
          </w:tcPr>
          <w:p w14:paraId="24A944C3" w14:textId="77777777" w:rsidR="004D1935" w:rsidRDefault="004D1935" w:rsidP="00E24DC9"/>
        </w:tc>
        <w:tc>
          <w:tcPr>
            <w:tcW w:w="798" w:type="dxa"/>
            <w:tcBorders>
              <w:top w:val="nil"/>
              <w:bottom w:val="nil"/>
            </w:tcBorders>
            <w:vAlign w:val="center"/>
          </w:tcPr>
          <w:p w14:paraId="0CBFB5AD"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124.0300</w:t>
            </w:r>
          </w:p>
        </w:tc>
        <w:tc>
          <w:tcPr>
            <w:tcW w:w="1687" w:type="dxa"/>
            <w:vMerge/>
            <w:vAlign w:val="bottom"/>
          </w:tcPr>
          <w:p w14:paraId="31A9673E" w14:textId="77777777" w:rsidR="004D1935" w:rsidRPr="002E1EAA" w:rsidRDefault="004D1935" w:rsidP="00E24DC9">
            <w:pPr>
              <w:rPr>
                <w:rFonts w:ascii="Calibri" w:hAnsi="Calibri" w:cs="Calibri"/>
                <w:color w:val="000000"/>
                <w:sz w:val="15"/>
                <w:szCs w:val="15"/>
              </w:rPr>
            </w:pPr>
          </w:p>
        </w:tc>
        <w:tc>
          <w:tcPr>
            <w:tcW w:w="2127" w:type="dxa"/>
            <w:vMerge/>
          </w:tcPr>
          <w:p w14:paraId="4AEA949B" w14:textId="77777777" w:rsidR="004D1935" w:rsidRDefault="004D1935" w:rsidP="00E24DC9"/>
        </w:tc>
        <w:tc>
          <w:tcPr>
            <w:tcW w:w="992" w:type="dxa"/>
            <w:vMerge/>
          </w:tcPr>
          <w:p w14:paraId="2453EB68" w14:textId="77777777" w:rsidR="004D1935" w:rsidRDefault="004D1935" w:rsidP="00E24DC9"/>
        </w:tc>
        <w:tc>
          <w:tcPr>
            <w:tcW w:w="5867" w:type="dxa"/>
            <w:vMerge/>
          </w:tcPr>
          <w:p w14:paraId="427ABA3D" w14:textId="77777777" w:rsidR="004D1935" w:rsidRDefault="004D1935" w:rsidP="00E24DC9"/>
        </w:tc>
      </w:tr>
      <w:tr w:rsidR="004D1935" w14:paraId="5795F851" w14:textId="77777777" w:rsidTr="00E24DC9">
        <w:tc>
          <w:tcPr>
            <w:tcW w:w="1479" w:type="dxa"/>
            <w:vMerge/>
          </w:tcPr>
          <w:p w14:paraId="4B9CA874" w14:textId="77777777" w:rsidR="004D1935" w:rsidRDefault="004D1935" w:rsidP="00E24DC9"/>
        </w:tc>
        <w:tc>
          <w:tcPr>
            <w:tcW w:w="798" w:type="dxa"/>
            <w:tcBorders>
              <w:top w:val="nil"/>
              <w:bottom w:val="nil"/>
            </w:tcBorders>
            <w:vAlign w:val="center"/>
          </w:tcPr>
          <w:p w14:paraId="53F745A1"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124.0856</w:t>
            </w:r>
          </w:p>
        </w:tc>
        <w:tc>
          <w:tcPr>
            <w:tcW w:w="1687" w:type="dxa"/>
            <w:vMerge/>
            <w:vAlign w:val="bottom"/>
          </w:tcPr>
          <w:p w14:paraId="50370302" w14:textId="77777777" w:rsidR="004D1935" w:rsidRPr="002E1EAA" w:rsidRDefault="004D1935" w:rsidP="00E24DC9">
            <w:pPr>
              <w:rPr>
                <w:rFonts w:ascii="Calibri" w:hAnsi="Calibri" w:cs="Calibri"/>
                <w:color w:val="000000"/>
                <w:sz w:val="15"/>
                <w:szCs w:val="15"/>
              </w:rPr>
            </w:pPr>
          </w:p>
        </w:tc>
        <w:tc>
          <w:tcPr>
            <w:tcW w:w="2127" w:type="dxa"/>
            <w:vMerge/>
          </w:tcPr>
          <w:p w14:paraId="697B558A" w14:textId="77777777" w:rsidR="004D1935" w:rsidRDefault="004D1935" w:rsidP="00E24DC9"/>
        </w:tc>
        <w:tc>
          <w:tcPr>
            <w:tcW w:w="992" w:type="dxa"/>
            <w:vMerge/>
          </w:tcPr>
          <w:p w14:paraId="3B8D8BF7" w14:textId="77777777" w:rsidR="004D1935" w:rsidRDefault="004D1935" w:rsidP="00E24DC9"/>
        </w:tc>
        <w:tc>
          <w:tcPr>
            <w:tcW w:w="5867" w:type="dxa"/>
            <w:vMerge/>
          </w:tcPr>
          <w:p w14:paraId="403F4DBC" w14:textId="77777777" w:rsidR="004D1935" w:rsidRDefault="004D1935" w:rsidP="00E24DC9"/>
        </w:tc>
      </w:tr>
      <w:tr w:rsidR="004D1935" w14:paraId="50E77046" w14:textId="77777777" w:rsidTr="00E24DC9">
        <w:tc>
          <w:tcPr>
            <w:tcW w:w="1479" w:type="dxa"/>
            <w:vMerge/>
          </w:tcPr>
          <w:p w14:paraId="2F641F28" w14:textId="77777777" w:rsidR="004D1935" w:rsidRDefault="004D1935" w:rsidP="00E24DC9"/>
        </w:tc>
        <w:tc>
          <w:tcPr>
            <w:tcW w:w="798" w:type="dxa"/>
            <w:tcBorders>
              <w:top w:val="nil"/>
              <w:bottom w:val="nil"/>
            </w:tcBorders>
            <w:vAlign w:val="center"/>
          </w:tcPr>
          <w:p w14:paraId="2F0C124E"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123.9248</w:t>
            </w:r>
          </w:p>
        </w:tc>
        <w:tc>
          <w:tcPr>
            <w:tcW w:w="1687" w:type="dxa"/>
            <w:vMerge/>
            <w:vAlign w:val="bottom"/>
          </w:tcPr>
          <w:p w14:paraId="7D270CD4" w14:textId="77777777" w:rsidR="004D1935" w:rsidRPr="002E1EAA" w:rsidRDefault="004D1935" w:rsidP="00E24DC9">
            <w:pPr>
              <w:rPr>
                <w:rFonts w:ascii="Calibri" w:hAnsi="Calibri" w:cs="Calibri"/>
                <w:color w:val="000000"/>
                <w:sz w:val="15"/>
                <w:szCs w:val="15"/>
              </w:rPr>
            </w:pPr>
          </w:p>
        </w:tc>
        <w:tc>
          <w:tcPr>
            <w:tcW w:w="2127" w:type="dxa"/>
            <w:vMerge/>
          </w:tcPr>
          <w:p w14:paraId="5E2420B1" w14:textId="77777777" w:rsidR="004D1935" w:rsidRDefault="004D1935" w:rsidP="00E24DC9"/>
        </w:tc>
        <w:tc>
          <w:tcPr>
            <w:tcW w:w="992" w:type="dxa"/>
            <w:vMerge/>
          </w:tcPr>
          <w:p w14:paraId="2B0713EC" w14:textId="77777777" w:rsidR="004D1935" w:rsidRDefault="004D1935" w:rsidP="00E24DC9"/>
        </w:tc>
        <w:tc>
          <w:tcPr>
            <w:tcW w:w="5867" w:type="dxa"/>
            <w:vMerge/>
          </w:tcPr>
          <w:p w14:paraId="4994149C" w14:textId="77777777" w:rsidR="004D1935" w:rsidRDefault="004D1935" w:rsidP="00E24DC9"/>
        </w:tc>
      </w:tr>
      <w:tr w:rsidR="004D1935" w14:paraId="73D5A3C2" w14:textId="77777777" w:rsidTr="00E24DC9">
        <w:tc>
          <w:tcPr>
            <w:tcW w:w="1479" w:type="dxa"/>
            <w:vMerge/>
          </w:tcPr>
          <w:p w14:paraId="59CB11D5" w14:textId="77777777" w:rsidR="004D1935" w:rsidRDefault="004D1935" w:rsidP="00E24DC9"/>
        </w:tc>
        <w:tc>
          <w:tcPr>
            <w:tcW w:w="798" w:type="dxa"/>
            <w:tcBorders>
              <w:top w:val="nil"/>
              <w:bottom w:val="nil"/>
            </w:tcBorders>
            <w:vAlign w:val="center"/>
          </w:tcPr>
          <w:p w14:paraId="5E780180"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123.9513</w:t>
            </w:r>
          </w:p>
        </w:tc>
        <w:tc>
          <w:tcPr>
            <w:tcW w:w="1687" w:type="dxa"/>
            <w:vMerge/>
            <w:vAlign w:val="bottom"/>
          </w:tcPr>
          <w:p w14:paraId="3CDE85A2" w14:textId="77777777" w:rsidR="004D1935" w:rsidRPr="002E1EAA" w:rsidRDefault="004D1935" w:rsidP="00E24DC9">
            <w:pPr>
              <w:rPr>
                <w:rFonts w:ascii="Calibri" w:hAnsi="Calibri" w:cs="Calibri"/>
                <w:color w:val="000000"/>
                <w:sz w:val="15"/>
                <w:szCs w:val="15"/>
              </w:rPr>
            </w:pPr>
          </w:p>
        </w:tc>
        <w:tc>
          <w:tcPr>
            <w:tcW w:w="2127" w:type="dxa"/>
            <w:vMerge/>
          </w:tcPr>
          <w:p w14:paraId="3FB9748A" w14:textId="77777777" w:rsidR="004D1935" w:rsidRDefault="004D1935" w:rsidP="00E24DC9"/>
        </w:tc>
        <w:tc>
          <w:tcPr>
            <w:tcW w:w="992" w:type="dxa"/>
            <w:vMerge/>
          </w:tcPr>
          <w:p w14:paraId="48B8A00F" w14:textId="77777777" w:rsidR="004D1935" w:rsidRDefault="004D1935" w:rsidP="00E24DC9"/>
        </w:tc>
        <w:tc>
          <w:tcPr>
            <w:tcW w:w="5867" w:type="dxa"/>
            <w:vMerge/>
          </w:tcPr>
          <w:p w14:paraId="6DE135B0" w14:textId="77777777" w:rsidR="004D1935" w:rsidRDefault="004D1935" w:rsidP="00E24DC9"/>
        </w:tc>
      </w:tr>
      <w:tr w:rsidR="004D1935" w14:paraId="5D55E551" w14:textId="77777777" w:rsidTr="00E24DC9">
        <w:tc>
          <w:tcPr>
            <w:tcW w:w="1479" w:type="dxa"/>
            <w:vMerge/>
          </w:tcPr>
          <w:p w14:paraId="65F84F5F" w14:textId="77777777" w:rsidR="004D1935" w:rsidRDefault="004D1935" w:rsidP="00E24DC9"/>
        </w:tc>
        <w:tc>
          <w:tcPr>
            <w:tcW w:w="798" w:type="dxa"/>
            <w:tcBorders>
              <w:top w:val="nil"/>
              <w:bottom w:val="nil"/>
            </w:tcBorders>
            <w:vAlign w:val="center"/>
          </w:tcPr>
          <w:p w14:paraId="0209E022"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123.9779</w:t>
            </w:r>
          </w:p>
        </w:tc>
        <w:tc>
          <w:tcPr>
            <w:tcW w:w="1687" w:type="dxa"/>
            <w:vMerge/>
            <w:vAlign w:val="bottom"/>
          </w:tcPr>
          <w:p w14:paraId="4FE82C0D" w14:textId="77777777" w:rsidR="004D1935" w:rsidRPr="002E1EAA" w:rsidRDefault="004D1935" w:rsidP="00E24DC9">
            <w:pPr>
              <w:rPr>
                <w:rFonts w:ascii="Calibri" w:hAnsi="Calibri" w:cs="Calibri"/>
                <w:color w:val="000000"/>
                <w:sz w:val="15"/>
                <w:szCs w:val="15"/>
              </w:rPr>
            </w:pPr>
          </w:p>
        </w:tc>
        <w:tc>
          <w:tcPr>
            <w:tcW w:w="2127" w:type="dxa"/>
            <w:vMerge/>
          </w:tcPr>
          <w:p w14:paraId="18EED54E" w14:textId="77777777" w:rsidR="004D1935" w:rsidRDefault="004D1935" w:rsidP="00E24DC9"/>
        </w:tc>
        <w:tc>
          <w:tcPr>
            <w:tcW w:w="992" w:type="dxa"/>
            <w:vMerge/>
          </w:tcPr>
          <w:p w14:paraId="1D79CF01" w14:textId="77777777" w:rsidR="004D1935" w:rsidRDefault="004D1935" w:rsidP="00E24DC9"/>
        </w:tc>
        <w:tc>
          <w:tcPr>
            <w:tcW w:w="5867" w:type="dxa"/>
            <w:vMerge/>
          </w:tcPr>
          <w:p w14:paraId="65071FA5" w14:textId="77777777" w:rsidR="004D1935" w:rsidRDefault="004D1935" w:rsidP="00E24DC9"/>
        </w:tc>
      </w:tr>
      <w:tr w:rsidR="004D1935" w14:paraId="4D238EF8" w14:textId="77777777" w:rsidTr="00E24DC9">
        <w:tc>
          <w:tcPr>
            <w:tcW w:w="1479" w:type="dxa"/>
            <w:vMerge/>
          </w:tcPr>
          <w:p w14:paraId="434B2F3D" w14:textId="77777777" w:rsidR="004D1935" w:rsidRDefault="004D1935" w:rsidP="00E24DC9"/>
        </w:tc>
        <w:tc>
          <w:tcPr>
            <w:tcW w:w="798" w:type="dxa"/>
            <w:tcBorders>
              <w:top w:val="nil"/>
              <w:bottom w:val="nil"/>
            </w:tcBorders>
            <w:vAlign w:val="center"/>
          </w:tcPr>
          <w:p w14:paraId="366016B2"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124.0044</w:t>
            </w:r>
          </w:p>
        </w:tc>
        <w:tc>
          <w:tcPr>
            <w:tcW w:w="1687" w:type="dxa"/>
            <w:vMerge/>
            <w:vAlign w:val="bottom"/>
          </w:tcPr>
          <w:p w14:paraId="1F5374D8" w14:textId="77777777" w:rsidR="004D1935" w:rsidRPr="002E1EAA" w:rsidRDefault="004D1935" w:rsidP="00E24DC9">
            <w:pPr>
              <w:rPr>
                <w:rFonts w:ascii="Calibri" w:hAnsi="Calibri" w:cs="Calibri"/>
                <w:color w:val="000000"/>
                <w:sz w:val="15"/>
                <w:szCs w:val="15"/>
              </w:rPr>
            </w:pPr>
          </w:p>
        </w:tc>
        <w:tc>
          <w:tcPr>
            <w:tcW w:w="2127" w:type="dxa"/>
            <w:vMerge/>
          </w:tcPr>
          <w:p w14:paraId="5FB65590" w14:textId="77777777" w:rsidR="004D1935" w:rsidRDefault="004D1935" w:rsidP="00E24DC9"/>
        </w:tc>
        <w:tc>
          <w:tcPr>
            <w:tcW w:w="992" w:type="dxa"/>
            <w:vMerge/>
          </w:tcPr>
          <w:p w14:paraId="70FD6002" w14:textId="77777777" w:rsidR="004D1935" w:rsidRDefault="004D1935" w:rsidP="00E24DC9"/>
        </w:tc>
        <w:tc>
          <w:tcPr>
            <w:tcW w:w="5867" w:type="dxa"/>
            <w:vMerge/>
          </w:tcPr>
          <w:p w14:paraId="43591FBE" w14:textId="77777777" w:rsidR="004D1935" w:rsidRDefault="004D1935" w:rsidP="00E24DC9"/>
        </w:tc>
      </w:tr>
      <w:tr w:rsidR="004D1935" w14:paraId="02FE465B" w14:textId="77777777" w:rsidTr="00E24DC9">
        <w:tc>
          <w:tcPr>
            <w:tcW w:w="1479" w:type="dxa"/>
            <w:vMerge/>
          </w:tcPr>
          <w:p w14:paraId="68309CDA" w14:textId="77777777" w:rsidR="004D1935" w:rsidRDefault="004D1935" w:rsidP="00E24DC9"/>
        </w:tc>
        <w:tc>
          <w:tcPr>
            <w:tcW w:w="798" w:type="dxa"/>
            <w:tcBorders>
              <w:top w:val="nil"/>
              <w:bottom w:val="nil"/>
            </w:tcBorders>
            <w:vAlign w:val="center"/>
          </w:tcPr>
          <w:p w14:paraId="2BFE5274"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124.0317</w:t>
            </w:r>
          </w:p>
        </w:tc>
        <w:tc>
          <w:tcPr>
            <w:tcW w:w="1687" w:type="dxa"/>
            <w:vMerge/>
            <w:vAlign w:val="bottom"/>
          </w:tcPr>
          <w:p w14:paraId="56ADFE43" w14:textId="77777777" w:rsidR="004D1935" w:rsidRPr="002E1EAA" w:rsidRDefault="004D1935" w:rsidP="00E24DC9">
            <w:pPr>
              <w:rPr>
                <w:rFonts w:ascii="Calibri" w:hAnsi="Calibri" w:cs="Calibri"/>
                <w:color w:val="000000"/>
                <w:sz w:val="15"/>
                <w:szCs w:val="15"/>
              </w:rPr>
            </w:pPr>
          </w:p>
        </w:tc>
        <w:tc>
          <w:tcPr>
            <w:tcW w:w="2127" w:type="dxa"/>
            <w:vMerge/>
          </w:tcPr>
          <w:p w14:paraId="6C002D2C" w14:textId="77777777" w:rsidR="004D1935" w:rsidRDefault="004D1935" w:rsidP="00E24DC9"/>
        </w:tc>
        <w:tc>
          <w:tcPr>
            <w:tcW w:w="992" w:type="dxa"/>
            <w:vMerge/>
          </w:tcPr>
          <w:p w14:paraId="5DD1F335" w14:textId="77777777" w:rsidR="004D1935" w:rsidRDefault="004D1935" w:rsidP="00E24DC9"/>
        </w:tc>
        <w:tc>
          <w:tcPr>
            <w:tcW w:w="5867" w:type="dxa"/>
            <w:vMerge/>
          </w:tcPr>
          <w:p w14:paraId="5A6C2CC4" w14:textId="77777777" w:rsidR="004D1935" w:rsidRDefault="004D1935" w:rsidP="00E24DC9"/>
        </w:tc>
      </w:tr>
      <w:tr w:rsidR="004D1935" w14:paraId="08511333" w14:textId="77777777" w:rsidTr="00E24DC9">
        <w:tc>
          <w:tcPr>
            <w:tcW w:w="1479" w:type="dxa"/>
            <w:vMerge/>
          </w:tcPr>
          <w:p w14:paraId="6FDDBACB" w14:textId="77777777" w:rsidR="004D1935" w:rsidRDefault="004D1935" w:rsidP="00E24DC9"/>
        </w:tc>
        <w:tc>
          <w:tcPr>
            <w:tcW w:w="798" w:type="dxa"/>
            <w:tcBorders>
              <w:top w:val="nil"/>
              <w:bottom w:val="nil"/>
            </w:tcBorders>
            <w:vAlign w:val="center"/>
          </w:tcPr>
          <w:p w14:paraId="2853DE42"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123.9124</w:t>
            </w:r>
          </w:p>
        </w:tc>
        <w:tc>
          <w:tcPr>
            <w:tcW w:w="1687" w:type="dxa"/>
            <w:vMerge/>
            <w:vAlign w:val="bottom"/>
          </w:tcPr>
          <w:p w14:paraId="348252BC" w14:textId="77777777" w:rsidR="004D1935" w:rsidRPr="002E1EAA" w:rsidRDefault="004D1935" w:rsidP="00E24DC9">
            <w:pPr>
              <w:rPr>
                <w:rFonts w:ascii="Calibri" w:hAnsi="Calibri" w:cs="Calibri"/>
                <w:color w:val="000000"/>
                <w:sz w:val="15"/>
                <w:szCs w:val="15"/>
              </w:rPr>
            </w:pPr>
          </w:p>
        </w:tc>
        <w:tc>
          <w:tcPr>
            <w:tcW w:w="2127" w:type="dxa"/>
            <w:vMerge/>
          </w:tcPr>
          <w:p w14:paraId="06ACB816" w14:textId="77777777" w:rsidR="004D1935" w:rsidRDefault="004D1935" w:rsidP="00E24DC9"/>
        </w:tc>
        <w:tc>
          <w:tcPr>
            <w:tcW w:w="992" w:type="dxa"/>
            <w:vMerge/>
          </w:tcPr>
          <w:p w14:paraId="2B1EE9E7" w14:textId="77777777" w:rsidR="004D1935" w:rsidRDefault="004D1935" w:rsidP="00E24DC9"/>
        </w:tc>
        <w:tc>
          <w:tcPr>
            <w:tcW w:w="5867" w:type="dxa"/>
            <w:vMerge/>
          </w:tcPr>
          <w:p w14:paraId="5C000873" w14:textId="77777777" w:rsidR="004D1935" w:rsidRDefault="004D1935" w:rsidP="00E24DC9"/>
        </w:tc>
      </w:tr>
      <w:tr w:rsidR="004D1935" w14:paraId="03C1B144" w14:textId="77777777" w:rsidTr="00E24DC9">
        <w:tc>
          <w:tcPr>
            <w:tcW w:w="1479" w:type="dxa"/>
            <w:vMerge/>
          </w:tcPr>
          <w:p w14:paraId="295A42D3" w14:textId="77777777" w:rsidR="004D1935" w:rsidRDefault="004D1935" w:rsidP="00E24DC9"/>
        </w:tc>
        <w:tc>
          <w:tcPr>
            <w:tcW w:w="798" w:type="dxa"/>
            <w:tcBorders>
              <w:top w:val="nil"/>
              <w:bottom w:val="nil"/>
            </w:tcBorders>
            <w:vAlign w:val="center"/>
          </w:tcPr>
          <w:p w14:paraId="06C27471"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123.9673</w:t>
            </w:r>
          </w:p>
        </w:tc>
        <w:tc>
          <w:tcPr>
            <w:tcW w:w="1687" w:type="dxa"/>
            <w:vMerge/>
            <w:vAlign w:val="bottom"/>
          </w:tcPr>
          <w:p w14:paraId="6CF9DA15" w14:textId="77777777" w:rsidR="004D1935" w:rsidRPr="002E1EAA" w:rsidRDefault="004D1935" w:rsidP="00E24DC9">
            <w:pPr>
              <w:rPr>
                <w:rFonts w:ascii="Calibri" w:hAnsi="Calibri" w:cs="Calibri"/>
                <w:color w:val="000000"/>
                <w:sz w:val="15"/>
                <w:szCs w:val="15"/>
              </w:rPr>
            </w:pPr>
          </w:p>
        </w:tc>
        <w:tc>
          <w:tcPr>
            <w:tcW w:w="2127" w:type="dxa"/>
            <w:vMerge/>
          </w:tcPr>
          <w:p w14:paraId="483038F6" w14:textId="77777777" w:rsidR="004D1935" w:rsidRDefault="004D1935" w:rsidP="00E24DC9"/>
        </w:tc>
        <w:tc>
          <w:tcPr>
            <w:tcW w:w="992" w:type="dxa"/>
            <w:vMerge/>
          </w:tcPr>
          <w:p w14:paraId="7D060D68" w14:textId="77777777" w:rsidR="004D1935" w:rsidRDefault="004D1935" w:rsidP="00E24DC9"/>
        </w:tc>
        <w:tc>
          <w:tcPr>
            <w:tcW w:w="5867" w:type="dxa"/>
            <w:vMerge/>
          </w:tcPr>
          <w:p w14:paraId="6C3D3907" w14:textId="77777777" w:rsidR="004D1935" w:rsidRDefault="004D1935" w:rsidP="00E24DC9"/>
        </w:tc>
      </w:tr>
      <w:tr w:rsidR="004D1935" w14:paraId="63BE0804" w14:textId="77777777" w:rsidTr="00E24DC9">
        <w:tc>
          <w:tcPr>
            <w:tcW w:w="1479" w:type="dxa"/>
            <w:vMerge/>
          </w:tcPr>
          <w:p w14:paraId="38BA2A96" w14:textId="77777777" w:rsidR="004D1935" w:rsidRDefault="004D1935" w:rsidP="00E24DC9"/>
        </w:tc>
        <w:tc>
          <w:tcPr>
            <w:tcW w:w="798" w:type="dxa"/>
            <w:tcBorders>
              <w:top w:val="nil"/>
              <w:bottom w:val="nil"/>
            </w:tcBorders>
            <w:vAlign w:val="center"/>
          </w:tcPr>
          <w:p w14:paraId="59008EC3"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124.0264</w:t>
            </w:r>
          </w:p>
        </w:tc>
        <w:tc>
          <w:tcPr>
            <w:tcW w:w="1687" w:type="dxa"/>
            <w:vMerge/>
            <w:vAlign w:val="bottom"/>
          </w:tcPr>
          <w:p w14:paraId="0571B99E" w14:textId="77777777" w:rsidR="004D1935" w:rsidRPr="002E1EAA" w:rsidRDefault="004D1935" w:rsidP="00E24DC9">
            <w:pPr>
              <w:rPr>
                <w:rFonts w:ascii="Calibri" w:hAnsi="Calibri" w:cs="Calibri"/>
                <w:color w:val="000000"/>
                <w:sz w:val="15"/>
                <w:szCs w:val="15"/>
              </w:rPr>
            </w:pPr>
          </w:p>
        </w:tc>
        <w:tc>
          <w:tcPr>
            <w:tcW w:w="2127" w:type="dxa"/>
            <w:vMerge/>
          </w:tcPr>
          <w:p w14:paraId="76EA8FA7" w14:textId="77777777" w:rsidR="004D1935" w:rsidRDefault="004D1935" w:rsidP="00E24DC9"/>
        </w:tc>
        <w:tc>
          <w:tcPr>
            <w:tcW w:w="992" w:type="dxa"/>
            <w:vMerge/>
          </w:tcPr>
          <w:p w14:paraId="1F95EEC8" w14:textId="77777777" w:rsidR="004D1935" w:rsidRDefault="004D1935" w:rsidP="00E24DC9"/>
        </w:tc>
        <w:tc>
          <w:tcPr>
            <w:tcW w:w="5867" w:type="dxa"/>
            <w:vMerge/>
          </w:tcPr>
          <w:p w14:paraId="55F644E6" w14:textId="77777777" w:rsidR="004D1935" w:rsidRDefault="004D1935" w:rsidP="00E24DC9"/>
        </w:tc>
      </w:tr>
      <w:tr w:rsidR="004D1935" w14:paraId="0D466A83" w14:textId="77777777" w:rsidTr="00E24DC9">
        <w:tc>
          <w:tcPr>
            <w:tcW w:w="1479" w:type="dxa"/>
            <w:vMerge/>
          </w:tcPr>
          <w:p w14:paraId="0C4660D7" w14:textId="77777777" w:rsidR="004D1935" w:rsidRDefault="004D1935" w:rsidP="00E24DC9"/>
        </w:tc>
        <w:tc>
          <w:tcPr>
            <w:tcW w:w="798" w:type="dxa"/>
            <w:tcBorders>
              <w:top w:val="nil"/>
              <w:bottom w:val="nil"/>
            </w:tcBorders>
            <w:vAlign w:val="center"/>
          </w:tcPr>
          <w:p w14:paraId="02FDD45A"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123.9655</w:t>
            </w:r>
          </w:p>
        </w:tc>
        <w:tc>
          <w:tcPr>
            <w:tcW w:w="1687" w:type="dxa"/>
            <w:vMerge/>
            <w:vAlign w:val="bottom"/>
          </w:tcPr>
          <w:p w14:paraId="5EC835AB" w14:textId="77777777" w:rsidR="004D1935" w:rsidRPr="002E1EAA" w:rsidRDefault="004D1935" w:rsidP="00E24DC9">
            <w:pPr>
              <w:rPr>
                <w:rFonts w:ascii="Calibri" w:hAnsi="Calibri" w:cs="Calibri"/>
                <w:color w:val="000000"/>
                <w:sz w:val="15"/>
                <w:szCs w:val="15"/>
              </w:rPr>
            </w:pPr>
          </w:p>
        </w:tc>
        <w:tc>
          <w:tcPr>
            <w:tcW w:w="2127" w:type="dxa"/>
            <w:vMerge/>
          </w:tcPr>
          <w:p w14:paraId="41BFCB12" w14:textId="77777777" w:rsidR="004D1935" w:rsidRDefault="004D1935" w:rsidP="00E24DC9"/>
        </w:tc>
        <w:tc>
          <w:tcPr>
            <w:tcW w:w="992" w:type="dxa"/>
            <w:vMerge/>
          </w:tcPr>
          <w:p w14:paraId="75DE5C3C" w14:textId="77777777" w:rsidR="004D1935" w:rsidRDefault="004D1935" w:rsidP="00E24DC9"/>
        </w:tc>
        <w:tc>
          <w:tcPr>
            <w:tcW w:w="5867" w:type="dxa"/>
            <w:vMerge/>
          </w:tcPr>
          <w:p w14:paraId="6E855CCF" w14:textId="77777777" w:rsidR="004D1935" w:rsidRDefault="004D1935" w:rsidP="00E24DC9"/>
        </w:tc>
      </w:tr>
      <w:tr w:rsidR="004D1935" w14:paraId="61ABBEF4" w14:textId="77777777" w:rsidTr="00E24DC9">
        <w:tc>
          <w:tcPr>
            <w:tcW w:w="1479" w:type="dxa"/>
            <w:vMerge/>
          </w:tcPr>
          <w:p w14:paraId="6170DA10" w14:textId="77777777" w:rsidR="004D1935" w:rsidRDefault="004D1935" w:rsidP="00E24DC9"/>
        </w:tc>
        <w:tc>
          <w:tcPr>
            <w:tcW w:w="798" w:type="dxa"/>
            <w:tcBorders>
              <w:top w:val="nil"/>
              <w:bottom w:val="nil"/>
            </w:tcBorders>
            <w:vAlign w:val="center"/>
          </w:tcPr>
          <w:p w14:paraId="416A73AD"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123.9637</w:t>
            </w:r>
          </w:p>
        </w:tc>
        <w:tc>
          <w:tcPr>
            <w:tcW w:w="1687" w:type="dxa"/>
            <w:vMerge/>
            <w:vAlign w:val="bottom"/>
          </w:tcPr>
          <w:p w14:paraId="2BE481D9" w14:textId="77777777" w:rsidR="004D1935" w:rsidRPr="002E1EAA" w:rsidRDefault="004D1935" w:rsidP="00E24DC9">
            <w:pPr>
              <w:rPr>
                <w:rFonts w:ascii="Calibri" w:hAnsi="Calibri" w:cs="Calibri"/>
                <w:color w:val="000000"/>
                <w:sz w:val="15"/>
                <w:szCs w:val="15"/>
              </w:rPr>
            </w:pPr>
          </w:p>
        </w:tc>
        <w:tc>
          <w:tcPr>
            <w:tcW w:w="2127" w:type="dxa"/>
            <w:vMerge/>
          </w:tcPr>
          <w:p w14:paraId="78563F0A" w14:textId="77777777" w:rsidR="004D1935" w:rsidRDefault="004D1935" w:rsidP="00E24DC9"/>
        </w:tc>
        <w:tc>
          <w:tcPr>
            <w:tcW w:w="992" w:type="dxa"/>
            <w:vMerge/>
          </w:tcPr>
          <w:p w14:paraId="1FBD6157" w14:textId="77777777" w:rsidR="004D1935" w:rsidRDefault="004D1935" w:rsidP="00E24DC9"/>
        </w:tc>
        <w:tc>
          <w:tcPr>
            <w:tcW w:w="5867" w:type="dxa"/>
            <w:vMerge/>
          </w:tcPr>
          <w:p w14:paraId="3F4C0013" w14:textId="77777777" w:rsidR="004D1935" w:rsidRDefault="004D1935" w:rsidP="00E24DC9"/>
        </w:tc>
      </w:tr>
      <w:tr w:rsidR="004D1935" w14:paraId="71299374" w14:textId="77777777" w:rsidTr="00E24DC9">
        <w:tc>
          <w:tcPr>
            <w:tcW w:w="1479" w:type="dxa"/>
            <w:vMerge/>
          </w:tcPr>
          <w:p w14:paraId="14C97F9E" w14:textId="77777777" w:rsidR="004D1935" w:rsidRDefault="004D1935" w:rsidP="00E24DC9"/>
        </w:tc>
        <w:tc>
          <w:tcPr>
            <w:tcW w:w="798" w:type="dxa"/>
            <w:tcBorders>
              <w:top w:val="nil"/>
              <w:bottom w:val="nil"/>
            </w:tcBorders>
            <w:vAlign w:val="center"/>
          </w:tcPr>
          <w:p w14:paraId="1131963C"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123.9902</w:t>
            </w:r>
          </w:p>
        </w:tc>
        <w:tc>
          <w:tcPr>
            <w:tcW w:w="1687" w:type="dxa"/>
            <w:vMerge/>
            <w:vAlign w:val="bottom"/>
          </w:tcPr>
          <w:p w14:paraId="365D3A5D" w14:textId="77777777" w:rsidR="004D1935" w:rsidRPr="002E1EAA" w:rsidRDefault="004D1935" w:rsidP="00E24DC9">
            <w:pPr>
              <w:rPr>
                <w:rFonts w:ascii="Calibri" w:hAnsi="Calibri" w:cs="Calibri"/>
                <w:color w:val="000000"/>
                <w:sz w:val="15"/>
                <w:szCs w:val="15"/>
              </w:rPr>
            </w:pPr>
          </w:p>
        </w:tc>
        <w:tc>
          <w:tcPr>
            <w:tcW w:w="2127" w:type="dxa"/>
            <w:vMerge/>
          </w:tcPr>
          <w:p w14:paraId="3194CEF6" w14:textId="77777777" w:rsidR="004D1935" w:rsidRDefault="004D1935" w:rsidP="00E24DC9"/>
        </w:tc>
        <w:tc>
          <w:tcPr>
            <w:tcW w:w="992" w:type="dxa"/>
            <w:vMerge/>
          </w:tcPr>
          <w:p w14:paraId="34D490A7" w14:textId="77777777" w:rsidR="004D1935" w:rsidRDefault="004D1935" w:rsidP="00E24DC9"/>
        </w:tc>
        <w:tc>
          <w:tcPr>
            <w:tcW w:w="5867" w:type="dxa"/>
            <w:vMerge/>
          </w:tcPr>
          <w:p w14:paraId="59BE35FA" w14:textId="77777777" w:rsidR="004D1935" w:rsidRDefault="004D1935" w:rsidP="00E24DC9"/>
        </w:tc>
      </w:tr>
      <w:tr w:rsidR="004D1935" w14:paraId="7611033C" w14:textId="77777777" w:rsidTr="00E24DC9">
        <w:tc>
          <w:tcPr>
            <w:tcW w:w="1479" w:type="dxa"/>
            <w:vMerge/>
          </w:tcPr>
          <w:p w14:paraId="630ACEF6" w14:textId="77777777" w:rsidR="004D1935" w:rsidRDefault="004D1935" w:rsidP="00E24DC9"/>
        </w:tc>
        <w:tc>
          <w:tcPr>
            <w:tcW w:w="798" w:type="dxa"/>
            <w:tcBorders>
              <w:top w:val="nil"/>
              <w:bottom w:val="nil"/>
            </w:tcBorders>
            <w:vAlign w:val="center"/>
          </w:tcPr>
          <w:p w14:paraId="30B29D18"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124.0909</w:t>
            </w:r>
          </w:p>
        </w:tc>
        <w:tc>
          <w:tcPr>
            <w:tcW w:w="1687" w:type="dxa"/>
            <w:vMerge/>
            <w:vAlign w:val="bottom"/>
          </w:tcPr>
          <w:p w14:paraId="4F416082" w14:textId="77777777" w:rsidR="004D1935" w:rsidRPr="002E1EAA" w:rsidRDefault="004D1935" w:rsidP="00E24DC9">
            <w:pPr>
              <w:rPr>
                <w:rFonts w:ascii="Calibri" w:hAnsi="Calibri" w:cs="Calibri"/>
                <w:color w:val="000000"/>
                <w:sz w:val="15"/>
                <w:szCs w:val="15"/>
              </w:rPr>
            </w:pPr>
          </w:p>
        </w:tc>
        <w:tc>
          <w:tcPr>
            <w:tcW w:w="2127" w:type="dxa"/>
            <w:vMerge/>
          </w:tcPr>
          <w:p w14:paraId="1A203D4F" w14:textId="77777777" w:rsidR="004D1935" w:rsidRDefault="004D1935" w:rsidP="00E24DC9"/>
        </w:tc>
        <w:tc>
          <w:tcPr>
            <w:tcW w:w="992" w:type="dxa"/>
            <w:vMerge/>
          </w:tcPr>
          <w:p w14:paraId="61DCD09F" w14:textId="77777777" w:rsidR="004D1935" w:rsidRDefault="004D1935" w:rsidP="00E24DC9"/>
        </w:tc>
        <w:tc>
          <w:tcPr>
            <w:tcW w:w="5867" w:type="dxa"/>
            <w:vMerge/>
          </w:tcPr>
          <w:p w14:paraId="6F3C4431" w14:textId="77777777" w:rsidR="004D1935" w:rsidRDefault="004D1935" w:rsidP="00E24DC9"/>
        </w:tc>
      </w:tr>
      <w:tr w:rsidR="004D1935" w14:paraId="65F033B3" w14:textId="77777777" w:rsidTr="00E24DC9">
        <w:tc>
          <w:tcPr>
            <w:tcW w:w="1479" w:type="dxa"/>
            <w:vMerge/>
          </w:tcPr>
          <w:p w14:paraId="05B60352" w14:textId="77777777" w:rsidR="004D1935" w:rsidRDefault="004D1935" w:rsidP="00E24DC9"/>
        </w:tc>
        <w:tc>
          <w:tcPr>
            <w:tcW w:w="798" w:type="dxa"/>
            <w:tcBorders>
              <w:top w:val="nil"/>
              <w:bottom w:val="nil"/>
            </w:tcBorders>
            <w:vAlign w:val="center"/>
          </w:tcPr>
          <w:p w14:paraId="32AA1145"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123.9920</w:t>
            </w:r>
          </w:p>
        </w:tc>
        <w:tc>
          <w:tcPr>
            <w:tcW w:w="1687" w:type="dxa"/>
            <w:vMerge/>
            <w:vAlign w:val="bottom"/>
          </w:tcPr>
          <w:p w14:paraId="41654B8C" w14:textId="77777777" w:rsidR="004D1935" w:rsidRPr="002E1EAA" w:rsidRDefault="004D1935" w:rsidP="00E24DC9">
            <w:pPr>
              <w:rPr>
                <w:rFonts w:ascii="Calibri" w:hAnsi="Calibri" w:cs="Calibri"/>
                <w:color w:val="000000"/>
                <w:sz w:val="15"/>
                <w:szCs w:val="15"/>
              </w:rPr>
            </w:pPr>
          </w:p>
        </w:tc>
        <w:tc>
          <w:tcPr>
            <w:tcW w:w="2127" w:type="dxa"/>
            <w:vMerge/>
          </w:tcPr>
          <w:p w14:paraId="66101EA3" w14:textId="77777777" w:rsidR="004D1935" w:rsidRDefault="004D1935" w:rsidP="00E24DC9"/>
        </w:tc>
        <w:tc>
          <w:tcPr>
            <w:tcW w:w="992" w:type="dxa"/>
            <w:vMerge/>
          </w:tcPr>
          <w:p w14:paraId="137438D2" w14:textId="77777777" w:rsidR="004D1935" w:rsidRDefault="004D1935" w:rsidP="00E24DC9"/>
        </w:tc>
        <w:tc>
          <w:tcPr>
            <w:tcW w:w="5867" w:type="dxa"/>
            <w:vMerge/>
          </w:tcPr>
          <w:p w14:paraId="6CB48F74" w14:textId="77777777" w:rsidR="004D1935" w:rsidRDefault="004D1935" w:rsidP="00E24DC9"/>
        </w:tc>
      </w:tr>
      <w:tr w:rsidR="004D1935" w14:paraId="74A88B75" w14:textId="77777777" w:rsidTr="00E24DC9">
        <w:tc>
          <w:tcPr>
            <w:tcW w:w="1479" w:type="dxa"/>
            <w:vMerge/>
          </w:tcPr>
          <w:p w14:paraId="4AFC3CDB" w14:textId="77777777" w:rsidR="004D1935" w:rsidRDefault="004D1935" w:rsidP="00E24DC9"/>
        </w:tc>
        <w:tc>
          <w:tcPr>
            <w:tcW w:w="798" w:type="dxa"/>
            <w:tcBorders>
              <w:top w:val="nil"/>
              <w:bottom w:val="nil"/>
            </w:tcBorders>
            <w:vAlign w:val="center"/>
          </w:tcPr>
          <w:p w14:paraId="49B78DCD"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124.0326</w:t>
            </w:r>
          </w:p>
        </w:tc>
        <w:tc>
          <w:tcPr>
            <w:tcW w:w="1687" w:type="dxa"/>
            <w:vMerge/>
            <w:vAlign w:val="bottom"/>
          </w:tcPr>
          <w:p w14:paraId="21C7CF0F" w14:textId="77777777" w:rsidR="004D1935" w:rsidRPr="002E1EAA" w:rsidRDefault="004D1935" w:rsidP="00E24DC9">
            <w:pPr>
              <w:rPr>
                <w:rFonts w:ascii="Calibri" w:hAnsi="Calibri" w:cs="Calibri"/>
                <w:color w:val="000000"/>
                <w:sz w:val="15"/>
                <w:szCs w:val="15"/>
              </w:rPr>
            </w:pPr>
          </w:p>
        </w:tc>
        <w:tc>
          <w:tcPr>
            <w:tcW w:w="2127" w:type="dxa"/>
            <w:vMerge/>
          </w:tcPr>
          <w:p w14:paraId="095F4746" w14:textId="77777777" w:rsidR="004D1935" w:rsidRDefault="004D1935" w:rsidP="00E24DC9"/>
        </w:tc>
        <w:tc>
          <w:tcPr>
            <w:tcW w:w="992" w:type="dxa"/>
            <w:vMerge/>
          </w:tcPr>
          <w:p w14:paraId="273DED39" w14:textId="77777777" w:rsidR="004D1935" w:rsidRDefault="004D1935" w:rsidP="00E24DC9"/>
        </w:tc>
        <w:tc>
          <w:tcPr>
            <w:tcW w:w="5867" w:type="dxa"/>
            <w:vMerge/>
          </w:tcPr>
          <w:p w14:paraId="0DC25E4E" w14:textId="77777777" w:rsidR="004D1935" w:rsidRDefault="004D1935" w:rsidP="00E24DC9"/>
        </w:tc>
      </w:tr>
      <w:tr w:rsidR="004D1935" w14:paraId="123F76CE" w14:textId="77777777" w:rsidTr="00E24DC9">
        <w:tc>
          <w:tcPr>
            <w:tcW w:w="1479" w:type="dxa"/>
            <w:vMerge/>
          </w:tcPr>
          <w:p w14:paraId="00FAFF65" w14:textId="77777777" w:rsidR="004D1935" w:rsidRDefault="004D1935" w:rsidP="00E24DC9"/>
        </w:tc>
        <w:tc>
          <w:tcPr>
            <w:tcW w:w="798" w:type="dxa"/>
            <w:tcBorders>
              <w:top w:val="nil"/>
              <w:bottom w:val="nil"/>
            </w:tcBorders>
            <w:vAlign w:val="center"/>
          </w:tcPr>
          <w:p w14:paraId="38246AC8"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123.9195</w:t>
            </w:r>
          </w:p>
        </w:tc>
        <w:tc>
          <w:tcPr>
            <w:tcW w:w="1687" w:type="dxa"/>
            <w:vMerge/>
            <w:vAlign w:val="bottom"/>
          </w:tcPr>
          <w:p w14:paraId="6821511F" w14:textId="77777777" w:rsidR="004D1935" w:rsidRPr="002E1EAA" w:rsidRDefault="004D1935" w:rsidP="00E24DC9">
            <w:pPr>
              <w:rPr>
                <w:rFonts w:ascii="Calibri" w:hAnsi="Calibri" w:cs="Calibri"/>
                <w:color w:val="000000"/>
                <w:sz w:val="15"/>
                <w:szCs w:val="15"/>
              </w:rPr>
            </w:pPr>
          </w:p>
        </w:tc>
        <w:tc>
          <w:tcPr>
            <w:tcW w:w="2127" w:type="dxa"/>
            <w:vMerge/>
          </w:tcPr>
          <w:p w14:paraId="61320F17" w14:textId="77777777" w:rsidR="004D1935" w:rsidRDefault="004D1935" w:rsidP="00E24DC9"/>
        </w:tc>
        <w:tc>
          <w:tcPr>
            <w:tcW w:w="992" w:type="dxa"/>
            <w:vMerge/>
          </w:tcPr>
          <w:p w14:paraId="5879D6B9" w14:textId="77777777" w:rsidR="004D1935" w:rsidRDefault="004D1935" w:rsidP="00E24DC9"/>
        </w:tc>
        <w:tc>
          <w:tcPr>
            <w:tcW w:w="5867" w:type="dxa"/>
            <w:vMerge/>
          </w:tcPr>
          <w:p w14:paraId="552F4A3A" w14:textId="77777777" w:rsidR="004D1935" w:rsidRDefault="004D1935" w:rsidP="00E24DC9"/>
        </w:tc>
      </w:tr>
      <w:tr w:rsidR="004D1935" w14:paraId="65552D5E" w14:textId="77777777" w:rsidTr="00E24DC9">
        <w:tc>
          <w:tcPr>
            <w:tcW w:w="1479" w:type="dxa"/>
            <w:vMerge/>
          </w:tcPr>
          <w:p w14:paraId="27BD673F" w14:textId="77777777" w:rsidR="004D1935" w:rsidRDefault="004D1935" w:rsidP="00E24DC9"/>
        </w:tc>
        <w:tc>
          <w:tcPr>
            <w:tcW w:w="798" w:type="dxa"/>
            <w:tcBorders>
              <w:top w:val="nil"/>
              <w:bottom w:val="nil"/>
            </w:tcBorders>
            <w:vAlign w:val="center"/>
          </w:tcPr>
          <w:p w14:paraId="282EAE62"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123.9460</w:t>
            </w:r>
          </w:p>
        </w:tc>
        <w:tc>
          <w:tcPr>
            <w:tcW w:w="1687" w:type="dxa"/>
            <w:vMerge/>
            <w:vAlign w:val="bottom"/>
          </w:tcPr>
          <w:p w14:paraId="21E4BEEB" w14:textId="77777777" w:rsidR="004D1935" w:rsidRPr="002E1EAA" w:rsidRDefault="004D1935" w:rsidP="00E24DC9">
            <w:pPr>
              <w:rPr>
                <w:rFonts w:ascii="Calibri" w:hAnsi="Calibri" w:cs="Calibri"/>
                <w:color w:val="000000"/>
                <w:sz w:val="15"/>
                <w:szCs w:val="15"/>
              </w:rPr>
            </w:pPr>
          </w:p>
        </w:tc>
        <w:tc>
          <w:tcPr>
            <w:tcW w:w="2127" w:type="dxa"/>
            <w:vMerge/>
          </w:tcPr>
          <w:p w14:paraId="5F7D04A0" w14:textId="77777777" w:rsidR="004D1935" w:rsidRDefault="004D1935" w:rsidP="00E24DC9"/>
        </w:tc>
        <w:tc>
          <w:tcPr>
            <w:tcW w:w="992" w:type="dxa"/>
            <w:vMerge/>
          </w:tcPr>
          <w:p w14:paraId="5A27645C" w14:textId="77777777" w:rsidR="004D1935" w:rsidRDefault="004D1935" w:rsidP="00E24DC9"/>
        </w:tc>
        <w:tc>
          <w:tcPr>
            <w:tcW w:w="5867" w:type="dxa"/>
            <w:vMerge/>
          </w:tcPr>
          <w:p w14:paraId="34420F64" w14:textId="77777777" w:rsidR="004D1935" w:rsidRDefault="004D1935" w:rsidP="00E24DC9"/>
        </w:tc>
      </w:tr>
      <w:tr w:rsidR="004D1935" w14:paraId="1DDE928F" w14:textId="77777777" w:rsidTr="00E24DC9">
        <w:tc>
          <w:tcPr>
            <w:tcW w:w="1479" w:type="dxa"/>
            <w:vMerge/>
          </w:tcPr>
          <w:p w14:paraId="0FBA5847" w14:textId="77777777" w:rsidR="004D1935" w:rsidRDefault="004D1935" w:rsidP="00E24DC9"/>
        </w:tc>
        <w:tc>
          <w:tcPr>
            <w:tcW w:w="798" w:type="dxa"/>
            <w:tcBorders>
              <w:top w:val="nil"/>
              <w:bottom w:val="nil"/>
            </w:tcBorders>
            <w:vAlign w:val="center"/>
          </w:tcPr>
          <w:p w14:paraId="7AD94932"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123.9726</w:t>
            </w:r>
          </w:p>
        </w:tc>
        <w:tc>
          <w:tcPr>
            <w:tcW w:w="1687" w:type="dxa"/>
            <w:vMerge/>
            <w:vAlign w:val="bottom"/>
          </w:tcPr>
          <w:p w14:paraId="7CDA0636" w14:textId="77777777" w:rsidR="004D1935" w:rsidRPr="002E1EAA" w:rsidRDefault="004D1935" w:rsidP="00E24DC9">
            <w:pPr>
              <w:rPr>
                <w:rFonts w:ascii="Calibri" w:hAnsi="Calibri" w:cs="Calibri"/>
                <w:color w:val="000000"/>
                <w:sz w:val="15"/>
                <w:szCs w:val="15"/>
              </w:rPr>
            </w:pPr>
          </w:p>
        </w:tc>
        <w:tc>
          <w:tcPr>
            <w:tcW w:w="2127" w:type="dxa"/>
            <w:vMerge/>
          </w:tcPr>
          <w:p w14:paraId="532D39FB" w14:textId="77777777" w:rsidR="004D1935" w:rsidRDefault="004D1935" w:rsidP="00E24DC9"/>
        </w:tc>
        <w:tc>
          <w:tcPr>
            <w:tcW w:w="992" w:type="dxa"/>
            <w:vMerge/>
          </w:tcPr>
          <w:p w14:paraId="09162F79" w14:textId="77777777" w:rsidR="004D1935" w:rsidRDefault="004D1935" w:rsidP="00E24DC9"/>
        </w:tc>
        <w:tc>
          <w:tcPr>
            <w:tcW w:w="5867" w:type="dxa"/>
            <w:vMerge/>
          </w:tcPr>
          <w:p w14:paraId="3327EDE7" w14:textId="77777777" w:rsidR="004D1935" w:rsidRDefault="004D1935" w:rsidP="00E24DC9"/>
        </w:tc>
      </w:tr>
      <w:tr w:rsidR="004D1935" w14:paraId="7EF6F8D7" w14:textId="77777777" w:rsidTr="00E24DC9">
        <w:tc>
          <w:tcPr>
            <w:tcW w:w="1479" w:type="dxa"/>
            <w:vMerge/>
          </w:tcPr>
          <w:p w14:paraId="7EA9310B" w14:textId="77777777" w:rsidR="004D1935" w:rsidRDefault="004D1935" w:rsidP="00E24DC9"/>
        </w:tc>
        <w:tc>
          <w:tcPr>
            <w:tcW w:w="798" w:type="dxa"/>
            <w:tcBorders>
              <w:top w:val="nil"/>
              <w:bottom w:val="nil"/>
            </w:tcBorders>
            <w:vAlign w:val="center"/>
          </w:tcPr>
          <w:p w14:paraId="3BCB5C92"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123.9991</w:t>
            </w:r>
          </w:p>
        </w:tc>
        <w:tc>
          <w:tcPr>
            <w:tcW w:w="1687" w:type="dxa"/>
            <w:vMerge/>
            <w:vAlign w:val="bottom"/>
          </w:tcPr>
          <w:p w14:paraId="03AB2456" w14:textId="77777777" w:rsidR="004D1935" w:rsidRPr="002E1EAA" w:rsidRDefault="004D1935" w:rsidP="00E24DC9">
            <w:pPr>
              <w:rPr>
                <w:rFonts w:ascii="Calibri" w:hAnsi="Calibri" w:cs="Calibri"/>
                <w:color w:val="000000"/>
                <w:sz w:val="15"/>
                <w:szCs w:val="15"/>
              </w:rPr>
            </w:pPr>
          </w:p>
        </w:tc>
        <w:tc>
          <w:tcPr>
            <w:tcW w:w="2127" w:type="dxa"/>
            <w:vMerge/>
          </w:tcPr>
          <w:p w14:paraId="579D9BCE" w14:textId="77777777" w:rsidR="004D1935" w:rsidRDefault="004D1935" w:rsidP="00E24DC9"/>
        </w:tc>
        <w:tc>
          <w:tcPr>
            <w:tcW w:w="992" w:type="dxa"/>
            <w:vMerge/>
          </w:tcPr>
          <w:p w14:paraId="546F2040" w14:textId="77777777" w:rsidR="004D1935" w:rsidRDefault="004D1935" w:rsidP="00E24DC9"/>
        </w:tc>
        <w:tc>
          <w:tcPr>
            <w:tcW w:w="5867" w:type="dxa"/>
            <w:vMerge/>
          </w:tcPr>
          <w:p w14:paraId="46351F1A" w14:textId="77777777" w:rsidR="004D1935" w:rsidRDefault="004D1935" w:rsidP="00E24DC9"/>
        </w:tc>
      </w:tr>
      <w:tr w:rsidR="004D1935" w14:paraId="4FF731F9" w14:textId="77777777" w:rsidTr="00E24DC9">
        <w:tc>
          <w:tcPr>
            <w:tcW w:w="1479" w:type="dxa"/>
            <w:vMerge/>
          </w:tcPr>
          <w:p w14:paraId="63B54C7C" w14:textId="77777777" w:rsidR="004D1935" w:rsidRDefault="004D1935" w:rsidP="00E24DC9"/>
        </w:tc>
        <w:tc>
          <w:tcPr>
            <w:tcW w:w="798" w:type="dxa"/>
            <w:tcBorders>
              <w:top w:val="nil"/>
              <w:bottom w:val="nil"/>
            </w:tcBorders>
            <w:vAlign w:val="center"/>
          </w:tcPr>
          <w:p w14:paraId="3D441EF8"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123.9372</w:t>
            </w:r>
          </w:p>
        </w:tc>
        <w:tc>
          <w:tcPr>
            <w:tcW w:w="1687" w:type="dxa"/>
            <w:vMerge/>
            <w:vAlign w:val="bottom"/>
          </w:tcPr>
          <w:p w14:paraId="7964D579" w14:textId="77777777" w:rsidR="004D1935" w:rsidRPr="002E1EAA" w:rsidRDefault="004D1935" w:rsidP="00E24DC9">
            <w:pPr>
              <w:rPr>
                <w:rFonts w:ascii="Calibri" w:hAnsi="Calibri" w:cs="Calibri"/>
                <w:color w:val="000000"/>
                <w:sz w:val="15"/>
                <w:szCs w:val="15"/>
              </w:rPr>
            </w:pPr>
          </w:p>
        </w:tc>
        <w:tc>
          <w:tcPr>
            <w:tcW w:w="2127" w:type="dxa"/>
            <w:vMerge/>
          </w:tcPr>
          <w:p w14:paraId="2C5E8ACE" w14:textId="77777777" w:rsidR="004D1935" w:rsidRDefault="004D1935" w:rsidP="00E24DC9"/>
        </w:tc>
        <w:tc>
          <w:tcPr>
            <w:tcW w:w="992" w:type="dxa"/>
            <w:vMerge/>
          </w:tcPr>
          <w:p w14:paraId="41FFC073" w14:textId="77777777" w:rsidR="004D1935" w:rsidRDefault="004D1935" w:rsidP="00E24DC9"/>
        </w:tc>
        <w:tc>
          <w:tcPr>
            <w:tcW w:w="5867" w:type="dxa"/>
            <w:vMerge/>
          </w:tcPr>
          <w:p w14:paraId="0B86DDC9" w14:textId="77777777" w:rsidR="004D1935" w:rsidRDefault="004D1935" w:rsidP="00E24DC9"/>
        </w:tc>
      </w:tr>
      <w:tr w:rsidR="004D1935" w14:paraId="25D6AEA6" w14:textId="77777777" w:rsidTr="00E24DC9">
        <w:tc>
          <w:tcPr>
            <w:tcW w:w="1479" w:type="dxa"/>
            <w:vMerge/>
          </w:tcPr>
          <w:p w14:paraId="59450202" w14:textId="77777777" w:rsidR="004D1935" w:rsidRDefault="004D1935" w:rsidP="00E24DC9"/>
        </w:tc>
        <w:tc>
          <w:tcPr>
            <w:tcW w:w="798" w:type="dxa"/>
            <w:tcBorders>
              <w:top w:val="nil"/>
              <w:bottom w:val="nil"/>
            </w:tcBorders>
            <w:vAlign w:val="center"/>
          </w:tcPr>
          <w:p w14:paraId="476AFDCA"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123.9487</w:t>
            </w:r>
          </w:p>
        </w:tc>
        <w:tc>
          <w:tcPr>
            <w:tcW w:w="1687" w:type="dxa"/>
            <w:vMerge/>
            <w:vAlign w:val="bottom"/>
          </w:tcPr>
          <w:p w14:paraId="6E96F9E8" w14:textId="77777777" w:rsidR="004D1935" w:rsidRPr="002E1EAA" w:rsidRDefault="004D1935" w:rsidP="00E24DC9">
            <w:pPr>
              <w:rPr>
                <w:rFonts w:ascii="Calibri" w:hAnsi="Calibri" w:cs="Calibri"/>
                <w:color w:val="000000"/>
                <w:sz w:val="15"/>
                <w:szCs w:val="15"/>
              </w:rPr>
            </w:pPr>
          </w:p>
        </w:tc>
        <w:tc>
          <w:tcPr>
            <w:tcW w:w="2127" w:type="dxa"/>
            <w:vMerge/>
          </w:tcPr>
          <w:p w14:paraId="30FE3D15" w14:textId="77777777" w:rsidR="004D1935" w:rsidRDefault="004D1935" w:rsidP="00E24DC9"/>
        </w:tc>
        <w:tc>
          <w:tcPr>
            <w:tcW w:w="992" w:type="dxa"/>
            <w:vMerge/>
          </w:tcPr>
          <w:p w14:paraId="247A1597" w14:textId="77777777" w:rsidR="004D1935" w:rsidRDefault="004D1935" w:rsidP="00E24DC9"/>
        </w:tc>
        <w:tc>
          <w:tcPr>
            <w:tcW w:w="5867" w:type="dxa"/>
            <w:vMerge/>
          </w:tcPr>
          <w:p w14:paraId="7A9AF5DA" w14:textId="77777777" w:rsidR="004D1935" w:rsidRDefault="004D1935" w:rsidP="00E24DC9"/>
        </w:tc>
      </w:tr>
      <w:tr w:rsidR="004D1935" w14:paraId="603A8345" w14:textId="77777777" w:rsidTr="00E24DC9">
        <w:tc>
          <w:tcPr>
            <w:tcW w:w="1479" w:type="dxa"/>
            <w:vMerge/>
          </w:tcPr>
          <w:p w14:paraId="37F6D2EC" w14:textId="77777777" w:rsidR="004D1935" w:rsidRDefault="004D1935" w:rsidP="00E24DC9"/>
        </w:tc>
        <w:tc>
          <w:tcPr>
            <w:tcW w:w="798" w:type="dxa"/>
            <w:tcBorders>
              <w:top w:val="nil"/>
              <w:bottom w:val="nil"/>
            </w:tcBorders>
            <w:vAlign w:val="center"/>
          </w:tcPr>
          <w:p w14:paraId="13067F8E"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123.9867</w:t>
            </w:r>
          </w:p>
        </w:tc>
        <w:tc>
          <w:tcPr>
            <w:tcW w:w="1687" w:type="dxa"/>
            <w:vMerge/>
            <w:vAlign w:val="bottom"/>
          </w:tcPr>
          <w:p w14:paraId="7B581990" w14:textId="77777777" w:rsidR="004D1935" w:rsidRPr="002E1EAA" w:rsidRDefault="004D1935" w:rsidP="00E24DC9">
            <w:pPr>
              <w:rPr>
                <w:rFonts w:ascii="Calibri" w:hAnsi="Calibri" w:cs="Calibri"/>
                <w:color w:val="000000"/>
                <w:sz w:val="15"/>
                <w:szCs w:val="15"/>
              </w:rPr>
            </w:pPr>
          </w:p>
        </w:tc>
        <w:tc>
          <w:tcPr>
            <w:tcW w:w="2127" w:type="dxa"/>
            <w:vMerge/>
          </w:tcPr>
          <w:p w14:paraId="7DD9A53E" w14:textId="77777777" w:rsidR="004D1935" w:rsidRDefault="004D1935" w:rsidP="00E24DC9"/>
        </w:tc>
        <w:tc>
          <w:tcPr>
            <w:tcW w:w="992" w:type="dxa"/>
            <w:vMerge/>
          </w:tcPr>
          <w:p w14:paraId="21A52626" w14:textId="77777777" w:rsidR="004D1935" w:rsidRDefault="004D1935" w:rsidP="00E24DC9"/>
        </w:tc>
        <w:tc>
          <w:tcPr>
            <w:tcW w:w="5867" w:type="dxa"/>
            <w:vMerge/>
          </w:tcPr>
          <w:p w14:paraId="57B54590" w14:textId="77777777" w:rsidR="004D1935" w:rsidRDefault="004D1935" w:rsidP="00E24DC9"/>
        </w:tc>
      </w:tr>
      <w:tr w:rsidR="004D1935" w14:paraId="3ED7CB60" w14:textId="77777777" w:rsidTr="00E24DC9">
        <w:tc>
          <w:tcPr>
            <w:tcW w:w="1479" w:type="dxa"/>
            <w:vMerge/>
          </w:tcPr>
          <w:p w14:paraId="3FCAE5BA" w14:textId="77777777" w:rsidR="004D1935" w:rsidRDefault="004D1935" w:rsidP="00E24DC9"/>
        </w:tc>
        <w:tc>
          <w:tcPr>
            <w:tcW w:w="798" w:type="dxa"/>
            <w:tcBorders>
              <w:top w:val="nil"/>
              <w:bottom w:val="nil"/>
            </w:tcBorders>
            <w:vAlign w:val="center"/>
          </w:tcPr>
          <w:p w14:paraId="65DBED7B"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124.0255</w:t>
            </w:r>
          </w:p>
        </w:tc>
        <w:tc>
          <w:tcPr>
            <w:tcW w:w="1687" w:type="dxa"/>
            <w:vMerge/>
            <w:vAlign w:val="bottom"/>
          </w:tcPr>
          <w:p w14:paraId="41326A84" w14:textId="77777777" w:rsidR="004D1935" w:rsidRPr="002E1EAA" w:rsidRDefault="004D1935" w:rsidP="00E24DC9">
            <w:pPr>
              <w:rPr>
                <w:rFonts w:ascii="Calibri" w:hAnsi="Calibri" w:cs="Calibri"/>
                <w:color w:val="000000"/>
                <w:sz w:val="15"/>
                <w:szCs w:val="15"/>
              </w:rPr>
            </w:pPr>
          </w:p>
        </w:tc>
        <w:tc>
          <w:tcPr>
            <w:tcW w:w="2127" w:type="dxa"/>
            <w:vMerge/>
          </w:tcPr>
          <w:p w14:paraId="462D13D5" w14:textId="77777777" w:rsidR="004D1935" w:rsidRDefault="004D1935" w:rsidP="00E24DC9"/>
        </w:tc>
        <w:tc>
          <w:tcPr>
            <w:tcW w:w="992" w:type="dxa"/>
            <w:vMerge/>
          </w:tcPr>
          <w:p w14:paraId="4A5EAFF7" w14:textId="77777777" w:rsidR="004D1935" w:rsidRDefault="004D1935" w:rsidP="00E24DC9"/>
        </w:tc>
        <w:tc>
          <w:tcPr>
            <w:tcW w:w="5867" w:type="dxa"/>
            <w:vMerge/>
          </w:tcPr>
          <w:p w14:paraId="2D916B8D" w14:textId="77777777" w:rsidR="004D1935" w:rsidRDefault="004D1935" w:rsidP="00E24DC9"/>
        </w:tc>
      </w:tr>
      <w:tr w:rsidR="004D1935" w14:paraId="44935308" w14:textId="77777777" w:rsidTr="00E24DC9">
        <w:tc>
          <w:tcPr>
            <w:tcW w:w="1479" w:type="dxa"/>
            <w:vMerge/>
          </w:tcPr>
          <w:p w14:paraId="77A202D4" w14:textId="77777777" w:rsidR="004D1935" w:rsidRDefault="004D1935" w:rsidP="00E24DC9"/>
        </w:tc>
        <w:tc>
          <w:tcPr>
            <w:tcW w:w="798" w:type="dxa"/>
            <w:tcBorders>
              <w:top w:val="nil"/>
              <w:bottom w:val="nil"/>
            </w:tcBorders>
            <w:vAlign w:val="center"/>
          </w:tcPr>
          <w:p w14:paraId="1D5380DE"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123.9106</w:t>
            </w:r>
          </w:p>
        </w:tc>
        <w:tc>
          <w:tcPr>
            <w:tcW w:w="1687" w:type="dxa"/>
            <w:vMerge/>
            <w:vAlign w:val="bottom"/>
          </w:tcPr>
          <w:p w14:paraId="2783963F" w14:textId="77777777" w:rsidR="004D1935" w:rsidRPr="002E1EAA" w:rsidRDefault="004D1935" w:rsidP="00E24DC9">
            <w:pPr>
              <w:rPr>
                <w:rFonts w:ascii="Calibri" w:hAnsi="Calibri" w:cs="Calibri"/>
                <w:color w:val="000000"/>
                <w:sz w:val="15"/>
                <w:szCs w:val="15"/>
              </w:rPr>
            </w:pPr>
          </w:p>
        </w:tc>
        <w:tc>
          <w:tcPr>
            <w:tcW w:w="2127" w:type="dxa"/>
            <w:vMerge/>
          </w:tcPr>
          <w:p w14:paraId="7E27C14E" w14:textId="77777777" w:rsidR="004D1935" w:rsidRDefault="004D1935" w:rsidP="00E24DC9"/>
        </w:tc>
        <w:tc>
          <w:tcPr>
            <w:tcW w:w="992" w:type="dxa"/>
            <w:vMerge/>
          </w:tcPr>
          <w:p w14:paraId="562FC60B" w14:textId="77777777" w:rsidR="004D1935" w:rsidRDefault="004D1935" w:rsidP="00E24DC9"/>
        </w:tc>
        <w:tc>
          <w:tcPr>
            <w:tcW w:w="5867" w:type="dxa"/>
            <w:vMerge/>
          </w:tcPr>
          <w:p w14:paraId="01CD85D1" w14:textId="77777777" w:rsidR="004D1935" w:rsidRDefault="004D1935" w:rsidP="00E24DC9"/>
        </w:tc>
      </w:tr>
      <w:tr w:rsidR="004D1935" w14:paraId="4510E398" w14:textId="77777777" w:rsidTr="00E24DC9">
        <w:tc>
          <w:tcPr>
            <w:tcW w:w="1479" w:type="dxa"/>
            <w:vMerge/>
          </w:tcPr>
          <w:p w14:paraId="62E524E9" w14:textId="77777777" w:rsidR="004D1935" w:rsidRDefault="004D1935" w:rsidP="00E24DC9"/>
        </w:tc>
        <w:tc>
          <w:tcPr>
            <w:tcW w:w="798" w:type="dxa"/>
            <w:tcBorders>
              <w:top w:val="nil"/>
              <w:bottom w:val="nil"/>
            </w:tcBorders>
            <w:vAlign w:val="center"/>
          </w:tcPr>
          <w:p w14:paraId="0BC5E8AC"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123.9372</w:t>
            </w:r>
          </w:p>
        </w:tc>
        <w:tc>
          <w:tcPr>
            <w:tcW w:w="1687" w:type="dxa"/>
            <w:vMerge/>
            <w:vAlign w:val="bottom"/>
          </w:tcPr>
          <w:p w14:paraId="427BC2C9" w14:textId="77777777" w:rsidR="004D1935" w:rsidRPr="002E1EAA" w:rsidRDefault="004D1935" w:rsidP="00E24DC9">
            <w:pPr>
              <w:rPr>
                <w:rFonts w:ascii="Calibri" w:hAnsi="Calibri" w:cs="Calibri"/>
                <w:color w:val="000000"/>
                <w:sz w:val="15"/>
                <w:szCs w:val="15"/>
              </w:rPr>
            </w:pPr>
          </w:p>
        </w:tc>
        <w:tc>
          <w:tcPr>
            <w:tcW w:w="2127" w:type="dxa"/>
            <w:vMerge/>
          </w:tcPr>
          <w:p w14:paraId="20EC6A9E" w14:textId="77777777" w:rsidR="004D1935" w:rsidRDefault="004D1935" w:rsidP="00E24DC9"/>
        </w:tc>
        <w:tc>
          <w:tcPr>
            <w:tcW w:w="992" w:type="dxa"/>
            <w:vMerge/>
          </w:tcPr>
          <w:p w14:paraId="28C301D2" w14:textId="77777777" w:rsidR="004D1935" w:rsidRDefault="004D1935" w:rsidP="00E24DC9"/>
        </w:tc>
        <w:tc>
          <w:tcPr>
            <w:tcW w:w="5867" w:type="dxa"/>
            <w:vMerge/>
          </w:tcPr>
          <w:p w14:paraId="5C29A7A2" w14:textId="77777777" w:rsidR="004D1935" w:rsidRDefault="004D1935" w:rsidP="00E24DC9"/>
        </w:tc>
      </w:tr>
      <w:tr w:rsidR="004D1935" w14:paraId="6D37DC43" w14:textId="77777777" w:rsidTr="00E24DC9">
        <w:tc>
          <w:tcPr>
            <w:tcW w:w="1479" w:type="dxa"/>
            <w:vMerge/>
          </w:tcPr>
          <w:p w14:paraId="33F80DB8" w14:textId="77777777" w:rsidR="004D1935" w:rsidRDefault="004D1935" w:rsidP="00E24DC9"/>
        </w:tc>
        <w:tc>
          <w:tcPr>
            <w:tcW w:w="798" w:type="dxa"/>
            <w:tcBorders>
              <w:top w:val="nil"/>
              <w:bottom w:val="nil"/>
            </w:tcBorders>
            <w:vAlign w:val="center"/>
          </w:tcPr>
          <w:p w14:paraId="4E331AF8"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123.9355</w:t>
            </w:r>
          </w:p>
        </w:tc>
        <w:tc>
          <w:tcPr>
            <w:tcW w:w="1687" w:type="dxa"/>
            <w:vMerge/>
            <w:vAlign w:val="bottom"/>
          </w:tcPr>
          <w:p w14:paraId="199E6EBE" w14:textId="77777777" w:rsidR="004D1935" w:rsidRPr="002E1EAA" w:rsidRDefault="004D1935" w:rsidP="00E24DC9">
            <w:pPr>
              <w:rPr>
                <w:rFonts w:ascii="Calibri" w:hAnsi="Calibri" w:cs="Calibri"/>
                <w:color w:val="000000"/>
                <w:sz w:val="15"/>
                <w:szCs w:val="15"/>
              </w:rPr>
            </w:pPr>
          </w:p>
        </w:tc>
        <w:tc>
          <w:tcPr>
            <w:tcW w:w="2127" w:type="dxa"/>
            <w:vMerge/>
          </w:tcPr>
          <w:p w14:paraId="6E0B2FE9" w14:textId="77777777" w:rsidR="004D1935" w:rsidRDefault="004D1935" w:rsidP="00E24DC9"/>
        </w:tc>
        <w:tc>
          <w:tcPr>
            <w:tcW w:w="992" w:type="dxa"/>
            <w:vMerge/>
          </w:tcPr>
          <w:p w14:paraId="3E39E306" w14:textId="77777777" w:rsidR="004D1935" w:rsidRDefault="004D1935" w:rsidP="00E24DC9"/>
        </w:tc>
        <w:tc>
          <w:tcPr>
            <w:tcW w:w="5867" w:type="dxa"/>
            <w:vMerge/>
          </w:tcPr>
          <w:p w14:paraId="4DC72DE0" w14:textId="77777777" w:rsidR="004D1935" w:rsidRDefault="004D1935" w:rsidP="00E24DC9"/>
        </w:tc>
      </w:tr>
      <w:tr w:rsidR="004D1935" w14:paraId="1B407332" w14:textId="77777777" w:rsidTr="00E24DC9">
        <w:tc>
          <w:tcPr>
            <w:tcW w:w="1479" w:type="dxa"/>
            <w:vMerge/>
          </w:tcPr>
          <w:p w14:paraId="1309FA24" w14:textId="77777777" w:rsidR="004D1935" w:rsidRDefault="004D1935" w:rsidP="00E24DC9"/>
        </w:tc>
        <w:tc>
          <w:tcPr>
            <w:tcW w:w="798" w:type="dxa"/>
            <w:tcBorders>
              <w:top w:val="nil"/>
              <w:bottom w:val="nil"/>
            </w:tcBorders>
            <w:vAlign w:val="center"/>
          </w:tcPr>
          <w:p w14:paraId="00CDFE0A" w14:textId="77777777" w:rsidR="004D1935" w:rsidRPr="009165A7" w:rsidRDefault="004D1935" w:rsidP="00E24DC9">
            <w:pPr>
              <w:jc w:val="center"/>
              <w:rPr>
                <w:rFonts w:ascii="Calibri" w:hAnsi="Calibri" w:cs="Calibri"/>
                <w:color w:val="000000"/>
                <w:sz w:val="15"/>
                <w:szCs w:val="15"/>
              </w:rPr>
            </w:pPr>
            <w:r w:rsidRPr="009165A7">
              <w:rPr>
                <w:rFonts w:ascii="Calibri" w:hAnsi="Calibri" w:cs="Calibri"/>
                <w:color w:val="000000"/>
                <w:sz w:val="15"/>
                <w:szCs w:val="15"/>
              </w:rPr>
              <w:t>123.9628</w:t>
            </w:r>
          </w:p>
        </w:tc>
        <w:tc>
          <w:tcPr>
            <w:tcW w:w="1687" w:type="dxa"/>
            <w:vMerge/>
            <w:vAlign w:val="bottom"/>
          </w:tcPr>
          <w:p w14:paraId="799779A1" w14:textId="77777777" w:rsidR="004D1935" w:rsidRPr="002E1EAA" w:rsidRDefault="004D1935" w:rsidP="00E24DC9">
            <w:pPr>
              <w:rPr>
                <w:rFonts w:ascii="Calibri" w:hAnsi="Calibri" w:cs="Calibri"/>
                <w:color w:val="000000"/>
                <w:sz w:val="15"/>
                <w:szCs w:val="15"/>
              </w:rPr>
            </w:pPr>
          </w:p>
        </w:tc>
        <w:tc>
          <w:tcPr>
            <w:tcW w:w="2127" w:type="dxa"/>
            <w:vMerge/>
          </w:tcPr>
          <w:p w14:paraId="432217F1" w14:textId="77777777" w:rsidR="004D1935" w:rsidRDefault="004D1935" w:rsidP="00E24DC9"/>
        </w:tc>
        <w:tc>
          <w:tcPr>
            <w:tcW w:w="992" w:type="dxa"/>
            <w:vMerge/>
          </w:tcPr>
          <w:p w14:paraId="0DFD40B6" w14:textId="77777777" w:rsidR="004D1935" w:rsidRDefault="004D1935" w:rsidP="00E24DC9"/>
        </w:tc>
        <w:tc>
          <w:tcPr>
            <w:tcW w:w="5867" w:type="dxa"/>
            <w:vMerge/>
          </w:tcPr>
          <w:p w14:paraId="47A83685" w14:textId="77777777" w:rsidR="004D1935" w:rsidRDefault="004D1935" w:rsidP="00E24DC9"/>
        </w:tc>
      </w:tr>
      <w:tr w:rsidR="004D1935" w14:paraId="64ACD932" w14:textId="77777777" w:rsidTr="00E24DC9">
        <w:trPr>
          <w:trHeight w:val="313"/>
        </w:trPr>
        <w:tc>
          <w:tcPr>
            <w:tcW w:w="1479" w:type="dxa"/>
            <w:vMerge/>
          </w:tcPr>
          <w:p w14:paraId="129007B4" w14:textId="77777777" w:rsidR="004D1935" w:rsidRDefault="004D1935" w:rsidP="00E24DC9"/>
        </w:tc>
        <w:tc>
          <w:tcPr>
            <w:tcW w:w="798" w:type="dxa"/>
            <w:tcBorders>
              <w:top w:val="nil"/>
              <w:bottom w:val="nil"/>
            </w:tcBorders>
            <w:vAlign w:val="bottom"/>
          </w:tcPr>
          <w:p w14:paraId="3A844342" w14:textId="77777777" w:rsidR="004D1935" w:rsidRPr="009165A7" w:rsidRDefault="004D1935" w:rsidP="00E24DC9">
            <w:pPr>
              <w:rPr>
                <w:rFonts w:ascii="Calibri" w:hAnsi="Calibri" w:cs="Calibri"/>
                <w:color w:val="000000"/>
                <w:sz w:val="16"/>
                <w:szCs w:val="16"/>
              </w:rPr>
            </w:pPr>
          </w:p>
        </w:tc>
        <w:tc>
          <w:tcPr>
            <w:tcW w:w="1687" w:type="dxa"/>
            <w:vMerge/>
            <w:vAlign w:val="bottom"/>
          </w:tcPr>
          <w:p w14:paraId="7F14FDA9" w14:textId="77777777" w:rsidR="004D1935" w:rsidRPr="002E1EAA" w:rsidRDefault="004D1935" w:rsidP="00E24DC9">
            <w:pPr>
              <w:rPr>
                <w:rFonts w:ascii="Calibri" w:hAnsi="Calibri" w:cs="Calibri"/>
                <w:color w:val="000000"/>
                <w:sz w:val="15"/>
                <w:szCs w:val="15"/>
              </w:rPr>
            </w:pPr>
          </w:p>
        </w:tc>
        <w:tc>
          <w:tcPr>
            <w:tcW w:w="2127" w:type="dxa"/>
            <w:vMerge/>
          </w:tcPr>
          <w:p w14:paraId="63542F8F" w14:textId="77777777" w:rsidR="004D1935" w:rsidRDefault="004D1935" w:rsidP="00E24DC9"/>
        </w:tc>
        <w:tc>
          <w:tcPr>
            <w:tcW w:w="992" w:type="dxa"/>
            <w:vMerge/>
          </w:tcPr>
          <w:p w14:paraId="2FB161D5" w14:textId="77777777" w:rsidR="004D1935" w:rsidRDefault="004D1935" w:rsidP="00E24DC9"/>
        </w:tc>
        <w:tc>
          <w:tcPr>
            <w:tcW w:w="5867" w:type="dxa"/>
            <w:vMerge/>
          </w:tcPr>
          <w:p w14:paraId="4302FCE6" w14:textId="77777777" w:rsidR="004D1935" w:rsidRDefault="004D1935" w:rsidP="00E24DC9"/>
        </w:tc>
      </w:tr>
      <w:tr w:rsidR="004D1935" w14:paraId="6882ADFF" w14:textId="77777777" w:rsidTr="00E24DC9">
        <w:tc>
          <w:tcPr>
            <w:tcW w:w="1479" w:type="dxa"/>
            <w:vMerge/>
          </w:tcPr>
          <w:p w14:paraId="5615449B" w14:textId="77777777" w:rsidR="004D1935" w:rsidRDefault="004D1935" w:rsidP="00E24DC9"/>
        </w:tc>
        <w:tc>
          <w:tcPr>
            <w:tcW w:w="798" w:type="dxa"/>
            <w:tcBorders>
              <w:top w:val="nil"/>
              <w:bottom w:val="nil"/>
            </w:tcBorders>
            <w:vAlign w:val="bottom"/>
          </w:tcPr>
          <w:p w14:paraId="08F5C84D"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5811EB37" w14:textId="77777777" w:rsidR="004D1935" w:rsidRPr="002E1EAA" w:rsidRDefault="004D1935" w:rsidP="00E24DC9">
            <w:pPr>
              <w:rPr>
                <w:rFonts w:ascii="Calibri" w:hAnsi="Calibri" w:cs="Calibri"/>
                <w:color w:val="000000"/>
                <w:sz w:val="15"/>
                <w:szCs w:val="15"/>
              </w:rPr>
            </w:pPr>
          </w:p>
        </w:tc>
        <w:tc>
          <w:tcPr>
            <w:tcW w:w="2127" w:type="dxa"/>
            <w:vMerge/>
          </w:tcPr>
          <w:p w14:paraId="4279947E" w14:textId="77777777" w:rsidR="004D1935" w:rsidRDefault="004D1935" w:rsidP="00E24DC9"/>
        </w:tc>
        <w:tc>
          <w:tcPr>
            <w:tcW w:w="992" w:type="dxa"/>
            <w:vMerge/>
          </w:tcPr>
          <w:p w14:paraId="4D4274BF" w14:textId="77777777" w:rsidR="004D1935" w:rsidRDefault="004D1935" w:rsidP="00E24DC9"/>
        </w:tc>
        <w:tc>
          <w:tcPr>
            <w:tcW w:w="5867" w:type="dxa"/>
            <w:vMerge/>
          </w:tcPr>
          <w:p w14:paraId="0985AE77" w14:textId="77777777" w:rsidR="004D1935" w:rsidRDefault="004D1935" w:rsidP="00E24DC9"/>
        </w:tc>
      </w:tr>
      <w:tr w:rsidR="004D1935" w14:paraId="47A09A03" w14:textId="77777777" w:rsidTr="00E24DC9">
        <w:tc>
          <w:tcPr>
            <w:tcW w:w="1479" w:type="dxa"/>
            <w:vMerge/>
          </w:tcPr>
          <w:p w14:paraId="7859F443" w14:textId="77777777" w:rsidR="004D1935" w:rsidRDefault="004D1935" w:rsidP="00E24DC9"/>
        </w:tc>
        <w:tc>
          <w:tcPr>
            <w:tcW w:w="798" w:type="dxa"/>
            <w:tcBorders>
              <w:top w:val="nil"/>
              <w:bottom w:val="nil"/>
            </w:tcBorders>
            <w:vAlign w:val="bottom"/>
          </w:tcPr>
          <w:p w14:paraId="2DFCAC5F"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516D8011" w14:textId="77777777" w:rsidR="004D1935" w:rsidRPr="002E1EAA" w:rsidRDefault="004D1935" w:rsidP="00E24DC9">
            <w:pPr>
              <w:rPr>
                <w:rFonts w:ascii="Calibri" w:hAnsi="Calibri" w:cs="Calibri"/>
                <w:color w:val="000000"/>
                <w:sz w:val="15"/>
                <w:szCs w:val="15"/>
              </w:rPr>
            </w:pPr>
          </w:p>
        </w:tc>
        <w:tc>
          <w:tcPr>
            <w:tcW w:w="2127" w:type="dxa"/>
            <w:vMerge/>
          </w:tcPr>
          <w:p w14:paraId="70D6F7EC" w14:textId="77777777" w:rsidR="004D1935" w:rsidRDefault="004D1935" w:rsidP="00E24DC9"/>
        </w:tc>
        <w:tc>
          <w:tcPr>
            <w:tcW w:w="992" w:type="dxa"/>
            <w:vMerge/>
          </w:tcPr>
          <w:p w14:paraId="01F1FA38" w14:textId="77777777" w:rsidR="004D1935" w:rsidRDefault="004D1935" w:rsidP="00E24DC9"/>
        </w:tc>
        <w:tc>
          <w:tcPr>
            <w:tcW w:w="5867" w:type="dxa"/>
            <w:vMerge/>
          </w:tcPr>
          <w:p w14:paraId="3B18F5F5" w14:textId="77777777" w:rsidR="004D1935" w:rsidRDefault="004D1935" w:rsidP="00E24DC9"/>
        </w:tc>
      </w:tr>
      <w:tr w:rsidR="004D1935" w14:paraId="614DB387" w14:textId="77777777" w:rsidTr="00E24DC9">
        <w:tc>
          <w:tcPr>
            <w:tcW w:w="1479" w:type="dxa"/>
            <w:vMerge/>
          </w:tcPr>
          <w:p w14:paraId="7741460B" w14:textId="77777777" w:rsidR="004D1935" w:rsidRDefault="004D1935" w:rsidP="00E24DC9"/>
        </w:tc>
        <w:tc>
          <w:tcPr>
            <w:tcW w:w="798" w:type="dxa"/>
            <w:tcBorders>
              <w:top w:val="nil"/>
              <w:bottom w:val="nil"/>
            </w:tcBorders>
            <w:vAlign w:val="bottom"/>
          </w:tcPr>
          <w:p w14:paraId="1E2915D9"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2937F76E" w14:textId="77777777" w:rsidR="004D1935" w:rsidRPr="002E1EAA" w:rsidRDefault="004D1935" w:rsidP="00E24DC9">
            <w:pPr>
              <w:rPr>
                <w:rFonts w:ascii="Calibri" w:hAnsi="Calibri" w:cs="Calibri"/>
                <w:color w:val="000000"/>
                <w:sz w:val="15"/>
                <w:szCs w:val="15"/>
              </w:rPr>
            </w:pPr>
          </w:p>
        </w:tc>
        <w:tc>
          <w:tcPr>
            <w:tcW w:w="2127" w:type="dxa"/>
            <w:vMerge/>
          </w:tcPr>
          <w:p w14:paraId="631C0961" w14:textId="77777777" w:rsidR="004D1935" w:rsidRDefault="004D1935" w:rsidP="00E24DC9"/>
        </w:tc>
        <w:tc>
          <w:tcPr>
            <w:tcW w:w="992" w:type="dxa"/>
            <w:vMerge/>
          </w:tcPr>
          <w:p w14:paraId="45A0C6F3" w14:textId="77777777" w:rsidR="004D1935" w:rsidRDefault="004D1935" w:rsidP="00E24DC9"/>
        </w:tc>
        <w:tc>
          <w:tcPr>
            <w:tcW w:w="5867" w:type="dxa"/>
            <w:vMerge/>
          </w:tcPr>
          <w:p w14:paraId="43FD23A8" w14:textId="77777777" w:rsidR="004D1935" w:rsidRDefault="004D1935" w:rsidP="00E24DC9"/>
        </w:tc>
      </w:tr>
      <w:tr w:rsidR="004D1935" w14:paraId="099631AF" w14:textId="77777777" w:rsidTr="00E24DC9">
        <w:tc>
          <w:tcPr>
            <w:tcW w:w="1479" w:type="dxa"/>
            <w:vMerge/>
          </w:tcPr>
          <w:p w14:paraId="7CED3787" w14:textId="77777777" w:rsidR="004D1935" w:rsidRDefault="004D1935" w:rsidP="00E24DC9"/>
        </w:tc>
        <w:tc>
          <w:tcPr>
            <w:tcW w:w="798" w:type="dxa"/>
            <w:tcBorders>
              <w:top w:val="nil"/>
              <w:bottom w:val="nil"/>
            </w:tcBorders>
            <w:vAlign w:val="bottom"/>
          </w:tcPr>
          <w:p w14:paraId="33782F0E"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24B1ED0D" w14:textId="77777777" w:rsidR="004D1935" w:rsidRPr="002E1EAA" w:rsidRDefault="004D1935" w:rsidP="00E24DC9">
            <w:pPr>
              <w:rPr>
                <w:rFonts w:ascii="Calibri" w:hAnsi="Calibri" w:cs="Calibri"/>
                <w:color w:val="000000"/>
                <w:sz w:val="15"/>
                <w:szCs w:val="15"/>
              </w:rPr>
            </w:pPr>
          </w:p>
        </w:tc>
        <w:tc>
          <w:tcPr>
            <w:tcW w:w="2127" w:type="dxa"/>
            <w:vMerge/>
          </w:tcPr>
          <w:p w14:paraId="58DFD1B4" w14:textId="77777777" w:rsidR="004D1935" w:rsidRDefault="004D1935" w:rsidP="00E24DC9"/>
        </w:tc>
        <w:tc>
          <w:tcPr>
            <w:tcW w:w="992" w:type="dxa"/>
            <w:vMerge/>
          </w:tcPr>
          <w:p w14:paraId="1D7CD942" w14:textId="77777777" w:rsidR="004D1935" w:rsidRDefault="004D1935" w:rsidP="00E24DC9"/>
        </w:tc>
        <w:tc>
          <w:tcPr>
            <w:tcW w:w="5867" w:type="dxa"/>
            <w:vMerge/>
          </w:tcPr>
          <w:p w14:paraId="59A77DE9" w14:textId="77777777" w:rsidR="004D1935" w:rsidRDefault="004D1935" w:rsidP="00E24DC9"/>
        </w:tc>
      </w:tr>
      <w:tr w:rsidR="004D1935" w14:paraId="00B90047" w14:textId="77777777" w:rsidTr="00E24DC9">
        <w:tc>
          <w:tcPr>
            <w:tcW w:w="1479" w:type="dxa"/>
            <w:vMerge/>
          </w:tcPr>
          <w:p w14:paraId="61FCB87A" w14:textId="77777777" w:rsidR="004D1935" w:rsidRDefault="004D1935" w:rsidP="00E24DC9"/>
        </w:tc>
        <w:tc>
          <w:tcPr>
            <w:tcW w:w="798" w:type="dxa"/>
            <w:tcBorders>
              <w:top w:val="nil"/>
              <w:bottom w:val="nil"/>
            </w:tcBorders>
            <w:vAlign w:val="bottom"/>
          </w:tcPr>
          <w:p w14:paraId="373DF91C"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5F8A8A60" w14:textId="77777777" w:rsidR="004D1935" w:rsidRPr="002E1EAA" w:rsidRDefault="004D1935" w:rsidP="00E24DC9">
            <w:pPr>
              <w:rPr>
                <w:rFonts w:ascii="Calibri" w:hAnsi="Calibri" w:cs="Calibri"/>
                <w:color w:val="000000"/>
                <w:sz w:val="15"/>
                <w:szCs w:val="15"/>
              </w:rPr>
            </w:pPr>
          </w:p>
        </w:tc>
        <w:tc>
          <w:tcPr>
            <w:tcW w:w="2127" w:type="dxa"/>
            <w:vMerge/>
          </w:tcPr>
          <w:p w14:paraId="60EB7198" w14:textId="77777777" w:rsidR="004D1935" w:rsidRDefault="004D1935" w:rsidP="00E24DC9"/>
        </w:tc>
        <w:tc>
          <w:tcPr>
            <w:tcW w:w="992" w:type="dxa"/>
            <w:vMerge/>
          </w:tcPr>
          <w:p w14:paraId="4371C390" w14:textId="77777777" w:rsidR="004D1935" w:rsidRDefault="004D1935" w:rsidP="00E24DC9"/>
        </w:tc>
        <w:tc>
          <w:tcPr>
            <w:tcW w:w="5867" w:type="dxa"/>
            <w:vMerge/>
          </w:tcPr>
          <w:p w14:paraId="7E684200" w14:textId="77777777" w:rsidR="004D1935" w:rsidRDefault="004D1935" w:rsidP="00E24DC9"/>
        </w:tc>
      </w:tr>
      <w:tr w:rsidR="004D1935" w14:paraId="22692DFA" w14:textId="77777777" w:rsidTr="00E24DC9">
        <w:tc>
          <w:tcPr>
            <w:tcW w:w="1479" w:type="dxa"/>
            <w:vMerge/>
          </w:tcPr>
          <w:p w14:paraId="544C4416" w14:textId="77777777" w:rsidR="004D1935" w:rsidRDefault="004D1935" w:rsidP="00E24DC9"/>
        </w:tc>
        <w:tc>
          <w:tcPr>
            <w:tcW w:w="798" w:type="dxa"/>
            <w:tcBorders>
              <w:top w:val="nil"/>
              <w:bottom w:val="nil"/>
            </w:tcBorders>
            <w:vAlign w:val="bottom"/>
          </w:tcPr>
          <w:p w14:paraId="0CDCE4DA"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11442A82" w14:textId="77777777" w:rsidR="004D1935" w:rsidRPr="002E1EAA" w:rsidRDefault="004D1935" w:rsidP="00E24DC9">
            <w:pPr>
              <w:rPr>
                <w:rFonts w:ascii="Calibri" w:hAnsi="Calibri" w:cs="Calibri"/>
                <w:color w:val="000000"/>
                <w:sz w:val="15"/>
                <w:szCs w:val="15"/>
              </w:rPr>
            </w:pPr>
          </w:p>
        </w:tc>
        <w:tc>
          <w:tcPr>
            <w:tcW w:w="2127" w:type="dxa"/>
            <w:vMerge/>
          </w:tcPr>
          <w:p w14:paraId="7F1F7040" w14:textId="77777777" w:rsidR="004D1935" w:rsidRDefault="004D1935" w:rsidP="00E24DC9"/>
        </w:tc>
        <w:tc>
          <w:tcPr>
            <w:tcW w:w="992" w:type="dxa"/>
            <w:vMerge/>
          </w:tcPr>
          <w:p w14:paraId="74223BD6" w14:textId="77777777" w:rsidR="004D1935" w:rsidRDefault="004D1935" w:rsidP="00E24DC9"/>
        </w:tc>
        <w:tc>
          <w:tcPr>
            <w:tcW w:w="5867" w:type="dxa"/>
            <w:vMerge/>
          </w:tcPr>
          <w:p w14:paraId="605E72DB" w14:textId="77777777" w:rsidR="004D1935" w:rsidRDefault="004D1935" w:rsidP="00E24DC9"/>
        </w:tc>
      </w:tr>
      <w:tr w:rsidR="004D1935" w14:paraId="4F44B74B" w14:textId="77777777" w:rsidTr="00E24DC9">
        <w:tc>
          <w:tcPr>
            <w:tcW w:w="1479" w:type="dxa"/>
            <w:vMerge/>
          </w:tcPr>
          <w:p w14:paraId="3815914F" w14:textId="77777777" w:rsidR="004D1935" w:rsidRDefault="004D1935" w:rsidP="00E24DC9"/>
        </w:tc>
        <w:tc>
          <w:tcPr>
            <w:tcW w:w="798" w:type="dxa"/>
            <w:tcBorders>
              <w:top w:val="nil"/>
              <w:bottom w:val="nil"/>
            </w:tcBorders>
            <w:vAlign w:val="bottom"/>
          </w:tcPr>
          <w:p w14:paraId="2E745419"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3FCB191A" w14:textId="77777777" w:rsidR="004D1935" w:rsidRPr="002E1EAA" w:rsidRDefault="004D1935" w:rsidP="00E24DC9">
            <w:pPr>
              <w:rPr>
                <w:rFonts w:ascii="Calibri" w:hAnsi="Calibri" w:cs="Calibri"/>
                <w:color w:val="000000"/>
                <w:sz w:val="15"/>
                <w:szCs w:val="15"/>
              </w:rPr>
            </w:pPr>
          </w:p>
        </w:tc>
        <w:tc>
          <w:tcPr>
            <w:tcW w:w="2127" w:type="dxa"/>
            <w:vMerge/>
          </w:tcPr>
          <w:p w14:paraId="6D8EC200" w14:textId="77777777" w:rsidR="004D1935" w:rsidRDefault="004D1935" w:rsidP="00E24DC9"/>
        </w:tc>
        <w:tc>
          <w:tcPr>
            <w:tcW w:w="992" w:type="dxa"/>
            <w:vMerge/>
          </w:tcPr>
          <w:p w14:paraId="18B565C0" w14:textId="77777777" w:rsidR="004D1935" w:rsidRDefault="004D1935" w:rsidP="00E24DC9"/>
        </w:tc>
        <w:tc>
          <w:tcPr>
            <w:tcW w:w="5867" w:type="dxa"/>
            <w:vMerge/>
          </w:tcPr>
          <w:p w14:paraId="020D3206" w14:textId="77777777" w:rsidR="004D1935" w:rsidRDefault="004D1935" w:rsidP="00E24DC9"/>
        </w:tc>
      </w:tr>
      <w:tr w:rsidR="004D1935" w14:paraId="407CDA27" w14:textId="77777777" w:rsidTr="00E24DC9">
        <w:tc>
          <w:tcPr>
            <w:tcW w:w="1479" w:type="dxa"/>
            <w:vMerge/>
          </w:tcPr>
          <w:p w14:paraId="1A388B0C" w14:textId="77777777" w:rsidR="004D1935" w:rsidRDefault="004D1935" w:rsidP="00E24DC9"/>
        </w:tc>
        <w:tc>
          <w:tcPr>
            <w:tcW w:w="798" w:type="dxa"/>
            <w:tcBorders>
              <w:top w:val="nil"/>
              <w:bottom w:val="nil"/>
            </w:tcBorders>
            <w:vAlign w:val="bottom"/>
          </w:tcPr>
          <w:p w14:paraId="063B0AD4"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221B14B9" w14:textId="77777777" w:rsidR="004D1935" w:rsidRPr="002E1EAA" w:rsidRDefault="004D1935" w:rsidP="00E24DC9">
            <w:pPr>
              <w:rPr>
                <w:rFonts w:ascii="Calibri" w:hAnsi="Calibri" w:cs="Calibri"/>
                <w:color w:val="000000"/>
                <w:sz w:val="15"/>
                <w:szCs w:val="15"/>
              </w:rPr>
            </w:pPr>
          </w:p>
        </w:tc>
        <w:tc>
          <w:tcPr>
            <w:tcW w:w="2127" w:type="dxa"/>
            <w:vMerge/>
          </w:tcPr>
          <w:p w14:paraId="03F6CF68" w14:textId="77777777" w:rsidR="004D1935" w:rsidRDefault="004D1935" w:rsidP="00E24DC9"/>
        </w:tc>
        <w:tc>
          <w:tcPr>
            <w:tcW w:w="992" w:type="dxa"/>
            <w:vMerge/>
          </w:tcPr>
          <w:p w14:paraId="2E7F8639" w14:textId="77777777" w:rsidR="004D1935" w:rsidRDefault="004D1935" w:rsidP="00E24DC9"/>
        </w:tc>
        <w:tc>
          <w:tcPr>
            <w:tcW w:w="5867" w:type="dxa"/>
            <w:vMerge/>
          </w:tcPr>
          <w:p w14:paraId="6D4D1072" w14:textId="77777777" w:rsidR="004D1935" w:rsidRDefault="004D1935" w:rsidP="00E24DC9"/>
        </w:tc>
      </w:tr>
      <w:tr w:rsidR="004D1935" w14:paraId="65D5EC70" w14:textId="77777777" w:rsidTr="00E24DC9">
        <w:tc>
          <w:tcPr>
            <w:tcW w:w="1479" w:type="dxa"/>
            <w:vMerge/>
          </w:tcPr>
          <w:p w14:paraId="10C9E403" w14:textId="77777777" w:rsidR="004D1935" w:rsidRDefault="004D1935" w:rsidP="00E24DC9"/>
        </w:tc>
        <w:tc>
          <w:tcPr>
            <w:tcW w:w="798" w:type="dxa"/>
            <w:tcBorders>
              <w:top w:val="nil"/>
              <w:bottom w:val="nil"/>
            </w:tcBorders>
            <w:vAlign w:val="bottom"/>
          </w:tcPr>
          <w:p w14:paraId="2C3CF266"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392C0C72" w14:textId="77777777" w:rsidR="004D1935" w:rsidRPr="002E1EAA" w:rsidRDefault="004D1935" w:rsidP="00E24DC9">
            <w:pPr>
              <w:rPr>
                <w:rFonts w:ascii="Calibri" w:hAnsi="Calibri" w:cs="Calibri"/>
                <w:color w:val="000000"/>
                <w:sz w:val="15"/>
                <w:szCs w:val="15"/>
              </w:rPr>
            </w:pPr>
          </w:p>
        </w:tc>
        <w:tc>
          <w:tcPr>
            <w:tcW w:w="2127" w:type="dxa"/>
            <w:vMerge/>
          </w:tcPr>
          <w:p w14:paraId="69E63FA3" w14:textId="77777777" w:rsidR="004D1935" w:rsidRDefault="004D1935" w:rsidP="00E24DC9"/>
        </w:tc>
        <w:tc>
          <w:tcPr>
            <w:tcW w:w="992" w:type="dxa"/>
            <w:vMerge/>
          </w:tcPr>
          <w:p w14:paraId="41244255" w14:textId="77777777" w:rsidR="004D1935" w:rsidRDefault="004D1935" w:rsidP="00E24DC9"/>
        </w:tc>
        <w:tc>
          <w:tcPr>
            <w:tcW w:w="5867" w:type="dxa"/>
            <w:vMerge/>
          </w:tcPr>
          <w:p w14:paraId="271182DC" w14:textId="77777777" w:rsidR="004D1935" w:rsidRDefault="004D1935" w:rsidP="00E24DC9"/>
        </w:tc>
      </w:tr>
      <w:tr w:rsidR="004D1935" w14:paraId="3D4E6170" w14:textId="77777777" w:rsidTr="00E24DC9">
        <w:tc>
          <w:tcPr>
            <w:tcW w:w="1479" w:type="dxa"/>
            <w:vMerge/>
          </w:tcPr>
          <w:p w14:paraId="5ADC7F92" w14:textId="77777777" w:rsidR="004D1935" w:rsidRDefault="004D1935" w:rsidP="00E24DC9"/>
        </w:tc>
        <w:tc>
          <w:tcPr>
            <w:tcW w:w="798" w:type="dxa"/>
            <w:tcBorders>
              <w:top w:val="nil"/>
              <w:bottom w:val="nil"/>
            </w:tcBorders>
            <w:vAlign w:val="bottom"/>
          </w:tcPr>
          <w:p w14:paraId="5816D9AE"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7FA9D9A6" w14:textId="77777777" w:rsidR="004D1935" w:rsidRPr="002E1EAA" w:rsidRDefault="004D1935" w:rsidP="00E24DC9">
            <w:pPr>
              <w:rPr>
                <w:rFonts w:ascii="Calibri" w:hAnsi="Calibri" w:cs="Calibri"/>
                <w:color w:val="000000"/>
                <w:sz w:val="15"/>
                <w:szCs w:val="15"/>
              </w:rPr>
            </w:pPr>
          </w:p>
        </w:tc>
        <w:tc>
          <w:tcPr>
            <w:tcW w:w="2127" w:type="dxa"/>
            <w:vMerge/>
          </w:tcPr>
          <w:p w14:paraId="320FB5A8" w14:textId="77777777" w:rsidR="004D1935" w:rsidRDefault="004D1935" w:rsidP="00E24DC9"/>
        </w:tc>
        <w:tc>
          <w:tcPr>
            <w:tcW w:w="992" w:type="dxa"/>
            <w:vMerge/>
          </w:tcPr>
          <w:p w14:paraId="1FB8CDB8" w14:textId="77777777" w:rsidR="004D1935" w:rsidRDefault="004D1935" w:rsidP="00E24DC9"/>
        </w:tc>
        <w:tc>
          <w:tcPr>
            <w:tcW w:w="5867" w:type="dxa"/>
            <w:vMerge/>
          </w:tcPr>
          <w:p w14:paraId="0FB8BD99" w14:textId="77777777" w:rsidR="004D1935" w:rsidRDefault="004D1935" w:rsidP="00E24DC9"/>
        </w:tc>
      </w:tr>
      <w:tr w:rsidR="004D1935" w14:paraId="44E5838C" w14:textId="77777777" w:rsidTr="00E24DC9">
        <w:tc>
          <w:tcPr>
            <w:tcW w:w="1479" w:type="dxa"/>
            <w:vMerge/>
          </w:tcPr>
          <w:p w14:paraId="02FCCAC7" w14:textId="77777777" w:rsidR="004D1935" w:rsidRDefault="004D1935" w:rsidP="00E24DC9"/>
        </w:tc>
        <w:tc>
          <w:tcPr>
            <w:tcW w:w="798" w:type="dxa"/>
            <w:tcBorders>
              <w:top w:val="nil"/>
              <w:bottom w:val="nil"/>
            </w:tcBorders>
            <w:vAlign w:val="bottom"/>
          </w:tcPr>
          <w:p w14:paraId="36FBD38A"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75EF2528" w14:textId="77777777" w:rsidR="004D1935" w:rsidRPr="002E1EAA" w:rsidRDefault="004D1935" w:rsidP="00E24DC9">
            <w:pPr>
              <w:rPr>
                <w:rFonts w:ascii="Calibri" w:hAnsi="Calibri" w:cs="Calibri"/>
                <w:color w:val="000000"/>
                <w:sz w:val="15"/>
                <w:szCs w:val="15"/>
              </w:rPr>
            </w:pPr>
          </w:p>
        </w:tc>
        <w:tc>
          <w:tcPr>
            <w:tcW w:w="2127" w:type="dxa"/>
            <w:vMerge/>
          </w:tcPr>
          <w:p w14:paraId="72716012" w14:textId="77777777" w:rsidR="004D1935" w:rsidRDefault="004D1935" w:rsidP="00E24DC9"/>
        </w:tc>
        <w:tc>
          <w:tcPr>
            <w:tcW w:w="992" w:type="dxa"/>
            <w:vMerge/>
          </w:tcPr>
          <w:p w14:paraId="027F8C27" w14:textId="77777777" w:rsidR="004D1935" w:rsidRDefault="004D1935" w:rsidP="00E24DC9"/>
        </w:tc>
        <w:tc>
          <w:tcPr>
            <w:tcW w:w="5867" w:type="dxa"/>
            <w:vMerge/>
          </w:tcPr>
          <w:p w14:paraId="72306026" w14:textId="77777777" w:rsidR="004D1935" w:rsidRDefault="004D1935" w:rsidP="00E24DC9"/>
        </w:tc>
      </w:tr>
      <w:tr w:rsidR="004D1935" w14:paraId="29F996FC" w14:textId="77777777" w:rsidTr="00E24DC9">
        <w:tc>
          <w:tcPr>
            <w:tcW w:w="1479" w:type="dxa"/>
            <w:vMerge/>
          </w:tcPr>
          <w:p w14:paraId="33F47870" w14:textId="77777777" w:rsidR="004D1935" w:rsidRDefault="004D1935" w:rsidP="00E24DC9"/>
        </w:tc>
        <w:tc>
          <w:tcPr>
            <w:tcW w:w="798" w:type="dxa"/>
            <w:tcBorders>
              <w:top w:val="nil"/>
              <w:bottom w:val="nil"/>
            </w:tcBorders>
            <w:vAlign w:val="bottom"/>
          </w:tcPr>
          <w:p w14:paraId="44BD2DB7"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288F94D5" w14:textId="77777777" w:rsidR="004D1935" w:rsidRPr="002E1EAA" w:rsidRDefault="004D1935" w:rsidP="00E24DC9">
            <w:pPr>
              <w:rPr>
                <w:rFonts w:ascii="Calibri" w:hAnsi="Calibri" w:cs="Calibri"/>
                <w:color w:val="000000"/>
                <w:sz w:val="15"/>
                <w:szCs w:val="15"/>
              </w:rPr>
            </w:pPr>
          </w:p>
        </w:tc>
        <w:tc>
          <w:tcPr>
            <w:tcW w:w="2127" w:type="dxa"/>
            <w:vMerge/>
          </w:tcPr>
          <w:p w14:paraId="274D7091" w14:textId="77777777" w:rsidR="004D1935" w:rsidRDefault="004D1935" w:rsidP="00E24DC9"/>
        </w:tc>
        <w:tc>
          <w:tcPr>
            <w:tcW w:w="992" w:type="dxa"/>
            <w:vMerge/>
          </w:tcPr>
          <w:p w14:paraId="60E44590" w14:textId="77777777" w:rsidR="004D1935" w:rsidRDefault="004D1935" w:rsidP="00E24DC9"/>
        </w:tc>
        <w:tc>
          <w:tcPr>
            <w:tcW w:w="5867" w:type="dxa"/>
            <w:vMerge/>
          </w:tcPr>
          <w:p w14:paraId="304D8BD1" w14:textId="77777777" w:rsidR="004D1935" w:rsidRDefault="004D1935" w:rsidP="00E24DC9"/>
        </w:tc>
      </w:tr>
      <w:tr w:rsidR="004D1935" w14:paraId="34F357C9" w14:textId="77777777" w:rsidTr="00E24DC9">
        <w:tc>
          <w:tcPr>
            <w:tcW w:w="1479" w:type="dxa"/>
            <w:vMerge/>
          </w:tcPr>
          <w:p w14:paraId="67221504" w14:textId="77777777" w:rsidR="004D1935" w:rsidRDefault="004D1935" w:rsidP="00E24DC9"/>
        </w:tc>
        <w:tc>
          <w:tcPr>
            <w:tcW w:w="798" w:type="dxa"/>
            <w:tcBorders>
              <w:top w:val="nil"/>
              <w:bottom w:val="nil"/>
            </w:tcBorders>
            <w:vAlign w:val="bottom"/>
          </w:tcPr>
          <w:p w14:paraId="218D21A2"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3E4FFBE6" w14:textId="77777777" w:rsidR="004D1935" w:rsidRPr="002E1EAA" w:rsidRDefault="004D1935" w:rsidP="00E24DC9">
            <w:pPr>
              <w:rPr>
                <w:rFonts w:ascii="Calibri" w:hAnsi="Calibri" w:cs="Calibri"/>
                <w:color w:val="000000"/>
                <w:sz w:val="15"/>
                <w:szCs w:val="15"/>
              </w:rPr>
            </w:pPr>
          </w:p>
        </w:tc>
        <w:tc>
          <w:tcPr>
            <w:tcW w:w="2127" w:type="dxa"/>
            <w:vMerge/>
          </w:tcPr>
          <w:p w14:paraId="1D7F7B4D" w14:textId="77777777" w:rsidR="004D1935" w:rsidRDefault="004D1935" w:rsidP="00E24DC9"/>
        </w:tc>
        <w:tc>
          <w:tcPr>
            <w:tcW w:w="992" w:type="dxa"/>
            <w:vMerge/>
          </w:tcPr>
          <w:p w14:paraId="3EA9FD28" w14:textId="77777777" w:rsidR="004D1935" w:rsidRDefault="004D1935" w:rsidP="00E24DC9"/>
        </w:tc>
        <w:tc>
          <w:tcPr>
            <w:tcW w:w="5867" w:type="dxa"/>
            <w:vMerge/>
          </w:tcPr>
          <w:p w14:paraId="1A61CC9D" w14:textId="77777777" w:rsidR="004D1935" w:rsidRDefault="004D1935" w:rsidP="00E24DC9"/>
        </w:tc>
      </w:tr>
      <w:tr w:rsidR="004D1935" w14:paraId="12B12DCA" w14:textId="77777777" w:rsidTr="00E24DC9">
        <w:tc>
          <w:tcPr>
            <w:tcW w:w="1479" w:type="dxa"/>
            <w:vMerge/>
          </w:tcPr>
          <w:p w14:paraId="767B8F0F" w14:textId="77777777" w:rsidR="004D1935" w:rsidRDefault="004D1935" w:rsidP="00E24DC9"/>
        </w:tc>
        <w:tc>
          <w:tcPr>
            <w:tcW w:w="798" w:type="dxa"/>
            <w:tcBorders>
              <w:top w:val="nil"/>
              <w:bottom w:val="nil"/>
            </w:tcBorders>
            <w:vAlign w:val="bottom"/>
          </w:tcPr>
          <w:p w14:paraId="7D2C38DE"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248E97C2" w14:textId="77777777" w:rsidR="004D1935" w:rsidRPr="002E1EAA" w:rsidRDefault="004D1935" w:rsidP="00E24DC9">
            <w:pPr>
              <w:rPr>
                <w:rFonts w:ascii="Calibri" w:hAnsi="Calibri" w:cs="Calibri"/>
                <w:color w:val="000000"/>
                <w:sz w:val="15"/>
                <w:szCs w:val="15"/>
              </w:rPr>
            </w:pPr>
          </w:p>
        </w:tc>
        <w:tc>
          <w:tcPr>
            <w:tcW w:w="2127" w:type="dxa"/>
            <w:vMerge/>
          </w:tcPr>
          <w:p w14:paraId="0D60B1BD" w14:textId="77777777" w:rsidR="004D1935" w:rsidRDefault="004D1935" w:rsidP="00E24DC9"/>
        </w:tc>
        <w:tc>
          <w:tcPr>
            <w:tcW w:w="992" w:type="dxa"/>
            <w:vMerge/>
          </w:tcPr>
          <w:p w14:paraId="518F6558" w14:textId="77777777" w:rsidR="004D1935" w:rsidRDefault="004D1935" w:rsidP="00E24DC9"/>
        </w:tc>
        <w:tc>
          <w:tcPr>
            <w:tcW w:w="5867" w:type="dxa"/>
            <w:vMerge/>
          </w:tcPr>
          <w:p w14:paraId="052FB7F7" w14:textId="77777777" w:rsidR="004D1935" w:rsidRDefault="004D1935" w:rsidP="00E24DC9"/>
        </w:tc>
      </w:tr>
      <w:tr w:rsidR="004D1935" w14:paraId="5BDADAAD" w14:textId="77777777" w:rsidTr="00E24DC9">
        <w:tc>
          <w:tcPr>
            <w:tcW w:w="1479" w:type="dxa"/>
            <w:vMerge/>
          </w:tcPr>
          <w:p w14:paraId="3236548F" w14:textId="77777777" w:rsidR="004D1935" w:rsidRDefault="004D1935" w:rsidP="00E24DC9"/>
        </w:tc>
        <w:tc>
          <w:tcPr>
            <w:tcW w:w="798" w:type="dxa"/>
            <w:tcBorders>
              <w:top w:val="nil"/>
              <w:bottom w:val="nil"/>
            </w:tcBorders>
            <w:vAlign w:val="bottom"/>
          </w:tcPr>
          <w:p w14:paraId="6956B1F0"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3DF522AC" w14:textId="77777777" w:rsidR="004D1935" w:rsidRPr="002E1EAA" w:rsidRDefault="004D1935" w:rsidP="00E24DC9">
            <w:pPr>
              <w:rPr>
                <w:rFonts w:ascii="Calibri" w:hAnsi="Calibri" w:cs="Calibri"/>
                <w:color w:val="000000"/>
                <w:sz w:val="15"/>
                <w:szCs w:val="15"/>
              </w:rPr>
            </w:pPr>
          </w:p>
        </w:tc>
        <w:tc>
          <w:tcPr>
            <w:tcW w:w="2127" w:type="dxa"/>
            <w:vMerge/>
          </w:tcPr>
          <w:p w14:paraId="003FFC33" w14:textId="77777777" w:rsidR="004D1935" w:rsidRDefault="004D1935" w:rsidP="00E24DC9"/>
        </w:tc>
        <w:tc>
          <w:tcPr>
            <w:tcW w:w="992" w:type="dxa"/>
            <w:vMerge/>
          </w:tcPr>
          <w:p w14:paraId="31BAF098" w14:textId="77777777" w:rsidR="004D1935" w:rsidRDefault="004D1935" w:rsidP="00E24DC9"/>
        </w:tc>
        <w:tc>
          <w:tcPr>
            <w:tcW w:w="5867" w:type="dxa"/>
            <w:vMerge/>
          </w:tcPr>
          <w:p w14:paraId="6BACB64F" w14:textId="77777777" w:rsidR="004D1935" w:rsidRDefault="004D1935" w:rsidP="00E24DC9"/>
        </w:tc>
      </w:tr>
      <w:tr w:rsidR="004D1935" w14:paraId="429FE26C" w14:textId="77777777" w:rsidTr="00E24DC9">
        <w:tc>
          <w:tcPr>
            <w:tcW w:w="1479" w:type="dxa"/>
            <w:vMerge/>
          </w:tcPr>
          <w:p w14:paraId="760400ED" w14:textId="77777777" w:rsidR="004D1935" w:rsidRDefault="004D1935" w:rsidP="00E24DC9"/>
        </w:tc>
        <w:tc>
          <w:tcPr>
            <w:tcW w:w="798" w:type="dxa"/>
            <w:tcBorders>
              <w:top w:val="nil"/>
              <w:bottom w:val="nil"/>
            </w:tcBorders>
            <w:vAlign w:val="bottom"/>
          </w:tcPr>
          <w:p w14:paraId="12A47B63"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4B1E3F09" w14:textId="77777777" w:rsidR="004D1935" w:rsidRPr="002E1EAA" w:rsidRDefault="004D1935" w:rsidP="00E24DC9">
            <w:pPr>
              <w:rPr>
                <w:rFonts w:ascii="Calibri" w:hAnsi="Calibri" w:cs="Calibri"/>
                <w:color w:val="000000"/>
                <w:sz w:val="15"/>
                <w:szCs w:val="15"/>
              </w:rPr>
            </w:pPr>
          </w:p>
        </w:tc>
        <w:tc>
          <w:tcPr>
            <w:tcW w:w="2127" w:type="dxa"/>
            <w:vMerge/>
          </w:tcPr>
          <w:p w14:paraId="62650D57" w14:textId="77777777" w:rsidR="004D1935" w:rsidRDefault="004D1935" w:rsidP="00E24DC9"/>
        </w:tc>
        <w:tc>
          <w:tcPr>
            <w:tcW w:w="992" w:type="dxa"/>
            <w:vMerge/>
          </w:tcPr>
          <w:p w14:paraId="59BDB0F9" w14:textId="77777777" w:rsidR="004D1935" w:rsidRDefault="004D1935" w:rsidP="00E24DC9"/>
        </w:tc>
        <w:tc>
          <w:tcPr>
            <w:tcW w:w="5867" w:type="dxa"/>
            <w:vMerge/>
          </w:tcPr>
          <w:p w14:paraId="5D3B2FA6" w14:textId="77777777" w:rsidR="004D1935" w:rsidRDefault="004D1935" w:rsidP="00E24DC9"/>
        </w:tc>
      </w:tr>
      <w:tr w:rsidR="004D1935" w14:paraId="5484AC7E" w14:textId="77777777" w:rsidTr="00E24DC9">
        <w:tc>
          <w:tcPr>
            <w:tcW w:w="1479" w:type="dxa"/>
            <w:vMerge/>
          </w:tcPr>
          <w:p w14:paraId="0ABE3163" w14:textId="77777777" w:rsidR="004D1935" w:rsidRDefault="004D1935" w:rsidP="00E24DC9"/>
        </w:tc>
        <w:tc>
          <w:tcPr>
            <w:tcW w:w="798" w:type="dxa"/>
            <w:tcBorders>
              <w:top w:val="nil"/>
              <w:bottom w:val="nil"/>
            </w:tcBorders>
            <w:vAlign w:val="bottom"/>
          </w:tcPr>
          <w:p w14:paraId="3D7968E0"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75B91EE8" w14:textId="77777777" w:rsidR="004D1935" w:rsidRPr="002E1EAA" w:rsidRDefault="004D1935" w:rsidP="00E24DC9">
            <w:pPr>
              <w:rPr>
                <w:rFonts w:ascii="Calibri" w:hAnsi="Calibri" w:cs="Calibri"/>
                <w:color w:val="000000"/>
                <w:sz w:val="15"/>
                <w:szCs w:val="15"/>
              </w:rPr>
            </w:pPr>
          </w:p>
        </w:tc>
        <w:tc>
          <w:tcPr>
            <w:tcW w:w="2127" w:type="dxa"/>
            <w:vMerge/>
          </w:tcPr>
          <w:p w14:paraId="59E399B3" w14:textId="77777777" w:rsidR="004D1935" w:rsidRDefault="004D1935" w:rsidP="00E24DC9"/>
        </w:tc>
        <w:tc>
          <w:tcPr>
            <w:tcW w:w="992" w:type="dxa"/>
            <w:vMerge/>
          </w:tcPr>
          <w:p w14:paraId="0B8C45C4" w14:textId="77777777" w:rsidR="004D1935" w:rsidRDefault="004D1935" w:rsidP="00E24DC9"/>
        </w:tc>
        <w:tc>
          <w:tcPr>
            <w:tcW w:w="5867" w:type="dxa"/>
            <w:vMerge/>
          </w:tcPr>
          <w:p w14:paraId="1F5D2C99" w14:textId="77777777" w:rsidR="004D1935" w:rsidRDefault="004D1935" w:rsidP="00E24DC9"/>
        </w:tc>
      </w:tr>
      <w:tr w:rsidR="004D1935" w14:paraId="0301C5D3" w14:textId="77777777" w:rsidTr="00E24DC9">
        <w:tc>
          <w:tcPr>
            <w:tcW w:w="1479" w:type="dxa"/>
            <w:vMerge/>
          </w:tcPr>
          <w:p w14:paraId="00DA3F7C" w14:textId="77777777" w:rsidR="004D1935" w:rsidRDefault="004D1935" w:rsidP="00E24DC9"/>
        </w:tc>
        <w:tc>
          <w:tcPr>
            <w:tcW w:w="798" w:type="dxa"/>
            <w:tcBorders>
              <w:top w:val="nil"/>
              <w:bottom w:val="nil"/>
            </w:tcBorders>
            <w:vAlign w:val="bottom"/>
          </w:tcPr>
          <w:p w14:paraId="4FC22621"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663D8EAA" w14:textId="77777777" w:rsidR="004D1935" w:rsidRPr="002E1EAA" w:rsidRDefault="004D1935" w:rsidP="00E24DC9">
            <w:pPr>
              <w:rPr>
                <w:rFonts w:ascii="Calibri" w:hAnsi="Calibri" w:cs="Calibri"/>
                <w:color w:val="000000"/>
                <w:sz w:val="15"/>
                <w:szCs w:val="15"/>
              </w:rPr>
            </w:pPr>
          </w:p>
        </w:tc>
        <w:tc>
          <w:tcPr>
            <w:tcW w:w="2127" w:type="dxa"/>
            <w:vMerge/>
          </w:tcPr>
          <w:p w14:paraId="6296EA6B" w14:textId="77777777" w:rsidR="004D1935" w:rsidRDefault="004D1935" w:rsidP="00E24DC9"/>
        </w:tc>
        <w:tc>
          <w:tcPr>
            <w:tcW w:w="992" w:type="dxa"/>
            <w:vMerge/>
          </w:tcPr>
          <w:p w14:paraId="52AC02D5" w14:textId="77777777" w:rsidR="004D1935" w:rsidRDefault="004D1935" w:rsidP="00E24DC9"/>
        </w:tc>
        <w:tc>
          <w:tcPr>
            <w:tcW w:w="5867" w:type="dxa"/>
            <w:vMerge/>
          </w:tcPr>
          <w:p w14:paraId="2BF577CD" w14:textId="77777777" w:rsidR="004D1935" w:rsidRDefault="004D1935" w:rsidP="00E24DC9"/>
        </w:tc>
      </w:tr>
      <w:tr w:rsidR="004D1935" w14:paraId="1CC142B9" w14:textId="77777777" w:rsidTr="00E24DC9">
        <w:tc>
          <w:tcPr>
            <w:tcW w:w="1479" w:type="dxa"/>
            <w:vMerge/>
          </w:tcPr>
          <w:p w14:paraId="760ED4AA" w14:textId="77777777" w:rsidR="004D1935" w:rsidRDefault="004D1935" w:rsidP="00E24DC9"/>
        </w:tc>
        <w:tc>
          <w:tcPr>
            <w:tcW w:w="798" w:type="dxa"/>
            <w:tcBorders>
              <w:top w:val="nil"/>
              <w:bottom w:val="nil"/>
            </w:tcBorders>
            <w:vAlign w:val="bottom"/>
          </w:tcPr>
          <w:p w14:paraId="320173A0"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7CBD80E3" w14:textId="77777777" w:rsidR="004D1935" w:rsidRPr="002E1EAA" w:rsidRDefault="004D1935" w:rsidP="00E24DC9">
            <w:pPr>
              <w:rPr>
                <w:rFonts w:ascii="Calibri" w:hAnsi="Calibri" w:cs="Calibri"/>
                <w:color w:val="000000"/>
                <w:sz w:val="15"/>
                <w:szCs w:val="15"/>
              </w:rPr>
            </w:pPr>
          </w:p>
        </w:tc>
        <w:tc>
          <w:tcPr>
            <w:tcW w:w="2127" w:type="dxa"/>
            <w:vMerge/>
          </w:tcPr>
          <w:p w14:paraId="0D067469" w14:textId="77777777" w:rsidR="004D1935" w:rsidRDefault="004D1935" w:rsidP="00E24DC9"/>
        </w:tc>
        <w:tc>
          <w:tcPr>
            <w:tcW w:w="992" w:type="dxa"/>
            <w:vMerge/>
          </w:tcPr>
          <w:p w14:paraId="4BACA202" w14:textId="77777777" w:rsidR="004D1935" w:rsidRDefault="004D1935" w:rsidP="00E24DC9"/>
        </w:tc>
        <w:tc>
          <w:tcPr>
            <w:tcW w:w="5867" w:type="dxa"/>
            <w:vMerge/>
          </w:tcPr>
          <w:p w14:paraId="38CFF39B" w14:textId="77777777" w:rsidR="004D1935" w:rsidRDefault="004D1935" w:rsidP="00E24DC9"/>
        </w:tc>
      </w:tr>
      <w:tr w:rsidR="004D1935" w14:paraId="7A958CBC" w14:textId="77777777" w:rsidTr="00E24DC9">
        <w:tc>
          <w:tcPr>
            <w:tcW w:w="1479" w:type="dxa"/>
            <w:vMerge/>
          </w:tcPr>
          <w:p w14:paraId="3D297CA3" w14:textId="77777777" w:rsidR="004D1935" w:rsidRDefault="004D1935" w:rsidP="00E24DC9"/>
        </w:tc>
        <w:tc>
          <w:tcPr>
            <w:tcW w:w="798" w:type="dxa"/>
            <w:tcBorders>
              <w:top w:val="nil"/>
              <w:bottom w:val="nil"/>
            </w:tcBorders>
            <w:vAlign w:val="bottom"/>
          </w:tcPr>
          <w:p w14:paraId="7B9F535A"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2A4D913E" w14:textId="77777777" w:rsidR="004D1935" w:rsidRPr="002E1EAA" w:rsidRDefault="004D1935" w:rsidP="00E24DC9">
            <w:pPr>
              <w:rPr>
                <w:rFonts w:ascii="Calibri" w:hAnsi="Calibri" w:cs="Calibri"/>
                <w:color w:val="000000"/>
                <w:sz w:val="15"/>
                <w:szCs w:val="15"/>
              </w:rPr>
            </w:pPr>
          </w:p>
        </w:tc>
        <w:tc>
          <w:tcPr>
            <w:tcW w:w="2127" w:type="dxa"/>
            <w:vMerge/>
          </w:tcPr>
          <w:p w14:paraId="7CC9C093" w14:textId="77777777" w:rsidR="004D1935" w:rsidRDefault="004D1935" w:rsidP="00E24DC9"/>
        </w:tc>
        <w:tc>
          <w:tcPr>
            <w:tcW w:w="992" w:type="dxa"/>
            <w:vMerge/>
          </w:tcPr>
          <w:p w14:paraId="62EDCB6D" w14:textId="77777777" w:rsidR="004D1935" w:rsidRDefault="004D1935" w:rsidP="00E24DC9"/>
        </w:tc>
        <w:tc>
          <w:tcPr>
            <w:tcW w:w="5867" w:type="dxa"/>
            <w:vMerge/>
          </w:tcPr>
          <w:p w14:paraId="57A1F089" w14:textId="77777777" w:rsidR="004D1935" w:rsidRDefault="004D1935" w:rsidP="00E24DC9"/>
        </w:tc>
      </w:tr>
      <w:tr w:rsidR="004D1935" w14:paraId="138F9E1C" w14:textId="77777777" w:rsidTr="00E24DC9">
        <w:tc>
          <w:tcPr>
            <w:tcW w:w="1479" w:type="dxa"/>
            <w:vMerge/>
          </w:tcPr>
          <w:p w14:paraId="564507C0" w14:textId="77777777" w:rsidR="004D1935" w:rsidRDefault="004D1935" w:rsidP="00E24DC9"/>
        </w:tc>
        <w:tc>
          <w:tcPr>
            <w:tcW w:w="798" w:type="dxa"/>
            <w:tcBorders>
              <w:top w:val="nil"/>
              <w:bottom w:val="nil"/>
            </w:tcBorders>
            <w:vAlign w:val="bottom"/>
          </w:tcPr>
          <w:p w14:paraId="3147298B"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12117657" w14:textId="77777777" w:rsidR="004D1935" w:rsidRPr="002E1EAA" w:rsidRDefault="004D1935" w:rsidP="00E24DC9">
            <w:pPr>
              <w:rPr>
                <w:rFonts w:ascii="Calibri" w:hAnsi="Calibri" w:cs="Calibri"/>
                <w:color w:val="000000"/>
                <w:sz w:val="15"/>
                <w:szCs w:val="15"/>
              </w:rPr>
            </w:pPr>
          </w:p>
        </w:tc>
        <w:tc>
          <w:tcPr>
            <w:tcW w:w="2127" w:type="dxa"/>
            <w:vMerge/>
          </w:tcPr>
          <w:p w14:paraId="42F5ADF7" w14:textId="77777777" w:rsidR="004D1935" w:rsidRDefault="004D1935" w:rsidP="00E24DC9"/>
        </w:tc>
        <w:tc>
          <w:tcPr>
            <w:tcW w:w="992" w:type="dxa"/>
            <w:vMerge/>
          </w:tcPr>
          <w:p w14:paraId="661FA5B5" w14:textId="77777777" w:rsidR="004D1935" w:rsidRDefault="004D1935" w:rsidP="00E24DC9"/>
        </w:tc>
        <w:tc>
          <w:tcPr>
            <w:tcW w:w="5867" w:type="dxa"/>
            <w:vMerge/>
          </w:tcPr>
          <w:p w14:paraId="67250DCF" w14:textId="77777777" w:rsidR="004D1935" w:rsidRDefault="004D1935" w:rsidP="00E24DC9"/>
        </w:tc>
      </w:tr>
      <w:tr w:rsidR="004D1935" w14:paraId="239B52DF" w14:textId="77777777" w:rsidTr="00E24DC9">
        <w:tc>
          <w:tcPr>
            <w:tcW w:w="1479" w:type="dxa"/>
            <w:vMerge/>
          </w:tcPr>
          <w:p w14:paraId="07B15ED5" w14:textId="77777777" w:rsidR="004D1935" w:rsidRDefault="004D1935" w:rsidP="00E24DC9"/>
        </w:tc>
        <w:tc>
          <w:tcPr>
            <w:tcW w:w="798" w:type="dxa"/>
            <w:tcBorders>
              <w:top w:val="nil"/>
              <w:bottom w:val="nil"/>
            </w:tcBorders>
            <w:vAlign w:val="bottom"/>
          </w:tcPr>
          <w:p w14:paraId="3A8FCFDF"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3A266438" w14:textId="77777777" w:rsidR="004D1935" w:rsidRPr="002E1EAA" w:rsidRDefault="004D1935" w:rsidP="00E24DC9">
            <w:pPr>
              <w:rPr>
                <w:rFonts w:ascii="Calibri" w:hAnsi="Calibri" w:cs="Calibri"/>
                <w:color w:val="000000"/>
                <w:sz w:val="15"/>
                <w:szCs w:val="15"/>
              </w:rPr>
            </w:pPr>
          </w:p>
        </w:tc>
        <w:tc>
          <w:tcPr>
            <w:tcW w:w="2127" w:type="dxa"/>
            <w:vMerge/>
          </w:tcPr>
          <w:p w14:paraId="6DDF99C0" w14:textId="77777777" w:rsidR="004D1935" w:rsidRDefault="004D1935" w:rsidP="00E24DC9"/>
        </w:tc>
        <w:tc>
          <w:tcPr>
            <w:tcW w:w="992" w:type="dxa"/>
            <w:vMerge/>
          </w:tcPr>
          <w:p w14:paraId="361A39AF" w14:textId="77777777" w:rsidR="004D1935" w:rsidRDefault="004D1935" w:rsidP="00E24DC9"/>
        </w:tc>
        <w:tc>
          <w:tcPr>
            <w:tcW w:w="5867" w:type="dxa"/>
            <w:vMerge/>
          </w:tcPr>
          <w:p w14:paraId="2723CDCF" w14:textId="77777777" w:rsidR="004D1935" w:rsidRDefault="004D1935" w:rsidP="00E24DC9"/>
        </w:tc>
      </w:tr>
      <w:tr w:rsidR="004D1935" w14:paraId="199FE089" w14:textId="77777777" w:rsidTr="00E24DC9">
        <w:tc>
          <w:tcPr>
            <w:tcW w:w="1479" w:type="dxa"/>
            <w:vMerge/>
          </w:tcPr>
          <w:p w14:paraId="18C6F23B" w14:textId="77777777" w:rsidR="004D1935" w:rsidRDefault="004D1935" w:rsidP="00E24DC9"/>
        </w:tc>
        <w:tc>
          <w:tcPr>
            <w:tcW w:w="798" w:type="dxa"/>
            <w:tcBorders>
              <w:top w:val="nil"/>
              <w:bottom w:val="nil"/>
            </w:tcBorders>
            <w:vAlign w:val="bottom"/>
          </w:tcPr>
          <w:p w14:paraId="23478446"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09AA25CF" w14:textId="77777777" w:rsidR="004D1935" w:rsidRPr="002E1EAA" w:rsidRDefault="004D1935" w:rsidP="00E24DC9">
            <w:pPr>
              <w:rPr>
                <w:rFonts w:ascii="Calibri" w:hAnsi="Calibri" w:cs="Calibri"/>
                <w:color w:val="000000"/>
                <w:sz w:val="15"/>
                <w:szCs w:val="15"/>
              </w:rPr>
            </w:pPr>
          </w:p>
        </w:tc>
        <w:tc>
          <w:tcPr>
            <w:tcW w:w="2127" w:type="dxa"/>
            <w:vMerge/>
          </w:tcPr>
          <w:p w14:paraId="5F792866" w14:textId="77777777" w:rsidR="004D1935" w:rsidRDefault="004D1935" w:rsidP="00E24DC9"/>
        </w:tc>
        <w:tc>
          <w:tcPr>
            <w:tcW w:w="992" w:type="dxa"/>
            <w:vMerge/>
          </w:tcPr>
          <w:p w14:paraId="460FC5B8" w14:textId="77777777" w:rsidR="004D1935" w:rsidRDefault="004D1935" w:rsidP="00E24DC9"/>
        </w:tc>
        <w:tc>
          <w:tcPr>
            <w:tcW w:w="5867" w:type="dxa"/>
            <w:vMerge/>
          </w:tcPr>
          <w:p w14:paraId="6620F690" w14:textId="77777777" w:rsidR="004D1935" w:rsidRDefault="004D1935" w:rsidP="00E24DC9"/>
        </w:tc>
      </w:tr>
      <w:tr w:rsidR="004D1935" w14:paraId="5733B0B0" w14:textId="77777777" w:rsidTr="00E24DC9">
        <w:tc>
          <w:tcPr>
            <w:tcW w:w="1479" w:type="dxa"/>
            <w:vMerge/>
          </w:tcPr>
          <w:p w14:paraId="2575A2AA" w14:textId="77777777" w:rsidR="004D1935" w:rsidRDefault="004D1935" w:rsidP="00E24DC9"/>
        </w:tc>
        <w:tc>
          <w:tcPr>
            <w:tcW w:w="798" w:type="dxa"/>
            <w:tcBorders>
              <w:top w:val="nil"/>
              <w:bottom w:val="nil"/>
            </w:tcBorders>
            <w:vAlign w:val="bottom"/>
          </w:tcPr>
          <w:p w14:paraId="2CEE24C2"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4704E784" w14:textId="77777777" w:rsidR="004D1935" w:rsidRPr="002E1EAA" w:rsidRDefault="004D1935" w:rsidP="00E24DC9">
            <w:pPr>
              <w:rPr>
                <w:rFonts w:ascii="Calibri" w:hAnsi="Calibri" w:cs="Calibri"/>
                <w:color w:val="000000"/>
                <w:sz w:val="15"/>
                <w:szCs w:val="15"/>
              </w:rPr>
            </w:pPr>
          </w:p>
        </w:tc>
        <w:tc>
          <w:tcPr>
            <w:tcW w:w="2127" w:type="dxa"/>
            <w:vMerge/>
          </w:tcPr>
          <w:p w14:paraId="22327FE8" w14:textId="77777777" w:rsidR="004D1935" w:rsidRDefault="004D1935" w:rsidP="00E24DC9"/>
        </w:tc>
        <w:tc>
          <w:tcPr>
            <w:tcW w:w="992" w:type="dxa"/>
            <w:vMerge/>
          </w:tcPr>
          <w:p w14:paraId="0661AFAA" w14:textId="77777777" w:rsidR="004D1935" w:rsidRDefault="004D1935" w:rsidP="00E24DC9"/>
        </w:tc>
        <w:tc>
          <w:tcPr>
            <w:tcW w:w="5867" w:type="dxa"/>
            <w:vMerge/>
          </w:tcPr>
          <w:p w14:paraId="6C9CD210" w14:textId="77777777" w:rsidR="004D1935" w:rsidRDefault="004D1935" w:rsidP="00E24DC9"/>
        </w:tc>
      </w:tr>
      <w:tr w:rsidR="004D1935" w14:paraId="4B4D9CC8" w14:textId="77777777" w:rsidTr="00E24DC9">
        <w:tc>
          <w:tcPr>
            <w:tcW w:w="1479" w:type="dxa"/>
            <w:vMerge/>
          </w:tcPr>
          <w:p w14:paraId="750E39F5" w14:textId="77777777" w:rsidR="004D1935" w:rsidRDefault="004D1935" w:rsidP="00E24DC9"/>
        </w:tc>
        <w:tc>
          <w:tcPr>
            <w:tcW w:w="798" w:type="dxa"/>
            <w:tcBorders>
              <w:top w:val="nil"/>
              <w:bottom w:val="nil"/>
            </w:tcBorders>
            <w:vAlign w:val="bottom"/>
          </w:tcPr>
          <w:p w14:paraId="3DD26D08"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4CAD9DA7" w14:textId="77777777" w:rsidR="004D1935" w:rsidRPr="002E1EAA" w:rsidRDefault="004D1935" w:rsidP="00E24DC9">
            <w:pPr>
              <w:rPr>
                <w:rFonts w:ascii="Calibri" w:hAnsi="Calibri" w:cs="Calibri"/>
                <w:color w:val="000000"/>
                <w:sz w:val="15"/>
                <w:szCs w:val="15"/>
              </w:rPr>
            </w:pPr>
          </w:p>
        </w:tc>
        <w:tc>
          <w:tcPr>
            <w:tcW w:w="2127" w:type="dxa"/>
            <w:vMerge/>
          </w:tcPr>
          <w:p w14:paraId="3B85F007" w14:textId="77777777" w:rsidR="004D1935" w:rsidRDefault="004D1935" w:rsidP="00E24DC9"/>
        </w:tc>
        <w:tc>
          <w:tcPr>
            <w:tcW w:w="992" w:type="dxa"/>
            <w:vMerge/>
          </w:tcPr>
          <w:p w14:paraId="1C5606A6" w14:textId="77777777" w:rsidR="004D1935" w:rsidRDefault="004D1935" w:rsidP="00E24DC9"/>
        </w:tc>
        <w:tc>
          <w:tcPr>
            <w:tcW w:w="5867" w:type="dxa"/>
            <w:vMerge/>
          </w:tcPr>
          <w:p w14:paraId="2B49DA6F" w14:textId="77777777" w:rsidR="004D1935" w:rsidRDefault="004D1935" w:rsidP="00E24DC9"/>
        </w:tc>
      </w:tr>
      <w:tr w:rsidR="004D1935" w14:paraId="4F7A8E36" w14:textId="77777777" w:rsidTr="00E24DC9">
        <w:tc>
          <w:tcPr>
            <w:tcW w:w="1479" w:type="dxa"/>
            <w:vMerge/>
          </w:tcPr>
          <w:p w14:paraId="7B8470EE" w14:textId="77777777" w:rsidR="004D1935" w:rsidRDefault="004D1935" w:rsidP="00E24DC9"/>
        </w:tc>
        <w:tc>
          <w:tcPr>
            <w:tcW w:w="798" w:type="dxa"/>
            <w:tcBorders>
              <w:top w:val="nil"/>
              <w:bottom w:val="nil"/>
            </w:tcBorders>
            <w:vAlign w:val="bottom"/>
          </w:tcPr>
          <w:p w14:paraId="22ED5738"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0637C375" w14:textId="77777777" w:rsidR="004D1935" w:rsidRPr="002E1EAA" w:rsidRDefault="004D1935" w:rsidP="00E24DC9">
            <w:pPr>
              <w:rPr>
                <w:rFonts w:ascii="Calibri" w:hAnsi="Calibri" w:cs="Calibri"/>
                <w:color w:val="000000"/>
                <w:sz w:val="15"/>
                <w:szCs w:val="15"/>
              </w:rPr>
            </w:pPr>
          </w:p>
        </w:tc>
        <w:tc>
          <w:tcPr>
            <w:tcW w:w="2127" w:type="dxa"/>
            <w:vMerge/>
          </w:tcPr>
          <w:p w14:paraId="24521741" w14:textId="77777777" w:rsidR="004D1935" w:rsidRDefault="004D1935" w:rsidP="00E24DC9"/>
        </w:tc>
        <w:tc>
          <w:tcPr>
            <w:tcW w:w="992" w:type="dxa"/>
            <w:vMerge/>
          </w:tcPr>
          <w:p w14:paraId="7C52D17B" w14:textId="77777777" w:rsidR="004D1935" w:rsidRDefault="004D1935" w:rsidP="00E24DC9"/>
        </w:tc>
        <w:tc>
          <w:tcPr>
            <w:tcW w:w="5867" w:type="dxa"/>
            <w:vMerge/>
          </w:tcPr>
          <w:p w14:paraId="103B56B8" w14:textId="77777777" w:rsidR="004D1935" w:rsidRDefault="004D1935" w:rsidP="00E24DC9"/>
        </w:tc>
      </w:tr>
      <w:tr w:rsidR="004D1935" w14:paraId="2CE77FFC" w14:textId="77777777" w:rsidTr="00E24DC9">
        <w:tc>
          <w:tcPr>
            <w:tcW w:w="1479" w:type="dxa"/>
            <w:vMerge/>
          </w:tcPr>
          <w:p w14:paraId="2BAE7E64" w14:textId="77777777" w:rsidR="004D1935" w:rsidRDefault="004D1935" w:rsidP="00E24DC9"/>
        </w:tc>
        <w:tc>
          <w:tcPr>
            <w:tcW w:w="798" w:type="dxa"/>
            <w:tcBorders>
              <w:top w:val="nil"/>
              <w:bottom w:val="nil"/>
            </w:tcBorders>
            <w:vAlign w:val="bottom"/>
          </w:tcPr>
          <w:p w14:paraId="603394D3"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35E13BF8" w14:textId="77777777" w:rsidR="004D1935" w:rsidRPr="002E1EAA" w:rsidRDefault="004D1935" w:rsidP="00E24DC9">
            <w:pPr>
              <w:rPr>
                <w:rFonts w:ascii="Calibri" w:hAnsi="Calibri" w:cs="Calibri"/>
                <w:color w:val="000000"/>
                <w:sz w:val="15"/>
                <w:szCs w:val="15"/>
              </w:rPr>
            </w:pPr>
          </w:p>
        </w:tc>
        <w:tc>
          <w:tcPr>
            <w:tcW w:w="2127" w:type="dxa"/>
            <w:vMerge/>
          </w:tcPr>
          <w:p w14:paraId="1CC6605A" w14:textId="77777777" w:rsidR="004D1935" w:rsidRDefault="004D1935" w:rsidP="00E24DC9"/>
        </w:tc>
        <w:tc>
          <w:tcPr>
            <w:tcW w:w="992" w:type="dxa"/>
            <w:vMerge/>
          </w:tcPr>
          <w:p w14:paraId="016B2C93" w14:textId="77777777" w:rsidR="004D1935" w:rsidRDefault="004D1935" w:rsidP="00E24DC9"/>
        </w:tc>
        <w:tc>
          <w:tcPr>
            <w:tcW w:w="5867" w:type="dxa"/>
            <w:vMerge/>
          </w:tcPr>
          <w:p w14:paraId="0799A8A5" w14:textId="77777777" w:rsidR="004D1935" w:rsidRDefault="004D1935" w:rsidP="00E24DC9"/>
        </w:tc>
      </w:tr>
      <w:tr w:rsidR="004D1935" w14:paraId="6FEBDE5D" w14:textId="77777777" w:rsidTr="00E24DC9">
        <w:tc>
          <w:tcPr>
            <w:tcW w:w="1479" w:type="dxa"/>
            <w:vMerge/>
          </w:tcPr>
          <w:p w14:paraId="4825B4CF" w14:textId="77777777" w:rsidR="004D1935" w:rsidRDefault="004D1935" w:rsidP="00E24DC9"/>
        </w:tc>
        <w:tc>
          <w:tcPr>
            <w:tcW w:w="798" w:type="dxa"/>
            <w:tcBorders>
              <w:top w:val="nil"/>
              <w:bottom w:val="nil"/>
            </w:tcBorders>
            <w:vAlign w:val="bottom"/>
          </w:tcPr>
          <w:p w14:paraId="69964B9E"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45DFC976" w14:textId="77777777" w:rsidR="004D1935" w:rsidRPr="002E1EAA" w:rsidRDefault="004D1935" w:rsidP="00E24DC9">
            <w:pPr>
              <w:rPr>
                <w:rFonts w:ascii="Calibri" w:hAnsi="Calibri" w:cs="Calibri"/>
                <w:color w:val="000000"/>
                <w:sz w:val="15"/>
                <w:szCs w:val="15"/>
              </w:rPr>
            </w:pPr>
          </w:p>
        </w:tc>
        <w:tc>
          <w:tcPr>
            <w:tcW w:w="2127" w:type="dxa"/>
            <w:vMerge/>
          </w:tcPr>
          <w:p w14:paraId="35407E46" w14:textId="77777777" w:rsidR="004D1935" w:rsidRDefault="004D1935" w:rsidP="00E24DC9"/>
        </w:tc>
        <w:tc>
          <w:tcPr>
            <w:tcW w:w="992" w:type="dxa"/>
            <w:vMerge/>
          </w:tcPr>
          <w:p w14:paraId="06390512" w14:textId="77777777" w:rsidR="004D1935" w:rsidRDefault="004D1935" w:rsidP="00E24DC9"/>
        </w:tc>
        <w:tc>
          <w:tcPr>
            <w:tcW w:w="5867" w:type="dxa"/>
            <w:vMerge/>
          </w:tcPr>
          <w:p w14:paraId="54843B82" w14:textId="77777777" w:rsidR="004D1935" w:rsidRDefault="004D1935" w:rsidP="00E24DC9"/>
        </w:tc>
      </w:tr>
      <w:tr w:rsidR="004D1935" w14:paraId="3E2CF3B8" w14:textId="77777777" w:rsidTr="00E24DC9">
        <w:tc>
          <w:tcPr>
            <w:tcW w:w="1479" w:type="dxa"/>
            <w:vMerge/>
          </w:tcPr>
          <w:p w14:paraId="46BE8474" w14:textId="77777777" w:rsidR="004D1935" w:rsidRDefault="004D1935" w:rsidP="00E24DC9"/>
        </w:tc>
        <w:tc>
          <w:tcPr>
            <w:tcW w:w="798" w:type="dxa"/>
            <w:tcBorders>
              <w:top w:val="nil"/>
              <w:bottom w:val="nil"/>
            </w:tcBorders>
            <w:vAlign w:val="bottom"/>
          </w:tcPr>
          <w:p w14:paraId="15EC3AEC"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229D2EFA" w14:textId="77777777" w:rsidR="004D1935" w:rsidRPr="002E1EAA" w:rsidRDefault="004D1935" w:rsidP="00E24DC9">
            <w:pPr>
              <w:rPr>
                <w:rFonts w:ascii="Calibri" w:hAnsi="Calibri" w:cs="Calibri"/>
                <w:color w:val="000000"/>
                <w:sz w:val="15"/>
                <w:szCs w:val="15"/>
              </w:rPr>
            </w:pPr>
          </w:p>
        </w:tc>
        <w:tc>
          <w:tcPr>
            <w:tcW w:w="2127" w:type="dxa"/>
            <w:vMerge/>
          </w:tcPr>
          <w:p w14:paraId="031FEBFD" w14:textId="77777777" w:rsidR="004D1935" w:rsidRDefault="004D1935" w:rsidP="00E24DC9"/>
        </w:tc>
        <w:tc>
          <w:tcPr>
            <w:tcW w:w="992" w:type="dxa"/>
            <w:vMerge/>
          </w:tcPr>
          <w:p w14:paraId="7AAD011A" w14:textId="77777777" w:rsidR="004D1935" w:rsidRDefault="004D1935" w:rsidP="00E24DC9"/>
        </w:tc>
        <w:tc>
          <w:tcPr>
            <w:tcW w:w="5867" w:type="dxa"/>
            <w:vMerge/>
          </w:tcPr>
          <w:p w14:paraId="5A104B7D" w14:textId="77777777" w:rsidR="004D1935" w:rsidRDefault="004D1935" w:rsidP="00E24DC9"/>
        </w:tc>
      </w:tr>
      <w:tr w:rsidR="004D1935" w14:paraId="3D1E541F" w14:textId="77777777" w:rsidTr="00E24DC9">
        <w:tc>
          <w:tcPr>
            <w:tcW w:w="1479" w:type="dxa"/>
            <w:vMerge/>
          </w:tcPr>
          <w:p w14:paraId="5D8EB69A" w14:textId="77777777" w:rsidR="004D1935" w:rsidRDefault="004D1935" w:rsidP="00E24DC9"/>
        </w:tc>
        <w:tc>
          <w:tcPr>
            <w:tcW w:w="798" w:type="dxa"/>
            <w:tcBorders>
              <w:top w:val="nil"/>
              <w:bottom w:val="nil"/>
            </w:tcBorders>
            <w:vAlign w:val="bottom"/>
          </w:tcPr>
          <w:p w14:paraId="47002D34"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6CD2F602" w14:textId="77777777" w:rsidR="004D1935" w:rsidRPr="002E1EAA" w:rsidRDefault="004D1935" w:rsidP="00E24DC9">
            <w:pPr>
              <w:rPr>
                <w:rFonts w:ascii="Calibri" w:hAnsi="Calibri" w:cs="Calibri"/>
                <w:color w:val="000000"/>
                <w:sz w:val="15"/>
                <w:szCs w:val="15"/>
              </w:rPr>
            </w:pPr>
          </w:p>
        </w:tc>
        <w:tc>
          <w:tcPr>
            <w:tcW w:w="2127" w:type="dxa"/>
            <w:vMerge/>
          </w:tcPr>
          <w:p w14:paraId="7434ADEC" w14:textId="77777777" w:rsidR="004D1935" w:rsidRDefault="004D1935" w:rsidP="00E24DC9"/>
        </w:tc>
        <w:tc>
          <w:tcPr>
            <w:tcW w:w="992" w:type="dxa"/>
            <w:vMerge/>
          </w:tcPr>
          <w:p w14:paraId="24013909" w14:textId="77777777" w:rsidR="004D1935" w:rsidRDefault="004D1935" w:rsidP="00E24DC9"/>
        </w:tc>
        <w:tc>
          <w:tcPr>
            <w:tcW w:w="5867" w:type="dxa"/>
            <w:vMerge/>
          </w:tcPr>
          <w:p w14:paraId="5DF5E350" w14:textId="77777777" w:rsidR="004D1935" w:rsidRDefault="004D1935" w:rsidP="00E24DC9"/>
        </w:tc>
      </w:tr>
      <w:tr w:rsidR="004D1935" w14:paraId="000BEAFA" w14:textId="77777777" w:rsidTr="00E24DC9">
        <w:tc>
          <w:tcPr>
            <w:tcW w:w="1479" w:type="dxa"/>
            <w:vMerge/>
          </w:tcPr>
          <w:p w14:paraId="4F8DFDDB" w14:textId="77777777" w:rsidR="004D1935" w:rsidRDefault="004D1935" w:rsidP="00E24DC9"/>
        </w:tc>
        <w:tc>
          <w:tcPr>
            <w:tcW w:w="798" w:type="dxa"/>
            <w:tcBorders>
              <w:top w:val="nil"/>
              <w:bottom w:val="nil"/>
            </w:tcBorders>
            <w:vAlign w:val="bottom"/>
          </w:tcPr>
          <w:p w14:paraId="1550972C"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4FC439F1" w14:textId="77777777" w:rsidR="004D1935" w:rsidRPr="002E1EAA" w:rsidRDefault="004D1935" w:rsidP="00E24DC9">
            <w:pPr>
              <w:rPr>
                <w:rFonts w:ascii="Calibri" w:hAnsi="Calibri" w:cs="Calibri"/>
                <w:color w:val="000000"/>
                <w:sz w:val="15"/>
                <w:szCs w:val="15"/>
              </w:rPr>
            </w:pPr>
          </w:p>
        </w:tc>
        <w:tc>
          <w:tcPr>
            <w:tcW w:w="2127" w:type="dxa"/>
            <w:vMerge/>
          </w:tcPr>
          <w:p w14:paraId="35EFACEA" w14:textId="77777777" w:rsidR="004D1935" w:rsidRDefault="004D1935" w:rsidP="00E24DC9"/>
        </w:tc>
        <w:tc>
          <w:tcPr>
            <w:tcW w:w="992" w:type="dxa"/>
            <w:vMerge/>
          </w:tcPr>
          <w:p w14:paraId="46C96918" w14:textId="77777777" w:rsidR="004D1935" w:rsidRDefault="004D1935" w:rsidP="00E24DC9"/>
        </w:tc>
        <w:tc>
          <w:tcPr>
            <w:tcW w:w="5867" w:type="dxa"/>
            <w:vMerge/>
          </w:tcPr>
          <w:p w14:paraId="37D1A0A0" w14:textId="77777777" w:rsidR="004D1935" w:rsidRDefault="004D1935" w:rsidP="00E24DC9"/>
        </w:tc>
      </w:tr>
      <w:tr w:rsidR="004D1935" w14:paraId="1CB48F0F" w14:textId="77777777" w:rsidTr="00E24DC9">
        <w:tc>
          <w:tcPr>
            <w:tcW w:w="1479" w:type="dxa"/>
            <w:vMerge/>
          </w:tcPr>
          <w:p w14:paraId="64422BEB" w14:textId="77777777" w:rsidR="004D1935" w:rsidRDefault="004D1935" w:rsidP="00E24DC9"/>
        </w:tc>
        <w:tc>
          <w:tcPr>
            <w:tcW w:w="798" w:type="dxa"/>
            <w:tcBorders>
              <w:top w:val="nil"/>
              <w:bottom w:val="nil"/>
            </w:tcBorders>
            <w:vAlign w:val="bottom"/>
          </w:tcPr>
          <w:p w14:paraId="599BD1EE"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49D16CBB" w14:textId="77777777" w:rsidR="004D1935" w:rsidRPr="002E1EAA" w:rsidRDefault="004D1935" w:rsidP="00E24DC9">
            <w:pPr>
              <w:rPr>
                <w:rFonts w:ascii="Calibri" w:hAnsi="Calibri" w:cs="Calibri"/>
                <w:color w:val="000000"/>
                <w:sz w:val="15"/>
                <w:szCs w:val="15"/>
              </w:rPr>
            </w:pPr>
          </w:p>
        </w:tc>
        <w:tc>
          <w:tcPr>
            <w:tcW w:w="2127" w:type="dxa"/>
            <w:vMerge/>
          </w:tcPr>
          <w:p w14:paraId="0245108A" w14:textId="77777777" w:rsidR="004D1935" w:rsidRDefault="004D1935" w:rsidP="00E24DC9"/>
        </w:tc>
        <w:tc>
          <w:tcPr>
            <w:tcW w:w="992" w:type="dxa"/>
            <w:vMerge/>
          </w:tcPr>
          <w:p w14:paraId="2E982000" w14:textId="77777777" w:rsidR="004D1935" w:rsidRDefault="004D1935" w:rsidP="00E24DC9"/>
        </w:tc>
        <w:tc>
          <w:tcPr>
            <w:tcW w:w="5867" w:type="dxa"/>
            <w:vMerge/>
          </w:tcPr>
          <w:p w14:paraId="1D107DBD" w14:textId="77777777" w:rsidR="004D1935" w:rsidRDefault="004D1935" w:rsidP="00E24DC9"/>
        </w:tc>
      </w:tr>
      <w:tr w:rsidR="004D1935" w14:paraId="779ED984" w14:textId="77777777" w:rsidTr="00E24DC9">
        <w:tc>
          <w:tcPr>
            <w:tcW w:w="1479" w:type="dxa"/>
            <w:vMerge/>
          </w:tcPr>
          <w:p w14:paraId="55E0EC4B" w14:textId="77777777" w:rsidR="004D1935" w:rsidRDefault="004D1935" w:rsidP="00E24DC9"/>
        </w:tc>
        <w:tc>
          <w:tcPr>
            <w:tcW w:w="798" w:type="dxa"/>
            <w:tcBorders>
              <w:top w:val="nil"/>
              <w:bottom w:val="nil"/>
            </w:tcBorders>
            <w:vAlign w:val="bottom"/>
          </w:tcPr>
          <w:p w14:paraId="30D5DBC7"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175D35AA" w14:textId="77777777" w:rsidR="004D1935" w:rsidRPr="002E1EAA" w:rsidRDefault="004D1935" w:rsidP="00E24DC9">
            <w:pPr>
              <w:rPr>
                <w:rFonts w:ascii="Calibri" w:hAnsi="Calibri" w:cs="Calibri"/>
                <w:color w:val="000000"/>
                <w:sz w:val="15"/>
                <w:szCs w:val="15"/>
              </w:rPr>
            </w:pPr>
          </w:p>
        </w:tc>
        <w:tc>
          <w:tcPr>
            <w:tcW w:w="2127" w:type="dxa"/>
            <w:vMerge/>
          </w:tcPr>
          <w:p w14:paraId="6DE08276" w14:textId="77777777" w:rsidR="004D1935" w:rsidRDefault="004D1935" w:rsidP="00E24DC9"/>
        </w:tc>
        <w:tc>
          <w:tcPr>
            <w:tcW w:w="992" w:type="dxa"/>
            <w:vMerge/>
          </w:tcPr>
          <w:p w14:paraId="58F9E28D" w14:textId="77777777" w:rsidR="004D1935" w:rsidRDefault="004D1935" w:rsidP="00E24DC9"/>
        </w:tc>
        <w:tc>
          <w:tcPr>
            <w:tcW w:w="5867" w:type="dxa"/>
            <w:vMerge/>
          </w:tcPr>
          <w:p w14:paraId="05751477" w14:textId="77777777" w:rsidR="004D1935" w:rsidRDefault="004D1935" w:rsidP="00E24DC9"/>
        </w:tc>
      </w:tr>
      <w:tr w:rsidR="004D1935" w14:paraId="6E8757C0" w14:textId="77777777" w:rsidTr="00E24DC9">
        <w:tc>
          <w:tcPr>
            <w:tcW w:w="1479" w:type="dxa"/>
            <w:vMerge/>
          </w:tcPr>
          <w:p w14:paraId="240B9750" w14:textId="77777777" w:rsidR="004D1935" w:rsidRDefault="004D1935" w:rsidP="00E24DC9"/>
        </w:tc>
        <w:tc>
          <w:tcPr>
            <w:tcW w:w="798" w:type="dxa"/>
            <w:tcBorders>
              <w:top w:val="nil"/>
              <w:bottom w:val="nil"/>
            </w:tcBorders>
            <w:vAlign w:val="bottom"/>
          </w:tcPr>
          <w:p w14:paraId="6BB8A35D"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256015AE" w14:textId="77777777" w:rsidR="004D1935" w:rsidRPr="002E1EAA" w:rsidRDefault="004D1935" w:rsidP="00E24DC9">
            <w:pPr>
              <w:rPr>
                <w:rFonts w:ascii="Calibri" w:hAnsi="Calibri" w:cs="Calibri"/>
                <w:color w:val="000000"/>
                <w:sz w:val="15"/>
                <w:szCs w:val="15"/>
              </w:rPr>
            </w:pPr>
          </w:p>
        </w:tc>
        <w:tc>
          <w:tcPr>
            <w:tcW w:w="2127" w:type="dxa"/>
            <w:vMerge/>
          </w:tcPr>
          <w:p w14:paraId="722C8774" w14:textId="77777777" w:rsidR="004D1935" w:rsidRDefault="004D1935" w:rsidP="00E24DC9"/>
        </w:tc>
        <w:tc>
          <w:tcPr>
            <w:tcW w:w="992" w:type="dxa"/>
            <w:vMerge/>
          </w:tcPr>
          <w:p w14:paraId="315565C7" w14:textId="77777777" w:rsidR="004D1935" w:rsidRDefault="004D1935" w:rsidP="00E24DC9"/>
        </w:tc>
        <w:tc>
          <w:tcPr>
            <w:tcW w:w="5867" w:type="dxa"/>
            <w:vMerge/>
          </w:tcPr>
          <w:p w14:paraId="342E47DA" w14:textId="77777777" w:rsidR="004D1935" w:rsidRDefault="004D1935" w:rsidP="00E24DC9"/>
        </w:tc>
      </w:tr>
      <w:tr w:rsidR="004D1935" w14:paraId="0C37C506" w14:textId="77777777" w:rsidTr="00E24DC9">
        <w:tc>
          <w:tcPr>
            <w:tcW w:w="1479" w:type="dxa"/>
            <w:vMerge/>
          </w:tcPr>
          <w:p w14:paraId="593E4D9F" w14:textId="77777777" w:rsidR="004D1935" w:rsidRDefault="004D1935" w:rsidP="00E24DC9"/>
        </w:tc>
        <w:tc>
          <w:tcPr>
            <w:tcW w:w="798" w:type="dxa"/>
            <w:tcBorders>
              <w:top w:val="nil"/>
              <w:bottom w:val="nil"/>
            </w:tcBorders>
            <w:vAlign w:val="bottom"/>
          </w:tcPr>
          <w:p w14:paraId="4634A3C1"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6C7AF887" w14:textId="77777777" w:rsidR="004D1935" w:rsidRPr="002E1EAA" w:rsidRDefault="004D1935" w:rsidP="00E24DC9">
            <w:pPr>
              <w:rPr>
                <w:rFonts w:ascii="Calibri" w:hAnsi="Calibri" w:cs="Calibri"/>
                <w:color w:val="000000"/>
                <w:sz w:val="15"/>
                <w:szCs w:val="15"/>
              </w:rPr>
            </w:pPr>
          </w:p>
        </w:tc>
        <w:tc>
          <w:tcPr>
            <w:tcW w:w="2127" w:type="dxa"/>
            <w:vMerge/>
          </w:tcPr>
          <w:p w14:paraId="449D55F1" w14:textId="77777777" w:rsidR="004D1935" w:rsidRDefault="004D1935" w:rsidP="00E24DC9"/>
        </w:tc>
        <w:tc>
          <w:tcPr>
            <w:tcW w:w="992" w:type="dxa"/>
            <w:vMerge/>
          </w:tcPr>
          <w:p w14:paraId="62F6E4FA" w14:textId="77777777" w:rsidR="004D1935" w:rsidRDefault="004D1935" w:rsidP="00E24DC9"/>
        </w:tc>
        <w:tc>
          <w:tcPr>
            <w:tcW w:w="5867" w:type="dxa"/>
            <w:vMerge/>
          </w:tcPr>
          <w:p w14:paraId="34BB3046" w14:textId="77777777" w:rsidR="004D1935" w:rsidRDefault="004D1935" w:rsidP="00E24DC9"/>
        </w:tc>
      </w:tr>
      <w:tr w:rsidR="004D1935" w14:paraId="74AB8D5F" w14:textId="77777777" w:rsidTr="00E24DC9">
        <w:tc>
          <w:tcPr>
            <w:tcW w:w="1479" w:type="dxa"/>
            <w:vMerge/>
          </w:tcPr>
          <w:p w14:paraId="528E379E" w14:textId="77777777" w:rsidR="004D1935" w:rsidRDefault="004D1935" w:rsidP="00E24DC9"/>
        </w:tc>
        <w:tc>
          <w:tcPr>
            <w:tcW w:w="798" w:type="dxa"/>
            <w:tcBorders>
              <w:top w:val="nil"/>
              <w:bottom w:val="nil"/>
            </w:tcBorders>
            <w:vAlign w:val="bottom"/>
          </w:tcPr>
          <w:p w14:paraId="34F88A55"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3DDFA1DE" w14:textId="77777777" w:rsidR="004D1935" w:rsidRPr="002E1EAA" w:rsidRDefault="004D1935" w:rsidP="00E24DC9">
            <w:pPr>
              <w:rPr>
                <w:rFonts w:ascii="Calibri" w:hAnsi="Calibri" w:cs="Calibri"/>
                <w:color w:val="000000"/>
                <w:sz w:val="15"/>
                <w:szCs w:val="15"/>
              </w:rPr>
            </w:pPr>
          </w:p>
        </w:tc>
        <w:tc>
          <w:tcPr>
            <w:tcW w:w="2127" w:type="dxa"/>
            <w:vMerge/>
          </w:tcPr>
          <w:p w14:paraId="475183F6" w14:textId="77777777" w:rsidR="004D1935" w:rsidRDefault="004D1935" w:rsidP="00E24DC9"/>
        </w:tc>
        <w:tc>
          <w:tcPr>
            <w:tcW w:w="992" w:type="dxa"/>
            <w:vMerge/>
          </w:tcPr>
          <w:p w14:paraId="1D4044B1" w14:textId="77777777" w:rsidR="004D1935" w:rsidRDefault="004D1935" w:rsidP="00E24DC9"/>
        </w:tc>
        <w:tc>
          <w:tcPr>
            <w:tcW w:w="5867" w:type="dxa"/>
            <w:vMerge/>
          </w:tcPr>
          <w:p w14:paraId="4598095A" w14:textId="77777777" w:rsidR="004D1935" w:rsidRDefault="004D1935" w:rsidP="00E24DC9"/>
        </w:tc>
      </w:tr>
      <w:tr w:rsidR="004D1935" w14:paraId="7E440DA8" w14:textId="77777777" w:rsidTr="00E24DC9">
        <w:tc>
          <w:tcPr>
            <w:tcW w:w="1479" w:type="dxa"/>
            <w:vMerge/>
          </w:tcPr>
          <w:p w14:paraId="745B60E2" w14:textId="77777777" w:rsidR="004D1935" w:rsidRDefault="004D1935" w:rsidP="00E24DC9"/>
        </w:tc>
        <w:tc>
          <w:tcPr>
            <w:tcW w:w="798" w:type="dxa"/>
            <w:tcBorders>
              <w:top w:val="nil"/>
              <w:bottom w:val="nil"/>
            </w:tcBorders>
            <w:vAlign w:val="bottom"/>
          </w:tcPr>
          <w:p w14:paraId="70A0A32D"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5DA0F6E6" w14:textId="77777777" w:rsidR="004D1935" w:rsidRPr="002E1EAA" w:rsidRDefault="004D1935" w:rsidP="00E24DC9">
            <w:pPr>
              <w:rPr>
                <w:rFonts w:ascii="Calibri" w:hAnsi="Calibri" w:cs="Calibri"/>
                <w:color w:val="000000"/>
                <w:sz w:val="15"/>
                <w:szCs w:val="15"/>
              </w:rPr>
            </w:pPr>
          </w:p>
        </w:tc>
        <w:tc>
          <w:tcPr>
            <w:tcW w:w="2127" w:type="dxa"/>
            <w:vMerge/>
          </w:tcPr>
          <w:p w14:paraId="032CB1A5" w14:textId="77777777" w:rsidR="004D1935" w:rsidRDefault="004D1935" w:rsidP="00E24DC9"/>
        </w:tc>
        <w:tc>
          <w:tcPr>
            <w:tcW w:w="992" w:type="dxa"/>
            <w:vMerge/>
          </w:tcPr>
          <w:p w14:paraId="64A7C37B" w14:textId="77777777" w:rsidR="004D1935" w:rsidRDefault="004D1935" w:rsidP="00E24DC9"/>
        </w:tc>
        <w:tc>
          <w:tcPr>
            <w:tcW w:w="5867" w:type="dxa"/>
            <w:vMerge/>
          </w:tcPr>
          <w:p w14:paraId="13033CE6" w14:textId="77777777" w:rsidR="004D1935" w:rsidRDefault="004D1935" w:rsidP="00E24DC9"/>
        </w:tc>
      </w:tr>
      <w:tr w:rsidR="004D1935" w14:paraId="073CE7D8" w14:textId="77777777" w:rsidTr="00E24DC9">
        <w:tc>
          <w:tcPr>
            <w:tcW w:w="1479" w:type="dxa"/>
            <w:vMerge/>
          </w:tcPr>
          <w:p w14:paraId="13CCD886" w14:textId="77777777" w:rsidR="004D1935" w:rsidRDefault="004D1935" w:rsidP="00E24DC9"/>
        </w:tc>
        <w:tc>
          <w:tcPr>
            <w:tcW w:w="798" w:type="dxa"/>
            <w:tcBorders>
              <w:top w:val="nil"/>
              <w:bottom w:val="nil"/>
            </w:tcBorders>
            <w:vAlign w:val="bottom"/>
          </w:tcPr>
          <w:p w14:paraId="349B5523"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461DEBFE" w14:textId="77777777" w:rsidR="004D1935" w:rsidRPr="002E1EAA" w:rsidRDefault="004D1935" w:rsidP="00E24DC9">
            <w:pPr>
              <w:rPr>
                <w:rFonts w:ascii="Calibri" w:hAnsi="Calibri" w:cs="Calibri"/>
                <w:color w:val="000000"/>
                <w:sz w:val="15"/>
                <w:szCs w:val="15"/>
              </w:rPr>
            </w:pPr>
          </w:p>
        </w:tc>
        <w:tc>
          <w:tcPr>
            <w:tcW w:w="2127" w:type="dxa"/>
            <w:vMerge/>
          </w:tcPr>
          <w:p w14:paraId="04F345AB" w14:textId="77777777" w:rsidR="004D1935" w:rsidRDefault="004D1935" w:rsidP="00E24DC9"/>
        </w:tc>
        <w:tc>
          <w:tcPr>
            <w:tcW w:w="992" w:type="dxa"/>
            <w:vMerge/>
          </w:tcPr>
          <w:p w14:paraId="03C47529" w14:textId="77777777" w:rsidR="004D1935" w:rsidRDefault="004D1935" w:rsidP="00E24DC9"/>
        </w:tc>
        <w:tc>
          <w:tcPr>
            <w:tcW w:w="5867" w:type="dxa"/>
            <w:vMerge/>
          </w:tcPr>
          <w:p w14:paraId="22CF56AD" w14:textId="77777777" w:rsidR="004D1935" w:rsidRDefault="004D1935" w:rsidP="00E24DC9"/>
        </w:tc>
      </w:tr>
      <w:tr w:rsidR="004D1935" w14:paraId="6BD0D072" w14:textId="77777777" w:rsidTr="00E24DC9">
        <w:tc>
          <w:tcPr>
            <w:tcW w:w="1479" w:type="dxa"/>
            <w:vMerge/>
          </w:tcPr>
          <w:p w14:paraId="4696F766" w14:textId="77777777" w:rsidR="004D1935" w:rsidRDefault="004D1935" w:rsidP="00E24DC9"/>
        </w:tc>
        <w:tc>
          <w:tcPr>
            <w:tcW w:w="798" w:type="dxa"/>
            <w:tcBorders>
              <w:top w:val="nil"/>
              <w:bottom w:val="nil"/>
            </w:tcBorders>
            <w:vAlign w:val="bottom"/>
          </w:tcPr>
          <w:p w14:paraId="289DEB28"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4D5334F9" w14:textId="77777777" w:rsidR="004D1935" w:rsidRPr="002E1EAA" w:rsidRDefault="004D1935" w:rsidP="00E24DC9">
            <w:pPr>
              <w:rPr>
                <w:rFonts w:ascii="Calibri" w:hAnsi="Calibri" w:cs="Calibri"/>
                <w:color w:val="000000"/>
                <w:sz w:val="15"/>
                <w:szCs w:val="15"/>
              </w:rPr>
            </w:pPr>
          </w:p>
        </w:tc>
        <w:tc>
          <w:tcPr>
            <w:tcW w:w="2127" w:type="dxa"/>
            <w:vMerge/>
          </w:tcPr>
          <w:p w14:paraId="0C240D53" w14:textId="77777777" w:rsidR="004D1935" w:rsidRDefault="004D1935" w:rsidP="00E24DC9"/>
        </w:tc>
        <w:tc>
          <w:tcPr>
            <w:tcW w:w="992" w:type="dxa"/>
            <w:vMerge/>
          </w:tcPr>
          <w:p w14:paraId="5E1FECF6" w14:textId="77777777" w:rsidR="004D1935" w:rsidRDefault="004D1935" w:rsidP="00E24DC9"/>
        </w:tc>
        <w:tc>
          <w:tcPr>
            <w:tcW w:w="5867" w:type="dxa"/>
            <w:vMerge/>
          </w:tcPr>
          <w:p w14:paraId="09D281F9" w14:textId="77777777" w:rsidR="004D1935" w:rsidRDefault="004D1935" w:rsidP="00E24DC9"/>
        </w:tc>
      </w:tr>
      <w:tr w:rsidR="004D1935" w14:paraId="7BE8ED38" w14:textId="77777777" w:rsidTr="00E24DC9">
        <w:tc>
          <w:tcPr>
            <w:tcW w:w="1479" w:type="dxa"/>
            <w:vMerge/>
          </w:tcPr>
          <w:p w14:paraId="44D99EF3" w14:textId="77777777" w:rsidR="004D1935" w:rsidRDefault="004D1935" w:rsidP="00E24DC9"/>
        </w:tc>
        <w:tc>
          <w:tcPr>
            <w:tcW w:w="798" w:type="dxa"/>
            <w:tcBorders>
              <w:top w:val="nil"/>
            </w:tcBorders>
            <w:vAlign w:val="bottom"/>
          </w:tcPr>
          <w:p w14:paraId="6BB39BBA" w14:textId="77777777" w:rsidR="004D1935" w:rsidRPr="00CF64A4" w:rsidRDefault="004D1935" w:rsidP="00E24DC9">
            <w:pPr>
              <w:rPr>
                <w:rFonts w:ascii="Calibri" w:hAnsi="Calibri" w:cs="Calibri"/>
                <w:color w:val="000000"/>
                <w:sz w:val="13"/>
                <w:szCs w:val="13"/>
              </w:rPr>
            </w:pPr>
          </w:p>
        </w:tc>
        <w:tc>
          <w:tcPr>
            <w:tcW w:w="1687" w:type="dxa"/>
            <w:vMerge/>
            <w:vAlign w:val="bottom"/>
          </w:tcPr>
          <w:p w14:paraId="646A2B66" w14:textId="77777777" w:rsidR="004D1935" w:rsidRPr="002E1EAA" w:rsidRDefault="004D1935" w:rsidP="00E24DC9">
            <w:pPr>
              <w:rPr>
                <w:rFonts w:ascii="Calibri" w:hAnsi="Calibri" w:cs="Calibri"/>
                <w:color w:val="000000"/>
                <w:sz w:val="15"/>
                <w:szCs w:val="15"/>
              </w:rPr>
            </w:pPr>
          </w:p>
        </w:tc>
        <w:tc>
          <w:tcPr>
            <w:tcW w:w="2127" w:type="dxa"/>
            <w:vMerge/>
          </w:tcPr>
          <w:p w14:paraId="580FD992" w14:textId="77777777" w:rsidR="004D1935" w:rsidRDefault="004D1935" w:rsidP="00E24DC9"/>
        </w:tc>
        <w:tc>
          <w:tcPr>
            <w:tcW w:w="992" w:type="dxa"/>
            <w:vMerge/>
          </w:tcPr>
          <w:p w14:paraId="731A96FE" w14:textId="77777777" w:rsidR="004D1935" w:rsidRDefault="004D1935" w:rsidP="00E24DC9"/>
        </w:tc>
        <w:tc>
          <w:tcPr>
            <w:tcW w:w="5867" w:type="dxa"/>
            <w:vMerge/>
          </w:tcPr>
          <w:p w14:paraId="5E1F901F" w14:textId="77777777" w:rsidR="004D1935" w:rsidRDefault="004D1935" w:rsidP="00E24DC9"/>
        </w:tc>
      </w:tr>
    </w:tbl>
    <w:p w14:paraId="31E17621" w14:textId="77777777" w:rsidR="004D1935" w:rsidRDefault="004D1935" w:rsidP="004D1935"/>
    <w:p w14:paraId="317DA256" w14:textId="77777777" w:rsidR="004D1935" w:rsidRDefault="004D1935" w:rsidP="004D1935"/>
    <w:p w14:paraId="3BC9889F" w14:textId="77777777" w:rsidR="004D1935" w:rsidRDefault="004D1935" w:rsidP="004D1935"/>
    <w:p w14:paraId="3D8B0B43" w14:textId="77777777" w:rsidR="004D1935" w:rsidRDefault="004D1935" w:rsidP="004D1935"/>
    <w:p w14:paraId="1A3BD877" w14:textId="77777777" w:rsidR="004D1935" w:rsidRDefault="004D1935" w:rsidP="004D1935"/>
    <w:p w14:paraId="04EC1FE1" w14:textId="77777777" w:rsidR="004D1935" w:rsidRDefault="004D1935" w:rsidP="004D1935"/>
    <w:p w14:paraId="718FBBA0" w14:textId="77777777" w:rsidR="004D1935" w:rsidRDefault="004D1935" w:rsidP="004D1935"/>
    <w:p w14:paraId="321DCE81" w14:textId="77777777" w:rsidR="004D1935" w:rsidRDefault="004D1935" w:rsidP="004D1935"/>
    <w:p w14:paraId="3C87FB90" w14:textId="77777777" w:rsidR="004D1935" w:rsidRDefault="004D1935" w:rsidP="004D1935">
      <w:pPr>
        <w:autoSpaceDE w:val="0"/>
        <w:autoSpaceDN w:val="0"/>
        <w:adjustRightInd w:val="0"/>
        <w:rPr>
          <w:rFonts w:eastAsiaTheme="minorHAnsi"/>
          <w:sz w:val="16"/>
          <w:szCs w:val="16"/>
        </w:rPr>
      </w:pPr>
      <w:r>
        <w:rPr>
          <w:rFonts w:eastAsiaTheme="minorHAnsi"/>
          <w:sz w:val="16"/>
          <w:szCs w:val="16"/>
        </w:rPr>
        <w:lastRenderedPageBreak/>
        <w:t>Table A 4.12: Discriminant mass bins (235.2) in root aqueous phase and their associated detected masses looking for compound identification accounts for protonated adduct (H) and K, NA</w:t>
      </w:r>
      <w:r w:rsidRPr="00396597">
        <w:rPr>
          <w:rFonts w:eastAsiaTheme="minorHAnsi"/>
          <w:sz w:val="16"/>
          <w:szCs w:val="16"/>
        </w:rPr>
        <w:t xml:space="preserve"> </w:t>
      </w:r>
      <w:r>
        <w:rPr>
          <w:rFonts w:eastAsiaTheme="minorHAnsi"/>
          <w:sz w:val="16"/>
          <w:szCs w:val="16"/>
        </w:rPr>
        <w:t>in positive mode in the analysis. The putatively identified compounds, their chemical groups, and the associated pathways are displayed.</w:t>
      </w:r>
    </w:p>
    <w:tbl>
      <w:tblPr>
        <w:tblStyle w:val="TableGrid"/>
        <w:tblW w:w="15027" w:type="dxa"/>
        <w:tblInd w:w="-998" w:type="dxa"/>
        <w:tblLook w:val="04A0" w:firstRow="1" w:lastRow="0" w:firstColumn="1" w:lastColumn="0" w:noHBand="0" w:noVBand="1"/>
      </w:tblPr>
      <w:tblGrid>
        <w:gridCol w:w="709"/>
        <w:gridCol w:w="850"/>
        <w:gridCol w:w="2411"/>
        <w:gridCol w:w="2126"/>
        <w:gridCol w:w="1418"/>
        <w:gridCol w:w="7513"/>
      </w:tblGrid>
      <w:tr w:rsidR="004D1935" w14:paraId="3313B38E" w14:textId="77777777" w:rsidTr="00E24DC9">
        <w:tc>
          <w:tcPr>
            <w:tcW w:w="709" w:type="dxa"/>
            <w:vAlign w:val="center"/>
          </w:tcPr>
          <w:p w14:paraId="47CA8ED7" w14:textId="77777777" w:rsidR="004D1935" w:rsidRPr="00F1161C" w:rsidRDefault="004D1935" w:rsidP="00E24DC9">
            <w:pPr>
              <w:jc w:val="center"/>
              <w:rPr>
                <w:sz w:val="16"/>
                <w:szCs w:val="16"/>
              </w:rPr>
            </w:pPr>
            <w:r w:rsidRPr="00F1161C">
              <w:rPr>
                <w:sz w:val="16"/>
                <w:szCs w:val="16"/>
              </w:rPr>
              <w:t>Adduct</w:t>
            </w:r>
          </w:p>
        </w:tc>
        <w:tc>
          <w:tcPr>
            <w:tcW w:w="850" w:type="dxa"/>
            <w:tcBorders>
              <w:bottom w:val="single" w:sz="4" w:space="0" w:color="auto"/>
            </w:tcBorders>
            <w:vAlign w:val="center"/>
          </w:tcPr>
          <w:p w14:paraId="40D6AB8B" w14:textId="77777777" w:rsidR="004D1935" w:rsidRPr="00F1161C" w:rsidRDefault="004D1935" w:rsidP="00E24DC9">
            <w:pPr>
              <w:jc w:val="center"/>
              <w:rPr>
                <w:sz w:val="16"/>
                <w:szCs w:val="16"/>
              </w:rPr>
            </w:pPr>
            <w:r w:rsidRPr="00F1161C">
              <w:rPr>
                <w:sz w:val="16"/>
                <w:szCs w:val="16"/>
              </w:rPr>
              <w:t>Mass detected</w:t>
            </w:r>
          </w:p>
        </w:tc>
        <w:tc>
          <w:tcPr>
            <w:tcW w:w="2411" w:type="dxa"/>
            <w:vAlign w:val="center"/>
          </w:tcPr>
          <w:p w14:paraId="067FBA62" w14:textId="77777777" w:rsidR="004D1935" w:rsidRPr="00F1161C" w:rsidRDefault="004D1935" w:rsidP="00E24DC9">
            <w:pPr>
              <w:jc w:val="center"/>
              <w:rPr>
                <w:sz w:val="16"/>
                <w:szCs w:val="16"/>
              </w:rPr>
            </w:pPr>
            <w:r w:rsidRPr="00F1161C">
              <w:rPr>
                <w:rFonts w:asciiTheme="majorBidi" w:hAnsiTheme="majorBidi" w:cstheme="majorBidi"/>
                <w:color w:val="000000" w:themeColor="text1"/>
                <w:sz w:val="16"/>
                <w:szCs w:val="16"/>
              </w:rPr>
              <w:t>COMPOUNDS NAME</w:t>
            </w:r>
          </w:p>
        </w:tc>
        <w:tc>
          <w:tcPr>
            <w:tcW w:w="2126" w:type="dxa"/>
            <w:vAlign w:val="center"/>
          </w:tcPr>
          <w:p w14:paraId="6D1DEEA2" w14:textId="77777777" w:rsidR="004D1935" w:rsidRPr="00F1161C" w:rsidRDefault="004D1935" w:rsidP="00E24DC9">
            <w:pPr>
              <w:jc w:val="center"/>
              <w:rPr>
                <w:sz w:val="16"/>
                <w:szCs w:val="16"/>
              </w:rPr>
            </w:pPr>
            <w:r w:rsidRPr="00F1161C">
              <w:rPr>
                <w:rFonts w:asciiTheme="majorBidi" w:hAnsiTheme="majorBidi" w:cstheme="majorBidi"/>
                <w:color w:val="000000" w:themeColor="text1"/>
                <w:sz w:val="16"/>
                <w:szCs w:val="16"/>
              </w:rPr>
              <w:t>chemical formula</w:t>
            </w:r>
          </w:p>
        </w:tc>
        <w:tc>
          <w:tcPr>
            <w:tcW w:w="1418" w:type="dxa"/>
            <w:vAlign w:val="center"/>
          </w:tcPr>
          <w:p w14:paraId="30589D10" w14:textId="77777777" w:rsidR="004D1935" w:rsidRPr="00F1161C" w:rsidRDefault="004D1935" w:rsidP="00E24DC9">
            <w:pPr>
              <w:jc w:val="center"/>
              <w:rPr>
                <w:sz w:val="16"/>
                <w:szCs w:val="16"/>
              </w:rPr>
            </w:pPr>
            <w:r w:rsidRPr="00F1161C">
              <w:rPr>
                <w:rFonts w:asciiTheme="majorBidi" w:hAnsiTheme="majorBidi" w:cstheme="majorBidi"/>
                <w:color w:val="000000" w:themeColor="text1"/>
                <w:sz w:val="16"/>
                <w:szCs w:val="16"/>
              </w:rPr>
              <w:t>chemical group</w:t>
            </w:r>
          </w:p>
        </w:tc>
        <w:tc>
          <w:tcPr>
            <w:tcW w:w="7513" w:type="dxa"/>
            <w:vAlign w:val="center"/>
          </w:tcPr>
          <w:p w14:paraId="528E2AFB" w14:textId="77777777" w:rsidR="004D1935" w:rsidRPr="00F1161C" w:rsidRDefault="004D1935" w:rsidP="00E24DC9">
            <w:pPr>
              <w:jc w:val="center"/>
              <w:rPr>
                <w:sz w:val="16"/>
                <w:szCs w:val="16"/>
              </w:rPr>
            </w:pPr>
            <w:r w:rsidRPr="00F1161C">
              <w:rPr>
                <w:rFonts w:asciiTheme="majorBidi" w:hAnsiTheme="majorBidi" w:cstheme="majorBidi"/>
                <w:color w:val="000000" w:themeColor="text1"/>
                <w:sz w:val="16"/>
                <w:szCs w:val="16"/>
              </w:rPr>
              <w:t>pathway</w:t>
            </w:r>
          </w:p>
        </w:tc>
      </w:tr>
      <w:tr w:rsidR="004D1935" w14:paraId="03BD6AB3" w14:textId="77777777" w:rsidTr="00E24DC9">
        <w:tc>
          <w:tcPr>
            <w:tcW w:w="709" w:type="dxa"/>
            <w:vMerge w:val="restart"/>
            <w:vAlign w:val="center"/>
          </w:tcPr>
          <w:p w14:paraId="15DC164C" w14:textId="77777777" w:rsidR="004D1935" w:rsidRDefault="004D1935" w:rsidP="00E24DC9">
            <w:pPr>
              <w:jc w:val="center"/>
            </w:pPr>
            <w:r>
              <w:t>H</w:t>
            </w:r>
          </w:p>
        </w:tc>
        <w:tc>
          <w:tcPr>
            <w:tcW w:w="850" w:type="dxa"/>
            <w:tcBorders>
              <w:bottom w:val="nil"/>
            </w:tcBorders>
            <w:vAlign w:val="center"/>
          </w:tcPr>
          <w:p w14:paraId="37500E91" w14:textId="77777777" w:rsidR="004D1935" w:rsidRDefault="004D1935" w:rsidP="00E24DC9">
            <w:pPr>
              <w:jc w:val="center"/>
            </w:pPr>
            <w:r w:rsidRPr="00CE69AC">
              <w:rPr>
                <w:rFonts w:ascii="Calibri" w:hAnsi="Calibri" w:cs="Calibri"/>
                <w:color w:val="000000"/>
                <w:sz w:val="15"/>
                <w:szCs w:val="15"/>
              </w:rPr>
              <w:t>234.1235</w:t>
            </w:r>
          </w:p>
        </w:tc>
        <w:tc>
          <w:tcPr>
            <w:tcW w:w="2411" w:type="dxa"/>
            <w:vMerge w:val="restart"/>
            <w:vAlign w:val="center"/>
          </w:tcPr>
          <w:p w14:paraId="154BA9EB" w14:textId="77777777" w:rsidR="004D1935" w:rsidRPr="0077649B" w:rsidRDefault="004D1935" w:rsidP="00E24DC9">
            <w:pPr>
              <w:jc w:val="center"/>
              <w:rPr>
                <w:color w:val="000000" w:themeColor="text1"/>
              </w:rPr>
            </w:pPr>
            <w:r w:rsidRPr="0077649B">
              <w:rPr>
                <w:rFonts w:ascii="Calibri" w:hAnsi="Calibri" w:cs="Calibri"/>
                <w:color w:val="000000" w:themeColor="text1"/>
                <w:sz w:val="15"/>
                <w:szCs w:val="15"/>
              </w:rPr>
              <w:t>1-deoxypentalenate</w:t>
            </w:r>
          </w:p>
          <w:p w14:paraId="12C25CAA" w14:textId="77777777" w:rsidR="004D1935" w:rsidRPr="0077649B" w:rsidRDefault="004D1935" w:rsidP="00E24DC9">
            <w:pPr>
              <w:jc w:val="center"/>
              <w:rPr>
                <w:color w:val="000000" w:themeColor="text1"/>
              </w:rPr>
            </w:pPr>
            <w:r w:rsidRPr="0077649B">
              <w:rPr>
                <w:rFonts w:ascii="Calibri" w:hAnsi="Calibri" w:cs="Calibri"/>
                <w:color w:val="000000" w:themeColor="text1"/>
                <w:sz w:val="15"/>
                <w:szCs w:val="15"/>
              </w:rPr>
              <w:t>geranyl monophosphate</w:t>
            </w:r>
          </w:p>
        </w:tc>
        <w:tc>
          <w:tcPr>
            <w:tcW w:w="2126" w:type="dxa"/>
            <w:vMerge w:val="restart"/>
            <w:vAlign w:val="center"/>
          </w:tcPr>
          <w:p w14:paraId="45699364" w14:textId="77777777" w:rsidR="004D1935" w:rsidRPr="0077649B" w:rsidRDefault="004D1935" w:rsidP="00E24DC9">
            <w:pPr>
              <w:jc w:val="center"/>
              <w:rPr>
                <w:color w:val="000000" w:themeColor="text1"/>
              </w:rPr>
            </w:pPr>
            <w:r w:rsidRPr="0077649B">
              <w:rPr>
                <w:rFonts w:ascii="Calibri" w:hAnsi="Calibri" w:cs="Calibri"/>
                <w:color w:val="000000" w:themeColor="text1"/>
                <w:sz w:val="15"/>
                <w:szCs w:val="15"/>
              </w:rPr>
              <w:t>lipid/terpinoid</w:t>
            </w:r>
          </w:p>
          <w:p w14:paraId="7E482E8D" w14:textId="77777777" w:rsidR="004D1935" w:rsidRPr="0077649B" w:rsidRDefault="004D1935" w:rsidP="00E24DC9">
            <w:pPr>
              <w:jc w:val="center"/>
              <w:rPr>
                <w:color w:val="000000" w:themeColor="text1"/>
              </w:rPr>
            </w:pPr>
            <w:r w:rsidRPr="0077649B">
              <w:rPr>
                <w:rFonts w:ascii="Calibri" w:hAnsi="Calibri" w:cs="Calibri"/>
                <w:color w:val="000000" w:themeColor="text1"/>
                <w:sz w:val="15"/>
                <w:szCs w:val="15"/>
              </w:rPr>
              <w:t>phosphoric acid/anion</w:t>
            </w:r>
          </w:p>
        </w:tc>
        <w:tc>
          <w:tcPr>
            <w:tcW w:w="1418" w:type="dxa"/>
            <w:vMerge w:val="restart"/>
            <w:vAlign w:val="center"/>
          </w:tcPr>
          <w:p w14:paraId="322EE583" w14:textId="77777777" w:rsidR="004D1935" w:rsidRPr="0077649B" w:rsidRDefault="004D1935" w:rsidP="00E24DC9">
            <w:pPr>
              <w:jc w:val="center"/>
              <w:rPr>
                <w:color w:val="000000" w:themeColor="text1"/>
              </w:rPr>
            </w:pPr>
            <w:r w:rsidRPr="0077649B">
              <w:rPr>
                <w:rFonts w:ascii="Arial" w:hAnsi="Arial" w:cs="Arial"/>
                <w:color w:val="000000" w:themeColor="text1"/>
                <w:sz w:val="20"/>
                <w:szCs w:val="20"/>
                <w:shd w:val="clear" w:color="auto" w:fill="FFFFFF"/>
              </w:rPr>
              <w:t>C</w:t>
            </w:r>
            <w:r w:rsidRPr="0077649B">
              <w:rPr>
                <w:rFonts w:ascii="Arial" w:hAnsi="Arial" w:cs="Arial"/>
                <w:color w:val="000000" w:themeColor="text1"/>
                <w:shd w:val="clear" w:color="auto" w:fill="FFFFFF"/>
                <w:vertAlign w:val="subscript"/>
              </w:rPr>
              <w:t>15</w:t>
            </w:r>
            <w:r w:rsidRPr="0077649B">
              <w:rPr>
                <w:rFonts w:ascii="Arial" w:hAnsi="Arial" w:cs="Arial"/>
                <w:color w:val="000000" w:themeColor="text1"/>
                <w:sz w:val="20"/>
                <w:szCs w:val="20"/>
                <w:shd w:val="clear" w:color="auto" w:fill="FFFFFF"/>
              </w:rPr>
              <w:t>H</w:t>
            </w:r>
            <w:r w:rsidRPr="0077649B">
              <w:rPr>
                <w:rFonts w:ascii="Arial" w:hAnsi="Arial" w:cs="Arial"/>
                <w:color w:val="000000" w:themeColor="text1"/>
                <w:shd w:val="clear" w:color="auto" w:fill="FFFFFF"/>
                <w:vertAlign w:val="subscript"/>
              </w:rPr>
              <w:t>21</w:t>
            </w:r>
            <w:r w:rsidRPr="0077649B">
              <w:rPr>
                <w:rFonts w:ascii="Arial" w:hAnsi="Arial" w:cs="Arial"/>
                <w:color w:val="000000" w:themeColor="text1"/>
                <w:sz w:val="20"/>
                <w:szCs w:val="20"/>
                <w:shd w:val="clear" w:color="auto" w:fill="FFFFFF"/>
              </w:rPr>
              <w:t>O</w:t>
            </w:r>
            <w:r w:rsidRPr="0077649B">
              <w:rPr>
                <w:rFonts w:ascii="Arial" w:hAnsi="Arial" w:cs="Arial"/>
                <w:color w:val="000000" w:themeColor="text1"/>
                <w:shd w:val="clear" w:color="auto" w:fill="FFFFFF"/>
                <w:vertAlign w:val="subscript"/>
              </w:rPr>
              <w:t>2</w:t>
            </w:r>
          </w:p>
          <w:p w14:paraId="4C27AA08" w14:textId="77777777" w:rsidR="004D1935" w:rsidRPr="0077649B" w:rsidRDefault="004D1935" w:rsidP="00E24DC9">
            <w:pPr>
              <w:jc w:val="center"/>
              <w:rPr>
                <w:color w:val="000000" w:themeColor="text1"/>
              </w:rPr>
            </w:pPr>
            <w:r w:rsidRPr="0077649B">
              <w:rPr>
                <w:rFonts w:ascii="Arial" w:hAnsi="Arial" w:cs="Arial"/>
                <w:color w:val="000000" w:themeColor="text1"/>
                <w:sz w:val="20"/>
                <w:szCs w:val="20"/>
                <w:shd w:val="clear" w:color="auto" w:fill="FFFFFF"/>
              </w:rPr>
              <w:t>C</w:t>
            </w:r>
            <w:r w:rsidRPr="0077649B">
              <w:rPr>
                <w:rFonts w:ascii="Arial" w:hAnsi="Arial" w:cs="Arial"/>
                <w:color w:val="000000" w:themeColor="text1"/>
                <w:shd w:val="clear" w:color="auto" w:fill="FFFFFF"/>
                <w:vertAlign w:val="subscript"/>
              </w:rPr>
              <w:t>10</w:t>
            </w:r>
            <w:r w:rsidRPr="0077649B">
              <w:rPr>
                <w:rFonts w:ascii="Arial" w:hAnsi="Arial" w:cs="Arial"/>
                <w:color w:val="000000" w:themeColor="text1"/>
                <w:sz w:val="20"/>
                <w:szCs w:val="20"/>
                <w:shd w:val="clear" w:color="auto" w:fill="FFFFFF"/>
              </w:rPr>
              <w:t>H</w:t>
            </w:r>
            <w:r w:rsidRPr="0077649B">
              <w:rPr>
                <w:rFonts w:ascii="Arial" w:hAnsi="Arial" w:cs="Arial"/>
                <w:color w:val="000000" w:themeColor="text1"/>
                <w:shd w:val="clear" w:color="auto" w:fill="FFFFFF"/>
                <w:vertAlign w:val="subscript"/>
              </w:rPr>
              <w:t>17</w:t>
            </w:r>
            <w:r w:rsidRPr="0077649B">
              <w:rPr>
                <w:rFonts w:ascii="Arial" w:hAnsi="Arial" w:cs="Arial"/>
                <w:color w:val="000000" w:themeColor="text1"/>
                <w:sz w:val="20"/>
                <w:szCs w:val="20"/>
                <w:shd w:val="clear" w:color="auto" w:fill="FFFFFF"/>
              </w:rPr>
              <w:t>O</w:t>
            </w:r>
            <w:r w:rsidRPr="0077649B">
              <w:rPr>
                <w:rFonts w:ascii="Arial" w:hAnsi="Arial" w:cs="Arial"/>
                <w:color w:val="000000" w:themeColor="text1"/>
                <w:shd w:val="clear" w:color="auto" w:fill="FFFFFF"/>
                <w:vertAlign w:val="subscript"/>
              </w:rPr>
              <w:t>4</w:t>
            </w:r>
            <w:r w:rsidRPr="0077649B">
              <w:rPr>
                <w:rFonts w:ascii="Arial" w:hAnsi="Arial" w:cs="Arial"/>
                <w:color w:val="000000" w:themeColor="text1"/>
                <w:sz w:val="20"/>
                <w:szCs w:val="20"/>
                <w:shd w:val="clear" w:color="auto" w:fill="FFFFFF"/>
              </w:rPr>
              <w:t>P</w:t>
            </w:r>
          </w:p>
          <w:p w14:paraId="28B2CDC6" w14:textId="77777777" w:rsidR="004D1935" w:rsidRPr="0077649B" w:rsidRDefault="004D1935" w:rsidP="00E24DC9">
            <w:pPr>
              <w:jc w:val="center"/>
              <w:rPr>
                <w:color w:val="000000" w:themeColor="text1"/>
              </w:rPr>
            </w:pPr>
          </w:p>
        </w:tc>
        <w:tc>
          <w:tcPr>
            <w:tcW w:w="7513" w:type="dxa"/>
            <w:vMerge w:val="restart"/>
            <w:vAlign w:val="center"/>
          </w:tcPr>
          <w:p w14:paraId="6E8CE8BD" w14:textId="77777777" w:rsidR="004D1935" w:rsidRPr="0077649B" w:rsidRDefault="004D1935" w:rsidP="00E24DC9">
            <w:pPr>
              <w:jc w:val="center"/>
              <w:rPr>
                <w:color w:val="000000" w:themeColor="text1"/>
              </w:rPr>
            </w:pPr>
            <w:r w:rsidRPr="0077649B">
              <w:rPr>
                <w:rFonts w:ascii="Calibri" w:hAnsi="Calibri" w:cs="Calibri"/>
                <w:color w:val="000000" w:themeColor="text1"/>
                <w:sz w:val="15"/>
                <w:szCs w:val="15"/>
              </w:rPr>
              <w:t>Biosynthesis of secondary metabolites - unclassified</w:t>
            </w:r>
          </w:p>
          <w:p w14:paraId="2EC98343" w14:textId="77777777" w:rsidR="004D1935" w:rsidRPr="0077649B" w:rsidRDefault="004D1935" w:rsidP="00E24DC9">
            <w:pPr>
              <w:jc w:val="center"/>
              <w:rPr>
                <w:color w:val="000000" w:themeColor="text1"/>
              </w:rPr>
            </w:pPr>
            <w:r w:rsidRPr="0077649B">
              <w:rPr>
                <w:rFonts w:ascii="Calibri" w:hAnsi="Calibri" w:cs="Calibri"/>
                <w:color w:val="000000" w:themeColor="text1"/>
                <w:sz w:val="15"/>
                <w:szCs w:val="15"/>
              </w:rPr>
              <w:t>jasmonic acid pathway/shikimate biosynthesis/flavonoid/flavonone/riboflavin/abscisic acid /fatty acid/aminosugar nuclotides metabolism</w:t>
            </w:r>
          </w:p>
        </w:tc>
      </w:tr>
      <w:tr w:rsidR="004D1935" w14:paraId="1505DF19" w14:textId="77777777" w:rsidTr="00E24DC9">
        <w:tc>
          <w:tcPr>
            <w:tcW w:w="709" w:type="dxa"/>
            <w:vMerge/>
          </w:tcPr>
          <w:p w14:paraId="14B301D6" w14:textId="77777777" w:rsidR="004D1935" w:rsidRDefault="004D1935" w:rsidP="00E24DC9"/>
        </w:tc>
        <w:tc>
          <w:tcPr>
            <w:tcW w:w="850" w:type="dxa"/>
            <w:tcBorders>
              <w:top w:val="nil"/>
              <w:bottom w:val="nil"/>
            </w:tcBorders>
            <w:vAlign w:val="bottom"/>
          </w:tcPr>
          <w:p w14:paraId="325A3A0C" w14:textId="77777777" w:rsidR="004D1935" w:rsidRDefault="004D1935" w:rsidP="00E24DC9">
            <w:r w:rsidRPr="00CE69AC">
              <w:rPr>
                <w:rFonts w:ascii="Calibri" w:hAnsi="Calibri" w:cs="Calibri"/>
                <w:color w:val="000000"/>
                <w:sz w:val="15"/>
                <w:szCs w:val="15"/>
              </w:rPr>
              <w:t>234.1704</w:t>
            </w:r>
          </w:p>
        </w:tc>
        <w:tc>
          <w:tcPr>
            <w:tcW w:w="2411" w:type="dxa"/>
            <w:vMerge/>
            <w:vAlign w:val="bottom"/>
          </w:tcPr>
          <w:p w14:paraId="4A71A6E4" w14:textId="77777777" w:rsidR="004D1935" w:rsidRDefault="004D1935" w:rsidP="00E24DC9"/>
        </w:tc>
        <w:tc>
          <w:tcPr>
            <w:tcW w:w="2126" w:type="dxa"/>
            <w:vMerge/>
          </w:tcPr>
          <w:p w14:paraId="051C4C14" w14:textId="77777777" w:rsidR="004D1935" w:rsidRDefault="004D1935" w:rsidP="00E24DC9"/>
        </w:tc>
        <w:tc>
          <w:tcPr>
            <w:tcW w:w="1418" w:type="dxa"/>
            <w:vMerge/>
          </w:tcPr>
          <w:p w14:paraId="299F472D" w14:textId="77777777" w:rsidR="004D1935" w:rsidRDefault="004D1935" w:rsidP="00E24DC9"/>
        </w:tc>
        <w:tc>
          <w:tcPr>
            <w:tcW w:w="7513" w:type="dxa"/>
            <w:vMerge/>
          </w:tcPr>
          <w:p w14:paraId="5E7A4DC1" w14:textId="77777777" w:rsidR="004D1935" w:rsidRDefault="004D1935" w:rsidP="00E24DC9"/>
        </w:tc>
      </w:tr>
      <w:tr w:rsidR="004D1935" w14:paraId="309DCB4E" w14:textId="77777777" w:rsidTr="00E24DC9">
        <w:tc>
          <w:tcPr>
            <w:tcW w:w="709" w:type="dxa"/>
            <w:vMerge/>
          </w:tcPr>
          <w:p w14:paraId="1D4C90D6" w14:textId="77777777" w:rsidR="004D1935" w:rsidRDefault="004D1935" w:rsidP="00E24DC9"/>
        </w:tc>
        <w:tc>
          <w:tcPr>
            <w:tcW w:w="850" w:type="dxa"/>
            <w:tcBorders>
              <w:top w:val="nil"/>
              <w:bottom w:val="nil"/>
            </w:tcBorders>
            <w:vAlign w:val="bottom"/>
          </w:tcPr>
          <w:p w14:paraId="1D5D118D" w14:textId="77777777" w:rsidR="004D1935" w:rsidRDefault="004D1935" w:rsidP="00E24DC9">
            <w:r w:rsidRPr="00CE69AC">
              <w:rPr>
                <w:rFonts w:ascii="Calibri" w:hAnsi="Calibri" w:cs="Calibri"/>
                <w:color w:val="000000"/>
                <w:sz w:val="15"/>
                <w:szCs w:val="15"/>
              </w:rPr>
              <w:t>234.2039</w:t>
            </w:r>
          </w:p>
        </w:tc>
        <w:tc>
          <w:tcPr>
            <w:tcW w:w="2411" w:type="dxa"/>
            <w:vMerge/>
          </w:tcPr>
          <w:p w14:paraId="1676FD5B" w14:textId="77777777" w:rsidR="004D1935" w:rsidRDefault="004D1935" w:rsidP="00E24DC9"/>
        </w:tc>
        <w:tc>
          <w:tcPr>
            <w:tcW w:w="2126" w:type="dxa"/>
            <w:vMerge/>
          </w:tcPr>
          <w:p w14:paraId="6DE24933" w14:textId="77777777" w:rsidR="004D1935" w:rsidRDefault="004D1935" w:rsidP="00E24DC9"/>
        </w:tc>
        <w:tc>
          <w:tcPr>
            <w:tcW w:w="1418" w:type="dxa"/>
            <w:vMerge/>
          </w:tcPr>
          <w:p w14:paraId="1D1F0BC3" w14:textId="77777777" w:rsidR="004D1935" w:rsidRDefault="004D1935" w:rsidP="00E24DC9"/>
        </w:tc>
        <w:tc>
          <w:tcPr>
            <w:tcW w:w="7513" w:type="dxa"/>
            <w:vMerge/>
          </w:tcPr>
          <w:p w14:paraId="4B12F069" w14:textId="77777777" w:rsidR="004D1935" w:rsidRDefault="004D1935" w:rsidP="00E24DC9"/>
        </w:tc>
      </w:tr>
      <w:tr w:rsidR="004D1935" w14:paraId="0EE2D846" w14:textId="77777777" w:rsidTr="00E24DC9">
        <w:tc>
          <w:tcPr>
            <w:tcW w:w="709" w:type="dxa"/>
            <w:vMerge/>
          </w:tcPr>
          <w:p w14:paraId="308D3D0A" w14:textId="77777777" w:rsidR="004D1935" w:rsidRDefault="004D1935" w:rsidP="00E24DC9"/>
        </w:tc>
        <w:tc>
          <w:tcPr>
            <w:tcW w:w="850" w:type="dxa"/>
            <w:tcBorders>
              <w:top w:val="nil"/>
              <w:bottom w:val="nil"/>
            </w:tcBorders>
            <w:vAlign w:val="bottom"/>
          </w:tcPr>
          <w:p w14:paraId="356B69F9" w14:textId="77777777" w:rsidR="004D1935" w:rsidRDefault="004D1935" w:rsidP="00E24DC9">
            <w:r w:rsidRPr="00CE69AC">
              <w:rPr>
                <w:rFonts w:ascii="Calibri" w:hAnsi="Calibri" w:cs="Calibri"/>
                <w:color w:val="000000"/>
                <w:sz w:val="15"/>
                <w:szCs w:val="15"/>
              </w:rPr>
              <w:t>234.2375</w:t>
            </w:r>
          </w:p>
        </w:tc>
        <w:tc>
          <w:tcPr>
            <w:tcW w:w="2411" w:type="dxa"/>
            <w:vMerge/>
          </w:tcPr>
          <w:p w14:paraId="74CD37EA" w14:textId="77777777" w:rsidR="004D1935" w:rsidRDefault="004D1935" w:rsidP="00E24DC9"/>
        </w:tc>
        <w:tc>
          <w:tcPr>
            <w:tcW w:w="2126" w:type="dxa"/>
            <w:vMerge/>
          </w:tcPr>
          <w:p w14:paraId="7FE710A1" w14:textId="77777777" w:rsidR="004D1935" w:rsidRDefault="004D1935" w:rsidP="00E24DC9"/>
        </w:tc>
        <w:tc>
          <w:tcPr>
            <w:tcW w:w="1418" w:type="dxa"/>
            <w:vMerge/>
          </w:tcPr>
          <w:p w14:paraId="5E75DDCF" w14:textId="77777777" w:rsidR="004D1935" w:rsidRDefault="004D1935" w:rsidP="00E24DC9"/>
        </w:tc>
        <w:tc>
          <w:tcPr>
            <w:tcW w:w="7513" w:type="dxa"/>
            <w:vMerge/>
          </w:tcPr>
          <w:p w14:paraId="6ACB28A3" w14:textId="77777777" w:rsidR="004D1935" w:rsidRDefault="004D1935" w:rsidP="00E24DC9"/>
        </w:tc>
      </w:tr>
      <w:tr w:rsidR="004D1935" w14:paraId="5C24F146" w14:textId="77777777" w:rsidTr="00E24DC9">
        <w:tc>
          <w:tcPr>
            <w:tcW w:w="709" w:type="dxa"/>
            <w:vMerge/>
          </w:tcPr>
          <w:p w14:paraId="2F8FAE00" w14:textId="77777777" w:rsidR="004D1935" w:rsidRDefault="004D1935" w:rsidP="00E24DC9"/>
        </w:tc>
        <w:tc>
          <w:tcPr>
            <w:tcW w:w="850" w:type="dxa"/>
            <w:tcBorders>
              <w:top w:val="nil"/>
              <w:bottom w:val="nil"/>
            </w:tcBorders>
            <w:vAlign w:val="bottom"/>
          </w:tcPr>
          <w:p w14:paraId="36131529" w14:textId="77777777" w:rsidR="004D1935" w:rsidRDefault="004D1935" w:rsidP="00E24DC9">
            <w:r w:rsidRPr="00CE69AC">
              <w:rPr>
                <w:rFonts w:ascii="Calibri" w:hAnsi="Calibri" w:cs="Calibri"/>
                <w:color w:val="000000"/>
                <w:sz w:val="15"/>
                <w:szCs w:val="15"/>
              </w:rPr>
              <w:t>234.1213</w:t>
            </w:r>
          </w:p>
        </w:tc>
        <w:tc>
          <w:tcPr>
            <w:tcW w:w="2411" w:type="dxa"/>
            <w:vMerge/>
          </w:tcPr>
          <w:p w14:paraId="151F9399" w14:textId="77777777" w:rsidR="004D1935" w:rsidRDefault="004D1935" w:rsidP="00E24DC9"/>
        </w:tc>
        <w:tc>
          <w:tcPr>
            <w:tcW w:w="2126" w:type="dxa"/>
            <w:vMerge/>
          </w:tcPr>
          <w:p w14:paraId="776E15EB" w14:textId="77777777" w:rsidR="004D1935" w:rsidRDefault="004D1935" w:rsidP="00E24DC9"/>
        </w:tc>
        <w:tc>
          <w:tcPr>
            <w:tcW w:w="1418" w:type="dxa"/>
            <w:vMerge/>
          </w:tcPr>
          <w:p w14:paraId="554BC132" w14:textId="77777777" w:rsidR="004D1935" w:rsidRDefault="004D1935" w:rsidP="00E24DC9"/>
        </w:tc>
        <w:tc>
          <w:tcPr>
            <w:tcW w:w="7513" w:type="dxa"/>
            <w:vMerge/>
          </w:tcPr>
          <w:p w14:paraId="563F797F" w14:textId="77777777" w:rsidR="004D1935" w:rsidRDefault="004D1935" w:rsidP="00E24DC9"/>
        </w:tc>
      </w:tr>
      <w:tr w:rsidR="004D1935" w14:paraId="38CB0DEC" w14:textId="77777777" w:rsidTr="00E24DC9">
        <w:tc>
          <w:tcPr>
            <w:tcW w:w="709" w:type="dxa"/>
            <w:vMerge/>
          </w:tcPr>
          <w:p w14:paraId="1048F91A" w14:textId="77777777" w:rsidR="004D1935" w:rsidRDefault="004D1935" w:rsidP="00E24DC9"/>
        </w:tc>
        <w:tc>
          <w:tcPr>
            <w:tcW w:w="850" w:type="dxa"/>
            <w:tcBorders>
              <w:top w:val="nil"/>
              <w:bottom w:val="nil"/>
            </w:tcBorders>
            <w:vAlign w:val="bottom"/>
          </w:tcPr>
          <w:p w14:paraId="5A8918C9" w14:textId="77777777" w:rsidR="004D1935" w:rsidRDefault="004D1935" w:rsidP="00E24DC9">
            <w:r w:rsidRPr="00CE69AC">
              <w:rPr>
                <w:rFonts w:ascii="Calibri" w:hAnsi="Calibri" w:cs="Calibri"/>
                <w:color w:val="000000"/>
                <w:sz w:val="15"/>
                <w:szCs w:val="15"/>
              </w:rPr>
              <w:t>234.1726</w:t>
            </w:r>
          </w:p>
        </w:tc>
        <w:tc>
          <w:tcPr>
            <w:tcW w:w="2411" w:type="dxa"/>
            <w:vMerge/>
          </w:tcPr>
          <w:p w14:paraId="5888B5A7" w14:textId="77777777" w:rsidR="004D1935" w:rsidRDefault="004D1935" w:rsidP="00E24DC9"/>
        </w:tc>
        <w:tc>
          <w:tcPr>
            <w:tcW w:w="2126" w:type="dxa"/>
            <w:vMerge/>
          </w:tcPr>
          <w:p w14:paraId="0FADB152" w14:textId="77777777" w:rsidR="004D1935" w:rsidRDefault="004D1935" w:rsidP="00E24DC9"/>
        </w:tc>
        <w:tc>
          <w:tcPr>
            <w:tcW w:w="1418" w:type="dxa"/>
            <w:vMerge/>
          </w:tcPr>
          <w:p w14:paraId="15784E9D" w14:textId="77777777" w:rsidR="004D1935" w:rsidRDefault="004D1935" w:rsidP="00E24DC9"/>
        </w:tc>
        <w:tc>
          <w:tcPr>
            <w:tcW w:w="7513" w:type="dxa"/>
            <w:vMerge/>
          </w:tcPr>
          <w:p w14:paraId="436C9CE0" w14:textId="77777777" w:rsidR="004D1935" w:rsidRDefault="004D1935" w:rsidP="00E24DC9"/>
        </w:tc>
      </w:tr>
      <w:tr w:rsidR="004D1935" w14:paraId="3DAB4B74" w14:textId="77777777" w:rsidTr="00E24DC9">
        <w:tc>
          <w:tcPr>
            <w:tcW w:w="709" w:type="dxa"/>
            <w:vMerge/>
          </w:tcPr>
          <w:p w14:paraId="60E1FAB0" w14:textId="77777777" w:rsidR="004D1935" w:rsidRDefault="004D1935" w:rsidP="00E24DC9"/>
        </w:tc>
        <w:tc>
          <w:tcPr>
            <w:tcW w:w="850" w:type="dxa"/>
            <w:tcBorders>
              <w:top w:val="nil"/>
              <w:bottom w:val="nil"/>
            </w:tcBorders>
            <w:vAlign w:val="bottom"/>
          </w:tcPr>
          <w:p w14:paraId="585B179D" w14:textId="77777777" w:rsidR="004D1935" w:rsidRDefault="004D1935" w:rsidP="00E24DC9">
            <w:r w:rsidRPr="00CE69AC">
              <w:rPr>
                <w:rFonts w:ascii="Calibri" w:hAnsi="Calibri" w:cs="Calibri"/>
                <w:color w:val="000000"/>
                <w:sz w:val="15"/>
                <w:szCs w:val="15"/>
              </w:rPr>
              <w:t>234.2061</w:t>
            </w:r>
          </w:p>
        </w:tc>
        <w:tc>
          <w:tcPr>
            <w:tcW w:w="2411" w:type="dxa"/>
            <w:vMerge/>
          </w:tcPr>
          <w:p w14:paraId="39A5CE88" w14:textId="77777777" w:rsidR="004D1935" w:rsidRDefault="004D1935" w:rsidP="00E24DC9"/>
        </w:tc>
        <w:tc>
          <w:tcPr>
            <w:tcW w:w="2126" w:type="dxa"/>
            <w:vMerge/>
          </w:tcPr>
          <w:p w14:paraId="28F111D9" w14:textId="77777777" w:rsidR="004D1935" w:rsidRDefault="004D1935" w:rsidP="00E24DC9"/>
        </w:tc>
        <w:tc>
          <w:tcPr>
            <w:tcW w:w="1418" w:type="dxa"/>
            <w:vMerge/>
          </w:tcPr>
          <w:p w14:paraId="43466E86" w14:textId="77777777" w:rsidR="004D1935" w:rsidRDefault="004D1935" w:rsidP="00E24DC9"/>
        </w:tc>
        <w:tc>
          <w:tcPr>
            <w:tcW w:w="7513" w:type="dxa"/>
            <w:vMerge/>
          </w:tcPr>
          <w:p w14:paraId="000AE978" w14:textId="77777777" w:rsidR="004D1935" w:rsidRDefault="004D1935" w:rsidP="00E24DC9"/>
        </w:tc>
      </w:tr>
      <w:tr w:rsidR="004D1935" w14:paraId="739883B2" w14:textId="77777777" w:rsidTr="00E24DC9">
        <w:tc>
          <w:tcPr>
            <w:tcW w:w="709" w:type="dxa"/>
            <w:vMerge/>
          </w:tcPr>
          <w:p w14:paraId="6F7A7715" w14:textId="77777777" w:rsidR="004D1935" w:rsidRDefault="004D1935" w:rsidP="00E24DC9"/>
        </w:tc>
        <w:tc>
          <w:tcPr>
            <w:tcW w:w="850" w:type="dxa"/>
            <w:tcBorders>
              <w:top w:val="nil"/>
              <w:bottom w:val="nil"/>
            </w:tcBorders>
            <w:vAlign w:val="bottom"/>
          </w:tcPr>
          <w:p w14:paraId="48375538" w14:textId="77777777" w:rsidR="004D1935" w:rsidRDefault="004D1935" w:rsidP="00E24DC9">
            <w:r w:rsidRPr="00CE69AC">
              <w:rPr>
                <w:rFonts w:ascii="Calibri" w:hAnsi="Calibri" w:cs="Calibri"/>
                <w:color w:val="000000"/>
                <w:sz w:val="15"/>
                <w:szCs w:val="15"/>
              </w:rPr>
              <w:t>234.2397</w:t>
            </w:r>
          </w:p>
        </w:tc>
        <w:tc>
          <w:tcPr>
            <w:tcW w:w="2411" w:type="dxa"/>
            <w:vMerge/>
          </w:tcPr>
          <w:p w14:paraId="0DCD111A" w14:textId="77777777" w:rsidR="004D1935" w:rsidRDefault="004D1935" w:rsidP="00E24DC9"/>
        </w:tc>
        <w:tc>
          <w:tcPr>
            <w:tcW w:w="2126" w:type="dxa"/>
            <w:vMerge/>
          </w:tcPr>
          <w:p w14:paraId="0F15B810" w14:textId="77777777" w:rsidR="004D1935" w:rsidRDefault="004D1935" w:rsidP="00E24DC9"/>
        </w:tc>
        <w:tc>
          <w:tcPr>
            <w:tcW w:w="1418" w:type="dxa"/>
            <w:vMerge/>
          </w:tcPr>
          <w:p w14:paraId="4F42F855" w14:textId="77777777" w:rsidR="004D1935" w:rsidRDefault="004D1935" w:rsidP="00E24DC9"/>
        </w:tc>
        <w:tc>
          <w:tcPr>
            <w:tcW w:w="7513" w:type="dxa"/>
            <w:vMerge/>
          </w:tcPr>
          <w:p w14:paraId="573DA966" w14:textId="77777777" w:rsidR="004D1935" w:rsidRDefault="004D1935" w:rsidP="00E24DC9"/>
        </w:tc>
      </w:tr>
      <w:tr w:rsidR="004D1935" w14:paraId="32DA50B7" w14:textId="77777777" w:rsidTr="00E24DC9">
        <w:tc>
          <w:tcPr>
            <w:tcW w:w="709" w:type="dxa"/>
            <w:vMerge/>
          </w:tcPr>
          <w:p w14:paraId="3D01351B" w14:textId="77777777" w:rsidR="004D1935" w:rsidRDefault="004D1935" w:rsidP="00E24DC9"/>
        </w:tc>
        <w:tc>
          <w:tcPr>
            <w:tcW w:w="850" w:type="dxa"/>
            <w:tcBorders>
              <w:top w:val="nil"/>
              <w:bottom w:val="nil"/>
            </w:tcBorders>
            <w:vAlign w:val="bottom"/>
          </w:tcPr>
          <w:p w14:paraId="725F26F2" w14:textId="77777777" w:rsidR="004D1935" w:rsidRDefault="004D1935" w:rsidP="00E24DC9">
            <w:r w:rsidRPr="00CE69AC">
              <w:rPr>
                <w:rFonts w:ascii="Calibri" w:hAnsi="Calibri" w:cs="Calibri"/>
                <w:color w:val="000000"/>
                <w:sz w:val="15"/>
                <w:szCs w:val="15"/>
              </w:rPr>
              <w:t>234.2732</w:t>
            </w:r>
          </w:p>
        </w:tc>
        <w:tc>
          <w:tcPr>
            <w:tcW w:w="2411" w:type="dxa"/>
            <w:vMerge/>
          </w:tcPr>
          <w:p w14:paraId="4765FF76" w14:textId="77777777" w:rsidR="004D1935" w:rsidRDefault="004D1935" w:rsidP="00E24DC9"/>
        </w:tc>
        <w:tc>
          <w:tcPr>
            <w:tcW w:w="2126" w:type="dxa"/>
            <w:vMerge/>
          </w:tcPr>
          <w:p w14:paraId="2F061AEC" w14:textId="77777777" w:rsidR="004D1935" w:rsidRDefault="004D1935" w:rsidP="00E24DC9"/>
        </w:tc>
        <w:tc>
          <w:tcPr>
            <w:tcW w:w="1418" w:type="dxa"/>
            <w:vMerge/>
          </w:tcPr>
          <w:p w14:paraId="1843AD66" w14:textId="77777777" w:rsidR="004D1935" w:rsidRDefault="004D1935" w:rsidP="00E24DC9"/>
        </w:tc>
        <w:tc>
          <w:tcPr>
            <w:tcW w:w="7513" w:type="dxa"/>
            <w:vMerge/>
          </w:tcPr>
          <w:p w14:paraId="775FD77A" w14:textId="77777777" w:rsidR="004D1935" w:rsidRDefault="004D1935" w:rsidP="00E24DC9"/>
        </w:tc>
      </w:tr>
      <w:tr w:rsidR="004D1935" w14:paraId="1873D471" w14:textId="77777777" w:rsidTr="00E24DC9">
        <w:tc>
          <w:tcPr>
            <w:tcW w:w="709" w:type="dxa"/>
            <w:vMerge/>
          </w:tcPr>
          <w:p w14:paraId="7C575DCF" w14:textId="77777777" w:rsidR="004D1935" w:rsidRDefault="004D1935" w:rsidP="00E24DC9"/>
        </w:tc>
        <w:tc>
          <w:tcPr>
            <w:tcW w:w="850" w:type="dxa"/>
            <w:tcBorders>
              <w:top w:val="nil"/>
              <w:bottom w:val="nil"/>
            </w:tcBorders>
            <w:vAlign w:val="bottom"/>
          </w:tcPr>
          <w:p w14:paraId="3EB6CC87" w14:textId="77777777" w:rsidR="004D1935" w:rsidRDefault="004D1935" w:rsidP="00E24DC9">
            <w:r w:rsidRPr="00CE69AC">
              <w:rPr>
                <w:rFonts w:ascii="Calibri" w:hAnsi="Calibri" w:cs="Calibri"/>
                <w:color w:val="000000"/>
                <w:sz w:val="15"/>
                <w:szCs w:val="15"/>
              </w:rPr>
              <w:t>234.1257</w:t>
            </w:r>
          </w:p>
        </w:tc>
        <w:tc>
          <w:tcPr>
            <w:tcW w:w="2411" w:type="dxa"/>
            <w:vMerge/>
          </w:tcPr>
          <w:p w14:paraId="05D13A7A" w14:textId="77777777" w:rsidR="004D1935" w:rsidRDefault="004D1935" w:rsidP="00E24DC9"/>
        </w:tc>
        <w:tc>
          <w:tcPr>
            <w:tcW w:w="2126" w:type="dxa"/>
            <w:vMerge/>
          </w:tcPr>
          <w:p w14:paraId="46BD0F38" w14:textId="77777777" w:rsidR="004D1935" w:rsidRDefault="004D1935" w:rsidP="00E24DC9"/>
        </w:tc>
        <w:tc>
          <w:tcPr>
            <w:tcW w:w="1418" w:type="dxa"/>
            <w:vMerge/>
          </w:tcPr>
          <w:p w14:paraId="5DFDBA53" w14:textId="77777777" w:rsidR="004D1935" w:rsidRDefault="004D1935" w:rsidP="00E24DC9"/>
        </w:tc>
        <w:tc>
          <w:tcPr>
            <w:tcW w:w="7513" w:type="dxa"/>
            <w:vMerge/>
          </w:tcPr>
          <w:p w14:paraId="69E1D9F7" w14:textId="77777777" w:rsidR="004D1935" w:rsidRDefault="004D1935" w:rsidP="00E24DC9"/>
        </w:tc>
      </w:tr>
      <w:tr w:rsidR="004D1935" w14:paraId="423632A0" w14:textId="77777777" w:rsidTr="00E24DC9">
        <w:tc>
          <w:tcPr>
            <w:tcW w:w="709" w:type="dxa"/>
            <w:vMerge/>
          </w:tcPr>
          <w:p w14:paraId="2EA9A242" w14:textId="77777777" w:rsidR="004D1935" w:rsidRDefault="004D1935" w:rsidP="00E24DC9"/>
        </w:tc>
        <w:tc>
          <w:tcPr>
            <w:tcW w:w="850" w:type="dxa"/>
            <w:tcBorders>
              <w:top w:val="nil"/>
              <w:bottom w:val="nil"/>
            </w:tcBorders>
            <w:vAlign w:val="bottom"/>
          </w:tcPr>
          <w:p w14:paraId="3CC28216" w14:textId="77777777" w:rsidR="004D1935" w:rsidRDefault="004D1935" w:rsidP="00E24DC9">
            <w:r w:rsidRPr="00CE69AC">
              <w:rPr>
                <w:rFonts w:ascii="Calibri" w:hAnsi="Calibri" w:cs="Calibri"/>
                <w:color w:val="000000"/>
                <w:sz w:val="15"/>
                <w:szCs w:val="15"/>
              </w:rPr>
              <w:t>234.1682</w:t>
            </w:r>
          </w:p>
        </w:tc>
        <w:tc>
          <w:tcPr>
            <w:tcW w:w="2411" w:type="dxa"/>
            <w:vMerge/>
          </w:tcPr>
          <w:p w14:paraId="0D05641B" w14:textId="77777777" w:rsidR="004D1935" w:rsidRDefault="004D1935" w:rsidP="00E24DC9"/>
        </w:tc>
        <w:tc>
          <w:tcPr>
            <w:tcW w:w="2126" w:type="dxa"/>
            <w:vMerge/>
          </w:tcPr>
          <w:p w14:paraId="22DE18AE" w14:textId="77777777" w:rsidR="004D1935" w:rsidRDefault="004D1935" w:rsidP="00E24DC9"/>
        </w:tc>
        <w:tc>
          <w:tcPr>
            <w:tcW w:w="1418" w:type="dxa"/>
            <w:vMerge/>
          </w:tcPr>
          <w:p w14:paraId="3D659FE1" w14:textId="77777777" w:rsidR="004D1935" w:rsidRDefault="004D1935" w:rsidP="00E24DC9"/>
        </w:tc>
        <w:tc>
          <w:tcPr>
            <w:tcW w:w="7513" w:type="dxa"/>
            <w:vMerge/>
          </w:tcPr>
          <w:p w14:paraId="7EB35E51" w14:textId="77777777" w:rsidR="004D1935" w:rsidRDefault="004D1935" w:rsidP="00E24DC9"/>
        </w:tc>
      </w:tr>
      <w:tr w:rsidR="004D1935" w14:paraId="1ED08739" w14:textId="77777777" w:rsidTr="00E24DC9">
        <w:tc>
          <w:tcPr>
            <w:tcW w:w="709" w:type="dxa"/>
            <w:vMerge/>
          </w:tcPr>
          <w:p w14:paraId="3440FEDD" w14:textId="77777777" w:rsidR="004D1935" w:rsidRDefault="004D1935" w:rsidP="00E24DC9"/>
        </w:tc>
        <w:tc>
          <w:tcPr>
            <w:tcW w:w="850" w:type="dxa"/>
            <w:tcBorders>
              <w:top w:val="nil"/>
              <w:bottom w:val="nil"/>
            </w:tcBorders>
            <w:vAlign w:val="bottom"/>
          </w:tcPr>
          <w:p w14:paraId="3C7E3CDA" w14:textId="77777777" w:rsidR="004D1935" w:rsidRDefault="004D1935" w:rsidP="00E24DC9">
            <w:r w:rsidRPr="00CE69AC">
              <w:rPr>
                <w:rFonts w:ascii="Calibri" w:hAnsi="Calibri" w:cs="Calibri"/>
                <w:color w:val="000000"/>
                <w:sz w:val="15"/>
                <w:szCs w:val="15"/>
              </w:rPr>
              <w:t>234.1168</w:t>
            </w:r>
          </w:p>
        </w:tc>
        <w:tc>
          <w:tcPr>
            <w:tcW w:w="2411" w:type="dxa"/>
            <w:vMerge/>
          </w:tcPr>
          <w:p w14:paraId="51F1457F" w14:textId="77777777" w:rsidR="004D1935" w:rsidRDefault="004D1935" w:rsidP="00E24DC9"/>
        </w:tc>
        <w:tc>
          <w:tcPr>
            <w:tcW w:w="2126" w:type="dxa"/>
            <w:vMerge/>
          </w:tcPr>
          <w:p w14:paraId="3003EBDC" w14:textId="77777777" w:rsidR="004D1935" w:rsidRDefault="004D1935" w:rsidP="00E24DC9"/>
        </w:tc>
        <w:tc>
          <w:tcPr>
            <w:tcW w:w="1418" w:type="dxa"/>
            <w:vMerge/>
          </w:tcPr>
          <w:p w14:paraId="217C1EC8" w14:textId="77777777" w:rsidR="004D1935" w:rsidRDefault="004D1935" w:rsidP="00E24DC9"/>
        </w:tc>
        <w:tc>
          <w:tcPr>
            <w:tcW w:w="7513" w:type="dxa"/>
            <w:vMerge/>
          </w:tcPr>
          <w:p w14:paraId="31B5998D" w14:textId="77777777" w:rsidR="004D1935" w:rsidRDefault="004D1935" w:rsidP="00E24DC9"/>
        </w:tc>
      </w:tr>
      <w:tr w:rsidR="004D1935" w14:paraId="42DFDA33" w14:textId="77777777" w:rsidTr="00E24DC9">
        <w:tc>
          <w:tcPr>
            <w:tcW w:w="709" w:type="dxa"/>
            <w:vMerge/>
          </w:tcPr>
          <w:p w14:paraId="40E056BF" w14:textId="77777777" w:rsidR="004D1935" w:rsidRDefault="004D1935" w:rsidP="00E24DC9"/>
        </w:tc>
        <w:tc>
          <w:tcPr>
            <w:tcW w:w="850" w:type="dxa"/>
            <w:tcBorders>
              <w:top w:val="nil"/>
              <w:bottom w:val="nil"/>
            </w:tcBorders>
            <w:vAlign w:val="bottom"/>
          </w:tcPr>
          <w:p w14:paraId="796CAA56" w14:textId="77777777" w:rsidR="004D1935" w:rsidRDefault="004D1935" w:rsidP="00E24DC9">
            <w:r w:rsidRPr="00CE69AC">
              <w:rPr>
                <w:rFonts w:ascii="Calibri" w:hAnsi="Calibri" w:cs="Calibri"/>
                <w:color w:val="000000"/>
                <w:sz w:val="15"/>
                <w:szCs w:val="15"/>
              </w:rPr>
              <w:t>234.1637</w:t>
            </w:r>
          </w:p>
        </w:tc>
        <w:tc>
          <w:tcPr>
            <w:tcW w:w="2411" w:type="dxa"/>
            <w:vMerge/>
          </w:tcPr>
          <w:p w14:paraId="58CF93FC" w14:textId="77777777" w:rsidR="004D1935" w:rsidRDefault="004D1935" w:rsidP="00E24DC9"/>
        </w:tc>
        <w:tc>
          <w:tcPr>
            <w:tcW w:w="2126" w:type="dxa"/>
            <w:vMerge/>
          </w:tcPr>
          <w:p w14:paraId="2E6D165F" w14:textId="77777777" w:rsidR="004D1935" w:rsidRDefault="004D1935" w:rsidP="00E24DC9"/>
        </w:tc>
        <w:tc>
          <w:tcPr>
            <w:tcW w:w="1418" w:type="dxa"/>
            <w:vMerge/>
          </w:tcPr>
          <w:p w14:paraId="29FFFC9A" w14:textId="77777777" w:rsidR="004D1935" w:rsidRDefault="004D1935" w:rsidP="00E24DC9"/>
        </w:tc>
        <w:tc>
          <w:tcPr>
            <w:tcW w:w="7513" w:type="dxa"/>
            <w:vMerge/>
          </w:tcPr>
          <w:p w14:paraId="5C8A5B5D" w14:textId="77777777" w:rsidR="004D1935" w:rsidRDefault="004D1935" w:rsidP="00E24DC9"/>
        </w:tc>
      </w:tr>
      <w:tr w:rsidR="004D1935" w14:paraId="026F8212" w14:textId="77777777" w:rsidTr="00E24DC9">
        <w:tc>
          <w:tcPr>
            <w:tcW w:w="709" w:type="dxa"/>
            <w:vMerge/>
          </w:tcPr>
          <w:p w14:paraId="20C2A115" w14:textId="77777777" w:rsidR="004D1935" w:rsidRDefault="004D1935" w:rsidP="00E24DC9"/>
        </w:tc>
        <w:tc>
          <w:tcPr>
            <w:tcW w:w="850" w:type="dxa"/>
            <w:tcBorders>
              <w:top w:val="nil"/>
              <w:bottom w:val="nil"/>
            </w:tcBorders>
            <w:vAlign w:val="bottom"/>
          </w:tcPr>
          <w:p w14:paraId="65AA7233" w14:textId="77777777" w:rsidR="004D1935" w:rsidRDefault="004D1935" w:rsidP="00E24DC9">
            <w:r w:rsidRPr="00CE69AC">
              <w:rPr>
                <w:rFonts w:ascii="Calibri" w:hAnsi="Calibri" w:cs="Calibri"/>
                <w:color w:val="000000"/>
                <w:sz w:val="15"/>
                <w:szCs w:val="15"/>
              </w:rPr>
              <w:t>234.1972</w:t>
            </w:r>
          </w:p>
        </w:tc>
        <w:tc>
          <w:tcPr>
            <w:tcW w:w="2411" w:type="dxa"/>
            <w:vMerge/>
          </w:tcPr>
          <w:p w14:paraId="56EC0AFB" w14:textId="77777777" w:rsidR="004D1935" w:rsidRDefault="004D1935" w:rsidP="00E24DC9"/>
        </w:tc>
        <w:tc>
          <w:tcPr>
            <w:tcW w:w="2126" w:type="dxa"/>
            <w:vMerge/>
          </w:tcPr>
          <w:p w14:paraId="386E3413" w14:textId="77777777" w:rsidR="004D1935" w:rsidRDefault="004D1935" w:rsidP="00E24DC9"/>
        </w:tc>
        <w:tc>
          <w:tcPr>
            <w:tcW w:w="1418" w:type="dxa"/>
            <w:vMerge/>
          </w:tcPr>
          <w:p w14:paraId="76D07E29" w14:textId="77777777" w:rsidR="004D1935" w:rsidRDefault="004D1935" w:rsidP="00E24DC9"/>
        </w:tc>
        <w:tc>
          <w:tcPr>
            <w:tcW w:w="7513" w:type="dxa"/>
            <w:vMerge/>
          </w:tcPr>
          <w:p w14:paraId="3784F31D" w14:textId="77777777" w:rsidR="004D1935" w:rsidRDefault="004D1935" w:rsidP="00E24DC9"/>
        </w:tc>
      </w:tr>
      <w:tr w:rsidR="004D1935" w14:paraId="2E347325" w14:textId="77777777" w:rsidTr="00E24DC9">
        <w:tc>
          <w:tcPr>
            <w:tcW w:w="709" w:type="dxa"/>
            <w:vMerge/>
          </w:tcPr>
          <w:p w14:paraId="0ADD9A8C" w14:textId="77777777" w:rsidR="004D1935" w:rsidRDefault="004D1935" w:rsidP="00E24DC9"/>
        </w:tc>
        <w:tc>
          <w:tcPr>
            <w:tcW w:w="850" w:type="dxa"/>
            <w:tcBorders>
              <w:top w:val="nil"/>
              <w:bottom w:val="nil"/>
            </w:tcBorders>
            <w:vAlign w:val="bottom"/>
          </w:tcPr>
          <w:p w14:paraId="727EB491" w14:textId="77777777" w:rsidR="004D1935" w:rsidRDefault="004D1935" w:rsidP="00E24DC9">
            <w:r w:rsidRPr="00CE69AC">
              <w:rPr>
                <w:rFonts w:ascii="Calibri" w:hAnsi="Calibri" w:cs="Calibri"/>
                <w:color w:val="000000"/>
                <w:sz w:val="15"/>
                <w:szCs w:val="15"/>
              </w:rPr>
              <w:t>234.2308</w:t>
            </w:r>
          </w:p>
        </w:tc>
        <w:tc>
          <w:tcPr>
            <w:tcW w:w="2411" w:type="dxa"/>
            <w:vMerge/>
          </w:tcPr>
          <w:p w14:paraId="01E208FE" w14:textId="77777777" w:rsidR="004D1935" w:rsidRDefault="004D1935" w:rsidP="00E24DC9"/>
        </w:tc>
        <w:tc>
          <w:tcPr>
            <w:tcW w:w="2126" w:type="dxa"/>
            <w:vMerge/>
          </w:tcPr>
          <w:p w14:paraId="577FB93C" w14:textId="77777777" w:rsidR="004D1935" w:rsidRDefault="004D1935" w:rsidP="00E24DC9"/>
        </w:tc>
        <w:tc>
          <w:tcPr>
            <w:tcW w:w="1418" w:type="dxa"/>
            <w:vMerge/>
          </w:tcPr>
          <w:p w14:paraId="59F21F25" w14:textId="77777777" w:rsidR="004D1935" w:rsidRDefault="004D1935" w:rsidP="00E24DC9"/>
        </w:tc>
        <w:tc>
          <w:tcPr>
            <w:tcW w:w="7513" w:type="dxa"/>
            <w:vMerge/>
          </w:tcPr>
          <w:p w14:paraId="38A1B1F2" w14:textId="77777777" w:rsidR="004D1935" w:rsidRDefault="004D1935" w:rsidP="00E24DC9"/>
        </w:tc>
      </w:tr>
      <w:tr w:rsidR="004D1935" w14:paraId="718A259F" w14:textId="77777777" w:rsidTr="00E24DC9">
        <w:tc>
          <w:tcPr>
            <w:tcW w:w="709" w:type="dxa"/>
            <w:vMerge/>
          </w:tcPr>
          <w:p w14:paraId="2D32314D" w14:textId="77777777" w:rsidR="004D1935" w:rsidRDefault="004D1935" w:rsidP="00E24DC9"/>
        </w:tc>
        <w:tc>
          <w:tcPr>
            <w:tcW w:w="850" w:type="dxa"/>
            <w:tcBorders>
              <w:top w:val="nil"/>
              <w:bottom w:val="nil"/>
            </w:tcBorders>
            <w:vAlign w:val="bottom"/>
          </w:tcPr>
          <w:p w14:paraId="799A2F29" w14:textId="77777777" w:rsidR="004D1935" w:rsidRDefault="004D1935" w:rsidP="00E24DC9">
            <w:r w:rsidRPr="00CE69AC">
              <w:rPr>
                <w:rFonts w:ascii="Calibri" w:hAnsi="Calibri" w:cs="Calibri"/>
                <w:color w:val="000000"/>
                <w:sz w:val="15"/>
                <w:szCs w:val="15"/>
              </w:rPr>
              <w:t>234.2665</w:t>
            </w:r>
          </w:p>
        </w:tc>
        <w:tc>
          <w:tcPr>
            <w:tcW w:w="2411" w:type="dxa"/>
            <w:vMerge/>
          </w:tcPr>
          <w:p w14:paraId="2B103015" w14:textId="77777777" w:rsidR="004D1935" w:rsidRDefault="004D1935" w:rsidP="00E24DC9"/>
        </w:tc>
        <w:tc>
          <w:tcPr>
            <w:tcW w:w="2126" w:type="dxa"/>
            <w:vMerge/>
          </w:tcPr>
          <w:p w14:paraId="27115698" w14:textId="77777777" w:rsidR="004D1935" w:rsidRDefault="004D1935" w:rsidP="00E24DC9"/>
        </w:tc>
        <w:tc>
          <w:tcPr>
            <w:tcW w:w="1418" w:type="dxa"/>
            <w:vMerge/>
          </w:tcPr>
          <w:p w14:paraId="5F33CB33" w14:textId="77777777" w:rsidR="004D1935" w:rsidRDefault="004D1935" w:rsidP="00E24DC9"/>
        </w:tc>
        <w:tc>
          <w:tcPr>
            <w:tcW w:w="7513" w:type="dxa"/>
            <w:vMerge/>
          </w:tcPr>
          <w:p w14:paraId="61075664" w14:textId="77777777" w:rsidR="004D1935" w:rsidRDefault="004D1935" w:rsidP="00E24DC9"/>
        </w:tc>
      </w:tr>
      <w:tr w:rsidR="004D1935" w14:paraId="58A7BFEC" w14:textId="77777777" w:rsidTr="00E24DC9">
        <w:tc>
          <w:tcPr>
            <w:tcW w:w="709" w:type="dxa"/>
            <w:vMerge/>
          </w:tcPr>
          <w:p w14:paraId="5BD24929" w14:textId="77777777" w:rsidR="004D1935" w:rsidRDefault="004D1935" w:rsidP="00E24DC9"/>
        </w:tc>
        <w:tc>
          <w:tcPr>
            <w:tcW w:w="850" w:type="dxa"/>
            <w:tcBorders>
              <w:top w:val="nil"/>
              <w:bottom w:val="nil"/>
            </w:tcBorders>
            <w:vAlign w:val="bottom"/>
          </w:tcPr>
          <w:p w14:paraId="2D4D823D" w14:textId="77777777" w:rsidR="004D1935" w:rsidRDefault="004D1935" w:rsidP="00E24DC9">
            <w:r w:rsidRPr="00CE69AC">
              <w:rPr>
                <w:rFonts w:ascii="Calibri" w:hAnsi="Calibri" w:cs="Calibri"/>
                <w:color w:val="000000"/>
                <w:sz w:val="15"/>
                <w:szCs w:val="15"/>
              </w:rPr>
              <w:t>234.1146</w:t>
            </w:r>
          </w:p>
        </w:tc>
        <w:tc>
          <w:tcPr>
            <w:tcW w:w="2411" w:type="dxa"/>
            <w:vMerge/>
          </w:tcPr>
          <w:p w14:paraId="118A178F" w14:textId="77777777" w:rsidR="004D1935" w:rsidRDefault="004D1935" w:rsidP="00E24DC9"/>
        </w:tc>
        <w:tc>
          <w:tcPr>
            <w:tcW w:w="2126" w:type="dxa"/>
            <w:vMerge/>
          </w:tcPr>
          <w:p w14:paraId="79B681AB" w14:textId="77777777" w:rsidR="004D1935" w:rsidRDefault="004D1935" w:rsidP="00E24DC9"/>
        </w:tc>
        <w:tc>
          <w:tcPr>
            <w:tcW w:w="1418" w:type="dxa"/>
            <w:vMerge/>
          </w:tcPr>
          <w:p w14:paraId="69996A37" w14:textId="77777777" w:rsidR="004D1935" w:rsidRDefault="004D1935" w:rsidP="00E24DC9"/>
        </w:tc>
        <w:tc>
          <w:tcPr>
            <w:tcW w:w="7513" w:type="dxa"/>
            <w:vMerge/>
          </w:tcPr>
          <w:p w14:paraId="3D8CABCE" w14:textId="77777777" w:rsidR="004D1935" w:rsidRDefault="004D1935" w:rsidP="00E24DC9"/>
        </w:tc>
      </w:tr>
      <w:tr w:rsidR="004D1935" w14:paraId="60E6F4C1" w14:textId="77777777" w:rsidTr="00E24DC9">
        <w:tc>
          <w:tcPr>
            <w:tcW w:w="709" w:type="dxa"/>
            <w:vMerge/>
          </w:tcPr>
          <w:p w14:paraId="367AA284" w14:textId="77777777" w:rsidR="004D1935" w:rsidRDefault="004D1935" w:rsidP="00E24DC9"/>
        </w:tc>
        <w:tc>
          <w:tcPr>
            <w:tcW w:w="850" w:type="dxa"/>
            <w:tcBorders>
              <w:top w:val="nil"/>
              <w:bottom w:val="nil"/>
            </w:tcBorders>
            <w:vAlign w:val="bottom"/>
          </w:tcPr>
          <w:p w14:paraId="19B97D5E" w14:textId="77777777" w:rsidR="004D1935" w:rsidRDefault="004D1935" w:rsidP="00E24DC9">
            <w:r w:rsidRPr="00CE69AC">
              <w:rPr>
                <w:rFonts w:ascii="Calibri" w:hAnsi="Calibri" w:cs="Calibri"/>
                <w:color w:val="000000"/>
                <w:sz w:val="15"/>
                <w:szCs w:val="15"/>
              </w:rPr>
              <w:t>234.1615</w:t>
            </w:r>
          </w:p>
        </w:tc>
        <w:tc>
          <w:tcPr>
            <w:tcW w:w="2411" w:type="dxa"/>
            <w:vMerge/>
          </w:tcPr>
          <w:p w14:paraId="7C0B49B3" w14:textId="77777777" w:rsidR="004D1935" w:rsidRDefault="004D1935" w:rsidP="00E24DC9"/>
        </w:tc>
        <w:tc>
          <w:tcPr>
            <w:tcW w:w="2126" w:type="dxa"/>
            <w:vMerge/>
          </w:tcPr>
          <w:p w14:paraId="58174DF7" w14:textId="77777777" w:rsidR="004D1935" w:rsidRDefault="004D1935" w:rsidP="00E24DC9"/>
        </w:tc>
        <w:tc>
          <w:tcPr>
            <w:tcW w:w="1418" w:type="dxa"/>
            <w:vMerge/>
          </w:tcPr>
          <w:p w14:paraId="1116D2FA" w14:textId="77777777" w:rsidR="004D1935" w:rsidRDefault="004D1935" w:rsidP="00E24DC9"/>
        </w:tc>
        <w:tc>
          <w:tcPr>
            <w:tcW w:w="7513" w:type="dxa"/>
            <w:vMerge/>
          </w:tcPr>
          <w:p w14:paraId="33A876EB" w14:textId="77777777" w:rsidR="004D1935" w:rsidRDefault="004D1935" w:rsidP="00E24DC9"/>
        </w:tc>
      </w:tr>
      <w:tr w:rsidR="004D1935" w14:paraId="043B7326" w14:textId="77777777" w:rsidTr="00E24DC9">
        <w:tc>
          <w:tcPr>
            <w:tcW w:w="709" w:type="dxa"/>
            <w:vMerge/>
          </w:tcPr>
          <w:p w14:paraId="174872B9" w14:textId="77777777" w:rsidR="004D1935" w:rsidRDefault="004D1935" w:rsidP="00E24DC9"/>
        </w:tc>
        <w:tc>
          <w:tcPr>
            <w:tcW w:w="850" w:type="dxa"/>
            <w:tcBorders>
              <w:top w:val="nil"/>
              <w:bottom w:val="nil"/>
            </w:tcBorders>
            <w:vAlign w:val="bottom"/>
          </w:tcPr>
          <w:p w14:paraId="5165D82E" w14:textId="77777777" w:rsidR="004D1935" w:rsidRDefault="004D1935" w:rsidP="00E24DC9">
            <w:r w:rsidRPr="00CE69AC">
              <w:rPr>
                <w:rFonts w:ascii="Calibri" w:hAnsi="Calibri" w:cs="Calibri"/>
                <w:color w:val="000000"/>
                <w:sz w:val="15"/>
                <w:szCs w:val="15"/>
              </w:rPr>
              <w:t>234.1950</w:t>
            </w:r>
          </w:p>
        </w:tc>
        <w:tc>
          <w:tcPr>
            <w:tcW w:w="2411" w:type="dxa"/>
            <w:vMerge/>
          </w:tcPr>
          <w:p w14:paraId="4B2346A9" w14:textId="77777777" w:rsidR="004D1935" w:rsidRDefault="004D1935" w:rsidP="00E24DC9"/>
        </w:tc>
        <w:tc>
          <w:tcPr>
            <w:tcW w:w="2126" w:type="dxa"/>
            <w:vMerge/>
          </w:tcPr>
          <w:p w14:paraId="235A9517" w14:textId="77777777" w:rsidR="004D1935" w:rsidRDefault="004D1935" w:rsidP="00E24DC9"/>
        </w:tc>
        <w:tc>
          <w:tcPr>
            <w:tcW w:w="1418" w:type="dxa"/>
            <w:vMerge/>
          </w:tcPr>
          <w:p w14:paraId="65166912" w14:textId="77777777" w:rsidR="004D1935" w:rsidRDefault="004D1935" w:rsidP="00E24DC9"/>
        </w:tc>
        <w:tc>
          <w:tcPr>
            <w:tcW w:w="7513" w:type="dxa"/>
            <w:vMerge/>
          </w:tcPr>
          <w:p w14:paraId="27C9CFF3" w14:textId="77777777" w:rsidR="004D1935" w:rsidRDefault="004D1935" w:rsidP="00E24DC9"/>
        </w:tc>
      </w:tr>
      <w:tr w:rsidR="004D1935" w14:paraId="5F5467F1" w14:textId="77777777" w:rsidTr="00E24DC9">
        <w:tc>
          <w:tcPr>
            <w:tcW w:w="709" w:type="dxa"/>
            <w:vMerge/>
          </w:tcPr>
          <w:p w14:paraId="77BD326C" w14:textId="77777777" w:rsidR="004D1935" w:rsidRDefault="004D1935" w:rsidP="00E24DC9"/>
        </w:tc>
        <w:tc>
          <w:tcPr>
            <w:tcW w:w="850" w:type="dxa"/>
            <w:tcBorders>
              <w:top w:val="nil"/>
              <w:bottom w:val="nil"/>
            </w:tcBorders>
            <w:vAlign w:val="bottom"/>
          </w:tcPr>
          <w:p w14:paraId="30444D3A" w14:textId="77777777" w:rsidR="004D1935" w:rsidRDefault="004D1935" w:rsidP="00E24DC9">
            <w:r w:rsidRPr="00CE69AC">
              <w:rPr>
                <w:rFonts w:ascii="Calibri" w:hAnsi="Calibri" w:cs="Calibri"/>
                <w:color w:val="000000"/>
                <w:sz w:val="15"/>
                <w:szCs w:val="15"/>
              </w:rPr>
              <w:t>234.2286</w:t>
            </w:r>
          </w:p>
        </w:tc>
        <w:tc>
          <w:tcPr>
            <w:tcW w:w="2411" w:type="dxa"/>
            <w:vMerge/>
          </w:tcPr>
          <w:p w14:paraId="47536470" w14:textId="77777777" w:rsidR="004D1935" w:rsidRDefault="004D1935" w:rsidP="00E24DC9"/>
        </w:tc>
        <w:tc>
          <w:tcPr>
            <w:tcW w:w="2126" w:type="dxa"/>
            <w:vMerge/>
          </w:tcPr>
          <w:p w14:paraId="654109A2" w14:textId="77777777" w:rsidR="004D1935" w:rsidRDefault="004D1935" w:rsidP="00E24DC9"/>
        </w:tc>
        <w:tc>
          <w:tcPr>
            <w:tcW w:w="1418" w:type="dxa"/>
            <w:vMerge/>
          </w:tcPr>
          <w:p w14:paraId="0B1B69BE" w14:textId="77777777" w:rsidR="004D1935" w:rsidRDefault="004D1935" w:rsidP="00E24DC9"/>
        </w:tc>
        <w:tc>
          <w:tcPr>
            <w:tcW w:w="7513" w:type="dxa"/>
            <w:vMerge/>
          </w:tcPr>
          <w:p w14:paraId="35B441FD" w14:textId="77777777" w:rsidR="004D1935" w:rsidRDefault="004D1935" w:rsidP="00E24DC9"/>
        </w:tc>
      </w:tr>
      <w:tr w:rsidR="004D1935" w14:paraId="7B9835C5" w14:textId="77777777" w:rsidTr="00E24DC9">
        <w:tc>
          <w:tcPr>
            <w:tcW w:w="709" w:type="dxa"/>
            <w:vMerge/>
          </w:tcPr>
          <w:p w14:paraId="44246B02" w14:textId="77777777" w:rsidR="004D1935" w:rsidRDefault="004D1935" w:rsidP="00E24DC9"/>
        </w:tc>
        <w:tc>
          <w:tcPr>
            <w:tcW w:w="850" w:type="dxa"/>
            <w:tcBorders>
              <w:top w:val="nil"/>
              <w:bottom w:val="nil"/>
            </w:tcBorders>
            <w:vAlign w:val="bottom"/>
          </w:tcPr>
          <w:p w14:paraId="4429F921" w14:textId="77777777" w:rsidR="004D1935" w:rsidRDefault="004D1935" w:rsidP="00E24DC9">
            <w:r w:rsidRPr="00CE69AC">
              <w:rPr>
                <w:rFonts w:ascii="Calibri" w:hAnsi="Calibri" w:cs="Calibri"/>
                <w:color w:val="000000"/>
                <w:sz w:val="15"/>
                <w:szCs w:val="15"/>
              </w:rPr>
              <w:t>234.2621</w:t>
            </w:r>
          </w:p>
        </w:tc>
        <w:tc>
          <w:tcPr>
            <w:tcW w:w="2411" w:type="dxa"/>
            <w:vMerge/>
          </w:tcPr>
          <w:p w14:paraId="194732D2" w14:textId="77777777" w:rsidR="004D1935" w:rsidRDefault="004D1935" w:rsidP="00E24DC9"/>
        </w:tc>
        <w:tc>
          <w:tcPr>
            <w:tcW w:w="2126" w:type="dxa"/>
            <w:vMerge/>
          </w:tcPr>
          <w:p w14:paraId="5B754EDF" w14:textId="77777777" w:rsidR="004D1935" w:rsidRDefault="004D1935" w:rsidP="00E24DC9"/>
        </w:tc>
        <w:tc>
          <w:tcPr>
            <w:tcW w:w="1418" w:type="dxa"/>
            <w:vMerge/>
          </w:tcPr>
          <w:p w14:paraId="3E5F9DC6" w14:textId="77777777" w:rsidR="004D1935" w:rsidRDefault="004D1935" w:rsidP="00E24DC9"/>
        </w:tc>
        <w:tc>
          <w:tcPr>
            <w:tcW w:w="7513" w:type="dxa"/>
            <w:vMerge/>
          </w:tcPr>
          <w:p w14:paraId="753489D2" w14:textId="77777777" w:rsidR="004D1935" w:rsidRDefault="004D1935" w:rsidP="00E24DC9"/>
        </w:tc>
      </w:tr>
      <w:tr w:rsidR="004D1935" w14:paraId="68C53475" w14:textId="77777777" w:rsidTr="00E24DC9">
        <w:tc>
          <w:tcPr>
            <w:tcW w:w="709" w:type="dxa"/>
            <w:vMerge/>
          </w:tcPr>
          <w:p w14:paraId="1953C9C5" w14:textId="77777777" w:rsidR="004D1935" w:rsidRDefault="004D1935" w:rsidP="00E24DC9"/>
        </w:tc>
        <w:tc>
          <w:tcPr>
            <w:tcW w:w="850" w:type="dxa"/>
            <w:tcBorders>
              <w:top w:val="nil"/>
              <w:bottom w:val="nil"/>
            </w:tcBorders>
            <w:vAlign w:val="bottom"/>
          </w:tcPr>
          <w:p w14:paraId="3E704024" w14:textId="77777777" w:rsidR="004D1935" w:rsidRDefault="004D1935" w:rsidP="00E24DC9">
            <w:r w:rsidRPr="00CE69AC">
              <w:rPr>
                <w:rFonts w:ascii="Calibri" w:hAnsi="Calibri" w:cs="Calibri"/>
                <w:color w:val="000000"/>
                <w:sz w:val="15"/>
                <w:szCs w:val="15"/>
              </w:rPr>
              <w:t>234.1503</w:t>
            </w:r>
          </w:p>
        </w:tc>
        <w:tc>
          <w:tcPr>
            <w:tcW w:w="2411" w:type="dxa"/>
            <w:vMerge/>
          </w:tcPr>
          <w:p w14:paraId="73597A0B" w14:textId="77777777" w:rsidR="004D1935" w:rsidRDefault="004D1935" w:rsidP="00E24DC9"/>
        </w:tc>
        <w:tc>
          <w:tcPr>
            <w:tcW w:w="2126" w:type="dxa"/>
            <w:vMerge/>
          </w:tcPr>
          <w:p w14:paraId="4AABF773" w14:textId="77777777" w:rsidR="004D1935" w:rsidRDefault="004D1935" w:rsidP="00E24DC9"/>
        </w:tc>
        <w:tc>
          <w:tcPr>
            <w:tcW w:w="1418" w:type="dxa"/>
            <w:vMerge/>
          </w:tcPr>
          <w:p w14:paraId="4240CF91" w14:textId="77777777" w:rsidR="004D1935" w:rsidRDefault="004D1935" w:rsidP="00E24DC9"/>
        </w:tc>
        <w:tc>
          <w:tcPr>
            <w:tcW w:w="7513" w:type="dxa"/>
            <w:vMerge/>
          </w:tcPr>
          <w:p w14:paraId="4B67D0E1" w14:textId="77777777" w:rsidR="004D1935" w:rsidRDefault="004D1935" w:rsidP="00E24DC9"/>
        </w:tc>
      </w:tr>
      <w:tr w:rsidR="004D1935" w14:paraId="2F87AA8A" w14:textId="77777777" w:rsidTr="00E24DC9">
        <w:tc>
          <w:tcPr>
            <w:tcW w:w="709" w:type="dxa"/>
            <w:vMerge/>
          </w:tcPr>
          <w:p w14:paraId="707A5BD8" w14:textId="77777777" w:rsidR="004D1935" w:rsidRDefault="004D1935" w:rsidP="00E24DC9"/>
        </w:tc>
        <w:tc>
          <w:tcPr>
            <w:tcW w:w="850" w:type="dxa"/>
            <w:tcBorders>
              <w:top w:val="nil"/>
              <w:bottom w:val="nil"/>
            </w:tcBorders>
            <w:vAlign w:val="bottom"/>
          </w:tcPr>
          <w:p w14:paraId="21226A87" w14:textId="77777777" w:rsidR="004D1935" w:rsidRDefault="004D1935" w:rsidP="00E24DC9">
            <w:r w:rsidRPr="00CE69AC">
              <w:rPr>
                <w:rFonts w:ascii="Calibri" w:hAnsi="Calibri" w:cs="Calibri"/>
                <w:color w:val="000000"/>
                <w:sz w:val="15"/>
                <w:szCs w:val="15"/>
              </w:rPr>
              <w:t>234.1838</w:t>
            </w:r>
          </w:p>
        </w:tc>
        <w:tc>
          <w:tcPr>
            <w:tcW w:w="2411" w:type="dxa"/>
            <w:vMerge/>
          </w:tcPr>
          <w:p w14:paraId="405D76AA" w14:textId="77777777" w:rsidR="004D1935" w:rsidRDefault="004D1935" w:rsidP="00E24DC9"/>
        </w:tc>
        <w:tc>
          <w:tcPr>
            <w:tcW w:w="2126" w:type="dxa"/>
            <w:vMerge/>
          </w:tcPr>
          <w:p w14:paraId="5C9E2562" w14:textId="77777777" w:rsidR="004D1935" w:rsidRDefault="004D1935" w:rsidP="00E24DC9"/>
        </w:tc>
        <w:tc>
          <w:tcPr>
            <w:tcW w:w="1418" w:type="dxa"/>
            <w:vMerge/>
          </w:tcPr>
          <w:p w14:paraId="3A0D0156" w14:textId="77777777" w:rsidR="004D1935" w:rsidRDefault="004D1935" w:rsidP="00E24DC9"/>
        </w:tc>
        <w:tc>
          <w:tcPr>
            <w:tcW w:w="7513" w:type="dxa"/>
            <w:vMerge/>
          </w:tcPr>
          <w:p w14:paraId="1FF906D4" w14:textId="77777777" w:rsidR="004D1935" w:rsidRDefault="004D1935" w:rsidP="00E24DC9"/>
        </w:tc>
      </w:tr>
      <w:tr w:rsidR="004D1935" w14:paraId="53445FFD" w14:textId="77777777" w:rsidTr="00E24DC9">
        <w:tc>
          <w:tcPr>
            <w:tcW w:w="709" w:type="dxa"/>
            <w:vMerge/>
          </w:tcPr>
          <w:p w14:paraId="02A63A77" w14:textId="77777777" w:rsidR="004D1935" w:rsidRDefault="004D1935" w:rsidP="00E24DC9"/>
        </w:tc>
        <w:tc>
          <w:tcPr>
            <w:tcW w:w="850" w:type="dxa"/>
            <w:tcBorders>
              <w:top w:val="nil"/>
              <w:bottom w:val="nil"/>
            </w:tcBorders>
            <w:vAlign w:val="bottom"/>
          </w:tcPr>
          <w:p w14:paraId="3E1DA1E6" w14:textId="77777777" w:rsidR="004D1935" w:rsidRDefault="004D1935" w:rsidP="00E24DC9">
            <w:r w:rsidRPr="00CE69AC">
              <w:rPr>
                <w:rFonts w:ascii="Calibri" w:hAnsi="Calibri" w:cs="Calibri"/>
                <w:color w:val="000000"/>
                <w:sz w:val="15"/>
                <w:szCs w:val="15"/>
              </w:rPr>
              <w:t>234.2173</w:t>
            </w:r>
          </w:p>
        </w:tc>
        <w:tc>
          <w:tcPr>
            <w:tcW w:w="2411" w:type="dxa"/>
            <w:vMerge/>
          </w:tcPr>
          <w:p w14:paraId="11D8D704" w14:textId="77777777" w:rsidR="004D1935" w:rsidRDefault="004D1935" w:rsidP="00E24DC9"/>
        </w:tc>
        <w:tc>
          <w:tcPr>
            <w:tcW w:w="2126" w:type="dxa"/>
            <w:vMerge/>
          </w:tcPr>
          <w:p w14:paraId="46BD727E" w14:textId="77777777" w:rsidR="004D1935" w:rsidRDefault="004D1935" w:rsidP="00E24DC9"/>
        </w:tc>
        <w:tc>
          <w:tcPr>
            <w:tcW w:w="1418" w:type="dxa"/>
            <w:vMerge/>
          </w:tcPr>
          <w:p w14:paraId="6CDE34E5" w14:textId="77777777" w:rsidR="004D1935" w:rsidRDefault="004D1935" w:rsidP="00E24DC9"/>
        </w:tc>
        <w:tc>
          <w:tcPr>
            <w:tcW w:w="7513" w:type="dxa"/>
            <w:vMerge/>
          </w:tcPr>
          <w:p w14:paraId="23A02F54" w14:textId="77777777" w:rsidR="004D1935" w:rsidRDefault="004D1935" w:rsidP="00E24DC9"/>
        </w:tc>
      </w:tr>
      <w:tr w:rsidR="004D1935" w14:paraId="274D2431" w14:textId="77777777" w:rsidTr="00E24DC9">
        <w:tc>
          <w:tcPr>
            <w:tcW w:w="709" w:type="dxa"/>
            <w:vMerge/>
          </w:tcPr>
          <w:p w14:paraId="012348C7" w14:textId="77777777" w:rsidR="004D1935" w:rsidRDefault="004D1935" w:rsidP="00E24DC9"/>
        </w:tc>
        <w:tc>
          <w:tcPr>
            <w:tcW w:w="850" w:type="dxa"/>
            <w:tcBorders>
              <w:top w:val="nil"/>
              <w:bottom w:val="nil"/>
            </w:tcBorders>
            <w:vAlign w:val="bottom"/>
          </w:tcPr>
          <w:p w14:paraId="41ABA1EE" w14:textId="77777777" w:rsidR="004D1935" w:rsidRDefault="004D1935" w:rsidP="00E24DC9">
            <w:r w:rsidRPr="00CE69AC">
              <w:rPr>
                <w:rFonts w:ascii="Calibri" w:hAnsi="Calibri" w:cs="Calibri"/>
                <w:color w:val="000000"/>
                <w:sz w:val="15"/>
                <w:szCs w:val="15"/>
              </w:rPr>
              <w:t>234.2509</w:t>
            </w:r>
          </w:p>
        </w:tc>
        <w:tc>
          <w:tcPr>
            <w:tcW w:w="2411" w:type="dxa"/>
            <w:vMerge/>
          </w:tcPr>
          <w:p w14:paraId="707004AC" w14:textId="77777777" w:rsidR="004D1935" w:rsidRDefault="004D1935" w:rsidP="00E24DC9"/>
        </w:tc>
        <w:tc>
          <w:tcPr>
            <w:tcW w:w="2126" w:type="dxa"/>
            <w:vMerge/>
          </w:tcPr>
          <w:p w14:paraId="14701E4B" w14:textId="77777777" w:rsidR="004D1935" w:rsidRDefault="004D1935" w:rsidP="00E24DC9"/>
        </w:tc>
        <w:tc>
          <w:tcPr>
            <w:tcW w:w="1418" w:type="dxa"/>
            <w:vMerge/>
          </w:tcPr>
          <w:p w14:paraId="2C46D4A0" w14:textId="77777777" w:rsidR="004D1935" w:rsidRDefault="004D1935" w:rsidP="00E24DC9"/>
        </w:tc>
        <w:tc>
          <w:tcPr>
            <w:tcW w:w="7513" w:type="dxa"/>
            <w:vMerge/>
          </w:tcPr>
          <w:p w14:paraId="3457CC80" w14:textId="77777777" w:rsidR="004D1935" w:rsidRDefault="004D1935" w:rsidP="00E24DC9"/>
        </w:tc>
      </w:tr>
      <w:tr w:rsidR="004D1935" w14:paraId="65DBA7B2" w14:textId="77777777" w:rsidTr="00E24DC9">
        <w:tc>
          <w:tcPr>
            <w:tcW w:w="709" w:type="dxa"/>
            <w:vMerge/>
          </w:tcPr>
          <w:p w14:paraId="55722F89" w14:textId="77777777" w:rsidR="004D1935" w:rsidRDefault="004D1935" w:rsidP="00E24DC9"/>
        </w:tc>
        <w:tc>
          <w:tcPr>
            <w:tcW w:w="850" w:type="dxa"/>
            <w:tcBorders>
              <w:top w:val="nil"/>
              <w:bottom w:val="nil"/>
            </w:tcBorders>
            <w:vAlign w:val="bottom"/>
          </w:tcPr>
          <w:p w14:paraId="18967C67" w14:textId="77777777" w:rsidR="004D1935" w:rsidRDefault="004D1935" w:rsidP="00E24DC9">
            <w:r w:rsidRPr="00CE69AC">
              <w:rPr>
                <w:rFonts w:ascii="Calibri" w:hAnsi="Calibri" w:cs="Calibri"/>
                <w:color w:val="000000"/>
                <w:sz w:val="15"/>
                <w:szCs w:val="15"/>
              </w:rPr>
              <w:t>234.2844</w:t>
            </w:r>
          </w:p>
        </w:tc>
        <w:tc>
          <w:tcPr>
            <w:tcW w:w="2411" w:type="dxa"/>
            <w:vMerge/>
          </w:tcPr>
          <w:p w14:paraId="602F48E4" w14:textId="77777777" w:rsidR="004D1935" w:rsidRDefault="004D1935" w:rsidP="00E24DC9"/>
        </w:tc>
        <w:tc>
          <w:tcPr>
            <w:tcW w:w="2126" w:type="dxa"/>
            <w:vMerge/>
          </w:tcPr>
          <w:p w14:paraId="110C4BFE" w14:textId="77777777" w:rsidR="004D1935" w:rsidRDefault="004D1935" w:rsidP="00E24DC9"/>
        </w:tc>
        <w:tc>
          <w:tcPr>
            <w:tcW w:w="1418" w:type="dxa"/>
            <w:vMerge/>
          </w:tcPr>
          <w:p w14:paraId="1FCBF7BD" w14:textId="77777777" w:rsidR="004D1935" w:rsidRDefault="004D1935" w:rsidP="00E24DC9"/>
        </w:tc>
        <w:tc>
          <w:tcPr>
            <w:tcW w:w="7513" w:type="dxa"/>
            <w:vMerge/>
          </w:tcPr>
          <w:p w14:paraId="6EEBC46E" w14:textId="77777777" w:rsidR="004D1935" w:rsidRDefault="004D1935" w:rsidP="00E24DC9"/>
        </w:tc>
      </w:tr>
      <w:tr w:rsidR="004D1935" w14:paraId="2390C300" w14:textId="77777777" w:rsidTr="00E24DC9">
        <w:tc>
          <w:tcPr>
            <w:tcW w:w="709" w:type="dxa"/>
            <w:vMerge/>
          </w:tcPr>
          <w:p w14:paraId="36BD3BB2" w14:textId="77777777" w:rsidR="004D1935" w:rsidRDefault="004D1935" w:rsidP="00E24DC9"/>
        </w:tc>
        <w:tc>
          <w:tcPr>
            <w:tcW w:w="850" w:type="dxa"/>
            <w:tcBorders>
              <w:top w:val="nil"/>
              <w:bottom w:val="nil"/>
            </w:tcBorders>
            <w:vAlign w:val="bottom"/>
          </w:tcPr>
          <w:p w14:paraId="14A7E1F3" w14:textId="77777777" w:rsidR="004D1935" w:rsidRDefault="004D1935" w:rsidP="00E24DC9">
            <w:r w:rsidRPr="00CE69AC">
              <w:rPr>
                <w:rFonts w:ascii="Calibri" w:hAnsi="Calibri" w:cs="Calibri"/>
                <w:color w:val="000000"/>
                <w:sz w:val="15"/>
                <w:szCs w:val="15"/>
              </w:rPr>
              <w:t>234.1190</w:t>
            </w:r>
          </w:p>
        </w:tc>
        <w:tc>
          <w:tcPr>
            <w:tcW w:w="2411" w:type="dxa"/>
            <w:vMerge/>
          </w:tcPr>
          <w:p w14:paraId="0793E94B" w14:textId="77777777" w:rsidR="004D1935" w:rsidRDefault="004D1935" w:rsidP="00E24DC9"/>
        </w:tc>
        <w:tc>
          <w:tcPr>
            <w:tcW w:w="2126" w:type="dxa"/>
            <w:vMerge/>
          </w:tcPr>
          <w:p w14:paraId="506996B2" w14:textId="77777777" w:rsidR="004D1935" w:rsidRDefault="004D1935" w:rsidP="00E24DC9"/>
        </w:tc>
        <w:tc>
          <w:tcPr>
            <w:tcW w:w="1418" w:type="dxa"/>
            <w:vMerge/>
          </w:tcPr>
          <w:p w14:paraId="7DC70A32" w14:textId="77777777" w:rsidR="004D1935" w:rsidRDefault="004D1935" w:rsidP="00E24DC9"/>
        </w:tc>
        <w:tc>
          <w:tcPr>
            <w:tcW w:w="7513" w:type="dxa"/>
            <w:vMerge/>
          </w:tcPr>
          <w:p w14:paraId="57DF10B5" w14:textId="77777777" w:rsidR="004D1935" w:rsidRDefault="004D1935" w:rsidP="00E24DC9"/>
        </w:tc>
      </w:tr>
      <w:tr w:rsidR="004D1935" w14:paraId="49A32DA4" w14:textId="77777777" w:rsidTr="00E24DC9">
        <w:tc>
          <w:tcPr>
            <w:tcW w:w="709" w:type="dxa"/>
            <w:vMerge/>
          </w:tcPr>
          <w:p w14:paraId="0395A946" w14:textId="77777777" w:rsidR="004D1935" w:rsidRDefault="004D1935" w:rsidP="00E24DC9"/>
        </w:tc>
        <w:tc>
          <w:tcPr>
            <w:tcW w:w="850" w:type="dxa"/>
            <w:tcBorders>
              <w:top w:val="nil"/>
              <w:bottom w:val="nil"/>
            </w:tcBorders>
            <w:vAlign w:val="bottom"/>
          </w:tcPr>
          <w:p w14:paraId="1F8BA6D7" w14:textId="77777777" w:rsidR="004D1935" w:rsidRDefault="004D1935" w:rsidP="00E24DC9">
            <w:r w:rsidRPr="00CE69AC">
              <w:rPr>
                <w:rFonts w:ascii="Calibri" w:hAnsi="Calibri" w:cs="Calibri"/>
                <w:color w:val="000000"/>
                <w:sz w:val="15"/>
                <w:szCs w:val="15"/>
              </w:rPr>
              <w:t>234.1525</w:t>
            </w:r>
          </w:p>
        </w:tc>
        <w:tc>
          <w:tcPr>
            <w:tcW w:w="2411" w:type="dxa"/>
            <w:vMerge/>
          </w:tcPr>
          <w:p w14:paraId="4B8C59BA" w14:textId="77777777" w:rsidR="004D1935" w:rsidRDefault="004D1935" w:rsidP="00E24DC9"/>
        </w:tc>
        <w:tc>
          <w:tcPr>
            <w:tcW w:w="2126" w:type="dxa"/>
            <w:vMerge/>
          </w:tcPr>
          <w:p w14:paraId="625B0351" w14:textId="77777777" w:rsidR="004D1935" w:rsidRDefault="004D1935" w:rsidP="00E24DC9"/>
        </w:tc>
        <w:tc>
          <w:tcPr>
            <w:tcW w:w="1418" w:type="dxa"/>
            <w:vMerge/>
          </w:tcPr>
          <w:p w14:paraId="589B36F5" w14:textId="77777777" w:rsidR="004D1935" w:rsidRDefault="004D1935" w:rsidP="00E24DC9"/>
        </w:tc>
        <w:tc>
          <w:tcPr>
            <w:tcW w:w="7513" w:type="dxa"/>
            <w:vMerge/>
          </w:tcPr>
          <w:p w14:paraId="55982A7F" w14:textId="77777777" w:rsidR="004D1935" w:rsidRDefault="004D1935" w:rsidP="00E24DC9"/>
        </w:tc>
      </w:tr>
      <w:tr w:rsidR="004D1935" w14:paraId="165269FF" w14:textId="77777777" w:rsidTr="00E24DC9">
        <w:tc>
          <w:tcPr>
            <w:tcW w:w="709" w:type="dxa"/>
            <w:vMerge/>
          </w:tcPr>
          <w:p w14:paraId="141ACED0" w14:textId="77777777" w:rsidR="004D1935" w:rsidRDefault="004D1935" w:rsidP="00E24DC9"/>
        </w:tc>
        <w:tc>
          <w:tcPr>
            <w:tcW w:w="850" w:type="dxa"/>
            <w:tcBorders>
              <w:top w:val="nil"/>
              <w:bottom w:val="nil"/>
            </w:tcBorders>
            <w:vAlign w:val="bottom"/>
          </w:tcPr>
          <w:p w14:paraId="637CBA0E" w14:textId="77777777" w:rsidR="004D1935" w:rsidRDefault="004D1935" w:rsidP="00E24DC9">
            <w:r w:rsidRPr="00CE69AC">
              <w:rPr>
                <w:rFonts w:ascii="Calibri" w:hAnsi="Calibri" w:cs="Calibri"/>
                <w:color w:val="000000"/>
                <w:sz w:val="15"/>
                <w:szCs w:val="15"/>
              </w:rPr>
              <w:t>234.1860</w:t>
            </w:r>
          </w:p>
        </w:tc>
        <w:tc>
          <w:tcPr>
            <w:tcW w:w="2411" w:type="dxa"/>
            <w:vMerge/>
          </w:tcPr>
          <w:p w14:paraId="42FAA9A4" w14:textId="77777777" w:rsidR="004D1935" w:rsidRDefault="004D1935" w:rsidP="00E24DC9"/>
        </w:tc>
        <w:tc>
          <w:tcPr>
            <w:tcW w:w="2126" w:type="dxa"/>
            <w:vMerge/>
          </w:tcPr>
          <w:p w14:paraId="254ACA67" w14:textId="77777777" w:rsidR="004D1935" w:rsidRDefault="004D1935" w:rsidP="00E24DC9"/>
        </w:tc>
        <w:tc>
          <w:tcPr>
            <w:tcW w:w="1418" w:type="dxa"/>
            <w:vMerge/>
          </w:tcPr>
          <w:p w14:paraId="41439262" w14:textId="77777777" w:rsidR="004D1935" w:rsidRDefault="004D1935" w:rsidP="00E24DC9"/>
        </w:tc>
        <w:tc>
          <w:tcPr>
            <w:tcW w:w="7513" w:type="dxa"/>
            <w:vMerge/>
          </w:tcPr>
          <w:p w14:paraId="58537F95" w14:textId="77777777" w:rsidR="004D1935" w:rsidRDefault="004D1935" w:rsidP="00E24DC9"/>
        </w:tc>
      </w:tr>
      <w:tr w:rsidR="004D1935" w14:paraId="3EC4AD4E" w14:textId="77777777" w:rsidTr="00E24DC9">
        <w:tc>
          <w:tcPr>
            <w:tcW w:w="709" w:type="dxa"/>
            <w:vMerge/>
          </w:tcPr>
          <w:p w14:paraId="72B92091" w14:textId="77777777" w:rsidR="004D1935" w:rsidRDefault="004D1935" w:rsidP="00E24DC9"/>
        </w:tc>
        <w:tc>
          <w:tcPr>
            <w:tcW w:w="850" w:type="dxa"/>
            <w:tcBorders>
              <w:top w:val="nil"/>
              <w:bottom w:val="nil"/>
            </w:tcBorders>
            <w:vAlign w:val="bottom"/>
          </w:tcPr>
          <w:p w14:paraId="43235F13" w14:textId="77777777" w:rsidR="004D1935" w:rsidRPr="00CE69AC" w:rsidRDefault="004D1935" w:rsidP="00E24DC9">
            <w:pPr>
              <w:rPr>
                <w:rFonts w:ascii="Calibri" w:hAnsi="Calibri" w:cs="Calibri"/>
                <w:color w:val="000000"/>
                <w:sz w:val="15"/>
                <w:szCs w:val="15"/>
              </w:rPr>
            </w:pPr>
            <w:r w:rsidRPr="00CE69AC">
              <w:rPr>
                <w:rFonts w:ascii="Calibri" w:hAnsi="Calibri" w:cs="Calibri"/>
                <w:color w:val="000000"/>
                <w:sz w:val="15"/>
                <w:szCs w:val="15"/>
              </w:rPr>
              <w:t> 234.2643</w:t>
            </w:r>
          </w:p>
        </w:tc>
        <w:tc>
          <w:tcPr>
            <w:tcW w:w="2411" w:type="dxa"/>
            <w:vMerge/>
          </w:tcPr>
          <w:p w14:paraId="3F03343E" w14:textId="77777777" w:rsidR="004D1935" w:rsidRDefault="004D1935" w:rsidP="00E24DC9"/>
        </w:tc>
        <w:tc>
          <w:tcPr>
            <w:tcW w:w="2126" w:type="dxa"/>
            <w:vMerge/>
          </w:tcPr>
          <w:p w14:paraId="78F80E47" w14:textId="77777777" w:rsidR="004D1935" w:rsidRDefault="004D1935" w:rsidP="00E24DC9"/>
        </w:tc>
        <w:tc>
          <w:tcPr>
            <w:tcW w:w="1418" w:type="dxa"/>
            <w:vMerge/>
          </w:tcPr>
          <w:p w14:paraId="5F48BF3D" w14:textId="77777777" w:rsidR="004D1935" w:rsidRDefault="004D1935" w:rsidP="00E24DC9"/>
        </w:tc>
        <w:tc>
          <w:tcPr>
            <w:tcW w:w="7513" w:type="dxa"/>
            <w:vMerge/>
          </w:tcPr>
          <w:p w14:paraId="04DD7456" w14:textId="77777777" w:rsidR="004D1935" w:rsidRDefault="004D1935" w:rsidP="00E24DC9"/>
        </w:tc>
      </w:tr>
      <w:tr w:rsidR="004D1935" w14:paraId="0DBC5D6B" w14:textId="77777777" w:rsidTr="00E24DC9">
        <w:tc>
          <w:tcPr>
            <w:tcW w:w="709" w:type="dxa"/>
            <w:vMerge/>
          </w:tcPr>
          <w:p w14:paraId="1A396DAB" w14:textId="77777777" w:rsidR="004D1935" w:rsidRDefault="004D1935" w:rsidP="00E24DC9"/>
        </w:tc>
        <w:tc>
          <w:tcPr>
            <w:tcW w:w="850" w:type="dxa"/>
            <w:tcBorders>
              <w:top w:val="nil"/>
              <w:bottom w:val="nil"/>
            </w:tcBorders>
            <w:vAlign w:val="bottom"/>
          </w:tcPr>
          <w:p w14:paraId="2830F4EA" w14:textId="77777777" w:rsidR="004D1935" w:rsidRPr="00CE69AC" w:rsidRDefault="004D1935" w:rsidP="00E24DC9">
            <w:pPr>
              <w:rPr>
                <w:rFonts w:ascii="Calibri" w:hAnsi="Calibri" w:cs="Calibri"/>
                <w:color w:val="000000"/>
                <w:sz w:val="15"/>
                <w:szCs w:val="15"/>
              </w:rPr>
            </w:pPr>
            <w:r w:rsidRPr="00CE69AC">
              <w:rPr>
                <w:rFonts w:ascii="Calibri" w:hAnsi="Calibri" w:cs="Calibri"/>
                <w:color w:val="000000"/>
                <w:sz w:val="15"/>
                <w:szCs w:val="15"/>
              </w:rPr>
              <w:t>234.1660</w:t>
            </w:r>
          </w:p>
        </w:tc>
        <w:tc>
          <w:tcPr>
            <w:tcW w:w="2411" w:type="dxa"/>
            <w:vMerge/>
          </w:tcPr>
          <w:p w14:paraId="79308CE5" w14:textId="77777777" w:rsidR="004D1935" w:rsidRDefault="004D1935" w:rsidP="00E24DC9"/>
        </w:tc>
        <w:tc>
          <w:tcPr>
            <w:tcW w:w="2126" w:type="dxa"/>
            <w:vMerge/>
          </w:tcPr>
          <w:p w14:paraId="569A2FDE" w14:textId="77777777" w:rsidR="004D1935" w:rsidRDefault="004D1935" w:rsidP="00E24DC9"/>
        </w:tc>
        <w:tc>
          <w:tcPr>
            <w:tcW w:w="1418" w:type="dxa"/>
            <w:vMerge/>
          </w:tcPr>
          <w:p w14:paraId="742B2918" w14:textId="77777777" w:rsidR="004D1935" w:rsidRDefault="004D1935" w:rsidP="00E24DC9"/>
        </w:tc>
        <w:tc>
          <w:tcPr>
            <w:tcW w:w="7513" w:type="dxa"/>
            <w:vMerge/>
          </w:tcPr>
          <w:p w14:paraId="36D46891" w14:textId="77777777" w:rsidR="004D1935" w:rsidRDefault="004D1935" w:rsidP="00E24DC9"/>
        </w:tc>
      </w:tr>
      <w:tr w:rsidR="004D1935" w14:paraId="05AC9B51" w14:textId="77777777" w:rsidTr="00E24DC9">
        <w:tc>
          <w:tcPr>
            <w:tcW w:w="709" w:type="dxa"/>
            <w:vMerge/>
          </w:tcPr>
          <w:p w14:paraId="0E588414" w14:textId="77777777" w:rsidR="004D1935" w:rsidRDefault="004D1935" w:rsidP="00E24DC9"/>
        </w:tc>
        <w:tc>
          <w:tcPr>
            <w:tcW w:w="850" w:type="dxa"/>
            <w:tcBorders>
              <w:top w:val="nil"/>
              <w:bottom w:val="nil"/>
            </w:tcBorders>
            <w:vAlign w:val="bottom"/>
          </w:tcPr>
          <w:p w14:paraId="74CF9B33" w14:textId="77777777" w:rsidR="004D1935" w:rsidRPr="00CE69AC" w:rsidRDefault="004D1935" w:rsidP="00E24DC9">
            <w:pPr>
              <w:rPr>
                <w:rFonts w:ascii="Calibri" w:hAnsi="Calibri" w:cs="Calibri"/>
                <w:color w:val="000000"/>
                <w:sz w:val="15"/>
                <w:szCs w:val="15"/>
              </w:rPr>
            </w:pPr>
            <w:r w:rsidRPr="00CE69AC">
              <w:rPr>
                <w:rFonts w:ascii="Calibri" w:hAnsi="Calibri" w:cs="Calibri"/>
                <w:color w:val="000000"/>
                <w:sz w:val="15"/>
                <w:szCs w:val="15"/>
              </w:rPr>
              <w:t>234.2017</w:t>
            </w:r>
          </w:p>
        </w:tc>
        <w:tc>
          <w:tcPr>
            <w:tcW w:w="2411" w:type="dxa"/>
            <w:vMerge/>
          </w:tcPr>
          <w:p w14:paraId="5B81EC9C" w14:textId="77777777" w:rsidR="004D1935" w:rsidRDefault="004D1935" w:rsidP="00E24DC9"/>
        </w:tc>
        <w:tc>
          <w:tcPr>
            <w:tcW w:w="2126" w:type="dxa"/>
            <w:vMerge/>
          </w:tcPr>
          <w:p w14:paraId="225F0AE5" w14:textId="77777777" w:rsidR="004D1935" w:rsidRDefault="004D1935" w:rsidP="00E24DC9"/>
        </w:tc>
        <w:tc>
          <w:tcPr>
            <w:tcW w:w="1418" w:type="dxa"/>
            <w:vMerge/>
          </w:tcPr>
          <w:p w14:paraId="3331AE16" w14:textId="77777777" w:rsidR="004D1935" w:rsidRDefault="004D1935" w:rsidP="00E24DC9"/>
        </w:tc>
        <w:tc>
          <w:tcPr>
            <w:tcW w:w="7513" w:type="dxa"/>
            <w:vMerge/>
          </w:tcPr>
          <w:p w14:paraId="13F052FE" w14:textId="77777777" w:rsidR="004D1935" w:rsidRDefault="004D1935" w:rsidP="00E24DC9"/>
        </w:tc>
      </w:tr>
      <w:tr w:rsidR="004D1935" w14:paraId="42EE311C" w14:textId="77777777" w:rsidTr="00E24DC9">
        <w:tc>
          <w:tcPr>
            <w:tcW w:w="709" w:type="dxa"/>
            <w:vMerge/>
          </w:tcPr>
          <w:p w14:paraId="49CF1903" w14:textId="77777777" w:rsidR="004D1935" w:rsidRDefault="004D1935" w:rsidP="00E24DC9"/>
        </w:tc>
        <w:tc>
          <w:tcPr>
            <w:tcW w:w="850" w:type="dxa"/>
            <w:tcBorders>
              <w:top w:val="nil"/>
              <w:bottom w:val="nil"/>
            </w:tcBorders>
            <w:vAlign w:val="bottom"/>
          </w:tcPr>
          <w:p w14:paraId="28FF76D6" w14:textId="77777777" w:rsidR="004D1935" w:rsidRPr="00CE69AC" w:rsidRDefault="004D1935" w:rsidP="00E24DC9">
            <w:pPr>
              <w:rPr>
                <w:rFonts w:ascii="Calibri" w:hAnsi="Calibri" w:cs="Calibri"/>
                <w:color w:val="000000"/>
                <w:sz w:val="15"/>
                <w:szCs w:val="15"/>
              </w:rPr>
            </w:pPr>
            <w:r w:rsidRPr="00CE69AC">
              <w:rPr>
                <w:rFonts w:ascii="Calibri" w:hAnsi="Calibri" w:cs="Calibri"/>
                <w:color w:val="000000"/>
                <w:sz w:val="15"/>
                <w:szCs w:val="15"/>
              </w:rPr>
              <w:t>234.2353</w:t>
            </w:r>
          </w:p>
        </w:tc>
        <w:tc>
          <w:tcPr>
            <w:tcW w:w="2411" w:type="dxa"/>
            <w:vMerge/>
          </w:tcPr>
          <w:p w14:paraId="6B7EB50C" w14:textId="77777777" w:rsidR="004D1935" w:rsidRDefault="004D1935" w:rsidP="00E24DC9"/>
        </w:tc>
        <w:tc>
          <w:tcPr>
            <w:tcW w:w="2126" w:type="dxa"/>
            <w:vMerge/>
          </w:tcPr>
          <w:p w14:paraId="76F48E3C" w14:textId="77777777" w:rsidR="004D1935" w:rsidRDefault="004D1935" w:rsidP="00E24DC9"/>
        </w:tc>
        <w:tc>
          <w:tcPr>
            <w:tcW w:w="1418" w:type="dxa"/>
            <w:vMerge/>
          </w:tcPr>
          <w:p w14:paraId="1F017DD3" w14:textId="77777777" w:rsidR="004D1935" w:rsidRDefault="004D1935" w:rsidP="00E24DC9"/>
        </w:tc>
        <w:tc>
          <w:tcPr>
            <w:tcW w:w="7513" w:type="dxa"/>
            <w:vMerge/>
          </w:tcPr>
          <w:p w14:paraId="1744BC08" w14:textId="77777777" w:rsidR="004D1935" w:rsidRDefault="004D1935" w:rsidP="00E24DC9"/>
        </w:tc>
      </w:tr>
      <w:tr w:rsidR="004D1935" w14:paraId="434861F4" w14:textId="77777777" w:rsidTr="00E24DC9">
        <w:tc>
          <w:tcPr>
            <w:tcW w:w="709" w:type="dxa"/>
            <w:vMerge/>
          </w:tcPr>
          <w:p w14:paraId="46DECD79" w14:textId="77777777" w:rsidR="004D1935" w:rsidRDefault="004D1935" w:rsidP="00E24DC9"/>
        </w:tc>
        <w:tc>
          <w:tcPr>
            <w:tcW w:w="850" w:type="dxa"/>
            <w:tcBorders>
              <w:top w:val="nil"/>
              <w:bottom w:val="nil"/>
            </w:tcBorders>
            <w:vAlign w:val="bottom"/>
          </w:tcPr>
          <w:p w14:paraId="6C7D6DAD" w14:textId="77777777" w:rsidR="004D1935" w:rsidRPr="00CE69AC" w:rsidRDefault="004D1935" w:rsidP="00E24DC9">
            <w:pPr>
              <w:rPr>
                <w:rFonts w:ascii="Calibri" w:hAnsi="Calibri" w:cs="Calibri"/>
                <w:color w:val="000000"/>
                <w:sz w:val="15"/>
                <w:szCs w:val="15"/>
              </w:rPr>
            </w:pPr>
            <w:r w:rsidRPr="00CE69AC">
              <w:rPr>
                <w:rFonts w:ascii="Calibri" w:hAnsi="Calibri" w:cs="Calibri"/>
                <w:color w:val="000000"/>
                <w:sz w:val="15"/>
                <w:szCs w:val="15"/>
              </w:rPr>
              <w:t>234.2688</w:t>
            </w:r>
          </w:p>
        </w:tc>
        <w:tc>
          <w:tcPr>
            <w:tcW w:w="2411" w:type="dxa"/>
            <w:vMerge/>
          </w:tcPr>
          <w:p w14:paraId="22E57412" w14:textId="77777777" w:rsidR="004D1935" w:rsidRDefault="004D1935" w:rsidP="00E24DC9"/>
        </w:tc>
        <w:tc>
          <w:tcPr>
            <w:tcW w:w="2126" w:type="dxa"/>
            <w:vMerge/>
          </w:tcPr>
          <w:p w14:paraId="57A29182" w14:textId="77777777" w:rsidR="004D1935" w:rsidRDefault="004D1935" w:rsidP="00E24DC9"/>
        </w:tc>
        <w:tc>
          <w:tcPr>
            <w:tcW w:w="1418" w:type="dxa"/>
            <w:vMerge/>
          </w:tcPr>
          <w:p w14:paraId="12B50032" w14:textId="77777777" w:rsidR="004D1935" w:rsidRDefault="004D1935" w:rsidP="00E24DC9"/>
        </w:tc>
        <w:tc>
          <w:tcPr>
            <w:tcW w:w="7513" w:type="dxa"/>
            <w:vMerge/>
          </w:tcPr>
          <w:p w14:paraId="44D53B15" w14:textId="77777777" w:rsidR="004D1935" w:rsidRDefault="004D1935" w:rsidP="00E24DC9"/>
        </w:tc>
      </w:tr>
      <w:tr w:rsidR="004D1935" w14:paraId="390AC74B" w14:textId="77777777" w:rsidTr="00E24DC9">
        <w:tc>
          <w:tcPr>
            <w:tcW w:w="709" w:type="dxa"/>
            <w:vMerge/>
          </w:tcPr>
          <w:p w14:paraId="4AE2B8DD" w14:textId="77777777" w:rsidR="004D1935" w:rsidRDefault="004D1935" w:rsidP="00E24DC9"/>
        </w:tc>
        <w:tc>
          <w:tcPr>
            <w:tcW w:w="850" w:type="dxa"/>
            <w:tcBorders>
              <w:top w:val="nil"/>
              <w:bottom w:val="nil"/>
            </w:tcBorders>
            <w:vAlign w:val="bottom"/>
          </w:tcPr>
          <w:p w14:paraId="76DACD59" w14:textId="77777777" w:rsidR="004D1935" w:rsidRPr="00CE69AC" w:rsidRDefault="004D1935" w:rsidP="00E24DC9">
            <w:pPr>
              <w:rPr>
                <w:rFonts w:ascii="Calibri" w:hAnsi="Calibri" w:cs="Calibri"/>
                <w:color w:val="000000"/>
                <w:sz w:val="15"/>
                <w:szCs w:val="15"/>
              </w:rPr>
            </w:pPr>
            <w:r w:rsidRPr="00CE69AC">
              <w:rPr>
                <w:rFonts w:ascii="Calibri" w:hAnsi="Calibri" w:cs="Calibri"/>
                <w:color w:val="000000"/>
                <w:sz w:val="15"/>
                <w:szCs w:val="15"/>
              </w:rPr>
              <w:t>234.2319</w:t>
            </w:r>
          </w:p>
        </w:tc>
        <w:tc>
          <w:tcPr>
            <w:tcW w:w="2411" w:type="dxa"/>
            <w:vMerge/>
          </w:tcPr>
          <w:p w14:paraId="4304D215" w14:textId="77777777" w:rsidR="004D1935" w:rsidRDefault="004D1935" w:rsidP="00E24DC9"/>
        </w:tc>
        <w:tc>
          <w:tcPr>
            <w:tcW w:w="2126" w:type="dxa"/>
            <w:vMerge/>
          </w:tcPr>
          <w:p w14:paraId="2AFC481F" w14:textId="77777777" w:rsidR="004D1935" w:rsidRDefault="004D1935" w:rsidP="00E24DC9"/>
        </w:tc>
        <w:tc>
          <w:tcPr>
            <w:tcW w:w="1418" w:type="dxa"/>
            <w:vMerge/>
          </w:tcPr>
          <w:p w14:paraId="2B679498" w14:textId="77777777" w:rsidR="004D1935" w:rsidRDefault="004D1935" w:rsidP="00E24DC9"/>
        </w:tc>
        <w:tc>
          <w:tcPr>
            <w:tcW w:w="7513" w:type="dxa"/>
            <w:vMerge/>
          </w:tcPr>
          <w:p w14:paraId="3FBC6210" w14:textId="77777777" w:rsidR="004D1935" w:rsidRDefault="004D1935" w:rsidP="00E24DC9"/>
        </w:tc>
      </w:tr>
      <w:tr w:rsidR="004D1935" w14:paraId="7A0AE6B9" w14:textId="77777777" w:rsidTr="00E24DC9">
        <w:tc>
          <w:tcPr>
            <w:tcW w:w="709" w:type="dxa"/>
            <w:vMerge/>
          </w:tcPr>
          <w:p w14:paraId="6D8C6D06" w14:textId="77777777" w:rsidR="004D1935" w:rsidRDefault="004D1935" w:rsidP="00E24DC9"/>
        </w:tc>
        <w:tc>
          <w:tcPr>
            <w:tcW w:w="850" w:type="dxa"/>
            <w:tcBorders>
              <w:top w:val="nil"/>
              <w:bottom w:val="nil"/>
            </w:tcBorders>
            <w:vAlign w:val="bottom"/>
          </w:tcPr>
          <w:p w14:paraId="3F3F64C8" w14:textId="77777777" w:rsidR="004D1935" w:rsidRPr="00CE69AC" w:rsidRDefault="004D1935" w:rsidP="00E24DC9">
            <w:pPr>
              <w:rPr>
                <w:rFonts w:ascii="Calibri" w:hAnsi="Calibri" w:cs="Calibri"/>
                <w:color w:val="000000"/>
                <w:sz w:val="15"/>
                <w:szCs w:val="15"/>
              </w:rPr>
            </w:pPr>
            <w:r w:rsidRPr="00CE69AC">
              <w:rPr>
                <w:rFonts w:ascii="Calibri" w:hAnsi="Calibri" w:cs="Calibri"/>
                <w:color w:val="000000"/>
                <w:sz w:val="15"/>
                <w:szCs w:val="15"/>
              </w:rPr>
              <w:t>234.0945</w:t>
            </w:r>
          </w:p>
        </w:tc>
        <w:tc>
          <w:tcPr>
            <w:tcW w:w="2411" w:type="dxa"/>
            <w:vMerge/>
          </w:tcPr>
          <w:p w14:paraId="7E0A322E" w14:textId="77777777" w:rsidR="004D1935" w:rsidRDefault="004D1935" w:rsidP="00E24DC9"/>
        </w:tc>
        <w:tc>
          <w:tcPr>
            <w:tcW w:w="2126" w:type="dxa"/>
            <w:vMerge/>
          </w:tcPr>
          <w:p w14:paraId="683413A2" w14:textId="77777777" w:rsidR="004D1935" w:rsidRDefault="004D1935" w:rsidP="00E24DC9"/>
        </w:tc>
        <w:tc>
          <w:tcPr>
            <w:tcW w:w="1418" w:type="dxa"/>
            <w:vMerge/>
          </w:tcPr>
          <w:p w14:paraId="30E210AF" w14:textId="77777777" w:rsidR="004D1935" w:rsidRDefault="004D1935" w:rsidP="00E24DC9"/>
        </w:tc>
        <w:tc>
          <w:tcPr>
            <w:tcW w:w="7513" w:type="dxa"/>
            <w:vMerge/>
          </w:tcPr>
          <w:p w14:paraId="6BA6D374" w14:textId="77777777" w:rsidR="004D1935" w:rsidRDefault="004D1935" w:rsidP="00E24DC9"/>
        </w:tc>
      </w:tr>
      <w:tr w:rsidR="004D1935" w14:paraId="55EB0A36" w14:textId="77777777" w:rsidTr="00E24DC9">
        <w:tc>
          <w:tcPr>
            <w:tcW w:w="709" w:type="dxa"/>
            <w:vMerge/>
          </w:tcPr>
          <w:p w14:paraId="0F424278" w14:textId="77777777" w:rsidR="004D1935" w:rsidRDefault="004D1935" w:rsidP="00E24DC9"/>
        </w:tc>
        <w:tc>
          <w:tcPr>
            <w:tcW w:w="850" w:type="dxa"/>
            <w:tcBorders>
              <w:top w:val="nil"/>
              <w:bottom w:val="nil"/>
            </w:tcBorders>
            <w:vAlign w:val="bottom"/>
          </w:tcPr>
          <w:p w14:paraId="7BFCA16C" w14:textId="77777777" w:rsidR="004D1935" w:rsidRPr="00CE69AC" w:rsidRDefault="004D1935" w:rsidP="00E24DC9">
            <w:pPr>
              <w:rPr>
                <w:rFonts w:ascii="Calibri" w:hAnsi="Calibri" w:cs="Calibri"/>
                <w:color w:val="000000"/>
                <w:sz w:val="15"/>
                <w:szCs w:val="15"/>
              </w:rPr>
            </w:pPr>
            <w:r w:rsidRPr="00CE69AC">
              <w:rPr>
                <w:rFonts w:ascii="Calibri" w:hAnsi="Calibri" w:cs="Calibri"/>
                <w:color w:val="000000"/>
                <w:sz w:val="15"/>
                <w:szCs w:val="15"/>
              </w:rPr>
              <w:t>234.1280</w:t>
            </w:r>
          </w:p>
        </w:tc>
        <w:tc>
          <w:tcPr>
            <w:tcW w:w="2411" w:type="dxa"/>
            <w:vMerge/>
          </w:tcPr>
          <w:p w14:paraId="25C9B667" w14:textId="77777777" w:rsidR="004D1935" w:rsidRDefault="004D1935" w:rsidP="00E24DC9"/>
        </w:tc>
        <w:tc>
          <w:tcPr>
            <w:tcW w:w="2126" w:type="dxa"/>
            <w:vMerge/>
          </w:tcPr>
          <w:p w14:paraId="46676529" w14:textId="77777777" w:rsidR="004D1935" w:rsidRDefault="004D1935" w:rsidP="00E24DC9"/>
        </w:tc>
        <w:tc>
          <w:tcPr>
            <w:tcW w:w="1418" w:type="dxa"/>
            <w:vMerge/>
          </w:tcPr>
          <w:p w14:paraId="07A0A446" w14:textId="77777777" w:rsidR="004D1935" w:rsidRDefault="004D1935" w:rsidP="00E24DC9"/>
        </w:tc>
        <w:tc>
          <w:tcPr>
            <w:tcW w:w="7513" w:type="dxa"/>
            <w:vMerge/>
          </w:tcPr>
          <w:p w14:paraId="38CAC4C2" w14:textId="77777777" w:rsidR="004D1935" w:rsidRDefault="004D1935" w:rsidP="00E24DC9"/>
        </w:tc>
      </w:tr>
      <w:tr w:rsidR="004D1935" w14:paraId="7FB7D801" w14:textId="77777777" w:rsidTr="00E24DC9">
        <w:tc>
          <w:tcPr>
            <w:tcW w:w="709" w:type="dxa"/>
            <w:vMerge/>
          </w:tcPr>
          <w:p w14:paraId="34F39B40" w14:textId="77777777" w:rsidR="004D1935" w:rsidRDefault="004D1935" w:rsidP="00E24DC9"/>
        </w:tc>
        <w:tc>
          <w:tcPr>
            <w:tcW w:w="850" w:type="dxa"/>
            <w:tcBorders>
              <w:top w:val="nil"/>
              <w:bottom w:val="nil"/>
            </w:tcBorders>
            <w:vAlign w:val="bottom"/>
          </w:tcPr>
          <w:p w14:paraId="0097B3BB" w14:textId="77777777" w:rsidR="004D1935" w:rsidRPr="00CE69AC" w:rsidRDefault="004D1935" w:rsidP="00E24DC9">
            <w:pPr>
              <w:rPr>
                <w:rFonts w:ascii="Calibri" w:hAnsi="Calibri" w:cs="Calibri"/>
                <w:color w:val="000000"/>
                <w:sz w:val="15"/>
                <w:szCs w:val="15"/>
              </w:rPr>
            </w:pPr>
            <w:r w:rsidRPr="00CE69AC">
              <w:rPr>
                <w:rFonts w:ascii="Calibri" w:hAnsi="Calibri" w:cs="Calibri"/>
                <w:color w:val="000000"/>
                <w:sz w:val="15"/>
                <w:szCs w:val="15"/>
              </w:rPr>
              <w:t> 234.2710</w:t>
            </w:r>
          </w:p>
        </w:tc>
        <w:tc>
          <w:tcPr>
            <w:tcW w:w="2411" w:type="dxa"/>
            <w:vMerge/>
          </w:tcPr>
          <w:p w14:paraId="56D6B95D" w14:textId="77777777" w:rsidR="004D1935" w:rsidRDefault="004D1935" w:rsidP="00E24DC9"/>
        </w:tc>
        <w:tc>
          <w:tcPr>
            <w:tcW w:w="2126" w:type="dxa"/>
            <w:vMerge/>
          </w:tcPr>
          <w:p w14:paraId="069219FA" w14:textId="77777777" w:rsidR="004D1935" w:rsidRDefault="004D1935" w:rsidP="00E24DC9"/>
        </w:tc>
        <w:tc>
          <w:tcPr>
            <w:tcW w:w="1418" w:type="dxa"/>
            <w:vMerge/>
          </w:tcPr>
          <w:p w14:paraId="2DFB4E0F" w14:textId="77777777" w:rsidR="004D1935" w:rsidRDefault="004D1935" w:rsidP="00E24DC9"/>
        </w:tc>
        <w:tc>
          <w:tcPr>
            <w:tcW w:w="7513" w:type="dxa"/>
            <w:vMerge/>
          </w:tcPr>
          <w:p w14:paraId="1CEE5ECE" w14:textId="77777777" w:rsidR="004D1935" w:rsidRDefault="004D1935" w:rsidP="00E24DC9"/>
        </w:tc>
      </w:tr>
      <w:tr w:rsidR="004D1935" w14:paraId="3B76633D" w14:textId="77777777" w:rsidTr="00E24DC9">
        <w:tc>
          <w:tcPr>
            <w:tcW w:w="709" w:type="dxa"/>
            <w:vMerge/>
          </w:tcPr>
          <w:p w14:paraId="4AE69007" w14:textId="77777777" w:rsidR="004D1935" w:rsidRDefault="004D1935" w:rsidP="00E24DC9"/>
        </w:tc>
        <w:tc>
          <w:tcPr>
            <w:tcW w:w="850" w:type="dxa"/>
            <w:tcBorders>
              <w:top w:val="nil"/>
              <w:bottom w:val="nil"/>
            </w:tcBorders>
            <w:vAlign w:val="bottom"/>
          </w:tcPr>
          <w:p w14:paraId="0A304B84" w14:textId="77777777" w:rsidR="004D1935" w:rsidRPr="00CE69AC" w:rsidRDefault="004D1935" w:rsidP="00E24DC9">
            <w:pPr>
              <w:rPr>
                <w:rFonts w:ascii="Calibri" w:hAnsi="Calibri" w:cs="Calibri"/>
                <w:color w:val="000000"/>
                <w:sz w:val="15"/>
                <w:szCs w:val="15"/>
              </w:rPr>
            </w:pPr>
            <w:r w:rsidRPr="00CE69AC">
              <w:rPr>
                <w:rFonts w:ascii="Calibri" w:hAnsi="Calibri" w:cs="Calibri"/>
                <w:color w:val="000000"/>
                <w:sz w:val="15"/>
                <w:szCs w:val="15"/>
              </w:rPr>
              <w:t>234.2420</w:t>
            </w:r>
          </w:p>
        </w:tc>
        <w:tc>
          <w:tcPr>
            <w:tcW w:w="2411" w:type="dxa"/>
            <w:vMerge/>
          </w:tcPr>
          <w:p w14:paraId="79CDBACD" w14:textId="77777777" w:rsidR="004D1935" w:rsidRDefault="004D1935" w:rsidP="00E24DC9"/>
        </w:tc>
        <w:tc>
          <w:tcPr>
            <w:tcW w:w="2126" w:type="dxa"/>
            <w:vMerge/>
          </w:tcPr>
          <w:p w14:paraId="64843EFC" w14:textId="77777777" w:rsidR="004D1935" w:rsidRDefault="004D1935" w:rsidP="00E24DC9"/>
        </w:tc>
        <w:tc>
          <w:tcPr>
            <w:tcW w:w="1418" w:type="dxa"/>
            <w:vMerge/>
          </w:tcPr>
          <w:p w14:paraId="407134C5" w14:textId="77777777" w:rsidR="004D1935" w:rsidRDefault="004D1935" w:rsidP="00E24DC9"/>
        </w:tc>
        <w:tc>
          <w:tcPr>
            <w:tcW w:w="7513" w:type="dxa"/>
            <w:vMerge/>
          </w:tcPr>
          <w:p w14:paraId="520240A2" w14:textId="77777777" w:rsidR="004D1935" w:rsidRDefault="004D1935" w:rsidP="00E24DC9"/>
        </w:tc>
      </w:tr>
      <w:tr w:rsidR="004D1935" w14:paraId="6C11B24F" w14:textId="77777777" w:rsidTr="00E24DC9">
        <w:tc>
          <w:tcPr>
            <w:tcW w:w="709" w:type="dxa"/>
            <w:vMerge/>
          </w:tcPr>
          <w:p w14:paraId="47C9F393" w14:textId="77777777" w:rsidR="004D1935" w:rsidRDefault="004D1935" w:rsidP="00E24DC9"/>
        </w:tc>
        <w:tc>
          <w:tcPr>
            <w:tcW w:w="850" w:type="dxa"/>
            <w:tcBorders>
              <w:top w:val="nil"/>
              <w:bottom w:val="nil"/>
            </w:tcBorders>
            <w:vAlign w:val="bottom"/>
          </w:tcPr>
          <w:p w14:paraId="29923521" w14:textId="77777777" w:rsidR="004D1935" w:rsidRPr="00CE69AC" w:rsidRDefault="004D1935" w:rsidP="00E24DC9">
            <w:pPr>
              <w:rPr>
                <w:rFonts w:ascii="Calibri" w:hAnsi="Calibri" w:cs="Calibri"/>
                <w:color w:val="000000"/>
                <w:sz w:val="15"/>
                <w:szCs w:val="15"/>
              </w:rPr>
            </w:pPr>
            <w:r w:rsidRPr="00CE69AC">
              <w:rPr>
                <w:rFonts w:ascii="Calibri" w:hAnsi="Calibri" w:cs="Calibri"/>
                <w:color w:val="000000"/>
                <w:sz w:val="15"/>
                <w:szCs w:val="15"/>
              </w:rPr>
              <w:t>234.2755</w:t>
            </w:r>
          </w:p>
        </w:tc>
        <w:tc>
          <w:tcPr>
            <w:tcW w:w="2411" w:type="dxa"/>
            <w:vMerge/>
          </w:tcPr>
          <w:p w14:paraId="690D0DF3" w14:textId="77777777" w:rsidR="004D1935" w:rsidRDefault="004D1935" w:rsidP="00E24DC9"/>
        </w:tc>
        <w:tc>
          <w:tcPr>
            <w:tcW w:w="2126" w:type="dxa"/>
            <w:vMerge/>
          </w:tcPr>
          <w:p w14:paraId="34DD10C0" w14:textId="77777777" w:rsidR="004D1935" w:rsidRDefault="004D1935" w:rsidP="00E24DC9"/>
        </w:tc>
        <w:tc>
          <w:tcPr>
            <w:tcW w:w="1418" w:type="dxa"/>
            <w:vMerge/>
          </w:tcPr>
          <w:p w14:paraId="1FD857B0" w14:textId="77777777" w:rsidR="004D1935" w:rsidRDefault="004D1935" w:rsidP="00E24DC9"/>
        </w:tc>
        <w:tc>
          <w:tcPr>
            <w:tcW w:w="7513" w:type="dxa"/>
            <w:vMerge/>
          </w:tcPr>
          <w:p w14:paraId="49A8CEC8" w14:textId="77777777" w:rsidR="004D1935" w:rsidRDefault="004D1935" w:rsidP="00E24DC9"/>
        </w:tc>
      </w:tr>
      <w:tr w:rsidR="004D1935" w14:paraId="78F1A7E5" w14:textId="77777777" w:rsidTr="00E24DC9">
        <w:tc>
          <w:tcPr>
            <w:tcW w:w="709" w:type="dxa"/>
            <w:vMerge/>
          </w:tcPr>
          <w:p w14:paraId="7DF270DD" w14:textId="77777777" w:rsidR="004D1935" w:rsidRDefault="004D1935" w:rsidP="00E24DC9"/>
        </w:tc>
        <w:tc>
          <w:tcPr>
            <w:tcW w:w="850" w:type="dxa"/>
            <w:tcBorders>
              <w:top w:val="nil"/>
              <w:bottom w:val="nil"/>
            </w:tcBorders>
            <w:vAlign w:val="bottom"/>
          </w:tcPr>
          <w:p w14:paraId="58E0CB57" w14:textId="77777777" w:rsidR="004D1935" w:rsidRPr="00CE69AC" w:rsidRDefault="004D1935" w:rsidP="00E24DC9">
            <w:pPr>
              <w:rPr>
                <w:rFonts w:ascii="Calibri" w:hAnsi="Calibri" w:cs="Calibri"/>
                <w:color w:val="000000"/>
                <w:sz w:val="15"/>
                <w:szCs w:val="15"/>
              </w:rPr>
            </w:pPr>
            <w:r w:rsidRPr="00CE69AC">
              <w:rPr>
                <w:rFonts w:ascii="Calibri" w:hAnsi="Calibri" w:cs="Calibri"/>
                <w:color w:val="000000"/>
                <w:sz w:val="15"/>
                <w:szCs w:val="15"/>
              </w:rPr>
              <w:t>234.1659</w:t>
            </w:r>
          </w:p>
        </w:tc>
        <w:tc>
          <w:tcPr>
            <w:tcW w:w="2411" w:type="dxa"/>
            <w:vMerge/>
          </w:tcPr>
          <w:p w14:paraId="42E5A897" w14:textId="77777777" w:rsidR="004D1935" w:rsidRDefault="004D1935" w:rsidP="00E24DC9"/>
        </w:tc>
        <w:tc>
          <w:tcPr>
            <w:tcW w:w="2126" w:type="dxa"/>
            <w:vMerge/>
          </w:tcPr>
          <w:p w14:paraId="7F81767A" w14:textId="77777777" w:rsidR="004D1935" w:rsidRDefault="004D1935" w:rsidP="00E24DC9"/>
        </w:tc>
        <w:tc>
          <w:tcPr>
            <w:tcW w:w="1418" w:type="dxa"/>
            <w:vMerge/>
          </w:tcPr>
          <w:p w14:paraId="24AB2D6B" w14:textId="77777777" w:rsidR="004D1935" w:rsidRDefault="004D1935" w:rsidP="00E24DC9"/>
        </w:tc>
        <w:tc>
          <w:tcPr>
            <w:tcW w:w="7513" w:type="dxa"/>
            <w:vMerge/>
          </w:tcPr>
          <w:p w14:paraId="55FA2887" w14:textId="77777777" w:rsidR="004D1935" w:rsidRDefault="004D1935" w:rsidP="00E24DC9"/>
        </w:tc>
      </w:tr>
      <w:tr w:rsidR="004D1935" w14:paraId="5A92588C" w14:textId="77777777" w:rsidTr="00E24DC9">
        <w:tc>
          <w:tcPr>
            <w:tcW w:w="709" w:type="dxa"/>
            <w:vMerge/>
          </w:tcPr>
          <w:p w14:paraId="69C2E8C3" w14:textId="77777777" w:rsidR="004D1935" w:rsidRDefault="004D1935" w:rsidP="00E24DC9"/>
        </w:tc>
        <w:tc>
          <w:tcPr>
            <w:tcW w:w="850" w:type="dxa"/>
            <w:tcBorders>
              <w:top w:val="nil"/>
              <w:bottom w:val="nil"/>
            </w:tcBorders>
            <w:vAlign w:val="bottom"/>
          </w:tcPr>
          <w:p w14:paraId="75686252" w14:textId="77777777" w:rsidR="004D1935" w:rsidRPr="00CE69AC" w:rsidRDefault="004D1935" w:rsidP="00E24DC9">
            <w:pPr>
              <w:rPr>
                <w:rFonts w:ascii="Calibri" w:hAnsi="Calibri" w:cs="Calibri"/>
                <w:color w:val="000000"/>
                <w:sz w:val="15"/>
                <w:szCs w:val="15"/>
              </w:rPr>
            </w:pPr>
            <w:r w:rsidRPr="00CE69AC">
              <w:rPr>
                <w:rFonts w:ascii="Calibri" w:hAnsi="Calibri" w:cs="Calibri"/>
                <w:color w:val="000000"/>
                <w:sz w:val="15"/>
                <w:szCs w:val="15"/>
              </w:rPr>
              <w:t>234.1994</w:t>
            </w:r>
          </w:p>
        </w:tc>
        <w:tc>
          <w:tcPr>
            <w:tcW w:w="2411" w:type="dxa"/>
            <w:vMerge/>
          </w:tcPr>
          <w:p w14:paraId="4090C9B1" w14:textId="77777777" w:rsidR="004D1935" w:rsidRDefault="004D1935" w:rsidP="00E24DC9"/>
        </w:tc>
        <w:tc>
          <w:tcPr>
            <w:tcW w:w="2126" w:type="dxa"/>
            <w:vMerge/>
          </w:tcPr>
          <w:p w14:paraId="0D966658" w14:textId="77777777" w:rsidR="004D1935" w:rsidRDefault="004D1935" w:rsidP="00E24DC9"/>
        </w:tc>
        <w:tc>
          <w:tcPr>
            <w:tcW w:w="1418" w:type="dxa"/>
            <w:vMerge/>
          </w:tcPr>
          <w:p w14:paraId="5DE0E5AE" w14:textId="77777777" w:rsidR="004D1935" w:rsidRDefault="004D1935" w:rsidP="00E24DC9"/>
        </w:tc>
        <w:tc>
          <w:tcPr>
            <w:tcW w:w="7513" w:type="dxa"/>
            <w:vMerge/>
          </w:tcPr>
          <w:p w14:paraId="17D82865" w14:textId="77777777" w:rsidR="004D1935" w:rsidRDefault="004D1935" w:rsidP="00E24DC9"/>
        </w:tc>
      </w:tr>
      <w:tr w:rsidR="004D1935" w14:paraId="3247F2A2" w14:textId="77777777" w:rsidTr="00E24DC9">
        <w:tc>
          <w:tcPr>
            <w:tcW w:w="709" w:type="dxa"/>
            <w:vMerge/>
          </w:tcPr>
          <w:p w14:paraId="3B5BD2FE" w14:textId="77777777" w:rsidR="004D1935" w:rsidRDefault="004D1935" w:rsidP="00E24DC9"/>
        </w:tc>
        <w:tc>
          <w:tcPr>
            <w:tcW w:w="850" w:type="dxa"/>
            <w:tcBorders>
              <w:top w:val="nil"/>
              <w:bottom w:val="single" w:sz="4" w:space="0" w:color="auto"/>
            </w:tcBorders>
            <w:vAlign w:val="bottom"/>
          </w:tcPr>
          <w:p w14:paraId="4CBA35D6" w14:textId="77777777" w:rsidR="004D1935" w:rsidRDefault="004D1935" w:rsidP="00E24DC9">
            <w:pPr>
              <w:rPr>
                <w:rFonts w:ascii="Calibri" w:hAnsi="Calibri" w:cs="Calibri"/>
                <w:color w:val="000000"/>
                <w:sz w:val="15"/>
                <w:szCs w:val="15"/>
              </w:rPr>
            </w:pPr>
            <w:r w:rsidRPr="00CE69AC">
              <w:rPr>
                <w:rFonts w:ascii="Calibri" w:hAnsi="Calibri" w:cs="Calibri"/>
                <w:color w:val="000000"/>
                <w:sz w:val="15"/>
                <w:szCs w:val="15"/>
              </w:rPr>
              <w:t>234.2330</w:t>
            </w:r>
          </w:p>
          <w:p w14:paraId="1EB02B3C" w14:textId="77777777" w:rsidR="004D1935" w:rsidRPr="00CE69AC" w:rsidRDefault="004D1935" w:rsidP="00E24DC9">
            <w:pPr>
              <w:rPr>
                <w:rFonts w:ascii="Calibri" w:hAnsi="Calibri" w:cs="Calibri"/>
                <w:color w:val="000000"/>
                <w:sz w:val="15"/>
                <w:szCs w:val="15"/>
              </w:rPr>
            </w:pPr>
          </w:p>
        </w:tc>
        <w:tc>
          <w:tcPr>
            <w:tcW w:w="2411" w:type="dxa"/>
            <w:vMerge/>
          </w:tcPr>
          <w:p w14:paraId="67776420" w14:textId="77777777" w:rsidR="004D1935" w:rsidRDefault="004D1935" w:rsidP="00E24DC9"/>
        </w:tc>
        <w:tc>
          <w:tcPr>
            <w:tcW w:w="2126" w:type="dxa"/>
            <w:vMerge/>
          </w:tcPr>
          <w:p w14:paraId="6A491CD4" w14:textId="77777777" w:rsidR="004D1935" w:rsidRDefault="004D1935" w:rsidP="00E24DC9"/>
        </w:tc>
        <w:tc>
          <w:tcPr>
            <w:tcW w:w="1418" w:type="dxa"/>
            <w:vMerge/>
          </w:tcPr>
          <w:p w14:paraId="11E3DEDD" w14:textId="77777777" w:rsidR="004D1935" w:rsidRDefault="004D1935" w:rsidP="00E24DC9"/>
        </w:tc>
        <w:tc>
          <w:tcPr>
            <w:tcW w:w="7513" w:type="dxa"/>
            <w:vMerge/>
          </w:tcPr>
          <w:p w14:paraId="6DE982B3" w14:textId="77777777" w:rsidR="004D1935" w:rsidRDefault="004D1935" w:rsidP="00E24DC9"/>
        </w:tc>
      </w:tr>
      <w:tr w:rsidR="004D1935" w14:paraId="55145CFC" w14:textId="77777777" w:rsidTr="00E24DC9">
        <w:tc>
          <w:tcPr>
            <w:tcW w:w="709" w:type="dxa"/>
            <w:vMerge w:val="restart"/>
            <w:vAlign w:val="center"/>
          </w:tcPr>
          <w:p w14:paraId="0D33F005" w14:textId="77777777" w:rsidR="004D1935" w:rsidRDefault="004D1935" w:rsidP="00E24DC9">
            <w:pPr>
              <w:jc w:val="center"/>
            </w:pPr>
            <w:r>
              <w:lastRenderedPageBreak/>
              <w:t>NA</w:t>
            </w:r>
          </w:p>
        </w:tc>
        <w:tc>
          <w:tcPr>
            <w:tcW w:w="850" w:type="dxa"/>
            <w:tcBorders>
              <w:bottom w:val="nil"/>
            </w:tcBorders>
            <w:vAlign w:val="center"/>
          </w:tcPr>
          <w:p w14:paraId="1C8BA804" w14:textId="77777777" w:rsidR="004D1935" w:rsidRPr="00CE69AC" w:rsidRDefault="004D1935" w:rsidP="00E24DC9">
            <w:pPr>
              <w:jc w:val="center"/>
              <w:rPr>
                <w:rFonts w:ascii="Calibri" w:hAnsi="Calibri" w:cs="Calibri"/>
                <w:color w:val="000000"/>
                <w:sz w:val="15"/>
                <w:szCs w:val="15"/>
              </w:rPr>
            </w:pPr>
            <w:r w:rsidRPr="00CE10C1">
              <w:rPr>
                <w:rFonts w:ascii="Calibri" w:hAnsi="Calibri" w:cs="Calibri"/>
                <w:color w:val="000000"/>
                <w:sz w:val="15"/>
                <w:szCs w:val="15"/>
              </w:rPr>
              <w:t>212.1417</w:t>
            </w:r>
          </w:p>
        </w:tc>
        <w:tc>
          <w:tcPr>
            <w:tcW w:w="2411" w:type="dxa"/>
            <w:vMerge w:val="restart"/>
            <w:vAlign w:val="center"/>
          </w:tcPr>
          <w:p w14:paraId="34B95DC5" w14:textId="77777777" w:rsidR="004D1935" w:rsidRPr="0077649B" w:rsidRDefault="004D1935" w:rsidP="00E24DC9">
            <w:pPr>
              <w:jc w:val="center"/>
              <w:rPr>
                <w:color w:val="000000" w:themeColor="text1"/>
                <w:sz w:val="16"/>
                <w:szCs w:val="16"/>
              </w:rPr>
            </w:pPr>
            <w:r w:rsidRPr="0077649B">
              <w:rPr>
                <w:color w:val="000000" w:themeColor="text1"/>
                <w:sz w:val="16"/>
                <w:szCs w:val="16"/>
              </w:rPr>
              <w:t>traumatin</w:t>
            </w:r>
          </w:p>
          <w:p w14:paraId="464F30DF" w14:textId="77777777" w:rsidR="004D1935" w:rsidRPr="0077649B" w:rsidRDefault="004D1935" w:rsidP="00E24DC9">
            <w:pPr>
              <w:jc w:val="center"/>
              <w:rPr>
                <w:color w:val="000000" w:themeColor="text1"/>
              </w:rPr>
            </w:pPr>
            <w:r w:rsidRPr="0077649B">
              <w:rPr>
                <w:rFonts w:ascii="Calibri" w:hAnsi="Calibri" w:cs="Calibri"/>
                <w:color w:val="000000" w:themeColor="text1"/>
                <w:sz w:val="16"/>
                <w:szCs w:val="16"/>
              </w:rPr>
              <w:t>7-deoxyloganetin</w:t>
            </w:r>
          </w:p>
        </w:tc>
        <w:tc>
          <w:tcPr>
            <w:tcW w:w="2126" w:type="dxa"/>
            <w:vMerge w:val="restart"/>
            <w:vAlign w:val="center"/>
          </w:tcPr>
          <w:p w14:paraId="6712C0D6" w14:textId="77777777" w:rsidR="004D1935" w:rsidRPr="0077649B" w:rsidRDefault="004D1935" w:rsidP="00E24DC9">
            <w:pPr>
              <w:jc w:val="center"/>
              <w:rPr>
                <w:color w:val="000000" w:themeColor="text1"/>
              </w:rPr>
            </w:pPr>
            <w:r w:rsidRPr="0077649B">
              <w:rPr>
                <w:rFonts w:ascii="Calibri" w:hAnsi="Calibri" w:cs="Calibri"/>
                <w:color w:val="000000" w:themeColor="text1"/>
                <w:sz w:val="15"/>
                <w:szCs w:val="15"/>
              </w:rPr>
              <w:t>fatty acid plant hormone alkene</w:t>
            </w:r>
          </w:p>
          <w:p w14:paraId="557CCC2D" w14:textId="77777777" w:rsidR="004D1935" w:rsidRPr="0077649B" w:rsidRDefault="004D1935" w:rsidP="00E24DC9">
            <w:pPr>
              <w:jc w:val="center"/>
              <w:rPr>
                <w:color w:val="000000" w:themeColor="text1"/>
              </w:rPr>
            </w:pPr>
            <w:r w:rsidRPr="0077649B">
              <w:rPr>
                <w:rFonts w:ascii="Calibri" w:hAnsi="Calibri" w:cs="Calibri"/>
                <w:color w:val="000000" w:themeColor="text1"/>
                <w:sz w:val="15"/>
                <w:szCs w:val="15"/>
              </w:rPr>
              <w:t>terpene</w:t>
            </w:r>
          </w:p>
        </w:tc>
        <w:tc>
          <w:tcPr>
            <w:tcW w:w="1418" w:type="dxa"/>
            <w:vMerge w:val="restart"/>
            <w:vAlign w:val="center"/>
          </w:tcPr>
          <w:p w14:paraId="2FB1AC8C" w14:textId="77777777" w:rsidR="004D1935" w:rsidRPr="0077649B" w:rsidRDefault="004D1935" w:rsidP="00E24DC9">
            <w:pPr>
              <w:jc w:val="center"/>
              <w:rPr>
                <w:color w:val="000000" w:themeColor="text1"/>
              </w:rPr>
            </w:pPr>
            <w:r w:rsidRPr="0077649B">
              <w:rPr>
                <w:rFonts w:ascii="Arial" w:hAnsi="Arial" w:cs="Arial"/>
                <w:color w:val="000000" w:themeColor="text1"/>
                <w:sz w:val="20"/>
                <w:szCs w:val="20"/>
                <w:shd w:val="clear" w:color="auto" w:fill="FFFFFF"/>
              </w:rPr>
              <w:t>C</w:t>
            </w:r>
            <w:r w:rsidRPr="0077649B">
              <w:rPr>
                <w:rFonts w:ascii="Arial" w:hAnsi="Arial" w:cs="Arial"/>
                <w:color w:val="000000" w:themeColor="text1"/>
                <w:shd w:val="clear" w:color="auto" w:fill="FFFFFF"/>
                <w:vertAlign w:val="subscript"/>
              </w:rPr>
              <w:t>12</w:t>
            </w:r>
            <w:r w:rsidRPr="0077649B">
              <w:rPr>
                <w:rFonts w:ascii="Arial" w:hAnsi="Arial" w:cs="Arial"/>
                <w:color w:val="000000" w:themeColor="text1"/>
                <w:sz w:val="20"/>
                <w:szCs w:val="20"/>
                <w:shd w:val="clear" w:color="auto" w:fill="FFFFFF"/>
              </w:rPr>
              <w:t>H</w:t>
            </w:r>
            <w:r w:rsidRPr="0077649B">
              <w:rPr>
                <w:rFonts w:ascii="Arial" w:hAnsi="Arial" w:cs="Arial"/>
                <w:color w:val="000000" w:themeColor="text1"/>
                <w:shd w:val="clear" w:color="auto" w:fill="FFFFFF"/>
                <w:vertAlign w:val="subscript"/>
              </w:rPr>
              <w:t>19</w:t>
            </w:r>
            <w:r w:rsidRPr="0077649B">
              <w:rPr>
                <w:rFonts w:ascii="Arial" w:hAnsi="Arial" w:cs="Arial"/>
                <w:color w:val="000000" w:themeColor="text1"/>
                <w:sz w:val="20"/>
                <w:szCs w:val="20"/>
                <w:shd w:val="clear" w:color="auto" w:fill="FFFFFF"/>
              </w:rPr>
              <w:t>O</w:t>
            </w:r>
            <w:r w:rsidRPr="0077649B">
              <w:rPr>
                <w:rFonts w:ascii="Arial" w:hAnsi="Arial" w:cs="Arial"/>
                <w:color w:val="000000" w:themeColor="text1"/>
                <w:shd w:val="clear" w:color="auto" w:fill="FFFFFF"/>
                <w:vertAlign w:val="subscript"/>
              </w:rPr>
              <w:t>3</w:t>
            </w:r>
          </w:p>
          <w:p w14:paraId="4E35344D" w14:textId="77777777" w:rsidR="004D1935" w:rsidRPr="0077649B" w:rsidRDefault="004D1935" w:rsidP="00E24DC9">
            <w:pPr>
              <w:jc w:val="center"/>
              <w:rPr>
                <w:color w:val="000000" w:themeColor="text1"/>
              </w:rPr>
            </w:pPr>
            <w:r w:rsidRPr="0077649B">
              <w:rPr>
                <w:rFonts w:ascii="Arial" w:hAnsi="Arial" w:cs="Arial"/>
                <w:color w:val="000000" w:themeColor="text1"/>
                <w:sz w:val="20"/>
                <w:szCs w:val="20"/>
                <w:shd w:val="clear" w:color="auto" w:fill="FFFFFF"/>
              </w:rPr>
              <w:t>C</w:t>
            </w:r>
            <w:r w:rsidRPr="0077649B">
              <w:rPr>
                <w:rFonts w:ascii="Arial" w:hAnsi="Arial" w:cs="Arial"/>
                <w:color w:val="000000" w:themeColor="text1"/>
                <w:shd w:val="clear" w:color="auto" w:fill="FFFFFF"/>
                <w:vertAlign w:val="subscript"/>
              </w:rPr>
              <w:t>11</w:t>
            </w:r>
            <w:r w:rsidRPr="0077649B">
              <w:rPr>
                <w:rFonts w:ascii="Arial" w:hAnsi="Arial" w:cs="Arial"/>
                <w:color w:val="000000" w:themeColor="text1"/>
                <w:sz w:val="20"/>
                <w:szCs w:val="20"/>
                <w:shd w:val="clear" w:color="auto" w:fill="FFFFFF"/>
              </w:rPr>
              <w:t>H</w:t>
            </w:r>
            <w:r w:rsidRPr="0077649B">
              <w:rPr>
                <w:rFonts w:ascii="Arial" w:hAnsi="Arial" w:cs="Arial"/>
                <w:color w:val="000000" w:themeColor="text1"/>
                <w:shd w:val="clear" w:color="auto" w:fill="FFFFFF"/>
                <w:vertAlign w:val="subscript"/>
              </w:rPr>
              <w:t>16</w:t>
            </w:r>
            <w:r w:rsidRPr="0077649B">
              <w:rPr>
                <w:rFonts w:ascii="Arial" w:hAnsi="Arial" w:cs="Arial"/>
                <w:color w:val="000000" w:themeColor="text1"/>
                <w:sz w:val="20"/>
                <w:szCs w:val="20"/>
                <w:shd w:val="clear" w:color="auto" w:fill="FFFFFF"/>
              </w:rPr>
              <w:t>O</w:t>
            </w:r>
            <w:r w:rsidRPr="0077649B">
              <w:rPr>
                <w:rFonts w:ascii="Arial" w:hAnsi="Arial" w:cs="Arial"/>
                <w:color w:val="000000" w:themeColor="text1"/>
                <w:shd w:val="clear" w:color="auto" w:fill="FFFFFF"/>
                <w:vertAlign w:val="subscript"/>
              </w:rPr>
              <w:t>4</w:t>
            </w:r>
          </w:p>
          <w:p w14:paraId="6A2445B6" w14:textId="77777777" w:rsidR="004D1935" w:rsidRPr="0077649B" w:rsidRDefault="004D1935" w:rsidP="00E24DC9">
            <w:pPr>
              <w:jc w:val="center"/>
              <w:rPr>
                <w:color w:val="000000" w:themeColor="text1"/>
              </w:rPr>
            </w:pPr>
          </w:p>
        </w:tc>
        <w:tc>
          <w:tcPr>
            <w:tcW w:w="7513" w:type="dxa"/>
            <w:vMerge w:val="restart"/>
            <w:vAlign w:val="center"/>
          </w:tcPr>
          <w:p w14:paraId="0C934BDC" w14:textId="77777777" w:rsidR="004D1935" w:rsidRPr="0077649B" w:rsidRDefault="004D1935" w:rsidP="00E24DC9">
            <w:pPr>
              <w:jc w:val="center"/>
              <w:rPr>
                <w:color w:val="000000" w:themeColor="text1"/>
              </w:rPr>
            </w:pPr>
            <w:r w:rsidRPr="0077649B">
              <w:rPr>
                <w:rFonts w:ascii="Calibri" w:hAnsi="Calibri" w:cs="Calibri"/>
                <w:color w:val="000000" w:themeColor="text1"/>
                <w:sz w:val="15"/>
                <w:szCs w:val="15"/>
              </w:rPr>
              <w:t>Jasmonic acid biosynthesis/ Flavanone flavonoid /riboflavin biosynthesis/Shikimate pathway,/alpha-Linolenic acid metabolism/</w:t>
            </w:r>
          </w:p>
          <w:p w14:paraId="09D1EA40" w14:textId="77777777" w:rsidR="004D1935" w:rsidRPr="0077649B" w:rsidRDefault="004D1935" w:rsidP="00E24DC9">
            <w:pPr>
              <w:jc w:val="center"/>
              <w:rPr>
                <w:color w:val="000000" w:themeColor="text1"/>
              </w:rPr>
            </w:pPr>
            <w:r w:rsidRPr="0077649B">
              <w:rPr>
                <w:rFonts w:ascii="Calibri" w:hAnsi="Calibri" w:cs="Calibri"/>
                <w:color w:val="000000" w:themeColor="text1"/>
                <w:sz w:val="15"/>
                <w:szCs w:val="15"/>
              </w:rPr>
              <w:t>Monoterpenoid biosynthesis/Jasmonic acid biosynthesis/Abscisic acid biosynthesis Flavanone flavonoid /riboflavin biosynthesis/fatty acid pathway/Shikimate pathway, phosphoenolpyruvate</w:t>
            </w:r>
          </w:p>
        </w:tc>
      </w:tr>
      <w:tr w:rsidR="004D1935" w14:paraId="62DDC32E" w14:textId="77777777" w:rsidTr="00E24DC9">
        <w:tc>
          <w:tcPr>
            <w:tcW w:w="709" w:type="dxa"/>
            <w:vMerge/>
          </w:tcPr>
          <w:p w14:paraId="0940112F" w14:textId="77777777" w:rsidR="004D1935" w:rsidRDefault="004D1935" w:rsidP="00E24DC9"/>
        </w:tc>
        <w:tc>
          <w:tcPr>
            <w:tcW w:w="850" w:type="dxa"/>
            <w:tcBorders>
              <w:top w:val="nil"/>
              <w:bottom w:val="nil"/>
            </w:tcBorders>
            <w:vAlign w:val="bottom"/>
          </w:tcPr>
          <w:p w14:paraId="79DFDF2F"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212.1886</w:t>
            </w:r>
          </w:p>
        </w:tc>
        <w:tc>
          <w:tcPr>
            <w:tcW w:w="2411" w:type="dxa"/>
            <w:vMerge/>
            <w:vAlign w:val="bottom"/>
          </w:tcPr>
          <w:p w14:paraId="1C82073C" w14:textId="77777777" w:rsidR="004D1935" w:rsidRDefault="004D1935" w:rsidP="00E24DC9"/>
        </w:tc>
        <w:tc>
          <w:tcPr>
            <w:tcW w:w="2126" w:type="dxa"/>
            <w:vMerge/>
            <w:vAlign w:val="center"/>
          </w:tcPr>
          <w:p w14:paraId="435C57B2" w14:textId="77777777" w:rsidR="004D1935" w:rsidRDefault="004D1935" w:rsidP="00E24DC9"/>
        </w:tc>
        <w:tc>
          <w:tcPr>
            <w:tcW w:w="1418" w:type="dxa"/>
            <w:vMerge/>
          </w:tcPr>
          <w:p w14:paraId="489D2BC5" w14:textId="77777777" w:rsidR="004D1935" w:rsidRDefault="004D1935" w:rsidP="00E24DC9"/>
        </w:tc>
        <w:tc>
          <w:tcPr>
            <w:tcW w:w="7513" w:type="dxa"/>
            <w:vMerge/>
          </w:tcPr>
          <w:p w14:paraId="50A4F1D1" w14:textId="77777777" w:rsidR="004D1935" w:rsidRDefault="004D1935" w:rsidP="00E24DC9"/>
        </w:tc>
      </w:tr>
      <w:tr w:rsidR="004D1935" w14:paraId="69A7C142" w14:textId="77777777" w:rsidTr="00E24DC9">
        <w:tc>
          <w:tcPr>
            <w:tcW w:w="709" w:type="dxa"/>
            <w:vMerge/>
          </w:tcPr>
          <w:p w14:paraId="709596E5" w14:textId="77777777" w:rsidR="004D1935" w:rsidRDefault="004D1935" w:rsidP="00E24DC9"/>
        </w:tc>
        <w:tc>
          <w:tcPr>
            <w:tcW w:w="850" w:type="dxa"/>
            <w:tcBorders>
              <w:top w:val="nil"/>
              <w:bottom w:val="nil"/>
            </w:tcBorders>
            <w:vAlign w:val="bottom"/>
          </w:tcPr>
          <w:p w14:paraId="35CAD191"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212.2221</w:t>
            </w:r>
          </w:p>
        </w:tc>
        <w:tc>
          <w:tcPr>
            <w:tcW w:w="2411" w:type="dxa"/>
            <w:vMerge/>
          </w:tcPr>
          <w:p w14:paraId="40D6839D" w14:textId="77777777" w:rsidR="004D1935" w:rsidRDefault="004D1935" w:rsidP="00E24DC9"/>
        </w:tc>
        <w:tc>
          <w:tcPr>
            <w:tcW w:w="2126" w:type="dxa"/>
            <w:vMerge/>
          </w:tcPr>
          <w:p w14:paraId="0083F302" w14:textId="77777777" w:rsidR="004D1935" w:rsidRDefault="004D1935" w:rsidP="00E24DC9"/>
        </w:tc>
        <w:tc>
          <w:tcPr>
            <w:tcW w:w="1418" w:type="dxa"/>
            <w:vMerge/>
          </w:tcPr>
          <w:p w14:paraId="610E4674" w14:textId="77777777" w:rsidR="004D1935" w:rsidRDefault="004D1935" w:rsidP="00E24DC9"/>
        </w:tc>
        <w:tc>
          <w:tcPr>
            <w:tcW w:w="7513" w:type="dxa"/>
            <w:vMerge/>
          </w:tcPr>
          <w:p w14:paraId="7BB1A8DB" w14:textId="77777777" w:rsidR="004D1935" w:rsidRDefault="004D1935" w:rsidP="00E24DC9"/>
        </w:tc>
      </w:tr>
      <w:tr w:rsidR="004D1935" w14:paraId="0C6255B3" w14:textId="77777777" w:rsidTr="00E24DC9">
        <w:tc>
          <w:tcPr>
            <w:tcW w:w="709" w:type="dxa"/>
            <w:vMerge/>
          </w:tcPr>
          <w:p w14:paraId="63ADE9CD" w14:textId="77777777" w:rsidR="004D1935" w:rsidRDefault="004D1935" w:rsidP="00E24DC9"/>
        </w:tc>
        <w:tc>
          <w:tcPr>
            <w:tcW w:w="850" w:type="dxa"/>
            <w:tcBorders>
              <w:top w:val="nil"/>
              <w:bottom w:val="nil"/>
            </w:tcBorders>
            <w:vAlign w:val="bottom"/>
          </w:tcPr>
          <w:p w14:paraId="21EF3BBC"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212.2557</w:t>
            </w:r>
          </w:p>
        </w:tc>
        <w:tc>
          <w:tcPr>
            <w:tcW w:w="2411" w:type="dxa"/>
            <w:vMerge/>
          </w:tcPr>
          <w:p w14:paraId="71D3621A" w14:textId="77777777" w:rsidR="004D1935" w:rsidRDefault="004D1935" w:rsidP="00E24DC9"/>
        </w:tc>
        <w:tc>
          <w:tcPr>
            <w:tcW w:w="2126" w:type="dxa"/>
            <w:vMerge/>
          </w:tcPr>
          <w:p w14:paraId="5567723C" w14:textId="77777777" w:rsidR="004D1935" w:rsidRDefault="004D1935" w:rsidP="00E24DC9"/>
        </w:tc>
        <w:tc>
          <w:tcPr>
            <w:tcW w:w="1418" w:type="dxa"/>
            <w:vMerge/>
          </w:tcPr>
          <w:p w14:paraId="7C964C1F" w14:textId="77777777" w:rsidR="004D1935" w:rsidRDefault="004D1935" w:rsidP="00E24DC9"/>
        </w:tc>
        <w:tc>
          <w:tcPr>
            <w:tcW w:w="7513" w:type="dxa"/>
            <w:vMerge/>
          </w:tcPr>
          <w:p w14:paraId="2CF349C8" w14:textId="77777777" w:rsidR="004D1935" w:rsidRDefault="004D1935" w:rsidP="00E24DC9"/>
        </w:tc>
      </w:tr>
      <w:tr w:rsidR="004D1935" w14:paraId="440955BF" w14:textId="77777777" w:rsidTr="00E24DC9">
        <w:tc>
          <w:tcPr>
            <w:tcW w:w="709" w:type="dxa"/>
            <w:vMerge/>
          </w:tcPr>
          <w:p w14:paraId="337E77EA" w14:textId="77777777" w:rsidR="004D1935" w:rsidRDefault="004D1935" w:rsidP="00E24DC9"/>
        </w:tc>
        <w:tc>
          <w:tcPr>
            <w:tcW w:w="850" w:type="dxa"/>
            <w:tcBorders>
              <w:top w:val="nil"/>
              <w:bottom w:val="nil"/>
            </w:tcBorders>
            <w:vAlign w:val="bottom"/>
          </w:tcPr>
          <w:p w14:paraId="15CB1537"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212.1394</w:t>
            </w:r>
          </w:p>
        </w:tc>
        <w:tc>
          <w:tcPr>
            <w:tcW w:w="2411" w:type="dxa"/>
            <w:vMerge/>
          </w:tcPr>
          <w:p w14:paraId="2AF9A437" w14:textId="77777777" w:rsidR="004D1935" w:rsidRDefault="004D1935" w:rsidP="00E24DC9"/>
        </w:tc>
        <w:tc>
          <w:tcPr>
            <w:tcW w:w="2126" w:type="dxa"/>
            <w:vMerge/>
          </w:tcPr>
          <w:p w14:paraId="461DA587" w14:textId="77777777" w:rsidR="004D1935" w:rsidRDefault="004D1935" w:rsidP="00E24DC9"/>
        </w:tc>
        <w:tc>
          <w:tcPr>
            <w:tcW w:w="1418" w:type="dxa"/>
            <w:vMerge/>
          </w:tcPr>
          <w:p w14:paraId="7A63F3D2" w14:textId="77777777" w:rsidR="004D1935" w:rsidRDefault="004D1935" w:rsidP="00E24DC9"/>
        </w:tc>
        <w:tc>
          <w:tcPr>
            <w:tcW w:w="7513" w:type="dxa"/>
            <w:vMerge/>
          </w:tcPr>
          <w:p w14:paraId="678DBFF0" w14:textId="77777777" w:rsidR="004D1935" w:rsidRDefault="004D1935" w:rsidP="00E24DC9"/>
        </w:tc>
      </w:tr>
      <w:tr w:rsidR="004D1935" w14:paraId="59CD9260" w14:textId="77777777" w:rsidTr="00E24DC9">
        <w:tc>
          <w:tcPr>
            <w:tcW w:w="709" w:type="dxa"/>
            <w:vMerge/>
          </w:tcPr>
          <w:p w14:paraId="352B4805" w14:textId="77777777" w:rsidR="004D1935" w:rsidRDefault="004D1935" w:rsidP="00E24DC9"/>
        </w:tc>
        <w:tc>
          <w:tcPr>
            <w:tcW w:w="850" w:type="dxa"/>
            <w:tcBorders>
              <w:top w:val="nil"/>
              <w:bottom w:val="nil"/>
            </w:tcBorders>
            <w:vAlign w:val="bottom"/>
          </w:tcPr>
          <w:p w14:paraId="5876B42B"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212.1908</w:t>
            </w:r>
          </w:p>
        </w:tc>
        <w:tc>
          <w:tcPr>
            <w:tcW w:w="2411" w:type="dxa"/>
            <w:vMerge/>
          </w:tcPr>
          <w:p w14:paraId="5CEAB2FB" w14:textId="77777777" w:rsidR="004D1935" w:rsidRDefault="004D1935" w:rsidP="00E24DC9"/>
        </w:tc>
        <w:tc>
          <w:tcPr>
            <w:tcW w:w="2126" w:type="dxa"/>
            <w:vMerge/>
          </w:tcPr>
          <w:p w14:paraId="32E12D76" w14:textId="77777777" w:rsidR="004D1935" w:rsidRDefault="004D1935" w:rsidP="00E24DC9"/>
        </w:tc>
        <w:tc>
          <w:tcPr>
            <w:tcW w:w="1418" w:type="dxa"/>
            <w:vMerge/>
          </w:tcPr>
          <w:p w14:paraId="0399DF63" w14:textId="77777777" w:rsidR="004D1935" w:rsidRDefault="004D1935" w:rsidP="00E24DC9"/>
        </w:tc>
        <w:tc>
          <w:tcPr>
            <w:tcW w:w="7513" w:type="dxa"/>
            <w:vMerge/>
          </w:tcPr>
          <w:p w14:paraId="411B926F" w14:textId="77777777" w:rsidR="004D1935" w:rsidRDefault="004D1935" w:rsidP="00E24DC9"/>
        </w:tc>
      </w:tr>
      <w:tr w:rsidR="004D1935" w14:paraId="3E2E3F51" w14:textId="77777777" w:rsidTr="00E24DC9">
        <w:tc>
          <w:tcPr>
            <w:tcW w:w="709" w:type="dxa"/>
            <w:vMerge/>
          </w:tcPr>
          <w:p w14:paraId="3E7555DA" w14:textId="77777777" w:rsidR="004D1935" w:rsidRDefault="004D1935" w:rsidP="00E24DC9"/>
        </w:tc>
        <w:tc>
          <w:tcPr>
            <w:tcW w:w="850" w:type="dxa"/>
            <w:tcBorders>
              <w:top w:val="nil"/>
              <w:bottom w:val="nil"/>
            </w:tcBorders>
            <w:vAlign w:val="bottom"/>
          </w:tcPr>
          <w:p w14:paraId="366B5208"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212.2243</w:t>
            </w:r>
          </w:p>
        </w:tc>
        <w:tc>
          <w:tcPr>
            <w:tcW w:w="2411" w:type="dxa"/>
            <w:vMerge/>
          </w:tcPr>
          <w:p w14:paraId="4E36BB79" w14:textId="77777777" w:rsidR="004D1935" w:rsidRDefault="004D1935" w:rsidP="00E24DC9"/>
        </w:tc>
        <w:tc>
          <w:tcPr>
            <w:tcW w:w="2126" w:type="dxa"/>
            <w:vMerge/>
          </w:tcPr>
          <w:p w14:paraId="24C2DE23" w14:textId="77777777" w:rsidR="004D1935" w:rsidRDefault="004D1935" w:rsidP="00E24DC9"/>
        </w:tc>
        <w:tc>
          <w:tcPr>
            <w:tcW w:w="1418" w:type="dxa"/>
            <w:vMerge/>
          </w:tcPr>
          <w:p w14:paraId="62D09BA3" w14:textId="77777777" w:rsidR="004D1935" w:rsidRDefault="004D1935" w:rsidP="00E24DC9"/>
        </w:tc>
        <w:tc>
          <w:tcPr>
            <w:tcW w:w="7513" w:type="dxa"/>
            <w:vMerge/>
          </w:tcPr>
          <w:p w14:paraId="77EF9B85" w14:textId="77777777" w:rsidR="004D1935" w:rsidRDefault="004D1935" w:rsidP="00E24DC9"/>
        </w:tc>
      </w:tr>
      <w:tr w:rsidR="004D1935" w14:paraId="4CC43AA0" w14:textId="77777777" w:rsidTr="00E24DC9">
        <w:tc>
          <w:tcPr>
            <w:tcW w:w="709" w:type="dxa"/>
            <w:vMerge/>
          </w:tcPr>
          <w:p w14:paraId="0F3FE5F6" w14:textId="77777777" w:rsidR="004D1935" w:rsidRDefault="004D1935" w:rsidP="00E24DC9"/>
        </w:tc>
        <w:tc>
          <w:tcPr>
            <w:tcW w:w="850" w:type="dxa"/>
            <w:tcBorders>
              <w:top w:val="nil"/>
              <w:bottom w:val="nil"/>
            </w:tcBorders>
            <w:vAlign w:val="bottom"/>
          </w:tcPr>
          <w:p w14:paraId="2165D88C"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212.2579</w:t>
            </w:r>
          </w:p>
        </w:tc>
        <w:tc>
          <w:tcPr>
            <w:tcW w:w="2411" w:type="dxa"/>
            <w:vMerge/>
          </w:tcPr>
          <w:p w14:paraId="5B3145F4" w14:textId="77777777" w:rsidR="004D1935" w:rsidRDefault="004D1935" w:rsidP="00E24DC9"/>
        </w:tc>
        <w:tc>
          <w:tcPr>
            <w:tcW w:w="2126" w:type="dxa"/>
            <w:vMerge/>
          </w:tcPr>
          <w:p w14:paraId="0C558C58" w14:textId="77777777" w:rsidR="004D1935" w:rsidRDefault="004D1935" w:rsidP="00E24DC9"/>
        </w:tc>
        <w:tc>
          <w:tcPr>
            <w:tcW w:w="1418" w:type="dxa"/>
            <w:vMerge/>
          </w:tcPr>
          <w:p w14:paraId="48F5B242" w14:textId="77777777" w:rsidR="004D1935" w:rsidRDefault="004D1935" w:rsidP="00E24DC9"/>
        </w:tc>
        <w:tc>
          <w:tcPr>
            <w:tcW w:w="7513" w:type="dxa"/>
            <w:vMerge/>
          </w:tcPr>
          <w:p w14:paraId="14C460DA" w14:textId="77777777" w:rsidR="004D1935" w:rsidRDefault="004D1935" w:rsidP="00E24DC9"/>
        </w:tc>
      </w:tr>
      <w:tr w:rsidR="004D1935" w14:paraId="4211EBAB" w14:textId="77777777" w:rsidTr="00E24DC9">
        <w:tc>
          <w:tcPr>
            <w:tcW w:w="709" w:type="dxa"/>
            <w:vMerge/>
          </w:tcPr>
          <w:p w14:paraId="1F09E524" w14:textId="77777777" w:rsidR="004D1935" w:rsidRDefault="004D1935" w:rsidP="00E24DC9"/>
        </w:tc>
        <w:tc>
          <w:tcPr>
            <w:tcW w:w="850" w:type="dxa"/>
            <w:tcBorders>
              <w:top w:val="nil"/>
              <w:bottom w:val="nil"/>
            </w:tcBorders>
            <w:vAlign w:val="bottom"/>
          </w:tcPr>
          <w:p w14:paraId="59A867D3"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212.2914</w:t>
            </w:r>
          </w:p>
        </w:tc>
        <w:tc>
          <w:tcPr>
            <w:tcW w:w="2411" w:type="dxa"/>
            <w:vMerge/>
          </w:tcPr>
          <w:p w14:paraId="2CA3EA03" w14:textId="77777777" w:rsidR="004D1935" w:rsidRDefault="004D1935" w:rsidP="00E24DC9"/>
        </w:tc>
        <w:tc>
          <w:tcPr>
            <w:tcW w:w="2126" w:type="dxa"/>
            <w:vMerge/>
          </w:tcPr>
          <w:p w14:paraId="27553F32" w14:textId="77777777" w:rsidR="004D1935" w:rsidRDefault="004D1935" w:rsidP="00E24DC9"/>
        </w:tc>
        <w:tc>
          <w:tcPr>
            <w:tcW w:w="1418" w:type="dxa"/>
            <w:vMerge/>
          </w:tcPr>
          <w:p w14:paraId="0C662D4B" w14:textId="77777777" w:rsidR="004D1935" w:rsidRDefault="004D1935" w:rsidP="00E24DC9"/>
        </w:tc>
        <w:tc>
          <w:tcPr>
            <w:tcW w:w="7513" w:type="dxa"/>
            <w:vMerge/>
          </w:tcPr>
          <w:p w14:paraId="46E45EB4" w14:textId="77777777" w:rsidR="004D1935" w:rsidRDefault="004D1935" w:rsidP="00E24DC9"/>
        </w:tc>
      </w:tr>
      <w:tr w:rsidR="004D1935" w14:paraId="4FBD912A" w14:textId="77777777" w:rsidTr="00E24DC9">
        <w:tc>
          <w:tcPr>
            <w:tcW w:w="709" w:type="dxa"/>
            <w:vMerge/>
          </w:tcPr>
          <w:p w14:paraId="448AD583" w14:textId="77777777" w:rsidR="004D1935" w:rsidRDefault="004D1935" w:rsidP="00E24DC9"/>
        </w:tc>
        <w:tc>
          <w:tcPr>
            <w:tcW w:w="850" w:type="dxa"/>
            <w:tcBorders>
              <w:top w:val="nil"/>
              <w:bottom w:val="nil"/>
            </w:tcBorders>
            <w:vAlign w:val="bottom"/>
          </w:tcPr>
          <w:p w14:paraId="1D2DECFE"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212.1439</w:t>
            </w:r>
          </w:p>
        </w:tc>
        <w:tc>
          <w:tcPr>
            <w:tcW w:w="2411" w:type="dxa"/>
            <w:vMerge/>
          </w:tcPr>
          <w:p w14:paraId="05E97D0E" w14:textId="77777777" w:rsidR="004D1935" w:rsidRDefault="004D1935" w:rsidP="00E24DC9"/>
        </w:tc>
        <w:tc>
          <w:tcPr>
            <w:tcW w:w="2126" w:type="dxa"/>
            <w:vMerge/>
          </w:tcPr>
          <w:p w14:paraId="696F3F13" w14:textId="77777777" w:rsidR="004D1935" w:rsidRDefault="004D1935" w:rsidP="00E24DC9"/>
        </w:tc>
        <w:tc>
          <w:tcPr>
            <w:tcW w:w="1418" w:type="dxa"/>
            <w:vMerge/>
          </w:tcPr>
          <w:p w14:paraId="6BD3B68F" w14:textId="77777777" w:rsidR="004D1935" w:rsidRDefault="004D1935" w:rsidP="00E24DC9"/>
        </w:tc>
        <w:tc>
          <w:tcPr>
            <w:tcW w:w="7513" w:type="dxa"/>
            <w:vMerge/>
          </w:tcPr>
          <w:p w14:paraId="340F730D" w14:textId="77777777" w:rsidR="004D1935" w:rsidRDefault="004D1935" w:rsidP="00E24DC9"/>
        </w:tc>
      </w:tr>
      <w:tr w:rsidR="004D1935" w14:paraId="49578492" w14:textId="77777777" w:rsidTr="00E24DC9">
        <w:tc>
          <w:tcPr>
            <w:tcW w:w="709" w:type="dxa"/>
            <w:vMerge/>
          </w:tcPr>
          <w:p w14:paraId="3676D120" w14:textId="77777777" w:rsidR="004D1935" w:rsidRDefault="004D1935" w:rsidP="00E24DC9"/>
        </w:tc>
        <w:tc>
          <w:tcPr>
            <w:tcW w:w="850" w:type="dxa"/>
            <w:tcBorders>
              <w:top w:val="nil"/>
              <w:bottom w:val="nil"/>
            </w:tcBorders>
            <w:vAlign w:val="bottom"/>
          </w:tcPr>
          <w:p w14:paraId="07417C70"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212.1863</w:t>
            </w:r>
          </w:p>
        </w:tc>
        <w:tc>
          <w:tcPr>
            <w:tcW w:w="2411" w:type="dxa"/>
            <w:vMerge/>
          </w:tcPr>
          <w:p w14:paraId="764F96EC" w14:textId="77777777" w:rsidR="004D1935" w:rsidRDefault="004D1935" w:rsidP="00E24DC9"/>
        </w:tc>
        <w:tc>
          <w:tcPr>
            <w:tcW w:w="2126" w:type="dxa"/>
            <w:vMerge/>
          </w:tcPr>
          <w:p w14:paraId="665DCB73" w14:textId="77777777" w:rsidR="004D1935" w:rsidRDefault="004D1935" w:rsidP="00E24DC9"/>
        </w:tc>
        <w:tc>
          <w:tcPr>
            <w:tcW w:w="1418" w:type="dxa"/>
            <w:vMerge/>
          </w:tcPr>
          <w:p w14:paraId="3752F463" w14:textId="77777777" w:rsidR="004D1935" w:rsidRDefault="004D1935" w:rsidP="00E24DC9"/>
        </w:tc>
        <w:tc>
          <w:tcPr>
            <w:tcW w:w="7513" w:type="dxa"/>
            <w:vMerge/>
          </w:tcPr>
          <w:p w14:paraId="04764C3D" w14:textId="77777777" w:rsidR="004D1935" w:rsidRDefault="004D1935" w:rsidP="00E24DC9"/>
        </w:tc>
      </w:tr>
      <w:tr w:rsidR="004D1935" w14:paraId="79690949" w14:textId="77777777" w:rsidTr="00E24DC9">
        <w:tc>
          <w:tcPr>
            <w:tcW w:w="709" w:type="dxa"/>
            <w:vMerge/>
          </w:tcPr>
          <w:p w14:paraId="3D85A8A9" w14:textId="77777777" w:rsidR="004D1935" w:rsidRDefault="004D1935" w:rsidP="00E24DC9"/>
        </w:tc>
        <w:tc>
          <w:tcPr>
            <w:tcW w:w="850" w:type="dxa"/>
            <w:tcBorders>
              <w:top w:val="nil"/>
              <w:bottom w:val="nil"/>
            </w:tcBorders>
            <w:vAlign w:val="bottom"/>
          </w:tcPr>
          <w:p w14:paraId="4BA42A25"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212.2198</w:t>
            </w:r>
          </w:p>
        </w:tc>
        <w:tc>
          <w:tcPr>
            <w:tcW w:w="2411" w:type="dxa"/>
            <w:vMerge/>
          </w:tcPr>
          <w:p w14:paraId="73F1A39B" w14:textId="77777777" w:rsidR="004D1935" w:rsidRDefault="004D1935" w:rsidP="00E24DC9"/>
        </w:tc>
        <w:tc>
          <w:tcPr>
            <w:tcW w:w="2126" w:type="dxa"/>
            <w:vMerge/>
          </w:tcPr>
          <w:p w14:paraId="181E6D2B" w14:textId="77777777" w:rsidR="004D1935" w:rsidRDefault="004D1935" w:rsidP="00E24DC9"/>
        </w:tc>
        <w:tc>
          <w:tcPr>
            <w:tcW w:w="1418" w:type="dxa"/>
            <w:vMerge/>
          </w:tcPr>
          <w:p w14:paraId="624EC7D6" w14:textId="77777777" w:rsidR="004D1935" w:rsidRDefault="004D1935" w:rsidP="00E24DC9"/>
        </w:tc>
        <w:tc>
          <w:tcPr>
            <w:tcW w:w="7513" w:type="dxa"/>
            <w:vMerge/>
          </w:tcPr>
          <w:p w14:paraId="035545F2" w14:textId="77777777" w:rsidR="004D1935" w:rsidRDefault="004D1935" w:rsidP="00E24DC9"/>
        </w:tc>
      </w:tr>
      <w:tr w:rsidR="004D1935" w14:paraId="0EE953E0" w14:textId="77777777" w:rsidTr="00E24DC9">
        <w:tc>
          <w:tcPr>
            <w:tcW w:w="709" w:type="dxa"/>
            <w:vMerge/>
          </w:tcPr>
          <w:p w14:paraId="4D963473" w14:textId="77777777" w:rsidR="004D1935" w:rsidRDefault="004D1935" w:rsidP="00E24DC9"/>
        </w:tc>
        <w:tc>
          <w:tcPr>
            <w:tcW w:w="850" w:type="dxa"/>
            <w:tcBorders>
              <w:top w:val="nil"/>
              <w:bottom w:val="nil"/>
            </w:tcBorders>
            <w:vAlign w:val="bottom"/>
          </w:tcPr>
          <w:p w14:paraId="16670528"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212.1350</w:t>
            </w:r>
          </w:p>
        </w:tc>
        <w:tc>
          <w:tcPr>
            <w:tcW w:w="2411" w:type="dxa"/>
            <w:vMerge/>
          </w:tcPr>
          <w:p w14:paraId="093DA028" w14:textId="77777777" w:rsidR="004D1935" w:rsidRDefault="004D1935" w:rsidP="00E24DC9"/>
        </w:tc>
        <w:tc>
          <w:tcPr>
            <w:tcW w:w="2126" w:type="dxa"/>
            <w:vMerge/>
          </w:tcPr>
          <w:p w14:paraId="1C35E318" w14:textId="77777777" w:rsidR="004D1935" w:rsidRDefault="004D1935" w:rsidP="00E24DC9"/>
        </w:tc>
        <w:tc>
          <w:tcPr>
            <w:tcW w:w="1418" w:type="dxa"/>
            <w:vMerge/>
          </w:tcPr>
          <w:p w14:paraId="5A55CAE9" w14:textId="77777777" w:rsidR="004D1935" w:rsidRDefault="004D1935" w:rsidP="00E24DC9"/>
        </w:tc>
        <w:tc>
          <w:tcPr>
            <w:tcW w:w="7513" w:type="dxa"/>
            <w:vMerge/>
          </w:tcPr>
          <w:p w14:paraId="28563984" w14:textId="77777777" w:rsidR="004D1935" w:rsidRDefault="004D1935" w:rsidP="00E24DC9"/>
        </w:tc>
      </w:tr>
      <w:tr w:rsidR="004D1935" w14:paraId="0DFC78EE" w14:textId="77777777" w:rsidTr="00E24DC9">
        <w:tc>
          <w:tcPr>
            <w:tcW w:w="709" w:type="dxa"/>
            <w:vMerge/>
          </w:tcPr>
          <w:p w14:paraId="28436077" w14:textId="77777777" w:rsidR="004D1935" w:rsidRDefault="004D1935" w:rsidP="00E24DC9"/>
        </w:tc>
        <w:tc>
          <w:tcPr>
            <w:tcW w:w="850" w:type="dxa"/>
            <w:tcBorders>
              <w:top w:val="nil"/>
              <w:bottom w:val="nil"/>
            </w:tcBorders>
            <w:vAlign w:val="bottom"/>
          </w:tcPr>
          <w:p w14:paraId="3BD86F86"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212.1819</w:t>
            </w:r>
          </w:p>
        </w:tc>
        <w:tc>
          <w:tcPr>
            <w:tcW w:w="2411" w:type="dxa"/>
            <w:vMerge/>
          </w:tcPr>
          <w:p w14:paraId="793B4DA7" w14:textId="77777777" w:rsidR="004D1935" w:rsidRDefault="004D1935" w:rsidP="00E24DC9"/>
        </w:tc>
        <w:tc>
          <w:tcPr>
            <w:tcW w:w="2126" w:type="dxa"/>
            <w:vMerge/>
          </w:tcPr>
          <w:p w14:paraId="731F0809" w14:textId="77777777" w:rsidR="004D1935" w:rsidRDefault="004D1935" w:rsidP="00E24DC9"/>
        </w:tc>
        <w:tc>
          <w:tcPr>
            <w:tcW w:w="1418" w:type="dxa"/>
            <w:vMerge/>
          </w:tcPr>
          <w:p w14:paraId="08843197" w14:textId="77777777" w:rsidR="004D1935" w:rsidRDefault="004D1935" w:rsidP="00E24DC9"/>
        </w:tc>
        <w:tc>
          <w:tcPr>
            <w:tcW w:w="7513" w:type="dxa"/>
            <w:vMerge/>
          </w:tcPr>
          <w:p w14:paraId="526F2C1F" w14:textId="77777777" w:rsidR="004D1935" w:rsidRDefault="004D1935" w:rsidP="00E24DC9"/>
        </w:tc>
      </w:tr>
      <w:tr w:rsidR="004D1935" w14:paraId="1FDCB5C5" w14:textId="77777777" w:rsidTr="00E24DC9">
        <w:tc>
          <w:tcPr>
            <w:tcW w:w="709" w:type="dxa"/>
            <w:vMerge/>
          </w:tcPr>
          <w:p w14:paraId="29B809DF" w14:textId="77777777" w:rsidR="004D1935" w:rsidRDefault="004D1935" w:rsidP="00E24DC9"/>
        </w:tc>
        <w:tc>
          <w:tcPr>
            <w:tcW w:w="850" w:type="dxa"/>
            <w:tcBorders>
              <w:top w:val="nil"/>
              <w:bottom w:val="nil"/>
            </w:tcBorders>
            <w:vAlign w:val="bottom"/>
          </w:tcPr>
          <w:p w14:paraId="145F6776"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212.2154</w:t>
            </w:r>
          </w:p>
        </w:tc>
        <w:tc>
          <w:tcPr>
            <w:tcW w:w="2411" w:type="dxa"/>
            <w:vMerge/>
          </w:tcPr>
          <w:p w14:paraId="2B10DD3B" w14:textId="77777777" w:rsidR="004D1935" w:rsidRDefault="004D1935" w:rsidP="00E24DC9"/>
        </w:tc>
        <w:tc>
          <w:tcPr>
            <w:tcW w:w="2126" w:type="dxa"/>
            <w:vMerge/>
          </w:tcPr>
          <w:p w14:paraId="4103DF39" w14:textId="77777777" w:rsidR="004D1935" w:rsidRDefault="004D1935" w:rsidP="00E24DC9"/>
        </w:tc>
        <w:tc>
          <w:tcPr>
            <w:tcW w:w="1418" w:type="dxa"/>
            <w:vMerge/>
          </w:tcPr>
          <w:p w14:paraId="4C976FCA" w14:textId="77777777" w:rsidR="004D1935" w:rsidRDefault="004D1935" w:rsidP="00E24DC9"/>
        </w:tc>
        <w:tc>
          <w:tcPr>
            <w:tcW w:w="7513" w:type="dxa"/>
            <w:vMerge/>
          </w:tcPr>
          <w:p w14:paraId="68A8694E" w14:textId="77777777" w:rsidR="004D1935" w:rsidRDefault="004D1935" w:rsidP="00E24DC9"/>
        </w:tc>
      </w:tr>
      <w:tr w:rsidR="004D1935" w14:paraId="309DB7B3" w14:textId="77777777" w:rsidTr="00E24DC9">
        <w:tc>
          <w:tcPr>
            <w:tcW w:w="709" w:type="dxa"/>
            <w:vMerge/>
          </w:tcPr>
          <w:p w14:paraId="713617A3" w14:textId="77777777" w:rsidR="004D1935" w:rsidRDefault="004D1935" w:rsidP="00E24DC9"/>
        </w:tc>
        <w:tc>
          <w:tcPr>
            <w:tcW w:w="850" w:type="dxa"/>
            <w:tcBorders>
              <w:top w:val="nil"/>
              <w:bottom w:val="nil"/>
            </w:tcBorders>
            <w:vAlign w:val="bottom"/>
          </w:tcPr>
          <w:p w14:paraId="4335B696"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212.2490</w:t>
            </w:r>
          </w:p>
        </w:tc>
        <w:tc>
          <w:tcPr>
            <w:tcW w:w="2411" w:type="dxa"/>
            <w:vMerge/>
          </w:tcPr>
          <w:p w14:paraId="7EAA6165" w14:textId="77777777" w:rsidR="004D1935" w:rsidRDefault="004D1935" w:rsidP="00E24DC9"/>
        </w:tc>
        <w:tc>
          <w:tcPr>
            <w:tcW w:w="2126" w:type="dxa"/>
            <w:vMerge/>
          </w:tcPr>
          <w:p w14:paraId="696755C7" w14:textId="77777777" w:rsidR="004D1935" w:rsidRDefault="004D1935" w:rsidP="00E24DC9"/>
        </w:tc>
        <w:tc>
          <w:tcPr>
            <w:tcW w:w="1418" w:type="dxa"/>
            <w:vMerge/>
          </w:tcPr>
          <w:p w14:paraId="3C529753" w14:textId="77777777" w:rsidR="004D1935" w:rsidRDefault="004D1935" w:rsidP="00E24DC9"/>
        </w:tc>
        <w:tc>
          <w:tcPr>
            <w:tcW w:w="7513" w:type="dxa"/>
            <w:vMerge/>
          </w:tcPr>
          <w:p w14:paraId="4784116F" w14:textId="77777777" w:rsidR="004D1935" w:rsidRDefault="004D1935" w:rsidP="00E24DC9"/>
        </w:tc>
      </w:tr>
      <w:tr w:rsidR="004D1935" w14:paraId="170C3814" w14:textId="77777777" w:rsidTr="00E24DC9">
        <w:tc>
          <w:tcPr>
            <w:tcW w:w="709" w:type="dxa"/>
            <w:vMerge/>
          </w:tcPr>
          <w:p w14:paraId="2D9D28D8" w14:textId="77777777" w:rsidR="004D1935" w:rsidRDefault="004D1935" w:rsidP="00E24DC9"/>
        </w:tc>
        <w:tc>
          <w:tcPr>
            <w:tcW w:w="850" w:type="dxa"/>
            <w:tcBorders>
              <w:top w:val="nil"/>
              <w:bottom w:val="nil"/>
            </w:tcBorders>
            <w:vAlign w:val="bottom"/>
          </w:tcPr>
          <w:p w14:paraId="01349FA5"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212.2847</w:t>
            </w:r>
          </w:p>
        </w:tc>
        <w:tc>
          <w:tcPr>
            <w:tcW w:w="2411" w:type="dxa"/>
            <w:vMerge/>
          </w:tcPr>
          <w:p w14:paraId="5ADD20C1" w14:textId="77777777" w:rsidR="004D1935" w:rsidRDefault="004D1935" w:rsidP="00E24DC9"/>
        </w:tc>
        <w:tc>
          <w:tcPr>
            <w:tcW w:w="2126" w:type="dxa"/>
            <w:vMerge/>
          </w:tcPr>
          <w:p w14:paraId="703E8592" w14:textId="77777777" w:rsidR="004D1935" w:rsidRDefault="004D1935" w:rsidP="00E24DC9"/>
        </w:tc>
        <w:tc>
          <w:tcPr>
            <w:tcW w:w="1418" w:type="dxa"/>
            <w:vMerge/>
          </w:tcPr>
          <w:p w14:paraId="29972834" w14:textId="77777777" w:rsidR="004D1935" w:rsidRDefault="004D1935" w:rsidP="00E24DC9"/>
        </w:tc>
        <w:tc>
          <w:tcPr>
            <w:tcW w:w="7513" w:type="dxa"/>
            <w:vMerge/>
          </w:tcPr>
          <w:p w14:paraId="26EE179A" w14:textId="77777777" w:rsidR="004D1935" w:rsidRDefault="004D1935" w:rsidP="00E24DC9"/>
        </w:tc>
      </w:tr>
      <w:tr w:rsidR="004D1935" w14:paraId="3B436AEA" w14:textId="77777777" w:rsidTr="00E24DC9">
        <w:tc>
          <w:tcPr>
            <w:tcW w:w="709" w:type="dxa"/>
            <w:vMerge/>
          </w:tcPr>
          <w:p w14:paraId="4AD01588" w14:textId="77777777" w:rsidR="004D1935" w:rsidRDefault="004D1935" w:rsidP="00E24DC9"/>
        </w:tc>
        <w:tc>
          <w:tcPr>
            <w:tcW w:w="850" w:type="dxa"/>
            <w:tcBorders>
              <w:top w:val="nil"/>
              <w:bottom w:val="nil"/>
            </w:tcBorders>
            <w:vAlign w:val="bottom"/>
          </w:tcPr>
          <w:p w14:paraId="2BD6DA13"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212.1327</w:t>
            </w:r>
          </w:p>
        </w:tc>
        <w:tc>
          <w:tcPr>
            <w:tcW w:w="2411" w:type="dxa"/>
            <w:vMerge/>
          </w:tcPr>
          <w:p w14:paraId="6C78D24E" w14:textId="77777777" w:rsidR="004D1935" w:rsidRDefault="004D1935" w:rsidP="00E24DC9"/>
        </w:tc>
        <w:tc>
          <w:tcPr>
            <w:tcW w:w="2126" w:type="dxa"/>
            <w:vMerge/>
          </w:tcPr>
          <w:p w14:paraId="7228FE82" w14:textId="77777777" w:rsidR="004D1935" w:rsidRDefault="004D1935" w:rsidP="00E24DC9"/>
        </w:tc>
        <w:tc>
          <w:tcPr>
            <w:tcW w:w="1418" w:type="dxa"/>
            <w:vMerge/>
          </w:tcPr>
          <w:p w14:paraId="29B8AAF4" w14:textId="77777777" w:rsidR="004D1935" w:rsidRDefault="004D1935" w:rsidP="00E24DC9"/>
        </w:tc>
        <w:tc>
          <w:tcPr>
            <w:tcW w:w="7513" w:type="dxa"/>
            <w:vMerge/>
          </w:tcPr>
          <w:p w14:paraId="2C831182" w14:textId="77777777" w:rsidR="004D1935" w:rsidRDefault="004D1935" w:rsidP="00E24DC9"/>
        </w:tc>
      </w:tr>
      <w:tr w:rsidR="004D1935" w14:paraId="367DAEC4" w14:textId="77777777" w:rsidTr="00E24DC9">
        <w:tc>
          <w:tcPr>
            <w:tcW w:w="709" w:type="dxa"/>
            <w:vMerge/>
          </w:tcPr>
          <w:p w14:paraId="24695FD0" w14:textId="77777777" w:rsidR="004D1935" w:rsidRDefault="004D1935" w:rsidP="00E24DC9"/>
        </w:tc>
        <w:tc>
          <w:tcPr>
            <w:tcW w:w="850" w:type="dxa"/>
            <w:tcBorders>
              <w:top w:val="nil"/>
              <w:bottom w:val="nil"/>
            </w:tcBorders>
            <w:vAlign w:val="bottom"/>
          </w:tcPr>
          <w:p w14:paraId="798D6901"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212.1796</w:t>
            </w:r>
          </w:p>
        </w:tc>
        <w:tc>
          <w:tcPr>
            <w:tcW w:w="2411" w:type="dxa"/>
            <w:vMerge/>
          </w:tcPr>
          <w:p w14:paraId="41023F47" w14:textId="77777777" w:rsidR="004D1935" w:rsidRDefault="004D1935" w:rsidP="00E24DC9"/>
        </w:tc>
        <w:tc>
          <w:tcPr>
            <w:tcW w:w="2126" w:type="dxa"/>
            <w:vMerge/>
          </w:tcPr>
          <w:p w14:paraId="0E4260A3" w14:textId="77777777" w:rsidR="004D1935" w:rsidRDefault="004D1935" w:rsidP="00E24DC9"/>
        </w:tc>
        <w:tc>
          <w:tcPr>
            <w:tcW w:w="1418" w:type="dxa"/>
            <w:vMerge/>
          </w:tcPr>
          <w:p w14:paraId="2381F887" w14:textId="77777777" w:rsidR="004D1935" w:rsidRDefault="004D1935" w:rsidP="00E24DC9"/>
        </w:tc>
        <w:tc>
          <w:tcPr>
            <w:tcW w:w="7513" w:type="dxa"/>
            <w:vMerge/>
          </w:tcPr>
          <w:p w14:paraId="4C280612" w14:textId="77777777" w:rsidR="004D1935" w:rsidRDefault="004D1935" w:rsidP="00E24DC9"/>
        </w:tc>
      </w:tr>
      <w:tr w:rsidR="004D1935" w14:paraId="65C6B348" w14:textId="77777777" w:rsidTr="00E24DC9">
        <w:tc>
          <w:tcPr>
            <w:tcW w:w="709" w:type="dxa"/>
            <w:vMerge/>
          </w:tcPr>
          <w:p w14:paraId="0EA660F5" w14:textId="77777777" w:rsidR="004D1935" w:rsidRDefault="004D1935" w:rsidP="00E24DC9"/>
        </w:tc>
        <w:tc>
          <w:tcPr>
            <w:tcW w:w="850" w:type="dxa"/>
            <w:tcBorders>
              <w:top w:val="nil"/>
              <w:bottom w:val="nil"/>
            </w:tcBorders>
            <w:vAlign w:val="bottom"/>
          </w:tcPr>
          <w:p w14:paraId="1FE262FC"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212.2131</w:t>
            </w:r>
          </w:p>
        </w:tc>
        <w:tc>
          <w:tcPr>
            <w:tcW w:w="2411" w:type="dxa"/>
            <w:vMerge/>
          </w:tcPr>
          <w:p w14:paraId="4AFC1811" w14:textId="77777777" w:rsidR="004D1935" w:rsidRDefault="004D1935" w:rsidP="00E24DC9"/>
        </w:tc>
        <w:tc>
          <w:tcPr>
            <w:tcW w:w="2126" w:type="dxa"/>
            <w:vMerge/>
          </w:tcPr>
          <w:p w14:paraId="443418B2" w14:textId="77777777" w:rsidR="004D1935" w:rsidRDefault="004D1935" w:rsidP="00E24DC9"/>
        </w:tc>
        <w:tc>
          <w:tcPr>
            <w:tcW w:w="1418" w:type="dxa"/>
            <w:vMerge/>
          </w:tcPr>
          <w:p w14:paraId="1DA43A4F" w14:textId="77777777" w:rsidR="004D1935" w:rsidRDefault="004D1935" w:rsidP="00E24DC9"/>
        </w:tc>
        <w:tc>
          <w:tcPr>
            <w:tcW w:w="7513" w:type="dxa"/>
            <w:vMerge/>
          </w:tcPr>
          <w:p w14:paraId="405DB3C7" w14:textId="77777777" w:rsidR="004D1935" w:rsidRDefault="004D1935" w:rsidP="00E24DC9"/>
        </w:tc>
      </w:tr>
      <w:tr w:rsidR="004D1935" w14:paraId="1DA3B71E" w14:textId="77777777" w:rsidTr="00E24DC9">
        <w:tc>
          <w:tcPr>
            <w:tcW w:w="709" w:type="dxa"/>
            <w:vMerge/>
          </w:tcPr>
          <w:p w14:paraId="12D8B0C5" w14:textId="77777777" w:rsidR="004D1935" w:rsidRDefault="004D1935" w:rsidP="00E24DC9"/>
        </w:tc>
        <w:tc>
          <w:tcPr>
            <w:tcW w:w="850" w:type="dxa"/>
            <w:tcBorders>
              <w:top w:val="nil"/>
              <w:bottom w:val="nil"/>
            </w:tcBorders>
            <w:vAlign w:val="bottom"/>
          </w:tcPr>
          <w:p w14:paraId="1E02205A"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212.2467</w:t>
            </w:r>
          </w:p>
        </w:tc>
        <w:tc>
          <w:tcPr>
            <w:tcW w:w="2411" w:type="dxa"/>
            <w:vMerge/>
          </w:tcPr>
          <w:p w14:paraId="529FEBAB" w14:textId="77777777" w:rsidR="004D1935" w:rsidRDefault="004D1935" w:rsidP="00E24DC9"/>
        </w:tc>
        <w:tc>
          <w:tcPr>
            <w:tcW w:w="2126" w:type="dxa"/>
            <w:vMerge/>
          </w:tcPr>
          <w:p w14:paraId="5C20EA31" w14:textId="77777777" w:rsidR="004D1935" w:rsidRDefault="004D1935" w:rsidP="00E24DC9"/>
        </w:tc>
        <w:tc>
          <w:tcPr>
            <w:tcW w:w="1418" w:type="dxa"/>
            <w:vMerge/>
          </w:tcPr>
          <w:p w14:paraId="75C5494B" w14:textId="77777777" w:rsidR="004D1935" w:rsidRDefault="004D1935" w:rsidP="00E24DC9"/>
        </w:tc>
        <w:tc>
          <w:tcPr>
            <w:tcW w:w="7513" w:type="dxa"/>
            <w:vMerge/>
          </w:tcPr>
          <w:p w14:paraId="2C99A6E0" w14:textId="77777777" w:rsidR="004D1935" w:rsidRDefault="004D1935" w:rsidP="00E24DC9"/>
        </w:tc>
      </w:tr>
      <w:tr w:rsidR="004D1935" w14:paraId="034F6E26" w14:textId="77777777" w:rsidTr="00E24DC9">
        <w:tc>
          <w:tcPr>
            <w:tcW w:w="709" w:type="dxa"/>
            <w:vMerge/>
          </w:tcPr>
          <w:p w14:paraId="2CB4C846" w14:textId="77777777" w:rsidR="004D1935" w:rsidRDefault="004D1935" w:rsidP="00E24DC9"/>
        </w:tc>
        <w:tc>
          <w:tcPr>
            <w:tcW w:w="850" w:type="dxa"/>
            <w:tcBorders>
              <w:top w:val="nil"/>
              <w:bottom w:val="nil"/>
            </w:tcBorders>
            <w:vAlign w:val="bottom"/>
          </w:tcPr>
          <w:p w14:paraId="2E73FF1F"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212.2802</w:t>
            </w:r>
          </w:p>
        </w:tc>
        <w:tc>
          <w:tcPr>
            <w:tcW w:w="2411" w:type="dxa"/>
            <w:vMerge/>
          </w:tcPr>
          <w:p w14:paraId="330F0BFF" w14:textId="77777777" w:rsidR="004D1935" w:rsidRDefault="004D1935" w:rsidP="00E24DC9"/>
        </w:tc>
        <w:tc>
          <w:tcPr>
            <w:tcW w:w="2126" w:type="dxa"/>
            <w:vMerge/>
          </w:tcPr>
          <w:p w14:paraId="634C1744" w14:textId="77777777" w:rsidR="004D1935" w:rsidRDefault="004D1935" w:rsidP="00E24DC9"/>
        </w:tc>
        <w:tc>
          <w:tcPr>
            <w:tcW w:w="1418" w:type="dxa"/>
            <w:vMerge/>
          </w:tcPr>
          <w:p w14:paraId="79257F8A" w14:textId="77777777" w:rsidR="004D1935" w:rsidRDefault="004D1935" w:rsidP="00E24DC9"/>
        </w:tc>
        <w:tc>
          <w:tcPr>
            <w:tcW w:w="7513" w:type="dxa"/>
            <w:vMerge/>
          </w:tcPr>
          <w:p w14:paraId="2E9ACA4B" w14:textId="77777777" w:rsidR="004D1935" w:rsidRDefault="004D1935" w:rsidP="00E24DC9"/>
        </w:tc>
      </w:tr>
      <w:tr w:rsidR="004D1935" w14:paraId="4C5747D0" w14:textId="77777777" w:rsidTr="00E24DC9">
        <w:tc>
          <w:tcPr>
            <w:tcW w:w="709" w:type="dxa"/>
            <w:vMerge/>
          </w:tcPr>
          <w:p w14:paraId="1941658C" w14:textId="77777777" w:rsidR="004D1935" w:rsidRDefault="004D1935" w:rsidP="00E24DC9"/>
        </w:tc>
        <w:tc>
          <w:tcPr>
            <w:tcW w:w="850" w:type="dxa"/>
            <w:tcBorders>
              <w:top w:val="nil"/>
              <w:bottom w:val="nil"/>
            </w:tcBorders>
            <w:vAlign w:val="bottom"/>
          </w:tcPr>
          <w:p w14:paraId="7CE1791C"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212.1685</w:t>
            </w:r>
          </w:p>
        </w:tc>
        <w:tc>
          <w:tcPr>
            <w:tcW w:w="2411" w:type="dxa"/>
            <w:vMerge/>
          </w:tcPr>
          <w:p w14:paraId="70F0226D" w14:textId="77777777" w:rsidR="004D1935" w:rsidRDefault="004D1935" w:rsidP="00E24DC9"/>
        </w:tc>
        <w:tc>
          <w:tcPr>
            <w:tcW w:w="2126" w:type="dxa"/>
            <w:vMerge/>
          </w:tcPr>
          <w:p w14:paraId="4765A828" w14:textId="77777777" w:rsidR="004D1935" w:rsidRDefault="004D1935" w:rsidP="00E24DC9"/>
        </w:tc>
        <w:tc>
          <w:tcPr>
            <w:tcW w:w="1418" w:type="dxa"/>
            <w:vMerge/>
          </w:tcPr>
          <w:p w14:paraId="21F0EA6A" w14:textId="77777777" w:rsidR="004D1935" w:rsidRDefault="004D1935" w:rsidP="00E24DC9"/>
        </w:tc>
        <w:tc>
          <w:tcPr>
            <w:tcW w:w="7513" w:type="dxa"/>
            <w:vMerge/>
          </w:tcPr>
          <w:p w14:paraId="325D9CDB" w14:textId="77777777" w:rsidR="004D1935" w:rsidRDefault="004D1935" w:rsidP="00E24DC9"/>
        </w:tc>
      </w:tr>
      <w:tr w:rsidR="004D1935" w14:paraId="1D5652C5" w14:textId="77777777" w:rsidTr="00E24DC9">
        <w:tc>
          <w:tcPr>
            <w:tcW w:w="709" w:type="dxa"/>
            <w:vMerge/>
          </w:tcPr>
          <w:p w14:paraId="4B6AD0A0" w14:textId="77777777" w:rsidR="004D1935" w:rsidRDefault="004D1935" w:rsidP="00E24DC9"/>
        </w:tc>
        <w:tc>
          <w:tcPr>
            <w:tcW w:w="850" w:type="dxa"/>
            <w:tcBorders>
              <w:top w:val="nil"/>
              <w:bottom w:val="nil"/>
            </w:tcBorders>
            <w:vAlign w:val="bottom"/>
          </w:tcPr>
          <w:p w14:paraId="5BD270B3"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212.2020</w:t>
            </w:r>
          </w:p>
        </w:tc>
        <w:tc>
          <w:tcPr>
            <w:tcW w:w="2411" w:type="dxa"/>
            <w:vMerge/>
          </w:tcPr>
          <w:p w14:paraId="333A766B" w14:textId="77777777" w:rsidR="004D1935" w:rsidRDefault="004D1935" w:rsidP="00E24DC9"/>
        </w:tc>
        <w:tc>
          <w:tcPr>
            <w:tcW w:w="2126" w:type="dxa"/>
            <w:vMerge/>
          </w:tcPr>
          <w:p w14:paraId="64DDB638" w14:textId="77777777" w:rsidR="004D1935" w:rsidRDefault="004D1935" w:rsidP="00E24DC9"/>
        </w:tc>
        <w:tc>
          <w:tcPr>
            <w:tcW w:w="1418" w:type="dxa"/>
            <w:vMerge/>
          </w:tcPr>
          <w:p w14:paraId="28A469E5" w14:textId="77777777" w:rsidR="004D1935" w:rsidRDefault="004D1935" w:rsidP="00E24DC9"/>
        </w:tc>
        <w:tc>
          <w:tcPr>
            <w:tcW w:w="7513" w:type="dxa"/>
            <w:vMerge/>
          </w:tcPr>
          <w:p w14:paraId="467F5114" w14:textId="77777777" w:rsidR="004D1935" w:rsidRDefault="004D1935" w:rsidP="00E24DC9"/>
        </w:tc>
      </w:tr>
      <w:tr w:rsidR="004D1935" w14:paraId="4F7F81A1" w14:textId="77777777" w:rsidTr="00E24DC9">
        <w:tc>
          <w:tcPr>
            <w:tcW w:w="709" w:type="dxa"/>
            <w:vMerge/>
          </w:tcPr>
          <w:p w14:paraId="13B215A1" w14:textId="77777777" w:rsidR="004D1935" w:rsidRDefault="004D1935" w:rsidP="00E24DC9"/>
        </w:tc>
        <w:tc>
          <w:tcPr>
            <w:tcW w:w="850" w:type="dxa"/>
            <w:tcBorders>
              <w:top w:val="nil"/>
              <w:bottom w:val="nil"/>
            </w:tcBorders>
            <w:vAlign w:val="bottom"/>
          </w:tcPr>
          <w:p w14:paraId="31F46E99"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212.2355</w:t>
            </w:r>
          </w:p>
        </w:tc>
        <w:tc>
          <w:tcPr>
            <w:tcW w:w="2411" w:type="dxa"/>
            <w:vMerge/>
          </w:tcPr>
          <w:p w14:paraId="0943A466" w14:textId="77777777" w:rsidR="004D1935" w:rsidRDefault="004D1935" w:rsidP="00E24DC9"/>
        </w:tc>
        <w:tc>
          <w:tcPr>
            <w:tcW w:w="2126" w:type="dxa"/>
            <w:vMerge/>
          </w:tcPr>
          <w:p w14:paraId="0306951B" w14:textId="77777777" w:rsidR="004D1935" w:rsidRDefault="004D1935" w:rsidP="00E24DC9"/>
        </w:tc>
        <w:tc>
          <w:tcPr>
            <w:tcW w:w="1418" w:type="dxa"/>
            <w:vMerge/>
          </w:tcPr>
          <w:p w14:paraId="2E92DB31" w14:textId="77777777" w:rsidR="004D1935" w:rsidRDefault="004D1935" w:rsidP="00E24DC9"/>
        </w:tc>
        <w:tc>
          <w:tcPr>
            <w:tcW w:w="7513" w:type="dxa"/>
            <w:vMerge/>
          </w:tcPr>
          <w:p w14:paraId="52EFAAFD" w14:textId="77777777" w:rsidR="004D1935" w:rsidRDefault="004D1935" w:rsidP="00E24DC9"/>
        </w:tc>
      </w:tr>
      <w:tr w:rsidR="004D1935" w14:paraId="394E5664" w14:textId="77777777" w:rsidTr="00E24DC9">
        <w:tc>
          <w:tcPr>
            <w:tcW w:w="709" w:type="dxa"/>
            <w:vMerge/>
          </w:tcPr>
          <w:p w14:paraId="699CCF88" w14:textId="77777777" w:rsidR="004D1935" w:rsidRDefault="004D1935" w:rsidP="00E24DC9"/>
        </w:tc>
        <w:tc>
          <w:tcPr>
            <w:tcW w:w="850" w:type="dxa"/>
            <w:tcBorders>
              <w:top w:val="nil"/>
              <w:bottom w:val="nil"/>
            </w:tcBorders>
            <w:vAlign w:val="bottom"/>
          </w:tcPr>
          <w:p w14:paraId="3FD290A3"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212.2691</w:t>
            </w:r>
          </w:p>
        </w:tc>
        <w:tc>
          <w:tcPr>
            <w:tcW w:w="2411" w:type="dxa"/>
            <w:vMerge/>
          </w:tcPr>
          <w:p w14:paraId="0C039D34" w14:textId="77777777" w:rsidR="004D1935" w:rsidRDefault="004D1935" w:rsidP="00E24DC9"/>
        </w:tc>
        <w:tc>
          <w:tcPr>
            <w:tcW w:w="2126" w:type="dxa"/>
            <w:vMerge/>
          </w:tcPr>
          <w:p w14:paraId="01B27B28" w14:textId="77777777" w:rsidR="004D1935" w:rsidRDefault="004D1935" w:rsidP="00E24DC9"/>
        </w:tc>
        <w:tc>
          <w:tcPr>
            <w:tcW w:w="1418" w:type="dxa"/>
            <w:vMerge/>
          </w:tcPr>
          <w:p w14:paraId="372B67E7" w14:textId="77777777" w:rsidR="004D1935" w:rsidRDefault="004D1935" w:rsidP="00E24DC9"/>
        </w:tc>
        <w:tc>
          <w:tcPr>
            <w:tcW w:w="7513" w:type="dxa"/>
            <w:vMerge/>
          </w:tcPr>
          <w:p w14:paraId="173DCF81" w14:textId="77777777" w:rsidR="004D1935" w:rsidRDefault="004D1935" w:rsidP="00E24DC9"/>
        </w:tc>
      </w:tr>
      <w:tr w:rsidR="004D1935" w14:paraId="25489DA8" w14:textId="77777777" w:rsidTr="00E24DC9">
        <w:tc>
          <w:tcPr>
            <w:tcW w:w="709" w:type="dxa"/>
            <w:vMerge/>
          </w:tcPr>
          <w:p w14:paraId="0D54FB98" w14:textId="77777777" w:rsidR="004D1935" w:rsidRDefault="004D1935" w:rsidP="00E24DC9"/>
        </w:tc>
        <w:tc>
          <w:tcPr>
            <w:tcW w:w="850" w:type="dxa"/>
            <w:tcBorders>
              <w:top w:val="nil"/>
              <w:bottom w:val="nil"/>
            </w:tcBorders>
            <w:vAlign w:val="bottom"/>
          </w:tcPr>
          <w:p w14:paraId="1044B1B7"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212.3026</w:t>
            </w:r>
          </w:p>
        </w:tc>
        <w:tc>
          <w:tcPr>
            <w:tcW w:w="2411" w:type="dxa"/>
            <w:vMerge/>
          </w:tcPr>
          <w:p w14:paraId="36627580" w14:textId="77777777" w:rsidR="004D1935" w:rsidRDefault="004D1935" w:rsidP="00E24DC9"/>
        </w:tc>
        <w:tc>
          <w:tcPr>
            <w:tcW w:w="2126" w:type="dxa"/>
            <w:vMerge/>
          </w:tcPr>
          <w:p w14:paraId="7A4275EE" w14:textId="77777777" w:rsidR="004D1935" w:rsidRDefault="004D1935" w:rsidP="00E24DC9"/>
        </w:tc>
        <w:tc>
          <w:tcPr>
            <w:tcW w:w="1418" w:type="dxa"/>
            <w:vMerge/>
          </w:tcPr>
          <w:p w14:paraId="62B321C5" w14:textId="77777777" w:rsidR="004D1935" w:rsidRDefault="004D1935" w:rsidP="00E24DC9"/>
        </w:tc>
        <w:tc>
          <w:tcPr>
            <w:tcW w:w="7513" w:type="dxa"/>
            <w:vMerge/>
          </w:tcPr>
          <w:p w14:paraId="0D237B94" w14:textId="77777777" w:rsidR="004D1935" w:rsidRDefault="004D1935" w:rsidP="00E24DC9"/>
        </w:tc>
      </w:tr>
      <w:tr w:rsidR="004D1935" w14:paraId="565D0DBA" w14:textId="77777777" w:rsidTr="00E24DC9">
        <w:tc>
          <w:tcPr>
            <w:tcW w:w="709" w:type="dxa"/>
            <w:vMerge/>
          </w:tcPr>
          <w:p w14:paraId="6DD4F50B" w14:textId="77777777" w:rsidR="004D1935" w:rsidRDefault="004D1935" w:rsidP="00E24DC9"/>
        </w:tc>
        <w:tc>
          <w:tcPr>
            <w:tcW w:w="850" w:type="dxa"/>
            <w:tcBorders>
              <w:top w:val="nil"/>
              <w:bottom w:val="nil"/>
            </w:tcBorders>
            <w:vAlign w:val="bottom"/>
          </w:tcPr>
          <w:p w14:paraId="1DC99DFC"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212.1372</w:t>
            </w:r>
          </w:p>
        </w:tc>
        <w:tc>
          <w:tcPr>
            <w:tcW w:w="2411" w:type="dxa"/>
            <w:vMerge/>
          </w:tcPr>
          <w:p w14:paraId="5ABE911B" w14:textId="77777777" w:rsidR="004D1935" w:rsidRDefault="004D1935" w:rsidP="00E24DC9"/>
        </w:tc>
        <w:tc>
          <w:tcPr>
            <w:tcW w:w="2126" w:type="dxa"/>
            <w:vMerge/>
          </w:tcPr>
          <w:p w14:paraId="5BD19A5D" w14:textId="77777777" w:rsidR="004D1935" w:rsidRDefault="004D1935" w:rsidP="00E24DC9"/>
        </w:tc>
        <w:tc>
          <w:tcPr>
            <w:tcW w:w="1418" w:type="dxa"/>
            <w:vMerge/>
          </w:tcPr>
          <w:p w14:paraId="131BCEA9" w14:textId="77777777" w:rsidR="004D1935" w:rsidRDefault="004D1935" w:rsidP="00E24DC9"/>
        </w:tc>
        <w:tc>
          <w:tcPr>
            <w:tcW w:w="7513" w:type="dxa"/>
            <w:vMerge/>
          </w:tcPr>
          <w:p w14:paraId="2CD3D9F3" w14:textId="77777777" w:rsidR="004D1935" w:rsidRDefault="004D1935" w:rsidP="00E24DC9"/>
        </w:tc>
      </w:tr>
      <w:tr w:rsidR="004D1935" w14:paraId="7604D28D" w14:textId="77777777" w:rsidTr="00E24DC9">
        <w:tc>
          <w:tcPr>
            <w:tcW w:w="709" w:type="dxa"/>
            <w:vMerge/>
          </w:tcPr>
          <w:p w14:paraId="4AE4793A" w14:textId="77777777" w:rsidR="004D1935" w:rsidRDefault="004D1935" w:rsidP="00E24DC9"/>
        </w:tc>
        <w:tc>
          <w:tcPr>
            <w:tcW w:w="850" w:type="dxa"/>
            <w:tcBorders>
              <w:top w:val="nil"/>
              <w:bottom w:val="nil"/>
            </w:tcBorders>
            <w:vAlign w:val="bottom"/>
          </w:tcPr>
          <w:p w14:paraId="3A0B8C0C"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212.1707</w:t>
            </w:r>
          </w:p>
        </w:tc>
        <w:tc>
          <w:tcPr>
            <w:tcW w:w="2411" w:type="dxa"/>
            <w:vMerge/>
          </w:tcPr>
          <w:p w14:paraId="68088A5D" w14:textId="77777777" w:rsidR="004D1935" w:rsidRDefault="004D1935" w:rsidP="00E24DC9"/>
        </w:tc>
        <w:tc>
          <w:tcPr>
            <w:tcW w:w="2126" w:type="dxa"/>
            <w:vMerge/>
          </w:tcPr>
          <w:p w14:paraId="2AB1021B" w14:textId="77777777" w:rsidR="004D1935" w:rsidRDefault="004D1935" w:rsidP="00E24DC9"/>
        </w:tc>
        <w:tc>
          <w:tcPr>
            <w:tcW w:w="1418" w:type="dxa"/>
            <w:vMerge/>
          </w:tcPr>
          <w:p w14:paraId="63AA83FF" w14:textId="77777777" w:rsidR="004D1935" w:rsidRDefault="004D1935" w:rsidP="00E24DC9"/>
        </w:tc>
        <w:tc>
          <w:tcPr>
            <w:tcW w:w="7513" w:type="dxa"/>
            <w:vMerge/>
          </w:tcPr>
          <w:p w14:paraId="1F96C4B3" w14:textId="77777777" w:rsidR="004D1935" w:rsidRDefault="004D1935" w:rsidP="00E24DC9"/>
        </w:tc>
      </w:tr>
      <w:tr w:rsidR="004D1935" w14:paraId="5508009D" w14:textId="77777777" w:rsidTr="00E24DC9">
        <w:tc>
          <w:tcPr>
            <w:tcW w:w="709" w:type="dxa"/>
            <w:vMerge/>
          </w:tcPr>
          <w:p w14:paraId="320E6F06" w14:textId="77777777" w:rsidR="004D1935" w:rsidRDefault="004D1935" w:rsidP="00E24DC9"/>
        </w:tc>
        <w:tc>
          <w:tcPr>
            <w:tcW w:w="850" w:type="dxa"/>
            <w:tcBorders>
              <w:top w:val="nil"/>
              <w:bottom w:val="nil"/>
            </w:tcBorders>
            <w:vAlign w:val="bottom"/>
          </w:tcPr>
          <w:p w14:paraId="6EC60022"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212.2042</w:t>
            </w:r>
          </w:p>
        </w:tc>
        <w:tc>
          <w:tcPr>
            <w:tcW w:w="2411" w:type="dxa"/>
            <w:vMerge/>
          </w:tcPr>
          <w:p w14:paraId="3D001914" w14:textId="77777777" w:rsidR="004D1935" w:rsidRDefault="004D1935" w:rsidP="00E24DC9"/>
        </w:tc>
        <w:tc>
          <w:tcPr>
            <w:tcW w:w="2126" w:type="dxa"/>
            <w:vMerge/>
          </w:tcPr>
          <w:p w14:paraId="47CEF081" w14:textId="77777777" w:rsidR="004D1935" w:rsidRDefault="004D1935" w:rsidP="00E24DC9"/>
        </w:tc>
        <w:tc>
          <w:tcPr>
            <w:tcW w:w="1418" w:type="dxa"/>
            <w:vMerge/>
          </w:tcPr>
          <w:p w14:paraId="68ED4F57" w14:textId="77777777" w:rsidR="004D1935" w:rsidRDefault="004D1935" w:rsidP="00E24DC9"/>
        </w:tc>
        <w:tc>
          <w:tcPr>
            <w:tcW w:w="7513" w:type="dxa"/>
            <w:vMerge/>
          </w:tcPr>
          <w:p w14:paraId="7309AB92" w14:textId="77777777" w:rsidR="004D1935" w:rsidRDefault="004D1935" w:rsidP="00E24DC9"/>
        </w:tc>
      </w:tr>
      <w:tr w:rsidR="004D1935" w14:paraId="4FF9B51B" w14:textId="77777777" w:rsidTr="00E24DC9">
        <w:tc>
          <w:tcPr>
            <w:tcW w:w="709" w:type="dxa"/>
            <w:vMerge/>
          </w:tcPr>
          <w:p w14:paraId="2F0C7B8D" w14:textId="77777777" w:rsidR="004D1935" w:rsidRDefault="004D1935" w:rsidP="00E24DC9"/>
        </w:tc>
        <w:tc>
          <w:tcPr>
            <w:tcW w:w="850" w:type="dxa"/>
            <w:tcBorders>
              <w:top w:val="nil"/>
              <w:bottom w:val="nil"/>
            </w:tcBorders>
            <w:vAlign w:val="bottom"/>
          </w:tcPr>
          <w:p w14:paraId="0CEC9503"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212.2825</w:t>
            </w:r>
          </w:p>
        </w:tc>
        <w:tc>
          <w:tcPr>
            <w:tcW w:w="2411" w:type="dxa"/>
            <w:vMerge/>
          </w:tcPr>
          <w:p w14:paraId="6B1D3DD3" w14:textId="77777777" w:rsidR="004D1935" w:rsidRDefault="004D1935" w:rsidP="00E24DC9"/>
        </w:tc>
        <w:tc>
          <w:tcPr>
            <w:tcW w:w="2126" w:type="dxa"/>
            <w:vMerge/>
          </w:tcPr>
          <w:p w14:paraId="5BD9A829" w14:textId="77777777" w:rsidR="004D1935" w:rsidRDefault="004D1935" w:rsidP="00E24DC9"/>
        </w:tc>
        <w:tc>
          <w:tcPr>
            <w:tcW w:w="1418" w:type="dxa"/>
            <w:vMerge/>
          </w:tcPr>
          <w:p w14:paraId="481504EF" w14:textId="77777777" w:rsidR="004D1935" w:rsidRDefault="004D1935" w:rsidP="00E24DC9"/>
        </w:tc>
        <w:tc>
          <w:tcPr>
            <w:tcW w:w="7513" w:type="dxa"/>
            <w:vMerge/>
          </w:tcPr>
          <w:p w14:paraId="696B2F12" w14:textId="77777777" w:rsidR="004D1935" w:rsidRDefault="004D1935" w:rsidP="00E24DC9"/>
        </w:tc>
      </w:tr>
      <w:tr w:rsidR="004D1935" w14:paraId="32DB1310" w14:textId="77777777" w:rsidTr="00E24DC9">
        <w:tc>
          <w:tcPr>
            <w:tcW w:w="709" w:type="dxa"/>
            <w:vMerge/>
          </w:tcPr>
          <w:p w14:paraId="39A5B868" w14:textId="77777777" w:rsidR="004D1935" w:rsidRDefault="004D1935" w:rsidP="00E24DC9"/>
        </w:tc>
        <w:tc>
          <w:tcPr>
            <w:tcW w:w="850" w:type="dxa"/>
            <w:tcBorders>
              <w:top w:val="nil"/>
              <w:bottom w:val="nil"/>
            </w:tcBorders>
            <w:vAlign w:val="bottom"/>
          </w:tcPr>
          <w:p w14:paraId="25A04154"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212.1841</w:t>
            </w:r>
          </w:p>
        </w:tc>
        <w:tc>
          <w:tcPr>
            <w:tcW w:w="2411" w:type="dxa"/>
            <w:vMerge/>
          </w:tcPr>
          <w:p w14:paraId="0FF6FB4D" w14:textId="77777777" w:rsidR="004D1935" w:rsidRDefault="004D1935" w:rsidP="00E24DC9"/>
        </w:tc>
        <w:tc>
          <w:tcPr>
            <w:tcW w:w="2126" w:type="dxa"/>
            <w:vMerge/>
          </w:tcPr>
          <w:p w14:paraId="11136CE7" w14:textId="77777777" w:rsidR="004D1935" w:rsidRDefault="004D1935" w:rsidP="00E24DC9"/>
        </w:tc>
        <w:tc>
          <w:tcPr>
            <w:tcW w:w="1418" w:type="dxa"/>
            <w:vMerge/>
          </w:tcPr>
          <w:p w14:paraId="314588AD" w14:textId="77777777" w:rsidR="004D1935" w:rsidRDefault="004D1935" w:rsidP="00E24DC9"/>
        </w:tc>
        <w:tc>
          <w:tcPr>
            <w:tcW w:w="7513" w:type="dxa"/>
            <w:vMerge/>
          </w:tcPr>
          <w:p w14:paraId="53991583" w14:textId="77777777" w:rsidR="004D1935" w:rsidRDefault="004D1935" w:rsidP="00E24DC9"/>
        </w:tc>
      </w:tr>
      <w:tr w:rsidR="004D1935" w14:paraId="2E94D8D3" w14:textId="77777777" w:rsidTr="00E24DC9">
        <w:tc>
          <w:tcPr>
            <w:tcW w:w="709" w:type="dxa"/>
            <w:vMerge/>
          </w:tcPr>
          <w:p w14:paraId="197729CD" w14:textId="77777777" w:rsidR="004D1935" w:rsidRDefault="004D1935" w:rsidP="00E24DC9"/>
        </w:tc>
        <w:tc>
          <w:tcPr>
            <w:tcW w:w="850" w:type="dxa"/>
            <w:tcBorders>
              <w:top w:val="nil"/>
              <w:bottom w:val="nil"/>
            </w:tcBorders>
            <w:vAlign w:val="bottom"/>
          </w:tcPr>
          <w:p w14:paraId="0B8B60E9"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212.2534</w:t>
            </w:r>
          </w:p>
        </w:tc>
        <w:tc>
          <w:tcPr>
            <w:tcW w:w="2411" w:type="dxa"/>
            <w:vMerge/>
          </w:tcPr>
          <w:p w14:paraId="7D119066" w14:textId="77777777" w:rsidR="004D1935" w:rsidRDefault="004D1935" w:rsidP="00E24DC9"/>
        </w:tc>
        <w:tc>
          <w:tcPr>
            <w:tcW w:w="2126" w:type="dxa"/>
            <w:vMerge/>
          </w:tcPr>
          <w:p w14:paraId="25DD9D61" w14:textId="77777777" w:rsidR="004D1935" w:rsidRDefault="004D1935" w:rsidP="00E24DC9"/>
        </w:tc>
        <w:tc>
          <w:tcPr>
            <w:tcW w:w="1418" w:type="dxa"/>
            <w:vMerge/>
          </w:tcPr>
          <w:p w14:paraId="41EB63AF" w14:textId="77777777" w:rsidR="004D1935" w:rsidRDefault="004D1935" w:rsidP="00E24DC9"/>
        </w:tc>
        <w:tc>
          <w:tcPr>
            <w:tcW w:w="7513" w:type="dxa"/>
            <w:vMerge/>
          </w:tcPr>
          <w:p w14:paraId="7E5C1B6B" w14:textId="77777777" w:rsidR="004D1935" w:rsidRDefault="004D1935" w:rsidP="00E24DC9"/>
        </w:tc>
      </w:tr>
      <w:tr w:rsidR="004D1935" w14:paraId="1905455A" w14:textId="77777777" w:rsidTr="00E24DC9">
        <w:tc>
          <w:tcPr>
            <w:tcW w:w="709" w:type="dxa"/>
            <w:vMerge/>
          </w:tcPr>
          <w:p w14:paraId="1F4EE15C" w14:textId="77777777" w:rsidR="004D1935" w:rsidRDefault="004D1935" w:rsidP="00E24DC9"/>
        </w:tc>
        <w:tc>
          <w:tcPr>
            <w:tcW w:w="850" w:type="dxa"/>
            <w:tcBorders>
              <w:top w:val="nil"/>
              <w:bottom w:val="nil"/>
            </w:tcBorders>
            <w:vAlign w:val="bottom"/>
          </w:tcPr>
          <w:p w14:paraId="30283D92"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212.2869</w:t>
            </w:r>
          </w:p>
        </w:tc>
        <w:tc>
          <w:tcPr>
            <w:tcW w:w="2411" w:type="dxa"/>
            <w:vMerge/>
          </w:tcPr>
          <w:p w14:paraId="12CED7E5" w14:textId="77777777" w:rsidR="004D1935" w:rsidRDefault="004D1935" w:rsidP="00E24DC9"/>
        </w:tc>
        <w:tc>
          <w:tcPr>
            <w:tcW w:w="2126" w:type="dxa"/>
            <w:vMerge/>
          </w:tcPr>
          <w:p w14:paraId="243D151B" w14:textId="77777777" w:rsidR="004D1935" w:rsidRDefault="004D1935" w:rsidP="00E24DC9"/>
        </w:tc>
        <w:tc>
          <w:tcPr>
            <w:tcW w:w="1418" w:type="dxa"/>
            <w:vMerge/>
          </w:tcPr>
          <w:p w14:paraId="565F6707" w14:textId="77777777" w:rsidR="004D1935" w:rsidRDefault="004D1935" w:rsidP="00E24DC9"/>
        </w:tc>
        <w:tc>
          <w:tcPr>
            <w:tcW w:w="7513" w:type="dxa"/>
            <w:vMerge/>
          </w:tcPr>
          <w:p w14:paraId="2500568E" w14:textId="77777777" w:rsidR="004D1935" w:rsidRDefault="004D1935" w:rsidP="00E24DC9"/>
        </w:tc>
      </w:tr>
      <w:tr w:rsidR="004D1935" w14:paraId="38A56A7A" w14:textId="77777777" w:rsidTr="00E24DC9">
        <w:tc>
          <w:tcPr>
            <w:tcW w:w="709" w:type="dxa"/>
            <w:vMerge/>
          </w:tcPr>
          <w:p w14:paraId="7A425746" w14:textId="77777777" w:rsidR="004D1935" w:rsidRDefault="004D1935" w:rsidP="00E24DC9"/>
        </w:tc>
        <w:tc>
          <w:tcPr>
            <w:tcW w:w="850" w:type="dxa"/>
            <w:tcBorders>
              <w:top w:val="nil"/>
              <w:bottom w:val="nil"/>
            </w:tcBorders>
            <w:vAlign w:val="bottom"/>
          </w:tcPr>
          <w:p w14:paraId="5E1B0081" w14:textId="77777777" w:rsidR="004D1935" w:rsidRPr="00CE69AC" w:rsidRDefault="004D1935" w:rsidP="00E24DC9">
            <w:pPr>
              <w:rPr>
                <w:rFonts w:ascii="Calibri" w:hAnsi="Calibri" w:cs="Calibri"/>
                <w:color w:val="000000"/>
                <w:sz w:val="15"/>
                <w:szCs w:val="15"/>
              </w:rPr>
            </w:pPr>
            <w:r w:rsidRPr="00CE10C1">
              <w:rPr>
                <w:rFonts w:ascii="Calibri" w:hAnsi="Calibri" w:cs="Calibri"/>
                <w:color w:val="000000"/>
                <w:sz w:val="15"/>
                <w:szCs w:val="15"/>
              </w:rPr>
              <w:t>212.2501</w:t>
            </w:r>
          </w:p>
        </w:tc>
        <w:tc>
          <w:tcPr>
            <w:tcW w:w="2411" w:type="dxa"/>
            <w:vMerge/>
          </w:tcPr>
          <w:p w14:paraId="4CEF3A3E" w14:textId="77777777" w:rsidR="004D1935" w:rsidRDefault="004D1935" w:rsidP="00E24DC9"/>
        </w:tc>
        <w:tc>
          <w:tcPr>
            <w:tcW w:w="2126" w:type="dxa"/>
            <w:vMerge/>
          </w:tcPr>
          <w:p w14:paraId="109A2D26" w14:textId="77777777" w:rsidR="004D1935" w:rsidRDefault="004D1935" w:rsidP="00E24DC9"/>
        </w:tc>
        <w:tc>
          <w:tcPr>
            <w:tcW w:w="1418" w:type="dxa"/>
            <w:vMerge/>
          </w:tcPr>
          <w:p w14:paraId="05C2CF5E" w14:textId="77777777" w:rsidR="004D1935" w:rsidRDefault="004D1935" w:rsidP="00E24DC9"/>
        </w:tc>
        <w:tc>
          <w:tcPr>
            <w:tcW w:w="7513" w:type="dxa"/>
            <w:vMerge/>
          </w:tcPr>
          <w:p w14:paraId="1D9A0458" w14:textId="77777777" w:rsidR="004D1935" w:rsidRDefault="004D1935" w:rsidP="00E24DC9"/>
        </w:tc>
      </w:tr>
      <w:tr w:rsidR="004D1935" w14:paraId="7A0A1A4C" w14:textId="77777777" w:rsidTr="00E24DC9">
        <w:tc>
          <w:tcPr>
            <w:tcW w:w="709" w:type="dxa"/>
            <w:vMerge/>
          </w:tcPr>
          <w:p w14:paraId="3CF2A13D" w14:textId="77777777" w:rsidR="004D1935" w:rsidRDefault="004D1935" w:rsidP="00E24DC9"/>
        </w:tc>
        <w:tc>
          <w:tcPr>
            <w:tcW w:w="850" w:type="dxa"/>
            <w:tcBorders>
              <w:top w:val="nil"/>
              <w:bottom w:val="nil"/>
            </w:tcBorders>
            <w:vAlign w:val="bottom"/>
          </w:tcPr>
          <w:p w14:paraId="43206F9C"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212.1126</w:t>
            </w:r>
          </w:p>
        </w:tc>
        <w:tc>
          <w:tcPr>
            <w:tcW w:w="2411" w:type="dxa"/>
            <w:vMerge/>
          </w:tcPr>
          <w:p w14:paraId="4E669454" w14:textId="77777777" w:rsidR="004D1935" w:rsidRDefault="004D1935" w:rsidP="00E24DC9"/>
        </w:tc>
        <w:tc>
          <w:tcPr>
            <w:tcW w:w="2126" w:type="dxa"/>
            <w:vMerge/>
          </w:tcPr>
          <w:p w14:paraId="5055407E" w14:textId="77777777" w:rsidR="004D1935" w:rsidRDefault="004D1935" w:rsidP="00E24DC9"/>
        </w:tc>
        <w:tc>
          <w:tcPr>
            <w:tcW w:w="1418" w:type="dxa"/>
            <w:vMerge/>
          </w:tcPr>
          <w:p w14:paraId="719803C7" w14:textId="77777777" w:rsidR="004D1935" w:rsidRDefault="004D1935" w:rsidP="00E24DC9"/>
        </w:tc>
        <w:tc>
          <w:tcPr>
            <w:tcW w:w="7513" w:type="dxa"/>
            <w:vMerge/>
          </w:tcPr>
          <w:p w14:paraId="6FD5D99C" w14:textId="77777777" w:rsidR="004D1935" w:rsidRDefault="004D1935" w:rsidP="00E24DC9"/>
        </w:tc>
      </w:tr>
      <w:tr w:rsidR="004D1935" w14:paraId="36FCDF61" w14:textId="77777777" w:rsidTr="00E24DC9">
        <w:tc>
          <w:tcPr>
            <w:tcW w:w="709" w:type="dxa"/>
            <w:vMerge/>
          </w:tcPr>
          <w:p w14:paraId="709FD3B6" w14:textId="77777777" w:rsidR="004D1935" w:rsidRDefault="004D1935" w:rsidP="00E24DC9"/>
        </w:tc>
        <w:tc>
          <w:tcPr>
            <w:tcW w:w="850" w:type="dxa"/>
            <w:tcBorders>
              <w:top w:val="nil"/>
              <w:bottom w:val="nil"/>
            </w:tcBorders>
            <w:vAlign w:val="bottom"/>
          </w:tcPr>
          <w:p w14:paraId="3E89E1EE"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212.1461</w:t>
            </w:r>
          </w:p>
        </w:tc>
        <w:tc>
          <w:tcPr>
            <w:tcW w:w="2411" w:type="dxa"/>
            <w:vMerge/>
          </w:tcPr>
          <w:p w14:paraId="4AAD4831" w14:textId="77777777" w:rsidR="004D1935" w:rsidRDefault="004D1935" w:rsidP="00E24DC9"/>
        </w:tc>
        <w:tc>
          <w:tcPr>
            <w:tcW w:w="2126" w:type="dxa"/>
            <w:vMerge/>
          </w:tcPr>
          <w:p w14:paraId="74B76CBE" w14:textId="77777777" w:rsidR="004D1935" w:rsidRDefault="004D1935" w:rsidP="00E24DC9"/>
        </w:tc>
        <w:tc>
          <w:tcPr>
            <w:tcW w:w="1418" w:type="dxa"/>
            <w:vMerge/>
          </w:tcPr>
          <w:p w14:paraId="3BD3B946" w14:textId="77777777" w:rsidR="004D1935" w:rsidRDefault="004D1935" w:rsidP="00E24DC9"/>
        </w:tc>
        <w:tc>
          <w:tcPr>
            <w:tcW w:w="7513" w:type="dxa"/>
            <w:vMerge/>
          </w:tcPr>
          <w:p w14:paraId="44777CD5" w14:textId="77777777" w:rsidR="004D1935" w:rsidRDefault="004D1935" w:rsidP="00E24DC9"/>
        </w:tc>
      </w:tr>
      <w:tr w:rsidR="004D1935" w14:paraId="5FD04977" w14:textId="77777777" w:rsidTr="00E24DC9">
        <w:tc>
          <w:tcPr>
            <w:tcW w:w="709" w:type="dxa"/>
            <w:vMerge/>
          </w:tcPr>
          <w:p w14:paraId="1E126A93" w14:textId="77777777" w:rsidR="004D1935" w:rsidRDefault="004D1935" w:rsidP="00E24DC9"/>
        </w:tc>
        <w:tc>
          <w:tcPr>
            <w:tcW w:w="850" w:type="dxa"/>
            <w:tcBorders>
              <w:top w:val="nil"/>
              <w:bottom w:val="nil"/>
            </w:tcBorders>
            <w:vAlign w:val="bottom"/>
          </w:tcPr>
          <w:p w14:paraId="438F572E"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 212.2892</w:t>
            </w:r>
          </w:p>
        </w:tc>
        <w:tc>
          <w:tcPr>
            <w:tcW w:w="2411" w:type="dxa"/>
            <w:vMerge/>
          </w:tcPr>
          <w:p w14:paraId="6D104804" w14:textId="77777777" w:rsidR="004D1935" w:rsidRDefault="004D1935" w:rsidP="00E24DC9"/>
        </w:tc>
        <w:tc>
          <w:tcPr>
            <w:tcW w:w="2126" w:type="dxa"/>
            <w:vMerge/>
          </w:tcPr>
          <w:p w14:paraId="24A7A629" w14:textId="77777777" w:rsidR="004D1935" w:rsidRDefault="004D1935" w:rsidP="00E24DC9"/>
        </w:tc>
        <w:tc>
          <w:tcPr>
            <w:tcW w:w="1418" w:type="dxa"/>
            <w:vMerge/>
          </w:tcPr>
          <w:p w14:paraId="4E9E2B2A" w14:textId="77777777" w:rsidR="004D1935" w:rsidRDefault="004D1935" w:rsidP="00E24DC9"/>
        </w:tc>
        <w:tc>
          <w:tcPr>
            <w:tcW w:w="7513" w:type="dxa"/>
            <w:vMerge/>
          </w:tcPr>
          <w:p w14:paraId="24EAD3E9" w14:textId="77777777" w:rsidR="004D1935" w:rsidRDefault="004D1935" w:rsidP="00E24DC9"/>
        </w:tc>
      </w:tr>
      <w:tr w:rsidR="004D1935" w14:paraId="0A0037E6" w14:textId="77777777" w:rsidTr="00E24DC9">
        <w:tc>
          <w:tcPr>
            <w:tcW w:w="709" w:type="dxa"/>
            <w:vMerge/>
          </w:tcPr>
          <w:p w14:paraId="549F406F" w14:textId="77777777" w:rsidR="004D1935" w:rsidRDefault="004D1935" w:rsidP="00E24DC9"/>
        </w:tc>
        <w:tc>
          <w:tcPr>
            <w:tcW w:w="850" w:type="dxa"/>
            <w:tcBorders>
              <w:top w:val="nil"/>
              <w:bottom w:val="nil"/>
            </w:tcBorders>
            <w:vAlign w:val="bottom"/>
          </w:tcPr>
          <w:p w14:paraId="7C77B2DE"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212.2601</w:t>
            </w:r>
          </w:p>
        </w:tc>
        <w:tc>
          <w:tcPr>
            <w:tcW w:w="2411" w:type="dxa"/>
            <w:vMerge/>
          </w:tcPr>
          <w:p w14:paraId="1715F8F8" w14:textId="77777777" w:rsidR="004D1935" w:rsidRDefault="004D1935" w:rsidP="00E24DC9"/>
        </w:tc>
        <w:tc>
          <w:tcPr>
            <w:tcW w:w="2126" w:type="dxa"/>
            <w:vMerge/>
          </w:tcPr>
          <w:p w14:paraId="40FD018F" w14:textId="77777777" w:rsidR="004D1935" w:rsidRDefault="004D1935" w:rsidP="00E24DC9"/>
        </w:tc>
        <w:tc>
          <w:tcPr>
            <w:tcW w:w="1418" w:type="dxa"/>
            <w:vMerge/>
          </w:tcPr>
          <w:p w14:paraId="45319F05" w14:textId="77777777" w:rsidR="004D1935" w:rsidRDefault="004D1935" w:rsidP="00E24DC9"/>
        </w:tc>
        <w:tc>
          <w:tcPr>
            <w:tcW w:w="7513" w:type="dxa"/>
            <w:vMerge/>
          </w:tcPr>
          <w:p w14:paraId="1BAE5504" w14:textId="77777777" w:rsidR="004D1935" w:rsidRDefault="004D1935" w:rsidP="00E24DC9"/>
        </w:tc>
      </w:tr>
      <w:tr w:rsidR="004D1935" w14:paraId="4E453AB4" w14:textId="77777777" w:rsidTr="00E24DC9">
        <w:tc>
          <w:tcPr>
            <w:tcW w:w="709" w:type="dxa"/>
            <w:vMerge/>
          </w:tcPr>
          <w:p w14:paraId="456D23EF" w14:textId="77777777" w:rsidR="004D1935" w:rsidRDefault="004D1935" w:rsidP="00E24DC9"/>
        </w:tc>
        <w:tc>
          <w:tcPr>
            <w:tcW w:w="850" w:type="dxa"/>
            <w:tcBorders>
              <w:top w:val="nil"/>
              <w:bottom w:val="nil"/>
            </w:tcBorders>
            <w:vAlign w:val="bottom"/>
          </w:tcPr>
          <w:p w14:paraId="07085634"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 212.2936</w:t>
            </w:r>
          </w:p>
        </w:tc>
        <w:tc>
          <w:tcPr>
            <w:tcW w:w="2411" w:type="dxa"/>
            <w:vMerge/>
          </w:tcPr>
          <w:p w14:paraId="65DFBC37" w14:textId="77777777" w:rsidR="004D1935" w:rsidRDefault="004D1935" w:rsidP="00E24DC9"/>
        </w:tc>
        <w:tc>
          <w:tcPr>
            <w:tcW w:w="2126" w:type="dxa"/>
            <w:vMerge/>
          </w:tcPr>
          <w:p w14:paraId="53447414" w14:textId="77777777" w:rsidR="004D1935" w:rsidRDefault="004D1935" w:rsidP="00E24DC9"/>
        </w:tc>
        <w:tc>
          <w:tcPr>
            <w:tcW w:w="1418" w:type="dxa"/>
            <w:vMerge/>
          </w:tcPr>
          <w:p w14:paraId="042604E7" w14:textId="77777777" w:rsidR="004D1935" w:rsidRDefault="004D1935" w:rsidP="00E24DC9"/>
        </w:tc>
        <w:tc>
          <w:tcPr>
            <w:tcW w:w="7513" w:type="dxa"/>
            <w:vMerge/>
          </w:tcPr>
          <w:p w14:paraId="4196B908" w14:textId="77777777" w:rsidR="004D1935" w:rsidRDefault="004D1935" w:rsidP="00E24DC9"/>
        </w:tc>
      </w:tr>
      <w:tr w:rsidR="004D1935" w14:paraId="0BA7044E" w14:textId="77777777" w:rsidTr="00E24DC9">
        <w:tc>
          <w:tcPr>
            <w:tcW w:w="709" w:type="dxa"/>
            <w:vMerge/>
          </w:tcPr>
          <w:p w14:paraId="50E9DA37" w14:textId="77777777" w:rsidR="004D1935" w:rsidRDefault="004D1935" w:rsidP="00E24DC9"/>
        </w:tc>
        <w:tc>
          <w:tcPr>
            <w:tcW w:w="850" w:type="dxa"/>
            <w:tcBorders>
              <w:top w:val="nil"/>
              <w:bottom w:val="nil"/>
            </w:tcBorders>
            <w:vAlign w:val="bottom"/>
          </w:tcPr>
          <w:p w14:paraId="36654D1E"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212.2176</w:t>
            </w:r>
          </w:p>
        </w:tc>
        <w:tc>
          <w:tcPr>
            <w:tcW w:w="2411" w:type="dxa"/>
            <w:vMerge/>
          </w:tcPr>
          <w:p w14:paraId="674C4945" w14:textId="77777777" w:rsidR="004D1935" w:rsidRDefault="004D1935" w:rsidP="00E24DC9"/>
        </w:tc>
        <w:tc>
          <w:tcPr>
            <w:tcW w:w="2126" w:type="dxa"/>
            <w:vMerge/>
          </w:tcPr>
          <w:p w14:paraId="74A3BFF1" w14:textId="77777777" w:rsidR="004D1935" w:rsidRDefault="004D1935" w:rsidP="00E24DC9"/>
        </w:tc>
        <w:tc>
          <w:tcPr>
            <w:tcW w:w="1418" w:type="dxa"/>
            <w:vMerge/>
          </w:tcPr>
          <w:p w14:paraId="490785A0" w14:textId="77777777" w:rsidR="004D1935" w:rsidRDefault="004D1935" w:rsidP="00E24DC9"/>
        </w:tc>
        <w:tc>
          <w:tcPr>
            <w:tcW w:w="7513" w:type="dxa"/>
            <w:vMerge/>
          </w:tcPr>
          <w:p w14:paraId="409E1561" w14:textId="77777777" w:rsidR="004D1935" w:rsidRDefault="004D1935" w:rsidP="00E24DC9"/>
        </w:tc>
      </w:tr>
      <w:tr w:rsidR="004D1935" w14:paraId="0520DA32" w14:textId="77777777" w:rsidTr="00E24DC9">
        <w:tc>
          <w:tcPr>
            <w:tcW w:w="709" w:type="dxa"/>
            <w:vMerge/>
          </w:tcPr>
          <w:p w14:paraId="215CE48D" w14:textId="77777777" w:rsidR="004D1935" w:rsidRDefault="004D1935" w:rsidP="00E24DC9"/>
        </w:tc>
        <w:tc>
          <w:tcPr>
            <w:tcW w:w="850" w:type="dxa"/>
            <w:tcBorders>
              <w:top w:val="nil"/>
              <w:bottom w:val="single" w:sz="4" w:space="0" w:color="auto"/>
            </w:tcBorders>
            <w:vAlign w:val="bottom"/>
          </w:tcPr>
          <w:p w14:paraId="03B8C241" w14:textId="77777777" w:rsidR="004D1935" w:rsidRDefault="004D1935" w:rsidP="00E24DC9">
            <w:pPr>
              <w:rPr>
                <w:rFonts w:ascii="Calibri" w:hAnsi="Calibri" w:cs="Calibri"/>
                <w:color w:val="000000"/>
                <w:sz w:val="15"/>
                <w:szCs w:val="15"/>
              </w:rPr>
            </w:pPr>
            <w:r w:rsidRPr="00CE10C1">
              <w:rPr>
                <w:rFonts w:ascii="Calibri" w:hAnsi="Calibri" w:cs="Calibri"/>
                <w:color w:val="000000"/>
                <w:sz w:val="15"/>
                <w:szCs w:val="15"/>
              </w:rPr>
              <w:t>212.2512</w:t>
            </w:r>
          </w:p>
          <w:p w14:paraId="6200E099" w14:textId="77777777" w:rsidR="004D1935" w:rsidRDefault="004D1935" w:rsidP="00E24DC9">
            <w:pPr>
              <w:rPr>
                <w:rFonts w:ascii="Calibri" w:hAnsi="Calibri" w:cs="Calibri"/>
                <w:color w:val="000000"/>
                <w:sz w:val="15"/>
                <w:szCs w:val="15"/>
              </w:rPr>
            </w:pPr>
          </w:p>
          <w:p w14:paraId="56B53522" w14:textId="77777777" w:rsidR="004D1935" w:rsidRDefault="004D1935" w:rsidP="00E24DC9">
            <w:pPr>
              <w:rPr>
                <w:rFonts w:ascii="Calibri" w:hAnsi="Calibri" w:cs="Calibri"/>
                <w:color w:val="000000"/>
                <w:sz w:val="15"/>
                <w:szCs w:val="15"/>
              </w:rPr>
            </w:pPr>
          </w:p>
          <w:p w14:paraId="00C4343E" w14:textId="77777777" w:rsidR="004D1935" w:rsidRDefault="004D1935" w:rsidP="00E24DC9">
            <w:pPr>
              <w:rPr>
                <w:rFonts w:ascii="Calibri" w:hAnsi="Calibri" w:cs="Calibri"/>
                <w:color w:val="000000"/>
                <w:sz w:val="15"/>
                <w:szCs w:val="15"/>
              </w:rPr>
            </w:pPr>
          </w:p>
          <w:p w14:paraId="0214EEAB" w14:textId="77777777" w:rsidR="004D1935" w:rsidRDefault="004D1935" w:rsidP="00E24DC9">
            <w:pPr>
              <w:rPr>
                <w:rFonts w:ascii="Calibri" w:hAnsi="Calibri" w:cs="Calibri"/>
                <w:color w:val="000000"/>
                <w:sz w:val="15"/>
                <w:szCs w:val="15"/>
              </w:rPr>
            </w:pPr>
          </w:p>
          <w:p w14:paraId="7814B5D0" w14:textId="77777777" w:rsidR="004D1935" w:rsidRDefault="004D1935" w:rsidP="00E24DC9">
            <w:pPr>
              <w:rPr>
                <w:rFonts w:ascii="Calibri" w:hAnsi="Calibri" w:cs="Calibri"/>
                <w:color w:val="000000"/>
                <w:sz w:val="15"/>
                <w:szCs w:val="15"/>
              </w:rPr>
            </w:pPr>
          </w:p>
          <w:p w14:paraId="4D8FF1E5" w14:textId="77777777" w:rsidR="004D1935" w:rsidRPr="00CE10C1" w:rsidRDefault="004D1935" w:rsidP="00E24DC9">
            <w:pPr>
              <w:rPr>
                <w:rFonts w:ascii="Calibri" w:hAnsi="Calibri" w:cs="Calibri"/>
                <w:color w:val="000000"/>
                <w:sz w:val="15"/>
                <w:szCs w:val="15"/>
              </w:rPr>
            </w:pPr>
          </w:p>
        </w:tc>
        <w:tc>
          <w:tcPr>
            <w:tcW w:w="2411" w:type="dxa"/>
            <w:vMerge/>
          </w:tcPr>
          <w:p w14:paraId="263FBD21" w14:textId="77777777" w:rsidR="004D1935" w:rsidRDefault="004D1935" w:rsidP="00E24DC9"/>
        </w:tc>
        <w:tc>
          <w:tcPr>
            <w:tcW w:w="2126" w:type="dxa"/>
            <w:vMerge/>
          </w:tcPr>
          <w:p w14:paraId="764753C8" w14:textId="77777777" w:rsidR="004D1935" w:rsidRDefault="004D1935" w:rsidP="00E24DC9"/>
        </w:tc>
        <w:tc>
          <w:tcPr>
            <w:tcW w:w="1418" w:type="dxa"/>
            <w:vMerge/>
          </w:tcPr>
          <w:p w14:paraId="296613B9" w14:textId="77777777" w:rsidR="004D1935" w:rsidRDefault="004D1935" w:rsidP="00E24DC9"/>
        </w:tc>
        <w:tc>
          <w:tcPr>
            <w:tcW w:w="7513" w:type="dxa"/>
            <w:vMerge/>
          </w:tcPr>
          <w:p w14:paraId="4C0F619E" w14:textId="77777777" w:rsidR="004D1935" w:rsidRDefault="004D1935" w:rsidP="00E24DC9"/>
        </w:tc>
      </w:tr>
      <w:tr w:rsidR="004D1935" w14:paraId="562EE4A2" w14:textId="77777777" w:rsidTr="00E24DC9">
        <w:tc>
          <w:tcPr>
            <w:tcW w:w="709" w:type="dxa"/>
            <w:vMerge w:val="restart"/>
            <w:vAlign w:val="center"/>
          </w:tcPr>
          <w:p w14:paraId="585F63F0" w14:textId="77777777" w:rsidR="004D1935" w:rsidRDefault="004D1935" w:rsidP="00E24DC9">
            <w:pPr>
              <w:jc w:val="center"/>
            </w:pPr>
            <w:r>
              <w:lastRenderedPageBreak/>
              <w:t>K</w:t>
            </w:r>
          </w:p>
        </w:tc>
        <w:tc>
          <w:tcPr>
            <w:tcW w:w="850" w:type="dxa"/>
            <w:tcBorders>
              <w:bottom w:val="nil"/>
            </w:tcBorders>
            <w:vAlign w:val="center"/>
          </w:tcPr>
          <w:p w14:paraId="5E89DBBB" w14:textId="77777777" w:rsidR="004D1935" w:rsidRPr="00CE10C1" w:rsidRDefault="004D1935" w:rsidP="00E24DC9">
            <w:pPr>
              <w:jc w:val="center"/>
              <w:rPr>
                <w:rFonts w:ascii="Calibri" w:hAnsi="Calibri" w:cs="Calibri"/>
                <w:color w:val="000000"/>
                <w:sz w:val="15"/>
                <w:szCs w:val="15"/>
              </w:rPr>
            </w:pPr>
            <w:r w:rsidRPr="00CE10C1">
              <w:rPr>
                <w:rFonts w:ascii="Calibri" w:hAnsi="Calibri" w:cs="Calibri"/>
                <w:color w:val="000000"/>
                <w:sz w:val="15"/>
                <w:szCs w:val="15"/>
              </w:rPr>
              <w:t>196.0331</w:t>
            </w:r>
          </w:p>
        </w:tc>
        <w:tc>
          <w:tcPr>
            <w:tcW w:w="2411" w:type="dxa"/>
            <w:vMerge w:val="restart"/>
            <w:vAlign w:val="center"/>
          </w:tcPr>
          <w:p w14:paraId="69BF8433" w14:textId="77777777" w:rsidR="004D1935" w:rsidRPr="0077649B" w:rsidRDefault="004D1935" w:rsidP="00E24DC9">
            <w:pPr>
              <w:jc w:val="center"/>
              <w:rPr>
                <w:color w:val="000000" w:themeColor="text1"/>
                <w:sz w:val="15"/>
                <w:szCs w:val="15"/>
              </w:rPr>
            </w:pPr>
            <w:r w:rsidRPr="0077649B">
              <w:rPr>
                <w:rFonts w:ascii="Calibri" w:hAnsi="Calibri" w:cs="Calibri"/>
                <w:color w:val="000000" w:themeColor="text1"/>
                <w:sz w:val="15"/>
                <w:szCs w:val="15"/>
              </w:rPr>
              <w:t>3-(3,4-dihydroxyphenyl)pyruvate</w:t>
            </w:r>
          </w:p>
          <w:p w14:paraId="733F8E9D" w14:textId="77777777" w:rsidR="004D1935" w:rsidRPr="0077649B" w:rsidRDefault="004D1935" w:rsidP="00E24DC9">
            <w:pPr>
              <w:jc w:val="center"/>
              <w:rPr>
                <w:color w:val="000000" w:themeColor="text1"/>
                <w:sz w:val="15"/>
                <w:szCs w:val="15"/>
              </w:rPr>
            </w:pPr>
            <w:r w:rsidRPr="0077649B">
              <w:rPr>
                <w:rFonts w:ascii="Calibri" w:hAnsi="Calibri" w:cs="Calibri"/>
                <w:color w:val="000000" w:themeColor="text1"/>
                <w:sz w:val="15"/>
                <w:szCs w:val="15"/>
              </w:rPr>
              <w:t>2-amino-2-deoxy-D-gluconate</w:t>
            </w:r>
          </w:p>
          <w:p w14:paraId="684F0110" w14:textId="77777777" w:rsidR="004D1935" w:rsidRPr="0077649B" w:rsidRDefault="004D1935" w:rsidP="00E24DC9">
            <w:pPr>
              <w:jc w:val="center"/>
              <w:rPr>
                <w:color w:val="000000" w:themeColor="text1"/>
                <w:sz w:val="15"/>
                <w:szCs w:val="15"/>
              </w:rPr>
            </w:pPr>
            <w:r w:rsidRPr="0077649B">
              <w:rPr>
                <w:rFonts w:ascii="Calibri" w:hAnsi="Calibri" w:cs="Calibri"/>
                <w:color w:val="000000" w:themeColor="text1"/>
                <w:sz w:val="15"/>
                <w:szCs w:val="15"/>
              </w:rPr>
              <w:t>stilbene oxide</w:t>
            </w:r>
          </w:p>
          <w:p w14:paraId="39E8AF89" w14:textId="77777777" w:rsidR="004D1935" w:rsidRPr="0077649B" w:rsidRDefault="004D1935" w:rsidP="00E24DC9">
            <w:pPr>
              <w:jc w:val="center"/>
              <w:rPr>
                <w:color w:val="000000" w:themeColor="text1"/>
                <w:sz w:val="15"/>
                <w:szCs w:val="15"/>
              </w:rPr>
            </w:pPr>
            <w:r w:rsidRPr="0077649B">
              <w:rPr>
                <w:rFonts w:ascii="Calibri" w:hAnsi="Calibri" w:cs="Calibri"/>
                <w:color w:val="000000" w:themeColor="text1"/>
                <w:sz w:val="15"/>
                <w:szCs w:val="15"/>
              </w:rPr>
              <w:t>geranyl acetate</w:t>
            </w:r>
          </w:p>
          <w:p w14:paraId="2EA2E3C0" w14:textId="77777777" w:rsidR="004D1935" w:rsidRPr="0077649B" w:rsidRDefault="004D1935" w:rsidP="00E24DC9">
            <w:pPr>
              <w:jc w:val="center"/>
              <w:rPr>
                <w:color w:val="000000" w:themeColor="text1"/>
                <w:sz w:val="15"/>
                <w:szCs w:val="15"/>
              </w:rPr>
            </w:pPr>
            <w:r w:rsidRPr="0077649B">
              <w:rPr>
                <w:rFonts w:ascii="Calibri" w:hAnsi="Calibri" w:cs="Calibri"/>
                <w:color w:val="000000" w:themeColor="text1"/>
                <w:sz w:val="15"/>
                <w:szCs w:val="15"/>
              </w:rPr>
              <w:t>dopaquinone</w:t>
            </w:r>
          </w:p>
          <w:p w14:paraId="3A081371" w14:textId="77777777" w:rsidR="004D1935" w:rsidRPr="0077649B" w:rsidRDefault="004D1935" w:rsidP="00E24DC9">
            <w:pPr>
              <w:jc w:val="center"/>
              <w:rPr>
                <w:color w:val="000000" w:themeColor="text1"/>
                <w:sz w:val="15"/>
                <w:szCs w:val="15"/>
              </w:rPr>
            </w:pPr>
            <w:r w:rsidRPr="0077649B">
              <w:rPr>
                <w:rFonts w:ascii="Calibri" w:hAnsi="Calibri" w:cs="Calibri"/>
                <w:color w:val="000000" w:themeColor="text1"/>
                <w:sz w:val="15"/>
                <w:szCs w:val="15"/>
              </w:rPr>
              <w:t>L-gluconate</w:t>
            </w:r>
          </w:p>
          <w:p w14:paraId="62DEB5F5" w14:textId="77777777" w:rsidR="004D1935" w:rsidRPr="0077649B" w:rsidRDefault="004D1935" w:rsidP="00E24DC9">
            <w:pPr>
              <w:jc w:val="center"/>
              <w:rPr>
                <w:color w:val="000000" w:themeColor="text1"/>
                <w:sz w:val="15"/>
                <w:szCs w:val="15"/>
              </w:rPr>
            </w:pPr>
            <w:r w:rsidRPr="0077649B">
              <w:rPr>
                <w:rFonts w:ascii="Calibri" w:hAnsi="Calibri" w:cs="Calibri"/>
                <w:color w:val="000000" w:themeColor="text1"/>
                <w:sz w:val="15"/>
                <w:szCs w:val="15"/>
              </w:rPr>
              <w:t>D-mannonate</w:t>
            </w:r>
          </w:p>
          <w:p w14:paraId="14F76507" w14:textId="77777777" w:rsidR="004D1935" w:rsidRPr="0077649B" w:rsidRDefault="004D1935" w:rsidP="00E24DC9">
            <w:pPr>
              <w:jc w:val="center"/>
              <w:rPr>
                <w:color w:val="000000" w:themeColor="text1"/>
                <w:sz w:val="15"/>
                <w:szCs w:val="15"/>
              </w:rPr>
            </w:pPr>
            <w:r w:rsidRPr="0077649B">
              <w:rPr>
                <w:rFonts w:ascii="Calibri" w:hAnsi="Calibri" w:cs="Calibri"/>
                <w:color w:val="000000" w:themeColor="text1"/>
                <w:sz w:val="15"/>
                <w:szCs w:val="15"/>
              </w:rPr>
              <w:t>D-gluconate</w:t>
            </w:r>
          </w:p>
          <w:p w14:paraId="71EB7C08" w14:textId="77777777" w:rsidR="004D1935" w:rsidRPr="0077649B" w:rsidRDefault="004D1935" w:rsidP="00E24DC9">
            <w:pPr>
              <w:jc w:val="center"/>
              <w:rPr>
                <w:color w:val="000000" w:themeColor="text1"/>
                <w:sz w:val="15"/>
                <w:szCs w:val="15"/>
              </w:rPr>
            </w:pPr>
            <w:r w:rsidRPr="0077649B">
              <w:rPr>
                <w:rFonts w:ascii="Calibri" w:hAnsi="Calibri" w:cs="Calibri"/>
                <w:color w:val="000000" w:themeColor="text1"/>
                <w:sz w:val="15"/>
                <w:szCs w:val="15"/>
              </w:rPr>
              <w:t>D-altronate</w:t>
            </w:r>
          </w:p>
          <w:p w14:paraId="72022B7A" w14:textId="77777777" w:rsidR="004D1935" w:rsidRPr="0077649B" w:rsidRDefault="004D1935" w:rsidP="00E24DC9">
            <w:pPr>
              <w:jc w:val="center"/>
              <w:rPr>
                <w:color w:val="000000" w:themeColor="text1"/>
                <w:sz w:val="15"/>
                <w:szCs w:val="15"/>
              </w:rPr>
            </w:pPr>
            <w:r w:rsidRPr="0077649B">
              <w:rPr>
                <w:rFonts w:ascii="Calibri" w:hAnsi="Calibri" w:cs="Calibri"/>
                <w:color w:val="000000" w:themeColor="text1"/>
                <w:sz w:val="15"/>
                <w:szCs w:val="15"/>
              </w:rPr>
              <w:t>L-gulonate</w:t>
            </w:r>
          </w:p>
          <w:p w14:paraId="584AC8CD" w14:textId="77777777" w:rsidR="004D1935" w:rsidRPr="0077649B" w:rsidRDefault="004D1935" w:rsidP="00E24DC9">
            <w:pPr>
              <w:jc w:val="center"/>
              <w:rPr>
                <w:color w:val="000000" w:themeColor="text1"/>
                <w:sz w:val="15"/>
                <w:szCs w:val="15"/>
              </w:rPr>
            </w:pPr>
            <w:r w:rsidRPr="0077649B">
              <w:rPr>
                <w:rFonts w:ascii="Calibri" w:hAnsi="Calibri" w:cs="Calibri"/>
                <w:color w:val="000000" w:themeColor="text1"/>
                <w:sz w:val="15"/>
                <w:szCs w:val="15"/>
              </w:rPr>
              <w:t>D-galactonate</w:t>
            </w:r>
          </w:p>
        </w:tc>
        <w:tc>
          <w:tcPr>
            <w:tcW w:w="2126" w:type="dxa"/>
            <w:vMerge w:val="restart"/>
            <w:vAlign w:val="center"/>
          </w:tcPr>
          <w:p w14:paraId="48064673" w14:textId="77777777" w:rsidR="004D1935" w:rsidRPr="0077649B" w:rsidRDefault="004D1935" w:rsidP="00E24DC9">
            <w:pPr>
              <w:jc w:val="center"/>
              <w:rPr>
                <w:color w:val="000000" w:themeColor="text1"/>
                <w:sz w:val="15"/>
                <w:szCs w:val="15"/>
              </w:rPr>
            </w:pPr>
            <w:r w:rsidRPr="0077649B">
              <w:rPr>
                <w:rFonts w:ascii="Calibri" w:hAnsi="Calibri" w:cs="Calibri"/>
                <w:color w:val="000000" w:themeColor="text1"/>
                <w:sz w:val="15"/>
                <w:szCs w:val="15"/>
              </w:rPr>
              <w:t>carboxy   acid</w:t>
            </w:r>
          </w:p>
          <w:p w14:paraId="33C98BC9" w14:textId="77777777" w:rsidR="004D1935" w:rsidRPr="0077649B" w:rsidRDefault="004D1935" w:rsidP="00E24DC9">
            <w:pPr>
              <w:jc w:val="center"/>
              <w:rPr>
                <w:color w:val="000000" w:themeColor="text1"/>
                <w:sz w:val="15"/>
                <w:szCs w:val="15"/>
              </w:rPr>
            </w:pPr>
            <w:r w:rsidRPr="0077649B">
              <w:rPr>
                <w:rFonts w:ascii="Calibri" w:hAnsi="Calibri" w:cs="Calibri"/>
                <w:color w:val="000000" w:themeColor="text1"/>
                <w:sz w:val="15"/>
                <w:szCs w:val="15"/>
              </w:rPr>
              <w:t>carboxy   acid</w:t>
            </w:r>
          </w:p>
          <w:p w14:paraId="560467F9" w14:textId="77777777" w:rsidR="004D1935" w:rsidRPr="0077649B" w:rsidRDefault="004D1935" w:rsidP="00E24DC9">
            <w:pPr>
              <w:jc w:val="center"/>
              <w:rPr>
                <w:color w:val="000000" w:themeColor="text1"/>
                <w:sz w:val="15"/>
                <w:szCs w:val="15"/>
              </w:rPr>
            </w:pPr>
            <w:r w:rsidRPr="0077649B">
              <w:rPr>
                <w:color w:val="000000" w:themeColor="text1"/>
                <w:sz w:val="15"/>
                <w:szCs w:val="15"/>
              </w:rPr>
              <w:t>epioxide</w:t>
            </w:r>
          </w:p>
          <w:p w14:paraId="0215A004" w14:textId="77777777" w:rsidR="004D1935" w:rsidRPr="0077649B" w:rsidRDefault="004D1935" w:rsidP="00E24DC9">
            <w:pPr>
              <w:jc w:val="center"/>
              <w:rPr>
                <w:color w:val="000000" w:themeColor="text1"/>
                <w:sz w:val="15"/>
                <w:szCs w:val="15"/>
              </w:rPr>
            </w:pPr>
            <w:r w:rsidRPr="0077649B">
              <w:rPr>
                <w:rFonts w:ascii="Calibri" w:hAnsi="Calibri" w:cs="Calibri"/>
                <w:color w:val="000000" w:themeColor="text1"/>
                <w:sz w:val="15"/>
                <w:szCs w:val="15"/>
              </w:rPr>
              <w:t>ester</w:t>
            </w:r>
          </w:p>
          <w:p w14:paraId="12A863CA" w14:textId="77777777" w:rsidR="004D1935" w:rsidRPr="0077649B" w:rsidRDefault="004D1935" w:rsidP="00E24DC9">
            <w:pPr>
              <w:jc w:val="center"/>
              <w:rPr>
                <w:color w:val="000000" w:themeColor="text1"/>
                <w:sz w:val="15"/>
                <w:szCs w:val="15"/>
              </w:rPr>
            </w:pPr>
            <w:r w:rsidRPr="0077649B">
              <w:rPr>
                <w:rFonts w:ascii="Calibri" w:hAnsi="Calibri" w:cs="Calibri"/>
                <w:color w:val="000000" w:themeColor="text1"/>
                <w:sz w:val="15"/>
                <w:szCs w:val="15"/>
              </w:rPr>
              <w:t>ketone</w:t>
            </w:r>
          </w:p>
          <w:p w14:paraId="610907E9" w14:textId="77777777" w:rsidR="004D1935" w:rsidRPr="0077649B" w:rsidRDefault="004D1935" w:rsidP="00E24DC9">
            <w:pPr>
              <w:jc w:val="center"/>
              <w:rPr>
                <w:color w:val="000000" w:themeColor="text1"/>
                <w:sz w:val="15"/>
                <w:szCs w:val="15"/>
              </w:rPr>
            </w:pPr>
            <w:r w:rsidRPr="0077649B">
              <w:rPr>
                <w:rFonts w:ascii="Calibri" w:hAnsi="Calibri" w:cs="Calibri"/>
                <w:color w:val="000000" w:themeColor="text1"/>
                <w:sz w:val="15"/>
                <w:szCs w:val="15"/>
              </w:rPr>
              <w:t>carboxy   acid/glycan</w:t>
            </w:r>
          </w:p>
          <w:p w14:paraId="32816A16" w14:textId="77777777" w:rsidR="004D1935" w:rsidRPr="0077649B" w:rsidRDefault="004D1935" w:rsidP="00E24DC9">
            <w:pPr>
              <w:jc w:val="center"/>
              <w:rPr>
                <w:color w:val="000000" w:themeColor="text1"/>
                <w:sz w:val="15"/>
                <w:szCs w:val="15"/>
              </w:rPr>
            </w:pPr>
            <w:r w:rsidRPr="0077649B">
              <w:rPr>
                <w:rFonts w:ascii="Calibri" w:hAnsi="Calibri" w:cs="Calibri"/>
                <w:color w:val="000000" w:themeColor="text1"/>
                <w:sz w:val="15"/>
                <w:szCs w:val="15"/>
              </w:rPr>
              <w:t>carboxy acid/glycan</w:t>
            </w:r>
          </w:p>
          <w:p w14:paraId="29CF8BCF" w14:textId="77777777" w:rsidR="004D1935" w:rsidRPr="0077649B" w:rsidRDefault="004D1935" w:rsidP="00E24DC9">
            <w:pPr>
              <w:jc w:val="center"/>
              <w:rPr>
                <w:color w:val="000000" w:themeColor="text1"/>
                <w:sz w:val="15"/>
                <w:szCs w:val="15"/>
              </w:rPr>
            </w:pPr>
            <w:r w:rsidRPr="0077649B">
              <w:rPr>
                <w:rFonts w:ascii="Calibri" w:hAnsi="Calibri" w:cs="Calibri"/>
                <w:color w:val="000000" w:themeColor="text1"/>
                <w:sz w:val="15"/>
                <w:szCs w:val="15"/>
              </w:rPr>
              <w:t>carboxy acid/glycan</w:t>
            </w:r>
          </w:p>
          <w:p w14:paraId="1A33586C" w14:textId="77777777" w:rsidR="004D1935" w:rsidRPr="0077649B" w:rsidRDefault="004D1935" w:rsidP="00E24DC9">
            <w:pPr>
              <w:jc w:val="center"/>
              <w:rPr>
                <w:color w:val="000000" w:themeColor="text1"/>
                <w:sz w:val="15"/>
                <w:szCs w:val="15"/>
              </w:rPr>
            </w:pPr>
            <w:r w:rsidRPr="0077649B">
              <w:rPr>
                <w:rFonts w:ascii="Calibri" w:hAnsi="Calibri" w:cs="Calibri"/>
                <w:color w:val="000000" w:themeColor="text1"/>
                <w:sz w:val="15"/>
                <w:szCs w:val="15"/>
              </w:rPr>
              <w:t>carboxy acid/glycan</w:t>
            </w:r>
          </w:p>
          <w:p w14:paraId="3ED3E101" w14:textId="77777777" w:rsidR="004D1935" w:rsidRPr="0077649B" w:rsidRDefault="004D1935" w:rsidP="00E24DC9">
            <w:pPr>
              <w:jc w:val="center"/>
              <w:rPr>
                <w:color w:val="000000" w:themeColor="text1"/>
                <w:sz w:val="15"/>
                <w:szCs w:val="15"/>
              </w:rPr>
            </w:pPr>
            <w:r w:rsidRPr="0077649B">
              <w:rPr>
                <w:rFonts w:ascii="Calibri" w:hAnsi="Calibri" w:cs="Calibri"/>
                <w:color w:val="000000" w:themeColor="text1"/>
                <w:sz w:val="15"/>
                <w:szCs w:val="15"/>
              </w:rPr>
              <w:t>carboxy acid/glycan</w:t>
            </w:r>
          </w:p>
          <w:p w14:paraId="616BBEED" w14:textId="77777777" w:rsidR="004D1935" w:rsidRPr="0077649B" w:rsidRDefault="004D1935" w:rsidP="00E24DC9">
            <w:pPr>
              <w:jc w:val="center"/>
              <w:rPr>
                <w:color w:val="000000" w:themeColor="text1"/>
                <w:sz w:val="15"/>
                <w:szCs w:val="15"/>
              </w:rPr>
            </w:pPr>
            <w:r w:rsidRPr="0077649B">
              <w:rPr>
                <w:rFonts w:ascii="Calibri" w:hAnsi="Calibri" w:cs="Calibri"/>
                <w:color w:val="000000" w:themeColor="text1"/>
                <w:sz w:val="15"/>
                <w:szCs w:val="15"/>
              </w:rPr>
              <w:t>carboxy acid/glycan</w:t>
            </w:r>
          </w:p>
        </w:tc>
        <w:tc>
          <w:tcPr>
            <w:tcW w:w="1418" w:type="dxa"/>
            <w:vMerge w:val="restart"/>
            <w:vAlign w:val="center"/>
          </w:tcPr>
          <w:p w14:paraId="7D886296" w14:textId="77777777" w:rsidR="004D1935" w:rsidRPr="0077649B" w:rsidRDefault="004D1935" w:rsidP="00E24DC9">
            <w:pPr>
              <w:jc w:val="center"/>
              <w:rPr>
                <w:color w:val="000000" w:themeColor="text1"/>
                <w:sz w:val="15"/>
                <w:szCs w:val="15"/>
              </w:rPr>
            </w:pPr>
            <w:r w:rsidRPr="0077649B">
              <w:rPr>
                <w:rFonts w:ascii="Arial" w:hAnsi="Arial" w:cs="Arial"/>
                <w:color w:val="000000" w:themeColor="text1"/>
                <w:sz w:val="15"/>
                <w:szCs w:val="15"/>
                <w:shd w:val="clear" w:color="auto" w:fill="FFFFFF"/>
              </w:rPr>
              <w:t>C</w:t>
            </w:r>
            <w:r w:rsidRPr="0077649B">
              <w:rPr>
                <w:rFonts w:ascii="Arial" w:hAnsi="Arial" w:cs="Arial"/>
                <w:color w:val="000000" w:themeColor="text1"/>
                <w:sz w:val="15"/>
                <w:szCs w:val="15"/>
                <w:shd w:val="clear" w:color="auto" w:fill="FFFFFF"/>
                <w:vertAlign w:val="subscript"/>
              </w:rPr>
              <w:t>9</w:t>
            </w:r>
            <w:r w:rsidRPr="0077649B">
              <w:rPr>
                <w:rFonts w:ascii="Arial" w:hAnsi="Arial" w:cs="Arial"/>
                <w:color w:val="000000" w:themeColor="text1"/>
                <w:sz w:val="15"/>
                <w:szCs w:val="15"/>
                <w:shd w:val="clear" w:color="auto" w:fill="FFFFFF"/>
              </w:rPr>
              <w:t>H</w:t>
            </w:r>
            <w:r w:rsidRPr="0077649B">
              <w:rPr>
                <w:rFonts w:ascii="Arial" w:hAnsi="Arial" w:cs="Arial"/>
                <w:color w:val="000000" w:themeColor="text1"/>
                <w:sz w:val="15"/>
                <w:szCs w:val="15"/>
                <w:shd w:val="clear" w:color="auto" w:fill="FFFFFF"/>
                <w:vertAlign w:val="subscript"/>
              </w:rPr>
              <w:t>7</w:t>
            </w:r>
            <w:r w:rsidRPr="0077649B">
              <w:rPr>
                <w:rFonts w:ascii="Arial" w:hAnsi="Arial" w:cs="Arial"/>
                <w:color w:val="000000" w:themeColor="text1"/>
                <w:sz w:val="15"/>
                <w:szCs w:val="15"/>
                <w:shd w:val="clear" w:color="auto" w:fill="FFFFFF"/>
              </w:rPr>
              <w:t>O</w:t>
            </w:r>
            <w:r w:rsidRPr="0077649B">
              <w:rPr>
                <w:rFonts w:ascii="Arial" w:hAnsi="Arial" w:cs="Arial"/>
                <w:color w:val="000000" w:themeColor="text1"/>
                <w:sz w:val="15"/>
                <w:szCs w:val="15"/>
                <w:shd w:val="clear" w:color="auto" w:fill="FFFFFF"/>
                <w:vertAlign w:val="subscript"/>
              </w:rPr>
              <w:t>5</w:t>
            </w:r>
          </w:p>
          <w:p w14:paraId="743B022F" w14:textId="77777777" w:rsidR="004D1935" w:rsidRPr="0077649B" w:rsidRDefault="004D1935" w:rsidP="00E24DC9">
            <w:pPr>
              <w:jc w:val="center"/>
              <w:rPr>
                <w:color w:val="000000" w:themeColor="text1"/>
                <w:sz w:val="15"/>
                <w:szCs w:val="15"/>
              </w:rPr>
            </w:pPr>
            <w:r w:rsidRPr="0077649B">
              <w:rPr>
                <w:rFonts w:ascii="Arial" w:hAnsi="Arial" w:cs="Arial"/>
                <w:color w:val="000000" w:themeColor="text1"/>
                <w:sz w:val="15"/>
                <w:szCs w:val="15"/>
                <w:shd w:val="clear" w:color="auto" w:fill="FFFFFF"/>
              </w:rPr>
              <w:t>C</w:t>
            </w:r>
            <w:r w:rsidRPr="0077649B">
              <w:rPr>
                <w:rFonts w:ascii="Arial" w:hAnsi="Arial" w:cs="Arial"/>
                <w:color w:val="000000" w:themeColor="text1"/>
                <w:sz w:val="15"/>
                <w:szCs w:val="15"/>
                <w:shd w:val="clear" w:color="auto" w:fill="FFFFFF"/>
                <w:vertAlign w:val="subscript"/>
              </w:rPr>
              <w:t>6</w:t>
            </w:r>
            <w:r w:rsidRPr="0077649B">
              <w:rPr>
                <w:rFonts w:ascii="Arial" w:hAnsi="Arial" w:cs="Arial"/>
                <w:color w:val="000000" w:themeColor="text1"/>
                <w:sz w:val="15"/>
                <w:szCs w:val="15"/>
                <w:shd w:val="clear" w:color="auto" w:fill="FFFFFF"/>
              </w:rPr>
              <w:t>H</w:t>
            </w:r>
            <w:r w:rsidRPr="0077649B">
              <w:rPr>
                <w:rFonts w:ascii="Arial" w:hAnsi="Arial" w:cs="Arial"/>
                <w:color w:val="000000" w:themeColor="text1"/>
                <w:sz w:val="15"/>
                <w:szCs w:val="15"/>
                <w:shd w:val="clear" w:color="auto" w:fill="FFFFFF"/>
                <w:vertAlign w:val="subscript"/>
              </w:rPr>
              <w:t>13</w:t>
            </w:r>
            <w:r w:rsidRPr="0077649B">
              <w:rPr>
                <w:rFonts w:ascii="Arial" w:hAnsi="Arial" w:cs="Arial"/>
                <w:color w:val="000000" w:themeColor="text1"/>
                <w:sz w:val="15"/>
                <w:szCs w:val="15"/>
                <w:shd w:val="clear" w:color="auto" w:fill="FFFFFF"/>
              </w:rPr>
              <w:t>NO</w:t>
            </w:r>
            <w:r w:rsidRPr="0077649B">
              <w:rPr>
                <w:rFonts w:ascii="Arial" w:hAnsi="Arial" w:cs="Arial"/>
                <w:color w:val="000000" w:themeColor="text1"/>
                <w:sz w:val="15"/>
                <w:szCs w:val="15"/>
                <w:shd w:val="clear" w:color="auto" w:fill="FFFFFF"/>
                <w:vertAlign w:val="subscript"/>
              </w:rPr>
              <w:t>6</w:t>
            </w:r>
          </w:p>
          <w:p w14:paraId="16CFC248" w14:textId="77777777" w:rsidR="004D1935" w:rsidRPr="0077649B" w:rsidRDefault="004D1935" w:rsidP="00E24DC9">
            <w:pPr>
              <w:jc w:val="center"/>
              <w:rPr>
                <w:color w:val="000000" w:themeColor="text1"/>
                <w:sz w:val="15"/>
                <w:szCs w:val="15"/>
              </w:rPr>
            </w:pPr>
            <w:r w:rsidRPr="0077649B">
              <w:rPr>
                <w:rFonts w:ascii="Arial" w:hAnsi="Arial" w:cs="Arial"/>
                <w:color w:val="000000" w:themeColor="text1"/>
                <w:sz w:val="15"/>
                <w:szCs w:val="15"/>
                <w:shd w:val="clear" w:color="auto" w:fill="FFFFFF"/>
              </w:rPr>
              <w:t>C</w:t>
            </w:r>
            <w:r w:rsidRPr="0077649B">
              <w:rPr>
                <w:rFonts w:ascii="Arial" w:hAnsi="Arial" w:cs="Arial"/>
                <w:color w:val="000000" w:themeColor="text1"/>
                <w:sz w:val="15"/>
                <w:szCs w:val="15"/>
                <w:shd w:val="clear" w:color="auto" w:fill="FFFFFF"/>
                <w:vertAlign w:val="subscript"/>
              </w:rPr>
              <w:t>14</w:t>
            </w:r>
            <w:r w:rsidRPr="0077649B">
              <w:rPr>
                <w:rFonts w:ascii="Arial" w:hAnsi="Arial" w:cs="Arial"/>
                <w:color w:val="000000" w:themeColor="text1"/>
                <w:sz w:val="15"/>
                <w:szCs w:val="15"/>
                <w:shd w:val="clear" w:color="auto" w:fill="FFFFFF"/>
              </w:rPr>
              <w:t>H</w:t>
            </w:r>
            <w:r w:rsidRPr="0077649B">
              <w:rPr>
                <w:rFonts w:ascii="Arial" w:hAnsi="Arial" w:cs="Arial"/>
                <w:color w:val="000000" w:themeColor="text1"/>
                <w:sz w:val="15"/>
                <w:szCs w:val="15"/>
                <w:shd w:val="clear" w:color="auto" w:fill="FFFFFF"/>
                <w:vertAlign w:val="subscript"/>
              </w:rPr>
              <w:t>12</w:t>
            </w:r>
            <w:r w:rsidRPr="0077649B">
              <w:rPr>
                <w:rFonts w:ascii="Arial" w:hAnsi="Arial" w:cs="Arial"/>
                <w:color w:val="000000" w:themeColor="text1"/>
                <w:sz w:val="15"/>
                <w:szCs w:val="15"/>
                <w:shd w:val="clear" w:color="auto" w:fill="FFFFFF"/>
              </w:rPr>
              <w:t>O</w:t>
            </w:r>
          </w:p>
          <w:p w14:paraId="3B5D0BB7" w14:textId="77777777" w:rsidR="004D1935" w:rsidRPr="0077649B" w:rsidRDefault="004D1935" w:rsidP="00E24DC9">
            <w:pPr>
              <w:jc w:val="center"/>
              <w:rPr>
                <w:color w:val="000000" w:themeColor="text1"/>
                <w:sz w:val="15"/>
                <w:szCs w:val="15"/>
              </w:rPr>
            </w:pPr>
            <w:r w:rsidRPr="0077649B">
              <w:rPr>
                <w:rFonts w:ascii="Arial" w:hAnsi="Arial" w:cs="Arial"/>
                <w:color w:val="000000" w:themeColor="text1"/>
                <w:sz w:val="15"/>
                <w:szCs w:val="15"/>
                <w:shd w:val="clear" w:color="auto" w:fill="FFFFFF"/>
              </w:rPr>
              <w:t>C</w:t>
            </w:r>
            <w:r w:rsidRPr="0077649B">
              <w:rPr>
                <w:rFonts w:ascii="Arial" w:hAnsi="Arial" w:cs="Arial"/>
                <w:color w:val="000000" w:themeColor="text1"/>
                <w:sz w:val="15"/>
                <w:szCs w:val="15"/>
                <w:shd w:val="clear" w:color="auto" w:fill="FFFFFF"/>
                <w:vertAlign w:val="subscript"/>
              </w:rPr>
              <w:t>12</w:t>
            </w:r>
            <w:r w:rsidRPr="0077649B">
              <w:rPr>
                <w:rFonts w:ascii="Arial" w:hAnsi="Arial" w:cs="Arial"/>
                <w:color w:val="000000" w:themeColor="text1"/>
                <w:sz w:val="15"/>
                <w:szCs w:val="15"/>
                <w:shd w:val="clear" w:color="auto" w:fill="FFFFFF"/>
              </w:rPr>
              <w:t>H</w:t>
            </w:r>
            <w:r w:rsidRPr="0077649B">
              <w:rPr>
                <w:rFonts w:ascii="Arial" w:hAnsi="Arial" w:cs="Arial"/>
                <w:color w:val="000000" w:themeColor="text1"/>
                <w:sz w:val="15"/>
                <w:szCs w:val="15"/>
                <w:shd w:val="clear" w:color="auto" w:fill="FFFFFF"/>
                <w:vertAlign w:val="subscript"/>
              </w:rPr>
              <w:t>20</w:t>
            </w:r>
            <w:r w:rsidRPr="0077649B">
              <w:rPr>
                <w:rFonts w:ascii="Arial" w:hAnsi="Arial" w:cs="Arial"/>
                <w:color w:val="000000" w:themeColor="text1"/>
                <w:sz w:val="15"/>
                <w:szCs w:val="15"/>
                <w:shd w:val="clear" w:color="auto" w:fill="FFFFFF"/>
              </w:rPr>
              <w:t>O</w:t>
            </w:r>
            <w:r w:rsidRPr="0077649B">
              <w:rPr>
                <w:rFonts w:ascii="Arial" w:hAnsi="Arial" w:cs="Arial"/>
                <w:color w:val="000000" w:themeColor="text1"/>
                <w:sz w:val="15"/>
                <w:szCs w:val="15"/>
                <w:shd w:val="clear" w:color="auto" w:fill="FFFFFF"/>
                <w:vertAlign w:val="subscript"/>
              </w:rPr>
              <w:t>2</w:t>
            </w:r>
          </w:p>
          <w:p w14:paraId="7B9730DC" w14:textId="77777777" w:rsidR="004D1935" w:rsidRPr="0077649B" w:rsidRDefault="004D1935" w:rsidP="00E24DC9">
            <w:pPr>
              <w:jc w:val="center"/>
              <w:rPr>
                <w:color w:val="000000" w:themeColor="text1"/>
                <w:sz w:val="15"/>
                <w:szCs w:val="15"/>
              </w:rPr>
            </w:pPr>
            <w:r w:rsidRPr="0077649B">
              <w:rPr>
                <w:rFonts w:ascii="Arial" w:hAnsi="Arial" w:cs="Arial"/>
                <w:color w:val="000000" w:themeColor="text1"/>
                <w:sz w:val="15"/>
                <w:szCs w:val="15"/>
                <w:shd w:val="clear" w:color="auto" w:fill="FFFFFF"/>
              </w:rPr>
              <w:t>C</w:t>
            </w:r>
            <w:r w:rsidRPr="0077649B">
              <w:rPr>
                <w:rFonts w:ascii="Arial" w:hAnsi="Arial" w:cs="Arial"/>
                <w:color w:val="000000" w:themeColor="text1"/>
                <w:sz w:val="15"/>
                <w:szCs w:val="15"/>
                <w:shd w:val="clear" w:color="auto" w:fill="FFFFFF"/>
                <w:vertAlign w:val="subscript"/>
              </w:rPr>
              <w:t>9</w:t>
            </w:r>
            <w:r w:rsidRPr="0077649B">
              <w:rPr>
                <w:rFonts w:ascii="Arial" w:hAnsi="Arial" w:cs="Arial"/>
                <w:color w:val="000000" w:themeColor="text1"/>
                <w:sz w:val="15"/>
                <w:szCs w:val="15"/>
                <w:shd w:val="clear" w:color="auto" w:fill="FFFFFF"/>
              </w:rPr>
              <w:t>H</w:t>
            </w:r>
            <w:r w:rsidRPr="0077649B">
              <w:rPr>
                <w:rFonts w:ascii="Arial" w:hAnsi="Arial" w:cs="Arial"/>
                <w:color w:val="000000" w:themeColor="text1"/>
                <w:sz w:val="15"/>
                <w:szCs w:val="15"/>
                <w:shd w:val="clear" w:color="auto" w:fill="FFFFFF"/>
                <w:vertAlign w:val="subscript"/>
              </w:rPr>
              <w:t>9</w:t>
            </w:r>
            <w:r w:rsidRPr="0077649B">
              <w:rPr>
                <w:rFonts w:ascii="Arial" w:hAnsi="Arial" w:cs="Arial"/>
                <w:color w:val="000000" w:themeColor="text1"/>
                <w:sz w:val="15"/>
                <w:szCs w:val="15"/>
                <w:shd w:val="clear" w:color="auto" w:fill="FFFFFF"/>
              </w:rPr>
              <w:t>NO</w:t>
            </w:r>
            <w:r w:rsidRPr="0077649B">
              <w:rPr>
                <w:rFonts w:ascii="Arial" w:hAnsi="Arial" w:cs="Arial"/>
                <w:color w:val="000000" w:themeColor="text1"/>
                <w:sz w:val="15"/>
                <w:szCs w:val="15"/>
                <w:shd w:val="clear" w:color="auto" w:fill="FFFFFF"/>
                <w:vertAlign w:val="subscript"/>
              </w:rPr>
              <w:t>4</w:t>
            </w:r>
          </w:p>
          <w:p w14:paraId="723A6FC4" w14:textId="77777777" w:rsidR="004D1935" w:rsidRPr="0077649B" w:rsidRDefault="004D1935" w:rsidP="00E24DC9">
            <w:pPr>
              <w:jc w:val="center"/>
              <w:rPr>
                <w:color w:val="000000" w:themeColor="text1"/>
                <w:sz w:val="15"/>
                <w:szCs w:val="15"/>
              </w:rPr>
            </w:pPr>
            <w:r w:rsidRPr="0077649B">
              <w:rPr>
                <w:rFonts w:ascii="Arial" w:hAnsi="Arial" w:cs="Arial"/>
                <w:color w:val="000000" w:themeColor="text1"/>
                <w:sz w:val="15"/>
                <w:szCs w:val="15"/>
                <w:shd w:val="clear" w:color="auto" w:fill="FFFFFF"/>
              </w:rPr>
              <w:t>C</w:t>
            </w:r>
            <w:r w:rsidRPr="0077649B">
              <w:rPr>
                <w:rFonts w:ascii="Arial" w:hAnsi="Arial" w:cs="Arial"/>
                <w:color w:val="000000" w:themeColor="text1"/>
                <w:sz w:val="15"/>
                <w:szCs w:val="15"/>
                <w:shd w:val="clear" w:color="auto" w:fill="FFFFFF"/>
                <w:vertAlign w:val="subscript"/>
              </w:rPr>
              <w:t>6</w:t>
            </w:r>
            <w:r w:rsidRPr="0077649B">
              <w:rPr>
                <w:rFonts w:ascii="Arial" w:hAnsi="Arial" w:cs="Arial"/>
                <w:color w:val="000000" w:themeColor="text1"/>
                <w:sz w:val="15"/>
                <w:szCs w:val="15"/>
                <w:shd w:val="clear" w:color="auto" w:fill="FFFFFF"/>
              </w:rPr>
              <w:t>H</w:t>
            </w:r>
            <w:r w:rsidRPr="0077649B">
              <w:rPr>
                <w:rFonts w:ascii="Arial" w:hAnsi="Arial" w:cs="Arial"/>
                <w:color w:val="000000" w:themeColor="text1"/>
                <w:sz w:val="15"/>
                <w:szCs w:val="15"/>
                <w:shd w:val="clear" w:color="auto" w:fill="FFFFFF"/>
                <w:vertAlign w:val="subscript"/>
              </w:rPr>
              <w:t>11</w:t>
            </w:r>
            <w:r w:rsidRPr="0077649B">
              <w:rPr>
                <w:rFonts w:ascii="Arial" w:hAnsi="Arial" w:cs="Arial"/>
                <w:color w:val="000000" w:themeColor="text1"/>
                <w:sz w:val="15"/>
                <w:szCs w:val="15"/>
                <w:shd w:val="clear" w:color="auto" w:fill="FFFFFF"/>
              </w:rPr>
              <w:t>O</w:t>
            </w:r>
            <w:r w:rsidRPr="0077649B">
              <w:rPr>
                <w:rFonts w:ascii="Arial" w:hAnsi="Arial" w:cs="Arial"/>
                <w:color w:val="000000" w:themeColor="text1"/>
                <w:sz w:val="15"/>
                <w:szCs w:val="15"/>
                <w:shd w:val="clear" w:color="auto" w:fill="FFFFFF"/>
                <w:vertAlign w:val="subscript"/>
              </w:rPr>
              <w:t>7</w:t>
            </w:r>
          </w:p>
          <w:p w14:paraId="46DE982E" w14:textId="77777777" w:rsidR="004D1935" w:rsidRPr="0077649B" w:rsidRDefault="004D1935" w:rsidP="00E24DC9">
            <w:pPr>
              <w:jc w:val="center"/>
              <w:rPr>
                <w:color w:val="000000" w:themeColor="text1"/>
                <w:sz w:val="15"/>
                <w:szCs w:val="15"/>
              </w:rPr>
            </w:pPr>
            <w:r w:rsidRPr="0077649B">
              <w:rPr>
                <w:rFonts w:ascii="Arial" w:hAnsi="Arial" w:cs="Arial"/>
                <w:color w:val="000000" w:themeColor="text1"/>
                <w:sz w:val="15"/>
                <w:szCs w:val="15"/>
                <w:shd w:val="clear" w:color="auto" w:fill="FFFFFF"/>
              </w:rPr>
              <w:t>C</w:t>
            </w:r>
            <w:r w:rsidRPr="0077649B">
              <w:rPr>
                <w:rFonts w:ascii="Arial" w:hAnsi="Arial" w:cs="Arial"/>
                <w:color w:val="000000" w:themeColor="text1"/>
                <w:sz w:val="15"/>
                <w:szCs w:val="15"/>
                <w:shd w:val="clear" w:color="auto" w:fill="FFFFFF"/>
                <w:vertAlign w:val="subscript"/>
              </w:rPr>
              <w:t>6</w:t>
            </w:r>
            <w:r w:rsidRPr="0077649B">
              <w:rPr>
                <w:rFonts w:ascii="Arial" w:hAnsi="Arial" w:cs="Arial"/>
                <w:color w:val="000000" w:themeColor="text1"/>
                <w:sz w:val="15"/>
                <w:szCs w:val="15"/>
                <w:shd w:val="clear" w:color="auto" w:fill="FFFFFF"/>
              </w:rPr>
              <w:t>H</w:t>
            </w:r>
            <w:r w:rsidRPr="0077649B">
              <w:rPr>
                <w:rFonts w:ascii="Arial" w:hAnsi="Arial" w:cs="Arial"/>
                <w:color w:val="000000" w:themeColor="text1"/>
                <w:sz w:val="15"/>
                <w:szCs w:val="15"/>
                <w:shd w:val="clear" w:color="auto" w:fill="FFFFFF"/>
                <w:vertAlign w:val="subscript"/>
              </w:rPr>
              <w:t>11</w:t>
            </w:r>
            <w:r w:rsidRPr="0077649B">
              <w:rPr>
                <w:rFonts w:ascii="Arial" w:hAnsi="Arial" w:cs="Arial"/>
                <w:color w:val="000000" w:themeColor="text1"/>
                <w:sz w:val="15"/>
                <w:szCs w:val="15"/>
                <w:shd w:val="clear" w:color="auto" w:fill="FFFFFF"/>
              </w:rPr>
              <w:t>O</w:t>
            </w:r>
            <w:r w:rsidRPr="0077649B">
              <w:rPr>
                <w:rFonts w:ascii="Arial" w:hAnsi="Arial" w:cs="Arial"/>
                <w:color w:val="000000" w:themeColor="text1"/>
                <w:sz w:val="15"/>
                <w:szCs w:val="15"/>
                <w:shd w:val="clear" w:color="auto" w:fill="FFFFFF"/>
                <w:vertAlign w:val="subscript"/>
              </w:rPr>
              <w:t>7</w:t>
            </w:r>
          </w:p>
          <w:p w14:paraId="6480FECA" w14:textId="77777777" w:rsidR="004D1935" w:rsidRPr="0077649B" w:rsidRDefault="004D1935" w:rsidP="00E24DC9">
            <w:pPr>
              <w:jc w:val="center"/>
              <w:rPr>
                <w:color w:val="000000" w:themeColor="text1"/>
                <w:sz w:val="15"/>
                <w:szCs w:val="15"/>
              </w:rPr>
            </w:pPr>
            <w:r w:rsidRPr="0077649B">
              <w:rPr>
                <w:rFonts w:ascii="Arial" w:hAnsi="Arial" w:cs="Arial"/>
                <w:color w:val="000000" w:themeColor="text1"/>
                <w:sz w:val="15"/>
                <w:szCs w:val="15"/>
                <w:shd w:val="clear" w:color="auto" w:fill="FFFFFF"/>
              </w:rPr>
              <w:t>C</w:t>
            </w:r>
            <w:r w:rsidRPr="0077649B">
              <w:rPr>
                <w:rFonts w:ascii="Arial" w:hAnsi="Arial" w:cs="Arial"/>
                <w:color w:val="000000" w:themeColor="text1"/>
                <w:sz w:val="15"/>
                <w:szCs w:val="15"/>
                <w:shd w:val="clear" w:color="auto" w:fill="FFFFFF"/>
                <w:vertAlign w:val="subscript"/>
              </w:rPr>
              <w:t>6</w:t>
            </w:r>
            <w:r w:rsidRPr="0077649B">
              <w:rPr>
                <w:rFonts w:ascii="Arial" w:hAnsi="Arial" w:cs="Arial"/>
                <w:color w:val="000000" w:themeColor="text1"/>
                <w:sz w:val="15"/>
                <w:szCs w:val="15"/>
                <w:shd w:val="clear" w:color="auto" w:fill="FFFFFF"/>
              </w:rPr>
              <w:t>H</w:t>
            </w:r>
            <w:r w:rsidRPr="0077649B">
              <w:rPr>
                <w:rFonts w:ascii="Arial" w:hAnsi="Arial" w:cs="Arial"/>
                <w:color w:val="000000" w:themeColor="text1"/>
                <w:sz w:val="15"/>
                <w:szCs w:val="15"/>
                <w:shd w:val="clear" w:color="auto" w:fill="FFFFFF"/>
                <w:vertAlign w:val="subscript"/>
              </w:rPr>
              <w:t>11</w:t>
            </w:r>
            <w:r w:rsidRPr="0077649B">
              <w:rPr>
                <w:rFonts w:ascii="Arial" w:hAnsi="Arial" w:cs="Arial"/>
                <w:color w:val="000000" w:themeColor="text1"/>
                <w:sz w:val="15"/>
                <w:szCs w:val="15"/>
                <w:shd w:val="clear" w:color="auto" w:fill="FFFFFF"/>
              </w:rPr>
              <w:t>O</w:t>
            </w:r>
            <w:r w:rsidRPr="0077649B">
              <w:rPr>
                <w:rFonts w:ascii="Arial" w:hAnsi="Arial" w:cs="Arial"/>
                <w:color w:val="000000" w:themeColor="text1"/>
                <w:sz w:val="15"/>
                <w:szCs w:val="15"/>
                <w:shd w:val="clear" w:color="auto" w:fill="FFFFFF"/>
                <w:vertAlign w:val="subscript"/>
              </w:rPr>
              <w:t>7</w:t>
            </w:r>
          </w:p>
          <w:p w14:paraId="43BB82AB" w14:textId="77777777" w:rsidR="004D1935" w:rsidRPr="0077649B" w:rsidRDefault="004D1935" w:rsidP="00E24DC9">
            <w:pPr>
              <w:jc w:val="center"/>
              <w:rPr>
                <w:color w:val="000000" w:themeColor="text1"/>
                <w:sz w:val="15"/>
                <w:szCs w:val="15"/>
              </w:rPr>
            </w:pPr>
            <w:r w:rsidRPr="0077649B">
              <w:rPr>
                <w:rFonts w:ascii="Arial" w:hAnsi="Arial" w:cs="Arial"/>
                <w:color w:val="000000" w:themeColor="text1"/>
                <w:sz w:val="15"/>
                <w:szCs w:val="15"/>
                <w:shd w:val="clear" w:color="auto" w:fill="FFFFFF"/>
              </w:rPr>
              <w:t>C</w:t>
            </w:r>
            <w:r w:rsidRPr="0077649B">
              <w:rPr>
                <w:rFonts w:ascii="Arial" w:hAnsi="Arial" w:cs="Arial"/>
                <w:color w:val="000000" w:themeColor="text1"/>
                <w:sz w:val="15"/>
                <w:szCs w:val="15"/>
                <w:shd w:val="clear" w:color="auto" w:fill="FFFFFF"/>
                <w:vertAlign w:val="subscript"/>
              </w:rPr>
              <w:t>6</w:t>
            </w:r>
            <w:r w:rsidRPr="0077649B">
              <w:rPr>
                <w:rFonts w:ascii="Arial" w:hAnsi="Arial" w:cs="Arial"/>
                <w:color w:val="000000" w:themeColor="text1"/>
                <w:sz w:val="15"/>
                <w:szCs w:val="15"/>
                <w:shd w:val="clear" w:color="auto" w:fill="FFFFFF"/>
              </w:rPr>
              <w:t>H</w:t>
            </w:r>
            <w:r w:rsidRPr="0077649B">
              <w:rPr>
                <w:rFonts w:ascii="Arial" w:hAnsi="Arial" w:cs="Arial"/>
                <w:color w:val="000000" w:themeColor="text1"/>
                <w:sz w:val="15"/>
                <w:szCs w:val="15"/>
                <w:shd w:val="clear" w:color="auto" w:fill="FFFFFF"/>
                <w:vertAlign w:val="subscript"/>
              </w:rPr>
              <w:t>11</w:t>
            </w:r>
            <w:r w:rsidRPr="0077649B">
              <w:rPr>
                <w:rFonts w:ascii="Arial" w:hAnsi="Arial" w:cs="Arial"/>
                <w:color w:val="000000" w:themeColor="text1"/>
                <w:sz w:val="15"/>
                <w:szCs w:val="15"/>
                <w:shd w:val="clear" w:color="auto" w:fill="FFFFFF"/>
              </w:rPr>
              <w:t>O</w:t>
            </w:r>
            <w:r w:rsidRPr="0077649B">
              <w:rPr>
                <w:rFonts w:ascii="Arial" w:hAnsi="Arial" w:cs="Arial"/>
                <w:color w:val="000000" w:themeColor="text1"/>
                <w:sz w:val="15"/>
                <w:szCs w:val="15"/>
                <w:shd w:val="clear" w:color="auto" w:fill="FFFFFF"/>
                <w:vertAlign w:val="subscript"/>
              </w:rPr>
              <w:t>7</w:t>
            </w:r>
          </w:p>
          <w:p w14:paraId="0B90BA8F" w14:textId="77777777" w:rsidR="004D1935" w:rsidRPr="0077649B" w:rsidRDefault="004D1935" w:rsidP="00E24DC9">
            <w:pPr>
              <w:jc w:val="center"/>
              <w:rPr>
                <w:color w:val="000000" w:themeColor="text1"/>
                <w:sz w:val="15"/>
                <w:szCs w:val="15"/>
              </w:rPr>
            </w:pPr>
            <w:r w:rsidRPr="0077649B">
              <w:rPr>
                <w:rFonts w:ascii="Arial" w:hAnsi="Arial" w:cs="Arial"/>
                <w:color w:val="000000" w:themeColor="text1"/>
                <w:sz w:val="15"/>
                <w:szCs w:val="15"/>
                <w:shd w:val="clear" w:color="auto" w:fill="FFFFFF"/>
              </w:rPr>
              <w:t>C</w:t>
            </w:r>
            <w:r w:rsidRPr="0077649B">
              <w:rPr>
                <w:rFonts w:ascii="Arial" w:hAnsi="Arial" w:cs="Arial"/>
                <w:color w:val="000000" w:themeColor="text1"/>
                <w:sz w:val="15"/>
                <w:szCs w:val="15"/>
                <w:shd w:val="clear" w:color="auto" w:fill="FFFFFF"/>
                <w:vertAlign w:val="subscript"/>
              </w:rPr>
              <w:t>6</w:t>
            </w:r>
            <w:r w:rsidRPr="0077649B">
              <w:rPr>
                <w:rFonts w:ascii="Arial" w:hAnsi="Arial" w:cs="Arial"/>
                <w:color w:val="000000" w:themeColor="text1"/>
                <w:sz w:val="15"/>
                <w:szCs w:val="15"/>
                <w:shd w:val="clear" w:color="auto" w:fill="FFFFFF"/>
              </w:rPr>
              <w:t>H</w:t>
            </w:r>
            <w:r w:rsidRPr="0077649B">
              <w:rPr>
                <w:rFonts w:ascii="Arial" w:hAnsi="Arial" w:cs="Arial"/>
                <w:color w:val="000000" w:themeColor="text1"/>
                <w:sz w:val="15"/>
                <w:szCs w:val="15"/>
                <w:shd w:val="clear" w:color="auto" w:fill="FFFFFF"/>
                <w:vertAlign w:val="subscript"/>
              </w:rPr>
              <w:t>11</w:t>
            </w:r>
            <w:r w:rsidRPr="0077649B">
              <w:rPr>
                <w:rFonts w:ascii="Arial" w:hAnsi="Arial" w:cs="Arial"/>
                <w:color w:val="000000" w:themeColor="text1"/>
                <w:sz w:val="15"/>
                <w:szCs w:val="15"/>
                <w:shd w:val="clear" w:color="auto" w:fill="FFFFFF"/>
              </w:rPr>
              <w:t>O</w:t>
            </w:r>
            <w:r w:rsidRPr="0077649B">
              <w:rPr>
                <w:rFonts w:ascii="Arial" w:hAnsi="Arial" w:cs="Arial"/>
                <w:color w:val="000000" w:themeColor="text1"/>
                <w:sz w:val="15"/>
                <w:szCs w:val="15"/>
                <w:shd w:val="clear" w:color="auto" w:fill="FFFFFF"/>
                <w:vertAlign w:val="subscript"/>
              </w:rPr>
              <w:t>7</w:t>
            </w:r>
          </w:p>
          <w:p w14:paraId="4A51AAA8" w14:textId="77777777" w:rsidR="004D1935" w:rsidRPr="0077649B" w:rsidRDefault="004D1935" w:rsidP="00E24DC9">
            <w:pPr>
              <w:jc w:val="center"/>
              <w:rPr>
                <w:color w:val="000000" w:themeColor="text1"/>
                <w:sz w:val="15"/>
                <w:szCs w:val="15"/>
              </w:rPr>
            </w:pPr>
            <w:r w:rsidRPr="0077649B">
              <w:rPr>
                <w:rFonts w:ascii="Arial" w:hAnsi="Arial" w:cs="Arial"/>
                <w:color w:val="000000" w:themeColor="text1"/>
                <w:sz w:val="15"/>
                <w:szCs w:val="15"/>
                <w:shd w:val="clear" w:color="auto" w:fill="FFFFFF"/>
              </w:rPr>
              <w:t>C</w:t>
            </w:r>
            <w:r w:rsidRPr="0077649B">
              <w:rPr>
                <w:rFonts w:ascii="Arial" w:hAnsi="Arial" w:cs="Arial"/>
                <w:color w:val="000000" w:themeColor="text1"/>
                <w:sz w:val="15"/>
                <w:szCs w:val="15"/>
                <w:shd w:val="clear" w:color="auto" w:fill="FFFFFF"/>
                <w:vertAlign w:val="subscript"/>
              </w:rPr>
              <w:t>6</w:t>
            </w:r>
            <w:r w:rsidRPr="0077649B">
              <w:rPr>
                <w:rFonts w:ascii="Arial" w:hAnsi="Arial" w:cs="Arial"/>
                <w:color w:val="000000" w:themeColor="text1"/>
                <w:sz w:val="15"/>
                <w:szCs w:val="15"/>
                <w:shd w:val="clear" w:color="auto" w:fill="FFFFFF"/>
              </w:rPr>
              <w:t>H</w:t>
            </w:r>
            <w:r w:rsidRPr="0077649B">
              <w:rPr>
                <w:rFonts w:ascii="Arial" w:hAnsi="Arial" w:cs="Arial"/>
                <w:color w:val="000000" w:themeColor="text1"/>
                <w:sz w:val="15"/>
                <w:szCs w:val="15"/>
                <w:shd w:val="clear" w:color="auto" w:fill="FFFFFF"/>
                <w:vertAlign w:val="subscript"/>
              </w:rPr>
              <w:t>11</w:t>
            </w:r>
            <w:r w:rsidRPr="0077649B">
              <w:rPr>
                <w:rFonts w:ascii="Arial" w:hAnsi="Arial" w:cs="Arial"/>
                <w:color w:val="000000" w:themeColor="text1"/>
                <w:sz w:val="15"/>
                <w:szCs w:val="15"/>
                <w:shd w:val="clear" w:color="auto" w:fill="FFFFFF"/>
              </w:rPr>
              <w:t>O</w:t>
            </w:r>
            <w:r w:rsidRPr="0077649B">
              <w:rPr>
                <w:rFonts w:ascii="Arial" w:hAnsi="Arial" w:cs="Arial"/>
                <w:color w:val="000000" w:themeColor="text1"/>
                <w:sz w:val="15"/>
                <w:szCs w:val="15"/>
                <w:shd w:val="clear" w:color="auto" w:fill="FFFFFF"/>
                <w:vertAlign w:val="subscript"/>
              </w:rPr>
              <w:t>7</w:t>
            </w:r>
          </w:p>
          <w:p w14:paraId="3A0CDD67" w14:textId="77777777" w:rsidR="004D1935" w:rsidRPr="0077649B" w:rsidRDefault="004D1935" w:rsidP="00E24DC9">
            <w:pPr>
              <w:jc w:val="center"/>
              <w:rPr>
                <w:color w:val="000000" w:themeColor="text1"/>
                <w:sz w:val="15"/>
                <w:szCs w:val="15"/>
              </w:rPr>
            </w:pPr>
          </w:p>
        </w:tc>
        <w:tc>
          <w:tcPr>
            <w:tcW w:w="7513" w:type="dxa"/>
            <w:vMerge w:val="restart"/>
            <w:vAlign w:val="center"/>
          </w:tcPr>
          <w:p w14:paraId="1A968140" w14:textId="77777777" w:rsidR="004D1935" w:rsidRPr="0077649B" w:rsidRDefault="004D1935" w:rsidP="00E24DC9">
            <w:pPr>
              <w:jc w:val="center"/>
              <w:rPr>
                <w:color w:val="000000" w:themeColor="text1"/>
                <w:sz w:val="15"/>
                <w:szCs w:val="15"/>
              </w:rPr>
            </w:pPr>
            <w:r w:rsidRPr="0077649B">
              <w:rPr>
                <w:rFonts w:ascii="Calibri" w:hAnsi="Calibri" w:cs="Calibri"/>
                <w:color w:val="000000" w:themeColor="text1"/>
                <w:sz w:val="15"/>
                <w:szCs w:val="15"/>
              </w:rPr>
              <w:t>Tyrosine metabolism</w:t>
            </w:r>
          </w:p>
          <w:p w14:paraId="1AE93D02" w14:textId="77777777" w:rsidR="004D1935" w:rsidRPr="0077649B" w:rsidRDefault="004D1935" w:rsidP="00E24DC9">
            <w:pPr>
              <w:jc w:val="center"/>
              <w:rPr>
                <w:color w:val="000000" w:themeColor="text1"/>
                <w:sz w:val="15"/>
                <w:szCs w:val="15"/>
              </w:rPr>
            </w:pPr>
            <w:r w:rsidRPr="0077649B">
              <w:rPr>
                <w:rFonts w:ascii="Calibri" w:hAnsi="Calibri" w:cs="Calibri"/>
                <w:color w:val="000000" w:themeColor="text1"/>
                <w:sz w:val="15"/>
                <w:szCs w:val="15"/>
              </w:rPr>
              <w:t>Pentose phosphate pathway</w:t>
            </w:r>
          </w:p>
          <w:p w14:paraId="00D63785" w14:textId="77777777" w:rsidR="004D1935" w:rsidRPr="0077649B" w:rsidRDefault="004D1935" w:rsidP="00E24DC9">
            <w:pPr>
              <w:jc w:val="center"/>
              <w:rPr>
                <w:color w:val="000000" w:themeColor="text1"/>
                <w:sz w:val="15"/>
                <w:szCs w:val="15"/>
              </w:rPr>
            </w:pPr>
            <w:r w:rsidRPr="0077649B">
              <w:rPr>
                <w:rFonts w:ascii="Calibri" w:hAnsi="Calibri" w:cs="Calibri"/>
                <w:color w:val="000000" w:themeColor="text1"/>
                <w:sz w:val="15"/>
                <w:szCs w:val="15"/>
              </w:rPr>
              <w:t>Stilbenoid, diarylheptanoid and gingerol biosynthesis /jasmonic acid pathway/Riboflavin/Flavanone/Flavonoid/Abscisic acid biosynthesis/Shikimate pathway/pyrovate/pyrimidine fatty acid biosynthesis/animonsugar nuclotides sugar metabolism</w:t>
            </w:r>
          </w:p>
          <w:p w14:paraId="351C88DD" w14:textId="77777777" w:rsidR="004D1935" w:rsidRPr="0077649B" w:rsidRDefault="004D1935" w:rsidP="00E24DC9">
            <w:pPr>
              <w:jc w:val="center"/>
              <w:rPr>
                <w:color w:val="000000" w:themeColor="text1"/>
                <w:sz w:val="15"/>
                <w:szCs w:val="15"/>
              </w:rPr>
            </w:pPr>
            <w:r w:rsidRPr="0077649B">
              <w:rPr>
                <w:rFonts w:ascii="Calibri" w:hAnsi="Calibri" w:cs="Calibri"/>
                <w:color w:val="000000" w:themeColor="text1"/>
                <w:sz w:val="15"/>
                <w:szCs w:val="15"/>
              </w:rPr>
              <w:t>Terpenoid backbone biosynthesis/Diterpenoid biosynthesis/jasmonic acid pathway/Riboflavin/Flavanone/Flavonoid/Abscisic acid biosynthesis/Shikimate pathway/pyrovate/pyrimidine fatty acid biosynthesis/animonsugar nuclotides sugar metabolism</w:t>
            </w:r>
          </w:p>
          <w:p w14:paraId="22BB4BD2" w14:textId="77777777" w:rsidR="004D1935" w:rsidRPr="0077649B" w:rsidRDefault="004D1935" w:rsidP="00E24DC9">
            <w:pPr>
              <w:jc w:val="center"/>
              <w:rPr>
                <w:color w:val="000000" w:themeColor="text1"/>
                <w:sz w:val="15"/>
                <w:szCs w:val="15"/>
              </w:rPr>
            </w:pPr>
            <w:r w:rsidRPr="0077649B">
              <w:rPr>
                <w:rFonts w:ascii="Calibri" w:hAnsi="Calibri" w:cs="Calibri"/>
                <w:color w:val="000000" w:themeColor="text1"/>
                <w:sz w:val="15"/>
                <w:szCs w:val="15"/>
              </w:rPr>
              <w:t>Tyrosine metabolism/Betalain biosynthesis/jasmonic acid pathway/Riboflavin/Flavanone/Flavonoid/Abscisic acid biosynthesis/Shikimate pathway/pyrovate/pyrimidine fatty acid biosynthesis/animonsugar nuclotides sugar metabolism</w:t>
            </w:r>
          </w:p>
          <w:p w14:paraId="06588BD9" w14:textId="77777777" w:rsidR="004D1935" w:rsidRPr="0077649B" w:rsidRDefault="004D1935" w:rsidP="00E24DC9">
            <w:pPr>
              <w:jc w:val="center"/>
              <w:rPr>
                <w:color w:val="000000" w:themeColor="text1"/>
                <w:sz w:val="15"/>
                <w:szCs w:val="15"/>
              </w:rPr>
            </w:pPr>
            <w:r w:rsidRPr="0077649B">
              <w:rPr>
                <w:rFonts w:ascii="Calibri" w:hAnsi="Calibri" w:cs="Calibri"/>
                <w:color w:val="000000" w:themeColor="text1"/>
                <w:sz w:val="15"/>
                <w:szCs w:val="15"/>
              </w:rPr>
              <w:t>Inositol phosphate metabolism</w:t>
            </w:r>
          </w:p>
          <w:p w14:paraId="0DF9C9C8" w14:textId="77777777" w:rsidR="004D1935" w:rsidRPr="0077649B" w:rsidRDefault="004D1935" w:rsidP="00E24DC9">
            <w:pPr>
              <w:jc w:val="center"/>
              <w:rPr>
                <w:color w:val="000000" w:themeColor="text1"/>
                <w:sz w:val="15"/>
                <w:szCs w:val="15"/>
              </w:rPr>
            </w:pPr>
            <w:r w:rsidRPr="0077649B">
              <w:rPr>
                <w:rFonts w:ascii="Calibri" w:hAnsi="Calibri" w:cs="Calibri"/>
                <w:color w:val="000000" w:themeColor="text1"/>
                <w:sz w:val="15"/>
                <w:szCs w:val="15"/>
              </w:rPr>
              <w:t>Pentose and glucuronate interconversions/jasmonic acid pathway/Riboflavin/Flavanone/Flavonoid/Abscisic acid biosynthesis/Shikimate pathway/pyrovate/pyrimidine fatty acid biosynthesis/animonsugar nuclotides sugar metabolism</w:t>
            </w:r>
          </w:p>
          <w:p w14:paraId="42BEB37E" w14:textId="77777777" w:rsidR="004D1935" w:rsidRPr="0077649B" w:rsidRDefault="004D1935" w:rsidP="00E24DC9">
            <w:pPr>
              <w:jc w:val="center"/>
              <w:rPr>
                <w:color w:val="000000" w:themeColor="text1"/>
                <w:sz w:val="15"/>
                <w:szCs w:val="15"/>
              </w:rPr>
            </w:pPr>
            <w:r w:rsidRPr="0077649B">
              <w:rPr>
                <w:rFonts w:ascii="Calibri" w:hAnsi="Calibri" w:cs="Calibri"/>
                <w:color w:val="000000" w:themeColor="text1"/>
                <w:sz w:val="15"/>
                <w:szCs w:val="15"/>
              </w:rPr>
              <w:t>Inositol phosphate metabolism/Pentose phosphate pathway /jasmonic acid pathway/Riboflavin/Flavanone/Flavonoid/Abscisic acid biosynthesis/Shikimate pathway/pyrovate/pyrimidine fatty acid biosynthesis/animonsugar nuclotides sugar metabolism</w:t>
            </w:r>
          </w:p>
          <w:p w14:paraId="28F8C2F4" w14:textId="77777777" w:rsidR="004D1935" w:rsidRPr="0077649B" w:rsidRDefault="004D1935" w:rsidP="00E24DC9">
            <w:pPr>
              <w:jc w:val="center"/>
              <w:rPr>
                <w:color w:val="000000" w:themeColor="text1"/>
                <w:sz w:val="15"/>
                <w:szCs w:val="15"/>
              </w:rPr>
            </w:pPr>
            <w:r w:rsidRPr="0077649B">
              <w:rPr>
                <w:rFonts w:ascii="Calibri" w:hAnsi="Calibri" w:cs="Calibri"/>
                <w:color w:val="000000" w:themeColor="text1"/>
                <w:sz w:val="15"/>
                <w:szCs w:val="15"/>
              </w:rPr>
              <w:t>Pentose and glucuronate interconversions/jasmonic acid pathway/Riboflavin/Flavanone/Flavonoid/Abscisic acid biosynthesis/Shikimate pathway/pyrovate/pyrimidine fatty acid biosynthesis/animonsugar nuclotides sugar metabolism</w:t>
            </w:r>
          </w:p>
          <w:p w14:paraId="6A5BC216" w14:textId="77777777" w:rsidR="004D1935" w:rsidRPr="0077649B" w:rsidRDefault="004D1935" w:rsidP="00E24DC9">
            <w:pPr>
              <w:jc w:val="center"/>
              <w:rPr>
                <w:color w:val="000000" w:themeColor="text1"/>
                <w:sz w:val="15"/>
                <w:szCs w:val="15"/>
              </w:rPr>
            </w:pPr>
            <w:r w:rsidRPr="0077649B">
              <w:rPr>
                <w:rFonts w:ascii="Calibri" w:hAnsi="Calibri" w:cs="Calibri"/>
                <w:color w:val="000000" w:themeColor="text1"/>
                <w:sz w:val="15"/>
                <w:szCs w:val="15"/>
              </w:rPr>
              <w:t>Ascorbate and aldarate metabolism/Pentose and glucuronate interconversions/jasmonic acid pathway/Riboflavin/Flavanone/Flavonoid/Abscisic acid biosynthesis/Shikimate pathway/pyrovate/pyrimidine fatty acid biosynthesis/animonsugar nuclotides sugar metabolism</w:t>
            </w:r>
          </w:p>
          <w:p w14:paraId="5D31AFB7" w14:textId="77777777" w:rsidR="004D1935" w:rsidRPr="0077649B" w:rsidRDefault="004D1935" w:rsidP="00E24DC9">
            <w:pPr>
              <w:jc w:val="center"/>
              <w:rPr>
                <w:color w:val="000000" w:themeColor="text1"/>
                <w:sz w:val="15"/>
                <w:szCs w:val="15"/>
              </w:rPr>
            </w:pPr>
            <w:r w:rsidRPr="0077649B">
              <w:rPr>
                <w:rFonts w:ascii="Calibri" w:hAnsi="Calibri" w:cs="Calibri"/>
                <w:color w:val="000000" w:themeColor="text1"/>
                <w:sz w:val="15"/>
                <w:szCs w:val="15"/>
              </w:rPr>
              <w:t>Galactose metabolism/jasmonic acid pathway/Riboflavin/Flavanone/Flavonoid/Abscisic acid biosynthesis/Shikimate pathway/pyrovate/pyrimidine fatty acid biosynthesis/animonsugar nuclotides sugar metabolism</w:t>
            </w:r>
          </w:p>
        </w:tc>
      </w:tr>
      <w:tr w:rsidR="004D1935" w14:paraId="72174E85" w14:textId="77777777" w:rsidTr="00E24DC9">
        <w:tc>
          <w:tcPr>
            <w:tcW w:w="709" w:type="dxa"/>
            <w:vMerge/>
          </w:tcPr>
          <w:p w14:paraId="6005FCEE" w14:textId="77777777" w:rsidR="004D1935" w:rsidRDefault="004D1935" w:rsidP="00E24DC9"/>
        </w:tc>
        <w:tc>
          <w:tcPr>
            <w:tcW w:w="850" w:type="dxa"/>
            <w:tcBorders>
              <w:top w:val="nil"/>
              <w:bottom w:val="nil"/>
            </w:tcBorders>
            <w:vAlign w:val="bottom"/>
          </w:tcPr>
          <w:p w14:paraId="60C52DBF"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196.0800</w:t>
            </w:r>
          </w:p>
        </w:tc>
        <w:tc>
          <w:tcPr>
            <w:tcW w:w="2411" w:type="dxa"/>
            <w:vMerge/>
          </w:tcPr>
          <w:p w14:paraId="0778D8D3" w14:textId="77777777" w:rsidR="004D1935" w:rsidRDefault="004D1935" w:rsidP="00E24DC9"/>
        </w:tc>
        <w:tc>
          <w:tcPr>
            <w:tcW w:w="2126" w:type="dxa"/>
            <w:vMerge/>
          </w:tcPr>
          <w:p w14:paraId="4222C15D" w14:textId="77777777" w:rsidR="004D1935" w:rsidRDefault="004D1935" w:rsidP="00E24DC9"/>
        </w:tc>
        <w:tc>
          <w:tcPr>
            <w:tcW w:w="1418" w:type="dxa"/>
            <w:vMerge/>
          </w:tcPr>
          <w:p w14:paraId="4A60D4CA" w14:textId="77777777" w:rsidR="004D1935" w:rsidRDefault="004D1935" w:rsidP="00E24DC9"/>
        </w:tc>
        <w:tc>
          <w:tcPr>
            <w:tcW w:w="7513" w:type="dxa"/>
            <w:vMerge/>
          </w:tcPr>
          <w:p w14:paraId="7FD03893" w14:textId="77777777" w:rsidR="004D1935" w:rsidRDefault="004D1935" w:rsidP="00E24DC9"/>
        </w:tc>
      </w:tr>
      <w:tr w:rsidR="004D1935" w14:paraId="6AE5169E" w14:textId="77777777" w:rsidTr="00E24DC9">
        <w:tc>
          <w:tcPr>
            <w:tcW w:w="709" w:type="dxa"/>
            <w:vMerge/>
          </w:tcPr>
          <w:p w14:paraId="032C2C8C" w14:textId="77777777" w:rsidR="004D1935" w:rsidRDefault="004D1935" w:rsidP="00E24DC9"/>
        </w:tc>
        <w:tc>
          <w:tcPr>
            <w:tcW w:w="850" w:type="dxa"/>
            <w:tcBorders>
              <w:top w:val="nil"/>
              <w:bottom w:val="nil"/>
            </w:tcBorders>
            <w:vAlign w:val="bottom"/>
          </w:tcPr>
          <w:p w14:paraId="50B59D72"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196.1135</w:t>
            </w:r>
          </w:p>
        </w:tc>
        <w:tc>
          <w:tcPr>
            <w:tcW w:w="2411" w:type="dxa"/>
            <w:vMerge/>
            <w:vAlign w:val="bottom"/>
          </w:tcPr>
          <w:p w14:paraId="62660D29" w14:textId="77777777" w:rsidR="004D1935" w:rsidRDefault="004D1935" w:rsidP="00E24DC9"/>
        </w:tc>
        <w:tc>
          <w:tcPr>
            <w:tcW w:w="2126" w:type="dxa"/>
            <w:vMerge/>
          </w:tcPr>
          <w:p w14:paraId="0013BA36" w14:textId="77777777" w:rsidR="004D1935" w:rsidRDefault="004D1935" w:rsidP="00E24DC9"/>
        </w:tc>
        <w:tc>
          <w:tcPr>
            <w:tcW w:w="1418" w:type="dxa"/>
            <w:vMerge/>
          </w:tcPr>
          <w:p w14:paraId="0FDB54B4" w14:textId="77777777" w:rsidR="004D1935" w:rsidRDefault="004D1935" w:rsidP="00E24DC9"/>
        </w:tc>
        <w:tc>
          <w:tcPr>
            <w:tcW w:w="7513" w:type="dxa"/>
            <w:vMerge/>
            <w:vAlign w:val="bottom"/>
          </w:tcPr>
          <w:p w14:paraId="6C4D41E0" w14:textId="77777777" w:rsidR="004D1935" w:rsidRDefault="004D1935" w:rsidP="00E24DC9"/>
        </w:tc>
      </w:tr>
      <w:tr w:rsidR="004D1935" w14:paraId="1BB3D9EF" w14:textId="77777777" w:rsidTr="00E24DC9">
        <w:tc>
          <w:tcPr>
            <w:tcW w:w="709" w:type="dxa"/>
            <w:vMerge/>
          </w:tcPr>
          <w:p w14:paraId="71A196EB" w14:textId="77777777" w:rsidR="004D1935" w:rsidRDefault="004D1935" w:rsidP="00E24DC9"/>
        </w:tc>
        <w:tc>
          <w:tcPr>
            <w:tcW w:w="850" w:type="dxa"/>
            <w:tcBorders>
              <w:top w:val="nil"/>
              <w:bottom w:val="nil"/>
            </w:tcBorders>
            <w:vAlign w:val="bottom"/>
          </w:tcPr>
          <w:p w14:paraId="5F27A862"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196.1471</w:t>
            </w:r>
          </w:p>
        </w:tc>
        <w:tc>
          <w:tcPr>
            <w:tcW w:w="2411" w:type="dxa"/>
            <w:vMerge/>
          </w:tcPr>
          <w:p w14:paraId="0F73B0EA" w14:textId="77777777" w:rsidR="004D1935" w:rsidRDefault="004D1935" w:rsidP="00E24DC9"/>
        </w:tc>
        <w:tc>
          <w:tcPr>
            <w:tcW w:w="2126" w:type="dxa"/>
            <w:vMerge/>
          </w:tcPr>
          <w:p w14:paraId="6456B767" w14:textId="77777777" w:rsidR="004D1935" w:rsidRDefault="004D1935" w:rsidP="00E24DC9"/>
        </w:tc>
        <w:tc>
          <w:tcPr>
            <w:tcW w:w="1418" w:type="dxa"/>
            <w:vMerge/>
          </w:tcPr>
          <w:p w14:paraId="6DC6E5AC" w14:textId="77777777" w:rsidR="004D1935" w:rsidRDefault="004D1935" w:rsidP="00E24DC9"/>
        </w:tc>
        <w:tc>
          <w:tcPr>
            <w:tcW w:w="7513" w:type="dxa"/>
            <w:vMerge/>
            <w:vAlign w:val="bottom"/>
          </w:tcPr>
          <w:p w14:paraId="0265EFF9" w14:textId="77777777" w:rsidR="004D1935" w:rsidRDefault="004D1935" w:rsidP="00E24DC9"/>
        </w:tc>
      </w:tr>
      <w:tr w:rsidR="004D1935" w14:paraId="6A99D136" w14:textId="77777777" w:rsidTr="00E24DC9">
        <w:tc>
          <w:tcPr>
            <w:tcW w:w="709" w:type="dxa"/>
            <w:vMerge/>
          </w:tcPr>
          <w:p w14:paraId="5DBC5B53" w14:textId="77777777" w:rsidR="004D1935" w:rsidRDefault="004D1935" w:rsidP="00E24DC9"/>
        </w:tc>
        <w:tc>
          <w:tcPr>
            <w:tcW w:w="850" w:type="dxa"/>
            <w:tcBorders>
              <w:top w:val="nil"/>
              <w:bottom w:val="nil"/>
            </w:tcBorders>
            <w:vAlign w:val="bottom"/>
          </w:tcPr>
          <w:p w14:paraId="1E086428"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196.0309</w:t>
            </w:r>
          </w:p>
        </w:tc>
        <w:tc>
          <w:tcPr>
            <w:tcW w:w="2411" w:type="dxa"/>
            <w:vMerge/>
            <w:vAlign w:val="bottom"/>
          </w:tcPr>
          <w:p w14:paraId="42F726AD" w14:textId="77777777" w:rsidR="004D1935" w:rsidRDefault="004D1935" w:rsidP="00E24DC9"/>
        </w:tc>
        <w:tc>
          <w:tcPr>
            <w:tcW w:w="2126" w:type="dxa"/>
            <w:vMerge/>
            <w:vAlign w:val="bottom"/>
          </w:tcPr>
          <w:p w14:paraId="1E939404" w14:textId="77777777" w:rsidR="004D1935" w:rsidRDefault="004D1935" w:rsidP="00E24DC9"/>
        </w:tc>
        <w:tc>
          <w:tcPr>
            <w:tcW w:w="1418" w:type="dxa"/>
            <w:vMerge/>
          </w:tcPr>
          <w:p w14:paraId="1EA216C7" w14:textId="77777777" w:rsidR="004D1935" w:rsidRDefault="004D1935" w:rsidP="00E24DC9"/>
        </w:tc>
        <w:tc>
          <w:tcPr>
            <w:tcW w:w="7513" w:type="dxa"/>
            <w:vMerge/>
            <w:vAlign w:val="bottom"/>
          </w:tcPr>
          <w:p w14:paraId="4B50820C" w14:textId="77777777" w:rsidR="004D1935" w:rsidRDefault="004D1935" w:rsidP="00E24DC9"/>
        </w:tc>
      </w:tr>
      <w:tr w:rsidR="004D1935" w14:paraId="350035F8" w14:textId="77777777" w:rsidTr="00E24DC9">
        <w:tc>
          <w:tcPr>
            <w:tcW w:w="709" w:type="dxa"/>
            <w:vMerge/>
          </w:tcPr>
          <w:p w14:paraId="29FBF011" w14:textId="77777777" w:rsidR="004D1935" w:rsidRDefault="004D1935" w:rsidP="00E24DC9"/>
        </w:tc>
        <w:tc>
          <w:tcPr>
            <w:tcW w:w="850" w:type="dxa"/>
            <w:tcBorders>
              <w:top w:val="nil"/>
              <w:bottom w:val="nil"/>
            </w:tcBorders>
            <w:vAlign w:val="bottom"/>
          </w:tcPr>
          <w:p w14:paraId="413581C9"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196.0823</w:t>
            </w:r>
          </w:p>
        </w:tc>
        <w:tc>
          <w:tcPr>
            <w:tcW w:w="2411" w:type="dxa"/>
            <w:vMerge/>
            <w:vAlign w:val="bottom"/>
          </w:tcPr>
          <w:p w14:paraId="3CC0CC0B" w14:textId="77777777" w:rsidR="004D1935" w:rsidRDefault="004D1935" w:rsidP="00E24DC9"/>
        </w:tc>
        <w:tc>
          <w:tcPr>
            <w:tcW w:w="2126" w:type="dxa"/>
            <w:vMerge/>
            <w:vAlign w:val="bottom"/>
          </w:tcPr>
          <w:p w14:paraId="4B609B89" w14:textId="77777777" w:rsidR="004D1935" w:rsidRDefault="004D1935" w:rsidP="00E24DC9"/>
        </w:tc>
        <w:tc>
          <w:tcPr>
            <w:tcW w:w="1418" w:type="dxa"/>
            <w:vMerge/>
          </w:tcPr>
          <w:p w14:paraId="543BB2EE" w14:textId="77777777" w:rsidR="004D1935" w:rsidRDefault="004D1935" w:rsidP="00E24DC9"/>
        </w:tc>
        <w:tc>
          <w:tcPr>
            <w:tcW w:w="7513" w:type="dxa"/>
            <w:vMerge/>
            <w:vAlign w:val="bottom"/>
          </w:tcPr>
          <w:p w14:paraId="114C3E56" w14:textId="77777777" w:rsidR="004D1935" w:rsidRDefault="004D1935" w:rsidP="00E24DC9"/>
        </w:tc>
      </w:tr>
      <w:tr w:rsidR="004D1935" w14:paraId="5F71F395" w14:textId="77777777" w:rsidTr="00E24DC9">
        <w:tc>
          <w:tcPr>
            <w:tcW w:w="709" w:type="dxa"/>
            <w:vMerge/>
          </w:tcPr>
          <w:p w14:paraId="642344EE" w14:textId="77777777" w:rsidR="004D1935" w:rsidRDefault="004D1935" w:rsidP="00E24DC9"/>
        </w:tc>
        <w:tc>
          <w:tcPr>
            <w:tcW w:w="850" w:type="dxa"/>
            <w:tcBorders>
              <w:top w:val="nil"/>
              <w:bottom w:val="nil"/>
            </w:tcBorders>
            <w:vAlign w:val="bottom"/>
          </w:tcPr>
          <w:p w14:paraId="3818567F"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196.1158</w:t>
            </w:r>
          </w:p>
        </w:tc>
        <w:tc>
          <w:tcPr>
            <w:tcW w:w="2411" w:type="dxa"/>
            <w:vMerge/>
            <w:vAlign w:val="bottom"/>
          </w:tcPr>
          <w:p w14:paraId="18BB1F87" w14:textId="77777777" w:rsidR="004D1935" w:rsidRDefault="004D1935" w:rsidP="00E24DC9"/>
        </w:tc>
        <w:tc>
          <w:tcPr>
            <w:tcW w:w="2126" w:type="dxa"/>
            <w:vMerge/>
            <w:vAlign w:val="bottom"/>
          </w:tcPr>
          <w:p w14:paraId="5DB54C44" w14:textId="77777777" w:rsidR="004D1935" w:rsidRDefault="004D1935" w:rsidP="00E24DC9"/>
        </w:tc>
        <w:tc>
          <w:tcPr>
            <w:tcW w:w="1418" w:type="dxa"/>
            <w:vMerge/>
          </w:tcPr>
          <w:p w14:paraId="0F3BBED2" w14:textId="77777777" w:rsidR="004D1935" w:rsidRDefault="004D1935" w:rsidP="00E24DC9"/>
        </w:tc>
        <w:tc>
          <w:tcPr>
            <w:tcW w:w="7513" w:type="dxa"/>
            <w:vMerge/>
            <w:vAlign w:val="bottom"/>
          </w:tcPr>
          <w:p w14:paraId="02144A45" w14:textId="77777777" w:rsidR="004D1935" w:rsidRDefault="004D1935" w:rsidP="00E24DC9"/>
        </w:tc>
      </w:tr>
      <w:tr w:rsidR="004D1935" w14:paraId="412E14CE" w14:textId="77777777" w:rsidTr="00E24DC9">
        <w:tc>
          <w:tcPr>
            <w:tcW w:w="709" w:type="dxa"/>
            <w:vMerge/>
          </w:tcPr>
          <w:p w14:paraId="319A9604" w14:textId="77777777" w:rsidR="004D1935" w:rsidRDefault="004D1935" w:rsidP="00E24DC9"/>
        </w:tc>
        <w:tc>
          <w:tcPr>
            <w:tcW w:w="850" w:type="dxa"/>
            <w:tcBorders>
              <w:top w:val="nil"/>
              <w:bottom w:val="nil"/>
            </w:tcBorders>
            <w:vAlign w:val="bottom"/>
          </w:tcPr>
          <w:p w14:paraId="1279DDBD"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196.1494</w:t>
            </w:r>
          </w:p>
        </w:tc>
        <w:tc>
          <w:tcPr>
            <w:tcW w:w="2411" w:type="dxa"/>
            <w:vMerge/>
            <w:vAlign w:val="bottom"/>
          </w:tcPr>
          <w:p w14:paraId="683C5DAB" w14:textId="77777777" w:rsidR="004D1935" w:rsidRDefault="004D1935" w:rsidP="00E24DC9"/>
        </w:tc>
        <w:tc>
          <w:tcPr>
            <w:tcW w:w="2126" w:type="dxa"/>
            <w:vMerge/>
            <w:vAlign w:val="bottom"/>
          </w:tcPr>
          <w:p w14:paraId="6EE26A4C" w14:textId="77777777" w:rsidR="004D1935" w:rsidRDefault="004D1935" w:rsidP="00E24DC9"/>
        </w:tc>
        <w:tc>
          <w:tcPr>
            <w:tcW w:w="1418" w:type="dxa"/>
            <w:vMerge/>
          </w:tcPr>
          <w:p w14:paraId="7F14C524" w14:textId="77777777" w:rsidR="004D1935" w:rsidRDefault="004D1935" w:rsidP="00E24DC9"/>
        </w:tc>
        <w:tc>
          <w:tcPr>
            <w:tcW w:w="7513" w:type="dxa"/>
            <w:vMerge/>
            <w:vAlign w:val="bottom"/>
          </w:tcPr>
          <w:p w14:paraId="5ADBE6B2" w14:textId="77777777" w:rsidR="004D1935" w:rsidRDefault="004D1935" w:rsidP="00E24DC9"/>
        </w:tc>
      </w:tr>
      <w:tr w:rsidR="004D1935" w14:paraId="00CA5EAF" w14:textId="77777777" w:rsidTr="00E24DC9">
        <w:tc>
          <w:tcPr>
            <w:tcW w:w="709" w:type="dxa"/>
            <w:vMerge/>
          </w:tcPr>
          <w:p w14:paraId="1FE0EA05" w14:textId="77777777" w:rsidR="004D1935" w:rsidRDefault="004D1935" w:rsidP="00E24DC9"/>
        </w:tc>
        <w:tc>
          <w:tcPr>
            <w:tcW w:w="850" w:type="dxa"/>
            <w:tcBorders>
              <w:top w:val="nil"/>
              <w:bottom w:val="nil"/>
            </w:tcBorders>
            <w:vAlign w:val="bottom"/>
          </w:tcPr>
          <w:p w14:paraId="127E8ABA"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196.1829</w:t>
            </w:r>
          </w:p>
        </w:tc>
        <w:tc>
          <w:tcPr>
            <w:tcW w:w="2411" w:type="dxa"/>
            <w:vMerge/>
            <w:vAlign w:val="bottom"/>
          </w:tcPr>
          <w:p w14:paraId="1B9CAAEF" w14:textId="77777777" w:rsidR="004D1935" w:rsidRDefault="004D1935" w:rsidP="00E24DC9"/>
        </w:tc>
        <w:tc>
          <w:tcPr>
            <w:tcW w:w="2126" w:type="dxa"/>
            <w:vMerge/>
            <w:vAlign w:val="bottom"/>
          </w:tcPr>
          <w:p w14:paraId="6456507D" w14:textId="77777777" w:rsidR="004D1935" w:rsidRDefault="004D1935" w:rsidP="00E24DC9"/>
        </w:tc>
        <w:tc>
          <w:tcPr>
            <w:tcW w:w="1418" w:type="dxa"/>
            <w:vMerge/>
          </w:tcPr>
          <w:p w14:paraId="5E5AB80E" w14:textId="77777777" w:rsidR="004D1935" w:rsidRDefault="004D1935" w:rsidP="00E24DC9"/>
        </w:tc>
        <w:tc>
          <w:tcPr>
            <w:tcW w:w="7513" w:type="dxa"/>
            <w:vMerge/>
            <w:vAlign w:val="bottom"/>
          </w:tcPr>
          <w:p w14:paraId="5953D976" w14:textId="77777777" w:rsidR="004D1935" w:rsidRDefault="004D1935" w:rsidP="00E24DC9"/>
        </w:tc>
      </w:tr>
      <w:tr w:rsidR="004D1935" w14:paraId="01820F15" w14:textId="77777777" w:rsidTr="00E24DC9">
        <w:tc>
          <w:tcPr>
            <w:tcW w:w="709" w:type="dxa"/>
            <w:vMerge/>
          </w:tcPr>
          <w:p w14:paraId="6E9F18BE" w14:textId="77777777" w:rsidR="004D1935" w:rsidRDefault="004D1935" w:rsidP="00E24DC9"/>
        </w:tc>
        <w:tc>
          <w:tcPr>
            <w:tcW w:w="850" w:type="dxa"/>
            <w:tcBorders>
              <w:top w:val="nil"/>
              <w:bottom w:val="nil"/>
            </w:tcBorders>
            <w:vAlign w:val="bottom"/>
          </w:tcPr>
          <w:p w14:paraId="68852191"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196.0354</w:t>
            </w:r>
          </w:p>
        </w:tc>
        <w:tc>
          <w:tcPr>
            <w:tcW w:w="2411" w:type="dxa"/>
            <w:vMerge/>
            <w:vAlign w:val="bottom"/>
          </w:tcPr>
          <w:p w14:paraId="5665964F" w14:textId="77777777" w:rsidR="004D1935" w:rsidRDefault="004D1935" w:rsidP="00E24DC9"/>
        </w:tc>
        <w:tc>
          <w:tcPr>
            <w:tcW w:w="2126" w:type="dxa"/>
            <w:vMerge/>
            <w:vAlign w:val="bottom"/>
          </w:tcPr>
          <w:p w14:paraId="12443E5A" w14:textId="77777777" w:rsidR="004D1935" w:rsidRDefault="004D1935" w:rsidP="00E24DC9"/>
        </w:tc>
        <w:tc>
          <w:tcPr>
            <w:tcW w:w="1418" w:type="dxa"/>
            <w:vMerge/>
          </w:tcPr>
          <w:p w14:paraId="5F18BA84" w14:textId="77777777" w:rsidR="004D1935" w:rsidRDefault="004D1935" w:rsidP="00E24DC9"/>
        </w:tc>
        <w:tc>
          <w:tcPr>
            <w:tcW w:w="7513" w:type="dxa"/>
            <w:vMerge/>
            <w:vAlign w:val="bottom"/>
          </w:tcPr>
          <w:p w14:paraId="52B84028" w14:textId="77777777" w:rsidR="004D1935" w:rsidRDefault="004D1935" w:rsidP="00E24DC9"/>
        </w:tc>
      </w:tr>
      <w:tr w:rsidR="004D1935" w14:paraId="09F8F5B7" w14:textId="77777777" w:rsidTr="00E24DC9">
        <w:tc>
          <w:tcPr>
            <w:tcW w:w="709" w:type="dxa"/>
            <w:vMerge/>
          </w:tcPr>
          <w:p w14:paraId="75895638" w14:textId="77777777" w:rsidR="004D1935" w:rsidRDefault="004D1935" w:rsidP="00E24DC9"/>
        </w:tc>
        <w:tc>
          <w:tcPr>
            <w:tcW w:w="850" w:type="dxa"/>
            <w:tcBorders>
              <w:top w:val="nil"/>
              <w:bottom w:val="nil"/>
            </w:tcBorders>
            <w:vAlign w:val="bottom"/>
          </w:tcPr>
          <w:p w14:paraId="30BD8806"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196.0778</w:t>
            </w:r>
          </w:p>
        </w:tc>
        <w:tc>
          <w:tcPr>
            <w:tcW w:w="2411" w:type="dxa"/>
            <w:vMerge/>
            <w:vAlign w:val="bottom"/>
          </w:tcPr>
          <w:p w14:paraId="72181FEC" w14:textId="77777777" w:rsidR="004D1935" w:rsidRDefault="004D1935" w:rsidP="00E24DC9"/>
        </w:tc>
        <w:tc>
          <w:tcPr>
            <w:tcW w:w="2126" w:type="dxa"/>
            <w:vMerge/>
            <w:vAlign w:val="bottom"/>
          </w:tcPr>
          <w:p w14:paraId="228DA775" w14:textId="77777777" w:rsidR="004D1935" w:rsidRDefault="004D1935" w:rsidP="00E24DC9"/>
        </w:tc>
        <w:tc>
          <w:tcPr>
            <w:tcW w:w="1418" w:type="dxa"/>
            <w:vMerge/>
          </w:tcPr>
          <w:p w14:paraId="2F5DFDC2" w14:textId="77777777" w:rsidR="004D1935" w:rsidRDefault="004D1935" w:rsidP="00E24DC9"/>
        </w:tc>
        <w:tc>
          <w:tcPr>
            <w:tcW w:w="7513" w:type="dxa"/>
            <w:vMerge/>
            <w:vAlign w:val="bottom"/>
          </w:tcPr>
          <w:p w14:paraId="43DCD58A" w14:textId="77777777" w:rsidR="004D1935" w:rsidRDefault="004D1935" w:rsidP="00E24DC9"/>
        </w:tc>
      </w:tr>
      <w:tr w:rsidR="004D1935" w14:paraId="3128F5C3" w14:textId="77777777" w:rsidTr="00E24DC9">
        <w:tc>
          <w:tcPr>
            <w:tcW w:w="709" w:type="dxa"/>
            <w:vMerge/>
          </w:tcPr>
          <w:p w14:paraId="2EF71425" w14:textId="77777777" w:rsidR="004D1935" w:rsidRDefault="004D1935" w:rsidP="00E24DC9"/>
        </w:tc>
        <w:tc>
          <w:tcPr>
            <w:tcW w:w="850" w:type="dxa"/>
            <w:tcBorders>
              <w:top w:val="nil"/>
              <w:bottom w:val="nil"/>
            </w:tcBorders>
            <w:vAlign w:val="bottom"/>
          </w:tcPr>
          <w:p w14:paraId="57CC9ECA"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196.1113</w:t>
            </w:r>
          </w:p>
        </w:tc>
        <w:tc>
          <w:tcPr>
            <w:tcW w:w="2411" w:type="dxa"/>
            <w:vMerge/>
          </w:tcPr>
          <w:p w14:paraId="5FF492EF" w14:textId="77777777" w:rsidR="004D1935" w:rsidRDefault="004D1935" w:rsidP="00E24DC9"/>
        </w:tc>
        <w:tc>
          <w:tcPr>
            <w:tcW w:w="2126" w:type="dxa"/>
            <w:vMerge/>
          </w:tcPr>
          <w:p w14:paraId="44B5B5B6" w14:textId="77777777" w:rsidR="004D1935" w:rsidRDefault="004D1935" w:rsidP="00E24DC9"/>
        </w:tc>
        <w:tc>
          <w:tcPr>
            <w:tcW w:w="1418" w:type="dxa"/>
            <w:vMerge/>
          </w:tcPr>
          <w:p w14:paraId="0A08ED9F" w14:textId="77777777" w:rsidR="004D1935" w:rsidRDefault="004D1935" w:rsidP="00E24DC9"/>
        </w:tc>
        <w:tc>
          <w:tcPr>
            <w:tcW w:w="7513" w:type="dxa"/>
            <w:vMerge/>
          </w:tcPr>
          <w:p w14:paraId="1390B2D3" w14:textId="77777777" w:rsidR="004D1935" w:rsidRDefault="004D1935" w:rsidP="00E24DC9"/>
        </w:tc>
      </w:tr>
      <w:tr w:rsidR="004D1935" w14:paraId="7566A0A5" w14:textId="77777777" w:rsidTr="00E24DC9">
        <w:tc>
          <w:tcPr>
            <w:tcW w:w="709" w:type="dxa"/>
            <w:vMerge/>
          </w:tcPr>
          <w:p w14:paraId="0B68FAA8" w14:textId="77777777" w:rsidR="004D1935" w:rsidRDefault="004D1935" w:rsidP="00E24DC9"/>
        </w:tc>
        <w:tc>
          <w:tcPr>
            <w:tcW w:w="850" w:type="dxa"/>
            <w:tcBorders>
              <w:top w:val="nil"/>
              <w:bottom w:val="nil"/>
            </w:tcBorders>
            <w:vAlign w:val="bottom"/>
          </w:tcPr>
          <w:p w14:paraId="5564B714"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196.0264</w:t>
            </w:r>
          </w:p>
        </w:tc>
        <w:tc>
          <w:tcPr>
            <w:tcW w:w="2411" w:type="dxa"/>
            <w:vMerge/>
          </w:tcPr>
          <w:p w14:paraId="13D04F03" w14:textId="77777777" w:rsidR="004D1935" w:rsidRDefault="004D1935" w:rsidP="00E24DC9"/>
        </w:tc>
        <w:tc>
          <w:tcPr>
            <w:tcW w:w="2126" w:type="dxa"/>
            <w:vMerge/>
          </w:tcPr>
          <w:p w14:paraId="3973EA46" w14:textId="77777777" w:rsidR="004D1935" w:rsidRDefault="004D1935" w:rsidP="00E24DC9"/>
        </w:tc>
        <w:tc>
          <w:tcPr>
            <w:tcW w:w="1418" w:type="dxa"/>
            <w:vMerge/>
          </w:tcPr>
          <w:p w14:paraId="2EEF6482" w14:textId="77777777" w:rsidR="004D1935" w:rsidRDefault="004D1935" w:rsidP="00E24DC9"/>
        </w:tc>
        <w:tc>
          <w:tcPr>
            <w:tcW w:w="7513" w:type="dxa"/>
            <w:vMerge/>
          </w:tcPr>
          <w:p w14:paraId="30EFAA57" w14:textId="77777777" w:rsidR="004D1935" w:rsidRDefault="004D1935" w:rsidP="00E24DC9"/>
        </w:tc>
      </w:tr>
      <w:tr w:rsidR="004D1935" w14:paraId="76EC0FDC" w14:textId="77777777" w:rsidTr="00E24DC9">
        <w:tc>
          <w:tcPr>
            <w:tcW w:w="709" w:type="dxa"/>
            <w:vMerge/>
          </w:tcPr>
          <w:p w14:paraId="7D2DE05C" w14:textId="77777777" w:rsidR="004D1935" w:rsidRDefault="004D1935" w:rsidP="00E24DC9"/>
        </w:tc>
        <w:tc>
          <w:tcPr>
            <w:tcW w:w="850" w:type="dxa"/>
            <w:tcBorders>
              <w:top w:val="nil"/>
              <w:bottom w:val="nil"/>
            </w:tcBorders>
            <w:vAlign w:val="bottom"/>
          </w:tcPr>
          <w:p w14:paraId="64052487"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196.0733</w:t>
            </w:r>
          </w:p>
        </w:tc>
        <w:tc>
          <w:tcPr>
            <w:tcW w:w="2411" w:type="dxa"/>
            <w:vMerge/>
          </w:tcPr>
          <w:p w14:paraId="345739AB" w14:textId="77777777" w:rsidR="004D1935" w:rsidRDefault="004D1935" w:rsidP="00E24DC9"/>
        </w:tc>
        <w:tc>
          <w:tcPr>
            <w:tcW w:w="2126" w:type="dxa"/>
            <w:vMerge/>
          </w:tcPr>
          <w:p w14:paraId="114C1ACF" w14:textId="77777777" w:rsidR="004D1935" w:rsidRDefault="004D1935" w:rsidP="00E24DC9"/>
        </w:tc>
        <w:tc>
          <w:tcPr>
            <w:tcW w:w="1418" w:type="dxa"/>
            <w:vMerge/>
          </w:tcPr>
          <w:p w14:paraId="2FAD27D4" w14:textId="77777777" w:rsidR="004D1935" w:rsidRDefault="004D1935" w:rsidP="00E24DC9"/>
        </w:tc>
        <w:tc>
          <w:tcPr>
            <w:tcW w:w="7513" w:type="dxa"/>
            <w:vMerge/>
          </w:tcPr>
          <w:p w14:paraId="20DDC570" w14:textId="77777777" w:rsidR="004D1935" w:rsidRDefault="004D1935" w:rsidP="00E24DC9"/>
        </w:tc>
      </w:tr>
      <w:tr w:rsidR="004D1935" w14:paraId="615E0EE5" w14:textId="77777777" w:rsidTr="00E24DC9">
        <w:tc>
          <w:tcPr>
            <w:tcW w:w="709" w:type="dxa"/>
            <w:vMerge/>
          </w:tcPr>
          <w:p w14:paraId="59295146" w14:textId="77777777" w:rsidR="004D1935" w:rsidRDefault="004D1935" w:rsidP="00E24DC9"/>
        </w:tc>
        <w:tc>
          <w:tcPr>
            <w:tcW w:w="850" w:type="dxa"/>
            <w:tcBorders>
              <w:top w:val="nil"/>
              <w:bottom w:val="nil"/>
            </w:tcBorders>
            <w:vAlign w:val="bottom"/>
          </w:tcPr>
          <w:p w14:paraId="211FC911"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196.1068</w:t>
            </w:r>
          </w:p>
        </w:tc>
        <w:tc>
          <w:tcPr>
            <w:tcW w:w="2411" w:type="dxa"/>
            <w:vMerge/>
          </w:tcPr>
          <w:p w14:paraId="5B715476" w14:textId="77777777" w:rsidR="004D1935" w:rsidRDefault="004D1935" w:rsidP="00E24DC9"/>
        </w:tc>
        <w:tc>
          <w:tcPr>
            <w:tcW w:w="2126" w:type="dxa"/>
            <w:vMerge/>
          </w:tcPr>
          <w:p w14:paraId="25C2110E" w14:textId="77777777" w:rsidR="004D1935" w:rsidRDefault="004D1935" w:rsidP="00E24DC9"/>
        </w:tc>
        <w:tc>
          <w:tcPr>
            <w:tcW w:w="1418" w:type="dxa"/>
            <w:vMerge/>
          </w:tcPr>
          <w:p w14:paraId="211505ED" w14:textId="77777777" w:rsidR="004D1935" w:rsidRDefault="004D1935" w:rsidP="00E24DC9"/>
        </w:tc>
        <w:tc>
          <w:tcPr>
            <w:tcW w:w="7513" w:type="dxa"/>
            <w:vMerge/>
          </w:tcPr>
          <w:p w14:paraId="3E9125A5" w14:textId="77777777" w:rsidR="004D1935" w:rsidRDefault="004D1935" w:rsidP="00E24DC9"/>
        </w:tc>
      </w:tr>
      <w:tr w:rsidR="004D1935" w14:paraId="5B647A6E" w14:textId="77777777" w:rsidTr="00E24DC9">
        <w:tc>
          <w:tcPr>
            <w:tcW w:w="709" w:type="dxa"/>
            <w:vMerge/>
          </w:tcPr>
          <w:p w14:paraId="706E4CDE" w14:textId="77777777" w:rsidR="004D1935" w:rsidRDefault="004D1935" w:rsidP="00E24DC9"/>
        </w:tc>
        <w:tc>
          <w:tcPr>
            <w:tcW w:w="850" w:type="dxa"/>
            <w:tcBorders>
              <w:top w:val="nil"/>
              <w:bottom w:val="nil"/>
            </w:tcBorders>
            <w:vAlign w:val="bottom"/>
          </w:tcPr>
          <w:p w14:paraId="5287CD25"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196.1404</w:t>
            </w:r>
          </w:p>
        </w:tc>
        <w:tc>
          <w:tcPr>
            <w:tcW w:w="2411" w:type="dxa"/>
            <w:vMerge/>
          </w:tcPr>
          <w:p w14:paraId="3ED5DEE1" w14:textId="77777777" w:rsidR="004D1935" w:rsidRDefault="004D1935" w:rsidP="00E24DC9"/>
        </w:tc>
        <w:tc>
          <w:tcPr>
            <w:tcW w:w="2126" w:type="dxa"/>
            <w:vMerge/>
          </w:tcPr>
          <w:p w14:paraId="2DD440CB" w14:textId="77777777" w:rsidR="004D1935" w:rsidRDefault="004D1935" w:rsidP="00E24DC9"/>
        </w:tc>
        <w:tc>
          <w:tcPr>
            <w:tcW w:w="1418" w:type="dxa"/>
            <w:vMerge/>
          </w:tcPr>
          <w:p w14:paraId="42C68A88" w14:textId="77777777" w:rsidR="004D1935" w:rsidRDefault="004D1935" w:rsidP="00E24DC9"/>
        </w:tc>
        <w:tc>
          <w:tcPr>
            <w:tcW w:w="7513" w:type="dxa"/>
            <w:vMerge/>
          </w:tcPr>
          <w:p w14:paraId="55BD54A1" w14:textId="77777777" w:rsidR="004D1935" w:rsidRDefault="004D1935" w:rsidP="00E24DC9"/>
        </w:tc>
      </w:tr>
      <w:tr w:rsidR="004D1935" w14:paraId="3AFB564C" w14:textId="77777777" w:rsidTr="00E24DC9">
        <w:tc>
          <w:tcPr>
            <w:tcW w:w="709" w:type="dxa"/>
            <w:vMerge/>
          </w:tcPr>
          <w:p w14:paraId="38B9B4EA" w14:textId="77777777" w:rsidR="004D1935" w:rsidRDefault="004D1935" w:rsidP="00E24DC9"/>
        </w:tc>
        <w:tc>
          <w:tcPr>
            <w:tcW w:w="850" w:type="dxa"/>
            <w:tcBorders>
              <w:top w:val="nil"/>
              <w:bottom w:val="nil"/>
            </w:tcBorders>
            <w:vAlign w:val="bottom"/>
          </w:tcPr>
          <w:p w14:paraId="475E3E83"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196.1762</w:t>
            </w:r>
          </w:p>
        </w:tc>
        <w:tc>
          <w:tcPr>
            <w:tcW w:w="2411" w:type="dxa"/>
            <w:vMerge/>
          </w:tcPr>
          <w:p w14:paraId="059108B3" w14:textId="77777777" w:rsidR="004D1935" w:rsidRDefault="004D1935" w:rsidP="00E24DC9"/>
        </w:tc>
        <w:tc>
          <w:tcPr>
            <w:tcW w:w="2126" w:type="dxa"/>
            <w:vMerge/>
          </w:tcPr>
          <w:p w14:paraId="28077E17" w14:textId="77777777" w:rsidR="004D1935" w:rsidRDefault="004D1935" w:rsidP="00E24DC9"/>
        </w:tc>
        <w:tc>
          <w:tcPr>
            <w:tcW w:w="1418" w:type="dxa"/>
            <w:vMerge/>
          </w:tcPr>
          <w:p w14:paraId="427D01A3" w14:textId="77777777" w:rsidR="004D1935" w:rsidRDefault="004D1935" w:rsidP="00E24DC9"/>
        </w:tc>
        <w:tc>
          <w:tcPr>
            <w:tcW w:w="7513" w:type="dxa"/>
            <w:vMerge/>
          </w:tcPr>
          <w:p w14:paraId="50B4966B" w14:textId="77777777" w:rsidR="004D1935" w:rsidRDefault="004D1935" w:rsidP="00E24DC9"/>
        </w:tc>
      </w:tr>
      <w:tr w:rsidR="004D1935" w14:paraId="02E46207" w14:textId="77777777" w:rsidTr="00E24DC9">
        <w:tc>
          <w:tcPr>
            <w:tcW w:w="709" w:type="dxa"/>
            <w:vMerge/>
          </w:tcPr>
          <w:p w14:paraId="572A69C4" w14:textId="77777777" w:rsidR="004D1935" w:rsidRDefault="004D1935" w:rsidP="00E24DC9"/>
        </w:tc>
        <w:tc>
          <w:tcPr>
            <w:tcW w:w="850" w:type="dxa"/>
            <w:tcBorders>
              <w:top w:val="nil"/>
              <w:bottom w:val="nil"/>
            </w:tcBorders>
            <w:vAlign w:val="bottom"/>
          </w:tcPr>
          <w:p w14:paraId="11285AF9"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196.0242</w:t>
            </w:r>
          </w:p>
        </w:tc>
        <w:tc>
          <w:tcPr>
            <w:tcW w:w="2411" w:type="dxa"/>
            <w:vMerge/>
          </w:tcPr>
          <w:p w14:paraId="5436C2F8" w14:textId="77777777" w:rsidR="004D1935" w:rsidRDefault="004D1935" w:rsidP="00E24DC9"/>
        </w:tc>
        <w:tc>
          <w:tcPr>
            <w:tcW w:w="2126" w:type="dxa"/>
            <w:vMerge/>
          </w:tcPr>
          <w:p w14:paraId="53E28CFE" w14:textId="77777777" w:rsidR="004D1935" w:rsidRDefault="004D1935" w:rsidP="00E24DC9"/>
        </w:tc>
        <w:tc>
          <w:tcPr>
            <w:tcW w:w="1418" w:type="dxa"/>
            <w:vMerge/>
          </w:tcPr>
          <w:p w14:paraId="3547D181" w14:textId="77777777" w:rsidR="004D1935" w:rsidRDefault="004D1935" w:rsidP="00E24DC9"/>
        </w:tc>
        <w:tc>
          <w:tcPr>
            <w:tcW w:w="7513" w:type="dxa"/>
            <w:vMerge/>
          </w:tcPr>
          <w:p w14:paraId="1F3D048D" w14:textId="77777777" w:rsidR="004D1935" w:rsidRDefault="004D1935" w:rsidP="00E24DC9"/>
        </w:tc>
      </w:tr>
      <w:tr w:rsidR="004D1935" w14:paraId="1E7A4796" w14:textId="77777777" w:rsidTr="00E24DC9">
        <w:tc>
          <w:tcPr>
            <w:tcW w:w="709" w:type="dxa"/>
            <w:vMerge/>
          </w:tcPr>
          <w:p w14:paraId="0E9160FE" w14:textId="77777777" w:rsidR="004D1935" w:rsidRDefault="004D1935" w:rsidP="00E24DC9"/>
        </w:tc>
        <w:tc>
          <w:tcPr>
            <w:tcW w:w="850" w:type="dxa"/>
            <w:tcBorders>
              <w:top w:val="nil"/>
              <w:bottom w:val="nil"/>
            </w:tcBorders>
            <w:vAlign w:val="bottom"/>
          </w:tcPr>
          <w:p w14:paraId="7A429776"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196.0711</w:t>
            </w:r>
          </w:p>
        </w:tc>
        <w:tc>
          <w:tcPr>
            <w:tcW w:w="2411" w:type="dxa"/>
            <w:vMerge/>
          </w:tcPr>
          <w:p w14:paraId="67B97AA2" w14:textId="77777777" w:rsidR="004D1935" w:rsidRDefault="004D1935" w:rsidP="00E24DC9"/>
        </w:tc>
        <w:tc>
          <w:tcPr>
            <w:tcW w:w="2126" w:type="dxa"/>
            <w:vMerge/>
          </w:tcPr>
          <w:p w14:paraId="51A280ED" w14:textId="77777777" w:rsidR="004D1935" w:rsidRDefault="004D1935" w:rsidP="00E24DC9"/>
        </w:tc>
        <w:tc>
          <w:tcPr>
            <w:tcW w:w="1418" w:type="dxa"/>
            <w:vMerge/>
          </w:tcPr>
          <w:p w14:paraId="6238E966" w14:textId="77777777" w:rsidR="004D1935" w:rsidRDefault="004D1935" w:rsidP="00E24DC9"/>
        </w:tc>
        <w:tc>
          <w:tcPr>
            <w:tcW w:w="7513" w:type="dxa"/>
            <w:vMerge/>
          </w:tcPr>
          <w:p w14:paraId="3C5EDE13" w14:textId="77777777" w:rsidR="004D1935" w:rsidRDefault="004D1935" w:rsidP="00E24DC9"/>
        </w:tc>
      </w:tr>
      <w:tr w:rsidR="004D1935" w14:paraId="4356679A" w14:textId="77777777" w:rsidTr="00E24DC9">
        <w:tc>
          <w:tcPr>
            <w:tcW w:w="709" w:type="dxa"/>
            <w:vMerge/>
          </w:tcPr>
          <w:p w14:paraId="5419004F" w14:textId="77777777" w:rsidR="004D1935" w:rsidRDefault="004D1935" w:rsidP="00E24DC9"/>
        </w:tc>
        <w:tc>
          <w:tcPr>
            <w:tcW w:w="850" w:type="dxa"/>
            <w:tcBorders>
              <w:top w:val="nil"/>
              <w:bottom w:val="nil"/>
            </w:tcBorders>
            <w:vAlign w:val="bottom"/>
          </w:tcPr>
          <w:p w14:paraId="5E2DC717"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196.1046</w:t>
            </w:r>
          </w:p>
        </w:tc>
        <w:tc>
          <w:tcPr>
            <w:tcW w:w="2411" w:type="dxa"/>
            <w:vMerge/>
          </w:tcPr>
          <w:p w14:paraId="1D3BA8E1" w14:textId="77777777" w:rsidR="004D1935" w:rsidRDefault="004D1935" w:rsidP="00E24DC9"/>
        </w:tc>
        <w:tc>
          <w:tcPr>
            <w:tcW w:w="2126" w:type="dxa"/>
            <w:vMerge/>
          </w:tcPr>
          <w:p w14:paraId="14CA8C51" w14:textId="77777777" w:rsidR="004D1935" w:rsidRDefault="004D1935" w:rsidP="00E24DC9"/>
        </w:tc>
        <w:tc>
          <w:tcPr>
            <w:tcW w:w="1418" w:type="dxa"/>
            <w:vMerge/>
          </w:tcPr>
          <w:p w14:paraId="3975CB54" w14:textId="77777777" w:rsidR="004D1935" w:rsidRDefault="004D1935" w:rsidP="00E24DC9"/>
        </w:tc>
        <w:tc>
          <w:tcPr>
            <w:tcW w:w="7513" w:type="dxa"/>
            <w:vMerge/>
          </w:tcPr>
          <w:p w14:paraId="77062F6D" w14:textId="77777777" w:rsidR="004D1935" w:rsidRDefault="004D1935" w:rsidP="00E24DC9"/>
        </w:tc>
      </w:tr>
      <w:tr w:rsidR="004D1935" w14:paraId="0FF7FAC3" w14:textId="77777777" w:rsidTr="00E24DC9">
        <w:tc>
          <w:tcPr>
            <w:tcW w:w="709" w:type="dxa"/>
            <w:vMerge/>
          </w:tcPr>
          <w:p w14:paraId="64D15449" w14:textId="77777777" w:rsidR="004D1935" w:rsidRDefault="004D1935" w:rsidP="00E24DC9"/>
        </w:tc>
        <w:tc>
          <w:tcPr>
            <w:tcW w:w="850" w:type="dxa"/>
            <w:tcBorders>
              <w:top w:val="nil"/>
              <w:bottom w:val="nil"/>
            </w:tcBorders>
            <w:vAlign w:val="bottom"/>
          </w:tcPr>
          <w:p w14:paraId="4D9B7073"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196.1382</w:t>
            </w:r>
          </w:p>
        </w:tc>
        <w:tc>
          <w:tcPr>
            <w:tcW w:w="2411" w:type="dxa"/>
            <w:vMerge/>
          </w:tcPr>
          <w:p w14:paraId="5F35D640" w14:textId="77777777" w:rsidR="004D1935" w:rsidRDefault="004D1935" w:rsidP="00E24DC9"/>
        </w:tc>
        <w:tc>
          <w:tcPr>
            <w:tcW w:w="2126" w:type="dxa"/>
            <w:vMerge/>
          </w:tcPr>
          <w:p w14:paraId="2F69335C" w14:textId="77777777" w:rsidR="004D1935" w:rsidRDefault="004D1935" w:rsidP="00E24DC9"/>
        </w:tc>
        <w:tc>
          <w:tcPr>
            <w:tcW w:w="1418" w:type="dxa"/>
            <w:vMerge/>
          </w:tcPr>
          <w:p w14:paraId="71E42FA7" w14:textId="77777777" w:rsidR="004D1935" w:rsidRDefault="004D1935" w:rsidP="00E24DC9"/>
        </w:tc>
        <w:tc>
          <w:tcPr>
            <w:tcW w:w="7513" w:type="dxa"/>
            <w:vMerge/>
          </w:tcPr>
          <w:p w14:paraId="5A0514B3" w14:textId="77777777" w:rsidR="004D1935" w:rsidRDefault="004D1935" w:rsidP="00E24DC9"/>
        </w:tc>
      </w:tr>
      <w:tr w:rsidR="004D1935" w14:paraId="4BF7055B" w14:textId="77777777" w:rsidTr="00E24DC9">
        <w:tc>
          <w:tcPr>
            <w:tcW w:w="709" w:type="dxa"/>
            <w:vMerge/>
          </w:tcPr>
          <w:p w14:paraId="375BB540" w14:textId="77777777" w:rsidR="004D1935" w:rsidRDefault="004D1935" w:rsidP="00E24DC9"/>
        </w:tc>
        <w:tc>
          <w:tcPr>
            <w:tcW w:w="850" w:type="dxa"/>
            <w:tcBorders>
              <w:top w:val="nil"/>
              <w:bottom w:val="nil"/>
            </w:tcBorders>
            <w:vAlign w:val="bottom"/>
          </w:tcPr>
          <w:p w14:paraId="54452ABF"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196.1717</w:t>
            </w:r>
          </w:p>
        </w:tc>
        <w:tc>
          <w:tcPr>
            <w:tcW w:w="2411" w:type="dxa"/>
            <w:vMerge/>
          </w:tcPr>
          <w:p w14:paraId="7C85BAB3" w14:textId="77777777" w:rsidR="004D1935" w:rsidRDefault="004D1935" w:rsidP="00E24DC9"/>
        </w:tc>
        <w:tc>
          <w:tcPr>
            <w:tcW w:w="2126" w:type="dxa"/>
            <w:vMerge/>
          </w:tcPr>
          <w:p w14:paraId="315852A6" w14:textId="77777777" w:rsidR="004D1935" w:rsidRDefault="004D1935" w:rsidP="00E24DC9"/>
        </w:tc>
        <w:tc>
          <w:tcPr>
            <w:tcW w:w="1418" w:type="dxa"/>
            <w:vMerge/>
          </w:tcPr>
          <w:p w14:paraId="24677A41" w14:textId="77777777" w:rsidR="004D1935" w:rsidRDefault="004D1935" w:rsidP="00E24DC9"/>
        </w:tc>
        <w:tc>
          <w:tcPr>
            <w:tcW w:w="7513" w:type="dxa"/>
            <w:vMerge/>
          </w:tcPr>
          <w:p w14:paraId="30C9E22F" w14:textId="77777777" w:rsidR="004D1935" w:rsidRDefault="004D1935" w:rsidP="00E24DC9"/>
        </w:tc>
      </w:tr>
      <w:tr w:rsidR="004D1935" w14:paraId="6267E4E1" w14:textId="77777777" w:rsidTr="00E24DC9">
        <w:tc>
          <w:tcPr>
            <w:tcW w:w="709" w:type="dxa"/>
            <w:vMerge/>
          </w:tcPr>
          <w:p w14:paraId="5E955D8E" w14:textId="77777777" w:rsidR="004D1935" w:rsidRDefault="004D1935" w:rsidP="00E24DC9"/>
        </w:tc>
        <w:tc>
          <w:tcPr>
            <w:tcW w:w="850" w:type="dxa"/>
            <w:tcBorders>
              <w:top w:val="nil"/>
              <w:bottom w:val="nil"/>
            </w:tcBorders>
            <w:vAlign w:val="bottom"/>
          </w:tcPr>
          <w:p w14:paraId="23330733"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196.0599</w:t>
            </w:r>
          </w:p>
        </w:tc>
        <w:tc>
          <w:tcPr>
            <w:tcW w:w="2411" w:type="dxa"/>
            <w:vMerge/>
          </w:tcPr>
          <w:p w14:paraId="77A7F79B" w14:textId="77777777" w:rsidR="004D1935" w:rsidRDefault="004D1935" w:rsidP="00E24DC9"/>
        </w:tc>
        <w:tc>
          <w:tcPr>
            <w:tcW w:w="2126" w:type="dxa"/>
            <w:vMerge/>
          </w:tcPr>
          <w:p w14:paraId="01D2EB7A" w14:textId="77777777" w:rsidR="004D1935" w:rsidRDefault="004D1935" w:rsidP="00E24DC9"/>
        </w:tc>
        <w:tc>
          <w:tcPr>
            <w:tcW w:w="1418" w:type="dxa"/>
            <w:vMerge/>
          </w:tcPr>
          <w:p w14:paraId="13A045AB" w14:textId="77777777" w:rsidR="004D1935" w:rsidRDefault="004D1935" w:rsidP="00E24DC9"/>
        </w:tc>
        <w:tc>
          <w:tcPr>
            <w:tcW w:w="7513" w:type="dxa"/>
            <w:vMerge/>
          </w:tcPr>
          <w:p w14:paraId="069D7A42" w14:textId="77777777" w:rsidR="004D1935" w:rsidRDefault="004D1935" w:rsidP="00E24DC9"/>
        </w:tc>
      </w:tr>
      <w:tr w:rsidR="004D1935" w14:paraId="6F8693FB" w14:textId="77777777" w:rsidTr="00E24DC9">
        <w:tc>
          <w:tcPr>
            <w:tcW w:w="709" w:type="dxa"/>
            <w:vMerge/>
          </w:tcPr>
          <w:p w14:paraId="46C480B4" w14:textId="77777777" w:rsidR="004D1935" w:rsidRDefault="004D1935" w:rsidP="00E24DC9"/>
        </w:tc>
        <w:tc>
          <w:tcPr>
            <w:tcW w:w="850" w:type="dxa"/>
            <w:tcBorders>
              <w:top w:val="nil"/>
              <w:bottom w:val="nil"/>
            </w:tcBorders>
            <w:vAlign w:val="bottom"/>
          </w:tcPr>
          <w:p w14:paraId="7B8A419E"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196.0934</w:t>
            </w:r>
          </w:p>
        </w:tc>
        <w:tc>
          <w:tcPr>
            <w:tcW w:w="2411" w:type="dxa"/>
            <w:vMerge/>
          </w:tcPr>
          <w:p w14:paraId="02044E80" w14:textId="77777777" w:rsidR="004D1935" w:rsidRDefault="004D1935" w:rsidP="00E24DC9"/>
        </w:tc>
        <w:tc>
          <w:tcPr>
            <w:tcW w:w="2126" w:type="dxa"/>
            <w:vMerge/>
          </w:tcPr>
          <w:p w14:paraId="7A4440F7" w14:textId="77777777" w:rsidR="004D1935" w:rsidRDefault="004D1935" w:rsidP="00E24DC9"/>
        </w:tc>
        <w:tc>
          <w:tcPr>
            <w:tcW w:w="1418" w:type="dxa"/>
            <w:vMerge/>
          </w:tcPr>
          <w:p w14:paraId="277D33FA" w14:textId="77777777" w:rsidR="004D1935" w:rsidRDefault="004D1935" w:rsidP="00E24DC9"/>
        </w:tc>
        <w:tc>
          <w:tcPr>
            <w:tcW w:w="7513" w:type="dxa"/>
            <w:vMerge/>
          </w:tcPr>
          <w:p w14:paraId="093FCC20" w14:textId="77777777" w:rsidR="004D1935" w:rsidRDefault="004D1935" w:rsidP="00E24DC9"/>
        </w:tc>
      </w:tr>
      <w:tr w:rsidR="004D1935" w14:paraId="31DF7C0C" w14:textId="77777777" w:rsidTr="00E24DC9">
        <w:tc>
          <w:tcPr>
            <w:tcW w:w="709" w:type="dxa"/>
            <w:vMerge/>
          </w:tcPr>
          <w:p w14:paraId="18E7F268" w14:textId="77777777" w:rsidR="004D1935" w:rsidRDefault="004D1935" w:rsidP="00E24DC9"/>
        </w:tc>
        <w:tc>
          <w:tcPr>
            <w:tcW w:w="850" w:type="dxa"/>
            <w:tcBorders>
              <w:top w:val="nil"/>
              <w:bottom w:val="nil"/>
            </w:tcBorders>
            <w:vAlign w:val="bottom"/>
          </w:tcPr>
          <w:p w14:paraId="154B3AC1"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196.1270</w:t>
            </w:r>
          </w:p>
        </w:tc>
        <w:tc>
          <w:tcPr>
            <w:tcW w:w="2411" w:type="dxa"/>
            <w:vMerge/>
          </w:tcPr>
          <w:p w14:paraId="0219AFB8" w14:textId="77777777" w:rsidR="004D1935" w:rsidRDefault="004D1935" w:rsidP="00E24DC9"/>
        </w:tc>
        <w:tc>
          <w:tcPr>
            <w:tcW w:w="2126" w:type="dxa"/>
            <w:vMerge/>
          </w:tcPr>
          <w:p w14:paraId="2E76E2C3" w14:textId="77777777" w:rsidR="004D1935" w:rsidRDefault="004D1935" w:rsidP="00E24DC9"/>
        </w:tc>
        <w:tc>
          <w:tcPr>
            <w:tcW w:w="1418" w:type="dxa"/>
            <w:vMerge/>
          </w:tcPr>
          <w:p w14:paraId="21E6202C" w14:textId="77777777" w:rsidR="004D1935" w:rsidRDefault="004D1935" w:rsidP="00E24DC9"/>
        </w:tc>
        <w:tc>
          <w:tcPr>
            <w:tcW w:w="7513" w:type="dxa"/>
            <w:vMerge/>
          </w:tcPr>
          <w:p w14:paraId="146CED7C" w14:textId="77777777" w:rsidR="004D1935" w:rsidRDefault="004D1935" w:rsidP="00E24DC9"/>
        </w:tc>
      </w:tr>
      <w:tr w:rsidR="004D1935" w14:paraId="6508A62D" w14:textId="77777777" w:rsidTr="00E24DC9">
        <w:tc>
          <w:tcPr>
            <w:tcW w:w="709" w:type="dxa"/>
            <w:vMerge/>
          </w:tcPr>
          <w:p w14:paraId="65A6B591" w14:textId="77777777" w:rsidR="004D1935" w:rsidRDefault="004D1935" w:rsidP="00E24DC9"/>
        </w:tc>
        <w:tc>
          <w:tcPr>
            <w:tcW w:w="850" w:type="dxa"/>
            <w:tcBorders>
              <w:top w:val="nil"/>
              <w:bottom w:val="nil"/>
            </w:tcBorders>
            <w:vAlign w:val="bottom"/>
          </w:tcPr>
          <w:p w14:paraId="47907A61"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196.1605</w:t>
            </w:r>
          </w:p>
        </w:tc>
        <w:tc>
          <w:tcPr>
            <w:tcW w:w="2411" w:type="dxa"/>
            <w:vMerge/>
          </w:tcPr>
          <w:p w14:paraId="0CB3BB00" w14:textId="77777777" w:rsidR="004D1935" w:rsidRDefault="004D1935" w:rsidP="00E24DC9"/>
        </w:tc>
        <w:tc>
          <w:tcPr>
            <w:tcW w:w="2126" w:type="dxa"/>
            <w:vMerge/>
          </w:tcPr>
          <w:p w14:paraId="6619A7B8" w14:textId="77777777" w:rsidR="004D1935" w:rsidRDefault="004D1935" w:rsidP="00E24DC9"/>
        </w:tc>
        <w:tc>
          <w:tcPr>
            <w:tcW w:w="1418" w:type="dxa"/>
            <w:vMerge/>
          </w:tcPr>
          <w:p w14:paraId="01442AF2" w14:textId="77777777" w:rsidR="004D1935" w:rsidRDefault="004D1935" w:rsidP="00E24DC9"/>
        </w:tc>
        <w:tc>
          <w:tcPr>
            <w:tcW w:w="7513" w:type="dxa"/>
            <w:vMerge/>
          </w:tcPr>
          <w:p w14:paraId="2F302503" w14:textId="77777777" w:rsidR="004D1935" w:rsidRDefault="004D1935" w:rsidP="00E24DC9"/>
        </w:tc>
      </w:tr>
      <w:tr w:rsidR="004D1935" w14:paraId="6D4BBCBE" w14:textId="77777777" w:rsidTr="00E24DC9">
        <w:tc>
          <w:tcPr>
            <w:tcW w:w="709" w:type="dxa"/>
            <w:vMerge/>
          </w:tcPr>
          <w:p w14:paraId="17DBF9A2" w14:textId="77777777" w:rsidR="004D1935" w:rsidRDefault="004D1935" w:rsidP="00E24DC9"/>
        </w:tc>
        <w:tc>
          <w:tcPr>
            <w:tcW w:w="850" w:type="dxa"/>
            <w:tcBorders>
              <w:top w:val="nil"/>
              <w:bottom w:val="nil"/>
            </w:tcBorders>
            <w:vAlign w:val="bottom"/>
          </w:tcPr>
          <w:p w14:paraId="6D047F96"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196.1940</w:t>
            </w:r>
          </w:p>
        </w:tc>
        <w:tc>
          <w:tcPr>
            <w:tcW w:w="2411" w:type="dxa"/>
            <w:vMerge/>
          </w:tcPr>
          <w:p w14:paraId="609F7F1F" w14:textId="77777777" w:rsidR="004D1935" w:rsidRDefault="004D1935" w:rsidP="00E24DC9"/>
        </w:tc>
        <w:tc>
          <w:tcPr>
            <w:tcW w:w="2126" w:type="dxa"/>
            <w:vMerge/>
          </w:tcPr>
          <w:p w14:paraId="61DCBC2D" w14:textId="77777777" w:rsidR="004D1935" w:rsidRDefault="004D1935" w:rsidP="00E24DC9"/>
        </w:tc>
        <w:tc>
          <w:tcPr>
            <w:tcW w:w="1418" w:type="dxa"/>
            <w:vMerge/>
          </w:tcPr>
          <w:p w14:paraId="6C2BE41C" w14:textId="77777777" w:rsidR="004D1935" w:rsidRDefault="004D1935" w:rsidP="00E24DC9"/>
        </w:tc>
        <w:tc>
          <w:tcPr>
            <w:tcW w:w="7513" w:type="dxa"/>
            <w:vMerge/>
          </w:tcPr>
          <w:p w14:paraId="6ADAF73D" w14:textId="77777777" w:rsidR="004D1935" w:rsidRDefault="004D1935" w:rsidP="00E24DC9"/>
        </w:tc>
      </w:tr>
      <w:tr w:rsidR="004D1935" w14:paraId="1BC823A0" w14:textId="77777777" w:rsidTr="00E24DC9">
        <w:tc>
          <w:tcPr>
            <w:tcW w:w="709" w:type="dxa"/>
            <w:vMerge/>
          </w:tcPr>
          <w:p w14:paraId="0D94C049" w14:textId="77777777" w:rsidR="004D1935" w:rsidRDefault="004D1935" w:rsidP="00E24DC9"/>
        </w:tc>
        <w:tc>
          <w:tcPr>
            <w:tcW w:w="850" w:type="dxa"/>
            <w:tcBorders>
              <w:top w:val="nil"/>
              <w:bottom w:val="nil"/>
            </w:tcBorders>
            <w:vAlign w:val="bottom"/>
          </w:tcPr>
          <w:p w14:paraId="1EA15C5B"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196.0287</w:t>
            </w:r>
          </w:p>
        </w:tc>
        <w:tc>
          <w:tcPr>
            <w:tcW w:w="2411" w:type="dxa"/>
            <w:vMerge/>
          </w:tcPr>
          <w:p w14:paraId="2F60CC80" w14:textId="77777777" w:rsidR="004D1935" w:rsidRDefault="004D1935" w:rsidP="00E24DC9"/>
        </w:tc>
        <w:tc>
          <w:tcPr>
            <w:tcW w:w="2126" w:type="dxa"/>
            <w:vMerge/>
          </w:tcPr>
          <w:p w14:paraId="2F92223E" w14:textId="77777777" w:rsidR="004D1935" w:rsidRDefault="004D1935" w:rsidP="00E24DC9"/>
        </w:tc>
        <w:tc>
          <w:tcPr>
            <w:tcW w:w="1418" w:type="dxa"/>
            <w:vMerge/>
          </w:tcPr>
          <w:p w14:paraId="143872E7" w14:textId="77777777" w:rsidR="004D1935" w:rsidRDefault="004D1935" w:rsidP="00E24DC9"/>
        </w:tc>
        <w:tc>
          <w:tcPr>
            <w:tcW w:w="7513" w:type="dxa"/>
            <w:vMerge/>
          </w:tcPr>
          <w:p w14:paraId="549CBB3E" w14:textId="77777777" w:rsidR="004D1935" w:rsidRDefault="004D1935" w:rsidP="00E24DC9"/>
        </w:tc>
      </w:tr>
      <w:tr w:rsidR="004D1935" w14:paraId="131D0B5A" w14:textId="77777777" w:rsidTr="00E24DC9">
        <w:tc>
          <w:tcPr>
            <w:tcW w:w="709" w:type="dxa"/>
            <w:vMerge/>
          </w:tcPr>
          <w:p w14:paraId="680B6C64" w14:textId="77777777" w:rsidR="004D1935" w:rsidRDefault="004D1935" w:rsidP="00E24DC9"/>
        </w:tc>
        <w:tc>
          <w:tcPr>
            <w:tcW w:w="850" w:type="dxa"/>
            <w:tcBorders>
              <w:top w:val="nil"/>
              <w:bottom w:val="nil"/>
            </w:tcBorders>
            <w:vAlign w:val="bottom"/>
          </w:tcPr>
          <w:p w14:paraId="194A2C2C"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196.0622</w:t>
            </w:r>
          </w:p>
        </w:tc>
        <w:tc>
          <w:tcPr>
            <w:tcW w:w="2411" w:type="dxa"/>
            <w:vMerge/>
          </w:tcPr>
          <w:p w14:paraId="4D8D406B" w14:textId="77777777" w:rsidR="004D1935" w:rsidRDefault="004D1935" w:rsidP="00E24DC9"/>
        </w:tc>
        <w:tc>
          <w:tcPr>
            <w:tcW w:w="2126" w:type="dxa"/>
            <w:vMerge/>
          </w:tcPr>
          <w:p w14:paraId="3EED17B2" w14:textId="77777777" w:rsidR="004D1935" w:rsidRDefault="004D1935" w:rsidP="00E24DC9"/>
        </w:tc>
        <w:tc>
          <w:tcPr>
            <w:tcW w:w="1418" w:type="dxa"/>
            <w:vMerge/>
          </w:tcPr>
          <w:p w14:paraId="28B2E4CD" w14:textId="77777777" w:rsidR="004D1935" w:rsidRDefault="004D1935" w:rsidP="00E24DC9"/>
        </w:tc>
        <w:tc>
          <w:tcPr>
            <w:tcW w:w="7513" w:type="dxa"/>
            <w:vMerge/>
          </w:tcPr>
          <w:p w14:paraId="72005DD8" w14:textId="77777777" w:rsidR="004D1935" w:rsidRDefault="004D1935" w:rsidP="00E24DC9"/>
        </w:tc>
      </w:tr>
      <w:tr w:rsidR="004D1935" w14:paraId="75CE3DF0" w14:textId="77777777" w:rsidTr="00E24DC9">
        <w:tc>
          <w:tcPr>
            <w:tcW w:w="709" w:type="dxa"/>
            <w:vMerge/>
          </w:tcPr>
          <w:p w14:paraId="5C49341D" w14:textId="77777777" w:rsidR="004D1935" w:rsidRDefault="004D1935" w:rsidP="00E24DC9"/>
        </w:tc>
        <w:tc>
          <w:tcPr>
            <w:tcW w:w="850" w:type="dxa"/>
            <w:tcBorders>
              <w:top w:val="nil"/>
              <w:bottom w:val="nil"/>
            </w:tcBorders>
            <w:vAlign w:val="bottom"/>
          </w:tcPr>
          <w:p w14:paraId="7F61341E"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196.0957</w:t>
            </w:r>
          </w:p>
        </w:tc>
        <w:tc>
          <w:tcPr>
            <w:tcW w:w="2411" w:type="dxa"/>
            <w:vMerge/>
          </w:tcPr>
          <w:p w14:paraId="4F195F34" w14:textId="77777777" w:rsidR="004D1935" w:rsidRDefault="004D1935" w:rsidP="00E24DC9"/>
        </w:tc>
        <w:tc>
          <w:tcPr>
            <w:tcW w:w="2126" w:type="dxa"/>
            <w:vMerge/>
          </w:tcPr>
          <w:p w14:paraId="1B6634EB" w14:textId="77777777" w:rsidR="004D1935" w:rsidRDefault="004D1935" w:rsidP="00E24DC9"/>
        </w:tc>
        <w:tc>
          <w:tcPr>
            <w:tcW w:w="1418" w:type="dxa"/>
            <w:vMerge/>
          </w:tcPr>
          <w:p w14:paraId="3B08EBD8" w14:textId="77777777" w:rsidR="004D1935" w:rsidRDefault="004D1935" w:rsidP="00E24DC9"/>
        </w:tc>
        <w:tc>
          <w:tcPr>
            <w:tcW w:w="7513" w:type="dxa"/>
            <w:vMerge/>
          </w:tcPr>
          <w:p w14:paraId="604C9A74" w14:textId="77777777" w:rsidR="004D1935" w:rsidRDefault="004D1935" w:rsidP="00E24DC9"/>
        </w:tc>
      </w:tr>
      <w:tr w:rsidR="004D1935" w14:paraId="4F6F67D4" w14:textId="77777777" w:rsidTr="00E24DC9">
        <w:tc>
          <w:tcPr>
            <w:tcW w:w="709" w:type="dxa"/>
            <w:vMerge/>
          </w:tcPr>
          <w:p w14:paraId="042B0C50" w14:textId="77777777" w:rsidR="004D1935" w:rsidRDefault="004D1935" w:rsidP="00E24DC9"/>
        </w:tc>
        <w:tc>
          <w:tcPr>
            <w:tcW w:w="850" w:type="dxa"/>
            <w:tcBorders>
              <w:top w:val="nil"/>
              <w:bottom w:val="nil"/>
            </w:tcBorders>
            <w:vAlign w:val="bottom"/>
          </w:tcPr>
          <w:p w14:paraId="028410BD"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196.1739</w:t>
            </w:r>
          </w:p>
        </w:tc>
        <w:tc>
          <w:tcPr>
            <w:tcW w:w="2411" w:type="dxa"/>
            <w:vMerge/>
          </w:tcPr>
          <w:p w14:paraId="1F82D491" w14:textId="77777777" w:rsidR="004D1935" w:rsidRDefault="004D1935" w:rsidP="00E24DC9"/>
        </w:tc>
        <w:tc>
          <w:tcPr>
            <w:tcW w:w="2126" w:type="dxa"/>
            <w:vMerge/>
          </w:tcPr>
          <w:p w14:paraId="7921711A" w14:textId="77777777" w:rsidR="004D1935" w:rsidRDefault="004D1935" w:rsidP="00E24DC9"/>
        </w:tc>
        <w:tc>
          <w:tcPr>
            <w:tcW w:w="1418" w:type="dxa"/>
            <w:vMerge/>
          </w:tcPr>
          <w:p w14:paraId="12FCECA8" w14:textId="77777777" w:rsidR="004D1935" w:rsidRDefault="004D1935" w:rsidP="00E24DC9"/>
        </w:tc>
        <w:tc>
          <w:tcPr>
            <w:tcW w:w="7513" w:type="dxa"/>
            <w:vMerge/>
          </w:tcPr>
          <w:p w14:paraId="0C0FA667" w14:textId="77777777" w:rsidR="004D1935" w:rsidRDefault="004D1935" w:rsidP="00E24DC9"/>
        </w:tc>
      </w:tr>
      <w:tr w:rsidR="004D1935" w14:paraId="67025F7E" w14:textId="77777777" w:rsidTr="00E24DC9">
        <w:tc>
          <w:tcPr>
            <w:tcW w:w="709" w:type="dxa"/>
            <w:vMerge/>
          </w:tcPr>
          <w:p w14:paraId="7FEF0282" w14:textId="77777777" w:rsidR="004D1935" w:rsidRDefault="004D1935" w:rsidP="00E24DC9"/>
        </w:tc>
        <w:tc>
          <w:tcPr>
            <w:tcW w:w="850" w:type="dxa"/>
            <w:tcBorders>
              <w:top w:val="nil"/>
              <w:bottom w:val="nil"/>
            </w:tcBorders>
            <w:vAlign w:val="bottom"/>
          </w:tcPr>
          <w:p w14:paraId="0F4034E8"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196.0756</w:t>
            </w:r>
          </w:p>
        </w:tc>
        <w:tc>
          <w:tcPr>
            <w:tcW w:w="2411" w:type="dxa"/>
            <w:vMerge/>
          </w:tcPr>
          <w:p w14:paraId="2D3A6F8A" w14:textId="77777777" w:rsidR="004D1935" w:rsidRDefault="004D1935" w:rsidP="00E24DC9"/>
        </w:tc>
        <w:tc>
          <w:tcPr>
            <w:tcW w:w="2126" w:type="dxa"/>
            <w:vMerge/>
          </w:tcPr>
          <w:p w14:paraId="35D5D102" w14:textId="77777777" w:rsidR="004D1935" w:rsidRDefault="004D1935" w:rsidP="00E24DC9"/>
        </w:tc>
        <w:tc>
          <w:tcPr>
            <w:tcW w:w="1418" w:type="dxa"/>
            <w:vMerge/>
          </w:tcPr>
          <w:p w14:paraId="66C00554" w14:textId="77777777" w:rsidR="004D1935" w:rsidRDefault="004D1935" w:rsidP="00E24DC9"/>
        </w:tc>
        <w:tc>
          <w:tcPr>
            <w:tcW w:w="7513" w:type="dxa"/>
            <w:vMerge/>
          </w:tcPr>
          <w:p w14:paraId="6F994BEB" w14:textId="77777777" w:rsidR="004D1935" w:rsidRDefault="004D1935" w:rsidP="00E24DC9"/>
        </w:tc>
      </w:tr>
      <w:tr w:rsidR="004D1935" w14:paraId="1073F84E" w14:textId="77777777" w:rsidTr="00E24DC9">
        <w:tc>
          <w:tcPr>
            <w:tcW w:w="709" w:type="dxa"/>
            <w:vMerge/>
          </w:tcPr>
          <w:p w14:paraId="61165EFB" w14:textId="77777777" w:rsidR="004D1935" w:rsidRDefault="004D1935" w:rsidP="00E24DC9"/>
        </w:tc>
        <w:tc>
          <w:tcPr>
            <w:tcW w:w="850" w:type="dxa"/>
            <w:tcBorders>
              <w:top w:val="nil"/>
              <w:bottom w:val="nil"/>
            </w:tcBorders>
            <w:vAlign w:val="bottom"/>
          </w:tcPr>
          <w:p w14:paraId="3246A6D7"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196.1449</w:t>
            </w:r>
          </w:p>
        </w:tc>
        <w:tc>
          <w:tcPr>
            <w:tcW w:w="2411" w:type="dxa"/>
            <w:vMerge/>
          </w:tcPr>
          <w:p w14:paraId="5B7B4FE9" w14:textId="77777777" w:rsidR="004D1935" w:rsidRDefault="004D1935" w:rsidP="00E24DC9"/>
        </w:tc>
        <w:tc>
          <w:tcPr>
            <w:tcW w:w="2126" w:type="dxa"/>
            <w:vMerge/>
          </w:tcPr>
          <w:p w14:paraId="24B57443" w14:textId="77777777" w:rsidR="004D1935" w:rsidRDefault="004D1935" w:rsidP="00E24DC9"/>
        </w:tc>
        <w:tc>
          <w:tcPr>
            <w:tcW w:w="1418" w:type="dxa"/>
            <w:vMerge/>
          </w:tcPr>
          <w:p w14:paraId="603A0747" w14:textId="77777777" w:rsidR="004D1935" w:rsidRDefault="004D1935" w:rsidP="00E24DC9"/>
        </w:tc>
        <w:tc>
          <w:tcPr>
            <w:tcW w:w="7513" w:type="dxa"/>
            <w:vMerge/>
          </w:tcPr>
          <w:p w14:paraId="2D361FF0" w14:textId="77777777" w:rsidR="004D1935" w:rsidRDefault="004D1935" w:rsidP="00E24DC9"/>
        </w:tc>
      </w:tr>
      <w:tr w:rsidR="004D1935" w14:paraId="2B7C0D6F" w14:textId="77777777" w:rsidTr="00E24DC9">
        <w:tc>
          <w:tcPr>
            <w:tcW w:w="709" w:type="dxa"/>
            <w:vMerge/>
          </w:tcPr>
          <w:p w14:paraId="4C099211" w14:textId="77777777" w:rsidR="004D1935" w:rsidRDefault="004D1935" w:rsidP="00E24DC9"/>
        </w:tc>
        <w:tc>
          <w:tcPr>
            <w:tcW w:w="850" w:type="dxa"/>
            <w:tcBorders>
              <w:top w:val="nil"/>
              <w:bottom w:val="nil"/>
            </w:tcBorders>
            <w:vAlign w:val="bottom"/>
          </w:tcPr>
          <w:p w14:paraId="263565D4"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196.1784</w:t>
            </w:r>
          </w:p>
        </w:tc>
        <w:tc>
          <w:tcPr>
            <w:tcW w:w="2411" w:type="dxa"/>
            <w:vMerge/>
          </w:tcPr>
          <w:p w14:paraId="69902CB6" w14:textId="77777777" w:rsidR="004D1935" w:rsidRDefault="004D1935" w:rsidP="00E24DC9"/>
        </w:tc>
        <w:tc>
          <w:tcPr>
            <w:tcW w:w="2126" w:type="dxa"/>
            <w:vMerge/>
          </w:tcPr>
          <w:p w14:paraId="5B1032E2" w14:textId="77777777" w:rsidR="004D1935" w:rsidRDefault="004D1935" w:rsidP="00E24DC9"/>
        </w:tc>
        <w:tc>
          <w:tcPr>
            <w:tcW w:w="1418" w:type="dxa"/>
            <w:vMerge/>
          </w:tcPr>
          <w:p w14:paraId="177CF01B" w14:textId="77777777" w:rsidR="004D1935" w:rsidRDefault="004D1935" w:rsidP="00E24DC9"/>
        </w:tc>
        <w:tc>
          <w:tcPr>
            <w:tcW w:w="7513" w:type="dxa"/>
            <w:vMerge/>
          </w:tcPr>
          <w:p w14:paraId="2F13F3C8" w14:textId="77777777" w:rsidR="004D1935" w:rsidRDefault="004D1935" w:rsidP="00E24DC9"/>
        </w:tc>
      </w:tr>
      <w:tr w:rsidR="004D1935" w14:paraId="18A0B535" w14:textId="77777777" w:rsidTr="00E24DC9">
        <w:tc>
          <w:tcPr>
            <w:tcW w:w="709" w:type="dxa"/>
            <w:vMerge/>
          </w:tcPr>
          <w:p w14:paraId="511C23A1" w14:textId="77777777" w:rsidR="004D1935" w:rsidRDefault="004D1935" w:rsidP="00E24DC9"/>
        </w:tc>
        <w:tc>
          <w:tcPr>
            <w:tcW w:w="850" w:type="dxa"/>
            <w:tcBorders>
              <w:top w:val="nil"/>
              <w:bottom w:val="nil"/>
            </w:tcBorders>
            <w:vAlign w:val="bottom"/>
          </w:tcPr>
          <w:p w14:paraId="3F8FBC31"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196.1415</w:t>
            </w:r>
          </w:p>
        </w:tc>
        <w:tc>
          <w:tcPr>
            <w:tcW w:w="2411" w:type="dxa"/>
            <w:vMerge/>
          </w:tcPr>
          <w:p w14:paraId="08338270" w14:textId="77777777" w:rsidR="004D1935" w:rsidRDefault="004D1935" w:rsidP="00E24DC9"/>
        </w:tc>
        <w:tc>
          <w:tcPr>
            <w:tcW w:w="2126" w:type="dxa"/>
            <w:vMerge/>
          </w:tcPr>
          <w:p w14:paraId="3B1FC5F9" w14:textId="77777777" w:rsidR="004D1935" w:rsidRDefault="004D1935" w:rsidP="00E24DC9"/>
        </w:tc>
        <w:tc>
          <w:tcPr>
            <w:tcW w:w="1418" w:type="dxa"/>
            <w:vMerge/>
          </w:tcPr>
          <w:p w14:paraId="4CFABFA4" w14:textId="77777777" w:rsidR="004D1935" w:rsidRDefault="004D1935" w:rsidP="00E24DC9"/>
        </w:tc>
        <w:tc>
          <w:tcPr>
            <w:tcW w:w="7513" w:type="dxa"/>
            <w:vMerge/>
          </w:tcPr>
          <w:p w14:paraId="4A96DCC8" w14:textId="77777777" w:rsidR="004D1935" w:rsidRDefault="004D1935" w:rsidP="00E24DC9"/>
        </w:tc>
      </w:tr>
      <w:tr w:rsidR="004D1935" w14:paraId="34D13C5C" w14:textId="77777777" w:rsidTr="00E24DC9">
        <w:tc>
          <w:tcPr>
            <w:tcW w:w="709" w:type="dxa"/>
            <w:vMerge/>
          </w:tcPr>
          <w:p w14:paraId="68546FD8" w14:textId="77777777" w:rsidR="004D1935" w:rsidRDefault="004D1935" w:rsidP="00E24DC9"/>
        </w:tc>
        <w:tc>
          <w:tcPr>
            <w:tcW w:w="850" w:type="dxa"/>
            <w:tcBorders>
              <w:top w:val="nil"/>
              <w:bottom w:val="nil"/>
            </w:tcBorders>
            <w:vAlign w:val="bottom"/>
          </w:tcPr>
          <w:p w14:paraId="0A539726"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 196.0041</w:t>
            </w:r>
          </w:p>
        </w:tc>
        <w:tc>
          <w:tcPr>
            <w:tcW w:w="2411" w:type="dxa"/>
            <w:vMerge/>
          </w:tcPr>
          <w:p w14:paraId="43DA52F0" w14:textId="77777777" w:rsidR="004D1935" w:rsidRDefault="004D1935" w:rsidP="00E24DC9"/>
        </w:tc>
        <w:tc>
          <w:tcPr>
            <w:tcW w:w="2126" w:type="dxa"/>
            <w:vMerge/>
          </w:tcPr>
          <w:p w14:paraId="29AC9BA1" w14:textId="77777777" w:rsidR="004D1935" w:rsidRDefault="004D1935" w:rsidP="00E24DC9"/>
        </w:tc>
        <w:tc>
          <w:tcPr>
            <w:tcW w:w="1418" w:type="dxa"/>
            <w:vMerge/>
          </w:tcPr>
          <w:p w14:paraId="5DDB2C2E" w14:textId="77777777" w:rsidR="004D1935" w:rsidRDefault="004D1935" w:rsidP="00E24DC9"/>
        </w:tc>
        <w:tc>
          <w:tcPr>
            <w:tcW w:w="7513" w:type="dxa"/>
            <w:vMerge/>
          </w:tcPr>
          <w:p w14:paraId="3C3ABF7F" w14:textId="77777777" w:rsidR="004D1935" w:rsidRDefault="004D1935" w:rsidP="00E24DC9"/>
        </w:tc>
      </w:tr>
      <w:tr w:rsidR="004D1935" w14:paraId="12594DC3" w14:textId="77777777" w:rsidTr="00E24DC9">
        <w:tc>
          <w:tcPr>
            <w:tcW w:w="709" w:type="dxa"/>
            <w:vMerge/>
          </w:tcPr>
          <w:p w14:paraId="5A056B5D" w14:textId="77777777" w:rsidR="004D1935" w:rsidRDefault="004D1935" w:rsidP="00E24DC9"/>
        </w:tc>
        <w:tc>
          <w:tcPr>
            <w:tcW w:w="850" w:type="dxa"/>
            <w:tcBorders>
              <w:top w:val="nil"/>
              <w:bottom w:val="nil"/>
            </w:tcBorders>
            <w:vAlign w:val="bottom"/>
          </w:tcPr>
          <w:p w14:paraId="1CF4B5BD"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 196.0376</w:t>
            </w:r>
          </w:p>
        </w:tc>
        <w:tc>
          <w:tcPr>
            <w:tcW w:w="2411" w:type="dxa"/>
            <w:vMerge/>
          </w:tcPr>
          <w:p w14:paraId="72ECDD29" w14:textId="77777777" w:rsidR="004D1935" w:rsidRDefault="004D1935" w:rsidP="00E24DC9"/>
        </w:tc>
        <w:tc>
          <w:tcPr>
            <w:tcW w:w="2126" w:type="dxa"/>
            <w:vMerge/>
          </w:tcPr>
          <w:p w14:paraId="03ED755E" w14:textId="77777777" w:rsidR="004D1935" w:rsidRDefault="004D1935" w:rsidP="00E24DC9"/>
        </w:tc>
        <w:tc>
          <w:tcPr>
            <w:tcW w:w="1418" w:type="dxa"/>
            <w:vMerge/>
          </w:tcPr>
          <w:p w14:paraId="47BC5A36" w14:textId="77777777" w:rsidR="004D1935" w:rsidRDefault="004D1935" w:rsidP="00E24DC9"/>
        </w:tc>
        <w:tc>
          <w:tcPr>
            <w:tcW w:w="7513" w:type="dxa"/>
            <w:vMerge/>
          </w:tcPr>
          <w:p w14:paraId="1FDD92E6" w14:textId="77777777" w:rsidR="004D1935" w:rsidRDefault="004D1935" w:rsidP="00E24DC9"/>
        </w:tc>
      </w:tr>
      <w:tr w:rsidR="004D1935" w14:paraId="777247D4" w14:textId="77777777" w:rsidTr="00E24DC9">
        <w:tc>
          <w:tcPr>
            <w:tcW w:w="709" w:type="dxa"/>
            <w:vMerge/>
          </w:tcPr>
          <w:p w14:paraId="0708DAE8" w14:textId="77777777" w:rsidR="004D1935" w:rsidRDefault="004D1935" w:rsidP="00E24DC9"/>
        </w:tc>
        <w:tc>
          <w:tcPr>
            <w:tcW w:w="850" w:type="dxa"/>
            <w:tcBorders>
              <w:top w:val="nil"/>
              <w:bottom w:val="nil"/>
            </w:tcBorders>
            <w:vAlign w:val="bottom"/>
          </w:tcPr>
          <w:p w14:paraId="79C29812"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196.1806</w:t>
            </w:r>
          </w:p>
        </w:tc>
        <w:tc>
          <w:tcPr>
            <w:tcW w:w="2411" w:type="dxa"/>
            <w:vMerge/>
          </w:tcPr>
          <w:p w14:paraId="3950E7AC" w14:textId="77777777" w:rsidR="004D1935" w:rsidRDefault="004D1935" w:rsidP="00E24DC9"/>
        </w:tc>
        <w:tc>
          <w:tcPr>
            <w:tcW w:w="2126" w:type="dxa"/>
            <w:vMerge/>
          </w:tcPr>
          <w:p w14:paraId="6FD47225" w14:textId="77777777" w:rsidR="004D1935" w:rsidRDefault="004D1935" w:rsidP="00E24DC9"/>
        </w:tc>
        <w:tc>
          <w:tcPr>
            <w:tcW w:w="1418" w:type="dxa"/>
            <w:vMerge/>
          </w:tcPr>
          <w:p w14:paraId="442BEC47" w14:textId="77777777" w:rsidR="004D1935" w:rsidRDefault="004D1935" w:rsidP="00E24DC9"/>
        </w:tc>
        <w:tc>
          <w:tcPr>
            <w:tcW w:w="7513" w:type="dxa"/>
            <w:vMerge/>
          </w:tcPr>
          <w:p w14:paraId="64143CED" w14:textId="77777777" w:rsidR="004D1935" w:rsidRDefault="004D1935" w:rsidP="00E24DC9"/>
        </w:tc>
      </w:tr>
      <w:tr w:rsidR="004D1935" w14:paraId="15B44CB1" w14:textId="77777777" w:rsidTr="00E24DC9">
        <w:tc>
          <w:tcPr>
            <w:tcW w:w="709" w:type="dxa"/>
            <w:vMerge/>
          </w:tcPr>
          <w:p w14:paraId="763A9A41" w14:textId="77777777" w:rsidR="004D1935" w:rsidRDefault="004D1935" w:rsidP="00E24DC9"/>
        </w:tc>
        <w:tc>
          <w:tcPr>
            <w:tcW w:w="850" w:type="dxa"/>
            <w:tcBorders>
              <w:top w:val="nil"/>
              <w:bottom w:val="nil"/>
            </w:tcBorders>
            <w:vAlign w:val="bottom"/>
          </w:tcPr>
          <w:p w14:paraId="413CB4C3"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196.1516</w:t>
            </w:r>
          </w:p>
        </w:tc>
        <w:tc>
          <w:tcPr>
            <w:tcW w:w="2411" w:type="dxa"/>
            <w:vMerge/>
          </w:tcPr>
          <w:p w14:paraId="50EF6E23" w14:textId="77777777" w:rsidR="004D1935" w:rsidRDefault="004D1935" w:rsidP="00E24DC9"/>
        </w:tc>
        <w:tc>
          <w:tcPr>
            <w:tcW w:w="2126" w:type="dxa"/>
            <w:vMerge/>
          </w:tcPr>
          <w:p w14:paraId="0C6111A1" w14:textId="77777777" w:rsidR="004D1935" w:rsidRDefault="004D1935" w:rsidP="00E24DC9"/>
        </w:tc>
        <w:tc>
          <w:tcPr>
            <w:tcW w:w="1418" w:type="dxa"/>
            <w:vMerge/>
          </w:tcPr>
          <w:p w14:paraId="02EE09F6" w14:textId="77777777" w:rsidR="004D1935" w:rsidRDefault="004D1935" w:rsidP="00E24DC9"/>
        </w:tc>
        <w:tc>
          <w:tcPr>
            <w:tcW w:w="7513" w:type="dxa"/>
            <w:vMerge/>
          </w:tcPr>
          <w:p w14:paraId="0100C5E3" w14:textId="77777777" w:rsidR="004D1935" w:rsidRDefault="004D1935" w:rsidP="00E24DC9"/>
        </w:tc>
      </w:tr>
      <w:tr w:rsidR="004D1935" w14:paraId="1DDAEDA0" w14:textId="77777777" w:rsidTr="00E24DC9">
        <w:tc>
          <w:tcPr>
            <w:tcW w:w="709" w:type="dxa"/>
            <w:vMerge/>
          </w:tcPr>
          <w:p w14:paraId="40EEE7C1" w14:textId="77777777" w:rsidR="004D1935" w:rsidRDefault="004D1935" w:rsidP="00E24DC9"/>
        </w:tc>
        <w:tc>
          <w:tcPr>
            <w:tcW w:w="850" w:type="dxa"/>
            <w:tcBorders>
              <w:top w:val="nil"/>
              <w:bottom w:val="nil"/>
            </w:tcBorders>
            <w:vAlign w:val="bottom"/>
          </w:tcPr>
          <w:p w14:paraId="283DAC71"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196.1851</w:t>
            </w:r>
          </w:p>
        </w:tc>
        <w:tc>
          <w:tcPr>
            <w:tcW w:w="2411" w:type="dxa"/>
            <w:vMerge/>
          </w:tcPr>
          <w:p w14:paraId="610D221F" w14:textId="77777777" w:rsidR="004D1935" w:rsidRDefault="004D1935" w:rsidP="00E24DC9"/>
        </w:tc>
        <w:tc>
          <w:tcPr>
            <w:tcW w:w="2126" w:type="dxa"/>
            <w:vMerge/>
          </w:tcPr>
          <w:p w14:paraId="4FE2EC82" w14:textId="77777777" w:rsidR="004D1935" w:rsidRDefault="004D1935" w:rsidP="00E24DC9"/>
        </w:tc>
        <w:tc>
          <w:tcPr>
            <w:tcW w:w="1418" w:type="dxa"/>
            <w:vMerge/>
          </w:tcPr>
          <w:p w14:paraId="4F980A9F" w14:textId="77777777" w:rsidR="004D1935" w:rsidRDefault="004D1935" w:rsidP="00E24DC9"/>
        </w:tc>
        <w:tc>
          <w:tcPr>
            <w:tcW w:w="7513" w:type="dxa"/>
            <w:vMerge/>
          </w:tcPr>
          <w:p w14:paraId="16DC55F9" w14:textId="77777777" w:rsidR="004D1935" w:rsidRDefault="004D1935" w:rsidP="00E24DC9"/>
        </w:tc>
      </w:tr>
      <w:tr w:rsidR="004D1935" w14:paraId="21C5E876" w14:textId="77777777" w:rsidTr="00E24DC9">
        <w:tc>
          <w:tcPr>
            <w:tcW w:w="709" w:type="dxa"/>
            <w:vMerge/>
          </w:tcPr>
          <w:p w14:paraId="72DAE77E" w14:textId="77777777" w:rsidR="004D1935" w:rsidRDefault="004D1935" w:rsidP="00E24DC9"/>
        </w:tc>
        <w:tc>
          <w:tcPr>
            <w:tcW w:w="850" w:type="dxa"/>
            <w:tcBorders>
              <w:top w:val="nil"/>
              <w:bottom w:val="nil"/>
            </w:tcBorders>
            <w:vAlign w:val="bottom"/>
          </w:tcPr>
          <w:p w14:paraId="52EFBAD8"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196.1091</w:t>
            </w:r>
          </w:p>
        </w:tc>
        <w:tc>
          <w:tcPr>
            <w:tcW w:w="2411" w:type="dxa"/>
            <w:vMerge/>
          </w:tcPr>
          <w:p w14:paraId="51DFC3DD" w14:textId="77777777" w:rsidR="004D1935" w:rsidRDefault="004D1935" w:rsidP="00E24DC9"/>
        </w:tc>
        <w:tc>
          <w:tcPr>
            <w:tcW w:w="2126" w:type="dxa"/>
            <w:vMerge/>
          </w:tcPr>
          <w:p w14:paraId="1069D57F" w14:textId="77777777" w:rsidR="004D1935" w:rsidRDefault="004D1935" w:rsidP="00E24DC9"/>
        </w:tc>
        <w:tc>
          <w:tcPr>
            <w:tcW w:w="1418" w:type="dxa"/>
            <w:vMerge/>
          </w:tcPr>
          <w:p w14:paraId="4730254E" w14:textId="77777777" w:rsidR="004D1935" w:rsidRDefault="004D1935" w:rsidP="00E24DC9"/>
        </w:tc>
        <w:tc>
          <w:tcPr>
            <w:tcW w:w="7513" w:type="dxa"/>
            <w:vMerge/>
          </w:tcPr>
          <w:p w14:paraId="1D13F5B5" w14:textId="77777777" w:rsidR="004D1935" w:rsidRDefault="004D1935" w:rsidP="00E24DC9"/>
        </w:tc>
      </w:tr>
      <w:tr w:rsidR="004D1935" w14:paraId="66B12C7C" w14:textId="77777777" w:rsidTr="00E24DC9">
        <w:tc>
          <w:tcPr>
            <w:tcW w:w="709" w:type="dxa"/>
            <w:vMerge/>
          </w:tcPr>
          <w:p w14:paraId="4073CA30" w14:textId="77777777" w:rsidR="004D1935" w:rsidRDefault="004D1935" w:rsidP="00E24DC9"/>
        </w:tc>
        <w:tc>
          <w:tcPr>
            <w:tcW w:w="850" w:type="dxa"/>
            <w:tcBorders>
              <w:top w:val="nil"/>
              <w:bottom w:val="nil"/>
            </w:tcBorders>
            <w:vAlign w:val="bottom"/>
          </w:tcPr>
          <w:p w14:paraId="35206CAE" w14:textId="77777777" w:rsidR="004D1935" w:rsidRPr="00CE10C1" w:rsidRDefault="004D1935" w:rsidP="00E24DC9">
            <w:pPr>
              <w:rPr>
                <w:rFonts w:ascii="Calibri" w:hAnsi="Calibri" w:cs="Calibri"/>
                <w:color w:val="000000"/>
                <w:sz w:val="15"/>
                <w:szCs w:val="15"/>
              </w:rPr>
            </w:pPr>
            <w:r w:rsidRPr="00CE10C1">
              <w:rPr>
                <w:rFonts w:ascii="Calibri" w:hAnsi="Calibri" w:cs="Calibri"/>
                <w:color w:val="000000"/>
                <w:sz w:val="15"/>
                <w:szCs w:val="15"/>
              </w:rPr>
              <w:t>196.1427</w:t>
            </w:r>
          </w:p>
        </w:tc>
        <w:tc>
          <w:tcPr>
            <w:tcW w:w="2411" w:type="dxa"/>
            <w:vMerge/>
          </w:tcPr>
          <w:p w14:paraId="37F60F80" w14:textId="77777777" w:rsidR="004D1935" w:rsidRDefault="004D1935" w:rsidP="00E24DC9"/>
        </w:tc>
        <w:tc>
          <w:tcPr>
            <w:tcW w:w="2126" w:type="dxa"/>
            <w:vMerge/>
          </w:tcPr>
          <w:p w14:paraId="75BD757E" w14:textId="77777777" w:rsidR="004D1935" w:rsidRDefault="004D1935" w:rsidP="00E24DC9"/>
        </w:tc>
        <w:tc>
          <w:tcPr>
            <w:tcW w:w="1418" w:type="dxa"/>
            <w:vMerge/>
          </w:tcPr>
          <w:p w14:paraId="0051545E" w14:textId="77777777" w:rsidR="004D1935" w:rsidRDefault="004D1935" w:rsidP="00E24DC9"/>
        </w:tc>
        <w:tc>
          <w:tcPr>
            <w:tcW w:w="7513" w:type="dxa"/>
            <w:vMerge/>
          </w:tcPr>
          <w:p w14:paraId="4B1E5BB6" w14:textId="77777777" w:rsidR="004D1935" w:rsidRDefault="004D1935" w:rsidP="00E24DC9"/>
        </w:tc>
      </w:tr>
      <w:tr w:rsidR="004D1935" w14:paraId="4E0175B2" w14:textId="77777777" w:rsidTr="00E24DC9">
        <w:tc>
          <w:tcPr>
            <w:tcW w:w="709" w:type="dxa"/>
            <w:vMerge/>
          </w:tcPr>
          <w:p w14:paraId="36047155" w14:textId="77777777" w:rsidR="004D1935" w:rsidRDefault="004D1935" w:rsidP="00E24DC9"/>
        </w:tc>
        <w:tc>
          <w:tcPr>
            <w:tcW w:w="850" w:type="dxa"/>
            <w:tcBorders>
              <w:top w:val="nil"/>
              <w:bottom w:val="nil"/>
            </w:tcBorders>
            <w:vAlign w:val="bottom"/>
          </w:tcPr>
          <w:p w14:paraId="637C8D03" w14:textId="77777777" w:rsidR="004D1935" w:rsidRPr="00CE10C1" w:rsidRDefault="004D1935" w:rsidP="00E24DC9">
            <w:pPr>
              <w:rPr>
                <w:rFonts w:ascii="Calibri" w:hAnsi="Calibri" w:cs="Calibri"/>
                <w:color w:val="000000"/>
                <w:sz w:val="15"/>
                <w:szCs w:val="15"/>
              </w:rPr>
            </w:pPr>
          </w:p>
        </w:tc>
        <w:tc>
          <w:tcPr>
            <w:tcW w:w="2411" w:type="dxa"/>
            <w:vMerge/>
          </w:tcPr>
          <w:p w14:paraId="3C3AA2B4" w14:textId="77777777" w:rsidR="004D1935" w:rsidRDefault="004D1935" w:rsidP="00E24DC9"/>
        </w:tc>
        <w:tc>
          <w:tcPr>
            <w:tcW w:w="2126" w:type="dxa"/>
            <w:vMerge/>
          </w:tcPr>
          <w:p w14:paraId="30809B79" w14:textId="77777777" w:rsidR="004D1935" w:rsidRDefault="004D1935" w:rsidP="00E24DC9"/>
        </w:tc>
        <w:tc>
          <w:tcPr>
            <w:tcW w:w="1418" w:type="dxa"/>
            <w:vMerge/>
          </w:tcPr>
          <w:p w14:paraId="50D940C1" w14:textId="77777777" w:rsidR="004D1935" w:rsidRDefault="004D1935" w:rsidP="00E24DC9"/>
        </w:tc>
        <w:tc>
          <w:tcPr>
            <w:tcW w:w="7513" w:type="dxa"/>
            <w:vMerge/>
          </w:tcPr>
          <w:p w14:paraId="3996171D" w14:textId="77777777" w:rsidR="004D1935" w:rsidRDefault="004D1935" w:rsidP="00E24DC9"/>
        </w:tc>
      </w:tr>
      <w:tr w:rsidR="004D1935" w14:paraId="2357F295" w14:textId="77777777" w:rsidTr="00E24DC9">
        <w:tc>
          <w:tcPr>
            <w:tcW w:w="709" w:type="dxa"/>
            <w:vMerge/>
          </w:tcPr>
          <w:p w14:paraId="290D166A" w14:textId="77777777" w:rsidR="004D1935" w:rsidRDefault="004D1935" w:rsidP="00E24DC9"/>
        </w:tc>
        <w:tc>
          <w:tcPr>
            <w:tcW w:w="850" w:type="dxa"/>
            <w:tcBorders>
              <w:top w:val="nil"/>
              <w:bottom w:val="nil"/>
            </w:tcBorders>
            <w:vAlign w:val="bottom"/>
          </w:tcPr>
          <w:p w14:paraId="7621B7CC" w14:textId="77777777" w:rsidR="004D1935" w:rsidRPr="00CE10C1" w:rsidRDefault="004D1935" w:rsidP="00E24DC9">
            <w:pPr>
              <w:rPr>
                <w:rFonts w:ascii="Calibri" w:hAnsi="Calibri" w:cs="Calibri"/>
                <w:color w:val="000000"/>
                <w:sz w:val="15"/>
                <w:szCs w:val="15"/>
              </w:rPr>
            </w:pPr>
          </w:p>
        </w:tc>
        <w:tc>
          <w:tcPr>
            <w:tcW w:w="2411" w:type="dxa"/>
            <w:vMerge/>
          </w:tcPr>
          <w:p w14:paraId="0694FE68" w14:textId="77777777" w:rsidR="004D1935" w:rsidRDefault="004D1935" w:rsidP="00E24DC9"/>
        </w:tc>
        <w:tc>
          <w:tcPr>
            <w:tcW w:w="2126" w:type="dxa"/>
            <w:vMerge/>
          </w:tcPr>
          <w:p w14:paraId="1CF08179" w14:textId="77777777" w:rsidR="004D1935" w:rsidRDefault="004D1935" w:rsidP="00E24DC9"/>
        </w:tc>
        <w:tc>
          <w:tcPr>
            <w:tcW w:w="1418" w:type="dxa"/>
            <w:vMerge/>
          </w:tcPr>
          <w:p w14:paraId="51A3C072" w14:textId="77777777" w:rsidR="004D1935" w:rsidRDefault="004D1935" w:rsidP="00E24DC9"/>
        </w:tc>
        <w:tc>
          <w:tcPr>
            <w:tcW w:w="7513" w:type="dxa"/>
            <w:vMerge/>
          </w:tcPr>
          <w:p w14:paraId="121AA5D1" w14:textId="77777777" w:rsidR="004D1935" w:rsidRDefault="004D1935" w:rsidP="00E24DC9"/>
        </w:tc>
      </w:tr>
      <w:tr w:rsidR="004D1935" w14:paraId="092A2797" w14:textId="77777777" w:rsidTr="00E24DC9">
        <w:tc>
          <w:tcPr>
            <w:tcW w:w="709" w:type="dxa"/>
            <w:vMerge/>
          </w:tcPr>
          <w:p w14:paraId="000205B1" w14:textId="77777777" w:rsidR="004D1935" w:rsidRDefault="004D1935" w:rsidP="00E24DC9"/>
        </w:tc>
        <w:tc>
          <w:tcPr>
            <w:tcW w:w="850" w:type="dxa"/>
            <w:tcBorders>
              <w:top w:val="nil"/>
              <w:bottom w:val="nil"/>
            </w:tcBorders>
            <w:vAlign w:val="bottom"/>
          </w:tcPr>
          <w:p w14:paraId="68A0F652" w14:textId="77777777" w:rsidR="004D1935" w:rsidRPr="00CE10C1" w:rsidRDefault="004D1935" w:rsidP="00E24DC9">
            <w:pPr>
              <w:rPr>
                <w:rFonts w:ascii="Calibri" w:hAnsi="Calibri" w:cs="Calibri"/>
                <w:color w:val="000000"/>
                <w:sz w:val="15"/>
                <w:szCs w:val="15"/>
              </w:rPr>
            </w:pPr>
          </w:p>
        </w:tc>
        <w:tc>
          <w:tcPr>
            <w:tcW w:w="2411" w:type="dxa"/>
            <w:vMerge/>
          </w:tcPr>
          <w:p w14:paraId="02168947" w14:textId="77777777" w:rsidR="004D1935" w:rsidRDefault="004D1935" w:rsidP="00E24DC9"/>
        </w:tc>
        <w:tc>
          <w:tcPr>
            <w:tcW w:w="2126" w:type="dxa"/>
            <w:vMerge/>
          </w:tcPr>
          <w:p w14:paraId="359D0FD5" w14:textId="77777777" w:rsidR="004D1935" w:rsidRDefault="004D1935" w:rsidP="00E24DC9"/>
        </w:tc>
        <w:tc>
          <w:tcPr>
            <w:tcW w:w="1418" w:type="dxa"/>
            <w:vMerge/>
          </w:tcPr>
          <w:p w14:paraId="65752A35" w14:textId="77777777" w:rsidR="004D1935" w:rsidRDefault="004D1935" w:rsidP="00E24DC9"/>
        </w:tc>
        <w:tc>
          <w:tcPr>
            <w:tcW w:w="7513" w:type="dxa"/>
            <w:vMerge/>
          </w:tcPr>
          <w:p w14:paraId="5AE11D34" w14:textId="77777777" w:rsidR="004D1935" w:rsidRDefault="004D1935" w:rsidP="00E24DC9"/>
        </w:tc>
      </w:tr>
      <w:tr w:rsidR="004D1935" w14:paraId="63FD3F0D" w14:textId="77777777" w:rsidTr="00E24DC9">
        <w:tc>
          <w:tcPr>
            <w:tcW w:w="709" w:type="dxa"/>
            <w:vMerge/>
          </w:tcPr>
          <w:p w14:paraId="313D7B36" w14:textId="77777777" w:rsidR="004D1935" w:rsidRDefault="004D1935" w:rsidP="00E24DC9"/>
        </w:tc>
        <w:tc>
          <w:tcPr>
            <w:tcW w:w="850" w:type="dxa"/>
            <w:tcBorders>
              <w:top w:val="nil"/>
              <w:bottom w:val="nil"/>
            </w:tcBorders>
            <w:vAlign w:val="bottom"/>
          </w:tcPr>
          <w:p w14:paraId="1EAC98AB" w14:textId="77777777" w:rsidR="004D1935" w:rsidRPr="00CE10C1" w:rsidRDefault="004D1935" w:rsidP="00E24DC9">
            <w:pPr>
              <w:rPr>
                <w:rFonts w:ascii="Calibri" w:hAnsi="Calibri" w:cs="Calibri"/>
                <w:color w:val="000000"/>
                <w:sz w:val="15"/>
                <w:szCs w:val="15"/>
              </w:rPr>
            </w:pPr>
          </w:p>
        </w:tc>
        <w:tc>
          <w:tcPr>
            <w:tcW w:w="2411" w:type="dxa"/>
            <w:vMerge/>
          </w:tcPr>
          <w:p w14:paraId="5E6987A0" w14:textId="77777777" w:rsidR="004D1935" w:rsidRDefault="004D1935" w:rsidP="00E24DC9"/>
        </w:tc>
        <w:tc>
          <w:tcPr>
            <w:tcW w:w="2126" w:type="dxa"/>
            <w:vMerge/>
          </w:tcPr>
          <w:p w14:paraId="1184E51C" w14:textId="77777777" w:rsidR="004D1935" w:rsidRDefault="004D1935" w:rsidP="00E24DC9"/>
        </w:tc>
        <w:tc>
          <w:tcPr>
            <w:tcW w:w="1418" w:type="dxa"/>
            <w:vMerge/>
          </w:tcPr>
          <w:p w14:paraId="325630CC" w14:textId="77777777" w:rsidR="004D1935" w:rsidRDefault="004D1935" w:rsidP="00E24DC9"/>
        </w:tc>
        <w:tc>
          <w:tcPr>
            <w:tcW w:w="7513" w:type="dxa"/>
            <w:vMerge/>
          </w:tcPr>
          <w:p w14:paraId="2F9AE2D8" w14:textId="77777777" w:rsidR="004D1935" w:rsidRDefault="004D1935" w:rsidP="00E24DC9"/>
        </w:tc>
      </w:tr>
      <w:tr w:rsidR="004D1935" w14:paraId="0A6E896F" w14:textId="77777777" w:rsidTr="00E24DC9">
        <w:tc>
          <w:tcPr>
            <w:tcW w:w="709" w:type="dxa"/>
            <w:vMerge/>
          </w:tcPr>
          <w:p w14:paraId="0568B39D" w14:textId="77777777" w:rsidR="004D1935" w:rsidRDefault="004D1935" w:rsidP="00E24DC9"/>
        </w:tc>
        <w:tc>
          <w:tcPr>
            <w:tcW w:w="850" w:type="dxa"/>
            <w:tcBorders>
              <w:top w:val="nil"/>
              <w:bottom w:val="nil"/>
            </w:tcBorders>
            <w:vAlign w:val="bottom"/>
          </w:tcPr>
          <w:p w14:paraId="1CBF3201" w14:textId="77777777" w:rsidR="004D1935" w:rsidRPr="00CE10C1" w:rsidRDefault="004D1935" w:rsidP="00E24DC9">
            <w:pPr>
              <w:rPr>
                <w:rFonts w:ascii="Calibri" w:hAnsi="Calibri" w:cs="Calibri"/>
                <w:color w:val="000000"/>
                <w:sz w:val="15"/>
                <w:szCs w:val="15"/>
              </w:rPr>
            </w:pPr>
          </w:p>
        </w:tc>
        <w:tc>
          <w:tcPr>
            <w:tcW w:w="2411" w:type="dxa"/>
            <w:vMerge/>
          </w:tcPr>
          <w:p w14:paraId="6DEE0B08" w14:textId="77777777" w:rsidR="004D1935" w:rsidRDefault="004D1935" w:rsidP="00E24DC9"/>
        </w:tc>
        <w:tc>
          <w:tcPr>
            <w:tcW w:w="2126" w:type="dxa"/>
            <w:vMerge/>
          </w:tcPr>
          <w:p w14:paraId="602A145C" w14:textId="77777777" w:rsidR="004D1935" w:rsidRDefault="004D1935" w:rsidP="00E24DC9"/>
        </w:tc>
        <w:tc>
          <w:tcPr>
            <w:tcW w:w="1418" w:type="dxa"/>
            <w:vMerge/>
          </w:tcPr>
          <w:p w14:paraId="495C0156" w14:textId="77777777" w:rsidR="004D1935" w:rsidRDefault="004D1935" w:rsidP="00E24DC9"/>
        </w:tc>
        <w:tc>
          <w:tcPr>
            <w:tcW w:w="7513" w:type="dxa"/>
            <w:vMerge/>
          </w:tcPr>
          <w:p w14:paraId="69AC1A01" w14:textId="77777777" w:rsidR="004D1935" w:rsidRDefault="004D1935" w:rsidP="00E24DC9"/>
        </w:tc>
      </w:tr>
      <w:tr w:rsidR="004D1935" w14:paraId="1D38FDD6" w14:textId="77777777" w:rsidTr="00E24DC9">
        <w:tc>
          <w:tcPr>
            <w:tcW w:w="709" w:type="dxa"/>
            <w:vMerge/>
          </w:tcPr>
          <w:p w14:paraId="4D9B1E79" w14:textId="77777777" w:rsidR="004D1935" w:rsidRDefault="004D1935" w:rsidP="00E24DC9"/>
        </w:tc>
        <w:tc>
          <w:tcPr>
            <w:tcW w:w="850" w:type="dxa"/>
            <w:tcBorders>
              <w:top w:val="nil"/>
              <w:bottom w:val="nil"/>
            </w:tcBorders>
            <w:vAlign w:val="bottom"/>
          </w:tcPr>
          <w:p w14:paraId="52ECD5CF" w14:textId="77777777" w:rsidR="004D1935" w:rsidRPr="00CE10C1" w:rsidRDefault="004D1935" w:rsidP="00E24DC9">
            <w:pPr>
              <w:rPr>
                <w:rFonts w:ascii="Calibri" w:hAnsi="Calibri" w:cs="Calibri"/>
                <w:color w:val="000000"/>
                <w:sz w:val="15"/>
                <w:szCs w:val="15"/>
              </w:rPr>
            </w:pPr>
          </w:p>
        </w:tc>
        <w:tc>
          <w:tcPr>
            <w:tcW w:w="2411" w:type="dxa"/>
            <w:vMerge/>
          </w:tcPr>
          <w:p w14:paraId="62D33579" w14:textId="77777777" w:rsidR="004D1935" w:rsidRDefault="004D1935" w:rsidP="00E24DC9"/>
        </w:tc>
        <w:tc>
          <w:tcPr>
            <w:tcW w:w="2126" w:type="dxa"/>
            <w:vMerge/>
          </w:tcPr>
          <w:p w14:paraId="5BB7438A" w14:textId="77777777" w:rsidR="004D1935" w:rsidRDefault="004D1935" w:rsidP="00E24DC9"/>
        </w:tc>
        <w:tc>
          <w:tcPr>
            <w:tcW w:w="1418" w:type="dxa"/>
            <w:vMerge/>
          </w:tcPr>
          <w:p w14:paraId="20A6E425" w14:textId="77777777" w:rsidR="004D1935" w:rsidRDefault="004D1935" w:rsidP="00E24DC9"/>
        </w:tc>
        <w:tc>
          <w:tcPr>
            <w:tcW w:w="7513" w:type="dxa"/>
            <w:vMerge/>
          </w:tcPr>
          <w:p w14:paraId="3D8B1F35" w14:textId="77777777" w:rsidR="004D1935" w:rsidRDefault="004D1935" w:rsidP="00E24DC9"/>
        </w:tc>
      </w:tr>
      <w:tr w:rsidR="004D1935" w14:paraId="7B3AFCD7" w14:textId="77777777" w:rsidTr="00E24DC9">
        <w:tc>
          <w:tcPr>
            <w:tcW w:w="709" w:type="dxa"/>
            <w:vMerge/>
          </w:tcPr>
          <w:p w14:paraId="2E6EBC75" w14:textId="77777777" w:rsidR="004D1935" w:rsidRDefault="004D1935" w:rsidP="00E24DC9"/>
        </w:tc>
        <w:tc>
          <w:tcPr>
            <w:tcW w:w="850" w:type="dxa"/>
            <w:tcBorders>
              <w:top w:val="nil"/>
              <w:bottom w:val="nil"/>
            </w:tcBorders>
            <w:vAlign w:val="bottom"/>
          </w:tcPr>
          <w:p w14:paraId="69409371" w14:textId="77777777" w:rsidR="004D1935" w:rsidRPr="00CE10C1" w:rsidRDefault="004D1935" w:rsidP="00E24DC9">
            <w:pPr>
              <w:rPr>
                <w:rFonts w:ascii="Calibri" w:hAnsi="Calibri" w:cs="Calibri"/>
                <w:color w:val="000000"/>
                <w:sz w:val="15"/>
                <w:szCs w:val="15"/>
              </w:rPr>
            </w:pPr>
          </w:p>
        </w:tc>
        <w:tc>
          <w:tcPr>
            <w:tcW w:w="2411" w:type="dxa"/>
            <w:vMerge/>
          </w:tcPr>
          <w:p w14:paraId="6D654611" w14:textId="77777777" w:rsidR="004D1935" w:rsidRDefault="004D1935" w:rsidP="00E24DC9"/>
        </w:tc>
        <w:tc>
          <w:tcPr>
            <w:tcW w:w="2126" w:type="dxa"/>
            <w:vMerge/>
          </w:tcPr>
          <w:p w14:paraId="613DE938" w14:textId="77777777" w:rsidR="004D1935" w:rsidRDefault="004D1935" w:rsidP="00E24DC9"/>
        </w:tc>
        <w:tc>
          <w:tcPr>
            <w:tcW w:w="1418" w:type="dxa"/>
            <w:vMerge/>
          </w:tcPr>
          <w:p w14:paraId="1F28EAAE" w14:textId="77777777" w:rsidR="004D1935" w:rsidRDefault="004D1935" w:rsidP="00E24DC9"/>
        </w:tc>
        <w:tc>
          <w:tcPr>
            <w:tcW w:w="7513" w:type="dxa"/>
            <w:vMerge/>
          </w:tcPr>
          <w:p w14:paraId="7FBFC6CF" w14:textId="77777777" w:rsidR="004D1935" w:rsidRDefault="004D1935" w:rsidP="00E24DC9"/>
        </w:tc>
      </w:tr>
      <w:tr w:rsidR="004D1935" w14:paraId="436A37FA" w14:textId="77777777" w:rsidTr="00E24DC9">
        <w:tc>
          <w:tcPr>
            <w:tcW w:w="709" w:type="dxa"/>
            <w:vMerge/>
          </w:tcPr>
          <w:p w14:paraId="2102B7DF" w14:textId="77777777" w:rsidR="004D1935" w:rsidRDefault="004D1935" w:rsidP="00E24DC9"/>
        </w:tc>
        <w:tc>
          <w:tcPr>
            <w:tcW w:w="850" w:type="dxa"/>
            <w:tcBorders>
              <w:top w:val="nil"/>
              <w:bottom w:val="nil"/>
            </w:tcBorders>
            <w:vAlign w:val="bottom"/>
          </w:tcPr>
          <w:p w14:paraId="0054B1EB" w14:textId="77777777" w:rsidR="004D1935" w:rsidRPr="00CE10C1" w:rsidRDefault="004D1935" w:rsidP="00E24DC9">
            <w:pPr>
              <w:rPr>
                <w:rFonts w:ascii="Calibri" w:hAnsi="Calibri" w:cs="Calibri"/>
                <w:color w:val="000000"/>
                <w:sz w:val="15"/>
                <w:szCs w:val="15"/>
              </w:rPr>
            </w:pPr>
          </w:p>
        </w:tc>
        <w:tc>
          <w:tcPr>
            <w:tcW w:w="2411" w:type="dxa"/>
            <w:vMerge/>
          </w:tcPr>
          <w:p w14:paraId="4C3A37EC" w14:textId="77777777" w:rsidR="004D1935" w:rsidRDefault="004D1935" w:rsidP="00E24DC9"/>
        </w:tc>
        <w:tc>
          <w:tcPr>
            <w:tcW w:w="2126" w:type="dxa"/>
            <w:vMerge/>
          </w:tcPr>
          <w:p w14:paraId="70803160" w14:textId="77777777" w:rsidR="004D1935" w:rsidRDefault="004D1935" w:rsidP="00E24DC9"/>
        </w:tc>
        <w:tc>
          <w:tcPr>
            <w:tcW w:w="1418" w:type="dxa"/>
            <w:vMerge/>
          </w:tcPr>
          <w:p w14:paraId="00F31389" w14:textId="77777777" w:rsidR="004D1935" w:rsidRDefault="004D1935" w:rsidP="00E24DC9"/>
        </w:tc>
        <w:tc>
          <w:tcPr>
            <w:tcW w:w="7513" w:type="dxa"/>
            <w:vMerge/>
          </w:tcPr>
          <w:p w14:paraId="0841125D" w14:textId="77777777" w:rsidR="004D1935" w:rsidRDefault="004D1935" w:rsidP="00E24DC9"/>
        </w:tc>
      </w:tr>
      <w:tr w:rsidR="004D1935" w14:paraId="61038211" w14:textId="77777777" w:rsidTr="00E24DC9">
        <w:tc>
          <w:tcPr>
            <w:tcW w:w="709" w:type="dxa"/>
            <w:vMerge/>
          </w:tcPr>
          <w:p w14:paraId="5CF24E05" w14:textId="77777777" w:rsidR="004D1935" w:rsidRDefault="004D1935" w:rsidP="00E24DC9"/>
        </w:tc>
        <w:tc>
          <w:tcPr>
            <w:tcW w:w="850" w:type="dxa"/>
            <w:tcBorders>
              <w:top w:val="nil"/>
              <w:bottom w:val="nil"/>
            </w:tcBorders>
            <w:vAlign w:val="bottom"/>
          </w:tcPr>
          <w:p w14:paraId="56A7F007" w14:textId="77777777" w:rsidR="004D1935" w:rsidRPr="00CE10C1" w:rsidRDefault="004D1935" w:rsidP="00E24DC9">
            <w:pPr>
              <w:rPr>
                <w:rFonts w:ascii="Calibri" w:hAnsi="Calibri" w:cs="Calibri"/>
                <w:color w:val="000000"/>
                <w:sz w:val="15"/>
                <w:szCs w:val="15"/>
              </w:rPr>
            </w:pPr>
          </w:p>
        </w:tc>
        <w:tc>
          <w:tcPr>
            <w:tcW w:w="2411" w:type="dxa"/>
            <w:vMerge/>
          </w:tcPr>
          <w:p w14:paraId="03B0310F" w14:textId="77777777" w:rsidR="004D1935" w:rsidRDefault="004D1935" w:rsidP="00E24DC9"/>
        </w:tc>
        <w:tc>
          <w:tcPr>
            <w:tcW w:w="2126" w:type="dxa"/>
            <w:vMerge/>
          </w:tcPr>
          <w:p w14:paraId="1956D13C" w14:textId="77777777" w:rsidR="004D1935" w:rsidRDefault="004D1935" w:rsidP="00E24DC9"/>
        </w:tc>
        <w:tc>
          <w:tcPr>
            <w:tcW w:w="1418" w:type="dxa"/>
            <w:vMerge/>
          </w:tcPr>
          <w:p w14:paraId="32A5BAE5" w14:textId="77777777" w:rsidR="004D1935" w:rsidRDefault="004D1935" w:rsidP="00E24DC9"/>
        </w:tc>
        <w:tc>
          <w:tcPr>
            <w:tcW w:w="7513" w:type="dxa"/>
            <w:vMerge/>
          </w:tcPr>
          <w:p w14:paraId="1AFFC3B4" w14:textId="77777777" w:rsidR="004D1935" w:rsidRDefault="004D1935" w:rsidP="00E24DC9"/>
        </w:tc>
      </w:tr>
      <w:tr w:rsidR="004D1935" w14:paraId="58734A89" w14:textId="77777777" w:rsidTr="00E24DC9">
        <w:tc>
          <w:tcPr>
            <w:tcW w:w="709" w:type="dxa"/>
            <w:vMerge/>
          </w:tcPr>
          <w:p w14:paraId="5EA1B06C" w14:textId="77777777" w:rsidR="004D1935" w:rsidRDefault="004D1935" w:rsidP="00E24DC9"/>
        </w:tc>
        <w:tc>
          <w:tcPr>
            <w:tcW w:w="850" w:type="dxa"/>
            <w:tcBorders>
              <w:top w:val="nil"/>
              <w:bottom w:val="nil"/>
            </w:tcBorders>
            <w:vAlign w:val="bottom"/>
          </w:tcPr>
          <w:p w14:paraId="7BFA0ECD" w14:textId="77777777" w:rsidR="004D1935" w:rsidRPr="00CE10C1" w:rsidRDefault="004D1935" w:rsidP="00E24DC9">
            <w:pPr>
              <w:rPr>
                <w:rFonts w:ascii="Calibri" w:hAnsi="Calibri" w:cs="Calibri"/>
                <w:color w:val="000000"/>
                <w:sz w:val="15"/>
                <w:szCs w:val="15"/>
              </w:rPr>
            </w:pPr>
          </w:p>
        </w:tc>
        <w:tc>
          <w:tcPr>
            <w:tcW w:w="2411" w:type="dxa"/>
            <w:vMerge/>
          </w:tcPr>
          <w:p w14:paraId="4316BA12" w14:textId="77777777" w:rsidR="004D1935" w:rsidRDefault="004D1935" w:rsidP="00E24DC9"/>
        </w:tc>
        <w:tc>
          <w:tcPr>
            <w:tcW w:w="2126" w:type="dxa"/>
            <w:vMerge/>
          </w:tcPr>
          <w:p w14:paraId="59ED1815" w14:textId="77777777" w:rsidR="004D1935" w:rsidRDefault="004D1935" w:rsidP="00E24DC9"/>
        </w:tc>
        <w:tc>
          <w:tcPr>
            <w:tcW w:w="1418" w:type="dxa"/>
            <w:vMerge/>
          </w:tcPr>
          <w:p w14:paraId="77C1CBC5" w14:textId="77777777" w:rsidR="004D1935" w:rsidRDefault="004D1935" w:rsidP="00E24DC9"/>
        </w:tc>
        <w:tc>
          <w:tcPr>
            <w:tcW w:w="7513" w:type="dxa"/>
            <w:vMerge/>
          </w:tcPr>
          <w:p w14:paraId="60B34537" w14:textId="77777777" w:rsidR="004D1935" w:rsidRDefault="004D1935" w:rsidP="00E24DC9"/>
        </w:tc>
      </w:tr>
      <w:tr w:rsidR="004D1935" w14:paraId="21894C08" w14:textId="77777777" w:rsidTr="00E24DC9">
        <w:tc>
          <w:tcPr>
            <w:tcW w:w="709" w:type="dxa"/>
            <w:vMerge/>
          </w:tcPr>
          <w:p w14:paraId="59FF57C3" w14:textId="77777777" w:rsidR="004D1935" w:rsidRDefault="004D1935" w:rsidP="00E24DC9"/>
        </w:tc>
        <w:tc>
          <w:tcPr>
            <w:tcW w:w="850" w:type="dxa"/>
            <w:tcBorders>
              <w:top w:val="nil"/>
              <w:bottom w:val="nil"/>
            </w:tcBorders>
            <w:vAlign w:val="bottom"/>
          </w:tcPr>
          <w:p w14:paraId="33D6C68E" w14:textId="77777777" w:rsidR="004D1935" w:rsidRPr="00CE10C1" w:rsidRDefault="004D1935" w:rsidP="00E24DC9">
            <w:pPr>
              <w:rPr>
                <w:rFonts w:ascii="Calibri" w:hAnsi="Calibri" w:cs="Calibri"/>
                <w:color w:val="000000"/>
                <w:sz w:val="15"/>
                <w:szCs w:val="15"/>
              </w:rPr>
            </w:pPr>
          </w:p>
        </w:tc>
        <w:tc>
          <w:tcPr>
            <w:tcW w:w="2411" w:type="dxa"/>
            <w:vMerge/>
          </w:tcPr>
          <w:p w14:paraId="518C12F2" w14:textId="77777777" w:rsidR="004D1935" w:rsidRDefault="004D1935" w:rsidP="00E24DC9"/>
        </w:tc>
        <w:tc>
          <w:tcPr>
            <w:tcW w:w="2126" w:type="dxa"/>
            <w:vMerge/>
          </w:tcPr>
          <w:p w14:paraId="05BFB432" w14:textId="77777777" w:rsidR="004D1935" w:rsidRDefault="004D1935" w:rsidP="00E24DC9"/>
        </w:tc>
        <w:tc>
          <w:tcPr>
            <w:tcW w:w="1418" w:type="dxa"/>
            <w:vMerge/>
          </w:tcPr>
          <w:p w14:paraId="26709352" w14:textId="77777777" w:rsidR="004D1935" w:rsidRDefault="004D1935" w:rsidP="00E24DC9"/>
        </w:tc>
        <w:tc>
          <w:tcPr>
            <w:tcW w:w="7513" w:type="dxa"/>
            <w:vMerge/>
          </w:tcPr>
          <w:p w14:paraId="47D06A42" w14:textId="77777777" w:rsidR="004D1935" w:rsidRDefault="004D1935" w:rsidP="00E24DC9"/>
        </w:tc>
      </w:tr>
      <w:tr w:rsidR="004D1935" w14:paraId="2161E2E4" w14:textId="77777777" w:rsidTr="00E24DC9">
        <w:tc>
          <w:tcPr>
            <w:tcW w:w="709" w:type="dxa"/>
            <w:vMerge/>
          </w:tcPr>
          <w:p w14:paraId="2B369185" w14:textId="77777777" w:rsidR="004D1935" w:rsidRDefault="004D1935" w:rsidP="00E24DC9"/>
        </w:tc>
        <w:tc>
          <w:tcPr>
            <w:tcW w:w="850" w:type="dxa"/>
            <w:tcBorders>
              <w:top w:val="nil"/>
              <w:bottom w:val="nil"/>
            </w:tcBorders>
            <w:vAlign w:val="bottom"/>
          </w:tcPr>
          <w:p w14:paraId="67796126" w14:textId="77777777" w:rsidR="004D1935" w:rsidRPr="00CE10C1" w:rsidRDefault="004D1935" w:rsidP="00E24DC9">
            <w:pPr>
              <w:rPr>
                <w:rFonts w:ascii="Calibri" w:hAnsi="Calibri" w:cs="Calibri"/>
                <w:color w:val="000000"/>
                <w:sz w:val="15"/>
                <w:szCs w:val="15"/>
              </w:rPr>
            </w:pPr>
          </w:p>
        </w:tc>
        <w:tc>
          <w:tcPr>
            <w:tcW w:w="2411" w:type="dxa"/>
            <w:vMerge/>
          </w:tcPr>
          <w:p w14:paraId="3690D3BC" w14:textId="77777777" w:rsidR="004D1935" w:rsidRDefault="004D1935" w:rsidP="00E24DC9"/>
        </w:tc>
        <w:tc>
          <w:tcPr>
            <w:tcW w:w="2126" w:type="dxa"/>
            <w:vMerge/>
          </w:tcPr>
          <w:p w14:paraId="6D17A078" w14:textId="77777777" w:rsidR="004D1935" w:rsidRDefault="004D1935" w:rsidP="00E24DC9"/>
        </w:tc>
        <w:tc>
          <w:tcPr>
            <w:tcW w:w="1418" w:type="dxa"/>
            <w:vMerge/>
          </w:tcPr>
          <w:p w14:paraId="3E741F3E" w14:textId="77777777" w:rsidR="004D1935" w:rsidRDefault="004D1935" w:rsidP="00E24DC9"/>
        </w:tc>
        <w:tc>
          <w:tcPr>
            <w:tcW w:w="7513" w:type="dxa"/>
            <w:vMerge/>
          </w:tcPr>
          <w:p w14:paraId="07DF6CE9" w14:textId="77777777" w:rsidR="004D1935" w:rsidRDefault="004D1935" w:rsidP="00E24DC9"/>
        </w:tc>
      </w:tr>
      <w:tr w:rsidR="004D1935" w14:paraId="1DF0C1F5" w14:textId="77777777" w:rsidTr="00E24DC9">
        <w:tc>
          <w:tcPr>
            <w:tcW w:w="709" w:type="dxa"/>
            <w:vMerge/>
          </w:tcPr>
          <w:p w14:paraId="4349F9CD" w14:textId="77777777" w:rsidR="004D1935" w:rsidRDefault="004D1935" w:rsidP="00E24DC9"/>
        </w:tc>
        <w:tc>
          <w:tcPr>
            <w:tcW w:w="850" w:type="dxa"/>
            <w:tcBorders>
              <w:top w:val="nil"/>
              <w:bottom w:val="nil"/>
            </w:tcBorders>
            <w:vAlign w:val="bottom"/>
          </w:tcPr>
          <w:p w14:paraId="0801176D" w14:textId="77777777" w:rsidR="004D1935" w:rsidRPr="00CE10C1" w:rsidRDefault="004D1935" w:rsidP="00E24DC9">
            <w:pPr>
              <w:rPr>
                <w:rFonts w:ascii="Calibri" w:hAnsi="Calibri" w:cs="Calibri"/>
                <w:color w:val="000000"/>
                <w:sz w:val="15"/>
                <w:szCs w:val="15"/>
              </w:rPr>
            </w:pPr>
          </w:p>
        </w:tc>
        <w:tc>
          <w:tcPr>
            <w:tcW w:w="2411" w:type="dxa"/>
            <w:vMerge/>
          </w:tcPr>
          <w:p w14:paraId="2CEC5DEE" w14:textId="77777777" w:rsidR="004D1935" w:rsidRDefault="004D1935" w:rsidP="00E24DC9"/>
        </w:tc>
        <w:tc>
          <w:tcPr>
            <w:tcW w:w="2126" w:type="dxa"/>
            <w:vMerge/>
          </w:tcPr>
          <w:p w14:paraId="02DC492F" w14:textId="77777777" w:rsidR="004D1935" w:rsidRDefault="004D1935" w:rsidP="00E24DC9"/>
        </w:tc>
        <w:tc>
          <w:tcPr>
            <w:tcW w:w="1418" w:type="dxa"/>
            <w:vMerge/>
          </w:tcPr>
          <w:p w14:paraId="57F03BC2" w14:textId="77777777" w:rsidR="004D1935" w:rsidRDefault="004D1935" w:rsidP="00E24DC9"/>
        </w:tc>
        <w:tc>
          <w:tcPr>
            <w:tcW w:w="7513" w:type="dxa"/>
            <w:vMerge/>
          </w:tcPr>
          <w:p w14:paraId="36315759" w14:textId="77777777" w:rsidR="004D1935" w:rsidRDefault="004D1935" w:rsidP="00E24DC9"/>
        </w:tc>
      </w:tr>
      <w:tr w:rsidR="004D1935" w14:paraId="2EDB567A" w14:textId="77777777" w:rsidTr="00E24DC9">
        <w:tc>
          <w:tcPr>
            <w:tcW w:w="709" w:type="dxa"/>
            <w:vMerge/>
          </w:tcPr>
          <w:p w14:paraId="384D9890" w14:textId="77777777" w:rsidR="004D1935" w:rsidRDefault="004D1935" w:rsidP="00E24DC9"/>
        </w:tc>
        <w:tc>
          <w:tcPr>
            <w:tcW w:w="850" w:type="dxa"/>
            <w:tcBorders>
              <w:top w:val="nil"/>
              <w:bottom w:val="nil"/>
            </w:tcBorders>
            <w:vAlign w:val="bottom"/>
          </w:tcPr>
          <w:p w14:paraId="13E2ADDF" w14:textId="77777777" w:rsidR="004D1935" w:rsidRPr="00CE10C1" w:rsidRDefault="004D1935" w:rsidP="00E24DC9">
            <w:pPr>
              <w:rPr>
                <w:rFonts w:ascii="Calibri" w:hAnsi="Calibri" w:cs="Calibri"/>
                <w:color w:val="000000"/>
                <w:sz w:val="15"/>
                <w:szCs w:val="15"/>
              </w:rPr>
            </w:pPr>
          </w:p>
        </w:tc>
        <w:tc>
          <w:tcPr>
            <w:tcW w:w="2411" w:type="dxa"/>
            <w:vMerge/>
          </w:tcPr>
          <w:p w14:paraId="7A350A84" w14:textId="77777777" w:rsidR="004D1935" w:rsidRDefault="004D1935" w:rsidP="00E24DC9"/>
        </w:tc>
        <w:tc>
          <w:tcPr>
            <w:tcW w:w="2126" w:type="dxa"/>
            <w:vMerge/>
          </w:tcPr>
          <w:p w14:paraId="5FE1673B" w14:textId="77777777" w:rsidR="004D1935" w:rsidRDefault="004D1935" w:rsidP="00E24DC9"/>
        </w:tc>
        <w:tc>
          <w:tcPr>
            <w:tcW w:w="1418" w:type="dxa"/>
            <w:vMerge/>
          </w:tcPr>
          <w:p w14:paraId="6542373F" w14:textId="77777777" w:rsidR="004D1935" w:rsidRDefault="004D1935" w:rsidP="00E24DC9"/>
        </w:tc>
        <w:tc>
          <w:tcPr>
            <w:tcW w:w="7513" w:type="dxa"/>
            <w:vMerge/>
          </w:tcPr>
          <w:p w14:paraId="384E4C8C" w14:textId="77777777" w:rsidR="004D1935" w:rsidRDefault="004D1935" w:rsidP="00E24DC9"/>
        </w:tc>
      </w:tr>
      <w:tr w:rsidR="004D1935" w14:paraId="43A84873" w14:textId="77777777" w:rsidTr="00E24DC9">
        <w:tc>
          <w:tcPr>
            <w:tcW w:w="709" w:type="dxa"/>
            <w:vMerge/>
          </w:tcPr>
          <w:p w14:paraId="2F9141F7" w14:textId="77777777" w:rsidR="004D1935" w:rsidRDefault="004D1935" w:rsidP="00E24DC9"/>
        </w:tc>
        <w:tc>
          <w:tcPr>
            <w:tcW w:w="850" w:type="dxa"/>
            <w:tcBorders>
              <w:top w:val="nil"/>
              <w:bottom w:val="nil"/>
            </w:tcBorders>
            <w:vAlign w:val="bottom"/>
          </w:tcPr>
          <w:p w14:paraId="729C6AAF" w14:textId="77777777" w:rsidR="004D1935" w:rsidRPr="00CE10C1" w:rsidRDefault="004D1935" w:rsidP="00E24DC9">
            <w:pPr>
              <w:rPr>
                <w:rFonts w:ascii="Calibri" w:hAnsi="Calibri" w:cs="Calibri"/>
                <w:color w:val="000000"/>
                <w:sz w:val="15"/>
                <w:szCs w:val="15"/>
              </w:rPr>
            </w:pPr>
          </w:p>
        </w:tc>
        <w:tc>
          <w:tcPr>
            <w:tcW w:w="2411" w:type="dxa"/>
            <w:vMerge/>
          </w:tcPr>
          <w:p w14:paraId="75B5A020" w14:textId="77777777" w:rsidR="004D1935" w:rsidRDefault="004D1935" w:rsidP="00E24DC9"/>
        </w:tc>
        <w:tc>
          <w:tcPr>
            <w:tcW w:w="2126" w:type="dxa"/>
            <w:vMerge/>
          </w:tcPr>
          <w:p w14:paraId="53CCE2D6" w14:textId="77777777" w:rsidR="004D1935" w:rsidRDefault="004D1935" w:rsidP="00E24DC9"/>
        </w:tc>
        <w:tc>
          <w:tcPr>
            <w:tcW w:w="1418" w:type="dxa"/>
            <w:vMerge/>
          </w:tcPr>
          <w:p w14:paraId="76270547" w14:textId="77777777" w:rsidR="004D1935" w:rsidRDefault="004D1935" w:rsidP="00E24DC9"/>
        </w:tc>
        <w:tc>
          <w:tcPr>
            <w:tcW w:w="7513" w:type="dxa"/>
            <w:vMerge/>
          </w:tcPr>
          <w:p w14:paraId="52027751" w14:textId="77777777" w:rsidR="004D1935" w:rsidRDefault="004D1935" w:rsidP="00E24DC9"/>
        </w:tc>
      </w:tr>
      <w:tr w:rsidR="004D1935" w14:paraId="6FF5CB6D" w14:textId="77777777" w:rsidTr="00E24DC9">
        <w:tc>
          <w:tcPr>
            <w:tcW w:w="709" w:type="dxa"/>
            <w:vMerge/>
          </w:tcPr>
          <w:p w14:paraId="29F03E71" w14:textId="77777777" w:rsidR="004D1935" w:rsidRDefault="004D1935" w:rsidP="00E24DC9"/>
        </w:tc>
        <w:tc>
          <w:tcPr>
            <w:tcW w:w="850" w:type="dxa"/>
            <w:tcBorders>
              <w:top w:val="nil"/>
              <w:bottom w:val="nil"/>
            </w:tcBorders>
            <w:vAlign w:val="bottom"/>
          </w:tcPr>
          <w:p w14:paraId="009846A7" w14:textId="77777777" w:rsidR="004D1935" w:rsidRPr="00CE10C1" w:rsidRDefault="004D1935" w:rsidP="00E24DC9">
            <w:pPr>
              <w:rPr>
                <w:rFonts w:ascii="Calibri" w:hAnsi="Calibri" w:cs="Calibri"/>
                <w:color w:val="000000"/>
                <w:sz w:val="15"/>
                <w:szCs w:val="15"/>
              </w:rPr>
            </w:pPr>
          </w:p>
        </w:tc>
        <w:tc>
          <w:tcPr>
            <w:tcW w:w="2411" w:type="dxa"/>
            <w:vMerge/>
          </w:tcPr>
          <w:p w14:paraId="6CDB20B9" w14:textId="77777777" w:rsidR="004D1935" w:rsidRDefault="004D1935" w:rsidP="00E24DC9"/>
        </w:tc>
        <w:tc>
          <w:tcPr>
            <w:tcW w:w="2126" w:type="dxa"/>
            <w:vMerge/>
          </w:tcPr>
          <w:p w14:paraId="2D8351EB" w14:textId="77777777" w:rsidR="004D1935" w:rsidRDefault="004D1935" w:rsidP="00E24DC9"/>
        </w:tc>
        <w:tc>
          <w:tcPr>
            <w:tcW w:w="1418" w:type="dxa"/>
            <w:vMerge/>
          </w:tcPr>
          <w:p w14:paraId="21EA7B5D" w14:textId="77777777" w:rsidR="004D1935" w:rsidRDefault="004D1935" w:rsidP="00E24DC9"/>
        </w:tc>
        <w:tc>
          <w:tcPr>
            <w:tcW w:w="7513" w:type="dxa"/>
            <w:vMerge/>
          </w:tcPr>
          <w:p w14:paraId="3B8B7434" w14:textId="77777777" w:rsidR="004D1935" w:rsidRDefault="004D1935" w:rsidP="00E24DC9"/>
        </w:tc>
      </w:tr>
      <w:tr w:rsidR="004D1935" w14:paraId="518C30CA" w14:textId="77777777" w:rsidTr="00E24DC9">
        <w:tc>
          <w:tcPr>
            <w:tcW w:w="709" w:type="dxa"/>
            <w:vMerge/>
          </w:tcPr>
          <w:p w14:paraId="4389FAF3" w14:textId="77777777" w:rsidR="004D1935" w:rsidRDefault="004D1935" w:rsidP="00E24DC9"/>
        </w:tc>
        <w:tc>
          <w:tcPr>
            <w:tcW w:w="850" w:type="dxa"/>
            <w:tcBorders>
              <w:top w:val="nil"/>
              <w:bottom w:val="nil"/>
            </w:tcBorders>
            <w:vAlign w:val="bottom"/>
          </w:tcPr>
          <w:p w14:paraId="1F6D1AEA" w14:textId="77777777" w:rsidR="004D1935" w:rsidRPr="00CE10C1" w:rsidRDefault="004D1935" w:rsidP="00E24DC9">
            <w:pPr>
              <w:rPr>
                <w:rFonts w:ascii="Calibri" w:hAnsi="Calibri" w:cs="Calibri"/>
                <w:color w:val="000000"/>
                <w:sz w:val="15"/>
                <w:szCs w:val="15"/>
              </w:rPr>
            </w:pPr>
          </w:p>
        </w:tc>
        <w:tc>
          <w:tcPr>
            <w:tcW w:w="2411" w:type="dxa"/>
            <w:vMerge/>
          </w:tcPr>
          <w:p w14:paraId="37AE464B" w14:textId="77777777" w:rsidR="004D1935" w:rsidRDefault="004D1935" w:rsidP="00E24DC9"/>
        </w:tc>
        <w:tc>
          <w:tcPr>
            <w:tcW w:w="2126" w:type="dxa"/>
            <w:vMerge/>
          </w:tcPr>
          <w:p w14:paraId="33CB896F" w14:textId="77777777" w:rsidR="004D1935" w:rsidRDefault="004D1935" w:rsidP="00E24DC9"/>
        </w:tc>
        <w:tc>
          <w:tcPr>
            <w:tcW w:w="1418" w:type="dxa"/>
            <w:vMerge/>
          </w:tcPr>
          <w:p w14:paraId="2264272A" w14:textId="77777777" w:rsidR="004D1935" w:rsidRDefault="004D1935" w:rsidP="00E24DC9"/>
        </w:tc>
        <w:tc>
          <w:tcPr>
            <w:tcW w:w="7513" w:type="dxa"/>
            <w:vMerge/>
          </w:tcPr>
          <w:p w14:paraId="773F46CD" w14:textId="77777777" w:rsidR="004D1935" w:rsidRDefault="004D1935" w:rsidP="00E24DC9"/>
        </w:tc>
      </w:tr>
      <w:tr w:rsidR="004D1935" w14:paraId="64BEAC5A" w14:textId="77777777" w:rsidTr="00E24DC9">
        <w:tc>
          <w:tcPr>
            <w:tcW w:w="709" w:type="dxa"/>
            <w:vMerge/>
          </w:tcPr>
          <w:p w14:paraId="0A389B37" w14:textId="77777777" w:rsidR="004D1935" w:rsidRDefault="004D1935" w:rsidP="00E24DC9"/>
        </w:tc>
        <w:tc>
          <w:tcPr>
            <w:tcW w:w="850" w:type="dxa"/>
            <w:tcBorders>
              <w:top w:val="nil"/>
              <w:bottom w:val="nil"/>
            </w:tcBorders>
            <w:vAlign w:val="bottom"/>
          </w:tcPr>
          <w:p w14:paraId="38A73AB0" w14:textId="77777777" w:rsidR="004D1935" w:rsidRPr="00CE10C1" w:rsidRDefault="004D1935" w:rsidP="00E24DC9">
            <w:pPr>
              <w:rPr>
                <w:rFonts w:ascii="Calibri" w:hAnsi="Calibri" w:cs="Calibri"/>
                <w:color w:val="000000"/>
                <w:sz w:val="15"/>
                <w:szCs w:val="15"/>
              </w:rPr>
            </w:pPr>
          </w:p>
        </w:tc>
        <w:tc>
          <w:tcPr>
            <w:tcW w:w="2411" w:type="dxa"/>
            <w:vMerge/>
          </w:tcPr>
          <w:p w14:paraId="02834423" w14:textId="77777777" w:rsidR="004D1935" w:rsidRDefault="004D1935" w:rsidP="00E24DC9"/>
        </w:tc>
        <w:tc>
          <w:tcPr>
            <w:tcW w:w="2126" w:type="dxa"/>
            <w:vMerge/>
          </w:tcPr>
          <w:p w14:paraId="00D9B029" w14:textId="77777777" w:rsidR="004D1935" w:rsidRDefault="004D1935" w:rsidP="00E24DC9"/>
        </w:tc>
        <w:tc>
          <w:tcPr>
            <w:tcW w:w="1418" w:type="dxa"/>
            <w:vMerge/>
          </w:tcPr>
          <w:p w14:paraId="3A47C646" w14:textId="77777777" w:rsidR="004D1935" w:rsidRDefault="004D1935" w:rsidP="00E24DC9"/>
        </w:tc>
        <w:tc>
          <w:tcPr>
            <w:tcW w:w="7513" w:type="dxa"/>
            <w:vMerge/>
          </w:tcPr>
          <w:p w14:paraId="6E8E50CD" w14:textId="77777777" w:rsidR="004D1935" w:rsidRDefault="004D1935" w:rsidP="00E24DC9"/>
        </w:tc>
      </w:tr>
      <w:tr w:rsidR="004D1935" w14:paraId="11BE1577" w14:textId="77777777" w:rsidTr="00E24DC9">
        <w:tc>
          <w:tcPr>
            <w:tcW w:w="709" w:type="dxa"/>
            <w:vMerge/>
          </w:tcPr>
          <w:p w14:paraId="01E6D77C" w14:textId="77777777" w:rsidR="004D1935" w:rsidRDefault="004D1935" w:rsidP="00E24DC9"/>
        </w:tc>
        <w:tc>
          <w:tcPr>
            <w:tcW w:w="850" w:type="dxa"/>
            <w:tcBorders>
              <w:top w:val="nil"/>
              <w:bottom w:val="nil"/>
            </w:tcBorders>
            <w:vAlign w:val="bottom"/>
          </w:tcPr>
          <w:p w14:paraId="0FE55AE9" w14:textId="77777777" w:rsidR="004D1935" w:rsidRPr="00CE10C1" w:rsidRDefault="004D1935" w:rsidP="00E24DC9">
            <w:pPr>
              <w:rPr>
                <w:rFonts w:ascii="Calibri" w:hAnsi="Calibri" w:cs="Calibri"/>
                <w:color w:val="000000"/>
                <w:sz w:val="15"/>
                <w:szCs w:val="15"/>
              </w:rPr>
            </w:pPr>
          </w:p>
        </w:tc>
        <w:tc>
          <w:tcPr>
            <w:tcW w:w="2411" w:type="dxa"/>
            <w:vMerge/>
          </w:tcPr>
          <w:p w14:paraId="6CDD4C39" w14:textId="77777777" w:rsidR="004D1935" w:rsidRDefault="004D1935" w:rsidP="00E24DC9"/>
        </w:tc>
        <w:tc>
          <w:tcPr>
            <w:tcW w:w="2126" w:type="dxa"/>
            <w:vMerge/>
          </w:tcPr>
          <w:p w14:paraId="00C224AA" w14:textId="77777777" w:rsidR="004D1935" w:rsidRDefault="004D1935" w:rsidP="00E24DC9"/>
        </w:tc>
        <w:tc>
          <w:tcPr>
            <w:tcW w:w="1418" w:type="dxa"/>
            <w:vMerge/>
          </w:tcPr>
          <w:p w14:paraId="33054E46" w14:textId="77777777" w:rsidR="004D1935" w:rsidRDefault="004D1935" w:rsidP="00E24DC9"/>
        </w:tc>
        <w:tc>
          <w:tcPr>
            <w:tcW w:w="7513" w:type="dxa"/>
            <w:vMerge/>
          </w:tcPr>
          <w:p w14:paraId="6D9895F7" w14:textId="77777777" w:rsidR="004D1935" w:rsidRDefault="004D1935" w:rsidP="00E24DC9"/>
        </w:tc>
      </w:tr>
      <w:tr w:rsidR="004D1935" w14:paraId="2A3569D4" w14:textId="77777777" w:rsidTr="00E24DC9">
        <w:tc>
          <w:tcPr>
            <w:tcW w:w="709" w:type="dxa"/>
            <w:vMerge/>
          </w:tcPr>
          <w:p w14:paraId="444A2150" w14:textId="77777777" w:rsidR="004D1935" w:rsidRDefault="004D1935" w:rsidP="00E24DC9"/>
        </w:tc>
        <w:tc>
          <w:tcPr>
            <w:tcW w:w="850" w:type="dxa"/>
            <w:tcBorders>
              <w:top w:val="nil"/>
              <w:bottom w:val="nil"/>
            </w:tcBorders>
            <w:vAlign w:val="bottom"/>
          </w:tcPr>
          <w:p w14:paraId="6AECE4E8" w14:textId="77777777" w:rsidR="004D1935" w:rsidRPr="00CE10C1" w:rsidRDefault="004D1935" w:rsidP="00E24DC9">
            <w:pPr>
              <w:rPr>
                <w:rFonts w:ascii="Calibri" w:hAnsi="Calibri" w:cs="Calibri"/>
                <w:color w:val="000000"/>
                <w:sz w:val="15"/>
                <w:szCs w:val="15"/>
              </w:rPr>
            </w:pPr>
          </w:p>
        </w:tc>
        <w:tc>
          <w:tcPr>
            <w:tcW w:w="2411" w:type="dxa"/>
            <w:vMerge/>
          </w:tcPr>
          <w:p w14:paraId="1D16993C" w14:textId="77777777" w:rsidR="004D1935" w:rsidRDefault="004D1935" w:rsidP="00E24DC9"/>
        </w:tc>
        <w:tc>
          <w:tcPr>
            <w:tcW w:w="2126" w:type="dxa"/>
            <w:vMerge/>
          </w:tcPr>
          <w:p w14:paraId="07015D81" w14:textId="77777777" w:rsidR="004D1935" w:rsidRDefault="004D1935" w:rsidP="00E24DC9"/>
        </w:tc>
        <w:tc>
          <w:tcPr>
            <w:tcW w:w="1418" w:type="dxa"/>
            <w:vMerge/>
          </w:tcPr>
          <w:p w14:paraId="5A6CD502" w14:textId="77777777" w:rsidR="004D1935" w:rsidRDefault="004D1935" w:rsidP="00E24DC9"/>
        </w:tc>
        <w:tc>
          <w:tcPr>
            <w:tcW w:w="7513" w:type="dxa"/>
            <w:vMerge/>
          </w:tcPr>
          <w:p w14:paraId="1C34A1F1" w14:textId="77777777" w:rsidR="004D1935" w:rsidRDefault="004D1935" w:rsidP="00E24DC9"/>
        </w:tc>
      </w:tr>
      <w:tr w:rsidR="004D1935" w14:paraId="30E7A7A8" w14:textId="77777777" w:rsidTr="00E24DC9">
        <w:tc>
          <w:tcPr>
            <w:tcW w:w="709" w:type="dxa"/>
            <w:vMerge/>
          </w:tcPr>
          <w:p w14:paraId="5E29A43C" w14:textId="77777777" w:rsidR="004D1935" w:rsidRDefault="004D1935" w:rsidP="00E24DC9"/>
        </w:tc>
        <w:tc>
          <w:tcPr>
            <w:tcW w:w="850" w:type="dxa"/>
            <w:tcBorders>
              <w:top w:val="nil"/>
              <w:bottom w:val="nil"/>
            </w:tcBorders>
            <w:vAlign w:val="bottom"/>
          </w:tcPr>
          <w:p w14:paraId="7E8E70CD" w14:textId="77777777" w:rsidR="004D1935" w:rsidRPr="00CE10C1" w:rsidRDefault="004D1935" w:rsidP="00E24DC9">
            <w:pPr>
              <w:rPr>
                <w:rFonts w:ascii="Calibri" w:hAnsi="Calibri" w:cs="Calibri"/>
                <w:color w:val="000000"/>
                <w:sz w:val="15"/>
                <w:szCs w:val="15"/>
              </w:rPr>
            </w:pPr>
          </w:p>
        </w:tc>
        <w:tc>
          <w:tcPr>
            <w:tcW w:w="2411" w:type="dxa"/>
            <w:vMerge/>
          </w:tcPr>
          <w:p w14:paraId="398A74F7" w14:textId="77777777" w:rsidR="004D1935" w:rsidRDefault="004D1935" w:rsidP="00E24DC9"/>
        </w:tc>
        <w:tc>
          <w:tcPr>
            <w:tcW w:w="2126" w:type="dxa"/>
            <w:vMerge/>
          </w:tcPr>
          <w:p w14:paraId="0FB5F163" w14:textId="77777777" w:rsidR="004D1935" w:rsidRDefault="004D1935" w:rsidP="00E24DC9"/>
        </w:tc>
        <w:tc>
          <w:tcPr>
            <w:tcW w:w="1418" w:type="dxa"/>
            <w:vMerge/>
          </w:tcPr>
          <w:p w14:paraId="51FA2BA5" w14:textId="77777777" w:rsidR="004D1935" w:rsidRDefault="004D1935" w:rsidP="00E24DC9"/>
        </w:tc>
        <w:tc>
          <w:tcPr>
            <w:tcW w:w="7513" w:type="dxa"/>
            <w:vMerge/>
          </w:tcPr>
          <w:p w14:paraId="05693A21" w14:textId="77777777" w:rsidR="004D1935" w:rsidRDefault="004D1935" w:rsidP="00E24DC9"/>
        </w:tc>
      </w:tr>
      <w:tr w:rsidR="004D1935" w14:paraId="4B246C64" w14:textId="77777777" w:rsidTr="00E24DC9">
        <w:tc>
          <w:tcPr>
            <w:tcW w:w="709" w:type="dxa"/>
            <w:vMerge/>
          </w:tcPr>
          <w:p w14:paraId="42179D31" w14:textId="77777777" w:rsidR="004D1935" w:rsidRDefault="004D1935" w:rsidP="00E24DC9"/>
        </w:tc>
        <w:tc>
          <w:tcPr>
            <w:tcW w:w="850" w:type="dxa"/>
            <w:tcBorders>
              <w:top w:val="nil"/>
              <w:bottom w:val="nil"/>
            </w:tcBorders>
            <w:vAlign w:val="bottom"/>
          </w:tcPr>
          <w:p w14:paraId="1EF62D61" w14:textId="77777777" w:rsidR="004D1935" w:rsidRPr="00CE10C1" w:rsidRDefault="004D1935" w:rsidP="00E24DC9">
            <w:pPr>
              <w:rPr>
                <w:rFonts w:ascii="Calibri" w:hAnsi="Calibri" w:cs="Calibri"/>
                <w:color w:val="000000"/>
                <w:sz w:val="15"/>
                <w:szCs w:val="15"/>
              </w:rPr>
            </w:pPr>
          </w:p>
        </w:tc>
        <w:tc>
          <w:tcPr>
            <w:tcW w:w="2411" w:type="dxa"/>
            <w:vMerge/>
          </w:tcPr>
          <w:p w14:paraId="6537AE24" w14:textId="77777777" w:rsidR="004D1935" w:rsidRDefault="004D1935" w:rsidP="00E24DC9"/>
        </w:tc>
        <w:tc>
          <w:tcPr>
            <w:tcW w:w="2126" w:type="dxa"/>
            <w:vMerge/>
          </w:tcPr>
          <w:p w14:paraId="242074FE" w14:textId="77777777" w:rsidR="004D1935" w:rsidRDefault="004D1935" w:rsidP="00E24DC9"/>
        </w:tc>
        <w:tc>
          <w:tcPr>
            <w:tcW w:w="1418" w:type="dxa"/>
            <w:vMerge/>
          </w:tcPr>
          <w:p w14:paraId="0C350CEB" w14:textId="77777777" w:rsidR="004D1935" w:rsidRDefault="004D1935" w:rsidP="00E24DC9"/>
        </w:tc>
        <w:tc>
          <w:tcPr>
            <w:tcW w:w="7513" w:type="dxa"/>
            <w:vMerge/>
          </w:tcPr>
          <w:p w14:paraId="6A3D4246" w14:textId="77777777" w:rsidR="004D1935" w:rsidRDefault="004D1935" w:rsidP="00E24DC9"/>
        </w:tc>
      </w:tr>
      <w:tr w:rsidR="004D1935" w14:paraId="0CA9A93C" w14:textId="77777777" w:rsidTr="00E24DC9">
        <w:tc>
          <w:tcPr>
            <w:tcW w:w="709" w:type="dxa"/>
            <w:vMerge/>
          </w:tcPr>
          <w:p w14:paraId="4F5F26EC" w14:textId="77777777" w:rsidR="004D1935" w:rsidRDefault="004D1935" w:rsidP="00E24DC9"/>
        </w:tc>
        <w:tc>
          <w:tcPr>
            <w:tcW w:w="850" w:type="dxa"/>
            <w:tcBorders>
              <w:top w:val="nil"/>
              <w:bottom w:val="nil"/>
            </w:tcBorders>
            <w:vAlign w:val="bottom"/>
          </w:tcPr>
          <w:p w14:paraId="10650979" w14:textId="77777777" w:rsidR="004D1935" w:rsidRPr="00CE10C1" w:rsidRDefault="004D1935" w:rsidP="00E24DC9">
            <w:pPr>
              <w:rPr>
                <w:rFonts w:ascii="Calibri" w:hAnsi="Calibri" w:cs="Calibri"/>
                <w:color w:val="000000"/>
                <w:sz w:val="15"/>
                <w:szCs w:val="15"/>
              </w:rPr>
            </w:pPr>
          </w:p>
        </w:tc>
        <w:tc>
          <w:tcPr>
            <w:tcW w:w="2411" w:type="dxa"/>
            <w:vMerge/>
          </w:tcPr>
          <w:p w14:paraId="0F29235A" w14:textId="77777777" w:rsidR="004D1935" w:rsidRDefault="004D1935" w:rsidP="00E24DC9"/>
        </w:tc>
        <w:tc>
          <w:tcPr>
            <w:tcW w:w="2126" w:type="dxa"/>
            <w:vMerge/>
          </w:tcPr>
          <w:p w14:paraId="383DF69B" w14:textId="77777777" w:rsidR="004D1935" w:rsidRDefault="004D1935" w:rsidP="00E24DC9"/>
        </w:tc>
        <w:tc>
          <w:tcPr>
            <w:tcW w:w="1418" w:type="dxa"/>
            <w:vMerge/>
          </w:tcPr>
          <w:p w14:paraId="3C2A7A04" w14:textId="77777777" w:rsidR="004D1935" w:rsidRDefault="004D1935" w:rsidP="00E24DC9"/>
        </w:tc>
        <w:tc>
          <w:tcPr>
            <w:tcW w:w="7513" w:type="dxa"/>
            <w:vMerge/>
          </w:tcPr>
          <w:p w14:paraId="4497BFE6" w14:textId="77777777" w:rsidR="004D1935" w:rsidRDefault="004D1935" w:rsidP="00E24DC9"/>
        </w:tc>
      </w:tr>
      <w:tr w:rsidR="004D1935" w14:paraId="7533CF59" w14:textId="77777777" w:rsidTr="00E24DC9">
        <w:tc>
          <w:tcPr>
            <w:tcW w:w="709" w:type="dxa"/>
            <w:vMerge/>
          </w:tcPr>
          <w:p w14:paraId="63CE0BA2" w14:textId="77777777" w:rsidR="004D1935" w:rsidRDefault="004D1935" w:rsidP="00E24DC9"/>
        </w:tc>
        <w:tc>
          <w:tcPr>
            <w:tcW w:w="850" w:type="dxa"/>
            <w:tcBorders>
              <w:top w:val="nil"/>
              <w:bottom w:val="nil"/>
            </w:tcBorders>
            <w:vAlign w:val="bottom"/>
          </w:tcPr>
          <w:p w14:paraId="72A11F77" w14:textId="77777777" w:rsidR="004D1935" w:rsidRPr="00CE10C1" w:rsidRDefault="004D1935" w:rsidP="00E24DC9">
            <w:pPr>
              <w:rPr>
                <w:rFonts w:ascii="Calibri" w:hAnsi="Calibri" w:cs="Calibri"/>
                <w:color w:val="000000"/>
                <w:sz w:val="15"/>
                <w:szCs w:val="15"/>
              </w:rPr>
            </w:pPr>
          </w:p>
        </w:tc>
        <w:tc>
          <w:tcPr>
            <w:tcW w:w="2411" w:type="dxa"/>
            <w:vMerge/>
          </w:tcPr>
          <w:p w14:paraId="2A40FB5D" w14:textId="77777777" w:rsidR="004D1935" w:rsidRDefault="004D1935" w:rsidP="00E24DC9"/>
        </w:tc>
        <w:tc>
          <w:tcPr>
            <w:tcW w:w="2126" w:type="dxa"/>
            <w:vMerge/>
          </w:tcPr>
          <w:p w14:paraId="19F7DE41" w14:textId="77777777" w:rsidR="004D1935" w:rsidRDefault="004D1935" w:rsidP="00E24DC9"/>
        </w:tc>
        <w:tc>
          <w:tcPr>
            <w:tcW w:w="1418" w:type="dxa"/>
            <w:vMerge/>
          </w:tcPr>
          <w:p w14:paraId="55161152" w14:textId="77777777" w:rsidR="004D1935" w:rsidRDefault="004D1935" w:rsidP="00E24DC9"/>
        </w:tc>
        <w:tc>
          <w:tcPr>
            <w:tcW w:w="7513" w:type="dxa"/>
            <w:vMerge/>
          </w:tcPr>
          <w:p w14:paraId="4AA348FC" w14:textId="77777777" w:rsidR="004D1935" w:rsidRDefault="004D1935" w:rsidP="00E24DC9"/>
        </w:tc>
      </w:tr>
      <w:tr w:rsidR="004D1935" w14:paraId="45240535" w14:textId="77777777" w:rsidTr="00E24DC9">
        <w:tc>
          <w:tcPr>
            <w:tcW w:w="709" w:type="dxa"/>
            <w:vMerge/>
          </w:tcPr>
          <w:p w14:paraId="5FA6876F" w14:textId="77777777" w:rsidR="004D1935" w:rsidRDefault="004D1935" w:rsidP="00E24DC9"/>
        </w:tc>
        <w:tc>
          <w:tcPr>
            <w:tcW w:w="850" w:type="dxa"/>
            <w:tcBorders>
              <w:top w:val="nil"/>
              <w:bottom w:val="nil"/>
            </w:tcBorders>
            <w:vAlign w:val="bottom"/>
          </w:tcPr>
          <w:p w14:paraId="12A6A224" w14:textId="77777777" w:rsidR="004D1935" w:rsidRPr="00CE10C1" w:rsidRDefault="004D1935" w:rsidP="00E24DC9">
            <w:pPr>
              <w:rPr>
                <w:rFonts w:ascii="Calibri" w:hAnsi="Calibri" w:cs="Calibri"/>
                <w:color w:val="000000"/>
                <w:sz w:val="15"/>
                <w:szCs w:val="15"/>
              </w:rPr>
            </w:pPr>
          </w:p>
        </w:tc>
        <w:tc>
          <w:tcPr>
            <w:tcW w:w="2411" w:type="dxa"/>
            <w:vMerge/>
          </w:tcPr>
          <w:p w14:paraId="1DA6F960" w14:textId="77777777" w:rsidR="004D1935" w:rsidRDefault="004D1935" w:rsidP="00E24DC9"/>
        </w:tc>
        <w:tc>
          <w:tcPr>
            <w:tcW w:w="2126" w:type="dxa"/>
            <w:vMerge/>
          </w:tcPr>
          <w:p w14:paraId="29B9977E" w14:textId="77777777" w:rsidR="004D1935" w:rsidRDefault="004D1935" w:rsidP="00E24DC9"/>
        </w:tc>
        <w:tc>
          <w:tcPr>
            <w:tcW w:w="1418" w:type="dxa"/>
            <w:vMerge/>
          </w:tcPr>
          <w:p w14:paraId="4FF5786A" w14:textId="77777777" w:rsidR="004D1935" w:rsidRDefault="004D1935" w:rsidP="00E24DC9"/>
        </w:tc>
        <w:tc>
          <w:tcPr>
            <w:tcW w:w="7513" w:type="dxa"/>
            <w:vMerge/>
          </w:tcPr>
          <w:p w14:paraId="17196AD4" w14:textId="77777777" w:rsidR="004D1935" w:rsidRDefault="004D1935" w:rsidP="00E24DC9"/>
        </w:tc>
      </w:tr>
      <w:tr w:rsidR="004D1935" w14:paraId="7CAB6FEE" w14:textId="77777777" w:rsidTr="00E24DC9">
        <w:tc>
          <w:tcPr>
            <w:tcW w:w="709" w:type="dxa"/>
            <w:vMerge/>
          </w:tcPr>
          <w:p w14:paraId="11E892F4" w14:textId="77777777" w:rsidR="004D1935" w:rsidRDefault="004D1935" w:rsidP="00E24DC9"/>
        </w:tc>
        <w:tc>
          <w:tcPr>
            <w:tcW w:w="850" w:type="dxa"/>
            <w:tcBorders>
              <w:top w:val="nil"/>
              <w:bottom w:val="nil"/>
            </w:tcBorders>
            <w:vAlign w:val="bottom"/>
          </w:tcPr>
          <w:p w14:paraId="225A662C" w14:textId="77777777" w:rsidR="004D1935" w:rsidRPr="00CE10C1" w:rsidRDefault="004D1935" w:rsidP="00E24DC9">
            <w:pPr>
              <w:rPr>
                <w:rFonts w:ascii="Calibri" w:hAnsi="Calibri" w:cs="Calibri"/>
                <w:color w:val="000000"/>
                <w:sz w:val="15"/>
                <w:szCs w:val="15"/>
              </w:rPr>
            </w:pPr>
          </w:p>
        </w:tc>
        <w:tc>
          <w:tcPr>
            <w:tcW w:w="2411" w:type="dxa"/>
            <w:vMerge/>
          </w:tcPr>
          <w:p w14:paraId="010E5D10" w14:textId="77777777" w:rsidR="004D1935" w:rsidRDefault="004D1935" w:rsidP="00E24DC9"/>
        </w:tc>
        <w:tc>
          <w:tcPr>
            <w:tcW w:w="2126" w:type="dxa"/>
            <w:vMerge/>
          </w:tcPr>
          <w:p w14:paraId="1F14CF55" w14:textId="77777777" w:rsidR="004D1935" w:rsidRDefault="004D1935" w:rsidP="00E24DC9"/>
        </w:tc>
        <w:tc>
          <w:tcPr>
            <w:tcW w:w="1418" w:type="dxa"/>
            <w:vMerge/>
          </w:tcPr>
          <w:p w14:paraId="7C62C346" w14:textId="77777777" w:rsidR="004D1935" w:rsidRDefault="004D1935" w:rsidP="00E24DC9"/>
        </w:tc>
        <w:tc>
          <w:tcPr>
            <w:tcW w:w="7513" w:type="dxa"/>
            <w:vMerge/>
          </w:tcPr>
          <w:p w14:paraId="73EA4023" w14:textId="77777777" w:rsidR="004D1935" w:rsidRDefault="004D1935" w:rsidP="00E24DC9"/>
        </w:tc>
      </w:tr>
      <w:tr w:rsidR="004D1935" w14:paraId="3E80A688" w14:textId="77777777" w:rsidTr="00E24DC9">
        <w:tc>
          <w:tcPr>
            <w:tcW w:w="709" w:type="dxa"/>
            <w:vMerge/>
          </w:tcPr>
          <w:p w14:paraId="57F1E8FB" w14:textId="77777777" w:rsidR="004D1935" w:rsidRDefault="004D1935" w:rsidP="00E24DC9"/>
        </w:tc>
        <w:tc>
          <w:tcPr>
            <w:tcW w:w="850" w:type="dxa"/>
            <w:tcBorders>
              <w:top w:val="nil"/>
              <w:bottom w:val="nil"/>
            </w:tcBorders>
            <w:vAlign w:val="bottom"/>
          </w:tcPr>
          <w:p w14:paraId="7683D832" w14:textId="77777777" w:rsidR="004D1935" w:rsidRPr="00CE10C1" w:rsidRDefault="004D1935" w:rsidP="00E24DC9">
            <w:pPr>
              <w:rPr>
                <w:rFonts w:ascii="Calibri" w:hAnsi="Calibri" w:cs="Calibri"/>
                <w:color w:val="000000"/>
                <w:sz w:val="15"/>
                <w:szCs w:val="15"/>
              </w:rPr>
            </w:pPr>
          </w:p>
        </w:tc>
        <w:tc>
          <w:tcPr>
            <w:tcW w:w="2411" w:type="dxa"/>
            <w:vMerge/>
          </w:tcPr>
          <w:p w14:paraId="3B09EF66" w14:textId="77777777" w:rsidR="004D1935" w:rsidRDefault="004D1935" w:rsidP="00E24DC9"/>
        </w:tc>
        <w:tc>
          <w:tcPr>
            <w:tcW w:w="2126" w:type="dxa"/>
            <w:vMerge/>
          </w:tcPr>
          <w:p w14:paraId="0731F200" w14:textId="77777777" w:rsidR="004D1935" w:rsidRDefault="004D1935" w:rsidP="00E24DC9"/>
        </w:tc>
        <w:tc>
          <w:tcPr>
            <w:tcW w:w="1418" w:type="dxa"/>
            <w:vMerge/>
          </w:tcPr>
          <w:p w14:paraId="221DAA97" w14:textId="77777777" w:rsidR="004D1935" w:rsidRDefault="004D1935" w:rsidP="00E24DC9"/>
        </w:tc>
        <w:tc>
          <w:tcPr>
            <w:tcW w:w="7513" w:type="dxa"/>
            <w:vMerge/>
          </w:tcPr>
          <w:p w14:paraId="67262C5C" w14:textId="77777777" w:rsidR="004D1935" w:rsidRDefault="004D1935" w:rsidP="00E24DC9"/>
        </w:tc>
      </w:tr>
      <w:tr w:rsidR="004D1935" w14:paraId="79137071" w14:textId="77777777" w:rsidTr="00E24DC9">
        <w:tc>
          <w:tcPr>
            <w:tcW w:w="709" w:type="dxa"/>
            <w:vMerge/>
          </w:tcPr>
          <w:p w14:paraId="68817277" w14:textId="77777777" w:rsidR="004D1935" w:rsidRDefault="004D1935" w:rsidP="00E24DC9"/>
        </w:tc>
        <w:tc>
          <w:tcPr>
            <w:tcW w:w="850" w:type="dxa"/>
            <w:tcBorders>
              <w:top w:val="nil"/>
              <w:bottom w:val="nil"/>
            </w:tcBorders>
            <w:vAlign w:val="bottom"/>
          </w:tcPr>
          <w:p w14:paraId="49112EE0" w14:textId="77777777" w:rsidR="004D1935" w:rsidRPr="00CE10C1" w:rsidRDefault="004D1935" w:rsidP="00E24DC9">
            <w:pPr>
              <w:rPr>
                <w:rFonts w:ascii="Calibri" w:hAnsi="Calibri" w:cs="Calibri"/>
                <w:color w:val="000000"/>
                <w:sz w:val="15"/>
                <w:szCs w:val="15"/>
              </w:rPr>
            </w:pPr>
          </w:p>
        </w:tc>
        <w:tc>
          <w:tcPr>
            <w:tcW w:w="2411" w:type="dxa"/>
            <w:vMerge/>
          </w:tcPr>
          <w:p w14:paraId="33401394" w14:textId="77777777" w:rsidR="004D1935" w:rsidRDefault="004D1935" w:rsidP="00E24DC9"/>
        </w:tc>
        <w:tc>
          <w:tcPr>
            <w:tcW w:w="2126" w:type="dxa"/>
            <w:vMerge/>
          </w:tcPr>
          <w:p w14:paraId="3C3BE431" w14:textId="77777777" w:rsidR="004D1935" w:rsidRDefault="004D1935" w:rsidP="00E24DC9"/>
        </w:tc>
        <w:tc>
          <w:tcPr>
            <w:tcW w:w="1418" w:type="dxa"/>
            <w:vMerge/>
          </w:tcPr>
          <w:p w14:paraId="60ADF3F4" w14:textId="77777777" w:rsidR="004D1935" w:rsidRDefault="004D1935" w:rsidP="00E24DC9"/>
        </w:tc>
        <w:tc>
          <w:tcPr>
            <w:tcW w:w="7513" w:type="dxa"/>
            <w:vMerge/>
          </w:tcPr>
          <w:p w14:paraId="0C74D4C6" w14:textId="77777777" w:rsidR="004D1935" w:rsidRDefault="004D1935" w:rsidP="00E24DC9"/>
        </w:tc>
      </w:tr>
      <w:tr w:rsidR="004D1935" w14:paraId="2B7CCCED" w14:textId="77777777" w:rsidTr="00E24DC9">
        <w:tc>
          <w:tcPr>
            <w:tcW w:w="709" w:type="dxa"/>
            <w:vMerge/>
          </w:tcPr>
          <w:p w14:paraId="79CD87F2" w14:textId="77777777" w:rsidR="004D1935" w:rsidRDefault="004D1935" w:rsidP="00E24DC9"/>
        </w:tc>
        <w:tc>
          <w:tcPr>
            <w:tcW w:w="850" w:type="dxa"/>
            <w:tcBorders>
              <w:top w:val="nil"/>
              <w:bottom w:val="nil"/>
            </w:tcBorders>
            <w:vAlign w:val="bottom"/>
          </w:tcPr>
          <w:p w14:paraId="5CE55A81" w14:textId="77777777" w:rsidR="004D1935" w:rsidRPr="00CE10C1" w:rsidRDefault="004D1935" w:rsidP="00E24DC9">
            <w:pPr>
              <w:rPr>
                <w:rFonts w:ascii="Calibri" w:hAnsi="Calibri" w:cs="Calibri"/>
                <w:color w:val="000000"/>
                <w:sz w:val="15"/>
                <w:szCs w:val="15"/>
              </w:rPr>
            </w:pPr>
          </w:p>
        </w:tc>
        <w:tc>
          <w:tcPr>
            <w:tcW w:w="2411" w:type="dxa"/>
            <w:vMerge/>
          </w:tcPr>
          <w:p w14:paraId="65CDEFFC" w14:textId="77777777" w:rsidR="004D1935" w:rsidRDefault="004D1935" w:rsidP="00E24DC9"/>
        </w:tc>
        <w:tc>
          <w:tcPr>
            <w:tcW w:w="2126" w:type="dxa"/>
            <w:vMerge/>
          </w:tcPr>
          <w:p w14:paraId="287C90AF" w14:textId="77777777" w:rsidR="004D1935" w:rsidRDefault="004D1935" w:rsidP="00E24DC9"/>
        </w:tc>
        <w:tc>
          <w:tcPr>
            <w:tcW w:w="1418" w:type="dxa"/>
            <w:vMerge/>
          </w:tcPr>
          <w:p w14:paraId="4DC73FE6" w14:textId="77777777" w:rsidR="004D1935" w:rsidRDefault="004D1935" w:rsidP="00E24DC9"/>
        </w:tc>
        <w:tc>
          <w:tcPr>
            <w:tcW w:w="7513" w:type="dxa"/>
            <w:vMerge/>
          </w:tcPr>
          <w:p w14:paraId="6FEB287A" w14:textId="77777777" w:rsidR="004D1935" w:rsidRDefault="004D1935" w:rsidP="00E24DC9"/>
        </w:tc>
      </w:tr>
      <w:tr w:rsidR="004D1935" w14:paraId="1DECBBFD" w14:textId="77777777" w:rsidTr="00E24DC9">
        <w:tc>
          <w:tcPr>
            <w:tcW w:w="709" w:type="dxa"/>
            <w:vMerge/>
          </w:tcPr>
          <w:p w14:paraId="6DCE7CA2" w14:textId="77777777" w:rsidR="004D1935" w:rsidRDefault="004D1935" w:rsidP="00E24DC9"/>
        </w:tc>
        <w:tc>
          <w:tcPr>
            <w:tcW w:w="850" w:type="dxa"/>
            <w:tcBorders>
              <w:top w:val="nil"/>
              <w:bottom w:val="nil"/>
            </w:tcBorders>
            <w:vAlign w:val="bottom"/>
          </w:tcPr>
          <w:p w14:paraId="25903935" w14:textId="77777777" w:rsidR="004D1935" w:rsidRPr="00CE10C1" w:rsidRDefault="004D1935" w:rsidP="00E24DC9">
            <w:pPr>
              <w:rPr>
                <w:rFonts w:ascii="Calibri" w:hAnsi="Calibri" w:cs="Calibri"/>
                <w:color w:val="000000"/>
                <w:sz w:val="15"/>
                <w:szCs w:val="15"/>
              </w:rPr>
            </w:pPr>
          </w:p>
        </w:tc>
        <w:tc>
          <w:tcPr>
            <w:tcW w:w="2411" w:type="dxa"/>
            <w:vMerge/>
          </w:tcPr>
          <w:p w14:paraId="28EF5E87" w14:textId="77777777" w:rsidR="004D1935" w:rsidRDefault="004D1935" w:rsidP="00E24DC9"/>
        </w:tc>
        <w:tc>
          <w:tcPr>
            <w:tcW w:w="2126" w:type="dxa"/>
            <w:vMerge/>
          </w:tcPr>
          <w:p w14:paraId="020A2455" w14:textId="77777777" w:rsidR="004D1935" w:rsidRDefault="004D1935" w:rsidP="00E24DC9"/>
        </w:tc>
        <w:tc>
          <w:tcPr>
            <w:tcW w:w="1418" w:type="dxa"/>
            <w:vMerge/>
          </w:tcPr>
          <w:p w14:paraId="5A2088B3" w14:textId="77777777" w:rsidR="004D1935" w:rsidRDefault="004D1935" w:rsidP="00E24DC9"/>
        </w:tc>
        <w:tc>
          <w:tcPr>
            <w:tcW w:w="7513" w:type="dxa"/>
            <w:vMerge/>
          </w:tcPr>
          <w:p w14:paraId="2D29213C" w14:textId="77777777" w:rsidR="004D1935" w:rsidRDefault="004D1935" w:rsidP="00E24DC9"/>
        </w:tc>
      </w:tr>
      <w:tr w:rsidR="004D1935" w14:paraId="5956BB8A" w14:textId="77777777" w:rsidTr="00E24DC9">
        <w:tc>
          <w:tcPr>
            <w:tcW w:w="709" w:type="dxa"/>
            <w:vMerge/>
          </w:tcPr>
          <w:p w14:paraId="1DF48D70" w14:textId="77777777" w:rsidR="004D1935" w:rsidRDefault="004D1935" w:rsidP="00E24DC9"/>
        </w:tc>
        <w:tc>
          <w:tcPr>
            <w:tcW w:w="850" w:type="dxa"/>
            <w:tcBorders>
              <w:top w:val="nil"/>
              <w:bottom w:val="nil"/>
            </w:tcBorders>
            <w:vAlign w:val="bottom"/>
          </w:tcPr>
          <w:p w14:paraId="49E2C1D3" w14:textId="77777777" w:rsidR="004D1935" w:rsidRPr="00CE10C1" w:rsidRDefault="004D1935" w:rsidP="00E24DC9">
            <w:pPr>
              <w:rPr>
                <w:rFonts w:ascii="Calibri" w:hAnsi="Calibri" w:cs="Calibri"/>
                <w:color w:val="000000"/>
                <w:sz w:val="15"/>
                <w:szCs w:val="15"/>
              </w:rPr>
            </w:pPr>
          </w:p>
        </w:tc>
        <w:tc>
          <w:tcPr>
            <w:tcW w:w="2411" w:type="dxa"/>
            <w:vMerge/>
          </w:tcPr>
          <w:p w14:paraId="1B32A813" w14:textId="77777777" w:rsidR="004D1935" w:rsidRDefault="004D1935" w:rsidP="00E24DC9"/>
        </w:tc>
        <w:tc>
          <w:tcPr>
            <w:tcW w:w="2126" w:type="dxa"/>
            <w:vMerge/>
          </w:tcPr>
          <w:p w14:paraId="0166B460" w14:textId="77777777" w:rsidR="004D1935" w:rsidRDefault="004D1935" w:rsidP="00E24DC9"/>
        </w:tc>
        <w:tc>
          <w:tcPr>
            <w:tcW w:w="1418" w:type="dxa"/>
            <w:vMerge/>
          </w:tcPr>
          <w:p w14:paraId="5C2287B0" w14:textId="77777777" w:rsidR="004D1935" w:rsidRDefault="004D1935" w:rsidP="00E24DC9"/>
        </w:tc>
        <w:tc>
          <w:tcPr>
            <w:tcW w:w="7513" w:type="dxa"/>
            <w:vMerge/>
          </w:tcPr>
          <w:p w14:paraId="33BC4959" w14:textId="77777777" w:rsidR="004D1935" w:rsidRDefault="004D1935" w:rsidP="00E24DC9"/>
        </w:tc>
      </w:tr>
      <w:tr w:rsidR="004D1935" w14:paraId="0B6BCE4C" w14:textId="77777777" w:rsidTr="00E24DC9">
        <w:tc>
          <w:tcPr>
            <w:tcW w:w="709" w:type="dxa"/>
            <w:vMerge/>
          </w:tcPr>
          <w:p w14:paraId="6F657FA9" w14:textId="77777777" w:rsidR="004D1935" w:rsidRDefault="004D1935" w:rsidP="00E24DC9"/>
        </w:tc>
        <w:tc>
          <w:tcPr>
            <w:tcW w:w="850" w:type="dxa"/>
            <w:tcBorders>
              <w:top w:val="nil"/>
              <w:bottom w:val="nil"/>
            </w:tcBorders>
            <w:vAlign w:val="bottom"/>
          </w:tcPr>
          <w:p w14:paraId="23DF7121" w14:textId="77777777" w:rsidR="004D1935" w:rsidRPr="00CE10C1" w:rsidRDefault="004D1935" w:rsidP="00E24DC9">
            <w:pPr>
              <w:rPr>
                <w:rFonts w:ascii="Calibri" w:hAnsi="Calibri" w:cs="Calibri"/>
                <w:color w:val="000000"/>
                <w:sz w:val="15"/>
                <w:szCs w:val="15"/>
              </w:rPr>
            </w:pPr>
          </w:p>
        </w:tc>
        <w:tc>
          <w:tcPr>
            <w:tcW w:w="2411" w:type="dxa"/>
            <w:vMerge/>
          </w:tcPr>
          <w:p w14:paraId="4E03C6D8" w14:textId="77777777" w:rsidR="004D1935" w:rsidRDefault="004D1935" w:rsidP="00E24DC9"/>
        </w:tc>
        <w:tc>
          <w:tcPr>
            <w:tcW w:w="2126" w:type="dxa"/>
            <w:vMerge/>
          </w:tcPr>
          <w:p w14:paraId="01F02DBB" w14:textId="77777777" w:rsidR="004D1935" w:rsidRDefault="004D1935" w:rsidP="00E24DC9"/>
        </w:tc>
        <w:tc>
          <w:tcPr>
            <w:tcW w:w="1418" w:type="dxa"/>
            <w:vMerge/>
          </w:tcPr>
          <w:p w14:paraId="76170991" w14:textId="77777777" w:rsidR="004D1935" w:rsidRDefault="004D1935" w:rsidP="00E24DC9"/>
        </w:tc>
        <w:tc>
          <w:tcPr>
            <w:tcW w:w="7513" w:type="dxa"/>
            <w:vMerge/>
          </w:tcPr>
          <w:p w14:paraId="6CD6E714" w14:textId="77777777" w:rsidR="004D1935" w:rsidRDefault="004D1935" w:rsidP="00E24DC9"/>
        </w:tc>
      </w:tr>
      <w:tr w:rsidR="004D1935" w14:paraId="47371630" w14:textId="77777777" w:rsidTr="00E24DC9">
        <w:tc>
          <w:tcPr>
            <w:tcW w:w="709" w:type="dxa"/>
            <w:vMerge/>
          </w:tcPr>
          <w:p w14:paraId="41D5FFF8" w14:textId="77777777" w:rsidR="004D1935" w:rsidRDefault="004D1935" w:rsidP="00E24DC9"/>
        </w:tc>
        <w:tc>
          <w:tcPr>
            <w:tcW w:w="850" w:type="dxa"/>
            <w:tcBorders>
              <w:top w:val="nil"/>
              <w:bottom w:val="nil"/>
            </w:tcBorders>
            <w:vAlign w:val="bottom"/>
          </w:tcPr>
          <w:p w14:paraId="49C99613" w14:textId="77777777" w:rsidR="004D1935" w:rsidRPr="00CE10C1" w:rsidRDefault="004D1935" w:rsidP="00E24DC9">
            <w:pPr>
              <w:rPr>
                <w:rFonts w:ascii="Calibri" w:hAnsi="Calibri" w:cs="Calibri"/>
                <w:color w:val="000000"/>
                <w:sz w:val="15"/>
                <w:szCs w:val="15"/>
              </w:rPr>
            </w:pPr>
          </w:p>
        </w:tc>
        <w:tc>
          <w:tcPr>
            <w:tcW w:w="2411" w:type="dxa"/>
            <w:vMerge/>
          </w:tcPr>
          <w:p w14:paraId="558F2D98" w14:textId="77777777" w:rsidR="004D1935" w:rsidRDefault="004D1935" w:rsidP="00E24DC9"/>
        </w:tc>
        <w:tc>
          <w:tcPr>
            <w:tcW w:w="2126" w:type="dxa"/>
            <w:vMerge/>
          </w:tcPr>
          <w:p w14:paraId="70D50020" w14:textId="77777777" w:rsidR="004D1935" w:rsidRDefault="004D1935" w:rsidP="00E24DC9"/>
        </w:tc>
        <w:tc>
          <w:tcPr>
            <w:tcW w:w="1418" w:type="dxa"/>
            <w:vMerge/>
          </w:tcPr>
          <w:p w14:paraId="3672B8A6" w14:textId="77777777" w:rsidR="004D1935" w:rsidRDefault="004D1935" w:rsidP="00E24DC9"/>
        </w:tc>
        <w:tc>
          <w:tcPr>
            <w:tcW w:w="7513" w:type="dxa"/>
            <w:vMerge/>
          </w:tcPr>
          <w:p w14:paraId="6A2276DE" w14:textId="77777777" w:rsidR="004D1935" w:rsidRDefault="004D1935" w:rsidP="00E24DC9"/>
        </w:tc>
      </w:tr>
      <w:tr w:rsidR="004D1935" w14:paraId="022A777E" w14:textId="77777777" w:rsidTr="00E24DC9">
        <w:tc>
          <w:tcPr>
            <w:tcW w:w="709" w:type="dxa"/>
            <w:vMerge/>
          </w:tcPr>
          <w:p w14:paraId="275B0CBA" w14:textId="77777777" w:rsidR="004D1935" w:rsidRDefault="004D1935" w:rsidP="00E24DC9"/>
        </w:tc>
        <w:tc>
          <w:tcPr>
            <w:tcW w:w="850" w:type="dxa"/>
            <w:tcBorders>
              <w:top w:val="nil"/>
              <w:bottom w:val="nil"/>
            </w:tcBorders>
            <w:vAlign w:val="bottom"/>
          </w:tcPr>
          <w:p w14:paraId="6B03F483" w14:textId="77777777" w:rsidR="004D1935" w:rsidRPr="00CE10C1" w:rsidRDefault="004D1935" w:rsidP="00E24DC9">
            <w:pPr>
              <w:rPr>
                <w:rFonts w:ascii="Calibri" w:hAnsi="Calibri" w:cs="Calibri"/>
                <w:color w:val="000000"/>
                <w:sz w:val="15"/>
                <w:szCs w:val="15"/>
              </w:rPr>
            </w:pPr>
          </w:p>
        </w:tc>
        <w:tc>
          <w:tcPr>
            <w:tcW w:w="2411" w:type="dxa"/>
            <w:vMerge/>
          </w:tcPr>
          <w:p w14:paraId="11C84798" w14:textId="77777777" w:rsidR="004D1935" w:rsidRDefault="004D1935" w:rsidP="00E24DC9"/>
        </w:tc>
        <w:tc>
          <w:tcPr>
            <w:tcW w:w="2126" w:type="dxa"/>
            <w:vMerge/>
          </w:tcPr>
          <w:p w14:paraId="4B6F4B63" w14:textId="77777777" w:rsidR="004D1935" w:rsidRDefault="004D1935" w:rsidP="00E24DC9"/>
        </w:tc>
        <w:tc>
          <w:tcPr>
            <w:tcW w:w="1418" w:type="dxa"/>
            <w:vMerge/>
          </w:tcPr>
          <w:p w14:paraId="07AC0583" w14:textId="77777777" w:rsidR="004D1935" w:rsidRDefault="004D1935" w:rsidP="00E24DC9"/>
        </w:tc>
        <w:tc>
          <w:tcPr>
            <w:tcW w:w="7513" w:type="dxa"/>
            <w:vMerge/>
          </w:tcPr>
          <w:p w14:paraId="6D5C1F52" w14:textId="77777777" w:rsidR="004D1935" w:rsidRDefault="004D1935" w:rsidP="00E24DC9"/>
        </w:tc>
      </w:tr>
      <w:tr w:rsidR="004D1935" w14:paraId="223F8998" w14:textId="77777777" w:rsidTr="00E24DC9">
        <w:tc>
          <w:tcPr>
            <w:tcW w:w="709" w:type="dxa"/>
            <w:vMerge/>
          </w:tcPr>
          <w:p w14:paraId="3236C310" w14:textId="77777777" w:rsidR="004D1935" w:rsidRDefault="004D1935" w:rsidP="00E24DC9"/>
        </w:tc>
        <w:tc>
          <w:tcPr>
            <w:tcW w:w="850" w:type="dxa"/>
            <w:tcBorders>
              <w:top w:val="nil"/>
            </w:tcBorders>
            <w:vAlign w:val="bottom"/>
          </w:tcPr>
          <w:p w14:paraId="79E60FAF" w14:textId="77777777" w:rsidR="004D1935" w:rsidRPr="00CE10C1" w:rsidRDefault="004D1935" w:rsidP="00E24DC9">
            <w:pPr>
              <w:rPr>
                <w:rFonts w:ascii="Calibri" w:hAnsi="Calibri" w:cs="Calibri"/>
                <w:color w:val="000000"/>
                <w:sz w:val="15"/>
                <w:szCs w:val="15"/>
              </w:rPr>
            </w:pPr>
          </w:p>
        </w:tc>
        <w:tc>
          <w:tcPr>
            <w:tcW w:w="2411" w:type="dxa"/>
            <w:vMerge/>
          </w:tcPr>
          <w:p w14:paraId="09F49960" w14:textId="77777777" w:rsidR="004D1935" w:rsidRDefault="004D1935" w:rsidP="00E24DC9"/>
        </w:tc>
        <w:tc>
          <w:tcPr>
            <w:tcW w:w="2126" w:type="dxa"/>
            <w:vMerge/>
          </w:tcPr>
          <w:p w14:paraId="07ACA177" w14:textId="77777777" w:rsidR="004D1935" w:rsidRDefault="004D1935" w:rsidP="00E24DC9"/>
        </w:tc>
        <w:tc>
          <w:tcPr>
            <w:tcW w:w="1418" w:type="dxa"/>
            <w:vMerge/>
          </w:tcPr>
          <w:p w14:paraId="04BAFE71" w14:textId="77777777" w:rsidR="004D1935" w:rsidRDefault="004D1935" w:rsidP="00E24DC9"/>
        </w:tc>
        <w:tc>
          <w:tcPr>
            <w:tcW w:w="7513" w:type="dxa"/>
            <w:vMerge/>
          </w:tcPr>
          <w:p w14:paraId="14BFEEF9" w14:textId="77777777" w:rsidR="004D1935" w:rsidRDefault="004D1935" w:rsidP="00E24DC9"/>
        </w:tc>
      </w:tr>
    </w:tbl>
    <w:p w14:paraId="7A8E5C77" w14:textId="77777777" w:rsidR="004D1935" w:rsidRDefault="004D1935" w:rsidP="004D1935"/>
    <w:p w14:paraId="427E2FAD" w14:textId="77777777" w:rsidR="004D1935" w:rsidRDefault="004D1935" w:rsidP="004D1935"/>
    <w:p w14:paraId="7DF7CFCB" w14:textId="77777777" w:rsidR="004D1935" w:rsidRDefault="004D1935" w:rsidP="004D1935"/>
    <w:p w14:paraId="26EB97AF" w14:textId="77777777" w:rsidR="004D1935" w:rsidRDefault="004D1935" w:rsidP="004D1935"/>
    <w:p w14:paraId="3726CEA5" w14:textId="77777777" w:rsidR="004D1935" w:rsidRDefault="004D1935" w:rsidP="004D1935"/>
    <w:p w14:paraId="66D26103" w14:textId="77777777" w:rsidR="004D1935" w:rsidRDefault="004D1935" w:rsidP="004D1935"/>
    <w:p w14:paraId="2FE09E76" w14:textId="77777777" w:rsidR="004D1935" w:rsidRDefault="004D1935" w:rsidP="004D1935"/>
    <w:p w14:paraId="572BDDB2" w14:textId="77777777" w:rsidR="004D1935" w:rsidRDefault="004D1935" w:rsidP="004D1935"/>
    <w:p w14:paraId="48E4E4C8" w14:textId="77777777" w:rsidR="004D1935" w:rsidRDefault="004D1935" w:rsidP="004D1935"/>
    <w:p w14:paraId="1029B4CF" w14:textId="77777777" w:rsidR="004D1935" w:rsidRDefault="004D1935" w:rsidP="004D1935"/>
    <w:p w14:paraId="2B0A2F1C" w14:textId="6012AA47" w:rsidR="004D1935" w:rsidRDefault="004D1935" w:rsidP="004D1935"/>
    <w:p w14:paraId="471B47E0" w14:textId="77777777" w:rsidR="00D5746C" w:rsidRDefault="00D5746C" w:rsidP="004D1935"/>
    <w:p w14:paraId="40BE0AB5" w14:textId="77777777" w:rsidR="004D1935" w:rsidRDefault="004D1935" w:rsidP="004D1935"/>
    <w:p w14:paraId="55AD8ACF" w14:textId="4E539D0B" w:rsidR="004D1935" w:rsidRPr="00251B92" w:rsidRDefault="004D1935" w:rsidP="004D1935">
      <w:pPr>
        <w:autoSpaceDE w:val="0"/>
        <w:autoSpaceDN w:val="0"/>
        <w:adjustRightInd w:val="0"/>
        <w:rPr>
          <w:rFonts w:eastAsiaTheme="minorHAnsi"/>
          <w:sz w:val="16"/>
          <w:szCs w:val="16"/>
        </w:rPr>
      </w:pPr>
      <w:r>
        <w:rPr>
          <w:rFonts w:eastAsiaTheme="minorHAnsi"/>
          <w:sz w:val="16"/>
          <w:szCs w:val="16"/>
        </w:rPr>
        <w:lastRenderedPageBreak/>
        <w:t xml:space="preserve">Table A 4.13: Discriminant mass bins (307.2) in root aqueous phase and their associated detected masses looking for compound identification accounts for protonated adduct (H) and </w:t>
      </w:r>
      <w:r w:rsidR="00D5746C">
        <w:rPr>
          <w:rFonts w:eastAsiaTheme="minorHAnsi"/>
          <w:sz w:val="16"/>
          <w:szCs w:val="16"/>
        </w:rPr>
        <w:t>K,</w:t>
      </w:r>
      <w:r>
        <w:rPr>
          <w:rFonts w:eastAsiaTheme="minorHAnsi"/>
          <w:sz w:val="16"/>
          <w:szCs w:val="16"/>
        </w:rPr>
        <w:t xml:space="preserve"> NA</w:t>
      </w:r>
      <w:r w:rsidRPr="00396597">
        <w:rPr>
          <w:rFonts w:eastAsiaTheme="minorHAnsi"/>
          <w:sz w:val="16"/>
          <w:szCs w:val="16"/>
        </w:rPr>
        <w:t xml:space="preserve"> </w:t>
      </w:r>
      <w:r>
        <w:rPr>
          <w:rFonts w:eastAsiaTheme="minorHAnsi"/>
          <w:sz w:val="16"/>
          <w:szCs w:val="16"/>
        </w:rPr>
        <w:t>in positive mode in the analysis. The putatively identified compounds, their chemical groups, and the associated pathways are displayed.</w:t>
      </w:r>
    </w:p>
    <w:tbl>
      <w:tblPr>
        <w:tblStyle w:val="TableGrid"/>
        <w:tblW w:w="15310" w:type="dxa"/>
        <w:tblInd w:w="-1281" w:type="dxa"/>
        <w:tblLook w:val="04A0" w:firstRow="1" w:lastRow="0" w:firstColumn="1" w:lastColumn="0" w:noHBand="0" w:noVBand="1"/>
      </w:tblPr>
      <w:tblGrid>
        <w:gridCol w:w="567"/>
        <w:gridCol w:w="851"/>
        <w:gridCol w:w="1843"/>
        <w:gridCol w:w="1843"/>
        <w:gridCol w:w="1134"/>
        <w:gridCol w:w="9072"/>
      </w:tblGrid>
      <w:tr w:rsidR="004D1935" w:rsidRPr="00304F31" w14:paraId="711B6177" w14:textId="77777777" w:rsidTr="00E24DC9">
        <w:tc>
          <w:tcPr>
            <w:tcW w:w="567" w:type="dxa"/>
            <w:vAlign w:val="center"/>
          </w:tcPr>
          <w:p w14:paraId="7DB304DB" w14:textId="77777777" w:rsidR="004D1935" w:rsidRPr="00304F31" w:rsidRDefault="004D1935" w:rsidP="00E24DC9">
            <w:pPr>
              <w:jc w:val="center"/>
              <w:rPr>
                <w:sz w:val="11"/>
                <w:szCs w:val="11"/>
              </w:rPr>
            </w:pPr>
            <w:r w:rsidRPr="00304F31">
              <w:rPr>
                <w:sz w:val="11"/>
                <w:szCs w:val="11"/>
              </w:rPr>
              <w:t>Adduct</w:t>
            </w:r>
          </w:p>
        </w:tc>
        <w:tc>
          <w:tcPr>
            <w:tcW w:w="851" w:type="dxa"/>
            <w:tcBorders>
              <w:bottom w:val="single" w:sz="4" w:space="0" w:color="auto"/>
            </w:tcBorders>
            <w:vAlign w:val="center"/>
          </w:tcPr>
          <w:p w14:paraId="57CE47B5" w14:textId="77777777" w:rsidR="004D1935" w:rsidRPr="00304F31" w:rsidRDefault="004D1935" w:rsidP="00E24DC9">
            <w:pPr>
              <w:jc w:val="center"/>
              <w:rPr>
                <w:sz w:val="11"/>
                <w:szCs w:val="11"/>
              </w:rPr>
            </w:pPr>
            <w:r w:rsidRPr="00304F31">
              <w:rPr>
                <w:sz w:val="11"/>
                <w:szCs w:val="11"/>
              </w:rPr>
              <w:t>Mass detected</w:t>
            </w:r>
          </w:p>
        </w:tc>
        <w:tc>
          <w:tcPr>
            <w:tcW w:w="1843" w:type="dxa"/>
            <w:vAlign w:val="center"/>
          </w:tcPr>
          <w:p w14:paraId="1FA1D83A" w14:textId="77777777" w:rsidR="004D1935" w:rsidRPr="00304F31" w:rsidRDefault="004D1935" w:rsidP="00E24DC9">
            <w:pPr>
              <w:jc w:val="center"/>
              <w:rPr>
                <w:color w:val="000000" w:themeColor="text1"/>
                <w:sz w:val="11"/>
                <w:szCs w:val="11"/>
              </w:rPr>
            </w:pPr>
            <w:r w:rsidRPr="00304F31">
              <w:rPr>
                <w:rFonts w:asciiTheme="majorBidi" w:hAnsiTheme="majorBidi" w:cstheme="majorBidi"/>
                <w:color w:val="000000" w:themeColor="text1"/>
                <w:sz w:val="11"/>
                <w:szCs w:val="11"/>
              </w:rPr>
              <w:t>COMPOUNDS NAME</w:t>
            </w:r>
          </w:p>
        </w:tc>
        <w:tc>
          <w:tcPr>
            <w:tcW w:w="1843" w:type="dxa"/>
            <w:vAlign w:val="center"/>
          </w:tcPr>
          <w:p w14:paraId="1EF0EB02" w14:textId="77777777" w:rsidR="004D1935" w:rsidRPr="00304F31" w:rsidRDefault="004D1935" w:rsidP="00E24DC9">
            <w:pPr>
              <w:jc w:val="center"/>
              <w:rPr>
                <w:color w:val="000000" w:themeColor="text1"/>
                <w:sz w:val="11"/>
                <w:szCs w:val="11"/>
              </w:rPr>
            </w:pPr>
            <w:r w:rsidRPr="00304F31">
              <w:rPr>
                <w:rFonts w:asciiTheme="majorBidi" w:hAnsiTheme="majorBidi" w:cstheme="majorBidi"/>
                <w:color w:val="000000" w:themeColor="text1"/>
                <w:sz w:val="11"/>
                <w:szCs w:val="11"/>
              </w:rPr>
              <w:t>chemical formula</w:t>
            </w:r>
          </w:p>
        </w:tc>
        <w:tc>
          <w:tcPr>
            <w:tcW w:w="1134" w:type="dxa"/>
            <w:vAlign w:val="center"/>
          </w:tcPr>
          <w:p w14:paraId="1B747F93" w14:textId="77777777" w:rsidR="004D1935" w:rsidRPr="00304F31" w:rsidRDefault="004D1935" w:rsidP="00E24DC9">
            <w:pPr>
              <w:jc w:val="center"/>
              <w:rPr>
                <w:color w:val="000000" w:themeColor="text1"/>
                <w:sz w:val="11"/>
                <w:szCs w:val="11"/>
              </w:rPr>
            </w:pPr>
            <w:r w:rsidRPr="00304F31">
              <w:rPr>
                <w:rFonts w:asciiTheme="majorBidi" w:hAnsiTheme="majorBidi" w:cstheme="majorBidi"/>
                <w:color w:val="000000" w:themeColor="text1"/>
                <w:sz w:val="11"/>
                <w:szCs w:val="11"/>
              </w:rPr>
              <w:t>chemical group</w:t>
            </w:r>
          </w:p>
        </w:tc>
        <w:tc>
          <w:tcPr>
            <w:tcW w:w="9072" w:type="dxa"/>
            <w:vAlign w:val="center"/>
          </w:tcPr>
          <w:p w14:paraId="5F4EE7B1" w14:textId="77777777" w:rsidR="004D1935" w:rsidRPr="00304F31" w:rsidRDefault="004D1935" w:rsidP="00E24DC9">
            <w:pPr>
              <w:jc w:val="center"/>
              <w:rPr>
                <w:color w:val="000000" w:themeColor="text1"/>
                <w:sz w:val="11"/>
                <w:szCs w:val="11"/>
              </w:rPr>
            </w:pPr>
            <w:r w:rsidRPr="00304F31">
              <w:rPr>
                <w:rFonts w:asciiTheme="majorBidi" w:hAnsiTheme="majorBidi" w:cstheme="majorBidi"/>
                <w:color w:val="000000" w:themeColor="text1"/>
                <w:sz w:val="11"/>
                <w:szCs w:val="11"/>
              </w:rPr>
              <w:t>pathway</w:t>
            </w:r>
          </w:p>
        </w:tc>
      </w:tr>
      <w:tr w:rsidR="004D1935" w:rsidRPr="00304F31" w14:paraId="20C08961" w14:textId="77777777" w:rsidTr="00E24DC9">
        <w:tc>
          <w:tcPr>
            <w:tcW w:w="567" w:type="dxa"/>
            <w:vMerge w:val="restart"/>
            <w:vAlign w:val="center"/>
          </w:tcPr>
          <w:p w14:paraId="42770F36" w14:textId="77777777" w:rsidR="004D1935" w:rsidRPr="00304F31" w:rsidRDefault="004D1935" w:rsidP="00E24DC9">
            <w:pPr>
              <w:jc w:val="center"/>
              <w:rPr>
                <w:sz w:val="11"/>
                <w:szCs w:val="11"/>
              </w:rPr>
            </w:pPr>
          </w:p>
        </w:tc>
        <w:tc>
          <w:tcPr>
            <w:tcW w:w="851" w:type="dxa"/>
            <w:tcBorders>
              <w:bottom w:val="nil"/>
            </w:tcBorders>
            <w:vAlign w:val="center"/>
          </w:tcPr>
          <w:p w14:paraId="6C8F638E" w14:textId="77777777" w:rsidR="004D1935" w:rsidRPr="00304F31" w:rsidRDefault="004D1935" w:rsidP="00E24DC9">
            <w:pPr>
              <w:jc w:val="center"/>
              <w:rPr>
                <w:sz w:val="11"/>
                <w:szCs w:val="11"/>
              </w:rPr>
            </w:pPr>
            <w:r w:rsidRPr="00304F31">
              <w:rPr>
                <w:rFonts w:ascii="Calibri" w:hAnsi="Calibri" w:cs="Calibri"/>
                <w:color w:val="000000"/>
                <w:sz w:val="11"/>
                <w:szCs w:val="11"/>
              </w:rPr>
              <w:t>307.1235</w:t>
            </w:r>
          </w:p>
        </w:tc>
        <w:tc>
          <w:tcPr>
            <w:tcW w:w="1843" w:type="dxa"/>
            <w:vMerge w:val="restart"/>
            <w:vAlign w:val="center"/>
          </w:tcPr>
          <w:p w14:paraId="53EB2FBA" w14:textId="77777777" w:rsidR="004D1935" w:rsidRPr="00304F31" w:rsidRDefault="00000000" w:rsidP="00E24DC9">
            <w:pPr>
              <w:jc w:val="center"/>
              <w:rPr>
                <w:color w:val="000000" w:themeColor="text1"/>
                <w:sz w:val="11"/>
                <w:szCs w:val="11"/>
              </w:rPr>
            </w:pPr>
            <w:hyperlink r:id="rId116" w:history="1">
              <w:r w:rsidR="004D1935" w:rsidRPr="00304F31">
                <w:rPr>
                  <w:rFonts w:ascii="Calibri" w:hAnsi="Calibri" w:cs="Calibri"/>
                  <w:color w:val="000000" w:themeColor="text1"/>
                  <w:sz w:val="11"/>
                  <w:szCs w:val="11"/>
                </w:rPr>
                <w:t>feruloylagmatine</w:t>
              </w:r>
            </w:hyperlink>
          </w:p>
          <w:p w14:paraId="0092D734" w14:textId="77777777" w:rsidR="004D1935" w:rsidRPr="00304F31" w:rsidRDefault="00000000" w:rsidP="00E24DC9">
            <w:pPr>
              <w:jc w:val="center"/>
              <w:rPr>
                <w:color w:val="000000" w:themeColor="text1"/>
                <w:sz w:val="11"/>
                <w:szCs w:val="11"/>
              </w:rPr>
            </w:pPr>
            <w:hyperlink r:id="rId117" w:history="1">
              <w:r w:rsidR="004D1935" w:rsidRPr="00304F31">
                <w:rPr>
                  <w:rFonts w:ascii="Calibri" w:hAnsi="Calibri" w:cs="Calibri"/>
                  <w:color w:val="000000" w:themeColor="text1"/>
                  <w:sz w:val="11"/>
                  <w:szCs w:val="11"/>
                </w:rPr>
                <w:t>lupinate</w:t>
              </w:r>
            </w:hyperlink>
          </w:p>
          <w:p w14:paraId="1C569732" w14:textId="77777777" w:rsidR="004D1935" w:rsidRPr="00304F31" w:rsidRDefault="00000000" w:rsidP="00E24DC9">
            <w:pPr>
              <w:jc w:val="center"/>
              <w:rPr>
                <w:color w:val="000000" w:themeColor="text1"/>
                <w:sz w:val="11"/>
                <w:szCs w:val="11"/>
              </w:rPr>
            </w:pPr>
            <w:hyperlink r:id="rId118" w:history="1">
              <w:r w:rsidR="004D1935" w:rsidRPr="00304F31">
                <w:rPr>
                  <w:rFonts w:ascii="Calibri" w:hAnsi="Calibri" w:cs="Calibri"/>
                  <w:color w:val="000000" w:themeColor="text1"/>
                  <w:sz w:val="11"/>
                  <w:szCs w:val="11"/>
                </w:rPr>
                <w:t>glutathione amide</w:t>
              </w:r>
            </w:hyperlink>
          </w:p>
          <w:p w14:paraId="40F32092" w14:textId="77777777" w:rsidR="004D1935" w:rsidRPr="00304F31" w:rsidRDefault="00000000" w:rsidP="00E24DC9">
            <w:pPr>
              <w:jc w:val="center"/>
              <w:rPr>
                <w:color w:val="000000" w:themeColor="text1"/>
                <w:sz w:val="11"/>
                <w:szCs w:val="11"/>
              </w:rPr>
            </w:pPr>
            <w:hyperlink r:id="rId119" w:history="1">
              <w:r w:rsidR="004D1935" w:rsidRPr="00304F31">
                <w:rPr>
                  <w:rFonts w:ascii="Calibri" w:hAnsi="Calibri" w:cs="Calibri"/>
                  <w:color w:val="000000" w:themeColor="text1"/>
                  <w:sz w:val="11"/>
                  <w:szCs w:val="11"/>
                </w:rPr>
                <w:t>S-succinyl-dihydrolipoamide</w:t>
              </w:r>
            </w:hyperlink>
          </w:p>
        </w:tc>
        <w:tc>
          <w:tcPr>
            <w:tcW w:w="1843" w:type="dxa"/>
            <w:vMerge w:val="restart"/>
            <w:vAlign w:val="center"/>
          </w:tcPr>
          <w:p w14:paraId="4A356A5A"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amide</w:t>
            </w:r>
          </w:p>
          <w:p w14:paraId="7E3DD0AA" w14:textId="77777777" w:rsidR="004D1935" w:rsidRPr="00304F31" w:rsidRDefault="004D1935" w:rsidP="00E24DC9">
            <w:pPr>
              <w:jc w:val="center"/>
              <w:rPr>
                <w:color w:val="000000" w:themeColor="text1"/>
                <w:sz w:val="11"/>
                <w:szCs w:val="11"/>
              </w:rPr>
            </w:pPr>
            <w:r w:rsidRPr="00304F31">
              <w:rPr>
                <w:rFonts w:ascii="Helvetica Neue" w:hAnsi="Helvetica Neue" w:cs="Calibri"/>
                <w:color w:val="000000" w:themeColor="text1"/>
                <w:sz w:val="11"/>
                <w:szCs w:val="11"/>
              </w:rPr>
              <w:t>alkaloids</w:t>
            </w:r>
          </w:p>
          <w:p w14:paraId="247AFF06"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amide</w:t>
            </w:r>
          </w:p>
          <w:p w14:paraId="1D9646FF"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Fatty acyl thioesters</w:t>
            </w:r>
          </w:p>
        </w:tc>
        <w:tc>
          <w:tcPr>
            <w:tcW w:w="1134" w:type="dxa"/>
            <w:vMerge w:val="restart"/>
            <w:vAlign w:val="center"/>
          </w:tcPr>
          <w:p w14:paraId="292E78DC" w14:textId="77777777" w:rsidR="004D1935" w:rsidRPr="00304F31" w:rsidRDefault="004D1935" w:rsidP="00E24DC9">
            <w:pPr>
              <w:jc w:val="center"/>
              <w:rPr>
                <w:color w:val="000000" w:themeColor="text1"/>
                <w:sz w:val="11"/>
                <w:szCs w:val="11"/>
              </w:rPr>
            </w:pPr>
            <w:r w:rsidRPr="00304F31">
              <w:rPr>
                <w:rFonts w:ascii="Arial" w:hAnsi="Arial" w:cs="Arial"/>
                <w:color w:val="000000" w:themeColor="text1"/>
                <w:sz w:val="11"/>
                <w:szCs w:val="11"/>
                <w:shd w:val="clear" w:color="auto" w:fill="FFFFFF"/>
              </w:rPr>
              <w:t>C</w:t>
            </w:r>
            <w:r w:rsidRPr="00304F31">
              <w:rPr>
                <w:rFonts w:ascii="Arial" w:hAnsi="Arial" w:cs="Arial"/>
                <w:color w:val="000000" w:themeColor="text1"/>
                <w:sz w:val="11"/>
                <w:szCs w:val="11"/>
                <w:shd w:val="clear" w:color="auto" w:fill="FFFFFF"/>
                <w:vertAlign w:val="subscript"/>
              </w:rPr>
              <w:t>15</w:t>
            </w:r>
            <w:r w:rsidRPr="00304F31">
              <w:rPr>
                <w:rFonts w:ascii="Arial" w:hAnsi="Arial" w:cs="Arial"/>
                <w:color w:val="000000" w:themeColor="text1"/>
                <w:sz w:val="11"/>
                <w:szCs w:val="11"/>
                <w:shd w:val="clear" w:color="auto" w:fill="FFFFFF"/>
              </w:rPr>
              <w:t>H</w:t>
            </w:r>
            <w:r w:rsidRPr="00304F31">
              <w:rPr>
                <w:rFonts w:ascii="Arial" w:hAnsi="Arial" w:cs="Arial"/>
                <w:color w:val="000000" w:themeColor="text1"/>
                <w:sz w:val="11"/>
                <w:szCs w:val="11"/>
                <w:shd w:val="clear" w:color="auto" w:fill="FFFFFF"/>
                <w:vertAlign w:val="subscript"/>
              </w:rPr>
              <w:t>23</w:t>
            </w:r>
            <w:r w:rsidRPr="00304F31">
              <w:rPr>
                <w:rFonts w:ascii="Arial" w:hAnsi="Arial" w:cs="Arial"/>
                <w:color w:val="000000" w:themeColor="text1"/>
                <w:sz w:val="11"/>
                <w:szCs w:val="11"/>
                <w:shd w:val="clear" w:color="auto" w:fill="FFFFFF"/>
              </w:rPr>
              <w:t>N</w:t>
            </w:r>
            <w:r w:rsidRPr="00304F31">
              <w:rPr>
                <w:rFonts w:ascii="Arial" w:hAnsi="Arial" w:cs="Arial"/>
                <w:color w:val="000000" w:themeColor="text1"/>
                <w:sz w:val="11"/>
                <w:szCs w:val="11"/>
                <w:shd w:val="clear" w:color="auto" w:fill="FFFFFF"/>
                <w:vertAlign w:val="subscript"/>
              </w:rPr>
              <w:t>4</w:t>
            </w:r>
            <w:r w:rsidRPr="00304F31">
              <w:rPr>
                <w:rFonts w:ascii="Arial" w:hAnsi="Arial" w:cs="Arial"/>
                <w:color w:val="000000" w:themeColor="text1"/>
                <w:sz w:val="11"/>
                <w:szCs w:val="11"/>
                <w:shd w:val="clear" w:color="auto" w:fill="FFFFFF"/>
              </w:rPr>
              <w:t>O</w:t>
            </w:r>
            <w:r w:rsidRPr="00304F31">
              <w:rPr>
                <w:rFonts w:ascii="Arial" w:hAnsi="Arial" w:cs="Arial"/>
                <w:color w:val="000000" w:themeColor="text1"/>
                <w:sz w:val="11"/>
                <w:szCs w:val="11"/>
                <w:shd w:val="clear" w:color="auto" w:fill="FFFFFF"/>
                <w:vertAlign w:val="subscript"/>
              </w:rPr>
              <w:t>3</w:t>
            </w:r>
          </w:p>
          <w:p w14:paraId="76DF49B0" w14:textId="77777777" w:rsidR="004D1935" w:rsidRPr="00304F31" w:rsidRDefault="004D1935" w:rsidP="00E24DC9">
            <w:pPr>
              <w:jc w:val="center"/>
              <w:rPr>
                <w:color w:val="000000" w:themeColor="text1"/>
                <w:sz w:val="11"/>
                <w:szCs w:val="11"/>
              </w:rPr>
            </w:pPr>
            <w:r w:rsidRPr="00304F31">
              <w:rPr>
                <w:rFonts w:ascii="Arial" w:hAnsi="Arial" w:cs="Arial"/>
                <w:color w:val="000000" w:themeColor="text1"/>
                <w:sz w:val="11"/>
                <w:szCs w:val="11"/>
                <w:shd w:val="clear" w:color="auto" w:fill="FFFFFF"/>
              </w:rPr>
              <w:t>C</w:t>
            </w:r>
            <w:r w:rsidRPr="00304F31">
              <w:rPr>
                <w:rFonts w:ascii="Arial" w:hAnsi="Arial" w:cs="Arial"/>
                <w:color w:val="000000" w:themeColor="text1"/>
                <w:sz w:val="11"/>
                <w:szCs w:val="11"/>
                <w:shd w:val="clear" w:color="auto" w:fill="FFFFFF"/>
                <w:vertAlign w:val="subscript"/>
              </w:rPr>
              <w:t>13</w:t>
            </w:r>
            <w:r w:rsidRPr="00304F31">
              <w:rPr>
                <w:rFonts w:ascii="Arial" w:hAnsi="Arial" w:cs="Arial"/>
                <w:color w:val="000000" w:themeColor="text1"/>
                <w:sz w:val="11"/>
                <w:szCs w:val="11"/>
                <w:shd w:val="clear" w:color="auto" w:fill="FFFFFF"/>
              </w:rPr>
              <w:t>H</w:t>
            </w:r>
            <w:r w:rsidRPr="00304F31">
              <w:rPr>
                <w:rFonts w:ascii="Arial" w:hAnsi="Arial" w:cs="Arial"/>
                <w:color w:val="000000" w:themeColor="text1"/>
                <w:sz w:val="11"/>
                <w:szCs w:val="11"/>
                <w:shd w:val="clear" w:color="auto" w:fill="FFFFFF"/>
                <w:vertAlign w:val="subscript"/>
              </w:rPr>
              <w:t>18</w:t>
            </w:r>
            <w:r w:rsidRPr="00304F31">
              <w:rPr>
                <w:rFonts w:ascii="Arial" w:hAnsi="Arial" w:cs="Arial"/>
                <w:color w:val="000000" w:themeColor="text1"/>
                <w:sz w:val="11"/>
                <w:szCs w:val="11"/>
                <w:shd w:val="clear" w:color="auto" w:fill="FFFFFF"/>
              </w:rPr>
              <w:t>N</w:t>
            </w:r>
            <w:r w:rsidRPr="00304F31">
              <w:rPr>
                <w:rFonts w:ascii="Arial" w:hAnsi="Arial" w:cs="Arial"/>
                <w:color w:val="000000" w:themeColor="text1"/>
                <w:sz w:val="11"/>
                <w:szCs w:val="11"/>
                <w:shd w:val="clear" w:color="auto" w:fill="FFFFFF"/>
                <w:vertAlign w:val="subscript"/>
              </w:rPr>
              <w:t>6</w:t>
            </w:r>
            <w:r w:rsidRPr="00304F31">
              <w:rPr>
                <w:rFonts w:ascii="Arial" w:hAnsi="Arial" w:cs="Arial"/>
                <w:color w:val="000000" w:themeColor="text1"/>
                <w:sz w:val="11"/>
                <w:szCs w:val="11"/>
                <w:shd w:val="clear" w:color="auto" w:fill="FFFFFF"/>
              </w:rPr>
              <w:t>O</w:t>
            </w:r>
            <w:r w:rsidRPr="00304F31">
              <w:rPr>
                <w:rFonts w:ascii="Arial" w:hAnsi="Arial" w:cs="Arial"/>
                <w:color w:val="000000" w:themeColor="text1"/>
                <w:sz w:val="11"/>
                <w:szCs w:val="11"/>
                <w:shd w:val="clear" w:color="auto" w:fill="FFFFFF"/>
                <w:vertAlign w:val="subscript"/>
              </w:rPr>
              <w:t>3</w:t>
            </w:r>
          </w:p>
          <w:p w14:paraId="6F1AE6DC" w14:textId="77777777" w:rsidR="004D1935" w:rsidRPr="00304F31" w:rsidRDefault="004D1935" w:rsidP="00E24DC9">
            <w:pPr>
              <w:jc w:val="center"/>
              <w:rPr>
                <w:color w:val="000000" w:themeColor="text1"/>
                <w:sz w:val="11"/>
                <w:szCs w:val="11"/>
              </w:rPr>
            </w:pPr>
            <w:r w:rsidRPr="00304F31">
              <w:rPr>
                <w:rFonts w:ascii="Arial" w:hAnsi="Arial" w:cs="Arial"/>
                <w:color w:val="000000" w:themeColor="text1"/>
                <w:sz w:val="11"/>
                <w:szCs w:val="11"/>
                <w:shd w:val="clear" w:color="auto" w:fill="FFFFFF"/>
              </w:rPr>
              <w:t>C</w:t>
            </w:r>
            <w:r w:rsidRPr="00304F31">
              <w:rPr>
                <w:rFonts w:ascii="Arial" w:hAnsi="Arial" w:cs="Arial"/>
                <w:color w:val="000000" w:themeColor="text1"/>
                <w:sz w:val="11"/>
                <w:szCs w:val="11"/>
                <w:shd w:val="clear" w:color="auto" w:fill="FFFFFF"/>
                <w:vertAlign w:val="subscript"/>
              </w:rPr>
              <w:t>10</w:t>
            </w:r>
            <w:r w:rsidRPr="00304F31">
              <w:rPr>
                <w:rFonts w:ascii="Arial" w:hAnsi="Arial" w:cs="Arial"/>
                <w:color w:val="000000" w:themeColor="text1"/>
                <w:sz w:val="11"/>
                <w:szCs w:val="11"/>
                <w:shd w:val="clear" w:color="auto" w:fill="FFFFFF"/>
              </w:rPr>
              <w:t>H</w:t>
            </w:r>
            <w:r w:rsidRPr="00304F31">
              <w:rPr>
                <w:rFonts w:ascii="Arial" w:hAnsi="Arial" w:cs="Arial"/>
                <w:color w:val="000000" w:themeColor="text1"/>
                <w:sz w:val="11"/>
                <w:szCs w:val="11"/>
                <w:shd w:val="clear" w:color="auto" w:fill="FFFFFF"/>
                <w:vertAlign w:val="subscript"/>
              </w:rPr>
              <w:t>18</w:t>
            </w:r>
            <w:r w:rsidRPr="00304F31">
              <w:rPr>
                <w:rFonts w:ascii="Arial" w:hAnsi="Arial" w:cs="Arial"/>
                <w:color w:val="000000" w:themeColor="text1"/>
                <w:sz w:val="11"/>
                <w:szCs w:val="11"/>
                <w:shd w:val="clear" w:color="auto" w:fill="FFFFFF"/>
              </w:rPr>
              <w:t>N</w:t>
            </w:r>
            <w:r w:rsidRPr="00304F31">
              <w:rPr>
                <w:rFonts w:ascii="Arial" w:hAnsi="Arial" w:cs="Arial"/>
                <w:color w:val="000000" w:themeColor="text1"/>
                <w:sz w:val="11"/>
                <w:szCs w:val="11"/>
                <w:shd w:val="clear" w:color="auto" w:fill="FFFFFF"/>
                <w:vertAlign w:val="subscript"/>
              </w:rPr>
              <w:t>4</w:t>
            </w:r>
            <w:r w:rsidRPr="00304F31">
              <w:rPr>
                <w:rFonts w:ascii="Arial" w:hAnsi="Arial" w:cs="Arial"/>
                <w:color w:val="000000" w:themeColor="text1"/>
                <w:sz w:val="11"/>
                <w:szCs w:val="11"/>
                <w:shd w:val="clear" w:color="auto" w:fill="FFFFFF"/>
              </w:rPr>
              <w:t>O</w:t>
            </w:r>
            <w:r w:rsidRPr="00304F31">
              <w:rPr>
                <w:rFonts w:ascii="Arial" w:hAnsi="Arial" w:cs="Arial"/>
                <w:color w:val="000000" w:themeColor="text1"/>
                <w:sz w:val="11"/>
                <w:szCs w:val="11"/>
                <w:shd w:val="clear" w:color="auto" w:fill="FFFFFF"/>
                <w:vertAlign w:val="subscript"/>
              </w:rPr>
              <w:t>5</w:t>
            </w:r>
            <w:r w:rsidRPr="00304F31">
              <w:rPr>
                <w:rFonts w:ascii="Arial" w:hAnsi="Arial" w:cs="Arial"/>
                <w:color w:val="000000" w:themeColor="text1"/>
                <w:sz w:val="11"/>
                <w:szCs w:val="11"/>
                <w:shd w:val="clear" w:color="auto" w:fill="FFFFFF"/>
              </w:rPr>
              <w:t>S</w:t>
            </w:r>
          </w:p>
          <w:p w14:paraId="761784EC" w14:textId="77777777" w:rsidR="004D1935" w:rsidRPr="00304F31" w:rsidRDefault="004D1935" w:rsidP="00E24DC9">
            <w:pPr>
              <w:jc w:val="center"/>
              <w:rPr>
                <w:color w:val="000000" w:themeColor="text1"/>
                <w:sz w:val="11"/>
                <w:szCs w:val="11"/>
              </w:rPr>
            </w:pPr>
            <w:r w:rsidRPr="00304F31">
              <w:rPr>
                <w:rFonts w:ascii="Arial" w:hAnsi="Arial" w:cs="Arial"/>
                <w:color w:val="000000" w:themeColor="text1"/>
                <w:sz w:val="11"/>
                <w:szCs w:val="11"/>
                <w:shd w:val="clear" w:color="auto" w:fill="FFFFFF"/>
              </w:rPr>
              <w:t>C</w:t>
            </w:r>
            <w:r w:rsidRPr="00304F31">
              <w:rPr>
                <w:rFonts w:ascii="Arial" w:hAnsi="Arial" w:cs="Arial"/>
                <w:color w:val="000000" w:themeColor="text1"/>
                <w:sz w:val="11"/>
                <w:szCs w:val="11"/>
                <w:shd w:val="clear" w:color="auto" w:fill="FFFFFF"/>
                <w:vertAlign w:val="subscript"/>
              </w:rPr>
              <w:t>12</w:t>
            </w:r>
            <w:r w:rsidRPr="00304F31">
              <w:rPr>
                <w:rFonts w:ascii="Arial" w:hAnsi="Arial" w:cs="Arial"/>
                <w:color w:val="000000" w:themeColor="text1"/>
                <w:sz w:val="11"/>
                <w:szCs w:val="11"/>
                <w:shd w:val="clear" w:color="auto" w:fill="FFFFFF"/>
              </w:rPr>
              <w:t>H</w:t>
            </w:r>
            <w:r w:rsidRPr="00304F31">
              <w:rPr>
                <w:rFonts w:ascii="Arial" w:hAnsi="Arial" w:cs="Arial"/>
                <w:color w:val="000000" w:themeColor="text1"/>
                <w:sz w:val="11"/>
                <w:szCs w:val="11"/>
                <w:shd w:val="clear" w:color="auto" w:fill="FFFFFF"/>
                <w:vertAlign w:val="subscript"/>
              </w:rPr>
              <w:t>20</w:t>
            </w:r>
            <w:r w:rsidRPr="00304F31">
              <w:rPr>
                <w:rFonts w:ascii="Arial" w:hAnsi="Arial" w:cs="Arial"/>
                <w:color w:val="000000" w:themeColor="text1"/>
                <w:sz w:val="11"/>
                <w:szCs w:val="11"/>
                <w:shd w:val="clear" w:color="auto" w:fill="FFFFFF"/>
              </w:rPr>
              <w:t>NO</w:t>
            </w:r>
            <w:r w:rsidRPr="00304F31">
              <w:rPr>
                <w:rFonts w:ascii="Arial" w:hAnsi="Arial" w:cs="Arial"/>
                <w:color w:val="000000" w:themeColor="text1"/>
                <w:sz w:val="11"/>
                <w:szCs w:val="11"/>
                <w:shd w:val="clear" w:color="auto" w:fill="FFFFFF"/>
                <w:vertAlign w:val="subscript"/>
              </w:rPr>
              <w:t>4</w:t>
            </w:r>
            <w:r w:rsidRPr="00304F31">
              <w:rPr>
                <w:rFonts w:ascii="Arial" w:hAnsi="Arial" w:cs="Arial"/>
                <w:color w:val="000000" w:themeColor="text1"/>
                <w:sz w:val="11"/>
                <w:szCs w:val="11"/>
                <w:shd w:val="clear" w:color="auto" w:fill="FFFFFF"/>
              </w:rPr>
              <w:t>S</w:t>
            </w:r>
            <w:r w:rsidRPr="00304F31">
              <w:rPr>
                <w:rFonts w:ascii="Arial" w:hAnsi="Arial" w:cs="Arial"/>
                <w:color w:val="000000" w:themeColor="text1"/>
                <w:sz w:val="11"/>
                <w:szCs w:val="11"/>
                <w:shd w:val="clear" w:color="auto" w:fill="FFFFFF"/>
                <w:vertAlign w:val="subscript"/>
              </w:rPr>
              <w:t>2</w:t>
            </w:r>
          </w:p>
          <w:p w14:paraId="7F534D70" w14:textId="77777777" w:rsidR="004D1935" w:rsidRPr="00304F31" w:rsidRDefault="004D1935" w:rsidP="00E24DC9">
            <w:pPr>
              <w:jc w:val="center"/>
              <w:rPr>
                <w:color w:val="000000" w:themeColor="text1"/>
                <w:sz w:val="11"/>
                <w:szCs w:val="11"/>
              </w:rPr>
            </w:pPr>
          </w:p>
        </w:tc>
        <w:tc>
          <w:tcPr>
            <w:tcW w:w="9072" w:type="dxa"/>
            <w:vMerge w:val="restart"/>
            <w:vAlign w:val="center"/>
          </w:tcPr>
          <w:p w14:paraId="39CEBDB2" w14:textId="77777777" w:rsidR="004D1935" w:rsidRPr="00304F31" w:rsidRDefault="004D1935" w:rsidP="00E24DC9">
            <w:pPr>
              <w:jc w:val="center"/>
              <w:rPr>
                <w:color w:val="000000" w:themeColor="text1"/>
                <w:sz w:val="11"/>
                <w:szCs w:val="11"/>
              </w:rPr>
            </w:pPr>
            <w:r w:rsidRPr="00304F31">
              <w:rPr>
                <w:rFonts w:ascii="Verdana" w:hAnsi="Verdana" w:cs="Calibri"/>
                <w:color w:val="000000" w:themeColor="text1"/>
                <w:sz w:val="11"/>
                <w:szCs w:val="11"/>
              </w:rPr>
              <w:t>Arginine and proline metabolism</w:t>
            </w:r>
          </w:p>
          <w:p w14:paraId="4B5020D1"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Zeatin biosynthesis /jasmonic acid pathway/Riboflavin/Flavanone/Flavonoid/Abscisic acid biosynthesis/Shikimate pathway</w:t>
            </w:r>
          </w:p>
          <w:p w14:paraId="5C07D2E2" w14:textId="77777777" w:rsidR="004D1935" w:rsidRPr="00304F31" w:rsidRDefault="004D1935" w:rsidP="00E24DC9">
            <w:pPr>
              <w:jc w:val="center"/>
              <w:rPr>
                <w:color w:val="000000" w:themeColor="text1"/>
                <w:sz w:val="11"/>
                <w:szCs w:val="11"/>
              </w:rPr>
            </w:pPr>
            <w:r w:rsidRPr="00304F31">
              <w:rPr>
                <w:rFonts w:ascii="Verdana" w:hAnsi="Verdana" w:cs="Calibri"/>
                <w:color w:val="000000" w:themeColor="text1"/>
                <w:sz w:val="11"/>
                <w:szCs w:val="11"/>
              </w:rPr>
              <w:t>Cyanoamino acid metabolism /jasmonic acid pathway/Riboflavin/Flavanone/Flavonoid/Abscisic acid biosynthesis/Shikimate pathway/pyrovate/pyrimidine fatty acid biosynthesis/animonsugar nuclotides sugar metabolism</w:t>
            </w:r>
          </w:p>
          <w:p w14:paraId="33320397" w14:textId="77777777" w:rsidR="004D1935" w:rsidRPr="00304F31" w:rsidRDefault="004D1935" w:rsidP="00E24DC9">
            <w:pPr>
              <w:jc w:val="center"/>
              <w:rPr>
                <w:color w:val="000000" w:themeColor="text1"/>
                <w:sz w:val="11"/>
                <w:szCs w:val="11"/>
              </w:rPr>
            </w:pPr>
            <w:r w:rsidRPr="00304F31">
              <w:rPr>
                <w:rFonts w:ascii="Verdana" w:hAnsi="Verdana" w:cs="Calibri"/>
                <w:color w:val="000000" w:themeColor="text1"/>
                <w:sz w:val="11"/>
                <w:szCs w:val="11"/>
              </w:rPr>
              <w:t>Citrate cycle (TCA cycle) /charbohydrate metablism</w:t>
            </w:r>
          </w:p>
        </w:tc>
      </w:tr>
      <w:tr w:rsidR="004D1935" w:rsidRPr="00304F31" w14:paraId="45E614B1" w14:textId="77777777" w:rsidTr="00E24DC9">
        <w:tc>
          <w:tcPr>
            <w:tcW w:w="567" w:type="dxa"/>
            <w:vMerge/>
            <w:vAlign w:val="center"/>
          </w:tcPr>
          <w:p w14:paraId="156319B2" w14:textId="77777777" w:rsidR="004D1935" w:rsidRPr="00304F31" w:rsidRDefault="004D1935" w:rsidP="00E24DC9">
            <w:pPr>
              <w:jc w:val="center"/>
              <w:rPr>
                <w:sz w:val="11"/>
                <w:szCs w:val="11"/>
              </w:rPr>
            </w:pPr>
          </w:p>
        </w:tc>
        <w:tc>
          <w:tcPr>
            <w:tcW w:w="851" w:type="dxa"/>
            <w:tcBorders>
              <w:top w:val="nil"/>
              <w:bottom w:val="nil"/>
            </w:tcBorders>
            <w:vAlign w:val="center"/>
          </w:tcPr>
          <w:p w14:paraId="15DD71C5" w14:textId="77777777" w:rsidR="004D1935" w:rsidRPr="00304F31" w:rsidRDefault="004D1935" w:rsidP="00E24DC9">
            <w:pPr>
              <w:jc w:val="center"/>
              <w:rPr>
                <w:sz w:val="11"/>
                <w:szCs w:val="11"/>
              </w:rPr>
            </w:pPr>
            <w:r w:rsidRPr="00304F31">
              <w:rPr>
                <w:rFonts w:ascii="Calibri" w:hAnsi="Calibri" w:cs="Calibri"/>
                <w:color w:val="000000"/>
                <w:sz w:val="11"/>
                <w:szCs w:val="11"/>
              </w:rPr>
              <w:t>307.1618</w:t>
            </w:r>
          </w:p>
        </w:tc>
        <w:tc>
          <w:tcPr>
            <w:tcW w:w="1843" w:type="dxa"/>
            <w:vMerge/>
            <w:vAlign w:val="center"/>
          </w:tcPr>
          <w:p w14:paraId="6B625D91" w14:textId="77777777" w:rsidR="004D1935" w:rsidRPr="00304F31" w:rsidRDefault="004D1935" w:rsidP="00E24DC9">
            <w:pPr>
              <w:jc w:val="center"/>
              <w:rPr>
                <w:color w:val="000000" w:themeColor="text1"/>
                <w:sz w:val="11"/>
                <w:szCs w:val="11"/>
              </w:rPr>
            </w:pPr>
          </w:p>
        </w:tc>
        <w:tc>
          <w:tcPr>
            <w:tcW w:w="1843" w:type="dxa"/>
            <w:vMerge/>
            <w:vAlign w:val="center"/>
          </w:tcPr>
          <w:p w14:paraId="37AC7D0F" w14:textId="77777777" w:rsidR="004D1935" w:rsidRPr="00304F31" w:rsidRDefault="004D1935" w:rsidP="00E24DC9">
            <w:pPr>
              <w:jc w:val="center"/>
              <w:rPr>
                <w:color w:val="000000" w:themeColor="text1"/>
                <w:sz w:val="11"/>
                <w:szCs w:val="11"/>
              </w:rPr>
            </w:pPr>
          </w:p>
        </w:tc>
        <w:tc>
          <w:tcPr>
            <w:tcW w:w="1134" w:type="dxa"/>
            <w:vMerge/>
            <w:vAlign w:val="center"/>
          </w:tcPr>
          <w:p w14:paraId="6F468C2D" w14:textId="77777777" w:rsidR="004D1935" w:rsidRPr="00304F31" w:rsidRDefault="004D1935" w:rsidP="00E24DC9">
            <w:pPr>
              <w:jc w:val="center"/>
              <w:rPr>
                <w:color w:val="000000" w:themeColor="text1"/>
                <w:sz w:val="11"/>
                <w:szCs w:val="11"/>
              </w:rPr>
            </w:pPr>
          </w:p>
        </w:tc>
        <w:tc>
          <w:tcPr>
            <w:tcW w:w="9072" w:type="dxa"/>
            <w:vMerge/>
            <w:vAlign w:val="center"/>
          </w:tcPr>
          <w:p w14:paraId="007C917D" w14:textId="77777777" w:rsidR="004D1935" w:rsidRPr="00304F31" w:rsidRDefault="004D1935" w:rsidP="00E24DC9">
            <w:pPr>
              <w:jc w:val="center"/>
              <w:rPr>
                <w:color w:val="000000" w:themeColor="text1"/>
                <w:sz w:val="11"/>
                <w:szCs w:val="11"/>
              </w:rPr>
            </w:pPr>
          </w:p>
        </w:tc>
      </w:tr>
      <w:tr w:rsidR="004D1935" w:rsidRPr="00304F31" w14:paraId="0774F860" w14:textId="77777777" w:rsidTr="00E24DC9">
        <w:tc>
          <w:tcPr>
            <w:tcW w:w="567" w:type="dxa"/>
            <w:vMerge/>
            <w:vAlign w:val="center"/>
          </w:tcPr>
          <w:p w14:paraId="26B4B18E" w14:textId="77777777" w:rsidR="004D1935" w:rsidRPr="00304F31" w:rsidRDefault="004D1935" w:rsidP="00E24DC9">
            <w:pPr>
              <w:jc w:val="center"/>
              <w:rPr>
                <w:sz w:val="11"/>
                <w:szCs w:val="11"/>
              </w:rPr>
            </w:pPr>
          </w:p>
        </w:tc>
        <w:tc>
          <w:tcPr>
            <w:tcW w:w="851" w:type="dxa"/>
            <w:tcBorders>
              <w:top w:val="nil"/>
              <w:bottom w:val="nil"/>
            </w:tcBorders>
            <w:vAlign w:val="center"/>
          </w:tcPr>
          <w:p w14:paraId="7D0C5F10" w14:textId="77777777" w:rsidR="004D1935" w:rsidRPr="00304F31" w:rsidRDefault="004D1935" w:rsidP="00E24DC9">
            <w:pPr>
              <w:jc w:val="center"/>
              <w:rPr>
                <w:sz w:val="11"/>
                <w:szCs w:val="11"/>
              </w:rPr>
            </w:pPr>
            <w:r w:rsidRPr="00304F31">
              <w:rPr>
                <w:rFonts w:ascii="Calibri" w:hAnsi="Calibri" w:cs="Calibri"/>
                <w:color w:val="000000"/>
                <w:sz w:val="11"/>
                <w:szCs w:val="11"/>
              </w:rPr>
              <w:t>307.2040</w:t>
            </w:r>
          </w:p>
        </w:tc>
        <w:tc>
          <w:tcPr>
            <w:tcW w:w="1843" w:type="dxa"/>
            <w:vMerge/>
            <w:vAlign w:val="center"/>
          </w:tcPr>
          <w:p w14:paraId="5EA7D7C8" w14:textId="77777777" w:rsidR="004D1935" w:rsidRPr="00304F31" w:rsidRDefault="004D1935" w:rsidP="00E24DC9">
            <w:pPr>
              <w:jc w:val="center"/>
              <w:rPr>
                <w:color w:val="000000" w:themeColor="text1"/>
                <w:sz w:val="11"/>
                <w:szCs w:val="11"/>
              </w:rPr>
            </w:pPr>
          </w:p>
        </w:tc>
        <w:tc>
          <w:tcPr>
            <w:tcW w:w="1843" w:type="dxa"/>
            <w:vMerge/>
            <w:vAlign w:val="center"/>
          </w:tcPr>
          <w:p w14:paraId="680DEDF1" w14:textId="77777777" w:rsidR="004D1935" w:rsidRPr="00304F31" w:rsidRDefault="004D1935" w:rsidP="00E24DC9">
            <w:pPr>
              <w:jc w:val="center"/>
              <w:rPr>
                <w:color w:val="000000" w:themeColor="text1"/>
                <w:sz w:val="11"/>
                <w:szCs w:val="11"/>
              </w:rPr>
            </w:pPr>
          </w:p>
        </w:tc>
        <w:tc>
          <w:tcPr>
            <w:tcW w:w="1134" w:type="dxa"/>
            <w:vMerge/>
            <w:vAlign w:val="center"/>
          </w:tcPr>
          <w:p w14:paraId="796E3208" w14:textId="77777777" w:rsidR="004D1935" w:rsidRPr="00304F31" w:rsidRDefault="004D1935" w:rsidP="00E24DC9">
            <w:pPr>
              <w:jc w:val="center"/>
              <w:rPr>
                <w:color w:val="000000" w:themeColor="text1"/>
                <w:sz w:val="11"/>
                <w:szCs w:val="11"/>
              </w:rPr>
            </w:pPr>
          </w:p>
        </w:tc>
        <w:tc>
          <w:tcPr>
            <w:tcW w:w="9072" w:type="dxa"/>
            <w:vMerge/>
            <w:vAlign w:val="center"/>
          </w:tcPr>
          <w:p w14:paraId="138243F0" w14:textId="77777777" w:rsidR="004D1935" w:rsidRPr="00304F31" w:rsidRDefault="004D1935" w:rsidP="00E24DC9">
            <w:pPr>
              <w:jc w:val="center"/>
              <w:rPr>
                <w:color w:val="000000" w:themeColor="text1"/>
                <w:sz w:val="11"/>
                <w:szCs w:val="11"/>
              </w:rPr>
            </w:pPr>
          </w:p>
        </w:tc>
      </w:tr>
      <w:tr w:rsidR="004D1935" w:rsidRPr="00304F31" w14:paraId="457503F6" w14:textId="77777777" w:rsidTr="00E24DC9">
        <w:tc>
          <w:tcPr>
            <w:tcW w:w="567" w:type="dxa"/>
            <w:vMerge/>
            <w:vAlign w:val="center"/>
          </w:tcPr>
          <w:p w14:paraId="2D693878" w14:textId="77777777" w:rsidR="004D1935" w:rsidRPr="00304F31" w:rsidRDefault="004D1935" w:rsidP="00E24DC9">
            <w:pPr>
              <w:jc w:val="center"/>
              <w:rPr>
                <w:sz w:val="11"/>
                <w:szCs w:val="11"/>
              </w:rPr>
            </w:pPr>
          </w:p>
        </w:tc>
        <w:tc>
          <w:tcPr>
            <w:tcW w:w="851" w:type="dxa"/>
            <w:tcBorders>
              <w:top w:val="nil"/>
              <w:bottom w:val="nil"/>
            </w:tcBorders>
            <w:vAlign w:val="center"/>
          </w:tcPr>
          <w:p w14:paraId="38A812E9" w14:textId="77777777" w:rsidR="004D1935" w:rsidRPr="00304F31" w:rsidRDefault="004D1935" w:rsidP="00E24DC9">
            <w:pPr>
              <w:jc w:val="center"/>
              <w:rPr>
                <w:sz w:val="11"/>
                <w:szCs w:val="11"/>
              </w:rPr>
            </w:pPr>
            <w:r w:rsidRPr="00304F31">
              <w:rPr>
                <w:rFonts w:ascii="Calibri" w:hAnsi="Calibri" w:cs="Calibri"/>
                <w:color w:val="000000"/>
                <w:sz w:val="11"/>
                <w:szCs w:val="11"/>
              </w:rPr>
              <w:t>307.2462</w:t>
            </w:r>
          </w:p>
        </w:tc>
        <w:tc>
          <w:tcPr>
            <w:tcW w:w="1843" w:type="dxa"/>
            <w:vMerge/>
            <w:vAlign w:val="center"/>
          </w:tcPr>
          <w:p w14:paraId="22EA3AC8" w14:textId="77777777" w:rsidR="004D1935" w:rsidRPr="00304F31" w:rsidRDefault="004D1935" w:rsidP="00E24DC9">
            <w:pPr>
              <w:jc w:val="center"/>
              <w:rPr>
                <w:color w:val="000000" w:themeColor="text1"/>
                <w:sz w:val="11"/>
                <w:szCs w:val="11"/>
              </w:rPr>
            </w:pPr>
          </w:p>
        </w:tc>
        <w:tc>
          <w:tcPr>
            <w:tcW w:w="1843" w:type="dxa"/>
            <w:vMerge/>
            <w:vAlign w:val="center"/>
          </w:tcPr>
          <w:p w14:paraId="0EDDBEBC" w14:textId="77777777" w:rsidR="004D1935" w:rsidRPr="00304F31" w:rsidRDefault="004D1935" w:rsidP="00E24DC9">
            <w:pPr>
              <w:jc w:val="center"/>
              <w:rPr>
                <w:color w:val="000000" w:themeColor="text1"/>
                <w:sz w:val="11"/>
                <w:szCs w:val="11"/>
              </w:rPr>
            </w:pPr>
          </w:p>
        </w:tc>
        <w:tc>
          <w:tcPr>
            <w:tcW w:w="1134" w:type="dxa"/>
            <w:vMerge/>
            <w:vAlign w:val="center"/>
          </w:tcPr>
          <w:p w14:paraId="6BEAEEFD" w14:textId="77777777" w:rsidR="004D1935" w:rsidRPr="00304F31" w:rsidRDefault="004D1935" w:rsidP="00E24DC9">
            <w:pPr>
              <w:jc w:val="center"/>
              <w:rPr>
                <w:color w:val="000000" w:themeColor="text1"/>
                <w:sz w:val="11"/>
                <w:szCs w:val="11"/>
              </w:rPr>
            </w:pPr>
          </w:p>
        </w:tc>
        <w:tc>
          <w:tcPr>
            <w:tcW w:w="9072" w:type="dxa"/>
            <w:vMerge/>
            <w:vAlign w:val="center"/>
          </w:tcPr>
          <w:p w14:paraId="2EDF3EB2" w14:textId="77777777" w:rsidR="004D1935" w:rsidRPr="00304F31" w:rsidRDefault="004D1935" w:rsidP="00E24DC9">
            <w:pPr>
              <w:jc w:val="center"/>
              <w:rPr>
                <w:color w:val="000000" w:themeColor="text1"/>
                <w:sz w:val="11"/>
                <w:szCs w:val="11"/>
              </w:rPr>
            </w:pPr>
          </w:p>
        </w:tc>
      </w:tr>
      <w:tr w:rsidR="004D1935" w:rsidRPr="00304F31" w14:paraId="27EB01C2" w14:textId="77777777" w:rsidTr="00E24DC9">
        <w:tc>
          <w:tcPr>
            <w:tcW w:w="567" w:type="dxa"/>
            <w:vMerge/>
            <w:vAlign w:val="center"/>
          </w:tcPr>
          <w:p w14:paraId="3525D147" w14:textId="77777777" w:rsidR="004D1935" w:rsidRPr="00304F31" w:rsidRDefault="004D1935" w:rsidP="00E24DC9">
            <w:pPr>
              <w:jc w:val="center"/>
              <w:rPr>
                <w:sz w:val="11"/>
                <w:szCs w:val="11"/>
              </w:rPr>
            </w:pPr>
          </w:p>
        </w:tc>
        <w:tc>
          <w:tcPr>
            <w:tcW w:w="851" w:type="dxa"/>
            <w:tcBorders>
              <w:top w:val="nil"/>
              <w:bottom w:val="nil"/>
            </w:tcBorders>
            <w:vAlign w:val="center"/>
          </w:tcPr>
          <w:p w14:paraId="06DA73A1" w14:textId="77777777" w:rsidR="004D1935" w:rsidRPr="00304F31" w:rsidRDefault="004D1935" w:rsidP="00E24DC9">
            <w:pPr>
              <w:jc w:val="center"/>
              <w:rPr>
                <w:sz w:val="11"/>
                <w:szCs w:val="11"/>
              </w:rPr>
            </w:pPr>
            <w:r w:rsidRPr="00304F31">
              <w:rPr>
                <w:rFonts w:ascii="Calibri" w:hAnsi="Calibri" w:cs="Calibri"/>
                <w:color w:val="000000"/>
                <w:sz w:val="11"/>
                <w:szCs w:val="11"/>
              </w:rPr>
              <w:t>307.1261</w:t>
            </w:r>
          </w:p>
        </w:tc>
        <w:tc>
          <w:tcPr>
            <w:tcW w:w="1843" w:type="dxa"/>
            <w:vMerge/>
            <w:vAlign w:val="center"/>
          </w:tcPr>
          <w:p w14:paraId="05928B02" w14:textId="77777777" w:rsidR="004D1935" w:rsidRPr="00304F31" w:rsidRDefault="004D1935" w:rsidP="00E24DC9">
            <w:pPr>
              <w:jc w:val="center"/>
              <w:rPr>
                <w:color w:val="000000" w:themeColor="text1"/>
                <w:sz w:val="11"/>
                <w:szCs w:val="11"/>
              </w:rPr>
            </w:pPr>
          </w:p>
        </w:tc>
        <w:tc>
          <w:tcPr>
            <w:tcW w:w="1843" w:type="dxa"/>
            <w:vMerge/>
            <w:vAlign w:val="center"/>
          </w:tcPr>
          <w:p w14:paraId="61EB82F2" w14:textId="77777777" w:rsidR="004D1935" w:rsidRPr="00304F31" w:rsidRDefault="004D1935" w:rsidP="00E24DC9">
            <w:pPr>
              <w:jc w:val="center"/>
              <w:rPr>
                <w:color w:val="000000" w:themeColor="text1"/>
                <w:sz w:val="11"/>
                <w:szCs w:val="11"/>
              </w:rPr>
            </w:pPr>
          </w:p>
        </w:tc>
        <w:tc>
          <w:tcPr>
            <w:tcW w:w="1134" w:type="dxa"/>
            <w:vMerge/>
            <w:vAlign w:val="center"/>
          </w:tcPr>
          <w:p w14:paraId="230B7919" w14:textId="77777777" w:rsidR="004D1935" w:rsidRPr="00304F31" w:rsidRDefault="004D1935" w:rsidP="00E24DC9">
            <w:pPr>
              <w:jc w:val="center"/>
              <w:rPr>
                <w:color w:val="000000" w:themeColor="text1"/>
                <w:sz w:val="11"/>
                <w:szCs w:val="11"/>
              </w:rPr>
            </w:pPr>
          </w:p>
        </w:tc>
        <w:tc>
          <w:tcPr>
            <w:tcW w:w="9072" w:type="dxa"/>
            <w:vMerge/>
            <w:vAlign w:val="center"/>
          </w:tcPr>
          <w:p w14:paraId="0A317F3D" w14:textId="77777777" w:rsidR="004D1935" w:rsidRPr="00304F31" w:rsidRDefault="004D1935" w:rsidP="00E24DC9">
            <w:pPr>
              <w:jc w:val="center"/>
              <w:rPr>
                <w:color w:val="000000" w:themeColor="text1"/>
                <w:sz w:val="11"/>
                <w:szCs w:val="11"/>
              </w:rPr>
            </w:pPr>
          </w:p>
        </w:tc>
      </w:tr>
      <w:tr w:rsidR="004D1935" w:rsidRPr="00304F31" w14:paraId="6AE03578" w14:textId="77777777" w:rsidTr="00E24DC9">
        <w:tc>
          <w:tcPr>
            <w:tcW w:w="567" w:type="dxa"/>
            <w:vMerge/>
            <w:vAlign w:val="center"/>
          </w:tcPr>
          <w:p w14:paraId="7DAF2499" w14:textId="77777777" w:rsidR="004D1935" w:rsidRPr="00304F31" w:rsidRDefault="004D1935" w:rsidP="00E24DC9">
            <w:pPr>
              <w:jc w:val="center"/>
              <w:rPr>
                <w:sz w:val="11"/>
                <w:szCs w:val="11"/>
              </w:rPr>
            </w:pPr>
          </w:p>
        </w:tc>
        <w:tc>
          <w:tcPr>
            <w:tcW w:w="851" w:type="dxa"/>
            <w:tcBorders>
              <w:top w:val="nil"/>
              <w:bottom w:val="nil"/>
            </w:tcBorders>
            <w:vAlign w:val="center"/>
          </w:tcPr>
          <w:p w14:paraId="431BF978" w14:textId="77777777" w:rsidR="004D1935" w:rsidRPr="00304F31" w:rsidRDefault="004D1935" w:rsidP="00E24DC9">
            <w:pPr>
              <w:jc w:val="center"/>
              <w:rPr>
                <w:sz w:val="11"/>
                <w:szCs w:val="11"/>
              </w:rPr>
            </w:pPr>
            <w:r w:rsidRPr="00304F31">
              <w:rPr>
                <w:rFonts w:ascii="Calibri" w:hAnsi="Calibri" w:cs="Calibri"/>
                <w:color w:val="000000"/>
                <w:sz w:val="11"/>
                <w:szCs w:val="11"/>
              </w:rPr>
              <w:t>307.1644</w:t>
            </w:r>
          </w:p>
        </w:tc>
        <w:tc>
          <w:tcPr>
            <w:tcW w:w="1843" w:type="dxa"/>
            <w:vMerge/>
            <w:vAlign w:val="center"/>
          </w:tcPr>
          <w:p w14:paraId="233E3C0C" w14:textId="77777777" w:rsidR="004D1935" w:rsidRPr="00304F31" w:rsidRDefault="004D1935" w:rsidP="00E24DC9">
            <w:pPr>
              <w:jc w:val="center"/>
              <w:rPr>
                <w:color w:val="000000" w:themeColor="text1"/>
                <w:sz w:val="11"/>
                <w:szCs w:val="11"/>
              </w:rPr>
            </w:pPr>
          </w:p>
        </w:tc>
        <w:tc>
          <w:tcPr>
            <w:tcW w:w="1843" w:type="dxa"/>
            <w:vMerge/>
            <w:vAlign w:val="center"/>
          </w:tcPr>
          <w:p w14:paraId="25926ED4" w14:textId="77777777" w:rsidR="004D1935" w:rsidRPr="00304F31" w:rsidRDefault="004D1935" w:rsidP="00E24DC9">
            <w:pPr>
              <w:jc w:val="center"/>
              <w:rPr>
                <w:color w:val="000000" w:themeColor="text1"/>
                <w:sz w:val="11"/>
                <w:szCs w:val="11"/>
              </w:rPr>
            </w:pPr>
          </w:p>
        </w:tc>
        <w:tc>
          <w:tcPr>
            <w:tcW w:w="1134" w:type="dxa"/>
            <w:vMerge/>
            <w:vAlign w:val="center"/>
          </w:tcPr>
          <w:p w14:paraId="7DB28604" w14:textId="77777777" w:rsidR="004D1935" w:rsidRPr="00304F31" w:rsidRDefault="004D1935" w:rsidP="00E24DC9">
            <w:pPr>
              <w:jc w:val="center"/>
              <w:rPr>
                <w:color w:val="000000" w:themeColor="text1"/>
                <w:sz w:val="11"/>
                <w:szCs w:val="11"/>
              </w:rPr>
            </w:pPr>
          </w:p>
        </w:tc>
        <w:tc>
          <w:tcPr>
            <w:tcW w:w="9072" w:type="dxa"/>
            <w:vMerge/>
            <w:vAlign w:val="center"/>
          </w:tcPr>
          <w:p w14:paraId="44CC40D6" w14:textId="77777777" w:rsidR="004D1935" w:rsidRPr="00304F31" w:rsidRDefault="004D1935" w:rsidP="00E24DC9">
            <w:pPr>
              <w:jc w:val="center"/>
              <w:rPr>
                <w:color w:val="000000" w:themeColor="text1"/>
                <w:sz w:val="11"/>
                <w:szCs w:val="11"/>
              </w:rPr>
            </w:pPr>
          </w:p>
        </w:tc>
      </w:tr>
      <w:tr w:rsidR="004D1935" w:rsidRPr="00304F31" w14:paraId="38286B4B" w14:textId="77777777" w:rsidTr="00E24DC9">
        <w:tc>
          <w:tcPr>
            <w:tcW w:w="567" w:type="dxa"/>
            <w:vMerge/>
            <w:vAlign w:val="center"/>
          </w:tcPr>
          <w:p w14:paraId="367033BB" w14:textId="77777777" w:rsidR="004D1935" w:rsidRPr="00304F31" w:rsidRDefault="004D1935" w:rsidP="00E24DC9">
            <w:pPr>
              <w:jc w:val="center"/>
              <w:rPr>
                <w:sz w:val="11"/>
                <w:szCs w:val="11"/>
              </w:rPr>
            </w:pPr>
          </w:p>
        </w:tc>
        <w:tc>
          <w:tcPr>
            <w:tcW w:w="851" w:type="dxa"/>
            <w:tcBorders>
              <w:top w:val="nil"/>
              <w:bottom w:val="nil"/>
            </w:tcBorders>
            <w:vAlign w:val="center"/>
          </w:tcPr>
          <w:p w14:paraId="097D5F95" w14:textId="77777777" w:rsidR="004D1935" w:rsidRPr="00304F31" w:rsidRDefault="004D1935" w:rsidP="00E24DC9">
            <w:pPr>
              <w:jc w:val="center"/>
              <w:rPr>
                <w:sz w:val="11"/>
                <w:szCs w:val="11"/>
              </w:rPr>
            </w:pPr>
            <w:r w:rsidRPr="00304F31">
              <w:rPr>
                <w:rFonts w:ascii="Calibri" w:hAnsi="Calibri" w:cs="Calibri"/>
                <w:color w:val="000000"/>
                <w:sz w:val="11"/>
                <w:szCs w:val="11"/>
              </w:rPr>
              <w:t>307.2053</w:t>
            </w:r>
          </w:p>
        </w:tc>
        <w:tc>
          <w:tcPr>
            <w:tcW w:w="1843" w:type="dxa"/>
            <w:vMerge/>
            <w:vAlign w:val="center"/>
          </w:tcPr>
          <w:p w14:paraId="29C89805" w14:textId="77777777" w:rsidR="004D1935" w:rsidRPr="00304F31" w:rsidRDefault="004D1935" w:rsidP="00E24DC9">
            <w:pPr>
              <w:jc w:val="center"/>
              <w:rPr>
                <w:color w:val="000000" w:themeColor="text1"/>
                <w:sz w:val="11"/>
                <w:szCs w:val="11"/>
              </w:rPr>
            </w:pPr>
          </w:p>
        </w:tc>
        <w:tc>
          <w:tcPr>
            <w:tcW w:w="1843" w:type="dxa"/>
            <w:vMerge/>
            <w:vAlign w:val="center"/>
          </w:tcPr>
          <w:p w14:paraId="0F7CB6D6" w14:textId="77777777" w:rsidR="004D1935" w:rsidRPr="00304F31" w:rsidRDefault="004D1935" w:rsidP="00E24DC9">
            <w:pPr>
              <w:jc w:val="center"/>
              <w:rPr>
                <w:color w:val="000000" w:themeColor="text1"/>
                <w:sz w:val="11"/>
                <w:szCs w:val="11"/>
              </w:rPr>
            </w:pPr>
          </w:p>
        </w:tc>
        <w:tc>
          <w:tcPr>
            <w:tcW w:w="1134" w:type="dxa"/>
            <w:vMerge/>
            <w:vAlign w:val="center"/>
          </w:tcPr>
          <w:p w14:paraId="3E7EDA01" w14:textId="77777777" w:rsidR="004D1935" w:rsidRPr="00304F31" w:rsidRDefault="004D1935" w:rsidP="00E24DC9">
            <w:pPr>
              <w:jc w:val="center"/>
              <w:rPr>
                <w:color w:val="000000" w:themeColor="text1"/>
                <w:sz w:val="11"/>
                <w:szCs w:val="11"/>
              </w:rPr>
            </w:pPr>
          </w:p>
        </w:tc>
        <w:tc>
          <w:tcPr>
            <w:tcW w:w="9072" w:type="dxa"/>
            <w:vMerge/>
            <w:vAlign w:val="center"/>
          </w:tcPr>
          <w:p w14:paraId="237E1CED" w14:textId="77777777" w:rsidR="004D1935" w:rsidRPr="00304F31" w:rsidRDefault="004D1935" w:rsidP="00E24DC9">
            <w:pPr>
              <w:jc w:val="center"/>
              <w:rPr>
                <w:color w:val="000000" w:themeColor="text1"/>
                <w:sz w:val="11"/>
                <w:szCs w:val="11"/>
              </w:rPr>
            </w:pPr>
          </w:p>
        </w:tc>
      </w:tr>
      <w:tr w:rsidR="004D1935" w:rsidRPr="00304F31" w14:paraId="6C653791" w14:textId="77777777" w:rsidTr="00E24DC9">
        <w:tc>
          <w:tcPr>
            <w:tcW w:w="567" w:type="dxa"/>
            <w:vMerge/>
            <w:vAlign w:val="center"/>
          </w:tcPr>
          <w:p w14:paraId="01A8E2C2" w14:textId="77777777" w:rsidR="004D1935" w:rsidRPr="00304F31" w:rsidRDefault="004D1935" w:rsidP="00E24DC9">
            <w:pPr>
              <w:jc w:val="center"/>
              <w:rPr>
                <w:sz w:val="11"/>
                <w:szCs w:val="11"/>
              </w:rPr>
            </w:pPr>
          </w:p>
        </w:tc>
        <w:tc>
          <w:tcPr>
            <w:tcW w:w="851" w:type="dxa"/>
            <w:tcBorders>
              <w:top w:val="nil"/>
              <w:bottom w:val="nil"/>
            </w:tcBorders>
            <w:vAlign w:val="center"/>
          </w:tcPr>
          <w:p w14:paraId="470FDD08" w14:textId="77777777" w:rsidR="004D1935" w:rsidRPr="00304F31" w:rsidRDefault="004D1935" w:rsidP="00E24DC9">
            <w:pPr>
              <w:jc w:val="center"/>
              <w:rPr>
                <w:sz w:val="11"/>
                <w:szCs w:val="11"/>
              </w:rPr>
            </w:pPr>
            <w:r w:rsidRPr="00304F31">
              <w:rPr>
                <w:rFonts w:ascii="Calibri" w:hAnsi="Calibri" w:cs="Calibri"/>
                <w:color w:val="000000"/>
                <w:sz w:val="11"/>
                <w:szCs w:val="11"/>
              </w:rPr>
              <w:t>307.1031</w:t>
            </w:r>
          </w:p>
        </w:tc>
        <w:tc>
          <w:tcPr>
            <w:tcW w:w="1843" w:type="dxa"/>
            <w:vMerge/>
            <w:vAlign w:val="center"/>
          </w:tcPr>
          <w:p w14:paraId="469F4A5B" w14:textId="77777777" w:rsidR="004D1935" w:rsidRPr="00304F31" w:rsidRDefault="004D1935" w:rsidP="00E24DC9">
            <w:pPr>
              <w:jc w:val="center"/>
              <w:rPr>
                <w:color w:val="000000" w:themeColor="text1"/>
                <w:sz w:val="11"/>
                <w:szCs w:val="11"/>
              </w:rPr>
            </w:pPr>
          </w:p>
        </w:tc>
        <w:tc>
          <w:tcPr>
            <w:tcW w:w="1843" w:type="dxa"/>
            <w:vMerge/>
            <w:vAlign w:val="center"/>
          </w:tcPr>
          <w:p w14:paraId="67F4712E" w14:textId="77777777" w:rsidR="004D1935" w:rsidRPr="00304F31" w:rsidRDefault="004D1935" w:rsidP="00E24DC9">
            <w:pPr>
              <w:jc w:val="center"/>
              <w:rPr>
                <w:color w:val="000000" w:themeColor="text1"/>
                <w:sz w:val="11"/>
                <w:szCs w:val="11"/>
              </w:rPr>
            </w:pPr>
          </w:p>
        </w:tc>
        <w:tc>
          <w:tcPr>
            <w:tcW w:w="1134" w:type="dxa"/>
            <w:vMerge/>
            <w:vAlign w:val="center"/>
          </w:tcPr>
          <w:p w14:paraId="27A6CFAC" w14:textId="77777777" w:rsidR="004D1935" w:rsidRPr="00304F31" w:rsidRDefault="004D1935" w:rsidP="00E24DC9">
            <w:pPr>
              <w:jc w:val="center"/>
              <w:rPr>
                <w:color w:val="000000" w:themeColor="text1"/>
                <w:sz w:val="11"/>
                <w:szCs w:val="11"/>
              </w:rPr>
            </w:pPr>
          </w:p>
        </w:tc>
        <w:tc>
          <w:tcPr>
            <w:tcW w:w="9072" w:type="dxa"/>
            <w:vMerge/>
            <w:vAlign w:val="center"/>
          </w:tcPr>
          <w:p w14:paraId="4579CAC8" w14:textId="77777777" w:rsidR="004D1935" w:rsidRPr="00304F31" w:rsidRDefault="004D1935" w:rsidP="00E24DC9">
            <w:pPr>
              <w:jc w:val="center"/>
              <w:rPr>
                <w:color w:val="000000" w:themeColor="text1"/>
                <w:sz w:val="11"/>
                <w:szCs w:val="11"/>
              </w:rPr>
            </w:pPr>
          </w:p>
        </w:tc>
      </w:tr>
      <w:tr w:rsidR="004D1935" w:rsidRPr="00304F31" w14:paraId="55AA2007" w14:textId="77777777" w:rsidTr="00E24DC9">
        <w:tc>
          <w:tcPr>
            <w:tcW w:w="567" w:type="dxa"/>
            <w:vMerge/>
            <w:vAlign w:val="center"/>
          </w:tcPr>
          <w:p w14:paraId="02119883" w14:textId="77777777" w:rsidR="004D1935" w:rsidRPr="00304F31" w:rsidRDefault="004D1935" w:rsidP="00E24DC9">
            <w:pPr>
              <w:jc w:val="center"/>
              <w:rPr>
                <w:sz w:val="11"/>
                <w:szCs w:val="11"/>
              </w:rPr>
            </w:pPr>
          </w:p>
        </w:tc>
        <w:tc>
          <w:tcPr>
            <w:tcW w:w="851" w:type="dxa"/>
            <w:tcBorders>
              <w:top w:val="nil"/>
              <w:bottom w:val="nil"/>
            </w:tcBorders>
            <w:vAlign w:val="center"/>
          </w:tcPr>
          <w:p w14:paraId="78147D2D" w14:textId="77777777" w:rsidR="004D1935" w:rsidRPr="00304F31" w:rsidRDefault="004D1935" w:rsidP="00E24DC9">
            <w:pPr>
              <w:jc w:val="center"/>
              <w:rPr>
                <w:sz w:val="11"/>
                <w:szCs w:val="11"/>
              </w:rPr>
            </w:pPr>
            <w:r w:rsidRPr="00304F31">
              <w:rPr>
                <w:rFonts w:ascii="Calibri" w:hAnsi="Calibri" w:cs="Calibri"/>
                <w:color w:val="000000"/>
                <w:sz w:val="11"/>
                <w:szCs w:val="11"/>
              </w:rPr>
              <w:t>307.1925</w:t>
            </w:r>
          </w:p>
        </w:tc>
        <w:tc>
          <w:tcPr>
            <w:tcW w:w="1843" w:type="dxa"/>
            <w:vMerge/>
            <w:vAlign w:val="center"/>
          </w:tcPr>
          <w:p w14:paraId="45133244" w14:textId="77777777" w:rsidR="004D1935" w:rsidRPr="00304F31" w:rsidRDefault="004D1935" w:rsidP="00E24DC9">
            <w:pPr>
              <w:jc w:val="center"/>
              <w:rPr>
                <w:color w:val="000000" w:themeColor="text1"/>
                <w:sz w:val="11"/>
                <w:szCs w:val="11"/>
              </w:rPr>
            </w:pPr>
          </w:p>
        </w:tc>
        <w:tc>
          <w:tcPr>
            <w:tcW w:w="1843" w:type="dxa"/>
            <w:vMerge/>
            <w:vAlign w:val="center"/>
          </w:tcPr>
          <w:p w14:paraId="0C7C427B" w14:textId="77777777" w:rsidR="004D1935" w:rsidRPr="00304F31" w:rsidRDefault="004D1935" w:rsidP="00E24DC9">
            <w:pPr>
              <w:jc w:val="center"/>
              <w:rPr>
                <w:color w:val="000000" w:themeColor="text1"/>
                <w:sz w:val="11"/>
                <w:szCs w:val="11"/>
              </w:rPr>
            </w:pPr>
          </w:p>
        </w:tc>
        <w:tc>
          <w:tcPr>
            <w:tcW w:w="1134" w:type="dxa"/>
            <w:vMerge/>
            <w:vAlign w:val="center"/>
          </w:tcPr>
          <w:p w14:paraId="160F321E" w14:textId="77777777" w:rsidR="004D1935" w:rsidRPr="00304F31" w:rsidRDefault="004D1935" w:rsidP="00E24DC9">
            <w:pPr>
              <w:jc w:val="center"/>
              <w:rPr>
                <w:color w:val="000000" w:themeColor="text1"/>
                <w:sz w:val="11"/>
                <w:szCs w:val="11"/>
              </w:rPr>
            </w:pPr>
          </w:p>
        </w:tc>
        <w:tc>
          <w:tcPr>
            <w:tcW w:w="9072" w:type="dxa"/>
            <w:vMerge/>
            <w:vAlign w:val="center"/>
          </w:tcPr>
          <w:p w14:paraId="60025CAC" w14:textId="77777777" w:rsidR="004D1935" w:rsidRPr="00304F31" w:rsidRDefault="004D1935" w:rsidP="00E24DC9">
            <w:pPr>
              <w:jc w:val="center"/>
              <w:rPr>
                <w:color w:val="000000" w:themeColor="text1"/>
                <w:sz w:val="11"/>
                <w:szCs w:val="11"/>
              </w:rPr>
            </w:pPr>
          </w:p>
        </w:tc>
      </w:tr>
      <w:tr w:rsidR="004D1935" w:rsidRPr="00304F31" w14:paraId="6C4B73FD" w14:textId="77777777" w:rsidTr="00E24DC9">
        <w:tc>
          <w:tcPr>
            <w:tcW w:w="567" w:type="dxa"/>
            <w:vMerge/>
            <w:vAlign w:val="center"/>
          </w:tcPr>
          <w:p w14:paraId="7A9B9BCF" w14:textId="77777777" w:rsidR="004D1935" w:rsidRPr="00304F31" w:rsidRDefault="004D1935" w:rsidP="00E24DC9">
            <w:pPr>
              <w:jc w:val="center"/>
              <w:rPr>
                <w:sz w:val="11"/>
                <w:szCs w:val="11"/>
              </w:rPr>
            </w:pPr>
          </w:p>
        </w:tc>
        <w:tc>
          <w:tcPr>
            <w:tcW w:w="851" w:type="dxa"/>
            <w:tcBorders>
              <w:top w:val="nil"/>
              <w:bottom w:val="nil"/>
            </w:tcBorders>
            <w:vAlign w:val="center"/>
          </w:tcPr>
          <w:p w14:paraId="3EB54A49" w14:textId="77777777" w:rsidR="004D1935" w:rsidRPr="00304F31" w:rsidRDefault="004D1935" w:rsidP="00E24DC9">
            <w:pPr>
              <w:jc w:val="center"/>
              <w:rPr>
                <w:sz w:val="11"/>
                <w:szCs w:val="11"/>
              </w:rPr>
            </w:pPr>
            <w:r w:rsidRPr="00304F31">
              <w:rPr>
                <w:rFonts w:ascii="Calibri" w:hAnsi="Calibri" w:cs="Calibri"/>
                <w:color w:val="000000"/>
                <w:sz w:val="11"/>
                <w:szCs w:val="11"/>
              </w:rPr>
              <w:t>307.2385</w:t>
            </w:r>
          </w:p>
        </w:tc>
        <w:tc>
          <w:tcPr>
            <w:tcW w:w="1843" w:type="dxa"/>
            <w:vMerge/>
            <w:vAlign w:val="center"/>
          </w:tcPr>
          <w:p w14:paraId="4BEFB68C" w14:textId="77777777" w:rsidR="004D1935" w:rsidRPr="00304F31" w:rsidRDefault="004D1935" w:rsidP="00E24DC9">
            <w:pPr>
              <w:jc w:val="center"/>
              <w:rPr>
                <w:color w:val="000000" w:themeColor="text1"/>
                <w:sz w:val="11"/>
                <w:szCs w:val="11"/>
              </w:rPr>
            </w:pPr>
          </w:p>
        </w:tc>
        <w:tc>
          <w:tcPr>
            <w:tcW w:w="1843" w:type="dxa"/>
            <w:vMerge/>
            <w:vAlign w:val="center"/>
          </w:tcPr>
          <w:p w14:paraId="463B0581" w14:textId="77777777" w:rsidR="004D1935" w:rsidRPr="00304F31" w:rsidRDefault="004D1935" w:rsidP="00E24DC9">
            <w:pPr>
              <w:jc w:val="center"/>
              <w:rPr>
                <w:color w:val="000000" w:themeColor="text1"/>
                <w:sz w:val="11"/>
                <w:szCs w:val="11"/>
              </w:rPr>
            </w:pPr>
          </w:p>
        </w:tc>
        <w:tc>
          <w:tcPr>
            <w:tcW w:w="1134" w:type="dxa"/>
            <w:vMerge/>
            <w:vAlign w:val="center"/>
          </w:tcPr>
          <w:p w14:paraId="614F0E3D" w14:textId="77777777" w:rsidR="004D1935" w:rsidRPr="00304F31" w:rsidRDefault="004D1935" w:rsidP="00E24DC9">
            <w:pPr>
              <w:jc w:val="center"/>
              <w:rPr>
                <w:color w:val="000000" w:themeColor="text1"/>
                <w:sz w:val="11"/>
                <w:szCs w:val="11"/>
              </w:rPr>
            </w:pPr>
          </w:p>
        </w:tc>
        <w:tc>
          <w:tcPr>
            <w:tcW w:w="9072" w:type="dxa"/>
            <w:vMerge/>
            <w:vAlign w:val="center"/>
          </w:tcPr>
          <w:p w14:paraId="30E214F9" w14:textId="77777777" w:rsidR="004D1935" w:rsidRPr="00304F31" w:rsidRDefault="004D1935" w:rsidP="00E24DC9">
            <w:pPr>
              <w:jc w:val="center"/>
              <w:rPr>
                <w:color w:val="000000" w:themeColor="text1"/>
                <w:sz w:val="11"/>
                <w:szCs w:val="11"/>
              </w:rPr>
            </w:pPr>
          </w:p>
        </w:tc>
      </w:tr>
      <w:tr w:rsidR="004D1935" w:rsidRPr="00304F31" w14:paraId="2E9D899C" w14:textId="77777777" w:rsidTr="00E24DC9">
        <w:tc>
          <w:tcPr>
            <w:tcW w:w="567" w:type="dxa"/>
            <w:vMerge/>
            <w:vAlign w:val="center"/>
          </w:tcPr>
          <w:p w14:paraId="25ADA174" w14:textId="77777777" w:rsidR="004D1935" w:rsidRPr="00304F31" w:rsidRDefault="004D1935" w:rsidP="00E24DC9">
            <w:pPr>
              <w:jc w:val="center"/>
              <w:rPr>
                <w:sz w:val="11"/>
                <w:szCs w:val="11"/>
              </w:rPr>
            </w:pPr>
          </w:p>
        </w:tc>
        <w:tc>
          <w:tcPr>
            <w:tcW w:w="851" w:type="dxa"/>
            <w:tcBorders>
              <w:top w:val="nil"/>
              <w:bottom w:val="nil"/>
            </w:tcBorders>
            <w:vAlign w:val="center"/>
          </w:tcPr>
          <w:p w14:paraId="1117B264" w14:textId="77777777" w:rsidR="004D1935" w:rsidRPr="00304F31" w:rsidRDefault="004D1935" w:rsidP="00E24DC9">
            <w:pPr>
              <w:jc w:val="center"/>
              <w:rPr>
                <w:sz w:val="11"/>
                <w:szCs w:val="11"/>
              </w:rPr>
            </w:pPr>
            <w:r w:rsidRPr="00304F31">
              <w:rPr>
                <w:rFonts w:ascii="Calibri" w:hAnsi="Calibri" w:cs="Calibri"/>
                <w:color w:val="000000"/>
                <w:sz w:val="11"/>
                <w:szCs w:val="11"/>
              </w:rPr>
              <w:t>307.2973</w:t>
            </w:r>
          </w:p>
        </w:tc>
        <w:tc>
          <w:tcPr>
            <w:tcW w:w="1843" w:type="dxa"/>
            <w:vMerge/>
            <w:vAlign w:val="center"/>
          </w:tcPr>
          <w:p w14:paraId="5523523C" w14:textId="77777777" w:rsidR="004D1935" w:rsidRPr="00304F31" w:rsidRDefault="004D1935" w:rsidP="00E24DC9">
            <w:pPr>
              <w:jc w:val="center"/>
              <w:rPr>
                <w:color w:val="000000" w:themeColor="text1"/>
                <w:sz w:val="11"/>
                <w:szCs w:val="11"/>
              </w:rPr>
            </w:pPr>
          </w:p>
        </w:tc>
        <w:tc>
          <w:tcPr>
            <w:tcW w:w="1843" w:type="dxa"/>
            <w:vMerge/>
            <w:vAlign w:val="center"/>
          </w:tcPr>
          <w:p w14:paraId="4716B292" w14:textId="77777777" w:rsidR="004D1935" w:rsidRPr="00304F31" w:rsidRDefault="004D1935" w:rsidP="00E24DC9">
            <w:pPr>
              <w:jc w:val="center"/>
              <w:rPr>
                <w:color w:val="000000" w:themeColor="text1"/>
                <w:sz w:val="11"/>
                <w:szCs w:val="11"/>
              </w:rPr>
            </w:pPr>
          </w:p>
        </w:tc>
        <w:tc>
          <w:tcPr>
            <w:tcW w:w="1134" w:type="dxa"/>
            <w:vMerge/>
            <w:vAlign w:val="center"/>
          </w:tcPr>
          <w:p w14:paraId="4CCD5EA9" w14:textId="77777777" w:rsidR="004D1935" w:rsidRPr="00304F31" w:rsidRDefault="004D1935" w:rsidP="00E24DC9">
            <w:pPr>
              <w:jc w:val="center"/>
              <w:rPr>
                <w:color w:val="000000" w:themeColor="text1"/>
                <w:sz w:val="11"/>
                <w:szCs w:val="11"/>
              </w:rPr>
            </w:pPr>
          </w:p>
        </w:tc>
        <w:tc>
          <w:tcPr>
            <w:tcW w:w="9072" w:type="dxa"/>
            <w:vMerge/>
            <w:vAlign w:val="center"/>
          </w:tcPr>
          <w:p w14:paraId="7DB54824" w14:textId="77777777" w:rsidR="004D1935" w:rsidRPr="00304F31" w:rsidRDefault="004D1935" w:rsidP="00E24DC9">
            <w:pPr>
              <w:jc w:val="center"/>
              <w:rPr>
                <w:color w:val="000000" w:themeColor="text1"/>
                <w:sz w:val="11"/>
                <w:szCs w:val="11"/>
              </w:rPr>
            </w:pPr>
          </w:p>
        </w:tc>
      </w:tr>
      <w:tr w:rsidR="004D1935" w:rsidRPr="00304F31" w14:paraId="202D6255" w14:textId="77777777" w:rsidTr="00E24DC9">
        <w:tc>
          <w:tcPr>
            <w:tcW w:w="567" w:type="dxa"/>
            <w:vMerge/>
            <w:vAlign w:val="center"/>
          </w:tcPr>
          <w:p w14:paraId="6CB4FB50" w14:textId="77777777" w:rsidR="004D1935" w:rsidRPr="00304F31" w:rsidRDefault="004D1935" w:rsidP="00E24DC9">
            <w:pPr>
              <w:jc w:val="center"/>
              <w:rPr>
                <w:sz w:val="11"/>
                <w:szCs w:val="11"/>
              </w:rPr>
            </w:pPr>
          </w:p>
        </w:tc>
        <w:tc>
          <w:tcPr>
            <w:tcW w:w="851" w:type="dxa"/>
            <w:tcBorders>
              <w:top w:val="nil"/>
              <w:bottom w:val="nil"/>
            </w:tcBorders>
            <w:vAlign w:val="center"/>
          </w:tcPr>
          <w:p w14:paraId="761A1D80" w14:textId="77777777" w:rsidR="004D1935" w:rsidRPr="00304F31" w:rsidRDefault="004D1935" w:rsidP="00E24DC9">
            <w:pPr>
              <w:jc w:val="center"/>
              <w:rPr>
                <w:sz w:val="11"/>
                <w:szCs w:val="11"/>
              </w:rPr>
            </w:pPr>
            <w:r w:rsidRPr="00304F31">
              <w:rPr>
                <w:rFonts w:ascii="Calibri" w:hAnsi="Calibri" w:cs="Calibri"/>
                <w:color w:val="000000"/>
                <w:sz w:val="11"/>
                <w:szCs w:val="11"/>
              </w:rPr>
              <w:t>307.1133</w:t>
            </w:r>
          </w:p>
        </w:tc>
        <w:tc>
          <w:tcPr>
            <w:tcW w:w="1843" w:type="dxa"/>
            <w:vMerge/>
            <w:vAlign w:val="center"/>
          </w:tcPr>
          <w:p w14:paraId="62EAB800" w14:textId="77777777" w:rsidR="004D1935" w:rsidRPr="00304F31" w:rsidRDefault="004D1935" w:rsidP="00E24DC9">
            <w:pPr>
              <w:jc w:val="center"/>
              <w:rPr>
                <w:color w:val="000000" w:themeColor="text1"/>
                <w:sz w:val="11"/>
                <w:szCs w:val="11"/>
              </w:rPr>
            </w:pPr>
          </w:p>
        </w:tc>
        <w:tc>
          <w:tcPr>
            <w:tcW w:w="1843" w:type="dxa"/>
            <w:vMerge/>
            <w:vAlign w:val="center"/>
          </w:tcPr>
          <w:p w14:paraId="61A1C59E" w14:textId="77777777" w:rsidR="004D1935" w:rsidRPr="00304F31" w:rsidRDefault="004D1935" w:rsidP="00E24DC9">
            <w:pPr>
              <w:jc w:val="center"/>
              <w:rPr>
                <w:color w:val="000000" w:themeColor="text1"/>
                <w:sz w:val="11"/>
                <w:szCs w:val="11"/>
              </w:rPr>
            </w:pPr>
          </w:p>
        </w:tc>
        <w:tc>
          <w:tcPr>
            <w:tcW w:w="1134" w:type="dxa"/>
            <w:vMerge/>
            <w:vAlign w:val="center"/>
          </w:tcPr>
          <w:p w14:paraId="162734A3" w14:textId="77777777" w:rsidR="004D1935" w:rsidRPr="00304F31" w:rsidRDefault="004D1935" w:rsidP="00E24DC9">
            <w:pPr>
              <w:jc w:val="center"/>
              <w:rPr>
                <w:color w:val="000000" w:themeColor="text1"/>
                <w:sz w:val="11"/>
                <w:szCs w:val="11"/>
              </w:rPr>
            </w:pPr>
          </w:p>
        </w:tc>
        <w:tc>
          <w:tcPr>
            <w:tcW w:w="9072" w:type="dxa"/>
            <w:vMerge/>
            <w:vAlign w:val="center"/>
          </w:tcPr>
          <w:p w14:paraId="791B1CD0" w14:textId="77777777" w:rsidR="004D1935" w:rsidRPr="00304F31" w:rsidRDefault="004D1935" w:rsidP="00E24DC9">
            <w:pPr>
              <w:jc w:val="center"/>
              <w:rPr>
                <w:color w:val="000000" w:themeColor="text1"/>
                <w:sz w:val="11"/>
                <w:szCs w:val="11"/>
              </w:rPr>
            </w:pPr>
          </w:p>
        </w:tc>
      </w:tr>
      <w:tr w:rsidR="004D1935" w:rsidRPr="00304F31" w14:paraId="19601AA5" w14:textId="77777777" w:rsidTr="00E24DC9">
        <w:tc>
          <w:tcPr>
            <w:tcW w:w="567" w:type="dxa"/>
            <w:vMerge/>
            <w:vAlign w:val="center"/>
          </w:tcPr>
          <w:p w14:paraId="082219A5" w14:textId="77777777" w:rsidR="004D1935" w:rsidRPr="00304F31" w:rsidRDefault="004D1935" w:rsidP="00E24DC9">
            <w:pPr>
              <w:jc w:val="center"/>
              <w:rPr>
                <w:sz w:val="11"/>
                <w:szCs w:val="11"/>
              </w:rPr>
            </w:pPr>
          </w:p>
        </w:tc>
        <w:tc>
          <w:tcPr>
            <w:tcW w:w="851" w:type="dxa"/>
            <w:tcBorders>
              <w:top w:val="nil"/>
              <w:bottom w:val="nil"/>
            </w:tcBorders>
            <w:vAlign w:val="center"/>
          </w:tcPr>
          <w:p w14:paraId="1F3E7C5A" w14:textId="77777777" w:rsidR="004D1935" w:rsidRPr="00304F31" w:rsidRDefault="004D1935" w:rsidP="00E24DC9">
            <w:pPr>
              <w:jc w:val="center"/>
              <w:rPr>
                <w:sz w:val="11"/>
                <w:szCs w:val="11"/>
              </w:rPr>
            </w:pPr>
            <w:r w:rsidRPr="00304F31">
              <w:rPr>
                <w:rFonts w:ascii="Calibri" w:hAnsi="Calibri" w:cs="Calibri"/>
                <w:color w:val="000000"/>
                <w:sz w:val="11"/>
                <w:szCs w:val="11"/>
              </w:rPr>
              <w:t>307.1900</w:t>
            </w:r>
          </w:p>
        </w:tc>
        <w:tc>
          <w:tcPr>
            <w:tcW w:w="1843" w:type="dxa"/>
            <w:vMerge/>
            <w:vAlign w:val="center"/>
          </w:tcPr>
          <w:p w14:paraId="3B353F05" w14:textId="77777777" w:rsidR="004D1935" w:rsidRPr="00304F31" w:rsidRDefault="004D1935" w:rsidP="00E24DC9">
            <w:pPr>
              <w:jc w:val="center"/>
              <w:rPr>
                <w:color w:val="000000" w:themeColor="text1"/>
                <w:sz w:val="11"/>
                <w:szCs w:val="11"/>
              </w:rPr>
            </w:pPr>
          </w:p>
        </w:tc>
        <w:tc>
          <w:tcPr>
            <w:tcW w:w="1843" w:type="dxa"/>
            <w:vMerge/>
            <w:vAlign w:val="center"/>
          </w:tcPr>
          <w:p w14:paraId="04BF70BF" w14:textId="77777777" w:rsidR="004D1935" w:rsidRPr="00304F31" w:rsidRDefault="004D1935" w:rsidP="00E24DC9">
            <w:pPr>
              <w:jc w:val="center"/>
              <w:rPr>
                <w:color w:val="000000" w:themeColor="text1"/>
                <w:sz w:val="11"/>
                <w:szCs w:val="11"/>
              </w:rPr>
            </w:pPr>
          </w:p>
        </w:tc>
        <w:tc>
          <w:tcPr>
            <w:tcW w:w="1134" w:type="dxa"/>
            <w:vMerge/>
            <w:vAlign w:val="center"/>
          </w:tcPr>
          <w:p w14:paraId="3F54FF44" w14:textId="77777777" w:rsidR="004D1935" w:rsidRPr="00304F31" w:rsidRDefault="004D1935" w:rsidP="00E24DC9">
            <w:pPr>
              <w:jc w:val="center"/>
              <w:rPr>
                <w:color w:val="000000" w:themeColor="text1"/>
                <w:sz w:val="11"/>
                <w:szCs w:val="11"/>
              </w:rPr>
            </w:pPr>
          </w:p>
        </w:tc>
        <w:tc>
          <w:tcPr>
            <w:tcW w:w="9072" w:type="dxa"/>
            <w:vMerge/>
            <w:vAlign w:val="center"/>
          </w:tcPr>
          <w:p w14:paraId="3AD1B02A" w14:textId="77777777" w:rsidR="004D1935" w:rsidRPr="00304F31" w:rsidRDefault="004D1935" w:rsidP="00E24DC9">
            <w:pPr>
              <w:jc w:val="center"/>
              <w:rPr>
                <w:color w:val="000000" w:themeColor="text1"/>
                <w:sz w:val="11"/>
                <w:szCs w:val="11"/>
              </w:rPr>
            </w:pPr>
          </w:p>
        </w:tc>
      </w:tr>
      <w:tr w:rsidR="004D1935" w:rsidRPr="00304F31" w14:paraId="555C9BC4" w14:textId="77777777" w:rsidTr="00E24DC9">
        <w:tc>
          <w:tcPr>
            <w:tcW w:w="567" w:type="dxa"/>
            <w:vMerge/>
            <w:vAlign w:val="center"/>
          </w:tcPr>
          <w:p w14:paraId="16EAE830" w14:textId="77777777" w:rsidR="004D1935" w:rsidRPr="00304F31" w:rsidRDefault="004D1935" w:rsidP="00E24DC9">
            <w:pPr>
              <w:jc w:val="center"/>
              <w:rPr>
                <w:sz w:val="11"/>
                <w:szCs w:val="11"/>
              </w:rPr>
            </w:pPr>
          </w:p>
        </w:tc>
        <w:tc>
          <w:tcPr>
            <w:tcW w:w="851" w:type="dxa"/>
            <w:tcBorders>
              <w:top w:val="nil"/>
              <w:bottom w:val="nil"/>
            </w:tcBorders>
            <w:vAlign w:val="center"/>
          </w:tcPr>
          <w:p w14:paraId="4CDA2E69" w14:textId="77777777" w:rsidR="004D1935" w:rsidRPr="00304F31" w:rsidRDefault="004D1935" w:rsidP="00E24DC9">
            <w:pPr>
              <w:jc w:val="center"/>
              <w:rPr>
                <w:sz w:val="11"/>
                <w:szCs w:val="11"/>
              </w:rPr>
            </w:pPr>
            <w:r w:rsidRPr="00304F31">
              <w:rPr>
                <w:rFonts w:ascii="Calibri" w:hAnsi="Calibri" w:cs="Calibri"/>
                <w:color w:val="000000"/>
                <w:sz w:val="11"/>
                <w:szCs w:val="11"/>
              </w:rPr>
              <w:t>307.1287</w:t>
            </w:r>
          </w:p>
        </w:tc>
        <w:tc>
          <w:tcPr>
            <w:tcW w:w="1843" w:type="dxa"/>
            <w:vMerge/>
            <w:vAlign w:val="center"/>
          </w:tcPr>
          <w:p w14:paraId="69335C17" w14:textId="77777777" w:rsidR="004D1935" w:rsidRPr="00304F31" w:rsidRDefault="004D1935" w:rsidP="00E24DC9">
            <w:pPr>
              <w:jc w:val="center"/>
              <w:rPr>
                <w:color w:val="000000" w:themeColor="text1"/>
                <w:sz w:val="11"/>
                <w:szCs w:val="11"/>
              </w:rPr>
            </w:pPr>
          </w:p>
        </w:tc>
        <w:tc>
          <w:tcPr>
            <w:tcW w:w="1843" w:type="dxa"/>
            <w:vMerge/>
            <w:vAlign w:val="center"/>
          </w:tcPr>
          <w:p w14:paraId="7260D869" w14:textId="77777777" w:rsidR="004D1935" w:rsidRPr="00304F31" w:rsidRDefault="004D1935" w:rsidP="00E24DC9">
            <w:pPr>
              <w:jc w:val="center"/>
              <w:rPr>
                <w:color w:val="000000" w:themeColor="text1"/>
                <w:sz w:val="11"/>
                <w:szCs w:val="11"/>
              </w:rPr>
            </w:pPr>
          </w:p>
        </w:tc>
        <w:tc>
          <w:tcPr>
            <w:tcW w:w="1134" w:type="dxa"/>
            <w:vMerge/>
            <w:vAlign w:val="center"/>
          </w:tcPr>
          <w:p w14:paraId="085B303B" w14:textId="77777777" w:rsidR="004D1935" w:rsidRPr="00304F31" w:rsidRDefault="004D1935" w:rsidP="00E24DC9">
            <w:pPr>
              <w:jc w:val="center"/>
              <w:rPr>
                <w:color w:val="000000" w:themeColor="text1"/>
                <w:sz w:val="11"/>
                <w:szCs w:val="11"/>
              </w:rPr>
            </w:pPr>
          </w:p>
        </w:tc>
        <w:tc>
          <w:tcPr>
            <w:tcW w:w="9072" w:type="dxa"/>
            <w:vMerge/>
            <w:vAlign w:val="center"/>
          </w:tcPr>
          <w:p w14:paraId="2D55F31E" w14:textId="77777777" w:rsidR="004D1935" w:rsidRPr="00304F31" w:rsidRDefault="004D1935" w:rsidP="00E24DC9">
            <w:pPr>
              <w:jc w:val="center"/>
              <w:rPr>
                <w:color w:val="000000" w:themeColor="text1"/>
                <w:sz w:val="11"/>
                <w:szCs w:val="11"/>
              </w:rPr>
            </w:pPr>
          </w:p>
        </w:tc>
      </w:tr>
      <w:tr w:rsidR="004D1935" w:rsidRPr="00304F31" w14:paraId="0915CDFD" w14:textId="77777777" w:rsidTr="00E24DC9">
        <w:tc>
          <w:tcPr>
            <w:tcW w:w="567" w:type="dxa"/>
            <w:vMerge/>
            <w:vAlign w:val="center"/>
          </w:tcPr>
          <w:p w14:paraId="5CD08E2F" w14:textId="77777777" w:rsidR="004D1935" w:rsidRPr="00304F31" w:rsidRDefault="004D1935" w:rsidP="00E24DC9">
            <w:pPr>
              <w:jc w:val="center"/>
              <w:rPr>
                <w:sz w:val="11"/>
                <w:szCs w:val="11"/>
              </w:rPr>
            </w:pPr>
          </w:p>
        </w:tc>
        <w:tc>
          <w:tcPr>
            <w:tcW w:w="851" w:type="dxa"/>
            <w:tcBorders>
              <w:top w:val="nil"/>
              <w:bottom w:val="single" w:sz="4" w:space="0" w:color="auto"/>
            </w:tcBorders>
            <w:vAlign w:val="center"/>
          </w:tcPr>
          <w:p w14:paraId="47EB9510" w14:textId="77777777" w:rsidR="004D1935" w:rsidRPr="00304F31" w:rsidRDefault="004D1935" w:rsidP="00E24DC9">
            <w:pPr>
              <w:jc w:val="center"/>
              <w:rPr>
                <w:sz w:val="11"/>
                <w:szCs w:val="11"/>
              </w:rPr>
            </w:pPr>
            <w:r w:rsidRPr="00304F31">
              <w:rPr>
                <w:rFonts w:ascii="Calibri" w:hAnsi="Calibri" w:cs="Calibri"/>
                <w:color w:val="000000"/>
                <w:sz w:val="11"/>
                <w:szCs w:val="11"/>
              </w:rPr>
              <w:t>307.1963</w:t>
            </w:r>
          </w:p>
        </w:tc>
        <w:tc>
          <w:tcPr>
            <w:tcW w:w="1843" w:type="dxa"/>
            <w:vMerge/>
            <w:vAlign w:val="center"/>
          </w:tcPr>
          <w:p w14:paraId="33C2678C" w14:textId="77777777" w:rsidR="004D1935" w:rsidRPr="00304F31" w:rsidRDefault="004D1935" w:rsidP="00E24DC9">
            <w:pPr>
              <w:jc w:val="center"/>
              <w:rPr>
                <w:color w:val="000000" w:themeColor="text1"/>
                <w:sz w:val="11"/>
                <w:szCs w:val="11"/>
              </w:rPr>
            </w:pPr>
          </w:p>
        </w:tc>
        <w:tc>
          <w:tcPr>
            <w:tcW w:w="1843" w:type="dxa"/>
            <w:vMerge/>
            <w:vAlign w:val="center"/>
          </w:tcPr>
          <w:p w14:paraId="440B2C71" w14:textId="77777777" w:rsidR="004D1935" w:rsidRPr="00304F31" w:rsidRDefault="004D1935" w:rsidP="00E24DC9">
            <w:pPr>
              <w:jc w:val="center"/>
              <w:rPr>
                <w:color w:val="000000" w:themeColor="text1"/>
                <w:sz w:val="11"/>
                <w:szCs w:val="11"/>
              </w:rPr>
            </w:pPr>
          </w:p>
        </w:tc>
        <w:tc>
          <w:tcPr>
            <w:tcW w:w="1134" w:type="dxa"/>
            <w:vMerge/>
            <w:vAlign w:val="center"/>
          </w:tcPr>
          <w:p w14:paraId="7BB4C8EF" w14:textId="77777777" w:rsidR="004D1935" w:rsidRPr="00304F31" w:rsidRDefault="004D1935" w:rsidP="00E24DC9">
            <w:pPr>
              <w:jc w:val="center"/>
              <w:rPr>
                <w:color w:val="000000" w:themeColor="text1"/>
                <w:sz w:val="11"/>
                <w:szCs w:val="11"/>
              </w:rPr>
            </w:pPr>
          </w:p>
        </w:tc>
        <w:tc>
          <w:tcPr>
            <w:tcW w:w="9072" w:type="dxa"/>
            <w:vMerge/>
            <w:vAlign w:val="center"/>
          </w:tcPr>
          <w:p w14:paraId="618D6984" w14:textId="77777777" w:rsidR="004D1935" w:rsidRPr="00304F31" w:rsidRDefault="004D1935" w:rsidP="00E24DC9">
            <w:pPr>
              <w:jc w:val="center"/>
              <w:rPr>
                <w:color w:val="000000" w:themeColor="text1"/>
                <w:sz w:val="11"/>
                <w:szCs w:val="11"/>
              </w:rPr>
            </w:pPr>
          </w:p>
        </w:tc>
      </w:tr>
      <w:tr w:rsidR="004D1935" w:rsidRPr="00304F31" w14:paraId="19CEF8C9" w14:textId="77777777" w:rsidTr="00E24DC9">
        <w:tc>
          <w:tcPr>
            <w:tcW w:w="567" w:type="dxa"/>
            <w:vMerge w:val="restart"/>
            <w:vAlign w:val="center"/>
          </w:tcPr>
          <w:p w14:paraId="248C1F01" w14:textId="77777777" w:rsidR="004D1935" w:rsidRPr="00304F31" w:rsidRDefault="004D1935" w:rsidP="00E24DC9">
            <w:pPr>
              <w:jc w:val="center"/>
              <w:rPr>
                <w:sz w:val="11"/>
                <w:szCs w:val="11"/>
              </w:rPr>
            </w:pPr>
            <w:r w:rsidRPr="00304F31">
              <w:rPr>
                <w:sz w:val="11"/>
                <w:szCs w:val="11"/>
              </w:rPr>
              <w:t>H</w:t>
            </w:r>
          </w:p>
        </w:tc>
        <w:tc>
          <w:tcPr>
            <w:tcW w:w="851" w:type="dxa"/>
            <w:tcBorders>
              <w:bottom w:val="nil"/>
            </w:tcBorders>
            <w:vAlign w:val="center"/>
          </w:tcPr>
          <w:p w14:paraId="2E8E36C4" w14:textId="77777777" w:rsidR="004D1935" w:rsidRPr="00304F31" w:rsidRDefault="004D1935" w:rsidP="00E24DC9">
            <w:pPr>
              <w:jc w:val="center"/>
              <w:rPr>
                <w:sz w:val="11"/>
                <w:szCs w:val="11"/>
              </w:rPr>
            </w:pPr>
            <w:r w:rsidRPr="00304F31">
              <w:rPr>
                <w:rFonts w:ascii="Calibri" w:hAnsi="Calibri" w:cs="Calibri"/>
                <w:color w:val="000000"/>
                <w:sz w:val="11"/>
                <w:szCs w:val="11"/>
              </w:rPr>
              <w:t>306.1156</w:t>
            </w:r>
          </w:p>
        </w:tc>
        <w:tc>
          <w:tcPr>
            <w:tcW w:w="1843" w:type="dxa"/>
            <w:vMerge w:val="restart"/>
            <w:vAlign w:val="center"/>
          </w:tcPr>
          <w:p w14:paraId="20D7C908"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D-nopaline</w:t>
            </w:r>
          </w:p>
          <w:p w14:paraId="11480ADB"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(6S)-hydroxyhyoscyamine</w:t>
            </w:r>
          </w:p>
          <w:p w14:paraId="13D529F6"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dihydromonacolin L lactone</w:t>
            </w:r>
          </w:p>
        </w:tc>
        <w:tc>
          <w:tcPr>
            <w:tcW w:w="1843" w:type="dxa"/>
            <w:vMerge w:val="restart"/>
            <w:vAlign w:val="center"/>
          </w:tcPr>
          <w:p w14:paraId="73B770E5"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amino acid</w:t>
            </w:r>
          </w:p>
          <w:p w14:paraId="5F72F9AD"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alkaloids</w:t>
            </w:r>
          </w:p>
          <w:p w14:paraId="58E13EAF"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hydrocabons aromatic/ pyranon</w:t>
            </w:r>
          </w:p>
        </w:tc>
        <w:tc>
          <w:tcPr>
            <w:tcW w:w="1134" w:type="dxa"/>
            <w:vMerge w:val="restart"/>
            <w:vAlign w:val="center"/>
          </w:tcPr>
          <w:p w14:paraId="542E9B6F" w14:textId="77777777" w:rsidR="004D1935" w:rsidRPr="00304F31" w:rsidRDefault="004D1935" w:rsidP="00E24DC9">
            <w:pPr>
              <w:jc w:val="center"/>
              <w:rPr>
                <w:color w:val="000000" w:themeColor="text1"/>
                <w:sz w:val="11"/>
                <w:szCs w:val="11"/>
              </w:rPr>
            </w:pPr>
            <w:r w:rsidRPr="00304F31">
              <w:rPr>
                <w:rFonts w:ascii="Arial" w:hAnsi="Arial" w:cs="Arial"/>
                <w:color w:val="000000" w:themeColor="text1"/>
                <w:sz w:val="11"/>
                <w:szCs w:val="11"/>
                <w:shd w:val="clear" w:color="auto" w:fill="FFFFFF"/>
              </w:rPr>
              <w:t>C</w:t>
            </w:r>
            <w:r w:rsidRPr="00304F31">
              <w:rPr>
                <w:rFonts w:ascii="Arial" w:hAnsi="Arial" w:cs="Arial"/>
                <w:color w:val="000000" w:themeColor="text1"/>
                <w:sz w:val="11"/>
                <w:szCs w:val="11"/>
                <w:shd w:val="clear" w:color="auto" w:fill="FFFFFF"/>
                <w:vertAlign w:val="subscript"/>
              </w:rPr>
              <w:t>11</w:t>
            </w:r>
            <w:r w:rsidRPr="00304F31">
              <w:rPr>
                <w:rFonts w:ascii="Arial" w:hAnsi="Arial" w:cs="Arial"/>
                <w:color w:val="000000" w:themeColor="text1"/>
                <w:sz w:val="11"/>
                <w:szCs w:val="11"/>
                <w:shd w:val="clear" w:color="auto" w:fill="FFFFFF"/>
              </w:rPr>
              <w:t>H</w:t>
            </w:r>
            <w:r w:rsidRPr="00304F31">
              <w:rPr>
                <w:rFonts w:ascii="Arial" w:hAnsi="Arial" w:cs="Arial"/>
                <w:color w:val="000000" w:themeColor="text1"/>
                <w:sz w:val="11"/>
                <w:szCs w:val="11"/>
                <w:shd w:val="clear" w:color="auto" w:fill="FFFFFF"/>
                <w:vertAlign w:val="subscript"/>
              </w:rPr>
              <w:t>19</w:t>
            </w:r>
            <w:r w:rsidRPr="00304F31">
              <w:rPr>
                <w:rFonts w:ascii="Arial" w:hAnsi="Arial" w:cs="Arial"/>
                <w:color w:val="000000" w:themeColor="text1"/>
                <w:sz w:val="11"/>
                <w:szCs w:val="11"/>
                <w:shd w:val="clear" w:color="auto" w:fill="FFFFFF"/>
              </w:rPr>
              <w:t>N</w:t>
            </w:r>
            <w:r w:rsidRPr="00304F31">
              <w:rPr>
                <w:rFonts w:ascii="Arial" w:hAnsi="Arial" w:cs="Arial"/>
                <w:color w:val="000000" w:themeColor="text1"/>
                <w:sz w:val="11"/>
                <w:szCs w:val="11"/>
                <w:shd w:val="clear" w:color="auto" w:fill="FFFFFF"/>
                <w:vertAlign w:val="subscript"/>
              </w:rPr>
              <w:t>4</w:t>
            </w:r>
            <w:r w:rsidRPr="00304F31">
              <w:rPr>
                <w:rFonts w:ascii="Arial" w:hAnsi="Arial" w:cs="Arial"/>
                <w:color w:val="000000" w:themeColor="text1"/>
                <w:sz w:val="11"/>
                <w:szCs w:val="11"/>
                <w:shd w:val="clear" w:color="auto" w:fill="FFFFFF"/>
              </w:rPr>
              <w:t>O</w:t>
            </w:r>
            <w:r w:rsidRPr="00304F31">
              <w:rPr>
                <w:rFonts w:ascii="Arial" w:hAnsi="Arial" w:cs="Arial"/>
                <w:color w:val="000000" w:themeColor="text1"/>
                <w:sz w:val="11"/>
                <w:szCs w:val="11"/>
                <w:shd w:val="clear" w:color="auto" w:fill="FFFFFF"/>
                <w:vertAlign w:val="subscript"/>
              </w:rPr>
              <w:t>6</w:t>
            </w:r>
          </w:p>
          <w:p w14:paraId="1B0DE5B1" w14:textId="77777777" w:rsidR="004D1935" w:rsidRPr="00304F31" w:rsidRDefault="004D1935" w:rsidP="00E24DC9">
            <w:pPr>
              <w:jc w:val="center"/>
              <w:rPr>
                <w:rFonts w:ascii="Calibri" w:hAnsi="Calibri" w:cs="Calibri"/>
                <w:color w:val="000000" w:themeColor="text1"/>
                <w:sz w:val="11"/>
                <w:szCs w:val="11"/>
              </w:rPr>
            </w:pPr>
          </w:p>
          <w:p w14:paraId="7F316E25" w14:textId="77777777" w:rsidR="004D1935" w:rsidRPr="00304F31" w:rsidRDefault="004D1935" w:rsidP="00E24DC9">
            <w:pPr>
              <w:jc w:val="center"/>
              <w:rPr>
                <w:rFonts w:ascii="Calibri" w:hAnsi="Calibri" w:cs="Calibri"/>
                <w:color w:val="000000" w:themeColor="text1"/>
                <w:sz w:val="11"/>
                <w:szCs w:val="11"/>
              </w:rPr>
            </w:pPr>
          </w:p>
          <w:p w14:paraId="265B8026" w14:textId="77777777" w:rsidR="004D1935" w:rsidRPr="00304F31" w:rsidRDefault="004D1935" w:rsidP="00E24DC9">
            <w:pPr>
              <w:jc w:val="center"/>
              <w:rPr>
                <w:color w:val="000000" w:themeColor="text1"/>
                <w:sz w:val="11"/>
                <w:szCs w:val="11"/>
              </w:rPr>
            </w:pPr>
            <w:r w:rsidRPr="00304F31">
              <w:rPr>
                <w:rFonts w:ascii="Arial" w:hAnsi="Arial" w:cs="Arial"/>
                <w:color w:val="000000" w:themeColor="text1"/>
                <w:sz w:val="11"/>
                <w:szCs w:val="11"/>
                <w:shd w:val="clear" w:color="auto" w:fill="FFFFFF"/>
              </w:rPr>
              <w:t>C</w:t>
            </w:r>
            <w:r w:rsidRPr="00304F31">
              <w:rPr>
                <w:rFonts w:ascii="Arial" w:hAnsi="Arial" w:cs="Arial"/>
                <w:color w:val="000000" w:themeColor="text1"/>
                <w:sz w:val="11"/>
                <w:szCs w:val="11"/>
                <w:shd w:val="clear" w:color="auto" w:fill="FFFFFF"/>
                <w:vertAlign w:val="subscript"/>
              </w:rPr>
              <w:t>17</w:t>
            </w:r>
            <w:r w:rsidRPr="00304F31">
              <w:rPr>
                <w:rFonts w:ascii="Arial" w:hAnsi="Arial" w:cs="Arial"/>
                <w:color w:val="000000" w:themeColor="text1"/>
                <w:sz w:val="11"/>
                <w:szCs w:val="11"/>
                <w:shd w:val="clear" w:color="auto" w:fill="FFFFFF"/>
              </w:rPr>
              <w:t>H</w:t>
            </w:r>
            <w:r w:rsidRPr="00304F31">
              <w:rPr>
                <w:rFonts w:ascii="Arial" w:hAnsi="Arial" w:cs="Arial"/>
                <w:color w:val="000000" w:themeColor="text1"/>
                <w:sz w:val="11"/>
                <w:szCs w:val="11"/>
                <w:shd w:val="clear" w:color="auto" w:fill="FFFFFF"/>
                <w:vertAlign w:val="subscript"/>
              </w:rPr>
              <w:t>24</w:t>
            </w:r>
            <w:r w:rsidRPr="00304F31">
              <w:rPr>
                <w:rFonts w:ascii="Arial" w:hAnsi="Arial" w:cs="Arial"/>
                <w:color w:val="000000" w:themeColor="text1"/>
                <w:sz w:val="11"/>
                <w:szCs w:val="11"/>
                <w:shd w:val="clear" w:color="auto" w:fill="FFFFFF"/>
              </w:rPr>
              <w:t>NO</w:t>
            </w:r>
            <w:r w:rsidRPr="00304F31">
              <w:rPr>
                <w:rFonts w:ascii="Arial" w:hAnsi="Arial" w:cs="Arial"/>
                <w:color w:val="000000" w:themeColor="text1"/>
                <w:sz w:val="11"/>
                <w:szCs w:val="11"/>
                <w:shd w:val="clear" w:color="auto" w:fill="FFFFFF"/>
                <w:vertAlign w:val="subscript"/>
              </w:rPr>
              <w:t>4</w:t>
            </w:r>
          </w:p>
          <w:p w14:paraId="1F4FEB47" w14:textId="77777777" w:rsidR="004D1935" w:rsidRPr="00304F31" w:rsidRDefault="004D1935" w:rsidP="00E24DC9">
            <w:pPr>
              <w:jc w:val="center"/>
              <w:rPr>
                <w:rFonts w:ascii="Calibri" w:hAnsi="Calibri" w:cs="Calibri"/>
                <w:color w:val="000000" w:themeColor="text1"/>
                <w:sz w:val="11"/>
                <w:szCs w:val="11"/>
              </w:rPr>
            </w:pPr>
          </w:p>
          <w:p w14:paraId="5801C27B" w14:textId="77777777" w:rsidR="004D1935" w:rsidRPr="00304F31" w:rsidRDefault="004D1935" w:rsidP="00E24DC9">
            <w:pPr>
              <w:jc w:val="center"/>
              <w:rPr>
                <w:color w:val="000000" w:themeColor="text1"/>
                <w:sz w:val="11"/>
                <w:szCs w:val="11"/>
              </w:rPr>
            </w:pPr>
            <w:r w:rsidRPr="00304F31">
              <w:rPr>
                <w:rFonts w:ascii="Arial" w:hAnsi="Arial" w:cs="Arial"/>
                <w:color w:val="000000" w:themeColor="text1"/>
                <w:sz w:val="11"/>
                <w:szCs w:val="11"/>
                <w:shd w:val="clear" w:color="auto" w:fill="FFFFFF"/>
              </w:rPr>
              <w:t>C</w:t>
            </w:r>
            <w:r w:rsidRPr="00304F31">
              <w:rPr>
                <w:rFonts w:ascii="Arial" w:hAnsi="Arial" w:cs="Arial"/>
                <w:color w:val="000000" w:themeColor="text1"/>
                <w:sz w:val="11"/>
                <w:szCs w:val="11"/>
                <w:shd w:val="clear" w:color="auto" w:fill="FFFFFF"/>
                <w:vertAlign w:val="subscript"/>
              </w:rPr>
              <w:t>19</w:t>
            </w:r>
            <w:r w:rsidRPr="00304F31">
              <w:rPr>
                <w:rFonts w:ascii="Arial" w:hAnsi="Arial" w:cs="Arial"/>
                <w:color w:val="000000" w:themeColor="text1"/>
                <w:sz w:val="11"/>
                <w:szCs w:val="11"/>
                <w:shd w:val="clear" w:color="auto" w:fill="FFFFFF"/>
              </w:rPr>
              <w:t>H</w:t>
            </w:r>
            <w:r w:rsidRPr="00304F31">
              <w:rPr>
                <w:rFonts w:ascii="Arial" w:hAnsi="Arial" w:cs="Arial"/>
                <w:color w:val="000000" w:themeColor="text1"/>
                <w:sz w:val="11"/>
                <w:szCs w:val="11"/>
                <w:shd w:val="clear" w:color="auto" w:fill="FFFFFF"/>
                <w:vertAlign w:val="subscript"/>
              </w:rPr>
              <w:t>30</w:t>
            </w:r>
            <w:r w:rsidRPr="00304F31">
              <w:rPr>
                <w:rFonts w:ascii="Arial" w:hAnsi="Arial" w:cs="Arial"/>
                <w:color w:val="000000" w:themeColor="text1"/>
                <w:sz w:val="11"/>
                <w:szCs w:val="11"/>
                <w:shd w:val="clear" w:color="auto" w:fill="FFFFFF"/>
              </w:rPr>
              <w:t>O</w:t>
            </w:r>
            <w:r w:rsidRPr="00304F31">
              <w:rPr>
                <w:rFonts w:ascii="Arial" w:hAnsi="Arial" w:cs="Arial"/>
                <w:color w:val="000000" w:themeColor="text1"/>
                <w:sz w:val="11"/>
                <w:szCs w:val="11"/>
                <w:shd w:val="clear" w:color="auto" w:fill="FFFFFF"/>
                <w:vertAlign w:val="subscript"/>
              </w:rPr>
              <w:t>3</w:t>
            </w:r>
          </w:p>
          <w:p w14:paraId="568ED1A8" w14:textId="77777777" w:rsidR="004D1935" w:rsidRPr="00304F31" w:rsidRDefault="004D1935" w:rsidP="00E24DC9">
            <w:pPr>
              <w:jc w:val="center"/>
              <w:rPr>
                <w:color w:val="000000" w:themeColor="text1"/>
                <w:sz w:val="11"/>
                <w:szCs w:val="11"/>
              </w:rPr>
            </w:pPr>
          </w:p>
        </w:tc>
        <w:tc>
          <w:tcPr>
            <w:tcW w:w="9072" w:type="dxa"/>
            <w:vMerge w:val="restart"/>
            <w:vAlign w:val="center"/>
          </w:tcPr>
          <w:p w14:paraId="400E063A"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Arginine and proline metabolism</w:t>
            </w:r>
          </w:p>
          <w:p w14:paraId="7511C3FF"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Tropane, piperidine and pyridine alkaloid biosynthesis/jasmonic acid pathway/Riboflavin/Flavanone/Flavonoid/Abscisic acid biosynthesis/Shikimate pathway/pyrovate/pyrimidine fatty acid biosynthesis/animonsugar nuclotides sugar metabolism</w:t>
            </w:r>
          </w:p>
          <w:p w14:paraId="4599012D"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Biosynthesis of secondary metabolites - unclassified</w:t>
            </w:r>
          </w:p>
        </w:tc>
      </w:tr>
      <w:tr w:rsidR="004D1935" w:rsidRPr="00304F31" w14:paraId="1ECDD06A" w14:textId="77777777" w:rsidTr="00E24DC9">
        <w:tc>
          <w:tcPr>
            <w:tcW w:w="567" w:type="dxa"/>
            <w:vMerge/>
            <w:vAlign w:val="center"/>
          </w:tcPr>
          <w:p w14:paraId="342AFDE7" w14:textId="77777777" w:rsidR="004D1935" w:rsidRPr="00304F31" w:rsidRDefault="004D1935" w:rsidP="00E24DC9">
            <w:pPr>
              <w:jc w:val="center"/>
              <w:rPr>
                <w:sz w:val="11"/>
                <w:szCs w:val="11"/>
              </w:rPr>
            </w:pPr>
          </w:p>
        </w:tc>
        <w:tc>
          <w:tcPr>
            <w:tcW w:w="851" w:type="dxa"/>
            <w:tcBorders>
              <w:top w:val="nil"/>
              <w:bottom w:val="nil"/>
            </w:tcBorders>
            <w:vAlign w:val="center"/>
          </w:tcPr>
          <w:p w14:paraId="705B5A4F" w14:textId="77777777" w:rsidR="004D1935" w:rsidRPr="00304F31" w:rsidRDefault="004D1935" w:rsidP="00E24DC9">
            <w:pPr>
              <w:jc w:val="center"/>
              <w:rPr>
                <w:sz w:val="11"/>
                <w:szCs w:val="11"/>
              </w:rPr>
            </w:pPr>
            <w:r w:rsidRPr="00304F31">
              <w:rPr>
                <w:rFonts w:ascii="Calibri" w:hAnsi="Calibri" w:cs="Calibri"/>
                <w:color w:val="000000"/>
                <w:sz w:val="11"/>
                <w:szCs w:val="11"/>
              </w:rPr>
              <w:t>306.1539</w:t>
            </w:r>
          </w:p>
        </w:tc>
        <w:tc>
          <w:tcPr>
            <w:tcW w:w="1843" w:type="dxa"/>
            <w:vMerge/>
            <w:vAlign w:val="center"/>
          </w:tcPr>
          <w:p w14:paraId="7BA48F44" w14:textId="77777777" w:rsidR="004D1935" w:rsidRPr="00304F31" w:rsidRDefault="004D1935" w:rsidP="00E24DC9">
            <w:pPr>
              <w:jc w:val="center"/>
              <w:rPr>
                <w:color w:val="000000" w:themeColor="text1"/>
                <w:sz w:val="11"/>
                <w:szCs w:val="11"/>
              </w:rPr>
            </w:pPr>
          </w:p>
        </w:tc>
        <w:tc>
          <w:tcPr>
            <w:tcW w:w="1843" w:type="dxa"/>
            <w:vMerge/>
            <w:vAlign w:val="center"/>
          </w:tcPr>
          <w:p w14:paraId="73192C98" w14:textId="77777777" w:rsidR="004D1935" w:rsidRPr="00304F31" w:rsidRDefault="004D1935" w:rsidP="00E24DC9">
            <w:pPr>
              <w:jc w:val="center"/>
              <w:rPr>
                <w:color w:val="000000" w:themeColor="text1"/>
                <w:sz w:val="11"/>
                <w:szCs w:val="11"/>
              </w:rPr>
            </w:pPr>
          </w:p>
        </w:tc>
        <w:tc>
          <w:tcPr>
            <w:tcW w:w="1134" w:type="dxa"/>
            <w:vMerge/>
            <w:vAlign w:val="center"/>
          </w:tcPr>
          <w:p w14:paraId="27D0BE07" w14:textId="77777777" w:rsidR="004D1935" w:rsidRPr="00304F31" w:rsidRDefault="004D1935" w:rsidP="00E24DC9">
            <w:pPr>
              <w:jc w:val="center"/>
              <w:rPr>
                <w:color w:val="000000" w:themeColor="text1"/>
                <w:sz w:val="11"/>
                <w:szCs w:val="11"/>
              </w:rPr>
            </w:pPr>
          </w:p>
        </w:tc>
        <w:tc>
          <w:tcPr>
            <w:tcW w:w="9072" w:type="dxa"/>
            <w:vMerge/>
            <w:vAlign w:val="center"/>
          </w:tcPr>
          <w:p w14:paraId="0E16E14C" w14:textId="77777777" w:rsidR="004D1935" w:rsidRPr="00304F31" w:rsidRDefault="004D1935" w:rsidP="00E24DC9">
            <w:pPr>
              <w:jc w:val="center"/>
              <w:rPr>
                <w:color w:val="000000" w:themeColor="text1"/>
                <w:sz w:val="11"/>
                <w:szCs w:val="11"/>
              </w:rPr>
            </w:pPr>
          </w:p>
        </w:tc>
      </w:tr>
      <w:tr w:rsidR="004D1935" w:rsidRPr="00304F31" w14:paraId="74D4F7B4" w14:textId="77777777" w:rsidTr="00E24DC9">
        <w:tc>
          <w:tcPr>
            <w:tcW w:w="567" w:type="dxa"/>
            <w:vMerge/>
            <w:vAlign w:val="center"/>
          </w:tcPr>
          <w:p w14:paraId="58C14800" w14:textId="77777777" w:rsidR="004D1935" w:rsidRPr="00304F31" w:rsidRDefault="004D1935" w:rsidP="00E24DC9">
            <w:pPr>
              <w:jc w:val="center"/>
              <w:rPr>
                <w:sz w:val="11"/>
                <w:szCs w:val="11"/>
              </w:rPr>
            </w:pPr>
          </w:p>
        </w:tc>
        <w:tc>
          <w:tcPr>
            <w:tcW w:w="851" w:type="dxa"/>
            <w:tcBorders>
              <w:top w:val="nil"/>
              <w:bottom w:val="nil"/>
            </w:tcBorders>
            <w:vAlign w:val="center"/>
          </w:tcPr>
          <w:p w14:paraId="09F40B82" w14:textId="77777777" w:rsidR="004D1935" w:rsidRPr="00304F31" w:rsidRDefault="004D1935" w:rsidP="00E24DC9">
            <w:pPr>
              <w:jc w:val="center"/>
              <w:rPr>
                <w:sz w:val="11"/>
                <w:szCs w:val="11"/>
              </w:rPr>
            </w:pPr>
            <w:r w:rsidRPr="00304F31">
              <w:rPr>
                <w:rFonts w:ascii="Calibri" w:hAnsi="Calibri" w:cs="Calibri"/>
                <w:color w:val="000000"/>
                <w:sz w:val="11"/>
                <w:szCs w:val="11"/>
              </w:rPr>
              <w:t>306.1961</w:t>
            </w:r>
          </w:p>
        </w:tc>
        <w:tc>
          <w:tcPr>
            <w:tcW w:w="1843" w:type="dxa"/>
            <w:vMerge/>
            <w:vAlign w:val="center"/>
          </w:tcPr>
          <w:p w14:paraId="726A3617" w14:textId="77777777" w:rsidR="004D1935" w:rsidRPr="00304F31" w:rsidRDefault="004D1935" w:rsidP="00E24DC9">
            <w:pPr>
              <w:jc w:val="center"/>
              <w:rPr>
                <w:color w:val="000000" w:themeColor="text1"/>
                <w:sz w:val="11"/>
                <w:szCs w:val="11"/>
              </w:rPr>
            </w:pPr>
          </w:p>
        </w:tc>
        <w:tc>
          <w:tcPr>
            <w:tcW w:w="1843" w:type="dxa"/>
            <w:vMerge/>
            <w:vAlign w:val="center"/>
          </w:tcPr>
          <w:p w14:paraId="6FAA1593" w14:textId="77777777" w:rsidR="004D1935" w:rsidRPr="00304F31" w:rsidRDefault="004D1935" w:rsidP="00E24DC9">
            <w:pPr>
              <w:jc w:val="center"/>
              <w:rPr>
                <w:color w:val="000000" w:themeColor="text1"/>
                <w:sz w:val="11"/>
                <w:szCs w:val="11"/>
              </w:rPr>
            </w:pPr>
          </w:p>
        </w:tc>
        <w:tc>
          <w:tcPr>
            <w:tcW w:w="1134" w:type="dxa"/>
            <w:vMerge/>
            <w:vAlign w:val="center"/>
          </w:tcPr>
          <w:p w14:paraId="6B0AA71B" w14:textId="77777777" w:rsidR="004D1935" w:rsidRPr="00304F31" w:rsidRDefault="004D1935" w:rsidP="00E24DC9">
            <w:pPr>
              <w:jc w:val="center"/>
              <w:rPr>
                <w:color w:val="000000" w:themeColor="text1"/>
                <w:sz w:val="11"/>
                <w:szCs w:val="11"/>
              </w:rPr>
            </w:pPr>
          </w:p>
        </w:tc>
        <w:tc>
          <w:tcPr>
            <w:tcW w:w="9072" w:type="dxa"/>
            <w:vMerge/>
            <w:vAlign w:val="center"/>
          </w:tcPr>
          <w:p w14:paraId="12B996A5" w14:textId="77777777" w:rsidR="004D1935" w:rsidRPr="00304F31" w:rsidRDefault="004D1935" w:rsidP="00E24DC9">
            <w:pPr>
              <w:jc w:val="center"/>
              <w:rPr>
                <w:color w:val="000000" w:themeColor="text1"/>
                <w:sz w:val="11"/>
                <w:szCs w:val="11"/>
              </w:rPr>
            </w:pPr>
          </w:p>
        </w:tc>
      </w:tr>
      <w:tr w:rsidR="004D1935" w:rsidRPr="00304F31" w14:paraId="2364CF76" w14:textId="77777777" w:rsidTr="00E24DC9">
        <w:tc>
          <w:tcPr>
            <w:tcW w:w="567" w:type="dxa"/>
            <w:vMerge/>
            <w:vAlign w:val="center"/>
          </w:tcPr>
          <w:p w14:paraId="292FA456" w14:textId="77777777" w:rsidR="004D1935" w:rsidRPr="00304F31" w:rsidRDefault="004D1935" w:rsidP="00E24DC9">
            <w:pPr>
              <w:jc w:val="center"/>
              <w:rPr>
                <w:sz w:val="11"/>
                <w:szCs w:val="11"/>
              </w:rPr>
            </w:pPr>
          </w:p>
        </w:tc>
        <w:tc>
          <w:tcPr>
            <w:tcW w:w="851" w:type="dxa"/>
            <w:tcBorders>
              <w:top w:val="nil"/>
              <w:bottom w:val="nil"/>
            </w:tcBorders>
            <w:vAlign w:val="center"/>
          </w:tcPr>
          <w:p w14:paraId="23C0391B" w14:textId="77777777" w:rsidR="004D1935" w:rsidRPr="00304F31" w:rsidRDefault="004D1935" w:rsidP="00E24DC9">
            <w:pPr>
              <w:jc w:val="center"/>
              <w:rPr>
                <w:sz w:val="11"/>
                <w:szCs w:val="11"/>
              </w:rPr>
            </w:pPr>
            <w:r w:rsidRPr="00304F31">
              <w:rPr>
                <w:rFonts w:ascii="Calibri" w:hAnsi="Calibri" w:cs="Calibri"/>
                <w:color w:val="000000"/>
                <w:sz w:val="11"/>
                <w:szCs w:val="11"/>
              </w:rPr>
              <w:t>306.2383</w:t>
            </w:r>
          </w:p>
        </w:tc>
        <w:tc>
          <w:tcPr>
            <w:tcW w:w="1843" w:type="dxa"/>
            <w:vMerge/>
            <w:vAlign w:val="center"/>
          </w:tcPr>
          <w:p w14:paraId="205B8DB0" w14:textId="77777777" w:rsidR="004D1935" w:rsidRPr="00304F31" w:rsidRDefault="004D1935" w:rsidP="00E24DC9">
            <w:pPr>
              <w:jc w:val="center"/>
              <w:rPr>
                <w:color w:val="000000" w:themeColor="text1"/>
                <w:sz w:val="11"/>
                <w:szCs w:val="11"/>
              </w:rPr>
            </w:pPr>
          </w:p>
        </w:tc>
        <w:tc>
          <w:tcPr>
            <w:tcW w:w="1843" w:type="dxa"/>
            <w:vMerge/>
            <w:vAlign w:val="center"/>
          </w:tcPr>
          <w:p w14:paraId="73575A59" w14:textId="77777777" w:rsidR="004D1935" w:rsidRPr="00304F31" w:rsidRDefault="004D1935" w:rsidP="00E24DC9">
            <w:pPr>
              <w:jc w:val="center"/>
              <w:rPr>
                <w:color w:val="000000" w:themeColor="text1"/>
                <w:sz w:val="11"/>
                <w:szCs w:val="11"/>
              </w:rPr>
            </w:pPr>
          </w:p>
        </w:tc>
        <w:tc>
          <w:tcPr>
            <w:tcW w:w="1134" w:type="dxa"/>
            <w:vMerge/>
            <w:vAlign w:val="center"/>
          </w:tcPr>
          <w:p w14:paraId="7931F81F" w14:textId="77777777" w:rsidR="004D1935" w:rsidRPr="00304F31" w:rsidRDefault="004D1935" w:rsidP="00E24DC9">
            <w:pPr>
              <w:jc w:val="center"/>
              <w:rPr>
                <w:color w:val="000000" w:themeColor="text1"/>
                <w:sz w:val="11"/>
                <w:szCs w:val="11"/>
              </w:rPr>
            </w:pPr>
          </w:p>
        </w:tc>
        <w:tc>
          <w:tcPr>
            <w:tcW w:w="9072" w:type="dxa"/>
            <w:vMerge/>
            <w:vAlign w:val="center"/>
          </w:tcPr>
          <w:p w14:paraId="0D08BDC4" w14:textId="77777777" w:rsidR="004D1935" w:rsidRPr="00304F31" w:rsidRDefault="004D1935" w:rsidP="00E24DC9">
            <w:pPr>
              <w:jc w:val="center"/>
              <w:rPr>
                <w:color w:val="000000" w:themeColor="text1"/>
                <w:sz w:val="11"/>
                <w:szCs w:val="11"/>
              </w:rPr>
            </w:pPr>
          </w:p>
        </w:tc>
      </w:tr>
      <w:tr w:rsidR="004D1935" w:rsidRPr="00304F31" w14:paraId="7AEC4FB1" w14:textId="77777777" w:rsidTr="00E24DC9">
        <w:tc>
          <w:tcPr>
            <w:tcW w:w="567" w:type="dxa"/>
            <w:vMerge/>
            <w:vAlign w:val="center"/>
          </w:tcPr>
          <w:p w14:paraId="6D77B1BD" w14:textId="77777777" w:rsidR="004D1935" w:rsidRPr="00304F31" w:rsidRDefault="004D1935" w:rsidP="00E24DC9">
            <w:pPr>
              <w:jc w:val="center"/>
              <w:rPr>
                <w:sz w:val="11"/>
                <w:szCs w:val="11"/>
              </w:rPr>
            </w:pPr>
          </w:p>
        </w:tc>
        <w:tc>
          <w:tcPr>
            <w:tcW w:w="851" w:type="dxa"/>
            <w:tcBorders>
              <w:top w:val="nil"/>
              <w:bottom w:val="nil"/>
            </w:tcBorders>
            <w:vAlign w:val="center"/>
          </w:tcPr>
          <w:p w14:paraId="23EA91A1" w14:textId="77777777" w:rsidR="004D1935" w:rsidRPr="00304F31" w:rsidRDefault="004D1935" w:rsidP="00E24DC9">
            <w:pPr>
              <w:jc w:val="center"/>
              <w:rPr>
                <w:sz w:val="11"/>
                <w:szCs w:val="11"/>
              </w:rPr>
            </w:pPr>
            <w:r w:rsidRPr="00304F31">
              <w:rPr>
                <w:rFonts w:ascii="Calibri" w:hAnsi="Calibri" w:cs="Calibri"/>
                <w:color w:val="000000"/>
                <w:sz w:val="11"/>
                <w:szCs w:val="11"/>
              </w:rPr>
              <w:t>306.1182</w:t>
            </w:r>
          </w:p>
        </w:tc>
        <w:tc>
          <w:tcPr>
            <w:tcW w:w="1843" w:type="dxa"/>
            <w:vMerge/>
            <w:vAlign w:val="center"/>
          </w:tcPr>
          <w:p w14:paraId="78E18B9A" w14:textId="77777777" w:rsidR="004D1935" w:rsidRPr="00304F31" w:rsidRDefault="004D1935" w:rsidP="00E24DC9">
            <w:pPr>
              <w:jc w:val="center"/>
              <w:rPr>
                <w:color w:val="000000" w:themeColor="text1"/>
                <w:sz w:val="11"/>
                <w:szCs w:val="11"/>
              </w:rPr>
            </w:pPr>
          </w:p>
        </w:tc>
        <w:tc>
          <w:tcPr>
            <w:tcW w:w="1843" w:type="dxa"/>
            <w:vMerge/>
            <w:vAlign w:val="center"/>
          </w:tcPr>
          <w:p w14:paraId="7FB58309" w14:textId="77777777" w:rsidR="004D1935" w:rsidRPr="00304F31" w:rsidRDefault="004D1935" w:rsidP="00E24DC9">
            <w:pPr>
              <w:jc w:val="center"/>
              <w:rPr>
                <w:color w:val="000000" w:themeColor="text1"/>
                <w:sz w:val="11"/>
                <w:szCs w:val="11"/>
              </w:rPr>
            </w:pPr>
          </w:p>
        </w:tc>
        <w:tc>
          <w:tcPr>
            <w:tcW w:w="1134" w:type="dxa"/>
            <w:vMerge/>
            <w:vAlign w:val="center"/>
          </w:tcPr>
          <w:p w14:paraId="7170E647" w14:textId="77777777" w:rsidR="004D1935" w:rsidRPr="00304F31" w:rsidRDefault="004D1935" w:rsidP="00E24DC9">
            <w:pPr>
              <w:jc w:val="center"/>
              <w:rPr>
                <w:color w:val="000000" w:themeColor="text1"/>
                <w:sz w:val="11"/>
                <w:szCs w:val="11"/>
              </w:rPr>
            </w:pPr>
          </w:p>
        </w:tc>
        <w:tc>
          <w:tcPr>
            <w:tcW w:w="9072" w:type="dxa"/>
            <w:vMerge/>
            <w:vAlign w:val="center"/>
          </w:tcPr>
          <w:p w14:paraId="133F354C" w14:textId="77777777" w:rsidR="004D1935" w:rsidRPr="00304F31" w:rsidRDefault="004D1935" w:rsidP="00E24DC9">
            <w:pPr>
              <w:jc w:val="center"/>
              <w:rPr>
                <w:color w:val="000000" w:themeColor="text1"/>
                <w:sz w:val="11"/>
                <w:szCs w:val="11"/>
              </w:rPr>
            </w:pPr>
          </w:p>
        </w:tc>
      </w:tr>
      <w:tr w:rsidR="004D1935" w:rsidRPr="00304F31" w14:paraId="29730FA3" w14:textId="77777777" w:rsidTr="00E24DC9">
        <w:tc>
          <w:tcPr>
            <w:tcW w:w="567" w:type="dxa"/>
            <w:vMerge/>
            <w:vAlign w:val="center"/>
          </w:tcPr>
          <w:p w14:paraId="56BA2426" w14:textId="77777777" w:rsidR="004D1935" w:rsidRPr="00304F31" w:rsidRDefault="004D1935" w:rsidP="00E24DC9">
            <w:pPr>
              <w:jc w:val="center"/>
              <w:rPr>
                <w:sz w:val="11"/>
                <w:szCs w:val="11"/>
              </w:rPr>
            </w:pPr>
          </w:p>
        </w:tc>
        <w:tc>
          <w:tcPr>
            <w:tcW w:w="851" w:type="dxa"/>
            <w:tcBorders>
              <w:top w:val="nil"/>
              <w:bottom w:val="nil"/>
            </w:tcBorders>
            <w:vAlign w:val="center"/>
          </w:tcPr>
          <w:p w14:paraId="3E09A08B" w14:textId="77777777" w:rsidR="004D1935" w:rsidRPr="00304F31" w:rsidRDefault="004D1935" w:rsidP="00E24DC9">
            <w:pPr>
              <w:jc w:val="center"/>
              <w:rPr>
                <w:sz w:val="11"/>
                <w:szCs w:val="11"/>
              </w:rPr>
            </w:pPr>
            <w:r w:rsidRPr="00304F31">
              <w:rPr>
                <w:rFonts w:ascii="Calibri" w:hAnsi="Calibri" w:cs="Calibri"/>
                <w:color w:val="000000"/>
                <w:sz w:val="11"/>
                <w:szCs w:val="11"/>
              </w:rPr>
              <w:t>306.1974</w:t>
            </w:r>
          </w:p>
        </w:tc>
        <w:tc>
          <w:tcPr>
            <w:tcW w:w="1843" w:type="dxa"/>
            <w:vMerge/>
            <w:vAlign w:val="center"/>
          </w:tcPr>
          <w:p w14:paraId="1260CD10" w14:textId="77777777" w:rsidR="004D1935" w:rsidRPr="00304F31" w:rsidRDefault="004D1935" w:rsidP="00E24DC9">
            <w:pPr>
              <w:jc w:val="center"/>
              <w:rPr>
                <w:color w:val="000000" w:themeColor="text1"/>
                <w:sz w:val="11"/>
                <w:szCs w:val="11"/>
              </w:rPr>
            </w:pPr>
          </w:p>
        </w:tc>
        <w:tc>
          <w:tcPr>
            <w:tcW w:w="1843" w:type="dxa"/>
            <w:vMerge/>
            <w:vAlign w:val="center"/>
          </w:tcPr>
          <w:p w14:paraId="26A7AD1D" w14:textId="77777777" w:rsidR="004D1935" w:rsidRPr="00304F31" w:rsidRDefault="004D1935" w:rsidP="00E24DC9">
            <w:pPr>
              <w:jc w:val="center"/>
              <w:rPr>
                <w:color w:val="000000" w:themeColor="text1"/>
                <w:sz w:val="11"/>
                <w:szCs w:val="11"/>
              </w:rPr>
            </w:pPr>
          </w:p>
        </w:tc>
        <w:tc>
          <w:tcPr>
            <w:tcW w:w="1134" w:type="dxa"/>
            <w:vMerge/>
            <w:vAlign w:val="center"/>
          </w:tcPr>
          <w:p w14:paraId="09A90442" w14:textId="77777777" w:rsidR="004D1935" w:rsidRPr="00304F31" w:rsidRDefault="004D1935" w:rsidP="00E24DC9">
            <w:pPr>
              <w:jc w:val="center"/>
              <w:rPr>
                <w:color w:val="000000" w:themeColor="text1"/>
                <w:sz w:val="11"/>
                <w:szCs w:val="11"/>
              </w:rPr>
            </w:pPr>
          </w:p>
        </w:tc>
        <w:tc>
          <w:tcPr>
            <w:tcW w:w="9072" w:type="dxa"/>
            <w:vMerge/>
            <w:vAlign w:val="center"/>
          </w:tcPr>
          <w:p w14:paraId="34151FD5" w14:textId="77777777" w:rsidR="004D1935" w:rsidRPr="00304F31" w:rsidRDefault="004D1935" w:rsidP="00E24DC9">
            <w:pPr>
              <w:jc w:val="center"/>
              <w:rPr>
                <w:color w:val="000000" w:themeColor="text1"/>
                <w:sz w:val="11"/>
                <w:szCs w:val="11"/>
              </w:rPr>
            </w:pPr>
          </w:p>
        </w:tc>
      </w:tr>
      <w:tr w:rsidR="004D1935" w:rsidRPr="00304F31" w14:paraId="5AF90163" w14:textId="77777777" w:rsidTr="00E24DC9">
        <w:tc>
          <w:tcPr>
            <w:tcW w:w="567" w:type="dxa"/>
            <w:vMerge/>
            <w:vAlign w:val="center"/>
          </w:tcPr>
          <w:p w14:paraId="3E2BB136" w14:textId="77777777" w:rsidR="004D1935" w:rsidRPr="00304F31" w:rsidRDefault="004D1935" w:rsidP="00E24DC9">
            <w:pPr>
              <w:jc w:val="center"/>
              <w:rPr>
                <w:sz w:val="11"/>
                <w:szCs w:val="11"/>
              </w:rPr>
            </w:pPr>
          </w:p>
        </w:tc>
        <w:tc>
          <w:tcPr>
            <w:tcW w:w="851" w:type="dxa"/>
            <w:tcBorders>
              <w:top w:val="nil"/>
              <w:bottom w:val="nil"/>
            </w:tcBorders>
            <w:vAlign w:val="center"/>
          </w:tcPr>
          <w:p w14:paraId="2D3A4C05" w14:textId="77777777" w:rsidR="004D1935" w:rsidRPr="00304F31" w:rsidRDefault="004D1935" w:rsidP="00E24DC9">
            <w:pPr>
              <w:jc w:val="center"/>
              <w:rPr>
                <w:sz w:val="11"/>
                <w:szCs w:val="11"/>
              </w:rPr>
            </w:pPr>
            <w:r w:rsidRPr="00304F31">
              <w:rPr>
                <w:rFonts w:ascii="Calibri" w:hAnsi="Calibri" w:cs="Calibri"/>
                <w:color w:val="000000"/>
                <w:sz w:val="11"/>
                <w:szCs w:val="11"/>
              </w:rPr>
              <w:t>306.0952</w:t>
            </w:r>
          </w:p>
        </w:tc>
        <w:tc>
          <w:tcPr>
            <w:tcW w:w="1843" w:type="dxa"/>
            <w:vMerge/>
            <w:vAlign w:val="center"/>
          </w:tcPr>
          <w:p w14:paraId="308328C5" w14:textId="77777777" w:rsidR="004D1935" w:rsidRPr="00304F31" w:rsidRDefault="004D1935" w:rsidP="00E24DC9">
            <w:pPr>
              <w:jc w:val="center"/>
              <w:rPr>
                <w:color w:val="000000" w:themeColor="text1"/>
                <w:sz w:val="11"/>
                <w:szCs w:val="11"/>
              </w:rPr>
            </w:pPr>
          </w:p>
        </w:tc>
        <w:tc>
          <w:tcPr>
            <w:tcW w:w="1843" w:type="dxa"/>
            <w:vMerge/>
            <w:vAlign w:val="center"/>
          </w:tcPr>
          <w:p w14:paraId="32BFD5F3" w14:textId="77777777" w:rsidR="004D1935" w:rsidRPr="00304F31" w:rsidRDefault="004D1935" w:rsidP="00E24DC9">
            <w:pPr>
              <w:jc w:val="center"/>
              <w:rPr>
                <w:color w:val="000000" w:themeColor="text1"/>
                <w:sz w:val="11"/>
                <w:szCs w:val="11"/>
              </w:rPr>
            </w:pPr>
          </w:p>
        </w:tc>
        <w:tc>
          <w:tcPr>
            <w:tcW w:w="1134" w:type="dxa"/>
            <w:vMerge/>
            <w:vAlign w:val="center"/>
          </w:tcPr>
          <w:p w14:paraId="047F9097" w14:textId="77777777" w:rsidR="004D1935" w:rsidRPr="00304F31" w:rsidRDefault="004D1935" w:rsidP="00E24DC9">
            <w:pPr>
              <w:jc w:val="center"/>
              <w:rPr>
                <w:color w:val="000000" w:themeColor="text1"/>
                <w:sz w:val="11"/>
                <w:szCs w:val="11"/>
              </w:rPr>
            </w:pPr>
          </w:p>
        </w:tc>
        <w:tc>
          <w:tcPr>
            <w:tcW w:w="9072" w:type="dxa"/>
            <w:vMerge/>
            <w:vAlign w:val="center"/>
          </w:tcPr>
          <w:p w14:paraId="2CDAA502" w14:textId="77777777" w:rsidR="004D1935" w:rsidRPr="00304F31" w:rsidRDefault="004D1935" w:rsidP="00E24DC9">
            <w:pPr>
              <w:jc w:val="center"/>
              <w:rPr>
                <w:color w:val="000000" w:themeColor="text1"/>
                <w:sz w:val="11"/>
                <w:szCs w:val="11"/>
              </w:rPr>
            </w:pPr>
          </w:p>
        </w:tc>
      </w:tr>
      <w:tr w:rsidR="004D1935" w:rsidRPr="00304F31" w14:paraId="6604EA0F" w14:textId="77777777" w:rsidTr="00E24DC9">
        <w:tc>
          <w:tcPr>
            <w:tcW w:w="567" w:type="dxa"/>
            <w:vMerge/>
            <w:vAlign w:val="center"/>
          </w:tcPr>
          <w:p w14:paraId="1DB70DA1" w14:textId="77777777" w:rsidR="004D1935" w:rsidRPr="00304F31" w:rsidRDefault="004D1935" w:rsidP="00E24DC9">
            <w:pPr>
              <w:jc w:val="center"/>
              <w:rPr>
                <w:sz w:val="11"/>
                <w:szCs w:val="11"/>
              </w:rPr>
            </w:pPr>
          </w:p>
        </w:tc>
        <w:tc>
          <w:tcPr>
            <w:tcW w:w="851" w:type="dxa"/>
            <w:tcBorders>
              <w:top w:val="nil"/>
              <w:bottom w:val="nil"/>
            </w:tcBorders>
            <w:vAlign w:val="center"/>
          </w:tcPr>
          <w:p w14:paraId="1292AB17" w14:textId="77777777" w:rsidR="004D1935" w:rsidRPr="00304F31" w:rsidRDefault="004D1935" w:rsidP="00E24DC9">
            <w:pPr>
              <w:jc w:val="center"/>
              <w:rPr>
                <w:sz w:val="11"/>
                <w:szCs w:val="11"/>
              </w:rPr>
            </w:pPr>
            <w:r w:rsidRPr="00304F31">
              <w:rPr>
                <w:rFonts w:ascii="Calibri" w:hAnsi="Calibri" w:cs="Calibri"/>
                <w:color w:val="000000"/>
                <w:sz w:val="11"/>
                <w:szCs w:val="11"/>
              </w:rPr>
              <w:t>306.1846</w:t>
            </w:r>
          </w:p>
        </w:tc>
        <w:tc>
          <w:tcPr>
            <w:tcW w:w="1843" w:type="dxa"/>
            <w:vMerge/>
            <w:vAlign w:val="center"/>
          </w:tcPr>
          <w:p w14:paraId="1FBA3D6A" w14:textId="77777777" w:rsidR="004D1935" w:rsidRPr="00304F31" w:rsidRDefault="004D1935" w:rsidP="00E24DC9">
            <w:pPr>
              <w:jc w:val="center"/>
              <w:rPr>
                <w:color w:val="000000" w:themeColor="text1"/>
                <w:sz w:val="11"/>
                <w:szCs w:val="11"/>
              </w:rPr>
            </w:pPr>
          </w:p>
        </w:tc>
        <w:tc>
          <w:tcPr>
            <w:tcW w:w="1843" w:type="dxa"/>
            <w:vMerge/>
            <w:vAlign w:val="center"/>
          </w:tcPr>
          <w:p w14:paraId="46D2DDDB" w14:textId="77777777" w:rsidR="004D1935" w:rsidRPr="00304F31" w:rsidRDefault="004D1935" w:rsidP="00E24DC9">
            <w:pPr>
              <w:jc w:val="center"/>
              <w:rPr>
                <w:color w:val="000000" w:themeColor="text1"/>
                <w:sz w:val="11"/>
                <w:szCs w:val="11"/>
              </w:rPr>
            </w:pPr>
          </w:p>
        </w:tc>
        <w:tc>
          <w:tcPr>
            <w:tcW w:w="1134" w:type="dxa"/>
            <w:vMerge/>
            <w:vAlign w:val="center"/>
          </w:tcPr>
          <w:p w14:paraId="2295E5F0" w14:textId="77777777" w:rsidR="004D1935" w:rsidRPr="00304F31" w:rsidRDefault="004D1935" w:rsidP="00E24DC9">
            <w:pPr>
              <w:jc w:val="center"/>
              <w:rPr>
                <w:color w:val="000000" w:themeColor="text1"/>
                <w:sz w:val="11"/>
                <w:szCs w:val="11"/>
              </w:rPr>
            </w:pPr>
          </w:p>
        </w:tc>
        <w:tc>
          <w:tcPr>
            <w:tcW w:w="9072" w:type="dxa"/>
            <w:vMerge/>
            <w:vAlign w:val="center"/>
          </w:tcPr>
          <w:p w14:paraId="6BA2F7AF" w14:textId="77777777" w:rsidR="004D1935" w:rsidRPr="00304F31" w:rsidRDefault="004D1935" w:rsidP="00E24DC9">
            <w:pPr>
              <w:jc w:val="center"/>
              <w:rPr>
                <w:color w:val="000000" w:themeColor="text1"/>
                <w:sz w:val="11"/>
                <w:szCs w:val="11"/>
              </w:rPr>
            </w:pPr>
          </w:p>
        </w:tc>
      </w:tr>
      <w:tr w:rsidR="004D1935" w:rsidRPr="00304F31" w14:paraId="4157790D" w14:textId="77777777" w:rsidTr="00E24DC9">
        <w:tc>
          <w:tcPr>
            <w:tcW w:w="567" w:type="dxa"/>
            <w:vMerge/>
            <w:vAlign w:val="center"/>
          </w:tcPr>
          <w:p w14:paraId="65943A75" w14:textId="77777777" w:rsidR="004D1935" w:rsidRPr="00304F31" w:rsidRDefault="004D1935" w:rsidP="00E24DC9">
            <w:pPr>
              <w:jc w:val="center"/>
              <w:rPr>
                <w:sz w:val="11"/>
                <w:szCs w:val="11"/>
              </w:rPr>
            </w:pPr>
          </w:p>
        </w:tc>
        <w:tc>
          <w:tcPr>
            <w:tcW w:w="851" w:type="dxa"/>
            <w:tcBorders>
              <w:top w:val="nil"/>
              <w:bottom w:val="nil"/>
            </w:tcBorders>
            <w:vAlign w:val="center"/>
          </w:tcPr>
          <w:p w14:paraId="029381C2" w14:textId="77777777" w:rsidR="004D1935" w:rsidRPr="00304F31" w:rsidRDefault="004D1935" w:rsidP="00E24DC9">
            <w:pPr>
              <w:jc w:val="center"/>
              <w:rPr>
                <w:sz w:val="11"/>
                <w:szCs w:val="11"/>
              </w:rPr>
            </w:pPr>
            <w:r w:rsidRPr="00304F31">
              <w:rPr>
                <w:rFonts w:ascii="Calibri" w:hAnsi="Calibri" w:cs="Calibri"/>
                <w:color w:val="000000"/>
                <w:sz w:val="11"/>
                <w:szCs w:val="11"/>
              </w:rPr>
              <w:t>306.2306</w:t>
            </w:r>
          </w:p>
        </w:tc>
        <w:tc>
          <w:tcPr>
            <w:tcW w:w="1843" w:type="dxa"/>
            <w:vMerge/>
            <w:vAlign w:val="center"/>
          </w:tcPr>
          <w:p w14:paraId="6FE5AE7D" w14:textId="77777777" w:rsidR="004D1935" w:rsidRPr="00304F31" w:rsidRDefault="004D1935" w:rsidP="00E24DC9">
            <w:pPr>
              <w:jc w:val="center"/>
              <w:rPr>
                <w:color w:val="000000" w:themeColor="text1"/>
                <w:sz w:val="11"/>
                <w:szCs w:val="11"/>
              </w:rPr>
            </w:pPr>
          </w:p>
        </w:tc>
        <w:tc>
          <w:tcPr>
            <w:tcW w:w="1843" w:type="dxa"/>
            <w:vMerge/>
            <w:vAlign w:val="center"/>
          </w:tcPr>
          <w:p w14:paraId="5963E866" w14:textId="77777777" w:rsidR="004D1935" w:rsidRPr="00304F31" w:rsidRDefault="004D1935" w:rsidP="00E24DC9">
            <w:pPr>
              <w:jc w:val="center"/>
              <w:rPr>
                <w:color w:val="000000" w:themeColor="text1"/>
                <w:sz w:val="11"/>
                <w:szCs w:val="11"/>
              </w:rPr>
            </w:pPr>
          </w:p>
        </w:tc>
        <w:tc>
          <w:tcPr>
            <w:tcW w:w="1134" w:type="dxa"/>
            <w:vMerge/>
            <w:vAlign w:val="center"/>
          </w:tcPr>
          <w:p w14:paraId="68D76CB1" w14:textId="77777777" w:rsidR="004D1935" w:rsidRPr="00304F31" w:rsidRDefault="004D1935" w:rsidP="00E24DC9">
            <w:pPr>
              <w:jc w:val="center"/>
              <w:rPr>
                <w:color w:val="000000" w:themeColor="text1"/>
                <w:sz w:val="11"/>
                <w:szCs w:val="11"/>
              </w:rPr>
            </w:pPr>
          </w:p>
        </w:tc>
        <w:tc>
          <w:tcPr>
            <w:tcW w:w="9072" w:type="dxa"/>
            <w:vMerge/>
            <w:vAlign w:val="center"/>
          </w:tcPr>
          <w:p w14:paraId="2B71A1C3" w14:textId="77777777" w:rsidR="004D1935" w:rsidRPr="00304F31" w:rsidRDefault="004D1935" w:rsidP="00E24DC9">
            <w:pPr>
              <w:jc w:val="center"/>
              <w:rPr>
                <w:color w:val="000000" w:themeColor="text1"/>
                <w:sz w:val="11"/>
                <w:szCs w:val="11"/>
              </w:rPr>
            </w:pPr>
          </w:p>
        </w:tc>
      </w:tr>
      <w:tr w:rsidR="004D1935" w:rsidRPr="00304F31" w14:paraId="63F7A9E6" w14:textId="77777777" w:rsidTr="00E24DC9">
        <w:tc>
          <w:tcPr>
            <w:tcW w:w="567" w:type="dxa"/>
            <w:vMerge/>
            <w:vAlign w:val="center"/>
          </w:tcPr>
          <w:p w14:paraId="53CBBEF0" w14:textId="77777777" w:rsidR="004D1935" w:rsidRPr="00304F31" w:rsidRDefault="004D1935" w:rsidP="00E24DC9">
            <w:pPr>
              <w:jc w:val="center"/>
              <w:rPr>
                <w:sz w:val="11"/>
                <w:szCs w:val="11"/>
              </w:rPr>
            </w:pPr>
          </w:p>
        </w:tc>
        <w:tc>
          <w:tcPr>
            <w:tcW w:w="851" w:type="dxa"/>
            <w:tcBorders>
              <w:top w:val="nil"/>
              <w:bottom w:val="nil"/>
            </w:tcBorders>
            <w:vAlign w:val="center"/>
          </w:tcPr>
          <w:p w14:paraId="4A68E783" w14:textId="77777777" w:rsidR="004D1935" w:rsidRPr="00304F31" w:rsidRDefault="004D1935" w:rsidP="00E24DC9">
            <w:pPr>
              <w:jc w:val="center"/>
              <w:rPr>
                <w:sz w:val="11"/>
                <w:szCs w:val="11"/>
              </w:rPr>
            </w:pPr>
            <w:r w:rsidRPr="00304F31">
              <w:rPr>
                <w:rFonts w:ascii="Calibri" w:hAnsi="Calibri" w:cs="Calibri"/>
                <w:color w:val="000000"/>
                <w:sz w:val="11"/>
                <w:szCs w:val="11"/>
              </w:rPr>
              <w:t>306.2894</w:t>
            </w:r>
          </w:p>
        </w:tc>
        <w:tc>
          <w:tcPr>
            <w:tcW w:w="1843" w:type="dxa"/>
            <w:vMerge/>
            <w:vAlign w:val="center"/>
          </w:tcPr>
          <w:p w14:paraId="35865CC4" w14:textId="77777777" w:rsidR="004D1935" w:rsidRPr="00304F31" w:rsidRDefault="004D1935" w:rsidP="00E24DC9">
            <w:pPr>
              <w:jc w:val="center"/>
              <w:rPr>
                <w:color w:val="000000" w:themeColor="text1"/>
                <w:sz w:val="11"/>
                <w:szCs w:val="11"/>
              </w:rPr>
            </w:pPr>
          </w:p>
        </w:tc>
        <w:tc>
          <w:tcPr>
            <w:tcW w:w="1843" w:type="dxa"/>
            <w:vMerge/>
            <w:vAlign w:val="center"/>
          </w:tcPr>
          <w:p w14:paraId="7EA18C50" w14:textId="77777777" w:rsidR="004D1935" w:rsidRPr="00304F31" w:rsidRDefault="004D1935" w:rsidP="00E24DC9">
            <w:pPr>
              <w:jc w:val="center"/>
              <w:rPr>
                <w:color w:val="000000" w:themeColor="text1"/>
                <w:sz w:val="11"/>
                <w:szCs w:val="11"/>
              </w:rPr>
            </w:pPr>
          </w:p>
        </w:tc>
        <w:tc>
          <w:tcPr>
            <w:tcW w:w="1134" w:type="dxa"/>
            <w:vMerge/>
            <w:vAlign w:val="center"/>
          </w:tcPr>
          <w:p w14:paraId="1690D359" w14:textId="77777777" w:rsidR="004D1935" w:rsidRPr="00304F31" w:rsidRDefault="004D1935" w:rsidP="00E24DC9">
            <w:pPr>
              <w:jc w:val="center"/>
              <w:rPr>
                <w:color w:val="000000" w:themeColor="text1"/>
                <w:sz w:val="11"/>
                <w:szCs w:val="11"/>
              </w:rPr>
            </w:pPr>
          </w:p>
        </w:tc>
        <w:tc>
          <w:tcPr>
            <w:tcW w:w="9072" w:type="dxa"/>
            <w:vMerge/>
            <w:vAlign w:val="center"/>
          </w:tcPr>
          <w:p w14:paraId="4D08C197" w14:textId="77777777" w:rsidR="004D1935" w:rsidRPr="00304F31" w:rsidRDefault="004D1935" w:rsidP="00E24DC9">
            <w:pPr>
              <w:jc w:val="center"/>
              <w:rPr>
                <w:color w:val="000000" w:themeColor="text1"/>
                <w:sz w:val="11"/>
                <w:szCs w:val="11"/>
              </w:rPr>
            </w:pPr>
          </w:p>
        </w:tc>
      </w:tr>
      <w:tr w:rsidR="004D1935" w:rsidRPr="00304F31" w14:paraId="133D0187" w14:textId="77777777" w:rsidTr="00E24DC9">
        <w:tc>
          <w:tcPr>
            <w:tcW w:w="567" w:type="dxa"/>
            <w:vMerge/>
            <w:vAlign w:val="center"/>
          </w:tcPr>
          <w:p w14:paraId="2F3DD9E9" w14:textId="77777777" w:rsidR="004D1935" w:rsidRPr="00304F31" w:rsidRDefault="004D1935" w:rsidP="00E24DC9">
            <w:pPr>
              <w:jc w:val="center"/>
              <w:rPr>
                <w:sz w:val="11"/>
                <w:szCs w:val="11"/>
              </w:rPr>
            </w:pPr>
          </w:p>
        </w:tc>
        <w:tc>
          <w:tcPr>
            <w:tcW w:w="851" w:type="dxa"/>
            <w:tcBorders>
              <w:top w:val="nil"/>
              <w:bottom w:val="nil"/>
            </w:tcBorders>
            <w:vAlign w:val="center"/>
          </w:tcPr>
          <w:p w14:paraId="72DD950F" w14:textId="77777777" w:rsidR="004D1935" w:rsidRPr="00304F31" w:rsidRDefault="004D1935" w:rsidP="00E24DC9">
            <w:pPr>
              <w:jc w:val="center"/>
              <w:rPr>
                <w:sz w:val="11"/>
                <w:szCs w:val="11"/>
              </w:rPr>
            </w:pPr>
            <w:r w:rsidRPr="00304F31">
              <w:rPr>
                <w:rFonts w:ascii="Calibri" w:hAnsi="Calibri" w:cs="Calibri"/>
                <w:color w:val="000000"/>
                <w:sz w:val="11"/>
                <w:szCs w:val="11"/>
              </w:rPr>
              <w:t>306.1054</w:t>
            </w:r>
          </w:p>
        </w:tc>
        <w:tc>
          <w:tcPr>
            <w:tcW w:w="1843" w:type="dxa"/>
            <w:vMerge/>
            <w:vAlign w:val="center"/>
          </w:tcPr>
          <w:p w14:paraId="39AC635A" w14:textId="77777777" w:rsidR="004D1935" w:rsidRPr="00304F31" w:rsidRDefault="004D1935" w:rsidP="00E24DC9">
            <w:pPr>
              <w:jc w:val="center"/>
              <w:rPr>
                <w:color w:val="000000" w:themeColor="text1"/>
                <w:sz w:val="11"/>
                <w:szCs w:val="11"/>
              </w:rPr>
            </w:pPr>
          </w:p>
        </w:tc>
        <w:tc>
          <w:tcPr>
            <w:tcW w:w="1843" w:type="dxa"/>
            <w:vMerge/>
            <w:vAlign w:val="center"/>
          </w:tcPr>
          <w:p w14:paraId="256C33C3" w14:textId="77777777" w:rsidR="004D1935" w:rsidRPr="00304F31" w:rsidRDefault="004D1935" w:rsidP="00E24DC9">
            <w:pPr>
              <w:jc w:val="center"/>
              <w:rPr>
                <w:color w:val="000000" w:themeColor="text1"/>
                <w:sz w:val="11"/>
                <w:szCs w:val="11"/>
              </w:rPr>
            </w:pPr>
          </w:p>
        </w:tc>
        <w:tc>
          <w:tcPr>
            <w:tcW w:w="1134" w:type="dxa"/>
            <w:vMerge/>
            <w:vAlign w:val="center"/>
          </w:tcPr>
          <w:p w14:paraId="430A7EEE" w14:textId="77777777" w:rsidR="004D1935" w:rsidRPr="00304F31" w:rsidRDefault="004D1935" w:rsidP="00E24DC9">
            <w:pPr>
              <w:jc w:val="center"/>
              <w:rPr>
                <w:color w:val="000000" w:themeColor="text1"/>
                <w:sz w:val="11"/>
                <w:szCs w:val="11"/>
              </w:rPr>
            </w:pPr>
          </w:p>
        </w:tc>
        <w:tc>
          <w:tcPr>
            <w:tcW w:w="9072" w:type="dxa"/>
            <w:vMerge/>
            <w:vAlign w:val="center"/>
          </w:tcPr>
          <w:p w14:paraId="04B4480E" w14:textId="77777777" w:rsidR="004D1935" w:rsidRPr="00304F31" w:rsidRDefault="004D1935" w:rsidP="00E24DC9">
            <w:pPr>
              <w:jc w:val="center"/>
              <w:rPr>
                <w:color w:val="000000" w:themeColor="text1"/>
                <w:sz w:val="11"/>
                <w:szCs w:val="11"/>
              </w:rPr>
            </w:pPr>
          </w:p>
        </w:tc>
      </w:tr>
      <w:tr w:rsidR="004D1935" w:rsidRPr="00304F31" w14:paraId="4F0088EA" w14:textId="77777777" w:rsidTr="00E24DC9">
        <w:tc>
          <w:tcPr>
            <w:tcW w:w="567" w:type="dxa"/>
            <w:vMerge/>
            <w:vAlign w:val="center"/>
          </w:tcPr>
          <w:p w14:paraId="2670539D" w14:textId="77777777" w:rsidR="004D1935" w:rsidRPr="00304F31" w:rsidRDefault="004D1935" w:rsidP="00E24DC9">
            <w:pPr>
              <w:jc w:val="center"/>
              <w:rPr>
                <w:sz w:val="11"/>
                <w:szCs w:val="11"/>
              </w:rPr>
            </w:pPr>
          </w:p>
        </w:tc>
        <w:tc>
          <w:tcPr>
            <w:tcW w:w="851" w:type="dxa"/>
            <w:tcBorders>
              <w:top w:val="nil"/>
              <w:bottom w:val="nil"/>
            </w:tcBorders>
            <w:vAlign w:val="center"/>
          </w:tcPr>
          <w:p w14:paraId="3E447105" w14:textId="77777777" w:rsidR="004D1935" w:rsidRPr="00304F31" w:rsidRDefault="004D1935" w:rsidP="00E24DC9">
            <w:pPr>
              <w:jc w:val="center"/>
              <w:rPr>
                <w:sz w:val="11"/>
                <w:szCs w:val="11"/>
              </w:rPr>
            </w:pPr>
            <w:r w:rsidRPr="00304F31">
              <w:rPr>
                <w:rFonts w:ascii="Calibri" w:hAnsi="Calibri" w:cs="Calibri"/>
                <w:color w:val="000000"/>
                <w:sz w:val="11"/>
                <w:szCs w:val="11"/>
              </w:rPr>
              <w:t>306.1821</w:t>
            </w:r>
          </w:p>
        </w:tc>
        <w:tc>
          <w:tcPr>
            <w:tcW w:w="1843" w:type="dxa"/>
            <w:vMerge/>
            <w:vAlign w:val="center"/>
          </w:tcPr>
          <w:p w14:paraId="62B0B57D" w14:textId="77777777" w:rsidR="004D1935" w:rsidRPr="00304F31" w:rsidRDefault="004D1935" w:rsidP="00E24DC9">
            <w:pPr>
              <w:jc w:val="center"/>
              <w:rPr>
                <w:color w:val="000000" w:themeColor="text1"/>
                <w:sz w:val="11"/>
                <w:szCs w:val="11"/>
              </w:rPr>
            </w:pPr>
          </w:p>
        </w:tc>
        <w:tc>
          <w:tcPr>
            <w:tcW w:w="1843" w:type="dxa"/>
            <w:vMerge/>
            <w:vAlign w:val="center"/>
          </w:tcPr>
          <w:p w14:paraId="302F7319" w14:textId="77777777" w:rsidR="004D1935" w:rsidRPr="00304F31" w:rsidRDefault="004D1935" w:rsidP="00E24DC9">
            <w:pPr>
              <w:jc w:val="center"/>
              <w:rPr>
                <w:color w:val="000000" w:themeColor="text1"/>
                <w:sz w:val="11"/>
                <w:szCs w:val="11"/>
              </w:rPr>
            </w:pPr>
          </w:p>
        </w:tc>
        <w:tc>
          <w:tcPr>
            <w:tcW w:w="1134" w:type="dxa"/>
            <w:vMerge/>
            <w:vAlign w:val="center"/>
          </w:tcPr>
          <w:p w14:paraId="275F5522" w14:textId="77777777" w:rsidR="004D1935" w:rsidRPr="00304F31" w:rsidRDefault="004D1935" w:rsidP="00E24DC9">
            <w:pPr>
              <w:jc w:val="center"/>
              <w:rPr>
                <w:color w:val="000000" w:themeColor="text1"/>
                <w:sz w:val="11"/>
                <w:szCs w:val="11"/>
              </w:rPr>
            </w:pPr>
          </w:p>
        </w:tc>
        <w:tc>
          <w:tcPr>
            <w:tcW w:w="9072" w:type="dxa"/>
            <w:vMerge/>
            <w:vAlign w:val="center"/>
          </w:tcPr>
          <w:p w14:paraId="0F51C508" w14:textId="77777777" w:rsidR="004D1935" w:rsidRPr="00304F31" w:rsidRDefault="004D1935" w:rsidP="00E24DC9">
            <w:pPr>
              <w:jc w:val="center"/>
              <w:rPr>
                <w:color w:val="000000" w:themeColor="text1"/>
                <w:sz w:val="11"/>
                <w:szCs w:val="11"/>
              </w:rPr>
            </w:pPr>
          </w:p>
        </w:tc>
      </w:tr>
      <w:tr w:rsidR="004D1935" w:rsidRPr="00304F31" w14:paraId="7FBDE6DA" w14:textId="77777777" w:rsidTr="00E24DC9">
        <w:tc>
          <w:tcPr>
            <w:tcW w:w="567" w:type="dxa"/>
            <w:vMerge/>
            <w:vAlign w:val="center"/>
          </w:tcPr>
          <w:p w14:paraId="62915E02" w14:textId="77777777" w:rsidR="004D1935" w:rsidRPr="00304F31" w:rsidRDefault="004D1935" w:rsidP="00E24DC9">
            <w:pPr>
              <w:jc w:val="center"/>
              <w:rPr>
                <w:sz w:val="11"/>
                <w:szCs w:val="11"/>
              </w:rPr>
            </w:pPr>
          </w:p>
        </w:tc>
        <w:tc>
          <w:tcPr>
            <w:tcW w:w="851" w:type="dxa"/>
            <w:tcBorders>
              <w:top w:val="nil"/>
              <w:bottom w:val="nil"/>
            </w:tcBorders>
            <w:vAlign w:val="center"/>
          </w:tcPr>
          <w:p w14:paraId="7DD06D3B" w14:textId="77777777" w:rsidR="004D1935" w:rsidRPr="00304F31" w:rsidRDefault="004D1935" w:rsidP="00E24DC9">
            <w:pPr>
              <w:jc w:val="center"/>
              <w:rPr>
                <w:sz w:val="11"/>
                <w:szCs w:val="11"/>
              </w:rPr>
            </w:pPr>
            <w:r w:rsidRPr="00304F31">
              <w:rPr>
                <w:rFonts w:ascii="Calibri" w:hAnsi="Calibri" w:cs="Calibri"/>
                <w:color w:val="000000"/>
                <w:sz w:val="11"/>
                <w:szCs w:val="11"/>
              </w:rPr>
              <w:t>306.1208</w:t>
            </w:r>
          </w:p>
        </w:tc>
        <w:tc>
          <w:tcPr>
            <w:tcW w:w="1843" w:type="dxa"/>
            <w:vMerge/>
            <w:vAlign w:val="center"/>
          </w:tcPr>
          <w:p w14:paraId="3FFB6FF6" w14:textId="77777777" w:rsidR="004D1935" w:rsidRPr="00304F31" w:rsidRDefault="004D1935" w:rsidP="00E24DC9">
            <w:pPr>
              <w:jc w:val="center"/>
              <w:rPr>
                <w:color w:val="000000" w:themeColor="text1"/>
                <w:sz w:val="11"/>
                <w:szCs w:val="11"/>
              </w:rPr>
            </w:pPr>
          </w:p>
        </w:tc>
        <w:tc>
          <w:tcPr>
            <w:tcW w:w="1843" w:type="dxa"/>
            <w:vMerge/>
            <w:vAlign w:val="center"/>
          </w:tcPr>
          <w:p w14:paraId="2C031034" w14:textId="77777777" w:rsidR="004D1935" w:rsidRPr="00304F31" w:rsidRDefault="004D1935" w:rsidP="00E24DC9">
            <w:pPr>
              <w:jc w:val="center"/>
              <w:rPr>
                <w:color w:val="000000" w:themeColor="text1"/>
                <w:sz w:val="11"/>
                <w:szCs w:val="11"/>
              </w:rPr>
            </w:pPr>
          </w:p>
        </w:tc>
        <w:tc>
          <w:tcPr>
            <w:tcW w:w="1134" w:type="dxa"/>
            <w:vMerge/>
            <w:vAlign w:val="center"/>
          </w:tcPr>
          <w:p w14:paraId="0C915A95" w14:textId="77777777" w:rsidR="004D1935" w:rsidRPr="00304F31" w:rsidRDefault="004D1935" w:rsidP="00E24DC9">
            <w:pPr>
              <w:jc w:val="center"/>
              <w:rPr>
                <w:color w:val="000000" w:themeColor="text1"/>
                <w:sz w:val="11"/>
                <w:szCs w:val="11"/>
              </w:rPr>
            </w:pPr>
          </w:p>
        </w:tc>
        <w:tc>
          <w:tcPr>
            <w:tcW w:w="9072" w:type="dxa"/>
            <w:vMerge/>
            <w:vAlign w:val="center"/>
          </w:tcPr>
          <w:p w14:paraId="3F4CC8BE" w14:textId="77777777" w:rsidR="004D1935" w:rsidRPr="00304F31" w:rsidRDefault="004D1935" w:rsidP="00E24DC9">
            <w:pPr>
              <w:jc w:val="center"/>
              <w:rPr>
                <w:color w:val="000000" w:themeColor="text1"/>
                <w:sz w:val="11"/>
                <w:szCs w:val="11"/>
              </w:rPr>
            </w:pPr>
          </w:p>
        </w:tc>
      </w:tr>
      <w:tr w:rsidR="004D1935" w:rsidRPr="00304F31" w14:paraId="35C346DD" w14:textId="77777777" w:rsidTr="00E24DC9">
        <w:tc>
          <w:tcPr>
            <w:tcW w:w="567" w:type="dxa"/>
            <w:vMerge/>
            <w:vAlign w:val="center"/>
          </w:tcPr>
          <w:p w14:paraId="334E447D" w14:textId="77777777" w:rsidR="004D1935" w:rsidRPr="00304F31" w:rsidRDefault="004D1935" w:rsidP="00E24DC9">
            <w:pPr>
              <w:jc w:val="center"/>
              <w:rPr>
                <w:sz w:val="11"/>
                <w:szCs w:val="11"/>
              </w:rPr>
            </w:pPr>
          </w:p>
        </w:tc>
        <w:tc>
          <w:tcPr>
            <w:tcW w:w="851" w:type="dxa"/>
            <w:tcBorders>
              <w:top w:val="nil"/>
              <w:bottom w:val="single" w:sz="4" w:space="0" w:color="auto"/>
            </w:tcBorders>
            <w:vAlign w:val="center"/>
          </w:tcPr>
          <w:p w14:paraId="5CA63CA9" w14:textId="77777777" w:rsidR="004D1935" w:rsidRPr="00304F31" w:rsidRDefault="004D1935" w:rsidP="00E24DC9">
            <w:pPr>
              <w:jc w:val="center"/>
              <w:rPr>
                <w:sz w:val="11"/>
                <w:szCs w:val="11"/>
              </w:rPr>
            </w:pPr>
            <w:r w:rsidRPr="00304F31">
              <w:rPr>
                <w:rFonts w:ascii="Calibri" w:hAnsi="Calibri" w:cs="Calibri"/>
                <w:color w:val="000000"/>
                <w:sz w:val="11"/>
                <w:szCs w:val="11"/>
              </w:rPr>
              <w:t>306.1884</w:t>
            </w:r>
          </w:p>
        </w:tc>
        <w:tc>
          <w:tcPr>
            <w:tcW w:w="1843" w:type="dxa"/>
            <w:vMerge/>
            <w:vAlign w:val="center"/>
          </w:tcPr>
          <w:p w14:paraId="707203A5" w14:textId="77777777" w:rsidR="004D1935" w:rsidRPr="00304F31" w:rsidRDefault="004D1935" w:rsidP="00E24DC9">
            <w:pPr>
              <w:jc w:val="center"/>
              <w:rPr>
                <w:color w:val="000000" w:themeColor="text1"/>
                <w:sz w:val="11"/>
                <w:szCs w:val="11"/>
              </w:rPr>
            </w:pPr>
          </w:p>
        </w:tc>
        <w:tc>
          <w:tcPr>
            <w:tcW w:w="1843" w:type="dxa"/>
            <w:vMerge/>
            <w:vAlign w:val="center"/>
          </w:tcPr>
          <w:p w14:paraId="6102D27E" w14:textId="77777777" w:rsidR="004D1935" w:rsidRPr="00304F31" w:rsidRDefault="004D1935" w:rsidP="00E24DC9">
            <w:pPr>
              <w:jc w:val="center"/>
              <w:rPr>
                <w:color w:val="000000" w:themeColor="text1"/>
                <w:sz w:val="11"/>
                <w:szCs w:val="11"/>
              </w:rPr>
            </w:pPr>
          </w:p>
        </w:tc>
        <w:tc>
          <w:tcPr>
            <w:tcW w:w="1134" w:type="dxa"/>
            <w:vMerge/>
            <w:vAlign w:val="center"/>
          </w:tcPr>
          <w:p w14:paraId="445207DC" w14:textId="77777777" w:rsidR="004D1935" w:rsidRPr="00304F31" w:rsidRDefault="004D1935" w:rsidP="00E24DC9">
            <w:pPr>
              <w:jc w:val="center"/>
              <w:rPr>
                <w:color w:val="000000" w:themeColor="text1"/>
                <w:sz w:val="11"/>
                <w:szCs w:val="11"/>
              </w:rPr>
            </w:pPr>
          </w:p>
        </w:tc>
        <w:tc>
          <w:tcPr>
            <w:tcW w:w="9072" w:type="dxa"/>
            <w:vMerge/>
            <w:vAlign w:val="center"/>
          </w:tcPr>
          <w:p w14:paraId="1A0465D4" w14:textId="77777777" w:rsidR="004D1935" w:rsidRPr="00304F31" w:rsidRDefault="004D1935" w:rsidP="00E24DC9">
            <w:pPr>
              <w:jc w:val="center"/>
              <w:rPr>
                <w:color w:val="000000" w:themeColor="text1"/>
                <w:sz w:val="11"/>
                <w:szCs w:val="11"/>
              </w:rPr>
            </w:pPr>
          </w:p>
        </w:tc>
      </w:tr>
      <w:tr w:rsidR="004D1935" w:rsidRPr="00304F31" w14:paraId="21B8041D" w14:textId="77777777" w:rsidTr="00E24DC9">
        <w:tc>
          <w:tcPr>
            <w:tcW w:w="567" w:type="dxa"/>
            <w:vMerge w:val="restart"/>
            <w:vAlign w:val="center"/>
          </w:tcPr>
          <w:p w14:paraId="1F8265C0" w14:textId="77777777" w:rsidR="004D1935" w:rsidRPr="00304F31" w:rsidRDefault="004D1935" w:rsidP="00E24DC9">
            <w:pPr>
              <w:jc w:val="center"/>
              <w:rPr>
                <w:sz w:val="11"/>
                <w:szCs w:val="11"/>
              </w:rPr>
            </w:pPr>
            <w:r w:rsidRPr="00304F31">
              <w:rPr>
                <w:sz w:val="11"/>
                <w:szCs w:val="11"/>
              </w:rPr>
              <w:t>NA</w:t>
            </w:r>
          </w:p>
        </w:tc>
        <w:tc>
          <w:tcPr>
            <w:tcW w:w="851" w:type="dxa"/>
            <w:tcBorders>
              <w:bottom w:val="nil"/>
            </w:tcBorders>
            <w:vAlign w:val="center"/>
          </w:tcPr>
          <w:p w14:paraId="68864BF1" w14:textId="77777777" w:rsidR="004D1935" w:rsidRPr="00304F31" w:rsidRDefault="004D1935" w:rsidP="00E24DC9">
            <w:pPr>
              <w:jc w:val="center"/>
              <w:rPr>
                <w:rFonts w:ascii="Calibri" w:hAnsi="Calibri" w:cs="Calibri"/>
                <w:color w:val="000000"/>
                <w:sz w:val="11"/>
                <w:szCs w:val="11"/>
              </w:rPr>
            </w:pPr>
            <w:r w:rsidRPr="00304F31">
              <w:rPr>
                <w:rFonts w:ascii="Calibri" w:hAnsi="Calibri" w:cs="Calibri"/>
                <w:color w:val="000000"/>
                <w:sz w:val="11"/>
                <w:szCs w:val="11"/>
              </w:rPr>
              <w:t>284.1337</w:t>
            </w:r>
          </w:p>
        </w:tc>
        <w:tc>
          <w:tcPr>
            <w:tcW w:w="1843" w:type="dxa"/>
            <w:vMerge w:val="restart"/>
            <w:vAlign w:val="center"/>
          </w:tcPr>
          <w:p w14:paraId="031C4A8D"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11-cis-retinal</w:t>
            </w:r>
          </w:p>
          <w:p w14:paraId="6F64A935"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morphinone</w:t>
            </w:r>
          </w:p>
          <w:p w14:paraId="03BC59FC"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a retinal</w:t>
            </w:r>
          </w:p>
          <w:p w14:paraId="6BD4C92C"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methylene blue</w:t>
            </w:r>
          </w:p>
          <w:p w14:paraId="5D3698C4"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androsta-1,4-diene-3,17-dione</w:t>
            </w:r>
          </w:p>
        </w:tc>
        <w:tc>
          <w:tcPr>
            <w:tcW w:w="1843" w:type="dxa"/>
            <w:vMerge w:val="restart"/>
            <w:vAlign w:val="center"/>
          </w:tcPr>
          <w:p w14:paraId="128F73BE"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terpinoid/retinoid/lipid/vitamin A</w:t>
            </w:r>
          </w:p>
          <w:p w14:paraId="24580004"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alkaloid</w:t>
            </w:r>
          </w:p>
          <w:p w14:paraId="5F055193"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terpinoid/retinoid/lipid/vitamin A</w:t>
            </w:r>
          </w:p>
          <w:p w14:paraId="6A17501D"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Thiazole/alkaloid</w:t>
            </w:r>
          </w:p>
          <w:p w14:paraId="1B694EF7"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steroids</w:t>
            </w:r>
          </w:p>
        </w:tc>
        <w:tc>
          <w:tcPr>
            <w:tcW w:w="1134" w:type="dxa"/>
            <w:vMerge w:val="restart"/>
            <w:vAlign w:val="center"/>
          </w:tcPr>
          <w:p w14:paraId="320718D2" w14:textId="77777777" w:rsidR="004D1935" w:rsidRPr="00304F31" w:rsidRDefault="004D1935" w:rsidP="00E24DC9">
            <w:pPr>
              <w:jc w:val="center"/>
              <w:rPr>
                <w:color w:val="000000" w:themeColor="text1"/>
                <w:sz w:val="11"/>
                <w:szCs w:val="11"/>
              </w:rPr>
            </w:pPr>
            <w:r w:rsidRPr="00304F31">
              <w:rPr>
                <w:rFonts w:ascii="Arial" w:hAnsi="Arial" w:cs="Arial"/>
                <w:color w:val="000000" w:themeColor="text1"/>
                <w:sz w:val="11"/>
                <w:szCs w:val="11"/>
                <w:shd w:val="clear" w:color="auto" w:fill="FFFFFF"/>
              </w:rPr>
              <w:t>C</w:t>
            </w:r>
            <w:r w:rsidRPr="00304F31">
              <w:rPr>
                <w:rFonts w:ascii="Arial" w:hAnsi="Arial" w:cs="Arial"/>
                <w:color w:val="000000" w:themeColor="text1"/>
                <w:sz w:val="11"/>
                <w:szCs w:val="11"/>
                <w:shd w:val="clear" w:color="auto" w:fill="FFFFFF"/>
                <w:vertAlign w:val="subscript"/>
              </w:rPr>
              <w:t>20</w:t>
            </w:r>
            <w:r w:rsidRPr="00304F31">
              <w:rPr>
                <w:rFonts w:ascii="Arial" w:hAnsi="Arial" w:cs="Arial"/>
                <w:color w:val="000000" w:themeColor="text1"/>
                <w:sz w:val="11"/>
                <w:szCs w:val="11"/>
                <w:shd w:val="clear" w:color="auto" w:fill="FFFFFF"/>
              </w:rPr>
              <w:t>H</w:t>
            </w:r>
            <w:r w:rsidRPr="00304F31">
              <w:rPr>
                <w:rFonts w:ascii="Arial" w:hAnsi="Arial" w:cs="Arial"/>
                <w:color w:val="000000" w:themeColor="text1"/>
                <w:sz w:val="11"/>
                <w:szCs w:val="11"/>
                <w:shd w:val="clear" w:color="auto" w:fill="FFFFFF"/>
                <w:vertAlign w:val="subscript"/>
              </w:rPr>
              <w:t>28</w:t>
            </w:r>
            <w:r w:rsidRPr="00304F31">
              <w:rPr>
                <w:rFonts w:ascii="Arial" w:hAnsi="Arial" w:cs="Arial"/>
                <w:color w:val="000000" w:themeColor="text1"/>
                <w:sz w:val="11"/>
                <w:szCs w:val="11"/>
                <w:shd w:val="clear" w:color="auto" w:fill="FFFFFF"/>
              </w:rPr>
              <w:t>O</w:t>
            </w:r>
          </w:p>
          <w:p w14:paraId="555007E1" w14:textId="77777777" w:rsidR="004D1935" w:rsidRPr="00304F31" w:rsidRDefault="004D1935" w:rsidP="00E24DC9">
            <w:pPr>
              <w:jc w:val="center"/>
              <w:rPr>
                <w:color w:val="000000" w:themeColor="text1"/>
                <w:sz w:val="11"/>
                <w:szCs w:val="11"/>
              </w:rPr>
            </w:pPr>
            <w:r w:rsidRPr="00304F31">
              <w:rPr>
                <w:rFonts w:ascii="Arial" w:hAnsi="Arial" w:cs="Arial"/>
                <w:color w:val="000000" w:themeColor="text1"/>
                <w:sz w:val="11"/>
                <w:szCs w:val="11"/>
                <w:shd w:val="clear" w:color="auto" w:fill="FFFFFF"/>
              </w:rPr>
              <w:t>C</w:t>
            </w:r>
            <w:r w:rsidRPr="00304F31">
              <w:rPr>
                <w:rFonts w:ascii="Arial" w:hAnsi="Arial" w:cs="Arial"/>
                <w:color w:val="000000" w:themeColor="text1"/>
                <w:sz w:val="11"/>
                <w:szCs w:val="11"/>
                <w:shd w:val="clear" w:color="auto" w:fill="FFFFFF"/>
                <w:vertAlign w:val="subscript"/>
              </w:rPr>
              <w:t>17</w:t>
            </w:r>
            <w:r w:rsidRPr="00304F31">
              <w:rPr>
                <w:rFonts w:ascii="Arial" w:hAnsi="Arial" w:cs="Arial"/>
                <w:color w:val="000000" w:themeColor="text1"/>
                <w:sz w:val="11"/>
                <w:szCs w:val="11"/>
                <w:shd w:val="clear" w:color="auto" w:fill="FFFFFF"/>
              </w:rPr>
              <w:t>H</w:t>
            </w:r>
            <w:r w:rsidRPr="00304F31">
              <w:rPr>
                <w:rFonts w:ascii="Arial" w:hAnsi="Arial" w:cs="Arial"/>
                <w:color w:val="000000" w:themeColor="text1"/>
                <w:sz w:val="11"/>
                <w:szCs w:val="11"/>
                <w:shd w:val="clear" w:color="auto" w:fill="FFFFFF"/>
                <w:vertAlign w:val="subscript"/>
              </w:rPr>
              <w:t>18</w:t>
            </w:r>
            <w:r w:rsidRPr="00304F31">
              <w:rPr>
                <w:rFonts w:ascii="Arial" w:hAnsi="Arial" w:cs="Arial"/>
                <w:color w:val="000000" w:themeColor="text1"/>
                <w:sz w:val="11"/>
                <w:szCs w:val="11"/>
                <w:shd w:val="clear" w:color="auto" w:fill="FFFFFF"/>
              </w:rPr>
              <w:t>NO</w:t>
            </w:r>
            <w:r w:rsidRPr="00304F31">
              <w:rPr>
                <w:rFonts w:ascii="Arial" w:hAnsi="Arial" w:cs="Arial"/>
                <w:color w:val="000000" w:themeColor="text1"/>
                <w:sz w:val="11"/>
                <w:szCs w:val="11"/>
                <w:shd w:val="clear" w:color="auto" w:fill="FFFFFF"/>
                <w:vertAlign w:val="subscript"/>
              </w:rPr>
              <w:t>3</w:t>
            </w:r>
          </w:p>
          <w:p w14:paraId="7A4B2989" w14:textId="77777777" w:rsidR="004D1935" w:rsidRPr="00304F31" w:rsidRDefault="004D1935" w:rsidP="00E24DC9">
            <w:pPr>
              <w:jc w:val="center"/>
              <w:rPr>
                <w:color w:val="000000" w:themeColor="text1"/>
                <w:sz w:val="11"/>
                <w:szCs w:val="11"/>
              </w:rPr>
            </w:pPr>
            <w:r w:rsidRPr="00304F31">
              <w:rPr>
                <w:rFonts w:ascii="Arial" w:hAnsi="Arial" w:cs="Arial"/>
                <w:color w:val="000000" w:themeColor="text1"/>
                <w:sz w:val="11"/>
                <w:szCs w:val="11"/>
                <w:shd w:val="clear" w:color="auto" w:fill="FFFFFF"/>
              </w:rPr>
              <w:t>C</w:t>
            </w:r>
            <w:r w:rsidRPr="00304F31">
              <w:rPr>
                <w:rFonts w:ascii="Arial" w:hAnsi="Arial" w:cs="Arial"/>
                <w:color w:val="000000" w:themeColor="text1"/>
                <w:sz w:val="11"/>
                <w:szCs w:val="11"/>
                <w:shd w:val="clear" w:color="auto" w:fill="FFFFFF"/>
                <w:vertAlign w:val="subscript"/>
              </w:rPr>
              <w:t>20</w:t>
            </w:r>
            <w:r w:rsidRPr="00304F31">
              <w:rPr>
                <w:rFonts w:ascii="Arial" w:hAnsi="Arial" w:cs="Arial"/>
                <w:color w:val="000000" w:themeColor="text1"/>
                <w:sz w:val="11"/>
                <w:szCs w:val="11"/>
                <w:shd w:val="clear" w:color="auto" w:fill="FFFFFF"/>
              </w:rPr>
              <w:t>H</w:t>
            </w:r>
            <w:r w:rsidRPr="00304F31">
              <w:rPr>
                <w:rFonts w:ascii="Arial" w:hAnsi="Arial" w:cs="Arial"/>
                <w:color w:val="000000" w:themeColor="text1"/>
                <w:sz w:val="11"/>
                <w:szCs w:val="11"/>
                <w:shd w:val="clear" w:color="auto" w:fill="FFFFFF"/>
                <w:vertAlign w:val="subscript"/>
              </w:rPr>
              <w:t>28</w:t>
            </w:r>
            <w:r w:rsidRPr="00304F31">
              <w:rPr>
                <w:rFonts w:ascii="Arial" w:hAnsi="Arial" w:cs="Arial"/>
                <w:color w:val="000000" w:themeColor="text1"/>
                <w:sz w:val="11"/>
                <w:szCs w:val="11"/>
                <w:shd w:val="clear" w:color="auto" w:fill="FFFFFF"/>
              </w:rPr>
              <w:t>O</w:t>
            </w:r>
          </w:p>
          <w:p w14:paraId="30857511" w14:textId="77777777" w:rsidR="004D1935" w:rsidRPr="00304F31" w:rsidRDefault="004D1935" w:rsidP="00E24DC9">
            <w:pPr>
              <w:jc w:val="center"/>
              <w:rPr>
                <w:color w:val="000000" w:themeColor="text1"/>
                <w:sz w:val="11"/>
                <w:szCs w:val="11"/>
              </w:rPr>
            </w:pPr>
            <w:r w:rsidRPr="00304F31">
              <w:rPr>
                <w:rFonts w:ascii="Arial" w:hAnsi="Arial" w:cs="Arial"/>
                <w:color w:val="000000" w:themeColor="text1"/>
                <w:sz w:val="11"/>
                <w:szCs w:val="11"/>
                <w:shd w:val="clear" w:color="auto" w:fill="FFFFFF"/>
              </w:rPr>
              <w:t>C</w:t>
            </w:r>
            <w:r w:rsidRPr="00304F31">
              <w:rPr>
                <w:rFonts w:ascii="Arial" w:hAnsi="Arial" w:cs="Arial"/>
                <w:color w:val="000000" w:themeColor="text1"/>
                <w:sz w:val="11"/>
                <w:szCs w:val="11"/>
                <w:shd w:val="clear" w:color="auto" w:fill="FFFFFF"/>
                <w:vertAlign w:val="subscript"/>
              </w:rPr>
              <w:t>16</w:t>
            </w:r>
            <w:r w:rsidRPr="00304F31">
              <w:rPr>
                <w:rFonts w:ascii="Arial" w:hAnsi="Arial" w:cs="Arial"/>
                <w:color w:val="000000" w:themeColor="text1"/>
                <w:sz w:val="11"/>
                <w:szCs w:val="11"/>
                <w:shd w:val="clear" w:color="auto" w:fill="FFFFFF"/>
              </w:rPr>
              <w:t>H</w:t>
            </w:r>
            <w:r w:rsidRPr="00304F31">
              <w:rPr>
                <w:rFonts w:ascii="Arial" w:hAnsi="Arial" w:cs="Arial"/>
                <w:color w:val="000000" w:themeColor="text1"/>
                <w:sz w:val="11"/>
                <w:szCs w:val="11"/>
                <w:shd w:val="clear" w:color="auto" w:fill="FFFFFF"/>
                <w:vertAlign w:val="subscript"/>
              </w:rPr>
              <w:t>18</w:t>
            </w:r>
            <w:r w:rsidRPr="00304F31">
              <w:rPr>
                <w:rFonts w:ascii="Arial" w:hAnsi="Arial" w:cs="Arial"/>
                <w:color w:val="000000" w:themeColor="text1"/>
                <w:sz w:val="11"/>
                <w:szCs w:val="11"/>
                <w:shd w:val="clear" w:color="auto" w:fill="FFFFFF"/>
              </w:rPr>
              <w:t>N</w:t>
            </w:r>
            <w:r w:rsidRPr="00304F31">
              <w:rPr>
                <w:rFonts w:ascii="Arial" w:hAnsi="Arial" w:cs="Arial"/>
                <w:color w:val="000000" w:themeColor="text1"/>
                <w:sz w:val="11"/>
                <w:szCs w:val="11"/>
                <w:shd w:val="clear" w:color="auto" w:fill="FFFFFF"/>
                <w:vertAlign w:val="subscript"/>
              </w:rPr>
              <w:t>3</w:t>
            </w:r>
            <w:r w:rsidRPr="00304F31">
              <w:rPr>
                <w:rFonts w:ascii="Arial" w:hAnsi="Arial" w:cs="Arial"/>
                <w:color w:val="000000" w:themeColor="text1"/>
                <w:sz w:val="11"/>
                <w:szCs w:val="11"/>
                <w:shd w:val="clear" w:color="auto" w:fill="FFFFFF"/>
              </w:rPr>
              <w:t>S</w:t>
            </w:r>
          </w:p>
          <w:p w14:paraId="0AE8D03D" w14:textId="77777777" w:rsidR="004D1935" w:rsidRPr="00304F31" w:rsidRDefault="004D1935" w:rsidP="00E24DC9">
            <w:pPr>
              <w:jc w:val="center"/>
              <w:rPr>
                <w:color w:val="000000" w:themeColor="text1"/>
                <w:sz w:val="11"/>
                <w:szCs w:val="11"/>
              </w:rPr>
            </w:pPr>
            <w:r w:rsidRPr="00304F31">
              <w:rPr>
                <w:rFonts w:ascii="Arial" w:hAnsi="Arial" w:cs="Arial"/>
                <w:color w:val="000000" w:themeColor="text1"/>
                <w:sz w:val="11"/>
                <w:szCs w:val="11"/>
                <w:shd w:val="clear" w:color="auto" w:fill="FFFFFF"/>
              </w:rPr>
              <w:t>C</w:t>
            </w:r>
            <w:r w:rsidRPr="00304F31">
              <w:rPr>
                <w:rFonts w:ascii="Arial" w:hAnsi="Arial" w:cs="Arial"/>
                <w:color w:val="000000" w:themeColor="text1"/>
                <w:sz w:val="11"/>
                <w:szCs w:val="11"/>
                <w:shd w:val="clear" w:color="auto" w:fill="FFFFFF"/>
                <w:vertAlign w:val="subscript"/>
              </w:rPr>
              <w:t>19</w:t>
            </w:r>
            <w:r w:rsidRPr="00304F31">
              <w:rPr>
                <w:rFonts w:ascii="Arial" w:hAnsi="Arial" w:cs="Arial"/>
                <w:color w:val="000000" w:themeColor="text1"/>
                <w:sz w:val="11"/>
                <w:szCs w:val="11"/>
                <w:shd w:val="clear" w:color="auto" w:fill="FFFFFF"/>
              </w:rPr>
              <w:t>H</w:t>
            </w:r>
            <w:r w:rsidRPr="00304F31">
              <w:rPr>
                <w:rFonts w:ascii="Arial" w:hAnsi="Arial" w:cs="Arial"/>
                <w:color w:val="000000" w:themeColor="text1"/>
                <w:sz w:val="11"/>
                <w:szCs w:val="11"/>
                <w:shd w:val="clear" w:color="auto" w:fill="FFFFFF"/>
                <w:vertAlign w:val="subscript"/>
              </w:rPr>
              <w:t>24</w:t>
            </w:r>
            <w:r w:rsidRPr="00304F31">
              <w:rPr>
                <w:rFonts w:ascii="Arial" w:hAnsi="Arial" w:cs="Arial"/>
                <w:color w:val="000000" w:themeColor="text1"/>
                <w:sz w:val="11"/>
                <w:szCs w:val="11"/>
                <w:shd w:val="clear" w:color="auto" w:fill="FFFFFF"/>
              </w:rPr>
              <w:t>O</w:t>
            </w:r>
            <w:r w:rsidRPr="00304F31">
              <w:rPr>
                <w:rFonts w:ascii="Arial" w:hAnsi="Arial" w:cs="Arial"/>
                <w:color w:val="000000" w:themeColor="text1"/>
                <w:sz w:val="11"/>
                <w:szCs w:val="11"/>
                <w:shd w:val="clear" w:color="auto" w:fill="FFFFFF"/>
                <w:vertAlign w:val="subscript"/>
              </w:rPr>
              <w:t>2</w:t>
            </w:r>
          </w:p>
          <w:p w14:paraId="20897D71" w14:textId="77777777" w:rsidR="004D1935" w:rsidRPr="00304F31" w:rsidRDefault="004D1935" w:rsidP="00E24DC9">
            <w:pPr>
              <w:jc w:val="center"/>
              <w:rPr>
                <w:color w:val="000000" w:themeColor="text1"/>
                <w:sz w:val="11"/>
                <w:szCs w:val="11"/>
              </w:rPr>
            </w:pPr>
          </w:p>
        </w:tc>
        <w:tc>
          <w:tcPr>
            <w:tcW w:w="9072" w:type="dxa"/>
            <w:vMerge w:val="restart"/>
            <w:vAlign w:val="center"/>
          </w:tcPr>
          <w:p w14:paraId="559E2440"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Jasmonic acid biosynthesis/Abscisic acid biosynthesis Flavanone flavonoid /riboflavin biosynthesis/fatty acid pathway/Shikimate pathway, phosphoenolpyruvate</w:t>
            </w:r>
          </w:p>
          <w:p w14:paraId="2EE1A10A"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Isoquinoline alkaloid biosynthesis /Jasmonic acid biosynthesis/Abscisic acid biosynthesis Flavanone flavonoid /riboflavin biosynthesis/Shikimate pathway, phosphoenolpyruvate/</w:t>
            </w:r>
          </w:p>
          <w:p w14:paraId="20EBC4CA"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Jasmonic acid biosynthesis/Abscisic acid biosynthesis Flavanone flavonoid /riboflavin biosynthesis/Shikimate pathway, phosphoenolpyruvate/fatty acid pathway</w:t>
            </w:r>
          </w:p>
          <w:p w14:paraId="0FE95027"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N/A</w:t>
            </w:r>
          </w:p>
          <w:p w14:paraId="04B4A8AF"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Jasmonic acid biosynthesis/Abscisic acid biosynthesis Flavanone flavonoid /riboflavin biosynthesis/fatty acid pathway/Shikimate pathway, phosphoenolpyruvate</w:t>
            </w:r>
          </w:p>
        </w:tc>
      </w:tr>
      <w:tr w:rsidR="004D1935" w:rsidRPr="00304F31" w14:paraId="6D751003" w14:textId="77777777" w:rsidTr="00E24DC9">
        <w:tc>
          <w:tcPr>
            <w:tcW w:w="567" w:type="dxa"/>
            <w:vMerge/>
            <w:vAlign w:val="center"/>
          </w:tcPr>
          <w:p w14:paraId="2B828B67" w14:textId="77777777" w:rsidR="004D1935" w:rsidRPr="00304F31" w:rsidRDefault="004D1935" w:rsidP="00E24DC9">
            <w:pPr>
              <w:jc w:val="center"/>
              <w:rPr>
                <w:sz w:val="11"/>
                <w:szCs w:val="11"/>
              </w:rPr>
            </w:pPr>
          </w:p>
        </w:tc>
        <w:tc>
          <w:tcPr>
            <w:tcW w:w="851" w:type="dxa"/>
            <w:tcBorders>
              <w:top w:val="nil"/>
              <w:bottom w:val="nil"/>
            </w:tcBorders>
            <w:vAlign w:val="center"/>
          </w:tcPr>
          <w:p w14:paraId="4A2AB11B" w14:textId="77777777" w:rsidR="004D1935" w:rsidRPr="00304F31" w:rsidRDefault="004D1935" w:rsidP="00E24DC9">
            <w:pPr>
              <w:jc w:val="center"/>
              <w:rPr>
                <w:rFonts w:ascii="Calibri" w:hAnsi="Calibri" w:cs="Calibri"/>
                <w:color w:val="000000"/>
                <w:sz w:val="11"/>
                <w:szCs w:val="11"/>
              </w:rPr>
            </w:pPr>
            <w:r w:rsidRPr="00304F31">
              <w:rPr>
                <w:rFonts w:ascii="Calibri" w:hAnsi="Calibri" w:cs="Calibri"/>
                <w:color w:val="000000"/>
                <w:sz w:val="11"/>
                <w:szCs w:val="11"/>
              </w:rPr>
              <w:t>284.1720</w:t>
            </w:r>
          </w:p>
        </w:tc>
        <w:tc>
          <w:tcPr>
            <w:tcW w:w="1843" w:type="dxa"/>
            <w:vMerge/>
            <w:vAlign w:val="center"/>
          </w:tcPr>
          <w:p w14:paraId="62D9259C" w14:textId="77777777" w:rsidR="004D1935" w:rsidRPr="00304F31" w:rsidRDefault="004D1935" w:rsidP="00E24DC9">
            <w:pPr>
              <w:jc w:val="center"/>
              <w:rPr>
                <w:color w:val="000000" w:themeColor="text1"/>
                <w:sz w:val="11"/>
                <w:szCs w:val="11"/>
              </w:rPr>
            </w:pPr>
          </w:p>
        </w:tc>
        <w:tc>
          <w:tcPr>
            <w:tcW w:w="1843" w:type="dxa"/>
            <w:vMerge/>
            <w:vAlign w:val="center"/>
          </w:tcPr>
          <w:p w14:paraId="3F84B27B" w14:textId="77777777" w:rsidR="004D1935" w:rsidRPr="00304F31" w:rsidRDefault="004D1935" w:rsidP="00E24DC9">
            <w:pPr>
              <w:jc w:val="center"/>
              <w:rPr>
                <w:color w:val="000000" w:themeColor="text1"/>
                <w:sz w:val="11"/>
                <w:szCs w:val="11"/>
              </w:rPr>
            </w:pPr>
          </w:p>
        </w:tc>
        <w:tc>
          <w:tcPr>
            <w:tcW w:w="1134" w:type="dxa"/>
            <w:vMerge/>
            <w:vAlign w:val="center"/>
          </w:tcPr>
          <w:p w14:paraId="60BFE63C" w14:textId="77777777" w:rsidR="004D1935" w:rsidRPr="00304F31" w:rsidRDefault="004D1935" w:rsidP="00E24DC9">
            <w:pPr>
              <w:jc w:val="center"/>
              <w:rPr>
                <w:color w:val="000000" w:themeColor="text1"/>
                <w:sz w:val="11"/>
                <w:szCs w:val="11"/>
              </w:rPr>
            </w:pPr>
          </w:p>
        </w:tc>
        <w:tc>
          <w:tcPr>
            <w:tcW w:w="9072" w:type="dxa"/>
            <w:vMerge/>
            <w:vAlign w:val="center"/>
          </w:tcPr>
          <w:p w14:paraId="3CF06590" w14:textId="77777777" w:rsidR="004D1935" w:rsidRPr="00304F31" w:rsidRDefault="004D1935" w:rsidP="00E24DC9">
            <w:pPr>
              <w:jc w:val="center"/>
              <w:rPr>
                <w:color w:val="000000" w:themeColor="text1"/>
                <w:sz w:val="11"/>
                <w:szCs w:val="11"/>
              </w:rPr>
            </w:pPr>
          </w:p>
        </w:tc>
      </w:tr>
      <w:tr w:rsidR="004D1935" w:rsidRPr="00304F31" w14:paraId="114A6925" w14:textId="77777777" w:rsidTr="00E24DC9">
        <w:tc>
          <w:tcPr>
            <w:tcW w:w="567" w:type="dxa"/>
            <w:vMerge/>
            <w:vAlign w:val="center"/>
          </w:tcPr>
          <w:p w14:paraId="3EF446F7" w14:textId="77777777" w:rsidR="004D1935" w:rsidRPr="00304F31" w:rsidRDefault="004D1935" w:rsidP="00E24DC9">
            <w:pPr>
              <w:jc w:val="center"/>
              <w:rPr>
                <w:sz w:val="11"/>
                <w:szCs w:val="11"/>
              </w:rPr>
            </w:pPr>
          </w:p>
        </w:tc>
        <w:tc>
          <w:tcPr>
            <w:tcW w:w="851" w:type="dxa"/>
            <w:tcBorders>
              <w:top w:val="nil"/>
              <w:bottom w:val="nil"/>
            </w:tcBorders>
            <w:vAlign w:val="center"/>
          </w:tcPr>
          <w:p w14:paraId="3C533F95" w14:textId="77777777" w:rsidR="004D1935" w:rsidRPr="00304F31" w:rsidRDefault="004D1935" w:rsidP="00E24DC9">
            <w:pPr>
              <w:jc w:val="center"/>
              <w:rPr>
                <w:rFonts w:ascii="Calibri" w:hAnsi="Calibri" w:cs="Calibri"/>
                <w:color w:val="000000"/>
                <w:sz w:val="11"/>
                <w:szCs w:val="11"/>
              </w:rPr>
            </w:pPr>
            <w:r w:rsidRPr="00304F31">
              <w:rPr>
                <w:rFonts w:ascii="Calibri" w:hAnsi="Calibri" w:cs="Calibri"/>
                <w:color w:val="000000"/>
                <w:sz w:val="11"/>
                <w:szCs w:val="11"/>
              </w:rPr>
              <w:t>284.2142</w:t>
            </w:r>
          </w:p>
        </w:tc>
        <w:tc>
          <w:tcPr>
            <w:tcW w:w="1843" w:type="dxa"/>
            <w:vMerge/>
            <w:vAlign w:val="center"/>
          </w:tcPr>
          <w:p w14:paraId="60BB0667" w14:textId="77777777" w:rsidR="004D1935" w:rsidRPr="00304F31" w:rsidRDefault="004D1935" w:rsidP="00E24DC9">
            <w:pPr>
              <w:jc w:val="center"/>
              <w:rPr>
                <w:color w:val="000000" w:themeColor="text1"/>
                <w:sz w:val="11"/>
                <w:szCs w:val="11"/>
              </w:rPr>
            </w:pPr>
          </w:p>
        </w:tc>
        <w:tc>
          <w:tcPr>
            <w:tcW w:w="1843" w:type="dxa"/>
            <w:vMerge/>
            <w:vAlign w:val="center"/>
          </w:tcPr>
          <w:p w14:paraId="01F17E01" w14:textId="77777777" w:rsidR="004D1935" w:rsidRPr="00304F31" w:rsidRDefault="004D1935" w:rsidP="00E24DC9">
            <w:pPr>
              <w:jc w:val="center"/>
              <w:rPr>
                <w:color w:val="000000" w:themeColor="text1"/>
                <w:sz w:val="11"/>
                <w:szCs w:val="11"/>
              </w:rPr>
            </w:pPr>
          </w:p>
        </w:tc>
        <w:tc>
          <w:tcPr>
            <w:tcW w:w="1134" w:type="dxa"/>
            <w:vMerge/>
            <w:vAlign w:val="center"/>
          </w:tcPr>
          <w:p w14:paraId="287BA503" w14:textId="77777777" w:rsidR="004D1935" w:rsidRPr="00304F31" w:rsidRDefault="004D1935" w:rsidP="00E24DC9">
            <w:pPr>
              <w:jc w:val="center"/>
              <w:rPr>
                <w:color w:val="000000" w:themeColor="text1"/>
                <w:sz w:val="11"/>
                <w:szCs w:val="11"/>
              </w:rPr>
            </w:pPr>
          </w:p>
        </w:tc>
        <w:tc>
          <w:tcPr>
            <w:tcW w:w="9072" w:type="dxa"/>
            <w:vMerge/>
            <w:vAlign w:val="center"/>
          </w:tcPr>
          <w:p w14:paraId="2A7623DC" w14:textId="77777777" w:rsidR="004D1935" w:rsidRPr="00304F31" w:rsidRDefault="004D1935" w:rsidP="00E24DC9">
            <w:pPr>
              <w:jc w:val="center"/>
              <w:rPr>
                <w:color w:val="000000" w:themeColor="text1"/>
                <w:sz w:val="11"/>
                <w:szCs w:val="11"/>
              </w:rPr>
            </w:pPr>
          </w:p>
        </w:tc>
      </w:tr>
      <w:tr w:rsidR="004D1935" w:rsidRPr="00304F31" w14:paraId="14A0A57F" w14:textId="77777777" w:rsidTr="00E24DC9">
        <w:tc>
          <w:tcPr>
            <w:tcW w:w="567" w:type="dxa"/>
            <w:vMerge/>
            <w:vAlign w:val="center"/>
          </w:tcPr>
          <w:p w14:paraId="6EB06916" w14:textId="77777777" w:rsidR="004D1935" w:rsidRPr="00304F31" w:rsidRDefault="004D1935" w:rsidP="00E24DC9">
            <w:pPr>
              <w:jc w:val="center"/>
              <w:rPr>
                <w:sz w:val="11"/>
                <w:szCs w:val="11"/>
              </w:rPr>
            </w:pPr>
          </w:p>
        </w:tc>
        <w:tc>
          <w:tcPr>
            <w:tcW w:w="851" w:type="dxa"/>
            <w:tcBorders>
              <w:top w:val="nil"/>
              <w:bottom w:val="nil"/>
            </w:tcBorders>
            <w:vAlign w:val="center"/>
          </w:tcPr>
          <w:p w14:paraId="00BC5720" w14:textId="77777777" w:rsidR="004D1935" w:rsidRPr="00304F31" w:rsidRDefault="004D1935" w:rsidP="00E24DC9">
            <w:pPr>
              <w:jc w:val="center"/>
              <w:rPr>
                <w:rFonts w:ascii="Calibri" w:hAnsi="Calibri" w:cs="Calibri"/>
                <w:color w:val="000000"/>
                <w:sz w:val="11"/>
                <w:szCs w:val="11"/>
              </w:rPr>
            </w:pPr>
            <w:r w:rsidRPr="00304F31">
              <w:rPr>
                <w:rFonts w:ascii="Calibri" w:hAnsi="Calibri" w:cs="Calibri"/>
                <w:color w:val="000000"/>
                <w:sz w:val="11"/>
                <w:szCs w:val="11"/>
              </w:rPr>
              <w:t>284.2564</w:t>
            </w:r>
          </w:p>
        </w:tc>
        <w:tc>
          <w:tcPr>
            <w:tcW w:w="1843" w:type="dxa"/>
            <w:vMerge/>
            <w:vAlign w:val="center"/>
          </w:tcPr>
          <w:p w14:paraId="546709EA" w14:textId="77777777" w:rsidR="004D1935" w:rsidRPr="00304F31" w:rsidRDefault="004D1935" w:rsidP="00E24DC9">
            <w:pPr>
              <w:jc w:val="center"/>
              <w:rPr>
                <w:color w:val="000000" w:themeColor="text1"/>
                <w:sz w:val="11"/>
                <w:szCs w:val="11"/>
              </w:rPr>
            </w:pPr>
          </w:p>
        </w:tc>
        <w:tc>
          <w:tcPr>
            <w:tcW w:w="1843" w:type="dxa"/>
            <w:vMerge/>
            <w:vAlign w:val="center"/>
          </w:tcPr>
          <w:p w14:paraId="0FF4450E" w14:textId="77777777" w:rsidR="004D1935" w:rsidRPr="00304F31" w:rsidRDefault="004D1935" w:rsidP="00E24DC9">
            <w:pPr>
              <w:jc w:val="center"/>
              <w:rPr>
                <w:color w:val="000000" w:themeColor="text1"/>
                <w:sz w:val="11"/>
                <w:szCs w:val="11"/>
              </w:rPr>
            </w:pPr>
          </w:p>
        </w:tc>
        <w:tc>
          <w:tcPr>
            <w:tcW w:w="1134" w:type="dxa"/>
            <w:vMerge/>
            <w:vAlign w:val="center"/>
          </w:tcPr>
          <w:p w14:paraId="2909F05F" w14:textId="77777777" w:rsidR="004D1935" w:rsidRPr="00304F31" w:rsidRDefault="004D1935" w:rsidP="00E24DC9">
            <w:pPr>
              <w:jc w:val="center"/>
              <w:rPr>
                <w:color w:val="000000" w:themeColor="text1"/>
                <w:sz w:val="11"/>
                <w:szCs w:val="11"/>
              </w:rPr>
            </w:pPr>
          </w:p>
        </w:tc>
        <w:tc>
          <w:tcPr>
            <w:tcW w:w="9072" w:type="dxa"/>
            <w:vMerge/>
            <w:vAlign w:val="center"/>
          </w:tcPr>
          <w:p w14:paraId="7D572E85" w14:textId="77777777" w:rsidR="004D1935" w:rsidRPr="00304F31" w:rsidRDefault="004D1935" w:rsidP="00E24DC9">
            <w:pPr>
              <w:jc w:val="center"/>
              <w:rPr>
                <w:color w:val="000000" w:themeColor="text1"/>
                <w:sz w:val="11"/>
                <w:szCs w:val="11"/>
              </w:rPr>
            </w:pPr>
          </w:p>
        </w:tc>
      </w:tr>
      <w:tr w:rsidR="004D1935" w:rsidRPr="00304F31" w14:paraId="0A702E0F" w14:textId="77777777" w:rsidTr="00E24DC9">
        <w:tc>
          <w:tcPr>
            <w:tcW w:w="567" w:type="dxa"/>
            <w:vMerge/>
            <w:vAlign w:val="center"/>
          </w:tcPr>
          <w:p w14:paraId="71F9B24E" w14:textId="77777777" w:rsidR="004D1935" w:rsidRPr="00304F31" w:rsidRDefault="004D1935" w:rsidP="00E24DC9">
            <w:pPr>
              <w:jc w:val="center"/>
              <w:rPr>
                <w:sz w:val="11"/>
                <w:szCs w:val="11"/>
              </w:rPr>
            </w:pPr>
          </w:p>
        </w:tc>
        <w:tc>
          <w:tcPr>
            <w:tcW w:w="851" w:type="dxa"/>
            <w:tcBorders>
              <w:top w:val="nil"/>
              <w:bottom w:val="nil"/>
            </w:tcBorders>
            <w:vAlign w:val="center"/>
          </w:tcPr>
          <w:p w14:paraId="133A4AE2" w14:textId="77777777" w:rsidR="004D1935" w:rsidRPr="00304F31" w:rsidRDefault="004D1935" w:rsidP="00E24DC9">
            <w:pPr>
              <w:jc w:val="center"/>
              <w:rPr>
                <w:rFonts w:ascii="Calibri" w:hAnsi="Calibri" w:cs="Calibri"/>
                <w:color w:val="000000"/>
                <w:sz w:val="11"/>
                <w:szCs w:val="11"/>
              </w:rPr>
            </w:pPr>
            <w:r w:rsidRPr="00304F31">
              <w:rPr>
                <w:rFonts w:ascii="Calibri" w:hAnsi="Calibri" w:cs="Calibri"/>
                <w:color w:val="000000"/>
                <w:sz w:val="11"/>
                <w:szCs w:val="11"/>
              </w:rPr>
              <w:t>284.1363</w:t>
            </w:r>
          </w:p>
        </w:tc>
        <w:tc>
          <w:tcPr>
            <w:tcW w:w="1843" w:type="dxa"/>
            <w:vMerge/>
            <w:vAlign w:val="center"/>
          </w:tcPr>
          <w:p w14:paraId="3E576CFC" w14:textId="77777777" w:rsidR="004D1935" w:rsidRPr="00304F31" w:rsidRDefault="004D1935" w:rsidP="00E24DC9">
            <w:pPr>
              <w:jc w:val="center"/>
              <w:rPr>
                <w:color w:val="000000" w:themeColor="text1"/>
                <w:sz w:val="11"/>
                <w:szCs w:val="11"/>
              </w:rPr>
            </w:pPr>
          </w:p>
        </w:tc>
        <w:tc>
          <w:tcPr>
            <w:tcW w:w="1843" w:type="dxa"/>
            <w:vMerge/>
            <w:vAlign w:val="center"/>
          </w:tcPr>
          <w:p w14:paraId="3AFCD1D2" w14:textId="77777777" w:rsidR="004D1935" w:rsidRPr="00304F31" w:rsidRDefault="004D1935" w:rsidP="00E24DC9">
            <w:pPr>
              <w:jc w:val="center"/>
              <w:rPr>
                <w:color w:val="000000" w:themeColor="text1"/>
                <w:sz w:val="11"/>
                <w:szCs w:val="11"/>
              </w:rPr>
            </w:pPr>
          </w:p>
        </w:tc>
        <w:tc>
          <w:tcPr>
            <w:tcW w:w="1134" w:type="dxa"/>
            <w:vMerge/>
            <w:vAlign w:val="center"/>
          </w:tcPr>
          <w:p w14:paraId="100A29B4" w14:textId="77777777" w:rsidR="004D1935" w:rsidRPr="00304F31" w:rsidRDefault="004D1935" w:rsidP="00E24DC9">
            <w:pPr>
              <w:jc w:val="center"/>
              <w:rPr>
                <w:color w:val="000000" w:themeColor="text1"/>
                <w:sz w:val="11"/>
                <w:szCs w:val="11"/>
              </w:rPr>
            </w:pPr>
          </w:p>
        </w:tc>
        <w:tc>
          <w:tcPr>
            <w:tcW w:w="9072" w:type="dxa"/>
            <w:vMerge/>
            <w:vAlign w:val="center"/>
          </w:tcPr>
          <w:p w14:paraId="70EE8BA5" w14:textId="77777777" w:rsidR="004D1935" w:rsidRPr="00304F31" w:rsidRDefault="004D1935" w:rsidP="00E24DC9">
            <w:pPr>
              <w:jc w:val="center"/>
              <w:rPr>
                <w:color w:val="000000" w:themeColor="text1"/>
                <w:sz w:val="11"/>
                <w:szCs w:val="11"/>
              </w:rPr>
            </w:pPr>
          </w:p>
        </w:tc>
      </w:tr>
      <w:tr w:rsidR="004D1935" w:rsidRPr="00304F31" w14:paraId="6F98602D" w14:textId="77777777" w:rsidTr="00E24DC9">
        <w:tc>
          <w:tcPr>
            <w:tcW w:w="567" w:type="dxa"/>
            <w:vMerge/>
            <w:vAlign w:val="center"/>
          </w:tcPr>
          <w:p w14:paraId="0CA3A555" w14:textId="77777777" w:rsidR="004D1935" w:rsidRPr="00304F31" w:rsidRDefault="004D1935" w:rsidP="00E24DC9">
            <w:pPr>
              <w:jc w:val="center"/>
              <w:rPr>
                <w:sz w:val="11"/>
                <w:szCs w:val="11"/>
              </w:rPr>
            </w:pPr>
          </w:p>
        </w:tc>
        <w:tc>
          <w:tcPr>
            <w:tcW w:w="851" w:type="dxa"/>
            <w:tcBorders>
              <w:top w:val="nil"/>
              <w:bottom w:val="nil"/>
            </w:tcBorders>
            <w:vAlign w:val="center"/>
          </w:tcPr>
          <w:p w14:paraId="7D0A63F9" w14:textId="77777777" w:rsidR="004D1935" w:rsidRPr="00304F31" w:rsidRDefault="004D1935" w:rsidP="00E24DC9">
            <w:pPr>
              <w:jc w:val="center"/>
              <w:rPr>
                <w:rFonts w:ascii="Calibri" w:hAnsi="Calibri" w:cs="Calibri"/>
                <w:color w:val="000000"/>
                <w:sz w:val="11"/>
                <w:szCs w:val="11"/>
              </w:rPr>
            </w:pPr>
            <w:r w:rsidRPr="00304F31">
              <w:rPr>
                <w:rFonts w:ascii="Calibri" w:hAnsi="Calibri" w:cs="Calibri"/>
                <w:color w:val="000000"/>
                <w:sz w:val="11"/>
                <w:szCs w:val="11"/>
              </w:rPr>
              <w:t>284.1746</w:t>
            </w:r>
          </w:p>
        </w:tc>
        <w:tc>
          <w:tcPr>
            <w:tcW w:w="1843" w:type="dxa"/>
            <w:vMerge/>
            <w:vAlign w:val="center"/>
          </w:tcPr>
          <w:p w14:paraId="12AA4D35" w14:textId="77777777" w:rsidR="004D1935" w:rsidRPr="00304F31" w:rsidRDefault="004D1935" w:rsidP="00E24DC9">
            <w:pPr>
              <w:jc w:val="center"/>
              <w:rPr>
                <w:color w:val="000000" w:themeColor="text1"/>
                <w:sz w:val="11"/>
                <w:szCs w:val="11"/>
              </w:rPr>
            </w:pPr>
          </w:p>
        </w:tc>
        <w:tc>
          <w:tcPr>
            <w:tcW w:w="1843" w:type="dxa"/>
            <w:vMerge/>
            <w:vAlign w:val="center"/>
          </w:tcPr>
          <w:p w14:paraId="2A60A693" w14:textId="77777777" w:rsidR="004D1935" w:rsidRPr="00304F31" w:rsidRDefault="004D1935" w:rsidP="00E24DC9">
            <w:pPr>
              <w:jc w:val="center"/>
              <w:rPr>
                <w:color w:val="000000" w:themeColor="text1"/>
                <w:sz w:val="11"/>
                <w:szCs w:val="11"/>
              </w:rPr>
            </w:pPr>
          </w:p>
        </w:tc>
        <w:tc>
          <w:tcPr>
            <w:tcW w:w="1134" w:type="dxa"/>
            <w:vMerge/>
            <w:vAlign w:val="center"/>
          </w:tcPr>
          <w:p w14:paraId="58E31158" w14:textId="77777777" w:rsidR="004D1935" w:rsidRPr="00304F31" w:rsidRDefault="004D1935" w:rsidP="00E24DC9">
            <w:pPr>
              <w:jc w:val="center"/>
              <w:rPr>
                <w:color w:val="000000" w:themeColor="text1"/>
                <w:sz w:val="11"/>
                <w:szCs w:val="11"/>
              </w:rPr>
            </w:pPr>
          </w:p>
        </w:tc>
        <w:tc>
          <w:tcPr>
            <w:tcW w:w="9072" w:type="dxa"/>
            <w:vMerge/>
            <w:vAlign w:val="center"/>
          </w:tcPr>
          <w:p w14:paraId="1A1D42CD" w14:textId="77777777" w:rsidR="004D1935" w:rsidRPr="00304F31" w:rsidRDefault="004D1935" w:rsidP="00E24DC9">
            <w:pPr>
              <w:jc w:val="center"/>
              <w:rPr>
                <w:color w:val="000000" w:themeColor="text1"/>
                <w:sz w:val="11"/>
                <w:szCs w:val="11"/>
              </w:rPr>
            </w:pPr>
          </w:p>
        </w:tc>
      </w:tr>
      <w:tr w:rsidR="004D1935" w:rsidRPr="00304F31" w14:paraId="23D07341" w14:textId="77777777" w:rsidTr="00E24DC9">
        <w:tc>
          <w:tcPr>
            <w:tcW w:w="567" w:type="dxa"/>
            <w:vMerge/>
            <w:vAlign w:val="center"/>
          </w:tcPr>
          <w:p w14:paraId="43AE96E8" w14:textId="77777777" w:rsidR="004D1935" w:rsidRPr="00304F31" w:rsidRDefault="004D1935" w:rsidP="00E24DC9">
            <w:pPr>
              <w:jc w:val="center"/>
              <w:rPr>
                <w:sz w:val="11"/>
                <w:szCs w:val="11"/>
              </w:rPr>
            </w:pPr>
          </w:p>
        </w:tc>
        <w:tc>
          <w:tcPr>
            <w:tcW w:w="851" w:type="dxa"/>
            <w:tcBorders>
              <w:top w:val="nil"/>
              <w:bottom w:val="nil"/>
            </w:tcBorders>
            <w:vAlign w:val="center"/>
          </w:tcPr>
          <w:p w14:paraId="1BE0262A" w14:textId="77777777" w:rsidR="004D1935" w:rsidRPr="00304F31" w:rsidRDefault="004D1935" w:rsidP="00E24DC9">
            <w:pPr>
              <w:jc w:val="center"/>
              <w:rPr>
                <w:rFonts w:ascii="Calibri" w:hAnsi="Calibri" w:cs="Calibri"/>
                <w:color w:val="000000"/>
                <w:sz w:val="11"/>
                <w:szCs w:val="11"/>
              </w:rPr>
            </w:pPr>
            <w:r w:rsidRPr="00304F31">
              <w:rPr>
                <w:rFonts w:ascii="Calibri" w:hAnsi="Calibri" w:cs="Calibri"/>
                <w:color w:val="000000"/>
                <w:sz w:val="11"/>
                <w:szCs w:val="11"/>
              </w:rPr>
              <w:t>284.2155</w:t>
            </w:r>
          </w:p>
        </w:tc>
        <w:tc>
          <w:tcPr>
            <w:tcW w:w="1843" w:type="dxa"/>
            <w:vMerge/>
            <w:vAlign w:val="center"/>
          </w:tcPr>
          <w:p w14:paraId="0124D19C" w14:textId="77777777" w:rsidR="004D1935" w:rsidRPr="00304F31" w:rsidRDefault="004D1935" w:rsidP="00E24DC9">
            <w:pPr>
              <w:jc w:val="center"/>
              <w:rPr>
                <w:color w:val="000000" w:themeColor="text1"/>
                <w:sz w:val="11"/>
                <w:szCs w:val="11"/>
              </w:rPr>
            </w:pPr>
          </w:p>
        </w:tc>
        <w:tc>
          <w:tcPr>
            <w:tcW w:w="1843" w:type="dxa"/>
            <w:vMerge/>
            <w:vAlign w:val="center"/>
          </w:tcPr>
          <w:p w14:paraId="7C89F18F" w14:textId="77777777" w:rsidR="004D1935" w:rsidRPr="00304F31" w:rsidRDefault="004D1935" w:rsidP="00E24DC9">
            <w:pPr>
              <w:jc w:val="center"/>
              <w:rPr>
                <w:color w:val="000000" w:themeColor="text1"/>
                <w:sz w:val="11"/>
                <w:szCs w:val="11"/>
              </w:rPr>
            </w:pPr>
          </w:p>
        </w:tc>
        <w:tc>
          <w:tcPr>
            <w:tcW w:w="1134" w:type="dxa"/>
            <w:vMerge/>
            <w:vAlign w:val="center"/>
          </w:tcPr>
          <w:p w14:paraId="5304FB60" w14:textId="77777777" w:rsidR="004D1935" w:rsidRPr="00304F31" w:rsidRDefault="004D1935" w:rsidP="00E24DC9">
            <w:pPr>
              <w:jc w:val="center"/>
              <w:rPr>
                <w:color w:val="000000" w:themeColor="text1"/>
                <w:sz w:val="11"/>
                <w:szCs w:val="11"/>
              </w:rPr>
            </w:pPr>
          </w:p>
        </w:tc>
        <w:tc>
          <w:tcPr>
            <w:tcW w:w="9072" w:type="dxa"/>
            <w:vMerge/>
            <w:vAlign w:val="center"/>
          </w:tcPr>
          <w:p w14:paraId="012C83FF" w14:textId="77777777" w:rsidR="004D1935" w:rsidRPr="00304F31" w:rsidRDefault="004D1935" w:rsidP="00E24DC9">
            <w:pPr>
              <w:jc w:val="center"/>
              <w:rPr>
                <w:color w:val="000000" w:themeColor="text1"/>
                <w:sz w:val="11"/>
                <w:szCs w:val="11"/>
              </w:rPr>
            </w:pPr>
          </w:p>
        </w:tc>
      </w:tr>
      <w:tr w:rsidR="004D1935" w:rsidRPr="00304F31" w14:paraId="493CB5B5" w14:textId="77777777" w:rsidTr="00E24DC9">
        <w:tc>
          <w:tcPr>
            <w:tcW w:w="567" w:type="dxa"/>
            <w:vMerge/>
            <w:vAlign w:val="center"/>
          </w:tcPr>
          <w:p w14:paraId="0EE23F23" w14:textId="77777777" w:rsidR="004D1935" w:rsidRPr="00304F31" w:rsidRDefault="004D1935" w:rsidP="00E24DC9">
            <w:pPr>
              <w:jc w:val="center"/>
              <w:rPr>
                <w:sz w:val="11"/>
                <w:szCs w:val="11"/>
              </w:rPr>
            </w:pPr>
          </w:p>
        </w:tc>
        <w:tc>
          <w:tcPr>
            <w:tcW w:w="851" w:type="dxa"/>
            <w:tcBorders>
              <w:top w:val="nil"/>
              <w:bottom w:val="nil"/>
            </w:tcBorders>
            <w:vAlign w:val="center"/>
          </w:tcPr>
          <w:p w14:paraId="189CDB60" w14:textId="77777777" w:rsidR="004D1935" w:rsidRPr="00304F31" w:rsidRDefault="004D1935" w:rsidP="00E24DC9">
            <w:pPr>
              <w:jc w:val="center"/>
              <w:rPr>
                <w:rFonts w:ascii="Calibri" w:hAnsi="Calibri" w:cs="Calibri"/>
                <w:color w:val="000000"/>
                <w:sz w:val="11"/>
                <w:szCs w:val="11"/>
              </w:rPr>
            </w:pPr>
            <w:r w:rsidRPr="00304F31">
              <w:rPr>
                <w:rFonts w:ascii="Calibri" w:hAnsi="Calibri" w:cs="Calibri"/>
                <w:color w:val="000000"/>
                <w:sz w:val="11"/>
                <w:szCs w:val="11"/>
              </w:rPr>
              <w:t>284.1133</w:t>
            </w:r>
          </w:p>
        </w:tc>
        <w:tc>
          <w:tcPr>
            <w:tcW w:w="1843" w:type="dxa"/>
            <w:vMerge/>
            <w:vAlign w:val="center"/>
          </w:tcPr>
          <w:p w14:paraId="5498AFCD" w14:textId="77777777" w:rsidR="004D1935" w:rsidRPr="00304F31" w:rsidRDefault="004D1935" w:rsidP="00E24DC9">
            <w:pPr>
              <w:jc w:val="center"/>
              <w:rPr>
                <w:color w:val="000000" w:themeColor="text1"/>
                <w:sz w:val="11"/>
                <w:szCs w:val="11"/>
              </w:rPr>
            </w:pPr>
          </w:p>
        </w:tc>
        <w:tc>
          <w:tcPr>
            <w:tcW w:w="1843" w:type="dxa"/>
            <w:vMerge/>
            <w:vAlign w:val="center"/>
          </w:tcPr>
          <w:p w14:paraId="009D3D55" w14:textId="77777777" w:rsidR="004D1935" w:rsidRPr="00304F31" w:rsidRDefault="004D1935" w:rsidP="00E24DC9">
            <w:pPr>
              <w:jc w:val="center"/>
              <w:rPr>
                <w:color w:val="000000" w:themeColor="text1"/>
                <w:sz w:val="11"/>
                <w:szCs w:val="11"/>
              </w:rPr>
            </w:pPr>
          </w:p>
        </w:tc>
        <w:tc>
          <w:tcPr>
            <w:tcW w:w="1134" w:type="dxa"/>
            <w:vMerge/>
            <w:vAlign w:val="center"/>
          </w:tcPr>
          <w:p w14:paraId="2B468640" w14:textId="77777777" w:rsidR="004D1935" w:rsidRPr="00304F31" w:rsidRDefault="004D1935" w:rsidP="00E24DC9">
            <w:pPr>
              <w:jc w:val="center"/>
              <w:rPr>
                <w:color w:val="000000" w:themeColor="text1"/>
                <w:sz w:val="11"/>
                <w:szCs w:val="11"/>
              </w:rPr>
            </w:pPr>
          </w:p>
        </w:tc>
        <w:tc>
          <w:tcPr>
            <w:tcW w:w="9072" w:type="dxa"/>
            <w:vMerge/>
            <w:vAlign w:val="center"/>
          </w:tcPr>
          <w:p w14:paraId="4B990AB6" w14:textId="77777777" w:rsidR="004D1935" w:rsidRPr="00304F31" w:rsidRDefault="004D1935" w:rsidP="00E24DC9">
            <w:pPr>
              <w:jc w:val="center"/>
              <w:rPr>
                <w:color w:val="000000" w:themeColor="text1"/>
                <w:sz w:val="11"/>
                <w:szCs w:val="11"/>
              </w:rPr>
            </w:pPr>
          </w:p>
        </w:tc>
      </w:tr>
      <w:tr w:rsidR="004D1935" w:rsidRPr="00304F31" w14:paraId="68ABD8CB" w14:textId="77777777" w:rsidTr="00E24DC9">
        <w:tc>
          <w:tcPr>
            <w:tcW w:w="567" w:type="dxa"/>
            <w:vMerge/>
            <w:vAlign w:val="center"/>
          </w:tcPr>
          <w:p w14:paraId="3913AAC9" w14:textId="77777777" w:rsidR="004D1935" w:rsidRPr="00304F31" w:rsidRDefault="004D1935" w:rsidP="00E24DC9">
            <w:pPr>
              <w:jc w:val="center"/>
              <w:rPr>
                <w:sz w:val="11"/>
                <w:szCs w:val="11"/>
              </w:rPr>
            </w:pPr>
          </w:p>
        </w:tc>
        <w:tc>
          <w:tcPr>
            <w:tcW w:w="851" w:type="dxa"/>
            <w:tcBorders>
              <w:top w:val="nil"/>
              <w:bottom w:val="nil"/>
            </w:tcBorders>
            <w:vAlign w:val="center"/>
          </w:tcPr>
          <w:p w14:paraId="428BA62E" w14:textId="77777777" w:rsidR="004D1935" w:rsidRPr="00304F31" w:rsidRDefault="004D1935" w:rsidP="00E24DC9">
            <w:pPr>
              <w:jc w:val="center"/>
              <w:rPr>
                <w:rFonts w:ascii="Calibri" w:hAnsi="Calibri" w:cs="Calibri"/>
                <w:color w:val="000000"/>
                <w:sz w:val="11"/>
                <w:szCs w:val="11"/>
              </w:rPr>
            </w:pPr>
            <w:r w:rsidRPr="00304F31">
              <w:rPr>
                <w:rFonts w:ascii="Calibri" w:hAnsi="Calibri" w:cs="Calibri"/>
                <w:color w:val="000000"/>
                <w:sz w:val="11"/>
                <w:szCs w:val="11"/>
              </w:rPr>
              <w:t>284.2027</w:t>
            </w:r>
          </w:p>
        </w:tc>
        <w:tc>
          <w:tcPr>
            <w:tcW w:w="1843" w:type="dxa"/>
            <w:vMerge/>
            <w:vAlign w:val="center"/>
          </w:tcPr>
          <w:p w14:paraId="0272FF4B" w14:textId="77777777" w:rsidR="004D1935" w:rsidRPr="00304F31" w:rsidRDefault="004D1935" w:rsidP="00E24DC9">
            <w:pPr>
              <w:jc w:val="center"/>
              <w:rPr>
                <w:color w:val="000000" w:themeColor="text1"/>
                <w:sz w:val="11"/>
                <w:szCs w:val="11"/>
              </w:rPr>
            </w:pPr>
          </w:p>
        </w:tc>
        <w:tc>
          <w:tcPr>
            <w:tcW w:w="1843" w:type="dxa"/>
            <w:vMerge/>
            <w:vAlign w:val="center"/>
          </w:tcPr>
          <w:p w14:paraId="10B885CA" w14:textId="77777777" w:rsidR="004D1935" w:rsidRPr="00304F31" w:rsidRDefault="004D1935" w:rsidP="00E24DC9">
            <w:pPr>
              <w:jc w:val="center"/>
              <w:rPr>
                <w:color w:val="000000" w:themeColor="text1"/>
                <w:sz w:val="11"/>
                <w:szCs w:val="11"/>
              </w:rPr>
            </w:pPr>
          </w:p>
        </w:tc>
        <w:tc>
          <w:tcPr>
            <w:tcW w:w="1134" w:type="dxa"/>
            <w:vMerge/>
            <w:vAlign w:val="center"/>
          </w:tcPr>
          <w:p w14:paraId="11F149F0" w14:textId="77777777" w:rsidR="004D1935" w:rsidRPr="00304F31" w:rsidRDefault="004D1935" w:rsidP="00E24DC9">
            <w:pPr>
              <w:jc w:val="center"/>
              <w:rPr>
                <w:color w:val="000000" w:themeColor="text1"/>
                <w:sz w:val="11"/>
                <w:szCs w:val="11"/>
              </w:rPr>
            </w:pPr>
          </w:p>
        </w:tc>
        <w:tc>
          <w:tcPr>
            <w:tcW w:w="9072" w:type="dxa"/>
            <w:vMerge/>
            <w:vAlign w:val="center"/>
          </w:tcPr>
          <w:p w14:paraId="70AE4577" w14:textId="77777777" w:rsidR="004D1935" w:rsidRPr="00304F31" w:rsidRDefault="004D1935" w:rsidP="00E24DC9">
            <w:pPr>
              <w:jc w:val="center"/>
              <w:rPr>
                <w:color w:val="000000" w:themeColor="text1"/>
                <w:sz w:val="11"/>
                <w:szCs w:val="11"/>
              </w:rPr>
            </w:pPr>
          </w:p>
        </w:tc>
      </w:tr>
      <w:tr w:rsidR="004D1935" w:rsidRPr="00304F31" w14:paraId="18990589" w14:textId="77777777" w:rsidTr="00E24DC9">
        <w:tc>
          <w:tcPr>
            <w:tcW w:w="567" w:type="dxa"/>
            <w:vMerge/>
            <w:vAlign w:val="center"/>
          </w:tcPr>
          <w:p w14:paraId="23A8D99C" w14:textId="77777777" w:rsidR="004D1935" w:rsidRPr="00304F31" w:rsidRDefault="004D1935" w:rsidP="00E24DC9">
            <w:pPr>
              <w:jc w:val="center"/>
              <w:rPr>
                <w:sz w:val="11"/>
                <w:szCs w:val="11"/>
              </w:rPr>
            </w:pPr>
          </w:p>
        </w:tc>
        <w:tc>
          <w:tcPr>
            <w:tcW w:w="851" w:type="dxa"/>
            <w:tcBorders>
              <w:top w:val="nil"/>
              <w:bottom w:val="nil"/>
            </w:tcBorders>
            <w:vAlign w:val="center"/>
          </w:tcPr>
          <w:p w14:paraId="1FB104CC" w14:textId="77777777" w:rsidR="004D1935" w:rsidRPr="00304F31" w:rsidRDefault="004D1935" w:rsidP="00E24DC9">
            <w:pPr>
              <w:jc w:val="center"/>
              <w:rPr>
                <w:rFonts w:ascii="Calibri" w:hAnsi="Calibri" w:cs="Calibri"/>
                <w:color w:val="000000"/>
                <w:sz w:val="11"/>
                <w:szCs w:val="11"/>
              </w:rPr>
            </w:pPr>
            <w:r w:rsidRPr="00304F31">
              <w:rPr>
                <w:rFonts w:ascii="Calibri" w:hAnsi="Calibri" w:cs="Calibri"/>
                <w:color w:val="000000"/>
                <w:sz w:val="11"/>
                <w:szCs w:val="11"/>
              </w:rPr>
              <w:t>284.2487</w:t>
            </w:r>
          </w:p>
        </w:tc>
        <w:tc>
          <w:tcPr>
            <w:tcW w:w="1843" w:type="dxa"/>
            <w:vMerge/>
            <w:vAlign w:val="center"/>
          </w:tcPr>
          <w:p w14:paraId="6511D8C1" w14:textId="77777777" w:rsidR="004D1935" w:rsidRPr="00304F31" w:rsidRDefault="004D1935" w:rsidP="00E24DC9">
            <w:pPr>
              <w:jc w:val="center"/>
              <w:rPr>
                <w:color w:val="000000" w:themeColor="text1"/>
                <w:sz w:val="11"/>
                <w:szCs w:val="11"/>
              </w:rPr>
            </w:pPr>
          </w:p>
        </w:tc>
        <w:tc>
          <w:tcPr>
            <w:tcW w:w="1843" w:type="dxa"/>
            <w:vMerge/>
            <w:vAlign w:val="center"/>
          </w:tcPr>
          <w:p w14:paraId="78B54B5D" w14:textId="77777777" w:rsidR="004D1935" w:rsidRPr="00304F31" w:rsidRDefault="004D1935" w:rsidP="00E24DC9">
            <w:pPr>
              <w:jc w:val="center"/>
              <w:rPr>
                <w:color w:val="000000" w:themeColor="text1"/>
                <w:sz w:val="11"/>
                <w:szCs w:val="11"/>
              </w:rPr>
            </w:pPr>
          </w:p>
        </w:tc>
        <w:tc>
          <w:tcPr>
            <w:tcW w:w="1134" w:type="dxa"/>
            <w:vMerge/>
            <w:vAlign w:val="center"/>
          </w:tcPr>
          <w:p w14:paraId="5E191429" w14:textId="77777777" w:rsidR="004D1935" w:rsidRPr="00304F31" w:rsidRDefault="004D1935" w:rsidP="00E24DC9">
            <w:pPr>
              <w:jc w:val="center"/>
              <w:rPr>
                <w:color w:val="000000" w:themeColor="text1"/>
                <w:sz w:val="11"/>
                <w:szCs w:val="11"/>
              </w:rPr>
            </w:pPr>
          </w:p>
        </w:tc>
        <w:tc>
          <w:tcPr>
            <w:tcW w:w="9072" w:type="dxa"/>
            <w:vMerge/>
            <w:vAlign w:val="center"/>
          </w:tcPr>
          <w:p w14:paraId="03275FF6" w14:textId="77777777" w:rsidR="004D1935" w:rsidRPr="00304F31" w:rsidRDefault="004D1935" w:rsidP="00E24DC9">
            <w:pPr>
              <w:jc w:val="center"/>
              <w:rPr>
                <w:color w:val="000000" w:themeColor="text1"/>
                <w:sz w:val="11"/>
                <w:szCs w:val="11"/>
              </w:rPr>
            </w:pPr>
          </w:p>
        </w:tc>
      </w:tr>
      <w:tr w:rsidR="004D1935" w:rsidRPr="00304F31" w14:paraId="5FD517FA" w14:textId="77777777" w:rsidTr="00E24DC9">
        <w:tc>
          <w:tcPr>
            <w:tcW w:w="567" w:type="dxa"/>
            <w:vMerge/>
            <w:vAlign w:val="center"/>
          </w:tcPr>
          <w:p w14:paraId="41760FD8" w14:textId="77777777" w:rsidR="004D1935" w:rsidRPr="00304F31" w:rsidRDefault="004D1935" w:rsidP="00E24DC9">
            <w:pPr>
              <w:jc w:val="center"/>
              <w:rPr>
                <w:sz w:val="11"/>
                <w:szCs w:val="11"/>
              </w:rPr>
            </w:pPr>
          </w:p>
        </w:tc>
        <w:tc>
          <w:tcPr>
            <w:tcW w:w="851" w:type="dxa"/>
            <w:tcBorders>
              <w:top w:val="nil"/>
              <w:bottom w:val="nil"/>
            </w:tcBorders>
            <w:vAlign w:val="center"/>
          </w:tcPr>
          <w:p w14:paraId="694AAF5A" w14:textId="77777777" w:rsidR="004D1935" w:rsidRPr="00304F31" w:rsidRDefault="004D1935" w:rsidP="00E24DC9">
            <w:pPr>
              <w:jc w:val="center"/>
              <w:rPr>
                <w:rFonts w:ascii="Calibri" w:hAnsi="Calibri" w:cs="Calibri"/>
                <w:color w:val="000000"/>
                <w:sz w:val="11"/>
                <w:szCs w:val="11"/>
              </w:rPr>
            </w:pPr>
            <w:r w:rsidRPr="00304F31">
              <w:rPr>
                <w:rFonts w:ascii="Calibri" w:hAnsi="Calibri" w:cs="Calibri"/>
                <w:color w:val="000000"/>
                <w:sz w:val="11"/>
                <w:szCs w:val="11"/>
              </w:rPr>
              <w:t>284.3075</w:t>
            </w:r>
          </w:p>
        </w:tc>
        <w:tc>
          <w:tcPr>
            <w:tcW w:w="1843" w:type="dxa"/>
            <w:vMerge/>
            <w:vAlign w:val="center"/>
          </w:tcPr>
          <w:p w14:paraId="71360063" w14:textId="77777777" w:rsidR="004D1935" w:rsidRPr="00304F31" w:rsidRDefault="004D1935" w:rsidP="00E24DC9">
            <w:pPr>
              <w:jc w:val="center"/>
              <w:rPr>
                <w:color w:val="000000" w:themeColor="text1"/>
                <w:sz w:val="11"/>
                <w:szCs w:val="11"/>
              </w:rPr>
            </w:pPr>
          </w:p>
        </w:tc>
        <w:tc>
          <w:tcPr>
            <w:tcW w:w="1843" w:type="dxa"/>
            <w:vMerge/>
            <w:vAlign w:val="center"/>
          </w:tcPr>
          <w:p w14:paraId="3FB9B6FF" w14:textId="77777777" w:rsidR="004D1935" w:rsidRPr="00304F31" w:rsidRDefault="004D1935" w:rsidP="00E24DC9">
            <w:pPr>
              <w:jc w:val="center"/>
              <w:rPr>
                <w:color w:val="000000" w:themeColor="text1"/>
                <w:sz w:val="11"/>
                <w:szCs w:val="11"/>
              </w:rPr>
            </w:pPr>
          </w:p>
        </w:tc>
        <w:tc>
          <w:tcPr>
            <w:tcW w:w="1134" w:type="dxa"/>
            <w:vMerge/>
            <w:vAlign w:val="center"/>
          </w:tcPr>
          <w:p w14:paraId="52AE372B" w14:textId="77777777" w:rsidR="004D1935" w:rsidRPr="00304F31" w:rsidRDefault="004D1935" w:rsidP="00E24DC9">
            <w:pPr>
              <w:jc w:val="center"/>
              <w:rPr>
                <w:color w:val="000000" w:themeColor="text1"/>
                <w:sz w:val="11"/>
                <w:szCs w:val="11"/>
              </w:rPr>
            </w:pPr>
          </w:p>
        </w:tc>
        <w:tc>
          <w:tcPr>
            <w:tcW w:w="9072" w:type="dxa"/>
            <w:vMerge/>
            <w:vAlign w:val="center"/>
          </w:tcPr>
          <w:p w14:paraId="008740FF" w14:textId="77777777" w:rsidR="004D1935" w:rsidRPr="00304F31" w:rsidRDefault="004D1935" w:rsidP="00E24DC9">
            <w:pPr>
              <w:jc w:val="center"/>
              <w:rPr>
                <w:color w:val="000000" w:themeColor="text1"/>
                <w:sz w:val="11"/>
                <w:szCs w:val="11"/>
              </w:rPr>
            </w:pPr>
          </w:p>
        </w:tc>
      </w:tr>
      <w:tr w:rsidR="004D1935" w:rsidRPr="00304F31" w14:paraId="02381A15" w14:textId="77777777" w:rsidTr="00E24DC9">
        <w:tc>
          <w:tcPr>
            <w:tcW w:w="567" w:type="dxa"/>
            <w:vMerge/>
            <w:vAlign w:val="center"/>
          </w:tcPr>
          <w:p w14:paraId="0D05CB82" w14:textId="77777777" w:rsidR="004D1935" w:rsidRPr="00304F31" w:rsidRDefault="004D1935" w:rsidP="00E24DC9">
            <w:pPr>
              <w:jc w:val="center"/>
              <w:rPr>
                <w:sz w:val="11"/>
                <w:szCs w:val="11"/>
              </w:rPr>
            </w:pPr>
          </w:p>
        </w:tc>
        <w:tc>
          <w:tcPr>
            <w:tcW w:w="851" w:type="dxa"/>
            <w:tcBorders>
              <w:top w:val="nil"/>
              <w:bottom w:val="nil"/>
            </w:tcBorders>
            <w:vAlign w:val="center"/>
          </w:tcPr>
          <w:p w14:paraId="325CF891" w14:textId="77777777" w:rsidR="004D1935" w:rsidRPr="00304F31" w:rsidRDefault="004D1935" w:rsidP="00E24DC9">
            <w:pPr>
              <w:jc w:val="center"/>
              <w:rPr>
                <w:rFonts w:ascii="Calibri" w:hAnsi="Calibri" w:cs="Calibri"/>
                <w:color w:val="000000"/>
                <w:sz w:val="11"/>
                <w:szCs w:val="11"/>
              </w:rPr>
            </w:pPr>
            <w:r w:rsidRPr="00304F31">
              <w:rPr>
                <w:rFonts w:ascii="Calibri" w:hAnsi="Calibri" w:cs="Calibri"/>
                <w:color w:val="000000"/>
                <w:sz w:val="11"/>
                <w:szCs w:val="11"/>
              </w:rPr>
              <w:t>284.1235</w:t>
            </w:r>
          </w:p>
        </w:tc>
        <w:tc>
          <w:tcPr>
            <w:tcW w:w="1843" w:type="dxa"/>
            <w:vMerge/>
            <w:vAlign w:val="center"/>
          </w:tcPr>
          <w:p w14:paraId="33B8B150" w14:textId="77777777" w:rsidR="004D1935" w:rsidRPr="00304F31" w:rsidRDefault="004D1935" w:rsidP="00E24DC9">
            <w:pPr>
              <w:jc w:val="center"/>
              <w:rPr>
                <w:color w:val="000000" w:themeColor="text1"/>
                <w:sz w:val="11"/>
                <w:szCs w:val="11"/>
              </w:rPr>
            </w:pPr>
          </w:p>
        </w:tc>
        <w:tc>
          <w:tcPr>
            <w:tcW w:w="1843" w:type="dxa"/>
            <w:vMerge/>
            <w:vAlign w:val="center"/>
          </w:tcPr>
          <w:p w14:paraId="4F770D59" w14:textId="77777777" w:rsidR="004D1935" w:rsidRPr="00304F31" w:rsidRDefault="004D1935" w:rsidP="00E24DC9">
            <w:pPr>
              <w:jc w:val="center"/>
              <w:rPr>
                <w:color w:val="000000" w:themeColor="text1"/>
                <w:sz w:val="11"/>
                <w:szCs w:val="11"/>
              </w:rPr>
            </w:pPr>
          </w:p>
        </w:tc>
        <w:tc>
          <w:tcPr>
            <w:tcW w:w="1134" w:type="dxa"/>
            <w:vMerge/>
            <w:vAlign w:val="center"/>
          </w:tcPr>
          <w:p w14:paraId="2547ED85" w14:textId="77777777" w:rsidR="004D1935" w:rsidRPr="00304F31" w:rsidRDefault="004D1935" w:rsidP="00E24DC9">
            <w:pPr>
              <w:jc w:val="center"/>
              <w:rPr>
                <w:color w:val="000000" w:themeColor="text1"/>
                <w:sz w:val="11"/>
                <w:szCs w:val="11"/>
              </w:rPr>
            </w:pPr>
          </w:p>
        </w:tc>
        <w:tc>
          <w:tcPr>
            <w:tcW w:w="9072" w:type="dxa"/>
            <w:vMerge/>
            <w:vAlign w:val="center"/>
          </w:tcPr>
          <w:p w14:paraId="536FC728" w14:textId="77777777" w:rsidR="004D1935" w:rsidRPr="00304F31" w:rsidRDefault="004D1935" w:rsidP="00E24DC9">
            <w:pPr>
              <w:jc w:val="center"/>
              <w:rPr>
                <w:color w:val="000000" w:themeColor="text1"/>
                <w:sz w:val="11"/>
                <w:szCs w:val="11"/>
              </w:rPr>
            </w:pPr>
          </w:p>
        </w:tc>
      </w:tr>
      <w:tr w:rsidR="004D1935" w:rsidRPr="00304F31" w14:paraId="593FE904" w14:textId="77777777" w:rsidTr="00E24DC9">
        <w:tc>
          <w:tcPr>
            <w:tcW w:w="567" w:type="dxa"/>
            <w:vMerge/>
            <w:vAlign w:val="center"/>
          </w:tcPr>
          <w:p w14:paraId="3D4D5538" w14:textId="77777777" w:rsidR="004D1935" w:rsidRPr="00304F31" w:rsidRDefault="004D1935" w:rsidP="00E24DC9">
            <w:pPr>
              <w:jc w:val="center"/>
              <w:rPr>
                <w:sz w:val="11"/>
                <w:szCs w:val="11"/>
              </w:rPr>
            </w:pPr>
          </w:p>
        </w:tc>
        <w:tc>
          <w:tcPr>
            <w:tcW w:w="851" w:type="dxa"/>
            <w:tcBorders>
              <w:top w:val="nil"/>
              <w:bottom w:val="nil"/>
            </w:tcBorders>
            <w:vAlign w:val="center"/>
          </w:tcPr>
          <w:p w14:paraId="5ACB2B06" w14:textId="77777777" w:rsidR="004D1935" w:rsidRPr="00304F31" w:rsidRDefault="004D1935" w:rsidP="00E24DC9">
            <w:pPr>
              <w:jc w:val="center"/>
              <w:rPr>
                <w:rFonts w:ascii="Calibri" w:hAnsi="Calibri" w:cs="Calibri"/>
                <w:color w:val="000000"/>
                <w:sz w:val="11"/>
                <w:szCs w:val="11"/>
              </w:rPr>
            </w:pPr>
            <w:r w:rsidRPr="00304F31">
              <w:rPr>
                <w:rFonts w:ascii="Calibri" w:hAnsi="Calibri" w:cs="Calibri"/>
                <w:color w:val="000000"/>
                <w:sz w:val="11"/>
                <w:szCs w:val="11"/>
              </w:rPr>
              <w:t>284.2002</w:t>
            </w:r>
          </w:p>
        </w:tc>
        <w:tc>
          <w:tcPr>
            <w:tcW w:w="1843" w:type="dxa"/>
            <w:vMerge/>
            <w:vAlign w:val="center"/>
          </w:tcPr>
          <w:p w14:paraId="3F3E6251" w14:textId="77777777" w:rsidR="004D1935" w:rsidRPr="00304F31" w:rsidRDefault="004D1935" w:rsidP="00E24DC9">
            <w:pPr>
              <w:jc w:val="center"/>
              <w:rPr>
                <w:color w:val="000000" w:themeColor="text1"/>
                <w:sz w:val="11"/>
                <w:szCs w:val="11"/>
              </w:rPr>
            </w:pPr>
          </w:p>
        </w:tc>
        <w:tc>
          <w:tcPr>
            <w:tcW w:w="1843" w:type="dxa"/>
            <w:vMerge/>
            <w:vAlign w:val="center"/>
          </w:tcPr>
          <w:p w14:paraId="574E8ECC" w14:textId="77777777" w:rsidR="004D1935" w:rsidRPr="00304F31" w:rsidRDefault="004D1935" w:rsidP="00E24DC9">
            <w:pPr>
              <w:jc w:val="center"/>
              <w:rPr>
                <w:color w:val="000000" w:themeColor="text1"/>
                <w:sz w:val="11"/>
                <w:szCs w:val="11"/>
              </w:rPr>
            </w:pPr>
          </w:p>
        </w:tc>
        <w:tc>
          <w:tcPr>
            <w:tcW w:w="1134" w:type="dxa"/>
            <w:vMerge/>
            <w:vAlign w:val="center"/>
          </w:tcPr>
          <w:p w14:paraId="7BC90BFC" w14:textId="77777777" w:rsidR="004D1935" w:rsidRPr="00304F31" w:rsidRDefault="004D1935" w:rsidP="00E24DC9">
            <w:pPr>
              <w:jc w:val="center"/>
              <w:rPr>
                <w:color w:val="000000" w:themeColor="text1"/>
                <w:sz w:val="11"/>
                <w:szCs w:val="11"/>
              </w:rPr>
            </w:pPr>
          </w:p>
        </w:tc>
        <w:tc>
          <w:tcPr>
            <w:tcW w:w="9072" w:type="dxa"/>
            <w:vMerge/>
            <w:vAlign w:val="center"/>
          </w:tcPr>
          <w:p w14:paraId="6ADDC79E" w14:textId="77777777" w:rsidR="004D1935" w:rsidRPr="00304F31" w:rsidRDefault="004D1935" w:rsidP="00E24DC9">
            <w:pPr>
              <w:jc w:val="center"/>
              <w:rPr>
                <w:color w:val="000000" w:themeColor="text1"/>
                <w:sz w:val="11"/>
                <w:szCs w:val="11"/>
              </w:rPr>
            </w:pPr>
          </w:p>
        </w:tc>
      </w:tr>
      <w:tr w:rsidR="004D1935" w:rsidRPr="00304F31" w14:paraId="5F3F5830" w14:textId="77777777" w:rsidTr="00E24DC9">
        <w:tc>
          <w:tcPr>
            <w:tcW w:w="567" w:type="dxa"/>
            <w:vMerge/>
            <w:vAlign w:val="center"/>
          </w:tcPr>
          <w:p w14:paraId="03DB1899" w14:textId="77777777" w:rsidR="004D1935" w:rsidRPr="00304F31" w:rsidRDefault="004D1935" w:rsidP="00E24DC9">
            <w:pPr>
              <w:jc w:val="center"/>
              <w:rPr>
                <w:sz w:val="11"/>
                <w:szCs w:val="11"/>
              </w:rPr>
            </w:pPr>
          </w:p>
        </w:tc>
        <w:tc>
          <w:tcPr>
            <w:tcW w:w="851" w:type="dxa"/>
            <w:tcBorders>
              <w:top w:val="nil"/>
              <w:bottom w:val="nil"/>
            </w:tcBorders>
            <w:vAlign w:val="center"/>
          </w:tcPr>
          <w:p w14:paraId="074B4668" w14:textId="77777777" w:rsidR="004D1935" w:rsidRPr="00304F31" w:rsidRDefault="004D1935" w:rsidP="00E24DC9">
            <w:pPr>
              <w:jc w:val="center"/>
              <w:rPr>
                <w:rFonts w:ascii="Calibri" w:hAnsi="Calibri" w:cs="Calibri"/>
                <w:color w:val="000000"/>
                <w:sz w:val="11"/>
                <w:szCs w:val="11"/>
              </w:rPr>
            </w:pPr>
            <w:r w:rsidRPr="00304F31">
              <w:rPr>
                <w:rFonts w:ascii="Calibri" w:hAnsi="Calibri" w:cs="Calibri"/>
                <w:color w:val="000000"/>
                <w:sz w:val="11"/>
                <w:szCs w:val="11"/>
              </w:rPr>
              <w:t>284.1389</w:t>
            </w:r>
          </w:p>
        </w:tc>
        <w:tc>
          <w:tcPr>
            <w:tcW w:w="1843" w:type="dxa"/>
            <w:vMerge/>
            <w:vAlign w:val="center"/>
          </w:tcPr>
          <w:p w14:paraId="6DD8A652" w14:textId="77777777" w:rsidR="004D1935" w:rsidRPr="00304F31" w:rsidRDefault="004D1935" w:rsidP="00E24DC9">
            <w:pPr>
              <w:jc w:val="center"/>
              <w:rPr>
                <w:color w:val="000000" w:themeColor="text1"/>
                <w:sz w:val="11"/>
                <w:szCs w:val="11"/>
              </w:rPr>
            </w:pPr>
          </w:p>
        </w:tc>
        <w:tc>
          <w:tcPr>
            <w:tcW w:w="1843" w:type="dxa"/>
            <w:vMerge/>
            <w:vAlign w:val="center"/>
          </w:tcPr>
          <w:p w14:paraId="2B718DE1" w14:textId="77777777" w:rsidR="004D1935" w:rsidRPr="00304F31" w:rsidRDefault="004D1935" w:rsidP="00E24DC9">
            <w:pPr>
              <w:jc w:val="center"/>
              <w:rPr>
                <w:color w:val="000000" w:themeColor="text1"/>
                <w:sz w:val="11"/>
                <w:szCs w:val="11"/>
              </w:rPr>
            </w:pPr>
          </w:p>
        </w:tc>
        <w:tc>
          <w:tcPr>
            <w:tcW w:w="1134" w:type="dxa"/>
            <w:vMerge/>
            <w:vAlign w:val="center"/>
          </w:tcPr>
          <w:p w14:paraId="3E5CAE68" w14:textId="77777777" w:rsidR="004D1935" w:rsidRPr="00304F31" w:rsidRDefault="004D1935" w:rsidP="00E24DC9">
            <w:pPr>
              <w:jc w:val="center"/>
              <w:rPr>
                <w:color w:val="000000" w:themeColor="text1"/>
                <w:sz w:val="11"/>
                <w:szCs w:val="11"/>
              </w:rPr>
            </w:pPr>
          </w:p>
        </w:tc>
        <w:tc>
          <w:tcPr>
            <w:tcW w:w="9072" w:type="dxa"/>
            <w:vMerge/>
            <w:vAlign w:val="center"/>
          </w:tcPr>
          <w:p w14:paraId="049B9211" w14:textId="77777777" w:rsidR="004D1935" w:rsidRPr="00304F31" w:rsidRDefault="004D1935" w:rsidP="00E24DC9">
            <w:pPr>
              <w:jc w:val="center"/>
              <w:rPr>
                <w:color w:val="000000" w:themeColor="text1"/>
                <w:sz w:val="11"/>
                <w:szCs w:val="11"/>
              </w:rPr>
            </w:pPr>
          </w:p>
        </w:tc>
      </w:tr>
      <w:tr w:rsidR="004D1935" w:rsidRPr="00304F31" w14:paraId="263CCC30" w14:textId="77777777" w:rsidTr="00E24DC9">
        <w:tc>
          <w:tcPr>
            <w:tcW w:w="567" w:type="dxa"/>
            <w:vMerge/>
            <w:vAlign w:val="center"/>
          </w:tcPr>
          <w:p w14:paraId="1C270441" w14:textId="77777777" w:rsidR="004D1935" w:rsidRPr="00304F31" w:rsidRDefault="004D1935" w:rsidP="00E24DC9">
            <w:pPr>
              <w:jc w:val="center"/>
              <w:rPr>
                <w:sz w:val="11"/>
                <w:szCs w:val="11"/>
              </w:rPr>
            </w:pPr>
          </w:p>
        </w:tc>
        <w:tc>
          <w:tcPr>
            <w:tcW w:w="851" w:type="dxa"/>
            <w:tcBorders>
              <w:top w:val="nil"/>
              <w:bottom w:val="single" w:sz="4" w:space="0" w:color="auto"/>
            </w:tcBorders>
            <w:vAlign w:val="center"/>
          </w:tcPr>
          <w:p w14:paraId="1FDAEAC9" w14:textId="77777777" w:rsidR="004D1935" w:rsidRPr="00304F31" w:rsidRDefault="004D1935" w:rsidP="00E24DC9">
            <w:pPr>
              <w:jc w:val="center"/>
              <w:rPr>
                <w:rFonts w:ascii="Calibri" w:hAnsi="Calibri" w:cs="Calibri"/>
                <w:color w:val="000000"/>
                <w:sz w:val="11"/>
                <w:szCs w:val="11"/>
              </w:rPr>
            </w:pPr>
            <w:r w:rsidRPr="00304F31">
              <w:rPr>
                <w:rFonts w:ascii="Calibri" w:hAnsi="Calibri" w:cs="Calibri"/>
                <w:color w:val="000000"/>
                <w:sz w:val="11"/>
                <w:szCs w:val="11"/>
              </w:rPr>
              <w:t>284.2065</w:t>
            </w:r>
          </w:p>
        </w:tc>
        <w:tc>
          <w:tcPr>
            <w:tcW w:w="1843" w:type="dxa"/>
            <w:vMerge/>
            <w:vAlign w:val="center"/>
          </w:tcPr>
          <w:p w14:paraId="2C6DEB33" w14:textId="77777777" w:rsidR="004D1935" w:rsidRPr="00304F31" w:rsidRDefault="004D1935" w:rsidP="00E24DC9">
            <w:pPr>
              <w:jc w:val="center"/>
              <w:rPr>
                <w:color w:val="000000" w:themeColor="text1"/>
                <w:sz w:val="11"/>
                <w:szCs w:val="11"/>
              </w:rPr>
            </w:pPr>
          </w:p>
        </w:tc>
        <w:tc>
          <w:tcPr>
            <w:tcW w:w="1843" w:type="dxa"/>
            <w:vMerge/>
            <w:vAlign w:val="center"/>
          </w:tcPr>
          <w:p w14:paraId="0FE4D6A0" w14:textId="77777777" w:rsidR="004D1935" w:rsidRPr="00304F31" w:rsidRDefault="004D1935" w:rsidP="00E24DC9">
            <w:pPr>
              <w:jc w:val="center"/>
              <w:rPr>
                <w:color w:val="000000" w:themeColor="text1"/>
                <w:sz w:val="11"/>
                <w:szCs w:val="11"/>
              </w:rPr>
            </w:pPr>
          </w:p>
        </w:tc>
        <w:tc>
          <w:tcPr>
            <w:tcW w:w="1134" w:type="dxa"/>
            <w:vMerge/>
            <w:vAlign w:val="center"/>
          </w:tcPr>
          <w:p w14:paraId="590A7C75" w14:textId="77777777" w:rsidR="004D1935" w:rsidRPr="00304F31" w:rsidRDefault="004D1935" w:rsidP="00E24DC9">
            <w:pPr>
              <w:jc w:val="center"/>
              <w:rPr>
                <w:color w:val="000000" w:themeColor="text1"/>
                <w:sz w:val="11"/>
                <w:szCs w:val="11"/>
              </w:rPr>
            </w:pPr>
          </w:p>
        </w:tc>
        <w:tc>
          <w:tcPr>
            <w:tcW w:w="9072" w:type="dxa"/>
            <w:vMerge/>
            <w:vAlign w:val="center"/>
          </w:tcPr>
          <w:p w14:paraId="02558786" w14:textId="77777777" w:rsidR="004D1935" w:rsidRPr="00304F31" w:rsidRDefault="004D1935" w:rsidP="00E24DC9">
            <w:pPr>
              <w:jc w:val="center"/>
              <w:rPr>
                <w:color w:val="000000" w:themeColor="text1"/>
                <w:sz w:val="11"/>
                <w:szCs w:val="11"/>
              </w:rPr>
            </w:pPr>
          </w:p>
        </w:tc>
      </w:tr>
      <w:tr w:rsidR="004D1935" w:rsidRPr="00304F31" w14:paraId="4877B962" w14:textId="77777777" w:rsidTr="00E24DC9">
        <w:tc>
          <w:tcPr>
            <w:tcW w:w="567" w:type="dxa"/>
            <w:vMerge w:val="restart"/>
            <w:vAlign w:val="center"/>
          </w:tcPr>
          <w:p w14:paraId="0572233D" w14:textId="77777777" w:rsidR="004D1935" w:rsidRPr="00304F31" w:rsidRDefault="004D1935" w:rsidP="00E24DC9">
            <w:pPr>
              <w:jc w:val="center"/>
              <w:rPr>
                <w:sz w:val="11"/>
                <w:szCs w:val="11"/>
              </w:rPr>
            </w:pPr>
            <w:r w:rsidRPr="00304F31">
              <w:rPr>
                <w:sz w:val="11"/>
                <w:szCs w:val="11"/>
              </w:rPr>
              <w:t>K</w:t>
            </w:r>
          </w:p>
        </w:tc>
        <w:tc>
          <w:tcPr>
            <w:tcW w:w="851" w:type="dxa"/>
            <w:tcBorders>
              <w:bottom w:val="nil"/>
            </w:tcBorders>
            <w:vAlign w:val="center"/>
          </w:tcPr>
          <w:p w14:paraId="06BE7E75" w14:textId="77777777" w:rsidR="004D1935" w:rsidRPr="00304F31" w:rsidRDefault="004D1935" w:rsidP="00E24DC9">
            <w:pPr>
              <w:jc w:val="center"/>
              <w:rPr>
                <w:rFonts w:ascii="Calibri" w:hAnsi="Calibri" w:cs="Calibri"/>
                <w:color w:val="000000"/>
                <w:sz w:val="11"/>
                <w:szCs w:val="11"/>
              </w:rPr>
            </w:pPr>
            <w:r w:rsidRPr="00304F31">
              <w:rPr>
                <w:rFonts w:ascii="Calibri" w:hAnsi="Calibri" w:cs="Calibri"/>
                <w:color w:val="000000"/>
                <w:sz w:val="11"/>
                <w:szCs w:val="11"/>
              </w:rPr>
              <w:t>268.0252</w:t>
            </w:r>
          </w:p>
        </w:tc>
        <w:tc>
          <w:tcPr>
            <w:tcW w:w="1843" w:type="dxa"/>
            <w:vMerge w:val="restart"/>
            <w:vAlign w:val="center"/>
          </w:tcPr>
          <w:p w14:paraId="5505F0D2"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coumestrol</w:t>
            </w:r>
          </w:p>
          <w:p w14:paraId="5FF48978"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formononetin</w:t>
            </w:r>
          </w:p>
          <w:p w14:paraId="434AB0FC"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neuraminate</w:t>
            </w:r>
          </w:p>
          <w:p w14:paraId="23749F12"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S-ribosyl-L-homocysteine</w:t>
            </w:r>
          </w:p>
          <w:p w14:paraId="4C07421E"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inosine</w:t>
            </w:r>
          </w:p>
        </w:tc>
        <w:tc>
          <w:tcPr>
            <w:tcW w:w="1843" w:type="dxa"/>
            <w:vMerge w:val="restart"/>
            <w:vAlign w:val="center"/>
          </w:tcPr>
          <w:p w14:paraId="4D8044CD"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flavonoid/isoflavonoid</w:t>
            </w:r>
          </w:p>
          <w:p w14:paraId="4CDC4663"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flavonoid/isoflavonoid</w:t>
            </w:r>
          </w:p>
          <w:p w14:paraId="39851C9B"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glycan / amino sugar</w:t>
            </w:r>
          </w:p>
          <w:p w14:paraId="42A73B94"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carboxy acid/amino acid</w:t>
            </w:r>
          </w:p>
          <w:p w14:paraId="24A56B5E"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purine</w:t>
            </w:r>
          </w:p>
        </w:tc>
        <w:tc>
          <w:tcPr>
            <w:tcW w:w="1134" w:type="dxa"/>
            <w:vMerge w:val="restart"/>
            <w:vAlign w:val="center"/>
          </w:tcPr>
          <w:p w14:paraId="7914BD60" w14:textId="77777777" w:rsidR="004D1935" w:rsidRPr="00304F31" w:rsidRDefault="004D1935" w:rsidP="00E24DC9">
            <w:pPr>
              <w:jc w:val="center"/>
              <w:rPr>
                <w:color w:val="000000" w:themeColor="text1"/>
                <w:sz w:val="11"/>
                <w:szCs w:val="11"/>
              </w:rPr>
            </w:pPr>
            <w:r w:rsidRPr="00304F31">
              <w:rPr>
                <w:rFonts w:ascii="Arial" w:hAnsi="Arial" w:cs="Arial"/>
                <w:color w:val="000000" w:themeColor="text1"/>
                <w:sz w:val="11"/>
                <w:szCs w:val="11"/>
                <w:shd w:val="clear" w:color="auto" w:fill="FFFFFF"/>
              </w:rPr>
              <w:t>C</w:t>
            </w:r>
            <w:r w:rsidRPr="00304F31">
              <w:rPr>
                <w:rFonts w:ascii="Arial" w:hAnsi="Arial" w:cs="Arial"/>
                <w:color w:val="000000" w:themeColor="text1"/>
                <w:sz w:val="11"/>
                <w:szCs w:val="11"/>
                <w:shd w:val="clear" w:color="auto" w:fill="FFFFFF"/>
                <w:vertAlign w:val="subscript"/>
              </w:rPr>
              <w:t>15</w:t>
            </w:r>
            <w:r w:rsidRPr="00304F31">
              <w:rPr>
                <w:rFonts w:ascii="Arial" w:hAnsi="Arial" w:cs="Arial"/>
                <w:color w:val="000000" w:themeColor="text1"/>
                <w:sz w:val="11"/>
                <w:szCs w:val="11"/>
                <w:shd w:val="clear" w:color="auto" w:fill="FFFFFF"/>
              </w:rPr>
              <w:t>H</w:t>
            </w:r>
            <w:r w:rsidRPr="00304F31">
              <w:rPr>
                <w:rFonts w:ascii="Arial" w:hAnsi="Arial" w:cs="Arial"/>
                <w:color w:val="000000" w:themeColor="text1"/>
                <w:sz w:val="11"/>
                <w:szCs w:val="11"/>
                <w:shd w:val="clear" w:color="auto" w:fill="FFFFFF"/>
                <w:vertAlign w:val="subscript"/>
              </w:rPr>
              <w:t>8</w:t>
            </w:r>
            <w:r w:rsidRPr="00304F31">
              <w:rPr>
                <w:rFonts w:ascii="Arial" w:hAnsi="Arial" w:cs="Arial"/>
                <w:color w:val="000000" w:themeColor="text1"/>
                <w:sz w:val="11"/>
                <w:szCs w:val="11"/>
                <w:shd w:val="clear" w:color="auto" w:fill="FFFFFF"/>
              </w:rPr>
              <w:t>O</w:t>
            </w:r>
            <w:r w:rsidRPr="00304F31">
              <w:rPr>
                <w:rFonts w:ascii="Arial" w:hAnsi="Arial" w:cs="Arial"/>
                <w:color w:val="000000" w:themeColor="text1"/>
                <w:sz w:val="11"/>
                <w:szCs w:val="11"/>
                <w:shd w:val="clear" w:color="auto" w:fill="FFFFFF"/>
                <w:vertAlign w:val="subscript"/>
              </w:rPr>
              <w:t>5</w:t>
            </w:r>
          </w:p>
          <w:p w14:paraId="2BB20FFA" w14:textId="77777777" w:rsidR="004D1935" w:rsidRPr="00304F31" w:rsidRDefault="004D1935" w:rsidP="00E24DC9">
            <w:pPr>
              <w:jc w:val="center"/>
              <w:rPr>
                <w:color w:val="000000" w:themeColor="text1"/>
                <w:sz w:val="11"/>
                <w:szCs w:val="11"/>
              </w:rPr>
            </w:pPr>
            <w:r w:rsidRPr="00304F31">
              <w:rPr>
                <w:rFonts w:ascii="Arial" w:hAnsi="Arial" w:cs="Arial"/>
                <w:color w:val="000000" w:themeColor="text1"/>
                <w:sz w:val="11"/>
                <w:szCs w:val="11"/>
                <w:shd w:val="clear" w:color="auto" w:fill="FFFFFF"/>
              </w:rPr>
              <w:t>C</w:t>
            </w:r>
            <w:r w:rsidRPr="00304F31">
              <w:rPr>
                <w:rFonts w:ascii="Arial" w:hAnsi="Arial" w:cs="Arial"/>
                <w:color w:val="000000" w:themeColor="text1"/>
                <w:sz w:val="11"/>
                <w:szCs w:val="11"/>
                <w:shd w:val="clear" w:color="auto" w:fill="FFFFFF"/>
                <w:vertAlign w:val="subscript"/>
              </w:rPr>
              <w:t>16</w:t>
            </w:r>
            <w:r w:rsidRPr="00304F31">
              <w:rPr>
                <w:rFonts w:ascii="Arial" w:hAnsi="Arial" w:cs="Arial"/>
                <w:color w:val="000000" w:themeColor="text1"/>
                <w:sz w:val="11"/>
                <w:szCs w:val="11"/>
                <w:shd w:val="clear" w:color="auto" w:fill="FFFFFF"/>
              </w:rPr>
              <w:t>H</w:t>
            </w:r>
            <w:r w:rsidRPr="00304F31">
              <w:rPr>
                <w:rFonts w:ascii="Arial" w:hAnsi="Arial" w:cs="Arial"/>
                <w:color w:val="000000" w:themeColor="text1"/>
                <w:sz w:val="11"/>
                <w:szCs w:val="11"/>
                <w:shd w:val="clear" w:color="auto" w:fill="FFFFFF"/>
                <w:vertAlign w:val="subscript"/>
              </w:rPr>
              <w:t>12</w:t>
            </w:r>
            <w:r w:rsidRPr="00304F31">
              <w:rPr>
                <w:rFonts w:ascii="Arial" w:hAnsi="Arial" w:cs="Arial"/>
                <w:color w:val="000000" w:themeColor="text1"/>
                <w:sz w:val="11"/>
                <w:szCs w:val="11"/>
                <w:shd w:val="clear" w:color="auto" w:fill="FFFFFF"/>
              </w:rPr>
              <w:t>O</w:t>
            </w:r>
            <w:r w:rsidRPr="00304F31">
              <w:rPr>
                <w:rFonts w:ascii="Arial" w:hAnsi="Arial" w:cs="Arial"/>
                <w:color w:val="000000" w:themeColor="text1"/>
                <w:sz w:val="11"/>
                <w:szCs w:val="11"/>
                <w:shd w:val="clear" w:color="auto" w:fill="FFFFFF"/>
                <w:vertAlign w:val="subscript"/>
              </w:rPr>
              <w:t>4</w:t>
            </w:r>
          </w:p>
          <w:p w14:paraId="691BA649" w14:textId="77777777" w:rsidR="004D1935" w:rsidRPr="00304F31" w:rsidRDefault="004D1935" w:rsidP="00E24DC9">
            <w:pPr>
              <w:jc w:val="center"/>
              <w:rPr>
                <w:color w:val="000000" w:themeColor="text1"/>
                <w:sz w:val="11"/>
                <w:szCs w:val="11"/>
              </w:rPr>
            </w:pPr>
            <w:r w:rsidRPr="00304F31">
              <w:rPr>
                <w:rFonts w:ascii="Arial" w:hAnsi="Arial" w:cs="Arial"/>
                <w:color w:val="000000" w:themeColor="text1"/>
                <w:sz w:val="11"/>
                <w:szCs w:val="11"/>
                <w:shd w:val="clear" w:color="auto" w:fill="FFFFFF"/>
              </w:rPr>
              <w:t>C</w:t>
            </w:r>
            <w:r w:rsidRPr="00304F31">
              <w:rPr>
                <w:rFonts w:ascii="Arial" w:hAnsi="Arial" w:cs="Arial"/>
                <w:color w:val="000000" w:themeColor="text1"/>
                <w:sz w:val="11"/>
                <w:szCs w:val="11"/>
                <w:shd w:val="clear" w:color="auto" w:fill="FFFFFF"/>
                <w:vertAlign w:val="subscript"/>
              </w:rPr>
              <w:t>9</w:t>
            </w:r>
            <w:r w:rsidRPr="00304F31">
              <w:rPr>
                <w:rFonts w:ascii="Arial" w:hAnsi="Arial" w:cs="Arial"/>
                <w:color w:val="000000" w:themeColor="text1"/>
                <w:sz w:val="11"/>
                <w:szCs w:val="11"/>
                <w:shd w:val="clear" w:color="auto" w:fill="FFFFFF"/>
              </w:rPr>
              <w:t>H</w:t>
            </w:r>
            <w:r w:rsidRPr="00304F31">
              <w:rPr>
                <w:rFonts w:ascii="Arial" w:hAnsi="Arial" w:cs="Arial"/>
                <w:color w:val="000000" w:themeColor="text1"/>
                <w:sz w:val="11"/>
                <w:szCs w:val="11"/>
                <w:shd w:val="clear" w:color="auto" w:fill="FFFFFF"/>
                <w:vertAlign w:val="subscript"/>
              </w:rPr>
              <w:t>17</w:t>
            </w:r>
            <w:r w:rsidRPr="00304F31">
              <w:rPr>
                <w:rFonts w:ascii="Arial" w:hAnsi="Arial" w:cs="Arial"/>
                <w:color w:val="000000" w:themeColor="text1"/>
                <w:sz w:val="11"/>
                <w:szCs w:val="11"/>
                <w:shd w:val="clear" w:color="auto" w:fill="FFFFFF"/>
              </w:rPr>
              <w:t>NO</w:t>
            </w:r>
            <w:r w:rsidRPr="00304F31">
              <w:rPr>
                <w:rFonts w:ascii="Arial" w:hAnsi="Arial" w:cs="Arial"/>
                <w:color w:val="000000" w:themeColor="text1"/>
                <w:sz w:val="11"/>
                <w:szCs w:val="11"/>
                <w:shd w:val="clear" w:color="auto" w:fill="FFFFFF"/>
                <w:vertAlign w:val="subscript"/>
              </w:rPr>
              <w:t>8</w:t>
            </w:r>
          </w:p>
          <w:p w14:paraId="64C72EC3" w14:textId="77777777" w:rsidR="004D1935" w:rsidRPr="00304F31" w:rsidRDefault="004D1935" w:rsidP="00E24DC9">
            <w:pPr>
              <w:jc w:val="center"/>
              <w:rPr>
                <w:rFonts w:ascii="Arial" w:hAnsi="Arial" w:cs="Arial"/>
                <w:color w:val="000000" w:themeColor="text1"/>
                <w:sz w:val="11"/>
                <w:szCs w:val="11"/>
                <w:shd w:val="clear" w:color="auto" w:fill="FFFFFF"/>
              </w:rPr>
            </w:pPr>
          </w:p>
          <w:p w14:paraId="4859CC6D" w14:textId="77777777" w:rsidR="004D1935" w:rsidRPr="00304F31" w:rsidRDefault="004D1935" w:rsidP="00E24DC9">
            <w:pPr>
              <w:jc w:val="center"/>
              <w:rPr>
                <w:color w:val="000000" w:themeColor="text1"/>
                <w:sz w:val="11"/>
                <w:szCs w:val="11"/>
              </w:rPr>
            </w:pPr>
            <w:r w:rsidRPr="00304F31">
              <w:rPr>
                <w:rFonts w:ascii="Arial" w:hAnsi="Arial" w:cs="Arial"/>
                <w:color w:val="000000" w:themeColor="text1"/>
                <w:sz w:val="11"/>
                <w:szCs w:val="11"/>
                <w:shd w:val="clear" w:color="auto" w:fill="FFFFFF"/>
              </w:rPr>
              <w:t>C</w:t>
            </w:r>
            <w:r w:rsidRPr="00304F31">
              <w:rPr>
                <w:rFonts w:ascii="Arial" w:hAnsi="Arial" w:cs="Arial"/>
                <w:color w:val="000000" w:themeColor="text1"/>
                <w:sz w:val="11"/>
                <w:szCs w:val="11"/>
                <w:shd w:val="clear" w:color="auto" w:fill="FFFFFF"/>
                <w:vertAlign w:val="subscript"/>
              </w:rPr>
              <w:t>9</w:t>
            </w:r>
            <w:r w:rsidRPr="00304F31">
              <w:rPr>
                <w:rFonts w:ascii="Arial" w:hAnsi="Arial" w:cs="Arial"/>
                <w:color w:val="000000" w:themeColor="text1"/>
                <w:sz w:val="11"/>
                <w:szCs w:val="11"/>
                <w:shd w:val="clear" w:color="auto" w:fill="FFFFFF"/>
              </w:rPr>
              <w:t>H</w:t>
            </w:r>
            <w:r w:rsidRPr="00304F31">
              <w:rPr>
                <w:rFonts w:ascii="Arial" w:hAnsi="Arial" w:cs="Arial"/>
                <w:color w:val="000000" w:themeColor="text1"/>
                <w:sz w:val="11"/>
                <w:szCs w:val="11"/>
                <w:shd w:val="clear" w:color="auto" w:fill="FFFFFF"/>
                <w:vertAlign w:val="subscript"/>
              </w:rPr>
              <w:t>17</w:t>
            </w:r>
            <w:r w:rsidRPr="00304F31">
              <w:rPr>
                <w:rFonts w:ascii="Arial" w:hAnsi="Arial" w:cs="Arial"/>
                <w:color w:val="000000" w:themeColor="text1"/>
                <w:sz w:val="11"/>
                <w:szCs w:val="11"/>
                <w:shd w:val="clear" w:color="auto" w:fill="FFFFFF"/>
              </w:rPr>
              <w:t>NO</w:t>
            </w:r>
            <w:r w:rsidRPr="00304F31">
              <w:rPr>
                <w:rFonts w:ascii="Arial" w:hAnsi="Arial" w:cs="Arial"/>
                <w:color w:val="000000" w:themeColor="text1"/>
                <w:sz w:val="11"/>
                <w:szCs w:val="11"/>
                <w:shd w:val="clear" w:color="auto" w:fill="FFFFFF"/>
                <w:vertAlign w:val="subscript"/>
              </w:rPr>
              <w:t>6</w:t>
            </w:r>
            <w:r w:rsidRPr="00304F31">
              <w:rPr>
                <w:rFonts w:ascii="Arial" w:hAnsi="Arial" w:cs="Arial"/>
                <w:color w:val="000000" w:themeColor="text1"/>
                <w:sz w:val="11"/>
                <w:szCs w:val="11"/>
                <w:shd w:val="clear" w:color="auto" w:fill="FFFFFF"/>
              </w:rPr>
              <w:t>S</w:t>
            </w:r>
          </w:p>
          <w:p w14:paraId="3804466B" w14:textId="77777777" w:rsidR="004D1935" w:rsidRPr="00304F31" w:rsidRDefault="004D1935" w:rsidP="00E24DC9">
            <w:pPr>
              <w:jc w:val="center"/>
              <w:rPr>
                <w:color w:val="000000" w:themeColor="text1"/>
                <w:sz w:val="11"/>
                <w:szCs w:val="11"/>
              </w:rPr>
            </w:pPr>
            <w:r w:rsidRPr="00304F31">
              <w:rPr>
                <w:rFonts w:ascii="Arial" w:hAnsi="Arial" w:cs="Arial"/>
                <w:color w:val="000000" w:themeColor="text1"/>
                <w:sz w:val="11"/>
                <w:szCs w:val="11"/>
                <w:shd w:val="clear" w:color="auto" w:fill="FFFFFF"/>
              </w:rPr>
              <w:t>C</w:t>
            </w:r>
            <w:r w:rsidRPr="00304F31">
              <w:rPr>
                <w:rFonts w:ascii="Arial" w:hAnsi="Arial" w:cs="Arial"/>
                <w:color w:val="000000" w:themeColor="text1"/>
                <w:sz w:val="11"/>
                <w:szCs w:val="11"/>
                <w:shd w:val="clear" w:color="auto" w:fill="FFFFFF"/>
                <w:vertAlign w:val="subscript"/>
              </w:rPr>
              <w:t>10</w:t>
            </w:r>
            <w:r w:rsidRPr="00304F31">
              <w:rPr>
                <w:rFonts w:ascii="Arial" w:hAnsi="Arial" w:cs="Arial"/>
                <w:color w:val="000000" w:themeColor="text1"/>
                <w:sz w:val="11"/>
                <w:szCs w:val="11"/>
                <w:shd w:val="clear" w:color="auto" w:fill="FFFFFF"/>
              </w:rPr>
              <w:t>H</w:t>
            </w:r>
            <w:r w:rsidRPr="00304F31">
              <w:rPr>
                <w:rFonts w:ascii="Arial" w:hAnsi="Arial" w:cs="Arial"/>
                <w:color w:val="000000" w:themeColor="text1"/>
                <w:sz w:val="11"/>
                <w:szCs w:val="11"/>
                <w:shd w:val="clear" w:color="auto" w:fill="FFFFFF"/>
                <w:vertAlign w:val="subscript"/>
              </w:rPr>
              <w:t>12</w:t>
            </w:r>
            <w:r w:rsidRPr="00304F31">
              <w:rPr>
                <w:rFonts w:ascii="Arial" w:hAnsi="Arial" w:cs="Arial"/>
                <w:color w:val="000000" w:themeColor="text1"/>
                <w:sz w:val="11"/>
                <w:szCs w:val="11"/>
                <w:shd w:val="clear" w:color="auto" w:fill="FFFFFF"/>
              </w:rPr>
              <w:t>N</w:t>
            </w:r>
            <w:r w:rsidRPr="00304F31">
              <w:rPr>
                <w:rFonts w:ascii="Arial" w:hAnsi="Arial" w:cs="Arial"/>
                <w:color w:val="000000" w:themeColor="text1"/>
                <w:sz w:val="11"/>
                <w:szCs w:val="11"/>
                <w:shd w:val="clear" w:color="auto" w:fill="FFFFFF"/>
                <w:vertAlign w:val="subscript"/>
              </w:rPr>
              <w:t>4</w:t>
            </w:r>
            <w:r w:rsidRPr="00304F31">
              <w:rPr>
                <w:rFonts w:ascii="Arial" w:hAnsi="Arial" w:cs="Arial"/>
                <w:color w:val="000000" w:themeColor="text1"/>
                <w:sz w:val="11"/>
                <w:szCs w:val="11"/>
                <w:shd w:val="clear" w:color="auto" w:fill="FFFFFF"/>
              </w:rPr>
              <w:t>O</w:t>
            </w:r>
            <w:r w:rsidRPr="00304F31">
              <w:rPr>
                <w:rFonts w:ascii="Arial" w:hAnsi="Arial" w:cs="Arial"/>
                <w:color w:val="000000" w:themeColor="text1"/>
                <w:sz w:val="11"/>
                <w:szCs w:val="11"/>
                <w:shd w:val="clear" w:color="auto" w:fill="FFFFFF"/>
                <w:vertAlign w:val="subscript"/>
              </w:rPr>
              <w:t>5</w:t>
            </w:r>
          </w:p>
          <w:p w14:paraId="170E4207" w14:textId="77777777" w:rsidR="004D1935" w:rsidRPr="00304F31" w:rsidRDefault="004D1935" w:rsidP="00E24DC9">
            <w:pPr>
              <w:jc w:val="center"/>
              <w:rPr>
                <w:color w:val="000000" w:themeColor="text1"/>
                <w:sz w:val="11"/>
                <w:szCs w:val="11"/>
              </w:rPr>
            </w:pPr>
          </w:p>
        </w:tc>
        <w:tc>
          <w:tcPr>
            <w:tcW w:w="9072" w:type="dxa"/>
            <w:vMerge w:val="restart"/>
            <w:vAlign w:val="center"/>
          </w:tcPr>
          <w:p w14:paraId="1907C124"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jasmonic acid pathway/Riboflavin/Flavanone/Flavonoid/Abscisic acid biosynthesis/Shikimate pathway</w:t>
            </w:r>
          </w:p>
          <w:p w14:paraId="59893733"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jasmonic acid pathway/Riboflavin/Flavanone/Flavonoid/Abscisic acid biosynthesis/Shikimate pathway</w:t>
            </w:r>
          </w:p>
          <w:p w14:paraId="0017976B"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jasmonic acid pathway/Riboflavin/Flavanone/Flavonoid/Abscisic acid biosynthesis/Shikimate pathway/pyrovate/pyrimidine fatty acid biosynthesis/animonsugar nuclotides sugar metabolism</w:t>
            </w:r>
          </w:p>
          <w:p w14:paraId="241888F6"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Cysteine and methionine metabolism/Biosynthesis of amino acids/jasmonic acid pathway/Riboflavin/Flavanone/Flavonoid/Abscisic acid biosynthesis/Shikimate pathway/pyrovate/pyrimidine fatty acid biosynthesis/animonsugar nuclotides sugar metabolism</w:t>
            </w:r>
          </w:p>
          <w:p w14:paraId="5C4B1BD6" w14:textId="77777777" w:rsidR="004D1935" w:rsidRPr="00304F31" w:rsidRDefault="004D1935" w:rsidP="00E24DC9">
            <w:pPr>
              <w:jc w:val="center"/>
              <w:rPr>
                <w:color w:val="000000" w:themeColor="text1"/>
                <w:sz w:val="11"/>
                <w:szCs w:val="11"/>
              </w:rPr>
            </w:pPr>
            <w:r w:rsidRPr="00304F31">
              <w:rPr>
                <w:rFonts w:ascii="Calibri" w:hAnsi="Calibri" w:cs="Calibri"/>
                <w:color w:val="000000" w:themeColor="text1"/>
                <w:sz w:val="11"/>
                <w:szCs w:val="11"/>
              </w:rPr>
              <w:t>Purine metabolism/Cysteine and methionine metabolism/jasmonic acid pathway/Riboflavin/Flavanone/Flavonoid/Abscisic acid biosynthesis/Shikimate pathway/pyrovate/pyrimidine fatty acid biosynthesis/animonsugar nuclotides sugar metabolism</w:t>
            </w:r>
          </w:p>
        </w:tc>
      </w:tr>
      <w:tr w:rsidR="004D1935" w:rsidRPr="00304F31" w14:paraId="34DBA7DC" w14:textId="77777777" w:rsidTr="00E24DC9">
        <w:tc>
          <w:tcPr>
            <w:tcW w:w="567" w:type="dxa"/>
            <w:vMerge/>
          </w:tcPr>
          <w:p w14:paraId="340FB9DF" w14:textId="77777777" w:rsidR="004D1935" w:rsidRPr="00304F31" w:rsidRDefault="004D1935" w:rsidP="00E24DC9">
            <w:pPr>
              <w:rPr>
                <w:sz w:val="11"/>
                <w:szCs w:val="11"/>
              </w:rPr>
            </w:pPr>
          </w:p>
        </w:tc>
        <w:tc>
          <w:tcPr>
            <w:tcW w:w="851" w:type="dxa"/>
            <w:tcBorders>
              <w:top w:val="nil"/>
              <w:bottom w:val="nil"/>
            </w:tcBorders>
            <w:vAlign w:val="center"/>
          </w:tcPr>
          <w:p w14:paraId="5A5A6E9C" w14:textId="77777777" w:rsidR="004D1935" w:rsidRPr="00304F31" w:rsidRDefault="004D1935" w:rsidP="00E24DC9">
            <w:pPr>
              <w:jc w:val="center"/>
              <w:rPr>
                <w:rFonts w:ascii="Calibri" w:hAnsi="Calibri" w:cs="Calibri"/>
                <w:color w:val="000000"/>
                <w:sz w:val="11"/>
                <w:szCs w:val="11"/>
              </w:rPr>
            </w:pPr>
            <w:r w:rsidRPr="00304F31">
              <w:rPr>
                <w:rFonts w:ascii="Calibri" w:hAnsi="Calibri" w:cs="Calibri"/>
                <w:color w:val="000000"/>
                <w:sz w:val="11"/>
                <w:szCs w:val="11"/>
              </w:rPr>
              <w:t>268.0635</w:t>
            </w:r>
          </w:p>
        </w:tc>
        <w:tc>
          <w:tcPr>
            <w:tcW w:w="1843" w:type="dxa"/>
            <w:vMerge/>
            <w:vAlign w:val="bottom"/>
          </w:tcPr>
          <w:p w14:paraId="5A524544" w14:textId="77777777" w:rsidR="004D1935" w:rsidRPr="00304F31" w:rsidRDefault="004D1935" w:rsidP="00E24DC9">
            <w:pPr>
              <w:rPr>
                <w:sz w:val="11"/>
                <w:szCs w:val="11"/>
              </w:rPr>
            </w:pPr>
          </w:p>
        </w:tc>
        <w:tc>
          <w:tcPr>
            <w:tcW w:w="1843" w:type="dxa"/>
            <w:vMerge/>
            <w:vAlign w:val="bottom"/>
          </w:tcPr>
          <w:p w14:paraId="21381F71" w14:textId="77777777" w:rsidR="004D1935" w:rsidRPr="00304F31" w:rsidRDefault="004D1935" w:rsidP="00E24DC9">
            <w:pPr>
              <w:rPr>
                <w:sz w:val="11"/>
                <w:szCs w:val="11"/>
              </w:rPr>
            </w:pPr>
          </w:p>
        </w:tc>
        <w:tc>
          <w:tcPr>
            <w:tcW w:w="1134" w:type="dxa"/>
            <w:vMerge/>
          </w:tcPr>
          <w:p w14:paraId="011AEE72" w14:textId="77777777" w:rsidR="004D1935" w:rsidRPr="00304F31" w:rsidRDefault="004D1935" w:rsidP="00E24DC9">
            <w:pPr>
              <w:rPr>
                <w:sz w:val="11"/>
                <w:szCs w:val="11"/>
              </w:rPr>
            </w:pPr>
          </w:p>
        </w:tc>
        <w:tc>
          <w:tcPr>
            <w:tcW w:w="9072" w:type="dxa"/>
            <w:vMerge/>
            <w:vAlign w:val="bottom"/>
          </w:tcPr>
          <w:p w14:paraId="013A4E54" w14:textId="77777777" w:rsidR="004D1935" w:rsidRPr="00304F31" w:rsidRDefault="004D1935" w:rsidP="00E24DC9">
            <w:pPr>
              <w:rPr>
                <w:sz w:val="11"/>
                <w:szCs w:val="11"/>
              </w:rPr>
            </w:pPr>
          </w:p>
        </w:tc>
      </w:tr>
      <w:tr w:rsidR="004D1935" w:rsidRPr="00304F31" w14:paraId="6A610348" w14:textId="77777777" w:rsidTr="00E24DC9">
        <w:tc>
          <w:tcPr>
            <w:tcW w:w="567" w:type="dxa"/>
            <w:vMerge/>
          </w:tcPr>
          <w:p w14:paraId="69C382DD" w14:textId="77777777" w:rsidR="004D1935" w:rsidRPr="00304F31" w:rsidRDefault="004D1935" w:rsidP="00E24DC9">
            <w:pPr>
              <w:rPr>
                <w:sz w:val="11"/>
                <w:szCs w:val="11"/>
              </w:rPr>
            </w:pPr>
          </w:p>
        </w:tc>
        <w:tc>
          <w:tcPr>
            <w:tcW w:w="851" w:type="dxa"/>
            <w:tcBorders>
              <w:top w:val="nil"/>
              <w:bottom w:val="nil"/>
            </w:tcBorders>
            <w:vAlign w:val="center"/>
          </w:tcPr>
          <w:p w14:paraId="0C8044F9" w14:textId="77777777" w:rsidR="004D1935" w:rsidRPr="00304F31" w:rsidRDefault="004D1935" w:rsidP="00E24DC9">
            <w:pPr>
              <w:jc w:val="center"/>
              <w:rPr>
                <w:rFonts w:ascii="Calibri" w:hAnsi="Calibri" w:cs="Calibri"/>
                <w:color w:val="000000"/>
                <w:sz w:val="11"/>
                <w:szCs w:val="11"/>
              </w:rPr>
            </w:pPr>
            <w:r w:rsidRPr="00304F31">
              <w:rPr>
                <w:rFonts w:ascii="Calibri" w:hAnsi="Calibri" w:cs="Calibri"/>
                <w:color w:val="000000"/>
                <w:sz w:val="11"/>
                <w:szCs w:val="11"/>
              </w:rPr>
              <w:t>268.1057</w:t>
            </w:r>
          </w:p>
        </w:tc>
        <w:tc>
          <w:tcPr>
            <w:tcW w:w="1843" w:type="dxa"/>
            <w:vMerge/>
            <w:vAlign w:val="bottom"/>
          </w:tcPr>
          <w:p w14:paraId="2FE2B6CF" w14:textId="77777777" w:rsidR="004D1935" w:rsidRPr="00304F31" w:rsidRDefault="004D1935" w:rsidP="00E24DC9">
            <w:pPr>
              <w:rPr>
                <w:sz w:val="11"/>
                <w:szCs w:val="11"/>
              </w:rPr>
            </w:pPr>
          </w:p>
        </w:tc>
        <w:tc>
          <w:tcPr>
            <w:tcW w:w="1843" w:type="dxa"/>
            <w:vMerge/>
            <w:vAlign w:val="bottom"/>
          </w:tcPr>
          <w:p w14:paraId="278BFF70" w14:textId="77777777" w:rsidR="004D1935" w:rsidRPr="00304F31" w:rsidRDefault="004D1935" w:rsidP="00E24DC9">
            <w:pPr>
              <w:rPr>
                <w:sz w:val="11"/>
                <w:szCs w:val="11"/>
              </w:rPr>
            </w:pPr>
          </w:p>
        </w:tc>
        <w:tc>
          <w:tcPr>
            <w:tcW w:w="1134" w:type="dxa"/>
            <w:vMerge/>
          </w:tcPr>
          <w:p w14:paraId="40D3362B" w14:textId="77777777" w:rsidR="004D1935" w:rsidRPr="00304F31" w:rsidRDefault="004D1935" w:rsidP="00E24DC9">
            <w:pPr>
              <w:rPr>
                <w:sz w:val="11"/>
                <w:szCs w:val="11"/>
              </w:rPr>
            </w:pPr>
          </w:p>
        </w:tc>
        <w:tc>
          <w:tcPr>
            <w:tcW w:w="9072" w:type="dxa"/>
            <w:vMerge/>
            <w:vAlign w:val="bottom"/>
          </w:tcPr>
          <w:p w14:paraId="01D1D83B" w14:textId="77777777" w:rsidR="004D1935" w:rsidRPr="00304F31" w:rsidRDefault="004D1935" w:rsidP="00E24DC9">
            <w:pPr>
              <w:rPr>
                <w:sz w:val="11"/>
                <w:szCs w:val="11"/>
              </w:rPr>
            </w:pPr>
          </w:p>
        </w:tc>
      </w:tr>
      <w:tr w:rsidR="004D1935" w:rsidRPr="00304F31" w14:paraId="133BEE6A" w14:textId="77777777" w:rsidTr="00E24DC9">
        <w:tc>
          <w:tcPr>
            <w:tcW w:w="567" w:type="dxa"/>
            <w:vMerge/>
          </w:tcPr>
          <w:p w14:paraId="26C7D5AD" w14:textId="77777777" w:rsidR="004D1935" w:rsidRPr="00304F31" w:rsidRDefault="004D1935" w:rsidP="00E24DC9">
            <w:pPr>
              <w:rPr>
                <w:sz w:val="11"/>
                <w:szCs w:val="11"/>
              </w:rPr>
            </w:pPr>
          </w:p>
        </w:tc>
        <w:tc>
          <w:tcPr>
            <w:tcW w:w="851" w:type="dxa"/>
            <w:tcBorders>
              <w:top w:val="nil"/>
              <w:bottom w:val="nil"/>
            </w:tcBorders>
            <w:vAlign w:val="center"/>
          </w:tcPr>
          <w:p w14:paraId="5B5D0345" w14:textId="77777777" w:rsidR="004D1935" w:rsidRPr="00304F31" w:rsidRDefault="004D1935" w:rsidP="00E24DC9">
            <w:pPr>
              <w:jc w:val="center"/>
              <w:rPr>
                <w:rFonts w:ascii="Calibri" w:hAnsi="Calibri" w:cs="Calibri"/>
                <w:color w:val="000000"/>
                <w:sz w:val="11"/>
                <w:szCs w:val="11"/>
              </w:rPr>
            </w:pPr>
            <w:r w:rsidRPr="00304F31">
              <w:rPr>
                <w:rFonts w:ascii="Calibri" w:hAnsi="Calibri" w:cs="Calibri"/>
                <w:color w:val="000000"/>
                <w:sz w:val="11"/>
                <w:szCs w:val="11"/>
              </w:rPr>
              <w:t>268.1479</w:t>
            </w:r>
          </w:p>
        </w:tc>
        <w:tc>
          <w:tcPr>
            <w:tcW w:w="1843" w:type="dxa"/>
            <w:vMerge/>
            <w:vAlign w:val="bottom"/>
          </w:tcPr>
          <w:p w14:paraId="1A535B77" w14:textId="77777777" w:rsidR="004D1935" w:rsidRPr="00304F31" w:rsidRDefault="004D1935" w:rsidP="00E24DC9">
            <w:pPr>
              <w:rPr>
                <w:sz w:val="11"/>
                <w:szCs w:val="11"/>
              </w:rPr>
            </w:pPr>
          </w:p>
        </w:tc>
        <w:tc>
          <w:tcPr>
            <w:tcW w:w="1843" w:type="dxa"/>
            <w:vMerge/>
            <w:vAlign w:val="bottom"/>
          </w:tcPr>
          <w:p w14:paraId="0AE89F34" w14:textId="77777777" w:rsidR="004D1935" w:rsidRPr="00304F31" w:rsidRDefault="004D1935" w:rsidP="00E24DC9">
            <w:pPr>
              <w:rPr>
                <w:sz w:val="11"/>
                <w:szCs w:val="11"/>
              </w:rPr>
            </w:pPr>
          </w:p>
        </w:tc>
        <w:tc>
          <w:tcPr>
            <w:tcW w:w="1134" w:type="dxa"/>
            <w:vMerge/>
          </w:tcPr>
          <w:p w14:paraId="19303F7F" w14:textId="77777777" w:rsidR="004D1935" w:rsidRPr="00304F31" w:rsidRDefault="004D1935" w:rsidP="00E24DC9">
            <w:pPr>
              <w:rPr>
                <w:sz w:val="11"/>
                <w:szCs w:val="11"/>
              </w:rPr>
            </w:pPr>
          </w:p>
        </w:tc>
        <w:tc>
          <w:tcPr>
            <w:tcW w:w="9072" w:type="dxa"/>
            <w:vMerge/>
            <w:vAlign w:val="bottom"/>
          </w:tcPr>
          <w:p w14:paraId="6B00A80D" w14:textId="77777777" w:rsidR="004D1935" w:rsidRPr="00304F31" w:rsidRDefault="004D1935" w:rsidP="00E24DC9">
            <w:pPr>
              <w:rPr>
                <w:sz w:val="11"/>
                <w:szCs w:val="11"/>
              </w:rPr>
            </w:pPr>
          </w:p>
        </w:tc>
      </w:tr>
      <w:tr w:rsidR="004D1935" w:rsidRPr="00304F31" w14:paraId="71D2C66D" w14:textId="77777777" w:rsidTr="00E24DC9">
        <w:tc>
          <w:tcPr>
            <w:tcW w:w="567" w:type="dxa"/>
            <w:vMerge/>
          </w:tcPr>
          <w:p w14:paraId="7D361D5D" w14:textId="77777777" w:rsidR="004D1935" w:rsidRPr="00304F31" w:rsidRDefault="004D1935" w:rsidP="00E24DC9">
            <w:pPr>
              <w:rPr>
                <w:sz w:val="11"/>
                <w:szCs w:val="11"/>
              </w:rPr>
            </w:pPr>
          </w:p>
        </w:tc>
        <w:tc>
          <w:tcPr>
            <w:tcW w:w="851" w:type="dxa"/>
            <w:tcBorders>
              <w:top w:val="nil"/>
              <w:bottom w:val="nil"/>
            </w:tcBorders>
            <w:vAlign w:val="center"/>
          </w:tcPr>
          <w:p w14:paraId="20117638" w14:textId="77777777" w:rsidR="004D1935" w:rsidRPr="00304F31" w:rsidRDefault="004D1935" w:rsidP="00E24DC9">
            <w:pPr>
              <w:jc w:val="center"/>
              <w:rPr>
                <w:rFonts w:ascii="Calibri" w:hAnsi="Calibri" w:cs="Calibri"/>
                <w:color w:val="000000"/>
                <w:sz w:val="11"/>
                <w:szCs w:val="11"/>
              </w:rPr>
            </w:pPr>
            <w:r w:rsidRPr="00304F31">
              <w:rPr>
                <w:rFonts w:ascii="Calibri" w:hAnsi="Calibri" w:cs="Calibri"/>
                <w:color w:val="000000"/>
                <w:sz w:val="11"/>
                <w:szCs w:val="11"/>
              </w:rPr>
              <w:t>268.0278</w:t>
            </w:r>
          </w:p>
        </w:tc>
        <w:tc>
          <w:tcPr>
            <w:tcW w:w="1843" w:type="dxa"/>
            <w:vMerge/>
            <w:vAlign w:val="bottom"/>
          </w:tcPr>
          <w:p w14:paraId="58F0F884" w14:textId="77777777" w:rsidR="004D1935" w:rsidRPr="00304F31" w:rsidRDefault="004D1935" w:rsidP="00E24DC9">
            <w:pPr>
              <w:rPr>
                <w:sz w:val="11"/>
                <w:szCs w:val="11"/>
              </w:rPr>
            </w:pPr>
          </w:p>
        </w:tc>
        <w:tc>
          <w:tcPr>
            <w:tcW w:w="1843" w:type="dxa"/>
            <w:vMerge/>
            <w:vAlign w:val="bottom"/>
          </w:tcPr>
          <w:p w14:paraId="2F7AC64E" w14:textId="77777777" w:rsidR="004D1935" w:rsidRPr="00304F31" w:rsidRDefault="004D1935" w:rsidP="00E24DC9">
            <w:pPr>
              <w:rPr>
                <w:sz w:val="11"/>
                <w:szCs w:val="11"/>
              </w:rPr>
            </w:pPr>
          </w:p>
        </w:tc>
        <w:tc>
          <w:tcPr>
            <w:tcW w:w="1134" w:type="dxa"/>
            <w:vMerge/>
          </w:tcPr>
          <w:p w14:paraId="14167CD3" w14:textId="77777777" w:rsidR="004D1935" w:rsidRPr="00304F31" w:rsidRDefault="004D1935" w:rsidP="00E24DC9">
            <w:pPr>
              <w:rPr>
                <w:sz w:val="11"/>
                <w:szCs w:val="11"/>
              </w:rPr>
            </w:pPr>
          </w:p>
        </w:tc>
        <w:tc>
          <w:tcPr>
            <w:tcW w:w="9072" w:type="dxa"/>
            <w:vMerge/>
            <w:vAlign w:val="bottom"/>
          </w:tcPr>
          <w:p w14:paraId="3DBF6000" w14:textId="77777777" w:rsidR="004D1935" w:rsidRPr="00304F31" w:rsidRDefault="004D1935" w:rsidP="00E24DC9">
            <w:pPr>
              <w:rPr>
                <w:sz w:val="11"/>
                <w:szCs w:val="11"/>
              </w:rPr>
            </w:pPr>
          </w:p>
        </w:tc>
      </w:tr>
      <w:tr w:rsidR="004D1935" w:rsidRPr="00304F31" w14:paraId="19F83106" w14:textId="77777777" w:rsidTr="00E24DC9">
        <w:tc>
          <w:tcPr>
            <w:tcW w:w="567" w:type="dxa"/>
            <w:vMerge/>
          </w:tcPr>
          <w:p w14:paraId="3E13290D" w14:textId="77777777" w:rsidR="004D1935" w:rsidRPr="00304F31" w:rsidRDefault="004D1935" w:rsidP="00E24DC9">
            <w:pPr>
              <w:rPr>
                <w:sz w:val="11"/>
                <w:szCs w:val="11"/>
              </w:rPr>
            </w:pPr>
          </w:p>
        </w:tc>
        <w:tc>
          <w:tcPr>
            <w:tcW w:w="851" w:type="dxa"/>
            <w:tcBorders>
              <w:top w:val="nil"/>
              <w:bottom w:val="nil"/>
            </w:tcBorders>
            <w:vAlign w:val="center"/>
          </w:tcPr>
          <w:p w14:paraId="001AAF78" w14:textId="77777777" w:rsidR="004D1935" w:rsidRPr="00304F31" w:rsidRDefault="004D1935" w:rsidP="00E24DC9">
            <w:pPr>
              <w:jc w:val="center"/>
              <w:rPr>
                <w:rFonts w:ascii="Calibri" w:hAnsi="Calibri" w:cs="Calibri"/>
                <w:color w:val="000000"/>
                <w:sz w:val="11"/>
                <w:szCs w:val="11"/>
              </w:rPr>
            </w:pPr>
            <w:r w:rsidRPr="00304F31">
              <w:rPr>
                <w:rFonts w:ascii="Calibri" w:hAnsi="Calibri" w:cs="Calibri"/>
                <w:color w:val="000000"/>
                <w:sz w:val="11"/>
                <w:szCs w:val="11"/>
              </w:rPr>
              <w:t>268.0661</w:t>
            </w:r>
          </w:p>
        </w:tc>
        <w:tc>
          <w:tcPr>
            <w:tcW w:w="1843" w:type="dxa"/>
            <w:vMerge/>
          </w:tcPr>
          <w:p w14:paraId="1ACA369C" w14:textId="77777777" w:rsidR="004D1935" w:rsidRPr="00304F31" w:rsidRDefault="004D1935" w:rsidP="00E24DC9">
            <w:pPr>
              <w:rPr>
                <w:sz w:val="11"/>
                <w:szCs w:val="11"/>
              </w:rPr>
            </w:pPr>
          </w:p>
        </w:tc>
        <w:tc>
          <w:tcPr>
            <w:tcW w:w="1843" w:type="dxa"/>
            <w:vMerge/>
          </w:tcPr>
          <w:p w14:paraId="5A9DB1FF" w14:textId="77777777" w:rsidR="004D1935" w:rsidRPr="00304F31" w:rsidRDefault="004D1935" w:rsidP="00E24DC9">
            <w:pPr>
              <w:rPr>
                <w:sz w:val="11"/>
                <w:szCs w:val="11"/>
              </w:rPr>
            </w:pPr>
          </w:p>
        </w:tc>
        <w:tc>
          <w:tcPr>
            <w:tcW w:w="1134" w:type="dxa"/>
            <w:vMerge/>
          </w:tcPr>
          <w:p w14:paraId="6EC27C1E" w14:textId="77777777" w:rsidR="004D1935" w:rsidRPr="00304F31" w:rsidRDefault="004D1935" w:rsidP="00E24DC9">
            <w:pPr>
              <w:rPr>
                <w:sz w:val="11"/>
                <w:szCs w:val="11"/>
              </w:rPr>
            </w:pPr>
          </w:p>
        </w:tc>
        <w:tc>
          <w:tcPr>
            <w:tcW w:w="9072" w:type="dxa"/>
            <w:vMerge/>
          </w:tcPr>
          <w:p w14:paraId="36208E19" w14:textId="77777777" w:rsidR="004D1935" w:rsidRPr="00304F31" w:rsidRDefault="004D1935" w:rsidP="00E24DC9">
            <w:pPr>
              <w:rPr>
                <w:sz w:val="11"/>
                <w:szCs w:val="11"/>
              </w:rPr>
            </w:pPr>
          </w:p>
        </w:tc>
      </w:tr>
      <w:tr w:rsidR="004D1935" w:rsidRPr="00304F31" w14:paraId="097DC49E" w14:textId="77777777" w:rsidTr="00E24DC9">
        <w:tc>
          <w:tcPr>
            <w:tcW w:w="567" w:type="dxa"/>
            <w:vMerge/>
          </w:tcPr>
          <w:p w14:paraId="617D61C9" w14:textId="77777777" w:rsidR="004D1935" w:rsidRPr="00304F31" w:rsidRDefault="004D1935" w:rsidP="00E24DC9">
            <w:pPr>
              <w:rPr>
                <w:sz w:val="11"/>
                <w:szCs w:val="11"/>
              </w:rPr>
            </w:pPr>
          </w:p>
        </w:tc>
        <w:tc>
          <w:tcPr>
            <w:tcW w:w="851" w:type="dxa"/>
            <w:tcBorders>
              <w:top w:val="nil"/>
              <w:bottom w:val="nil"/>
            </w:tcBorders>
            <w:vAlign w:val="center"/>
          </w:tcPr>
          <w:p w14:paraId="221D351D" w14:textId="77777777" w:rsidR="004D1935" w:rsidRPr="00304F31" w:rsidRDefault="004D1935" w:rsidP="00E24DC9">
            <w:pPr>
              <w:jc w:val="center"/>
              <w:rPr>
                <w:rFonts w:ascii="Calibri" w:hAnsi="Calibri" w:cs="Calibri"/>
                <w:color w:val="000000"/>
                <w:sz w:val="11"/>
                <w:szCs w:val="11"/>
              </w:rPr>
            </w:pPr>
            <w:r w:rsidRPr="00304F31">
              <w:rPr>
                <w:rFonts w:ascii="Calibri" w:hAnsi="Calibri" w:cs="Calibri"/>
                <w:color w:val="000000"/>
                <w:sz w:val="11"/>
                <w:szCs w:val="11"/>
              </w:rPr>
              <w:t>268.1070</w:t>
            </w:r>
          </w:p>
        </w:tc>
        <w:tc>
          <w:tcPr>
            <w:tcW w:w="1843" w:type="dxa"/>
            <w:vMerge/>
          </w:tcPr>
          <w:p w14:paraId="558B4BE3" w14:textId="77777777" w:rsidR="004D1935" w:rsidRPr="00304F31" w:rsidRDefault="004D1935" w:rsidP="00E24DC9">
            <w:pPr>
              <w:rPr>
                <w:sz w:val="11"/>
                <w:szCs w:val="11"/>
              </w:rPr>
            </w:pPr>
          </w:p>
        </w:tc>
        <w:tc>
          <w:tcPr>
            <w:tcW w:w="1843" w:type="dxa"/>
            <w:vMerge/>
          </w:tcPr>
          <w:p w14:paraId="5BEB1FB3" w14:textId="77777777" w:rsidR="004D1935" w:rsidRPr="00304F31" w:rsidRDefault="004D1935" w:rsidP="00E24DC9">
            <w:pPr>
              <w:rPr>
                <w:sz w:val="11"/>
                <w:szCs w:val="11"/>
              </w:rPr>
            </w:pPr>
          </w:p>
        </w:tc>
        <w:tc>
          <w:tcPr>
            <w:tcW w:w="1134" w:type="dxa"/>
            <w:vMerge/>
          </w:tcPr>
          <w:p w14:paraId="662C06DE" w14:textId="77777777" w:rsidR="004D1935" w:rsidRPr="00304F31" w:rsidRDefault="004D1935" w:rsidP="00E24DC9">
            <w:pPr>
              <w:rPr>
                <w:sz w:val="11"/>
                <w:szCs w:val="11"/>
              </w:rPr>
            </w:pPr>
          </w:p>
        </w:tc>
        <w:tc>
          <w:tcPr>
            <w:tcW w:w="9072" w:type="dxa"/>
            <w:vMerge/>
          </w:tcPr>
          <w:p w14:paraId="4210619E" w14:textId="77777777" w:rsidR="004D1935" w:rsidRPr="00304F31" w:rsidRDefault="004D1935" w:rsidP="00E24DC9">
            <w:pPr>
              <w:rPr>
                <w:sz w:val="11"/>
                <w:szCs w:val="11"/>
              </w:rPr>
            </w:pPr>
          </w:p>
        </w:tc>
      </w:tr>
      <w:tr w:rsidR="004D1935" w:rsidRPr="00304F31" w14:paraId="4BA159E5" w14:textId="77777777" w:rsidTr="00E24DC9">
        <w:tc>
          <w:tcPr>
            <w:tcW w:w="567" w:type="dxa"/>
            <w:vMerge/>
          </w:tcPr>
          <w:p w14:paraId="38EC8930" w14:textId="77777777" w:rsidR="004D1935" w:rsidRPr="00304F31" w:rsidRDefault="004D1935" w:rsidP="00E24DC9">
            <w:pPr>
              <w:rPr>
                <w:sz w:val="11"/>
                <w:szCs w:val="11"/>
              </w:rPr>
            </w:pPr>
          </w:p>
        </w:tc>
        <w:tc>
          <w:tcPr>
            <w:tcW w:w="851" w:type="dxa"/>
            <w:tcBorders>
              <w:top w:val="nil"/>
              <w:bottom w:val="nil"/>
            </w:tcBorders>
            <w:vAlign w:val="center"/>
          </w:tcPr>
          <w:p w14:paraId="6557BB38" w14:textId="77777777" w:rsidR="004D1935" w:rsidRPr="00304F31" w:rsidRDefault="004D1935" w:rsidP="00E24DC9">
            <w:pPr>
              <w:jc w:val="center"/>
              <w:rPr>
                <w:rFonts w:ascii="Calibri" w:hAnsi="Calibri" w:cs="Calibri"/>
                <w:color w:val="000000"/>
                <w:sz w:val="11"/>
                <w:szCs w:val="11"/>
              </w:rPr>
            </w:pPr>
            <w:r w:rsidRPr="00304F31">
              <w:rPr>
                <w:rFonts w:ascii="Calibri" w:hAnsi="Calibri" w:cs="Calibri"/>
                <w:color w:val="000000"/>
                <w:sz w:val="11"/>
                <w:szCs w:val="11"/>
              </w:rPr>
              <w:t>268.0048</w:t>
            </w:r>
          </w:p>
        </w:tc>
        <w:tc>
          <w:tcPr>
            <w:tcW w:w="1843" w:type="dxa"/>
            <w:vMerge/>
          </w:tcPr>
          <w:p w14:paraId="71B649CD" w14:textId="77777777" w:rsidR="004D1935" w:rsidRPr="00304F31" w:rsidRDefault="004D1935" w:rsidP="00E24DC9">
            <w:pPr>
              <w:rPr>
                <w:sz w:val="11"/>
                <w:szCs w:val="11"/>
              </w:rPr>
            </w:pPr>
          </w:p>
        </w:tc>
        <w:tc>
          <w:tcPr>
            <w:tcW w:w="1843" w:type="dxa"/>
            <w:vMerge/>
          </w:tcPr>
          <w:p w14:paraId="793A4457" w14:textId="77777777" w:rsidR="004D1935" w:rsidRPr="00304F31" w:rsidRDefault="004D1935" w:rsidP="00E24DC9">
            <w:pPr>
              <w:rPr>
                <w:sz w:val="11"/>
                <w:szCs w:val="11"/>
              </w:rPr>
            </w:pPr>
          </w:p>
        </w:tc>
        <w:tc>
          <w:tcPr>
            <w:tcW w:w="1134" w:type="dxa"/>
            <w:vMerge/>
          </w:tcPr>
          <w:p w14:paraId="4B5CBC02" w14:textId="77777777" w:rsidR="004D1935" w:rsidRPr="00304F31" w:rsidRDefault="004D1935" w:rsidP="00E24DC9">
            <w:pPr>
              <w:rPr>
                <w:sz w:val="11"/>
                <w:szCs w:val="11"/>
              </w:rPr>
            </w:pPr>
          </w:p>
        </w:tc>
        <w:tc>
          <w:tcPr>
            <w:tcW w:w="9072" w:type="dxa"/>
            <w:vMerge/>
          </w:tcPr>
          <w:p w14:paraId="3FA5830D" w14:textId="77777777" w:rsidR="004D1935" w:rsidRPr="00304F31" w:rsidRDefault="004D1935" w:rsidP="00E24DC9">
            <w:pPr>
              <w:rPr>
                <w:sz w:val="11"/>
                <w:szCs w:val="11"/>
              </w:rPr>
            </w:pPr>
          </w:p>
        </w:tc>
      </w:tr>
      <w:tr w:rsidR="004D1935" w:rsidRPr="00304F31" w14:paraId="6100A523" w14:textId="77777777" w:rsidTr="00E24DC9">
        <w:tc>
          <w:tcPr>
            <w:tcW w:w="567" w:type="dxa"/>
            <w:vMerge/>
          </w:tcPr>
          <w:p w14:paraId="08028DAC" w14:textId="77777777" w:rsidR="004D1935" w:rsidRPr="00304F31" w:rsidRDefault="004D1935" w:rsidP="00E24DC9">
            <w:pPr>
              <w:rPr>
                <w:sz w:val="11"/>
                <w:szCs w:val="11"/>
              </w:rPr>
            </w:pPr>
          </w:p>
        </w:tc>
        <w:tc>
          <w:tcPr>
            <w:tcW w:w="851" w:type="dxa"/>
            <w:tcBorders>
              <w:top w:val="nil"/>
              <w:bottom w:val="nil"/>
            </w:tcBorders>
            <w:vAlign w:val="center"/>
          </w:tcPr>
          <w:p w14:paraId="6501AD0A" w14:textId="77777777" w:rsidR="004D1935" w:rsidRPr="00304F31" w:rsidRDefault="004D1935" w:rsidP="00E24DC9">
            <w:pPr>
              <w:jc w:val="center"/>
              <w:rPr>
                <w:rFonts w:ascii="Calibri" w:hAnsi="Calibri" w:cs="Calibri"/>
                <w:color w:val="000000"/>
                <w:sz w:val="11"/>
                <w:szCs w:val="11"/>
              </w:rPr>
            </w:pPr>
            <w:r w:rsidRPr="00304F31">
              <w:rPr>
                <w:rFonts w:ascii="Calibri" w:hAnsi="Calibri" w:cs="Calibri"/>
                <w:color w:val="000000"/>
                <w:sz w:val="11"/>
                <w:szCs w:val="11"/>
              </w:rPr>
              <w:t>268.0942</w:t>
            </w:r>
          </w:p>
        </w:tc>
        <w:tc>
          <w:tcPr>
            <w:tcW w:w="1843" w:type="dxa"/>
            <w:vMerge/>
          </w:tcPr>
          <w:p w14:paraId="0C584342" w14:textId="77777777" w:rsidR="004D1935" w:rsidRPr="00304F31" w:rsidRDefault="004D1935" w:rsidP="00E24DC9">
            <w:pPr>
              <w:rPr>
                <w:sz w:val="11"/>
                <w:szCs w:val="11"/>
              </w:rPr>
            </w:pPr>
          </w:p>
        </w:tc>
        <w:tc>
          <w:tcPr>
            <w:tcW w:w="1843" w:type="dxa"/>
            <w:vMerge/>
          </w:tcPr>
          <w:p w14:paraId="311900A9" w14:textId="77777777" w:rsidR="004D1935" w:rsidRPr="00304F31" w:rsidRDefault="004D1935" w:rsidP="00E24DC9">
            <w:pPr>
              <w:rPr>
                <w:sz w:val="11"/>
                <w:szCs w:val="11"/>
              </w:rPr>
            </w:pPr>
          </w:p>
        </w:tc>
        <w:tc>
          <w:tcPr>
            <w:tcW w:w="1134" w:type="dxa"/>
            <w:vMerge/>
          </w:tcPr>
          <w:p w14:paraId="273B2A63" w14:textId="77777777" w:rsidR="004D1935" w:rsidRPr="00304F31" w:rsidRDefault="004D1935" w:rsidP="00E24DC9">
            <w:pPr>
              <w:rPr>
                <w:sz w:val="11"/>
                <w:szCs w:val="11"/>
              </w:rPr>
            </w:pPr>
          </w:p>
        </w:tc>
        <w:tc>
          <w:tcPr>
            <w:tcW w:w="9072" w:type="dxa"/>
            <w:vMerge/>
          </w:tcPr>
          <w:p w14:paraId="23D5ED63" w14:textId="77777777" w:rsidR="004D1935" w:rsidRPr="00304F31" w:rsidRDefault="004D1935" w:rsidP="00E24DC9">
            <w:pPr>
              <w:rPr>
                <w:sz w:val="11"/>
                <w:szCs w:val="11"/>
              </w:rPr>
            </w:pPr>
          </w:p>
        </w:tc>
      </w:tr>
      <w:tr w:rsidR="004D1935" w:rsidRPr="00304F31" w14:paraId="67738846" w14:textId="77777777" w:rsidTr="00E24DC9">
        <w:tc>
          <w:tcPr>
            <w:tcW w:w="567" w:type="dxa"/>
            <w:vMerge/>
          </w:tcPr>
          <w:p w14:paraId="70CC1610" w14:textId="77777777" w:rsidR="004D1935" w:rsidRPr="00304F31" w:rsidRDefault="004D1935" w:rsidP="00E24DC9">
            <w:pPr>
              <w:rPr>
                <w:sz w:val="11"/>
                <w:szCs w:val="11"/>
              </w:rPr>
            </w:pPr>
          </w:p>
        </w:tc>
        <w:tc>
          <w:tcPr>
            <w:tcW w:w="851" w:type="dxa"/>
            <w:tcBorders>
              <w:top w:val="nil"/>
              <w:bottom w:val="nil"/>
            </w:tcBorders>
            <w:vAlign w:val="center"/>
          </w:tcPr>
          <w:p w14:paraId="607768A9" w14:textId="77777777" w:rsidR="004D1935" w:rsidRPr="00304F31" w:rsidRDefault="004D1935" w:rsidP="00E24DC9">
            <w:pPr>
              <w:jc w:val="center"/>
              <w:rPr>
                <w:rFonts w:ascii="Calibri" w:hAnsi="Calibri" w:cs="Calibri"/>
                <w:color w:val="000000"/>
                <w:sz w:val="11"/>
                <w:szCs w:val="11"/>
              </w:rPr>
            </w:pPr>
            <w:r w:rsidRPr="00304F31">
              <w:rPr>
                <w:rFonts w:ascii="Calibri" w:hAnsi="Calibri" w:cs="Calibri"/>
                <w:color w:val="000000"/>
                <w:sz w:val="11"/>
                <w:szCs w:val="11"/>
              </w:rPr>
              <w:t>268.1402</w:t>
            </w:r>
          </w:p>
        </w:tc>
        <w:tc>
          <w:tcPr>
            <w:tcW w:w="1843" w:type="dxa"/>
            <w:vMerge/>
          </w:tcPr>
          <w:p w14:paraId="5FF6F72E" w14:textId="77777777" w:rsidR="004D1935" w:rsidRPr="00304F31" w:rsidRDefault="004D1935" w:rsidP="00E24DC9">
            <w:pPr>
              <w:rPr>
                <w:sz w:val="11"/>
                <w:szCs w:val="11"/>
              </w:rPr>
            </w:pPr>
          </w:p>
        </w:tc>
        <w:tc>
          <w:tcPr>
            <w:tcW w:w="1843" w:type="dxa"/>
            <w:vMerge/>
          </w:tcPr>
          <w:p w14:paraId="20758D1C" w14:textId="77777777" w:rsidR="004D1935" w:rsidRPr="00304F31" w:rsidRDefault="004D1935" w:rsidP="00E24DC9">
            <w:pPr>
              <w:rPr>
                <w:sz w:val="11"/>
                <w:szCs w:val="11"/>
              </w:rPr>
            </w:pPr>
          </w:p>
        </w:tc>
        <w:tc>
          <w:tcPr>
            <w:tcW w:w="1134" w:type="dxa"/>
            <w:vMerge/>
          </w:tcPr>
          <w:p w14:paraId="58B32624" w14:textId="77777777" w:rsidR="004D1935" w:rsidRPr="00304F31" w:rsidRDefault="004D1935" w:rsidP="00E24DC9">
            <w:pPr>
              <w:rPr>
                <w:sz w:val="11"/>
                <w:szCs w:val="11"/>
              </w:rPr>
            </w:pPr>
          </w:p>
        </w:tc>
        <w:tc>
          <w:tcPr>
            <w:tcW w:w="9072" w:type="dxa"/>
            <w:vMerge/>
          </w:tcPr>
          <w:p w14:paraId="6BCB0B0B" w14:textId="77777777" w:rsidR="004D1935" w:rsidRPr="00304F31" w:rsidRDefault="004D1935" w:rsidP="00E24DC9">
            <w:pPr>
              <w:rPr>
                <w:sz w:val="11"/>
                <w:szCs w:val="11"/>
              </w:rPr>
            </w:pPr>
          </w:p>
        </w:tc>
      </w:tr>
      <w:tr w:rsidR="004D1935" w:rsidRPr="00304F31" w14:paraId="18597B6E" w14:textId="77777777" w:rsidTr="00E24DC9">
        <w:tc>
          <w:tcPr>
            <w:tcW w:w="567" w:type="dxa"/>
            <w:vMerge/>
          </w:tcPr>
          <w:p w14:paraId="563FD931" w14:textId="77777777" w:rsidR="004D1935" w:rsidRPr="00304F31" w:rsidRDefault="004D1935" w:rsidP="00E24DC9">
            <w:pPr>
              <w:rPr>
                <w:sz w:val="11"/>
                <w:szCs w:val="11"/>
              </w:rPr>
            </w:pPr>
          </w:p>
        </w:tc>
        <w:tc>
          <w:tcPr>
            <w:tcW w:w="851" w:type="dxa"/>
            <w:tcBorders>
              <w:top w:val="nil"/>
              <w:bottom w:val="nil"/>
            </w:tcBorders>
            <w:vAlign w:val="center"/>
          </w:tcPr>
          <w:p w14:paraId="6A7C1EFD" w14:textId="77777777" w:rsidR="004D1935" w:rsidRPr="00304F31" w:rsidRDefault="004D1935" w:rsidP="00E24DC9">
            <w:pPr>
              <w:jc w:val="center"/>
              <w:rPr>
                <w:rFonts w:ascii="Calibri" w:hAnsi="Calibri" w:cs="Calibri"/>
                <w:color w:val="000000"/>
                <w:sz w:val="11"/>
                <w:szCs w:val="11"/>
              </w:rPr>
            </w:pPr>
            <w:r w:rsidRPr="00304F31">
              <w:rPr>
                <w:rFonts w:ascii="Calibri" w:hAnsi="Calibri" w:cs="Calibri"/>
                <w:color w:val="000000"/>
                <w:sz w:val="11"/>
                <w:szCs w:val="11"/>
              </w:rPr>
              <w:t>268.1990</w:t>
            </w:r>
          </w:p>
        </w:tc>
        <w:tc>
          <w:tcPr>
            <w:tcW w:w="1843" w:type="dxa"/>
            <w:vMerge/>
          </w:tcPr>
          <w:p w14:paraId="36BDC938" w14:textId="77777777" w:rsidR="004D1935" w:rsidRPr="00304F31" w:rsidRDefault="004D1935" w:rsidP="00E24DC9">
            <w:pPr>
              <w:rPr>
                <w:sz w:val="11"/>
                <w:szCs w:val="11"/>
              </w:rPr>
            </w:pPr>
          </w:p>
        </w:tc>
        <w:tc>
          <w:tcPr>
            <w:tcW w:w="1843" w:type="dxa"/>
            <w:vMerge/>
          </w:tcPr>
          <w:p w14:paraId="29DD461B" w14:textId="77777777" w:rsidR="004D1935" w:rsidRPr="00304F31" w:rsidRDefault="004D1935" w:rsidP="00E24DC9">
            <w:pPr>
              <w:rPr>
                <w:sz w:val="11"/>
                <w:szCs w:val="11"/>
              </w:rPr>
            </w:pPr>
          </w:p>
        </w:tc>
        <w:tc>
          <w:tcPr>
            <w:tcW w:w="1134" w:type="dxa"/>
            <w:vMerge/>
          </w:tcPr>
          <w:p w14:paraId="28D74EB4" w14:textId="77777777" w:rsidR="004D1935" w:rsidRPr="00304F31" w:rsidRDefault="004D1935" w:rsidP="00E24DC9">
            <w:pPr>
              <w:rPr>
                <w:sz w:val="11"/>
                <w:szCs w:val="11"/>
              </w:rPr>
            </w:pPr>
          </w:p>
        </w:tc>
        <w:tc>
          <w:tcPr>
            <w:tcW w:w="9072" w:type="dxa"/>
            <w:vMerge/>
          </w:tcPr>
          <w:p w14:paraId="66F32183" w14:textId="77777777" w:rsidR="004D1935" w:rsidRPr="00304F31" w:rsidRDefault="004D1935" w:rsidP="00E24DC9">
            <w:pPr>
              <w:rPr>
                <w:sz w:val="11"/>
                <w:szCs w:val="11"/>
              </w:rPr>
            </w:pPr>
          </w:p>
        </w:tc>
      </w:tr>
      <w:tr w:rsidR="004D1935" w:rsidRPr="00304F31" w14:paraId="04E4055B" w14:textId="77777777" w:rsidTr="00E24DC9">
        <w:tc>
          <w:tcPr>
            <w:tcW w:w="567" w:type="dxa"/>
            <w:vMerge/>
          </w:tcPr>
          <w:p w14:paraId="3BE0E076" w14:textId="77777777" w:rsidR="004D1935" w:rsidRPr="00304F31" w:rsidRDefault="004D1935" w:rsidP="00E24DC9">
            <w:pPr>
              <w:rPr>
                <w:sz w:val="11"/>
                <w:szCs w:val="11"/>
              </w:rPr>
            </w:pPr>
          </w:p>
        </w:tc>
        <w:tc>
          <w:tcPr>
            <w:tcW w:w="851" w:type="dxa"/>
            <w:tcBorders>
              <w:top w:val="nil"/>
              <w:bottom w:val="nil"/>
            </w:tcBorders>
            <w:vAlign w:val="center"/>
          </w:tcPr>
          <w:p w14:paraId="3D0FDCDE" w14:textId="77777777" w:rsidR="004D1935" w:rsidRPr="00304F31" w:rsidRDefault="004D1935" w:rsidP="00E24DC9">
            <w:pPr>
              <w:jc w:val="center"/>
              <w:rPr>
                <w:rFonts w:ascii="Calibri" w:hAnsi="Calibri" w:cs="Calibri"/>
                <w:color w:val="000000"/>
                <w:sz w:val="11"/>
                <w:szCs w:val="11"/>
              </w:rPr>
            </w:pPr>
            <w:r w:rsidRPr="00304F31">
              <w:rPr>
                <w:rFonts w:ascii="Calibri" w:hAnsi="Calibri" w:cs="Calibri"/>
                <w:color w:val="000000"/>
                <w:sz w:val="11"/>
                <w:szCs w:val="11"/>
              </w:rPr>
              <w:t>268.0150</w:t>
            </w:r>
          </w:p>
        </w:tc>
        <w:tc>
          <w:tcPr>
            <w:tcW w:w="1843" w:type="dxa"/>
            <w:vMerge/>
          </w:tcPr>
          <w:p w14:paraId="24990DDC" w14:textId="77777777" w:rsidR="004D1935" w:rsidRPr="00304F31" w:rsidRDefault="004D1935" w:rsidP="00E24DC9">
            <w:pPr>
              <w:rPr>
                <w:sz w:val="11"/>
                <w:szCs w:val="11"/>
              </w:rPr>
            </w:pPr>
          </w:p>
        </w:tc>
        <w:tc>
          <w:tcPr>
            <w:tcW w:w="1843" w:type="dxa"/>
            <w:vMerge/>
          </w:tcPr>
          <w:p w14:paraId="1EB58944" w14:textId="77777777" w:rsidR="004D1935" w:rsidRPr="00304F31" w:rsidRDefault="004D1935" w:rsidP="00E24DC9">
            <w:pPr>
              <w:rPr>
                <w:sz w:val="11"/>
                <w:szCs w:val="11"/>
              </w:rPr>
            </w:pPr>
          </w:p>
        </w:tc>
        <w:tc>
          <w:tcPr>
            <w:tcW w:w="1134" w:type="dxa"/>
            <w:vMerge/>
          </w:tcPr>
          <w:p w14:paraId="355FAF19" w14:textId="77777777" w:rsidR="004D1935" w:rsidRPr="00304F31" w:rsidRDefault="004D1935" w:rsidP="00E24DC9">
            <w:pPr>
              <w:rPr>
                <w:sz w:val="11"/>
                <w:szCs w:val="11"/>
              </w:rPr>
            </w:pPr>
          </w:p>
        </w:tc>
        <w:tc>
          <w:tcPr>
            <w:tcW w:w="9072" w:type="dxa"/>
            <w:vMerge/>
          </w:tcPr>
          <w:p w14:paraId="32CD312B" w14:textId="77777777" w:rsidR="004D1935" w:rsidRPr="00304F31" w:rsidRDefault="004D1935" w:rsidP="00E24DC9">
            <w:pPr>
              <w:rPr>
                <w:sz w:val="11"/>
                <w:szCs w:val="11"/>
              </w:rPr>
            </w:pPr>
          </w:p>
        </w:tc>
      </w:tr>
      <w:tr w:rsidR="004D1935" w:rsidRPr="00304F31" w14:paraId="009559B3" w14:textId="77777777" w:rsidTr="00E24DC9">
        <w:tc>
          <w:tcPr>
            <w:tcW w:w="567" w:type="dxa"/>
            <w:vMerge/>
          </w:tcPr>
          <w:p w14:paraId="3AAE3985" w14:textId="77777777" w:rsidR="004D1935" w:rsidRPr="00304F31" w:rsidRDefault="004D1935" w:rsidP="00E24DC9">
            <w:pPr>
              <w:rPr>
                <w:sz w:val="11"/>
                <w:szCs w:val="11"/>
              </w:rPr>
            </w:pPr>
          </w:p>
        </w:tc>
        <w:tc>
          <w:tcPr>
            <w:tcW w:w="851" w:type="dxa"/>
            <w:tcBorders>
              <w:top w:val="nil"/>
              <w:bottom w:val="nil"/>
            </w:tcBorders>
            <w:vAlign w:val="center"/>
          </w:tcPr>
          <w:p w14:paraId="48E16567" w14:textId="77777777" w:rsidR="004D1935" w:rsidRPr="00304F31" w:rsidRDefault="004D1935" w:rsidP="00E24DC9">
            <w:pPr>
              <w:jc w:val="center"/>
              <w:rPr>
                <w:rFonts w:ascii="Calibri" w:hAnsi="Calibri" w:cs="Calibri"/>
                <w:color w:val="000000"/>
                <w:sz w:val="11"/>
                <w:szCs w:val="11"/>
              </w:rPr>
            </w:pPr>
            <w:r w:rsidRPr="00304F31">
              <w:rPr>
                <w:rFonts w:ascii="Calibri" w:hAnsi="Calibri" w:cs="Calibri"/>
                <w:color w:val="000000"/>
                <w:sz w:val="11"/>
                <w:szCs w:val="11"/>
              </w:rPr>
              <w:t>268.0917</w:t>
            </w:r>
          </w:p>
        </w:tc>
        <w:tc>
          <w:tcPr>
            <w:tcW w:w="1843" w:type="dxa"/>
            <w:vMerge/>
          </w:tcPr>
          <w:p w14:paraId="09FC0234" w14:textId="77777777" w:rsidR="004D1935" w:rsidRPr="00304F31" w:rsidRDefault="004D1935" w:rsidP="00E24DC9">
            <w:pPr>
              <w:rPr>
                <w:sz w:val="11"/>
                <w:szCs w:val="11"/>
              </w:rPr>
            </w:pPr>
          </w:p>
        </w:tc>
        <w:tc>
          <w:tcPr>
            <w:tcW w:w="1843" w:type="dxa"/>
            <w:vMerge/>
          </w:tcPr>
          <w:p w14:paraId="23ED39F1" w14:textId="77777777" w:rsidR="004D1935" w:rsidRPr="00304F31" w:rsidRDefault="004D1935" w:rsidP="00E24DC9">
            <w:pPr>
              <w:rPr>
                <w:sz w:val="11"/>
                <w:szCs w:val="11"/>
              </w:rPr>
            </w:pPr>
          </w:p>
        </w:tc>
        <w:tc>
          <w:tcPr>
            <w:tcW w:w="1134" w:type="dxa"/>
            <w:vMerge/>
          </w:tcPr>
          <w:p w14:paraId="5ED49D1A" w14:textId="77777777" w:rsidR="004D1935" w:rsidRPr="00304F31" w:rsidRDefault="004D1935" w:rsidP="00E24DC9">
            <w:pPr>
              <w:rPr>
                <w:sz w:val="11"/>
                <w:szCs w:val="11"/>
              </w:rPr>
            </w:pPr>
          </w:p>
        </w:tc>
        <w:tc>
          <w:tcPr>
            <w:tcW w:w="9072" w:type="dxa"/>
            <w:vMerge/>
          </w:tcPr>
          <w:p w14:paraId="1D9BE463" w14:textId="77777777" w:rsidR="004D1935" w:rsidRPr="00304F31" w:rsidRDefault="004D1935" w:rsidP="00E24DC9">
            <w:pPr>
              <w:rPr>
                <w:sz w:val="11"/>
                <w:szCs w:val="11"/>
              </w:rPr>
            </w:pPr>
          </w:p>
        </w:tc>
      </w:tr>
      <w:tr w:rsidR="004D1935" w:rsidRPr="00304F31" w14:paraId="2D25A6FE" w14:textId="77777777" w:rsidTr="00E24DC9">
        <w:tc>
          <w:tcPr>
            <w:tcW w:w="567" w:type="dxa"/>
            <w:vMerge/>
          </w:tcPr>
          <w:p w14:paraId="7C9ED02F" w14:textId="77777777" w:rsidR="004D1935" w:rsidRPr="00304F31" w:rsidRDefault="004D1935" w:rsidP="00E24DC9">
            <w:pPr>
              <w:rPr>
                <w:sz w:val="11"/>
                <w:szCs w:val="11"/>
              </w:rPr>
            </w:pPr>
          </w:p>
        </w:tc>
        <w:tc>
          <w:tcPr>
            <w:tcW w:w="851" w:type="dxa"/>
            <w:tcBorders>
              <w:top w:val="nil"/>
              <w:bottom w:val="nil"/>
            </w:tcBorders>
            <w:vAlign w:val="center"/>
          </w:tcPr>
          <w:p w14:paraId="73A5A910" w14:textId="77777777" w:rsidR="004D1935" w:rsidRPr="00304F31" w:rsidRDefault="004D1935" w:rsidP="00E24DC9">
            <w:pPr>
              <w:jc w:val="center"/>
              <w:rPr>
                <w:rFonts w:ascii="Calibri" w:hAnsi="Calibri" w:cs="Calibri"/>
                <w:color w:val="000000"/>
                <w:sz w:val="11"/>
                <w:szCs w:val="11"/>
              </w:rPr>
            </w:pPr>
            <w:r w:rsidRPr="00304F31">
              <w:rPr>
                <w:rFonts w:ascii="Calibri" w:hAnsi="Calibri" w:cs="Calibri"/>
                <w:color w:val="000000"/>
                <w:sz w:val="11"/>
                <w:szCs w:val="11"/>
              </w:rPr>
              <w:t>268.0304</w:t>
            </w:r>
          </w:p>
        </w:tc>
        <w:tc>
          <w:tcPr>
            <w:tcW w:w="1843" w:type="dxa"/>
            <w:vMerge/>
          </w:tcPr>
          <w:p w14:paraId="3553B849" w14:textId="77777777" w:rsidR="004D1935" w:rsidRPr="00304F31" w:rsidRDefault="004D1935" w:rsidP="00E24DC9">
            <w:pPr>
              <w:rPr>
                <w:sz w:val="11"/>
                <w:szCs w:val="11"/>
              </w:rPr>
            </w:pPr>
          </w:p>
        </w:tc>
        <w:tc>
          <w:tcPr>
            <w:tcW w:w="1843" w:type="dxa"/>
            <w:vMerge/>
          </w:tcPr>
          <w:p w14:paraId="67D18A87" w14:textId="77777777" w:rsidR="004D1935" w:rsidRPr="00304F31" w:rsidRDefault="004D1935" w:rsidP="00E24DC9">
            <w:pPr>
              <w:rPr>
                <w:sz w:val="11"/>
                <w:szCs w:val="11"/>
              </w:rPr>
            </w:pPr>
          </w:p>
        </w:tc>
        <w:tc>
          <w:tcPr>
            <w:tcW w:w="1134" w:type="dxa"/>
            <w:vMerge/>
          </w:tcPr>
          <w:p w14:paraId="6CBC5E38" w14:textId="77777777" w:rsidR="004D1935" w:rsidRPr="00304F31" w:rsidRDefault="004D1935" w:rsidP="00E24DC9">
            <w:pPr>
              <w:rPr>
                <w:sz w:val="11"/>
                <w:szCs w:val="11"/>
              </w:rPr>
            </w:pPr>
          </w:p>
        </w:tc>
        <w:tc>
          <w:tcPr>
            <w:tcW w:w="9072" w:type="dxa"/>
            <w:vMerge/>
          </w:tcPr>
          <w:p w14:paraId="117769E1" w14:textId="77777777" w:rsidR="004D1935" w:rsidRPr="00304F31" w:rsidRDefault="004D1935" w:rsidP="00E24DC9">
            <w:pPr>
              <w:rPr>
                <w:sz w:val="11"/>
                <w:szCs w:val="11"/>
              </w:rPr>
            </w:pPr>
          </w:p>
        </w:tc>
      </w:tr>
      <w:tr w:rsidR="004D1935" w:rsidRPr="00304F31" w14:paraId="20E9BD6F" w14:textId="77777777" w:rsidTr="00E24DC9">
        <w:tc>
          <w:tcPr>
            <w:tcW w:w="567" w:type="dxa"/>
            <w:vMerge/>
          </w:tcPr>
          <w:p w14:paraId="18843857" w14:textId="77777777" w:rsidR="004D1935" w:rsidRPr="00304F31" w:rsidRDefault="004D1935" w:rsidP="00E24DC9">
            <w:pPr>
              <w:rPr>
                <w:sz w:val="11"/>
                <w:szCs w:val="11"/>
              </w:rPr>
            </w:pPr>
          </w:p>
        </w:tc>
        <w:tc>
          <w:tcPr>
            <w:tcW w:w="851" w:type="dxa"/>
            <w:tcBorders>
              <w:top w:val="nil"/>
            </w:tcBorders>
            <w:vAlign w:val="center"/>
          </w:tcPr>
          <w:p w14:paraId="237221D2" w14:textId="77777777" w:rsidR="004D1935" w:rsidRPr="00304F31" w:rsidRDefault="004D1935" w:rsidP="00E24DC9">
            <w:pPr>
              <w:jc w:val="center"/>
              <w:rPr>
                <w:rFonts w:ascii="Calibri" w:hAnsi="Calibri" w:cs="Calibri"/>
                <w:color w:val="000000"/>
                <w:sz w:val="11"/>
                <w:szCs w:val="11"/>
              </w:rPr>
            </w:pPr>
            <w:r w:rsidRPr="00304F31">
              <w:rPr>
                <w:rFonts w:ascii="Calibri" w:hAnsi="Calibri" w:cs="Calibri"/>
                <w:color w:val="000000"/>
                <w:sz w:val="11"/>
                <w:szCs w:val="11"/>
              </w:rPr>
              <w:t>268.0980</w:t>
            </w:r>
          </w:p>
        </w:tc>
        <w:tc>
          <w:tcPr>
            <w:tcW w:w="1843" w:type="dxa"/>
            <w:vMerge/>
          </w:tcPr>
          <w:p w14:paraId="6C884250" w14:textId="77777777" w:rsidR="004D1935" w:rsidRPr="00304F31" w:rsidRDefault="004D1935" w:rsidP="00E24DC9">
            <w:pPr>
              <w:rPr>
                <w:sz w:val="11"/>
                <w:szCs w:val="11"/>
              </w:rPr>
            </w:pPr>
          </w:p>
        </w:tc>
        <w:tc>
          <w:tcPr>
            <w:tcW w:w="1843" w:type="dxa"/>
            <w:vMerge/>
          </w:tcPr>
          <w:p w14:paraId="4264ECC6" w14:textId="77777777" w:rsidR="004D1935" w:rsidRPr="00304F31" w:rsidRDefault="004D1935" w:rsidP="00E24DC9">
            <w:pPr>
              <w:rPr>
                <w:sz w:val="11"/>
                <w:szCs w:val="11"/>
              </w:rPr>
            </w:pPr>
          </w:p>
        </w:tc>
        <w:tc>
          <w:tcPr>
            <w:tcW w:w="1134" w:type="dxa"/>
            <w:vMerge/>
          </w:tcPr>
          <w:p w14:paraId="34DC4F8E" w14:textId="77777777" w:rsidR="004D1935" w:rsidRPr="00304F31" w:rsidRDefault="004D1935" w:rsidP="00E24DC9">
            <w:pPr>
              <w:rPr>
                <w:sz w:val="11"/>
                <w:szCs w:val="11"/>
              </w:rPr>
            </w:pPr>
          </w:p>
        </w:tc>
        <w:tc>
          <w:tcPr>
            <w:tcW w:w="9072" w:type="dxa"/>
            <w:vMerge/>
          </w:tcPr>
          <w:p w14:paraId="02E4DC72" w14:textId="77777777" w:rsidR="004D1935" w:rsidRPr="00304F31" w:rsidRDefault="004D1935" w:rsidP="00E24DC9">
            <w:pPr>
              <w:rPr>
                <w:sz w:val="11"/>
                <w:szCs w:val="11"/>
              </w:rPr>
            </w:pPr>
          </w:p>
        </w:tc>
      </w:tr>
    </w:tbl>
    <w:p w14:paraId="421511C2" w14:textId="77777777" w:rsidR="004D1935" w:rsidRPr="00251B92" w:rsidRDefault="004D1935" w:rsidP="004D1935">
      <w:pPr>
        <w:autoSpaceDE w:val="0"/>
        <w:autoSpaceDN w:val="0"/>
        <w:adjustRightInd w:val="0"/>
        <w:rPr>
          <w:rFonts w:eastAsiaTheme="minorHAnsi"/>
          <w:sz w:val="16"/>
          <w:szCs w:val="16"/>
        </w:rPr>
      </w:pPr>
      <w:r>
        <w:rPr>
          <w:rFonts w:eastAsiaTheme="minorHAnsi"/>
          <w:sz w:val="16"/>
          <w:szCs w:val="16"/>
        </w:rPr>
        <w:lastRenderedPageBreak/>
        <w:t>Table A 4.14: Discriminant mass bins (393) in root aqueous phase and their associated detected masses looking for compound identification accounts for protonated adduct (H) and K, NA</w:t>
      </w:r>
      <w:r w:rsidRPr="00396597">
        <w:rPr>
          <w:rFonts w:eastAsiaTheme="minorHAnsi"/>
          <w:sz w:val="16"/>
          <w:szCs w:val="16"/>
        </w:rPr>
        <w:t xml:space="preserve"> </w:t>
      </w:r>
      <w:r>
        <w:rPr>
          <w:rFonts w:eastAsiaTheme="minorHAnsi"/>
          <w:sz w:val="16"/>
          <w:szCs w:val="16"/>
        </w:rPr>
        <w:t>in positive mode in the analysis. The putatively identified compounds, their chemical groups, and the associated pathways are displayed.</w:t>
      </w:r>
    </w:p>
    <w:tbl>
      <w:tblPr>
        <w:tblStyle w:val="TableGrid"/>
        <w:tblW w:w="15027" w:type="dxa"/>
        <w:tblInd w:w="-998" w:type="dxa"/>
        <w:tblLook w:val="04A0" w:firstRow="1" w:lastRow="0" w:firstColumn="1" w:lastColumn="0" w:noHBand="0" w:noVBand="1"/>
      </w:tblPr>
      <w:tblGrid>
        <w:gridCol w:w="825"/>
        <w:gridCol w:w="877"/>
        <w:gridCol w:w="2880"/>
        <w:gridCol w:w="1465"/>
        <w:gridCol w:w="1137"/>
        <w:gridCol w:w="7843"/>
      </w:tblGrid>
      <w:tr w:rsidR="004D1935" w14:paraId="44306BED" w14:textId="77777777" w:rsidTr="00E24DC9">
        <w:tc>
          <w:tcPr>
            <w:tcW w:w="825" w:type="dxa"/>
            <w:vAlign w:val="center"/>
          </w:tcPr>
          <w:p w14:paraId="3D57266E" w14:textId="77777777" w:rsidR="004D1935" w:rsidRPr="00F1161C" w:rsidRDefault="004D1935" w:rsidP="00E24DC9">
            <w:pPr>
              <w:jc w:val="center"/>
              <w:rPr>
                <w:sz w:val="16"/>
                <w:szCs w:val="16"/>
              </w:rPr>
            </w:pPr>
            <w:r w:rsidRPr="00F1161C">
              <w:rPr>
                <w:sz w:val="16"/>
                <w:szCs w:val="16"/>
              </w:rPr>
              <w:t>Adduct</w:t>
            </w:r>
          </w:p>
        </w:tc>
        <w:tc>
          <w:tcPr>
            <w:tcW w:w="877" w:type="dxa"/>
            <w:tcBorders>
              <w:bottom w:val="single" w:sz="4" w:space="0" w:color="auto"/>
            </w:tcBorders>
            <w:vAlign w:val="center"/>
          </w:tcPr>
          <w:p w14:paraId="536A1377" w14:textId="77777777" w:rsidR="004D1935" w:rsidRPr="0064730E" w:rsidRDefault="004D1935" w:rsidP="00E24DC9">
            <w:pPr>
              <w:jc w:val="center"/>
              <w:rPr>
                <w:sz w:val="13"/>
                <w:szCs w:val="13"/>
              </w:rPr>
            </w:pPr>
            <w:r w:rsidRPr="0064730E">
              <w:rPr>
                <w:sz w:val="13"/>
                <w:szCs w:val="13"/>
              </w:rPr>
              <w:t>Mass detected</w:t>
            </w:r>
          </w:p>
        </w:tc>
        <w:tc>
          <w:tcPr>
            <w:tcW w:w="2880" w:type="dxa"/>
            <w:vAlign w:val="center"/>
          </w:tcPr>
          <w:p w14:paraId="27799D57" w14:textId="77777777" w:rsidR="004D1935" w:rsidRPr="00F1161C" w:rsidRDefault="004D1935" w:rsidP="00E24DC9">
            <w:pPr>
              <w:jc w:val="center"/>
              <w:rPr>
                <w:sz w:val="16"/>
                <w:szCs w:val="16"/>
              </w:rPr>
            </w:pPr>
            <w:r w:rsidRPr="00F1161C">
              <w:rPr>
                <w:rFonts w:asciiTheme="majorBidi" w:hAnsiTheme="majorBidi" w:cstheme="majorBidi"/>
                <w:color w:val="000000" w:themeColor="text1"/>
                <w:sz w:val="16"/>
                <w:szCs w:val="16"/>
              </w:rPr>
              <w:t>COMPOUNDS NAME</w:t>
            </w:r>
          </w:p>
        </w:tc>
        <w:tc>
          <w:tcPr>
            <w:tcW w:w="1465" w:type="dxa"/>
            <w:vAlign w:val="center"/>
          </w:tcPr>
          <w:p w14:paraId="7F95D5AA" w14:textId="77777777" w:rsidR="004D1935" w:rsidRPr="00F1161C" w:rsidRDefault="004D1935" w:rsidP="00E24DC9">
            <w:pPr>
              <w:jc w:val="center"/>
              <w:rPr>
                <w:sz w:val="16"/>
                <w:szCs w:val="16"/>
              </w:rPr>
            </w:pPr>
            <w:r w:rsidRPr="00F1161C">
              <w:rPr>
                <w:rFonts w:asciiTheme="majorBidi" w:hAnsiTheme="majorBidi" w:cstheme="majorBidi"/>
                <w:color w:val="000000" w:themeColor="text1"/>
                <w:sz w:val="16"/>
                <w:szCs w:val="16"/>
              </w:rPr>
              <w:t>chemical formula</w:t>
            </w:r>
          </w:p>
        </w:tc>
        <w:tc>
          <w:tcPr>
            <w:tcW w:w="1137" w:type="dxa"/>
            <w:vAlign w:val="center"/>
          </w:tcPr>
          <w:p w14:paraId="3232CA67" w14:textId="77777777" w:rsidR="004D1935" w:rsidRPr="00F1161C" w:rsidRDefault="004D1935" w:rsidP="00E24DC9">
            <w:pPr>
              <w:jc w:val="center"/>
              <w:rPr>
                <w:sz w:val="16"/>
                <w:szCs w:val="16"/>
              </w:rPr>
            </w:pPr>
            <w:r w:rsidRPr="00F1161C">
              <w:rPr>
                <w:rFonts w:asciiTheme="majorBidi" w:hAnsiTheme="majorBidi" w:cstheme="majorBidi"/>
                <w:color w:val="000000" w:themeColor="text1"/>
                <w:sz w:val="16"/>
                <w:szCs w:val="16"/>
              </w:rPr>
              <w:t>chemical group</w:t>
            </w:r>
          </w:p>
        </w:tc>
        <w:tc>
          <w:tcPr>
            <w:tcW w:w="7843" w:type="dxa"/>
            <w:vAlign w:val="center"/>
          </w:tcPr>
          <w:p w14:paraId="618B9DC5" w14:textId="77777777" w:rsidR="004D1935" w:rsidRPr="00F1161C" w:rsidRDefault="004D1935" w:rsidP="00E24DC9">
            <w:pPr>
              <w:jc w:val="center"/>
              <w:rPr>
                <w:sz w:val="16"/>
                <w:szCs w:val="16"/>
              </w:rPr>
            </w:pPr>
            <w:r w:rsidRPr="00F1161C">
              <w:rPr>
                <w:rFonts w:asciiTheme="majorBidi" w:hAnsiTheme="majorBidi" w:cstheme="majorBidi"/>
                <w:color w:val="000000" w:themeColor="text1"/>
                <w:sz w:val="16"/>
                <w:szCs w:val="16"/>
              </w:rPr>
              <w:t>pathway</w:t>
            </w:r>
          </w:p>
        </w:tc>
      </w:tr>
      <w:tr w:rsidR="004D1935" w14:paraId="7410C837" w14:textId="77777777" w:rsidTr="00E24DC9">
        <w:tc>
          <w:tcPr>
            <w:tcW w:w="825" w:type="dxa"/>
            <w:vMerge w:val="restart"/>
          </w:tcPr>
          <w:p w14:paraId="10A94961" w14:textId="77777777" w:rsidR="004D1935" w:rsidRDefault="004D1935" w:rsidP="00E24DC9"/>
        </w:tc>
        <w:tc>
          <w:tcPr>
            <w:tcW w:w="877" w:type="dxa"/>
            <w:tcBorders>
              <w:bottom w:val="nil"/>
            </w:tcBorders>
            <w:vAlign w:val="center"/>
          </w:tcPr>
          <w:p w14:paraId="4970BF64" w14:textId="77777777" w:rsidR="004D1935" w:rsidRPr="0064730E" w:rsidRDefault="004D1935" w:rsidP="00E24DC9">
            <w:pPr>
              <w:jc w:val="center"/>
              <w:rPr>
                <w:sz w:val="13"/>
                <w:szCs w:val="13"/>
              </w:rPr>
            </w:pPr>
            <w:r w:rsidRPr="0064730E">
              <w:rPr>
                <w:rFonts w:ascii="Calibri" w:hAnsi="Calibri" w:cs="Calibri"/>
                <w:color w:val="000000"/>
                <w:sz w:val="13"/>
                <w:szCs w:val="13"/>
              </w:rPr>
              <w:t>393.1250</w:t>
            </w:r>
          </w:p>
        </w:tc>
        <w:tc>
          <w:tcPr>
            <w:tcW w:w="2880" w:type="dxa"/>
            <w:vMerge w:val="restart"/>
            <w:vAlign w:val="center"/>
          </w:tcPr>
          <w:p w14:paraId="056B3F2A" w14:textId="77777777" w:rsidR="004D1935" w:rsidRPr="00FF6722" w:rsidRDefault="004D1935" w:rsidP="00E24DC9">
            <w:pPr>
              <w:jc w:val="center"/>
              <w:rPr>
                <w:color w:val="000000" w:themeColor="text1"/>
              </w:rPr>
            </w:pPr>
            <w:r w:rsidRPr="00FF6722">
              <w:rPr>
                <w:rFonts w:ascii="Calibri" w:hAnsi="Calibri" w:cs="Calibri"/>
                <w:color w:val="000000" w:themeColor="text1"/>
                <w:sz w:val="15"/>
                <w:szCs w:val="15"/>
              </w:rPr>
              <w:t>dihydromacarpine</w:t>
            </w:r>
          </w:p>
        </w:tc>
        <w:tc>
          <w:tcPr>
            <w:tcW w:w="1465" w:type="dxa"/>
            <w:vMerge w:val="restart"/>
            <w:vAlign w:val="center"/>
          </w:tcPr>
          <w:p w14:paraId="7E62EDF2" w14:textId="77777777" w:rsidR="004D1935" w:rsidRPr="00FF6722" w:rsidRDefault="004D1935" w:rsidP="00E24DC9">
            <w:pPr>
              <w:jc w:val="center"/>
              <w:rPr>
                <w:color w:val="000000" w:themeColor="text1"/>
              </w:rPr>
            </w:pPr>
            <w:r w:rsidRPr="00FF6722">
              <w:rPr>
                <w:rFonts w:ascii="Calibri" w:hAnsi="Calibri" w:cs="Calibri"/>
                <w:color w:val="000000" w:themeColor="text1"/>
                <w:sz w:val="15"/>
                <w:szCs w:val="15"/>
              </w:rPr>
              <w:t>alkaloid</w:t>
            </w:r>
          </w:p>
        </w:tc>
        <w:tc>
          <w:tcPr>
            <w:tcW w:w="1137" w:type="dxa"/>
            <w:vMerge w:val="restart"/>
            <w:vAlign w:val="center"/>
          </w:tcPr>
          <w:p w14:paraId="344F45E4" w14:textId="77777777" w:rsidR="004D1935" w:rsidRPr="00FF6722" w:rsidRDefault="004D1935" w:rsidP="00E24DC9">
            <w:pPr>
              <w:jc w:val="center"/>
              <w:rPr>
                <w:color w:val="000000" w:themeColor="text1"/>
                <w:sz w:val="15"/>
                <w:szCs w:val="15"/>
              </w:rPr>
            </w:pPr>
            <w:r w:rsidRPr="00FF6722">
              <w:rPr>
                <w:rFonts w:ascii="Arial" w:hAnsi="Arial" w:cs="Arial"/>
                <w:color w:val="000000" w:themeColor="text1"/>
                <w:sz w:val="15"/>
                <w:szCs w:val="15"/>
                <w:shd w:val="clear" w:color="auto" w:fill="FFFFFF"/>
              </w:rPr>
              <w:t>C</w:t>
            </w:r>
            <w:r w:rsidRPr="00FF6722">
              <w:rPr>
                <w:rFonts w:ascii="Arial" w:hAnsi="Arial" w:cs="Arial"/>
                <w:color w:val="000000" w:themeColor="text1"/>
                <w:sz w:val="15"/>
                <w:szCs w:val="15"/>
                <w:shd w:val="clear" w:color="auto" w:fill="FFFFFF"/>
                <w:vertAlign w:val="subscript"/>
              </w:rPr>
              <w:t>22</w:t>
            </w:r>
            <w:r w:rsidRPr="00FF6722">
              <w:rPr>
                <w:rFonts w:ascii="Arial" w:hAnsi="Arial" w:cs="Arial"/>
                <w:color w:val="000000" w:themeColor="text1"/>
                <w:sz w:val="15"/>
                <w:szCs w:val="15"/>
                <w:shd w:val="clear" w:color="auto" w:fill="FFFFFF"/>
              </w:rPr>
              <w:t>H</w:t>
            </w:r>
            <w:r w:rsidRPr="00FF6722">
              <w:rPr>
                <w:rFonts w:ascii="Arial" w:hAnsi="Arial" w:cs="Arial"/>
                <w:color w:val="000000" w:themeColor="text1"/>
                <w:sz w:val="15"/>
                <w:szCs w:val="15"/>
                <w:shd w:val="clear" w:color="auto" w:fill="FFFFFF"/>
                <w:vertAlign w:val="subscript"/>
              </w:rPr>
              <w:t>19</w:t>
            </w:r>
            <w:r w:rsidRPr="00FF6722">
              <w:rPr>
                <w:rFonts w:ascii="Arial" w:hAnsi="Arial" w:cs="Arial"/>
                <w:color w:val="000000" w:themeColor="text1"/>
                <w:sz w:val="15"/>
                <w:szCs w:val="15"/>
                <w:shd w:val="clear" w:color="auto" w:fill="FFFFFF"/>
              </w:rPr>
              <w:t>NO</w:t>
            </w:r>
            <w:r w:rsidRPr="00FF6722">
              <w:rPr>
                <w:rFonts w:ascii="Arial" w:hAnsi="Arial" w:cs="Arial"/>
                <w:color w:val="000000" w:themeColor="text1"/>
                <w:sz w:val="15"/>
                <w:szCs w:val="15"/>
                <w:shd w:val="clear" w:color="auto" w:fill="FFFFFF"/>
                <w:vertAlign w:val="subscript"/>
              </w:rPr>
              <w:t>6</w:t>
            </w:r>
          </w:p>
          <w:p w14:paraId="603901BC" w14:textId="77777777" w:rsidR="004D1935" w:rsidRPr="00FF6722" w:rsidRDefault="004D1935" w:rsidP="00E24DC9">
            <w:pPr>
              <w:jc w:val="center"/>
              <w:rPr>
                <w:color w:val="000000" w:themeColor="text1"/>
              </w:rPr>
            </w:pPr>
          </w:p>
        </w:tc>
        <w:tc>
          <w:tcPr>
            <w:tcW w:w="7843" w:type="dxa"/>
            <w:vMerge w:val="restart"/>
            <w:vAlign w:val="center"/>
          </w:tcPr>
          <w:p w14:paraId="06047533" w14:textId="77777777" w:rsidR="004D1935" w:rsidRPr="00FF6722" w:rsidRDefault="004D1935" w:rsidP="00E24DC9">
            <w:pPr>
              <w:jc w:val="center"/>
              <w:rPr>
                <w:color w:val="000000" w:themeColor="text1"/>
              </w:rPr>
            </w:pPr>
            <w:r w:rsidRPr="00FF6722">
              <w:rPr>
                <w:rFonts w:ascii="Calibri" w:hAnsi="Calibri" w:cs="Calibri"/>
                <w:color w:val="000000" w:themeColor="text1"/>
                <w:sz w:val="15"/>
                <w:szCs w:val="15"/>
              </w:rPr>
              <w:t>Isoquinoline alkaloid biosynthesis /jasmonic acid pathway/Riboflavin/Flavanone/Flavonoid/Abscisic acid biosynthesis/fatty acid /Shikimate</w:t>
            </w:r>
          </w:p>
        </w:tc>
      </w:tr>
      <w:tr w:rsidR="004D1935" w14:paraId="1EDE8087" w14:textId="77777777" w:rsidTr="00E24DC9">
        <w:tc>
          <w:tcPr>
            <w:tcW w:w="825" w:type="dxa"/>
            <w:vMerge/>
          </w:tcPr>
          <w:p w14:paraId="42DDEA01" w14:textId="77777777" w:rsidR="004D1935" w:rsidRDefault="004D1935" w:rsidP="00E24DC9"/>
        </w:tc>
        <w:tc>
          <w:tcPr>
            <w:tcW w:w="877" w:type="dxa"/>
            <w:tcBorders>
              <w:top w:val="nil"/>
              <w:bottom w:val="nil"/>
            </w:tcBorders>
            <w:vAlign w:val="center"/>
          </w:tcPr>
          <w:p w14:paraId="5667044D" w14:textId="77777777" w:rsidR="004D1935" w:rsidRPr="0064730E" w:rsidRDefault="004D1935" w:rsidP="00E24DC9">
            <w:pPr>
              <w:jc w:val="center"/>
              <w:rPr>
                <w:sz w:val="13"/>
                <w:szCs w:val="13"/>
              </w:rPr>
            </w:pPr>
            <w:r w:rsidRPr="0064730E">
              <w:rPr>
                <w:rFonts w:ascii="Calibri" w:hAnsi="Calibri" w:cs="Calibri"/>
                <w:color w:val="000000"/>
                <w:sz w:val="13"/>
                <w:szCs w:val="13"/>
              </w:rPr>
              <w:t>393.1683</w:t>
            </w:r>
          </w:p>
        </w:tc>
        <w:tc>
          <w:tcPr>
            <w:tcW w:w="2880" w:type="dxa"/>
            <w:vMerge/>
            <w:vAlign w:val="center"/>
          </w:tcPr>
          <w:p w14:paraId="491CD2F1" w14:textId="77777777" w:rsidR="004D1935" w:rsidRDefault="004D1935" w:rsidP="00E24DC9"/>
        </w:tc>
        <w:tc>
          <w:tcPr>
            <w:tcW w:w="1465" w:type="dxa"/>
            <w:vMerge/>
            <w:vAlign w:val="center"/>
          </w:tcPr>
          <w:p w14:paraId="71D540A3" w14:textId="77777777" w:rsidR="004D1935" w:rsidRDefault="004D1935" w:rsidP="00E24DC9"/>
        </w:tc>
        <w:tc>
          <w:tcPr>
            <w:tcW w:w="1137" w:type="dxa"/>
            <w:vMerge/>
          </w:tcPr>
          <w:p w14:paraId="1D1DAC4C" w14:textId="77777777" w:rsidR="004D1935" w:rsidRDefault="004D1935" w:rsidP="00E24DC9"/>
        </w:tc>
        <w:tc>
          <w:tcPr>
            <w:tcW w:w="7843" w:type="dxa"/>
            <w:vMerge/>
          </w:tcPr>
          <w:p w14:paraId="1667957C" w14:textId="77777777" w:rsidR="004D1935" w:rsidRDefault="004D1935" w:rsidP="00E24DC9"/>
        </w:tc>
      </w:tr>
      <w:tr w:rsidR="004D1935" w14:paraId="418B8ECA" w14:textId="77777777" w:rsidTr="00E24DC9">
        <w:tc>
          <w:tcPr>
            <w:tcW w:w="825" w:type="dxa"/>
            <w:vMerge/>
          </w:tcPr>
          <w:p w14:paraId="58F583A6" w14:textId="77777777" w:rsidR="004D1935" w:rsidRDefault="004D1935" w:rsidP="00E24DC9"/>
        </w:tc>
        <w:tc>
          <w:tcPr>
            <w:tcW w:w="877" w:type="dxa"/>
            <w:tcBorders>
              <w:top w:val="nil"/>
              <w:bottom w:val="nil"/>
            </w:tcBorders>
            <w:vAlign w:val="center"/>
          </w:tcPr>
          <w:p w14:paraId="5DC85184" w14:textId="77777777" w:rsidR="004D1935" w:rsidRPr="0064730E" w:rsidRDefault="004D1935" w:rsidP="00E24DC9">
            <w:pPr>
              <w:jc w:val="center"/>
              <w:rPr>
                <w:sz w:val="13"/>
                <w:szCs w:val="13"/>
              </w:rPr>
            </w:pPr>
            <w:r w:rsidRPr="0064730E">
              <w:rPr>
                <w:rFonts w:ascii="Calibri" w:hAnsi="Calibri" w:cs="Calibri"/>
                <w:color w:val="000000"/>
                <w:sz w:val="13"/>
                <w:szCs w:val="13"/>
              </w:rPr>
              <w:t>393.2261</w:t>
            </w:r>
          </w:p>
        </w:tc>
        <w:tc>
          <w:tcPr>
            <w:tcW w:w="2880" w:type="dxa"/>
            <w:vMerge/>
            <w:vAlign w:val="center"/>
          </w:tcPr>
          <w:p w14:paraId="68EC2977" w14:textId="77777777" w:rsidR="004D1935" w:rsidRDefault="004D1935" w:rsidP="00E24DC9"/>
        </w:tc>
        <w:tc>
          <w:tcPr>
            <w:tcW w:w="1465" w:type="dxa"/>
            <w:vMerge/>
            <w:vAlign w:val="center"/>
          </w:tcPr>
          <w:p w14:paraId="46FFA561" w14:textId="77777777" w:rsidR="004D1935" w:rsidRDefault="004D1935" w:rsidP="00E24DC9"/>
        </w:tc>
        <w:tc>
          <w:tcPr>
            <w:tcW w:w="1137" w:type="dxa"/>
            <w:vMerge/>
          </w:tcPr>
          <w:p w14:paraId="58784A56" w14:textId="77777777" w:rsidR="004D1935" w:rsidRDefault="004D1935" w:rsidP="00E24DC9"/>
        </w:tc>
        <w:tc>
          <w:tcPr>
            <w:tcW w:w="7843" w:type="dxa"/>
            <w:vMerge/>
          </w:tcPr>
          <w:p w14:paraId="19C8A5C1" w14:textId="77777777" w:rsidR="004D1935" w:rsidRDefault="004D1935" w:rsidP="00E24DC9"/>
        </w:tc>
      </w:tr>
      <w:tr w:rsidR="004D1935" w14:paraId="3D096CA3" w14:textId="77777777" w:rsidTr="00E24DC9">
        <w:tc>
          <w:tcPr>
            <w:tcW w:w="825" w:type="dxa"/>
            <w:vMerge/>
          </w:tcPr>
          <w:p w14:paraId="21F1C5A2" w14:textId="77777777" w:rsidR="004D1935" w:rsidRDefault="004D1935" w:rsidP="00E24DC9"/>
        </w:tc>
        <w:tc>
          <w:tcPr>
            <w:tcW w:w="877" w:type="dxa"/>
            <w:tcBorders>
              <w:top w:val="nil"/>
              <w:bottom w:val="nil"/>
            </w:tcBorders>
            <w:vAlign w:val="center"/>
          </w:tcPr>
          <w:p w14:paraId="5337A10E" w14:textId="77777777" w:rsidR="004D1935" w:rsidRPr="0064730E" w:rsidRDefault="004D1935" w:rsidP="00E24DC9">
            <w:pPr>
              <w:jc w:val="center"/>
              <w:rPr>
                <w:sz w:val="13"/>
                <w:szCs w:val="13"/>
              </w:rPr>
            </w:pPr>
            <w:r w:rsidRPr="0064730E">
              <w:rPr>
                <w:rFonts w:ascii="Calibri" w:hAnsi="Calibri" w:cs="Calibri"/>
                <w:color w:val="000000"/>
                <w:sz w:val="13"/>
                <w:szCs w:val="13"/>
              </w:rPr>
              <w:t>393.2695</w:t>
            </w:r>
          </w:p>
        </w:tc>
        <w:tc>
          <w:tcPr>
            <w:tcW w:w="2880" w:type="dxa"/>
            <w:vMerge/>
            <w:vAlign w:val="center"/>
          </w:tcPr>
          <w:p w14:paraId="182A81B0" w14:textId="77777777" w:rsidR="004D1935" w:rsidRDefault="004D1935" w:rsidP="00E24DC9"/>
        </w:tc>
        <w:tc>
          <w:tcPr>
            <w:tcW w:w="1465" w:type="dxa"/>
            <w:vMerge/>
            <w:vAlign w:val="center"/>
          </w:tcPr>
          <w:p w14:paraId="31BDEA1F" w14:textId="77777777" w:rsidR="004D1935" w:rsidRDefault="004D1935" w:rsidP="00E24DC9"/>
        </w:tc>
        <w:tc>
          <w:tcPr>
            <w:tcW w:w="1137" w:type="dxa"/>
            <w:vMerge/>
          </w:tcPr>
          <w:p w14:paraId="5DCB6F0B" w14:textId="77777777" w:rsidR="004D1935" w:rsidRDefault="004D1935" w:rsidP="00E24DC9"/>
        </w:tc>
        <w:tc>
          <w:tcPr>
            <w:tcW w:w="7843" w:type="dxa"/>
            <w:vMerge/>
          </w:tcPr>
          <w:p w14:paraId="606FD348" w14:textId="77777777" w:rsidR="004D1935" w:rsidRDefault="004D1935" w:rsidP="00E24DC9"/>
        </w:tc>
      </w:tr>
      <w:tr w:rsidR="004D1935" w14:paraId="3A22A000" w14:textId="77777777" w:rsidTr="00E24DC9">
        <w:tc>
          <w:tcPr>
            <w:tcW w:w="825" w:type="dxa"/>
            <w:vMerge/>
          </w:tcPr>
          <w:p w14:paraId="2D99903E" w14:textId="77777777" w:rsidR="004D1935" w:rsidRDefault="004D1935" w:rsidP="00E24DC9"/>
        </w:tc>
        <w:tc>
          <w:tcPr>
            <w:tcW w:w="877" w:type="dxa"/>
            <w:tcBorders>
              <w:top w:val="nil"/>
              <w:bottom w:val="nil"/>
            </w:tcBorders>
            <w:vAlign w:val="center"/>
          </w:tcPr>
          <w:p w14:paraId="773F6AFE" w14:textId="77777777" w:rsidR="004D1935" w:rsidRPr="0064730E" w:rsidRDefault="004D1935" w:rsidP="00E24DC9">
            <w:pPr>
              <w:jc w:val="center"/>
              <w:rPr>
                <w:sz w:val="13"/>
                <w:szCs w:val="13"/>
              </w:rPr>
            </w:pPr>
            <w:r w:rsidRPr="0064730E">
              <w:rPr>
                <w:rFonts w:ascii="Calibri" w:hAnsi="Calibri" w:cs="Calibri"/>
                <w:color w:val="000000"/>
                <w:sz w:val="13"/>
                <w:szCs w:val="13"/>
              </w:rPr>
              <w:t>393.1279</w:t>
            </w:r>
          </w:p>
        </w:tc>
        <w:tc>
          <w:tcPr>
            <w:tcW w:w="2880" w:type="dxa"/>
            <w:vMerge/>
            <w:vAlign w:val="center"/>
          </w:tcPr>
          <w:p w14:paraId="56F8959F" w14:textId="77777777" w:rsidR="004D1935" w:rsidRDefault="004D1935" w:rsidP="00E24DC9"/>
        </w:tc>
        <w:tc>
          <w:tcPr>
            <w:tcW w:w="1465" w:type="dxa"/>
            <w:vMerge/>
            <w:vAlign w:val="center"/>
          </w:tcPr>
          <w:p w14:paraId="1990DEA3" w14:textId="77777777" w:rsidR="004D1935" w:rsidRDefault="004D1935" w:rsidP="00E24DC9"/>
        </w:tc>
        <w:tc>
          <w:tcPr>
            <w:tcW w:w="1137" w:type="dxa"/>
            <w:vMerge/>
          </w:tcPr>
          <w:p w14:paraId="65B9DFF0" w14:textId="77777777" w:rsidR="004D1935" w:rsidRDefault="004D1935" w:rsidP="00E24DC9"/>
        </w:tc>
        <w:tc>
          <w:tcPr>
            <w:tcW w:w="7843" w:type="dxa"/>
            <w:vMerge/>
          </w:tcPr>
          <w:p w14:paraId="26D0FA64" w14:textId="77777777" w:rsidR="004D1935" w:rsidRDefault="004D1935" w:rsidP="00E24DC9"/>
        </w:tc>
      </w:tr>
      <w:tr w:rsidR="004D1935" w14:paraId="56CCED84" w14:textId="77777777" w:rsidTr="00E24DC9">
        <w:tc>
          <w:tcPr>
            <w:tcW w:w="825" w:type="dxa"/>
            <w:vMerge/>
          </w:tcPr>
          <w:p w14:paraId="5D60F963" w14:textId="77777777" w:rsidR="004D1935" w:rsidRDefault="004D1935" w:rsidP="00E24DC9"/>
        </w:tc>
        <w:tc>
          <w:tcPr>
            <w:tcW w:w="877" w:type="dxa"/>
            <w:tcBorders>
              <w:top w:val="nil"/>
              <w:bottom w:val="nil"/>
            </w:tcBorders>
            <w:vAlign w:val="center"/>
          </w:tcPr>
          <w:p w14:paraId="6C4C3F8D" w14:textId="77777777" w:rsidR="004D1935" w:rsidRPr="0064730E" w:rsidRDefault="004D1935" w:rsidP="00E24DC9">
            <w:pPr>
              <w:jc w:val="center"/>
              <w:rPr>
                <w:sz w:val="13"/>
                <w:szCs w:val="13"/>
              </w:rPr>
            </w:pPr>
            <w:r w:rsidRPr="0064730E">
              <w:rPr>
                <w:rFonts w:ascii="Calibri" w:hAnsi="Calibri" w:cs="Calibri"/>
                <w:color w:val="000000"/>
                <w:sz w:val="13"/>
                <w:szCs w:val="13"/>
              </w:rPr>
              <w:t>393.1712</w:t>
            </w:r>
          </w:p>
        </w:tc>
        <w:tc>
          <w:tcPr>
            <w:tcW w:w="2880" w:type="dxa"/>
            <w:vMerge/>
            <w:vAlign w:val="center"/>
          </w:tcPr>
          <w:p w14:paraId="442EF657" w14:textId="77777777" w:rsidR="004D1935" w:rsidRDefault="004D1935" w:rsidP="00E24DC9"/>
        </w:tc>
        <w:tc>
          <w:tcPr>
            <w:tcW w:w="1465" w:type="dxa"/>
            <w:vMerge/>
            <w:vAlign w:val="center"/>
          </w:tcPr>
          <w:p w14:paraId="58AD33A8" w14:textId="77777777" w:rsidR="004D1935" w:rsidRDefault="004D1935" w:rsidP="00E24DC9"/>
        </w:tc>
        <w:tc>
          <w:tcPr>
            <w:tcW w:w="1137" w:type="dxa"/>
            <w:vMerge/>
          </w:tcPr>
          <w:p w14:paraId="07A39BE3" w14:textId="77777777" w:rsidR="004D1935" w:rsidRDefault="004D1935" w:rsidP="00E24DC9"/>
        </w:tc>
        <w:tc>
          <w:tcPr>
            <w:tcW w:w="7843" w:type="dxa"/>
            <w:vMerge/>
          </w:tcPr>
          <w:p w14:paraId="2A9FFD80" w14:textId="77777777" w:rsidR="004D1935" w:rsidRDefault="004D1935" w:rsidP="00E24DC9"/>
        </w:tc>
      </w:tr>
      <w:tr w:rsidR="004D1935" w14:paraId="5D9A5F9D" w14:textId="77777777" w:rsidTr="00E24DC9">
        <w:tc>
          <w:tcPr>
            <w:tcW w:w="825" w:type="dxa"/>
            <w:vMerge/>
          </w:tcPr>
          <w:p w14:paraId="0EC0CEE0" w14:textId="77777777" w:rsidR="004D1935" w:rsidRDefault="004D1935" w:rsidP="00E24DC9"/>
        </w:tc>
        <w:tc>
          <w:tcPr>
            <w:tcW w:w="877" w:type="dxa"/>
            <w:tcBorders>
              <w:top w:val="nil"/>
              <w:bottom w:val="nil"/>
            </w:tcBorders>
            <w:vAlign w:val="center"/>
          </w:tcPr>
          <w:p w14:paraId="15CD2CC3" w14:textId="77777777" w:rsidR="004D1935" w:rsidRPr="0064730E" w:rsidRDefault="004D1935" w:rsidP="00E24DC9">
            <w:pPr>
              <w:jc w:val="center"/>
              <w:rPr>
                <w:sz w:val="13"/>
                <w:szCs w:val="13"/>
              </w:rPr>
            </w:pPr>
            <w:r w:rsidRPr="0064730E">
              <w:rPr>
                <w:rFonts w:ascii="Calibri" w:hAnsi="Calibri" w:cs="Calibri"/>
                <w:color w:val="000000"/>
                <w:sz w:val="13"/>
                <w:szCs w:val="13"/>
              </w:rPr>
              <w:t>393.2232</w:t>
            </w:r>
          </w:p>
        </w:tc>
        <w:tc>
          <w:tcPr>
            <w:tcW w:w="2880" w:type="dxa"/>
            <w:vMerge/>
            <w:vAlign w:val="center"/>
          </w:tcPr>
          <w:p w14:paraId="7B3AEFF4" w14:textId="77777777" w:rsidR="004D1935" w:rsidRDefault="004D1935" w:rsidP="00E24DC9"/>
        </w:tc>
        <w:tc>
          <w:tcPr>
            <w:tcW w:w="1465" w:type="dxa"/>
            <w:vMerge/>
            <w:vAlign w:val="center"/>
          </w:tcPr>
          <w:p w14:paraId="1F146FE9" w14:textId="77777777" w:rsidR="004D1935" w:rsidRDefault="004D1935" w:rsidP="00E24DC9"/>
        </w:tc>
        <w:tc>
          <w:tcPr>
            <w:tcW w:w="1137" w:type="dxa"/>
            <w:vMerge/>
          </w:tcPr>
          <w:p w14:paraId="6E15F251" w14:textId="77777777" w:rsidR="004D1935" w:rsidRDefault="004D1935" w:rsidP="00E24DC9"/>
        </w:tc>
        <w:tc>
          <w:tcPr>
            <w:tcW w:w="7843" w:type="dxa"/>
            <w:vMerge/>
          </w:tcPr>
          <w:p w14:paraId="5AFE01DD" w14:textId="77777777" w:rsidR="004D1935" w:rsidRDefault="004D1935" w:rsidP="00E24DC9"/>
        </w:tc>
      </w:tr>
      <w:tr w:rsidR="004D1935" w14:paraId="64765A14" w14:textId="77777777" w:rsidTr="00E24DC9">
        <w:tc>
          <w:tcPr>
            <w:tcW w:w="825" w:type="dxa"/>
            <w:vMerge/>
          </w:tcPr>
          <w:p w14:paraId="0652EC32" w14:textId="77777777" w:rsidR="004D1935" w:rsidRDefault="004D1935" w:rsidP="00E24DC9"/>
        </w:tc>
        <w:tc>
          <w:tcPr>
            <w:tcW w:w="877" w:type="dxa"/>
            <w:tcBorders>
              <w:top w:val="nil"/>
              <w:bottom w:val="nil"/>
            </w:tcBorders>
            <w:vAlign w:val="center"/>
          </w:tcPr>
          <w:p w14:paraId="363BEBB1" w14:textId="77777777" w:rsidR="004D1935" w:rsidRPr="0064730E" w:rsidRDefault="004D1935" w:rsidP="00E24DC9">
            <w:pPr>
              <w:jc w:val="center"/>
              <w:rPr>
                <w:sz w:val="13"/>
                <w:szCs w:val="13"/>
              </w:rPr>
            </w:pPr>
            <w:r w:rsidRPr="0064730E">
              <w:rPr>
                <w:rFonts w:ascii="Calibri" w:hAnsi="Calibri" w:cs="Calibri"/>
                <w:color w:val="000000"/>
                <w:sz w:val="13"/>
                <w:szCs w:val="13"/>
              </w:rPr>
              <w:t>393.2724</w:t>
            </w:r>
          </w:p>
        </w:tc>
        <w:tc>
          <w:tcPr>
            <w:tcW w:w="2880" w:type="dxa"/>
            <w:vMerge/>
            <w:vAlign w:val="center"/>
          </w:tcPr>
          <w:p w14:paraId="33CDC19D" w14:textId="77777777" w:rsidR="004D1935" w:rsidRDefault="004D1935" w:rsidP="00E24DC9"/>
        </w:tc>
        <w:tc>
          <w:tcPr>
            <w:tcW w:w="1465" w:type="dxa"/>
            <w:vMerge/>
            <w:vAlign w:val="center"/>
          </w:tcPr>
          <w:p w14:paraId="7789757B" w14:textId="77777777" w:rsidR="004D1935" w:rsidRDefault="004D1935" w:rsidP="00E24DC9"/>
        </w:tc>
        <w:tc>
          <w:tcPr>
            <w:tcW w:w="1137" w:type="dxa"/>
            <w:vMerge/>
          </w:tcPr>
          <w:p w14:paraId="6F6CDA87" w14:textId="77777777" w:rsidR="004D1935" w:rsidRDefault="004D1935" w:rsidP="00E24DC9"/>
        </w:tc>
        <w:tc>
          <w:tcPr>
            <w:tcW w:w="7843" w:type="dxa"/>
            <w:vMerge/>
          </w:tcPr>
          <w:p w14:paraId="3E086E25" w14:textId="77777777" w:rsidR="004D1935" w:rsidRDefault="004D1935" w:rsidP="00E24DC9"/>
        </w:tc>
      </w:tr>
      <w:tr w:rsidR="004D1935" w14:paraId="18D6138C" w14:textId="77777777" w:rsidTr="00E24DC9">
        <w:tc>
          <w:tcPr>
            <w:tcW w:w="825" w:type="dxa"/>
            <w:vMerge/>
          </w:tcPr>
          <w:p w14:paraId="2B6AACE6" w14:textId="77777777" w:rsidR="004D1935" w:rsidRDefault="004D1935" w:rsidP="00E24DC9"/>
        </w:tc>
        <w:tc>
          <w:tcPr>
            <w:tcW w:w="877" w:type="dxa"/>
            <w:tcBorders>
              <w:top w:val="nil"/>
              <w:bottom w:val="nil"/>
            </w:tcBorders>
            <w:vAlign w:val="center"/>
          </w:tcPr>
          <w:p w14:paraId="3677C228" w14:textId="77777777" w:rsidR="004D1935" w:rsidRPr="0064730E" w:rsidRDefault="004D1935" w:rsidP="00E24DC9">
            <w:pPr>
              <w:jc w:val="center"/>
              <w:rPr>
                <w:sz w:val="13"/>
                <w:szCs w:val="13"/>
              </w:rPr>
            </w:pPr>
            <w:r w:rsidRPr="0064730E">
              <w:rPr>
                <w:rFonts w:ascii="Calibri" w:hAnsi="Calibri" w:cs="Calibri"/>
                <w:color w:val="000000"/>
                <w:sz w:val="13"/>
                <w:szCs w:val="13"/>
              </w:rPr>
              <w:t>393.1235</w:t>
            </w:r>
          </w:p>
        </w:tc>
        <w:tc>
          <w:tcPr>
            <w:tcW w:w="2880" w:type="dxa"/>
            <w:vMerge/>
            <w:vAlign w:val="center"/>
          </w:tcPr>
          <w:p w14:paraId="2B6040C4" w14:textId="77777777" w:rsidR="004D1935" w:rsidRDefault="004D1935" w:rsidP="00E24DC9"/>
        </w:tc>
        <w:tc>
          <w:tcPr>
            <w:tcW w:w="1465" w:type="dxa"/>
            <w:vMerge/>
            <w:vAlign w:val="center"/>
          </w:tcPr>
          <w:p w14:paraId="26A15694" w14:textId="77777777" w:rsidR="004D1935" w:rsidRDefault="004D1935" w:rsidP="00E24DC9"/>
        </w:tc>
        <w:tc>
          <w:tcPr>
            <w:tcW w:w="1137" w:type="dxa"/>
            <w:vMerge/>
          </w:tcPr>
          <w:p w14:paraId="16832829" w14:textId="77777777" w:rsidR="004D1935" w:rsidRDefault="004D1935" w:rsidP="00E24DC9"/>
        </w:tc>
        <w:tc>
          <w:tcPr>
            <w:tcW w:w="7843" w:type="dxa"/>
            <w:vMerge/>
          </w:tcPr>
          <w:p w14:paraId="40A86FCE" w14:textId="77777777" w:rsidR="004D1935" w:rsidRDefault="004D1935" w:rsidP="00E24DC9"/>
        </w:tc>
      </w:tr>
      <w:tr w:rsidR="004D1935" w14:paraId="46077286" w14:textId="77777777" w:rsidTr="00E24DC9">
        <w:tc>
          <w:tcPr>
            <w:tcW w:w="825" w:type="dxa"/>
            <w:vMerge/>
          </w:tcPr>
          <w:p w14:paraId="67B88FF0" w14:textId="77777777" w:rsidR="004D1935" w:rsidRDefault="004D1935" w:rsidP="00E24DC9"/>
        </w:tc>
        <w:tc>
          <w:tcPr>
            <w:tcW w:w="877" w:type="dxa"/>
            <w:tcBorders>
              <w:top w:val="nil"/>
              <w:bottom w:val="nil"/>
            </w:tcBorders>
            <w:vAlign w:val="center"/>
          </w:tcPr>
          <w:p w14:paraId="2E76DF3A" w14:textId="77777777" w:rsidR="004D1935" w:rsidRPr="0064730E" w:rsidRDefault="004D1935" w:rsidP="00E24DC9">
            <w:pPr>
              <w:jc w:val="center"/>
              <w:rPr>
                <w:sz w:val="13"/>
                <w:szCs w:val="13"/>
              </w:rPr>
            </w:pPr>
            <w:r w:rsidRPr="0064730E">
              <w:rPr>
                <w:rFonts w:ascii="Calibri" w:hAnsi="Calibri" w:cs="Calibri"/>
                <w:color w:val="000000"/>
                <w:sz w:val="13"/>
                <w:szCs w:val="13"/>
              </w:rPr>
              <w:t>393.2203</w:t>
            </w:r>
          </w:p>
        </w:tc>
        <w:tc>
          <w:tcPr>
            <w:tcW w:w="2880" w:type="dxa"/>
            <w:vMerge/>
            <w:vAlign w:val="center"/>
          </w:tcPr>
          <w:p w14:paraId="215E8346" w14:textId="77777777" w:rsidR="004D1935" w:rsidRDefault="004D1935" w:rsidP="00E24DC9"/>
        </w:tc>
        <w:tc>
          <w:tcPr>
            <w:tcW w:w="1465" w:type="dxa"/>
            <w:vMerge/>
            <w:vAlign w:val="center"/>
          </w:tcPr>
          <w:p w14:paraId="41DEC7AE" w14:textId="77777777" w:rsidR="004D1935" w:rsidRDefault="004D1935" w:rsidP="00E24DC9"/>
        </w:tc>
        <w:tc>
          <w:tcPr>
            <w:tcW w:w="1137" w:type="dxa"/>
            <w:vMerge/>
          </w:tcPr>
          <w:p w14:paraId="1A9F4158" w14:textId="77777777" w:rsidR="004D1935" w:rsidRDefault="004D1935" w:rsidP="00E24DC9"/>
        </w:tc>
        <w:tc>
          <w:tcPr>
            <w:tcW w:w="7843" w:type="dxa"/>
            <w:vMerge/>
          </w:tcPr>
          <w:p w14:paraId="6A9A8C5B" w14:textId="77777777" w:rsidR="004D1935" w:rsidRDefault="004D1935" w:rsidP="00E24DC9"/>
        </w:tc>
      </w:tr>
      <w:tr w:rsidR="004D1935" w14:paraId="6CEA75F9" w14:textId="77777777" w:rsidTr="00E24DC9">
        <w:tc>
          <w:tcPr>
            <w:tcW w:w="825" w:type="dxa"/>
            <w:vMerge/>
          </w:tcPr>
          <w:p w14:paraId="26C15500" w14:textId="77777777" w:rsidR="004D1935" w:rsidRDefault="004D1935" w:rsidP="00E24DC9"/>
        </w:tc>
        <w:tc>
          <w:tcPr>
            <w:tcW w:w="877" w:type="dxa"/>
            <w:tcBorders>
              <w:top w:val="nil"/>
              <w:bottom w:val="nil"/>
            </w:tcBorders>
            <w:vAlign w:val="center"/>
          </w:tcPr>
          <w:p w14:paraId="61E69E11" w14:textId="77777777" w:rsidR="004D1935" w:rsidRPr="0064730E" w:rsidRDefault="004D1935" w:rsidP="00E24DC9">
            <w:pPr>
              <w:jc w:val="center"/>
              <w:rPr>
                <w:sz w:val="13"/>
                <w:szCs w:val="13"/>
              </w:rPr>
            </w:pPr>
            <w:r w:rsidRPr="0064730E">
              <w:rPr>
                <w:rFonts w:ascii="Calibri" w:hAnsi="Calibri" w:cs="Calibri"/>
                <w:color w:val="000000"/>
                <w:sz w:val="13"/>
                <w:szCs w:val="13"/>
              </w:rPr>
              <w:t>393.2666</w:t>
            </w:r>
          </w:p>
        </w:tc>
        <w:tc>
          <w:tcPr>
            <w:tcW w:w="2880" w:type="dxa"/>
            <w:vMerge/>
            <w:vAlign w:val="center"/>
          </w:tcPr>
          <w:p w14:paraId="674ACD70" w14:textId="77777777" w:rsidR="004D1935" w:rsidRDefault="004D1935" w:rsidP="00E24DC9"/>
        </w:tc>
        <w:tc>
          <w:tcPr>
            <w:tcW w:w="1465" w:type="dxa"/>
            <w:vMerge/>
            <w:vAlign w:val="center"/>
          </w:tcPr>
          <w:p w14:paraId="3BB824AB" w14:textId="77777777" w:rsidR="004D1935" w:rsidRDefault="004D1935" w:rsidP="00E24DC9"/>
        </w:tc>
        <w:tc>
          <w:tcPr>
            <w:tcW w:w="1137" w:type="dxa"/>
            <w:vMerge/>
          </w:tcPr>
          <w:p w14:paraId="22638BF0" w14:textId="77777777" w:rsidR="004D1935" w:rsidRDefault="004D1935" w:rsidP="00E24DC9"/>
        </w:tc>
        <w:tc>
          <w:tcPr>
            <w:tcW w:w="7843" w:type="dxa"/>
            <w:vMerge/>
          </w:tcPr>
          <w:p w14:paraId="5FFC4B87" w14:textId="77777777" w:rsidR="004D1935" w:rsidRDefault="004D1935" w:rsidP="00E24DC9"/>
        </w:tc>
      </w:tr>
      <w:tr w:rsidR="004D1935" w14:paraId="73EF3F3B" w14:textId="77777777" w:rsidTr="00E24DC9">
        <w:tc>
          <w:tcPr>
            <w:tcW w:w="825" w:type="dxa"/>
            <w:vMerge/>
          </w:tcPr>
          <w:p w14:paraId="79BCBBED" w14:textId="77777777" w:rsidR="004D1935" w:rsidRDefault="004D1935" w:rsidP="00E24DC9"/>
        </w:tc>
        <w:tc>
          <w:tcPr>
            <w:tcW w:w="877" w:type="dxa"/>
            <w:tcBorders>
              <w:top w:val="nil"/>
              <w:bottom w:val="nil"/>
            </w:tcBorders>
            <w:vAlign w:val="center"/>
          </w:tcPr>
          <w:p w14:paraId="588277A5" w14:textId="77777777" w:rsidR="004D1935" w:rsidRPr="0064730E" w:rsidRDefault="004D1935" w:rsidP="00E24DC9">
            <w:pPr>
              <w:jc w:val="center"/>
              <w:rPr>
                <w:sz w:val="13"/>
                <w:szCs w:val="13"/>
              </w:rPr>
            </w:pPr>
            <w:r w:rsidRPr="0064730E">
              <w:rPr>
                <w:rFonts w:ascii="Calibri" w:hAnsi="Calibri" w:cs="Calibri"/>
                <w:color w:val="000000"/>
                <w:sz w:val="13"/>
                <w:szCs w:val="13"/>
              </w:rPr>
              <w:t>393.1192</w:t>
            </w:r>
          </w:p>
        </w:tc>
        <w:tc>
          <w:tcPr>
            <w:tcW w:w="2880" w:type="dxa"/>
            <w:vMerge/>
            <w:vAlign w:val="center"/>
          </w:tcPr>
          <w:p w14:paraId="2034DB39" w14:textId="77777777" w:rsidR="004D1935" w:rsidRDefault="004D1935" w:rsidP="00E24DC9"/>
        </w:tc>
        <w:tc>
          <w:tcPr>
            <w:tcW w:w="1465" w:type="dxa"/>
            <w:vMerge/>
            <w:vAlign w:val="center"/>
          </w:tcPr>
          <w:p w14:paraId="26CACADD" w14:textId="77777777" w:rsidR="004D1935" w:rsidRDefault="004D1935" w:rsidP="00E24DC9"/>
        </w:tc>
        <w:tc>
          <w:tcPr>
            <w:tcW w:w="1137" w:type="dxa"/>
            <w:vMerge/>
          </w:tcPr>
          <w:p w14:paraId="4CD539C1" w14:textId="77777777" w:rsidR="004D1935" w:rsidRDefault="004D1935" w:rsidP="00E24DC9"/>
        </w:tc>
        <w:tc>
          <w:tcPr>
            <w:tcW w:w="7843" w:type="dxa"/>
            <w:vMerge/>
          </w:tcPr>
          <w:p w14:paraId="2B15872B" w14:textId="77777777" w:rsidR="004D1935" w:rsidRDefault="004D1935" w:rsidP="00E24DC9"/>
        </w:tc>
      </w:tr>
      <w:tr w:rsidR="004D1935" w14:paraId="744548EC" w14:textId="77777777" w:rsidTr="00E24DC9">
        <w:tc>
          <w:tcPr>
            <w:tcW w:w="825" w:type="dxa"/>
            <w:vMerge/>
          </w:tcPr>
          <w:p w14:paraId="3C59A6A1" w14:textId="77777777" w:rsidR="004D1935" w:rsidRDefault="004D1935" w:rsidP="00E24DC9"/>
        </w:tc>
        <w:tc>
          <w:tcPr>
            <w:tcW w:w="877" w:type="dxa"/>
            <w:tcBorders>
              <w:top w:val="nil"/>
              <w:bottom w:val="nil"/>
            </w:tcBorders>
            <w:vAlign w:val="center"/>
          </w:tcPr>
          <w:p w14:paraId="565A536A" w14:textId="77777777" w:rsidR="004D1935" w:rsidRPr="0064730E" w:rsidRDefault="004D1935" w:rsidP="00E24DC9">
            <w:pPr>
              <w:jc w:val="center"/>
              <w:rPr>
                <w:sz w:val="13"/>
                <w:szCs w:val="13"/>
              </w:rPr>
            </w:pPr>
            <w:r w:rsidRPr="0064730E">
              <w:rPr>
                <w:rFonts w:ascii="Calibri" w:hAnsi="Calibri" w:cs="Calibri"/>
                <w:color w:val="000000"/>
                <w:sz w:val="13"/>
                <w:szCs w:val="13"/>
              </w:rPr>
              <w:t>393.1625</w:t>
            </w:r>
          </w:p>
        </w:tc>
        <w:tc>
          <w:tcPr>
            <w:tcW w:w="2880" w:type="dxa"/>
            <w:vMerge/>
            <w:vAlign w:val="center"/>
          </w:tcPr>
          <w:p w14:paraId="623EFD0C" w14:textId="77777777" w:rsidR="004D1935" w:rsidRDefault="004D1935" w:rsidP="00E24DC9"/>
        </w:tc>
        <w:tc>
          <w:tcPr>
            <w:tcW w:w="1465" w:type="dxa"/>
            <w:vMerge/>
            <w:vAlign w:val="center"/>
          </w:tcPr>
          <w:p w14:paraId="257E92A6" w14:textId="77777777" w:rsidR="004D1935" w:rsidRDefault="004D1935" w:rsidP="00E24DC9"/>
        </w:tc>
        <w:tc>
          <w:tcPr>
            <w:tcW w:w="1137" w:type="dxa"/>
            <w:vMerge/>
          </w:tcPr>
          <w:p w14:paraId="03CCA341" w14:textId="77777777" w:rsidR="004D1935" w:rsidRDefault="004D1935" w:rsidP="00E24DC9"/>
        </w:tc>
        <w:tc>
          <w:tcPr>
            <w:tcW w:w="7843" w:type="dxa"/>
            <w:vMerge/>
          </w:tcPr>
          <w:p w14:paraId="5C9FA9E3" w14:textId="77777777" w:rsidR="004D1935" w:rsidRDefault="004D1935" w:rsidP="00E24DC9"/>
        </w:tc>
      </w:tr>
      <w:tr w:rsidR="004D1935" w14:paraId="2E61B0F2" w14:textId="77777777" w:rsidTr="00E24DC9">
        <w:tc>
          <w:tcPr>
            <w:tcW w:w="825" w:type="dxa"/>
            <w:vMerge/>
          </w:tcPr>
          <w:p w14:paraId="210B6F50" w14:textId="77777777" w:rsidR="004D1935" w:rsidRDefault="004D1935" w:rsidP="00E24DC9"/>
        </w:tc>
        <w:tc>
          <w:tcPr>
            <w:tcW w:w="877" w:type="dxa"/>
            <w:tcBorders>
              <w:top w:val="nil"/>
              <w:bottom w:val="nil"/>
            </w:tcBorders>
            <w:vAlign w:val="center"/>
          </w:tcPr>
          <w:p w14:paraId="4EBA00FD" w14:textId="77777777" w:rsidR="004D1935" w:rsidRPr="0064730E" w:rsidRDefault="004D1935" w:rsidP="00E24DC9">
            <w:pPr>
              <w:jc w:val="center"/>
              <w:rPr>
                <w:sz w:val="13"/>
                <w:szCs w:val="13"/>
              </w:rPr>
            </w:pPr>
            <w:r w:rsidRPr="0064730E">
              <w:rPr>
                <w:rFonts w:ascii="Calibri" w:hAnsi="Calibri" w:cs="Calibri"/>
                <w:color w:val="000000"/>
                <w:sz w:val="13"/>
                <w:szCs w:val="13"/>
              </w:rPr>
              <w:t>393.2059</w:t>
            </w:r>
          </w:p>
        </w:tc>
        <w:tc>
          <w:tcPr>
            <w:tcW w:w="2880" w:type="dxa"/>
            <w:vMerge/>
            <w:vAlign w:val="center"/>
          </w:tcPr>
          <w:p w14:paraId="50C4DB33" w14:textId="77777777" w:rsidR="004D1935" w:rsidRDefault="004D1935" w:rsidP="00E24DC9"/>
        </w:tc>
        <w:tc>
          <w:tcPr>
            <w:tcW w:w="1465" w:type="dxa"/>
            <w:vMerge/>
            <w:vAlign w:val="center"/>
          </w:tcPr>
          <w:p w14:paraId="2B1A25F2" w14:textId="77777777" w:rsidR="004D1935" w:rsidRDefault="004D1935" w:rsidP="00E24DC9"/>
        </w:tc>
        <w:tc>
          <w:tcPr>
            <w:tcW w:w="1137" w:type="dxa"/>
            <w:vMerge/>
          </w:tcPr>
          <w:p w14:paraId="252E7667" w14:textId="77777777" w:rsidR="004D1935" w:rsidRDefault="004D1935" w:rsidP="00E24DC9"/>
        </w:tc>
        <w:tc>
          <w:tcPr>
            <w:tcW w:w="7843" w:type="dxa"/>
            <w:vMerge/>
          </w:tcPr>
          <w:p w14:paraId="02811DD2" w14:textId="77777777" w:rsidR="004D1935" w:rsidRDefault="004D1935" w:rsidP="00E24DC9"/>
        </w:tc>
      </w:tr>
      <w:tr w:rsidR="004D1935" w14:paraId="79E01E0C" w14:textId="77777777" w:rsidTr="00E24DC9">
        <w:tc>
          <w:tcPr>
            <w:tcW w:w="825" w:type="dxa"/>
            <w:vMerge/>
          </w:tcPr>
          <w:p w14:paraId="74CDFB78" w14:textId="77777777" w:rsidR="004D1935" w:rsidRDefault="004D1935" w:rsidP="00E24DC9"/>
        </w:tc>
        <w:tc>
          <w:tcPr>
            <w:tcW w:w="877" w:type="dxa"/>
            <w:tcBorders>
              <w:top w:val="nil"/>
              <w:bottom w:val="nil"/>
            </w:tcBorders>
            <w:vAlign w:val="center"/>
          </w:tcPr>
          <w:p w14:paraId="1D352D59" w14:textId="77777777" w:rsidR="004D1935" w:rsidRPr="0064730E" w:rsidRDefault="004D1935" w:rsidP="00E24DC9">
            <w:pPr>
              <w:jc w:val="center"/>
              <w:rPr>
                <w:sz w:val="13"/>
                <w:szCs w:val="13"/>
              </w:rPr>
            </w:pPr>
            <w:r w:rsidRPr="0064730E">
              <w:rPr>
                <w:rFonts w:ascii="Calibri" w:hAnsi="Calibri" w:cs="Calibri"/>
                <w:color w:val="000000"/>
                <w:sz w:val="13"/>
                <w:szCs w:val="13"/>
              </w:rPr>
              <w:t>393.2493</w:t>
            </w:r>
          </w:p>
        </w:tc>
        <w:tc>
          <w:tcPr>
            <w:tcW w:w="2880" w:type="dxa"/>
            <w:vMerge/>
            <w:vAlign w:val="center"/>
          </w:tcPr>
          <w:p w14:paraId="1C196176" w14:textId="77777777" w:rsidR="004D1935" w:rsidRDefault="004D1935" w:rsidP="00E24DC9"/>
        </w:tc>
        <w:tc>
          <w:tcPr>
            <w:tcW w:w="1465" w:type="dxa"/>
            <w:vMerge/>
            <w:vAlign w:val="center"/>
          </w:tcPr>
          <w:p w14:paraId="14BCB334" w14:textId="77777777" w:rsidR="004D1935" w:rsidRDefault="004D1935" w:rsidP="00E24DC9"/>
        </w:tc>
        <w:tc>
          <w:tcPr>
            <w:tcW w:w="1137" w:type="dxa"/>
            <w:vMerge/>
          </w:tcPr>
          <w:p w14:paraId="2633825F" w14:textId="77777777" w:rsidR="004D1935" w:rsidRDefault="004D1935" w:rsidP="00E24DC9"/>
        </w:tc>
        <w:tc>
          <w:tcPr>
            <w:tcW w:w="7843" w:type="dxa"/>
            <w:vMerge/>
          </w:tcPr>
          <w:p w14:paraId="211D3DFF" w14:textId="77777777" w:rsidR="004D1935" w:rsidRDefault="004D1935" w:rsidP="00E24DC9"/>
        </w:tc>
      </w:tr>
      <w:tr w:rsidR="004D1935" w14:paraId="01A85090" w14:textId="77777777" w:rsidTr="00E24DC9">
        <w:tc>
          <w:tcPr>
            <w:tcW w:w="825" w:type="dxa"/>
            <w:vMerge/>
          </w:tcPr>
          <w:p w14:paraId="25EDBE54" w14:textId="77777777" w:rsidR="004D1935" w:rsidRDefault="004D1935" w:rsidP="00E24DC9"/>
        </w:tc>
        <w:tc>
          <w:tcPr>
            <w:tcW w:w="877" w:type="dxa"/>
            <w:tcBorders>
              <w:top w:val="nil"/>
              <w:bottom w:val="nil"/>
            </w:tcBorders>
            <w:vAlign w:val="center"/>
          </w:tcPr>
          <w:p w14:paraId="2CAB5BAF" w14:textId="77777777" w:rsidR="004D1935" w:rsidRPr="0064730E" w:rsidRDefault="004D1935" w:rsidP="00E24DC9">
            <w:pPr>
              <w:jc w:val="center"/>
              <w:rPr>
                <w:sz w:val="13"/>
                <w:szCs w:val="13"/>
              </w:rPr>
            </w:pPr>
            <w:r w:rsidRPr="0064730E">
              <w:rPr>
                <w:rFonts w:ascii="Calibri" w:hAnsi="Calibri" w:cs="Calibri"/>
                <w:color w:val="000000"/>
                <w:sz w:val="13"/>
                <w:szCs w:val="13"/>
              </w:rPr>
              <w:t>393.2926</w:t>
            </w:r>
          </w:p>
        </w:tc>
        <w:tc>
          <w:tcPr>
            <w:tcW w:w="2880" w:type="dxa"/>
            <w:vMerge/>
            <w:vAlign w:val="center"/>
          </w:tcPr>
          <w:p w14:paraId="44E900C5" w14:textId="77777777" w:rsidR="004D1935" w:rsidRDefault="004D1935" w:rsidP="00E24DC9"/>
        </w:tc>
        <w:tc>
          <w:tcPr>
            <w:tcW w:w="1465" w:type="dxa"/>
            <w:vMerge/>
            <w:vAlign w:val="center"/>
          </w:tcPr>
          <w:p w14:paraId="39CF683F" w14:textId="77777777" w:rsidR="004D1935" w:rsidRDefault="004D1935" w:rsidP="00E24DC9"/>
        </w:tc>
        <w:tc>
          <w:tcPr>
            <w:tcW w:w="1137" w:type="dxa"/>
            <w:vMerge/>
          </w:tcPr>
          <w:p w14:paraId="64DF1B31" w14:textId="77777777" w:rsidR="004D1935" w:rsidRDefault="004D1935" w:rsidP="00E24DC9"/>
        </w:tc>
        <w:tc>
          <w:tcPr>
            <w:tcW w:w="7843" w:type="dxa"/>
            <w:vMerge/>
          </w:tcPr>
          <w:p w14:paraId="5E230CA0" w14:textId="77777777" w:rsidR="004D1935" w:rsidRDefault="004D1935" w:rsidP="00E24DC9"/>
        </w:tc>
      </w:tr>
      <w:tr w:rsidR="004D1935" w14:paraId="11504A3F" w14:textId="77777777" w:rsidTr="00E24DC9">
        <w:tc>
          <w:tcPr>
            <w:tcW w:w="825" w:type="dxa"/>
            <w:vMerge/>
          </w:tcPr>
          <w:p w14:paraId="31275026" w14:textId="77777777" w:rsidR="004D1935" w:rsidRDefault="004D1935" w:rsidP="00E24DC9"/>
        </w:tc>
        <w:tc>
          <w:tcPr>
            <w:tcW w:w="877" w:type="dxa"/>
            <w:tcBorders>
              <w:top w:val="nil"/>
              <w:bottom w:val="nil"/>
            </w:tcBorders>
            <w:vAlign w:val="center"/>
          </w:tcPr>
          <w:p w14:paraId="4C3A7F3F" w14:textId="77777777" w:rsidR="004D1935" w:rsidRPr="0064730E" w:rsidRDefault="004D1935" w:rsidP="00E24DC9">
            <w:pPr>
              <w:jc w:val="center"/>
              <w:rPr>
                <w:sz w:val="13"/>
                <w:szCs w:val="13"/>
              </w:rPr>
            </w:pPr>
            <w:r w:rsidRPr="0064730E">
              <w:rPr>
                <w:rFonts w:ascii="Calibri" w:hAnsi="Calibri" w:cs="Calibri"/>
                <w:color w:val="000000"/>
                <w:sz w:val="13"/>
                <w:szCs w:val="13"/>
              </w:rPr>
              <w:t>393.1163</w:t>
            </w:r>
          </w:p>
        </w:tc>
        <w:tc>
          <w:tcPr>
            <w:tcW w:w="2880" w:type="dxa"/>
            <w:vMerge/>
            <w:vAlign w:val="center"/>
          </w:tcPr>
          <w:p w14:paraId="7B307720" w14:textId="77777777" w:rsidR="004D1935" w:rsidRDefault="004D1935" w:rsidP="00E24DC9"/>
        </w:tc>
        <w:tc>
          <w:tcPr>
            <w:tcW w:w="1465" w:type="dxa"/>
            <w:vMerge/>
            <w:vAlign w:val="center"/>
          </w:tcPr>
          <w:p w14:paraId="0D570A0D" w14:textId="77777777" w:rsidR="004D1935" w:rsidRDefault="004D1935" w:rsidP="00E24DC9"/>
        </w:tc>
        <w:tc>
          <w:tcPr>
            <w:tcW w:w="1137" w:type="dxa"/>
            <w:vMerge/>
          </w:tcPr>
          <w:p w14:paraId="5F295F46" w14:textId="77777777" w:rsidR="004D1935" w:rsidRDefault="004D1935" w:rsidP="00E24DC9"/>
        </w:tc>
        <w:tc>
          <w:tcPr>
            <w:tcW w:w="7843" w:type="dxa"/>
            <w:vMerge/>
          </w:tcPr>
          <w:p w14:paraId="5138F65E" w14:textId="77777777" w:rsidR="004D1935" w:rsidRDefault="004D1935" w:rsidP="00E24DC9"/>
        </w:tc>
      </w:tr>
      <w:tr w:rsidR="004D1935" w14:paraId="6807E014" w14:textId="77777777" w:rsidTr="00E24DC9">
        <w:tc>
          <w:tcPr>
            <w:tcW w:w="825" w:type="dxa"/>
            <w:vMerge/>
          </w:tcPr>
          <w:p w14:paraId="503CFB0C" w14:textId="77777777" w:rsidR="004D1935" w:rsidRDefault="004D1935" w:rsidP="00E24DC9"/>
        </w:tc>
        <w:tc>
          <w:tcPr>
            <w:tcW w:w="877" w:type="dxa"/>
            <w:tcBorders>
              <w:top w:val="nil"/>
              <w:bottom w:val="nil"/>
            </w:tcBorders>
            <w:vAlign w:val="center"/>
          </w:tcPr>
          <w:p w14:paraId="4E77E2FC" w14:textId="77777777" w:rsidR="004D1935" w:rsidRPr="0064730E" w:rsidRDefault="004D1935" w:rsidP="00E24DC9">
            <w:pPr>
              <w:jc w:val="center"/>
              <w:rPr>
                <w:sz w:val="13"/>
                <w:szCs w:val="13"/>
              </w:rPr>
            </w:pPr>
            <w:r w:rsidRPr="0064730E">
              <w:rPr>
                <w:rFonts w:ascii="Calibri" w:hAnsi="Calibri" w:cs="Calibri"/>
                <w:color w:val="000000"/>
                <w:sz w:val="13"/>
                <w:szCs w:val="13"/>
              </w:rPr>
              <w:t>393.1596</w:t>
            </w:r>
          </w:p>
        </w:tc>
        <w:tc>
          <w:tcPr>
            <w:tcW w:w="2880" w:type="dxa"/>
            <w:vMerge/>
            <w:vAlign w:val="center"/>
          </w:tcPr>
          <w:p w14:paraId="684BBF67" w14:textId="77777777" w:rsidR="004D1935" w:rsidRDefault="004D1935" w:rsidP="00E24DC9"/>
        </w:tc>
        <w:tc>
          <w:tcPr>
            <w:tcW w:w="1465" w:type="dxa"/>
            <w:vMerge/>
            <w:vAlign w:val="center"/>
          </w:tcPr>
          <w:p w14:paraId="3CFAB4CD" w14:textId="77777777" w:rsidR="004D1935" w:rsidRDefault="004D1935" w:rsidP="00E24DC9"/>
        </w:tc>
        <w:tc>
          <w:tcPr>
            <w:tcW w:w="1137" w:type="dxa"/>
            <w:vMerge/>
          </w:tcPr>
          <w:p w14:paraId="78F6E2E7" w14:textId="77777777" w:rsidR="004D1935" w:rsidRDefault="004D1935" w:rsidP="00E24DC9"/>
        </w:tc>
        <w:tc>
          <w:tcPr>
            <w:tcW w:w="7843" w:type="dxa"/>
            <w:vMerge/>
          </w:tcPr>
          <w:p w14:paraId="326BAE3B" w14:textId="77777777" w:rsidR="004D1935" w:rsidRDefault="004D1935" w:rsidP="00E24DC9"/>
        </w:tc>
      </w:tr>
      <w:tr w:rsidR="004D1935" w14:paraId="0613E789" w14:textId="77777777" w:rsidTr="00E24DC9">
        <w:tc>
          <w:tcPr>
            <w:tcW w:w="825" w:type="dxa"/>
            <w:vMerge/>
          </w:tcPr>
          <w:p w14:paraId="112C4685" w14:textId="77777777" w:rsidR="004D1935" w:rsidRDefault="004D1935" w:rsidP="00E24DC9"/>
        </w:tc>
        <w:tc>
          <w:tcPr>
            <w:tcW w:w="877" w:type="dxa"/>
            <w:tcBorders>
              <w:top w:val="nil"/>
              <w:bottom w:val="nil"/>
            </w:tcBorders>
            <w:vAlign w:val="center"/>
          </w:tcPr>
          <w:p w14:paraId="6A9A1B54" w14:textId="77777777" w:rsidR="004D1935" w:rsidRPr="0064730E" w:rsidRDefault="004D1935" w:rsidP="00E24DC9">
            <w:pPr>
              <w:jc w:val="center"/>
              <w:rPr>
                <w:sz w:val="13"/>
                <w:szCs w:val="13"/>
              </w:rPr>
            </w:pPr>
            <w:r w:rsidRPr="0064730E">
              <w:rPr>
                <w:rFonts w:ascii="Calibri" w:hAnsi="Calibri" w:cs="Calibri"/>
                <w:color w:val="000000"/>
                <w:sz w:val="13"/>
                <w:szCs w:val="13"/>
              </w:rPr>
              <w:t>393.1134</w:t>
            </w:r>
          </w:p>
        </w:tc>
        <w:tc>
          <w:tcPr>
            <w:tcW w:w="2880" w:type="dxa"/>
            <w:vMerge/>
            <w:vAlign w:val="center"/>
          </w:tcPr>
          <w:p w14:paraId="35175C81" w14:textId="77777777" w:rsidR="004D1935" w:rsidRDefault="004D1935" w:rsidP="00E24DC9"/>
        </w:tc>
        <w:tc>
          <w:tcPr>
            <w:tcW w:w="1465" w:type="dxa"/>
            <w:vMerge/>
            <w:vAlign w:val="center"/>
          </w:tcPr>
          <w:p w14:paraId="5C44856C" w14:textId="77777777" w:rsidR="004D1935" w:rsidRDefault="004D1935" w:rsidP="00E24DC9"/>
        </w:tc>
        <w:tc>
          <w:tcPr>
            <w:tcW w:w="1137" w:type="dxa"/>
            <w:vMerge/>
          </w:tcPr>
          <w:p w14:paraId="4BBF61CA" w14:textId="77777777" w:rsidR="004D1935" w:rsidRDefault="004D1935" w:rsidP="00E24DC9"/>
        </w:tc>
        <w:tc>
          <w:tcPr>
            <w:tcW w:w="7843" w:type="dxa"/>
            <w:vMerge/>
          </w:tcPr>
          <w:p w14:paraId="08176F42" w14:textId="77777777" w:rsidR="004D1935" w:rsidRDefault="004D1935" w:rsidP="00E24DC9"/>
        </w:tc>
      </w:tr>
      <w:tr w:rsidR="004D1935" w14:paraId="5D8BBCCA" w14:textId="77777777" w:rsidTr="00E24DC9">
        <w:tc>
          <w:tcPr>
            <w:tcW w:w="825" w:type="dxa"/>
            <w:vMerge/>
          </w:tcPr>
          <w:p w14:paraId="44A61ADB" w14:textId="77777777" w:rsidR="004D1935" w:rsidRDefault="004D1935" w:rsidP="00E24DC9"/>
        </w:tc>
        <w:tc>
          <w:tcPr>
            <w:tcW w:w="877" w:type="dxa"/>
            <w:tcBorders>
              <w:top w:val="nil"/>
              <w:bottom w:val="nil"/>
            </w:tcBorders>
            <w:vAlign w:val="center"/>
          </w:tcPr>
          <w:p w14:paraId="33612438" w14:textId="77777777" w:rsidR="004D1935" w:rsidRPr="0064730E" w:rsidRDefault="004D1935" w:rsidP="00E24DC9">
            <w:pPr>
              <w:jc w:val="center"/>
              <w:rPr>
                <w:sz w:val="13"/>
                <w:szCs w:val="13"/>
              </w:rPr>
            </w:pPr>
            <w:r w:rsidRPr="0064730E">
              <w:rPr>
                <w:rFonts w:ascii="Calibri" w:hAnsi="Calibri" w:cs="Calibri"/>
                <w:color w:val="000000"/>
                <w:sz w:val="13"/>
                <w:szCs w:val="13"/>
              </w:rPr>
              <w:t>393.1568</w:t>
            </w:r>
          </w:p>
        </w:tc>
        <w:tc>
          <w:tcPr>
            <w:tcW w:w="2880" w:type="dxa"/>
            <w:vMerge/>
            <w:vAlign w:val="center"/>
          </w:tcPr>
          <w:p w14:paraId="30B737F6" w14:textId="77777777" w:rsidR="004D1935" w:rsidRDefault="004D1935" w:rsidP="00E24DC9"/>
        </w:tc>
        <w:tc>
          <w:tcPr>
            <w:tcW w:w="1465" w:type="dxa"/>
            <w:vMerge/>
            <w:vAlign w:val="center"/>
          </w:tcPr>
          <w:p w14:paraId="7FEA9402" w14:textId="77777777" w:rsidR="004D1935" w:rsidRDefault="004D1935" w:rsidP="00E24DC9"/>
        </w:tc>
        <w:tc>
          <w:tcPr>
            <w:tcW w:w="1137" w:type="dxa"/>
            <w:vMerge/>
          </w:tcPr>
          <w:p w14:paraId="653D010B" w14:textId="77777777" w:rsidR="004D1935" w:rsidRDefault="004D1935" w:rsidP="00E24DC9"/>
        </w:tc>
        <w:tc>
          <w:tcPr>
            <w:tcW w:w="7843" w:type="dxa"/>
            <w:vMerge/>
          </w:tcPr>
          <w:p w14:paraId="705DE79F" w14:textId="77777777" w:rsidR="004D1935" w:rsidRDefault="004D1935" w:rsidP="00E24DC9"/>
        </w:tc>
      </w:tr>
      <w:tr w:rsidR="004D1935" w14:paraId="26381149" w14:textId="77777777" w:rsidTr="00E24DC9">
        <w:tc>
          <w:tcPr>
            <w:tcW w:w="825" w:type="dxa"/>
            <w:vMerge/>
          </w:tcPr>
          <w:p w14:paraId="54D67F4D" w14:textId="77777777" w:rsidR="004D1935" w:rsidRDefault="004D1935" w:rsidP="00E24DC9"/>
        </w:tc>
        <w:tc>
          <w:tcPr>
            <w:tcW w:w="877" w:type="dxa"/>
            <w:tcBorders>
              <w:top w:val="nil"/>
              <w:bottom w:val="nil"/>
            </w:tcBorders>
            <w:vAlign w:val="center"/>
          </w:tcPr>
          <w:p w14:paraId="43DE98B8" w14:textId="77777777" w:rsidR="004D1935" w:rsidRPr="0064730E" w:rsidRDefault="004D1935" w:rsidP="00E24DC9">
            <w:pPr>
              <w:jc w:val="center"/>
              <w:rPr>
                <w:sz w:val="13"/>
                <w:szCs w:val="13"/>
              </w:rPr>
            </w:pPr>
            <w:r w:rsidRPr="0064730E">
              <w:rPr>
                <w:rFonts w:ascii="Calibri" w:hAnsi="Calibri" w:cs="Calibri"/>
                <w:color w:val="000000"/>
                <w:sz w:val="13"/>
                <w:szCs w:val="13"/>
              </w:rPr>
              <w:t>393.2001</w:t>
            </w:r>
          </w:p>
        </w:tc>
        <w:tc>
          <w:tcPr>
            <w:tcW w:w="2880" w:type="dxa"/>
            <w:vMerge/>
            <w:vAlign w:val="center"/>
          </w:tcPr>
          <w:p w14:paraId="4D95AC53" w14:textId="77777777" w:rsidR="004D1935" w:rsidRDefault="004D1935" w:rsidP="00E24DC9"/>
        </w:tc>
        <w:tc>
          <w:tcPr>
            <w:tcW w:w="1465" w:type="dxa"/>
            <w:vMerge/>
            <w:vAlign w:val="center"/>
          </w:tcPr>
          <w:p w14:paraId="0200D20F" w14:textId="77777777" w:rsidR="004D1935" w:rsidRDefault="004D1935" w:rsidP="00E24DC9"/>
        </w:tc>
        <w:tc>
          <w:tcPr>
            <w:tcW w:w="1137" w:type="dxa"/>
            <w:vMerge/>
          </w:tcPr>
          <w:p w14:paraId="74873E1F" w14:textId="77777777" w:rsidR="004D1935" w:rsidRDefault="004D1935" w:rsidP="00E24DC9"/>
        </w:tc>
        <w:tc>
          <w:tcPr>
            <w:tcW w:w="7843" w:type="dxa"/>
            <w:vMerge/>
          </w:tcPr>
          <w:p w14:paraId="03671FB5" w14:textId="77777777" w:rsidR="004D1935" w:rsidRDefault="004D1935" w:rsidP="00E24DC9"/>
        </w:tc>
      </w:tr>
      <w:tr w:rsidR="004D1935" w14:paraId="01DBA053" w14:textId="77777777" w:rsidTr="00E24DC9">
        <w:tc>
          <w:tcPr>
            <w:tcW w:w="825" w:type="dxa"/>
            <w:vMerge/>
          </w:tcPr>
          <w:p w14:paraId="4FFBEFA4" w14:textId="77777777" w:rsidR="004D1935" w:rsidRDefault="004D1935" w:rsidP="00E24DC9"/>
        </w:tc>
        <w:tc>
          <w:tcPr>
            <w:tcW w:w="877" w:type="dxa"/>
            <w:tcBorders>
              <w:top w:val="nil"/>
              <w:bottom w:val="nil"/>
            </w:tcBorders>
            <w:vAlign w:val="center"/>
          </w:tcPr>
          <w:p w14:paraId="0F25436B" w14:textId="77777777" w:rsidR="004D1935" w:rsidRPr="0064730E" w:rsidRDefault="004D1935" w:rsidP="00E24DC9">
            <w:pPr>
              <w:jc w:val="center"/>
              <w:rPr>
                <w:sz w:val="13"/>
                <w:szCs w:val="13"/>
              </w:rPr>
            </w:pPr>
            <w:r w:rsidRPr="0064730E">
              <w:rPr>
                <w:rFonts w:ascii="Calibri" w:hAnsi="Calibri" w:cs="Calibri"/>
                <w:color w:val="000000"/>
                <w:sz w:val="13"/>
                <w:szCs w:val="13"/>
              </w:rPr>
              <w:t>393.2435</w:t>
            </w:r>
          </w:p>
        </w:tc>
        <w:tc>
          <w:tcPr>
            <w:tcW w:w="2880" w:type="dxa"/>
            <w:vMerge/>
            <w:vAlign w:val="center"/>
          </w:tcPr>
          <w:p w14:paraId="2398155F" w14:textId="77777777" w:rsidR="004D1935" w:rsidRDefault="004D1935" w:rsidP="00E24DC9"/>
        </w:tc>
        <w:tc>
          <w:tcPr>
            <w:tcW w:w="1465" w:type="dxa"/>
            <w:vMerge/>
            <w:vAlign w:val="center"/>
          </w:tcPr>
          <w:p w14:paraId="1C78AB84" w14:textId="77777777" w:rsidR="004D1935" w:rsidRDefault="004D1935" w:rsidP="00E24DC9"/>
        </w:tc>
        <w:tc>
          <w:tcPr>
            <w:tcW w:w="1137" w:type="dxa"/>
            <w:vMerge/>
          </w:tcPr>
          <w:p w14:paraId="5C589DCD" w14:textId="77777777" w:rsidR="004D1935" w:rsidRDefault="004D1935" w:rsidP="00E24DC9"/>
        </w:tc>
        <w:tc>
          <w:tcPr>
            <w:tcW w:w="7843" w:type="dxa"/>
            <w:vMerge/>
          </w:tcPr>
          <w:p w14:paraId="4EAA99D0" w14:textId="77777777" w:rsidR="004D1935" w:rsidRDefault="004D1935" w:rsidP="00E24DC9"/>
        </w:tc>
      </w:tr>
      <w:tr w:rsidR="004D1935" w14:paraId="14D24411" w14:textId="77777777" w:rsidTr="00E24DC9">
        <w:tc>
          <w:tcPr>
            <w:tcW w:w="825" w:type="dxa"/>
            <w:vMerge/>
          </w:tcPr>
          <w:p w14:paraId="61A248DF" w14:textId="77777777" w:rsidR="004D1935" w:rsidRDefault="004D1935" w:rsidP="00E24DC9"/>
        </w:tc>
        <w:tc>
          <w:tcPr>
            <w:tcW w:w="877" w:type="dxa"/>
            <w:tcBorders>
              <w:top w:val="nil"/>
              <w:bottom w:val="nil"/>
            </w:tcBorders>
            <w:vAlign w:val="center"/>
          </w:tcPr>
          <w:p w14:paraId="29D2801D" w14:textId="77777777" w:rsidR="004D1935" w:rsidRPr="0064730E" w:rsidRDefault="004D1935" w:rsidP="00E24DC9">
            <w:pPr>
              <w:jc w:val="center"/>
              <w:rPr>
                <w:sz w:val="13"/>
                <w:szCs w:val="13"/>
              </w:rPr>
            </w:pPr>
            <w:r w:rsidRPr="0064730E">
              <w:rPr>
                <w:rFonts w:ascii="Calibri" w:hAnsi="Calibri" w:cs="Calibri"/>
                <w:color w:val="000000"/>
                <w:sz w:val="13"/>
                <w:szCs w:val="13"/>
              </w:rPr>
              <w:t>393.2868</w:t>
            </w:r>
          </w:p>
        </w:tc>
        <w:tc>
          <w:tcPr>
            <w:tcW w:w="2880" w:type="dxa"/>
            <w:vMerge/>
            <w:vAlign w:val="center"/>
          </w:tcPr>
          <w:p w14:paraId="0B898EA3" w14:textId="77777777" w:rsidR="004D1935" w:rsidRDefault="004D1935" w:rsidP="00E24DC9"/>
        </w:tc>
        <w:tc>
          <w:tcPr>
            <w:tcW w:w="1465" w:type="dxa"/>
            <w:vMerge/>
            <w:vAlign w:val="center"/>
          </w:tcPr>
          <w:p w14:paraId="3731BC3C" w14:textId="77777777" w:rsidR="004D1935" w:rsidRDefault="004D1935" w:rsidP="00E24DC9"/>
        </w:tc>
        <w:tc>
          <w:tcPr>
            <w:tcW w:w="1137" w:type="dxa"/>
            <w:vMerge/>
          </w:tcPr>
          <w:p w14:paraId="0A0F2C68" w14:textId="77777777" w:rsidR="004D1935" w:rsidRDefault="004D1935" w:rsidP="00E24DC9"/>
        </w:tc>
        <w:tc>
          <w:tcPr>
            <w:tcW w:w="7843" w:type="dxa"/>
            <w:vMerge/>
          </w:tcPr>
          <w:p w14:paraId="032746C2" w14:textId="77777777" w:rsidR="004D1935" w:rsidRDefault="004D1935" w:rsidP="00E24DC9"/>
        </w:tc>
      </w:tr>
      <w:tr w:rsidR="004D1935" w14:paraId="59BAFF61" w14:textId="77777777" w:rsidTr="00E24DC9">
        <w:tc>
          <w:tcPr>
            <w:tcW w:w="825" w:type="dxa"/>
            <w:vMerge/>
          </w:tcPr>
          <w:p w14:paraId="6189ED82" w14:textId="77777777" w:rsidR="004D1935" w:rsidRDefault="004D1935" w:rsidP="00E24DC9"/>
        </w:tc>
        <w:tc>
          <w:tcPr>
            <w:tcW w:w="877" w:type="dxa"/>
            <w:tcBorders>
              <w:top w:val="nil"/>
              <w:bottom w:val="nil"/>
            </w:tcBorders>
            <w:vAlign w:val="center"/>
          </w:tcPr>
          <w:p w14:paraId="036980F4" w14:textId="77777777" w:rsidR="004D1935" w:rsidRPr="0064730E" w:rsidRDefault="004D1935" w:rsidP="00E24DC9">
            <w:pPr>
              <w:jc w:val="center"/>
              <w:rPr>
                <w:sz w:val="13"/>
                <w:szCs w:val="13"/>
              </w:rPr>
            </w:pPr>
            <w:r w:rsidRPr="0064730E">
              <w:rPr>
                <w:rFonts w:ascii="Calibri" w:hAnsi="Calibri" w:cs="Calibri"/>
                <w:color w:val="000000"/>
                <w:sz w:val="13"/>
                <w:szCs w:val="13"/>
              </w:rPr>
              <w:t>393.1221</w:t>
            </w:r>
          </w:p>
        </w:tc>
        <w:tc>
          <w:tcPr>
            <w:tcW w:w="2880" w:type="dxa"/>
            <w:vMerge/>
            <w:vAlign w:val="center"/>
          </w:tcPr>
          <w:p w14:paraId="0184B343" w14:textId="77777777" w:rsidR="004D1935" w:rsidRDefault="004D1935" w:rsidP="00E24DC9"/>
        </w:tc>
        <w:tc>
          <w:tcPr>
            <w:tcW w:w="1465" w:type="dxa"/>
            <w:vMerge/>
            <w:vAlign w:val="center"/>
          </w:tcPr>
          <w:p w14:paraId="5ADDC1AB" w14:textId="77777777" w:rsidR="004D1935" w:rsidRDefault="004D1935" w:rsidP="00E24DC9"/>
        </w:tc>
        <w:tc>
          <w:tcPr>
            <w:tcW w:w="1137" w:type="dxa"/>
            <w:vMerge/>
          </w:tcPr>
          <w:p w14:paraId="085B9D09" w14:textId="77777777" w:rsidR="004D1935" w:rsidRDefault="004D1935" w:rsidP="00E24DC9"/>
        </w:tc>
        <w:tc>
          <w:tcPr>
            <w:tcW w:w="7843" w:type="dxa"/>
            <w:vMerge/>
          </w:tcPr>
          <w:p w14:paraId="3DA40E07" w14:textId="77777777" w:rsidR="004D1935" w:rsidRDefault="004D1935" w:rsidP="00E24DC9"/>
        </w:tc>
      </w:tr>
      <w:tr w:rsidR="004D1935" w14:paraId="0E3CFBE4" w14:textId="77777777" w:rsidTr="00E24DC9">
        <w:tc>
          <w:tcPr>
            <w:tcW w:w="825" w:type="dxa"/>
            <w:vMerge/>
          </w:tcPr>
          <w:p w14:paraId="75E40819" w14:textId="77777777" w:rsidR="004D1935" w:rsidRDefault="004D1935" w:rsidP="00E24DC9"/>
        </w:tc>
        <w:tc>
          <w:tcPr>
            <w:tcW w:w="877" w:type="dxa"/>
            <w:tcBorders>
              <w:top w:val="nil"/>
              <w:bottom w:val="nil"/>
            </w:tcBorders>
            <w:vAlign w:val="center"/>
          </w:tcPr>
          <w:p w14:paraId="48179B72" w14:textId="77777777" w:rsidR="004D1935" w:rsidRPr="0064730E" w:rsidRDefault="004D1935" w:rsidP="00E24DC9">
            <w:pPr>
              <w:jc w:val="center"/>
              <w:rPr>
                <w:sz w:val="13"/>
                <w:szCs w:val="13"/>
              </w:rPr>
            </w:pPr>
            <w:r w:rsidRPr="0064730E">
              <w:rPr>
                <w:rFonts w:ascii="Calibri" w:hAnsi="Calibri" w:cs="Calibri"/>
                <w:color w:val="000000"/>
                <w:sz w:val="13"/>
                <w:szCs w:val="13"/>
              </w:rPr>
              <w:t>393.2146</w:t>
            </w:r>
          </w:p>
        </w:tc>
        <w:tc>
          <w:tcPr>
            <w:tcW w:w="2880" w:type="dxa"/>
            <w:vMerge/>
            <w:vAlign w:val="center"/>
          </w:tcPr>
          <w:p w14:paraId="4CB341B3" w14:textId="77777777" w:rsidR="004D1935" w:rsidRDefault="004D1935" w:rsidP="00E24DC9"/>
        </w:tc>
        <w:tc>
          <w:tcPr>
            <w:tcW w:w="1465" w:type="dxa"/>
            <w:vMerge/>
            <w:vAlign w:val="center"/>
          </w:tcPr>
          <w:p w14:paraId="13EC4F57" w14:textId="77777777" w:rsidR="004D1935" w:rsidRDefault="004D1935" w:rsidP="00E24DC9"/>
        </w:tc>
        <w:tc>
          <w:tcPr>
            <w:tcW w:w="1137" w:type="dxa"/>
            <w:vMerge/>
          </w:tcPr>
          <w:p w14:paraId="6BAC71E1" w14:textId="77777777" w:rsidR="004D1935" w:rsidRDefault="004D1935" w:rsidP="00E24DC9"/>
        </w:tc>
        <w:tc>
          <w:tcPr>
            <w:tcW w:w="7843" w:type="dxa"/>
            <w:vMerge/>
          </w:tcPr>
          <w:p w14:paraId="5199A432" w14:textId="77777777" w:rsidR="004D1935" w:rsidRDefault="004D1935" w:rsidP="00E24DC9"/>
        </w:tc>
      </w:tr>
      <w:tr w:rsidR="004D1935" w14:paraId="27B1847C" w14:textId="77777777" w:rsidTr="00E24DC9">
        <w:tc>
          <w:tcPr>
            <w:tcW w:w="825" w:type="dxa"/>
            <w:vMerge/>
          </w:tcPr>
          <w:p w14:paraId="5498189E" w14:textId="77777777" w:rsidR="004D1935" w:rsidRDefault="004D1935" w:rsidP="00E24DC9"/>
        </w:tc>
        <w:tc>
          <w:tcPr>
            <w:tcW w:w="877" w:type="dxa"/>
            <w:tcBorders>
              <w:top w:val="nil"/>
              <w:bottom w:val="nil"/>
            </w:tcBorders>
            <w:vAlign w:val="center"/>
          </w:tcPr>
          <w:p w14:paraId="69F5477A" w14:textId="77777777" w:rsidR="004D1935" w:rsidRPr="0064730E" w:rsidRDefault="004D1935" w:rsidP="00E24DC9">
            <w:pPr>
              <w:jc w:val="center"/>
              <w:rPr>
                <w:sz w:val="13"/>
                <w:szCs w:val="13"/>
              </w:rPr>
            </w:pPr>
            <w:r w:rsidRPr="0064730E">
              <w:rPr>
                <w:rFonts w:ascii="Calibri" w:hAnsi="Calibri" w:cs="Calibri"/>
                <w:color w:val="000000"/>
                <w:sz w:val="13"/>
                <w:szCs w:val="13"/>
              </w:rPr>
              <w:t>393.2579</w:t>
            </w:r>
          </w:p>
        </w:tc>
        <w:tc>
          <w:tcPr>
            <w:tcW w:w="2880" w:type="dxa"/>
            <w:vMerge/>
            <w:vAlign w:val="center"/>
          </w:tcPr>
          <w:p w14:paraId="01C40A9C" w14:textId="77777777" w:rsidR="004D1935" w:rsidRDefault="004D1935" w:rsidP="00E24DC9"/>
        </w:tc>
        <w:tc>
          <w:tcPr>
            <w:tcW w:w="1465" w:type="dxa"/>
            <w:vMerge/>
            <w:vAlign w:val="center"/>
          </w:tcPr>
          <w:p w14:paraId="58D7BCBD" w14:textId="77777777" w:rsidR="004D1935" w:rsidRDefault="004D1935" w:rsidP="00E24DC9"/>
        </w:tc>
        <w:tc>
          <w:tcPr>
            <w:tcW w:w="1137" w:type="dxa"/>
            <w:vMerge/>
          </w:tcPr>
          <w:p w14:paraId="67709619" w14:textId="77777777" w:rsidR="004D1935" w:rsidRDefault="004D1935" w:rsidP="00E24DC9"/>
        </w:tc>
        <w:tc>
          <w:tcPr>
            <w:tcW w:w="7843" w:type="dxa"/>
            <w:vMerge/>
          </w:tcPr>
          <w:p w14:paraId="653B1C17" w14:textId="77777777" w:rsidR="004D1935" w:rsidRDefault="004D1935" w:rsidP="00E24DC9"/>
        </w:tc>
      </w:tr>
      <w:tr w:rsidR="004D1935" w14:paraId="10A6FEA4" w14:textId="77777777" w:rsidTr="00E24DC9">
        <w:tc>
          <w:tcPr>
            <w:tcW w:w="825" w:type="dxa"/>
            <w:vMerge/>
          </w:tcPr>
          <w:p w14:paraId="603452A0" w14:textId="77777777" w:rsidR="004D1935" w:rsidRDefault="004D1935" w:rsidP="00E24DC9"/>
        </w:tc>
        <w:tc>
          <w:tcPr>
            <w:tcW w:w="877" w:type="dxa"/>
            <w:tcBorders>
              <w:top w:val="nil"/>
              <w:bottom w:val="nil"/>
            </w:tcBorders>
            <w:vAlign w:val="center"/>
          </w:tcPr>
          <w:p w14:paraId="5252AC33" w14:textId="77777777" w:rsidR="004D1935" w:rsidRPr="0064730E" w:rsidRDefault="004D1935" w:rsidP="00E24DC9">
            <w:pPr>
              <w:jc w:val="center"/>
              <w:rPr>
                <w:sz w:val="13"/>
                <w:szCs w:val="13"/>
              </w:rPr>
            </w:pPr>
            <w:r w:rsidRPr="0064730E">
              <w:rPr>
                <w:rFonts w:ascii="Calibri" w:hAnsi="Calibri" w:cs="Calibri"/>
                <w:color w:val="000000"/>
                <w:sz w:val="13"/>
                <w:szCs w:val="13"/>
              </w:rPr>
              <w:t>393.1654</w:t>
            </w:r>
          </w:p>
        </w:tc>
        <w:tc>
          <w:tcPr>
            <w:tcW w:w="2880" w:type="dxa"/>
            <w:vMerge/>
            <w:vAlign w:val="center"/>
          </w:tcPr>
          <w:p w14:paraId="48A505D5" w14:textId="77777777" w:rsidR="004D1935" w:rsidRDefault="004D1935" w:rsidP="00E24DC9"/>
        </w:tc>
        <w:tc>
          <w:tcPr>
            <w:tcW w:w="1465" w:type="dxa"/>
            <w:vMerge/>
            <w:vAlign w:val="center"/>
          </w:tcPr>
          <w:p w14:paraId="7DDD8608" w14:textId="77777777" w:rsidR="004D1935" w:rsidRDefault="004D1935" w:rsidP="00E24DC9"/>
        </w:tc>
        <w:tc>
          <w:tcPr>
            <w:tcW w:w="1137" w:type="dxa"/>
            <w:vMerge/>
          </w:tcPr>
          <w:p w14:paraId="366BCFF3" w14:textId="77777777" w:rsidR="004D1935" w:rsidRDefault="004D1935" w:rsidP="00E24DC9"/>
        </w:tc>
        <w:tc>
          <w:tcPr>
            <w:tcW w:w="7843" w:type="dxa"/>
            <w:vMerge/>
          </w:tcPr>
          <w:p w14:paraId="61157E9C" w14:textId="77777777" w:rsidR="004D1935" w:rsidRDefault="004D1935" w:rsidP="00E24DC9"/>
        </w:tc>
      </w:tr>
      <w:tr w:rsidR="004D1935" w14:paraId="28C3C213" w14:textId="77777777" w:rsidTr="00E24DC9">
        <w:tc>
          <w:tcPr>
            <w:tcW w:w="825" w:type="dxa"/>
            <w:vMerge/>
          </w:tcPr>
          <w:p w14:paraId="7183967E" w14:textId="77777777" w:rsidR="004D1935" w:rsidRDefault="004D1935" w:rsidP="00E24DC9"/>
        </w:tc>
        <w:tc>
          <w:tcPr>
            <w:tcW w:w="877" w:type="dxa"/>
            <w:tcBorders>
              <w:top w:val="nil"/>
              <w:bottom w:val="nil"/>
            </w:tcBorders>
            <w:vAlign w:val="center"/>
          </w:tcPr>
          <w:p w14:paraId="60315376" w14:textId="77777777" w:rsidR="004D1935" w:rsidRPr="0064730E" w:rsidRDefault="004D1935" w:rsidP="00E24DC9">
            <w:pPr>
              <w:jc w:val="center"/>
              <w:rPr>
                <w:sz w:val="13"/>
                <w:szCs w:val="13"/>
              </w:rPr>
            </w:pPr>
            <w:r w:rsidRPr="0064730E">
              <w:rPr>
                <w:rFonts w:ascii="Calibri" w:hAnsi="Calibri" w:cs="Calibri"/>
                <w:color w:val="000000"/>
                <w:sz w:val="13"/>
                <w:szCs w:val="13"/>
              </w:rPr>
              <w:t>393.2088</w:t>
            </w:r>
          </w:p>
        </w:tc>
        <w:tc>
          <w:tcPr>
            <w:tcW w:w="2880" w:type="dxa"/>
            <w:vMerge/>
            <w:vAlign w:val="center"/>
          </w:tcPr>
          <w:p w14:paraId="5F5BC117" w14:textId="77777777" w:rsidR="004D1935" w:rsidRDefault="004D1935" w:rsidP="00E24DC9"/>
        </w:tc>
        <w:tc>
          <w:tcPr>
            <w:tcW w:w="1465" w:type="dxa"/>
            <w:vMerge/>
            <w:vAlign w:val="center"/>
          </w:tcPr>
          <w:p w14:paraId="5E0B666C" w14:textId="77777777" w:rsidR="004D1935" w:rsidRDefault="004D1935" w:rsidP="00E24DC9"/>
        </w:tc>
        <w:tc>
          <w:tcPr>
            <w:tcW w:w="1137" w:type="dxa"/>
            <w:vMerge/>
          </w:tcPr>
          <w:p w14:paraId="7665199E" w14:textId="77777777" w:rsidR="004D1935" w:rsidRDefault="004D1935" w:rsidP="00E24DC9"/>
        </w:tc>
        <w:tc>
          <w:tcPr>
            <w:tcW w:w="7843" w:type="dxa"/>
            <w:vMerge/>
          </w:tcPr>
          <w:p w14:paraId="1F94C12E" w14:textId="77777777" w:rsidR="004D1935" w:rsidRDefault="004D1935" w:rsidP="00E24DC9"/>
        </w:tc>
      </w:tr>
      <w:tr w:rsidR="004D1935" w14:paraId="5410E07C" w14:textId="77777777" w:rsidTr="00E24DC9">
        <w:tc>
          <w:tcPr>
            <w:tcW w:w="825" w:type="dxa"/>
            <w:vMerge/>
          </w:tcPr>
          <w:p w14:paraId="78F92DDD" w14:textId="77777777" w:rsidR="004D1935" w:rsidRDefault="004D1935" w:rsidP="00E24DC9"/>
        </w:tc>
        <w:tc>
          <w:tcPr>
            <w:tcW w:w="877" w:type="dxa"/>
            <w:tcBorders>
              <w:top w:val="nil"/>
              <w:bottom w:val="nil"/>
            </w:tcBorders>
            <w:vAlign w:val="center"/>
          </w:tcPr>
          <w:p w14:paraId="0A6164C2" w14:textId="77777777" w:rsidR="004D1935" w:rsidRPr="0064730E" w:rsidRDefault="004D1935" w:rsidP="00E24DC9">
            <w:pPr>
              <w:jc w:val="center"/>
              <w:rPr>
                <w:sz w:val="13"/>
                <w:szCs w:val="13"/>
              </w:rPr>
            </w:pPr>
            <w:r w:rsidRPr="0064730E">
              <w:rPr>
                <w:rFonts w:ascii="Calibri" w:hAnsi="Calibri" w:cs="Calibri"/>
                <w:color w:val="000000"/>
                <w:sz w:val="13"/>
                <w:szCs w:val="13"/>
              </w:rPr>
              <w:t>393.2522</w:t>
            </w:r>
          </w:p>
        </w:tc>
        <w:tc>
          <w:tcPr>
            <w:tcW w:w="2880" w:type="dxa"/>
            <w:vMerge/>
            <w:vAlign w:val="center"/>
          </w:tcPr>
          <w:p w14:paraId="5563287D" w14:textId="77777777" w:rsidR="004D1935" w:rsidRDefault="004D1935" w:rsidP="00E24DC9"/>
        </w:tc>
        <w:tc>
          <w:tcPr>
            <w:tcW w:w="1465" w:type="dxa"/>
            <w:vMerge/>
            <w:vAlign w:val="center"/>
          </w:tcPr>
          <w:p w14:paraId="58151E39" w14:textId="77777777" w:rsidR="004D1935" w:rsidRDefault="004D1935" w:rsidP="00E24DC9"/>
        </w:tc>
        <w:tc>
          <w:tcPr>
            <w:tcW w:w="1137" w:type="dxa"/>
            <w:vMerge/>
          </w:tcPr>
          <w:p w14:paraId="3D35503E" w14:textId="77777777" w:rsidR="004D1935" w:rsidRDefault="004D1935" w:rsidP="00E24DC9"/>
        </w:tc>
        <w:tc>
          <w:tcPr>
            <w:tcW w:w="7843" w:type="dxa"/>
            <w:vMerge/>
          </w:tcPr>
          <w:p w14:paraId="415424B4" w14:textId="77777777" w:rsidR="004D1935" w:rsidRDefault="004D1935" w:rsidP="00E24DC9"/>
        </w:tc>
      </w:tr>
      <w:tr w:rsidR="004D1935" w14:paraId="23AB8F2B" w14:textId="77777777" w:rsidTr="00E24DC9">
        <w:tc>
          <w:tcPr>
            <w:tcW w:w="825" w:type="dxa"/>
            <w:vMerge/>
          </w:tcPr>
          <w:p w14:paraId="2680DFBF" w14:textId="77777777" w:rsidR="004D1935" w:rsidRDefault="004D1935" w:rsidP="00E24DC9"/>
        </w:tc>
        <w:tc>
          <w:tcPr>
            <w:tcW w:w="877" w:type="dxa"/>
            <w:tcBorders>
              <w:top w:val="nil"/>
              <w:bottom w:val="nil"/>
            </w:tcBorders>
            <w:vAlign w:val="center"/>
          </w:tcPr>
          <w:p w14:paraId="39146F0A" w14:textId="77777777" w:rsidR="004D1935" w:rsidRPr="0064730E" w:rsidRDefault="004D1935" w:rsidP="00E24DC9">
            <w:pPr>
              <w:jc w:val="center"/>
              <w:rPr>
                <w:sz w:val="13"/>
                <w:szCs w:val="13"/>
              </w:rPr>
            </w:pPr>
            <w:r w:rsidRPr="0064730E">
              <w:rPr>
                <w:rFonts w:ascii="Calibri" w:hAnsi="Calibri" w:cs="Calibri"/>
                <w:color w:val="000000"/>
                <w:sz w:val="13"/>
                <w:szCs w:val="13"/>
              </w:rPr>
              <w:t>393.1264</w:t>
            </w:r>
          </w:p>
        </w:tc>
        <w:tc>
          <w:tcPr>
            <w:tcW w:w="2880" w:type="dxa"/>
            <w:vMerge/>
            <w:vAlign w:val="center"/>
          </w:tcPr>
          <w:p w14:paraId="5FF4A580" w14:textId="77777777" w:rsidR="004D1935" w:rsidRDefault="004D1935" w:rsidP="00E24DC9"/>
        </w:tc>
        <w:tc>
          <w:tcPr>
            <w:tcW w:w="1465" w:type="dxa"/>
            <w:vMerge/>
            <w:vAlign w:val="center"/>
          </w:tcPr>
          <w:p w14:paraId="477E1BA8" w14:textId="77777777" w:rsidR="004D1935" w:rsidRDefault="004D1935" w:rsidP="00E24DC9"/>
        </w:tc>
        <w:tc>
          <w:tcPr>
            <w:tcW w:w="1137" w:type="dxa"/>
            <w:vMerge/>
          </w:tcPr>
          <w:p w14:paraId="4BF7D50C" w14:textId="77777777" w:rsidR="004D1935" w:rsidRDefault="004D1935" w:rsidP="00E24DC9"/>
        </w:tc>
        <w:tc>
          <w:tcPr>
            <w:tcW w:w="7843" w:type="dxa"/>
            <w:vMerge/>
          </w:tcPr>
          <w:p w14:paraId="7DB4FF1A" w14:textId="77777777" w:rsidR="004D1935" w:rsidRDefault="004D1935" w:rsidP="00E24DC9"/>
        </w:tc>
      </w:tr>
      <w:tr w:rsidR="004D1935" w14:paraId="17AAF8A3" w14:textId="77777777" w:rsidTr="00E24DC9">
        <w:tc>
          <w:tcPr>
            <w:tcW w:w="825" w:type="dxa"/>
            <w:vMerge/>
          </w:tcPr>
          <w:p w14:paraId="07A02EE1" w14:textId="77777777" w:rsidR="004D1935" w:rsidRDefault="004D1935" w:rsidP="00E24DC9"/>
        </w:tc>
        <w:tc>
          <w:tcPr>
            <w:tcW w:w="877" w:type="dxa"/>
            <w:tcBorders>
              <w:top w:val="nil"/>
              <w:bottom w:val="nil"/>
            </w:tcBorders>
            <w:vAlign w:val="center"/>
          </w:tcPr>
          <w:p w14:paraId="27332171" w14:textId="77777777" w:rsidR="004D1935" w:rsidRPr="0064730E" w:rsidRDefault="004D1935" w:rsidP="00E24DC9">
            <w:pPr>
              <w:jc w:val="center"/>
              <w:rPr>
                <w:sz w:val="13"/>
                <w:szCs w:val="13"/>
              </w:rPr>
            </w:pPr>
            <w:r w:rsidRPr="0064730E">
              <w:rPr>
                <w:rFonts w:ascii="Calibri" w:hAnsi="Calibri" w:cs="Calibri"/>
                <w:color w:val="000000"/>
                <w:sz w:val="13"/>
                <w:szCs w:val="13"/>
              </w:rPr>
              <w:t>393.2175</w:t>
            </w:r>
          </w:p>
        </w:tc>
        <w:tc>
          <w:tcPr>
            <w:tcW w:w="2880" w:type="dxa"/>
            <w:vMerge/>
            <w:vAlign w:val="center"/>
          </w:tcPr>
          <w:p w14:paraId="6F96AC43" w14:textId="77777777" w:rsidR="004D1935" w:rsidRDefault="004D1935" w:rsidP="00E24DC9"/>
        </w:tc>
        <w:tc>
          <w:tcPr>
            <w:tcW w:w="1465" w:type="dxa"/>
            <w:vMerge/>
            <w:vAlign w:val="center"/>
          </w:tcPr>
          <w:p w14:paraId="025B79BC" w14:textId="77777777" w:rsidR="004D1935" w:rsidRDefault="004D1935" w:rsidP="00E24DC9"/>
        </w:tc>
        <w:tc>
          <w:tcPr>
            <w:tcW w:w="1137" w:type="dxa"/>
            <w:vMerge/>
          </w:tcPr>
          <w:p w14:paraId="0A59CA49" w14:textId="77777777" w:rsidR="004D1935" w:rsidRDefault="004D1935" w:rsidP="00E24DC9"/>
        </w:tc>
        <w:tc>
          <w:tcPr>
            <w:tcW w:w="7843" w:type="dxa"/>
            <w:vMerge/>
          </w:tcPr>
          <w:p w14:paraId="31B213B6" w14:textId="77777777" w:rsidR="004D1935" w:rsidRDefault="004D1935" w:rsidP="00E24DC9"/>
        </w:tc>
      </w:tr>
      <w:tr w:rsidR="004D1935" w14:paraId="5D45D07F" w14:textId="77777777" w:rsidTr="00E24DC9">
        <w:tc>
          <w:tcPr>
            <w:tcW w:w="825" w:type="dxa"/>
            <w:vMerge/>
          </w:tcPr>
          <w:p w14:paraId="15115368" w14:textId="77777777" w:rsidR="004D1935" w:rsidRDefault="004D1935" w:rsidP="00E24DC9"/>
        </w:tc>
        <w:tc>
          <w:tcPr>
            <w:tcW w:w="877" w:type="dxa"/>
            <w:tcBorders>
              <w:top w:val="nil"/>
              <w:bottom w:val="single" w:sz="4" w:space="0" w:color="auto"/>
            </w:tcBorders>
            <w:vAlign w:val="center"/>
          </w:tcPr>
          <w:p w14:paraId="54B971DE" w14:textId="77777777" w:rsidR="004D1935" w:rsidRPr="0064730E" w:rsidRDefault="004D1935" w:rsidP="00E24DC9">
            <w:pPr>
              <w:jc w:val="center"/>
              <w:rPr>
                <w:sz w:val="13"/>
                <w:szCs w:val="13"/>
              </w:rPr>
            </w:pPr>
            <w:r w:rsidRPr="0064730E">
              <w:rPr>
                <w:rFonts w:ascii="Calibri" w:hAnsi="Calibri" w:cs="Calibri"/>
                <w:color w:val="000000"/>
                <w:sz w:val="13"/>
                <w:szCs w:val="13"/>
              </w:rPr>
              <w:t>393.2608</w:t>
            </w:r>
          </w:p>
        </w:tc>
        <w:tc>
          <w:tcPr>
            <w:tcW w:w="2880" w:type="dxa"/>
            <w:vMerge/>
            <w:vAlign w:val="center"/>
          </w:tcPr>
          <w:p w14:paraId="695232DE" w14:textId="77777777" w:rsidR="004D1935" w:rsidRDefault="004D1935" w:rsidP="00E24DC9"/>
        </w:tc>
        <w:tc>
          <w:tcPr>
            <w:tcW w:w="1465" w:type="dxa"/>
            <w:vMerge/>
            <w:vAlign w:val="center"/>
          </w:tcPr>
          <w:p w14:paraId="11764F4F" w14:textId="77777777" w:rsidR="004D1935" w:rsidRDefault="004D1935" w:rsidP="00E24DC9"/>
        </w:tc>
        <w:tc>
          <w:tcPr>
            <w:tcW w:w="1137" w:type="dxa"/>
            <w:vMerge/>
          </w:tcPr>
          <w:p w14:paraId="02CD4951" w14:textId="77777777" w:rsidR="004D1935" w:rsidRDefault="004D1935" w:rsidP="00E24DC9"/>
        </w:tc>
        <w:tc>
          <w:tcPr>
            <w:tcW w:w="7843" w:type="dxa"/>
            <w:vMerge/>
          </w:tcPr>
          <w:p w14:paraId="18826412" w14:textId="77777777" w:rsidR="004D1935" w:rsidRDefault="004D1935" w:rsidP="00E24DC9"/>
        </w:tc>
      </w:tr>
      <w:tr w:rsidR="004D1935" w14:paraId="30BE5F15" w14:textId="77777777" w:rsidTr="00E24DC9">
        <w:tc>
          <w:tcPr>
            <w:tcW w:w="825" w:type="dxa"/>
            <w:vMerge w:val="restart"/>
            <w:vAlign w:val="center"/>
          </w:tcPr>
          <w:p w14:paraId="5A5C6D54" w14:textId="77777777" w:rsidR="004D1935" w:rsidRPr="0064730E" w:rsidRDefault="004D1935" w:rsidP="00E24DC9">
            <w:pPr>
              <w:jc w:val="center"/>
              <w:rPr>
                <w:color w:val="000000" w:themeColor="text1"/>
              </w:rPr>
            </w:pPr>
            <w:r w:rsidRPr="0064730E">
              <w:rPr>
                <w:color w:val="000000" w:themeColor="text1"/>
              </w:rPr>
              <w:t>H</w:t>
            </w:r>
          </w:p>
        </w:tc>
        <w:tc>
          <w:tcPr>
            <w:tcW w:w="877" w:type="dxa"/>
            <w:tcBorders>
              <w:bottom w:val="nil"/>
            </w:tcBorders>
            <w:vAlign w:val="center"/>
          </w:tcPr>
          <w:p w14:paraId="26DB1D83" w14:textId="77777777" w:rsidR="004D1935" w:rsidRPr="0064730E" w:rsidRDefault="004D1935" w:rsidP="00E24DC9">
            <w:pPr>
              <w:jc w:val="center"/>
              <w:rPr>
                <w:color w:val="000000" w:themeColor="text1"/>
                <w:sz w:val="13"/>
                <w:szCs w:val="13"/>
              </w:rPr>
            </w:pPr>
            <w:r w:rsidRPr="0064730E">
              <w:rPr>
                <w:rFonts w:ascii="Calibri" w:hAnsi="Calibri" w:cs="Calibri"/>
                <w:color w:val="000000" w:themeColor="text1"/>
                <w:sz w:val="13"/>
                <w:szCs w:val="13"/>
              </w:rPr>
              <w:t>392.1172</w:t>
            </w:r>
          </w:p>
        </w:tc>
        <w:tc>
          <w:tcPr>
            <w:tcW w:w="2880" w:type="dxa"/>
            <w:vMerge w:val="restart"/>
            <w:vAlign w:val="center"/>
          </w:tcPr>
          <w:p w14:paraId="3F07F6F1"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macarpine</w:t>
            </w:r>
          </w:p>
          <w:p w14:paraId="2F9958EA"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deoxycholate</w:t>
            </w:r>
          </w:p>
          <w:p w14:paraId="28F4C8EC"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chenodeoxycholate</w:t>
            </w:r>
          </w:p>
        </w:tc>
        <w:tc>
          <w:tcPr>
            <w:tcW w:w="1465" w:type="dxa"/>
            <w:vMerge w:val="restart"/>
            <w:vAlign w:val="center"/>
          </w:tcPr>
          <w:p w14:paraId="51CCDD40"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alkaloid</w:t>
            </w:r>
          </w:p>
          <w:p w14:paraId="3B50C015"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steroid/bile acid</w:t>
            </w:r>
          </w:p>
          <w:p w14:paraId="23E5CBAF"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steroid/bile acid</w:t>
            </w:r>
          </w:p>
        </w:tc>
        <w:tc>
          <w:tcPr>
            <w:tcW w:w="1137" w:type="dxa"/>
            <w:vMerge w:val="restart"/>
            <w:vAlign w:val="center"/>
          </w:tcPr>
          <w:p w14:paraId="41C3BB30" w14:textId="77777777" w:rsidR="004D1935" w:rsidRPr="0064730E" w:rsidRDefault="004D1935" w:rsidP="00E24DC9">
            <w:pPr>
              <w:jc w:val="center"/>
              <w:rPr>
                <w:color w:val="000000" w:themeColor="text1"/>
                <w:sz w:val="15"/>
                <w:szCs w:val="15"/>
              </w:rPr>
            </w:pPr>
            <w:r w:rsidRPr="0064730E">
              <w:rPr>
                <w:rFonts w:ascii="Arial" w:hAnsi="Arial" w:cs="Arial"/>
                <w:color w:val="000000" w:themeColor="text1"/>
                <w:sz w:val="15"/>
                <w:szCs w:val="15"/>
                <w:shd w:val="clear" w:color="auto" w:fill="FFFFFF"/>
              </w:rPr>
              <w:t>C</w:t>
            </w:r>
            <w:r w:rsidRPr="0064730E">
              <w:rPr>
                <w:rFonts w:ascii="Arial" w:hAnsi="Arial" w:cs="Arial"/>
                <w:color w:val="000000" w:themeColor="text1"/>
                <w:sz w:val="15"/>
                <w:szCs w:val="15"/>
                <w:shd w:val="clear" w:color="auto" w:fill="FFFFFF"/>
                <w:vertAlign w:val="subscript"/>
              </w:rPr>
              <w:t>22</w:t>
            </w:r>
            <w:r w:rsidRPr="0064730E">
              <w:rPr>
                <w:rFonts w:ascii="Arial" w:hAnsi="Arial" w:cs="Arial"/>
                <w:color w:val="000000" w:themeColor="text1"/>
                <w:sz w:val="15"/>
                <w:szCs w:val="15"/>
                <w:shd w:val="clear" w:color="auto" w:fill="FFFFFF"/>
              </w:rPr>
              <w:t>H</w:t>
            </w:r>
            <w:r w:rsidRPr="0064730E">
              <w:rPr>
                <w:rFonts w:ascii="Arial" w:hAnsi="Arial" w:cs="Arial"/>
                <w:color w:val="000000" w:themeColor="text1"/>
                <w:sz w:val="15"/>
                <w:szCs w:val="15"/>
                <w:shd w:val="clear" w:color="auto" w:fill="FFFFFF"/>
                <w:vertAlign w:val="subscript"/>
              </w:rPr>
              <w:t>18</w:t>
            </w:r>
            <w:r w:rsidRPr="0064730E">
              <w:rPr>
                <w:rFonts w:ascii="Arial" w:hAnsi="Arial" w:cs="Arial"/>
                <w:color w:val="000000" w:themeColor="text1"/>
                <w:sz w:val="15"/>
                <w:szCs w:val="15"/>
                <w:shd w:val="clear" w:color="auto" w:fill="FFFFFF"/>
              </w:rPr>
              <w:t>NO</w:t>
            </w:r>
            <w:r w:rsidRPr="0064730E">
              <w:rPr>
                <w:rFonts w:ascii="Arial" w:hAnsi="Arial" w:cs="Arial"/>
                <w:color w:val="000000" w:themeColor="text1"/>
                <w:sz w:val="15"/>
                <w:szCs w:val="15"/>
                <w:shd w:val="clear" w:color="auto" w:fill="FFFFFF"/>
                <w:vertAlign w:val="subscript"/>
              </w:rPr>
              <w:t>6</w:t>
            </w:r>
          </w:p>
          <w:p w14:paraId="0CF0E646" w14:textId="77777777" w:rsidR="004D1935" w:rsidRPr="0064730E" w:rsidRDefault="004D1935" w:rsidP="00E24DC9">
            <w:pPr>
              <w:jc w:val="center"/>
              <w:rPr>
                <w:rFonts w:ascii="Calibri" w:hAnsi="Calibri" w:cs="Calibri"/>
                <w:color w:val="000000" w:themeColor="text1"/>
                <w:sz w:val="13"/>
                <w:szCs w:val="13"/>
              </w:rPr>
            </w:pPr>
          </w:p>
          <w:p w14:paraId="10BEC9FF" w14:textId="77777777" w:rsidR="004D1935" w:rsidRPr="0064730E" w:rsidRDefault="004D1935" w:rsidP="00E24DC9">
            <w:pPr>
              <w:jc w:val="center"/>
              <w:rPr>
                <w:color w:val="000000" w:themeColor="text1"/>
                <w:sz w:val="15"/>
                <w:szCs w:val="15"/>
              </w:rPr>
            </w:pPr>
            <w:r w:rsidRPr="0064730E">
              <w:rPr>
                <w:rFonts w:ascii="Arial" w:hAnsi="Arial" w:cs="Arial"/>
                <w:color w:val="000000" w:themeColor="text1"/>
                <w:sz w:val="15"/>
                <w:szCs w:val="15"/>
                <w:shd w:val="clear" w:color="auto" w:fill="FFFFFF"/>
              </w:rPr>
              <w:t>C</w:t>
            </w:r>
            <w:r w:rsidRPr="0064730E">
              <w:rPr>
                <w:rFonts w:ascii="Arial" w:hAnsi="Arial" w:cs="Arial"/>
                <w:color w:val="000000" w:themeColor="text1"/>
                <w:sz w:val="15"/>
                <w:szCs w:val="15"/>
                <w:shd w:val="clear" w:color="auto" w:fill="FFFFFF"/>
                <w:vertAlign w:val="subscript"/>
              </w:rPr>
              <w:t>24</w:t>
            </w:r>
            <w:r w:rsidRPr="0064730E">
              <w:rPr>
                <w:rFonts w:ascii="Arial" w:hAnsi="Arial" w:cs="Arial"/>
                <w:color w:val="000000" w:themeColor="text1"/>
                <w:sz w:val="15"/>
                <w:szCs w:val="15"/>
                <w:shd w:val="clear" w:color="auto" w:fill="FFFFFF"/>
              </w:rPr>
              <w:t>H</w:t>
            </w:r>
            <w:r w:rsidRPr="0064730E">
              <w:rPr>
                <w:rFonts w:ascii="Arial" w:hAnsi="Arial" w:cs="Arial"/>
                <w:color w:val="000000" w:themeColor="text1"/>
                <w:sz w:val="15"/>
                <w:szCs w:val="15"/>
                <w:shd w:val="clear" w:color="auto" w:fill="FFFFFF"/>
                <w:vertAlign w:val="subscript"/>
              </w:rPr>
              <w:t>39</w:t>
            </w:r>
            <w:r w:rsidRPr="0064730E">
              <w:rPr>
                <w:rFonts w:ascii="Arial" w:hAnsi="Arial" w:cs="Arial"/>
                <w:color w:val="000000" w:themeColor="text1"/>
                <w:sz w:val="15"/>
                <w:szCs w:val="15"/>
                <w:shd w:val="clear" w:color="auto" w:fill="FFFFFF"/>
              </w:rPr>
              <w:t>O</w:t>
            </w:r>
            <w:r w:rsidRPr="0064730E">
              <w:rPr>
                <w:rFonts w:ascii="Arial" w:hAnsi="Arial" w:cs="Arial"/>
                <w:color w:val="000000" w:themeColor="text1"/>
                <w:sz w:val="15"/>
                <w:szCs w:val="15"/>
                <w:shd w:val="clear" w:color="auto" w:fill="FFFFFF"/>
                <w:vertAlign w:val="subscript"/>
              </w:rPr>
              <w:t>4</w:t>
            </w:r>
          </w:p>
          <w:p w14:paraId="025808D1" w14:textId="77777777" w:rsidR="004D1935" w:rsidRPr="0064730E" w:rsidRDefault="004D1935" w:rsidP="00E24DC9">
            <w:pPr>
              <w:jc w:val="center"/>
              <w:rPr>
                <w:color w:val="000000" w:themeColor="text1"/>
                <w:sz w:val="15"/>
                <w:szCs w:val="15"/>
              </w:rPr>
            </w:pPr>
            <w:r w:rsidRPr="0064730E">
              <w:rPr>
                <w:rFonts w:ascii="Arial" w:hAnsi="Arial" w:cs="Arial"/>
                <w:color w:val="000000" w:themeColor="text1"/>
                <w:sz w:val="15"/>
                <w:szCs w:val="15"/>
                <w:shd w:val="clear" w:color="auto" w:fill="FFFFFF"/>
              </w:rPr>
              <w:t>C</w:t>
            </w:r>
            <w:r w:rsidRPr="0064730E">
              <w:rPr>
                <w:rFonts w:ascii="Arial" w:hAnsi="Arial" w:cs="Arial"/>
                <w:color w:val="000000" w:themeColor="text1"/>
                <w:sz w:val="15"/>
                <w:szCs w:val="15"/>
                <w:shd w:val="clear" w:color="auto" w:fill="FFFFFF"/>
                <w:vertAlign w:val="subscript"/>
              </w:rPr>
              <w:t>24</w:t>
            </w:r>
            <w:r w:rsidRPr="0064730E">
              <w:rPr>
                <w:rFonts w:ascii="Arial" w:hAnsi="Arial" w:cs="Arial"/>
                <w:color w:val="000000" w:themeColor="text1"/>
                <w:sz w:val="15"/>
                <w:szCs w:val="15"/>
                <w:shd w:val="clear" w:color="auto" w:fill="FFFFFF"/>
              </w:rPr>
              <w:t>H</w:t>
            </w:r>
            <w:r w:rsidRPr="0064730E">
              <w:rPr>
                <w:rFonts w:ascii="Arial" w:hAnsi="Arial" w:cs="Arial"/>
                <w:color w:val="000000" w:themeColor="text1"/>
                <w:sz w:val="15"/>
                <w:szCs w:val="15"/>
                <w:shd w:val="clear" w:color="auto" w:fill="FFFFFF"/>
                <w:vertAlign w:val="subscript"/>
              </w:rPr>
              <w:t>39</w:t>
            </w:r>
            <w:r w:rsidRPr="0064730E">
              <w:rPr>
                <w:rFonts w:ascii="Arial" w:hAnsi="Arial" w:cs="Arial"/>
                <w:color w:val="000000" w:themeColor="text1"/>
                <w:sz w:val="15"/>
                <w:szCs w:val="15"/>
                <w:shd w:val="clear" w:color="auto" w:fill="FFFFFF"/>
              </w:rPr>
              <w:t>O</w:t>
            </w:r>
            <w:r w:rsidRPr="0064730E">
              <w:rPr>
                <w:rFonts w:ascii="Arial" w:hAnsi="Arial" w:cs="Arial"/>
                <w:color w:val="000000" w:themeColor="text1"/>
                <w:sz w:val="15"/>
                <w:szCs w:val="15"/>
                <w:shd w:val="clear" w:color="auto" w:fill="FFFFFF"/>
                <w:vertAlign w:val="subscript"/>
              </w:rPr>
              <w:t>4</w:t>
            </w:r>
          </w:p>
          <w:p w14:paraId="0656F0DA" w14:textId="77777777" w:rsidR="004D1935" w:rsidRPr="0064730E" w:rsidRDefault="004D1935" w:rsidP="00E24DC9">
            <w:pPr>
              <w:jc w:val="center"/>
              <w:rPr>
                <w:color w:val="000000" w:themeColor="text1"/>
              </w:rPr>
            </w:pPr>
          </w:p>
        </w:tc>
        <w:tc>
          <w:tcPr>
            <w:tcW w:w="7843" w:type="dxa"/>
            <w:vMerge w:val="restart"/>
            <w:vAlign w:val="center"/>
          </w:tcPr>
          <w:p w14:paraId="50629424" w14:textId="77777777" w:rsidR="004D1935" w:rsidRPr="0064730E" w:rsidRDefault="004D1935" w:rsidP="00E24DC9">
            <w:pPr>
              <w:jc w:val="center"/>
              <w:rPr>
                <w:color w:val="000000" w:themeColor="text1"/>
              </w:rPr>
            </w:pPr>
            <w:r w:rsidRPr="0064730E">
              <w:rPr>
                <w:rFonts w:ascii="Calibri" w:hAnsi="Calibri" w:cs="Calibri"/>
                <w:color w:val="000000" w:themeColor="text1"/>
                <w:sz w:val="13"/>
                <w:szCs w:val="13"/>
              </w:rPr>
              <w:t>Isoquinoline alkaloid biosynthesis /jasmonic acid pathway/Riboflavin/Flavanone/Flavonoid/Abscisic acid biosynthesis/Shikimate pathway/pyrovate/pyrimidine fatty acid biosynthesis</w:t>
            </w:r>
          </w:p>
          <w:p w14:paraId="70DA1BB5" w14:textId="77777777" w:rsidR="004D1935" w:rsidRPr="0064730E" w:rsidRDefault="004D1935" w:rsidP="00E24DC9">
            <w:pPr>
              <w:jc w:val="center"/>
              <w:rPr>
                <w:color w:val="000000" w:themeColor="text1"/>
              </w:rPr>
            </w:pPr>
            <w:r w:rsidRPr="0064730E">
              <w:rPr>
                <w:rFonts w:ascii="Calibri" w:hAnsi="Calibri" w:cs="Calibri"/>
                <w:color w:val="000000" w:themeColor="text1"/>
                <w:sz w:val="13"/>
                <w:szCs w:val="13"/>
              </w:rPr>
              <w:t>jasmonic acid pathway/Riboflavin/Flavanone/Flavonoid/Abscisic acid biosynthesis/Shikimate pathway/pyrovate/pyrimidine fatty acid biosynthesis/animonsugar nuclotides sugar metabolism</w:t>
            </w:r>
          </w:p>
          <w:p w14:paraId="7A65DC39" w14:textId="77777777" w:rsidR="004D1935" w:rsidRPr="0064730E" w:rsidRDefault="004D1935" w:rsidP="00E24DC9">
            <w:pPr>
              <w:jc w:val="center"/>
              <w:rPr>
                <w:color w:val="000000" w:themeColor="text1"/>
              </w:rPr>
            </w:pPr>
            <w:r w:rsidRPr="0064730E">
              <w:rPr>
                <w:rFonts w:ascii="Calibri" w:hAnsi="Calibri" w:cs="Calibri"/>
                <w:color w:val="000000" w:themeColor="text1"/>
                <w:sz w:val="13"/>
                <w:szCs w:val="13"/>
              </w:rPr>
              <w:t>jasmonic acid pathway/Riboflavin/Flavanone/Flavonoid/Abscisic acid biosynthesis/Shikimate pathway/pyrovate/pyrimidine fatty acid biosynthesis/animonsugar nuclotides sugar metabolism</w:t>
            </w:r>
          </w:p>
        </w:tc>
      </w:tr>
      <w:tr w:rsidR="004D1935" w14:paraId="61CEC4A2" w14:textId="77777777" w:rsidTr="00E24DC9">
        <w:tc>
          <w:tcPr>
            <w:tcW w:w="825" w:type="dxa"/>
            <w:vMerge/>
          </w:tcPr>
          <w:p w14:paraId="12528385" w14:textId="77777777" w:rsidR="004D1935" w:rsidRDefault="004D1935" w:rsidP="00E24DC9"/>
        </w:tc>
        <w:tc>
          <w:tcPr>
            <w:tcW w:w="877" w:type="dxa"/>
            <w:tcBorders>
              <w:top w:val="nil"/>
              <w:bottom w:val="nil"/>
            </w:tcBorders>
            <w:vAlign w:val="center"/>
          </w:tcPr>
          <w:p w14:paraId="028C4576" w14:textId="77777777" w:rsidR="004D1935" w:rsidRPr="0064730E" w:rsidRDefault="004D1935" w:rsidP="00E24DC9">
            <w:pPr>
              <w:jc w:val="center"/>
              <w:rPr>
                <w:sz w:val="13"/>
                <w:szCs w:val="13"/>
              </w:rPr>
            </w:pPr>
            <w:r w:rsidRPr="0064730E">
              <w:rPr>
                <w:rFonts w:ascii="Calibri" w:hAnsi="Calibri" w:cs="Calibri"/>
                <w:color w:val="000000"/>
                <w:sz w:val="13"/>
                <w:szCs w:val="13"/>
              </w:rPr>
              <w:t>392.1605</w:t>
            </w:r>
          </w:p>
        </w:tc>
        <w:tc>
          <w:tcPr>
            <w:tcW w:w="2880" w:type="dxa"/>
            <w:vMerge/>
            <w:vAlign w:val="bottom"/>
          </w:tcPr>
          <w:p w14:paraId="5A515F90" w14:textId="77777777" w:rsidR="004D1935" w:rsidRDefault="004D1935" w:rsidP="00E24DC9"/>
        </w:tc>
        <w:tc>
          <w:tcPr>
            <w:tcW w:w="1465" w:type="dxa"/>
            <w:vMerge/>
            <w:vAlign w:val="bottom"/>
          </w:tcPr>
          <w:p w14:paraId="7ECBEAC8" w14:textId="77777777" w:rsidR="004D1935" w:rsidRDefault="004D1935" w:rsidP="00E24DC9"/>
        </w:tc>
        <w:tc>
          <w:tcPr>
            <w:tcW w:w="1137" w:type="dxa"/>
            <w:vMerge/>
          </w:tcPr>
          <w:p w14:paraId="6FFAF8D5" w14:textId="77777777" w:rsidR="004D1935" w:rsidRDefault="004D1935" w:rsidP="00E24DC9"/>
        </w:tc>
        <w:tc>
          <w:tcPr>
            <w:tcW w:w="7843" w:type="dxa"/>
            <w:vMerge/>
            <w:vAlign w:val="bottom"/>
          </w:tcPr>
          <w:p w14:paraId="0A28FF17" w14:textId="77777777" w:rsidR="004D1935" w:rsidRDefault="004D1935" w:rsidP="00E24DC9"/>
        </w:tc>
      </w:tr>
      <w:tr w:rsidR="004D1935" w14:paraId="4BF28E2F" w14:textId="77777777" w:rsidTr="00E24DC9">
        <w:tc>
          <w:tcPr>
            <w:tcW w:w="825" w:type="dxa"/>
            <w:vMerge/>
          </w:tcPr>
          <w:p w14:paraId="545A6C4B" w14:textId="77777777" w:rsidR="004D1935" w:rsidRDefault="004D1935" w:rsidP="00E24DC9"/>
        </w:tc>
        <w:tc>
          <w:tcPr>
            <w:tcW w:w="877" w:type="dxa"/>
            <w:tcBorders>
              <w:top w:val="nil"/>
              <w:bottom w:val="nil"/>
            </w:tcBorders>
            <w:vAlign w:val="center"/>
          </w:tcPr>
          <w:p w14:paraId="2BF9533D"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392.2183</w:t>
            </w:r>
          </w:p>
        </w:tc>
        <w:tc>
          <w:tcPr>
            <w:tcW w:w="2880" w:type="dxa"/>
            <w:vMerge/>
            <w:vAlign w:val="bottom"/>
          </w:tcPr>
          <w:p w14:paraId="16FB0469" w14:textId="77777777" w:rsidR="004D1935" w:rsidRDefault="004D1935" w:rsidP="00E24DC9"/>
        </w:tc>
        <w:tc>
          <w:tcPr>
            <w:tcW w:w="1465" w:type="dxa"/>
            <w:vMerge/>
            <w:vAlign w:val="bottom"/>
          </w:tcPr>
          <w:p w14:paraId="36E4DAEE" w14:textId="77777777" w:rsidR="004D1935" w:rsidRDefault="004D1935" w:rsidP="00E24DC9"/>
        </w:tc>
        <w:tc>
          <w:tcPr>
            <w:tcW w:w="1137" w:type="dxa"/>
            <w:vMerge/>
          </w:tcPr>
          <w:p w14:paraId="04AFAB70" w14:textId="77777777" w:rsidR="004D1935" w:rsidRDefault="004D1935" w:rsidP="00E24DC9"/>
        </w:tc>
        <w:tc>
          <w:tcPr>
            <w:tcW w:w="7843" w:type="dxa"/>
            <w:vMerge/>
            <w:vAlign w:val="bottom"/>
          </w:tcPr>
          <w:p w14:paraId="6250AC65" w14:textId="77777777" w:rsidR="004D1935" w:rsidRDefault="004D1935" w:rsidP="00E24DC9"/>
        </w:tc>
      </w:tr>
      <w:tr w:rsidR="004D1935" w14:paraId="30B83F7D" w14:textId="77777777" w:rsidTr="00E24DC9">
        <w:tc>
          <w:tcPr>
            <w:tcW w:w="825" w:type="dxa"/>
            <w:vMerge/>
          </w:tcPr>
          <w:p w14:paraId="334585B4" w14:textId="77777777" w:rsidR="004D1935" w:rsidRDefault="004D1935" w:rsidP="00E24DC9"/>
        </w:tc>
        <w:tc>
          <w:tcPr>
            <w:tcW w:w="877" w:type="dxa"/>
            <w:tcBorders>
              <w:top w:val="nil"/>
              <w:bottom w:val="nil"/>
            </w:tcBorders>
            <w:vAlign w:val="center"/>
          </w:tcPr>
          <w:p w14:paraId="0D27220F"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392.2617</w:t>
            </w:r>
          </w:p>
        </w:tc>
        <w:tc>
          <w:tcPr>
            <w:tcW w:w="2880" w:type="dxa"/>
            <w:vMerge/>
            <w:vAlign w:val="center"/>
          </w:tcPr>
          <w:p w14:paraId="315260DB" w14:textId="77777777" w:rsidR="004D1935" w:rsidRDefault="004D1935" w:rsidP="00E24DC9"/>
        </w:tc>
        <w:tc>
          <w:tcPr>
            <w:tcW w:w="1465" w:type="dxa"/>
            <w:vMerge/>
            <w:vAlign w:val="center"/>
          </w:tcPr>
          <w:p w14:paraId="405A8F5E" w14:textId="77777777" w:rsidR="004D1935" w:rsidRDefault="004D1935" w:rsidP="00E24DC9"/>
        </w:tc>
        <w:tc>
          <w:tcPr>
            <w:tcW w:w="1137" w:type="dxa"/>
            <w:vMerge/>
          </w:tcPr>
          <w:p w14:paraId="6D3AF2DF" w14:textId="77777777" w:rsidR="004D1935" w:rsidRDefault="004D1935" w:rsidP="00E24DC9"/>
        </w:tc>
        <w:tc>
          <w:tcPr>
            <w:tcW w:w="7843" w:type="dxa"/>
            <w:vMerge/>
          </w:tcPr>
          <w:p w14:paraId="09843A2B" w14:textId="77777777" w:rsidR="004D1935" w:rsidRDefault="004D1935" w:rsidP="00E24DC9"/>
        </w:tc>
      </w:tr>
      <w:tr w:rsidR="004D1935" w14:paraId="166910D9" w14:textId="77777777" w:rsidTr="00E24DC9">
        <w:tc>
          <w:tcPr>
            <w:tcW w:w="825" w:type="dxa"/>
            <w:vMerge/>
          </w:tcPr>
          <w:p w14:paraId="27687D45" w14:textId="77777777" w:rsidR="004D1935" w:rsidRDefault="004D1935" w:rsidP="00E24DC9"/>
        </w:tc>
        <w:tc>
          <w:tcPr>
            <w:tcW w:w="877" w:type="dxa"/>
            <w:tcBorders>
              <w:top w:val="nil"/>
              <w:bottom w:val="nil"/>
            </w:tcBorders>
            <w:vAlign w:val="center"/>
          </w:tcPr>
          <w:p w14:paraId="6E9A9841"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392.1201</w:t>
            </w:r>
          </w:p>
        </w:tc>
        <w:tc>
          <w:tcPr>
            <w:tcW w:w="2880" w:type="dxa"/>
            <w:vMerge/>
            <w:vAlign w:val="center"/>
          </w:tcPr>
          <w:p w14:paraId="3BCFEDCD" w14:textId="77777777" w:rsidR="004D1935" w:rsidRDefault="004D1935" w:rsidP="00E24DC9"/>
        </w:tc>
        <w:tc>
          <w:tcPr>
            <w:tcW w:w="1465" w:type="dxa"/>
            <w:vMerge/>
            <w:vAlign w:val="center"/>
          </w:tcPr>
          <w:p w14:paraId="32E29270" w14:textId="77777777" w:rsidR="004D1935" w:rsidRDefault="004D1935" w:rsidP="00E24DC9"/>
        </w:tc>
        <w:tc>
          <w:tcPr>
            <w:tcW w:w="1137" w:type="dxa"/>
            <w:vMerge/>
          </w:tcPr>
          <w:p w14:paraId="391898AC" w14:textId="77777777" w:rsidR="004D1935" w:rsidRDefault="004D1935" w:rsidP="00E24DC9"/>
        </w:tc>
        <w:tc>
          <w:tcPr>
            <w:tcW w:w="7843" w:type="dxa"/>
            <w:vMerge/>
          </w:tcPr>
          <w:p w14:paraId="7FA5CAFC" w14:textId="77777777" w:rsidR="004D1935" w:rsidRDefault="004D1935" w:rsidP="00E24DC9"/>
        </w:tc>
      </w:tr>
      <w:tr w:rsidR="004D1935" w14:paraId="7521109B" w14:textId="77777777" w:rsidTr="00E24DC9">
        <w:tc>
          <w:tcPr>
            <w:tcW w:w="825" w:type="dxa"/>
            <w:vMerge/>
          </w:tcPr>
          <w:p w14:paraId="57B80C81" w14:textId="77777777" w:rsidR="004D1935" w:rsidRDefault="004D1935" w:rsidP="00E24DC9"/>
        </w:tc>
        <w:tc>
          <w:tcPr>
            <w:tcW w:w="877" w:type="dxa"/>
            <w:tcBorders>
              <w:top w:val="nil"/>
              <w:bottom w:val="nil"/>
            </w:tcBorders>
            <w:vAlign w:val="center"/>
          </w:tcPr>
          <w:p w14:paraId="4AC48921"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392.1634</w:t>
            </w:r>
          </w:p>
        </w:tc>
        <w:tc>
          <w:tcPr>
            <w:tcW w:w="2880" w:type="dxa"/>
            <w:vMerge/>
            <w:vAlign w:val="center"/>
          </w:tcPr>
          <w:p w14:paraId="70CD8FC7" w14:textId="77777777" w:rsidR="004D1935" w:rsidRDefault="004D1935" w:rsidP="00E24DC9"/>
        </w:tc>
        <w:tc>
          <w:tcPr>
            <w:tcW w:w="1465" w:type="dxa"/>
            <w:vMerge/>
            <w:vAlign w:val="center"/>
          </w:tcPr>
          <w:p w14:paraId="1911A880" w14:textId="77777777" w:rsidR="004D1935" w:rsidRDefault="004D1935" w:rsidP="00E24DC9"/>
        </w:tc>
        <w:tc>
          <w:tcPr>
            <w:tcW w:w="1137" w:type="dxa"/>
            <w:vMerge/>
          </w:tcPr>
          <w:p w14:paraId="5579FCDB" w14:textId="77777777" w:rsidR="004D1935" w:rsidRDefault="004D1935" w:rsidP="00E24DC9"/>
        </w:tc>
        <w:tc>
          <w:tcPr>
            <w:tcW w:w="7843" w:type="dxa"/>
            <w:vMerge/>
          </w:tcPr>
          <w:p w14:paraId="43E64CE7" w14:textId="77777777" w:rsidR="004D1935" w:rsidRDefault="004D1935" w:rsidP="00E24DC9"/>
        </w:tc>
      </w:tr>
      <w:tr w:rsidR="004D1935" w14:paraId="4D2D628D" w14:textId="77777777" w:rsidTr="00E24DC9">
        <w:tc>
          <w:tcPr>
            <w:tcW w:w="825" w:type="dxa"/>
            <w:vMerge/>
          </w:tcPr>
          <w:p w14:paraId="10871095" w14:textId="77777777" w:rsidR="004D1935" w:rsidRDefault="004D1935" w:rsidP="00E24DC9"/>
        </w:tc>
        <w:tc>
          <w:tcPr>
            <w:tcW w:w="877" w:type="dxa"/>
            <w:tcBorders>
              <w:top w:val="nil"/>
              <w:bottom w:val="nil"/>
            </w:tcBorders>
            <w:vAlign w:val="center"/>
          </w:tcPr>
          <w:p w14:paraId="2893EACA"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392.2154</w:t>
            </w:r>
          </w:p>
        </w:tc>
        <w:tc>
          <w:tcPr>
            <w:tcW w:w="2880" w:type="dxa"/>
            <w:vMerge/>
            <w:vAlign w:val="center"/>
          </w:tcPr>
          <w:p w14:paraId="4DA305DF" w14:textId="77777777" w:rsidR="004D1935" w:rsidRDefault="004D1935" w:rsidP="00E24DC9"/>
        </w:tc>
        <w:tc>
          <w:tcPr>
            <w:tcW w:w="1465" w:type="dxa"/>
            <w:vMerge/>
            <w:vAlign w:val="center"/>
          </w:tcPr>
          <w:p w14:paraId="02252896" w14:textId="77777777" w:rsidR="004D1935" w:rsidRDefault="004D1935" w:rsidP="00E24DC9"/>
        </w:tc>
        <w:tc>
          <w:tcPr>
            <w:tcW w:w="1137" w:type="dxa"/>
            <w:vMerge/>
          </w:tcPr>
          <w:p w14:paraId="6692BD89" w14:textId="77777777" w:rsidR="004D1935" w:rsidRDefault="004D1935" w:rsidP="00E24DC9"/>
        </w:tc>
        <w:tc>
          <w:tcPr>
            <w:tcW w:w="7843" w:type="dxa"/>
            <w:vMerge/>
          </w:tcPr>
          <w:p w14:paraId="267E0FB5" w14:textId="77777777" w:rsidR="004D1935" w:rsidRDefault="004D1935" w:rsidP="00E24DC9"/>
        </w:tc>
      </w:tr>
      <w:tr w:rsidR="004D1935" w14:paraId="0CF87A2F" w14:textId="77777777" w:rsidTr="00E24DC9">
        <w:tc>
          <w:tcPr>
            <w:tcW w:w="825" w:type="dxa"/>
            <w:vMerge/>
          </w:tcPr>
          <w:p w14:paraId="612AA638" w14:textId="77777777" w:rsidR="004D1935" w:rsidRDefault="004D1935" w:rsidP="00E24DC9"/>
        </w:tc>
        <w:tc>
          <w:tcPr>
            <w:tcW w:w="877" w:type="dxa"/>
            <w:tcBorders>
              <w:top w:val="nil"/>
              <w:bottom w:val="nil"/>
            </w:tcBorders>
            <w:vAlign w:val="center"/>
          </w:tcPr>
          <w:p w14:paraId="3C379ADF"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392.2645</w:t>
            </w:r>
          </w:p>
        </w:tc>
        <w:tc>
          <w:tcPr>
            <w:tcW w:w="2880" w:type="dxa"/>
            <w:vMerge/>
            <w:vAlign w:val="center"/>
          </w:tcPr>
          <w:p w14:paraId="3C3D1F66" w14:textId="77777777" w:rsidR="004D1935" w:rsidRDefault="004D1935" w:rsidP="00E24DC9"/>
        </w:tc>
        <w:tc>
          <w:tcPr>
            <w:tcW w:w="1465" w:type="dxa"/>
            <w:vMerge/>
            <w:vAlign w:val="center"/>
          </w:tcPr>
          <w:p w14:paraId="0FEA6359" w14:textId="77777777" w:rsidR="004D1935" w:rsidRDefault="004D1935" w:rsidP="00E24DC9"/>
        </w:tc>
        <w:tc>
          <w:tcPr>
            <w:tcW w:w="1137" w:type="dxa"/>
            <w:vMerge/>
          </w:tcPr>
          <w:p w14:paraId="2DF21843" w14:textId="77777777" w:rsidR="004D1935" w:rsidRDefault="004D1935" w:rsidP="00E24DC9"/>
        </w:tc>
        <w:tc>
          <w:tcPr>
            <w:tcW w:w="7843" w:type="dxa"/>
            <w:vMerge/>
          </w:tcPr>
          <w:p w14:paraId="3B998E65" w14:textId="77777777" w:rsidR="004D1935" w:rsidRDefault="004D1935" w:rsidP="00E24DC9"/>
        </w:tc>
      </w:tr>
      <w:tr w:rsidR="004D1935" w14:paraId="60A5A28D" w14:textId="77777777" w:rsidTr="00E24DC9">
        <w:tc>
          <w:tcPr>
            <w:tcW w:w="825" w:type="dxa"/>
            <w:vMerge/>
          </w:tcPr>
          <w:p w14:paraId="3374071C" w14:textId="77777777" w:rsidR="004D1935" w:rsidRDefault="004D1935" w:rsidP="00E24DC9"/>
        </w:tc>
        <w:tc>
          <w:tcPr>
            <w:tcW w:w="877" w:type="dxa"/>
            <w:tcBorders>
              <w:top w:val="nil"/>
              <w:bottom w:val="nil"/>
            </w:tcBorders>
            <w:vAlign w:val="center"/>
          </w:tcPr>
          <w:p w14:paraId="05419332"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392.1157</w:t>
            </w:r>
          </w:p>
        </w:tc>
        <w:tc>
          <w:tcPr>
            <w:tcW w:w="2880" w:type="dxa"/>
            <w:vMerge/>
            <w:vAlign w:val="center"/>
          </w:tcPr>
          <w:p w14:paraId="3FB8865C" w14:textId="77777777" w:rsidR="004D1935" w:rsidRDefault="004D1935" w:rsidP="00E24DC9"/>
        </w:tc>
        <w:tc>
          <w:tcPr>
            <w:tcW w:w="1465" w:type="dxa"/>
            <w:vMerge/>
            <w:vAlign w:val="center"/>
          </w:tcPr>
          <w:p w14:paraId="25073CCF" w14:textId="77777777" w:rsidR="004D1935" w:rsidRDefault="004D1935" w:rsidP="00E24DC9"/>
        </w:tc>
        <w:tc>
          <w:tcPr>
            <w:tcW w:w="1137" w:type="dxa"/>
            <w:vMerge/>
          </w:tcPr>
          <w:p w14:paraId="21B48C52" w14:textId="77777777" w:rsidR="004D1935" w:rsidRDefault="004D1935" w:rsidP="00E24DC9"/>
        </w:tc>
        <w:tc>
          <w:tcPr>
            <w:tcW w:w="7843" w:type="dxa"/>
            <w:vMerge/>
          </w:tcPr>
          <w:p w14:paraId="2677E555" w14:textId="77777777" w:rsidR="004D1935" w:rsidRDefault="004D1935" w:rsidP="00E24DC9"/>
        </w:tc>
      </w:tr>
      <w:tr w:rsidR="004D1935" w14:paraId="55D20D61" w14:textId="77777777" w:rsidTr="00E24DC9">
        <w:tc>
          <w:tcPr>
            <w:tcW w:w="825" w:type="dxa"/>
            <w:vMerge/>
          </w:tcPr>
          <w:p w14:paraId="4D59EFA9" w14:textId="77777777" w:rsidR="004D1935" w:rsidRDefault="004D1935" w:rsidP="00E24DC9"/>
        </w:tc>
        <w:tc>
          <w:tcPr>
            <w:tcW w:w="877" w:type="dxa"/>
            <w:tcBorders>
              <w:top w:val="nil"/>
              <w:bottom w:val="nil"/>
            </w:tcBorders>
            <w:vAlign w:val="center"/>
          </w:tcPr>
          <w:p w14:paraId="0E4C0A94"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392.2125</w:t>
            </w:r>
          </w:p>
        </w:tc>
        <w:tc>
          <w:tcPr>
            <w:tcW w:w="2880" w:type="dxa"/>
            <w:vMerge/>
            <w:vAlign w:val="center"/>
          </w:tcPr>
          <w:p w14:paraId="163E7DA0" w14:textId="77777777" w:rsidR="004D1935" w:rsidRDefault="004D1935" w:rsidP="00E24DC9"/>
        </w:tc>
        <w:tc>
          <w:tcPr>
            <w:tcW w:w="1465" w:type="dxa"/>
            <w:vMerge/>
            <w:vAlign w:val="center"/>
          </w:tcPr>
          <w:p w14:paraId="76661CE4" w14:textId="77777777" w:rsidR="004D1935" w:rsidRDefault="004D1935" w:rsidP="00E24DC9"/>
        </w:tc>
        <w:tc>
          <w:tcPr>
            <w:tcW w:w="1137" w:type="dxa"/>
            <w:vMerge/>
          </w:tcPr>
          <w:p w14:paraId="466F58C1" w14:textId="77777777" w:rsidR="004D1935" w:rsidRDefault="004D1935" w:rsidP="00E24DC9"/>
        </w:tc>
        <w:tc>
          <w:tcPr>
            <w:tcW w:w="7843" w:type="dxa"/>
            <w:vMerge/>
          </w:tcPr>
          <w:p w14:paraId="38ACBCC1" w14:textId="77777777" w:rsidR="004D1935" w:rsidRDefault="004D1935" w:rsidP="00E24DC9"/>
        </w:tc>
      </w:tr>
      <w:tr w:rsidR="004D1935" w14:paraId="62F9BE1C" w14:textId="77777777" w:rsidTr="00E24DC9">
        <w:tc>
          <w:tcPr>
            <w:tcW w:w="825" w:type="dxa"/>
            <w:vMerge/>
          </w:tcPr>
          <w:p w14:paraId="76583733" w14:textId="77777777" w:rsidR="004D1935" w:rsidRDefault="004D1935" w:rsidP="00E24DC9"/>
        </w:tc>
        <w:tc>
          <w:tcPr>
            <w:tcW w:w="877" w:type="dxa"/>
            <w:tcBorders>
              <w:top w:val="nil"/>
              <w:bottom w:val="nil"/>
            </w:tcBorders>
            <w:vAlign w:val="center"/>
          </w:tcPr>
          <w:p w14:paraId="314A8E1F"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392.2588</w:t>
            </w:r>
          </w:p>
        </w:tc>
        <w:tc>
          <w:tcPr>
            <w:tcW w:w="2880" w:type="dxa"/>
            <w:vMerge/>
            <w:vAlign w:val="center"/>
          </w:tcPr>
          <w:p w14:paraId="143B1900" w14:textId="77777777" w:rsidR="004D1935" w:rsidRDefault="004D1935" w:rsidP="00E24DC9"/>
        </w:tc>
        <w:tc>
          <w:tcPr>
            <w:tcW w:w="1465" w:type="dxa"/>
            <w:vMerge/>
            <w:vAlign w:val="center"/>
          </w:tcPr>
          <w:p w14:paraId="3A3AD165" w14:textId="77777777" w:rsidR="004D1935" w:rsidRDefault="004D1935" w:rsidP="00E24DC9"/>
        </w:tc>
        <w:tc>
          <w:tcPr>
            <w:tcW w:w="1137" w:type="dxa"/>
            <w:vMerge/>
          </w:tcPr>
          <w:p w14:paraId="7D7FD299" w14:textId="77777777" w:rsidR="004D1935" w:rsidRDefault="004D1935" w:rsidP="00E24DC9"/>
        </w:tc>
        <w:tc>
          <w:tcPr>
            <w:tcW w:w="7843" w:type="dxa"/>
            <w:vMerge/>
          </w:tcPr>
          <w:p w14:paraId="2BBF3FA7" w14:textId="77777777" w:rsidR="004D1935" w:rsidRDefault="004D1935" w:rsidP="00E24DC9"/>
        </w:tc>
      </w:tr>
      <w:tr w:rsidR="004D1935" w14:paraId="025F726D" w14:textId="77777777" w:rsidTr="00E24DC9">
        <w:tc>
          <w:tcPr>
            <w:tcW w:w="825" w:type="dxa"/>
            <w:vMerge/>
          </w:tcPr>
          <w:p w14:paraId="21FF2D36" w14:textId="77777777" w:rsidR="004D1935" w:rsidRDefault="004D1935" w:rsidP="00E24DC9"/>
        </w:tc>
        <w:tc>
          <w:tcPr>
            <w:tcW w:w="877" w:type="dxa"/>
            <w:tcBorders>
              <w:top w:val="nil"/>
              <w:bottom w:val="nil"/>
            </w:tcBorders>
            <w:vAlign w:val="center"/>
          </w:tcPr>
          <w:p w14:paraId="55763FD1"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392.1114</w:t>
            </w:r>
          </w:p>
        </w:tc>
        <w:tc>
          <w:tcPr>
            <w:tcW w:w="2880" w:type="dxa"/>
            <w:vMerge/>
            <w:vAlign w:val="center"/>
          </w:tcPr>
          <w:p w14:paraId="347B0E8B" w14:textId="77777777" w:rsidR="004D1935" w:rsidRDefault="004D1935" w:rsidP="00E24DC9"/>
        </w:tc>
        <w:tc>
          <w:tcPr>
            <w:tcW w:w="1465" w:type="dxa"/>
            <w:vMerge/>
            <w:vAlign w:val="center"/>
          </w:tcPr>
          <w:p w14:paraId="6FE9A743" w14:textId="77777777" w:rsidR="004D1935" w:rsidRDefault="004D1935" w:rsidP="00E24DC9"/>
        </w:tc>
        <w:tc>
          <w:tcPr>
            <w:tcW w:w="1137" w:type="dxa"/>
            <w:vMerge/>
          </w:tcPr>
          <w:p w14:paraId="71C29B17" w14:textId="77777777" w:rsidR="004D1935" w:rsidRDefault="004D1935" w:rsidP="00E24DC9"/>
        </w:tc>
        <w:tc>
          <w:tcPr>
            <w:tcW w:w="7843" w:type="dxa"/>
            <w:vMerge/>
          </w:tcPr>
          <w:p w14:paraId="51C4B4F8" w14:textId="77777777" w:rsidR="004D1935" w:rsidRDefault="004D1935" w:rsidP="00E24DC9"/>
        </w:tc>
      </w:tr>
      <w:tr w:rsidR="004D1935" w14:paraId="3ACE2C66" w14:textId="77777777" w:rsidTr="00E24DC9">
        <w:tc>
          <w:tcPr>
            <w:tcW w:w="825" w:type="dxa"/>
            <w:vMerge/>
          </w:tcPr>
          <w:p w14:paraId="22B57B64" w14:textId="77777777" w:rsidR="004D1935" w:rsidRDefault="004D1935" w:rsidP="00E24DC9"/>
        </w:tc>
        <w:tc>
          <w:tcPr>
            <w:tcW w:w="877" w:type="dxa"/>
            <w:tcBorders>
              <w:top w:val="nil"/>
              <w:bottom w:val="nil"/>
            </w:tcBorders>
            <w:vAlign w:val="center"/>
          </w:tcPr>
          <w:p w14:paraId="274B8339"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392.1547</w:t>
            </w:r>
          </w:p>
        </w:tc>
        <w:tc>
          <w:tcPr>
            <w:tcW w:w="2880" w:type="dxa"/>
            <w:vMerge/>
            <w:vAlign w:val="center"/>
          </w:tcPr>
          <w:p w14:paraId="16F5EEA9" w14:textId="77777777" w:rsidR="004D1935" w:rsidRDefault="004D1935" w:rsidP="00E24DC9"/>
        </w:tc>
        <w:tc>
          <w:tcPr>
            <w:tcW w:w="1465" w:type="dxa"/>
            <w:vMerge/>
            <w:vAlign w:val="center"/>
          </w:tcPr>
          <w:p w14:paraId="73D191C6" w14:textId="77777777" w:rsidR="004D1935" w:rsidRDefault="004D1935" w:rsidP="00E24DC9"/>
        </w:tc>
        <w:tc>
          <w:tcPr>
            <w:tcW w:w="1137" w:type="dxa"/>
            <w:vMerge/>
          </w:tcPr>
          <w:p w14:paraId="49D2449A" w14:textId="77777777" w:rsidR="004D1935" w:rsidRDefault="004D1935" w:rsidP="00E24DC9"/>
        </w:tc>
        <w:tc>
          <w:tcPr>
            <w:tcW w:w="7843" w:type="dxa"/>
            <w:vMerge/>
          </w:tcPr>
          <w:p w14:paraId="229EA289" w14:textId="77777777" w:rsidR="004D1935" w:rsidRDefault="004D1935" w:rsidP="00E24DC9"/>
        </w:tc>
      </w:tr>
      <w:tr w:rsidR="004D1935" w14:paraId="15D215F7" w14:textId="77777777" w:rsidTr="00E24DC9">
        <w:tc>
          <w:tcPr>
            <w:tcW w:w="825" w:type="dxa"/>
            <w:vMerge/>
          </w:tcPr>
          <w:p w14:paraId="128A1B9A" w14:textId="77777777" w:rsidR="004D1935" w:rsidRDefault="004D1935" w:rsidP="00E24DC9"/>
        </w:tc>
        <w:tc>
          <w:tcPr>
            <w:tcW w:w="877" w:type="dxa"/>
            <w:tcBorders>
              <w:top w:val="nil"/>
              <w:bottom w:val="nil"/>
            </w:tcBorders>
            <w:vAlign w:val="center"/>
          </w:tcPr>
          <w:p w14:paraId="57518E8D"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392.1981</w:t>
            </w:r>
          </w:p>
        </w:tc>
        <w:tc>
          <w:tcPr>
            <w:tcW w:w="2880" w:type="dxa"/>
            <w:vMerge/>
            <w:vAlign w:val="center"/>
          </w:tcPr>
          <w:p w14:paraId="6ED6AC7C" w14:textId="77777777" w:rsidR="004D1935" w:rsidRDefault="004D1935" w:rsidP="00E24DC9"/>
        </w:tc>
        <w:tc>
          <w:tcPr>
            <w:tcW w:w="1465" w:type="dxa"/>
            <w:vMerge/>
            <w:vAlign w:val="center"/>
          </w:tcPr>
          <w:p w14:paraId="3CA3F527" w14:textId="77777777" w:rsidR="004D1935" w:rsidRDefault="004D1935" w:rsidP="00E24DC9"/>
        </w:tc>
        <w:tc>
          <w:tcPr>
            <w:tcW w:w="1137" w:type="dxa"/>
            <w:vMerge/>
          </w:tcPr>
          <w:p w14:paraId="7900A66A" w14:textId="77777777" w:rsidR="004D1935" w:rsidRDefault="004D1935" w:rsidP="00E24DC9"/>
        </w:tc>
        <w:tc>
          <w:tcPr>
            <w:tcW w:w="7843" w:type="dxa"/>
            <w:vMerge/>
          </w:tcPr>
          <w:p w14:paraId="28FD3B20" w14:textId="77777777" w:rsidR="004D1935" w:rsidRDefault="004D1935" w:rsidP="00E24DC9"/>
        </w:tc>
      </w:tr>
      <w:tr w:rsidR="004D1935" w14:paraId="203BD660" w14:textId="77777777" w:rsidTr="00E24DC9">
        <w:tc>
          <w:tcPr>
            <w:tcW w:w="825" w:type="dxa"/>
            <w:vMerge/>
          </w:tcPr>
          <w:p w14:paraId="37A16851" w14:textId="77777777" w:rsidR="004D1935" w:rsidRDefault="004D1935" w:rsidP="00E24DC9"/>
        </w:tc>
        <w:tc>
          <w:tcPr>
            <w:tcW w:w="877" w:type="dxa"/>
            <w:tcBorders>
              <w:top w:val="nil"/>
              <w:bottom w:val="nil"/>
            </w:tcBorders>
            <w:vAlign w:val="center"/>
          </w:tcPr>
          <w:p w14:paraId="462BBF1F"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392.2415</w:t>
            </w:r>
          </w:p>
        </w:tc>
        <w:tc>
          <w:tcPr>
            <w:tcW w:w="2880" w:type="dxa"/>
            <w:vMerge/>
            <w:vAlign w:val="center"/>
          </w:tcPr>
          <w:p w14:paraId="174FDDFC" w14:textId="77777777" w:rsidR="004D1935" w:rsidRDefault="004D1935" w:rsidP="00E24DC9"/>
        </w:tc>
        <w:tc>
          <w:tcPr>
            <w:tcW w:w="1465" w:type="dxa"/>
            <w:vMerge/>
            <w:vAlign w:val="center"/>
          </w:tcPr>
          <w:p w14:paraId="6E03B83A" w14:textId="77777777" w:rsidR="004D1935" w:rsidRDefault="004D1935" w:rsidP="00E24DC9"/>
        </w:tc>
        <w:tc>
          <w:tcPr>
            <w:tcW w:w="1137" w:type="dxa"/>
            <w:vMerge/>
          </w:tcPr>
          <w:p w14:paraId="1FBF854E" w14:textId="77777777" w:rsidR="004D1935" w:rsidRDefault="004D1935" w:rsidP="00E24DC9"/>
        </w:tc>
        <w:tc>
          <w:tcPr>
            <w:tcW w:w="7843" w:type="dxa"/>
            <w:vMerge/>
          </w:tcPr>
          <w:p w14:paraId="1169BB1C" w14:textId="77777777" w:rsidR="004D1935" w:rsidRDefault="004D1935" w:rsidP="00E24DC9"/>
        </w:tc>
      </w:tr>
      <w:tr w:rsidR="004D1935" w14:paraId="1CE06242" w14:textId="77777777" w:rsidTr="00E24DC9">
        <w:tc>
          <w:tcPr>
            <w:tcW w:w="825" w:type="dxa"/>
            <w:vMerge/>
          </w:tcPr>
          <w:p w14:paraId="329BD301" w14:textId="77777777" w:rsidR="004D1935" w:rsidRDefault="004D1935" w:rsidP="00E24DC9"/>
        </w:tc>
        <w:tc>
          <w:tcPr>
            <w:tcW w:w="877" w:type="dxa"/>
            <w:tcBorders>
              <w:top w:val="nil"/>
              <w:bottom w:val="nil"/>
            </w:tcBorders>
            <w:vAlign w:val="center"/>
          </w:tcPr>
          <w:p w14:paraId="1EFA94B3"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392.2848</w:t>
            </w:r>
          </w:p>
        </w:tc>
        <w:tc>
          <w:tcPr>
            <w:tcW w:w="2880" w:type="dxa"/>
            <w:vMerge/>
            <w:vAlign w:val="center"/>
          </w:tcPr>
          <w:p w14:paraId="0E274782" w14:textId="77777777" w:rsidR="004D1935" w:rsidRDefault="004D1935" w:rsidP="00E24DC9"/>
        </w:tc>
        <w:tc>
          <w:tcPr>
            <w:tcW w:w="1465" w:type="dxa"/>
            <w:vMerge/>
            <w:vAlign w:val="center"/>
          </w:tcPr>
          <w:p w14:paraId="13EF0DB6" w14:textId="77777777" w:rsidR="004D1935" w:rsidRDefault="004D1935" w:rsidP="00E24DC9"/>
        </w:tc>
        <w:tc>
          <w:tcPr>
            <w:tcW w:w="1137" w:type="dxa"/>
            <w:vMerge/>
          </w:tcPr>
          <w:p w14:paraId="54EDBD88" w14:textId="77777777" w:rsidR="004D1935" w:rsidRDefault="004D1935" w:rsidP="00E24DC9"/>
        </w:tc>
        <w:tc>
          <w:tcPr>
            <w:tcW w:w="7843" w:type="dxa"/>
            <w:vMerge/>
          </w:tcPr>
          <w:p w14:paraId="3F8CF002" w14:textId="77777777" w:rsidR="004D1935" w:rsidRDefault="004D1935" w:rsidP="00E24DC9"/>
        </w:tc>
      </w:tr>
      <w:tr w:rsidR="004D1935" w14:paraId="321B664E" w14:textId="77777777" w:rsidTr="00E24DC9">
        <w:tc>
          <w:tcPr>
            <w:tcW w:w="825" w:type="dxa"/>
            <w:vMerge/>
          </w:tcPr>
          <w:p w14:paraId="6726362C" w14:textId="77777777" w:rsidR="004D1935" w:rsidRDefault="004D1935" w:rsidP="00E24DC9"/>
        </w:tc>
        <w:tc>
          <w:tcPr>
            <w:tcW w:w="877" w:type="dxa"/>
            <w:tcBorders>
              <w:top w:val="nil"/>
              <w:bottom w:val="nil"/>
            </w:tcBorders>
            <w:vAlign w:val="center"/>
          </w:tcPr>
          <w:p w14:paraId="3FF918AA"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392.1085</w:t>
            </w:r>
          </w:p>
        </w:tc>
        <w:tc>
          <w:tcPr>
            <w:tcW w:w="2880" w:type="dxa"/>
            <w:vMerge/>
            <w:vAlign w:val="center"/>
          </w:tcPr>
          <w:p w14:paraId="52341410" w14:textId="77777777" w:rsidR="004D1935" w:rsidRDefault="004D1935" w:rsidP="00E24DC9"/>
        </w:tc>
        <w:tc>
          <w:tcPr>
            <w:tcW w:w="1465" w:type="dxa"/>
            <w:vMerge/>
            <w:vAlign w:val="center"/>
          </w:tcPr>
          <w:p w14:paraId="32F28FA4" w14:textId="77777777" w:rsidR="004D1935" w:rsidRDefault="004D1935" w:rsidP="00E24DC9"/>
        </w:tc>
        <w:tc>
          <w:tcPr>
            <w:tcW w:w="1137" w:type="dxa"/>
            <w:vMerge/>
          </w:tcPr>
          <w:p w14:paraId="1E7D5AA6" w14:textId="77777777" w:rsidR="004D1935" w:rsidRDefault="004D1935" w:rsidP="00E24DC9"/>
        </w:tc>
        <w:tc>
          <w:tcPr>
            <w:tcW w:w="7843" w:type="dxa"/>
            <w:vMerge/>
          </w:tcPr>
          <w:p w14:paraId="4A0B6480" w14:textId="77777777" w:rsidR="004D1935" w:rsidRDefault="004D1935" w:rsidP="00E24DC9"/>
        </w:tc>
      </w:tr>
      <w:tr w:rsidR="004D1935" w14:paraId="01527052" w14:textId="77777777" w:rsidTr="00E24DC9">
        <w:tc>
          <w:tcPr>
            <w:tcW w:w="825" w:type="dxa"/>
            <w:vMerge/>
          </w:tcPr>
          <w:p w14:paraId="60309613" w14:textId="77777777" w:rsidR="004D1935" w:rsidRDefault="004D1935" w:rsidP="00E24DC9"/>
        </w:tc>
        <w:tc>
          <w:tcPr>
            <w:tcW w:w="877" w:type="dxa"/>
            <w:tcBorders>
              <w:top w:val="nil"/>
              <w:bottom w:val="nil"/>
            </w:tcBorders>
            <w:vAlign w:val="center"/>
          </w:tcPr>
          <w:p w14:paraId="42FA4BA4"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392.1518</w:t>
            </w:r>
          </w:p>
        </w:tc>
        <w:tc>
          <w:tcPr>
            <w:tcW w:w="2880" w:type="dxa"/>
            <w:vMerge/>
            <w:vAlign w:val="center"/>
          </w:tcPr>
          <w:p w14:paraId="1734AC45" w14:textId="77777777" w:rsidR="004D1935" w:rsidRDefault="004D1935" w:rsidP="00E24DC9"/>
        </w:tc>
        <w:tc>
          <w:tcPr>
            <w:tcW w:w="1465" w:type="dxa"/>
            <w:vMerge/>
            <w:vAlign w:val="center"/>
          </w:tcPr>
          <w:p w14:paraId="5AC196CD" w14:textId="77777777" w:rsidR="004D1935" w:rsidRDefault="004D1935" w:rsidP="00E24DC9"/>
        </w:tc>
        <w:tc>
          <w:tcPr>
            <w:tcW w:w="1137" w:type="dxa"/>
            <w:vMerge/>
          </w:tcPr>
          <w:p w14:paraId="4FC3181B" w14:textId="77777777" w:rsidR="004D1935" w:rsidRDefault="004D1935" w:rsidP="00E24DC9"/>
        </w:tc>
        <w:tc>
          <w:tcPr>
            <w:tcW w:w="7843" w:type="dxa"/>
            <w:vMerge/>
          </w:tcPr>
          <w:p w14:paraId="0A80914A" w14:textId="77777777" w:rsidR="004D1935" w:rsidRDefault="004D1935" w:rsidP="00E24DC9"/>
        </w:tc>
      </w:tr>
      <w:tr w:rsidR="004D1935" w14:paraId="38E894A3" w14:textId="77777777" w:rsidTr="00E24DC9">
        <w:tc>
          <w:tcPr>
            <w:tcW w:w="825" w:type="dxa"/>
            <w:vMerge/>
          </w:tcPr>
          <w:p w14:paraId="52ABA240" w14:textId="77777777" w:rsidR="004D1935" w:rsidRDefault="004D1935" w:rsidP="00E24DC9"/>
        </w:tc>
        <w:tc>
          <w:tcPr>
            <w:tcW w:w="877" w:type="dxa"/>
            <w:tcBorders>
              <w:top w:val="nil"/>
              <w:bottom w:val="nil"/>
            </w:tcBorders>
            <w:vAlign w:val="center"/>
          </w:tcPr>
          <w:p w14:paraId="1D7C4E64"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392.1056</w:t>
            </w:r>
          </w:p>
        </w:tc>
        <w:tc>
          <w:tcPr>
            <w:tcW w:w="2880" w:type="dxa"/>
            <w:vMerge/>
            <w:vAlign w:val="center"/>
          </w:tcPr>
          <w:p w14:paraId="44D808CD" w14:textId="77777777" w:rsidR="004D1935" w:rsidRDefault="004D1935" w:rsidP="00E24DC9"/>
        </w:tc>
        <w:tc>
          <w:tcPr>
            <w:tcW w:w="1465" w:type="dxa"/>
            <w:vMerge/>
            <w:vAlign w:val="center"/>
          </w:tcPr>
          <w:p w14:paraId="2ED67C56" w14:textId="77777777" w:rsidR="004D1935" w:rsidRDefault="004D1935" w:rsidP="00E24DC9"/>
        </w:tc>
        <w:tc>
          <w:tcPr>
            <w:tcW w:w="1137" w:type="dxa"/>
            <w:vMerge/>
          </w:tcPr>
          <w:p w14:paraId="756CBD3D" w14:textId="77777777" w:rsidR="004D1935" w:rsidRDefault="004D1935" w:rsidP="00E24DC9"/>
        </w:tc>
        <w:tc>
          <w:tcPr>
            <w:tcW w:w="7843" w:type="dxa"/>
            <w:vMerge/>
          </w:tcPr>
          <w:p w14:paraId="67A4D0BB" w14:textId="77777777" w:rsidR="004D1935" w:rsidRDefault="004D1935" w:rsidP="00E24DC9"/>
        </w:tc>
      </w:tr>
      <w:tr w:rsidR="004D1935" w14:paraId="1A9FC8D1" w14:textId="77777777" w:rsidTr="00E24DC9">
        <w:tc>
          <w:tcPr>
            <w:tcW w:w="825" w:type="dxa"/>
            <w:vMerge/>
          </w:tcPr>
          <w:p w14:paraId="4D9B10F9" w14:textId="77777777" w:rsidR="004D1935" w:rsidRDefault="004D1935" w:rsidP="00E24DC9"/>
        </w:tc>
        <w:tc>
          <w:tcPr>
            <w:tcW w:w="877" w:type="dxa"/>
            <w:tcBorders>
              <w:top w:val="nil"/>
              <w:bottom w:val="nil"/>
            </w:tcBorders>
            <w:vAlign w:val="center"/>
          </w:tcPr>
          <w:p w14:paraId="50E6FF8A"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392.1489</w:t>
            </w:r>
          </w:p>
        </w:tc>
        <w:tc>
          <w:tcPr>
            <w:tcW w:w="2880" w:type="dxa"/>
            <w:vMerge/>
            <w:vAlign w:val="center"/>
          </w:tcPr>
          <w:p w14:paraId="48E63E3A" w14:textId="77777777" w:rsidR="004D1935" w:rsidRDefault="004D1935" w:rsidP="00E24DC9"/>
        </w:tc>
        <w:tc>
          <w:tcPr>
            <w:tcW w:w="1465" w:type="dxa"/>
            <w:vMerge/>
            <w:vAlign w:val="center"/>
          </w:tcPr>
          <w:p w14:paraId="43EE22E4" w14:textId="77777777" w:rsidR="004D1935" w:rsidRDefault="004D1935" w:rsidP="00E24DC9"/>
        </w:tc>
        <w:tc>
          <w:tcPr>
            <w:tcW w:w="1137" w:type="dxa"/>
            <w:vMerge/>
          </w:tcPr>
          <w:p w14:paraId="21BD6D48" w14:textId="77777777" w:rsidR="004D1935" w:rsidRDefault="004D1935" w:rsidP="00E24DC9"/>
        </w:tc>
        <w:tc>
          <w:tcPr>
            <w:tcW w:w="7843" w:type="dxa"/>
            <w:vMerge/>
          </w:tcPr>
          <w:p w14:paraId="7B161E92" w14:textId="77777777" w:rsidR="004D1935" w:rsidRDefault="004D1935" w:rsidP="00E24DC9"/>
        </w:tc>
      </w:tr>
      <w:tr w:rsidR="004D1935" w14:paraId="1A12859E" w14:textId="77777777" w:rsidTr="00E24DC9">
        <w:tc>
          <w:tcPr>
            <w:tcW w:w="825" w:type="dxa"/>
            <w:vMerge/>
          </w:tcPr>
          <w:p w14:paraId="7EE7C47A" w14:textId="77777777" w:rsidR="004D1935" w:rsidRDefault="004D1935" w:rsidP="00E24DC9"/>
        </w:tc>
        <w:tc>
          <w:tcPr>
            <w:tcW w:w="877" w:type="dxa"/>
            <w:tcBorders>
              <w:top w:val="nil"/>
              <w:bottom w:val="nil"/>
            </w:tcBorders>
            <w:vAlign w:val="center"/>
          </w:tcPr>
          <w:p w14:paraId="1C697243"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392.1923</w:t>
            </w:r>
          </w:p>
        </w:tc>
        <w:tc>
          <w:tcPr>
            <w:tcW w:w="2880" w:type="dxa"/>
            <w:vMerge/>
            <w:vAlign w:val="center"/>
          </w:tcPr>
          <w:p w14:paraId="14512439" w14:textId="77777777" w:rsidR="004D1935" w:rsidRDefault="004D1935" w:rsidP="00E24DC9"/>
        </w:tc>
        <w:tc>
          <w:tcPr>
            <w:tcW w:w="1465" w:type="dxa"/>
            <w:vMerge/>
            <w:vAlign w:val="center"/>
          </w:tcPr>
          <w:p w14:paraId="07E754CF" w14:textId="77777777" w:rsidR="004D1935" w:rsidRDefault="004D1935" w:rsidP="00E24DC9"/>
        </w:tc>
        <w:tc>
          <w:tcPr>
            <w:tcW w:w="1137" w:type="dxa"/>
            <w:vMerge/>
          </w:tcPr>
          <w:p w14:paraId="50AD4238" w14:textId="77777777" w:rsidR="004D1935" w:rsidRDefault="004D1935" w:rsidP="00E24DC9"/>
        </w:tc>
        <w:tc>
          <w:tcPr>
            <w:tcW w:w="7843" w:type="dxa"/>
            <w:vMerge/>
          </w:tcPr>
          <w:p w14:paraId="21D240F4" w14:textId="77777777" w:rsidR="004D1935" w:rsidRDefault="004D1935" w:rsidP="00E24DC9"/>
        </w:tc>
      </w:tr>
      <w:tr w:rsidR="004D1935" w14:paraId="6E73C854" w14:textId="77777777" w:rsidTr="00E24DC9">
        <w:tc>
          <w:tcPr>
            <w:tcW w:w="825" w:type="dxa"/>
            <w:vMerge/>
          </w:tcPr>
          <w:p w14:paraId="539CC1FC" w14:textId="77777777" w:rsidR="004D1935" w:rsidRDefault="004D1935" w:rsidP="00E24DC9"/>
        </w:tc>
        <w:tc>
          <w:tcPr>
            <w:tcW w:w="877" w:type="dxa"/>
            <w:tcBorders>
              <w:top w:val="nil"/>
              <w:bottom w:val="nil"/>
            </w:tcBorders>
            <w:vAlign w:val="center"/>
          </w:tcPr>
          <w:p w14:paraId="3FCAB43E"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392.2357</w:t>
            </w:r>
          </w:p>
        </w:tc>
        <w:tc>
          <w:tcPr>
            <w:tcW w:w="2880" w:type="dxa"/>
            <w:vMerge/>
            <w:vAlign w:val="center"/>
          </w:tcPr>
          <w:p w14:paraId="5E71843D" w14:textId="77777777" w:rsidR="004D1935" w:rsidRDefault="004D1935" w:rsidP="00E24DC9"/>
        </w:tc>
        <w:tc>
          <w:tcPr>
            <w:tcW w:w="1465" w:type="dxa"/>
            <w:vMerge/>
            <w:vAlign w:val="center"/>
          </w:tcPr>
          <w:p w14:paraId="43EB1092" w14:textId="77777777" w:rsidR="004D1935" w:rsidRDefault="004D1935" w:rsidP="00E24DC9"/>
        </w:tc>
        <w:tc>
          <w:tcPr>
            <w:tcW w:w="1137" w:type="dxa"/>
            <w:vMerge/>
          </w:tcPr>
          <w:p w14:paraId="2BE786E9" w14:textId="77777777" w:rsidR="004D1935" w:rsidRDefault="004D1935" w:rsidP="00E24DC9"/>
        </w:tc>
        <w:tc>
          <w:tcPr>
            <w:tcW w:w="7843" w:type="dxa"/>
            <w:vMerge/>
          </w:tcPr>
          <w:p w14:paraId="6C2F5243" w14:textId="77777777" w:rsidR="004D1935" w:rsidRDefault="004D1935" w:rsidP="00E24DC9"/>
        </w:tc>
      </w:tr>
      <w:tr w:rsidR="004D1935" w14:paraId="3496617D" w14:textId="77777777" w:rsidTr="00E24DC9">
        <w:tc>
          <w:tcPr>
            <w:tcW w:w="825" w:type="dxa"/>
            <w:vMerge/>
          </w:tcPr>
          <w:p w14:paraId="6AD91F3F" w14:textId="77777777" w:rsidR="004D1935" w:rsidRDefault="004D1935" w:rsidP="00E24DC9"/>
        </w:tc>
        <w:tc>
          <w:tcPr>
            <w:tcW w:w="877" w:type="dxa"/>
            <w:tcBorders>
              <w:top w:val="nil"/>
              <w:bottom w:val="nil"/>
            </w:tcBorders>
            <w:vAlign w:val="center"/>
          </w:tcPr>
          <w:p w14:paraId="2690A0E9"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392.2790</w:t>
            </w:r>
          </w:p>
        </w:tc>
        <w:tc>
          <w:tcPr>
            <w:tcW w:w="2880" w:type="dxa"/>
            <w:vMerge/>
            <w:vAlign w:val="center"/>
          </w:tcPr>
          <w:p w14:paraId="1579C936" w14:textId="77777777" w:rsidR="004D1935" w:rsidRDefault="004D1935" w:rsidP="00E24DC9"/>
        </w:tc>
        <w:tc>
          <w:tcPr>
            <w:tcW w:w="1465" w:type="dxa"/>
            <w:vMerge/>
            <w:vAlign w:val="center"/>
          </w:tcPr>
          <w:p w14:paraId="7C28E9CA" w14:textId="77777777" w:rsidR="004D1935" w:rsidRDefault="004D1935" w:rsidP="00E24DC9"/>
        </w:tc>
        <w:tc>
          <w:tcPr>
            <w:tcW w:w="1137" w:type="dxa"/>
            <w:vMerge/>
          </w:tcPr>
          <w:p w14:paraId="489DEE08" w14:textId="77777777" w:rsidR="004D1935" w:rsidRDefault="004D1935" w:rsidP="00E24DC9"/>
        </w:tc>
        <w:tc>
          <w:tcPr>
            <w:tcW w:w="7843" w:type="dxa"/>
            <w:vMerge/>
          </w:tcPr>
          <w:p w14:paraId="6DC1884A" w14:textId="77777777" w:rsidR="004D1935" w:rsidRDefault="004D1935" w:rsidP="00E24DC9"/>
        </w:tc>
      </w:tr>
      <w:tr w:rsidR="004D1935" w14:paraId="5B509395" w14:textId="77777777" w:rsidTr="00E24DC9">
        <w:tc>
          <w:tcPr>
            <w:tcW w:w="825" w:type="dxa"/>
            <w:vMerge/>
          </w:tcPr>
          <w:p w14:paraId="0826D3C0" w14:textId="77777777" w:rsidR="004D1935" w:rsidRDefault="004D1935" w:rsidP="00E24DC9"/>
        </w:tc>
        <w:tc>
          <w:tcPr>
            <w:tcW w:w="877" w:type="dxa"/>
            <w:tcBorders>
              <w:top w:val="nil"/>
              <w:bottom w:val="nil"/>
            </w:tcBorders>
            <w:vAlign w:val="center"/>
          </w:tcPr>
          <w:p w14:paraId="54963056"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392.1143</w:t>
            </w:r>
          </w:p>
        </w:tc>
        <w:tc>
          <w:tcPr>
            <w:tcW w:w="2880" w:type="dxa"/>
            <w:vMerge/>
            <w:vAlign w:val="center"/>
          </w:tcPr>
          <w:p w14:paraId="20C926F0" w14:textId="77777777" w:rsidR="004D1935" w:rsidRDefault="004D1935" w:rsidP="00E24DC9"/>
        </w:tc>
        <w:tc>
          <w:tcPr>
            <w:tcW w:w="1465" w:type="dxa"/>
            <w:vMerge/>
            <w:vAlign w:val="center"/>
          </w:tcPr>
          <w:p w14:paraId="5FE79AE7" w14:textId="77777777" w:rsidR="004D1935" w:rsidRDefault="004D1935" w:rsidP="00E24DC9"/>
        </w:tc>
        <w:tc>
          <w:tcPr>
            <w:tcW w:w="1137" w:type="dxa"/>
            <w:vMerge/>
          </w:tcPr>
          <w:p w14:paraId="532E8854" w14:textId="77777777" w:rsidR="004D1935" w:rsidRDefault="004D1935" w:rsidP="00E24DC9"/>
        </w:tc>
        <w:tc>
          <w:tcPr>
            <w:tcW w:w="7843" w:type="dxa"/>
            <w:vMerge/>
          </w:tcPr>
          <w:p w14:paraId="3B30D462" w14:textId="77777777" w:rsidR="004D1935" w:rsidRDefault="004D1935" w:rsidP="00E24DC9"/>
        </w:tc>
      </w:tr>
      <w:tr w:rsidR="004D1935" w14:paraId="7DFD7442" w14:textId="77777777" w:rsidTr="00E24DC9">
        <w:tc>
          <w:tcPr>
            <w:tcW w:w="825" w:type="dxa"/>
            <w:vMerge/>
          </w:tcPr>
          <w:p w14:paraId="3D3AAF1E" w14:textId="77777777" w:rsidR="004D1935" w:rsidRDefault="004D1935" w:rsidP="00E24DC9"/>
        </w:tc>
        <w:tc>
          <w:tcPr>
            <w:tcW w:w="877" w:type="dxa"/>
            <w:tcBorders>
              <w:top w:val="nil"/>
              <w:bottom w:val="nil"/>
            </w:tcBorders>
            <w:vAlign w:val="center"/>
          </w:tcPr>
          <w:p w14:paraId="0F5CF2A2"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392.2068</w:t>
            </w:r>
          </w:p>
        </w:tc>
        <w:tc>
          <w:tcPr>
            <w:tcW w:w="2880" w:type="dxa"/>
            <w:vMerge/>
            <w:vAlign w:val="center"/>
          </w:tcPr>
          <w:p w14:paraId="7BD4F76E" w14:textId="77777777" w:rsidR="004D1935" w:rsidRDefault="004D1935" w:rsidP="00E24DC9"/>
        </w:tc>
        <w:tc>
          <w:tcPr>
            <w:tcW w:w="1465" w:type="dxa"/>
            <w:vMerge/>
            <w:vAlign w:val="center"/>
          </w:tcPr>
          <w:p w14:paraId="34253B36" w14:textId="77777777" w:rsidR="004D1935" w:rsidRDefault="004D1935" w:rsidP="00E24DC9"/>
        </w:tc>
        <w:tc>
          <w:tcPr>
            <w:tcW w:w="1137" w:type="dxa"/>
            <w:vMerge/>
          </w:tcPr>
          <w:p w14:paraId="135D5106" w14:textId="77777777" w:rsidR="004D1935" w:rsidRDefault="004D1935" w:rsidP="00E24DC9"/>
        </w:tc>
        <w:tc>
          <w:tcPr>
            <w:tcW w:w="7843" w:type="dxa"/>
            <w:vMerge/>
          </w:tcPr>
          <w:p w14:paraId="7DFA14D0" w14:textId="77777777" w:rsidR="004D1935" w:rsidRDefault="004D1935" w:rsidP="00E24DC9"/>
        </w:tc>
      </w:tr>
      <w:tr w:rsidR="004D1935" w14:paraId="104C8682" w14:textId="77777777" w:rsidTr="00E24DC9">
        <w:tc>
          <w:tcPr>
            <w:tcW w:w="825" w:type="dxa"/>
            <w:vMerge/>
          </w:tcPr>
          <w:p w14:paraId="7F61FC30" w14:textId="77777777" w:rsidR="004D1935" w:rsidRDefault="004D1935" w:rsidP="00E24DC9"/>
        </w:tc>
        <w:tc>
          <w:tcPr>
            <w:tcW w:w="877" w:type="dxa"/>
            <w:tcBorders>
              <w:top w:val="nil"/>
              <w:bottom w:val="nil"/>
            </w:tcBorders>
            <w:vAlign w:val="center"/>
          </w:tcPr>
          <w:p w14:paraId="6D14B326"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392.2501</w:t>
            </w:r>
          </w:p>
        </w:tc>
        <w:tc>
          <w:tcPr>
            <w:tcW w:w="2880" w:type="dxa"/>
            <w:vMerge/>
            <w:vAlign w:val="center"/>
          </w:tcPr>
          <w:p w14:paraId="4E29A06E" w14:textId="77777777" w:rsidR="004D1935" w:rsidRDefault="004D1935" w:rsidP="00E24DC9"/>
        </w:tc>
        <w:tc>
          <w:tcPr>
            <w:tcW w:w="1465" w:type="dxa"/>
            <w:vMerge/>
            <w:vAlign w:val="center"/>
          </w:tcPr>
          <w:p w14:paraId="2DFC7DE5" w14:textId="77777777" w:rsidR="004D1935" w:rsidRDefault="004D1935" w:rsidP="00E24DC9"/>
        </w:tc>
        <w:tc>
          <w:tcPr>
            <w:tcW w:w="1137" w:type="dxa"/>
            <w:vMerge/>
          </w:tcPr>
          <w:p w14:paraId="4A767D2D" w14:textId="77777777" w:rsidR="004D1935" w:rsidRDefault="004D1935" w:rsidP="00E24DC9"/>
        </w:tc>
        <w:tc>
          <w:tcPr>
            <w:tcW w:w="7843" w:type="dxa"/>
            <w:vMerge/>
          </w:tcPr>
          <w:p w14:paraId="3EAD1006" w14:textId="77777777" w:rsidR="004D1935" w:rsidRDefault="004D1935" w:rsidP="00E24DC9"/>
        </w:tc>
      </w:tr>
      <w:tr w:rsidR="004D1935" w14:paraId="4974E7A1" w14:textId="77777777" w:rsidTr="00E24DC9">
        <w:tc>
          <w:tcPr>
            <w:tcW w:w="825" w:type="dxa"/>
            <w:vMerge/>
          </w:tcPr>
          <w:p w14:paraId="62D0D1E9" w14:textId="77777777" w:rsidR="004D1935" w:rsidRDefault="004D1935" w:rsidP="00E24DC9"/>
        </w:tc>
        <w:tc>
          <w:tcPr>
            <w:tcW w:w="877" w:type="dxa"/>
            <w:tcBorders>
              <w:top w:val="nil"/>
              <w:bottom w:val="nil"/>
            </w:tcBorders>
            <w:vAlign w:val="center"/>
          </w:tcPr>
          <w:p w14:paraId="0011C9B1"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392.1576</w:t>
            </w:r>
          </w:p>
        </w:tc>
        <w:tc>
          <w:tcPr>
            <w:tcW w:w="2880" w:type="dxa"/>
            <w:vMerge/>
            <w:vAlign w:val="center"/>
          </w:tcPr>
          <w:p w14:paraId="457329F2" w14:textId="77777777" w:rsidR="004D1935" w:rsidRDefault="004D1935" w:rsidP="00E24DC9"/>
        </w:tc>
        <w:tc>
          <w:tcPr>
            <w:tcW w:w="1465" w:type="dxa"/>
            <w:vMerge/>
            <w:vAlign w:val="center"/>
          </w:tcPr>
          <w:p w14:paraId="6E1D0DEB" w14:textId="77777777" w:rsidR="004D1935" w:rsidRDefault="004D1935" w:rsidP="00E24DC9"/>
        </w:tc>
        <w:tc>
          <w:tcPr>
            <w:tcW w:w="1137" w:type="dxa"/>
            <w:vMerge/>
          </w:tcPr>
          <w:p w14:paraId="6BABD226" w14:textId="77777777" w:rsidR="004D1935" w:rsidRDefault="004D1935" w:rsidP="00E24DC9"/>
        </w:tc>
        <w:tc>
          <w:tcPr>
            <w:tcW w:w="7843" w:type="dxa"/>
            <w:vMerge/>
          </w:tcPr>
          <w:p w14:paraId="39A9FDA8" w14:textId="77777777" w:rsidR="004D1935" w:rsidRDefault="004D1935" w:rsidP="00E24DC9"/>
        </w:tc>
      </w:tr>
      <w:tr w:rsidR="004D1935" w14:paraId="5C515E28" w14:textId="77777777" w:rsidTr="00E24DC9">
        <w:tc>
          <w:tcPr>
            <w:tcW w:w="825" w:type="dxa"/>
            <w:vMerge/>
          </w:tcPr>
          <w:p w14:paraId="24E6DDE9" w14:textId="77777777" w:rsidR="004D1935" w:rsidRDefault="004D1935" w:rsidP="00E24DC9"/>
        </w:tc>
        <w:tc>
          <w:tcPr>
            <w:tcW w:w="877" w:type="dxa"/>
            <w:tcBorders>
              <w:top w:val="nil"/>
              <w:bottom w:val="nil"/>
            </w:tcBorders>
            <w:vAlign w:val="center"/>
          </w:tcPr>
          <w:p w14:paraId="47DC05FE"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392.2010</w:t>
            </w:r>
          </w:p>
        </w:tc>
        <w:tc>
          <w:tcPr>
            <w:tcW w:w="2880" w:type="dxa"/>
            <w:vMerge/>
            <w:vAlign w:val="center"/>
          </w:tcPr>
          <w:p w14:paraId="5EDEACA6" w14:textId="77777777" w:rsidR="004D1935" w:rsidRDefault="004D1935" w:rsidP="00E24DC9"/>
        </w:tc>
        <w:tc>
          <w:tcPr>
            <w:tcW w:w="1465" w:type="dxa"/>
            <w:vMerge/>
            <w:vAlign w:val="center"/>
          </w:tcPr>
          <w:p w14:paraId="1F92522B" w14:textId="77777777" w:rsidR="004D1935" w:rsidRDefault="004D1935" w:rsidP="00E24DC9"/>
        </w:tc>
        <w:tc>
          <w:tcPr>
            <w:tcW w:w="1137" w:type="dxa"/>
            <w:vMerge/>
          </w:tcPr>
          <w:p w14:paraId="4B670ABF" w14:textId="77777777" w:rsidR="004D1935" w:rsidRDefault="004D1935" w:rsidP="00E24DC9"/>
        </w:tc>
        <w:tc>
          <w:tcPr>
            <w:tcW w:w="7843" w:type="dxa"/>
            <w:vMerge/>
          </w:tcPr>
          <w:p w14:paraId="4B141408" w14:textId="77777777" w:rsidR="004D1935" w:rsidRDefault="004D1935" w:rsidP="00E24DC9"/>
        </w:tc>
      </w:tr>
      <w:tr w:rsidR="004D1935" w14:paraId="688F6167" w14:textId="77777777" w:rsidTr="00E24DC9">
        <w:tc>
          <w:tcPr>
            <w:tcW w:w="825" w:type="dxa"/>
            <w:vMerge/>
          </w:tcPr>
          <w:p w14:paraId="389609E9" w14:textId="77777777" w:rsidR="004D1935" w:rsidRDefault="004D1935" w:rsidP="00E24DC9"/>
        </w:tc>
        <w:tc>
          <w:tcPr>
            <w:tcW w:w="877" w:type="dxa"/>
            <w:tcBorders>
              <w:top w:val="nil"/>
              <w:bottom w:val="nil"/>
            </w:tcBorders>
            <w:vAlign w:val="center"/>
          </w:tcPr>
          <w:p w14:paraId="6F070044"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392.2443</w:t>
            </w:r>
          </w:p>
        </w:tc>
        <w:tc>
          <w:tcPr>
            <w:tcW w:w="2880" w:type="dxa"/>
            <w:vMerge/>
            <w:vAlign w:val="center"/>
          </w:tcPr>
          <w:p w14:paraId="7AA21B9F" w14:textId="77777777" w:rsidR="004D1935" w:rsidRDefault="004D1935" w:rsidP="00E24DC9"/>
        </w:tc>
        <w:tc>
          <w:tcPr>
            <w:tcW w:w="1465" w:type="dxa"/>
            <w:vMerge/>
            <w:vAlign w:val="center"/>
          </w:tcPr>
          <w:p w14:paraId="380AAAC2" w14:textId="77777777" w:rsidR="004D1935" w:rsidRDefault="004D1935" w:rsidP="00E24DC9"/>
        </w:tc>
        <w:tc>
          <w:tcPr>
            <w:tcW w:w="1137" w:type="dxa"/>
            <w:vMerge/>
          </w:tcPr>
          <w:p w14:paraId="0C45A208" w14:textId="77777777" w:rsidR="004D1935" w:rsidRDefault="004D1935" w:rsidP="00E24DC9"/>
        </w:tc>
        <w:tc>
          <w:tcPr>
            <w:tcW w:w="7843" w:type="dxa"/>
            <w:vMerge/>
          </w:tcPr>
          <w:p w14:paraId="6665C04E" w14:textId="77777777" w:rsidR="004D1935" w:rsidRDefault="004D1935" w:rsidP="00E24DC9"/>
        </w:tc>
      </w:tr>
      <w:tr w:rsidR="004D1935" w14:paraId="5CA92CAA" w14:textId="77777777" w:rsidTr="00E24DC9">
        <w:tc>
          <w:tcPr>
            <w:tcW w:w="825" w:type="dxa"/>
            <w:vMerge/>
          </w:tcPr>
          <w:p w14:paraId="5F9889ED" w14:textId="77777777" w:rsidR="004D1935" w:rsidRDefault="004D1935" w:rsidP="00E24DC9"/>
        </w:tc>
        <w:tc>
          <w:tcPr>
            <w:tcW w:w="877" w:type="dxa"/>
            <w:tcBorders>
              <w:top w:val="nil"/>
              <w:bottom w:val="nil"/>
            </w:tcBorders>
            <w:vAlign w:val="center"/>
          </w:tcPr>
          <w:p w14:paraId="79F03D4F"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392.1186</w:t>
            </w:r>
          </w:p>
        </w:tc>
        <w:tc>
          <w:tcPr>
            <w:tcW w:w="2880" w:type="dxa"/>
            <w:vMerge/>
            <w:vAlign w:val="center"/>
          </w:tcPr>
          <w:p w14:paraId="106CF557" w14:textId="77777777" w:rsidR="004D1935" w:rsidRDefault="004D1935" w:rsidP="00E24DC9"/>
        </w:tc>
        <w:tc>
          <w:tcPr>
            <w:tcW w:w="1465" w:type="dxa"/>
            <w:vMerge/>
            <w:vAlign w:val="center"/>
          </w:tcPr>
          <w:p w14:paraId="3F0CC4FA" w14:textId="77777777" w:rsidR="004D1935" w:rsidRDefault="004D1935" w:rsidP="00E24DC9"/>
        </w:tc>
        <w:tc>
          <w:tcPr>
            <w:tcW w:w="1137" w:type="dxa"/>
            <w:vMerge/>
          </w:tcPr>
          <w:p w14:paraId="67ED7167" w14:textId="77777777" w:rsidR="004D1935" w:rsidRDefault="004D1935" w:rsidP="00E24DC9"/>
        </w:tc>
        <w:tc>
          <w:tcPr>
            <w:tcW w:w="7843" w:type="dxa"/>
            <w:vMerge/>
          </w:tcPr>
          <w:p w14:paraId="1B245A4E" w14:textId="77777777" w:rsidR="004D1935" w:rsidRDefault="004D1935" w:rsidP="00E24DC9"/>
        </w:tc>
      </w:tr>
      <w:tr w:rsidR="004D1935" w14:paraId="47372D04" w14:textId="77777777" w:rsidTr="00E24DC9">
        <w:tc>
          <w:tcPr>
            <w:tcW w:w="825" w:type="dxa"/>
            <w:vMerge/>
          </w:tcPr>
          <w:p w14:paraId="612356CA" w14:textId="77777777" w:rsidR="004D1935" w:rsidRDefault="004D1935" w:rsidP="00E24DC9"/>
        </w:tc>
        <w:tc>
          <w:tcPr>
            <w:tcW w:w="877" w:type="dxa"/>
            <w:tcBorders>
              <w:top w:val="nil"/>
              <w:bottom w:val="nil"/>
            </w:tcBorders>
            <w:vAlign w:val="center"/>
          </w:tcPr>
          <w:p w14:paraId="23C565D7"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392.1171</w:t>
            </w:r>
          </w:p>
        </w:tc>
        <w:tc>
          <w:tcPr>
            <w:tcW w:w="2880" w:type="dxa"/>
            <w:vMerge/>
            <w:vAlign w:val="center"/>
          </w:tcPr>
          <w:p w14:paraId="66E0B681" w14:textId="77777777" w:rsidR="004D1935" w:rsidRDefault="004D1935" w:rsidP="00E24DC9"/>
        </w:tc>
        <w:tc>
          <w:tcPr>
            <w:tcW w:w="1465" w:type="dxa"/>
            <w:vMerge/>
            <w:vAlign w:val="center"/>
          </w:tcPr>
          <w:p w14:paraId="55C6650E" w14:textId="77777777" w:rsidR="004D1935" w:rsidRDefault="004D1935" w:rsidP="00E24DC9"/>
        </w:tc>
        <w:tc>
          <w:tcPr>
            <w:tcW w:w="1137" w:type="dxa"/>
            <w:vMerge/>
          </w:tcPr>
          <w:p w14:paraId="371F9D08" w14:textId="77777777" w:rsidR="004D1935" w:rsidRDefault="004D1935" w:rsidP="00E24DC9"/>
        </w:tc>
        <w:tc>
          <w:tcPr>
            <w:tcW w:w="7843" w:type="dxa"/>
            <w:vMerge/>
          </w:tcPr>
          <w:p w14:paraId="52D818AB" w14:textId="77777777" w:rsidR="004D1935" w:rsidRDefault="004D1935" w:rsidP="00E24DC9"/>
        </w:tc>
      </w:tr>
      <w:tr w:rsidR="004D1935" w14:paraId="40D79BA9" w14:textId="77777777" w:rsidTr="00E24DC9">
        <w:tc>
          <w:tcPr>
            <w:tcW w:w="825" w:type="dxa"/>
            <w:vMerge/>
          </w:tcPr>
          <w:p w14:paraId="2AC6C493" w14:textId="77777777" w:rsidR="004D1935" w:rsidRDefault="004D1935" w:rsidP="00E24DC9"/>
        </w:tc>
        <w:tc>
          <w:tcPr>
            <w:tcW w:w="877" w:type="dxa"/>
            <w:tcBorders>
              <w:top w:val="nil"/>
              <w:bottom w:val="nil"/>
            </w:tcBorders>
            <w:vAlign w:val="center"/>
          </w:tcPr>
          <w:p w14:paraId="2670183E"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392.2096</w:t>
            </w:r>
          </w:p>
        </w:tc>
        <w:tc>
          <w:tcPr>
            <w:tcW w:w="2880" w:type="dxa"/>
            <w:vMerge/>
            <w:vAlign w:val="center"/>
          </w:tcPr>
          <w:p w14:paraId="355EB806" w14:textId="77777777" w:rsidR="004D1935" w:rsidRDefault="004D1935" w:rsidP="00E24DC9"/>
        </w:tc>
        <w:tc>
          <w:tcPr>
            <w:tcW w:w="1465" w:type="dxa"/>
            <w:vMerge/>
            <w:vAlign w:val="center"/>
          </w:tcPr>
          <w:p w14:paraId="0DC68C2F" w14:textId="77777777" w:rsidR="004D1935" w:rsidRDefault="004D1935" w:rsidP="00E24DC9"/>
        </w:tc>
        <w:tc>
          <w:tcPr>
            <w:tcW w:w="1137" w:type="dxa"/>
            <w:vMerge/>
          </w:tcPr>
          <w:p w14:paraId="14FC9DED" w14:textId="77777777" w:rsidR="004D1935" w:rsidRDefault="004D1935" w:rsidP="00E24DC9"/>
        </w:tc>
        <w:tc>
          <w:tcPr>
            <w:tcW w:w="7843" w:type="dxa"/>
            <w:vMerge/>
          </w:tcPr>
          <w:p w14:paraId="3A433F13" w14:textId="77777777" w:rsidR="004D1935" w:rsidRDefault="004D1935" w:rsidP="00E24DC9"/>
        </w:tc>
      </w:tr>
      <w:tr w:rsidR="004D1935" w14:paraId="29AB74EB" w14:textId="77777777" w:rsidTr="00E24DC9">
        <w:tc>
          <w:tcPr>
            <w:tcW w:w="825" w:type="dxa"/>
            <w:vMerge/>
          </w:tcPr>
          <w:p w14:paraId="2A7B817B" w14:textId="77777777" w:rsidR="004D1935" w:rsidRDefault="004D1935" w:rsidP="00E24DC9"/>
        </w:tc>
        <w:tc>
          <w:tcPr>
            <w:tcW w:w="877" w:type="dxa"/>
            <w:tcBorders>
              <w:top w:val="nil"/>
              <w:bottom w:val="nil"/>
            </w:tcBorders>
            <w:vAlign w:val="center"/>
          </w:tcPr>
          <w:p w14:paraId="5F23126A"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392.2530</w:t>
            </w:r>
          </w:p>
        </w:tc>
        <w:tc>
          <w:tcPr>
            <w:tcW w:w="2880" w:type="dxa"/>
            <w:vMerge/>
            <w:vAlign w:val="center"/>
          </w:tcPr>
          <w:p w14:paraId="5F865854" w14:textId="77777777" w:rsidR="004D1935" w:rsidRDefault="004D1935" w:rsidP="00E24DC9"/>
        </w:tc>
        <w:tc>
          <w:tcPr>
            <w:tcW w:w="1465" w:type="dxa"/>
            <w:vMerge/>
            <w:vAlign w:val="center"/>
          </w:tcPr>
          <w:p w14:paraId="3FF776F7" w14:textId="77777777" w:rsidR="004D1935" w:rsidRDefault="004D1935" w:rsidP="00E24DC9"/>
        </w:tc>
        <w:tc>
          <w:tcPr>
            <w:tcW w:w="1137" w:type="dxa"/>
            <w:vMerge/>
          </w:tcPr>
          <w:p w14:paraId="139BC384" w14:textId="77777777" w:rsidR="004D1935" w:rsidRDefault="004D1935" w:rsidP="00E24DC9"/>
        </w:tc>
        <w:tc>
          <w:tcPr>
            <w:tcW w:w="7843" w:type="dxa"/>
            <w:vMerge/>
          </w:tcPr>
          <w:p w14:paraId="59A85400" w14:textId="77777777" w:rsidR="004D1935" w:rsidRDefault="004D1935" w:rsidP="00E24DC9"/>
        </w:tc>
      </w:tr>
      <w:tr w:rsidR="004D1935" w14:paraId="233234C5" w14:textId="77777777" w:rsidTr="00E24DC9">
        <w:tc>
          <w:tcPr>
            <w:tcW w:w="825" w:type="dxa"/>
            <w:vMerge/>
          </w:tcPr>
          <w:p w14:paraId="31B12AF2" w14:textId="77777777" w:rsidR="004D1935" w:rsidRDefault="004D1935" w:rsidP="00E24DC9"/>
        </w:tc>
        <w:tc>
          <w:tcPr>
            <w:tcW w:w="877" w:type="dxa"/>
            <w:tcBorders>
              <w:top w:val="nil"/>
              <w:bottom w:val="single" w:sz="4" w:space="0" w:color="auto"/>
            </w:tcBorders>
            <w:vAlign w:val="center"/>
          </w:tcPr>
          <w:p w14:paraId="74C95C01" w14:textId="77777777" w:rsidR="004D1935"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392.1055</w:t>
            </w:r>
          </w:p>
          <w:p w14:paraId="6BDB8740" w14:textId="77777777" w:rsidR="004D1935" w:rsidRDefault="004D1935" w:rsidP="00E24DC9">
            <w:pPr>
              <w:jc w:val="center"/>
              <w:rPr>
                <w:rFonts w:ascii="Calibri" w:hAnsi="Calibri" w:cs="Calibri"/>
                <w:color w:val="000000"/>
                <w:sz w:val="13"/>
                <w:szCs w:val="13"/>
              </w:rPr>
            </w:pPr>
          </w:p>
          <w:p w14:paraId="5FE089E0" w14:textId="77777777" w:rsidR="004D1935" w:rsidRDefault="004D1935" w:rsidP="00E24DC9">
            <w:pPr>
              <w:jc w:val="center"/>
              <w:rPr>
                <w:rFonts w:ascii="Calibri" w:hAnsi="Calibri" w:cs="Calibri"/>
                <w:color w:val="000000"/>
                <w:sz w:val="13"/>
                <w:szCs w:val="13"/>
              </w:rPr>
            </w:pPr>
          </w:p>
          <w:p w14:paraId="4416384E" w14:textId="77777777" w:rsidR="004D1935" w:rsidRDefault="004D1935" w:rsidP="00E24DC9">
            <w:pPr>
              <w:jc w:val="center"/>
              <w:rPr>
                <w:rFonts w:ascii="Calibri" w:hAnsi="Calibri" w:cs="Calibri"/>
                <w:color w:val="000000"/>
                <w:sz w:val="13"/>
                <w:szCs w:val="13"/>
              </w:rPr>
            </w:pPr>
          </w:p>
          <w:p w14:paraId="237AF1B0" w14:textId="77777777" w:rsidR="004D1935" w:rsidRDefault="004D1935" w:rsidP="00E24DC9">
            <w:pPr>
              <w:jc w:val="center"/>
              <w:rPr>
                <w:rFonts w:ascii="Calibri" w:hAnsi="Calibri" w:cs="Calibri"/>
                <w:color w:val="000000"/>
                <w:sz w:val="13"/>
                <w:szCs w:val="13"/>
              </w:rPr>
            </w:pPr>
          </w:p>
          <w:p w14:paraId="3E96AF40" w14:textId="77777777" w:rsidR="004D1935" w:rsidRDefault="004D1935" w:rsidP="00E24DC9">
            <w:pPr>
              <w:jc w:val="center"/>
              <w:rPr>
                <w:rFonts w:ascii="Calibri" w:hAnsi="Calibri" w:cs="Calibri"/>
                <w:color w:val="000000"/>
                <w:sz w:val="13"/>
                <w:szCs w:val="13"/>
              </w:rPr>
            </w:pPr>
          </w:p>
          <w:p w14:paraId="35CDFA93" w14:textId="77777777" w:rsidR="004D1935" w:rsidRDefault="004D1935" w:rsidP="00E24DC9">
            <w:pPr>
              <w:jc w:val="center"/>
              <w:rPr>
                <w:rFonts w:ascii="Calibri" w:hAnsi="Calibri" w:cs="Calibri"/>
                <w:color w:val="000000"/>
                <w:sz w:val="13"/>
                <w:szCs w:val="13"/>
              </w:rPr>
            </w:pPr>
          </w:p>
          <w:p w14:paraId="3A12A874" w14:textId="77777777" w:rsidR="004D1935" w:rsidRPr="0064730E" w:rsidRDefault="004D1935" w:rsidP="00E24DC9">
            <w:pPr>
              <w:jc w:val="center"/>
              <w:rPr>
                <w:rFonts w:ascii="Calibri" w:hAnsi="Calibri" w:cs="Calibri"/>
                <w:color w:val="000000"/>
                <w:sz w:val="13"/>
                <w:szCs w:val="13"/>
              </w:rPr>
            </w:pPr>
          </w:p>
        </w:tc>
        <w:tc>
          <w:tcPr>
            <w:tcW w:w="2880" w:type="dxa"/>
            <w:vMerge/>
            <w:vAlign w:val="center"/>
          </w:tcPr>
          <w:p w14:paraId="78D535D1" w14:textId="77777777" w:rsidR="004D1935" w:rsidRDefault="004D1935" w:rsidP="00E24DC9"/>
        </w:tc>
        <w:tc>
          <w:tcPr>
            <w:tcW w:w="1465" w:type="dxa"/>
            <w:vMerge/>
            <w:vAlign w:val="center"/>
          </w:tcPr>
          <w:p w14:paraId="267E7E4D" w14:textId="77777777" w:rsidR="004D1935" w:rsidRDefault="004D1935" w:rsidP="00E24DC9"/>
        </w:tc>
        <w:tc>
          <w:tcPr>
            <w:tcW w:w="1137" w:type="dxa"/>
            <w:vMerge/>
          </w:tcPr>
          <w:p w14:paraId="5DC00EB0" w14:textId="77777777" w:rsidR="004D1935" w:rsidRDefault="004D1935" w:rsidP="00E24DC9"/>
        </w:tc>
        <w:tc>
          <w:tcPr>
            <w:tcW w:w="7843" w:type="dxa"/>
            <w:vMerge/>
          </w:tcPr>
          <w:p w14:paraId="2C00510D" w14:textId="77777777" w:rsidR="004D1935" w:rsidRDefault="004D1935" w:rsidP="00E24DC9"/>
        </w:tc>
      </w:tr>
      <w:tr w:rsidR="004D1935" w14:paraId="11541B01" w14:textId="77777777" w:rsidTr="00E24DC9">
        <w:tc>
          <w:tcPr>
            <w:tcW w:w="825" w:type="dxa"/>
            <w:vMerge w:val="restart"/>
            <w:vAlign w:val="center"/>
          </w:tcPr>
          <w:p w14:paraId="581F2343" w14:textId="77777777" w:rsidR="004D1935" w:rsidRDefault="004D1935" w:rsidP="00E24DC9">
            <w:pPr>
              <w:jc w:val="center"/>
            </w:pPr>
            <w:r>
              <w:t>NA</w:t>
            </w:r>
          </w:p>
        </w:tc>
        <w:tc>
          <w:tcPr>
            <w:tcW w:w="877" w:type="dxa"/>
            <w:tcBorders>
              <w:bottom w:val="nil"/>
            </w:tcBorders>
            <w:vAlign w:val="center"/>
          </w:tcPr>
          <w:p w14:paraId="3D9895EF"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370.1352</w:t>
            </w:r>
          </w:p>
        </w:tc>
        <w:tc>
          <w:tcPr>
            <w:tcW w:w="2880" w:type="dxa"/>
            <w:vMerge w:val="restart"/>
            <w:vAlign w:val="center"/>
          </w:tcPr>
          <w:p w14:paraId="21BCCE70"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sinapaldehyde glucoside</w:t>
            </w:r>
          </w:p>
          <w:p w14:paraId="634865A5"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(-)-bursehernin</w:t>
            </w:r>
          </w:p>
          <w:p w14:paraId="6B70454D"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(S)-1-hydroxy-N-methylcanadine</w:t>
            </w:r>
          </w:p>
          <w:p w14:paraId="4D1F9D6C"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androsterone sulfate</w:t>
            </w:r>
          </w:p>
          <w:p w14:paraId="50E71B37"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docosanedioate</w:t>
            </w:r>
          </w:p>
        </w:tc>
        <w:tc>
          <w:tcPr>
            <w:tcW w:w="1465" w:type="dxa"/>
            <w:vMerge w:val="restart"/>
            <w:vAlign w:val="center"/>
          </w:tcPr>
          <w:p w14:paraId="4D0BE4CC"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Phenylpropanoids</w:t>
            </w:r>
          </w:p>
          <w:p w14:paraId="5C553B74"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phenylpropanoids</w:t>
            </w:r>
          </w:p>
          <w:p w14:paraId="4CD6A6B5"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alkaloids</w:t>
            </w:r>
          </w:p>
          <w:p w14:paraId="61C6583A"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steroid sulfate</w:t>
            </w:r>
          </w:p>
          <w:p w14:paraId="1133872F"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carboxy acid</w:t>
            </w:r>
          </w:p>
        </w:tc>
        <w:tc>
          <w:tcPr>
            <w:tcW w:w="1137" w:type="dxa"/>
            <w:vMerge w:val="restart"/>
            <w:vAlign w:val="center"/>
          </w:tcPr>
          <w:p w14:paraId="00D5CEF3" w14:textId="77777777" w:rsidR="004D1935" w:rsidRPr="0064730E" w:rsidRDefault="004D1935" w:rsidP="00E24DC9">
            <w:pPr>
              <w:jc w:val="center"/>
              <w:rPr>
                <w:color w:val="000000" w:themeColor="text1"/>
                <w:sz w:val="16"/>
                <w:szCs w:val="16"/>
              </w:rPr>
            </w:pPr>
            <w:r w:rsidRPr="0064730E">
              <w:rPr>
                <w:rFonts w:ascii="Arial" w:hAnsi="Arial" w:cs="Arial"/>
                <w:color w:val="000000" w:themeColor="text1"/>
                <w:sz w:val="16"/>
                <w:szCs w:val="16"/>
                <w:shd w:val="clear" w:color="auto" w:fill="FFFFFF"/>
              </w:rPr>
              <w:t>C</w:t>
            </w:r>
            <w:r w:rsidRPr="0064730E">
              <w:rPr>
                <w:rFonts w:ascii="Arial" w:hAnsi="Arial" w:cs="Arial"/>
                <w:color w:val="000000" w:themeColor="text1"/>
                <w:sz w:val="16"/>
                <w:szCs w:val="16"/>
                <w:shd w:val="clear" w:color="auto" w:fill="FFFFFF"/>
                <w:vertAlign w:val="subscript"/>
              </w:rPr>
              <w:t>17</w:t>
            </w:r>
            <w:r w:rsidRPr="0064730E">
              <w:rPr>
                <w:rFonts w:ascii="Arial" w:hAnsi="Arial" w:cs="Arial"/>
                <w:color w:val="000000" w:themeColor="text1"/>
                <w:sz w:val="16"/>
                <w:szCs w:val="16"/>
                <w:shd w:val="clear" w:color="auto" w:fill="FFFFFF"/>
              </w:rPr>
              <w:t>H</w:t>
            </w:r>
            <w:r w:rsidRPr="0064730E">
              <w:rPr>
                <w:rFonts w:ascii="Arial" w:hAnsi="Arial" w:cs="Arial"/>
                <w:color w:val="000000" w:themeColor="text1"/>
                <w:sz w:val="16"/>
                <w:szCs w:val="16"/>
                <w:shd w:val="clear" w:color="auto" w:fill="FFFFFF"/>
                <w:vertAlign w:val="subscript"/>
              </w:rPr>
              <w:t>22</w:t>
            </w:r>
            <w:r w:rsidRPr="0064730E">
              <w:rPr>
                <w:rFonts w:ascii="Arial" w:hAnsi="Arial" w:cs="Arial"/>
                <w:color w:val="000000" w:themeColor="text1"/>
                <w:sz w:val="16"/>
                <w:szCs w:val="16"/>
                <w:shd w:val="clear" w:color="auto" w:fill="FFFFFF"/>
              </w:rPr>
              <w:t>O</w:t>
            </w:r>
            <w:r w:rsidRPr="0064730E">
              <w:rPr>
                <w:rFonts w:ascii="Arial" w:hAnsi="Arial" w:cs="Arial"/>
                <w:color w:val="000000" w:themeColor="text1"/>
                <w:sz w:val="16"/>
                <w:szCs w:val="16"/>
                <w:shd w:val="clear" w:color="auto" w:fill="FFFFFF"/>
                <w:vertAlign w:val="subscript"/>
              </w:rPr>
              <w:t>9</w:t>
            </w:r>
          </w:p>
          <w:p w14:paraId="2570EE96" w14:textId="77777777" w:rsidR="004D1935" w:rsidRPr="0064730E" w:rsidRDefault="004D1935" w:rsidP="00E24DC9">
            <w:pPr>
              <w:jc w:val="center"/>
              <w:rPr>
                <w:color w:val="000000" w:themeColor="text1"/>
                <w:sz w:val="16"/>
                <w:szCs w:val="16"/>
              </w:rPr>
            </w:pPr>
            <w:r w:rsidRPr="0064730E">
              <w:rPr>
                <w:rFonts w:ascii="Arial" w:hAnsi="Arial" w:cs="Arial"/>
                <w:color w:val="000000" w:themeColor="text1"/>
                <w:sz w:val="16"/>
                <w:szCs w:val="16"/>
                <w:shd w:val="clear" w:color="auto" w:fill="FFFFFF"/>
              </w:rPr>
              <w:t>C</w:t>
            </w:r>
            <w:r w:rsidRPr="0064730E">
              <w:rPr>
                <w:rFonts w:ascii="Arial" w:hAnsi="Arial" w:cs="Arial"/>
                <w:color w:val="000000" w:themeColor="text1"/>
                <w:sz w:val="16"/>
                <w:szCs w:val="16"/>
                <w:shd w:val="clear" w:color="auto" w:fill="FFFFFF"/>
                <w:vertAlign w:val="subscript"/>
              </w:rPr>
              <w:t>21</w:t>
            </w:r>
            <w:r w:rsidRPr="0064730E">
              <w:rPr>
                <w:rFonts w:ascii="Arial" w:hAnsi="Arial" w:cs="Arial"/>
                <w:color w:val="000000" w:themeColor="text1"/>
                <w:sz w:val="16"/>
                <w:szCs w:val="16"/>
                <w:shd w:val="clear" w:color="auto" w:fill="FFFFFF"/>
              </w:rPr>
              <w:t>H</w:t>
            </w:r>
            <w:r w:rsidRPr="0064730E">
              <w:rPr>
                <w:rFonts w:ascii="Arial" w:hAnsi="Arial" w:cs="Arial"/>
                <w:color w:val="000000" w:themeColor="text1"/>
                <w:sz w:val="16"/>
                <w:szCs w:val="16"/>
                <w:shd w:val="clear" w:color="auto" w:fill="FFFFFF"/>
                <w:vertAlign w:val="subscript"/>
              </w:rPr>
              <w:t>22</w:t>
            </w:r>
            <w:r w:rsidRPr="0064730E">
              <w:rPr>
                <w:rFonts w:ascii="Arial" w:hAnsi="Arial" w:cs="Arial"/>
                <w:color w:val="000000" w:themeColor="text1"/>
                <w:sz w:val="16"/>
                <w:szCs w:val="16"/>
                <w:shd w:val="clear" w:color="auto" w:fill="FFFFFF"/>
              </w:rPr>
              <w:t>O</w:t>
            </w:r>
            <w:r w:rsidRPr="0064730E">
              <w:rPr>
                <w:rFonts w:ascii="Arial" w:hAnsi="Arial" w:cs="Arial"/>
                <w:color w:val="000000" w:themeColor="text1"/>
                <w:sz w:val="16"/>
                <w:szCs w:val="16"/>
                <w:shd w:val="clear" w:color="auto" w:fill="FFFFFF"/>
                <w:vertAlign w:val="subscript"/>
              </w:rPr>
              <w:t>6</w:t>
            </w:r>
          </w:p>
          <w:p w14:paraId="787DADB5" w14:textId="77777777" w:rsidR="004D1935" w:rsidRPr="0064730E" w:rsidRDefault="004D1935" w:rsidP="00E24DC9">
            <w:pPr>
              <w:jc w:val="center"/>
              <w:rPr>
                <w:color w:val="000000" w:themeColor="text1"/>
                <w:sz w:val="16"/>
                <w:szCs w:val="16"/>
              </w:rPr>
            </w:pPr>
            <w:r w:rsidRPr="0064730E">
              <w:rPr>
                <w:rFonts w:ascii="Arial" w:hAnsi="Arial" w:cs="Arial"/>
                <w:color w:val="000000" w:themeColor="text1"/>
                <w:sz w:val="16"/>
                <w:szCs w:val="16"/>
                <w:shd w:val="clear" w:color="auto" w:fill="FFFFFF"/>
              </w:rPr>
              <w:t>C</w:t>
            </w:r>
            <w:r w:rsidRPr="0064730E">
              <w:rPr>
                <w:rFonts w:ascii="Arial" w:hAnsi="Arial" w:cs="Arial"/>
                <w:color w:val="000000" w:themeColor="text1"/>
                <w:sz w:val="16"/>
                <w:szCs w:val="16"/>
                <w:shd w:val="clear" w:color="auto" w:fill="FFFFFF"/>
                <w:vertAlign w:val="subscript"/>
              </w:rPr>
              <w:t>21</w:t>
            </w:r>
            <w:r w:rsidRPr="0064730E">
              <w:rPr>
                <w:rFonts w:ascii="Arial" w:hAnsi="Arial" w:cs="Arial"/>
                <w:color w:val="000000" w:themeColor="text1"/>
                <w:sz w:val="16"/>
                <w:szCs w:val="16"/>
                <w:shd w:val="clear" w:color="auto" w:fill="FFFFFF"/>
              </w:rPr>
              <w:t>H</w:t>
            </w:r>
            <w:r w:rsidRPr="0064730E">
              <w:rPr>
                <w:rFonts w:ascii="Arial" w:hAnsi="Arial" w:cs="Arial"/>
                <w:color w:val="000000" w:themeColor="text1"/>
                <w:sz w:val="16"/>
                <w:szCs w:val="16"/>
                <w:shd w:val="clear" w:color="auto" w:fill="FFFFFF"/>
                <w:vertAlign w:val="subscript"/>
              </w:rPr>
              <w:t>24</w:t>
            </w:r>
            <w:r w:rsidRPr="0064730E">
              <w:rPr>
                <w:rFonts w:ascii="Arial" w:hAnsi="Arial" w:cs="Arial"/>
                <w:color w:val="000000" w:themeColor="text1"/>
                <w:sz w:val="16"/>
                <w:szCs w:val="16"/>
                <w:shd w:val="clear" w:color="auto" w:fill="FFFFFF"/>
              </w:rPr>
              <w:t>NO</w:t>
            </w:r>
            <w:r w:rsidRPr="0064730E">
              <w:rPr>
                <w:rFonts w:ascii="Arial" w:hAnsi="Arial" w:cs="Arial"/>
                <w:color w:val="000000" w:themeColor="text1"/>
                <w:sz w:val="16"/>
                <w:szCs w:val="16"/>
                <w:shd w:val="clear" w:color="auto" w:fill="FFFFFF"/>
                <w:vertAlign w:val="subscript"/>
              </w:rPr>
              <w:t>5</w:t>
            </w:r>
          </w:p>
          <w:p w14:paraId="087DED75" w14:textId="77777777" w:rsidR="004D1935" w:rsidRPr="0064730E" w:rsidRDefault="004D1935" w:rsidP="00E24DC9">
            <w:pPr>
              <w:jc w:val="center"/>
              <w:rPr>
                <w:color w:val="000000" w:themeColor="text1"/>
                <w:sz w:val="16"/>
                <w:szCs w:val="16"/>
              </w:rPr>
            </w:pPr>
            <w:r w:rsidRPr="0064730E">
              <w:rPr>
                <w:rFonts w:ascii="Arial" w:hAnsi="Arial" w:cs="Arial"/>
                <w:color w:val="000000" w:themeColor="text1"/>
                <w:sz w:val="16"/>
                <w:szCs w:val="16"/>
                <w:shd w:val="clear" w:color="auto" w:fill="FFFFFF"/>
              </w:rPr>
              <w:t>C</w:t>
            </w:r>
            <w:r w:rsidRPr="0064730E">
              <w:rPr>
                <w:rFonts w:ascii="Arial" w:hAnsi="Arial" w:cs="Arial"/>
                <w:color w:val="000000" w:themeColor="text1"/>
                <w:sz w:val="16"/>
                <w:szCs w:val="16"/>
                <w:shd w:val="clear" w:color="auto" w:fill="FFFFFF"/>
                <w:vertAlign w:val="subscript"/>
              </w:rPr>
              <w:t>19</w:t>
            </w:r>
            <w:r w:rsidRPr="0064730E">
              <w:rPr>
                <w:rFonts w:ascii="Arial" w:hAnsi="Arial" w:cs="Arial"/>
                <w:color w:val="000000" w:themeColor="text1"/>
                <w:sz w:val="16"/>
                <w:szCs w:val="16"/>
                <w:shd w:val="clear" w:color="auto" w:fill="FFFFFF"/>
              </w:rPr>
              <w:t>H</w:t>
            </w:r>
            <w:r w:rsidRPr="0064730E">
              <w:rPr>
                <w:rFonts w:ascii="Arial" w:hAnsi="Arial" w:cs="Arial"/>
                <w:color w:val="000000" w:themeColor="text1"/>
                <w:sz w:val="16"/>
                <w:szCs w:val="16"/>
                <w:shd w:val="clear" w:color="auto" w:fill="FFFFFF"/>
                <w:vertAlign w:val="subscript"/>
              </w:rPr>
              <w:t>29</w:t>
            </w:r>
            <w:r w:rsidRPr="0064730E">
              <w:rPr>
                <w:rFonts w:ascii="Arial" w:hAnsi="Arial" w:cs="Arial"/>
                <w:color w:val="000000" w:themeColor="text1"/>
                <w:sz w:val="16"/>
                <w:szCs w:val="16"/>
                <w:shd w:val="clear" w:color="auto" w:fill="FFFFFF"/>
              </w:rPr>
              <w:t>O</w:t>
            </w:r>
            <w:r w:rsidRPr="0064730E">
              <w:rPr>
                <w:rFonts w:ascii="Arial" w:hAnsi="Arial" w:cs="Arial"/>
                <w:color w:val="000000" w:themeColor="text1"/>
                <w:sz w:val="16"/>
                <w:szCs w:val="16"/>
                <w:shd w:val="clear" w:color="auto" w:fill="FFFFFF"/>
                <w:vertAlign w:val="subscript"/>
              </w:rPr>
              <w:t>5</w:t>
            </w:r>
            <w:r w:rsidRPr="0064730E">
              <w:rPr>
                <w:rFonts w:ascii="Arial" w:hAnsi="Arial" w:cs="Arial"/>
                <w:color w:val="000000" w:themeColor="text1"/>
                <w:sz w:val="16"/>
                <w:szCs w:val="16"/>
                <w:shd w:val="clear" w:color="auto" w:fill="FFFFFF"/>
              </w:rPr>
              <w:t>S</w:t>
            </w:r>
          </w:p>
          <w:p w14:paraId="620B6490" w14:textId="77777777" w:rsidR="004D1935" w:rsidRPr="0064730E" w:rsidRDefault="004D1935" w:rsidP="00E24DC9">
            <w:pPr>
              <w:jc w:val="center"/>
              <w:rPr>
                <w:color w:val="000000" w:themeColor="text1"/>
                <w:sz w:val="15"/>
                <w:szCs w:val="15"/>
              </w:rPr>
            </w:pPr>
            <w:r w:rsidRPr="0064730E">
              <w:rPr>
                <w:rFonts w:ascii="Arial" w:hAnsi="Arial" w:cs="Arial"/>
                <w:color w:val="000000" w:themeColor="text1"/>
                <w:sz w:val="15"/>
                <w:szCs w:val="15"/>
                <w:shd w:val="clear" w:color="auto" w:fill="FFFFFF"/>
              </w:rPr>
              <w:t>C</w:t>
            </w:r>
            <w:r w:rsidRPr="0064730E">
              <w:rPr>
                <w:rFonts w:ascii="Arial" w:hAnsi="Arial" w:cs="Arial"/>
                <w:color w:val="000000" w:themeColor="text1"/>
                <w:sz w:val="15"/>
                <w:szCs w:val="15"/>
                <w:shd w:val="clear" w:color="auto" w:fill="FFFFFF"/>
                <w:vertAlign w:val="subscript"/>
              </w:rPr>
              <w:t>22</w:t>
            </w:r>
            <w:r w:rsidRPr="0064730E">
              <w:rPr>
                <w:rFonts w:ascii="Arial" w:hAnsi="Arial" w:cs="Arial"/>
                <w:color w:val="000000" w:themeColor="text1"/>
                <w:sz w:val="15"/>
                <w:szCs w:val="15"/>
                <w:shd w:val="clear" w:color="auto" w:fill="FFFFFF"/>
              </w:rPr>
              <w:t>H</w:t>
            </w:r>
            <w:r w:rsidRPr="0064730E">
              <w:rPr>
                <w:rFonts w:ascii="Arial" w:hAnsi="Arial" w:cs="Arial"/>
                <w:color w:val="000000" w:themeColor="text1"/>
                <w:sz w:val="15"/>
                <w:szCs w:val="15"/>
                <w:shd w:val="clear" w:color="auto" w:fill="FFFFFF"/>
                <w:vertAlign w:val="subscript"/>
              </w:rPr>
              <w:t>40</w:t>
            </w:r>
            <w:r w:rsidRPr="0064730E">
              <w:rPr>
                <w:rFonts w:ascii="Arial" w:hAnsi="Arial" w:cs="Arial"/>
                <w:color w:val="000000" w:themeColor="text1"/>
                <w:sz w:val="15"/>
                <w:szCs w:val="15"/>
                <w:shd w:val="clear" w:color="auto" w:fill="FFFFFF"/>
              </w:rPr>
              <w:t>O</w:t>
            </w:r>
            <w:r w:rsidRPr="0064730E">
              <w:rPr>
                <w:rFonts w:ascii="Arial" w:hAnsi="Arial" w:cs="Arial"/>
                <w:color w:val="000000" w:themeColor="text1"/>
                <w:sz w:val="15"/>
                <w:szCs w:val="15"/>
                <w:shd w:val="clear" w:color="auto" w:fill="FFFFFF"/>
                <w:vertAlign w:val="subscript"/>
              </w:rPr>
              <w:t>4</w:t>
            </w:r>
          </w:p>
          <w:p w14:paraId="6A1DD7F4" w14:textId="77777777" w:rsidR="004D1935" w:rsidRPr="0064730E" w:rsidRDefault="004D1935" w:rsidP="00E24DC9">
            <w:pPr>
              <w:jc w:val="center"/>
              <w:rPr>
                <w:color w:val="000000" w:themeColor="text1"/>
              </w:rPr>
            </w:pPr>
          </w:p>
        </w:tc>
        <w:tc>
          <w:tcPr>
            <w:tcW w:w="7843" w:type="dxa"/>
            <w:vMerge w:val="restart"/>
            <w:vAlign w:val="center"/>
          </w:tcPr>
          <w:p w14:paraId="15F29E35"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Phenylpropanoid biosynthesis/Flavanone biosynthesis, phenylalanine</w:t>
            </w:r>
          </w:p>
          <w:p w14:paraId="17AC26AE"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Biosynthesis of secondary metabolites - unclassified</w:t>
            </w:r>
          </w:p>
          <w:p w14:paraId="4254A95E" w14:textId="77777777" w:rsidR="004D1935" w:rsidRPr="0064730E" w:rsidRDefault="004D1935" w:rsidP="00E24DC9">
            <w:pPr>
              <w:jc w:val="center"/>
              <w:rPr>
                <w:color w:val="000000" w:themeColor="text1"/>
              </w:rPr>
            </w:pPr>
            <w:r w:rsidRPr="0064730E">
              <w:rPr>
                <w:rFonts w:ascii="Calibri" w:hAnsi="Calibri" w:cs="Calibri"/>
                <w:color w:val="000000" w:themeColor="text1"/>
                <w:sz w:val="13"/>
                <w:szCs w:val="13"/>
              </w:rPr>
              <w:t>Isoquinoline alkaloid biosynthesis /Jasmonic acid biosynthesis/Abscisic acid biosynthesis Flavanone flavonoid /riboflavin biosynthesis</w:t>
            </w:r>
          </w:p>
          <w:p w14:paraId="44F251EA" w14:textId="77777777" w:rsidR="004D1935" w:rsidRPr="0064730E" w:rsidRDefault="004D1935" w:rsidP="00E24DC9">
            <w:pPr>
              <w:jc w:val="center"/>
              <w:rPr>
                <w:color w:val="000000" w:themeColor="text1"/>
              </w:rPr>
            </w:pPr>
            <w:r w:rsidRPr="0064730E">
              <w:rPr>
                <w:rFonts w:ascii="Calibri" w:hAnsi="Calibri" w:cs="Calibri"/>
                <w:color w:val="000000" w:themeColor="text1"/>
                <w:sz w:val="13"/>
                <w:szCs w:val="13"/>
              </w:rPr>
              <w:t>Jasmonic acid biosynthesis/Abscisic acid biosynthesis Flavanone flavonoid /riboflavin biosynthesis/fatty acid pathway/Shikimate pathway, phosphoenolpyruvate</w:t>
            </w:r>
          </w:p>
          <w:p w14:paraId="1F3D64E3"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Cutin, suberine and wax biosynthesis</w:t>
            </w:r>
          </w:p>
        </w:tc>
      </w:tr>
      <w:tr w:rsidR="004D1935" w14:paraId="36534CB8" w14:textId="77777777" w:rsidTr="00E24DC9">
        <w:tc>
          <w:tcPr>
            <w:tcW w:w="825" w:type="dxa"/>
            <w:vMerge/>
          </w:tcPr>
          <w:p w14:paraId="629CB43A" w14:textId="77777777" w:rsidR="004D1935" w:rsidRDefault="004D1935" w:rsidP="00E24DC9"/>
        </w:tc>
        <w:tc>
          <w:tcPr>
            <w:tcW w:w="877" w:type="dxa"/>
            <w:tcBorders>
              <w:top w:val="nil"/>
              <w:bottom w:val="nil"/>
            </w:tcBorders>
            <w:vAlign w:val="center"/>
          </w:tcPr>
          <w:p w14:paraId="30BAFE1F"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370.1785</w:t>
            </w:r>
          </w:p>
        </w:tc>
        <w:tc>
          <w:tcPr>
            <w:tcW w:w="2880" w:type="dxa"/>
            <w:vMerge/>
            <w:vAlign w:val="bottom"/>
          </w:tcPr>
          <w:p w14:paraId="10B3B811" w14:textId="77777777" w:rsidR="004D1935" w:rsidRDefault="004D1935" w:rsidP="00E24DC9"/>
        </w:tc>
        <w:tc>
          <w:tcPr>
            <w:tcW w:w="1465" w:type="dxa"/>
            <w:vMerge/>
            <w:vAlign w:val="bottom"/>
          </w:tcPr>
          <w:p w14:paraId="59A91E9E" w14:textId="77777777" w:rsidR="004D1935" w:rsidRDefault="004D1935" w:rsidP="00E24DC9"/>
        </w:tc>
        <w:tc>
          <w:tcPr>
            <w:tcW w:w="1137" w:type="dxa"/>
            <w:vMerge/>
          </w:tcPr>
          <w:p w14:paraId="48088750" w14:textId="77777777" w:rsidR="004D1935" w:rsidRDefault="004D1935" w:rsidP="00E24DC9"/>
        </w:tc>
        <w:tc>
          <w:tcPr>
            <w:tcW w:w="7843" w:type="dxa"/>
            <w:vMerge/>
            <w:vAlign w:val="bottom"/>
          </w:tcPr>
          <w:p w14:paraId="0A3BE1D5" w14:textId="77777777" w:rsidR="004D1935" w:rsidRDefault="004D1935" w:rsidP="00E24DC9"/>
        </w:tc>
      </w:tr>
      <w:tr w:rsidR="004D1935" w14:paraId="4E40D8E7" w14:textId="77777777" w:rsidTr="00E24DC9">
        <w:tc>
          <w:tcPr>
            <w:tcW w:w="825" w:type="dxa"/>
            <w:vMerge/>
          </w:tcPr>
          <w:p w14:paraId="34B30C5B" w14:textId="77777777" w:rsidR="004D1935" w:rsidRDefault="004D1935" w:rsidP="00E24DC9"/>
        </w:tc>
        <w:tc>
          <w:tcPr>
            <w:tcW w:w="877" w:type="dxa"/>
            <w:tcBorders>
              <w:top w:val="nil"/>
              <w:bottom w:val="nil"/>
            </w:tcBorders>
            <w:vAlign w:val="center"/>
          </w:tcPr>
          <w:p w14:paraId="53EDCCE8"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370.2363</w:t>
            </w:r>
          </w:p>
        </w:tc>
        <w:tc>
          <w:tcPr>
            <w:tcW w:w="2880" w:type="dxa"/>
            <w:vMerge/>
            <w:vAlign w:val="bottom"/>
          </w:tcPr>
          <w:p w14:paraId="64DAD5EB" w14:textId="77777777" w:rsidR="004D1935" w:rsidRDefault="004D1935" w:rsidP="00E24DC9"/>
        </w:tc>
        <w:tc>
          <w:tcPr>
            <w:tcW w:w="1465" w:type="dxa"/>
            <w:vMerge/>
            <w:vAlign w:val="bottom"/>
          </w:tcPr>
          <w:p w14:paraId="3A4D78F4" w14:textId="77777777" w:rsidR="004D1935" w:rsidRDefault="004D1935" w:rsidP="00E24DC9"/>
        </w:tc>
        <w:tc>
          <w:tcPr>
            <w:tcW w:w="1137" w:type="dxa"/>
            <w:vMerge/>
          </w:tcPr>
          <w:p w14:paraId="492607A6" w14:textId="77777777" w:rsidR="004D1935" w:rsidRDefault="004D1935" w:rsidP="00E24DC9"/>
        </w:tc>
        <w:tc>
          <w:tcPr>
            <w:tcW w:w="7843" w:type="dxa"/>
            <w:vMerge/>
            <w:vAlign w:val="bottom"/>
          </w:tcPr>
          <w:p w14:paraId="5300516E" w14:textId="77777777" w:rsidR="004D1935" w:rsidRDefault="004D1935" w:rsidP="00E24DC9"/>
        </w:tc>
      </w:tr>
      <w:tr w:rsidR="004D1935" w14:paraId="524962B3" w14:textId="77777777" w:rsidTr="00E24DC9">
        <w:tc>
          <w:tcPr>
            <w:tcW w:w="825" w:type="dxa"/>
            <w:vMerge/>
          </w:tcPr>
          <w:p w14:paraId="28CDFDFF" w14:textId="77777777" w:rsidR="004D1935" w:rsidRDefault="004D1935" w:rsidP="00E24DC9"/>
        </w:tc>
        <w:tc>
          <w:tcPr>
            <w:tcW w:w="877" w:type="dxa"/>
            <w:tcBorders>
              <w:top w:val="nil"/>
              <w:bottom w:val="nil"/>
            </w:tcBorders>
            <w:vAlign w:val="center"/>
          </w:tcPr>
          <w:p w14:paraId="0195DE95"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370.2797</w:t>
            </w:r>
          </w:p>
        </w:tc>
        <w:tc>
          <w:tcPr>
            <w:tcW w:w="2880" w:type="dxa"/>
            <w:vMerge/>
            <w:vAlign w:val="bottom"/>
          </w:tcPr>
          <w:p w14:paraId="6D889D6B" w14:textId="77777777" w:rsidR="004D1935" w:rsidRDefault="004D1935" w:rsidP="00E24DC9"/>
        </w:tc>
        <w:tc>
          <w:tcPr>
            <w:tcW w:w="1465" w:type="dxa"/>
            <w:vMerge/>
            <w:vAlign w:val="bottom"/>
          </w:tcPr>
          <w:p w14:paraId="2D0C00EB" w14:textId="77777777" w:rsidR="004D1935" w:rsidRDefault="004D1935" w:rsidP="00E24DC9"/>
        </w:tc>
        <w:tc>
          <w:tcPr>
            <w:tcW w:w="1137" w:type="dxa"/>
            <w:vMerge/>
          </w:tcPr>
          <w:p w14:paraId="408BFDBB" w14:textId="77777777" w:rsidR="004D1935" w:rsidRDefault="004D1935" w:rsidP="00E24DC9"/>
        </w:tc>
        <w:tc>
          <w:tcPr>
            <w:tcW w:w="7843" w:type="dxa"/>
            <w:vMerge/>
            <w:vAlign w:val="bottom"/>
          </w:tcPr>
          <w:p w14:paraId="5591B7EA" w14:textId="77777777" w:rsidR="004D1935" w:rsidRDefault="004D1935" w:rsidP="00E24DC9"/>
        </w:tc>
      </w:tr>
      <w:tr w:rsidR="004D1935" w14:paraId="1D512070" w14:textId="77777777" w:rsidTr="00E24DC9">
        <w:tc>
          <w:tcPr>
            <w:tcW w:w="825" w:type="dxa"/>
            <w:vMerge/>
          </w:tcPr>
          <w:p w14:paraId="645C4CEF" w14:textId="77777777" w:rsidR="004D1935" w:rsidRDefault="004D1935" w:rsidP="00E24DC9"/>
        </w:tc>
        <w:tc>
          <w:tcPr>
            <w:tcW w:w="877" w:type="dxa"/>
            <w:tcBorders>
              <w:top w:val="nil"/>
              <w:bottom w:val="nil"/>
            </w:tcBorders>
            <w:vAlign w:val="center"/>
          </w:tcPr>
          <w:p w14:paraId="440059D8"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370.1381</w:t>
            </w:r>
          </w:p>
        </w:tc>
        <w:tc>
          <w:tcPr>
            <w:tcW w:w="2880" w:type="dxa"/>
            <w:vMerge/>
            <w:vAlign w:val="bottom"/>
          </w:tcPr>
          <w:p w14:paraId="5C839852" w14:textId="77777777" w:rsidR="004D1935" w:rsidRDefault="004D1935" w:rsidP="00E24DC9"/>
        </w:tc>
        <w:tc>
          <w:tcPr>
            <w:tcW w:w="1465" w:type="dxa"/>
            <w:vMerge/>
            <w:vAlign w:val="bottom"/>
          </w:tcPr>
          <w:p w14:paraId="3F776E5C" w14:textId="77777777" w:rsidR="004D1935" w:rsidRDefault="004D1935" w:rsidP="00E24DC9"/>
        </w:tc>
        <w:tc>
          <w:tcPr>
            <w:tcW w:w="1137" w:type="dxa"/>
            <w:vMerge/>
          </w:tcPr>
          <w:p w14:paraId="63D1A0D4" w14:textId="77777777" w:rsidR="004D1935" w:rsidRDefault="004D1935" w:rsidP="00E24DC9"/>
        </w:tc>
        <w:tc>
          <w:tcPr>
            <w:tcW w:w="7843" w:type="dxa"/>
            <w:vMerge/>
            <w:vAlign w:val="bottom"/>
          </w:tcPr>
          <w:p w14:paraId="7C13C3F2" w14:textId="77777777" w:rsidR="004D1935" w:rsidRDefault="004D1935" w:rsidP="00E24DC9"/>
        </w:tc>
      </w:tr>
      <w:tr w:rsidR="004D1935" w14:paraId="6D781EB7" w14:textId="77777777" w:rsidTr="00E24DC9">
        <w:tc>
          <w:tcPr>
            <w:tcW w:w="825" w:type="dxa"/>
            <w:vMerge/>
          </w:tcPr>
          <w:p w14:paraId="4C56368A" w14:textId="77777777" w:rsidR="004D1935" w:rsidRDefault="004D1935" w:rsidP="00E24DC9"/>
        </w:tc>
        <w:tc>
          <w:tcPr>
            <w:tcW w:w="877" w:type="dxa"/>
            <w:tcBorders>
              <w:top w:val="nil"/>
              <w:bottom w:val="nil"/>
            </w:tcBorders>
            <w:vAlign w:val="center"/>
          </w:tcPr>
          <w:p w14:paraId="22771B69"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370.1814</w:t>
            </w:r>
          </w:p>
        </w:tc>
        <w:tc>
          <w:tcPr>
            <w:tcW w:w="2880" w:type="dxa"/>
            <w:vMerge/>
            <w:vAlign w:val="center"/>
          </w:tcPr>
          <w:p w14:paraId="4E63455D" w14:textId="77777777" w:rsidR="004D1935" w:rsidRDefault="004D1935" w:rsidP="00E24DC9"/>
        </w:tc>
        <w:tc>
          <w:tcPr>
            <w:tcW w:w="1465" w:type="dxa"/>
            <w:vMerge/>
            <w:vAlign w:val="center"/>
          </w:tcPr>
          <w:p w14:paraId="5168DFCB" w14:textId="77777777" w:rsidR="004D1935" w:rsidRDefault="004D1935" w:rsidP="00E24DC9"/>
        </w:tc>
        <w:tc>
          <w:tcPr>
            <w:tcW w:w="1137" w:type="dxa"/>
            <w:vMerge/>
          </w:tcPr>
          <w:p w14:paraId="3F5E54E0" w14:textId="77777777" w:rsidR="004D1935" w:rsidRDefault="004D1935" w:rsidP="00E24DC9"/>
        </w:tc>
        <w:tc>
          <w:tcPr>
            <w:tcW w:w="7843" w:type="dxa"/>
            <w:vMerge/>
          </w:tcPr>
          <w:p w14:paraId="20EADEF5" w14:textId="77777777" w:rsidR="004D1935" w:rsidRDefault="004D1935" w:rsidP="00E24DC9"/>
        </w:tc>
      </w:tr>
      <w:tr w:rsidR="004D1935" w14:paraId="0E9A744B" w14:textId="77777777" w:rsidTr="00E24DC9">
        <w:tc>
          <w:tcPr>
            <w:tcW w:w="825" w:type="dxa"/>
            <w:vMerge/>
          </w:tcPr>
          <w:p w14:paraId="343F37C9" w14:textId="77777777" w:rsidR="004D1935" w:rsidRDefault="004D1935" w:rsidP="00E24DC9"/>
        </w:tc>
        <w:tc>
          <w:tcPr>
            <w:tcW w:w="877" w:type="dxa"/>
            <w:tcBorders>
              <w:top w:val="nil"/>
              <w:bottom w:val="nil"/>
            </w:tcBorders>
            <w:vAlign w:val="center"/>
          </w:tcPr>
          <w:p w14:paraId="784BE3AC"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370.2334</w:t>
            </w:r>
          </w:p>
        </w:tc>
        <w:tc>
          <w:tcPr>
            <w:tcW w:w="2880" w:type="dxa"/>
            <w:vMerge/>
            <w:vAlign w:val="center"/>
          </w:tcPr>
          <w:p w14:paraId="126A2C88" w14:textId="77777777" w:rsidR="004D1935" w:rsidRDefault="004D1935" w:rsidP="00E24DC9"/>
        </w:tc>
        <w:tc>
          <w:tcPr>
            <w:tcW w:w="1465" w:type="dxa"/>
            <w:vMerge/>
            <w:vAlign w:val="center"/>
          </w:tcPr>
          <w:p w14:paraId="0E3B1861" w14:textId="77777777" w:rsidR="004D1935" w:rsidRDefault="004D1935" w:rsidP="00E24DC9"/>
        </w:tc>
        <w:tc>
          <w:tcPr>
            <w:tcW w:w="1137" w:type="dxa"/>
            <w:vMerge/>
          </w:tcPr>
          <w:p w14:paraId="0C22F2D8" w14:textId="77777777" w:rsidR="004D1935" w:rsidRDefault="004D1935" w:rsidP="00E24DC9"/>
        </w:tc>
        <w:tc>
          <w:tcPr>
            <w:tcW w:w="7843" w:type="dxa"/>
            <w:vMerge/>
          </w:tcPr>
          <w:p w14:paraId="33CB0563" w14:textId="77777777" w:rsidR="004D1935" w:rsidRDefault="004D1935" w:rsidP="00E24DC9"/>
        </w:tc>
      </w:tr>
      <w:tr w:rsidR="004D1935" w14:paraId="2822824C" w14:textId="77777777" w:rsidTr="00E24DC9">
        <w:tc>
          <w:tcPr>
            <w:tcW w:w="825" w:type="dxa"/>
            <w:vMerge/>
          </w:tcPr>
          <w:p w14:paraId="566C261B" w14:textId="77777777" w:rsidR="004D1935" w:rsidRDefault="004D1935" w:rsidP="00E24DC9"/>
        </w:tc>
        <w:tc>
          <w:tcPr>
            <w:tcW w:w="877" w:type="dxa"/>
            <w:tcBorders>
              <w:top w:val="nil"/>
              <w:bottom w:val="nil"/>
            </w:tcBorders>
            <w:vAlign w:val="center"/>
          </w:tcPr>
          <w:p w14:paraId="0DFEB0E1"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370.2826</w:t>
            </w:r>
          </w:p>
        </w:tc>
        <w:tc>
          <w:tcPr>
            <w:tcW w:w="2880" w:type="dxa"/>
            <w:vMerge/>
            <w:vAlign w:val="center"/>
          </w:tcPr>
          <w:p w14:paraId="7ED45DC2" w14:textId="77777777" w:rsidR="004D1935" w:rsidRDefault="004D1935" w:rsidP="00E24DC9"/>
        </w:tc>
        <w:tc>
          <w:tcPr>
            <w:tcW w:w="1465" w:type="dxa"/>
            <w:vMerge/>
            <w:vAlign w:val="center"/>
          </w:tcPr>
          <w:p w14:paraId="341DDA42" w14:textId="77777777" w:rsidR="004D1935" w:rsidRDefault="004D1935" w:rsidP="00E24DC9"/>
        </w:tc>
        <w:tc>
          <w:tcPr>
            <w:tcW w:w="1137" w:type="dxa"/>
            <w:vMerge/>
          </w:tcPr>
          <w:p w14:paraId="784AD656" w14:textId="77777777" w:rsidR="004D1935" w:rsidRDefault="004D1935" w:rsidP="00E24DC9"/>
        </w:tc>
        <w:tc>
          <w:tcPr>
            <w:tcW w:w="7843" w:type="dxa"/>
            <w:vMerge/>
          </w:tcPr>
          <w:p w14:paraId="6A0DA291" w14:textId="77777777" w:rsidR="004D1935" w:rsidRDefault="004D1935" w:rsidP="00E24DC9"/>
        </w:tc>
      </w:tr>
      <w:tr w:rsidR="004D1935" w14:paraId="13084DF0" w14:textId="77777777" w:rsidTr="00E24DC9">
        <w:tc>
          <w:tcPr>
            <w:tcW w:w="825" w:type="dxa"/>
            <w:vMerge/>
          </w:tcPr>
          <w:p w14:paraId="4EED6D7B" w14:textId="77777777" w:rsidR="004D1935" w:rsidRDefault="004D1935" w:rsidP="00E24DC9"/>
        </w:tc>
        <w:tc>
          <w:tcPr>
            <w:tcW w:w="877" w:type="dxa"/>
            <w:tcBorders>
              <w:top w:val="nil"/>
              <w:bottom w:val="nil"/>
            </w:tcBorders>
            <w:vAlign w:val="center"/>
          </w:tcPr>
          <w:p w14:paraId="058DF9A7"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370.1338</w:t>
            </w:r>
          </w:p>
        </w:tc>
        <w:tc>
          <w:tcPr>
            <w:tcW w:w="2880" w:type="dxa"/>
            <w:vMerge/>
            <w:vAlign w:val="center"/>
          </w:tcPr>
          <w:p w14:paraId="32AF39B6" w14:textId="77777777" w:rsidR="004D1935" w:rsidRDefault="004D1935" w:rsidP="00E24DC9"/>
        </w:tc>
        <w:tc>
          <w:tcPr>
            <w:tcW w:w="1465" w:type="dxa"/>
            <w:vMerge/>
            <w:vAlign w:val="center"/>
          </w:tcPr>
          <w:p w14:paraId="0745BDE2" w14:textId="77777777" w:rsidR="004D1935" w:rsidRDefault="004D1935" w:rsidP="00E24DC9"/>
        </w:tc>
        <w:tc>
          <w:tcPr>
            <w:tcW w:w="1137" w:type="dxa"/>
            <w:vMerge/>
          </w:tcPr>
          <w:p w14:paraId="19923483" w14:textId="77777777" w:rsidR="004D1935" w:rsidRDefault="004D1935" w:rsidP="00E24DC9"/>
        </w:tc>
        <w:tc>
          <w:tcPr>
            <w:tcW w:w="7843" w:type="dxa"/>
            <w:vMerge/>
          </w:tcPr>
          <w:p w14:paraId="18F53BEA" w14:textId="77777777" w:rsidR="004D1935" w:rsidRDefault="004D1935" w:rsidP="00E24DC9"/>
        </w:tc>
      </w:tr>
      <w:tr w:rsidR="004D1935" w14:paraId="0C1D1C70" w14:textId="77777777" w:rsidTr="00E24DC9">
        <w:tc>
          <w:tcPr>
            <w:tcW w:w="825" w:type="dxa"/>
            <w:vMerge/>
          </w:tcPr>
          <w:p w14:paraId="40A2A011" w14:textId="77777777" w:rsidR="004D1935" w:rsidRDefault="004D1935" w:rsidP="00E24DC9"/>
        </w:tc>
        <w:tc>
          <w:tcPr>
            <w:tcW w:w="877" w:type="dxa"/>
            <w:tcBorders>
              <w:top w:val="nil"/>
              <w:bottom w:val="nil"/>
            </w:tcBorders>
            <w:vAlign w:val="center"/>
          </w:tcPr>
          <w:p w14:paraId="39E388A3"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370.2306</w:t>
            </w:r>
          </w:p>
        </w:tc>
        <w:tc>
          <w:tcPr>
            <w:tcW w:w="2880" w:type="dxa"/>
            <w:vMerge/>
            <w:vAlign w:val="center"/>
          </w:tcPr>
          <w:p w14:paraId="68FDB499" w14:textId="77777777" w:rsidR="004D1935" w:rsidRDefault="004D1935" w:rsidP="00E24DC9"/>
        </w:tc>
        <w:tc>
          <w:tcPr>
            <w:tcW w:w="1465" w:type="dxa"/>
            <w:vMerge/>
            <w:vAlign w:val="center"/>
          </w:tcPr>
          <w:p w14:paraId="6806342F" w14:textId="77777777" w:rsidR="004D1935" w:rsidRDefault="004D1935" w:rsidP="00E24DC9"/>
        </w:tc>
        <w:tc>
          <w:tcPr>
            <w:tcW w:w="1137" w:type="dxa"/>
            <w:vMerge/>
          </w:tcPr>
          <w:p w14:paraId="510CF0C6" w14:textId="77777777" w:rsidR="004D1935" w:rsidRDefault="004D1935" w:rsidP="00E24DC9"/>
        </w:tc>
        <w:tc>
          <w:tcPr>
            <w:tcW w:w="7843" w:type="dxa"/>
            <w:vMerge/>
          </w:tcPr>
          <w:p w14:paraId="787DC5E0" w14:textId="77777777" w:rsidR="004D1935" w:rsidRDefault="004D1935" w:rsidP="00E24DC9"/>
        </w:tc>
      </w:tr>
      <w:tr w:rsidR="004D1935" w14:paraId="440F0C02" w14:textId="77777777" w:rsidTr="00E24DC9">
        <w:tc>
          <w:tcPr>
            <w:tcW w:w="825" w:type="dxa"/>
            <w:vMerge/>
          </w:tcPr>
          <w:p w14:paraId="53D8A41E" w14:textId="77777777" w:rsidR="004D1935" w:rsidRDefault="004D1935" w:rsidP="00E24DC9"/>
        </w:tc>
        <w:tc>
          <w:tcPr>
            <w:tcW w:w="877" w:type="dxa"/>
            <w:tcBorders>
              <w:top w:val="nil"/>
              <w:bottom w:val="nil"/>
            </w:tcBorders>
            <w:vAlign w:val="center"/>
          </w:tcPr>
          <w:p w14:paraId="391CEBEA"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370.2768</w:t>
            </w:r>
          </w:p>
        </w:tc>
        <w:tc>
          <w:tcPr>
            <w:tcW w:w="2880" w:type="dxa"/>
            <w:vMerge/>
            <w:vAlign w:val="center"/>
          </w:tcPr>
          <w:p w14:paraId="259341C2" w14:textId="77777777" w:rsidR="004D1935" w:rsidRDefault="004D1935" w:rsidP="00E24DC9"/>
        </w:tc>
        <w:tc>
          <w:tcPr>
            <w:tcW w:w="1465" w:type="dxa"/>
            <w:vMerge/>
            <w:vAlign w:val="center"/>
          </w:tcPr>
          <w:p w14:paraId="1D4E6979" w14:textId="77777777" w:rsidR="004D1935" w:rsidRDefault="004D1935" w:rsidP="00E24DC9"/>
        </w:tc>
        <w:tc>
          <w:tcPr>
            <w:tcW w:w="1137" w:type="dxa"/>
            <w:vMerge/>
          </w:tcPr>
          <w:p w14:paraId="6431110F" w14:textId="77777777" w:rsidR="004D1935" w:rsidRDefault="004D1935" w:rsidP="00E24DC9"/>
        </w:tc>
        <w:tc>
          <w:tcPr>
            <w:tcW w:w="7843" w:type="dxa"/>
            <w:vMerge/>
          </w:tcPr>
          <w:p w14:paraId="49685EF0" w14:textId="77777777" w:rsidR="004D1935" w:rsidRDefault="004D1935" w:rsidP="00E24DC9"/>
        </w:tc>
      </w:tr>
      <w:tr w:rsidR="004D1935" w14:paraId="490AD374" w14:textId="77777777" w:rsidTr="00E24DC9">
        <w:tc>
          <w:tcPr>
            <w:tcW w:w="825" w:type="dxa"/>
            <w:vMerge/>
          </w:tcPr>
          <w:p w14:paraId="104C7502" w14:textId="77777777" w:rsidR="004D1935" w:rsidRDefault="004D1935" w:rsidP="00E24DC9"/>
        </w:tc>
        <w:tc>
          <w:tcPr>
            <w:tcW w:w="877" w:type="dxa"/>
            <w:tcBorders>
              <w:top w:val="nil"/>
              <w:bottom w:val="nil"/>
            </w:tcBorders>
            <w:vAlign w:val="center"/>
          </w:tcPr>
          <w:p w14:paraId="60317DC1"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370.1294</w:t>
            </w:r>
          </w:p>
        </w:tc>
        <w:tc>
          <w:tcPr>
            <w:tcW w:w="2880" w:type="dxa"/>
            <w:vMerge/>
            <w:vAlign w:val="center"/>
          </w:tcPr>
          <w:p w14:paraId="65B23F82" w14:textId="77777777" w:rsidR="004D1935" w:rsidRDefault="004D1935" w:rsidP="00E24DC9"/>
        </w:tc>
        <w:tc>
          <w:tcPr>
            <w:tcW w:w="1465" w:type="dxa"/>
            <w:vMerge/>
            <w:vAlign w:val="center"/>
          </w:tcPr>
          <w:p w14:paraId="023B5BBC" w14:textId="77777777" w:rsidR="004D1935" w:rsidRDefault="004D1935" w:rsidP="00E24DC9"/>
        </w:tc>
        <w:tc>
          <w:tcPr>
            <w:tcW w:w="1137" w:type="dxa"/>
            <w:vMerge/>
          </w:tcPr>
          <w:p w14:paraId="3A3AF84A" w14:textId="77777777" w:rsidR="004D1935" w:rsidRDefault="004D1935" w:rsidP="00E24DC9"/>
        </w:tc>
        <w:tc>
          <w:tcPr>
            <w:tcW w:w="7843" w:type="dxa"/>
            <w:vMerge/>
          </w:tcPr>
          <w:p w14:paraId="0354032F" w14:textId="77777777" w:rsidR="004D1935" w:rsidRDefault="004D1935" w:rsidP="00E24DC9"/>
        </w:tc>
      </w:tr>
      <w:tr w:rsidR="004D1935" w14:paraId="29DD53B1" w14:textId="77777777" w:rsidTr="00E24DC9">
        <w:tc>
          <w:tcPr>
            <w:tcW w:w="825" w:type="dxa"/>
            <w:vMerge/>
          </w:tcPr>
          <w:p w14:paraId="3F5ED785" w14:textId="77777777" w:rsidR="004D1935" w:rsidRDefault="004D1935" w:rsidP="00E24DC9"/>
        </w:tc>
        <w:tc>
          <w:tcPr>
            <w:tcW w:w="877" w:type="dxa"/>
            <w:tcBorders>
              <w:top w:val="nil"/>
              <w:bottom w:val="nil"/>
            </w:tcBorders>
            <w:vAlign w:val="center"/>
          </w:tcPr>
          <w:p w14:paraId="347ED3A5"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370.1727</w:t>
            </w:r>
          </w:p>
        </w:tc>
        <w:tc>
          <w:tcPr>
            <w:tcW w:w="2880" w:type="dxa"/>
            <w:vMerge/>
            <w:vAlign w:val="center"/>
          </w:tcPr>
          <w:p w14:paraId="008A41FA" w14:textId="77777777" w:rsidR="004D1935" w:rsidRDefault="004D1935" w:rsidP="00E24DC9"/>
        </w:tc>
        <w:tc>
          <w:tcPr>
            <w:tcW w:w="1465" w:type="dxa"/>
            <w:vMerge/>
            <w:vAlign w:val="center"/>
          </w:tcPr>
          <w:p w14:paraId="5311CFE9" w14:textId="77777777" w:rsidR="004D1935" w:rsidRDefault="004D1935" w:rsidP="00E24DC9"/>
        </w:tc>
        <w:tc>
          <w:tcPr>
            <w:tcW w:w="1137" w:type="dxa"/>
            <w:vMerge/>
          </w:tcPr>
          <w:p w14:paraId="6D621168" w14:textId="77777777" w:rsidR="004D1935" w:rsidRDefault="004D1935" w:rsidP="00E24DC9"/>
        </w:tc>
        <w:tc>
          <w:tcPr>
            <w:tcW w:w="7843" w:type="dxa"/>
            <w:vMerge/>
          </w:tcPr>
          <w:p w14:paraId="6642C06F" w14:textId="77777777" w:rsidR="004D1935" w:rsidRDefault="004D1935" w:rsidP="00E24DC9"/>
        </w:tc>
      </w:tr>
      <w:tr w:rsidR="004D1935" w14:paraId="0E1B1AF0" w14:textId="77777777" w:rsidTr="00E24DC9">
        <w:tc>
          <w:tcPr>
            <w:tcW w:w="825" w:type="dxa"/>
            <w:vMerge/>
          </w:tcPr>
          <w:p w14:paraId="2AE08053" w14:textId="77777777" w:rsidR="004D1935" w:rsidRDefault="004D1935" w:rsidP="00E24DC9"/>
        </w:tc>
        <w:tc>
          <w:tcPr>
            <w:tcW w:w="877" w:type="dxa"/>
            <w:tcBorders>
              <w:top w:val="nil"/>
              <w:bottom w:val="nil"/>
            </w:tcBorders>
            <w:vAlign w:val="center"/>
          </w:tcPr>
          <w:p w14:paraId="01A7AD86"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370.2161</w:t>
            </w:r>
          </w:p>
        </w:tc>
        <w:tc>
          <w:tcPr>
            <w:tcW w:w="2880" w:type="dxa"/>
            <w:vMerge/>
            <w:vAlign w:val="center"/>
          </w:tcPr>
          <w:p w14:paraId="18B89818" w14:textId="77777777" w:rsidR="004D1935" w:rsidRDefault="004D1935" w:rsidP="00E24DC9"/>
        </w:tc>
        <w:tc>
          <w:tcPr>
            <w:tcW w:w="1465" w:type="dxa"/>
            <w:vMerge/>
            <w:vAlign w:val="center"/>
          </w:tcPr>
          <w:p w14:paraId="7CAF7CD9" w14:textId="77777777" w:rsidR="004D1935" w:rsidRDefault="004D1935" w:rsidP="00E24DC9"/>
        </w:tc>
        <w:tc>
          <w:tcPr>
            <w:tcW w:w="1137" w:type="dxa"/>
            <w:vMerge/>
          </w:tcPr>
          <w:p w14:paraId="73559C02" w14:textId="77777777" w:rsidR="004D1935" w:rsidRDefault="004D1935" w:rsidP="00E24DC9"/>
        </w:tc>
        <w:tc>
          <w:tcPr>
            <w:tcW w:w="7843" w:type="dxa"/>
            <w:vMerge/>
          </w:tcPr>
          <w:p w14:paraId="364EF509" w14:textId="77777777" w:rsidR="004D1935" w:rsidRDefault="004D1935" w:rsidP="00E24DC9"/>
        </w:tc>
      </w:tr>
      <w:tr w:rsidR="004D1935" w14:paraId="6CAD218A" w14:textId="77777777" w:rsidTr="00E24DC9">
        <w:tc>
          <w:tcPr>
            <w:tcW w:w="825" w:type="dxa"/>
            <w:vMerge/>
          </w:tcPr>
          <w:p w14:paraId="40E5134C" w14:textId="77777777" w:rsidR="004D1935" w:rsidRDefault="004D1935" w:rsidP="00E24DC9"/>
        </w:tc>
        <w:tc>
          <w:tcPr>
            <w:tcW w:w="877" w:type="dxa"/>
            <w:tcBorders>
              <w:top w:val="nil"/>
              <w:bottom w:val="nil"/>
            </w:tcBorders>
            <w:vAlign w:val="center"/>
          </w:tcPr>
          <w:p w14:paraId="2F222799"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370.2595</w:t>
            </w:r>
          </w:p>
        </w:tc>
        <w:tc>
          <w:tcPr>
            <w:tcW w:w="2880" w:type="dxa"/>
            <w:vMerge/>
            <w:vAlign w:val="center"/>
          </w:tcPr>
          <w:p w14:paraId="4C55DC04" w14:textId="77777777" w:rsidR="004D1935" w:rsidRDefault="004D1935" w:rsidP="00E24DC9"/>
        </w:tc>
        <w:tc>
          <w:tcPr>
            <w:tcW w:w="1465" w:type="dxa"/>
            <w:vMerge/>
            <w:vAlign w:val="center"/>
          </w:tcPr>
          <w:p w14:paraId="14E67194" w14:textId="77777777" w:rsidR="004D1935" w:rsidRDefault="004D1935" w:rsidP="00E24DC9"/>
        </w:tc>
        <w:tc>
          <w:tcPr>
            <w:tcW w:w="1137" w:type="dxa"/>
            <w:vMerge/>
          </w:tcPr>
          <w:p w14:paraId="679FF25C" w14:textId="77777777" w:rsidR="004D1935" w:rsidRDefault="004D1935" w:rsidP="00E24DC9"/>
        </w:tc>
        <w:tc>
          <w:tcPr>
            <w:tcW w:w="7843" w:type="dxa"/>
            <w:vMerge/>
          </w:tcPr>
          <w:p w14:paraId="7E21AB14" w14:textId="77777777" w:rsidR="004D1935" w:rsidRDefault="004D1935" w:rsidP="00E24DC9"/>
        </w:tc>
      </w:tr>
      <w:tr w:rsidR="004D1935" w14:paraId="60BA13E4" w14:textId="77777777" w:rsidTr="00E24DC9">
        <w:tc>
          <w:tcPr>
            <w:tcW w:w="825" w:type="dxa"/>
            <w:vMerge/>
          </w:tcPr>
          <w:p w14:paraId="48EC8DF7" w14:textId="77777777" w:rsidR="004D1935" w:rsidRDefault="004D1935" w:rsidP="00E24DC9"/>
        </w:tc>
        <w:tc>
          <w:tcPr>
            <w:tcW w:w="877" w:type="dxa"/>
            <w:tcBorders>
              <w:top w:val="nil"/>
              <w:bottom w:val="nil"/>
            </w:tcBorders>
            <w:vAlign w:val="center"/>
          </w:tcPr>
          <w:p w14:paraId="360F06B0"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370.3028</w:t>
            </w:r>
          </w:p>
        </w:tc>
        <w:tc>
          <w:tcPr>
            <w:tcW w:w="2880" w:type="dxa"/>
            <w:vMerge/>
            <w:vAlign w:val="center"/>
          </w:tcPr>
          <w:p w14:paraId="79804C20" w14:textId="77777777" w:rsidR="004D1935" w:rsidRDefault="004D1935" w:rsidP="00E24DC9"/>
        </w:tc>
        <w:tc>
          <w:tcPr>
            <w:tcW w:w="1465" w:type="dxa"/>
            <w:vMerge/>
            <w:vAlign w:val="center"/>
          </w:tcPr>
          <w:p w14:paraId="49F55EB0" w14:textId="77777777" w:rsidR="004D1935" w:rsidRDefault="004D1935" w:rsidP="00E24DC9"/>
        </w:tc>
        <w:tc>
          <w:tcPr>
            <w:tcW w:w="1137" w:type="dxa"/>
            <w:vMerge/>
          </w:tcPr>
          <w:p w14:paraId="653E518A" w14:textId="77777777" w:rsidR="004D1935" w:rsidRDefault="004D1935" w:rsidP="00E24DC9"/>
        </w:tc>
        <w:tc>
          <w:tcPr>
            <w:tcW w:w="7843" w:type="dxa"/>
            <w:vMerge/>
          </w:tcPr>
          <w:p w14:paraId="22CAFF8A" w14:textId="77777777" w:rsidR="004D1935" w:rsidRDefault="004D1935" w:rsidP="00E24DC9"/>
        </w:tc>
      </w:tr>
      <w:tr w:rsidR="004D1935" w14:paraId="4B1C7E97" w14:textId="77777777" w:rsidTr="00E24DC9">
        <w:tc>
          <w:tcPr>
            <w:tcW w:w="825" w:type="dxa"/>
            <w:vMerge/>
          </w:tcPr>
          <w:p w14:paraId="5D9A0BF6" w14:textId="77777777" w:rsidR="004D1935" w:rsidRDefault="004D1935" w:rsidP="00E24DC9"/>
        </w:tc>
        <w:tc>
          <w:tcPr>
            <w:tcW w:w="877" w:type="dxa"/>
            <w:tcBorders>
              <w:top w:val="nil"/>
              <w:bottom w:val="nil"/>
            </w:tcBorders>
            <w:vAlign w:val="center"/>
          </w:tcPr>
          <w:p w14:paraId="79C9B90D"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370.1265</w:t>
            </w:r>
          </w:p>
        </w:tc>
        <w:tc>
          <w:tcPr>
            <w:tcW w:w="2880" w:type="dxa"/>
            <w:vMerge/>
            <w:vAlign w:val="center"/>
          </w:tcPr>
          <w:p w14:paraId="4ACD1C03" w14:textId="77777777" w:rsidR="004D1935" w:rsidRDefault="004D1935" w:rsidP="00E24DC9"/>
        </w:tc>
        <w:tc>
          <w:tcPr>
            <w:tcW w:w="1465" w:type="dxa"/>
            <w:vMerge/>
            <w:vAlign w:val="center"/>
          </w:tcPr>
          <w:p w14:paraId="39B87555" w14:textId="77777777" w:rsidR="004D1935" w:rsidRDefault="004D1935" w:rsidP="00E24DC9"/>
        </w:tc>
        <w:tc>
          <w:tcPr>
            <w:tcW w:w="1137" w:type="dxa"/>
            <w:vMerge/>
          </w:tcPr>
          <w:p w14:paraId="747A1A56" w14:textId="77777777" w:rsidR="004D1935" w:rsidRDefault="004D1935" w:rsidP="00E24DC9"/>
        </w:tc>
        <w:tc>
          <w:tcPr>
            <w:tcW w:w="7843" w:type="dxa"/>
            <w:vMerge/>
          </w:tcPr>
          <w:p w14:paraId="0B515AFE" w14:textId="77777777" w:rsidR="004D1935" w:rsidRDefault="004D1935" w:rsidP="00E24DC9"/>
        </w:tc>
      </w:tr>
      <w:tr w:rsidR="004D1935" w14:paraId="04D5CB29" w14:textId="77777777" w:rsidTr="00E24DC9">
        <w:tc>
          <w:tcPr>
            <w:tcW w:w="825" w:type="dxa"/>
            <w:vMerge/>
          </w:tcPr>
          <w:p w14:paraId="1F31492A" w14:textId="77777777" w:rsidR="004D1935" w:rsidRDefault="004D1935" w:rsidP="00E24DC9"/>
        </w:tc>
        <w:tc>
          <w:tcPr>
            <w:tcW w:w="877" w:type="dxa"/>
            <w:tcBorders>
              <w:top w:val="nil"/>
              <w:bottom w:val="nil"/>
            </w:tcBorders>
            <w:vAlign w:val="center"/>
          </w:tcPr>
          <w:p w14:paraId="40D08FB9"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370.1699</w:t>
            </w:r>
          </w:p>
        </w:tc>
        <w:tc>
          <w:tcPr>
            <w:tcW w:w="2880" w:type="dxa"/>
            <w:vMerge/>
            <w:vAlign w:val="center"/>
          </w:tcPr>
          <w:p w14:paraId="1C268047" w14:textId="77777777" w:rsidR="004D1935" w:rsidRDefault="004D1935" w:rsidP="00E24DC9"/>
        </w:tc>
        <w:tc>
          <w:tcPr>
            <w:tcW w:w="1465" w:type="dxa"/>
            <w:vMerge/>
            <w:vAlign w:val="center"/>
          </w:tcPr>
          <w:p w14:paraId="0C13F5FE" w14:textId="77777777" w:rsidR="004D1935" w:rsidRDefault="004D1935" w:rsidP="00E24DC9"/>
        </w:tc>
        <w:tc>
          <w:tcPr>
            <w:tcW w:w="1137" w:type="dxa"/>
            <w:vMerge/>
          </w:tcPr>
          <w:p w14:paraId="74D0CEB6" w14:textId="77777777" w:rsidR="004D1935" w:rsidRDefault="004D1935" w:rsidP="00E24DC9"/>
        </w:tc>
        <w:tc>
          <w:tcPr>
            <w:tcW w:w="7843" w:type="dxa"/>
            <w:vMerge/>
          </w:tcPr>
          <w:p w14:paraId="09971A3A" w14:textId="77777777" w:rsidR="004D1935" w:rsidRDefault="004D1935" w:rsidP="00E24DC9"/>
        </w:tc>
      </w:tr>
      <w:tr w:rsidR="004D1935" w14:paraId="4BA7B878" w14:textId="77777777" w:rsidTr="00E24DC9">
        <w:tc>
          <w:tcPr>
            <w:tcW w:w="825" w:type="dxa"/>
            <w:vMerge/>
          </w:tcPr>
          <w:p w14:paraId="18DF9E31" w14:textId="77777777" w:rsidR="004D1935" w:rsidRDefault="004D1935" w:rsidP="00E24DC9"/>
        </w:tc>
        <w:tc>
          <w:tcPr>
            <w:tcW w:w="877" w:type="dxa"/>
            <w:tcBorders>
              <w:top w:val="nil"/>
              <w:bottom w:val="nil"/>
            </w:tcBorders>
            <w:vAlign w:val="center"/>
          </w:tcPr>
          <w:p w14:paraId="55C47D6A"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370.1236</w:t>
            </w:r>
          </w:p>
        </w:tc>
        <w:tc>
          <w:tcPr>
            <w:tcW w:w="2880" w:type="dxa"/>
            <w:vMerge/>
            <w:vAlign w:val="center"/>
          </w:tcPr>
          <w:p w14:paraId="6E0C2D83" w14:textId="77777777" w:rsidR="004D1935" w:rsidRDefault="004D1935" w:rsidP="00E24DC9"/>
        </w:tc>
        <w:tc>
          <w:tcPr>
            <w:tcW w:w="1465" w:type="dxa"/>
            <w:vMerge/>
            <w:vAlign w:val="center"/>
          </w:tcPr>
          <w:p w14:paraId="643AEAE8" w14:textId="77777777" w:rsidR="004D1935" w:rsidRDefault="004D1935" w:rsidP="00E24DC9"/>
        </w:tc>
        <w:tc>
          <w:tcPr>
            <w:tcW w:w="1137" w:type="dxa"/>
            <w:vMerge/>
          </w:tcPr>
          <w:p w14:paraId="4352AAE9" w14:textId="77777777" w:rsidR="004D1935" w:rsidRDefault="004D1935" w:rsidP="00E24DC9"/>
        </w:tc>
        <w:tc>
          <w:tcPr>
            <w:tcW w:w="7843" w:type="dxa"/>
            <w:vMerge/>
          </w:tcPr>
          <w:p w14:paraId="5573844F" w14:textId="77777777" w:rsidR="004D1935" w:rsidRDefault="004D1935" w:rsidP="00E24DC9"/>
        </w:tc>
      </w:tr>
      <w:tr w:rsidR="004D1935" w14:paraId="2E61D325" w14:textId="77777777" w:rsidTr="00E24DC9">
        <w:tc>
          <w:tcPr>
            <w:tcW w:w="825" w:type="dxa"/>
            <w:vMerge/>
          </w:tcPr>
          <w:p w14:paraId="7C5CB167" w14:textId="77777777" w:rsidR="004D1935" w:rsidRDefault="004D1935" w:rsidP="00E24DC9"/>
        </w:tc>
        <w:tc>
          <w:tcPr>
            <w:tcW w:w="877" w:type="dxa"/>
            <w:tcBorders>
              <w:top w:val="nil"/>
              <w:bottom w:val="nil"/>
            </w:tcBorders>
            <w:vAlign w:val="center"/>
          </w:tcPr>
          <w:p w14:paraId="0B0EA625"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370.1670</w:t>
            </w:r>
          </w:p>
        </w:tc>
        <w:tc>
          <w:tcPr>
            <w:tcW w:w="2880" w:type="dxa"/>
            <w:vMerge/>
            <w:vAlign w:val="center"/>
          </w:tcPr>
          <w:p w14:paraId="4C08984E" w14:textId="77777777" w:rsidR="004D1935" w:rsidRDefault="004D1935" w:rsidP="00E24DC9"/>
        </w:tc>
        <w:tc>
          <w:tcPr>
            <w:tcW w:w="1465" w:type="dxa"/>
            <w:vMerge/>
            <w:vAlign w:val="center"/>
          </w:tcPr>
          <w:p w14:paraId="00C7D164" w14:textId="77777777" w:rsidR="004D1935" w:rsidRDefault="004D1935" w:rsidP="00E24DC9"/>
        </w:tc>
        <w:tc>
          <w:tcPr>
            <w:tcW w:w="1137" w:type="dxa"/>
            <w:vMerge/>
          </w:tcPr>
          <w:p w14:paraId="0CB88FC5" w14:textId="77777777" w:rsidR="004D1935" w:rsidRDefault="004D1935" w:rsidP="00E24DC9"/>
        </w:tc>
        <w:tc>
          <w:tcPr>
            <w:tcW w:w="7843" w:type="dxa"/>
            <w:vMerge/>
          </w:tcPr>
          <w:p w14:paraId="1F703304" w14:textId="77777777" w:rsidR="004D1935" w:rsidRDefault="004D1935" w:rsidP="00E24DC9"/>
        </w:tc>
      </w:tr>
      <w:tr w:rsidR="004D1935" w14:paraId="2329AD4B" w14:textId="77777777" w:rsidTr="00E24DC9">
        <w:tc>
          <w:tcPr>
            <w:tcW w:w="825" w:type="dxa"/>
            <w:vMerge/>
          </w:tcPr>
          <w:p w14:paraId="79EDF47D" w14:textId="77777777" w:rsidR="004D1935" w:rsidRDefault="004D1935" w:rsidP="00E24DC9"/>
        </w:tc>
        <w:tc>
          <w:tcPr>
            <w:tcW w:w="877" w:type="dxa"/>
            <w:tcBorders>
              <w:top w:val="nil"/>
              <w:bottom w:val="nil"/>
            </w:tcBorders>
            <w:vAlign w:val="center"/>
          </w:tcPr>
          <w:p w14:paraId="38C950E4"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370.2103</w:t>
            </w:r>
          </w:p>
        </w:tc>
        <w:tc>
          <w:tcPr>
            <w:tcW w:w="2880" w:type="dxa"/>
            <w:vMerge/>
            <w:vAlign w:val="center"/>
          </w:tcPr>
          <w:p w14:paraId="1E31053C" w14:textId="77777777" w:rsidR="004D1935" w:rsidRDefault="004D1935" w:rsidP="00E24DC9"/>
        </w:tc>
        <w:tc>
          <w:tcPr>
            <w:tcW w:w="1465" w:type="dxa"/>
            <w:vMerge/>
            <w:vAlign w:val="center"/>
          </w:tcPr>
          <w:p w14:paraId="59A2906F" w14:textId="77777777" w:rsidR="004D1935" w:rsidRDefault="004D1935" w:rsidP="00E24DC9"/>
        </w:tc>
        <w:tc>
          <w:tcPr>
            <w:tcW w:w="1137" w:type="dxa"/>
            <w:vMerge/>
          </w:tcPr>
          <w:p w14:paraId="4C8BD0A9" w14:textId="77777777" w:rsidR="004D1935" w:rsidRDefault="004D1935" w:rsidP="00E24DC9"/>
        </w:tc>
        <w:tc>
          <w:tcPr>
            <w:tcW w:w="7843" w:type="dxa"/>
            <w:vMerge/>
          </w:tcPr>
          <w:p w14:paraId="2AD0B12C" w14:textId="77777777" w:rsidR="004D1935" w:rsidRDefault="004D1935" w:rsidP="00E24DC9"/>
        </w:tc>
      </w:tr>
      <w:tr w:rsidR="004D1935" w14:paraId="3D04821D" w14:textId="77777777" w:rsidTr="00E24DC9">
        <w:tc>
          <w:tcPr>
            <w:tcW w:w="825" w:type="dxa"/>
            <w:vMerge/>
          </w:tcPr>
          <w:p w14:paraId="10E9D497" w14:textId="77777777" w:rsidR="004D1935" w:rsidRDefault="004D1935" w:rsidP="00E24DC9"/>
        </w:tc>
        <w:tc>
          <w:tcPr>
            <w:tcW w:w="877" w:type="dxa"/>
            <w:tcBorders>
              <w:top w:val="nil"/>
              <w:bottom w:val="nil"/>
            </w:tcBorders>
            <w:vAlign w:val="center"/>
          </w:tcPr>
          <w:p w14:paraId="758D5D20"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370.2537</w:t>
            </w:r>
          </w:p>
        </w:tc>
        <w:tc>
          <w:tcPr>
            <w:tcW w:w="2880" w:type="dxa"/>
            <w:vMerge/>
            <w:vAlign w:val="center"/>
          </w:tcPr>
          <w:p w14:paraId="4B3A7E46" w14:textId="77777777" w:rsidR="004D1935" w:rsidRDefault="004D1935" w:rsidP="00E24DC9"/>
        </w:tc>
        <w:tc>
          <w:tcPr>
            <w:tcW w:w="1465" w:type="dxa"/>
            <w:vMerge/>
            <w:vAlign w:val="center"/>
          </w:tcPr>
          <w:p w14:paraId="1E0B21C4" w14:textId="77777777" w:rsidR="004D1935" w:rsidRDefault="004D1935" w:rsidP="00E24DC9"/>
        </w:tc>
        <w:tc>
          <w:tcPr>
            <w:tcW w:w="1137" w:type="dxa"/>
            <w:vMerge/>
          </w:tcPr>
          <w:p w14:paraId="2C1B29FB" w14:textId="77777777" w:rsidR="004D1935" w:rsidRDefault="004D1935" w:rsidP="00E24DC9"/>
        </w:tc>
        <w:tc>
          <w:tcPr>
            <w:tcW w:w="7843" w:type="dxa"/>
            <w:vMerge/>
          </w:tcPr>
          <w:p w14:paraId="29264A7E" w14:textId="77777777" w:rsidR="004D1935" w:rsidRDefault="004D1935" w:rsidP="00E24DC9"/>
        </w:tc>
      </w:tr>
      <w:tr w:rsidR="004D1935" w14:paraId="2D3D563F" w14:textId="77777777" w:rsidTr="00E24DC9">
        <w:tc>
          <w:tcPr>
            <w:tcW w:w="825" w:type="dxa"/>
            <w:vMerge/>
          </w:tcPr>
          <w:p w14:paraId="7100712B" w14:textId="77777777" w:rsidR="004D1935" w:rsidRDefault="004D1935" w:rsidP="00E24DC9"/>
        </w:tc>
        <w:tc>
          <w:tcPr>
            <w:tcW w:w="877" w:type="dxa"/>
            <w:tcBorders>
              <w:top w:val="nil"/>
              <w:bottom w:val="nil"/>
            </w:tcBorders>
            <w:vAlign w:val="center"/>
          </w:tcPr>
          <w:p w14:paraId="39026845"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370.2970</w:t>
            </w:r>
          </w:p>
        </w:tc>
        <w:tc>
          <w:tcPr>
            <w:tcW w:w="2880" w:type="dxa"/>
            <w:vMerge/>
            <w:vAlign w:val="center"/>
          </w:tcPr>
          <w:p w14:paraId="2C66FD67" w14:textId="77777777" w:rsidR="004D1935" w:rsidRDefault="004D1935" w:rsidP="00E24DC9"/>
        </w:tc>
        <w:tc>
          <w:tcPr>
            <w:tcW w:w="1465" w:type="dxa"/>
            <w:vMerge/>
            <w:vAlign w:val="center"/>
          </w:tcPr>
          <w:p w14:paraId="06142633" w14:textId="77777777" w:rsidR="004D1935" w:rsidRDefault="004D1935" w:rsidP="00E24DC9"/>
        </w:tc>
        <w:tc>
          <w:tcPr>
            <w:tcW w:w="1137" w:type="dxa"/>
            <w:vMerge/>
          </w:tcPr>
          <w:p w14:paraId="4E0A1478" w14:textId="77777777" w:rsidR="004D1935" w:rsidRDefault="004D1935" w:rsidP="00E24DC9"/>
        </w:tc>
        <w:tc>
          <w:tcPr>
            <w:tcW w:w="7843" w:type="dxa"/>
            <w:vMerge/>
          </w:tcPr>
          <w:p w14:paraId="73C0244B" w14:textId="77777777" w:rsidR="004D1935" w:rsidRDefault="004D1935" w:rsidP="00E24DC9"/>
        </w:tc>
      </w:tr>
      <w:tr w:rsidR="004D1935" w14:paraId="5F9A5439" w14:textId="77777777" w:rsidTr="00E24DC9">
        <w:tc>
          <w:tcPr>
            <w:tcW w:w="825" w:type="dxa"/>
            <w:vMerge/>
          </w:tcPr>
          <w:p w14:paraId="25227240" w14:textId="77777777" w:rsidR="004D1935" w:rsidRDefault="004D1935" w:rsidP="00E24DC9"/>
        </w:tc>
        <w:tc>
          <w:tcPr>
            <w:tcW w:w="877" w:type="dxa"/>
            <w:tcBorders>
              <w:top w:val="nil"/>
              <w:bottom w:val="nil"/>
            </w:tcBorders>
            <w:vAlign w:val="center"/>
          </w:tcPr>
          <w:p w14:paraId="3585C00A"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370.1323</w:t>
            </w:r>
          </w:p>
        </w:tc>
        <w:tc>
          <w:tcPr>
            <w:tcW w:w="2880" w:type="dxa"/>
            <w:vMerge/>
            <w:vAlign w:val="center"/>
          </w:tcPr>
          <w:p w14:paraId="672521B6" w14:textId="77777777" w:rsidR="004D1935" w:rsidRDefault="004D1935" w:rsidP="00E24DC9"/>
        </w:tc>
        <w:tc>
          <w:tcPr>
            <w:tcW w:w="1465" w:type="dxa"/>
            <w:vMerge/>
            <w:vAlign w:val="center"/>
          </w:tcPr>
          <w:p w14:paraId="168B3A68" w14:textId="77777777" w:rsidR="004D1935" w:rsidRDefault="004D1935" w:rsidP="00E24DC9"/>
        </w:tc>
        <w:tc>
          <w:tcPr>
            <w:tcW w:w="1137" w:type="dxa"/>
            <w:vMerge/>
          </w:tcPr>
          <w:p w14:paraId="764C61D9" w14:textId="77777777" w:rsidR="004D1935" w:rsidRDefault="004D1935" w:rsidP="00E24DC9"/>
        </w:tc>
        <w:tc>
          <w:tcPr>
            <w:tcW w:w="7843" w:type="dxa"/>
            <w:vMerge/>
          </w:tcPr>
          <w:p w14:paraId="6B52B944" w14:textId="77777777" w:rsidR="004D1935" w:rsidRDefault="004D1935" w:rsidP="00E24DC9"/>
        </w:tc>
      </w:tr>
      <w:tr w:rsidR="004D1935" w14:paraId="3BAE77BD" w14:textId="77777777" w:rsidTr="00E24DC9">
        <w:tc>
          <w:tcPr>
            <w:tcW w:w="825" w:type="dxa"/>
            <w:vMerge/>
          </w:tcPr>
          <w:p w14:paraId="3E9DE58D" w14:textId="77777777" w:rsidR="004D1935" w:rsidRDefault="004D1935" w:rsidP="00E24DC9"/>
        </w:tc>
        <w:tc>
          <w:tcPr>
            <w:tcW w:w="877" w:type="dxa"/>
            <w:tcBorders>
              <w:top w:val="nil"/>
              <w:bottom w:val="nil"/>
            </w:tcBorders>
            <w:vAlign w:val="center"/>
          </w:tcPr>
          <w:p w14:paraId="4A7C19B4"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370.2248</w:t>
            </w:r>
          </w:p>
        </w:tc>
        <w:tc>
          <w:tcPr>
            <w:tcW w:w="2880" w:type="dxa"/>
            <w:vMerge/>
            <w:vAlign w:val="center"/>
          </w:tcPr>
          <w:p w14:paraId="15F2F32C" w14:textId="77777777" w:rsidR="004D1935" w:rsidRDefault="004D1935" w:rsidP="00E24DC9"/>
        </w:tc>
        <w:tc>
          <w:tcPr>
            <w:tcW w:w="1465" w:type="dxa"/>
            <w:vMerge/>
            <w:vAlign w:val="center"/>
          </w:tcPr>
          <w:p w14:paraId="24679E3A" w14:textId="77777777" w:rsidR="004D1935" w:rsidRDefault="004D1935" w:rsidP="00E24DC9"/>
        </w:tc>
        <w:tc>
          <w:tcPr>
            <w:tcW w:w="1137" w:type="dxa"/>
            <w:vMerge/>
          </w:tcPr>
          <w:p w14:paraId="362DD63C" w14:textId="77777777" w:rsidR="004D1935" w:rsidRDefault="004D1935" w:rsidP="00E24DC9"/>
        </w:tc>
        <w:tc>
          <w:tcPr>
            <w:tcW w:w="7843" w:type="dxa"/>
            <w:vMerge/>
          </w:tcPr>
          <w:p w14:paraId="17809A5C" w14:textId="77777777" w:rsidR="004D1935" w:rsidRDefault="004D1935" w:rsidP="00E24DC9"/>
        </w:tc>
      </w:tr>
      <w:tr w:rsidR="004D1935" w14:paraId="63FB3EF5" w14:textId="77777777" w:rsidTr="00E24DC9">
        <w:tc>
          <w:tcPr>
            <w:tcW w:w="825" w:type="dxa"/>
            <w:vMerge/>
          </w:tcPr>
          <w:p w14:paraId="2F346FF8" w14:textId="77777777" w:rsidR="004D1935" w:rsidRDefault="004D1935" w:rsidP="00E24DC9"/>
        </w:tc>
        <w:tc>
          <w:tcPr>
            <w:tcW w:w="877" w:type="dxa"/>
            <w:tcBorders>
              <w:top w:val="nil"/>
              <w:bottom w:val="nil"/>
            </w:tcBorders>
            <w:vAlign w:val="center"/>
          </w:tcPr>
          <w:p w14:paraId="09B83C90"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370.2681</w:t>
            </w:r>
          </w:p>
        </w:tc>
        <w:tc>
          <w:tcPr>
            <w:tcW w:w="2880" w:type="dxa"/>
            <w:vMerge/>
            <w:vAlign w:val="center"/>
          </w:tcPr>
          <w:p w14:paraId="7BF80E04" w14:textId="77777777" w:rsidR="004D1935" w:rsidRDefault="004D1935" w:rsidP="00E24DC9"/>
        </w:tc>
        <w:tc>
          <w:tcPr>
            <w:tcW w:w="1465" w:type="dxa"/>
            <w:vMerge/>
            <w:vAlign w:val="center"/>
          </w:tcPr>
          <w:p w14:paraId="763EA803" w14:textId="77777777" w:rsidR="004D1935" w:rsidRDefault="004D1935" w:rsidP="00E24DC9"/>
        </w:tc>
        <w:tc>
          <w:tcPr>
            <w:tcW w:w="1137" w:type="dxa"/>
            <w:vMerge/>
          </w:tcPr>
          <w:p w14:paraId="5CC05EF8" w14:textId="77777777" w:rsidR="004D1935" w:rsidRDefault="004D1935" w:rsidP="00E24DC9"/>
        </w:tc>
        <w:tc>
          <w:tcPr>
            <w:tcW w:w="7843" w:type="dxa"/>
            <w:vMerge/>
          </w:tcPr>
          <w:p w14:paraId="5B082EE0" w14:textId="77777777" w:rsidR="004D1935" w:rsidRDefault="004D1935" w:rsidP="00E24DC9"/>
        </w:tc>
      </w:tr>
      <w:tr w:rsidR="004D1935" w14:paraId="5E9BEA42" w14:textId="77777777" w:rsidTr="00E24DC9">
        <w:tc>
          <w:tcPr>
            <w:tcW w:w="825" w:type="dxa"/>
            <w:vMerge/>
          </w:tcPr>
          <w:p w14:paraId="38AB3950" w14:textId="77777777" w:rsidR="004D1935" w:rsidRDefault="004D1935" w:rsidP="00E24DC9"/>
        </w:tc>
        <w:tc>
          <w:tcPr>
            <w:tcW w:w="877" w:type="dxa"/>
            <w:tcBorders>
              <w:top w:val="nil"/>
              <w:bottom w:val="nil"/>
            </w:tcBorders>
            <w:vAlign w:val="center"/>
          </w:tcPr>
          <w:p w14:paraId="1BC272A7"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370.1756</w:t>
            </w:r>
          </w:p>
        </w:tc>
        <w:tc>
          <w:tcPr>
            <w:tcW w:w="2880" w:type="dxa"/>
            <w:vMerge/>
            <w:vAlign w:val="center"/>
          </w:tcPr>
          <w:p w14:paraId="0DB53A2D" w14:textId="77777777" w:rsidR="004D1935" w:rsidRDefault="004D1935" w:rsidP="00E24DC9"/>
        </w:tc>
        <w:tc>
          <w:tcPr>
            <w:tcW w:w="1465" w:type="dxa"/>
            <w:vMerge/>
            <w:vAlign w:val="center"/>
          </w:tcPr>
          <w:p w14:paraId="7C858B17" w14:textId="77777777" w:rsidR="004D1935" w:rsidRDefault="004D1935" w:rsidP="00E24DC9"/>
        </w:tc>
        <w:tc>
          <w:tcPr>
            <w:tcW w:w="1137" w:type="dxa"/>
            <w:vMerge/>
          </w:tcPr>
          <w:p w14:paraId="2A35DAC8" w14:textId="77777777" w:rsidR="004D1935" w:rsidRDefault="004D1935" w:rsidP="00E24DC9"/>
        </w:tc>
        <w:tc>
          <w:tcPr>
            <w:tcW w:w="7843" w:type="dxa"/>
            <w:vMerge/>
          </w:tcPr>
          <w:p w14:paraId="6F16F402" w14:textId="77777777" w:rsidR="004D1935" w:rsidRDefault="004D1935" w:rsidP="00E24DC9"/>
        </w:tc>
      </w:tr>
      <w:tr w:rsidR="004D1935" w14:paraId="2ECAC515" w14:textId="77777777" w:rsidTr="00E24DC9">
        <w:tc>
          <w:tcPr>
            <w:tcW w:w="825" w:type="dxa"/>
            <w:vMerge/>
          </w:tcPr>
          <w:p w14:paraId="1E76D7CC" w14:textId="77777777" w:rsidR="004D1935" w:rsidRDefault="004D1935" w:rsidP="00E24DC9"/>
        </w:tc>
        <w:tc>
          <w:tcPr>
            <w:tcW w:w="877" w:type="dxa"/>
            <w:tcBorders>
              <w:top w:val="nil"/>
              <w:bottom w:val="nil"/>
            </w:tcBorders>
            <w:vAlign w:val="center"/>
          </w:tcPr>
          <w:p w14:paraId="50415D36"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370.2190</w:t>
            </w:r>
          </w:p>
        </w:tc>
        <w:tc>
          <w:tcPr>
            <w:tcW w:w="2880" w:type="dxa"/>
            <w:vMerge/>
            <w:vAlign w:val="center"/>
          </w:tcPr>
          <w:p w14:paraId="76A1D1FB" w14:textId="77777777" w:rsidR="004D1935" w:rsidRDefault="004D1935" w:rsidP="00E24DC9"/>
        </w:tc>
        <w:tc>
          <w:tcPr>
            <w:tcW w:w="1465" w:type="dxa"/>
            <w:vMerge/>
            <w:vAlign w:val="center"/>
          </w:tcPr>
          <w:p w14:paraId="39018391" w14:textId="77777777" w:rsidR="004D1935" w:rsidRDefault="004D1935" w:rsidP="00E24DC9"/>
        </w:tc>
        <w:tc>
          <w:tcPr>
            <w:tcW w:w="1137" w:type="dxa"/>
            <w:vMerge/>
          </w:tcPr>
          <w:p w14:paraId="0A213569" w14:textId="77777777" w:rsidR="004D1935" w:rsidRDefault="004D1935" w:rsidP="00E24DC9"/>
        </w:tc>
        <w:tc>
          <w:tcPr>
            <w:tcW w:w="7843" w:type="dxa"/>
            <w:vMerge/>
          </w:tcPr>
          <w:p w14:paraId="370AA78E" w14:textId="77777777" w:rsidR="004D1935" w:rsidRDefault="004D1935" w:rsidP="00E24DC9"/>
        </w:tc>
      </w:tr>
      <w:tr w:rsidR="004D1935" w14:paraId="352862E2" w14:textId="77777777" w:rsidTr="00E24DC9">
        <w:tc>
          <w:tcPr>
            <w:tcW w:w="825" w:type="dxa"/>
            <w:vMerge/>
          </w:tcPr>
          <w:p w14:paraId="33F78FF2" w14:textId="77777777" w:rsidR="004D1935" w:rsidRDefault="004D1935" w:rsidP="00E24DC9"/>
        </w:tc>
        <w:tc>
          <w:tcPr>
            <w:tcW w:w="877" w:type="dxa"/>
            <w:tcBorders>
              <w:top w:val="nil"/>
              <w:bottom w:val="nil"/>
            </w:tcBorders>
            <w:vAlign w:val="center"/>
          </w:tcPr>
          <w:p w14:paraId="3B59FE2C"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370.2624</w:t>
            </w:r>
          </w:p>
        </w:tc>
        <w:tc>
          <w:tcPr>
            <w:tcW w:w="2880" w:type="dxa"/>
            <w:vMerge/>
            <w:vAlign w:val="center"/>
          </w:tcPr>
          <w:p w14:paraId="0678ADDD" w14:textId="77777777" w:rsidR="004D1935" w:rsidRDefault="004D1935" w:rsidP="00E24DC9"/>
        </w:tc>
        <w:tc>
          <w:tcPr>
            <w:tcW w:w="1465" w:type="dxa"/>
            <w:vMerge/>
            <w:vAlign w:val="center"/>
          </w:tcPr>
          <w:p w14:paraId="5EB29C86" w14:textId="77777777" w:rsidR="004D1935" w:rsidRDefault="004D1935" w:rsidP="00E24DC9"/>
        </w:tc>
        <w:tc>
          <w:tcPr>
            <w:tcW w:w="1137" w:type="dxa"/>
            <w:vMerge/>
          </w:tcPr>
          <w:p w14:paraId="052BA516" w14:textId="77777777" w:rsidR="004D1935" w:rsidRDefault="004D1935" w:rsidP="00E24DC9"/>
        </w:tc>
        <w:tc>
          <w:tcPr>
            <w:tcW w:w="7843" w:type="dxa"/>
            <w:vMerge/>
          </w:tcPr>
          <w:p w14:paraId="7668FFC0" w14:textId="77777777" w:rsidR="004D1935" w:rsidRDefault="004D1935" w:rsidP="00E24DC9"/>
        </w:tc>
      </w:tr>
      <w:tr w:rsidR="004D1935" w14:paraId="72D7DEF5" w14:textId="77777777" w:rsidTr="00E24DC9">
        <w:tc>
          <w:tcPr>
            <w:tcW w:w="825" w:type="dxa"/>
            <w:vMerge/>
          </w:tcPr>
          <w:p w14:paraId="696654EF" w14:textId="77777777" w:rsidR="004D1935" w:rsidRDefault="004D1935" w:rsidP="00E24DC9"/>
        </w:tc>
        <w:tc>
          <w:tcPr>
            <w:tcW w:w="877" w:type="dxa"/>
            <w:tcBorders>
              <w:top w:val="nil"/>
              <w:bottom w:val="nil"/>
            </w:tcBorders>
            <w:vAlign w:val="center"/>
          </w:tcPr>
          <w:p w14:paraId="15D5570D"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370.1337</w:t>
            </w:r>
          </w:p>
        </w:tc>
        <w:tc>
          <w:tcPr>
            <w:tcW w:w="2880" w:type="dxa"/>
            <w:vMerge/>
            <w:vAlign w:val="center"/>
          </w:tcPr>
          <w:p w14:paraId="34795BB9" w14:textId="77777777" w:rsidR="004D1935" w:rsidRDefault="004D1935" w:rsidP="00E24DC9"/>
        </w:tc>
        <w:tc>
          <w:tcPr>
            <w:tcW w:w="1465" w:type="dxa"/>
            <w:vMerge/>
            <w:vAlign w:val="center"/>
          </w:tcPr>
          <w:p w14:paraId="2EC0A56B" w14:textId="77777777" w:rsidR="004D1935" w:rsidRDefault="004D1935" w:rsidP="00E24DC9"/>
        </w:tc>
        <w:tc>
          <w:tcPr>
            <w:tcW w:w="1137" w:type="dxa"/>
            <w:vMerge/>
          </w:tcPr>
          <w:p w14:paraId="2F96D236" w14:textId="77777777" w:rsidR="004D1935" w:rsidRDefault="004D1935" w:rsidP="00E24DC9"/>
        </w:tc>
        <w:tc>
          <w:tcPr>
            <w:tcW w:w="7843" w:type="dxa"/>
            <w:vMerge/>
          </w:tcPr>
          <w:p w14:paraId="480B4160" w14:textId="77777777" w:rsidR="004D1935" w:rsidRDefault="004D1935" w:rsidP="00E24DC9"/>
        </w:tc>
      </w:tr>
      <w:tr w:rsidR="004D1935" w14:paraId="129DCB1D" w14:textId="77777777" w:rsidTr="00E24DC9">
        <w:tc>
          <w:tcPr>
            <w:tcW w:w="825" w:type="dxa"/>
            <w:vMerge/>
          </w:tcPr>
          <w:p w14:paraId="5E914A19" w14:textId="77777777" w:rsidR="004D1935" w:rsidRDefault="004D1935" w:rsidP="00E24DC9"/>
        </w:tc>
        <w:tc>
          <w:tcPr>
            <w:tcW w:w="877" w:type="dxa"/>
            <w:tcBorders>
              <w:top w:val="nil"/>
              <w:bottom w:val="nil"/>
            </w:tcBorders>
            <w:vAlign w:val="center"/>
          </w:tcPr>
          <w:p w14:paraId="06D48CE8"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370.1367</w:t>
            </w:r>
          </w:p>
        </w:tc>
        <w:tc>
          <w:tcPr>
            <w:tcW w:w="2880" w:type="dxa"/>
            <w:vMerge/>
            <w:vAlign w:val="center"/>
          </w:tcPr>
          <w:p w14:paraId="232E625F" w14:textId="77777777" w:rsidR="004D1935" w:rsidRDefault="004D1935" w:rsidP="00E24DC9"/>
        </w:tc>
        <w:tc>
          <w:tcPr>
            <w:tcW w:w="1465" w:type="dxa"/>
            <w:vMerge/>
            <w:vAlign w:val="center"/>
          </w:tcPr>
          <w:p w14:paraId="458091EE" w14:textId="77777777" w:rsidR="004D1935" w:rsidRDefault="004D1935" w:rsidP="00E24DC9"/>
        </w:tc>
        <w:tc>
          <w:tcPr>
            <w:tcW w:w="1137" w:type="dxa"/>
            <w:vMerge/>
          </w:tcPr>
          <w:p w14:paraId="706B32DF" w14:textId="77777777" w:rsidR="004D1935" w:rsidRDefault="004D1935" w:rsidP="00E24DC9"/>
        </w:tc>
        <w:tc>
          <w:tcPr>
            <w:tcW w:w="7843" w:type="dxa"/>
            <w:vMerge/>
          </w:tcPr>
          <w:p w14:paraId="5B8B85ED" w14:textId="77777777" w:rsidR="004D1935" w:rsidRDefault="004D1935" w:rsidP="00E24DC9"/>
        </w:tc>
      </w:tr>
      <w:tr w:rsidR="004D1935" w14:paraId="30E1922E" w14:textId="77777777" w:rsidTr="00E24DC9">
        <w:tc>
          <w:tcPr>
            <w:tcW w:w="825" w:type="dxa"/>
            <w:vMerge/>
          </w:tcPr>
          <w:p w14:paraId="4A85CE3C" w14:textId="77777777" w:rsidR="004D1935" w:rsidRDefault="004D1935" w:rsidP="00E24DC9"/>
        </w:tc>
        <w:tc>
          <w:tcPr>
            <w:tcW w:w="877" w:type="dxa"/>
            <w:tcBorders>
              <w:top w:val="nil"/>
              <w:bottom w:val="nil"/>
            </w:tcBorders>
            <w:vAlign w:val="center"/>
          </w:tcPr>
          <w:p w14:paraId="0A459E34"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370.2277</w:t>
            </w:r>
          </w:p>
        </w:tc>
        <w:tc>
          <w:tcPr>
            <w:tcW w:w="2880" w:type="dxa"/>
            <w:vMerge/>
            <w:vAlign w:val="center"/>
          </w:tcPr>
          <w:p w14:paraId="2BD2F288" w14:textId="77777777" w:rsidR="004D1935" w:rsidRDefault="004D1935" w:rsidP="00E24DC9"/>
        </w:tc>
        <w:tc>
          <w:tcPr>
            <w:tcW w:w="1465" w:type="dxa"/>
            <w:vMerge/>
            <w:vAlign w:val="center"/>
          </w:tcPr>
          <w:p w14:paraId="56AF0360" w14:textId="77777777" w:rsidR="004D1935" w:rsidRDefault="004D1935" w:rsidP="00E24DC9"/>
        </w:tc>
        <w:tc>
          <w:tcPr>
            <w:tcW w:w="1137" w:type="dxa"/>
            <w:vMerge/>
          </w:tcPr>
          <w:p w14:paraId="13216E04" w14:textId="77777777" w:rsidR="004D1935" w:rsidRDefault="004D1935" w:rsidP="00E24DC9"/>
        </w:tc>
        <w:tc>
          <w:tcPr>
            <w:tcW w:w="7843" w:type="dxa"/>
            <w:vMerge/>
          </w:tcPr>
          <w:p w14:paraId="048657C3" w14:textId="77777777" w:rsidR="004D1935" w:rsidRDefault="004D1935" w:rsidP="00E24DC9"/>
        </w:tc>
      </w:tr>
      <w:tr w:rsidR="004D1935" w14:paraId="1A9337E7" w14:textId="77777777" w:rsidTr="00E24DC9">
        <w:tc>
          <w:tcPr>
            <w:tcW w:w="825" w:type="dxa"/>
            <w:vMerge/>
          </w:tcPr>
          <w:p w14:paraId="58B1CD58" w14:textId="77777777" w:rsidR="004D1935" w:rsidRDefault="004D1935" w:rsidP="00E24DC9"/>
        </w:tc>
        <w:tc>
          <w:tcPr>
            <w:tcW w:w="877" w:type="dxa"/>
            <w:tcBorders>
              <w:top w:val="nil"/>
              <w:bottom w:val="single" w:sz="4" w:space="0" w:color="auto"/>
            </w:tcBorders>
            <w:vAlign w:val="center"/>
          </w:tcPr>
          <w:p w14:paraId="381F929E" w14:textId="77777777" w:rsidR="004D1935" w:rsidRPr="0064730E" w:rsidRDefault="004D1935" w:rsidP="00E24DC9">
            <w:pPr>
              <w:jc w:val="center"/>
              <w:rPr>
                <w:rFonts w:ascii="Calibri" w:hAnsi="Calibri" w:cs="Calibri"/>
                <w:color w:val="000000"/>
                <w:sz w:val="13"/>
                <w:szCs w:val="13"/>
              </w:rPr>
            </w:pPr>
            <w:r w:rsidRPr="0064730E">
              <w:rPr>
                <w:rFonts w:ascii="Calibri" w:hAnsi="Calibri" w:cs="Calibri"/>
                <w:color w:val="000000"/>
                <w:sz w:val="13"/>
                <w:szCs w:val="13"/>
              </w:rPr>
              <w:t>370.2710</w:t>
            </w:r>
          </w:p>
        </w:tc>
        <w:tc>
          <w:tcPr>
            <w:tcW w:w="2880" w:type="dxa"/>
            <w:vMerge/>
            <w:vAlign w:val="center"/>
          </w:tcPr>
          <w:p w14:paraId="2E489596" w14:textId="77777777" w:rsidR="004D1935" w:rsidRDefault="004D1935" w:rsidP="00E24DC9"/>
        </w:tc>
        <w:tc>
          <w:tcPr>
            <w:tcW w:w="1465" w:type="dxa"/>
            <w:vMerge/>
            <w:vAlign w:val="center"/>
          </w:tcPr>
          <w:p w14:paraId="319F5B55" w14:textId="77777777" w:rsidR="004D1935" w:rsidRDefault="004D1935" w:rsidP="00E24DC9"/>
        </w:tc>
        <w:tc>
          <w:tcPr>
            <w:tcW w:w="1137" w:type="dxa"/>
            <w:vMerge/>
          </w:tcPr>
          <w:p w14:paraId="497F9C6D" w14:textId="77777777" w:rsidR="004D1935" w:rsidRDefault="004D1935" w:rsidP="00E24DC9"/>
        </w:tc>
        <w:tc>
          <w:tcPr>
            <w:tcW w:w="7843" w:type="dxa"/>
            <w:vMerge/>
          </w:tcPr>
          <w:p w14:paraId="3FA0E58D" w14:textId="77777777" w:rsidR="004D1935" w:rsidRDefault="004D1935" w:rsidP="00E24DC9"/>
        </w:tc>
      </w:tr>
      <w:tr w:rsidR="004D1935" w14:paraId="47D83968" w14:textId="77777777" w:rsidTr="00E24DC9">
        <w:tc>
          <w:tcPr>
            <w:tcW w:w="825" w:type="dxa"/>
            <w:vMerge w:val="restart"/>
            <w:vAlign w:val="center"/>
          </w:tcPr>
          <w:p w14:paraId="1CD45F0E" w14:textId="77777777" w:rsidR="004D1935" w:rsidRDefault="004D1935" w:rsidP="00E24DC9">
            <w:pPr>
              <w:jc w:val="center"/>
            </w:pPr>
            <w:r>
              <w:lastRenderedPageBreak/>
              <w:t>K</w:t>
            </w:r>
          </w:p>
        </w:tc>
        <w:tc>
          <w:tcPr>
            <w:tcW w:w="877" w:type="dxa"/>
            <w:tcBorders>
              <w:bottom w:val="nil"/>
            </w:tcBorders>
            <w:vAlign w:val="center"/>
          </w:tcPr>
          <w:p w14:paraId="1A4F502A" w14:textId="77777777" w:rsidR="004D1935" w:rsidRPr="0064730E" w:rsidRDefault="004D1935" w:rsidP="00E24DC9">
            <w:pPr>
              <w:rPr>
                <w:rFonts w:ascii="Calibri" w:hAnsi="Calibri" w:cs="Calibri"/>
                <w:color w:val="000000"/>
                <w:sz w:val="13"/>
                <w:szCs w:val="13"/>
              </w:rPr>
            </w:pPr>
            <w:r w:rsidRPr="0064730E">
              <w:rPr>
                <w:rFonts w:ascii="Calibri" w:hAnsi="Calibri" w:cs="Calibri"/>
                <w:color w:val="000000"/>
                <w:sz w:val="13"/>
                <w:szCs w:val="13"/>
              </w:rPr>
              <w:t>354.0267</w:t>
            </w:r>
          </w:p>
        </w:tc>
        <w:tc>
          <w:tcPr>
            <w:tcW w:w="2880" w:type="dxa"/>
            <w:vMerge w:val="restart"/>
            <w:vAlign w:val="center"/>
          </w:tcPr>
          <w:p w14:paraId="6FC317F2"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5-amino-6-(5-phospho-D-ribosylamino)uracil</w:t>
            </w:r>
          </w:p>
          <w:p w14:paraId="2A7AA410"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scopolin</w:t>
            </w:r>
          </w:p>
          <w:p w14:paraId="3DF4CB1C"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xanthohumol</w:t>
            </w:r>
          </w:p>
          <w:p w14:paraId="7320CE15"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glyceollin IV</w:t>
            </w:r>
          </w:p>
          <w:p w14:paraId="4C8EDE75"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17-O-acetylnorajmaline</w:t>
            </w:r>
          </w:p>
        </w:tc>
        <w:tc>
          <w:tcPr>
            <w:tcW w:w="1465" w:type="dxa"/>
            <w:vMerge w:val="restart"/>
            <w:vAlign w:val="center"/>
          </w:tcPr>
          <w:p w14:paraId="1FF91ED3"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nucleotide/aromatic amine</w:t>
            </w:r>
          </w:p>
          <w:p w14:paraId="332042D8"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glucoside</w:t>
            </w:r>
          </w:p>
          <w:p w14:paraId="77B1292A"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flavonoid/keton</w:t>
            </w:r>
          </w:p>
          <w:p w14:paraId="62852226"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flavonoid</w:t>
            </w:r>
          </w:p>
          <w:p w14:paraId="287BE93E"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alkaloid</w:t>
            </w:r>
          </w:p>
        </w:tc>
        <w:tc>
          <w:tcPr>
            <w:tcW w:w="1137" w:type="dxa"/>
            <w:vMerge w:val="restart"/>
            <w:vAlign w:val="center"/>
          </w:tcPr>
          <w:p w14:paraId="34AFB668" w14:textId="77777777" w:rsidR="004D1935" w:rsidRPr="0064730E" w:rsidRDefault="004D1935" w:rsidP="00E24DC9">
            <w:pPr>
              <w:jc w:val="center"/>
              <w:rPr>
                <w:color w:val="000000" w:themeColor="text1"/>
                <w:sz w:val="15"/>
                <w:szCs w:val="15"/>
              </w:rPr>
            </w:pPr>
            <w:r w:rsidRPr="0064730E">
              <w:rPr>
                <w:rFonts w:ascii="Arial" w:hAnsi="Arial" w:cs="Arial"/>
                <w:color w:val="000000" w:themeColor="text1"/>
                <w:sz w:val="15"/>
                <w:szCs w:val="15"/>
                <w:shd w:val="clear" w:color="auto" w:fill="FFFFFF"/>
              </w:rPr>
              <w:t>C</w:t>
            </w:r>
            <w:r w:rsidRPr="0064730E">
              <w:rPr>
                <w:rFonts w:ascii="Arial" w:hAnsi="Arial" w:cs="Arial"/>
                <w:color w:val="000000" w:themeColor="text1"/>
                <w:sz w:val="15"/>
                <w:szCs w:val="15"/>
                <w:shd w:val="clear" w:color="auto" w:fill="FFFFFF"/>
                <w:vertAlign w:val="subscript"/>
              </w:rPr>
              <w:t>9</w:t>
            </w:r>
            <w:r w:rsidRPr="0064730E">
              <w:rPr>
                <w:rFonts w:ascii="Arial" w:hAnsi="Arial" w:cs="Arial"/>
                <w:color w:val="000000" w:themeColor="text1"/>
                <w:sz w:val="15"/>
                <w:szCs w:val="15"/>
                <w:shd w:val="clear" w:color="auto" w:fill="FFFFFF"/>
              </w:rPr>
              <w:t>H</w:t>
            </w:r>
            <w:r w:rsidRPr="0064730E">
              <w:rPr>
                <w:rFonts w:ascii="Arial" w:hAnsi="Arial" w:cs="Arial"/>
                <w:color w:val="000000" w:themeColor="text1"/>
                <w:sz w:val="15"/>
                <w:szCs w:val="15"/>
                <w:shd w:val="clear" w:color="auto" w:fill="FFFFFF"/>
                <w:vertAlign w:val="subscript"/>
              </w:rPr>
              <w:t>13</w:t>
            </w:r>
            <w:r w:rsidRPr="0064730E">
              <w:rPr>
                <w:rFonts w:ascii="Arial" w:hAnsi="Arial" w:cs="Arial"/>
                <w:color w:val="000000" w:themeColor="text1"/>
                <w:sz w:val="15"/>
                <w:szCs w:val="15"/>
                <w:shd w:val="clear" w:color="auto" w:fill="FFFFFF"/>
              </w:rPr>
              <w:t>N</w:t>
            </w:r>
            <w:r w:rsidRPr="0064730E">
              <w:rPr>
                <w:rFonts w:ascii="Arial" w:hAnsi="Arial" w:cs="Arial"/>
                <w:color w:val="000000" w:themeColor="text1"/>
                <w:sz w:val="15"/>
                <w:szCs w:val="15"/>
                <w:shd w:val="clear" w:color="auto" w:fill="FFFFFF"/>
                <w:vertAlign w:val="subscript"/>
              </w:rPr>
              <w:t>4</w:t>
            </w:r>
            <w:r w:rsidRPr="0064730E">
              <w:rPr>
                <w:rFonts w:ascii="Arial" w:hAnsi="Arial" w:cs="Arial"/>
                <w:color w:val="000000" w:themeColor="text1"/>
                <w:sz w:val="15"/>
                <w:szCs w:val="15"/>
                <w:shd w:val="clear" w:color="auto" w:fill="FFFFFF"/>
              </w:rPr>
              <w:t>O</w:t>
            </w:r>
            <w:r w:rsidRPr="0064730E">
              <w:rPr>
                <w:rFonts w:ascii="Arial" w:hAnsi="Arial" w:cs="Arial"/>
                <w:color w:val="000000" w:themeColor="text1"/>
                <w:sz w:val="15"/>
                <w:szCs w:val="15"/>
                <w:shd w:val="clear" w:color="auto" w:fill="FFFFFF"/>
                <w:vertAlign w:val="subscript"/>
              </w:rPr>
              <w:t>9</w:t>
            </w:r>
            <w:r w:rsidRPr="0064730E">
              <w:rPr>
                <w:rFonts w:ascii="Arial" w:hAnsi="Arial" w:cs="Arial"/>
                <w:color w:val="000000" w:themeColor="text1"/>
                <w:sz w:val="15"/>
                <w:szCs w:val="15"/>
                <w:shd w:val="clear" w:color="auto" w:fill="FFFFFF"/>
              </w:rPr>
              <w:t>P</w:t>
            </w:r>
          </w:p>
          <w:p w14:paraId="53F5872D" w14:textId="77777777" w:rsidR="004D1935" w:rsidRPr="0064730E" w:rsidRDefault="004D1935" w:rsidP="00E24DC9">
            <w:pPr>
              <w:jc w:val="center"/>
              <w:rPr>
                <w:rFonts w:ascii="Calibri" w:hAnsi="Calibri" w:cs="Calibri"/>
                <w:color w:val="000000" w:themeColor="text1"/>
                <w:sz w:val="15"/>
                <w:szCs w:val="15"/>
              </w:rPr>
            </w:pPr>
          </w:p>
          <w:p w14:paraId="0D4FA98F" w14:textId="77777777" w:rsidR="004D1935" w:rsidRPr="0064730E" w:rsidRDefault="004D1935" w:rsidP="00E24DC9">
            <w:pPr>
              <w:jc w:val="center"/>
              <w:rPr>
                <w:color w:val="000000" w:themeColor="text1"/>
                <w:sz w:val="15"/>
                <w:szCs w:val="15"/>
              </w:rPr>
            </w:pPr>
            <w:r w:rsidRPr="0064730E">
              <w:rPr>
                <w:rFonts w:ascii="Arial" w:hAnsi="Arial" w:cs="Arial"/>
                <w:color w:val="000000" w:themeColor="text1"/>
                <w:sz w:val="15"/>
                <w:szCs w:val="15"/>
                <w:shd w:val="clear" w:color="auto" w:fill="FFFFFF"/>
              </w:rPr>
              <w:t>C</w:t>
            </w:r>
            <w:r w:rsidRPr="0064730E">
              <w:rPr>
                <w:rFonts w:ascii="Arial" w:hAnsi="Arial" w:cs="Arial"/>
                <w:color w:val="000000" w:themeColor="text1"/>
                <w:sz w:val="15"/>
                <w:szCs w:val="15"/>
                <w:shd w:val="clear" w:color="auto" w:fill="FFFFFF"/>
                <w:vertAlign w:val="subscript"/>
              </w:rPr>
              <w:t>16</w:t>
            </w:r>
            <w:r w:rsidRPr="0064730E">
              <w:rPr>
                <w:rFonts w:ascii="Arial" w:hAnsi="Arial" w:cs="Arial"/>
                <w:color w:val="000000" w:themeColor="text1"/>
                <w:sz w:val="15"/>
                <w:szCs w:val="15"/>
                <w:shd w:val="clear" w:color="auto" w:fill="FFFFFF"/>
              </w:rPr>
              <w:t>H</w:t>
            </w:r>
            <w:r w:rsidRPr="0064730E">
              <w:rPr>
                <w:rFonts w:ascii="Arial" w:hAnsi="Arial" w:cs="Arial"/>
                <w:color w:val="000000" w:themeColor="text1"/>
                <w:sz w:val="15"/>
                <w:szCs w:val="15"/>
                <w:shd w:val="clear" w:color="auto" w:fill="FFFFFF"/>
                <w:vertAlign w:val="subscript"/>
              </w:rPr>
              <w:t>18</w:t>
            </w:r>
            <w:r w:rsidRPr="0064730E">
              <w:rPr>
                <w:rFonts w:ascii="Arial" w:hAnsi="Arial" w:cs="Arial"/>
                <w:color w:val="000000" w:themeColor="text1"/>
                <w:sz w:val="15"/>
                <w:szCs w:val="15"/>
                <w:shd w:val="clear" w:color="auto" w:fill="FFFFFF"/>
              </w:rPr>
              <w:t>O</w:t>
            </w:r>
            <w:r w:rsidRPr="0064730E">
              <w:rPr>
                <w:rFonts w:ascii="Arial" w:hAnsi="Arial" w:cs="Arial"/>
                <w:color w:val="000000" w:themeColor="text1"/>
                <w:sz w:val="15"/>
                <w:szCs w:val="15"/>
                <w:shd w:val="clear" w:color="auto" w:fill="FFFFFF"/>
                <w:vertAlign w:val="subscript"/>
              </w:rPr>
              <w:t>9</w:t>
            </w:r>
          </w:p>
          <w:p w14:paraId="44288F1E" w14:textId="77777777" w:rsidR="004D1935" w:rsidRPr="0064730E" w:rsidRDefault="004D1935" w:rsidP="00E24DC9">
            <w:pPr>
              <w:jc w:val="center"/>
              <w:rPr>
                <w:color w:val="000000" w:themeColor="text1"/>
                <w:sz w:val="15"/>
                <w:szCs w:val="15"/>
              </w:rPr>
            </w:pPr>
            <w:r w:rsidRPr="0064730E">
              <w:rPr>
                <w:rFonts w:ascii="Arial" w:hAnsi="Arial" w:cs="Arial"/>
                <w:color w:val="000000" w:themeColor="text1"/>
                <w:sz w:val="15"/>
                <w:szCs w:val="15"/>
                <w:shd w:val="clear" w:color="auto" w:fill="FFFFFF"/>
              </w:rPr>
              <w:t>C</w:t>
            </w:r>
            <w:r w:rsidRPr="0064730E">
              <w:rPr>
                <w:rFonts w:ascii="Arial" w:hAnsi="Arial" w:cs="Arial"/>
                <w:color w:val="000000" w:themeColor="text1"/>
                <w:sz w:val="15"/>
                <w:szCs w:val="15"/>
                <w:shd w:val="clear" w:color="auto" w:fill="FFFFFF"/>
                <w:vertAlign w:val="subscript"/>
              </w:rPr>
              <w:t>21</w:t>
            </w:r>
            <w:r w:rsidRPr="0064730E">
              <w:rPr>
                <w:rFonts w:ascii="Arial" w:hAnsi="Arial" w:cs="Arial"/>
                <w:color w:val="000000" w:themeColor="text1"/>
                <w:sz w:val="15"/>
                <w:szCs w:val="15"/>
                <w:shd w:val="clear" w:color="auto" w:fill="FFFFFF"/>
              </w:rPr>
              <w:t>H</w:t>
            </w:r>
            <w:r w:rsidRPr="0064730E">
              <w:rPr>
                <w:rFonts w:ascii="Arial" w:hAnsi="Arial" w:cs="Arial"/>
                <w:color w:val="000000" w:themeColor="text1"/>
                <w:sz w:val="15"/>
                <w:szCs w:val="15"/>
                <w:shd w:val="clear" w:color="auto" w:fill="FFFFFF"/>
                <w:vertAlign w:val="subscript"/>
              </w:rPr>
              <w:t>21</w:t>
            </w:r>
            <w:r w:rsidRPr="0064730E">
              <w:rPr>
                <w:rFonts w:ascii="Arial" w:hAnsi="Arial" w:cs="Arial"/>
                <w:color w:val="000000" w:themeColor="text1"/>
                <w:sz w:val="15"/>
                <w:szCs w:val="15"/>
                <w:shd w:val="clear" w:color="auto" w:fill="FFFFFF"/>
              </w:rPr>
              <w:t>O</w:t>
            </w:r>
            <w:r w:rsidRPr="0064730E">
              <w:rPr>
                <w:rFonts w:ascii="Arial" w:hAnsi="Arial" w:cs="Arial"/>
                <w:color w:val="000000" w:themeColor="text1"/>
                <w:sz w:val="15"/>
                <w:szCs w:val="15"/>
                <w:shd w:val="clear" w:color="auto" w:fill="FFFFFF"/>
                <w:vertAlign w:val="subscript"/>
              </w:rPr>
              <w:t>5</w:t>
            </w:r>
          </w:p>
          <w:p w14:paraId="63074644" w14:textId="77777777" w:rsidR="004D1935" w:rsidRPr="0064730E" w:rsidRDefault="004D1935" w:rsidP="00E24DC9">
            <w:pPr>
              <w:jc w:val="center"/>
              <w:rPr>
                <w:color w:val="000000" w:themeColor="text1"/>
                <w:sz w:val="15"/>
                <w:szCs w:val="15"/>
              </w:rPr>
            </w:pPr>
            <w:r w:rsidRPr="0064730E">
              <w:rPr>
                <w:rFonts w:ascii="Arial" w:hAnsi="Arial" w:cs="Arial"/>
                <w:color w:val="000000" w:themeColor="text1"/>
                <w:sz w:val="15"/>
                <w:szCs w:val="15"/>
                <w:shd w:val="clear" w:color="auto" w:fill="FFFFFF"/>
              </w:rPr>
              <w:t>C</w:t>
            </w:r>
            <w:r w:rsidRPr="0064730E">
              <w:rPr>
                <w:rFonts w:ascii="Arial" w:hAnsi="Arial" w:cs="Arial"/>
                <w:color w:val="000000" w:themeColor="text1"/>
                <w:sz w:val="15"/>
                <w:szCs w:val="15"/>
                <w:shd w:val="clear" w:color="auto" w:fill="FFFFFF"/>
                <w:vertAlign w:val="subscript"/>
              </w:rPr>
              <w:t>21</w:t>
            </w:r>
            <w:r w:rsidRPr="0064730E">
              <w:rPr>
                <w:rFonts w:ascii="Arial" w:hAnsi="Arial" w:cs="Arial"/>
                <w:color w:val="000000" w:themeColor="text1"/>
                <w:sz w:val="15"/>
                <w:szCs w:val="15"/>
                <w:shd w:val="clear" w:color="auto" w:fill="FFFFFF"/>
              </w:rPr>
              <w:t>H</w:t>
            </w:r>
            <w:r w:rsidRPr="0064730E">
              <w:rPr>
                <w:rFonts w:ascii="Arial" w:hAnsi="Arial" w:cs="Arial"/>
                <w:color w:val="000000" w:themeColor="text1"/>
                <w:sz w:val="15"/>
                <w:szCs w:val="15"/>
                <w:shd w:val="clear" w:color="auto" w:fill="FFFFFF"/>
                <w:vertAlign w:val="subscript"/>
              </w:rPr>
              <w:t>22</w:t>
            </w:r>
            <w:r w:rsidRPr="0064730E">
              <w:rPr>
                <w:rFonts w:ascii="Arial" w:hAnsi="Arial" w:cs="Arial"/>
                <w:color w:val="000000" w:themeColor="text1"/>
                <w:sz w:val="15"/>
                <w:szCs w:val="15"/>
                <w:shd w:val="clear" w:color="auto" w:fill="FFFFFF"/>
              </w:rPr>
              <w:t>O</w:t>
            </w:r>
            <w:r w:rsidRPr="0064730E">
              <w:rPr>
                <w:rFonts w:ascii="Arial" w:hAnsi="Arial" w:cs="Arial"/>
                <w:color w:val="000000" w:themeColor="text1"/>
                <w:sz w:val="15"/>
                <w:szCs w:val="15"/>
                <w:shd w:val="clear" w:color="auto" w:fill="FFFFFF"/>
                <w:vertAlign w:val="subscript"/>
              </w:rPr>
              <w:t>5</w:t>
            </w:r>
          </w:p>
          <w:p w14:paraId="291F8CC6" w14:textId="77777777" w:rsidR="004D1935" w:rsidRPr="0064730E" w:rsidRDefault="004D1935" w:rsidP="00E24DC9">
            <w:pPr>
              <w:jc w:val="center"/>
              <w:rPr>
                <w:rFonts w:ascii="Calibri" w:hAnsi="Calibri" w:cs="Calibri"/>
                <w:color w:val="000000" w:themeColor="text1"/>
                <w:sz w:val="15"/>
                <w:szCs w:val="15"/>
              </w:rPr>
            </w:pPr>
          </w:p>
          <w:p w14:paraId="3A685B40" w14:textId="77777777" w:rsidR="004D1935" w:rsidRPr="0064730E" w:rsidRDefault="004D1935" w:rsidP="00E24DC9">
            <w:pPr>
              <w:jc w:val="center"/>
              <w:rPr>
                <w:color w:val="000000" w:themeColor="text1"/>
                <w:sz w:val="15"/>
                <w:szCs w:val="15"/>
              </w:rPr>
            </w:pPr>
            <w:r w:rsidRPr="0064730E">
              <w:rPr>
                <w:rFonts w:ascii="Arial" w:hAnsi="Arial" w:cs="Arial"/>
                <w:color w:val="000000" w:themeColor="text1"/>
                <w:sz w:val="15"/>
                <w:szCs w:val="15"/>
                <w:shd w:val="clear" w:color="auto" w:fill="FFFFFF"/>
              </w:rPr>
              <w:t>C</w:t>
            </w:r>
            <w:r w:rsidRPr="0064730E">
              <w:rPr>
                <w:rFonts w:ascii="Arial" w:hAnsi="Arial" w:cs="Arial"/>
                <w:color w:val="000000" w:themeColor="text1"/>
                <w:sz w:val="15"/>
                <w:szCs w:val="15"/>
                <w:shd w:val="clear" w:color="auto" w:fill="FFFFFF"/>
                <w:vertAlign w:val="subscript"/>
              </w:rPr>
              <w:t>21</w:t>
            </w:r>
            <w:r w:rsidRPr="0064730E">
              <w:rPr>
                <w:rFonts w:ascii="Arial" w:hAnsi="Arial" w:cs="Arial"/>
                <w:color w:val="000000" w:themeColor="text1"/>
                <w:sz w:val="15"/>
                <w:szCs w:val="15"/>
                <w:shd w:val="clear" w:color="auto" w:fill="FFFFFF"/>
              </w:rPr>
              <w:t>H</w:t>
            </w:r>
            <w:r w:rsidRPr="0064730E">
              <w:rPr>
                <w:rFonts w:ascii="Arial" w:hAnsi="Arial" w:cs="Arial"/>
                <w:color w:val="000000" w:themeColor="text1"/>
                <w:sz w:val="15"/>
                <w:szCs w:val="15"/>
                <w:shd w:val="clear" w:color="auto" w:fill="FFFFFF"/>
                <w:vertAlign w:val="subscript"/>
              </w:rPr>
              <w:t>26</w:t>
            </w:r>
            <w:r w:rsidRPr="0064730E">
              <w:rPr>
                <w:rFonts w:ascii="Arial" w:hAnsi="Arial" w:cs="Arial"/>
                <w:color w:val="000000" w:themeColor="text1"/>
                <w:sz w:val="15"/>
                <w:szCs w:val="15"/>
                <w:shd w:val="clear" w:color="auto" w:fill="FFFFFF"/>
              </w:rPr>
              <w:t>N</w:t>
            </w:r>
            <w:r w:rsidRPr="0064730E">
              <w:rPr>
                <w:rFonts w:ascii="Arial" w:hAnsi="Arial" w:cs="Arial"/>
                <w:color w:val="000000" w:themeColor="text1"/>
                <w:sz w:val="15"/>
                <w:szCs w:val="15"/>
                <w:shd w:val="clear" w:color="auto" w:fill="FFFFFF"/>
                <w:vertAlign w:val="subscript"/>
              </w:rPr>
              <w:t>2</w:t>
            </w:r>
            <w:r w:rsidRPr="0064730E">
              <w:rPr>
                <w:rFonts w:ascii="Arial" w:hAnsi="Arial" w:cs="Arial"/>
                <w:color w:val="000000" w:themeColor="text1"/>
                <w:sz w:val="15"/>
                <w:szCs w:val="15"/>
                <w:shd w:val="clear" w:color="auto" w:fill="FFFFFF"/>
              </w:rPr>
              <w:t>O</w:t>
            </w:r>
            <w:r w:rsidRPr="0064730E">
              <w:rPr>
                <w:rFonts w:ascii="Arial" w:hAnsi="Arial" w:cs="Arial"/>
                <w:color w:val="000000" w:themeColor="text1"/>
                <w:sz w:val="15"/>
                <w:szCs w:val="15"/>
                <w:shd w:val="clear" w:color="auto" w:fill="FFFFFF"/>
                <w:vertAlign w:val="subscript"/>
              </w:rPr>
              <w:t>3</w:t>
            </w:r>
          </w:p>
          <w:p w14:paraId="50817F7D" w14:textId="77777777" w:rsidR="004D1935" w:rsidRPr="0064730E" w:rsidRDefault="004D1935" w:rsidP="00E24DC9">
            <w:pPr>
              <w:jc w:val="center"/>
              <w:rPr>
                <w:color w:val="000000" w:themeColor="text1"/>
              </w:rPr>
            </w:pPr>
          </w:p>
        </w:tc>
        <w:tc>
          <w:tcPr>
            <w:tcW w:w="7843" w:type="dxa"/>
            <w:vMerge w:val="restart"/>
            <w:vAlign w:val="center"/>
          </w:tcPr>
          <w:p w14:paraId="1304C511"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Riboflavin metabolism</w:t>
            </w:r>
          </w:p>
          <w:p w14:paraId="3908CACF" w14:textId="77777777" w:rsidR="004D1935" w:rsidRPr="0064730E" w:rsidRDefault="004D1935" w:rsidP="00E24DC9">
            <w:pPr>
              <w:jc w:val="center"/>
              <w:rPr>
                <w:color w:val="000000" w:themeColor="text1"/>
              </w:rPr>
            </w:pPr>
            <w:r w:rsidRPr="0064730E">
              <w:rPr>
                <w:rFonts w:ascii="Calibri" w:hAnsi="Calibri" w:cs="Calibri"/>
                <w:color w:val="000000" w:themeColor="text1"/>
                <w:sz w:val="13"/>
                <w:szCs w:val="13"/>
              </w:rPr>
              <w:t>Phenylpropanoid biosynthesis/jasmonic acid pathway/Riboflavin/Flavanone/Flavonoid/Abscisic acid biosynthesis/Shikimate pathway</w:t>
            </w:r>
          </w:p>
          <w:p w14:paraId="2159326E"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Flavonoid biosynthesis</w:t>
            </w:r>
          </w:p>
          <w:p w14:paraId="75F06785"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jasmonic acid pathway/Riboflavin/Flavanone/Flavonoid biosynthesis</w:t>
            </w:r>
          </w:p>
          <w:p w14:paraId="22C0570C" w14:textId="77777777" w:rsidR="004D1935" w:rsidRPr="0064730E" w:rsidRDefault="004D1935" w:rsidP="00E24DC9">
            <w:pPr>
              <w:jc w:val="center"/>
              <w:rPr>
                <w:color w:val="000000" w:themeColor="text1"/>
              </w:rPr>
            </w:pPr>
            <w:r w:rsidRPr="0064730E">
              <w:rPr>
                <w:rFonts w:ascii="Calibri" w:hAnsi="Calibri" w:cs="Calibri"/>
                <w:color w:val="000000" w:themeColor="text1"/>
                <w:sz w:val="15"/>
                <w:szCs w:val="15"/>
              </w:rPr>
              <w:t>jasmonic acid pathway/Riboflavin/Flavanone/Flavonoid biosynthesis/Shikimate pathway</w:t>
            </w:r>
          </w:p>
        </w:tc>
      </w:tr>
      <w:tr w:rsidR="004D1935" w14:paraId="2F346D7B" w14:textId="77777777" w:rsidTr="00E24DC9">
        <w:tc>
          <w:tcPr>
            <w:tcW w:w="825" w:type="dxa"/>
            <w:vMerge/>
          </w:tcPr>
          <w:p w14:paraId="4D1F20A6" w14:textId="77777777" w:rsidR="004D1935" w:rsidRDefault="004D1935" w:rsidP="00E24DC9"/>
        </w:tc>
        <w:tc>
          <w:tcPr>
            <w:tcW w:w="877" w:type="dxa"/>
            <w:tcBorders>
              <w:top w:val="nil"/>
              <w:bottom w:val="nil"/>
            </w:tcBorders>
            <w:vAlign w:val="bottom"/>
          </w:tcPr>
          <w:p w14:paraId="3E34604A" w14:textId="77777777" w:rsidR="004D1935" w:rsidRPr="0064730E" w:rsidRDefault="004D1935" w:rsidP="00E24DC9">
            <w:pPr>
              <w:rPr>
                <w:rFonts w:ascii="Calibri" w:hAnsi="Calibri" w:cs="Calibri"/>
                <w:color w:val="000000"/>
                <w:sz w:val="13"/>
                <w:szCs w:val="13"/>
              </w:rPr>
            </w:pPr>
            <w:r w:rsidRPr="0064730E">
              <w:rPr>
                <w:rFonts w:ascii="Calibri" w:hAnsi="Calibri" w:cs="Calibri"/>
                <w:color w:val="000000"/>
                <w:sz w:val="13"/>
                <w:szCs w:val="13"/>
              </w:rPr>
              <w:t>354.0700</w:t>
            </w:r>
          </w:p>
        </w:tc>
        <w:tc>
          <w:tcPr>
            <w:tcW w:w="2880" w:type="dxa"/>
            <w:vMerge/>
            <w:vAlign w:val="bottom"/>
          </w:tcPr>
          <w:p w14:paraId="7A5EC481" w14:textId="77777777" w:rsidR="004D1935" w:rsidRDefault="004D1935" w:rsidP="00E24DC9"/>
        </w:tc>
        <w:tc>
          <w:tcPr>
            <w:tcW w:w="1465" w:type="dxa"/>
            <w:vMerge/>
            <w:vAlign w:val="bottom"/>
          </w:tcPr>
          <w:p w14:paraId="20A58FF6" w14:textId="77777777" w:rsidR="004D1935" w:rsidRDefault="004D1935" w:rsidP="00E24DC9"/>
        </w:tc>
        <w:tc>
          <w:tcPr>
            <w:tcW w:w="1137" w:type="dxa"/>
            <w:vMerge/>
          </w:tcPr>
          <w:p w14:paraId="0A909707" w14:textId="77777777" w:rsidR="004D1935" w:rsidRDefault="004D1935" w:rsidP="00E24DC9"/>
        </w:tc>
        <w:tc>
          <w:tcPr>
            <w:tcW w:w="7843" w:type="dxa"/>
            <w:vMerge/>
            <w:vAlign w:val="bottom"/>
          </w:tcPr>
          <w:p w14:paraId="67FEA608" w14:textId="77777777" w:rsidR="004D1935" w:rsidRDefault="004D1935" w:rsidP="00E24DC9"/>
        </w:tc>
      </w:tr>
      <w:tr w:rsidR="004D1935" w14:paraId="250B6EDA" w14:textId="77777777" w:rsidTr="00E24DC9">
        <w:tc>
          <w:tcPr>
            <w:tcW w:w="825" w:type="dxa"/>
            <w:vMerge/>
          </w:tcPr>
          <w:p w14:paraId="0958C2BB" w14:textId="77777777" w:rsidR="004D1935" w:rsidRDefault="004D1935" w:rsidP="00E24DC9"/>
        </w:tc>
        <w:tc>
          <w:tcPr>
            <w:tcW w:w="877" w:type="dxa"/>
            <w:tcBorders>
              <w:top w:val="nil"/>
              <w:bottom w:val="nil"/>
            </w:tcBorders>
            <w:vAlign w:val="bottom"/>
          </w:tcPr>
          <w:p w14:paraId="2D333882" w14:textId="77777777" w:rsidR="004D1935" w:rsidRPr="0064730E" w:rsidRDefault="004D1935" w:rsidP="00E24DC9">
            <w:pPr>
              <w:rPr>
                <w:rFonts w:ascii="Calibri" w:hAnsi="Calibri" w:cs="Calibri"/>
                <w:color w:val="000000"/>
                <w:sz w:val="13"/>
                <w:szCs w:val="13"/>
              </w:rPr>
            </w:pPr>
            <w:r w:rsidRPr="0064730E">
              <w:rPr>
                <w:rFonts w:ascii="Calibri" w:hAnsi="Calibri" w:cs="Calibri"/>
                <w:color w:val="000000"/>
                <w:sz w:val="13"/>
                <w:szCs w:val="13"/>
              </w:rPr>
              <w:t>354.1278</w:t>
            </w:r>
          </w:p>
        </w:tc>
        <w:tc>
          <w:tcPr>
            <w:tcW w:w="2880" w:type="dxa"/>
            <w:vMerge/>
            <w:vAlign w:val="bottom"/>
          </w:tcPr>
          <w:p w14:paraId="210B8C06" w14:textId="77777777" w:rsidR="004D1935" w:rsidRDefault="004D1935" w:rsidP="00E24DC9"/>
        </w:tc>
        <w:tc>
          <w:tcPr>
            <w:tcW w:w="1465" w:type="dxa"/>
            <w:vMerge/>
            <w:vAlign w:val="bottom"/>
          </w:tcPr>
          <w:p w14:paraId="53078FE1" w14:textId="77777777" w:rsidR="004D1935" w:rsidRDefault="004D1935" w:rsidP="00E24DC9"/>
        </w:tc>
        <w:tc>
          <w:tcPr>
            <w:tcW w:w="1137" w:type="dxa"/>
            <w:vMerge/>
          </w:tcPr>
          <w:p w14:paraId="64279270" w14:textId="77777777" w:rsidR="004D1935" w:rsidRDefault="004D1935" w:rsidP="00E24DC9"/>
        </w:tc>
        <w:tc>
          <w:tcPr>
            <w:tcW w:w="7843" w:type="dxa"/>
            <w:vMerge/>
            <w:vAlign w:val="bottom"/>
          </w:tcPr>
          <w:p w14:paraId="5D29BB83" w14:textId="77777777" w:rsidR="004D1935" w:rsidRDefault="004D1935" w:rsidP="00E24DC9"/>
        </w:tc>
      </w:tr>
      <w:tr w:rsidR="004D1935" w14:paraId="0B54B4E5" w14:textId="77777777" w:rsidTr="00E24DC9">
        <w:tc>
          <w:tcPr>
            <w:tcW w:w="825" w:type="dxa"/>
            <w:vMerge/>
          </w:tcPr>
          <w:p w14:paraId="42A86801" w14:textId="77777777" w:rsidR="004D1935" w:rsidRDefault="004D1935" w:rsidP="00E24DC9"/>
        </w:tc>
        <w:tc>
          <w:tcPr>
            <w:tcW w:w="877" w:type="dxa"/>
            <w:tcBorders>
              <w:top w:val="nil"/>
              <w:bottom w:val="nil"/>
            </w:tcBorders>
            <w:vAlign w:val="bottom"/>
          </w:tcPr>
          <w:p w14:paraId="51AABACA" w14:textId="77777777" w:rsidR="004D1935" w:rsidRPr="0064730E" w:rsidRDefault="004D1935" w:rsidP="00E24DC9">
            <w:pPr>
              <w:rPr>
                <w:rFonts w:ascii="Calibri" w:hAnsi="Calibri" w:cs="Calibri"/>
                <w:color w:val="000000"/>
                <w:sz w:val="13"/>
                <w:szCs w:val="13"/>
              </w:rPr>
            </w:pPr>
            <w:r w:rsidRPr="0064730E">
              <w:rPr>
                <w:rFonts w:ascii="Calibri" w:hAnsi="Calibri" w:cs="Calibri"/>
                <w:color w:val="000000"/>
                <w:sz w:val="13"/>
                <w:szCs w:val="13"/>
              </w:rPr>
              <w:t>354.1712</w:t>
            </w:r>
          </w:p>
        </w:tc>
        <w:tc>
          <w:tcPr>
            <w:tcW w:w="2880" w:type="dxa"/>
            <w:vMerge/>
            <w:vAlign w:val="bottom"/>
          </w:tcPr>
          <w:p w14:paraId="1DCCBBB7" w14:textId="77777777" w:rsidR="004D1935" w:rsidRDefault="004D1935" w:rsidP="00E24DC9"/>
        </w:tc>
        <w:tc>
          <w:tcPr>
            <w:tcW w:w="1465" w:type="dxa"/>
            <w:vMerge/>
            <w:vAlign w:val="bottom"/>
          </w:tcPr>
          <w:p w14:paraId="524A1746" w14:textId="77777777" w:rsidR="004D1935" w:rsidRDefault="004D1935" w:rsidP="00E24DC9"/>
        </w:tc>
        <w:tc>
          <w:tcPr>
            <w:tcW w:w="1137" w:type="dxa"/>
            <w:vMerge/>
          </w:tcPr>
          <w:p w14:paraId="7F6BB051" w14:textId="77777777" w:rsidR="004D1935" w:rsidRDefault="004D1935" w:rsidP="00E24DC9"/>
        </w:tc>
        <w:tc>
          <w:tcPr>
            <w:tcW w:w="7843" w:type="dxa"/>
            <w:vMerge/>
            <w:vAlign w:val="bottom"/>
          </w:tcPr>
          <w:p w14:paraId="61581619" w14:textId="77777777" w:rsidR="004D1935" w:rsidRDefault="004D1935" w:rsidP="00E24DC9"/>
        </w:tc>
      </w:tr>
      <w:tr w:rsidR="004D1935" w14:paraId="6CF19401" w14:textId="77777777" w:rsidTr="00E24DC9">
        <w:tc>
          <w:tcPr>
            <w:tcW w:w="825" w:type="dxa"/>
            <w:vMerge/>
          </w:tcPr>
          <w:p w14:paraId="4BAC79AD" w14:textId="77777777" w:rsidR="004D1935" w:rsidRDefault="004D1935" w:rsidP="00E24DC9"/>
        </w:tc>
        <w:tc>
          <w:tcPr>
            <w:tcW w:w="877" w:type="dxa"/>
            <w:tcBorders>
              <w:top w:val="nil"/>
              <w:bottom w:val="nil"/>
            </w:tcBorders>
            <w:vAlign w:val="bottom"/>
          </w:tcPr>
          <w:p w14:paraId="32C4BC70" w14:textId="77777777" w:rsidR="004D1935" w:rsidRPr="0064730E" w:rsidRDefault="004D1935" w:rsidP="00E24DC9">
            <w:pPr>
              <w:rPr>
                <w:rFonts w:ascii="Calibri" w:hAnsi="Calibri" w:cs="Calibri"/>
                <w:color w:val="000000"/>
                <w:sz w:val="13"/>
                <w:szCs w:val="13"/>
              </w:rPr>
            </w:pPr>
            <w:r w:rsidRPr="0064730E">
              <w:rPr>
                <w:rFonts w:ascii="Calibri" w:hAnsi="Calibri" w:cs="Calibri"/>
                <w:color w:val="000000"/>
                <w:sz w:val="13"/>
                <w:szCs w:val="13"/>
              </w:rPr>
              <w:t>354.0296</w:t>
            </w:r>
          </w:p>
        </w:tc>
        <w:tc>
          <w:tcPr>
            <w:tcW w:w="2880" w:type="dxa"/>
            <w:vMerge/>
            <w:vAlign w:val="bottom"/>
          </w:tcPr>
          <w:p w14:paraId="407DDF51" w14:textId="77777777" w:rsidR="004D1935" w:rsidRDefault="004D1935" w:rsidP="00E24DC9"/>
        </w:tc>
        <w:tc>
          <w:tcPr>
            <w:tcW w:w="1465" w:type="dxa"/>
            <w:vMerge/>
            <w:vAlign w:val="bottom"/>
          </w:tcPr>
          <w:p w14:paraId="37ECFCF8" w14:textId="77777777" w:rsidR="004D1935" w:rsidRDefault="004D1935" w:rsidP="00E24DC9"/>
        </w:tc>
        <w:tc>
          <w:tcPr>
            <w:tcW w:w="1137" w:type="dxa"/>
            <w:vMerge/>
          </w:tcPr>
          <w:p w14:paraId="19B18811" w14:textId="77777777" w:rsidR="004D1935" w:rsidRDefault="004D1935" w:rsidP="00E24DC9"/>
        </w:tc>
        <w:tc>
          <w:tcPr>
            <w:tcW w:w="7843" w:type="dxa"/>
            <w:vMerge/>
            <w:vAlign w:val="bottom"/>
          </w:tcPr>
          <w:p w14:paraId="4ABDC313" w14:textId="77777777" w:rsidR="004D1935" w:rsidRDefault="004D1935" w:rsidP="00E24DC9"/>
        </w:tc>
      </w:tr>
      <w:tr w:rsidR="004D1935" w14:paraId="140BE95E" w14:textId="77777777" w:rsidTr="00E24DC9">
        <w:tc>
          <w:tcPr>
            <w:tcW w:w="825" w:type="dxa"/>
            <w:vMerge/>
          </w:tcPr>
          <w:p w14:paraId="0AC7DDFB" w14:textId="77777777" w:rsidR="004D1935" w:rsidRDefault="004D1935" w:rsidP="00E24DC9"/>
        </w:tc>
        <w:tc>
          <w:tcPr>
            <w:tcW w:w="877" w:type="dxa"/>
            <w:tcBorders>
              <w:top w:val="nil"/>
              <w:bottom w:val="nil"/>
            </w:tcBorders>
            <w:vAlign w:val="bottom"/>
          </w:tcPr>
          <w:p w14:paraId="309BA427" w14:textId="77777777" w:rsidR="004D1935" w:rsidRPr="0064730E" w:rsidRDefault="004D1935" w:rsidP="00E24DC9">
            <w:pPr>
              <w:rPr>
                <w:rFonts w:ascii="Calibri" w:hAnsi="Calibri" w:cs="Calibri"/>
                <w:color w:val="000000"/>
                <w:sz w:val="13"/>
                <w:szCs w:val="13"/>
              </w:rPr>
            </w:pPr>
            <w:r w:rsidRPr="0064730E">
              <w:rPr>
                <w:rFonts w:ascii="Calibri" w:hAnsi="Calibri" w:cs="Calibri"/>
                <w:color w:val="000000"/>
                <w:sz w:val="13"/>
                <w:szCs w:val="13"/>
              </w:rPr>
              <w:t>354.0729</w:t>
            </w:r>
          </w:p>
        </w:tc>
        <w:tc>
          <w:tcPr>
            <w:tcW w:w="2880" w:type="dxa"/>
            <w:vMerge/>
            <w:vAlign w:val="center"/>
          </w:tcPr>
          <w:p w14:paraId="5DF527F6" w14:textId="77777777" w:rsidR="004D1935" w:rsidRDefault="004D1935" w:rsidP="00E24DC9"/>
        </w:tc>
        <w:tc>
          <w:tcPr>
            <w:tcW w:w="1465" w:type="dxa"/>
            <w:vMerge/>
            <w:vAlign w:val="center"/>
          </w:tcPr>
          <w:p w14:paraId="210AE043" w14:textId="77777777" w:rsidR="004D1935" w:rsidRDefault="004D1935" w:rsidP="00E24DC9"/>
        </w:tc>
        <w:tc>
          <w:tcPr>
            <w:tcW w:w="1137" w:type="dxa"/>
            <w:vMerge/>
          </w:tcPr>
          <w:p w14:paraId="394A204A" w14:textId="77777777" w:rsidR="004D1935" w:rsidRDefault="004D1935" w:rsidP="00E24DC9"/>
        </w:tc>
        <w:tc>
          <w:tcPr>
            <w:tcW w:w="7843" w:type="dxa"/>
            <w:vMerge/>
          </w:tcPr>
          <w:p w14:paraId="6BC58854" w14:textId="77777777" w:rsidR="004D1935" w:rsidRDefault="004D1935" w:rsidP="00E24DC9"/>
        </w:tc>
      </w:tr>
      <w:tr w:rsidR="004D1935" w14:paraId="6C3CD7B9" w14:textId="77777777" w:rsidTr="00E24DC9">
        <w:tc>
          <w:tcPr>
            <w:tcW w:w="825" w:type="dxa"/>
            <w:vMerge/>
          </w:tcPr>
          <w:p w14:paraId="28046F86" w14:textId="77777777" w:rsidR="004D1935" w:rsidRDefault="004D1935" w:rsidP="00E24DC9"/>
        </w:tc>
        <w:tc>
          <w:tcPr>
            <w:tcW w:w="877" w:type="dxa"/>
            <w:tcBorders>
              <w:top w:val="nil"/>
              <w:bottom w:val="nil"/>
            </w:tcBorders>
            <w:vAlign w:val="bottom"/>
          </w:tcPr>
          <w:p w14:paraId="4D37403F" w14:textId="77777777" w:rsidR="004D1935" w:rsidRPr="0064730E" w:rsidRDefault="004D1935" w:rsidP="00E24DC9">
            <w:pPr>
              <w:rPr>
                <w:rFonts w:ascii="Calibri" w:hAnsi="Calibri" w:cs="Calibri"/>
                <w:color w:val="000000"/>
                <w:sz w:val="13"/>
                <w:szCs w:val="13"/>
              </w:rPr>
            </w:pPr>
            <w:r w:rsidRPr="0064730E">
              <w:rPr>
                <w:rFonts w:ascii="Calibri" w:hAnsi="Calibri" w:cs="Calibri"/>
                <w:color w:val="000000"/>
                <w:sz w:val="13"/>
                <w:szCs w:val="13"/>
              </w:rPr>
              <w:t>354.1249</w:t>
            </w:r>
          </w:p>
        </w:tc>
        <w:tc>
          <w:tcPr>
            <w:tcW w:w="2880" w:type="dxa"/>
            <w:vMerge/>
            <w:vAlign w:val="center"/>
          </w:tcPr>
          <w:p w14:paraId="5BA87F2F" w14:textId="77777777" w:rsidR="004D1935" w:rsidRDefault="004D1935" w:rsidP="00E24DC9"/>
        </w:tc>
        <w:tc>
          <w:tcPr>
            <w:tcW w:w="1465" w:type="dxa"/>
            <w:vMerge/>
            <w:vAlign w:val="center"/>
          </w:tcPr>
          <w:p w14:paraId="6A242728" w14:textId="77777777" w:rsidR="004D1935" w:rsidRDefault="004D1935" w:rsidP="00E24DC9"/>
        </w:tc>
        <w:tc>
          <w:tcPr>
            <w:tcW w:w="1137" w:type="dxa"/>
            <w:vMerge/>
          </w:tcPr>
          <w:p w14:paraId="07FF17C1" w14:textId="77777777" w:rsidR="004D1935" w:rsidRDefault="004D1935" w:rsidP="00E24DC9"/>
        </w:tc>
        <w:tc>
          <w:tcPr>
            <w:tcW w:w="7843" w:type="dxa"/>
            <w:vMerge/>
          </w:tcPr>
          <w:p w14:paraId="603F0201" w14:textId="77777777" w:rsidR="004D1935" w:rsidRDefault="004D1935" w:rsidP="00E24DC9"/>
        </w:tc>
      </w:tr>
      <w:tr w:rsidR="004D1935" w14:paraId="73227ABE" w14:textId="77777777" w:rsidTr="00E24DC9">
        <w:tc>
          <w:tcPr>
            <w:tcW w:w="825" w:type="dxa"/>
            <w:vMerge/>
          </w:tcPr>
          <w:p w14:paraId="752CBB9B" w14:textId="77777777" w:rsidR="004D1935" w:rsidRDefault="004D1935" w:rsidP="00E24DC9"/>
        </w:tc>
        <w:tc>
          <w:tcPr>
            <w:tcW w:w="877" w:type="dxa"/>
            <w:tcBorders>
              <w:top w:val="nil"/>
              <w:bottom w:val="nil"/>
            </w:tcBorders>
            <w:vAlign w:val="bottom"/>
          </w:tcPr>
          <w:p w14:paraId="50261C9F" w14:textId="77777777" w:rsidR="004D1935" w:rsidRPr="0064730E" w:rsidRDefault="004D1935" w:rsidP="00E24DC9">
            <w:pPr>
              <w:rPr>
                <w:rFonts w:ascii="Calibri" w:hAnsi="Calibri" w:cs="Calibri"/>
                <w:color w:val="000000"/>
                <w:sz w:val="13"/>
                <w:szCs w:val="13"/>
              </w:rPr>
            </w:pPr>
            <w:r w:rsidRPr="0064730E">
              <w:rPr>
                <w:rFonts w:ascii="Calibri" w:hAnsi="Calibri" w:cs="Calibri"/>
                <w:color w:val="000000"/>
                <w:sz w:val="13"/>
                <w:szCs w:val="13"/>
              </w:rPr>
              <w:t>354.1741</w:t>
            </w:r>
          </w:p>
        </w:tc>
        <w:tc>
          <w:tcPr>
            <w:tcW w:w="2880" w:type="dxa"/>
            <w:vMerge/>
            <w:vAlign w:val="center"/>
          </w:tcPr>
          <w:p w14:paraId="6124EE94" w14:textId="77777777" w:rsidR="004D1935" w:rsidRDefault="004D1935" w:rsidP="00E24DC9"/>
        </w:tc>
        <w:tc>
          <w:tcPr>
            <w:tcW w:w="1465" w:type="dxa"/>
            <w:vMerge/>
            <w:vAlign w:val="center"/>
          </w:tcPr>
          <w:p w14:paraId="60E19667" w14:textId="77777777" w:rsidR="004D1935" w:rsidRDefault="004D1935" w:rsidP="00E24DC9"/>
        </w:tc>
        <w:tc>
          <w:tcPr>
            <w:tcW w:w="1137" w:type="dxa"/>
            <w:vMerge/>
          </w:tcPr>
          <w:p w14:paraId="4953EA2C" w14:textId="77777777" w:rsidR="004D1935" w:rsidRDefault="004D1935" w:rsidP="00E24DC9"/>
        </w:tc>
        <w:tc>
          <w:tcPr>
            <w:tcW w:w="7843" w:type="dxa"/>
            <w:vMerge/>
          </w:tcPr>
          <w:p w14:paraId="334B8462" w14:textId="77777777" w:rsidR="004D1935" w:rsidRDefault="004D1935" w:rsidP="00E24DC9"/>
        </w:tc>
      </w:tr>
      <w:tr w:rsidR="004D1935" w14:paraId="4B30EB67" w14:textId="77777777" w:rsidTr="00E24DC9">
        <w:tc>
          <w:tcPr>
            <w:tcW w:w="825" w:type="dxa"/>
            <w:vMerge/>
          </w:tcPr>
          <w:p w14:paraId="0CCBAE62" w14:textId="77777777" w:rsidR="004D1935" w:rsidRDefault="004D1935" w:rsidP="00E24DC9"/>
        </w:tc>
        <w:tc>
          <w:tcPr>
            <w:tcW w:w="877" w:type="dxa"/>
            <w:tcBorders>
              <w:top w:val="nil"/>
              <w:bottom w:val="nil"/>
            </w:tcBorders>
            <w:vAlign w:val="bottom"/>
          </w:tcPr>
          <w:p w14:paraId="7CED93AE" w14:textId="77777777" w:rsidR="004D1935" w:rsidRPr="0064730E" w:rsidRDefault="004D1935" w:rsidP="00E24DC9">
            <w:pPr>
              <w:rPr>
                <w:rFonts w:ascii="Calibri" w:hAnsi="Calibri" w:cs="Calibri"/>
                <w:color w:val="000000"/>
                <w:sz w:val="13"/>
                <w:szCs w:val="13"/>
              </w:rPr>
            </w:pPr>
            <w:r w:rsidRPr="0064730E">
              <w:rPr>
                <w:rFonts w:ascii="Calibri" w:hAnsi="Calibri" w:cs="Calibri"/>
                <w:color w:val="000000"/>
                <w:sz w:val="13"/>
                <w:szCs w:val="13"/>
              </w:rPr>
              <w:t>354.0252</w:t>
            </w:r>
          </w:p>
        </w:tc>
        <w:tc>
          <w:tcPr>
            <w:tcW w:w="2880" w:type="dxa"/>
            <w:vMerge/>
            <w:vAlign w:val="center"/>
          </w:tcPr>
          <w:p w14:paraId="41476F40" w14:textId="77777777" w:rsidR="004D1935" w:rsidRDefault="004D1935" w:rsidP="00E24DC9"/>
        </w:tc>
        <w:tc>
          <w:tcPr>
            <w:tcW w:w="1465" w:type="dxa"/>
            <w:vMerge/>
            <w:vAlign w:val="center"/>
          </w:tcPr>
          <w:p w14:paraId="6C83B999" w14:textId="77777777" w:rsidR="004D1935" w:rsidRDefault="004D1935" w:rsidP="00E24DC9"/>
        </w:tc>
        <w:tc>
          <w:tcPr>
            <w:tcW w:w="1137" w:type="dxa"/>
            <w:vMerge/>
          </w:tcPr>
          <w:p w14:paraId="14740A23" w14:textId="77777777" w:rsidR="004D1935" w:rsidRDefault="004D1935" w:rsidP="00E24DC9"/>
        </w:tc>
        <w:tc>
          <w:tcPr>
            <w:tcW w:w="7843" w:type="dxa"/>
            <w:vMerge/>
          </w:tcPr>
          <w:p w14:paraId="42B59564" w14:textId="77777777" w:rsidR="004D1935" w:rsidRDefault="004D1935" w:rsidP="00E24DC9"/>
        </w:tc>
      </w:tr>
      <w:tr w:rsidR="004D1935" w14:paraId="111DAC02" w14:textId="77777777" w:rsidTr="00E24DC9">
        <w:tc>
          <w:tcPr>
            <w:tcW w:w="825" w:type="dxa"/>
            <w:vMerge/>
          </w:tcPr>
          <w:p w14:paraId="2EC3B299" w14:textId="77777777" w:rsidR="004D1935" w:rsidRDefault="004D1935" w:rsidP="00E24DC9"/>
        </w:tc>
        <w:tc>
          <w:tcPr>
            <w:tcW w:w="877" w:type="dxa"/>
            <w:tcBorders>
              <w:top w:val="nil"/>
              <w:bottom w:val="nil"/>
            </w:tcBorders>
            <w:vAlign w:val="bottom"/>
          </w:tcPr>
          <w:p w14:paraId="24A76BCE" w14:textId="77777777" w:rsidR="004D1935" w:rsidRPr="0064730E" w:rsidRDefault="004D1935" w:rsidP="00E24DC9">
            <w:pPr>
              <w:rPr>
                <w:rFonts w:ascii="Calibri" w:hAnsi="Calibri" w:cs="Calibri"/>
                <w:color w:val="000000"/>
                <w:sz w:val="13"/>
                <w:szCs w:val="13"/>
              </w:rPr>
            </w:pPr>
            <w:r w:rsidRPr="0064730E">
              <w:rPr>
                <w:rFonts w:ascii="Calibri" w:hAnsi="Calibri" w:cs="Calibri"/>
                <w:color w:val="000000"/>
                <w:sz w:val="13"/>
                <w:szCs w:val="13"/>
              </w:rPr>
              <w:t>354.1220</w:t>
            </w:r>
          </w:p>
        </w:tc>
        <w:tc>
          <w:tcPr>
            <w:tcW w:w="2880" w:type="dxa"/>
            <w:vMerge/>
            <w:vAlign w:val="center"/>
          </w:tcPr>
          <w:p w14:paraId="45DF779B" w14:textId="77777777" w:rsidR="004D1935" w:rsidRDefault="004D1935" w:rsidP="00E24DC9"/>
        </w:tc>
        <w:tc>
          <w:tcPr>
            <w:tcW w:w="1465" w:type="dxa"/>
            <w:vMerge/>
            <w:vAlign w:val="center"/>
          </w:tcPr>
          <w:p w14:paraId="28FC50DF" w14:textId="77777777" w:rsidR="004D1935" w:rsidRDefault="004D1935" w:rsidP="00E24DC9"/>
        </w:tc>
        <w:tc>
          <w:tcPr>
            <w:tcW w:w="1137" w:type="dxa"/>
            <w:vMerge/>
          </w:tcPr>
          <w:p w14:paraId="72B75380" w14:textId="77777777" w:rsidR="004D1935" w:rsidRDefault="004D1935" w:rsidP="00E24DC9"/>
        </w:tc>
        <w:tc>
          <w:tcPr>
            <w:tcW w:w="7843" w:type="dxa"/>
            <w:vMerge/>
          </w:tcPr>
          <w:p w14:paraId="7E0B4331" w14:textId="77777777" w:rsidR="004D1935" w:rsidRDefault="004D1935" w:rsidP="00E24DC9"/>
        </w:tc>
      </w:tr>
      <w:tr w:rsidR="004D1935" w14:paraId="548572AA" w14:textId="77777777" w:rsidTr="00E24DC9">
        <w:tc>
          <w:tcPr>
            <w:tcW w:w="825" w:type="dxa"/>
            <w:vMerge/>
          </w:tcPr>
          <w:p w14:paraId="3A5C9049" w14:textId="77777777" w:rsidR="004D1935" w:rsidRDefault="004D1935" w:rsidP="00E24DC9"/>
        </w:tc>
        <w:tc>
          <w:tcPr>
            <w:tcW w:w="877" w:type="dxa"/>
            <w:tcBorders>
              <w:top w:val="nil"/>
              <w:bottom w:val="nil"/>
            </w:tcBorders>
            <w:vAlign w:val="bottom"/>
          </w:tcPr>
          <w:p w14:paraId="0C1805E8" w14:textId="77777777" w:rsidR="004D1935" w:rsidRPr="0064730E" w:rsidRDefault="004D1935" w:rsidP="00E24DC9">
            <w:pPr>
              <w:rPr>
                <w:rFonts w:ascii="Calibri" w:hAnsi="Calibri" w:cs="Calibri"/>
                <w:color w:val="000000"/>
                <w:sz w:val="13"/>
                <w:szCs w:val="13"/>
              </w:rPr>
            </w:pPr>
            <w:r w:rsidRPr="0064730E">
              <w:rPr>
                <w:rFonts w:ascii="Calibri" w:hAnsi="Calibri" w:cs="Calibri"/>
                <w:color w:val="000000"/>
                <w:sz w:val="13"/>
                <w:szCs w:val="13"/>
              </w:rPr>
              <w:t>354.1683</w:t>
            </w:r>
          </w:p>
        </w:tc>
        <w:tc>
          <w:tcPr>
            <w:tcW w:w="2880" w:type="dxa"/>
            <w:vMerge/>
            <w:vAlign w:val="center"/>
          </w:tcPr>
          <w:p w14:paraId="10A75067" w14:textId="77777777" w:rsidR="004D1935" w:rsidRDefault="004D1935" w:rsidP="00E24DC9"/>
        </w:tc>
        <w:tc>
          <w:tcPr>
            <w:tcW w:w="1465" w:type="dxa"/>
            <w:vMerge/>
            <w:vAlign w:val="center"/>
          </w:tcPr>
          <w:p w14:paraId="7DC43EF4" w14:textId="77777777" w:rsidR="004D1935" w:rsidRDefault="004D1935" w:rsidP="00E24DC9"/>
        </w:tc>
        <w:tc>
          <w:tcPr>
            <w:tcW w:w="1137" w:type="dxa"/>
            <w:vMerge/>
          </w:tcPr>
          <w:p w14:paraId="6CB0180A" w14:textId="77777777" w:rsidR="004D1935" w:rsidRDefault="004D1935" w:rsidP="00E24DC9"/>
        </w:tc>
        <w:tc>
          <w:tcPr>
            <w:tcW w:w="7843" w:type="dxa"/>
            <w:vMerge/>
          </w:tcPr>
          <w:p w14:paraId="3A972C26" w14:textId="77777777" w:rsidR="004D1935" w:rsidRDefault="004D1935" w:rsidP="00E24DC9"/>
        </w:tc>
      </w:tr>
      <w:tr w:rsidR="004D1935" w14:paraId="241B1679" w14:textId="77777777" w:rsidTr="00E24DC9">
        <w:tc>
          <w:tcPr>
            <w:tcW w:w="825" w:type="dxa"/>
            <w:vMerge/>
          </w:tcPr>
          <w:p w14:paraId="1E8CBAD4" w14:textId="77777777" w:rsidR="004D1935" w:rsidRDefault="004D1935" w:rsidP="00E24DC9"/>
        </w:tc>
        <w:tc>
          <w:tcPr>
            <w:tcW w:w="877" w:type="dxa"/>
            <w:tcBorders>
              <w:top w:val="nil"/>
              <w:bottom w:val="nil"/>
            </w:tcBorders>
            <w:vAlign w:val="bottom"/>
          </w:tcPr>
          <w:p w14:paraId="17E80D0B" w14:textId="77777777" w:rsidR="004D1935" w:rsidRPr="0064730E" w:rsidRDefault="004D1935" w:rsidP="00E24DC9">
            <w:pPr>
              <w:rPr>
                <w:rFonts w:ascii="Calibri" w:hAnsi="Calibri" w:cs="Calibri"/>
                <w:color w:val="000000"/>
                <w:sz w:val="13"/>
                <w:szCs w:val="13"/>
              </w:rPr>
            </w:pPr>
            <w:r w:rsidRPr="0064730E">
              <w:rPr>
                <w:rFonts w:ascii="Calibri" w:hAnsi="Calibri" w:cs="Calibri"/>
                <w:color w:val="000000"/>
                <w:sz w:val="13"/>
                <w:szCs w:val="13"/>
              </w:rPr>
              <w:t>354.0209</w:t>
            </w:r>
          </w:p>
        </w:tc>
        <w:tc>
          <w:tcPr>
            <w:tcW w:w="2880" w:type="dxa"/>
            <w:vMerge/>
            <w:vAlign w:val="center"/>
          </w:tcPr>
          <w:p w14:paraId="3C49110C" w14:textId="77777777" w:rsidR="004D1935" w:rsidRDefault="004D1935" w:rsidP="00E24DC9"/>
        </w:tc>
        <w:tc>
          <w:tcPr>
            <w:tcW w:w="1465" w:type="dxa"/>
            <w:vMerge/>
            <w:vAlign w:val="center"/>
          </w:tcPr>
          <w:p w14:paraId="5A1FE016" w14:textId="77777777" w:rsidR="004D1935" w:rsidRDefault="004D1935" w:rsidP="00E24DC9"/>
        </w:tc>
        <w:tc>
          <w:tcPr>
            <w:tcW w:w="1137" w:type="dxa"/>
            <w:vMerge/>
          </w:tcPr>
          <w:p w14:paraId="13E486F5" w14:textId="77777777" w:rsidR="004D1935" w:rsidRDefault="004D1935" w:rsidP="00E24DC9"/>
        </w:tc>
        <w:tc>
          <w:tcPr>
            <w:tcW w:w="7843" w:type="dxa"/>
            <w:vMerge/>
          </w:tcPr>
          <w:p w14:paraId="411A2C1C" w14:textId="77777777" w:rsidR="004D1935" w:rsidRDefault="004D1935" w:rsidP="00E24DC9"/>
        </w:tc>
      </w:tr>
      <w:tr w:rsidR="004D1935" w14:paraId="3AF220F6" w14:textId="77777777" w:rsidTr="00E24DC9">
        <w:tc>
          <w:tcPr>
            <w:tcW w:w="825" w:type="dxa"/>
            <w:vMerge/>
          </w:tcPr>
          <w:p w14:paraId="3E39F3CD" w14:textId="77777777" w:rsidR="004D1935" w:rsidRDefault="004D1935" w:rsidP="00E24DC9"/>
        </w:tc>
        <w:tc>
          <w:tcPr>
            <w:tcW w:w="877" w:type="dxa"/>
            <w:tcBorders>
              <w:top w:val="nil"/>
              <w:bottom w:val="nil"/>
            </w:tcBorders>
            <w:vAlign w:val="bottom"/>
          </w:tcPr>
          <w:p w14:paraId="504AE320" w14:textId="77777777" w:rsidR="004D1935" w:rsidRPr="0064730E" w:rsidRDefault="004D1935" w:rsidP="00E24DC9">
            <w:pPr>
              <w:rPr>
                <w:rFonts w:ascii="Calibri" w:hAnsi="Calibri" w:cs="Calibri"/>
                <w:color w:val="000000"/>
                <w:sz w:val="13"/>
                <w:szCs w:val="13"/>
              </w:rPr>
            </w:pPr>
            <w:r w:rsidRPr="0064730E">
              <w:rPr>
                <w:rFonts w:ascii="Calibri" w:hAnsi="Calibri" w:cs="Calibri"/>
                <w:color w:val="000000"/>
                <w:sz w:val="13"/>
                <w:szCs w:val="13"/>
              </w:rPr>
              <w:t>354.0642</w:t>
            </w:r>
          </w:p>
        </w:tc>
        <w:tc>
          <w:tcPr>
            <w:tcW w:w="2880" w:type="dxa"/>
            <w:vMerge/>
            <w:vAlign w:val="center"/>
          </w:tcPr>
          <w:p w14:paraId="63F832CA" w14:textId="77777777" w:rsidR="004D1935" w:rsidRDefault="004D1935" w:rsidP="00E24DC9"/>
        </w:tc>
        <w:tc>
          <w:tcPr>
            <w:tcW w:w="1465" w:type="dxa"/>
            <w:vMerge/>
            <w:vAlign w:val="center"/>
          </w:tcPr>
          <w:p w14:paraId="43C16C5D" w14:textId="77777777" w:rsidR="004D1935" w:rsidRDefault="004D1935" w:rsidP="00E24DC9"/>
        </w:tc>
        <w:tc>
          <w:tcPr>
            <w:tcW w:w="1137" w:type="dxa"/>
            <w:vMerge/>
          </w:tcPr>
          <w:p w14:paraId="6E6704B9" w14:textId="77777777" w:rsidR="004D1935" w:rsidRDefault="004D1935" w:rsidP="00E24DC9"/>
        </w:tc>
        <w:tc>
          <w:tcPr>
            <w:tcW w:w="7843" w:type="dxa"/>
            <w:vMerge/>
          </w:tcPr>
          <w:p w14:paraId="012D1E5A" w14:textId="77777777" w:rsidR="004D1935" w:rsidRDefault="004D1935" w:rsidP="00E24DC9"/>
        </w:tc>
      </w:tr>
      <w:tr w:rsidR="004D1935" w14:paraId="11D4835E" w14:textId="77777777" w:rsidTr="00E24DC9">
        <w:tc>
          <w:tcPr>
            <w:tcW w:w="825" w:type="dxa"/>
            <w:vMerge/>
          </w:tcPr>
          <w:p w14:paraId="75E75508" w14:textId="77777777" w:rsidR="004D1935" w:rsidRDefault="004D1935" w:rsidP="00E24DC9"/>
        </w:tc>
        <w:tc>
          <w:tcPr>
            <w:tcW w:w="877" w:type="dxa"/>
            <w:tcBorders>
              <w:top w:val="nil"/>
              <w:bottom w:val="nil"/>
            </w:tcBorders>
            <w:vAlign w:val="bottom"/>
          </w:tcPr>
          <w:p w14:paraId="46B60D24" w14:textId="77777777" w:rsidR="004D1935" w:rsidRPr="0064730E" w:rsidRDefault="004D1935" w:rsidP="00E24DC9">
            <w:pPr>
              <w:rPr>
                <w:rFonts w:ascii="Calibri" w:hAnsi="Calibri" w:cs="Calibri"/>
                <w:color w:val="000000"/>
                <w:sz w:val="13"/>
                <w:szCs w:val="13"/>
              </w:rPr>
            </w:pPr>
            <w:r w:rsidRPr="0064730E">
              <w:rPr>
                <w:rFonts w:ascii="Calibri" w:hAnsi="Calibri" w:cs="Calibri"/>
                <w:color w:val="000000"/>
                <w:sz w:val="13"/>
                <w:szCs w:val="13"/>
              </w:rPr>
              <w:t>354.1076</w:t>
            </w:r>
          </w:p>
        </w:tc>
        <w:tc>
          <w:tcPr>
            <w:tcW w:w="2880" w:type="dxa"/>
            <w:vMerge/>
            <w:vAlign w:val="center"/>
          </w:tcPr>
          <w:p w14:paraId="5122F405" w14:textId="77777777" w:rsidR="004D1935" w:rsidRDefault="004D1935" w:rsidP="00E24DC9"/>
        </w:tc>
        <w:tc>
          <w:tcPr>
            <w:tcW w:w="1465" w:type="dxa"/>
            <w:vMerge/>
            <w:vAlign w:val="center"/>
          </w:tcPr>
          <w:p w14:paraId="44F84AC5" w14:textId="77777777" w:rsidR="004D1935" w:rsidRDefault="004D1935" w:rsidP="00E24DC9"/>
        </w:tc>
        <w:tc>
          <w:tcPr>
            <w:tcW w:w="1137" w:type="dxa"/>
            <w:vMerge/>
          </w:tcPr>
          <w:p w14:paraId="04593113" w14:textId="77777777" w:rsidR="004D1935" w:rsidRDefault="004D1935" w:rsidP="00E24DC9"/>
        </w:tc>
        <w:tc>
          <w:tcPr>
            <w:tcW w:w="7843" w:type="dxa"/>
            <w:vMerge/>
          </w:tcPr>
          <w:p w14:paraId="6CBC60A5" w14:textId="77777777" w:rsidR="004D1935" w:rsidRDefault="004D1935" w:rsidP="00E24DC9"/>
        </w:tc>
      </w:tr>
      <w:tr w:rsidR="004D1935" w14:paraId="43E9A4F9" w14:textId="77777777" w:rsidTr="00E24DC9">
        <w:tc>
          <w:tcPr>
            <w:tcW w:w="825" w:type="dxa"/>
            <w:vMerge/>
          </w:tcPr>
          <w:p w14:paraId="20C07681" w14:textId="77777777" w:rsidR="004D1935" w:rsidRDefault="004D1935" w:rsidP="00E24DC9"/>
        </w:tc>
        <w:tc>
          <w:tcPr>
            <w:tcW w:w="877" w:type="dxa"/>
            <w:tcBorders>
              <w:top w:val="nil"/>
              <w:bottom w:val="nil"/>
            </w:tcBorders>
            <w:vAlign w:val="bottom"/>
          </w:tcPr>
          <w:p w14:paraId="128F0609" w14:textId="77777777" w:rsidR="004D1935" w:rsidRPr="0064730E" w:rsidRDefault="004D1935" w:rsidP="00E24DC9">
            <w:pPr>
              <w:rPr>
                <w:rFonts w:ascii="Calibri" w:hAnsi="Calibri" w:cs="Calibri"/>
                <w:color w:val="000000"/>
                <w:sz w:val="13"/>
                <w:szCs w:val="13"/>
              </w:rPr>
            </w:pPr>
            <w:r w:rsidRPr="0064730E">
              <w:rPr>
                <w:rFonts w:ascii="Calibri" w:hAnsi="Calibri" w:cs="Calibri"/>
                <w:color w:val="000000"/>
                <w:sz w:val="13"/>
                <w:szCs w:val="13"/>
              </w:rPr>
              <w:t>354.1510</w:t>
            </w:r>
          </w:p>
        </w:tc>
        <w:tc>
          <w:tcPr>
            <w:tcW w:w="2880" w:type="dxa"/>
            <w:vMerge/>
            <w:vAlign w:val="center"/>
          </w:tcPr>
          <w:p w14:paraId="13E75293" w14:textId="77777777" w:rsidR="004D1935" w:rsidRDefault="004D1935" w:rsidP="00E24DC9"/>
        </w:tc>
        <w:tc>
          <w:tcPr>
            <w:tcW w:w="1465" w:type="dxa"/>
            <w:vMerge/>
            <w:vAlign w:val="center"/>
          </w:tcPr>
          <w:p w14:paraId="2C5799EF" w14:textId="77777777" w:rsidR="004D1935" w:rsidRDefault="004D1935" w:rsidP="00E24DC9"/>
        </w:tc>
        <w:tc>
          <w:tcPr>
            <w:tcW w:w="1137" w:type="dxa"/>
            <w:vMerge/>
          </w:tcPr>
          <w:p w14:paraId="37B93912" w14:textId="77777777" w:rsidR="004D1935" w:rsidRDefault="004D1935" w:rsidP="00E24DC9"/>
        </w:tc>
        <w:tc>
          <w:tcPr>
            <w:tcW w:w="7843" w:type="dxa"/>
            <w:vMerge/>
          </w:tcPr>
          <w:p w14:paraId="57CF39CF" w14:textId="77777777" w:rsidR="004D1935" w:rsidRDefault="004D1935" w:rsidP="00E24DC9"/>
        </w:tc>
      </w:tr>
      <w:tr w:rsidR="004D1935" w14:paraId="6A3FE837" w14:textId="77777777" w:rsidTr="00E24DC9">
        <w:tc>
          <w:tcPr>
            <w:tcW w:w="825" w:type="dxa"/>
            <w:vMerge/>
          </w:tcPr>
          <w:p w14:paraId="756AB813" w14:textId="77777777" w:rsidR="004D1935" w:rsidRDefault="004D1935" w:rsidP="00E24DC9"/>
        </w:tc>
        <w:tc>
          <w:tcPr>
            <w:tcW w:w="877" w:type="dxa"/>
            <w:tcBorders>
              <w:top w:val="nil"/>
              <w:bottom w:val="nil"/>
            </w:tcBorders>
            <w:vAlign w:val="bottom"/>
          </w:tcPr>
          <w:p w14:paraId="1A24A605" w14:textId="77777777" w:rsidR="004D1935" w:rsidRPr="0064730E" w:rsidRDefault="004D1935" w:rsidP="00E24DC9">
            <w:pPr>
              <w:rPr>
                <w:rFonts w:ascii="Calibri" w:hAnsi="Calibri" w:cs="Calibri"/>
                <w:color w:val="000000"/>
                <w:sz w:val="13"/>
                <w:szCs w:val="13"/>
              </w:rPr>
            </w:pPr>
            <w:r w:rsidRPr="0064730E">
              <w:rPr>
                <w:rFonts w:ascii="Calibri" w:hAnsi="Calibri" w:cs="Calibri"/>
                <w:color w:val="000000"/>
                <w:sz w:val="13"/>
                <w:szCs w:val="13"/>
              </w:rPr>
              <w:t>354.1943</w:t>
            </w:r>
          </w:p>
        </w:tc>
        <w:tc>
          <w:tcPr>
            <w:tcW w:w="2880" w:type="dxa"/>
            <w:vMerge/>
            <w:vAlign w:val="center"/>
          </w:tcPr>
          <w:p w14:paraId="0B01BDB3" w14:textId="77777777" w:rsidR="004D1935" w:rsidRDefault="004D1935" w:rsidP="00E24DC9"/>
        </w:tc>
        <w:tc>
          <w:tcPr>
            <w:tcW w:w="1465" w:type="dxa"/>
            <w:vMerge/>
            <w:vAlign w:val="center"/>
          </w:tcPr>
          <w:p w14:paraId="5CD73220" w14:textId="77777777" w:rsidR="004D1935" w:rsidRDefault="004D1935" w:rsidP="00E24DC9"/>
        </w:tc>
        <w:tc>
          <w:tcPr>
            <w:tcW w:w="1137" w:type="dxa"/>
            <w:vMerge/>
          </w:tcPr>
          <w:p w14:paraId="46AAD502" w14:textId="77777777" w:rsidR="004D1935" w:rsidRDefault="004D1935" w:rsidP="00E24DC9"/>
        </w:tc>
        <w:tc>
          <w:tcPr>
            <w:tcW w:w="7843" w:type="dxa"/>
            <w:vMerge/>
          </w:tcPr>
          <w:p w14:paraId="22BA9056" w14:textId="77777777" w:rsidR="004D1935" w:rsidRDefault="004D1935" w:rsidP="00E24DC9"/>
        </w:tc>
      </w:tr>
      <w:tr w:rsidR="004D1935" w14:paraId="7A9A64F5" w14:textId="77777777" w:rsidTr="00E24DC9">
        <w:tc>
          <w:tcPr>
            <w:tcW w:w="825" w:type="dxa"/>
            <w:vMerge/>
          </w:tcPr>
          <w:p w14:paraId="30BC6FEE" w14:textId="77777777" w:rsidR="004D1935" w:rsidRDefault="004D1935" w:rsidP="00E24DC9"/>
        </w:tc>
        <w:tc>
          <w:tcPr>
            <w:tcW w:w="877" w:type="dxa"/>
            <w:tcBorders>
              <w:top w:val="nil"/>
              <w:bottom w:val="nil"/>
            </w:tcBorders>
            <w:vAlign w:val="bottom"/>
          </w:tcPr>
          <w:p w14:paraId="481ED128" w14:textId="77777777" w:rsidR="004D1935" w:rsidRPr="0064730E" w:rsidRDefault="004D1935" w:rsidP="00E24DC9">
            <w:pPr>
              <w:rPr>
                <w:rFonts w:ascii="Calibri" w:hAnsi="Calibri" w:cs="Calibri"/>
                <w:color w:val="000000"/>
                <w:sz w:val="13"/>
                <w:szCs w:val="13"/>
              </w:rPr>
            </w:pPr>
            <w:r w:rsidRPr="0064730E">
              <w:rPr>
                <w:rFonts w:ascii="Calibri" w:hAnsi="Calibri" w:cs="Calibri"/>
                <w:color w:val="000000"/>
                <w:sz w:val="13"/>
                <w:szCs w:val="13"/>
              </w:rPr>
              <w:t>354.0180</w:t>
            </w:r>
          </w:p>
        </w:tc>
        <w:tc>
          <w:tcPr>
            <w:tcW w:w="2880" w:type="dxa"/>
            <w:vMerge/>
            <w:vAlign w:val="center"/>
          </w:tcPr>
          <w:p w14:paraId="614AC13F" w14:textId="77777777" w:rsidR="004D1935" w:rsidRDefault="004D1935" w:rsidP="00E24DC9"/>
        </w:tc>
        <w:tc>
          <w:tcPr>
            <w:tcW w:w="1465" w:type="dxa"/>
            <w:vMerge/>
            <w:vAlign w:val="center"/>
          </w:tcPr>
          <w:p w14:paraId="0BE4864D" w14:textId="77777777" w:rsidR="004D1935" w:rsidRDefault="004D1935" w:rsidP="00E24DC9"/>
        </w:tc>
        <w:tc>
          <w:tcPr>
            <w:tcW w:w="1137" w:type="dxa"/>
            <w:vMerge/>
          </w:tcPr>
          <w:p w14:paraId="5900E77A" w14:textId="77777777" w:rsidR="004D1935" w:rsidRDefault="004D1935" w:rsidP="00E24DC9"/>
        </w:tc>
        <w:tc>
          <w:tcPr>
            <w:tcW w:w="7843" w:type="dxa"/>
            <w:vMerge/>
          </w:tcPr>
          <w:p w14:paraId="12BD134E" w14:textId="77777777" w:rsidR="004D1935" w:rsidRDefault="004D1935" w:rsidP="00E24DC9"/>
        </w:tc>
      </w:tr>
      <w:tr w:rsidR="004D1935" w14:paraId="5A738189" w14:textId="77777777" w:rsidTr="00E24DC9">
        <w:tc>
          <w:tcPr>
            <w:tcW w:w="825" w:type="dxa"/>
            <w:vMerge/>
          </w:tcPr>
          <w:p w14:paraId="1020121A" w14:textId="77777777" w:rsidR="004D1935" w:rsidRDefault="004D1935" w:rsidP="00E24DC9"/>
        </w:tc>
        <w:tc>
          <w:tcPr>
            <w:tcW w:w="877" w:type="dxa"/>
            <w:tcBorders>
              <w:top w:val="nil"/>
              <w:bottom w:val="nil"/>
            </w:tcBorders>
            <w:vAlign w:val="bottom"/>
          </w:tcPr>
          <w:p w14:paraId="3963361A" w14:textId="77777777" w:rsidR="004D1935" w:rsidRPr="0064730E" w:rsidRDefault="004D1935" w:rsidP="00E24DC9">
            <w:pPr>
              <w:rPr>
                <w:rFonts w:ascii="Calibri" w:hAnsi="Calibri" w:cs="Calibri"/>
                <w:color w:val="000000"/>
                <w:sz w:val="13"/>
                <w:szCs w:val="13"/>
              </w:rPr>
            </w:pPr>
            <w:r w:rsidRPr="0064730E">
              <w:rPr>
                <w:rFonts w:ascii="Calibri" w:hAnsi="Calibri" w:cs="Calibri"/>
                <w:color w:val="000000"/>
                <w:sz w:val="13"/>
                <w:szCs w:val="13"/>
              </w:rPr>
              <w:t>354.0613</w:t>
            </w:r>
          </w:p>
        </w:tc>
        <w:tc>
          <w:tcPr>
            <w:tcW w:w="2880" w:type="dxa"/>
            <w:vMerge/>
            <w:vAlign w:val="center"/>
          </w:tcPr>
          <w:p w14:paraId="2E1F684D" w14:textId="77777777" w:rsidR="004D1935" w:rsidRDefault="004D1935" w:rsidP="00E24DC9"/>
        </w:tc>
        <w:tc>
          <w:tcPr>
            <w:tcW w:w="1465" w:type="dxa"/>
            <w:vMerge/>
            <w:vAlign w:val="center"/>
          </w:tcPr>
          <w:p w14:paraId="05F1182F" w14:textId="77777777" w:rsidR="004D1935" w:rsidRDefault="004D1935" w:rsidP="00E24DC9"/>
        </w:tc>
        <w:tc>
          <w:tcPr>
            <w:tcW w:w="1137" w:type="dxa"/>
            <w:vMerge/>
          </w:tcPr>
          <w:p w14:paraId="0D397E1F" w14:textId="77777777" w:rsidR="004D1935" w:rsidRDefault="004D1935" w:rsidP="00E24DC9"/>
        </w:tc>
        <w:tc>
          <w:tcPr>
            <w:tcW w:w="7843" w:type="dxa"/>
            <w:vMerge/>
          </w:tcPr>
          <w:p w14:paraId="71A823D4" w14:textId="77777777" w:rsidR="004D1935" w:rsidRDefault="004D1935" w:rsidP="00E24DC9"/>
        </w:tc>
      </w:tr>
      <w:tr w:rsidR="004D1935" w14:paraId="478D6C0D" w14:textId="77777777" w:rsidTr="00E24DC9">
        <w:tc>
          <w:tcPr>
            <w:tcW w:w="825" w:type="dxa"/>
            <w:vMerge/>
          </w:tcPr>
          <w:p w14:paraId="1C3D58FC" w14:textId="77777777" w:rsidR="004D1935" w:rsidRDefault="004D1935" w:rsidP="00E24DC9"/>
        </w:tc>
        <w:tc>
          <w:tcPr>
            <w:tcW w:w="877" w:type="dxa"/>
            <w:tcBorders>
              <w:top w:val="nil"/>
              <w:bottom w:val="nil"/>
            </w:tcBorders>
            <w:vAlign w:val="bottom"/>
          </w:tcPr>
          <w:p w14:paraId="788B8AD1" w14:textId="77777777" w:rsidR="004D1935" w:rsidRPr="0064730E" w:rsidRDefault="004D1935" w:rsidP="00E24DC9">
            <w:pPr>
              <w:rPr>
                <w:rFonts w:ascii="Calibri" w:hAnsi="Calibri" w:cs="Calibri"/>
                <w:color w:val="000000"/>
                <w:sz w:val="13"/>
                <w:szCs w:val="13"/>
              </w:rPr>
            </w:pPr>
            <w:r w:rsidRPr="0064730E">
              <w:rPr>
                <w:rFonts w:ascii="Calibri" w:hAnsi="Calibri" w:cs="Calibri"/>
                <w:color w:val="000000"/>
                <w:sz w:val="13"/>
                <w:szCs w:val="13"/>
              </w:rPr>
              <w:t>354.0151</w:t>
            </w:r>
          </w:p>
        </w:tc>
        <w:tc>
          <w:tcPr>
            <w:tcW w:w="2880" w:type="dxa"/>
            <w:vMerge/>
            <w:vAlign w:val="center"/>
          </w:tcPr>
          <w:p w14:paraId="1C597AE0" w14:textId="77777777" w:rsidR="004D1935" w:rsidRDefault="004D1935" w:rsidP="00E24DC9"/>
        </w:tc>
        <w:tc>
          <w:tcPr>
            <w:tcW w:w="1465" w:type="dxa"/>
            <w:vMerge/>
            <w:vAlign w:val="center"/>
          </w:tcPr>
          <w:p w14:paraId="2FCB9C19" w14:textId="77777777" w:rsidR="004D1935" w:rsidRDefault="004D1935" w:rsidP="00E24DC9"/>
        </w:tc>
        <w:tc>
          <w:tcPr>
            <w:tcW w:w="1137" w:type="dxa"/>
            <w:vMerge/>
          </w:tcPr>
          <w:p w14:paraId="313031D1" w14:textId="77777777" w:rsidR="004D1935" w:rsidRDefault="004D1935" w:rsidP="00E24DC9"/>
        </w:tc>
        <w:tc>
          <w:tcPr>
            <w:tcW w:w="7843" w:type="dxa"/>
            <w:vMerge/>
          </w:tcPr>
          <w:p w14:paraId="20F3E463" w14:textId="77777777" w:rsidR="004D1935" w:rsidRDefault="004D1935" w:rsidP="00E24DC9"/>
        </w:tc>
      </w:tr>
      <w:tr w:rsidR="004D1935" w14:paraId="58FA35B8" w14:textId="77777777" w:rsidTr="00E24DC9">
        <w:tc>
          <w:tcPr>
            <w:tcW w:w="825" w:type="dxa"/>
            <w:vMerge/>
          </w:tcPr>
          <w:p w14:paraId="17771082" w14:textId="77777777" w:rsidR="004D1935" w:rsidRDefault="004D1935" w:rsidP="00E24DC9"/>
        </w:tc>
        <w:tc>
          <w:tcPr>
            <w:tcW w:w="877" w:type="dxa"/>
            <w:tcBorders>
              <w:top w:val="nil"/>
              <w:bottom w:val="nil"/>
            </w:tcBorders>
            <w:vAlign w:val="bottom"/>
          </w:tcPr>
          <w:p w14:paraId="4DC10046" w14:textId="77777777" w:rsidR="004D1935" w:rsidRPr="0064730E" w:rsidRDefault="004D1935" w:rsidP="00E24DC9">
            <w:pPr>
              <w:rPr>
                <w:rFonts w:ascii="Calibri" w:hAnsi="Calibri" w:cs="Calibri"/>
                <w:color w:val="000000"/>
                <w:sz w:val="13"/>
                <w:szCs w:val="13"/>
              </w:rPr>
            </w:pPr>
            <w:r w:rsidRPr="0064730E">
              <w:rPr>
                <w:rFonts w:ascii="Calibri" w:hAnsi="Calibri" w:cs="Calibri"/>
                <w:color w:val="000000"/>
                <w:sz w:val="13"/>
                <w:szCs w:val="13"/>
              </w:rPr>
              <w:t>354.0585</w:t>
            </w:r>
          </w:p>
        </w:tc>
        <w:tc>
          <w:tcPr>
            <w:tcW w:w="2880" w:type="dxa"/>
            <w:vMerge/>
            <w:vAlign w:val="center"/>
          </w:tcPr>
          <w:p w14:paraId="00346E5A" w14:textId="77777777" w:rsidR="004D1935" w:rsidRDefault="004D1935" w:rsidP="00E24DC9"/>
        </w:tc>
        <w:tc>
          <w:tcPr>
            <w:tcW w:w="1465" w:type="dxa"/>
            <w:vMerge/>
            <w:vAlign w:val="center"/>
          </w:tcPr>
          <w:p w14:paraId="767A1BE7" w14:textId="77777777" w:rsidR="004D1935" w:rsidRDefault="004D1935" w:rsidP="00E24DC9"/>
        </w:tc>
        <w:tc>
          <w:tcPr>
            <w:tcW w:w="1137" w:type="dxa"/>
            <w:vMerge/>
          </w:tcPr>
          <w:p w14:paraId="458D6960" w14:textId="77777777" w:rsidR="004D1935" w:rsidRDefault="004D1935" w:rsidP="00E24DC9"/>
        </w:tc>
        <w:tc>
          <w:tcPr>
            <w:tcW w:w="7843" w:type="dxa"/>
            <w:vMerge/>
          </w:tcPr>
          <w:p w14:paraId="5D1064DC" w14:textId="77777777" w:rsidR="004D1935" w:rsidRDefault="004D1935" w:rsidP="00E24DC9"/>
        </w:tc>
      </w:tr>
      <w:tr w:rsidR="004D1935" w14:paraId="6C19CC51" w14:textId="77777777" w:rsidTr="00E24DC9">
        <w:tc>
          <w:tcPr>
            <w:tcW w:w="825" w:type="dxa"/>
            <w:vMerge/>
          </w:tcPr>
          <w:p w14:paraId="11EBBFF8" w14:textId="77777777" w:rsidR="004D1935" w:rsidRDefault="004D1935" w:rsidP="00E24DC9"/>
        </w:tc>
        <w:tc>
          <w:tcPr>
            <w:tcW w:w="877" w:type="dxa"/>
            <w:tcBorders>
              <w:top w:val="nil"/>
              <w:bottom w:val="nil"/>
            </w:tcBorders>
            <w:vAlign w:val="bottom"/>
          </w:tcPr>
          <w:p w14:paraId="1C3044B1" w14:textId="77777777" w:rsidR="004D1935" w:rsidRPr="0064730E" w:rsidRDefault="004D1935" w:rsidP="00E24DC9">
            <w:pPr>
              <w:rPr>
                <w:rFonts w:ascii="Calibri" w:hAnsi="Calibri" w:cs="Calibri"/>
                <w:color w:val="000000"/>
                <w:sz w:val="13"/>
                <w:szCs w:val="13"/>
              </w:rPr>
            </w:pPr>
            <w:r w:rsidRPr="0064730E">
              <w:rPr>
                <w:rFonts w:ascii="Calibri" w:hAnsi="Calibri" w:cs="Calibri"/>
                <w:color w:val="000000"/>
                <w:sz w:val="13"/>
                <w:szCs w:val="13"/>
              </w:rPr>
              <w:t>354.1018</w:t>
            </w:r>
          </w:p>
        </w:tc>
        <w:tc>
          <w:tcPr>
            <w:tcW w:w="2880" w:type="dxa"/>
            <w:vMerge/>
            <w:vAlign w:val="center"/>
          </w:tcPr>
          <w:p w14:paraId="02C80B9A" w14:textId="77777777" w:rsidR="004D1935" w:rsidRDefault="004D1935" w:rsidP="00E24DC9"/>
        </w:tc>
        <w:tc>
          <w:tcPr>
            <w:tcW w:w="1465" w:type="dxa"/>
            <w:vMerge/>
            <w:vAlign w:val="center"/>
          </w:tcPr>
          <w:p w14:paraId="4F71C97E" w14:textId="77777777" w:rsidR="004D1935" w:rsidRDefault="004D1935" w:rsidP="00E24DC9"/>
        </w:tc>
        <w:tc>
          <w:tcPr>
            <w:tcW w:w="1137" w:type="dxa"/>
            <w:vMerge/>
          </w:tcPr>
          <w:p w14:paraId="5B4BC99B" w14:textId="77777777" w:rsidR="004D1935" w:rsidRDefault="004D1935" w:rsidP="00E24DC9"/>
        </w:tc>
        <w:tc>
          <w:tcPr>
            <w:tcW w:w="7843" w:type="dxa"/>
            <w:vMerge/>
          </w:tcPr>
          <w:p w14:paraId="05822032" w14:textId="77777777" w:rsidR="004D1935" w:rsidRDefault="004D1935" w:rsidP="00E24DC9"/>
        </w:tc>
      </w:tr>
      <w:tr w:rsidR="004D1935" w14:paraId="3CCD494D" w14:textId="77777777" w:rsidTr="00E24DC9">
        <w:tc>
          <w:tcPr>
            <w:tcW w:w="825" w:type="dxa"/>
            <w:vMerge/>
          </w:tcPr>
          <w:p w14:paraId="34C03B6F" w14:textId="77777777" w:rsidR="004D1935" w:rsidRDefault="004D1935" w:rsidP="00E24DC9"/>
        </w:tc>
        <w:tc>
          <w:tcPr>
            <w:tcW w:w="877" w:type="dxa"/>
            <w:tcBorders>
              <w:top w:val="nil"/>
              <w:bottom w:val="nil"/>
            </w:tcBorders>
            <w:vAlign w:val="bottom"/>
          </w:tcPr>
          <w:p w14:paraId="4DB4DC7A" w14:textId="77777777" w:rsidR="004D1935" w:rsidRPr="0064730E" w:rsidRDefault="004D1935" w:rsidP="00E24DC9">
            <w:pPr>
              <w:rPr>
                <w:rFonts w:ascii="Calibri" w:hAnsi="Calibri" w:cs="Calibri"/>
                <w:color w:val="000000"/>
                <w:sz w:val="13"/>
                <w:szCs w:val="13"/>
              </w:rPr>
            </w:pPr>
            <w:r w:rsidRPr="0064730E">
              <w:rPr>
                <w:rFonts w:ascii="Calibri" w:hAnsi="Calibri" w:cs="Calibri"/>
                <w:color w:val="000000"/>
                <w:sz w:val="13"/>
                <w:szCs w:val="13"/>
              </w:rPr>
              <w:t>354.1452</w:t>
            </w:r>
          </w:p>
        </w:tc>
        <w:tc>
          <w:tcPr>
            <w:tcW w:w="2880" w:type="dxa"/>
            <w:vMerge/>
            <w:vAlign w:val="center"/>
          </w:tcPr>
          <w:p w14:paraId="2E7B1547" w14:textId="77777777" w:rsidR="004D1935" w:rsidRDefault="004D1935" w:rsidP="00E24DC9"/>
        </w:tc>
        <w:tc>
          <w:tcPr>
            <w:tcW w:w="1465" w:type="dxa"/>
            <w:vMerge/>
            <w:vAlign w:val="center"/>
          </w:tcPr>
          <w:p w14:paraId="42EC2048" w14:textId="77777777" w:rsidR="004D1935" w:rsidRDefault="004D1935" w:rsidP="00E24DC9"/>
        </w:tc>
        <w:tc>
          <w:tcPr>
            <w:tcW w:w="1137" w:type="dxa"/>
            <w:vMerge/>
          </w:tcPr>
          <w:p w14:paraId="779F3BAD" w14:textId="77777777" w:rsidR="004D1935" w:rsidRDefault="004D1935" w:rsidP="00E24DC9"/>
        </w:tc>
        <w:tc>
          <w:tcPr>
            <w:tcW w:w="7843" w:type="dxa"/>
            <w:vMerge/>
          </w:tcPr>
          <w:p w14:paraId="32C14DAA" w14:textId="77777777" w:rsidR="004D1935" w:rsidRDefault="004D1935" w:rsidP="00E24DC9"/>
        </w:tc>
      </w:tr>
      <w:tr w:rsidR="004D1935" w14:paraId="183EB416" w14:textId="77777777" w:rsidTr="00E24DC9">
        <w:tc>
          <w:tcPr>
            <w:tcW w:w="825" w:type="dxa"/>
            <w:vMerge/>
          </w:tcPr>
          <w:p w14:paraId="2A81E0F2" w14:textId="77777777" w:rsidR="004D1935" w:rsidRDefault="004D1935" w:rsidP="00E24DC9"/>
        </w:tc>
        <w:tc>
          <w:tcPr>
            <w:tcW w:w="877" w:type="dxa"/>
            <w:tcBorders>
              <w:top w:val="nil"/>
              <w:bottom w:val="nil"/>
            </w:tcBorders>
            <w:vAlign w:val="bottom"/>
          </w:tcPr>
          <w:p w14:paraId="539F72D0" w14:textId="77777777" w:rsidR="004D1935" w:rsidRPr="0064730E" w:rsidRDefault="004D1935" w:rsidP="00E24DC9">
            <w:pPr>
              <w:rPr>
                <w:rFonts w:ascii="Calibri" w:hAnsi="Calibri" w:cs="Calibri"/>
                <w:color w:val="000000"/>
                <w:sz w:val="13"/>
                <w:szCs w:val="13"/>
              </w:rPr>
            </w:pPr>
            <w:r w:rsidRPr="0064730E">
              <w:rPr>
                <w:rFonts w:ascii="Calibri" w:hAnsi="Calibri" w:cs="Calibri"/>
                <w:color w:val="000000"/>
                <w:sz w:val="13"/>
                <w:szCs w:val="13"/>
              </w:rPr>
              <w:t>354.1885</w:t>
            </w:r>
          </w:p>
        </w:tc>
        <w:tc>
          <w:tcPr>
            <w:tcW w:w="2880" w:type="dxa"/>
            <w:vMerge/>
            <w:vAlign w:val="center"/>
          </w:tcPr>
          <w:p w14:paraId="270479AB" w14:textId="77777777" w:rsidR="004D1935" w:rsidRDefault="004D1935" w:rsidP="00E24DC9"/>
        </w:tc>
        <w:tc>
          <w:tcPr>
            <w:tcW w:w="1465" w:type="dxa"/>
            <w:vMerge/>
            <w:vAlign w:val="center"/>
          </w:tcPr>
          <w:p w14:paraId="71BC625F" w14:textId="77777777" w:rsidR="004D1935" w:rsidRDefault="004D1935" w:rsidP="00E24DC9"/>
        </w:tc>
        <w:tc>
          <w:tcPr>
            <w:tcW w:w="1137" w:type="dxa"/>
            <w:vMerge/>
          </w:tcPr>
          <w:p w14:paraId="6316BAC4" w14:textId="77777777" w:rsidR="004D1935" w:rsidRDefault="004D1935" w:rsidP="00E24DC9"/>
        </w:tc>
        <w:tc>
          <w:tcPr>
            <w:tcW w:w="7843" w:type="dxa"/>
            <w:vMerge/>
          </w:tcPr>
          <w:p w14:paraId="7A07CC8A" w14:textId="77777777" w:rsidR="004D1935" w:rsidRDefault="004D1935" w:rsidP="00E24DC9"/>
        </w:tc>
      </w:tr>
      <w:tr w:rsidR="004D1935" w14:paraId="0CCD82D0" w14:textId="77777777" w:rsidTr="00E24DC9">
        <w:tc>
          <w:tcPr>
            <w:tcW w:w="825" w:type="dxa"/>
            <w:vMerge/>
          </w:tcPr>
          <w:p w14:paraId="388F5D79" w14:textId="77777777" w:rsidR="004D1935" w:rsidRDefault="004D1935" w:rsidP="00E24DC9"/>
        </w:tc>
        <w:tc>
          <w:tcPr>
            <w:tcW w:w="877" w:type="dxa"/>
            <w:tcBorders>
              <w:top w:val="nil"/>
              <w:bottom w:val="nil"/>
            </w:tcBorders>
            <w:vAlign w:val="bottom"/>
          </w:tcPr>
          <w:p w14:paraId="6F01CE9C" w14:textId="77777777" w:rsidR="004D1935" w:rsidRPr="0064730E" w:rsidRDefault="004D1935" w:rsidP="00E24DC9">
            <w:pPr>
              <w:rPr>
                <w:rFonts w:ascii="Calibri" w:hAnsi="Calibri" w:cs="Calibri"/>
                <w:color w:val="000000"/>
                <w:sz w:val="13"/>
                <w:szCs w:val="13"/>
              </w:rPr>
            </w:pPr>
            <w:r w:rsidRPr="0064730E">
              <w:rPr>
                <w:rFonts w:ascii="Calibri" w:hAnsi="Calibri" w:cs="Calibri"/>
                <w:color w:val="000000"/>
                <w:sz w:val="13"/>
                <w:szCs w:val="13"/>
              </w:rPr>
              <w:t>354.0238</w:t>
            </w:r>
          </w:p>
        </w:tc>
        <w:tc>
          <w:tcPr>
            <w:tcW w:w="2880" w:type="dxa"/>
            <w:vMerge/>
            <w:vAlign w:val="center"/>
          </w:tcPr>
          <w:p w14:paraId="336026D7" w14:textId="77777777" w:rsidR="004D1935" w:rsidRDefault="004D1935" w:rsidP="00E24DC9"/>
        </w:tc>
        <w:tc>
          <w:tcPr>
            <w:tcW w:w="1465" w:type="dxa"/>
            <w:vMerge/>
            <w:vAlign w:val="center"/>
          </w:tcPr>
          <w:p w14:paraId="0ABEDCCD" w14:textId="77777777" w:rsidR="004D1935" w:rsidRDefault="004D1935" w:rsidP="00E24DC9"/>
        </w:tc>
        <w:tc>
          <w:tcPr>
            <w:tcW w:w="1137" w:type="dxa"/>
            <w:vMerge/>
          </w:tcPr>
          <w:p w14:paraId="57295E04" w14:textId="77777777" w:rsidR="004D1935" w:rsidRDefault="004D1935" w:rsidP="00E24DC9"/>
        </w:tc>
        <w:tc>
          <w:tcPr>
            <w:tcW w:w="7843" w:type="dxa"/>
            <w:vMerge/>
          </w:tcPr>
          <w:p w14:paraId="6908AC79" w14:textId="77777777" w:rsidR="004D1935" w:rsidRDefault="004D1935" w:rsidP="00E24DC9"/>
        </w:tc>
      </w:tr>
      <w:tr w:rsidR="004D1935" w14:paraId="7AC340D5" w14:textId="77777777" w:rsidTr="00E24DC9">
        <w:tc>
          <w:tcPr>
            <w:tcW w:w="825" w:type="dxa"/>
            <w:vMerge/>
          </w:tcPr>
          <w:p w14:paraId="43202BC5" w14:textId="77777777" w:rsidR="004D1935" w:rsidRDefault="004D1935" w:rsidP="00E24DC9"/>
        </w:tc>
        <w:tc>
          <w:tcPr>
            <w:tcW w:w="877" w:type="dxa"/>
            <w:tcBorders>
              <w:top w:val="nil"/>
              <w:bottom w:val="nil"/>
            </w:tcBorders>
            <w:vAlign w:val="bottom"/>
          </w:tcPr>
          <w:p w14:paraId="443C05F9" w14:textId="77777777" w:rsidR="004D1935" w:rsidRPr="0064730E" w:rsidRDefault="004D1935" w:rsidP="00E24DC9">
            <w:pPr>
              <w:rPr>
                <w:rFonts w:ascii="Calibri" w:hAnsi="Calibri" w:cs="Calibri"/>
                <w:color w:val="000000"/>
                <w:sz w:val="13"/>
                <w:szCs w:val="13"/>
              </w:rPr>
            </w:pPr>
            <w:r w:rsidRPr="0064730E">
              <w:rPr>
                <w:rFonts w:ascii="Calibri" w:hAnsi="Calibri" w:cs="Calibri"/>
                <w:color w:val="000000"/>
                <w:sz w:val="13"/>
                <w:szCs w:val="13"/>
              </w:rPr>
              <w:t>354.1163</w:t>
            </w:r>
          </w:p>
        </w:tc>
        <w:tc>
          <w:tcPr>
            <w:tcW w:w="2880" w:type="dxa"/>
            <w:vMerge/>
            <w:vAlign w:val="center"/>
          </w:tcPr>
          <w:p w14:paraId="4DBE0064" w14:textId="77777777" w:rsidR="004D1935" w:rsidRDefault="004D1935" w:rsidP="00E24DC9"/>
        </w:tc>
        <w:tc>
          <w:tcPr>
            <w:tcW w:w="1465" w:type="dxa"/>
            <w:vMerge/>
            <w:vAlign w:val="center"/>
          </w:tcPr>
          <w:p w14:paraId="0D21DB7E" w14:textId="77777777" w:rsidR="004D1935" w:rsidRDefault="004D1935" w:rsidP="00E24DC9"/>
        </w:tc>
        <w:tc>
          <w:tcPr>
            <w:tcW w:w="1137" w:type="dxa"/>
            <w:vMerge/>
          </w:tcPr>
          <w:p w14:paraId="66EE181C" w14:textId="77777777" w:rsidR="004D1935" w:rsidRDefault="004D1935" w:rsidP="00E24DC9"/>
        </w:tc>
        <w:tc>
          <w:tcPr>
            <w:tcW w:w="7843" w:type="dxa"/>
            <w:vMerge/>
          </w:tcPr>
          <w:p w14:paraId="571FD1DF" w14:textId="77777777" w:rsidR="004D1935" w:rsidRDefault="004D1935" w:rsidP="00E24DC9"/>
        </w:tc>
      </w:tr>
      <w:tr w:rsidR="004D1935" w14:paraId="3AF9C921" w14:textId="77777777" w:rsidTr="00E24DC9">
        <w:tc>
          <w:tcPr>
            <w:tcW w:w="825" w:type="dxa"/>
            <w:vMerge/>
          </w:tcPr>
          <w:p w14:paraId="2F9B3001" w14:textId="77777777" w:rsidR="004D1935" w:rsidRDefault="004D1935" w:rsidP="00E24DC9"/>
        </w:tc>
        <w:tc>
          <w:tcPr>
            <w:tcW w:w="877" w:type="dxa"/>
            <w:tcBorders>
              <w:top w:val="nil"/>
              <w:bottom w:val="nil"/>
            </w:tcBorders>
            <w:vAlign w:val="bottom"/>
          </w:tcPr>
          <w:p w14:paraId="6F8D5D51" w14:textId="77777777" w:rsidR="004D1935" w:rsidRPr="0064730E" w:rsidRDefault="004D1935" w:rsidP="00E24DC9">
            <w:pPr>
              <w:rPr>
                <w:rFonts w:ascii="Calibri" w:hAnsi="Calibri" w:cs="Calibri"/>
                <w:color w:val="000000"/>
                <w:sz w:val="13"/>
                <w:szCs w:val="13"/>
              </w:rPr>
            </w:pPr>
            <w:r w:rsidRPr="0064730E">
              <w:rPr>
                <w:rFonts w:ascii="Calibri" w:hAnsi="Calibri" w:cs="Calibri"/>
                <w:color w:val="000000"/>
                <w:sz w:val="13"/>
                <w:szCs w:val="13"/>
              </w:rPr>
              <w:t>354.1596</w:t>
            </w:r>
          </w:p>
        </w:tc>
        <w:tc>
          <w:tcPr>
            <w:tcW w:w="2880" w:type="dxa"/>
            <w:vMerge/>
            <w:vAlign w:val="center"/>
          </w:tcPr>
          <w:p w14:paraId="1D41ED28" w14:textId="77777777" w:rsidR="004D1935" w:rsidRDefault="004D1935" w:rsidP="00E24DC9"/>
        </w:tc>
        <w:tc>
          <w:tcPr>
            <w:tcW w:w="1465" w:type="dxa"/>
            <w:vMerge/>
            <w:vAlign w:val="center"/>
          </w:tcPr>
          <w:p w14:paraId="0533CD69" w14:textId="77777777" w:rsidR="004D1935" w:rsidRDefault="004D1935" w:rsidP="00E24DC9"/>
        </w:tc>
        <w:tc>
          <w:tcPr>
            <w:tcW w:w="1137" w:type="dxa"/>
            <w:vMerge/>
          </w:tcPr>
          <w:p w14:paraId="2F5BD943" w14:textId="77777777" w:rsidR="004D1935" w:rsidRDefault="004D1935" w:rsidP="00E24DC9"/>
        </w:tc>
        <w:tc>
          <w:tcPr>
            <w:tcW w:w="7843" w:type="dxa"/>
            <w:vMerge/>
          </w:tcPr>
          <w:p w14:paraId="71AAA7F1" w14:textId="77777777" w:rsidR="004D1935" w:rsidRDefault="004D1935" w:rsidP="00E24DC9"/>
        </w:tc>
      </w:tr>
      <w:tr w:rsidR="004D1935" w14:paraId="063274BA" w14:textId="77777777" w:rsidTr="00E24DC9">
        <w:tc>
          <w:tcPr>
            <w:tcW w:w="825" w:type="dxa"/>
            <w:vMerge/>
          </w:tcPr>
          <w:p w14:paraId="1BA5C524" w14:textId="77777777" w:rsidR="004D1935" w:rsidRDefault="004D1935" w:rsidP="00E24DC9"/>
        </w:tc>
        <w:tc>
          <w:tcPr>
            <w:tcW w:w="877" w:type="dxa"/>
            <w:tcBorders>
              <w:top w:val="nil"/>
              <w:bottom w:val="nil"/>
            </w:tcBorders>
            <w:vAlign w:val="bottom"/>
          </w:tcPr>
          <w:p w14:paraId="4188BADD" w14:textId="77777777" w:rsidR="004D1935" w:rsidRPr="0064730E" w:rsidRDefault="004D1935" w:rsidP="00E24DC9">
            <w:pPr>
              <w:rPr>
                <w:rFonts w:ascii="Calibri" w:hAnsi="Calibri" w:cs="Calibri"/>
                <w:color w:val="000000"/>
                <w:sz w:val="13"/>
                <w:szCs w:val="13"/>
              </w:rPr>
            </w:pPr>
            <w:r w:rsidRPr="0064730E">
              <w:rPr>
                <w:rFonts w:ascii="Calibri" w:hAnsi="Calibri" w:cs="Calibri"/>
                <w:color w:val="000000"/>
                <w:sz w:val="13"/>
                <w:szCs w:val="13"/>
              </w:rPr>
              <w:t>354.0671</w:t>
            </w:r>
          </w:p>
        </w:tc>
        <w:tc>
          <w:tcPr>
            <w:tcW w:w="2880" w:type="dxa"/>
            <w:vMerge/>
            <w:vAlign w:val="center"/>
          </w:tcPr>
          <w:p w14:paraId="35758062" w14:textId="77777777" w:rsidR="004D1935" w:rsidRDefault="004D1935" w:rsidP="00E24DC9"/>
        </w:tc>
        <w:tc>
          <w:tcPr>
            <w:tcW w:w="1465" w:type="dxa"/>
            <w:vMerge/>
            <w:vAlign w:val="center"/>
          </w:tcPr>
          <w:p w14:paraId="77CB101B" w14:textId="77777777" w:rsidR="004D1935" w:rsidRDefault="004D1935" w:rsidP="00E24DC9"/>
        </w:tc>
        <w:tc>
          <w:tcPr>
            <w:tcW w:w="1137" w:type="dxa"/>
            <w:vMerge/>
          </w:tcPr>
          <w:p w14:paraId="4435DA36" w14:textId="77777777" w:rsidR="004D1935" w:rsidRDefault="004D1935" w:rsidP="00E24DC9"/>
        </w:tc>
        <w:tc>
          <w:tcPr>
            <w:tcW w:w="7843" w:type="dxa"/>
            <w:vMerge/>
          </w:tcPr>
          <w:p w14:paraId="610133F0" w14:textId="77777777" w:rsidR="004D1935" w:rsidRDefault="004D1935" w:rsidP="00E24DC9"/>
        </w:tc>
      </w:tr>
      <w:tr w:rsidR="004D1935" w14:paraId="542F4487" w14:textId="77777777" w:rsidTr="00E24DC9">
        <w:tc>
          <w:tcPr>
            <w:tcW w:w="825" w:type="dxa"/>
            <w:vMerge/>
          </w:tcPr>
          <w:p w14:paraId="58B4C4AF" w14:textId="77777777" w:rsidR="004D1935" w:rsidRDefault="004D1935" w:rsidP="00E24DC9"/>
        </w:tc>
        <w:tc>
          <w:tcPr>
            <w:tcW w:w="877" w:type="dxa"/>
            <w:tcBorders>
              <w:top w:val="nil"/>
              <w:bottom w:val="nil"/>
            </w:tcBorders>
            <w:vAlign w:val="bottom"/>
          </w:tcPr>
          <w:p w14:paraId="29EA417F" w14:textId="77777777" w:rsidR="004D1935" w:rsidRPr="0064730E" w:rsidRDefault="004D1935" w:rsidP="00E24DC9">
            <w:pPr>
              <w:rPr>
                <w:rFonts w:ascii="Calibri" w:hAnsi="Calibri" w:cs="Calibri"/>
                <w:color w:val="000000"/>
                <w:sz w:val="13"/>
                <w:szCs w:val="13"/>
              </w:rPr>
            </w:pPr>
            <w:r w:rsidRPr="0064730E">
              <w:rPr>
                <w:rFonts w:ascii="Calibri" w:hAnsi="Calibri" w:cs="Calibri"/>
                <w:color w:val="000000"/>
                <w:sz w:val="13"/>
                <w:szCs w:val="13"/>
              </w:rPr>
              <w:t>354.1105</w:t>
            </w:r>
          </w:p>
        </w:tc>
        <w:tc>
          <w:tcPr>
            <w:tcW w:w="2880" w:type="dxa"/>
            <w:vMerge/>
            <w:vAlign w:val="center"/>
          </w:tcPr>
          <w:p w14:paraId="1ADF6966" w14:textId="77777777" w:rsidR="004D1935" w:rsidRDefault="004D1935" w:rsidP="00E24DC9"/>
        </w:tc>
        <w:tc>
          <w:tcPr>
            <w:tcW w:w="1465" w:type="dxa"/>
            <w:vMerge/>
            <w:vAlign w:val="center"/>
          </w:tcPr>
          <w:p w14:paraId="07DB33BE" w14:textId="77777777" w:rsidR="004D1935" w:rsidRDefault="004D1935" w:rsidP="00E24DC9"/>
        </w:tc>
        <w:tc>
          <w:tcPr>
            <w:tcW w:w="1137" w:type="dxa"/>
            <w:vMerge/>
          </w:tcPr>
          <w:p w14:paraId="7F5CB0A6" w14:textId="77777777" w:rsidR="004D1935" w:rsidRDefault="004D1935" w:rsidP="00E24DC9"/>
        </w:tc>
        <w:tc>
          <w:tcPr>
            <w:tcW w:w="7843" w:type="dxa"/>
            <w:vMerge/>
          </w:tcPr>
          <w:p w14:paraId="21F1CC17" w14:textId="77777777" w:rsidR="004D1935" w:rsidRDefault="004D1935" w:rsidP="00E24DC9"/>
        </w:tc>
      </w:tr>
      <w:tr w:rsidR="004D1935" w14:paraId="6CD5A01C" w14:textId="77777777" w:rsidTr="00E24DC9">
        <w:tc>
          <w:tcPr>
            <w:tcW w:w="825" w:type="dxa"/>
            <w:vMerge/>
          </w:tcPr>
          <w:p w14:paraId="3464D565" w14:textId="77777777" w:rsidR="004D1935" w:rsidRDefault="004D1935" w:rsidP="00E24DC9"/>
        </w:tc>
        <w:tc>
          <w:tcPr>
            <w:tcW w:w="877" w:type="dxa"/>
            <w:tcBorders>
              <w:top w:val="nil"/>
              <w:bottom w:val="nil"/>
            </w:tcBorders>
            <w:vAlign w:val="bottom"/>
          </w:tcPr>
          <w:p w14:paraId="1B5B622E" w14:textId="77777777" w:rsidR="004D1935" w:rsidRPr="0064730E" w:rsidRDefault="004D1935" w:rsidP="00E24DC9">
            <w:pPr>
              <w:rPr>
                <w:rFonts w:ascii="Calibri" w:hAnsi="Calibri" w:cs="Calibri"/>
                <w:color w:val="000000"/>
                <w:sz w:val="13"/>
                <w:szCs w:val="13"/>
              </w:rPr>
            </w:pPr>
            <w:r w:rsidRPr="0064730E">
              <w:rPr>
                <w:rFonts w:ascii="Calibri" w:hAnsi="Calibri" w:cs="Calibri"/>
                <w:color w:val="000000"/>
                <w:sz w:val="13"/>
                <w:szCs w:val="13"/>
              </w:rPr>
              <w:t>354.1539</w:t>
            </w:r>
          </w:p>
        </w:tc>
        <w:tc>
          <w:tcPr>
            <w:tcW w:w="2880" w:type="dxa"/>
            <w:vMerge/>
            <w:vAlign w:val="center"/>
          </w:tcPr>
          <w:p w14:paraId="1BD23410" w14:textId="77777777" w:rsidR="004D1935" w:rsidRDefault="004D1935" w:rsidP="00E24DC9"/>
        </w:tc>
        <w:tc>
          <w:tcPr>
            <w:tcW w:w="1465" w:type="dxa"/>
            <w:vMerge/>
            <w:vAlign w:val="center"/>
          </w:tcPr>
          <w:p w14:paraId="6A2409E0" w14:textId="77777777" w:rsidR="004D1935" w:rsidRDefault="004D1935" w:rsidP="00E24DC9"/>
        </w:tc>
        <w:tc>
          <w:tcPr>
            <w:tcW w:w="1137" w:type="dxa"/>
            <w:vMerge/>
          </w:tcPr>
          <w:p w14:paraId="039BBBD5" w14:textId="77777777" w:rsidR="004D1935" w:rsidRDefault="004D1935" w:rsidP="00E24DC9"/>
        </w:tc>
        <w:tc>
          <w:tcPr>
            <w:tcW w:w="7843" w:type="dxa"/>
            <w:vMerge/>
          </w:tcPr>
          <w:p w14:paraId="08818B9C" w14:textId="77777777" w:rsidR="004D1935" w:rsidRDefault="004D1935" w:rsidP="00E24DC9"/>
        </w:tc>
      </w:tr>
      <w:tr w:rsidR="004D1935" w14:paraId="5ADC1820" w14:textId="77777777" w:rsidTr="00E24DC9">
        <w:tc>
          <w:tcPr>
            <w:tcW w:w="825" w:type="dxa"/>
            <w:vMerge/>
          </w:tcPr>
          <w:p w14:paraId="5A6C341A" w14:textId="77777777" w:rsidR="004D1935" w:rsidRDefault="004D1935" w:rsidP="00E24DC9"/>
        </w:tc>
        <w:tc>
          <w:tcPr>
            <w:tcW w:w="877" w:type="dxa"/>
            <w:tcBorders>
              <w:top w:val="nil"/>
              <w:bottom w:val="nil"/>
            </w:tcBorders>
            <w:vAlign w:val="bottom"/>
          </w:tcPr>
          <w:p w14:paraId="0417B2E0" w14:textId="77777777" w:rsidR="004D1935" w:rsidRPr="0064730E" w:rsidRDefault="004D1935" w:rsidP="00E24DC9">
            <w:pPr>
              <w:rPr>
                <w:rFonts w:ascii="Calibri" w:hAnsi="Calibri" w:cs="Calibri"/>
                <w:color w:val="000000"/>
                <w:sz w:val="13"/>
                <w:szCs w:val="13"/>
              </w:rPr>
            </w:pPr>
            <w:r w:rsidRPr="0064730E">
              <w:rPr>
                <w:rFonts w:ascii="Calibri" w:hAnsi="Calibri" w:cs="Calibri"/>
                <w:color w:val="000000"/>
                <w:sz w:val="13"/>
                <w:szCs w:val="13"/>
              </w:rPr>
              <w:t>354.0281</w:t>
            </w:r>
          </w:p>
        </w:tc>
        <w:tc>
          <w:tcPr>
            <w:tcW w:w="2880" w:type="dxa"/>
            <w:vMerge/>
            <w:vAlign w:val="center"/>
          </w:tcPr>
          <w:p w14:paraId="1C35DE4B" w14:textId="77777777" w:rsidR="004D1935" w:rsidRDefault="004D1935" w:rsidP="00E24DC9"/>
        </w:tc>
        <w:tc>
          <w:tcPr>
            <w:tcW w:w="1465" w:type="dxa"/>
            <w:vMerge/>
            <w:vAlign w:val="center"/>
          </w:tcPr>
          <w:p w14:paraId="599DAF72" w14:textId="77777777" w:rsidR="004D1935" w:rsidRDefault="004D1935" w:rsidP="00E24DC9"/>
        </w:tc>
        <w:tc>
          <w:tcPr>
            <w:tcW w:w="1137" w:type="dxa"/>
            <w:vMerge/>
          </w:tcPr>
          <w:p w14:paraId="11609E34" w14:textId="77777777" w:rsidR="004D1935" w:rsidRDefault="004D1935" w:rsidP="00E24DC9"/>
        </w:tc>
        <w:tc>
          <w:tcPr>
            <w:tcW w:w="7843" w:type="dxa"/>
            <w:vMerge/>
          </w:tcPr>
          <w:p w14:paraId="42A1F90C" w14:textId="77777777" w:rsidR="004D1935" w:rsidRDefault="004D1935" w:rsidP="00E24DC9"/>
        </w:tc>
      </w:tr>
      <w:tr w:rsidR="004D1935" w14:paraId="796073BD" w14:textId="77777777" w:rsidTr="00E24DC9">
        <w:trPr>
          <w:trHeight w:val="181"/>
        </w:trPr>
        <w:tc>
          <w:tcPr>
            <w:tcW w:w="825" w:type="dxa"/>
            <w:vMerge/>
          </w:tcPr>
          <w:p w14:paraId="48966A80" w14:textId="77777777" w:rsidR="004D1935" w:rsidRDefault="004D1935" w:rsidP="00E24DC9"/>
        </w:tc>
        <w:tc>
          <w:tcPr>
            <w:tcW w:w="877" w:type="dxa"/>
            <w:tcBorders>
              <w:top w:val="nil"/>
              <w:bottom w:val="nil"/>
            </w:tcBorders>
            <w:vAlign w:val="bottom"/>
          </w:tcPr>
          <w:p w14:paraId="4D809966" w14:textId="77777777" w:rsidR="004D1935" w:rsidRPr="0064730E" w:rsidRDefault="004D1935" w:rsidP="00E24DC9">
            <w:pPr>
              <w:rPr>
                <w:rFonts w:ascii="Calibri" w:hAnsi="Calibri" w:cs="Calibri"/>
                <w:color w:val="000000"/>
                <w:sz w:val="13"/>
                <w:szCs w:val="13"/>
              </w:rPr>
            </w:pPr>
            <w:r w:rsidRPr="0064730E">
              <w:rPr>
                <w:rFonts w:ascii="Calibri" w:hAnsi="Calibri" w:cs="Calibri"/>
                <w:color w:val="000000"/>
                <w:sz w:val="13"/>
                <w:szCs w:val="13"/>
              </w:rPr>
              <w:t>354.1192</w:t>
            </w:r>
          </w:p>
        </w:tc>
        <w:tc>
          <w:tcPr>
            <w:tcW w:w="2880" w:type="dxa"/>
            <w:vMerge/>
            <w:vAlign w:val="center"/>
          </w:tcPr>
          <w:p w14:paraId="5989C348" w14:textId="77777777" w:rsidR="004D1935" w:rsidRDefault="004D1935" w:rsidP="00E24DC9"/>
        </w:tc>
        <w:tc>
          <w:tcPr>
            <w:tcW w:w="1465" w:type="dxa"/>
            <w:vMerge/>
            <w:vAlign w:val="center"/>
          </w:tcPr>
          <w:p w14:paraId="15158A35" w14:textId="77777777" w:rsidR="004D1935" w:rsidRDefault="004D1935" w:rsidP="00E24DC9"/>
        </w:tc>
        <w:tc>
          <w:tcPr>
            <w:tcW w:w="1137" w:type="dxa"/>
            <w:vMerge/>
          </w:tcPr>
          <w:p w14:paraId="7663E00D" w14:textId="77777777" w:rsidR="004D1935" w:rsidRDefault="004D1935" w:rsidP="00E24DC9"/>
        </w:tc>
        <w:tc>
          <w:tcPr>
            <w:tcW w:w="7843" w:type="dxa"/>
            <w:vMerge/>
          </w:tcPr>
          <w:p w14:paraId="709759E4" w14:textId="77777777" w:rsidR="004D1935" w:rsidRDefault="004D1935" w:rsidP="00E24DC9"/>
        </w:tc>
      </w:tr>
      <w:tr w:rsidR="004D1935" w14:paraId="0FCD78BE" w14:textId="77777777" w:rsidTr="00E24DC9">
        <w:tc>
          <w:tcPr>
            <w:tcW w:w="825" w:type="dxa"/>
            <w:vMerge/>
          </w:tcPr>
          <w:p w14:paraId="044519DE" w14:textId="77777777" w:rsidR="004D1935" w:rsidRDefault="004D1935" w:rsidP="00E24DC9"/>
        </w:tc>
        <w:tc>
          <w:tcPr>
            <w:tcW w:w="877" w:type="dxa"/>
            <w:tcBorders>
              <w:top w:val="nil"/>
            </w:tcBorders>
            <w:vAlign w:val="bottom"/>
          </w:tcPr>
          <w:p w14:paraId="69FE0508" w14:textId="77777777" w:rsidR="004D1935" w:rsidRPr="0064730E" w:rsidRDefault="004D1935" w:rsidP="00E24DC9">
            <w:pPr>
              <w:rPr>
                <w:rFonts w:ascii="Calibri" w:hAnsi="Calibri" w:cs="Calibri"/>
                <w:color w:val="000000"/>
                <w:sz w:val="13"/>
                <w:szCs w:val="13"/>
              </w:rPr>
            </w:pPr>
            <w:r w:rsidRPr="0064730E">
              <w:rPr>
                <w:rFonts w:ascii="Calibri" w:hAnsi="Calibri" w:cs="Calibri"/>
                <w:color w:val="000000"/>
                <w:sz w:val="13"/>
                <w:szCs w:val="13"/>
              </w:rPr>
              <w:t>354.1625</w:t>
            </w:r>
          </w:p>
        </w:tc>
        <w:tc>
          <w:tcPr>
            <w:tcW w:w="2880" w:type="dxa"/>
            <w:vMerge/>
            <w:vAlign w:val="center"/>
          </w:tcPr>
          <w:p w14:paraId="5113E443" w14:textId="77777777" w:rsidR="004D1935" w:rsidRDefault="004D1935" w:rsidP="00E24DC9"/>
        </w:tc>
        <w:tc>
          <w:tcPr>
            <w:tcW w:w="1465" w:type="dxa"/>
            <w:vMerge/>
            <w:vAlign w:val="center"/>
          </w:tcPr>
          <w:p w14:paraId="0328CED0" w14:textId="77777777" w:rsidR="004D1935" w:rsidRDefault="004D1935" w:rsidP="00E24DC9"/>
        </w:tc>
        <w:tc>
          <w:tcPr>
            <w:tcW w:w="1137" w:type="dxa"/>
            <w:vMerge/>
          </w:tcPr>
          <w:p w14:paraId="4F92A753" w14:textId="77777777" w:rsidR="004D1935" w:rsidRDefault="004D1935" w:rsidP="00E24DC9"/>
        </w:tc>
        <w:tc>
          <w:tcPr>
            <w:tcW w:w="7843" w:type="dxa"/>
            <w:vMerge/>
          </w:tcPr>
          <w:p w14:paraId="482A09F9" w14:textId="77777777" w:rsidR="004D1935" w:rsidRDefault="004D1935" w:rsidP="00E24DC9"/>
        </w:tc>
      </w:tr>
    </w:tbl>
    <w:p w14:paraId="589DB7FC" w14:textId="77777777" w:rsidR="004D1935" w:rsidRDefault="004D1935" w:rsidP="004D1935"/>
    <w:p w14:paraId="35A829C5" w14:textId="77777777" w:rsidR="004D1935" w:rsidRDefault="004D1935" w:rsidP="004D1935"/>
    <w:p w14:paraId="0F5741A3" w14:textId="77777777" w:rsidR="004D1935" w:rsidRDefault="004D1935" w:rsidP="004D1935"/>
    <w:p w14:paraId="217DC03E" w14:textId="77777777" w:rsidR="004D1935" w:rsidRDefault="004D1935" w:rsidP="004D1935"/>
    <w:p w14:paraId="7044BC93" w14:textId="77777777" w:rsidR="004D1935" w:rsidRDefault="004D1935" w:rsidP="004D1935"/>
    <w:p w14:paraId="18033A22" w14:textId="77777777" w:rsidR="004D1935" w:rsidRDefault="004D1935" w:rsidP="004D1935"/>
    <w:p w14:paraId="4ED9DF07" w14:textId="77777777" w:rsidR="004D1935" w:rsidRDefault="004D1935" w:rsidP="004D1935"/>
    <w:p w14:paraId="174DDD9F" w14:textId="77777777" w:rsidR="004D1935" w:rsidRDefault="004D1935" w:rsidP="004D1935"/>
    <w:p w14:paraId="213BDA94" w14:textId="77777777" w:rsidR="004D1935" w:rsidRDefault="004D1935" w:rsidP="004D1935"/>
    <w:p w14:paraId="103D33FD" w14:textId="77777777" w:rsidR="004D1935" w:rsidRDefault="004D1935" w:rsidP="004D1935"/>
    <w:p w14:paraId="17002AAF" w14:textId="77777777" w:rsidR="004D1935" w:rsidRDefault="004D1935" w:rsidP="004D1935"/>
    <w:p w14:paraId="7C7230C5" w14:textId="77777777" w:rsidR="004D1935" w:rsidRDefault="004D1935" w:rsidP="004D1935"/>
    <w:p w14:paraId="43C5F46C" w14:textId="77777777" w:rsidR="004D1935" w:rsidRDefault="004D1935" w:rsidP="004D1935">
      <w:pPr>
        <w:autoSpaceDE w:val="0"/>
        <w:autoSpaceDN w:val="0"/>
        <w:adjustRightInd w:val="0"/>
      </w:pPr>
    </w:p>
    <w:p w14:paraId="1C3E9AA5" w14:textId="77777777" w:rsidR="004D1935" w:rsidRPr="00251B92" w:rsidRDefault="004D1935" w:rsidP="004D1935">
      <w:pPr>
        <w:autoSpaceDE w:val="0"/>
        <w:autoSpaceDN w:val="0"/>
        <w:adjustRightInd w:val="0"/>
        <w:rPr>
          <w:rFonts w:eastAsiaTheme="minorHAnsi"/>
          <w:sz w:val="16"/>
          <w:szCs w:val="16"/>
        </w:rPr>
      </w:pPr>
      <w:r>
        <w:rPr>
          <w:rFonts w:eastAsiaTheme="minorHAnsi"/>
          <w:sz w:val="16"/>
          <w:szCs w:val="16"/>
        </w:rPr>
        <w:lastRenderedPageBreak/>
        <w:t>Table A 4.15: Discriminant mass bins (423.2) in root aqueous phase and their associated detected masses looking for compound identification accounts for protonated adduct (H) and K, NA</w:t>
      </w:r>
      <w:r w:rsidRPr="00396597">
        <w:rPr>
          <w:rFonts w:eastAsiaTheme="minorHAnsi"/>
          <w:sz w:val="16"/>
          <w:szCs w:val="16"/>
        </w:rPr>
        <w:t xml:space="preserve"> </w:t>
      </w:r>
      <w:r>
        <w:rPr>
          <w:rFonts w:eastAsiaTheme="minorHAnsi"/>
          <w:sz w:val="16"/>
          <w:szCs w:val="16"/>
        </w:rPr>
        <w:t>in positive mode in the analysis. The putatively identified compounds, their chemical groups, and the associated pathways are displayed.</w:t>
      </w:r>
    </w:p>
    <w:tbl>
      <w:tblPr>
        <w:tblStyle w:val="TableGrid"/>
        <w:tblW w:w="14885" w:type="dxa"/>
        <w:tblInd w:w="-856" w:type="dxa"/>
        <w:tblLook w:val="04A0" w:firstRow="1" w:lastRow="0" w:firstColumn="1" w:lastColumn="0" w:noHBand="0" w:noVBand="1"/>
      </w:tblPr>
      <w:tblGrid>
        <w:gridCol w:w="707"/>
        <w:gridCol w:w="995"/>
        <w:gridCol w:w="1953"/>
        <w:gridCol w:w="1341"/>
        <w:gridCol w:w="1384"/>
        <w:gridCol w:w="8505"/>
      </w:tblGrid>
      <w:tr w:rsidR="004D1935" w14:paraId="75ED11F4" w14:textId="77777777" w:rsidTr="00E24DC9">
        <w:tc>
          <w:tcPr>
            <w:tcW w:w="707" w:type="dxa"/>
            <w:vAlign w:val="center"/>
          </w:tcPr>
          <w:p w14:paraId="28BF6364" w14:textId="77777777" w:rsidR="004D1935" w:rsidRPr="00F1161C" w:rsidRDefault="004D1935" w:rsidP="00E24DC9">
            <w:pPr>
              <w:jc w:val="center"/>
              <w:rPr>
                <w:sz w:val="16"/>
                <w:szCs w:val="16"/>
              </w:rPr>
            </w:pPr>
            <w:r w:rsidRPr="00F1161C">
              <w:rPr>
                <w:sz w:val="16"/>
                <w:szCs w:val="16"/>
              </w:rPr>
              <w:t>Adduct</w:t>
            </w:r>
          </w:p>
        </w:tc>
        <w:tc>
          <w:tcPr>
            <w:tcW w:w="995" w:type="dxa"/>
            <w:tcBorders>
              <w:bottom w:val="single" w:sz="4" w:space="0" w:color="auto"/>
            </w:tcBorders>
            <w:vAlign w:val="center"/>
          </w:tcPr>
          <w:p w14:paraId="5154B6B0" w14:textId="77777777" w:rsidR="004D1935" w:rsidRPr="00F1161C" w:rsidRDefault="004D1935" w:rsidP="00E24DC9">
            <w:pPr>
              <w:jc w:val="center"/>
              <w:rPr>
                <w:sz w:val="16"/>
                <w:szCs w:val="16"/>
              </w:rPr>
            </w:pPr>
            <w:r w:rsidRPr="00F1161C">
              <w:rPr>
                <w:sz w:val="16"/>
                <w:szCs w:val="16"/>
              </w:rPr>
              <w:t>Mass detected</w:t>
            </w:r>
          </w:p>
        </w:tc>
        <w:tc>
          <w:tcPr>
            <w:tcW w:w="1953" w:type="dxa"/>
            <w:vAlign w:val="center"/>
          </w:tcPr>
          <w:p w14:paraId="39F16317" w14:textId="77777777" w:rsidR="004D1935" w:rsidRPr="00F1161C" w:rsidRDefault="004D1935" w:rsidP="00E24DC9">
            <w:pPr>
              <w:jc w:val="center"/>
              <w:rPr>
                <w:sz w:val="16"/>
                <w:szCs w:val="16"/>
              </w:rPr>
            </w:pPr>
            <w:r w:rsidRPr="00F1161C">
              <w:rPr>
                <w:rFonts w:asciiTheme="majorBidi" w:hAnsiTheme="majorBidi" w:cstheme="majorBidi"/>
                <w:color w:val="000000" w:themeColor="text1"/>
                <w:sz w:val="16"/>
                <w:szCs w:val="16"/>
              </w:rPr>
              <w:t>COMPOUNDS NAME</w:t>
            </w:r>
          </w:p>
        </w:tc>
        <w:tc>
          <w:tcPr>
            <w:tcW w:w="1341" w:type="dxa"/>
            <w:vAlign w:val="center"/>
          </w:tcPr>
          <w:p w14:paraId="7C734B6F" w14:textId="77777777" w:rsidR="004D1935" w:rsidRPr="00F1161C" w:rsidRDefault="004D1935" w:rsidP="00E24DC9">
            <w:pPr>
              <w:jc w:val="center"/>
              <w:rPr>
                <w:sz w:val="16"/>
                <w:szCs w:val="16"/>
              </w:rPr>
            </w:pPr>
            <w:r w:rsidRPr="00F1161C">
              <w:rPr>
                <w:rFonts w:asciiTheme="majorBidi" w:hAnsiTheme="majorBidi" w:cstheme="majorBidi"/>
                <w:color w:val="000000" w:themeColor="text1"/>
                <w:sz w:val="16"/>
                <w:szCs w:val="16"/>
              </w:rPr>
              <w:t>chemical formula</w:t>
            </w:r>
          </w:p>
        </w:tc>
        <w:tc>
          <w:tcPr>
            <w:tcW w:w="1384" w:type="dxa"/>
            <w:vAlign w:val="center"/>
          </w:tcPr>
          <w:p w14:paraId="6E21D89C" w14:textId="77777777" w:rsidR="004D1935" w:rsidRPr="00F1161C" w:rsidRDefault="004D1935" w:rsidP="00E24DC9">
            <w:pPr>
              <w:jc w:val="center"/>
              <w:rPr>
                <w:sz w:val="16"/>
                <w:szCs w:val="16"/>
              </w:rPr>
            </w:pPr>
            <w:r w:rsidRPr="00F1161C">
              <w:rPr>
                <w:rFonts w:asciiTheme="majorBidi" w:hAnsiTheme="majorBidi" w:cstheme="majorBidi"/>
                <w:color w:val="000000" w:themeColor="text1"/>
                <w:sz w:val="16"/>
                <w:szCs w:val="16"/>
              </w:rPr>
              <w:t>chemical group</w:t>
            </w:r>
          </w:p>
        </w:tc>
        <w:tc>
          <w:tcPr>
            <w:tcW w:w="8505" w:type="dxa"/>
            <w:vAlign w:val="center"/>
          </w:tcPr>
          <w:p w14:paraId="237FB91B" w14:textId="77777777" w:rsidR="004D1935" w:rsidRPr="00F1161C" w:rsidRDefault="004D1935" w:rsidP="00E24DC9">
            <w:pPr>
              <w:jc w:val="center"/>
              <w:rPr>
                <w:sz w:val="16"/>
                <w:szCs w:val="16"/>
              </w:rPr>
            </w:pPr>
            <w:r w:rsidRPr="00F1161C">
              <w:rPr>
                <w:rFonts w:asciiTheme="majorBidi" w:hAnsiTheme="majorBidi" w:cstheme="majorBidi"/>
                <w:color w:val="000000" w:themeColor="text1"/>
                <w:sz w:val="16"/>
                <w:szCs w:val="16"/>
              </w:rPr>
              <w:t>pathway</w:t>
            </w:r>
          </w:p>
        </w:tc>
      </w:tr>
      <w:tr w:rsidR="004D1935" w14:paraId="220F6ABF" w14:textId="77777777" w:rsidTr="00E24DC9">
        <w:tc>
          <w:tcPr>
            <w:tcW w:w="707" w:type="dxa"/>
            <w:vMerge w:val="restart"/>
            <w:vAlign w:val="center"/>
          </w:tcPr>
          <w:p w14:paraId="22D6B2FB" w14:textId="77777777" w:rsidR="004D1935" w:rsidRPr="00F32676" w:rsidRDefault="004D1935" w:rsidP="00E24DC9">
            <w:pPr>
              <w:jc w:val="center"/>
              <w:rPr>
                <w:color w:val="000000" w:themeColor="text1"/>
              </w:rPr>
            </w:pPr>
            <w:r w:rsidRPr="00F32676">
              <w:rPr>
                <w:color w:val="000000" w:themeColor="text1"/>
              </w:rPr>
              <w:t>H</w:t>
            </w:r>
          </w:p>
        </w:tc>
        <w:tc>
          <w:tcPr>
            <w:tcW w:w="995" w:type="dxa"/>
            <w:tcBorders>
              <w:bottom w:val="nil"/>
            </w:tcBorders>
            <w:vAlign w:val="center"/>
          </w:tcPr>
          <w:p w14:paraId="219D0C0B"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422.1138</w:t>
            </w:r>
          </w:p>
        </w:tc>
        <w:tc>
          <w:tcPr>
            <w:tcW w:w="1953" w:type="dxa"/>
            <w:vMerge w:val="restart"/>
            <w:vAlign w:val="center"/>
          </w:tcPr>
          <w:p w14:paraId="20E3D911"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lovastatin acid</w:t>
            </w:r>
          </w:p>
          <w:p w14:paraId="600B1733"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chitobiose 6'-phosphate</w:t>
            </w:r>
          </w:p>
        </w:tc>
        <w:tc>
          <w:tcPr>
            <w:tcW w:w="1341" w:type="dxa"/>
            <w:vMerge w:val="restart"/>
            <w:vAlign w:val="center"/>
          </w:tcPr>
          <w:p w14:paraId="2485D7F2"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fatty acid</w:t>
            </w:r>
          </w:p>
          <w:p w14:paraId="3DBA1F47"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glycan</w:t>
            </w:r>
          </w:p>
        </w:tc>
        <w:tc>
          <w:tcPr>
            <w:tcW w:w="1384" w:type="dxa"/>
            <w:vMerge w:val="restart"/>
            <w:vAlign w:val="center"/>
          </w:tcPr>
          <w:p w14:paraId="284EC1C2" w14:textId="77777777" w:rsidR="004D1935" w:rsidRDefault="004D1935" w:rsidP="00E24DC9">
            <w:pPr>
              <w:jc w:val="center"/>
              <w:rPr>
                <w:rFonts w:ascii="Arial" w:hAnsi="Arial" w:cs="Arial"/>
                <w:color w:val="000000" w:themeColor="text1"/>
                <w:sz w:val="16"/>
                <w:szCs w:val="16"/>
                <w:shd w:val="clear" w:color="auto" w:fill="FFFFFF"/>
              </w:rPr>
            </w:pPr>
          </w:p>
          <w:p w14:paraId="706BF695" w14:textId="77777777" w:rsidR="004D1935" w:rsidRDefault="004D1935" w:rsidP="00E24DC9">
            <w:pPr>
              <w:jc w:val="center"/>
              <w:rPr>
                <w:rFonts w:ascii="Arial" w:hAnsi="Arial" w:cs="Arial"/>
                <w:color w:val="000000" w:themeColor="text1"/>
                <w:sz w:val="16"/>
                <w:szCs w:val="16"/>
                <w:shd w:val="clear" w:color="auto" w:fill="FFFFFF"/>
              </w:rPr>
            </w:pPr>
          </w:p>
          <w:p w14:paraId="78DF9A6D" w14:textId="77777777" w:rsidR="004D1935" w:rsidRPr="001454DC" w:rsidRDefault="004D1935" w:rsidP="00E24DC9">
            <w:pPr>
              <w:jc w:val="center"/>
              <w:rPr>
                <w:color w:val="000000" w:themeColor="text1"/>
                <w:sz w:val="16"/>
                <w:szCs w:val="16"/>
              </w:rPr>
            </w:pPr>
            <w:r w:rsidRPr="001454DC">
              <w:rPr>
                <w:rFonts w:ascii="Arial" w:hAnsi="Arial" w:cs="Arial"/>
                <w:color w:val="000000" w:themeColor="text1"/>
                <w:sz w:val="16"/>
                <w:szCs w:val="16"/>
                <w:shd w:val="clear" w:color="auto" w:fill="FFFFFF"/>
              </w:rPr>
              <w:t>C</w:t>
            </w:r>
            <w:r w:rsidRPr="001454DC">
              <w:rPr>
                <w:rFonts w:ascii="Arial" w:hAnsi="Arial" w:cs="Arial"/>
                <w:color w:val="000000" w:themeColor="text1"/>
                <w:sz w:val="16"/>
                <w:szCs w:val="16"/>
                <w:shd w:val="clear" w:color="auto" w:fill="FFFFFF"/>
                <w:vertAlign w:val="subscript"/>
              </w:rPr>
              <w:t>24</w:t>
            </w:r>
            <w:r w:rsidRPr="001454DC">
              <w:rPr>
                <w:rFonts w:ascii="Arial" w:hAnsi="Arial" w:cs="Arial"/>
                <w:color w:val="000000" w:themeColor="text1"/>
                <w:sz w:val="16"/>
                <w:szCs w:val="16"/>
                <w:shd w:val="clear" w:color="auto" w:fill="FFFFFF"/>
              </w:rPr>
              <w:t>H</w:t>
            </w:r>
            <w:r w:rsidRPr="001454DC">
              <w:rPr>
                <w:rFonts w:ascii="Arial" w:hAnsi="Arial" w:cs="Arial"/>
                <w:color w:val="000000" w:themeColor="text1"/>
                <w:sz w:val="16"/>
                <w:szCs w:val="16"/>
                <w:shd w:val="clear" w:color="auto" w:fill="FFFFFF"/>
                <w:vertAlign w:val="subscript"/>
              </w:rPr>
              <w:t>37</w:t>
            </w:r>
            <w:r w:rsidRPr="001454DC">
              <w:rPr>
                <w:rFonts w:ascii="Arial" w:hAnsi="Arial" w:cs="Arial"/>
                <w:color w:val="000000" w:themeColor="text1"/>
                <w:sz w:val="16"/>
                <w:szCs w:val="16"/>
                <w:shd w:val="clear" w:color="auto" w:fill="FFFFFF"/>
              </w:rPr>
              <w:t>O</w:t>
            </w:r>
            <w:r w:rsidRPr="001454DC">
              <w:rPr>
                <w:rFonts w:ascii="Arial" w:hAnsi="Arial" w:cs="Arial"/>
                <w:color w:val="000000" w:themeColor="text1"/>
                <w:sz w:val="16"/>
                <w:szCs w:val="16"/>
                <w:shd w:val="clear" w:color="auto" w:fill="FFFFFF"/>
                <w:vertAlign w:val="subscript"/>
              </w:rPr>
              <w:t>6</w:t>
            </w:r>
          </w:p>
          <w:p w14:paraId="353441CF" w14:textId="77777777" w:rsidR="004D1935" w:rsidRPr="001454DC" w:rsidRDefault="004D1935" w:rsidP="00E24DC9">
            <w:pPr>
              <w:jc w:val="center"/>
              <w:rPr>
                <w:color w:val="000000" w:themeColor="text1"/>
                <w:sz w:val="16"/>
                <w:szCs w:val="16"/>
              </w:rPr>
            </w:pPr>
            <w:r w:rsidRPr="001454DC">
              <w:rPr>
                <w:rFonts w:ascii="Arial" w:hAnsi="Arial" w:cs="Arial"/>
                <w:color w:val="000000" w:themeColor="text1"/>
                <w:sz w:val="16"/>
                <w:szCs w:val="16"/>
                <w:shd w:val="clear" w:color="auto" w:fill="FFFFFF"/>
              </w:rPr>
              <w:t>C</w:t>
            </w:r>
            <w:r w:rsidRPr="001454DC">
              <w:rPr>
                <w:rFonts w:ascii="Arial" w:hAnsi="Arial" w:cs="Arial"/>
                <w:color w:val="000000" w:themeColor="text1"/>
                <w:sz w:val="16"/>
                <w:szCs w:val="16"/>
                <w:shd w:val="clear" w:color="auto" w:fill="FFFFFF"/>
                <w:vertAlign w:val="subscript"/>
              </w:rPr>
              <w:t>12</w:t>
            </w:r>
            <w:r w:rsidRPr="001454DC">
              <w:rPr>
                <w:rFonts w:ascii="Arial" w:hAnsi="Arial" w:cs="Arial"/>
                <w:color w:val="000000" w:themeColor="text1"/>
                <w:sz w:val="16"/>
                <w:szCs w:val="16"/>
                <w:shd w:val="clear" w:color="auto" w:fill="FFFFFF"/>
              </w:rPr>
              <w:t>H</w:t>
            </w:r>
            <w:r w:rsidRPr="001454DC">
              <w:rPr>
                <w:rFonts w:ascii="Arial" w:hAnsi="Arial" w:cs="Arial"/>
                <w:color w:val="000000" w:themeColor="text1"/>
                <w:sz w:val="16"/>
                <w:szCs w:val="16"/>
                <w:shd w:val="clear" w:color="auto" w:fill="FFFFFF"/>
                <w:vertAlign w:val="subscript"/>
              </w:rPr>
              <w:t>25</w:t>
            </w:r>
            <w:r w:rsidRPr="001454DC">
              <w:rPr>
                <w:rFonts w:ascii="Arial" w:hAnsi="Arial" w:cs="Arial"/>
                <w:color w:val="000000" w:themeColor="text1"/>
                <w:sz w:val="16"/>
                <w:szCs w:val="16"/>
                <w:shd w:val="clear" w:color="auto" w:fill="FFFFFF"/>
              </w:rPr>
              <w:t>N</w:t>
            </w:r>
            <w:r w:rsidRPr="001454DC">
              <w:rPr>
                <w:rFonts w:ascii="Arial" w:hAnsi="Arial" w:cs="Arial"/>
                <w:color w:val="000000" w:themeColor="text1"/>
                <w:sz w:val="16"/>
                <w:szCs w:val="16"/>
                <w:shd w:val="clear" w:color="auto" w:fill="FFFFFF"/>
                <w:vertAlign w:val="subscript"/>
              </w:rPr>
              <w:t>2</w:t>
            </w:r>
            <w:r w:rsidRPr="001454DC">
              <w:rPr>
                <w:rFonts w:ascii="Arial" w:hAnsi="Arial" w:cs="Arial"/>
                <w:color w:val="000000" w:themeColor="text1"/>
                <w:sz w:val="16"/>
                <w:szCs w:val="16"/>
                <w:shd w:val="clear" w:color="auto" w:fill="FFFFFF"/>
              </w:rPr>
              <w:t>O</w:t>
            </w:r>
            <w:r w:rsidRPr="001454DC">
              <w:rPr>
                <w:rFonts w:ascii="Arial" w:hAnsi="Arial" w:cs="Arial"/>
                <w:color w:val="000000" w:themeColor="text1"/>
                <w:sz w:val="16"/>
                <w:szCs w:val="16"/>
                <w:shd w:val="clear" w:color="auto" w:fill="FFFFFF"/>
                <w:vertAlign w:val="subscript"/>
              </w:rPr>
              <w:t>12</w:t>
            </w:r>
            <w:r w:rsidRPr="001454DC">
              <w:rPr>
                <w:rFonts w:ascii="Arial" w:hAnsi="Arial" w:cs="Arial"/>
                <w:color w:val="000000" w:themeColor="text1"/>
                <w:sz w:val="16"/>
                <w:szCs w:val="16"/>
                <w:shd w:val="clear" w:color="auto" w:fill="FFFFFF"/>
              </w:rPr>
              <w:t>P</w:t>
            </w:r>
          </w:p>
          <w:p w14:paraId="30CD5F91" w14:textId="77777777" w:rsidR="004D1935" w:rsidRPr="00F32676" w:rsidRDefault="004D1935" w:rsidP="00E24DC9">
            <w:pPr>
              <w:jc w:val="center"/>
              <w:rPr>
                <w:color w:val="000000" w:themeColor="text1"/>
              </w:rPr>
            </w:pPr>
          </w:p>
        </w:tc>
        <w:tc>
          <w:tcPr>
            <w:tcW w:w="8505" w:type="dxa"/>
            <w:vMerge w:val="restart"/>
            <w:vAlign w:val="center"/>
          </w:tcPr>
          <w:p w14:paraId="51D80E73"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mevinolinic acid) biosynthesis fatty acid pathway</w:t>
            </w:r>
          </w:p>
          <w:p w14:paraId="68AF2445"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jasmonic acid pathway/Riboflavin/Flavanone/Flavonoid/Abscisic acid biosynthesis/Shikimate pathway/pyrovate/pyrimidine fatty acid biosynthesis/animonsugar nuclotides sugar metabolism</w:t>
            </w:r>
          </w:p>
        </w:tc>
      </w:tr>
      <w:tr w:rsidR="004D1935" w14:paraId="09636A7B" w14:textId="77777777" w:rsidTr="00E24DC9">
        <w:tc>
          <w:tcPr>
            <w:tcW w:w="707" w:type="dxa"/>
            <w:vMerge/>
            <w:vAlign w:val="center"/>
          </w:tcPr>
          <w:p w14:paraId="447EE8A5"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53AFD1D0"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422.1663</w:t>
            </w:r>
          </w:p>
        </w:tc>
        <w:tc>
          <w:tcPr>
            <w:tcW w:w="1953" w:type="dxa"/>
            <w:vMerge/>
            <w:vAlign w:val="center"/>
          </w:tcPr>
          <w:p w14:paraId="1B110A88" w14:textId="77777777" w:rsidR="004D1935" w:rsidRPr="00F32676" w:rsidRDefault="004D1935" w:rsidP="00E24DC9">
            <w:pPr>
              <w:jc w:val="center"/>
              <w:rPr>
                <w:color w:val="000000" w:themeColor="text1"/>
              </w:rPr>
            </w:pPr>
          </w:p>
        </w:tc>
        <w:tc>
          <w:tcPr>
            <w:tcW w:w="1341" w:type="dxa"/>
            <w:vMerge/>
            <w:vAlign w:val="center"/>
          </w:tcPr>
          <w:p w14:paraId="77CDC172" w14:textId="77777777" w:rsidR="004D1935" w:rsidRPr="00F32676" w:rsidRDefault="004D1935" w:rsidP="00E24DC9">
            <w:pPr>
              <w:jc w:val="center"/>
              <w:rPr>
                <w:color w:val="000000" w:themeColor="text1"/>
              </w:rPr>
            </w:pPr>
          </w:p>
        </w:tc>
        <w:tc>
          <w:tcPr>
            <w:tcW w:w="1384" w:type="dxa"/>
            <w:vMerge/>
            <w:vAlign w:val="center"/>
          </w:tcPr>
          <w:p w14:paraId="2B831B8A" w14:textId="77777777" w:rsidR="004D1935" w:rsidRPr="00F32676" w:rsidRDefault="004D1935" w:rsidP="00E24DC9">
            <w:pPr>
              <w:jc w:val="center"/>
              <w:rPr>
                <w:color w:val="000000" w:themeColor="text1"/>
              </w:rPr>
            </w:pPr>
          </w:p>
        </w:tc>
        <w:tc>
          <w:tcPr>
            <w:tcW w:w="8505" w:type="dxa"/>
            <w:vMerge/>
            <w:vAlign w:val="center"/>
          </w:tcPr>
          <w:p w14:paraId="5FC450FA" w14:textId="77777777" w:rsidR="004D1935" w:rsidRPr="00F32676" w:rsidRDefault="004D1935" w:rsidP="00E24DC9">
            <w:pPr>
              <w:jc w:val="center"/>
              <w:rPr>
                <w:color w:val="000000" w:themeColor="text1"/>
              </w:rPr>
            </w:pPr>
          </w:p>
        </w:tc>
      </w:tr>
      <w:tr w:rsidR="004D1935" w14:paraId="0A06592A" w14:textId="77777777" w:rsidTr="00E24DC9">
        <w:tc>
          <w:tcPr>
            <w:tcW w:w="707" w:type="dxa"/>
            <w:vMerge/>
            <w:vAlign w:val="center"/>
          </w:tcPr>
          <w:p w14:paraId="45F89420"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6C57663D"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422.2383</w:t>
            </w:r>
          </w:p>
        </w:tc>
        <w:tc>
          <w:tcPr>
            <w:tcW w:w="1953" w:type="dxa"/>
            <w:vMerge/>
            <w:vAlign w:val="center"/>
          </w:tcPr>
          <w:p w14:paraId="6FFA3176" w14:textId="77777777" w:rsidR="004D1935" w:rsidRPr="00F32676" w:rsidRDefault="004D1935" w:rsidP="00E24DC9">
            <w:pPr>
              <w:jc w:val="center"/>
              <w:rPr>
                <w:color w:val="000000" w:themeColor="text1"/>
              </w:rPr>
            </w:pPr>
          </w:p>
        </w:tc>
        <w:tc>
          <w:tcPr>
            <w:tcW w:w="1341" w:type="dxa"/>
            <w:vMerge/>
            <w:vAlign w:val="center"/>
          </w:tcPr>
          <w:p w14:paraId="6C486D15" w14:textId="77777777" w:rsidR="004D1935" w:rsidRPr="00F32676" w:rsidRDefault="004D1935" w:rsidP="00E24DC9">
            <w:pPr>
              <w:jc w:val="center"/>
              <w:rPr>
                <w:color w:val="000000" w:themeColor="text1"/>
              </w:rPr>
            </w:pPr>
          </w:p>
        </w:tc>
        <w:tc>
          <w:tcPr>
            <w:tcW w:w="1384" w:type="dxa"/>
            <w:vMerge/>
            <w:vAlign w:val="center"/>
          </w:tcPr>
          <w:p w14:paraId="318DAA27" w14:textId="77777777" w:rsidR="004D1935" w:rsidRPr="00F32676" w:rsidRDefault="004D1935" w:rsidP="00E24DC9">
            <w:pPr>
              <w:jc w:val="center"/>
              <w:rPr>
                <w:color w:val="000000" w:themeColor="text1"/>
              </w:rPr>
            </w:pPr>
          </w:p>
        </w:tc>
        <w:tc>
          <w:tcPr>
            <w:tcW w:w="8505" w:type="dxa"/>
            <w:vMerge/>
            <w:vAlign w:val="center"/>
          </w:tcPr>
          <w:p w14:paraId="22C566D2" w14:textId="77777777" w:rsidR="004D1935" w:rsidRPr="00F32676" w:rsidRDefault="004D1935" w:rsidP="00E24DC9">
            <w:pPr>
              <w:jc w:val="center"/>
              <w:rPr>
                <w:color w:val="000000" w:themeColor="text1"/>
              </w:rPr>
            </w:pPr>
          </w:p>
        </w:tc>
      </w:tr>
      <w:tr w:rsidR="004D1935" w14:paraId="38EE6D44" w14:textId="77777777" w:rsidTr="00E24DC9">
        <w:tc>
          <w:tcPr>
            <w:tcW w:w="707" w:type="dxa"/>
            <w:vMerge/>
            <w:vAlign w:val="center"/>
          </w:tcPr>
          <w:p w14:paraId="30974FB0"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37D8EBF4"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422.2832</w:t>
            </w:r>
          </w:p>
        </w:tc>
        <w:tc>
          <w:tcPr>
            <w:tcW w:w="1953" w:type="dxa"/>
            <w:vMerge/>
            <w:vAlign w:val="center"/>
          </w:tcPr>
          <w:p w14:paraId="17E0C164" w14:textId="77777777" w:rsidR="004D1935" w:rsidRPr="00F32676" w:rsidRDefault="004D1935" w:rsidP="00E24DC9">
            <w:pPr>
              <w:jc w:val="center"/>
              <w:rPr>
                <w:color w:val="000000" w:themeColor="text1"/>
              </w:rPr>
            </w:pPr>
          </w:p>
        </w:tc>
        <w:tc>
          <w:tcPr>
            <w:tcW w:w="1341" w:type="dxa"/>
            <w:vMerge/>
            <w:vAlign w:val="center"/>
          </w:tcPr>
          <w:p w14:paraId="2467D353" w14:textId="77777777" w:rsidR="004D1935" w:rsidRPr="00F32676" w:rsidRDefault="004D1935" w:rsidP="00E24DC9">
            <w:pPr>
              <w:jc w:val="center"/>
              <w:rPr>
                <w:color w:val="000000" w:themeColor="text1"/>
              </w:rPr>
            </w:pPr>
          </w:p>
        </w:tc>
        <w:tc>
          <w:tcPr>
            <w:tcW w:w="1384" w:type="dxa"/>
            <w:vMerge/>
            <w:vAlign w:val="center"/>
          </w:tcPr>
          <w:p w14:paraId="3E22E142" w14:textId="77777777" w:rsidR="004D1935" w:rsidRPr="00F32676" w:rsidRDefault="004D1935" w:rsidP="00E24DC9">
            <w:pPr>
              <w:jc w:val="center"/>
              <w:rPr>
                <w:color w:val="000000" w:themeColor="text1"/>
              </w:rPr>
            </w:pPr>
          </w:p>
        </w:tc>
        <w:tc>
          <w:tcPr>
            <w:tcW w:w="8505" w:type="dxa"/>
            <w:vMerge/>
            <w:vAlign w:val="center"/>
          </w:tcPr>
          <w:p w14:paraId="5B286D1A" w14:textId="77777777" w:rsidR="004D1935" w:rsidRPr="00F32676" w:rsidRDefault="004D1935" w:rsidP="00E24DC9">
            <w:pPr>
              <w:jc w:val="center"/>
              <w:rPr>
                <w:color w:val="000000" w:themeColor="text1"/>
              </w:rPr>
            </w:pPr>
          </w:p>
        </w:tc>
      </w:tr>
      <w:tr w:rsidR="004D1935" w14:paraId="6FA77EC0" w14:textId="77777777" w:rsidTr="00E24DC9">
        <w:tc>
          <w:tcPr>
            <w:tcW w:w="707" w:type="dxa"/>
            <w:vMerge/>
            <w:vAlign w:val="center"/>
          </w:tcPr>
          <w:p w14:paraId="2DE295FB"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68A09493"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422.1198</w:t>
            </w:r>
          </w:p>
        </w:tc>
        <w:tc>
          <w:tcPr>
            <w:tcW w:w="1953" w:type="dxa"/>
            <w:vMerge/>
            <w:vAlign w:val="center"/>
          </w:tcPr>
          <w:p w14:paraId="7370B5CC" w14:textId="77777777" w:rsidR="004D1935" w:rsidRPr="00F32676" w:rsidRDefault="004D1935" w:rsidP="00E24DC9">
            <w:pPr>
              <w:jc w:val="center"/>
              <w:rPr>
                <w:color w:val="000000" w:themeColor="text1"/>
              </w:rPr>
            </w:pPr>
          </w:p>
        </w:tc>
        <w:tc>
          <w:tcPr>
            <w:tcW w:w="1341" w:type="dxa"/>
            <w:vMerge/>
            <w:vAlign w:val="center"/>
          </w:tcPr>
          <w:p w14:paraId="45FB509D" w14:textId="77777777" w:rsidR="004D1935" w:rsidRPr="00F32676" w:rsidRDefault="004D1935" w:rsidP="00E24DC9">
            <w:pPr>
              <w:jc w:val="center"/>
              <w:rPr>
                <w:color w:val="000000" w:themeColor="text1"/>
              </w:rPr>
            </w:pPr>
          </w:p>
        </w:tc>
        <w:tc>
          <w:tcPr>
            <w:tcW w:w="1384" w:type="dxa"/>
            <w:vMerge/>
            <w:vAlign w:val="center"/>
          </w:tcPr>
          <w:p w14:paraId="55507A77" w14:textId="77777777" w:rsidR="004D1935" w:rsidRPr="00F32676" w:rsidRDefault="004D1935" w:rsidP="00E24DC9">
            <w:pPr>
              <w:jc w:val="center"/>
              <w:rPr>
                <w:color w:val="000000" w:themeColor="text1"/>
              </w:rPr>
            </w:pPr>
          </w:p>
        </w:tc>
        <w:tc>
          <w:tcPr>
            <w:tcW w:w="8505" w:type="dxa"/>
            <w:vMerge/>
            <w:vAlign w:val="center"/>
          </w:tcPr>
          <w:p w14:paraId="0B77027F" w14:textId="77777777" w:rsidR="004D1935" w:rsidRPr="00F32676" w:rsidRDefault="004D1935" w:rsidP="00E24DC9">
            <w:pPr>
              <w:jc w:val="center"/>
              <w:rPr>
                <w:color w:val="000000" w:themeColor="text1"/>
              </w:rPr>
            </w:pPr>
          </w:p>
        </w:tc>
      </w:tr>
      <w:tr w:rsidR="004D1935" w14:paraId="5105F82D" w14:textId="77777777" w:rsidTr="00E24DC9">
        <w:tc>
          <w:tcPr>
            <w:tcW w:w="707" w:type="dxa"/>
            <w:vMerge/>
            <w:vAlign w:val="center"/>
          </w:tcPr>
          <w:p w14:paraId="07B689EF"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00D644CF"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422.1693</w:t>
            </w:r>
          </w:p>
        </w:tc>
        <w:tc>
          <w:tcPr>
            <w:tcW w:w="1953" w:type="dxa"/>
            <w:vMerge/>
            <w:vAlign w:val="center"/>
          </w:tcPr>
          <w:p w14:paraId="371A6868" w14:textId="77777777" w:rsidR="004D1935" w:rsidRPr="00F32676" w:rsidRDefault="004D1935" w:rsidP="00E24DC9">
            <w:pPr>
              <w:jc w:val="center"/>
              <w:rPr>
                <w:color w:val="000000" w:themeColor="text1"/>
              </w:rPr>
            </w:pPr>
          </w:p>
        </w:tc>
        <w:tc>
          <w:tcPr>
            <w:tcW w:w="1341" w:type="dxa"/>
            <w:vMerge/>
            <w:vAlign w:val="center"/>
          </w:tcPr>
          <w:p w14:paraId="0B2421E5" w14:textId="77777777" w:rsidR="004D1935" w:rsidRPr="00F32676" w:rsidRDefault="004D1935" w:rsidP="00E24DC9">
            <w:pPr>
              <w:jc w:val="center"/>
              <w:rPr>
                <w:color w:val="000000" w:themeColor="text1"/>
              </w:rPr>
            </w:pPr>
          </w:p>
        </w:tc>
        <w:tc>
          <w:tcPr>
            <w:tcW w:w="1384" w:type="dxa"/>
            <w:vMerge/>
            <w:vAlign w:val="center"/>
          </w:tcPr>
          <w:p w14:paraId="04351168" w14:textId="77777777" w:rsidR="004D1935" w:rsidRPr="00F32676" w:rsidRDefault="004D1935" w:rsidP="00E24DC9">
            <w:pPr>
              <w:jc w:val="center"/>
              <w:rPr>
                <w:color w:val="000000" w:themeColor="text1"/>
              </w:rPr>
            </w:pPr>
          </w:p>
        </w:tc>
        <w:tc>
          <w:tcPr>
            <w:tcW w:w="8505" w:type="dxa"/>
            <w:vMerge/>
            <w:vAlign w:val="center"/>
          </w:tcPr>
          <w:p w14:paraId="02E973A3" w14:textId="77777777" w:rsidR="004D1935" w:rsidRPr="00F32676" w:rsidRDefault="004D1935" w:rsidP="00E24DC9">
            <w:pPr>
              <w:jc w:val="center"/>
              <w:rPr>
                <w:color w:val="000000" w:themeColor="text1"/>
              </w:rPr>
            </w:pPr>
          </w:p>
        </w:tc>
      </w:tr>
      <w:tr w:rsidR="004D1935" w14:paraId="57898528" w14:textId="77777777" w:rsidTr="00E24DC9">
        <w:tc>
          <w:tcPr>
            <w:tcW w:w="707" w:type="dxa"/>
            <w:vMerge/>
            <w:vAlign w:val="center"/>
          </w:tcPr>
          <w:p w14:paraId="6D0EA685"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66173ACB"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422.2263</w:t>
            </w:r>
          </w:p>
        </w:tc>
        <w:tc>
          <w:tcPr>
            <w:tcW w:w="1953" w:type="dxa"/>
            <w:vMerge/>
            <w:vAlign w:val="center"/>
          </w:tcPr>
          <w:p w14:paraId="24376EF7" w14:textId="77777777" w:rsidR="004D1935" w:rsidRPr="00F32676" w:rsidRDefault="004D1935" w:rsidP="00E24DC9">
            <w:pPr>
              <w:jc w:val="center"/>
              <w:rPr>
                <w:color w:val="000000" w:themeColor="text1"/>
              </w:rPr>
            </w:pPr>
          </w:p>
        </w:tc>
        <w:tc>
          <w:tcPr>
            <w:tcW w:w="1341" w:type="dxa"/>
            <w:vMerge/>
            <w:vAlign w:val="center"/>
          </w:tcPr>
          <w:p w14:paraId="7DA8BED0" w14:textId="77777777" w:rsidR="004D1935" w:rsidRPr="00F32676" w:rsidRDefault="004D1935" w:rsidP="00E24DC9">
            <w:pPr>
              <w:jc w:val="center"/>
              <w:rPr>
                <w:color w:val="000000" w:themeColor="text1"/>
              </w:rPr>
            </w:pPr>
          </w:p>
        </w:tc>
        <w:tc>
          <w:tcPr>
            <w:tcW w:w="1384" w:type="dxa"/>
            <w:vMerge/>
            <w:vAlign w:val="center"/>
          </w:tcPr>
          <w:p w14:paraId="4DAD1D89" w14:textId="77777777" w:rsidR="004D1935" w:rsidRPr="00F32676" w:rsidRDefault="004D1935" w:rsidP="00E24DC9">
            <w:pPr>
              <w:jc w:val="center"/>
              <w:rPr>
                <w:color w:val="000000" w:themeColor="text1"/>
              </w:rPr>
            </w:pPr>
          </w:p>
        </w:tc>
        <w:tc>
          <w:tcPr>
            <w:tcW w:w="8505" w:type="dxa"/>
            <w:vMerge/>
            <w:vAlign w:val="center"/>
          </w:tcPr>
          <w:p w14:paraId="0552E0DF" w14:textId="77777777" w:rsidR="004D1935" w:rsidRPr="00F32676" w:rsidRDefault="004D1935" w:rsidP="00E24DC9">
            <w:pPr>
              <w:jc w:val="center"/>
              <w:rPr>
                <w:color w:val="000000" w:themeColor="text1"/>
              </w:rPr>
            </w:pPr>
          </w:p>
        </w:tc>
      </w:tr>
      <w:tr w:rsidR="004D1935" w14:paraId="52361EB0" w14:textId="77777777" w:rsidTr="00E24DC9">
        <w:tc>
          <w:tcPr>
            <w:tcW w:w="707" w:type="dxa"/>
            <w:vMerge/>
            <w:vAlign w:val="center"/>
          </w:tcPr>
          <w:p w14:paraId="51C62792"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39E8F64A"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422.2712</w:t>
            </w:r>
          </w:p>
        </w:tc>
        <w:tc>
          <w:tcPr>
            <w:tcW w:w="1953" w:type="dxa"/>
            <w:vMerge/>
            <w:vAlign w:val="center"/>
          </w:tcPr>
          <w:p w14:paraId="393D3E17" w14:textId="77777777" w:rsidR="004D1935" w:rsidRPr="00F32676" w:rsidRDefault="004D1935" w:rsidP="00E24DC9">
            <w:pPr>
              <w:jc w:val="center"/>
              <w:rPr>
                <w:color w:val="000000" w:themeColor="text1"/>
              </w:rPr>
            </w:pPr>
          </w:p>
        </w:tc>
        <w:tc>
          <w:tcPr>
            <w:tcW w:w="1341" w:type="dxa"/>
            <w:vMerge/>
            <w:vAlign w:val="center"/>
          </w:tcPr>
          <w:p w14:paraId="7D83BD96" w14:textId="77777777" w:rsidR="004D1935" w:rsidRPr="00F32676" w:rsidRDefault="004D1935" w:rsidP="00E24DC9">
            <w:pPr>
              <w:jc w:val="center"/>
              <w:rPr>
                <w:color w:val="000000" w:themeColor="text1"/>
              </w:rPr>
            </w:pPr>
          </w:p>
        </w:tc>
        <w:tc>
          <w:tcPr>
            <w:tcW w:w="1384" w:type="dxa"/>
            <w:vMerge/>
            <w:vAlign w:val="center"/>
          </w:tcPr>
          <w:p w14:paraId="420D1D67" w14:textId="77777777" w:rsidR="004D1935" w:rsidRPr="00F32676" w:rsidRDefault="004D1935" w:rsidP="00E24DC9">
            <w:pPr>
              <w:jc w:val="center"/>
              <w:rPr>
                <w:color w:val="000000" w:themeColor="text1"/>
              </w:rPr>
            </w:pPr>
          </w:p>
        </w:tc>
        <w:tc>
          <w:tcPr>
            <w:tcW w:w="8505" w:type="dxa"/>
            <w:vMerge/>
            <w:vAlign w:val="center"/>
          </w:tcPr>
          <w:p w14:paraId="0C2DC047" w14:textId="77777777" w:rsidR="004D1935" w:rsidRPr="00F32676" w:rsidRDefault="004D1935" w:rsidP="00E24DC9">
            <w:pPr>
              <w:jc w:val="center"/>
              <w:rPr>
                <w:color w:val="000000" w:themeColor="text1"/>
              </w:rPr>
            </w:pPr>
          </w:p>
        </w:tc>
      </w:tr>
      <w:tr w:rsidR="004D1935" w14:paraId="033D22A3" w14:textId="77777777" w:rsidTr="00E24DC9">
        <w:tc>
          <w:tcPr>
            <w:tcW w:w="707" w:type="dxa"/>
            <w:vMerge/>
            <w:vAlign w:val="center"/>
          </w:tcPr>
          <w:p w14:paraId="014416F0"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2C30B63A"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422.1723</w:t>
            </w:r>
          </w:p>
        </w:tc>
        <w:tc>
          <w:tcPr>
            <w:tcW w:w="1953" w:type="dxa"/>
            <w:vMerge/>
            <w:vAlign w:val="center"/>
          </w:tcPr>
          <w:p w14:paraId="63CB9C05" w14:textId="77777777" w:rsidR="004D1935" w:rsidRPr="00F32676" w:rsidRDefault="004D1935" w:rsidP="00E24DC9">
            <w:pPr>
              <w:jc w:val="center"/>
              <w:rPr>
                <w:color w:val="000000" w:themeColor="text1"/>
              </w:rPr>
            </w:pPr>
          </w:p>
        </w:tc>
        <w:tc>
          <w:tcPr>
            <w:tcW w:w="1341" w:type="dxa"/>
            <w:vMerge/>
            <w:vAlign w:val="center"/>
          </w:tcPr>
          <w:p w14:paraId="152D6611" w14:textId="77777777" w:rsidR="004D1935" w:rsidRPr="00F32676" w:rsidRDefault="004D1935" w:rsidP="00E24DC9">
            <w:pPr>
              <w:jc w:val="center"/>
              <w:rPr>
                <w:color w:val="000000" w:themeColor="text1"/>
              </w:rPr>
            </w:pPr>
          </w:p>
        </w:tc>
        <w:tc>
          <w:tcPr>
            <w:tcW w:w="1384" w:type="dxa"/>
            <w:vMerge/>
            <w:vAlign w:val="center"/>
          </w:tcPr>
          <w:p w14:paraId="09B147BC" w14:textId="77777777" w:rsidR="004D1935" w:rsidRPr="00F32676" w:rsidRDefault="004D1935" w:rsidP="00E24DC9">
            <w:pPr>
              <w:jc w:val="center"/>
              <w:rPr>
                <w:color w:val="000000" w:themeColor="text1"/>
              </w:rPr>
            </w:pPr>
          </w:p>
        </w:tc>
        <w:tc>
          <w:tcPr>
            <w:tcW w:w="8505" w:type="dxa"/>
            <w:vMerge/>
            <w:vAlign w:val="center"/>
          </w:tcPr>
          <w:p w14:paraId="7119BB8E" w14:textId="77777777" w:rsidR="004D1935" w:rsidRPr="00F32676" w:rsidRDefault="004D1935" w:rsidP="00E24DC9">
            <w:pPr>
              <w:jc w:val="center"/>
              <w:rPr>
                <w:color w:val="000000" w:themeColor="text1"/>
              </w:rPr>
            </w:pPr>
          </w:p>
        </w:tc>
      </w:tr>
      <w:tr w:rsidR="004D1935" w14:paraId="4A711440" w14:textId="77777777" w:rsidTr="00E24DC9">
        <w:tc>
          <w:tcPr>
            <w:tcW w:w="707" w:type="dxa"/>
            <w:vMerge/>
            <w:vAlign w:val="center"/>
          </w:tcPr>
          <w:p w14:paraId="5B6677FE"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05162EA2"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422.2323</w:t>
            </w:r>
          </w:p>
        </w:tc>
        <w:tc>
          <w:tcPr>
            <w:tcW w:w="1953" w:type="dxa"/>
            <w:vMerge/>
            <w:vAlign w:val="center"/>
          </w:tcPr>
          <w:p w14:paraId="3F07C1C9" w14:textId="77777777" w:rsidR="004D1935" w:rsidRPr="00F32676" w:rsidRDefault="004D1935" w:rsidP="00E24DC9">
            <w:pPr>
              <w:jc w:val="center"/>
              <w:rPr>
                <w:color w:val="000000" w:themeColor="text1"/>
              </w:rPr>
            </w:pPr>
          </w:p>
        </w:tc>
        <w:tc>
          <w:tcPr>
            <w:tcW w:w="1341" w:type="dxa"/>
            <w:vMerge/>
            <w:vAlign w:val="center"/>
          </w:tcPr>
          <w:p w14:paraId="27A21A0E" w14:textId="77777777" w:rsidR="004D1935" w:rsidRPr="00F32676" w:rsidRDefault="004D1935" w:rsidP="00E24DC9">
            <w:pPr>
              <w:jc w:val="center"/>
              <w:rPr>
                <w:color w:val="000000" w:themeColor="text1"/>
              </w:rPr>
            </w:pPr>
          </w:p>
        </w:tc>
        <w:tc>
          <w:tcPr>
            <w:tcW w:w="1384" w:type="dxa"/>
            <w:vMerge/>
            <w:vAlign w:val="center"/>
          </w:tcPr>
          <w:p w14:paraId="10CE635B" w14:textId="77777777" w:rsidR="004D1935" w:rsidRPr="00F32676" w:rsidRDefault="004D1935" w:rsidP="00E24DC9">
            <w:pPr>
              <w:jc w:val="center"/>
              <w:rPr>
                <w:color w:val="000000" w:themeColor="text1"/>
              </w:rPr>
            </w:pPr>
          </w:p>
        </w:tc>
        <w:tc>
          <w:tcPr>
            <w:tcW w:w="8505" w:type="dxa"/>
            <w:vMerge/>
            <w:vAlign w:val="center"/>
          </w:tcPr>
          <w:p w14:paraId="58C64C7C" w14:textId="77777777" w:rsidR="004D1935" w:rsidRPr="00F32676" w:rsidRDefault="004D1935" w:rsidP="00E24DC9">
            <w:pPr>
              <w:jc w:val="center"/>
              <w:rPr>
                <w:color w:val="000000" w:themeColor="text1"/>
              </w:rPr>
            </w:pPr>
          </w:p>
        </w:tc>
      </w:tr>
      <w:tr w:rsidR="004D1935" w14:paraId="57FB3D27" w14:textId="77777777" w:rsidTr="00E24DC9">
        <w:tc>
          <w:tcPr>
            <w:tcW w:w="707" w:type="dxa"/>
            <w:vMerge/>
            <w:vAlign w:val="center"/>
          </w:tcPr>
          <w:p w14:paraId="6F22C7F8"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245E6470"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422.2787</w:t>
            </w:r>
          </w:p>
        </w:tc>
        <w:tc>
          <w:tcPr>
            <w:tcW w:w="1953" w:type="dxa"/>
            <w:vMerge/>
            <w:vAlign w:val="center"/>
          </w:tcPr>
          <w:p w14:paraId="543FF387" w14:textId="77777777" w:rsidR="004D1935" w:rsidRPr="00F32676" w:rsidRDefault="004D1935" w:rsidP="00E24DC9">
            <w:pPr>
              <w:jc w:val="center"/>
              <w:rPr>
                <w:color w:val="000000" w:themeColor="text1"/>
              </w:rPr>
            </w:pPr>
          </w:p>
        </w:tc>
        <w:tc>
          <w:tcPr>
            <w:tcW w:w="1341" w:type="dxa"/>
            <w:vMerge/>
            <w:vAlign w:val="center"/>
          </w:tcPr>
          <w:p w14:paraId="346E6FE4" w14:textId="77777777" w:rsidR="004D1935" w:rsidRPr="00F32676" w:rsidRDefault="004D1935" w:rsidP="00E24DC9">
            <w:pPr>
              <w:jc w:val="center"/>
              <w:rPr>
                <w:color w:val="000000" w:themeColor="text1"/>
              </w:rPr>
            </w:pPr>
          </w:p>
        </w:tc>
        <w:tc>
          <w:tcPr>
            <w:tcW w:w="1384" w:type="dxa"/>
            <w:vMerge/>
            <w:vAlign w:val="center"/>
          </w:tcPr>
          <w:p w14:paraId="0BC73C3F" w14:textId="77777777" w:rsidR="004D1935" w:rsidRPr="00F32676" w:rsidRDefault="004D1935" w:rsidP="00E24DC9">
            <w:pPr>
              <w:jc w:val="center"/>
              <w:rPr>
                <w:color w:val="000000" w:themeColor="text1"/>
              </w:rPr>
            </w:pPr>
          </w:p>
        </w:tc>
        <w:tc>
          <w:tcPr>
            <w:tcW w:w="8505" w:type="dxa"/>
            <w:vMerge/>
            <w:vAlign w:val="center"/>
          </w:tcPr>
          <w:p w14:paraId="755EFC20" w14:textId="77777777" w:rsidR="004D1935" w:rsidRPr="00F32676" w:rsidRDefault="004D1935" w:rsidP="00E24DC9">
            <w:pPr>
              <w:jc w:val="center"/>
              <w:rPr>
                <w:color w:val="000000" w:themeColor="text1"/>
              </w:rPr>
            </w:pPr>
          </w:p>
        </w:tc>
      </w:tr>
      <w:tr w:rsidR="004D1935" w14:paraId="18F11554" w14:textId="77777777" w:rsidTr="00E24DC9">
        <w:tc>
          <w:tcPr>
            <w:tcW w:w="707" w:type="dxa"/>
            <w:vMerge/>
            <w:vAlign w:val="center"/>
          </w:tcPr>
          <w:p w14:paraId="5C65DFCD"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4B47A51F"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422.1018</w:t>
            </w:r>
          </w:p>
        </w:tc>
        <w:tc>
          <w:tcPr>
            <w:tcW w:w="1953" w:type="dxa"/>
            <w:vMerge/>
            <w:vAlign w:val="center"/>
          </w:tcPr>
          <w:p w14:paraId="16967473" w14:textId="77777777" w:rsidR="004D1935" w:rsidRPr="00F32676" w:rsidRDefault="004D1935" w:rsidP="00E24DC9">
            <w:pPr>
              <w:jc w:val="center"/>
              <w:rPr>
                <w:color w:val="000000" w:themeColor="text1"/>
              </w:rPr>
            </w:pPr>
          </w:p>
        </w:tc>
        <w:tc>
          <w:tcPr>
            <w:tcW w:w="1341" w:type="dxa"/>
            <w:vMerge/>
            <w:vAlign w:val="center"/>
          </w:tcPr>
          <w:p w14:paraId="24FE1F9E" w14:textId="77777777" w:rsidR="004D1935" w:rsidRPr="00F32676" w:rsidRDefault="004D1935" w:rsidP="00E24DC9">
            <w:pPr>
              <w:jc w:val="center"/>
              <w:rPr>
                <w:color w:val="000000" w:themeColor="text1"/>
              </w:rPr>
            </w:pPr>
          </w:p>
        </w:tc>
        <w:tc>
          <w:tcPr>
            <w:tcW w:w="1384" w:type="dxa"/>
            <w:vMerge/>
            <w:vAlign w:val="center"/>
          </w:tcPr>
          <w:p w14:paraId="440FC0F2" w14:textId="77777777" w:rsidR="004D1935" w:rsidRPr="00F32676" w:rsidRDefault="004D1935" w:rsidP="00E24DC9">
            <w:pPr>
              <w:jc w:val="center"/>
              <w:rPr>
                <w:color w:val="000000" w:themeColor="text1"/>
              </w:rPr>
            </w:pPr>
          </w:p>
        </w:tc>
        <w:tc>
          <w:tcPr>
            <w:tcW w:w="8505" w:type="dxa"/>
            <w:vMerge/>
            <w:vAlign w:val="center"/>
          </w:tcPr>
          <w:p w14:paraId="2B69E7DF" w14:textId="77777777" w:rsidR="004D1935" w:rsidRPr="00F32676" w:rsidRDefault="004D1935" w:rsidP="00E24DC9">
            <w:pPr>
              <w:jc w:val="center"/>
              <w:rPr>
                <w:color w:val="000000" w:themeColor="text1"/>
              </w:rPr>
            </w:pPr>
          </w:p>
        </w:tc>
      </w:tr>
      <w:tr w:rsidR="004D1935" w14:paraId="68BD6914" w14:textId="77777777" w:rsidTr="00E24DC9">
        <w:tc>
          <w:tcPr>
            <w:tcW w:w="707" w:type="dxa"/>
            <w:vMerge/>
            <w:vAlign w:val="center"/>
          </w:tcPr>
          <w:p w14:paraId="73CBFDA5"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73CEA3BE"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422.1513</w:t>
            </w:r>
          </w:p>
        </w:tc>
        <w:tc>
          <w:tcPr>
            <w:tcW w:w="1953" w:type="dxa"/>
            <w:vMerge/>
            <w:vAlign w:val="center"/>
          </w:tcPr>
          <w:p w14:paraId="596C9327" w14:textId="77777777" w:rsidR="004D1935" w:rsidRPr="00F32676" w:rsidRDefault="004D1935" w:rsidP="00E24DC9">
            <w:pPr>
              <w:jc w:val="center"/>
              <w:rPr>
                <w:color w:val="000000" w:themeColor="text1"/>
              </w:rPr>
            </w:pPr>
          </w:p>
        </w:tc>
        <w:tc>
          <w:tcPr>
            <w:tcW w:w="1341" w:type="dxa"/>
            <w:vMerge/>
            <w:vAlign w:val="center"/>
          </w:tcPr>
          <w:p w14:paraId="355624FF" w14:textId="77777777" w:rsidR="004D1935" w:rsidRPr="00F32676" w:rsidRDefault="004D1935" w:rsidP="00E24DC9">
            <w:pPr>
              <w:jc w:val="center"/>
              <w:rPr>
                <w:color w:val="000000" w:themeColor="text1"/>
              </w:rPr>
            </w:pPr>
          </w:p>
        </w:tc>
        <w:tc>
          <w:tcPr>
            <w:tcW w:w="1384" w:type="dxa"/>
            <w:vMerge/>
            <w:vAlign w:val="center"/>
          </w:tcPr>
          <w:p w14:paraId="44D61EB5" w14:textId="77777777" w:rsidR="004D1935" w:rsidRPr="00F32676" w:rsidRDefault="004D1935" w:rsidP="00E24DC9">
            <w:pPr>
              <w:jc w:val="center"/>
              <w:rPr>
                <w:color w:val="000000" w:themeColor="text1"/>
              </w:rPr>
            </w:pPr>
          </w:p>
        </w:tc>
        <w:tc>
          <w:tcPr>
            <w:tcW w:w="8505" w:type="dxa"/>
            <w:vMerge/>
            <w:vAlign w:val="center"/>
          </w:tcPr>
          <w:p w14:paraId="6564D7F3" w14:textId="77777777" w:rsidR="004D1935" w:rsidRPr="00F32676" w:rsidRDefault="004D1935" w:rsidP="00E24DC9">
            <w:pPr>
              <w:jc w:val="center"/>
              <w:rPr>
                <w:color w:val="000000" w:themeColor="text1"/>
              </w:rPr>
            </w:pPr>
          </w:p>
        </w:tc>
      </w:tr>
      <w:tr w:rsidR="004D1935" w14:paraId="3DF813A4" w14:textId="77777777" w:rsidTr="00E24DC9">
        <w:tc>
          <w:tcPr>
            <w:tcW w:w="707" w:type="dxa"/>
            <w:vMerge/>
            <w:vAlign w:val="center"/>
          </w:tcPr>
          <w:p w14:paraId="4575225F"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39B464E3"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422.2142</w:t>
            </w:r>
          </w:p>
        </w:tc>
        <w:tc>
          <w:tcPr>
            <w:tcW w:w="1953" w:type="dxa"/>
            <w:vMerge/>
            <w:vAlign w:val="center"/>
          </w:tcPr>
          <w:p w14:paraId="588F3227" w14:textId="77777777" w:rsidR="004D1935" w:rsidRPr="00F32676" w:rsidRDefault="004D1935" w:rsidP="00E24DC9">
            <w:pPr>
              <w:jc w:val="center"/>
              <w:rPr>
                <w:color w:val="000000" w:themeColor="text1"/>
              </w:rPr>
            </w:pPr>
          </w:p>
        </w:tc>
        <w:tc>
          <w:tcPr>
            <w:tcW w:w="1341" w:type="dxa"/>
            <w:vMerge/>
            <w:vAlign w:val="center"/>
          </w:tcPr>
          <w:p w14:paraId="0883EC45" w14:textId="77777777" w:rsidR="004D1935" w:rsidRPr="00F32676" w:rsidRDefault="004D1935" w:rsidP="00E24DC9">
            <w:pPr>
              <w:jc w:val="center"/>
              <w:rPr>
                <w:color w:val="000000" w:themeColor="text1"/>
              </w:rPr>
            </w:pPr>
          </w:p>
        </w:tc>
        <w:tc>
          <w:tcPr>
            <w:tcW w:w="1384" w:type="dxa"/>
            <w:vMerge/>
            <w:vAlign w:val="center"/>
          </w:tcPr>
          <w:p w14:paraId="480BCE56" w14:textId="77777777" w:rsidR="004D1935" w:rsidRPr="00F32676" w:rsidRDefault="004D1935" w:rsidP="00E24DC9">
            <w:pPr>
              <w:jc w:val="center"/>
              <w:rPr>
                <w:color w:val="000000" w:themeColor="text1"/>
              </w:rPr>
            </w:pPr>
          </w:p>
        </w:tc>
        <w:tc>
          <w:tcPr>
            <w:tcW w:w="8505" w:type="dxa"/>
            <w:vMerge/>
            <w:vAlign w:val="center"/>
          </w:tcPr>
          <w:p w14:paraId="07F786B9" w14:textId="77777777" w:rsidR="004D1935" w:rsidRPr="00F32676" w:rsidRDefault="004D1935" w:rsidP="00E24DC9">
            <w:pPr>
              <w:jc w:val="center"/>
              <w:rPr>
                <w:color w:val="000000" w:themeColor="text1"/>
              </w:rPr>
            </w:pPr>
          </w:p>
        </w:tc>
      </w:tr>
      <w:tr w:rsidR="004D1935" w14:paraId="5832078F" w14:textId="77777777" w:rsidTr="00E24DC9">
        <w:tc>
          <w:tcPr>
            <w:tcW w:w="707" w:type="dxa"/>
            <w:vMerge/>
            <w:vAlign w:val="center"/>
          </w:tcPr>
          <w:p w14:paraId="71164966"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7F0AD18D"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422.2593</w:t>
            </w:r>
          </w:p>
        </w:tc>
        <w:tc>
          <w:tcPr>
            <w:tcW w:w="1953" w:type="dxa"/>
            <w:vMerge/>
            <w:vAlign w:val="center"/>
          </w:tcPr>
          <w:p w14:paraId="5D160608" w14:textId="77777777" w:rsidR="004D1935" w:rsidRPr="00F32676" w:rsidRDefault="004D1935" w:rsidP="00E24DC9">
            <w:pPr>
              <w:jc w:val="center"/>
              <w:rPr>
                <w:color w:val="000000" w:themeColor="text1"/>
              </w:rPr>
            </w:pPr>
          </w:p>
        </w:tc>
        <w:tc>
          <w:tcPr>
            <w:tcW w:w="1341" w:type="dxa"/>
            <w:vMerge/>
            <w:vAlign w:val="center"/>
          </w:tcPr>
          <w:p w14:paraId="30F24BD5" w14:textId="77777777" w:rsidR="004D1935" w:rsidRPr="00F32676" w:rsidRDefault="004D1935" w:rsidP="00E24DC9">
            <w:pPr>
              <w:jc w:val="center"/>
              <w:rPr>
                <w:color w:val="000000" w:themeColor="text1"/>
              </w:rPr>
            </w:pPr>
          </w:p>
        </w:tc>
        <w:tc>
          <w:tcPr>
            <w:tcW w:w="1384" w:type="dxa"/>
            <w:vMerge/>
            <w:vAlign w:val="center"/>
          </w:tcPr>
          <w:p w14:paraId="5A53E592" w14:textId="77777777" w:rsidR="004D1935" w:rsidRPr="00F32676" w:rsidRDefault="004D1935" w:rsidP="00E24DC9">
            <w:pPr>
              <w:jc w:val="center"/>
              <w:rPr>
                <w:color w:val="000000" w:themeColor="text1"/>
              </w:rPr>
            </w:pPr>
          </w:p>
        </w:tc>
        <w:tc>
          <w:tcPr>
            <w:tcW w:w="8505" w:type="dxa"/>
            <w:vMerge/>
            <w:vAlign w:val="center"/>
          </w:tcPr>
          <w:p w14:paraId="5F9AFEE9" w14:textId="77777777" w:rsidR="004D1935" w:rsidRPr="00F32676" w:rsidRDefault="004D1935" w:rsidP="00E24DC9">
            <w:pPr>
              <w:jc w:val="center"/>
              <w:rPr>
                <w:color w:val="000000" w:themeColor="text1"/>
              </w:rPr>
            </w:pPr>
          </w:p>
        </w:tc>
      </w:tr>
      <w:tr w:rsidR="004D1935" w14:paraId="353045C8" w14:textId="77777777" w:rsidTr="00E24DC9">
        <w:tc>
          <w:tcPr>
            <w:tcW w:w="707" w:type="dxa"/>
            <w:vMerge/>
            <w:vAlign w:val="center"/>
          </w:tcPr>
          <w:p w14:paraId="1258EDC4"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78A6327F"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422.2203</w:t>
            </w:r>
          </w:p>
        </w:tc>
        <w:tc>
          <w:tcPr>
            <w:tcW w:w="1953" w:type="dxa"/>
            <w:vMerge/>
            <w:vAlign w:val="center"/>
          </w:tcPr>
          <w:p w14:paraId="1AEC181E" w14:textId="77777777" w:rsidR="004D1935" w:rsidRPr="00F32676" w:rsidRDefault="004D1935" w:rsidP="00E24DC9">
            <w:pPr>
              <w:jc w:val="center"/>
              <w:rPr>
                <w:color w:val="000000" w:themeColor="text1"/>
              </w:rPr>
            </w:pPr>
          </w:p>
        </w:tc>
        <w:tc>
          <w:tcPr>
            <w:tcW w:w="1341" w:type="dxa"/>
            <w:vMerge/>
            <w:vAlign w:val="center"/>
          </w:tcPr>
          <w:p w14:paraId="6E65F29D" w14:textId="77777777" w:rsidR="004D1935" w:rsidRPr="00F32676" w:rsidRDefault="004D1935" w:rsidP="00E24DC9">
            <w:pPr>
              <w:jc w:val="center"/>
              <w:rPr>
                <w:color w:val="000000" w:themeColor="text1"/>
              </w:rPr>
            </w:pPr>
          </w:p>
        </w:tc>
        <w:tc>
          <w:tcPr>
            <w:tcW w:w="1384" w:type="dxa"/>
            <w:vMerge/>
            <w:vAlign w:val="center"/>
          </w:tcPr>
          <w:p w14:paraId="58196852" w14:textId="77777777" w:rsidR="004D1935" w:rsidRPr="00F32676" w:rsidRDefault="004D1935" w:rsidP="00E24DC9">
            <w:pPr>
              <w:jc w:val="center"/>
              <w:rPr>
                <w:color w:val="000000" w:themeColor="text1"/>
              </w:rPr>
            </w:pPr>
          </w:p>
        </w:tc>
        <w:tc>
          <w:tcPr>
            <w:tcW w:w="8505" w:type="dxa"/>
            <w:vMerge/>
            <w:vAlign w:val="center"/>
          </w:tcPr>
          <w:p w14:paraId="61C3F238" w14:textId="77777777" w:rsidR="004D1935" w:rsidRPr="00F32676" w:rsidRDefault="004D1935" w:rsidP="00E24DC9">
            <w:pPr>
              <w:jc w:val="center"/>
              <w:rPr>
                <w:color w:val="000000" w:themeColor="text1"/>
              </w:rPr>
            </w:pPr>
          </w:p>
        </w:tc>
      </w:tr>
      <w:tr w:rsidR="004D1935" w14:paraId="02F9CAE4" w14:textId="77777777" w:rsidTr="00E24DC9">
        <w:tc>
          <w:tcPr>
            <w:tcW w:w="707" w:type="dxa"/>
            <w:vMerge/>
            <w:vAlign w:val="center"/>
          </w:tcPr>
          <w:p w14:paraId="17F1D1AA"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33052F97"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422.2653</w:t>
            </w:r>
          </w:p>
        </w:tc>
        <w:tc>
          <w:tcPr>
            <w:tcW w:w="1953" w:type="dxa"/>
            <w:vMerge/>
            <w:vAlign w:val="center"/>
          </w:tcPr>
          <w:p w14:paraId="68FF7C9C" w14:textId="77777777" w:rsidR="004D1935" w:rsidRPr="00F32676" w:rsidRDefault="004D1935" w:rsidP="00E24DC9">
            <w:pPr>
              <w:jc w:val="center"/>
              <w:rPr>
                <w:color w:val="000000" w:themeColor="text1"/>
              </w:rPr>
            </w:pPr>
          </w:p>
        </w:tc>
        <w:tc>
          <w:tcPr>
            <w:tcW w:w="1341" w:type="dxa"/>
            <w:vMerge/>
            <w:vAlign w:val="center"/>
          </w:tcPr>
          <w:p w14:paraId="2C5C54D3" w14:textId="77777777" w:rsidR="004D1935" w:rsidRPr="00F32676" w:rsidRDefault="004D1935" w:rsidP="00E24DC9">
            <w:pPr>
              <w:jc w:val="center"/>
              <w:rPr>
                <w:color w:val="000000" w:themeColor="text1"/>
              </w:rPr>
            </w:pPr>
          </w:p>
        </w:tc>
        <w:tc>
          <w:tcPr>
            <w:tcW w:w="1384" w:type="dxa"/>
            <w:vMerge/>
            <w:vAlign w:val="center"/>
          </w:tcPr>
          <w:p w14:paraId="6D2EE88F" w14:textId="77777777" w:rsidR="004D1935" w:rsidRPr="00F32676" w:rsidRDefault="004D1935" w:rsidP="00E24DC9">
            <w:pPr>
              <w:jc w:val="center"/>
              <w:rPr>
                <w:color w:val="000000" w:themeColor="text1"/>
              </w:rPr>
            </w:pPr>
          </w:p>
        </w:tc>
        <w:tc>
          <w:tcPr>
            <w:tcW w:w="8505" w:type="dxa"/>
            <w:vMerge/>
            <w:vAlign w:val="center"/>
          </w:tcPr>
          <w:p w14:paraId="3B9CA1D9" w14:textId="77777777" w:rsidR="004D1935" w:rsidRPr="00F32676" w:rsidRDefault="004D1935" w:rsidP="00E24DC9">
            <w:pPr>
              <w:jc w:val="center"/>
              <w:rPr>
                <w:color w:val="000000" w:themeColor="text1"/>
              </w:rPr>
            </w:pPr>
          </w:p>
        </w:tc>
      </w:tr>
      <w:tr w:rsidR="004D1935" w14:paraId="5A643E05" w14:textId="77777777" w:rsidTr="00E24DC9">
        <w:tc>
          <w:tcPr>
            <w:tcW w:w="707" w:type="dxa"/>
            <w:vMerge/>
            <w:vAlign w:val="center"/>
          </w:tcPr>
          <w:p w14:paraId="43E94420"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66E75B6A"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422.1033</w:t>
            </w:r>
          </w:p>
        </w:tc>
        <w:tc>
          <w:tcPr>
            <w:tcW w:w="1953" w:type="dxa"/>
            <w:vMerge/>
            <w:vAlign w:val="center"/>
          </w:tcPr>
          <w:p w14:paraId="54AACF8B" w14:textId="77777777" w:rsidR="004D1935" w:rsidRPr="00F32676" w:rsidRDefault="004D1935" w:rsidP="00E24DC9">
            <w:pPr>
              <w:jc w:val="center"/>
              <w:rPr>
                <w:color w:val="000000" w:themeColor="text1"/>
              </w:rPr>
            </w:pPr>
          </w:p>
        </w:tc>
        <w:tc>
          <w:tcPr>
            <w:tcW w:w="1341" w:type="dxa"/>
            <w:vMerge/>
            <w:vAlign w:val="center"/>
          </w:tcPr>
          <w:p w14:paraId="37E8DFC3" w14:textId="77777777" w:rsidR="004D1935" w:rsidRPr="00F32676" w:rsidRDefault="004D1935" w:rsidP="00E24DC9">
            <w:pPr>
              <w:jc w:val="center"/>
              <w:rPr>
                <w:color w:val="000000" w:themeColor="text1"/>
              </w:rPr>
            </w:pPr>
          </w:p>
        </w:tc>
        <w:tc>
          <w:tcPr>
            <w:tcW w:w="1384" w:type="dxa"/>
            <w:vMerge/>
            <w:vAlign w:val="center"/>
          </w:tcPr>
          <w:p w14:paraId="7BDD14A0" w14:textId="77777777" w:rsidR="004D1935" w:rsidRPr="00F32676" w:rsidRDefault="004D1935" w:rsidP="00E24DC9">
            <w:pPr>
              <w:jc w:val="center"/>
              <w:rPr>
                <w:color w:val="000000" w:themeColor="text1"/>
              </w:rPr>
            </w:pPr>
          </w:p>
        </w:tc>
        <w:tc>
          <w:tcPr>
            <w:tcW w:w="8505" w:type="dxa"/>
            <w:vMerge/>
            <w:vAlign w:val="center"/>
          </w:tcPr>
          <w:p w14:paraId="6B6D47B1" w14:textId="77777777" w:rsidR="004D1935" w:rsidRPr="00F32676" w:rsidRDefault="004D1935" w:rsidP="00E24DC9">
            <w:pPr>
              <w:jc w:val="center"/>
              <w:rPr>
                <w:color w:val="000000" w:themeColor="text1"/>
              </w:rPr>
            </w:pPr>
          </w:p>
        </w:tc>
      </w:tr>
      <w:tr w:rsidR="004D1935" w14:paraId="61FACC22" w14:textId="77777777" w:rsidTr="00E24DC9">
        <w:tc>
          <w:tcPr>
            <w:tcW w:w="707" w:type="dxa"/>
            <w:vMerge/>
            <w:vAlign w:val="center"/>
          </w:tcPr>
          <w:p w14:paraId="52AC353C"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33831C75"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422.1483</w:t>
            </w:r>
          </w:p>
        </w:tc>
        <w:tc>
          <w:tcPr>
            <w:tcW w:w="1953" w:type="dxa"/>
            <w:vMerge/>
            <w:vAlign w:val="center"/>
          </w:tcPr>
          <w:p w14:paraId="47E7904A" w14:textId="77777777" w:rsidR="004D1935" w:rsidRPr="00F32676" w:rsidRDefault="004D1935" w:rsidP="00E24DC9">
            <w:pPr>
              <w:jc w:val="center"/>
              <w:rPr>
                <w:color w:val="000000" w:themeColor="text1"/>
              </w:rPr>
            </w:pPr>
          </w:p>
        </w:tc>
        <w:tc>
          <w:tcPr>
            <w:tcW w:w="1341" w:type="dxa"/>
            <w:vMerge/>
            <w:vAlign w:val="center"/>
          </w:tcPr>
          <w:p w14:paraId="19975448" w14:textId="77777777" w:rsidR="004D1935" w:rsidRPr="00F32676" w:rsidRDefault="004D1935" w:rsidP="00E24DC9">
            <w:pPr>
              <w:jc w:val="center"/>
              <w:rPr>
                <w:color w:val="000000" w:themeColor="text1"/>
              </w:rPr>
            </w:pPr>
          </w:p>
        </w:tc>
        <w:tc>
          <w:tcPr>
            <w:tcW w:w="1384" w:type="dxa"/>
            <w:vMerge/>
            <w:vAlign w:val="center"/>
          </w:tcPr>
          <w:p w14:paraId="5D890920" w14:textId="77777777" w:rsidR="004D1935" w:rsidRPr="00F32676" w:rsidRDefault="004D1935" w:rsidP="00E24DC9">
            <w:pPr>
              <w:jc w:val="center"/>
              <w:rPr>
                <w:color w:val="000000" w:themeColor="text1"/>
              </w:rPr>
            </w:pPr>
          </w:p>
        </w:tc>
        <w:tc>
          <w:tcPr>
            <w:tcW w:w="8505" w:type="dxa"/>
            <w:vMerge/>
            <w:vAlign w:val="center"/>
          </w:tcPr>
          <w:p w14:paraId="6D2FE897" w14:textId="77777777" w:rsidR="004D1935" w:rsidRPr="00F32676" w:rsidRDefault="004D1935" w:rsidP="00E24DC9">
            <w:pPr>
              <w:jc w:val="center"/>
              <w:rPr>
                <w:color w:val="000000" w:themeColor="text1"/>
              </w:rPr>
            </w:pPr>
          </w:p>
        </w:tc>
      </w:tr>
      <w:tr w:rsidR="004D1935" w14:paraId="0D62F07A" w14:textId="77777777" w:rsidTr="00E24DC9">
        <w:tc>
          <w:tcPr>
            <w:tcW w:w="707" w:type="dxa"/>
            <w:vMerge/>
            <w:vAlign w:val="center"/>
          </w:tcPr>
          <w:p w14:paraId="6D76281D"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68EDD2B9"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422.1932</w:t>
            </w:r>
          </w:p>
        </w:tc>
        <w:tc>
          <w:tcPr>
            <w:tcW w:w="1953" w:type="dxa"/>
            <w:vMerge/>
            <w:vAlign w:val="center"/>
          </w:tcPr>
          <w:p w14:paraId="06B9FC85" w14:textId="77777777" w:rsidR="004D1935" w:rsidRPr="00F32676" w:rsidRDefault="004D1935" w:rsidP="00E24DC9">
            <w:pPr>
              <w:jc w:val="center"/>
              <w:rPr>
                <w:color w:val="000000" w:themeColor="text1"/>
              </w:rPr>
            </w:pPr>
          </w:p>
        </w:tc>
        <w:tc>
          <w:tcPr>
            <w:tcW w:w="1341" w:type="dxa"/>
            <w:vMerge/>
            <w:vAlign w:val="center"/>
          </w:tcPr>
          <w:p w14:paraId="281930B7" w14:textId="77777777" w:rsidR="004D1935" w:rsidRPr="00F32676" w:rsidRDefault="004D1935" w:rsidP="00E24DC9">
            <w:pPr>
              <w:jc w:val="center"/>
              <w:rPr>
                <w:color w:val="000000" w:themeColor="text1"/>
              </w:rPr>
            </w:pPr>
          </w:p>
        </w:tc>
        <w:tc>
          <w:tcPr>
            <w:tcW w:w="1384" w:type="dxa"/>
            <w:vMerge/>
            <w:vAlign w:val="center"/>
          </w:tcPr>
          <w:p w14:paraId="696EB15F" w14:textId="77777777" w:rsidR="004D1935" w:rsidRPr="00F32676" w:rsidRDefault="004D1935" w:rsidP="00E24DC9">
            <w:pPr>
              <w:jc w:val="center"/>
              <w:rPr>
                <w:color w:val="000000" w:themeColor="text1"/>
              </w:rPr>
            </w:pPr>
          </w:p>
        </w:tc>
        <w:tc>
          <w:tcPr>
            <w:tcW w:w="8505" w:type="dxa"/>
            <w:vMerge/>
            <w:vAlign w:val="center"/>
          </w:tcPr>
          <w:p w14:paraId="569781FF" w14:textId="77777777" w:rsidR="004D1935" w:rsidRPr="00F32676" w:rsidRDefault="004D1935" w:rsidP="00E24DC9">
            <w:pPr>
              <w:jc w:val="center"/>
              <w:rPr>
                <w:color w:val="000000" w:themeColor="text1"/>
              </w:rPr>
            </w:pPr>
          </w:p>
        </w:tc>
      </w:tr>
      <w:tr w:rsidR="004D1935" w14:paraId="7BC95356" w14:textId="77777777" w:rsidTr="00E24DC9">
        <w:tc>
          <w:tcPr>
            <w:tcW w:w="707" w:type="dxa"/>
            <w:vMerge/>
            <w:vAlign w:val="center"/>
          </w:tcPr>
          <w:p w14:paraId="27B02DD2"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2CDA9F4A"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422.1063</w:t>
            </w:r>
          </w:p>
        </w:tc>
        <w:tc>
          <w:tcPr>
            <w:tcW w:w="1953" w:type="dxa"/>
            <w:vMerge/>
            <w:vAlign w:val="center"/>
          </w:tcPr>
          <w:p w14:paraId="5A1DB718" w14:textId="77777777" w:rsidR="004D1935" w:rsidRPr="00F32676" w:rsidRDefault="004D1935" w:rsidP="00E24DC9">
            <w:pPr>
              <w:jc w:val="center"/>
              <w:rPr>
                <w:color w:val="000000" w:themeColor="text1"/>
              </w:rPr>
            </w:pPr>
          </w:p>
        </w:tc>
        <w:tc>
          <w:tcPr>
            <w:tcW w:w="1341" w:type="dxa"/>
            <w:vMerge/>
            <w:vAlign w:val="center"/>
          </w:tcPr>
          <w:p w14:paraId="4105EC0F" w14:textId="77777777" w:rsidR="004D1935" w:rsidRPr="00F32676" w:rsidRDefault="004D1935" w:rsidP="00E24DC9">
            <w:pPr>
              <w:jc w:val="center"/>
              <w:rPr>
                <w:color w:val="000000" w:themeColor="text1"/>
              </w:rPr>
            </w:pPr>
          </w:p>
        </w:tc>
        <w:tc>
          <w:tcPr>
            <w:tcW w:w="1384" w:type="dxa"/>
            <w:vMerge/>
            <w:vAlign w:val="center"/>
          </w:tcPr>
          <w:p w14:paraId="1B3DDB36" w14:textId="77777777" w:rsidR="004D1935" w:rsidRPr="00F32676" w:rsidRDefault="004D1935" w:rsidP="00E24DC9">
            <w:pPr>
              <w:jc w:val="center"/>
              <w:rPr>
                <w:color w:val="000000" w:themeColor="text1"/>
              </w:rPr>
            </w:pPr>
          </w:p>
        </w:tc>
        <w:tc>
          <w:tcPr>
            <w:tcW w:w="8505" w:type="dxa"/>
            <w:vMerge/>
            <w:vAlign w:val="center"/>
          </w:tcPr>
          <w:p w14:paraId="2F0F5F57" w14:textId="77777777" w:rsidR="004D1935" w:rsidRPr="00F32676" w:rsidRDefault="004D1935" w:rsidP="00E24DC9">
            <w:pPr>
              <w:jc w:val="center"/>
              <w:rPr>
                <w:color w:val="000000" w:themeColor="text1"/>
              </w:rPr>
            </w:pPr>
          </w:p>
        </w:tc>
      </w:tr>
      <w:tr w:rsidR="004D1935" w14:paraId="2D7C9DA5" w14:textId="77777777" w:rsidTr="00E24DC9">
        <w:tc>
          <w:tcPr>
            <w:tcW w:w="707" w:type="dxa"/>
            <w:vMerge/>
            <w:vAlign w:val="center"/>
          </w:tcPr>
          <w:p w14:paraId="758EF610"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0882AC57"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422.1603</w:t>
            </w:r>
          </w:p>
        </w:tc>
        <w:tc>
          <w:tcPr>
            <w:tcW w:w="1953" w:type="dxa"/>
            <w:vMerge/>
            <w:vAlign w:val="center"/>
          </w:tcPr>
          <w:p w14:paraId="181A4812" w14:textId="77777777" w:rsidR="004D1935" w:rsidRPr="00F32676" w:rsidRDefault="004D1935" w:rsidP="00E24DC9">
            <w:pPr>
              <w:jc w:val="center"/>
              <w:rPr>
                <w:color w:val="000000" w:themeColor="text1"/>
              </w:rPr>
            </w:pPr>
          </w:p>
        </w:tc>
        <w:tc>
          <w:tcPr>
            <w:tcW w:w="1341" w:type="dxa"/>
            <w:vMerge/>
            <w:vAlign w:val="center"/>
          </w:tcPr>
          <w:p w14:paraId="434B9270" w14:textId="77777777" w:rsidR="004D1935" w:rsidRPr="00F32676" w:rsidRDefault="004D1935" w:rsidP="00E24DC9">
            <w:pPr>
              <w:jc w:val="center"/>
              <w:rPr>
                <w:color w:val="000000" w:themeColor="text1"/>
              </w:rPr>
            </w:pPr>
          </w:p>
        </w:tc>
        <w:tc>
          <w:tcPr>
            <w:tcW w:w="1384" w:type="dxa"/>
            <w:vMerge/>
            <w:vAlign w:val="center"/>
          </w:tcPr>
          <w:p w14:paraId="453D997F" w14:textId="77777777" w:rsidR="004D1935" w:rsidRPr="00F32676" w:rsidRDefault="004D1935" w:rsidP="00E24DC9">
            <w:pPr>
              <w:jc w:val="center"/>
              <w:rPr>
                <w:color w:val="000000" w:themeColor="text1"/>
              </w:rPr>
            </w:pPr>
          </w:p>
        </w:tc>
        <w:tc>
          <w:tcPr>
            <w:tcW w:w="8505" w:type="dxa"/>
            <w:vMerge/>
            <w:vAlign w:val="center"/>
          </w:tcPr>
          <w:p w14:paraId="67366990" w14:textId="77777777" w:rsidR="004D1935" w:rsidRPr="00F32676" w:rsidRDefault="004D1935" w:rsidP="00E24DC9">
            <w:pPr>
              <w:jc w:val="center"/>
              <w:rPr>
                <w:color w:val="000000" w:themeColor="text1"/>
              </w:rPr>
            </w:pPr>
          </w:p>
        </w:tc>
      </w:tr>
      <w:tr w:rsidR="004D1935" w14:paraId="53EA43E1" w14:textId="77777777" w:rsidTr="00E24DC9">
        <w:tc>
          <w:tcPr>
            <w:tcW w:w="707" w:type="dxa"/>
            <w:vMerge/>
            <w:vAlign w:val="center"/>
          </w:tcPr>
          <w:p w14:paraId="20B87EBD"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60E2CA30"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422.2233</w:t>
            </w:r>
          </w:p>
        </w:tc>
        <w:tc>
          <w:tcPr>
            <w:tcW w:w="1953" w:type="dxa"/>
            <w:vMerge/>
            <w:vAlign w:val="center"/>
          </w:tcPr>
          <w:p w14:paraId="77736FBF" w14:textId="77777777" w:rsidR="004D1935" w:rsidRPr="00F32676" w:rsidRDefault="004D1935" w:rsidP="00E24DC9">
            <w:pPr>
              <w:jc w:val="center"/>
              <w:rPr>
                <w:color w:val="000000" w:themeColor="text1"/>
              </w:rPr>
            </w:pPr>
          </w:p>
        </w:tc>
        <w:tc>
          <w:tcPr>
            <w:tcW w:w="1341" w:type="dxa"/>
            <w:vMerge/>
            <w:vAlign w:val="center"/>
          </w:tcPr>
          <w:p w14:paraId="2292EA33" w14:textId="77777777" w:rsidR="004D1935" w:rsidRPr="00F32676" w:rsidRDefault="004D1935" w:rsidP="00E24DC9">
            <w:pPr>
              <w:jc w:val="center"/>
              <w:rPr>
                <w:color w:val="000000" w:themeColor="text1"/>
              </w:rPr>
            </w:pPr>
          </w:p>
        </w:tc>
        <w:tc>
          <w:tcPr>
            <w:tcW w:w="1384" w:type="dxa"/>
            <w:vMerge/>
            <w:vAlign w:val="center"/>
          </w:tcPr>
          <w:p w14:paraId="792F6B15" w14:textId="77777777" w:rsidR="004D1935" w:rsidRPr="00F32676" w:rsidRDefault="004D1935" w:rsidP="00E24DC9">
            <w:pPr>
              <w:jc w:val="center"/>
              <w:rPr>
                <w:color w:val="000000" w:themeColor="text1"/>
              </w:rPr>
            </w:pPr>
          </w:p>
        </w:tc>
        <w:tc>
          <w:tcPr>
            <w:tcW w:w="8505" w:type="dxa"/>
            <w:vMerge/>
            <w:vAlign w:val="center"/>
          </w:tcPr>
          <w:p w14:paraId="2B2C0C8D" w14:textId="77777777" w:rsidR="004D1935" w:rsidRPr="00F32676" w:rsidRDefault="004D1935" w:rsidP="00E24DC9">
            <w:pPr>
              <w:jc w:val="center"/>
              <w:rPr>
                <w:color w:val="000000" w:themeColor="text1"/>
              </w:rPr>
            </w:pPr>
          </w:p>
        </w:tc>
      </w:tr>
      <w:tr w:rsidR="004D1935" w14:paraId="155A557B" w14:textId="77777777" w:rsidTr="00E24DC9">
        <w:tc>
          <w:tcPr>
            <w:tcW w:w="707" w:type="dxa"/>
            <w:vMerge/>
            <w:vAlign w:val="center"/>
          </w:tcPr>
          <w:p w14:paraId="5D3AF397"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399FD46D"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422.2683</w:t>
            </w:r>
          </w:p>
        </w:tc>
        <w:tc>
          <w:tcPr>
            <w:tcW w:w="1953" w:type="dxa"/>
            <w:vMerge/>
            <w:vAlign w:val="center"/>
          </w:tcPr>
          <w:p w14:paraId="43A53B01" w14:textId="77777777" w:rsidR="004D1935" w:rsidRPr="00F32676" w:rsidRDefault="004D1935" w:rsidP="00E24DC9">
            <w:pPr>
              <w:jc w:val="center"/>
              <w:rPr>
                <w:color w:val="000000" w:themeColor="text1"/>
              </w:rPr>
            </w:pPr>
          </w:p>
        </w:tc>
        <w:tc>
          <w:tcPr>
            <w:tcW w:w="1341" w:type="dxa"/>
            <w:vMerge/>
            <w:vAlign w:val="center"/>
          </w:tcPr>
          <w:p w14:paraId="34D5744C" w14:textId="77777777" w:rsidR="004D1935" w:rsidRPr="00F32676" w:rsidRDefault="004D1935" w:rsidP="00E24DC9">
            <w:pPr>
              <w:jc w:val="center"/>
              <w:rPr>
                <w:color w:val="000000" w:themeColor="text1"/>
              </w:rPr>
            </w:pPr>
          </w:p>
        </w:tc>
        <w:tc>
          <w:tcPr>
            <w:tcW w:w="1384" w:type="dxa"/>
            <w:vMerge/>
            <w:vAlign w:val="center"/>
          </w:tcPr>
          <w:p w14:paraId="7BDB66C4" w14:textId="77777777" w:rsidR="004D1935" w:rsidRPr="00F32676" w:rsidRDefault="004D1935" w:rsidP="00E24DC9">
            <w:pPr>
              <w:jc w:val="center"/>
              <w:rPr>
                <w:color w:val="000000" w:themeColor="text1"/>
              </w:rPr>
            </w:pPr>
          </w:p>
        </w:tc>
        <w:tc>
          <w:tcPr>
            <w:tcW w:w="8505" w:type="dxa"/>
            <w:vMerge/>
            <w:vAlign w:val="center"/>
          </w:tcPr>
          <w:p w14:paraId="2B026145" w14:textId="77777777" w:rsidR="004D1935" w:rsidRPr="00F32676" w:rsidRDefault="004D1935" w:rsidP="00E24DC9">
            <w:pPr>
              <w:jc w:val="center"/>
              <w:rPr>
                <w:color w:val="000000" w:themeColor="text1"/>
              </w:rPr>
            </w:pPr>
          </w:p>
        </w:tc>
      </w:tr>
      <w:tr w:rsidR="004D1935" w14:paraId="0EEDF4BB" w14:textId="77777777" w:rsidTr="00E24DC9">
        <w:tc>
          <w:tcPr>
            <w:tcW w:w="707" w:type="dxa"/>
            <w:vMerge/>
            <w:vAlign w:val="center"/>
          </w:tcPr>
          <w:p w14:paraId="458E191D"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776647AC"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422.1213</w:t>
            </w:r>
          </w:p>
        </w:tc>
        <w:tc>
          <w:tcPr>
            <w:tcW w:w="1953" w:type="dxa"/>
            <w:vMerge/>
            <w:vAlign w:val="center"/>
          </w:tcPr>
          <w:p w14:paraId="29D87F08" w14:textId="77777777" w:rsidR="004D1935" w:rsidRPr="00F32676" w:rsidRDefault="004D1935" w:rsidP="00E24DC9">
            <w:pPr>
              <w:jc w:val="center"/>
              <w:rPr>
                <w:color w:val="000000" w:themeColor="text1"/>
              </w:rPr>
            </w:pPr>
          </w:p>
        </w:tc>
        <w:tc>
          <w:tcPr>
            <w:tcW w:w="1341" w:type="dxa"/>
            <w:vMerge/>
            <w:vAlign w:val="center"/>
          </w:tcPr>
          <w:p w14:paraId="718E1EF5" w14:textId="77777777" w:rsidR="004D1935" w:rsidRPr="00F32676" w:rsidRDefault="004D1935" w:rsidP="00E24DC9">
            <w:pPr>
              <w:jc w:val="center"/>
              <w:rPr>
                <w:color w:val="000000" w:themeColor="text1"/>
              </w:rPr>
            </w:pPr>
          </w:p>
        </w:tc>
        <w:tc>
          <w:tcPr>
            <w:tcW w:w="1384" w:type="dxa"/>
            <w:vMerge/>
            <w:vAlign w:val="center"/>
          </w:tcPr>
          <w:p w14:paraId="7446A106" w14:textId="77777777" w:rsidR="004D1935" w:rsidRPr="00F32676" w:rsidRDefault="004D1935" w:rsidP="00E24DC9">
            <w:pPr>
              <w:jc w:val="center"/>
              <w:rPr>
                <w:color w:val="000000" w:themeColor="text1"/>
              </w:rPr>
            </w:pPr>
          </w:p>
        </w:tc>
        <w:tc>
          <w:tcPr>
            <w:tcW w:w="8505" w:type="dxa"/>
            <w:vMerge/>
            <w:vAlign w:val="center"/>
          </w:tcPr>
          <w:p w14:paraId="549C657B" w14:textId="77777777" w:rsidR="004D1935" w:rsidRPr="00F32676" w:rsidRDefault="004D1935" w:rsidP="00E24DC9">
            <w:pPr>
              <w:jc w:val="center"/>
              <w:rPr>
                <w:color w:val="000000" w:themeColor="text1"/>
              </w:rPr>
            </w:pPr>
          </w:p>
        </w:tc>
      </w:tr>
      <w:tr w:rsidR="004D1935" w14:paraId="78908422" w14:textId="77777777" w:rsidTr="00E24DC9">
        <w:tc>
          <w:tcPr>
            <w:tcW w:w="707" w:type="dxa"/>
            <w:vMerge/>
            <w:vAlign w:val="center"/>
          </w:tcPr>
          <w:p w14:paraId="59D263A1"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7744EC14"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422.2353</w:t>
            </w:r>
          </w:p>
        </w:tc>
        <w:tc>
          <w:tcPr>
            <w:tcW w:w="1953" w:type="dxa"/>
            <w:vMerge/>
            <w:vAlign w:val="center"/>
          </w:tcPr>
          <w:p w14:paraId="2A21BE3E" w14:textId="77777777" w:rsidR="004D1935" w:rsidRPr="00F32676" w:rsidRDefault="004D1935" w:rsidP="00E24DC9">
            <w:pPr>
              <w:jc w:val="center"/>
              <w:rPr>
                <w:color w:val="000000" w:themeColor="text1"/>
              </w:rPr>
            </w:pPr>
          </w:p>
        </w:tc>
        <w:tc>
          <w:tcPr>
            <w:tcW w:w="1341" w:type="dxa"/>
            <w:vMerge/>
            <w:vAlign w:val="center"/>
          </w:tcPr>
          <w:p w14:paraId="6B8C177A" w14:textId="77777777" w:rsidR="004D1935" w:rsidRPr="00F32676" w:rsidRDefault="004D1935" w:rsidP="00E24DC9">
            <w:pPr>
              <w:jc w:val="center"/>
              <w:rPr>
                <w:color w:val="000000" w:themeColor="text1"/>
              </w:rPr>
            </w:pPr>
          </w:p>
        </w:tc>
        <w:tc>
          <w:tcPr>
            <w:tcW w:w="1384" w:type="dxa"/>
            <w:vMerge/>
            <w:vAlign w:val="center"/>
          </w:tcPr>
          <w:p w14:paraId="786DA40B" w14:textId="77777777" w:rsidR="004D1935" w:rsidRPr="00F32676" w:rsidRDefault="004D1935" w:rsidP="00E24DC9">
            <w:pPr>
              <w:jc w:val="center"/>
              <w:rPr>
                <w:color w:val="000000" w:themeColor="text1"/>
              </w:rPr>
            </w:pPr>
          </w:p>
        </w:tc>
        <w:tc>
          <w:tcPr>
            <w:tcW w:w="8505" w:type="dxa"/>
            <w:vMerge/>
            <w:vAlign w:val="center"/>
          </w:tcPr>
          <w:p w14:paraId="213B3C99" w14:textId="77777777" w:rsidR="004D1935" w:rsidRPr="00F32676" w:rsidRDefault="004D1935" w:rsidP="00E24DC9">
            <w:pPr>
              <w:jc w:val="center"/>
              <w:rPr>
                <w:color w:val="000000" w:themeColor="text1"/>
              </w:rPr>
            </w:pPr>
          </w:p>
        </w:tc>
      </w:tr>
      <w:tr w:rsidR="004D1935" w14:paraId="2431F32C" w14:textId="77777777" w:rsidTr="00E24DC9">
        <w:tc>
          <w:tcPr>
            <w:tcW w:w="707" w:type="dxa"/>
            <w:vMerge/>
            <w:vAlign w:val="center"/>
          </w:tcPr>
          <w:p w14:paraId="5B2A024A"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75A6A71F"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422.2802</w:t>
            </w:r>
          </w:p>
        </w:tc>
        <w:tc>
          <w:tcPr>
            <w:tcW w:w="1953" w:type="dxa"/>
            <w:vMerge/>
            <w:vAlign w:val="center"/>
          </w:tcPr>
          <w:p w14:paraId="15665317" w14:textId="77777777" w:rsidR="004D1935" w:rsidRPr="00F32676" w:rsidRDefault="004D1935" w:rsidP="00E24DC9">
            <w:pPr>
              <w:jc w:val="center"/>
              <w:rPr>
                <w:color w:val="000000" w:themeColor="text1"/>
              </w:rPr>
            </w:pPr>
          </w:p>
        </w:tc>
        <w:tc>
          <w:tcPr>
            <w:tcW w:w="1341" w:type="dxa"/>
            <w:vMerge/>
            <w:vAlign w:val="center"/>
          </w:tcPr>
          <w:p w14:paraId="118E5287" w14:textId="77777777" w:rsidR="004D1935" w:rsidRPr="00F32676" w:rsidRDefault="004D1935" w:rsidP="00E24DC9">
            <w:pPr>
              <w:jc w:val="center"/>
              <w:rPr>
                <w:color w:val="000000" w:themeColor="text1"/>
              </w:rPr>
            </w:pPr>
          </w:p>
        </w:tc>
        <w:tc>
          <w:tcPr>
            <w:tcW w:w="1384" w:type="dxa"/>
            <w:vMerge/>
            <w:vAlign w:val="center"/>
          </w:tcPr>
          <w:p w14:paraId="1C00CF39" w14:textId="77777777" w:rsidR="004D1935" w:rsidRPr="00F32676" w:rsidRDefault="004D1935" w:rsidP="00E24DC9">
            <w:pPr>
              <w:jc w:val="center"/>
              <w:rPr>
                <w:color w:val="000000" w:themeColor="text1"/>
              </w:rPr>
            </w:pPr>
          </w:p>
        </w:tc>
        <w:tc>
          <w:tcPr>
            <w:tcW w:w="8505" w:type="dxa"/>
            <w:vMerge/>
            <w:vAlign w:val="center"/>
          </w:tcPr>
          <w:p w14:paraId="661A90CD" w14:textId="77777777" w:rsidR="004D1935" w:rsidRPr="00F32676" w:rsidRDefault="004D1935" w:rsidP="00E24DC9">
            <w:pPr>
              <w:jc w:val="center"/>
              <w:rPr>
                <w:color w:val="000000" w:themeColor="text1"/>
              </w:rPr>
            </w:pPr>
          </w:p>
        </w:tc>
      </w:tr>
      <w:tr w:rsidR="004D1935" w14:paraId="27A569AB" w14:textId="77777777" w:rsidTr="00E24DC9">
        <w:tc>
          <w:tcPr>
            <w:tcW w:w="707" w:type="dxa"/>
            <w:vMerge/>
            <w:vAlign w:val="center"/>
          </w:tcPr>
          <w:p w14:paraId="2B4AABA3"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6AA75F15"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422.1753</w:t>
            </w:r>
          </w:p>
        </w:tc>
        <w:tc>
          <w:tcPr>
            <w:tcW w:w="1953" w:type="dxa"/>
            <w:vMerge/>
            <w:vAlign w:val="center"/>
          </w:tcPr>
          <w:p w14:paraId="31F7A4C9" w14:textId="77777777" w:rsidR="004D1935" w:rsidRPr="00F32676" w:rsidRDefault="004D1935" w:rsidP="00E24DC9">
            <w:pPr>
              <w:jc w:val="center"/>
              <w:rPr>
                <w:color w:val="000000" w:themeColor="text1"/>
              </w:rPr>
            </w:pPr>
          </w:p>
        </w:tc>
        <w:tc>
          <w:tcPr>
            <w:tcW w:w="1341" w:type="dxa"/>
            <w:vMerge/>
            <w:vAlign w:val="center"/>
          </w:tcPr>
          <w:p w14:paraId="04798C0A" w14:textId="77777777" w:rsidR="004D1935" w:rsidRPr="00F32676" w:rsidRDefault="004D1935" w:rsidP="00E24DC9">
            <w:pPr>
              <w:jc w:val="center"/>
              <w:rPr>
                <w:color w:val="000000" w:themeColor="text1"/>
              </w:rPr>
            </w:pPr>
          </w:p>
        </w:tc>
        <w:tc>
          <w:tcPr>
            <w:tcW w:w="1384" w:type="dxa"/>
            <w:vMerge/>
            <w:vAlign w:val="center"/>
          </w:tcPr>
          <w:p w14:paraId="45FE0704" w14:textId="77777777" w:rsidR="004D1935" w:rsidRPr="00F32676" w:rsidRDefault="004D1935" w:rsidP="00E24DC9">
            <w:pPr>
              <w:jc w:val="center"/>
              <w:rPr>
                <w:color w:val="000000" w:themeColor="text1"/>
              </w:rPr>
            </w:pPr>
          </w:p>
        </w:tc>
        <w:tc>
          <w:tcPr>
            <w:tcW w:w="8505" w:type="dxa"/>
            <w:vMerge/>
            <w:vAlign w:val="center"/>
          </w:tcPr>
          <w:p w14:paraId="3D6004D0" w14:textId="77777777" w:rsidR="004D1935" w:rsidRPr="00F32676" w:rsidRDefault="004D1935" w:rsidP="00E24DC9">
            <w:pPr>
              <w:jc w:val="center"/>
              <w:rPr>
                <w:color w:val="000000" w:themeColor="text1"/>
              </w:rPr>
            </w:pPr>
          </w:p>
        </w:tc>
      </w:tr>
      <w:tr w:rsidR="004D1935" w14:paraId="4A9E1201" w14:textId="77777777" w:rsidTr="00E24DC9">
        <w:tc>
          <w:tcPr>
            <w:tcW w:w="707" w:type="dxa"/>
            <w:vMerge/>
            <w:vAlign w:val="center"/>
          </w:tcPr>
          <w:p w14:paraId="0FD39140"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42780CB5"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422.2473</w:t>
            </w:r>
          </w:p>
        </w:tc>
        <w:tc>
          <w:tcPr>
            <w:tcW w:w="1953" w:type="dxa"/>
            <w:vMerge/>
            <w:vAlign w:val="center"/>
          </w:tcPr>
          <w:p w14:paraId="128C4809" w14:textId="77777777" w:rsidR="004D1935" w:rsidRPr="00F32676" w:rsidRDefault="004D1935" w:rsidP="00E24DC9">
            <w:pPr>
              <w:jc w:val="center"/>
              <w:rPr>
                <w:color w:val="000000" w:themeColor="text1"/>
              </w:rPr>
            </w:pPr>
          </w:p>
        </w:tc>
        <w:tc>
          <w:tcPr>
            <w:tcW w:w="1341" w:type="dxa"/>
            <w:vMerge/>
            <w:vAlign w:val="center"/>
          </w:tcPr>
          <w:p w14:paraId="2AB4314D" w14:textId="77777777" w:rsidR="004D1935" w:rsidRPr="00F32676" w:rsidRDefault="004D1935" w:rsidP="00E24DC9">
            <w:pPr>
              <w:jc w:val="center"/>
              <w:rPr>
                <w:color w:val="000000" w:themeColor="text1"/>
              </w:rPr>
            </w:pPr>
          </w:p>
        </w:tc>
        <w:tc>
          <w:tcPr>
            <w:tcW w:w="1384" w:type="dxa"/>
            <w:vMerge/>
            <w:vAlign w:val="center"/>
          </w:tcPr>
          <w:p w14:paraId="5DD41B02" w14:textId="77777777" w:rsidR="004D1935" w:rsidRPr="00F32676" w:rsidRDefault="004D1935" w:rsidP="00E24DC9">
            <w:pPr>
              <w:jc w:val="center"/>
              <w:rPr>
                <w:color w:val="000000" w:themeColor="text1"/>
              </w:rPr>
            </w:pPr>
          </w:p>
        </w:tc>
        <w:tc>
          <w:tcPr>
            <w:tcW w:w="8505" w:type="dxa"/>
            <w:vMerge/>
            <w:vAlign w:val="center"/>
          </w:tcPr>
          <w:p w14:paraId="2D1CF2DF" w14:textId="77777777" w:rsidR="004D1935" w:rsidRPr="00F32676" w:rsidRDefault="004D1935" w:rsidP="00E24DC9">
            <w:pPr>
              <w:jc w:val="center"/>
              <w:rPr>
                <w:color w:val="000000" w:themeColor="text1"/>
              </w:rPr>
            </w:pPr>
          </w:p>
        </w:tc>
      </w:tr>
      <w:tr w:rsidR="004D1935" w14:paraId="3DCF1BD7" w14:textId="77777777" w:rsidTr="00E24DC9">
        <w:tc>
          <w:tcPr>
            <w:tcW w:w="707" w:type="dxa"/>
            <w:vMerge/>
            <w:vAlign w:val="center"/>
          </w:tcPr>
          <w:p w14:paraId="2D2584A9"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135F0823"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422.1183</w:t>
            </w:r>
          </w:p>
        </w:tc>
        <w:tc>
          <w:tcPr>
            <w:tcW w:w="1953" w:type="dxa"/>
            <w:vMerge/>
            <w:vAlign w:val="center"/>
          </w:tcPr>
          <w:p w14:paraId="3FC7D7CB" w14:textId="77777777" w:rsidR="004D1935" w:rsidRPr="00F32676" w:rsidRDefault="004D1935" w:rsidP="00E24DC9">
            <w:pPr>
              <w:jc w:val="center"/>
              <w:rPr>
                <w:color w:val="000000" w:themeColor="text1"/>
              </w:rPr>
            </w:pPr>
          </w:p>
        </w:tc>
        <w:tc>
          <w:tcPr>
            <w:tcW w:w="1341" w:type="dxa"/>
            <w:vMerge/>
            <w:vAlign w:val="center"/>
          </w:tcPr>
          <w:p w14:paraId="70AE5F9C" w14:textId="77777777" w:rsidR="004D1935" w:rsidRPr="00F32676" w:rsidRDefault="004D1935" w:rsidP="00E24DC9">
            <w:pPr>
              <w:jc w:val="center"/>
              <w:rPr>
                <w:color w:val="000000" w:themeColor="text1"/>
              </w:rPr>
            </w:pPr>
          </w:p>
        </w:tc>
        <w:tc>
          <w:tcPr>
            <w:tcW w:w="1384" w:type="dxa"/>
            <w:vMerge/>
            <w:vAlign w:val="center"/>
          </w:tcPr>
          <w:p w14:paraId="6C96CDD8" w14:textId="77777777" w:rsidR="004D1935" w:rsidRPr="00F32676" w:rsidRDefault="004D1935" w:rsidP="00E24DC9">
            <w:pPr>
              <w:jc w:val="center"/>
              <w:rPr>
                <w:color w:val="000000" w:themeColor="text1"/>
              </w:rPr>
            </w:pPr>
          </w:p>
        </w:tc>
        <w:tc>
          <w:tcPr>
            <w:tcW w:w="8505" w:type="dxa"/>
            <w:vMerge/>
            <w:vAlign w:val="center"/>
          </w:tcPr>
          <w:p w14:paraId="7063C024" w14:textId="77777777" w:rsidR="004D1935" w:rsidRPr="00F32676" w:rsidRDefault="004D1935" w:rsidP="00E24DC9">
            <w:pPr>
              <w:jc w:val="center"/>
              <w:rPr>
                <w:color w:val="000000" w:themeColor="text1"/>
              </w:rPr>
            </w:pPr>
          </w:p>
        </w:tc>
      </w:tr>
      <w:tr w:rsidR="004D1935" w14:paraId="0DCD1829" w14:textId="77777777" w:rsidTr="00E24DC9">
        <w:tc>
          <w:tcPr>
            <w:tcW w:w="707" w:type="dxa"/>
            <w:vMerge/>
            <w:vAlign w:val="center"/>
          </w:tcPr>
          <w:p w14:paraId="4D6BDD33"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3E11BC0D"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422.1633</w:t>
            </w:r>
          </w:p>
        </w:tc>
        <w:tc>
          <w:tcPr>
            <w:tcW w:w="1953" w:type="dxa"/>
            <w:vMerge/>
            <w:vAlign w:val="center"/>
          </w:tcPr>
          <w:p w14:paraId="49682659" w14:textId="77777777" w:rsidR="004D1935" w:rsidRPr="00F32676" w:rsidRDefault="004D1935" w:rsidP="00E24DC9">
            <w:pPr>
              <w:jc w:val="center"/>
              <w:rPr>
                <w:color w:val="000000" w:themeColor="text1"/>
              </w:rPr>
            </w:pPr>
          </w:p>
        </w:tc>
        <w:tc>
          <w:tcPr>
            <w:tcW w:w="1341" w:type="dxa"/>
            <w:vMerge/>
            <w:vAlign w:val="center"/>
          </w:tcPr>
          <w:p w14:paraId="3B940630" w14:textId="77777777" w:rsidR="004D1935" w:rsidRPr="00F32676" w:rsidRDefault="004D1935" w:rsidP="00E24DC9">
            <w:pPr>
              <w:jc w:val="center"/>
              <w:rPr>
                <w:color w:val="000000" w:themeColor="text1"/>
              </w:rPr>
            </w:pPr>
          </w:p>
        </w:tc>
        <w:tc>
          <w:tcPr>
            <w:tcW w:w="1384" w:type="dxa"/>
            <w:vMerge/>
            <w:vAlign w:val="center"/>
          </w:tcPr>
          <w:p w14:paraId="38BE41D2" w14:textId="77777777" w:rsidR="004D1935" w:rsidRPr="00F32676" w:rsidRDefault="004D1935" w:rsidP="00E24DC9">
            <w:pPr>
              <w:jc w:val="center"/>
              <w:rPr>
                <w:color w:val="000000" w:themeColor="text1"/>
              </w:rPr>
            </w:pPr>
          </w:p>
        </w:tc>
        <w:tc>
          <w:tcPr>
            <w:tcW w:w="8505" w:type="dxa"/>
            <w:vMerge/>
            <w:vAlign w:val="center"/>
          </w:tcPr>
          <w:p w14:paraId="75EFDBB8" w14:textId="77777777" w:rsidR="004D1935" w:rsidRPr="00F32676" w:rsidRDefault="004D1935" w:rsidP="00E24DC9">
            <w:pPr>
              <w:jc w:val="center"/>
              <w:rPr>
                <w:color w:val="000000" w:themeColor="text1"/>
              </w:rPr>
            </w:pPr>
          </w:p>
        </w:tc>
      </w:tr>
      <w:tr w:rsidR="004D1935" w14:paraId="02482292" w14:textId="77777777" w:rsidTr="00E24DC9">
        <w:tc>
          <w:tcPr>
            <w:tcW w:w="707" w:type="dxa"/>
            <w:vMerge/>
            <w:vAlign w:val="center"/>
          </w:tcPr>
          <w:p w14:paraId="1024892E"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64AF6A99"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422.2772</w:t>
            </w:r>
          </w:p>
        </w:tc>
        <w:tc>
          <w:tcPr>
            <w:tcW w:w="1953" w:type="dxa"/>
            <w:vMerge/>
            <w:vAlign w:val="center"/>
          </w:tcPr>
          <w:p w14:paraId="389954F6" w14:textId="77777777" w:rsidR="004D1935" w:rsidRPr="00F32676" w:rsidRDefault="004D1935" w:rsidP="00E24DC9">
            <w:pPr>
              <w:jc w:val="center"/>
              <w:rPr>
                <w:color w:val="000000" w:themeColor="text1"/>
              </w:rPr>
            </w:pPr>
          </w:p>
        </w:tc>
        <w:tc>
          <w:tcPr>
            <w:tcW w:w="1341" w:type="dxa"/>
            <w:vMerge/>
            <w:vAlign w:val="center"/>
          </w:tcPr>
          <w:p w14:paraId="6D5D31FD" w14:textId="77777777" w:rsidR="004D1935" w:rsidRPr="00F32676" w:rsidRDefault="004D1935" w:rsidP="00E24DC9">
            <w:pPr>
              <w:jc w:val="center"/>
              <w:rPr>
                <w:color w:val="000000" w:themeColor="text1"/>
              </w:rPr>
            </w:pPr>
          </w:p>
        </w:tc>
        <w:tc>
          <w:tcPr>
            <w:tcW w:w="1384" w:type="dxa"/>
            <w:vMerge/>
            <w:vAlign w:val="center"/>
          </w:tcPr>
          <w:p w14:paraId="2B53A1D6" w14:textId="77777777" w:rsidR="004D1935" w:rsidRPr="00F32676" w:rsidRDefault="004D1935" w:rsidP="00E24DC9">
            <w:pPr>
              <w:jc w:val="center"/>
              <w:rPr>
                <w:color w:val="000000" w:themeColor="text1"/>
              </w:rPr>
            </w:pPr>
          </w:p>
        </w:tc>
        <w:tc>
          <w:tcPr>
            <w:tcW w:w="8505" w:type="dxa"/>
            <w:vMerge/>
            <w:vAlign w:val="center"/>
          </w:tcPr>
          <w:p w14:paraId="42744A03" w14:textId="77777777" w:rsidR="004D1935" w:rsidRPr="00F32676" w:rsidRDefault="004D1935" w:rsidP="00E24DC9">
            <w:pPr>
              <w:jc w:val="center"/>
              <w:rPr>
                <w:color w:val="000000" w:themeColor="text1"/>
              </w:rPr>
            </w:pPr>
          </w:p>
        </w:tc>
      </w:tr>
      <w:tr w:rsidR="004D1935" w14:paraId="3BC167F4" w14:textId="77777777" w:rsidTr="00E24DC9">
        <w:tc>
          <w:tcPr>
            <w:tcW w:w="707" w:type="dxa"/>
            <w:vMerge/>
            <w:vAlign w:val="center"/>
          </w:tcPr>
          <w:p w14:paraId="2462E779"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0156DBCA"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422.1153</w:t>
            </w:r>
          </w:p>
        </w:tc>
        <w:tc>
          <w:tcPr>
            <w:tcW w:w="1953" w:type="dxa"/>
            <w:vMerge/>
            <w:vAlign w:val="center"/>
          </w:tcPr>
          <w:p w14:paraId="7C3A7BCB" w14:textId="77777777" w:rsidR="004D1935" w:rsidRPr="00F32676" w:rsidRDefault="004D1935" w:rsidP="00E24DC9">
            <w:pPr>
              <w:jc w:val="center"/>
              <w:rPr>
                <w:color w:val="000000" w:themeColor="text1"/>
              </w:rPr>
            </w:pPr>
          </w:p>
        </w:tc>
        <w:tc>
          <w:tcPr>
            <w:tcW w:w="1341" w:type="dxa"/>
            <w:vMerge/>
            <w:vAlign w:val="center"/>
          </w:tcPr>
          <w:p w14:paraId="6AAC096A" w14:textId="77777777" w:rsidR="004D1935" w:rsidRPr="00F32676" w:rsidRDefault="004D1935" w:rsidP="00E24DC9">
            <w:pPr>
              <w:jc w:val="center"/>
              <w:rPr>
                <w:color w:val="000000" w:themeColor="text1"/>
              </w:rPr>
            </w:pPr>
          </w:p>
        </w:tc>
        <w:tc>
          <w:tcPr>
            <w:tcW w:w="1384" w:type="dxa"/>
            <w:vMerge/>
            <w:vAlign w:val="center"/>
          </w:tcPr>
          <w:p w14:paraId="64F217D3" w14:textId="77777777" w:rsidR="004D1935" w:rsidRPr="00F32676" w:rsidRDefault="004D1935" w:rsidP="00E24DC9">
            <w:pPr>
              <w:jc w:val="center"/>
              <w:rPr>
                <w:color w:val="000000" w:themeColor="text1"/>
              </w:rPr>
            </w:pPr>
          </w:p>
        </w:tc>
        <w:tc>
          <w:tcPr>
            <w:tcW w:w="8505" w:type="dxa"/>
            <w:vMerge/>
            <w:vAlign w:val="center"/>
          </w:tcPr>
          <w:p w14:paraId="3688DE35" w14:textId="77777777" w:rsidR="004D1935" w:rsidRPr="00F32676" w:rsidRDefault="004D1935" w:rsidP="00E24DC9">
            <w:pPr>
              <w:jc w:val="center"/>
              <w:rPr>
                <w:color w:val="000000" w:themeColor="text1"/>
              </w:rPr>
            </w:pPr>
          </w:p>
        </w:tc>
      </w:tr>
      <w:tr w:rsidR="004D1935" w14:paraId="113C73C2" w14:textId="77777777" w:rsidTr="00E24DC9">
        <w:tc>
          <w:tcPr>
            <w:tcW w:w="707" w:type="dxa"/>
            <w:vMerge/>
            <w:vAlign w:val="center"/>
          </w:tcPr>
          <w:p w14:paraId="05BDC72C"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5C8E9A0E"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422.2413</w:t>
            </w:r>
          </w:p>
        </w:tc>
        <w:tc>
          <w:tcPr>
            <w:tcW w:w="1953" w:type="dxa"/>
            <w:vMerge/>
            <w:vAlign w:val="center"/>
          </w:tcPr>
          <w:p w14:paraId="65B8F854" w14:textId="77777777" w:rsidR="004D1935" w:rsidRPr="00F32676" w:rsidRDefault="004D1935" w:rsidP="00E24DC9">
            <w:pPr>
              <w:jc w:val="center"/>
              <w:rPr>
                <w:color w:val="000000" w:themeColor="text1"/>
              </w:rPr>
            </w:pPr>
          </w:p>
        </w:tc>
        <w:tc>
          <w:tcPr>
            <w:tcW w:w="1341" w:type="dxa"/>
            <w:vMerge/>
            <w:vAlign w:val="center"/>
          </w:tcPr>
          <w:p w14:paraId="041BA847" w14:textId="77777777" w:rsidR="004D1935" w:rsidRPr="00F32676" w:rsidRDefault="004D1935" w:rsidP="00E24DC9">
            <w:pPr>
              <w:jc w:val="center"/>
              <w:rPr>
                <w:color w:val="000000" w:themeColor="text1"/>
              </w:rPr>
            </w:pPr>
          </w:p>
        </w:tc>
        <w:tc>
          <w:tcPr>
            <w:tcW w:w="1384" w:type="dxa"/>
            <w:vMerge/>
            <w:vAlign w:val="center"/>
          </w:tcPr>
          <w:p w14:paraId="341365A3" w14:textId="77777777" w:rsidR="004D1935" w:rsidRPr="00F32676" w:rsidRDefault="004D1935" w:rsidP="00E24DC9">
            <w:pPr>
              <w:jc w:val="center"/>
              <w:rPr>
                <w:color w:val="000000" w:themeColor="text1"/>
              </w:rPr>
            </w:pPr>
          </w:p>
        </w:tc>
        <w:tc>
          <w:tcPr>
            <w:tcW w:w="8505" w:type="dxa"/>
            <w:vMerge/>
            <w:vAlign w:val="center"/>
          </w:tcPr>
          <w:p w14:paraId="672F00BE" w14:textId="77777777" w:rsidR="004D1935" w:rsidRPr="00F32676" w:rsidRDefault="004D1935" w:rsidP="00E24DC9">
            <w:pPr>
              <w:jc w:val="center"/>
              <w:rPr>
                <w:color w:val="000000" w:themeColor="text1"/>
              </w:rPr>
            </w:pPr>
          </w:p>
        </w:tc>
      </w:tr>
      <w:tr w:rsidR="004D1935" w14:paraId="6CD6B5C6" w14:textId="77777777" w:rsidTr="00E24DC9">
        <w:tc>
          <w:tcPr>
            <w:tcW w:w="707" w:type="dxa"/>
            <w:vMerge/>
            <w:vAlign w:val="center"/>
          </w:tcPr>
          <w:p w14:paraId="5731A12F" w14:textId="77777777" w:rsidR="004D1935" w:rsidRPr="00F32676" w:rsidRDefault="004D1935" w:rsidP="00E24DC9">
            <w:pPr>
              <w:jc w:val="center"/>
              <w:rPr>
                <w:color w:val="000000" w:themeColor="text1"/>
              </w:rPr>
            </w:pPr>
          </w:p>
        </w:tc>
        <w:tc>
          <w:tcPr>
            <w:tcW w:w="995" w:type="dxa"/>
            <w:tcBorders>
              <w:top w:val="nil"/>
              <w:bottom w:val="nil"/>
            </w:tcBorders>
            <w:vAlign w:val="center"/>
          </w:tcPr>
          <w:p w14:paraId="26015B65"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422.2862</w:t>
            </w:r>
          </w:p>
        </w:tc>
        <w:tc>
          <w:tcPr>
            <w:tcW w:w="1953" w:type="dxa"/>
            <w:vMerge/>
            <w:vAlign w:val="center"/>
          </w:tcPr>
          <w:p w14:paraId="1D1C0AEF" w14:textId="77777777" w:rsidR="004D1935" w:rsidRPr="00F32676" w:rsidRDefault="004D1935" w:rsidP="00E24DC9">
            <w:pPr>
              <w:jc w:val="center"/>
              <w:rPr>
                <w:color w:val="000000" w:themeColor="text1"/>
              </w:rPr>
            </w:pPr>
          </w:p>
        </w:tc>
        <w:tc>
          <w:tcPr>
            <w:tcW w:w="1341" w:type="dxa"/>
            <w:vMerge/>
            <w:vAlign w:val="center"/>
          </w:tcPr>
          <w:p w14:paraId="57DC331D" w14:textId="77777777" w:rsidR="004D1935" w:rsidRPr="00F32676" w:rsidRDefault="004D1935" w:rsidP="00E24DC9">
            <w:pPr>
              <w:jc w:val="center"/>
              <w:rPr>
                <w:color w:val="000000" w:themeColor="text1"/>
              </w:rPr>
            </w:pPr>
          </w:p>
        </w:tc>
        <w:tc>
          <w:tcPr>
            <w:tcW w:w="1384" w:type="dxa"/>
            <w:vMerge/>
            <w:vAlign w:val="center"/>
          </w:tcPr>
          <w:p w14:paraId="35A1B388" w14:textId="77777777" w:rsidR="004D1935" w:rsidRPr="00F32676" w:rsidRDefault="004D1935" w:rsidP="00E24DC9">
            <w:pPr>
              <w:jc w:val="center"/>
              <w:rPr>
                <w:color w:val="000000" w:themeColor="text1"/>
              </w:rPr>
            </w:pPr>
          </w:p>
        </w:tc>
        <w:tc>
          <w:tcPr>
            <w:tcW w:w="8505" w:type="dxa"/>
            <w:vMerge/>
            <w:vAlign w:val="center"/>
          </w:tcPr>
          <w:p w14:paraId="177133A3" w14:textId="77777777" w:rsidR="004D1935" w:rsidRPr="00F32676" w:rsidRDefault="004D1935" w:rsidP="00E24DC9">
            <w:pPr>
              <w:jc w:val="center"/>
              <w:rPr>
                <w:color w:val="000000" w:themeColor="text1"/>
              </w:rPr>
            </w:pPr>
          </w:p>
        </w:tc>
      </w:tr>
      <w:tr w:rsidR="004D1935" w14:paraId="7174F5CE" w14:textId="77777777" w:rsidTr="00E24DC9">
        <w:tc>
          <w:tcPr>
            <w:tcW w:w="707" w:type="dxa"/>
            <w:vMerge/>
            <w:vAlign w:val="center"/>
          </w:tcPr>
          <w:p w14:paraId="04086AAA" w14:textId="77777777" w:rsidR="004D1935" w:rsidRPr="00F32676" w:rsidRDefault="004D1935" w:rsidP="00E24DC9">
            <w:pPr>
              <w:jc w:val="center"/>
              <w:rPr>
                <w:color w:val="000000" w:themeColor="text1"/>
              </w:rPr>
            </w:pPr>
          </w:p>
        </w:tc>
        <w:tc>
          <w:tcPr>
            <w:tcW w:w="995" w:type="dxa"/>
            <w:tcBorders>
              <w:top w:val="nil"/>
              <w:bottom w:val="single" w:sz="4" w:space="0" w:color="auto"/>
            </w:tcBorders>
            <w:vAlign w:val="center"/>
          </w:tcPr>
          <w:p w14:paraId="51F0A771" w14:textId="77777777" w:rsidR="004D1935" w:rsidRDefault="004D1935" w:rsidP="00E24DC9">
            <w:pPr>
              <w:jc w:val="center"/>
              <w:rPr>
                <w:rFonts w:ascii="Calibri" w:hAnsi="Calibri" w:cs="Calibri"/>
                <w:color w:val="000000" w:themeColor="text1"/>
                <w:sz w:val="15"/>
                <w:szCs w:val="15"/>
              </w:rPr>
            </w:pPr>
            <w:r w:rsidRPr="00F32676">
              <w:rPr>
                <w:rFonts w:ascii="Calibri" w:hAnsi="Calibri" w:cs="Calibri"/>
                <w:color w:val="000000" w:themeColor="text1"/>
                <w:sz w:val="15"/>
                <w:szCs w:val="15"/>
              </w:rPr>
              <w:t>422.1168</w:t>
            </w:r>
          </w:p>
          <w:p w14:paraId="18546FEC" w14:textId="77777777" w:rsidR="004D1935" w:rsidRDefault="004D1935" w:rsidP="00E24DC9">
            <w:pPr>
              <w:jc w:val="center"/>
              <w:rPr>
                <w:color w:val="000000" w:themeColor="text1"/>
              </w:rPr>
            </w:pPr>
          </w:p>
          <w:p w14:paraId="7A566A5A" w14:textId="77777777" w:rsidR="004D1935" w:rsidRDefault="004D1935" w:rsidP="00E24DC9">
            <w:pPr>
              <w:jc w:val="center"/>
              <w:rPr>
                <w:color w:val="000000" w:themeColor="text1"/>
              </w:rPr>
            </w:pPr>
          </w:p>
          <w:p w14:paraId="603AF2AF" w14:textId="77777777" w:rsidR="004D1935" w:rsidRDefault="004D1935" w:rsidP="00E24DC9">
            <w:pPr>
              <w:jc w:val="center"/>
              <w:rPr>
                <w:color w:val="000000" w:themeColor="text1"/>
              </w:rPr>
            </w:pPr>
          </w:p>
          <w:p w14:paraId="507D044E" w14:textId="77777777" w:rsidR="004D1935" w:rsidRDefault="004D1935" w:rsidP="00E24DC9">
            <w:pPr>
              <w:jc w:val="center"/>
              <w:rPr>
                <w:color w:val="000000" w:themeColor="text1"/>
              </w:rPr>
            </w:pPr>
          </w:p>
          <w:p w14:paraId="2A2C983E" w14:textId="77777777" w:rsidR="004D1935" w:rsidRDefault="004D1935" w:rsidP="00E24DC9">
            <w:pPr>
              <w:rPr>
                <w:color w:val="000000" w:themeColor="text1"/>
              </w:rPr>
            </w:pPr>
          </w:p>
          <w:p w14:paraId="671B1148" w14:textId="1D32351F" w:rsidR="00284587" w:rsidRPr="00F32676" w:rsidRDefault="00284587" w:rsidP="00E24DC9">
            <w:pPr>
              <w:rPr>
                <w:color w:val="000000" w:themeColor="text1"/>
              </w:rPr>
            </w:pPr>
          </w:p>
        </w:tc>
        <w:tc>
          <w:tcPr>
            <w:tcW w:w="1953" w:type="dxa"/>
            <w:vMerge/>
            <w:vAlign w:val="center"/>
          </w:tcPr>
          <w:p w14:paraId="1472D50B" w14:textId="77777777" w:rsidR="004D1935" w:rsidRPr="00F32676" w:rsidRDefault="004D1935" w:rsidP="00E24DC9">
            <w:pPr>
              <w:jc w:val="center"/>
              <w:rPr>
                <w:color w:val="000000" w:themeColor="text1"/>
              </w:rPr>
            </w:pPr>
          </w:p>
        </w:tc>
        <w:tc>
          <w:tcPr>
            <w:tcW w:w="1341" w:type="dxa"/>
            <w:vMerge/>
            <w:vAlign w:val="center"/>
          </w:tcPr>
          <w:p w14:paraId="1463D154" w14:textId="77777777" w:rsidR="004D1935" w:rsidRPr="00F32676" w:rsidRDefault="004D1935" w:rsidP="00E24DC9">
            <w:pPr>
              <w:jc w:val="center"/>
              <w:rPr>
                <w:color w:val="000000" w:themeColor="text1"/>
              </w:rPr>
            </w:pPr>
          </w:p>
        </w:tc>
        <w:tc>
          <w:tcPr>
            <w:tcW w:w="1384" w:type="dxa"/>
            <w:vMerge/>
            <w:vAlign w:val="center"/>
          </w:tcPr>
          <w:p w14:paraId="54623E2F" w14:textId="77777777" w:rsidR="004D1935" w:rsidRPr="00F32676" w:rsidRDefault="004D1935" w:rsidP="00E24DC9">
            <w:pPr>
              <w:jc w:val="center"/>
              <w:rPr>
                <w:color w:val="000000" w:themeColor="text1"/>
              </w:rPr>
            </w:pPr>
          </w:p>
        </w:tc>
        <w:tc>
          <w:tcPr>
            <w:tcW w:w="8505" w:type="dxa"/>
            <w:vMerge/>
            <w:vAlign w:val="center"/>
          </w:tcPr>
          <w:p w14:paraId="57F87387" w14:textId="77777777" w:rsidR="004D1935" w:rsidRPr="00F32676" w:rsidRDefault="004D1935" w:rsidP="00E24DC9">
            <w:pPr>
              <w:jc w:val="center"/>
              <w:rPr>
                <w:color w:val="000000" w:themeColor="text1"/>
              </w:rPr>
            </w:pPr>
          </w:p>
        </w:tc>
      </w:tr>
      <w:tr w:rsidR="004D1935" w14:paraId="07B495DD" w14:textId="77777777" w:rsidTr="00E24DC9">
        <w:tc>
          <w:tcPr>
            <w:tcW w:w="707" w:type="dxa"/>
            <w:vMerge w:val="restart"/>
            <w:vAlign w:val="center"/>
          </w:tcPr>
          <w:p w14:paraId="2F06D207" w14:textId="77777777" w:rsidR="004D1935" w:rsidRPr="00F32676" w:rsidRDefault="004D1935" w:rsidP="00E24DC9">
            <w:pPr>
              <w:jc w:val="center"/>
              <w:rPr>
                <w:color w:val="000000" w:themeColor="text1"/>
              </w:rPr>
            </w:pPr>
            <w:r w:rsidRPr="00F32676">
              <w:rPr>
                <w:color w:val="000000" w:themeColor="text1"/>
              </w:rPr>
              <w:lastRenderedPageBreak/>
              <w:t>NA</w:t>
            </w:r>
          </w:p>
        </w:tc>
        <w:tc>
          <w:tcPr>
            <w:tcW w:w="995" w:type="dxa"/>
            <w:tcBorders>
              <w:bottom w:val="nil"/>
            </w:tcBorders>
            <w:vAlign w:val="center"/>
          </w:tcPr>
          <w:p w14:paraId="33B4297D"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400.1318</w:t>
            </w:r>
          </w:p>
        </w:tc>
        <w:tc>
          <w:tcPr>
            <w:tcW w:w="1953" w:type="dxa"/>
            <w:vMerge w:val="restart"/>
            <w:vAlign w:val="center"/>
          </w:tcPr>
          <w:p w14:paraId="21A87D2C"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3-hydroxyflavone glucoside</w:t>
            </w:r>
          </w:p>
          <w:p w14:paraId="57D6D5E1"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a flavonol 3-O-galactoside</w:t>
            </w:r>
          </w:p>
          <w:p w14:paraId="67D7EADC"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S-adenosyl-L-methionine</w:t>
            </w:r>
          </w:p>
          <w:p w14:paraId="6159D6C2"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(-)-yatein</w:t>
            </w:r>
          </w:p>
        </w:tc>
        <w:tc>
          <w:tcPr>
            <w:tcW w:w="1341" w:type="dxa"/>
            <w:vMerge w:val="restart"/>
            <w:vAlign w:val="center"/>
          </w:tcPr>
          <w:p w14:paraId="4E90AC57"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flavinoid</w:t>
            </w:r>
          </w:p>
          <w:p w14:paraId="1F30539C"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flavinoid</w:t>
            </w:r>
          </w:p>
          <w:p w14:paraId="1C043E86"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amino acid</w:t>
            </w:r>
          </w:p>
          <w:p w14:paraId="69DF4CA8"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phenylopropanoid</w:t>
            </w:r>
          </w:p>
        </w:tc>
        <w:tc>
          <w:tcPr>
            <w:tcW w:w="1384" w:type="dxa"/>
            <w:vMerge w:val="restart"/>
            <w:vAlign w:val="center"/>
          </w:tcPr>
          <w:p w14:paraId="368CA8CA" w14:textId="77777777" w:rsidR="004D1935" w:rsidRDefault="004D1935" w:rsidP="00E24DC9">
            <w:pPr>
              <w:jc w:val="center"/>
              <w:rPr>
                <w:rFonts w:ascii="Arial" w:hAnsi="Arial" w:cs="Arial"/>
                <w:color w:val="000000" w:themeColor="text1"/>
                <w:sz w:val="15"/>
                <w:szCs w:val="15"/>
                <w:shd w:val="clear" w:color="auto" w:fill="FFFFFF"/>
              </w:rPr>
            </w:pPr>
          </w:p>
          <w:p w14:paraId="4D342C77" w14:textId="77777777" w:rsidR="004D1935" w:rsidRDefault="004D1935" w:rsidP="00E24DC9">
            <w:pPr>
              <w:jc w:val="center"/>
              <w:rPr>
                <w:rFonts w:ascii="Arial" w:hAnsi="Arial" w:cs="Arial"/>
                <w:color w:val="000000" w:themeColor="text1"/>
                <w:sz w:val="15"/>
                <w:szCs w:val="15"/>
                <w:shd w:val="clear" w:color="auto" w:fill="FFFFFF"/>
              </w:rPr>
            </w:pPr>
          </w:p>
          <w:p w14:paraId="659ABE53" w14:textId="77777777" w:rsidR="004D1935" w:rsidRPr="002902BD" w:rsidRDefault="004D1935" w:rsidP="00E24DC9">
            <w:pPr>
              <w:jc w:val="center"/>
              <w:rPr>
                <w:color w:val="000000" w:themeColor="text1"/>
                <w:sz w:val="15"/>
                <w:szCs w:val="15"/>
              </w:rPr>
            </w:pPr>
            <w:r w:rsidRPr="00F32676">
              <w:rPr>
                <w:rFonts w:ascii="Arial" w:hAnsi="Arial" w:cs="Arial"/>
                <w:color w:val="000000" w:themeColor="text1"/>
                <w:sz w:val="15"/>
                <w:szCs w:val="15"/>
                <w:shd w:val="clear" w:color="auto" w:fill="FFFFFF"/>
              </w:rPr>
              <w:t>C</w:t>
            </w:r>
            <w:r w:rsidRPr="00F32676">
              <w:rPr>
                <w:rFonts w:ascii="Arial" w:hAnsi="Arial" w:cs="Arial"/>
                <w:color w:val="000000" w:themeColor="text1"/>
                <w:sz w:val="15"/>
                <w:szCs w:val="15"/>
                <w:shd w:val="clear" w:color="auto" w:fill="FFFFFF"/>
                <w:vertAlign w:val="subscript"/>
              </w:rPr>
              <w:t>21</w:t>
            </w:r>
            <w:r w:rsidRPr="00F32676">
              <w:rPr>
                <w:rFonts w:ascii="Arial" w:hAnsi="Arial" w:cs="Arial"/>
                <w:color w:val="000000" w:themeColor="text1"/>
                <w:sz w:val="15"/>
                <w:szCs w:val="15"/>
                <w:shd w:val="clear" w:color="auto" w:fill="FFFFFF"/>
              </w:rPr>
              <w:t>H</w:t>
            </w:r>
            <w:r w:rsidRPr="00F32676">
              <w:rPr>
                <w:rFonts w:ascii="Arial" w:hAnsi="Arial" w:cs="Arial"/>
                <w:color w:val="000000" w:themeColor="text1"/>
                <w:sz w:val="15"/>
                <w:szCs w:val="15"/>
                <w:shd w:val="clear" w:color="auto" w:fill="FFFFFF"/>
                <w:vertAlign w:val="subscript"/>
              </w:rPr>
              <w:t>20</w:t>
            </w:r>
            <w:r w:rsidRPr="00F32676">
              <w:rPr>
                <w:rFonts w:ascii="Arial" w:hAnsi="Arial" w:cs="Arial"/>
                <w:color w:val="000000" w:themeColor="text1"/>
                <w:sz w:val="15"/>
                <w:szCs w:val="15"/>
                <w:shd w:val="clear" w:color="auto" w:fill="FFFFFF"/>
              </w:rPr>
              <w:t>O</w:t>
            </w:r>
            <w:r w:rsidRPr="00F32676">
              <w:rPr>
                <w:rFonts w:ascii="Arial" w:hAnsi="Arial" w:cs="Arial"/>
                <w:color w:val="000000" w:themeColor="text1"/>
                <w:sz w:val="15"/>
                <w:szCs w:val="15"/>
                <w:shd w:val="clear" w:color="auto" w:fill="FFFFFF"/>
                <w:vertAlign w:val="subscript"/>
              </w:rPr>
              <w:t>8</w:t>
            </w:r>
          </w:p>
          <w:p w14:paraId="7C8461F9" w14:textId="77777777" w:rsidR="004D1935" w:rsidRPr="002902BD" w:rsidRDefault="004D1935" w:rsidP="00E24DC9">
            <w:pPr>
              <w:jc w:val="center"/>
              <w:rPr>
                <w:color w:val="000000" w:themeColor="text1"/>
                <w:sz w:val="15"/>
                <w:szCs w:val="15"/>
              </w:rPr>
            </w:pPr>
            <w:r w:rsidRPr="00F32676">
              <w:rPr>
                <w:rFonts w:ascii="Arial" w:hAnsi="Arial" w:cs="Arial"/>
                <w:color w:val="000000" w:themeColor="text1"/>
                <w:sz w:val="15"/>
                <w:szCs w:val="15"/>
                <w:shd w:val="clear" w:color="auto" w:fill="FFFFFF"/>
              </w:rPr>
              <w:t>C</w:t>
            </w:r>
            <w:r w:rsidRPr="00F32676">
              <w:rPr>
                <w:rFonts w:ascii="Arial" w:hAnsi="Arial" w:cs="Arial"/>
                <w:color w:val="000000" w:themeColor="text1"/>
                <w:sz w:val="15"/>
                <w:szCs w:val="15"/>
                <w:shd w:val="clear" w:color="auto" w:fill="FFFFFF"/>
                <w:vertAlign w:val="subscript"/>
              </w:rPr>
              <w:t>21</w:t>
            </w:r>
            <w:r w:rsidRPr="00F32676">
              <w:rPr>
                <w:rFonts w:ascii="Arial" w:hAnsi="Arial" w:cs="Arial"/>
                <w:color w:val="000000" w:themeColor="text1"/>
                <w:sz w:val="15"/>
                <w:szCs w:val="15"/>
                <w:shd w:val="clear" w:color="auto" w:fill="FFFFFF"/>
              </w:rPr>
              <w:t>H</w:t>
            </w:r>
            <w:r w:rsidRPr="00F32676">
              <w:rPr>
                <w:rFonts w:ascii="Arial" w:hAnsi="Arial" w:cs="Arial"/>
                <w:color w:val="000000" w:themeColor="text1"/>
                <w:sz w:val="15"/>
                <w:szCs w:val="15"/>
                <w:shd w:val="clear" w:color="auto" w:fill="FFFFFF"/>
                <w:vertAlign w:val="subscript"/>
              </w:rPr>
              <w:t>20</w:t>
            </w:r>
            <w:r w:rsidRPr="00F32676">
              <w:rPr>
                <w:rFonts w:ascii="Arial" w:hAnsi="Arial" w:cs="Arial"/>
                <w:color w:val="000000" w:themeColor="text1"/>
                <w:sz w:val="15"/>
                <w:szCs w:val="15"/>
                <w:shd w:val="clear" w:color="auto" w:fill="FFFFFF"/>
              </w:rPr>
              <w:t>O</w:t>
            </w:r>
            <w:r w:rsidRPr="00F32676">
              <w:rPr>
                <w:rFonts w:ascii="Arial" w:hAnsi="Arial" w:cs="Arial"/>
                <w:color w:val="000000" w:themeColor="text1"/>
                <w:sz w:val="15"/>
                <w:szCs w:val="15"/>
                <w:shd w:val="clear" w:color="auto" w:fill="FFFFFF"/>
                <w:vertAlign w:val="subscript"/>
              </w:rPr>
              <w:t>8</w:t>
            </w:r>
          </w:p>
          <w:p w14:paraId="7DAF75E7" w14:textId="77777777" w:rsidR="004D1935" w:rsidRPr="002902BD" w:rsidRDefault="004D1935" w:rsidP="00E24DC9">
            <w:pPr>
              <w:jc w:val="center"/>
              <w:rPr>
                <w:color w:val="000000" w:themeColor="text1"/>
                <w:sz w:val="15"/>
                <w:szCs w:val="15"/>
              </w:rPr>
            </w:pPr>
            <w:r w:rsidRPr="00F32676">
              <w:rPr>
                <w:rFonts w:ascii="Arial" w:hAnsi="Arial" w:cs="Arial"/>
                <w:color w:val="000000" w:themeColor="text1"/>
                <w:sz w:val="15"/>
                <w:szCs w:val="15"/>
                <w:shd w:val="clear" w:color="auto" w:fill="FFFFFF"/>
              </w:rPr>
              <w:t>C</w:t>
            </w:r>
            <w:r w:rsidRPr="00F32676">
              <w:rPr>
                <w:rFonts w:ascii="Arial" w:hAnsi="Arial" w:cs="Arial"/>
                <w:color w:val="000000" w:themeColor="text1"/>
                <w:sz w:val="15"/>
                <w:szCs w:val="15"/>
                <w:shd w:val="clear" w:color="auto" w:fill="FFFFFF"/>
                <w:vertAlign w:val="subscript"/>
              </w:rPr>
              <w:t>15</w:t>
            </w:r>
            <w:r w:rsidRPr="00F32676">
              <w:rPr>
                <w:rFonts w:ascii="Arial" w:hAnsi="Arial" w:cs="Arial"/>
                <w:color w:val="000000" w:themeColor="text1"/>
                <w:sz w:val="15"/>
                <w:szCs w:val="15"/>
                <w:shd w:val="clear" w:color="auto" w:fill="FFFFFF"/>
              </w:rPr>
              <w:t>H</w:t>
            </w:r>
            <w:r w:rsidRPr="00F32676">
              <w:rPr>
                <w:rFonts w:ascii="Arial" w:hAnsi="Arial" w:cs="Arial"/>
                <w:color w:val="000000" w:themeColor="text1"/>
                <w:sz w:val="15"/>
                <w:szCs w:val="15"/>
                <w:shd w:val="clear" w:color="auto" w:fill="FFFFFF"/>
                <w:vertAlign w:val="subscript"/>
              </w:rPr>
              <w:t>23</w:t>
            </w:r>
            <w:r w:rsidRPr="00F32676">
              <w:rPr>
                <w:rFonts w:ascii="Arial" w:hAnsi="Arial" w:cs="Arial"/>
                <w:color w:val="000000" w:themeColor="text1"/>
                <w:sz w:val="15"/>
                <w:szCs w:val="15"/>
                <w:shd w:val="clear" w:color="auto" w:fill="FFFFFF"/>
              </w:rPr>
              <w:t>N</w:t>
            </w:r>
            <w:r w:rsidRPr="00F32676">
              <w:rPr>
                <w:rFonts w:ascii="Arial" w:hAnsi="Arial" w:cs="Arial"/>
                <w:color w:val="000000" w:themeColor="text1"/>
                <w:sz w:val="15"/>
                <w:szCs w:val="15"/>
                <w:shd w:val="clear" w:color="auto" w:fill="FFFFFF"/>
                <w:vertAlign w:val="subscript"/>
              </w:rPr>
              <w:t>6</w:t>
            </w:r>
            <w:r w:rsidRPr="00F32676">
              <w:rPr>
                <w:rFonts w:ascii="Arial" w:hAnsi="Arial" w:cs="Arial"/>
                <w:color w:val="000000" w:themeColor="text1"/>
                <w:sz w:val="15"/>
                <w:szCs w:val="15"/>
                <w:shd w:val="clear" w:color="auto" w:fill="FFFFFF"/>
              </w:rPr>
              <w:t>O</w:t>
            </w:r>
            <w:r w:rsidRPr="00F32676">
              <w:rPr>
                <w:rFonts w:ascii="Arial" w:hAnsi="Arial" w:cs="Arial"/>
                <w:color w:val="000000" w:themeColor="text1"/>
                <w:sz w:val="15"/>
                <w:szCs w:val="15"/>
                <w:shd w:val="clear" w:color="auto" w:fill="FFFFFF"/>
                <w:vertAlign w:val="subscript"/>
              </w:rPr>
              <w:t>5</w:t>
            </w:r>
            <w:r w:rsidRPr="00F32676">
              <w:rPr>
                <w:rFonts w:ascii="Arial" w:hAnsi="Arial" w:cs="Arial"/>
                <w:color w:val="000000" w:themeColor="text1"/>
                <w:sz w:val="15"/>
                <w:szCs w:val="15"/>
                <w:shd w:val="clear" w:color="auto" w:fill="FFFFFF"/>
              </w:rPr>
              <w:t>S</w:t>
            </w:r>
          </w:p>
          <w:p w14:paraId="4F4B2736" w14:textId="77777777" w:rsidR="004D1935" w:rsidRPr="00F32676" w:rsidRDefault="004D1935" w:rsidP="00E24DC9">
            <w:pPr>
              <w:jc w:val="center"/>
              <w:rPr>
                <w:color w:val="000000" w:themeColor="text1"/>
                <w:sz w:val="15"/>
                <w:szCs w:val="15"/>
              </w:rPr>
            </w:pPr>
            <w:r w:rsidRPr="00F32676">
              <w:rPr>
                <w:rFonts w:ascii="Arial" w:hAnsi="Arial" w:cs="Arial"/>
                <w:color w:val="000000" w:themeColor="text1"/>
                <w:sz w:val="15"/>
                <w:szCs w:val="15"/>
                <w:shd w:val="clear" w:color="auto" w:fill="FFFFFF"/>
              </w:rPr>
              <w:t>C</w:t>
            </w:r>
            <w:r w:rsidRPr="00F32676">
              <w:rPr>
                <w:rFonts w:ascii="Arial" w:hAnsi="Arial" w:cs="Arial"/>
                <w:color w:val="000000" w:themeColor="text1"/>
                <w:sz w:val="15"/>
                <w:szCs w:val="15"/>
                <w:shd w:val="clear" w:color="auto" w:fill="FFFFFF"/>
                <w:vertAlign w:val="subscript"/>
              </w:rPr>
              <w:t>22</w:t>
            </w:r>
            <w:r w:rsidRPr="00F32676">
              <w:rPr>
                <w:rFonts w:ascii="Arial" w:hAnsi="Arial" w:cs="Arial"/>
                <w:color w:val="000000" w:themeColor="text1"/>
                <w:sz w:val="15"/>
                <w:szCs w:val="15"/>
                <w:shd w:val="clear" w:color="auto" w:fill="FFFFFF"/>
              </w:rPr>
              <w:t>H</w:t>
            </w:r>
            <w:r w:rsidRPr="00F32676">
              <w:rPr>
                <w:rFonts w:ascii="Arial" w:hAnsi="Arial" w:cs="Arial"/>
                <w:color w:val="000000" w:themeColor="text1"/>
                <w:sz w:val="15"/>
                <w:szCs w:val="15"/>
                <w:shd w:val="clear" w:color="auto" w:fill="FFFFFF"/>
                <w:vertAlign w:val="subscript"/>
              </w:rPr>
              <w:t>24</w:t>
            </w:r>
            <w:r w:rsidRPr="00F32676">
              <w:rPr>
                <w:rFonts w:ascii="Arial" w:hAnsi="Arial" w:cs="Arial"/>
                <w:color w:val="000000" w:themeColor="text1"/>
                <w:sz w:val="15"/>
                <w:szCs w:val="15"/>
                <w:shd w:val="clear" w:color="auto" w:fill="FFFFFF"/>
              </w:rPr>
              <w:t>O</w:t>
            </w:r>
            <w:r w:rsidRPr="00F32676">
              <w:rPr>
                <w:rFonts w:ascii="Arial" w:hAnsi="Arial" w:cs="Arial"/>
                <w:color w:val="000000" w:themeColor="text1"/>
                <w:sz w:val="15"/>
                <w:szCs w:val="15"/>
                <w:shd w:val="clear" w:color="auto" w:fill="FFFFFF"/>
                <w:vertAlign w:val="subscript"/>
              </w:rPr>
              <w:t>7</w:t>
            </w:r>
          </w:p>
          <w:p w14:paraId="112C2C0B" w14:textId="77777777" w:rsidR="004D1935" w:rsidRPr="00F32676" w:rsidRDefault="004D1935" w:rsidP="00E24DC9">
            <w:pPr>
              <w:jc w:val="center"/>
              <w:rPr>
                <w:color w:val="000000" w:themeColor="text1"/>
              </w:rPr>
            </w:pPr>
          </w:p>
        </w:tc>
        <w:tc>
          <w:tcPr>
            <w:tcW w:w="8505" w:type="dxa"/>
            <w:vMerge w:val="restart"/>
            <w:vAlign w:val="center"/>
          </w:tcPr>
          <w:p w14:paraId="66A26B46"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Flavone and flavonol biosynthesis</w:t>
            </w:r>
          </w:p>
          <w:p w14:paraId="7FFA4EFE"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Flavone and flavonol biosynthesis</w:t>
            </w:r>
          </w:p>
          <w:p w14:paraId="40B55C10"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Arginine and proline metabolism /Zeatin biosynthesis /Biosynthesis of amino acids /Arginine biosynthesis/Jasmonic acid biosynthesis/Abscisic acid biosynthesis Flavanone flavonoid /riboflavin biosynthesis/fatty acid pathway/Shikimate pathway, phosphoenolpyruvate</w:t>
            </w:r>
          </w:p>
          <w:p w14:paraId="089999F9" w14:textId="77777777" w:rsidR="004D1935" w:rsidRPr="00F32676" w:rsidRDefault="004D1935" w:rsidP="00E24DC9">
            <w:pPr>
              <w:jc w:val="center"/>
              <w:rPr>
                <w:color w:val="000000" w:themeColor="text1"/>
              </w:rPr>
            </w:pPr>
            <w:r w:rsidRPr="00F32676">
              <w:rPr>
                <w:rFonts w:ascii="Calibri" w:hAnsi="Calibri" w:cs="Calibri"/>
                <w:color w:val="000000" w:themeColor="text1"/>
                <w:sz w:val="15"/>
                <w:szCs w:val="15"/>
              </w:rPr>
              <w:t>Biosynthesis of secondary metabolites - unclassified</w:t>
            </w:r>
          </w:p>
        </w:tc>
      </w:tr>
      <w:tr w:rsidR="004D1935" w14:paraId="6FEFDF2A" w14:textId="77777777" w:rsidTr="00E24DC9">
        <w:tc>
          <w:tcPr>
            <w:tcW w:w="707" w:type="dxa"/>
            <w:vMerge/>
          </w:tcPr>
          <w:p w14:paraId="35E5FFCD" w14:textId="77777777" w:rsidR="004D1935" w:rsidRDefault="004D1935" w:rsidP="00E24DC9"/>
        </w:tc>
        <w:tc>
          <w:tcPr>
            <w:tcW w:w="995" w:type="dxa"/>
            <w:tcBorders>
              <w:top w:val="nil"/>
              <w:bottom w:val="nil"/>
            </w:tcBorders>
            <w:vAlign w:val="center"/>
          </w:tcPr>
          <w:p w14:paraId="53931E02"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400.1843</w:t>
            </w:r>
          </w:p>
        </w:tc>
        <w:tc>
          <w:tcPr>
            <w:tcW w:w="1953" w:type="dxa"/>
            <w:vMerge/>
            <w:vAlign w:val="bottom"/>
          </w:tcPr>
          <w:p w14:paraId="4DF317F4" w14:textId="77777777" w:rsidR="004D1935" w:rsidRDefault="004D1935" w:rsidP="00E24DC9"/>
        </w:tc>
        <w:tc>
          <w:tcPr>
            <w:tcW w:w="1341" w:type="dxa"/>
            <w:vMerge/>
            <w:vAlign w:val="bottom"/>
          </w:tcPr>
          <w:p w14:paraId="01EAD4B2" w14:textId="77777777" w:rsidR="004D1935" w:rsidRDefault="004D1935" w:rsidP="00E24DC9"/>
        </w:tc>
        <w:tc>
          <w:tcPr>
            <w:tcW w:w="1384" w:type="dxa"/>
            <w:vMerge/>
          </w:tcPr>
          <w:p w14:paraId="28EE571B" w14:textId="77777777" w:rsidR="004D1935" w:rsidRDefault="004D1935" w:rsidP="00E24DC9"/>
        </w:tc>
        <w:tc>
          <w:tcPr>
            <w:tcW w:w="8505" w:type="dxa"/>
            <w:vMerge/>
            <w:vAlign w:val="bottom"/>
          </w:tcPr>
          <w:p w14:paraId="5A906141" w14:textId="77777777" w:rsidR="004D1935" w:rsidRDefault="004D1935" w:rsidP="00E24DC9"/>
        </w:tc>
      </w:tr>
      <w:tr w:rsidR="004D1935" w14:paraId="0F5441E9" w14:textId="77777777" w:rsidTr="00E24DC9">
        <w:tc>
          <w:tcPr>
            <w:tcW w:w="707" w:type="dxa"/>
            <w:vMerge/>
          </w:tcPr>
          <w:p w14:paraId="60514551" w14:textId="77777777" w:rsidR="004D1935" w:rsidRDefault="004D1935" w:rsidP="00E24DC9"/>
        </w:tc>
        <w:tc>
          <w:tcPr>
            <w:tcW w:w="995" w:type="dxa"/>
            <w:tcBorders>
              <w:top w:val="nil"/>
              <w:bottom w:val="nil"/>
            </w:tcBorders>
            <w:vAlign w:val="center"/>
          </w:tcPr>
          <w:p w14:paraId="28DD2665"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400.2563</w:t>
            </w:r>
          </w:p>
        </w:tc>
        <w:tc>
          <w:tcPr>
            <w:tcW w:w="1953" w:type="dxa"/>
            <w:vMerge/>
            <w:vAlign w:val="bottom"/>
          </w:tcPr>
          <w:p w14:paraId="4716AEBB" w14:textId="77777777" w:rsidR="004D1935" w:rsidRDefault="004D1935" w:rsidP="00E24DC9"/>
        </w:tc>
        <w:tc>
          <w:tcPr>
            <w:tcW w:w="1341" w:type="dxa"/>
            <w:vMerge/>
            <w:vAlign w:val="bottom"/>
          </w:tcPr>
          <w:p w14:paraId="4C3A250F" w14:textId="77777777" w:rsidR="004D1935" w:rsidRDefault="004D1935" w:rsidP="00E24DC9"/>
        </w:tc>
        <w:tc>
          <w:tcPr>
            <w:tcW w:w="1384" w:type="dxa"/>
            <w:vMerge/>
          </w:tcPr>
          <w:p w14:paraId="6DAC8437" w14:textId="77777777" w:rsidR="004D1935" w:rsidRDefault="004D1935" w:rsidP="00E24DC9"/>
        </w:tc>
        <w:tc>
          <w:tcPr>
            <w:tcW w:w="8505" w:type="dxa"/>
            <w:vMerge/>
            <w:vAlign w:val="bottom"/>
          </w:tcPr>
          <w:p w14:paraId="0E593509" w14:textId="77777777" w:rsidR="004D1935" w:rsidRDefault="004D1935" w:rsidP="00E24DC9"/>
        </w:tc>
      </w:tr>
      <w:tr w:rsidR="004D1935" w14:paraId="30F50EFC" w14:textId="77777777" w:rsidTr="00E24DC9">
        <w:tc>
          <w:tcPr>
            <w:tcW w:w="707" w:type="dxa"/>
            <w:vMerge/>
          </w:tcPr>
          <w:p w14:paraId="2E713E7E" w14:textId="77777777" w:rsidR="004D1935" w:rsidRDefault="004D1935" w:rsidP="00E24DC9"/>
        </w:tc>
        <w:tc>
          <w:tcPr>
            <w:tcW w:w="995" w:type="dxa"/>
            <w:tcBorders>
              <w:top w:val="nil"/>
              <w:bottom w:val="nil"/>
            </w:tcBorders>
            <w:vAlign w:val="center"/>
          </w:tcPr>
          <w:p w14:paraId="4977401D"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400.3012</w:t>
            </w:r>
          </w:p>
        </w:tc>
        <w:tc>
          <w:tcPr>
            <w:tcW w:w="1953" w:type="dxa"/>
            <w:vMerge/>
            <w:vAlign w:val="bottom"/>
          </w:tcPr>
          <w:p w14:paraId="7EE3784A" w14:textId="77777777" w:rsidR="004D1935" w:rsidRDefault="004D1935" w:rsidP="00E24DC9"/>
        </w:tc>
        <w:tc>
          <w:tcPr>
            <w:tcW w:w="1341" w:type="dxa"/>
            <w:vMerge/>
            <w:vAlign w:val="bottom"/>
          </w:tcPr>
          <w:p w14:paraId="778AB454" w14:textId="77777777" w:rsidR="004D1935" w:rsidRDefault="004D1935" w:rsidP="00E24DC9"/>
        </w:tc>
        <w:tc>
          <w:tcPr>
            <w:tcW w:w="1384" w:type="dxa"/>
            <w:vMerge/>
          </w:tcPr>
          <w:p w14:paraId="1F34E7B0" w14:textId="77777777" w:rsidR="004D1935" w:rsidRDefault="004D1935" w:rsidP="00E24DC9"/>
        </w:tc>
        <w:tc>
          <w:tcPr>
            <w:tcW w:w="8505" w:type="dxa"/>
            <w:vMerge/>
            <w:vAlign w:val="bottom"/>
          </w:tcPr>
          <w:p w14:paraId="4BA91770" w14:textId="77777777" w:rsidR="004D1935" w:rsidRDefault="004D1935" w:rsidP="00E24DC9"/>
        </w:tc>
      </w:tr>
      <w:tr w:rsidR="004D1935" w14:paraId="2C0A0591" w14:textId="77777777" w:rsidTr="00E24DC9">
        <w:tc>
          <w:tcPr>
            <w:tcW w:w="707" w:type="dxa"/>
            <w:vMerge/>
          </w:tcPr>
          <w:p w14:paraId="444CB795" w14:textId="77777777" w:rsidR="004D1935" w:rsidRDefault="004D1935" w:rsidP="00E24DC9"/>
        </w:tc>
        <w:tc>
          <w:tcPr>
            <w:tcW w:w="995" w:type="dxa"/>
            <w:tcBorders>
              <w:top w:val="nil"/>
              <w:bottom w:val="nil"/>
            </w:tcBorders>
            <w:vAlign w:val="center"/>
          </w:tcPr>
          <w:p w14:paraId="4E2BA765"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400.1378</w:t>
            </w:r>
          </w:p>
        </w:tc>
        <w:tc>
          <w:tcPr>
            <w:tcW w:w="1953" w:type="dxa"/>
            <w:vMerge/>
          </w:tcPr>
          <w:p w14:paraId="7BC1A67A" w14:textId="77777777" w:rsidR="004D1935" w:rsidRDefault="004D1935" w:rsidP="00E24DC9"/>
        </w:tc>
        <w:tc>
          <w:tcPr>
            <w:tcW w:w="1341" w:type="dxa"/>
            <w:vMerge/>
          </w:tcPr>
          <w:p w14:paraId="4F1C9FE3" w14:textId="77777777" w:rsidR="004D1935" w:rsidRDefault="004D1935" w:rsidP="00E24DC9"/>
        </w:tc>
        <w:tc>
          <w:tcPr>
            <w:tcW w:w="1384" w:type="dxa"/>
            <w:vMerge/>
          </w:tcPr>
          <w:p w14:paraId="182EB430" w14:textId="77777777" w:rsidR="004D1935" w:rsidRDefault="004D1935" w:rsidP="00E24DC9"/>
        </w:tc>
        <w:tc>
          <w:tcPr>
            <w:tcW w:w="8505" w:type="dxa"/>
            <w:vMerge/>
          </w:tcPr>
          <w:p w14:paraId="52C35E6B" w14:textId="77777777" w:rsidR="004D1935" w:rsidRDefault="004D1935" w:rsidP="00E24DC9"/>
        </w:tc>
      </w:tr>
      <w:tr w:rsidR="004D1935" w14:paraId="3FE0AF91" w14:textId="77777777" w:rsidTr="00E24DC9">
        <w:tc>
          <w:tcPr>
            <w:tcW w:w="707" w:type="dxa"/>
            <w:vMerge/>
          </w:tcPr>
          <w:p w14:paraId="17844539" w14:textId="77777777" w:rsidR="004D1935" w:rsidRDefault="004D1935" w:rsidP="00E24DC9"/>
        </w:tc>
        <w:tc>
          <w:tcPr>
            <w:tcW w:w="995" w:type="dxa"/>
            <w:tcBorders>
              <w:top w:val="nil"/>
              <w:bottom w:val="nil"/>
            </w:tcBorders>
            <w:vAlign w:val="center"/>
          </w:tcPr>
          <w:p w14:paraId="4860625D"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400.1873</w:t>
            </w:r>
          </w:p>
        </w:tc>
        <w:tc>
          <w:tcPr>
            <w:tcW w:w="1953" w:type="dxa"/>
            <w:vMerge/>
          </w:tcPr>
          <w:p w14:paraId="34AA6EA4" w14:textId="77777777" w:rsidR="004D1935" w:rsidRDefault="004D1935" w:rsidP="00E24DC9"/>
        </w:tc>
        <w:tc>
          <w:tcPr>
            <w:tcW w:w="1341" w:type="dxa"/>
            <w:vMerge/>
          </w:tcPr>
          <w:p w14:paraId="09634FCA" w14:textId="77777777" w:rsidR="004D1935" w:rsidRDefault="004D1935" w:rsidP="00E24DC9"/>
        </w:tc>
        <w:tc>
          <w:tcPr>
            <w:tcW w:w="1384" w:type="dxa"/>
            <w:vMerge/>
          </w:tcPr>
          <w:p w14:paraId="41F8B36D" w14:textId="77777777" w:rsidR="004D1935" w:rsidRDefault="004D1935" w:rsidP="00E24DC9"/>
        </w:tc>
        <w:tc>
          <w:tcPr>
            <w:tcW w:w="8505" w:type="dxa"/>
            <w:vMerge/>
          </w:tcPr>
          <w:p w14:paraId="7D083B87" w14:textId="77777777" w:rsidR="004D1935" w:rsidRDefault="004D1935" w:rsidP="00E24DC9"/>
        </w:tc>
      </w:tr>
      <w:tr w:rsidR="004D1935" w14:paraId="69EA0B6C" w14:textId="77777777" w:rsidTr="00E24DC9">
        <w:tc>
          <w:tcPr>
            <w:tcW w:w="707" w:type="dxa"/>
            <w:vMerge/>
          </w:tcPr>
          <w:p w14:paraId="29BC1B87" w14:textId="77777777" w:rsidR="004D1935" w:rsidRDefault="004D1935" w:rsidP="00E24DC9"/>
        </w:tc>
        <w:tc>
          <w:tcPr>
            <w:tcW w:w="995" w:type="dxa"/>
            <w:tcBorders>
              <w:top w:val="nil"/>
              <w:bottom w:val="nil"/>
            </w:tcBorders>
            <w:vAlign w:val="center"/>
          </w:tcPr>
          <w:p w14:paraId="3078D952"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400.2443</w:t>
            </w:r>
          </w:p>
        </w:tc>
        <w:tc>
          <w:tcPr>
            <w:tcW w:w="1953" w:type="dxa"/>
            <w:vMerge/>
          </w:tcPr>
          <w:p w14:paraId="2735D903" w14:textId="77777777" w:rsidR="004D1935" w:rsidRDefault="004D1935" w:rsidP="00E24DC9"/>
        </w:tc>
        <w:tc>
          <w:tcPr>
            <w:tcW w:w="1341" w:type="dxa"/>
            <w:vMerge/>
          </w:tcPr>
          <w:p w14:paraId="57D300BC" w14:textId="77777777" w:rsidR="004D1935" w:rsidRDefault="004D1935" w:rsidP="00E24DC9"/>
        </w:tc>
        <w:tc>
          <w:tcPr>
            <w:tcW w:w="1384" w:type="dxa"/>
            <w:vMerge/>
          </w:tcPr>
          <w:p w14:paraId="54D0126C" w14:textId="77777777" w:rsidR="004D1935" w:rsidRDefault="004D1935" w:rsidP="00E24DC9"/>
        </w:tc>
        <w:tc>
          <w:tcPr>
            <w:tcW w:w="8505" w:type="dxa"/>
            <w:vMerge/>
          </w:tcPr>
          <w:p w14:paraId="4D5FA92D" w14:textId="77777777" w:rsidR="004D1935" w:rsidRDefault="004D1935" w:rsidP="00E24DC9"/>
        </w:tc>
      </w:tr>
      <w:tr w:rsidR="004D1935" w14:paraId="437EBA23" w14:textId="77777777" w:rsidTr="00E24DC9">
        <w:tc>
          <w:tcPr>
            <w:tcW w:w="707" w:type="dxa"/>
            <w:vMerge/>
          </w:tcPr>
          <w:p w14:paraId="52C51389" w14:textId="77777777" w:rsidR="004D1935" w:rsidRDefault="004D1935" w:rsidP="00E24DC9"/>
        </w:tc>
        <w:tc>
          <w:tcPr>
            <w:tcW w:w="995" w:type="dxa"/>
            <w:tcBorders>
              <w:top w:val="nil"/>
              <w:bottom w:val="nil"/>
            </w:tcBorders>
            <w:vAlign w:val="center"/>
          </w:tcPr>
          <w:p w14:paraId="6D8B5EC9"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400.2893</w:t>
            </w:r>
          </w:p>
        </w:tc>
        <w:tc>
          <w:tcPr>
            <w:tcW w:w="1953" w:type="dxa"/>
            <w:vMerge/>
          </w:tcPr>
          <w:p w14:paraId="16C03411" w14:textId="77777777" w:rsidR="004D1935" w:rsidRDefault="004D1935" w:rsidP="00E24DC9"/>
        </w:tc>
        <w:tc>
          <w:tcPr>
            <w:tcW w:w="1341" w:type="dxa"/>
            <w:vMerge/>
          </w:tcPr>
          <w:p w14:paraId="669A2B24" w14:textId="77777777" w:rsidR="004D1935" w:rsidRDefault="004D1935" w:rsidP="00E24DC9"/>
        </w:tc>
        <w:tc>
          <w:tcPr>
            <w:tcW w:w="1384" w:type="dxa"/>
            <w:vMerge/>
          </w:tcPr>
          <w:p w14:paraId="43760268" w14:textId="77777777" w:rsidR="004D1935" w:rsidRDefault="004D1935" w:rsidP="00E24DC9"/>
        </w:tc>
        <w:tc>
          <w:tcPr>
            <w:tcW w:w="8505" w:type="dxa"/>
            <w:vMerge/>
          </w:tcPr>
          <w:p w14:paraId="21473310" w14:textId="77777777" w:rsidR="004D1935" w:rsidRDefault="004D1935" w:rsidP="00E24DC9"/>
        </w:tc>
      </w:tr>
      <w:tr w:rsidR="004D1935" w14:paraId="2E7832E4" w14:textId="77777777" w:rsidTr="00E24DC9">
        <w:tc>
          <w:tcPr>
            <w:tcW w:w="707" w:type="dxa"/>
            <w:vMerge/>
          </w:tcPr>
          <w:p w14:paraId="6FB7BBEF" w14:textId="77777777" w:rsidR="004D1935" w:rsidRDefault="004D1935" w:rsidP="00E24DC9"/>
        </w:tc>
        <w:tc>
          <w:tcPr>
            <w:tcW w:w="995" w:type="dxa"/>
            <w:tcBorders>
              <w:top w:val="nil"/>
              <w:bottom w:val="nil"/>
            </w:tcBorders>
            <w:vAlign w:val="center"/>
          </w:tcPr>
          <w:p w14:paraId="76B1BD40"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400.1903</w:t>
            </w:r>
          </w:p>
        </w:tc>
        <w:tc>
          <w:tcPr>
            <w:tcW w:w="1953" w:type="dxa"/>
            <w:vMerge/>
          </w:tcPr>
          <w:p w14:paraId="1BB64327" w14:textId="77777777" w:rsidR="004D1935" w:rsidRDefault="004D1935" w:rsidP="00E24DC9"/>
        </w:tc>
        <w:tc>
          <w:tcPr>
            <w:tcW w:w="1341" w:type="dxa"/>
            <w:vMerge/>
          </w:tcPr>
          <w:p w14:paraId="3A3AEF3B" w14:textId="77777777" w:rsidR="004D1935" w:rsidRDefault="004D1935" w:rsidP="00E24DC9"/>
        </w:tc>
        <w:tc>
          <w:tcPr>
            <w:tcW w:w="1384" w:type="dxa"/>
            <w:vMerge/>
          </w:tcPr>
          <w:p w14:paraId="01F88FE4" w14:textId="77777777" w:rsidR="004D1935" w:rsidRDefault="004D1935" w:rsidP="00E24DC9"/>
        </w:tc>
        <w:tc>
          <w:tcPr>
            <w:tcW w:w="8505" w:type="dxa"/>
            <w:vMerge/>
          </w:tcPr>
          <w:p w14:paraId="37B4CF0F" w14:textId="77777777" w:rsidR="004D1935" w:rsidRDefault="004D1935" w:rsidP="00E24DC9"/>
        </w:tc>
      </w:tr>
      <w:tr w:rsidR="004D1935" w14:paraId="6AC02200" w14:textId="77777777" w:rsidTr="00E24DC9">
        <w:tc>
          <w:tcPr>
            <w:tcW w:w="707" w:type="dxa"/>
            <w:vMerge/>
          </w:tcPr>
          <w:p w14:paraId="54452766" w14:textId="77777777" w:rsidR="004D1935" w:rsidRDefault="004D1935" w:rsidP="00E24DC9"/>
        </w:tc>
        <w:tc>
          <w:tcPr>
            <w:tcW w:w="995" w:type="dxa"/>
            <w:tcBorders>
              <w:top w:val="nil"/>
              <w:bottom w:val="nil"/>
            </w:tcBorders>
            <w:vAlign w:val="center"/>
          </w:tcPr>
          <w:p w14:paraId="7C055456"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400.2503</w:t>
            </w:r>
          </w:p>
        </w:tc>
        <w:tc>
          <w:tcPr>
            <w:tcW w:w="1953" w:type="dxa"/>
            <w:vMerge/>
          </w:tcPr>
          <w:p w14:paraId="738150BD" w14:textId="77777777" w:rsidR="004D1935" w:rsidRDefault="004D1935" w:rsidP="00E24DC9"/>
        </w:tc>
        <w:tc>
          <w:tcPr>
            <w:tcW w:w="1341" w:type="dxa"/>
            <w:vMerge/>
          </w:tcPr>
          <w:p w14:paraId="43035946" w14:textId="77777777" w:rsidR="004D1935" w:rsidRDefault="004D1935" w:rsidP="00E24DC9"/>
        </w:tc>
        <w:tc>
          <w:tcPr>
            <w:tcW w:w="1384" w:type="dxa"/>
            <w:vMerge/>
          </w:tcPr>
          <w:p w14:paraId="72849A95" w14:textId="77777777" w:rsidR="004D1935" w:rsidRDefault="004D1935" w:rsidP="00E24DC9"/>
        </w:tc>
        <w:tc>
          <w:tcPr>
            <w:tcW w:w="8505" w:type="dxa"/>
            <w:vMerge/>
          </w:tcPr>
          <w:p w14:paraId="642B4342" w14:textId="77777777" w:rsidR="004D1935" w:rsidRDefault="004D1935" w:rsidP="00E24DC9"/>
        </w:tc>
      </w:tr>
      <w:tr w:rsidR="004D1935" w14:paraId="5E654404" w14:textId="77777777" w:rsidTr="00E24DC9">
        <w:tc>
          <w:tcPr>
            <w:tcW w:w="707" w:type="dxa"/>
            <w:vMerge/>
          </w:tcPr>
          <w:p w14:paraId="67E550D6" w14:textId="77777777" w:rsidR="004D1935" w:rsidRDefault="004D1935" w:rsidP="00E24DC9"/>
        </w:tc>
        <w:tc>
          <w:tcPr>
            <w:tcW w:w="995" w:type="dxa"/>
            <w:tcBorders>
              <w:top w:val="nil"/>
              <w:bottom w:val="nil"/>
            </w:tcBorders>
            <w:vAlign w:val="center"/>
          </w:tcPr>
          <w:p w14:paraId="635AFEBA"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400.2968</w:t>
            </w:r>
          </w:p>
        </w:tc>
        <w:tc>
          <w:tcPr>
            <w:tcW w:w="1953" w:type="dxa"/>
            <w:vMerge/>
          </w:tcPr>
          <w:p w14:paraId="34EB0F5F" w14:textId="77777777" w:rsidR="004D1935" w:rsidRDefault="004D1935" w:rsidP="00E24DC9"/>
        </w:tc>
        <w:tc>
          <w:tcPr>
            <w:tcW w:w="1341" w:type="dxa"/>
            <w:vMerge/>
          </w:tcPr>
          <w:p w14:paraId="38B97545" w14:textId="77777777" w:rsidR="004D1935" w:rsidRDefault="004D1935" w:rsidP="00E24DC9"/>
        </w:tc>
        <w:tc>
          <w:tcPr>
            <w:tcW w:w="1384" w:type="dxa"/>
            <w:vMerge/>
          </w:tcPr>
          <w:p w14:paraId="3DD4B607" w14:textId="77777777" w:rsidR="004D1935" w:rsidRDefault="004D1935" w:rsidP="00E24DC9"/>
        </w:tc>
        <w:tc>
          <w:tcPr>
            <w:tcW w:w="8505" w:type="dxa"/>
            <w:vMerge/>
          </w:tcPr>
          <w:p w14:paraId="2457FBD8" w14:textId="77777777" w:rsidR="004D1935" w:rsidRDefault="004D1935" w:rsidP="00E24DC9"/>
        </w:tc>
      </w:tr>
      <w:tr w:rsidR="004D1935" w14:paraId="250D8FD8" w14:textId="77777777" w:rsidTr="00E24DC9">
        <w:tc>
          <w:tcPr>
            <w:tcW w:w="707" w:type="dxa"/>
            <w:vMerge/>
          </w:tcPr>
          <w:p w14:paraId="6DEF3048" w14:textId="77777777" w:rsidR="004D1935" w:rsidRDefault="004D1935" w:rsidP="00E24DC9"/>
        </w:tc>
        <w:tc>
          <w:tcPr>
            <w:tcW w:w="995" w:type="dxa"/>
            <w:tcBorders>
              <w:top w:val="nil"/>
              <w:bottom w:val="nil"/>
            </w:tcBorders>
            <w:vAlign w:val="center"/>
          </w:tcPr>
          <w:p w14:paraId="0C1C2A67"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400.1198</w:t>
            </w:r>
          </w:p>
        </w:tc>
        <w:tc>
          <w:tcPr>
            <w:tcW w:w="1953" w:type="dxa"/>
            <w:vMerge/>
          </w:tcPr>
          <w:p w14:paraId="2F9368CB" w14:textId="77777777" w:rsidR="004D1935" w:rsidRDefault="004D1935" w:rsidP="00E24DC9"/>
        </w:tc>
        <w:tc>
          <w:tcPr>
            <w:tcW w:w="1341" w:type="dxa"/>
            <w:vMerge/>
          </w:tcPr>
          <w:p w14:paraId="4527F023" w14:textId="77777777" w:rsidR="004D1935" w:rsidRDefault="004D1935" w:rsidP="00E24DC9"/>
        </w:tc>
        <w:tc>
          <w:tcPr>
            <w:tcW w:w="1384" w:type="dxa"/>
            <w:vMerge/>
          </w:tcPr>
          <w:p w14:paraId="283457FE" w14:textId="77777777" w:rsidR="004D1935" w:rsidRDefault="004D1935" w:rsidP="00E24DC9"/>
        </w:tc>
        <w:tc>
          <w:tcPr>
            <w:tcW w:w="8505" w:type="dxa"/>
            <w:vMerge/>
          </w:tcPr>
          <w:p w14:paraId="7B20669D" w14:textId="77777777" w:rsidR="004D1935" w:rsidRDefault="004D1935" w:rsidP="00E24DC9"/>
        </w:tc>
      </w:tr>
      <w:tr w:rsidR="004D1935" w14:paraId="5A93AC4D" w14:textId="77777777" w:rsidTr="00E24DC9">
        <w:tc>
          <w:tcPr>
            <w:tcW w:w="707" w:type="dxa"/>
            <w:vMerge/>
          </w:tcPr>
          <w:p w14:paraId="14542039" w14:textId="77777777" w:rsidR="004D1935" w:rsidRDefault="004D1935" w:rsidP="00E24DC9"/>
        </w:tc>
        <w:tc>
          <w:tcPr>
            <w:tcW w:w="995" w:type="dxa"/>
            <w:tcBorders>
              <w:top w:val="nil"/>
              <w:bottom w:val="nil"/>
            </w:tcBorders>
            <w:vAlign w:val="center"/>
          </w:tcPr>
          <w:p w14:paraId="7A64DA82"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400.1693</w:t>
            </w:r>
          </w:p>
        </w:tc>
        <w:tc>
          <w:tcPr>
            <w:tcW w:w="1953" w:type="dxa"/>
            <w:vMerge/>
          </w:tcPr>
          <w:p w14:paraId="0A1FA916" w14:textId="77777777" w:rsidR="004D1935" w:rsidRDefault="004D1935" w:rsidP="00E24DC9"/>
        </w:tc>
        <w:tc>
          <w:tcPr>
            <w:tcW w:w="1341" w:type="dxa"/>
            <w:vMerge/>
          </w:tcPr>
          <w:p w14:paraId="7BA66E35" w14:textId="77777777" w:rsidR="004D1935" w:rsidRDefault="004D1935" w:rsidP="00E24DC9"/>
        </w:tc>
        <w:tc>
          <w:tcPr>
            <w:tcW w:w="1384" w:type="dxa"/>
            <w:vMerge/>
          </w:tcPr>
          <w:p w14:paraId="3ADED074" w14:textId="77777777" w:rsidR="004D1935" w:rsidRDefault="004D1935" w:rsidP="00E24DC9"/>
        </w:tc>
        <w:tc>
          <w:tcPr>
            <w:tcW w:w="8505" w:type="dxa"/>
            <w:vMerge/>
          </w:tcPr>
          <w:p w14:paraId="10EFCCE2" w14:textId="77777777" w:rsidR="004D1935" w:rsidRDefault="004D1935" w:rsidP="00E24DC9"/>
        </w:tc>
      </w:tr>
      <w:tr w:rsidR="004D1935" w14:paraId="5C939ADA" w14:textId="77777777" w:rsidTr="00E24DC9">
        <w:tc>
          <w:tcPr>
            <w:tcW w:w="707" w:type="dxa"/>
            <w:vMerge/>
          </w:tcPr>
          <w:p w14:paraId="6E45FAA2" w14:textId="77777777" w:rsidR="004D1935" w:rsidRDefault="004D1935" w:rsidP="00E24DC9"/>
        </w:tc>
        <w:tc>
          <w:tcPr>
            <w:tcW w:w="995" w:type="dxa"/>
            <w:tcBorders>
              <w:top w:val="nil"/>
              <w:bottom w:val="nil"/>
            </w:tcBorders>
            <w:vAlign w:val="center"/>
          </w:tcPr>
          <w:p w14:paraId="0DAD11F0"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400.2323</w:t>
            </w:r>
          </w:p>
        </w:tc>
        <w:tc>
          <w:tcPr>
            <w:tcW w:w="1953" w:type="dxa"/>
            <w:vMerge/>
          </w:tcPr>
          <w:p w14:paraId="4395EC0B" w14:textId="77777777" w:rsidR="004D1935" w:rsidRDefault="004D1935" w:rsidP="00E24DC9"/>
        </w:tc>
        <w:tc>
          <w:tcPr>
            <w:tcW w:w="1341" w:type="dxa"/>
            <w:vMerge/>
          </w:tcPr>
          <w:p w14:paraId="698D4340" w14:textId="77777777" w:rsidR="004D1935" w:rsidRDefault="004D1935" w:rsidP="00E24DC9"/>
        </w:tc>
        <w:tc>
          <w:tcPr>
            <w:tcW w:w="1384" w:type="dxa"/>
            <w:vMerge/>
          </w:tcPr>
          <w:p w14:paraId="6B59E59C" w14:textId="77777777" w:rsidR="004D1935" w:rsidRDefault="004D1935" w:rsidP="00E24DC9"/>
        </w:tc>
        <w:tc>
          <w:tcPr>
            <w:tcW w:w="8505" w:type="dxa"/>
            <w:vMerge/>
          </w:tcPr>
          <w:p w14:paraId="72CA7912" w14:textId="77777777" w:rsidR="004D1935" w:rsidRDefault="004D1935" w:rsidP="00E24DC9"/>
        </w:tc>
      </w:tr>
      <w:tr w:rsidR="004D1935" w14:paraId="5C5D235F" w14:textId="77777777" w:rsidTr="00E24DC9">
        <w:tc>
          <w:tcPr>
            <w:tcW w:w="707" w:type="dxa"/>
            <w:vMerge/>
          </w:tcPr>
          <w:p w14:paraId="25A88C04" w14:textId="77777777" w:rsidR="004D1935" w:rsidRDefault="004D1935" w:rsidP="00E24DC9"/>
        </w:tc>
        <w:tc>
          <w:tcPr>
            <w:tcW w:w="995" w:type="dxa"/>
            <w:tcBorders>
              <w:top w:val="nil"/>
              <w:bottom w:val="nil"/>
            </w:tcBorders>
            <w:vAlign w:val="center"/>
          </w:tcPr>
          <w:p w14:paraId="4E1041BB"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400.2773</w:t>
            </w:r>
          </w:p>
        </w:tc>
        <w:tc>
          <w:tcPr>
            <w:tcW w:w="1953" w:type="dxa"/>
            <w:vMerge/>
          </w:tcPr>
          <w:p w14:paraId="60B67953" w14:textId="77777777" w:rsidR="004D1935" w:rsidRDefault="004D1935" w:rsidP="00E24DC9"/>
        </w:tc>
        <w:tc>
          <w:tcPr>
            <w:tcW w:w="1341" w:type="dxa"/>
            <w:vMerge/>
          </w:tcPr>
          <w:p w14:paraId="53594F8D" w14:textId="77777777" w:rsidR="004D1935" w:rsidRDefault="004D1935" w:rsidP="00E24DC9"/>
        </w:tc>
        <w:tc>
          <w:tcPr>
            <w:tcW w:w="1384" w:type="dxa"/>
            <w:vMerge/>
          </w:tcPr>
          <w:p w14:paraId="244DAB5E" w14:textId="77777777" w:rsidR="004D1935" w:rsidRDefault="004D1935" w:rsidP="00E24DC9"/>
        </w:tc>
        <w:tc>
          <w:tcPr>
            <w:tcW w:w="8505" w:type="dxa"/>
            <w:vMerge/>
          </w:tcPr>
          <w:p w14:paraId="52B3F224" w14:textId="77777777" w:rsidR="004D1935" w:rsidRDefault="004D1935" w:rsidP="00E24DC9"/>
        </w:tc>
      </w:tr>
      <w:tr w:rsidR="004D1935" w14:paraId="19CDE8BF" w14:textId="77777777" w:rsidTr="00E24DC9">
        <w:tc>
          <w:tcPr>
            <w:tcW w:w="707" w:type="dxa"/>
            <w:vMerge/>
          </w:tcPr>
          <w:p w14:paraId="7C22DA9C" w14:textId="77777777" w:rsidR="004D1935" w:rsidRDefault="004D1935" w:rsidP="00E24DC9"/>
        </w:tc>
        <w:tc>
          <w:tcPr>
            <w:tcW w:w="995" w:type="dxa"/>
            <w:tcBorders>
              <w:top w:val="nil"/>
              <w:bottom w:val="nil"/>
            </w:tcBorders>
            <w:vAlign w:val="center"/>
          </w:tcPr>
          <w:p w14:paraId="6029907A"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400.2383</w:t>
            </w:r>
          </w:p>
        </w:tc>
        <w:tc>
          <w:tcPr>
            <w:tcW w:w="1953" w:type="dxa"/>
            <w:vMerge/>
          </w:tcPr>
          <w:p w14:paraId="35987143" w14:textId="77777777" w:rsidR="004D1935" w:rsidRDefault="004D1935" w:rsidP="00E24DC9"/>
        </w:tc>
        <w:tc>
          <w:tcPr>
            <w:tcW w:w="1341" w:type="dxa"/>
            <w:vMerge/>
          </w:tcPr>
          <w:p w14:paraId="343DE21F" w14:textId="77777777" w:rsidR="004D1935" w:rsidRDefault="004D1935" w:rsidP="00E24DC9"/>
        </w:tc>
        <w:tc>
          <w:tcPr>
            <w:tcW w:w="1384" w:type="dxa"/>
            <w:vMerge/>
          </w:tcPr>
          <w:p w14:paraId="45187D61" w14:textId="77777777" w:rsidR="004D1935" w:rsidRDefault="004D1935" w:rsidP="00E24DC9"/>
        </w:tc>
        <w:tc>
          <w:tcPr>
            <w:tcW w:w="8505" w:type="dxa"/>
            <w:vMerge/>
          </w:tcPr>
          <w:p w14:paraId="578EBBF7" w14:textId="77777777" w:rsidR="004D1935" w:rsidRDefault="004D1935" w:rsidP="00E24DC9"/>
        </w:tc>
      </w:tr>
      <w:tr w:rsidR="004D1935" w14:paraId="523F685C" w14:textId="77777777" w:rsidTr="00E24DC9">
        <w:tc>
          <w:tcPr>
            <w:tcW w:w="707" w:type="dxa"/>
            <w:vMerge/>
          </w:tcPr>
          <w:p w14:paraId="0B669E17" w14:textId="77777777" w:rsidR="004D1935" w:rsidRDefault="004D1935" w:rsidP="00E24DC9"/>
        </w:tc>
        <w:tc>
          <w:tcPr>
            <w:tcW w:w="995" w:type="dxa"/>
            <w:tcBorders>
              <w:top w:val="nil"/>
              <w:bottom w:val="nil"/>
            </w:tcBorders>
            <w:vAlign w:val="center"/>
          </w:tcPr>
          <w:p w14:paraId="7ACB7C65"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400.2833</w:t>
            </w:r>
          </w:p>
        </w:tc>
        <w:tc>
          <w:tcPr>
            <w:tcW w:w="1953" w:type="dxa"/>
            <w:vMerge/>
          </w:tcPr>
          <w:p w14:paraId="6B7016B1" w14:textId="77777777" w:rsidR="004D1935" w:rsidRDefault="004D1935" w:rsidP="00E24DC9"/>
        </w:tc>
        <w:tc>
          <w:tcPr>
            <w:tcW w:w="1341" w:type="dxa"/>
            <w:vMerge/>
          </w:tcPr>
          <w:p w14:paraId="462362A3" w14:textId="77777777" w:rsidR="004D1935" w:rsidRDefault="004D1935" w:rsidP="00E24DC9"/>
        </w:tc>
        <w:tc>
          <w:tcPr>
            <w:tcW w:w="1384" w:type="dxa"/>
            <w:vMerge/>
          </w:tcPr>
          <w:p w14:paraId="568BD510" w14:textId="77777777" w:rsidR="004D1935" w:rsidRDefault="004D1935" w:rsidP="00E24DC9"/>
        </w:tc>
        <w:tc>
          <w:tcPr>
            <w:tcW w:w="8505" w:type="dxa"/>
            <w:vMerge/>
          </w:tcPr>
          <w:p w14:paraId="4D79BC73" w14:textId="77777777" w:rsidR="004D1935" w:rsidRDefault="004D1935" w:rsidP="00E24DC9"/>
        </w:tc>
      </w:tr>
      <w:tr w:rsidR="004D1935" w14:paraId="170F0649" w14:textId="77777777" w:rsidTr="00E24DC9">
        <w:tc>
          <w:tcPr>
            <w:tcW w:w="707" w:type="dxa"/>
            <w:vMerge/>
          </w:tcPr>
          <w:p w14:paraId="6593706E" w14:textId="77777777" w:rsidR="004D1935" w:rsidRDefault="004D1935" w:rsidP="00E24DC9"/>
        </w:tc>
        <w:tc>
          <w:tcPr>
            <w:tcW w:w="995" w:type="dxa"/>
            <w:tcBorders>
              <w:top w:val="nil"/>
              <w:bottom w:val="nil"/>
            </w:tcBorders>
            <w:vAlign w:val="center"/>
          </w:tcPr>
          <w:p w14:paraId="644D1216"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400.1213</w:t>
            </w:r>
          </w:p>
        </w:tc>
        <w:tc>
          <w:tcPr>
            <w:tcW w:w="1953" w:type="dxa"/>
            <w:vMerge/>
          </w:tcPr>
          <w:p w14:paraId="7BBBC5EF" w14:textId="77777777" w:rsidR="004D1935" w:rsidRDefault="004D1935" w:rsidP="00E24DC9"/>
        </w:tc>
        <w:tc>
          <w:tcPr>
            <w:tcW w:w="1341" w:type="dxa"/>
            <w:vMerge/>
          </w:tcPr>
          <w:p w14:paraId="6DA549E6" w14:textId="77777777" w:rsidR="004D1935" w:rsidRDefault="004D1935" w:rsidP="00E24DC9"/>
        </w:tc>
        <w:tc>
          <w:tcPr>
            <w:tcW w:w="1384" w:type="dxa"/>
            <w:vMerge/>
          </w:tcPr>
          <w:p w14:paraId="7910E1EE" w14:textId="77777777" w:rsidR="004D1935" w:rsidRDefault="004D1935" w:rsidP="00E24DC9"/>
        </w:tc>
        <w:tc>
          <w:tcPr>
            <w:tcW w:w="8505" w:type="dxa"/>
            <w:vMerge/>
          </w:tcPr>
          <w:p w14:paraId="17B85E86" w14:textId="77777777" w:rsidR="004D1935" w:rsidRDefault="004D1935" w:rsidP="00E24DC9"/>
        </w:tc>
      </w:tr>
      <w:tr w:rsidR="004D1935" w14:paraId="3F5F8FED" w14:textId="77777777" w:rsidTr="00E24DC9">
        <w:tc>
          <w:tcPr>
            <w:tcW w:w="707" w:type="dxa"/>
            <w:vMerge/>
          </w:tcPr>
          <w:p w14:paraId="3670DC90" w14:textId="77777777" w:rsidR="004D1935" w:rsidRDefault="004D1935" w:rsidP="00E24DC9"/>
        </w:tc>
        <w:tc>
          <w:tcPr>
            <w:tcW w:w="995" w:type="dxa"/>
            <w:tcBorders>
              <w:top w:val="nil"/>
              <w:bottom w:val="nil"/>
            </w:tcBorders>
            <w:vAlign w:val="center"/>
          </w:tcPr>
          <w:p w14:paraId="22CA4313"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400.1663</w:t>
            </w:r>
          </w:p>
        </w:tc>
        <w:tc>
          <w:tcPr>
            <w:tcW w:w="1953" w:type="dxa"/>
            <w:vMerge/>
          </w:tcPr>
          <w:p w14:paraId="447C03AC" w14:textId="77777777" w:rsidR="004D1935" w:rsidRDefault="004D1935" w:rsidP="00E24DC9"/>
        </w:tc>
        <w:tc>
          <w:tcPr>
            <w:tcW w:w="1341" w:type="dxa"/>
            <w:vMerge/>
          </w:tcPr>
          <w:p w14:paraId="64A5BA2B" w14:textId="77777777" w:rsidR="004D1935" w:rsidRDefault="004D1935" w:rsidP="00E24DC9"/>
        </w:tc>
        <w:tc>
          <w:tcPr>
            <w:tcW w:w="1384" w:type="dxa"/>
            <w:vMerge/>
          </w:tcPr>
          <w:p w14:paraId="44E3F7E9" w14:textId="77777777" w:rsidR="004D1935" w:rsidRDefault="004D1935" w:rsidP="00E24DC9"/>
        </w:tc>
        <w:tc>
          <w:tcPr>
            <w:tcW w:w="8505" w:type="dxa"/>
            <w:vMerge/>
          </w:tcPr>
          <w:p w14:paraId="78AA7BE2" w14:textId="77777777" w:rsidR="004D1935" w:rsidRDefault="004D1935" w:rsidP="00E24DC9"/>
        </w:tc>
      </w:tr>
      <w:tr w:rsidR="004D1935" w14:paraId="67AFFB6C" w14:textId="77777777" w:rsidTr="00E24DC9">
        <w:tc>
          <w:tcPr>
            <w:tcW w:w="707" w:type="dxa"/>
            <w:vMerge/>
          </w:tcPr>
          <w:p w14:paraId="502156A1" w14:textId="77777777" w:rsidR="004D1935" w:rsidRDefault="004D1935" w:rsidP="00E24DC9"/>
        </w:tc>
        <w:tc>
          <w:tcPr>
            <w:tcW w:w="995" w:type="dxa"/>
            <w:tcBorders>
              <w:top w:val="nil"/>
              <w:bottom w:val="nil"/>
            </w:tcBorders>
            <w:vAlign w:val="center"/>
          </w:tcPr>
          <w:p w14:paraId="2A054F08"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400.2113</w:t>
            </w:r>
          </w:p>
        </w:tc>
        <w:tc>
          <w:tcPr>
            <w:tcW w:w="1953" w:type="dxa"/>
            <w:vMerge/>
          </w:tcPr>
          <w:p w14:paraId="28B5B901" w14:textId="77777777" w:rsidR="004D1935" w:rsidRDefault="004D1935" w:rsidP="00E24DC9"/>
        </w:tc>
        <w:tc>
          <w:tcPr>
            <w:tcW w:w="1341" w:type="dxa"/>
            <w:vMerge/>
          </w:tcPr>
          <w:p w14:paraId="5E871FB2" w14:textId="77777777" w:rsidR="004D1935" w:rsidRDefault="004D1935" w:rsidP="00E24DC9"/>
        </w:tc>
        <w:tc>
          <w:tcPr>
            <w:tcW w:w="1384" w:type="dxa"/>
            <w:vMerge/>
          </w:tcPr>
          <w:p w14:paraId="00D7E2AF" w14:textId="77777777" w:rsidR="004D1935" w:rsidRDefault="004D1935" w:rsidP="00E24DC9"/>
        </w:tc>
        <w:tc>
          <w:tcPr>
            <w:tcW w:w="8505" w:type="dxa"/>
            <w:vMerge/>
          </w:tcPr>
          <w:p w14:paraId="75200014" w14:textId="77777777" w:rsidR="004D1935" w:rsidRDefault="004D1935" w:rsidP="00E24DC9"/>
        </w:tc>
      </w:tr>
      <w:tr w:rsidR="004D1935" w14:paraId="4F78087E" w14:textId="77777777" w:rsidTr="00E24DC9">
        <w:tc>
          <w:tcPr>
            <w:tcW w:w="707" w:type="dxa"/>
            <w:vMerge/>
          </w:tcPr>
          <w:p w14:paraId="654D42DC" w14:textId="77777777" w:rsidR="004D1935" w:rsidRDefault="004D1935" w:rsidP="00E24DC9"/>
        </w:tc>
        <w:tc>
          <w:tcPr>
            <w:tcW w:w="995" w:type="dxa"/>
            <w:tcBorders>
              <w:top w:val="nil"/>
              <w:bottom w:val="nil"/>
            </w:tcBorders>
            <w:vAlign w:val="center"/>
          </w:tcPr>
          <w:p w14:paraId="600AEFF3"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400.1243</w:t>
            </w:r>
          </w:p>
        </w:tc>
        <w:tc>
          <w:tcPr>
            <w:tcW w:w="1953" w:type="dxa"/>
            <w:vMerge/>
          </w:tcPr>
          <w:p w14:paraId="1EA42B0D" w14:textId="77777777" w:rsidR="004D1935" w:rsidRDefault="004D1935" w:rsidP="00E24DC9"/>
        </w:tc>
        <w:tc>
          <w:tcPr>
            <w:tcW w:w="1341" w:type="dxa"/>
            <w:vMerge/>
          </w:tcPr>
          <w:p w14:paraId="1B14492C" w14:textId="77777777" w:rsidR="004D1935" w:rsidRDefault="004D1935" w:rsidP="00E24DC9"/>
        </w:tc>
        <w:tc>
          <w:tcPr>
            <w:tcW w:w="1384" w:type="dxa"/>
            <w:vMerge/>
          </w:tcPr>
          <w:p w14:paraId="7447E058" w14:textId="77777777" w:rsidR="004D1935" w:rsidRDefault="004D1935" w:rsidP="00E24DC9"/>
        </w:tc>
        <w:tc>
          <w:tcPr>
            <w:tcW w:w="8505" w:type="dxa"/>
            <w:vMerge/>
          </w:tcPr>
          <w:p w14:paraId="04767520" w14:textId="77777777" w:rsidR="004D1935" w:rsidRDefault="004D1935" w:rsidP="00E24DC9"/>
        </w:tc>
      </w:tr>
      <w:tr w:rsidR="004D1935" w14:paraId="74ABDCEC" w14:textId="77777777" w:rsidTr="00E24DC9">
        <w:tc>
          <w:tcPr>
            <w:tcW w:w="707" w:type="dxa"/>
            <w:vMerge/>
          </w:tcPr>
          <w:p w14:paraId="4AEAA8A2" w14:textId="77777777" w:rsidR="004D1935" w:rsidRDefault="004D1935" w:rsidP="00E24DC9"/>
        </w:tc>
        <w:tc>
          <w:tcPr>
            <w:tcW w:w="995" w:type="dxa"/>
            <w:tcBorders>
              <w:top w:val="nil"/>
              <w:bottom w:val="nil"/>
            </w:tcBorders>
            <w:vAlign w:val="center"/>
          </w:tcPr>
          <w:p w14:paraId="2754270B"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400.1783</w:t>
            </w:r>
          </w:p>
        </w:tc>
        <w:tc>
          <w:tcPr>
            <w:tcW w:w="1953" w:type="dxa"/>
            <w:vMerge/>
          </w:tcPr>
          <w:p w14:paraId="626AA2D1" w14:textId="77777777" w:rsidR="004D1935" w:rsidRDefault="004D1935" w:rsidP="00E24DC9"/>
        </w:tc>
        <w:tc>
          <w:tcPr>
            <w:tcW w:w="1341" w:type="dxa"/>
            <w:vMerge/>
          </w:tcPr>
          <w:p w14:paraId="2FF51341" w14:textId="77777777" w:rsidR="004D1935" w:rsidRDefault="004D1935" w:rsidP="00E24DC9"/>
        </w:tc>
        <w:tc>
          <w:tcPr>
            <w:tcW w:w="1384" w:type="dxa"/>
            <w:vMerge/>
          </w:tcPr>
          <w:p w14:paraId="67F06A98" w14:textId="77777777" w:rsidR="004D1935" w:rsidRDefault="004D1935" w:rsidP="00E24DC9"/>
        </w:tc>
        <w:tc>
          <w:tcPr>
            <w:tcW w:w="8505" w:type="dxa"/>
            <w:vMerge/>
          </w:tcPr>
          <w:p w14:paraId="0D363C16" w14:textId="77777777" w:rsidR="004D1935" w:rsidRDefault="004D1935" w:rsidP="00E24DC9"/>
        </w:tc>
      </w:tr>
      <w:tr w:rsidR="004D1935" w14:paraId="76B8B32B" w14:textId="77777777" w:rsidTr="00E24DC9">
        <w:tc>
          <w:tcPr>
            <w:tcW w:w="707" w:type="dxa"/>
            <w:vMerge/>
          </w:tcPr>
          <w:p w14:paraId="00474E23" w14:textId="77777777" w:rsidR="004D1935" w:rsidRDefault="004D1935" w:rsidP="00E24DC9"/>
        </w:tc>
        <w:tc>
          <w:tcPr>
            <w:tcW w:w="995" w:type="dxa"/>
            <w:tcBorders>
              <w:top w:val="nil"/>
              <w:bottom w:val="nil"/>
            </w:tcBorders>
            <w:vAlign w:val="center"/>
          </w:tcPr>
          <w:p w14:paraId="4A8D46B1"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400.2413</w:t>
            </w:r>
          </w:p>
        </w:tc>
        <w:tc>
          <w:tcPr>
            <w:tcW w:w="1953" w:type="dxa"/>
            <w:vMerge/>
          </w:tcPr>
          <w:p w14:paraId="28DDD410" w14:textId="77777777" w:rsidR="004D1935" w:rsidRDefault="004D1935" w:rsidP="00E24DC9"/>
        </w:tc>
        <w:tc>
          <w:tcPr>
            <w:tcW w:w="1341" w:type="dxa"/>
            <w:vMerge/>
          </w:tcPr>
          <w:p w14:paraId="611D30EB" w14:textId="77777777" w:rsidR="004D1935" w:rsidRDefault="004D1935" w:rsidP="00E24DC9"/>
        </w:tc>
        <w:tc>
          <w:tcPr>
            <w:tcW w:w="1384" w:type="dxa"/>
            <w:vMerge/>
          </w:tcPr>
          <w:p w14:paraId="37EA8FAC" w14:textId="77777777" w:rsidR="004D1935" w:rsidRDefault="004D1935" w:rsidP="00E24DC9"/>
        </w:tc>
        <w:tc>
          <w:tcPr>
            <w:tcW w:w="8505" w:type="dxa"/>
            <w:vMerge/>
          </w:tcPr>
          <w:p w14:paraId="3C968D54" w14:textId="77777777" w:rsidR="004D1935" w:rsidRDefault="004D1935" w:rsidP="00E24DC9"/>
        </w:tc>
      </w:tr>
      <w:tr w:rsidR="004D1935" w14:paraId="738B5097" w14:textId="77777777" w:rsidTr="00E24DC9">
        <w:tc>
          <w:tcPr>
            <w:tcW w:w="707" w:type="dxa"/>
            <w:vMerge/>
          </w:tcPr>
          <w:p w14:paraId="26BE68CA" w14:textId="77777777" w:rsidR="004D1935" w:rsidRDefault="004D1935" w:rsidP="00E24DC9"/>
        </w:tc>
        <w:tc>
          <w:tcPr>
            <w:tcW w:w="995" w:type="dxa"/>
            <w:tcBorders>
              <w:top w:val="nil"/>
              <w:bottom w:val="nil"/>
            </w:tcBorders>
            <w:vAlign w:val="center"/>
          </w:tcPr>
          <w:p w14:paraId="71C6E412"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400.2863</w:t>
            </w:r>
          </w:p>
        </w:tc>
        <w:tc>
          <w:tcPr>
            <w:tcW w:w="1953" w:type="dxa"/>
            <w:vMerge/>
          </w:tcPr>
          <w:p w14:paraId="76288CCF" w14:textId="77777777" w:rsidR="004D1935" w:rsidRDefault="004D1935" w:rsidP="00E24DC9"/>
        </w:tc>
        <w:tc>
          <w:tcPr>
            <w:tcW w:w="1341" w:type="dxa"/>
            <w:vMerge/>
          </w:tcPr>
          <w:p w14:paraId="0CAECE39" w14:textId="77777777" w:rsidR="004D1935" w:rsidRDefault="004D1935" w:rsidP="00E24DC9"/>
        </w:tc>
        <w:tc>
          <w:tcPr>
            <w:tcW w:w="1384" w:type="dxa"/>
            <w:vMerge/>
          </w:tcPr>
          <w:p w14:paraId="292A1F46" w14:textId="77777777" w:rsidR="004D1935" w:rsidRDefault="004D1935" w:rsidP="00E24DC9"/>
        </w:tc>
        <w:tc>
          <w:tcPr>
            <w:tcW w:w="8505" w:type="dxa"/>
            <w:vMerge/>
          </w:tcPr>
          <w:p w14:paraId="4FFE8D9B" w14:textId="77777777" w:rsidR="004D1935" w:rsidRDefault="004D1935" w:rsidP="00E24DC9"/>
        </w:tc>
      </w:tr>
      <w:tr w:rsidR="004D1935" w14:paraId="76FD4DFC" w14:textId="77777777" w:rsidTr="00E24DC9">
        <w:tc>
          <w:tcPr>
            <w:tcW w:w="707" w:type="dxa"/>
            <w:vMerge/>
          </w:tcPr>
          <w:p w14:paraId="429FB687" w14:textId="77777777" w:rsidR="004D1935" w:rsidRDefault="004D1935" w:rsidP="00E24DC9"/>
        </w:tc>
        <w:tc>
          <w:tcPr>
            <w:tcW w:w="995" w:type="dxa"/>
            <w:tcBorders>
              <w:top w:val="nil"/>
              <w:bottom w:val="nil"/>
            </w:tcBorders>
            <w:vAlign w:val="center"/>
          </w:tcPr>
          <w:p w14:paraId="042A34AF"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400.1393</w:t>
            </w:r>
          </w:p>
        </w:tc>
        <w:tc>
          <w:tcPr>
            <w:tcW w:w="1953" w:type="dxa"/>
            <w:vMerge/>
          </w:tcPr>
          <w:p w14:paraId="6233D6AB" w14:textId="77777777" w:rsidR="004D1935" w:rsidRDefault="004D1935" w:rsidP="00E24DC9"/>
        </w:tc>
        <w:tc>
          <w:tcPr>
            <w:tcW w:w="1341" w:type="dxa"/>
            <w:vMerge/>
          </w:tcPr>
          <w:p w14:paraId="79BF47B1" w14:textId="77777777" w:rsidR="004D1935" w:rsidRDefault="004D1935" w:rsidP="00E24DC9"/>
        </w:tc>
        <w:tc>
          <w:tcPr>
            <w:tcW w:w="1384" w:type="dxa"/>
            <w:vMerge/>
          </w:tcPr>
          <w:p w14:paraId="3A2E4EE2" w14:textId="77777777" w:rsidR="004D1935" w:rsidRDefault="004D1935" w:rsidP="00E24DC9"/>
        </w:tc>
        <w:tc>
          <w:tcPr>
            <w:tcW w:w="8505" w:type="dxa"/>
            <w:vMerge/>
          </w:tcPr>
          <w:p w14:paraId="1D94F810" w14:textId="77777777" w:rsidR="004D1935" w:rsidRDefault="004D1935" w:rsidP="00E24DC9"/>
        </w:tc>
      </w:tr>
      <w:tr w:rsidR="004D1935" w14:paraId="5965DE4D" w14:textId="77777777" w:rsidTr="00E24DC9">
        <w:tc>
          <w:tcPr>
            <w:tcW w:w="707" w:type="dxa"/>
            <w:vMerge/>
          </w:tcPr>
          <w:p w14:paraId="6EA5A405" w14:textId="77777777" w:rsidR="004D1935" w:rsidRDefault="004D1935" w:rsidP="00E24DC9"/>
        </w:tc>
        <w:tc>
          <w:tcPr>
            <w:tcW w:w="995" w:type="dxa"/>
            <w:tcBorders>
              <w:top w:val="nil"/>
              <w:bottom w:val="nil"/>
            </w:tcBorders>
            <w:vAlign w:val="center"/>
          </w:tcPr>
          <w:p w14:paraId="63924E2C"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400.2533</w:t>
            </w:r>
          </w:p>
        </w:tc>
        <w:tc>
          <w:tcPr>
            <w:tcW w:w="1953" w:type="dxa"/>
            <w:vMerge/>
          </w:tcPr>
          <w:p w14:paraId="7ECDDFA6" w14:textId="77777777" w:rsidR="004D1935" w:rsidRDefault="004D1935" w:rsidP="00E24DC9"/>
        </w:tc>
        <w:tc>
          <w:tcPr>
            <w:tcW w:w="1341" w:type="dxa"/>
            <w:vMerge/>
          </w:tcPr>
          <w:p w14:paraId="3B09D233" w14:textId="77777777" w:rsidR="004D1935" w:rsidRDefault="004D1935" w:rsidP="00E24DC9"/>
        </w:tc>
        <w:tc>
          <w:tcPr>
            <w:tcW w:w="1384" w:type="dxa"/>
            <w:vMerge/>
          </w:tcPr>
          <w:p w14:paraId="02D1C1C7" w14:textId="77777777" w:rsidR="004D1935" w:rsidRDefault="004D1935" w:rsidP="00E24DC9"/>
        </w:tc>
        <w:tc>
          <w:tcPr>
            <w:tcW w:w="8505" w:type="dxa"/>
            <w:vMerge/>
          </w:tcPr>
          <w:p w14:paraId="44039B33" w14:textId="77777777" w:rsidR="004D1935" w:rsidRDefault="004D1935" w:rsidP="00E24DC9"/>
        </w:tc>
      </w:tr>
      <w:tr w:rsidR="004D1935" w14:paraId="34632028" w14:textId="77777777" w:rsidTr="00E24DC9">
        <w:tc>
          <w:tcPr>
            <w:tcW w:w="707" w:type="dxa"/>
            <w:vMerge/>
          </w:tcPr>
          <w:p w14:paraId="340E1A99" w14:textId="77777777" w:rsidR="004D1935" w:rsidRDefault="004D1935" w:rsidP="00E24DC9"/>
        </w:tc>
        <w:tc>
          <w:tcPr>
            <w:tcW w:w="995" w:type="dxa"/>
            <w:tcBorders>
              <w:top w:val="nil"/>
              <w:bottom w:val="nil"/>
            </w:tcBorders>
            <w:vAlign w:val="center"/>
          </w:tcPr>
          <w:p w14:paraId="1C1F2545"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400.2982</w:t>
            </w:r>
          </w:p>
        </w:tc>
        <w:tc>
          <w:tcPr>
            <w:tcW w:w="1953" w:type="dxa"/>
            <w:vMerge/>
          </w:tcPr>
          <w:p w14:paraId="71E578B1" w14:textId="77777777" w:rsidR="004D1935" w:rsidRDefault="004D1935" w:rsidP="00E24DC9"/>
        </w:tc>
        <w:tc>
          <w:tcPr>
            <w:tcW w:w="1341" w:type="dxa"/>
            <w:vMerge/>
          </w:tcPr>
          <w:p w14:paraId="0B541A16" w14:textId="77777777" w:rsidR="004D1935" w:rsidRDefault="004D1935" w:rsidP="00E24DC9"/>
        </w:tc>
        <w:tc>
          <w:tcPr>
            <w:tcW w:w="1384" w:type="dxa"/>
            <w:vMerge/>
          </w:tcPr>
          <w:p w14:paraId="3479742B" w14:textId="77777777" w:rsidR="004D1935" w:rsidRDefault="004D1935" w:rsidP="00E24DC9"/>
        </w:tc>
        <w:tc>
          <w:tcPr>
            <w:tcW w:w="8505" w:type="dxa"/>
            <w:vMerge/>
          </w:tcPr>
          <w:p w14:paraId="326A559C" w14:textId="77777777" w:rsidR="004D1935" w:rsidRDefault="004D1935" w:rsidP="00E24DC9"/>
        </w:tc>
      </w:tr>
      <w:tr w:rsidR="004D1935" w14:paraId="2C735DCB" w14:textId="77777777" w:rsidTr="00E24DC9">
        <w:tc>
          <w:tcPr>
            <w:tcW w:w="707" w:type="dxa"/>
            <w:vMerge/>
          </w:tcPr>
          <w:p w14:paraId="59D57A3E" w14:textId="77777777" w:rsidR="004D1935" w:rsidRDefault="004D1935" w:rsidP="00E24DC9"/>
        </w:tc>
        <w:tc>
          <w:tcPr>
            <w:tcW w:w="995" w:type="dxa"/>
            <w:tcBorders>
              <w:top w:val="nil"/>
              <w:bottom w:val="nil"/>
            </w:tcBorders>
            <w:vAlign w:val="center"/>
          </w:tcPr>
          <w:p w14:paraId="6DBF82F3"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400.1933</w:t>
            </w:r>
          </w:p>
        </w:tc>
        <w:tc>
          <w:tcPr>
            <w:tcW w:w="1953" w:type="dxa"/>
            <w:vMerge/>
          </w:tcPr>
          <w:p w14:paraId="670F89BA" w14:textId="77777777" w:rsidR="004D1935" w:rsidRDefault="004D1935" w:rsidP="00E24DC9"/>
        </w:tc>
        <w:tc>
          <w:tcPr>
            <w:tcW w:w="1341" w:type="dxa"/>
            <w:vMerge/>
          </w:tcPr>
          <w:p w14:paraId="5A23A2AC" w14:textId="77777777" w:rsidR="004D1935" w:rsidRDefault="004D1935" w:rsidP="00E24DC9"/>
        </w:tc>
        <w:tc>
          <w:tcPr>
            <w:tcW w:w="1384" w:type="dxa"/>
            <w:vMerge/>
          </w:tcPr>
          <w:p w14:paraId="2424953A" w14:textId="77777777" w:rsidR="004D1935" w:rsidRDefault="004D1935" w:rsidP="00E24DC9"/>
        </w:tc>
        <w:tc>
          <w:tcPr>
            <w:tcW w:w="8505" w:type="dxa"/>
            <w:vMerge/>
          </w:tcPr>
          <w:p w14:paraId="2A7D8566" w14:textId="77777777" w:rsidR="004D1935" w:rsidRDefault="004D1935" w:rsidP="00E24DC9"/>
        </w:tc>
      </w:tr>
      <w:tr w:rsidR="004D1935" w14:paraId="409C15E0" w14:textId="77777777" w:rsidTr="00E24DC9">
        <w:tc>
          <w:tcPr>
            <w:tcW w:w="707" w:type="dxa"/>
            <w:vMerge/>
          </w:tcPr>
          <w:p w14:paraId="60E1F003" w14:textId="77777777" w:rsidR="004D1935" w:rsidRDefault="004D1935" w:rsidP="00E24DC9"/>
        </w:tc>
        <w:tc>
          <w:tcPr>
            <w:tcW w:w="995" w:type="dxa"/>
            <w:tcBorders>
              <w:top w:val="nil"/>
              <w:bottom w:val="nil"/>
            </w:tcBorders>
            <w:vAlign w:val="center"/>
          </w:tcPr>
          <w:p w14:paraId="56C196EE"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400.2653</w:t>
            </w:r>
          </w:p>
        </w:tc>
        <w:tc>
          <w:tcPr>
            <w:tcW w:w="1953" w:type="dxa"/>
            <w:vMerge/>
          </w:tcPr>
          <w:p w14:paraId="5BC7FB41" w14:textId="77777777" w:rsidR="004D1935" w:rsidRDefault="004D1935" w:rsidP="00E24DC9"/>
        </w:tc>
        <w:tc>
          <w:tcPr>
            <w:tcW w:w="1341" w:type="dxa"/>
            <w:vMerge/>
          </w:tcPr>
          <w:p w14:paraId="21FEE1CE" w14:textId="77777777" w:rsidR="004D1935" w:rsidRDefault="004D1935" w:rsidP="00E24DC9"/>
        </w:tc>
        <w:tc>
          <w:tcPr>
            <w:tcW w:w="1384" w:type="dxa"/>
            <w:vMerge/>
          </w:tcPr>
          <w:p w14:paraId="4A29529C" w14:textId="77777777" w:rsidR="004D1935" w:rsidRDefault="004D1935" w:rsidP="00E24DC9"/>
        </w:tc>
        <w:tc>
          <w:tcPr>
            <w:tcW w:w="8505" w:type="dxa"/>
            <w:vMerge/>
          </w:tcPr>
          <w:p w14:paraId="2E52FC0C" w14:textId="77777777" w:rsidR="004D1935" w:rsidRDefault="004D1935" w:rsidP="00E24DC9"/>
        </w:tc>
      </w:tr>
      <w:tr w:rsidR="004D1935" w14:paraId="61ECF93F" w14:textId="77777777" w:rsidTr="00E24DC9">
        <w:tc>
          <w:tcPr>
            <w:tcW w:w="707" w:type="dxa"/>
            <w:vMerge/>
          </w:tcPr>
          <w:p w14:paraId="3F001116" w14:textId="77777777" w:rsidR="004D1935" w:rsidRDefault="004D1935" w:rsidP="00E24DC9"/>
        </w:tc>
        <w:tc>
          <w:tcPr>
            <w:tcW w:w="995" w:type="dxa"/>
            <w:tcBorders>
              <w:top w:val="nil"/>
              <w:bottom w:val="nil"/>
            </w:tcBorders>
            <w:vAlign w:val="center"/>
          </w:tcPr>
          <w:p w14:paraId="009C4340"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400.1363</w:t>
            </w:r>
          </w:p>
        </w:tc>
        <w:tc>
          <w:tcPr>
            <w:tcW w:w="1953" w:type="dxa"/>
            <w:vMerge/>
          </w:tcPr>
          <w:p w14:paraId="05CCA1F4" w14:textId="77777777" w:rsidR="004D1935" w:rsidRDefault="004D1935" w:rsidP="00E24DC9"/>
        </w:tc>
        <w:tc>
          <w:tcPr>
            <w:tcW w:w="1341" w:type="dxa"/>
            <w:vMerge/>
          </w:tcPr>
          <w:p w14:paraId="166DCDDC" w14:textId="77777777" w:rsidR="004D1935" w:rsidRDefault="004D1935" w:rsidP="00E24DC9"/>
        </w:tc>
        <w:tc>
          <w:tcPr>
            <w:tcW w:w="1384" w:type="dxa"/>
            <w:vMerge/>
          </w:tcPr>
          <w:p w14:paraId="0D7F2316" w14:textId="77777777" w:rsidR="004D1935" w:rsidRDefault="004D1935" w:rsidP="00E24DC9"/>
        </w:tc>
        <w:tc>
          <w:tcPr>
            <w:tcW w:w="8505" w:type="dxa"/>
            <w:vMerge/>
          </w:tcPr>
          <w:p w14:paraId="6171B300" w14:textId="77777777" w:rsidR="004D1935" w:rsidRDefault="004D1935" w:rsidP="00E24DC9"/>
        </w:tc>
      </w:tr>
      <w:tr w:rsidR="004D1935" w14:paraId="183871C9" w14:textId="77777777" w:rsidTr="00E24DC9">
        <w:tc>
          <w:tcPr>
            <w:tcW w:w="707" w:type="dxa"/>
            <w:vMerge/>
          </w:tcPr>
          <w:p w14:paraId="5B22C7AB" w14:textId="77777777" w:rsidR="004D1935" w:rsidRDefault="004D1935" w:rsidP="00E24DC9"/>
        </w:tc>
        <w:tc>
          <w:tcPr>
            <w:tcW w:w="995" w:type="dxa"/>
            <w:tcBorders>
              <w:top w:val="nil"/>
              <w:bottom w:val="nil"/>
            </w:tcBorders>
            <w:vAlign w:val="center"/>
          </w:tcPr>
          <w:p w14:paraId="6052C688"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400.1813</w:t>
            </w:r>
          </w:p>
        </w:tc>
        <w:tc>
          <w:tcPr>
            <w:tcW w:w="1953" w:type="dxa"/>
            <w:vMerge/>
          </w:tcPr>
          <w:p w14:paraId="62974052" w14:textId="77777777" w:rsidR="004D1935" w:rsidRDefault="004D1935" w:rsidP="00E24DC9"/>
        </w:tc>
        <w:tc>
          <w:tcPr>
            <w:tcW w:w="1341" w:type="dxa"/>
            <w:vMerge/>
          </w:tcPr>
          <w:p w14:paraId="5F8B7FB9" w14:textId="77777777" w:rsidR="004D1935" w:rsidRDefault="004D1935" w:rsidP="00E24DC9"/>
        </w:tc>
        <w:tc>
          <w:tcPr>
            <w:tcW w:w="1384" w:type="dxa"/>
            <w:vMerge/>
          </w:tcPr>
          <w:p w14:paraId="05AFD8AB" w14:textId="77777777" w:rsidR="004D1935" w:rsidRDefault="004D1935" w:rsidP="00E24DC9"/>
        </w:tc>
        <w:tc>
          <w:tcPr>
            <w:tcW w:w="8505" w:type="dxa"/>
            <w:vMerge/>
          </w:tcPr>
          <w:p w14:paraId="4617C048" w14:textId="77777777" w:rsidR="004D1935" w:rsidRDefault="004D1935" w:rsidP="00E24DC9"/>
        </w:tc>
      </w:tr>
      <w:tr w:rsidR="004D1935" w14:paraId="07305C41" w14:textId="77777777" w:rsidTr="00E24DC9">
        <w:tc>
          <w:tcPr>
            <w:tcW w:w="707" w:type="dxa"/>
            <w:vMerge/>
          </w:tcPr>
          <w:p w14:paraId="4871E783" w14:textId="77777777" w:rsidR="004D1935" w:rsidRDefault="004D1935" w:rsidP="00E24DC9"/>
        </w:tc>
        <w:tc>
          <w:tcPr>
            <w:tcW w:w="995" w:type="dxa"/>
            <w:tcBorders>
              <w:top w:val="nil"/>
              <w:bottom w:val="nil"/>
            </w:tcBorders>
            <w:vAlign w:val="center"/>
          </w:tcPr>
          <w:p w14:paraId="54CB6EF8"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400.2953</w:t>
            </w:r>
          </w:p>
        </w:tc>
        <w:tc>
          <w:tcPr>
            <w:tcW w:w="1953" w:type="dxa"/>
            <w:vMerge/>
          </w:tcPr>
          <w:p w14:paraId="1B6D0CE4" w14:textId="77777777" w:rsidR="004D1935" w:rsidRDefault="004D1935" w:rsidP="00E24DC9"/>
        </w:tc>
        <w:tc>
          <w:tcPr>
            <w:tcW w:w="1341" w:type="dxa"/>
            <w:vMerge/>
          </w:tcPr>
          <w:p w14:paraId="419456C7" w14:textId="77777777" w:rsidR="004D1935" w:rsidRDefault="004D1935" w:rsidP="00E24DC9"/>
        </w:tc>
        <w:tc>
          <w:tcPr>
            <w:tcW w:w="1384" w:type="dxa"/>
            <w:vMerge/>
          </w:tcPr>
          <w:p w14:paraId="72D1E2DC" w14:textId="77777777" w:rsidR="004D1935" w:rsidRDefault="004D1935" w:rsidP="00E24DC9"/>
        </w:tc>
        <w:tc>
          <w:tcPr>
            <w:tcW w:w="8505" w:type="dxa"/>
            <w:vMerge/>
          </w:tcPr>
          <w:p w14:paraId="78F91891" w14:textId="77777777" w:rsidR="004D1935" w:rsidRDefault="004D1935" w:rsidP="00E24DC9"/>
        </w:tc>
      </w:tr>
      <w:tr w:rsidR="004D1935" w14:paraId="4C73CA3D" w14:textId="77777777" w:rsidTr="00E24DC9">
        <w:tc>
          <w:tcPr>
            <w:tcW w:w="707" w:type="dxa"/>
            <w:vMerge/>
          </w:tcPr>
          <w:p w14:paraId="654FDA8A" w14:textId="77777777" w:rsidR="004D1935" w:rsidRDefault="004D1935" w:rsidP="00E24DC9"/>
        </w:tc>
        <w:tc>
          <w:tcPr>
            <w:tcW w:w="995" w:type="dxa"/>
            <w:tcBorders>
              <w:top w:val="nil"/>
              <w:bottom w:val="nil"/>
            </w:tcBorders>
            <w:vAlign w:val="center"/>
          </w:tcPr>
          <w:p w14:paraId="437FD16D"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400.1333</w:t>
            </w:r>
          </w:p>
        </w:tc>
        <w:tc>
          <w:tcPr>
            <w:tcW w:w="1953" w:type="dxa"/>
            <w:vMerge/>
          </w:tcPr>
          <w:p w14:paraId="19920EA7" w14:textId="77777777" w:rsidR="004D1935" w:rsidRDefault="004D1935" w:rsidP="00E24DC9"/>
        </w:tc>
        <w:tc>
          <w:tcPr>
            <w:tcW w:w="1341" w:type="dxa"/>
            <w:vMerge/>
          </w:tcPr>
          <w:p w14:paraId="1348DE29" w14:textId="77777777" w:rsidR="004D1935" w:rsidRDefault="004D1935" w:rsidP="00E24DC9"/>
        </w:tc>
        <w:tc>
          <w:tcPr>
            <w:tcW w:w="1384" w:type="dxa"/>
            <w:vMerge/>
          </w:tcPr>
          <w:p w14:paraId="6D7F74ED" w14:textId="77777777" w:rsidR="004D1935" w:rsidRDefault="004D1935" w:rsidP="00E24DC9"/>
        </w:tc>
        <w:tc>
          <w:tcPr>
            <w:tcW w:w="8505" w:type="dxa"/>
            <w:vMerge/>
          </w:tcPr>
          <w:p w14:paraId="4DB5A47A" w14:textId="77777777" w:rsidR="004D1935" w:rsidRDefault="004D1935" w:rsidP="00E24DC9"/>
        </w:tc>
      </w:tr>
      <w:tr w:rsidR="004D1935" w14:paraId="0E8DCD2A" w14:textId="77777777" w:rsidTr="00E24DC9">
        <w:tc>
          <w:tcPr>
            <w:tcW w:w="707" w:type="dxa"/>
            <w:vMerge/>
          </w:tcPr>
          <w:p w14:paraId="112271E9" w14:textId="77777777" w:rsidR="004D1935" w:rsidRDefault="004D1935" w:rsidP="00E24DC9"/>
        </w:tc>
        <w:tc>
          <w:tcPr>
            <w:tcW w:w="995" w:type="dxa"/>
            <w:tcBorders>
              <w:top w:val="nil"/>
              <w:bottom w:val="nil"/>
            </w:tcBorders>
            <w:vAlign w:val="center"/>
          </w:tcPr>
          <w:p w14:paraId="7178B2C3"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400.2593</w:t>
            </w:r>
          </w:p>
        </w:tc>
        <w:tc>
          <w:tcPr>
            <w:tcW w:w="1953" w:type="dxa"/>
            <w:vMerge/>
          </w:tcPr>
          <w:p w14:paraId="3E6EC8BE" w14:textId="77777777" w:rsidR="004D1935" w:rsidRDefault="004D1935" w:rsidP="00E24DC9"/>
        </w:tc>
        <w:tc>
          <w:tcPr>
            <w:tcW w:w="1341" w:type="dxa"/>
            <w:vMerge/>
          </w:tcPr>
          <w:p w14:paraId="3B17FC10" w14:textId="77777777" w:rsidR="004D1935" w:rsidRDefault="004D1935" w:rsidP="00E24DC9"/>
        </w:tc>
        <w:tc>
          <w:tcPr>
            <w:tcW w:w="1384" w:type="dxa"/>
            <w:vMerge/>
          </w:tcPr>
          <w:p w14:paraId="222DBFE4" w14:textId="77777777" w:rsidR="004D1935" w:rsidRDefault="004D1935" w:rsidP="00E24DC9"/>
        </w:tc>
        <w:tc>
          <w:tcPr>
            <w:tcW w:w="8505" w:type="dxa"/>
            <w:vMerge/>
          </w:tcPr>
          <w:p w14:paraId="50274BA5" w14:textId="77777777" w:rsidR="004D1935" w:rsidRDefault="004D1935" w:rsidP="00E24DC9"/>
        </w:tc>
      </w:tr>
      <w:tr w:rsidR="004D1935" w14:paraId="4B483551" w14:textId="77777777" w:rsidTr="00E24DC9">
        <w:tc>
          <w:tcPr>
            <w:tcW w:w="707" w:type="dxa"/>
            <w:vMerge/>
          </w:tcPr>
          <w:p w14:paraId="71047E06" w14:textId="77777777" w:rsidR="004D1935" w:rsidRDefault="004D1935" w:rsidP="00E24DC9"/>
        </w:tc>
        <w:tc>
          <w:tcPr>
            <w:tcW w:w="995" w:type="dxa"/>
            <w:tcBorders>
              <w:top w:val="nil"/>
              <w:bottom w:val="nil"/>
            </w:tcBorders>
            <w:vAlign w:val="center"/>
          </w:tcPr>
          <w:p w14:paraId="5463AE1B"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400.3042</w:t>
            </w:r>
          </w:p>
        </w:tc>
        <w:tc>
          <w:tcPr>
            <w:tcW w:w="1953" w:type="dxa"/>
            <w:vMerge/>
          </w:tcPr>
          <w:p w14:paraId="0F1B1A74" w14:textId="77777777" w:rsidR="004D1935" w:rsidRDefault="004D1935" w:rsidP="00E24DC9"/>
        </w:tc>
        <w:tc>
          <w:tcPr>
            <w:tcW w:w="1341" w:type="dxa"/>
            <w:vMerge/>
          </w:tcPr>
          <w:p w14:paraId="1DD2830C" w14:textId="77777777" w:rsidR="004D1935" w:rsidRDefault="004D1935" w:rsidP="00E24DC9"/>
        </w:tc>
        <w:tc>
          <w:tcPr>
            <w:tcW w:w="1384" w:type="dxa"/>
            <w:vMerge/>
          </w:tcPr>
          <w:p w14:paraId="2FFA31F6" w14:textId="77777777" w:rsidR="004D1935" w:rsidRDefault="004D1935" w:rsidP="00E24DC9"/>
        </w:tc>
        <w:tc>
          <w:tcPr>
            <w:tcW w:w="8505" w:type="dxa"/>
            <w:vMerge/>
          </w:tcPr>
          <w:p w14:paraId="2C5B7299" w14:textId="77777777" w:rsidR="004D1935" w:rsidRDefault="004D1935" w:rsidP="00E24DC9"/>
        </w:tc>
      </w:tr>
      <w:tr w:rsidR="004D1935" w14:paraId="0F516F03" w14:textId="77777777" w:rsidTr="00E24DC9">
        <w:tc>
          <w:tcPr>
            <w:tcW w:w="707" w:type="dxa"/>
            <w:vMerge/>
          </w:tcPr>
          <w:p w14:paraId="2C32472F" w14:textId="77777777" w:rsidR="004D1935" w:rsidRDefault="004D1935" w:rsidP="00E24DC9"/>
        </w:tc>
        <w:tc>
          <w:tcPr>
            <w:tcW w:w="995" w:type="dxa"/>
            <w:tcBorders>
              <w:top w:val="nil"/>
            </w:tcBorders>
            <w:vAlign w:val="center"/>
          </w:tcPr>
          <w:p w14:paraId="1FE198FD" w14:textId="77777777" w:rsidR="004D1935" w:rsidRPr="005C3CC6" w:rsidRDefault="004D1935" w:rsidP="00E24DC9">
            <w:pPr>
              <w:jc w:val="center"/>
              <w:rPr>
                <w:rFonts w:ascii="Calibri" w:hAnsi="Calibri" w:cs="Calibri"/>
                <w:color w:val="000000"/>
                <w:sz w:val="15"/>
                <w:szCs w:val="15"/>
              </w:rPr>
            </w:pPr>
            <w:r w:rsidRPr="005C3CC6">
              <w:rPr>
                <w:rFonts w:ascii="Calibri" w:hAnsi="Calibri" w:cs="Calibri"/>
                <w:color w:val="000000"/>
                <w:sz w:val="15"/>
                <w:szCs w:val="15"/>
              </w:rPr>
              <w:t>400.1348</w:t>
            </w:r>
          </w:p>
        </w:tc>
        <w:tc>
          <w:tcPr>
            <w:tcW w:w="1953" w:type="dxa"/>
            <w:vMerge/>
          </w:tcPr>
          <w:p w14:paraId="2CB6DD41" w14:textId="77777777" w:rsidR="004D1935" w:rsidRDefault="004D1935" w:rsidP="00E24DC9"/>
        </w:tc>
        <w:tc>
          <w:tcPr>
            <w:tcW w:w="1341" w:type="dxa"/>
            <w:vMerge/>
          </w:tcPr>
          <w:p w14:paraId="7E52DB0E" w14:textId="77777777" w:rsidR="004D1935" w:rsidRDefault="004D1935" w:rsidP="00E24DC9"/>
        </w:tc>
        <w:tc>
          <w:tcPr>
            <w:tcW w:w="1384" w:type="dxa"/>
            <w:vMerge/>
          </w:tcPr>
          <w:p w14:paraId="4BAA9D20" w14:textId="77777777" w:rsidR="004D1935" w:rsidRDefault="004D1935" w:rsidP="00E24DC9"/>
        </w:tc>
        <w:tc>
          <w:tcPr>
            <w:tcW w:w="8505" w:type="dxa"/>
            <w:vMerge/>
          </w:tcPr>
          <w:p w14:paraId="6B5AA3F9" w14:textId="77777777" w:rsidR="004D1935" w:rsidRDefault="004D1935" w:rsidP="00E24DC9"/>
        </w:tc>
      </w:tr>
    </w:tbl>
    <w:p w14:paraId="421C7AC4" w14:textId="77777777" w:rsidR="004D1935" w:rsidRDefault="004D1935" w:rsidP="004D1935"/>
    <w:p w14:paraId="599E7F47" w14:textId="77777777" w:rsidR="004D1935" w:rsidRDefault="004D1935" w:rsidP="004D1935"/>
    <w:p w14:paraId="3085AAF9" w14:textId="77777777" w:rsidR="004D1935" w:rsidRDefault="004D1935" w:rsidP="004D1935"/>
    <w:p w14:paraId="12FCE6AE" w14:textId="77777777" w:rsidR="004D1935" w:rsidRDefault="004D1935" w:rsidP="004D1935"/>
    <w:p w14:paraId="0B2A5AFC" w14:textId="77777777" w:rsidR="004D1935" w:rsidRDefault="004D1935" w:rsidP="004D1935"/>
    <w:p w14:paraId="72F12ABE" w14:textId="0BD93BEC" w:rsidR="004D1935" w:rsidRDefault="004D1935" w:rsidP="004D1935"/>
    <w:p w14:paraId="27DC8575" w14:textId="77777777" w:rsidR="00284587" w:rsidRDefault="00284587" w:rsidP="004D1935"/>
    <w:p w14:paraId="2901B9E1" w14:textId="77777777" w:rsidR="004D1935" w:rsidRDefault="004D1935" w:rsidP="004D1935"/>
    <w:p w14:paraId="4244B425" w14:textId="77777777" w:rsidR="004D1935" w:rsidRPr="00251B92" w:rsidRDefault="004D1935" w:rsidP="004D1935">
      <w:pPr>
        <w:autoSpaceDE w:val="0"/>
        <w:autoSpaceDN w:val="0"/>
        <w:adjustRightInd w:val="0"/>
        <w:rPr>
          <w:rFonts w:eastAsiaTheme="minorHAnsi"/>
          <w:sz w:val="16"/>
          <w:szCs w:val="16"/>
        </w:rPr>
      </w:pPr>
      <w:r>
        <w:rPr>
          <w:rFonts w:eastAsiaTheme="minorHAnsi"/>
          <w:sz w:val="16"/>
          <w:szCs w:val="16"/>
        </w:rPr>
        <w:lastRenderedPageBreak/>
        <w:t>Table A 4.16: Discriminant mass bins (274.2) in root organic phase and their associated detected masses looking for compound identification accounts for protonated adduct (H) and K, NA</w:t>
      </w:r>
      <w:r w:rsidRPr="00396597">
        <w:rPr>
          <w:rFonts w:eastAsiaTheme="minorHAnsi"/>
          <w:sz w:val="16"/>
          <w:szCs w:val="16"/>
        </w:rPr>
        <w:t xml:space="preserve"> </w:t>
      </w:r>
      <w:r>
        <w:rPr>
          <w:rFonts w:eastAsiaTheme="minorHAnsi"/>
          <w:sz w:val="16"/>
          <w:szCs w:val="16"/>
        </w:rPr>
        <w:t>in positive mode in the analysis. The putatively identified compounds, their chemical groups, and the associated pathways are displayed.</w:t>
      </w:r>
    </w:p>
    <w:tbl>
      <w:tblPr>
        <w:tblStyle w:val="TableGrid"/>
        <w:tblW w:w="15027" w:type="dxa"/>
        <w:tblInd w:w="-998" w:type="dxa"/>
        <w:tblLook w:val="04A0" w:firstRow="1" w:lastRow="0" w:firstColumn="1" w:lastColumn="0" w:noHBand="0" w:noVBand="1"/>
      </w:tblPr>
      <w:tblGrid>
        <w:gridCol w:w="706"/>
        <w:gridCol w:w="1120"/>
        <w:gridCol w:w="3309"/>
        <w:gridCol w:w="1321"/>
        <w:gridCol w:w="1683"/>
        <w:gridCol w:w="6888"/>
      </w:tblGrid>
      <w:tr w:rsidR="004D1935" w14:paraId="5FCBF876" w14:textId="77777777" w:rsidTr="00E24DC9">
        <w:tc>
          <w:tcPr>
            <w:tcW w:w="706" w:type="dxa"/>
            <w:vAlign w:val="center"/>
          </w:tcPr>
          <w:p w14:paraId="60BFCD40" w14:textId="77777777" w:rsidR="004D1935" w:rsidRPr="00F1161C" w:rsidRDefault="004D1935" w:rsidP="00E24DC9">
            <w:pPr>
              <w:jc w:val="center"/>
              <w:rPr>
                <w:sz w:val="16"/>
                <w:szCs w:val="16"/>
              </w:rPr>
            </w:pPr>
            <w:r w:rsidRPr="00F1161C">
              <w:rPr>
                <w:sz w:val="16"/>
                <w:szCs w:val="16"/>
              </w:rPr>
              <w:t>Adduct</w:t>
            </w:r>
          </w:p>
        </w:tc>
        <w:tc>
          <w:tcPr>
            <w:tcW w:w="1120" w:type="dxa"/>
            <w:tcBorders>
              <w:bottom w:val="single" w:sz="4" w:space="0" w:color="auto"/>
            </w:tcBorders>
            <w:vAlign w:val="center"/>
          </w:tcPr>
          <w:p w14:paraId="3931F9F9" w14:textId="77777777" w:rsidR="004D1935" w:rsidRPr="002436F2" w:rsidRDefault="004D1935" w:rsidP="00E24DC9">
            <w:pPr>
              <w:jc w:val="center"/>
              <w:rPr>
                <w:sz w:val="18"/>
                <w:szCs w:val="18"/>
              </w:rPr>
            </w:pPr>
            <w:r w:rsidRPr="002436F2">
              <w:rPr>
                <w:sz w:val="18"/>
                <w:szCs w:val="18"/>
              </w:rPr>
              <w:t>Mass detected</w:t>
            </w:r>
          </w:p>
        </w:tc>
        <w:tc>
          <w:tcPr>
            <w:tcW w:w="3309" w:type="dxa"/>
            <w:vAlign w:val="center"/>
          </w:tcPr>
          <w:p w14:paraId="4D4FAA9C" w14:textId="77777777" w:rsidR="004D1935" w:rsidRPr="00F1161C" w:rsidRDefault="004D1935" w:rsidP="00E24DC9">
            <w:pPr>
              <w:jc w:val="center"/>
              <w:rPr>
                <w:sz w:val="16"/>
                <w:szCs w:val="16"/>
              </w:rPr>
            </w:pPr>
            <w:r w:rsidRPr="00F1161C">
              <w:rPr>
                <w:rFonts w:asciiTheme="majorBidi" w:hAnsiTheme="majorBidi" w:cstheme="majorBidi"/>
                <w:color w:val="000000" w:themeColor="text1"/>
                <w:sz w:val="16"/>
                <w:szCs w:val="16"/>
              </w:rPr>
              <w:t>COMPOUNDS NAME</w:t>
            </w:r>
          </w:p>
        </w:tc>
        <w:tc>
          <w:tcPr>
            <w:tcW w:w="1321" w:type="dxa"/>
            <w:vAlign w:val="center"/>
          </w:tcPr>
          <w:p w14:paraId="045104C2" w14:textId="77777777" w:rsidR="004D1935" w:rsidRPr="00F1161C" w:rsidRDefault="004D1935" w:rsidP="00E24DC9">
            <w:pPr>
              <w:jc w:val="center"/>
              <w:rPr>
                <w:sz w:val="16"/>
                <w:szCs w:val="16"/>
              </w:rPr>
            </w:pPr>
            <w:r w:rsidRPr="00F1161C">
              <w:rPr>
                <w:rFonts w:asciiTheme="majorBidi" w:hAnsiTheme="majorBidi" w:cstheme="majorBidi"/>
                <w:color w:val="000000" w:themeColor="text1"/>
                <w:sz w:val="16"/>
                <w:szCs w:val="16"/>
              </w:rPr>
              <w:t>chemical formula</w:t>
            </w:r>
          </w:p>
        </w:tc>
        <w:tc>
          <w:tcPr>
            <w:tcW w:w="1683" w:type="dxa"/>
            <w:vAlign w:val="center"/>
          </w:tcPr>
          <w:p w14:paraId="33303109" w14:textId="77777777" w:rsidR="004D1935" w:rsidRPr="00F1161C" w:rsidRDefault="004D1935" w:rsidP="00E24DC9">
            <w:pPr>
              <w:jc w:val="center"/>
              <w:rPr>
                <w:sz w:val="16"/>
                <w:szCs w:val="16"/>
              </w:rPr>
            </w:pPr>
            <w:r w:rsidRPr="00F1161C">
              <w:rPr>
                <w:rFonts w:asciiTheme="majorBidi" w:hAnsiTheme="majorBidi" w:cstheme="majorBidi"/>
                <w:color w:val="000000" w:themeColor="text1"/>
                <w:sz w:val="16"/>
                <w:szCs w:val="16"/>
              </w:rPr>
              <w:t>chemical group</w:t>
            </w:r>
          </w:p>
        </w:tc>
        <w:tc>
          <w:tcPr>
            <w:tcW w:w="6888" w:type="dxa"/>
            <w:vAlign w:val="center"/>
          </w:tcPr>
          <w:p w14:paraId="5AD606B3" w14:textId="77777777" w:rsidR="004D1935" w:rsidRPr="00F1161C" w:rsidRDefault="004D1935" w:rsidP="00E24DC9">
            <w:pPr>
              <w:jc w:val="center"/>
              <w:rPr>
                <w:sz w:val="16"/>
                <w:szCs w:val="16"/>
              </w:rPr>
            </w:pPr>
            <w:r w:rsidRPr="00F1161C">
              <w:rPr>
                <w:rFonts w:asciiTheme="majorBidi" w:hAnsiTheme="majorBidi" w:cstheme="majorBidi"/>
                <w:color w:val="000000" w:themeColor="text1"/>
                <w:sz w:val="16"/>
                <w:szCs w:val="16"/>
              </w:rPr>
              <w:t>pathway</w:t>
            </w:r>
          </w:p>
        </w:tc>
      </w:tr>
      <w:tr w:rsidR="004D1935" w14:paraId="03EA5531" w14:textId="77777777" w:rsidTr="00E24DC9">
        <w:tc>
          <w:tcPr>
            <w:tcW w:w="706" w:type="dxa"/>
            <w:vMerge w:val="restart"/>
            <w:vAlign w:val="center"/>
          </w:tcPr>
          <w:p w14:paraId="2F07B53D" w14:textId="77777777" w:rsidR="004D1935" w:rsidRDefault="004D1935" w:rsidP="00E24DC9">
            <w:pPr>
              <w:jc w:val="center"/>
            </w:pPr>
            <w:r>
              <w:t>H</w:t>
            </w:r>
          </w:p>
        </w:tc>
        <w:tc>
          <w:tcPr>
            <w:tcW w:w="1120" w:type="dxa"/>
            <w:tcBorders>
              <w:bottom w:val="nil"/>
            </w:tcBorders>
            <w:vAlign w:val="center"/>
          </w:tcPr>
          <w:p w14:paraId="55C0ADFD" w14:textId="77777777" w:rsidR="004D1935" w:rsidRPr="002436F2" w:rsidRDefault="004D1935" w:rsidP="00E24DC9">
            <w:pPr>
              <w:jc w:val="center"/>
              <w:rPr>
                <w:sz w:val="18"/>
                <w:szCs w:val="18"/>
              </w:rPr>
            </w:pPr>
            <w:r w:rsidRPr="002436F2">
              <w:rPr>
                <w:rFonts w:ascii="Calibri" w:hAnsi="Calibri" w:cs="Calibri"/>
                <w:color w:val="000000"/>
                <w:sz w:val="18"/>
                <w:szCs w:val="18"/>
              </w:rPr>
              <w:t>273.1325</w:t>
            </w:r>
          </w:p>
        </w:tc>
        <w:tc>
          <w:tcPr>
            <w:tcW w:w="3309" w:type="dxa"/>
            <w:vMerge w:val="restart"/>
            <w:vAlign w:val="center"/>
          </w:tcPr>
          <w:p w14:paraId="5BDFB207" w14:textId="77777777" w:rsidR="004D1935" w:rsidRPr="00FC52C1" w:rsidRDefault="00000000" w:rsidP="00E24DC9">
            <w:pPr>
              <w:jc w:val="center"/>
              <w:rPr>
                <w:color w:val="000000" w:themeColor="text1"/>
              </w:rPr>
            </w:pPr>
            <w:hyperlink r:id="rId120" w:history="1">
              <w:r w:rsidR="004D1935" w:rsidRPr="00FC52C1">
                <w:rPr>
                  <w:rFonts w:ascii="Calibri" w:hAnsi="Calibri" w:cs="Calibri"/>
                  <w:color w:val="000000" w:themeColor="text1"/>
                  <w:sz w:val="20"/>
                  <w:szCs w:val="20"/>
                </w:rPr>
                <w:t>normaritidine</w:t>
              </w:r>
            </w:hyperlink>
          </w:p>
          <w:p w14:paraId="2FBD9EB2" w14:textId="77777777" w:rsidR="004D1935" w:rsidRPr="00FC52C1" w:rsidRDefault="00000000" w:rsidP="00E24DC9">
            <w:pPr>
              <w:jc w:val="center"/>
              <w:rPr>
                <w:color w:val="000000" w:themeColor="text1"/>
              </w:rPr>
            </w:pPr>
            <w:hyperlink r:id="rId121" w:history="1">
              <w:r w:rsidR="004D1935" w:rsidRPr="00FC52C1">
                <w:rPr>
                  <w:rFonts w:ascii="Calibri" w:hAnsi="Calibri" w:cs="Calibri"/>
                  <w:color w:val="000000" w:themeColor="text1"/>
                  <w:sz w:val="20"/>
                  <w:szCs w:val="20"/>
                </w:rPr>
                <w:t>4'-O-methylnorbelladine</w:t>
              </w:r>
            </w:hyperlink>
          </w:p>
          <w:p w14:paraId="187DD893" w14:textId="77777777" w:rsidR="004D1935" w:rsidRPr="00FC52C1" w:rsidRDefault="00000000" w:rsidP="00E24DC9">
            <w:pPr>
              <w:jc w:val="center"/>
              <w:rPr>
                <w:color w:val="000000" w:themeColor="text1"/>
              </w:rPr>
            </w:pPr>
            <w:hyperlink r:id="rId122" w:history="1">
              <w:r w:rsidR="004D1935" w:rsidRPr="00FC52C1">
                <w:rPr>
                  <w:rFonts w:ascii="Calibri" w:hAnsi="Calibri" w:cs="Calibri"/>
                  <w:color w:val="000000" w:themeColor="text1"/>
                  <w:sz w:val="20"/>
                  <w:szCs w:val="20"/>
                </w:rPr>
                <w:t>N-demethylgalanthamine</w:t>
              </w:r>
            </w:hyperlink>
          </w:p>
          <w:p w14:paraId="2EEA44F0" w14:textId="77777777" w:rsidR="004D1935" w:rsidRPr="00FC52C1" w:rsidRDefault="00000000" w:rsidP="00E24DC9">
            <w:pPr>
              <w:jc w:val="center"/>
              <w:rPr>
                <w:color w:val="000000" w:themeColor="text1"/>
              </w:rPr>
            </w:pPr>
            <w:hyperlink r:id="rId123" w:history="1">
              <w:r w:rsidR="004D1935" w:rsidRPr="00FC52C1">
                <w:rPr>
                  <w:rFonts w:ascii="Calibri" w:hAnsi="Calibri" w:cs="Calibri"/>
                  <w:color w:val="000000" w:themeColor="text1"/>
                  <w:sz w:val="20"/>
                  <w:szCs w:val="20"/>
                </w:rPr>
                <w:t>(-)-8-demethylmaritidine</w:t>
              </w:r>
            </w:hyperlink>
          </w:p>
        </w:tc>
        <w:tc>
          <w:tcPr>
            <w:tcW w:w="1321" w:type="dxa"/>
            <w:vMerge w:val="restart"/>
            <w:vAlign w:val="center"/>
          </w:tcPr>
          <w:p w14:paraId="6C63743D" w14:textId="77777777" w:rsidR="004D1935" w:rsidRPr="00FC52C1" w:rsidRDefault="004D1935" w:rsidP="00E24DC9">
            <w:pPr>
              <w:jc w:val="center"/>
              <w:rPr>
                <w:color w:val="000000" w:themeColor="text1"/>
              </w:rPr>
            </w:pPr>
            <w:r w:rsidRPr="00FC52C1">
              <w:rPr>
                <w:rFonts w:ascii="Arial" w:hAnsi="Arial" w:cs="Arial"/>
                <w:color w:val="000000" w:themeColor="text1"/>
                <w:sz w:val="20"/>
                <w:szCs w:val="20"/>
              </w:rPr>
              <w:t>C</w:t>
            </w:r>
            <w:r w:rsidRPr="00FC52C1">
              <w:rPr>
                <w:rFonts w:ascii="Arial" w:hAnsi="Arial" w:cs="Arial"/>
                <w:color w:val="000000" w:themeColor="text1"/>
                <w:sz w:val="20"/>
                <w:szCs w:val="20"/>
                <w:vertAlign w:val="subscript"/>
              </w:rPr>
              <w:t>16</w:t>
            </w:r>
            <w:r w:rsidRPr="00FC52C1">
              <w:rPr>
                <w:rFonts w:ascii="Arial" w:hAnsi="Arial" w:cs="Arial"/>
                <w:color w:val="000000" w:themeColor="text1"/>
                <w:sz w:val="20"/>
                <w:szCs w:val="20"/>
              </w:rPr>
              <w:t>H</w:t>
            </w:r>
            <w:r w:rsidRPr="00FC52C1">
              <w:rPr>
                <w:rFonts w:ascii="Arial" w:hAnsi="Arial" w:cs="Arial"/>
                <w:color w:val="000000" w:themeColor="text1"/>
                <w:sz w:val="20"/>
                <w:szCs w:val="20"/>
                <w:vertAlign w:val="subscript"/>
              </w:rPr>
              <w:t>19</w:t>
            </w:r>
            <w:r w:rsidRPr="00FC52C1">
              <w:rPr>
                <w:rFonts w:ascii="Arial" w:hAnsi="Arial" w:cs="Arial"/>
                <w:color w:val="000000" w:themeColor="text1"/>
                <w:sz w:val="20"/>
                <w:szCs w:val="20"/>
              </w:rPr>
              <w:t>NO</w:t>
            </w:r>
            <w:r w:rsidRPr="00FC52C1">
              <w:rPr>
                <w:rFonts w:ascii="Arial" w:hAnsi="Arial" w:cs="Arial"/>
                <w:color w:val="000000" w:themeColor="text1"/>
                <w:sz w:val="20"/>
                <w:szCs w:val="20"/>
                <w:vertAlign w:val="subscript"/>
              </w:rPr>
              <w:t>3</w:t>
            </w:r>
          </w:p>
          <w:p w14:paraId="3E6F4C2F" w14:textId="77777777" w:rsidR="004D1935" w:rsidRPr="00FC52C1" w:rsidRDefault="004D1935" w:rsidP="00E24DC9">
            <w:pPr>
              <w:jc w:val="center"/>
              <w:rPr>
                <w:color w:val="000000" w:themeColor="text1"/>
              </w:rPr>
            </w:pPr>
            <w:r w:rsidRPr="00FC52C1">
              <w:rPr>
                <w:rFonts w:ascii="Arial" w:hAnsi="Arial" w:cs="Arial"/>
                <w:color w:val="000000" w:themeColor="text1"/>
                <w:sz w:val="20"/>
                <w:szCs w:val="20"/>
              </w:rPr>
              <w:t>C</w:t>
            </w:r>
            <w:r w:rsidRPr="00FC52C1">
              <w:rPr>
                <w:rFonts w:ascii="Arial" w:hAnsi="Arial" w:cs="Arial"/>
                <w:color w:val="000000" w:themeColor="text1"/>
                <w:sz w:val="20"/>
                <w:szCs w:val="20"/>
                <w:vertAlign w:val="subscript"/>
              </w:rPr>
              <w:t>16</w:t>
            </w:r>
            <w:r w:rsidRPr="00FC52C1">
              <w:rPr>
                <w:rFonts w:ascii="Arial" w:hAnsi="Arial" w:cs="Arial"/>
                <w:color w:val="000000" w:themeColor="text1"/>
                <w:sz w:val="20"/>
                <w:szCs w:val="20"/>
              </w:rPr>
              <w:t>H</w:t>
            </w:r>
            <w:r w:rsidRPr="00FC52C1">
              <w:rPr>
                <w:rFonts w:ascii="Arial" w:hAnsi="Arial" w:cs="Arial"/>
                <w:color w:val="000000" w:themeColor="text1"/>
                <w:sz w:val="20"/>
                <w:szCs w:val="20"/>
                <w:vertAlign w:val="subscript"/>
              </w:rPr>
              <w:t>19</w:t>
            </w:r>
            <w:r w:rsidRPr="00FC52C1">
              <w:rPr>
                <w:rFonts w:ascii="Arial" w:hAnsi="Arial" w:cs="Arial"/>
                <w:color w:val="000000" w:themeColor="text1"/>
                <w:sz w:val="20"/>
                <w:szCs w:val="20"/>
              </w:rPr>
              <w:t>NO</w:t>
            </w:r>
            <w:r w:rsidRPr="00FC52C1">
              <w:rPr>
                <w:rFonts w:ascii="Arial" w:hAnsi="Arial" w:cs="Arial"/>
                <w:color w:val="000000" w:themeColor="text1"/>
                <w:sz w:val="20"/>
                <w:szCs w:val="20"/>
                <w:vertAlign w:val="subscript"/>
              </w:rPr>
              <w:t>3</w:t>
            </w:r>
          </w:p>
          <w:p w14:paraId="4ECA8303" w14:textId="77777777" w:rsidR="004D1935" w:rsidRPr="00FC52C1" w:rsidRDefault="004D1935" w:rsidP="00E24DC9">
            <w:pPr>
              <w:jc w:val="center"/>
              <w:rPr>
                <w:color w:val="000000" w:themeColor="text1"/>
              </w:rPr>
            </w:pPr>
            <w:r w:rsidRPr="00FC52C1">
              <w:rPr>
                <w:rFonts w:ascii="Arial" w:hAnsi="Arial" w:cs="Arial"/>
                <w:color w:val="000000" w:themeColor="text1"/>
                <w:sz w:val="20"/>
                <w:szCs w:val="20"/>
              </w:rPr>
              <w:t>C</w:t>
            </w:r>
            <w:r w:rsidRPr="00FC52C1">
              <w:rPr>
                <w:rFonts w:ascii="Arial" w:hAnsi="Arial" w:cs="Arial"/>
                <w:color w:val="000000" w:themeColor="text1"/>
                <w:sz w:val="20"/>
                <w:szCs w:val="20"/>
                <w:vertAlign w:val="subscript"/>
              </w:rPr>
              <w:t>16</w:t>
            </w:r>
            <w:r w:rsidRPr="00FC52C1">
              <w:rPr>
                <w:rFonts w:ascii="Arial" w:hAnsi="Arial" w:cs="Arial"/>
                <w:color w:val="000000" w:themeColor="text1"/>
                <w:sz w:val="20"/>
                <w:szCs w:val="20"/>
              </w:rPr>
              <w:t>H</w:t>
            </w:r>
            <w:r w:rsidRPr="00FC52C1">
              <w:rPr>
                <w:rFonts w:ascii="Arial" w:hAnsi="Arial" w:cs="Arial"/>
                <w:color w:val="000000" w:themeColor="text1"/>
                <w:sz w:val="20"/>
                <w:szCs w:val="20"/>
                <w:vertAlign w:val="subscript"/>
              </w:rPr>
              <w:t>19</w:t>
            </w:r>
            <w:r w:rsidRPr="00FC52C1">
              <w:rPr>
                <w:rFonts w:ascii="Arial" w:hAnsi="Arial" w:cs="Arial"/>
                <w:color w:val="000000" w:themeColor="text1"/>
                <w:sz w:val="20"/>
                <w:szCs w:val="20"/>
              </w:rPr>
              <w:t>NO</w:t>
            </w:r>
            <w:r w:rsidRPr="00FC52C1">
              <w:rPr>
                <w:rFonts w:ascii="Arial" w:hAnsi="Arial" w:cs="Arial"/>
                <w:color w:val="000000" w:themeColor="text1"/>
                <w:sz w:val="20"/>
                <w:szCs w:val="20"/>
                <w:vertAlign w:val="subscript"/>
              </w:rPr>
              <w:t>3</w:t>
            </w:r>
          </w:p>
          <w:p w14:paraId="4A10DF0F" w14:textId="77777777" w:rsidR="004D1935" w:rsidRPr="00FC52C1" w:rsidRDefault="004D1935" w:rsidP="00E24DC9">
            <w:pPr>
              <w:jc w:val="center"/>
              <w:rPr>
                <w:color w:val="000000" w:themeColor="text1"/>
              </w:rPr>
            </w:pPr>
            <w:r w:rsidRPr="00FC52C1">
              <w:rPr>
                <w:rFonts w:ascii="Arial" w:hAnsi="Arial" w:cs="Arial"/>
                <w:color w:val="000000" w:themeColor="text1"/>
                <w:sz w:val="20"/>
                <w:szCs w:val="20"/>
              </w:rPr>
              <w:t>C</w:t>
            </w:r>
            <w:r w:rsidRPr="00FC52C1">
              <w:rPr>
                <w:rFonts w:ascii="Arial" w:hAnsi="Arial" w:cs="Arial"/>
                <w:color w:val="000000" w:themeColor="text1"/>
                <w:sz w:val="20"/>
                <w:szCs w:val="20"/>
                <w:vertAlign w:val="subscript"/>
              </w:rPr>
              <w:t>16</w:t>
            </w:r>
            <w:r w:rsidRPr="00FC52C1">
              <w:rPr>
                <w:rFonts w:ascii="Arial" w:hAnsi="Arial" w:cs="Arial"/>
                <w:color w:val="000000" w:themeColor="text1"/>
                <w:sz w:val="20"/>
                <w:szCs w:val="20"/>
              </w:rPr>
              <w:t>H</w:t>
            </w:r>
            <w:r w:rsidRPr="00FC52C1">
              <w:rPr>
                <w:rFonts w:ascii="Arial" w:hAnsi="Arial" w:cs="Arial"/>
                <w:color w:val="000000" w:themeColor="text1"/>
                <w:sz w:val="20"/>
                <w:szCs w:val="20"/>
                <w:vertAlign w:val="subscript"/>
              </w:rPr>
              <w:t>19</w:t>
            </w:r>
            <w:r w:rsidRPr="00FC52C1">
              <w:rPr>
                <w:rFonts w:ascii="Arial" w:hAnsi="Arial" w:cs="Arial"/>
                <w:color w:val="000000" w:themeColor="text1"/>
                <w:sz w:val="20"/>
                <w:szCs w:val="20"/>
              </w:rPr>
              <w:t>NO</w:t>
            </w:r>
            <w:r w:rsidRPr="00FC52C1">
              <w:rPr>
                <w:rFonts w:ascii="Arial" w:hAnsi="Arial" w:cs="Arial"/>
                <w:color w:val="000000" w:themeColor="text1"/>
                <w:sz w:val="20"/>
                <w:szCs w:val="20"/>
                <w:vertAlign w:val="subscript"/>
              </w:rPr>
              <w:t>3</w:t>
            </w:r>
          </w:p>
        </w:tc>
        <w:tc>
          <w:tcPr>
            <w:tcW w:w="1683" w:type="dxa"/>
            <w:vMerge w:val="restart"/>
            <w:vAlign w:val="center"/>
          </w:tcPr>
          <w:p w14:paraId="044A1B8B" w14:textId="77777777" w:rsidR="004D1935" w:rsidRPr="00FC52C1" w:rsidRDefault="004D1935" w:rsidP="00E24DC9">
            <w:pPr>
              <w:jc w:val="center"/>
              <w:rPr>
                <w:color w:val="000000" w:themeColor="text1"/>
              </w:rPr>
            </w:pPr>
            <w:r w:rsidRPr="00FC52C1">
              <w:rPr>
                <w:rFonts w:ascii="Calibri" w:hAnsi="Calibri" w:cs="Calibri"/>
                <w:color w:val="000000" w:themeColor="text1"/>
                <w:sz w:val="20"/>
                <w:szCs w:val="20"/>
              </w:rPr>
              <w:t>alkaloids</w:t>
            </w:r>
          </w:p>
          <w:p w14:paraId="2A0F55D9" w14:textId="77777777" w:rsidR="004D1935" w:rsidRPr="00FC52C1" w:rsidRDefault="004D1935" w:rsidP="00E24DC9">
            <w:pPr>
              <w:jc w:val="center"/>
              <w:rPr>
                <w:color w:val="000000" w:themeColor="text1"/>
              </w:rPr>
            </w:pPr>
            <w:r w:rsidRPr="00FC52C1">
              <w:rPr>
                <w:rFonts w:ascii="Calibri" w:hAnsi="Calibri" w:cs="Calibri"/>
                <w:color w:val="000000" w:themeColor="text1"/>
                <w:sz w:val="20"/>
                <w:szCs w:val="20"/>
              </w:rPr>
              <w:t>alkaloids</w:t>
            </w:r>
          </w:p>
          <w:p w14:paraId="295D4212" w14:textId="77777777" w:rsidR="004D1935" w:rsidRPr="00FC52C1" w:rsidRDefault="004D1935" w:rsidP="00E24DC9">
            <w:pPr>
              <w:jc w:val="center"/>
              <w:rPr>
                <w:color w:val="000000" w:themeColor="text1"/>
              </w:rPr>
            </w:pPr>
            <w:r w:rsidRPr="00FC52C1">
              <w:rPr>
                <w:rFonts w:ascii="Calibri" w:hAnsi="Calibri" w:cs="Calibri"/>
                <w:color w:val="000000" w:themeColor="text1"/>
                <w:sz w:val="20"/>
                <w:szCs w:val="20"/>
              </w:rPr>
              <w:t>alkaloids</w:t>
            </w:r>
          </w:p>
          <w:p w14:paraId="79BC7704" w14:textId="77777777" w:rsidR="004D1935" w:rsidRPr="00FC52C1" w:rsidRDefault="004D1935" w:rsidP="00E24DC9">
            <w:pPr>
              <w:jc w:val="center"/>
              <w:rPr>
                <w:color w:val="000000" w:themeColor="text1"/>
              </w:rPr>
            </w:pPr>
            <w:r w:rsidRPr="00FC52C1">
              <w:rPr>
                <w:rFonts w:ascii="Calibri" w:hAnsi="Calibri" w:cs="Calibri"/>
                <w:color w:val="000000" w:themeColor="text1"/>
                <w:sz w:val="20"/>
                <w:szCs w:val="20"/>
              </w:rPr>
              <w:t>alkaloids</w:t>
            </w:r>
          </w:p>
        </w:tc>
        <w:tc>
          <w:tcPr>
            <w:tcW w:w="6888" w:type="dxa"/>
            <w:vMerge w:val="restart"/>
            <w:vAlign w:val="center"/>
          </w:tcPr>
          <w:p w14:paraId="4E2EC36C" w14:textId="77777777" w:rsidR="004D1935" w:rsidRPr="003D4A36" w:rsidRDefault="004D1935" w:rsidP="00E24DC9">
            <w:pPr>
              <w:jc w:val="center"/>
              <w:rPr>
                <w:color w:val="000000" w:themeColor="text1"/>
                <w:sz w:val="16"/>
                <w:szCs w:val="16"/>
              </w:rPr>
            </w:pPr>
            <w:r w:rsidRPr="003D4A36">
              <w:rPr>
                <w:rFonts w:ascii="Verdana" w:hAnsi="Verdana" w:cs="Calibri"/>
                <w:color w:val="000000" w:themeColor="text1"/>
                <w:sz w:val="16"/>
                <w:szCs w:val="16"/>
              </w:rPr>
              <w:t>Isoquinoline alkaloid biosynthesis/shikimate pathway/jasmonic acid biosynthesis</w:t>
            </w:r>
          </w:p>
          <w:p w14:paraId="730BE085" w14:textId="77777777" w:rsidR="004D1935" w:rsidRPr="003D4A36" w:rsidRDefault="004D1935" w:rsidP="00E24DC9">
            <w:pPr>
              <w:jc w:val="center"/>
              <w:rPr>
                <w:color w:val="000000" w:themeColor="text1"/>
                <w:sz w:val="16"/>
                <w:szCs w:val="16"/>
              </w:rPr>
            </w:pPr>
            <w:r w:rsidRPr="003D4A36">
              <w:rPr>
                <w:rFonts w:ascii="Verdana" w:hAnsi="Verdana" w:cs="Calibri"/>
                <w:color w:val="000000" w:themeColor="text1"/>
                <w:sz w:val="16"/>
                <w:szCs w:val="16"/>
              </w:rPr>
              <w:t>Isoquinoline alkaloid biosynthesis/shikimate pathway/jasmonic acid biosynthesis</w:t>
            </w:r>
          </w:p>
          <w:p w14:paraId="29B149CD" w14:textId="77777777" w:rsidR="004D1935" w:rsidRPr="003D4A36" w:rsidRDefault="004D1935" w:rsidP="00E24DC9">
            <w:pPr>
              <w:jc w:val="center"/>
              <w:rPr>
                <w:color w:val="000000" w:themeColor="text1"/>
                <w:sz w:val="16"/>
                <w:szCs w:val="16"/>
              </w:rPr>
            </w:pPr>
            <w:r w:rsidRPr="003D4A36">
              <w:rPr>
                <w:rFonts w:ascii="Verdana" w:hAnsi="Verdana" w:cs="Calibri"/>
                <w:color w:val="000000" w:themeColor="text1"/>
                <w:sz w:val="16"/>
                <w:szCs w:val="16"/>
              </w:rPr>
              <w:t>Isoquinoline alkaloid biosynthesis</w:t>
            </w:r>
          </w:p>
          <w:p w14:paraId="1168FE24" w14:textId="77777777" w:rsidR="004D1935" w:rsidRPr="003D4A36" w:rsidRDefault="004D1935" w:rsidP="00E24DC9">
            <w:pPr>
              <w:jc w:val="center"/>
              <w:rPr>
                <w:color w:val="000000" w:themeColor="text1"/>
                <w:sz w:val="16"/>
                <w:szCs w:val="16"/>
              </w:rPr>
            </w:pPr>
            <w:r w:rsidRPr="003D4A36">
              <w:rPr>
                <w:rFonts w:ascii="Verdana" w:hAnsi="Verdana" w:cs="Calibri"/>
                <w:color w:val="000000" w:themeColor="text1"/>
                <w:sz w:val="16"/>
                <w:szCs w:val="16"/>
              </w:rPr>
              <w:t>Isoquinoline alkaloid biosynthesis</w:t>
            </w:r>
          </w:p>
        </w:tc>
      </w:tr>
      <w:tr w:rsidR="004D1935" w14:paraId="3A3D2573" w14:textId="77777777" w:rsidTr="00E24DC9">
        <w:tc>
          <w:tcPr>
            <w:tcW w:w="706" w:type="dxa"/>
            <w:vMerge/>
            <w:vAlign w:val="center"/>
          </w:tcPr>
          <w:p w14:paraId="4FD2EF6C" w14:textId="77777777" w:rsidR="004D1935" w:rsidRDefault="004D1935" w:rsidP="00E24DC9">
            <w:pPr>
              <w:jc w:val="center"/>
            </w:pPr>
          </w:p>
        </w:tc>
        <w:tc>
          <w:tcPr>
            <w:tcW w:w="1120" w:type="dxa"/>
            <w:tcBorders>
              <w:top w:val="nil"/>
              <w:bottom w:val="nil"/>
            </w:tcBorders>
            <w:vAlign w:val="center"/>
          </w:tcPr>
          <w:p w14:paraId="6A37EC08" w14:textId="77777777" w:rsidR="004D1935" w:rsidRPr="002436F2" w:rsidRDefault="004D1935" w:rsidP="00E24DC9">
            <w:pPr>
              <w:jc w:val="center"/>
              <w:rPr>
                <w:sz w:val="18"/>
                <w:szCs w:val="18"/>
              </w:rPr>
            </w:pPr>
            <w:r w:rsidRPr="002436F2">
              <w:rPr>
                <w:rFonts w:ascii="Calibri" w:hAnsi="Calibri" w:cs="Calibri"/>
                <w:color w:val="000000"/>
                <w:sz w:val="18"/>
                <w:szCs w:val="18"/>
              </w:rPr>
              <w:t>273.1686</w:t>
            </w:r>
          </w:p>
        </w:tc>
        <w:tc>
          <w:tcPr>
            <w:tcW w:w="3309" w:type="dxa"/>
            <w:vMerge/>
            <w:vAlign w:val="center"/>
          </w:tcPr>
          <w:p w14:paraId="7E66DB06" w14:textId="77777777" w:rsidR="004D1935" w:rsidRPr="00FC52C1" w:rsidRDefault="004D1935" w:rsidP="00E24DC9">
            <w:pPr>
              <w:jc w:val="center"/>
              <w:rPr>
                <w:color w:val="000000" w:themeColor="text1"/>
              </w:rPr>
            </w:pPr>
          </w:p>
        </w:tc>
        <w:tc>
          <w:tcPr>
            <w:tcW w:w="1321" w:type="dxa"/>
            <w:vMerge/>
            <w:vAlign w:val="center"/>
          </w:tcPr>
          <w:p w14:paraId="4AED7981" w14:textId="77777777" w:rsidR="004D1935" w:rsidRPr="00FC52C1" w:rsidRDefault="004D1935" w:rsidP="00E24DC9">
            <w:pPr>
              <w:jc w:val="center"/>
              <w:rPr>
                <w:color w:val="000000" w:themeColor="text1"/>
              </w:rPr>
            </w:pPr>
          </w:p>
        </w:tc>
        <w:tc>
          <w:tcPr>
            <w:tcW w:w="1683" w:type="dxa"/>
            <w:vMerge/>
            <w:vAlign w:val="center"/>
          </w:tcPr>
          <w:p w14:paraId="135B1B50" w14:textId="77777777" w:rsidR="004D1935" w:rsidRPr="00FC52C1" w:rsidRDefault="004D1935" w:rsidP="00E24DC9">
            <w:pPr>
              <w:jc w:val="center"/>
              <w:rPr>
                <w:color w:val="000000" w:themeColor="text1"/>
              </w:rPr>
            </w:pPr>
          </w:p>
        </w:tc>
        <w:tc>
          <w:tcPr>
            <w:tcW w:w="6888" w:type="dxa"/>
            <w:vMerge/>
            <w:vAlign w:val="center"/>
          </w:tcPr>
          <w:p w14:paraId="2933908C" w14:textId="77777777" w:rsidR="004D1935" w:rsidRPr="003D4A36" w:rsidRDefault="004D1935" w:rsidP="00E24DC9">
            <w:pPr>
              <w:jc w:val="center"/>
              <w:rPr>
                <w:color w:val="000000" w:themeColor="text1"/>
                <w:sz w:val="16"/>
                <w:szCs w:val="16"/>
              </w:rPr>
            </w:pPr>
          </w:p>
        </w:tc>
      </w:tr>
      <w:tr w:rsidR="004D1935" w14:paraId="75D6A69D" w14:textId="77777777" w:rsidTr="00E24DC9">
        <w:tc>
          <w:tcPr>
            <w:tcW w:w="706" w:type="dxa"/>
            <w:vMerge/>
            <w:vAlign w:val="center"/>
          </w:tcPr>
          <w:p w14:paraId="56D27768" w14:textId="77777777" w:rsidR="004D1935" w:rsidRDefault="004D1935" w:rsidP="00E24DC9">
            <w:pPr>
              <w:jc w:val="center"/>
            </w:pPr>
          </w:p>
        </w:tc>
        <w:tc>
          <w:tcPr>
            <w:tcW w:w="1120" w:type="dxa"/>
            <w:tcBorders>
              <w:top w:val="nil"/>
              <w:bottom w:val="nil"/>
            </w:tcBorders>
            <w:vAlign w:val="center"/>
          </w:tcPr>
          <w:p w14:paraId="633BA752" w14:textId="77777777" w:rsidR="004D1935" w:rsidRPr="002436F2" w:rsidRDefault="004D1935" w:rsidP="00E24DC9">
            <w:pPr>
              <w:jc w:val="center"/>
              <w:rPr>
                <w:sz w:val="18"/>
                <w:szCs w:val="18"/>
              </w:rPr>
            </w:pPr>
            <w:r w:rsidRPr="002436F2">
              <w:rPr>
                <w:rFonts w:ascii="Calibri" w:hAnsi="Calibri" w:cs="Calibri"/>
                <w:color w:val="000000"/>
                <w:sz w:val="18"/>
                <w:szCs w:val="18"/>
              </w:rPr>
              <w:t>273.2047</w:t>
            </w:r>
          </w:p>
        </w:tc>
        <w:tc>
          <w:tcPr>
            <w:tcW w:w="3309" w:type="dxa"/>
            <w:vMerge/>
            <w:vAlign w:val="center"/>
          </w:tcPr>
          <w:p w14:paraId="028EED21" w14:textId="77777777" w:rsidR="004D1935" w:rsidRPr="00FC52C1" w:rsidRDefault="004D1935" w:rsidP="00E24DC9">
            <w:pPr>
              <w:jc w:val="center"/>
              <w:rPr>
                <w:color w:val="000000" w:themeColor="text1"/>
              </w:rPr>
            </w:pPr>
          </w:p>
        </w:tc>
        <w:tc>
          <w:tcPr>
            <w:tcW w:w="1321" w:type="dxa"/>
            <w:vMerge/>
            <w:vAlign w:val="center"/>
          </w:tcPr>
          <w:p w14:paraId="402BB386" w14:textId="77777777" w:rsidR="004D1935" w:rsidRPr="00FC52C1" w:rsidRDefault="004D1935" w:rsidP="00E24DC9">
            <w:pPr>
              <w:jc w:val="center"/>
              <w:rPr>
                <w:color w:val="000000" w:themeColor="text1"/>
              </w:rPr>
            </w:pPr>
          </w:p>
        </w:tc>
        <w:tc>
          <w:tcPr>
            <w:tcW w:w="1683" w:type="dxa"/>
            <w:vMerge/>
            <w:vAlign w:val="center"/>
          </w:tcPr>
          <w:p w14:paraId="6792FFC9" w14:textId="77777777" w:rsidR="004D1935" w:rsidRPr="00FC52C1" w:rsidRDefault="004D1935" w:rsidP="00E24DC9">
            <w:pPr>
              <w:jc w:val="center"/>
              <w:rPr>
                <w:color w:val="000000" w:themeColor="text1"/>
              </w:rPr>
            </w:pPr>
          </w:p>
        </w:tc>
        <w:tc>
          <w:tcPr>
            <w:tcW w:w="6888" w:type="dxa"/>
            <w:vMerge/>
            <w:vAlign w:val="center"/>
          </w:tcPr>
          <w:p w14:paraId="0D6BA647" w14:textId="77777777" w:rsidR="004D1935" w:rsidRPr="003D4A36" w:rsidRDefault="004D1935" w:rsidP="00E24DC9">
            <w:pPr>
              <w:jc w:val="center"/>
              <w:rPr>
                <w:color w:val="000000" w:themeColor="text1"/>
                <w:sz w:val="16"/>
                <w:szCs w:val="16"/>
              </w:rPr>
            </w:pPr>
          </w:p>
        </w:tc>
      </w:tr>
      <w:tr w:rsidR="004D1935" w14:paraId="38262FAF" w14:textId="77777777" w:rsidTr="00E24DC9">
        <w:tc>
          <w:tcPr>
            <w:tcW w:w="706" w:type="dxa"/>
            <w:vMerge/>
            <w:vAlign w:val="center"/>
          </w:tcPr>
          <w:p w14:paraId="46C2D769" w14:textId="77777777" w:rsidR="004D1935" w:rsidRDefault="004D1935" w:rsidP="00E24DC9">
            <w:pPr>
              <w:jc w:val="center"/>
            </w:pPr>
          </w:p>
        </w:tc>
        <w:tc>
          <w:tcPr>
            <w:tcW w:w="1120" w:type="dxa"/>
            <w:tcBorders>
              <w:top w:val="nil"/>
              <w:bottom w:val="nil"/>
            </w:tcBorders>
            <w:vAlign w:val="center"/>
          </w:tcPr>
          <w:p w14:paraId="3BCEB315" w14:textId="77777777" w:rsidR="004D1935" w:rsidRPr="002436F2" w:rsidRDefault="004D1935" w:rsidP="00E24DC9">
            <w:pPr>
              <w:jc w:val="center"/>
              <w:rPr>
                <w:sz w:val="18"/>
                <w:szCs w:val="18"/>
              </w:rPr>
            </w:pPr>
            <w:r w:rsidRPr="002436F2">
              <w:rPr>
                <w:rFonts w:ascii="Calibri" w:hAnsi="Calibri" w:cs="Calibri"/>
                <w:color w:val="000000"/>
                <w:sz w:val="18"/>
                <w:szCs w:val="18"/>
              </w:rPr>
              <w:t>273.2481</w:t>
            </w:r>
          </w:p>
        </w:tc>
        <w:tc>
          <w:tcPr>
            <w:tcW w:w="3309" w:type="dxa"/>
            <w:vMerge/>
            <w:vAlign w:val="center"/>
          </w:tcPr>
          <w:p w14:paraId="03B9019A" w14:textId="77777777" w:rsidR="004D1935" w:rsidRPr="00FC52C1" w:rsidRDefault="004D1935" w:rsidP="00E24DC9">
            <w:pPr>
              <w:jc w:val="center"/>
              <w:rPr>
                <w:color w:val="000000" w:themeColor="text1"/>
              </w:rPr>
            </w:pPr>
          </w:p>
        </w:tc>
        <w:tc>
          <w:tcPr>
            <w:tcW w:w="1321" w:type="dxa"/>
            <w:vMerge/>
            <w:vAlign w:val="center"/>
          </w:tcPr>
          <w:p w14:paraId="6B7F23AB" w14:textId="77777777" w:rsidR="004D1935" w:rsidRPr="00FC52C1" w:rsidRDefault="004D1935" w:rsidP="00E24DC9">
            <w:pPr>
              <w:jc w:val="center"/>
              <w:rPr>
                <w:color w:val="000000" w:themeColor="text1"/>
              </w:rPr>
            </w:pPr>
          </w:p>
        </w:tc>
        <w:tc>
          <w:tcPr>
            <w:tcW w:w="1683" w:type="dxa"/>
            <w:vMerge/>
            <w:vAlign w:val="center"/>
          </w:tcPr>
          <w:p w14:paraId="07885634" w14:textId="77777777" w:rsidR="004D1935" w:rsidRPr="00FC52C1" w:rsidRDefault="004D1935" w:rsidP="00E24DC9">
            <w:pPr>
              <w:jc w:val="center"/>
              <w:rPr>
                <w:color w:val="000000" w:themeColor="text1"/>
              </w:rPr>
            </w:pPr>
          </w:p>
        </w:tc>
        <w:tc>
          <w:tcPr>
            <w:tcW w:w="6888" w:type="dxa"/>
            <w:vMerge/>
            <w:vAlign w:val="center"/>
          </w:tcPr>
          <w:p w14:paraId="145FBEC4" w14:textId="77777777" w:rsidR="004D1935" w:rsidRPr="003D4A36" w:rsidRDefault="004D1935" w:rsidP="00E24DC9">
            <w:pPr>
              <w:jc w:val="center"/>
              <w:rPr>
                <w:color w:val="000000" w:themeColor="text1"/>
                <w:sz w:val="16"/>
                <w:szCs w:val="16"/>
              </w:rPr>
            </w:pPr>
          </w:p>
        </w:tc>
      </w:tr>
      <w:tr w:rsidR="004D1935" w14:paraId="6F7D24F1" w14:textId="77777777" w:rsidTr="00E24DC9">
        <w:tc>
          <w:tcPr>
            <w:tcW w:w="706" w:type="dxa"/>
            <w:vMerge/>
            <w:vAlign w:val="center"/>
          </w:tcPr>
          <w:p w14:paraId="2C00152E" w14:textId="77777777" w:rsidR="004D1935" w:rsidRDefault="004D1935" w:rsidP="00E24DC9">
            <w:pPr>
              <w:jc w:val="center"/>
            </w:pPr>
          </w:p>
        </w:tc>
        <w:tc>
          <w:tcPr>
            <w:tcW w:w="1120" w:type="dxa"/>
            <w:tcBorders>
              <w:top w:val="nil"/>
              <w:bottom w:val="nil"/>
            </w:tcBorders>
            <w:vAlign w:val="center"/>
          </w:tcPr>
          <w:p w14:paraId="1A395FED" w14:textId="77777777" w:rsidR="004D1935" w:rsidRPr="002436F2" w:rsidRDefault="004D1935" w:rsidP="00E24DC9">
            <w:pPr>
              <w:jc w:val="center"/>
              <w:rPr>
                <w:sz w:val="18"/>
                <w:szCs w:val="18"/>
              </w:rPr>
            </w:pPr>
            <w:r w:rsidRPr="002436F2">
              <w:rPr>
                <w:rFonts w:ascii="Calibri" w:hAnsi="Calibri" w:cs="Calibri"/>
                <w:color w:val="000000"/>
                <w:sz w:val="18"/>
                <w:szCs w:val="18"/>
              </w:rPr>
              <w:t>273.0939</w:t>
            </w:r>
          </w:p>
        </w:tc>
        <w:tc>
          <w:tcPr>
            <w:tcW w:w="3309" w:type="dxa"/>
            <w:vMerge/>
            <w:vAlign w:val="center"/>
          </w:tcPr>
          <w:p w14:paraId="2621D540" w14:textId="77777777" w:rsidR="004D1935" w:rsidRPr="00FC52C1" w:rsidRDefault="004D1935" w:rsidP="00E24DC9">
            <w:pPr>
              <w:jc w:val="center"/>
              <w:rPr>
                <w:color w:val="000000" w:themeColor="text1"/>
              </w:rPr>
            </w:pPr>
          </w:p>
        </w:tc>
        <w:tc>
          <w:tcPr>
            <w:tcW w:w="1321" w:type="dxa"/>
            <w:vMerge/>
            <w:vAlign w:val="center"/>
          </w:tcPr>
          <w:p w14:paraId="7AFEBD08" w14:textId="77777777" w:rsidR="004D1935" w:rsidRPr="00FC52C1" w:rsidRDefault="004D1935" w:rsidP="00E24DC9">
            <w:pPr>
              <w:jc w:val="center"/>
              <w:rPr>
                <w:color w:val="000000" w:themeColor="text1"/>
              </w:rPr>
            </w:pPr>
          </w:p>
        </w:tc>
        <w:tc>
          <w:tcPr>
            <w:tcW w:w="1683" w:type="dxa"/>
            <w:vMerge/>
            <w:vAlign w:val="center"/>
          </w:tcPr>
          <w:p w14:paraId="19A6D25F" w14:textId="77777777" w:rsidR="004D1935" w:rsidRPr="00FC52C1" w:rsidRDefault="004D1935" w:rsidP="00E24DC9">
            <w:pPr>
              <w:jc w:val="center"/>
              <w:rPr>
                <w:color w:val="000000" w:themeColor="text1"/>
              </w:rPr>
            </w:pPr>
          </w:p>
        </w:tc>
        <w:tc>
          <w:tcPr>
            <w:tcW w:w="6888" w:type="dxa"/>
            <w:vMerge/>
            <w:vAlign w:val="center"/>
          </w:tcPr>
          <w:p w14:paraId="2FE140BB" w14:textId="77777777" w:rsidR="004D1935" w:rsidRPr="003D4A36" w:rsidRDefault="004D1935" w:rsidP="00E24DC9">
            <w:pPr>
              <w:jc w:val="center"/>
              <w:rPr>
                <w:color w:val="000000" w:themeColor="text1"/>
                <w:sz w:val="16"/>
                <w:szCs w:val="16"/>
              </w:rPr>
            </w:pPr>
          </w:p>
        </w:tc>
      </w:tr>
      <w:tr w:rsidR="004D1935" w14:paraId="38A1C140" w14:textId="77777777" w:rsidTr="00E24DC9">
        <w:tc>
          <w:tcPr>
            <w:tcW w:w="706" w:type="dxa"/>
            <w:vMerge/>
            <w:vAlign w:val="center"/>
          </w:tcPr>
          <w:p w14:paraId="2EFF17AE" w14:textId="77777777" w:rsidR="004D1935" w:rsidRDefault="004D1935" w:rsidP="00E24DC9">
            <w:pPr>
              <w:jc w:val="center"/>
            </w:pPr>
          </w:p>
        </w:tc>
        <w:tc>
          <w:tcPr>
            <w:tcW w:w="1120" w:type="dxa"/>
            <w:tcBorders>
              <w:top w:val="nil"/>
              <w:bottom w:val="nil"/>
            </w:tcBorders>
            <w:vAlign w:val="center"/>
          </w:tcPr>
          <w:p w14:paraId="0B3C37DE" w14:textId="77777777" w:rsidR="004D1935" w:rsidRPr="002436F2" w:rsidRDefault="004D1935" w:rsidP="00E24DC9">
            <w:pPr>
              <w:jc w:val="center"/>
              <w:rPr>
                <w:sz w:val="18"/>
                <w:szCs w:val="18"/>
              </w:rPr>
            </w:pPr>
            <w:r w:rsidRPr="002436F2">
              <w:rPr>
                <w:rFonts w:ascii="Calibri" w:hAnsi="Calibri" w:cs="Calibri"/>
                <w:color w:val="000000"/>
                <w:sz w:val="18"/>
                <w:szCs w:val="18"/>
              </w:rPr>
              <w:t>273.1301</w:t>
            </w:r>
          </w:p>
        </w:tc>
        <w:tc>
          <w:tcPr>
            <w:tcW w:w="3309" w:type="dxa"/>
            <w:vMerge/>
            <w:vAlign w:val="center"/>
          </w:tcPr>
          <w:p w14:paraId="20380855" w14:textId="77777777" w:rsidR="004D1935" w:rsidRPr="00FC52C1" w:rsidRDefault="004D1935" w:rsidP="00E24DC9">
            <w:pPr>
              <w:jc w:val="center"/>
              <w:rPr>
                <w:color w:val="000000" w:themeColor="text1"/>
              </w:rPr>
            </w:pPr>
          </w:p>
        </w:tc>
        <w:tc>
          <w:tcPr>
            <w:tcW w:w="1321" w:type="dxa"/>
            <w:vMerge/>
            <w:vAlign w:val="center"/>
          </w:tcPr>
          <w:p w14:paraId="20A45FB3" w14:textId="77777777" w:rsidR="004D1935" w:rsidRPr="00FC52C1" w:rsidRDefault="004D1935" w:rsidP="00E24DC9">
            <w:pPr>
              <w:jc w:val="center"/>
              <w:rPr>
                <w:color w:val="000000" w:themeColor="text1"/>
              </w:rPr>
            </w:pPr>
          </w:p>
        </w:tc>
        <w:tc>
          <w:tcPr>
            <w:tcW w:w="1683" w:type="dxa"/>
            <w:vMerge/>
            <w:vAlign w:val="center"/>
          </w:tcPr>
          <w:p w14:paraId="5CF8200E" w14:textId="77777777" w:rsidR="004D1935" w:rsidRPr="00FC52C1" w:rsidRDefault="004D1935" w:rsidP="00E24DC9">
            <w:pPr>
              <w:jc w:val="center"/>
              <w:rPr>
                <w:color w:val="000000" w:themeColor="text1"/>
              </w:rPr>
            </w:pPr>
          </w:p>
        </w:tc>
        <w:tc>
          <w:tcPr>
            <w:tcW w:w="6888" w:type="dxa"/>
            <w:vMerge/>
            <w:vAlign w:val="center"/>
          </w:tcPr>
          <w:p w14:paraId="35F2A49C" w14:textId="77777777" w:rsidR="004D1935" w:rsidRPr="003D4A36" w:rsidRDefault="004D1935" w:rsidP="00E24DC9">
            <w:pPr>
              <w:jc w:val="center"/>
              <w:rPr>
                <w:color w:val="000000" w:themeColor="text1"/>
                <w:sz w:val="16"/>
                <w:szCs w:val="16"/>
              </w:rPr>
            </w:pPr>
          </w:p>
        </w:tc>
      </w:tr>
      <w:tr w:rsidR="004D1935" w14:paraId="2126CF8C" w14:textId="77777777" w:rsidTr="00E24DC9">
        <w:tc>
          <w:tcPr>
            <w:tcW w:w="706" w:type="dxa"/>
            <w:vMerge/>
            <w:vAlign w:val="center"/>
          </w:tcPr>
          <w:p w14:paraId="307F8027" w14:textId="77777777" w:rsidR="004D1935" w:rsidRDefault="004D1935" w:rsidP="00E24DC9">
            <w:pPr>
              <w:jc w:val="center"/>
            </w:pPr>
          </w:p>
        </w:tc>
        <w:tc>
          <w:tcPr>
            <w:tcW w:w="1120" w:type="dxa"/>
            <w:tcBorders>
              <w:top w:val="nil"/>
              <w:bottom w:val="nil"/>
            </w:tcBorders>
            <w:vAlign w:val="center"/>
          </w:tcPr>
          <w:p w14:paraId="26643215" w14:textId="77777777" w:rsidR="004D1935" w:rsidRPr="002436F2" w:rsidRDefault="004D1935" w:rsidP="00E24DC9">
            <w:pPr>
              <w:jc w:val="center"/>
              <w:rPr>
                <w:sz w:val="18"/>
                <w:szCs w:val="18"/>
              </w:rPr>
            </w:pPr>
            <w:r w:rsidRPr="002436F2">
              <w:rPr>
                <w:rFonts w:ascii="Calibri" w:hAnsi="Calibri" w:cs="Calibri"/>
                <w:color w:val="000000"/>
                <w:sz w:val="18"/>
                <w:szCs w:val="18"/>
              </w:rPr>
              <w:t>273.1662</w:t>
            </w:r>
          </w:p>
        </w:tc>
        <w:tc>
          <w:tcPr>
            <w:tcW w:w="3309" w:type="dxa"/>
            <w:vMerge/>
            <w:vAlign w:val="center"/>
          </w:tcPr>
          <w:p w14:paraId="6CE22844" w14:textId="77777777" w:rsidR="004D1935" w:rsidRPr="00FC52C1" w:rsidRDefault="004D1935" w:rsidP="00E24DC9">
            <w:pPr>
              <w:jc w:val="center"/>
              <w:rPr>
                <w:color w:val="000000" w:themeColor="text1"/>
              </w:rPr>
            </w:pPr>
          </w:p>
        </w:tc>
        <w:tc>
          <w:tcPr>
            <w:tcW w:w="1321" w:type="dxa"/>
            <w:vMerge/>
            <w:vAlign w:val="center"/>
          </w:tcPr>
          <w:p w14:paraId="3B2FB456" w14:textId="77777777" w:rsidR="004D1935" w:rsidRPr="00FC52C1" w:rsidRDefault="004D1935" w:rsidP="00E24DC9">
            <w:pPr>
              <w:jc w:val="center"/>
              <w:rPr>
                <w:color w:val="000000" w:themeColor="text1"/>
              </w:rPr>
            </w:pPr>
          </w:p>
        </w:tc>
        <w:tc>
          <w:tcPr>
            <w:tcW w:w="1683" w:type="dxa"/>
            <w:vMerge/>
            <w:vAlign w:val="center"/>
          </w:tcPr>
          <w:p w14:paraId="302615FE" w14:textId="77777777" w:rsidR="004D1935" w:rsidRPr="00FC52C1" w:rsidRDefault="004D1935" w:rsidP="00E24DC9">
            <w:pPr>
              <w:jc w:val="center"/>
              <w:rPr>
                <w:color w:val="000000" w:themeColor="text1"/>
              </w:rPr>
            </w:pPr>
          </w:p>
        </w:tc>
        <w:tc>
          <w:tcPr>
            <w:tcW w:w="6888" w:type="dxa"/>
            <w:vMerge/>
            <w:vAlign w:val="center"/>
          </w:tcPr>
          <w:p w14:paraId="40268771" w14:textId="77777777" w:rsidR="004D1935" w:rsidRPr="003D4A36" w:rsidRDefault="004D1935" w:rsidP="00E24DC9">
            <w:pPr>
              <w:jc w:val="center"/>
              <w:rPr>
                <w:color w:val="000000" w:themeColor="text1"/>
                <w:sz w:val="16"/>
                <w:szCs w:val="16"/>
              </w:rPr>
            </w:pPr>
          </w:p>
        </w:tc>
      </w:tr>
      <w:tr w:rsidR="004D1935" w14:paraId="01F5BD93" w14:textId="77777777" w:rsidTr="00E24DC9">
        <w:tc>
          <w:tcPr>
            <w:tcW w:w="706" w:type="dxa"/>
            <w:vMerge/>
            <w:vAlign w:val="center"/>
          </w:tcPr>
          <w:p w14:paraId="68F4EB00" w14:textId="77777777" w:rsidR="004D1935" w:rsidRDefault="004D1935" w:rsidP="00E24DC9">
            <w:pPr>
              <w:jc w:val="center"/>
            </w:pPr>
          </w:p>
        </w:tc>
        <w:tc>
          <w:tcPr>
            <w:tcW w:w="1120" w:type="dxa"/>
            <w:tcBorders>
              <w:top w:val="nil"/>
              <w:bottom w:val="nil"/>
            </w:tcBorders>
            <w:vAlign w:val="center"/>
          </w:tcPr>
          <w:p w14:paraId="16E8413C" w14:textId="77777777" w:rsidR="004D1935" w:rsidRPr="002436F2" w:rsidRDefault="004D1935" w:rsidP="00E24DC9">
            <w:pPr>
              <w:jc w:val="center"/>
              <w:rPr>
                <w:sz w:val="18"/>
                <w:szCs w:val="18"/>
              </w:rPr>
            </w:pPr>
            <w:r w:rsidRPr="002436F2">
              <w:rPr>
                <w:rFonts w:ascii="Calibri" w:hAnsi="Calibri" w:cs="Calibri"/>
                <w:color w:val="000000"/>
                <w:sz w:val="18"/>
                <w:szCs w:val="18"/>
              </w:rPr>
              <w:t>273.2023</w:t>
            </w:r>
          </w:p>
        </w:tc>
        <w:tc>
          <w:tcPr>
            <w:tcW w:w="3309" w:type="dxa"/>
            <w:vMerge/>
            <w:vAlign w:val="center"/>
          </w:tcPr>
          <w:p w14:paraId="671B534A" w14:textId="77777777" w:rsidR="004D1935" w:rsidRPr="00FC52C1" w:rsidRDefault="004D1935" w:rsidP="00E24DC9">
            <w:pPr>
              <w:jc w:val="center"/>
              <w:rPr>
                <w:color w:val="000000" w:themeColor="text1"/>
              </w:rPr>
            </w:pPr>
          </w:p>
        </w:tc>
        <w:tc>
          <w:tcPr>
            <w:tcW w:w="1321" w:type="dxa"/>
            <w:vMerge/>
            <w:vAlign w:val="center"/>
          </w:tcPr>
          <w:p w14:paraId="1E573C70" w14:textId="77777777" w:rsidR="004D1935" w:rsidRPr="00FC52C1" w:rsidRDefault="004D1935" w:rsidP="00E24DC9">
            <w:pPr>
              <w:jc w:val="center"/>
              <w:rPr>
                <w:color w:val="000000" w:themeColor="text1"/>
              </w:rPr>
            </w:pPr>
          </w:p>
        </w:tc>
        <w:tc>
          <w:tcPr>
            <w:tcW w:w="1683" w:type="dxa"/>
            <w:vMerge/>
            <w:vAlign w:val="center"/>
          </w:tcPr>
          <w:p w14:paraId="13B66683" w14:textId="77777777" w:rsidR="004D1935" w:rsidRPr="00FC52C1" w:rsidRDefault="004D1935" w:rsidP="00E24DC9">
            <w:pPr>
              <w:jc w:val="center"/>
              <w:rPr>
                <w:color w:val="000000" w:themeColor="text1"/>
              </w:rPr>
            </w:pPr>
          </w:p>
        </w:tc>
        <w:tc>
          <w:tcPr>
            <w:tcW w:w="6888" w:type="dxa"/>
            <w:vMerge/>
            <w:vAlign w:val="center"/>
          </w:tcPr>
          <w:p w14:paraId="5787708D" w14:textId="77777777" w:rsidR="004D1935" w:rsidRPr="003D4A36" w:rsidRDefault="004D1935" w:rsidP="00E24DC9">
            <w:pPr>
              <w:jc w:val="center"/>
              <w:rPr>
                <w:color w:val="000000" w:themeColor="text1"/>
                <w:sz w:val="16"/>
                <w:szCs w:val="16"/>
              </w:rPr>
            </w:pPr>
          </w:p>
        </w:tc>
      </w:tr>
      <w:tr w:rsidR="004D1935" w14:paraId="49E34402" w14:textId="77777777" w:rsidTr="00E24DC9">
        <w:tc>
          <w:tcPr>
            <w:tcW w:w="706" w:type="dxa"/>
            <w:vMerge/>
            <w:vAlign w:val="center"/>
          </w:tcPr>
          <w:p w14:paraId="4B76568A" w14:textId="77777777" w:rsidR="004D1935" w:rsidRDefault="004D1935" w:rsidP="00E24DC9">
            <w:pPr>
              <w:jc w:val="center"/>
            </w:pPr>
          </w:p>
        </w:tc>
        <w:tc>
          <w:tcPr>
            <w:tcW w:w="1120" w:type="dxa"/>
            <w:tcBorders>
              <w:top w:val="nil"/>
              <w:bottom w:val="nil"/>
            </w:tcBorders>
            <w:vAlign w:val="center"/>
          </w:tcPr>
          <w:p w14:paraId="15E2D76F" w14:textId="77777777" w:rsidR="004D1935" w:rsidRPr="002436F2" w:rsidRDefault="004D1935" w:rsidP="00E24DC9">
            <w:pPr>
              <w:jc w:val="center"/>
              <w:rPr>
                <w:sz w:val="18"/>
                <w:szCs w:val="18"/>
              </w:rPr>
            </w:pPr>
            <w:r w:rsidRPr="002436F2">
              <w:rPr>
                <w:rFonts w:ascii="Calibri" w:hAnsi="Calibri" w:cs="Calibri"/>
                <w:color w:val="000000"/>
                <w:sz w:val="18"/>
                <w:szCs w:val="18"/>
              </w:rPr>
              <w:t>273.2457</w:t>
            </w:r>
          </w:p>
        </w:tc>
        <w:tc>
          <w:tcPr>
            <w:tcW w:w="3309" w:type="dxa"/>
            <w:vMerge/>
            <w:vAlign w:val="center"/>
          </w:tcPr>
          <w:p w14:paraId="3A6F8C00" w14:textId="77777777" w:rsidR="004D1935" w:rsidRPr="00FC52C1" w:rsidRDefault="004D1935" w:rsidP="00E24DC9">
            <w:pPr>
              <w:jc w:val="center"/>
              <w:rPr>
                <w:color w:val="000000" w:themeColor="text1"/>
              </w:rPr>
            </w:pPr>
          </w:p>
        </w:tc>
        <w:tc>
          <w:tcPr>
            <w:tcW w:w="1321" w:type="dxa"/>
            <w:vMerge/>
            <w:vAlign w:val="center"/>
          </w:tcPr>
          <w:p w14:paraId="645AAB33" w14:textId="77777777" w:rsidR="004D1935" w:rsidRPr="00FC52C1" w:rsidRDefault="004D1935" w:rsidP="00E24DC9">
            <w:pPr>
              <w:jc w:val="center"/>
              <w:rPr>
                <w:color w:val="000000" w:themeColor="text1"/>
              </w:rPr>
            </w:pPr>
          </w:p>
        </w:tc>
        <w:tc>
          <w:tcPr>
            <w:tcW w:w="1683" w:type="dxa"/>
            <w:vMerge/>
            <w:vAlign w:val="center"/>
          </w:tcPr>
          <w:p w14:paraId="05669D25" w14:textId="77777777" w:rsidR="004D1935" w:rsidRPr="00FC52C1" w:rsidRDefault="004D1935" w:rsidP="00E24DC9">
            <w:pPr>
              <w:jc w:val="center"/>
              <w:rPr>
                <w:color w:val="000000" w:themeColor="text1"/>
              </w:rPr>
            </w:pPr>
          </w:p>
        </w:tc>
        <w:tc>
          <w:tcPr>
            <w:tcW w:w="6888" w:type="dxa"/>
            <w:vMerge/>
            <w:vAlign w:val="center"/>
          </w:tcPr>
          <w:p w14:paraId="4CA75135" w14:textId="77777777" w:rsidR="004D1935" w:rsidRPr="003D4A36" w:rsidRDefault="004D1935" w:rsidP="00E24DC9">
            <w:pPr>
              <w:jc w:val="center"/>
              <w:rPr>
                <w:color w:val="000000" w:themeColor="text1"/>
                <w:sz w:val="16"/>
                <w:szCs w:val="16"/>
              </w:rPr>
            </w:pPr>
          </w:p>
        </w:tc>
      </w:tr>
      <w:tr w:rsidR="004D1935" w14:paraId="0A9F9627" w14:textId="77777777" w:rsidTr="00E24DC9">
        <w:tc>
          <w:tcPr>
            <w:tcW w:w="706" w:type="dxa"/>
            <w:vMerge/>
            <w:vAlign w:val="center"/>
          </w:tcPr>
          <w:p w14:paraId="2EB4CDD4" w14:textId="77777777" w:rsidR="004D1935" w:rsidRDefault="004D1935" w:rsidP="00E24DC9">
            <w:pPr>
              <w:jc w:val="center"/>
            </w:pPr>
          </w:p>
        </w:tc>
        <w:tc>
          <w:tcPr>
            <w:tcW w:w="1120" w:type="dxa"/>
            <w:tcBorders>
              <w:top w:val="nil"/>
              <w:bottom w:val="nil"/>
            </w:tcBorders>
            <w:vAlign w:val="center"/>
          </w:tcPr>
          <w:p w14:paraId="69491455" w14:textId="77777777" w:rsidR="004D1935" w:rsidRPr="002436F2" w:rsidRDefault="004D1935" w:rsidP="00E24DC9">
            <w:pPr>
              <w:jc w:val="center"/>
              <w:rPr>
                <w:sz w:val="18"/>
                <w:szCs w:val="18"/>
              </w:rPr>
            </w:pPr>
            <w:r w:rsidRPr="002436F2">
              <w:rPr>
                <w:rFonts w:ascii="Calibri" w:hAnsi="Calibri" w:cs="Calibri"/>
                <w:color w:val="000000"/>
                <w:sz w:val="18"/>
                <w:szCs w:val="18"/>
              </w:rPr>
              <w:t>273.2517</w:t>
            </w:r>
          </w:p>
        </w:tc>
        <w:tc>
          <w:tcPr>
            <w:tcW w:w="3309" w:type="dxa"/>
            <w:vMerge/>
            <w:vAlign w:val="center"/>
          </w:tcPr>
          <w:p w14:paraId="339DE44F" w14:textId="77777777" w:rsidR="004D1935" w:rsidRPr="00FC52C1" w:rsidRDefault="004D1935" w:rsidP="00E24DC9">
            <w:pPr>
              <w:jc w:val="center"/>
              <w:rPr>
                <w:color w:val="000000" w:themeColor="text1"/>
              </w:rPr>
            </w:pPr>
          </w:p>
        </w:tc>
        <w:tc>
          <w:tcPr>
            <w:tcW w:w="1321" w:type="dxa"/>
            <w:vMerge/>
            <w:vAlign w:val="center"/>
          </w:tcPr>
          <w:p w14:paraId="4B4C85F6" w14:textId="77777777" w:rsidR="004D1935" w:rsidRPr="00FC52C1" w:rsidRDefault="004D1935" w:rsidP="00E24DC9">
            <w:pPr>
              <w:jc w:val="center"/>
              <w:rPr>
                <w:color w:val="000000" w:themeColor="text1"/>
              </w:rPr>
            </w:pPr>
          </w:p>
        </w:tc>
        <w:tc>
          <w:tcPr>
            <w:tcW w:w="1683" w:type="dxa"/>
            <w:vMerge/>
            <w:vAlign w:val="center"/>
          </w:tcPr>
          <w:p w14:paraId="51BC1159" w14:textId="77777777" w:rsidR="004D1935" w:rsidRPr="00FC52C1" w:rsidRDefault="004D1935" w:rsidP="00E24DC9">
            <w:pPr>
              <w:jc w:val="center"/>
              <w:rPr>
                <w:color w:val="000000" w:themeColor="text1"/>
              </w:rPr>
            </w:pPr>
          </w:p>
        </w:tc>
        <w:tc>
          <w:tcPr>
            <w:tcW w:w="6888" w:type="dxa"/>
            <w:vMerge/>
            <w:vAlign w:val="center"/>
          </w:tcPr>
          <w:p w14:paraId="36F25B26" w14:textId="77777777" w:rsidR="004D1935" w:rsidRPr="003D4A36" w:rsidRDefault="004D1935" w:rsidP="00E24DC9">
            <w:pPr>
              <w:jc w:val="center"/>
              <w:rPr>
                <w:color w:val="000000" w:themeColor="text1"/>
                <w:sz w:val="16"/>
                <w:szCs w:val="16"/>
              </w:rPr>
            </w:pPr>
          </w:p>
        </w:tc>
      </w:tr>
      <w:tr w:rsidR="004D1935" w14:paraId="219440A2" w14:textId="77777777" w:rsidTr="00E24DC9">
        <w:tc>
          <w:tcPr>
            <w:tcW w:w="706" w:type="dxa"/>
            <w:vMerge/>
            <w:vAlign w:val="center"/>
          </w:tcPr>
          <w:p w14:paraId="27500560" w14:textId="77777777" w:rsidR="004D1935" w:rsidRDefault="004D1935" w:rsidP="00E24DC9">
            <w:pPr>
              <w:jc w:val="center"/>
            </w:pPr>
          </w:p>
        </w:tc>
        <w:tc>
          <w:tcPr>
            <w:tcW w:w="1120" w:type="dxa"/>
            <w:tcBorders>
              <w:top w:val="nil"/>
              <w:bottom w:val="nil"/>
            </w:tcBorders>
            <w:vAlign w:val="center"/>
          </w:tcPr>
          <w:p w14:paraId="43EAF7FC" w14:textId="77777777" w:rsidR="004D1935" w:rsidRPr="002436F2" w:rsidRDefault="004D1935" w:rsidP="00E24DC9">
            <w:pPr>
              <w:jc w:val="center"/>
              <w:rPr>
                <w:sz w:val="18"/>
                <w:szCs w:val="18"/>
              </w:rPr>
            </w:pPr>
            <w:r w:rsidRPr="002436F2">
              <w:rPr>
                <w:rFonts w:ascii="Calibri" w:hAnsi="Calibri" w:cs="Calibri"/>
                <w:color w:val="000000"/>
                <w:sz w:val="18"/>
                <w:szCs w:val="18"/>
              </w:rPr>
              <w:t>273.2602</w:t>
            </w:r>
          </w:p>
        </w:tc>
        <w:tc>
          <w:tcPr>
            <w:tcW w:w="3309" w:type="dxa"/>
            <w:vMerge/>
            <w:vAlign w:val="center"/>
          </w:tcPr>
          <w:p w14:paraId="28385CA9" w14:textId="77777777" w:rsidR="004D1935" w:rsidRPr="00FC52C1" w:rsidRDefault="004D1935" w:rsidP="00E24DC9">
            <w:pPr>
              <w:jc w:val="center"/>
              <w:rPr>
                <w:color w:val="000000" w:themeColor="text1"/>
              </w:rPr>
            </w:pPr>
          </w:p>
        </w:tc>
        <w:tc>
          <w:tcPr>
            <w:tcW w:w="1321" w:type="dxa"/>
            <w:vMerge/>
            <w:vAlign w:val="center"/>
          </w:tcPr>
          <w:p w14:paraId="15477845" w14:textId="77777777" w:rsidR="004D1935" w:rsidRPr="00FC52C1" w:rsidRDefault="004D1935" w:rsidP="00E24DC9">
            <w:pPr>
              <w:jc w:val="center"/>
              <w:rPr>
                <w:color w:val="000000" w:themeColor="text1"/>
              </w:rPr>
            </w:pPr>
          </w:p>
        </w:tc>
        <w:tc>
          <w:tcPr>
            <w:tcW w:w="1683" w:type="dxa"/>
            <w:vMerge/>
            <w:vAlign w:val="center"/>
          </w:tcPr>
          <w:p w14:paraId="71DD9D5F" w14:textId="77777777" w:rsidR="004D1935" w:rsidRPr="00FC52C1" w:rsidRDefault="004D1935" w:rsidP="00E24DC9">
            <w:pPr>
              <w:jc w:val="center"/>
              <w:rPr>
                <w:color w:val="000000" w:themeColor="text1"/>
              </w:rPr>
            </w:pPr>
          </w:p>
        </w:tc>
        <w:tc>
          <w:tcPr>
            <w:tcW w:w="6888" w:type="dxa"/>
            <w:vMerge/>
            <w:vAlign w:val="center"/>
          </w:tcPr>
          <w:p w14:paraId="5DEB2917" w14:textId="77777777" w:rsidR="004D1935" w:rsidRPr="003D4A36" w:rsidRDefault="004D1935" w:rsidP="00E24DC9">
            <w:pPr>
              <w:jc w:val="center"/>
              <w:rPr>
                <w:color w:val="000000" w:themeColor="text1"/>
                <w:sz w:val="16"/>
                <w:szCs w:val="16"/>
              </w:rPr>
            </w:pPr>
          </w:p>
        </w:tc>
      </w:tr>
      <w:tr w:rsidR="004D1935" w14:paraId="57E3CAAA" w14:textId="77777777" w:rsidTr="00E24DC9">
        <w:tc>
          <w:tcPr>
            <w:tcW w:w="706" w:type="dxa"/>
            <w:vMerge/>
            <w:vAlign w:val="center"/>
          </w:tcPr>
          <w:p w14:paraId="4F804232" w14:textId="77777777" w:rsidR="004D1935" w:rsidRDefault="004D1935" w:rsidP="00E24DC9">
            <w:pPr>
              <w:jc w:val="center"/>
            </w:pPr>
          </w:p>
        </w:tc>
        <w:tc>
          <w:tcPr>
            <w:tcW w:w="1120" w:type="dxa"/>
            <w:tcBorders>
              <w:top w:val="nil"/>
              <w:bottom w:val="nil"/>
            </w:tcBorders>
            <w:vAlign w:val="center"/>
          </w:tcPr>
          <w:p w14:paraId="06784C9D" w14:textId="77777777" w:rsidR="004D1935" w:rsidRPr="002436F2" w:rsidRDefault="004D1935" w:rsidP="00E24DC9">
            <w:pPr>
              <w:jc w:val="center"/>
              <w:rPr>
                <w:sz w:val="18"/>
                <w:szCs w:val="18"/>
              </w:rPr>
            </w:pPr>
            <w:r w:rsidRPr="002436F2">
              <w:rPr>
                <w:rFonts w:ascii="Calibri" w:hAnsi="Calibri" w:cs="Calibri"/>
                <w:color w:val="000000"/>
                <w:sz w:val="18"/>
                <w:szCs w:val="18"/>
              </w:rPr>
              <w:t>273.2554</w:t>
            </w:r>
          </w:p>
        </w:tc>
        <w:tc>
          <w:tcPr>
            <w:tcW w:w="3309" w:type="dxa"/>
            <w:vMerge/>
            <w:vAlign w:val="center"/>
          </w:tcPr>
          <w:p w14:paraId="501FCB59" w14:textId="77777777" w:rsidR="004D1935" w:rsidRPr="00FC52C1" w:rsidRDefault="004D1935" w:rsidP="00E24DC9">
            <w:pPr>
              <w:jc w:val="center"/>
              <w:rPr>
                <w:color w:val="000000" w:themeColor="text1"/>
              </w:rPr>
            </w:pPr>
          </w:p>
        </w:tc>
        <w:tc>
          <w:tcPr>
            <w:tcW w:w="1321" w:type="dxa"/>
            <w:vMerge/>
            <w:vAlign w:val="center"/>
          </w:tcPr>
          <w:p w14:paraId="6EC8E487" w14:textId="77777777" w:rsidR="004D1935" w:rsidRPr="00FC52C1" w:rsidRDefault="004D1935" w:rsidP="00E24DC9">
            <w:pPr>
              <w:jc w:val="center"/>
              <w:rPr>
                <w:color w:val="000000" w:themeColor="text1"/>
              </w:rPr>
            </w:pPr>
          </w:p>
        </w:tc>
        <w:tc>
          <w:tcPr>
            <w:tcW w:w="1683" w:type="dxa"/>
            <w:vMerge/>
            <w:vAlign w:val="center"/>
          </w:tcPr>
          <w:p w14:paraId="2BF40F06" w14:textId="77777777" w:rsidR="004D1935" w:rsidRPr="00FC52C1" w:rsidRDefault="004D1935" w:rsidP="00E24DC9">
            <w:pPr>
              <w:jc w:val="center"/>
              <w:rPr>
                <w:color w:val="000000" w:themeColor="text1"/>
              </w:rPr>
            </w:pPr>
          </w:p>
        </w:tc>
        <w:tc>
          <w:tcPr>
            <w:tcW w:w="6888" w:type="dxa"/>
            <w:vMerge/>
            <w:vAlign w:val="center"/>
          </w:tcPr>
          <w:p w14:paraId="4CF115F2" w14:textId="77777777" w:rsidR="004D1935" w:rsidRPr="003D4A36" w:rsidRDefault="004D1935" w:rsidP="00E24DC9">
            <w:pPr>
              <w:jc w:val="center"/>
              <w:rPr>
                <w:color w:val="000000" w:themeColor="text1"/>
                <w:sz w:val="16"/>
                <w:szCs w:val="16"/>
              </w:rPr>
            </w:pPr>
          </w:p>
        </w:tc>
      </w:tr>
      <w:tr w:rsidR="004D1935" w14:paraId="3FBBA8E2" w14:textId="77777777" w:rsidTr="00E24DC9">
        <w:tc>
          <w:tcPr>
            <w:tcW w:w="706" w:type="dxa"/>
            <w:vMerge/>
            <w:vAlign w:val="center"/>
          </w:tcPr>
          <w:p w14:paraId="58E2CF39" w14:textId="77777777" w:rsidR="004D1935" w:rsidRDefault="004D1935" w:rsidP="00E24DC9">
            <w:pPr>
              <w:jc w:val="center"/>
            </w:pPr>
          </w:p>
        </w:tc>
        <w:tc>
          <w:tcPr>
            <w:tcW w:w="1120" w:type="dxa"/>
            <w:tcBorders>
              <w:top w:val="nil"/>
              <w:bottom w:val="nil"/>
            </w:tcBorders>
            <w:vAlign w:val="center"/>
          </w:tcPr>
          <w:p w14:paraId="10349407" w14:textId="77777777" w:rsidR="004D1935" w:rsidRPr="002436F2" w:rsidRDefault="004D1935" w:rsidP="00E24DC9">
            <w:pPr>
              <w:jc w:val="center"/>
              <w:rPr>
                <w:sz w:val="18"/>
                <w:szCs w:val="18"/>
              </w:rPr>
            </w:pPr>
            <w:r w:rsidRPr="002436F2">
              <w:rPr>
                <w:rFonts w:ascii="Calibri" w:hAnsi="Calibri" w:cs="Calibri"/>
                <w:color w:val="000000"/>
                <w:sz w:val="18"/>
                <w:szCs w:val="18"/>
              </w:rPr>
              <w:t>273.2891</w:t>
            </w:r>
          </w:p>
        </w:tc>
        <w:tc>
          <w:tcPr>
            <w:tcW w:w="3309" w:type="dxa"/>
            <w:vMerge/>
            <w:vAlign w:val="center"/>
          </w:tcPr>
          <w:p w14:paraId="4C1F8D9C" w14:textId="77777777" w:rsidR="004D1935" w:rsidRPr="00FC52C1" w:rsidRDefault="004D1935" w:rsidP="00E24DC9">
            <w:pPr>
              <w:jc w:val="center"/>
              <w:rPr>
                <w:color w:val="000000" w:themeColor="text1"/>
              </w:rPr>
            </w:pPr>
          </w:p>
        </w:tc>
        <w:tc>
          <w:tcPr>
            <w:tcW w:w="1321" w:type="dxa"/>
            <w:vMerge/>
            <w:vAlign w:val="center"/>
          </w:tcPr>
          <w:p w14:paraId="718874EF" w14:textId="77777777" w:rsidR="004D1935" w:rsidRPr="00FC52C1" w:rsidRDefault="004D1935" w:rsidP="00E24DC9">
            <w:pPr>
              <w:jc w:val="center"/>
              <w:rPr>
                <w:color w:val="000000" w:themeColor="text1"/>
              </w:rPr>
            </w:pPr>
          </w:p>
        </w:tc>
        <w:tc>
          <w:tcPr>
            <w:tcW w:w="1683" w:type="dxa"/>
            <w:vMerge/>
            <w:vAlign w:val="center"/>
          </w:tcPr>
          <w:p w14:paraId="1AFAD7CF" w14:textId="77777777" w:rsidR="004D1935" w:rsidRPr="00FC52C1" w:rsidRDefault="004D1935" w:rsidP="00E24DC9">
            <w:pPr>
              <w:jc w:val="center"/>
              <w:rPr>
                <w:color w:val="000000" w:themeColor="text1"/>
              </w:rPr>
            </w:pPr>
          </w:p>
        </w:tc>
        <w:tc>
          <w:tcPr>
            <w:tcW w:w="6888" w:type="dxa"/>
            <w:vMerge/>
            <w:vAlign w:val="center"/>
          </w:tcPr>
          <w:p w14:paraId="2435D1BB" w14:textId="77777777" w:rsidR="004D1935" w:rsidRPr="003D4A36" w:rsidRDefault="004D1935" w:rsidP="00E24DC9">
            <w:pPr>
              <w:jc w:val="center"/>
              <w:rPr>
                <w:color w:val="000000" w:themeColor="text1"/>
                <w:sz w:val="16"/>
                <w:szCs w:val="16"/>
              </w:rPr>
            </w:pPr>
          </w:p>
        </w:tc>
      </w:tr>
      <w:tr w:rsidR="004D1935" w14:paraId="2F34857C" w14:textId="77777777" w:rsidTr="00E24DC9">
        <w:tc>
          <w:tcPr>
            <w:tcW w:w="706" w:type="dxa"/>
            <w:vMerge/>
            <w:vAlign w:val="center"/>
          </w:tcPr>
          <w:p w14:paraId="1D4AB78D" w14:textId="77777777" w:rsidR="004D1935" w:rsidRDefault="004D1935" w:rsidP="00E24DC9">
            <w:pPr>
              <w:jc w:val="center"/>
            </w:pPr>
          </w:p>
        </w:tc>
        <w:tc>
          <w:tcPr>
            <w:tcW w:w="1120" w:type="dxa"/>
            <w:tcBorders>
              <w:top w:val="nil"/>
              <w:bottom w:val="nil"/>
            </w:tcBorders>
            <w:vAlign w:val="center"/>
          </w:tcPr>
          <w:p w14:paraId="567060B5" w14:textId="77777777" w:rsidR="004D1935" w:rsidRPr="002436F2" w:rsidRDefault="004D1935" w:rsidP="00E24DC9">
            <w:pPr>
              <w:jc w:val="center"/>
              <w:rPr>
                <w:sz w:val="18"/>
                <w:szCs w:val="18"/>
              </w:rPr>
            </w:pPr>
            <w:r w:rsidRPr="002436F2">
              <w:rPr>
                <w:rFonts w:ascii="Calibri" w:hAnsi="Calibri" w:cs="Calibri"/>
                <w:color w:val="000000"/>
                <w:sz w:val="18"/>
                <w:szCs w:val="18"/>
              </w:rPr>
              <w:t>273.0963</w:t>
            </w:r>
          </w:p>
        </w:tc>
        <w:tc>
          <w:tcPr>
            <w:tcW w:w="3309" w:type="dxa"/>
            <w:vMerge/>
            <w:vAlign w:val="center"/>
          </w:tcPr>
          <w:p w14:paraId="303ADA58" w14:textId="77777777" w:rsidR="004D1935" w:rsidRPr="00FC52C1" w:rsidRDefault="004D1935" w:rsidP="00E24DC9">
            <w:pPr>
              <w:jc w:val="center"/>
              <w:rPr>
                <w:color w:val="000000" w:themeColor="text1"/>
              </w:rPr>
            </w:pPr>
          </w:p>
        </w:tc>
        <w:tc>
          <w:tcPr>
            <w:tcW w:w="1321" w:type="dxa"/>
            <w:vMerge/>
            <w:vAlign w:val="center"/>
          </w:tcPr>
          <w:p w14:paraId="5CD72C99" w14:textId="77777777" w:rsidR="004D1935" w:rsidRPr="00FC52C1" w:rsidRDefault="004D1935" w:rsidP="00E24DC9">
            <w:pPr>
              <w:jc w:val="center"/>
              <w:rPr>
                <w:color w:val="000000" w:themeColor="text1"/>
              </w:rPr>
            </w:pPr>
          </w:p>
        </w:tc>
        <w:tc>
          <w:tcPr>
            <w:tcW w:w="1683" w:type="dxa"/>
            <w:vMerge/>
            <w:vAlign w:val="center"/>
          </w:tcPr>
          <w:p w14:paraId="45D6C020" w14:textId="77777777" w:rsidR="004D1935" w:rsidRPr="00FC52C1" w:rsidRDefault="004D1935" w:rsidP="00E24DC9">
            <w:pPr>
              <w:jc w:val="center"/>
              <w:rPr>
                <w:color w:val="000000" w:themeColor="text1"/>
              </w:rPr>
            </w:pPr>
          </w:p>
        </w:tc>
        <w:tc>
          <w:tcPr>
            <w:tcW w:w="6888" w:type="dxa"/>
            <w:vMerge/>
            <w:vAlign w:val="center"/>
          </w:tcPr>
          <w:p w14:paraId="5A955D98" w14:textId="77777777" w:rsidR="004D1935" w:rsidRPr="003D4A36" w:rsidRDefault="004D1935" w:rsidP="00E24DC9">
            <w:pPr>
              <w:jc w:val="center"/>
              <w:rPr>
                <w:color w:val="000000" w:themeColor="text1"/>
                <w:sz w:val="16"/>
                <w:szCs w:val="16"/>
              </w:rPr>
            </w:pPr>
          </w:p>
        </w:tc>
      </w:tr>
      <w:tr w:rsidR="004D1935" w14:paraId="24E0BB92" w14:textId="77777777" w:rsidTr="00E24DC9">
        <w:tc>
          <w:tcPr>
            <w:tcW w:w="706" w:type="dxa"/>
            <w:vMerge/>
            <w:vAlign w:val="center"/>
          </w:tcPr>
          <w:p w14:paraId="0CF1A3CB" w14:textId="77777777" w:rsidR="004D1935" w:rsidRDefault="004D1935" w:rsidP="00E24DC9">
            <w:pPr>
              <w:jc w:val="center"/>
            </w:pPr>
          </w:p>
        </w:tc>
        <w:tc>
          <w:tcPr>
            <w:tcW w:w="1120" w:type="dxa"/>
            <w:tcBorders>
              <w:top w:val="nil"/>
              <w:bottom w:val="nil"/>
            </w:tcBorders>
            <w:vAlign w:val="center"/>
          </w:tcPr>
          <w:p w14:paraId="2D2549A3" w14:textId="77777777" w:rsidR="004D1935" w:rsidRPr="002436F2" w:rsidRDefault="004D1935" w:rsidP="00E24DC9">
            <w:pPr>
              <w:jc w:val="center"/>
              <w:rPr>
                <w:sz w:val="18"/>
                <w:szCs w:val="18"/>
              </w:rPr>
            </w:pPr>
            <w:r w:rsidRPr="002436F2">
              <w:rPr>
                <w:rFonts w:ascii="Calibri" w:hAnsi="Calibri" w:cs="Calibri"/>
                <w:color w:val="000000"/>
                <w:sz w:val="18"/>
                <w:szCs w:val="18"/>
              </w:rPr>
              <w:t>273.1349</w:t>
            </w:r>
          </w:p>
        </w:tc>
        <w:tc>
          <w:tcPr>
            <w:tcW w:w="3309" w:type="dxa"/>
            <w:vMerge/>
            <w:vAlign w:val="center"/>
          </w:tcPr>
          <w:p w14:paraId="0A86B01C" w14:textId="77777777" w:rsidR="004D1935" w:rsidRPr="00FC52C1" w:rsidRDefault="004D1935" w:rsidP="00E24DC9">
            <w:pPr>
              <w:jc w:val="center"/>
              <w:rPr>
                <w:color w:val="000000" w:themeColor="text1"/>
              </w:rPr>
            </w:pPr>
          </w:p>
        </w:tc>
        <w:tc>
          <w:tcPr>
            <w:tcW w:w="1321" w:type="dxa"/>
            <w:vMerge/>
            <w:vAlign w:val="center"/>
          </w:tcPr>
          <w:p w14:paraId="6C1ED6FE" w14:textId="77777777" w:rsidR="004D1935" w:rsidRPr="00FC52C1" w:rsidRDefault="004D1935" w:rsidP="00E24DC9">
            <w:pPr>
              <w:jc w:val="center"/>
              <w:rPr>
                <w:color w:val="000000" w:themeColor="text1"/>
              </w:rPr>
            </w:pPr>
          </w:p>
        </w:tc>
        <w:tc>
          <w:tcPr>
            <w:tcW w:w="1683" w:type="dxa"/>
            <w:vMerge/>
            <w:vAlign w:val="center"/>
          </w:tcPr>
          <w:p w14:paraId="762AD0A5" w14:textId="77777777" w:rsidR="004D1935" w:rsidRPr="00FC52C1" w:rsidRDefault="004D1935" w:rsidP="00E24DC9">
            <w:pPr>
              <w:jc w:val="center"/>
              <w:rPr>
                <w:color w:val="000000" w:themeColor="text1"/>
              </w:rPr>
            </w:pPr>
          </w:p>
        </w:tc>
        <w:tc>
          <w:tcPr>
            <w:tcW w:w="6888" w:type="dxa"/>
            <w:vMerge/>
            <w:vAlign w:val="center"/>
          </w:tcPr>
          <w:p w14:paraId="63934C3D" w14:textId="77777777" w:rsidR="004D1935" w:rsidRPr="003D4A36" w:rsidRDefault="004D1935" w:rsidP="00E24DC9">
            <w:pPr>
              <w:jc w:val="center"/>
              <w:rPr>
                <w:color w:val="000000" w:themeColor="text1"/>
                <w:sz w:val="16"/>
                <w:szCs w:val="16"/>
              </w:rPr>
            </w:pPr>
          </w:p>
        </w:tc>
      </w:tr>
      <w:tr w:rsidR="004D1935" w14:paraId="0B572CB3" w14:textId="77777777" w:rsidTr="00E24DC9">
        <w:tc>
          <w:tcPr>
            <w:tcW w:w="706" w:type="dxa"/>
            <w:vMerge/>
            <w:vAlign w:val="center"/>
          </w:tcPr>
          <w:p w14:paraId="5C8889BC" w14:textId="77777777" w:rsidR="004D1935" w:rsidRDefault="004D1935" w:rsidP="00E24DC9">
            <w:pPr>
              <w:jc w:val="center"/>
            </w:pPr>
          </w:p>
        </w:tc>
        <w:tc>
          <w:tcPr>
            <w:tcW w:w="1120" w:type="dxa"/>
            <w:tcBorders>
              <w:top w:val="nil"/>
              <w:bottom w:val="nil"/>
            </w:tcBorders>
            <w:vAlign w:val="center"/>
          </w:tcPr>
          <w:p w14:paraId="7D18C5E3" w14:textId="77777777" w:rsidR="004D1935" w:rsidRPr="002436F2" w:rsidRDefault="004D1935" w:rsidP="00E24DC9">
            <w:pPr>
              <w:jc w:val="center"/>
              <w:rPr>
                <w:sz w:val="18"/>
                <w:szCs w:val="18"/>
              </w:rPr>
            </w:pPr>
            <w:r w:rsidRPr="002436F2">
              <w:rPr>
                <w:rFonts w:ascii="Calibri" w:hAnsi="Calibri" w:cs="Calibri"/>
                <w:color w:val="000000"/>
                <w:sz w:val="18"/>
                <w:szCs w:val="18"/>
              </w:rPr>
              <w:t>273.1710</w:t>
            </w:r>
          </w:p>
        </w:tc>
        <w:tc>
          <w:tcPr>
            <w:tcW w:w="3309" w:type="dxa"/>
            <w:vMerge/>
            <w:vAlign w:val="center"/>
          </w:tcPr>
          <w:p w14:paraId="3A6C9871" w14:textId="77777777" w:rsidR="004D1935" w:rsidRPr="00FC52C1" w:rsidRDefault="004D1935" w:rsidP="00E24DC9">
            <w:pPr>
              <w:jc w:val="center"/>
              <w:rPr>
                <w:color w:val="000000" w:themeColor="text1"/>
              </w:rPr>
            </w:pPr>
          </w:p>
        </w:tc>
        <w:tc>
          <w:tcPr>
            <w:tcW w:w="1321" w:type="dxa"/>
            <w:vMerge/>
            <w:vAlign w:val="center"/>
          </w:tcPr>
          <w:p w14:paraId="7320EE01" w14:textId="77777777" w:rsidR="004D1935" w:rsidRPr="00FC52C1" w:rsidRDefault="004D1935" w:rsidP="00E24DC9">
            <w:pPr>
              <w:jc w:val="center"/>
              <w:rPr>
                <w:color w:val="000000" w:themeColor="text1"/>
              </w:rPr>
            </w:pPr>
          </w:p>
        </w:tc>
        <w:tc>
          <w:tcPr>
            <w:tcW w:w="1683" w:type="dxa"/>
            <w:vMerge/>
            <w:vAlign w:val="center"/>
          </w:tcPr>
          <w:p w14:paraId="51579D17" w14:textId="77777777" w:rsidR="004D1935" w:rsidRPr="00FC52C1" w:rsidRDefault="004D1935" w:rsidP="00E24DC9">
            <w:pPr>
              <w:jc w:val="center"/>
              <w:rPr>
                <w:color w:val="000000" w:themeColor="text1"/>
              </w:rPr>
            </w:pPr>
          </w:p>
        </w:tc>
        <w:tc>
          <w:tcPr>
            <w:tcW w:w="6888" w:type="dxa"/>
            <w:vMerge/>
            <w:vAlign w:val="center"/>
          </w:tcPr>
          <w:p w14:paraId="29325798" w14:textId="77777777" w:rsidR="004D1935" w:rsidRPr="003D4A36" w:rsidRDefault="004D1935" w:rsidP="00E24DC9">
            <w:pPr>
              <w:jc w:val="center"/>
              <w:rPr>
                <w:color w:val="000000" w:themeColor="text1"/>
                <w:sz w:val="16"/>
                <w:szCs w:val="16"/>
              </w:rPr>
            </w:pPr>
          </w:p>
        </w:tc>
      </w:tr>
      <w:tr w:rsidR="004D1935" w14:paraId="09DF929B" w14:textId="77777777" w:rsidTr="00E24DC9">
        <w:tc>
          <w:tcPr>
            <w:tcW w:w="706" w:type="dxa"/>
            <w:vMerge/>
            <w:vAlign w:val="center"/>
          </w:tcPr>
          <w:p w14:paraId="2A5A97A2" w14:textId="77777777" w:rsidR="004D1935" w:rsidRDefault="004D1935" w:rsidP="00E24DC9">
            <w:pPr>
              <w:jc w:val="center"/>
            </w:pPr>
          </w:p>
        </w:tc>
        <w:tc>
          <w:tcPr>
            <w:tcW w:w="1120" w:type="dxa"/>
            <w:tcBorders>
              <w:top w:val="nil"/>
              <w:bottom w:val="nil"/>
            </w:tcBorders>
            <w:vAlign w:val="center"/>
          </w:tcPr>
          <w:p w14:paraId="7077FC10" w14:textId="77777777" w:rsidR="004D1935" w:rsidRPr="002436F2" w:rsidRDefault="004D1935" w:rsidP="00E24DC9">
            <w:pPr>
              <w:jc w:val="center"/>
              <w:rPr>
                <w:sz w:val="18"/>
                <w:szCs w:val="18"/>
              </w:rPr>
            </w:pPr>
            <w:r w:rsidRPr="002436F2">
              <w:rPr>
                <w:rFonts w:ascii="Calibri" w:hAnsi="Calibri" w:cs="Calibri"/>
                <w:color w:val="000000"/>
                <w:sz w:val="18"/>
                <w:szCs w:val="18"/>
              </w:rPr>
              <w:t>273.2071</w:t>
            </w:r>
          </w:p>
        </w:tc>
        <w:tc>
          <w:tcPr>
            <w:tcW w:w="3309" w:type="dxa"/>
            <w:vMerge/>
            <w:vAlign w:val="center"/>
          </w:tcPr>
          <w:p w14:paraId="460DE653" w14:textId="77777777" w:rsidR="004D1935" w:rsidRPr="00FC52C1" w:rsidRDefault="004D1935" w:rsidP="00E24DC9">
            <w:pPr>
              <w:jc w:val="center"/>
              <w:rPr>
                <w:color w:val="000000" w:themeColor="text1"/>
              </w:rPr>
            </w:pPr>
          </w:p>
        </w:tc>
        <w:tc>
          <w:tcPr>
            <w:tcW w:w="1321" w:type="dxa"/>
            <w:vMerge/>
            <w:vAlign w:val="center"/>
          </w:tcPr>
          <w:p w14:paraId="1E49E961" w14:textId="77777777" w:rsidR="004D1935" w:rsidRPr="00FC52C1" w:rsidRDefault="004D1935" w:rsidP="00E24DC9">
            <w:pPr>
              <w:jc w:val="center"/>
              <w:rPr>
                <w:color w:val="000000" w:themeColor="text1"/>
              </w:rPr>
            </w:pPr>
          </w:p>
        </w:tc>
        <w:tc>
          <w:tcPr>
            <w:tcW w:w="1683" w:type="dxa"/>
            <w:vMerge/>
            <w:vAlign w:val="center"/>
          </w:tcPr>
          <w:p w14:paraId="148ADEF2" w14:textId="77777777" w:rsidR="004D1935" w:rsidRPr="00FC52C1" w:rsidRDefault="004D1935" w:rsidP="00E24DC9">
            <w:pPr>
              <w:jc w:val="center"/>
              <w:rPr>
                <w:color w:val="000000" w:themeColor="text1"/>
              </w:rPr>
            </w:pPr>
          </w:p>
        </w:tc>
        <w:tc>
          <w:tcPr>
            <w:tcW w:w="6888" w:type="dxa"/>
            <w:vMerge/>
            <w:vAlign w:val="center"/>
          </w:tcPr>
          <w:p w14:paraId="2E979FF0" w14:textId="77777777" w:rsidR="004D1935" w:rsidRPr="003D4A36" w:rsidRDefault="004D1935" w:rsidP="00E24DC9">
            <w:pPr>
              <w:jc w:val="center"/>
              <w:rPr>
                <w:color w:val="000000" w:themeColor="text1"/>
                <w:sz w:val="16"/>
                <w:szCs w:val="16"/>
              </w:rPr>
            </w:pPr>
          </w:p>
        </w:tc>
      </w:tr>
      <w:tr w:rsidR="004D1935" w14:paraId="384BA571" w14:textId="77777777" w:rsidTr="00E24DC9">
        <w:tc>
          <w:tcPr>
            <w:tcW w:w="706" w:type="dxa"/>
            <w:vMerge/>
            <w:vAlign w:val="center"/>
          </w:tcPr>
          <w:p w14:paraId="610804AC" w14:textId="77777777" w:rsidR="004D1935" w:rsidRDefault="004D1935" w:rsidP="00E24DC9">
            <w:pPr>
              <w:jc w:val="center"/>
            </w:pPr>
          </w:p>
        </w:tc>
        <w:tc>
          <w:tcPr>
            <w:tcW w:w="1120" w:type="dxa"/>
            <w:tcBorders>
              <w:top w:val="nil"/>
              <w:bottom w:val="single" w:sz="4" w:space="0" w:color="auto"/>
            </w:tcBorders>
            <w:vAlign w:val="center"/>
          </w:tcPr>
          <w:p w14:paraId="0BA81573" w14:textId="77777777" w:rsidR="004D1935" w:rsidRPr="002436F2" w:rsidRDefault="004D1935" w:rsidP="00E24DC9">
            <w:pPr>
              <w:jc w:val="center"/>
              <w:rPr>
                <w:sz w:val="18"/>
                <w:szCs w:val="18"/>
              </w:rPr>
            </w:pPr>
            <w:r w:rsidRPr="002436F2">
              <w:rPr>
                <w:rFonts w:ascii="Calibri" w:hAnsi="Calibri" w:cs="Calibri"/>
                <w:color w:val="000000"/>
                <w:sz w:val="18"/>
                <w:szCs w:val="18"/>
              </w:rPr>
              <w:t>273.2553</w:t>
            </w:r>
          </w:p>
        </w:tc>
        <w:tc>
          <w:tcPr>
            <w:tcW w:w="3309" w:type="dxa"/>
            <w:vMerge/>
            <w:vAlign w:val="center"/>
          </w:tcPr>
          <w:p w14:paraId="4A4BA3E2" w14:textId="77777777" w:rsidR="004D1935" w:rsidRPr="00FC52C1" w:rsidRDefault="004D1935" w:rsidP="00E24DC9">
            <w:pPr>
              <w:jc w:val="center"/>
              <w:rPr>
                <w:color w:val="000000" w:themeColor="text1"/>
              </w:rPr>
            </w:pPr>
          </w:p>
        </w:tc>
        <w:tc>
          <w:tcPr>
            <w:tcW w:w="1321" w:type="dxa"/>
            <w:vMerge/>
            <w:vAlign w:val="center"/>
          </w:tcPr>
          <w:p w14:paraId="52DAFD67" w14:textId="77777777" w:rsidR="004D1935" w:rsidRPr="00FC52C1" w:rsidRDefault="004D1935" w:rsidP="00E24DC9">
            <w:pPr>
              <w:jc w:val="center"/>
              <w:rPr>
                <w:color w:val="000000" w:themeColor="text1"/>
              </w:rPr>
            </w:pPr>
          </w:p>
        </w:tc>
        <w:tc>
          <w:tcPr>
            <w:tcW w:w="1683" w:type="dxa"/>
            <w:vMerge/>
            <w:vAlign w:val="center"/>
          </w:tcPr>
          <w:p w14:paraId="36382C43" w14:textId="77777777" w:rsidR="004D1935" w:rsidRPr="00FC52C1" w:rsidRDefault="004D1935" w:rsidP="00E24DC9">
            <w:pPr>
              <w:jc w:val="center"/>
              <w:rPr>
                <w:color w:val="000000" w:themeColor="text1"/>
              </w:rPr>
            </w:pPr>
          </w:p>
        </w:tc>
        <w:tc>
          <w:tcPr>
            <w:tcW w:w="6888" w:type="dxa"/>
            <w:vMerge/>
            <w:vAlign w:val="center"/>
          </w:tcPr>
          <w:p w14:paraId="2406E9FF" w14:textId="77777777" w:rsidR="004D1935" w:rsidRPr="003D4A36" w:rsidRDefault="004D1935" w:rsidP="00E24DC9">
            <w:pPr>
              <w:jc w:val="center"/>
              <w:rPr>
                <w:color w:val="000000" w:themeColor="text1"/>
                <w:sz w:val="16"/>
                <w:szCs w:val="16"/>
              </w:rPr>
            </w:pPr>
          </w:p>
        </w:tc>
      </w:tr>
      <w:tr w:rsidR="004D1935" w14:paraId="3688BD6B" w14:textId="77777777" w:rsidTr="00E24DC9">
        <w:tc>
          <w:tcPr>
            <w:tcW w:w="706" w:type="dxa"/>
            <w:vMerge w:val="restart"/>
            <w:vAlign w:val="center"/>
          </w:tcPr>
          <w:p w14:paraId="4916B6AB" w14:textId="77777777" w:rsidR="004D1935" w:rsidRDefault="004D1935" w:rsidP="00E24DC9">
            <w:pPr>
              <w:jc w:val="center"/>
            </w:pPr>
            <w:r>
              <w:t>K</w:t>
            </w:r>
          </w:p>
        </w:tc>
        <w:tc>
          <w:tcPr>
            <w:tcW w:w="1120" w:type="dxa"/>
            <w:tcBorders>
              <w:bottom w:val="nil"/>
            </w:tcBorders>
            <w:vAlign w:val="center"/>
          </w:tcPr>
          <w:p w14:paraId="076A9711" w14:textId="77777777" w:rsidR="004D1935" w:rsidRPr="002436F2" w:rsidRDefault="004D1935" w:rsidP="00E24DC9">
            <w:pPr>
              <w:jc w:val="center"/>
              <w:rPr>
                <w:sz w:val="18"/>
                <w:szCs w:val="18"/>
              </w:rPr>
            </w:pPr>
            <w:r w:rsidRPr="002436F2">
              <w:rPr>
                <w:rFonts w:ascii="Calibri" w:hAnsi="Calibri" w:cs="Calibri"/>
                <w:color w:val="000000"/>
                <w:sz w:val="18"/>
                <w:szCs w:val="18"/>
              </w:rPr>
              <w:t>235.0420</w:t>
            </w:r>
          </w:p>
        </w:tc>
        <w:tc>
          <w:tcPr>
            <w:tcW w:w="3309" w:type="dxa"/>
            <w:vMerge w:val="restart"/>
            <w:vAlign w:val="center"/>
          </w:tcPr>
          <w:p w14:paraId="1F320B98" w14:textId="77777777" w:rsidR="004D1935" w:rsidRPr="00FC52C1" w:rsidRDefault="004D1935" w:rsidP="00E24DC9">
            <w:pPr>
              <w:jc w:val="center"/>
              <w:rPr>
                <w:color w:val="000000" w:themeColor="text1"/>
              </w:rPr>
            </w:pPr>
            <w:r w:rsidRPr="00FC52C1">
              <w:rPr>
                <w:color w:val="000000" w:themeColor="text1"/>
              </w:rPr>
              <w:t>U</w:t>
            </w:r>
            <w:r w:rsidRPr="00821DC7">
              <w:rPr>
                <w:color w:val="000000" w:themeColor="text1"/>
              </w:rPr>
              <w:t>DP-</w:t>
            </w:r>
            <w:hyperlink r:id="rId124" w:history="1">
              <w:r w:rsidRPr="00821DC7">
                <w:rPr>
                  <w:rStyle w:val="Hyperlink"/>
                  <w:rFonts w:ascii="Calibri" w:eastAsia="Cambria" w:hAnsi="Calibri" w:cs="Calibri"/>
                  <w:color w:val="000000" w:themeColor="text1"/>
                  <w:sz w:val="18"/>
                  <w:szCs w:val="18"/>
                </w:rPr>
                <w:t>N-acetyl-D-mannosaminouronate</w:t>
              </w:r>
            </w:hyperlink>
          </w:p>
        </w:tc>
        <w:tc>
          <w:tcPr>
            <w:tcW w:w="1321" w:type="dxa"/>
            <w:vMerge w:val="restart"/>
            <w:vAlign w:val="center"/>
          </w:tcPr>
          <w:p w14:paraId="5DF38455" w14:textId="77777777" w:rsidR="004D1935" w:rsidRPr="00FC52C1" w:rsidRDefault="004D1935" w:rsidP="00E24DC9">
            <w:pPr>
              <w:jc w:val="center"/>
              <w:rPr>
                <w:color w:val="000000" w:themeColor="text1"/>
              </w:rPr>
            </w:pPr>
            <w:r w:rsidRPr="00FC52C1">
              <w:rPr>
                <w:rFonts w:ascii="Arial" w:hAnsi="Arial" w:cs="Arial"/>
                <w:color w:val="000000" w:themeColor="text1"/>
                <w:sz w:val="18"/>
                <w:szCs w:val="18"/>
              </w:rPr>
              <w:t>C</w:t>
            </w:r>
            <w:r w:rsidRPr="00FC52C1">
              <w:rPr>
                <w:rFonts w:ascii="Arial" w:hAnsi="Arial" w:cs="Arial"/>
                <w:color w:val="000000" w:themeColor="text1"/>
                <w:sz w:val="18"/>
                <w:szCs w:val="18"/>
                <w:vertAlign w:val="subscript"/>
              </w:rPr>
              <w:t>8</w:t>
            </w:r>
            <w:r w:rsidRPr="00FC52C1">
              <w:rPr>
                <w:rFonts w:ascii="Arial" w:hAnsi="Arial" w:cs="Arial"/>
                <w:color w:val="000000" w:themeColor="text1"/>
                <w:sz w:val="18"/>
                <w:szCs w:val="18"/>
              </w:rPr>
              <w:t>H</w:t>
            </w:r>
            <w:r w:rsidRPr="00FC52C1">
              <w:rPr>
                <w:rFonts w:ascii="Arial" w:hAnsi="Arial" w:cs="Arial"/>
                <w:color w:val="000000" w:themeColor="text1"/>
                <w:sz w:val="18"/>
                <w:szCs w:val="18"/>
                <w:vertAlign w:val="subscript"/>
              </w:rPr>
              <w:t>12</w:t>
            </w:r>
            <w:r w:rsidRPr="00FC52C1">
              <w:rPr>
                <w:rFonts w:ascii="Arial" w:hAnsi="Arial" w:cs="Arial"/>
                <w:color w:val="000000" w:themeColor="text1"/>
                <w:sz w:val="18"/>
                <w:szCs w:val="18"/>
              </w:rPr>
              <w:t>NO</w:t>
            </w:r>
            <w:r w:rsidRPr="00FC52C1">
              <w:rPr>
                <w:rFonts w:ascii="Arial" w:hAnsi="Arial" w:cs="Arial"/>
                <w:color w:val="000000" w:themeColor="text1"/>
                <w:sz w:val="18"/>
                <w:szCs w:val="18"/>
                <w:vertAlign w:val="subscript"/>
              </w:rPr>
              <w:t>7</w:t>
            </w:r>
          </w:p>
        </w:tc>
        <w:tc>
          <w:tcPr>
            <w:tcW w:w="1683" w:type="dxa"/>
            <w:vMerge w:val="restart"/>
            <w:vAlign w:val="center"/>
          </w:tcPr>
          <w:p w14:paraId="6228A0F8" w14:textId="77777777" w:rsidR="004D1935" w:rsidRPr="00FC52C1" w:rsidRDefault="004D1935" w:rsidP="00E24DC9">
            <w:pPr>
              <w:jc w:val="center"/>
              <w:rPr>
                <w:rFonts w:ascii="Calibri" w:hAnsi="Calibri" w:cs="Calibri"/>
                <w:color w:val="000000" w:themeColor="text1"/>
                <w:sz w:val="18"/>
                <w:szCs w:val="18"/>
              </w:rPr>
            </w:pPr>
            <w:r w:rsidRPr="00FC52C1">
              <w:rPr>
                <w:rFonts w:ascii="Calibri" w:hAnsi="Calibri" w:cs="Calibri"/>
                <w:color w:val="000000" w:themeColor="text1"/>
                <w:sz w:val="18"/>
                <w:szCs w:val="18"/>
              </w:rPr>
              <w:t>NUCLOTIDE SUGAR/PYRIMIDINE</w:t>
            </w:r>
          </w:p>
          <w:p w14:paraId="4BB4401B" w14:textId="77777777" w:rsidR="004D1935" w:rsidRPr="00FC52C1" w:rsidRDefault="004D1935" w:rsidP="00E24DC9">
            <w:pPr>
              <w:jc w:val="center"/>
              <w:rPr>
                <w:color w:val="000000" w:themeColor="text1"/>
              </w:rPr>
            </w:pPr>
            <w:r w:rsidRPr="00FC52C1">
              <w:rPr>
                <w:rFonts w:ascii="Calibri" w:hAnsi="Calibri" w:cs="Calibri"/>
                <w:color w:val="000000" w:themeColor="text1"/>
                <w:sz w:val="18"/>
                <w:szCs w:val="18"/>
              </w:rPr>
              <w:t>Amino sugar</w:t>
            </w:r>
          </w:p>
        </w:tc>
        <w:tc>
          <w:tcPr>
            <w:tcW w:w="6888" w:type="dxa"/>
            <w:vMerge w:val="restart"/>
            <w:vAlign w:val="center"/>
          </w:tcPr>
          <w:p w14:paraId="5D0C28DE" w14:textId="77777777" w:rsidR="004D1935" w:rsidRPr="003D4A36" w:rsidRDefault="004D1935" w:rsidP="00E24DC9">
            <w:pPr>
              <w:jc w:val="center"/>
              <w:rPr>
                <w:color w:val="000000" w:themeColor="text1"/>
                <w:sz w:val="16"/>
                <w:szCs w:val="16"/>
              </w:rPr>
            </w:pPr>
            <w:r w:rsidRPr="003D4A36">
              <w:rPr>
                <w:rFonts w:ascii="Verdana" w:hAnsi="Verdana" w:cs="Calibri"/>
                <w:color w:val="000000" w:themeColor="text1"/>
                <w:sz w:val="16"/>
                <w:szCs w:val="16"/>
              </w:rPr>
              <w:t>Amino sugar and nucleotide sugar metabolism</w:t>
            </w:r>
          </w:p>
        </w:tc>
      </w:tr>
      <w:tr w:rsidR="004D1935" w14:paraId="39341790" w14:textId="77777777" w:rsidTr="00E24DC9">
        <w:tc>
          <w:tcPr>
            <w:tcW w:w="706" w:type="dxa"/>
            <w:vMerge/>
          </w:tcPr>
          <w:p w14:paraId="36D77382" w14:textId="77777777" w:rsidR="004D1935" w:rsidRDefault="004D1935" w:rsidP="00E24DC9"/>
        </w:tc>
        <w:tc>
          <w:tcPr>
            <w:tcW w:w="1120" w:type="dxa"/>
            <w:tcBorders>
              <w:top w:val="nil"/>
              <w:bottom w:val="nil"/>
            </w:tcBorders>
            <w:vAlign w:val="center"/>
          </w:tcPr>
          <w:p w14:paraId="02772091" w14:textId="77777777" w:rsidR="004D1935" w:rsidRPr="002436F2" w:rsidRDefault="004D1935" w:rsidP="00E24DC9">
            <w:pPr>
              <w:jc w:val="center"/>
              <w:rPr>
                <w:sz w:val="18"/>
                <w:szCs w:val="18"/>
              </w:rPr>
            </w:pPr>
            <w:r w:rsidRPr="002436F2">
              <w:rPr>
                <w:rFonts w:ascii="Calibri" w:hAnsi="Calibri" w:cs="Calibri"/>
                <w:color w:val="000000"/>
                <w:sz w:val="18"/>
                <w:szCs w:val="18"/>
              </w:rPr>
              <w:t>235.0781</w:t>
            </w:r>
          </w:p>
        </w:tc>
        <w:tc>
          <w:tcPr>
            <w:tcW w:w="3309" w:type="dxa"/>
            <w:vMerge/>
          </w:tcPr>
          <w:p w14:paraId="2F290217" w14:textId="77777777" w:rsidR="004D1935" w:rsidRDefault="004D1935" w:rsidP="00E24DC9"/>
        </w:tc>
        <w:tc>
          <w:tcPr>
            <w:tcW w:w="1321" w:type="dxa"/>
            <w:vMerge/>
          </w:tcPr>
          <w:p w14:paraId="5341F4AA" w14:textId="77777777" w:rsidR="004D1935" w:rsidRDefault="004D1935" w:rsidP="00E24DC9"/>
        </w:tc>
        <w:tc>
          <w:tcPr>
            <w:tcW w:w="1683" w:type="dxa"/>
            <w:vMerge/>
          </w:tcPr>
          <w:p w14:paraId="2453F31A" w14:textId="77777777" w:rsidR="004D1935" w:rsidRDefault="004D1935" w:rsidP="00E24DC9"/>
        </w:tc>
        <w:tc>
          <w:tcPr>
            <w:tcW w:w="6888" w:type="dxa"/>
            <w:vMerge/>
          </w:tcPr>
          <w:p w14:paraId="43A20203" w14:textId="77777777" w:rsidR="004D1935" w:rsidRDefault="004D1935" w:rsidP="00E24DC9"/>
        </w:tc>
      </w:tr>
      <w:tr w:rsidR="004D1935" w14:paraId="45F025EF" w14:textId="77777777" w:rsidTr="00E24DC9">
        <w:tc>
          <w:tcPr>
            <w:tcW w:w="706" w:type="dxa"/>
            <w:vMerge/>
          </w:tcPr>
          <w:p w14:paraId="1E78CD6D" w14:textId="77777777" w:rsidR="004D1935" w:rsidRDefault="004D1935" w:rsidP="00E24DC9"/>
        </w:tc>
        <w:tc>
          <w:tcPr>
            <w:tcW w:w="1120" w:type="dxa"/>
            <w:tcBorders>
              <w:top w:val="nil"/>
              <w:bottom w:val="nil"/>
            </w:tcBorders>
            <w:vAlign w:val="center"/>
          </w:tcPr>
          <w:p w14:paraId="1B6D8779" w14:textId="77777777" w:rsidR="004D1935" w:rsidRPr="002436F2" w:rsidRDefault="004D1935" w:rsidP="00E24DC9">
            <w:pPr>
              <w:jc w:val="center"/>
              <w:rPr>
                <w:sz w:val="18"/>
                <w:szCs w:val="18"/>
              </w:rPr>
            </w:pPr>
            <w:r w:rsidRPr="002436F2">
              <w:rPr>
                <w:rFonts w:ascii="Calibri" w:hAnsi="Calibri" w:cs="Calibri"/>
                <w:color w:val="000000"/>
                <w:sz w:val="18"/>
                <w:szCs w:val="18"/>
              </w:rPr>
              <w:t>235.1142</w:t>
            </w:r>
          </w:p>
        </w:tc>
        <w:tc>
          <w:tcPr>
            <w:tcW w:w="3309" w:type="dxa"/>
            <w:vMerge/>
          </w:tcPr>
          <w:p w14:paraId="53F2DB43" w14:textId="77777777" w:rsidR="004D1935" w:rsidRDefault="004D1935" w:rsidP="00E24DC9"/>
        </w:tc>
        <w:tc>
          <w:tcPr>
            <w:tcW w:w="1321" w:type="dxa"/>
            <w:vMerge/>
          </w:tcPr>
          <w:p w14:paraId="26D27CEC" w14:textId="77777777" w:rsidR="004D1935" w:rsidRDefault="004D1935" w:rsidP="00E24DC9"/>
        </w:tc>
        <w:tc>
          <w:tcPr>
            <w:tcW w:w="1683" w:type="dxa"/>
            <w:vMerge/>
          </w:tcPr>
          <w:p w14:paraId="740F2C91" w14:textId="77777777" w:rsidR="004D1935" w:rsidRDefault="004D1935" w:rsidP="00E24DC9"/>
        </w:tc>
        <w:tc>
          <w:tcPr>
            <w:tcW w:w="6888" w:type="dxa"/>
            <w:vMerge/>
          </w:tcPr>
          <w:p w14:paraId="052DB7C8" w14:textId="77777777" w:rsidR="004D1935" w:rsidRDefault="004D1935" w:rsidP="00E24DC9"/>
        </w:tc>
      </w:tr>
      <w:tr w:rsidR="004D1935" w14:paraId="73027C50" w14:textId="77777777" w:rsidTr="00E24DC9">
        <w:tc>
          <w:tcPr>
            <w:tcW w:w="706" w:type="dxa"/>
            <w:vMerge/>
          </w:tcPr>
          <w:p w14:paraId="28EC1718" w14:textId="77777777" w:rsidR="004D1935" w:rsidRDefault="004D1935" w:rsidP="00E24DC9"/>
        </w:tc>
        <w:tc>
          <w:tcPr>
            <w:tcW w:w="1120" w:type="dxa"/>
            <w:tcBorders>
              <w:top w:val="nil"/>
              <w:bottom w:val="nil"/>
            </w:tcBorders>
            <w:vAlign w:val="center"/>
          </w:tcPr>
          <w:p w14:paraId="043EC253" w14:textId="77777777" w:rsidR="004D1935" w:rsidRPr="002436F2" w:rsidRDefault="004D1935" w:rsidP="00E24DC9">
            <w:pPr>
              <w:jc w:val="center"/>
              <w:rPr>
                <w:sz w:val="18"/>
                <w:szCs w:val="18"/>
              </w:rPr>
            </w:pPr>
            <w:r w:rsidRPr="002436F2">
              <w:rPr>
                <w:rFonts w:ascii="Calibri" w:hAnsi="Calibri" w:cs="Calibri"/>
                <w:color w:val="000000"/>
                <w:sz w:val="18"/>
                <w:szCs w:val="18"/>
              </w:rPr>
              <w:t>235.1576</w:t>
            </w:r>
          </w:p>
        </w:tc>
        <w:tc>
          <w:tcPr>
            <w:tcW w:w="3309" w:type="dxa"/>
            <w:vMerge/>
          </w:tcPr>
          <w:p w14:paraId="76B18C04" w14:textId="77777777" w:rsidR="004D1935" w:rsidRDefault="004D1935" w:rsidP="00E24DC9"/>
        </w:tc>
        <w:tc>
          <w:tcPr>
            <w:tcW w:w="1321" w:type="dxa"/>
            <w:vMerge/>
          </w:tcPr>
          <w:p w14:paraId="1455798E" w14:textId="77777777" w:rsidR="004D1935" w:rsidRDefault="004D1935" w:rsidP="00E24DC9"/>
        </w:tc>
        <w:tc>
          <w:tcPr>
            <w:tcW w:w="1683" w:type="dxa"/>
            <w:vMerge/>
          </w:tcPr>
          <w:p w14:paraId="2E24F90E" w14:textId="77777777" w:rsidR="004D1935" w:rsidRDefault="004D1935" w:rsidP="00E24DC9"/>
        </w:tc>
        <w:tc>
          <w:tcPr>
            <w:tcW w:w="6888" w:type="dxa"/>
            <w:vMerge/>
          </w:tcPr>
          <w:p w14:paraId="5B7357F7" w14:textId="77777777" w:rsidR="004D1935" w:rsidRDefault="004D1935" w:rsidP="00E24DC9"/>
        </w:tc>
      </w:tr>
      <w:tr w:rsidR="004D1935" w14:paraId="6068E589" w14:textId="77777777" w:rsidTr="00E24DC9">
        <w:tc>
          <w:tcPr>
            <w:tcW w:w="706" w:type="dxa"/>
            <w:vMerge/>
          </w:tcPr>
          <w:p w14:paraId="4168043F" w14:textId="77777777" w:rsidR="004D1935" w:rsidRDefault="004D1935" w:rsidP="00E24DC9"/>
        </w:tc>
        <w:tc>
          <w:tcPr>
            <w:tcW w:w="1120" w:type="dxa"/>
            <w:tcBorders>
              <w:top w:val="nil"/>
              <w:bottom w:val="nil"/>
            </w:tcBorders>
            <w:vAlign w:val="center"/>
          </w:tcPr>
          <w:p w14:paraId="4E77B00A" w14:textId="77777777" w:rsidR="004D1935" w:rsidRPr="002436F2" w:rsidRDefault="004D1935" w:rsidP="00E24DC9">
            <w:pPr>
              <w:jc w:val="center"/>
              <w:rPr>
                <w:sz w:val="18"/>
                <w:szCs w:val="18"/>
              </w:rPr>
            </w:pPr>
            <w:r w:rsidRPr="002436F2">
              <w:rPr>
                <w:rFonts w:ascii="Calibri" w:hAnsi="Calibri" w:cs="Calibri"/>
                <w:color w:val="000000"/>
                <w:sz w:val="18"/>
                <w:szCs w:val="18"/>
              </w:rPr>
              <w:t>235.0034</w:t>
            </w:r>
          </w:p>
        </w:tc>
        <w:tc>
          <w:tcPr>
            <w:tcW w:w="3309" w:type="dxa"/>
            <w:vMerge/>
          </w:tcPr>
          <w:p w14:paraId="60A95097" w14:textId="77777777" w:rsidR="004D1935" w:rsidRDefault="004D1935" w:rsidP="00E24DC9"/>
        </w:tc>
        <w:tc>
          <w:tcPr>
            <w:tcW w:w="1321" w:type="dxa"/>
            <w:vMerge/>
          </w:tcPr>
          <w:p w14:paraId="5A858C57" w14:textId="77777777" w:rsidR="004D1935" w:rsidRDefault="004D1935" w:rsidP="00E24DC9"/>
        </w:tc>
        <w:tc>
          <w:tcPr>
            <w:tcW w:w="1683" w:type="dxa"/>
            <w:vMerge/>
          </w:tcPr>
          <w:p w14:paraId="5065DD7D" w14:textId="77777777" w:rsidR="004D1935" w:rsidRDefault="004D1935" w:rsidP="00E24DC9"/>
        </w:tc>
        <w:tc>
          <w:tcPr>
            <w:tcW w:w="6888" w:type="dxa"/>
            <w:vMerge/>
          </w:tcPr>
          <w:p w14:paraId="6EEEF639" w14:textId="77777777" w:rsidR="004D1935" w:rsidRDefault="004D1935" w:rsidP="00E24DC9"/>
        </w:tc>
      </w:tr>
      <w:tr w:rsidR="004D1935" w14:paraId="2F9F9A91" w14:textId="77777777" w:rsidTr="00E24DC9">
        <w:tc>
          <w:tcPr>
            <w:tcW w:w="706" w:type="dxa"/>
            <w:vMerge/>
          </w:tcPr>
          <w:p w14:paraId="333AAA49" w14:textId="77777777" w:rsidR="004D1935" w:rsidRDefault="004D1935" w:rsidP="00E24DC9"/>
        </w:tc>
        <w:tc>
          <w:tcPr>
            <w:tcW w:w="1120" w:type="dxa"/>
            <w:tcBorders>
              <w:top w:val="nil"/>
              <w:bottom w:val="nil"/>
            </w:tcBorders>
            <w:vAlign w:val="center"/>
          </w:tcPr>
          <w:p w14:paraId="6CA39379" w14:textId="77777777" w:rsidR="004D1935" w:rsidRPr="002436F2" w:rsidRDefault="004D1935" w:rsidP="00E24DC9">
            <w:pPr>
              <w:jc w:val="center"/>
              <w:rPr>
                <w:sz w:val="18"/>
                <w:szCs w:val="18"/>
              </w:rPr>
            </w:pPr>
            <w:r w:rsidRPr="002436F2">
              <w:rPr>
                <w:rFonts w:ascii="Calibri" w:hAnsi="Calibri" w:cs="Calibri"/>
                <w:color w:val="000000"/>
                <w:sz w:val="18"/>
                <w:szCs w:val="18"/>
              </w:rPr>
              <w:t>235.0396</w:t>
            </w:r>
          </w:p>
        </w:tc>
        <w:tc>
          <w:tcPr>
            <w:tcW w:w="3309" w:type="dxa"/>
            <w:vMerge/>
          </w:tcPr>
          <w:p w14:paraId="5A5D8ACE" w14:textId="77777777" w:rsidR="004D1935" w:rsidRDefault="004D1935" w:rsidP="00E24DC9"/>
        </w:tc>
        <w:tc>
          <w:tcPr>
            <w:tcW w:w="1321" w:type="dxa"/>
            <w:vMerge/>
          </w:tcPr>
          <w:p w14:paraId="51A2F8CC" w14:textId="77777777" w:rsidR="004D1935" w:rsidRDefault="004D1935" w:rsidP="00E24DC9"/>
        </w:tc>
        <w:tc>
          <w:tcPr>
            <w:tcW w:w="1683" w:type="dxa"/>
            <w:vMerge/>
          </w:tcPr>
          <w:p w14:paraId="742F7C87" w14:textId="77777777" w:rsidR="004D1935" w:rsidRDefault="004D1935" w:rsidP="00E24DC9"/>
        </w:tc>
        <w:tc>
          <w:tcPr>
            <w:tcW w:w="6888" w:type="dxa"/>
            <w:vMerge/>
          </w:tcPr>
          <w:p w14:paraId="5CC93FC0" w14:textId="77777777" w:rsidR="004D1935" w:rsidRDefault="004D1935" w:rsidP="00E24DC9"/>
        </w:tc>
      </w:tr>
      <w:tr w:rsidR="004D1935" w14:paraId="496AA42F" w14:textId="77777777" w:rsidTr="00E24DC9">
        <w:tc>
          <w:tcPr>
            <w:tcW w:w="706" w:type="dxa"/>
            <w:vMerge/>
          </w:tcPr>
          <w:p w14:paraId="18F98325" w14:textId="77777777" w:rsidR="004D1935" w:rsidRDefault="004D1935" w:rsidP="00E24DC9"/>
        </w:tc>
        <w:tc>
          <w:tcPr>
            <w:tcW w:w="1120" w:type="dxa"/>
            <w:tcBorders>
              <w:top w:val="nil"/>
              <w:bottom w:val="nil"/>
            </w:tcBorders>
            <w:vAlign w:val="center"/>
          </w:tcPr>
          <w:p w14:paraId="3728ED72" w14:textId="77777777" w:rsidR="004D1935" w:rsidRPr="002436F2" w:rsidRDefault="004D1935" w:rsidP="00E24DC9">
            <w:pPr>
              <w:jc w:val="center"/>
              <w:rPr>
                <w:sz w:val="18"/>
                <w:szCs w:val="18"/>
              </w:rPr>
            </w:pPr>
            <w:r w:rsidRPr="002436F2">
              <w:rPr>
                <w:rFonts w:ascii="Calibri" w:hAnsi="Calibri" w:cs="Calibri"/>
                <w:color w:val="000000"/>
                <w:sz w:val="18"/>
                <w:szCs w:val="18"/>
              </w:rPr>
              <w:t>235.0757</w:t>
            </w:r>
          </w:p>
        </w:tc>
        <w:tc>
          <w:tcPr>
            <w:tcW w:w="3309" w:type="dxa"/>
            <w:vMerge/>
          </w:tcPr>
          <w:p w14:paraId="382A016F" w14:textId="77777777" w:rsidR="004D1935" w:rsidRDefault="004D1935" w:rsidP="00E24DC9"/>
        </w:tc>
        <w:tc>
          <w:tcPr>
            <w:tcW w:w="1321" w:type="dxa"/>
            <w:vMerge/>
          </w:tcPr>
          <w:p w14:paraId="3E85E30E" w14:textId="77777777" w:rsidR="004D1935" w:rsidRDefault="004D1935" w:rsidP="00E24DC9"/>
        </w:tc>
        <w:tc>
          <w:tcPr>
            <w:tcW w:w="1683" w:type="dxa"/>
            <w:vMerge/>
          </w:tcPr>
          <w:p w14:paraId="316460DC" w14:textId="77777777" w:rsidR="004D1935" w:rsidRDefault="004D1935" w:rsidP="00E24DC9"/>
        </w:tc>
        <w:tc>
          <w:tcPr>
            <w:tcW w:w="6888" w:type="dxa"/>
            <w:vMerge/>
          </w:tcPr>
          <w:p w14:paraId="72E4AA6A" w14:textId="77777777" w:rsidR="004D1935" w:rsidRDefault="004D1935" w:rsidP="00E24DC9"/>
        </w:tc>
      </w:tr>
      <w:tr w:rsidR="004D1935" w14:paraId="3C161FE0" w14:textId="77777777" w:rsidTr="00E24DC9">
        <w:tc>
          <w:tcPr>
            <w:tcW w:w="706" w:type="dxa"/>
            <w:vMerge/>
          </w:tcPr>
          <w:p w14:paraId="1B298CB2" w14:textId="77777777" w:rsidR="004D1935" w:rsidRDefault="004D1935" w:rsidP="00E24DC9"/>
        </w:tc>
        <w:tc>
          <w:tcPr>
            <w:tcW w:w="1120" w:type="dxa"/>
            <w:tcBorders>
              <w:top w:val="nil"/>
              <w:bottom w:val="nil"/>
            </w:tcBorders>
            <w:vAlign w:val="center"/>
          </w:tcPr>
          <w:p w14:paraId="2407588A" w14:textId="77777777" w:rsidR="004D1935" w:rsidRPr="002436F2" w:rsidRDefault="004D1935" w:rsidP="00E24DC9">
            <w:pPr>
              <w:jc w:val="center"/>
              <w:rPr>
                <w:sz w:val="18"/>
                <w:szCs w:val="18"/>
              </w:rPr>
            </w:pPr>
            <w:r w:rsidRPr="002436F2">
              <w:rPr>
                <w:rFonts w:ascii="Calibri" w:hAnsi="Calibri" w:cs="Calibri"/>
                <w:color w:val="000000"/>
                <w:sz w:val="18"/>
                <w:szCs w:val="18"/>
              </w:rPr>
              <w:t>235.1118</w:t>
            </w:r>
          </w:p>
        </w:tc>
        <w:tc>
          <w:tcPr>
            <w:tcW w:w="3309" w:type="dxa"/>
            <w:vMerge/>
          </w:tcPr>
          <w:p w14:paraId="48DC71BC" w14:textId="77777777" w:rsidR="004D1935" w:rsidRDefault="004D1935" w:rsidP="00E24DC9"/>
        </w:tc>
        <w:tc>
          <w:tcPr>
            <w:tcW w:w="1321" w:type="dxa"/>
            <w:vMerge/>
          </w:tcPr>
          <w:p w14:paraId="4C041DB3" w14:textId="77777777" w:rsidR="004D1935" w:rsidRDefault="004D1935" w:rsidP="00E24DC9"/>
        </w:tc>
        <w:tc>
          <w:tcPr>
            <w:tcW w:w="1683" w:type="dxa"/>
            <w:vMerge/>
          </w:tcPr>
          <w:p w14:paraId="54F44527" w14:textId="77777777" w:rsidR="004D1935" w:rsidRDefault="004D1935" w:rsidP="00E24DC9"/>
        </w:tc>
        <w:tc>
          <w:tcPr>
            <w:tcW w:w="6888" w:type="dxa"/>
            <w:vMerge/>
          </w:tcPr>
          <w:p w14:paraId="3A0DBCF0" w14:textId="77777777" w:rsidR="004D1935" w:rsidRDefault="004D1935" w:rsidP="00E24DC9"/>
        </w:tc>
      </w:tr>
      <w:tr w:rsidR="004D1935" w14:paraId="088EECF5" w14:textId="77777777" w:rsidTr="00E24DC9">
        <w:tc>
          <w:tcPr>
            <w:tcW w:w="706" w:type="dxa"/>
            <w:vMerge/>
          </w:tcPr>
          <w:p w14:paraId="37D1A24D" w14:textId="77777777" w:rsidR="004D1935" w:rsidRDefault="004D1935" w:rsidP="00E24DC9"/>
        </w:tc>
        <w:tc>
          <w:tcPr>
            <w:tcW w:w="1120" w:type="dxa"/>
            <w:tcBorders>
              <w:top w:val="nil"/>
              <w:bottom w:val="nil"/>
            </w:tcBorders>
            <w:vAlign w:val="center"/>
          </w:tcPr>
          <w:p w14:paraId="004C3A38" w14:textId="77777777" w:rsidR="004D1935" w:rsidRPr="002436F2" w:rsidRDefault="004D1935" w:rsidP="00E24DC9">
            <w:pPr>
              <w:jc w:val="center"/>
              <w:rPr>
                <w:sz w:val="18"/>
                <w:szCs w:val="18"/>
              </w:rPr>
            </w:pPr>
            <w:r w:rsidRPr="002436F2">
              <w:rPr>
                <w:rFonts w:ascii="Calibri" w:hAnsi="Calibri" w:cs="Calibri"/>
                <w:color w:val="000000"/>
                <w:sz w:val="18"/>
                <w:szCs w:val="18"/>
              </w:rPr>
              <w:t>235.1552</w:t>
            </w:r>
          </w:p>
        </w:tc>
        <w:tc>
          <w:tcPr>
            <w:tcW w:w="3309" w:type="dxa"/>
            <w:vMerge/>
          </w:tcPr>
          <w:p w14:paraId="07622C72" w14:textId="77777777" w:rsidR="004D1935" w:rsidRDefault="004D1935" w:rsidP="00E24DC9"/>
        </w:tc>
        <w:tc>
          <w:tcPr>
            <w:tcW w:w="1321" w:type="dxa"/>
            <w:vMerge/>
          </w:tcPr>
          <w:p w14:paraId="5C4FCA6F" w14:textId="77777777" w:rsidR="004D1935" w:rsidRDefault="004D1935" w:rsidP="00E24DC9"/>
        </w:tc>
        <w:tc>
          <w:tcPr>
            <w:tcW w:w="1683" w:type="dxa"/>
            <w:vMerge/>
          </w:tcPr>
          <w:p w14:paraId="7C15F54E" w14:textId="77777777" w:rsidR="004D1935" w:rsidRDefault="004D1935" w:rsidP="00E24DC9"/>
        </w:tc>
        <w:tc>
          <w:tcPr>
            <w:tcW w:w="6888" w:type="dxa"/>
            <w:vMerge/>
          </w:tcPr>
          <w:p w14:paraId="71709EF4" w14:textId="77777777" w:rsidR="004D1935" w:rsidRDefault="004D1935" w:rsidP="00E24DC9"/>
        </w:tc>
      </w:tr>
      <w:tr w:rsidR="004D1935" w14:paraId="05D02676" w14:textId="77777777" w:rsidTr="00E24DC9">
        <w:tc>
          <w:tcPr>
            <w:tcW w:w="706" w:type="dxa"/>
            <w:vMerge/>
          </w:tcPr>
          <w:p w14:paraId="6E251F49" w14:textId="77777777" w:rsidR="004D1935" w:rsidRDefault="004D1935" w:rsidP="00E24DC9"/>
        </w:tc>
        <w:tc>
          <w:tcPr>
            <w:tcW w:w="1120" w:type="dxa"/>
            <w:tcBorders>
              <w:top w:val="nil"/>
              <w:bottom w:val="nil"/>
            </w:tcBorders>
            <w:vAlign w:val="center"/>
          </w:tcPr>
          <w:p w14:paraId="212E1AC6" w14:textId="77777777" w:rsidR="004D1935" w:rsidRPr="002436F2" w:rsidRDefault="004D1935" w:rsidP="00E24DC9">
            <w:pPr>
              <w:jc w:val="center"/>
              <w:rPr>
                <w:sz w:val="18"/>
                <w:szCs w:val="18"/>
              </w:rPr>
            </w:pPr>
            <w:r w:rsidRPr="002436F2">
              <w:rPr>
                <w:rFonts w:ascii="Calibri" w:hAnsi="Calibri" w:cs="Calibri"/>
                <w:color w:val="000000"/>
                <w:sz w:val="18"/>
                <w:szCs w:val="18"/>
              </w:rPr>
              <w:t>235.1613</w:t>
            </w:r>
          </w:p>
        </w:tc>
        <w:tc>
          <w:tcPr>
            <w:tcW w:w="3309" w:type="dxa"/>
            <w:vMerge/>
          </w:tcPr>
          <w:p w14:paraId="00C5DD19" w14:textId="77777777" w:rsidR="004D1935" w:rsidRDefault="004D1935" w:rsidP="00E24DC9"/>
        </w:tc>
        <w:tc>
          <w:tcPr>
            <w:tcW w:w="1321" w:type="dxa"/>
            <w:vMerge/>
          </w:tcPr>
          <w:p w14:paraId="41BFC047" w14:textId="77777777" w:rsidR="004D1935" w:rsidRDefault="004D1935" w:rsidP="00E24DC9"/>
        </w:tc>
        <w:tc>
          <w:tcPr>
            <w:tcW w:w="1683" w:type="dxa"/>
            <w:vMerge/>
          </w:tcPr>
          <w:p w14:paraId="74404679" w14:textId="77777777" w:rsidR="004D1935" w:rsidRDefault="004D1935" w:rsidP="00E24DC9"/>
        </w:tc>
        <w:tc>
          <w:tcPr>
            <w:tcW w:w="6888" w:type="dxa"/>
            <w:vMerge/>
          </w:tcPr>
          <w:p w14:paraId="60DC7DBA" w14:textId="77777777" w:rsidR="004D1935" w:rsidRDefault="004D1935" w:rsidP="00E24DC9"/>
        </w:tc>
      </w:tr>
      <w:tr w:rsidR="004D1935" w14:paraId="696FE0DD" w14:textId="77777777" w:rsidTr="00E24DC9">
        <w:tc>
          <w:tcPr>
            <w:tcW w:w="706" w:type="dxa"/>
            <w:vMerge/>
          </w:tcPr>
          <w:p w14:paraId="1D6020D6" w14:textId="77777777" w:rsidR="004D1935" w:rsidRDefault="004D1935" w:rsidP="00E24DC9"/>
        </w:tc>
        <w:tc>
          <w:tcPr>
            <w:tcW w:w="1120" w:type="dxa"/>
            <w:tcBorders>
              <w:top w:val="nil"/>
              <w:bottom w:val="nil"/>
            </w:tcBorders>
            <w:vAlign w:val="center"/>
          </w:tcPr>
          <w:p w14:paraId="0BD86C6A" w14:textId="77777777" w:rsidR="004D1935" w:rsidRPr="002436F2" w:rsidRDefault="004D1935" w:rsidP="00E24DC9">
            <w:pPr>
              <w:jc w:val="center"/>
              <w:rPr>
                <w:sz w:val="18"/>
                <w:szCs w:val="18"/>
              </w:rPr>
            </w:pPr>
            <w:r w:rsidRPr="002436F2">
              <w:rPr>
                <w:rFonts w:ascii="Calibri" w:hAnsi="Calibri" w:cs="Calibri"/>
                <w:color w:val="000000"/>
                <w:sz w:val="18"/>
                <w:szCs w:val="18"/>
              </w:rPr>
              <w:t>235.1697</w:t>
            </w:r>
          </w:p>
        </w:tc>
        <w:tc>
          <w:tcPr>
            <w:tcW w:w="3309" w:type="dxa"/>
            <w:vMerge/>
          </w:tcPr>
          <w:p w14:paraId="08C3DA9B" w14:textId="77777777" w:rsidR="004D1935" w:rsidRDefault="004D1935" w:rsidP="00E24DC9"/>
        </w:tc>
        <w:tc>
          <w:tcPr>
            <w:tcW w:w="1321" w:type="dxa"/>
            <w:vMerge/>
          </w:tcPr>
          <w:p w14:paraId="5CA61358" w14:textId="77777777" w:rsidR="004D1935" w:rsidRDefault="004D1935" w:rsidP="00E24DC9"/>
        </w:tc>
        <w:tc>
          <w:tcPr>
            <w:tcW w:w="1683" w:type="dxa"/>
            <w:vMerge/>
          </w:tcPr>
          <w:p w14:paraId="6A410928" w14:textId="77777777" w:rsidR="004D1935" w:rsidRDefault="004D1935" w:rsidP="00E24DC9"/>
        </w:tc>
        <w:tc>
          <w:tcPr>
            <w:tcW w:w="6888" w:type="dxa"/>
            <w:vMerge/>
          </w:tcPr>
          <w:p w14:paraId="5C093CD7" w14:textId="77777777" w:rsidR="004D1935" w:rsidRDefault="004D1935" w:rsidP="00E24DC9"/>
        </w:tc>
      </w:tr>
      <w:tr w:rsidR="004D1935" w14:paraId="2FFE6842" w14:textId="77777777" w:rsidTr="00E24DC9">
        <w:tc>
          <w:tcPr>
            <w:tcW w:w="706" w:type="dxa"/>
            <w:vMerge/>
          </w:tcPr>
          <w:p w14:paraId="0412798C" w14:textId="77777777" w:rsidR="004D1935" w:rsidRDefault="004D1935" w:rsidP="00E24DC9"/>
        </w:tc>
        <w:tc>
          <w:tcPr>
            <w:tcW w:w="1120" w:type="dxa"/>
            <w:tcBorders>
              <w:top w:val="nil"/>
              <w:bottom w:val="nil"/>
            </w:tcBorders>
            <w:vAlign w:val="center"/>
          </w:tcPr>
          <w:p w14:paraId="53CD9B9E" w14:textId="77777777" w:rsidR="004D1935" w:rsidRPr="002436F2" w:rsidRDefault="004D1935" w:rsidP="00E24DC9">
            <w:pPr>
              <w:jc w:val="center"/>
              <w:rPr>
                <w:rFonts w:ascii="Calibri" w:hAnsi="Calibri" w:cs="Calibri"/>
                <w:color w:val="000000"/>
                <w:sz w:val="18"/>
                <w:szCs w:val="18"/>
              </w:rPr>
            </w:pPr>
            <w:r w:rsidRPr="002436F2">
              <w:rPr>
                <w:rFonts w:ascii="Calibri" w:hAnsi="Calibri" w:cs="Calibri"/>
                <w:color w:val="000000"/>
                <w:sz w:val="18"/>
                <w:szCs w:val="18"/>
              </w:rPr>
              <w:t>235.1649</w:t>
            </w:r>
          </w:p>
        </w:tc>
        <w:tc>
          <w:tcPr>
            <w:tcW w:w="3309" w:type="dxa"/>
            <w:vMerge/>
          </w:tcPr>
          <w:p w14:paraId="11D7D93D" w14:textId="77777777" w:rsidR="004D1935" w:rsidRDefault="004D1935" w:rsidP="00E24DC9"/>
        </w:tc>
        <w:tc>
          <w:tcPr>
            <w:tcW w:w="1321" w:type="dxa"/>
            <w:vMerge/>
          </w:tcPr>
          <w:p w14:paraId="20B5AEA9" w14:textId="77777777" w:rsidR="004D1935" w:rsidRDefault="004D1935" w:rsidP="00E24DC9"/>
        </w:tc>
        <w:tc>
          <w:tcPr>
            <w:tcW w:w="1683" w:type="dxa"/>
            <w:vMerge/>
          </w:tcPr>
          <w:p w14:paraId="74FA5764" w14:textId="77777777" w:rsidR="004D1935" w:rsidRDefault="004D1935" w:rsidP="00E24DC9"/>
        </w:tc>
        <w:tc>
          <w:tcPr>
            <w:tcW w:w="6888" w:type="dxa"/>
            <w:vMerge/>
          </w:tcPr>
          <w:p w14:paraId="42F79AE7" w14:textId="77777777" w:rsidR="004D1935" w:rsidRDefault="004D1935" w:rsidP="00E24DC9"/>
        </w:tc>
      </w:tr>
      <w:tr w:rsidR="004D1935" w14:paraId="623DF599" w14:textId="77777777" w:rsidTr="00E24DC9">
        <w:tc>
          <w:tcPr>
            <w:tcW w:w="706" w:type="dxa"/>
            <w:vMerge/>
          </w:tcPr>
          <w:p w14:paraId="4DF28BBC" w14:textId="77777777" w:rsidR="004D1935" w:rsidRDefault="004D1935" w:rsidP="00E24DC9"/>
        </w:tc>
        <w:tc>
          <w:tcPr>
            <w:tcW w:w="1120" w:type="dxa"/>
            <w:tcBorders>
              <w:top w:val="nil"/>
              <w:bottom w:val="nil"/>
            </w:tcBorders>
            <w:vAlign w:val="center"/>
          </w:tcPr>
          <w:p w14:paraId="6CE78A61" w14:textId="77777777" w:rsidR="004D1935" w:rsidRPr="002436F2" w:rsidRDefault="004D1935" w:rsidP="00E24DC9">
            <w:pPr>
              <w:jc w:val="center"/>
              <w:rPr>
                <w:rFonts w:ascii="Calibri" w:hAnsi="Calibri" w:cs="Calibri"/>
                <w:color w:val="000000"/>
                <w:sz w:val="18"/>
                <w:szCs w:val="18"/>
              </w:rPr>
            </w:pPr>
            <w:r w:rsidRPr="002436F2">
              <w:rPr>
                <w:rFonts w:ascii="Calibri" w:hAnsi="Calibri" w:cs="Calibri"/>
                <w:color w:val="000000"/>
                <w:sz w:val="18"/>
                <w:szCs w:val="18"/>
              </w:rPr>
              <w:t>235.1986</w:t>
            </w:r>
          </w:p>
        </w:tc>
        <w:tc>
          <w:tcPr>
            <w:tcW w:w="3309" w:type="dxa"/>
            <w:vMerge/>
          </w:tcPr>
          <w:p w14:paraId="09B49856" w14:textId="77777777" w:rsidR="004D1935" w:rsidRDefault="004D1935" w:rsidP="00E24DC9"/>
        </w:tc>
        <w:tc>
          <w:tcPr>
            <w:tcW w:w="1321" w:type="dxa"/>
            <w:vMerge/>
          </w:tcPr>
          <w:p w14:paraId="7044E0B3" w14:textId="77777777" w:rsidR="004D1935" w:rsidRDefault="004D1935" w:rsidP="00E24DC9"/>
        </w:tc>
        <w:tc>
          <w:tcPr>
            <w:tcW w:w="1683" w:type="dxa"/>
            <w:vMerge/>
          </w:tcPr>
          <w:p w14:paraId="1D6D1B7B" w14:textId="77777777" w:rsidR="004D1935" w:rsidRDefault="004D1935" w:rsidP="00E24DC9"/>
        </w:tc>
        <w:tc>
          <w:tcPr>
            <w:tcW w:w="6888" w:type="dxa"/>
            <w:vMerge/>
          </w:tcPr>
          <w:p w14:paraId="7DC3F940" w14:textId="77777777" w:rsidR="004D1935" w:rsidRDefault="004D1935" w:rsidP="00E24DC9"/>
        </w:tc>
      </w:tr>
      <w:tr w:rsidR="004D1935" w14:paraId="75E978B2" w14:textId="77777777" w:rsidTr="00E24DC9">
        <w:tc>
          <w:tcPr>
            <w:tcW w:w="706" w:type="dxa"/>
            <w:vMerge/>
          </w:tcPr>
          <w:p w14:paraId="7E03D767" w14:textId="77777777" w:rsidR="004D1935" w:rsidRDefault="004D1935" w:rsidP="00E24DC9"/>
        </w:tc>
        <w:tc>
          <w:tcPr>
            <w:tcW w:w="1120" w:type="dxa"/>
            <w:tcBorders>
              <w:top w:val="nil"/>
              <w:bottom w:val="nil"/>
            </w:tcBorders>
            <w:vAlign w:val="center"/>
          </w:tcPr>
          <w:p w14:paraId="746B8F0A" w14:textId="77777777" w:rsidR="004D1935" w:rsidRPr="002436F2" w:rsidRDefault="004D1935" w:rsidP="00E24DC9">
            <w:pPr>
              <w:jc w:val="center"/>
              <w:rPr>
                <w:rFonts w:ascii="Calibri" w:hAnsi="Calibri" w:cs="Calibri"/>
                <w:color w:val="000000"/>
                <w:sz w:val="18"/>
                <w:szCs w:val="18"/>
              </w:rPr>
            </w:pPr>
            <w:r w:rsidRPr="002436F2">
              <w:rPr>
                <w:rFonts w:ascii="Calibri" w:hAnsi="Calibri" w:cs="Calibri"/>
                <w:color w:val="000000"/>
                <w:sz w:val="18"/>
                <w:szCs w:val="18"/>
              </w:rPr>
              <w:t>235.0058</w:t>
            </w:r>
          </w:p>
        </w:tc>
        <w:tc>
          <w:tcPr>
            <w:tcW w:w="3309" w:type="dxa"/>
            <w:vMerge/>
          </w:tcPr>
          <w:p w14:paraId="5D5B5FF4" w14:textId="77777777" w:rsidR="004D1935" w:rsidRDefault="004D1935" w:rsidP="00E24DC9"/>
        </w:tc>
        <w:tc>
          <w:tcPr>
            <w:tcW w:w="1321" w:type="dxa"/>
            <w:vMerge/>
          </w:tcPr>
          <w:p w14:paraId="157CEE15" w14:textId="77777777" w:rsidR="004D1935" w:rsidRDefault="004D1935" w:rsidP="00E24DC9"/>
        </w:tc>
        <w:tc>
          <w:tcPr>
            <w:tcW w:w="1683" w:type="dxa"/>
            <w:vMerge/>
          </w:tcPr>
          <w:p w14:paraId="74C65851" w14:textId="77777777" w:rsidR="004D1935" w:rsidRDefault="004D1935" w:rsidP="00E24DC9"/>
        </w:tc>
        <w:tc>
          <w:tcPr>
            <w:tcW w:w="6888" w:type="dxa"/>
            <w:vMerge/>
          </w:tcPr>
          <w:p w14:paraId="78372092" w14:textId="77777777" w:rsidR="004D1935" w:rsidRDefault="004D1935" w:rsidP="00E24DC9"/>
        </w:tc>
      </w:tr>
      <w:tr w:rsidR="004D1935" w14:paraId="66C33514" w14:textId="77777777" w:rsidTr="00E24DC9">
        <w:tc>
          <w:tcPr>
            <w:tcW w:w="706" w:type="dxa"/>
            <w:vMerge/>
          </w:tcPr>
          <w:p w14:paraId="18C84804" w14:textId="77777777" w:rsidR="004D1935" w:rsidRDefault="004D1935" w:rsidP="00E24DC9"/>
        </w:tc>
        <w:tc>
          <w:tcPr>
            <w:tcW w:w="1120" w:type="dxa"/>
            <w:tcBorders>
              <w:top w:val="nil"/>
              <w:bottom w:val="nil"/>
            </w:tcBorders>
            <w:vAlign w:val="center"/>
          </w:tcPr>
          <w:p w14:paraId="567F84F6" w14:textId="77777777" w:rsidR="004D1935" w:rsidRPr="002436F2" w:rsidRDefault="004D1935" w:rsidP="00E24DC9">
            <w:pPr>
              <w:jc w:val="center"/>
              <w:rPr>
                <w:rFonts w:ascii="Calibri" w:hAnsi="Calibri" w:cs="Calibri"/>
                <w:color w:val="000000"/>
                <w:sz w:val="18"/>
                <w:szCs w:val="18"/>
              </w:rPr>
            </w:pPr>
            <w:r w:rsidRPr="002436F2">
              <w:rPr>
                <w:rFonts w:ascii="Calibri" w:hAnsi="Calibri" w:cs="Calibri"/>
                <w:color w:val="000000"/>
                <w:sz w:val="18"/>
                <w:szCs w:val="18"/>
              </w:rPr>
              <w:t>235.1613</w:t>
            </w:r>
          </w:p>
        </w:tc>
        <w:tc>
          <w:tcPr>
            <w:tcW w:w="3309" w:type="dxa"/>
            <w:vMerge/>
          </w:tcPr>
          <w:p w14:paraId="751CC474" w14:textId="77777777" w:rsidR="004D1935" w:rsidRDefault="004D1935" w:rsidP="00E24DC9"/>
        </w:tc>
        <w:tc>
          <w:tcPr>
            <w:tcW w:w="1321" w:type="dxa"/>
            <w:vMerge/>
          </w:tcPr>
          <w:p w14:paraId="6BA99657" w14:textId="77777777" w:rsidR="004D1935" w:rsidRDefault="004D1935" w:rsidP="00E24DC9"/>
        </w:tc>
        <w:tc>
          <w:tcPr>
            <w:tcW w:w="1683" w:type="dxa"/>
            <w:vMerge/>
          </w:tcPr>
          <w:p w14:paraId="63F97FB7" w14:textId="77777777" w:rsidR="004D1935" w:rsidRDefault="004D1935" w:rsidP="00E24DC9"/>
        </w:tc>
        <w:tc>
          <w:tcPr>
            <w:tcW w:w="6888" w:type="dxa"/>
            <w:vMerge/>
          </w:tcPr>
          <w:p w14:paraId="75A56FE9" w14:textId="77777777" w:rsidR="004D1935" w:rsidRDefault="004D1935" w:rsidP="00E24DC9"/>
        </w:tc>
      </w:tr>
      <w:tr w:rsidR="004D1935" w14:paraId="5D89AFA9" w14:textId="77777777" w:rsidTr="00E24DC9">
        <w:tc>
          <w:tcPr>
            <w:tcW w:w="706" w:type="dxa"/>
            <w:vMerge/>
          </w:tcPr>
          <w:p w14:paraId="69D82EC8" w14:textId="77777777" w:rsidR="004D1935" w:rsidRDefault="004D1935" w:rsidP="00E24DC9"/>
        </w:tc>
        <w:tc>
          <w:tcPr>
            <w:tcW w:w="1120" w:type="dxa"/>
            <w:tcBorders>
              <w:top w:val="nil"/>
              <w:bottom w:val="nil"/>
            </w:tcBorders>
            <w:vAlign w:val="center"/>
          </w:tcPr>
          <w:p w14:paraId="2587ABCA" w14:textId="77777777" w:rsidR="004D1935" w:rsidRPr="002436F2" w:rsidRDefault="004D1935" w:rsidP="00E24DC9">
            <w:pPr>
              <w:jc w:val="center"/>
              <w:rPr>
                <w:rFonts w:ascii="Calibri" w:hAnsi="Calibri" w:cs="Calibri"/>
                <w:color w:val="000000"/>
                <w:sz w:val="18"/>
                <w:szCs w:val="18"/>
              </w:rPr>
            </w:pPr>
            <w:r w:rsidRPr="002436F2">
              <w:rPr>
                <w:rFonts w:ascii="Calibri" w:hAnsi="Calibri" w:cs="Calibri"/>
                <w:color w:val="000000"/>
                <w:sz w:val="18"/>
                <w:szCs w:val="18"/>
              </w:rPr>
              <w:t>235.0444</w:t>
            </w:r>
          </w:p>
        </w:tc>
        <w:tc>
          <w:tcPr>
            <w:tcW w:w="3309" w:type="dxa"/>
            <w:vMerge/>
          </w:tcPr>
          <w:p w14:paraId="60D624E5" w14:textId="77777777" w:rsidR="004D1935" w:rsidRDefault="004D1935" w:rsidP="00E24DC9"/>
        </w:tc>
        <w:tc>
          <w:tcPr>
            <w:tcW w:w="1321" w:type="dxa"/>
            <w:vMerge/>
          </w:tcPr>
          <w:p w14:paraId="12524E18" w14:textId="77777777" w:rsidR="004D1935" w:rsidRDefault="004D1935" w:rsidP="00E24DC9"/>
        </w:tc>
        <w:tc>
          <w:tcPr>
            <w:tcW w:w="1683" w:type="dxa"/>
            <w:vMerge/>
          </w:tcPr>
          <w:p w14:paraId="7A8AAD95" w14:textId="77777777" w:rsidR="004D1935" w:rsidRDefault="004D1935" w:rsidP="00E24DC9"/>
        </w:tc>
        <w:tc>
          <w:tcPr>
            <w:tcW w:w="6888" w:type="dxa"/>
            <w:vMerge/>
          </w:tcPr>
          <w:p w14:paraId="3532162E" w14:textId="77777777" w:rsidR="004D1935" w:rsidRDefault="004D1935" w:rsidP="00E24DC9"/>
        </w:tc>
      </w:tr>
      <w:tr w:rsidR="004D1935" w14:paraId="7463F945" w14:textId="77777777" w:rsidTr="00E24DC9">
        <w:tc>
          <w:tcPr>
            <w:tcW w:w="706" w:type="dxa"/>
            <w:vMerge/>
          </w:tcPr>
          <w:p w14:paraId="0624D524" w14:textId="77777777" w:rsidR="004D1935" w:rsidRDefault="004D1935" w:rsidP="00E24DC9"/>
        </w:tc>
        <w:tc>
          <w:tcPr>
            <w:tcW w:w="1120" w:type="dxa"/>
            <w:tcBorders>
              <w:top w:val="nil"/>
              <w:bottom w:val="nil"/>
            </w:tcBorders>
            <w:vAlign w:val="center"/>
          </w:tcPr>
          <w:p w14:paraId="4E118B63" w14:textId="77777777" w:rsidR="004D1935" w:rsidRPr="002436F2" w:rsidRDefault="004D1935" w:rsidP="00E24DC9">
            <w:pPr>
              <w:jc w:val="center"/>
              <w:rPr>
                <w:rFonts w:ascii="Calibri" w:hAnsi="Calibri" w:cs="Calibri"/>
                <w:color w:val="000000"/>
                <w:sz w:val="18"/>
                <w:szCs w:val="18"/>
              </w:rPr>
            </w:pPr>
            <w:r w:rsidRPr="002436F2">
              <w:rPr>
                <w:rFonts w:ascii="Calibri" w:hAnsi="Calibri" w:cs="Calibri"/>
                <w:color w:val="000000"/>
                <w:sz w:val="18"/>
                <w:szCs w:val="18"/>
              </w:rPr>
              <w:t>235.0805</w:t>
            </w:r>
          </w:p>
        </w:tc>
        <w:tc>
          <w:tcPr>
            <w:tcW w:w="3309" w:type="dxa"/>
            <w:vMerge/>
          </w:tcPr>
          <w:p w14:paraId="121D2F7B" w14:textId="77777777" w:rsidR="004D1935" w:rsidRDefault="004D1935" w:rsidP="00E24DC9"/>
        </w:tc>
        <w:tc>
          <w:tcPr>
            <w:tcW w:w="1321" w:type="dxa"/>
            <w:vMerge/>
          </w:tcPr>
          <w:p w14:paraId="04B34559" w14:textId="77777777" w:rsidR="004D1935" w:rsidRDefault="004D1935" w:rsidP="00E24DC9"/>
        </w:tc>
        <w:tc>
          <w:tcPr>
            <w:tcW w:w="1683" w:type="dxa"/>
            <w:vMerge/>
          </w:tcPr>
          <w:p w14:paraId="6C781BA1" w14:textId="77777777" w:rsidR="004D1935" w:rsidRDefault="004D1935" w:rsidP="00E24DC9"/>
        </w:tc>
        <w:tc>
          <w:tcPr>
            <w:tcW w:w="6888" w:type="dxa"/>
            <w:vMerge/>
          </w:tcPr>
          <w:p w14:paraId="56C8E773" w14:textId="77777777" w:rsidR="004D1935" w:rsidRDefault="004D1935" w:rsidP="00E24DC9"/>
        </w:tc>
      </w:tr>
      <w:tr w:rsidR="004D1935" w14:paraId="2354C9E8" w14:textId="77777777" w:rsidTr="00E24DC9">
        <w:tc>
          <w:tcPr>
            <w:tcW w:w="706" w:type="dxa"/>
            <w:vMerge/>
          </w:tcPr>
          <w:p w14:paraId="3A5ECBBF" w14:textId="77777777" w:rsidR="004D1935" w:rsidRDefault="004D1935" w:rsidP="00E24DC9"/>
        </w:tc>
        <w:tc>
          <w:tcPr>
            <w:tcW w:w="1120" w:type="dxa"/>
            <w:tcBorders>
              <w:top w:val="nil"/>
            </w:tcBorders>
            <w:vAlign w:val="center"/>
          </w:tcPr>
          <w:p w14:paraId="61BB25A4" w14:textId="77777777" w:rsidR="004D1935" w:rsidRPr="002436F2" w:rsidRDefault="004D1935" w:rsidP="00E24DC9">
            <w:pPr>
              <w:jc w:val="center"/>
              <w:rPr>
                <w:rFonts w:ascii="Calibri" w:hAnsi="Calibri" w:cs="Calibri"/>
                <w:color w:val="000000"/>
                <w:sz w:val="18"/>
                <w:szCs w:val="18"/>
              </w:rPr>
            </w:pPr>
            <w:r w:rsidRPr="002436F2">
              <w:rPr>
                <w:rFonts w:ascii="Calibri" w:hAnsi="Calibri" w:cs="Calibri"/>
                <w:color w:val="000000"/>
                <w:sz w:val="18"/>
                <w:szCs w:val="18"/>
              </w:rPr>
              <w:t>235.1167</w:t>
            </w:r>
          </w:p>
        </w:tc>
        <w:tc>
          <w:tcPr>
            <w:tcW w:w="3309" w:type="dxa"/>
            <w:vMerge/>
          </w:tcPr>
          <w:p w14:paraId="639FFAD0" w14:textId="77777777" w:rsidR="004D1935" w:rsidRDefault="004D1935" w:rsidP="00E24DC9"/>
        </w:tc>
        <w:tc>
          <w:tcPr>
            <w:tcW w:w="1321" w:type="dxa"/>
            <w:vMerge/>
          </w:tcPr>
          <w:p w14:paraId="0B65EF88" w14:textId="77777777" w:rsidR="004D1935" w:rsidRDefault="004D1935" w:rsidP="00E24DC9"/>
        </w:tc>
        <w:tc>
          <w:tcPr>
            <w:tcW w:w="1683" w:type="dxa"/>
            <w:vMerge/>
          </w:tcPr>
          <w:p w14:paraId="60A2F272" w14:textId="77777777" w:rsidR="004D1935" w:rsidRDefault="004D1935" w:rsidP="00E24DC9"/>
        </w:tc>
        <w:tc>
          <w:tcPr>
            <w:tcW w:w="6888" w:type="dxa"/>
            <w:vMerge/>
          </w:tcPr>
          <w:p w14:paraId="663BE889" w14:textId="77777777" w:rsidR="004D1935" w:rsidRDefault="004D1935" w:rsidP="00E24DC9"/>
        </w:tc>
      </w:tr>
    </w:tbl>
    <w:p w14:paraId="06D27F9C" w14:textId="77777777" w:rsidR="004D1935" w:rsidRDefault="004D1935" w:rsidP="004D1935">
      <w:pPr>
        <w:autoSpaceDE w:val="0"/>
        <w:autoSpaceDN w:val="0"/>
        <w:adjustRightInd w:val="0"/>
        <w:rPr>
          <w:rFonts w:eastAsiaTheme="minorHAnsi"/>
          <w:sz w:val="16"/>
          <w:szCs w:val="16"/>
        </w:rPr>
      </w:pPr>
      <w:r>
        <w:rPr>
          <w:rFonts w:eastAsiaTheme="minorHAnsi"/>
          <w:sz w:val="16"/>
          <w:szCs w:val="16"/>
        </w:rPr>
        <w:lastRenderedPageBreak/>
        <w:t>Table A 4.17: Discriminant mass bins (278.2) in root organic phase and their associated detected masses looking for compound identification accounts for protonated adduct (H) and K, NA</w:t>
      </w:r>
      <w:r w:rsidRPr="00396597">
        <w:rPr>
          <w:rFonts w:eastAsiaTheme="minorHAnsi"/>
          <w:sz w:val="16"/>
          <w:szCs w:val="16"/>
        </w:rPr>
        <w:t xml:space="preserve"> </w:t>
      </w:r>
      <w:r>
        <w:rPr>
          <w:rFonts w:eastAsiaTheme="minorHAnsi"/>
          <w:sz w:val="16"/>
          <w:szCs w:val="16"/>
        </w:rPr>
        <w:t>in positive mode in the analysis. The putatively identified compounds, their chemical groups, and the associated pathways are displayed</w:t>
      </w:r>
    </w:p>
    <w:p w14:paraId="54762B3C" w14:textId="77777777" w:rsidR="004D1935" w:rsidRDefault="004D1935" w:rsidP="004D1935">
      <w:pPr>
        <w:rPr>
          <w:rFonts w:eastAsiaTheme="minorHAnsi"/>
          <w:sz w:val="16"/>
          <w:szCs w:val="16"/>
        </w:rPr>
      </w:pPr>
    </w:p>
    <w:tbl>
      <w:tblPr>
        <w:tblStyle w:val="TableGrid"/>
        <w:tblW w:w="14601" w:type="dxa"/>
        <w:tblInd w:w="-714" w:type="dxa"/>
        <w:tblLook w:val="04A0" w:firstRow="1" w:lastRow="0" w:firstColumn="1" w:lastColumn="0" w:noHBand="0" w:noVBand="1"/>
      </w:tblPr>
      <w:tblGrid>
        <w:gridCol w:w="709"/>
        <w:gridCol w:w="1134"/>
        <w:gridCol w:w="2268"/>
        <w:gridCol w:w="1276"/>
        <w:gridCol w:w="2268"/>
        <w:gridCol w:w="6946"/>
      </w:tblGrid>
      <w:tr w:rsidR="004D1935" w14:paraId="4CEB06C0" w14:textId="77777777" w:rsidTr="00E24DC9">
        <w:tc>
          <w:tcPr>
            <w:tcW w:w="709" w:type="dxa"/>
            <w:vAlign w:val="center"/>
          </w:tcPr>
          <w:p w14:paraId="5465730A" w14:textId="77777777" w:rsidR="004D1935" w:rsidRPr="008562E1" w:rsidRDefault="004D1935" w:rsidP="00E24DC9">
            <w:pPr>
              <w:jc w:val="center"/>
              <w:rPr>
                <w:sz w:val="16"/>
                <w:szCs w:val="16"/>
              </w:rPr>
            </w:pPr>
            <w:r w:rsidRPr="008562E1">
              <w:rPr>
                <w:sz w:val="16"/>
                <w:szCs w:val="16"/>
              </w:rPr>
              <w:t>Adduct</w:t>
            </w:r>
          </w:p>
        </w:tc>
        <w:tc>
          <w:tcPr>
            <w:tcW w:w="1134" w:type="dxa"/>
            <w:tcBorders>
              <w:bottom w:val="single" w:sz="4" w:space="0" w:color="auto"/>
            </w:tcBorders>
            <w:vAlign w:val="center"/>
          </w:tcPr>
          <w:p w14:paraId="52FB2318" w14:textId="77777777" w:rsidR="004D1935" w:rsidRPr="008562E1" w:rsidRDefault="004D1935" w:rsidP="00E24DC9">
            <w:pPr>
              <w:jc w:val="center"/>
              <w:rPr>
                <w:sz w:val="16"/>
                <w:szCs w:val="16"/>
              </w:rPr>
            </w:pPr>
            <w:r w:rsidRPr="008562E1">
              <w:rPr>
                <w:sz w:val="16"/>
                <w:szCs w:val="16"/>
              </w:rPr>
              <w:t>Mass detected</w:t>
            </w:r>
          </w:p>
        </w:tc>
        <w:tc>
          <w:tcPr>
            <w:tcW w:w="2268" w:type="dxa"/>
            <w:vAlign w:val="center"/>
          </w:tcPr>
          <w:p w14:paraId="077E2F1B" w14:textId="77777777" w:rsidR="004D1935" w:rsidRPr="008562E1" w:rsidRDefault="004D1935" w:rsidP="00E24DC9">
            <w:pPr>
              <w:jc w:val="center"/>
              <w:rPr>
                <w:sz w:val="16"/>
                <w:szCs w:val="16"/>
              </w:rPr>
            </w:pPr>
            <w:r w:rsidRPr="008562E1">
              <w:rPr>
                <w:rFonts w:asciiTheme="majorBidi" w:hAnsiTheme="majorBidi" w:cstheme="majorBidi"/>
                <w:color w:val="000000" w:themeColor="text1"/>
                <w:sz w:val="16"/>
                <w:szCs w:val="16"/>
              </w:rPr>
              <w:t>COMPOUNDS NAME</w:t>
            </w:r>
          </w:p>
        </w:tc>
        <w:tc>
          <w:tcPr>
            <w:tcW w:w="1276" w:type="dxa"/>
            <w:vAlign w:val="center"/>
          </w:tcPr>
          <w:p w14:paraId="0EE1DB0E" w14:textId="77777777" w:rsidR="004D1935" w:rsidRPr="008562E1" w:rsidRDefault="004D1935" w:rsidP="00E24DC9">
            <w:pPr>
              <w:jc w:val="center"/>
              <w:rPr>
                <w:sz w:val="16"/>
                <w:szCs w:val="16"/>
              </w:rPr>
            </w:pPr>
            <w:r w:rsidRPr="008562E1">
              <w:rPr>
                <w:rFonts w:asciiTheme="majorBidi" w:hAnsiTheme="majorBidi" w:cstheme="majorBidi"/>
                <w:color w:val="000000" w:themeColor="text1"/>
                <w:sz w:val="16"/>
                <w:szCs w:val="16"/>
              </w:rPr>
              <w:t>chemical formula</w:t>
            </w:r>
          </w:p>
        </w:tc>
        <w:tc>
          <w:tcPr>
            <w:tcW w:w="2268" w:type="dxa"/>
            <w:vAlign w:val="center"/>
          </w:tcPr>
          <w:p w14:paraId="099D5D10" w14:textId="77777777" w:rsidR="004D1935" w:rsidRPr="008562E1" w:rsidRDefault="004D1935" w:rsidP="00E24DC9">
            <w:pPr>
              <w:jc w:val="center"/>
              <w:rPr>
                <w:sz w:val="16"/>
                <w:szCs w:val="16"/>
              </w:rPr>
            </w:pPr>
            <w:r w:rsidRPr="008562E1">
              <w:rPr>
                <w:rFonts w:asciiTheme="majorBidi" w:hAnsiTheme="majorBidi" w:cstheme="majorBidi"/>
                <w:color w:val="000000" w:themeColor="text1"/>
                <w:sz w:val="16"/>
                <w:szCs w:val="16"/>
              </w:rPr>
              <w:t>chemical group</w:t>
            </w:r>
          </w:p>
        </w:tc>
        <w:tc>
          <w:tcPr>
            <w:tcW w:w="6946" w:type="dxa"/>
            <w:vAlign w:val="center"/>
          </w:tcPr>
          <w:p w14:paraId="7507F265" w14:textId="77777777" w:rsidR="004D1935" w:rsidRPr="008562E1" w:rsidRDefault="004D1935" w:rsidP="00E24DC9">
            <w:pPr>
              <w:jc w:val="center"/>
              <w:rPr>
                <w:sz w:val="16"/>
                <w:szCs w:val="16"/>
              </w:rPr>
            </w:pPr>
            <w:r w:rsidRPr="008562E1">
              <w:rPr>
                <w:rFonts w:asciiTheme="majorBidi" w:hAnsiTheme="majorBidi" w:cstheme="majorBidi"/>
                <w:color w:val="000000" w:themeColor="text1"/>
                <w:sz w:val="16"/>
                <w:szCs w:val="16"/>
              </w:rPr>
              <w:t>pathway</w:t>
            </w:r>
          </w:p>
        </w:tc>
      </w:tr>
      <w:tr w:rsidR="004D1935" w14:paraId="41E323CF" w14:textId="77777777" w:rsidTr="00E24DC9">
        <w:tc>
          <w:tcPr>
            <w:tcW w:w="709" w:type="dxa"/>
            <w:vMerge w:val="restart"/>
            <w:vAlign w:val="center"/>
          </w:tcPr>
          <w:p w14:paraId="6F6EC98A" w14:textId="77777777" w:rsidR="004D1935" w:rsidRPr="008562E1" w:rsidRDefault="004D1935" w:rsidP="00E24DC9">
            <w:pPr>
              <w:jc w:val="center"/>
              <w:rPr>
                <w:sz w:val="16"/>
                <w:szCs w:val="16"/>
              </w:rPr>
            </w:pPr>
          </w:p>
        </w:tc>
        <w:tc>
          <w:tcPr>
            <w:tcW w:w="1134" w:type="dxa"/>
            <w:tcBorders>
              <w:bottom w:val="nil"/>
            </w:tcBorders>
            <w:vAlign w:val="center"/>
          </w:tcPr>
          <w:p w14:paraId="0836B284" w14:textId="77777777" w:rsidR="004D1935" w:rsidRPr="008562E1" w:rsidRDefault="004D1935" w:rsidP="00E24DC9">
            <w:pPr>
              <w:jc w:val="center"/>
              <w:rPr>
                <w:sz w:val="16"/>
                <w:szCs w:val="16"/>
              </w:rPr>
            </w:pPr>
            <w:r w:rsidRPr="008562E1">
              <w:rPr>
                <w:color w:val="000000"/>
                <w:sz w:val="16"/>
                <w:szCs w:val="16"/>
              </w:rPr>
              <w:t>278.1057</w:t>
            </w:r>
          </w:p>
        </w:tc>
        <w:tc>
          <w:tcPr>
            <w:tcW w:w="2268" w:type="dxa"/>
            <w:vMerge w:val="restart"/>
            <w:vAlign w:val="center"/>
          </w:tcPr>
          <w:p w14:paraId="356B1D56" w14:textId="77777777" w:rsidR="004D1935" w:rsidRPr="008562E1" w:rsidRDefault="00000000" w:rsidP="00E24DC9">
            <w:pPr>
              <w:jc w:val="center"/>
              <w:rPr>
                <w:sz w:val="16"/>
                <w:szCs w:val="16"/>
              </w:rPr>
            </w:pPr>
            <w:hyperlink r:id="rId125" w:history="1">
              <w:r w:rsidR="004D1935" w:rsidRPr="008562E1">
                <w:rPr>
                  <w:color w:val="000000"/>
                  <w:sz w:val="16"/>
                  <w:szCs w:val="16"/>
                </w:rPr>
                <w:t>neopentalenolactone F</w:t>
              </w:r>
            </w:hyperlink>
          </w:p>
          <w:p w14:paraId="69514C99" w14:textId="77777777" w:rsidR="004D1935" w:rsidRPr="008562E1" w:rsidRDefault="00000000" w:rsidP="00E24DC9">
            <w:pPr>
              <w:jc w:val="center"/>
              <w:rPr>
                <w:sz w:val="16"/>
                <w:szCs w:val="16"/>
              </w:rPr>
            </w:pPr>
            <w:hyperlink r:id="rId126" w:history="1">
              <w:r w:rsidR="004D1935" w:rsidRPr="008562E1">
                <w:rPr>
                  <w:color w:val="000000"/>
                  <w:sz w:val="16"/>
                  <w:szCs w:val="16"/>
                </w:rPr>
                <w:t>pentalenolactone F</w:t>
              </w:r>
            </w:hyperlink>
          </w:p>
          <w:p w14:paraId="6EF47A0C" w14:textId="77777777" w:rsidR="004D1935" w:rsidRPr="008562E1" w:rsidRDefault="00000000" w:rsidP="00E24DC9">
            <w:pPr>
              <w:jc w:val="center"/>
              <w:rPr>
                <w:color w:val="000000" w:themeColor="text1"/>
                <w:sz w:val="16"/>
                <w:szCs w:val="16"/>
              </w:rPr>
            </w:pPr>
            <w:hyperlink r:id="rId127" w:history="1">
              <w:r w:rsidR="004D1935" w:rsidRPr="008562E1">
                <w:rPr>
                  <w:color w:val="000000" w:themeColor="text1"/>
                  <w:sz w:val="16"/>
                  <w:szCs w:val="16"/>
                </w:rPr>
                <w:t>pantetheine</w:t>
              </w:r>
            </w:hyperlink>
          </w:p>
          <w:p w14:paraId="33FB10DA" w14:textId="77777777" w:rsidR="004D1935" w:rsidRPr="008562E1" w:rsidRDefault="00000000" w:rsidP="00E24DC9">
            <w:pPr>
              <w:jc w:val="center"/>
              <w:rPr>
                <w:sz w:val="16"/>
                <w:szCs w:val="16"/>
              </w:rPr>
            </w:pPr>
            <w:hyperlink r:id="rId128" w:history="1">
              <w:r w:rsidR="004D1935" w:rsidRPr="008562E1">
                <w:rPr>
                  <w:color w:val="000000"/>
                  <w:sz w:val="16"/>
                  <w:szCs w:val="16"/>
                </w:rPr>
                <w:t>L-saccharopine</w:t>
              </w:r>
            </w:hyperlink>
          </w:p>
          <w:p w14:paraId="41C243A7" w14:textId="77777777" w:rsidR="004D1935" w:rsidRPr="008562E1" w:rsidRDefault="00000000" w:rsidP="00E24DC9">
            <w:pPr>
              <w:jc w:val="center"/>
              <w:rPr>
                <w:sz w:val="16"/>
                <w:szCs w:val="16"/>
              </w:rPr>
            </w:pPr>
            <w:hyperlink r:id="rId129" w:history="1">
              <w:r w:rsidR="004D1935" w:rsidRPr="008562E1">
                <w:rPr>
                  <w:color w:val="000000"/>
                  <w:sz w:val="16"/>
                  <w:szCs w:val="16"/>
                </w:rPr>
                <w:t>crepenynate</w:t>
              </w:r>
            </w:hyperlink>
          </w:p>
          <w:p w14:paraId="54AA29F2" w14:textId="77777777" w:rsidR="004D1935" w:rsidRPr="008562E1" w:rsidRDefault="00000000" w:rsidP="00E24DC9">
            <w:pPr>
              <w:jc w:val="center"/>
              <w:rPr>
                <w:sz w:val="16"/>
                <w:szCs w:val="16"/>
              </w:rPr>
            </w:pPr>
            <w:hyperlink r:id="rId130" w:history="1">
              <w:r w:rsidR="004D1935" w:rsidRPr="008562E1">
                <w:rPr>
                  <w:color w:val="000000"/>
                  <w:sz w:val="16"/>
                  <w:szCs w:val="16"/>
                </w:rPr>
                <w:t>γ-linolenate</w:t>
              </w:r>
            </w:hyperlink>
          </w:p>
          <w:p w14:paraId="1F17FF4F" w14:textId="77777777" w:rsidR="004D1935" w:rsidRPr="008562E1" w:rsidRDefault="00000000" w:rsidP="00E24DC9">
            <w:pPr>
              <w:jc w:val="center"/>
              <w:rPr>
                <w:sz w:val="16"/>
                <w:szCs w:val="16"/>
              </w:rPr>
            </w:pPr>
            <w:hyperlink r:id="rId131" w:history="1">
              <w:r w:rsidR="004D1935" w:rsidRPr="008562E1">
                <w:rPr>
                  <w:color w:val="000000"/>
                  <w:sz w:val="16"/>
                  <w:szCs w:val="16"/>
                </w:rPr>
                <w:t>α-ribazole</w:t>
              </w:r>
            </w:hyperlink>
          </w:p>
        </w:tc>
        <w:tc>
          <w:tcPr>
            <w:tcW w:w="1276" w:type="dxa"/>
            <w:vMerge w:val="restart"/>
            <w:vAlign w:val="center"/>
          </w:tcPr>
          <w:p w14:paraId="76AA3DBB" w14:textId="77777777" w:rsidR="004D1935" w:rsidRPr="008562E1" w:rsidRDefault="004D1935" w:rsidP="00E24DC9">
            <w:pPr>
              <w:jc w:val="center"/>
              <w:rPr>
                <w:sz w:val="16"/>
                <w:szCs w:val="16"/>
              </w:rPr>
            </w:pPr>
            <w:r w:rsidRPr="008562E1">
              <w:rPr>
                <w:color w:val="333333"/>
                <w:sz w:val="16"/>
                <w:szCs w:val="16"/>
              </w:rPr>
              <w:t>C</w:t>
            </w:r>
            <w:r w:rsidRPr="008562E1">
              <w:rPr>
                <w:color w:val="333333"/>
                <w:sz w:val="16"/>
                <w:szCs w:val="16"/>
                <w:vertAlign w:val="subscript"/>
              </w:rPr>
              <w:t>15</w:t>
            </w:r>
            <w:r w:rsidRPr="008562E1">
              <w:rPr>
                <w:color w:val="333333"/>
                <w:sz w:val="16"/>
                <w:szCs w:val="16"/>
              </w:rPr>
              <w:t>H</w:t>
            </w:r>
            <w:r w:rsidRPr="008562E1">
              <w:rPr>
                <w:color w:val="333333"/>
                <w:sz w:val="16"/>
                <w:szCs w:val="16"/>
                <w:vertAlign w:val="subscript"/>
              </w:rPr>
              <w:t>17</w:t>
            </w:r>
            <w:r w:rsidRPr="008562E1">
              <w:rPr>
                <w:color w:val="333333"/>
                <w:sz w:val="16"/>
                <w:szCs w:val="16"/>
              </w:rPr>
              <w:t>O</w:t>
            </w:r>
            <w:r w:rsidRPr="008562E1">
              <w:rPr>
                <w:color w:val="333333"/>
                <w:sz w:val="16"/>
                <w:szCs w:val="16"/>
                <w:vertAlign w:val="subscript"/>
              </w:rPr>
              <w:t>5</w:t>
            </w:r>
          </w:p>
          <w:p w14:paraId="7C0F2C6F" w14:textId="77777777" w:rsidR="004D1935" w:rsidRPr="008562E1" w:rsidRDefault="004D1935" w:rsidP="00E24DC9">
            <w:pPr>
              <w:jc w:val="center"/>
              <w:rPr>
                <w:sz w:val="16"/>
                <w:szCs w:val="16"/>
              </w:rPr>
            </w:pPr>
            <w:r w:rsidRPr="008562E1">
              <w:rPr>
                <w:color w:val="333333"/>
                <w:sz w:val="16"/>
                <w:szCs w:val="16"/>
              </w:rPr>
              <w:t>C</w:t>
            </w:r>
            <w:r w:rsidRPr="008562E1">
              <w:rPr>
                <w:color w:val="333333"/>
                <w:sz w:val="16"/>
                <w:szCs w:val="16"/>
                <w:vertAlign w:val="subscript"/>
              </w:rPr>
              <w:t>15</w:t>
            </w:r>
            <w:r w:rsidRPr="008562E1">
              <w:rPr>
                <w:color w:val="333333"/>
                <w:sz w:val="16"/>
                <w:szCs w:val="16"/>
              </w:rPr>
              <w:t>H</w:t>
            </w:r>
            <w:r w:rsidRPr="008562E1">
              <w:rPr>
                <w:color w:val="333333"/>
                <w:sz w:val="16"/>
                <w:szCs w:val="16"/>
                <w:vertAlign w:val="subscript"/>
              </w:rPr>
              <w:t>17</w:t>
            </w:r>
            <w:r w:rsidRPr="008562E1">
              <w:rPr>
                <w:color w:val="333333"/>
                <w:sz w:val="16"/>
                <w:szCs w:val="16"/>
              </w:rPr>
              <w:t>O</w:t>
            </w:r>
            <w:r w:rsidRPr="008562E1">
              <w:rPr>
                <w:color w:val="333333"/>
                <w:sz w:val="16"/>
                <w:szCs w:val="16"/>
                <w:vertAlign w:val="subscript"/>
              </w:rPr>
              <w:t>5</w:t>
            </w:r>
          </w:p>
          <w:p w14:paraId="6D28A81D" w14:textId="77777777" w:rsidR="004D1935" w:rsidRPr="008562E1" w:rsidRDefault="004D1935" w:rsidP="00E24DC9">
            <w:pPr>
              <w:jc w:val="center"/>
              <w:rPr>
                <w:sz w:val="16"/>
                <w:szCs w:val="16"/>
              </w:rPr>
            </w:pPr>
            <w:r w:rsidRPr="008562E1">
              <w:rPr>
                <w:color w:val="333333"/>
                <w:sz w:val="16"/>
                <w:szCs w:val="16"/>
              </w:rPr>
              <w:t>C</w:t>
            </w:r>
            <w:r w:rsidRPr="008562E1">
              <w:rPr>
                <w:color w:val="333333"/>
                <w:sz w:val="16"/>
                <w:szCs w:val="16"/>
                <w:vertAlign w:val="subscript"/>
              </w:rPr>
              <w:t>15</w:t>
            </w:r>
            <w:r w:rsidRPr="008562E1">
              <w:rPr>
                <w:color w:val="333333"/>
                <w:sz w:val="16"/>
                <w:szCs w:val="16"/>
              </w:rPr>
              <w:t>H</w:t>
            </w:r>
            <w:r w:rsidRPr="008562E1">
              <w:rPr>
                <w:color w:val="333333"/>
                <w:sz w:val="16"/>
                <w:szCs w:val="16"/>
                <w:vertAlign w:val="subscript"/>
              </w:rPr>
              <w:t>17</w:t>
            </w:r>
            <w:r w:rsidRPr="008562E1">
              <w:rPr>
                <w:color w:val="333333"/>
                <w:sz w:val="16"/>
                <w:szCs w:val="16"/>
              </w:rPr>
              <w:t>O</w:t>
            </w:r>
            <w:r w:rsidRPr="008562E1">
              <w:rPr>
                <w:color w:val="333333"/>
                <w:sz w:val="16"/>
                <w:szCs w:val="16"/>
                <w:vertAlign w:val="subscript"/>
              </w:rPr>
              <w:t>5</w:t>
            </w:r>
          </w:p>
          <w:p w14:paraId="4BC6623C" w14:textId="77777777" w:rsidR="004D1935" w:rsidRPr="008562E1" w:rsidRDefault="004D1935" w:rsidP="00E24DC9">
            <w:pPr>
              <w:jc w:val="center"/>
              <w:rPr>
                <w:sz w:val="16"/>
                <w:szCs w:val="16"/>
              </w:rPr>
            </w:pPr>
            <w:r w:rsidRPr="008562E1">
              <w:rPr>
                <w:color w:val="333333"/>
                <w:sz w:val="16"/>
                <w:szCs w:val="16"/>
              </w:rPr>
              <w:t>C</w:t>
            </w:r>
            <w:r w:rsidRPr="008562E1">
              <w:rPr>
                <w:color w:val="333333"/>
                <w:sz w:val="16"/>
                <w:szCs w:val="16"/>
                <w:vertAlign w:val="subscript"/>
              </w:rPr>
              <w:t>11</w:t>
            </w:r>
            <w:r w:rsidRPr="008562E1">
              <w:rPr>
                <w:color w:val="333333"/>
                <w:sz w:val="16"/>
                <w:szCs w:val="16"/>
              </w:rPr>
              <w:t>H</w:t>
            </w:r>
            <w:r w:rsidRPr="008562E1">
              <w:rPr>
                <w:color w:val="333333"/>
                <w:sz w:val="16"/>
                <w:szCs w:val="16"/>
                <w:vertAlign w:val="subscript"/>
              </w:rPr>
              <w:t>19</w:t>
            </w:r>
            <w:r w:rsidRPr="008562E1">
              <w:rPr>
                <w:color w:val="333333"/>
                <w:sz w:val="16"/>
                <w:szCs w:val="16"/>
              </w:rPr>
              <w:t>N</w:t>
            </w:r>
            <w:r w:rsidRPr="008562E1">
              <w:rPr>
                <w:color w:val="333333"/>
                <w:sz w:val="16"/>
                <w:szCs w:val="16"/>
                <w:vertAlign w:val="subscript"/>
              </w:rPr>
              <w:t>2</w:t>
            </w:r>
            <w:r w:rsidRPr="008562E1">
              <w:rPr>
                <w:color w:val="333333"/>
                <w:sz w:val="16"/>
                <w:szCs w:val="16"/>
              </w:rPr>
              <w:t>O</w:t>
            </w:r>
            <w:r w:rsidRPr="008562E1">
              <w:rPr>
                <w:color w:val="333333"/>
                <w:sz w:val="16"/>
                <w:szCs w:val="16"/>
                <w:vertAlign w:val="subscript"/>
              </w:rPr>
              <w:t>6</w:t>
            </w:r>
          </w:p>
          <w:p w14:paraId="14B381D3" w14:textId="77777777" w:rsidR="004D1935" w:rsidRPr="008562E1" w:rsidRDefault="004D1935" w:rsidP="00E24DC9">
            <w:pPr>
              <w:jc w:val="center"/>
              <w:rPr>
                <w:sz w:val="16"/>
                <w:szCs w:val="16"/>
              </w:rPr>
            </w:pPr>
            <w:r w:rsidRPr="008562E1">
              <w:rPr>
                <w:color w:val="333333"/>
                <w:sz w:val="16"/>
                <w:szCs w:val="16"/>
              </w:rPr>
              <w:t>C</w:t>
            </w:r>
            <w:r w:rsidRPr="008562E1">
              <w:rPr>
                <w:color w:val="333333"/>
                <w:sz w:val="16"/>
                <w:szCs w:val="16"/>
                <w:vertAlign w:val="subscript"/>
              </w:rPr>
              <w:t>18</w:t>
            </w:r>
            <w:r w:rsidRPr="008562E1">
              <w:rPr>
                <w:color w:val="333333"/>
                <w:sz w:val="16"/>
                <w:szCs w:val="16"/>
              </w:rPr>
              <w:t>H</w:t>
            </w:r>
            <w:r w:rsidRPr="008562E1">
              <w:rPr>
                <w:color w:val="333333"/>
                <w:sz w:val="16"/>
                <w:szCs w:val="16"/>
                <w:vertAlign w:val="subscript"/>
              </w:rPr>
              <w:t>29</w:t>
            </w:r>
            <w:r w:rsidRPr="008562E1">
              <w:rPr>
                <w:color w:val="333333"/>
                <w:sz w:val="16"/>
                <w:szCs w:val="16"/>
              </w:rPr>
              <w:t>O</w:t>
            </w:r>
            <w:r w:rsidRPr="008562E1">
              <w:rPr>
                <w:color w:val="333333"/>
                <w:sz w:val="16"/>
                <w:szCs w:val="16"/>
                <w:vertAlign w:val="subscript"/>
              </w:rPr>
              <w:t>2</w:t>
            </w:r>
          </w:p>
          <w:p w14:paraId="45882FF4" w14:textId="77777777" w:rsidR="004D1935" w:rsidRPr="008562E1" w:rsidRDefault="004D1935" w:rsidP="00E24DC9">
            <w:pPr>
              <w:jc w:val="center"/>
              <w:rPr>
                <w:sz w:val="16"/>
                <w:szCs w:val="16"/>
              </w:rPr>
            </w:pPr>
            <w:r w:rsidRPr="008562E1">
              <w:rPr>
                <w:color w:val="333333"/>
                <w:sz w:val="16"/>
                <w:szCs w:val="16"/>
              </w:rPr>
              <w:t>C</w:t>
            </w:r>
            <w:r w:rsidRPr="008562E1">
              <w:rPr>
                <w:color w:val="333333"/>
                <w:sz w:val="16"/>
                <w:szCs w:val="16"/>
                <w:vertAlign w:val="subscript"/>
              </w:rPr>
              <w:t>18</w:t>
            </w:r>
            <w:r w:rsidRPr="008562E1">
              <w:rPr>
                <w:color w:val="333333"/>
                <w:sz w:val="16"/>
                <w:szCs w:val="16"/>
              </w:rPr>
              <w:t>H</w:t>
            </w:r>
            <w:r w:rsidRPr="008562E1">
              <w:rPr>
                <w:color w:val="333333"/>
                <w:sz w:val="16"/>
                <w:szCs w:val="16"/>
                <w:vertAlign w:val="subscript"/>
              </w:rPr>
              <w:t>29</w:t>
            </w:r>
            <w:r w:rsidRPr="008562E1">
              <w:rPr>
                <w:color w:val="333333"/>
                <w:sz w:val="16"/>
                <w:szCs w:val="16"/>
              </w:rPr>
              <w:t>O</w:t>
            </w:r>
            <w:r w:rsidRPr="008562E1">
              <w:rPr>
                <w:color w:val="333333"/>
                <w:sz w:val="16"/>
                <w:szCs w:val="16"/>
                <w:vertAlign w:val="subscript"/>
              </w:rPr>
              <w:t>2</w:t>
            </w:r>
          </w:p>
          <w:p w14:paraId="14A4753E" w14:textId="77777777" w:rsidR="004D1935" w:rsidRPr="008562E1" w:rsidRDefault="004D1935" w:rsidP="00E24DC9">
            <w:pPr>
              <w:jc w:val="center"/>
              <w:rPr>
                <w:sz w:val="16"/>
                <w:szCs w:val="16"/>
              </w:rPr>
            </w:pPr>
            <w:r w:rsidRPr="008562E1">
              <w:rPr>
                <w:color w:val="333333"/>
                <w:sz w:val="16"/>
                <w:szCs w:val="16"/>
              </w:rPr>
              <w:t>C</w:t>
            </w:r>
            <w:r w:rsidRPr="008562E1">
              <w:rPr>
                <w:color w:val="333333"/>
                <w:sz w:val="16"/>
                <w:szCs w:val="16"/>
                <w:vertAlign w:val="subscript"/>
              </w:rPr>
              <w:t>14</w:t>
            </w:r>
            <w:r w:rsidRPr="008562E1">
              <w:rPr>
                <w:color w:val="333333"/>
                <w:sz w:val="16"/>
                <w:szCs w:val="16"/>
              </w:rPr>
              <w:t>H</w:t>
            </w:r>
            <w:r w:rsidRPr="008562E1">
              <w:rPr>
                <w:color w:val="333333"/>
                <w:sz w:val="16"/>
                <w:szCs w:val="16"/>
                <w:vertAlign w:val="subscript"/>
              </w:rPr>
              <w:t>18</w:t>
            </w:r>
            <w:r w:rsidRPr="008562E1">
              <w:rPr>
                <w:color w:val="333333"/>
                <w:sz w:val="16"/>
                <w:szCs w:val="16"/>
              </w:rPr>
              <w:t>N</w:t>
            </w:r>
            <w:r w:rsidRPr="008562E1">
              <w:rPr>
                <w:color w:val="333333"/>
                <w:sz w:val="16"/>
                <w:szCs w:val="16"/>
                <w:vertAlign w:val="subscript"/>
              </w:rPr>
              <w:t>2</w:t>
            </w:r>
            <w:r w:rsidRPr="008562E1">
              <w:rPr>
                <w:color w:val="333333"/>
                <w:sz w:val="16"/>
                <w:szCs w:val="16"/>
              </w:rPr>
              <w:t>O</w:t>
            </w:r>
            <w:r w:rsidRPr="008562E1">
              <w:rPr>
                <w:color w:val="333333"/>
                <w:sz w:val="16"/>
                <w:szCs w:val="16"/>
                <w:vertAlign w:val="subscript"/>
              </w:rPr>
              <w:t>4</w:t>
            </w:r>
          </w:p>
        </w:tc>
        <w:tc>
          <w:tcPr>
            <w:tcW w:w="2268" w:type="dxa"/>
            <w:vMerge w:val="restart"/>
            <w:vAlign w:val="center"/>
          </w:tcPr>
          <w:p w14:paraId="04327796" w14:textId="77777777" w:rsidR="004D1935" w:rsidRPr="008562E1" w:rsidRDefault="004D1935" w:rsidP="00E24DC9">
            <w:pPr>
              <w:jc w:val="center"/>
              <w:rPr>
                <w:sz w:val="16"/>
                <w:szCs w:val="16"/>
              </w:rPr>
            </w:pPr>
            <w:r w:rsidRPr="008562E1">
              <w:rPr>
                <w:color w:val="333333"/>
                <w:sz w:val="16"/>
                <w:szCs w:val="16"/>
              </w:rPr>
              <w:t>isoprenoid</w:t>
            </w:r>
          </w:p>
          <w:p w14:paraId="1F22617A" w14:textId="77777777" w:rsidR="004D1935" w:rsidRPr="008562E1" w:rsidRDefault="004D1935" w:rsidP="00E24DC9">
            <w:pPr>
              <w:jc w:val="center"/>
              <w:rPr>
                <w:sz w:val="16"/>
                <w:szCs w:val="16"/>
              </w:rPr>
            </w:pPr>
            <w:r w:rsidRPr="008562E1">
              <w:rPr>
                <w:color w:val="333333"/>
                <w:sz w:val="16"/>
                <w:szCs w:val="16"/>
              </w:rPr>
              <w:t>isoprenoid</w:t>
            </w:r>
          </w:p>
          <w:p w14:paraId="050250B4" w14:textId="77777777" w:rsidR="004D1935" w:rsidRPr="008562E1" w:rsidRDefault="004D1935" w:rsidP="00E24DC9">
            <w:pPr>
              <w:jc w:val="center"/>
              <w:rPr>
                <w:sz w:val="16"/>
                <w:szCs w:val="16"/>
              </w:rPr>
            </w:pPr>
            <w:r w:rsidRPr="008562E1">
              <w:rPr>
                <w:color w:val="222222"/>
                <w:sz w:val="16"/>
                <w:szCs w:val="16"/>
              </w:rPr>
              <w:t>amide</w:t>
            </w:r>
          </w:p>
          <w:p w14:paraId="44DEB287" w14:textId="77777777" w:rsidR="004D1935" w:rsidRPr="008562E1" w:rsidRDefault="004D1935" w:rsidP="00E24DC9">
            <w:pPr>
              <w:jc w:val="center"/>
              <w:rPr>
                <w:sz w:val="16"/>
                <w:szCs w:val="16"/>
              </w:rPr>
            </w:pPr>
            <w:r w:rsidRPr="008562E1">
              <w:rPr>
                <w:color w:val="000000"/>
                <w:sz w:val="16"/>
                <w:szCs w:val="16"/>
              </w:rPr>
              <w:t>amino-acid</w:t>
            </w:r>
          </w:p>
          <w:p w14:paraId="2E73B42B" w14:textId="77777777" w:rsidR="004D1935" w:rsidRPr="008562E1" w:rsidRDefault="004D1935" w:rsidP="00E24DC9">
            <w:pPr>
              <w:jc w:val="center"/>
              <w:rPr>
                <w:sz w:val="16"/>
                <w:szCs w:val="16"/>
              </w:rPr>
            </w:pPr>
            <w:r w:rsidRPr="008562E1">
              <w:rPr>
                <w:color w:val="000000"/>
                <w:sz w:val="16"/>
                <w:szCs w:val="16"/>
              </w:rPr>
              <w:t>fatty acid lipid</w:t>
            </w:r>
          </w:p>
          <w:p w14:paraId="27D3A845" w14:textId="77777777" w:rsidR="004D1935" w:rsidRPr="008562E1" w:rsidRDefault="004D1935" w:rsidP="00E24DC9">
            <w:pPr>
              <w:jc w:val="center"/>
              <w:rPr>
                <w:sz w:val="16"/>
                <w:szCs w:val="16"/>
              </w:rPr>
            </w:pPr>
            <w:r w:rsidRPr="008562E1">
              <w:rPr>
                <w:color w:val="000000"/>
                <w:sz w:val="16"/>
                <w:szCs w:val="16"/>
              </w:rPr>
              <w:t>fatty acid lipid</w:t>
            </w:r>
          </w:p>
          <w:p w14:paraId="7DEB1FF3" w14:textId="77777777" w:rsidR="004D1935" w:rsidRPr="008562E1" w:rsidRDefault="004D1935" w:rsidP="00E24DC9">
            <w:pPr>
              <w:jc w:val="center"/>
              <w:rPr>
                <w:sz w:val="16"/>
                <w:szCs w:val="16"/>
              </w:rPr>
            </w:pPr>
            <w:r w:rsidRPr="008562E1">
              <w:rPr>
                <w:color w:val="000000"/>
                <w:sz w:val="16"/>
                <w:szCs w:val="16"/>
              </w:rPr>
              <w:t>imidazole</w:t>
            </w:r>
          </w:p>
        </w:tc>
        <w:tc>
          <w:tcPr>
            <w:tcW w:w="6946" w:type="dxa"/>
            <w:vMerge w:val="restart"/>
            <w:vAlign w:val="center"/>
          </w:tcPr>
          <w:p w14:paraId="4035B905" w14:textId="77777777" w:rsidR="004D1935" w:rsidRPr="008562E1" w:rsidRDefault="004D1935" w:rsidP="00E24DC9">
            <w:pPr>
              <w:jc w:val="center"/>
              <w:rPr>
                <w:sz w:val="16"/>
                <w:szCs w:val="16"/>
              </w:rPr>
            </w:pPr>
            <w:r w:rsidRPr="008562E1">
              <w:rPr>
                <w:color w:val="000000"/>
                <w:sz w:val="16"/>
                <w:szCs w:val="16"/>
              </w:rPr>
              <w:t>Biosynthesis of secondary metabolites - unclassified</w:t>
            </w:r>
          </w:p>
          <w:p w14:paraId="6807C583" w14:textId="77777777" w:rsidR="004D1935" w:rsidRPr="008562E1" w:rsidRDefault="004D1935" w:rsidP="00E24DC9">
            <w:pPr>
              <w:jc w:val="center"/>
              <w:rPr>
                <w:sz w:val="16"/>
                <w:szCs w:val="16"/>
              </w:rPr>
            </w:pPr>
            <w:r w:rsidRPr="008562E1">
              <w:rPr>
                <w:color w:val="000000"/>
                <w:sz w:val="16"/>
                <w:szCs w:val="16"/>
              </w:rPr>
              <w:t>Biosynthesis of antibiotics</w:t>
            </w:r>
          </w:p>
          <w:p w14:paraId="0D31247C" w14:textId="77777777" w:rsidR="004D1935" w:rsidRPr="008562E1" w:rsidRDefault="004D1935" w:rsidP="00E24DC9">
            <w:pPr>
              <w:jc w:val="center"/>
              <w:rPr>
                <w:sz w:val="16"/>
                <w:szCs w:val="16"/>
              </w:rPr>
            </w:pPr>
            <w:r w:rsidRPr="008562E1">
              <w:rPr>
                <w:color w:val="000000"/>
                <w:sz w:val="16"/>
                <w:szCs w:val="16"/>
              </w:rPr>
              <w:t>Metabolism of cofactors and vitamins  Pantothenate and CoA biosynthesis/Shikimate pathway/jasnonic acid biosynthesis</w:t>
            </w:r>
          </w:p>
          <w:p w14:paraId="3151601F" w14:textId="77777777" w:rsidR="004D1935" w:rsidRPr="008562E1" w:rsidRDefault="004D1935" w:rsidP="00E24DC9">
            <w:pPr>
              <w:jc w:val="center"/>
              <w:rPr>
                <w:sz w:val="16"/>
                <w:szCs w:val="16"/>
              </w:rPr>
            </w:pPr>
            <w:r w:rsidRPr="008562E1">
              <w:rPr>
                <w:color w:val="000000"/>
                <w:sz w:val="16"/>
                <w:szCs w:val="16"/>
              </w:rPr>
              <w:t>Lysine biosynthesis</w:t>
            </w:r>
          </w:p>
          <w:p w14:paraId="19E14C26" w14:textId="77777777" w:rsidR="004D1935" w:rsidRPr="008562E1" w:rsidRDefault="004D1935" w:rsidP="00E24DC9">
            <w:pPr>
              <w:jc w:val="center"/>
              <w:rPr>
                <w:sz w:val="16"/>
                <w:szCs w:val="16"/>
              </w:rPr>
            </w:pPr>
            <w:r w:rsidRPr="008562E1">
              <w:rPr>
                <w:color w:val="000000"/>
                <w:sz w:val="16"/>
                <w:szCs w:val="16"/>
              </w:rPr>
              <w:t>Linoleic acid metabolism Lipid metabolism</w:t>
            </w:r>
          </w:p>
          <w:p w14:paraId="7332FAD5" w14:textId="77777777" w:rsidR="004D1935" w:rsidRPr="008562E1" w:rsidRDefault="004D1935" w:rsidP="00E24DC9">
            <w:pPr>
              <w:jc w:val="center"/>
              <w:rPr>
                <w:sz w:val="16"/>
                <w:szCs w:val="16"/>
              </w:rPr>
            </w:pPr>
            <w:r w:rsidRPr="008562E1">
              <w:rPr>
                <w:color w:val="000000"/>
                <w:sz w:val="16"/>
                <w:szCs w:val="16"/>
              </w:rPr>
              <w:t>Linoleic acid metabolism Lipid metabolism</w:t>
            </w:r>
          </w:p>
          <w:p w14:paraId="05CDC3F4" w14:textId="77777777" w:rsidR="004D1935" w:rsidRPr="008562E1" w:rsidRDefault="004D1935" w:rsidP="00E24DC9">
            <w:pPr>
              <w:jc w:val="center"/>
              <w:rPr>
                <w:sz w:val="16"/>
                <w:szCs w:val="16"/>
              </w:rPr>
            </w:pPr>
            <w:r w:rsidRPr="008562E1">
              <w:rPr>
                <w:color w:val="000000"/>
                <w:sz w:val="16"/>
                <w:szCs w:val="16"/>
              </w:rPr>
              <w:t>Porphyrin and chlorophyll metabolism</w:t>
            </w:r>
          </w:p>
        </w:tc>
      </w:tr>
      <w:tr w:rsidR="004D1935" w14:paraId="370A0406" w14:textId="77777777" w:rsidTr="00E24DC9">
        <w:tc>
          <w:tcPr>
            <w:tcW w:w="709" w:type="dxa"/>
            <w:vMerge/>
            <w:vAlign w:val="center"/>
          </w:tcPr>
          <w:p w14:paraId="41E19092" w14:textId="77777777" w:rsidR="004D1935" w:rsidRPr="008562E1" w:rsidRDefault="004D1935" w:rsidP="00E24DC9">
            <w:pPr>
              <w:jc w:val="center"/>
              <w:rPr>
                <w:sz w:val="16"/>
                <w:szCs w:val="16"/>
              </w:rPr>
            </w:pPr>
          </w:p>
        </w:tc>
        <w:tc>
          <w:tcPr>
            <w:tcW w:w="1134" w:type="dxa"/>
            <w:tcBorders>
              <w:top w:val="nil"/>
              <w:bottom w:val="nil"/>
            </w:tcBorders>
            <w:vAlign w:val="center"/>
          </w:tcPr>
          <w:p w14:paraId="0573F8C0" w14:textId="77777777" w:rsidR="004D1935" w:rsidRPr="008562E1" w:rsidRDefault="004D1935" w:rsidP="00E24DC9">
            <w:pPr>
              <w:jc w:val="center"/>
              <w:rPr>
                <w:sz w:val="16"/>
                <w:szCs w:val="16"/>
              </w:rPr>
            </w:pPr>
            <w:r w:rsidRPr="008562E1">
              <w:rPr>
                <w:color w:val="000000"/>
                <w:sz w:val="16"/>
                <w:szCs w:val="16"/>
              </w:rPr>
              <w:t>278.1420</w:t>
            </w:r>
          </w:p>
        </w:tc>
        <w:tc>
          <w:tcPr>
            <w:tcW w:w="2268" w:type="dxa"/>
            <w:vMerge/>
            <w:vAlign w:val="center"/>
          </w:tcPr>
          <w:p w14:paraId="4D1A8AB5" w14:textId="77777777" w:rsidR="004D1935" w:rsidRPr="008562E1" w:rsidRDefault="004D1935" w:rsidP="00E24DC9">
            <w:pPr>
              <w:jc w:val="center"/>
              <w:rPr>
                <w:sz w:val="16"/>
                <w:szCs w:val="16"/>
              </w:rPr>
            </w:pPr>
          </w:p>
        </w:tc>
        <w:tc>
          <w:tcPr>
            <w:tcW w:w="1276" w:type="dxa"/>
            <w:vMerge/>
            <w:vAlign w:val="center"/>
          </w:tcPr>
          <w:p w14:paraId="0E481AFF" w14:textId="77777777" w:rsidR="004D1935" w:rsidRPr="008562E1" w:rsidRDefault="004D1935" w:rsidP="00E24DC9">
            <w:pPr>
              <w:jc w:val="center"/>
              <w:rPr>
                <w:sz w:val="16"/>
                <w:szCs w:val="16"/>
              </w:rPr>
            </w:pPr>
          </w:p>
        </w:tc>
        <w:tc>
          <w:tcPr>
            <w:tcW w:w="2268" w:type="dxa"/>
            <w:vMerge/>
            <w:vAlign w:val="center"/>
          </w:tcPr>
          <w:p w14:paraId="7F4068EC" w14:textId="77777777" w:rsidR="004D1935" w:rsidRPr="008562E1" w:rsidRDefault="004D1935" w:rsidP="00E24DC9">
            <w:pPr>
              <w:jc w:val="center"/>
              <w:rPr>
                <w:sz w:val="16"/>
                <w:szCs w:val="16"/>
              </w:rPr>
            </w:pPr>
          </w:p>
        </w:tc>
        <w:tc>
          <w:tcPr>
            <w:tcW w:w="6946" w:type="dxa"/>
            <w:vMerge/>
            <w:vAlign w:val="center"/>
          </w:tcPr>
          <w:p w14:paraId="65062017" w14:textId="77777777" w:rsidR="004D1935" w:rsidRPr="008562E1" w:rsidRDefault="004D1935" w:rsidP="00E24DC9">
            <w:pPr>
              <w:jc w:val="center"/>
              <w:rPr>
                <w:sz w:val="16"/>
                <w:szCs w:val="16"/>
              </w:rPr>
            </w:pPr>
          </w:p>
        </w:tc>
      </w:tr>
      <w:tr w:rsidR="004D1935" w14:paraId="461CC90E" w14:textId="77777777" w:rsidTr="00E24DC9">
        <w:tc>
          <w:tcPr>
            <w:tcW w:w="709" w:type="dxa"/>
            <w:vMerge/>
            <w:vAlign w:val="center"/>
          </w:tcPr>
          <w:p w14:paraId="164922B7" w14:textId="77777777" w:rsidR="004D1935" w:rsidRPr="008562E1" w:rsidRDefault="004D1935" w:rsidP="00E24DC9">
            <w:pPr>
              <w:jc w:val="center"/>
              <w:rPr>
                <w:sz w:val="16"/>
                <w:szCs w:val="16"/>
              </w:rPr>
            </w:pPr>
          </w:p>
        </w:tc>
        <w:tc>
          <w:tcPr>
            <w:tcW w:w="1134" w:type="dxa"/>
            <w:tcBorders>
              <w:top w:val="nil"/>
              <w:bottom w:val="nil"/>
            </w:tcBorders>
            <w:vAlign w:val="center"/>
          </w:tcPr>
          <w:p w14:paraId="0EC5735E" w14:textId="77777777" w:rsidR="004D1935" w:rsidRPr="008562E1" w:rsidRDefault="004D1935" w:rsidP="00E24DC9">
            <w:pPr>
              <w:jc w:val="center"/>
              <w:rPr>
                <w:sz w:val="16"/>
                <w:szCs w:val="16"/>
              </w:rPr>
            </w:pPr>
            <w:r w:rsidRPr="008562E1">
              <w:rPr>
                <w:color w:val="000000"/>
                <w:sz w:val="16"/>
                <w:szCs w:val="16"/>
              </w:rPr>
              <w:t>278.1784</w:t>
            </w:r>
          </w:p>
        </w:tc>
        <w:tc>
          <w:tcPr>
            <w:tcW w:w="2268" w:type="dxa"/>
            <w:vMerge/>
            <w:vAlign w:val="center"/>
          </w:tcPr>
          <w:p w14:paraId="47E7890E" w14:textId="77777777" w:rsidR="004D1935" w:rsidRPr="008562E1" w:rsidRDefault="004D1935" w:rsidP="00E24DC9">
            <w:pPr>
              <w:jc w:val="center"/>
              <w:rPr>
                <w:sz w:val="16"/>
                <w:szCs w:val="16"/>
              </w:rPr>
            </w:pPr>
          </w:p>
        </w:tc>
        <w:tc>
          <w:tcPr>
            <w:tcW w:w="1276" w:type="dxa"/>
            <w:vMerge/>
            <w:vAlign w:val="center"/>
          </w:tcPr>
          <w:p w14:paraId="1881C8DD" w14:textId="77777777" w:rsidR="004D1935" w:rsidRPr="008562E1" w:rsidRDefault="004D1935" w:rsidP="00E24DC9">
            <w:pPr>
              <w:jc w:val="center"/>
              <w:rPr>
                <w:sz w:val="16"/>
                <w:szCs w:val="16"/>
              </w:rPr>
            </w:pPr>
          </w:p>
        </w:tc>
        <w:tc>
          <w:tcPr>
            <w:tcW w:w="2268" w:type="dxa"/>
            <w:vMerge/>
            <w:vAlign w:val="center"/>
          </w:tcPr>
          <w:p w14:paraId="4603738B" w14:textId="77777777" w:rsidR="004D1935" w:rsidRPr="008562E1" w:rsidRDefault="004D1935" w:rsidP="00E24DC9">
            <w:pPr>
              <w:jc w:val="center"/>
              <w:rPr>
                <w:sz w:val="16"/>
                <w:szCs w:val="16"/>
              </w:rPr>
            </w:pPr>
          </w:p>
        </w:tc>
        <w:tc>
          <w:tcPr>
            <w:tcW w:w="6946" w:type="dxa"/>
            <w:vMerge/>
            <w:vAlign w:val="center"/>
          </w:tcPr>
          <w:p w14:paraId="0D746A40" w14:textId="77777777" w:rsidR="004D1935" w:rsidRPr="008562E1" w:rsidRDefault="004D1935" w:rsidP="00E24DC9">
            <w:pPr>
              <w:jc w:val="center"/>
              <w:rPr>
                <w:sz w:val="16"/>
                <w:szCs w:val="16"/>
              </w:rPr>
            </w:pPr>
          </w:p>
        </w:tc>
      </w:tr>
      <w:tr w:rsidR="004D1935" w14:paraId="49C695B6" w14:textId="77777777" w:rsidTr="00E24DC9">
        <w:tc>
          <w:tcPr>
            <w:tcW w:w="709" w:type="dxa"/>
            <w:vMerge/>
            <w:vAlign w:val="center"/>
          </w:tcPr>
          <w:p w14:paraId="5959F394" w14:textId="77777777" w:rsidR="004D1935" w:rsidRPr="008562E1" w:rsidRDefault="004D1935" w:rsidP="00E24DC9">
            <w:pPr>
              <w:jc w:val="center"/>
              <w:rPr>
                <w:sz w:val="16"/>
                <w:szCs w:val="16"/>
              </w:rPr>
            </w:pPr>
          </w:p>
        </w:tc>
        <w:tc>
          <w:tcPr>
            <w:tcW w:w="1134" w:type="dxa"/>
            <w:tcBorders>
              <w:top w:val="nil"/>
              <w:bottom w:val="nil"/>
            </w:tcBorders>
            <w:vAlign w:val="center"/>
          </w:tcPr>
          <w:p w14:paraId="6AE25845" w14:textId="77777777" w:rsidR="004D1935" w:rsidRPr="008562E1" w:rsidRDefault="004D1935" w:rsidP="00E24DC9">
            <w:pPr>
              <w:jc w:val="center"/>
              <w:rPr>
                <w:sz w:val="16"/>
                <w:szCs w:val="16"/>
              </w:rPr>
            </w:pPr>
            <w:r w:rsidRPr="008562E1">
              <w:rPr>
                <w:color w:val="000000"/>
                <w:sz w:val="16"/>
                <w:szCs w:val="16"/>
              </w:rPr>
              <w:t>278.2148</w:t>
            </w:r>
          </w:p>
        </w:tc>
        <w:tc>
          <w:tcPr>
            <w:tcW w:w="2268" w:type="dxa"/>
            <w:vMerge/>
            <w:vAlign w:val="center"/>
          </w:tcPr>
          <w:p w14:paraId="0861314D" w14:textId="77777777" w:rsidR="004D1935" w:rsidRPr="008562E1" w:rsidRDefault="004D1935" w:rsidP="00E24DC9">
            <w:pPr>
              <w:jc w:val="center"/>
              <w:rPr>
                <w:sz w:val="16"/>
                <w:szCs w:val="16"/>
              </w:rPr>
            </w:pPr>
          </w:p>
        </w:tc>
        <w:tc>
          <w:tcPr>
            <w:tcW w:w="1276" w:type="dxa"/>
            <w:vMerge/>
            <w:vAlign w:val="center"/>
          </w:tcPr>
          <w:p w14:paraId="13AD0F8C" w14:textId="77777777" w:rsidR="004D1935" w:rsidRPr="008562E1" w:rsidRDefault="004D1935" w:rsidP="00E24DC9">
            <w:pPr>
              <w:jc w:val="center"/>
              <w:rPr>
                <w:sz w:val="16"/>
                <w:szCs w:val="16"/>
              </w:rPr>
            </w:pPr>
          </w:p>
        </w:tc>
        <w:tc>
          <w:tcPr>
            <w:tcW w:w="2268" w:type="dxa"/>
            <w:vMerge/>
            <w:vAlign w:val="center"/>
          </w:tcPr>
          <w:p w14:paraId="713A26A7" w14:textId="77777777" w:rsidR="004D1935" w:rsidRPr="008562E1" w:rsidRDefault="004D1935" w:rsidP="00E24DC9">
            <w:pPr>
              <w:jc w:val="center"/>
              <w:rPr>
                <w:sz w:val="16"/>
                <w:szCs w:val="16"/>
              </w:rPr>
            </w:pPr>
          </w:p>
        </w:tc>
        <w:tc>
          <w:tcPr>
            <w:tcW w:w="6946" w:type="dxa"/>
            <w:vMerge/>
            <w:vAlign w:val="center"/>
          </w:tcPr>
          <w:p w14:paraId="5EE9C8BB" w14:textId="77777777" w:rsidR="004D1935" w:rsidRPr="008562E1" w:rsidRDefault="004D1935" w:rsidP="00E24DC9">
            <w:pPr>
              <w:jc w:val="center"/>
              <w:rPr>
                <w:sz w:val="16"/>
                <w:szCs w:val="16"/>
              </w:rPr>
            </w:pPr>
          </w:p>
        </w:tc>
      </w:tr>
      <w:tr w:rsidR="004D1935" w14:paraId="3BCC581B" w14:textId="77777777" w:rsidTr="00E24DC9">
        <w:tc>
          <w:tcPr>
            <w:tcW w:w="709" w:type="dxa"/>
            <w:vMerge/>
            <w:vAlign w:val="center"/>
          </w:tcPr>
          <w:p w14:paraId="626A308C" w14:textId="77777777" w:rsidR="004D1935" w:rsidRPr="008562E1" w:rsidRDefault="004D1935" w:rsidP="00E24DC9">
            <w:pPr>
              <w:jc w:val="center"/>
              <w:rPr>
                <w:sz w:val="16"/>
                <w:szCs w:val="16"/>
              </w:rPr>
            </w:pPr>
          </w:p>
        </w:tc>
        <w:tc>
          <w:tcPr>
            <w:tcW w:w="1134" w:type="dxa"/>
            <w:tcBorders>
              <w:top w:val="nil"/>
              <w:bottom w:val="nil"/>
            </w:tcBorders>
            <w:vAlign w:val="center"/>
          </w:tcPr>
          <w:p w14:paraId="1ED54500" w14:textId="77777777" w:rsidR="004D1935" w:rsidRPr="008562E1" w:rsidRDefault="004D1935" w:rsidP="00E24DC9">
            <w:pPr>
              <w:jc w:val="center"/>
              <w:rPr>
                <w:sz w:val="16"/>
                <w:szCs w:val="16"/>
              </w:rPr>
            </w:pPr>
            <w:r w:rsidRPr="008562E1">
              <w:rPr>
                <w:color w:val="000000"/>
                <w:sz w:val="16"/>
                <w:szCs w:val="16"/>
              </w:rPr>
              <w:t>278.2513</w:t>
            </w:r>
          </w:p>
        </w:tc>
        <w:tc>
          <w:tcPr>
            <w:tcW w:w="2268" w:type="dxa"/>
            <w:vMerge/>
            <w:vAlign w:val="center"/>
          </w:tcPr>
          <w:p w14:paraId="76C4D82E" w14:textId="77777777" w:rsidR="004D1935" w:rsidRPr="008562E1" w:rsidRDefault="004D1935" w:rsidP="00E24DC9">
            <w:pPr>
              <w:jc w:val="center"/>
              <w:rPr>
                <w:sz w:val="16"/>
                <w:szCs w:val="16"/>
              </w:rPr>
            </w:pPr>
          </w:p>
        </w:tc>
        <w:tc>
          <w:tcPr>
            <w:tcW w:w="1276" w:type="dxa"/>
            <w:vMerge/>
            <w:vAlign w:val="center"/>
          </w:tcPr>
          <w:p w14:paraId="78A64BFA" w14:textId="77777777" w:rsidR="004D1935" w:rsidRPr="008562E1" w:rsidRDefault="004D1935" w:rsidP="00E24DC9">
            <w:pPr>
              <w:jc w:val="center"/>
              <w:rPr>
                <w:sz w:val="16"/>
                <w:szCs w:val="16"/>
              </w:rPr>
            </w:pPr>
          </w:p>
        </w:tc>
        <w:tc>
          <w:tcPr>
            <w:tcW w:w="2268" w:type="dxa"/>
            <w:vMerge/>
            <w:vAlign w:val="center"/>
          </w:tcPr>
          <w:p w14:paraId="1EBDABFC" w14:textId="77777777" w:rsidR="004D1935" w:rsidRPr="008562E1" w:rsidRDefault="004D1935" w:rsidP="00E24DC9">
            <w:pPr>
              <w:jc w:val="center"/>
              <w:rPr>
                <w:sz w:val="16"/>
                <w:szCs w:val="16"/>
              </w:rPr>
            </w:pPr>
          </w:p>
        </w:tc>
        <w:tc>
          <w:tcPr>
            <w:tcW w:w="6946" w:type="dxa"/>
            <w:vMerge/>
            <w:vAlign w:val="center"/>
          </w:tcPr>
          <w:p w14:paraId="6D7BA741" w14:textId="77777777" w:rsidR="004D1935" w:rsidRPr="008562E1" w:rsidRDefault="004D1935" w:rsidP="00E24DC9">
            <w:pPr>
              <w:jc w:val="center"/>
              <w:rPr>
                <w:sz w:val="16"/>
                <w:szCs w:val="16"/>
              </w:rPr>
            </w:pPr>
          </w:p>
        </w:tc>
      </w:tr>
      <w:tr w:rsidR="004D1935" w14:paraId="5831F3E6" w14:textId="77777777" w:rsidTr="00E24DC9">
        <w:tc>
          <w:tcPr>
            <w:tcW w:w="709" w:type="dxa"/>
            <w:vMerge/>
            <w:vAlign w:val="center"/>
          </w:tcPr>
          <w:p w14:paraId="295CE870" w14:textId="77777777" w:rsidR="004D1935" w:rsidRPr="008562E1" w:rsidRDefault="004D1935" w:rsidP="00E24DC9">
            <w:pPr>
              <w:jc w:val="center"/>
              <w:rPr>
                <w:sz w:val="16"/>
                <w:szCs w:val="16"/>
              </w:rPr>
            </w:pPr>
          </w:p>
        </w:tc>
        <w:tc>
          <w:tcPr>
            <w:tcW w:w="1134" w:type="dxa"/>
            <w:tcBorders>
              <w:top w:val="nil"/>
              <w:bottom w:val="nil"/>
            </w:tcBorders>
            <w:vAlign w:val="center"/>
          </w:tcPr>
          <w:p w14:paraId="6C4DE85A" w14:textId="77777777" w:rsidR="004D1935" w:rsidRPr="008562E1" w:rsidRDefault="004D1935" w:rsidP="00E24DC9">
            <w:pPr>
              <w:jc w:val="center"/>
              <w:rPr>
                <w:sz w:val="16"/>
                <w:szCs w:val="16"/>
              </w:rPr>
            </w:pPr>
            <w:r w:rsidRPr="008562E1">
              <w:rPr>
                <w:color w:val="000000"/>
                <w:sz w:val="16"/>
                <w:szCs w:val="16"/>
              </w:rPr>
              <w:t>278.1396</w:t>
            </w:r>
          </w:p>
        </w:tc>
        <w:tc>
          <w:tcPr>
            <w:tcW w:w="2268" w:type="dxa"/>
            <w:vMerge/>
            <w:vAlign w:val="center"/>
          </w:tcPr>
          <w:p w14:paraId="03D7B278" w14:textId="77777777" w:rsidR="004D1935" w:rsidRPr="008562E1" w:rsidRDefault="004D1935" w:rsidP="00E24DC9">
            <w:pPr>
              <w:jc w:val="center"/>
              <w:rPr>
                <w:sz w:val="16"/>
                <w:szCs w:val="16"/>
              </w:rPr>
            </w:pPr>
          </w:p>
        </w:tc>
        <w:tc>
          <w:tcPr>
            <w:tcW w:w="1276" w:type="dxa"/>
            <w:vMerge/>
            <w:vAlign w:val="center"/>
          </w:tcPr>
          <w:p w14:paraId="04E65D1F" w14:textId="77777777" w:rsidR="004D1935" w:rsidRPr="008562E1" w:rsidRDefault="004D1935" w:rsidP="00E24DC9">
            <w:pPr>
              <w:jc w:val="center"/>
              <w:rPr>
                <w:sz w:val="16"/>
                <w:szCs w:val="16"/>
              </w:rPr>
            </w:pPr>
          </w:p>
        </w:tc>
        <w:tc>
          <w:tcPr>
            <w:tcW w:w="2268" w:type="dxa"/>
            <w:vMerge/>
            <w:vAlign w:val="center"/>
          </w:tcPr>
          <w:p w14:paraId="148F123B" w14:textId="77777777" w:rsidR="004D1935" w:rsidRPr="008562E1" w:rsidRDefault="004D1935" w:rsidP="00E24DC9">
            <w:pPr>
              <w:jc w:val="center"/>
              <w:rPr>
                <w:sz w:val="16"/>
                <w:szCs w:val="16"/>
              </w:rPr>
            </w:pPr>
          </w:p>
        </w:tc>
        <w:tc>
          <w:tcPr>
            <w:tcW w:w="6946" w:type="dxa"/>
            <w:vMerge/>
            <w:vAlign w:val="center"/>
          </w:tcPr>
          <w:p w14:paraId="4FBB1C1A" w14:textId="77777777" w:rsidR="004D1935" w:rsidRPr="008562E1" w:rsidRDefault="004D1935" w:rsidP="00E24DC9">
            <w:pPr>
              <w:jc w:val="center"/>
              <w:rPr>
                <w:sz w:val="16"/>
                <w:szCs w:val="16"/>
              </w:rPr>
            </w:pPr>
          </w:p>
        </w:tc>
      </w:tr>
      <w:tr w:rsidR="004D1935" w14:paraId="0E7AFFC2" w14:textId="77777777" w:rsidTr="00E24DC9">
        <w:tc>
          <w:tcPr>
            <w:tcW w:w="709" w:type="dxa"/>
            <w:vMerge/>
            <w:vAlign w:val="center"/>
          </w:tcPr>
          <w:p w14:paraId="0F66B252" w14:textId="77777777" w:rsidR="004D1935" w:rsidRPr="008562E1" w:rsidRDefault="004D1935" w:rsidP="00E24DC9">
            <w:pPr>
              <w:jc w:val="center"/>
              <w:rPr>
                <w:sz w:val="16"/>
                <w:szCs w:val="16"/>
              </w:rPr>
            </w:pPr>
          </w:p>
        </w:tc>
        <w:tc>
          <w:tcPr>
            <w:tcW w:w="1134" w:type="dxa"/>
            <w:tcBorders>
              <w:top w:val="nil"/>
              <w:bottom w:val="nil"/>
            </w:tcBorders>
            <w:vAlign w:val="center"/>
          </w:tcPr>
          <w:p w14:paraId="71D3BF9D" w14:textId="77777777" w:rsidR="004D1935" w:rsidRPr="008562E1" w:rsidRDefault="004D1935" w:rsidP="00E24DC9">
            <w:pPr>
              <w:jc w:val="center"/>
              <w:rPr>
                <w:sz w:val="16"/>
                <w:szCs w:val="16"/>
              </w:rPr>
            </w:pPr>
            <w:r w:rsidRPr="008562E1">
              <w:rPr>
                <w:color w:val="000000"/>
                <w:sz w:val="16"/>
                <w:szCs w:val="16"/>
              </w:rPr>
              <w:t>278.1760</w:t>
            </w:r>
          </w:p>
        </w:tc>
        <w:tc>
          <w:tcPr>
            <w:tcW w:w="2268" w:type="dxa"/>
            <w:vMerge/>
            <w:vAlign w:val="center"/>
          </w:tcPr>
          <w:p w14:paraId="636AE358" w14:textId="77777777" w:rsidR="004D1935" w:rsidRPr="008562E1" w:rsidRDefault="004D1935" w:rsidP="00E24DC9">
            <w:pPr>
              <w:jc w:val="center"/>
              <w:rPr>
                <w:sz w:val="16"/>
                <w:szCs w:val="16"/>
              </w:rPr>
            </w:pPr>
          </w:p>
        </w:tc>
        <w:tc>
          <w:tcPr>
            <w:tcW w:w="1276" w:type="dxa"/>
            <w:vMerge/>
            <w:vAlign w:val="center"/>
          </w:tcPr>
          <w:p w14:paraId="16A083CF" w14:textId="77777777" w:rsidR="004D1935" w:rsidRPr="008562E1" w:rsidRDefault="004D1935" w:rsidP="00E24DC9">
            <w:pPr>
              <w:jc w:val="center"/>
              <w:rPr>
                <w:sz w:val="16"/>
                <w:szCs w:val="16"/>
              </w:rPr>
            </w:pPr>
          </w:p>
        </w:tc>
        <w:tc>
          <w:tcPr>
            <w:tcW w:w="2268" w:type="dxa"/>
            <w:vMerge/>
            <w:vAlign w:val="center"/>
          </w:tcPr>
          <w:p w14:paraId="26ED51B3" w14:textId="77777777" w:rsidR="004D1935" w:rsidRPr="008562E1" w:rsidRDefault="004D1935" w:rsidP="00E24DC9">
            <w:pPr>
              <w:jc w:val="center"/>
              <w:rPr>
                <w:sz w:val="16"/>
                <w:szCs w:val="16"/>
              </w:rPr>
            </w:pPr>
          </w:p>
        </w:tc>
        <w:tc>
          <w:tcPr>
            <w:tcW w:w="6946" w:type="dxa"/>
            <w:vMerge/>
            <w:vAlign w:val="center"/>
          </w:tcPr>
          <w:p w14:paraId="79640E06" w14:textId="77777777" w:rsidR="004D1935" w:rsidRPr="008562E1" w:rsidRDefault="004D1935" w:rsidP="00E24DC9">
            <w:pPr>
              <w:jc w:val="center"/>
              <w:rPr>
                <w:sz w:val="16"/>
                <w:szCs w:val="16"/>
              </w:rPr>
            </w:pPr>
          </w:p>
        </w:tc>
      </w:tr>
      <w:tr w:rsidR="004D1935" w14:paraId="12AA84FD" w14:textId="77777777" w:rsidTr="00E24DC9">
        <w:tc>
          <w:tcPr>
            <w:tcW w:w="709" w:type="dxa"/>
            <w:vMerge/>
            <w:vAlign w:val="center"/>
          </w:tcPr>
          <w:p w14:paraId="1FB26775" w14:textId="77777777" w:rsidR="004D1935" w:rsidRPr="008562E1" w:rsidRDefault="004D1935" w:rsidP="00E24DC9">
            <w:pPr>
              <w:jc w:val="center"/>
              <w:rPr>
                <w:sz w:val="16"/>
                <w:szCs w:val="16"/>
              </w:rPr>
            </w:pPr>
          </w:p>
        </w:tc>
        <w:tc>
          <w:tcPr>
            <w:tcW w:w="1134" w:type="dxa"/>
            <w:tcBorders>
              <w:top w:val="nil"/>
              <w:bottom w:val="nil"/>
            </w:tcBorders>
            <w:vAlign w:val="center"/>
          </w:tcPr>
          <w:p w14:paraId="1A37ACE7" w14:textId="77777777" w:rsidR="004D1935" w:rsidRPr="008562E1" w:rsidRDefault="004D1935" w:rsidP="00E24DC9">
            <w:pPr>
              <w:jc w:val="center"/>
              <w:rPr>
                <w:sz w:val="16"/>
                <w:szCs w:val="16"/>
              </w:rPr>
            </w:pPr>
            <w:r w:rsidRPr="008562E1">
              <w:rPr>
                <w:color w:val="000000"/>
                <w:sz w:val="16"/>
                <w:szCs w:val="16"/>
              </w:rPr>
              <w:t>278.2124</w:t>
            </w:r>
          </w:p>
        </w:tc>
        <w:tc>
          <w:tcPr>
            <w:tcW w:w="2268" w:type="dxa"/>
            <w:vMerge/>
            <w:vAlign w:val="center"/>
          </w:tcPr>
          <w:p w14:paraId="64F0D2A3" w14:textId="77777777" w:rsidR="004D1935" w:rsidRPr="008562E1" w:rsidRDefault="004D1935" w:rsidP="00E24DC9">
            <w:pPr>
              <w:jc w:val="center"/>
              <w:rPr>
                <w:sz w:val="16"/>
                <w:szCs w:val="16"/>
              </w:rPr>
            </w:pPr>
          </w:p>
        </w:tc>
        <w:tc>
          <w:tcPr>
            <w:tcW w:w="1276" w:type="dxa"/>
            <w:vMerge/>
            <w:vAlign w:val="center"/>
          </w:tcPr>
          <w:p w14:paraId="05CDA450" w14:textId="77777777" w:rsidR="004D1935" w:rsidRPr="008562E1" w:rsidRDefault="004D1935" w:rsidP="00E24DC9">
            <w:pPr>
              <w:jc w:val="center"/>
              <w:rPr>
                <w:sz w:val="16"/>
                <w:szCs w:val="16"/>
              </w:rPr>
            </w:pPr>
          </w:p>
        </w:tc>
        <w:tc>
          <w:tcPr>
            <w:tcW w:w="2268" w:type="dxa"/>
            <w:vMerge/>
            <w:vAlign w:val="center"/>
          </w:tcPr>
          <w:p w14:paraId="3D255686" w14:textId="77777777" w:rsidR="004D1935" w:rsidRPr="008562E1" w:rsidRDefault="004D1935" w:rsidP="00E24DC9">
            <w:pPr>
              <w:jc w:val="center"/>
              <w:rPr>
                <w:sz w:val="16"/>
                <w:szCs w:val="16"/>
              </w:rPr>
            </w:pPr>
          </w:p>
        </w:tc>
        <w:tc>
          <w:tcPr>
            <w:tcW w:w="6946" w:type="dxa"/>
            <w:vMerge/>
            <w:vAlign w:val="center"/>
          </w:tcPr>
          <w:p w14:paraId="5C7514C4" w14:textId="77777777" w:rsidR="004D1935" w:rsidRPr="008562E1" w:rsidRDefault="004D1935" w:rsidP="00E24DC9">
            <w:pPr>
              <w:jc w:val="center"/>
              <w:rPr>
                <w:sz w:val="16"/>
                <w:szCs w:val="16"/>
              </w:rPr>
            </w:pPr>
          </w:p>
        </w:tc>
      </w:tr>
      <w:tr w:rsidR="004D1935" w14:paraId="5B806E28" w14:textId="77777777" w:rsidTr="00E24DC9">
        <w:tc>
          <w:tcPr>
            <w:tcW w:w="709" w:type="dxa"/>
            <w:vMerge/>
            <w:vAlign w:val="center"/>
          </w:tcPr>
          <w:p w14:paraId="32BC92F6" w14:textId="77777777" w:rsidR="004D1935" w:rsidRPr="008562E1" w:rsidRDefault="004D1935" w:rsidP="00E24DC9">
            <w:pPr>
              <w:jc w:val="center"/>
              <w:rPr>
                <w:sz w:val="16"/>
                <w:szCs w:val="16"/>
              </w:rPr>
            </w:pPr>
          </w:p>
        </w:tc>
        <w:tc>
          <w:tcPr>
            <w:tcW w:w="1134" w:type="dxa"/>
            <w:tcBorders>
              <w:top w:val="nil"/>
              <w:bottom w:val="single" w:sz="4" w:space="0" w:color="auto"/>
            </w:tcBorders>
            <w:vAlign w:val="center"/>
          </w:tcPr>
          <w:p w14:paraId="075EB1ED" w14:textId="77777777" w:rsidR="004D1935" w:rsidRPr="008562E1" w:rsidRDefault="004D1935" w:rsidP="00E24DC9">
            <w:pPr>
              <w:jc w:val="center"/>
              <w:rPr>
                <w:sz w:val="16"/>
                <w:szCs w:val="16"/>
              </w:rPr>
            </w:pPr>
            <w:r w:rsidRPr="008562E1">
              <w:rPr>
                <w:color w:val="000000"/>
                <w:sz w:val="16"/>
                <w:szCs w:val="16"/>
              </w:rPr>
              <w:t>278.2489</w:t>
            </w:r>
          </w:p>
        </w:tc>
        <w:tc>
          <w:tcPr>
            <w:tcW w:w="2268" w:type="dxa"/>
            <w:vMerge/>
            <w:vAlign w:val="center"/>
          </w:tcPr>
          <w:p w14:paraId="56DC7A4F" w14:textId="77777777" w:rsidR="004D1935" w:rsidRPr="008562E1" w:rsidRDefault="004D1935" w:rsidP="00E24DC9">
            <w:pPr>
              <w:jc w:val="center"/>
              <w:rPr>
                <w:sz w:val="16"/>
                <w:szCs w:val="16"/>
              </w:rPr>
            </w:pPr>
          </w:p>
        </w:tc>
        <w:tc>
          <w:tcPr>
            <w:tcW w:w="1276" w:type="dxa"/>
            <w:vMerge/>
            <w:vAlign w:val="center"/>
          </w:tcPr>
          <w:p w14:paraId="634CFECA" w14:textId="77777777" w:rsidR="004D1935" w:rsidRPr="008562E1" w:rsidRDefault="004D1935" w:rsidP="00E24DC9">
            <w:pPr>
              <w:jc w:val="center"/>
              <w:rPr>
                <w:sz w:val="16"/>
                <w:szCs w:val="16"/>
              </w:rPr>
            </w:pPr>
          </w:p>
        </w:tc>
        <w:tc>
          <w:tcPr>
            <w:tcW w:w="2268" w:type="dxa"/>
            <w:vMerge/>
            <w:vAlign w:val="center"/>
          </w:tcPr>
          <w:p w14:paraId="1BD78046" w14:textId="77777777" w:rsidR="004D1935" w:rsidRPr="008562E1" w:rsidRDefault="004D1935" w:rsidP="00E24DC9">
            <w:pPr>
              <w:jc w:val="center"/>
              <w:rPr>
                <w:sz w:val="16"/>
                <w:szCs w:val="16"/>
              </w:rPr>
            </w:pPr>
          </w:p>
        </w:tc>
        <w:tc>
          <w:tcPr>
            <w:tcW w:w="6946" w:type="dxa"/>
            <w:vMerge/>
            <w:vAlign w:val="center"/>
          </w:tcPr>
          <w:p w14:paraId="3560BEB1" w14:textId="77777777" w:rsidR="004D1935" w:rsidRPr="008562E1" w:rsidRDefault="004D1935" w:rsidP="00E24DC9">
            <w:pPr>
              <w:jc w:val="center"/>
              <w:rPr>
                <w:sz w:val="16"/>
                <w:szCs w:val="16"/>
              </w:rPr>
            </w:pPr>
          </w:p>
        </w:tc>
      </w:tr>
      <w:tr w:rsidR="004D1935" w14:paraId="407F1895" w14:textId="77777777" w:rsidTr="00E24DC9">
        <w:tc>
          <w:tcPr>
            <w:tcW w:w="709" w:type="dxa"/>
            <w:vMerge w:val="restart"/>
            <w:vAlign w:val="center"/>
          </w:tcPr>
          <w:p w14:paraId="690ED6E9" w14:textId="77777777" w:rsidR="004D1935" w:rsidRPr="008562E1" w:rsidRDefault="004D1935" w:rsidP="00E24DC9">
            <w:pPr>
              <w:jc w:val="center"/>
              <w:rPr>
                <w:sz w:val="16"/>
                <w:szCs w:val="16"/>
              </w:rPr>
            </w:pPr>
            <w:r w:rsidRPr="008562E1">
              <w:rPr>
                <w:sz w:val="16"/>
                <w:szCs w:val="16"/>
              </w:rPr>
              <w:t>H</w:t>
            </w:r>
          </w:p>
        </w:tc>
        <w:tc>
          <w:tcPr>
            <w:tcW w:w="1134" w:type="dxa"/>
            <w:tcBorders>
              <w:bottom w:val="nil"/>
            </w:tcBorders>
            <w:vAlign w:val="center"/>
          </w:tcPr>
          <w:p w14:paraId="79579570" w14:textId="77777777" w:rsidR="004D1935" w:rsidRPr="008562E1" w:rsidRDefault="004D1935" w:rsidP="00E24DC9">
            <w:pPr>
              <w:jc w:val="center"/>
              <w:rPr>
                <w:sz w:val="16"/>
                <w:szCs w:val="16"/>
              </w:rPr>
            </w:pPr>
            <w:r w:rsidRPr="008562E1">
              <w:rPr>
                <w:rFonts w:ascii="Calibri" w:hAnsi="Calibri" w:cs="Calibri"/>
                <w:color w:val="000000"/>
                <w:sz w:val="16"/>
                <w:szCs w:val="16"/>
              </w:rPr>
              <w:t>277.0979</w:t>
            </w:r>
          </w:p>
        </w:tc>
        <w:tc>
          <w:tcPr>
            <w:tcW w:w="2268" w:type="dxa"/>
            <w:vMerge w:val="restart"/>
            <w:vAlign w:val="center"/>
          </w:tcPr>
          <w:p w14:paraId="300CE000" w14:textId="77777777" w:rsidR="004D1935" w:rsidRPr="008562E1" w:rsidRDefault="004D1935" w:rsidP="00E24DC9">
            <w:pPr>
              <w:jc w:val="center"/>
              <w:rPr>
                <w:sz w:val="16"/>
                <w:szCs w:val="16"/>
              </w:rPr>
            </w:pPr>
            <w:r w:rsidRPr="008562E1">
              <w:rPr>
                <w:rFonts w:ascii="Calibri" w:hAnsi="Calibri" w:cs="Calibri"/>
                <w:color w:val="000000"/>
                <w:sz w:val="16"/>
                <w:szCs w:val="16"/>
              </w:rPr>
              <w:t>L-glutamyl-L-glutamate</w:t>
            </w:r>
          </w:p>
        </w:tc>
        <w:tc>
          <w:tcPr>
            <w:tcW w:w="1276" w:type="dxa"/>
            <w:vMerge w:val="restart"/>
            <w:vAlign w:val="center"/>
          </w:tcPr>
          <w:p w14:paraId="78FA32A5" w14:textId="77777777" w:rsidR="004D1935" w:rsidRPr="008562E1" w:rsidRDefault="004D1935" w:rsidP="00E24DC9">
            <w:pPr>
              <w:jc w:val="center"/>
              <w:rPr>
                <w:sz w:val="16"/>
                <w:szCs w:val="16"/>
              </w:rPr>
            </w:pPr>
            <w:r w:rsidRPr="008562E1">
              <w:rPr>
                <w:color w:val="333333"/>
                <w:sz w:val="16"/>
                <w:szCs w:val="16"/>
              </w:rPr>
              <w:t>C</w:t>
            </w:r>
            <w:r>
              <w:rPr>
                <w:color w:val="333333"/>
                <w:sz w:val="16"/>
                <w:szCs w:val="16"/>
                <w:vertAlign w:val="subscript"/>
              </w:rPr>
              <w:t>10</w:t>
            </w:r>
            <w:r w:rsidRPr="008562E1">
              <w:rPr>
                <w:color w:val="333333"/>
                <w:sz w:val="16"/>
                <w:szCs w:val="16"/>
              </w:rPr>
              <w:t>H</w:t>
            </w:r>
            <w:r w:rsidRPr="008562E1">
              <w:rPr>
                <w:color w:val="333333"/>
                <w:sz w:val="16"/>
                <w:szCs w:val="16"/>
                <w:vertAlign w:val="subscript"/>
              </w:rPr>
              <w:t>1</w:t>
            </w:r>
            <w:r>
              <w:rPr>
                <w:color w:val="333333"/>
                <w:sz w:val="16"/>
                <w:szCs w:val="16"/>
                <w:vertAlign w:val="subscript"/>
              </w:rPr>
              <w:t>4</w:t>
            </w:r>
            <w:r w:rsidRPr="008562E1">
              <w:rPr>
                <w:color w:val="333333"/>
                <w:sz w:val="16"/>
                <w:szCs w:val="16"/>
              </w:rPr>
              <w:t>N</w:t>
            </w:r>
            <w:r w:rsidRPr="008562E1">
              <w:rPr>
                <w:color w:val="333333"/>
                <w:sz w:val="16"/>
                <w:szCs w:val="16"/>
                <w:vertAlign w:val="subscript"/>
              </w:rPr>
              <w:t>2</w:t>
            </w:r>
            <w:r w:rsidRPr="008562E1">
              <w:rPr>
                <w:color w:val="333333"/>
                <w:sz w:val="16"/>
                <w:szCs w:val="16"/>
              </w:rPr>
              <w:t>O</w:t>
            </w:r>
            <w:r>
              <w:rPr>
                <w:color w:val="333333"/>
                <w:sz w:val="16"/>
                <w:szCs w:val="16"/>
                <w:vertAlign w:val="subscript"/>
              </w:rPr>
              <w:t>7</w:t>
            </w:r>
          </w:p>
          <w:p w14:paraId="3175CB32" w14:textId="77777777" w:rsidR="004D1935" w:rsidRPr="008562E1" w:rsidRDefault="004D1935" w:rsidP="00E24DC9">
            <w:pPr>
              <w:jc w:val="center"/>
              <w:rPr>
                <w:sz w:val="16"/>
                <w:szCs w:val="16"/>
              </w:rPr>
            </w:pPr>
          </w:p>
        </w:tc>
        <w:tc>
          <w:tcPr>
            <w:tcW w:w="2268" w:type="dxa"/>
            <w:vMerge w:val="restart"/>
            <w:vAlign w:val="center"/>
          </w:tcPr>
          <w:p w14:paraId="0F00FC55" w14:textId="77777777" w:rsidR="004D1935" w:rsidRPr="008562E1" w:rsidRDefault="004D1935" w:rsidP="00E24DC9">
            <w:pPr>
              <w:jc w:val="center"/>
              <w:rPr>
                <w:sz w:val="16"/>
                <w:szCs w:val="16"/>
              </w:rPr>
            </w:pPr>
            <w:r w:rsidRPr="008562E1">
              <w:rPr>
                <w:rFonts w:ascii="Calibri" w:hAnsi="Calibri" w:cs="Calibri"/>
                <w:color w:val="000000"/>
                <w:sz w:val="16"/>
                <w:szCs w:val="16"/>
              </w:rPr>
              <w:t>peptide anion of L animo acid</w:t>
            </w:r>
          </w:p>
        </w:tc>
        <w:tc>
          <w:tcPr>
            <w:tcW w:w="6946" w:type="dxa"/>
            <w:vMerge w:val="restart"/>
            <w:vAlign w:val="center"/>
          </w:tcPr>
          <w:p w14:paraId="33DD0114" w14:textId="77777777" w:rsidR="004D1935" w:rsidRPr="008562E1" w:rsidRDefault="004D1935" w:rsidP="00E24DC9">
            <w:pPr>
              <w:jc w:val="center"/>
              <w:rPr>
                <w:sz w:val="16"/>
                <w:szCs w:val="16"/>
              </w:rPr>
            </w:pPr>
            <w:r w:rsidRPr="008562E1">
              <w:rPr>
                <w:rFonts w:ascii="Calibri" w:hAnsi="Calibri" w:cs="Calibri"/>
                <w:color w:val="000000"/>
                <w:sz w:val="16"/>
                <w:szCs w:val="16"/>
              </w:rPr>
              <w:t>Alanine, aspartate and glutamate metabolism</w:t>
            </w:r>
          </w:p>
        </w:tc>
      </w:tr>
      <w:tr w:rsidR="004D1935" w14:paraId="4071CEEB" w14:textId="77777777" w:rsidTr="00E24DC9">
        <w:tc>
          <w:tcPr>
            <w:tcW w:w="709" w:type="dxa"/>
            <w:vMerge/>
            <w:vAlign w:val="center"/>
          </w:tcPr>
          <w:p w14:paraId="66DEEE6F" w14:textId="77777777" w:rsidR="004D1935" w:rsidRPr="008562E1" w:rsidRDefault="004D1935" w:rsidP="00E24DC9">
            <w:pPr>
              <w:jc w:val="center"/>
              <w:rPr>
                <w:sz w:val="16"/>
                <w:szCs w:val="16"/>
              </w:rPr>
            </w:pPr>
          </w:p>
        </w:tc>
        <w:tc>
          <w:tcPr>
            <w:tcW w:w="1134" w:type="dxa"/>
            <w:tcBorders>
              <w:top w:val="nil"/>
              <w:bottom w:val="nil"/>
            </w:tcBorders>
            <w:vAlign w:val="center"/>
          </w:tcPr>
          <w:p w14:paraId="116DFE28" w14:textId="77777777" w:rsidR="004D1935" w:rsidRPr="008562E1" w:rsidRDefault="004D1935" w:rsidP="00E24DC9">
            <w:pPr>
              <w:jc w:val="center"/>
              <w:rPr>
                <w:sz w:val="16"/>
                <w:szCs w:val="16"/>
              </w:rPr>
            </w:pPr>
            <w:r w:rsidRPr="008562E1">
              <w:rPr>
                <w:rFonts w:ascii="Calibri" w:hAnsi="Calibri" w:cs="Calibri"/>
                <w:color w:val="000000"/>
                <w:sz w:val="16"/>
                <w:szCs w:val="16"/>
              </w:rPr>
              <w:t>277.1342</w:t>
            </w:r>
          </w:p>
        </w:tc>
        <w:tc>
          <w:tcPr>
            <w:tcW w:w="2268" w:type="dxa"/>
            <w:vMerge/>
            <w:vAlign w:val="center"/>
          </w:tcPr>
          <w:p w14:paraId="43BBF23D" w14:textId="77777777" w:rsidR="004D1935" w:rsidRPr="008562E1" w:rsidRDefault="004D1935" w:rsidP="00E24DC9">
            <w:pPr>
              <w:jc w:val="center"/>
              <w:rPr>
                <w:sz w:val="16"/>
                <w:szCs w:val="16"/>
              </w:rPr>
            </w:pPr>
          </w:p>
        </w:tc>
        <w:tc>
          <w:tcPr>
            <w:tcW w:w="1276" w:type="dxa"/>
            <w:vMerge/>
            <w:vAlign w:val="center"/>
          </w:tcPr>
          <w:p w14:paraId="1C48E05C" w14:textId="77777777" w:rsidR="004D1935" w:rsidRPr="008562E1" w:rsidRDefault="004D1935" w:rsidP="00E24DC9">
            <w:pPr>
              <w:jc w:val="center"/>
              <w:rPr>
                <w:sz w:val="16"/>
                <w:szCs w:val="16"/>
              </w:rPr>
            </w:pPr>
          </w:p>
        </w:tc>
        <w:tc>
          <w:tcPr>
            <w:tcW w:w="2268" w:type="dxa"/>
            <w:vMerge/>
            <w:vAlign w:val="center"/>
          </w:tcPr>
          <w:p w14:paraId="32D3E6DD" w14:textId="77777777" w:rsidR="004D1935" w:rsidRPr="008562E1" w:rsidRDefault="004D1935" w:rsidP="00E24DC9">
            <w:pPr>
              <w:jc w:val="center"/>
              <w:rPr>
                <w:sz w:val="16"/>
                <w:szCs w:val="16"/>
              </w:rPr>
            </w:pPr>
          </w:p>
        </w:tc>
        <w:tc>
          <w:tcPr>
            <w:tcW w:w="6946" w:type="dxa"/>
            <w:vMerge/>
            <w:vAlign w:val="center"/>
          </w:tcPr>
          <w:p w14:paraId="064C8408" w14:textId="77777777" w:rsidR="004D1935" w:rsidRPr="008562E1" w:rsidRDefault="004D1935" w:rsidP="00E24DC9">
            <w:pPr>
              <w:jc w:val="center"/>
              <w:rPr>
                <w:sz w:val="16"/>
                <w:szCs w:val="16"/>
              </w:rPr>
            </w:pPr>
          </w:p>
        </w:tc>
      </w:tr>
      <w:tr w:rsidR="004D1935" w14:paraId="4F994C6A" w14:textId="77777777" w:rsidTr="00E24DC9">
        <w:tc>
          <w:tcPr>
            <w:tcW w:w="709" w:type="dxa"/>
            <w:vMerge/>
            <w:vAlign w:val="center"/>
          </w:tcPr>
          <w:p w14:paraId="691BE70F" w14:textId="77777777" w:rsidR="004D1935" w:rsidRPr="008562E1" w:rsidRDefault="004D1935" w:rsidP="00E24DC9">
            <w:pPr>
              <w:jc w:val="center"/>
              <w:rPr>
                <w:sz w:val="16"/>
                <w:szCs w:val="16"/>
              </w:rPr>
            </w:pPr>
          </w:p>
        </w:tc>
        <w:tc>
          <w:tcPr>
            <w:tcW w:w="1134" w:type="dxa"/>
            <w:tcBorders>
              <w:top w:val="nil"/>
              <w:bottom w:val="nil"/>
            </w:tcBorders>
            <w:vAlign w:val="center"/>
          </w:tcPr>
          <w:p w14:paraId="6E7C148C" w14:textId="77777777" w:rsidR="004D1935" w:rsidRPr="008562E1" w:rsidRDefault="004D1935" w:rsidP="00E24DC9">
            <w:pPr>
              <w:jc w:val="center"/>
              <w:rPr>
                <w:sz w:val="16"/>
                <w:szCs w:val="16"/>
              </w:rPr>
            </w:pPr>
            <w:r w:rsidRPr="008562E1">
              <w:rPr>
                <w:rFonts w:ascii="Calibri" w:hAnsi="Calibri" w:cs="Calibri"/>
                <w:color w:val="000000"/>
                <w:sz w:val="16"/>
                <w:szCs w:val="16"/>
              </w:rPr>
              <w:t>277.1706</w:t>
            </w:r>
          </w:p>
        </w:tc>
        <w:tc>
          <w:tcPr>
            <w:tcW w:w="2268" w:type="dxa"/>
            <w:vMerge/>
            <w:vAlign w:val="center"/>
          </w:tcPr>
          <w:p w14:paraId="292D207E" w14:textId="77777777" w:rsidR="004D1935" w:rsidRPr="008562E1" w:rsidRDefault="004D1935" w:rsidP="00E24DC9">
            <w:pPr>
              <w:jc w:val="center"/>
              <w:rPr>
                <w:sz w:val="16"/>
                <w:szCs w:val="16"/>
              </w:rPr>
            </w:pPr>
          </w:p>
        </w:tc>
        <w:tc>
          <w:tcPr>
            <w:tcW w:w="1276" w:type="dxa"/>
            <w:vMerge/>
            <w:vAlign w:val="center"/>
          </w:tcPr>
          <w:p w14:paraId="43444F53" w14:textId="77777777" w:rsidR="004D1935" w:rsidRPr="008562E1" w:rsidRDefault="004D1935" w:rsidP="00E24DC9">
            <w:pPr>
              <w:jc w:val="center"/>
              <w:rPr>
                <w:sz w:val="16"/>
                <w:szCs w:val="16"/>
              </w:rPr>
            </w:pPr>
          </w:p>
        </w:tc>
        <w:tc>
          <w:tcPr>
            <w:tcW w:w="2268" w:type="dxa"/>
            <w:vMerge/>
            <w:vAlign w:val="center"/>
          </w:tcPr>
          <w:p w14:paraId="2EA3FCEB" w14:textId="77777777" w:rsidR="004D1935" w:rsidRPr="008562E1" w:rsidRDefault="004D1935" w:rsidP="00E24DC9">
            <w:pPr>
              <w:jc w:val="center"/>
              <w:rPr>
                <w:sz w:val="16"/>
                <w:szCs w:val="16"/>
              </w:rPr>
            </w:pPr>
          </w:p>
        </w:tc>
        <w:tc>
          <w:tcPr>
            <w:tcW w:w="6946" w:type="dxa"/>
            <w:vMerge/>
            <w:vAlign w:val="center"/>
          </w:tcPr>
          <w:p w14:paraId="642A8E13" w14:textId="77777777" w:rsidR="004D1935" w:rsidRPr="008562E1" w:rsidRDefault="004D1935" w:rsidP="00E24DC9">
            <w:pPr>
              <w:jc w:val="center"/>
              <w:rPr>
                <w:sz w:val="16"/>
                <w:szCs w:val="16"/>
              </w:rPr>
            </w:pPr>
          </w:p>
        </w:tc>
      </w:tr>
      <w:tr w:rsidR="004D1935" w14:paraId="59F5E039" w14:textId="77777777" w:rsidTr="00E24DC9">
        <w:tc>
          <w:tcPr>
            <w:tcW w:w="709" w:type="dxa"/>
            <w:vMerge/>
            <w:vAlign w:val="center"/>
          </w:tcPr>
          <w:p w14:paraId="47154C5C" w14:textId="77777777" w:rsidR="004D1935" w:rsidRPr="008562E1" w:rsidRDefault="004D1935" w:rsidP="00E24DC9">
            <w:pPr>
              <w:jc w:val="center"/>
              <w:rPr>
                <w:sz w:val="16"/>
                <w:szCs w:val="16"/>
              </w:rPr>
            </w:pPr>
          </w:p>
        </w:tc>
        <w:tc>
          <w:tcPr>
            <w:tcW w:w="1134" w:type="dxa"/>
            <w:tcBorders>
              <w:top w:val="nil"/>
              <w:bottom w:val="nil"/>
            </w:tcBorders>
            <w:vAlign w:val="center"/>
          </w:tcPr>
          <w:p w14:paraId="171F34B3" w14:textId="77777777" w:rsidR="004D1935" w:rsidRPr="008562E1" w:rsidRDefault="004D1935" w:rsidP="00E24DC9">
            <w:pPr>
              <w:jc w:val="center"/>
              <w:rPr>
                <w:sz w:val="16"/>
                <w:szCs w:val="16"/>
              </w:rPr>
            </w:pPr>
            <w:r w:rsidRPr="008562E1">
              <w:rPr>
                <w:rFonts w:ascii="Calibri" w:hAnsi="Calibri" w:cs="Calibri"/>
                <w:color w:val="000000"/>
                <w:sz w:val="16"/>
                <w:szCs w:val="16"/>
              </w:rPr>
              <w:t>277.2070</w:t>
            </w:r>
          </w:p>
        </w:tc>
        <w:tc>
          <w:tcPr>
            <w:tcW w:w="2268" w:type="dxa"/>
            <w:vMerge/>
            <w:vAlign w:val="center"/>
          </w:tcPr>
          <w:p w14:paraId="23357140" w14:textId="77777777" w:rsidR="004D1935" w:rsidRPr="008562E1" w:rsidRDefault="004D1935" w:rsidP="00E24DC9">
            <w:pPr>
              <w:jc w:val="center"/>
              <w:rPr>
                <w:sz w:val="16"/>
                <w:szCs w:val="16"/>
              </w:rPr>
            </w:pPr>
          </w:p>
        </w:tc>
        <w:tc>
          <w:tcPr>
            <w:tcW w:w="1276" w:type="dxa"/>
            <w:vMerge/>
            <w:vAlign w:val="center"/>
          </w:tcPr>
          <w:p w14:paraId="54465CE5" w14:textId="77777777" w:rsidR="004D1935" w:rsidRPr="008562E1" w:rsidRDefault="004D1935" w:rsidP="00E24DC9">
            <w:pPr>
              <w:jc w:val="center"/>
              <w:rPr>
                <w:sz w:val="16"/>
                <w:szCs w:val="16"/>
              </w:rPr>
            </w:pPr>
          </w:p>
        </w:tc>
        <w:tc>
          <w:tcPr>
            <w:tcW w:w="2268" w:type="dxa"/>
            <w:vMerge/>
            <w:vAlign w:val="center"/>
          </w:tcPr>
          <w:p w14:paraId="2A66A352" w14:textId="77777777" w:rsidR="004D1935" w:rsidRPr="008562E1" w:rsidRDefault="004D1935" w:rsidP="00E24DC9">
            <w:pPr>
              <w:jc w:val="center"/>
              <w:rPr>
                <w:sz w:val="16"/>
                <w:szCs w:val="16"/>
              </w:rPr>
            </w:pPr>
          </w:p>
        </w:tc>
        <w:tc>
          <w:tcPr>
            <w:tcW w:w="6946" w:type="dxa"/>
            <w:vMerge/>
            <w:vAlign w:val="center"/>
          </w:tcPr>
          <w:p w14:paraId="3E944A5E" w14:textId="77777777" w:rsidR="004D1935" w:rsidRPr="008562E1" w:rsidRDefault="004D1935" w:rsidP="00E24DC9">
            <w:pPr>
              <w:jc w:val="center"/>
              <w:rPr>
                <w:sz w:val="16"/>
                <w:szCs w:val="16"/>
              </w:rPr>
            </w:pPr>
          </w:p>
        </w:tc>
      </w:tr>
      <w:tr w:rsidR="004D1935" w14:paraId="5009D18C" w14:textId="77777777" w:rsidTr="00E24DC9">
        <w:tc>
          <w:tcPr>
            <w:tcW w:w="709" w:type="dxa"/>
            <w:vMerge/>
            <w:vAlign w:val="center"/>
          </w:tcPr>
          <w:p w14:paraId="48A7D003" w14:textId="77777777" w:rsidR="004D1935" w:rsidRPr="008562E1" w:rsidRDefault="004D1935" w:rsidP="00E24DC9">
            <w:pPr>
              <w:jc w:val="center"/>
              <w:rPr>
                <w:sz w:val="16"/>
                <w:szCs w:val="16"/>
              </w:rPr>
            </w:pPr>
          </w:p>
        </w:tc>
        <w:tc>
          <w:tcPr>
            <w:tcW w:w="1134" w:type="dxa"/>
            <w:tcBorders>
              <w:top w:val="nil"/>
            </w:tcBorders>
            <w:vAlign w:val="center"/>
          </w:tcPr>
          <w:p w14:paraId="68E3CCBE" w14:textId="77777777" w:rsidR="004D1935" w:rsidRPr="008562E1" w:rsidRDefault="004D1935" w:rsidP="00E24DC9">
            <w:pPr>
              <w:jc w:val="center"/>
              <w:rPr>
                <w:sz w:val="16"/>
                <w:szCs w:val="16"/>
              </w:rPr>
            </w:pPr>
            <w:r w:rsidRPr="008562E1">
              <w:rPr>
                <w:rFonts w:ascii="Calibri" w:hAnsi="Calibri" w:cs="Calibri"/>
                <w:color w:val="000000"/>
                <w:sz w:val="16"/>
                <w:szCs w:val="16"/>
              </w:rPr>
              <w:t>277.2435</w:t>
            </w:r>
          </w:p>
        </w:tc>
        <w:tc>
          <w:tcPr>
            <w:tcW w:w="2268" w:type="dxa"/>
            <w:vMerge/>
            <w:vAlign w:val="center"/>
          </w:tcPr>
          <w:p w14:paraId="06328412" w14:textId="77777777" w:rsidR="004D1935" w:rsidRPr="008562E1" w:rsidRDefault="004D1935" w:rsidP="00E24DC9">
            <w:pPr>
              <w:jc w:val="center"/>
              <w:rPr>
                <w:sz w:val="16"/>
                <w:szCs w:val="16"/>
              </w:rPr>
            </w:pPr>
          </w:p>
        </w:tc>
        <w:tc>
          <w:tcPr>
            <w:tcW w:w="1276" w:type="dxa"/>
            <w:vMerge/>
            <w:vAlign w:val="center"/>
          </w:tcPr>
          <w:p w14:paraId="5B01615B" w14:textId="77777777" w:rsidR="004D1935" w:rsidRPr="008562E1" w:rsidRDefault="004D1935" w:rsidP="00E24DC9">
            <w:pPr>
              <w:jc w:val="center"/>
              <w:rPr>
                <w:sz w:val="16"/>
                <w:szCs w:val="16"/>
              </w:rPr>
            </w:pPr>
          </w:p>
        </w:tc>
        <w:tc>
          <w:tcPr>
            <w:tcW w:w="2268" w:type="dxa"/>
            <w:vMerge/>
            <w:vAlign w:val="center"/>
          </w:tcPr>
          <w:p w14:paraId="5F00D073" w14:textId="77777777" w:rsidR="004D1935" w:rsidRPr="008562E1" w:rsidRDefault="004D1935" w:rsidP="00E24DC9">
            <w:pPr>
              <w:jc w:val="center"/>
              <w:rPr>
                <w:sz w:val="16"/>
                <w:szCs w:val="16"/>
              </w:rPr>
            </w:pPr>
          </w:p>
        </w:tc>
        <w:tc>
          <w:tcPr>
            <w:tcW w:w="6946" w:type="dxa"/>
            <w:vMerge/>
            <w:vAlign w:val="center"/>
          </w:tcPr>
          <w:p w14:paraId="3D49B74D" w14:textId="77777777" w:rsidR="004D1935" w:rsidRPr="008562E1" w:rsidRDefault="004D1935" w:rsidP="00E24DC9">
            <w:pPr>
              <w:jc w:val="center"/>
              <w:rPr>
                <w:sz w:val="16"/>
                <w:szCs w:val="16"/>
              </w:rPr>
            </w:pPr>
          </w:p>
        </w:tc>
      </w:tr>
      <w:tr w:rsidR="004D1935" w14:paraId="18A238AD" w14:textId="77777777" w:rsidTr="00E24DC9">
        <w:trPr>
          <w:trHeight w:val="4485"/>
        </w:trPr>
        <w:tc>
          <w:tcPr>
            <w:tcW w:w="709" w:type="dxa"/>
            <w:vAlign w:val="center"/>
          </w:tcPr>
          <w:p w14:paraId="23B8DA21" w14:textId="77777777" w:rsidR="004D1935" w:rsidRPr="008562E1" w:rsidRDefault="004D1935" w:rsidP="00E24DC9">
            <w:pPr>
              <w:jc w:val="center"/>
              <w:rPr>
                <w:sz w:val="16"/>
                <w:szCs w:val="16"/>
              </w:rPr>
            </w:pPr>
            <w:r w:rsidRPr="008562E1">
              <w:rPr>
                <w:sz w:val="16"/>
                <w:szCs w:val="16"/>
              </w:rPr>
              <w:t>K</w:t>
            </w:r>
          </w:p>
        </w:tc>
        <w:tc>
          <w:tcPr>
            <w:tcW w:w="1134" w:type="dxa"/>
            <w:vAlign w:val="center"/>
          </w:tcPr>
          <w:p w14:paraId="0594D78B" w14:textId="77777777" w:rsidR="004D1935" w:rsidRPr="008562E1" w:rsidRDefault="004D1935" w:rsidP="00E24DC9">
            <w:pPr>
              <w:jc w:val="center"/>
              <w:rPr>
                <w:sz w:val="16"/>
                <w:szCs w:val="16"/>
              </w:rPr>
            </w:pPr>
            <w:r w:rsidRPr="008562E1">
              <w:rPr>
                <w:rFonts w:ascii="Calibri" w:hAnsi="Calibri" w:cs="Calibri"/>
                <w:color w:val="000000"/>
                <w:sz w:val="16"/>
                <w:szCs w:val="16"/>
              </w:rPr>
              <w:t>239.0074</w:t>
            </w:r>
          </w:p>
          <w:p w14:paraId="3A1DA1C6" w14:textId="77777777" w:rsidR="004D1935" w:rsidRPr="008562E1" w:rsidRDefault="004D1935" w:rsidP="00E24DC9">
            <w:pPr>
              <w:jc w:val="center"/>
              <w:rPr>
                <w:sz w:val="16"/>
                <w:szCs w:val="16"/>
              </w:rPr>
            </w:pPr>
            <w:r w:rsidRPr="008562E1">
              <w:rPr>
                <w:rFonts w:ascii="Calibri" w:hAnsi="Calibri" w:cs="Calibri"/>
                <w:color w:val="000000"/>
                <w:sz w:val="16"/>
                <w:szCs w:val="16"/>
              </w:rPr>
              <w:t>239.0437</w:t>
            </w:r>
          </w:p>
          <w:p w14:paraId="1DD3FE33" w14:textId="77777777" w:rsidR="004D1935" w:rsidRPr="008562E1" w:rsidRDefault="004D1935" w:rsidP="00E24DC9">
            <w:pPr>
              <w:jc w:val="center"/>
              <w:rPr>
                <w:sz w:val="16"/>
                <w:szCs w:val="16"/>
              </w:rPr>
            </w:pPr>
            <w:r w:rsidRPr="008562E1">
              <w:rPr>
                <w:rFonts w:ascii="Calibri" w:hAnsi="Calibri" w:cs="Calibri"/>
                <w:color w:val="000000"/>
                <w:sz w:val="16"/>
                <w:szCs w:val="16"/>
              </w:rPr>
              <w:t>239.0801</w:t>
            </w:r>
          </w:p>
          <w:p w14:paraId="68CBB920" w14:textId="77777777" w:rsidR="004D1935" w:rsidRPr="008562E1" w:rsidRDefault="004D1935" w:rsidP="00E24DC9">
            <w:pPr>
              <w:jc w:val="center"/>
              <w:rPr>
                <w:sz w:val="16"/>
                <w:szCs w:val="16"/>
              </w:rPr>
            </w:pPr>
            <w:r w:rsidRPr="008562E1">
              <w:rPr>
                <w:rFonts w:ascii="Calibri" w:hAnsi="Calibri" w:cs="Calibri"/>
                <w:color w:val="000000"/>
                <w:sz w:val="16"/>
                <w:szCs w:val="16"/>
              </w:rPr>
              <w:t>239.1165</w:t>
            </w:r>
          </w:p>
          <w:p w14:paraId="6A89EF38" w14:textId="77777777" w:rsidR="004D1935" w:rsidRPr="008562E1" w:rsidRDefault="004D1935" w:rsidP="00E24DC9">
            <w:pPr>
              <w:jc w:val="center"/>
              <w:rPr>
                <w:sz w:val="16"/>
                <w:szCs w:val="16"/>
              </w:rPr>
            </w:pPr>
            <w:r w:rsidRPr="008562E1">
              <w:rPr>
                <w:rFonts w:ascii="Calibri" w:hAnsi="Calibri" w:cs="Calibri"/>
                <w:color w:val="000000"/>
                <w:sz w:val="16"/>
                <w:szCs w:val="16"/>
              </w:rPr>
              <w:t>239.1530</w:t>
            </w:r>
          </w:p>
          <w:p w14:paraId="48AB1514" w14:textId="77777777" w:rsidR="004D1935" w:rsidRPr="008562E1" w:rsidRDefault="004D1935" w:rsidP="00E24DC9">
            <w:pPr>
              <w:jc w:val="center"/>
              <w:rPr>
                <w:sz w:val="16"/>
                <w:szCs w:val="16"/>
              </w:rPr>
            </w:pPr>
            <w:r w:rsidRPr="008562E1">
              <w:rPr>
                <w:rFonts w:ascii="Calibri" w:hAnsi="Calibri" w:cs="Calibri"/>
                <w:color w:val="000000"/>
                <w:sz w:val="16"/>
                <w:szCs w:val="16"/>
              </w:rPr>
              <w:t>239.0413</w:t>
            </w:r>
          </w:p>
          <w:p w14:paraId="66548305" w14:textId="77777777" w:rsidR="004D1935" w:rsidRPr="008562E1" w:rsidRDefault="004D1935" w:rsidP="00E24DC9">
            <w:pPr>
              <w:jc w:val="center"/>
              <w:rPr>
                <w:sz w:val="16"/>
                <w:szCs w:val="16"/>
              </w:rPr>
            </w:pPr>
            <w:r w:rsidRPr="008562E1">
              <w:rPr>
                <w:rFonts w:ascii="Calibri" w:hAnsi="Calibri" w:cs="Calibri"/>
                <w:color w:val="000000"/>
                <w:sz w:val="16"/>
                <w:szCs w:val="16"/>
              </w:rPr>
              <w:t>239.0777</w:t>
            </w:r>
          </w:p>
          <w:p w14:paraId="53334017" w14:textId="77777777" w:rsidR="004D1935" w:rsidRPr="008562E1" w:rsidRDefault="004D1935" w:rsidP="00E24DC9">
            <w:pPr>
              <w:jc w:val="center"/>
              <w:rPr>
                <w:sz w:val="16"/>
                <w:szCs w:val="16"/>
              </w:rPr>
            </w:pPr>
            <w:r w:rsidRPr="008562E1">
              <w:rPr>
                <w:rFonts w:ascii="Calibri" w:hAnsi="Calibri" w:cs="Calibri"/>
                <w:color w:val="000000"/>
                <w:sz w:val="16"/>
                <w:szCs w:val="16"/>
              </w:rPr>
              <w:t>239.1141</w:t>
            </w:r>
          </w:p>
          <w:p w14:paraId="702E940F" w14:textId="77777777" w:rsidR="004D1935" w:rsidRPr="008562E1" w:rsidRDefault="004D1935" w:rsidP="00E24DC9">
            <w:pPr>
              <w:jc w:val="center"/>
              <w:rPr>
                <w:sz w:val="16"/>
                <w:szCs w:val="16"/>
              </w:rPr>
            </w:pPr>
            <w:r w:rsidRPr="008562E1">
              <w:rPr>
                <w:rFonts w:ascii="Calibri" w:hAnsi="Calibri" w:cs="Calibri"/>
                <w:color w:val="000000"/>
                <w:sz w:val="16"/>
                <w:szCs w:val="16"/>
              </w:rPr>
              <w:t>239.1506</w:t>
            </w:r>
          </w:p>
        </w:tc>
        <w:tc>
          <w:tcPr>
            <w:tcW w:w="2268" w:type="dxa"/>
            <w:vAlign w:val="center"/>
          </w:tcPr>
          <w:p w14:paraId="45F2FE42" w14:textId="77777777" w:rsidR="004D1935" w:rsidRPr="008562E1" w:rsidRDefault="00000000" w:rsidP="00E24DC9">
            <w:pPr>
              <w:jc w:val="center"/>
              <w:rPr>
                <w:sz w:val="16"/>
                <w:szCs w:val="16"/>
              </w:rPr>
            </w:pPr>
            <w:hyperlink r:id="rId132" w:history="1">
              <w:r w:rsidR="004D1935" w:rsidRPr="008562E1">
                <w:rPr>
                  <w:rFonts w:ascii="Calibri" w:hAnsi="Calibri" w:cs="Calibri"/>
                  <w:color w:val="000000"/>
                  <w:sz w:val="16"/>
                  <w:szCs w:val="16"/>
                </w:rPr>
                <w:t>anatalline</w:t>
              </w:r>
            </w:hyperlink>
          </w:p>
        </w:tc>
        <w:tc>
          <w:tcPr>
            <w:tcW w:w="1276" w:type="dxa"/>
            <w:vAlign w:val="center"/>
          </w:tcPr>
          <w:p w14:paraId="1610F8BB" w14:textId="77777777" w:rsidR="004D1935" w:rsidRPr="008562E1" w:rsidRDefault="004D1935" w:rsidP="00E24DC9">
            <w:pPr>
              <w:jc w:val="center"/>
              <w:rPr>
                <w:sz w:val="16"/>
                <w:szCs w:val="16"/>
              </w:rPr>
            </w:pPr>
            <w:r w:rsidRPr="008562E1">
              <w:rPr>
                <w:rFonts w:ascii="Arial" w:hAnsi="Arial" w:cs="Arial"/>
                <w:color w:val="333333"/>
                <w:sz w:val="16"/>
                <w:szCs w:val="16"/>
              </w:rPr>
              <w:t>C</w:t>
            </w:r>
            <w:r w:rsidRPr="008562E1">
              <w:rPr>
                <w:rFonts w:ascii="Arial" w:hAnsi="Arial" w:cs="Arial"/>
                <w:color w:val="333333"/>
                <w:sz w:val="16"/>
                <w:szCs w:val="16"/>
                <w:vertAlign w:val="subscript"/>
              </w:rPr>
              <w:t>15</w:t>
            </w:r>
            <w:r w:rsidRPr="008562E1">
              <w:rPr>
                <w:rFonts w:ascii="Arial" w:hAnsi="Arial" w:cs="Arial"/>
                <w:color w:val="333333"/>
                <w:sz w:val="16"/>
                <w:szCs w:val="16"/>
              </w:rPr>
              <w:t>H</w:t>
            </w:r>
            <w:r w:rsidRPr="008562E1">
              <w:rPr>
                <w:rFonts w:ascii="Arial" w:hAnsi="Arial" w:cs="Arial"/>
                <w:color w:val="333333"/>
                <w:sz w:val="16"/>
                <w:szCs w:val="16"/>
                <w:vertAlign w:val="subscript"/>
              </w:rPr>
              <w:t>17</w:t>
            </w:r>
            <w:r w:rsidRPr="008562E1">
              <w:rPr>
                <w:rFonts w:ascii="Arial" w:hAnsi="Arial" w:cs="Arial"/>
                <w:color w:val="333333"/>
                <w:sz w:val="16"/>
                <w:szCs w:val="16"/>
              </w:rPr>
              <w:t>N</w:t>
            </w:r>
            <w:r w:rsidRPr="008562E1">
              <w:rPr>
                <w:rFonts w:ascii="Arial" w:hAnsi="Arial" w:cs="Arial"/>
                <w:color w:val="333333"/>
                <w:sz w:val="16"/>
                <w:szCs w:val="16"/>
                <w:vertAlign w:val="subscript"/>
              </w:rPr>
              <w:t>3</w:t>
            </w:r>
          </w:p>
        </w:tc>
        <w:tc>
          <w:tcPr>
            <w:tcW w:w="2268" w:type="dxa"/>
            <w:vAlign w:val="center"/>
          </w:tcPr>
          <w:p w14:paraId="2422CDBD" w14:textId="77777777" w:rsidR="004D1935" w:rsidRPr="008562E1" w:rsidRDefault="004D1935" w:rsidP="00E24DC9">
            <w:pPr>
              <w:jc w:val="center"/>
              <w:rPr>
                <w:sz w:val="16"/>
                <w:szCs w:val="16"/>
              </w:rPr>
            </w:pPr>
            <w:r w:rsidRPr="008562E1">
              <w:rPr>
                <w:rFonts w:ascii="Calibri" w:hAnsi="Calibri" w:cs="Calibri"/>
                <w:color w:val="000000"/>
                <w:sz w:val="16"/>
                <w:szCs w:val="16"/>
              </w:rPr>
              <w:t>alkaloid</w:t>
            </w:r>
          </w:p>
        </w:tc>
        <w:tc>
          <w:tcPr>
            <w:tcW w:w="6946" w:type="dxa"/>
            <w:vAlign w:val="center"/>
          </w:tcPr>
          <w:p w14:paraId="663BA127" w14:textId="77777777" w:rsidR="004D1935" w:rsidRPr="008562E1" w:rsidRDefault="004D1935" w:rsidP="00E24DC9">
            <w:pPr>
              <w:jc w:val="center"/>
              <w:rPr>
                <w:sz w:val="16"/>
                <w:szCs w:val="16"/>
              </w:rPr>
            </w:pPr>
            <w:r w:rsidRPr="008562E1">
              <w:rPr>
                <w:rFonts w:ascii="Verdana" w:hAnsi="Verdana" w:cs="Calibri"/>
                <w:color w:val="000000"/>
                <w:sz w:val="16"/>
                <w:szCs w:val="16"/>
              </w:rPr>
              <w:t>Tropane, piperidine and pyridine alkaloid biosynthesis</w:t>
            </w:r>
          </w:p>
        </w:tc>
      </w:tr>
    </w:tbl>
    <w:p w14:paraId="226500B8" w14:textId="77777777" w:rsidR="004D1935" w:rsidRDefault="004D1935" w:rsidP="004D1935"/>
    <w:p w14:paraId="17D94B58" w14:textId="77777777" w:rsidR="004D1935" w:rsidRDefault="004D1935" w:rsidP="004D1935"/>
    <w:p w14:paraId="062C20CD" w14:textId="77777777" w:rsidR="004D1935" w:rsidRDefault="004D1935" w:rsidP="004D1935"/>
    <w:p w14:paraId="65F303EE" w14:textId="77777777" w:rsidR="004D1935" w:rsidRDefault="004D1935" w:rsidP="004D1935"/>
    <w:p w14:paraId="36EAA8CA" w14:textId="77777777" w:rsidR="004D1935" w:rsidRDefault="004D1935" w:rsidP="004D1935">
      <w:pPr>
        <w:autoSpaceDE w:val="0"/>
        <w:autoSpaceDN w:val="0"/>
        <w:adjustRightInd w:val="0"/>
        <w:rPr>
          <w:rFonts w:eastAsiaTheme="minorHAnsi"/>
          <w:sz w:val="16"/>
          <w:szCs w:val="16"/>
        </w:rPr>
      </w:pPr>
      <w:r>
        <w:rPr>
          <w:rFonts w:eastAsiaTheme="minorHAnsi"/>
          <w:sz w:val="16"/>
          <w:szCs w:val="16"/>
        </w:rPr>
        <w:lastRenderedPageBreak/>
        <w:t>Table A 4.18: Discriminant mass bins (337.2) in root organic phase and their associated detected masses looking for compound identification accounts for protonated adduct (H) and K, NA</w:t>
      </w:r>
      <w:r w:rsidRPr="00396597">
        <w:rPr>
          <w:rFonts w:eastAsiaTheme="minorHAnsi"/>
          <w:sz w:val="16"/>
          <w:szCs w:val="16"/>
        </w:rPr>
        <w:t xml:space="preserve"> </w:t>
      </w:r>
      <w:r>
        <w:rPr>
          <w:rFonts w:eastAsiaTheme="minorHAnsi"/>
          <w:sz w:val="16"/>
          <w:szCs w:val="16"/>
        </w:rPr>
        <w:t>in positive mode in the analysis. The putatively identified compounds, their chemical groups, and the associated pathways are displayed.</w:t>
      </w:r>
    </w:p>
    <w:tbl>
      <w:tblPr>
        <w:tblStyle w:val="TableGrid"/>
        <w:tblW w:w="15168" w:type="dxa"/>
        <w:tblInd w:w="-998" w:type="dxa"/>
        <w:tblLook w:val="04A0" w:firstRow="1" w:lastRow="0" w:firstColumn="1" w:lastColumn="0" w:noHBand="0" w:noVBand="1"/>
      </w:tblPr>
      <w:tblGrid>
        <w:gridCol w:w="708"/>
        <w:gridCol w:w="1022"/>
        <w:gridCol w:w="2665"/>
        <w:gridCol w:w="1701"/>
        <w:gridCol w:w="1985"/>
        <w:gridCol w:w="7087"/>
      </w:tblGrid>
      <w:tr w:rsidR="004D1935" w:rsidRPr="00191458" w14:paraId="03A143E3" w14:textId="77777777" w:rsidTr="00E24DC9">
        <w:tc>
          <w:tcPr>
            <w:tcW w:w="708" w:type="dxa"/>
            <w:vAlign w:val="center"/>
          </w:tcPr>
          <w:p w14:paraId="635A135D" w14:textId="77777777" w:rsidR="004D1935" w:rsidRPr="00191458" w:rsidRDefault="004D1935" w:rsidP="00E24DC9">
            <w:pPr>
              <w:jc w:val="center"/>
              <w:rPr>
                <w:color w:val="000000" w:themeColor="text1"/>
                <w:sz w:val="16"/>
                <w:szCs w:val="16"/>
              </w:rPr>
            </w:pPr>
            <w:r w:rsidRPr="00191458">
              <w:rPr>
                <w:color w:val="000000" w:themeColor="text1"/>
                <w:sz w:val="16"/>
                <w:szCs w:val="16"/>
              </w:rPr>
              <w:t>Adduct</w:t>
            </w:r>
          </w:p>
        </w:tc>
        <w:tc>
          <w:tcPr>
            <w:tcW w:w="1022" w:type="dxa"/>
            <w:tcBorders>
              <w:bottom w:val="single" w:sz="4" w:space="0" w:color="auto"/>
            </w:tcBorders>
            <w:vAlign w:val="center"/>
          </w:tcPr>
          <w:p w14:paraId="11A5C9A7" w14:textId="77777777" w:rsidR="004D1935" w:rsidRPr="00191458" w:rsidRDefault="004D1935" w:rsidP="00E24DC9">
            <w:pPr>
              <w:jc w:val="center"/>
              <w:rPr>
                <w:color w:val="000000" w:themeColor="text1"/>
                <w:sz w:val="16"/>
                <w:szCs w:val="16"/>
              </w:rPr>
            </w:pPr>
            <w:r w:rsidRPr="00191458">
              <w:rPr>
                <w:color w:val="000000" w:themeColor="text1"/>
                <w:sz w:val="16"/>
                <w:szCs w:val="16"/>
              </w:rPr>
              <w:t>Mass detected</w:t>
            </w:r>
          </w:p>
        </w:tc>
        <w:tc>
          <w:tcPr>
            <w:tcW w:w="2665" w:type="dxa"/>
            <w:vAlign w:val="center"/>
          </w:tcPr>
          <w:p w14:paraId="2035D09B" w14:textId="77777777" w:rsidR="004D1935" w:rsidRPr="00191458" w:rsidRDefault="004D1935" w:rsidP="00E24DC9">
            <w:pPr>
              <w:jc w:val="center"/>
              <w:rPr>
                <w:color w:val="000000" w:themeColor="text1"/>
                <w:sz w:val="16"/>
                <w:szCs w:val="16"/>
              </w:rPr>
            </w:pPr>
            <w:r w:rsidRPr="00191458">
              <w:rPr>
                <w:rFonts w:asciiTheme="majorBidi" w:hAnsiTheme="majorBidi" w:cstheme="majorBidi"/>
                <w:color w:val="000000" w:themeColor="text1"/>
                <w:sz w:val="16"/>
                <w:szCs w:val="16"/>
              </w:rPr>
              <w:t>COMPOUNDS NAME</w:t>
            </w:r>
          </w:p>
        </w:tc>
        <w:tc>
          <w:tcPr>
            <w:tcW w:w="1701" w:type="dxa"/>
            <w:vAlign w:val="center"/>
          </w:tcPr>
          <w:p w14:paraId="4B9081FB" w14:textId="77777777" w:rsidR="004D1935" w:rsidRPr="00191458" w:rsidRDefault="004D1935" w:rsidP="00E24DC9">
            <w:pPr>
              <w:jc w:val="center"/>
              <w:rPr>
                <w:color w:val="000000" w:themeColor="text1"/>
                <w:sz w:val="16"/>
                <w:szCs w:val="16"/>
              </w:rPr>
            </w:pPr>
            <w:r w:rsidRPr="00191458">
              <w:rPr>
                <w:rFonts w:asciiTheme="majorBidi" w:hAnsiTheme="majorBidi" w:cstheme="majorBidi"/>
                <w:color w:val="000000" w:themeColor="text1"/>
                <w:sz w:val="16"/>
                <w:szCs w:val="16"/>
              </w:rPr>
              <w:t>chemical formula</w:t>
            </w:r>
          </w:p>
        </w:tc>
        <w:tc>
          <w:tcPr>
            <w:tcW w:w="1985" w:type="dxa"/>
            <w:vAlign w:val="center"/>
          </w:tcPr>
          <w:p w14:paraId="01D75274" w14:textId="77777777" w:rsidR="004D1935" w:rsidRPr="00191458" w:rsidRDefault="004D1935" w:rsidP="00E24DC9">
            <w:pPr>
              <w:jc w:val="center"/>
              <w:rPr>
                <w:color w:val="000000" w:themeColor="text1"/>
                <w:sz w:val="16"/>
                <w:szCs w:val="16"/>
              </w:rPr>
            </w:pPr>
            <w:r w:rsidRPr="00191458">
              <w:rPr>
                <w:rFonts w:asciiTheme="majorBidi" w:hAnsiTheme="majorBidi" w:cstheme="majorBidi"/>
                <w:color w:val="000000" w:themeColor="text1"/>
                <w:sz w:val="16"/>
                <w:szCs w:val="16"/>
              </w:rPr>
              <w:t>chemical group</w:t>
            </w:r>
          </w:p>
        </w:tc>
        <w:tc>
          <w:tcPr>
            <w:tcW w:w="7087" w:type="dxa"/>
            <w:vAlign w:val="center"/>
          </w:tcPr>
          <w:p w14:paraId="3C82DE91" w14:textId="77777777" w:rsidR="004D1935" w:rsidRPr="00191458" w:rsidRDefault="004D1935" w:rsidP="00E24DC9">
            <w:pPr>
              <w:jc w:val="center"/>
              <w:rPr>
                <w:color w:val="000000" w:themeColor="text1"/>
                <w:sz w:val="16"/>
                <w:szCs w:val="16"/>
              </w:rPr>
            </w:pPr>
            <w:r w:rsidRPr="00191458">
              <w:rPr>
                <w:rFonts w:asciiTheme="majorBidi" w:hAnsiTheme="majorBidi" w:cstheme="majorBidi"/>
                <w:color w:val="000000" w:themeColor="text1"/>
                <w:sz w:val="16"/>
                <w:szCs w:val="16"/>
              </w:rPr>
              <w:t>pathway</w:t>
            </w:r>
          </w:p>
        </w:tc>
      </w:tr>
      <w:tr w:rsidR="004D1935" w:rsidRPr="00191458" w14:paraId="42FB13A9" w14:textId="77777777" w:rsidTr="00E24DC9">
        <w:tc>
          <w:tcPr>
            <w:tcW w:w="708" w:type="dxa"/>
            <w:vMerge w:val="restart"/>
            <w:vAlign w:val="center"/>
          </w:tcPr>
          <w:p w14:paraId="5CB61276" w14:textId="77777777" w:rsidR="004D1935" w:rsidRPr="00191458" w:rsidRDefault="004D1935" w:rsidP="00E24DC9">
            <w:pPr>
              <w:jc w:val="center"/>
              <w:rPr>
                <w:color w:val="000000" w:themeColor="text1"/>
                <w:sz w:val="16"/>
                <w:szCs w:val="16"/>
              </w:rPr>
            </w:pPr>
          </w:p>
        </w:tc>
        <w:tc>
          <w:tcPr>
            <w:tcW w:w="1022" w:type="dxa"/>
            <w:tcBorders>
              <w:bottom w:val="nil"/>
            </w:tcBorders>
            <w:vAlign w:val="center"/>
          </w:tcPr>
          <w:p w14:paraId="4FEF1F25"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337.1095</w:t>
            </w:r>
          </w:p>
        </w:tc>
        <w:tc>
          <w:tcPr>
            <w:tcW w:w="2665" w:type="dxa"/>
            <w:vMerge w:val="restart"/>
            <w:vAlign w:val="center"/>
          </w:tcPr>
          <w:p w14:paraId="238AA5F6" w14:textId="77777777" w:rsidR="004D1935" w:rsidRPr="00191458" w:rsidRDefault="00000000" w:rsidP="00E24DC9">
            <w:pPr>
              <w:jc w:val="center"/>
              <w:rPr>
                <w:color w:val="000000" w:themeColor="text1"/>
                <w:sz w:val="16"/>
                <w:szCs w:val="16"/>
              </w:rPr>
            </w:pPr>
            <w:hyperlink r:id="rId133" w:history="1">
              <w:r w:rsidR="004D1935" w:rsidRPr="00191458">
                <w:rPr>
                  <w:rFonts w:ascii="Calibri" w:hAnsi="Calibri" w:cs="Calibri"/>
                  <w:b/>
                  <w:bCs/>
                  <w:color w:val="000000" w:themeColor="text1"/>
                  <w:sz w:val="16"/>
                  <w:szCs w:val="16"/>
                </w:rPr>
                <w:t>tabersonine</w:t>
              </w:r>
            </w:hyperlink>
          </w:p>
          <w:p w14:paraId="190D87D7" w14:textId="77777777" w:rsidR="004D1935" w:rsidRPr="00191458" w:rsidRDefault="00000000" w:rsidP="00E24DC9">
            <w:pPr>
              <w:jc w:val="center"/>
              <w:rPr>
                <w:color w:val="000000" w:themeColor="text1"/>
                <w:sz w:val="16"/>
                <w:szCs w:val="16"/>
              </w:rPr>
            </w:pPr>
            <w:hyperlink r:id="rId134" w:history="1">
              <w:r w:rsidR="004D1935" w:rsidRPr="00191458">
                <w:rPr>
                  <w:rFonts w:ascii="Calibri" w:hAnsi="Calibri" w:cs="Calibri"/>
                  <w:b/>
                  <w:bCs/>
                  <w:color w:val="000000" w:themeColor="text1"/>
                  <w:sz w:val="16"/>
                  <w:szCs w:val="16"/>
                </w:rPr>
                <w:t>catharanthine</w:t>
              </w:r>
            </w:hyperlink>
          </w:p>
        </w:tc>
        <w:tc>
          <w:tcPr>
            <w:tcW w:w="1701" w:type="dxa"/>
            <w:vMerge w:val="restart"/>
            <w:vAlign w:val="center"/>
          </w:tcPr>
          <w:p w14:paraId="372102CC" w14:textId="77777777" w:rsidR="004D1935" w:rsidRPr="00191458" w:rsidRDefault="004D1935" w:rsidP="00E24DC9">
            <w:pPr>
              <w:jc w:val="center"/>
              <w:rPr>
                <w:color w:val="000000" w:themeColor="text1"/>
                <w:sz w:val="16"/>
                <w:szCs w:val="16"/>
              </w:rPr>
            </w:pPr>
            <w:r w:rsidRPr="00191458">
              <w:rPr>
                <w:rFonts w:ascii="Arial" w:hAnsi="Arial" w:cs="Arial"/>
                <w:color w:val="000000" w:themeColor="text1"/>
                <w:sz w:val="16"/>
                <w:szCs w:val="16"/>
              </w:rPr>
              <w:t>C</w:t>
            </w:r>
            <w:r w:rsidRPr="00191458">
              <w:rPr>
                <w:rFonts w:ascii="Arial" w:hAnsi="Arial" w:cs="Arial"/>
                <w:color w:val="000000" w:themeColor="text1"/>
                <w:sz w:val="16"/>
                <w:szCs w:val="16"/>
                <w:vertAlign w:val="subscript"/>
              </w:rPr>
              <w:t>21</w:t>
            </w:r>
            <w:r w:rsidRPr="00191458">
              <w:rPr>
                <w:rFonts w:ascii="Arial" w:hAnsi="Arial" w:cs="Arial"/>
                <w:color w:val="000000" w:themeColor="text1"/>
                <w:sz w:val="16"/>
                <w:szCs w:val="16"/>
              </w:rPr>
              <w:t>H</w:t>
            </w:r>
            <w:r w:rsidRPr="00191458">
              <w:rPr>
                <w:rFonts w:ascii="Arial" w:hAnsi="Arial" w:cs="Arial"/>
                <w:color w:val="000000" w:themeColor="text1"/>
                <w:sz w:val="16"/>
                <w:szCs w:val="16"/>
                <w:vertAlign w:val="subscript"/>
              </w:rPr>
              <w:t>25</w:t>
            </w:r>
            <w:r w:rsidRPr="00191458">
              <w:rPr>
                <w:rFonts w:ascii="Arial" w:hAnsi="Arial" w:cs="Arial"/>
                <w:color w:val="000000" w:themeColor="text1"/>
                <w:sz w:val="16"/>
                <w:szCs w:val="16"/>
              </w:rPr>
              <w:t>N</w:t>
            </w:r>
            <w:r w:rsidRPr="00191458">
              <w:rPr>
                <w:rFonts w:ascii="Arial" w:hAnsi="Arial" w:cs="Arial"/>
                <w:color w:val="000000" w:themeColor="text1"/>
                <w:sz w:val="16"/>
                <w:szCs w:val="16"/>
                <w:vertAlign w:val="subscript"/>
              </w:rPr>
              <w:t>2</w:t>
            </w:r>
            <w:r w:rsidRPr="00191458">
              <w:rPr>
                <w:rFonts w:ascii="Arial" w:hAnsi="Arial" w:cs="Arial"/>
                <w:color w:val="000000" w:themeColor="text1"/>
                <w:sz w:val="16"/>
                <w:szCs w:val="16"/>
              </w:rPr>
              <w:t>O</w:t>
            </w:r>
            <w:r w:rsidRPr="00191458">
              <w:rPr>
                <w:rFonts w:ascii="Arial" w:hAnsi="Arial" w:cs="Arial"/>
                <w:color w:val="000000" w:themeColor="text1"/>
                <w:sz w:val="16"/>
                <w:szCs w:val="16"/>
                <w:vertAlign w:val="subscript"/>
              </w:rPr>
              <w:t>2</w:t>
            </w:r>
          </w:p>
          <w:p w14:paraId="08750EB9" w14:textId="77777777" w:rsidR="004D1935" w:rsidRPr="00191458" w:rsidRDefault="004D1935" w:rsidP="00E24DC9">
            <w:pPr>
              <w:jc w:val="center"/>
              <w:rPr>
                <w:color w:val="000000" w:themeColor="text1"/>
                <w:sz w:val="16"/>
                <w:szCs w:val="16"/>
              </w:rPr>
            </w:pPr>
            <w:r w:rsidRPr="00191458">
              <w:rPr>
                <w:rFonts w:ascii="Arial" w:hAnsi="Arial" w:cs="Arial"/>
                <w:color w:val="000000" w:themeColor="text1"/>
                <w:sz w:val="16"/>
                <w:szCs w:val="16"/>
              </w:rPr>
              <w:t>C</w:t>
            </w:r>
            <w:r w:rsidRPr="00191458">
              <w:rPr>
                <w:rFonts w:ascii="Arial" w:hAnsi="Arial" w:cs="Arial"/>
                <w:color w:val="000000" w:themeColor="text1"/>
                <w:sz w:val="16"/>
                <w:szCs w:val="16"/>
                <w:vertAlign w:val="subscript"/>
              </w:rPr>
              <w:t>21</w:t>
            </w:r>
            <w:r w:rsidRPr="00191458">
              <w:rPr>
                <w:rFonts w:ascii="Arial" w:hAnsi="Arial" w:cs="Arial"/>
                <w:color w:val="000000" w:themeColor="text1"/>
                <w:sz w:val="16"/>
                <w:szCs w:val="16"/>
              </w:rPr>
              <w:t>H</w:t>
            </w:r>
            <w:r w:rsidRPr="00191458">
              <w:rPr>
                <w:rFonts w:ascii="Arial" w:hAnsi="Arial" w:cs="Arial"/>
                <w:color w:val="000000" w:themeColor="text1"/>
                <w:sz w:val="16"/>
                <w:szCs w:val="16"/>
                <w:vertAlign w:val="subscript"/>
              </w:rPr>
              <w:t>25</w:t>
            </w:r>
            <w:r w:rsidRPr="00191458">
              <w:rPr>
                <w:rFonts w:ascii="Arial" w:hAnsi="Arial" w:cs="Arial"/>
                <w:color w:val="000000" w:themeColor="text1"/>
                <w:sz w:val="16"/>
                <w:szCs w:val="16"/>
              </w:rPr>
              <w:t>N</w:t>
            </w:r>
            <w:r w:rsidRPr="00191458">
              <w:rPr>
                <w:rFonts w:ascii="Arial" w:hAnsi="Arial" w:cs="Arial"/>
                <w:color w:val="000000" w:themeColor="text1"/>
                <w:sz w:val="16"/>
                <w:szCs w:val="16"/>
                <w:vertAlign w:val="subscript"/>
              </w:rPr>
              <w:t>2</w:t>
            </w:r>
            <w:r w:rsidRPr="00191458">
              <w:rPr>
                <w:rFonts w:ascii="Arial" w:hAnsi="Arial" w:cs="Arial"/>
                <w:color w:val="000000" w:themeColor="text1"/>
                <w:sz w:val="16"/>
                <w:szCs w:val="16"/>
              </w:rPr>
              <w:t>O</w:t>
            </w:r>
            <w:r w:rsidRPr="00191458">
              <w:rPr>
                <w:rFonts w:ascii="Arial" w:hAnsi="Arial" w:cs="Arial"/>
                <w:color w:val="000000" w:themeColor="text1"/>
                <w:sz w:val="16"/>
                <w:szCs w:val="16"/>
                <w:vertAlign w:val="subscript"/>
              </w:rPr>
              <w:t>2</w:t>
            </w:r>
          </w:p>
        </w:tc>
        <w:tc>
          <w:tcPr>
            <w:tcW w:w="1985" w:type="dxa"/>
            <w:vMerge w:val="restart"/>
            <w:vAlign w:val="center"/>
          </w:tcPr>
          <w:p w14:paraId="0DC2950B"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(indole) alkaloids</w:t>
            </w:r>
          </w:p>
          <w:p w14:paraId="7CDC858F"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indole alkaloids</w:t>
            </w:r>
          </w:p>
        </w:tc>
        <w:tc>
          <w:tcPr>
            <w:tcW w:w="7087" w:type="dxa"/>
            <w:vMerge w:val="restart"/>
            <w:vAlign w:val="center"/>
          </w:tcPr>
          <w:p w14:paraId="32FCB27D" w14:textId="77777777" w:rsidR="004D1935" w:rsidRPr="00191458" w:rsidRDefault="004D1935" w:rsidP="00E24DC9">
            <w:pPr>
              <w:jc w:val="center"/>
              <w:rPr>
                <w:rFonts w:ascii="Calibri" w:hAnsi="Calibri" w:cs="Calibri"/>
                <w:b/>
                <w:bCs/>
                <w:color w:val="000000" w:themeColor="text1"/>
                <w:sz w:val="13"/>
                <w:szCs w:val="13"/>
              </w:rPr>
            </w:pPr>
            <w:r w:rsidRPr="00191458">
              <w:rPr>
                <w:rFonts w:ascii="Calibri" w:hAnsi="Calibri" w:cs="Calibri"/>
                <w:b/>
                <w:bCs/>
                <w:color w:val="000000" w:themeColor="text1"/>
                <w:sz w:val="13"/>
                <w:szCs w:val="13"/>
              </w:rPr>
              <w:t>Shikimate pathway/Fatty acid biosynthesis/Jasmonic acid biosynthesis/Riboflavin/Flavanone/Flavonoid/Abscisic acid biosynthesis</w:t>
            </w:r>
            <w:r>
              <w:rPr>
                <w:rFonts w:ascii="Calibri" w:hAnsi="Calibri" w:cs="Calibri"/>
                <w:b/>
                <w:bCs/>
                <w:color w:val="000000" w:themeColor="text1"/>
                <w:sz w:val="13"/>
                <w:szCs w:val="13"/>
              </w:rPr>
              <w:t>/</w:t>
            </w:r>
          </w:p>
          <w:p w14:paraId="235842D9" w14:textId="77777777" w:rsidR="004D1935" w:rsidRPr="00191458" w:rsidRDefault="004D1935" w:rsidP="00E24DC9">
            <w:pPr>
              <w:jc w:val="center"/>
              <w:rPr>
                <w:color w:val="000000" w:themeColor="text1"/>
                <w:sz w:val="13"/>
                <w:szCs w:val="13"/>
              </w:rPr>
            </w:pPr>
            <w:r w:rsidRPr="00191458">
              <w:rPr>
                <w:rFonts w:ascii="Calibri" w:hAnsi="Calibri" w:cs="Calibri"/>
                <w:color w:val="000000" w:themeColor="text1"/>
                <w:sz w:val="13"/>
                <w:szCs w:val="13"/>
              </w:rPr>
              <w:t>indole alkaloids biosynthesis</w:t>
            </w:r>
          </w:p>
          <w:p w14:paraId="0C0945B8" w14:textId="77777777" w:rsidR="004D1935" w:rsidRPr="00191458" w:rsidRDefault="004D1935" w:rsidP="00E24DC9">
            <w:pPr>
              <w:jc w:val="center"/>
              <w:rPr>
                <w:rFonts w:ascii="Calibri" w:hAnsi="Calibri" w:cs="Calibri"/>
                <w:b/>
                <w:bCs/>
                <w:color w:val="000000" w:themeColor="text1"/>
                <w:sz w:val="13"/>
                <w:szCs w:val="13"/>
              </w:rPr>
            </w:pPr>
            <w:r w:rsidRPr="00191458">
              <w:rPr>
                <w:rFonts w:ascii="Calibri" w:hAnsi="Calibri" w:cs="Calibri"/>
                <w:b/>
                <w:bCs/>
                <w:color w:val="000000" w:themeColor="text1"/>
                <w:sz w:val="13"/>
                <w:szCs w:val="13"/>
              </w:rPr>
              <w:t>Shikimate pathway/Fatty acid biosynthesis/Jasmonic acid biosynthesis/Riboflavin/Flavanone/Flavonoid/Abscisic acid biosynthesis</w:t>
            </w:r>
            <w:r>
              <w:rPr>
                <w:rFonts w:ascii="Calibri" w:hAnsi="Calibri" w:cs="Calibri"/>
                <w:b/>
                <w:bCs/>
                <w:color w:val="000000" w:themeColor="text1"/>
                <w:sz w:val="13"/>
                <w:szCs w:val="13"/>
              </w:rPr>
              <w:t>/</w:t>
            </w:r>
          </w:p>
          <w:p w14:paraId="5AC450E0" w14:textId="77777777" w:rsidR="004D1935" w:rsidRPr="00191458" w:rsidRDefault="004D1935" w:rsidP="00E24DC9">
            <w:pPr>
              <w:jc w:val="center"/>
              <w:rPr>
                <w:color w:val="000000" w:themeColor="text1"/>
                <w:sz w:val="13"/>
                <w:szCs w:val="13"/>
              </w:rPr>
            </w:pPr>
            <w:r w:rsidRPr="00191458">
              <w:rPr>
                <w:rFonts w:ascii="Calibri" w:hAnsi="Calibri" w:cs="Calibri"/>
                <w:color w:val="000000" w:themeColor="text1"/>
                <w:sz w:val="13"/>
                <w:szCs w:val="13"/>
              </w:rPr>
              <w:t>indole alkaloids biosynthesis</w:t>
            </w:r>
          </w:p>
          <w:p w14:paraId="385F8195" w14:textId="77777777" w:rsidR="004D1935" w:rsidRPr="00191458" w:rsidRDefault="004D1935" w:rsidP="00E24DC9">
            <w:pPr>
              <w:jc w:val="center"/>
              <w:rPr>
                <w:color w:val="000000" w:themeColor="text1"/>
                <w:sz w:val="16"/>
                <w:szCs w:val="16"/>
              </w:rPr>
            </w:pPr>
          </w:p>
        </w:tc>
      </w:tr>
      <w:tr w:rsidR="004D1935" w:rsidRPr="00191458" w14:paraId="764E40AA" w14:textId="77777777" w:rsidTr="00E24DC9">
        <w:tc>
          <w:tcPr>
            <w:tcW w:w="708" w:type="dxa"/>
            <w:vMerge/>
            <w:vAlign w:val="center"/>
          </w:tcPr>
          <w:p w14:paraId="352E0EC4"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42F93CE9"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337.1496</w:t>
            </w:r>
          </w:p>
        </w:tc>
        <w:tc>
          <w:tcPr>
            <w:tcW w:w="2665" w:type="dxa"/>
            <w:vMerge/>
            <w:vAlign w:val="center"/>
          </w:tcPr>
          <w:p w14:paraId="6EA289F6" w14:textId="77777777" w:rsidR="004D1935" w:rsidRPr="00191458" w:rsidRDefault="004D1935" w:rsidP="00E24DC9">
            <w:pPr>
              <w:jc w:val="center"/>
              <w:rPr>
                <w:color w:val="000000" w:themeColor="text1"/>
                <w:sz w:val="16"/>
                <w:szCs w:val="16"/>
              </w:rPr>
            </w:pPr>
          </w:p>
        </w:tc>
        <w:tc>
          <w:tcPr>
            <w:tcW w:w="1701" w:type="dxa"/>
            <w:vMerge/>
            <w:vAlign w:val="center"/>
          </w:tcPr>
          <w:p w14:paraId="6C93A1F8" w14:textId="77777777" w:rsidR="004D1935" w:rsidRPr="00191458" w:rsidRDefault="004D1935" w:rsidP="00E24DC9">
            <w:pPr>
              <w:jc w:val="center"/>
              <w:rPr>
                <w:color w:val="000000" w:themeColor="text1"/>
                <w:sz w:val="16"/>
                <w:szCs w:val="16"/>
              </w:rPr>
            </w:pPr>
          </w:p>
        </w:tc>
        <w:tc>
          <w:tcPr>
            <w:tcW w:w="1985" w:type="dxa"/>
            <w:vMerge/>
            <w:vAlign w:val="center"/>
          </w:tcPr>
          <w:p w14:paraId="76B98DD1" w14:textId="77777777" w:rsidR="004D1935" w:rsidRPr="00191458" w:rsidRDefault="004D1935" w:rsidP="00E24DC9">
            <w:pPr>
              <w:jc w:val="center"/>
              <w:rPr>
                <w:color w:val="000000" w:themeColor="text1"/>
                <w:sz w:val="16"/>
                <w:szCs w:val="16"/>
              </w:rPr>
            </w:pPr>
          </w:p>
        </w:tc>
        <w:tc>
          <w:tcPr>
            <w:tcW w:w="7087" w:type="dxa"/>
            <w:vMerge/>
            <w:vAlign w:val="center"/>
          </w:tcPr>
          <w:p w14:paraId="47828C54" w14:textId="77777777" w:rsidR="004D1935" w:rsidRPr="00191458" w:rsidRDefault="004D1935" w:rsidP="00E24DC9">
            <w:pPr>
              <w:jc w:val="center"/>
              <w:rPr>
                <w:color w:val="000000" w:themeColor="text1"/>
                <w:sz w:val="16"/>
                <w:szCs w:val="16"/>
              </w:rPr>
            </w:pPr>
          </w:p>
        </w:tc>
      </w:tr>
      <w:tr w:rsidR="004D1935" w:rsidRPr="00191458" w14:paraId="4F1E23FA" w14:textId="77777777" w:rsidTr="00E24DC9">
        <w:tc>
          <w:tcPr>
            <w:tcW w:w="708" w:type="dxa"/>
            <w:vMerge/>
            <w:vAlign w:val="center"/>
          </w:tcPr>
          <w:p w14:paraId="3313A4E8"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13AA2888"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337.1896</w:t>
            </w:r>
          </w:p>
        </w:tc>
        <w:tc>
          <w:tcPr>
            <w:tcW w:w="2665" w:type="dxa"/>
            <w:vMerge/>
            <w:vAlign w:val="center"/>
          </w:tcPr>
          <w:p w14:paraId="01E1B17E" w14:textId="77777777" w:rsidR="004D1935" w:rsidRPr="00191458" w:rsidRDefault="004D1935" w:rsidP="00E24DC9">
            <w:pPr>
              <w:jc w:val="center"/>
              <w:rPr>
                <w:color w:val="000000" w:themeColor="text1"/>
                <w:sz w:val="16"/>
                <w:szCs w:val="16"/>
              </w:rPr>
            </w:pPr>
          </w:p>
        </w:tc>
        <w:tc>
          <w:tcPr>
            <w:tcW w:w="1701" w:type="dxa"/>
            <w:vMerge/>
            <w:vAlign w:val="center"/>
          </w:tcPr>
          <w:p w14:paraId="4A62D835" w14:textId="77777777" w:rsidR="004D1935" w:rsidRPr="00191458" w:rsidRDefault="004D1935" w:rsidP="00E24DC9">
            <w:pPr>
              <w:jc w:val="center"/>
              <w:rPr>
                <w:color w:val="000000" w:themeColor="text1"/>
                <w:sz w:val="16"/>
                <w:szCs w:val="16"/>
              </w:rPr>
            </w:pPr>
          </w:p>
        </w:tc>
        <w:tc>
          <w:tcPr>
            <w:tcW w:w="1985" w:type="dxa"/>
            <w:vMerge/>
            <w:vAlign w:val="center"/>
          </w:tcPr>
          <w:p w14:paraId="4D0D5441" w14:textId="77777777" w:rsidR="004D1935" w:rsidRPr="00191458" w:rsidRDefault="004D1935" w:rsidP="00E24DC9">
            <w:pPr>
              <w:jc w:val="center"/>
              <w:rPr>
                <w:color w:val="000000" w:themeColor="text1"/>
                <w:sz w:val="16"/>
                <w:szCs w:val="16"/>
              </w:rPr>
            </w:pPr>
          </w:p>
        </w:tc>
        <w:tc>
          <w:tcPr>
            <w:tcW w:w="7087" w:type="dxa"/>
            <w:vMerge/>
            <w:vAlign w:val="center"/>
          </w:tcPr>
          <w:p w14:paraId="13661AC8" w14:textId="77777777" w:rsidR="004D1935" w:rsidRPr="00191458" w:rsidRDefault="004D1935" w:rsidP="00E24DC9">
            <w:pPr>
              <w:jc w:val="center"/>
              <w:rPr>
                <w:color w:val="000000" w:themeColor="text1"/>
                <w:sz w:val="16"/>
                <w:szCs w:val="16"/>
              </w:rPr>
            </w:pPr>
          </w:p>
        </w:tc>
      </w:tr>
      <w:tr w:rsidR="004D1935" w:rsidRPr="00191458" w14:paraId="0B14749B" w14:textId="77777777" w:rsidTr="00E24DC9">
        <w:tc>
          <w:tcPr>
            <w:tcW w:w="708" w:type="dxa"/>
            <w:vMerge/>
            <w:vAlign w:val="center"/>
          </w:tcPr>
          <w:p w14:paraId="525705EF"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6F8B930A"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337.2297</w:t>
            </w:r>
          </w:p>
        </w:tc>
        <w:tc>
          <w:tcPr>
            <w:tcW w:w="2665" w:type="dxa"/>
            <w:vMerge/>
            <w:vAlign w:val="center"/>
          </w:tcPr>
          <w:p w14:paraId="5894D214" w14:textId="77777777" w:rsidR="004D1935" w:rsidRPr="00191458" w:rsidRDefault="004D1935" w:rsidP="00E24DC9">
            <w:pPr>
              <w:jc w:val="center"/>
              <w:rPr>
                <w:color w:val="000000" w:themeColor="text1"/>
                <w:sz w:val="16"/>
                <w:szCs w:val="16"/>
              </w:rPr>
            </w:pPr>
          </w:p>
        </w:tc>
        <w:tc>
          <w:tcPr>
            <w:tcW w:w="1701" w:type="dxa"/>
            <w:vMerge/>
            <w:vAlign w:val="center"/>
          </w:tcPr>
          <w:p w14:paraId="604C3563" w14:textId="77777777" w:rsidR="004D1935" w:rsidRPr="00191458" w:rsidRDefault="004D1935" w:rsidP="00E24DC9">
            <w:pPr>
              <w:jc w:val="center"/>
              <w:rPr>
                <w:color w:val="000000" w:themeColor="text1"/>
                <w:sz w:val="16"/>
                <w:szCs w:val="16"/>
              </w:rPr>
            </w:pPr>
          </w:p>
        </w:tc>
        <w:tc>
          <w:tcPr>
            <w:tcW w:w="1985" w:type="dxa"/>
            <w:vMerge/>
            <w:vAlign w:val="center"/>
          </w:tcPr>
          <w:p w14:paraId="66A8F4EC" w14:textId="77777777" w:rsidR="004D1935" w:rsidRPr="00191458" w:rsidRDefault="004D1935" w:rsidP="00E24DC9">
            <w:pPr>
              <w:jc w:val="center"/>
              <w:rPr>
                <w:color w:val="000000" w:themeColor="text1"/>
                <w:sz w:val="16"/>
                <w:szCs w:val="16"/>
              </w:rPr>
            </w:pPr>
          </w:p>
        </w:tc>
        <w:tc>
          <w:tcPr>
            <w:tcW w:w="7087" w:type="dxa"/>
            <w:vMerge/>
            <w:vAlign w:val="center"/>
          </w:tcPr>
          <w:p w14:paraId="7AC8F964" w14:textId="77777777" w:rsidR="004D1935" w:rsidRPr="00191458" w:rsidRDefault="004D1935" w:rsidP="00E24DC9">
            <w:pPr>
              <w:jc w:val="center"/>
              <w:rPr>
                <w:color w:val="000000" w:themeColor="text1"/>
                <w:sz w:val="16"/>
                <w:szCs w:val="16"/>
              </w:rPr>
            </w:pPr>
          </w:p>
        </w:tc>
      </w:tr>
      <w:tr w:rsidR="004D1935" w:rsidRPr="00191458" w14:paraId="24E26399" w14:textId="77777777" w:rsidTr="00E24DC9">
        <w:tc>
          <w:tcPr>
            <w:tcW w:w="708" w:type="dxa"/>
            <w:vMerge/>
            <w:vAlign w:val="center"/>
          </w:tcPr>
          <w:p w14:paraId="2ACA1AC7"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26720E2D"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337.2698</w:t>
            </w:r>
          </w:p>
        </w:tc>
        <w:tc>
          <w:tcPr>
            <w:tcW w:w="2665" w:type="dxa"/>
            <w:vMerge/>
            <w:vAlign w:val="center"/>
          </w:tcPr>
          <w:p w14:paraId="00968B93" w14:textId="77777777" w:rsidR="004D1935" w:rsidRPr="00191458" w:rsidRDefault="004D1935" w:rsidP="00E24DC9">
            <w:pPr>
              <w:jc w:val="center"/>
              <w:rPr>
                <w:color w:val="000000" w:themeColor="text1"/>
                <w:sz w:val="16"/>
                <w:szCs w:val="16"/>
              </w:rPr>
            </w:pPr>
          </w:p>
        </w:tc>
        <w:tc>
          <w:tcPr>
            <w:tcW w:w="1701" w:type="dxa"/>
            <w:vMerge/>
            <w:vAlign w:val="center"/>
          </w:tcPr>
          <w:p w14:paraId="2A7534DC" w14:textId="77777777" w:rsidR="004D1935" w:rsidRPr="00191458" w:rsidRDefault="004D1935" w:rsidP="00E24DC9">
            <w:pPr>
              <w:jc w:val="center"/>
              <w:rPr>
                <w:color w:val="000000" w:themeColor="text1"/>
                <w:sz w:val="16"/>
                <w:szCs w:val="16"/>
              </w:rPr>
            </w:pPr>
          </w:p>
        </w:tc>
        <w:tc>
          <w:tcPr>
            <w:tcW w:w="1985" w:type="dxa"/>
            <w:vMerge/>
            <w:vAlign w:val="center"/>
          </w:tcPr>
          <w:p w14:paraId="6D79A713" w14:textId="77777777" w:rsidR="004D1935" w:rsidRPr="00191458" w:rsidRDefault="004D1935" w:rsidP="00E24DC9">
            <w:pPr>
              <w:jc w:val="center"/>
              <w:rPr>
                <w:color w:val="000000" w:themeColor="text1"/>
                <w:sz w:val="16"/>
                <w:szCs w:val="16"/>
              </w:rPr>
            </w:pPr>
          </w:p>
        </w:tc>
        <w:tc>
          <w:tcPr>
            <w:tcW w:w="7087" w:type="dxa"/>
            <w:vMerge/>
            <w:vAlign w:val="center"/>
          </w:tcPr>
          <w:p w14:paraId="6F0B705C" w14:textId="77777777" w:rsidR="004D1935" w:rsidRPr="00191458" w:rsidRDefault="004D1935" w:rsidP="00E24DC9">
            <w:pPr>
              <w:jc w:val="center"/>
              <w:rPr>
                <w:color w:val="000000" w:themeColor="text1"/>
                <w:sz w:val="16"/>
                <w:szCs w:val="16"/>
              </w:rPr>
            </w:pPr>
          </w:p>
        </w:tc>
      </w:tr>
      <w:tr w:rsidR="004D1935" w:rsidRPr="00191458" w14:paraId="7B20B04B" w14:textId="77777777" w:rsidTr="00E24DC9">
        <w:tc>
          <w:tcPr>
            <w:tcW w:w="708" w:type="dxa"/>
            <w:vMerge/>
            <w:vAlign w:val="center"/>
          </w:tcPr>
          <w:p w14:paraId="1C13A6E5"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38F66F84"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337.1042</w:t>
            </w:r>
          </w:p>
        </w:tc>
        <w:tc>
          <w:tcPr>
            <w:tcW w:w="2665" w:type="dxa"/>
            <w:vMerge/>
            <w:vAlign w:val="center"/>
          </w:tcPr>
          <w:p w14:paraId="6120EA00" w14:textId="77777777" w:rsidR="004D1935" w:rsidRPr="00191458" w:rsidRDefault="004D1935" w:rsidP="00E24DC9">
            <w:pPr>
              <w:jc w:val="center"/>
              <w:rPr>
                <w:color w:val="000000" w:themeColor="text1"/>
                <w:sz w:val="16"/>
                <w:szCs w:val="16"/>
              </w:rPr>
            </w:pPr>
          </w:p>
        </w:tc>
        <w:tc>
          <w:tcPr>
            <w:tcW w:w="1701" w:type="dxa"/>
            <w:vMerge/>
            <w:vAlign w:val="center"/>
          </w:tcPr>
          <w:p w14:paraId="46BDF40A" w14:textId="77777777" w:rsidR="004D1935" w:rsidRPr="00191458" w:rsidRDefault="004D1935" w:rsidP="00E24DC9">
            <w:pPr>
              <w:jc w:val="center"/>
              <w:rPr>
                <w:color w:val="000000" w:themeColor="text1"/>
                <w:sz w:val="16"/>
                <w:szCs w:val="16"/>
              </w:rPr>
            </w:pPr>
          </w:p>
        </w:tc>
        <w:tc>
          <w:tcPr>
            <w:tcW w:w="1985" w:type="dxa"/>
            <w:vMerge/>
            <w:vAlign w:val="center"/>
          </w:tcPr>
          <w:p w14:paraId="00480F02" w14:textId="77777777" w:rsidR="004D1935" w:rsidRPr="00191458" w:rsidRDefault="004D1935" w:rsidP="00E24DC9">
            <w:pPr>
              <w:jc w:val="center"/>
              <w:rPr>
                <w:color w:val="000000" w:themeColor="text1"/>
                <w:sz w:val="16"/>
                <w:szCs w:val="16"/>
              </w:rPr>
            </w:pPr>
          </w:p>
        </w:tc>
        <w:tc>
          <w:tcPr>
            <w:tcW w:w="7087" w:type="dxa"/>
            <w:vMerge/>
            <w:vAlign w:val="center"/>
          </w:tcPr>
          <w:p w14:paraId="67747E5D" w14:textId="77777777" w:rsidR="004D1935" w:rsidRPr="00191458" w:rsidRDefault="004D1935" w:rsidP="00E24DC9">
            <w:pPr>
              <w:jc w:val="center"/>
              <w:rPr>
                <w:color w:val="000000" w:themeColor="text1"/>
                <w:sz w:val="16"/>
                <w:szCs w:val="16"/>
              </w:rPr>
            </w:pPr>
          </w:p>
        </w:tc>
      </w:tr>
      <w:tr w:rsidR="004D1935" w:rsidRPr="00191458" w14:paraId="26FD7B79" w14:textId="77777777" w:rsidTr="00E24DC9">
        <w:tc>
          <w:tcPr>
            <w:tcW w:w="708" w:type="dxa"/>
            <w:vMerge/>
            <w:vAlign w:val="center"/>
          </w:tcPr>
          <w:p w14:paraId="301814CC"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26E2B126"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337.1442</w:t>
            </w:r>
          </w:p>
        </w:tc>
        <w:tc>
          <w:tcPr>
            <w:tcW w:w="2665" w:type="dxa"/>
            <w:vMerge/>
            <w:vAlign w:val="center"/>
          </w:tcPr>
          <w:p w14:paraId="61B2CCE1" w14:textId="77777777" w:rsidR="004D1935" w:rsidRPr="00191458" w:rsidRDefault="004D1935" w:rsidP="00E24DC9">
            <w:pPr>
              <w:jc w:val="center"/>
              <w:rPr>
                <w:color w:val="000000" w:themeColor="text1"/>
                <w:sz w:val="16"/>
                <w:szCs w:val="16"/>
              </w:rPr>
            </w:pPr>
          </w:p>
        </w:tc>
        <w:tc>
          <w:tcPr>
            <w:tcW w:w="1701" w:type="dxa"/>
            <w:vMerge/>
            <w:vAlign w:val="center"/>
          </w:tcPr>
          <w:p w14:paraId="236AB7EB" w14:textId="77777777" w:rsidR="004D1935" w:rsidRPr="00191458" w:rsidRDefault="004D1935" w:rsidP="00E24DC9">
            <w:pPr>
              <w:jc w:val="center"/>
              <w:rPr>
                <w:color w:val="000000" w:themeColor="text1"/>
                <w:sz w:val="16"/>
                <w:szCs w:val="16"/>
              </w:rPr>
            </w:pPr>
          </w:p>
        </w:tc>
        <w:tc>
          <w:tcPr>
            <w:tcW w:w="1985" w:type="dxa"/>
            <w:vMerge/>
            <w:vAlign w:val="center"/>
          </w:tcPr>
          <w:p w14:paraId="501E8697" w14:textId="77777777" w:rsidR="004D1935" w:rsidRPr="00191458" w:rsidRDefault="004D1935" w:rsidP="00E24DC9">
            <w:pPr>
              <w:jc w:val="center"/>
              <w:rPr>
                <w:color w:val="000000" w:themeColor="text1"/>
                <w:sz w:val="16"/>
                <w:szCs w:val="16"/>
              </w:rPr>
            </w:pPr>
          </w:p>
        </w:tc>
        <w:tc>
          <w:tcPr>
            <w:tcW w:w="7087" w:type="dxa"/>
            <w:vMerge/>
            <w:vAlign w:val="center"/>
          </w:tcPr>
          <w:p w14:paraId="3E1E2EFD" w14:textId="77777777" w:rsidR="004D1935" w:rsidRPr="00191458" w:rsidRDefault="004D1935" w:rsidP="00E24DC9">
            <w:pPr>
              <w:jc w:val="center"/>
              <w:rPr>
                <w:color w:val="000000" w:themeColor="text1"/>
                <w:sz w:val="16"/>
                <w:szCs w:val="16"/>
              </w:rPr>
            </w:pPr>
          </w:p>
        </w:tc>
      </w:tr>
      <w:tr w:rsidR="004D1935" w:rsidRPr="00191458" w14:paraId="23B5F364" w14:textId="77777777" w:rsidTr="00E24DC9">
        <w:tc>
          <w:tcPr>
            <w:tcW w:w="708" w:type="dxa"/>
            <w:vMerge/>
            <w:vAlign w:val="center"/>
          </w:tcPr>
          <w:p w14:paraId="6576A972"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144F681D"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337.1843</w:t>
            </w:r>
          </w:p>
        </w:tc>
        <w:tc>
          <w:tcPr>
            <w:tcW w:w="2665" w:type="dxa"/>
            <w:vMerge/>
            <w:vAlign w:val="center"/>
          </w:tcPr>
          <w:p w14:paraId="4559D104" w14:textId="77777777" w:rsidR="004D1935" w:rsidRPr="00191458" w:rsidRDefault="004D1935" w:rsidP="00E24DC9">
            <w:pPr>
              <w:jc w:val="center"/>
              <w:rPr>
                <w:color w:val="000000" w:themeColor="text1"/>
                <w:sz w:val="16"/>
                <w:szCs w:val="16"/>
              </w:rPr>
            </w:pPr>
          </w:p>
        </w:tc>
        <w:tc>
          <w:tcPr>
            <w:tcW w:w="1701" w:type="dxa"/>
            <w:vMerge/>
            <w:vAlign w:val="center"/>
          </w:tcPr>
          <w:p w14:paraId="21B44DF0" w14:textId="77777777" w:rsidR="004D1935" w:rsidRPr="00191458" w:rsidRDefault="004D1935" w:rsidP="00E24DC9">
            <w:pPr>
              <w:jc w:val="center"/>
              <w:rPr>
                <w:color w:val="000000" w:themeColor="text1"/>
                <w:sz w:val="16"/>
                <w:szCs w:val="16"/>
              </w:rPr>
            </w:pPr>
          </w:p>
        </w:tc>
        <w:tc>
          <w:tcPr>
            <w:tcW w:w="1985" w:type="dxa"/>
            <w:vMerge/>
            <w:vAlign w:val="center"/>
          </w:tcPr>
          <w:p w14:paraId="1D1EAE9B" w14:textId="77777777" w:rsidR="004D1935" w:rsidRPr="00191458" w:rsidRDefault="004D1935" w:rsidP="00E24DC9">
            <w:pPr>
              <w:jc w:val="center"/>
              <w:rPr>
                <w:color w:val="000000" w:themeColor="text1"/>
                <w:sz w:val="16"/>
                <w:szCs w:val="16"/>
              </w:rPr>
            </w:pPr>
          </w:p>
        </w:tc>
        <w:tc>
          <w:tcPr>
            <w:tcW w:w="7087" w:type="dxa"/>
            <w:vMerge/>
            <w:vAlign w:val="center"/>
          </w:tcPr>
          <w:p w14:paraId="3D1D2F8C" w14:textId="77777777" w:rsidR="004D1935" w:rsidRPr="00191458" w:rsidRDefault="004D1935" w:rsidP="00E24DC9">
            <w:pPr>
              <w:jc w:val="center"/>
              <w:rPr>
                <w:color w:val="000000" w:themeColor="text1"/>
                <w:sz w:val="16"/>
                <w:szCs w:val="16"/>
              </w:rPr>
            </w:pPr>
          </w:p>
        </w:tc>
      </w:tr>
      <w:tr w:rsidR="004D1935" w:rsidRPr="00191458" w14:paraId="2C69CC18" w14:textId="77777777" w:rsidTr="00E24DC9">
        <w:tc>
          <w:tcPr>
            <w:tcW w:w="708" w:type="dxa"/>
            <w:vMerge/>
            <w:vAlign w:val="center"/>
          </w:tcPr>
          <w:p w14:paraId="1646FB87"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3C2C265C"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337.2244</w:t>
            </w:r>
          </w:p>
        </w:tc>
        <w:tc>
          <w:tcPr>
            <w:tcW w:w="2665" w:type="dxa"/>
            <w:vMerge/>
            <w:vAlign w:val="center"/>
          </w:tcPr>
          <w:p w14:paraId="04C879BB" w14:textId="77777777" w:rsidR="004D1935" w:rsidRPr="00191458" w:rsidRDefault="004D1935" w:rsidP="00E24DC9">
            <w:pPr>
              <w:jc w:val="center"/>
              <w:rPr>
                <w:color w:val="000000" w:themeColor="text1"/>
                <w:sz w:val="16"/>
                <w:szCs w:val="16"/>
              </w:rPr>
            </w:pPr>
          </w:p>
        </w:tc>
        <w:tc>
          <w:tcPr>
            <w:tcW w:w="1701" w:type="dxa"/>
            <w:vMerge/>
            <w:vAlign w:val="center"/>
          </w:tcPr>
          <w:p w14:paraId="19F2BA67" w14:textId="77777777" w:rsidR="004D1935" w:rsidRPr="00191458" w:rsidRDefault="004D1935" w:rsidP="00E24DC9">
            <w:pPr>
              <w:jc w:val="center"/>
              <w:rPr>
                <w:color w:val="000000" w:themeColor="text1"/>
                <w:sz w:val="16"/>
                <w:szCs w:val="16"/>
              </w:rPr>
            </w:pPr>
          </w:p>
        </w:tc>
        <w:tc>
          <w:tcPr>
            <w:tcW w:w="1985" w:type="dxa"/>
            <w:vMerge/>
            <w:vAlign w:val="center"/>
          </w:tcPr>
          <w:p w14:paraId="0FE5AF21" w14:textId="77777777" w:rsidR="004D1935" w:rsidRPr="00191458" w:rsidRDefault="004D1935" w:rsidP="00E24DC9">
            <w:pPr>
              <w:jc w:val="center"/>
              <w:rPr>
                <w:color w:val="000000" w:themeColor="text1"/>
                <w:sz w:val="16"/>
                <w:szCs w:val="16"/>
              </w:rPr>
            </w:pPr>
          </w:p>
        </w:tc>
        <w:tc>
          <w:tcPr>
            <w:tcW w:w="7087" w:type="dxa"/>
            <w:vMerge/>
            <w:vAlign w:val="center"/>
          </w:tcPr>
          <w:p w14:paraId="797C30D1" w14:textId="77777777" w:rsidR="004D1935" w:rsidRPr="00191458" w:rsidRDefault="004D1935" w:rsidP="00E24DC9">
            <w:pPr>
              <w:jc w:val="center"/>
              <w:rPr>
                <w:color w:val="000000" w:themeColor="text1"/>
                <w:sz w:val="16"/>
                <w:szCs w:val="16"/>
              </w:rPr>
            </w:pPr>
          </w:p>
        </w:tc>
      </w:tr>
      <w:tr w:rsidR="004D1935" w:rsidRPr="00191458" w14:paraId="076BCEA1" w14:textId="77777777" w:rsidTr="00E24DC9">
        <w:tc>
          <w:tcPr>
            <w:tcW w:w="708" w:type="dxa"/>
            <w:vMerge/>
            <w:vAlign w:val="center"/>
          </w:tcPr>
          <w:p w14:paraId="71C78C75"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0F64593F"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337.2645</w:t>
            </w:r>
          </w:p>
        </w:tc>
        <w:tc>
          <w:tcPr>
            <w:tcW w:w="2665" w:type="dxa"/>
            <w:vMerge/>
            <w:vAlign w:val="center"/>
          </w:tcPr>
          <w:p w14:paraId="17C0795E" w14:textId="77777777" w:rsidR="004D1935" w:rsidRPr="00191458" w:rsidRDefault="004D1935" w:rsidP="00E24DC9">
            <w:pPr>
              <w:jc w:val="center"/>
              <w:rPr>
                <w:color w:val="000000" w:themeColor="text1"/>
                <w:sz w:val="16"/>
                <w:szCs w:val="16"/>
              </w:rPr>
            </w:pPr>
          </w:p>
        </w:tc>
        <w:tc>
          <w:tcPr>
            <w:tcW w:w="1701" w:type="dxa"/>
            <w:vMerge/>
            <w:vAlign w:val="center"/>
          </w:tcPr>
          <w:p w14:paraId="4DFCB675" w14:textId="77777777" w:rsidR="004D1935" w:rsidRPr="00191458" w:rsidRDefault="004D1935" w:rsidP="00E24DC9">
            <w:pPr>
              <w:jc w:val="center"/>
              <w:rPr>
                <w:color w:val="000000" w:themeColor="text1"/>
                <w:sz w:val="16"/>
                <w:szCs w:val="16"/>
              </w:rPr>
            </w:pPr>
          </w:p>
        </w:tc>
        <w:tc>
          <w:tcPr>
            <w:tcW w:w="1985" w:type="dxa"/>
            <w:vMerge/>
            <w:vAlign w:val="center"/>
          </w:tcPr>
          <w:p w14:paraId="72F07FE4" w14:textId="77777777" w:rsidR="004D1935" w:rsidRPr="00191458" w:rsidRDefault="004D1935" w:rsidP="00E24DC9">
            <w:pPr>
              <w:jc w:val="center"/>
              <w:rPr>
                <w:color w:val="000000" w:themeColor="text1"/>
                <w:sz w:val="16"/>
                <w:szCs w:val="16"/>
              </w:rPr>
            </w:pPr>
          </w:p>
        </w:tc>
        <w:tc>
          <w:tcPr>
            <w:tcW w:w="7087" w:type="dxa"/>
            <w:vMerge/>
            <w:vAlign w:val="center"/>
          </w:tcPr>
          <w:p w14:paraId="0F67426B" w14:textId="77777777" w:rsidR="004D1935" w:rsidRPr="00191458" w:rsidRDefault="004D1935" w:rsidP="00E24DC9">
            <w:pPr>
              <w:jc w:val="center"/>
              <w:rPr>
                <w:color w:val="000000" w:themeColor="text1"/>
                <w:sz w:val="16"/>
                <w:szCs w:val="16"/>
              </w:rPr>
            </w:pPr>
          </w:p>
        </w:tc>
      </w:tr>
      <w:tr w:rsidR="004D1935" w:rsidRPr="00191458" w14:paraId="206274CC" w14:textId="77777777" w:rsidTr="00E24DC9">
        <w:tc>
          <w:tcPr>
            <w:tcW w:w="708" w:type="dxa"/>
            <w:vMerge/>
            <w:vAlign w:val="center"/>
          </w:tcPr>
          <w:p w14:paraId="4DE29C1A"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098B7255"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337.1469</w:t>
            </w:r>
          </w:p>
        </w:tc>
        <w:tc>
          <w:tcPr>
            <w:tcW w:w="2665" w:type="dxa"/>
            <w:vMerge/>
            <w:vAlign w:val="center"/>
          </w:tcPr>
          <w:p w14:paraId="45ADD509" w14:textId="77777777" w:rsidR="004D1935" w:rsidRPr="00191458" w:rsidRDefault="004D1935" w:rsidP="00E24DC9">
            <w:pPr>
              <w:jc w:val="center"/>
              <w:rPr>
                <w:color w:val="000000" w:themeColor="text1"/>
                <w:sz w:val="16"/>
                <w:szCs w:val="16"/>
              </w:rPr>
            </w:pPr>
          </w:p>
        </w:tc>
        <w:tc>
          <w:tcPr>
            <w:tcW w:w="1701" w:type="dxa"/>
            <w:vMerge/>
            <w:vAlign w:val="center"/>
          </w:tcPr>
          <w:p w14:paraId="38D28FEA" w14:textId="77777777" w:rsidR="004D1935" w:rsidRPr="00191458" w:rsidRDefault="004D1935" w:rsidP="00E24DC9">
            <w:pPr>
              <w:jc w:val="center"/>
              <w:rPr>
                <w:color w:val="000000" w:themeColor="text1"/>
                <w:sz w:val="16"/>
                <w:szCs w:val="16"/>
              </w:rPr>
            </w:pPr>
          </w:p>
        </w:tc>
        <w:tc>
          <w:tcPr>
            <w:tcW w:w="1985" w:type="dxa"/>
            <w:vMerge/>
            <w:vAlign w:val="center"/>
          </w:tcPr>
          <w:p w14:paraId="00E7CF17" w14:textId="77777777" w:rsidR="004D1935" w:rsidRPr="00191458" w:rsidRDefault="004D1935" w:rsidP="00E24DC9">
            <w:pPr>
              <w:jc w:val="center"/>
              <w:rPr>
                <w:color w:val="000000" w:themeColor="text1"/>
                <w:sz w:val="16"/>
                <w:szCs w:val="16"/>
              </w:rPr>
            </w:pPr>
          </w:p>
        </w:tc>
        <w:tc>
          <w:tcPr>
            <w:tcW w:w="7087" w:type="dxa"/>
            <w:vMerge/>
            <w:vAlign w:val="center"/>
          </w:tcPr>
          <w:p w14:paraId="580058FB" w14:textId="77777777" w:rsidR="004D1935" w:rsidRPr="00191458" w:rsidRDefault="004D1935" w:rsidP="00E24DC9">
            <w:pPr>
              <w:jc w:val="center"/>
              <w:rPr>
                <w:color w:val="000000" w:themeColor="text1"/>
                <w:sz w:val="16"/>
                <w:szCs w:val="16"/>
              </w:rPr>
            </w:pPr>
          </w:p>
        </w:tc>
      </w:tr>
      <w:tr w:rsidR="004D1935" w:rsidRPr="00191458" w14:paraId="0504D4FB" w14:textId="77777777" w:rsidTr="00E24DC9">
        <w:tc>
          <w:tcPr>
            <w:tcW w:w="708" w:type="dxa"/>
            <w:vMerge/>
            <w:vAlign w:val="center"/>
          </w:tcPr>
          <w:p w14:paraId="7C276C5B"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0F74CC62"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337.1870</w:t>
            </w:r>
          </w:p>
        </w:tc>
        <w:tc>
          <w:tcPr>
            <w:tcW w:w="2665" w:type="dxa"/>
            <w:vMerge/>
            <w:vAlign w:val="center"/>
          </w:tcPr>
          <w:p w14:paraId="0ED17FAE" w14:textId="77777777" w:rsidR="004D1935" w:rsidRPr="00191458" w:rsidRDefault="004D1935" w:rsidP="00E24DC9">
            <w:pPr>
              <w:jc w:val="center"/>
              <w:rPr>
                <w:color w:val="000000" w:themeColor="text1"/>
                <w:sz w:val="16"/>
                <w:szCs w:val="16"/>
              </w:rPr>
            </w:pPr>
          </w:p>
        </w:tc>
        <w:tc>
          <w:tcPr>
            <w:tcW w:w="1701" w:type="dxa"/>
            <w:vMerge/>
            <w:vAlign w:val="center"/>
          </w:tcPr>
          <w:p w14:paraId="161BF2E8" w14:textId="77777777" w:rsidR="004D1935" w:rsidRPr="00191458" w:rsidRDefault="004D1935" w:rsidP="00E24DC9">
            <w:pPr>
              <w:jc w:val="center"/>
              <w:rPr>
                <w:color w:val="000000" w:themeColor="text1"/>
                <w:sz w:val="16"/>
                <w:szCs w:val="16"/>
              </w:rPr>
            </w:pPr>
          </w:p>
        </w:tc>
        <w:tc>
          <w:tcPr>
            <w:tcW w:w="1985" w:type="dxa"/>
            <w:vMerge/>
            <w:vAlign w:val="center"/>
          </w:tcPr>
          <w:p w14:paraId="494266B4" w14:textId="77777777" w:rsidR="004D1935" w:rsidRPr="00191458" w:rsidRDefault="004D1935" w:rsidP="00E24DC9">
            <w:pPr>
              <w:jc w:val="center"/>
              <w:rPr>
                <w:color w:val="000000" w:themeColor="text1"/>
                <w:sz w:val="16"/>
                <w:szCs w:val="16"/>
              </w:rPr>
            </w:pPr>
          </w:p>
        </w:tc>
        <w:tc>
          <w:tcPr>
            <w:tcW w:w="7087" w:type="dxa"/>
            <w:vMerge/>
            <w:vAlign w:val="center"/>
          </w:tcPr>
          <w:p w14:paraId="136AD89E" w14:textId="77777777" w:rsidR="004D1935" w:rsidRPr="00191458" w:rsidRDefault="004D1935" w:rsidP="00E24DC9">
            <w:pPr>
              <w:jc w:val="center"/>
              <w:rPr>
                <w:color w:val="000000" w:themeColor="text1"/>
                <w:sz w:val="16"/>
                <w:szCs w:val="16"/>
              </w:rPr>
            </w:pPr>
          </w:p>
        </w:tc>
      </w:tr>
      <w:tr w:rsidR="004D1935" w:rsidRPr="00191458" w14:paraId="5313F7C7" w14:textId="77777777" w:rsidTr="00E24DC9">
        <w:tc>
          <w:tcPr>
            <w:tcW w:w="708" w:type="dxa"/>
            <w:vMerge/>
            <w:vAlign w:val="center"/>
          </w:tcPr>
          <w:p w14:paraId="256B61C6"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2392B270"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337.2271</w:t>
            </w:r>
          </w:p>
        </w:tc>
        <w:tc>
          <w:tcPr>
            <w:tcW w:w="2665" w:type="dxa"/>
            <w:vMerge/>
            <w:vAlign w:val="center"/>
          </w:tcPr>
          <w:p w14:paraId="4DD42D6E" w14:textId="77777777" w:rsidR="004D1935" w:rsidRPr="00191458" w:rsidRDefault="004D1935" w:rsidP="00E24DC9">
            <w:pPr>
              <w:jc w:val="center"/>
              <w:rPr>
                <w:color w:val="000000" w:themeColor="text1"/>
                <w:sz w:val="16"/>
                <w:szCs w:val="16"/>
              </w:rPr>
            </w:pPr>
          </w:p>
        </w:tc>
        <w:tc>
          <w:tcPr>
            <w:tcW w:w="1701" w:type="dxa"/>
            <w:vMerge/>
            <w:vAlign w:val="center"/>
          </w:tcPr>
          <w:p w14:paraId="5FDFBE62" w14:textId="77777777" w:rsidR="004D1935" w:rsidRPr="00191458" w:rsidRDefault="004D1935" w:rsidP="00E24DC9">
            <w:pPr>
              <w:jc w:val="center"/>
              <w:rPr>
                <w:color w:val="000000" w:themeColor="text1"/>
                <w:sz w:val="16"/>
                <w:szCs w:val="16"/>
              </w:rPr>
            </w:pPr>
          </w:p>
        </w:tc>
        <w:tc>
          <w:tcPr>
            <w:tcW w:w="1985" w:type="dxa"/>
            <w:vMerge/>
            <w:vAlign w:val="center"/>
          </w:tcPr>
          <w:p w14:paraId="2597A53F" w14:textId="77777777" w:rsidR="004D1935" w:rsidRPr="00191458" w:rsidRDefault="004D1935" w:rsidP="00E24DC9">
            <w:pPr>
              <w:jc w:val="center"/>
              <w:rPr>
                <w:color w:val="000000" w:themeColor="text1"/>
                <w:sz w:val="16"/>
                <w:szCs w:val="16"/>
              </w:rPr>
            </w:pPr>
          </w:p>
        </w:tc>
        <w:tc>
          <w:tcPr>
            <w:tcW w:w="7087" w:type="dxa"/>
            <w:vMerge/>
            <w:vAlign w:val="center"/>
          </w:tcPr>
          <w:p w14:paraId="45AB2E17" w14:textId="77777777" w:rsidR="004D1935" w:rsidRPr="00191458" w:rsidRDefault="004D1935" w:rsidP="00E24DC9">
            <w:pPr>
              <w:jc w:val="center"/>
              <w:rPr>
                <w:color w:val="000000" w:themeColor="text1"/>
                <w:sz w:val="16"/>
                <w:szCs w:val="16"/>
              </w:rPr>
            </w:pPr>
          </w:p>
        </w:tc>
      </w:tr>
      <w:tr w:rsidR="004D1935" w:rsidRPr="00191458" w14:paraId="30C1C511" w14:textId="77777777" w:rsidTr="00E24DC9">
        <w:tc>
          <w:tcPr>
            <w:tcW w:w="708" w:type="dxa"/>
            <w:vMerge/>
            <w:vAlign w:val="center"/>
          </w:tcPr>
          <w:p w14:paraId="40157BD0"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133BB155"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337.2672</w:t>
            </w:r>
          </w:p>
        </w:tc>
        <w:tc>
          <w:tcPr>
            <w:tcW w:w="2665" w:type="dxa"/>
            <w:vMerge/>
            <w:vAlign w:val="center"/>
          </w:tcPr>
          <w:p w14:paraId="740ECA64" w14:textId="77777777" w:rsidR="004D1935" w:rsidRPr="00191458" w:rsidRDefault="004D1935" w:rsidP="00E24DC9">
            <w:pPr>
              <w:jc w:val="center"/>
              <w:rPr>
                <w:color w:val="000000" w:themeColor="text1"/>
                <w:sz w:val="16"/>
                <w:szCs w:val="16"/>
              </w:rPr>
            </w:pPr>
          </w:p>
        </w:tc>
        <w:tc>
          <w:tcPr>
            <w:tcW w:w="1701" w:type="dxa"/>
            <w:vMerge/>
            <w:vAlign w:val="center"/>
          </w:tcPr>
          <w:p w14:paraId="7677473A" w14:textId="77777777" w:rsidR="004D1935" w:rsidRPr="00191458" w:rsidRDefault="004D1935" w:rsidP="00E24DC9">
            <w:pPr>
              <w:jc w:val="center"/>
              <w:rPr>
                <w:color w:val="000000" w:themeColor="text1"/>
                <w:sz w:val="16"/>
                <w:szCs w:val="16"/>
              </w:rPr>
            </w:pPr>
          </w:p>
        </w:tc>
        <w:tc>
          <w:tcPr>
            <w:tcW w:w="1985" w:type="dxa"/>
            <w:vMerge/>
            <w:vAlign w:val="center"/>
          </w:tcPr>
          <w:p w14:paraId="58F4614C" w14:textId="77777777" w:rsidR="004D1935" w:rsidRPr="00191458" w:rsidRDefault="004D1935" w:rsidP="00E24DC9">
            <w:pPr>
              <w:jc w:val="center"/>
              <w:rPr>
                <w:color w:val="000000" w:themeColor="text1"/>
                <w:sz w:val="16"/>
                <w:szCs w:val="16"/>
              </w:rPr>
            </w:pPr>
          </w:p>
        </w:tc>
        <w:tc>
          <w:tcPr>
            <w:tcW w:w="7087" w:type="dxa"/>
            <w:vMerge/>
            <w:vAlign w:val="center"/>
          </w:tcPr>
          <w:p w14:paraId="324589BC" w14:textId="77777777" w:rsidR="004D1935" w:rsidRPr="00191458" w:rsidRDefault="004D1935" w:rsidP="00E24DC9">
            <w:pPr>
              <w:jc w:val="center"/>
              <w:rPr>
                <w:color w:val="000000" w:themeColor="text1"/>
                <w:sz w:val="16"/>
                <w:szCs w:val="16"/>
              </w:rPr>
            </w:pPr>
          </w:p>
        </w:tc>
      </w:tr>
      <w:tr w:rsidR="004D1935" w:rsidRPr="00191458" w14:paraId="140FED82" w14:textId="77777777" w:rsidTr="00E24DC9">
        <w:tc>
          <w:tcPr>
            <w:tcW w:w="708" w:type="dxa"/>
            <w:vMerge/>
            <w:vAlign w:val="center"/>
          </w:tcPr>
          <w:p w14:paraId="14B1F9DD"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0ACB6137"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337.1069</w:t>
            </w:r>
          </w:p>
        </w:tc>
        <w:tc>
          <w:tcPr>
            <w:tcW w:w="2665" w:type="dxa"/>
            <w:vMerge/>
            <w:vAlign w:val="center"/>
          </w:tcPr>
          <w:p w14:paraId="375D2ADC" w14:textId="77777777" w:rsidR="004D1935" w:rsidRPr="00191458" w:rsidRDefault="004D1935" w:rsidP="00E24DC9">
            <w:pPr>
              <w:jc w:val="center"/>
              <w:rPr>
                <w:color w:val="000000" w:themeColor="text1"/>
                <w:sz w:val="16"/>
                <w:szCs w:val="16"/>
              </w:rPr>
            </w:pPr>
          </w:p>
        </w:tc>
        <w:tc>
          <w:tcPr>
            <w:tcW w:w="1701" w:type="dxa"/>
            <w:vMerge/>
            <w:vAlign w:val="center"/>
          </w:tcPr>
          <w:p w14:paraId="0C421663" w14:textId="77777777" w:rsidR="004D1935" w:rsidRPr="00191458" w:rsidRDefault="004D1935" w:rsidP="00E24DC9">
            <w:pPr>
              <w:jc w:val="center"/>
              <w:rPr>
                <w:color w:val="000000" w:themeColor="text1"/>
                <w:sz w:val="16"/>
                <w:szCs w:val="16"/>
              </w:rPr>
            </w:pPr>
          </w:p>
        </w:tc>
        <w:tc>
          <w:tcPr>
            <w:tcW w:w="1985" w:type="dxa"/>
            <w:vMerge/>
            <w:vAlign w:val="center"/>
          </w:tcPr>
          <w:p w14:paraId="5E618CFC" w14:textId="77777777" w:rsidR="004D1935" w:rsidRPr="00191458" w:rsidRDefault="004D1935" w:rsidP="00E24DC9">
            <w:pPr>
              <w:jc w:val="center"/>
              <w:rPr>
                <w:color w:val="000000" w:themeColor="text1"/>
                <w:sz w:val="16"/>
                <w:szCs w:val="16"/>
              </w:rPr>
            </w:pPr>
          </w:p>
        </w:tc>
        <w:tc>
          <w:tcPr>
            <w:tcW w:w="7087" w:type="dxa"/>
            <w:vMerge/>
            <w:vAlign w:val="center"/>
          </w:tcPr>
          <w:p w14:paraId="5F6A8227" w14:textId="77777777" w:rsidR="004D1935" w:rsidRPr="00191458" w:rsidRDefault="004D1935" w:rsidP="00E24DC9">
            <w:pPr>
              <w:jc w:val="center"/>
              <w:rPr>
                <w:color w:val="000000" w:themeColor="text1"/>
                <w:sz w:val="16"/>
                <w:szCs w:val="16"/>
              </w:rPr>
            </w:pPr>
          </w:p>
        </w:tc>
      </w:tr>
      <w:tr w:rsidR="004D1935" w:rsidRPr="00191458" w14:paraId="194CAA09" w14:textId="77777777" w:rsidTr="00E24DC9">
        <w:tc>
          <w:tcPr>
            <w:tcW w:w="708" w:type="dxa"/>
            <w:vMerge/>
            <w:vAlign w:val="center"/>
          </w:tcPr>
          <w:p w14:paraId="421757D0" w14:textId="77777777" w:rsidR="004D1935" w:rsidRPr="00191458" w:rsidRDefault="004D1935" w:rsidP="00E24DC9">
            <w:pPr>
              <w:jc w:val="center"/>
              <w:rPr>
                <w:color w:val="000000" w:themeColor="text1"/>
                <w:sz w:val="16"/>
                <w:szCs w:val="16"/>
              </w:rPr>
            </w:pPr>
          </w:p>
        </w:tc>
        <w:tc>
          <w:tcPr>
            <w:tcW w:w="1022" w:type="dxa"/>
            <w:tcBorders>
              <w:top w:val="nil"/>
              <w:bottom w:val="single" w:sz="4" w:space="0" w:color="auto"/>
            </w:tcBorders>
            <w:vAlign w:val="center"/>
          </w:tcPr>
          <w:p w14:paraId="14909A43"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337.0935</w:t>
            </w:r>
          </w:p>
        </w:tc>
        <w:tc>
          <w:tcPr>
            <w:tcW w:w="2665" w:type="dxa"/>
            <w:vMerge/>
            <w:vAlign w:val="center"/>
          </w:tcPr>
          <w:p w14:paraId="0A7AABB3" w14:textId="77777777" w:rsidR="004D1935" w:rsidRPr="00191458" w:rsidRDefault="004D1935" w:rsidP="00E24DC9">
            <w:pPr>
              <w:jc w:val="center"/>
              <w:rPr>
                <w:color w:val="000000" w:themeColor="text1"/>
                <w:sz w:val="16"/>
                <w:szCs w:val="16"/>
              </w:rPr>
            </w:pPr>
          </w:p>
        </w:tc>
        <w:tc>
          <w:tcPr>
            <w:tcW w:w="1701" w:type="dxa"/>
            <w:vMerge/>
            <w:vAlign w:val="center"/>
          </w:tcPr>
          <w:p w14:paraId="1F199DB6" w14:textId="77777777" w:rsidR="004D1935" w:rsidRPr="00191458" w:rsidRDefault="004D1935" w:rsidP="00E24DC9">
            <w:pPr>
              <w:jc w:val="center"/>
              <w:rPr>
                <w:color w:val="000000" w:themeColor="text1"/>
                <w:sz w:val="16"/>
                <w:szCs w:val="16"/>
              </w:rPr>
            </w:pPr>
          </w:p>
        </w:tc>
        <w:tc>
          <w:tcPr>
            <w:tcW w:w="1985" w:type="dxa"/>
            <w:vMerge/>
            <w:vAlign w:val="center"/>
          </w:tcPr>
          <w:p w14:paraId="34C424FC" w14:textId="77777777" w:rsidR="004D1935" w:rsidRPr="00191458" w:rsidRDefault="004D1935" w:rsidP="00E24DC9">
            <w:pPr>
              <w:jc w:val="center"/>
              <w:rPr>
                <w:color w:val="000000" w:themeColor="text1"/>
                <w:sz w:val="16"/>
                <w:szCs w:val="16"/>
              </w:rPr>
            </w:pPr>
          </w:p>
        </w:tc>
        <w:tc>
          <w:tcPr>
            <w:tcW w:w="7087" w:type="dxa"/>
            <w:vMerge/>
            <w:vAlign w:val="center"/>
          </w:tcPr>
          <w:p w14:paraId="63CBB787" w14:textId="77777777" w:rsidR="004D1935" w:rsidRPr="00191458" w:rsidRDefault="004D1935" w:rsidP="00E24DC9">
            <w:pPr>
              <w:jc w:val="center"/>
              <w:rPr>
                <w:color w:val="000000" w:themeColor="text1"/>
                <w:sz w:val="16"/>
                <w:szCs w:val="16"/>
              </w:rPr>
            </w:pPr>
          </w:p>
        </w:tc>
      </w:tr>
      <w:tr w:rsidR="004D1935" w:rsidRPr="00191458" w14:paraId="42DB51BD" w14:textId="77777777" w:rsidTr="00E24DC9">
        <w:tc>
          <w:tcPr>
            <w:tcW w:w="708" w:type="dxa"/>
            <w:vMerge w:val="restart"/>
            <w:vAlign w:val="center"/>
          </w:tcPr>
          <w:p w14:paraId="2D23D5A4" w14:textId="77777777" w:rsidR="004D1935" w:rsidRPr="00191458" w:rsidRDefault="004D1935" w:rsidP="00E24DC9">
            <w:pPr>
              <w:jc w:val="center"/>
              <w:rPr>
                <w:color w:val="000000" w:themeColor="text1"/>
                <w:sz w:val="16"/>
                <w:szCs w:val="16"/>
              </w:rPr>
            </w:pPr>
            <w:r w:rsidRPr="00191458">
              <w:rPr>
                <w:color w:val="000000" w:themeColor="text1"/>
                <w:sz w:val="16"/>
                <w:szCs w:val="16"/>
              </w:rPr>
              <w:t>H</w:t>
            </w:r>
          </w:p>
        </w:tc>
        <w:tc>
          <w:tcPr>
            <w:tcW w:w="1022" w:type="dxa"/>
            <w:tcBorders>
              <w:bottom w:val="nil"/>
            </w:tcBorders>
            <w:vAlign w:val="center"/>
          </w:tcPr>
          <w:p w14:paraId="52C7BB29"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336.1017</w:t>
            </w:r>
          </w:p>
        </w:tc>
        <w:tc>
          <w:tcPr>
            <w:tcW w:w="2665" w:type="dxa"/>
            <w:vMerge w:val="restart"/>
            <w:vAlign w:val="center"/>
          </w:tcPr>
          <w:p w14:paraId="5363F1C7" w14:textId="77777777" w:rsidR="004D1935" w:rsidRPr="00191458" w:rsidRDefault="00000000" w:rsidP="00E24DC9">
            <w:pPr>
              <w:jc w:val="center"/>
              <w:rPr>
                <w:color w:val="000000" w:themeColor="text1"/>
                <w:sz w:val="16"/>
                <w:szCs w:val="16"/>
              </w:rPr>
            </w:pPr>
            <w:hyperlink r:id="rId135" w:history="1">
              <w:r w:rsidR="004D1935" w:rsidRPr="00191458">
                <w:rPr>
                  <w:rFonts w:ascii="Calibri" w:hAnsi="Calibri" w:cs="Calibri"/>
                  <w:b/>
                  <w:bCs/>
                  <w:color w:val="000000" w:themeColor="text1"/>
                  <w:sz w:val="16"/>
                  <w:szCs w:val="16"/>
                </w:rPr>
                <w:t>glyceollin V</w:t>
              </w:r>
            </w:hyperlink>
          </w:p>
          <w:p w14:paraId="3C3F4FFC" w14:textId="77777777" w:rsidR="004D1935" w:rsidRPr="00191458" w:rsidRDefault="00000000" w:rsidP="00E24DC9">
            <w:pPr>
              <w:jc w:val="center"/>
              <w:rPr>
                <w:color w:val="000000" w:themeColor="text1"/>
                <w:sz w:val="16"/>
                <w:szCs w:val="16"/>
              </w:rPr>
            </w:pPr>
            <w:hyperlink r:id="rId136" w:history="1">
              <w:r w:rsidR="004D1935" w:rsidRPr="00191458">
                <w:rPr>
                  <w:rFonts w:ascii="Calibri" w:hAnsi="Calibri" w:cs="Calibri"/>
                  <w:b/>
                  <w:bCs/>
                  <w:color w:val="000000" w:themeColor="text1"/>
                  <w:sz w:val="16"/>
                  <w:szCs w:val="16"/>
                </w:rPr>
                <w:t>palmitoyl phosphate</w:t>
              </w:r>
            </w:hyperlink>
          </w:p>
          <w:p w14:paraId="63EC5794" w14:textId="77777777" w:rsidR="004D1935" w:rsidRPr="00191458" w:rsidRDefault="00000000" w:rsidP="00E24DC9">
            <w:pPr>
              <w:jc w:val="center"/>
              <w:rPr>
                <w:color w:val="000000" w:themeColor="text1"/>
                <w:sz w:val="16"/>
                <w:szCs w:val="16"/>
              </w:rPr>
            </w:pPr>
            <w:hyperlink r:id="rId137" w:history="1">
              <w:r w:rsidR="004D1935" w:rsidRPr="00191458">
                <w:rPr>
                  <w:rFonts w:ascii="Calibri" w:hAnsi="Calibri" w:cs="Calibri"/>
                  <w:b/>
                  <w:bCs/>
                  <w:color w:val="000000" w:themeColor="text1"/>
                  <w:sz w:val="16"/>
                  <w:szCs w:val="16"/>
                </w:rPr>
                <w:t xml:space="preserve">prostaglandin </w:t>
              </w:r>
              <w:r w:rsidR="004D1935" w:rsidRPr="00191458">
                <w:rPr>
                  <w:rFonts w:ascii="Calibri (Body)" w:hAnsi="Calibri (Body)" w:cs="Calibri"/>
                  <w:b/>
                  <w:bCs/>
                  <w:color w:val="000000" w:themeColor="text1"/>
                  <w:sz w:val="16"/>
                  <w:szCs w:val="16"/>
                </w:rPr>
                <w:t>A1</w:t>
              </w:r>
            </w:hyperlink>
          </w:p>
          <w:p w14:paraId="7CE8AB38" w14:textId="77777777" w:rsidR="004D1935" w:rsidRPr="00191458" w:rsidRDefault="00000000" w:rsidP="00E24DC9">
            <w:pPr>
              <w:jc w:val="center"/>
              <w:rPr>
                <w:color w:val="000000" w:themeColor="text1"/>
                <w:sz w:val="16"/>
                <w:szCs w:val="16"/>
              </w:rPr>
            </w:pPr>
            <w:hyperlink r:id="rId138" w:history="1">
              <w:r w:rsidR="004D1935" w:rsidRPr="00191458">
                <w:rPr>
                  <w:rFonts w:ascii="Calibri" w:hAnsi="Calibri" w:cs="Calibri"/>
                  <w:b/>
                  <w:bCs/>
                  <w:color w:val="000000" w:themeColor="text1"/>
                  <w:sz w:val="16"/>
                  <w:szCs w:val="16"/>
                </w:rPr>
                <w:t xml:space="preserve">prostaglandin </w:t>
              </w:r>
              <w:r w:rsidR="004D1935" w:rsidRPr="00191458">
                <w:rPr>
                  <w:rFonts w:ascii="Calibri (Body)" w:hAnsi="Calibri (Body)" w:cs="Calibri"/>
                  <w:b/>
                  <w:bCs/>
                  <w:color w:val="000000" w:themeColor="text1"/>
                  <w:sz w:val="16"/>
                  <w:szCs w:val="16"/>
                </w:rPr>
                <w:t>C1</w:t>
              </w:r>
            </w:hyperlink>
          </w:p>
          <w:p w14:paraId="04FD771D" w14:textId="77777777" w:rsidR="004D1935" w:rsidRPr="00191458" w:rsidRDefault="00000000" w:rsidP="00E24DC9">
            <w:pPr>
              <w:jc w:val="center"/>
              <w:rPr>
                <w:color w:val="000000" w:themeColor="text1"/>
                <w:sz w:val="16"/>
                <w:szCs w:val="16"/>
              </w:rPr>
            </w:pPr>
            <w:hyperlink r:id="rId139" w:history="1">
              <w:r w:rsidR="004D1935" w:rsidRPr="00191458">
                <w:rPr>
                  <w:rFonts w:ascii="Calibri" w:hAnsi="Calibri" w:cs="Calibri"/>
                  <w:b/>
                  <w:bCs/>
                  <w:color w:val="000000" w:themeColor="text1"/>
                  <w:sz w:val="16"/>
                  <w:szCs w:val="16"/>
                </w:rPr>
                <w:t>leukotriene B4</w:t>
              </w:r>
            </w:hyperlink>
          </w:p>
          <w:p w14:paraId="0ACF3914" w14:textId="77777777" w:rsidR="004D1935" w:rsidRPr="00191458" w:rsidRDefault="00000000" w:rsidP="00E24DC9">
            <w:pPr>
              <w:jc w:val="center"/>
              <w:rPr>
                <w:color w:val="000000" w:themeColor="text1"/>
                <w:sz w:val="16"/>
                <w:szCs w:val="16"/>
              </w:rPr>
            </w:pPr>
            <w:hyperlink r:id="rId140" w:history="1">
              <w:r w:rsidR="004D1935" w:rsidRPr="00191458">
                <w:rPr>
                  <w:rFonts w:ascii="Calibri" w:hAnsi="Calibri" w:cs="Calibri"/>
                  <w:b/>
                  <w:bCs/>
                  <w:color w:val="000000" w:themeColor="text1"/>
                  <w:sz w:val="16"/>
                  <w:szCs w:val="16"/>
                </w:rPr>
                <w:t>berberine</w:t>
              </w:r>
            </w:hyperlink>
          </w:p>
        </w:tc>
        <w:tc>
          <w:tcPr>
            <w:tcW w:w="1701" w:type="dxa"/>
            <w:vMerge w:val="restart"/>
            <w:vAlign w:val="center"/>
          </w:tcPr>
          <w:p w14:paraId="4ACD67D1" w14:textId="77777777" w:rsidR="004D1935" w:rsidRPr="00191458" w:rsidRDefault="004D1935" w:rsidP="00E24DC9">
            <w:pPr>
              <w:jc w:val="center"/>
              <w:rPr>
                <w:color w:val="000000" w:themeColor="text1"/>
                <w:sz w:val="16"/>
                <w:szCs w:val="16"/>
              </w:rPr>
            </w:pPr>
            <w:r w:rsidRPr="00191458">
              <w:rPr>
                <w:rFonts w:ascii="Arial" w:hAnsi="Arial" w:cs="Arial"/>
                <w:color w:val="000000" w:themeColor="text1"/>
                <w:sz w:val="16"/>
                <w:szCs w:val="16"/>
              </w:rPr>
              <w:t>C</w:t>
            </w:r>
            <w:r w:rsidRPr="00191458">
              <w:rPr>
                <w:rFonts w:ascii="Arial" w:hAnsi="Arial" w:cs="Arial"/>
                <w:color w:val="000000" w:themeColor="text1"/>
                <w:sz w:val="16"/>
                <w:szCs w:val="16"/>
                <w:vertAlign w:val="subscript"/>
              </w:rPr>
              <w:t>20</w:t>
            </w:r>
            <w:r w:rsidRPr="00191458">
              <w:rPr>
                <w:rFonts w:ascii="Arial" w:hAnsi="Arial" w:cs="Arial"/>
                <w:color w:val="000000" w:themeColor="text1"/>
                <w:sz w:val="16"/>
                <w:szCs w:val="16"/>
              </w:rPr>
              <w:t>H</w:t>
            </w:r>
            <w:r w:rsidRPr="00191458">
              <w:rPr>
                <w:rFonts w:ascii="Arial" w:hAnsi="Arial" w:cs="Arial"/>
                <w:color w:val="000000" w:themeColor="text1"/>
                <w:sz w:val="16"/>
                <w:szCs w:val="16"/>
                <w:vertAlign w:val="subscript"/>
              </w:rPr>
              <w:t>16</w:t>
            </w:r>
            <w:r w:rsidRPr="00191458">
              <w:rPr>
                <w:rFonts w:ascii="Arial" w:hAnsi="Arial" w:cs="Arial"/>
                <w:color w:val="000000" w:themeColor="text1"/>
                <w:sz w:val="16"/>
                <w:szCs w:val="16"/>
              </w:rPr>
              <w:t>O</w:t>
            </w:r>
            <w:r w:rsidRPr="00191458">
              <w:rPr>
                <w:rFonts w:ascii="Arial" w:hAnsi="Arial" w:cs="Arial"/>
                <w:color w:val="000000" w:themeColor="text1"/>
                <w:sz w:val="16"/>
                <w:szCs w:val="16"/>
                <w:vertAlign w:val="subscript"/>
              </w:rPr>
              <w:t>5</w:t>
            </w:r>
          </w:p>
          <w:p w14:paraId="45149591" w14:textId="77777777" w:rsidR="004D1935" w:rsidRPr="00191458" w:rsidRDefault="004D1935" w:rsidP="00E24DC9">
            <w:pPr>
              <w:jc w:val="center"/>
              <w:rPr>
                <w:color w:val="000000" w:themeColor="text1"/>
                <w:sz w:val="16"/>
                <w:szCs w:val="16"/>
              </w:rPr>
            </w:pPr>
            <w:r w:rsidRPr="00191458">
              <w:rPr>
                <w:rFonts w:ascii="Arial" w:hAnsi="Arial" w:cs="Arial"/>
                <w:color w:val="000000" w:themeColor="text1"/>
                <w:sz w:val="16"/>
                <w:szCs w:val="16"/>
              </w:rPr>
              <w:t>C</w:t>
            </w:r>
            <w:r w:rsidRPr="00191458">
              <w:rPr>
                <w:rFonts w:ascii="Arial" w:hAnsi="Arial" w:cs="Arial"/>
                <w:color w:val="000000" w:themeColor="text1"/>
                <w:sz w:val="16"/>
                <w:szCs w:val="16"/>
                <w:vertAlign w:val="subscript"/>
              </w:rPr>
              <w:t>16</w:t>
            </w:r>
            <w:r w:rsidRPr="00191458">
              <w:rPr>
                <w:rFonts w:ascii="Arial" w:hAnsi="Arial" w:cs="Arial"/>
                <w:color w:val="000000" w:themeColor="text1"/>
                <w:sz w:val="16"/>
                <w:szCs w:val="16"/>
              </w:rPr>
              <w:t>H</w:t>
            </w:r>
            <w:r w:rsidRPr="00191458">
              <w:rPr>
                <w:rFonts w:ascii="Arial" w:hAnsi="Arial" w:cs="Arial"/>
                <w:color w:val="000000" w:themeColor="text1"/>
                <w:sz w:val="16"/>
                <w:szCs w:val="16"/>
                <w:vertAlign w:val="subscript"/>
              </w:rPr>
              <w:t>31</w:t>
            </w:r>
            <w:r w:rsidRPr="00191458">
              <w:rPr>
                <w:rFonts w:ascii="Arial" w:hAnsi="Arial" w:cs="Arial"/>
                <w:color w:val="000000" w:themeColor="text1"/>
                <w:sz w:val="16"/>
                <w:szCs w:val="16"/>
              </w:rPr>
              <w:t>O</w:t>
            </w:r>
            <w:r w:rsidRPr="00191458">
              <w:rPr>
                <w:rFonts w:ascii="Arial" w:hAnsi="Arial" w:cs="Arial"/>
                <w:color w:val="000000" w:themeColor="text1"/>
                <w:sz w:val="16"/>
                <w:szCs w:val="16"/>
                <w:vertAlign w:val="subscript"/>
              </w:rPr>
              <w:t>5</w:t>
            </w:r>
            <w:r w:rsidRPr="00191458">
              <w:rPr>
                <w:rFonts w:ascii="Arial" w:hAnsi="Arial" w:cs="Arial"/>
                <w:color w:val="000000" w:themeColor="text1"/>
                <w:sz w:val="16"/>
                <w:szCs w:val="16"/>
              </w:rPr>
              <w:t>P</w:t>
            </w:r>
          </w:p>
          <w:p w14:paraId="41BAB0F2" w14:textId="77777777" w:rsidR="004D1935" w:rsidRPr="00191458" w:rsidRDefault="004D1935" w:rsidP="00E24DC9">
            <w:pPr>
              <w:jc w:val="center"/>
              <w:rPr>
                <w:color w:val="000000" w:themeColor="text1"/>
                <w:sz w:val="16"/>
                <w:szCs w:val="16"/>
              </w:rPr>
            </w:pPr>
            <w:r w:rsidRPr="00191458">
              <w:rPr>
                <w:rFonts w:ascii="Arial" w:hAnsi="Arial" w:cs="Arial"/>
                <w:color w:val="000000" w:themeColor="text1"/>
                <w:sz w:val="16"/>
                <w:szCs w:val="16"/>
              </w:rPr>
              <w:t>C</w:t>
            </w:r>
            <w:r w:rsidRPr="00191458">
              <w:rPr>
                <w:rFonts w:ascii="Arial" w:hAnsi="Arial" w:cs="Arial"/>
                <w:color w:val="000000" w:themeColor="text1"/>
                <w:sz w:val="16"/>
                <w:szCs w:val="16"/>
                <w:vertAlign w:val="subscript"/>
              </w:rPr>
              <w:t>20</w:t>
            </w:r>
            <w:r w:rsidRPr="00191458">
              <w:rPr>
                <w:rFonts w:ascii="Arial" w:hAnsi="Arial" w:cs="Arial"/>
                <w:color w:val="000000" w:themeColor="text1"/>
                <w:sz w:val="16"/>
                <w:szCs w:val="16"/>
              </w:rPr>
              <w:t>H</w:t>
            </w:r>
            <w:r w:rsidRPr="00191458">
              <w:rPr>
                <w:rFonts w:ascii="Arial" w:hAnsi="Arial" w:cs="Arial"/>
                <w:color w:val="000000" w:themeColor="text1"/>
                <w:sz w:val="16"/>
                <w:szCs w:val="16"/>
                <w:vertAlign w:val="subscript"/>
              </w:rPr>
              <w:t>31</w:t>
            </w:r>
            <w:r w:rsidRPr="00191458">
              <w:rPr>
                <w:rFonts w:ascii="Arial" w:hAnsi="Arial" w:cs="Arial"/>
                <w:color w:val="000000" w:themeColor="text1"/>
                <w:sz w:val="16"/>
                <w:szCs w:val="16"/>
              </w:rPr>
              <w:t>O</w:t>
            </w:r>
            <w:r w:rsidRPr="00191458">
              <w:rPr>
                <w:rFonts w:ascii="Arial" w:hAnsi="Arial" w:cs="Arial"/>
                <w:color w:val="000000" w:themeColor="text1"/>
                <w:sz w:val="16"/>
                <w:szCs w:val="16"/>
                <w:vertAlign w:val="subscript"/>
              </w:rPr>
              <w:t>4</w:t>
            </w:r>
          </w:p>
          <w:p w14:paraId="32230284" w14:textId="77777777" w:rsidR="004D1935" w:rsidRPr="00191458" w:rsidRDefault="004D1935" w:rsidP="00E24DC9">
            <w:pPr>
              <w:jc w:val="center"/>
              <w:rPr>
                <w:color w:val="000000" w:themeColor="text1"/>
                <w:sz w:val="16"/>
                <w:szCs w:val="16"/>
              </w:rPr>
            </w:pPr>
            <w:r w:rsidRPr="00191458">
              <w:rPr>
                <w:rFonts w:ascii="Arial" w:hAnsi="Arial" w:cs="Arial"/>
                <w:color w:val="000000" w:themeColor="text1"/>
                <w:sz w:val="16"/>
                <w:szCs w:val="16"/>
              </w:rPr>
              <w:t>C</w:t>
            </w:r>
            <w:r w:rsidRPr="00191458">
              <w:rPr>
                <w:rFonts w:ascii="Arial" w:hAnsi="Arial" w:cs="Arial"/>
                <w:color w:val="000000" w:themeColor="text1"/>
                <w:sz w:val="16"/>
                <w:szCs w:val="16"/>
                <w:vertAlign w:val="subscript"/>
              </w:rPr>
              <w:t>20</w:t>
            </w:r>
            <w:r w:rsidRPr="00191458">
              <w:rPr>
                <w:rFonts w:ascii="Arial" w:hAnsi="Arial" w:cs="Arial"/>
                <w:color w:val="000000" w:themeColor="text1"/>
                <w:sz w:val="16"/>
                <w:szCs w:val="16"/>
              </w:rPr>
              <w:t>H</w:t>
            </w:r>
            <w:r w:rsidRPr="00191458">
              <w:rPr>
                <w:rFonts w:ascii="Arial" w:hAnsi="Arial" w:cs="Arial"/>
                <w:color w:val="000000" w:themeColor="text1"/>
                <w:sz w:val="16"/>
                <w:szCs w:val="16"/>
                <w:vertAlign w:val="subscript"/>
              </w:rPr>
              <w:t>31</w:t>
            </w:r>
            <w:r w:rsidRPr="00191458">
              <w:rPr>
                <w:rFonts w:ascii="Arial" w:hAnsi="Arial" w:cs="Arial"/>
                <w:color w:val="000000" w:themeColor="text1"/>
                <w:sz w:val="16"/>
                <w:szCs w:val="16"/>
              </w:rPr>
              <w:t>O</w:t>
            </w:r>
            <w:r w:rsidRPr="00191458">
              <w:rPr>
                <w:rFonts w:ascii="Arial" w:hAnsi="Arial" w:cs="Arial"/>
                <w:color w:val="000000" w:themeColor="text1"/>
                <w:sz w:val="16"/>
                <w:szCs w:val="16"/>
                <w:vertAlign w:val="subscript"/>
              </w:rPr>
              <w:t>4</w:t>
            </w:r>
          </w:p>
          <w:p w14:paraId="04244A30" w14:textId="77777777" w:rsidR="004D1935" w:rsidRPr="00191458" w:rsidRDefault="004D1935" w:rsidP="00E24DC9">
            <w:pPr>
              <w:jc w:val="center"/>
              <w:rPr>
                <w:color w:val="000000" w:themeColor="text1"/>
                <w:sz w:val="16"/>
                <w:szCs w:val="16"/>
              </w:rPr>
            </w:pPr>
            <w:r w:rsidRPr="00191458">
              <w:rPr>
                <w:rFonts w:ascii="Arial" w:hAnsi="Arial" w:cs="Arial"/>
                <w:color w:val="000000" w:themeColor="text1"/>
                <w:sz w:val="16"/>
                <w:szCs w:val="16"/>
              </w:rPr>
              <w:t>C</w:t>
            </w:r>
            <w:r w:rsidRPr="00191458">
              <w:rPr>
                <w:rFonts w:ascii="Arial" w:hAnsi="Arial" w:cs="Arial"/>
                <w:color w:val="000000" w:themeColor="text1"/>
                <w:sz w:val="16"/>
                <w:szCs w:val="16"/>
                <w:vertAlign w:val="subscript"/>
              </w:rPr>
              <w:t>20</w:t>
            </w:r>
            <w:r w:rsidRPr="00191458">
              <w:rPr>
                <w:rFonts w:ascii="Arial" w:hAnsi="Arial" w:cs="Arial"/>
                <w:color w:val="000000" w:themeColor="text1"/>
                <w:sz w:val="16"/>
                <w:szCs w:val="16"/>
              </w:rPr>
              <w:t>H</w:t>
            </w:r>
            <w:r w:rsidRPr="00191458">
              <w:rPr>
                <w:rFonts w:ascii="Arial" w:hAnsi="Arial" w:cs="Arial"/>
                <w:color w:val="000000" w:themeColor="text1"/>
                <w:sz w:val="16"/>
                <w:szCs w:val="16"/>
                <w:vertAlign w:val="subscript"/>
              </w:rPr>
              <w:t>31</w:t>
            </w:r>
            <w:r w:rsidRPr="00191458">
              <w:rPr>
                <w:rFonts w:ascii="Arial" w:hAnsi="Arial" w:cs="Arial"/>
                <w:color w:val="000000" w:themeColor="text1"/>
                <w:sz w:val="16"/>
                <w:szCs w:val="16"/>
              </w:rPr>
              <w:t>O</w:t>
            </w:r>
            <w:r w:rsidRPr="00191458">
              <w:rPr>
                <w:rFonts w:ascii="Arial" w:hAnsi="Arial" w:cs="Arial"/>
                <w:color w:val="000000" w:themeColor="text1"/>
                <w:sz w:val="16"/>
                <w:szCs w:val="16"/>
                <w:vertAlign w:val="subscript"/>
              </w:rPr>
              <w:t>4</w:t>
            </w:r>
          </w:p>
          <w:p w14:paraId="7F3ECACE" w14:textId="77777777" w:rsidR="004D1935" w:rsidRPr="00191458" w:rsidRDefault="004D1935" w:rsidP="00E24DC9">
            <w:pPr>
              <w:jc w:val="center"/>
              <w:rPr>
                <w:color w:val="000000" w:themeColor="text1"/>
                <w:sz w:val="16"/>
                <w:szCs w:val="16"/>
              </w:rPr>
            </w:pPr>
            <w:r w:rsidRPr="00191458">
              <w:rPr>
                <w:rFonts w:ascii="Arial" w:hAnsi="Arial" w:cs="Arial"/>
                <w:color w:val="000000" w:themeColor="text1"/>
                <w:sz w:val="16"/>
                <w:szCs w:val="16"/>
              </w:rPr>
              <w:t>C</w:t>
            </w:r>
            <w:r w:rsidRPr="00191458">
              <w:rPr>
                <w:rFonts w:ascii="Arial" w:hAnsi="Arial" w:cs="Arial"/>
                <w:color w:val="000000" w:themeColor="text1"/>
                <w:sz w:val="16"/>
                <w:szCs w:val="16"/>
                <w:vertAlign w:val="subscript"/>
              </w:rPr>
              <w:t>20</w:t>
            </w:r>
            <w:r w:rsidRPr="00191458">
              <w:rPr>
                <w:rFonts w:ascii="Arial" w:hAnsi="Arial" w:cs="Arial"/>
                <w:color w:val="000000" w:themeColor="text1"/>
                <w:sz w:val="16"/>
                <w:szCs w:val="16"/>
              </w:rPr>
              <w:t>H</w:t>
            </w:r>
            <w:r w:rsidRPr="00191458">
              <w:rPr>
                <w:rFonts w:ascii="Arial" w:hAnsi="Arial" w:cs="Arial"/>
                <w:color w:val="000000" w:themeColor="text1"/>
                <w:sz w:val="16"/>
                <w:szCs w:val="16"/>
                <w:vertAlign w:val="subscript"/>
              </w:rPr>
              <w:t>18</w:t>
            </w:r>
            <w:r w:rsidRPr="00191458">
              <w:rPr>
                <w:rFonts w:ascii="Arial" w:hAnsi="Arial" w:cs="Arial"/>
                <w:color w:val="000000" w:themeColor="text1"/>
                <w:sz w:val="16"/>
                <w:szCs w:val="16"/>
              </w:rPr>
              <w:t>NO</w:t>
            </w:r>
            <w:r w:rsidRPr="00191458">
              <w:rPr>
                <w:rFonts w:ascii="Arial" w:hAnsi="Arial" w:cs="Arial"/>
                <w:color w:val="000000" w:themeColor="text1"/>
                <w:sz w:val="16"/>
                <w:szCs w:val="16"/>
                <w:vertAlign w:val="subscript"/>
              </w:rPr>
              <w:t>4</w:t>
            </w:r>
          </w:p>
        </w:tc>
        <w:tc>
          <w:tcPr>
            <w:tcW w:w="1985" w:type="dxa"/>
            <w:vMerge w:val="restart"/>
            <w:vAlign w:val="center"/>
          </w:tcPr>
          <w:p w14:paraId="26F749F5"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flavonoid</w:t>
            </w:r>
          </w:p>
          <w:p w14:paraId="77DCFF10" w14:textId="77777777" w:rsidR="004D1935" w:rsidRPr="00191458" w:rsidRDefault="004D1935" w:rsidP="00E24DC9">
            <w:pPr>
              <w:jc w:val="center"/>
              <w:rPr>
                <w:color w:val="000000" w:themeColor="text1"/>
                <w:sz w:val="16"/>
                <w:szCs w:val="16"/>
              </w:rPr>
            </w:pPr>
            <w:r w:rsidRPr="00191458">
              <w:rPr>
                <w:rFonts w:ascii="Helvetica Neue" w:hAnsi="Helvetica Neue" w:cs="Calibri"/>
                <w:color w:val="000000" w:themeColor="text1"/>
                <w:sz w:val="16"/>
                <w:szCs w:val="16"/>
              </w:rPr>
              <w:t>acyl monophosphate</w:t>
            </w:r>
          </w:p>
          <w:p w14:paraId="7431F874"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fatty acid</w:t>
            </w:r>
          </w:p>
          <w:p w14:paraId="3C156CDB"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fatty acid</w:t>
            </w:r>
          </w:p>
          <w:p w14:paraId="1CFDEAFF"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fatty acid</w:t>
            </w:r>
          </w:p>
          <w:p w14:paraId="542CFF85"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alkaloids</w:t>
            </w:r>
          </w:p>
        </w:tc>
        <w:tc>
          <w:tcPr>
            <w:tcW w:w="7087" w:type="dxa"/>
            <w:vMerge w:val="restart"/>
            <w:vAlign w:val="center"/>
          </w:tcPr>
          <w:p w14:paraId="5D5364B6"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Isoflavonoid biosynthesis/shikimate pathway/jasmonic acid biosythesis</w:t>
            </w:r>
          </w:p>
          <w:p w14:paraId="634B7A53" w14:textId="77777777" w:rsidR="004D1935" w:rsidRPr="00191458" w:rsidRDefault="004D1935" w:rsidP="00E24DC9">
            <w:pPr>
              <w:jc w:val="center"/>
              <w:rPr>
                <w:color w:val="000000" w:themeColor="text1"/>
                <w:sz w:val="11"/>
                <w:szCs w:val="11"/>
              </w:rPr>
            </w:pPr>
            <w:r w:rsidRPr="00191458">
              <w:rPr>
                <w:rFonts w:ascii="Verdana" w:hAnsi="Verdana" w:cs="Calibri"/>
                <w:color w:val="000000" w:themeColor="text1"/>
                <w:sz w:val="11"/>
                <w:szCs w:val="11"/>
              </w:rPr>
              <w:t>Sphingolipid signaling pathway/Biosynthesis of plant hormones/jasmonic acid biosynthesis /shikimate pathway</w:t>
            </w:r>
          </w:p>
          <w:p w14:paraId="61A0A4AE" w14:textId="77777777" w:rsidR="004D1935" w:rsidRPr="00191458" w:rsidRDefault="004D1935" w:rsidP="00E24DC9">
            <w:pPr>
              <w:jc w:val="center"/>
              <w:rPr>
                <w:color w:val="000000" w:themeColor="text1"/>
                <w:sz w:val="16"/>
                <w:szCs w:val="16"/>
              </w:rPr>
            </w:pPr>
            <w:r w:rsidRPr="00191458">
              <w:rPr>
                <w:rFonts w:ascii="Verdana" w:hAnsi="Verdana" w:cs="Calibri"/>
                <w:color w:val="000000" w:themeColor="text1"/>
                <w:sz w:val="16"/>
                <w:szCs w:val="16"/>
              </w:rPr>
              <w:t>Arachidonic acid metabolism /</w:t>
            </w:r>
            <w:r w:rsidRPr="00191458">
              <w:rPr>
                <w:rFonts w:ascii="Calibri" w:hAnsi="Calibri" w:cs="Calibri"/>
                <w:color w:val="000000" w:themeColor="text1"/>
                <w:sz w:val="16"/>
                <w:szCs w:val="16"/>
              </w:rPr>
              <w:t xml:space="preserve"> shikimate pathway/jasmonic acid biosythesis</w:t>
            </w:r>
          </w:p>
          <w:p w14:paraId="6ADAA1F1" w14:textId="77777777" w:rsidR="004D1935" w:rsidRPr="00191458" w:rsidRDefault="004D1935" w:rsidP="00E24DC9">
            <w:pPr>
              <w:jc w:val="center"/>
              <w:rPr>
                <w:color w:val="000000" w:themeColor="text1"/>
                <w:sz w:val="16"/>
                <w:szCs w:val="16"/>
              </w:rPr>
            </w:pPr>
            <w:r w:rsidRPr="00191458">
              <w:rPr>
                <w:rFonts w:ascii="Verdana" w:hAnsi="Verdana" w:cs="Calibri"/>
                <w:color w:val="000000" w:themeColor="text1"/>
                <w:sz w:val="16"/>
                <w:szCs w:val="16"/>
              </w:rPr>
              <w:t>Arachidonic acid metabolism /</w:t>
            </w:r>
            <w:r w:rsidRPr="00191458">
              <w:rPr>
                <w:rFonts w:ascii="Calibri" w:hAnsi="Calibri" w:cs="Calibri"/>
                <w:color w:val="000000" w:themeColor="text1"/>
                <w:sz w:val="16"/>
                <w:szCs w:val="16"/>
              </w:rPr>
              <w:t xml:space="preserve"> shikimate pathway/jasmonic acid biosythesis</w:t>
            </w:r>
          </w:p>
          <w:p w14:paraId="6083889E" w14:textId="77777777" w:rsidR="004D1935" w:rsidRPr="00191458" w:rsidRDefault="004D1935" w:rsidP="00E24DC9">
            <w:pPr>
              <w:jc w:val="center"/>
              <w:rPr>
                <w:color w:val="000000" w:themeColor="text1"/>
                <w:sz w:val="16"/>
                <w:szCs w:val="16"/>
              </w:rPr>
            </w:pPr>
            <w:r w:rsidRPr="00191458">
              <w:rPr>
                <w:rFonts w:ascii="Verdana" w:hAnsi="Verdana" w:cs="Calibri"/>
                <w:color w:val="000000" w:themeColor="text1"/>
                <w:sz w:val="16"/>
                <w:szCs w:val="16"/>
              </w:rPr>
              <w:t>Arachidonic acid metabolism /</w:t>
            </w:r>
            <w:r w:rsidRPr="00191458">
              <w:rPr>
                <w:rFonts w:ascii="Calibri" w:hAnsi="Calibri" w:cs="Calibri"/>
                <w:color w:val="000000" w:themeColor="text1"/>
                <w:sz w:val="16"/>
                <w:szCs w:val="16"/>
              </w:rPr>
              <w:t xml:space="preserve"> shikimate pathway/jasmonic acid biosythesis</w:t>
            </w:r>
          </w:p>
          <w:p w14:paraId="311D0F28" w14:textId="77777777" w:rsidR="004D1935" w:rsidRPr="00191458" w:rsidRDefault="004D1935" w:rsidP="00E24DC9">
            <w:pPr>
              <w:jc w:val="center"/>
              <w:rPr>
                <w:color w:val="000000" w:themeColor="text1"/>
                <w:sz w:val="16"/>
                <w:szCs w:val="16"/>
              </w:rPr>
            </w:pPr>
            <w:r w:rsidRPr="00191458">
              <w:rPr>
                <w:rFonts w:ascii="Verdana" w:hAnsi="Verdana" w:cs="Calibri"/>
                <w:color w:val="000000" w:themeColor="text1"/>
                <w:sz w:val="16"/>
                <w:szCs w:val="16"/>
              </w:rPr>
              <w:t>Isoquinoline alkaloid biosynthesis /</w:t>
            </w:r>
            <w:r w:rsidRPr="00191458">
              <w:rPr>
                <w:rFonts w:ascii="Calibri" w:hAnsi="Calibri" w:cs="Calibri"/>
                <w:color w:val="000000" w:themeColor="text1"/>
                <w:sz w:val="16"/>
                <w:szCs w:val="16"/>
              </w:rPr>
              <w:t xml:space="preserve"> shikimate pathway/jasmonic acid biosythesis</w:t>
            </w:r>
          </w:p>
        </w:tc>
      </w:tr>
      <w:tr w:rsidR="004D1935" w:rsidRPr="00191458" w14:paraId="6572169A" w14:textId="77777777" w:rsidTr="00E24DC9">
        <w:tc>
          <w:tcPr>
            <w:tcW w:w="708" w:type="dxa"/>
            <w:vMerge/>
            <w:vAlign w:val="center"/>
          </w:tcPr>
          <w:p w14:paraId="72DBA230"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6EEA062B"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336.1417</w:t>
            </w:r>
          </w:p>
        </w:tc>
        <w:tc>
          <w:tcPr>
            <w:tcW w:w="2665" w:type="dxa"/>
            <w:vMerge/>
            <w:vAlign w:val="center"/>
          </w:tcPr>
          <w:p w14:paraId="22FB8DD8" w14:textId="77777777" w:rsidR="004D1935" w:rsidRPr="00191458" w:rsidRDefault="004D1935" w:rsidP="00E24DC9">
            <w:pPr>
              <w:jc w:val="center"/>
              <w:rPr>
                <w:color w:val="000000" w:themeColor="text1"/>
                <w:sz w:val="16"/>
                <w:szCs w:val="16"/>
              </w:rPr>
            </w:pPr>
          </w:p>
        </w:tc>
        <w:tc>
          <w:tcPr>
            <w:tcW w:w="1701" w:type="dxa"/>
            <w:vMerge/>
            <w:vAlign w:val="center"/>
          </w:tcPr>
          <w:p w14:paraId="277D5270" w14:textId="77777777" w:rsidR="004D1935" w:rsidRPr="00191458" w:rsidRDefault="004D1935" w:rsidP="00E24DC9">
            <w:pPr>
              <w:jc w:val="center"/>
              <w:rPr>
                <w:color w:val="000000" w:themeColor="text1"/>
                <w:sz w:val="16"/>
                <w:szCs w:val="16"/>
              </w:rPr>
            </w:pPr>
          </w:p>
        </w:tc>
        <w:tc>
          <w:tcPr>
            <w:tcW w:w="1985" w:type="dxa"/>
            <w:vMerge/>
            <w:vAlign w:val="center"/>
          </w:tcPr>
          <w:p w14:paraId="0DD06AA8" w14:textId="77777777" w:rsidR="004D1935" w:rsidRPr="00191458" w:rsidRDefault="004D1935" w:rsidP="00E24DC9">
            <w:pPr>
              <w:jc w:val="center"/>
              <w:rPr>
                <w:color w:val="000000" w:themeColor="text1"/>
                <w:sz w:val="16"/>
                <w:szCs w:val="16"/>
              </w:rPr>
            </w:pPr>
          </w:p>
        </w:tc>
        <w:tc>
          <w:tcPr>
            <w:tcW w:w="7087" w:type="dxa"/>
            <w:vMerge/>
            <w:vAlign w:val="center"/>
          </w:tcPr>
          <w:p w14:paraId="0F986BF4" w14:textId="77777777" w:rsidR="004D1935" w:rsidRPr="00191458" w:rsidRDefault="004D1935" w:rsidP="00E24DC9">
            <w:pPr>
              <w:jc w:val="center"/>
              <w:rPr>
                <w:color w:val="000000" w:themeColor="text1"/>
                <w:sz w:val="16"/>
                <w:szCs w:val="16"/>
              </w:rPr>
            </w:pPr>
          </w:p>
        </w:tc>
      </w:tr>
      <w:tr w:rsidR="004D1935" w:rsidRPr="00191458" w14:paraId="4AE982B5" w14:textId="77777777" w:rsidTr="00E24DC9">
        <w:tc>
          <w:tcPr>
            <w:tcW w:w="708" w:type="dxa"/>
            <w:vMerge/>
            <w:vAlign w:val="center"/>
          </w:tcPr>
          <w:p w14:paraId="64D9FD2A"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19D231B1"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336.1818</w:t>
            </w:r>
          </w:p>
        </w:tc>
        <w:tc>
          <w:tcPr>
            <w:tcW w:w="2665" w:type="dxa"/>
            <w:vMerge/>
            <w:vAlign w:val="center"/>
          </w:tcPr>
          <w:p w14:paraId="2FC90953" w14:textId="77777777" w:rsidR="004D1935" w:rsidRPr="00191458" w:rsidRDefault="004D1935" w:rsidP="00E24DC9">
            <w:pPr>
              <w:jc w:val="center"/>
              <w:rPr>
                <w:color w:val="000000" w:themeColor="text1"/>
                <w:sz w:val="16"/>
                <w:szCs w:val="16"/>
              </w:rPr>
            </w:pPr>
          </w:p>
        </w:tc>
        <w:tc>
          <w:tcPr>
            <w:tcW w:w="1701" w:type="dxa"/>
            <w:vMerge/>
            <w:vAlign w:val="center"/>
          </w:tcPr>
          <w:p w14:paraId="4E778D91" w14:textId="77777777" w:rsidR="004D1935" w:rsidRPr="00191458" w:rsidRDefault="004D1935" w:rsidP="00E24DC9">
            <w:pPr>
              <w:jc w:val="center"/>
              <w:rPr>
                <w:color w:val="000000" w:themeColor="text1"/>
                <w:sz w:val="16"/>
                <w:szCs w:val="16"/>
              </w:rPr>
            </w:pPr>
          </w:p>
        </w:tc>
        <w:tc>
          <w:tcPr>
            <w:tcW w:w="1985" w:type="dxa"/>
            <w:vMerge/>
            <w:vAlign w:val="center"/>
          </w:tcPr>
          <w:p w14:paraId="5B7EDA67" w14:textId="77777777" w:rsidR="004D1935" w:rsidRPr="00191458" w:rsidRDefault="004D1935" w:rsidP="00E24DC9">
            <w:pPr>
              <w:jc w:val="center"/>
              <w:rPr>
                <w:color w:val="000000" w:themeColor="text1"/>
                <w:sz w:val="16"/>
                <w:szCs w:val="16"/>
              </w:rPr>
            </w:pPr>
          </w:p>
        </w:tc>
        <w:tc>
          <w:tcPr>
            <w:tcW w:w="7087" w:type="dxa"/>
            <w:vMerge/>
            <w:vAlign w:val="center"/>
          </w:tcPr>
          <w:p w14:paraId="2C8D7C62" w14:textId="77777777" w:rsidR="004D1935" w:rsidRPr="00191458" w:rsidRDefault="004D1935" w:rsidP="00E24DC9">
            <w:pPr>
              <w:jc w:val="center"/>
              <w:rPr>
                <w:color w:val="000000" w:themeColor="text1"/>
                <w:sz w:val="16"/>
                <w:szCs w:val="16"/>
              </w:rPr>
            </w:pPr>
          </w:p>
        </w:tc>
      </w:tr>
      <w:tr w:rsidR="004D1935" w:rsidRPr="00191458" w14:paraId="1F094745" w14:textId="77777777" w:rsidTr="00E24DC9">
        <w:tc>
          <w:tcPr>
            <w:tcW w:w="708" w:type="dxa"/>
            <w:vMerge/>
            <w:vAlign w:val="center"/>
          </w:tcPr>
          <w:p w14:paraId="7B48420D"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1E1AE6EF"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336.2219</w:t>
            </w:r>
          </w:p>
        </w:tc>
        <w:tc>
          <w:tcPr>
            <w:tcW w:w="2665" w:type="dxa"/>
            <w:vMerge/>
            <w:vAlign w:val="center"/>
          </w:tcPr>
          <w:p w14:paraId="091A1C32" w14:textId="77777777" w:rsidR="004D1935" w:rsidRPr="00191458" w:rsidRDefault="004D1935" w:rsidP="00E24DC9">
            <w:pPr>
              <w:jc w:val="center"/>
              <w:rPr>
                <w:color w:val="000000" w:themeColor="text1"/>
                <w:sz w:val="16"/>
                <w:szCs w:val="16"/>
              </w:rPr>
            </w:pPr>
          </w:p>
        </w:tc>
        <w:tc>
          <w:tcPr>
            <w:tcW w:w="1701" w:type="dxa"/>
            <w:vMerge/>
            <w:vAlign w:val="center"/>
          </w:tcPr>
          <w:p w14:paraId="49B85493" w14:textId="77777777" w:rsidR="004D1935" w:rsidRPr="00191458" w:rsidRDefault="004D1935" w:rsidP="00E24DC9">
            <w:pPr>
              <w:jc w:val="center"/>
              <w:rPr>
                <w:color w:val="000000" w:themeColor="text1"/>
                <w:sz w:val="16"/>
                <w:szCs w:val="16"/>
              </w:rPr>
            </w:pPr>
          </w:p>
        </w:tc>
        <w:tc>
          <w:tcPr>
            <w:tcW w:w="1985" w:type="dxa"/>
            <w:vMerge/>
            <w:vAlign w:val="center"/>
          </w:tcPr>
          <w:p w14:paraId="3F915DE6" w14:textId="77777777" w:rsidR="004D1935" w:rsidRPr="00191458" w:rsidRDefault="004D1935" w:rsidP="00E24DC9">
            <w:pPr>
              <w:jc w:val="center"/>
              <w:rPr>
                <w:color w:val="000000" w:themeColor="text1"/>
                <w:sz w:val="16"/>
                <w:szCs w:val="16"/>
              </w:rPr>
            </w:pPr>
          </w:p>
        </w:tc>
        <w:tc>
          <w:tcPr>
            <w:tcW w:w="7087" w:type="dxa"/>
            <w:vMerge/>
            <w:vAlign w:val="center"/>
          </w:tcPr>
          <w:p w14:paraId="46CC19DE" w14:textId="77777777" w:rsidR="004D1935" w:rsidRPr="00191458" w:rsidRDefault="004D1935" w:rsidP="00E24DC9">
            <w:pPr>
              <w:jc w:val="center"/>
              <w:rPr>
                <w:color w:val="000000" w:themeColor="text1"/>
                <w:sz w:val="16"/>
                <w:szCs w:val="16"/>
              </w:rPr>
            </w:pPr>
          </w:p>
        </w:tc>
      </w:tr>
      <w:tr w:rsidR="004D1935" w:rsidRPr="00191458" w14:paraId="683F4D5B" w14:textId="77777777" w:rsidTr="00E24DC9">
        <w:tc>
          <w:tcPr>
            <w:tcW w:w="708" w:type="dxa"/>
            <w:vMerge/>
            <w:vAlign w:val="center"/>
          </w:tcPr>
          <w:p w14:paraId="41FFF1F1"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12F17628"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336.2620</w:t>
            </w:r>
          </w:p>
        </w:tc>
        <w:tc>
          <w:tcPr>
            <w:tcW w:w="2665" w:type="dxa"/>
            <w:vMerge/>
            <w:vAlign w:val="center"/>
          </w:tcPr>
          <w:p w14:paraId="544E9A92" w14:textId="77777777" w:rsidR="004D1935" w:rsidRPr="00191458" w:rsidRDefault="004D1935" w:rsidP="00E24DC9">
            <w:pPr>
              <w:jc w:val="center"/>
              <w:rPr>
                <w:color w:val="000000" w:themeColor="text1"/>
                <w:sz w:val="16"/>
                <w:szCs w:val="16"/>
              </w:rPr>
            </w:pPr>
          </w:p>
        </w:tc>
        <w:tc>
          <w:tcPr>
            <w:tcW w:w="1701" w:type="dxa"/>
            <w:vMerge/>
            <w:vAlign w:val="center"/>
          </w:tcPr>
          <w:p w14:paraId="668CBC29" w14:textId="77777777" w:rsidR="004D1935" w:rsidRPr="00191458" w:rsidRDefault="004D1935" w:rsidP="00E24DC9">
            <w:pPr>
              <w:jc w:val="center"/>
              <w:rPr>
                <w:color w:val="000000" w:themeColor="text1"/>
                <w:sz w:val="16"/>
                <w:szCs w:val="16"/>
              </w:rPr>
            </w:pPr>
          </w:p>
        </w:tc>
        <w:tc>
          <w:tcPr>
            <w:tcW w:w="1985" w:type="dxa"/>
            <w:vMerge/>
            <w:vAlign w:val="center"/>
          </w:tcPr>
          <w:p w14:paraId="401B6B07" w14:textId="77777777" w:rsidR="004D1935" w:rsidRPr="00191458" w:rsidRDefault="004D1935" w:rsidP="00E24DC9">
            <w:pPr>
              <w:jc w:val="center"/>
              <w:rPr>
                <w:color w:val="000000" w:themeColor="text1"/>
                <w:sz w:val="16"/>
                <w:szCs w:val="16"/>
              </w:rPr>
            </w:pPr>
          </w:p>
        </w:tc>
        <w:tc>
          <w:tcPr>
            <w:tcW w:w="7087" w:type="dxa"/>
            <w:vMerge/>
            <w:vAlign w:val="center"/>
          </w:tcPr>
          <w:p w14:paraId="76E5C83A" w14:textId="77777777" w:rsidR="004D1935" w:rsidRPr="00191458" w:rsidRDefault="004D1935" w:rsidP="00E24DC9">
            <w:pPr>
              <w:jc w:val="center"/>
              <w:rPr>
                <w:color w:val="000000" w:themeColor="text1"/>
                <w:sz w:val="16"/>
                <w:szCs w:val="16"/>
              </w:rPr>
            </w:pPr>
          </w:p>
        </w:tc>
      </w:tr>
      <w:tr w:rsidR="004D1935" w:rsidRPr="00191458" w14:paraId="313F0394" w14:textId="77777777" w:rsidTr="00E24DC9">
        <w:tc>
          <w:tcPr>
            <w:tcW w:w="708" w:type="dxa"/>
            <w:vMerge/>
            <w:vAlign w:val="center"/>
          </w:tcPr>
          <w:p w14:paraId="5F8798AA"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6FF88E37"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336.0964</w:t>
            </w:r>
          </w:p>
        </w:tc>
        <w:tc>
          <w:tcPr>
            <w:tcW w:w="2665" w:type="dxa"/>
            <w:vMerge/>
            <w:vAlign w:val="center"/>
          </w:tcPr>
          <w:p w14:paraId="2D74D9BB" w14:textId="77777777" w:rsidR="004D1935" w:rsidRPr="00191458" w:rsidRDefault="004D1935" w:rsidP="00E24DC9">
            <w:pPr>
              <w:jc w:val="center"/>
              <w:rPr>
                <w:color w:val="000000" w:themeColor="text1"/>
                <w:sz w:val="16"/>
                <w:szCs w:val="16"/>
              </w:rPr>
            </w:pPr>
          </w:p>
        </w:tc>
        <w:tc>
          <w:tcPr>
            <w:tcW w:w="1701" w:type="dxa"/>
            <w:vMerge/>
            <w:vAlign w:val="center"/>
          </w:tcPr>
          <w:p w14:paraId="76D1973F" w14:textId="77777777" w:rsidR="004D1935" w:rsidRPr="00191458" w:rsidRDefault="004D1935" w:rsidP="00E24DC9">
            <w:pPr>
              <w:jc w:val="center"/>
              <w:rPr>
                <w:color w:val="000000" w:themeColor="text1"/>
                <w:sz w:val="16"/>
                <w:szCs w:val="16"/>
              </w:rPr>
            </w:pPr>
          </w:p>
        </w:tc>
        <w:tc>
          <w:tcPr>
            <w:tcW w:w="1985" w:type="dxa"/>
            <w:vMerge/>
            <w:vAlign w:val="center"/>
          </w:tcPr>
          <w:p w14:paraId="61A4548E" w14:textId="77777777" w:rsidR="004D1935" w:rsidRPr="00191458" w:rsidRDefault="004D1935" w:rsidP="00E24DC9">
            <w:pPr>
              <w:jc w:val="center"/>
              <w:rPr>
                <w:color w:val="000000" w:themeColor="text1"/>
                <w:sz w:val="16"/>
                <w:szCs w:val="16"/>
              </w:rPr>
            </w:pPr>
          </w:p>
        </w:tc>
        <w:tc>
          <w:tcPr>
            <w:tcW w:w="7087" w:type="dxa"/>
            <w:vMerge/>
            <w:vAlign w:val="center"/>
          </w:tcPr>
          <w:p w14:paraId="784CB169" w14:textId="77777777" w:rsidR="004D1935" w:rsidRPr="00191458" w:rsidRDefault="004D1935" w:rsidP="00E24DC9">
            <w:pPr>
              <w:jc w:val="center"/>
              <w:rPr>
                <w:color w:val="000000" w:themeColor="text1"/>
                <w:sz w:val="16"/>
                <w:szCs w:val="16"/>
              </w:rPr>
            </w:pPr>
          </w:p>
        </w:tc>
      </w:tr>
      <w:tr w:rsidR="004D1935" w:rsidRPr="00191458" w14:paraId="27F0E617" w14:textId="77777777" w:rsidTr="00E24DC9">
        <w:tc>
          <w:tcPr>
            <w:tcW w:w="708" w:type="dxa"/>
            <w:vMerge/>
            <w:vAlign w:val="center"/>
          </w:tcPr>
          <w:p w14:paraId="5979171C"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15787EEA"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336.1364</w:t>
            </w:r>
          </w:p>
        </w:tc>
        <w:tc>
          <w:tcPr>
            <w:tcW w:w="2665" w:type="dxa"/>
            <w:vMerge/>
            <w:vAlign w:val="center"/>
          </w:tcPr>
          <w:p w14:paraId="4AA9A682" w14:textId="77777777" w:rsidR="004D1935" w:rsidRPr="00191458" w:rsidRDefault="004D1935" w:rsidP="00E24DC9">
            <w:pPr>
              <w:jc w:val="center"/>
              <w:rPr>
                <w:color w:val="000000" w:themeColor="text1"/>
                <w:sz w:val="16"/>
                <w:szCs w:val="16"/>
              </w:rPr>
            </w:pPr>
          </w:p>
        </w:tc>
        <w:tc>
          <w:tcPr>
            <w:tcW w:w="1701" w:type="dxa"/>
            <w:vMerge/>
            <w:vAlign w:val="center"/>
          </w:tcPr>
          <w:p w14:paraId="69659859" w14:textId="77777777" w:rsidR="004D1935" w:rsidRPr="00191458" w:rsidRDefault="004D1935" w:rsidP="00E24DC9">
            <w:pPr>
              <w:jc w:val="center"/>
              <w:rPr>
                <w:color w:val="000000" w:themeColor="text1"/>
                <w:sz w:val="16"/>
                <w:szCs w:val="16"/>
              </w:rPr>
            </w:pPr>
          </w:p>
        </w:tc>
        <w:tc>
          <w:tcPr>
            <w:tcW w:w="1985" w:type="dxa"/>
            <w:vMerge/>
            <w:vAlign w:val="center"/>
          </w:tcPr>
          <w:p w14:paraId="79928757" w14:textId="77777777" w:rsidR="004D1935" w:rsidRPr="00191458" w:rsidRDefault="004D1935" w:rsidP="00E24DC9">
            <w:pPr>
              <w:jc w:val="center"/>
              <w:rPr>
                <w:color w:val="000000" w:themeColor="text1"/>
                <w:sz w:val="16"/>
                <w:szCs w:val="16"/>
              </w:rPr>
            </w:pPr>
          </w:p>
        </w:tc>
        <w:tc>
          <w:tcPr>
            <w:tcW w:w="7087" w:type="dxa"/>
            <w:vMerge/>
            <w:vAlign w:val="center"/>
          </w:tcPr>
          <w:p w14:paraId="055EFBDC" w14:textId="77777777" w:rsidR="004D1935" w:rsidRPr="00191458" w:rsidRDefault="004D1935" w:rsidP="00E24DC9">
            <w:pPr>
              <w:jc w:val="center"/>
              <w:rPr>
                <w:color w:val="000000" w:themeColor="text1"/>
                <w:sz w:val="16"/>
                <w:szCs w:val="16"/>
              </w:rPr>
            </w:pPr>
          </w:p>
        </w:tc>
      </w:tr>
      <w:tr w:rsidR="004D1935" w:rsidRPr="00191458" w14:paraId="3AA4F1C7" w14:textId="77777777" w:rsidTr="00E24DC9">
        <w:tc>
          <w:tcPr>
            <w:tcW w:w="708" w:type="dxa"/>
            <w:vMerge/>
            <w:vAlign w:val="center"/>
          </w:tcPr>
          <w:p w14:paraId="5FB7B88D"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262FDBE8"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336.1765</w:t>
            </w:r>
          </w:p>
        </w:tc>
        <w:tc>
          <w:tcPr>
            <w:tcW w:w="2665" w:type="dxa"/>
            <w:vMerge/>
            <w:vAlign w:val="center"/>
          </w:tcPr>
          <w:p w14:paraId="15140F3A" w14:textId="77777777" w:rsidR="004D1935" w:rsidRPr="00191458" w:rsidRDefault="004D1935" w:rsidP="00E24DC9">
            <w:pPr>
              <w:jc w:val="center"/>
              <w:rPr>
                <w:color w:val="000000" w:themeColor="text1"/>
                <w:sz w:val="16"/>
                <w:szCs w:val="16"/>
              </w:rPr>
            </w:pPr>
          </w:p>
        </w:tc>
        <w:tc>
          <w:tcPr>
            <w:tcW w:w="1701" w:type="dxa"/>
            <w:vMerge/>
            <w:vAlign w:val="center"/>
          </w:tcPr>
          <w:p w14:paraId="3D98E389" w14:textId="77777777" w:rsidR="004D1935" w:rsidRPr="00191458" w:rsidRDefault="004D1935" w:rsidP="00E24DC9">
            <w:pPr>
              <w:jc w:val="center"/>
              <w:rPr>
                <w:color w:val="000000" w:themeColor="text1"/>
                <w:sz w:val="16"/>
                <w:szCs w:val="16"/>
              </w:rPr>
            </w:pPr>
          </w:p>
        </w:tc>
        <w:tc>
          <w:tcPr>
            <w:tcW w:w="1985" w:type="dxa"/>
            <w:vMerge/>
            <w:vAlign w:val="center"/>
          </w:tcPr>
          <w:p w14:paraId="2D5DD2D7" w14:textId="77777777" w:rsidR="004D1935" w:rsidRPr="00191458" w:rsidRDefault="004D1935" w:rsidP="00E24DC9">
            <w:pPr>
              <w:jc w:val="center"/>
              <w:rPr>
                <w:color w:val="000000" w:themeColor="text1"/>
                <w:sz w:val="16"/>
                <w:szCs w:val="16"/>
              </w:rPr>
            </w:pPr>
          </w:p>
        </w:tc>
        <w:tc>
          <w:tcPr>
            <w:tcW w:w="7087" w:type="dxa"/>
            <w:vMerge/>
            <w:vAlign w:val="center"/>
          </w:tcPr>
          <w:p w14:paraId="036E544E" w14:textId="77777777" w:rsidR="004D1935" w:rsidRPr="00191458" w:rsidRDefault="004D1935" w:rsidP="00E24DC9">
            <w:pPr>
              <w:jc w:val="center"/>
              <w:rPr>
                <w:color w:val="000000" w:themeColor="text1"/>
                <w:sz w:val="16"/>
                <w:szCs w:val="16"/>
              </w:rPr>
            </w:pPr>
          </w:p>
        </w:tc>
      </w:tr>
      <w:tr w:rsidR="004D1935" w:rsidRPr="00191458" w14:paraId="47718872" w14:textId="77777777" w:rsidTr="00E24DC9">
        <w:tc>
          <w:tcPr>
            <w:tcW w:w="708" w:type="dxa"/>
            <w:vMerge/>
            <w:vAlign w:val="center"/>
          </w:tcPr>
          <w:p w14:paraId="64DC3708"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6F3822A4"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336.2166</w:t>
            </w:r>
          </w:p>
        </w:tc>
        <w:tc>
          <w:tcPr>
            <w:tcW w:w="2665" w:type="dxa"/>
            <w:vMerge/>
            <w:vAlign w:val="center"/>
          </w:tcPr>
          <w:p w14:paraId="5795EDA1" w14:textId="77777777" w:rsidR="004D1935" w:rsidRPr="00191458" w:rsidRDefault="004D1935" w:rsidP="00E24DC9">
            <w:pPr>
              <w:jc w:val="center"/>
              <w:rPr>
                <w:color w:val="000000" w:themeColor="text1"/>
                <w:sz w:val="16"/>
                <w:szCs w:val="16"/>
              </w:rPr>
            </w:pPr>
          </w:p>
        </w:tc>
        <w:tc>
          <w:tcPr>
            <w:tcW w:w="1701" w:type="dxa"/>
            <w:vMerge/>
            <w:vAlign w:val="center"/>
          </w:tcPr>
          <w:p w14:paraId="2DCA23AA" w14:textId="77777777" w:rsidR="004D1935" w:rsidRPr="00191458" w:rsidRDefault="004D1935" w:rsidP="00E24DC9">
            <w:pPr>
              <w:jc w:val="center"/>
              <w:rPr>
                <w:color w:val="000000" w:themeColor="text1"/>
                <w:sz w:val="16"/>
                <w:szCs w:val="16"/>
              </w:rPr>
            </w:pPr>
          </w:p>
        </w:tc>
        <w:tc>
          <w:tcPr>
            <w:tcW w:w="1985" w:type="dxa"/>
            <w:vMerge/>
            <w:vAlign w:val="center"/>
          </w:tcPr>
          <w:p w14:paraId="3EC6F2FF" w14:textId="77777777" w:rsidR="004D1935" w:rsidRPr="00191458" w:rsidRDefault="004D1935" w:rsidP="00E24DC9">
            <w:pPr>
              <w:jc w:val="center"/>
              <w:rPr>
                <w:color w:val="000000" w:themeColor="text1"/>
                <w:sz w:val="16"/>
                <w:szCs w:val="16"/>
              </w:rPr>
            </w:pPr>
          </w:p>
        </w:tc>
        <w:tc>
          <w:tcPr>
            <w:tcW w:w="7087" w:type="dxa"/>
            <w:vMerge/>
            <w:vAlign w:val="center"/>
          </w:tcPr>
          <w:p w14:paraId="7164E9FD" w14:textId="77777777" w:rsidR="004D1935" w:rsidRPr="00191458" w:rsidRDefault="004D1935" w:rsidP="00E24DC9">
            <w:pPr>
              <w:jc w:val="center"/>
              <w:rPr>
                <w:color w:val="000000" w:themeColor="text1"/>
                <w:sz w:val="16"/>
                <w:szCs w:val="16"/>
              </w:rPr>
            </w:pPr>
          </w:p>
        </w:tc>
      </w:tr>
      <w:tr w:rsidR="004D1935" w:rsidRPr="00191458" w14:paraId="52A14016" w14:textId="77777777" w:rsidTr="00E24DC9">
        <w:tc>
          <w:tcPr>
            <w:tcW w:w="708" w:type="dxa"/>
            <w:vMerge/>
            <w:vAlign w:val="center"/>
          </w:tcPr>
          <w:p w14:paraId="698C48DD"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45D4431E"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336.2567</w:t>
            </w:r>
          </w:p>
        </w:tc>
        <w:tc>
          <w:tcPr>
            <w:tcW w:w="2665" w:type="dxa"/>
            <w:vMerge/>
            <w:vAlign w:val="center"/>
          </w:tcPr>
          <w:p w14:paraId="7B1FA0E6" w14:textId="77777777" w:rsidR="004D1935" w:rsidRPr="00191458" w:rsidRDefault="004D1935" w:rsidP="00E24DC9">
            <w:pPr>
              <w:jc w:val="center"/>
              <w:rPr>
                <w:color w:val="000000" w:themeColor="text1"/>
                <w:sz w:val="16"/>
                <w:szCs w:val="16"/>
              </w:rPr>
            </w:pPr>
          </w:p>
        </w:tc>
        <w:tc>
          <w:tcPr>
            <w:tcW w:w="1701" w:type="dxa"/>
            <w:vMerge/>
            <w:vAlign w:val="center"/>
          </w:tcPr>
          <w:p w14:paraId="076C90F1" w14:textId="77777777" w:rsidR="004D1935" w:rsidRPr="00191458" w:rsidRDefault="004D1935" w:rsidP="00E24DC9">
            <w:pPr>
              <w:jc w:val="center"/>
              <w:rPr>
                <w:color w:val="000000" w:themeColor="text1"/>
                <w:sz w:val="16"/>
                <w:szCs w:val="16"/>
              </w:rPr>
            </w:pPr>
          </w:p>
        </w:tc>
        <w:tc>
          <w:tcPr>
            <w:tcW w:w="1985" w:type="dxa"/>
            <w:vMerge/>
            <w:vAlign w:val="center"/>
          </w:tcPr>
          <w:p w14:paraId="6B012AEA" w14:textId="77777777" w:rsidR="004D1935" w:rsidRPr="00191458" w:rsidRDefault="004D1935" w:rsidP="00E24DC9">
            <w:pPr>
              <w:jc w:val="center"/>
              <w:rPr>
                <w:color w:val="000000" w:themeColor="text1"/>
                <w:sz w:val="16"/>
                <w:szCs w:val="16"/>
              </w:rPr>
            </w:pPr>
          </w:p>
        </w:tc>
        <w:tc>
          <w:tcPr>
            <w:tcW w:w="7087" w:type="dxa"/>
            <w:vMerge/>
            <w:vAlign w:val="center"/>
          </w:tcPr>
          <w:p w14:paraId="26D84A25" w14:textId="77777777" w:rsidR="004D1935" w:rsidRPr="00191458" w:rsidRDefault="004D1935" w:rsidP="00E24DC9">
            <w:pPr>
              <w:jc w:val="center"/>
              <w:rPr>
                <w:color w:val="000000" w:themeColor="text1"/>
                <w:sz w:val="16"/>
                <w:szCs w:val="16"/>
              </w:rPr>
            </w:pPr>
          </w:p>
        </w:tc>
      </w:tr>
      <w:tr w:rsidR="004D1935" w:rsidRPr="00191458" w14:paraId="6C4965B1" w14:textId="77777777" w:rsidTr="00E24DC9">
        <w:tc>
          <w:tcPr>
            <w:tcW w:w="708" w:type="dxa"/>
            <w:vMerge/>
            <w:vAlign w:val="center"/>
          </w:tcPr>
          <w:p w14:paraId="0F24733F"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0465F6E8"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336.1391</w:t>
            </w:r>
          </w:p>
        </w:tc>
        <w:tc>
          <w:tcPr>
            <w:tcW w:w="2665" w:type="dxa"/>
            <w:vMerge/>
            <w:vAlign w:val="center"/>
          </w:tcPr>
          <w:p w14:paraId="56BDCC8A" w14:textId="77777777" w:rsidR="004D1935" w:rsidRPr="00191458" w:rsidRDefault="004D1935" w:rsidP="00E24DC9">
            <w:pPr>
              <w:jc w:val="center"/>
              <w:rPr>
                <w:color w:val="000000" w:themeColor="text1"/>
                <w:sz w:val="16"/>
                <w:szCs w:val="16"/>
              </w:rPr>
            </w:pPr>
          </w:p>
        </w:tc>
        <w:tc>
          <w:tcPr>
            <w:tcW w:w="1701" w:type="dxa"/>
            <w:vMerge/>
            <w:vAlign w:val="center"/>
          </w:tcPr>
          <w:p w14:paraId="4A5CB50E" w14:textId="77777777" w:rsidR="004D1935" w:rsidRPr="00191458" w:rsidRDefault="004D1935" w:rsidP="00E24DC9">
            <w:pPr>
              <w:jc w:val="center"/>
              <w:rPr>
                <w:color w:val="000000" w:themeColor="text1"/>
                <w:sz w:val="16"/>
                <w:szCs w:val="16"/>
              </w:rPr>
            </w:pPr>
          </w:p>
        </w:tc>
        <w:tc>
          <w:tcPr>
            <w:tcW w:w="1985" w:type="dxa"/>
            <w:vMerge/>
            <w:vAlign w:val="center"/>
          </w:tcPr>
          <w:p w14:paraId="619ABBA4" w14:textId="77777777" w:rsidR="004D1935" w:rsidRPr="00191458" w:rsidRDefault="004D1935" w:rsidP="00E24DC9">
            <w:pPr>
              <w:jc w:val="center"/>
              <w:rPr>
                <w:color w:val="000000" w:themeColor="text1"/>
                <w:sz w:val="16"/>
                <w:szCs w:val="16"/>
              </w:rPr>
            </w:pPr>
          </w:p>
        </w:tc>
        <w:tc>
          <w:tcPr>
            <w:tcW w:w="7087" w:type="dxa"/>
            <w:vMerge/>
            <w:vAlign w:val="center"/>
          </w:tcPr>
          <w:p w14:paraId="081D6F74" w14:textId="77777777" w:rsidR="004D1935" w:rsidRPr="00191458" w:rsidRDefault="004D1935" w:rsidP="00E24DC9">
            <w:pPr>
              <w:jc w:val="center"/>
              <w:rPr>
                <w:color w:val="000000" w:themeColor="text1"/>
                <w:sz w:val="16"/>
                <w:szCs w:val="16"/>
              </w:rPr>
            </w:pPr>
          </w:p>
        </w:tc>
      </w:tr>
      <w:tr w:rsidR="004D1935" w:rsidRPr="00191458" w14:paraId="4787D92A" w14:textId="77777777" w:rsidTr="00E24DC9">
        <w:tc>
          <w:tcPr>
            <w:tcW w:w="708" w:type="dxa"/>
            <w:vMerge/>
            <w:vAlign w:val="center"/>
          </w:tcPr>
          <w:p w14:paraId="56CF2C1D"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64DC3544"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336.1791</w:t>
            </w:r>
          </w:p>
        </w:tc>
        <w:tc>
          <w:tcPr>
            <w:tcW w:w="2665" w:type="dxa"/>
            <w:vMerge/>
            <w:vAlign w:val="center"/>
          </w:tcPr>
          <w:p w14:paraId="6EF45EA5" w14:textId="77777777" w:rsidR="004D1935" w:rsidRPr="00191458" w:rsidRDefault="004D1935" w:rsidP="00E24DC9">
            <w:pPr>
              <w:jc w:val="center"/>
              <w:rPr>
                <w:color w:val="000000" w:themeColor="text1"/>
                <w:sz w:val="16"/>
                <w:szCs w:val="16"/>
              </w:rPr>
            </w:pPr>
          </w:p>
        </w:tc>
        <w:tc>
          <w:tcPr>
            <w:tcW w:w="1701" w:type="dxa"/>
            <w:vMerge/>
            <w:vAlign w:val="center"/>
          </w:tcPr>
          <w:p w14:paraId="2FDFE431" w14:textId="77777777" w:rsidR="004D1935" w:rsidRPr="00191458" w:rsidRDefault="004D1935" w:rsidP="00E24DC9">
            <w:pPr>
              <w:jc w:val="center"/>
              <w:rPr>
                <w:color w:val="000000" w:themeColor="text1"/>
                <w:sz w:val="16"/>
                <w:szCs w:val="16"/>
              </w:rPr>
            </w:pPr>
          </w:p>
        </w:tc>
        <w:tc>
          <w:tcPr>
            <w:tcW w:w="1985" w:type="dxa"/>
            <w:vMerge/>
            <w:vAlign w:val="center"/>
          </w:tcPr>
          <w:p w14:paraId="3B41F635" w14:textId="77777777" w:rsidR="004D1935" w:rsidRPr="00191458" w:rsidRDefault="004D1935" w:rsidP="00E24DC9">
            <w:pPr>
              <w:jc w:val="center"/>
              <w:rPr>
                <w:color w:val="000000" w:themeColor="text1"/>
                <w:sz w:val="16"/>
                <w:szCs w:val="16"/>
              </w:rPr>
            </w:pPr>
          </w:p>
        </w:tc>
        <w:tc>
          <w:tcPr>
            <w:tcW w:w="7087" w:type="dxa"/>
            <w:vMerge/>
            <w:vAlign w:val="center"/>
          </w:tcPr>
          <w:p w14:paraId="6C8F10E4" w14:textId="77777777" w:rsidR="004D1935" w:rsidRPr="00191458" w:rsidRDefault="004D1935" w:rsidP="00E24DC9">
            <w:pPr>
              <w:jc w:val="center"/>
              <w:rPr>
                <w:color w:val="000000" w:themeColor="text1"/>
                <w:sz w:val="16"/>
                <w:szCs w:val="16"/>
              </w:rPr>
            </w:pPr>
          </w:p>
        </w:tc>
      </w:tr>
      <w:tr w:rsidR="004D1935" w:rsidRPr="00191458" w14:paraId="6DF6ABF9" w14:textId="77777777" w:rsidTr="00E24DC9">
        <w:tc>
          <w:tcPr>
            <w:tcW w:w="708" w:type="dxa"/>
            <w:vMerge/>
            <w:vAlign w:val="center"/>
          </w:tcPr>
          <w:p w14:paraId="41A2EE1C"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22957773"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336.2192</w:t>
            </w:r>
          </w:p>
        </w:tc>
        <w:tc>
          <w:tcPr>
            <w:tcW w:w="2665" w:type="dxa"/>
            <w:vMerge/>
            <w:vAlign w:val="center"/>
          </w:tcPr>
          <w:p w14:paraId="5B1430FF" w14:textId="77777777" w:rsidR="004D1935" w:rsidRPr="00191458" w:rsidRDefault="004D1935" w:rsidP="00E24DC9">
            <w:pPr>
              <w:jc w:val="center"/>
              <w:rPr>
                <w:color w:val="000000" w:themeColor="text1"/>
                <w:sz w:val="16"/>
                <w:szCs w:val="16"/>
              </w:rPr>
            </w:pPr>
          </w:p>
        </w:tc>
        <w:tc>
          <w:tcPr>
            <w:tcW w:w="1701" w:type="dxa"/>
            <w:vMerge/>
            <w:vAlign w:val="center"/>
          </w:tcPr>
          <w:p w14:paraId="30A885A6" w14:textId="77777777" w:rsidR="004D1935" w:rsidRPr="00191458" w:rsidRDefault="004D1935" w:rsidP="00E24DC9">
            <w:pPr>
              <w:jc w:val="center"/>
              <w:rPr>
                <w:color w:val="000000" w:themeColor="text1"/>
                <w:sz w:val="16"/>
                <w:szCs w:val="16"/>
              </w:rPr>
            </w:pPr>
          </w:p>
        </w:tc>
        <w:tc>
          <w:tcPr>
            <w:tcW w:w="1985" w:type="dxa"/>
            <w:vMerge/>
            <w:vAlign w:val="center"/>
          </w:tcPr>
          <w:p w14:paraId="4C1BF111" w14:textId="77777777" w:rsidR="004D1935" w:rsidRPr="00191458" w:rsidRDefault="004D1935" w:rsidP="00E24DC9">
            <w:pPr>
              <w:jc w:val="center"/>
              <w:rPr>
                <w:color w:val="000000" w:themeColor="text1"/>
                <w:sz w:val="16"/>
                <w:szCs w:val="16"/>
              </w:rPr>
            </w:pPr>
          </w:p>
        </w:tc>
        <w:tc>
          <w:tcPr>
            <w:tcW w:w="7087" w:type="dxa"/>
            <w:vMerge/>
            <w:vAlign w:val="center"/>
          </w:tcPr>
          <w:p w14:paraId="66FC091E" w14:textId="77777777" w:rsidR="004D1935" w:rsidRPr="00191458" w:rsidRDefault="004D1935" w:rsidP="00E24DC9">
            <w:pPr>
              <w:jc w:val="center"/>
              <w:rPr>
                <w:color w:val="000000" w:themeColor="text1"/>
                <w:sz w:val="16"/>
                <w:szCs w:val="16"/>
              </w:rPr>
            </w:pPr>
          </w:p>
        </w:tc>
      </w:tr>
      <w:tr w:rsidR="004D1935" w:rsidRPr="00191458" w14:paraId="47D9D298" w14:textId="77777777" w:rsidTr="00E24DC9">
        <w:tc>
          <w:tcPr>
            <w:tcW w:w="708" w:type="dxa"/>
            <w:vMerge/>
            <w:vAlign w:val="center"/>
          </w:tcPr>
          <w:p w14:paraId="2B3054C3"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7830867E"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336.2593</w:t>
            </w:r>
          </w:p>
        </w:tc>
        <w:tc>
          <w:tcPr>
            <w:tcW w:w="2665" w:type="dxa"/>
            <w:vMerge/>
            <w:vAlign w:val="center"/>
          </w:tcPr>
          <w:p w14:paraId="78A47ED0" w14:textId="77777777" w:rsidR="004D1935" w:rsidRPr="00191458" w:rsidRDefault="004D1935" w:rsidP="00E24DC9">
            <w:pPr>
              <w:jc w:val="center"/>
              <w:rPr>
                <w:color w:val="000000" w:themeColor="text1"/>
                <w:sz w:val="16"/>
                <w:szCs w:val="16"/>
              </w:rPr>
            </w:pPr>
          </w:p>
        </w:tc>
        <w:tc>
          <w:tcPr>
            <w:tcW w:w="1701" w:type="dxa"/>
            <w:vMerge/>
            <w:vAlign w:val="center"/>
          </w:tcPr>
          <w:p w14:paraId="59A1F942" w14:textId="77777777" w:rsidR="004D1935" w:rsidRPr="00191458" w:rsidRDefault="004D1935" w:rsidP="00E24DC9">
            <w:pPr>
              <w:jc w:val="center"/>
              <w:rPr>
                <w:color w:val="000000" w:themeColor="text1"/>
                <w:sz w:val="16"/>
                <w:szCs w:val="16"/>
              </w:rPr>
            </w:pPr>
          </w:p>
        </w:tc>
        <w:tc>
          <w:tcPr>
            <w:tcW w:w="1985" w:type="dxa"/>
            <w:vMerge/>
            <w:vAlign w:val="center"/>
          </w:tcPr>
          <w:p w14:paraId="35E43105" w14:textId="77777777" w:rsidR="004D1935" w:rsidRPr="00191458" w:rsidRDefault="004D1935" w:rsidP="00E24DC9">
            <w:pPr>
              <w:jc w:val="center"/>
              <w:rPr>
                <w:color w:val="000000" w:themeColor="text1"/>
                <w:sz w:val="16"/>
                <w:szCs w:val="16"/>
              </w:rPr>
            </w:pPr>
          </w:p>
        </w:tc>
        <w:tc>
          <w:tcPr>
            <w:tcW w:w="7087" w:type="dxa"/>
            <w:vMerge/>
            <w:vAlign w:val="center"/>
          </w:tcPr>
          <w:p w14:paraId="0E3950B4" w14:textId="77777777" w:rsidR="004D1935" w:rsidRPr="00191458" w:rsidRDefault="004D1935" w:rsidP="00E24DC9">
            <w:pPr>
              <w:jc w:val="center"/>
              <w:rPr>
                <w:color w:val="000000" w:themeColor="text1"/>
                <w:sz w:val="16"/>
                <w:szCs w:val="16"/>
              </w:rPr>
            </w:pPr>
          </w:p>
        </w:tc>
      </w:tr>
      <w:tr w:rsidR="004D1935" w:rsidRPr="00191458" w14:paraId="74D71150" w14:textId="77777777" w:rsidTr="00E24DC9">
        <w:tc>
          <w:tcPr>
            <w:tcW w:w="708" w:type="dxa"/>
            <w:vMerge/>
            <w:vAlign w:val="center"/>
          </w:tcPr>
          <w:p w14:paraId="0A70FCD2"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2B9FB179"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336.0990</w:t>
            </w:r>
          </w:p>
        </w:tc>
        <w:tc>
          <w:tcPr>
            <w:tcW w:w="2665" w:type="dxa"/>
            <w:vMerge/>
            <w:vAlign w:val="center"/>
          </w:tcPr>
          <w:p w14:paraId="286836BD" w14:textId="77777777" w:rsidR="004D1935" w:rsidRPr="00191458" w:rsidRDefault="004D1935" w:rsidP="00E24DC9">
            <w:pPr>
              <w:jc w:val="center"/>
              <w:rPr>
                <w:color w:val="000000" w:themeColor="text1"/>
                <w:sz w:val="16"/>
                <w:szCs w:val="16"/>
              </w:rPr>
            </w:pPr>
          </w:p>
        </w:tc>
        <w:tc>
          <w:tcPr>
            <w:tcW w:w="1701" w:type="dxa"/>
            <w:vMerge/>
            <w:vAlign w:val="center"/>
          </w:tcPr>
          <w:p w14:paraId="4108CAF3" w14:textId="77777777" w:rsidR="004D1935" w:rsidRPr="00191458" w:rsidRDefault="004D1935" w:rsidP="00E24DC9">
            <w:pPr>
              <w:jc w:val="center"/>
              <w:rPr>
                <w:color w:val="000000" w:themeColor="text1"/>
                <w:sz w:val="16"/>
                <w:szCs w:val="16"/>
              </w:rPr>
            </w:pPr>
          </w:p>
        </w:tc>
        <w:tc>
          <w:tcPr>
            <w:tcW w:w="1985" w:type="dxa"/>
            <w:vMerge/>
            <w:vAlign w:val="center"/>
          </w:tcPr>
          <w:p w14:paraId="095EA166" w14:textId="77777777" w:rsidR="004D1935" w:rsidRPr="00191458" w:rsidRDefault="004D1935" w:rsidP="00E24DC9">
            <w:pPr>
              <w:jc w:val="center"/>
              <w:rPr>
                <w:color w:val="000000" w:themeColor="text1"/>
                <w:sz w:val="16"/>
                <w:szCs w:val="16"/>
              </w:rPr>
            </w:pPr>
          </w:p>
        </w:tc>
        <w:tc>
          <w:tcPr>
            <w:tcW w:w="7087" w:type="dxa"/>
            <w:vMerge/>
            <w:vAlign w:val="center"/>
          </w:tcPr>
          <w:p w14:paraId="0E6286B9" w14:textId="77777777" w:rsidR="004D1935" w:rsidRPr="00191458" w:rsidRDefault="004D1935" w:rsidP="00E24DC9">
            <w:pPr>
              <w:jc w:val="center"/>
              <w:rPr>
                <w:color w:val="000000" w:themeColor="text1"/>
                <w:sz w:val="16"/>
                <w:szCs w:val="16"/>
              </w:rPr>
            </w:pPr>
          </w:p>
        </w:tc>
      </w:tr>
      <w:tr w:rsidR="004D1935" w:rsidRPr="00191458" w14:paraId="57B109A6" w14:textId="77777777" w:rsidTr="00E24DC9">
        <w:tc>
          <w:tcPr>
            <w:tcW w:w="708" w:type="dxa"/>
            <w:vMerge/>
            <w:vAlign w:val="center"/>
          </w:tcPr>
          <w:p w14:paraId="79C02D69"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5C9AFF04"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336.1230</w:t>
            </w:r>
          </w:p>
        </w:tc>
        <w:tc>
          <w:tcPr>
            <w:tcW w:w="2665" w:type="dxa"/>
            <w:vMerge/>
            <w:vAlign w:val="center"/>
          </w:tcPr>
          <w:p w14:paraId="41362F9E" w14:textId="77777777" w:rsidR="004D1935" w:rsidRPr="00191458" w:rsidRDefault="004D1935" w:rsidP="00E24DC9">
            <w:pPr>
              <w:jc w:val="center"/>
              <w:rPr>
                <w:color w:val="000000" w:themeColor="text1"/>
                <w:sz w:val="16"/>
                <w:szCs w:val="16"/>
              </w:rPr>
            </w:pPr>
          </w:p>
        </w:tc>
        <w:tc>
          <w:tcPr>
            <w:tcW w:w="1701" w:type="dxa"/>
            <w:vMerge/>
            <w:vAlign w:val="center"/>
          </w:tcPr>
          <w:p w14:paraId="56CDA134" w14:textId="77777777" w:rsidR="004D1935" w:rsidRPr="00191458" w:rsidRDefault="004D1935" w:rsidP="00E24DC9">
            <w:pPr>
              <w:jc w:val="center"/>
              <w:rPr>
                <w:color w:val="000000" w:themeColor="text1"/>
                <w:sz w:val="16"/>
                <w:szCs w:val="16"/>
              </w:rPr>
            </w:pPr>
          </w:p>
        </w:tc>
        <w:tc>
          <w:tcPr>
            <w:tcW w:w="1985" w:type="dxa"/>
            <w:vMerge/>
            <w:vAlign w:val="center"/>
          </w:tcPr>
          <w:p w14:paraId="29AE3BCE" w14:textId="77777777" w:rsidR="004D1935" w:rsidRPr="00191458" w:rsidRDefault="004D1935" w:rsidP="00E24DC9">
            <w:pPr>
              <w:jc w:val="center"/>
              <w:rPr>
                <w:color w:val="000000" w:themeColor="text1"/>
                <w:sz w:val="16"/>
                <w:szCs w:val="16"/>
              </w:rPr>
            </w:pPr>
          </w:p>
        </w:tc>
        <w:tc>
          <w:tcPr>
            <w:tcW w:w="7087" w:type="dxa"/>
            <w:vMerge/>
            <w:vAlign w:val="center"/>
          </w:tcPr>
          <w:p w14:paraId="1C39279A" w14:textId="77777777" w:rsidR="004D1935" w:rsidRPr="00191458" w:rsidRDefault="004D1935" w:rsidP="00E24DC9">
            <w:pPr>
              <w:jc w:val="center"/>
              <w:rPr>
                <w:color w:val="000000" w:themeColor="text1"/>
                <w:sz w:val="16"/>
                <w:szCs w:val="16"/>
              </w:rPr>
            </w:pPr>
          </w:p>
        </w:tc>
      </w:tr>
      <w:tr w:rsidR="004D1935" w:rsidRPr="00191458" w14:paraId="0D3ECA6E" w14:textId="77777777" w:rsidTr="00E24DC9">
        <w:tc>
          <w:tcPr>
            <w:tcW w:w="708" w:type="dxa"/>
            <w:vMerge/>
            <w:vAlign w:val="center"/>
          </w:tcPr>
          <w:p w14:paraId="3DCC02D1"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5694D9C6"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336.1631</w:t>
            </w:r>
          </w:p>
        </w:tc>
        <w:tc>
          <w:tcPr>
            <w:tcW w:w="2665" w:type="dxa"/>
            <w:vMerge/>
            <w:vAlign w:val="center"/>
          </w:tcPr>
          <w:p w14:paraId="27737692" w14:textId="77777777" w:rsidR="004D1935" w:rsidRPr="00191458" w:rsidRDefault="004D1935" w:rsidP="00E24DC9">
            <w:pPr>
              <w:jc w:val="center"/>
              <w:rPr>
                <w:color w:val="000000" w:themeColor="text1"/>
                <w:sz w:val="16"/>
                <w:szCs w:val="16"/>
              </w:rPr>
            </w:pPr>
          </w:p>
        </w:tc>
        <w:tc>
          <w:tcPr>
            <w:tcW w:w="1701" w:type="dxa"/>
            <w:vMerge/>
            <w:vAlign w:val="center"/>
          </w:tcPr>
          <w:p w14:paraId="13987943" w14:textId="77777777" w:rsidR="004D1935" w:rsidRPr="00191458" w:rsidRDefault="004D1935" w:rsidP="00E24DC9">
            <w:pPr>
              <w:jc w:val="center"/>
              <w:rPr>
                <w:color w:val="000000" w:themeColor="text1"/>
                <w:sz w:val="16"/>
                <w:szCs w:val="16"/>
              </w:rPr>
            </w:pPr>
          </w:p>
        </w:tc>
        <w:tc>
          <w:tcPr>
            <w:tcW w:w="1985" w:type="dxa"/>
            <w:vMerge/>
            <w:vAlign w:val="center"/>
          </w:tcPr>
          <w:p w14:paraId="5B70B7FC" w14:textId="77777777" w:rsidR="004D1935" w:rsidRPr="00191458" w:rsidRDefault="004D1935" w:rsidP="00E24DC9">
            <w:pPr>
              <w:jc w:val="center"/>
              <w:rPr>
                <w:color w:val="000000" w:themeColor="text1"/>
                <w:sz w:val="16"/>
                <w:szCs w:val="16"/>
              </w:rPr>
            </w:pPr>
          </w:p>
        </w:tc>
        <w:tc>
          <w:tcPr>
            <w:tcW w:w="7087" w:type="dxa"/>
            <w:vMerge/>
            <w:vAlign w:val="center"/>
          </w:tcPr>
          <w:p w14:paraId="0E4F24AD" w14:textId="77777777" w:rsidR="004D1935" w:rsidRPr="00191458" w:rsidRDefault="004D1935" w:rsidP="00E24DC9">
            <w:pPr>
              <w:jc w:val="center"/>
              <w:rPr>
                <w:color w:val="000000" w:themeColor="text1"/>
                <w:sz w:val="16"/>
                <w:szCs w:val="16"/>
              </w:rPr>
            </w:pPr>
          </w:p>
        </w:tc>
      </w:tr>
      <w:tr w:rsidR="004D1935" w:rsidRPr="00191458" w14:paraId="3D4AD988" w14:textId="77777777" w:rsidTr="00E24DC9">
        <w:tc>
          <w:tcPr>
            <w:tcW w:w="708" w:type="dxa"/>
            <w:vMerge/>
            <w:vAlign w:val="center"/>
          </w:tcPr>
          <w:p w14:paraId="3CE89FAC"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43426ECA"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336.2032</w:t>
            </w:r>
          </w:p>
        </w:tc>
        <w:tc>
          <w:tcPr>
            <w:tcW w:w="2665" w:type="dxa"/>
            <w:vMerge/>
            <w:vAlign w:val="center"/>
          </w:tcPr>
          <w:p w14:paraId="66A10509" w14:textId="77777777" w:rsidR="004D1935" w:rsidRPr="00191458" w:rsidRDefault="004D1935" w:rsidP="00E24DC9">
            <w:pPr>
              <w:jc w:val="center"/>
              <w:rPr>
                <w:color w:val="000000" w:themeColor="text1"/>
                <w:sz w:val="16"/>
                <w:szCs w:val="16"/>
              </w:rPr>
            </w:pPr>
          </w:p>
        </w:tc>
        <w:tc>
          <w:tcPr>
            <w:tcW w:w="1701" w:type="dxa"/>
            <w:vMerge/>
            <w:vAlign w:val="center"/>
          </w:tcPr>
          <w:p w14:paraId="4A4B1950" w14:textId="77777777" w:rsidR="004D1935" w:rsidRPr="00191458" w:rsidRDefault="004D1935" w:rsidP="00E24DC9">
            <w:pPr>
              <w:jc w:val="center"/>
              <w:rPr>
                <w:color w:val="000000" w:themeColor="text1"/>
                <w:sz w:val="16"/>
                <w:szCs w:val="16"/>
              </w:rPr>
            </w:pPr>
          </w:p>
        </w:tc>
        <w:tc>
          <w:tcPr>
            <w:tcW w:w="1985" w:type="dxa"/>
            <w:vMerge/>
            <w:vAlign w:val="center"/>
          </w:tcPr>
          <w:p w14:paraId="3E16F33F" w14:textId="77777777" w:rsidR="004D1935" w:rsidRPr="00191458" w:rsidRDefault="004D1935" w:rsidP="00E24DC9">
            <w:pPr>
              <w:jc w:val="center"/>
              <w:rPr>
                <w:color w:val="000000" w:themeColor="text1"/>
                <w:sz w:val="16"/>
                <w:szCs w:val="16"/>
              </w:rPr>
            </w:pPr>
          </w:p>
        </w:tc>
        <w:tc>
          <w:tcPr>
            <w:tcW w:w="7087" w:type="dxa"/>
            <w:vMerge/>
            <w:vAlign w:val="center"/>
          </w:tcPr>
          <w:p w14:paraId="117E81EB" w14:textId="77777777" w:rsidR="004D1935" w:rsidRPr="00191458" w:rsidRDefault="004D1935" w:rsidP="00E24DC9">
            <w:pPr>
              <w:jc w:val="center"/>
              <w:rPr>
                <w:color w:val="000000" w:themeColor="text1"/>
                <w:sz w:val="16"/>
                <w:szCs w:val="16"/>
              </w:rPr>
            </w:pPr>
          </w:p>
        </w:tc>
      </w:tr>
      <w:tr w:rsidR="004D1935" w:rsidRPr="00191458" w14:paraId="5B52CA6D" w14:textId="77777777" w:rsidTr="00E24DC9">
        <w:tc>
          <w:tcPr>
            <w:tcW w:w="708" w:type="dxa"/>
            <w:vMerge/>
            <w:vAlign w:val="center"/>
          </w:tcPr>
          <w:p w14:paraId="7B8802FB"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2BE74973"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336.2432</w:t>
            </w:r>
          </w:p>
        </w:tc>
        <w:tc>
          <w:tcPr>
            <w:tcW w:w="2665" w:type="dxa"/>
            <w:vMerge/>
            <w:vAlign w:val="center"/>
          </w:tcPr>
          <w:p w14:paraId="62F99AC4" w14:textId="77777777" w:rsidR="004D1935" w:rsidRPr="00191458" w:rsidRDefault="004D1935" w:rsidP="00E24DC9">
            <w:pPr>
              <w:jc w:val="center"/>
              <w:rPr>
                <w:color w:val="000000" w:themeColor="text1"/>
                <w:sz w:val="16"/>
                <w:szCs w:val="16"/>
              </w:rPr>
            </w:pPr>
          </w:p>
        </w:tc>
        <w:tc>
          <w:tcPr>
            <w:tcW w:w="1701" w:type="dxa"/>
            <w:vMerge/>
            <w:vAlign w:val="center"/>
          </w:tcPr>
          <w:p w14:paraId="1CB330D0" w14:textId="77777777" w:rsidR="004D1935" w:rsidRPr="00191458" w:rsidRDefault="004D1935" w:rsidP="00E24DC9">
            <w:pPr>
              <w:jc w:val="center"/>
              <w:rPr>
                <w:color w:val="000000" w:themeColor="text1"/>
                <w:sz w:val="16"/>
                <w:szCs w:val="16"/>
              </w:rPr>
            </w:pPr>
          </w:p>
        </w:tc>
        <w:tc>
          <w:tcPr>
            <w:tcW w:w="1985" w:type="dxa"/>
            <w:vMerge/>
            <w:vAlign w:val="center"/>
          </w:tcPr>
          <w:p w14:paraId="21646CB6" w14:textId="77777777" w:rsidR="004D1935" w:rsidRPr="00191458" w:rsidRDefault="004D1935" w:rsidP="00E24DC9">
            <w:pPr>
              <w:jc w:val="center"/>
              <w:rPr>
                <w:color w:val="000000" w:themeColor="text1"/>
                <w:sz w:val="16"/>
                <w:szCs w:val="16"/>
              </w:rPr>
            </w:pPr>
          </w:p>
        </w:tc>
        <w:tc>
          <w:tcPr>
            <w:tcW w:w="7087" w:type="dxa"/>
            <w:vMerge/>
            <w:vAlign w:val="center"/>
          </w:tcPr>
          <w:p w14:paraId="24AB5118" w14:textId="77777777" w:rsidR="004D1935" w:rsidRPr="00191458" w:rsidRDefault="004D1935" w:rsidP="00E24DC9">
            <w:pPr>
              <w:jc w:val="center"/>
              <w:rPr>
                <w:color w:val="000000" w:themeColor="text1"/>
                <w:sz w:val="16"/>
                <w:szCs w:val="16"/>
              </w:rPr>
            </w:pPr>
          </w:p>
        </w:tc>
      </w:tr>
      <w:tr w:rsidR="004D1935" w:rsidRPr="00191458" w14:paraId="69F528D2" w14:textId="77777777" w:rsidTr="00E24DC9">
        <w:tc>
          <w:tcPr>
            <w:tcW w:w="708" w:type="dxa"/>
            <w:vMerge/>
            <w:vAlign w:val="center"/>
          </w:tcPr>
          <w:p w14:paraId="122CA718"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561301FC"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336.2833</w:t>
            </w:r>
          </w:p>
        </w:tc>
        <w:tc>
          <w:tcPr>
            <w:tcW w:w="2665" w:type="dxa"/>
            <w:vMerge/>
            <w:vAlign w:val="center"/>
          </w:tcPr>
          <w:p w14:paraId="323FF837" w14:textId="77777777" w:rsidR="004D1935" w:rsidRPr="00191458" w:rsidRDefault="004D1935" w:rsidP="00E24DC9">
            <w:pPr>
              <w:jc w:val="center"/>
              <w:rPr>
                <w:color w:val="000000" w:themeColor="text1"/>
                <w:sz w:val="16"/>
                <w:szCs w:val="16"/>
              </w:rPr>
            </w:pPr>
          </w:p>
        </w:tc>
        <w:tc>
          <w:tcPr>
            <w:tcW w:w="1701" w:type="dxa"/>
            <w:vMerge/>
            <w:vAlign w:val="center"/>
          </w:tcPr>
          <w:p w14:paraId="5B221D63" w14:textId="77777777" w:rsidR="004D1935" w:rsidRPr="00191458" w:rsidRDefault="004D1935" w:rsidP="00E24DC9">
            <w:pPr>
              <w:jc w:val="center"/>
              <w:rPr>
                <w:color w:val="000000" w:themeColor="text1"/>
                <w:sz w:val="16"/>
                <w:szCs w:val="16"/>
              </w:rPr>
            </w:pPr>
          </w:p>
        </w:tc>
        <w:tc>
          <w:tcPr>
            <w:tcW w:w="1985" w:type="dxa"/>
            <w:vMerge/>
            <w:vAlign w:val="center"/>
          </w:tcPr>
          <w:p w14:paraId="46CE3CC6" w14:textId="77777777" w:rsidR="004D1935" w:rsidRPr="00191458" w:rsidRDefault="004D1935" w:rsidP="00E24DC9">
            <w:pPr>
              <w:jc w:val="center"/>
              <w:rPr>
                <w:color w:val="000000" w:themeColor="text1"/>
                <w:sz w:val="16"/>
                <w:szCs w:val="16"/>
              </w:rPr>
            </w:pPr>
          </w:p>
        </w:tc>
        <w:tc>
          <w:tcPr>
            <w:tcW w:w="7087" w:type="dxa"/>
            <w:vMerge/>
            <w:vAlign w:val="center"/>
          </w:tcPr>
          <w:p w14:paraId="70FE61A7" w14:textId="77777777" w:rsidR="004D1935" w:rsidRPr="00191458" w:rsidRDefault="004D1935" w:rsidP="00E24DC9">
            <w:pPr>
              <w:jc w:val="center"/>
              <w:rPr>
                <w:color w:val="000000" w:themeColor="text1"/>
                <w:sz w:val="16"/>
                <w:szCs w:val="16"/>
              </w:rPr>
            </w:pPr>
          </w:p>
        </w:tc>
      </w:tr>
      <w:tr w:rsidR="004D1935" w:rsidRPr="00191458" w14:paraId="6D7F3DE1" w14:textId="77777777" w:rsidTr="00E24DC9">
        <w:tc>
          <w:tcPr>
            <w:tcW w:w="708" w:type="dxa"/>
            <w:vMerge/>
            <w:vAlign w:val="center"/>
          </w:tcPr>
          <w:p w14:paraId="7D2BE284" w14:textId="77777777" w:rsidR="004D1935" w:rsidRPr="00191458" w:rsidRDefault="004D1935" w:rsidP="00E24DC9">
            <w:pPr>
              <w:jc w:val="center"/>
              <w:rPr>
                <w:color w:val="000000" w:themeColor="text1"/>
                <w:sz w:val="16"/>
                <w:szCs w:val="16"/>
              </w:rPr>
            </w:pPr>
          </w:p>
        </w:tc>
        <w:tc>
          <w:tcPr>
            <w:tcW w:w="1022" w:type="dxa"/>
            <w:tcBorders>
              <w:top w:val="nil"/>
              <w:bottom w:val="single" w:sz="4" w:space="0" w:color="auto"/>
            </w:tcBorders>
            <w:vAlign w:val="center"/>
          </w:tcPr>
          <w:p w14:paraId="179DE72E" w14:textId="77777777" w:rsidR="004D1935"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336.0856</w:t>
            </w:r>
          </w:p>
          <w:p w14:paraId="1FBA81B1" w14:textId="77777777" w:rsidR="004D1935" w:rsidRDefault="004D1935" w:rsidP="00E24DC9">
            <w:pPr>
              <w:jc w:val="center"/>
              <w:rPr>
                <w:rFonts w:ascii="Calibri" w:hAnsi="Calibri" w:cs="Calibri"/>
                <w:color w:val="000000" w:themeColor="text1"/>
                <w:sz w:val="16"/>
                <w:szCs w:val="16"/>
              </w:rPr>
            </w:pPr>
          </w:p>
          <w:p w14:paraId="510E1CB2" w14:textId="51F8A03C" w:rsidR="004D1935" w:rsidRDefault="004D1935" w:rsidP="00E24DC9">
            <w:pPr>
              <w:jc w:val="center"/>
              <w:rPr>
                <w:rFonts w:ascii="Calibri" w:hAnsi="Calibri" w:cs="Calibri"/>
                <w:color w:val="000000" w:themeColor="text1"/>
                <w:sz w:val="16"/>
                <w:szCs w:val="16"/>
              </w:rPr>
            </w:pPr>
          </w:p>
          <w:p w14:paraId="4A28099E" w14:textId="7D05DAD8" w:rsidR="00284587" w:rsidRDefault="00284587" w:rsidP="00E24DC9">
            <w:pPr>
              <w:jc w:val="center"/>
              <w:rPr>
                <w:rFonts w:ascii="Calibri" w:hAnsi="Calibri" w:cs="Calibri"/>
                <w:color w:val="000000" w:themeColor="text1"/>
                <w:sz w:val="16"/>
                <w:szCs w:val="16"/>
              </w:rPr>
            </w:pPr>
          </w:p>
          <w:p w14:paraId="64A9989D" w14:textId="77777777" w:rsidR="00284587" w:rsidRDefault="00284587" w:rsidP="00E24DC9">
            <w:pPr>
              <w:jc w:val="center"/>
              <w:rPr>
                <w:rFonts w:ascii="Calibri" w:hAnsi="Calibri" w:cs="Calibri"/>
                <w:color w:val="000000" w:themeColor="text1"/>
                <w:sz w:val="16"/>
                <w:szCs w:val="16"/>
              </w:rPr>
            </w:pPr>
          </w:p>
          <w:p w14:paraId="256FB7C0" w14:textId="77777777" w:rsidR="004D1935" w:rsidRPr="00191458" w:rsidRDefault="004D1935" w:rsidP="00E24DC9">
            <w:pPr>
              <w:jc w:val="center"/>
              <w:rPr>
                <w:rFonts w:ascii="Calibri" w:hAnsi="Calibri" w:cs="Calibri"/>
                <w:color w:val="000000" w:themeColor="text1"/>
                <w:sz w:val="16"/>
                <w:szCs w:val="16"/>
              </w:rPr>
            </w:pPr>
          </w:p>
        </w:tc>
        <w:tc>
          <w:tcPr>
            <w:tcW w:w="2665" w:type="dxa"/>
            <w:vMerge/>
            <w:vAlign w:val="center"/>
          </w:tcPr>
          <w:p w14:paraId="49E9077B" w14:textId="77777777" w:rsidR="004D1935" w:rsidRPr="00191458" w:rsidRDefault="004D1935" w:rsidP="00E24DC9">
            <w:pPr>
              <w:jc w:val="center"/>
              <w:rPr>
                <w:color w:val="000000" w:themeColor="text1"/>
                <w:sz w:val="16"/>
                <w:szCs w:val="16"/>
              </w:rPr>
            </w:pPr>
          </w:p>
        </w:tc>
        <w:tc>
          <w:tcPr>
            <w:tcW w:w="1701" w:type="dxa"/>
            <w:vMerge/>
            <w:vAlign w:val="center"/>
          </w:tcPr>
          <w:p w14:paraId="0BD0E582" w14:textId="77777777" w:rsidR="004D1935" w:rsidRPr="00191458" w:rsidRDefault="004D1935" w:rsidP="00E24DC9">
            <w:pPr>
              <w:jc w:val="center"/>
              <w:rPr>
                <w:color w:val="000000" w:themeColor="text1"/>
                <w:sz w:val="16"/>
                <w:szCs w:val="16"/>
              </w:rPr>
            </w:pPr>
          </w:p>
        </w:tc>
        <w:tc>
          <w:tcPr>
            <w:tcW w:w="1985" w:type="dxa"/>
            <w:vMerge/>
            <w:vAlign w:val="center"/>
          </w:tcPr>
          <w:p w14:paraId="68016E50" w14:textId="77777777" w:rsidR="004D1935" w:rsidRPr="00191458" w:rsidRDefault="004D1935" w:rsidP="00E24DC9">
            <w:pPr>
              <w:jc w:val="center"/>
              <w:rPr>
                <w:color w:val="000000" w:themeColor="text1"/>
                <w:sz w:val="16"/>
                <w:szCs w:val="16"/>
              </w:rPr>
            </w:pPr>
          </w:p>
        </w:tc>
        <w:tc>
          <w:tcPr>
            <w:tcW w:w="7087" w:type="dxa"/>
            <w:vMerge/>
            <w:vAlign w:val="center"/>
          </w:tcPr>
          <w:p w14:paraId="19F1D4D9" w14:textId="77777777" w:rsidR="004D1935" w:rsidRPr="00191458" w:rsidRDefault="004D1935" w:rsidP="00E24DC9">
            <w:pPr>
              <w:jc w:val="center"/>
              <w:rPr>
                <w:color w:val="000000" w:themeColor="text1"/>
                <w:sz w:val="16"/>
                <w:szCs w:val="16"/>
              </w:rPr>
            </w:pPr>
          </w:p>
        </w:tc>
      </w:tr>
      <w:tr w:rsidR="004D1935" w:rsidRPr="00191458" w14:paraId="5B7D5EBA" w14:textId="77777777" w:rsidTr="00E24DC9">
        <w:tc>
          <w:tcPr>
            <w:tcW w:w="708" w:type="dxa"/>
            <w:vMerge w:val="restart"/>
            <w:vAlign w:val="center"/>
          </w:tcPr>
          <w:p w14:paraId="4575D1A8" w14:textId="77777777" w:rsidR="004D1935" w:rsidRPr="00191458" w:rsidRDefault="004D1935" w:rsidP="00E24DC9">
            <w:pPr>
              <w:jc w:val="center"/>
              <w:rPr>
                <w:color w:val="000000" w:themeColor="text1"/>
                <w:sz w:val="16"/>
                <w:szCs w:val="16"/>
              </w:rPr>
            </w:pPr>
            <w:r w:rsidRPr="00191458">
              <w:rPr>
                <w:color w:val="000000" w:themeColor="text1"/>
                <w:sz w:val="16"/>
                <w:szCs w:val="16"/>
              </w:rPr>
              <w:lastRenderedPageBreak/>
              <w:t>NA</w:t>
            </w:r>
          </w:p>
        </w:tc>
        <w:tc>
          <w:tcPr>
            <w:tcW w:w="1022" w:type="dxa"/>
            <w:tcBorders>
              <w:bottom w:val="nil"/>
            </w:tcBorders>
            <w:vAlign w:val="center"/>
          </w:tcPr>
          <w:p w14:paraId="53F8E9AE"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314.1198</w:t>
            </w:r>
          </w:p>
        </w:tc>
        <w:tc>
          <w:tcPr>
            <w:tcW w:w="2665" w:type="dxa"/>
            <w:vMerge w:val="restart"/>
            <w:vAlign w:val="center"/>
          </w:tcPr>
          <w:p w14:paraId="0F299546" w14:textId="77777777" w:rsidR="004D1935" w:rsidRPr="00FD7D35" w:rsidRDefault="00000000" w:rsidP="00E24DC9">
            <w:pPr>
              <w:jc w:val="center"/>
              <w:rPr>
                <w:color w:val="000000" w:themeColor="text1"/>
                <w:sz w:val="16"/>
                <w:szCs w:val="16"/>
              </w:rPr>
            </w:pPr>
            <w:hyperlink r:id="rId141" w:history="1">
              <w:r w:rsidR="004D1935" w:rsidRPr="00FD7D35">
                <w:rPr>
                  <w:rStyle w:val="Hyperlink"/>
                  <w:rFonts w:ascii="Calibri" w:eastAsia="Cambria" w:hAnsi="Calibri" w:cs="Calibri"/>
                  <w:color w:val="000000" w:themeColor="text1"/>
                  <w:sz w:val="16"/>
                  <w:szCs w:val="16"/>
                </w:rPr>
                <w:t>cannabidiol</w:t>
              </w:r>
            </w:hyperlink>
          </w:p>
          <w:p w14:paraId="495068D5" w14:textId="77777777" w:rsidR="004D1935" w:rsidRPr="00FD7D35" w:rsidRDefault="00000000" w:rsidP="00E24DC9">
            <w:pPr>
              <w:jc w:val="center"/>
              <w:rPr>
                <w:color w:val="000000" w:themeColor="text1"/>
                <w:sz w:val="16"/>
                <w:szCs w:val="16"/>
              </w:rPr>
            </w:pPr>
            <w:hyperlink r:id="rId142" w:history="1">
              <w:r w:rsidR="004D1935" w:rsidRPr="00FD7D35">
                <w:rPr>
                  <w:rStyle w:val="Hyperlink"/>
                  <w:rFonts w:ascii="Calibri" w:eastAsia="Cambria" w:hAnsi="Calibri" w:cs="Calibri"/>
                  <w:color w:val="000000" w:themeColor="text1"/>
                  <w:sz w:val="16"/>
                  <w:szCs w:val="16"/>
                </w:rPr>
                <w:t>progesterone</w:t>
              </w:r>
            </w:hyperlink>
          </w:p>
          <w:p w14:paraId="2CD29B62" w14:textId="77777777" w:rsidR="004D1935" w:rsidRPr="00191458" w:rsidRDefault="00000000" w:rsidP="00E24DC9">
            <w:pPr>
              <w:jc w:val="center"/>
              <w:rPr>
                <w:color w:val="000000" w:themeColor="text1"/>
                <w:sz w:val="16"/>
                <w:szCs w:val="16"/>
              </w:rPr>
            </w:pPr>
            <w:hyperlink r:id="rId143" w:history="1">
              <w:r w:rsidR="004D1935" w:rsidRPr="00FD7D35">
                <w:rPr>
                  <w:rStyle w:val="Hyperlink"/>
                  <w:rFonts w:ascii="Calibri" w:eastAsia="Cambria" w:hAnsi="Calibri" w:cs="Calibri"/>
                  <w:color w:val="000000" w:themeColor="text1"/>
                  <w:sz w:val="16"/>
                  <w:szCs w:val="16"/>
                </w:rPr>
                <w:t>9,10-epoxy-18-hydroxystearate</w:t>
              </w:r>
            </w:hyperlink>
          </w:p>
        </w:tc>
        <w:tc>
          <w:tcPr>
            <w:tcW w:w="1701" w:type="dxa"/>
            <w:vMerge w:val="restart"/>
            <w:vAlign w:val="center"/>
          </w:tcPr>
          <w:p w14:paraId="269FB693" w14:textId="77777777" w:rsidR="004D1935" w:rsidRPr="00191458" w:rsidRDefault="004D1935" w:rsidP="00E24DC9">
            <w:pPr>
              <w:jc w:val="center"/>
              <w:rPr>
                <w:color w:val="000000" w:themeColor="text1"/>
                <w:sz w:val="16"/>
                <w:szCs w:val="16"/>
              </w:rPr>
            </w:pPr>
            <w:r w:rsidRPr="00191458">
              <w:rPr>
                <w:rFonts w:ascii="Arial" w:hAnsi="Arial" w:cs="Arial"/>
                <w:color w:val="000000" w:themeColor="text1"/>
                <w:sz w:val="16"/>
                <w:szCs w:val="16"/>
              </w:rPr>
              <w:t>C</w:t>
            </w:r>
            <w:r w:rsidRPr="00191458">
              <w:rPr>
                <w:rFonts w:ascii="Arial" w:hAnsi="Arial" w:cs="Arial"/>
                <w:color w:val="000000" w:themeColor="text1"/>
                <w:sz w:val="16"/>
                <w:szCs w:val="16"/>
                <w:vertAlign w:val="subscript"/>
              </w:rPr>
              <w:t>21</w:t>
            </w:r>
            <w:r w:rsidRPr="00191458">
              <w:rPr>
                <w:rFonts w:ascii="Arial" w:hAnsi="Arial" w:cs="Arial"/>
                <w:color w:val="000000" w:themeColor="text1"/>
                <w:sz w:val="16"/>
                <w:szCs w:val="16"/>
              </w:rPr>
              <w:t>H</w:t>
            </w:r>
            <w:r w:rsidRPr="00191458">
              <w:rPr>
                <w:rFonts w:ascii="Arial" w:hAnsi="Arial" w:cs="Arial"/>
                <w:color w:val="000000" w:themeColor="text1"/>
                <w:sz w:val="16"/>
                <w:szCs w:val="16"/>
                <w:vertAlign w:val="subscript"/>
              </w:rPr>
              <w:t>30</w:t>
            </w:r>
            <w:r w:rsidRPr="00191458">
              <w:rPr>
                <w:rFonts w:ascii="Arial" w:hAnsi="Arial" w:cs="Arial"/>
                <w:color w:val="000000" w:themeColor="text1"/>
                <w:sz w:val="16"/>
                <w:szCs w:val="16"/>
              </w:rPr>
              <w:t>O</w:t>
            </w:r>
            <w:r w:rsidRPr="00191458">
              <w:rPr>
                <w:rFonts w:ascii="Arial" w:hAnsi="Arial" w:cs="Arial"/>
                <w:color w:val="000000" w:themeColor="text1"/>
                <w:sz w:val="16"/>
                <w:szCs w:val="16"/>
                <w:vertAlign w:val="subscript"/>
              </w:rPr>
              <w:t>2</w:t>
            </w:r>
          </w:p>
          <w:p w14:paraId="582BF32D" w14:textId="77777777" w:rsidR="004D1935" w:rsidRPr="00191458" w:rsidRDefault="004D1935" w:rsidP="00E24DC9">
            <w:pPr>
              <w:jc w:val="center"/>
              <w:rPr>
                <w:color w:val="000000" w:themeColor="text1"/>
                <w:sz w:val="16"/>
                <w:szCs w:val="16"/>
              </w:rPr>
            </w:pPr>
            <w:r w:rsidRPr="00191458">
              <w:rPr>
                <w:rFonts w:ascii="Arial" w:hAnsi="Arial" w:cs="Arial"/>
                <w:color w:val="000000" w:themeColor="text1"/>
                <w:sz w:val="16"/>
                <w:szCs w:val="16"/>
              </w:rPr>
              <w:t>C</w:t>
            </w:r>
            <w:r w:rsidRPr="00191458">
              <w:rPr>
                <w:rFonts w:ascii="Arial" w:hAnsi="Arial" w:cs="Arial"/>
                <w:color w:val="000000" w:themeColor="text1"/>
                <w:sz w:val="16"/>
                <w:szCs w:val="16"/>
                <w:vertAlign w:val="subscript"/>
              </w:rPr>
              <w:t>21</w:t>
            </w:r>
            <w:r w:rsidRPr="00191458">
              <w:rPr>
                <w:rFonts w:ascii="Arial" w:hAnsi="Arial" w:cs="Arial"/>
                <w:color w:val="000000" w:themeColor="text1"/>
                <w:sz w:val="16"/>
                <w:szCs w:val="16"/>
              </w:rPr>
              <w:t>H</w:t>
            </w:r>
            <w:r w:rsidRPr="00191458">
              <w:rPr>
                <w:rFonts w:ascii="Arial" w:hAnsi="Arial" w:cs="Arial"/>
                <w:color w:val="000000" w:themeColor="text1"/>
                <w:sz w:val="16"/>
                <w:szCs w:val="16"/>
                <w:vertAlign w:val="subscript"/>
              </w:rPr>
              <w:t>30</w:t>
            </w:r>
            <w:r w:rsidRPr="00191458">
              <w:rPr>
                <w:rFonts w:ascii="Arial" w:hAnsi="Arial" w:cs="Arial"/>
                <w:color w:val="000000" w:themeColor="text1"/>
                <w:sz w:val="16"/>
                <w:szCs w:val="16"/>
              </w:rPr>
              <w:t>O</w:t>
            </w:r>
            <w:r w:rsidRPr="00191458">
              <w:rPr>
                <w:rFonts w:ascii="Arial" w:hAnsi="Arial" w:cs="Arial"/>
                <w:color w:val="000000" w:themeColor="text1"/>
                <w:sz w:val="16"/>
                <w:szCs w:val="16"/>
                <w:vertAlign w:val="subscript"/>
              </w:rPr>
              <w:t>2</w:t>
            </w:r>
          </w:p>
          <w:p w14:paraId="291CF405" w14:textId="77777777" w:rsidR="004D1935" w:rsidRPr="00191458" w:rsidRDefault="004D1935" w:rsidP="00E24DC9">
            <w:pPr>
              <w:jc w:val="center"/>
              <w:rPr>
                <w:color w:val="000000" w:themeColor="text1"/>
                <w:sz w:val="16"/>
                <w:szCs w:val="16"/>
              </w:rPr>
            </w:pPr>
            <w:r w:rsidRPr="00191458">
              <w:rPr>
                <w:rFonts w:ascii="Arial" w:hAnsi="Arial" w:cs="Arial"/>
                <w:color w:val="000000" w:themeColor="text1"/>
                <w:sz w:val="16"/>
                <w:szCs w:val="16"/>
              </w:rPr>
              <w:t>C</w:t>
            </w:r>
            <w:r w:rsidRPr="00191458">
              <w:rPr>
                <w:rFonts w:ascii="Arial" w:hAnsi="Arial" w:cs="Arial"/>
                <w:color w:val="000000" w:themeColor="text1"/>
                <w:sz w:val="16"/>
                <w:szCs w:val="16"/>
                <w:vertAlign w:val="subscript"/>
              </w:rPr>
              <w:t>18</w:t>
            </w:r>
            <w:r w:rsidRPr="00191458">
              <w:rPr>
                <w:rFonts w:ascii="Arial" w:hAnsi="Arial" w:cs="Arial"/>
                <w:color w:val="000000" w:themeColor="text1"/>
                <w:sz w:val="16"/>
                <w:szCs w:val="16"/>
              </w:rPr>
              <w:t>H</w:t>
            </w:r>
            <w:r w:rsidRPr="00191458">
              <w:rPr>
                <w:rFonts w:ascii="Arial" w:hAnsi="Arial" w:cs="Arial"/>
                <w:color w:val="000000" w:themeColor="text1"/>
                <w:sz w:val="16"/>
                <w:szCs w:val="16"/>
                <w:vertAlign w:val="subscript"/>
              </w:rPr>
              <w:t>33</w:t>
            </w:r>
            <w:r w:rsidRPr="00191458">
              <w:rPr>
                <w:rFonts w:ascii="Arial" w:hAnsi="Arial" w:cs="Arial"/>
                <w:color w:val="000000" w:themeColor="text1"/>
                <w:sz w:val="16"/>
                <w:szCs w:val="16"/>
              </w:rPr>
              <w:t>O</w:t>
            </w:r>
            <w:r w:rsidRPr="00191458">
              <w:rPr>
                <w:rFonts w:ascii="Arial" w:hAnsi="Arial" w:cs="Arial"/>
                <w:color w:val="000000" w:themeColor="text1"/>
                <w:sz w:val="16"/>
                <w:szCs w:val="16"/>
                <w:vertAlign w:val="subscript"/>
              </w:rPr>
              <w:t>4</w:t>
            </w:r>
          </w:p>
        </w:tc>
        <w:tc>
          <w:tcPr>
            <w:tcW w:w="1985" w:type="dxa"/>
            <w:vMerge w:val="restart"/>
            <w:vAlign w:val="center"/>
          </w:tcPr>
          <w:p w14:paraId="56CA2228"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isoprenoid</w:t>
            </w:r>
          </w:p>
          <w:p w14:paraId="238D372B"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steroid hormone</w:t>
            </w:r>
          </w:p>
          <w:p w14:paraId="7B8A2FE7"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fatty acid</w:t>
            </w:r>
          </w:p>
        </w:tc>
        <w:tc>
          <w:tcPr>
            <w:tcW w:w="7087" w:type="dxa"/>
            <w:vMerge w:val="restart"/>
            <w:vAlign w:val="center"/>
          </w:tcPr>
          <w:p w14:paraId="7F5CB576" w14:textId="77777777" w:rsidR="004D1935" w:rsidRPr="00191458" w:rsidRDefault="004D1935" w:rsidP="00E24DC9">
            <w:pPr>
              <w:jc w:val="center"/>
              <w:rPr>
                <w:color w:val="000000" w:themeColor="text1"/>
                <w:sz w:val="16"/>
                <w:szCs w:val="16"/>
              </w:rPr>
            </w:pPr>
            <w:r w:rsidRPr="00191458">
              <w:rPr>
                <w:rFonts w:ascii="Verdana" w:hAnsi="Verdana" w:cs="Calibri"/>
                <w:color w:val="000000" w:themeColor="text1"/>
                <w:sz w:val="16"/>
                <w:szCs w:val="16"/>
              </w:rPr>
              <w:t>Biosynthesis of secondary metabolites - unclassified</w:t>
            </w:r>
          </w:p>
          <w:p w14:paraId="22AA7C82" w14:textId="77777777" w:rsidR="004D1935" w:rsidRPr="00191458" w:rsidRDefault="004D1935" w:rsidP="00E24DC9">
            <w:pPr>
              <w:jc w:val="center"/>
              <w:rPr>
                <w:color w:val="000000" w:themeColor="text1"/>
                <w:sz w:val="16"/>
                <w:szCs w:val="16"/>
              </w:rPr>
            </w:pPr>
            <w:r w:rsidRPr="00191458">
              <w:rPr>
                <w:rFonts w:ascii="Verdana" w:hAnsi="Verdana" w:cs="Calibri"/>
                <w:color w:val="000000" w:themeColor="text1"/>
                <w:sz w:val="16"/>
                <w:szCs w:val="16"/>
              </w:rPr>
              <w:t>Jasmonic acid biosynthesis/shikimate pathway/</w:t>
            </w:r>
          </w:p>
          <w:p w14:paraId="01775ED2" w14:textId="77777777" w:rsidR="004D1935" w:rsidRPr="00191458" w:rsidRDefault="004D1935" w:rsidP="00E24DC9">
            <w:pPr>
              <w:jc w:val="center"/>
              <w:rPr>
                <w:color w:val="000000" w:themeColor="text1"/>
                <w:sz w:val="16"/>
                <w:szCs w:val="16"/>
              </w:rPr>
            </w:pPr>
            <w:r w:rsidRPr="00191458">
              <w:rPr>
                <w:rFonts w:ascii="Verdana" w:hAnsi="Verdana" w:cs="Calibri"/>
                <w:color w:val="000000" w:themeColor="text1"/>
                <w:sz w:val="16"/>
                <w:szCs w:val="16"/>
              </w:rPr>
              <w:t>Cutin, suberine and wax biosynthesis</w:t>
            </w:r>
          </w:p>
        </w:tc>
      </w:tr>
      <w:tr w:rsidR="004D1935" w:rsidRPr="00191458" w14:paraId="52CA0E3C" w14:textId="77777777" w:rsidTr="00E24DC9">
        <w:tc>
          <w:tcPr>
            <w:tcW w:w="708" w:type="dxa"/>
            <w:vMerge/>
            <w:vAlign w:val="center"/>
          </w:tcPr>
          <w:p w14:paraId="73A7E780"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0B690E51"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314.1598</w:t>
            </w:r>
          </w:p>
        </w:tc>
        <w:tc>
          <w:tcPr>
            <w:tcW w:w="2665" w:type="dxa"/>
            <w:vMerge/>
            <w:vAlign w:val="center"/>
          </w:tcPr>
          <w:p w14:paraId="5856F3CB" w14:textId="77777777" w:rsidR="004D1935" w:rsidRPr="00191458" w:rsidRDefault="004D1935" w:rsidP="00E24DC9">
            <w:pPr>
              <w:jc w:val="center"/>
              <w:rPr>
                <w:color w:val="000000" w:themeColor="text1"/>
                <w:sz w:val="16"/>
                <w:szCs w:val="16"/>
              </w:rPr>
            </w:pPr>
          </w:p>
        </w:tc>
        <w:tc>
          <w:tcPr>
            <w:tcW w:w="1701" w:type="dxa"/>
            <w:vMerge/>
            <w:vAlign w:val="center"/>
          </w:tcPr>
          <w:p w14:paraId="1AD39FB2" w14:textId="77777777" w:rsidR="004D1935" w:rsidRPr="00191458" w:rsidRDefault="004D1935" w:rsidP="00E24DC9">
            <w:pPr>
              <w:jc w:val="center"/>
              <w:rPr>
                <w:color w:val="000000" w:themeColor="text1"/>
                <w:sz w:val="16"/>
                <w:szCs w:val="16"/>
              </w:rPr>
            </w:pPr>
          </w:p>
        </w:tc>
        <w:tc>
          <w:tcPr>
            <w:tcW w:w="1985" w:type="dxa"/>
            <w:vMerge/>
            <w:vAlign w:val="center"/>
          </w:tcPr>
          <w:p w14:paraId="43A22730" w14:textId="77777777" w:rsidR="004D1935" w:rsidRPr="00191458" w:rsidRDefault="004D1935" w:rsidP="00E24DC9">
            <w:pPr>
              <w:jc w:val="center"/>
              <w:rPr>
                <w:color w:val="000000" w:themeColor="text1"/>
                <w:sz w:val="16"/>
                <w:szCs w:val="16"/>
              </w:rPr>
            </w:pPr>
          </w:p>
        </w:tc>
        <w:tc>
          <w:tcPr>
            <w:tcW w:w="7087" w:type="dxa"/>
            <w:vMerge/>
            <w:vAlign w:val="center"/>
          </w:tcPr>
          <w:p w14:paraId="3EC626C4" w14:textId="77777777" w:rsidR="004D1935" w:rsidRPr="00191458" w:rsidRDefault="004D1935" w:rsidP="00E24DC9">
            <w:pPr>
              <w:jc w:val="center"/>
              <w:rPr>
                <w:color w:val="000000" w:themeColor="text1"/>
                <w:sz w:val="16"/>
                <w:szCs w:val="16"/>
              </w:rPr>
            </w:pPr>
          </w:p>
        </w:tc>
      </w:tr>
      <w:tr w:rsidR="004D1935" w:rsidRPr="00191458" w14:paraId="6B15BEAA" w14:textId="77777777" w:rsidTr="00E24DC9">
        <w:tc>
          <w:tcPr>
            <w:tcW w:w="708" w:type="dxa"/>
            <w:vMerge/>
            <w:vAlign w:val="center"/>
          </w:tcPr>
          <w:p w14:paraId="2C90F641"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5043E903"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314.1999</w:t>
            </w:r>
          </w:p>
        </w:tc>
        <w:tc>
          <w:tcPr>
            <w:tcW w:w="2665" w:type="dxa"/>
            <w:vMerge/>
            <w:vAlign w:val="center"/>
          </w:tcPr>
          <w:p w14:paraId="584F0A48" w14:textId="77777777" w:rsidR="004D1935" w:rsidRPr="00191458" w:rsidRDefault="004D1935" w:rsidP="00E24DC9">
            <w:pPr>
              <w:jc w:val="center"/>
              <w:rPr>
                <w:color w:val="000000" w:themeColor="text1"/>
                <w:sz w:val="16"/>
                <w:szCs w:val="16"/>
              </w:rPr>
            </w:pPr>
          </w:p>
        </w:tc>
        <w:tc>
          <w:tcPr>
            <w:tcW w:w="1701" w:type="dxa"/>
            <w:vMerge/>
            <w:vAlign w:val="center"/>
          </w:tcPr>
          <w:p w14:paraId="6B4A3F19" w14:textId="77777777" w:rsidR="004D1935" w:rsidRPr="00191458" w:rsidRDefault="004D1935" w:rsidP="00E24DC9">
            <w:pPr>
              <w:jc w:val="center"/>
              <w:rPr>
                <w:color w:val="000000" w:themeColor="text1"/>
                <w:sz w:val="16"/>
                <w:szCs w:val="16"/>
              </w:rPr>
            </w:pPr>
          </w:p>
        </w:tc>
        <w:tc>
          <w:tcPr>
            <w:tcW w:w="1985" w:type="dxa"/>
            <w:vMerge/>
            <w:vAlign w:val="center"/>
          </w:tcPr>
          <w:p w14:paraId="1A63A536" w14:textId="77777777" w:rsidR="004D1935" w:rsidRPr="00191458" w:rsidRDefault="004D1935" w:rsidP="00E24DC9">
            <w:pPr>
              <w:jc w:val="center"/>
              <w:rPr>
                <w:color w:val="000000" w:themeColor="text1"/>
                <w:sz w:val="16"/>
                <w:szCs w:val="16"/>
              </w:rPr>
            </w:pPr>
          </w:p>
        </w:tc>
        <w:tc>
          <w:tcPr>
            <w:tcW w:w="7087" w:type="dxa"/>
            <w:vMerge/>
            <w:vAlign w:val="center"/>
          </w:tcPr>
          <w:p w14:paraId="7BC5B74B" w14:textId="77777777" w:rsidR="004D1935" w:rsidRPr="00191458" w:rsidRDefault="004D1935" w:rsidP="00E24DC9">
            <w:pPr>
              <w:jc w:val="center"/>
              <w:rPr>
                <w:color w:val="000000" w:themeColor="text1"/>
                <w:sz w:val="16"/>
                <w:szCs w:val="16"/>
              </w:rPr>
            </w:pPr>
          </w:p>
        </w:tc>
      </w:tr>
      <w:tr w:rsidR="004D1935" w:rsidRPr="00191458" w14:paraId="0FC89FAD" w14:textId="77777777" w:rsidTr="00E24DC9">
        <w:tc>
          <w:tcPr>
            <w:tcW w:w="708" w:type="dxa"/>
            <w:vMerge/>
            <w:vAlign w:val="center"/>
          </w:tcPr>
          <w:p w14:paraId="3C407ADE"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10B65AE9"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314.2400</w:t>
            </w:r>
          </w:p>
        </w:tc>
        <w:tc>
          <w:tcPr>
            <w:tcW w:w="2665" w:type="dxa"/>
            <w:vMerge/>
            <w:vAlign w:val="center"/>
          </w:tcPr>
          <w:p w14:paraId="3ECA6254" w14:textId="77777777" w:rsidR="004D1935" w:rsidRPr="00191458" w:rsidRDefault="004D1935" w:rsidP="00E24DC9">
            <w:pPr>
              <w:jc w:val="center"/>
              <w:rPr>
                <w:color w:val="000000" w:themeColor="text1"/>
                <w:sz w:val="16"/>
                <w:szCs w:val="16"/>
              </w:rPr>
            </w:pPr>
          </w:p>
        </w:tc>
        <w:tc>
          <w:tcPr>
            <w:tcW w:w="1701" w:type="dxa"/>
            <w:vMerge/>
            <w:vAlign w:val="center"/>
          </w:tcPr>
          <w:p w14:paraId="752B0781" w14:textId="77777777" w:rsidR="004D1935" w:rsidRPr="00191458" w:rsidRDefault="004D1935" w:rsidP="00E24DC9">
            <w:pPr>
              <w:jc w:val="center"/>
              <w:rPr>
                <w:color w:val="000000" w:themeColor="text1"/>
                <w:sz w:val="16"/>
                <w:szCs w:val="16"/>
              </w:rPr>
            </w:pPr>
          </w:p>
        </w:tc>
        <w:tc>
          <w:tcPr>
            <w:tcW w:w="1985" w:type="dxa"/>
            <w:vMerge/>
            <w:vAlign w:val="center"/>
          </w:tcPr>
          <w:p w14:paraId="0ECBDBA6" w14:textId="77777777" w:rsidR="004D1935" w:rsidRPr="00191458" w:rsidRDefault="004D1935" w:rsidP="00E24DC9">
            <w:pPr>
              <w:jc w:val="center"/>
              <w:rPr>
                <w:color w:val="000000" w:themeColor="text1"/>
                <w:sz w:val="16"/>
                <w:szCs w:val="16"/>
              </w:rPr>
            </w:pPr>
          </w:p>
        </w:tc>
        <w:tc>
          <w:tcPr>
            <w:tcW w:w="7087" w:type="dxa"/>
            <w:vMerge/>
            <w:vAlign w:val="center"/>
          </w:tcPr>
          <w:p w14:paraId="3DB6257A" w14:textId="77777777" w:rsidR="004D1935" w:rsidRPr="00191458" w:rsidRDefault="004D1935" w:rsidP="00E24DC9">
            <w:pPr>
              <w:jc w:val="center"/>
              <w:rPr>
                <w:color w:val="000000" w:themeColor="text1"/>
                <w:sz w:val="16"/>
                <w:szCs w:val="16"/>
              </w:rPr>
            </w:pPr>
          </w:p>
        </w:tc>
      </w:tr>
      <w:tr w:rsidR="004D1935" w:rsidRPr="00191458" w14:paraId="2787B4EE" w14:textId="77777777" w:rsidTr="00E24DC9">
        <w:tc>
          <w:tcPr>
            <w:tcW w:w="708" w:type="dxa"/>
            <w:vMerge/>
            <w:vAlign w:val="center"/>
          </w:tcPr>
          <w:p w14:paraId="1EA267F9"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577B70CE"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314.2801</w:t>
            </w:r>
          </w:p>
        </w:tc>
        <w:tc>
          <w:tcPr>
            <w:tcW w:w="2665" w:type="dxa"/>
            <w:vMerge/>
            <w:vAlign w:val="center"/>
          </w:tcPr>
          <w:p w14:paraId="35A37544" w14:textId="77777777" w:rsidR="004D1935" w:rsidRPr="00191458" w:rsidRDefault="004D1935" w:rsidP="00E24DC9">
            <w:pPr>
              <w:jc w:val="center"/>
              <w:rPr>
                <w:color w:val="000000" w:themeColor="text1"/>
                <w:sz w:val="16"/>
                <w:szCs w:val="16"/>
              </w:rPr>
            </w:pPr>
          </w:p>
        </w:tc>
        <w:tc>
          <w:tcPr>
            <w:tcW w:w="1701" w:type="dxa"/>
            <w:vMerge/>
            <w:vAlign w:val="center"/>
          </w:tcPr>
          <w:p w14:paraId="5AD670CB" w14:textId="77777777" w:rsidR="004D1935" w:rsidRPr="00191458" w:rsidRDefault="004D1935" w:rsidP="00E24DC9">
            <w:pPr>
              <w:jc w:val="center"/>
              <w:rPr>
                <w:color w:val="000000" w:themeColor="text1"/>
                <w:sz w:val="16"/>
                <w:szCs w:val="16"/>
              </w:rPr>
            </w:pPr>
          </w:p>
        </w:tc>
        <w:tc>
          <w:tcPr>
            <w:tcW w:w="1985" w:type="dxa"/>
            <w:vMerge/>
            <w:vAlign w:val="center"/>
          </w:tcPr>
          <w:p w14:paraId="6FB1F356" w14:textId="77777777" w:rsidR="004D1935" w:rsidRPr="00191458" w:rsidRDefault="004D1935" w:rsidP="00E24DC9">
            <w:pPr>
              <w:jc w:val="center"/>
              <w:rPr>
                <w:color w:val="000000" w:themeColor="text1"/>
                <w:sz w:val="16"/>
                <w:szCs w:val="16"/>
              </w:rPr>
            </w:pPr>
          </w:p>
        </w:tc>
        <w:tc>
          <w:tcPr>
            <w:tcW w:w="7087" w:type="dxa"/>
            <w:vMerge/>
            <w:vAlign w:val="center"/>
          </w:tcPr>
          <w:p w14:paraId="18D1110C" w14:textId="77777777" w:rsidR="004D1935" w:rsidRPr="00191458" w:rsidRDefault="004D1935" w:rsidP="00E24DC9">
            <w:pPr>
              <w:jc w:val="center"/>
              <w:rPr>
                <w:color w:val="000000" w:themeColor="text1"/>
                <w:sz w:val="16"/>
                <w:szCs w:val="16"/>
              </w:rPr>
            </w:pPr>
          </w:p>
        </w:tc>
      </w:tr>
      <w:tr w:rsidR="004D1935" w:rsidRPr="00191458" w14:paraId="404AC2B2" w14:textId="77777777" w:rsidTr="00E24DC9">
        <w:tc>
          <w:tcPr>
            <w:tcW w:w="708" w:type="dxa"/>
            <w:vMerge/>
            <w:vAlign w:val="center"/>
          </w:tcPr>
          <w:p w14:paraId="1C34D173"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3153EB17"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314.1144</w:t>
            </w:r>
          </w:p>
        </w:tc>
        <w:tc>
          <w:tcPr>
            <w:tcW w:w="2665" w:type="dxa"/>
            <w:vMerge/>
            <w:vAlign w:val="center"/>
          </w:tcPr>
          <w:p w14:paraId="7B6EA1AD" w14:textId="77777777" w:rsidR="004D1935" w:rsidRPr="00191458" w:rsidRDefault="004D1935" w:rsidP="00E24DC9">
            <w:pPr>
              <w:jc w:val="center"/>
              <w:rPr>
                <w:color w:val="000000" w:themeColor="text1"/>
                <w:sz w:val="16"/>
                <w:szCs w:val="16"/>
              </w:rPr>
            </w:pPr>
          </w:p>
        </w:tc>
        <w:tc>
          <w:tcPr>
            <w:tcW w:w="1701" w:type="dxa"/>
            <w:vMerge/>
            <w:vAlign w:val="center"/>
          </w:tcPr>
          <w:p w14:paraId="5E3D5F42" w14:textId="77777777" w:rsidR="004D1935" w:rsidRPr="00191458" w:rsidRDefault="004D1935" w:rsidP="00E24DC9">
            <w:pPr>
              <w:jc w:val="center"/>
              <w:rPr>
                <w:color w:val="000000" w:themeColor="text1"/>
                <w:sz w:val="16"/>
                <w:szCs w:val="16"/>
              </w:rPr>
            </w:pPr>
          </w:p>
        </w:tc>
        <w:tc>
          <w:tcPr>
            <w:tcW w:w="1985" w:type="dxa"/>
            <w:vMerge/>
            <w:vAlign w:val="center"/>
          </w:tcPr>
          <w:p w14:paraId="737C5917" w14:textId="77777777" w:rsidR="004D1935" w:rsidRPr="00191458" w:rsidRDefault="004D1935" w:rsidP="00E24DC9">
            <w:pPr>
              <w:jc w:val="center"/>
              <w:rPr>
                <w:color w:val="000000" w:themeColor="text1"/>
                <w:sz w:val="16"/>
                <w:szCs w:val="16"/>
              </w:rPr>
            </w:pPr>
          </w:p>
        </w:tc>
        <w:tc>
          <w:tcPr>
            <w:tcW w:w="7087" w:type="dxa"/>
            <w:vMerge/>
            <w:vAlign w:val="center"/>
          </w:tcPr>
          <w:p w14:paraId="0472B9B3" w14:textId="77777777" w:rsidR="004D1935" w:rsidRPr="00191458" w:rsidRDefault="004D1935" w:rsidP="00E24DC9">
            <w:pPr>
              <w:jc w:val="center"/>
              <w:rPr>
                <w:color w:val="000000" w:themeColor="text1"/>
                <w:sz w:val="16"/>
                <w:szCs w:val="16"/>
              </w:rPr>
            </w:pPr>
          </w:p>
        </w:tc>
      </w:tr>
      <w:tr w:rsidR="004D1935" w:rsidRPr="00191458" w14:paraId="3F54F659" w14:textId="77777777" w:rsidTr="00E24DC9">
        <w:tc>
          <w:tcPr>
            <w:tcW w:w="708" w:type="dxa"/>
            <w:vMerge/>
            <w:vAlign w:val="center"/>
          </w:tcPr>
          <w:p w14:paraId="0F1C0920"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4196B7AA"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314.1544</w:t>
            </w:r>
          </w:p>
        </w:tc>
        <w:tc>
          <w:tcPr>
            <w:tcW w:w="2665" w:type="dxa"/>
            <w:vMerge/>
            <w:vAlign w:val="center"/>
          </w:tcPr>
          <w:p w14:paraId="4E10C096" w14:textId="77777777" w:rsidR="004D1935" w:rsidRPr="00191458" w:rsidRDefault="004D1935" w:rsidP="00E24DC9">
            <w:pPr>
              <w:jc w:val="center"/>
              <w:rPr>
                <w:color w:val="000000" w:themeColor="text1"/>
                <w:sz w:val="16"/>
                <w:szCs w:val="16"/>
              </w:rPr>
            </w:pPr>
          </w:p>
        </w:tc>
        <w:tc>
          <w:tcPr>
            <w:tcW w:w="1701" w:type="dxa"/>
            <w:vMerge/>
            <w:vAlign w:val="center"/>
          </w:tcPr>
          <w:p w14:paraId="73B90D6F" w14:textId="77777777" w:rsidR="004D1935" w:rsidRPr="00191458" w:rsidRDefault="004D1935" w:rsidP="00E24DC9">
            <w:pPr>
              <w:jc w:val="center"/>
              <w:rPr>
                <w:color w:val="000000" w:themeColor="text1"/>
                <w:sz w:val="16"/>
                <w:szCs w:val="16"/>
              </w:rPr>
            </w:pPr>
          </w:p>
        </w:tc>
        <w:tc>
          <w:tcPr>
            <w:tcW w:w="1985" w:type="dxa"/>
            <w:vMerge/>
            <w:vAlign w:val="center"/>
          </w:tcPr>
          <w:p w14:paraId="1D455E74" w14:textId="77777777" w:rsidR="004D1935" w:rsidRPr="00191458" w:rsidRDefault="004D1935" w:rsidP="00E24DC9">
            <w:pPr>
              <w:jc w:val="center"/>
              <w:rPr>
                <w:color w:val="000000" w:themeColor="text1"/>
                <w:sz w:val="16"/>
                <w:szCs w:val="16"/>
              </w:rPr>
            </w:pPr>
          </w:p>
        </w:tc>
        <w:tc>
          <w:tcPr>
            <w:tcW w:w="7087" w:type="dxa"/>
            <w:vMerge/>
            <w:vAlign w:val="center"/>
          </w:tcPr>
          <w:p w14:paraId="094536D3" w14:textId="77777777" w:rsidR="004D1935" w:rsidRPr="00191458" w:rsidRDefault="004D1935" w:rsidP="00E24DC9">
            <w:pPr>
              <w:jc w:val="center"/>
              <w:rPr>
                <w:color w:val="000000" w:themeColor="text1"/>
                <w:sz w:val="16"/>
                <w:szCs w:val="16"/>
              </w:rPr>
            </w:pPr>
          </w:p>
        </w:tc>
      </w:tr>
      <w:tr w:rsidR="004D1935" w:rsidRPr="00191458" w14:paraId="4E23F3A9" w14:textId="77777777" w:rsidTr="00E24DC9">
        <w:tc>
          <w:tcPr>
            <w:tcW w:w="708" w:type="dxa"/>
            <w:vMerge/>
            <w:vAlign w:val="center"/>
          </w:tcPr>
          <w:p w14:paraId="397B88ED"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5340C8B5"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314.1945</w:t>
            </w:r>
          </w:p>
        </w:tc>
        <w:tc>
          <w:tcPr>
            <w:tcW w:w="2665" w:type="dxa"/>
            <w:vMerge/>
            <w:vAlign w:val="center"/>
          </w:tcPr>
          <w:p w14:paraId="7760B512" w14:textId="77777777" w:rsidR="004D1935" w:rsidRPr="00191458" w:rsidRDefault="004D1935" w:rsidP="00E24DC9">
            <w:pPr>
              <w:jc w:val="center"/>
              <w:rPr>
                <w:color w:val="000000" w:themeColor="text1"/>
                <w:sz w:val="16"/>
                <w:szCs w:val="16"/>
              </w:rPr>
            </w:pPr>
          </w:p>
        </w:tc>
        <w:tc>
          <w:tcPr>
            <w:tcW w:w="1701" w:type="dxa"/>
            <w:vMerge/>
            <w:vAlign w:val="center"/>
          </w:tcPr>
          <w:p w14:paraId="540F7444" w14:textId="77777777" w:rsidR="004D1935" w:rsidRPr="00191458" w:rsidRDefault="004D1935" w:rsidP="00E24DC9">
            <w:pPr>
              <w:jc w:val="center"/>
              <w:rPr>
                <w:color w:val="000000" w:themeColor="text1"/>
                <w:sz w:val="16"/>
                <w:szCs w:val="16"/>
              </w:rPr>
            </w:pPr>
          </w:p>
        </w:tc>
        <w:tc>
          <w:tcPr>
            <w:tcW w:w="1985" w:type="dxa"/>
            <w:vMerge/>
            <w:vAlign w:val="center"/>
          </w:tcPr>
          <w:p w14:paraId="6FEC30F0" w14:textId="77777777" w:rsidR="004D1935" w:rsidRPr="00191458" w:rsidRDefault="004D1935" w:rsidP="00E24DC9">
            <w:pPr>
              <w:jc w:val="center"/>
              <w:rPr>
                <w:color w:val="000000" w:themeColor="text1"/>
                <w:sz w:val="16"/>
                <w:szCs w:val="16"/>
              </w:rPr>
            </w:pPr>
          </w:p>
        </w:tc>
        <w:tc>
          <w:tcPr>
            <w:tcW w:w="7087" w:type="dxa"/>
            <w:vMerge/>
            <w:vAlign w:val="center"/>
          </w:tcPr>
          <w:p w14:paraId="531E5807" w14:textId="77777777" w:rsidR="004D1935" w:rsidRPr="00191458" w:rsidRDefault="004D1935" w:rsidP="00E24DC9">
            <w:pPr>
              <w:jc w:val="center"/>
              <w:rPr>
                <w:color w:val="000000" w:themeColor="text1"/>
                <w:sz w:val="16"/>
                <w:szCs w:val="16"/>
              </w:rPr>
            </w:pPr>
          </w:p>
        </w:tc>
      </w:tr>
      <w:tr w:rsidR="004D1935" w:rsidRPr="00191458" w14:paraId="6B2BE97F" w14:textId="77777777" w:rsidTr="00E24DC9">
        <w:tc>
          <w:tcPr>
            <w:tcW w:w="708" w:type="dxa"/>
            <w:vMerge/>
            <w:vAlign w:val="center"/>
          </w:tcPr>
          <w:p w14:paraId="5447828B"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5667FAC4"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314.2346</w:t>
            </w:r>
          </w:p>
        </w:tc>
        <w:tc>
          <w:tcPr>
            <w:tcW w:w="2665" w:type="dxa"/>
            <w:vMerge/>
            <w:vAlign w:val="center"/>
          </w:tcPr>
          <w:p w14:paraId="6E0C1D19" w14:textId="77777777" w:rsidR="004D1935" w:rsidRPr="00191458" w:rsidRDefault="004D1935" w:rsidP="00E24DC9">
            <w:pPr>
              <w:jc w:val="center"/>
              <w:rPr>
                <w:color w:val="000000" w:themeColor="text1"/>
                <w:sz w:val="16"/>
                <w:szCs w:val="16"/>
              </w:rPr>
            </w:pPr>
          </w:p>
        </w:tc>
        <w:tc>
          <w:tcPr>
            <w:tcW w:w="1701" w:type="dxa"/>
            <w:vMerge/>
            <w:vAlign w:val="center"/>
          </w:tcPr>
          <w:p w14:paraId="61C53780" w14:textId="77777777" w:rsidR="004D1935" w:rsidRPr="00191458" w:rsidRDefault="004D1935" w:rsidP="00E24DC9">
            <w:pPr>
              <w:jc w:val="center"/>
              <w:rPr>
                <w:color w:val="000000" w:themeColor="text1"/>
                <w:sz w:val="16"/>
                <w:szCs w:val="16"/>
              </w:rPr>
            </w:pPr>
          </w:p>
        </w:tc>
        <w:tc>
          <w:tcPr>
            <w:tcW w:w="1985" w:type="dxa"/>
            <w:vMerge/>
            <w:vAlign w:val="center"/>
          </w:tcPr>
          <w:p w14:paraId="65EF073C" w14:textId="77777777" w:rsidR="004D1935" w:rsidRPr="00191458" w:rsidRDefault="004D1935" w:rsidP="00E24DC9">
            <w:pPr>
              <w:jc w:val="center"/>
              <w:rPr>
                <w:color w:val="000000" w:themeColor="text1"/>
                <w:sz w:val="16"/>
                <w:szCs w:val="16"/>
              </w:rPr>
            </w:pPr>
          </w:p>
        </w:tc>
        <w:tc>
          <w:tcPr>
            <w:tcW w:w="7087" w:type="dxa"/>
            <w:vMerge/>
            <w:vAlign w:val="center"/>
          </w:tcPr>
          <w:p w14:paraId="1DF56B8E" w14:textId="77777777" w:rsidR="004D1935" w:rsidRPr="00191458" w:rsidRDefault="004D1935" w:rsidP="00E24DC9">
            <w:pPr>
              <w:jc w:val="center"/>
              <w:rPr>
                <w:color w:val="000000" w:themeColor="text1"/>
                <w:sz w:val="16"/>
                <w:szCs w:val="16"/>
              </w:rPr>
            </w:pPr>
          </w:p>
        </w:tc>
      </w:tr>
      <w:tr w:rsidR="004D1935" w:rsidRPr="00191458" w14:paraId="2B7126E1" w14:textId="77777777" w:rsidTr="00E24DC9">
        <w:tc>
          <w:tcPr>
            <w:tcW w:w="708" w:type="dxa"/>
            <w:vMerge/>
            <w:vAlign w:val="center"/>
          </w:tcPr>
          <w:p w14:paraId="0EA98ED9"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19D9C8EA"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314.2747</w:t>
            </w:r>
          </w:p>
        </w:tc>
        <w:tc>
          <w:tcPr>
            <w:tcW w:w="2665" w:type="dxa"/>
            <w:vMerge/>
            <w:vAlign w:val="center"/>
          </w:tcPr>
          <w:p w14:paraId="52FD87AF" w14:textId="77777777" w:rsidR="004D1935" w:rsidRPr="00191458" w:rsidRDefault="004D1935" w:rsidP="00E24DC9">
            <w:pPr>
              <w:jc w:val="center"/>
              <w:rPr>
                <w:color w:val="000000" w:themeColor="text1"/>
                <w:sz w:val="16"/>
                <w:szCs w:val="16"/>
              </w:rPr>
            </w:pPr>
          </w:p>
        </w:tc>
        <w:tc>
          <w:tcPr>
            <w:tcW w:w="1701" w:type="dxa"/>
            <w:vMerge/>
            <w:vAlign w:val="center"/>
          </w:tcPr>
          <w:p w14:paraId="634B13C6" w14:textId="77777777" w:rsidR="004D1935" w:rsidRPr="00191458" w:rsidRDefault="004D1935" w:rsidP="00E24DC9">
            <w:pPr>
              <w:jc w:val="center"/>
              <w:rPr>
                <w:color w:val="000000" w:themeColor="text1"/>
                <w:sz w:val="16"/>
                <w:szCs w:val="16"/>
              </w:rPr>
            </w:pPr>
          </w:p>
        </w:tc>
        <w:tc>
          <w:tcPr>
            <w:tcW w:w="1985" w:type="dxa"/>
            <w:vMerge/>
            <w:vAlign w:val="center"/>
          </w:tcPr>
          <w:p w14:paraId="52426C8B" w14:textId="77777777" w:rsidR="004D1935" w:rsidRPr="00191458" w:rsidRDefault="004D1935" w:rsidP="00E24DC9">
            <w:pPr>
              <w:jc w:val="center"/>
              <w:rPr>
                <w:color w:val="000000" w:themeColor="text1"/>
                <w:sz w:val="16"/>
                <w:szCs w:val="16"/>
              </w:rPr>
            </w:pPr>
          </w:p>
        </w:tc>
        <w:tc>
          <w:tcPr>
            <w:tcW w:w="7087" w:type="dxa"/>
            <w:vMerge/>
            <w:vAlign w:val="center"/>
          </w:tcPr>
          <w:p w14:paraId="594AF3A0" w14:textId="77777777" w:rsidR="004D1935" w:rsidRPr="00191458" w:rsidRDefault="004D1935" w:rsidP="00E24DC9">
            <w:pPr>
              <w:jc w:val="center"/>
              <w:rPr>
                <w:color w:val="000000" w:themeColor="text1"/>
                <w:sz w:val="16"/>
                <w:szCs w:val="16"/>
              </w:rPr>
            </w:pPr>
          </w:p>
        </w:tc>
      </w:tr>
      <w:tr w:rsidR="004D1935" w:rsidRPr="00191458" w14:paraId="7AC60370" w14:textId="77777777" w:rsidTr="00E24DC9">
        <w:tc>
          <w:tcPr>
            <w:tcW w:w="708" w:type="dxa"/>
            <w:vMerge/>
            <w:vAlign w:val="center"/>
          </w:tcPr>
          <w:p w14:paraId="2EED52D7"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618FD86C"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314.1571</w:t>
            </w:r>
          </w:p>
        </w:tc>
        <w:tc>
          <w:tcPr>
            <w:tcW w:w="2665" w:type="dxa"/>
            <w:vMerge/>
            <w:vAlign w:val="center"/>
          </w:tcPr>
          <w:p w14:paraId="666E8AAA" w14:textId="77777777" w:rsidR="004D1935" w:rsidRPr="00191458" w:rsidRDefault="004D1935" w:rsidP="00E24DC9">
            <w:pPr>
              <w:jc w:val="center"/>
              <w:rPr>
                <w:color w:val="000000" w:themeColor="text1"/>
                <w:sz w:val="16"/>
                <w:szCs w:val="16"/>
              </w:rPr>
            </w:pPr>
          </w:p>
        </w:tc>
        <w:tc>
          <w:tcPr>
            <w:tcW w:w="1701" w:type="dxa"/>
            <w:vMerge/>
            <w:vAlign w:val="center"/>
          </w:tcPr>
          <w:p w14:paraId="39CA7705" w14:textId="77777777" w:rsidR="004D1935" w:rsidRPr="00191458" w:rsidRDefault="004D1935" w:rsidP="00E24DC9">
            <w:pPr>
              <w:jc w:val="center"/>
              <w:rPr>
                <w:color w:val="000000" w:themeColor="text1"/>
                <w:sz w:val="16"/>
                <w:szCs w:val="16"/>
              </w:rPr>
            </w:pPr>
          </w:p>
        </w:tc>
        <w:tc>
          <w:tcPr>
            <w:tcW w:w="1985" w:type="dxa"/>
            <w:vMerge/>
            <w:vAlign w:val="center"/>
          </w:tcPr>
          <w:p w14:paraId="2744DDCC" w14:textId="77777777" w:rsidR="004D1935" w:rsidRPr="00191458" w:rsidRDefault="004D1935" w:rsidP="00E24DC9">
            <w:pPr>
              <w:jc w:val="center"/>
              <w:rPr>
                <w:color w:val="000000" w:themeColor="text1"/>
                <w:sz w:val="16"/>
                <w:szCs w:val="16"/>
              </w:rPr>
            </w:pPr>
          </w:p>
        </w:tc>
        <w:tc>
          <w:tcPr>
            <w:tcW w:w="7087" w:type="dxa"/>
            <w:vMerge/>
            <w:vAlign w:val="center"/>
          </w:tcPr>
          <w:p w14:paraId="17FDB2EE" w14:textId="77777777" w:rsidR="004D1935" w:rsidRPr="00191458" w:rsidRDefault="004D1935" w:rsidP="00E24DC9">
            <w:pPr>
              <w:jc w:val="center"/>
              <w:rPr>
                <w:color w:val="000000" w:themeColor="text1"/>
                <w:sz w:val="16"/>
                <w:szCs w:val="16"/>
              </w:rPr>
            </w:pPr>
          </w:p>
        </w:tc>
      </w:tr>
      <w:tr w:rsidR="004D1935" w:rsidRPr="00191458" w14:paraId="58084C69" w14:textId="77777777" w:rsidTr="00E24DC9">
        <w:tc>
          <w:tcPr>
            <w:tcW w:w="708" w:type="dxa"/>
            <w:vMerge/>
            <w:vAlign w:val="center"/>
          </w:tcPr>
          <w:p w14:paraId="197EDB9F"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32BC2706"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314.1972</w:t>
            </w:r>
          </w:p>
        </w:tc>
        <w:tc>
          <w:tcPr>
            <w:tcW w:w="2665" w:type="dxa"/>
            <w:vMerge/>
            <w:vAlign w:val="center"/>
          </w:tcPr>
          <w:p w14:paraId="7731D6DC" w14:textId="77777777" w:rsidR="004D1935" w:rsidRPr="00191458" w:rsidRDefault="004D1935" w:rsidP="00E24DC9">
            <w:pPr>
              <w:jc w:val="center"/>
              <w:rPr>
                <w:color w:val="000000" w:themeColor="text1"/>
                <w:sz w:val="16"/>
                <w:szCs w:val="16"/>
              </w:rPr>
            </w:pPr>
          </w:p>
        </w:tc>
        <w:tc>
          <w:tcPr>
            <w:tcW w:w="1701" w:type="dxa"/>
            <w:vMerge/>
            <w:vAlign w:val="center"/>
          </w:tcPr>
          <w:p w14:paraId="4E0CB347" w14:textId="77777777" w:rsidR="004D1935" w:rsidRPr="00191458" w:rsidRDefault="004D1935" w:rsidP="00E24DC9">
            <w:pPr>
              <w:jc w:val="center"/>
              <w:rPr>
                <w:color w:val="000000" w:themeColor="text1"/>
                <w:sz w:val="16"/>
                <w:szCs w:val="16"/>
              </w:rPr>
            </w:pPr>
          </w:p>
        </w:tc>
        <w:tc>
          <w:tcPr>
            <w:tcW w:w="1985" w:type="dxa"/>
            <w:vMerge/>
            <w:vAlign w:val="center"/>
          </w:tcPr>
          <w:p w14:paraId="58468049" w14:textId="77777777" w:rsidR="004D1935" w:rsidRPr="00191458" w:rsidRDefault="004D1935" w:rsidP="00E24DC9">
            <w:pPr>
              <w:jc w:val="center"/>
              <w:rPr>
                <w:color w:val="000000" w:themeColor="text1"/>
                <w:sz w:val="16"/>
                <w:szCs w:val="16"/>
              </w:rPr>
            </w:pPr>
          </w:p>
        </w:tc>
        <w:tc>
          <w:tcPr>
            <w:tcW w:w="7087" w:type="dxa"/>
            <w:vMerge/>
            <w:vAlign w:val="center"/>
          </w:tcPr>
          <w:p w14:paraId="23B45407" w14:textId="77777777" w:rsidR="004D1935" w:rsidRPr="00191458" w:rsidRDefault="004D1935" w:rsidP="00E24DC9">
            <w:pPr>
              <w:jc w:val="center"/>
              <w:rPr>
                <w:color w:val="000000" w:themeColor="text1"/>
                <w:sz w:val="16"/>
                <w:szCs w:val="16"/>
              </w:rPr>
            </w:pPr>
          </w:p>
        </w:tc>
      </w:tr>
      <w:tr w:rsidR="004D1935" w:rsidRPr="00191458" w14:paraId="45F6F434" w14:textId="77777777" w:rsidTr="00E24DC9">
        <w:tc>
          <w:tcPr>
            <w:tcW w:w="708" w:type="dxa"/>
            <w:vMerge/>
            <w:vAlign w:val="center"/>
          </w:tcPr>
          <w:p w14:paraId="51683701"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2612F98E"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314.2373</w:t>
            </w:r>
          </w:p>
        </w:tc>
        <w:tc>
          <w:tcPr>
            <w:tcW w:w="2665" w:type="dxa"/>
            <w:vMerge/>
            <w:vAlign w:val="center"/>
          </w:tcPr>
          <w:p w14:paraId="40FC8E68" w14:textId="77777777" w:rsidR="004D1935" w:rsidRPr="00191458" w:rsidRDefault="004D1935" w:rsidP="00E24DC9">
            <w:pPr>
              <w:jc w:val="center"/>
              <w:rPr>
                <w:color w:val="000000" w:themeColor="text1"/>
                <w:sz w:val="16"/>
                <w:szCs w:val="16"/>
              </w:rPr>
            </w:pPr>
          </w:p>
        </w:tc>
        <w:tc>
          <w:tcPr>
            <w:tcW w:w="1701" w:type="dxa"/>
            <w:vMerge/>
            <w:vAlign w:val="center"/>
          </w:tcPr>
          <w:p w14:paraId="33F0131C" w14:textId="77777777" w:rsidR="004D1935" w:rsidRPr="00191458" w:rsidRDefault="004D1935" w:rsidP="00E24DC9">
            <w:pPr>
              <w:jc w:val="center"/>
              <w:rPr>
                <w:color w:val="000000" w:themeColor="text1"/>
                <w:sz w:val="16"/>
                <w:szCs w:val="16"/>
              </w:rPr>
            </w:pPr>
          </w:p>
        </w:tc>
        <w:tc>
          <w:tcPr>
            <w:tcW w:w="1985" w:type="dxa"/>
            <w:vMerge/>
            <w:vAlign w:val="center"/>
          </w:tcPr>
          <w:p w14:paraId="1C19DF28" w14:textId="77777777" w:rsidR="004D1935" w:rsidRPr="00191458" w:rsidRDefault="004D1935" w:rsidP="00E24DC9">
            <w:pPr>
              <w:jc w:val="center"/>
              <w:rPr>
                <w:color w:val="000000" w:themeColor="text1"/>
                <w:sz w:val="16"/>
                <w:szCs w:val="16"/>
              </w:rPr>
            </w:pPr>
          </w:p>
        </w:tc>
        <w:tc>
          <w:tcPr>
            <w:tcW w:w="7087" w:type="dxa"/>
            <w:vMerge/>
            <w:vAlign w:val="center"/>
          </w:tcPr>
          <w:p w14:paraId="2792CE09" w14:textId="77777777" w:rsidR="004D1935" w:rsidRPr="00191458" w:rsidRDefault="004D1935" w:rsidP="00E24DC9">
            <w:pPr>
              <w:jc w:val="center"/>
              <w:rPr>
                <w:color w:val="000000" w:themeColor="text1"/>
                <w:sz w:val="16"/>
                <w:szCs w:val="16"/>
              </w:rPr>
            </w:pPr>
          </w:p>
        </w:tc>
      </w:tr>
      <w:tr w:rsidR="004D1935" w:rsidRPr="00191458" w14:paraId="0EEE1B4F" w14:textId="77777777" w:rsidTr="00E24DC9">
        <w:tc>
          <w:tcPr>
            <w:tcW w:w="708" w:type="dxa"/>
            <w:vMerge/>
            <w:vAlign w:val="center"/>
          </w:tcPr>
          <w:p w14:paraId="2E034CED"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4FAAF85D"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314.2774</w:t>
            </w:r>
          </w:p>
        </w:tc>
        <w:tc>
          <w:tcPr>
            <w:tcW w:w="2665" w:type="dxa"/>
            <w:vMerge/>
            <w:vAlign w:val="center"/>
          </w:tcPr>
          <w:p w14:paraId="6D06E093" w14:textId="77777777" w:rsidR="004D1935" w:rsidRPr="00191458" w:rsidRDefault="004D1935" w:rsidP="00E24DC9">
            <w:pPr>
              <w:jc w:val="center"/>
              <w:rPr>
                <w:color w:val="000000" w:themeColor="text1"/>
                <w:sz w:val="16"/>
                <w:szCs w:val="16"/>
              </w:rPr>
            </w:pPr>
          </w:p>
        </w:tc>
        <w:tc>
          <w:tcPr>
            <w:tcW w:w="1701" w:type="dxa"/>
            <w:vMerge/>
            <w:vAlign w:val="center"/>
          </w:tcPr>
          <w:p w14:paraId="3BE24A9C" w14:textId="77777777" w:rsidR="004D1935" w:rsidRPr="00191458" w:rsidRDefault="004D1935" w:rsidP="00E24DC9">
            <w:pPr>
              <w:jc w:val="center"/>
              <w:rPr>
                <w:color w:val="000000" w:themeColor="text1"/>
                <w:sz w:val="16"/>
                <w:szCs w:val="16"/>
              </w:rPr>
            </w:pPr>
          </w:p>
        </w:tc>
        <w:tc>
          <w:tcPr>
            <w:tcW w:w="1985" w:type="dxa"/>
            <w:vMerge/>
            <w:vAlign w:val="center"/>
          </w:tcPr>
          <w:p w14:paraId="73550907" w14:textId="77777777" w:rsidR="004D1935" w:rsidRPr="00191458" w:rsidRDefault="004D1935" w:rsidP="00E24DC9">
            <w:pPr>
              <w:jc w:val="center"/>
              <w:rPr>
                <w:color w:val="000000" w:themeColor="text1"/>
                <w:sz w:val="16"/>
                <w:szCs w:val="16"/>
              </w:rPr>
            </w:pPr>
          </w:p>
        </w:tc>
        <w:tc>
          <w:tcPr>
            <w:tcW w:w="7087" w:type="dxa"/>
            <w:vMerge/>
            <w:vAlign w:val="center"/>
          </w:tcPr>
          <w:p w14:paraId="204840E4" w14:textId="77777777" w:rsidR="004D1935" w:rsidRPr="00191458" w:rsidRDefault="004D1935" w:rsidP="00E24DC9">
            <w:pPr>
              <w:jc w:val="center"/>
              <w:rPr>
                <w:color w:val="000000" w:themeColor="text1"/>
                <w:sz w:val="16"/>
                <w:szCs w:val="16"/>
              </w:rPr>
            </w:pPr>
          </w:p>
        </w:tc>
      </w:tr>
      <w:tr w:rsidR="004D1935" w:rsidRPr="00191458" w14:paraId="795FB6E1" w14:textId="77777777" w:rsidTr="00E24DC9">
        <w:tc>
          <w:tcPr>
            <w:tcW w:w="708" w:type="dxa"/>
            <w:vMerge/>
            <w:vAlign w:val="center"/>
          </w:tcPr>
          <w:p w14:paraId="5F9A6D2E"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425B627D"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314.1171</w:t>
            </w:r>
          </w:p>
        </w:tc>
        <w:tc>
          <w:tcPr>
            <w:tcW w:w="2665" w:type="dxa"/>
            <w:vMerge/>
            <w:vAlign w:val="center"/>
          </w:tcPr>
          <w:p w14:paraId="46DE3B03" w14:textId="77777777" w:rsidR="004D1935" w:rsidRPr="00191458" w:rsidRDefault="004D1935" w:rsidP="00E24DC9">
            <w:pPr>
              <w:jc w:val="center"/>
              <w:rPr>
                <w:color w:val="000000" w:themeColor="text1"/>
                <w:sz w:val="16"/>
                <w:szCs w:val="16"/>
              </w:rPr>
            </w:pPr>
          </w:p>
        </w:tc>
        <w:tc>
          <w:tcPr>
            <w:tcW w:w="1701" w:type="dxa"/>
            <w:vMerge/>
            <w:vAlign w:val="center"/>
          </w:tcPr>
          <w:p w14:paraId="568AC79E" w14:textId="77777777" w:rsidR="004D1935" w:rsidRPr="00191458" w:rsidRDefault="004D1935" w:rsidP="00E24DC9">
            <w:pPr>
              <w:jc w:val="center"/>
              <w:rPr>
                <w:color w:val="000000" w:themeColor="text1"/>
                <w:sz w:val="16"/>
                <w:szCs w:val="16"/>
              </w:rPr>
            </w:pPr>
          </w:p>
        </w:tc>
        <w:tc>
          <w:tcPr>
            <w:tcW w:w="1985" w:type="dxa"/>
            <w:vMerge/>
            <w:vAlign w:val="center"/>
          </w:tcPr>
          <w:p w14:paraId="2518D6F6" w14:textId="77777777" w:rsidR="004D1935" w:rsidRPr="00191458" w:rsidRDefault="004D1935" w:rsidP="00E24DC9">
            <w:pPr>
              <w:jc w:val="center"/>
              <w:rPr>
                <w:color w:val="000000" w:themeColor="text1"/>
                <w:sz w:val="16"/>
                <w:szCs w:val="16"/>
              </w:rPr>
            </w:pPr>
          </w:p>
        </w:tc>
        <w:tc>
          <w:tcPr>
            <w:tcW w:w="7087" w:type="dxa"/>
            <w:vMerge/>
            <w:vAlign w:val="center"/>
          </w:tcPr>
          <w:p w14:paraId="44FB57AF" w14:textId="77777777" w:rsidR="004D1935" w:rsidRPr="00191458" w:rsidRDefault="004D1935" w:rsidP="00E24DC9">
            <w:pPr>
              <w:jc w:val="center"/>
              <w:rPr>
                <w:color w:val="000000" w:themeColor="text1"/>
                <w:sz w:val="16"/>
                <w:szCs w:val="16"/>
              </w:rPr>
            </w:pPr>
          </w:p>
        </w:tc>
      </w:tr>
      <w:tr w:rsidR="004D1935" w:rsidRPr="00191458" w14:paraId="6EEDC964" w14:textId="77777777" w:rsidTr="00E24DC9">
        <w:tc>
          <w:tcPr>
            <w:tcW w:w="708" w:type="dxa"/>
            <w:vMerge/>
            <w:vAlign w:val="center"/>
          </w:tcPr>
          <w:p w14:paraId="67F7BB90"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25E37DD2"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314.1411</w:t>
            </w:r>
          </w:p>
        </w:tc>
        <w:tc>
          <w:tcPr>
            <w:tcW w:w="2665" w:type="dxa"/>
            <w:vMerge/>
            <w:vAlign w:val="center"/>
          </w:tcPr>
          <w:p w14:paraId="235EBA75" w14:textId="77777777" w:rsidR="004D1935" w:rsidRPr="00191458" w:rsidRDefault="004D1935" w:rsidP="00E24DC9">
            <w:pPr>
              <w:jc w:val="center"/>
              <w:rPr>
                <w:color w:val="000000" w:themeColor="text1"/>
                <w:sz w:val="16"/>
                <w:szCs w:val="16"/>
              </w:rPr>
            </w:pPr>
          </w:p>
        </w:tc>
        <w:tc>
          <w:tcPr>
            <w:tcW w:w="1701" w:type="dxa"/>
            <w:vMerge/>
            <w:vAlign w:val="center"/>
          </w:tcPr>
          <w:p w14:paraId="0423D3D4" w14:textId="77777777" w:rsidR="004D1935" w:rsidRPr="00191458" w:rsidRDefault="004D1935" w:rsidP="00E24DC9">
            <w:pPr>
              <w:jc w:val="center"/>
              <w:rPr>
                <w:color w:val="000000" w:themeColor="text1"/>
                <w:sz w:val="16"/>
                <w:szCs w:val="16"/>
              </w:rPr>
            </w:pPr>
          </w:p>
        </w:tc>
        <w:tc>
          <w:tcPr>
            <w:tcW w:w="1985" w:type="dxa"/>
            <w:vMerge/>
            <w:vAlign w:val="center"/>
          </w:tcPr>
          <w:p w14:paraId="6D821DC4" w14:textId="77777777" w:rsidR="004D1935" w:rsidRPr="00191458" w:rsidRDefault="004D1935" w:rsidP="00E24DC9">
            <w:pPr>
              <w:jc w:val="center"/>
              <w:rPr>
                <w:color w:val="000000" w:themeColor="text1"/>
                <w:sz w:val="16"/>
                <w:szCs w:val="16"/>
              </w:rPr>
            </w:pPr>
          </w:p>
        </w:tc>
        <w:tc>
          <w:tcPr>
            <w:tcW w:w="7087" w:type="dxa"/>
            <w:vMerge/>
            <w:vAlign w:val="center"/>
          </w:tcPr>
          <w:p w14:paraId="33BCD96C" w14:textId="77777777" w:rsidR="004D1935" w:rsidRPr="00191458" w:rsidRDefault="004D1935" w:rsidP="00E24DC9">
            <w:pPr>
              <w:jc w:val="center"/>
              <w:rPr>
                <w:color w:val="000000" w:themeColor="text1"/>
                <w:sz w:val="16"/>
                <w:szCs w:val="16"/>
              </w:rPr>
            </w:pPr>
          </w:p>
        </w:tc>
      </w:tr>
      <w:tr w:rsidR="004D1935" w:rsidRPr="00191458" w14:paraId="13615914" w14:textId="77777777" w:rsidTr="00E24DC9">
        <w:tc>
          <w:tcPr>
            <w:tcW w:w="708" w:type="dxa"/>
            <w:vMerge/>
            <w:vAlign w:val="center"/>
          </w:tcPr>
          <w:p w14:paraId="3353F445"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36CEC71F"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314.1812</w:t>
            </w:r>
          </w:p>
        </w:tc>
        <w:tc>
          <w:tcPr>
            <w:tcW w:w="2665" w:type="dxa"/>
            <w:vMerge/>
            <w:vAlign w:val="center"/>
          </w:tcPr>
          <w:p w14:paraId="35B9B1C0" w14:textId="77777777" w:rsidR="004D1935" w:rsidRPr="00191458" w:rsidRDefault="004D1935" w:rsidP="00E24DC9">
            <w:pPr>
              <w:jc w:val="center"/>
              <w:rPr>
                <w:color w:val="000000" w:themeColor="text1"/>
                <w:sz w:val="16"/>
                <w:szCs w:val="16"/>
              </w:rPr>
            </w:pPr>
          </w:p>
        </w:tc>
        <w:tc>
          <w:tcPr>
            <w:tcW w:w="1701" w:type="dxa"/>
            <w:vMerge/>
            <w:vAlign w:val="center"/>
          </w:tcPr>
          <w:p w14:paraId="2FE4E326" w14:textId="77777777" w:rsidR="004D1935" w:rsidRPr="00191458" w:rsidRDefault="004D1935" w:rsidP="00E24DC9">
            <w:pPr>
              <w:jc w:val="center"/>
              <w:rPr>
                <w:color w:val="000000" w:themeColor="text1"/>
                <w:sz w:val="16"/>
                <w:szCs w:val="16"/>
              </w:rPr>
            </w:pPr>
          </w:p>
        </w:tc>
        <w:tc>
          <w:tcPr>
            <w:tcW w:w="1985" w:type="dxa"/>
            <w:vMerge/>
            <w:vAlign w:val="center"/>
          </w:tcPr>
          <w:p w14:paraId="7AEAFED2" w14:textId="77777777" w:rsidR="004D1935" w:rsidRPr="00191458" w:rsidRDefault="004D1935" w:rsidP="00E24DC9">
            <w:pPr>
              <w:jc w:val="center"/>
              <w:rPr>
                <w:color w:val="000000" w:themeColor="text1"/>
                <w:sz w:val="16"/>
                <w:szCs w:val="16"/>
              </w:rPr>
            </w:pPr>
          </w:p>
        </w:tc>
        <w:tc>
          <w:tcPr>
            <w:tcW w:w="7087" w:type="dxa"/>
            <w:vMerge/>
            <w:vAlign w:val="center"/>
          </w:tcPr>
          <w:p w14:paraId="243EAC36" w14:textId="77777777" w:rsidR="004D1935" w:rsidRPr="00191458" w:rsidRDefault="004D1935" w:rsidP="00E24DC9">
            <w:pPr>
              <w:jc w:val="center"/>
              <w:rPr>
                <w:color w:val="000000" w:themeColor="text1"/>
                <w:sz w:val="16"/>
                <w:szCs w:val="16"/>
              </w:rPr>
            </w:pPr>
          </w:p>
        </w:tc>
      </w:tr>
      <w:tr w:rsidR="004D1935" w:rsidRPr="00191458" w14:paraId="389347A9" w14:textId="77777777" w:rsidTr="00E24DC9">
        <w:tc>
          <w:tcPr>
            <w:tcW w:w="708" w:type="dxa"/>
            <w:vMerge/>
            <w:vAlign w:val="center"/>
          </w:tcPr>
          <w:p w14:paraId="18A3165B"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439D5C7A"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314.2212</w:t>
            </w:r>
          </w:p>
        </w:tc>
        <w:tc>
          <w:tcPr>
            <w:tcW w:w="2665" w:type="dxa"/>
            <w:vMerge/>
            <w:vAlign w:val="center"/>
          </w:tcPr>
          <w:p w14:paraId="06F18FBD" w14:textId="77777777" w:rsidR="004D1935" w:rsidRPr="00191458" w:rsidRDefault="004D1935" w:rsidP="00E24DC9">
            <w:pPr>
              <w:jc w:val="center"/>
              <w:rPr>
                <w:color w:val="000000" w:themeColor="text1"/>
                <w:sz w:val="16"/>
                <w:szCs w:val="16"/>
              </w:rPr>
            </w:pPr>
          </w:p>
        </w:tc>
        <w:tc>
          <w:tcPr>
            <w:tcW w:w="1701" w:type="dxa"/>
            <w:vMerge/>
            <w:vAlign w:val="center"/>
          </w:tcPr>
          <w:p w14:paraId="7C23E9D9" w14:textId="77777777" w:rsidR="004D1935" w:rsidRPr="00191458" w:rsidRDefault="004D1935" w:rsidP="00E24DC9">
            <w:pPr>
              <w:jc w:val="center"/>
              <w:rPr>
                <w:color w:val="000000" w:themeColor="text1"/>
                <w:sz w:val="16"/>
                <w:szCs w:val="16"/>
              </w:rPr>
            </w:pPr>
          </w:p>
        </w:tc>
        <w:tc>
          <w:tcPr>
            <w:tcW w:w="1985" w:type="dxa"/>
            <w:vMerge/>
            <w:vAlign w:val="center"/>
          </w:tcPr>
          <w:p w14:paraId="08CF1FC6" w14:textId="77777777" w:rsidR="004D1935" w:rsidRPr="00191458" w:rsidRDefault="004D1935" w:rsidP="00E24DC9">
            <w:pPr>
              <w:jc w:val="center"/>
              <w:rPr>
                <w:color w:val="000000" w:themeColor="text1"/>
                <w:sz w:val="16"/>
                <w:szCs w:val="16"/>
              </w:rPr>
            </w:pPr>
          </w:p>
        </w:tc>
        <w:tc>
          <w:tcPr>
            <w:tcW w:w="7087" w:type="dxa"/>
            <w:vMerge/>
            <w:vAlign w:val="center"/>
          </w:tcPr>
          <w:p w14:paraId="0D029ED0" w14:textId="77777777" w:rsidR="004D1935" w:rsidRPr="00191458" w:rsidRDefault="004D1935" w:rsidP="00E24DC9">
            <w:pPr>
              <w:jc w:val="center"/>
              <w:rPr>
                <w:color w:val="000000" w:themeColor="text1"/>
                <w:sz w:val="16"/>
                <w:szCs w:val="16"/>
              </w:rPr>
            </w:pPr>
          </w:p>
        </w:tc>
      </w:tr>
      <w:tr w:rsidR="004D1935" w:rsidRPr="00191458" w14:paraId="52779189" w14:textId="77777777" w:rsidTr="00E24DC9">
        <w:tc>
          <w:tcPr>
            <w:tcW w:w="708" w:type="dxa"/>
            <w:vMerge/>
            <w:vAlign w:val="center"/>
          </w:tcPr>
          <w:p w14:paraId="0530FDC8"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43849DE6"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314.2613</w:t>
            </w:r>
          </w:p>
        </w:tc>
        <w:tc>
          <w:tcPr>
            <w:tcW w:w="2665" w:type="dxa"/>
            <w:vMerge/>
            <w:vAlign w:val="center"/>
          </w:tcPr>
          <w:p w14:paraId="51AA5BE4" w14:textId="77777777" w:rsidR="004D1935" w:rsidRPr="00191458" w:rsidRDefault="004D1935" w:rsidP="00E24DC9">
            <w:pPr>
              <w:jc w:val="center"/>
              <w:rPr>
                <w:color w:val="000000" w:themeColor="text1"/>
                <w:sz w:val="16"/>
                <w:szCs w:val="16"/>
              </w:rPr>
            </w:pPr>
          </w:p>
        </w:tc>
        <w:tc>
          <w:tcPr>
            <w:tcW w:w="1701" w:type="dxa"/>
            <w:vMerge/>
            <w:vAlign w:val="center"/>
          </w:tcPr>
          <w:p w14:paraId="0F9423C8" w14:textId="77777777" w:rsidR="004D1935" w:rsidRPr="00191458" w:rsidRDefault="004D1935" w:rsidP="00E24DC9">
            <w:pPr>
              <w:jc w:val="center"/>
              <w:rPr>
                <w:color w:val="000000" w:themeColor="text1"/>
                <w:sz w:val="16"/>
                <w:szCs w:val="16"/>
              </w:rPr>
            </w:pPr>
          </w:p>
        </w:tc>
        <w:tc>
          <w:tcPr>
            <w:tcW w:w="1985" w:type="dxa"/>
            <w:vMerge/>
            <w:vAlign w:val="center"/>
          </w:tcPr>
          <w:p w14:paraId="412D5CFD" w14:textId="77777777" w:rsidR="004D1935" w:rsidRPr="00191458" w:rsidRDefault="004D1935" w:rsidP="00E24DC9">
            <w:pPr>
              <w:jc w:val="center"/>
              <w:rPr>
                <w:color w:val="000000" w:themeColor="text1"/>
                <w:sz w:val="16"/>
                <w:szCs w:val="16"/>
              </w:rPr>
            </w:pPr>
          </w:p>
        </w:tc>
        <w:tc>
          <w:tcPr>
            <w:tcW w:w="7087" w:type="dxa"/>
            <w:vMerge/>
            <w:vAlign w:val="center"/>
          </w:tcPr>
          <w:p w14:paraId="04552BA2" w14:textId="77777777" w:rsidR="004D1935" w:rsidRPr="00191458" w:rsidRDefault="004D1935" w:rsidP="00E24DC9">
            <w:pPr>
              <w:jc w:val="center"/>
              <w:rPr>
                <w:color w:val="000000" w:themeColor="text1"/>
                <w:sz w:val="16"/>
                <w:szCs w:val="16"/>
              </w:rPr>
            </w:pPr>
          </w:p>
        </w:tc>
      </w:tr>
      <w:tr w:rsidR="004D1935" w:rsidRPr="00191458" w14:paraId="25B26D4C" w14:textId="77777777" w:rsidTr="00E24DC9">
        <w:tc>
          <w:tcPr>
            <w:tcW w:w="708" w:type="dxa"/>
            <w:vMerge/>
            <w:vAlign w:val="center"/>
          </w:tcPr>
          <w:p w14:paraId="50170AA3" w14:textId="77777777" w:rsidR="004D1935" w:rsidRPr="00191458" w:rsidRDefault="004D1935" w:rsidP="00E24DC9">
            <w:pPr>
              <w:jc w:val="center"/>
              <w:rPr>
                <w:color w:val="000000" w:themeColor="text1"/>
                <w:sz w:val="16"/>
                <w:szCs w:val="16"/>
              </w:rPr>
            </w:pPr>
          </w:p>
        </w:tc>
        <w:tc>
          <w:tcPr>
            <w:tcW w:w="1022" w:type="dxa"/>
            <w:tcBorders>
              <w:top w:val="nil"/>
              <w:bottom w:val="nil"/>
            </w:tcBorders>
            <w:vAlign w:val="center"/>
          </w:tcPr>
          <w:p w14:paraId="1EFFEF33"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314.3014</w:t>
            </w:r>
          </w:p>
        </w:tc>
        <w:tc>
          <w:tcPr>
            <w:tcW w:w="2665" w:type="dxa"/>
            <w:vMerge/>
            <w:vAlign w:val="center"/>
          </w:tcPr>
          <w:p w14:paraId="5B884527" w14:textId="77777777" w:rsidR="004D1935" w:rsidRPr="00191458" w:rsidRDefault="004D1935" w:rsidP="00E24DC9">
            <w:pPr>
              <w:jc w:val="center"/>
              <w:rPr>
                <w:color w:val="000000" w:themeColor="text1"/>
                <w:sz w:val="16"/>
                <w:szCs w:val="16"/>
              </w:rPr>
            </w:pPr>
          </w:p>
        </w:tc>
        <w:tc>
          <w:tcPr>
            <w:tcW w:w="1701" w:type="dxa"/>
            <w:vMerge/>
            <w:vAlign w:val="center"/>
          </w:tcPr>
          <w:p w14:paraId="15D1C9E7" w14:textId="77777777" w:rsidR="004D1935" w:rsidRPr="00191458" w:rsidRDefault="004D1935" w:rsidP="00E24DC9">
            <w:pPr>
              <w:jc w:val="center"/>
              <w:rPr>
                <w:color w:val="000000" w:themeColor="text1"/>
                <w:sz w:val="16"/>
                <w:szCs w:val="16"/>
              </w:rPr>
            </w:pPr>
          </w:p>
        </w:tc>
        <w:tc>
          <w:tcPr>
            <w:tcW w:w="1985" w:type="dxa"/>
            <w:vMerge/>
            <w:vAlign w:val="center"/>
          </w:tcPr>
          <w:p w14:paraId="2C3B6981" w14:textId="77777777" w:rsidR="004D1935" w:rsidRPr="00191458" w:rsidRDefault="004D1935" w:rsidP="00E24DC9">
            <w:pPr>
              <w:jc w:val="center"/>
              <w:rPr>
                <w:color w:val="000000" w:themeColor="text1"/>
                <w:sz w:val="16"/>
                <w:szCs w:val="16"/>
              </w:rPr>
            </w:pPr>
          </w:p>
        </w:tc>
        <w:tc>
          <w:tcPr>
            <w:tcW w:w="7087" w:type="dxa"/>
            <w:vMerge/>
            <w:vAlign w:val="center"/>
          </w:tcPr>
          <w:p w14:paraId="7E4B3162" w14:textId="77777777" w:rsidR="004D1935" w:rsidRPr="00191458" w:rsidRDefault="004D1935" w:rsidP="00E24DC9">
            <w:pPr>
              <w:jc w:val="center"/>
              <w:rPr>
                <w:color w:val="000000" w:themeColor="text1"/>
                <w:sz w:val="16"/>
                <w:szCs w:val="16"/>
              </w:rPr>
            </w:pPr>
          </w:p>
        </w:tc>
      </w:tr>
      <w:tr w:rsidR="004D1935" w:rsidRPr="00191458" w14:paraId="396B295F" w14:textId="77777777" w:rsidTr="00E24DC9">
        <w:tc>
          <w:tcPr>
            <w:tcW w:w="708" w:type="dxa"/>
            <w:vMerge/>
            <w:vAlign w:val="center"/>
          </w:tcPr>
          <w:p w14:paraId="4917B747" w14:textId="77777777" w:rsidR="004D1935" w:rsidRPr="00191458" w:rsidRDefault="004D1935" w:rsidP="00E24DC9">
            <w:pPr>
              <w:jc w:val="center"/>
              <w:rPr>
                <w:color w:val="000000" w:themeColor="text1"/>
                <w:sz w:val="16"/>
                <w:szCs w:val="16"/>
              </w:rPr>
            </w:pPr>
          </w:p>
        </w:tc>
        <w:tc>
          <w:tcPr>
            <w:tcW w:w="1022" w:type="dxa"/>
            <w:tcBorders>
              <w:top w:val="nil"/>
              <w:bottom w:val="single" w:sz="4" w:space="0" w:color="auto"/>
            </w:tcBorders>
            <w:vAlign w:val="center"/>
          </w:tcPr>
          <w:p w14:paraId="2DDF0140"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314.1037</w:t>
            </w:r>
          </w:p>
        </w:tc>
        <w:tc>
          <w:tcPr>
            <w:tcW w:w="2665" w:type="dxa"/>
            <w:vMerge/>
            <w:vAlign w:val="center"/>
          </w:tcPr>
          <w:p w14:paraId="5F3FC1A6" w14:textId="77777777" w:rsidR="004D1935" w:rsidRPr="00191458" w:rsidRDefault="004D1935" w:rsidP="00E24DC9">
            <w:pPr>
              <w:jc w:val="center"/>
              <w:rPr>
                <w:color w:val="000000" w:themeColor="text1"/>
                <w:sz w:val="16"/>
                <w:szCs w:val="16"/>
              </w:rPr>
            </w:pPr>
          </w:p>
        </w:tc>
        <w:tc>
          <w:tcPr>
            <w:tcW w:w="1701" w:type="dxa"/>
            <w:vMerge/>
            <w:vAlign w:val="center"/>
          </w:tcPr>
          <w:p w14:paraId="2BF4EF7F" w14:textId="77777777" w:rsidR="004D1935" w:rsidRPr="00191458" w:rsidRDefault="004D1935" w:rsidP="00E24DC9">
            <w:pPr>
              <w:jc w:val="center"/>
              <w:rPr>
                <w:color w:val="000000" w:themeColor="text1"/>
                <w:sz w:val="16"/>
                <w:szCs w:val="16"/>
              </w:rPr>
            </w:pPr>
          </w:p>
        </w:tc>
        <w:tc>
          <w:tcPr>
            <w:tcW w:w="1985" w:type="dxa"/>
            <w:vMerge/>
            <w:vAlign w:val="center"/>
          </w:tcPr>
          <w:p w14:paraId="6E94AE14" w14:textId="77777777" w:rsidR="004D1935" w:rsidRPr="00191458" w:rsidRDefault="004D1935" w:rsidP="00E24DC9">
            <w:pPr>
              <w:jc w:val="center"/>
              <w:rPr>
                <w:color w:val="000000" w:themeColor="text1"/>
                <w:sz w:val="16"/>
                <w:szCs w:val="16"/>
              </w:rPr>
            </w:pPr>
          </w:p>
        </w:tc>
        <w:tc>
          <w:tcPr>
            <w:tcW w:w="7087" w:type="dxa"/>
            <w:vMerge/>
            <w:vAlign w:val="center"/>
          </w:tcPr>
          <w:p w14:paraId="58E73864" w14:textId="77777777" w:rsidR="004D1935" w:rsidRPr="00191458" w:rsidRDefault="004D1935" w:rsidP="00E24DC9">
            <w:pPr>
              <w:jc w:val="center"/>
              <w:rPr>
                <w:color w:val="000000" w:themeColor="text1"/>
                <w:sz w:val="16"/>
                <w:szCs w:val="16"/>
              </w:rPr>
            </w:pPr>
          </w:p>
        </w:tc>
      </w:tr>
      <w:tr w:rsidR="004D1935" w:rsidRPr="00191458" w14:paraId="4C183B08" w14:textId="77777777" w:rsidTr="00E24DC9">
        <w:tc>
          <w:tcPr>
            <w:tcW w:w="708" w:type="dxa"/>
            <w:vMerge w:val="restart"/>
            <w:vAlign w:val="center"/>
          </w:tcPr>
          <w:p w14:paraId="5F1F0191" w14:textId="77777777" w:rsidR="004D1935" w:rsidRPr="00191458" w:rsidRDefault="004D1935" w:rsidP="00E24DC9">
            <w:pPr>
              <w:jc w:val="center"/>
              <w:rPr>
                <w:color w:val="000000" w:themeColor="text1"/>
                <w:sz w:val="16"/>
                <w:szCs w:val="16"/>
              </w:rPr>
            </w:pPr>
            <w:r w:rsidRPr="00191458">
              <w:rPr>
                <w:color w:val="000000" w:themeColor="text1"/>
                <w:sz w:val="16"/>
                <w:szCs w:val="16"/>
              </w:rPr>
              <w:t>K</w:t>
            </w:r>
          </w:p>
        </w:tc>
        <w:tc>
          <w:tcPr>
            <w:tcW w:w="1022" w:type="dxa"/>
            <w:tcBorders>
              <w:bottom w:val="nil"/>
            </w:tcBorders>
            <w:vAlign w:val="center"/>
          </w:tcPr>
          <w:p w14:paraId="438C12A2"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298.0112</w:t>
            </w:r>
          </w:p>
        </w:tc>
        <w:tc>
          <w:tcPr>
            <w:tcW w:w="2665" w:type="dxa"/>
            <w:vMerge w:val="restart"/>
            <w:vAlign w:val="center"/>
          </w:tcPr>
          <w:p w14:paraId="6FB3AD76" w14:textId="77777777" w:rsidR="004D1935" w:rsidRPr="00FD7D35" w:rsidRDefault="00000000" w:rsidP="00E24DC9">
            <w:pPr>
              <w:jc w:val="center"/>
              <w:rPr>
                <w:color w:val="000000" w:themeColor="text1"/>
                <w:sz w:val="16"/>
                <w:szCs w:val="16"/>
              </w:rPr>
            </w:pPr>
            <w:hyperlink r:id="rId144" w:history="1">
              <w:r w:rsidR="004D1935" w:rsidRPr="00FD7D35">
                <w:rPr>
                  <w:rStyle w:val="Hyperlink"/>
                  <w:rFonts w:ascii="Calibri" w:eastAsia="Cambria" w:hAnsi="Calibri" w:cs="Calibri"/>
                  <w:color w:val="000000" w:themeColor="text1"/>
                  <w:sz w:val="16"/>
                  <w:szCs w:val="16"/>
                </w:rPr>
                <w:t>neopinone</w:t>
              </w:r>
            </w:hyperlink>
          </w:p>
          <w:p w14:paraId="5B127530" w14:textId="77777777" w:rsidR="004D1935" w:rsidRPr="00FD7D35" w:rsidRDefault="00000000" w:rsidP="00E24DC9">
            <w:pPr>
              <w:jc w:val="center"/>
              <w:rPr>
                <w:color w:val="000000" w:themeColor="text1"/>
                <w:sz w:val="16"/>
                <w:szCs w:val="16"/>
              </w:rPr>
            </w:pPr>
            <w:hyperlink r:id="rId145" w:history="1">
              <w:r w:rsidR="004D1935" w:rsidRPr="00FD7D35">
                <w:rPr>
                  <w:rStyle w:val="Hyperlink"/>
                  <w:rFonts w:ascii="Calibri" w:eastAsia="Cambria" w:hAnsi="Calibri" w:cs="Calibri"/>
                  <w:color w:val="000000" w:themeColor="text1"/>
                  <w:sz w:val="16"/>
                  <w:szCs w:val="16"/>
                </w:rPr>
                <w:t>oripavine</w:t>
              </w:r>
            </w:hyperlink>
          </w:p>
          <w:p w14:paraId="6E268CE0" w14:textId="77777777" w:rsidR="004D1935" w:rsidRPr="00FD7D35" w:rsidRDefault="00000000" w:rsidP="00E24DC9">
            <w:pPr>
              <w:jc w:val="center"/>
              <w:rPr>
                <w:color w:val="000000" w:themeColor="text1"/>
                <w:sz w:val="16"/>
                <w:szCs w:val="16"/>
              </w:rPr>
            </w:pPr>
            <w:hyperlink r:id="rId146" w:history="1">
              <w:r w:rsidR="004D1935" w:rsidRPr="00FD7D35">
                <w:rPr>
                  <w:rStyle w:val="Hyperlink"/>
                  <w:rFonts w:ascii="Calibri" w:eastAsia="Cambria" w:hAnsi="Calibri" w:cs="Calibri"/>
                  <w:color w:val="000000" w:themeColor="text1"/>
                  <w:sz w:val="16"/>
                  <w:szCs w:val="16"/>
                </w:rPr>
                <w:t>codeinone</w:t>
              </w:r>
            </w:hyperlink>
          </w:p>
          <w:p w14:paraId="57F7506E" w14:textId="77777777" w:rsidR="004D1935" w:rsidRPr="00191458" w:rsidRDefault="00000000" w:rsidP="00E24DC9">
            <w:pPr>
              <w:jc w:val="center"/>
              <w:rPr>
                <w:color w:val="000000" w:themeColor="text1"/>
                <w:sz w:val="16"/>
                <w:szCs w:val="16"/>
              </w:rPr>
            </w:pPr>
            <w:hyperlink r:id="rId147" w:history="1">
              <w:r w:rsidR="004D1935" w:rsidRPr="00FD7D35">
                <w:rPr>
                  <w:rStyle w:val="Hyperlink"/>
                  <w:rFonts w:ascii="Calibri" w:eastAsia="Cambria" w:hAnsi="Calibri" w:cs="Calibri"/>
                  <w:color w:val="000000" w:themeColor="text1"/>
                  <w:sz w:val="16"/>
                  <w:szCs w:val="16"/>
                </w:rPr>
                <w:t>S-methyl-5'-thioinosine</w:t>
              </w:r>
            </w:hyperlink>
          </w:p>
        </w:tc>
        <w:tc>
          <w:tcPr>
            <w:tcW w:w="1701" w:type="dxa"/>
            <w:vMerge w:val="restart"/>
            <w:vAlign w:val="center"/>
          </w:tcPr>
          <w:p w14:paraId="45D56AE5" w14:textId="77777777" w:rsidR="004D1935" w:rsidRPr="00191458" w:rsidRDefault="004D1935" w:rsidP="00E24DC9">
            <w:pPr>
              <w:jc w:val="center"/>
              <w:rPr>
                <w:color w:val="000000" w:themeColor="text1"/>
                <w:sz w:val="16"/>
                <w:szCs w:val="16"/>
              </w:rPr>
            </w:pPr>
            <w:r w:rsidRPr="00191458">
              <w:rPr>
                <w:rFonts w:ascii="Arial" w:hAnsi="Arial" w:cs="Arial"/>
                <w:color w:val="000000" w:themeColor="text1"/>
                <w:sz w:val="16"/>
                <w:szCs w:val="16"/>
              </w:rPr>
              <w:t>C</w:t>
            </w:r>
            <w:r w:rsidRPr="00191458">
              <w:rPr>
                <w:rFonts w:ascii="Arial" w:hAnsi="Arial" w:cs="Arial"/>
                <w:color w:val="000000" w:themeColor="text1"/>
                <w:sz w:val="16"/>
                <w:szCs w:val="16"/>
                <w:vertAlign w:val="subscript"/>
              </w:rPr>
              <w:t>18</w:t>
            </w:r>
            <w:r w:rsidRPr="00191458">
              <w:rPr>
                <w:rFonts w:ascii="Arial" w:hAnsi="Arial" w:cs="Arial"/>
                <w:color w:val="000000" w:themeColor="text1"/>
                <w:sz w:val="16"/>
                <w:szCs w:val="16"/>
              </w:rPr>
              <w:t>H</w:t>
            </w:r>
            <w:r w:rsidRPr="00191458">
              <w:rPr>
                <w:rFonts w:ascii="Arial" w:hAnsi="Arial" w:cs="Arial"/>
                <w:color w:val="000000" w:themeColor="text1"/>
                <w:sz w:val="16"/>
                <w:szCs w:val="16"/>
                <w:vertAlign w:val="subscript"/>
              </w:rPr>
              <w:t>20</w:t>
            </w:r>
            <w:r w:rsidRPr="00191458">
              <w:rPr>
                <w:rFonts w:ascii="Arial" w:hAnsi="Arial" w:cs="Arial"/>
                <w:color w:val="000000" w:themeColor="text1"/>
                <w:sz w:val="16"/>
                <w:szCs w:val="16"/>
              </w:rPr>
              <w:t>NO</w:t>
            </w:r>
            <w:r w:rsidRPr="00191458">
              <w:rPr>
                <w:rFonts w:ascii="Arial" w:hAnsi="Arial" w:cs="Arial"/>
                <w:color w:val="000000" w:themeColor="text1"/>
                <w:sz w:val="16"/>
                <w:szCs w:val="16"/>
                <w:vertAlign w:val="subscript"/>
              </w:rPr>
              <w:t>3</w:t>
            </w:r>
          </w:p>
          <w:p w14:paraId="2772B25A" w14:textId="77777777" w:rsidR="004D1935" w:rsidRPr="00191458" w:rsidRDefault="004D1935" w:rsidP="00E24DC9">
            <w:pPr>
              <w:jc w:val="center"/>
              <w:rPr>
                <w:color w:val="000000" w:themeColor="text1"/>
                <w:sz w:val="16"/>
                <w:szCs w:val="16"/>
              </w:rPr>
            </w:pPr>
            <w:r w:rsidRPr="00191458">
              <w:rPr>
                <w:rFonts w:ascii="Arial" w:hAnsi="Arial" w:cs="Arial"/>
                <w:color w:val="000000" w:themeColor="text1"/>
                <w:sz w:val="16"/>
                <w:szCs w:val="16"/>
              </w:rPr>
              <w:t>C</w:t>
            </w:r>
            <w:r w:rsidRPr="00191458">
              <w:rPr>
                <w:rFonts w:ascii="Arial" w:hAnsi="Arial" w:cs="Arial"/>
                <w:color w:val="000000" w:themeColor="text1"/>
                <w:sz w:val="16"/>
                <w:szCs w:val="16"/>
                <w:vertAlign w:val="subscript"/>
              </w:rPr>
              <w:t>18</w:t>
            </w:r>
            <w:r w:rsidRPr="00191458">
              <w:rPr>
                <w:rFonts w:ascii="Arial" w:hAnsi="Arial" w:cs="Arial"/>
                <w:color w:val="000000" w:themeColor="text1"/>
                <w:sz w:val="16"/>
                <w:szCs w:val="16"/>
              </w:rPr>
              <w:t>H</w:t>
            </w:r>
            <w:r w:rsidRPr="00191458">
              <w:rPr>
                <w:rFonts w:ascii="Arial" w:hAnsi="Arial" w:cs="Arial"/>
                <w:color w:val="000000" w:themeColor="text1"/>
                <w:sz w:val="16"/>
                <w:szCs w:val="16"/>
                <w:vertAlign w:val="subscript"/>
              </w:rPr>
              <w:t>20</w:t>
            </w:r>
            <w:r w:rsidRPr="00191458">
              <w:rPr>
                <w:rFonts w:ascii="Arial" w:hAnsi="Arial" w:cs="Arial"/>
                <w:color w:val="000000" w:themeColor="text1"/>
                <w:sz w:val="16"/>
                <w:szCs w:val="16"/>
              </w:rPr>
              <w:t>NO</w:t>
            </w:r>
            <w:r w:rsidRPr="00191458">
              <w:rPr>
                <w:rFonts w:ascii="Arial" w:hAnsi="Arial" w:cs="Arial"/>
                <w:color w:val="000000" w:themeColor="text1"/>
                <w:sz w:val="16"/>
                <w:szCs w:val="16"/>
                <w:vertAlign w:val="subscript"/>
              </w:rPr>
              <w:t>3</w:t>
            </w:r>
          </w:p>
          <w:p w14:paraId="7630F465" w14:textId="77777777" w:rsidR="004D1935" w:rsidRPr="00191458" w:rsidRDefault="004D1935" w:rsidP="00E24DC9">
            <w:pPr>
              <w:jc w:val="center"/>
              <w:rPr>
                <w:color w:val="000000" w:themeColor="text1"/>
                <w:sz w:val="16"/>
                <w:szCs w:val="16"/>
              </w:rPr>
            </w:pPr>
            <w:r w:rsidRPr="00191458">
              <w:rPr>
                <w:rFonts w:ascii="Arial" w:hAnsi="Arial" w:cs="Arial"/>
                <w:color w:val="000000" w:themeColor="text1"/>
                <w:sz w:val="16"/>
                <w:szCs w:val="16"/>
              </w:rPr>
              <w:t>C</w:t>
            </w:r>
            <w:r w:rsidRPr="00191458">
              <w:rPr>
                <w:rFonts w:ascii="Arial" w:hAnsi="Arial" w:cs="Arial"/>
                <w:color w:val="000000" w:themeColor="text1"/>
                <w:sz w:val="16"/>
                <w:szCs w:val="16"/>
                <w:vertAlign w:val="subscript"/>
              </w:rPr>
              <w:t>18</w:t>
            </w:r>
            <w:r w:rsidRPr="00191458">
              <w:rPr>
                <w:rFonts w:ascii="Arial" w:hAnsi="Arial" w:cs="Arial"/>
                <w:color w:val="000000" w:themeColor="text1"/>
                <w:sz w:val="16"/>
                <w:szCs w:val="16"/>
              </w:rPr>
              <w:t>H</w:t>
            </w:r>
            <w:r w:rsidRPr="00191458">
              <w:rPr>
                <w:rFonts w:ascii="Arial" w:hAnsi="Arial" w:cs="Arial"/>
                <w:color w:val="000000" w:themeColor="text1"/>
                <w:sz w:val="16"/>
                <w:szCs w:val="16"/>
                <w:vertAlign w:val="subscript"/>
              </w:rPr>
              <w:t>20</w:t>
            </w:r>
            <w:r w:rsidRPr="00191458">
              <w:rPr>
                <w:rFonts w:ascii="Arial" w:hAnsi="Arial" w:cs="Arial"/>
                <w:color w:val="000000" w:themeColor="text1"/>
                <w:sz w:val="16"/>
                <w:szCs w:val="16"/>
              </w:rPr>
              <w:t>NO</w:t>
            </w:r>
            <w:r w:rsidRPr="00191458">
              <w:rPr>
                <w:rFonts w:ascii="Arial" w:hAnsi="Arial" w:cs="Arial"/>
                <w:color w:val="000000" w:themeColor="text1"/>
                <w:sz w:val="16"/>
                <w:szCs w:val="16"/>
                <w:vertAlign w:val="subscript"/>
              </w:rPr>
              <w:t>3</w:t>
            </w:r>
          </w:p>
          <w:p w14:paraId="4F1CAE64" w14:textId="77777777" w:rsidR="004D1935" w:rsidRPr="00191458" w:rsidRDefault="004D1935" w:rsidP="00E24DC9">
            <w:pPr>
              <w:jc w:val="center"/>
              <w:rPr>
                <w:color w:val="000000" w:themeColor="text1"/>
                <w:sz w:val="16"/>
                <w:szCs w:val="16"/>
              </w:rPr>
            </w:pPr>
            <w:r w:rsidRPr="00191458">
              <w:rPr>
                <w:rFonts w:ascii="Arial" w:hAnsi="Arial" w:cs="Arial"/>
                <w:color w:val="000000" w:themeColor="text1"/>
                <w:sz w:val="16"/>
                <w:szCs w:val="16"/>
              </w:rPr>
              <w:t>C</w:t>
            </w:r>
            <w:r w:rsidRPr="00191458">
              <w:rPr>
                <w:rFonts w:ascii="Arial" w:hAnsi="Arial" w:cs="Arial"/>
                <w:color w:val="000000" w:themeColor="text1"/>
                <w:sz w:val="16"/>
                <w:szCs w:val="16"/>
                <w:vertAlign w:val="subscript"/>
              </w:rPr>
              <w:t>11</w:t>
            </w:r>
            <w:r w:rsidRPr="00191458">
              <w:rPr>
                <w:rFonts w:ascii="Arial" w:hAnsi="Arial" w:cs="Arial"/>
                <w:color w:val="000000" w:themeColor="text1"/>
                <w:sz w:val="16"/>
                <w:szCs w:val="16"/>
              </w:rPr>
              <w:t>H</w:t>
            </w:r>
            <w:r w:rsidRPr="00191458">
              <w:rPr>
                <w:rFonts w:ascii="Arial" w:hAnsi="Arial" w:cs="Arial"/>
                <w:color w:val="000000" w:themeColor="text1"/>
                <w:sz w:val="16"/>
                <w:szCs w:val="16"/>
                <w:vertAlign w:val="subscript"/>
              </w:rPr>
              <w:t>14</w:t>
            </w:r>
            <w:r w:rsidRPr="00191458">
              <w:rPr>
                <w:rFonts w:ascii="Arial" w:hAnsi="Arial" w:cs="Arial"/>
                <w:color w:val="000000" w:themeColor="text1"/>
                <w:sz w:val="16"/>
                <w:szCs w:val="16"/>
              </w:rPr>
              <w:t>N</w:t>
            </w:r>
            <w:r w:rsidRPr="00191458">
              <w:rPr>
                <w:rFonts w:ascii="Arial" w:hAnsi="Arial" w:cs="Arial"/>
                <w:color w:val="000000" w:themeColor="text1"/>
                <w:sz w:val="16"/>
                <w:szCs w:val="16"/>
                <w:vertAlign w:val="subscript"/>
              </w:rPr>
              <w:t>4</w:t>
            </w:r>
            <w:r w:rsidRPr="00191458">
              <w:rPr>
                <w:rFonts w:ascii="Arial" w:hAnsi="Arial" w:cs="Arial"/>
                <w:color w:val="000000" w:themeColor="text1"/>
                <w:sz w:val="16"/>
                <w:szCs w:val="16"/>
              </w:rPr>
              <w:t>O</w:t>
            </w:r>
            <w:r w:rsidRPr="00191458">
              <w:rPr>
                <w:rFonts w:ascii="Arial" w:hAnsi="Arial" w:cs="Arial"/>
                <w:color w:val="000000" w:themeColor="text1"/>
                <w:sz w:val="16"/>
                <w:szCs w:val="16"/>
                <w:vertAlign w:val="subscript"/>
              </w:rPr>
              <w:t>4</w:t>
            </w:r>
            <w:r w:rsidRPr="00191458">
              <w:rPr>
                <w:rFonts w:ascii="Arial" w:hAnsi="Arial" w:cs="Arial"/>
                <w:color w:val="000000" w:themeColor="text1"/>
                <w:sz w:val="16"/>
                <w:szCs w:val="16"/>
              </w:rPr>
              <w:t>S</w:t>
            </w:r>
          </w:p>
        </w:tc>
        <w:tc>
          <w:tcPr>
            <w:tcW w:w="1985" w:type="dxa"/>
            <w:vMerge w:val="restart"/>
            <w:vAlign w:val="center"/>
          </w:tcPr>
          <w:p w14:paraId="1A5B1B28"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alkaloid</w:t>
            </w:r>
          </w:p>
          <w:p w14:paraId="342D856E"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alkaloid</w:t>
            </w:r>
          </w:p>
          <w:p w14:paraId="516493C4"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alkaloid</w:t>
            </w:r>
          </w:p>
          <w:p w14:paraId="1A85B8FF" w14:textId="77777777" w:rsidR="004D1935" w:rsidRPr="00191458" w:rsidRDefault="004D1935" w:rsidP="00E24DC9">
            <w:pPr>
              <w:jc w:val="center"/>
              <w:rPr>
                <w:color w:val="000000" w:themeColor="text1"/>
                <w:sz w:val="16"/>
                <w:szCs w:val="16"/>
              </w:rPr>
            </w:pPr>
            <w:r w:rsidRPr="00191458">
              <w:rPr>
                <w:rFonts w:ascii="Calibri" w:hAnsi="Calibri" w:cs="Calibri"/>
                <w:color w:val="000000" w:themeColor="text1"/>
                <w:sz w:val="16"/>
                <w:szCs w:val="16"/>
              </w:rPr>
              <w:t>Purine nucleoside</w:t>
            </w:r>
          </w:p>
        </w:tc>
        <w:tc>
          <w:tcPr>
            <w:tcW w:w="7087" w:type="dxa"/>
            <w:vMerge w:val="restart"/>
            <w:vAlign w:val="center"/>
          </w:tcPr>
          <w:p w14:paraId="1716CC9B" w14:textId="77777777" w:rsidR="004D1935" w:rsidRPr="00191458" w:rsidRDefault="004D1935" w:rsidP="00E24DC9">
            <w:pPr>
              <w:jc w:val="center"/>
              <w:rPr>
                <w:color w:val="000000" w:themeColor="text1"/>
                <w:sz w:val="16"/>
                <w:szCs w:val="16"/>
              </w:rPr>
            </w:pPr>
            <w:r w:rsidRPr="00191458">
              <w:rPr>
                <w:rFonts w:ascii="Consolas" w:hAnsi="Consolas" w:cs="Consolas"/>
                <w:color w:val="000000" w:themeColor="text1"/>
                <w:sz w:val="16"/>
                <w:szCs w:val="16"/>
              </w:rPr>
              <w:t>Isoquinoline alkaloid biosynthesis/shikimate pathway/jasmonic acid biosynthesis</w:t>
            </w:r>
          </w:p>
          <w:p w14:paraId="60B4121A" w14:textId="77777777" w:rsidR="004D1935" w:rsidRPr="00191458" w:rsidRDefault="004D1935" w:rsidP="00E24DC9">
            <w:pPr>
              <w:jc w:val="center"/>
              <w:rPr>
                <w:color w:val="000000" w:themeColor="text1"/>
                <w:sz w:val="16"/>
                <w:szCs w:val="16"/>
              </w:rPr>
            </w:pPr>
            <w:r w:rsidRPr="00191458">
              <w:rPr>
                <w:rFonts w:ascii="Consolas" w:hAnsi="Consolas" w:cs="Consolas"/>
                <w:color w:val="000000" w:themeColor="text1"/>
                <w:sz w:val="16"/>
                <w:szCs w:val="16"/>
              </w:rPr>
              <w:t>Isoquinoline alkaloid biosynthesis/shikimate pathway/jasmonic acid biosynthesis</w:t>
            </w:r>
          </w:p>
          <w:p w14:paraId="77274755" w14:textId="77777777" w:rsidR="004D1935" w:rsidRPr="00191458" w:rsidRDefault="004D1935" w:rsidP="00E24DC9">
            <w:pPr>
              <w:jc w:val="center"/>
              <w:rPr>
                <w:color w:val="000000" w:themeColor="text1"/>
                <w:sz w:val="16"/>
                <w:szCs w:val="16"/>
              </w:rPr>
            </w:pPr>
            <w:r w:rsidRPr="00191458">
              <w:rPr>
                <w:rFonts w:ascii="Consolas" w:hAnsi="Consolas" w:cs="Consolas"/>
                <w:color w:val="000000" w:themeColor="text1"/>
                <w:sz w:val="16"/>
                <w:szCs w:val="16"/>
              </w:rPr>
              <w:t>Isoquinoline alkaloid biosynthesis/shikimate pathway/jasmonic acid biosynthesis</w:t>
            </w:r>
          </w:p>
          <w:p w14:paraId="38E88A8E" w14:textId="77777777" w:rsidR="004D1935" w:rsidRPr="00191458" w:rsidRDefault="004D1935" w:rsidP="00E24DC9">
            <w:pPr>
              <w:jc w:val="center"/>
              <w:rPr>
                <w:color w:val="000000" w:themeColor="text1"/>
                <w:sz w:val="16"/>
                <w:szCs w:val="16"/>
              </w:rPr>
            </w:pPr>
            <w:r w:rsidRPr="00191458">
              <w:rPr>
                <w:rFonts w:ascii="Consolas" w:hAnsi="Consolas" w:cs="Consolas"/>
                <w:color w:val="000000" w:themeColor="text1"/>
                <w:sz w:val="16"/>
                <w:szCs w:val="16"/>
              </w:rPr>
              <w:t>Isoquinoline alkaloid biosynthesis/shikimate pathway/jasmonic acid biosynthesis</w:t>
            </w:r>
          </w:p>
        </w:tc>
      </w:tr>
      <w:tr w:rsidR="004D1935" w:rsidRPr="00191458" w14:paraId="696670C6" w14:textId="77777777" w:rsidTr="00E24DC9">
        <w:tc>
          <w:tcPr>
            <w:tcW w:w="708" w:type="dxa"/>
            <w:vMerge/>
          </w:tcPr>
          <w:p w14:paraId="589D8CC1" w14:textId="77777777" w:rsidR="004D1935" w:rsidRPr="00191458" w:rsidRDefault="004D1935" w:rsidP="00E24DC9">
            <w:pPr>
              <w:rPr>
                <w:color w:val="000000" w:themeColor="text1"/>
                <w:sz w:val="16"/>
                <w:szCs w:val="16"/>
              </w:rPr>
            </w:pPr>
          </w:p>
        </w:tc>
        <w:tc>
          <w:tcPr>
            <w:tcW w:w="1022" w:type="dxa"/>
            <w:tcBorders>
              <w:top w:val="nil"/>
              <w:bottom w:val="nil"/>
            </w:tcBorders>
            <w:vAlign w:val="center"/>
          </w:tcPr>
          <w:p w14:paraId="2F2DA2B4"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298.0513</w:t>
            </w:r>
          </w:p>
        </w:tc>
        <w:tc>
          <w:tcPr>
            <w:tcW w:w="2665" w:type="dxa"/>
            <w:vMerge/>
            <w:vAlign w:val="center"/>
          </w:tcPr>
          <w:p w14:paraId="04C79E06" w14:textId="77777777" w:rsidR="004D1935" w:rsidRPr="00191458" w:rsidRDefault="004D1935" w:rsidP="00E24DC9">
            <w:pPr>
              <w:rPr>
                <w:color w:val="000000" w:themeColor="text1"/>
                <w:sz w:val="16"/>
                <w:szCs w:val="16"/>
              </w:rPr>
            </w:pPr>
          </w:p>
        </w:tc>
        <w:tc>
          <w:tcPr>
            <w:tcW w:w="1701" w:type="dxa"/>
            <w:vMerge/>
            <w:vAlign w:val="center"/>
          </w:tcPr>
          <w:p w14:paraId="7905FC5B" w14:textId="77777777" w:rsidR="004D1935" w:rsidRPr="00191458" w:rsidRDefault="004D1935" w:rsidP="00E24DC9">
            <w:pPr>
              <w:rPr>
                <w:color w:val="000000" w:themeColor="text1"/>
                <w:sz w:val="16"/>
                <w:szCs w:val="16"/>
              </w:rPr>
            </w:pPr>
          </w:p>
        </w:tc>
        <w:tc>
          <w:tcPr>
            <w:tcW w:w="1985" w:type="dxa"/>
            <w:vMerge/>
            <w:vAlign w:val="center"/>
          </w:tcPr>
          <w:p w14:paraId="75AF2764" w14:textId="77777777" w:rsidR="004D1935" w:rsidRPr="00191458" w:rsidRDefault="004D1935" w:rsidP="00E24DC9">
            <w:pPr>
              <w:rPr>
                <w:color w:val="000000" w:themeColor="text1"/>
                <w:sz w:val="16"/>
                <w:szCs w:val="16"/>
              </w:rPr>
            </w:pPr>
          </w:p>
        </w:tc>
        <w:tc>
          <w:tcPr>
            <w:tcW w:w="7087" w:type="dxa"/>
            <w:vMerge/>
            <w:vAlign w:val="center"/>
          </w:tcPr>
          <w:p w14:paraId="5B871CBD" w14:textId="77777777" w:rsidR="004D1935" w:rsidRPr="00191458" w:rsidRDefault="004D1935" w:rsidP="00E24DC9">
            <w:pPr>
              <w:rPr>
                <w:color w:val="000000" w:themeColor="text1"/>
                <w:sz w:val="16"/>
                <w:szCs w:val="16"/>
              </w:rPr>
            </w:pPr>
          </w:p>
        </w:tc>
      </w:tr>
      <w:tr w:rsidR="004D1935" w:rsidRPr="00191458" w14:paraId="42C234E2" w14:textId="77777777" w:rsidTr="00E24DC9">
        <w:tc>
          <w:tcPr>
            <w:tcW w:w="708" w:type="dxa"/>
            <w:vMerge/>
          </w:tcPr>
          <w:p w14:paraId="1A014E46" w14:textId="77777777" w:rsidR="004D1935" w:rsidRPr="00191458" w:rsidRDefault="004D1935" w:rsidP="00E24DC9">
            <w:pPr>
              <w:rPr>
                <w:color w:val="000000" w:themeColor="text1"/>
                <w:sz w:val="16"/>
                <w:szCs w:val="16"/>
              </w:rPr>
            </w:pPr>
          </w:p>
        </w:tc>
        <w:tc>
          <w:tcPr>
            <w:tcW w:w="1022" w:type="dxa"/>
            <w:tcBorders>
              <w:top w:val="nil"/>
              <w:bottom w:val="nil"/>
            </w:tcBorders>
            <w:vAlign w:val="center"/>
          </w:tcPr>
          <w:p w14:paraId="3F248DF3"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298.0913</w:t>
            </w:r>
          </w:p>
        </w:tc>
        <w:tc>
          <w:tcPr>
            <w:tcW w:w="2665" w:type="dxa"/>
            <w:vMerge/>
            <w:vAlign w:val="center"/>
          </w:tcPr>
          <w:p w14:paraId="786677CB" w14:textId="77777777" w:rsidR="004D1935" w:rsidRPr="00191458" w:rsidRDefault="004D1935" w:rsidP="00E24DC9">
            <w:pPr>
              <w:rPr>
                <w:color w:val="000000" w:themeColor="text1"/>
                <w:sz w:val="16"/>
                <w:szCs w:val="16"/>
              </w:rPr>
            </w:pPr>
          </w:p>
        </w:tc>
        <w:tc>
          <w:tcPr>
            <w:tcW w:w="1701" w:type="dxa"/>
            <w:vMerge/>
            <w:vAlign w:val="center"/>
          </w:tcPr>
          <w:p w14:paraId="0E0EA2C1" w14:textId="77777777" w:rsidR="004D1935" w:rsidRPr="00191458" w:rsidRDefault="004D1935" w:rsidP="00E24DC9">
            <w:pPr>
              <w:rPr>
                <w:color w:val="000000" w:themeColor="text1"/>
                <w:sz w:val="16"/>
                <w:szCs w:val="16"/>
              </w:rPr>
            </w:pPr>
          </w:p>
        </w:tc>
        <w:tc>
          <w:tcPr>
            <w:tcW w:w="1985" w:type="dxa"/>
            <w:vMerge/>
            <w:vAlign w:val="center"/>
          </w:tcPr>
          <w:p w14:paraId="62869144" w14:textId="77777777" w:rsidR="004D1935" w:rsidRPr="00191458" w:rsidRDefault="004D1935" w:rsidP="00E24DC9">
            <w:pPr>
              <w:rPr>
                <w:color w:val="000000" w:themeColor="text1"/>
                <w:sz w:val="16"/>
                <w:szCs w:val="16"/>
              </w:rPr>
            </w:pPr>
          </w:p>
        </w:tc>
        <w:tc>
          <w:tcPr>
            <w:tcW w:w="7087" w:type="dxa"/>
            <w:vMerge/>
            <w:vAlign w:val="center"/>
          </w:tcPr>
          <w:p w14:paraId="5F7FBEA9" w14:textId="77777777" w:rsidR="004D1935" w:rsidRPr="00191458" w:rsidRDefault="004D1935" w:rsidP="00E24DC9">
            <w:pPr>
              <w:rPr>
                <w:color w:val="000000" w:themeColor="text1"/>
                <w:sz w:val="16"/>
                <w:szCs w:val="16"/>
              </w:rPr>
            </w:pPr>
          </w:p>
        </w:tc>
      </w:tr>
      <w:tr w:rsidR="004D1935" w:rsidRPr="00191458" w14:paraId="75A521C8" w14:textId="77777777" w:rsidTr="00E24DC9">
        <w:tc>
          <w:tcPr>
            <w:tcW w:w="708" w:type="dxa"/>
            <w:vMerge/>
          </w:tcPr>
          <w:p w14:paraId="2F7393A0" w14:textId="77777777" w:rsidR="004D1935" w:rsidRPr="00191458" w:rsidRDefault="004D1935" w:rsidP="00E24DC9">
            <w:pPr>
              <w:rPr>
                <w:color w:val="000000" w:themeColor="text1"/>
                <w:sz w:val="16"/>
                <w:szCs w:val="16"/>
              </w:rPr>
            </w:pPr>
          </w:p>
        </w:tc>
        <w:tc>
          <w:tcPr>
            <w:tcW w:w="1022" w:type="dxa"/>
            <w:tcBorders>
              <w:top w:val="nil"/>
              <w:bottom w:val="nil"/>
            </w:tcBorders>
            <w:vAlign w:val="center"/>
          </w:tcPr>
          <w:p w14:paraId="7FF32C93"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298.1314</w:t>
            </w:r>
          </w:p>
        </w:tc>
        <w:tc>
          <w:tcPr>
            <w:tcW w:w="2665" w:type="dxa"/>
            <w:vMerge/>
            <w:vAlign w:val="center"/>
          </w:tcPr>
          <w:p w14:paraId="2F02003C" w14:textId="77777777" w:rsidR="004D1935" w:rsidRPr="00191458" w:rsidRDefault="004D1935" w:rsidP="00E24DC9">
            <w:pPr>
              <w:rPr>
                <w:color w:val="000000" w:themeColor="text1"/>
                <w:sz w:val="16"/>
                <w:szCs w:val="16"/>
              </w:rPr>
            </w:pPr>
          </w:p>
        </w:tc>
        <w:tc>
          <w:tcPr>
            <w:tcW w:w="1701" w:type="dxa"/>
            <w:vMerge/>
            <w:vAlign w:val="center"/>
          </w:tcPr>
          <w:p w14:paraId="7ACFC8F2" w14:textId="77777777" w:rsidR="004D1935" w:rsidRPr="00191458" w:rsidRDefault="004D1935" w:rsidP="00E24DC9">
            <w:pPr>
              <w:rPr>
                <w:color w:val="000000" w:themeColor="text1"/>
                <w:sz w:val="16"/>
                <w:szCs w:val="16"/>
              </w:rPr>
            </w:pPr>
          </w:p>
        </w:tc>
        <w:tc>
          <w:tcPr>
            <w:tcW w:w="1985" w:type="dxa"/>
            <w:vMerge/>
            <w:vAlign w:val="center"/>
          </w:tcPr>
          <w:p w14:paraId="105CF33D" w14:textId="77777777" w:rsidR="004D1935" w:rsidRPr="00191458" w:rsidRDefault="004D1935" w:rsidP="00E24DC9">
            <w:pPr>
              <w:rPr>
                <w:color w:val="000000" w:themeColor="text1"/>
                <w:sz w:val="16"/>
                <w:szCs w:val="16"/>
              </w:rPr>
            </w:pPr>
          </w:p>
        </w:tc>
        <w:tc>
          <w:tcPr>
            <w:tcW w:w="7087" w:type="dxa"/>
            <w:vMerge/>
            <w:vAlign w:val="center"/>
          </w:tcPr>
          <w:p w14:paraId="58EC206F" w14:textId="77777777" w:rsidR="004D1935" w:rsidRPr="00191458" w:rsidRDefault="004D1935" w:rsidP="00E24DC9">
            <w:pPr>
              <w:rPr>
                <w:color w:val="000000" w:themeColor="text1"/>
                <w:sz w:val="16"/>
                <w:szCs w:val="16"/>
              </w:rPr>
            </w:pPr>
          </w:p>
        </w:tc>
      </w:tr>
      <w:tr w:rsidR="004D1935" w:rsidRPr="00191458" w14:paraId="092A5EFE" w14:textId="77777777" w:rsidTr="00E24DC9">
        <w:tc>
          <w:tcPr>
            <w:tcW w:w="708" w:type="dxa"/>
            <w:vMerge/>
          </w:tcPr>
          <w:p w14:paraId="5B0DDF3B" w14:textId="77777777" w:rsidR="004D1935" w:rsidRPr="00191458" w:rsidRDefault="004D1935" w:rsidP="00E24DC9">
            <w:pPr>
              <w:rPr>
                <w:color w:val="000000" w:themeColor="text1"/>
                <w:sz w:val="16"/>
                <w:szCs w:val="16"/>
              </w:rPr>
            </w:pPr>
          </w:p>
        </w:tc>
        <w:tc>
          <w:tcPr>
            <w:tcW w:w="1022" w:type="dxa"/>
            <w:tcBorders>
              <w:top w:val="nil"/>
              <w:bottom w:val="nil"/>
            </w:tcBorders>
            <w:vAlign w:val="center"/>
          </w:tcPr>
          <w:p w14:paraId="3E39B1BA"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298.1715</w:t>
            </w:r>
          </w:p>
        </w:tc>
        <w:tc>
          <w:tcPr>
            <w:tcW w:w="2665" w:type="dxa"/>
            <w:vMerge/>
          </w:tcPr>
          <w:p w14:paraId="4663F780" w14:textId="77777777" w:rsidR="004D1935" w:rsidRPr="00191458" w:rsidRDefault="004D1935" w:rsidP="00E24DC9">
            <w:pPr>
              <w:rPr>
                <w:color w:val="000000" w:themeColor="text1"/>
                <w:sz w:val="16"/>
                <w:szCs w:val="16"/>
              </w:rPr>
            </w:pPr>
          </w:p>
        </w:tc>
        <w:tc>
          <w:tcPr>
            <w:tcW w:w="1701" w:type="dxa"/>
            <w:vMerge/>
          </w:tcPr>
          <w:p w14:paraId="041AB58E" w14:textId="77777777" w:rsidR="004D1935" w:rsidRPr="00191458" w:rsidRDefault="004D1935" w:rsidP="00E24DC9">
            <w:pPr>
              <w:rPr>
                <w:color w:val="000000" w:themeColor="text1"/>
                <w:sz w:val="16"/>
                <w:szCs w:val="16"/>
              </w:rPr>
            </w:pPr>
          </w:p>
        </w:tc>
        <w:tc>
          <w:tcPr>
            <w:tcW w:w="1985" w:type="dxa"/>
            <w:vMerge/>
          </w:tcPr>
          <w:p w14:paraId="0FB3CA14" w14:textId="77777777" w:rsidR="004D1935" w:rsidRPr="00191458" w:rsidRDefault="004D1935" w:rsidP="00E24DC9">
            <w:pPr>
              <w:rPr>
                <w:color w:val="000000" w:themeColor="text1"/>
                <w:sz w:val="16"/>
                <w:szCs w:val="16"/>
              </w:rPr>
            </w:pPr>
          </w:p>
        </w:tc>
        <w:tc>
          <w:tcPr>
            <w:tcW w:w="7087" w:type="dxa"/>
            <w:vMerge/>
          </w:tcPr>
          <w:p w14:paraId="7F5C0B4C" w14:textId="77777777" w:rsidR="004D1935" w:rsidRPr="00191458" w:rsidRDefault="004D1935" w:rsidP="00E24DC9">
            <w:pPr>
              <w:rPr>
                <w:color w:val="000000" w:themeColor="text1"/>
                <w:sz w:val="16"/>
                <w:szCs w:val="16"/>
              </w:rPr>
            </w:pPr>
          </w:p>
        </w:tc>
      </w:tr>
      <w:tr w:rsidR="004D1935" w:rsidRPr="00191458" w14:paraId="72C90563" w14:textId="77777777" w:rsidTr="00E24DC9">
        <w:tc>
          <w:tcPr>
            <w:tcW w:w="708" w:type="dxa"/>
            <w:vMerge/>
          </w:tcPr>
          <w:p w14:paraId="398AFDD5" w14:textId="77777777" w:rsidR="004D1935" w:rsidRPr="00191458" w:rsidRDefault="004D1935" w:rsidP="00E24DC9">
            <w:pPr>
              <w:rPr>
                <w:color w:val="000000" w:themeColor="text1"/>
                <w:sz w:val="16"/>
                <w:szCs w:val="16"/>
              </w:rPr>
            </w:pPr>
          </w:p>
        </w:tc>
        <w:tc>
          <w:tcPr>
            <w:tcW w:w="1022" w:type="dxa"/>
            <w:tcBorders>
              <w:top w:val="nil"/>
              <w:bottom w:val="nil"/>
            </w:tcBorders>
            <w:vAlign w:val="center"/>
          </w:tcPr>
          <w:p w14:paraId="243899C4"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298.0059</w:t>
            </w:r>
          </w:p>
        </w:tc>
        <w:tc>
          <w:tcPr>
            <w:tcW w:w="2665" w:type="dxa"/>
            <w:vMerge/>
          </w:tcPr>
          <w:p w14:paraId="2A6FAF53" w14:textId="77777777" w:rsidR="004D1935" w:rsidRPr="00191458" w:rsidRDefault="004D1935" w:rsidP="00E24DC9">
            <w:pPr>
              <w:rPr>
                <w:color w:val="000000" w:themeColor="text1"/>
                <w:sz w:val="16"/>
                <w:szCs w:val="16"/>
              </w:rPr>
            </w:pPr>
          </w:p>
        </w:tc>
        <w:tc>
          <w:tcPr>
            <w:tcW w:w="1701" w:type="dxa"/>
            <w:vMerge/>
          </w:tcPr>
          <w:p w14:paraId="19A5C2B2" w14:textId="77777777" w:rsidR="004D1935" w:rsidRPr="00191458" w:rsidRDefault="004D1935" w:rsidP="00E24DC9">
            <w:pPr>
              <w:rPr>
                <w:color w:val="000000" w:themeColor="text1"/>
                <w:sz w:val="16"/>
                <w:szCs w:val="16"/>
              </w:rPr>
            </w:pPr>
          </w:p>
        </w:tc>
        <w:tc>
          <w:tcPr>
            <w:tcW w:w="1985" w:type="dxa"/>
            <w:vMerge/>
          </w:tcPr>
          <w:p w14:paraId="072ADB58" w14:textId="77777777" w:rsidR="004D1935" w:rsidRPr="00191458" w:rsidRDefault="004D1935" w:rsidP="00E24DC9">
            <w:pPr>
              <w:rPr>
                <w:color w:val="000000" w:themeColor="text1"/>
                <w:sz w:val="16"/>
                <w:szCs w:val="16"/>
              </w:rPr>
            </w:pPr>
          </w:p>
        </w:tc>
        <w:tc>
          <w:tcPr>
            <w:tcW w:w="7087" w:type="dxa"/>
            <w:vMerge/>
          </w:tcPr>
          <w:p w14:paraId="122D66AF" w14:textId="77777777" w:rsidR="004D1935" w:rsidRPr="00191458" w:rsidRDefault="004D1935" w:rsidP="00E24DC9">
            <w:pPr>
              <w:rPr>
                <w:color w:val="000000" w:themeColor="text1"/>
                <w:sz w:val="16"/>
                <w:szCs w:val="16"/>
              </w:rPr>
            </w:pPr>
          </w:p>
        </w:tc>
      </w:tr>
      <w:tr w:rsidR="004D1935" w:rsidRPr="00191458" w14:paraId="5BD8FFDC" w14:textId="77777777" w:rsidTr="00E24DC9">
        <w:tc>
          <w:tcPr>
            <w:tcW w:w="708" w:type="dxa"/>
            <w:vMerge/>
          </w:tcPr>
          <w:p w14:paraId="24E0A18D" w14:textId="77777777" w:rsidR="004D1935" w:rsidRPr="00191458" w:rsidRDefault="004D1935" w:rsidP="00E24DC9">
            <w:pPr>
              <w:rPr>
                <w:color w:val="000000" w:themeColor="text1"/>
                <w:sz w:val="16"/>
                <w:szCs w:val="16"/>
              </w:rPr>
            </w:pPr>
          </w:p>
        </w:tc>
        <w:tc>
          <w:tcPr>
            <w:tcW w:w="1022" w:type="dxa"/>
            <w:tcBorders>
              <w:top w:val="nil"/>
              <w:bottom w:val="nil"/>
            </w:tcBorders>
            <w:vAlign w:val="center"/>
          </w:tcPr>
          <w:p w14:paraId="58A257FE"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298.0459</w:t>
            </w:r>
          </w:p>
        </w:tc>
        <w:tc>
          <w:tcPr>
            <w:tcW w:w="2665" w:type="dxa"/>
            <w:vMerge/>
          </w:tcPr>
          <w:p w14:paraId="671686D5" w14:textId="77777777" w:rsidR="004D1935" w:rsidRPr="00191458" w:rsidRDefault="004D1935" w:rsidP="00E24DC9">
            <w:pPr>
              <w:rPr>
                <w:color w:val="000000" w:themeColor="text1"/>
                <w:sz w:val="16"/>
                <w:szCs w:val="16"/>
              </w:rPr>
            </w:pPr>
          </w:p>
        </w:tc>
        <w:tc>
          <w:tcPr>
            <w:tcW w:w="1701" w:type="dxa"/>
            <w:vMerge/>
          </w:tcPr>
          <w:p w14:paraId="663F983B" w14:textId="77777777" w:rsidR="004D1935" w:rsidRPr="00191458" w:rsidRDefault="004D1935" w:rsidP="00E24DC9">
            <w:pPr>
              <w:rPr>
                <w:color w:val="000000" w:themeColor="text1"/>
                <w:sz w:val="16"/>
                <w:szCs w:val="16"/>
              </w:rPr>
            </w:pPr>
          </w:p>
        </w:tc>
        <w:tc>
          <w:tcPr>
            <w:tcW w:w="1985" w:type="dxa"/>
            <w:vMerge/>
          </w:tcPr>
          <w:p w14:paraId="30BFFD21" w14:textId="77777777" w:rsidR="004D1935" w:rsidRPr="00191458" w:rsidRDefault="004D1935" w:rsidP="00E24DC9">
            <w:pPr>
              <w:rPr>
                <w:color w:val="000000" w:themeColor="text1"/>
                <w:sz w:val="16"/>
                <w:szCs w:val="16"/>
              </w:rPr>
            </w:pPr>
          </w:p>
        </w:tc>
        <w:tc>
          <w:tcPr>
            <w:tcW w:w="7087" w:type="dxa"/>
            <w:vMerge/>
          </w:tcPr>
          <w:p w14:paraId="505EB1D4" w14:textId="77777777" w:rsidR="004D1935" w:rsidRPr="00191458" w:rsidRDefault="004D1935" w:rsidP="00E24DC9">
            <w:pPr>
              <w:rPr>
                <w:color w:val="000000" w:themeColor="text1"/>
                <w:sz w:val="16"/>
                <w:szCs w:val="16"/>
              </w:rPr>
            </w:pPr>
          </w:p>
        </w:tc>
      </w:tr>
      <w:tr w:rsidR="004D1935" w:rsidRPr="00191458" w14:paraId="1D5D75D7" w14:textId="77777777" w:rsidTr="00E24DC9">
        <w:tc>
          <w:tcPr>
            <w:tcW w:w="708" w:type="dxa"/>
            <w:vMerge/>
          </w:tcPr>
          <w:p w14:paraId="2EDC7FB4" w14:textId="77777777" w:rsidR="004D1935" w:rsidRPr="00191458" w:rsidRDefault="004D1935" w:rsidP="00E24DC9">
            <w:pPr>
              <w:rPr>
                <w:color w:val="000000" w:themeColor="text1"/>
                <w:sz w:val="16"/>
                <w:szCs w:val="16"/>
              </w:rPr>
            </w:pPr>
          </w:p>
        </w:tc>
        <w:tc>
          <w:tcPr>
            <w:tcW w:w="1022" w:type="dxa"/>
            <w:tcBorders>
              <w:top w:val="nil"/>
              <w:bottom w:val="nil"/>
            </w:tcBorders>
            <w:vAlign w:val="center"/>
          </w:tcPr>
          <w:p w14:paraId="5C1BDBA1"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298.0860</w:t>
            </w:r>
          </w:p>
        </w:tc>
        <w:tc>
          <w:tcPr>
            <w:tcW w:w="2665" w:type="dxa"/>
            <w:vMerge/>
          </w:tcPr>
          <w:p w14:paraId="33C59504" w14:textId="77777777" w:rsidR="004D1935" w:rsidRPr="00191458" w:rsidRDefault="004D1935" w:rsidP="00E24DC9">
            <w:pPr>
              <w:rPr>
                <w:color w:val="000000" w:themeColor="text1"/>
                <w:sz w:val="16"/>
                <w:szCs w:val="16"/>
              </w:rPr>
            </w:pPr>
          </w:p>
        </w:tc>
        <w:tc>
          <w:tcPr>
            <w:tcW w:w="1701" w:type="dxa"/>
            <w:vMerge/>
          </w:tcPr>
          <w:p w14:paraId="3DF29903" w14:textId="77777777" w:rsidR="004D1935" w:rsidRPr="00191458" w:rsidRDefault="004D1935" w:rsidP="00E24DC9">
            <w:pPr>
              <w:rPr>
                <w:color w:val="000000" w:themeColor="text1"/>
                <w:sz w:val="16"/>
                <w:szCs w:val="16"/>
              </w:rPr>
            </w:pPr>
          </w:p>
        </w:tc>
        <w:tc>
          <w:tcPr>
            <w:tcW w:w="1985" w:type="dxa"/>
            <w:vMerge/>
          </w:tcPr>
          <w:p w14:paraId="1EE4EAC6" w14:textId="77777777" w:rsidR="004D1935" w:rsidRPr="00191458" w:rsidRDefault="004D1935" w:rsidP="00E24DC9">
            <w:pPr>
              <w:rPr>
                <w:color w:val="000000" w:themeColor="text1"/>
                <w:sz w:val="16"/>
                <w:szCs w:val="16"/>
              </w:rPr>
            </w:pPr>
          </w:p>
        </w:tc>
        <w:tc>
          <w:tcPr>
            <w:tcW w:w="7087" w:type="dxa"/>
            <w:vMerge/>
          </w:tcPr>
          <w:p w14:paraId="4F0F69DF" w14:textId="77777777" w:rsidR="004D1935" w:rsidRPr="00191458" w:rsidRDefault="004D1935" w:rsidP="00E24DC9">
            <w:pPr>
              <w:rPr>
                <w:color w:val="000000" w:themeColor="text1"/>
                <w:sz w:val="16"/>
                <w:szCs w:val="16"/>
              </w:rPr>
            </w:pPr>
          </w:p>
        </w:tc>
      </w:tr>
      <w:tr w:rsidR="004D1935" w:rsidRPr="00191458" w14:paraId="1584124B" w14:textId="77777777" w:rsidTr="00E24DC9">
        <w:tc>
          <w:tcPr>
            <w:tcW w:w="708" w:type="dxa"/>
            <w:vMerge/>
          </w:tcPr>
          <w:p w14:paraId="257E8D2D" w14:textId="77777777" w:rsidR="004D1935" w:rsidRPr="00191458" w:rsidRDefault="004D1935" w:rsidP="00E24DC9">
            <w:pPr>
              <w:rPr>
                <w:color w:val="000000" w:themeColor="text1"/>
                <w:sz w:val="16"/>
                <w:szCs w:val="16"/>
              </w:rPr>
            </w:pPr>
          </w:p>
        </w:tc>
        <w:tc>
          <w:tcPr>
            <w:tcW w:w="1022" w:type="dxa"/>
            <w:tcBorders>
              <w:top w:val="nil"/>
              <w:bottom w:val="nil"/>
            </w:tcBorders>
            <w:vAlign w:val="center"/>
          </w:tcPr>
          <w:p w14:paraId="02FAC98C"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298.1261</w:t>
            </w:r>
          </w:p>
        </w:tc>
        <w:tc>
          <w:tcPr>
            <w:tcW w:w="2665" w:type="dxa"/>
            <w:vMerge/>
          </w:tcPr>
          <w:p w14:paraId="6A12BD4C" w14:textId="77777777" w:rsidR="004D1935" w:rsidRPr="00191458" w:rsidRDefault="004D1935" w:rsidP="00E24DC9">
            <w:pPr>
              <w:rPr>
                <w:color w:val="000000" w:themeColor="text1"/>
                <w:sz w:val="16"/>
                <w:szCs w:val="16"/>
              </w:rPr>
            </w:pPr>
          </w:p>
        </w:tc>
        <w:tc>
          <w:tcPr>
            <w:tcW w:w="1701" w:type="dxa"/>
            <w:vMerge/>
          </w:tcPr>
          <w:p w14:paraId="6BF50AB7" w14:textId="77777777" w:rsidR="004D1935" w:rsidRPr="00191458" w:rsidRDefault="004D1935" w:rsidP="00E24DC9">
            <w:pPr>
              <w:rPr>
                <w:color w:val="000000" w:themeColor="text1"/>
                <w:sz w:val="16"/>
                <w:szCs w:val="16"/>
              </w:rPr>
            </w:pPr>
          </w:p>
        </w:tc>
        <w:tc>
          <w:tcPr>
            <w:tcW w:w="1985" w:type="dxa"/>
            <w:vMerge/>
          </w:tcPr>
          <w:p w14:paraId="32A8F3DC" w14:textId="77777777" w:rsidR="004D1935" w:rsidRPr="00191458" w:rsidRDefault="004D1935" w:rsidP="00E24DC9">
            <w:pPr>
              <w:rPr>
                <w:color w:val="000000" w:themeColor="text1"/>
                <w:sz w:val="16"/>
                <w:szCs w:val="16"/>
              </w:rPr>
            </w:pPr>
          </w:p>
        </w:tc>
        <w:tc>
          <w:tcPr>
            <w:tcW w:w="7087" w:type="dxa"/>
            <w:vMerge/>
          </w:tcPr>
          <w:p w14:paraId="16A00F9F" w14:textId="77777777" w:rsidR="004D1935" w:rsidRPr="00191458" w:rsidRDefault="004D1935" w:rsidP="00E24DC9">
            <w:pPr>
              <w:rPr>
                <w:color w:val="000000" w:themeColor="text1"/>
                <w:sz w:val="16"/>
                <w:szCs w:val="16"/>
              </w:rPr>
            </w:pPr>
          </w:p>
        </w:tc>
      </w:tr>
      <w:tr w:rsidR="004D1935" w:rsidRPr="00191458" w14:paraId="5A245BBA" w14:textId="77777777" w:rsidTr="00E24DC9">
        <w:tc>
          <w:tcPr>
            <w:tcW w:w="708" w:type="dxa"/>
            <w:vMerge/>
          </w:tcPr>
          <w:p w14:paraId="06BE7E52" w14:textId="77777777" w:rsidR="004D1935" w:rsidRPr="00191458" w:rsidRDefault="004D1935" w:rsidP="00E24DC9">
            <w:pPr>
              <w:rPr>
                <w:color w:val="000000" w:themeColor="text1"/>
                <w:sz w:val="16"/>
                <w:szCs w:val="16"/>
              </w:rPr>
            </w:pPr>
          </w:p>
        </w:tc>
        <w:tc>
          <w:tcPr>
            <w:tcW w:w="1022" w:type="dxa"/>
            <w:tcBorders>
              <w:top w:val="nil"/>
              <w:bottom w:val="nil"/>
            </w:tcBorders>
            <w:vAlign w:val="center"/>
          </w:tcPr>
          <w:p w14:paraId="5500D6AC"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298.1662</w:t>
            </w:r>
          </w:p>
        </w:tc>
        <w:tc>
          <w:tcPr>
            <w:tcW w:w="2665" w:type="dxa"/>
            <w:vMerge/>
          </w:tcPr>
          <w:p w14:paraId="1C3857E2" w14:textId="77777777" w:rsidR="004D1935" w:rsidRPr="00191458" w:rsidRDefault="004D1935" w:rsidP="00E24DC9">
            <w:pPr>
              <w:rPr>
                <w:color w:val="000000" w:themeColor="text1"/>
                <w:sz w:val="16"/>
                <w:szCs w:val="16"/>
              </w:rPr>
            </w:pPr>
          </w:p>
        </w:tc>
        <w:tc>
          <w:tcPr>
            <w:tcW w:w="1701" w:type="dxa"/>
            <w:vMerge/>
          </w:tcPr>
          <w:p w14:paraId="389032F2" w14:textId="77777777" w:rsidR="004D1935" w:rsidRPr="00191458" w:rsidRDefault="004D1935" w:rsidP="00E24DC9">
            <w:pPr>
              <w:rPr>
                <w:color w:val="000000" w:themeColor="text1"/>
                <w:sz w:val="16"/>
                <w:szCs w:val="16"/>
              </w:rPr>
            </w:pPr>
          </w:p>
        </w:tc>
        <w:tc>
          <w:tcPr>
            <w:tcW w:w="1985" w:type="dxa"/>
            <w:vMerge/>
          </w:tcPr>
          <w:p w14:paraId="0EFF5073" w14:textId="77777777" w:rsidR="004D1935" w:rsidRPr="00191458" w:rsidRDefault="004D1935" w:rsidP="00E24DC9">
            <w:pPr>
              <w:rPr>
                <w:color w:val="000000" w:themeColor="text1"/>
                <w:sz w:val="16"/>
                <w:szCs w:val="16"/>
              </w:rPr>
            </w:pPr>
          </w:p>
        </w:tc>
        <w:tc>
          <w:tcPr>
            <w:tcW w:w="7087" w:type="dxa"/>
            <w:vMerge/>
          </w:tcPr>
          <w:p w14:paraId="73BDF9C8" w14:textId="77777777" w:rsidR="004D1935" w:rsidRPr="00191458" w:rsidRDefault="004D1935" w:rsidP="00E24DC9">
            <w:pPr>
              <w:rPr>
                <w:color w:val="000000" w:themeColor="text1"/>
                <w:sz w:val="16"/>
                <w:szCs w:val="16"/>
              </w:rPr>
            </w:pPr>
          </w:p>
        </w:tc>
      </w:tr>
      <w:tr w:rsidR="004D1935" w:rsidRPr="00191458" w14:paraId="2D175D38" w14:textId="77777777" w:rsidTr="00E24DC9">
        <w:tc>
          <w:tcPr>
            <w:tcW w:w="708" w:type="dxa"/>
            <w:vMerge/>
          </w:tcPr>
          <w:p w14:paraId="3FDFC1F7" w14:textId="77777777" w:rsidR="004D1935" w:rsidRPr="00191458" w:rsidRDefault="004D1935" w:rsidP="00E24DC9">
            <w:pPr>
              <w:rPr>
                <w:color w:val="000000" w:themeColor="text1"/>
                <w:sz w:val="16"/>
                <w:szCs w:val="16"/>
              </w:rPr>
            </w:pPr>
          </w:p>
        </w:tc>
        <w:tc>
          <w:tcPr>
            <w:tcW w:w="1022" w:type="dxa"/>
            <w:tcBorders>
              <w:top w:val="nil"/>
              <w:bottom w:val="nil"/>
            </w:tcBorders>
            <w:vAlign w:val="center"/>
          </w:tcPr>
          <w:p w14:paraId="062100F1"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298.0326</w:t>
            </w:r>
          </w:p>
        </w:tc>
        <w:tc>
          <w:tcPr>
            <w:tcW w:w="2665" w:type="dxa"/>
            <w:vMerge/>
          </w:tcPr>
          <w:p w14:paraId="3B2DD9B8" w14:textId="77777777" w:rsidR="004D1935" w:rsidRPr="00191458" w:rsidRDefault="004D1935" w:rsidP="00E24DC9">
            <w:pPr>
              <w:rPr>
                <w:color w:val="000000" w:themeColor="text1"/>
                <w:sz w:val="16"/>
                <w:szCs w:val="16"/>
              </w:rPr>
            </w:pPr>
          </w:p>
        </w:tc>
        <w:tc>
          <w:tcPr>
            <w:tcW w:w="1701" w:type="dxa"/>
            <w:vMerge/>
          </w:tcPr>
          <w:p w14:paraId="69063C36" w14:textId="77777777" w:rsidR="004D1935" w:rsidRPr="00191458" w:rsidRDefault="004D1935" w:rsidP="00E24DC9">
            <w:pPr>
              <w:rPr>
                <w:color w:val="000000" w:themeColor="text1"/>
                <w:sz w:val="16"/>
                <w:szCs w:val="16"/>
              </w:rPr>
            </w:pPr>
          </w:p>
        </w:tc>
        <w:tc>
          <w:tcPr>
            <w:tcW w:w="1985" w:type="dxa"/>
            <w:vMerge/>
          </w:tcPr>
          <w:p w14:paraId="2F40D1B0" w14:textId="77777777" w:rsidR="004D1935" w:rsidRPr="00191458" w:rsidRDefault="004D1935" w:rsidP="00E24DC9">
            <w:pPr>
              <w:rPr>
                <w:color w:val="000000" w:themeColor="text1"/>
                <w:sz w:val="16"/>
                <w:szCs w:val="16"/>
              </w:rPr>
            </w:pPr>
          </w:p>
        </w:tc>
        <w:tc>
          <w:tcPr>
            <w:tcW w:w="7087" w:type="dxa"/>
            <w:vMerge/>
          </w:tcPr>
          <w:p w14:paraId="64B92041" w14:textId="77777777" w:rsidR="004D1935" w:rsidRPr="00191458" w:rsidRDefault="004D1935" w:rsidP="00E24DC9">
            <w:pPr>
              <w:rPr>
                <w:color w:val="000000" w:themeColor="text1"/>
                <w:sz w:val="16"/>
                <w:szCs w:val="16"/>
              </w:rPr>
            </w:pPr>
          </w:p>
        </w:tc>
      </w:tr>
      <w:tr w:rsidR="004D1935" w:rsidRPr="00191458" w14:paraId="5271CE89" w14:textId="77777777" w:rsidTr="00E24DC9">
        <w:tc>
          <w:tcPr>
            <w:tcW w:w="708" w:type="dxa"/>
            <w:vMerge/>
          </w:tcPr>
          <w:p w14:paraId="745FEDA1" w14:textId="77777777" w:rsidR="004D1935" w:rsidRPr="00191458" w:rsidRDefault="004D1935" w:rsidP="00E24DC9">
            <w:pPr>
              <w:rPr>
                <w:color w:val="000000" w:themeColor="text1"/>
                <w:sz w:val="16"/>
                <w:szCs w:val="16"/>
              </w:rPr>
            </w:pPr>
          </w:p>
        </w:tc>
        <w:tc>
          <w:tcPr>
            <w:tcW w:w="1022" w:type="dxa"/>
            <w:tcBorders>
              <w:top w:val="nil"/>
              <w:bottom w:val="nil"/>
            </w:tcBorders>
            <w:vAlign w:val="center"/>
          </w:tcPr>
          <w:p w14:paraId="1F2C33D9"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298.0727</w:t>
            </w:r>
          </w:p>
        </w:tc>
        <w:tc>
          <w:tcPr>
            <w:tcW w:w="2665" w:type="dxa"/>
            <w:vMerge/>
          </w:tcPr>
          <w:p w14:paraId="7DCDD722" w14:textId="77777777" w:rsidR="004D1935" w:rsidRPr="00191458" w:rsidRDefault="004D1935" w:rsidP="00E24DC9">
            <w:pPr>
              <w:rPr>
                <w:color w:val="000000" w:themeColor="text1"/>
                <w:sz w:val="16"/>
                <w:szCs w:val="16"/>
              </w:rPr>
            </w:pPr>
          </w:p>
        </w:tc>
        <w:tc>
          <w:tcPr>
            <w:tcW w:w="1701" w:type="dxa"/>
            <w:vMerge/>
          </w:tcPr>
          <w:p w14:paraId="5CC3223E" w14:textId="77777777" w:rsidR="004D1935" w:rsidRPr="00191458" w:rsidRDefault="004D1935" w:rsidP="00E24DC9">
            <w:pPr>
              <w:rPr>
                <w:color w:val="000000" w:themeColor="text1"/>
                <w:sz w:val="16"/>
                <w:szCs w:val="16"/>
              </w:rPr>
            </w:pPr>
          </w:p>
        </w:tc>
        <w:tc>
          <w:tcPr>
            <w:tcW w:w="1985" w:type="dxa"/>
            <w:vMerge/>
          </w:tcPr>
          <w:p w14:paraId="45059E22" w14:textId="77777777" w:rsidR="004D1935" w:rsidRPr="00191458" w:rsidRDefault="004D1935" w:rsidP="00E24DC9">
            <w:pPr>
              <w:rPr>
                <w:color w:val="000000" w:themeColor="text1"/>
                <w:sz w:val="16"/>
                <w:szCs w:val="16"/>
              </w:rPr>
            </w:pPr>
          </w:p>
        </w:tc>
        <w:tc>
          <w:tcPr>
            <w:tcW w:w="7087" w:type="dxa"/>
            <w:vMerge/>
          </w:tcPr>
          <w:p w14:paraId="039050A0" w14:textId="77777777" w:rsidR="004D1935" w:rsidRPr="00191458" w:rsidRDefault="004D1935" w:rsidP="00E24DC9">
            <w:pPr>
              <w:rPr>
                <w:color w:val="000000" w:themeColor="text1"/>
                <w:sz w:val="16"/>
                <w:szCs w:val="16"/>
              </w:rPr>
            </w:pPr>
          </w:p>
        </w:tc>
      </w:tr>
      <w:tr w:rsidR="004D1935" w:rsidRPr="00191458" w14:paraId="7841A0E6" w14:textId="77777777" w:rsidTr="00E24DC9">
        <w:tc>
          <w:tcPr>
            <w:tcW w:w="708" w:type="dxa"/>
            <w:vMerge/>
          </w:tcPr>
          <w:p w14:paraId="730D3163" w14:textId="77777777" w:rsidR="004D1935" w:rsidRPr="00191458" w:rsidRDefault="004D1935" w:rsidP="00E24DC9">
            <w:pPr>
              <w:rPr>
                <w:color w:val="000000" w:themeColor="text1"/>
                <w:sz w:val="16"/>
                <w:szCs w:val="16"/>
              </w:rPr>
            </w:pPr>
          </w:p>
        </w:tc>
        <w:tc>
          <w:tcPr>
            <w:tcW w:w="1022" w:type="dxa"/>
            <w:tcBorders>
              <w:top w:val="nil"/>
              <w:bottom w:val="nil"/>
            </w:tcBorders>
            <w:vAlign w:val="center"/>
          </w:tcPr>
          <w:p w14:paraId="5C2C9814"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298.1127</w:t>
            </w:r>
          </w:p>
        </w:tc>
        <w:tc>
          <w:tcPr>
            <w:tcW w:w="2665" w:type="dxa"/>
            <w:vMerge/>
          </w:tcPr>
          <w:p w14:paraId="35D30D82" w14:textId="77777777" w:rsidR="004D1935" w:rsidRPr="00191458" w:rsidRDefault="004D1935" w:rsidP="00E24DC9">
            <w:pPr>
              <w:rPr>
                <w:color w:val="000000" w:themeColor="text1"/>
                <w:sz w:val="16"/>
                <w:szCs w:val="16"/>
              </w:rPr>
            </w:pPr>
          </w:p>
        </w:tc>
        <w:tc>
          <w:tcPr>
            <w:tcW w:w="1701" w:type="dxa"/>
            <w:vMerge/>
          </w:tcPr>
          <w:p w14:paraId="7CBA10AF" w14:textId="77777777" w:rsidR="004D1935" w:rsidRPr="00191458" w:rsidRDefault="004D1935" w:rsidP="00E24DC9">
            <w:pPr>
              <w:rPr>
                <w:color w:val="000000" w:themeColor="text1"/>
                <w:sz w:val="16"/>
                <w:szCs w:val="16"/>
              </w:rPr>
            </w:pPr>
          </w:p>
        </w:tc>
        <w:tc>
          <w:tcPr>
            <w:tcW w:w="1985" w:type="dxa"/>
            <w:vMerge/>
          </w:tcPr>
          <w:p w14:paraId="091F0F53" w14:textId="77777777" w:rsidR="004D1935" w:rsidRPr="00191458" w:rsidRDefault="004D1935" w:rsidP="00E24DC9">
            <w:pPr>
              <w:rPr>
                <w:color w:val="000000" w:themeColor="text1"/>
                <w:sz w:val="16"/>
                <w:szCs w:val="16"/>
              </w:rPr>
            </w:pPr>
          </w:p>
        </w:tc>
        <w:tc>
          <w:tcPr>
            <w:tcW w:w="7087" w:type="dxa"/>
            <w:vMerge/>
          </w:tcPr>
          <w:p w14:paraId="079B9F79" w14:textId="77777777" w:rsidR="004D1935" w:rsidRPr="00191458" w:rsidRDefault="004D1935" w:rsidP="00E24DC9">
            <w:pPr>
              <w:rPr>
                <w:color w:val="000000" w:themeColor="text1"/>
                <w:sz w:val="16"/>
                <w:szCs w:val="16"/>
              </w:rPr>
            </w:pPr>
          </w:p>
        </w:tc>
      </w:tr>
      <w:tr w:rsidR="004D1935" w:rsidRPr="00191458" w14:paraId="5E2D86BA" w14:textId="77777777" w:rsidTr="00E24DC9">
        <w:tc>
          <w:tcPr>
            <w:tcW w:w="708" w:type="dxa"/>
            <w:vMerge/>
          </w:tcPr>
          <w:p w14:paraId="08C67D63" w14:textId="77777777" w:rsidR="004D1935" w:rsidRPr="00191458" w:rsidRDefault="004D1935" w:rsidP="00E24DC9">
            <w:pPr>
              <w:rPr>
                <w:color w:val="000000" w:themeColor="text1"/>
                <w:sz w:val="16"/>
                <w:szCs w:val="16"/>
              </w:rPr>
            </w:pPr>
          </w:p>
        </w:tc>
        <w:tc>
          <w:tcPr>
            <w:tcW w:w="1022" w:type="dxa"/>
            <w:tcBorders>
              <w:top w:val="nil"/>
              <w:bottom w:val="nil"/>
            </w:tcBorders>
            <w:vAlign w:val="center"/>
          </w:tcPr>
          <w:p w14:paraId="41C4ECBF"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298.1528</w:t>
            </w:r>
          </w:p>
        </w:tc>
        <w:tc>
          <w:tcPr>
            <w:tcW w:w="2665" w:type="dxa"/>
            <w:vMerge/>
          </w:tcPr>
          <w:p w14:paraId="3ABB348D" w14:textId="77777777" w:rsidR="004D1935" w:rsidRPr="00191458" w:rsidRDefault="004D1935" w:rsidP="00E24DC9">
            <w:pPr>
              <w:rPr>
                <w:color w:val="000000" w:themeColor="text1"/>
                <w:sz w:val="16"/>
                <w:szCs w:val="16"/>
              </w:rPr>
            </w:pPr>
          </w:p>
        </w:tc>
        <w:tc>
          <w:tcPr>
            <w:tcW w:w="1701" w:type="dxa"/>
            <w:vMerge/>
          </w:tcPr>
          <w:p w14:paraId="3ADBE4E8" w14:textId="77777777" w:rsidR="004D1935" w:rsidRPr="00191458" w:rsidRDefault="004D1935" w:rsidP="00E24DC9">
            <w:pPr>
              <w:rPr>
                <w:color w:val="000000" w:themeColor="text1"/>
                <w:sz w:val="16"/>
                <w:szCs w:val="16"/>
              </w:rPr>
            </w:pPr>
          </w:p>
        </w:tc>
        <w:tc>
          <w:tcPr>
            <w:tcW w:w="1985" w:type="dxa"/>
            <w:vMerge/>
          </w:tcPr>
          <w:p w14:paraId="20E97066" w14:textId="77777777" w:rsidR="004D1935" w:rsidRPr="00191458" w:rsidRDefault="004D1935" w:rsidP="00E24DC9">
            <w:pPr>
              <w:rPr>
                <w:color w:val="000000" w:themeColor="text1"/>
                <w:sz w:val="16"/>
                <w:szCs w:val="16"/>
              </w:rPr>
            </w:pPr>
          </w:p>
        </w:tc>
        <w:tc>
          <w:tcPr>
            <w:tcW w:w="7087" w:type="dxa"/>
            <w:vMerge/>
          </w:tcPr>
          <w:p w14:paraId="3689C3E9" w14:textId="77777777" w:rsidR="004D1935" w:rsidRPr="00191458" w:rsidRDefault="004D1935" w:rsidP="00E24DC9">
            <w:pPr>
              <w:rPr>
                <w:color w:val="000000" w:themeColor="text1"/>
                <w:sz w:val="16"/>
                <w:szCs w:val="16"/>
              </w:rPr>
            </w:pPr>
          </w:p>
        </w:tc>
      </w:tr>
      <w:tr w:rsidR="004D1935" w:rsidRPr="00191458" w14:paraId="08B5F6C1" w14:textId="77777777" w:rsidTr="00E24DC9">
        <w:tc>
          <w:tcPr>
            <w:tcW w:w="708" w:type="dxa"/>
            <w:vMerge/>
          </w:tcPr>
          <w:p w14:paraId="1396798C" w14:textId="77777777" w:rsidR="004D1935" w:rsidRPr="00191458" w:rsidRDefault="004D1935" w:rsidP="00E24DC9">
            <w:pPr>
              <w:rPr>
                <w:color w:val="000000" w:themeColor="text1"/>
                <w:sz w:val="16"/>
                <w:szCs w:val="16"/>
              </w:rPr>
            </w:pPr>
          </w:p>
        </w:tc>
        <w:tc>
          <w:tcPr>
            <w:tcW w:w="1022" w:type="dxa"/>
            <w:tcBorders>
              <w:top w:val="nil"/>
              <w:bottom w:val="nil"/>
            </w:tcBorders>
            <w:vAlign w:val="center"/>
          </w:tcPr>
          <w:p w14:paraId="0EC19986"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298.1929</w:t>
            </w:r>
          </w:p>
        </w:tc>
        <w:tc>
          <w:tcPr>
            <w:tcW w:w="2665" w:type="dxa"/>
            <w:vMerge/>
          </w:tcPr>
          <w:p w14:paraId="342B5CDB" w14:textId="77777777" w:rsidR="004D1935" w:rsidRPr="00191458" w:rsidRDefault="004D1935" w:rsidP="00E24DC9">
            <w:pPr>
              <w:rPr>
                <w:color w:val="000000" w:themeColor="text1"/>
                <w:sz w:val="16"/>
                <w:szCs w:val="16"/>
              </w:rPr>
            </w:pPr>
          </w:p>
        </w:tc>
        <w:tc>
          <w:tcPr>
            <w:tcW w:w="1701" w:type="dxa"/>
            <w:vMerge/>
          </w:tcPr>
          <w:p w14:paraId="7E9619B8" w14:textId="77777777" w:rsidR="004D1935" w:rsidRPr="00191458" w:rsidRDefault="004D1935" w:rsidP="00E24DC9">
            <w:pPr>
              <w:rPr>
                <w:color w:val="000000" w:themeColor="text1"/>
                <w:sz w:val="16"/>
                <w:szCs w:val="16"/>
              </w:rPr>
            </w:pPr>
          </w:p>
        </w:tc>
        <w:tc>
          <w:tcPr>
            <w:tcW w:w="1985" w:type="dxa"/>
            <w:vMerge/>
          </w:tcPr>
          <w:p w14:paraId="5F6591B7" w14:textId="77777777" w:rsidR="004D1935" w:rsidRPr="00191458" w:rsidRDefault="004D1935" w:rsidP="00E24DC9">
            <w:pPr>
              <w:rPr>
                <w:color w:val="000000" w:themeColor="text1"/>
                <w:sz w:val="16"/>
                <w:szCs w:val="16"/>
              </w:rPr>
            </w:pPr>
          </w:p>
        </w:tc>
        <w:tc>
          <w:tcPr>
            <w:tcW w:w="7087" w:type="dxa"/>
            <w:vMerge/>
          </w:tcPr>
          <w:p w14:paraId="56940CA5" w14:textId="77777777" w:rsidR="004D1935" w:rsidRPr="00191458" w:rsidRDefault="004D1935" w:rsidP="00E24DC9">
            <w:pPr>
              <w:rPr>
                <w:color w:val="000000" w:themeColor="text1"/>
                <w:sz w:val="16"/>
                <w:szCs w:val="16"/>
              </w:rPr>
            </w:pPr>
          </w:p>
        </w:tc>
      </w:tr>
      <w:tr w:rsidR="004D1935" w:rsidRPr="00191458" w14:paraId="66904288" w14:textId="77777777" w:rsidTr="00E24DC9">
        <w:tc>
          <w:tcPr>
            <w:tcW w:w="708" w:type="dxa"/>
            <w:vMerge/>
          </w:tcPr>
          <w:p w14:paraId="47C7F14D" w14:textId="77777777" w:rsidR="004D1935" w:rsidRPr="00191458" w:rsidRDefault="004D1935" w:rsidP="00E24DC9">
            <w:pPr>
              <w:rPr>
                <w:color w:val="000000" w:themeColor="text1"/>
                <w:sz w:val="16"/>
                <w:szCs w:val="16"/>
              </w:rPr>
            </w:pPr>
          </w:p>
        </w:tc>
        <w:tc>
          <w:tcPr>
            <w:tcW w:w="1022" w:type="dxa"/>
            <w:tcBorders>
              <w:top w:val="nil"/>
              <w:bottom w:val="nil"/>
            </w:tcBorders>
            <w:vAlign w:val="center"/>
          </w:tcPr>
          <w:p w14:paraId="5C80F0BC" w14:textId="77777777" w:rsidR="004D1935" w:rsidRPr="00191458" w:rsidRDefault="004D1935" w:rsidP="00E24DC9">
            <w:pPr>
              <w:jc w:val="center"/>
              <w:rPr>
                <w:rFonts w:ascii="Calibri" w:hAnsi="Calibri" w:cs="Calibri"/>
                <w:color w:val="000000" w:themeColor="text1"/>
                <w:sz w:val="16"/>
                <w:szCs w:val="16"/>
              </w:rPr>
            </w:pPr>
            <w:r w:rsidRPr="00191458">
              <w:rPr>
                <w:rFonts w:ascii="Calibri" w:hAnsi="Calibri" w:cs="Calibri"/>
                <w:color w:val="000000" w:themeColor="text1"/>
                <w:sz w:val="16"/>
                <w:szCs w:val="16"/>
              </w:rPr>
              <w:t>297.9952</w:t>
            </w:r>
          </w:p>
        </w:tc>
        <w:tc>
          <w:tcPr>
            <w:tcW w:w="2665" w:type="dxa"/>
            <w:vMerge/>
          </w:tcPr>
          <w:p w14:paraId="59A04D5D" w14:textId="77777777" w:rsidR="004D1935" w:rsidRPr="00191458" w:rsidRDefault="004D1935" w:rsidP="00E24DC9">
            <w:pPr>
              <w:rPr>
                <w:color w:val="000000" w:themeColor="text1"/>
                <w:sz w:val="16"/>
                <w:szCs w:val="16"/>
              </w:rPr>
            </w:pPr>
          </w:p>
        </w:tc>
        <w:tc>
          <w:tcPr>
            <w:tcW w:w="1701" w:type="dxa"/>
            <w:vMerge/>
          </w:tcPr>
          <w:p w14:paraId="75C4C64B" w14:textId="77777777" w:rsidR="004D1935" w:rsidRPr="00191458" w:rsidRDefault="004D1935" w:rsidP="00E24DC9">
            <w:pPr>
              <w:rPr>
                <w:color w:val="000000" w:themeColor="text1"/>
                <w:sz w:val="16"/>
                <w:szCs w:val="16"/>
              </w:rPr>
            </w:pPr>
          </w:p>
        </w:tc>
        <w:tc>
          <w:tcPr>
            <w:tcW w:w="1985" w:type="dxa"/>
            <w:vMerge/>
          </w:tcPr>
          <w:p w14:paraId="18F81F76" w14:textId="77777777" w:rsidR="004D1935" w:rsidRPr="00191458" w:rsidRDefault="004D1935" w:rsidP="00E24DC9">
            <w:pPr>
              <w:rPr>
                <w:color w:val="000000" w:themeColor="text1"/>
                <w:sz w:val="16"/>
                <w:szCs w:val="16"/>
              </w:rPr>
            </w:pPr>
          </w:p>
        </w:tc>
        <w:tc>
          <w:tcPr>
            <w:tcW w:w="7087" w:type="dxa"/>
            <w:vMerge/>
          </w:tcPr>
          <w:p w14:paraId="01DBC138" w14:textId="77777777" w:rsidR="004D1935" w:rsidRPr="00191458" w:rsidRDefault="004D1935" w:rsidP="00E24DC9">
            <w:pPr>
              <w:rPr>
                <w:color w:val="000000" w:themeColor="text1"/>
                <w:sz w:val="16"/>
                <w:szCs w:val="16"/>
              </w:rPr>
            </w:pPr>
          </w:p>
        </w:tc>
      </w:tr>
      <w:tr w:rsidR="004D1935" w:rsidRPr="00191458" w14:paraId="49E829D6" w14:textId="77777777" w:rsidTr="00E24DC9">
        <w:tc>
          <w:tcPr>
            <w:tcW w:w="708" w:type="dxa"/>
            <w:vMerge/>
          </w:tcPr>
          <w:p w14:paraId="4755364C" w14:textId="77777777" w:rsidR="004D1935" w:rsidRPr="00191458" w:rsidRDefault="004D1935" w:rsidP="00E24DC9">
            <w:pPr>
              <w:rPr>
                <w:color w:val="000000" w:themeColor="text1"/>
                <w:sz w:val="16"/>
                <w:szCs w:val="16"/>
              </w:rPr>
            </w:pPr>
          </w:p>
        </w:tc>
        <w:tc>
          <w:tcPr>
            <w:tcW w:w="1022" w:type="dxa"/>
            <w:tcBorders>
              <w:top w:val="nil"/>
            </w:tcBorders>
            <w:vAlign w:val="center"/>
          </w:tcPr>
          <w:p w14:paraId="2B10D8C1" w14:textId="77777777" w:rsidR="004D1935" w:rsidRPr="00191458" w:rsidRDefault="004D1935" w:rsidP="00E24DC9">
            <w:pPr>
              <w:rPr>
                <w:rFonts w:ascii="Calibri" w:hAnsi="Calibri" w:cs="Calibri"/>
                <w:color w:val="000000" w:themeColor="text1"/>
                <w:sz w:val="16"/>
                <w:szCs w:val="16"/>
              </w:rPr>
            </w:pPr>
          </w:p>
        </w:tc>
        <w:tc>
          <w:tcPr>
            <w:tcW w:w="2665" w:type="dxa"/>
            <w:vMerge/>
          </w:tcPr>
          <w:p w14:paraId="4058211B" w14:textId="77777777" w:rsidR="004D1935" w:rsidRPr="00191458" w:rsidRDefault="004D1935" w:rsidP="00E24DC9">
            <w:pPr>
              <w:rPr>
                <w:color w:val="000000" w:themeColor="text1"/>
                <w:sz w:val="16"/>
                <w:szCs w:val="16"/>
              </w:rPr>
            </w:pPr>
          </w:p>
        </w:tc>
        <w:tc>
          <w:tcPr>
            <w:tcW w:w="1701" w:type="dxa"/>
            <w:vMerge/>
          </w:tcPr>
          <w:p w14:paraId="0FFADD1B" w14:textId="77777777" w:rsidR="004D1935" w:rsidRPr="00191458" w:rsidRDefault="004D1935" w:rsidP="00E24DC9">
            <w:pPr>
              <w:rPr>
                <w:color w:val="000000" w:themeColor="text1"/>
                <w:sz w:val="16"/>
                <w:szCs w:val="16"/>
              </w:rPr>
            </w:pPr>
          </w:p>
        </w:tc>
        <w:tc>
          <w:tcPr>
            <w:tcW w:w="1985" w:type="dxa"/>
            <w:vMerge/>
          </w:tcPr>
          <w:p w14:paraId="2601158C" w14:textId="77777777" w:rsidR="004D1935" w:rsidRPr="00191458" w:rsidRDefault="004D1935" w:rsidP="00E24DC9">
            <w:pPr>
              <w:rPr>
                <w:color w:val="000000" w:themeColor="text1"/>
                <w:sz w:val="16"/>
                <w:szCs w:val="16"/>
              </w:rPr>
            </w:pPr>
          </w:p>
        </w:tc>
        <w:tc>
          <w:tcPr>
            <w:tcW w:w="7087" w:type="dxa"/>
            <w:vMerge/>
          </w:tcPr>
          <w:p w14:paraId="12A4734E" w14:textId="77777777" w:rsidR="004D1935" w:rsidRPr="00191458" w:rsidRDefault="004D1935" w:rsidP="00E24DC9">
            <w:pPr>
              <w:rPr>
                <w:color w:val="000000" w:themeColor="text1"/>
                <w:sz w:val="16"/>
                <w:szCs w:val="16"/>
              </w:rPr>
            </w:pPr>
          </w:p>
        </w:tc>
      </w:tr>
    </w:tbl>
    <w:p w14:paraId="6A99E0EA" w14:textId="77777777" w:rsidR="004D1935" w:rsidRDefault="004D1935" w:rsidP="004D1935"/>
    <w:p w14:paraId="2C56599C" w14:textId="77777777" w:rsidR="004D1935" w:rsidRDefault="004D1935" w:rsidP="004D1935"/>
    <w:p w14:paraId="07B87F08" w14:textId="77777777" w:rsidR="004D1935" w:rsidRDefault="004D1935" w:rsidP="004D1935"/>
    <w:p w14:paraId="4BEE02B7" w14:textId="77777777" w:rsidR="004D1935" w:rsidRDefault="004D1935" w:rsidP="004D1935"/>
    <w:p w14:paraId="04EAF1CA" w14:textId="77777777" w:rsidR="004D1935" w:rsidRDefault="004D1935" w:rsidP="004D1935"/>
    <w:p w14:paraId="444A748D" w14:textId="77777777" w:rsidR="004D1935" w:rsidRDefault="004D1935" w:rsidP="004D1935">
      <w:pPr>
        <w:autoSpaceDE w:val="0"/>
        <w:autoSpaceDN w:val="0"/>
        <w:adjustRightInd w:val="0"/>
        <w:rPr>
          <w:rFonts w:eastAsiaTheme="minorHAnsi"/>
          <w:sz w:val="16"/>
          <w:szCs w:val="16"/>
        </w:rPr>
      </w:pPr>
      <w:r>
        <w:rPr>
          <w:rFonts w:eastAsiaTheme="minorHAnsi"/>
          <w:sz w:val="16"/>
          <w:szCs w:val="16"/>
        </w:rPr>
        <w:lastRenderedPageBreak/>
        <w:t>Table A 4.19: Discriminant mass bins (379) in root organic phase and their associated detected masses looking for compound identification accounts for protonated adduct (H) and K, NA</w:t>
      </w:r>
      <w:r w:rsidRPr="00396597">
        <w:rPr>
          <w:rFonts w:eastAsiaTheme="minorHAnsi"/>
          <w:sz w:val="16"/>
          <w:szCs w:val="16"/>
        </w:rPr>
        <w:t xml:space="preserve"> </w:t>
      </w:r>
      <w:r>
        <w:rPr>
          <w:rFonts w:eastAsiaTheme="minorHAnsi"/>
          <w:sz w:val="16"/>
          <w:szCs w:val="16"/>
        </w:rPr>
        <w:t>in positive mode in the analysis. The putatively identified compounds, their chemical groups, and the associated pathways are displayed.</w:t>
      </w:r>
    </w:p>
    <w:p w14:paraId="77661877" w14:textId="77777777" w:rsidR="004D1935" w:rsidRDefault="004D1935" w:rsidP="004D1935">
      <w:pPr>
        <w:rPr>
          <w:rFonts w:eastAsiaTheme="minorHAnsi"/>
          <w:sz w:val="16"/>
          <w:szCs w:val="16"/>
        </w:rPr>
      </w:pPr>
    </w:p>
    <w:tbl>
      <w:tblPr>
        <w:tblStyle w:val="TableGrid"/>
        <w:tblW w:w="14885" w:type="dxa"/>
        <w:tblInd w:w="-856" w:type="dxa"/>
        <w:tblLook w:val="04A0" w:firstRow="1" w:lastRow="0" w:firstColumn="1" w:lastColumn="0" w:noHBand="0" w:noVBand="1"/>
      </w:tblPr>
      <w:tblGrid>
        <w:gridCol w:w="688"/>
        <w:gridCol w:w="877"/>
        <w:gridCol w:w="3403"/>
        <w:gridCol w:w="1225"/>
        <w:gridCol w:w="2032"/>
        <w:gridCol w:w="6660"/>
      </w:tblGrid>
      <w:tr w:rsidR="004D1935" w:rsidRPr="0011375B" w14:paraId="044FBE4D" w14:textId="77777777" w:rsidTr="00E24DC9">
        <w:tc>
          <w:tcPr>
            <w:tcW w:w="683" w:type="dxa"/>
            <w:vAlign w:val="center"/>
          </w:tcPr>
          <w:p w14:paraId="22C585DE" w14:textId="77777777" w:rsidR="004D1935" w:rsidRPr="0011375B" w:rsidRDefault="004D1935" w:rsidP="00E24DC9">
            <w:pPr>
              <w:jc w:val="center"/>
              <w:rPr>
                <w:color w:val="000000" w:themeColor="text1"/>
                <w:sz w:val="16"/>
                <w:szCs w:val="16"/>
              </w:rPr>
            </w:pPr>
            <w:r w:rsidRPr="0011375B">
              <w:rPr>
                <w:color w:val="000000" w:themeColor="text1"/>
                <w:sz w:val="16"/>
                <w:szCs w:val="16"/>
              </w:rPr>
              <w:t>Adduct</w:t>
            </w:r>
          </w:p>
        </w:tc>
        <w:tc>
          <w:tcPr>
            <w:tcW w:w="877" w:type="dxa"/>
            <w:tcBorders>
              <w:bottom w:val="single" w:sz="4" w:space="0" w:color="auto"/>
            </w:tcBorders>
            <w:vAlign w:val="center"/>
          </w:tcPr>
          <w:p w14:paraId="0EAD5A36" w14:textId="77777777" w:rsidR="004D1935" w:rsidRPr="0011375B" w:rsidRDefault="004D1935" w:rsidP="00E24DC9">
            <w:pPr>
              <w:jc w:val="center"/>
              <w:rPr>
                <w:color w:val="000000" w:themeColor="text1"/>
                <w:sz w:val="16"/>
                <w:szCs w:val="16"/>
              </w:rPr>
            </w:pPr>
            <w:r w:rsidRPr="0011375B">
              <w:rPr>
                <w:color w:val="000000" w:themeColor="text1"/>
                <w:sz w:val="16"/>
                <w:szCs w:val="16"/>
              </w:rPr>
              <w:t>Mass detected</w:t>
            </w:r>
          </w:p>
        </w:tc>
        <w:tc>
          <w:tcPr>
            <w:tcW w:w="3404" w:type="dxa"/>
            <w:vAlign w:val="center"/>
          </w:tcPr>
          <w:p w14:paraId="2B6A84D0" w14:textId="77777777" w:rsidR="004D1935" w:rsidRPr="0011375B" w:rsidRDefault="004D1935" w:rsidP="00E24DC9">
            <w:pPr>
              <w:jc w:val="center"/>
              <w:rPr>
                <w:color w:val="000000" w:themeColor="text1"/>
                <w:sz w:val="16"/>
                <w:szCs w:val="16"/>
              </w:rPr>
            </w:pPr>
            <w:r w:rsidRPr="0011375B">
              <w:rPr>
                <w:rFonts w:asciiTheme="majorBidi" w:hAnsiTheme="majorBidi" w:cstheme="majorBidi"/>
                <w:color w:val="000000" w:themeColor="text1"/>
                <w:sz w:val="16"/>
                <w:szCs w:val="16"/>
              </w:rPr>
              <w:t>COMPOUNDS NAME</w:t>
            </w:r>
          </w:p>
        </w:tc>
        <w:tc>
          <w:tcPr>
            <w:tcW w:w="1225" w:type="dxa"/>
            <w:vAlign w:val="center"/>
          </w:tcPr>
          <w:p w14:paraId="3075E612" w14:textId="77777777" w:rsidR="004D1935" w:rsidRPr="0011375B" w:rsidRDefault="004D1935" w:rsidP="00E24DC9">
            <w:pPr>
              <w:jc w:val="center"/>
              <w:rPr>
                <w:color w:val="000000" w:themeColor="text1"/>
                <w:sz w:val="16"/>
                <w:szCs w:val="16"/>
              </w:rPr>
            </w:pPr>
            <w:r w:rsidRPr="0011375B">
              <w:rPr>
                <w:rFonts w:asciiTheme="majorBidi" w:hAnsiTheme="majorBidi" w:cstheme="majorBidi"/>
                <w:color w:val="000000" w:themeColor="text1"/>
                <w:sz w:val="16"/>
                <w:szCs w:val="16"/>
              </w:rPr>
              <w:t>chemical formula</w:t>
            </w:r>
          </w:p>
        </w:tc>
        <w:tc>
          <w:tcPr>
            <w:tcW w:w="2033" w:type="dxa"/>
            <w:vAlign w:val="center"/>
          </w:tcPr>
          <w:p w14:paraId="36081775" w14:textId="77777777" w:rsidR="004D1935" w:rsidRPr="0011375B" w:rsidRDefault="004D1935" w:rsidP="00E24DC9">
            <w:pPr>
              <w:jc w:val="center"/>
              <w:rPr>
                <w:color w:val="000000" w:themeColor="text1"/>
                <w:sz w:val="16"/>
                <w:szCs w:val="16"/>
              </w:rPr>
            </w:pPr>
            <w:r w:rsidRPr="0011375B">
              <w:rPr>
                <w:rFonts w:asciiTheme="majorBidi" w:hAnsiTheme="majorBidi" w:cstheme="majorBidi"/>
                <w:color w:val="000000" w:themeColor="text1"/>
                <w:sz w:val="16"/>
                <w:szCs w:val="16"/>
              </w:rPr>
              <w:t>chemical group</w:t>
            </w:r>
          </w:p>
        </w:tc>
        <w:tc>
          <w:tcPr>
            <w:tcW w:w="6663" w:type="dxa"/>
            <w:vAlign w:val="center"/>
          </w:tcPr>
          <w:p w14:paraId="6F78B1F4" w14:textId="77777777" w:rsidR="004D1935" w:rsidRPr="0011375B" w:rsidRDefault="004D1935" w:rsidP="00E24DC9">
            <w:pPr>
              <w:jc w:val="center"/>
              <w:rPr>
                <w:color w:val="000000" w:themeColor="text1"/>
                <w:sz w:val="16"/>
                <w:szCs w:val="16"/>
              </w:rPr>
            </w:pPr>
            <w:r w:rsidRPr="0011375B">
              <w:rPr>
                <w:rFonts w:asciiTheme="majorBidi" w:hAnsiTheme="majorBidi" w:cstheme="majorBidi"/>
                <w:color w:val="000000" w:themeColor="text1"/>
                <w:sz w:val="16"/>
                <w:szCs w:val="16"/>
              </w:rPr>
              <w:t>pathway</w:t>
            </w:r>
          </w:p>
        </w:tc>
      </w:tr>
      <w:tr w:rsidR="004D1935" w:rsidRPr="0011375B" w14:paraId="78A28267" w14:textId="77777777" w:rsidTr="00E24DC9">
        <w:tc>
          <w:tcPr>
            <w:tcW w:w="683" w:type="dxa"/>
            <w:vMerge w:val="restart"/>
            <w:vAlign w:val="center"/>
          </w:tcPr>
          <w:p w14:paraId="02444FBE" w14:textId="77777777" w:rsidR="004D1935" w:rsidRPr="0011375B" w:rsidRDefault="004D1935" w:rsidP="00E24DC9">
            <w:pPr>
              <w:jc w:val="center"/>
              <w:rPr>
                <w:color w:val="000000" w:themeColor="text1"/>
              </w:rPr>
            </w:pPr>
            <w:r w:rsidRPr="0011375B">
              <w:rPr>
                <w:color w:val="000000" w:themeColor="text1"/>
              </w:rPr>
              <w:t>NA</w:t>
            </w:r>
          </w:p>
        </w:tc>
        <w:tc>
          <w:tcPr>
            <w:tcW w:w="877" w:type="dxa"/>
            <w:tcBorders>
              <w:bottom w:val="nil"/>
            </w:tcBorders>
            <w:vAlign w:val="center"/>
          </w:tcPr>
          <w:p w14:paraId="11B3CF3E" w14:textId="77777777" w:rsidR="004D1935" w:rsidRPr="0011375B" w:rsidRDefault="004D1935" w:rsidP="00E24DC9">
            <w:pPr>
              <w:jc w:val="center"/>
              <w:rPr>
                <w:color w:val="000000" w:themeColor="text1"/>
              </w:rPr>
            </w:pPr>
            <w:r w:rsidRPr="0011375B">
              <w:rPr>
                <w:rFonts w:ascii="Calibri" w:hAnsi="Calibri" w:cs="Calibri"/>
                <w:color w:val="000000" w:themeColor="text1"/>
                <w:sz w:val="16"/>
                <w:szCs w:val="16"/>
              </w:rPr>
              <w:t>355.9567</w:t>
            </w:r>
          </w:p>
        </w:tc>
        <w:tc>
          <w:tcPr>
            <w:tcW w:w="3404" w:type="dxa"/>
            <w:vMerge w:val="restart"/>
            <w:vAlign w:val="center"/>
          </w:tcPr>
          <w:p w14:paraId="3A223F3D" w14:textId="77777777" w:rsidR="004D1935" w:rsidRPr="0011375B" w:rsidRDefault="00000000" w:rsidP="00E24DC9">
            <w:pPr>
              <w:jc w:val="center"/>
              <w:rPr>
                <w:color w:val="000000" w:themeColor="text1"/>
              </w:rPr>
            </w:pPr>
            <w:hyperlink r:id="rId148" w:history="1">
              <w:r w:rsidR="004D1935" w:rsidRPr="0011375B">
                <w:rPr>
                  <w:rFonts w:ascii="Calibri" w:hAnsi="Calibri" w:cs="Calibri"/>
                  <w:color w:val="000000" w:themeColor="text1"/>
                  <w:sz w:val="16"/>
                  <w:szCs w:val="16"/>
                </w:rPr>
                <w:t>aflatoxin G1</w:t>
              </w:r>
            </w:hyperlink>
          </w:p>
          <w:p w14:paraId="4EE0DD1A" w14:textId="77777777" w:rsidR="004D1935" w:rsidRPr="0011375B" w:rsidRDefault="00000000" w:rsidP="00E24DC9">
            <w:pPr>
              <w:jc w:val="center"/>
              <w:rPr>
                <w:color w:val="000000" w:themeColor="text1"/>
              </w:rPr>
            </w:pPr>
            <w:hyperlink r:id="rId149" w:history="1">
              <w:r w:rsidR="004D1935" w:rsidRPr="0011375B">
                <w:rPr>
                  <w:rFonts w:ascii="Calibri" w:hAnsi="Calibri" w:cs="Calibri"/>
                  <w:color w:val="000000" w:themeColor="text1"/>
                  <w:sz w:val="16"/>
                  <w:szCs w:val="16"/>
                </w:rPr>
                <w:t>5-amino-6-(5-phospho-D-ribitylamino)uracil</w:t>
              </w:r>
            </w:hyperlink>
          </w:p>
        </w:tc>
        <w:tc>
          <w:tcPr>
            <w:tcW w:w="1225" w:type="dxa"/>
            <w:vMerge w:val="restart"/>
            <w:vAlign w:val="center"/>
          </w:tcPr>
          <w:p w14:paraId="238F1566" w14:textId="77777777" w:rsidR="004D1935" w:rsidRPr="0011375B" w:rsidRDefault="004D1935" w:rsidP="00E24DC9">
            <w:pPr>
              <w:jc w:val="center"/>
              <w:rPr>
                <w:color w:val="000000" w:themeColor="text1"/>
              </w:rPr>
            </w:pPr>
            <w:r w:rsidRPr="0011375B">
              <w:rPr>
                <w:rFonts w:ascii="Arial" w:hAnsi="Arial" w:cs="Arial"/>
                <w:color w:val="000000" w:themeColor="text1"/>
                <w:sz w:val="16"/>
                <w:szCs w:val="16"/>
              </w:rPr>
              <w:t>C</w:t>
            </w:r>
            <w:r w:rsidRPr="0011375B">
              <w:rPr>
                <w:rFonts w:ascii="Arial" w:hAnsi="Arial" w:cs="Arial"/>
                <w:color w:val="000000" w:themeColor="text1"/>
                <w:sz w:val="16"/>
                <w:szCs w:val="16"/>
                <w:vertAlign w:val="subscript"/>
              </w:rPr>
              <w:t>19</w:t>
            </w:r>
            <w:r w:rsidRPr="0011375B">
              <w:rPr>
                <w:rFonts w:ascii="Arial" w:hAnsi="Arial" w:cs="Arial"/>
                <w:color w:val="000000" w:themeColor="text1"/>
                <w:sz w:val="16"/>
                <w:szCs w:val="16"/>
              </w:rPr>
              <w:t>H</w:t>
            </w:r>
            <w:r w:rsidRPr="0011375B">
              <w:rPr>
                <w:rFonts w:ascii="Arial" w:hAnsi="Arial" w:cs="Arial"/>
                <w:color w:val="000000" w:themeColor="text1"/>
                <w:sz w:val="16"/>
                <w:szCs w:val="16"/>
                <w:vertAlign w:val="subscript"/>
              </w:rPr>
              <w:t>16</w:t>
            </w:r>
            <w:r w:rsidRPr="0011375B">
              <w:rPr>
                <w:rFonts w:ascii="Arial" w:hAnsi="Arial" w:cs="Arial"/>
                <w:color w:val="000000" w:themeColor="text1"/>
                <w:sz w:val="16"/>
                <w:szCs w:val="16"/>
              </w:rPr>
              <w:t>O</w:t>
            </w:r>
            <w:r w:rsidRPr="0011375B">
              <w:rPr>
                <w:rFonts w:ascii="Arial" w:hAnsi="Arial" w:cs="Arial"/>
                <w:color w:val="000000" w:themeColor="text1"/>
                <w:sz w:val="16"/>
                <w:szCs w:val="16"/>
                <w:vertAlign w:val="subscript"/>
              </w:rPr>
              <w:t>7</w:t>
            </w:r>
          </w:p>
          <w:p w14:paraId="4334B38F" w14:textId="77777777" w:rsidR="004D1935" w:rsidRPr="0011375B" w:rsidRDefault="004D1935" w:rsidP="00E24DC9">
            <w:pPr>
              <w:jc w:val="center"/>
              <w:rPr>
                <w:color w:val="000000" w:themeColor="text1"/>
              </w:rPr>
            </w:pPr>
            <w:r w:rsidRPr="0011375B">
              <w:rPr>
                <w:rFonts w:ascii="Arial" w:hAnsi="Arial" w:cs="Arial"/>
                <w:color w:val="000000" w:themeColor="text1"/>
                <w:sz w:val="16"/>
                <w:szCs w:val="16"/>
              </w:rPr>
              <w:t>C</w:t>
            </w:r>
            <w:r w:rsidRPr="0011375B">
              <w:rPr>
                <w:rFonts w:ascii="Arial" w:hAnsi="Arial" w:cs="Arial"/>
                <w:color w:val="000000" w:themeColor="text1"/>
                <w:sz w:val="16"/>
                <w:szCs w:val="16"/>
                <w:vertAlign w:val="subscript"/>
              </w:rPr>
              <w:t>9</w:t>
            </w:r>
            <w:r w:rsidRPr="0011375B">
              <w:rPr>
                <w:rFonts w:ascii="Arial" w:hAnsi="Arial" w:cs="Arial"/>
                <w:color w:val="000000" w:themeColor="text1"/>
                <w:sz w:val="16"/>
                <w:szCs w:val="16"/>
              </w:rPr>
              <w:t>H</w:t>
            </w:r>
            <w:r w:rsidRPr="0011375B">
              <w:rPr>
                <w:rFonts w:ascii="Arial" w:hAnsi="Arial" w:cs="Arial"/>
                <w:color w:val="000000" w:themeColor="text1"/>
                <w:sz w:val="16"/>
                <w:szCs w:val="16"/>
                <w:vertAlign w:val="subscript"/>
              </w:rPr>
              <w:t>15</w:t>
            </w:r>
            <w:r w:rsidRPr="0011375B">
              <w:rPr>
                <w:rFonts w:ascii="Arial" w:hAnsi="Arial" w:cs="Arial"/>
                <w:color w:val="000000" w:themeColor="text1"/>
                <w:sz w:val="16"/>
                <w:szCs w:val="16"/>
              </w:rPr>
              <w:t>N</w:t>
            </w:r>
            <w:r w:rsidRPr="0011375B">
              <w:rPr>
                <w:rFonts w:ascii="Arial" w:hAnsi="Arial" w:cs="Arial"/>
                <w:color w:val="000000" w:themeColor="text1"/>
                <w:sz w:val="16"/>
                <w:szCs w:val="16"/>
                <w:vertAlign w:val="subscript"/>
              </w:rPr>
              <w:t>4</w:t>
            </w:r>
            <w:r w:rsidRPr="0011375B">
              <w:rPr>
                <w:rFonts w:ascii="Arial" w:hAnsi="Arial" w:cs="Arial"/>
                <w:color w:val="000000" w:themeColor="text1"/>
                <w:sz w:val="16"/>
                <w:szCs w:val="16"/>
              </w:rPr>
              <w:t>O</w:t>
            </w:r>
            <w:r w:rsidRPr="0011375B">
              <w:rPr>
                <w:rFonts w:ascii="Arial" w:hAnsi="Arial" w:cs="Arial"/>
                <w:color w:val="000000" w:themeColor="text1"/>
                <w:sz w:val="16"/>
                <w:szCs w:val="16"/>
                <w:vertAlign w:val="subscript"/>
              </w:rPr>
              <w:t>9</w:t>
            </w:r>
            <w:r w:rsidRPr="0011375B">
              <w:rPr>
                <w:rFonts w:ascii="Arial" w:hAnsi="Arial" w:cs="Arial"/>
                <w:color w:val="000000" w:themeColor="text1"/>
                <w:sz w:val="16"/>
                <w:szCs w:val="16"/>
              </w:rPr>
              <w:t>P</w:t>
            </w:r>
          </w:p>
        </w:tc>
        <w:tc>
          <w:tcPr>
            <w:tcW w:w="2033" w:type="dxa"/>
            <w:vMerge w:val="restart"/>
            <w:vAlign w:val="center"/>
          </w:tcPr>
          <w:p w14:paraId="57D9560E" w14:textId="77777777" w:rsidR="004D1935" w:rsidRPr="0011375B" w:rsidRDefault="004D1935" w:rsidP="00E24DC9">
            <w:pPr>
              <w:jc w:val="center"/>
              <w:rPr>
                <w:color w:val="000000" w:themeColor="text1"/>
              </w:rPr>
            </w:pPr>
            <w:r w:rsidRPr="0011375B">
              <w:rPr>
                <w:rFonts w:ascii="Calibri" w:hAnsi="Calibri" w:cs="Calibri"/>
                <w:color w:val="000000" w:themeColor="text1"/>
                <w:sz w:val="16"/>
                <w:szCs w:val="16"/>
              </w:rPr>
              <w:t>toxin /mycotoxin</w:t>
            </w:r>
          </w:p>
          <w:p w14:paraId="47C74083" w14:textId="77777777" w:rsidR="004D1935" w:rsidRPr="0011375B" w:rsidRDefault="004D1935" w:rsidP="00E24DC9">
            <w:pPr>
              <w:jc w:val="center"/>
              <w:rPr>
                <w:color w:val="000000" w:themeColor="text1"/>
              </w:rPr>
            </w:pPr>
            <w:r w:rsidRPr="0011375B">
              <w:rPr>
                <w:rFonts w:ascii="Calibri" w:hAnsi="Calibri" w:cs="Calibri"/>
                <w:color w:val="000000" w:themeColor="text1"/>
                <w:sz w:val="16"/>
                <w:szCs w:val="16"/>
              </w:rPr>
              <w:t>Aromatic amine /riboflavin</w:t>
            </w:r>
          </w:p>
        </w:tc>
        <w:tc>
          <w:tcPr>
            <w:tcW w:w="6663" w:type="dxa"/>
            <w:vMerge w:val="restart"/>
            <w:vAlign w:val="center"/>
          </w:tcPr>
          <w:p w14:paraId="4202AADF" w14:textId="77777777" w:rsidR="004D1935" w:rsidRPr="0011375B" w:rsidRDefault="004D1935" w:rsidP="00E24DC9">
            <w:pPr>
              <w:jc w:val="center"/>
              <w:rPr>
                <w:color w:val="000000" w:themeColor="text1"/>
              </w:rPr>
            </w:pPr>
            <w:r w:rsidRPr="0011375B">
              <w:rPr>
                <w:rFonts w:ascii="Verdana" w:hAnsi="Verdana" w:cs="Calibri"/>
                <w:color w:val="000000" w:themeColor="text1"/>
                <w:sz w:val="13"/>
                <w:szCs w:val="13"/>
              </w:rPr>
              <w:t>Aflatoxin biosynthesis /shikimate pathway/jasmonic acid biosynthesis</w:t>
            </w:r>
          </w:p>
          <w:p w14:paraId="7B61F936" w14:textId="77777777" w:rsidR="004D1935" w:rsidRPr="0011375B" w:rsidRDefault="004D1935" w:rsidP="00E24DC9">
            <w:pPr>
              <w:jc w:val="center"/>
              <w:rPr>
                <w:color w:val="000000" w:themeColor="text1"/>
              </w:rPr>
            </w:pPr>
            <w:r w:rsidRPr="0011375B">
              <w:rPr>
                <w:rFonts w:ascii="Verdana" w:hAnsi="Verdana" w:cs="Calibri"/>
                <w:color w:val="000000" w:themeColor="text1"/>
                <w:sz w:val="16"/>
                <w:szCs w:val="16"/>
              </w:rPr>
              <w:t>Riboflavin metabolism</w:t>
            </w:r>
          </w:p>
        </w:tc>
      </w:tr>
      <w:tr w:rsidR="004D1935" w:rsidRPr="0011375B" w14:paraId="7A9DE739" w14:textId="77777777" w:rsidTr="00E24DC9">
        <w:tc>
          <w:tcPr>
            <w:tcW w:w="683" w:type="dxa"/>
            <w:vMerge/>
          </w:tcPr>
          <w:p w14:paraId="0D7197F1" w14:textId="77777777" w:rsidR="004D1935" w:rsidRPr="0011375B" w:rsidRDefault="004D1935" w:rsidP="00E24DC9">
            <w:pPr>
              <w:rPr>
                <w:color w:val="000000" w:themeColor="text1"/>
              </w:rPr>
            </w:pPr>
          </w:p>
        </w:tc>
        <w:tc>
          <w:tcPr>
            <w:tcW w:w="877" w:type="dxa"/>
            <w:tcBorders>
              <w:top w:val="nil"/>
              <w:bottom w:val="nil"/>
            </w:tcBorders>
            <w:vAlign w:val="bottom"/>
          </w:tcPr>
          <w:p w14:paraId="59DEA907" w14:textId="77777777" w:rsidR="004D1935" w:rsidRPr="0011375B" w:rsidRDefault="004D1935" w:rsidP="00E24DC9">
            <w:pPr>
              <w:rPr>
                <w:color w:val="000000" w:themeColor="text1"/>
              </w:rPr>
            </w:pPr>
            <w:r w:rsidRPr="0011375B">
              <w:rPr>
                <w:rFonts w:ascii="Calibri" w:hAnsi="Calibri" w:cs="Calibri"/>
                <w:color w:val="000000" w:themeColor="text1"/>
                <w:sz w:val="16"/>
                <w:szCs w:val="16"/>
              </w:rPr>
              <w:t>355.9992</w:t>
            </w:r>
          </w:p>
        </w:tc>
        <w:tc>
          <w:tcPr>
            <w:tcW w:w="3404" w:type="dxa"/>
            <w:vMerge/>
          </w:tcPr>
          <w:p w14:paraId="4E075F63" w14:textId="77777777" w:rsidR="004D1935" w:rsidRPr="0011375B" w:rsidRDefault="004D1935" w:rsidP="00E24DC9">
            <w:pPr>
              <w:rPr>
                <w:color w:val="000000" w:themeColor="text1"/>
              </w:rPr>
            </w:pPr>
          </w:p>
        </w:tc>
        <w:tc>
          <w:tcPr>
            <w:tcW w:w="1225" w:type="dxa"/>
            <w:vMerge/>
            <w:vAlign w:val="bottom"/>
          </w:tcPr>
          <w:p w14:paraId="0BE33DBF" w14:textId="77777777" w:rsidR="004D1935" w:rsidRPr="0011375B" w:rsidRDefault="004D1935" w:rsidP="00E24DC9">
            <w:pPr>
              <w:rPr>
                <w:color w:val="000000" w:themeColor="text1"/>
              </w:rPr>
            </w:pPr>
          </w:p>
        </w:tc>
        <w:tc>
          <w:tcPr>
            <w:tcW w:w="2033" w:type="dxa"/>
            <w:vMerge/>
          </w:tcPr>
          <w:p w14:paraId="27C487A1" w14:textId="77777777" w:rsidR="004D1935" w:rsidRPr="0011375B" w:rsidRDefault="004D1935" w:rsidP="00E24DC9">
            <w:pPr>
              <w:rPr>
                <w:color w:val="000000" w:themeColor="text1"/>
              </w:rPr>
            </w:pPr>
          </w:p>
        </w:tc>
        <w:tc>
          <w:tcPr>
            <w:tcW w:w="6663" w:type="dxa"/>
            <w:vMerge/>
            <w:vAlign w:val="bottom"/>
          </w:tcPr>
          <w:p w14:paraId="3993EAA7" w14:textId="77777777" w:rsidR="004D1935" w:rsidRPr="0011375B" w:rsidRDefault="004D1935" w:rsidP="00E24DC9">
            <w:pPr>
              <w:rPr>
                <w:color w:val="000000" w:themeColor="text1"/>
              </w:rPr>
            </w:pPr>
          </w:p>
        </w:tc>
      </w:tr>
      <w:tr w:rsidR="004D1935" w:rsidRPr="0011375B" w14:paraId="760BB121" w14:textId="77777777" w:rsidTr="00E24DC9">
        <w:tc>
          <w:tcPr>
            <w:tcW w:w="683" w:type="dxa"/>
            <w:vMerge/>
          </w:tcPr>
          <w:p w14:paraId="16BC7EC1" w14:textId="77777777" w:rsidR="004D1935" w:rsidRPr="0011375B" w:rsidRDefault="004D1935" w:rsidP="00E24DC9">
            <w:pPr>
              <w:rPr>
                <w:color w:val="000000" w:themeColor="text1"/>
              </w:rPr>
            </w:pPr>
          </w:p>
        </w:tc>
        <w:tc>
          <w:tcPr>
            <w:tcW w:w="877" w:type="dxa"/>
            <w:tcBorders>
              <w:top w:val="nil"/>
              <w:bottom w:val="nil"/>
            </w:tcBorders>
            <w:vAlign w:val="bottom"/>
          </w:tcPr>
          <w:p w14:paraId="58576E21" w14:textId="77777777" w:rsidR="004D1935" w:rsidRPr="0011375B" w:rsidRDefault="004D1935" w:rsidP="00E24DC9">
            <w:pPr>
              <w:rPr>
                <w:color w:val="000000" w:themeColor="text1"/>
              </w:rPr>
            </w:pPr>
            <w:r w:rsidRPr="0011375B">
              <w:rPr>
                <w:rFonts w:ascii="Calibri" w:hAnsi="Calibri" w:cs="Calibri"/>
                <w:color w:val="000000" w:themeColor="text1"/>
                <w:sz w:val="16"/>
                <w:szCs w:val="16"/>
              </w:rPr>
              <w:t>356.0417</w:t>
            </w:r>
          </w:p>
        </w:tc>
        <w:tc>
          <w:tcPr>
            <w:tcW w:w="3404" w:type="dxa"/>
            <w:vMerge/>
          </w:tcPr>
          <w:p w14:paraId="2D28D4C9" w14:textId="77777777" w:rsidR="004D1935" w:rsidRPr="0011375B" w:rsidRDefault="004D1935" w:rsidP="00E24DC9">
            <w:pPr>
              <w:rPr>
                <w:color w:val="000000" w:themeColor="text1"/>
              </w:rPr>
            </w:pPr>
          </w:p>
        </w:tc>
        <w:tc>
          <w:tcPr>
            <w:tcW w:w="1225" w:type="dxa"/>
            <w:vMerge/>
          </w:tcPr>
          <w:p w14:paraId="1277F2F9" w14:textId="77777777" w:rsidR="004D1935" w:rsidRPr="0011375B" w:rsidRDefault="004D1935" w:rsidP="00E24DC9">
            <w:pPr>
              <w:rPr>
                <w:color w:val="000000" w:themeColor="text1"/>
              </w:rPr>
            </w:pPr>
          </w:p>
        </w:tc>
        <w:tc>
          <w:tcPr>
            <w:tcW w:w="2033" w:type="dxa"/>
            <w:vMerge/>
          </w:tcPr>
          <w:p w14:paraId="1EB0E6AB" w14:textId="77777777" w:rsidR="004D1935" w:rsidRPr="0011375B" w:rsidRDefault="004D1935" w:rsidP="00E24DC9">
            <w:pPr>
              <w:rPr>
                <w:color w:val="000000" w:themeColor="text1"/>
              </w:rPr>
            </w:pPr>
          </w:p>
        </w:tc>
        <w:tc>
          <w:tcPr>
            <w:tcW w:w="6663" w:type="dxa"/>
            <w:vMerge/>
          </w:tcPr>
          <w:p w14:paraId="038DE80B" w14:textId="77777777" w:rsidR="004D1935" w:rsidRPr="0011375B" w:rsidRDefault="004D1935" w:rsidP="00E24DC9">
            <w:pPr>
              <w:rPr>
                <w:color w:val="000000" w:themeColor="text1"/>
              </w:rPr>
            </w:pPr>
          </w:p>
        </w:tc>
      </w:tr>
      <w:tr w:rsidR="004D1935" w:rsidRPr="0011375B" w14:paraId="5403D392" w14:textId="77777777" w:rsidTr="00E24DC9">
        <w:tc>
          <w:tcPr>
            <w:tcW w:w="683" w:type="dxa"/>
            <w:vMerge/>
          </w:tcPr>
          <w:p w14:paraId="3997359A" w14:textId="77777777" w:rsidR="004D1935" w:rsidRPr="0011375B" w:rsidRDefault="004D1935" w:rsidP="00E24DC9">
            <w:pPr>
              <w:rPr>
                <w:color w:val="000000" w:themeColor="text1"/>
              </w:rPr>
            </w:pPr>
          </w:p>
        </w:tc>
        <w:tc>
          <w:tcPr>
            <w:tcW w:w="877" w:type="dxa"/>
            <w:tcBorders>
              <w:top w:val="nil"/>
              <w:bottom w:val="nil"/>
            </w:tcBorders>
            <w:vAlign w:val="bottom"/>
          </w:tcPr>
          <w:p w14:paraId="78F01D19" w14:textId="77777777" w:rsidR="004D1935" w:rsidRPr="0011375B" w:rsidRDefault="004D1935" w:rsidP="00E24DC9">
            <w:pPr>
              <w:rPr>
                <w:color w:val="000000" w:themeColor="text1"/>
              </w:rPr>
            </w:pPr>
            <w:r w:rsidRPr="0011375B">
              <w:rPr>
                <w:rFonts w:ascii="Calibri" w:hAnsi="Calibri" w:cs="Calibri"/>
                <w:color w:val="000000" w:themeColor="text1"/>
                <w:sz w:val="16"/>
                <w:szCs w:val="16"/>
              </w:rPr>
              <w:t>356.0885</w:t>
            </w:r>
          </w:p>
        </w:tc>
        <w:tc>
          <w:tcPr>
            <w:tcW w:w="3404" w:type="dxa"/>
            <w:vMerge/>
          </w:tcPr>
          <w:p w14:paraId="2E994537" w14:textId="77777777" w:rsidR="004D1935" w:rsidRPr="0011375B" w:rsidRDefault="004D1935" w:rsidP="00E24DC9">
            <w:pPr>
              <w:rPr>
                <w:color w:val="000000" w:themeColor="text1"/>
              </w:rPr>
            </w:pPr>
          </w:p>
        </w:tc>
        <w:tc>
          <w:tcPr>
            <w:tcW w:w="1225" w:type="dxa"/>
            <w:vMerge/>
          </w:tcPr>
          <w:p w14:paraId="49010FA5" w14:textId="77777777" w:rsidR="004D1935" w:rsidRPr="0011375B" w:rsidRDefault="004D1935" w:rsidP="00E24DC9">
            <w:pPr>
              <w:rPr>
                <w:color w:val="000000" w:themeColor="text1"/>
              </w:rPr>
            </w:pPr>
          </w:p>
        </w:tc>
        <w:tc>
          <w:tcPr>
            <w:tcW w:w="2033" w:type="dxa"/>
            <w:vMerge/>
          </w:tcPr>
          <w:p w14:paraId="48C1FD6A" w14:textId="77777777" w:rsidR="004D1935" w:rsidRPr="0011375B" w:rsidRDefault="004D1935" w:rsidP="00E24DC9">
            <w:pPr>
              <w:rPr>
                <w:color w:val="000000" w:themeColor="text1"/>
              </w:rPr>
            </w:pPr>
          </w:p>
        </w:tc>
        <w:tc>
          <w:tcPr>
            <w:tcW w:w="6663" w:type="dxa"/>
            <w:vMerge/>
          </w:tcPr>
          <w:p w14:paraId="5523A87E" w14:textId="77777777" w:rsidR="004D1935" w:rsidRPr="0011375B" w:rsidRDefault="004D1935" w:rsidP="00E24DC9">
            <w:pPr>
              <w:rPr>
                <w:color w:val="000000" w:themeColor="text1"/>
              </w:rPr>
            </w:pPr>
          </w:p>
        </w:tc>
      </w:tr>
      <w:tr w:rsidR="004D1935" w:rsidRPr="0011375B" w14:paraId="4F278D0E" w14:textId="77777777" w:rsidTr="00E24DC9">
        <w:tc>
          <w:tcPr>
            <w:tcW w:w="683" w:type="dxa"/>
            <w:vMerge/>
          </w:tcPr>
          <w:p w14:paraId="31D87429" w14:textId="77777777" w:rsidR="004D1935" w:rsidRPr="0011375B" w:rsidRDefault="004D1935" w:rsidP="00E24DC9">
            <w:pPr>
              <w:rPr>
                <w:color w:val="000000" w:themeColor="text1"/>
              </w:rPr>
            </w:pPr>
          </w:p>
        </w:tc>
        <w:tc>
          <w:tcPr>
            <w:tcW w:w="877" w:type="dxa"/>
            <w:tcBorders>
              <w:top w:val="nil"/>
              <w:bottom w:val="nil"/>
            </w:tcBorders>
            <w:vAlign w:val="bottom"/>
          </w:tcPr>
          <w:p w14:paraId="57ED26DA" w14:textId="77777777" w:rsidR="004D1935" w:rsidRPr="0011375B" w:rsidRDefault="004D1935" w:rsidP="00E24DC9">
            <w:pPr>
              <w:rPr>
                <w:color w:val="000000" w:themeColor="text1"/>
              </w:rPr>
            </w:pPr>
            <w:r w:rsidRPr="0011375B">
              <w:rPr>
                <w:rFonts w:ascii="Calibri" w:hAnsi="Calibri" w:cs="Calibri"/>
                <w:color w:val="000000" w:themeColor="text1"/>
                <w:sz w:val="16"/>
                <w:szCs w:val="16"/>
              </w:rPr>
              <w:t>355.9171</w:t>
            </w:r>
          </w:p>
        </w:tc>
        <w:tc>
          <w:tcPr>
            <w:tcW w:w="3404" w:type="dxa"/>
            <w:vMerge/>
          </w:tcPr>
          <w:p w14:paraId="3FF870DB" w14:textId="77777777" w:rsidR="004D1935" w:rsidRPr="0011375B" w:rsidRDefault="004D1935" w:rsidP="00E24DC9">
            <w:pPr>
              <w:rPr>
                <w:color w:val="000000" w:themeColor="text1"/>
              </w:rPr>
            </w:pPr>
          </w:p>
        </w:tc>
        <w:tc>
          <w:tcPr>
            <w:tcW w:w="1225" w:type="dxa"/>
            <w:vMerge/>
          </w:tcPr>
          <w:p w14:paraId="390E5E78" w14:textId="77777777" w:rsidR="004D1935" w:rsidRPr="0011375B" w:rsidRDefault="004D1935" w:rsidP="00E24DC9">
            <w:pPr>
              <w:rPr>
                <w:color w:val="000000" w:themeColor="text1"/>
              </w:rPr>
            </w:pPr>
          </w:p>
        </w:tc>
        <w:tc>
          <w:tcPr>
            <w:tcW w:w="2033" w:type="dxa"/>
            <w:vMerge/>
          </w:tcPr>
          <w:p w14:paraId="774B046C" w14:textId="77777777" w:rsidR="004D1935" w:rsidRPr="0011375B" w:rsidRDefault="004D1935" w:rsidP="00E24DC9">
            <w:pPr>
              <w:rPr>
                <w:color w:val="000000" w:themeColor="text1"/>
              </w:rPr>
            </w:pPr>
          </w:p>
        </w:tc>
        <w:tc>
          <w:tcPr>
            <w:tcW w:w="6663" w:type="dxa"/>
            <w:vMerge/>
          </w:tcPr>
          <w:p w14:paraId="13F5937B" w14:textId="77777777" w:rsidR="004D1935" w:rsidRPr="0011375B" w:rsidRDefault="004D1935" w:rsidP="00E24DC9">
            <w:pPr>
              <w:rPr>
                <w:color w:val="000000" w:themeColor="text1"/>
              </w:rPr>
            </w:pPr>
          </w:p>
        </w:tc>
      </w:tr>
      <w:tr w:rsidR="004D1935" w:rsidRPr="0011375B" w14:paraId="703134C5" w14:textId="77777777" w:rsidTr="00E24DC9">
        <w:tc>
          <w:tcPr>
            <w:tcW w:w="683" w:type="dxa"/>
            <w:vMerge/>
          </w:tcPr>
          <w:p w14:paraId="3B5B34D8" w14:textId="77777777" w:rsidR="004D1935" w:rsidRPr="0011375B" w:rsidRDefault="004D1935" w:rsidP="00E24DC9">
            <w:pPr>
              <w:rPr>
                <w:color w:val="000000" w:themeColor="text1"/>
              </w:rPr>
            </w:pPr>
          </w:p>
        </w:tc>
        <w:tc>
          <w:tcPr>
            <w:tcW w:w="877" w:type="dxa"/>
            <w:tcBorders>
              <w:top w:val="nil"/>
              <w:bottom w:val="nil"/>
            </w:tcBorders>
            <w:vAlign w:val="bottom"/>
          </w:tcPr>
          <w:p w14:paraId="35070561" w14:textId="77777777" w:rsidR="004D1935" w:rsidRPr="0011375B" w:rsidRDefault="004D1935" w:rsidP="00E24DC9">
            <w:pPr>
              <w:rPr>
                <w:color w:val="000000" w:themeColor="text1"/>
              </w:rPr>
            </w:pPr>
            <w:r w:rsidRPr="0011375B">
              <w:rPr>
                <w:rFonts w:ascii="Calibri" w:hAnsi="Calibri" w:cs="Calibri"/>
                <w:color w:val="000000" w:themeColor="text1"/>
                <w:sz w:val="16"/>
                <w:szCs w:val="16"/>
              </w:rPr>
              <w:t>355.9596</w:t>
            </w:r>
          </w:p>
        </w:tc>
        <w:tc>
          <w:tcPr>
            <w:tcW w:w="3404" w:type="dxa"/>
            <w:vMerge/>
          </w:tcPr>
          <w:p w14:paraId="69663BF1" w14:textId="77777777" w:rsidR="004D1935" w:rsidRPr="0011375B" w:rsidRDefault="004D1935" w:rsidP="00E24DC9">
            <w:pPr>
              <w:rPr>
                <w:color w:val="000000" w:themeColor="text1"/>
              </w:rPr>
            </w:pPr>
          </w:p>
        </w:tc>
        <w:tc>
          <w:tcPr>
            <w:tcW w:w="1225" w:type="dxa"/>
            <w:vMerge/>
          </w:tcPr>
          <w:p w14:paraId="1216875D" w14:textId="77777777" w:rsidR="004D1935" w:rsidRPr="0011375B" w:rsidRDefault="004D1935" w:rsidP="00E24DC9">
            <w:pPr>
              <w:rPr>
                <w:color w:val="000000" w:themeColor="text1"/>
              </w:rPr>
            </w:pPr>
          </w:p>
        </w:tc>
        <w:tc>
          <w:tcPr>
            <w:tcW w:w="2033" w:type="dxa"/>
            <w:vMerge/>
          </w:tcPr>
          <w:p w14:paraId="0553A31A" w14:textId="77777777" w:rsidR="004D1935" w:rsidRPr="0011375B" w:rsidRDefault="004D1935" w:rsidP="00E24DC9">
            <w:pPr>
              <w:rPr>
                <w:color w:val="000000" w:themeColor="text1"/>
              </w:rPr>
            </w:pPr>
          </w:p>
        </w:tc>
        <w:tc>
          <w:tcPr>
            <w:tcW w:w="6663" w:type="dxa"/>
            <w:vMerge/>
          </w:tcPr>
          <w:p w14:paraId="74A4C547" w14:textId="77777777" w:rsidR="004D1935" w:rsidRPr="0011375B" w:rsidRDefault="004D1935" w:rsidP="00E24DC9">
            <w:pPr>
              <w:rPr>
                <w:color w:val="000000" w:themeColor="text1"/>
              </w:rPr>
            </w:pPr>
          </w:p>
        </w:tc>
      </w:tr>
      <w:tr w:rsidR="004D1935" w:rsidRPr="0011375B" w14:paraId="01A413DF" w14:textId="77777777" w:rsidTr="00E24DC9">
        <w:tc>
          <w:tcPr>
            <w:tcW w:w="683" w:type="dxa"/>
            <w:vMerge/>
          </w:tcPr>
          <w:p w14:paraId="2AC24CB3" w14:textId="77777777" w:rsidR="004D1935" w:rsidRPr="0011375B" w:rsidRDefault="004D1935" w:rsidP="00E24DC9">
            <w:pPr>
              <w:rPr>
                <w:color w:val="000000" w:themeColor="text1"/>
              </w:rPr>
            </w:pPr>
          </w:p>
        </w:tc>
        <w:tc>
          <w:tcPr>
            <w:tcW w:w="877" w:type="dxa"/>
            <w:tcBorders>
              <w:top w:val="nil"/>
              <w:bottom w:val="nil"/>
            </w:tcBorders>
            <w:vAlign w:val="bottom"/>
          </w:tcPr>
          <w:p w14:paraId="7B052E7D" w14:textId="77777777" w:rsidR="004D1935" w:rsidRPr="0011375B" w:rsidRDefault="004D1935" w:rsidP="00E24DC9">
            <w:pPr>
              <w:rPr>
                <w:color w:val="000000" w:themeColor="text1"/>
              </w:rPr>
            </w:pPr>
            <w:r w:rsidRPr="0011375B">
              <w:rPr>
                <w:rFonts w:ascii="Calibri" w:hAnsi="Calibri" w:cs="Calibri"/>
                <w:color w:val="000000" w:themeColor="text1"/>
                <w:sz w:val="16"/>
                <w:szCs w:val="16"/>
              </w:rPr>
              <w:t>356.0021</w:t>
            </w:r>
          </w:p>
        </w:tc>
        <w:tc>
          <w:tcPr>
            <w:tcW w:w="3404" w:type="dxa"/>
            <w:vMerge/>
          </w:tcPr>
          <w:p w14:paraId="10D56BD9" w14:textId="77777777" w:rsidR="004D1935" w:rsidRPr="0011375B" w:rsidRDefault="004D1935" w:rsidP="00E24DC9">
            <w:pPr>
              <w:rPr>
                <w:color w:val="000000" w:themeColor="text1"/>
              </w:rPr>
            </w:pPr>
          </w:p>
        </w:tc>
        <w:tc>
          <w:tcPr>
            <w:tcW w:w="1225" w:type="dxa"/>
            <w:vMerge/>
          </w:tcPr>
          <w:p w14:paraId="66970FD0" w14:textId="77777777" w:rsidR="004D1935" w:rsidRPr="0011375B" w:rsidRDefault="004D1935" w:rsidP="00E24DC9">
            <w:pPr>
              <w:rPr>
                <w:color w:val="000000" w:themeColor="text1"/>
              </w:rPr>
            </w:pPr>
          </w:p>
        </w:tc>
        <w:tc>
          <w:tcPr>
            <w:tcW w:w="2033" w:type="dxa"/>
            <w:vMerge/>
          </w:tcPr>
          <w:p w14:paraId="4C46904E" w14:textId="77777777" w:rsidR="004D1935" w:rsidRPr="0011375B" w:rsidRDefault="004D1935" w:rsidP="00E24DC9">
            <w:pPr>
              <w:rPr>
                <w:color w:val="000000" w:themeColor="text1"/>
              </w:rPr>
            </w:pPr>
          </w:p>
        </w:tc>
        <w:tc>
          <w:tcPr>
            <w:tcW w:w="6663" w:type="dxa"/>
            <w:vMerge/>
          </w:tcPr>
          <w:p w14:paraId="4A1ACFD6" w14:textId="77777777" w:rsidR="004D1935" w:rsidRPr="0011375B" w:rsidRDefault="004D1935" w:rsidP="00E24DC9">
            <w:pPr>
              <w:rPr>
                <w:color w:val="000000" w:themeColor="text1"/>
              </w:rPr>
            </w:pPr>
          </w:p>
        </w:tc>
      </w:tr>
      <w:tr w:rsidR="004D1935" w:rsidRPr="0011375B" w14:paraId="083F17F7" w14:textId="77777777" w:rsidTr="00E24DC9">
        <w:tc>
          <w:tcPr>
            <w:tcW w:w="683" w:type="dxa"/>
            <w:vMerge/>
          </w:tcPr>
          <w:p w14:paraId="0E9AFE4C" w14:textId="77777777" w:rsidR="004D1935" w:rsidRPr="0011375B" w:rsidRDefault="004D1935" w:rsidP="00E24DC9">
            <w:pPr>
              <w:rPr>
                <w:color w:val="000000" w:themeColor="text1"/>
              </w:rPr>
            </w:pPr>
          </w:p>
        </w:tc>
        <w:tc>
          <w:tcPr>
            <w:tcW w:w="877" w:type="dxa"/>
            <w:tcBorders>
              <w:top w:val="nil"/>
              <w:bottom w:val="nil"/>
            </w:tcBorders>
            <w:vAlign w:val="bottom"/>
          </w:tcPr>
          <w:p w14:paraId="6B1A6A7F" w14:textId="77777777" w:rsidR="004D1935" w:rsidRPr="0011375B" w:rsidRDefault="004D1935" w:rsidP="00E24DC9">
            <w:pPr>
              <w:rPr>
                <w:color w:val="000000" w:themeColor="text1"/>
              </w:rPr>
            </w:pPr>
            <w:r w:rsidRPr="0011375B">
              <w:rPr>
                <w:rFonts w:ascii="Calibri" w:hAnsi="Calibri" w:cs="Calibri"/>
                <w:color w:val="000000" w:themeColor="text1"/>
                <w:sz w:val="16"/>
                <w:szCs w:val="16"/>
              </w:rPr>
              <w:t>356.0828</w:t>
            </w:r>
          </w:p>
        </w:tc>
        <w:tc>
          <w:tcPr>
            <w:tcW w:w="3404" w:type="dxa"/>
            <w:vMerge/>
          </w:tcPr>
          <w:p w14:paraId="6F747B03" w14:textId="77777777" w:rsidR="004D1935" w:rsidRPr="0011375B" w:rsidRDefault="004D1935" w:rsidP="00E24DC9">
            <w:pPr>
              <w:rPr>
                <w:color w:val="000000" w:themeColor="text1"/>
              </w:rPr>
            </w:pPr>
          </w:p>
        </w:tc>
        <w:tc>
          <w:tcPr>
            <w:tcW w:w="1225" w:type="dxa"/>
            <w:vMerge/>
          </w:tcPr>
          <w:p w14:paraId="62A027D6" w14:textId="77777777" w:rsidR="004D1935" w:rsidRPr="0011375B" w:rsidRDefault="004D1935" w:rsidP="00E24DC9">
            <w:pPr>
              <w:rPr>
                <w:color w:val="000000" w:themeColor="text1"/>
              </w:rPr>
            </w:pPr>
          </w:p>
        </w:tc>
        <w:tc>
          <w:tcPr>
            <w:tcW w:w="2033" w:type="dxa"/>
            <w:vMerge/>
          </w:tcPr>
          <w:p w14:paraId="35251F6C" w14:textId="77777777" w:rsidR="004D1935" w:rsidRPr="0011375B" w:rsidRDefault="004D1935" w:rsidP="00E24DC9">
            <w:pPr>
              <w:rPr>
                <w:color w:val="000000" w:themeColor="text1"/>
              </w:rPr>
            </w:pPr>
          </w:p>
        </w:tc>
        <w:tc>
          <w:tcPr>
            <w:tcW w:w="6663" w:type="dxa"/>
            <w:vMerge/>
          </w:tcPr>
          <w:p w14:paraId="6C33548A" w14:textId="77777777" w:rsidR="004D1935" w:rsidRPr="0011375B" w:rsidRDefault="004D1935" w:rsidP="00E24DC9">
            <w:pPr>
              <w:rPr>
                <w:color w:val="000000" w:themeColor="text1"/>
              </w:rPr>
            </w:pPr>
          </w:p>
        </w:tc>
      </w:tr>
      <w:tr w:rsidR="004D1935" w:rsidRPr="0011375B" w14:paraId="4B70826C" w14:textId="77777777" w:rsidTr="00E24DC9">
        <w:tc>
          <w:tcPr>
            <w:tcW w:w="683" w:type="dxa"/>
            <w:vMerge/>
          </w:tcPr>
          <w:p w14:paraId="77870C82" w14:textId="77777777" w:rsidR="004D1935" w:rsidRPr="0011375B" w:rsidRDefault="004D1935" w:rsidP="00E24DC9">
            <w:pPr>
              <w:rPr>
                <w:color w:val="000000" w:themeColor="text1"/>
              </w:rPr>
            </w:pPr>
          </w:p>
        </w:tc>
        <w:tc>
          <w:tcPr>
            <w:tcW w:w="877" w:type="dxa"/>
            <w:tcBorders>
              <w:top w:val="nil"/>
              <w:bottom w:val="nil"/>
            </w:tcBorders>
            <w:vAlign w:val="bottom"/>
          </w:tcPr>
          <w:p w14:paraId="12F7D6C2" w14:textId="77777777" w:rsidR="004D1935" w:rsidRPr="0011375B" w:rsidRDefault="004D1935" w:rsidP="00E24DC9">
            <w:pPr>
              <w:rPr>
                <w:color w:val="000000" w:themeColor="text1"/>
              </w:rPr>
            </w:pPr>
            <w:r w:rsidRPr="0011375B">
              <w:rPr>
                <w:rFonts w:ascii="Calibri" w:hAnsi="Calibri" w:cs="Calibri"/>
                <w:color w:val="000000" w:themeColor="text1"/>
                <w:sz w:val="16"/>
                <w:szCs w:val="16"/>
              </w:rPr>
              <w:t>355.9511</w:t>
            </w:r>
          </w:p>
        </w:tc>
        <w:tc>
          <w:tcPr>
            <w:tcW w:w="3404" w:type="dxa"/>
            <w:vMerge/>
          </w:tcPr>
          <w:p w14:paraId="48F689F2" w14:textId="77777777" w:rsidR="004D1935" w:rsidRPr="0011375B" w:rsidRDefault="004D1935" w:rsidP="00E24DC9">
            <w:pPr>
              <w:rPr>
                <w:color w:val="000000" w:themeColor="text1"/>
              </w:rPr>
            </w:pPr>
          </w:p>
        </w:tc>
        <w:tc>
          <w:tcPr>
            <w:tcW w:w="1225" w:type="dxa"/>
            <w:vMerge/>
          </w:tcPr>
          <w:p w14:paraId="3516EEF8" w14:textId="77777777" w:rsidR="004D1935" w:rsidRPr="0011375B" w:rsidRDefault="004D1935" w:rsidP="00E24DC9">
            <w:pPr>
              <w:rPr>
                <w:color w:val="000000" w:themeColor="text1"/>
              </w:rPr>
            </w:pPr>
          </w:p>
        </w:tc>
        <w:tc>
          <w:tcPr>
            <w:tcW w:w="2033" w:type="dxa"/>
            <w:vMerge/>
          </w:tcPr>
          <w:p w14:paraId="4BDA62B4" w14:textId="77777777" w:rsidR="004D1935" w:rsidRPr="0011375B" w:rsidRDefault="004D1935" w:rsidP="00E24DC9">
            <w:pPr>
              <w:rPr>
                <w:color w:val="000000" w:themeColor="text1"/>
              </w:rPr>
            </w:pPr>
          </w:p>
        </w:tc>
        <w:tc>
          <w:tcPr>
            <w:tcW w:w="6663" w:type="dxa"/>
            <w:vMerge/>
          </w:tcPr>
          <w:p w14:paraId="14097F97" w14:textId="77777777" w:rsidR="004D1935" w:rsidRPr="0011375B" w:rsidRDefault="004D1935" w:rsidP="00E24DC9">
            <w:pPr>
              <w:rPr>
                <w:color w:val="000000" w:themeColor="text1"/>
              </w:rPr>
            </w:pPr>
          </w:p>
        </w:tc>
      </w:tr>
      <w:tr w:rsidR="004D1935" w:rsidRPr="0011375B" w14:paraId="59D394E3" w14:textId="77777777" w:rsidTr="00E24DC9">
        <w:tc>
          <w:tcPr>
            <w:tcW w:w="683" w:type="dxa"/>
            <w:vMerge/>
          </w:tcPr>
          <w:p w14:paraId="36483669" w14:textId="77777777" w:rsidR="004D1935" w:rsidRPr="0011375B" w:rsidRDefault="004D1935" w:rsidP="00E24DC9">
            <w:pPr>
              <w:rPr>
                <w:color w:val="000000" w:themeColor="text1"/>
              </w:rPr>
            </w:pPr>
          </w:p>
        </w:tc>
        <w:tc>
          <w:tcPr>
            <w:tcW w:w="877" w:type="dxa"/>
            <w:tcBorders>
              <w:top w:val="nil"/>
              <w:bottom w:val="nil"/>
            </w:tcBorders>
            <w:vAlign w:val="bottom"/>
          </w:tcPr>
          <w:p w14:paraId="0B5C376F" w14:textId="77777777" w:rsidR="004D1935" w:rsidRPr="0011375B" w:rsidRDefault="004D1935" w:rsidP="00E24DC9">
            <w:pPr>
              <w:rPr>
                <w:color w:val="000000" w:themeColor="text1"/>
              </w:rPr>
            </w:pPr>
            <w:r w:rsidRPr="0011375B">
              <w:rPr>
                <w:rFonts w:ascii="Calibri" w:hAnsi="Calibri" w:cs="Calibri"/>
                <w:color w:val="000000" w:themeColor="text1"/>
                <w:sz w:val="16"/>
                <w:szCs w:val="16"/>
              </w:rPr>
              <w:t>355.9936</w:t>
            </w:r>
          </w:p>
        </w:tc>
        <w:tc>
          <w:tcPr>
            <w:tcW w:w="3404" w:type="dxa"/>
            <w:vMerge/>
          </w:tcPr>
          <w:p w14:paraId="6BC75644" w14:textId="77777777" w:rsidR="004D1935" w:rsidRPr="0011375B" w:rsidRDefault="004D1935" w:rsidP="00E24DC9">
            <w:pPr>
              <w:rPr>
                <w:color w:val="000000" w:themeColor="text1"/>
              </w:rPr>
            </w:pPr>
          </w:p>
        </w:tc>
        <w:tc>
          <w:tcPr>
            <w:tcW w:w="1225" w:type="dxa"/>
            <w:vMerge/>
          </w:tcPr>
          <w:p w14:paraId="594570B4" w14:textId="77777777" w:rsidR="004D1935" w:rsidRPr="0011375B" w:rsidRDefault="004D1935" w:rsidP="00E24DC9">
            <w:pPr>
              <w:rPr>
                <w:color w:val="000000" w:themeColor="text1"/>
              </w:rPr>
            </w:pPr>
          </w:p>
        </w:tc>
        <w:tc>
          <w:tcPr>
            <w:tcW w:w="2033" w:type="dxa"/>
            <w:vMerge/>
          </w:tcPr>
          <w:p w14:paraId="580188EC" w14:textId="77777777" w:rsidR="004D1935" w:rsidRPr="0011375B" w:rsidRDefault="004D1935" w:rsidP="00E24DC9">
            <w:pPr>
              <w:rPr>
                <w:color w:val="000000" w:themeColor="text1"/>
              </w:rPr>
            </w:pPr>
          </w:p>
        </w:tc>
        <w:tc>
          <w:tcPr>
            <w:tcW w:w="6663" w:type="dxa"/>
            <w:vMerge/>
          </w:tcPr>
          <w:p w14:paraId="4DEEB647" w14:textId="77777777" w:rsidR="004D1935" w:rsidRPr="0011375B" w:rsidRDefault="004D1935" w:rsidP="00E24DC9">
            <w:pPr>
              <w:rPr>
                <w:color w:val="000000" w:themeColor="text1"/>
              </w:rPr>
            </w:pPr>
          </w:p>
        </w:tc>
      </w:tr>
      <w:tr w:rsidR="004D1935" w:rsidRPr="0011375B" w14:paraId="64D0249D" w14:textId="77777777" w:rsidTr="00E24DC9">
        <w:tc>
          <w:tcPr>
            <w:tcW w:w="683" w:type="dxa"/>
            <w:vMerge/>
          </w:tcPr>
          <w:p w14:paraId="2503B32A" w14:textId="77777777" w:rsidR="004D1935" w:rsidRPr="0011375B" w:rsidRDefault="004D1935" w:rsidP="00E24DC9">
            <w:pPr>
              <w:rPr>
                <w:color w:val="000000" w:themeColor="text1"/>
              </w:rPr>
            </w:pPr>
          </w:p>
        </w:tc>
        <w:tc>
          <w:tcPr>
            <w:tcW w:w="877" w:type="dxa"/>
            <w:tcBorders>
              <w:top w:val="nil"/>
              <w:bottom w:val="nil"/>
            </w:tcBorders>
            <w:vAlign w:val="bottom"/>
          </w:tcPr>
          <w:p w14:paraId="19FD1EE9" w14:textId="77777777" w:rsidR="004D1935" w:rsidRPr="0011375B" w:rsidRDefault="004D1935" w:rsidP="00E24DC9">
            <w:pPr>
              <w:rPr>
                <w:color w:val="000000" w:themeColor="text1"/>
              </w:rPr>
            </w:pPr>
            <w:r w:rsidRPr="0011375B">
              <w:rPr>
                <w:rFonts w:ascii="Calibri" w:hAnsi="Calibri" w:cs="Calibri"/>
                <w:color w:val="000000" w:themeColor="text1"/>
                <w:sz w:val="16"/>
                <w:szCs w:val="16"/>
              </w:rPr>
              <w:t>356.0361</w:t>
            </w:r>
          </w:p>
        </w:tc>
        <w:tc>
          <w:tcPr>
            <w:tcW w:w="3404" w:type="dxa"/>
            <w:vMerge/>
          </w:tcPr>
          <w:p w14:paraId="1E97A385" w14:textId="77777777" w:rsidR="004D1935" w:rsidRPr="0011375B" w:rsidRDefault="004D1935" w:rsidP="00E24DC9">
            <w:pPr>
              <w:rPr>
                <w:color w:val="000000" w:themeColor="text1"/>
              </w:rPr>
            </w:pPr>
          </w:p>
        </w:tc>
        <w:tc>
          <w:tcPr>
            <w:tcW w:w="1225" w:type="dxa"/>
            <w:vMerge/>
          </w:tcPr>
          <w:p w14:paraId="3A68D4BF" w14:textId="77777777" w:rsidR="004D1935" w:rsidRPr="0011375B" w:rsidRDefault="004D1935" w:rsidP="00E24DC9">
            <w:pPr>
              <w:rPr>
                <w:color w:val="000000" w:themeColor="text1"/>
              </w:rPr>
            </w:pPr>
          </w:p>
        </w:tc>
        <w:tc>
          <w:tcPr>
            <w:tcW w:w="2033" w:type="dxa"/>
            <w:vMerge/>
          </w:tcPr>
          <w:p w14:paraId="62B67C66" w14:textId="77777777" w:rsidR="004D1935" w:rsidRPr="0011375B" w:rsidRDefault="004D1935" w:rsidP="00E24DC9">
            <w:pPr>
              <w:rPr>
                <w:color w:val="000000" w:themeColor="text1"/>
              </w:rPr>
            </w:pPr>
          </w:p>
        </w:tc>
        <w:tc>
          <w:tcPr>
            <w:tcW w:w="6663" w:type="dxa"/>
            <w:vMerge/>
          </w:tcPr>
          <w:p w14:paraId="0DCF4D2B" w14:textId="77777777" w:rsidR="004D1935" w:rsidRPr="0011375B" w:rsidRDefault="004D1935" w:rsidP="00E24DC9">
            <w:pPr>
              <w:rPr>
                <w:color w:val="000000" w:themeColor="text1"/>
              </w:rPr>
            </w:pPr>
          </w:p>
        </w:tc>
      </w:tr>
      <w:tr w:rsidR="004D1935" w:rsidRPr="0011375B" w14:paraId="44ACF4B3" w14:textId="77777777" w:rsidTr="00E24DC9">
        <w:tc>
          <w:tcPr>
            <w:tcW w:w="683" w:type="dxa"/>
            <w:vMerge/>
          </w:tcPr>
          <w:p w14:paraId="20198B81" w14:textId="77777777" w:rsidR="004D1935" w:rsidRPr="0011375B" w:rsidRDefault="004D1935" w:rsidP="00E24DC9">
            <w:pPr>
              <w:rPr>
                <w:color w:val="000000" w:themeColor="text1"/>
              </w:rPr>
            </w:pPr>
          </w:p>
        </w:tc>
        <w:tc>
          <w:tcPr>
            <w:tcW w:w="877" w:type="dxa"/>
            <w:tcBorders>
              <w:top w:val="nil"/>
              <w:bottom w:val="nil"/>
            </w:tcBorders>
            <w:vAlign w:val="bottom"/>
          </w:tcPr>
          <w:p w14:paraId="0F099FFE" w14:textId="77777777" w:rsidR="004D1935" w:rsidRPr="0011375B" w:rsidRDefault="004D1935" w:rsidP="00E24DC9">
            <w:pPr>
              <w:rPr>
                <w:color w:val="000000" w:themeColor="text1"/>
              </w:rPr>
            </w:pPr>
            <w:r w:rsidRPr="0011375B">
              <w:rPr>
                <w:rFonts w:ascii="Calibri" w:hAnsi="Calibri" w:cs="Calibri"/>
                <w:color w:val="000000" w:themeColor="text1"/>
                <w:sz w:val="16"/>
                <w:szCs w:val="16"/>
              </w:rPr>
              <w:t>356.0856</w:t>
            </w:r>
          </w:p>
        </w:tc>
        <w:tc>
          <w:tcPr>
            <w:tcW w:w="3404" w:type="dxa"/>
            <w:vMerge/>
          </w:tcPr>
          <w:p w14:paraId="7F4B9BBA" w14:textId="77777777" w:rsidR="004D1935" w:rsidRPr="0011375B" w:rsidRDefault="004D1935" w:rsidP="00E24DC9">
            <w:pPr>
              <w:rPr>
                <w:color w:val="000000" w:themeColor="text1"/>
              </w:rPr>
            </w:pPr>
          </w:p>
        </w:tc>
        <w:tc>
          <w:tcPr>
            <w:tcW w:w="1225" w:type="dxa"/>
            <w:vMerge/>
          </w:tcPr>
          <w:p w14:paraId="12A22137" w14:textId="77777777" w:rsidR="004D1935" w:rsidRPr="0011375B" w:rsidRDefault="004D1935" w:rsidP="00E24DC9">
            <w:pPr>
              <w:rPr>
                <w:color w:val="000000" w:themeColor="text1"/>
              </w:rPr>
            </w:pPr>
          </w:p>
        </w:tc>
        <w:tc>
          <w:tcPr>
            <w:tcW w:w="2033" w:type="dxa"/>
            <w:vMerge/>
          </w:tcPr>
          <w:p w14:paraId="70E0EB28" w14:textId="77777777" w:rsidR="004D1935" w:rsidRPr="0011375B" w:rsidRDefault="004D1935" w:rsidP="00E24DC9">
            <w:pPr>
              <w:rPr>
                <w:color w:val="000000" w:themeColor="text1"/>
              </w:rPr>
            </w:pPr>
          </w:p>
        </w:tc>
        <w:tc>
          <w:tcPr>
            <w:tcW w:w="6663" w:type="dxa"/>
            <w:vMerge/>
          </w:tcPr>
          <w:p w14:paraId="7FAA55DD" w14:textId="77777777" w:rsidR="004D1935" w:rsidRPr="0011375B" w:rsidRDefault="004D1935" w:rsidP="00E24DC9">
            <w:pPr>
              <w:rPr>
                <w:color w:val="000000" w:themeColor="text1"/>
              </w:rPr>
            </w:pPr>
          </w:p>
        </w:tc>
      </w:tr>
      <w:tr w:rsidR="004D1935" w:rsidRPr="0011375B" w14:paraId="2332ED10" w14:textId="77777777" w:rsidTr="00E24DC9">
        <w:tc>
          <w:tcPr>
            <w:tcW w:w="683" w:type="dxa"/>
            <w:vMerge/>
          </w:tcPr>
          <w:p w14:paraId="3A3442C8" w14:textId="77777777" w:rsidR="004D1935" w:rsidRPr="0011375B" w:rsidRDefault="004D1935" w:rsidP="00E24DC9">
            <w:pPr>
              <w:rPr>
                <w:color w:val="000000" w:themeColor="text1"/>
              </w:rPr>
            </w:pPr>
          </w:p>
        </w:tc>
        <w:tc>
          <w:tcPr>
            <w:tcW w:w="877" w:type="dxa"/>
            <w:tcBorders>
              <w:top w:val="nil"/>
              <w:bottom w:val="nil"/>
            </w:tcBorders>
            <w:vAlign w:val="bottom"/>
          </w:tcPr>
          <w:p w14:paraId="01F2BEA3" w14:textId="77777777" w:rsidR="004D1935" w:rsidRPr="0011375B" w:rsidRDefault="004D1935" w:rsidP="00E24DC9">
            <w:pPr>
              <w:rPr>
                <w:color w:val="000000" w:themeColor="text1"/>
              </w:rPr>
            </w:pPr>
            <w:r w:rsidRPr="0011375B">
              <w:rPr>
                <w:rFonts w:ascii="Calibri" w:hAnsi="Calibri" w:cs="Calibri"/>
                <w:color w:val="000000" w:themeColor="text1"/>
                <w:sz w:val="16"/>
                <w:szCs w:val="16"/>
              </w:rPr>
              <w:t>356.0842</w:t>
            </w:r>
          </w:p>
        </w:tc>
        <w:tc>
          <w:tcPr>
            <w:tcW w:w="3404" w:type="dxa"/>
            <w:vMerge/>
          </w:tcPr>
          <w:p w14:paraId="58882DBC" w14:textId="77777777" w:rsidR="004D1935" w:rsidRPr="0011375B" w:rsidRDefault="004D1935" w:rsidP="00E24DC9">
            <w:pPr>
              <w:rPr>
                <w:color w:val="000000" w:themeColor="text1"/>
              </w:rPr>
            </w:pPr>
          </w:p>
        </w:tc>
        <w:tc>
          <w:tcPr>
            <w:tcW w:w="1225" w:type="dxa"/>
            <w:vMerge/>
          </w:tcPr>
          <w:p w14:paraId="7B4F59D1" w14:textId="77777777" w:rsidR="004D1935" w:rsidRPr="0011375B" w:rsidRDefault="004D1935" w:rsidP="00E24DC9">
            <w:pPr>
              <w:rPr>
                <w:color w:val="000000" w:themeColor="text1"/>
              </w:rPr>
            </w:pPr>
          </w:p>
        </w:tc>
        <w:tc>
          <w:tcPr>
            <w:tcW w:w="2033" w:type="dxa"/>
            <w:vMerge/>
          </w:tcPr>
          <w:p w14:paraId="2E359393" w14:textId="77777777" w:rsidR="004D1935" w:rsidRPr="0011375B" w:rsidRDefault="004D1935" w:rsidP="00E24DC9">
            <w:pPr>
              <w:rPr>
                <w:color w:val="000000" w:themeColor="text1"/>
              </w:rPr>
            </w:pPr>
          </w:p>
        </w:tc>
        <w:tc>
          <w:tcPr>
            <w:tcW w:w="6663" w:type="dxa"/>
            <w:vMerge/>
          </w:tcPr>
          <w:p w14:paraId="586B3090" w14:textId="77777777" w:rsidR="004D1935" w:rsidRPr="0011375B" w:rsidRDefault="004D1935" w:rsidP="00E24DC9">
            <w:pPr>
              <w:rPr>
                <w:color w:val="000000" w:themeColor="text1"/>
              </w:rPr>
            </w:pPr>
          </w:p>
        </w:tc>
      </w:tr>
      <w:tr w:rsidR="004D1935" w:rsidRPr="0011375B" w14:paraId="1B5CBB40" w14:textId="77777777" w:rsidTr="00E24DC9">
        <w:tc>
          <w:tcPr>
            <w:tcW w:w="683" w:type="dxa"/>
            <w:vMerge/>
          </w:tcPr>
          <w:p w14:paraId="73BD561A" w14:textId="77777777" w:rsidR="004D1935" w:rsidRPr="0011375B" w:rsidRDefault="004D1935" w:rsidP="00E24DC9">
            <w:pPr>
              <w:rPr>
                <w:color w:val="000000" w:themeColor="text1"/>
              </w:rPr>
            </w:pPr>
          </w:p>
        </w:tc>
        <w:tc>
          <w:tcPr>
            <w:tcW w:w="877" w:type="dxa"/>
            <w:tcBorders>
              <w:top w:val="nil"/>
              <w:bottom w:val="nil"/>
            </w:tcBorders>
            <w:vAlign w:val="bottom"/>
          </w:tcPr>
          <w:p w14:paraId="419D14BD" w14:textId="77777777" w:rsidR="004D1935" w:rsidRPr="0011375B" w:rsidRDefault="004D1935" w:rsidP="00E24DC9">
            <w:pPr>
              <w:rPr>
                <w:color w:val="000000" w:themeColor="text1"/>
              </w:rPr>
            </w:pPr>
            <w:r w:rsidRPr="0011375B">
              <w:rPr>
                <w:rFonts w:ascii="Calibri" w:hAnsi="Calibri" w:cs="Calibri"/>
                <w:color w:val="000000" w:themeColor="text1"/>
                <w:sz w:val="16"/>
                <w:szCs w:val="16"/>
              </w:rPr>
              <w:t>356.0446</w:t>
            </w:r>
          </w:p>
        </w:tc>
        <w:tc>
          <w:tcPr>
            <w:tcW w:w="3404" w:type="dxa"/>
            <w:vMerge/>
          </w:tcPr>
          <w:p w14:paraId="423162B6" w14:textId="77777777" w:rsidR="004D1935" w:rsidRPr="0011375B" w:rsidRDefault="004D1935" w:rsidP="00E24DC9">
            <w:pPr>
              <w:rPr>
                <w:color w:val="000000" w:themeColor="text1"/>
              </w:rPr>
            </w:pPr>
          </w:p>
        </w:tc>
        <w:tc>
          <w:tcPr>
            <w:tcW w:w="1225" w:type="dxa"/>
            <w:vMerge/>
          </w:tcPr>
          <w:p w14:paraId="7BA4C7F7" w14:textId="77777777" w:rsidR="004D1935" w:rsidRPr="0011375B" w:rsidRDefault="004D1935" w:rsidP="00E24DC9">
            <w:pPr>
              <w:rPr>
                <w:color w:val="000000" w:themeColor="text1"/>
              </w:rPr>
            </w:pPr>
          </w:p>
        </w:tc>
        <w:tc>
          <w:tcPr>
            <w:tcW w:w="2033" w:type="dxa"/>
            <w:vMerge/>
          </w:tcPr>
          <w:p w14:paraId="7B98457D" w14:textId="77777777" w:rsidR="004D1935" w:rsidRPr="0011375B" w:rsidRDefault="004D1935" w:rsidP="00E24DC9">
            <w:pPr>
              <w:rPr>
                <w:color w:val="000000" w:themeColor="text1"/>
              </w:rPr>
            </w:pPr>
          </w:p>
        </w:tc>
        <w:tc>
          <w:tcPr>
            <w:tcW w:w="6663" w:type="dxa"/>
            <w:vMerge/>
          </w:tcPr>
          <w:p w14:paraId="1BAEC8DE" w14:textId="77777777" w:rsidR="004D1935" w:rsidRPr="0011375B" w:rsidRDefault="004D1935" w:rsidP="00E24DC9">
            <w:pPr>
              <w:rPr>
                <w:color w:val="000000" w:themeColor="text1"/>
              </w:rPr>
            </w:pPr>
          </w:p>
        </w:tc>
      </w:tr>
      <w:tr w:rsidR="004D1935" w:rsidRPr="0011375B" w14:paraId="021DB633" w14:textId="77777777" w:rsidTr="00E24DC9">
        <w:tc>
          <w:tcPr>
            <w:tcW w:w="683" w:type="dxa"/>
            <w:vMerge/>
          </w:tcPr>
          <w:p w14:paraId="4F884E7B" w14:textId="77777777" w:rsidR="004D1935" w:rsidRPr="0011375B" w:rsidRDefault="004D1935" w:rsidP="00E24DC9">
            <w:pPr>
              <w:rPr>
                <w:color w:val="000000" w:themeColor="text1"/>
              </w:rPr>
            </w:pPr>
          </w:p>
        </w:tc>
        <w:tc>
          <w:tcPr>
            <w:tcW w:w="877" w:type="dxa"/>
            <w:tcBorders>
              <w:top w:val="nil"/>
              <w:bottom w:val="nil"/>
            </w:tcBorders>
            <w:vAlign w:val="bottom"/>
          </w:tcPr>
          <w:p w14:paraId="3B37A26B" w14:textId="77777777" w:rsidR="004D1935" w:rsidRPr="0011375B" w:rsidRDefault="004D1935" w:rsidP="00E24DC9">
            <w:pPr>
              <w:rPr>
                <w:color w:val="000000" w:themeColor="text1"/>
              </w:rPr>
            </w:pPr>
            <w:r w:rsidRPr="0011375B">
              <w:rPr>
                <w:rFonts w:ascii="Calibri" w:hAnsi="Calibri" w:cs="Calibri"/>
                <w:color w:val="000000" w:themeColor="text1"/>
                <w:sz w:val="16"/>
                <w:szCs w:val="16"/>
              </w:rPr>
              <w:t>356.0899</w:t>
            </w:r>
          </w:p>
        </w:tc>
        <w:tc>
          <w:tcPr>
            <w:tcW w:w="3404" w:type="dxa"/>
            <w:vMerge/>
          </w:tcPr>
          <w:p w14:paraId="605EC5A0" w14:textId="77777777" w:rsidR="004D1935" w:rsidRPr="0011375B" w:rsidRDefault="004D1935" w:rsidP="00E24DC9">
            <w:pPr>
              <w:rPr>
                <w:color w:val="000000" w:themeColor="text1"/>
              </w:rPr>
            </w:pPr>
          </w:p>
        </w:tc>
        <w:tc>
          <w:tcPr>
            <w:tcW w:w="1225" w:type="dxa"/>
            <w:vMerge/>
          </w:tcPr>
          <w:p w14:paraId="2ED07467" w14:textId="77777777" w:rsidR="004D1935" w:rsidRPr="0011375B" w:rsidRDefault="004D1935" w:rsidP="00E24DC9">
            <w:pPr>
              <w:rPr>
                <w:color w:val="000000" w:themeColor="text1"/>
              </w:rPr>
            </w:pPr>
          </w:p>
        </w:tc>
        <w:tc>
          <w:tcPr>
            <w:tcW w:w="2033" w:type="dxa"/>
            <w:vMerge/>
          </w:tcPr>
          <w:p w14:paraId="0E0E4EC4" w14:textId="77777777" w:rsidR="004D1935" w:rsidRPr="0011375B" w:rsidRDefault="004D1935" w:rsidP="00E24DC9">
            <w:pPr>
              <w:rPr>
                <w:color w:val="000000" w:themeColor="text1"/>
              </w:rPr>
            </w:pPr>
          </w:p>
        </w:tc>
        <w:tc>
          <w:tcPr>
            <w:tcW w:w="6663" w:type="dxa"/>
            <w:vMerge/>
          </w:tcPr>
          <w:p w14:paraId="55F06348" w14:textId="77777777" w:rsidR="004D1935" w:rsidRPr="0011375B" w:rsidRDefault="004D1935" w:rsidP="00E24DC9">
            <w:pPr>
              <w:rPr>
                <w:color w:val="000000" w:themeColor="text1"/>
              </w:rPr>
            </w:pPr>
          </w:p>
        </w:tc>
      </w:tr>
      <w:tr w:rsidR="004D1935" w:rsidRPr="0011375B" w14:paraId="61CF0EB1" w14:textId="77777777" w:rsidTr="00E24DC9">
        <w:tc>
          <w:tcPr>
            <w:tcW w:w="683" w:type="dxa"/>
            <w:vMerge/>
          </w:tcPr>
          <w:p w14:paraId="48E36B5D" w14:textId="77777777" w:rsidR="004D1935" w:rsidRPr="0011375B" w:rsidRDefault="004D1935" w:rsidP="00E24DC9">
            <w:pPr>
              <w:rPr>
                <w:color w:val="000000" w:themeColor="text1"/>
              </w:rPr>
            </w:pPr>
          </w:p>
        </w:tc>
        <w:tc>
          <w:tcPr>
            <w:tcW w:w="877" w:type="dxa"/>
            <w:tcBorders>
              <w:top w:val="nil"/>
              <w:bottom w:val="nil"/>
            </w:tcBorders>
            <w:vAlign w:val="bottom"/>
          </w:tcPr>
          <w:p w14:paraId="579AA867" w14:textId="77777777" w:rsidR="004D1935" w:rsidRPr="0011375B" w:rsidRDefault="004D1935" w:rsidP="00E24DC9">
            <w:pPr>
              <w:rPr>
                <w:color w:val="000000" w:themeColor="text1"/>
              </w:rPr>
            </w:pPr>
            <w:r w:rsidRPr="0011375B">
              <w:rPr>
                <w:rFonts w:ascii="Calibri" w:hAnsi="Calibri" w:cs="Calibri"/>
                <w:color w:val="000000" w:themeColor="text1"/>
                <w:sz w:val="16"/>
                <w:szCs w:val="16"/>
              </w:rPr>
              <w:t>355.9539</w:t>
            </w:r>
          </w:p>
        </w:tc>
        <w:tc>
          <w:tcPr>
            <w:tcW w:w="3404" w:type="dxa"/>
            <w:vMerge/>
          </w:tcPr>
          <w:p w14:paraId="633B4B30" w14:textId="77777777" w:rsidR="004D1935" w:rsidRPr="0011375B" w:rsidRDefault="004D1935" w:rsidP="00E24DC9">
            <w:pPr>
              <w:rPr>
                <w:color w:val="000000" w:themeColor="text1"/>
              </w:rPr>
            </w:pPr>
          </w:p>
        </w:tc>
        <w:tc>
          <w:tcPr>
            <w:tcW w:w="1225" w:type="dxa"/>
            <w:vMerge/>
          </w:tcPr>
          <w:p w14:paraId="74C04D1F" w14:textId="77777777" w:rsidR="004D1935" w:rsidRPr="0011375B" w:rsidRDefault="004D1935" w:rsidP="00E24DC9">
            <w:pPr>
              <w:rPr>
                <w:color w:val="000000" w:themeColor="text1"/>
              </w:rPr>
            </w:pPr>
          </w:p>
        </w:tc>
        <w:tc>
          <w:tcPr>
            <w:tcW w:w="2033" w:type="dxa"/>
            <w:vMerge/>
          </w:tcPr>
          <w:p w14:paraId="105B928E" w14:textId="77777777" w:rsidR="004D1935" w:rsidRPr="0011375B" w:rsidRDefault="004D1935" w:rsidP="00E24DC9">
            <w:pPr>
              <w:rPr>
                <w:color w:val="000000" w:themeColor="text1"/>
              </w:rPr>
            </w:pPr>
          </w:p>
        </w:tc>
        <w:tc>
          <w:tcPr>
            <w:tcW w:w="6663" w:type="dxa"/>
            <w:vMerge/>
          </w:tcPr>
          <w:p w14:paraId="24120178" w14:textId="77777777" w:rsidR="004D1935" w:rsidRPr="0011375B" w:rsidRDefault="004D1935" w:rsidP="00E24DC9">
            <w:pPr>
              <w:rPr>
                <w:color w:val="000000" w:themeColor="text1"/>
              </w:rPr>
            </w:pPr>
          </w:p>
        </w:tc>
      </w:tr>
      <w:tr w:rsidR="004D1935" w:rsidRPr="0011375B" w14:paraId="761C6D22" w14:textId="77777777" w:rsidTr="00E24DC9">
        <w:tc>
          <w:tcPr>
            <w:tcW w:w="683" w:type="dxa"/>
            <w:vMerge/>
          </w:tcPr>
          <w:p w14:paraId="5F737BAF" w14:textId="77777777" w:rsidR="004D1935" w:rsidRPr="0011375B" w:rsidRDefault="004D1935" w:rsidP="00E24DC9">
            <w:pPr>
              <w:rPr>
                <w:color w:val="000000" w:themeColor="text1"/>
              </w:rPr>
            </w:pPr>
          </w:p>
        </w:tc>
        <w:tc>
          <w:tcPr>
            <w:tcW w:w="877" w:type="dxa"/>
            <w:tcBorders>
              <w:top w:val="nil"/>
              <w:bottom w:val="nil"/>
            </w:tcBorders>
            <w:vAlign w:val="bottom"/>
          </w:tcPr>
          <w:p w14:paraId="6C5CCB2D" w14:textId="77777777" w:rsidR="004D1935" w:rsidRPr="0011375B" w:rsidRDefault="004D1935" w:rsidP="00E24DC9">
            <w:pPr>
              <w:rPr>
                <w:color w:val="000000" w:themeColor="text1"/>
              </w:rPr>
            </w:pPr>
            <w:r w:rsidRPr="0011375B">
              <w:rPr>
                <w:rFonts w:ascii="Calibri" w:hAnsi="Calibri" w:cs="Calibri"/>
                <w:color w:val="000000" w:themeColor="text1"/>
                <w:sz w:val="16"/>
                <w:szCs w:val="16"/>
              </w:rPr>
              <w:t>355.9964</w:t>
            </w:r>
          </w:p>
        </w:tc>
        <w:tc>
          <w:tcPr>
            <w:tcW w:w="3404" w:type="dxa"/>
            <w:vMerge/>
          </w:tcPr>
          <w:p w14:paraId="3EEB7F0D" w14:textId="77777777" w:rsidR="004D1935" w:rsidRPr="0011375B" w:rsidRDefault="004D1935" w:rsidP="00E24DC9">
            <w:pPr>
              <w:rPr>
                <w:color w:val="000000" w:themeColor="text1"/>
              </w:rPr>
            </w:pPr>
          </w:p>
        </w:tc>
        <w:tc>
          <w:tcPr>
            <w:tcW w:w="1225" w:type="dxa"/>
            <w:vMerge/>
          </w:tcPr>
          <w:p w14:paraId="6B75D961" w14:textId="77777777" w:rsidR="004D1935" w:rsidRPr="0011375B" w:rsidRDefault="004D1935" w:rsidP="00E24DC9">
            <w:pPr>
              <w:rPr>
                <w:color w:val="000000" w:themeColor="text1"/>
              </w:rPr>
            </w:pPr>
          </w:p>
        </w:tc>
        <w:tc>
          <w:tcPr>
            <w:tcW w:w="2033" w:type="dxa"/>
            <w:vMerge/>
          </w:tcPr>
          <w:p w14:paraId="23215F44" w14:textId="77777777" w:rsidR="004D1935" w:rsidRPr="0011375B" w:rsidRDefault="004D1935" w:rsidP="00E24DC9">
            <w:pPr>
              <w:rPr>
                <w:color w:val="000000" w:themeColor="text1"/>
              </w:rPr>
            </w:pPr>
          </w:p>
        </w:tc>
        <w:tc>
          <w:tcPr>
            <w:tcW w:w="6663" w:type="dxa"/>
            <w:vMerge/>
          </w:tcPr>
          <w:p w14:paraId="52508573" w14:textId="77777777" w:rsidR="004D1935" w:rsidRPr="0011375B" w:rsidRDefault="004D1935" w:rsidP="00E24DC9">
            <w:pPr>
              <w:rPr>
                <w:color w:val="000000" w:themeColor="text1"/>
              </w:rPr>
            </w:pPr>
          </w:p>
        </w:tc>
      </w:tr>
      <w:tr w:rsidR="004D1935" w:rsidRPr="0011375B" w14:paraId="23EFCB7A" w14:textId="77777777" w:rsidTr="00E24DC9">
        <w:tc>
          <w:tcPr>
            <w:tcW w:w="683" w:type="dxa"/>
            <w:vMerge/>
          </w:tcPr>
          <w:p w14:paraId="3B93A1D2" w14:textId="77777777" w:rsidR="004D1935" w:rsidRPr="0011375B" w:rsidRDefault="004D1935" w:rsidP="00E24DC9">
            <w:pPr>
              <w:rPr>
                <w:color w:val="000000" w:themeColor="text1"/>
              </w:rPr>
            </w:pPr>
          </w:p>
        </w:tc>
        <w:tc>
          <w:tcPr>
            <w:tcW w:w="877" w:type="dxa"/>
            <w:tcBorders>
              <w:top w:val="nil"/>
              <w:bottom w:val="nil"/>
            </w:tcBorders>
            <w:vAlign w:val="bottom"/>
          </w:tcPr>
          <w:p w14:paraId="29B3C17E" w14:textId="77777777" w:rsidR="004D1935" w:rsidRPr="0011375B" w:rsidRDefault="004D1935" w:rsidP="00E24DC9">
            <w:pPr>
              <w:rPr>
                <w:color w:val="000000" w:themeColor="text1"/>
              </w:rPr>
            </w:pPr>
            <w:r w:rsidRPr="0011375B">
              <w:rPr>
                <w:rFonts w:ascii="Calibri" w:hAnsi="Calibri" w:cs="Calibri"/>
                <w:color w:val="000000" w:themeColor="text1"/>
                <w:sz w:val="16"/>
                <w:szCs w:val="16"/>
              </w:rPr>
              <w:t>356.0389</w:t>
            </w:r>
          </w:p>
        </w:tc>
        <w:tc>
          <w:tcPr>
            <w:tcW w:w="3404" w:type="dxa"/>
            <w:vMerge/>
          </w:tcPr>
          <w:p w14:paraId="7012CE32" w14:textId="77777777" w:rsidR="004D1935" w:rsidRPr="0011375B" w:rsidRDefault="004D1935" w:rsidP="00E24DC9">
            <w:pPr>
              <w:rPr>
                <w:color w:val="000000" w:themeColor="text1"/>
              </w:rPr>
            </w:pPr>
          </w:p>
        </w:tc>
        <w:tc>
          <w:tcPr>
            <w:tcW w:w="1225" w:type="dxa"/>
            <w:vMerge/>
          </w:tcPr>
          <w:p w14:paraId="1C7D42B0" w14:textId="77777777" w:rsidR="004D1935" w:rsidRPr="0011375B" w:rsidRDefault="004D1935" w:rsidP="00E24DC9">
            <w:pPr>
              <w:rPr>
                <w:color w:val="000000" w:themeColor="text1"/>
              </w:rPr>
            </w:pPr>
          </w:p>
        </w:tc>
        <w:tc>
          <w:tcPr>
            <w:tcW w:w="2033" w:type="dxa"/>
            <w:vMerge/>
          </w:tcPr>
          <w:p w14:paraId="0C740A6B" w14:textId="77777777" w:rsidR="004D1935" w:rsidRPr="0011375B" w:rsidRDefault="004D1935" w:rsidP="00E24DC9">
            <w:pPr>
              <w:rPr>
                <w:color w:val="000000" w:themeColor="text1"/>
              </w:rPr>
            </w:pPr>
          </w:p>
        </w:tc>
        <w:tc>
          <w:tcPr>
            <w:tcW w:w="6663" w:type="dxa"/>
            <w:vMerge/>
          </w:tcPr>
          <w:p w14:paraId="5AC0725A" w14:textId="77777777" w:rsidR="004D1935" w:rsidRPr="0011375B" w:rsidRDefault="004D1935" w:rsidP="00E24DC9">
            <w:pPr>
              <w:rPr>
                <w:color w:val="000000" w:themeColor="text1"/>
              </w:rPr>
            </w:pPr>
          </w:p>
        </w:tc>
      </w:tr>
      <w:tr w:rsidR="004D1935" w:rsidRPr="0011375B" w14:paraId="4D75DE6B" w14:textId="77777777" w:rsidTr="00E24DC9">
        <w:tc>
          <w:tcPr>
            <w:tcW w:w="683" w:type="dxa"/>
            <w:vMerge/>
          </w:tcPr>
          <w:p w14:paraId="415DC68F" w14:textId="77777777" w:rsidR="004D1935" w:rsidRPr="0011375B" w:rsidRDefault="004D1935" w:rsidP="00E24DC9">
            <w:pPr>
              <w:rPr>
                <w:color w:val="000000" w:themeColor="text1"/>
              </w:rPr>
            </w:pPr>
          </w:p>
        </w:tc>
        <w:tc>
          <w:tcPr>
            <w:tcW w:w="877" w:type="dxa"/>
            <w:tcBorders>
              <w:top w:val="nil"/>
              <w:bottom w:val="nil"/>
            </w:tcBorders>
            <w:vAlign w:val="bottom"/>
          </w:tcPr>
          <w:p w14:paraId="4597417A" w14:textId="77777777" w:rsidR="004D1935" w:rsidRPr="0011375B" w:rsidRDefault="004D1935" w:rsidP="00E24DC9">
            <w:pPr>
              <w:rPr>
                <w:color w:val="000000" w:themeColor="text1"/>
              </w:rPr>
            </w:pPr>
            <w:r w:rsidRPr="0011375B">
              <w:rPr>
                <w:rFonts w:ascii="Calibri" w:hAnsi="Calibri" w:cs="Calibri"/>
                <w:color w:val="000000" w:themeColor="text1"/>
                <w:sz w:val="16"/>
                <w:szCs w:val="16"/>
              </w:rPr>
              <w:t>356.0870</w:t>
            </w:r>
          </w:p>
        </w:tc>
        <w:tc>
          <w:tcPr>
            <w:tcW w:w="3404" w:type="dxa"/>
            <w:vMerge/>
          </w:tcPr>
          <w:p w14:paraId="56B7C3E1" w14:textId="77777777" w:rsidR="004D1935" w:rsidRPr="0011375B" w:rsidRDefault="004D1935" w:rsidP="00E24DC9">
            <w:pPr>
              <w:rPr>
                <w:color w:val="000000" w:themeColor="text1"/>
              </w:rPr>
            </w:pPr>
          </w:p>
        </w:tc>
        <w:tc>
          <w:tcPr>
            <w:tcW w:w="1225" w:type="dxa"/>
            <w:vMerge/>
          </w:tcPr>
          <w:p w14:paraId="62E2716B" w14:textId="77777777" w:rsidR="004D1935" w:rsidRPr="0011375B" w:rsidRDefault="004D1935" w:rsidP="00E24DC9">
            <w:pPr>
              <w:rPr>
                <w:color w:val="000000" w:themeColor="text1"/>
              </w:rPr>
            </w:pPr>
          </w:p>
        </w:tc>
        <w:tc>
          <w:tcPr>
            <w:tcW w:w="2033" w:type="dxa"/>
            <w:vMerge/>
          </w:tcPr>
          <w:p w14:paraId="2425F82E" w14:textId="77777777" w:rsidR="004D1935" w:rsidRPr="0011375B" w:rsidRDefault="004D1935" w:rsidP="00E24DC9">
            <w:pPr>
              <w:rPr>
                <w:color w:val="000000" w:themeColor="text1"/>
              </w:rPr>
            </w:pPr>
          </w:p>
        </w:tc>
        <w:tc>
          <w:tcPr>
            <w:tcW w:w="6663" w:type="dxa"/>
            <w:vMerge/>
          </w:tcPr>
          <w:p w14:paraId="5FAEBC2C" w14:textId="77777777" w:rsidR="004D1935" w:rsidRPr="0011375B" w:rsidRDefault="004D1935" w:rsidP="00E24DC9">
            <w:pPr>
              <w:rPr>
                <w:color w:val="000000" w:themeColor="text1"/>
              </w:rPr>
            </w:pPr>
          </w:p>
        </w:tc>
      </w:tr>
      <w:tr w:rsidR="004D1935" w:rsidRPr="0011375B" w14:paraId="4A529222" w14:textId="77777777" w:rsidTr="00E24DC9">
        <w:tc>
          <w:tcPr>
            <w:tcW w:w="683" w:type="dxa"/>
            <w:vMerge/>
          </w:tcPr>
          <w:p w14:paraId="3DE28111" w14:textId="77777777" w:rsidR="004D1935" w:rsidRPr="0011375B" w:rsidRDefault="004D1935" w:rsidP="00E24DC9">
            <w:pPr>
              <w:rPr>
                <w:color w:val="000000" w:themeColor="text1"/>
              </w:rPr>
            </w:pPr>
          </w:p>
        </w:tc>
        <w:tc>
          <w:tcPr>
            <w:tcW w:w="877" w:type="dxa"/>
            <w:tcBorders>
              <w:top w:val="nil"/>
              <w:bottom w:val="nil"/>
            </w:tcBorders>
            <w:vAlign w:val="bottom"/>
          </w:tcPr>
          <w:p w14:paraId="357E4CFB" w14:textId="77777777" w:rsidR="004D1935" w:rsidRPr="0011375B" w:rsidRDefault="004D1935" w:rsidP="00E24DC9">
            <w:pPr>
              <w:rPr>
                <w:color w:val="000000" w:themeColor="text1"/>
              </w:rPr>
            </w:pPr>
            <w:r w:rsidRPr="0011375B">
              <w:rPr>
                <w:rFonts w:ascii="Calibri" w:hAnsi="Calibri" w:cs="Calibri"/>
                <w:color w:val="000000" w:themeColor="text1"/>
                <w:sz w:val="16"/>
                <w:szCs w:val="16"/>
              </w:rPr>
              <w:t>355.9142</w:t>
            </w:r>
          </w:p>
        </w:tc>
        <w:tc>
          <w:tcPr>
            <w:tcW w:w="3404" w:type="dxa"/>
            <w:vMerge/>
          </w:tcPr>
          <w:p w14:paraId="495C10ED" w14:textId="77777777" w:rsidR="004D1935" w:rsidRPr="0011375B" w:rsidRDefault="004D1935" w:rsidP="00E24DC9">
            <w:pPr>
              <w:rPr>
                <w:color w:val="000000" w:themeColor="text1"/>
              </w:rPr>
            </w:pPr>
          </w:p>
        </w:tc>
        <w:tc>
          <w:tcPr>
            <w:tcW w:w="1225" w:type="dxa"/>
            <w:vMerge/>
          </w:tcPr>
          <w:p w14:paraId="6C022278" w14:textId="77777777" w:rsidR="004D1935" w:rsidRPr="0011375B" w:rsidRDefault="004D1935" w:rsidP="00E24DC9">
            <w:pPr>
              <w:rPr>
                <w:color w:val="000000" w:themeColor="text1"/>
              </w:rPr>
            </w:pPr>
          </w:p>
        </w:tc>
        <w:tc>
          <w:tcPr>
            <w:tcW w:w="2033" w:type="dxa"/>
            <w:vMerge/>
          </w:tcPr>
          <w:p w14:paraId="28F155A6" w14:textId="77777777" w:rsidR="004D1935" w:rsidRPr="0011375B" w:rsidRDefault="004D1935" w:rsidP="00E24DC9">
            <w:pPr>
              <w:rPr>
                <w:color w:val="000000" w:themeColor="text1"/>
              </w:rPr>
            </w:pPr>
          </w:p>
        </w:tc>
        <w:tc>
          <w:tcPr>
            <w:tcW w:w="6663" w:type="dxa"/>
            <w:vMerge/>
          </w:tcPr>
          <w:p w14:paraId="4D6F851D" w14:textId="77777777" w:rsidR="004D1935" w:rsidRPr="0011375B" w:rsidRDefault="004D1935" w:rsidP="00E24DC9">
            <w:pPr>
              <w:rPr>
                <w:color w:val="000000" w:themeColor="text1"/>
              </w:rPr>
            </w:pPr>
          </w:p>
        </w:tc>
      </w:tr>
      <w:tr w:rsidR="004D1935" w:rsidRPr="0011375B" w14:paraId="3C4FA622" w14:textId="77777777" w:rsidTr="00E24DC9">
        <w:tc>
          <w:tcPr>
            <w:tcW w:w="683" w:type="dxa"/>
            <w:vMerge/>
          </w:tcPr>
          <w:p w14:paraId="5CBD1211" w14:textId="77777777" w:rsidR="004D1935" w:rsidRPr="0011375B" w:rsidRDefault="004D1935" w:rsidP="00E24DC9">
            <w:pPr>
              <w:rPr>
                <w:color w:val="000000" w:themeColor="text1"/>
              </w:rPr>
            </w:pPr>
          </w:p>
        </w:tc>
        <w:tc>
          <w:tcPr>
            <w:tcW w:w="877" w:type="dxa"/>
            <w:tcBorders>
              <w:top w:val="nil"/>
              <w:bottom w:val="nil"/>
            </w:tcBorders>
            <w:vAlign w:val="bottom"/>
          </w:tcPr>
          <w:p w14:paraId="5C6B0FB5" w14:textId="77777777" w:rsidR="004D1935" w:rsidRPr="0011375B" w:rsidRDefault="004D1935" w:rsidP="00E24DC9">
            <w:pPr>
              <w:rPr>
                <w:color w:val="000000" w:themeColor="text1"/>
              </w:rPr>
            </w:pPr>
            <w:r w:rsidRPr="0011375B">
              <w:rPr>
                <w:rFonts w:ascii="Calibri" w:hAnsi="Calibri" w:cs="Calibri"/>
                <w:color w:val="000000" w:themeColor="text1"/>
                <w:sz w:val="16"/>
                <w:szCs w:val="16"/>
              </w:rPr>
              <w:t>356.0884</w:t>
            </w:r>
          </w:p>
        </w:tc>
        <w:tc>
          <w:tcPr>
            <w:tcW w:w="3404" w:type="dxa"/>
            <w:vMerge/>
          </w:tcPr>
          <w:p w14:paraId="1246846C" w14:textId="77777777" w:rsidR="004D1935" w:rsidRPr="0011375B" w:rsidRDefault="004D1935" w:rsidP="00E24DC9">
            <w:pPr>
              <w:rPr>
                <w:color w:val="000000" w:themeColor="text1"/>
              </w:rPr>
            </w:pPr>
          </w:p>
        </w:tc>
        <w:tc>
          <w:tcPr>
            <w:tcW w:w="1225" w:type="dxa"/>
            <w:vMerge/>
          </w:tcPr>
          <w:p w14:paraId="3652EBC4" w14:textId="77777777" w:rsidR="004D1935" w:rsidRPr="0011375B" w:rsidRDefault="004D1935" w:rsidP="00E24DC9">
            <w:pPr>
              <w:rPr>
                <w:color w:val="000000" w:themeColor="text1"/>
              </w:rPr>
            </w:pPr>
          </w:p>
        </w:tc>
        <w:tc>
          <w:tcPr>
            <w:tcW w:w="2033" w:type="dxa"/>
            <w:vMerge/>
          </w:tcPr>
          <w:p w14:paraId="262B9173" w14:textId="77777777" w:rsidR="004D1935" w:rsidRPr="0011375B" w:rsidRDefault="004D1935" w:rsidP="00E24DC9">
            <w:pPr>
              <w:rPr>
                <w:color w:val="000000" w:themeColor="text1"/>
              </w:rPr>
            </w:pPr>
          </w:p>
        </w:tc>
        <w:tc>
          <w:tcPr>
            <w:tcW w:w="6663" w:type="dxa"/>
            <w:vMerge/>
          </w:tcPr>
          <w:p w14:paraId="7077BB0C" w14:textId="77777777" w:rsidR="004D1935" w:rsidRPr="0011375B" w:rsidRDefault="004D1935" w:rsidP="00E24DC9">
            <w:pPr>
              <w:rPr>
                <w:color w:val="000000" w:themeColor="text1"/>
              </w:rPr>
            </w:pPr>
          </w:p>
        </w:tc>
      </w:tr>
      <w:tr w:rsidR="004D1935" w:rsidRPr="0011375B" w14:paraId="5EED905D" w14:textId="77777777" w:rsidTr="00E24DC9">
        <w:tc>
          <w:tcPr>
            <w:tcW w:w="683" w:type="dxa"/>
            <w:vMerge/>
          </w:tcPr>
          <w:p w14:paraId="56A53A0C" w14:textId="77777777" w:rsidR="004D1935" w:rsidRPr="0011375B" w:rsidRDefault="004D1935" w:rsidP="00E24DC9">
            <w:pPr>
              <w:rPr>
                <w:color w:val="000000" w:themeColor="text1"/>
              </w:rPr>
            </w:pPr>
          </w:p>
        </w:tc>
        <w:tc>
          <w:tcPr>
            <w:tcW w:w="877" w:type="dxa"/>
            <w:tcBorders>
              <w:top w:val="nil"/>
              <w:bottom w:val="nil"/>
            </w:tcBorders>
            <w:vAlign w:val="bottom"/>
          </w:tcPr>
          <w:p w14:paraId="1BB0B414" w14:textId="77777777" w:rsidR="004D1935" w:rsidRPr="0011375B" w:rsidRDefault="004D1935" w:rsidP="00E24DC9">
            <w:pPr>
              <w:rPr>
                <w:color w:val="000000" w:themeColor="text1"/>
              </w:rPr>
            </w:pPr>
          </w:p>
        </w:tc>
        <w:tc>
          <w:tcPr>
            <w:tcW w:w="3404" w:type="dxa"/>
            <w:vMerge/>
          </w:tcPr>
          <w:p w14:paraId="64F9354F" w14:textId="77777777" w:rsidR="004D1935" w:rsidRPr="0011375B" w:rsidRDefault="004D1935" w:rsidP="00E24DC9">
            <w:pPr>
              <w:rPr>
                <w:color w:val="000000" w:themeColor="text1"/>
              </w:rPr>
            </w:pPr>
          </w:p>
        </w:tc>
        <w:tc>
          <w:tcPr>
            <w:tcW w:w="1225" w:type="dxa"/>
            <w:vMerge/>
          </w:tcPr>
          <w:p w14:paraId="477F13EE" w14:textId="77777777" w:rsidR="004D1935" w:rsidRPr="0011375B" w:rsidRDefault="004D1935" w:rsidP="00E24DC9">
            <w:pPr>
              <w:rPr>
                <w:color w:val="000000" w:themeColor="text1"/>
              </w:rPr>
            </w:pPr>
          </w:p>
        </w:tc>
        <w:tc>
          <w:tcPr>
            <w:tcW w:w="2033" w:type="dxa"/>
            <w:vMerge/>
          </w:tcPr>
          <w:p w14:paraId="712C7171" w14:textId="77777777" w:rsidR="004D1935" w:rsidRPr="0011375B" w:rsidRDefault="004D1935" w:rsidP="00E24DC9">
            <w:pPr>
              <w:rPr>
                <w:color w:val="000000" w:themeColor="text1"/>
              </w:rPr>
            </w:pPr>
          </w:p>
        </w:tc>
        <w:tc>
          <w:tcPr>
            <w:tcW w:w="6663" w:type="dxa"/>
            <w:vMerge/>
          </w:tcPr>
          <w:p w14:paraId="5108F00A" w14:textId="77777777" w:rsidR="004D1935" w:rsidRPr="0011375B" w:rsidRDefault="004D1935" w:rsidP="00E24DC9">
            <w:pPr>
              <w:rPr>
                <w:color w:val="000000" w:themeColor="text1"/>
              </w:rPr>
            </w:pPr>
          </w:p>
        </w:tc>
      </w:tr>
      <w:tr w:rsidR="004D1935" w:rsidRPr="0011375B" w14:paraId="76415A25" w14:textId="77777777" w:rsidTr="00E24DC9">
        <w:tc>
          <w:tcPr>
            <w:tcW w:w="683" w:type="dxa"/>
            <w:vMerge/>
          </w:tcPr>
          <w:p w14:paraId="5AC82CBB" w14:textId="77777777" w:rsidR="004D1935" w:rsidRPr="0011375B" w:rsidRDefault="004D1935" w:rsidP="00E24DC9">
            <w:pPr>
              <w:rPr>
                <w:color w:val="000000" w:themeColor="text1"/>
              </w:rPr>
            </w:pPr>
          </w:p>
        </w:tc>
        <w:tc>
          <w:tcPr>
            <w:tcW w:w="877" w:type="dxa"/>
            <w:tcBorders>
              <w:top w:val="nil"/>
              <w:bottom w:val="nil"/>
            </w:tcBorders>
            <w:vAlign w:val="bottom"/>
          </w:tcPr>
          <w:p w14:paraId="4C68DFD1" w14:textId="77777777" w:rsidR="004D1935" w:rsidRPr="0011375B" w:rsidRDefault="004D1935" w:rsidP="00E24DC9">
            <w:pPr>
              <w:rPr>
                <w:color w:val="000000" w:themeColor="text1"/>
              </w:rPr>
            </w:pPr>
          </w:p>
        </w:tc>
        <w:tc>
          <w:tcPr>
            <w:tcW w:w="3404" w:type="dxa"/>
            <w:vMerge/>
          </w:tcPr>
          <w:p w14:paraId="6E5F459E" w14:textId="77777777" w:rsidR="004D1935" w:rsidRPr="0011375B" w:rsidRDefault="004D1935" w:rsidP="00E24DC9">
            <w:pPr>
              <w:rPr>
                <w:color w:val="000000" w:themeColor="text1"/>
              </w:rPr>
            </w:pPr>
          </w:p>
        </w:tc>
        <w:tc>
          <w:tcPr>
            <w:tcW w:w="1225" w:type="dxa"/>
            <w:vMerge/>
          </w:tcPr>
          <w:p w14:paraId="57FE9F6E" w14:textId="77777777" w:rsidR="004D1935" w:rsidRPr="0011375B" w:rsidRDefault="004D1935" w:rsidP="00E24DC9">
            <w:pPr>
              <w:rPr>
                <w:color w:val="000000" w:themeColor="text1"/>
              </w:rPr>
            </w:pPr>
          </w:p>
        </w:tc>
        <w:tc>
          <w:tcPr>
            <w:tcW w:w="2033" w:type="dxa"/>
            <w:vMerge/>
          </w:tcPr>
          <w:p w14:paraId="5E37217D" w14:textId="77777777" w:rsidR="004D1935" w:rsidRPr="0011375B" w:rsidRDefault="004D1935" w:rsidP="00E24DC9">
            <w:pPr>
              <w:rPr>
                <w:color w:val="000000" w:themeColor="text1"/>
              </w:rPr>
            </w:pPr>
          </w:p>
        </w:tc>
        <w:tc>
          <w:tcPr>
            <w:tcW w:w="6663" w:type="dxa"/>
            <w:vMerge/>
          </w:tcPr>
          <w:p w14:paraId="040CB326" w14:textId="77777777" w:rsidR="004D1935" w:rsidRPr="0011375B" w:rsidRDefault="004D1935" w:rsidP="00E24DC9">
            <w:pPr>
              <w:rPr>
                <w:color w:val="000000" w:themeColor="text1"/>
              </w:rPr>
            </w:pPr>
          </w:p>
        </w:tc>
      </w:tr>
      <w:tr w:rsidR="004D1935" w:rsidRPr="0011375B" w14:paraId="7B7F7053" w14:textId="77777777" w:rsidTr="00E24DC9">
        <w:tc>
          <w:tcPr>
            <w:tcW w:w="683" w:type="dxa"/>
            <w:vMerge/>
          </w:tcPr>
          <w:p w14:paraId="442C3720" w14:textId="77777777" w:rsidR="004D1935" w:rsidRPr="0011375B" w:rsidRDefault="004D1935" w:rsidP="00E24DC9">
            <w:pPr>
              <w:rPr>
                <w:color w:val="000000" w:themeColor="text1"/>
              </w:rPr>
            </w:pPr>
          </w:p>
        </w:tc>
        <w:tc>
          <w:tcPr>
            <w:tcW w:w="877" w:type="dxa"/>
            <w:tcBorders>
              <w:top w:val="nil"/>
              <w:bottom w:val="nil"/>
            </w:tcBorders>
            <w:vAlign w:val="bottom"/>
          </w:tcPr>
          <w:p w14:paraId="6F4B9FDD" w14:textId="77777777" w:rsidR="004D1935" w:rsidRPr="0011375B" w:rsidRDefault="004D1935" w:rsidP="00E24DC9">
            <w:pPr>
              <w:rPr>
                <w:color w:val="000000" w:themeColor="text1"/>
              </w:rPr>
            </w:pPr>
          </w:p>
        </w:tc>
        <w:tc>
          <w:tcPr>
            <w:tcW w:w="3404" w:type="dxa"/>
            <w:vMerge/>
          </w:tcPr>
          <w:p w14:paraId="4340C7F0" w14:textId="77777777" w:rsidR="004D1935" w:rsidRPr="0011375B" w:rsidRDefault="004D1935" w:rsidP="00E24DC9">
            <w:pPr>
              <w:rPr>
                <w:color w:val="000000" w:themeColor="text1"/>
              </w:rPr>
            </w:pPr>
          </w:p>
        </w:tc>
        <w:tc>
          <w:tcPr>
            <w:tcW w:w="1225" w:type="dxa"/>
            <w:vMerge/>
          </w:tcPr>
          <w:p w14:paraId="27431655" w14:textId="77777777" w:rsidR="004D1935" w:rsidRPr="0011375B" w:rsidRDefault="004D1935" w:rsidP="00E24DC9">
            <w:pPr>
              <w:rPr>
                <w:color w:val="000000" w:themeColor="text1"/>
              </w:rPr>
            </w:pPr>
          </w:p>
        </w:tc>
        <w:tc>
          <w:tcPr>
            <w:tcW w:w="2033" w:type="dxa"/>
            <w:vMerge/>
          </w:tcPr>
          <w:p w14:paraId="53BC940B" w14:textId="77777777" w:rsidR="004D1935" w:rsidRPr="0011375B" w:rsidRDefault="004D1935" w:rsidP="00E24DC9">
            <w:pPr>
              <w:rPr>
                <w:color w:val="000000" w:themeColor="text1"/>
              </w:rPr>
            </w:pPr>
          </w:p>
        </w:tc>
        <w:tc>
          <w:tcPr>
            <w:tcW w:w="6663" w:type="dxa"/>
            <w:vMerge/>
          </w:tcPr>
          <w:p w14:paraId="048849AF" w14:textId="77777777" w:rsidR="004D1935" w:rsidRPr="0011375B" w:rsidRDefault="004D1935" w:rsidP="00E24DC9">
            <w:pPr>
              <w:rPr>
                <w:color w:val="000000" w:themeColor="text1"/>
              </w:rPr>
            </w:pPr>
          </w:p>
        </w:tc>
      </w:tr>
      <w:tr w:rsidR="004D1935" w:rsidRPr="0011375B" w14:paraId="75144525" w14:textId="77777777" w:rsidTr="00E24DC9">
        <w:tc>
          <w:tcPr>
            <w:tcW w:w="683" w:type="dxa"/>
            <w:vMerge/>
          </w:tcPr>
          <w:p w14:paraId="6305115E" w14:textId="77777777" w:rsidR="004D1935" w:rsidRPr="0011375B" w:rsidRDefault="004D1935" w:rsidP="00E24DC9">
            <w:pPr>
              <w:rPr>
                <w:color w:val="000000" w:themeColor="text1"/>
              </w:rPr>
            </w:pPr>
          </w:p>
        </w:tc>
        <w:tc>
          <w:tcPr>
            <w:tcW w:w="877" w:type="dxa"/>
            <w:tcBorders>
              <w:top w:val="nil"/>
              <w:bottom w:val="nil"/>
            </w:tcBorders>
            <w:vAlign w:val="bottom"/>
          </w:tcPr>
          <w:p w14:paraId="54782EAB" w14:textId="77777777" w:rsidR="004D1935" w:rsidRPr="0011375B" w:rsidRDefault="004D1935" w:rsidP="00E24DC9">
            <w:pPr>
              <w:rPr>
                <w:color w:val="000000" w:themeColor="text1"/>
              </w:rPr>
            </w:pPr>
          </w:p>
        </w:tc>
        <w:tc>
          <w:tcPr>
            <w:tcW w:w="3404" w:type="dxa"/>
            <w:vMerge/>
          </w:tcPr>
          <w:p w14:paraId="21A34910" w14:textId="77777777" w:rsidR="004D1935" w:rsidRPr="0011375B" w:rsidRDefault="004D1935" w:rsidP="00E24DC9">
            <w:pPr>
              <w:rPr>
                <w:color w:val="000000" w:themeColor="text1"/>
              </w:rPr>
            </w:pPr>
          </w:p>
        </w:tc>
        <w:tc>
          <w:tcPr>
            <w:tcW w:w="1225" w:type="dxa"/>
            <w:vMerge/>
          </w:tcPr>
          <w:p w14:paraId="1036B6B8" w14:textId="77777777" w:rsidR="004D1935" w:rsidRPr="0011375B" w:rsidRDefault="004D1935" w:rsidP="00E24DC9">
            <w:pPr>
              <w:rPr>
                <w:color w:val="000000" w:themeColor="text1"/>
              </w:rPr>
            </w:pPr>
          </w:p>
        </w:tc>
        <w:tc>
          <w:tcPr>
            <w:tcW w:w="2033" w:type="dxa"/>
            <w:vMerge/>
          </w:tcPr>
          <w:p w14:paraId="1E0C6466" w14:textId="77777777" w:rsidR="004D1935" w:rsidRPr="0011375B" w:rsidRDefault="004D1935" w:rsidP="00E24DC9">
            <w:pPr>
              <w:rPr>
                <w:color w:val="000000" w:themeColor="text1"/>
              </w:rPr>
            </w:pPr>
          </w:p>
        </w:tc>
        <w:tc>
          <w:tcPr>
            <w:tcW w:w="6663" w:type="dxa"/>
            <w:vMerge/>
          </w:tcPr>
          <w:p w14:paraId="5C744F55" w14:textId="77777777" w:rsidR="004D1935" w:rsidRPr="0011375B" w:rsidRDefault="004D1935" w:rsidP="00E24DC9">
            <w:pPr>
              <w:rPr>
                <w:color w:val="000000" w:themeColor="text1"/>
              </w:rPr>
            </w:pPr>
          </w:p>
        </w:tc>
      </w:tr>
      <w:tr w:rsidR="004D1935" w:rsidRPr="0011375B" w14:paraId="71041018" w14:textId="77777777" w:rsidTr="00E24DC9">
        <w:tc>
          <w:tcPr>
            <w:tcW w:w="683" w:type="dxa"/>
            <w:vMerge/>
          </w:tcPr>
          <w:p w14:paraId="25AD9168" w14:textId="77777777" w:rsidR="004D1935" w:rsidRPr="0011375B" w:rsidRDefault="004D1935" w:rsidP="00E24DC9">
            <w:pPr>
              <w:rPr>
                <w:color w:val="000000" w:themeColor="text1"/>
              </w:rPr>
            </w:pPr>
          </w:p>
        </w:tc>
        <w:tc>
          <w:tcPr>
            <w:tcW w:w="877" w:type="dxa"/>
            <w:tcBorders>
              <w:top w:val="nil"/>
              <w:bottom w:val="nil"/>
            </w:tcBorders>
            <w:vAlign w:val="bottom"/>
          </w:tcPr>
          <w:p w14:paraId="0EB00B17" w14:textId="77777777" w:rsidR="004D1935" w:rsidRPr="0011375B" w:rsidRDefault="004D1935" w:rsidP="00E24DC9">
            <w:pPr>
              <w:rPr>
                <w:color w:val="000000" w:themeColor="text1"/>
              </w:rPr>
            </w:pPr>
          </w:p>
        </w:tc>
        <w:tc>
          <w:tcPr>
            <w:tcW w:w="3404" w:type="dxa"/>
            <w:vMerge/>
          </w:tcPr>
          <w:p w14:paraId="12A62FB3" w14:textId="77777777" w:rsidR="004D1935" w:rsidRPr="0011375B" w:rsidRDefault="004D1935" w:rsidP="00E24DC9">
            <w:pPr>
              <w:rPr>
                <w:color w:val="000000" w:themeColor="text1"/>
              </w:rPr>
            </w:pPr>
          </w:p>
        </w:tc>
        <w:tc>
          <w:tcPr>
            <w:tcW w:w="1225" w:type="dxa"/>
            <w:vMerge/>
          </w:tcPr>
          <w:p w14:paraId="0C809E4D" w14:textId="77777777" w:rsidR="004D1935" w:rsidRPr="0011375B" w:rsidRDefault="004D1935" w:rsidP="00E24DC9">
            <w:pPr>
              <w:rPr>
                <w:color w:val="000000" w:themeColor="text1"/>
              </w:rPr>
            </w:pPr>
          </w:p>
        </w:tc>
        <w:tc>
          <w:tcPr>
            <w:tcW w:w="2033" w:type="dxa"/>
            <w:vMerge/>
          </w:tcPr>
          <w:p w14:paraId="3D45B342" w14:textId="77777777" w:rsidR="004D1935" w:rsidRPr="0011375B" w:rsidRDefault="004D1935" w:rsidP="00E24DC9">
            <w:pPr>
              <w:rPr>
                <w:color w:val="000000" w:themeColor="text1"/>
              </w:rPr>
            </w:pPr>
          </w:p>
        </w:tc>
        <w:tc>
          <w:tcPr>
            <w:tcW w:w="6663" w:type="dxa"/>
            <w:vMerge/>
          </w:tcPr>
          <w:p w14:paraId="35FAC92A" w14:textId="77777777" w:rsidR="004D1935" w:rsidRPr="0011375B" w:rsidRDefault="004D1935" w:rsidP="00E24DC9">
            <w:pPr>
              <w:rPr>
                <w:color w:val="000000" w:themeColor="text1"/>
              </w:rPr>
            </w:pPr>
          </w:p>
        </w:tc>
      </w:tr>
      <w:tr w:rsidR="004D1935" w:rsidRPr="0011375B" w14:paraId="7FEC370B" w14:textId="77777777" w:rsidTr="00E24DC9">
        <w:tc>
          <w:tcPr>
            <w:tcW w:w="683" w:type="dxa"/>
            <w:vMerge/>
          </w:tcPr>
          <w:p w14:paraId="43EA5FA1" w14:textId="77777777" w:rsidR="004D1935" w:rsidRPr="0011375B" w:rsidRDefault="004D1935" w:rsidP="00E24DC9">
            <w:pPr>
              <w:rPr>
                <w:color w:val="000000" w:themeColor="text1"/>
              </w:rPr>
            </w:pPr>
          </w:p>
        </w:tc>
        <w:tc>
          <w:tcPr>
            <w:tcW w:w="877" w:type="dxa"/>
            <w:tcBorders>
              <w:top w:val="nil"/>
              <w:bottom w:val="nil"/>
            </w:tcBorders>
            <w:vAlign w:val="bottom"/>
          </w:tcPr>
          <w:p w14:paraId="11638785" w14:textId="77777777" w:rsidR="004D1935" w:rsidRPr="0011375B" w:rsidRDefault="004D1935" w:rsidP="00E24DC9">
            <w:pPr>
              <w:rPr>
                <w:color w:val="000000" w:themeColor="text1"/>
              </w:rPr>
            </w:pPr>
          </w:p>
        </w:tc>
        <w:tc>
          <w:tcPr>
            <w:tcW w:w="3404" w:type="dxa"/>
            <w:vMerge/>
          </w:tcPr>
          <w:p w14:paraId="3252BF9A" w14:textId="77777777" w:rsidR="004D1935" w:rsidRPr="0011375B" w:rsidRDefault="004D1935" w:rsidP="00E24DC9">
            <w:pPr>
              <w:rPr>
                <w:color w:val="000000" w:themeColor="text1"/>
              </w:rPr>
            </w:pPr>
          </w:p>
        </w:tc>
        <w:tc>
          <w:tcPr>
            <w:tcW w:w="1225" w:type="dxa"/>
            <w:vMerge/>
          </w:tcPr>
          <w:p w14:paraId="2B8D38F5" w14:textId="77777777" w:rsidR="004D1935" w:rsidRPr="0011375B" w:rsidRDefault="004D1935" w:rsidP="00E24DC9">
            <w:pPr>
              <w:rPr>
                <w:color w:val="000000" w:themeColor="text1"/>
              </w:rPr>
            </w:pPr>
          </w:p>
        </w:tc>
        <w:tc>
          <w:tcPr>
            <w:tcW w:w="2033" w:type="dxa"/>
            <w:vMerge/>
          </w:tcPr>
          <w:p w14:paraId="63CEE9D1" w14:textId="77777777" w:rsidR="004D1935" w:rsidRPr="0011375B" w:rsidRDefault="004D1935" w:rsidP="00E24DC9">
            <w:pPr>
              <w:rPr>
                <w:color w:val="000000" w:themeColor="text1"/>
              </w:rPr>
            </w:pPr>
          </w:p>
        </w:tc>
        <w:tc>
          <w:tcPr>
            <w:tcW w:w="6663" w:type="dxa"/>
            <w:vMerge/>
          </w:tcPr>
          <w:p w14:paraId="13ECD676" w14:textId="77777777" w:rsidR="004D1935" w:rsidRPr="0011375B" w:rsidRDefault="004D1935" w:rsidP="00E24DC9">
            <w:pPr>
              <w:rPr>
                <w:color w:val="000000" w:themeColor="text1"/>
              </w:rPr>
            </w:pPr>
          </w:p>
        </w:tc>
      </w:tr>
      <w:tr w:rsidR="004D1935" w:rsidRPr="0011375B" w14:paraId="08845520" w14:textId="77777777" w:rsidTr="00E24DC9">
        <w:tc>
          <w:tcPr>
            <w:tcW w:w="683" w:type="dxa"/>
            <w:vMerge/>
          </w:tcPr>
          <w:p w14:paraId="24089A75" w14:textId="77777777" w:rsidR="004D1935" w:rsidRPr="0011375B" w:rsidRDefault="004D1935" w:rsidP="00E24DC9">
            <w:pPr>
              <w:rPr>
                <w:color w:val="000000" w:themeColor="text1"/>
              </w:rPr>
            </w:pPr>
          </w:p>
        </w:tc>
        <w:tc>
          <w:tcPr>
            <w:tcW w:w="877" w:type="dxa"/>
            <w:tcBorders>
              <w:top w:val="nil"/>
              <w:bottom w:val="nil"/>
            </w:tcBorders>
          </w:tcPr>
          <w:p w14:paraId="791A3EE9" w14:textId="77777777" w:rsidR="004D1935" w:rsidRPr="0011375B" w:rsidRDefault="004D1935" w:rsidP="00E24DC9">
            <w:pPr>
              <w:rPr>
                <w:color w:val="000000" w:themeColor="text1"/>
              </w:rPr>
            </w:pPr>
          </w:p>
        </w:tc>
        <w:tc>
          <w:tcPr>
            <w:tcW w:w="3404" w:type="dxa"/>
            <w:vMerge/>
          </w:tcPr>
          <w:p w14:paraId="7EEC6AA0" w14:textId="77777777" w:rsidR="004D1935" w:rsidRPr="0011375B" w:rsidRDefault="004D1935" w:rsidP="00E24DC9">
            <w:pPr>
              <w:rPr>
                <w:color w:val="000000" w:themeColor="text1"/>
              </w:rPr>
            </w:pPr>
          </w:p>
        </w:tc>
        <w:tc>
          <w:tcPr>
            <w:tcW w:w="1225" w:type="dxa"/>
            <w:vMerge/>
          </w:tcPr>
          <w:p w14:paraId="4EC3713D" w14:textId="77777777" w:rsidR="004D1935" w:rsidRPr="0011375B" w:rsidRDefault="004D1935" w:rsidP="00E24DC9">
            <w:pPr>
              <w:rPr>
                <w:color w:val="000000" w:themeColor="text1"/>
              </w:rPr>
            </w:pPr>
          </w:p>
        </w:tc>
        <w:tc>
          <w:tcPr>
            <w:tcW w:w="2033" w:type="dxa"/>
            <w:vMerge/>
          </w:tcPr>
          <w:p w14:paraId="3ADC0767" w14:textId="77777777" w:rsidR="004D1935" w:rsidRPr="0011375B" w:rsidRDefault="004D1935" w:rsidP="00E24DC9">
            <w:pPr>
              <w:rPr>
                <w:color w:val="000000" w:themeColor="text1"/>
              </w:rPr>
            </w:pPr>
          </w:p>
        </w:tc>
        <w:tc>
          <w:tcPr>
            <w:tcW w:w="6663" w:type="dxa"/>
            <w:vMerge/>
          </w:tcPr>
          <w:p w14:paraId="2614D6E2" w14:textId="77777777" w:rsidR="004D1935" w:rsidRPr="0011375B" w:rsidRDefault="004D1935" w:rsidP="00E24DC9">
            <w:pPr>
              <w:rPr>
                <w:color w:val="000000" w:themeColor="text1"/>
              </w:rPr>
            </w:pPr>
          </w:p>
        </w:tc>
      </w:tr>
      <w:tr w:rsidR="004D1935" w:rsidRPr="0011375B" w14:paraId="11E15CDD" w14:textId="77777777" w:rsidTr="00E24DC9">
        <w:tc>
          <w:tcPr>
            <w:tcW w:w="683" w:type="dxa"/>
            <w:vMerge/>
          </w:tcPr>
          <w:p w14:paraId="57C268DE" w14:textId="77777777" w:rsidR="004D1935" w:rsidRPr="0011375B" w:rsidRDefault="004D1935" w:rsidP="00E24DC9">
            <w:pPr>
              <w:rPr>
                <w:color w:val="000000" w:themeColor="text1"/>
              </w:rPr>
            </w:pPr>
          </w:p>
        </w:tc>
        <w:tc>
          <w:tcPr>
            <w:tcW w:w="877" w:type="dxa"/>
            <w:tcBorders>
              <w:top w:val="nil"/>
            </w:tcBorders>
          </w:tcPr>
          <w:p w14:paraId="583DE7FC" w14:textId="77777777" w:rsidR="004D1935" w:rsidRPr="0011375B" w:rsidRDefault="004D1935" w:rsidP="00E24DC9">
            <w:pPr>
              <w:rPr>
                <w:color w:val="000000" w:themeColor="text1"/>
              </w:rPr>
            </w:pPr>
          </w:p>
        </w:tc>
        <w:tc>
          <w:tcPr>
            <w:tcW w:w="3404" w:type="dxa"/>
            <w:vMerge/>
          </w:tcPr>
          <w:p w14:paraId="59F9987F" w14:textId="77777777" w:rsidR="004D1935" w:rsidRPr="0011375B" w:rsidRDefault="004D1935" w:rsidP="00E24DC9">
            <w:pPr>
              <w:rPr>
                <w:color w:val="000000" w:themeColor="text1"/>
              </w:rPr>
            </w:pPr>
          </w:p>
        </w:tc>
        <w:tc>
          <w:tcPr>
            <w:tcW w:w="1225" w:type="dxa"/>
            <w:vMerge/>
          </w:tcPr>
          <w:p w14:paraId="575C13D5" w14:textId="77777777" w:rsidR="004D1935" w:rsidRPr="0011375B" w:rsidRDefault="004D1935" w:rsidP="00E24DC9">
            <w:pPr>
              <w:rPr>
                <w:color w:val="000000" w:themeColor="text1"/>
              </w:rPr>
            </w:pPr>
          </w:p>
        </w:tc>
        <w:tc>
          <w:tcPr>
            <w:tcW w:w="2033" w:type="dxa"/>
            <w:vMerge/>
          </w:tcPr>
          <w:p w14:paraId="0271A81A" w14:textId="77777777" w:rsidR="004D1935" w:rsidRPr="0011375B" w:rsidRDefault="004D1935" w:rsidP="00E24DC9">
            <w:pPr>
              <w:rPr>
                <w:color w:val="000000" w:themeColor="text1"/>
              </w:rPr>
            </w:pPr>
          </w:p>
        </w:tc>
        <w:tc>
          <w:tcPr>
            <w:tcW w:w="6663" w:type="dxa"/>
            <w:vMerge/>
          </w:tcPr>
          <w:p w14:paraId="5D4A9921" w14:textId="77777777" w:rsidR="004D1935" w:rsidRPr="0011375B" w:rsidRDefault="004D1935" w:rsidP="00E24DC9">
            <w:pPr>
              <w:rPr>
                <w:color w:val="000000" w:themeColor="text1"/>
              </w:rPr>
            </w:pPr>
          </w:p>
        </w:tc>
      </w:tr>
    </w:tbl>
    <w:p w14:paraId="0DB4348C" w14:textId="77777777" w:rsidR="004D1935" w:rsidRDefault="004D1935" w:rsidP="004D1935"/>
    <w:p w14:paraId="5550A36B" w14:textId="77777777" w:rsidR="004D1935" w:rsidRDefault="004D1935" w:rsidP="004D1935"/>
    <w:p w14:paraId="119A216E" w14:textId="77777777" w:rsidR="004D1935" w:rsidRDefault="004D1935" w:rsidP="004D1935"/>
    <w:p w14:paraId="61013F77" w14:textId="77777777" w:rsidR="004D1935" w:rsidRDefault="004D1935" w:rsidP="004D1935"/>
    <w:p w14:paraId="07ECB584" w14:textId="77777777" w:rsidR="004D1935" w:rsidRDefault="004D1935" w:rsidP="004D1935"/>
    <w:p w14:paraId="1EFC310B" w14:textId="77777777" w:rsidR="004D1935" w:rsidRDefault="004D1935" w:rsidP="004D1935"/>
    <w:p w14:paraId="4BF22D4A" w14:textId="77777777" w:rsidR="004D1935" w:rsidRDefault="004D1935" w:rsidP="004D1935">
      <w:pPr>
        <w:autoSpaceDE w:val="0"/>
        <w:autoSpaceDN w:val="0"/>
        <w:adjustRightInd w:val="0"/>
        <w:rPr>
          <w:rFonts w:eastAsiaTheme="minorHAnsi"/>
          <w:sz w:val="16"/>
          <w:szCs w:val="16"/>
        </w:rPr>
      </w:pPr>
      <w:r>
        <w:rPr>
          <w:rFonts w:eastAsiaTheme="minorHAnsi"/>
          <w:sz w:val="16"/>
          <w:szCs w:val="16"/>
        </w:rPr>
        <w:lastRenderedPageBreak/>
        <w:t>Table A 4.20: Discriminant mass bins (381.2) in root organic phase and their associated detected masses looking for compound identification accounts for protonated adduct (H) and K, NA</w:t>
      </w:r>
      <w:r w:rsidRPr="00396597">
        <w:rPr>
          <w:rFonts w:eastAsiaTheme="minorHAnsi"/>
          <w:sz w:val="16"/>
          <w:szCs w:val="16"/>
        </w:rPr>
        <w:t xml:space="preserve"> </w:t>
      </w:r>
      <w:r>
        <w:rPr>
          <w:rFonts w:eastAsiaTheme="minorHAnsi"/>
          <w:sz w:val="16"/>
          <w:szCs w:val="16"/>
        </w:rPr>
        <w:t>in positive mode in the analysis. The putatively identified compounds, their chemical groups, and the associated pathways are displayed.</w:t>
      </w:r>
    </w:p>
    <w:tbl>
      <w:tblPr>
        <w:tblStyle w:val="TableGrid"/>
        <w:tblW w:w="15168" w:type="dxa"/>
        <w:tblInd w:w="-998" w:type="dxa"/>
        <w:tblLook w:val="04A0" w:firstRow="1" w:lastRow="0" w:firstColumn="1" w:lastColumn="0" w:noHBand="0" w:noVBand="1"/>
      </w:tblPr>
      <w:tblGrid>
        <w:gridCol w:w="688"/>
        <w:gridCol w:w="1090"/>
        <w:gridCol w:w="2960"/>
        <w:gridCol w:w="1373"/>
        <w:gridCol w:w="4052"/>
        <w:gridCol w:w="5005"/>
      </w:tblGrid>
      <w:tr w:rsidR="004D1935" w:rsidRPr="005A5E3A" w14:paraId="593020C4" w14:textId="77777777" w:rsidTr="00E24DC9">
        <w:tc>
          <w:tcPr>
            <w:tcW w:w="567" w:type="dxa"/>
            <w:vAlign w:val="center"/>
          </w:tcPr>
          <w:p w14:paraId="24C055DD" w14:textId="77777777" w:rsidR="004D1935" w:rsidRPr="005A5E3A" w:rsidRDefault="004D1935" w:rsidP="00E24DC9">
            <w:pPr>
              <w:jc w:val="center"/>
              <w:rPr>
                <w:color w:val="000000" w:themeColor="text1"/>
                <w:sz w:val="16"/>
                <w:szCs w:val="16"/>
              </w:rPr>
            </w:pPr>
            <w:r w:rsidRPr="005A5E3A">
              <w:rPr>
                <w:color w:val="000000" w:themeColor="text1"/>
                <w:sz w:val="16"/>
                <w:szCs w:val="16"/>
              </w:rPr>
              <w:t>Adduct</w:t>
            </w:r>
          </w:p>
        </w:tc>
        <w:tc>
          <w:tcPr>
            <w:tcW w:w="1093" w:type="dxa"/>
            <w:tcBorders>
              <w:bottom w:val="single" w:sz="4" w:space="0" w:color="auto"/>
            </w:tcBorders>
            <w:vAlign w:val="center"/>
          </w:tcPr>
          <w:p w14:paraId="01AABAEF" w14:textId="77777777" w:rsidR="004D1935" w:rsidRPr="005A5E3A" w:rsidRDefault="004D1935" w:rsidP="00E24DC9">
            <w:pPr>
              <w:jc w:val="center"/>
              <w:rPr>
                <w:color w:val="000000" w:themeColor="text1"/>
                <w:sz w:val="16"/>
                <w:szCs w:val="16"/>
              </w:rPr>
            </w:pPr>
            <w:r w:rsidRPr="005A5E3A">
              <w:rPr>
                <w:color w:val="000000" w:themeColor="text1"/>
                <w:sz w:val="16"/>
                <w:szCs w:val="16"/>
              </w:rPr>
              <w:t>Mass detected</w:t>
            </w:r>
          </w:p>
        </w:tc>
        <w:tc>
          <w:tcPr>
            <w:tcW w:w="2991" w:type="dxa"/>
            <w:vAlign w:val="center"/>
          </w:tcPr>
          <w:p w14:paraId="0DD2066B" w14:textId="77777777" w:rsidR="004D1935" w:rsidRPr="005A5E3A" w:rsidRDefault="004D1935" w:rsidP="00E24DC9">
            <w:pPr>
              <w:jc w:val="center"/>
              <w:rPr>
                <w:color w:val="000000" w:themeColor="text1"/>
                <w:sz w:val="16"/>
                <w:szCs w:val="16"/>
              </w:rPr>
            </w:pPr>
            <w:r w:rsidRPr="005A5E3A">
              <w:rPr>
                <w:rFonts w:asciiTheme="majorBidi" w:hAnsiTheme="majorBidi" w:cstheme="majorBidi"/>
                <w:color w:val="000000" w:themeColor="text1"/>
                <w:sz w:val="16"/>
                <w:szCs w:val="16"/>
              </w:rPr>
              <w:t>COMPOUNDS NAME</w:t>
            </w:r>
          </w:p>
        </w:tc>
        <w:tc>
          <w:tcPr>
            <w:tcW w:w="1373" w:type="dxa"/>
            <w:vAlign w:val="center"/>
          </w:tcPr>
          <w:p w14:paraId="4D4CF510" w14:textId="77777777" w:rsidR="004D1935" w:rsidRPr="005A5E3A" w:rsidRDefault="004D1935" w:rsidP="00E24DC9">
            <w:pPr>
              <w:jc w:val="center"/>
              <w:rPr>
                <w:color w:val="000000" w:themeColor="text1"/>
                <w:sz w:val="16"/>
                <w:szCs w:val="16"/>
              </w:rPr>
            </w:pPr>
            <w:r w:rsidRPr="005A5E3A">
              <w:rPr>
                <w:rFonts w:asciiTheme="majorBidi" w:hAnsiTheme="majorBidi" w:cstheme="majorBidi"/>
                <w:color w:val="000000" w:themeColor="text1"/>
                <w:sz w:val="16"/>
                <w:szCs w:val="16"/>
              </w:rPr>
              <w:t>chemical formula</w:t>
            </w:r>
          </w:p>
        </w:tc>
        <w:tc>
          <w:tcPr>
            <w:tcW w:w="4076" w:type="dxa"/>
            <w:vAlign w:val="center"/>
          </w:tcPr>
          <w:p w14:paraId="1C624E84" w14:textId="77777777" w:rsidR="004D1935" w:rsidRPr="005A5E3A" w:rsidRDefault="004D1935" w:rsidP="00E24DC9">
            <w:pPr>
              <w:jc w:val="center"/>
              <w:rPr>
                <w:color w:val="000000" w:themeColor="text1"/>
                <w:sz w:val="16"/>
                <w:szCs w:val="16"/>
              </w:rPr>
            </w:pPr>
            <w:r w:rsidRPr="005A5E3A">
              <w:rPr>
                <w:rFonts w:asciiTheme="majorBidi" w:hAnsiTheme="majorBidi" w:cstheme="majorBidi"/>
                <w:color w:val="000000" w:themeColor="text1"/>
                <w:sz w:val="16"/>
                <w:szCs w:val="16"/>
              </w:rPr>
              <w:t>chemical group</w:t>
            </w:r>
          </w:p>
        </w:tc>
        <w:tc>
          <w:tcPr>
            <w:tcW w:w="5068" w:type="dxa"/>
            <w:vAlign w:val="center"/>
          </w:tcPr>
          <w:p w14:paraId="026AE06B" w14:textId="77777777" w:rsidR="004D1935" w:rsidRPr="005A5E3A" w:rsidRDefault="004D1935" w:rsidP="00E24DC9">
            <w:pPr>
              <w:jc w:val="center"/>
              <w:rPr>
                <w:color w:val="000000" w:themeColor="text1"/>
                <w:sz w:val="16"/>
                <w:szCs w:val="16"/>
              </w:rPr>
            </w:pPr>
            <w:r w:rsidRPr="005A5E3A">
              <w:rPr>
                <w:rFonts w:asciiTheme="majorBidi" w:hAnsiTheme="majorBidi" w:cstheme="majorBidi"/>
                <w:color w:val="000000" w:themeColor="text1"/>
                <w:sz w:val="16"/>
                <w:szCs w:val="16"/>
              </w:rPr>
              <w:t>pathway</w:t>
            </w:r>
          </w:p>
        </w:tc>
      </w:tr>
      <w:tr w:rsidR="004D1935" w:rsidRPr="005A5E3A" w14:paraId="607BFC23" w14:textId="77777777" w:rsidTr="00E24DC9">
        <w:tc>
          <w:tcPr>
            <w:tcW w:w="567" w:type="dxa"/>
            <w:vMerge w:val="restart"/>
            <w:vAlign w:val="center"/>
          </w:tcPr>
          <w:p w14:paraId="2665EC61" w14:textId="77777777" w:rsidR="004D1935" w:rsidRPr="005A5E3A" w:rsidRDefault="004D1935" w:rsidP="00E24DC9">
            <w:pPr>
              <w:jc w:val="center"/>
              <w:rPr>
                <w:color w:val="000000" w:themeColor="text1"/>
              </w:rPr>
            </w:pPr>
            <w:r w:rsidRPr="005A5E3A">
              <w:rPr>
                <w:color w:val="000000" w:themeColor="text1"/>
              </w:rPr>
              <w:t>H</w:t>
            </w:r>
          </w:p>
        </w:tc>
        <w:tc>
          <w:tcPr>
            <w:tcW w:w="1093" w:type="dxa"/>
            <w:tcBorders>
              <w:bottom w:val="nil"/>
            </w:tcBorders>
            <w:vAlign w:val="center"/>
          </w:tcPr>
          <w:p w14:paraId="2F2A024E"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381.1207</w:t>
            </w:r>
          </w:p>
        </w:tc>
        <w:tc>
          <w:tcPr>
            <w:tcW w:w="2991" w:type="dxa"/>
            <w:vMerge w:val="restart"/>
            <w:vAlign w:val="center"/>
          </w:tcPr>
          <w:p w14:paraId="79A74598" w14:textId="77777777" w:rsidR="004D1935" w:rsidRPr="005A5E3A" w:rsidRDefault="00000000" w:rsidP="00E24DC9">
            <w:pPr>
              <w:jc w:val="center"/>
              <w:rPr>
                <w:color w:val="000000" w:themeColor="text1"/>
              </w:rPr>
            </w:pPr>
            <w:hyperlink r:id="rId150" w:history="1">
              <w:r w:rsidR="004D1935" w:rsidRPr="005A5E3A">
                <w:rPr>
                  <w:rFonts w:ascii="Calibri" w:hAnsi="Calibri" w:cs="Calibri"/>
                  <w:color w:val="000000" w:themeColor="text1"/>
                  <w:sz w:val="18"/>
                  <w:szCs w:val="18"/>
                </w:rPr>
                <w:t>cis-zeatin-O-glucoside</w:t>
              </w:r>
            </w:hyperlink>
          </w:p>
          <w:p w14:paraId="2125E191" w14:textId="77777777" w:rsidR="004D1935" w:rsidRPr="005A5E3A" w:rsidRDefault="00000000" w:rsidP="00E24DC9">
            <w:pPr>
              <w:jc w:val="center"/>
              <w:rPr>
                <w:color w:val="000000" w:themeColor="text1"/>
              </w:rPr>
            </w:pPr>
            <w:hyperlink r:id="rId151" w:history="1">
              <w:r w:rsidR="004D1935" w:rsidRPr="005A5E3A">
                <w:rPr>
                  <w:rFonts w:ascii="Calibri" w:hAnsi="Calibri" w:cs="Calibri"/>
                  <w:color w:val="000000" w:themeColor="text1"/>
                  <w:sz w:val="18"/>
                  <w:szCs w:val="18"/>
                </w:rPr>
                <w:t>trans-zeatin-O-glucoside</w:t>
              </w:r>
            </w:hyperlink>
          </w:p>
          <w:p w14:paraId="454B2934" w14:textId="77777777" w:rsidR="004D1935" w:rsidRPr="005A5E3A" w:rsidRDefault="00000000" w:rsidP="00E24DC9">
            <w:pPr>
              <w:jc w:val="center"/>
              <w:rPr>
                <w:color w:val="000000" w:themeColor="text1"/>
              </w:rPr>
            </w:pPr>
            <w:hyperlink r:id="rId152" w:history="1">
              <w:r w:rsidR="004D1935" w:rsidRPr="005A5E3A">
                <w:rPr>
                  <w:rFonts w:ascii="Calibri" w:hAnsi="Calibri" w:cs="Calibri"/>
                  <w:color w:val="000000" w:themeColor="text1"/>
                  <w:sz w:val="20"/>
                  <w:szCs w:val="20"/>
                </w:rPr>
                <w:t>(R)-S-lactoylglutathione</w:t>
              </w:r>
            </w:hyperlink>
          </w:p>
          <w:p w14:paraId="6F788C33" w14:textId="77777777" w:rsidR="004D1935" w:rsidRPr="005A5E3A" w:rsidRDefault="00000000" w:rsidP="00E24DC9">
            <w:pPr>
              <w:jc w:val="center"/>
              <w:rPr>
                <w:color w:val="000000" w:themeColor="text1"/>
              </w:rPr>
            </w:pPr>
            <w:hyperlink r:id="rId153" w:history="1">
              <w:r w:rsidR="004D1935" w:rsidRPr="005A5E3A">
                <w:rPr>
                  <w:rFonts w:ascii="Calibri" w:hAnsi="Calibri" w:cs="Calibri"/>
                  <w:color w:val="000000" w:themeColor="text1"/>
                  <w:sz w:val="20"/>
                  <w:szCs w:val="20"/>
                </w:rPr>
                <w:t>sphingosine 1-phosphate</w:t>
              </w:r>
            </w:hyperlink>
          </w:p>
          <w:p w14:paraId="7EA77856" w14:textId="77777777" w:rsidR="004D1935" w:rsidRPr="005A5E3A" w:rsidRDefault="00000000" w:rsidP="00E24DC9">
            <w:pPr>
              <w:jc w:val="center"/>
              <w:rPr>
                <w:color w:val="000000" w:themeColor="text1"/>
              </w:rPr>
            </w:pPr>
            <w:hyperlink r:id="rId154" w:history="1">
              <w:r w:rsidR="004D1935" w:rsidRPr="005A5E3A">
                <w:rPr>
                  <w:rFonts w:ascii="Calibri" w:hAnsi="Calibri" w:cs="Calibri"/>
                  <w:color w:val="000000" w:themeColor="text1"/>
                  <w:sz w:val="20"/>
                  <w:szCs w:val="20"/>
                </w:rPr>
                <w:t>aurachin B</w:t>
              </w:r>
            </w:hyperlink>
          </w:p>
        </w:tc>
        <w:tc>
          <w:tcPr>
            <w:tcW w:w="1373" w:type="dxa"/>
            <w:vMerge w:val="restart"/>
            <w:vAlign w:val="center"/>
          </w:tcPr>
          <w:p w14:paraId="79C06629" w14:textId="77777777" w:rsidR="004D1935" w:rsidRPr="005A5E3A" w:rsidRDefault="004D1935" w:rsidP="00E24DC9">
            <w:pPr>
              <w:jc w:val="center"/>
              <w:rPr>
                <w:color w:val="000000" w:themeColor="text1"/>
              </w:rPr>
            </w:pPr>
            <w:r w:rsidRPr="005A5E3A">
              <w:rPr>
                <w:rFonts w:ascii="Arial" w:hAnsi="Arial" w:cs="Arial"/>
                <w:color w:val="000000" w:themeColor="text1"/>
                <w:sz w:val="18"/>
                <w:szCs w:val="18"/>
              </w:rPr>
              <w:t>C</w:t>
            </w:r>
            <w:r w:rsidRPr="005A5E3A">
              <w:rPr>
                <w:rFonts w:ascii="Arial" w:hAnsi="Arial" w:cs="Arial"/>
                <w:color w:val="000000" w:themeColor="text1"/>
                <w:sz w:val="18"/>
                <w:szCs w:val="18"/>
                <w:vertAlign w:val="subscript"/>
              </w:rPr>
              <w:t>16</w:t>
            </w:r>
            <w:r w:rsidRPr="005A5E3A">
              <w:rPr>
                <w:rFonts w:ascii="Arial" w:hAnsi="Arial" w:cs="Arial"/>
                <w:color w:val="000000" w:themeColor="text1"/>
                <w:sz w:val="18"/>
                <w:szCs w:val="18"/>
              </w:rPr>
              <w:t>H</w:t>
            </w:r>
            <w:r w:rsidRPr="005A5E3A">
              <w:rPr>
                <w:rFonts w:ascii="Arial" w:hAnsi="Arial" w:cs="Arial"/>
                <w:color w:val="000000" w:themeColor="text1"/>
                <w:sz w:val="18"/>
                <w:szCs w:val="18"/>
                <w:vertAlign w:val="subscript"/>
              </w:rPr>
              <w:t>23</w:t>
            </w:r>
            <w:r w:rsidRPr="005A5E3A">
              <w:rPr>
                <w:rFonts w:ascii="Arial" w:hAnsi="Arial" w:cs="Arial"/>
                <w:color w:val="000000" w:themeColor="text1"/>
                <w:sz w:val="18"/>
                <w:szCs w:val="18"/>
              </w:rPr>
              <w:t>N</w:t>
            </w:r>
            <w:r w:rsidRPr="005A5E3A">
              <w:rPr>
                <w:rFonts w:ascii="Arial" w:hAnsi="Arial" w:cs="Arial"/>
                <w:color w:val="000000" w:themeColor="text1"/>
                <w:sz w:val="18"/>
                <w:szCs w:val="18"/>
                <w:vertAlign w:val="subscript"/>
              </w:rPr>
              <w:t>5</w:t>
            </w:r>
            <w:r w:rsidRPr="005A5E3A">
              <w:rPr>
                <w:rFonts w:ascii="Arial" w:hAnsi="Arial" w:cs="Arial"/>
                <w:color w:val="000000" w:themeColor="text1"/>
                <w:sz w:val="18"/>
                <w:szCs w:val="18"/>
              </w:rPr>
              <w:t>O</w:t>
            </w:r>
            <w:r w:rsidRPr="005A5E3A">
              <w:rPr>
                <w:rFonts w:ascii="Arial" w:hAnsi="Arial" w:cs="Arial"/>
                <w:color w:val="000000" w:themeColor="text1"/>
                <w:sz w:val="18"/>
                <w:szCs w:val="18"/>
                <w:vertAlign w:val="subscript"/>
              </w:rPr>
              <w:t>6</w:t>
            </w:r>
          </w:p>
          <w:p w14:paraId="651C3AE3" w14:textId="77777777" w:rsidR="004D1935" w:rsidRPr="005A5E3A" w:rsidRDefault="004D1935" w:rsidP="00E24DC9">
            <w:pPr>
              <w:jc w:val="center"/>
              <w:rPr>
                <w:color w:val="000000" w:themeColor="text1"/>
              </w:rPr>
            </w:pPr>
            <w:r w:rsidRPr="005A5E3A">
              <w:rPr>
                <w:rFonts w:ascii="Arial" w:hAnsi="Arial" w:cs="Arial"/>
                <w:color w:val="000000" w:themeColor="text1"/>
                <w:sz w:val="18"/>
                <w:szCs w:val="18"/>
              </w:rPr>
              <w:t>C</w:t>
            </w:r>
            <w:r w:rsidRPr="005A5E3A">
              <w:rPr>
                <w:rFonts w:ascii="Arial" w:hAnsi="Arial" w:cs="Arial"/>
                <w:color w:val="000000" w:themeColor="text1"/>
                <w:sz w:val="18"/>
                <w:szCs w:val="18"/>
                <w:vertAlign w:val="subscript"/>
              </w:rPr>
              <w:t>16</w:t>
            </w:r>
            <w:r w:rsidRPr="005A5E3A">
              <w:rPr>
                <w:rFonts w:ascii="Arial" w:hAnsi="Arial" w:cs="Arial"/>
                <w:color w:val="000000" w:themeColor="text1"/>
                <w:sz w:val="18"/>
                <w:szCs w:val="18"/>
              </w:rPr>
              <w:t>H</w:t>
            </w:r>
            <w:r w:rsidRPr="005A5E3A">
              <w:rPr>
                <w:rFonts w:ascii="Arial" w:hAnsi="Arial" w:cs="Arial"/>
                <w:color w:val="000000" w:themeColor="text1"/>
                <w:sz w:val="18"/>
                <w:szCs w:val="18"/>
                <w:vertAlign w:val="subscript"/>
              </w:rPr>
              <w:t>23</w:t>
            </w:r>
            <w:r w:rsidRPr="005A5E3A">
              <w:rPr>
                <w:rFonts w:ascii="Arial" w:hAnsi="Arial" w:cs="Arial"/>
                <w:color w:val="000000" w:themeColor="text1"/>
                <w:sz w:val="18"/>
                <w:szCs w:val="18"/>
              </w:rPr>
              <w:t>N</w:t>
            </w:r>
            <w:r w:rsidRPr="005A5E3A">
              <w:rPr>
                <w:rFonts w:ascii="Arial" w:hAnsi="Arial" w:cs="Arial"/>
                <w:color w:val="000000" w:themeColor="text1"/>
                <w:sz w:val="18"/>
                <w:szCs w:val="18"/>
                <w:vertAlign w:val="subscript"/>
              </w:rPr>
              <w:t>5</w:t>
            </w:r>
            <w:r w:rsidRPr="005A5E3A">
              <w:rPr>
                <w:rFonts w:ascii="Arial" w:hAnsi="Arial" w:cs="Arial"/>
                <w:color w:val="000000" w:themeColor="text1"/>
                <w:sz w:val="18"/>
                <w:szCs w:val="18"/>
              </w:rPr>
              <w:t>O</w:t>
            </w:r>
            <w:r w:rsidRPr="005A5E3A">
              <w:rPr>
                <w:rFonts w:ascii="Arial" w:hAnsi="Arial" w:cs="Arial"/>
                <w:color w:val="000000" w:themeColor="text1"/>
                <w:sz w:val="18"/>
                <w:szCs w:val="18"/>
                <w:vertAlign w:val="subscript"/>
              </w:rPr>
              <w:t>6</w:t>
            </w:r>
          </w:p>
          <w:p w14:paraId="070C0A62" w14:textId="77777777" w:rsidR="004D1935" w:rsidRPr="005A5E3A" w:rsidRDefault="004D1935" w:rsidP="00E24DC9">
            <w:pPr>
              <w:jc w:val="center"/>
              <w:rPr>
                <w:color w:val="000000" w:themeColor="text1"/>
              </w:rPr>
            </w:pPr>
            <w:r w:rsidRPr="005A5E3A">
              <w:rPr>
                <w:rFonts w:ascii="Arial" w:hAnsi="Arial" w:cs="Arial"/>
                <w:color w:val="000000" w:themeColor="text1"/>
                <w:sz w:val="20"/>
                <w:szCs w:val="20"/>
              </w:rPr>
              <w:t>C</w:t>
            </w:r>
            <w:r w:rsidRPr="005A5E3A">
              <w:rPr>
                <w:rFonts w:ascii="Arial" w:hAnsi="Arial" w:cs="Arial"/>
                <w:color w:val="000000" w:themeColor="text1"/>
                <w:sz w:val="20"/>
                <w:szCs w:val="20"/>
                <w:vertAlign w:val="subscript"/>
              </w:rPr>
              <w:t>13</w:t>
            </w:r>
            <w:r w:rsidRPr="005A5E3A">
              <w:rPr>
                <w:rFonts w:ascii="Arial" w:hAnsi="Arial" w:cs="Arial"/>
                <w:color w:val="000000" w:themeColor="text1"/>
                <w:sz w:val="20"/>
                <w:szCs w:val="20"/>
              </w:rPr>
              <w:t>H</w:t>
            </w:r>
            <w:r w:rsidRPr="005A5E3A">
              <w:rPr>
                <w:rFonts w:ascii="Arial" w:hAnsi="Arial" w:cs="Arial"/>
                <w:color w:val="000000" w:themeColor="text1"/>
                <w:sz w:val="20"/>
                <w:szCs w:val="20"/>
                <w:vertAlign w:val="subscript"/>
              </w:rPr>
              <w:t>20</w:t>
            </w:r>
            <w:r w:rsidRPr="005A5E3A">
              <w:rPr>
                <w:rFonts w:ascii="Arial" w:hAnsi="Arial" w:cs="Arial"/>
                <w:color w:val="000000" w:themeColor="text1"/>
                <w:sz w:val="20"/>
                <w:szCs w:val="20"/>
              </w:rPr>
              <w:t>N</w:t>
            </w:r>
            <w:r w:rsidRPr="005A5E3A">
              <w:rPr>
                <w:rFonts w:ascii="Arial" w:hAnsi="Arial" w:cs="Arial"/>
                <w:color w:val="000000" w:themeColor="text1"/>
                <w:sz w:val="20"/>
                <w:szCs w:val="20"/>
                <w:vertAlign w:val="subscript"/>
              </w:rPr>
              <w:t>3</w:t>
            </w:r>
            <w:r w:rsidRPr="005A5E3A">
              <w:rPr>
                <w:rFonts w:ascii="Arial" w:hAnsi="Arial" w:cs="Arial"/>
                <w:color w:val="000000" w:themeColor="text1"/>
                <w:sz w:val="20"/>
                <w:szCs w:val="20"/>
              </w:rPr>
              <w:t>O</w:t>
            </w:r>
            <w:r w:rsidRPr="005A5E3A">
              <w:rPr>
                <w:rFonts w:ascii="Arial" w:hAnsi="Arial" w:cs="Arial"/>
                <w:color w:val="000000" w:themeColor="text1"/>
                <w:sz w:val="20"/>
                <w:szCs w:val="20"/>
                <w:vertAlign w:val="subscript"/>
              </w:rPr>
              <w:t>8</w:t>
            </w:r>
            <w:r w:rsidRPr="005A5E3A">
              <w:rPr>
                <w:rFonts w:ascii="Arial" w:hAnsi="Arial" w:cs="Arial"/>
                <w:color w:val="000000" w:themeColor="text1"/>
                <w:sz w:val="20"/>
                <w:szCs w:val="20"/>
              </w:rPr>
              <w:t>S</w:t>
            </w:r>
          </w:p>
          <w:p w14:paraId="73F70500" w14:textId="77777777" w:rsidR="004D1935" w:rsidRPr="005A5E3A" w:rsidRDefault="004D1935" w:rsidP="00E24DC9">
            <w:pPr>
              <w:jc w:val="center"/>
              <w:rPr>
                <w:color w:val="000000" w:themeColor="text1"/>
              </w:rPr>
            </w:pPr>
            <w:r w:rsidRPr="005A5E3A">
              <w:rPr>
                <w:rFonts w:ascii="Arial" w:hAnsi="Arial" w:cs="Arial"/>
                <w:color w:val="000000" w:themeColor="text1"/>
                <w:sz w:val="20"/>
                <w:szCs w:val="20"/>
              </w:rPr>
              <w:t>C</w:t>
            </w:r>
            <w:r w:rsidRPr="005A5E3A">
              <w:rPr>
                <w:rFonts w:ascii="Arial" w:hAnsi="Arial" w:cs="Arial"/>
                <w:color w:val="000000" w:themeColor="text1"/>
                <w:sz w:val="20"/>
                <w:szCs w:val="20"/>
                <w:vertAlign w:val="subscript"/>
              </w:rPr>
              <w:t>18</w:t>
            </w:r>
            <w:r w:rsidRPr="005A5E3A">
              <w:rPr>
                <w:rFonts w:ascii="Arial" w:hAnsi="Arial" w:cs="Arial"/>
                <w:color w:val="000000" w:themeColor="text1"/>
                <w:sz w:val="20"/>
                <w:szCs w:val="20"/>
              </w:rPr>
              <w:t>H</w:t>
            </w:r>
            <w:r w:rsidRPr="005A5E3A">
              <w:rPr>
                <w:rFonts w:ascii="Arial" w:hAnsi="Arial" w:cs="Arial"/>
                <w:color w:val="000000" w:themeColor="text1"/>
                <w:sz w:val="20"/>
                <w:szCs w:val="20"/>
                <w:vertAlign w:val="subscript"/>
              </w:rPr>
              <w:t>37</w:t>
            </w:r>
            <w:r w:rsidRPr="005A5E3A">
              <w:rPr>
                <w:rFonts w:ascii="Arial" w:hAnsi="Arial" w:cs="Arial"/>
                <w:color w:val="000000" w:themeColor="text1"/>
                <w:sz w:val="20"/>
                <w:szCs w:val="20"/>
              </w:rPr>
              <w:t>NO</w:t>
            </w:r>
            <w:r w:rsidRPr="005A5E3A">
              <w:rPr>
                <w:rFonts w:ascii="Arial" w:hAnsi="Arial" w:cs="Arial"/>
                <w:color w:val="000000" w:themeColor="text1"/>
                <w:sz w:val="20"/>
                <w:szCs w:val="20"/>
                <w:vertAlign w:val="subscript"/>
              </w:rPr>
              <w:t>5</w:t>
            </w:r>
            <w:r w:rsidRPr="005A5E3A">
              <w:rPr>
                <w:rFonts w:ascii="Arial" w:hAnsi="Arial" w:cs="Arial"/>
                <w:color w:val="000000" w:themeColor="text1"/>
                <w:sz w:val="20"/>
                <w:szCs w:val="20"/>
              </w:rPr>
              <w:t>P</w:t>
            </w:r>
          </w:p>
          <w:p w14:paraId="6687C211" w14:textId="77777777" w:rsidR="004D1935" w:rsidRPr="005A5E3A" w:rsidRDefault="004D1935" w:rsidP="00E24DC9">
            <w:pPr>
              <w:jc w:val="center"/>
              <w:rPr>
                <w:color w:val="000000" w:themeColor="text1"/>
              </w:rPr>
            </w:pPr>
            <w:r w:rsidRPr="005A5E3A">
              <w:rPr>
                <w:rFonts w:ascii="Arial" w:hAnsi="Arial" w:cs="Arial"/>
                <w:color w:val="000000" w:themeColor="text1"/>
                <w:sz w:val="20"/>
                <w:szCs w:val="20"/>
              </w:rPr>
              <w:t>C</w:t>
            </w:r>
            <w:r w:rsidRPr="005A5E3A">
              <w:rPr>
                <w:rFonts w:ascii="Arial" w:hAnsi="Arial" w:cs="Arial"/>
                <w:color w:val="000000" w:themeColor="text1"/>
                <w:sz w:val="20"/>
                <w:szCs w:val="20"/>
                <w:vertAlign w:val="subscript"/>
              </w:rPr>
              <w:t>25</w:t>
            </w:r>
            <w:r w:rsidRPr="005A5E3A">
              <w:rPr>
                <w:rFonts w:ascii="Arial" w:hAnsi="Arial" w:cs="Arial"/>
                <w:color w:val="000000" w:themeColor="text1"/>
                <w:sz w:val="20"/>
                <w:szCs w:val="20"/>
              </w:rPr>
              <w:t>H</w:t>
            </w:r>
            <w:r w:rsidRPr="005A5E3A">
              <w:rPr>
                <w:rFonts w:ascii="Arial" w:hAnsi="Arial" w:cs="Arial"/>
                <w:color w:val="000000" w:themeColor="text1"/>
                <w:sz w:val="20"/>
                <w:szCs w:val="20"/>
                <w:vertAlign w:val="subscript"/>
              </w:rPr>
              <w:t>33</w:t>
            </w:r>
            <w:r w:rsidRPr="005A5E3A">
              <w:rPr>
                <w:rFonts w:ascii="Arial" w:hAnsi="Arial" w:cs="Arial"/>
                <w:color w:val="000000" w:themeColor="text1"/>
                <w:sz w:val="20"/>
                <w:szCs w:val="20"/>
              </w:rPr>
              <w:t>NO</w:t>
            </w:r>
            <w:r w:rsidRPr="005A5E3A">
              <w:rPr>
                <w:rFonts w:ascii="Arial" w:hAnsi="Arial" w:cs="Arial"/>
                <w:color w:val="000000" w:themeColor="text1"/>
                <w:sz w:val="20"/>
                <w:szCs w:val="20"/>
                <w:vertAlign w:val="subscript"/>
              </w:rPr>
              <w:t>2</w:t>
            </w:r>
          </w:p>
        </w:tc>
        <w:tc>
          <w:tcPr>
            <w:tcW w:w="4076" w:type="dxa"/>
            <w:vMerge w:val="restart"/>
            <w:vAlign w:val="center"/>
          </w:tcPr>
          <w:p w14:paraId="012CE3C4" w14:textId="77777777" w:rsidR="004D1935" w:rsidRPr="005A5E3A" w:rsidRDefault="004D1935" w:rsidP="00E24DC9">
            <w:pPr>
              <w:jc w:val="center"/>
              <w:rPr>
                <w:color w:val="000000" w:themeColor="text1"/>
              </w:rPr>
            </w:pPr>
            <w:r w:rsidRPr="005A5E3A">
              <w:rPr>
                <w:rFonts w:ascii="Calibri (Body)" w:hAnsi="Calibri (Body)" w:cs="Calibri"/>
                <w:color w:val="000000" w:themeColor="text1"/>
                <w:sz w:val="18"/>
                <w:szCs w:val="18"/>
              </w:rPr>
              <w:t>glycoside</w:t>
            </w:r>
          </w:p>
          <w:p w14:paraId="322A84A9" w14:textId="77777777" w:rsidR="004D1935" w:rsidRPr="005A5E3A" w:rsidRDefault="004D1935" w:rsidP="00E24DC9">
            <w:pPr>
              <w:jc w:val="center"/>
              <w:rPr>
                <w:color w:val="000000" w:themeColor="text1"/>
              </w:rPr>
            </w:pPr>
            <w:r w:rsidRPr="005A5E3A">
              <w:rPr>
                <w:rFonts w:ascii="Calibri (Body)" w:hAnsi="Calibri (Body)" w:cs="Calibri"/>
                <w:color w:val="000000" w:themeColor="text1"/>
                <w:sz w:val="18"/>
                <w:szCs w:val="18"/>
              </w:rPr>
              <w:t>glycoside</w:t>
            </w:r>
          </w:p>
          <w:p w14:paraId="2430128D" w14:textId="77777777" w:rsidR="004D1935" w:rsidRPr="005A5E3A" w:rsidRDefault="004D1935" w:rsidP="00E24DC9">
            <w:pPr>
              <w:jc w:val="center"/>
              <w:rPr>
                <w:color w:val="000000" w:themeColor="text1"/>
              </w:rPr>
            </w:pPr>
            <w:r w:rsidRPr="005A5E3A">
              <w:rPr>
                <w:rFonts w:ascii="Calibri" w:hAnsi="Calibri" w:cs="Calibri"/>
                <w:color w:val="000000" w:themeColor="text1"/>
                <w:sz w:val="20"/>
                <w:szCs w:val="20"/>
              </w:rPr>
              <w:t>oligopeptides</w:t>
            </w:r>
          </w:p>
          <w:p w14:paraId="63447151" w14:textId="77777777" w:rsidR="004D1935" w:rsidRPr="005A5E3A" w:rsidRDefault="004D1935" w:rsidP="00E24DC9">
            <w:pPr>
              <w:jc w:val="center"/>
              <w:rPr>
                <w:color w:val="000000" w:themeColor="text1"/>
              </w:rPr>
            </w:pPr>
            <w:r w:rsidRPr="005A5E3A">
              <w:rPr>
                <w:rFonts w:ascii="Calibri" w:hAnsi="Calibri" w:cs="Calibri"/>
                <w:color w:val="000000" w:themeColor="text1"/>
                <w:sz w:val="20"/>
                <w:szCs w:val="20"/>
              </w:rPr>
              <w:t>phosphosphingolipids</w:t>
            </w:r>
          </w:p>
          <w:p w14:paraId="53BC1A90" w14:textId="77777777" w:rsidR="004D1935" w:rsidRPr="005A5E3A" w:rsidRDefault="004D1935" w:rsidP="00E24DC9">
            <w:pPr>
              <w:jc w:val="center"/>
              <w:rPr>
                <w:color w:val="000000" w:themeColor="text1"/>
              </w:rPr>
            </w:pPr>
            <w:r w:rsidRPr="005A5E3A">
              <w:rPr>
                <w:rFonts w:ascii="Calibri" w:hAnsi="Calibri" w:cs="Calibri"/>
                <w:color w:val="000000" w:themeColor="text1"/>
                <w:sz w:val="20"/>
                <w:szCs w:val="20"/>
              </w:rPr>
              <w:t>antibiotic alkaloids isoprenoid quinoline</w:t>
            </w:r>
          </w:p>
        </w:tc>
        <w:tc>
          <w:tcPr>
            <w:tcW w:w="5068" w:type="dxa"/>
            <w:vMerge w:val="restart"/>
            <w:vAlign w:val="center"/>
          </w:tcPr>
          <w:p w14:paraId="7253D848" w14:textId="77777777" w:rsidR="004D1935" w:rsidRPr="005A5E3A" w:rsidRDefault="004D1935" w:rsidP="00E24DC9">
            <w:pPr>
              <w:jc w:val="center"/>
              <w:rPr>
                <w:color w:val="000000" w:themeColor="text1"/>
              </w:rPr>
            </w:pPr>
            <w:r w:rsidRPr="005A5E3A">
              <w:rPr>
                <w:rFonts w:ascii="Consolas" w:hAnsi="Consolas" w:cs="Consolas"/>
                <w:color w:val="000000" w:themeColor="text1"/>
                <w:sz w:val="18"/>
                <w:szCs w:val="18"/>
              </w:rPr>
              <w:t>Zeatin biosynthesis</w:t>
            </w:r>
          </w:p>
          <w:p w14:paraId="159D376C" w14:textId="77777777" w:rsidR="004D1935" w:rsidRPr="005A5E3A" w:rsidRDefault="004D1935" w:rsidP="00E24DC9">
            <w:pPr>
              <w:jc w:val="center"/>
              <w:rPr>
                <w:color w:val="000000" w:themeColor="text1"/>
              </w:rPr>
            </w:pPr>
            <w:r w:rsidRPr="005A5E3A">
              <w:rPr>
                <w:rFonts w:ascii="Consolas" w:hAnsi="Consolas" w:cs="Consolas"/>
                <w:color w:val="000000" w:themeColor="text1"/>
                <w:sz w:val="18"/>
                <w:szCs w:val="18"/>
              </w:rPr>
              <w:t>Zeatin biosynthesis</w:t>
            </w:r>
          </w:p>
          <w:p w14:paraId="4B63E80D" w14:textId="77777777" w:rsidR="004D1935" w:rsidRPr="005A5E3A" w:rsidRDefault="004D1935" w:rsidP="00E24DC9">
            <w:pPr>
              <w:jc w:val="center"/>
              <w:rPr>
                <w:color w:val="000000" w:themeColor="text1"/>
              </w:rPr>
            </w:pPr>
            <w:r w:rsidRPr="005A5E3A">
              <w:rPr>
                <w:rFonts w:ascii="Verdana" w:hAnsi="Verdana" w:cs="Calibri"/>
                <w:color w:val="000000" w:themeColor="text1"/>
                <w:sz w:val="20"/>
                <w:szCs w:val="20"/>
              </w:rPr>
              <w:t>Pyruvate metabolism</w:t>
            </w:r>
          </w:p>
          <w:p w14:paraId="52CA0EF1" w14:textId="77777777" w:rsidR="004D1935" w:rsidRPr="005A5E3A" w:rsidRDefault="004D1935" w:rsidP="00E24DC9">
            <w:pPr>
              <w:jc w:val="center"/>
              <w:rPr>
                <w:color w:val="000000" w:themeColor="text1"/>
              </w:rPr>
            </w:pPr>
            <w:r w:rsidRPr="005A5E3A">
              <w:rPr>
                <w:rFonts w:ascii="Consolas" w:hAnsi="Consolas" w:cs="Consolas"/>
                <w:color w:val="000000" w:themeColor="text1"/>
                <w:sz w:val="13"/>
                <w:szCs w:val="13"/>
              </w:rPr>
              <w:t>Sphingolipid metabolism/shikimate pathway/jasmonic acid biosynthesis</w:t>
            </w:r>
          </w:p>
          <w:p w14:paraId="2CAC13AF" w14:textId="77777777" w:rsidR="004D1935" w:rsidRPr="005A5E3A" w:rsidRDefault="004D1935" w:rsidP="00E24DC9">
            <w:pPr>
              <w:jc w:val="center"/>
              <w:rPr>
                <w:color w:val="000000" w:themeColor="text1"/>
              </w:rPr>
            </w:pPr>
            <w:r w:rsidRPr="005A5E3A">
              <w:rPr>
                <w:rFonts w:ascii="Consolas" w:hAnsi="Consolas" w:cs="Consolas"/>
                <w:color w:val="000000" w:themeColor="text1"/>
                <w:sz w:val="20"/>
                <w:szCs w:val="20"/>
              </w:rPr>
              <w:t>Biosynthesis of antibiotics</w:t>
            </w:r>
          </w:p>
        </w:tc>
      </w:tr>
      <w:tr w:rsidR="004D1935" w:rsidRPr="005A5E3A" w14:paraId="77174788" w14:textId="77777777" w:rsidTr="00E24DC9">
        <w:tc>
          <w:tcPr>
            <w:tcW w:w="567" w:type="dxa"/>
            <w:vMerge/>
            <w:vAlign w:val="center"/>
          </w:tcPr>
          <w:p w14:paraId="0F84A335"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6E75EF95"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381.1648</w:t>
            </w:r>
          </w:p>
        </w:tc>
        <w:tc>
          <w:tcPr>
            <w:tcW w:w="2991" w:type="dxa"/>
            <w:vMerge/>
            <w:vAlign w:val="center"/>
          </w:tcPr>
          <w:p w14:paraId="3D752456" w14:textId="77777777" w:rsidR="004D1935" w:rsidRPr="005A5E3A" w:rsidRDefault="004D1935" w:rsidP="00E24DC9">
            <w:pPr>
              <w:jc w:val="center"/>
              <w:rPr>
                <w:color w:val="000000" w:themeColor="text1"/>
              </w:rPr>
            </w:pPr>
          </w:p>
        </w:tc>
        <w:tc>
          <w:tcPr>
            <w:tcW w:w="1373" w:type="dxa"/>
            <w:vMerge/>
            <w:vAlign w:val="center"/>
          </w:tcPr>
          <w:p w14:paraId="51FFBECC" w14:textId="77777777" w:rsidR="004D1935" w:rsidRPr="005A5E3A" w:rsidRDefault="004D1935" w:rsidP="00E24DC9">
            <w:pPr>
              <w:jc w:val="center"/>
              <w:rPr>
                <w:color w:val="000000" w:themeColor="text1"/>
              </w:rPr>
            </w:pPr>
          </w:p>
        </w:tc>
        <w:tc>
          <w:tcPr>
            <w:tcW w:w="4076" w:type="dxa"/>
            <w:vMerge/>
            <w:vAlign w:val="center"/>
          </w:tcPr>
          <w:p w14:paraId="5B4783DB" w14:textId="77777777" w:rsidR="004D1935" w:rsidRPr="005A5E3A" w:rsidRDefault="004D1935" w:rsidP="00E24DC9">
            <w:pPr>
              <w:jc w:val="center"/>
              <w:rPr>
                <w:color w:val="000000" w:themeColor="text1"/>
              </w:rPr>
            </w:pPr>
          </w:p>
        </w:tc>
        <w:tc>
          <w:tcPr>
            <w:tcW w:w="5068" w:type="dxa"/>
            <w:vMerge/>
            <w:vAlign w:val="center"/>
          </w:tcPr>
          <w:p w14:paraId="619A4A0A" w14:textId="77777777" w:rsidR="004D1935" w:rsidRPr="005A5E3A" w:rsidRDefault="004D1935" w:rsidP="00E24DC9">
            <w:pPr>
              <w:jc w:val="center"/>
              <w:rPr>
                <w:color w:val="000000" w:themeColor="text1"/>
              </w:rPr>
            </w:pPr>
          </w:p>
        </w:tc>
      </w:tr>
      <w:tr w:rsidR="004D1935" w:rsidRPr="005A5E3A" w14:paraId="64F468DB" w14:textId="77777777" w:rsidTr="00E24DC9">
        <w:tc>
          <w:tcPr>
            <w:tcW w:w="567" w:type="dxa"/>
            <w:vMerge/>
            <w:vAlign w:val="center"/>
          </w:tcPr>
          <w:p w14:paraId="53202DCE"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148A2C5A"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381.2074</w:t>
            </w:r>
          </w:p>
        </w:tc>
        <w:tc>
          <w:tcPr>
            <w:tcW w:w="2991" w:type="dxa"/>
            <w:vMerge/>
            <w:vAlign w:val="center"/>
          </w:tcPr>
          <w:p w14:paraId="13D43D7C" w14:textId="77777777" w:rsidR="004D1935" w:rsidRPr="005A5E3A" w:rsidRDefault="004D1935" w:rsidP="00E24DC9">
            <w:pPr>
              <w:jc w:val="center"/>
              <w:rPr>
                <w:color w:val="000000" w:themeColor="text1"/>
              </w:rPr>
            </w:pPr>
          </w:p>
        </w:tc>
        <w:tc>
          <w:tcPr>
            <w:tcW w:w="1373" w:type="dxa"/>
            <w:vMerge/>
            <w:vAlign w:val="center"/>
          </w:tcPr>
          <w:p w14:paraId="504767C8" w14:textId="77777777" w:rsidR="004D1935" w:rsidRPr="005A5E3A" w:rsidRDefault="004D1935" w:rsidP="00E24DC9">
            <w:pPr>
              <w:jc w:val="center"/>
              <w:rPr>
                <w:color w:val="000000" w:themeColor="text1"/>
              </w:rPr>
            </w:pPr>
          </w:p>
        </w:tc>
        <w:tc>
          <w:tcPr>
            <w:tcW w:w="4076" w:type="dxa"/>
            <w:vMerge/>
            <w:vAlign w:val="center"/>
          </w:tcPr>
          <w:p w14:paraId="5E65442A" w14:textId="77777777" w:rsidR="004D1935" w:rsidRPr="005A5E3A" w:rsidRDefault="004D1935" w:rsidP="00E24DC9">
            <w:pPr>
              <w:jc w:val="center"/>
              <w:rPr>
                <w:color w:val="000000" w:themeColor="text1"/>
              </w:rPr>
            </w:pPr>
          </w:p>
        </w:tc>
        <w:tc>
          <w:tcPr>
            <w:tcW w:w="5068" w:type="dxa"/>
            <w:vMerge/>
            <w:vAlign w:val="center"/>
          </w:tcPr>
          <w:p w14:paraId="6DF4D74C" w14:textId="77777777" w:rsidR="004D1935" w:rsidRPr="005A5E3A" w:rsidRDefault="004D1935" w:rsidP="00E24DC9">
            <w:pPr>
              <w:jc w:val="center"/>
              <w:rPr>
                <w:color w:val="000000" w:themeColor="text1"/>
              </w:rPr>
            </w:pPr>
          </w:p>
        </w:tc>
      </w:tr>
      <w:tr w:rsidR="004D1935" w:rsidRPr="005A5E3A" w14:paraId="5A595A4F" w14:textId="77777777" w:rsidTr="00E24DC9">
        <w:tc>
          <w:tcPr>
            <w:tcW w:w="567" w:type="dxa"/>
            <w:vMerge/>
            <w:vAlign w:val="center"/>
          </w:tcPr>
          <w:p w14:paraId="0F678948"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120A3BF7"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381.2500</w:t>
            </w:r>
          </w:p>
        </w:tc>
        <w:tc>
          <w:tcPr>
            <w:tcW w:w="2991" w:type="dxa"/>
            <w:vMerge/>
            <w:vAlign w:val="center"/>
          </w:tcPr>
          <w:p w14:paraId="2DAB3E09" w14:textId="77777777" w:rsidR="004D1935" w:rsidRPr="005A5E3A" w:rsidRDefault="004D1935" w:rsidP="00E24DC9">
            <w:pPr>
              <w:jc w:val="center"/>
              <w:rPr>
                <w:color w:val="000000" w:themeColor="text1"/>
              </w:rPr>
            </w:pPr>
          </w:p>
        </w:tc>
        <w:tc>
          <w:tcPr>
            <w:tcW w:w="1373" w:type="dxa"/>
            <w:vMerge/>
            <w:vAlign w:val="center"/>
          </w:tcPr>
          <w:p w14:paraId="1D77A7CD" w14:textId="77777777" w:rsidR="004D1935" w:rsidRPr="005A5E3A" w:rsidRDefault="004D1935" w:rsidP="00E24DC9">
            <w:pPr>
              <w:jc w:val="center"/>
              <w:rPr>
                <w:color w:val="000000" w:themeColor="text1"/>
              </w:rPr>
            </w:pPr>
          </w:p>
        </w:tc>
        <w:tc>
          <w:tcPr>
            <w:tcW w:w="4076" w:type="dxa"/>
            <w:vMerge/>
            <w:vAlign w:val="center"/>
          </w:tcPr>
          <w:p w14:paraId="126D36B9" w14:textId="77777777" w:rsidR="004D1935" w:rsidRPr="005A5E3A" w:rsidRDefault="004D1935" w:rsidP="00E24DC9">
            <w:pPr>
              <w:jc w:val="center"/>
              <w:rPr>
                <w:color w:val="000000" w:themeColor="text1"/>
              </w:rPr>
            </w:pPr>
          </w:p>
        </w:tc>
        <w:tc>
          <w:tcPr>
            <w:tcW w:w="5068" w:type="dxa"/>
            <w:vMerge/>
            <w:vAlign w:val="center"/>
          </w:tcPr>
          <w:p w14:paraId="02D9031E" w14:textId="77777777" w:rsidR="004D1935" w:rsidRPr="005A5E3A" w:rsidRDefault="004D1935" w:rsidP="00E24DC9">
            <w:pPr>
              <w:jc w:val="center"/>
              <w:rPr>
                <w:color w:val="000000" w:themeColor="text1"/>
              </w:rPr>
            </w:pPr>
          </w:p>
        </w:tc>
      </w:tr>
      <w:tr w:rsidR="004D1935" w:rsidRPr="005A5E3A" w14:paraId="7760B72D" w14:textId="77777777" w:rsidTr="00E24DC9">
        <w:tc>
          <w:tcPr>
            <w:tcW w:w="567" w:type="dxa"/>
            <w:vMerge/>
            <w:vAlign w:val="center"/>
          </w:tcPr>
          <w:p w14:paraId="30EA5C53"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29E49B8B"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381.2927</w:t>
            </w:r>
          </w:p>
        </w:tc>
        <w:tc>
          <w:tcPr>
            <w:tcW w:w="2991" w:type="dxa"/>
            <w:vMerge/>
            <w:vAlign w:val="center"/>
          </w:tcPr>
          <w:p w14:paraId="422FF099" w14:textId="77777777" w:rsidR="004D1935" w:rsidRPr="005A5E3A" w:rsidRDefault="004D1935" w:rsidP="00E24DC9">
            <w:pPr>
              <w:jc w:val="center"/>
              <w:rPr>
                <w:color w:val="000000" w:themeColor="text1"/>
              </w:rPr>
            </w:pPr>
          </w:p>
        </w:tc>
        <w:tc>
          <w:tcPr>
            <w:tcW w:w="1373" w:type="dxa"/>
            <w:vMerge/>
            <w:vAlign w:val="center"/>
          </w:tcPr>
          <w:p w14:paraId="442DF3E6" w14:textId="77777777" w:rsidR="004D1935" w:rsidRPr="005A5E3A" w:rsidRDefault="004D1935" w:rsidP="00E24DC9">
            <w:pPr>
              <w:jc w:val="center"/>
              <w:rPr>
                <w:color w:val="000000" w:themeColor="text1"/>
              </w:rPr>
            </w:pPr>
          </w:p>
        </w:tc>
        <w:tc>
          <w:tcPr>
            <w:tcW w:w="4076" w:type="dxa"/>
            <w:vMerge/>
            <w:vAlign w:val="center"/>
          </w:tcPr>
          <w:p w14:paraId="31F2A1FC" w14:textId="77777777" w:rsidR="004D1935" w:rsidRPr="005A5E3A" w:rsidRDefault="004D1935" w:rsidP="00E24DC9">
            <w:pPr>
              <w:jc w:val="center"/>
              <w:rPr>
                <w:color w:val="000000" w:themeColor="text1"/>
              </w:rPr>
            </w:pPr>
          </w:p>
        </w:tc>
        <w:tc>
          <w:tcPr>
            <w:tcW w:w="5068" w:type="dxa"/>
            <w:vMerge/>
            <w:vAlign w:val="center"/>
          </w:tcPr>
          <w:p w14:paraId="443D1BCF" w14:textId="77777777" w:rsidR="004D1935" w:rsidRPr="005A5E3A" w:rsidRDefault="004D1935" w:rsidP="00E24DC9">
            <w:pPr>
              <w:jc w:val="center"/>
              <w:rPr>
                <w:color w:val="000000" w:themeColor="text1"/>
              </w:rPr>
            </w:pPr>
          </w:p>
        </w:tc>
      </w:tr>
      <w:tr w:rsidR="004D1935" w:rsidRPr="005A5E3A" w14:paraId="5F0BF2D8" w14:textId="77777777" w:rsidTr="00E24DC9">
        <w:tc>
          <w:tcPr>
            <w:tcW w:w="567" w:type="dxa"/>
            <w:vMerge/>
            <w:vAlign w:val="center"/>
          </w:tcPr>
          <w:p w14:paraId="54603787"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0A3F0B64"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381.1335</w:t>
            </w:r>
          </w:p>
        </w:tc>
        <w:tc>
          <w:tcPr>
            <w:tcW w:w="2991" w:type="dxa"/>
            <w:vMerge/>
            <w:vAlign w:val="center"/>
          </w:tcPr>
          <w:p w14:paraId="2FA4AA89" w14:textId="77777777" w:rsidR="004D1935" w:rsidRPr="005A5E3A" w:rsidRDefault="004D1935" w:rsidP="00E24DC9">
            <w:pPr>
              <w:jc w:val="center"/>
              <w:rPr>
                <w:color w:val="000000" w:themeColor="text1"/>
              </w:rPr>
            </w:pPr>
          </w:p>
        </w:tc>
        <w:tc>
          <w:tcPr>
            <w:tcW w:w="1373" w:type="dxa"/>
            <w:vMerge/>
            <w:vAlign w:val="center"/>
          </w:tcPr>
          <w:p w14:paraId="5B2F0DE1" w14:textId="77777777" w:rsidR="004D1935" w:rsidRPr="005A5E3A" w:rsidRDefault="004D1935" w:rsidP="00E24DC9">
            <w:pPr>
              <w:jc w:val="center"/>
              <w:rPr>
                <w:color w:val="000000" w:themeColor="text1"/>
              </w:rPr>
            </w:pPr>
          </w:p>
        </w:tc>
        <w:tc>
          <w:tcPr>
            <w:tcW w:w="4076" w:type="dxa"/>
            <w:vMerge/>
            <w:vAlign w:val="center"/>
          </w:tcPr>
          <w:p w14:paraId="37344ED9" w14:textId="77777777" w:rsidR="004D1935" w:rsidRPr="005A5E3A" w:rsidRDefault="004D1935" w:rsidP="00E24DC9">
            <w:pPr>
              <w:jc w:val="center"/>
              <w:rPr>
                <w:color w:val="000000" w:themeColor="text1"/>
              </w:rPr>
            </w:pPr>
          </w:p>
        </w:tc>
        <w:tc>
          <w:tcPr>
            <w:tcW w:w="5068" w:type="dxa"/>
            <w:vMerge/>
            <w:vAlign w:val="center"/>
          </w:tcPr>
          <w:p w14:paraId="6CC1BA10" w14:textId="77777777" w:rsidR="004D1935" w:rsidRPr="005A5E3A" w:rsidRDefault="004D1935" w:rsidP="00E24DC9">
            <w:pPr>
              <w:jc w:val="center"/>
              <w:rPr>
                <w:color w:val="000000" w:themeColor="text1"/>
              </w:rPr>
            </w:pPr>
          </w:p>
        </w:tc>
      </w:tr>
      <w:tr w:rsidR="004D1935" w:rsidRPr="005A5E3A" w14:paraId="3864A659" w14:textId="77777777" w:rsidTr="00E24DC9">
        <w:tc>
          <w:tcPr>
            <w:tcW w:w="567" w:type="dxa"/>
            <w:vMerge/>
            <w:vAlign w:val="center"/>
          </w:tcPr>
          <w:p w14:paraId="68702C32"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325C714D"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381.1762</w:t>
            </w:r>
          </w:p>
        </w:tc>
        <w:tc>
          <w:tcPr>
            <w:tcW w:w="2991" w:type="dxa"/>
            <w:vMerge/>
            <w:vAlign w:val="center"/>
          </w:tcPr>
          <w:p w14:paraId="1F736979" w14:textId="77777777" w:rsidR="004D1935" w:rsidRPr="005A5E3A" w:rsidRDefault="004D1935" w:rsidP="00E24DC9">
            <w:pPr>
              <w:jc w:val="center"/>
              <w:rPr>
                <w:color w:val="000000" w:themeColor="text1"/>
              </w:rPr>
            </w:pPr>
          </w:p>
        </w:tc>
        <w:tc>
          <w:tcPr>
            <w:tcW w:w="1373" w:type="dxa"/>
            <w:vMerge/>
            <w:vAlign w:val="center"/>
          </w:tcPr>
          <w:p w14:paraId="29A1F9E9" w14:textId="77777777" w:rsidR="004D1935" w:rsidRPr="005A5E3A" w:rsidRDefault="004D1935" w:rsidP="00E24DC9">
            <w:pPr>
              <w:jc w:val="center"/>
              <w:rPr>
                <w:color w:val="000000" w:themeColor="text1"/>
              </w:rPr>
            </w:pPr>
          </w:p>
        </w:tc>
        <w:tc>
          <w:tcPr>
            <w:tcW w:w="4076" w:type="dxa"/>
            <w:vMerge/>
            <w:vAlign w:val="center"/>
          </w:tcPr>
          <w:p w14:paraId="45FD26E7" w14:textId="77777777" w:rsidR="004D1935" w:rsidRPr="005A5E3A" w:rsidRDefault="004D1935" w:rsidP="00E24DC9">
            <w:pPr>
              <w:jc w:val="center"/>
              <w:rPr>
                <w:color w:val="000000" w:themeColor="text1"/>
              </w:rPr>
            </w:pPr>
          </w:p>
        </w:tc>
        <w:tc>
          <w:tcPr>
            <w:tcW w:w="5068" w:type="dxa"/>
            <w:vMerge/>
            <w:vAlign w:val="center"/>
          </w:tcPr>
          <w:p w14:paraId="1BCA3BCB" w14:textId="77777777" w:rsidR="004D1935" w:rsidRPr="005A5E3A" w:rsidRDefault="004D1935" w:rsidP="00E24DC9">
            <w:pPr>
              <w:jc w:val="center"/>
              <w:rPr>
                <w:color w:val="000000" w:themeColor="text1"/>
              </w:rPr>
            </w:pPr>
          </w:p>
        </w:tc>
      </w:tr>
      <w:tr w:rsidR="004D1935" w:rsidRPr="005A5E3A" w14:paraId="294AF053" w14:textId="77777777" w:rsidTr="00E24DC9">
        <w:tc>
          <w:tcPr>
            <w:tcW w:w="567" w:type="dxa"/>
            <w:vMerge/>
            <w:vAlign w:val="center"/>
          </w:tcPr>
          <w:p w14:paraId="084E88BD"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47E07D6C"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381.2188</w:t>
            </w:r>
          </w:p>
        </w:tc>
        <w:tc>
          <w:tcPr>
            <w:tcW w:w="2991" w:type="dxa"/>
            <w:vMerge/>
            <w:vAlign w:val="center"/>
          </w:tcPr>
          <w:p w14:paraId="0A386C02" w14:textId="77777777" w:rsidR="004D1935" w:rsidRPr="005A5E3A" w:rsidRDefault="004D1935" w:rsidP="00E24DC9">
            <w:pPr>
              <w:jc w:val="center"/>
              <w:rPr>
                <w:color w:val="000000" w:themeColor="text1"/>
              </w:rPr>
            </w:pPr>
          </w:p>
        </w:tc>
        <w:tc>
          <w:tcPr>
            <w:tcW w:w="1373" w:type="dxa"/>
            <w:vMerge/>
            <w:vAlign w:val="center"/>
          </w:tcPr>
          <w:p w14:paraId="31943F0D" w14:textId="77777777" w:rsidR="004D1935" w:rsidRPr="005A5E3A" w:rsidRDefault="004D1935" w:rsidP="00E24DC9">
            <w:pPr>
              <w:jc w:val="center"/>
              <w:rPr>
                <w:color w:val="000000" w:themeColor="text1"/>
              </w:rPr>
            </w:pPr>
          </w:p>
        </w:tc>
        <w:tc>
          <w:tcPr>
            <w:tcW w:w="4076" w:type="dxa"/>
            <w:vMerge/>
            <w:vAlign w:val="center"/>
          </w:tcPr>
          <w:p w14:paraId="1F43A3A7" w14:textId="77777777" w:rsidR="004D1935" w:rsidRPr="005A5E3A" w:rsidRDefault="004D1935" w:rsidP="00E24DC9">
            <w:pPr>
              <w:jc w:val="center"/>
              <w:rPr>
                <w:color w:val="000000" w:themeColor="text1"/>
              </w:rPr>
            </w:pPr>
          </w:p>
        </w:tc>
        <w:tc>
          <w:tcPr>
            <w:tcW w:w="5068" w:type="dxa"/>
            <w:vMerge/>
            <w:vAlign w:val="center"/>
          </w:tcPr>
          <w:p w14:paraId="00E9ED8D" w14:textId="77777777" w:rsidR="004D1935" w:rsidRPr="005A5E3A" w:rsidRDefault="004D1935" w:rsidP="00E24DC9">
            <w:pPr>
              <w:jc w:val="center"/>
              <w:rPr>
                <w:color w:val="000000" w:themeColor="text1"/>
              </w:rPr>
            </w:pPr>
          </w:p>
        </w:tc>
      </w:tr>
      <w:tr w:rsidR="004D1935" w:rsidRPr="005A5E3A" w14:paraId="7EF44B25" w14:textId="77777777" w:rsidTr="00E24DC9">
        <w:tc>
          <w:tcPr>
            <w:tcW w:w="567" w:type="dxa"/>
            <w:vMerge/>
            <w:vAlign w:val="center"/>
          </w:tcPr>
          <w:p w14:paraId="3AF2592D"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7E53DB17"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381.2614</w:t>
            </w:r>
          </w:p>
        </w:tc>
        <w:tc>
          <w:tcPr>
            <w:tcW w:w="2991" w:type="dxa"/>
            <w:vMerge/>
            <w:vAlign w:val="center"/>
          </w:tcPr>
          <w:p w14:paraId="7208EB4D" w14:textId="77777777" w:rsidR="004D1935" w:rsidRPr="005A5E3A" w:rsidRDefault="004D1935" w:rsidP="00E24DC9">
            <w:pPr>
              <w:jc w:val="center"/>
              <w:rPr>
                <w:color w:val="000000" w:themeColor="text1"/>
              </w:rPr>
            </w:pPr>
          </w:p>
        </w:tc>
        <w:tc>
          <w:tcPr>
            <w:tcW w:w="1373" w:type="dxa"/>
            <w:vMerge/>
            <w:vAlign w:val="center"/>
          </w:tcPr>
          <w:p w14:paraId="5B37E32E" w14:textId="77777777" w:rsidR="004D1935" w:rsidRPr="005A5E3A" w:rsidRDefault="004D1935" w:rsidP="00E24DC9">
            <w:pPr>
              <w:jc w:val="center"/>
              <w:rPr>
                <w:color w:val="000000" w:themeColor="text1"/>
              </w:rPr>
            </w:pPr>
          </w:p>
        </w:tc>
        <w:tc>
          <w:tcPr>
            <w:tcW w:w="4076" w:type="dxa"/>
            <w:vMerge/>
            <w:vAlign w:val="center"/>
          </w:tcPr>
          <w:p w14:paraId="0A133F72" w14:textId="77777777" w:rsidR="004D1935" w:rsidRPr="005A5E3A" w:rsidRDefault="004D1935" w:rsidP="00E24DC9">
            <w:pPr>
              <w:jc w:val="center"/>
              <w:rPr>
                <w:color w:val="000000" w:themeColor="text1"/>
              </w:rPr>
            </w:pPr>
          </w:p>
        </w:tc>
        <w:tc>
          <w:tcPr>
            <w:tcW w:w="5068" w:type="dxa"/>
            <w:vMerge/>
            <w:vAlign w:val="center"/>
          </w:tcPr>
          <w:p w14:paraId="1F75A2D3" w14:textId="77777777" w:rsidR="004D1935" w:rsidRPr="005A5E3A" w:rsidRDefault="004D1935" w:rsidP="00E24DC9">
            <w:pPr>
              <w:jc w:val="center"/>
              <w:rPr>
                <w:color w:val="000000" w:themeColor="text1"/>
              </w:rPr>
            </w:pPr>
          </w:p>
        </w:tc>
      </w:tr>
      <w:tr w:rsidR="004D1935" w:rsidRPr="005A5E3A" w14:paraId="611078A5" w14:textId="77777777" w:rsidTr="00E24DC9">
        <w:tc>
          <w:tcPr>
            <w:tcW w:w="567" w:type="dxa"/>
            <w:vMerge/>
            <w:vAlign w:val="center"/>
          </w:tcPr>
          <w:p w14:paraId="7CF3CA1E"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2F9DCE85"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381.1250</w:t>
            </w:r>
          </w:p>
        </w:tc>
        <w:tc>
          <w:tcPr>
            <w:tcW w:w="2991" w:type="dxa"/>
            <w:vMerge/>
            <w:vAlign w:val="center"/>
          </w:tcPr>
          <w:p w14:paraId="54089444" w14:textId="77777777" w:rsidR="004D1935" w:rsidRPr="005A5E3A" w:rsidRDefault="004D1935" w:rsidP="00E24DC9">
            <w:pPr>
              <w:jc w:val="center"/>
              <w:rPr>
                <w:color w:val="000000" w:themeColor="text1"/>
              </w:rPr>
            </w:pPr>
          </w:p>
        </w:tc>
        <w:tc>
          <w:tcPr>
            <w:tcW w:w="1373" w:type="dxa"/>
            <w:vMerge/>
            <w:vAlign w:val="center"/>
          </w:tcPr>
          <w:p w14:paraId="682CC746" w14:textId="77777777" w:rsidR="004D1935" w:rsidRPr="005A5E3A" w:rsidRDefault="004D1935" w:rsidP="00E24DC9">
            <w:pPr>
              <w:jc w:val="center"/>
              <w:rPr>
                <w:color w:val="000000" w:themeColor="text1"/>
              </w:rPr>
            </w:pPr>
          </w:p>
        </w:tc>
        <w:tc>
          <w:tcPr>
            <w:tcW w:w="4076" w:type="dxa"/>
            <w:vMerge/>
            <w:vAlign w:val="center"/>
          </w:tcPr>
          <w:p w14:paraId="18E5A8B7" w14:textId="77777777" w:rsidR="004D1935" w:rsidRPr="005A5E3A" w:rsidRDefault="004D1935" w:rsidP="00E24DC9">
            <w:pPr>
              <w:jc w:val="center"/>
              <w:rPr>
                <w:color w:val="000000" w:themeColor="text1"/>
              </w:rPr>
            </w:pPr>
          </w:p>
        </w:tc>
        <w:tc>
          <w:tcPr>
            <w:tcW w:w="5068" w:type="dxa"/>
            <w:vMerge/>
            <w:vAlign w:val="center"/>
          </w:tcPr>
          <w:p w14:paraId="3D86379E" w14:textId="77777777" w:rsidR="004D1935" w:rsidRPr="005A5E3A" w:rsidRDefault="004D1935" w:rsidP="00E24DC9">
            <w:pPr>
              <w:jc w:val="center"/>
              <w:rPr>
                <w:color w:val="000000" w:themeColor="text1"/>
              </w:rPr>
            </w:pPr>
          </w:p>
        </w:tc>
      </w:tr>
      <w:tr w:rsidR="004D1935" w:rsidRPr="005A5E3A" w14:paraId="44253941" w14:textId="77777777" w:rsidTr="00E24DC9">
        <w:tc>
          <w:tcPr>
            <w:tcW w:w="567" w:type="dxa"/>
            <w:vMerge/>
            <w:vAlign w:val="center"/>
          </w:tcPr>
          <w:p w14:paraId="4FF14063"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753FE5C3"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381.1676</w:t>
            </w:r>
          </w:p>
        </w:tc>
        <w:tc>
          <w:tcPr>
            <w:tcW w:w="2991" w:type="dxa"/>
            <w:vMerge/>
            <w:vAlign w:val="center"/>
          </w:tcPr>
          <w:p w14:paraId="2F5E54D7" w14:textId="77777777" w:rsidR="004D1935" w:rsidRPr="005A5E3A" w:rsidRDefault="004D1935" w:rsidP="00E24DC9">
            <w:pPr>
              <w:jc w:val="center"/>
              <w:rPr>
                <w:color w:val="000000" w:themeColor="text1"/>
              </w:rPr>
            </w:pPr>
          </w:p>
        </w:tc>
        <w:tc>
          <w:tcPr>
            <w:tcW w:w="1373" w:type="dxa"/>
            <w:vMerge/>
            <w:vAlign w:val="center"/>
          </w:tcPr>
          <w:p w14:paraId="50E97E44" w14:textId="77777777" w:rsidR="004D1935" w:rsidRPr="005A5E3A" w:rsidRDefault="004D1935" w:rsidP="00E24DC9">
            <w:pPr>
              <w:jc w:val="center"/>
              <w:rPr>
                <w:color w:val="000000" w:themeColor="text1"/>
              </w:rPr>
            </w:pPr>
          </w:p>
        </w:tc>
        <w:tc>
          <w:tcPr>
            <w:tcW w:w="4076" w:type="dxa"/>
            <w:vMerge/>
            <w:vAlign w:val="center"/>
          </w:tcPr>
          <w:p w14:paraId="289DDF74" w14:textId="77777777" w:rsidR="004D1935" w:rsidRPr="005A5E3A" w:rsidRDefault="004D1935" w:rsidP="00E24DC9">
            <w:pPr>
              <w:jc w:val="center"/>
              <w:rPr>
                <w:color w:val="000000" w:themeColor="text1"/>
              </w:rPr>
            </w:pPr>
          </w:p>
        </w:tc>
        <w:tc>
          <w:tcPr>
            <w:tcW w:w="5068" w:type="dxa"/>
            <w:vMerge/>
            <w:vAlign w:val="center"/>
          </w:tcPr>
          <w:p w14:paraId="4B923C6F" w14:textId="77777777" w:rsidR="004D1935" w:rsidRPr="005A5E3A" w:rsidRDefault="004D1935" w:rsidP="00E24DC9">
            <w:pPr>
              <w:jc w:val="center"/>
              <w:rPr>
                <w:color w:val="000000" w:themeColor="text1"/>
              </w:rPr>
            </w:pPr>
          </w:p>
        </w:tc>
      </w:tr>
      <w:tr w:rsidR="004D1935" w:rsidRPr="005A5E3A" w14:paraId="6814A327" w14:textId="77777777" w:rsidTr="00E24DC9">
        <w:tc>
          <w:tcPr>
            <w:tcW w:w="567" w:type="dxa"/>
            <w:vMerge/>
            <w:vAlign w:val="center"/>
          </w:tcPr>
          <w:p w14:paraId="63123EAA"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4DFAE79C"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381.2102</w:t>
            </w:r>
          </w:p>
        </w:tc>
        <w:tc>
          <w:tcPr>
            <w:tcW w:w="2991" w:type="dxa"/>
            <w:vMerge/>
            <w:vAlign w:val="center"/>
          </w:tcPr>
          <w:p w14:paraId="2D941C12" w14:textId="77777777" w:rsidR="004D1935" w:rsidRPr="005A5E3A" w:rsidRDefault="004D1935" w:rsidP="00E24DC9">
            <w:pPr>
              <w:jc w:val="center"/>
              <w:rPr>
                <w:color w:val="000000" w:themeColor="text1"/>
              </w:rPr>
            </w:pPr>
          </w:p>
        </w:tc>
        <w:tc>
          <w:tcPr>
            <w:tcW w:w="1373" w:type="dxa"/>
            <w:vMerge/>
            <w:vAlign w:val="center"/>
          </w:tcPr>
          <w:p w14:paraId="2605B48F" w14:textId="77777777" w:rsidR="004D1935" w:rsidRPr="005A5E3A" w:rsidRDefault="004D1935" w:rsidP="00E24DC9">
            <w:pPr>
              <w:jc w:val="center"/>
              <w:rPr>
                <w:color w:val="000000" w:themeColor="text1"/>
              </w:rPr>
            </w:pPr>
          </w:p>
        </w:tc>
        <w:tc>
          <w:tcPr>
            <w:tcW w:w="4076" w:type="dxa"/>
            <w:vMerge/>
            <w:vAlign w:val="center"/>
          </w:tcPr>
          <w:p w14:paraId="43EC9981" w14:textId="77777777" w:rsidR="004D1935" w:rsidRPr="005A5E3A" w:rsidRDefault="004D1935" w:rsidP="00E24DC9">
            <w:pPr>
              <w:jc w:val="center"/>
              <w:rPr>
                <w:color w:val="000000" w:themeColor="text1"/>
              </w:rPr>
            </w:pPr>
          </w:p>
        </w:tc>
        <w:tc>
          <w:tcPr>
            <w:tcW w:w="5068" w:type="dxa"/>
            <w:vMerge/>
            <w:vAlign w:val="center"/>
          </w:tcPr>
          <w:p w14:paraId="66C9D59C" w14:textId="77777777" w:rsidR="004D1935" w:rsidRPr="005A5E3A" w:rsidRDefault="004D1935" w:rsidP="00E24DC9">
            <w:pPr>
              <w:jc w:val="center"/>
              <w:rPr>
                <w:color w:val="000000" w:themeColor="text1"/>
              </w:rPr>
            </w:pPr>
          </w:p>
        </w:tc>
      </w:tr>
      <w:tr w:rsidR="004D1935" w:rsidRPr="005A5E3A" w14:paraId="6AFE30AE" w14:textId="77777777" w:rsidTr="00E24DC9">
        <w:tc>
          <w:tcPr>
            <w:tcW w:w="567" w:type="dxa"/>
            <w:vMerge/>
            <w:vAlign w:val="center"/>
          </w:tcPr>
          <w:p w14:paraId="7AC3F511"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4A9D8E94"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381.2529</w:t>
            </w:r>
          </w:p>
        </w:tc>
        <w:tc>
          <w:tcPr>
            <w:tcW w:w="2991" w:type="dxa"/>
            <w:vMerge/>
            <w:vAlign w:val="center"/>
          </w:tcPr>
          <w:p w14:paraId="197391EB" w14:textId="77777777" w:rsidR="004D1935" w:rsidRPr="005A5E3A" w:rsidRDefault="004D1935" w:rsidP="00E24DC9">
            <w:pPr>
              <w:jc w:val="center"/>
              <w:rPr>
                <w:color w:val="000000" w:themeColor="text1"/>
              </w:rPr>
            </w:pPr>
          </w:p>
        </w:tc>
        <w:tc>
          <w:tcPr>
            <w:tcW w:w="1373" w:type="dxa"/>
            <w:vMerge/>
            <w:vAlign w:val="center"/>
          </w:tcPr>
          <w:p w14:paraId="01B1A929" w14:textId="77777777" w:rsidR="004D1935" w:rsidRPr="005A5E3A" w:rsidRDefault="004D1935" w:rsidP="00E24DC9">
            <w:pPr>
              <w:jc w:val="center"/>
              <w:rPr>
                <w:color w:val="000000" w:themeColor="text1"/>
              </w:rPr>
            </w:pPr>
          </w:p>
        </w:tc>
        <w:tc>
          <w:tcPr>
            <w:tcW w:w="4076" w:type="dxa"/>
            <w:vMerge/>
            <w:vAlign w:val="center"/>
          </w:tcPr>
          <w:p w14:paraId="17B333A2" w14:textId="77777777" w:rsidR="004D1935" w:rsidRPr="005A5E3A" w:rsidRDefault="004D1935" w:rsidP="00E24DC9">
            <w:pPr>
              <w:jc w:val="center"/>
              <w:rPr>
                <w:color w:val="000000" w:themeColor="text1"/>
              </w:rPr>
            </w:pPr>
          </w:p>
        </w:tc>
        <w:tc>
          <w:tcPr>
            <w:tcW w:w="5068" w:type="dxa"/>
            <w:vMerge/>
            <w:vAlign w:val="center"/>
          </w:tcPr>
          <w:p w14:paraId="50D087FF" w14:textId="77777777" w:rsidR="004D1935" w:rsidRPr="005A5E3A" w:rsidRDefault="004D1935" w:rsidP="00E24DC9">
            <w:pPr>
              <w:jc w:val="center"/>
              <w:rPr>
                <w:color w:val="000000" w:themeColor="text1"/>
              </w:rPr>
            </w:pPr>
          </w:p>
        </w:tc>
      </w:tr>
      <w:tr w:rsidR="004D1935" w:rsidRPr="005A5E3A" w14:paraId="0343EA74" w14:textId="77777777" w:rsidTr="00E24DC9">
        <w:tc>
          <w:tcPr>
            <w:tcW w:w="567" w:type="dxa"/>
            <w:vMerge/>
            <w:vAlign w:val="center"/>
          </w:tcPr>
          <w:p w14:paraId="349E6465"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3B7E40CC"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381.2955</w:t>
            </w:r>
          </w:p>
        </w:tc>
        <w:tc>
          <w:tcPr>
            <w:tcW w:w="2991" w:type="dxa"/>
            <w:vMerge/>
            <w:vAlign w:val="center"/>
          </w:tcPr>
          <w:p w14:paraId="75889E3C" w14:textId="77777777" w:rsidR="004D1935" w:rsidRPr="005A5E3A" w:rsidRDefault="004D1935" w:rsidP="00E24DC9">
            <w:pPr>
              <w:jc w:val="center"/>
              <w:rPr>
                <w:color w:val="000000" w:themeColor="text1"/>
              </w:rPr>
            </w:pPr>
          </w:p>
        </w:tc>
        <w:tc>
          <w:tcPr>
            <w:tcW w:w="1373" w:type="dxa"/>
            <w:vMerge/>
            <w:vAlign w:val="center"/>
          </w:tcPr>
          <w:p w14:paraId="152B529E" w14:textId="77777777" w:rsidR="004D1935" w:rsidRPr="005A5E3A" w:rsidRDefault="004D1935" w:rsidP="00E24DC9">
            <w:pPr>
              <w:jc w:val="center"/>
              <w:rPr>
                <w:color w:val="000000" w:themeColor="text1"/>
              </w:rPr>
            </w:pPr>
          </w:p>
        </w:tc>
        <w:tc>
          <w:tcPr>
            <w:tcW w:w="4076" w:type="dxa"/>
            <w:vMerge/>
            <w:vAlign w:val="center"/>
          </w:tcPr>
          <w:p w14:paraId="3A0D43C0" w14:textId="77777777" w:rsidR="004D1935" w:rsidRPr="005A5E3A" w:rsidRDefault="004D1935" w:rsidP="00E24DC9">
            <w:pPr>
              <w:jc w:val="center"/>
              <w:rPr>
                <w:color w:val="000000" w:themeColor="text1"/>
              </w:rPr>
            </w:pPr>
          </w:p>
        </w:tc>
        <w:tc>
          <w:tcPr>
            <w:tcW w:w="5068" w:type="dxa"/>
            <w:vMerge/>
            <w:vAlign w:val="center"/>
          </w:tcPr>
          <w:p w14:paraId="29ECFA1D" w14:textId="77777777" w:rsidR="004D1935" w:rsidRPr="005A5E3A" w:rsidRDefault="004D1935" w:rsidP="00E24DC9">
            <w:pPr>
              <w:jc w:val="center"/>
              <w:rPr>
                <w:color w:val="000000" w:themeColor="text1"/>
              </w:rPr>
            </w:pPr>
          </w:p>
        </w:tc>
      </w:tr>
      <w:tr w:rsidR="004D1935" w:rsidRPr="005A5E3A" w14:paraId="2B93980A" w14:textId="77777777" w:rsidTr="00E24DC9">
        <w:tc>
          <w:tcPr>
            <w:tcW w:w="567" w:type="dxa"/>
            <w:vMerge/>
            <w:vAlign w:val="center"/>
          </w:tcPr>
          <w:p w14:paraId="5F86154B"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35EBBE15" w14:textId="77777777" w:rsidR="004D1935" w:rsidRPr="005A5E3A" w:rsidRDefault="004D1935" w:rsidP="00E24DC9">
            <w:pPr>
              <w:jc w:val="center"/>
              <w:rPr>
                <w:color w:val="000000" w:themeColor="text1"/>
              </w:rPr>
            </w:pPr>
            <w:r w:rsidRPr="005A5E3A">
              <w:rPr>
                <w:rFonts w:ascii="Calibri" w:hAnsi="Calibri" w:cs="Calibri"/>
                <w:color w:val="000000" w:themeColor="text1"/>
                <w:sz w:val="20"/>
                <w:szCs w:val="20"/>
              </w:rPr>
              <w:t>380.1129</w:t>
            </w:r>
          </w:p>
        </w:tc>
        <w:tc>
          <w:tcPr>
            <w:tcW w:w="2991" w:type="dxa"/>
            <w:vMerge/>
            <w:vAlign w:val="center"/>
          </w:tcPr>
          <w:p w14:paraId="2FE80252" w14:textId="77777777" w:rsidR="004D1935" w:rsidRPr="005A5E3A" w:rsidRDefault="004D1935" w:rsidP="00E24DC9">
            <w:pPr>
              <w:jc w:val="center"/>
              <w:rPr>
                <w:color w:val="000000" w:themeColor="text1"/>
              </w:rPr>
            </w:pPr>
          </w:p>
        </w:tc>
        <w:tc>
          <w:tcPr>
            <w:tcW w:w="1373" w:type="dxa"/>
            <w:vMerge/>
            <w:vAlign w:val="center"/>
          </w:tcPr>
          <w:p w14:paraId="72ADE3B2" w14:textId="77777777" w:rsidR="004D1935" w:rsidRPr="005A5E3A" w:rsidRDefault="004D1935" w:rsidP="00E24DC9">
            <w:pPr>
              <w:jc w:val="center"/>
              <w:rPr>
                <w:color w:val="000000" w:themeColor="text1"/>
              </w:rPr>
            </w:pPr>
          </w:p>
        </w:tc>
        <w:tc>
          <w:tcPr>
            <w:tcW w:w="4076" w:type="dxa"/>
            <w:vMerge/>
            <w:vAlign w:val="center"/>
          </w:tcPr>
          <w:p w14:paraId="140510B0" w14:textId="77777777" w:rsidR="004D1935" w:rsidRPr="005A5E3A" w:rsidRDefault="004D1935" w:rsidP="00E24DC9">
            <w:pPr>
              <w:jc w:val="center"/>
              <w:rPr>
                <w:color w:val="000000" w:themeColor="text1"/>
              </w:rPr>
            </w:pPr>
          </w:p>
        </w:tc>
        <w:tc>
          <w:tcPr>
            <w:tcW w:w="5068" w:type="dxa"/>
            <w:vMerge/>
            <w:vAlign w:val="center"/>
          </w:tcPr>
          <w:p w14:paraId="215DEE81" w14:textId="77777777" w:rsidR="004D1935" w:rsidRPr="005A5E3A" w:rsidRDefault="004D1935" w:rsidP="00E24DC9">
            <w:pPr>
              <w:jc w:val="center"/>
              <w:rPr>
                <w:color w:val="000000" w:themeColor="text1"/>
              </w:rPr>
            </w:pPr>
          </w:p>
        </w:tc>
      </w:tr>
      <w:tr w:rsidR="004D1935" w:rsidRPr="005A5E3A" w14:paraId="1D87142B" w14:textId="77777777" w:rsidTr="00E24DC9">
        <w:tc>
          <w:tcPr>
            <w:tcW w:w="567" w:type="dxa"/>
            <w:vMerge/>
            <w:vAlign w:val="center"/>
          </w:tcPr>
          <w:p w14:paraId="583C94EB"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2729DAAF" w14:textId="77777777" w:rsidR="004D1935" w:rsidRPr="005A5E3A" w:rsidRDefault="004D1935" w:rsidP="00E24DC9">
            <w:pPr>
              <w:jc w:val="center"/>
              <w:rPr>
                <w:color w:val="000000" w:themeColor="text1"/>
              </w:rPr>
            </w:pPr>
            <w:r w:rsidRPr="005A5E3A">
              <w:rPr>
                <w:rFonts w:ascii="Calibri" w:hAnsi="Calibri" w:cs="Calibri"/>
                <w:color w:val="000000" w:themeColor="text1"/>
                <w:sz w:val="20"/>
                <w:szCs w:val="20"/>
              </w:rPr>
              <w:t>380.1569</w:t>
            </w:r>
          </w:p>
        </w:tc>
        <w:tc>
          <w:tcPr>
            <w:tcW w:w="2991" w:type="dxa"/>
            <w:vMerge/>
            <w:vAlign w:val="center"/>
          </w:tcPr>
          <w:p w14:paraId="0BB720DA" w14:textId="77777777" w:rsidR="004D1935" w:rsidRPr="005A5E3A" w:rsidRDefault="004D1935" w:rsidP="00E24DC9">
            <w:pPr>
              <w:jc w:val="center"/>
              <w:rPr>
                <w:color w:val="000000" w:themeColor="text1"/>
              </w:rPr>
            </w:pPr>
          </w:p>
        </w:tc>
        <w:tc>
          <w:tcPr>
            <w:tcW w:w="1373" w:type="dxa"/>
            <w:vMerge/>
            <w:vAlign w:val="center"/>
          </w:tcPr>
          <w:p w14:paraId="0B74044B" w14:textId="77777777" w:rsidR="004D1935" w:rsidRPr="005A5E3A" w:rsidRDefault="004D1935" w:rsidP="00E24DC9">
            <w:pPr>
              <w:jc w:val="center"/>
              <w:rPr>
                <w:color w:val="000000" w:themeColor="text1"/>
              </w:rPr>
            </w:pPr>
          </w:p>
        </w:tc>
        <w:tc>
          <w:tcPr>
            <w:tcW w:w="4076" w:type="dxa"/>
            <w:vMerge/>
            <w:vAlign w:val="center"/>
          </w:tcPr>
          <w:p w14:paraId="7CD57474" w14:textId="77777777" w:rsidR="004D1935" w:rsidRPr="005A5E3A" w:rsidRDefault="004D1935" w:rsidP="00E24DC9">
            <w:pPr>
              <w:jc w:val="center"/>
              <w:rPr>
                <w:color w:val="000000" w:themeColor="text1"/>
              </w:rPr>
            </w:pPr>
          </w:p>
        </w:tc>
        <w:tc>
          <w:tcPr>
            <w:tcW w:w="5068" w:type="dxa"/>
            <w:vMerge/>
            <w:vAlign w:val="center"/>
          </w:tcPr>
          <w:p w14:paraId="23E183B9" w14:textId="77777777" w:rsidR="004D1935" w:rsidRPr="005A5E3A" w:rsidRDefault="004D1935" w:rsidP="00E24DC9">
            <w:pPr>
              <w:jc w:val="center"/>
              <w:rPr>
                <w:color w:val="000000" w:themeColor="text1"/>
              </w:rPr>
            </w:pPr>
          </w:p>
        </w:tc>
      </w:tr>
      <w:tr w:rsidR="004D1935" w:rsidRPr="005A5E3A" w14:paraId="3E68609C" w14:textId="77777777" w:rsidTr="00E24DC9">
        <w:tc>
          <w:tcPr>
            <w:tcW w:w="567" w:type="dxa"/>
            <w:vMerge/>
            <w:vAlign w:val="center"/>
          </w:tcPr>
          <w:p w14:paraId="621D85CB"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21A2A439" w14:textId="77777777" w:rsidR="004D1935" w:rsidRPr="005A5E3A" w:rsidRDefault="004D1935" w:rsidP="00E24DC9">
            <w:pPr>
              <w:jc w:val="center"/>
              <w:rPr>
                <w:color w:val="000000" w:themeColor="text1"/>
              </w:rPr>
            </w:pPr>
            <w:r w:rsidRPr="005A5E3A">
              <w:rPr>
                <w:rFonts w:ascii="Calibri" w:hAnsi="Calibri" w:cs="Calibri"/>
                <w:color w:val="000000" w:themeColor="text1"/>
                <w:sz w:val="20"/>
                <w:szCs w:val="20"/>
              </w:rPr>
              <w:t>380.1995</w:t>
            </w:r>
          </w:p>
        </w:tc>
        <w:tc>
          <w:tcPr>
            <w:tcW w:w="2991" w:type="dxa"/>
            <w:vMerge/>
            <w:vAlign w:val="center"/>
          </w:tcPr>
          <w:p w14:paraId="7782F2A0" w14:textId="77777777" w:rsidR="004D1935" w:rsidRPr="005A5E3A" w:rsidRDefault="004D1935" w:rsidP="00E24DC9">
            <w:pPr>
              <w:jc w:val="center"/>
              <w:rPr>
                <w:color w:val="000000" w:themeColor="text1"/>
              </w:rPr>
            </w:pPr>
          </w:p>
        </w:tc>
        <w:tc>
          <w:tcPr>
            <w:tcW w:w="1373" w:type="dxa"/>
            <w:vMerge/>
            <w:vAlign w:val="center"/>
          </w:tcPr>
          <w:p w14:paraId="75A2CEBF" w14:textId="77777777" w:rsidR="004D1935" w:rsidRPr="005A5E3A" w:rsidRDefault="004D1935" w:rsidP="00E24DC9">
            <w:pPr>
              <w:jc w:val="center"/>
              <w:rPr>
                <w:color w:val="000000" w:themeColor="text1"/>
              </w:rPr>
            </w:pPr>
          </w:p>
        </w:tc>
        <w:tc>
          <w:tcPr>
            <w:tcW w:w="4076" w:type="dxa"/>
            <w:vMerge/>
            <w:vAlign w:val="center"/>
          </w:tcPr>
          <w:p w14:paraId="01E26183" w14:textId="77777777" w:rsidR="004D1935" w:rsidRPr="005A5E3A" w:rsidRDefault="004D1935" w:rsidP="00E24DC9">
            <w:pPr>
              <w:jc w:val="center"/>
              <w:rPr>
                <w:color w:val="000000" w:themeColor="text1"/>
              </w:rPr>
            </w:pPr>
          </w:p>
        </w:tc>
        <w:tc>
          <w:tcPr>
            <w:tcW w:w="5068" w:type="dxa"/>
            <w:vMerge/>
            <w:vAlign w:val="center"/>
          </w:tcPr>
          <w:p w14:paraId="64C39642" w14:textId="77777777" w:rsidR="004D1935" w:rsidRPr="005A5E3A" w:rsidRDefault="004D1935" w:rsidP="00E24DC9">
            <w:pPr>
              <w:jc w:val="center"/>
              <w:rPr>
                <w:color w:val="000000" w:themeColor="text1"/>
              </w:rPr>
            </w:pPr>
          </w:p>
        </w:tc>
      </w:tr>
      <w:tr w:rsidR="004D1935" w:rsidRPr="005A5E3A" w14:paraId="1565AD37" w14:textId="77777777" w:rsidTr="00E24DC9">
        <w:tc>
          <w:tcPr>
            <w:tcW w:w="567" w:type="dxa"/>
            <w:vMerge/>
            <w:vAlign w:val="center"/>
          </w:tcPr>
          <w:p w14:paraId="454F0A1A"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04436197" w14:textId="77777777" w:rsidR="004D1935" w:rsidRPr="005A5E3A" w:rsidRDefault="004D1935" w:rsidP="00E24DC9">
            <w:pPr>
              <w:jc w:val="center"/>
              <w:rPr>
                <w:color w:val="000000" w:themeColor="text1"/>
              </w:rPr>
            </w:pPr>
            <w:r w:rsidRPr="005A5E3A">
              <w:rPr>
                <w:rFonts w:ascii="Calibri" w:hAnsi="Calibri" w:cs="Calibri"/>
                <w:color w:val="000000" w:themeColor="text1"/>
                <w:sz w:val="20"/>
                <w:szCs w:val="20"/>
              </w:rPr>
              <w:t>380.2422</w:t>
            </w:r>
          </w:p>
        </w:tc>
        <w:tc>
          <w:tcPr>
            <w:tcW w:w="2991" w:type="dxa"/>
            <w:vMerge/>
            <w:vAlign w:val="center"/>
          </w:tcPr>
          <w:p w14:paraId="28037EAD" w14:textId="77777777" w:rsidR="004D1935" w:rsidRPr="005A5E3A" w:rsidRDefault="004D1935" w:rsidP="00E24DC9">
            <w:pPr>
              <w:jc w:val="center"/>
              <w:rPr>
                <w:color w:val="000000" w:themeColor="text1"/>
              </w:rPr>
            </w:pPr>
          </w:p>
        </w:tc>
        <w:tc>
          <w:tcPr>
            <w:tcW w:w="1373" w:type="dxa"/>
            <w:vMerge/>
            <w:vAlign w:val="center"/>
          </w:tcPr>
          <w:p w14:paraId="291F7BC1" w14:textId="77777777" w:rsidR="004D1935" w:rsidRPr="005A5E3A" w:rsidRDefault="004D1935" w:rsidP="00E24DC9">
            <w:pPr>
              <w:jc w:val="center"/>
              <w:rPr>
                <w:color w:val="000000" w:themeColor="text1"/>
              </w:rPr>
            </w:pPr>
          </w:p>
        </w:tc>
        <w:tc>
          <w:tcPr>
            <w:tcW w:w="4076" w:type="dxa"/>
            <w:vMerge/>
            <w:vAlign w:val="center"/>
          </w:tcPr>
          <w:p w14:paraId="37DB6AD6" w14:textId="77777777" w:rsidR="004D1935" w:rsidRPr="005A5E3A" w:rsidRDefault="004D1935" w:rsidP="00E24DC9">
            <w:pPr>
              <w:jc w:val="center"/>
              <w:rPr>
                <w:color w:val="000000" w:themeColor="text1"/>
              </w:rPr>
            </w:pPr>
          </w:p>
        </w:tc>
        <w:tc>
          <w:tcPr>
            <w:tcW w:w="5068" w:type="dxa"/>
            <w:vMerge/>
            <w:vAlign w:val="center"/>
          </w:tcPr>
          <w:p w14:paraId="779E77C5" w14:textId="77777777" w:rsidR="004D1935" w:rsidRPr="005A5E3A" w:rsidRDefault="004D1935" w:rsidP="00E24DC9">
            <w:pPr>
              <w:jc w:val="center"/>
              <w:rPr>
                <w:color w:val="000000" w:themeColor="text1"/>
              </w:rPr>
            </w:pPr>
          </w:p>
        </w:tc>
      </w:tr>
      <w:tr w:rsidR="004D1935" w:rsidRPr="005A5E3A" w14:paraId="228515B1" w14:textId="77777777" w:rsidTr="00E24DC9">
        <w:tc>
          <w:tcPr>
            <w:tcW w:w="567" w:type="dxa"/>
            <w:vMerge/>
            <w:vAlign w:val="center"/>
          </w:tcPr>
          <w:p w14:paraId="78B2D924"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004122D5" w14:textId="77777777" w:rsidR="004D1935" w:rsidRPr="005A5E3A" w:rsidRDefault="004D1935" w:rsidP="00E24DC9">
            <w:pPr>
              <w:jc w:val="center"/>
              <w:rPr>
                <w:color w:val="000000" w:themeColor="text1"/>
              </w:rPr>
            </w:pPr>
            <w:r w:rsidRPr="005A5E3A">
              <w:rPr>
                <w:rFonts w:ascii="Calibri" w:hAnsi="Calibri" w:cs="Calibri"/>
                <w:color w:val="000000" w:themeColor="text1"/>
                <w:sz w:val="20"/>
                <w:szCs w:val="20"/>
              </w:rPr>
              <w:t>380.2848</w:t>
            </w:r>
          </w:p>
        </w:tc>
        <w:tc>
          <w:tcPr>
            <w:tcW w:w="2991" w:type="dxa"/>
            <w:vMerge/>
            <w:vAlign w:val="center"/>
          </w:tcPr>
          <w:p w14:paraId="5DE1F675" w14:textId="77777777" w:rsidR="004D1935" w:rsidRPr="005A5E3A" w:rsidRDefault="004D1935" w:rsidP="00E24DC9">
            <w:pPr>
              <w:jc w:val="center"/>
              <w:rPr>
                <w:color w:val="000000" w:themeColor="text1"/>
              </w:rPr>
            </w:pPr>
          </w:p>
        </w:tc>
        <w:tc>
          <w:tcPr>
            <w:tcW w:w="1373" w:type="dxa"/>
            <w:vMerge/>
            <w:vAlign w:val="center"/>
          </w:tcPr>
          <w:p w14:paraId="40B8BF5F" w14:textId="77777777" w:rsidR="004D1935" w:rsidRPr="005A5E3A" w:rsidRDefault="004D1935" w:rsidP="00E24DC9">
            <w:pPr>
              <w:jc w:val="center"/>
              <w:rPr>
                <w:color w:val="000000" w:themeColor="text1"/>
              </w:rPr>
            </w:pPr>
          </w:p>
        </w:tc>
        <w:tc>
          <w:tcPr>
            <w:tcW w:w="4076" w:type="dxa"/>
            <w:vMerge/>
            <w:vAlign w:val="center"/>
          </w:tcPr>
          <w:p w14:paraId="0A9271B6" w14:textId="77777777" w:rsidR="004D1935" w:rsidRPr="005A5E3A" w:rsidRDefault="004D1935" w:rsidP="00E24DC9">
            <w:pPr>
              <w:jc w:val="center"/>
              <w:rPr>
                <w:color w:val="000000" w:themeColor="text1"/>
              </w:rPr>
            </w:pPr>
          </w:p>
        </w:tc>
        <w:tc>
          <w:tcPr>
            <w:tcW w:w="5068" w:type="dxa"/>
            <w:vMerge/>
            <w:vAlign w:val="center"/>
          </w:tcPr>
          <w:p w14:paraId="2F21108F" w14:textId="77777777" w:rsidR="004D1935" w:rsidRPr="005A5E3A" w:rsidRDefault="004D1935" w:rsidP="00E24DC9">
            <w:pPr>
              <w:jc w:val="center"/>
              <w:rPr>
                <w:color w:val="000000" w:themeColor="text1"/>
              </w:rPr>
            </w:pPr>
          </w:p>
        </w:tc>
      </w:tr>
      <w:tr w:rsidR="004D1935" w:rsidRPr="005A5E3A" w14:paraId="4A814CDF" w14:textId="77777777" w:rsidTr="00E24DC9">
        <w:tc>
          <w:tcPr>
            <w:tcW w:w="567" w:type="dxa"/>
            <w:vMerge/>
            <w:vAlign w:val="center"/>
          </w:tcPr>
          <w:p w14:paraId="669DF5AC"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54E6C789" w14:textId="77777777" w:rsidR="004D1935" w:rsidRPr="005A5E3A" w:rsidRDefault="004D1935" w:rsidP="00E24DC9">
            <w:pPr>
              <w:jc w:val="center"/>
              <w:rPr>
                <w:color w:val="000000" w:themeColor="text1"/>
              </w:rPr>
            </w:pPr>
            <w:r w:rsidRPr="005A5E3A">
              <w:rPr>
                <w:rFonts w:ascii="Calibri" w:hAnsi="Calibri" w:cs="Calibri"/>
                <w:color w:val="000000" w:themeColor="text1"/>
                <w:sz w:val="20"/>
                <w:szCs w:val="20"/>
              </w:rPr>
              <w:t>380.1257</w:t>
            </w:r>
          </w:p>
        </w:tc>
        <w:tc>
          <w:tcPr>
            <w:tcW w:w="2991" w:type="dxa"/>
            <w:vMerge/>
            <w:vAlign w:val="center"/>
          </w:tcPr>
          <w:p w14:paraId="3481BCDE" w14:textId="77777777" w:rsidR="004D1935" w:rsidRPr="005A5E3A" w:rsidRDefault="004D1935" w:rsidP="00E24DC9">
            <w:pPr>
              <w:jc w:val="center"/>
              <w:rPr>
                <w:color w:val="000000" w:themeColor="text1"/>
              </w:rPr>
            </w:pPr>
          </w:p>
        </w:tc>
        <w:tc>
          <w:tcPr>
            <w:tcW w:w="1373" w:type="dxa"/>
            <w:vMerge/>
            <w:vAlign w:val="center"/>
          </w:tcPr>
          <w:p w14:paraId="70377247" w14:textId="77777777" w:rsidR="004D1935" w:rsidRPr="005A5E3A" w:rsidRDefault="004D1935" w:rsidP="00E24DC9">
            <w:pPr>
              <w:jc w:val="center"/>
              <w:rPr>
                <w:color w:val="000000" w:themeColor="text1"/>
              </w:rPr>
            </w:pPr>
          </w:p>
        </w:tc>
        <w:tc>
          <w:tcPr>
            <w:tcW w:w="4076" w:type="dxa"/>
            <w:vMerge/>
            <w:vAlign w:val="center"/>
          </w:tcPr>
          <w:p w14:paraId="1A2801A2" w14:textId="77777777" w:rsidR="004D1935" w:rsidRPr="005A5E3A" w:rsidRDefault="004D1935" w:rsidP="00E24DC9">
            <w:pPr>
              <w:jc w:val="center"/>
              <w:rPr>
                <w:color w:val="000000" w:themeColor="text1"/>
              </w:rPr>
            </w:pPr>
          </w:p>
        </w:tc>
        <w:tc>
          <w:tcPr>
            <w:tcW w:w="5068" w:type="dxa"/>
            <w:vMerge/>
            <w:vAlign w:val="center"/>
          </w:tcPr>
          <w:p w14:paraId="0BD376CD" w14:textId="77777777" w:rsidR="004D1935" w:rsidRPr="005A5E3A" w:rsidRDefault="004D1935" w:rsidP="00E24DC9">
            <w:pPr>
              <w:jc w:val="center"/>
              <w:rPr>
                <w:color w:val="000000" w:themeColor="text1"/>
              </w:rPr>
            </w:pPr>
          </w:p>
        </w:tc>
      </w:tr>
      <w:tr w:rsidR="004D1935" w:rsidRPr="005A5E3A" w14:paraId="4F7D615D" w14:textId="77777777" w:rsidTr="00E24DC9">
        <w:tc>
          <w:tcPr>
            <w:tcW w:w="567" w:type="dxa"/>
            <w:vMerge/>
            <w:vAlign w:val="center"/>
          </w:tcPr>
          <w:p w14:paraId="5D6EDBE7"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00F72568" w14:textId="77777777" w:rsidR="004D1935" w:rsidRPr="005A5E3A" w:rsidRDefault="004D1935" w:rsidP="00E24DC9">
            <w:pPr>
              <w:jc w:val="center"/>
              <w:rPr>
                <w:color w:val="000000" w:themeColor="text1"/>
              </w:rPr>
            </w:pPr>
            <w:r w:rsidRPr="005A5E3A">
              <w:rPr>
                <w:rFonts w:ascii="Calibri" w:hAnsi="Calibri" w:cs="Calibri"/>
                <w:color w:val="000000" w:themeColor="text1"/>
                <w:sz w:val="20"/>
                <w:szCs w:val="20"/>
              </w:rPr>
              <w:t>380.1684</w:t>
            </w:r>
          </w:p>
        </w:tc>
        <w:tc>
          <w:tcPr>
            <w:tcW w:w="2991" w:type="dxa"/>
            <w:vMerge/>
            <w:vAlign w:val="center"/>
          </w:tcPr>
          <w:p w14:paraId="2462BD42" w14:textId="77777777" w:rsidR="004D1935" w:rsidRPr="005A5E3A" w:rsidRDefault="004D1935" w:rsidP="00E24DC9">
            <w:pPr>
              <w:jc w:val="center"/>
              <w:rPr>
                <w:color w:val="000000" w:themeColor="text1"/>
              </w:rPr>
            </w:pPr>
          </w:p>
        </w:tc>
        <w:tc>
          <w:tcPr>
            <w:tcW w:w="1373" w:type="dxa"/>
            <w:vMerge/>
            <w:vAlign w:val="center"/>
          </w:tcPr>
          <w:p w14:paraId="7B034279" w14:textId="77777777" w:rsidR="004D1935" w:rsidRPr="005A5E3A" w:rsidRDefault="004D1935" w:rsidP="00E24DC9">
            <w:pPr>
              <w:jc w:val="center"/>
              <w:rPr>
                <w:color w:val="000000" w:themeColor="text1"/>
              </w:rPr>
            </w:pPr>
          </w:p>
        </w:tc>
        <w:tc>
          <w:tcPr>
            <w:tcW w:w="4076" w:type="dxa"/>
            <w:vMerge/>
            <w:vAlign w:val="center"/>
          </w:tcPr>
          <w:p w14:paraId="471A1BD2" w14:textId="77777777" w:rsidR="004D1935" w:rsidRPr="005A5E3A" w:rsidRDefault="004D1935" w:rsidP="00E24DC9">
            <w:pPr>
              <w:jc w:val="center"/>
              <w:rPr>
                <w:color w:val="000000" w:themeColor="text1"/>
              </w:rPr>
            </w:pPr>
          </w:p>
        </w:tc>
        <w:tc>
          <w:tcPr>
            <w:tcW w:w="5068" w:type="dxa"/>
            <w:vMerge/>
            <w:vAlign w:val="center"/>
          </w:tcPr>
          <w:p w14:paraId="4FAA3343" w14:textId="77777777" w:rsidR="004D1935" w:rsidRPr="005A5E3A" w:rsidRDefault="004D1935" w:rsidP="00E24DC9">
            <w:pPr>
              <w:jc w:val="center"/>
              <w:rPr>
                <w:color w:val="000000" w:themeColor="text1"/>
              </w:rPr>
            </w:pPr>
          </w:p>
        </w:tc>
      </w:tr>
      <w:tr w:rsidR="004D1935" w:rsidRPr="005A5E3A" w14:paraId="1F47AD41" w14:textId="77777777" w:rsidTr="00E24DC9">
        <w:tc>
          <w:tcPr>
            <w:tcW w:w="567" w:type="dxa"/>
            <w:vMerge/>
            <w:vAlign w:val="center"/>
          </w:tcPr>
          <w:p w14:paraId="180D0654"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46B87A50" w14:textId="77777777" w:rsidR="004D1935" w:rsidRPr="005A5E3A" w:rsidRDefault="004D1935" w:rsidP="00E24DC9">
            <w:pPr>
              <w:jc w:val="center"/>
              <w:rPr>
                <w:color w:val="000000" w:themeColor="text1"/>
              </w:rPr>
            </w:pPr>
            <w:r w:rsidRPr="005A5E3A">
              <w:rPr>
                <w:rFonts w:ascii="Calibri" w:hAnsi="Calibri" w:cs="Calibri"/>
                <w:color w:val="000000" w:themeColor="text1"/>
                <w:sz w:val="20"/>
                <w:szCs w:val="20"/>
              </w:rPr>
              <w:t>380.2110</w:t>
            </w:r>
          </w:p>
        </w:tc>
        <w:tc>
          <w:tcPr>
            <w:tcW w:w="2991" w:type="dxa"/>
            <w:vMerge/>
            <w:vAlign w:val="center"/>
          </w:tcPr>
          <w:p w14:paraId="2E3938F0" w14:textId="77777777" w:rsidR="004D1935" w:rsidRPr="005A5E3A" w:rsidRDefault="004D1935" w:rsidP="00E24DC9">
            <w:pPr>
              <w:jc w:val="center"/>
              <w:rPr>
                <w:color w:val="000000" w:themeColor="text1"/>
              </w:rPr>
            </w:pPr>
          </w:p>
        </w:tc>
        <w:tc>
          <w:tcPr>
            <w:tcW w:w="1373" w:type="dxa"/>
            <w:vMerge/>
            <w:vAlign w:val="center"/>
          </w:tcPr>
          <w:p w14:paraId="644A1BEA" w14:textId="77777777" w:rsidR="004D1935" w:rsidRPr="005A5E3A" w:rsidRDefault="004D1935" w:rsidP="00E24DC9">
            <w:pPr>
              <w:jc w:val="center"/>
              <w:rPr>
                <w:color w:val="000000" w:themeColor="text1"/>
              </w:rPr>
            </w:pPr>
          </w:p>
        </w:tc>
        <w:tc>
          <w:tcPr>
            <w:tcW w:w="4076" w:type="dxa"/>
            <w:vMerge/>
            <w:vAlign w:val="center"/>
          </w:tcPr>
          <w:p w14:paraId="0A1DB9DA" w14:textId="77777777" w:rsidR="004D1935" w:rsidRPr="005A5E3A" w:rsidRDefault="004D1935" w:rsidP="00E24DC9">
            <w:pPr>
              <w:jc w:val="center"/>
              <w:rPr>
                <w:color w:val="000000" w:themeColor="text1"/>
              </w:rPr>
            </w:pPr>
          </w:p>
        </w:tc>
        <w:tc>
          <w:tcPr>
            <w:tcW w:w="5068" w:type="dxa"/>
            <w:vMerge/>
            <w:vAlign w:val="center"/>
          </w:tcPr>
          <w:p w14:paraId="316F8B81" w14:textId="77777777" w:rsidR="004D1935" w:rsidRPr="005A5E3A" w:rsidRDefault="004D1935" w:rsidP="00E24DC9">
            <w:pPr>
              <w:jc w:val="center"/>
              <w:rPr>
                <w:color w:val="000000" w:themeColor="text1"/>
              </w:rPr>
            </w:pPr>
          </w:p>
        </w:tc>
      </w:tr>
      <w:tr w:rsidR="004D1935" w:rsidRPr="005A5E3A" w14:paraId="63545586" w14:textId="77777777" w:rsidTr="00E24DC9">
        <w:tc>
          <w:tcPr>
            <w:tcW w:w="567" w:type="dxa"/>
            <w:vMerge/>
            <w:vAlign w:val="center"/>
          </w:tcPr>
          <w:p w14:paraId="1BCE64D7"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57FF57DB" w14:textId="77777777" w:rsidR="004D1935" w:rsidRPr="005A5E3A" w:rsidRDefault="004D1935" w:rsidP="00E24DC9">
            <w:pPr>
              <w:jc w:val="center"/>
              <w:rPr>
                <w:color w:val="000000" w:themeColor="text1"/>
              </w:rPr>
            </w:pPr>
            <w:r w:rsidRPr="005A5E3A">
              <w:rPr>
                <w:rFonts w:ascii="Calibri" w:hAnsi="Calibri" w:cs="Calibri"/>
                <w:color w:val="000000" w:themeColor="text1"/>
                <w:sz w:val="20"/>
                <w:szCs w:val="20"/>
              </w:rPr>
              <w:t>380.2536</w:t>
            </w:r>
          </w:p>
        </w:tc>
        <w:tc>
          <w:tcPr>
            <w:tcW w:w="2991" w:type="dxa"/>
            <w:vMerge/>
            <w:vAlign w:val="center"/>
          </w:tcPr>
          <w:p w14:paraId="79DA5EE5" w14:textId="77777777" w:rsidR="004D1935" w:rsidRPr="005A5E3A" w:rsidRDefault="004D1935" w:rsidP="00E24DC9">
            <w:pPr>
              <w:jc w:val="center"/>
              <w:rPr>
                <w:color w:val="000000" w:themeColor="text1"/>
              </w:rPr>
            </w:pPr>
          </w:p>
        </w:tc>
        <w:tc>
          <w:tcPr>
            <w:tcW w:w="1373" w:type="dxa"/>
            <w:vMerge/>
            <w:vAlign w:val="center"/>
          </w:tcPr>
          <w:p w14:paraId="49777E70" w14:textId="77777777" w:rsidR="004D1935" w:rsidRPr="005A5E3A" w:rsidRDefault="004D1935" w:rsidP="00E24DC9">
            <w:pPr>
              <w:jc w:val="center"/>
              <w:rPr>
                <w:color w:val="000000" w:themeColor="text1"/>
              </w:rPr>
            </w:pPr>
          </w:p>
        </w:tc>
        <w:tc>
          <w:tcPr>
            <w:tcW w:w="4076" w:type="dxa"/>
            <w:vMerge/>
            <w:vAlign w:val="center"/>
          </w:tcPr>
          <w:p w14:paraId="083A6349" w14:textId="77777777" w:rsidR="004D1935" w:rsidRPr="005A5E3A" w:rsidRDefault="004D1935" w:rsidP="00E24DC9">
            <w:pPr>
              <w:jc w:val="center"/>
              <w:rPr>
                <w:color w:val="000000" w:themeColor="text1"/>
              </w:rPr>
            </w:pPr>
          </w:p>
        </w:tc>
        <w:tc>
          <w:tcPr>
            <w:tcW w:w="5068" w:type="dxa"/>
            <w:vMerge/>
            <w:vAlign w:val="center"/>
          </w:tcPr>
          <w:p w14:paraId="42FF9DC5" w14:textId="77777777" w:rsidR="004D1935" w:rsidRPr="005A5E3A" w:rsidRDefault="004D1935" w:rsidP="00E24DC9">
            <w:pPr>
              <w:jc w:val="center"/>
              <w:rPr>
                <w:color w:val="000000" w:themeColor="text1"/>
              </w:rPr>
            </w:pPr>
          </w:p>
        </w:tc>
      </w:tr>
      <w:tr w:rsidR="004D1935" w:rsidRPr="005A5E3A" w14:paraId="04A69D52" w14:textId="77777777" w:rsidTr="00E24DC9">
        <w:tc>
          <w:tcPr>
            <w:tcW w:w="567" w:type="dxa"/>
            <w:vMerge/>
            <w:vAlign w:val="center"/>
          </w:tcPr>
          <w:p w14:paraId="3561D00B"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04771216" w14:textId="77777777" w:rsidR="004D1935" w:rsidRPr="005A5E3A" w:rsidRDefault="004D1935" w:rsidP="00E24DC9">
            <w:pPr>
              <w:jc w:val="center"/>
              <w:rPr>
                <w:color w:val="000000" w:themeColor="text1"/>
              </w:rPr>
            </w:pPr>
            <w:r w:rsidRPr="005A5E3A">
              <w:rPr>
                <w:rFonts w:ascii="Calibri" w:hAnsi="Calibri" w:cs="Calibri"/>
                <w:color w:val="000000" w:themeColor="text1"/>
                <w:sz w:val="20"/>
                <w:szCs w:val="20"/>
              </w:rPr>
              <w:t>380.1342</w:t>
            </w:r>
          </w:p>
        </w:tc>
        <w:tc>
          <w:tcPr>
            <w:tcW w:w="2991" w:type="dxa"/>
            <w:vMerge/>
            <w:vAlign w:val="center"/>
          </w:tcPr>
          <w:p w14:paraId="66FD9288" w14:textId="77777777" w:rsidR="004D1935" w:rsidRPr="005A5E3A" w:rsidRDefault="004D1935" w:rsidP="00E24DC9">
            <w:pPr>
              <w:jc w:val="center"/>
              <w:rPr>
                <w:color w:val="000000" w:themeColor="text1"/>
              </w:rPr>
            </w:pPr>
          </w:p>
        </w:tc>
        <w:tc>
          <w:tcPr>
            <w:tcW w:w="1373" w:type="dxa"/>
            <w:vMerge/>
            <w:vAlign w:val="center"/>
          </w:tcPr>
          <w:p w14:paraId="28EB629E" w14:textId="77777777" w:rsidR="004D1935" w:rsidRPr="005A5E3A" w:rsidRDefault="004D1935" w:rsidP="00E24DC9">
            <w:pPr>
              <w:jc w:val="center"/>
              <w:rPr>
                <w:color w:val="000000" w:themeColor="text1"/>
              </w:rPr>
            </w:pPr>
          </w:p>
        </w:tc>
        <w:tc>
          <w:tcPr>
            <w:tcW w:w="4076" w:type="dxa"/>
            <w:vMerge/>
            <w:vAlign w:val="center"/>
          </w:tcPr>
          <w:p w14:paraId="693320DC" w14:textId="77777777" w:rsidR="004D1935" w:rsidRPr="005A5E3A" w:rsidRDefault="004D1935" w:rsidP="00E24DC9">
            <w:pPr>
              <w:jc w:val="center"/>
              <w:rPr>
                <w:color w:val="000000" w:themeColor="text1"/>
              </w:rPr>
            </w:pPr>
          </w:p>
        </w:tc>
        <w:tc>
          <w:tcPr>
            <w:tcW w:w="5068" w:type="dxa"/>
            <w:vMerge/>
            <w:vAlign w:val="center"/>
          </w:tcPr>
          <w:p w14:paraId="6980937A" w14:textId="77777777" w:rsidR="004D1935" w:rsidRPr="005A5E3A" w:rsidRDefault="004D1935" w:rsidP="00E24DC9">
            <w:pPr>
              <w:jc w:val="center"/>
              <w:rPr>
                <w:color w:val="000000" w:themeColor="text1"/>
              </w:rPr>
            </w:pPr>
          </w:p>
        </w:tc>
      </w:tr>
      <w:tr w:rsidR="004D1935" w:rsidRPr="005A5E3A" w14:paraId="167B630D" w14:textId="77777777" w:rsidTr="00E24DC9">
        <w:tc>
          <w:tcPr>
            <w:tcW w:w="567" w:type="dxa"/>
            <w:vMerge/>
            <w:vAlign w:val="center"/>
          </w:tcPr>
          <w:p w14:paraId="06EDF8C8"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726DC7A7" w14:textId="77777777" w:rsidR="004D1935" w:rsidRPr="005A5E3A" w:rsidRDefault="004D1935" w:rsidP="00E24DC9">
            <w:pPr>
              <w:jc w:val="center"/>
              <w:rPr>
                <w:color w:val="000000" w:themeColor="text1"/>
              </w:rPr>
            </w:pPr>
            <w:r w:rsidRPr="005A5E3A">
              <w:rPr>
                <w:rFonts w:ascii="Calibri" w:hAnsi="Calibri" w:cs="Calibri"/>
                <w:color w:val="000000" w:themeColor="text1"/>
                <w:sz w:val="20"/>
                <w:szCs w:val="20"/>
              </w:rPr>
              <w:t>380.1769</w:t>
            </w:r>
          </w:p>
        </w:tc>
        <w:tc>
          <w:tcPr>
            <w:tcW w:w="2991" w:type="dxa"/>
            <w:vMerge/>
            <w:vAlign w:val="center"/>
          </w:tcPr>
          <w:p w14:paraId="789137F1" w14:textId="77777777" w:rsidR="004D1935" w:rsidRPr="005A5E3A" w:rsidRDefault="004D1935" w:rsidP="00E24DC9">
            <w:pPr>
              <w:jc w:val="center"/>
              <w:rPr>
                <w:color w:val="000000" w:themeColor="text1"/>
              </w:rPr>
            </w:pPr>
          </w:p>
        </w:tc>
        <w:tc>
          <w:tcPr>
            <w:tcW w:w="1373" w:type="dxa"/>
            <w:vMerge/>
            <w:vAlign w:val="center"/>
          </w:tcPr>
          <w:p w14:paraId="761C1681" w14:textId="77777777" w:rsidR="004D1935" w:rsidRPr="005A5E3A" w:rsidRDefault="004D1935" w:rsidP="00E24DC9">
            <w:pPr>
              <w:jc w:val="center"/>
              <w:rPr>
                <w:color w:val="000000" w:themeColor="text1"/>
              </w:rPr>
            </w:pPr>
          </w:p>
        </w:tc>
        <w:tc>
          <w:tcPr>
            <w:tcW w:w="4076" w:type="dxa"/>
            <w:vMerge/>
            <w:vAlign w:val="center"/>
          </w:tcPr>
          <w:p w14:paraId="2E9839BE" w14:textId="77777777" w:rsidR="004D1935" w:rsidRPr="005A5E3A" w:rsidRDefault="004D1935" w:rsidP="00E24DC9">
            <w:pPr>
              <w:jc w:val="center"/>
              <w:rPr>
                <w:color w:val="000000" w:themeColor="text1"/>
              </w:rPr>
            </w:pPr>
          </w:p>
        </w:tc>
        <w:tc>
          <w:tcPr>
            <w:tcW w:w="5068" w:type="dxa"/>
            <w:vMerge/>
            <w:vAlign w:val="center"/>
          </w:tcPr>
          <w:p w14:paraId="20EBF0A3" w14:textId="77777777" w:rsidR="004D1935" w:rsidRPr="005A5E3A" w:rsidRDefault="004D1935" w:rsidP="00E24DC9">
            <w:pPr>
              <w:jc w:val="center"/>
              <w:rPr>
                <w:color w:val="000000" w:themeColor="text1"/>
              </w:rPr>
            </w:pPr>
          </w:p>
        </w:tc>
      </w:tr>
      <w:tr w:rsidR="004D1935" w:rsidRPr="005A5E3A" w14:paraId="4777C8F5" w14:textId="77777777" w:rsidTr="00E24DC9">
        <w:tc>
          <w:tcPr>
            <w:tcW w:w="567" w:type="dxa"/>
            <w:vMerge/>
            <w:vAlign w:val="center"/>
          </w:tcPr>
          <w:p w14:paraId="1693A84A"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39ABEC0F" w14:textId="77777777" w:rsidR="004D1935" w:rsidRPr="005A5E3A" w:rsidRDefault="004D1935" w:rsidP="00E24DC9">
            <w:pPr>
              <w:jc w:val="center"/>
              <w:rPr>
                <w:color w:val="000000" w:themeColor="text1"/>
              </w:rPr>
            </w:pPr>
            <w:r w:rsidRPr="005A5E3A">
              <w:rPr>
                <w:rFonts w:ascii="Calibri" w:hAnsi="Calibri" w:cs="Calibri"/>
                <w:color w:val="000000" w:themeColor="text1"/>
                <w:sz w:val="20"/>
                <w:szCs w:val="20"/>
              </w:rPr>
              <w:t>380.2195</w:t>
            </w:r>
          </w:p>
        </w:tc>
        <w:tc>
          <w:tcPr>
            <w:tcW w:w="2991" w:type="dxa"/>
            <w:vMerge/>
            <w:vAlign w:val="center"/>
          </w:tcPr>
          <w:p w14:paraId="138BD8BD" w14:textId="77777777" w:rsidR="004D1935" w:rsidRPr="005A5E3A" w:rsidRDefault="004D1935" w:rsidP="00E24DC9">
            <w:pPr>
              <w:jc w:val="center"/>
              <w:rPr>
                <w:color w:val="000000" w:themeColor="text1"/>
              </w:rPr>
            </w:pPr>
          </w:p>
        </w:tc>
        <w:tc>
          <w:tcPr>
            <w:tcW w:w="1373" w:type="dxa"/>
            <w:vMerge/>
            <w:vAlign w:val="center"/>
          </w:tcPr>
          <w:p w14:paraId="7706839A" w14:textId="77777777" w:rsidR="004D1935" w:rsidRPr="005A5E3A" w:rsidRDefault="004D1935" w:rsidP="00E24DC9">
            <w:pPr>
              <w:jc w:val="center"/>
              <w:rPr>
                <w:color w:val="000000" w:themeColor="text1"/>
              </w:rPr>
            </w:pPr>
          </w:p>
        </w:tc>
        <w:tc>
          <w:tcPr>
            <w:tcW w:w="4076" w:type="dxa"/>
            <w:vMerge/>
            <w:vAlign w:val="center"/>
          </w:tcPr>
          <w:p w14:paraId="4FF3ACF2" w14:textId="77777777" w:rsidR="004D1935" w:rsidRPr="005A5E3A" w:rsidRDefault="004D1935" w:rsidP="00E24DC9">
            <w:pPr>
              <w:jc w:val="center"/>
              <w:rPr>
                <w:color w:val="000000" w:themeColor="text1"/>
              </w:rPr>
            </w:pPr>
          </w:p>
        </w:tc>
        <w:tc>
          <w:tcPr>
            <w:tcW w:w="5068" w:type="dxa"/>
            <w:vMerge/>
            <w:vAlign w:val="center"/>
          </w:tcPr>
          <w:p w14:paraId="523E9F72" w14:textId="77777777" w:rsidR="004D1935" w:rsidRPr="005A5E3A" w:rsidRDefault="004D1935" w:rsidP="00E24DC9">
            <w:pPr>
              <w:jc w:val="center"/>
              <w:rPr>
                <w:color w:val="000000" w:themeColor="text1"/>
              </w:rPr>
            </w:pPr>
          </w:p>
        </w:tc>
      </w:tr>
      <w:tr w:rsidR="004D1935" w:rsidRPr="005A5E3A" w14:paraId="07D46750" w14:textId="77777777" w:rsidTr="00E24DC9">
        <w:tc>
          <w:tcPr>
            <w:tcW w:w="567" w:type="dxa"/>
            <w:vMerge/>
            <w:vAlign w:val="center"/>
          </w:tcPr>
          <w:p w14:paraId="59653219"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1A3FD3C8" w14:textId="77777777" w:rsidR="004D1935" w:rsidRPr="005A5E3A" w:rsidRDefault="004D1935" w:rsidP="00E24DC9">
            <w:pPr>
              <w:jc w:val="center"/>
              <w:rPr>
                <w:color w:val="000000" w:themeColor="text1"/>
              </w:rPr>
            </w:pPr>
            <w:r w:rsidRPr="005A5E3A">
              <w:rPr>
                <w:rFonts w:ascii="Calibri" w:hAnsi="Calibri" w:cs="Calibri"/>
                <w:color w:val="000000" w:themeColor="text1"/>
                <w:sz w:val="20"/>
                <w:szCs w:val="20"/>
              </w:rPr>
              <w:t>380.2621</w:t>
            </w:r>
          </w:p>
        </w:tc>
        <w:tc>
          <w:tcPr>
            <w:tcW w:w="2991" w:type="dxa"/>
            <w:vMerge/>
            <w:vAlign w:val="center"/>
          </w:tcPr>
          <w:p w14:paraId="1DAC6C4F" w14:textId="77777777" w:rsidR="004D1935" w:rsidRPr="005A5E3A" w:rsidRDefault="004D1935" w:rsidP="00E24DC9">
            <w:pPr>
              <w:jc w:val="center"/>
              <w:rPr>
                <w:color w:val="000000" w:themeColor="text1"/>
              </w:rPr>
            </w:pPr>
          </w:p>
        </w:tc>
        <w:tc>
          <w:tcPr>
            <w:tcW w:w="1373" w:type="dxa"/>
            <w:vMerge/>
            <w:vAlign w:val="center"/>
          </w:tcPr>
          <w:p w14:paraId="7AC3E591" w14:textId="77777777" w:rsidR="004D1935" w:rsidRPr="005A5E3A" w:rsidRDefault="004D1935" w:rsidP="00E24DC9">
            <w:pPr>
              <w:jc w:val="center"/>
              <w:rPr>
                <w:color w:val="000000" w:themeColor="text1"/>
              </w:rPr>
            </w:pPr>
          </w:p>
        </w:tc>
        <w:tc>
          <w:tcPr>
            <w:tcW w:w="4076" w:type="dxa"/>
            <w:vMerge/>
            <w:vAlign w:val="center"/>
          </w:tcPr>
          <w:p w14:paraId="484AE7D5" w14:textId="77777777" w:rsidR="004D1935" w:rsidRPr="005A5E3A" w:rsidRDefault="004D1935" w:rsidP="00E24DC9">
            <w:pPr>
              <w:jc w:val="center"/>
              <w:rPr>
                <w:color w:val="000000" w:themeColor="text1"/>
              </w:rPr>
            </w:pPr>
          </w:p>
        </w:tc>
        <w:tc>
          <w:tcPr>
            <w:tcW w:w="5068" w:type="dxa"/>
            <w:vMerge/>
            <w:vAlign w:val="center"/>
          </w:tcPr>
          <w:p w14:paraId="7CACAF77" w14:textId="77777777" w:rsidR="004D1935" w:rsidRPr="005A5E3A" w:rsidRDefault="004D1935" w:rsidP="00E24DC9">
            <w:pPr>
              <w:jc w:val="center"/>
              <w:rPr>
                <w:color w:val="000000" w:themeColor="text1"/>
              </w:rPr>
            </w:pPr>
          </w:p>
        </w:tc>
      </w:tr>
      <w:tr w:rsidR="004D1935" w:rsidRPr="005A5E3A" w14:paraId="33B9DC9B" w14:textId="77777777" w:rsidTr="00E24DC9">
        <w:tc>
          <w:tcPr>
            <w:tcW w:w="567" w:type="dxa"/>
            <w:vMerge/>
            <w:vAlign w:val="center"/>
          </w:tcPr>
          <w:p w14:paraId="7A8C1DEF"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6C654AAA" w14:textId="77777777" w:rsidR="004D1935" w:rsidRPr="005A5E3A" w:rsidRDefault="004D1935" w:rsidP="00E24DC9">
            <w:pPr>
              <w:jc w:val="center"/>
              <w:rPr>
                <w:color w:val="000000" w:themeColor="text1"/>
              </w:rPr>
            </w:pPr>
            <w:r w:rsidRPr="005A5E3A">
              <w:rPr>
                <w:rFonts w:ascii="Calibri" w:hAnsi="Calibri" w:cs="Calibri"/>
                <w:color w:val="000000" w:themeColor="text1"/>
                <w:sz w:val="20"/>
                <w:szCs w:val="20"/>
              </w:rPr>
              <w:t>380.1172</w:t>
            </w:r>
          </w:p>
        </w:tc>
        <w:tc>
          <w:tcPr>
            <w:tcW w:w="2991" w:type="dxa"/>
            <w:vMerge/>
            <w:vAlign w:val="center"/>
          </w:tcPr>
          <w:p w14:paraId="04EE4AE1" w14:textId="77777777" w:rsidR="004D1935" w:rsidRPr="005A5E3A" w:rsidRDefault="004D1935" w:rsidP="00E24DC9">
            <w:pPr>
              <w:jc w:val="center"/>
              <w:rPr>
                <w:color w:val="000000" w:themeColor="text1"/>
              </w:rPr>
            </w:pPr>
          </w:p>
        </w:tc>
        <w:tc>
          <w:tcPr>
            <w:tcW w:w="1373" w:type="dxa"/>
            <w:vMerge/>
            <w:vAlign w:val="center"/>
          </w:tcPr>
          <w:p w14:paraId="44BB5B9A" w14:textId="77777777" w:rsidR="004D1935" w:rsidRPr="005A5E3A" w:rsidRDefault="004D1935" w:rsidP="00E24DC9">
            <w:pPr>
              <w:jc w:val="center"/>
              <w:rPr>
                <w:color w:val="000000" w:themeColor="text1"/>
              </w:rPr>
            </w:pPr>
          </w:p>
        </w:tc>
        <w:tc>
          <w:tcPr>
            <w:tcW w:w="4076" w:type="dxa"/>
            <w:vMerge/>
            <w:vAlign w:val="center"/>
          </w:tcPr>
          <w:p w14:paraId="62B5EFD2" w14:textId="77777777" w:rsidR="004D1935" w:rsidRPr="005A5E3A" w:rsidRDefault="004D1935" w:rsidP="00E24DC9">
            <w:pPr>
              <w:jc w:val="center"/>
              <w:rPr>
                <w:color w:val="000000" w:themeColor="text1"/>
              </w:rPr>
            </w:pPr>
          </w:p>
        </w:tc>
        <w:tc>
          <w:tcPr>
            <w:tcW w:w="5068" w:type="dxa"/>
            <w:vMerge/>
            <w:vAlign w:val="center"/>
          </w:tcPr>
          <w:p w14:paraId="78BE3310" w14:textId="77777777" w:rsidR="004D1935" w:rsidRPr="005A5E3A" w:rsidRDefault="004D1935" w:rsidP="00E24DC9">
            <w:pPr>
              <w:jc w:val="center"/>
              <w:rPr>
                <w:color w:val="000000" w:themeColor="text1"/>
              </w:rPr>
            </w:pPr>
          </w:p>
        </w:tc>
      </w:tr>
      <w:tr w:rsidR="004D1935" w:rsidRPr="005A5E3A" w14:paraId="752DA9B2" w14:textId="77777777" w:rsidTr="00E24DC9">
        <w:tc>
          <w:tcPr>
            <w:tcW w:w="567" w:type="dxa"/>
            <w:vMerge/>
            <w:vAlign w:val="center"/>
          </w:tcPr>
          <w:p w14:paraId="7C510072"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4A8B02F5" w14:textId="77777777" w:rsidR="004D1935" w:rsidRPr="005A5E3A" w:rsidRDefault="004D1935" w:rsidP="00E24DC9">
            <w:pPr>
              <w:jc w:val="center"/>
              <w:rPr>
                <w:color w:val="000000" w:themeColor="text1"/>
              </w:rPr>
            </w:pPr>
            <w:r w:rsidRPr="005A5E3A">
              <w:rPr>
                <w:rFonts w:ascii="Calibri" w:hAnsi="Calibri" w:cs="Calibri"/>
                <w:color w:val="000000" w:themeColor="text1"/>
                <w:sz w:val="20"/>
                <w:szCs w:val="20"/>
              </w:rPr>
              <w:t>380.1598</w:t>
            </w:r>
          </w:p>
        </w:tc>
        <w:tc>
          <w:tcPr>
            <w:tcW w:w="2991" w:type="dxa"/>
            <w:vMerge/>
            <w:vAlign w:val="center"/>
          </w:tcPr>
          <w:p w14:paraId="51FD606C" w14:textId="77777777" w:rsidR="004D1935" w:rsidRPr="005A5E3A" w:rsidRDefault="004D1935" w:rsidP="00E24DC9">
            <w:pPr>
              <w:jc w:val="center"/>
              <w:rPr>
                <w:color w:val="000000" w:themeColor="text1"/>
              </w:rPr>
            </w:pPr>
          </w:p>
        </w:tc>
        <w:tc>
          <w:tcPr>
            <w:tcW w:w="1373" w:type="dxa"/>
            <w:vMerge/>
            <w:vAlign w:val="center"/>
          </w:tcPr>
          <w:p w14:paraId="0068ECE6" w14:textId="77777777" w:rsidR="004D1935" w:rsidRPr="005A5E3A" w:rsidRDefault="004D1935" w:rsidP="00E24DC9">
            <w:pPr>
              <w:jc w:val="center"/>
              <w:rPr>
                <w:color w:val="000000" w:themeColor="text1"/>
              </w:rPr>
            </w:pPr>
          </w:p>
        </w:tc>
        <w:tc>
          <w:tcPr>
            <w:tcW w:w="4076" w:type="dxa"/>
            <w:vMerge/>
            <w:vAlign w:val="center"/>
          </w:tcPr>
          <w:p w14:paraId="5454E8FA" w14:textId="77777777" w:rsidR="004D1935" w:rsidRPr="005A5E3A" w:rsidRDefault="004D1935" w:rsidP="00E24DC9">
            <w:pPr>
              <w:jc w:val="center"/>
              <w:rPr>
                <w:color w:val="000000" w:themeColor="text1"/>
              </w:rPr>
            </w:pPr>
          </w:p>
        </w:tc>
        <w:tc>
          <w:tcPr>
            <w:tcW w:w="5068" w:type="dxa"/>
            <w:vMerge/>
            <w:vAlign w:val="center"/>
          </w:tcPr>
          <w:p w14:paraId="587AAC37" w14:textId="77777777" w:rsidR="004D1935" w:rsidRPr="005A5E3A" w:rsidRDefault="004D1935" w:rsidP="00E24DC9">
            <w:pPr>
              <w:jc w:val="center"/>
              <w:rPr>
                <w:color w:val="000000" w:themeColor="text1"/>
              </w:rPr>
            </w:pPr>
          </w:p>
        </w:tc>
      </w:tr>
      <w:tr w:rsidR="004D1935" w:rsidRPr="005A5E3A" w14:paraId="4799B65C" w14:textId="77777777" w:rsidTr="00E24DC9">
        <w:tc>
          <w:tcPr>
            <w:tcW w:w="567" w:type="dxa"/>
            <w:vMerge/>
            <w:vAlign w:val="center"/>
          </w:tcPr>
          <w:p w14:paraId="73D40B32"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28BE6EFB" w14:textId="77777777" w:rsidR="004D1935" w:rsidRPr="005A5E3A" w:rsidRDefault="004D1935" w:rsidP="00E24DC9">
            <w:pPr>
              <w:jc w:val="center"/>
              <w:rPr>
                <w:rFonts w:ascii="Calibri" w:hAnsi="Calibri" w:cs="Calibri"/>
                <w:color w:val="000000" w:themeColor="text1"/>
                <w:sz w:val="20"/>
                <w:szCs w:val="20"/>
              </w:rPr>
            </w:pPr>
            <w:r w:rsidRPr="005A5E3A">
              <w:rPr>
                <w:rFonts w:ascii="Calibri" w:hAnsi="Calibri" w:cs="Calibri"/>
                <w:color w:val="000000" w:themeColor="text1"/>
                <w:sz w:val="20"/>
                <w:szCs w:val="20"/>
              </w:rPr>
              <w:t>380.2024</w:t>
            </w:r>
          </w:p>
        </w:tc>
        <w:tc>
          <w:tcPr>
            <w:tcW w:w="2991" w:type="dxa"/>
            <w:vMerge/>
            <w:vAlign w:val="center"/>
          </w:tcPr>
          <w:p w14:paraId="2CB469BA" w14:textId="77777777" w:rsidR="004D1935" w:rsidRPr="005A5E3A" w:rsidRDefault="004D1935" w:rsidP="00E24DC9">
            <w:pPr>
              <w:jc w:val="center"/>
              <w:rPr>
                <w:color w:val="000000" w:themeColor="text1"/>
              </w:rPr>
            </w:pPr>
          </w:p>
        </w:tc>
        <w:tc>
          <w:tcPr>
            <w:tcW w:w="1373" w:type="dxa"/>
            <w:vMerge/>
            <w:vAlign w:val="center"/>
          </w:tcPr>
          <w:p w14:paraId="2048D68B" w14:textId="77777777" w:rsidR="004D1935" w:rsidRPr="005A5E3A" w:rsidRDefault="004D1935" w:rsidP="00E24DC9">
            <w:pPr>
              <w:jc w:val="center"/>
              <w:rPr>
                <w:color w:val="000000" w:themeColor="text1"/>
              </w:rPr>
            </w:pPr>
          </w:p>
        </w:tc>
        <w:tc>
          <w:tcPr>
            <w:tcW w:w="4076" w:type="dxa"/>
            <w:vMerge/>
            <w:vAlign w:val="center"/>
          </w:tcPr>
          <w:p w14:paraId="255B6166" w14:textId="77777777" w:rsidR="004D1935" w:rsidRPr="005A5E3A" w:rsidRDefault="004D1935" w:rsidP="00E24DC9">
            <w:pPr>
              <w:jc w:val="center"/>
              <w:rPr>
                <w:color w:val="000000" w:themeColor="text1"/>
              </w:rPr>
            </w:pPr>
          </w:p>
        </w:tc>
        <w:tc>
          <w:tcPr>
            <w:tcW w:w="5068" w:type="dxa"/>
            <w:vMerge/>
            <w:vAlign w:val="center"/>
          </w:tcPr>
          <w:p w14:paraId="3DB443CC" w14:textId="77777777" w:rsidR="004D1935" w:rsidRPr="005A5E3A" w:rsidRDefault="004D1935" w:rsidP="00E24DC9">
            <w:pPr>
              <w:jc w:val="center"/>
              <w:rPr>
                <w:color w:val="000000" w:themeColor="text1"/>
              </w:rPr>
            </w:pPr>
          </w:p>
        </w:tc>
      </w:tr>
      <w:tr w:rsidR="004D1935" w:rsidRPr="005A5E3A" w14:paraId="558D84A0" w14:textId="77777777" w:rsidTr="00E24DC9">
        <w:tc>
          <w:tcPr>
            <w:tcW w:w="567" w:type="dxa"/>
            <w:vMerge/>
            <w:vAlign w:val="center"/>
          </w:tcPr>
          <w:p w14:paraId="6EF5CBAC"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66938709" w14:textId="77777777" w:rsidR="004D1935" w:rsidRPr="005A5E3A" w:rsidRDefault="004D1935" w:rsidP="00E24DC9">
            <w:pPr>
              <w:jc w:val="center"/>
              <w:rPr>
                <w:rFonts w:ascii="Calibri" w:hAnsi="Calibri" w:cs="Calibri"/>
                <w:color w:val="000000" w:themeColor="text1"/>
                <w:sz w:val="20"/>
                <w:szCs w:val="20"/>
              </w:rPr>
            </w:pPr>
            <w:r w:rsidRPr="005A5E3A">
              <w:rPr>
                <w:rFonts w:ascii="Calibri" w:hAnsi="Calibri" w:cs="Calibri"/>
                <w:color w:val="000000" w:themeColor="text1"/>
                <w:sz w:val="20"/>
                <w:szCs w:val="20"/>
              </w:rPr>
              <w:t>380.2451</w:t>
            </w:r>
          </w:p>
        </w:tc>
        <w:tc>
          <w:tcPr>
            <w:tcW w:w="2991" w:type="dxa"/>
            <w:vMerge/>
            <w:vAlign w:val="center"/>
          </w:tcPr>
          <w:p w14:paraId="44B0405B" w14:textId="77777777" w:rsidR="004D1935" w:rsidRPr="005A5E3A" w:rsidRDefault="004D1935" w:rsidP="00E24DC9">
            <w:pPr>
              <w:jc w:val="center"/>
              <w:rPr>
                <w:color w:val="000000" w:themeColor="text1"/>
              </w:rPr>
            </w:pPr>
          </w:p>
        </w:tc>
        <w:tc>
          <w:tcPr>
            <w:tcW w:w="1373" w:type="dxa"/>
            <w:vMerge/>
            <w:vAlign w:val="center"/>
          </w:tcPr>
          <w:p w14:paraId="38A1C5F7" w14:textId="77777777" w:rsidR="004D1935" w:rsidRPr="005A5E3A" w:rsidRDefault="004D1935" w:rsidP="00E24DC9">
            <w:pPr>
              <w:jc w:val="center"/>
              <w:rPr>
                <w:color w:val="000000" w:themeColor="text1"/>
              </w:rPr>
            </w:pPr>
          </w:p>
        </w:tc>
        <w:tc>
          <w:tcPr>
            <w:tcW w:w="4076" w:type="dxa"/>
            <w:vMerge/>
            <w:vAlign w:val="center"/>
          </w:tcPr>
          <w:p w14:paraId="31346594" w14:textId="77777777" w:rsidR="004D1935" w:rsidRPr="005A5E3A" w:rsidRDefault="004D1935" w:rsidP="00E24DC9">
            <w:pPr>
              <w:jc w:val="center"/>
              <w:rPr>
                <w:color w:val="000000" w:themeColor="text1"/>
              </w:rPr>
            </w:pPr>
          </w:p>
        </w:tc>
        <w:tc>
          <w:tcPr>
            <w:tcW w:w="5068" w:type="dxa"/>
            <w:vMerge/>
            <w:vAlign w:val="center"/>
          </w:tcPr>
          <w:p w14:paraId="4229B83B" w14:textId="77777777" w:rsidR="004D1935" w:rsidRPr="005A5E3A" w:rsidRDefault="004D1935" w:rsidP="00E24DC9">
            <w:pPr>
              <w:jc w:val="center"/>
              <w:rPr>
                <w:color w:val="000000" w:themeColor="text1"/>
              </w:rPr>
            </w:pPr>
          </w:p>
        </w:tc>
      </w:tr>
      <w:tr w:rsidR="004D1935" w:rsidRPr="005A5E3A" w14:paraId="74B781FB" w14:textId="77777777" w:rsidTr="00E24DC9">
        <w:tc>
          <w:tcPr>
            <w:tcW w:w="567" w:type="dxa"/>
            <w:vMerge/>
            <w:vAlign w:val="center"/>
          </w:tcPr>
          <w:p w14:paraId="3125DC1F" w14:textId="77777777" w:rsidR="004D1935" w:rsidRPr="005A5E3A" w:rsidRDefault="004D1935" w:rsidP="00E24DC9">
            <w:pPr>
              <w:jc w:val="center"/>
              <w:rPr>
                <w:color w:val="000000" w:themeColor="text1"/>
              </w:rPr>
            </w:pPr>
          </w:p>
        </w:tc>
        <w:tc>
          <w:tcPr>
            <w:tcW w:w="1093" w:type="dxa"/>
            <w:tcBorders>
              <w:top w:val="nil"/>
              <w:bottom w:val="single" w:sz="4" w:space="0" w:color="auto"/>
            </w:tcBorders>
            <w:vAlign w:val="center"/>
          </w:tcPr>
          <w:p w14:paraId="147A5D9E" w14:textId="77777777" w:rsidR="004D1935" w:rsidRPr="005A5E3A" w:rsidRDefault="004D1935" w:rsidP="00E24DC9">
            <w:pPr>
              <w:jc w:val="center"/>
              <w:rPr>
                <w:rFonts w:ascii="Calibri" w:hAnsi="Calibri" w:cs="Calibri"/>
                <w:color w:val="000000" w:themeColor="text1"/>
                <w:sz w:val="20"/>
                <w:szCs w:val="20"/>
              </w:rPr>
            </w:pPr>
            <w:r w:rsidRPr="005A5E3A">
              <w:rPr>
                <w:rFonts w:ascii="Calibri" w:hAnsi="Calibri" w:cs="Calibri"/>
                <w:color w:val="000000" w:themeColor="text1"/>
                <w:sz w:val="20"/>
                <w:szCs w:val="20"/>
              </w:rPr>
              <w:t>380.2877</w:t>
            </w:r>
          </w:p>
          <w:p w14:paraId="0444D835" w14:textId="77777777" w:rsidR="004D1935" w:rsidRDefault="004D1935" w:rsidP="00E24DC9">
            <w:pPr>
              <w:jc w:val="center"/>
              <w:rPr>
                <w:rFonts w:ascii="Calibri" w:hAnsi="Calibri" w:cs="Calibri"/>
                <w:color w:val="000000" w:themeColor="text1"/>
                <w:sz w:val="20"/>
                <w:szCs w:val="20"/>
              </w:rPr>
            </w:pPr>
          </w:p>
          <w:p w14:paraId="555E1C6F" w14:textId="77777777" w:rsidR="00284587" w:rsidRDefault="00284587" w:rsidP="00E24DC9">
            <w:pPr>
              <w:jc w:val="center"/>
              <w:rPr>
                <w:rFonts w:ascii="Calibri" w:hAnsi="Calibri" w:cs="Calibri"/>
                <w:color w:val="000000" w:themeColor="text1"/>
                <w:sz w:val="20"/>
                <w:szCs w:val="20"/>
              </w:rPr>
            </w:pPr>
          </w:p>
          <w:p w14:paraId="35662D66" w14:textId="60270E57" w:rsidR="00284587" w:rsidRPr="005A5E3A" w:rsidRDefault="00284587" w:rsidP="00E24DC9">
            <w:pPr>
              <w:jc w:val="center"/>
              <w:rPr>
                <w:rFonts w:ascii="Calibri" w:hAnsi="Calibri" w:cs="Calibri"/>
                <w:color w:val="000000" w:themeColor="text1"/>
                <w:sz w:val="20"/>
                <w:szCs w:val="20"/>
              </w:rPr>
            </w:pPr>
          </w:p>
        </w:tc>
        <w:tc>
          <w:tcPr>
            <w:tcW w:w="2991" w:type="dxa"/>
            <w:vMerge/>
            <w:vAlign w:val="center"/>
          </w:tcPr>
          <w:p w14:paraId="2BE861F8" w14:textId="77777777" w:rsidR="004D1935" w:rsidRPr="005A5E3A" w:rsidRDefault="004D1935" w:rsidP="00E24DC9">
            <w:pPr>
              <w:jc w:val="center"/>
              <w:rPr>
                <w:color w:val="000000" w:themeColor="text1"/>
              </w:rPr>
            </w:pPr>
          </w:p>
        </w:tc>
        <w:tc>
          <w:tcPr>
            <w:tcW w:w="1373" w:type="dxa"/>
            <w:vMerge/>
            <w:vAlign w:val="center"/>
          </w:tcPr>
          <w:p w14:paraId="0D033E9D" w14:textId="77777777" w:rsidR="004D1935" w:rsidRPr="005A5E3A" w:rsidRDefault="004D1935" w:rsidP="00E24DC9">
            <w:pPr>
              <w:jc w:val="center"/>
              <w:rPr>
                <w:color w:val="000000" w:themeColor="text1"/>
              </w:rPr>
            </w:pPr>
          </w:p>
        </w:tc>
        <w:tc>
          <w:tcPr>
            <w:tcW w:w="4076" w:type="dxa"/>
            <w:vMerge/>
            <w:vAlign w:val="center"/>
          </w:tcPr>
          <w:p w14:paraId="5085C681" w14:textId="77777777" w:rsidR="004D1935" w:rsidRPr="005A5E3A" w:rsidRDefault="004D1935" w:rsidP="00E24DC9">
            <w:pPr>
              <w:jc w:val="center"/>
              <w:rPr>
                <w:color w:val="000000" w:themeColor="text1"/>
              </w:rPr>
            </w:pPr>
          </w:p>
        </w:tc>
        <w:tc>
          <w:tcPr>
            <w:tcW w:w="5068" w:type="dxa"/>
            <w:vMerge/>
            <w:vAlign w:val="center"/>
          </w:tcPr>
          <w:p w14:paraId="371D28EB" w14:textId="77777777" w:rsidR="004D1935" w:rsidRPr="005A5E3A" w:rsidRDefault="004D1935" w:rsidP="00E24DC9">
            <w:pPr>
              <w:jc w:val="center"/>
              <w:rPr>
                <w:color w:val="000000" w:themeColor="text1"/>
              </w:rPr>
            </w:pPr>
          </w:p>
        </w:tc>
      </w:tr>
      <w:tr w:rsidR="004D1935" w:rsidRPr="005A5E3A" w14:paraId="7129E395" w14:textId="77777777" w:rsidTr="00E24DC9">
        <w:tc>
          <w:tcPr>
            <w:tcW w:w="567" w:type="dxa"/>
            <w:vMerge w:val="restart"/>
            <w:vAlign w:val="center"/>
          </w:tcPr>
          <w:p w14:paraId="3F026661" w14:textId="77777777" w:rsidR="004D1935" w:rsidRPr="005A5E3A" w:rsidRDefault="004D1935" w:rsidP="00E24DC9">
            <w:pPr>
              <w:jc w:val="center"/>
              <w:rPr>
                <w:color w:val="000000" w:themeColor="text1"/>
              </w:rPr>
            </w:pPr>
            <w:r w:rsidRPr="005A5E3A">
              <w:rPr>
                <w:color w:val="000000" w:themeColor="text1"/>
              </w:rPr>
              <w:lastRenderedPageBreak/>
              <w:t>NA</w:t>
            </w:r>
          </w:p>
        </w:tc>
        <w:tc>
          <w:tcPr>
            <w:tcW w:w="1093" w:type="dxa"/>
            <w:tcBorders>
              <w:bottom w:val="nil"/>
            </w:tcBorders>
            <w:vAlign w:val="center"/>
          </w:tcPr>
          <w:p w14:paraId="5A1E7C2A" w14:textId="77777777" w:rsidR="004D1935" w:rsidRDefault="004D1935" w:rsidP="00E24DC9">
            <w:pPr>
              <w:jc w:val="center"/>
              <w:rPr>
                <w:rFonts w:ascii="Calibri" w:hAnsi="Calibri" w:cs="Calibri"/>
                <w:color w:val="000000" w:themeColor="text1"/>
                <w:sz w:val="20"/>
                <w:szCs w:val="20"/>
              </w:rPr>
            </w:pPr>
          </w:p>
          <w:p w14:paraId="5E8E4ACC" w14:textId="77777777" w:rsidR="004D1935" w:rsidRDefault="004D1935" w:rsidP="00E24DC9">
            <w:pPr>
              <w:jc w:val="center"/>
              <w:rPr>
                <w:rFonts w:ascii="Calibri" w:hAnsi="Calibri" w:cs="Calibri"/>
                <w:color w:val="000000" w:themeColor="text1"/>
                <w:sz w:val="20"/>
                <w:szCs w:val="20"/>
              </w:rPr>
            </w:pPr>
          </w:p>
          <w:p w14:paraId="13D85166" w14:textId="77777777" w:rsidR="004D1935" w:rsidRDefault="004D1935" w:rsidP="00E24DC9">
            <w:pPr>
              <w:jc w:val="center"/>
              <w:rPr>
                <w:rFonts w:ascii="Calibri" w:hAnsi="Calibri" w:cs="Calibri"/>
                <w:color w:val="000000" w:themeColor="text1"/>
                <w:sz w:val="20"/>
                <w:szCs w:val="20"/>
              </w:rPr>
            </w:pPr>
          </w:p>
          <w:p w14:paraId="6CB76EFF" w14:textId="77777777" w:rsidR="004D1935" w:rsidRDefault="004D1935" w:rsidP="00E24DC9">
            <w:pPr>
              <w:jc w:val="center"/>
              <w:rPr>
                <w:rFonts w:ascii="Calibri" w:hAnsi="Calibri" w:cs="Calibri"/>
                <w:color w:val="000000" w:themeColor="text1"/>
                <w:sz w:val="20"/>
                <w:szCs w:val="20"/>
              </w:rPr>
            </w:pPr>
          </w:p>
          <w:p w14:paraId="542A2EA3" w14:textId="77777777" w:rsidR="004D1935" w:rsidRDefault="004D1935" w:rsidP="00E24DC9">
            <w:pPr>
              <w:jc w:val="center"/>
              <w:rPr>
                <w:rFonts w:ascii="Calibri" w:hAnsi="Calibri" w:cs="Calibri"/>
                <w:color w:val="000000" w:themeColor="text1"/>
                <w:sz w:val="20"/>
                <w:szCs w:val="20"/>
              </w:rPr>
            </w:pPr>
          </w:p>
          <w:p w14:paraId="714C02BF" w14:textId="77777777" w:rsidR="004D1935" w:rsidRDefault="004D1935" w:rsidP="00E24DC9">
            <w:pPr>
              <w:jc w:val="center"/>
              <w:rPr>
                <w:rFonts w:ascii="Calibri" w:hAnsi="Calibri" w:cs="Calibri"/>
                <w:color w:val="000000" w:themeColor="text1"/>
                <w:sz w:val="20"/>
                <w:szCs w:val="20"/>
              </w:rPr>
            </w:pPr>
          </w:p>
          <w:p w14:paraId="0C1249EF" w14:textId="77777777" w:rsidR="004D1935" w:rsidRDefault="004D1935" w:rsidP="00E24DC9">
            <w:pPr>
              <w:jc w:val="center"/>
              <w:rPr>
                <w:rFonts w:ascii="Calibri" w:hAnsi="Calibri" w:cs="Calibri"/>
                <w:color w:val="000000" w:themeColor="text1"/>
                <w:sz w:val="20"/>
                <w:szCs w:val="20"/>
              </w:rPr>
            </w:pPr>
          </w:p>
          <w:p w14:paraId="34AB02B5" w14:textId="77777777" w:rsidR="004D1935" w:rsidRDefault="004D1935" w:rsidP="00E24DC9">
            <w:pPr>
              <w:jc w:val="center"/>
              <w:rPr>
                <w:rFonts w:ascii="Calibri" w:hAnsi="Calibri" w:cs="Calibri"/>
                <w:color w:val="000000" w:themeColor="text1"/>
                <w:sz w:val="20"/>
                <w:szCs w:val="20"/>
              </w:rPr>
            </w:pPr>
          </w:p>
          <w:p w14:paraId="1F93AC07" w14:textId="77777777" w:rsidR="004D1935" w:rsidRDefault="004D1935" w:rsidP="00E24DC9">
            <w:pPr>
              <w:jc w:val="center"/>
              <w:rPr>
                <w:rFonts w:ascii="Calibri" w:hAnsi="Calibri" w:cs="Calibri"/>
                <w:color w:val="000000" w:themeColor="text1"/>
                <w:sz w:val="20"/>
                <w:szCs w:val="20"/>
              </w:rPr>
            </w:pPr>
          </w:p>
          <w:p w14:paraId="7F3B4CF3" w14:textId="77777777" w:rsidR="004D1935" w:rsidRDefault="004D1935" w:rsidP="00E24DC9">
            <w:pPr>
              <w:jc w:val="center"/>
              <w:rPr>
                <w:rFonts w:ascii="Calibri" w:hAnsi="Calibri" w:cs="Calibri"/>
                <w:color w:val="000000" w:themeColor="text1"/>
                <w:sz w:val="20"/>
                <w:szCs w:val="20"/>
              </w:rPr>
            </w:pPr>
          </w:p>
          <w:p w14:paraId="21040043" w14:textId="77777777" w:rsidR="004D1935" w:rsidRPr="005A5E3A" w:rsidRDefault="004D1935" w:rsidP="00E24DC9">
            <w:pPr>
              <w:jc w:val="center"/>
              <w:rPr>
                <w:rFonts w:ascii="Calibri" w:hAnsi="Calibri" w:cs="Calibri"/>
                <w:color w:val="000000" w:themeColor="text1"/>
                <w:sz w:val="20"/>
                <w:szCs w:val="20"/>
              </w:rPr>
            </w:pPr>
            <w:r w:rsidRPr="005A5E3A">
              <w:rPr>
                <w:rFonts w:ascii="Calibri" w:hAnsi="Calibri" w:cs="Calibri"/>
                <w:color w:val="000000" w:themeColor="text1"/>
                <w:sz w:val="20"/>
                <w:szCs w:val="20"/>
              </w:rPr>
              <w:t>358.1310</w:t>
            </w:r>
          </w:p>
        </w:tc>
        <w:tc>
          <w:tcPr>
            <w:tcW w:w="2991" w:type="dxa"/>
            <w:vMerge w:val="restart"/>
            <w:vAlign w:val="center"/>
          </w:tcPr>
          <w:p w14:paraId="318AD917" w14:textId="77777777" w:rsidR="004D1935" w:rsidRPr="005A5E3A" w:rsidRDefault="00000000" w:rsidP="00E24DC9">
            <w:pPr>
              <w:jc w:val="center"/>
              <w:rPr>
                <w:color w:val="000000" w:themeColor="text1"/>
              </w:rPr>
            </w:pPr>
            <w:hyperlink r:id="rId155" w:history="1">
              <w:r w:rsidR="004D1935" w:rsidRPr="005A5E3A">
                <w:rPr>
                  <w:rFonts w:ascii="Calibri" w:hAnsi="Calibri" w:cs="Calibri"/>
                  <w:color w:val="000000" w:themeColor="text1"/>
                  <w:sz w:val="20"/>
                  <w:szCs w:val="20"/>
                </w:rPr>
                <w:t>pinoresinol</w:t>
              </w:r>
            </w:hyperlink>
          </w:p>
          <w:p w14:paraId="36B71D86" w14:textId="77777777" w:rsidR="004D1935" w:rsidRPr="005A5E3A" w:rsidRDefault="00000000" w:rsidP="00E24DC9">
            <w:pPr>
              <w:jc w:val="center"/>
              <w:rPr>
                <w:color w:val="000000" w:themeColor="text1"/>
              </w:rPr>
            </w:pPr>
            <w:hyperlink r:id="rId156" w:history="1">
              <w:r w:rsidR="004D1935" w:rsidRPr="005A5E3A">
                <w:rPr>
                  <w:rFonts w:ascii="Calibri" w:hAnsi="Calibri" w:cs="Calibri"/>
                  <w:color w:val="000000" w:themeColor="text1"/>
                  <w:sz w:val="20"/>
                  <w:szCs w:val="20"/>
                </w:rPr>
                <w:t>(+)-pinoresinol</w:t>
              </w:r>
            </w:hyperlink>
          </w:p>
          <w:p w14:paraId="29F4732D" w14:textId="77777777" w:rsidR="004D1935" w:rsidRPr="005A5E3A" w:rsidRDefault="00000000" w:rsidP="00E24DC9">
            <w:pPr>
              <w:jc w:val="center"/>
              <w:rPr>
                <w:color w:val="000000" w:themeColor="text1"/>
              </w:rPr>
            </w:pPr>
            <w:hyperlink r:id="rId157" w:history="1">
              <w:r w:rsidR="004D1935" w:rsidRPr="005A5E3A">
                <w:rPr>
                  <w:rFonts w:ascii="Calibri" w:hAnsi="Calibri" w:cs="Calibri"/>
                  <w:color w:val="000000" w:themeColor="text1"/>
                  <w:sz w:val="20"/>
                  <w:szCs w:val="20"/>
                </w:rPr>
                <w:t>(-)-pinoresinol</w:t>
              </w:r>
            </w:hyperlink>
          </w:p>
          <w:p w14:paraId="21F3427E" w14:textId="77777777" w:rsidR="004D1935" w:rsidRPr="005A5E3A" w:rsidRDefault="00000000" w:rsidP="00E24DC9">
            <w:pPr>
              <w:jc w:val="center"/>
              <w:rPr>
                <w:color w:val="000000" w:themeColor="text1"/>
              </w:rPr>
            </w:pPr>
            <w:hyperlink r:id="rId158" w:history="1">
              <w:r w:rsidR="004D1935" w:rsidRPr="005A5E3A">
                <w:rPr>
                  <w:rFonts w:ascii="Calibri" w:hAnsi="Calibri" w:cs="Calibri"/>
                  <w:color w:val="000000" w:themeColor="text1"/>
                  <w:sz w:val="20"/>
                  <w:szCs w:val="20"/>
                </w:rPr>
                <w:t>(-)-matairesinol</w:t>
              </w:r>
            </w:hyperlink>
          </w:p>
          <w:p w14:paraId="0C4A97A5" w14:textId="77777777" w:rsidR="004D1935" w:rsidRPr="005A5E3A" w:rsidRDefault="00000000" w:rsidP="00E24DC9">
            <w:pPr>
              <w:jc w:val="center"/>
              <w:rPr>
                <w:color w:val="000000" w:themeColor="text1"/>
              </w:rPr>
            </w:pPr>
            <w:hyperlink r:id="rId159" w:history="1">
              <w:r w:rsidR="004D1935" w:rsidRPr="005A5E3A">
                <w:rPr>
                  <w:rFonts w:ascii="Calibri" w:hAnsi="Calibri" w:cs="Calibri"/>
                  <w:color w:val="000000" w:themeColor="text1"/>
                  <w:sz w:val="20"/>
                  <w:szCs w:val="20"/>
                </w:rPr>
                <w:t>deacetylcolchicine</w:t>
              </w:r>
            </w:hyperlink>
          </w:p>
          <w:p w14:paraId="24A84D70" w14:textId="77777777" w:rsidR="004D1935" w:rsidRPr="005A5E3A" w:rsidRDefault="00000000" w:rsidP="00E24DC9">
            <w:pPr>
              <w:jc w:val="center"/>
              <w:rPr>
                <w:color w:val="000000" w:themeColor="text1"/>
              </w:rPr>
            </w:pPr>
            <w:hyperlink r:id="rId160" w:history="1">
              <w:r w:rsidR="004D1935" w:rsidRPr="005A5E3A">
                <w:rPr>
                  <w:rFonts w:ascii="Calibri" w:hAnsi="Calibri" w:cs="Calibri"/>
                  <w:color w:val="000000" w:themeColor="text1"/>
                  <w:sz w:val="20"/>
                  <w:szCs w:val="20"/>
                </w:rPr>
                <w:t>cannabidiolate</w:t>
              </w:r>
            </w:hyperlink>
          </w:p>
        </w:tc>
        <w:tc>
          <w:tcPr>
            <w:tcW w:w="1373" w:type="dxa"/>
            <w:vMerge w:val="restart"/>
            <w:vAlign w:val="center"/>
          </w:tcPr>
          <w:p w14:paraId="67AF99E0" w14:textId="77777777" w:rsidR="004D1935" w:rsidRPr="005A5E3A" w:rsidRDefault="004D1935" w:rsidP="00E24DC9">
            <w:pPr>
              <w:jc w:val="center"/>
              <w:rPr>
                <w:color w:val="000000" w:themeColor="text1"/>
              </w:rPr>
            </w:pPr>
            <w:r w:rsidRPr="005A5E3A">
              <w:rPr>
                <w:rFonts w:ascii="Arial" w:hAnsi="Arial" w:cs="Arial"/>
                <w:color w:val="000000" w:themeColor="text1"/>
                <w:sz w:val="20"/>
                <w:szCs w:val="20"/>
              </w:rPr>
              <w:t>C</w:t>
            </w:r>
            <w:r w:rsidRPr="005A5E3A">
              <w:rPr>
                <w:rFonts w:ascii="Arial" w:hAnsi="Arial" w:cs="Arial"/>
                <w:color w:val="000000" w:themeColor="text1"/>
                <w:sz w:val="20"/>
                <w:szCs w:val="20"/>
                <w:vertAlign w:val="subscript"/>
              </w:rPr>
              <w:t>20</w:t>
            </w:r>
            <w:r w:rsidRPr="005A5E3A">
              <w:rPr>
                <w:rFonts w:ascii="Arial" w:hAnsi="Arial" w:cs="Arial"/>
                <w:color w:val="000000" w:themeColor="text1"/>
                <w:sz w:val="20"/>
                <w:szCs w:val="20"/>
              </w:rPr>
              <w:t>H</w:t>
            </w:r>
            <w:r w:rsidRPr="005A5E3A">
              <w:rPr>
                <w:rFonts w:ascii="Arial" w:hAnsi="Arial" w:cs="Arial"/>
                <w:color w:val="000000" w:themeColor="text1"/>
                <w:sz w:val="20"/>
                <w:szCs w:val="20"/>
                <w:vertAlign w:val="subscript"/>
              </w:rPr>
              <w:t>22</w:t>
            </w:r>
            <w:r w:rsidRPr="005A5E3A">
              <w:rPr>
                <w:rFonts w:ascii="Arial" w:hAnsi="Arial" w:cs="Arial"/>
                <w:color w:val="000000" w:themeColor="text1"/>
                <w:sz w:val="20"/>
                <w:szCs w:val="20"/>
              </w:rPr>
              <w:t>O</w:t>
            </w:r>
            <w:r w:rsidRPr="005A5E3A">
              <w:rPr>
                <w:rFonts w:ascii="Arial" w:hAnsi="Arial" w:cs="Arial"/>
                <w:color w:val="000000" w:themeColor="text1"/>
                <w:sz w:val="20"/>
                <w:szCs w:val="20"/>
                <w:vertAlign w:val="subscript"/>
              </w:rPr>
              <w:t>6</w:t>
            </w:r>
          </w:p>
          <w:p w14:paraId="56AF1E8F" w14:textId="77777777" w:rsidR="004D1935" w:rsidRPr="005A5E3A" w:rsidRDefault="004D1935" w:rsidP="00E24DC9">
            <w:pPr>
              <w:jc w:val="center"/>
              <w:rPr>
                <w:color w:val="000000" w:themeColor="text1"/>
              </w:rPr>
            </w:pPr>
            <w:r w:rsidRPr="005A5E3A">
              <w:rPr>
                <w:rFonts w:ascii="Arial" w:hAnsi="Arial" w:cs="Arial"/>
                <w:color w:val="000000" w:themeColor="text1"/>
                <w:sz w:val="20"/>
                <w:szCs w:val="20"/>
              </w:rPr>
              <w:t>C</w:t>
            </w:r>
            <w:r w:rsidRPr="005A5E3A">
              <w:rPr>
                <w:rFonts w:ascii="Arial" w:hAnsi="Arial" w:cs="Arial"/>
                <w:color w:val="000000" w:themeColor="text1"/>
                <w:sz w:val="20"/>
                <w:szCs w:val="20"/>
                <w:vertAlign w:val="subscript"/>
              </w:rPr>
              <w:t>20</w:t>
            </w:r>
            <w:r w:rsidRPr="005A5E3A">
              <w:rPr>
                <w:rFonts w:ascii="Arial" w:hAnsi="Arial" w:cs="Arial"/>
                <w:color w:val="000000" w:themeColor="text1"/>
                <w:sz w:val="20"/>
                <w:szCs w:val="20"/>
              </w:rPr>
              <w:t>H</w:t>
            </w:r>
            <w:r w:rsidRPr="005A5E3A">
              <w:rPr>
                <w:rFonts w:ascii="Arial" w:hAnsi="Arial" w:cs="Arial"/>
                <w:color w:val="000000" w:themeColor="text1"/>
                <w:sz w:val="20"/>
                <w:szCs w:val="20"/>
                <w:vertAlign w:val="subscript"/>
              </w:rPr>
              <w:t>22</w:t>
            </w:r>
            <w:r w:rsidRPr="005A5E3A">
              <w:rPr>
                <w:rFonts w:ascii="Arial" w:hAnsi="Arial" w:cs="Arial"/>
                <w:color w:val="000000" w:themeColor="text1"/>
                <w:sz w:val="20"/>
                <w:szCs w:val="20"/>
              </w:rPr>
              <w:t>O</w:t>
            </w:r>
            <w:r w:rsidRPr="005A5E3A">
              <w:rPr>
                <w:rFonts w:ascii="Arial" w:hAnsi="Arial" w:cs="Arial"/>
                <w:color w:val="000000" w:themeColor="text1"/>
                <w:sz w:val="20"/>
                <w:szCs w:val="20"/>
                <w:vertAlign w:val="subscript"/>
              </w:rPr>
              <w:t>6</w:t>
            </w:r>
          </w:p>
          <w:p w14:paraId="17343B47" w14:textId="77777777" w:rsidR="004D1935" w:rsidRPr="005A5E3A" w:rsidRDefault="004D1935" w:rsidP="00E24DC9">
            <w:pPr>
              <w:jc w:val="center"/>
              <w:rPr>
                <w:color w:val="000000" w:themeColor="text1"/>
              </w:rPr>
            </w:pPr>
            <w:r w:rsidRPr="005A5E3A">
              <w:rPr>
                <w:rFonts w:ascii="Arial" w:hAnsi="Arial" w:cs="Arial"/>
                <w:color w:val="000000" w:themeColor="text1"/>
                <w:sz w:val="20"/>
                <w:szCs w:val="20"/>
              </w:rPr>
              <w:t>C</w:t>
            </w:r>
            <w:r w:rsidRPr="005A5E3A">
              <w:rPr>
                <w:rFonts w:ascii="Arial" w:hAnsi="Arial" w:cs="Arial"/>
                <w:color w:val="000000" w:themeColor="text1"/>
                <w:sz w:val="20"/>
                <w:szCs w:val="20"/>
                <w:vertAlign w:val="subscript"/>
              </w:rPr>
              <w:t>20</w:t>
            </w:r>
            <w:r w:rsidRPr="005A5E3A">
              <w:rPr>
                <w:rFonts w:ascii="Arial" w:hAnsi="Arial" w:cs="Arial"/>
                <w:color w:val="000000" w:themeColor="text1"/>
                <w:sz w:val="20"/>
                <w:szCs w:val="20"/>
              </w:rPr>
              <w:t>H</w:t>
            </w:r>
            <w:r w:rsidRPr="005A5E3A">
              <w:rPr>
                <w:rFonts w:ascii="Arial" w:hAnsi="Arial" w:cs="Arial"/>
                <w:color w:val="000000" w:themeColor="text1"/>
                <w:sz w:val="20"/>
                <w:szCs w:val="20"/>
                <w:vertAlign w:val="subscript"/>
              </w:rPr>
              <w:t>22</w:t>
            </w:r>
            <w:r w:rsidRPr="005A5E3A">
              <w:rPr>
                <w:rFonts w:ascii="Arial" w:hAnsi="Arial" w:cs="Arial"/>
                <w:color w:val="000000" w:themeColor="text1"/>
                <w:sz w:val="20"/>
                <w:szCs w:val="20"/>
              </w:rPr>
              <w:t>O</w:t>
            </w:r>
            <w:r w:rsidRPr="005A5E3A">
              <w:rPr>
                <w:rFonts w:ascii="Arial" w:hAnsi="Arial" w:cs="Arial"/>
                <w:color w:val="000000" w:themeColor="text1"/>
                <w:sz w:val="20"/>
                <w:szCs w:val="20"/>
                <w:vertAlign w:val="subscript"/>
              </w:rPr>
              <w:t>6</w:t>
            </w:r>
          </w:p>
          <w:p w14:paraId="49D2D8C7" w14:textId="77777777" w:rsidR="004D1935" w:rsidRPr="005A5E3A" w:rsidRDefault="004D1935" w:rsidP="00E24DC9">
            <w:pPr>
              <w:jc w:val="center"/>
              <w:rPr>
                <w:color w:val="000000" w:themeColor="text1"/>
              </w:rPr>
            </w:pPr>
            <w:r w:rsidRPr="005A5E3A">
              <w:rPr>
                <w:rFonts w:ascii="Arial" w:hAnsi="Arial" w:cs="Arial"/>
                <w:color w:val="000000" w:themeColor="text1"/>
                <w:sz w:val="20"/>
                <w:szCs w:val="20"/>
              </w:rPr>
              <w:t>C</w:t>
            </w:r>
            <w:r w:rsidRPr="005A5E3A">
              <w:rPr>
                <w:rFonts w:ascii="Arial" w:hAnsi="Arial" w:cs="Arial"/>
                <w:color w:val="000000" w:themeColor="text1"/>
                <w:sz w:val="20"/>
                <w:szCs w:val="20"/>
                <w:vertAlign w:val="subscript"/>
              </w:rPr>
              <w:t>20</w:t>
            </w:r>
            <w:r w:rsidRPr="005A5E3A">
              <w:rPr>
                <w:rFonts w:ascii="Arial" w:hAnsi="Arial" w:cs="Arial"/>
                <w:color w:val="000000" w:themeColor="text1"/>
                <w:sz w:val="20"/>
                <w:szCs w:val="20"/>
              </w:rPr>
              <w:t>H</w:t>
            </w:r>
            <w:r w:rsidRPr="005A5E3A">
              <w:rPr>
                <w:rFonts w:ascii="Arial" w:hAnsi="Arial" w:cs="Arial"/>
                <w:color w:val="000000" w:themeColor="text1"/>
                <w:sz w:val="20"/>
                <w:szCs w:val="20"/>
                <w:vertAlign w:val="subscript"/>
              </w:rPr>
              <w:t>22</w:t>
            </w:r>
            <w:r w:rsidRPr="005A5E3A">
              <w:rPr>
                <w:rFonts w:ascii="Arial" w:hAnsi="Arial" w:cs="Arial"/>
                <w:color w:val="000000" w:themeColor="text1"/>
                <w:sz w:val="20"/>
                <w:szCs w:val="20"/>
              </w:rPr>
              <w:t>O</w:t>
            </w:r>
            <w:r w:rsidRPr="005A5E3A">
              <w:rPr>
                <w:rFonts w:ascii="Arial" w:hAnsi="Arial" w:cs="Arial"/>
                <w:color w:val="000000" w:themeColor="text1"/>
                <w:sz w:val="20"/>
                <w:szCs w:val="20"/>
                <w:vertAlign w:val="subscript"/>
              </w:rPr>
              <w:t>6</w:t>
            </w:r>
          </w:p>
          <w:p w14:paraId="38D316CC" w14:textId="77777777" w:rsidR="004D1935" w:rsidRPr="005A5E3A" w:rsidRDefault="004D1935" w:rsidP="00E24DC9">
            <w:pPr>
              <w:jc w:val="center"/>
              <w:rPr>
                <w:color w:val="000000" w:themeColor="text1"/>
              </w:rPr>
            </w:pPr>
            <w:r w:rsidRPr="005A5E3A">
              <w:rPr>
                <w:rFonts w:ascii="Arial" w:hAnsi="Arial" w:cs="Arial"/>
                <w:color w:val="000000" w:themeColor="text1"/>
                <w:sz w:val="20"/>
                <w:szCs w:val="20"/>
              </w:rPr>
              <w:t>C</w:t>
            </w:r>
            <w:r w:rsidRPr="005A5E3A">
              <w:rPr>
                <w:rFonts w:ascii="Arial" w:hAnsi="Arial" w:cs="Arial"/>
                <w:color w:val="000000" w:themeColor="text1"/>
                <w:sz w:val="20"/>
                <w:szCs w:val="20"/>
                <w:vertAlign w:val="subscript"/>
              </w:rPr>
              <w:t>20</w:t>
            </w:r>
            <w:r w:rsidRPr="005A5E3A">
              <w:rPr>
                <w:rFonts w:ascii="Arial" w:hAnsi="Arial" w:cs="Arial"/>
                <w:color w:val="000000" w:themeColor="text1"/>
                <w:sz w:val="20"/>
                <w:szCs w:val="20"/>
              </w:rPr>
              <w:t>H</w:t>
            </w:r>
            <w:r w:rsidRPr="005A5E3A">
              <w:rPr>
                <w:rFonts w:ascii="Arial" w:hAnsi="Arial" w:cs="Arial"/>
                <w:color w:val="000000" w:themeColor="text1"/>
                <w:sz w:val="20"/>
                <w:szCs w:val="20"/>
                <w:vertAlign w:val="subscript"/>
              </w:rPr>
              <w:t>24</w:t>
            </w:r>
            <w:r w:rsidRPr="005A5E3A">
              <w:rPr>
                <w:rFonts w:ascii="Arial" w:hAnsi="Arial" w:cs="Arial"/>
                <w:color w:val="000000" w:themeColor="text1"/>
                <w:sz w:val="20"/>
                <w:szCs w:val="20"/>
              </w:rPr>
              <w:t>NO</w:t>
            </w:r>
            <w:r w:rsidRPr="005A5E3A">
              <w:rPr>
                <w:rFonts w:ascii="Arial" w:hAnsi="Arial" w:cs="Arial"/>
                <w:color w:val="000000" w:themeColor="text1"/>
                <w:sz w:val="20"/>
                <w:szCs w:val="20"/>
                <w:vertAlign w:val="subscript"/>
              </w:rPr>
              <w:t>5</w:t>
            </w:r>
          </w:p>
          <w:p w14:paraId="151E550C" w14:textId="77777777" w:rsidR="004D1935" w:rsidRPr="005A5E3A" w:rsidRDefault="004D1935" w:rsidP="00E24DC9">
            <w:pPr>
              <w:jc w:val="center"/>
              <w:rPr>
                <w:color w:val="000000" w:themeColor="text1"/>
              </w:rPr>
            </w:pPr>
            <w:r w:rsidRPr="005A5E3A">
              <w:rPr>
                <w:rFonts w:ascii="Arial" w:hAnsi="Arial" w:cs="Arial"/>
                <w:color w:val="000000" w:themeColor="text1"/>
                <w:sz w:val="20"/>
                <w:szCs w:val="20"/>
              </w:rPr>
              <w:t>C</w:t>
            </w:r>
            <w:r w:rsidRPr="005A5E3A">
              <w:rPr>
                <w:rFonts w:ascii="Arial" w:hAnsi="Arial" w:cs="Arial"/>
                <w:color w:val="000000" w:themeColor="text1"/>
                <w:sz w:val="20"/>
                <w:szCs w:val="20"/>
                <w:vertAlign w:val="subscript"/>
              </w:rPr>
              <w:t>22</w:t>
            </w:r>
            <w:r w:rsidRPr="005A5E3A">
              <w:rPr>
                <w:rFonts w:ascii="Arial" w:hAnsi="Arial" w:cs="Arial"/>
                <w:color w:val="000000" w:themeColor="text1"/>
                <w:sz w:val="20"/>
                <w:szCs w:val="20"/>
              </w:rPr>
              <w:t>H</w:t>
            </w:r>
            <w:r w:rsidRPr="005A5E3A">
              <w:rPr>
                <w:rFonts w:ascii="Arial" w:hAnsi="Arial" w:cs="Arial"/>
                <w:color w:val="000000" w:themeColor="text1"/>
                <w:sz w:val="20"/>
                <w:szCs w:val="20"/>
                <w:vertAlign w:val="subscript"/>
              </w:rPr>
              <w:t>29</w:t>
            </w:r>
            <w:r w:rsidRPr="005A5E3A">
              <w:rPr>
                <w:rFonts w:ascii="Arial" w:hAnsi="Arial" w:cs="Arial"/>
                <w:color w:val="000000" w:themeColor="text1"/>
                <w:sz w:val="20"/>
                <w:szCs w:val="20"/>
              </w:rPr>
              <w:t>O</w:t>
            </w:r>
            <w:r w:rsidRPr="005A5E3A">
              <w:rPr>
                <w:rFonts w:ascii="Arial" w:hAnsi="Arial" w:cs="Arial"/>
                <w:color w:val="000000" w:themeColor="text1"/>
                <w:sz w:val="20"/>
                <w:szCs w:val="20"/>
                <w:vertAlign w:val="subscript"/>
              </w:rPr>
              <w:t>4</w:t>
            </w:r>
          </w:p>
        </w:tc>
        <w:tc>
          <w:tcPr>
            <w:tcW w:w="4076" w:type="dxa"/>
            <w:vMerge w:val="restart"/>
            <w:vAlign w:val="center"/>
          </w:tcPr>
          <w:p w14:paraId="47B16508" w14:textId="77777777" w:rsidR="004D1935" w:rsidRPr="005A5E3A" w:rsidRDefault="004D1935" w:rsidP="00E24DC9">
            <w:pPr>
              <w:jc w:val="center"/>
              <w:rPr>
                <w:color w:val="000000" w:themeColor="text1"/>
              </w:rPr>
            </w:pPr>
            <w:r w:rsidRPr="005A5E3A">
              <w:rPr>
                <w:rFonts w:ascii="Calibri" w:hAnsi="Calibri" w:cs="Calibri"/>
                <w:color w:val="000000" w:themeColor="text1"/>
                <w:sz w:val="20"/>
                <w:szCs w:val="20"/>
              </w:rPr>
              <w:t>phenylpropanoid/lignan</w:t>
            </w:r>
          </w:p>
          <w:p w14:paraId="7B7DBC2B" w14:textId="77777777" w:rsidR="004D1935" w:rsidRPr="005A5E3A" w:rsidRDefault="004D1935" w:rsidP="00E24DC9">
            <w:pPr>
              <w:jc w:val="center"/>
              <w:rPr>
                <w:color w:val="000000" w:themeColor="text1"/>
              </w:rPr>
            </w:pPr>
            <w:r w:rsidRPr="005A5E3A">
              <w:rPr>
                <w:rFonts w:ascii="Calibri" w:hAnsi="Calibri" w:cs="Calibri"/>
                <w:color w:val="000000" w:themeColor="text1"/>
                <w:sz w:val="20"/>
                <w:szCs w:val="20"/>
              </w:rPr>
              <w:t>phenylpropanoid/lignan</w:t>
            </w:r>
          </w:p>
          <w:p w14:paraId="21A8BCC7" w14:textId="77777777" w:rsidR="004D1935" w:rsidRPr="005A5E3A" w:rsidRDefault="004D1935" w:rsidP="00E24DC9">
            <w:pPr>
              <w:jc w:val="center"/>
              <w:rPr>
                <w:color w:val="000000" w:themeColor="text1"/>
              </w:rPr>
            </w:pPr>
            <w:r w:rsidRPr="005A5E3A">
              <w:rPr>
                <w:rFonts w:ascii="Calibri" w:hAnsi="Calibri" w:cs="Calibri"/>
                <w:color w:val="000000" w:themeColor="text1"/>
                <w:sz w:val="20"/>
                <w:szCs w:val="20"/>
              </w:rPr>
              <w:t>phenylpropanoid/lignan</w:t>
            </w:r>
          </w:p>
          <w:p w14:paraId="615EDB35" w14:textId="77777777" w:rsidR="004D1935" w:rsidRPr="005A5E3A" w:rsidRDefault="004D1935" w:rsidP="00E24DC9">
            <w:pPr>
              <w:jc w:val="center"/>
              <w:rPr>
                <w:color w:val="000000" w:themeColor="text1"/>
              </w:rPr>
            </w:pPr>
            <w:r w:rsidRPr="005A5E3A">
              <w:rPr>
                <w:rFonts w:ascii="Calibri" w:hAnsi="Calibri" w:cs="Calibri"/>
                <w:color w:val="000000" w:themeColor="text1"/>
                <w:sz w:val="20"/>
                <w:szCs w:val="20"/>
              </w:rPr>
              <w:t>phenylpropanoid/lignan</w:t>
            </w:r>
          </w:p>
          <w:p w14:paraId="0F0C73F2" w14:textId="77777777" w:rsidR="004D1935" w:rsidRPr="005A5E3A" w:rsidRDefault="004D1935" w:rsidP="00E24DC9">
            <w:pPr>
              <w:jc w:val="center"/>
              <w:rPr>
                <w:color w:val="000000" w:themeColor="text1"/>
              </w:rPr>
            </w:pPr>
            <w:r w:rsidRPr="005A5E3A">
              <w:rPr>
                <w:rFonts w:ascii="Calibri" w:hAnsi="Calibri" w:cs="Calibri"/>
                <w:color w:val="000000" w:themeColor="text1"/>
                <w:sz w:val="20"/>
                <w:szCs w:val="20"/>
              </w:rPr>
              <w:t>alkaloid</w:t>
            </w:r>
          </w:p>
          <w:p w14:paraId="6BC8CFC5" w14:textId="77777777" w:rsidR="004D1935" w:rsidRPr="005A5E3A" w:rsidRDefault="004D1935" w:rsidP="00E24DC9">
            <w:pPr>
              <w:jc w:val="center"/>
              <w:rPr>
                <w:color w:val="000000" w:themeColor="text1"/>
              </w:rPr>
            </w:pPr>
            <w:r w:rsidRPr="005A5E3A">
              <w:rPr>
                <w:rFonts w:ascii="Calibri" w:hAnsi="Calibri" w:cs="Calibri"/>
                <w:color w:val="000000" w:themeColor="text1"/>
                <w:sz w:val="20"/>
                <w:szCs w:val="20"/>
              </w:rPr>
              <w:t>isoprenoid</w:t>
            </w:r>
          </w:p>
        </w:tc>
        <w:tc>
          <w:tcPr>
            <w:tcW w:w="5068" w:type="dxa"/>
            <w:vMerge w:val="restart"/>
            <w:vAlign w:val="center"/>
          </w:tcPr>
          <w:p w14:paraId="11D7B600" w14:textId="77777777" w:rsidR="004D1935" w:rsidRPr="005A5E3A" w:rsidRDefault="004D1935" w:rsidP="00E24DC9">
            <w:pPr>
              <w:jc w:val="center"/>
              <w:rPr>
                <w:color w:val="000000" w:themeColor="text1"/>
              </w:rPr>
            </w:pPr>
            <w:r w:rsidRPr="005A5E3A">
              <w:rPr>
                <w:rFonts w:ascii="Verdana" w:hAnsi="Verdana" w:cs="Calibri"/>
                <w:color w:val="000000" w:themeColor="text1"/>
                <w:sz w:val="11"/>
                <w:szCs w:val="11"/>
              </w:rPr>
              <w:t>Carotenoid biosynthesis Porphyrin and chlorophyll metabolism /shikimate pathway/jasmonic acid biosynthesis</w:t>
            </w:r>
          </w:p>
          <w:p w14:paraId="1B6DD42D" w14:textId="77777777" w:rsidR="004D1935" w:rsidRPr="005A5E3A" w:rsidRDefault="004D1935" w:rsidP="00E24DC9">
            <w:pPr>
              <w:jc w:val="center"/>
              <w:rPr>
                <w:color w:val="000000" w:themeColor="text1"/>
              </w:rPr>
            </w:pPr>
            <w:r w:rsidRPr="005A5E3A">
              <w:rPr>
                <w:rFonts w:ascii="Verdana" w:hAnsi="Verdana" w:cs="Calibri"/>
                <w:color w:val="000000" w:themeColor="text1"/>
                <w:sz w:val="11"/>
                <w:szCs w:val="11"/>
              </w:rPr>
              <w:t>Carotenoid biosynthesis Porphyrin and chlorophyll metabolism /shikimate pathway/jasmonic acid biosynthesis</w:t>
            </w:r>
          </w:p>
          <w:p w14:paraId="5F718256" w14:textId="77777777" w:rsidR="004D1935" w:rsidRPr="005A5E3A" w:rsidRDefault="004D1935" w:rsidP="00E24DC9">
            <w:pPr>
              <w:jc w:val="center"/>
              <w:rPr>
                <w:color w:val="000000" w:themeColor="text1"/>
              </w:rPr>
            </w:pPr>
            <w:r w:rsidRPr="005A5E3A">
              <w:rPr>
                <w:rFonts w:ascii="Verdana" w:hAnsi="Verdana" w:cs="Calibri"/>
                <w:color w:val="000000" w:themeColor="text1"/>
                <w:sz w:val="11"/>
                <w:szCs w:val="11"/>
              </w:rPr>
              <w:t>Carotenoid biosynthesis Porphyrin and chlorophyll metabolism /shikimate pathway/jasmonic acid biosynthesis</w:t>
            </w:r>
          </w:p>
          <w:p w14:paraId="20A1FBBB" w14:textId="77777777" w:rsidR="004D1935" w:rsidRPr="005A5E3A" w:rsidRDefault="004D1935" w:rsidP="00E24DC9">
            <w:pPr>
              <w:jc w:val="center"/>
              <w:rPr>
                <w:color w:val="000000" w:themeColor="text1"/>
              </w:rPr>
            </w:pPr>
            <w:r w:rsidRPr="005A5E3A">
              <w:rPr>
                <w:rFonts w:ascii="Verdana" w:hAnsi="Verdana" w:cs="Calibri"/>
                <w:color w:val="000000" w:themeColor="text1"/>
                <w:sz w:val="20"/>
                <w:szCs w:val="20"/>
              </w:rPr>
              <w:t>Carotenoid biosynthesis Porphyrin and chlorophyll metabolism</w:t>
            </w:r>
          </w:p>
          <w:p w14:paraId="0142EA49" w14:textId="77777777" w:rsidR="004D1935" w:rsidRPr="005A5E3A" w:rsidRDefault="004D1935" w:rsidP="00E24DC9">
            <w:pPr>
              <w:jc w:val="center"/>
              <w:rPr>
                <w:color w:val="000000" w:themeColor="text1"/>
              </w:rPr>
            </w:pPr>
            <w:r w:rsidRPr="005A5E3A">
              <w:rPr>
                <w:rFonts w:ascii="Verdana" w:hAnsi="Verdana" w:cs="Calibri"/>
                <w:color w:val="000000" w:themeColor="text1"/>
                <w:sz w:val="20"/>
                <w:szCs w:val="20"/>
              </w:rPr>
              <w:t>Isoquinoline alkaloid biosynthesis</w:t>
            </w:r>
            <w:r w:rsidRPr="005A5E3A">
              <w:rPr>
                <w:rFonts w:ascii="Verdana" w:hAnsi="Verdana" w:cs="Calibri"/>
                <w:color w:val="000000" w:themeColor="text1"/>
                <w:sz w:val="13"/>
                <w:szCs w:val="13"/>
              </w:rPr>
              <w:t>/ shikimate pathway/jasmonic acid biosynthesis</w:t>
            </w:r>
          </w:p>
          <w:p w14:paraId="7F22B294" w14:textId="77777777" w:rsidR="004D1935" w:rsidRPr="005A5E3A" w:rsidRDefault="004D1935" w:rsidP="00E24DC9">
            <w:pPr>
              <w:jc w:val="center"/>
              <w:rPr>
                <w:color w:val="000000" w:themeColor="text1"/>
              </w:rPr>
            </w:pPr>
            <w:r w:rsidRPr="005A5E3A">
              <w:rPr>
                <w:rFonts w:ascii="Verdana" w:hAnsi="Verdana" w:cs="Calibri"/>
                <w:color w:val="000000" w:themeColor="text1"/>
                <w:sz w:val="20"/>
                <w:szCs w:val="20"/>
              </w:rPr>
              <w:t>Biosynthesis of secondary metabolites - unclassified</w:t>
            </w:r>
          </w:p>
        </w:tc>
      </w:tr>
      <w:tr w:rsidR="004D1935" w:rsidRPr="005A5E3A" w14:paraId="0C04E8E6" w14:textId="77777777" w:rsidTr="00E24DC9">
        <w:tc>
          <w:tcPr>
            <w:tcW w:w="567" w:type="dxa"/>
            <w:vMerge/>
            <w:vAlign w:val="center"/>
          </w:tcPr>
          <w:p w14:paraId="6F0CAE42"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5485FFCE" w14:textId="77777777" w:rsidR="004D1935" w:rsidRPr="005A5E3A" w:rsidRDefault="004D1935" w:rsidP="00E24DC9">
            <w:pPr>
              <w:jc w:val="center"/>
              <w:rPr>
                <w:rFonts w:ascii="Calibri" w:hAnsi="Calibri" w:cs="Calibri"/>
                <w:color w:val="000000" w:themeColor="text1"/>
                <w:sz w:val="20"/>
                <w:szCs w:val="20"/>
              </w:rPr>
            </w:pPr>
            <w:r w:rsidRPr="005A5E3A">
              <w:rPr>
                <w:rFonts w:ascii="Calibri" w:hAnsi="Calibri" w:cs="Calibri"/>
                <w:color w:val="000000" w:themeColor="text1"/>
                <w:sz w:val="20"/>
                <w:szCs w:val="20"/>
              </w:rPr>
              <w:t>358.1750</w:t>
            </w:r>
          </w:p>
        </w:tc>
        <w:tc>
          <w:tcPr>
            <w:tcW w:w="2991" w:type="dxa"/>
            <w:vMerge/>
            <w:vAlign w:val="center"/>
          </w:tcPr>
          <w:p w14:paraId="33B355FB" w14:textId="77777777" w:rsidR="004D1935" w:rsidRPr="005A5E3A" w:rsidRDefault="004D1935" w:rsidP="00E24DC9">
            <w:pPr>
              <w:jc w:val="center"/>
              <w:rPr>
                <w:color w:val="000000" w:themeColor="text1"/>
              </w:rPr>
            </w:pPr>
          </w:p>
        </w:tc>
        <w:tc>
          <w:tcPr>
            <w:tcW w:w="1373" w:type="dxa"/>
            <w:vMerge/>
            <w:vAlign w:val="center"/>
          </w:tcPr>
          <w:p w14:paraId="01F6575A" w14:textId="77777777" w:rsidR="004D1935" w:rsidRPr="005A5E3A" w:rsidRDefault="004D1935" w:rsidP="00E24DC9">
            <w:pPr>
              <w:jc w:val="center"/>
              <w:rPr>
                <w:color w:val="000000" w:themeColor="text1"/>
              </w:rPr>
            </w:pPr>
          </w:p>
        </w:tc>
        <w:tc>
          <w:tcPr>
            <w:tcW w:w="4076" w:type="dxa"/>
            <w:vMerge/>
            <w:vAlign w:val="center"/>
          </w:tcPr>
          <w:p w14:paraId="6281D104" w14:textId="77777777" w:rsidR="004D1935" w:rsidRPr="005A5E3A" w:rsidRDefault="004D1935" w:rsidP="00E24DC9">
            <w:pPr>
              <w:jc w:val="center"/>
              <w:rPr>
                <w:color w:val="000000" w:themeColor="text1"/>
              </w:rPr>
            </w:pPr>
          </w:p>
        </w:tc>
        <w:tc>
          <w:tcPr>
            <w:tcW w:w="5068" w:type="dxa"/>
            <w:vMerge/>
            <w:vAlign w:val="center"/>
          </w:tcPr>
          <w:p w14:paraId="293C5E93" w14:textId="77777777" w:rsidR="004D1935" w:rsidRPr="005A5E3A" w:rsidRDefault="004D1935" w:rsidP="00E24DC9">
            <w:pPr>
              <w:jc w:val="center"/>
              <w:rPr>
                <w:color w:val="000000" w:themeColor="text1"/>
              </w:rPr>
            </w:pPr>
          </w:p>
        </w:tc>
      </w:tr>
      <w:tr w:rsidR="004D1935" w:rsidRPr="005A5E3A" w14:paraId="30C955A3" w14:textId="77777777" w:rsidTr="00E24DC9">
        <w:tc>
          <w:tcPr>
            <w:tcW w:w="567" w:type="dxa"/>
            <w:vMerge/>
            <w:vAlign w:val="center"/>
          </w:tcPr>
          <w:p w14:paraId="33677B93"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23FC7CD6" w14:textId="77777777" w:rsidR="004D1935" w:rsidRPr="005A5E3A" w:rsidRDefault="004D1935" w:rsidP="00E24DC9">
            <w:pPr>
              <w:jc w:val="center"/>
              <w:rPr>
                <w:rFonts w:ascii="Calibri" w:hAnsi="Calibri" w:cs="Calibri"/>
                <w:color w:val="000000" w:themeColor="text1"/>
                <w:sz w:val="20"/>
                <w:szCs w:val="20"/>
              </w:rPr>
            </w:pPr>
            <w:r w:rsidRPr="005A5E3A">
              <w:rPr>
                <w:rFonts w:ascii="Calibri" w:hAnsi="Calibri" w:cs="Calibri"/>
                <w:color w:val="000000" w:themeColor="text1"/>
                <w:sz w:val="20"/>
                <w:szCs w:val="20"/>
              </w:rPr>
              <w:t>358.2176</w:t>
            </w:r>
          </w:p>
        </w:tc>
        <w:tc>
          <w:tcPr>
            <w:tcW w:w="2991" w:type="dxa"/>
            <w:vMerge/>
            <w:vAlign w:val="center"/>
          </w:tcPr>
          <w:p w14:paraId="284DEDB1" w14:textId="77777777" w:rsidR="004D1935" w:rsidRPr="005A5E3A" w:rsidRDefault="004D1935" w:rsidP="00E24DC9">
            <w:pPr>
              <w:jc w:val="center"/>
              <w:rPr>
                <w:color w:val="000000" w:themeColor="text1"/>
              </w:rPr>
            </w:pPr>
          </w:p>
        </w:tc>
        <w:tc>
          <w:tcPr>
            <w:tcW w:w="1373" w:type="dxa"/>
            <w:vMerge/>
            <w:vAlign w:val="center"/>
          </w:tcPr>
          <w:p w14:paraId="50A471DF" w14:textId="77777777" w:rsidR="004D1935" w:rsidRPr="005A5E3A" w:rsidRDefault="004D1935" w:rsidP="00E24DC9">
            <w:pPr>
              <w:jc w:val="center"/>
              <w:rPr>
                <w:color w:val="000000" w:themeColor="text1"/>
              </w:rPr>
            </w:pPr>
          </w:p>
        </w:tc>
        <w:tc>
          <w:tcPr>
            <w:tcW w:w="4076" w:type="dxa"/>
            <w:vMerge/>
            <w:vAlign w:val="center"/>
          </w:tcPr>
          <w:p w14:paraId="4FB1584B" w14:textId="77777777" w:rsidR="004D1935" w:rsidRPr="005A5E3A" w:rsidRDefault="004D1935" w:rsidP="00E24DC9">
            <w:pPr>
              <w:jc w:val="center"/>
              <w:rPr>
                <w:color w:val="000000" w:themeColor="text1"/>
              </w:rPr>
            </w:pPr>
          </w:p>
        </w:tc>
        <w:tc>
          <w:tcPr>
            <w:tcW w:w="5068" w:type="dxa"/>
            <w:vMerge/>
            <w:vAlign w:val="center"/>
          </w:tcPr>
          <w:p w14:paraId="61951EBE" w14:textId="77777777" w:rsidR="004D1935" w:rsidRPr="005A5E3A" w:rsidRDefault="004D1935" w:rsidP="00E24DC9">
            <w:pPr>
              <w:jc w:val="center"/>
              <w:rPr>
                <w:color w:val="000000" w:themeColor="text1"/>
              </w:rPr>
            </w:pPr>
          </w:p>
        </w:tc>
      </w:tr>
      <w:tr w:rsidR="004D1935" w:rsidRPr="005A5E3A" w14:paraId="5E016D01" w14:textId="77777777" w:rsidTr="00E24DC9">
        <w:tc>
          <w:tcPr>
            <w:tcW w:w="567" w:type="dxa"/>
            <w:vMerge/>
            <w:vAlign w:val="center"/>
          </w:tcPr>
          <w:p w14:paraId="36E7164C"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5A4F3168" w14:textId="77777777" w:rsidR="004D1935" w:rsidRPr="005A5E3A" w:rsidRDefault="004D1935" w:rsidP="00E24DC9">
            <w:pPr>
              <w:jc w:val="center"/>
              <w:rPr>
                <w:rFonts w:ascii="Calibri" w:hAnsi="Calibri" w:cs="Calibri"/>
                <w:color w:val="000000" w:themeColor="text1"/>
                <w:sz w:val="20"/>
                <w:szCs w:val="20"/>
              </w:rPr>
            </w:pPr>
            <w:r w:rsidRPr="005A5E3A">
              <w:rPr>
                <w:rFonts w:ascii="Calibri" w:hAnsi="Calibri" w:cs="Calibri"/>
                <w:color w:val="000000" w:themeColor="text1"/>
                <w:sz w:val="20"/>
                <w:szCs w:val="20"/>
              </w:rPr>
              <w:t>358.2603</w:t>
            </w:r>
          </w:p>
        </w:tc>
        <w:tc>
          <w:tcPr>
            <w:tcW w:w="2991" w:type="dxa"/>
            <w:vMerge/>
            <w:vAlign w:val="center"/>
          </w:tcPr>
          <w:p w14:paraId="2B274DC8" w14:textId="77777777" w:rsidR="004D1935" w:rsidRPr="005A5E3A" w:rsidRDefault="004D1935" w:rsidP="00E24DC9">
            <w:pPr>
              <w:jc w:val="center"/>
              <w:rPr>
                <w:color w:val="000000" w:themeColor="text1"/>
              </w:rPr>
            </w:pPr>
          </w:p>
        </w:tc>
        <w:tc>
          <w:tcPr>
            <w:tcW w:w="1373" w:type="dxa"/>
            <w:vMerge/>
            <w:vAlign w:val="center"/>
          </w:tcPr>
          <w:p w14:paraId="1DDFB3D2" w14:textId="77777777" w:rsidR="004D1935" w:rsidRPr="005A5E3A" w:rsidRDefault="004D1935" w:rsidP="00E24DC9">
            <w:pPr>
              <w:jc w:val="center"/>
              <w:rPr>
                <w:color w:val="000000" w:themeColor="text1"/>
              </w:rPr>
            </w:pPr>
          </w:p>
        </w:tc>
        <w:tc>
          <w:tcPr>
            <w:tcW w:w="4076" w:type="dxa"/>
            <w:vMerge/>
            <w:vAlign w:val="center"/>
          </w:tcPr>
          <w:p w14:paraId="2A0241AD" w14:textId="77777777" w:rsidR="004D1935" w:rsidRPr="005A5E3A" w:rsidRDefault="004D1935" w:rsidP="00E24DC9">
            <w:pPr>
              <w:jc w:val="center"/>
              <w:rPr>
                <w:color w:val="000000" w:themeColor="text1"/>
              </w:rPr>
            </w:pPr>
          </w:p>
        </w:tc>
        <w:tc>
          <w:tcPr>
            <w:tcW w:w="5068" w:type="dxa"/>
            <w:vMerge/>
            <w:vAlign w:val="center"/>
          </w:tcPr>
          <w:p w14:paraId="339E6124" w14:textId="77777777" w:rsidR="004D1935" w:rsidRPr="005A5E3A" w:rsidRDefault="004D1935" w:rsidP="00E24DC9">
            <w:pPr>
              <w:jc w:val="center"/>
              <w:rPr>
                <w:color w:val="000000" w:themeColor="text1"/>
              </w:rPr>
            </w:pPr>
          </w:p>
        </w:tc>
      </w:tr>
      <w:tr w:rsidR="004D1935" w:rsidRPr="005A5E3A" w14:paraId="2E6BF3A8" w14:textId="77777777" w:rsidTr="00E24DC9">
        <w:tc>
          <w:tcPr>
            <w:tcW w:w="567" w:type="dxa"/>
            <w:vMerge/>
            <w:vAlign w:val="center"/>
          </w:tcPr>
          <w:p w14:paraId="77BFB1C7"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10140726" w14:textId="77777777" w:rsidR="004D1935" w:rsidRPr="005A5E3A" w:rsidRDefault="004D1935" w:rsidP="00E24DC9">
            <w:pPr>
              <w:jc w:val="center"/>
              <w:rPr>
                <w:rFonts w:ascii="Calibri" w:hAnsi="Calibri" w:cs="Calibri"/>
                <w:color w:val="000000" w:themeColor="text1"/>
                <w:sz w:val="20"/>
                <w:szCs w:val="20"/>
              </w:rPr>
            </w:pPr>
            <w:r w:rsidRPr="005A5E3A">
              <w:rPr>
                <w:rFonts w:ascii="Calibri" w:hAnsi="Calibri" w:cs="Calibri"/>
                <w:color w:val="000000" w:themeColor="text1"/>
                <w:sz w:val="20"/>
                <w:szCs w:val="20"/>
              </w:rPr>
              <w:t>358.3029</w:t>
            </w:r>
          </w:p>
        </w:tc>
        <w:tc>
          <w:tcPr>
            <w:tcW w:w="2991" w:type="dxa"/>
            <w:vMerge/>
            <w:vAlign w:val="center"/>
          </w:tcPr>
          <w:p w14:paraId="6B62E6FD" w14:textId="77777777" w:rsidR="004D1935" w:rsidRPr="005A5E3A" w:rsidRDefault="004D1935" w:rsidP="00E24DC9">
            <w:pPr>
              <w:jc w:val="center"/>
              <w:rPr>
                <w:color w:val="000000" w:themeColor="text1"/>
              </w:rPr>
            </w:pPr>
          </w:p>
        </w:tc>
        <w:tc>
          <w:tcPr>
            <w:tcW w:w="1373" w:type="dxa"/>
            <w:vMerge/>
            <w:vAlign w:val="center"/>
          </w:tcPr>
          <w:p w14:paraId="4C445BDD" w14:textId="77777777" w:rsidR="004D1935" w:rsidRPr="005A5E3A" w:rsidRDefault="004D1935" w:rsidP="00E24DC9">
            <w:pPr>
              <w:jc w:val="center"/>
              <w:rPr>
                <w:color w:val="000000" w:themeColor="text1"/>
              </w:rPr>
            </w:pPr>
          </w:p>
        </w:tc>
        <w:tc>
          <w:tcPr>
            <w:tcW w:w="4076" w:type="dxa"/>
            <w:vMerge/>
            <w:vAlign w:val="center"/>
          </w:tcPr>
          <w:p w14:paraId="7585131C" w14:textId="77777777" w:rsidR="004D1935" w:rsidRPr="005A5E3A" w:rsidRDefault="004D1935" w:rsidP="00E24DC9">
            <w:pPr>
              <w:jc w:val="center"/>
              <w:rPr>
                <w:color w:val="000000" w:themeColor="text1"/>
              </w:rPr>
            </w:pPr>
          </w:p>
        </w:tc>
        <w:tc>
          <w:tcPr>
            <w:tcW w:w="5068" w:type="dxa"/>
            <w:vMerge/>
            <w:vAlign w:val="center"/>
          </w:tcPr>
          <w:p w14:paraId="0D3B139C" w14:textId="77777777" w:rsidR="004D1935" w:rsidRPr="005A5E3A" w:rsidRDefault="004D1935" w:rsidP="00E24DC9">
            <w:pPr>
              <w:jc w:val="center"/>
              <w:rPr>
                <w:color w:val="000000" w:themeColor="text1"/>
              </w:rPr>
            </w:pPr>
          </w:p>
        </w:tc>
      </w:tr>
      <w:tr w:rsidR="004D1935" w:rsidRPr="005A5E3A" w14:paraId="58CDCC95" w14:textId="77777777" w:rsidTr="00E24DC9">
        <w:tc>
          <w:tcPr>
            <w:tcW w:w="567" w:type="dxa"/>
            <w:vMerge/>
            <w:vAlign w:val="center"/>
          </w:tcPr>
          <w:p w14:paraId="7E6F3F68"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0CE06EA6" w14:textId="77777777" w:rsidR="004D1935" w:rsidRPr="005A5E3A" w:rsidRDefault="004D1935" w:rsidP="00E24DC9">
            <w:pPr>
              <w:jc w:val="center"/>
              <w:rPr>
                <w:rFonts w:ascii="Calibri" w:hAnsi="Calibri" w:cs="Calibri"/>
                <w:color w:val="000000" w:themeColor="text1"/>
                <w:sz w:val="20"/>
                <w:szCs w:val="20"/>
              </w:rPr>
            </w:pPr>
            <w:r w:rsidRPr="005A5E3A">
              <w:rPr>
                <w:rFonts w:ascii="Calibri" w:hAnsi="Calibri" w:cs="Calibri"/>
                <w:color w:val="000000" w:themeColor="text1"/>
                <w:sz w:val="20"/>
                <w:szCs w:val="20"/>
              </w:rPr>
              <w:t>358.1437</w:t>
            </w:r>
          </w:p>
        </w:tc>
        <w:tc>
          <w:tcPr>
            <w:tcW w:w="2991" w:type="dxa"/>
            <w:vMerge/>
            <w:vAlign w:val="center"/>
          </w:tcPr>
          <w:p w14:paraId="19017F25" w14:textId="77777777" w:rsidR="004D1935" w:rsidRPr="005A5E3A" w:rsidRDefault="004D1935" w:rsidP="00E24DC9">
            <w:pPr>
              <w:jc w:val="center"/>
              <w:rPr>
                <w:color w:val="000000" w:themeColor="text1"/>
              </w:rPr>
            </w:pPr>
          </w:p>
        </w:tc>
        <w:tc>
          <w:tcPr>
            <w:tcW w:w="1373" w:type="dxa"/>
            <w:vMerge/>
            <w:vAlign w:val="center"/>
          </w:tcPr>
          <w:p w14:paraId="697761B1" w14:textId="77777777" w:rsidR="004D1935" w:rsidRPr="005A5E3A" w:rsidRDefault="004D1935" w:rsidP="00E24DC9">
            <w:pPr>
              <w:jc w:val="center"/>
              <w:rPr>
                <w:color w:val="000000" w:themeColor="text1"/>
              </w:rPr>
            </w:pPr>
          </w:p>
        </w:tc>
        <w:tc>
          <w:tcPr>
            <w:tcW w:w="4076" w:type="dxa"/>
            <w:vMerge/>
            <w:vAlign w:val="center"/>
          </w:tcPr>
          <w:p w14:paraId="23EBA66F" w14:textId="77777777" w:rsidR="004D1935" w:rsidRPr="005A5E3A" w:rsidRDefault="004D1935" w:rsidP="00E24DC9">
            <w:pPr>
              <w:jc w:val="center"/>
              <w:rPr>
                <w:color w:val="000000" w:themeColor="text1"/>
              </w:rPr>
            </w:pPr>
          </w:p>
        </w:tc>
        <w:tc>
          <w:tcPr>
            <w:tcW w:w="5068" w:type="dxa"/>
            <w:vMerge/>
            <w:vAlign w:val="center"/>
          </w:tcPr>
          <w:p w14:paraId="225CAFB7" w14:textId="77777777" w:rsidR="004D1935" w:rsidRPr="005A5E3A" w:rsidRDefault="004D1935" w:rsidP="00E24DC9">
            <w:pPr>
              <w:jc w:val="center"/>
              <w:rPr>
                <w:color w:val="000000" w:themeColor="text1"/>
              </w:rPr>
            </w:pPr>
          </w:p>
        </w:tc>
      </w:tr>
      <w:tr w:rsidR="004D1935" w:rsidRPr="005A5E3A" w14:paraId="1B7A7A35" w14:textId="77777777" w:rsidTr="00E24DC9">
        <w:tc>
          <w:tcPr>
            <w:tcW w:w="567" w:type="dxa"/>
            <w:vMerge/>
            <w:vAlign w:val="center"/>
          </w:tcPr>
          <w:p w14:paraId="6A2E4672"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0C5166D9" w14:textId="77777777" w:rsidR="004D1935" w:rsidRPr="005A5E3A" w:rsidRDefault="004D1935" w:rsidP="00E24DC9">
            <w:pPr>
              <w:jc w:val="center"/>
              <w:rPr>
                <w:rFonts w:ascii="Calibri" w:hAnsi="Calibri" w:cs="Calibri"/>
                <w:color w:val="000000" w:themeColor="text1"/>
                <w:sz w:val="20"/>
                <w:szCs w:val="20"/>
              </w:rPr>
            </w:pPr>
            <w:r w:rsidRPr="005A5E3A">
              <w:rPr>
                <w:rFonts w:ascii="Calibri" w:hAnsi="Calibri" w:cs="Calibri"/>
                <w:color w:val="000000" w:themeColor="text1"/>
                <w:sz w:val="20"/>
                <w:szCs w:val="20"/>
              </w:rPr>
              <w:t>358.1864</w:t>
            </w:r>
          </w:p>
        </w:tc>
        <w:tc>
          <w:tcPr>
            <w:tcW w:w="2991" w:type="dxa"/>
            <w:vMerge/>
            <w:vAlign w:val="center"/>
          </w:tcPr>
          <w:p w14:paraId="29E347BC" w14:textId="77777777" w:rsidR="004D1935" w:rsidRPr="005A5E3A" w:rsidRDefault="004D1935" w:rsidP="00E24DC9">
            <w:pPr>
              <w:jc w:val="center"/>
              <w:rPr>
                <w:color w:val="000000" w:themeColor="text1"/>
              </w:rPr>
            </w:pPr>
          </w:p>
        </w:tc>
        <w:tc>
          <w:tcPr>
            <w:tcW w:w="1373" w:type="dxa"/>
            <w:vMerge/>
            <w:vAlign w:val="center"/>
          </w:tcPr>
          <w:p w14:paraId="0F43B3EB" w14:textId="77777777" w:rsidR="004D1935" w:rsidRPr="005A5E3A" w:rsidRDefault="004D1935" w:rsidP="00E24DC9">
            <w:pPr>
              <w:jc w:val="center"/>
              <w:rPr>
                <w:color w:val="000000" w:themeColor="text1"/>
              </w:rPr>
            </w:pPr>
          </w:p>
        </w:tc>
        <w:tc>
          <w:tcPr>
            <w:tcW w:w="4076" w:type="dxa"/>
            <w:vMerge/>
            <w:vAlign w:val="center"/>
          </w:tcPr>
          <w:p w14:paraId="3359EFD3" w14:textId="77777777" w:rsidR="004D1935" w:rsidRPr="005A5E3A" w:rsidRDefault="004D1935" w:rsidP="00E24DC9">
            <w:pPr>
              <w:jc w:val="center"/>
              <w:rPr>
                <w:color w:val="000000" w:themeColor="text1"/>
              </w:rPr>
            </w:pPr>
          </w:p>
        </w:tc>
        <w:tc>
          <w:tcPr>
            <w:tcW w:w="5068" w:type="dxa"/>
            <w:vMerge/>
            <w:vAlign w:val="center"/>
          </w:tcPr>
          <w:p w14:paraId="1C524700" w14:textId="77777777" w:rsidR="004D1935" w:rsidRPr="005A5E3A" w:rsidRDefault="004D1935" w:rsidP="00E24DC9">
            <w:pPr>
              <w:jc w:val="center"/>
              <w:rPr>
                <w:color w:val="000000" w:themeColor="text1"/>
              </w:rPr>
            </w:pPr>
          </w:p>
        </w:tc>
      </w:tr>
      <w:tr w:rsidR="004D1935" w:rsidRPr="005A5E3A" w14:paraId="7886B2CB" w14:textId="77777777" w:rsidTr="00E24DC9">
        <w:tc>
          <w:tcPr>
            <w:tcW w:w="567" w:type="dxa"/>
            <w:vMerge/>
            <w:vAlign w:val="center"/>
          </w:tcPr>
          <w:p w14:paraId="44AF075D"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09BA58E6" w14:textId="77777777" w:rsidR="004D1935" w:rsidRPr="005A5E3A" w:rsidRDefault="004D1935" w:rsidP="00E24DC9">
            <w:pPr>
              <w:jc w:val="center"/>
              <w:rPr>
                <w:rFonts w:ascii="Calibri" w:hAnsi="Calibri" w:cs="Calibri"/>
                <w:color w:val="000000" w:themeColor="text1"/>
                <w:sz w:val="20"/>
                <w:szCs w:val="20"/>
              </w:rPr>
            </w:pPr>
            <w:r w:rsidRPr="005A5E3A">
              <w:rPr>
                <w:rFonts w:ascii="Calibri" w:hAnsi="Calibri" w:cs="Calibri"/>
                <w:color w:val="000000" w:themeColor="text1"/>
                <w:sz w:val="20"/>
                <w:szCs w:val="20"/>
              </w:rPr>
              <w:t>358.2290</w:t>
            </w:r>
          </w:p>
        </w:tc>
        <w:tc>
          <w:tcPr>
            <w:tcW w:w="2991" w:type="dxa"/>
            <w:vMerge/>
            <w:vAlign w:val="center"/>
          </w:tcPr>
          <w:p w14:paraId="4CF1286D" w14:textId="77777777" w:rsidR="004D1935" w:rsidRPr="005A5E3A" w:rsidRDefault="004D1935" w:rsidP="00E24DC9">
            <w:pPr>
              <w:jc w:val="center"/>
              <w:rPr>
                <w:color w:val="000000" w:themeColor="text1"/>
              </w:rPr>
            </w:pPr>
          </w:p>
        </w:tc>
        <w:tc>
          <w:tcPr>
            <w:tcW w:w="1373" w:type="dxa"/>
            <w:vMerge/>
            <w:vAlign w:val="center"/>
          </w:tcPr>
          <w:p w14:paraId="5AA8B244" w14:textId="77777777" w:rsidR="004D1935" w:rsidRPr="005A5E3A" w:rsidRDefault="004D1935" w:rsidP="00E24DC9">
            <w:pPr>
              <w:jc w:val="center"/>
              <w:rPr>
                <w:color w:val="000000" w:themeColor="text1"/>
              </w:rPr>
            </w:pPr>
          </w:p>
        </w:tc>
        <w:tc>
          <w:tcPr>
            <w:tcW w:w="4076" w:type="dxa"/>
            <w:vMerge/>
            <w:vAlign w:val="center"/>
          </w:tcPr>
          <w:p w14:paraId="14CBBE49" w14:textId="77777777" w:rsidR="004D1935" w:rsidRPr="005A5E3A" w:rsidRDefault="004D1935" w:rsidP="00E24DC9">
            <w:pPr>
              <w:jc w:val="center"/>
              <w:rPr>
                <w:color w:val="000000" w:themeColor="text1"/>
              </w:rPr>
            </w:pPr>
          </w:p>
        </w:tc>
        <w:tc>
          <w:tcPr>
            <w:tcW w:w="5068" w:type="dxa"/>
            <w:vMerge/>
            <w:vAlign w:val="center"/>
          </w:tcPr>
          <w:p w14:paraId="674FB95A" w14:textId="77777777" w:rsidR="004D1935" w:rsidRPr="005A5E3A" w:rsidRDefault="004D1935" w:rsidP="00E24DC9">
            <w:pPr>
              <w:jc w:val="center"/>
              <w:rPr>
                <w:color w:val="000000" w:themeColor="text1"/>
              </w:rPr>
            </w:pPr>
          </w:p>
        </w:tc>
      </w:tr>
      <w:tr w:rsidR="004D1935" w:rsidRPr="005A5E3A" w14:paraId="1AB1CA0E" w14:textId="77777777" w:rsidTr="00E24DC9">
        <w:tc>
          <w:tcPr>
            <w:tcW w:w="567" w:type="dxa"/>
            <w:vMerge/>
            <w:vAlign w:val="center"/>
          </w:tcPr>
          <w:p w14:paraId="628614AC"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4CD3FF4C" w14:textId="77777777" w:rsidR="004D1935" w:rsidRPr="005A5E3A" w:rsidRDefault="004D1935" w:rsidP="00E24DC9">
            <w:pPr>
              <w:jc w:val="center"/>
              <w:rPr>
                <w:rFonts w:ascii="Calibri" w:hAnsi="Calibri" w:cs="Calibri"/>
                <w:color w:val="000000" w:themeColor="text1"/>
                <w:sz w:val="20"/>
                <w:szCs w:val="20"/>
              </w:rPr>
            </w:pPr>
            <w:r w:rsidRPr="005A5E3A">
              <w:rPr>
                <w:rFonts w:ascii="Calibri" w:hAnsi="Calibri" w:cs="Calibri"/>
                <w:color w:val="000000" w:themeColor="text1"/>
                <w:sz w:val="20"/>
                <w:szCs w:val="20"/>
              </w:rPr>
              <w:t>358.2716</w:t>
            </w:r>
          </w:p>
        </w:tc>
        <w:tc>
          <w:tcPr>
            <w:tcW w:w="2991" w:type="dxa"/>
            <w:vMerge/>
            <w:vAlign w:val="center"/>
          </w:tcPr>
          <w:p w14:paraId="7BF5E743" w14:textId="77777777" w:rsidR="004D1935" w:rsidRPr="005A5E3A" w:rsidRDefault="004D1935" w:rsidP="00E24DC9">
            <w:pPr>
              <w:jc w:val="center"/>
              <w:rPr>
                <w:color w:val="000000" w:themeColor="text1"/>
              </w:rPr>
            </w:pPr>
          </w:p>
        </w:tc>
        <w:tc>
          <w:tcPr>
            <w:tcW w:w="1373" w:type="dxa"/>
            <w:vMerge/>
            <w:vAlign w:val="center"/>
          </w:tcPr>
          <w:p w14:paraId="23B601AF" w14:textId="77777777" w:rsidR="004D1935" w:rsidRPr="005A5E3A" w:rsidRDefault="004D1935" w:rsidP="00E24DC9">
            <w:pPr>
              <w:jc w:val="center"/>
              <w:rPr>
                <w:color w:val="000000" w:themeColor="text1"/>
              </w:rPr>
            </w:pPr>
          </w:p>
        </w:tc>
        <w:tc>
          <w:tcPr>
            <w:tcW w:w="4076" w:type="dxa"/>
            <w:vMerge/>
            <w:vAlign w:val="center"/>
          </w:tcPr>
          <w:p w14:paraId="186B524B" w14:textId="77777777" w:rsidR="004D1935" w:rsidRPr="005A5E3A" w:rsidRDefault="004D1935" w:rsidP="00E24DC9">
            <w:pPr>
              <w:jc w:val="center"/>
              <w:rPr>
                <w:color w:val="000000" w:themeColor="text1"/>
              </w:rPr>
            </w:pPr>
          </w:p>
        </w:tc>
        <w:tc>
          <w:tcPr>
            <w:tcW w:w="5068" w:type="dxa"/>
            <w:vMerge/>
            <w:vAlign w:val="center"/>
          </w:tcPr>
          <w:p w14:paraId="6840D82B" w14:textId="77777777" w:rsidR="004D1935" w:rsidRPr="005A5E3A" w:rsidRDefault="004D1935" w:rsidP="00E24DC9">
            <w:pPr>
              <w:jc w:val="center"/>
              <w:rPr>
                <w:color w:val="000000" w:themeColor="text1"/>
              </w:rPr>
            </w:pPr>
          </w:p>
        </w:tc>
      </w:tr>
      <w:tr w:rsidR="004D1935" w:rsidRPr="005A5E3A" w14:paraId="55F4BD67" w14:textId="77777777" w:rsidTr="00E24DC9">
        <w:tc>
          <w:tcPr>
            <w:tcW w:w="567" w:type="dxa"/>
            <w:vMerge/>
            <w:vAlign w:val="center"/>
          </w:tcPr>
          <w:p w14:paraId="31A14C29"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13F388E7" w14:textId="77777777" w:rsidR="004D1935" w:rsidRPr="005A5E3A" w:rsidRDefault="004D1935" w:rsidP="00E24DC9">
            <w:pPr>
              <w:jc w:val="center"/>
              <w:rPr>
                <w:rFonts w:ascii="Calibri" w:hAnsi="Calibri" w:cs="Calibri"/>
                <w:color w:val="000000" w:themeColor="text1"/>
                <w:sz w:val="20"/>
                <w:szCs w:val="20"/>
              </w:rPr>
            </w:pPr>
            <w:r w:rsidRPr="005A5E3A">
              <w:rPr>
                <w:rFonts w:ascii="Calibri" w:hAnsi="Calibri" w:cs="Calibri"/>
                <w:color w:val="000000" w:themeColor="text1"/>
                <w:sz w:val="20"/>
                <w:szCs w:val="20"/>
              </w:rPr>
              <w:t>358.1523</w:t>
            </w:r>
          </w:p>
        </w:tc>
        <w:tc>
          <w:tcPr>
            <w:tcW w:w="2991" w:type="dxa"/>
            <w:vMerge/>
            <w:vAlign w:val="center"/>
          </w:tcPr>
          <w:p w14:paraId="00D7CEC1" w14:textId="77777777" w:rsidR="004D1935" w:rsidRPr="005A5E3A" w:rsidRDefault="004D1935" w:rsidP="00E24DC9">
            <w:pPr>
              <w:jc w:val="center"/>
              <w:rPr>
                <w:color w:val="000000" w:themeColor="text1"/>
              </w:rPr>
            </w:pPr>
          </w:p>
        </w:tc>
        <w:tc>
          <w:tcPr>
            <w:tcW w:w="1373" w:type="dxa"/>
            <w:vMerge/>
            <w:vAlign w:val="center"/>
          </w:tcPr>
          <w:p w14:paraId="72236481" w14:textId="77777777" w:rsidR="004D1935" w:rsidRPr="005A5E3A" w:rsidRDefault="004D1935" w:rsidP="00E24DC9">
            <w:pPr>
              <w:jc w:val="center"/>
              <w:rPr>
                <w:color w:val="000000" w:themeColor="text1"/>
              </w:rPr>
            </w:pPr>
          </w:p>
        </w:tc>
        <w:tc>
          <w:tcPr>
            <w:tcW w:w="4076" w:type="dxa"/>
            <w:vMerge/>
            <w:vAlign w:val="center"/>
          </w:tcPr>
          <w:p w14:paraId="52D39104" w14:textId="77777777" w:rsidR="004D1935" w:rsidRPr="005A5E3A" w:rsidRDefault="004D1935" w:rsidP="00E24DC9">
            <w:pPr>
              <w:jc w:val="center"/>
              <w:rPr>
                <w:color w:val="000000" w:themeColor="text1"/>
              </w:rPr>
            </w:pPr>
          </w:p>
        </w:tc>
        <w:tc>
          <w:tcPr>
            <w:tcW w:w="5068" w:type="dxa"/>
            <w:vMerge/>
            <w:vAlign w:val="center"/>
          </w:tcPr>
          <w:p w14:paraId="196F17E7" w14:textId="77777777" w:rsidR="004D1935" w:rsidRPr="005A5E3A" w:rsidRDefault="004D1935" w:rsidP="00E24DC9">
            <w:pPr>
              <w:jc w:val="center"/>
              <w:rPr>
                <w:color w:val="000000" w:themeColor="text1"/>
              </w:rPr>
            </w:pPr>
          </w:p>
        </w:tc>
      </w:tr>
      <w:tr w:rsidR="004D1935" w:rsidRPr="005A5E3A" w14:paraId="569BD23C" w14:textId="77777777" w:rsidTr="00E24DC9">
        <w:tc>
          <w:tcPr>
            <w:tcW w:w="567" w:type="dxa"/>
            <w:vMerge/>
            <w:vAlign w:val="center"/>
          </w:tcPr>
          <w:p w14:paraId="2912F302"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57015E5B" w14:textId="77777777" w:rsidR="004D1935" w:rsidRPr="005A5E3A" w:rsidRDefault="004D1935" w:rsidP="00E24DC9">
            <w:pPr>
              <w:jc w:val="center"/>
              <w:rPr>
                <w:rFonts w:ascii="Calibri" w:hAnsi="Calibri" w:cs="Calibri"/>
                <w:color w:val="000000" w:themeColor="text1"/>
                <w:sz w:val="20"/>
                <w:szCs w:val="20"/>
              </w:rPr>
            </w:pPr>
            <w:r w:rsidRPr="005A5E3A">
              <w:rPr>
                <w:rFonts w:ascii="Calibri" w:hAnsi="Calibri" w:cs="Calibri"/>
                <w:color w:val="000000" w:themeColor="text1"/>
                <w:sz w:val="20"/>
                <w:szCs w:val="20"/>
              </w:rPr>
              <w:t>358.1949</w:t>
            </w:r>
          </w:p>
        </w:tc>
        <w:tc>
          <w:tcPr>
            <w:tcW w:w="2991" w:type="dxa"/>
            <w:vMerge/>
            <w:vAlign w:val="center"/>
          </w:tcPr>
          <w:p w14:paraId="6A8D9F99" w14:textId="77777777" w:rsidR="004D1935" w:rsidRPr="005A5E3A" w:rsidRDefault="004D1935" w:rsidP="00E24DC9">
            <w:pPr>
              <w:jc w:val="center"/>
              <w:rPr>
                <w:color w:val="000000" w:themeColor="text1"/>
              </w:rPr>
            </w:pPr>
          </w:p>
        </w:tc>
        <w:tc>
          <w:tcPr>
            <w:tcW w:w="1373" w:type="dxa"/>
            <w:vMerge/>
            <w:vAlign w:val="center"/>
          </w:tcPr>
          <w:p w14:paraId="5630A8EA" w14:textId="77777777" w:rsidR="004D1935" w:rsidRPr="005A5E3A" w:rsidRDefault="004D1935" w:rsidP="00E24DC9">
            <w:pPr>
              <w:jc w:val="center"/>
              <w:rPr>
                <w:color w:val="000000" w:themeColor="text1"/>
              </w:rPr>
            </w:pPr>
          </w:p>
        </w:tc>
        <w:tc>
          <w:tcPr>
            <w:tcW w:w="4076" w:type="dxa"/>
            <w:vMerge/>
            <w:vAlign w:val="center"/>
          </w:tcPr>
          <w:p w14:paraId="23CD0E46" w14:textId="77777777" w:rsidR="004D1935" w:rsidRPr="005A5E3A" w:rsidRDefault="004D1935" w:rsidP="00E24DC9">
            <w:pPr>
              <w:jc w:val="center"/>
              <w:rPr>
                <w:color w:val="000000" w:themeColor="text1"/>
              </w:rPr>
            </w:pPr>
          </w:p>
        </w:tc>
        <w:tc>
          <w:tcPr>
            <w:tcW w:w="5068" w:type="dxa"/>
            <w:vMerge/>
            <w:vAlign w:val="center"/>
          </w:tcPr>
          <w:p w14:paraId="0CA9512D" w14:textId="77777777" w:rsidR="004D1935" w:rsidRPr="005A5E3A" w:rsidRDefault="004D1935" w:rsidP="00E24DC9">
            <w:pPr>
              <w:jc w:val="center"/>
              <w:rPr>
                <w:color w:val="000000" w:themeColor="text1"/>
              </w:rPr>
            </w:pPr>
          </w:p>
        </w:tc>
      </w:tr>
      <w:tr w:rsidR="004D1935" w:rsidRPr="005A5E3A" w14:paraId="00B316A3" w14:textId="77777777" w:rsidTr="00E24DC9">
        <w:tc>
          <w:tcPr>
            <w:tcW w:w="567" w:type="dxa"/>
            <w:vMerge/>
            <w:vAlign w:val="center"/>
          </w:tcPr>
          <w:p w14:paraId="32DD2C0D"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69EFC9E8" w14:textId="77777777" w:rsidR="004D1935" w:rsidRPr="005A5E3A" w:rsidRDefault="004D1935" w:rsidP="00E24DC9">
            <w:pPr>
              <w:jc w:val="center"/>
              <w:rPr>
                <w:rFonts w:ascii="Calibri" w:hAnsi="Calibri" w:cs="Calibri"/>
                <w:color w:val="000000" w:themeColor="text1"/>
                <w:sz w:val="20"/>
                <w:szCs w:val="20"/>
              </w:rPr>
            </w:pPr>
            <w:r w:rsidRPr="005A5E3A">
              <w:rPr>
                <w:rFonts w:ascii="Calibri" w:hAnsi="Calibri" w:cs="Calibri"/>
                <w:color w:val="000000" w:themeColor="text1"/>
                <w:sz w:val="20"/>
                <w:szCs w:val="20"/>
              </w:rPr>
              <w:t>358.2375</w:t>
            </w:r>
          </w:p>
        </w:tc>
        <w:tc>
          <w:tcPr>
            <w:tcW w:w="2991" w:type="dxa"/>
            <w:vMerge/>
            <w:vAlign w:val="center"/>
          </w:tcPr>
          <w:p w14:paraId="2F21CBA8" w14:textId="77777777" w:rsidR="004D1935" w:rsidRPr="005A5E3A" w:rsidRDefault="004D1935" w:rsidP="00E24DC9">
            <w:pPr>
              <w:jc w:val="center"/>
              <w:rPr>
                <w:color w:val="000000" w:themeColor="text1"/>
              </w:rPr>
            </w:pPr>
          </w:p>
        </w:tc>
        <w:tc>
          <w:tcPr>
            <w:tcW w:w="1373" w:type="dxa"/>
            <w:vMerge/>
            <w:vAlign w:val="center"/>
          </w:tcPr>
          <w:p w14:paraId="3E8EC7F8" w14:textId="77777777" w:rsidR="004D1935" w:rsidRPr="005A5E3A" w:rsidRDefault="004D1935" w:rsidP="00E24DC9">
            <w:pPr>
              <w:jc w:val="center"/>
              <w:rPr>
                <w:color w:val="000000" w:themeColor="text1"/>
              </w:rPr>
            </w:pPr>
          </w:p>
        </w:tc>
        <w:tc>
          <w:tcPr>
            <w:tcW w:w="4076" w:type="dxa"/>
            <w:vMerge/>
            <w:vAlign w:val="center"/>
          </w:tcPr>
          <w:p w14:paraId="069A4A11" w14:textId="77777777" w:rsidR="004D1935" w:rsidRPr="005A5E3A" w:rsidRDefault="004D1935" w:rsidP="00E24DC9">
            <w:pPr>
              <w:jc w:val="center"/>
              <w:rPr>
                <w:color w:val="000000" w:themeColor="text1"/>
              </w:rPr>
            </w:pPr>
          </w:p>
        </w:tc>
        <w:tc>
          <w:tcPr>
            <w:tcW w:w="5068" w:type="dxa"/>
            <w:vMerge/>
            <w:vAlign w:val="center"/>
          </w:tcPr>
          <w:p w14:paraId="681820E6" w14:textId="77777777" w:rsidR="004D1935" w:rsidRPr="005A5E3A" w:rsidRDefault="004D1935" w:rsidP="00E24DC9">
            <w:pPr>
              <w:jc w:val="center"/>
              <w:rPr>
                <w:color w:val="000000" w:themeColor="text1"/>
              </w:rPr>
            </w:pPr>
          </w:p>
        </w:tc>
      </w:tr>
      <w:tr w:rsidR="004D1935" w:rsidRPr="005A5E3A" w14:paraId="36CC6B4D" w14:textId="77777777" w:rsidTr="00E24DC9">
        <w:tc>
          <w:tcPr>
            <w:tcW w:w="567" w:type="dxa"/>
            <w:vMerge/>
            <w:vAlign w:val="center"/>
          </w:tcPr>
          <w:p w14:paraId="71782116"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289A39D6" w14:textId="77777777" w:rsidR="004D1935" w:rsidRPr="005A5E3A" w:rsidRDefault="004D1935" w:rsidP="00E24DC9">
            <w:pPr>
              <w:jc w:val="center"/>
              <w:rPr>
                <w:rFonts w:ascii="Calibri" w:hAnsi="Calibri" w:cs="Calibri"/>
                <w:color w:val="000000" w:themeColor="text1"/>
                <w:sz w:val="20"/>
                <w:szCs w:val="20"/>
              </w:rPr>
            </w:pPr>
            <w:r w:rsidRPr="005A5E3A">
              <w:rPr>
                <w:rFonts w:ascii="Calibri" w:hAnsi="Calibri" w:cs="Calibri"/>
                <w:color w:val="000000" w:themeColor="text1"/>
                <w:sz w:val="20"/>
                <w:szCs w:val="20"/>
              </w:rPr>
              <w:t>358.2801</w:t>
            </w:r>
          </w:p>
        </w:tc>
        <w:tc>
          <w:tcPr>
            <w:tcW w:w="2991" w:type="dxa"/>
            <w:vMerge/>
            <w:vAlign w:val="center"/>
          </w:tcPr>
          <w:p w14:paraId="3FA99AE3" w14:textId="77777777" w:rsidR="004D1935" w:rsidRPr="005A5E3A" w:rsidRDefault="004D1935" w:rsidP="00E24DC9">
            <w:pPr>
              <w:jc w:val="center"/>
              <w:rPr>
                <w:color w:val="000000" w:themeColor="text1"/>
              </w:rPr>
            </w:pPr>
          </w:p>
        </w:tc>
        <w:tc>
          <w:tcPr>
            <w:tcW w:w="1373" w:type="dxa"/>
            <w:vMerge/>
            <w:vAlign w:val="center"/>
          </w:tcPr>
          <w:p w14:paraId="68A7CFA1" w14:textId="77777777" w:rsidR="004D1935" w:rsidRPr="005A5E3A" w:rsidRDefault="004D1935" w:rsidP="00E24DC9">
            <w:pPr>
              <w:jc w:val="center"/>
              <w:rPr>
                <w:color w:val="000000" w:themeColor="text1"/>
              </w:rPr>
            </w:pPr>
          </w:p>
        </w:tc>
        <w:tc>
          <w:tcPr>
            <w:tcW w:w="4076" w:type="dxa"/>
            <w:vMerge/>
            <w:vAlign w:val="center"/>
          </w:tcPr>
          <w:p w14:paraId="08D5332D" w14:textId="77777777" w:rsidR="004D1935" w:rsidRPr="005A5E3A" w:rsidRDefault="004D1935" w:rsidP="00E24DC9">
            <w:pPr>
              <w:jc w:val="center"/>
              <w:rPr>
                <w:color w:val="000000" w:themeColor="text1"/>
              </w:rPr>
            </w:pPr>
          </w:p>
        </w:tc>
        <w:tc>
          <w:tcPr>
            <w:tcW w:w="5068" w:type="dxa"/>
            <w:vMerge/>
            <w:vAlign w:val="center"/>
          </w:tcPr>
          <w:p w14:paraId="7618F719" w14:textId="77777777" w:rsidR="004D1935" w:rsidRPr="005A5E3A" w:rsidRDefault="004D1935" w:rsidP="00E24DC9">
            <w:pPr>
              <w:jc w:val="center"/>
              <w:rPr>
                <w:color w:val="000000" w:themeColor="text1"/>
              </w:rPr>
            </w:pPr>
          </w:p>
        </w:tc>
      </w:tr>
      <w:tr w:rsidR="004D1935" w:rsidRPr="005A5E3A" w14:paraId="1EC863EE" w14:textId="77777777" w:rsidTr="00E24DC9">
        <w:tc>
          <w:tcPr>
            <w:tcW w:w="567" w:type="dxa"/>
            <w:vMerge/>
            <w:vAlign w:val="center"/>
          </w:tcPr>
          <w:p w14:paraId="5B3D2E21"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551F9AED" w14:textId="77777777" w:rsidR="004D1935" w:rsidRPr="005A5E3A" w:rsidRDefault="004D1935" w:rsidP="00E24DC9">
            <w:pPr>
              <w:jc w:val="center"/>
              <w:rPr>
                <w:rFonts w:ascii="Calibri" w:hAnsi="Calibri" w:cs="Calibri"/>
                <w:color w:val="000000" w:themeColor="text1"/>
                <w:sz w:val="20"/>
                <w:szCs w:val="20"/>
              </w:rPr>
            </w:pPr>
            <w:r w:rsidRPr="005A5E3A">
              <w:rPr>
                <w:rFonts w:ascii="Calibri" w:hAnsi="Calibri" w:cs="Calibri"/>
                <w:color w:val="000000" w:themeColor="text1"/>
                <w:sz w:val="20"/>
                <w:szCs w:val="20"/>
              </w:rPr>
              <w:t>358.1352</w:t>
            </w:r>
          </w:p>
        </w:tc>
        <w:tc>
          <w:tcPr>
            <w:tcW w:w="2991" w:type="dxa"/>
            <w:vMerge/>
            <w:vAlign w:val="center"/>
          </w:tcPr>
          <w:p w14:paraId="3887685D" w14:textId="77777777" w:rsidR="004D1935" w:rsidRPr="005A5E3A" w:rsidRDefault="004D1935" w:rsidP="00E24DC9">
            <w:pPr>
              <w:jc w:val="center"/>
              <w:rPr>
                <w:color w:val="000000" w:themeColor="text1"/>
              </w:rPr>
            </w:pPr>
          </w:p>
        </w:tc>
        <w:tc>
          <w:tcPr>
            <w:tcW w:w="1373" w:type="dxa"/>
            <w:vMerge/>
            <w:vAlign w:val="center"/>
          </w:tcPr>
          <w:p w14:paraId="3DBB91B3" w14:textId="77777777" w:rsidR="004D1935" w:rsidRPr="005A5E3A" w:rsidRDefault="004D1935" w:rsidP="00E24DC9">
            <w:pPr>
              <w:jc w:val="center"/>
              <w:rPr>
                <w:color w:val="000000" w:themeColor="text1"/>
              </w:rPr>
            </w:pPr>
          </w:p>
        </w:tc>
        <w:tc>
          <w:tcPr>
            <w:tcW w:w="4076" w:type="dxa"/>
            <w:vMerge/>
            <w:vAlign w:val="center"/>
          </w:tcPr>
          <w:p w14:paraId="5FD158AA" w14:textId="77777777" w:rsidR="004D1935" w:rsidRPr="005A5E3A" w:rsidRDefault="004D1935" w:rsidP="00E24DC9">
            <w:pPr>
              <w:jc w:val="center"/>
              <w:rPr>
                <w:color w:val="000000" w:themeColor="text1"/>
              </w:rPr>
            </w:pPr>
          </w:p>
        </w:tc>
        <w:tc>
          <w:tcPr>
            <w:tcW w:w="5068" w:type="dxa"/>
            <w:vMerge/>
            <w:vAlign w:val="center"/>
          </w:tcPr>
          <w:p w14:paraId="7D436D63" w14:textId="77777777" w:rsidR="004D1935" w:rsidRPr="005A5E3A" w:rsidRDefault="004D1935" w:rsidP="00E24DC9">
            <w:pPr>
              <w:jc w:val="center"/>
              <w:rPr>
                <w:color w:val="000000" w:themeColor="text1"/>
              </w:rPr>
            </w:pPr>
          </w:p>
        </w:tc>
      </w:tr>
      <w:tr w:rsidR="004D1935" w:rsidRPr="005A5E3A" w14:paraId="3314FEA0" w14:textId="77777777" w:rsidTr="00E24DC9">
        <w:tc>
          <w:tcPr>
            <w:tcW w:w="567" w:type="dxa"/>
            <w:vMerge/>
            <w:vAlign w:val="center"/>
          </w:tcPr>
          <w:p w14:paraId="08AE69C5"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261C68E9" w14:textId="77777777" w:rsidR="004D1935" w:rsidRPr="005A5E3A" w:rsidRDefault="004D1935" w:rsidP="00E24DC9">
            <w:pPr>
              <w:jc w:val="center"/>
              <w:rPr>
                <w:rFonts w:ascii="Calibri" w:hAnsi="Calibri" w:cs="Calibri"/>
                <w:color w:val="000000" w:themeColor="text1"/>
                <w:sz w:val="20"/>
                <w:szCs w:val="20"/>
              </w:rPr>
            </w:pPr>
            <w:r w:rsidRPr="005A5E3A">
              <w:rPr>
                <w:rFonts w:ascii="Calibri" w:hAnsi="Calibri" w:cs="Calibri"/>
                <w:color w:val="000000" w:themeColor="text1"/>
                <w:sz w:val="20"/>
                <w:szCs w:val="20"/>
              </w:rPr>
              <w:t>358.1778</w:t>
            </w:r>
          </w:p>
        </w:tc>
        <w:tc>
          <w:tcPr>
            <w:tcW w:w="2991" w:type="dxa"/>
            <w:vMerge/>
            <w:vAlign w:val="center"/>
          </w:tcPr>
          <w:p w14:paraId="2AF16AEB" w14:textId="77777777" w:rsidR="004D1935" w:rsidRPr="005A5E3A" w:rsidRDefault="004D1935" w:rsidP="00E24DC9">
            <w:pPr>
              <w:jc w:val="center"/>
              <w:rPr>
                <w:color w:val="000000" w:themeColor="text1"/>
              </w:rPr>
            </w:pPr>
          </w:p>
        </w:tc>
        <w:tc>
          <w:tcPr>
            <w:tcW w:w="1373" w:type="dxa"/>
            <w:vMerge/>
            <w:vAlign w:val="center"/>
          </w:tcPr>
          <w:p w14:paraId="0A9F7CA9" w14:textId="77777777" w:rsidR="004D1935" w:rsidRPr="005A5E3A" w:rsidRDefault="004D1935" w:rsidP="00E24DC9">
            <w:pPr>
              <w:jc w:val="center"/>
              <w:rPr>
                <w:color w:val="000000" w:themeColor="text1"/>
              </w:rPr>
            </w:pPr>
          </w:p>
        </w:tc>
        <w:tc>
          <w:tcPr>
            <w:tcW w:w="4076" w:type="dxa"/>
            <w:vMerge/>
            <w:vAlign w:val="center"/>
          </w:tcPr>
          <w:p w14:paraId="237E1738" w14:textId="77777777" w:rsidR="004D1935" w:rsidRPr="005A5E3A" w:rsidRDefault="004D1935" w:rsidP="00E24DC9">
            <w:pPr>
              <w:jc w:val="center"/>
              <w:rPr>
                <w:color w:val="000000" w:themeColor="text1"/>
              </w:rPr>
            </w:pPr>
          </w:p>
        </w:tc>
        <w:tc>
          <w:tcPr>
            <w:tcW w:w="5068" w:type="dxa"/>
            <w:vMerge/>
            <w:vAlign w:val="center"/>
          </w:tcPr>
          <w:p w14:paraId="374D7F2F" w14:textId="77777777" w:rsidR="004D1935" w:rsidRPr="005A5E3A" w:rsidRDefault="004D1935" w:rsidP="00E24DC9">
            <w:pPr>
              <w:jc w:val="center"/>
              <w:rPr>
                <w:color w:val="000000" w:themeColor="text1"/>
              </w:rPr>
            </w:pPr>
          </w:p>
        </w:tc>
      </w:tr>
      <w:tr w:rsidR="004D1935" w:rsidRPr="005A5E3A" w14:paraId="1B8906E1" w14:textId="77777777" w:rsidTr="00E24DC9">
        <w:tc>
          <w:tcPr>
            <w:tcW w:w="567" w:type="dxa"/>
            <w:vMerge/>
            <w:vAlign w:val="center"/>
          </w:tcPr>
          <w:p w14:paraId="4778FDB7"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07AA3B29" w14:textId="77777777" w:rsidR="004D1935" w:rsidRPr="005A5E3A" w:rsidRDefault="004D1935" w:rsidP="00E24DC9">
            <w:pPr>
              <w:jc w:val="center"/>
              <w:rPr>
                <w:rFonts w:ascii="Calibri" w:hAnsi="Calibri" w:cs="Calibri"/>
                <w:color w:val="000000" w:themeColor="text1"/>
                <w:sz w:val="20"/>
                <w:szCs w:val="20"/>
              </w:rPr>
            </w:pPr>
            <w:r w:rsidRPr="005A5E3A">
              <w:rPr>
                <w:rFonts w:ascii="Calibri" w:hAnsi="Calibri" w:cs="Calibri"/>
                <w:color w:val="000000" w:themeColor="text1"/>
                <w:sz w:val="20"/>
                <w:szCs w:val="20"/>
              </w:rPr>
              <w:t>358.2204</w:t>
            </w:r>
          </w:p>
        </w:tc>
        <w:tc>
          <w:tcPr>
            <w:tcW w:w="2991" w:type="dxa"/>
            <w:vMerge/>
            <w:vAlign w:val="center"/>
          </w:tcPr>
          <w:p w14:paraId="28AC5A07" w14:textId="77777777" w:rsidR="004D1935" w:rsidRPr="005A5E3A" w:rsidRDefault="004D1935" w:rsidP="00E24DC9">
            <w:pPr>
              <w:jc w:val="center"/>
              <w:rPr>
                <w:color w:val="000000" w:themeColor="text1"/>
              </w:rPr>
            </w:pPr>
          </w:p>
        </w:tc>
        <w:tc>
          <w:tcPr>
            <w:tcW w:w="1373" w:type="dxa"/>
            <w:vMerge/>
            <w:vAlign w:val="center"/>
          </w:tcPr>
          <w:p w14:paraId="770698FA" w14:textId="77777777" w:rsidR="004D1935" w:rsidRPr="005A5E3A" w:rsidRDefault="004D1935" w:rsidP="00E24DC9">
            <w:pPr>
              <w:jc w:val="center"/>
              <w:rPr>
                <w:color w:val="000000" w:themeColor="text1"/>
              </w:rPr>
            </w:pPr>
          </w:p>
        </w:tc>
        <w:tc>
          <w:tcPr>
            <w:tcW w:w="4076" w:type="dxa"/>
            <w:vMerge/>
            <w:vAlign w:val="center"/>
          </w:tcPr>
          <w:p w14:paraId="5327B83D" w14:textId="77777777" w:rsidR="004D1935" w:rsidRPr="005A5E3A" w:rsidRDefault="004D1935" w:rsidP="00E24DC9">
            <w:pPr>
              <w:jc w:val="center"/>
              <w:rPr>
                <w:color w:val="000000" w:themeColor="text1"/>
              </w:rPr>
            </w:pPr>
          </w:p>
        </w:tc>
        <w:tc>
          <w:tcPr>
            <w:tcW w:w="5068" w:type="dxa"/>
            <w:vMerge/>
            <w:vAlign w:val="center"/>
          </w:tcPr>
          <w:p w14:paraId="35D3DB18" w14:textId="77777777" w:rsidR="004D1935" w:rsidRPr="005A5E3A" w:rsidRDefault="004D1935" w:rsidP="00E24DC9">
            <w:pPr>
              <w:jc w:val="center"/>
              <w:rPr>
                <w:color w:val="000000" w:themeColor="text1"/>
              </w:rPr>
            </w:pPr>
          </w:p>
        </w:tc>
      </w:tr>
      <w:tr w:rsidR="004D1935" w:rsidRPr="005A5E3A" w14:paraId="6384449F" w14:textId="77777777" w:rsidTr="00E24DC9">
        <w:tc>
          <w:tcPr>
            <w:tcW w:w="567" w:type="dxa"/>
            <w:vMerge/>
            <w:vAlign w:val="center"/>
          </w:tcPr>
          <w:p w14:paraId="72D9B370"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24C5B764" w14:textId="77777777" w:rsidR="004D1935" w:rsidRPr="005A5E3A" w:rsidRDefault="004D1935" w:rsidP="00E24DC9">
            <w:pPr>
              <w:jc w:val="center"/>
              <w:rPr>
                <w:rFonts w:ascii="Calibri" w:hAnsi="Calibri" w:cs="Calibri"/>
                <w:color w:val="000000" w:themeColor="text1"/>
                <w:sz w:val="20"/>
                <w:szCs w:val="20"/>
              </w:rPr>
            </w:pPr>
            <w:r w:rsidRPr="005A5E3A">
              <w:rPr>
                <w:rFonts w:ascii="Calibri" w:hAnsi="Calibri" w:cs="Calibri"/>
                <w:color w:val="000000" w:themeColor="text1"/>
                <w:sz w:val="20"/>
                <w:szCs w:val="20"/>
              </w:rPr>
              <w:t>358.2631</w:t>
            </w:r>
          </w:p>
        </w:tc>
        <w:tc>
          <w:tcPr>
            <w:tcW w:w="2991" w:type="dxa"/>
            <w:vMerge/>
            <w:vAlign w:val="center"/>
          </w:tcPr>
          <w:p w14:paraId="501939CA" w14:textId="77777777" w:rsidR="004D1935" w:rsidRPr="005A5E3A" w:rsidRDefault="004D1935" w:rsidP="00E24DC9">
            <w:pPr>
              <w:jc w:val="center"/>
              <w:rPr>
                <w:color w:val="000000" w:themeColor="text1"/>
              </w:rPr>
            </w:pPr>
          </w:p>
        </w:tc>
        <w:tc>
          <w:tcPr>
            <w:tcW w:w="1373" w:type="dxa"/>
            <w:vMerge/>
            <w:vAlign w:val="center"/>
          </w:tcPr>
          <w:p w14:paraId="72CAD8A4" w14:textId="77777777" w:rsidR="004D1935" w:rsidRPr="005A5E3A" w:rsidRDefault="004D1935" w:rsidP="00E24DC9">
            <w:pPr>
              <w:jc w:val="center"/>
              <w:rPr>
                <w:color w:val="000000" w:themeColor="text1"/>
              </w:rPr>
            </w:pPr>
          </w:p>
        </w:tc>
        <w:tc>
          <w:tcPr>
            <w:tcW w:w="4076" w:type="dxa"/>
            <w:vMerge/>
            <w:vAlign w:val="center"/>
          </w:tcPr>
          <w:p w14:paraId="6AE5F8BF" w14:textId="77777777" w:rsidR="004D1935" w:rsidRPr="005A5E3A" w:rsidRDefault="004D1935" w:rsidP="00E24DC9">
            <w:pPr>
              <w:jc w:val="center"/>
              <w:rPr>
                <w:color w:val="000000" w:themeColor="text1"/>
              </w:rPr>
            </w:pPr>
          </w:p>
        </w:tc>
        <w:tc>
          <w:tcPr>
            <w:tcW w:w="5068" w:type="dxa"/>
            <w:vMerge/>
            <w:vAlign w:val="center"/>
          </w:tcPr>
          <w:p w14:paraId="1384AA41" w14:textId="77777777" w:rsidR="004D1935" w:rsidRPr="005A5E3A" w:rsidRDefault="004D1935" w:rsidP="00E24DC9">
            <w:pPr>
              <w:jc w:val="center"/>
              <w:rPr>
                <w:color w:val="000000" w:themeColor="text1"/>
              </w:rPr>
            </w:pPr>
          </w:p>
        </w:tc>
      </w:tr>
      <w:tr w:rsidR="004D1935" w:rsidRPr="005A5E3A" w14:paraId="0E81C9EC" w14:textId="77777777" w:rsidTr="00E24DC9">
        <w:tc>
          <w:tcPr>
            <w:tcW w:w="567" w:type="dxa"/>
            <w:vMerge/>
            <w:vAlign w:val="center"/>
          </w:tcPr>
          <w:p w14:paraId="64496CC3" w14:textId="77777777" w:rsidR="004D1935" w:rsidRPr="005A5E3A" w:rsidRDefault="004D1935" w:rsidP="00E24DC9">
            <w:pPr>
              <w:jc w:val="center"/>
              <w:rPr>
                <w:color w:val="000000" w:themeColor="text1"/>
              </w:rPr>
            </w:pPr>
          </w:p>
        </w:tc>
        <w:tc>
          <w:tcPr>
            <w:tcW w:w="1093" w:type="dxa"/>
            <w:tcBorders>
              <w:top w:val="nil"/>
              <w:bottom w:val="single" w:sz="4" w:space="0" w:color="auto"/>
            </w:tcBorders>
            <w:vAlign w:val="center"/>
          </w:tcPr>
          <w:p w14:paraId="6FDE6F58" w14:textId="77777777" w:rsidR="004D1935" w:rsidRDefault="004D1935" w:rsidP="00E24DC9">
            <w:pPr>
              <w:jc w:val="center"/>
              <w:rPr>
                <w:rFonts w:ascii="Calibri" w:hAnsi="Calibri" w:cs="Calibri"/>
                <w:color w:val="000000" w:themeColor="text1"/>
                <w:sz w:val="20"/>
                <w:szCs w:val="20"/>
              </w:rPr>
            </w:pPr>
            <w:r w:rsidRPr="005A5E3A">
              <w:rPr>
                <w:rFonts w:ascii="Calibri" w:hAnsi="Calibri" w:cs="Calibri"/>
                <w:color w:val="000000" w:themeColor="text1"/>
                <w:sz w:val="20"/>
                <w:szCs w:val="20"/>
              </w:rPr>
              <w:t>358.3057</w:t>
            </w:r>
          </w:p>
          <w:p w14:paraId="4362827F" w14:textId="77777777" w:rsidR="004D1935" w:rsidRDefault="004D1935" w:rsidP="00E24DC9">
            <w:pPr>
              <w:jc w:val="center"/>
              <w:rPr>
                <w:rFonts w:ascii="Calibri" w:hAnsi="Calibri" w:cs="Calibri"/>
                <w:color w:val="000000" w:themeColor="text1"/>
                <w:sz w:val="20"/>
                <w:szCs w:val="20"/>
              </w:rPr>
            </w:pPr>
          </w:p>
          <w:p w14:paraId="353521F9" w14:textId="77777777" w:rsidR="004D1935" w:rsidRDefault="004D1935" w:rsidP="00E24DC9">
            <w:pPr>
              <w:jc w:val="center"/>
              <w:rPr>
                <w:rFonts w:ascii="Calibri" w:hAnsi="Calibri" w:cs="Calibri"/>
                <w:color w:val="000000" w:themeColor="text1"/>
                <w:sz w:val="20"/>
                <w:szCs w:val="20"/>
              </w:rPr>
            </w:pPr>
          </w:p>
          <w:p w14:paraId="52650D25" w14:textId="77777777" w:rsidR="004D1935" w:rsidRDefault="004D1935" w:rsidP="00E24DC9">
            <w:pPr>
              <w:jc w:val="center"/>
              <w:rPr>
                <w:rFonts w:ascii="Calibri" w:hAnsi="Calibri" w:cs="Calibri"/>
                <w:color w:val="000000" w:themeColor="text1"/>
                <w:sz w:val="20"/>
                <w:szCs w:val="20"/>
              </w:rPr>
            </w:pPr>
          </w:p>
          <w:p w14:paraId="09B62D6B" w14:textId="77777777" w:rsidR="004D1935" w:rsidRDefault="004D1935" w:rsidP="00E24DC9">
            <w:pPr>
              <w:jc w:val="center"/>
              <w:rPr>
                <w:rFonts w:ascii="Calibri" w:hAnsi="Calibri" w:cs="Calibri"/>
                <w:color w:val="000000" w:themeColor="text1"/>
                <w:sz w:val="20"/>
                <w:szCs w:val="20"/>
              </w:rPr>
            </w:pPr>
          </w:p>
          <w:p w14:paraId="2CF927B5" w14:textId="77777777" w:rsidR="004D1935" w:rsidRDefault="004D1935" w:rsidP="00E24DC9">
            <w:pPr>
              <w:rPr>
                <w:rFonts w:ascii="Calibri" w:hAnsi="Calibri" w:cs="Calibri"/>
                <w:color w:val="000000" w:themeColor="text1"/>
                <w:sz w:val="20"/>
                <w:szCs w:val="20"/>
              </w:rPr>
            </w:pPr>
          </w:p>
          <w:p w14:paraId="6D750951" w14:textId="77777777" w:rsidR="004D1935" w:rsidRDefault="004D1935" w:rsidP="00E24DC9">
            <w:pPr>
              <w:jc w:val="center"/>
              <w:rPr>
                <w:rFonts w:ascii="Calibri" w:hAnsi="Calibri" w:cs="Calibri"/>
                <w:color w:val="000000" w:themeColor="text1"/>
                <w:sz w:val="20"/>
                <w:szCs w:val="20"/>
              </w:rPr>
            </w:pPr>
          </w:p>
          <w:p w14:paraId="3DF35BF7" w14:textId="77777777" w:rsidR="004D1935" w:rsidRDefault="004D1935" w:rsidP="00E24DC9">
            <w:pPr>
              <w:jc w:val="center"/>
              <w:rPr>
                <w:rFonts w:ascii="Calibri" w:hAnsi="Calibri" w:cs="Calibri"/>
                <w:color w:val="000000" w:themeColor="text1"/>
                <w:sz w:val="20"/>
                <w:szCs w:val="20"/>
              </w:rPr>
            </w:pPr>
          </w:p>
          <w:p w14:paraId="3C1BF02B" w14:textId="77777777" w:rsidR="004D1935" w:rsidRDefault="004D1935" w:rsidP="00E24DC9">
            <w:pPr>
              <w:jc w:val="center"/>
              <w:rPr>
                <w:rFonts w:ascii="Calibri" w:hAnsi="Calibri" w:cs="Calibri"/>
                <w:color w:val="000000" w:themeColor="text1"/>
                <w:sz w:val="20"/>
                <w:szCs w:val="20"/>
              </w:rPr>
            </w:pPr>
          </w:p>
          <w:p w14:paraId="16D96882" w14:textId="77777777" w:rsidR="004D1935" w:rsidRPr="005A5E3A" w:rsidRDefault="004D1935" w:rsidP="00E24DC9">
            <w:pPr>
              <w:jc w:val="center"/>
              <w:rPr>
                <w:rFonts w:ascii="Calibri" w:hAnsi="Calibri" w:cs="Calibri"/>
                <w:color w:val="000000" w:themeColor="text1"/>
                <w:sz w:val="20"/>
                <w:szCs w:val="20"/>
              </w:rPr>
            </w:pPr>
          </w:p>
        </w:tc>
        <w:tc>
          <w:tcPr>
            <w:tcW w:w="2991" w:type="dxa"/>
            <w:vMerge/>
            <w:tcBorders>
              <w:bottom w:val="single" w:sz="4" w:space="0" w:color="auto"/>
            </w:tcBorders>
            <w:vAlign w:val="center"/>
          </w:tcPr>
          <w:p w14:paraId="2D8AF043" w14:textId="77777777" w:rsidR="004D1935" w:rsidRPr="005A5E3A" w:rsidRDefault="004D1935" w:rsidP="00E24DC9">
            <w:pPr>
              <w:jc w:val="center"/>
              <w:rPr>
                <w:color w:val="000000" w:themeColor="text1"/>
              </w:rPr>
            </w:pPr>
          </w:p>
        </w:tc>
        <w:tc>
          <w:tcPr>
            <w:tcW w:w="1373" w:type="dxa"/>
            <w:vMerge/>
            <w:vAlign w:val="center"/>
          </w:tcPr>
          <w:p w14:paraId="462FF42F" w14:textId="77777777" w:rsidR="004D1935" w:rsidRPr="005A5E3A" w:rsidRDefault="004D1935" w:rsidP="00E24DC9">
            <w:pPr>
              <w:jc w:val="center"/>
              <w:rPr>
                <w:color w:val="000000" w:themeColor="text1"/>
              </w:rPr>
            </w:pPr>
          </w:p>
        </w:tc>
        <w:tc>
          <w:tcPr>
            <w:tcW w:w="4076" w:type="dxa"/>
            <w:vMerge/>
            <w:vAlign w:val="center"/>
          </w:tcPr>
          <w:p w14:paraId="38B7919B" w14:textId="77777777" w:rsidR="004D1935" w:rsidRPr="005A5E3A" w:rsidRDefault="004D1935" w:rsidP="00E24DC9">
            <w:pPr>
              <w:jc w:val="center"/>
              <w:rPr>
                <w:color w:val="000000" w:themeColor="text1"/>
              </w:rPr>
            </w:pPr>
          </w:p>
        </w:tc>
        <w:tc>
          <w:tcPr>
            <w:tcW w:w="5068" w:type="dxa"/>
            <w:vMerge/>
            <w:vAlign w:val="center"/>
          </w:tcPr>
          <w:p w14:paraId="7559BBAD" w14:textId="77777777" w:rsidR="004D1935" w:rsidRPr="005A5E3A" w:rsidRDefault="004D1935" w:rsidP="00E24DC9">
            <w:pPr>
              <w:jc w:val="center"/>
              <w:rPr>
                <w:color w:val="000000" w:themeColor="text1"/>
              </w:rPr>
            </w:pPr>
          </w:p>
        </w:tc>
      </w:tr>
      <w:tr w:rsidR="004D1935" w:rsidRPr="005A5E3A" w14:paraId="6FAD4072" w14:textId="77777777" w:rsidTr="00E24DC9">
        <w:tc>
          <w:tcPr>
            <w:tcW w:w="567" w:type="dxa"/>
            <w:vMerge w:val="restart"/>
            <w:vAlign w:val="center"/>
          </w:tcPr>
          <w:p w14:paraId="242C0FC5" w14:textId="77777777" w:rsidR="004D1935" w:rsidRPr="005A5E3A" w:rsidRDefault="004D1935" w:rsidP="00E24DC9">
            <w:pPr>
              <w:jc w:val="center"/>
              <w:rPr>
                <w:color w:val="000000" w:themeColor="text1"/>
              </w:rPr>
            </w:pPr>
            <w:r w:rsidRPr="005A5E3A">
              <w:rPr>
                <w:color w:val="000000" w:themeColor="text1"/>
              </w:rPr>
              <w:lastRenderedPageBreak/>
              <w:t>K</w:t>
            </w:r>
          </w:p>
        </w:tc>
        <w:tc>
          <w:tcPr>
            <w:tcW w:w="1093" w:type="dxa"/>
            <w:tcBorders>
              <w:bottom w:val="nil"/>
            </w:tcBorders>
            <w:vAlign w:val="center"/>
          </w:tcPr>
          <w:p w14:paraId="4965B269" w14:textId="77777777" w:rsidR="004D1935" w:rsidRPr="005A5E3A" w:rsidRDefault="004D1935" w:rsidP="00E24DC9">
            <w:pPr>
              <w:jc w:val="center"/>
              <w:rPr>
                <w:rFonts w:ascii="Calibri" w:hAnsi="Calibri" w:cs="Calibri"/>
                <w:color w:val="000000" w:themeColor="text1"/>
                <w:sz w:val="20"/>
                <w:szCs w:val="20"/>
              </w:rPr>
            </w:pPr>
            <w:r w:rsidRPr="005A5E3A">
              <w:rPr>
                <w:rFonts w:ascii="Calibri" w:hAnsi="Calibri" w:cs="Calibri"/>
                <w:color w:val="000000" w:themeColor="text1"/>
                <w:sz w:val="18"/>
                <w:szCs w:val="18"/>
              </w:rPr>
              <w:t>342.0224</w:t>
            </w:r>
          </w:p>
        </w:tc>
        <w:tc>
          <w:tcPr>
            <w:tcW w:w="2991" w:type="dxa"/>
            <w:tcBorders>
              <w:bottom w:val="nil"/>
            </w:tcBorders>
            <w:vAlign w:val="center"/>
          </w:tcPr>
          <w:p w14:paraId="5D7A48AC" w14:textId="77777777" w:rsidR="004D1935" w:rsidRDefault="004D1935" w:rsidP="00E24DC9">
            <w:pPr>
              <w:jc w:val="center"/>
              <w:rPr>
                <w:color w:val="000000" w:themeColor="text1"/>
              </w:rPr>
            </w:pPr>
          </w:p>
          <w:p w14:paraId="3742E938" w14:textId="77777777" w:rsidR="004D1935" w:rsidRPr="005A5E3A" w:rsidRDefault="004D1935" w:rsidP="00E24DC9">
            <w:pPr>
              <w:rPr>
                <w:color w:val="000000" w:themeColor="text1"/>
              </w:rPr>
            </w:pPr>
            <w:r>
              <w:rPr>
                <w:color w:val="000000" w:themeColor="text1"/>
              </w:rPr>
              <w:t xml:space="preserve">                   </w:t>
            </w:r>
            <w:hyperlink r:id="rId161" w:history="1">
              <w:r w:rsidRPr="005A5E3A">
                <w:rPr>
                  <w:rFonts w:ascii="Calibri" w:hAnsi="Calibri" w:cs="Calibri"/>
                  <w:color w:val="000000" w:themeColor="text1"/>
                  <w:sz w:val="18"/>
                  <w:szCs w:val="18"/>
                </w:rPr>
                <w:t>penicillin K</w:t>
              </w:r>
            </w:hyperlink>
          </w:p>
        </w:tc>
        <w:tc>
          <w:tcPr>
            <w:tcW w:w="1373" w:type="dxa"/>
            <w:vMerge w:val="restart"/>
            <w:vAlign w:val="center"/>
          </w:tcPr>
          <w:p w14:paraId="1CF9D10D" w14:textId="77777777" w:rsidR="004D1935" w:rsidRPr="005A5E3A" w:rsidRDefault="004D1935" w:rsidP="00E24DC9">
            <w:pPr>
              <w:rPr>
                <w:rFonts w:ascii="Arial" w:hAnsi="Arial" w:cs="Arial"/>
                <w:color w:val="000000" w:themeColor="text1"/>
                <w:sz w:val="18"/>
                <w:szCs w:val="18"/>
              </w:rPr>
            </w:pPr>
            <w:r w:rsidRPr="005A5E3A">
              <w:rPr>
                <w:rFonts w:ascii="Arial" w:hAnsi="Arial" w:cs="Arial"/>
                <w:color w:val="000000" w:themeColor="text1"/>
                <w:sz w:val="18"/>
                <w:szCs w:val="18"/>
              </w:rPr>
              <w:t>C</w:t>
            </w:r>
            <w:r w:rsidRPr="005A5E3A">
              <w:rPr>
                <w:rFonts w:ascii="Arial" w:hAnsi="Arial" w:cs="Arial"/>
                <w:color w:val="000000" w:themeColor="text1"/>
                <w:sz w:val="18"/>
                <w:szCs w:val="18"/>
                <w:vertAlign w:val="subscript"/>
              </w:rPr>
              <w:t>16</w:t>
            </w:r>
            <w:r w:rsidRPr="005A5E3A">
              <w:rPr>
                <w:rFonts w:ascii="Arial" w:hAnsi="Arial" w:cs="Arial"/>
                <w:color w:val="000000" w:themeColor="text1"/>
                <w:sz w:val="18"/>
                <w:szCs w:val="18"/>
              </w:rPr>
              <w:t>H</w:t>
            </w:r>
            <w:r w:rsidRPr="005A5E3A">
              <w:rPr>
                <w:rFonts w:ascii="Arial" w:hAnsi="Arial" w:cs="Arial"/>
                <w:color w:val="000000" w:themeColor="text1"/>
                <w:sz w:val="18"/>
                <w:szCs w:val="18"/>
                <w:vertAlign w:val="subscript"/>
              </w:rPr>
              <w:t>25</w:t>
            </w:r>
            <w:r w:rsidRPr="005A5E3A">
              <w:rPr>
                <w:rFonts w:ascii="Arial" w:hAnsi="Arial" w:cs="Arial"/>
                <w:color w:val="000000" w:themeColor="text1"/>
                <w:sz w:val="18"/>
                <w:szCs w:val="18"/>
              </w:rPr>
              <w:t>N</w:t>
            </w:r>
            <w:r w:rsidRPr="005A5E3A">
              <w:rPr>
                <w:rFonts w:ascii="Arial" w:hAnsi="Arial" w:cs="Arial"/>
                <w:color w:val="000000" w:themeColor="text1"/>
                <w:sz w:val="18"/>
                <w:szCs w:val="18"/>
                <w:vertAlign w:val="subscript"/>
              </w:rPr>
              <w:t>2</w:t>
            </w:r>
            <w:r w:rsidRPr="005A5E3A">
              <w:rPr>
                <w:rFonts w:ascii="Arial" w:hAnsi="Arial" w:cs="Arial"/>
                <w:color w:val="000000" w:themeColor="text1"/>
                <w:sz w:val="18"/>
                <w:szCs w:val="18"/>
              </w:rPr>
              <w:t>O</w:t>
            </w:r>
            <w:r w:rsidRPr="005A5E3A">
              <w:rPr>
                <w:rFonts w:ascii="Arial" w:hAnsi="Arial" w:cs="Arial"/>
                <w:color w:val="000000" w:themeColor="text1"/>
                <w:sz w:val="18"/>
                <w:szCs w:val="18"/>
                <w:vertAlign w:val="subscript"/>
              </w:rPr>
              <w:t>4</w:t>
            </w:r>
            <w:r w:rsidRPr="005A5E3A">
              <w:rPr>
                <w:rFonts w:ascii="Arial" w:hAnsi="Arial" w:cs="Arial"/>
                <w:color w:val="000000" w:themeColor="text1"/>
                <w:sz w:val="18"/>
                <w:szCs w:val="18"/>
              </w:rPr>
              <w:t>S</w:t>
            </w:r>
          </w:p>
          <w:p w14:paraId="36D5B30B" w14:textId="77777777" w:rsidR="004D1935" w:rsidRPr="005A5E3A" w:rsidRDefault="004D1935" w:rsidP="00E24DC9">
            <w:pPr>
              <w:jc w:val="center"/>
              <w:rPr>
                <w:rFonts w:ascii="Arial" w:hAnsi="Arial" w:cs="Arial"/>
                <w:color w:val="000000" w:themeColor="text1"/>
                <w:sz w:val="18"/>
                <w:szCs w:val="18"/>
                <w:vertAlign w:val="subscript"/>
              </w:rPr>
            </w:pPr>
            <w:r w:rsidRPr="005A5E3A">
              <w:rPr>
                <w:rFonts w:ascii="Arial" w:hAnsi="Arial" w:cs="Arial"/>
                <w:color w:val="000000" w:themeColor="text1"/>
                <w:sz w:val="18"/>
                <w:szCs w:val="18"/>
              </w:rPr>
              <w:t>C</w:t>
            </w:r>
            <w:r w:rsidRPr="005A5E3A">
              <w:rPr>
                <w:rFonts w:ascii="Arial" w:hAnsi="Arial" w:cs="Arial"/>
                <w:color w:val="000000" w:themeColor="text1"/>
                <w:sz w:val="18"/>
                <w:szCs w:val="18"/>
                <w:vertAlign w:val="subscript"/>
              </w:rPr>
              <w:t>12</w:t>
            </w:r>
            <w:r w:rsidRPr="005A5E3A">
              <w:rPr>
                <w:rFonts w:ascii="Arial" w:hAnsi="Arial" w:cs="Arial"/>
                <w:color w:val="000000" w:themeColor="text1"/>
                <w:sz w:val="18"/>
                <w:szCs w:val="18"/>
              </w:rPr>
              <w:t>H</w:t>
            </w:r>
            <w:r w:rsidRPr="005A5E3A">
              <w:rPr>
                <w:rFonts w:ascii="Arial" w:hAnsi="Arial" w:cs="Arial"/>
                <w:color w:val="000000" w:themeColor="text1"/>
                <w:sz w:val="18"/>
                <w:szCs w:val="18"/>
                <w:vertAlign w:val="subscript"/>
              </w:rPr>
              <w:t>24</w:t>
            </w:r>
            <w:r w:rsidRPr="005A5E3A">
              <w:rPr>
                <w:rFonts w:ascii="Arial" w:hAnsi="Arial" w:cs="Arial"/>
                <w:color w:val="000000" w:themeColor="text1"/>
                <w:sz w:val="18"/>
                <w:szCs w:val="18"/>
              </w:rPr>
              <w:t>NO</w:t>
            </w:r>
            <w:r w:rsidRPr="005A5E3A">
              <w:rPr>
                <w:rFonts w:ascii="Arial" w:hAnsi="Arial" w:cs="Arial"/>
                <w:color w:val="000000" w:themeColor="text1"/>
                <w:sz w:val="18"/>
                <w:szCs w:val="18"/>
                <w:vertAlign w:val="subscript"/>
              </w:rPr>
              <w:t>10</w:t>
            </w:r>
          </w:p>
          <w:p w14:paraId="3F42863C" w14:textId="77777777" w:rsidR="004D1935" w:rsidRDefault="004D1935" w:rsidP="00E24DC9">
            <w:pPr>
              <w:jc w:val="center"/>
              <w:rPr>
                <w:rFonts w:ascii="Arial" w:hAnsi="Arial" w:cs="Arial"/>
                <w:color w:val="000000" w:themeColor="text1"/>
                <w:sz w:val="18"/>
                <w:szCs w:val="18"/>
              </w:rPr>
            </w:pPr>
          </w:p>
          <w:p w14:paraId="76249272" w14:textId="77777777" w:rsidR="004D1935" w:rsidRDefault="004D1935" w:rsidP="00E24DC9">
            <w:pPr>
              <w:jc w:val="center"/>
              <w:rPr>
                <w:rFonts w:ascii="Arial" w:hAnsi="Arial" w:cs="Arial"/>
                <w:color w:val="000000" w:themeColor="text1"/>
                <w:sz w:val="18"/>
                <w:szCs w:val="18"/>
              </w:rPr>
            </w:pPr>
          </w:p>
          <w:p w14:paraId="741319C5" w14:textId="77777777" w:rsidR="004D1935" w:rsidRDefault="004D1935" w:rsidP="00E24DC9">
            <w:pPr>
              <w:jc w:val="center"/>
              <w:rPr>
                <w:rFonts w:ascii="Arial" w:hAnsi="Arial" w:cs="Arial"/>
                <w:color w:val="000000" w:themeColor="text1"/>
                <w:sz w:val="18"/>
                <w:szCs w:val="18"/>
              </w:rPr>
            </w:pPr>
          </w:p>
          <w:p w14:paraId="1BD08C3C" w14:textId="77777777" w:rsidR="004D1935" w:rsidRDefault="004D1935" w:rsidP="00E24DC9">
            <w:pPr>
              <w:jc w:val="center"/>
              <w:rPr>
                <w:rFonts w:ascii="Arial" w:hAnsi="Arial" w:cs="Arial"/>
                <w:color w:val="000000" w:themeColor="text1"/>
                <w:sz w:val="18"/>
                <w:szCs w:val="18"/>
              </w:rPr>
            </w:pPr>
          </w:p>
          <w:p w14:paraId="2AA0A267" w14:textId="77777777" w:rsidR="004D1935" w:rsidRDefault="004D1935" w:rsidP="00E24DC9">
            <w:pPr>
              <w:jc w:val="center"/>
              <w:rPr>
                <w:rFonts w:ascii="Arial" w:hAnsi="Arial" w:cs="Arial"/>
                <w:color w:val="000000" w:themeColor="text1"/>
                <w:sz w:val="18"/>
                <w:szCs w:val="18"/>
              </w:rPr>
            </w:pPr>
          </w:p>
          <w:p w14:paraId="6F8323A1" w14:textId="77777777" w:rsidR="004D1935" w:rsidRDefault="004D1935" w:rsidP="00E24DC9">
            <w:pPr>
              <w:jc w:val="center"/>
              <w:rPr>
                <w:rFonts w:ascii="Arial" w:hAnsi="Arial" w:cs="Arial"/>
                <w:color w:val="000000" w:themeColor="text1"/>
                <w:sz w:val="18"/>
                <w:szCs w:val="18"/>
              </w:rPr>
            </w:pPr>
          </w:p>
          <w:p w14:paraId="14FACC01" w14:textId="77777777" w:rsidR="004D1935" w:rsidRPr="005A5E3A" w:rsidRDefault="004D1935" w:rsidP="00E24DC9">
            <w:pPr>
              <w:jc w:val="center"/>
              <w:rPr>
                <w:color w:val="000000" w:themeColor="text1"/>
              </w:rPr>
            </w:pPr>
            <w:r w:rsidRPr="005A5E3A">
              <w:rPr>
                <w:rFonts w:ascii="Arial" w:hAnsi="Arial" w:cs="Arial"/>
                <w:color w:val="000000" w:themeColor="text1"/>
                <w:sz w:val="18"/>
                <w:szCs w:val="18"/>
              </w:rPr>
              <w:t>C</w:t>
            </w:r>
            <w:r w:rsidRPr="005A5E3A">
              <w:rPr>
                <w:rFonts w:ascii="Arial" w:hAnsi="Arial" w:cs="Arial"/>
                <w:color w:val="000000" w:themeColor="text1"/>
                <w:sz w:val="18"/>
                <w:szCs w:val="18"/>
                <w:vertAlign w:val="subscript"/>
              </w:rPr>
              <w:t>12</w:t>
            </w:r>
            <w:r w:rsidRPr="005A5E3A">
              <w:rPr>
                <w:rFonts w:ascii="Arial" w:hAnsi="Arial" w:cs="Arial"/>
                <w:color w:val="000000" w:themeColor="text1"/>
                <w:sz w:val="18"/>
                <w:szCs w:val="18"/>
              </w:rPr>
              <w:t>H</w:t>
            </w:r>
            <w:r w:rsidRPr="005A5E3A">
              <w:rPr>
                <w:rFonts w:ascii="Arial" w:hAnsi="Arial" w:cs="Arial"/>
                <w:color w:val="000000" w:themeColor="text1"/>
                <w:sz w:val="18"/>
                <w:szCs w:val="18"/>
                <w:vertAlign w:val="subscript"/>
              </w:rPr>
              <w:t>26</w:t>
            </w:r>
            <w:r w:rsidRPr="005A5E3A">
              <w:rPr>
                <w:rFonts w:ascii="Arial" w:hAnsi="Arial" w:cs="Arial"/>
                <w:color w:val="000000" w:themeColor="text1"/>
                <w:sz w:val="18"/>
                <w:szCs w:val="18"/>
              </w:rPr>
              <w:t>N</w:t>
            </w:r>
            <w:r w:rsidRPr="005A5E3A">
              <w:rPr>
                <w:rFonts w:ascii="Arial" w:hAnsi="Arial" w:cs="Arial"/>
                <w:color w:val="000000" w:themeColor="text1"/>
                <w:sz w:val="18"/>
                <w:szCs w:val="18"/>
                <w:vertAlign w:val="subscript"/>
              </w:rPr>
              <w:t>2</w:t>
            </w:r>
            <w:r w:rsidRPr="005A5E3A">
              <w:rPr>
                <w:rFonts w:ascii="Arial" w:hAnsi="Arial" w:cs="Arial"/>
                <w:color w:val="000000" w:themeColor="text1"/>
                <w:sz w:val="18"/>
                <w:szCs w:val="18"/>
              </w:rPr>
              <w:t>O</w:t>
            </w:r>
            <w:r w:rsidRPr="005A5E3A">
              <w:rPr>
                <w:rFonts w:ascii="Arial" w:hAnsi="Arial" w:cs="Arial"/>
                <w:color w:val="000000" w:themeColor="text1"/>
                <w:sz w:val="18"/>
                <w:szCs w:val="18"/>
                <w:vertAlign w:val="subscript"/>
              </w:rPr>
              <w:t>9</w:t>
            </w:r>
          </w:p>
          <w:p w14:paraId="74710738" w14:textId="77777777" w:rsidR="004D1935" w:rsidRPr="005A5E3A" w:rsidRDefault="004D1935" w:rsidP="00E24DC9">
            <w:pPr>
              <w:jc w:val="center"/>
              <w:rPr>
                <w:color w:val="000000" w:themeColor="text1"/>
              </w:rPr>
            </w:pPr>
            <w:r w:rsidRPr="005A5E3A">
              <w:rPr>
                <w:rFonts w:ascii="Arial" w:hAnsi="Arial" w:cs="Arial"/>
                <w:color w:val="000000" w:themeColor="text1"/>
                <w:sz w:val="18"/>
                <w:szCs w:val="18"/>
              </w:rPr>
              <w:t>C</w:t>
            </w:r>
            <w:r w:rsidRPr="005A5E3A">
              <w:rPr>
                <w:rFonts w:ascii="Arial" w:hAnsi="Arial" w:cs="Arial"/>
                <w:color w:val="000000" w:themeColor="text1"/>
                <w:sz w:val="18"/>
                <w:szCs w:val="18"/>
                <w:vertAlign w:val="subscript"/>
              </w:rPr>
              <w:t>12</w:t>
            </w:r>
            <w:r w:rsidRPr="005A5E3A">
              <w:rPr>
                <w:rFonts w:ascii="Arial" w:hAnsi="Arial" w:cs="Arial"/>
                <w:color w:val="000000" w:themeColor="text1"/>
                <w:sz w:val="18"/>
                <w:szCs w:val="18"/>
              </w:rPr>
              <w:t>H</w:t>
            </w:r>
            <w:r w:rsidRPr="005A5E3A">
              <w:rPr>
                <w:rFonts w:ascii="Arial" w:hAnsi="Arial" w:cs="Arial"/>
                <w:color w:val="000000" w:themeColor="text1"/>
                <w:sz w:val="18"/>
                <w:szCs w:val="18"/>
                <w:vertAlign w:val="subscript"/>
              </w:rPr>
              <w:t>22</w:t>
            </w:r>
            <w:r w:rsidRPr="005A5E3A">
              <w:rPr>
                <w:rFonts w:ascii="Arial" w:hAnsi="Arial" w:cs="Arial"/>
                <w:color w:val="000000" w:themeColor="text1"/>
                <w:sz w:val="18"/>
                <w:szCs w:val="18"/>
              </w:rPr>
              <w:t>O</w:t>
            </w:r>
            <w:r w:rsidRPr="005A5E3A">
              <w:rPr>
                <w:rFonts w:ascii="Arial" w:hAnsi="Arial" w:cs="Arial"/>
                <w:color w:val="000000" w:themeColor="text1"/>
                <w:sz w:val="18"/>
                <w:szCs w:val="18"/>
                <w:vertAlign w:val="subscript"/>
              </w:rPr>
              <w:t>11</w:t>
            </w:r>
          </w:p>
          <w:p w14:paraId="2F2EECC6" w14:textId="77777777" w:rsidR="004D1935" w:rsidRPr="005A5E3A" w:rsidRDefault="004D1935" w:rsidP="00E24DC9">
            <w:pPr>
              <w:jc w:val="center"/>
              <w:rPr>
                <w:color w:val="000000" w:themeColor="text1"/>
              </w:rPr>
            </w:pPr>
            <w:r w:rsidRPr="005A5E3A">
              <w:rPr>
                <w:rFonts w:ascii="Arial" w:hAnsi="Arial" w:cs="Arial"/>
                <w:color w:val="000000" w:themeColor="text1"/>
                <w:sz w:val="18"/>
                <w:szCs w:val="18"/>
              </w:rPr>
              <w:t>C</w:t>
            </w:r>
            <w:r w:rsidRPr="005A5E3A">
              <w:rPr>
                <w:rFonts w:ascii="Arial" w:hAnsi="Arial" w:cs="Arial"/>
                <w:color w:val="000000" w:themeColor="text1"/>
                <w:sz w:val="18"/>
                <w:szCs w:val="18"/>
                <w:vertAlign w:val="subscript"/>
              </w:rPr>
              <w:t>12</w:t>
            </w:r>
            <w:r w:rsidRPr="005A5E3A">
              <w:rPr>
                <w:rFonts w:ascii="Arial" w:hAnsi="Arial" w:cs="Arial"/>
                <w:color w:val="000000" w:themeColor="text1"/>
                <w:sz w:val="18"/>
                <w:szCs w:val="18"/>
              </w:rPr>
              <w:t>H</w:t>
            </w:r>
            <w:r w:rsidRPr="005A5E3A">
              <w:rPr>
                <w:rFonts w:ascii="Arial" w:hAnsi="Arial" w:cs="Arial"/>
                <w:color w:val="000000" w:themeColor="text1"/>
                <w:sz w:val="18"/>
                <w:szCs w:val="18"/>
                <w:vertAlign w:val="subscript"/>
              </w:rPr>
              <w:t>22</w:t>
            </w:r>
            <w:r w:rsidRPr="005A5E3A">
              <w:rPr>
                <w:rFonts w:ascii="Arial" w:hAnsi="Arial" w:cs="Arial"/>
                <w:color w:val="000000" w:themeColor="text1"/>
                <w:sz w:val="18"/>
                <w:szCs w:val="18"/>
              </w:rPr>
              <w:t>O</w:t>
            </w:r>
            <w:r w:rsidRPr="005A5E3A">
              <w:rPr>
                <w:rFonts w:ascii="Arial" w:hAnsi="Arial" w:cs="Arial"/>
                <w:color w:val="000000" w:themeColor="text1"/>
                <w:sz w:val="18"/>
                <w:szCs w:val="18"/>
                <w:vertAlign w:val="subscript"/>
              </w:rPr>
              <w:t>11</w:t>
            </w:r>
          </w:p>
          <w:p w14:paraId="363E4478" w14:textId="77777777" w:rsidR="004D1935" w:rsidRPr="005A5E3A" w:rsidRDefault="004D1935" w:rsidP="00E24DC9">
            <w:pPr>
              <w:jc w:val="center"/>
              <w:rPr>
                <w:color w:val="000000" w:themeColor="text1"/>
              </w:rPr>
            </w:pPr>
            <w:r w:rsidRPr="005A5E3A">
              <w:rPr>
                <w:rFonts w:ascii="Arial" w:hAnsi="Arial" w:cs="Arial"/>
                <w:color w:val="000000" w:themeColor="text1"/>
                <w:sz w:val="18"/>
                <w:szCs w:val="18"/>
              </w:rPr>
              <w:t>C</w:t>
            </w:r>
            <w:r w:rsidRPr="005A5E3A">
              <w:rPr>
                <w:rFonts w:ascii="Arial" w:hAnsi="Arial" w:cs="Arial"/>
                <w:color w:val="000000" w:themeColor="text1"/>
                <w:sz w:val="18"/>
                <w:szCs w:val="18"/>
                <w:vertAlign w:val="subscript"/>
              </w:rPr>
              <w:t>12</w:t>
            </w:r>
            <w:r w:rsidRPr="005A5E3A">
              <w:rPr>
                <w:rFonts w:ascii="Arial" w:hAnsi="Arial" w:cs="Arial"/>
                <w:color w:val="000000" w:themeColor="text1"/>
                <w:sz w:val="18"/>
                <w:szCs w:val="18"/>
              </w:rPr>
              <w:t>H</w:t>
            </w:r>
            <w:r w:rsidRPr="005A5E3A">
              <w:rPr>
                <w:rFonts w:ascii="Arial" w:hAnsi="Arial" w:cs="Arial"/>
                <w:color w:val="000000" w:themeColor="text1"/>
                <w:sz w:val="18"/>
                <w:szCs w:val="18"/>
                <w:vertAlign w:val="subscript"/>
              </w:rPr>
              <w:t>22</w:t>
            </w:r>
            <w:r w:rsidRPr="005A5E3A">
              <w:rPr>
                <w:rFonts w:ascii="Arial" w:hAnsi="Arial" w:cs="Arial"/>
                <w:color w:val="000000" w:themeColor="text1"/>
                <w:sz w:val="18"/>
                <w:szCs w:val="18"/>
              </w:rPr>
              <w:t>O</w:t>
            </w:r>
            <w:r w:rsidRPr="005A5E3A">
              <w:rPr>
                <w:rFonts w:ascii="Arial" w:hAnsi="Arial" w:cs="Arial"/>
                <w:color w:val="000000" w:themeColor="text1"/>
                <w:sz w:val="18"/>
                <w:szCs w:val="18"/>
                <w:vertAlign w:val="subscript"/>
              </w:rPr>
              <w:t>11</w:t>
            </w:r>
          </w:p>
          <w:p w14:paraId="0DD56F96" w14:textId="77777777" w:rsidR="004D1935" w:rsidRPr="005A5E3A" w:rsidRDefault="004D1935" w:rsidP="00E24DC9">
            <w:pPr>
              <w:jc w:val="center"/>
              <w:rPr>
                <w:color w:val="000000" w:themeColor="text1"/>
              </w:rPr>
            </w:pPr>
            <w:r w:rsidRPr="005A5E3A">
              <w:rPr>
                <w:rFonts w:ascii="Arial" w:hAnsi="Arial" w:cs="Arial"/>
                <w:color w:val="000000" w:themeColor="text1"/>
                <w:sz w:val="18"/>
                <w:szCs w:val="18"/>
              </w:rPr>
              <w:t>C</w:t>
            </w:r>
            <w:r w:rsidRPr="005A5E3A">
              <w:rPr>
                <w:rFonts w:ascii="Arial" w:hAnsi="Arial" w:cs="Arial"/>
                <w:color w:val="000000" w:themeColor="text1"/>
                <w:sz w:val="18"/>
                <w:szCs w:val="18"/>
                <w:vertAlign w:val="subscript"/>
              </w:rPr>
              <w:t>12</w:t>
            </w:r>
            <w:r w:rsidRPr="005A5E3A">
              <w:rPr>
                <w:rFonts w:ascii="Arial" w:hAnsi="Arial" w:cs="Arial"/>
                <w:color w:val="000000" w:themeColor="text1"/>
                <w:sz w:val="18"/>
                <w:szCs w:val="18"/>
              </w:rPr>
              <w:t>H</w:t>
            </w:r>
            <w:r w:rsidRPr="005A5E3A">
              <w:rPr>
                <w:rFonts w:ascii="Arial" w:hAnsi="Arial" w:cs="Arial"/>
                <w:color w:val="000000" w:themeColor="text1"/>
                <w:sz w:val="18"/>
                <w:szCs w:val="18"/>
                <w:vertAlign w:val="subscript"/>
              </w:rPr>
              <w:t>22</w:t>
            </w:r>
            <w:r w:rsidRPr="005A5E3A">
              <w:rPr>
                <w:rFonts w:ascii="Arial" w:hAnsi="Arial" w:cs="Arial"/>
                <w:color w:val="000000" w:themeColor="text1"/>
                <w:sz w:val="18"/>
                <w:szCs w:val="18"/>
              </w:rPr>
              <w:t>O</w:t>
            </w:r>
            <w:r w:rsidRPr="005A5E3A">
              <w:rPr>
                <w:rFonts w:ascii="Arial" w:hAnsi="Arial" w:cs="Arial"/>
                <w:color w:val="000000" w:themeColor="text1"/>
                <w:sz w:val="18"/>
                <w:szCs w:val="18"/>
                <w:vertAlign w:val="subscript"/>
              </w:rPr>
              <w:t>11</w:t>
            </w:r>
          </w:p>
          <w:p w14:paraId="5026859D" w14:textId="77777777" w:rsidR="004D1935" w:rsidRPr="005A5E3A" w:rsidRDefault="004D1935" w:rsidP="00E24DC9">
            <w:pPr>
              <w:jc w:val="center"/>
              <w:rPr>
                <w:color w:val="000000" w:themeColor="text1"/>
              </w:rPr>
            </w:pPr>
            <w:r w:rsidRPr="005A5E3A">
              <w:rPr>
                <w:rFonts w:ascii="Arial" w:hAnsi="Arial" w:cs="Arial"/>
                <w:color w:val="000000" w:themeColor="text1"/>
                <w:sz w:val="18"/>
                <w:szCs w:val="18"/>
              </w:rPr>
              <w:t>C</w:t>
            </w:r>
            <w:r w:rsidRPr="005A5E3A">
              <w:rPr>
                <w:rFonts w:ascii="Arial" w:hAnsi="Arial" w:cs="Arial"/>
                <w:color w:val="000000" w:themeColor="text1"/>
                <w:sz w:val="18"/>
                <w:szCs w:val="18"/>
                <w:vertAlign w:val="subscript"/>
              </w:rPr>
              <w:t>12</w:t>
            </w:r>
            <w:r w:rsidRPr="005A5E3A">
              <w:rPr>
                <w:rFonts w:ascii="Arial" w:hAnsi="Arial" w:cs="Arial"/>
                <w:color w:val="000000" w:themeColor="text1"/>
                <w:sz w:val="18"/>
                <w:szCs w:val="18"/>
              </w:rPr>
              <w:t>H</w:t>
            </w:r>
            <w:r w:rsidRPr="005A5E3A">
              <w:rPr>
                <w:rFonts w:ascii="Arial" w:hAnsi="Arial" w:cs="Arial"/>
                <w:color w:val="000000" w:themeColor="text1"/>
                <w:sz w:val="18"/>
                <w:szCs w:val="18"/>
                <w:vertAlign w:val="subscript"/>
              </w:rPr>
              <w:t>22</w:t>
            </w:r>
            <w:r w:rsidRPr="005A5E3A">
              <w:rPr>
                <w:rFonts w:ascii="Arial" w:hAnsi="Arial" w:cs="Arial"/>
                <w:color w:val="000000" w:themeColor="text1"/>
                <w:sz w:val="18"/>
                <w:szCs w:val="18"/>
              </w:rPr>
              <w:t>O</w:t>
            </w:r>
            <w:r w:rsidRPr="005A5E3A">
              <w:rPr>
                <w:rFonts w:ascii="Arial" w:hAnsi="Arial" w:cs="Arial"/>
                <w:color w:val="000000" w:themeColor="text1"/>
                <w:sz w:val="18"/>
                <w:szCs w:val="18"/>
                <w:vertAlign w:val="subscript"/>
              </w:rPr>
              <w:t>11</w:t>
            </w:r>
          </w:p>
          <w:p w14:paraId="70E0B3BF" w14:textId="77777777" w:rsidR="004D1935" w:rsidRPr="005A5E3A" w:rsidRDefault="004D1935" w:rsidP="00E24DC9">
            <w:pPr>
              <w:jc w:val="center"/>
              <w:rPr>
                <w:color w:val="000000" w:themeColor="text1"/>
              </w:rPr>
            </w:pPr>
            <w:r w:rsidRPr="005A5E3A">
              <w:rPr>
                <w:rFonts w:ascii="Arial" w:hAnsi="Arial" w:cs="Arial"/>
                <w:color w:val="000000" w:themeColor="text1"/>
                <w:sz w:val="18"/>
                <w:szCs w:val="18"/>
              </w:rPr>
              <w:t>C</w:t>
            </w:r>
            <w:r w:rsidRPr="005A5E3A">
              <w:rPr>
                <w:rFonts w:ascii="Arial" w:hAnsi="Arial" w:cs="Arial"/>
                <w:color w:val="000000" w:themeColor="text1"/>
                <w:sz w:val="18"/>
                <w:szCs w:val="18"/>
                <w:vertAlign w:val="subscript"/>
              </w:rPr>
              <w:t>12</w:t>
            </w:r>
            <w:r w:rsidRPr="005A5E3A">
              <w:rPr>
                <w:rFonts w:ascii="Arial" w:hAnsi="Arial" w:cs="Arial"/>
                <w:color w:val="000000" w:themeColor="text1"/>
                <w:sz w:val="18"/>
                <w:szCs w:val="18"/>
              </w:rPr>
              <w:t>H</w:t>
            </w:r>
            <w:r w:rsidRPr="005A5E3A">
              <w:rPr>
                <w:rFonts w:ascii="Arial" w:hAnsi="Arial" w:cs="Arial"/>
                <w:color w:val="000000" w:themeColor="text1"/>
                <w:sz w:val="18"/>
                <w:szCs w:val="18"/>
                <w:vertAlign w:val="subscript"/>
              </w:rPr>
              <w:t>22</w:t>
            </w:r>
            <w:r w:rsidRPr="005A5E3A">
              <w:rPr>
                <w:rFonts w:ascii="Arial" w:hAnsi="Arial" w:cs="Arial"/>
                <w:color w:val="000000" w:themeColor="text1"/>
                <w:sz w:val="18"/>
                <w:szCs w:val="18"/>
              </w:rPr>
              <w:t>O</w:t>
            </w:r>
            <w:r w:rsidRPr="005A5E3A">
              <w:rPr>
                <w:rFonts w:ascii="Arial" w:hAnsi="Arial" w:cs="Arial"/>
                <w:color w:val="000000" w:themeColor="text1"/>
                <w:sz w:val="18"/>
                <w:szCs w:val="18"/>
                <w:vertAlign w:val="subscript"/>
              </w:rPr>
              <w:t>11</w:t>
            </w:r>
          </w:p>
          <w:p w14:paraId="775C8CD0" w14:textId="77777777" w:rsidR="004D1935" w:rsidRPr="005A5E3A" w:rsidRDefault="004D1935" w:rsidP="00E24DC9">
            <w:pPr>
              <w:jc w:val="center"/>
              <w:rPr>
                <w:color w:val="000000" w:themeColor="text1"/>
              </w:rPr>
            </w:pPr>
            <w:r w:rsidRPr="005A5E3A">
              <w:rPr>
                <w:rFonts w:ascii="Arial" w:hAnsi="Arial" w:cs="Arial"/>
                <w:color w:val="000000" w:themeColor="text1"/>
                <w:sz w:val="18"/>
                <w:szCs w:val="18"/>
              </w:rPr>
              <w:t>C</w:t>
            </w:r>
            <w:r w:rsidRPr="005A5E3A">
              <w:rPr>
                <w:rFonts w:ascii="Arial" w:hAnsi="Arial" w:cs="Arial"/>
                <w:color w:val="000000" w:themeColor="text1"/>
                <w:sz w:val="18"/>
                <w:szCs w:val="18"/>
                <w:vertAlign w:val="subscript"/>
              </w:rPr>
              <w:t>12</w:t>
            </w:r>
            <w:r w:rsidRPr="005A5E3A">
              <w:rPr>
                <w:rFonts w:ascii="Arial" w:hAnsi="Arial" w:cs="Arial"/>
                <w:color w:val="000000" w:themeColor="text1"/>
                <w:sz w:val="18"/>
                <w:szCs w:val="18"/>
              </w:rPr>
              <w:t>H</w:t>
            </w:r>
            <w:r w:rsidRPr="005A5E3A">
              <w:rPr>
                <w:rFonts w:ascii="Arial" w:hAnsi="Arial" w:cs="Arial"/>
                <w:color w:val="000000" w:themeColor="text1"/>
                <w:sz w:val="18"/>
                <w:szCs w:val="18"/>
                <w:vertAlign w:val="subscript"/>
              </w:rPr>
              <w:t>22</w:t>
            </w:r>
            <w:r w:rsidRPr="005A5E3A">
              <w:rPr>
                <w:rFonts w:ascii="Arial" w:hAnsi="Arial" w:cs="Arial"/>
                <w:color w:val="000000" w:themeColor="text1"/>
                <w:sz w:val="18"/>
                <w:szCs w:val="18"/>
              </w:rPr>
              <w:t>O</w:t>
            </w:r>
            <w:r w:rsidRPr="005A5E3A">
              <w:rPr>
                <w:rFonts w:ascii="Arial" w:hAnsi="Arial" w:cs="Arial"/>
                <w:color w:val="000000" w:themeColor="text1"/>
                <w:sz w:val="18"/>
                <w:szCs w:val="18"/>
                <w:vertAlign w:val="subscript"/>
              </w:rPr>
              <w:t>11</w:t>
            </w:r>
          </w:p>
          <w:p w14:paraId="3492ED17" w14:textId="77777777" w:rsidR="004D1935" w:rsidRPr="005A5E3A" w:rsidRDefault="004D1935" w:rsidP="00E24DC9">
            <w:pPr>
              <w:jc w:val="center"/>
              <w:rPr>
                <w:color w:val="000000" w:themeColor="text1"/>
              </w:rPr>
            </w:pPr>
            <w:r w:rsidRPr="005A5E3A">
              <w:rPr>
                <w:rFonts w:ascii="Arial" w:hAnsi="Arial" w:cs="Arial"/>
                <w:color w:val="000000" w:themeColor="text1"/>
                <w:sz w:val="18"/>
                <w:szCs w:val="18"/>
              </w:rPr>
              <w:t>C</w:t>
            </w:r>
            <w:r w:rsidRPr="005A5E3A">
              <w:rPr>
                <w:rFonts w:ascii="Arial" w:hAnsi="Arial" w:cs="Arial"/>
                <w:color w:val="000000" w:themeColor="text1"/>
                <w:sz w:val="18"/>
                <w:szCs w:val="18"/>
                <w:vertAlign w:val="subscript"/>
              </w:rPr>
              <w:t>12</w:t>
            </w:r>
            <w:r w:rsidRPr="005A5E3A">
              <w:rPr>
                <w:rFonts w:ascii="Arial" w:hAnsi="Arial" w:cs="Arial"/>
                <w:color w:val="000000" w:themeColor="text1"/>
                <w:sz w:val="18"/>
                <w:szCs w:val="18"/>
              </w:rPr>
              <w:t>H</w:t>
            </w:r>
            <w:r w:rsidRPr="005A5E3A">
              <w:rPr>
                <w:rFonts w:ascii="Arial" w:hAnsi="Arial" w:cs="Arial"/>
                <w:color w:val="000000" w:themeColor="text1"/>
                <w:sz w:val="18"/>
                <w:szCs w:val="18"/>
                <w:vertAlign w:val="subscript"/>
              </w:rPr>
              <w:t>22</w:t>
            </w:r>
            <w:r w:rsidRPr="005A5E3A">
              <w:rPr>
                <w:rFonts w:ascii="Arial" w:hAnsi="Arial" w:cs="Arial"/>
                <w:color w:val="000000" w:themeColor="text1"/>
                <w:sz w:val="18"/>
                <w:szCs w:val="18"/>
              </w:rPr>
              <w:t>O</w:t>
            </w:r>
            <w:r w:rsidRPr="005A5E3A">
              <w:rPr>
                <w:rFonts w:ascii="Arial" w:hAnsi="Arial" w:cs="Arial"/>
                <w:color w:val="000000" w:themeColor="text1"/>
                <w:sz w:val="18"/>
                <w:szCs w:val="18"/>
                <w:vertAlign w:val="subscript"/>
              </w:rPr>
              <w:t>11</w:t>
            </w:r>
          </w:p>
          <w:p w14:paraId="039E69FE" w14:textId="77777777" w:rsidR="004D1935" w:rsidRPr="005A5E3A" w:rsidRDefault="004D1935" w:rsidP="00E24DC9">
            <w:pPr>
              <w:jc w:val="center"/>
              <w:rPr>
                <w:color w:val="000000" w:themeColor="text1"/>
              </w:rPr>
            </w:pPr>
            <w:r w:rsidRPr="005A5E3A">
              <w:rPr>
                <w:rFonts w:ascii="Arial" w:hAnsi="Arial" w:cs="Arial"/>
                <w:color w:val="000000" w:themeColor="text1"/>
                <w:sz w:val="18"/>
                <w:szCs w:val="18"/>
              </w:rPr>
              <w:t>C</w:t>
            </w:r>
            <w:r w:rsidRPr="005A5E3A">
              <w:rPr>
                <w:rFonts w:ascii="Arial" w:hAnsi="Arial" w:cs="Arial"/>
                <w:color w:val="000000" w:themeColor="text1"/>
                <w:sz w:val="18"/>
                <w:szCs w:val="18"/>
                <w:vertAlign w:val="subscript"/>
              </w:rPr>
              <w:t>12</w:t>
            </w:r>
            <w:r w:rsidRPr="005A5E3A">
              <w:rPr>
                <w:rFonts w:ascii="Arial" w:hAnsi="Arial" w:cs="Arial"/>
                <w:color w:val="000000" w:themeColor="text1"/>
                <w:sz w:val="18"/>
                <w:szCs w:val="18"/>
              </w:rPr>
              <w:t>H</w:t>
            </w:r>
            <w:r w:rsidRPr="005A5E3A">
              <w:rPr>
                <w:rFonts w:ascii="Arial" w:hAnsi="Arial" w:cs="Arial"/>
                <w:color w:val="000000" w:themeColor="text1"/>
                <w:sz w:val="18"/>
                <w:szCs w:val="18"/>
                <w:vertAlign w:val="subscript"/>
              </w:rPr>
              <w:t>22</w:t>
            </w:r>
            <w:r w:rsidRPr="005A5E3A">
              <w:rPr>
                <w:rFonts w:ascii="Arial" w:hAnsi="Arial" w:cs="Arial"/>
                <w:color w:val="000000" w:themeColor="text1"/>
                <w:sz w:val="18"/>
                <w:szCs w:val="18"/>
              </w:rPr>
              <w:t>O</w:t>
            </w:r>
            <w:r w:rsidRPr="005A5E3A">
              <w:rPr>
                <w:rFonts w:ascii="Arial" w:hAnsi="Arial" w:cs="Arial"/>
                <w:color w:val="000000" w:themeColor="text1"/>
                <w:sz w:val="18"/>
                <w:szCs w:val="18"/>
                <w:vertAlign w:val="subscript"/>
              </w:rPr>
              <w:t>11</w:t>
            </w:r>
          </w:p>
          <w:p w14:paraId="6F54F88E" w14:textId="77777777" w:rsidR="004D1935" w:rsidRPr="005A5E3A" w:rsidRDefault="004D1935" w:rsidP="00E24DC9">
            <w:pPr>
              <w:jc w:val="center"/>
              <w:rPr>
                <w:color w:val="000000" w:themeColor="text1"/>
              </w:rPr>
            </w:pPr>
            <w:r w:rsidRPr="005A5E3A">
              <w:rPr>
                <w:rFonts w:ascii="Arial" w:hAnsi="Arial" w:cs="Arial"/>
                <w:color w:val="000000" w:themeColor="text1"/>
                <w:sz w:val="18"/>
                <w:szCs w:val="18"/>
              </w:rPr>
              <w:t>C</w:t>
            </w:r>
            <w:r w:rsidRPr="005A5E3A">
              <w:rPr>
                <w:rFonts w:ascii="Arial" w:hAnsi="Arial" w:cs="Arial"/>
                <w:color w:val="000000" w:themeColor="text1"/>
                <w:sz w:val="18"/>
                <w:szCs w:val="18"/>
                <w:vertAlign w:val="subscript"/>
              </w:rPr>
              <w:t>12</w:t>
            </w:r>
            <w:r w:rsidRPr="005A5E3A">
              <w:rPr>
                <w:rFonts w:ascii="Arial" w:hAnsi="Arial" w:cs="Arial"/>
                <w:color w:val="000000" w:themeColor="text1"/>
                <w:sz w:val="18"/>
                <w:szCs w:val="18"/>
              </w:rPr>
              <w:t>H</w:t>
            </w:r>
            <w:r w:rsidRPr="005A5E3A">
              <w:rPr>
                <w:rFonts w:ascii="Arial" w:hAnsi="Arial" w:cs="Arial"/>
                <w:color w:val="000000" w:themeColor="text1"/>
                <w:sz w:val="18"/>
                <w:szCs w:val="18"/>
                <w:vertAlign w:val="subscript"/>
              </w:rPr>
              <w:t>22</w:t>
            </w:r>
            <w:r w:rsidRPr="005A5E3A">
              <w:rPr>
                <w:rFonts w:ascii="Arial" w:hAnsi="Arial" w:cs="Arial"/>
                <w:color w:val="000000" w:themeColor="text1"/>
                <w:sz w:val="18"/>
                <w:szCs w:val="18"/>
              </w:rPr>
              <w:t>O</w:t>
            </w:r>
            <w:r w:rsidRPr="005A5E3A">
              <w:rPr>
                <w:rFonts w:ascii="Arial" w:hAnsi="Arial" w:cs="Arial"/>
                <w:color w:val="000000" w:themeColor="text1"/>
                <w:sz w:val="18"/>
                <w:szCs w:val="18"/>
                <w:vertAlign w:val="subscript"/>
              </w:rPr>
              <w:t>11</w:t>
            </w:r>
          </w:p>
          <w:p w14:paraId="29D06423" w14:textId="77777777" w:rsidR="004D1935" w:rsidRPr="005A5E3A" w:rsidRDefault="004D1935" w:rsidP="00E24DC9">
            <w:pPr>
              <w:jc w:val="center"/>
              <w:rPr>
                <w:color w:val="000000" w:themeColor="text1"/>
              </w:rPr>
            </w:pPr>
            <w:r w:rsidRPr="005A5E3A">
              <w:rPr>
                <w:rFonts w:ascii="Arial" w:hAnsi="Arial" w:cs="Arial"/>
                <w:color w:val="000000" w:themeColor="text1"/>
                <w:sz w:val="18"/>
                <w:szCs w:val="18"/>
              </w:rPr>
              <w:t>C</w:t>
            </w:r>
            <w:r w:rsidRPr="005A5E3A">
              <w:rPr>
                <w:rFonts w:ascii="Arial" w:hAnsi="Arial" w:cs="Arial"/>
                <w:color w:val="000000" w:themeColor="text1"/>
                <w:sz w:val="18"/>
                <w:szCs w:val="18"/>
                <w:vertAlign w:val="subscript"/>
              </w:rPr>
              <w:t>12</w:t>
            </w:r>
            <w:r w:rsidRPr="005A5E3A">
              <w:rPr>
                <w:rFonts w:ascii="Arial" w:hAnsi="Arial" w:cs="Arial"/>
                <w:color w:val="000000" w:themeColor="text1"/>
                <w:sz w:val="18"/>
                <w:szCs w:val="18"/>
              </w:rPr>
              <w:t>H</w:t>
            </w:r>
            <w:r w:rsidRPr="005A5E3A">
              <w:rPr>
                <w:rFonts w:ascii="Arial" w:hAnsi="Arial" w:cs="Arial"/>
                <w:color w:val="000000" w:themeColor="text1"/>
                <w:sz w:val="18"/>
                <w:szCs w:val="18"/>
                <w:vertAlign w:val="subscript"/>
              </w:rPr>
              <w:t>22</w:t>
            </w:r>
            <w:r w:rsidRPr="005A5E3A">
              <w:rPr>
                <w:rFonts w:ascii="Arial" w:hAnsi="Arial" w:cs="Arial"/>
                <w:color w:val="000000" w:themeColor="text1"/>
                <w:sz w:val="18"/>
                <w:szCs w:val="18"/>
              </w:rPr>
              <w:t>O</w:t>
            </w:r>
            <w:r w:rsidRPr="005A5E3A">
              <w:rPr>
                <w:rFonts w:ascii="Arial" w:hAnsi="Arial" w:cs="Arial"/>
                <w:color w:val="000000" w:themeColor="text1"/>
                <w:sz w:val="18"/>
                <w:szCs w:val="18"/>
                <w:vertAlign w:val="subscript"/>
              </w:rPr>
              <w:t>11</w:t>
            </w:r>
          </w:p>
          <w:p w14:paraId="3A9E52A1"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C12H22O11</w:t>
            </w:r>
          </w:p>
          <w:p w14:paraId="66D4C201"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C12H22O11</w:t>
            </w:r>
          </w:p>
          <w:p w14:paraId="0B238033" w14:textId="77777777" w:rsidR="004D1935" w:rsidRDefault="004D1935" w:rsidP="00E24DC9">
            <w:pPr>
              <w:jc w:val="center"/>
              <w:rPr>
                <w:rFonts w:ascii="Calibri" w:hAnsi="Calibri" w:cs="Calibri"/>
                <w:color w:val="000000" w:themeColor="text1"/>
                <w:sz w:val="18"/>
                <w:szCs w:val="18"/>
              </w:rPr>
            </w:pPr>
            <w:r w:rsidRPr="005A5E3A">
              <w:rPr>
                <w:rFonts w:ascii="Calibri" w:hAnsi="Calibri" w:cs="Calibri"/>
                <w:color w:val="000000" w:themeColor="text1"/>
                <w:sz w:val="18"/>
                <w:szCs w:val="18"/>
              </w:rPr>
              <w:t>C12H22O11</w:t>
            </w:r>
          </w:p>
          <w:p w14:paraId="6BF9E437" w14:textId="77777777" w:rsidR="004D1935" w:rsidRDefault="004D1935" w:rsidP="00E24DC9">
            <w:pPr>
              <w:jc w:val="center"/>
              <w:rPr>
                <w:rFonts w:ascii="Calibri" w:hAnsi="Calibri"/>
                <w:color w:val="000000" w:themeColor="text1"/>
                <w:sz w:val="18"/>
                <w:szCs w:val="18"/>
              </w:rPr>
            </w:pPr>
          </w:p>
          <w:p w14:paraId="6CB4FAF4" w14:textId="77777777" w:rsidR="004D1935" w:rsidRDefault="004D1935" w:rsidP="00E24DC9">
            <w:pPr>
              <w:jc w:val="center"/>
              <w:rPr>
                <w:rFonts w:ascii="Calibri" w:hAnsi="Calibri"/>
                <w:color w:val="000000" w:themeColor="text1"/>
                <w:sz w:val="18"/>
                <w:szCs w:val="18"/>
              </w:rPr>
            </w:pPr>
          </w:p>
          <w:p w14:paraId="760C4EE9" w14:textId="77777777" w:rsidR="004D1935" w:rsidRDefault="004D1935" w:rsidP="00E24DC9">
            <w:pPr>
              <w:jc w:val="center"/>
              <w:rPr>
                <w:rFonts w:ascii="Calibri" w:hAnsi="Calibri"/>
                <w:color w:val="000000" w:themeColor="text1"/>
                <w:sz w:val="18"/>
                <w:szCs w:val="18"/>
              </w:rPr>
            </w:pPr>
          </w:p>
          <w:p w14:paraId="513C2C9E" w14:textId="77777777" w:rsidR="004D1935" w:rsidRPr="005A5E3A" w:rsidRDefault="004D1935" w:rsidP="00E24DC9">
            <w:pPr>
              <w:jc w:val="center"/>
              <w:rPr>
                <w:color w:val="000000" w:themeColor="text1"/>
              </w:rPr>
            </w:pPr>
          </w:p>
          <w:p w14:paraId="0C887980"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C16H22O8</w:t>
            </w:r>
          </w:p>
          <w:p w14:paraId="6AA9DDA4"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C20H24NO4</w:t>
            </w:r>
          </w:p>
        </w:tc>
        <w:tc>
          <w:tcPr>
            <w:tcW w:w="4076" w:type="dxa"/>
            <w:vMerge w:val="restart"/>
            <w:vAlign w:val="center"/>
          </w:tcPr>
          <w:p w14:paraId="11A8DAFC" w14:textId="77777777" w:rsidR="004D1935" w:rsidRDefault="004D1935" w:rsidP="00E24DC9">
            <w:pPr>
              <w:jc w:val="center"/>
              <w:rPr>
                <w:rFonts w:ascii="Calibri" w:hAnsi="Calibri" w:cs="Calibri"/>
                <w:color w:val="000000" w:themeColor="text1"/>
                <w:sz w:val="18"/>
                <w:szCs w:val="18"/>
              </w:rPr>
            </w:pPr>
          </w:p>
          <w:p w14:paraId="15E5B96F" w14:textId="77777777" w:rsidR="004D1935" w:rsidRPr="005A5E3A" w:rsidRDefault="004D1935" w:rsidP="00E24DC9">
            <w:pPr>
              <w:rPr>
                <w:color w:val="000000" w:themeColor="text1"/>
              </w:rPr>
            </w:pPr>
            <w:r>
              <w:rPr>
                <w:rFonts w:ascii="Calibri" w:hAnsi="Calibri" w:cs="Calibri"/>
                <w:color w:val="000000" w:themeColor="text1"/>
                <w:sz w:val="18"/>
                <w:szCs w:val="18"/>
              </w:rPr>
              <w:t xml:space="preserve">                             </w:t>
            </w:r>
            <w:r w:rsidRPr="005A5E3A">
              <w:rPr>
                <w:rFonts w:ascii="Calibri" w:hAnsi="Calibri" w:cs="Calibri"/>
                <w:color w:val="000000" w:themeColor="text1"/>
                <w:sz w:val="18"/>
                <w:szCs w:val="18"/>
              </w:rPr>
              <w:t>an amide /antibiotic</w:t>
            </w:r>
          </w:p>
          <w:p w14:paraId="2907A088" w14:textId="77777777" w:rsidR="004D1935" w:rsidRDefault="004D1935" w:rsidP="00E24DC9">
            <w:pPr>
              <w:jc w:val="center"/>
              <w:rPr>
                <w:rFonts w:ascii="Calibri" w:hAnsi="Calibri" w:cs="Calibri"/>
                <w:color w:val="000000" w:themeColor="text1"/>
                <w:sz w:val="18"/>
                <w:szCs w:val="18"/>
              </w:rPr>
            </w:pPr>
            <w:r w:rsidRPr="005A5E3A">
              <w:rPr>
                <w:rFonts w:ascii="Calibri" w:hAnsi="Calibri" w:cs="Calibri"/>
                <w:color w:val="000000" w:themeColor="text1"/>
                <w:sz w:val="18"/>
                <w:szCs w:val="18"/>
              </w:rPr>
              <w:t>Glicoside</w:t>
            </w:r>
          </w:p>
          <w:p w14:paraId="24A646A4" w14:textId="77777777" w:rsidR="004D1935" w:rsidRDefault="004D1935" w:rsidP="00E24DC9">
            <w:pPr>
              <w:jc w:val="center"/>
              <w:rPr>
                <w:rFonts w:ascii="Calibri" w:hAnsi="Calibri" w:cs="Calibri"/>
                <w:color w:val="000000" w:themeColor="text1"/>
              </w:rPr>
            </w:pPr>
          </w:p>
          <w:p w14:paraId="19F0D520" w14:textId="77777777" w:rsidR="004D1935" w:rsidRDefault="004D1935" w:rsidP="00E24DC9">
            <w:pPr>
              <w:jc w:val="center"/>
              <w:rPr>
                <w:color w:val="000000" w:themeColor="text1"/>
              </w:rPr>
            </w:pPr>
          </w:p>
          <w:p w14:paraId="472CF468" w14:textId="77777777" w:rsidR="004D1935" w:rsidRDefault="004D1935" w:rsidP="00E24DC9">
            <w:pPr>
              <w:jc w:val="center"/>
              <w:rPr>
                <w:color w:val="000000" w:themeColor="text1"/>
              </w:rPr>
            </w:pPr>
          </w:p>
          <w:p w14:paraId="22A91412" w14:textId="77777777" w:rsidR="004D1935" w:rsidRPr="005A5E3A" w:rsidRDefault="004D1935" w:rsidP="00E24DC9">
            <w:pPr>
              <w:jc w:val="center"/>
              <w:rPr>
                <w:color w:val="000000" w:themeColor="text1"/>
              </w:rPr>
            </w:pPr>
          </w:p>
          <w:p w14:paraId="4B73CBA8"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oligosaccharide/glucan/charbohydrate</w:t>
            </w:r>
          </w:p>
          <w:p w14:paraId="3458D30F"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oligosaccharide/glucan/charbohydrate</w:t>
            </w:r>
          </w:p>
          <w:p w14:paraId="4EA5B6EC"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charbohydrate/glycan/</w:t>
            </w:r>
            <w:r w:rsidRPr="005A5E3A">
              <w:rPr>
                <w:rFonts w:ascii="Calibri (Body)" w:hAnsi="Calibri (Body)" w:cs="Calibri"/>
                <w:color w:val="000000" w:themeColor="text1"/>
                <w:sz w:val="18"/>
                <w:szCs w:val="18"/>
              </w:rPr>
              <w:t>oligosaccharids</w:t>
            </w:r>
            <w:r w:rsidRPr="005A5E3A">
              <w:rPr>
                <w:rFonts w:ascii="Calibri" w:hAnsi="Calibri" w:cs="Calibri"/>
                <w:color w:val="000000" w:themeColor="text1"/>
                <w:sz w:val="18"/>
                <w:szCs w:val="18"/>
              </w:rPr>
              <w:t>/</w:t>
            </w:r>
          </w:p>
          <w:p w14:paraId="466758B8"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charbohydrate/glycan/oligosaccharids/</w:t>
            </w:r>
          </w:p>
          <w:p w14:paraId="05C374A5"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oligosaccharide/glucan/charbohydrate</w:t>
            </w:r>
          </w:p>
          <w:p w14:paraId="365EA3B3"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charbohydrate/glycan/oligosaccharids/</w:t>
            </w:r>
          </w:p>
          <w:p w14:paraId="67BAE7FC"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charbohydrate/glycan/oligosaccharids/</w:t>
            </w:r>
          </w:p>
          <w:p w14:paraId="0862A636"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charbohydrate/glycan/oligosaccharids/</w:t>
            </w:r>
          </w:p>
          <w:p w14:paraId="4B8F1C2A"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charbohydrate/glycan/oligosaccharids/</w:t>
            </w:r>
          </w:p>
          <w:p w14:paraId="4C385A16"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charbohydrate/glycan/oligosaccharids/</w:t>
            </w:r>
          </w:p>
          <w:p w14:paraId="28E4EE3D"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carbohydrate/glycan/</w:t>
            </w:r>
            <w:r w:rsidRPr="005A5E3A">
              <w:rPr>
                <w:rFonts w:ascii="Calibri (Body)" w:hAnsi="Calibri (Body)" w:cs="Calibri"/>
                <w:color w:val="000000" w:themeColor="text1"/>
                <w:sz w:val="18"/>
                <w:szCs w:val="18"/>
              </w:rPr>
              <w:t>polysaccharide</w:t>
            </w:r>
          </w:p>
          <w:p w14:paraId="71945161"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carbohydrate/glycan</w:t>
            </w:r>
            <w:r w:rsidRPr="005A5E3A">
              <w:rPr>
                <w:rFonts w:ascii="Calibri (Body)" w:hAnsi="Calibri (Body)" w:cs="Calibri"/>
                <w:color w:val="000000" w:themeColor="text1"/>
                <w:sz w:val="18"/>
                <w:szCs w:val="18"/>
              </w:rPr>
              <w:t>/glycoside</w:t>
            </w:r>
          </w:p>
          <w:p w14:paraId="6202F16B"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charbohydrate/glycan/oligosaccharids/</w:t>
            </w:r>
          </w:p>
          <w:p w14:paraId="25F48764"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charbohydrate/glycan/oligosaccharids/</w:t>
            </w:r>
          </w:p>
          <w:p w14:paraId="30FAC1EC" w14:textId="77777777" w:rsidR="004D1935" w:rsidRDefault="004D1935" w:rsidP="00E24DC9">
            <w:pPr>
              <w:jc w:val="center"/>
              <w:rPr>
                <w:rFonts w:ascii="Calibri" w:hAnsi="Calibri" w:cs="Calibri"/>
                <w:color w:val="000000" w:themeColor="text1"/>
                <w:sz w:val="18"/>
                <w:szCs w:val="18"/>
              </w:rPr>
            </w:pPr>
            <w:r w:rsidRPr="005A5E3A">
              <w:rPr>
                <w:rFonts w:ascii="Calibri" w:hAnsi="Calibri" w:cs="Calibri"/>
                <w:color w:val="000000" w:themeColor="text1"/>
                <w:sz w:val="18"/>
                <w:szCs w:val="18"/>
              </w:rPr>
              <w:t>charbohydrate/glycan/oligosaccharids/</w:t>
            </w:r>
          </w:p>
          <w:p w14:paraId="1EEE5639" w14:textId="77777777" w:rsidR="004D1935" w:rsidRDefault="004D1935" w:rsidP="00E24DC9">
            <w:pPr>
              <w:jc w:val="center"/>
              <w:rPr>
                <w:rFonts w:ascii="Calibri" w:hAnsi="Calibri"/>
                <w:color w:val="000000" w:themeColor="text1"/>
                <w:sz w:val="18"/>
                <w:szCs w:val="18"/>
              </w:rPr>
            </w:pPr>
          </w:p>
          <w:p w14:paraId="386E9A3B" w14:textId="77777777" w:rsidR="004D1935" w:rsidRPr="005A5E3A" w:rsidRDefault="004D1935" w:rsidP="00E24DC9">
            <w:pPr>
              <w:rPr>
                <w:color w:val="000000" w:themeColor="text1"/>
              </w:rPr>
            </w:pPr>
          </w:p>
          <w:p w14:paraId="061F94E4"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carbohydrate/glycan/glycoside</w:t>
            </w:r>
          </w:p>
          <w:p w14:paraId="049F9EF0"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alkaloid</w:t>
            </w:r>
          </w:p>
        </w:tc>
        <w:tc>
          <w:tcPr>
            <w:tcW w:w="5068" w:type="dxa"/>
            <w:vMerge w:val="restart"/>
            <w:vAlign w:val="center"/>
          </w:tcPr>
          <w:p w14:paraId="7AA101D3" w14:textId="77777777" w:rsidR="004D1935" w:rsidRDefault="004D1935" w:rsidP="00E24DC9">
            <w:pPr>
              <w:rPr>
                <w:rFonts w:ascii="Verdana" w:hAnsi="Verdana" w:cs="Calibri"/>
                <w:color w:val="000000" w:themeColor="text1"/>
                <w:sz w:val="13"/>
                <w:szCs w:val="13"/>
              </w:rPr>
            </w:pPr>
            <w:r w:rsidRPr="005A5E3A">
              <w:rPr>
                <w:rFonts w:ascii="Verdana" w:hAnsi="Verdana" w:cs="Calibri"/>
                <w:color w:val="000000" w:themeColor="text1"/>
                <w:sz w:val="13"/>
                <w:szCs w:val="13"/>
              </w:rPr>
              <w:t>Monobactam biosynthesis /Lysine degradation /shikimate pathway/jasmonic acid biosynthesis</w:t>
            </w:r>
          </w:p>
          <w:p w14:paraId="0DCFF50A" w14:textId="77777777" w:rsidR="004D1935" w:rsidRDefault="004D1935" w:rsidP="00E24DC9">
            <w:pPr>
              <w:rPr>
                <w:rFonts w:ascii="Verdana" w:hAnsi="Verdana" w:cs="Calibri"/>
                <w:color w:val="000000" w:themeColor="text1"/>
                <w:sz w:val="16"/>
                <w:szCs w:val="16"/>
              </w:rPr>
            </w:pPr>
            <w:r w:rsidRPr="005A5E3A">
              <w:rPr>
                <w:rFonts w:ascii="Verdana" w:hAnsi="Verdana" w:cs="Calibri"/>
                <w:color w:val="000000" w:themeColor="text1"/>
                <w:sz w:val="16"/>
                <w:szCs w:val="16"/>
              </w:rPr>
              <w:t>Glycosylphosphatidylinositol (GPI)-anchor biosynthesis</w:t>
            </w:r>
          </w:p>
          <w:p w14:paraId="7DF83DFF" w14:textId="77777777" w:rsidR="004D1935" w:rsidRDefault="004D1935" w:rsidP="00E24DC9">
            <w:pPr>
              <w:rPr>
                <w:rFonts w:ascii="Verdana" w:hAnsi="Verdana" w:cs="Calibri"/>
                <w:color w:val="000000" w:themeColor="text1"/>
                <w:sz w:val="16"/>
                <w:szCs w:val="16"/>
              </w:rPr>
            </w:pPr>
          </w:p>
          <w:p w14:paraId="376F56C6" w14:textId="77777777" w:rsidR="004D1935" w:rsidRDefault="004D1935" w:rsidP="00E24DC9">
            <w:pPr>
              <w:rPr>
                <w:rFonts w:ascii="Verdana" w:hAnsi="Verdana" w:cs="Calibri"/>
                <w:color w:val="000000" w:themeColor="text1"/>
                <w:sz w:val="16"/>
                <w:szCs w:val="16"/>
              </w:rPr>
            </w:pPr>
          </w:p>
          <w:p w14:paraId="4560BC93" w14:textId="77777777" w:rsidR="004D1935" w:rsidRDefault="004D1935" w:rsidP="00E24DC9">
            <w:pPr>
              <w:rPr>
                <w:rFonts w:ascii="Verdana" w:hAnsi="Verdana" w:cs="Calibri"/>
                <w:color w:val="000000" w:themeColor="text1"/>
                <w:sz w:val="16"/>
                <w:szCs w:val="16"/>
              </w:rPr>
            </w:pPr>
          </w:p>
          <w:p w14:paraId="2B2F3AA8" w14:textId="77777777" w:rsidR="004D1935" w:rsidRDefault="004D1935" w:rsidP="00E24DC9">
            <w:pPr>
              <w:rPr>
                <w:rFonts w:ascii="Verdana" w:hAnsi="Verdana" w:cs="Calibri"/>
                <w:color w:val="000000" w:themeColor="text1"/>
                <w:sz w:val="16"/>
                <w:szCs w:val="16"/>
              </w:rPr>
            </w:pPr>
          </w:p>
          <w:p w14:paraId="4DE9FE0C" w14:textId="77777777" w:rsidR="004D1935" w:rsidRDefault="004D1935" w:rsidP="00E24DC9">
            <w:pPr>
              <w:rPr>
                <w:rFonts w:ascii="Verdana" w:hAnsi="Verdana" w:cs="Calibri"/>
                <w:color w:val="000000" w:themeColor="text1"/>
                <w:sz w:val="16"/>
                <w:szCs w:val="16"/>
              </w:rPr>
            </w:pPr>
          </w:p>
          <w:p w14:paraId="24C3E2FC" w14:textId="77777777" w:rsidR="004D1935" w:rsidRDefault="004D1935" w:rsidP="00E24DC9">
            <w:pPr>
              <w:rPr>
                <w:rFonts w:ascii="Verdana" w:hAnsi="Verdana" w:cs="Calibri"/>
                <w:color w:val="000000" w:themeColor="text1"/>
                <w:sz w:val="16"/>
                <w:szCs w:val="16"/>
              </w:rPr>
            </w:pPr>
          </w:p>
          <w:p w14:paraId="09E7A21C" w14:textId="77777777" w:rsidR="004D1935" w:rsidRPr="005372A6" w:rsidRDefault="004D1935" w:rsidP="00E24DC9">
            <w:pPr>
              <w:rPr>
                <w:color w:val="000000" w:themeColor="text1"/>
                <w:sz w:val="13"/>
                <w:szCs w:val="13"/>
              </w:rPr>
            </w:pPr>
            <w:r w:rsidRPr="005372A6">
              <w:rPr>
                <w:rFonts w:ascii="Verdana" w:hAnsi="Verdana" w:cs="Calibri"/>
                <w:color w:val="000000" w:themeColor="text1"/>
                <w:sz w:val="13"/>
                <w:szCs w:val="13"/>
              </w:rPr>
              <w:t>ABC transporters / shikimate pathway/jasmonic acid biosynthesis</w:t>
            </w:r>
          </w:p>
          <w:p w14:paraId="1642C75E" w14:textId="77777777" w:rsidR="004D1935" w:rsidRPr="005372A6" w:rsidRDefault="004D1935" w:rsidP="00E24DC9">
            <w:pPr>
              <w:rPr>
                <w:color w:val="000000" w:themeColor="text1"/>
                <w:sz w:val="13"/>
                <w:szCs w:val="13"/>
              </w:rPr>
            </w:pPr>
            <w:r w:rsidRPr="005372A6">
              <w:rPr>
                <w:rFonts w:ascii="Verdana" w:hAnsi="Verdana" w:cs="Calibri"/>
                <w:color w:val="000000" w:themeColor="text1"/>
                <w:sz w:val="13"/>
                <w:szCs w:val="13"/>
              </w:rPr>
              <w:t>ABC transporters</w:t>
            </w:r>
          </w:p>
          <w:p w14:paraId="1AE727A9" w14:textId="77777777" w:rsidR="004D1935" w:rsidRPr="005372A6" w:rsidRDefault="004D1935" w:rsidP="00E24DC9">
            <w:pPr>
              <w:jc w:val="center"/>
              <w:rPr>
                <w:color w:val="000000" w:themeColor="text1"/>
                <w:sz w:val="13"/>
                <w:szCs w:val="13"/>
              </w:rPr>
            </w:pPr>
            <w:r w:rsidRPr="005372A6">
              <w:rPr>
                <w:rFonts w:ascii="Verdana" w:hAnsi="Verdana" w:cs="Calibri"/>
                <w:color w:val="000000" w:themeColor="text1"/>
                <w:sz w:val="13"/>
                <w:szCs w:val="13"/>
              </w:rPr>
              <w:t>Starch and sucrosemetabolism/Amino sugar and nucleotide sugar metabolism// shikimate pathway/jasmonic acid biosynthesis</w:t>
            </w:r>
          </w:p>
          <w:p w14:paraId="30E92EF3" w14:textId="77777777" w:rsidR="004D1935" w:rsidRPr="005372A6" w:rsidRDefault="004D1935" w:rsidP="00E24DC9">
            <w:pPr>
              <w:jc w:val="center"/>
              <w:rPr>
                <w:color w:val="000000" w:themeColor="text1"/>
                <w:sz w:val="13"/>
                <w:szCs w:val="13"/>
              </w:rPr>
            </w:pPr>
            <w:r w:rsidRPr="005372A6">
              <w:rPr>
                <w:rFonts w:ascii="Verdana" w:hAnsi="Verdana" w:cs="Calibri"/>
                <w:color w:val="000000" w:themeColor="text1"/>
                <w:sz w:val="13"/>
                <w:szCs w:val="13"/>
              </w:rPr>
              <w:t>Starch and sucrose metabolism /ABC transporters // shikimate pathway/jasmonic acid biosynthesis</w:t>
            </w:r>
          </w:p>
          <w:p w14:paraId="7CBAEEB9" w14:textId="77777777" w:rsidR="004D1935" w:rsidRPr="005372A6" w:rsidRDefault="004D1935" w:rsidP="00E24DC9">
            <w:pPr>
              <w:jc w:val="center"/>
              <w:rPr>
                <w:color w:val="000000" w:themeColor="text1"/>
                <w:sz w:val="13"/>
                <w:szCs w:val="13"/>
              </w:rPr>
            </w:pPr>
            <w:r w:rsidRPr="005372A6">
              <w:rPr>
                <w:rFonts w:ascii="Verdana" w:hAnsi="Verdana" w:cs="Calibri"/>
                <w:color w:val="000000" w:themeColor="text1"/>
                <w:sz w:val="13"/>
                <w:szCs w:val="13"/>
              </w:rPr>
              <w:t>Glycerolipid metabolism</w:t>
            </w:r>
          </w:p>
          <w:p w14:paraId="2A65363B" w14:textId="77777777" w:rsidR="004D1935" w:rsidRPr="005372A6" w:rsidRDefault="004D1935" w:rsidP="00E24DC9">
            <w:pPr>
              <w:jc w:val="center"/>
              <w:rPr>
                <w:color w:val="000000" w:themeColor="text1"/>
                <w:sz w:val="13"/>
                <w:szCs w:val="13"/>
              </w:rPr>
            </w:pPr>
            <w:r w:rsidRPr="005372A6">
              <w:rPr>
                <w:rFonts w:ascii="Verdana" w:hAnsi="Verdana" w:cs="Calibri"/>
                <w:color w:val="000000" w:themeColor="text1"/>
                <w:sz w:val="13"/>
                <w:szCs w:val="13"/>
              </w:rPr>
              <w:t>Starch and sucrose metabolism /ABC transporters // shikimate pathway/jasmonic acid biosynthesis</w:t>
            </w:r>
          </w:p>
          <w:p w14:paraId="07DE3534" w14:textId="77777777" w:rsidR="004D1935" w:rsidRPr="005372A6" w:rsidRDefault="004D1935" w:rsidP="00E24DC9">
            <w:pPr>
              <w:jc w:val="center"/>
              <w:rPr>
                <w:color w:val="000000" w:themeColor="text1"/>
                <w:sz w:val="13"/>
                <w:szCs w:val="13"/>
              </w:rPr>
            </w:pPr>
            <w:r w:rsidRPr="005372A6">
              <w:rPr>
                <w:rFonts w:ascii="Verdana" w:hAnsi="Verdana" w:cs="Calibri"/>
                <w:color w:val="000000" w:themeColor="text1"/>
                <w:sz w:val="13"/>
                <w:szCs w:val="13"/>
              </w:rPr>
              <w:t>Starch and sucrose metabolism</w:t>
            </w:r>
          </w:p>
          <w:p w14:paraId="72ABAF1B" w14:textId="77777777" w:rsidR="004D1935" w:rsidRPr="005372A6" w:rsidRDefault="004D1935" w:rsidP="00E24DC9">
            <w:pPr>
              <w:jc w:val="center"/>
              <w:rPr>
                <w:color w:val="000000" w:themeColor="text1"/>
                <w:sz w:val="13"/>
                <w:szCs w:val="13"/>
              </w:rPr>
            </w:pPr>
            <w:r w:rsidRPr="005372A6">
              <w:rPr>
                <w:rFonts w:ascii="Verdana" w:hAnsi="Verdana" w:cs="Calibri"/>
                <w:color w:val="000000" w:themeColor="text1"/>
                <w:sz w:val="13"/>
                <w:szCs w:val="13"/>
              </w:rPr>
              <w:t>Glycerolipid metabolism</w:t>
            </w:r>
          </w:p>
          <w:p w14:paraId="3F6986E2" w14:textId="77777777" w:rsidR="004D1935" w:rsidRPr="005372A6" w:rsidRDefault="004D1935" w:rsidP="00E24DC9">
            <w:pPr>
              <w:jc w:val="center"/>
              <w:rPr>
                <w:color w:val="000000" w:themeColor="text1"/>
                <w:sz w:val="13"/>
                <w:szCs w:val="13"/>
              </w:rPr>
            </w:pPr>
            <w:r w:rsidRPr="005372A6">
              <w:rPr>
                <w:rFonts w:ascii="Verdana" w:hAnsi="Verdana" w:cs="Calibri"/>
                <w:color w:val="000000" w:themeColor="text1"/>
                <w:sz w:val="13"/>
                <w:szCs w:val="13"/>
              </w:rPr>
              <w:t>Galactosemetabolism /ABC transporters / /Amino sugar and nucleotide sugar // shikimate pathway/jasmonic acid biosynthesis</w:t>
            </w:r>
          </w:p>
          <w:p w14:paraId="4E68717B" w14:textId="77777777" w:rsidR="004D1935" w:rsidRPr="005372A6" w:rsidRDefault="004D1935" w:rsidP="00E24DC9">
            <w:pPr>
              <w:jc w:val="center"/>
              <w:rPr>
                <w:color w:val="000000" w:themeColor="text1"/>
                <w:sz w:val="13"/>
                <w:szCs w:val="13"/>
              </w:rPr>
            </w:pPr>
            <w:r w:rsidRPr="005372A6">
              <w:rPr>
                <w:rFonts w:ascii="Verdana" w:hAnsi="Verdana" w:cs="Calibri"/>
                <w:color w:val="000000" w:themeColor="text1"/>
                <w:sz w:val="13"/>
                <w:szCs w:val="13"/>
              </w:rPr>
              <w:t>Starch and sucrose metabolism</w:t>
            </w:r>
          </w:p>
          <w:p w14:paraId="17D64C4F" w14:textId="77777777" w:rsidR="004D1935" w:rsidRPr="005372A6" w:rsidRDefault="004D1935" w:rsidP="00E24DC9">
            <w:pPr>
              <w:jc w:val="center"/>
              <w:rPr>
                <w:rFonts w:ascii="Verdana" w:hAnsi="Verdana" w:cs="Calibri"/>
                <w:color w:val="000000" w:themeColor="text1"/>
                <w:sz w:val="13"/>
                <w:szCs w:val="13"/>
              </w:rPr>
            </w:pPr>
            <w:r w:rsidRPr="005372A6">
              <w:rPr>
                <w:rFonts w:ascii="Verdana" w:hAnsi="Verdana" w:cs="Calibri"/>
                <w:color w:val="000000" w:themeColor="text1"/>
                <w:sz w:val="13"/>
                <w:szCs w:val="13"/>
              </w:rPr>
              <w:t>Starch and sucrose metabolism</w:t>
            </w:r>
          </w:p>
          <w:p w14:paraId="133A3743" w14:textId="77777777" w:rsidR="004D1935" w:rsidRDefault="004D1935" w:rsidP="00E24DC9">
            <w:pPr>
              <w:jc w:val="center"/>
              <w:rPr>
                <w:rFonts w:ascii="Verdana" w:hAnsi="Verdana" w:cs="Calibri"/>
                <w:color w:val="000000" w:themeColor="text1"/>
                <w:sz w:val="13"/>
                <w:szCs w:val="13"/>
              </w:rPr>
            </w:pPr>
            <w:r w:rsidRPr="005372A6">
              <w:rPr>
                <w:rFonts w:ascii="Verdana" w:hAnsi="Verdana" w:cs="Calibri"/>
                <w:color w:val="000000" w:themeColor="text1"/>
                <w:sz w:val="13"/>
                <w:szCs w:val="13"/>
              </w:rPr>
              <w:t>Galactose metabolism</w:t>
            </w:r>
          </w:p>
          <w:p w14:paraId="3B66C089" w14:textId="77777777" w:rsidR="004D1935" w:rsidRDefault="004D1935" w:rsidP="00E24DC9">
            <w:pPr>
              <w:jc w:val="center"/>
              <w:rPr>
                <w:color w:val="000000" w:themeColor="text1"/>
                <w:sz w:val="13"/>
                <w:szCs w:val="13"/>
              </w:rPr>
            </w:pPr>
          </w:p>
          <w:p w14:paraId="6FF50E46" w14:textId="77777777" w:rsidR="004D1935" w:rsidRDefault="004D1935" w:rsidP="00E24DC9">
            <w:pPr>
              <w:jc w:val="center"/>
              <w:rPr>
                <w:color w:val="000000" w:themeColor="text1"/>
                <w:sz w:val="13"/>
                <w:szCs w:val="13"/>
              </w:rPr>
            </w:pPr>
          </w:p>
          <w:p w14:paraId="273190B6" w14:textId="77777777" w:rsidR="004D1935" w:rsidRDefault="004D1935" w:rsidP="00E24DC9">
            <w:pPr>
              <w:jc w:val="center"/>
              <w:rPr>
                <w:color w:val="000000" w:themeColor="text1"/>
                <w:sz w:val="13"/>
                <w:szCs w:val="13"/>
              </w:rPr>
            </w:pPr>
          </w:p>
          <w:p w14:paraId="33896491" w14:textId="77777777" w:rsidR="004D1935" w:rsidRDefault="004D1935" w:rsidP="00E24DC9">
            <w:pPr>
              <w:jc w:val="center"/>
              <w:rPr>
                <w:color w:val="000000" w:themeColor="text1"/>
                <w:sz w:val="13"/>
                <w:szCs w:val="13"/>
              </w:rPr>
            </w:pPr>
          </w:p>
          <w:p w14:paraId="38E3EF56" w14:textId="77777777" w:rsidR="004D1935" w:rsidRDefault="004D1935" w:rsidP="00E24DC9">
            <w:pPr>
              <w:jc w:val="center"/>
              <w:rPr>
                <w:color w:val="000000" w:themeColor="text1"/>
                <w:sz w:val="13"/>
                <w:szCs w:val="13"/>
              </w:rPr>
            </w:pPr>
          </w:p>
          <w:p w14:paraId="1B6175DC" w14:textId="77777777" w:rsidR="004D1935" w:rsidRDefault="004D1935" w:rsidP="00E24DC9">
            <w:pPr>
              <w:jc w:val="center"/>
              <w:rPr>
                <w:color w:val="000000" w:themeColor="text1"/>
                <w:sz w:val="13"/>
                <w:szCs w:val="13"/>
              </w:rPr>
            </w:pPr>
          </w:p>
          <w:p w14:paraId="04F33492" w14:textId="77777777" w:rsidR="004D1935" w:rsidRDefault="004D1935" w:rsidP="00E24DC9">
            <w:pPr>
              <w:jc w:val="center"/>
              <w:rPr>
                <w:color w:val="000000" w:themeColor="text1"/>
                <w:sz w:val="13"/>
                <w:szCs w:val="13"/>
              </w:rPr>
            </w:pPr>
          </w:p>
          <w:p w14:paraId="013468A2" w14:textId="77777777" w:rsidR="004D1935" w:rsidRDefault="004D1935" w:rsidP="00E24DC9">
            <w:pPr>
              <w:jc w:val="center"/>
              <w:rPr>
                <w:color w:val="000000" w:themeColor="text1"/>
                <w:sz w:val="13"/>
                <w:szCs w:val="13"/>
              </w:rPr>
            </w:pPr>
          </w:p>
          <w:p w14:paraId="529ECD0B" w14:textId="77777777" w:rsidR="004D1935" w:rsidRDefault="004D1935" w:rsidP="00E24DC9">
            <w:pPr>
              <w:jc w:val="center"/>
              <w:rPr>
                <w:color w:val="000000" w:themeColor="text1"/>
                <w:sz w:val="13"/>
                <w:szCs w:val="13"/>
              </w:rPr>
            </w:pPr>
          </w:p>
          <w:p w14:paraId="312CEFB2" w14:textId="77777777" w:rsidR="004D1935" w:rsidRPr="005372A6" w:rsidRDefault="004D1935" w:rsidP="00E24DC9">
            <w:pPr>
              <w:rPr>
                <w:rFonts w:ascii="Calibri" w:hAnsi="Calibri" w:cs="Calibri"/>
                <w:color w:val="000000" w:themeColor="text1"/>
                <w:sz w:val="15"/>
                <w:szCs w:val="15"/>
              </w:rPr>
            </w:pPr>
            <w:r>
              <w:rPr>
                <w:rFonts w:ascii="Calibri" w:hAnsi="Calibri" w:cs="Calibri"/>
                <w:color w:val="000000" w:themeColor="text1"/>
                <w:sz w:val="13"/>
                <w:szCs w:val="13"/>
              </w:rPr>
              <w:t xml:space="preserve">                                                      </w:t>
            </w:r>
            <w:r w:rsidRPr="005372A6">
              <w:rPr>
                <w:rFonts w:ascii="Calibri" w:hAnsi="Calibri" w:cs="Calibri"/>
                <w:color w:val="000000" w:themeColor="text1"/>
                <w:sz w:val="15"/>
                <w:szCs w:val="15"/>
              </w:rPr>
              <w:t>Phenylpropanoid biosynthesis</w:t>
            </w:r>
          </w:p>
          <w:p w14:paraId="23F456A8" w14:textId="77777777" w:rsidR="004D1935" w:rsidRPr="005372A6" w:rsidRDefault="004D1935" w:rsidP="00E24DC9">
            <w:pPr>
              <w:jc w:val="center"/>
              <w:rPr>
                <w:color w:val="000000" w:themeColor="text1"/>
                <w:sz w:val="13"/>
                <w:szCs w:val="13"/>
              </w:rPr>
            </w:pPr>
            <w:r w:rsidRPr="005372A6">
              <w:rPr>
                <w:rFonts w:ascii="Calibri" w:hAnsi="Calibri" w:cs="Calibri"/>
                <w:color w:val="000000" w:themeColor="text1"/>
                <w:sz w:val="13"/>
                <w:szCs w:val="13"/>
              </w:rPr>
              <w:t>Isoquinoline alkaloid biosynthesis /shikimate pathway/jasmonic acid biosynthesis</w:t>
            </w:r>
          </w:p>
        </w:tc>
      </w:tr>
      <w:tr w:rsidR="004D1935" w:rsidRPr="005A5E3A" w14:paraId="59FD1E58" w14:textId="77777777" w:rsidTr="00E24DC9">
        <w:tc>
          <w:tcPr>
            <w:tcW w:w="567" w:type="dxa"/>
            <w:vMerge/>
            <w:vAlign w:val="center"/>
          </w:tcPr>
          <w:p w14:paraId="648E5850"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43DEDB7D" w14:textId="77777777" w:rsidR="004D1935" w:rsidRPr="005A5E3A" w:rsidRDefault="004D1935" w:rsidP="00E24DC9">
            <w:pPr>
              <w:jc w:val="center"/>
              <w:rPr>
                <w:rFonts w:ascii="Calibri" w:hAnsi="Calibri" w:cs="Calibri"/>
                <w:color w:val="000000" w:themeColor="text1"/>
                <w:sz w:val="20"/>
                <w:szCs w:val="20"/>
              </w:rPr>
            </w:pPr>
            <w:r w:rsidRPr="005A5E3A">
              <w:rPr>
                <w:rFonts w:ascii="Calibri" w:hAnsi="Calibri" w:cs="Calibri"/>
                <w:color w:val="000000" w:themeColor="text1"/>
                <w:sz w:val="18"/>
                <w:szCs w:val="18"/>
              </w:rPr>
              <w:t>342.0665</w:t>
            </w:r>
          </w:p>
        </w:tc>
        <w:tc>
          <w:tcPr>
            <w:tcW w:w="2991" w:type="dxa"/>
            <w:tcBorders>
              <w:top w:val="nil"/>
              <w:bottom w:val="nil"/>
            </w:tcBorders>
            <w:vAlign w:val="center"/>
          </w:tcPr>
          <w:p w14:paraId="57972FDD" w14:textId="77777777" w:rsidR="004D1935" w:rsidRDefault="00000000" w:rsidP="00E24DC9">
            <w:pPr>
              <w:jc w:val="center"/>
              <w:rPr>
                <w:rFonts w:ascii="Calibri" w:hAnsi="Calibri" w:cs="Calibri"/>
                <w:color w:val="000000" w:themeColor="text1"/>
                <w:sz w:val="18"/>
                <w:szCs w:val="18"/>
              </w:rPr>
            </w:pPr>
            <w:hyperlink r:id="rId162" w:history="1">
              <w:r w:rsidR="004D1935" w:rsidRPr="005A5E3A">
                <w:rPr>
                  <w:rFonts w:ascii="Calibri" w:hAnsi="Calibri" w:cs="Calibri"/>
                  <w:color w:val="000000" w:themeColor="text1"/>
                  <w:sz w:val="18"/>
                  <w:szCs w:val="18"/>
                </w:rPr>
                <w:t>6-(α-D-glucosaminyl)-1D-myo-inositol</w:t>
              </w:r>
            </w:hyperlink>
          </w:p>
          <w:p w14:paraId="5E1408E0" w14:textId="77777777" w:rsidR="004D1935" w:rsidRDefault="004D1935" w:rsidP="00E24DC9">
            <w:pPr>
              <w:jc w:val="center"/>
              <w:rPr>
                <w:rFonts w:ascii="Calibri" w:hAnsi="Calibri" w:cs="Calibri"/>
                <w:color w:val="000000" w:themeColor="text1"/>
                <w:sz w:val="18"/>
                <w:szCs w:val="18"/>
              </w:rPr>
            </w:pPr>
          </w:p>
          <w:p w14:paraId="41A5602D" w14:textId="77777777" w:rsidR="004D1935" w:rsidRDefault="004D1935" w:rsidP="00E24DC9">
            <w:pPr>
              <w:jc w:val="center"/>
              <w:rPr>
                <w:rFonts w:ascii="Calibri" w:hAnsi="Calibri" w:cs="Calibri"/>
                <w:color w:val="000000" w:themeColor="text1"/>
                <w:sz w:val="18"/>
                <w:szCs w:val="18"/>
              </w:rPr>
            </w:pPr>
          </w:p>
          <w:p w14:paraId="00678048" w14:textId="77777777" w:rsidR="004D1935" w:rsidRDefault="004D1935" w:rsidP="00E24DC9">
            <w:pPr>
              <w:jc w:val="center"/>
              <w:rPr>
                <w:rFonts w:ascii="Calibri" w:hAnsi="Calibri" w:cs="Calibri"/>
                <w:color w:val="000000" w:themeColor="text1"/>
                <w:sz w:val="18"/>
                <w:szCs w:val="18"/>
              </w:rPr>
            </w:pPr>
          </w:p>
          <w:p w14:paraId="1DB10D25" w14:textId="77777777" w:rsidR="004D1935" w:rsidRPr="005A5E3A" w:rsidRDefault="004D1935" w:rsidP="00E24DC9">
            <w:pPr>
              <w:jc w:val="center"/>
              <w:rPr>
                <w:color w:val="000000" w:themeColor="text1"/>
              </w:rPr>
            </w:pPr>
          </w:p>
        </w:tc>
        <w:tc>
          <w:tcPr>
            <w:tcW w:w="1373" w:type="dxa"/>
            <w:vMerge/>
            <w:vAlign w:val="center"/>
          </w:tcPr>
          <w:p w14:paraId="2C5206C2" w14:textId="77777777" w:rsidR="004D1935" w:rsidRPr="005A5E3A" w:rsidRDefault="004D1935" w:rsidP="00E24DC9">
            <w:pPr>
              <w:jc w:val="center"/>
              <w:rPr>
                <w:color w:val="000000" w:themeColor="text1"/>
              </w:rPr>
            </w:pPr>
          </w:p>
        </w:tc>
        <w:tc>
          <w:tcPr>
            <w:tcW w:w="4076" w:type="dxa"/>
            <w:vMerge/>
            <w:vAlign w:val="center"/>
          </w:tcPr>
          <w:p w14:paraId="61D9F8D2" w14:textId="77777777" w:rsidR="004D1935" w:rsidRPr="005A5E3A" w:rsidRDefault="004D1935" w:rsidP="00E24DC9">
            <w:pPr>
              <w:jc w:val="center"/>
              <w:rPr>
                <w:color w:val="000000" w:themeColor="text1"/>
              </w:rPr>
            </w:pPr>
          </w:p>
        </w:tc>
        <w:tc>
          <w:tcPr>
            <w:tcW w:w="5068" w:type="dxa"/>
            <w:vMerge/>
            <w:vAlign w:val="center"/>
          </w:tcPr>
          <w:p w14:paraId="022B80E9" w14:textId="77777777" w:rsidR="004D1935" w:rsidRPr="005A5E3A" w:rsidRDefault="004D1935" w:rsidP="00E24DC9">
            <w:pPr>
              <w:jc w:val="center"/>
              <w:rPr>
                <w:color w:val="000000" w:themeColor="text1"/>
              </w:rPr>
            </w:pPr>
          </w:p>
        </w:tc>
      </w:tr>
      <w:tr w:rsidR="004D1935" w:rsidRPr="005A5E3A" w14:paraId="12507A00" w14:textId="77777777" w:rsidTr="00E24DC9">
        <w:tc>
          <w:tcPr>
            <w:tcW w:w="567" w:type="dxa"/>
            <w:vMerge/>
            <w:vAlign w:val="center"/>
          </w:tcPr>
          <w:p w14:paraId="5E81FC8C"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3BC26AE4" w14:textId="77777777" w:rsidR="004D1935" w:rsidRPr="005A5E3A" w:rsidRDefault="004D1935" w:rsidP="00E24DC9">
            <w:pPr>
              <w:jc w:val="center"/>
              <w:rPr>
                <w:rFonts w:ascii="Calibri" w:hAnsi="Calibri" w:cs="Calibri"/>
                <w:color w:val="000000" w:themeColor="text1"/>
                <w:sz w:val="20"/>
                <w:szCs w:val="20"/>
              </w:rPr>
            </w:pPr>
            <w:r w:rsidRPr="005A5E3A">
              <w:rPr>
                <w:rFonts w:ascii="Calibri" w:hAnsi="Calibri" w:cs="Calibri"/>
                <w:color w:val="000000" w:themeColor="text1"/>
                <w:sz w:val="18"/>
                <w:szCs w:val="18"/>
              </w:rPr>
              <w:t>342.1091</w:t>
            </w:r>
          </w:p>
        </w:tc>
        <w:tc>
          <w:tcPr>
            <w:tcW w:w="2991" w:type="dxa"/>
            <w:tcBorders>
              <w:top w:val="nil"/>
              <w:bottom w:val="nil"/>
            </w:tcBorders>
            <w:vAlign w:val="center"/>
          </w:tcPr>
          <w:p w14:paraId="2C8B731D" w14:textId="77777777" w:rsidR="004D1935" w:rsidRPr="005A5E3A" w:rsidRDefault="00000000" w:rsidP="00E24DC9">
            <w:pPr>
              <w:jc w:val="center"/>
              <w:rPr>
                <w:color w:val="000000" w:themeColor="text1"/>
              </w:rPr>
            </w:pPr>
            <w:hyperlink r:id="rId163" w:history="1">
              <w:r w:rsidR="004D1935" w:rsidRPr="005A5E3A">
                <w:rPr>
                  <w:rFonts w:ascii="Calibri" w:hAnsi="Calibri" w:cs="Calibri"/>
                  <w:color w:val="000000" w:themeColor="text1"/>
                  <w:sz w:val="18"/>
                  <w:szCs w:val="18"/>
                </w:rPr>
                <w:t>chitobiose</w:t>
              </w:r>
            </w:hyperlink>
          </w:p>
        </w:tc>
        <w:tc>
          <w:tcPr>
            <w:tcW w:w="1373" w:type="dxa"/>
            <w:vMerge/>
            <w:vAlign w:val="center"/>
          </w:tcPr>
          <w:p w14:paraId="7CCBE18B" w14:textId="77777777" w:rsidR="004D1935" w:rsidRPr="005A5E3A" w:rsidRDefault="004D1935" w:rsidP="00E24DC9">
            <w:pPr>
              <w:jc w:val="center"/>
              <w:rPr>
                <w:color w:val="000000" w:themeColor="text1"/>
              </w:rPr>
            </w:pPr>
          </w:p>
        </w:tc>
        <w:tc>
          <w:tcPr>
            <w:tcW w:w="4076" w:type="dxa"/>
            <w:vMerge/>
            <w:vAlign w:val="center"/>
          </w:tcPr>
          <w:p w14:paraId="349892AC" w14:textId="77777777" w:rsidR="004D1935" w:rsidRPr="005A5E3A" w:rsidRDefault="004D1935" w:rsidP="00E24DC9">
            <w:pPr>
              <w:jc w:val="center"/>
              <w:rPr>
                <w:color w:val="000000" w:themeColor="text1"/>
              </w:rPr>
            </w:pPr>
          </w:p>
        </w:tc>
        <w:tc>
          <w:tcPr>
            <w:tcW w:w="5068" w:type="dxa"/>
            <w:vMerge/>
            <w:vAlign w:val="center"/>
          </w:tcPr>
          <w:p w14:paraId="5C3FB004" w14:textId="77777777" w:rsidR="004D1935" w:rsidRPr="005A5E3A" w:rsidRDefault="004D1935" w:rsidP="00E24DC9">
            <w:pPr>
              <w:jc w:val="center"/>
              <w:rPr>
                <w:color w:val="000000" w:themeColor="text1"/>
              </w:rPr>
            </w:pPr>
          </w:p>
        </w:tc>
      </w:tr>
      <w:tr w:rsidR="004D1935" w:rsidRPr="005A5E3A" w14:paraId="293A2343" w14:textId="77777777" w:rsidTr="00E24DC9">
        <w:tc>
          <w:tcPr>
            <w:tcW w:w="567" w:type="dxa"/>
            <w:vMerge/>
            <w:vAlign w:val="center"/>
          </w:tcPr>
          <w:p w14:paraId="3464FEBC"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218D36A2" w14:textId="77777777" w:rsidR="004D1935" w:rsidRPr="005A5E3A" w:rsidRDefault="004D1935" w:rsidP="00E24DC9">
            <w:pPr>
              <w:jc w:val="center"/>
              <w:rPr>
                <w:rFonts w:ascii="Calibri" w:hAnsi="Calibri" w:cs="Calibri"/>
                <w:color w:val="000000" w:themeColor="text1"/>
                <w:sz w:val="20"/>
                <w:szCs w:val="20"/>
              </w:rPr>
            </w:pPr>
            <w:r w:rsidRPr="005A5E3A">
              <w:rPr>
                <w:rFonts w:ascii="Calibri" w:hAnsi="Calibri" w:cs="Calibri"/>
                <w:color w:val="000000" w:themeColor="text1"/>
                <w:sz w:val="18"/>
                <w:szCs w:val="18"/>
              </w:rPr>
              <w:t>342.1517</w:t>
            </w:r>
          </w:p>
        </w:tc>
        <w:tc>
          <w:tcPr>
            <w:tcW w:w="2991" w:type="dxa"/>
            <w:tcBorders>
              <w:top w:val="nil"/>
              <w:bottom w:val="nil"/>
            </w:tcBorders>
            <w:vAlign w:val="center"/>
          </w:tcPr>
          <w:p w14:paraId="4175B181" w14:textId="77777777" w:rsidR="004D1935" w:rsidRPr="005A5E3A" w:rsidRDefault="00000000" w:rsidP="00E24DC9">
            <w:pPr>
              <w:jc w:val="center"/>
              <w:rPr>
                <w:color w:val="000000" w:themeColor="text1"/>
              </w:rPr>
            </w:pPr>
            <w:hyperlink r:id="rId164" w:history="1">
              <w:r w:rsidR="004D1935" w:rsidRPr="005A5E3A">
                <w:rPr>
                  <w:rFonts w:ascii="Calibri" w:hAnsi="Calibri" w:cs="Calibri"/>
                  <w:color w:val="000000" w:themeColor="text1"/>
                  <w:sz w:val="18"/>
                  <w:szCs w:val="18"/>
                </w:rPr>
                <w:t>melibiose</w:t>
              </w:r>
            </w:hyperlink>
          </w:p>
        </w:tc>
        <w:tc>
          <w:tcPr>
            <w:tcW w:w="1373" w:type="dxa"/>
            <w:vMerge/>
            <w:vAlign w:val="center"/>
          </w:tcPr>
          <w:p w14:paraId="5B2774BC" w14:textId="77777777" w:rsidR="004D1935" w:rsidRPr="005A5E3A" w:rsidRDefault="004D1935" w:rsidP="00E24DC9">
            <w:pPr>
              <w:jc w:val="center"/>
              <w:rPr>
                <w:color w:val="000000" w:themeColor="text1"/>
              </w:rPr>
            </w:pPr>
          </w:p>
        </w:tc>
        <w:tc>
          <w:tcPr>
            <w:tcW w:w="4076" w:type="dxa"/>
            <w:vMerge/>
            <w:vAlign w:val="center"/>
          </w:tcPr>
          <w:p w14:paraId="13B62618" w14:textId="77777777" w:rsidR="004D1935" w:rsidRPr="005A5E3A" w:rsidRDefault="004D1935" w:rsidP="00E24DC9">
            <w:pPr>
              <w:jc w:val="center"/>
              <w:rPr>
                <w:color w:val="000000" w:themeColor="text1"/>
              </w:rPr>
            </w:pPr>
          </w:p>
        </w:tc>
        <w:tc>
          <w:tcPr>
            <w:tcW w:w="5068" w:type="dxa"/>
            <w:vMerge/>
            <w:vAlign w:val="center"/>
          </w:tcPr>
          <w:p w14:paraId="4DE0195F" w14:textId="77777777" w:rsidR="004D1935" w:rsidRPr="005A5E3A" w:rsidRDefault="004D1935" w:rsidP="00E24DC9">
            <w:pPr>
              <w:jc w:val="center"/>
              <w:rPr>
                <w:color w:val="000000" w:themeColor="text1"/>
              </w:rPr>
            </w:pPr>
          </w:p>
        </w:tc>
      </w:tr>
      <w:tr w:rsidR="004D1935" w:rsidRPr="005A5E3A" w14:paraId="1B7F4DD6" w14:textId="77777777" w:rsidTr="00E24DC9">
        <w:tc>
          <w:tcPr>
            <w:tcW w:w="567" w:type="dxa"/>
            <w:vMerge/>
            <w:vAlign w:val="center"/>
          </w:tcPr>
          <w:p w14:paraId="36677B56"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3AF35C59" w14:textId="77777777" w:rsidR="004D1935" w:rsidRPr="005A5E3A" w:rsidRDefault="004D1935" w:rsidP="00E24DC9">
            <w:pPr>
              <w:jc w:val="center"/>
              <w:rPr>
                <w:rFonts w:ascii="Calibri" w:hAnsi="Calibri" w:cs="Calibri"/>
                <w:color w:val="000000" w:themeColor="text1"/>
                <w:sz w:val="18"/>
                <w:szCs w:val="18"/>
              </w:rPr>
            </w:pPr>
            <w:r w:rsidRPr="005A5E3A">
              <w:rPr>
                <w:rFonts w:ascii="Calibri" w:hAnsi="Calibri" w:cs="Calibri"/>
                <w:color w:val="000000" w:themeColor="text1"/>
                <w:sz w:val="18"/>
                <w:szCs w:val="18"/>
              </w:rPr>
              <w:t>342.1944</w:t>
            </w:r>
          </w:p>
        </w:tc>
        <w:tc>
          <w:tcPr>
            <w:tcW w:w="2991" w:type="dxa"/>
            <w:tcBorders>
              <w:top w:val="nil"/>
              <w:bottom w:val="nil"/>
            </w:tcBorders>
            <w:vAlign w:val="center"/>
          </w:tcPr>
          <w:p w14:paraId="252A8E76" w14:textId="77777777" w:rsidR="004D1935" w:rsidRPr="005A5E3A" w:rsidRDefault="00000000" w:rsidP="00E24DC9">
            <w:pPr>
              <w:jc w:val="center"/>
              <w:rPr>
                <w:color w:val="000000" w:themeColor="text1"/>
              </w:rPr>
            </w:pPr>
            <w:hyperlink r:id="rId165" w:history="1">
              <w:r w:rsidR="004D1935" w:rsidRPr="005A5E3A">
                <w:rPr>
                  <w:rFonts w:ascii="Calibri" w:hAnsi="Calibri" w:cs="Calibri"/>
                  <w:color w:val="000000" w:themeColor="text1"/>
                  <w:sz w:val="18"/>
                  <w:szCs w:val="18"/>
                </w:rPr>
                <w:t>sucrose</w:t>
              </w:r>
            </w:hyperlink>
          </w:p>
        </w:tc>
        <w:tc>
          <w:tcPr>
            <w:tcW w:w="1373" w:type="dxa"/>
            <w:vMerge/>
            <w:vAlign w:val="center"/>
          </w:tcPr>
          <w:p w14:paraId="6CA80D52" w14:textId="77777777" w:rsidR="004D1935" w:rsidRPr="005A5E3A" w:rsidRDefault="004D1935" w:rsidP="00E24DC9">
            <w:pPr>
              <w:jc w:val="center"/>
              <w:rPr>
                <w:color w:val="000000" w:themeColor="text1"/>
              </w:rPr>
            </w:pPr>
          </w:p>
        </w:tc>
        <w:tc>
          <w:tcPr>
            <w:tcW w:w="4076" w:type="dxa"/>
            <w:vMerge/>
            <w:vAlign w:val="center"/>
          </w:tcPr>
          <w:p w14:paraId="0613F56F" w14:textId="77777777" w:rsidR="004D1935" w:rsidRPr="005A5E3A" w:rsidRDefault="004D1935" w:rsidP="00E24DC9">
            <w:pPr>
              <w:jc w:val="center"/>
              <w:rPr>
                <w:color w:val="000000" w:themeColor="text1"/>
              </w:rPr>
            </w:pPr>
          </w:p>
        </w:tc>
        <w:tc>
          <w:tcPr>
            <w:tcW w:w="5068" w:type="dxa"/>
            <w:vMerge/>
            <w:vAlign w:val="center"/>
          </w:tcPr>
          <w:p w14:paraId="46BB5381" w14:textId="77777777" w:rsidR="004D1935" w:rsidRPr="005A5E3A" w:rsidRDefault="004D1935" w:rsidP="00E24DC9">
            <w:pPr>
              <w:jc w:val="center"/>
              <w:rPr>
                <w:color w:val="000000" w:themeColor="text1"/>
              </w:rPr>
            </w:pPr>
          </w:p>
        </w:tc>
      </w:tr>
      <w:tr w:rsidR="004D1935" w:rsidRPr="005A5E3A" w14:paraId="4B66D43F" w14:textId="77777777" w:rsidTr="00E24DC9">
        <w:tc>
          <w:tcPr>
            <w:tcW w:w="567" w:type="dxa"/>
            <w:vMerge/>
            <w:vAlign w:val="center"/>
          </w:tcPr>
          <w:p w14:paraId="7DD9D9A3"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297F4CAF" w14:textId="77777777" w:rsidR="004D1935" w:rsidRPr="005A5E3A" w:rsidRDefault="004D1935" w:rsidP="00E24DC9">
            <w:pPr>
              <w:jc w:val="center"/>
              <w:rPr>
                <w:rFonts w:ascii="Calibri" w:hAnsi="Calibri" w:cs="Calibri"/>
                <w:color w:val="000000" w:themeColor="text1"/>
                <w:sz w:val="18"/>
                <w:szCs w:val="18"/>
              </w:rPr>
            </w:pPr>
            <w:r w:rsidRPr="005A5E3A">
              <w:rPr>
                <w:rFonts w:ascii="Calibri" w:hAnsi="Calibri" w:cs="Calibri"/>
                <w:color w:val="000000" w:themeColor="text1"/>
                <w:sz w:val="18"/>
                <w:szCs w:val="18"/>
              </w:rPr>
              <w:t>342.0352</w:t>
            </w:r>
          </w:p>
        </w:tc>
        <w:tc>
          <w:tcPr>
            <w:tcW w:w="2991" w:type="dxa"/>
            <w:tcBorders>
              <w:top w:val="nil"/>
              <w:bottom w:val="nil"/>
            </w:tcBorders>
            <w:vAlign w:val="center"/>
          </w:tcPr>
          <w:p w14:paraId="13ADA2D4" w14:textId="77777777" w:rsidR="004D1935" w:rsidRPr="005A5E3A" w:rsidRDefault="00000000" w:rsidP="00E24DC9">
            <w:pPr>
              <w:jc w:val="center"/>
              <w:rPr>
                <w:color w:val="000000" w:themeColor="text1"/>
              </w:rPr>
            </w:pPr>
            <w:hyperlink r:id="rId166" w:history="1">
              <w:r w:rsidR="004D1935" w:rsidRPr="005A5E3A">
                <w:rPr>
                  <w:rFonts w:ascii="Calibri" w:hAnsi="Calibri" w:cs="Calibri"/>
                  <w:color w:val="000000" w:themeColor="text1"/>
                  <w:sz w:val="18"/>
                  <w:szCs w:val="18"/>
                </w:rPr>
                <w:t>maltose</w:t>
              </w:r>
            </w:hyperlink>
          </w:p>
        </w:tc>
        <w:tc>
          <w:tcPr>
            <w:tcW w:w="1373" w:type="dxa"/>
            <w:vMerge/>
            <w:vAlign w:val="center"/>
          </w:tcPr>
          <w:p w14:paraId="074C5CE9" w14:textId="77777777" w:rsidR="004D1935" w:rsidRPr="005A5E3A" w:rsidRDefault="004D1935" w:rsidP="00E24DC9">
            <w:pPr>
              <w:jc w:val="center"/>
              <w:rPr>
                <w:color w:val="000000" w:themeColor="text1"/>
              </w:rPr>
            </w:pPr>
          </w:p>
        </w:tc>
        <w:tc>
          <w:tcPr>
            <w:tcW w:w="4076" w:type="dxa"/>
            <w:vMerge/>
            <w:vAlign w:val="center"/>
          </w:tcPr>
          <w:p w14:paraId="17950B79" w14:textId="77777777" w:rsidR="004D1935" w:rsidRPr="005A5E3A" w:rsidRDefault="004D1935" w:rsidP="00E24DC9">
            <w:pPr>
              <w:jc w:val="center"/>
              <w:rPr>
                <w:color w:val="000000" w:themeColor="text1"/>
              </w:rPr>
            </w:pPr>
          </w:p>
        </w:tc>
        <w:tc>
          <w:tcPr>
            <w:tcW w:w="5068" w:type="dxa"/>
            <w:vMerge/>
            <w:vAlign w:val="center"/>
          </w:tcPr>
          <w:p w14:paraId="4BE5D69B" w14:textId="77777777" w:rsidR="004D1935" w:rsidRPr="005A5E3A" w:rsidRDefault="004D1935" w:rsidP="00E24DC9">
            <w:pPr>
              <w:jc w:val="center"/>
              <w:rPr>
                <w:color w:val="000000" w:themeColor="text1"/>
              </w:rPr>
            </w:pPr>
          </w:p>
        </w:tc>
      </w:tr>
      <w:tr w:rsidR="004D1935" w:rsidRPr="005A5E3A" w14:paraId="11367844" w14:textId="77777777" w:rsidTr="00E24DC9">
        <w:tc>
          <w:tcPr>
            <w:tcW w:w="567" w:type="dxa"/>
            <w:vMerge/>
            <w:vAlign w:val="center"/>
          </w:tcPr>
          <w:p w14:paraId="42E949DB"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0AC32FA7" w14:textId="77777777" w:rsidR="004D1935" w:rsidRPr="005A5E3A" w:rsidRDefault="004D1935" w:rsidP="00E24DC9">
            <w:pPr>
              <w:jc w:val="center"/>
              <w:rPr>
                <w:rFonts w:ascii="Calibri" w:hAnsi="Calibri" w:cs="Calibri"/>
                <w:color w:val="000000" w:themeColor="text1"/>
                <w:sz w:val="18"/>
                <w:szCs w:val="18"/>
              </w:rPr>
            </w:pPr>
            <w:r w:rsidRPr="005A5E3A">
              <w:rPr>
                <w:rFonts w:ascii="Calibri" w:hAnsi="Calibri" w:cs="Calibri"/>
                <w:color w:val="000000" w:themeColor="text1"/>
                <w:sz w:val="18"/>
                <w:szCs w:val="18"/>
              </w:rPr>
              <w:t>342.0779</w:t>
            </w:r>
          </w:p>
        </w:tc>
        <w:tc>
          <w:tcPr>
            <w:tcW w:w="2991" w:type="dxa"/>
            <w:tcBorders>
              <w:top w:val="nil"/>
              <w:bottom w:val="nil"/>
            </w:tcBorders>
            <w:vAlign w:val="center"/>
          </w:tcPr>
          <w:p w14:paraId="7D07CC04" w14:textId="77777777" w:rsidR="004D1935" w:rsidRPr="005A5E3A" w:rsidRDefault="00000000" w:rsidP="00E24DC9">
            <w:pPr>
              <w:jc w:val="center"/>
              <w:rPr>
                <w:color w:val="000000" w:themeColor="text1"/>
              </w:rPr>
            </w:pPr>
            <w:hyperlink r:id="rId167" w:history="1">
              <w:r w:rsidR="004D1935" w:rsidRPr="005A5E3A">
                <w:rPr>
                  <w:rFonts w:ascii="Calibri" w:hAnsi="Calibri" w:cs="Calibri"/>
                  <w:color w:val="000000" w:themeColor="text1"/>
                  <w:sz w:val="18"/>
                  <w:szCs w:val="18"/>
                </w:rPr>
                <w:t>gentiobiose</w:t>
              </w:r>
            </w:hyperlink>
          </w:p>
        </w:tc>
        <w:tc>
          <w:tcPr>
            <w:tcW w:w="1373" w:type="dxa"/>
            <w:vMerge/>
            <w:vAlign w:val="center"/>
          </w:tcPr>
          <w:p w14:paraId="2F2AB80E" w14:textId="77777777" w:rsidR="004D1935" w:rsidRPr="005A5E3A" w:rsidRDefault="004D1935" w:rsidP="00E24DC9">
            <w:pPr>
              <w:jc w:val="center"/>
              <w:rPr>
                <w:color w:val="000000" w:themeColor="text1"/>
              </w:rPr>
            </w:pPr>
          </w:p>
        </w:tc>
        <w:tc>
          <w:tcPr>
            <w:tcW w:w="4076" w:type="dxa"/>
            <w:vMerge/>
            <w:vAlign w:val="center"/>
          </w:tcPr>
          <w:p w14:paraId="14E3BBA4" w14:textId="77777777" w:rsidR="004D1935" w:rsidRPr="005A5E3A" w:rsidRDefault="004D1935" w:rsidP="00E24DC9">
            <w:pPr>
              <w:jc w:val="center"/>
              <w:rPr>
                <w:color w:val="000000" w:themeColor="text1"/>
              </w:rPr>
            </w:pPr>
          </w:p>
        </w:tc>
        <w:tc>
          <w:tcPr>
            <w:tcW w:w="5068" w:type="dxa"/>
            <w:vMerge/>
            <w:vAlign w:val="center"/>
          </w:tcPr>
          <w:p w14:paraId="7FA25226" w14:textId="77777777" w:rsidR="004D1935" w:rsidRPr="005A5E3A" w:rsidRDefault="004D1935" w:rsidP="00E24DC9">
            <w:pPr>
              <w:jc w:val="center"/>
              <w:rPr>
                <w:color w:val="000000" w:themeColor="text1"/>
              </w:rPr>
            </w:pPr>
          </w:p>
        </w:tc>
      </w:tr>
      <w:tr w:rsidR="004D1935" w:rsidRPr="005A5E3A" w14:paraId="38B208A6" w14:textId="77777777" w:rsidTr="00E24DC9">
        <w:tc>
          <w:tcPr>
            <w:tcW w:w="567" w:type="dxa"/>
            <w:vMerge/>
            <w:vAlign w:val="center"/>
          </w:tcPr>
          <w:p w14:paraId="71B070F0"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18E995C9" w14:textId="77777777" w:rsidR="004D1935" w:rsidRPr="005A5E3A" w:rsidRDefault="004D1935" w:rsidP="00E24DC9">
            <w:pPr>
              <w:jc w:val="center"/>
              <w:rPr>
                <w:rFonts w:ascii="Calibri" w:hAnsi="Calibri" w:cs="Calibri"/>
                <w:color w:val="000000" w:themeColor="text1"/>
                <w:sz w:val="18"/>
                <w:szCs w:val="18"/>
              </w:rPr>
            </w:pPr>
            <w:r w:rsidRPr="005A5E3A">
              <w:rPr>
                <w:rFonts w:ascii="Calibri" w:hAnsi="Calibri" w:cs="Calibri"/>
                <w:color w:val="000000" w:themeColor="text1"/>
                <w:sz w:val="18"/>
                <w:szCs w:val="18"/>
              </w:rPr>
              <w:t>342.1205</w:t>
            </w:r>
          </w:p>
        </w:tc>
        <w:tc>
          <w:tcPr>
            <w:tcW w:w="2991" w:type="dxa"/>
            <w:tcBorders>
              <w:top w:val="nil"/>
              <w:bottom w:val="nil"/>
            </w:tcBorders>
            <w:vAlign w:val="center"/>
          </w:tcPr>
          <w:p w14:paraId="5423F764" w14:textId="77777777" w:rsidR="004D1935" w:rsidRPr="005A5E3A" w:rsidRDefault="00000000" w:rsidP="00E24DC9">
            <w:pPr>
              <w:jc w:val="center"/>
              <w:rPr>
                <w:color w:val="000000" w:themeColor="text1"/>
              </w:rPr>
            </w:pPr>
            <w:hyperlink r:id="rId168" w:history="1">
              <w:r w:rsidR="004D1935" w:rsidRPr="005A5E3A">
                <w:rPr>
                  <w:rFonts w:ascii="Calibri" w:hAnsi="Calibri" w:cs="Calibri"/>
                  <w:color w:val="000000" w:themeColor="text1"/>
                  <w:sz w:val="18"/>
                  <w:szCs w:val="18"/>
                </w:rPr>
                <w:t>trehalose</w:t>
              </w:r>
            </w:hyperlink>
          </w:p>
        </w:tc>
        <w:tc>
          <w:tcPr>
            <w:tcW w:w="1373" w:type="dxa"/>
            <w:vMerge/>
            <w:vAlign w:val="center"/>
          </w:tcPr>
          <w:p w14:paraId="02D69A16" w14:textId="77777777" w:rsidR="004D1935" w:rsidRPr="005A5E3A" w:rsidRDefault="004D1935" w:rsidP="00E24DC9">
            <w:pPr>
              <w:jc w:val="center"/>
              <w:rPr>
                <w:color w:val="000000" w:themeColor="text1"/>
              </w:rPr>
            </w:pPr>
          </w:p>
        </w:tc>
        <w:tc>
          <w:tcPr>
            <w:tcW w:w="4076" w:type="dxa"/>
            <w:vMerge/>
            <w:vAlign w:val="center"/>
          </w:tcPr>
          <w:p w14:paraId="7DE200E6" w14:textId="77777777" w:rsidR="004D1935" w:rsidRPr="005A5E3A" w:rsidRDefault="004D1935" w:rsidP="00E24DC9">
            <w:pPr>
              <w:jc w:val="center"/>
              <w:rPr>
                <w:color w:val="000000" w:themeColor="text1"/>
              </w:rPr>
            </w:pPr>
          </w:p>
        </w:tc>
        <w:tc>
          <w:tcPr>
            <w:tcW w:w="5068" w:type="dxa"/>
            <w:vMerge/>
            <w:vAlign w:val="center"/>
          </w:tcPr>
          <w:p w14:paraId="62497FA0" w14:textId="77777777" w:rsidR="004D1935" w:rsidRPr="005A5E3A" w:rsidRDefault="004D1935" w:rsidP="00E24DC9">
            <w:pPr>
              <w:jc w:val="center"/>
              <w:rPr>
                <w:color w:val="000000" w:themeColor="text1"/>
              </w:rPr>
            </w:pPr>
          </w:p>
        </w:tc>
      </w:tr>
      <w:tr w:rsidR="004D1935" w:rsidRPr="005A5E3A" w14:paraId="28B31286" w14:textId="77777777" w:rsidTr="00E24DC9">
        <w:tc>
          <w:tcPr>
            <w:tcW w:w="567" w:type="dxa"/>
            <w:vMerge/>
            <w:vAlign w:val="center"/>
          </w:tcPr>
          <w:p w14:paraId="210294E2"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7B166E00" w14:textId="77777777" w:rsidR="004D1935" w:rsidRPr="005A5E3A" w:rsidRDefault="004D1935" w:rsidP="00E24DC9">
            <w:pPr>
              <w:jc w:val="center"/>
              <w:rPr>
                <w:rFonts w:ascii="Calibri" w:hAnsi="Calibri" w:cs="Calibri"/>
                <w:color w:val="000000" w:themeColor="text1"/>
                <w:sz w:val="18"/>
                <w:szCs w:val="18"/>
              </w:rPr>
            </w:pPr>
            <w:r w:rsidRPr="005A5E3A">
              <w:rPr>
                <w:rFonts w:ascii="Calibri" w:hAnsi="Calibri" w:cs="Calibri"/>
                <w:color w:val="000000" w:themeColor="text1"/>
                <w:sz w:val="18"/>
                <w:szCs w:val="18"/>
              </w:rPr>
              <w:t>342.1631</w:t>
            </w:r>
          </w:p>
        </w:tc>
        <w:tc>
          <w:tcPr>
            <w:tcW w:w="2991" w:type="dxa"/>
            <w:tcBorders>
              <w:top w:val="nil"/>
              <w:bottom w:val="nil"/>
            </w:tcBorders>
            <w:vAlign w:val="center"/>
          </w:tcPr>
          <w:p w14:paraId="2686F647" w14:textId="77777777" w:rsidR="004D1935" w:rsidRPr="005A5E3A" w:rsidRDefault="00000000" w:rsidP="00E24DC9">
            <w:pPr>
              <w:jc w:val="center"/>
              <w:rPr>
                <w:color w:val="000000" w:themeColor="text1"/>
              </w:rPr>
            </w:pPr>
            <w:hyperlink r:id="rId169" w:history="1">
              <w:r w:rsidR="004D1935" w:rsidRPr="005A5E3A">
                <w:rPr>
                  <w:rFonts w:ascii="Calibri" w:hAnsi="Calibri" w:cs="Calibri"/>
                  <w:color w:val="000000" w:themeColor="text1"/>
                  <w:sz w:val="18"/>
                  <w:szCs w:val="18"/>
                </w:rPr>
                <w:t>isomaltose</w:t>
              </w:r>
            </w:hyperlink>
          </w:p>
        </w:tc>
        <w:tc>
          <w:tcPr>
            <w:tcW w:w="1373" w:type="dxa"/>
            <w:vMerge/>
            <w:vAlign w:val="center"/>
          </w:tcPr>
          <w:p w14:paraId="22A2DA6F" w14:textId="77777777" w:rsidR="004D1935" w:rsidRPr="005A5E3A" w:rsidRDefault="004D1935" w:rsidP="00E24DC9">
            <w:pPr>
              <w:jc w:val="center"/>
              <w:rPr>
                <w:color w:val="000000" w:themeColor="text1"/>
              </w:rPr>
            </w:pPr>
          </w:p>
        </w:tc>
        <w:tc>
          <w:tcPr>
            <w:tcW w:w="4076" w:type="dxa"/>
            <w:vMerge/>
            <w:vAlign w:val="center"/>
          </w:tcPr>
          <w:p w14:paraId="5CA2A997" w14:textId="77777777" w:rsidR="004D1935" w:rsidRPr="005A5E3A" w:rsidRDefault="004D1935" w:rsidP="00E24DC9">
            <w:pPr>
              <w:jc w:val="center"/>
              <w:rPr>
                <w:color w:val="000000" w:themeColor="text1"/>
              </w:rPr>
            </w:pPr>
          </w:p>
        </w:tc>
        <w:tc>
          <w:tcPr>
            <w:tcW w:w="5068" w:type="dxa"/>
            <w:vMerge/>
            <w:vAlign w:val="center"/>
          </w:tcPr>
          <w:p w14:paraId="6750FAD1" w14:textId="77777777" w:rsidR="004D1935" w:rsidRPr="005A5E3A" w:rsidRDefault="004D1935" w:rsidP="00E24DC9">
            <w:pPr>
              <w:jc w:val="center"/>
              <w:rPr>
                <w:color w:val="000000" w:themeColor="text1"/>
              </w:rPr>
            </w:pPr>
          </w:p>
        </w:tc>
      </w:tr>
      <w:tr w:rsidR="004D1935" w:rsidRPr="005A5E3A" w14:paraId="7B729532" w14:textId="77777777" w:rsidTr="00E24DC9">
        <w:tc>
          <w:tcPr>
            <w:tcW w:w="567" w:type="dxa"/>
            <w:vMerge/>
            <w:vAlign w:val="center"/>
          </w:tcPr>
          <w:p w14:paraId="78DA560C"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6B24137A" w14:textId="77777777" w:rsidR="004D1935" w:rsidRPr="005A5E3A" w:rsidRDefault="004D1935" w:rsidP="00E24DC9">
            <w:pPr>
              <w:jc w:val="center"/>
              <w:rPr>
                <w:rFonts w:ascii="Calibri" w:hAnsi="Calibri" w:cs="Calibri"/>
                <w:color w:val="000000" w:themeColor="text1"/>
                <w:sz w:val="18"/>
                <w:szCs w:val="18"/>
              </w:rPr>
            </w:pPr>
            <w:r w:rsidRPr="005A5E3A">
              <w:rPr>
                <w:rFonts w:ascii="Calibri" w:hAnsi="Calibri" w:cs="Calibri"/>
                <w:color w:val="000000" w:themeColor="text1"/>
                <w:sz w:val="18"/>
                <w:szCs w:val="18"/>
              </w:rPr>
              <w:t>342.0438</w:t>
            </w:r>
          </w:p>
        </w:tc>
        <w:tc>
          <w:tcPr>
            <w:tcW w:w="2991" w:type="dxa"/>
            <w:tcBorders>
              <w:top w:val="nil"/>
              <w:bottom w:val="nil"/>
            </w:tcBorders>
            <w:vAlign w:val="center"/>
          </w:tcPr>
          <w:p w14:paraId="620C18BE" w14:textId="77777777" w:rsidR="004D1935" w:rsidRPr="005A5E3A" w:rsidRDefault="00000000" w:rsidP="00E24DC9">
            <w:pPr>
              <w:jc w:val="center"/>
              <w:rPr>
                <w:color w:val="000000" w:themeColor="text1"/>
              </w:rPr>
            </w:pPr>
            <w:hyperlink r:id="rId170" w:history="1">
              <w:r w:rsidR="004D1935" w:rsidRPr="005A5E3A">
                <w:rPr>
                  <w:rFonts w:ascii="Calibri" w:hAnsi="Calibri" w:cs="Calibri"/>
                  <w:color w:val="000000" w:themeColor="text1"/>
                  <w:sz w:val="18"/>
                  <w:szCs w:val="18"/>
                </w:rPr>
                <w:t>kojibiose</w:t>
              </w:r>
            </w:hyperlink>
          </w:p>
        </w:tc>
        <w:tc>
          <w:tcPr>
            <w:tcW w:w="1373" w:type="dxa"/>
            <w:vMerge/>
            <w:vAlign w:val="center"/>
          </w:tcPr>
          <w:p w14:paraId="051E20BF" w14:textId="77777777" w:rsidR="004D1935" w:rsidRPr="005A5E3A" w:rsidRDefault="004D1935" w:rsidP="00E24DC9">
            <w:pPr>
              <w:jc w:val="center"/>
              <w:rPr>
                <w:color w:val="000000" w:themeColor="text1"/>
              </w:rPr>
            </w:pPr>
          </w:p>
        </w:tc>
        <w:tc>
          <w:tcPr>
            <w:tcW w:w="4076" w:type="dxa"/>
            <w:vMerge/>
            <w:vAlign w:val="center"/>
          </w:tcPr>
          <w:p w14:paraId="6FDAEC31" w14:textId="77777777" w:rsidR="004D1935" w:rsidRPr="005A5E3A" w:rsidRDefault="004D1935" w:rsidP="00E24DC9">
            <w:pPr>
              <w:jc w:val="center"/>
              <w:rPr>
                <w:color w:val="000000" w:themeColor="text1"/>
              </w:rPr>
            </w:pPr>
          </w:p>
        </w:tc>
        <w:tc>
          <w:tcPr>
            <w:tcW w:w="5068" w:type="dxa"/>
            <w:vMerge/>
            <w:vAlign w:val="center"/>
          </w:tcPr>
          <w:p w14:paraId="3CA40578" w14:textId="77777777" w:rsidR="004D1935" w:rsidRPr="005A5E3A" w:rsidRDefault="004D1935" w:rsidP="00E24DC9">
            <w:pPr>
              <w:jc w:val="center"/>
              <w:rPr>
                <w:color w:val="000000" w:themeColor="text1"/>
              </w:rPr>
            </w:pPr>
          </w:p>
        </w:tc>
      </w:tr>
      <w:tr w:rsidR="004D1935" w:rsidRPr="005A5E3A" w14:paraId="70BFA78F" w14:textId="77777777" w:rsidTr="00E24DC9">
        <w:tc>
          <w:tcPr>
            <w:tcW w:w="567" w:type="dxa"/>
            <w:vMerge/>
            <w:vAlign w:val="center"/>
          </w:tcPr>
          <w:p w14:paraId="75D29FBD"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2C470A2D" w14:textId="77777777" w:rsidR="004D1935" w:rsidRPr="005A5E3A" w:rsidRDefault="004D1935" w:rsidP="00E24DC9">
            <w:pPr>
              <w:jc w:val="center"/>
              <w:rPr>
                <w:rFonts w:ascii="Calibri" w:hAnsi="Calibri" w:cs="Calibri"/>
                <w:color w:val="000000" w:themeColor="text1"/>
                <w:sz w:val="18"/>
                <w:szCs w:val="18"/>
              </w:rPr>
            </w:pPr>
            <w:r w:rsidRPr="005A5E3A">
              <w:rPr>
                <w:rFonts w:ascii="Calibri" w:hAnsi="Calibri" w:cs="Calibri"/>
                <w:color w:val="000000" w:themeColor="text1"/>
                <w:sz w:val="18"/>
                <w:szCs w:val="18"/>
              </w:rPr>
              <w:t>342.0864</w:t>
            </w:r>
          </w:p>
        </w:tc>
        <w:tc>
          <w:tcPr>
            <w:tcW w:w="2991" w:type="dxa"/>
            <w:tcBorders>
              <w:top w:val="nil"/>
              <w:bottom w:val="nil"/>
            </w:tcBorders>
            <w:vAlign w:val="center"/>
          </w:tcPr>
          <w:p w14:paraId="3C5E2535" w14:textId="77777777" w:rsidR="004D1935" w:rsidRPr="005A5E3A" w:rsidRDefault="00000000" w:rsidP="00E24DC9">
            <w:pPr>
              <w:jc w:val="center"/>
              <w:rPr>
                <w:color w:val="000000" w:themeColor="text1"/>
              </w:rPr>
            </w:pPr>
            <w:hyperlink r:id="rId171" w:history="1">
              <w:r w:rsidR="004D1935" w:rsidRPr="005A5E3A">
                <w:rPr>
                  <w:rFonts w:ascii="Calibri" w:hAnsi="Calibri" w:cs="Calibri"/>
                  <w:color w:val="000000" w:themeColor="text1"/>
                  <w:sz w:val="18"/>
                  <w:szCs w:val="18"/>
                </w:rPr>
                <w:t>lactose</w:t>
              </w:r>
            </w:hyperlink>
          </w:p>
        </w:tc>
        <w:tc>
          <w:tcPr>
            <w:tcW w:w="1373" w:type="dxa"/>
            <w:vMerge/>
            <w:vAlign w:val="center"/>
          </w:tcPr>
          <w:p w14:paraId="02C63953" w14:textId="77777777" w:rsidR="004D1935" w:rsidRPr="005A5E3A" w:rsidRDefault="004D1935" w:rsidP="00E24DC9">
            <w:pPr>
              <w:jc w:val="center"/>
              <w:rPr>
                <w:color w:val="000000" w:themeColor="text1"/>
              </w:rPr>
            </w:pPr>
          </w:p>
        </w:tc>
        <w:tc>
          <w:tcPr>
            <w:tcW w:w="4076" w:type="dxa"/>
            <w:vMerge/>
            <w:vAlign w:val="center"/>
          </w:tcPr>
          <w:p w14:paraId="0991DB2E" w14:textId="77777777" w:rsidR="004D1935" w:rsidRPr="005A5E3A" w:rsidRDefault="004D1935" w:rsidP="00E24DC9">
            <w:pPr>
              <w:jc w:val="center"/>
              <w:rPr>
                <w:color w:val="000000" w:themeColor="text1"/>
              </w:rPr>
            </w:pPr>
          </w:p>
        </w:tc>
        <w:tc>
          <w:tcPr>
            <w:tcW w:w="5068" w:type="dxa"/>
            <w:vMerge/>
            <w:vAlign w:val="center"/>
          </w:tcPr>
          <w:p w14:paraId="3B9225C4" w14:textId="77777777" w:rsidR="004D1935" w:rsidRPr="005A5E3A" w:rsidRDefault="004D1935" w:rsidP="00E24DC9">
            <w:pPr>
              <w:jc w:val="center"/>
              <w:rPr>
                <w:color w:val="000000" w:themeColor="text1"/>
              </w:rPr>
            </w:pPr>
          </w:p>
        </w:tc>
      </w:tr>
      <w:tr w:rsidR="004D1935" w:rsidRPr="005A5E3A" w14:paraId="3B79C014" w14:textId="77777777" w:rsidTr="00E24DC9">
        <w:tc>
          <w:tcPr>
            <w:tcW w:w="567" w:type="dxa"/>
            <w:vMerge/>
            <w:vAlign w:val="center"/>
          </w:tcPr>
          <w:p w14:paraId="038C01EE"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2D32A702" w14:textId="77777777" w:rsidR="004D1935" w:rsidRPr="005A5E3A" w:rsidRDefault="004D1935" w:rsidP="00E24DC9">
            <w:pPr>
              <w:jc w:val="center"/>
              <w:rPr>
                <w:rFonts w:ascii="Calibri" w:hAnsi="Calibri" w:cs="Calibri"/>
                <w:color w:val="000000" w:themeColor="text1"/>
                <w:sz w:val="18"/>
                <w:szCs w:val="18"/>
              </w:rPr>
            </w:pPr>
            <w:r w:rsidRPr="005A5E3A">
              <w:rPr>
                <w:rFonts w:ascii="Calibri" w:hAnsi="Calibri" w:cs="Calibri"/>
                <w:color w:val="000000" w:themeColor="text1"/>
                <w:sz w:val="18"/>
                <w:szCs w:val="18"/>
              </w:rPr>
              <w:t>342.1290</w:t>
            </w:r>
          </w:p>
        </w:tc>
        <w:tc>
          <w:tcPr>
            <w:tcW w:w="2991" w:type="dxa"/>
            <w:tcBorders>
              <w:top w:val="nil"/>
              <w:bottom w:val="nil"/>
            </w:tcBorders>
            <w:vAlign w:val="center"/>
          </w:tcPr>
          <w:p w14:paraId="0B3DBD43" w14:textId="77777777" w:rsidR="004D1935" w:rsidRPr="005A5E3A" w:rsidRDefault="00000000" w:rsidP="00E24DC9">
            <w:pPr>
              <w:jc w:val="center"/>
              <w:rPr>
                <w:color w:val="000000" w:themeColor="text1"/>
              </w:rPr>
            </w:pPr>
            <w:hyperlink r:id="rId172" w:history="1">
              <w:r w:rsidR="004D1935" w:rsidRPr="005A5E3A">
                <w:rPr>
                  <w:rFonts w:ascii="Calibri" w:hAnsi="Calibri" w:cs="Calibri"/>
                  <w:color w:val="000000" w:themeColor="text1"/>
                  <w:sz w:val="18"/>
                  <w:szCs w:val="18"/>
                </w:rPr>
                <w:t>α-maltose</w:t>
              </w:r>
            </w:hyperlink>
          </w:p>
        </w:tc>
        <w:tc>
          <w:tcPr>
            <w:tcW w:w="1373" w:type="dxa"/>
            <w:vMerge/>
            <w:vAlign w:val="center"/>
          </w:tcPr>
          <w:p w14:paraId="5A927C65" w14:textId="77777777" w:rsidR="004D1935" w:rsidRPr="005A5E3A" w:rsidRDefault="004D1935" w:rsidP="00E24DC9">
            <w:pPr>
              <w:jc w:val="center"/>
              <w:rPr>
                <w:color w:val="000000" w:themeColor="text1"/>
              </w:rPr>
            </w:pPr>
          </w:p>
        </w:tc>
        <w:tc>
          <w:tcPr>
            <w:tcW w:w="4076" w:type="dxa"/>
            <w:vMerge/>
            <w:vAlign w:val="center"/>
          </w:tcPr>
          <w:p w14:paraId="40BB0C5A" w14:textId="77777777" w:rsidR="004D1935" w:rsidRPr="005A5E3A" w:rsidRDefault="004D1935" w:rsidP="00E24DC9">
            <w:pPr>
              <w:jc w:val="center"/>
              <w:rPr>
                <w:color w:val="000000" w:themeColor="text1"/>
              </w:rPr>
            </w:pPr>
          </w:p>
        </w:tc>
        <w:tc>
          <w:tcPr>
            <w:tcW w:w="5068" w:type="dxa"/>
            <w:vMerge/>
            <w:vAlign w:val="center"/>
          </w:tcPr>
          <w:p w14:paraId="62D5B47B" w14:textId="77777777" w:rsidR="004D1935" w:rsidRPr="005A5E3A" w:rsidRDefault="004D1935" w:rsidP="00E24DC9">
            <w:pPr>
              <w:jc w:val="center"/>
              <w:rPr>
                <w:color w:val="000000" w:themeColor="text1"/>
              </w:rPr>
            </w:pPr>
          </w:p>
        </w:tc>
      </w:tr>
      <w:tr w:rsidR="004D1935" w:rsidRPr="005A5E3A" w14:paraId="0723FB55" w14:textId="77777777" w:rsidTr="00E24DC9">
        <w:tc>
          <w:tcPr>
            <w:tcW w:w="567" w:type="dxa"/>
            <w:vMerge/>
            <w:vAlign w:val="center"/>
          </w:tcPr>
          <w:p w14:paraId="48CAA099"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207FE58D" w14:textId="77777777" w:rsidR="004D1935" w:rsidRPr="005A5E3A" w:rsidRDefault="004D1935" w:rsidP="00E24DC9">
            <w:pPr>
              <w:jc w:val="center"/>
              <w:rPr>
                <w:rFonts w:ascii="Calibri" w:hAnsi="Calibri" w:cs="Calibri"/>
                <w:color w:val="000000" w:themeColor="text1"/>
                <w:sz w:val="18"/>
                <w:szCs w:val="18"/>
              </w:rPr>
            </w:pPr>
            <w:r w:rsidRPr="005A5E3A">
              <w:rPr>
                <w:rFonts w:ascii="Calibri" w:hAnsi="Calibri" w:cs="Calibri"/>
                <w:color w:val="000000" w:themeColor="text1"/>
                <w:sz w:val="18"/>
                <w:szCs w:val="18"/>
              </w:rPr>
              <w:t>342.1716</w:t>
            </w:r>
          </w:p>
        </w:tc>
        <w:tc>
          <w:tcPr>
            <w:tcW w:w="2991" w:type="dxa"/>
            <w:tcBorders>
              <w:top w:val="nil"/>
              <w:bottom w:val="nil"/>
            </w:tcBorders>
            <w:vAlign w:val="center"/>
          </w:tcPr>
          <w:p w14:paraId="65960F23" w14:textId="77777777" w:rsidR="004D1935" w:rsidRPr="005A5E3A" w:rsidRDefault="00000000" w:rsidP="00E24DC9">
            <w:pPr>
              <w:jc w:val="center"/>
              <w:rPr>
                <w:color w:val="000000" w:themeColor="text1"/>
              </w:rPr>
            </w:pPr>
            <w:hyperlink r:id="rId173" w:history="1">
              <w:r w:rsidR="004D1935" w:rsidRPr="005A5E3A">
                <w:rPr>
                  <w:rFonts w:ascii="Calibri" w:hAnsi="Calibri" w:cs="Calibri"/>
                  <w:color w:val="000000" w:themeColor="text1"/>
                  <w:sz w:val="18"/>
                  <w:szCs w:val="18"/>
                </w:rPr>
                <w:t>levanbiose</w:t>
              </w:r>
            </w:hyperlink>
          </w:p>
        </w:tc>
        <w:tc>
          <w:tcPr>
            <w:tcW w:w="1373" w:type="dxa"/>
            <w:vMerge/>
            <w:vAlign w:val="center"/>
          </w:tcPr>
          <w:p w14:paraId="48CFA567" w14:textId="77777777" w:rsidR="004D1935" w:rsidRPr="005A5E3A" w:rsidRDefault="004D1935" w:rsidP="00E24DC9">
            <w:pPr>
              <w:jc w:val="center"/>
              <w:rPr>
                <w:color w:val="000000" w:themeColor="text1"/>
              </w:rPr>
            </w:pPr>
          </w:p>
        </w:tc>
        <w:tc>
          <w:tcPr>
            <w:tcW w:w="4076" w:type="dxa"/>
            <w:vMerge/>
            <w:vAlign w:val="center"/>
          </w:tcPr>
          <w:p w14:paraId="61094BA3" w14:textId="77777777" w:rsidR="004D1935" w:rsidRPr="005A5E3A" w:rsidRDefault="004D1935" w:rsidP="00E24DC9">
            <w:pPr>
              <w:jc w:val="center"/>
              <w:rPr>
                <w:color w:val="000000" w:themeColor="text1"/>
              </w:rPr>
            </w:pPr>
          </w:p>
        </w:tc>
        <w:tc>
          <w:tcPr>
            <w:tcW w:w="5068" w:type="dxa"/>
            <w:vMerge/>
            <w:vAlign w:val="center"/>
          </w:tcPr>
          <w:p w14:paraId="3CA7A9A5" w14:textId="77777777" w:rsidR="004D1935" w:rsidRPr="005A5E3A" w:rsidRDefault="004D1935" w:rsidP="00E24DC9">
            <w:pPr>
              <w:jc w:val="center"/>
              <w:rPr>
                <w:color w:val="000000" w:themeColor="text1"/>
              </w:rPr>
            </w:pPr>
          </w:p>
        </w:tc>
      </w:tr>
      <w:tr w:rsidR="004D1935" w:rsidRPr="005A5E3A" w14:paraId="5C04AF16" w14:textId="77777777" w:rsidTr="00E24DC9">
        <w:tc>
          <w:tcPr>
            <w:tcW w:w="567" w:type="dxa"/>
            <w:vMerge/>
            <w:vAlign w:val="center"/>
          </w:tcPr>
          <w:p w14:paraId="0A6D9DEF"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2A509A30" w14:textId="77777777" w:rsidR="004D1935" w:rsidRPr="005A5E3A" w:rsidRDefault="004D1935" w:rsidP="00E24DC9">
            <w:pPr>
              <w:jc w:val="center"/>
              <w:rPr>
                <w:rFonts w:ascii="Calibri" w:hAnsi="Calibri" w:cs="Calibri"/>
                <w:color w:val="000000" w:themeColor="text1"/>
                <w:sz w:val="18"/>
                <w:szCs w:val="18"/>
              </w:rPr>
            </w:pPr>
            <w:r w:rsidRPr="005A5E3A">
              <w:rPr>
                <w:rFonts w:ascii="Calibri" w:hAnsi="Calibri" w:cs="Calibri"/>
                <w:color w:val="000000" w:themeColor="text1"/>
                <w:sz w:val="18"/>
                <w:szCs w:val="18"/>
              </w:rPr>
              <w:t>342.0267</w:t>
            </w:r>
          </w:p>
        </w:tc>
        <w:tc>
          <w:tcPr>
            <w:tcW w:w="2991" w:type="dxa"/>
            <w:tcBorders>
              <w:top w:val="nil"/>
              <w:bottom w:val="nil"/>
            </w:tcBorders>
            <w:vAlign w:val="center"/>
          </w:tcPr>
          <w:p w14:paraId="7137FE66" w14:textId="77777777" w:rsidR="004D1935" w:rsidRPr="005A5E3A" w:rsidRDefault="00000000" w:rsidP="00E24DC9">
            <w:pPr>
              <w:jc w:val="center"/>
              <w:rPr>
                <w:color w:val="000000" w:themeColor="text1"/>
              </w:rPr>
            </w:pPr>
            <w:hyperlink r:id="rId174" w:history="1">
              <w:r w:rsidR="004D1935" w:rsidRPr="005A5E3A">
                <w:rPr>
                  <w:rFonts w:ascii="Calibri" w:hAnsi="Calibri" w:cs="Calibri"/>
                  <w:color w:val="000000" w:themeColor="text1"/>
                  <w:sz w:val="18"/>
                  <w:szCs w:val="18"/>
                </w:rPr>
                <w:t>galactinol</w:t>
              </w:r>
            </w:hyperlink>
          </w:p>
        </w:tc>
        <w:tc>
          <w:tcPr>
            <w:tcW w:w="1373" w:type="dxa"/>
            <w:vMerge/>
            <w:vAlign w:val="center"/>
          </w:tcPr>
          <w:p w14:paraId="0C277C87" w14:textId="77777777" w:rsidR="004D1935" w:rsidRPr="005A5E3A" w:rsidRDefault="004D1935" w:rsidP="00E24DC9">
            <w:pPr>
              <w:jc w:val="center"/>
              <w:rPr>
                <w:color w:val="000000" w:themeColor="text1"/>
              </w:rPr>
            </w:pPr>
          </w:p>
        </w:tc>
        <w:tc>
          <w:tcPr>
            <w:tcW w:w="4076" w:type="dxa"/>
            <w:vMerge/>
            <w:vAlign w:val="center"/>
          </w:tcPr>
          <w:p w14:paraId="61E1090E" w14:textId="77777777" w:rsidR="004D1935" w:rsidRPr="005A5E3A" w:rsidRDefault="004D1935" w:rsidP="00E24DC9">
            <w:pPr>
              <w:jc w:val="center"/>
              <w:rPr>
                <w:color w:val="000000" w:themeColor="text1"/>
              </w:rPr>
            </w:pPr>
          </w:p>
        </w:tc>
        <w:tc>
          <w:tcPr>
            <w:tcW w:w="5068" w:type="dxa"/>
            <w:vMerge/>
            <w:vAlign w:val="center"/>
          </w:tcPr>
          <w:p w14:paraId="112538E7" w14:textId="77777777" w:rsidR="004D1935" w:rsidRPr="005A5E3A" w:rsidRDefault="004D1935" w:rsidP="00E24DC9">
            <w:pPr>
              <w:jc w:val="center"/>
              <w:rPr>
                <w:color w:val="000000" w:themeColor="text1"/>
              </w:rPr>
            </w:pPr>
          </w:p>
        </w:tc>
      </w:tr>
      <w:tr w:rsidR="004D1935" w:rsidRPr="005A5E3A" w14:paraId="7EC55396" w14:textId="77777777" w:rsidTr="00E24DC9">
        <w:tc>
          <w:tcPr>
            <w:tcW w:w="567" w:type="dxa"/>
            <w:vMerge/>
            <w:vAlign w:val="center"/>
          </w:tcPr>
          <w:p w14:paraId="3ABDCF89"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1ECF8DDE" w14:textId="77777777" w:rsidR="004D1935" w:rsidRPr="005A5E3A" w:rsidRDefault="004D1935" w:rsidP="00E24DC9">
            <w:pPr>
              <w:jc w:val="center"/>
              <w:rPr>
                <w:rFonts w:ascii="Calibri" w:hAnsi="Calibri" w:cs="Calibri"/>
                <w:color w:val="000000" w:themeColor="text1"/>
                <w:sz w:val="18"/>
                <w:szCs w:val="18"/>
              </w:rPr>
            </w:pPr>
            <w:r w:rsidRPr="005A5E3A">
              <w:rPr>
                <w:rFonts w:ascii="Calibri" w:hAnsi="Calibri" w:cs="Calibri"/>
                <w:color w:val="000000" w:themeColor="text1"/>
                <w:sz w:val="18"/>
                <w:szCs w:val="18"/>
              </w:rPr>
              <w:t>342.0693</w:t>
            </w:r>
          </w:p>
        </w:tc>
        <w:tc>
          <w:tcPr>
            <w:tcW w:w="2991" w:type="dxa"/>
            <w:tcBorders>
              <w:top w:val="nil"/>
              <w:bottom w:val="nil"/>
            </w:tcBorders>
            <w:vAlign w:val="center"/>
          </w:tcPr>
          <w:p w14:paraId="1B8241FC"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lactose</w:t>
            </w:r>
          </w:p>
        </w:tc>
        <w:tc>
          <w:tcPr>
            <w:tcW w:w="1373" w:type="dxa"/>
            <w:vMerge/>
            <w:vAlign w:val="center"/>
          </w:tcPr>
          <w:p w14:paraId="6F2A2D32" w14:textId="77777777" w:rsidR="004D1935" w:rsidRPr="005A5E3A" w:rsidRDefault="004D1935" w:rsidP="00E24DC9">
            <w:pPr>
              <w:jc w:val="center"/>
              <w:rPr>
                <w:color w:val="000000" w:themeColor="text1"/>
              </w:rPr>
            </w:pPr>
          </w:p>
        </w:tc>
        <w:tc>
          <w:tcPr>
            <w:tcW w:w="4076" w:type="dxa"/>
            <w:vMerge/>
            <w:vAlign w:val="center"/>
          </w:tcPr>
          <w:p w14:paraId="4014D066" w14:textId="77777777" w:rsidR="004D1935" w:rsidRPr="005A5E3A" w:rsidRDefault="004D1935" w:rsidP="00E24DC9">
            <w:pPr>
              <w:jc w:val="center"/>
              <w:rPr>
                <w:color w:val="000000" w:themeColor="text1"/>
              </w:rPr>
            </w:pPr>
          </w:p>
        </w:tc>
        <w:tc>
          <w:tcPr>
            <w:tcW w:w="5068" w:type="dxa"/>
            <w:vMerge/>
            <w:vAlign w:val="center"/>
          </w:tcPr>
          <w:p w14:paraId="798BAEFF" w14:textId="77777777" w:rsidR="004D1935" w:rsidRPr="005A5E3A" w:rsidRDefault="004D1935" w:rsidP="00E24DC9">
            <w:pPr>
              <w:jc w:val="center"/>
              <w:rPr>
                <w:color w:val="000000" w:themeColor="text1"/>
              </w:rPr>
            </w:pPr>
          </w:p>
        </w:tc>
      </w:tr>
      <w:tr w:rsidR="004D1935" w:rsidRPr="005A5E3A" w14:paraId="7CC94B7C" w14:textId="77777777" w:rsidTr="00E24DC9">
        <w:tc>
          <w:tcPr>
            <w:tcW w:w="567" w:type="dxa"/>
            <w:vMerge/>
            <w:vAlign w:val="center"/>
          </w:tcPr>
          <w:p w14:paraId="73249182"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5CEF1758" w14:textId="77777777" w:rsidR="004D1935" w:rsidRPr="005A5E3A" w:rsidRDefault="004D1935" w:rsidP="00E24DC9">
            <w:pPr>
              <w:jc w:val="center"/>
              <w:rPr>
                <w:rFonts w:ascii="Calibri" w:hAnsi="Calibri" w:cs="Calibri"/>
                <w:color w:val="000000" w:themeColor="text1"/>
                <w:sz w:val="18"/>
                <w:szCs w:val="18"/>
              </w:rPr>
            </w:pPr>
            <w:r w:rsidRPr="005A5E3A">
              <w:rPr>
                <w:rFonts w:ascii="Calibri" w:hAnsi="Calibri" w:cs="Calibri"/>
                <w:color w:val="000000" w:themeColor="text1"/>
                <w:sz w:val="18"/>
                <w:szCs w:val="18"/>
              </w:rPr>
              <w:t>342.1119</w:t>
            </w:r>
          </w:p>
        </w:tc>
        <w:tc>
          <w:tcPr>
            <w:tcW w:w="2991" w:type="dxa"/>
            <w:tcBorders>
              <w:top w:val="nil"/>
              <w:bottom w:val="nil"/>
            </w:tcBorders>
            <w:vAlign w:val="center"/>
          </w:tcPr>
          <w:p w14:paraId="5B5F7331"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gentiobiose</w:t>
            </w:r>
          </w:p>
        </w:tc>
        <w:tc>
          <w:tcPr>
            <w:tcW w:w="1373" w:type="dxa"/>
            <w:vMerge/>
            <w:vAlign w:val="center"/>
          </w:tcPr>
          <w:p w14:paraId="77D3120A" w14:textId="77777777" w:rsidR="004D1935" w:rsidRPr="005A5E3A" w:rsidRDefault="004D1935" w:rsidP="00E24DC9">
            <w:pPr>
              <w:jc w:val="center"/>
              <w:rPr>
                <w:color w:val="000000" w:themeColor="text1"/>
              </w:rPr>
            </w:pPr>
          </w:p>
        </w:tc>
        <w:tc>
          <w:tcPr>
            <w:tcW w:w="4076" w:type="dxa"/>
            <w:vMerge/>
            <w:vAlign w:val="center"/>
          </w:tcPr>
          <w:p w14:paraId="7767F168" w14:textId="77777777" w:rsidR="004D1935" w:rsidRPr="005A5E3A" w:rsidRDefault="004D1935" w:rsidP="00E24DC9">
            <w:pPr>
              <w:jc w:val="center"/>
              <w:rPr>
                <w:color w:val="000000" w:themeColor="text1"/>
              </w:rPr>
            </w:pPr>
          </w:p>
        </w:tc>
        <w:tc>
          <w:tcPr>
            <w:tcW w:w="5068" w:type="dxa"/>
            <w:vMerge/>
            <w:vAlign w:val="center"/>
          </w:tcPr>
          <w:p w14:paraId="69A512A6" w14:textId="77777777" w:rsidR="004D1935" w:rsidRPr="005A5E3A" w:rsidRDefault="004D1935" w:rsidP="00E24DC9">
            <w:pPr>
              <w:jc w:val="center"/>
              <w:rPr>
                <w:color w:val="000000" w:themeColor="text1"/>
              </w:rPr>
            </w:pPr>
          </w:p>
        </w:tc>
      </w:tr>
      <w:tr w:rsidR="004D1935" w:rsidRPr="005A5E3A" w14:paraId="01824F7D" w14:textId="77777777" w:rsidTr="00E24DC9">
        <w:tc>
          <w:tcPr>
            <w:tcW w:w="567" w:type="dxa"/>
            <w:vMerge/>
            <w:vAlign w:val="center"/>
          </w:tcPr>
          <w:p w14:paraId="5161C470"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2EB9E836" w14:textId="77777777" w:rsidR="004D1935" w:rsidRPr="005A5E3A" w:rsidRDefault="004D1935" w:rsidP="00E24DC9">
            <w:pPr>
              <w:jc w:val="center"/>
              <w:rPr>
                <w:rFonts w:ascii="Calibri" w:hAnsi="Calibri" w:cs="Calibri"/>
                <w:color w:val="000000" w:themeColor="text1"/>
                <w:sz w:val="18"/>
                <w:szCs w:val="18"/>
              </w:rPr>
            </w:pPr>
            <w:r w:rsidRPr="005A5E3A">
              <w:rPr>
                <w:rFonts w:ascii="Calibri" w:hAnsi="Calibri" w:cs="Calibri"/>
                <w:color w:val="000000" w:themeColor="text1"/>
                <w:sz w:val="18"/>
                <w:szCs w:val="18"/>
              </w:rPr>
              <w:t>342.1546</w:t>
            </w:r>
          </w:p>
        </w:tc>
        <w:tc>
          <w:tcPr>
            <w:tcW w:w="2991" w:type="dxa"/>
            <w:tcBorders>
              <w:top w:val="nil"/>
              <w:bottom w:val="nil"/>
            </w:tcBorders>
            <w:vAlign w:val="center"/>
          </w:tcPr>
          <w:p w14:paraId="2D0E2C32" w14:textId="77777777" w:rsidR="004D1935" w:rsidRDefault="004D1935" w:rsidP="00E24DC9">
            <w:pPr>
              <w:jc w:val="center"/>
              <w:rPr>
                <w:rFonts w:ascii="Calibri" w:hAnsi="Calibri" w:cs="Calibri"/>
                <w:color w:val="000000" w:themeColor="text1"/>
                <w:sz w:val="18"/>
                <w:szCs w:val="18"/>
              </w:rPr>
            </w:pPr>
            <w:r w:rsidRPr="005A5E3A">
              <w:rPr>
                <w:rFonts w:ascii="Calibri" w:hAnsi="Calibri" w:cs="Calibri"/>
                <w:color w:val="000000" w:themeColor="text1"/>
                <w:sz w:val="18"/>
                <w:szCs w:val="18"/>
              </w:rPr>
              <w:t>Maltose</w:t>
            </w:r>
          </w:p>
          <w:p w14:paraId="13C24612" w14:textId="77777777" w:rsidR="004D1935" w:rsidRDefault="004D1935" w:rsidP="00E24DC9">
            <w:pPr>
              <w:jc w:val="center"/>
              <w:rPr>
                <w:rFonts w:ascii="Calibri" w:hAnsi="Calibri"/>
                <w:color w:val="000000" w:themeColor="text1"/>
                <w:sz w:val="18"/>
                <w:szCs w:val="18"/>
              </w:rPr>
            </w:pPr>
          </w:p>
          <w:p w14:paraId="1F06D418" w14:textId="77777777" w:rsidR="004D1935" w:rsidRDefault="004D1935" w:rsidP="00E24DC9">
            <w:pPr>
              <w:jc w:val="center"/>
              <w:rPr>
                <w:rFonts w:ascii="Calibri" w:hAnsi="Calibri"/>
                <w:color w:val="000000" w:themeColor="text1"/>
                <w:sz w:val="18"/>
                <w:szCs w:val="18"/>
              </w:rPr>
            </w:pPr>
          </w:p>
          <w:p w14:paraId="64034EFE" w14:textId="77777777" w:rsidR="004D1935" w:rsidRPr="005A5E3A" w:rsidRDefault="004D1935" w:rsidP="00E24DC9">
            <w:pPr>
              <w:jc w:val="center"/>
              <w:rPr>
                <w:color w:val="000000" w:themeColor="text1"/>
              </w:rPr>
            </w:pPr>
          </w:p>
        </w:tc>
        <w:tc>
          <w:tcPr>
            <w:tcW w:w="1373" w:type="dxa"/>
            <w:vMerge/>
            <w:vAlign w:val="center"/>
          </w:tcPr>
          <w:p w14:paraId="6DFA61E7" w14:textId="77777777" w:rsidR="004D1935" w:rsidRPr="005A5E3A" w:rsidRDefault="004D1935" w:rsidP="00E24DC9">
            <w:pPr>
              <w:jc w:val="center"/>
              <w:rPr>
                <w:color w:val="000000" w:themeColor="text1"/>
              </w:rPr>
            </w:pPr>
          </w:p>
        </w:tc>
        <w:tc>
          <w:tcPr>
            <w:tcW w:w="4076" w:type="dxa"/>
            <w:vMerge/>
            <w:vAlign w:val="center"/>
          </w:tcPr>
          <w:p w14:paraId="398ACFE2" w14:textId="77777777" w:rsidR="004D1935" w:rsidRPr="005A5E3A" w:rsidRDefault="004D1935" w:rsidP="00E24DC9">
            <w:pPr>
              <w:jc w:val="center"/>
              <w:rPr>
                <w:color w:val="000000" w:themeColor="text1"/>
              </w:rPr>
            </w:pPr>
          </w:p>
        </w:tc>
        <w:tc>
          <w:tcPr>
            <w:tcW w:w="5068" w:type="dxa"/>
            <w:vMerge/>
            <w:vAlign w:val="center"/>
          </w:tcPr>
          <w:p w14:paraId="1D55D969" w14:textId="77777777" w:rsidR="004D1935" w:rsidRPr="005A5E3A" w:rsidRDefault="004D1935" w:rsidP="00E24DC9">
            <w:pPr>
              <w:jc w:val="center"/>
              <w:rPr>
                <w:color w:val="000000" w:themeColor="text1"/>
              </w:rPr>
            </w:pPr>
          </w:p>
        </w:tc>
      </w:tr>
      <w:tr w:rsidR="004D1935" w:rsidRPr="005A5E3A" w14:paraId="773BB053" w14:textId="77777777" w:rsidTr="00E24DC9">
        <w:tc>
          <w:tcPr>
            <w:tcW w:w="567" w:type="dxa"/>
            <w:vMerge/>
            <w:vAlign w:val="center"/>
          </w:tcPr>
          <w:p w14:paraId="7F3026AE" w14:textId="77777777" w:rsidR="004D1935" w:rsidRPr="005A5E3A" w:rsidRDefault="004D1935" w:rsidP="00E24DC9">
            <w:pPr>
              <w:jc w:val="center"/>
              <w:rPr>
                <w:color w:val="000000" w:themeColor="text1"/>
              </w:rPr>
            </w:pPr>
          </w:p>
        </w:tc>
        <w:tc>
          <w:tcPr>
            <w:tcW w:w="1093" w:type="dxa"/>
            <w:tcBorders>
              <w:top w:val="nil"/>
              <w:bottom w:val="nil"/>
            </w:tcBorders>
            <w:vAlign w:val="center"/>
          </w:tcPr>
          <w:p w14:paraId="7548CADC" w14:textId="77777777" w:rsidR="004D1935" w:rsidRPr="005A5E3A" w:rsidRDefault="004D1935" w:rsidP="00E24DC9">
            <w:pPr>
              <w:jc w:val="center"/>
              <w:rPr>
                <w:rFonts w:ascii="Calibri" w:hAnsi="Calibri" w:cs="Calibri"/>
                <w:color w:val="000000" w:themeColor="text1"/>
                <w:sz w:val="18"/>
                <w:szCs w:val="18"/>
              </w:rPr>
            </w:pPr>
            <w:r w:rsidRPr="005A5E3A">
              <w:rPr>
                <w:rFonts w:ascii="Calibri" w:hAnsi="Calibri" w:cs="Calibri"/>
                <w:color w:val="000000" w:themeColor="text1"/>
                <w:sz w:val="18"/>
                <w:szCs w:val="18"/>
              </w:rPr>
              <w:t>342.1972</w:t>
            </w:r>
          </w:p>
        </w:tc>
        <w:tc>
          <w:tcPr>
            <w:tcW w:w="2991" w:type="dxa"/>
            <w:tcBorders>
              <w:top w:val="nil"/>
              <w:bottom w:val="nil"/>
            </w:tcBorders>
            <w:vAlign w:val="center"/>
          </w:tcPr>
          <w:p w14:paraId="049B43A6" w14:textId="77777777" w:rsidR="004D1935" w:rsidRPr="005A5E3A" w:rsidRDefault="004D1935" w:rsidP="00E24DC9">
            <w:pPr>
              <w:jc w:val="center"/>
              <w:rPr>
                <w:color w:val="000000" w:themeColor="text1"/>
              </w:rPr>
            </w:pPr>
            <w:r w:rsidRPr="005A5E3A">
              <w:rPr>
                <w:rFonts w:ascii="Calibri" w:hAnsi="Calibri" w:cs="Calibri"/>
                <w:color w:val="000000" w:themeColor="text1"/>
                <w:sz w:val="18"/>
                <w:szCs w:val="18"/>
              </w:rPr>
              <w:t>coniferin</w:t>
            </w:r>
          </w:p>
        </w:tc>
        <w:tc>
          <w:tcPr>
            <w:tcW w:w="1373" w:type="dxa"/>
            <w:vMerge/>
            <w:vAlign w:val="center"/>
          </w:tcPr>
          <w:p w14:paraId="537EF62B" w14:textId="77777777" w:rsidR="004D1935" w:rsidRPr="005A5E3A" w:rsidRDefault="004D1935" w:rsidP="00E24DC9">
            <w:pPr>
              <w:jc w:val="center"/>
              <w:rPr>
                <w:color w:val="000000" w:themeColor="text1"/>
              </w:rPr>
            </w:pPr>
          </w:p>
        </w:tc>
        <w:tc>
          <w:tcPr>
            <w:tcW w:w="4076" w:type="dxa"/>
            <w:vMerge/>
            <w:vAlign w:val="center"/>
          </w:tcPr>
          <w:p w14:paraId="48B6B8AC" w14:textId="77777777" w:rsidR="004D1935" w:rsidRPr="005A5E3A" w:rsidRDefault="004D1935" w:rsidP="00E24DC9">
            <w:pPr>
              <w:jc w:val="center"/>
              <w:rPr>
                <w:color w:val="000000" w:themeColor="text1"/>
              </w:rPr>
            </w:pPr>
          </w:p>
        </w:tc>
        <w:tc>
          <w:tcPr>
            <w:tcW w:w="5068" w:type="dxa"/>
            <w:vMerge/>
            <w:vAlign w:val="center"/>
          </w:tcPr>
          <w:p w14:paraId="24D76B4A" w14:textId="77777777" w:rsidR="004D1935" w:rsidRPr="005A5E3A" w:rsidRDefault="004D1935" w:rsidP="00E24DC9">
            <w:pPr>
              <w:jc w:val="center"/>
              <w:rPr>
                <w:color w:val="000000" w:themeColor="text1"/>
              </w:rPr>
            </w:pPr>
          </w:p>
        </w:tc>
      </w:tr>
      <w:tr w:rsidR="004D1935" w:rsidRPr="005A5E3A" w14:paraId="02308AB6" w14:textId="77777777" w:rsidTr="00E24DC9">
        <w:tc>
          <w:tcPr>
            <w:tcW w:w="567" w:type="dxa"/>
            <w:vMerge/>
            <w:vAlign w:val="center"/>
          </w:tcPr>
          <w:p w14:paraId="47E85411" w14:textId="77777777" w:rsidR="004D1935" w:rsidRPr="005A5E3A" w:rsidRDefault="004D1935" w:rsidP="00E24DC9">
            <w:pPr>
              <w:jc w:val="center"/>
              <w:rPr>
                <w:color w:val="000000" w:themeColor="text1"/>
              </w:rPr>
            </w:pPr>
          </w:p>
        </w:tc>
        <w:tc>
          <w:tcPr>
            <w:tcW w:w="1093" w:type="dxa"/>
            <w:tcBorders>
              <w:top w:val="nil"/>
            </w:tcBorders>
            <w:vAlign w:val="center"/>
          </w:tcPr>
          <w:p w14:paraId="36EDEA04" w14:textId="77777777" w:rsidR="004D1935" w:rsidRPr="005A5E3A" w:rsidRDefault="004D1935" w:rsidP="00E24DC9">
            <w:pPr>
              <w:jc w:val="center"/>
              <w:rPr>
                <w:rFonts w:ascii="Calibri" w:hAnsi="Calibri" w:cs="Calibri"/>
                <w:color w:val="000000" w:themeColor="text1"/>
                <w:sz w:val="18"/>
                <w:szCs w:val="18"/>
              </w:rPr>
            </w:pPr>
          </w:p>
        </w:tc>
        <w:tc>
          <w:tcPr>
            <w:tcW w:w="2991" w:type="dxa"/>
            <w:tcBorders>
              <w:top w:val="nil"/>
            </w:tcBorders>
            <w:vAlign w:val="center"/>
          </w:tcPr>
          <w:p w14:paraId="60376D20" w14:textId="77777777" w:rsidR="004D1935" w:rsidRPr="005A5E3A" w:rsidRDefault="004D1935" w:rsidP="00E24DC9">
            <w:pPr>
              <w:jc w:val="center"/>
              <w:rPr>
                <w:rFonts w:ascii="Calibri" w:hAnsi="Calibri" w:cs="Calibri"/>
                <w:color w:val="000000" w:themeColor="text1"/>
                <w:sz w:val="18"/>
                <w:szCs w:val="18"/>
              </w:rPr>
            </w:pPr>
            <w:r w:rsidRPr="005A5E3A">
              <w:rPr>
                <w:rFonts w:ascii="Calibri" w:hAnsi="Calibri" w:cs="Calibri"/>
                <w:color w:val="000000" w:themeColor="text1"/>
                <w:sz w:val="18"/>
                <w:szCs w:val="18"/>
              </w:rPr>
              <w:t>pavine</w:t>
            </w:r>
          </w:p>
        </w:tc>
        <w:tc>
          <w:tcPr>
            <w:tcW w:w="1373" w:type="dxa"/>
            <w:vMerge/>
            <w:vAlign w:val="center"/>
          </w:tcPr>
          <w:p w14:paraId="49623E04" w14:textId="77777777" w:rsidR="004D1935" w:rsidRPr="005A5E3A" w:rsidRDefault="004D1935" w:rsidP="00E24DC9">
            <w:pPr>
              <w:jc w:val="center"/>
              <w:rPr>
                <w:rFonts w:ascii="Calibri" w:hAnsi="Calibri" w:cs="Calibri"/>
                <w:color w:val="000000" w:themeColor="text1"/>
                <w:sz w:val="18"/>
                <w:szCs w:val="18"/>
              </w:rPr>
            </w:pPr>
          </w:p>
        </w:tc>
        <w:tc>
          <w:tcPr>
            <w:tcW w:w="4076" w:type="dxa"/>
            <w:vMerge/>
            <w:vAlign w:val="center"/>
          </w:tcPr>
          <w:p w14:paraId="58F1EDAD" w14:textId="77777777" w:rsidR="004D1935" w:rsidRPr="005A5E3A" w:rsidRDefault="004D1935" w:rsidP="00E24DC9">
            <w:pPr>
              <w:jc w:val="center"/>
              <w:rPr>
                <w:rFonts w:ascii="Calibri" w:hAnsi="Calibri" w:cs="Calibri"/>
                <w:color w:val="000000" w:themeColor="text1"/>
                <w:sz w:val="18"/>
                <w:szCs w:val="18"/>
              </w:rPr>
            </w:pPr>
          </w:p>
        </w:tc>
        <w:tc>
          <w:tcPr>
            <w:tcW w:w="5068" w:type="dxa"/>
            <w:vMerge/>
            <w:vAlign w:val="center"/>
          </w:tcPr>
          <w:p w14:paraId="5437F7F6" w14:textId="77777777" w:rsidR="004D1935" w:rsidRPr="005A5E3A" w:rsidRDefault="004D1935" w:rsidP="00E24DC9">
            <w:pPr>
              <w:jc w:val="center"/>
              <w:rPr>
                <w:rFonts w:ascii="Calibri" w:hAnsi="Calibri" w:cs="Calibri"/>
                <w:color w:val="000000" w:themeColor="text1"/>
                <w:sz w:val="16"/>
                <w:szCs w:val="16"/>
              </w:rPr>
            </w:pPr>
          </w:p>
        </w:tc>
      </w:tr>
    </w:tbl>
    <w:p w14:paraId="1B4622A4" w14:textId="77777777" w:rsidR="004D1935" w:rsidRPr="005030B3" w:rsidRDefault="004D1935" w:rsidP="004D1935"/>
    <w:p w14:paraId="183779AA" w14:textId="23431B7E" w:rsidR="000F2668" w:rsidRDefault="000F2668" w:rsidP="005A514B">
      <w:pPr>
        <w:pStyle w:val="mythesis"/>
        <w:ind w:firstLine="0"/>
      </w:pPr>
    </w:p>
    <w:p w14:paraId="53C18C82" w14:textId="433844D9" w:rsidR="00284587" w:rsidRDefault="00284587">
      <w:pPr>
        <w:sectPr w:rsidR="00284587" w:rsidSect="000F2668">
          <w:pgSz w:w="15840" w:h="12240" w:orient="landscape"/>
          <w:pgMar w:top="1440" w:right="1440" w:bottom="1440" w:left="1440" w:header="708" w:footer="708" w:gutter="0"/>
          <w:cols w:space="708"/>
          <w:docGrid w:linePitch="360"/>
        </w:sectPr>
      </w:pPr>
    </w:p>
    <w:p w14:paraId="72E7AEBD" w14:textId="2ED71DF6" w:rsidR="000F2668" w:rsidRDefault="000F2668" w:rsidP="005A514B">
      <w:pPr>
        <w:pStyle w:val="mythesis"/>
        <w:ind w:firstLine="0"/>
        <w:sectPr w:rsidR="000F2668" w:rsidSect="000F2668">
          <w:pgSz w:w="15840" w:h="12240" w:orient="landscape"/>
          <w:pgMar w:top="1440" w:right="1440" w:bottom="1440" w:left="1440" w:header="708" w:footer="708" w:gutter="0"/>
          <w:cols w:space="708"/>
          <w:docGrid w:linePitch="360"/>
        </w:sectPr>
      </w:pPr>
    </w:p>
    <w:p w14:paraId="2A6B1A75" w14:textId="446BB410" w:rsidR="00632DEB" w:rsidRDefault="00632DEB" w:rsidP="005A514B">
      <w:pPr>
        <w:pStyle w:val="mythesis"/>
        <w:ind w:firstLine="0"/>
        <w:sectPr w:rsidR="00632DEB">
          <w:pgSz w:w="12240" w:h="15840"/>
          <w:pgMar w:top="1440" w:right="1440" w:bottom="1440" w:left="1440" w:header="708" w:footer="708" w:gutter="0"/>
          <w:cols w:space="708"/>
          <w:docGrid w:linePitch="360"/>
        </w:sectPr>
      </w:pPr>
    </w:p>
    <w:p w14:paraId="7F761C70" w14:textId="3580D4A9" w:rsidR="00612096" w:rsidRDefault="00612096" w:rsidP="00FC0809"/>
    <w:sectPr w:rsidR="00612096">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730F17" w14:textId="77777777" w:rsidR="00B03A78" w:rsidRDefault="00B03A78">
      <w:r>
        <w:separator/>
      </w:r>
    </w:p>
  </w:endnote>
  <w:endnote w:type="continuationSeparator" w:id="0">
    <w:p w14:paraId="730DDA34" w14:textId="77777777" w:rsidR="00B03A78" w:rsidRDefault="00B03A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TUOS Blake">
    <w:altName w:val="Calibri"/>
    <w:panose1 w:val="020B0604020202020204"/>
    <w:charset w:val="00"/>
    <w:family w:val="swiss"/>
    <w:pitch w:val="variable"/>
    <w:sig w:usb0="8000002F" w:usb1="4000004A" w:usb2="00000000" w:usb3="00000000" w:csb0="00000011" w:csb1="00000000"/>
  </w:font>
  <w:font w:name="MS Mincho">
    <w:altName w:val="ＭＳ 明朝"/>
    <w:panose1 w:val="02020609040205080304"/>
    <w:charset w:val="80"/>
    <w:family w:val="modern"/>
    <w:pitch w:val="fixed"/>
    <w:sig w:usb0="E00002FF" w:usb1="6AC7FDFB" w:usb2="08000012" w:usb3="00000000" w:csb0="0002009F" w:csb1="00000000"/>
  </w:font>
  <w:font w:name="Songti SC">
    <w:panose1 w:val="02010600040101010101"/>
    <w:charset w:val="86"/>
    <w:family w:val="auto"/>
    <w:pitch w:val="variable"/>
    <w:sig w:usb0="00000287" w:usb1="080F0000" w:usb2="00000010" w:usb3="00000000" w:csb0="0004009F" w:csb1="00000000"/>
  </w:font>
  <w:font w:name="Verdana">
    <w:panose1 w:val="020B0604030504040204"/>
    <w:charset w:val="00"/>
    <w:family w:val="swiss"/>
    <w:pitch w:val="variable"/>
    <w:sig w:usb0="A10006FF" w:usb1="4000205B" w:usb2="00000010" w:usb3="00000000" w:csb0="0000019F" w:csb1="00000000"/>
  </w:font>
  <w:font w:name="Calibri (Body)">
    <w:altName w:val="Calibri"/>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HeaderChar"/>
      </w:rPr>
      <w:id w:val="-804396827"/>
      <w:docPartObj>
        <w:docPartGallery w:val="Page Numbers (Bottom of Page)"/>
        <w:docPartUnique/>
      </w:docPartObj>
    </w:sdtPr>
    <w:sdtContent>
      <w:p w14:paraId="0F2BB94D" w14:textId="77777777" w:rsidR="00341774" w:rsidRDefault="0019038E" w:rsidP="00B87605">
        <w:pPr>
          <w:framePr w:wrap="none" w:vAnchor="text" w:hAnchor="margin" w:xAlign="right" w:y="1"/>
          <w:rPr>
            <w:rStyle w:val="HeaderChar"/>
          </w:rPr>
        </w:pPr>
        <w:r>
          <w:rPr>
            <w:rStyle w:val="HeaderChar"/>
          </w:rPr>
          <w:fldChar w:fldCharType="begin"/>
        </w:r>
        <w:r>
          <w:rPr>
            <w:rStyle w:val="HeaderChar"/>
          </w:rPr>
          <w:instrText xml:space="preserve"> PAGE </w:instrText>
        </w:r>
        <w:r>
          <w:rPr>
            <w:rStyle w:val="HeaderChar"/>
          </w:rPr>
          <w:fldChar w:fldCharType="end"/>
        </w:r>
      </w:p>
    </w:sdtContent>
  </w:sdt>
  <w:p w14:paraId="1B708A21" w14:textId="77777777" w:rsidR="00341774" w:rsidRDefault="00000000" w:rsidP="00341774">
    <w:pP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46742362"/>
      <w:docPartObj>
        <w:docPartGallery w:val="Page Numbers (Bottom of Page)"/>
        <w:docPartUnique/>
      </w:docPartObj>
    </w:sdtPr>
    <w:sdtContent>
      <w:p w14:paraId="2755059E" w14:textId="77777777" w:rsidR="00341774" w:rsidRDefault="0019038E" w:rsidP="00341774">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114</w:t>
        </w:r>
        <w:r>
          <w:rPr>
            <w:rStyle w:val="PageNumber"/>
          </w:rPr>
          <w:fldChar w:fldCharType="end"/>
        </w:r>
      </w:p>
    </w:sdtContent>
  </w:sdt>
  <w:p w14:paraId="03C54FED" w14:textId="77777777" w:rsidR="00341774" w:rsidRDefault="00000000" w:rsidP="00341774">
    <w:pP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2F4B70" w14:textId="77777777" w:rsidR="00B03A78" w:rsidRDefault="00B03A78">
      <w:r>
        <w:separator/>
      </w:r>
    </w:p>
  </w:footnote>
  <w:footnote w:type="continuationSeparator" w:id="0">
    <w:p w14:paraId="40A86742" w14:textId="77777777" w:rsidR="00B03A78" w:rsidRDefault="00B03A7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362B9C"/>
    <w:multiLevelType w:val="multilevel"/>
    <w:tmpl w:val="9D066FC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color w:val="000000" w:themeColor="text1"/>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148D07AE"/>
    <w:multiLevelType w:val="multilevel"/>
    <w:tmpl w:val="B4709DB2"/>
    <w:lvl w:ilvl="0">
      <w:start w:val="1"/>
      <w:numFmt w:val="decimal"/>
      <w:lvlText w:val="%1"/>
      <w:lvlJc w:val="left"/>
      <w:pPr>
        <w:ind w:left="480" w:hanging="480"/>
      </w:pPr>
      <w:rPr>
        <w:rFonts w:asciiTheme="minorHAnsi" w:hAnsiTheme="minorHAnsi" w:cstheme="minorBidi" w:hint="default"/>
        <w:b w:val="0"/>
        <w:i/>
        <w:sz w:val="24"/>
      </w:rPr>
    </w:lvl>
    <w:lvl w:ilvl="1">
      <w:start w:val="1"/>
      <w:numFmt w:val="decimal"/>
      <w:lvlText w:val="%1.%2"/>
      <w:lvlJc w:val="left"/>
      <w:pPr>
        <w:ind w:left="720" w:hanging="720"/>
      </w:pPr>
      <w:rPr>
        <w:rFonts w:asciiTheme="minorHAnsi" w:hAnsiTheme="minorHAnsi" w:cstheme="minorBidi" w:hint="default"/>
        <w:b w:val="0"/>
        <w:i/>
        <w:sz w:val="24"/>
      </w:rPr>
    </w:lvl>
    <w:lvl w:ilvl="2">
      <w:start w:val="2"/>
      <w:numFmt w:val="decimal"/>
      <w:lvlText w:val="%1.%2.%3"/>
      <w:lvlJc w:val="left"/>
      <w:pPr>
        <w:ind w:left="720" w:hanging="720"/>
      </w:pPr>
      <w:rPr>
        <w:rFonts w:asciiTheme="minorHAnsi" w:hAnsiTheme="minorHAnsi" w:cstheme="minorBidi" w:hint="default"/>
        <w:b w:val="0"/>
        <w:i/>
        <w:sz w:val="24"/>
      </w:rPr>
    </w:lvl>
    <w:lvl w:ilvl="3">
      <w:start w:val="1"/>
      <w:numFmt w:val="decimal"/>
      <w:lvlText w:val="%1.%2.%3.%4"/>
      <w:lvlJc w:val="left"/>
      <w:pPr>
        <w:ind w:left="1080" w:hanging="1080"/>
      </w:pPr>
      <w:rPr>
        <w:rFonts w:asciiTheme="minorHAnsi" w:hAnsiTheme="minorHAnsi" w:cstheme="minorBidi" w:hint="default"/>
        <w:b w:val="0"/>
        <w:i/>
        <w:sz w:val="24"/>
      </w:rPr>
    </w:lvl>
    <w:lvl w:ilvl="4">
      <w:start w:val="1"/>
      <w:numFmt w:val="decimal"/>
      <w:lvlText w:val="%1.%2.%3.%4.%5"/>
      <w:lvlJc w:val="left"/>
      <w:pPr>
        <w:ind w:left="1440" w:hanging="1440"/>
      </w:pPr>
      <w:rPr>
        <w:rFonts w:asciiTheme="minorHAnsi" w:hAnsiTheme="minorHAnsi" w:cstheme="minorBidi" w:hint="default"/>
        <w:b w:val="0"/>
        <w:i/>
        <w:sz w:val="24"/>
      </w:rPr>
    </w:lvl>
    <w:lvl w:ilvl="5">
      <w:start w:val="1"/>
      <w:numFmt w:val="decimal"/>
      <w:lvlText w:val="%1.%2.%3.%4.%5.%6"/>
      <w:lvlJc w:val="left"/>
      <w:pPr>
        <w:ind w:left="1440" w:hanging="1440"/>
      </w:pPr>
      <w:rPr>
        <w:rFonts w:asciiTheme="minorHAnsi" w:hAnsiTheme="minorHAnsi" w:cstheme="minorBidi" w:hint="default"/>
        <w:b w:val="0"/>
        <w:i/>
        <w:sz w:val="24"/>
      </w:rPr>
    </w:lvl>
    <w:lvl w:ilvl="6">
      <w:start w:val="1"/>
      <w:numFmt w:val="decimal"/>
      <w:lvlText w:val="%1.%2.%3.%4.%5.%6.%7"/>
      <w:lvlJc w:val="left"/>
      <w:pPr>
        <w:ind w:left="1800" w:hanging="1800"/>
      </w:pPr>
      <w:rPr>
        <w:rFonts w:asciiTheme="minorHAnsi" w:hAnsiTheme="minorHAnsi" w:cstheme="minorBidi" w:hint="default"/>
        <w:b w:val="0"/>
        <w:i/>
        <w:sz w:val="24"/>
      </w:rPr>
    </w:lvl>
    <w:lvl w:ilvl="7">
      <w:start w:val="1"/>
      <w:numFmt w:val="decimal"/>
      <w:lvlText w:val="%1.%2.%3.%4.%5.%6.%7.%8"/>
      <w:lvlJc w:val="left"/>
      <w:pPr>
        <w:ind w:left="2160" w:hanging="2160"/>
      </w:pPr>
      <w:rPr>
        <w:rFonts w:asciiTheme="minorHAnsi" w:hAnsiTheme="minorHAnsi" w:cstheme="minorBidi" w:hint="default"/>
        <w:b w:val="0"/>
        <w:i/>
        <w:sz w:val="24"/>
      </w:rPr>
    </w:lvl>
    <w:lvl w:ilvl="8">
      <w:start w:val="1"/>
      <w:numFmt w:val="decimal"/>
      <w:lvlText w:val="%1.%2.%3.%4.%5.%6.%7.%8.%9"/>
      <w:lvlJc w:val="left"/>
      <w:pPr>
        <w:ind w:left="2160" w:hanging="2160"/>
      </w:pPr>
      <w:rPr>
        <w:rFonts w:asciiTheme="minorHAnsi" w:hAnsiTheme="minorHAnsi" w:cstheme="minorBidi" w:hint="default"/>
        <w:b w:val="0"/>
        <w:i/>
        <w:sz w:val="24"/>
      </w:rPr>
    </w:lvl>
  </w:abstractNum>
  <w:abstractNum w:abstractNumId="2" w15:restartNumberingAfterBreak="0">
    <w:nsid w:val="166253B4"/>
    <w:multiLevelType w:val="multilevel"/>
    <w:tmpl w:val="D92C11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DA463E3"/>
    <w:multiLevelType w:val="multilevel"/>
    <w:tmpl w:val="9156F2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C5561FA"/>
    <w:multiLevelType w:val="multilevel"/>
    <w:tmpl w:val="E41C90B6"/>
    <w:lvl w:ilvl="0">
      <w:start w:val="1"/>
      <w:numFmt w:val="decimal"/>
      <w:pStyle w:val="Heading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34153FDD"/>
    <w:multiLevelType w:val="multilevel"/>
    <w:tmpl w:val="E92A9816"/>
    <w:lvl w:ilvl="0">
      <w:start w:val="1"/>
      <w:numFmt w:val="decimal"/>
      <w:lvlText w:val="Chapter %1 :"/>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3AE93A28"/>
    <w:multiLevelType w:val="multilevel"/>
    <w:tmpl w:val="C23C321E"/>
    <w:lvl w:ilvl="0">
      <w:start w:val="1"/>
      <w:numFmt w:val="decimal"/>
      <w:lvlText w:val="%1"/>
      <w:lvlJc w:val="left"/>
      <w:pPr>
        <w:ind w:left="500" w:hanging="500"/>
      </w:pPr>
      <w:rPr>
        <w:rFonts w:hint="default"/>
      </w:rPr>
    </w:lvl>
    <w:lvl w:ilvl="1">
      <w:start w:val="11"/>
      <w:numFmt w:val="decimal"/>
      <w:lvlText w:val="%1.%2"/>
      <w:lvlJc w:val="left"/>
      <w:pPr>
        <w:ind w:left="1220" w:hanging="5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7" w15:restartNumberingAfterBreak="0">
    <w:nsid w:val="4788634F"/>
    <w:multiLevelType w:val="multilevel"/>
    <w:tmpl w:val="2280FD6E"/>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54E107F2"/>
    <w:multiLevelType w:val="multilevel"/>
    <w:tmpl w:val="DB20FC30"/>
    <w:lvl w:ilvl="0">
      <w:start w:val="1"/>
      <w:numFmt w:val="decimal"/>
      <w:lvlText w:val="%1"/>
      <w:lvlJc w:val="left"/>
      <w:pPr>
        <w:ind w:left="700" w:hanging="700"/>
      </w:pPr>
      <w:rPr>
        <w:rFonts w:hint="default"/>
      </w:rPr>
    </w:lvl>
    <w:lvl w:ilvl="1">
      <w:start w:val="1"/>
      <w:numFmt w:val="decimal"/>
      <w:lvlText w:val="%1.%2"/>
      <w:lvlJc w:val="left"/>
      <w:pPr>
        <w:ind w:left="700" w:hanging="700"/>
      </w:pPr>
      <w:rPr>
        <w:rFonts w:hint="default"/>
      </w:rPr>
    </w:lvl>
    <w:lvl w:ilvl="2">
      <w:start w:val="1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5DA540E6"/>
    <w:multiLevelType w:val="hybridMultilevel"/>
    <w:tmpl w:val="2CB8E64C"/>
    <w:lvl w:ilvl="0" w:tplc="2444967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6B173198"/>
    <w:multiLevelType w:val="hybridMultilevel"/>
    <w:tmpl w:val="7D267EE2"/>
    <w:lvl w:ilvl="0" w:tplc="F8289F0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13255AD"/>
    <w:multiLevelType w:val="multilevel"/>
    <w:tmpl w:val="48A445C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71D37108"/>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726D0526"/>
    <w:multiLevelType w:val="multilevel"/>
    <w:tmpl w:val="6BBC9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32B0FEB"/>
    <w:multiLevelType w:val="multilevel"/>
    <w:tmpl w:val="9E187A30"/>
    <w:lvl w:ilvl="0">
      <w:start w:val="1"/>
      <w:numFmt w:val="decimal"/>
      <w:lvlText w:val="%1"/>
      <w:lvlJc w:val="left"/>
      <w:pPr>
        <w:ind w:left="500" w:hanging="500"/>
      </w:pPr>
      <w:rPr>
        <w:rFonts w:hint="default"/>
      </w:rPr>
    </w:lvl>
    <w:lvl w:ilvl="1">
      <w:start w:val="12"/>
      <w:numFmt w:val="decimal"/>
      <w:lvlText w:val="%1.%2"/>
      <w:lvlJc w:val="left"/>
      <w:pPr>
        <w:ind w:left="500" w:hanging="5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16cid:durableId="357241148">
    <w:abstractNumId w:val="5"/>
  </w:num>
  <w:num w:numId="2" w16cid:durableId="192229341">
    <w:abstractNumId w:val="4"/>
  </w:num>
  <w:num w:numId="3" w16cid:durableId="351492915">
    <w:abstractNumId w:val="3"/>
  </w:num>
  <w:num w:numId="4" w16cid:durableId="915939676">
    <w:abstractNumId w:val="9"/>
  </w:num>
  <w:num w:numId="5" w16cid:durableId="865755861">
    <w:abstractNumId w:val="2"/>
  </w:num>
  <w:num w:numId="6" w16cid:durableId="219905122">
    <w:abstractNumId w:val="13"/>
  </w:num>
  <w:num w:numId="7" w16cid:durableId="2106804921">
    <w:abstractNumId w:val="0"/>
  </w:num>
  <w:num w:numId="8" w16cid:durableId="1636522448">
    <w:abstractNumId w:val="10"/>
  </w:num>
  <w:num w:numId="9" w16cid:durableId="1928072771">
    <w:abstractNumId w:val="1"/>
  </w:num>
  <w:num w:numId="10" w16cid:durableId="174464355">
    <w:abstractNumId w:val="7"/>
  </w:num>
  <w:num w:numId="11" w16cid:durableId="1885093687">
    <w:abstractNumId w:val="8"/>
  </w:num>
  <w:num w:numId="12" w16cid:durableId="1843348472">
    <w:abstractNumId w:val="6"/>
  </w:num>
  <w:num w:numId="13" w16cid:durableId="1240138368">
    <w:abstractNumId w:val="14"/>
  </w:num>
  <w:num w:numId="14" w16cid:durableId="2123255518">
    <w:abstractNumId w:val="12"/>
  </w:num>
  <w:num w:numId="15" w16cid:durableId="1801417482">
    <w:abstractNumId w:val="1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mal tareif">
    <w15:presenceInfo w15:providerId="Windows Live" w15:userId="91ac3cbd9ae52a3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9"/>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038E"/>
    <w:rsid w:val="0000112A"/>
    <w:rsid w:val="0000380F"/>
    <w:rsid w:val="00005F59"/>
    <w:rsid w:val="000060DD"/>
    <w:rsid w:val="00013588"/>
    <w:rsid w:val="000155DC"/>
    <w:rsid w:val="00015B32"/>
    <w:rsid w:val="00023672"/>
    <w:rsid w:val="00027396"/>
    <w:rsid w:val="00034A67"/>
    <w:rsid w:val="00035B3F"/>
    <w:rsid w:val="00036A1E"/>
    <w:rsid w:val="0004005A"/>
    <w:rsid w:val="00042153"/>
    <w:rsid w:val="00042E94"/>
    <w:rsid w:val="000439CD"/>
    <w:rsid w:val="000473A9"/>
    <w:rsid w:val="00047920"/>
    <w:rsid w:val="00054417"/>
    <w:rsid w:val="00056217"/>
    <w:rsid w:val="0005639D"/>
    <w:rsid w:val="000621A2"/>
    <w:rsid w:val="0006280E"/>
    <w:rsid w:val="00070DDF"/>
    <w:rsid w:val="00074AE2"/>
    <w:rsid w:val="00074D33"/>
    <w:rsid w:val="00075573"/>
    <w:rsid w:val="000773A3"/>
    <w:rsid w:val="000877F1"/>
    <w:rsid w:val="00090F97"/>
    <w:rsid w:val="000921D6"/>
    <w:rsid w:val="00092FFE"/>
    <w:rsid w:val="00096C61"/>
    <w:rsid w:val="00096FFB"/>
    <w:rsid w:val="00097852"/>
    <w:rsid w:val="000A04BD"/>
    <w:rsid w:val="000A15F3"/>
    <w:rsid w:val="000A4258"/>
    <w:rsid w:val="000A4308"/>
    <w:rsid w:val="000A5D46"/>
    <w:rsid w:val="000A6E8D"/>
    <w:rsid w:val="000B22EC"/>
    <w:rsid w:val="000B49F9"/>
    <w:rsid w:val="000B5472"/>
    <w:rsid w:val="000B5521"/>
    <w:rsid w:val="000B575F"/>
    <w:rsid w:val="000B6FC9"/>
    <w:rsid w:val="000C01C6"/>
    <w:rsid w:val="000C2CCF"/>
    <w:rsid w:val="000C7436"/>
    <w:rsid w:val="000D1B19"/>
    <w:rsid w:val="000E1FC0"/>
    <w:rsid w:val="000E3D28"/>
    <w:rsid w:val="000E46A2"/>
    <w:rsid w:val="000F18FE"/>
    <w:rsid w:val="000F2668"/>
    <w:rsid w:val="000F2703"/>
    <w:rsid w:val="000F32B8"/>
    <w:rsid w:val="000F6F7F"/>
    <w:rsid w:val="00100F81"/>
    <w:rsid w:val="00102A74"/>
    <w:rsid w:val="00105CA8"/>
    <w:rsid w:val="001060F8"/>
    <w:rsid w:val="00110323"/>
    <w:rsid w:val="00110D70"/>
    <w:rsid w:val="00120945"/>
    <w:rsid w:val="00124718"/>
    <w:rsid w:val="0013188C"/>
    <w:rsid w:val="001333F5"/>
    <w:rsid w:val="0013347D"/>
    <w:rsid w:val="001334E7"/>
    <w:rsid w:val="001343EC"/>
    <w:rsid w:val="00135254"/>
    <w:rsid w:val="0013732D"/>
    <w:rsid w:val="00137F4C"/>
    <w:rsid w:val="00150F90"/>
    <w:rsid w:val="00151E28"/>
    <w:rsid w:val="00153DDA"/>
    <w:rsid w:val="00156284"/>
    <w:rsid w:val="00157342"/>
    <w:rsid w:val="00157A6D"/>
    <w:rsid w:val="00163B2F"/>
    <w:rsid w:val="00166D26"/>
    <w:rsid w:val="00170EA4"/>
    <w:rsid w:val="00174781"/>
    <w:rsid w:val="00175BA1"/>
    <w:rsid w:val="00175C79"/>
    <w:rsid w:val="00176846"/>
    <w:rsid w:val="00183AE6"/>
    <w:rsid w:val="0019038E"/>
    <w:rsid w:val="0019139A"/>
    <w:rsid w:val="00194725"/>
    <w:rsid w:val="00196ABD"/>
    <w:rsid w:val="001A2507"/>
    <w:rsid w:val="001A66FC"/>
    <w:rsid w:val="001A7EEF"/>
    <w:rsid w:val="001B2AE1"/>
    <w:rsid w:val="001B4EA5"/>
    <w:rsid w:val="001B738C"/>
    <w:rsid w:val="001C3A60"/>
    <w:rsid w:val="001C5EE8"/>
    <w:rsid w:val="001C737C"/>
    <w:rsid w:val="001D1985"/>
    <w:rsid w:val="001D1F65"/>
    <w:rsid w:val="001D474A"/>
    <w:rsid w:val="001E34E4"/>
    <w:rsid w:val="001E5003"/>
    <w:rsid w:val="001E6247"/>
    <w:rsid w:val="001E651E"/>
    <w:rsid w:val="001E7A06"/>
    <w:rsid w:val="001F0B81"/>
    <w:rsid w:val="001F5679"/>
    <w:rsid w:val="001F6C12"/>
    <w:rsid w:val="00200138"/>
    <w:rsid w:val="00201185"/>
    <w:rsid w:val="00202FD7"/>
    <w:rsid w:val="00204E21"/>
    <w:rsid w:val="00204EEF"/>
    <w:rsid w:val="00206D38"/>
    <w:rsid w:val="00210E49"/>
    <w:rsid w:val="00213CA2"/>
    <w:rsid w:val="00217C8C"/>
    <w:rsid w:val="00221097"/>
    <w:rsid w:val="0022425F"/>
    <w:rsid w:val="002340A8"/>
    <w:rsid w:val="00237191"/>
    <w:rsid w:val="00237E8C"/>
    <w:rsid w:val="002413D0"/>
    <w:rsid w:val="00254023"/>
    <w:rsid w:val="00262153"/>
    <w:rsid w:val="00265E41"/>
    <w:rsid w:val="00270B55"/>
    <w:rsid w:val="002770C1"/>
    <w:rsid w:val="0028349F"/>
    <w:rsid w:val="002835BB"/>
    <w:rsid w:val="00283709"/>
    <w:rsid w:val="00284587"/>
    <w:rsid w:val="00284E15"/>
    <w:rsid w:val="00287F34"/>
    <w:rsid w:val="00294168"/>
    <w:rsid w:val="002A0867"/>
    <w:rsid w:val="002A0FDE"/>
    <w:rsid w:val="002A6E2C"/>
    <w:rsid w:val="002B393B"/>
    <w:rsid w:val="002B44E5"/>
    <w:rsid w:val="002B5113"/>
    <w:rsid w:val="002B616C"/>
    <w:rsid w:val="002B74A7"/>
    <w:rsid w:val="002C6697"/>
    <w:rsid w:val="002D3DFE"/>
    <w:rsid w:val="002D4402"/>
    <w:rsid w:val="002D650E"/>
    <w:rsid w:val="002E0FD7"/>
    <w:rsid w:val="002E28EA"/>
    <w:rsid w:val="002E3368"/>
    <w:rsid w:val="002E3A84"/>
    <w:rsid w:val="002E56DC"/>
    <w:rsid w:val="002F0D47"/>
    <w:rsid w:val="002F6C09"/>
    <w:rsid w:val="002F6E05"/>
    <w:rsid w:val="002F7737"/>
    <w:rsid w:val="00301564"/>
    <w:rsid w:val="00311FA1"/>
    <w:rsid w:val="00313012"/>
    <w:rsid w:val="00315106"/>
    <w:rsid w:val="0032039E"/>
    <w:rsid w:val="003205C6"/>
    <w:rsid w:val="0032755C"/>
    <w:rsid w:val="00330827"/>
    <w:rsid w:val="00333CFD"/>
    <w:rsid w:val="00341762"/>
    <w:rsid w:val="00344326"/>
    <w:rsid w:val="003504DB"/>
    <w:rsid w:val="00351CDE"/>
    <w:rsid w:val="003539DF"/>
    <w:rsid w:val="003546E4"/>
    <w:rsid w:val="00356FE7"/>
    <w:rsid w:val="003619C4"/>
    <w:rsid w:val="00367CB3"/>
    <w:rsid w:val="00372C12"/>
    <w:rsid w:val="0037482F"/>
    <w:rsid w:val="00380256"/>
    <w:rsid w:val="0038121F"/>
    <w:rsid w:val="00381F52"/>
    <w:rsid w:val="00385B46"/>
    <w:rsid w:val="00392871"/>
    <w:rsid w:val="00393B05"/>
    <w:rsid w:val="0039482C"/>
    <w:rsid w:val="003A2433"/>
    <w:rsid w:val="003B0CFA"/>
    <w:rsid w:val="003B2614"/>
    <w:rsid w:val="003B4968"/>
    <w:rsid w:val="003B5A85"/>
    <w:rsid w:val="003C4B6D"/>
    <w:rsid w:val="003C7C72"/>
    <w:rsid w:val="003D0AD7"/>
    <w:rsid w:val="003D2648"/>
    <w:rsid w:val="003E0DEA"/>
    <w:rsid w:val="003E50A9"/>
    <w:rsid w:val="003E75A3"/>
    <w:rsid w:val="003F1634"/>
    <w:rsid w:val="003F4CF2"/>
    <w:rsid w:val="003F65DC"/>
    <w:rsid w:val="003F692C"/>
    <w:rsid w:val="00401187"/>
    <w:rsid w:val="0040293E"/>
    <w:rsid w:val="00405C16"/>
    <w:rsid w:val="00407377"/>
    <w:rsid w:val="00411DBF"/>
    <w:rsid w:val="0041327E"/>
    <w:rsid w:val="0041340F"/>
    <w:rsid w:val="00413927"/>
    <w:rsid w:val="0041573F"/>
    <w:rsid w:val="00415D9F"/>
    <w:rsid w:val="00421C0F"/>
    <w:rsid w:val="00424920"/>
    <w:rsid w:val="00425354"/>
    <w:rsid w:val="00437D29"/>
    <w:rsid w:val="00437EAF"/>
    <w:rsid w:val="00441ECE"/>
    <w:rsid w:val="0044357A"/>
    <w:rsid w:val="0044589B"/>
    <w:rsid w:val="0044593A"/>
    <w:rsid w:val="00447D88"/>
    <w:rsid w:val="00450ECD"/>
    <w:rsid w:val="0045528C"/>
    <w:rsid w:val="004603FE"/>
    <w:rsid w:val="00462067"/>
    <w:rsid w:val="00462FAB"/>
    <w:rsid w:val="00464EAA"/>
    <w:rsid w:val="00473952"/>
    <w:rsid w:val="00474EC9"/>
    <w:rsid w:val="004762D3"/>
    <w:rsid w:val="00477EEA"/>
    <w:rsid w:val="00480AFD"/>
    <w:rsid w:val="0048198E"/>
    <w:rsid w:val="00483B62"/>
    <w:rsid w:val="004911A8"/>
    <w:rsid w:val="0049186E"/>
    <w:rsid w:val="00491972"/>
    <w:rsid w:val="00495D26"/>
    <w:rsid w:val="004966F0"/>
    <w:rsid w:val="00496A31"/>
    <w:rsid w:val="004A2F60"/>
    <w:rsid w:val="004A5471"/>
    <w:rsid w:val="004B31DC"/>
    <w:rsid w:val="004B71A8"/>
    <w:rsid w:val="004B7F80"/>
    <w:rsid w:val="004C006F"/>
    <w:rsid w:val="004C731F"/>
    <w:rsid w:val="004D1935"/>
    <w:rsid w:val="004D3F76"/>
    <w:rsid w:val="004D4828"/>
    <w:rsid w:val="004D4CBF"/>
    <w:rsid w:val="004D55E9"/>
    <w:rsid w:val="004D60D6"/>
    <w:rsid w:val="004E154C"/>
    <w:rsid w:val="004E40F8"/>
    <w:rsid w:val="004E5946"/>
    <w:rsid w:val="004E6433"/>
    <w:rsid w:val="004E7719"/>
    <w:rsid w:val="004E7885"/>
    <w:rsid w:val="004F202F"/>
    <w:rsid w:val="004F3B52"/>
    <w:rsid w:val="004F413A"/>
    <w:rsid w:val="004F77C9"/>
    <w:rsid w:val="00504B34"/>
    <w:rsid w:val="0050507E"/>
    <w:rsid w:val="00505095"/>
    <w:rsid w:val="00506DCB"/>
    <w:rsid w:val="00507010"/>
    <w:rsid w:val="005149C5"/>
    <w:rsid w:val="00515010"/>
    <w:rsid w:val="00516418"/>
    <w:rsid w:val="005222B8"/>
    <w:rsid w:val="00526C67"/>
    <w:rsid w:val="00527097"/>
    <w:rsid w:val="00527C05"/>
    <w:rsid w:val="005311CB"/>
    <w:rsid w:val="00531FFC"/>
    <w:rsid w:val="00533EBC"/>
    <w:rsid w:val="00534210"/>
    <w:rsid w:val="00541401"/>
    <w:rsid w:val="00544843"/>
    <w:rsid w:val="00545EBB"/>
    <w:rsid w:val="00546871"/>
    <w:rsid w:val="0054793D"/>
    <w:rsid w:val="00547C8E"/>
    <w:rsid w:val="00553352"/>
    <w:rsid w:val="0055453B"/>
    <w:rsid w:val="00554E4A"/>
    <w:rsid w:val="00562C37"/>
    <w:rsid w:val="005671E5"/>
    <w:rsid w:val="00567F79"/>
    <w:rsid w:val="00572668"/>
    <w:rsid w:val="0057397F"/>
    <w:rsid w:val="00575A0D"/>
    <w:rsid w:val="005829DE"/>
    <w:rsid w:val="00583712"/>
    <w:rsid w:val="00586448"/>
    <w:rsid w:val="00587AFB"/>
    <w:rsid w:val="00595EAE"/>
    <w:rsid w:val="005A03CA"/>
    <w:rsid w:val="005A0DF7"/>
    <w:rsid w:val="005A2423"/>
    <w:rsid w:val="005A514B"/>
    <w:rsid w:val="005A6B0E"/>
    <w:rsid w:val="005A7064"/>
    <w:rsid w:val="005B298E"/>
    <w:rsid w:val="005B3FBE"/>
    <w:rsid w:val="005B5B1D"/>
    <w:rsid w:val="005B5B4A"/>
    <w:rsid w:val="005B7115"/>
    <w:rsid w:val="005C1D4A"/>
    <w:rsid w:val="005C5A11"/>
    <w:rsid w:val="005C686F"/>
    <w:rsid w:val="005D2512"/>
    <w:rsid w:val="005D7102"/>
    <w:rsid w:val="005E00E7"/>
    <w:rsid w:val="005E2F2C"/>
    <w:rsid w:val="005E366B"/>
    <w:rsid w:val="005E3F83"/>
    <w:rsid w:val="005E480C"/>
    <w:rsid w:val="005E7EDF"/>
    <w:rsid w:val="006020B9"/>
    <w:rsid w:val="006026B9"/>
    <w:rsid w:val="0060500D"/>
    <w:rsid w:val="0060521C"/>
    <w:rsid w:val="00606F24"/>
    <w:rsid w:val="00607312"/>
    <w:rsid w:val="006117BC"/>
    <w:rsid w:val="00611954"/>
    <w:rsid w:val="00611DB7"/>
    <w:rsid w:val="00612096"/>
    <w:rsid w:val="00612E45"/>
    <w:rsid w:val="00613301"/>
    <w:rsid w:val="00617331"/>
    <w:rsid w:val="00622E9A"/>
    <w:rsid w:val="00631E5A"/>
    <w:rsid w:val="00632DEB"/>
    <w:rsid w:val="006346F6"/>
    <w:rsid w:val="00636C6C"/>
    <w:rsid w:val="006410E5"/>
    <w:rsid w:val="00650391"/>
    <w:rsid w:val="0065627F"/>
    <w:rsid w:val="00656482"/>
    <w:rsid w:val="0066008E"/>
    <w:rsid w:val="006610F6"/>
    <w:rsid w:val="00661D46"/>
    <w:rsid w:val="00662BF4"/>
    <w:rsid w:val="0066492C"/>
    <w:rsid w:val="00664D74"/>
    <w:rsid w:val="006708CF"/>
    <w:rsid w:val="006738E3"/>
    <w:rsid w:val="00680526"/>
    <w:rsid w:val="00682DA1"/>
    <w:rsid w:val="00686D0C"/>
    <w:rsid w:val="0069264D"/>
    <w:rsid w:val="006929CB"/>
    <w:rsid w:val="006971EA"/>
    <w:rsid w:val="006A65CF"/>
    <w:rsid w:val="006A69F1"/>
    <w:rsid w:val="006B00C3"/>
    <w:rsid w:val="006B17BD"/>
    <w:rsid w:val="006B273D"/>
    <w:rsid w:val="006B447E"/>
    <w:rsid w:val="006B7088"/>
    <w:rsid w:val="006C1C18"/>
    <w:rsid w:val="006C1C2E"/>
    <w:rsid w:val="006C5B68"/>
    <w:rsid w:val="006D0A81"/>
    <w:rsid w:val="006D111C"/>
    <w:rsid w:val="006D25E1"/>
    <w:rsid w:val="006D5128"/>
    <w:rsid w:val="006D6992"/>
    <w:rsid w:val="006D7E68"/>
    <w:rsid w:val="006E339B"/>
    <w:rsid w:val="006E35E4"/>
    <w:rsid w:val="006E65D7"/>
    <w:rsid w:val="006E7A98"/>
    <w:rsid w:val="006E7B32"/>
    <w:rsid w:val="006E7E9C"/>
    <w:rsid w:val="006F0E1B"/>
    <w:rsid w:val="006F2133"/>
    <w:rsid w:val="006F423C"/>
    <w:rsid w:val="006F4552"/>
    <w:rsid w:val="006F5DC5"/>
    <w:rsid w:val="006F7B20"/>
    <w:rsid w:val="0070188F"/>
    <w:rsid w:val="0070286F"/>
    <w:rsid w:val="00705907"/>
    <w:rsid w:val="007070B9"/>
    <w:rsid w:val="0072020D"/>
    <w:rsid w:val="00722B2B"/>
    <w:rsid w:val="00723BD3"/>
    <w:rsid w:val="007255AC"/>
    <w:rsid w:val="00725697"/>
    <w:rsid w:val="00726515"/>
    <w:rsid w:val="00731D34"/>
    <w:rsid w:val="00735706"/>
    <w:rsid w:val="00737DE7"/>
    <w:rsid w:val="00740C1B"/>
    <w:rsid w:val="0074168E"/>
    <w:rsid w:val="007426C7"/>
    <w:rsid w:val="00747480"/>
    <w:rsid w:val="007569DF"/>
    <w:rsid w:val="007574DA"/>
    <w:rsid w:val="0075770E"/>
    <w:rsid w:val="00764E0A"/>
    <w:rsid w:val="00773799"/>
    <w:rsid w:val="007776E7"/>
    <w:rsid w:val="0078156B"/>
    <w:rsid w:val="00794E9E"/>
    <w:rsid w:val="0079569E"/>
    <w:rsid w:val="007A1226"/>
    <w:rsid w:val="007A127D"/>
    <w:rsid w:val="007A1F87"/>
    <w:rsid w:val="007A5C0C"/>
    <w:rsid w:val="007A6576"/>
    <w:rsid w:val="007B0575"/>
    <w:rsid w:val="007B1C6D"/>
    <w:rsid w:val="007B5AB7"/>
    <w:rsid w:val="007B729F"/>
    <w:rsid w:val="007C0F14"/>
    <w:rsid w:val="007C18FF"/>
    <w:rsid w:val="007C1A71"/>
    <w:rsid w:val="007C1CAB"/>
    <w:rsid w:val="007C3C45"/>
    <w:rsid w:val="007C73CC"/>
    <w:rsid w:val="007D0E89"/>
    <w:rsid w:val="007D3D91"/>
    <w:rsid w:val="007D6978"/>
    <w:rsid w:val="007E620E"/>
    <w:rsid w:val="007F48F7"/>
    <w:rsid w:val="007F4BD8"/>
    <w:rsid w:val="007F6B09"/>
    <w:rsid w:val="008019FB"/>
    <w:rsid w:val="00805D61"/>
    <w:rsid w:val="00806C98"/>
    <w:rsid w:val="00812F84"/>
    <w:rsid w:val="00813270"/>
    <w:rsid w:val="00813874"/>
    <w:rsid w:val="008145A4"/>
    <w:rsid w:val="00820046"/>
    <w:rsid w:val="00820E1E"/>
    <w:rsid w:val="00821B39"/>
    <w:rsid w:val="00822850"/>
    <w:rsid w:val="00823DA3"/>
    <w:rsid w:val="00825504"/>
    <w:rsid w:val="0083053B"/>
    <w:rsid w:val="00830CA0"/>
    <w:rsid w:val="008322A4"/>
    <w:rsid w:val="00833340"/>
    <w:rsid w:val="0083562B"/>
    <w:rsid w:val="00835F72"/>
    <w:rsid w:val="008404A0"/>
    <w:rsid w:val="00842701"/>
    <w:rsid w:val="00843A38"/>
    <w:rsid w:val="00843EDC"/>
    <w:rsid w:val="008450CA"/>
    <w:rsid w:val="008451F0"/>
    <w:rsid w:val="00847B71"/>
    <w:rsid w:val="008529CA"/>
    <w:rsid w:val="00852DF3"/>
    <w:rsid w:val="00853ABB"/>
    <w:rsid w:val="00854091"/>
    <w:rsid w:val="00856E35"/>
    <w:rsid w:val="00857CEC"/>
    <w:rsid w:val="008630A0"/>
    <w:rsid w:val="008768A7"/>
    <w:rsid w:val="00877304"/>
    <w:rsid w:val="008804F8"/>
    <w:rsid w:val="00882C34"/>
    <w:rsid w:val="00884B7D"/>
    <w:rsid w:val="008859E1"/>
    <w:rsid w:val="00890A7C"/>
    <w:rsid w:val="0089531B"/>
    <w:rsid w:val="008959E3"/>
    <w:rsid w:val="00895FCB"/>
    <w:rsid w:val="008A18E3"/>
    <w:rsid w:val="008A65C7"/>
    <w:rsid w:val="008A6AA6"/>
    <w:rsid w:val="008B1296"/>
    <w:rsid w:val="008B2D12"/>
    <w:rsid w:val="008B4931"/>
    <w:rsid w:val="008B6B62"/>
    <w:rsid w:val="008C1CC3"/>
    <w:rsid w:val="008C2FFB"/>
    <w:rsid w:val="008C31D8"/>
    <w:rsid w:val="008C41E2"/>
    <w:rsid w:val="008E2170"/>
    <w:rsid w:val="008E299E"/>
    <w:rsid w:val="008E48FD"/>
    <w:rsid w:val="008E5A2F"/>
    <w:rsid w:val="008F2F55"/>
    <w:rsid w:val="008F6EF8"/>
    <w:rsid w:val="00902458"/>
    <w:rsid w:val="009034A3"/>
    <w:rsid w:val="00911308"/>
    <w:rsid w:val="00911D8D"/>
    <w:rsid w:val="00914BDC"/>
    <w:rsid w:val="00915127"/>
    <w:rsid w:val="00924FA0"/>
    <w:rsid w:val="009348E4"/>
    <w:rsid w:val="0093552E"/>
    <w:rsid w:val="009445F6"/>
    <w:rsid w:val="0095688E"/>
    <w:rsid w:val="00956E0A"/>
    <w:rsid w:val="00960304"/>
    <w:rsid w:val="00961BC7"/>
    <w:rsid w:val="00965137"/>
    <w:rsid w:val="00965577"/>
    <w:rsid w:val="00965663"/>
    <w:rsid w:val="00966196"/>
    <w:rsid w:val="009713B2"/>
    <w:rsid w:val="00972900"/>
    <w:rsid w:val="009738C7"/>
    <w:rsid w:val="00973B20"/>
    <w:rsid w:val="009805D6"/>
    <w:rsid w:val="0099332C"/>
    <w:rsid w:val="009946F5"/>
    <w:rsid w:val="00997ABD"/>
    <w:rsid w:val="009A0740"/>
    <w:rsid w:val="009A1686"/>
    <w:rsid w:val="009A1E69"/>
    <w:rsid w:val="009A3915"/>
    <w:rsid w:val="009A65A0"/>
    <w:rsid w:val="009A667F"/>
    <w:rsid w:val="009A7A3F"/>
    <w:rsid w:val="009B05D2"/>
    <w:rsid w:val="009B2AB0"/>
    <w:rsid w:val="009B34E2"/>
    <w:rsid w:val="009B3744"/>
    <w:rsid w:val="009B520F"/>
    <w:rsid w:val="009B654A"/>
    <w:rsid w:val="009C2588"/>
    <w:rsid w:val="009C64BD"/>
    <w:rsid w:val="009D1CCE"/>
    <w:rsid w:val="009D78E0"/>
    <w:rsid w:val="009E4084"/>
    <w:rsid w:val="009E5FE4"/>
    <w:rsid w:val="009F7201"/>
    <w:rsid w:val="00A0675F"/>
    <w:rsid w:val="00A15CF6"/>
    <w:rsid w:val="00A206BC"/>
    <w:rsid w:val="00A23F97"/>
    <w:rsid w:val="00A26A98"/>
    <w:rsid w:val="00A356EA"/>
    <w:rsid w:val="00A4467B"/>
    <w:rsid w:val="00A452B1"/>
    <w:rsid w:val="00A464FC"/>
    <w:rsid w:val="00A532BA"/>
    <w:rsid w:val="00A60FC5"/>
    <w:rsid w:val="00A660C3"/>
    <w:rsid w:val="00A66852"/>
    <w:rsid w:val="00A7064E"/>
    <w:rsid w:val="00A73B88"/>
    <w:rsid w:val="00A747C4"/>
    <w:rsid w:val="00A80EEF"/>
    <w:rsid w:val="00A84F0A"/>
    <w:rsid w:val="00A852C3"/>
    <w:rsid w:val="00A85420"/>
    <w:rsid w:val="00A911BF"/>
    <w:rsid w:val="00A91CB6"/>
    <w:rsid w:val="00A93681"/>
    <w:rsid w:val="00A94A39"/>
    <w:rsid w:val="00AA103E"/>
    <w:rsid w:val="00AA165F"/>
    <w:rsid w:val="00AA1E40"/>
    <w:rsid w:val="00AA49BA"/>
    <w:rsid w:val="00AB3D6D"/>
    <w:rsid w:val="00AB6366"/>
    <w:rsid w:val="00AB67F8"/>
    <w:rsid w:val="00AB69AA"/>
    <w:rsid w:val="00AB76C5"/>
    <w:rsid w:val="00AB7DA3"/>
    <w:rsid w:val="00AC05B1"/>
    <w:rsid w:val="00AC61B5"/>
    <w:rsid w:val="00AC7324"/>
    <w:rsid w:val="00AC76B5"/>
    <w:rsid w:val="00AD048A"/>
    <w:rsid w:val="00AD1202"/>
    <w:rsid w:val="00AD1351"/>
    <w:rsid w:val="00AD21D0"/>
    <w:rsid w:val="00AD35A1"/>
    <w:rsid w:val="00AD4A72"/>
    <w:rsid w:val="00AE08A5"/>
    <w:rsid w:val="00AE70DC"/>
    <w:rsid w:val="00AE7872"/>
    <w:rsid w:val="00AF3A61"/>
    <w:rsid w:val="00AF7F2D"/>
    <w:rsid w:val="00B01160"/>
    <w:rsid w:val="00B01528"/>
    <w:rsid w:val="00B0163A"/>
    <w:rsid w:val="00B02E9B"/>
    <w:rsid w:val="00B0379A"/>
    <w:rsid w:val="00B03A78"/>
    <w:rsid w:val="00B03B8A"/>
    <w:rsid w:val="00B04420"/>
    <w:rsid w:val="00B049AF"/>
    <w:rsid w:val="00B05A1B"/>
    <w:rsid w:val="00B12F75"/>
    <w:rsid w:val="00B141D1"/>
    <w:rsid w:val="00B15A93"/>
    <w:rsid w:val="00B1629B"/>
    <w:rsid w:val="00B173DF"/>
    <w:rsid w:val="00B230E4"/>
    <w:rsid w:val="00B2591E"/>
    <w:rsid w:val="00B266C9"/>
    <w:rsid w:val="00B34D6E"/>
    <w:rsid w:val="00B367A1"/>
    <w:rsid w:val="00B377D4"/>
    <w:rsid w:val="00B40CC7"/>
    <w:rsid w:val="00B4550C"/>
    <w:rsid w:val="00B45581"/>
    <w:rsid w:val="00B456CB"/>
    <w:rsid w:val="00B4668B"/>
    <w:rsid w:val="00B47AF6"/>
    <w:rsid w:val="00B52B17"/>
    <w:rsid w:val="00B57A62"/>
    <w:rsid w:val="00B61576"/>
    <w:rsid w:val="00B64C5B"/>
    <w:rsid w:val="00B65F01"/>
    <w:rsid w:val="00B72FDC"/>
    <w:rsid w:val="00B76D42"/>
    <w:rsid w:val="00B82785"/>
    <w:rsid w:val="00B82B23"/>
    <w:rsid w:val="00B8687C"/>
    <w:rsid w:val="00B95C93"/>
    <w:rsid w:val="00BA034E"/>
    <w:rsid w:val="00BA2570"/>
    <w:rsid w:val="00BA4DC6"/>
    <w:rsid w:val="00BA7578"/>
    <w:rsid w:val="00BB172D"/>
    <w:rsid w:val="00BB457B"/>
    <w:rsid w:val="00BB52D4"/>
    <w:rsid w:val="00BB6808"/>
    <w:rsid w:val="00BB7C1B"/>
    <w:rsid w:val="00BC267C"/>
    <w:rsid w:val="00BC31B6"/>
    <w:rsid w:val="00BC411E"/>
    <w:rsid w:val="00BC57AE"/>
    <w:rsid w:val="00BC57CD"/>
    <w:rsid w:val="00BD2AFF"/>
    <w:rsid w:val="00BD2DB2"/>
    <w:rsid w:val="00BD3C20"/>
    <w:rsid w:val="00BD7C35"/>
    <w:rsid w:val="00BE0C35"/>
    <w:rsid w:val="00BE136F"/>
    <w:rsid w:val="00BE7B19"/>
    <w:rsid w:val="00BF1858"/>
    <w:rsid w:val="00BF2143"/>
    <w:rsid w:val="00BF2787"/>
    <w:rsid w:val="00BF3DDF"/>
    <w:rsid w:val="00BF46D8"/>
    <w:rsid w:val="00BF689A"/>
    <w:rsid w:val="00C006F8"/>
    <w:rsid w:val="00C05611"/>
    <w:rsid w:val="00C05C80"/>
    <w:rsid w:val="00C10C1D"/>
    <w:rsid w:val="00C12EFC"/>
    <w:rsid w:val="00C148E2"/>
    <w:rsid w:val="00C16C2C"/>
    <w:rsid w:val="00C2422E"/>
    <w:rsid w:val="00C25AF8"/>
    <w:rsid w:val="00C26E50"/>
    <w:rsid w:val="00C27A9E"/>
    <w:rsid w:val="00C315ED"/>
    <w:rsid w:val="00C31C2F"/>
    <w:rsid w:val="00C365D3"/>
    <w:rsid w:val="00C36B23"/>
    <w:rsid w:val="00C42EFA"/>
    <w:rsid w:val="00C478B6"/>
    <w:rsid w:val="00C500C1"/>
    <w:rsid w:val="00C533D3"/>
    <w:rsid w:val="00C55A19"/>
    <w:rsid w:val="00C5769C"/>
    <w:rsid w:val="00C6000F"/>
    <w:rsid w:val="00C6278F"/>
    <w:rsid w:val="00C62ACC"/>
    <w:rsid w:val="00C632FB"/>
    <w:rsid w:val="00C64718"/>
    <w:rsid w:val="00C64872"/>
    <w:rsid w:val="00C649B1"/>
    <w:rsid w:val="00C65581"/>
    <w:rsid w:val="00C6668F"/>
    <w:rsid w:val="00C6689E"/>
    <w:rsid w:val="00C7049F"/>
    <w:rsid w:val="00C707EB"/>
    <w:rsid w:val="00C71759"/>
    <w:rsid w:val="00C71F6C"/>
    <w:rsid w:val="00C72FC0"/>
    <w:rsid w:val="00C74A0E"/>
    <w:rsid w:val="00C76201"/>
    <w:rsid w:val="00C76857"/>
    <w:rsid w:val="00C8005A"/>
    <w:rsid w:val="00C87B17"/>
    <w:rsid w:val="00C91C33"/>
    <w:rsid w:val="00C9392E"/>
    <w:rsid w:val="00C95D06"/>
    <w:rsid w:val="00C96CE4"/>
    <w:rsid w:val="00C96E93"/>
    <w:rsid w:val="00C97048"/>
    <w:rsid w:val="00CA1604"/>
    <w:rsid w:val="00CA2032"/>
    <w:rsid w:val="00CA31DF"/>
    <w:rsid w:val="00CA5247"/>
    <w:rsid w:val="00CA6ED4"/>
    <w:rsid w:val="00CA74E2"/>
    <w:rsid w:val="00CA7C89"/>
    <w:rsid w:val="00CA7F09"/>
    <w:rsid w:val="00CB279B"/>
    <w:rsid w:val="00CB350A"/>
    <w:rsid w:val="00CB47B4"/>
    <w:rsid w:val="00CC23BE"/>
    <w:rsid w:val="00CC4286"/>
    <w:rsid w:val="00CC4F0B"/>
    <w:rsid w:val="00CC5E15"/>
    <w:rsid w:val="00CD3BAA"/>
    <w:rsid w:val="00CE782F"/>
    <w:rsid w:val="00CF4D4B"/>
    <w:rsid w:val="00CF692A"/>
    <w:rsid w:val="00CF6E89"/>
    <w:rsid w:val="00CF734C"/>
    <w:rsid w:val="00D01237"/>
    <w:rsid w:val="00D018C7"/>
    <w:rsid w:val="00D074B8"/>
    <w:rsid w:val="00D10169"/>
    <w:rsid w:val="00D11416"/>
    <w:rsid w:val="00D22ED4"/>
    <w:rsid w:val="00D30C2B"/>
    <w:rsid w:val="00D413F0"/>
    <w:rsid w:val="00D43EA1"/>
    <w:rsid w:val="00D4798B"/>
    <w:rsid w:val="00D549F3"/>
    <w:rsid w:val="00D570F6"/>
    <w:rsid w:val="00D572CD"/>
    <w:rsid w:val="00D5746C"/>
    <w:rsid w:val="00D6010C"/>
    <w:rsid w:val="00D62CD4"/>
    <w:rsid w:val="00D637DA"/>
    <w:rsid w:val="00D71915"/>
    <w:rsid w:val="00D7294D"/>
    <w:rsid w:val="00D73159"/>
    <w:rsid w:val="00D74066"/>
    <w:rsid w:val="00D746E0"/>
    <w:rsid w:val="00D75D27"/>
    <w:rsid w:val="00D8164C"/>
    <w:rsid w:val="00D83235"/>
    <w:rsid w:val="00D83947"/>
    <w:rsid w:val="00D87031"/>
    <w:rsid w:val="00D87A15"/>
    <w:rsid w:val="00D9498B"/>
    <w:rsid w:val="00D95BCB"/>
    <w:rsid w:val="00DA7676"/>
    <w:rsid w:val="00DB1305"/>
    <w:rsid w:val="00DC1909"/>
    <w:rsid w:val="00DC36E0"/>
    <w:rsid w:val="00DC445B"/>
    <w:rsid w:val="00DE186B"/>
    <w:rsid w:val="00DF1B29"/>
    <w:rsid w:val="00DF3003"/>
    <w:rsid w:val="00DF55A4"/>
    <w:rsid w:val="00E06811"/>
    <w:rsid w:val="00E13785"/>
    <w:rsid w:val="00E140A8"/>
    <w:rsid w:val="00E15F79"/>
    <w:rsid w:val="00E17B3C"/>
    <w:rsid w:val="00E25432"/>
    <w:rsid w:val="00E33A04"/>
    <w:rsid w:val="00E33BE7"/>
    <w:rsid w:val="00E33C4F"/>
    <w:rsid w:val="00E33E6B"/>
    <w:rsid w:val="00E366F6"/>
    <w:rsid w:val="00E37058"/>
    <w:rsid w:val="00E40D81"/>
    <w:rsid w:val="00E4629E"/>
    <w:rsid w:val="00E47779"/>
    <w:rsid w:val="00E5118F"/>
    <w:rsid w:val="00E54F8D"/>
    <w:rsid w:val="00E56C5A"/>
    <w:rsid w:val="00E56E0A"/>
    <w:rsid w:val="00E718F5"/>
    <w:rsid w:val="00E74A1E"/>
    <w:rsid w:val="00E84001"/>
    <w:rsid w:val="00E85A17"/>
    <w:rsid w:val="00E876C1"/>
    <w:rsid w:val="00EA5345"/>
    <w:rsid w:val="00EB272F"/>
    <w:rsid w:val="00EB3492"/>
    <w:rsid w:val="00EC13D6"/>
    <w:rsid w:val="00EC1B9D"/>
    <w:rsid w:val="00EC5A1A"/>
    <w:rsid w:val="00ED0BA6"/>
    <w:rsid w:val="00ED12B1"/>
    <w:rsid w:val="00ED675E"/>
    <w:rsid w:val="00ED7CC3"/>
    <w:rsid w:val="00EF0093"/>
    <w:rsid w:val="00EF0B1D"/>
    <w:rsid w:val="00F10106"/>
    <w:rsid w:val="00F107FA"/>
    <w:rsid w:val="00F22FD7"/>
    <w:rsid w:val="00F239E5"/>
    <w:rsid w:val="00F24DAF"/>
    <w:rsid w:val="00F2638C"/>
    <w:rsid w:val="00F307D8"/>
    <w:rsid w:val="00F30A1D"/>
    <w:rsid w:val="00F32B24"/>
    <w:rsid w:val="00F3360B"/>
    <w:rsid w:val="00F3547F"/>
    <w:rsid w:val="00F373CF"/>
    <w:rsid w:val="00F41AD3"/>
    <w:rsid w:val="00F42374"/>
    <w:rsid w:val="00F45535"/>
    <w:rsid w:val="00F47DB3"/>
    <w:rsid w:val="00F527C9"/>
    <w:rsid w:val="00F5325F"/>
    <w:rsid w:val="00F53474"/>
    <w:rsid w:val="00F53B9D"/>
    <w:rsid w:val="00F564D9"/>
    <w:rsid w:val="00F56D46"/>
    <w:rsid w:val="00F60C1B"/>
    <w:rsid w:val="00F623D2"/>
    <w:rsid w:val="00F64CA2"/>
    <w:rsid w:val="00F71667"/>
    <w:rsid w:val="00F737AF"/>
    <w:rsid w:val="00F73EFE"/>
    <w:rsid w:val="00F74EFC"/>
    <w:rsid w:val="00F83846"/>
    <w:rsid w:val="00F86027"/>
    <w:rsid w:val="00F86A79"/>
    <w:rsid w:val="00F873C6"/>
    <w:rsid w:val="00F908D1"/>
    <w:rsid w:val="00F90B76"/>
    <w:rsid w:val="00F946AE"/>
    <w:rsid w:val="00F95963"/>
    <w:rsid w:val="00FA043B"/>
    <w:rsid w:val="00FB422A"/>
    <w:rsid w:val="00FC0233"/>
    <w:rsid w:val="00FC0809"/>
    <w:rsid w:val="00FC16D3"/>
    <w:rsid w:val="00FC3FFF"/>
    <w:rsid w:val="00FC68A0"/>
    <w:rsid w:val="00FC7445"/>
    <w:rsid w:val="00FD4F70"/>
    <w:rsid w:val="00FE18B2"/>
    <w:rsid w:val="00FF0EAF"/>
  </w:rsids>
  <m:mathPr>
    <m:mathFont m:val="Cambria Math"/>
    <m:brkBin m:val="before"/>
    <m:brkBinSub m:val="--"/>
    <m:smallFrac m:val="0"/>
    <m:dispDef/>
    <m:lMargin m:val="0"/>
    <m:rMargin m:val="0"/>
    <m:defJc m:val="centerGroup"/>
    <m:wrapIndent m:val="1440"/>
    <m:intLim m:val="subSup"/>
    <m:naryLim m:val="undOvr"/>
  </m:mathPr>
  <w:themeFontLang w:val="en-SA"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4F3E32"/>
  <w15:chartTrackingRefBased/>
  <w15:docId w15:val="{744BA72F-AD40-C440-96B2-3A81C56A25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S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038E"/>
    <w:rPr>
      <w:rFonts w:ascii="Times New Roman" w:eastAsia="Times New Roman" w:hAnsi="Times New Roman" w:cs="Times New Roman"/>
      <w:lang w:val="en-US"/>
    </w:rPr>
  </w:style>
  <w:style w:type="paragraph" w:styleId="Heading1">
    <w:name w:val="heading 1"/>
    <w:basedOn w:val="Normal"/>
    <w:next w:val="Normal"/>
    <w:link w:val="Heading1Char"/>
    <w:uiPriority w:val="9"/>
    <w:qFormat/>
    <w:rsid w:val="0019038E"/>
    <w:pPr>
      <w:keepNext/>
      <w:keepLines/>
      <w:numPr>
        <w:numId w:val="2"/>
      </w:numPr>
      <w:spacing w:before="240"/>
      <w:ind w:left="360" w:hanging="360"/>
      <w:outlineLvl w:val="0"/>
    </w:pPr>
    <w:rPr>
      <w:rFonts w:eastAsiaTheme="majorEastAsia" w:cstheme="majorBidi"/>
      <w:color w:val="000000" w:themeColor="text1"/>
      <w:sz w:val="28"/>
      <w:szCs w:val="32"/>
    </w:rPr>
  </w:style>
  <w:style w:type="paragraph" w:styleId="Heading2">
    <w:name w:val="heading 2"/>
    <w:next w:val="Normal"/>
    <w:link w:val="Heading2Char"/>
    <w:autoRedefine/>
    <w:qFormat/>
    <w:rsid w:val="0019038E"/>
    <w:pPr>
      <w:keepNext/>
      <w:keepLines/>
      <w:pBdr>
        <w:top w:val="nil"/>
        <w:left w:val="nil"/>
        <w:bottom w:val="nil"/>
        <w:right w:val="nil"/>
        <w:between w:val="nil"/>
        <w:bar w:val="nil"/>
      </w:pBdr>
      <w:spacing w:before="120" w:after="120"/>
      <w:outlineLvl w:val="1"/>
    </w:pPr>
    <w:rPr>
      <w:rFonts w:ascii="Times New Roman" w:eastAsia="Cambria" w:hAnsi="Times New Roman" w:cs="Times New Roman"/>
      <w:b/>
      <w:bCs/>
      <w:color w:val="000000"/>
      <w:sz w:val="28"/>
      <w:szCs w:val="32"/>
      <w:u w:color="FF0000"/>
      <w:bdr w:val="nil"/>
      <w:lang w:val="en-GB"/>
    </w:rPr>
  </w:style>
  <w:style w:type="paragraph" w:styleId="Heading3">
    <w:name w:val="heading 3"/>
    <w:basedOn w:val="Normal"/>
    <w:next w:val="Normal"/>
    <w:link w:val="Heading3Char"/>
    <w:autoRedefine/>
    <w:uiPriority w:val="9"/>
    <w:unhideWhenUsed/>
    <w:qFormat/>
    <w:rsid w:val="00852DF3"/>
    <w:pPr>
      <w:keepNext/>
      <w:keepLines/>
      <w:pBdr>
        <w:top w:val="nil"/>
        <w:left w:val="nil"/>
        <w:bottom w:val="nil"/>
        <w:right w:val="nil"/>
        <w:between w:val="nil"/>
        <w:bar w:val="nil"/>
      </w:pBdr>
      <w:spacing w:before="120" w:after="120"/>
      <w:outlineLvl w:val="2"/>
    </w:pPr>
    <w:rPr>
      <w:rFonts w:asciiTheme="majorBidi" w:eastAsiaTheme="majorEastAsia" w:hAnsiTheme="majorBidi" w:cstheme="majorBidi"/>
      <w:b/>
      <w:bCs/>
      <w:iCs/>
      <w:color w:val="000000" w:themeColor="text1"/>
      <w:bdr w:val="nil"/>
      <w:shd w:val="clear" w:color="auto" w:fill="FFFFFF"/>
    </w:rPr>
  </w:style>
  <w:style w:type="paragraph" w:styleId="Heading4">
    <w:name w:val="heading 4"/>
    <w:basedOn w:val="Normal"/>
    <w:next w:val="Normal"/>
    <w:link w:val="Heading4Char"/>
    <w:uiPriority w:val="9"/>
    <w:unhideWhenUsed/>
    <w:qFormat/>
    <w:rsid w:val="0019038E"/>
    <w:pPr>
      <w:keepNext/>
      <w:keepLines/>
      <w:spacing w:before="40"/>
      <w:outlineLvl w:val="3"/>
    </w:pPr>
    <w:rPr>
      <w:rFonts w:asciiTheme="majorBidi" w:eastAsiaTheme="majorEastAsia" w:hAnsiTheme="majorBidi" w:cstheme="majorBidi"/>
      <w:b/>
      <w:iCs/>
      <w:color w:val="000000" w:themeColor="text1"/>
    </w:rPr>
  </w:style>
  <w:style w:type="paragraph" w:styleId="Heading5">
    <w:name w:val="heading 5"/>
    <w:basedOn w:val="Normal"/>
    <w:next w:val="Normal"/>
    <w:link w:val="Heading5Char"/>
    <w:uiPriority w:val="9"/>
    <w:unhideWhenUsed/>
    <w:qFormat/>
    <w:rsid w:val="0019038E"/>
    <w:pPr>
      <w:keepNext/>
      <w:keepLines/>
      <w:spacing w:before="280" w:after="240"/>
      <w:outlineLvl w:val="4"/>
    </w:pPr>
    <w:rPr>
      <w:rFonts w:asciiTheme="majorBidi" w:eastAsiaTheme="majorEastAsia" w:hAnsiTheme="majorBidi" w:cstheme="majorBidi"/>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ythesisstyle">
    <w:name w:val="my thesis style"/>
    <w:basedOn w:val="Normal"/>
    <w:autoRedefine/>
    <w:qFormat/>
    <w:rsid w:val="00196ABD"/>
    <w:pPr>
      <w:spacing w:after="360" w:line="360" w:lineRule="auto"/>
      <w:jc w:val="lowKashida"/>
    </w:pPr>
    <w:rPr>
      <w:rFonts w:cstheme="majorBidi"/>
    </w:rPr>
  </w:style>
  <w:style w:type="paragraph" w:customStyle="1" w:styleId="mythesis">
    <w:name w:val="my thesis"/>
    <w:basedOn w:val="Normal"/>
    <w:qFormat/>
    <w:rsid w:val="0019038E"/>
    <w:pPr>
      <w:spacing w:after="400" w:line="360" w:lineRule="auto"/>
      <w:ind w:firstLine="567"/>
      <w:jc w:val="lowKashida"/>
    </w:pPr>
    <w:rPr>
      <w:bCs/>
      <w:iCs/>
      <w:color w:val="000000" w:themeColor="text1"/>
    </w:rPr>
  </w:style>
  <w:style w:type="character" w:customStyle="1" w:styleId="Heading1Char">
    <w:name w:val="Heading 1 Char"/>
    <w:basedOn w:val="DefaultParagraphFont"/>
    <w:link w:val="Heading1"/>
    <w:uiPriority w:val="9"/>
    <w:rsid w:val="0019038E"/>
    <w:rPr>
      <w:rFonts w:ascii="Times New Roman" w:eastAsiaTheme="majorEastAsia" w:hAnsi="Times New Roman" w:cstheme="majorBidi"/>
      <w:color w:val="000000" w:themeColor="text1"/>
      <w:sz w:val="28"/>
      <w:szCs w:val="32"/>
      <w:lang w:val="en-US"/>
    </w:rPr>
  </w:style>
  <w:style w:type="character" w:customStyle="1" w:styleId="Heading2Char">
    <w:name w:val="Heading 2 Char"/>
    <w:basedOn w:val="DefaultParagraphFont"/>
    <w:link w:val="Heading2"/>
    <w:rsid w:val="0019038E"/>
    <w:rPr>
      <w:rFonts w:ascii="Times New Roman" w:eastAsia="Cambria" w:hAnsi="Times New Roman" w:cs="Times New Roman"/>
      <w:b/>
      <w:bCs/>
      <w:color w:val="000000"/>
      <w:sz w:val="28"/>
      <w:szCs w:val="32"/>
      <w:u w:color="FF0000"/>
      <w:bdr w:val="nil"/>
      <w:lang w:val="en-GB"/>
    </w:rPr>
  </w:style>
  <w:style w:type="character" w:customStyle="1" w:styleId="Heading3Char">
    <w:name w:val="Heading 3 Char"/>
    <w:basedOn w:val="DefaultParagraphFont"/>
    <w:link w:val="Heading3"/>
    <w:uiPriority w:val="9"/>
    <w:rsid w:val="00852DF3"/>
    <w:rPr>
      <w:rFonts w:asciiTheme="majorBidi" w:eastAsiaTheme="majorEastAsia" w:hAnsiTheme="majorBidi" w:cstheme="majorBidi"/>
      <w:b/>
      <w:bCs/>
      <w:iCs/>
      <w:color w:val="000000" w:themeColor="text1"/>
      <w:bdr w:val="nil"/>
      <w:lang w:val="en-US"/>
    </w:rPr>
  </w:style>
  <w:style w:type="character" w:customStyle="1" w:styleId="Heading4Char">
    <w:name w:val="Heading 4 Char"/>
    <w:basedOn w:val="DefaultParagraphFont"/>
    <w:link w:val="Heading4"/>
    <w:uiPriority w:val="9"/>
    <w:rsid w:val="0019038E"/>
    <w:rPr>
      <w:rFonts w:asciiTheme="majorBidi" w:eastAsiaTheme="majorEastAsia" w:hAnsiTheme="majorBidi" w:cstheme="majorBidi"/>
      <w:b/>
      <w:iCs/>
      <w:color w:val="000000" w:themeColor="text1"/>
      <w:lang w:val="en-US"/>
    </w:rPr>
  </w:style>
  <w:style w:type="character" w:customStyle="1" w:styleId="Heading5Char">
    <w:name w:val="Heading 5 Char"/>
    <w:basedOn w:val="DefaultParagraphFont"/>
    <w:link w:val="Heading5"/>
    <w:uiPriority w:val="9"/>
    <w:rsid w:val="0019038E"/>
    <w:rPr>
      <w:rFonts w:asciiTheme="majorBidi" w:eastAsiaTheme="majorEastAsia" w:hAnsiTheme="majorBidi" w:cstheme="majorBidi"/>
      <w:color w:val="000000" w:themeColor="text1"/>
      <w:lang w:val="en-US"/>
    </w:rPr>
  </w:style>
  <w:style w:type="paragraph" w:styleId="NormalWeb">
    <w:name w:val="Normal (Web)"/>
    <w:basedOn w:val="Normal"/>
    <w:uiPriority w:val="99"/>
    <w:unhideWhenUsed/>
    <w:rsid w:val="0019038E"/>
    <w:pPr>
      <w:spacing w:before="100" w:beforeAutospacing="1" w:after="100" w:afterAutospacing="1"/>
    </w:pPr>
  </w:style>
  <w:style w:type="table" w:styleId="TableGrid">
    <w:name w:val="Table Grid"/>
    <w:basedOn w:val="TableNormal"/>
    <w:uiPriority w:val="39"/>
    <w:rsid w:val="0019038E"/>
    <w:rPr>
      <w:sz w:val="22"/>
      <w:szCs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19038E"/>
    <w:rPr>
      <w:b/>
      <w:bCs/>
    </w:rPr>
  </w:style>
  <w:style w:type="character" w:styleId="Emphasis">
    <w:name w:val="Emphasis"/>
    <w:basedOn w:val="DefaultParagraphFont"/>
    <w:uiPriority w:val="20"/>
    <w:qFormat/>
    <w:rsid w:val="0019038E"/>
    <w:rPr>
      <w:i/>
      <w:iCs/>
    </w:rPr>
  </w:style>
  <w:style w:type="character" w:styleId="CommentReference">
    <w:name w:val="annotation reference"/>
    <w:basedOn w:val="DefaultParagraphFont"/>
    <w:uiPriority w:val="99"/>
    <w:semiHidden/>
    <w:unhideWhenUsed/>
    <w:rsid w:val="0019038E"/>
    <w:rPr>
      <w:sz w:val="16"/>
      <w:szCs w:val="16"/>
    </w:rPr>
  </w:style>
  <w:style w:type="paragraph" w:styleId="CommentText">
    <w:name w:val="annotation text"/>
    <w:basedOn w:val="Normal"/>
    <w:link w:val="CommentTextChar"/>
    <w:uiPriority w:val="99"/>
    <w:unhideWhenUsed/>
    <w:rsid w:val="0019038E"/>
    <w:rPr>
      <w:sz w:val="20"/>
      <w:szCs w:val="20"/>
    </w:rPr>
  </w:style>
  <w:style w:type="character" w:customStyle="1" w:styleId="CommentTextChar">
    <w:name w:val="Comment Text Char"/>
    <w:basedOn w:val="DefaultParagraphFont"/>
    <w:link w:val="CommentText"/>
    <w:uiPriority w:val="99"/>
    <w:rsid w:val="0019038E"/>
    <w:rPr>
      <w:rFonts w:ascii="Times New Roman" w:eastAsia="Times New Roman" w:hAnsi="Times New Roman" w:cs="Times New Roman"/>
      <w:sz w:val="20"/>
      <w:szCs w:val="20"/>
      <w:lang w:val="en-US"/>
    </w:rPr>
  </w:style>
  <w:style w:type="paragraph" w:styleId="Footer">
    <w:name w:val="footer"/>
    <w:basedOn w:val="Normal"/>
    <w:link w:val="FooterChar"/>
    <w:uiPriority w:val="99"/>
    <w:unhideWhenUsed/>
    <w:rsid w:val="0019038E"/>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19038E"/>
    <w:rPr>
      <w:lang w:val="en-US"/>
    </w:rPr>
  </w:style>
  <w:style w:type="character" w:styleId="PageNumber">
    <w:name w:val="page number"/>
    <w:basedOn w:val="DefaultParagraphFont"/>
    <w:uiPriority w:val="99"/>
    <w:semiHidden/>
    <w:unhideWhenUsed/>
    <w:rsid w:val="0019038E"/>
  </w:style>
  <w:style w:type="character" w:styleId="Hyperlink">
    <w:name w:val="Hyperlink"/>
    <w:basedOn w:val="DefaultParagraphFont"/>
    <w:uiPriority w:val="99"/>
    <w:unhideWhenUsed/>
    <w:rsid w:val="0019038E"/>
    <w:rPr>
      <w:color w:val="0000FF"/>
      <w:u w:val="single"/>
    </w:rPr>
  </w:style>
  <w:style w:type="character" w:customStyle="1" w:styleId="st">
    <w:name w:val="st"/>
    <w:basedOn w:val="DefaultParagraphFont"/>
    <w:rsid w:val="0019038E"/>
  </w:style>
  <w:style w:type="character" w:customStyle="1" w:styleId="HTMLPreformattedChar">
    <w:name w:val="HTML Preformatted Char"/>
    <w:basedOn w:val="DefaultParagraphFont"/>
    <w:link w:val="HTMLPreformatted"/>
    <w:uiPriority w:val="99"/>
    <w:semiHidden/>
    <w:rsid w:val="0019038E"/>
    <w:rPr>
      <w:rFonts w:ascii="Courier New" w:eastAsia="Times New Roman" w:hAnsi="Courier New" w:cs="Courier New"/>
      <w:sz w:val="20"/>
      <w:szCs w:val="20"/>
      <w:lang w:eastAsia="zh-CN"/>
    </w:rPr>
  </w:style>
  <w:style w:type="paragraph" w:styleId="HTMLPreformatted">
    <w:name w:val="HTML Preformatted"/>
    <w:basedOn w:val="Normal"/>
    <w:link w:val="HTMLPreformattedChar"/>
    <w:uiPriority w:val="99"/>
    <w:semiHidden/>
    <w:unhideWhenUsed/>
    <w:rsid w:val="0019038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SA" w:eastAsia="zh-CN"/>
    </w:rPr>
  </w:style>
  <w:style w:type="character" w:customStyle="1" w:styleId="HTMLPreformattedChar1">
    <w:name w:val="HTML Preformatted Char1"/>
    <w:basedOn w:val="DefaultParagraphFont"/>
    <w:uiPriority w:val="99"/>
    <w:semiHidden/>
    <w:rsid w:val="0019038E"/>
    <w:rPr>
      <w:rFonts w:ascii="Consolas" w:eastAsia="Times New Roman" w:hAnsi="Consolas" w:cs="Consolas"/>
      <w:sz w:val="20"/>
      <w:szCs w:val="20"/>
      <w:lang w:val="en-US"/>
    </w:rPr>
  </w:style>
  <w:style w:type="character" w:customStyle="1" w:styleId="HeaderChar">
    <w:name w:val="Header Char"/>
    <w:basedOn w:val="DefaultParagraphFont"/>
    <w:link w:val="Header"/>
    <w:uiPriority w:val="99"/>
    <w:rsid w:val="0019038E"/>
    <w:rPr>
      <w:rFonts w:eastAsiaTheme="minorEastAsia"/>
    </w:rPr>
  </w:style>
  <w:style w:type="paragraph" w:styleId="Header">
    <w:name w:val="header"/>
    <w:basedOn w:val="Normal"/>
    <w:link w:val="HeaderChar"/>
    <w:uiPriority w:val="99"/>
    <w:unhideWhenUsed/>
    <w:rsid w:val="0019038E"/>
    <w:pPr>
      <w:tabs>
        <w:tab w:val="center" w:pos="4680"/>
        <w:tab w:val="right" w:pos="9360"/>
      </w:tabs>
    </w:pPr>
    <w:rPr>
      <w:rFonts w:asciiTheme="minorHAnsi" w:eastAsiaTheme="minorEastAsia" w:hAnsiTheme="minorHAnsi" w:cstheme="minorBidi"/>
      <w:lang w:val="en-SA"/>
    </w:rPr>
  </w:style>
  <w:style w:type="character" w:customStyle="1" w:styleId="HeaderChar1">
    <w:name w:val="Header Char1"/>
    <w:basedOn w:val="DefaultParagraphFont"/>
    <w:uiPriority w:val="99"/>
    <w:semiHidden/>
    <w:rsid w:val="0019038E"/>
    <w:rPr>
      <w:rFonts w:ascii="Times New Roman" w:eastAsia="Times New Roman" w:hAnsi="Times New Roman" w:cs="Times New Roman"/>
      <w:lang w:val="en-US"/>
    </w:rPr>
  </w:style>
  <w:style w:type="paragraph" w:styleId="ListParagraph">
    <w:name w:val="List Paragraph"/>
    <w:basedOn w:val="Normal"/>
    <w:uiPriority w:val="34"/>
    <w:qFormat/>
    <w:rsid w:val="0019038E"/>
    <w:pPr>
      <w:ind w:left="720"/>
      <w:contextualSpacing/>
    </w:pPr>
    <w:rPr>
      <w:rFonts w:asciiTheme="minorHAnsi" w:eastAsiaTheme="minorHAnsi" w:hAnsiTheme="minorHAnsi" w:cstheme="minorBidi"/>
    </w:rPr>
  </w:style>
  <w:style w:type="paragraph" w:styleId="BalloonText">
    <w:name w:val="Balloon Text"/>
    <w:basedOn w:val="Normal"/>
    <w:link w:val="BalloonTextChar"/>
    <w:uiPriority w:val="99"/>
    <w:semiHidden/>
    <w:unhideWhenUsed/>
    <w:rsid w:val="0019038E"/>
    <w:rPr>
      <w:sz w:val="18"/>
      <w:szCs w:val="18"/>
    </w:rPr>
  </w:style>
  <w:style w:type="character" w:customStyle="1" w:styleId="BalloonTextChar">
    <w:name w:val="Balloon Text Char"/>
    <w:basedOn w:val="DefaultParagraphFont"/>
    <w:link w:val="BalloonText"/>
    <w:uiPriority w:val="99"/>
    <w:semiHidden/>
    <w:rsid w:val="0019038E"/>
    <w:rPr>
      <w:rFonts w:ascii="Times New Roman" w:eastAsia="Times New Roman" w:hAnsi="Times New Roman" w:cs="Times New Roman"/>
      <w:sz w:val="18"/>
      <w:szCs w:val="18"/>
      <w:lang w:val="en-US"/>
    </w:rPr>
  </w:style>
  <w:style w:type="character" w:customStyle="1" w:styleId="CommentSubjectChar">
    <w:name w:val="Comment Subject Char"/>
    <w:basedOn w:val="CommentTextChar"/>
    <w:link w:val="CommentSubject"/>
    <w:uiPriority w:val="99"/>
    <w:semiHidden/>
    <w:rsid w:val="0019038E"/>
    <w:rPr>
      <w:rFonts w:ascii="Times New Roman" w:eastAsia="Times New Roman" w:hAnsi="Times New Roman" w:cs="Times New Roman"/>
      <w:b/>
      <w:bCs/>
      <w:sz w:val="20"/>
      <w:szCs w:val="20"/>
      <w:lang w:val="en-US"/>
    </w:rPr>
  </w:style>
  <w:style w:type="paragraph" w:styleId="CommentSubject">
    <w:name w:val="annotation subject"/>
    <w:basedOn w:val="CommentText"/>
    <w:next w:val="CommentText"/>
    <w:link w:val="CommentSubjectChar"/>
    <w:uiPriority w:val="99"/>
    <w:semiHidden/>
    <w:unhideWhenUsed/>
    <w:rsid w:val="0019038E"/>
    <w:rPr>
      <w:b/>
      <w:bCs/>
    </w:rPr>
  </w:style>
  <w:style w:type="character" w:customStyle="1" w:styleId="CommentSubjectChar1">
    <w:name w:val="Comment Subject Char1"/>
    <w:basedOn w:val="CommentTextChar"/>
    <w:uiPriority w:val="99"/>
    <w:semiHidden/>
    <w:rsid w:val="0019038E"/>
    <w:rPr>
      <w:rFonts w:ascii="Times New Roman" w:eastAsia="Times New Roman" w:hAnsi="Times New Roman" w:cs="Times New Roman"/>
      <w:b/>
      <w:bCs/>
      <w:sz w:val="20"/>
      <w:szCs w:val="20"/>
      <w:lang w:val="en-US"/>
    </w:rPr>
  </w:style>
  <w:style w:type="character" w:customStyle="1" w:styleId="UnresolvedMention1">
    <w:name w:val="Unresolved Mention1"/>
    <w:basedOn w:val="DefaultParagraphFont"/>
    <w:uiPriority w:val="99"/>
    <w:rsid w:val="0019038E"/>
    <w:rPr>
      <w:color w:val="605E5C"/>
      <w:shd w:val="clear" w:color="auto" w:fill="E1DFDD"/>
    </w:rPr>
  </w:style>
  <w:style w:type="character" w:styleId="PlaceholderText">
    <w:name w:val="Placeholder Text"/>
    <w:basedOn w:val="DefaultParagraphFont"/>
    <w:uiPriority w:val="99"/>
    <w:semiHidden/>
    <w:rsid w:val="0019038E"/>
    <w:rPr>
      <w:color w:val="808080"/>
    </w:rPr>
  </w:style>
  <w:style w:type="character" w:customStyle="1" w:styleId="jss3947">
    <w:name w:val="jss3947"/>
    <w:basedOn w:val="DefaultParagraphFont"/>
    <w:rsid w:val="0019038E"/>
  </w:style>
  <w:style w:type="paragraph" w:customStyle="1" w:styleId="Default">
    <w:name w:val="Default"/>
    <w:rsid w:val="0019038E"/>
    <w:pPr>
      <w:autoSpaceDE w:val="0"/>
      <w:autoSpaceDN w:val="0"/>
      <w:adjustRightInd w:val="0"/>
    </w:pPr>
    <w:rPr>
      <w:rFonts w:ascii="Helvetica Neue" w:hAnsi="Helvetica Neue" w:cs="Helvetica Neue"/>
      <w:color w:val="000000"/>
      <w:lang w:val="en-US"/>
    </w:rPr>
  </w:style>
  <w:style w:type="character" w:customStyle="1" w:styleId="A3">
    <w:name w:val="A3"/>
    <w:uiPriority w:val="99"/>
    <w:rsid w:val="0019038E"/>
    <w:rPr>
      <w:rFonts w:cs="Helvetica Neue"/>
      <w:i/>
      <w:iCs/>
      <w:color w:val="000000"/>
      <w:sz w:val="11"/>
      <w:szCs w:val="11"/>
    </w:rPr>
  </w:style>
  <w:style w:type="paragraph" w:customStyle="1" w:styleId="amalstyle">
    <w:name w:val="amal style"/>
    <w:autoRedefine/>
    <w:rsid w:val="0019038E"/>
    <w:pPr>
      <w:pBdr>
        <w:top w:val="nil"/>
        <w:left w:val="nil"/>
        <w:bottom w:val="nil"/>
        <w:right w:val="nil"/>
        <w:between w:val="nil"/>
        <w:bar w:val="nil"/>
      </w:pBdr>
      <w:tabs>
        <w:tab w:val="left" w:pos="10206"/>
      </w:tabs>
      <w:spacing w:before="240" w:afterLines="280" w:after="672" w:line="360" w:lineRule="auto"/>
      <w:jc w:val="lowKashida"/>
    </w:pPr>
    <w:rPr>
      <w:rFonts w:ascii="Times New Roman" w:eastAsia="Times New Roman" w:hAnsi="Times New Roman" w:cs="Times New Roman"/>
      <w:u w:color="000000"/>
      <w:bdr w:val="nil"/>
      <w:lang w:val="en-GB"/>
    </w:rPr>
  </w:style>
  <w:style w:type="paragraph" w:styleId="Caption">
    <w:name w:val="caption"/>
    <w:basedOn w:val="Normal"/>
    <w:next w:val="Normal"/>
    <w:uiPriority w:val="35"/>
    <w:unhideWhenUsed/>
    <w:qFormat/>
    <w:rsid w:val="0019038E"/>
    <w:pPr>
      <w:pBdr>
        <w:top w:val="nil"/>
        <w:left w:val="nil"/>
        <w:bottom w:val="nil"/>
        <w:right w:val="nil"/>
        <w:between w:val="nil"/>
        <w:bar w:val="nil"/>
      </w:pBdr>
      <w:spacing w:after="200"/>
    </w:pPr>
    <w:rPr>
      <w:rFonts w:eastAsia="Arial Unicode MS"/>
      <w:b/>
      <w:bCs/>
      <w:sz w:val="18"/>
      <w:szCs w:val="18"/>
      <w:bdr w:val="nil"/>
    </w:rPr>
  </w:style>
  <w:style w:type="paragraph" w:styleId="Revision">
    <w:name w:val="Revision"/>
    <w:hidden/>
    <w:uiPriority w:val="99"/>
    <w:semiHidden/>
    <w:rsid w:val="0019038E"/>
    <w:rPr>
      <w:rFonts w:ascii="Times New Roman" w:eastAsia="Times New Roman" w:hAnsi="Times New Roman" w:cs="Times New Roman"/>
      <w:lang w:val="en-US"/>
    </w:rPr>
  </w:style>
  <w:style w:type="character" w:styleId="FollowedHyperlink">
    <w:name w:val="FollowedHyperlink"/>
    <w:basedOn w:val="DefaultParagraphFont"/>
    <w:uiPriority w:val="99"/>
    <w:semiHidden/>
    <w:unhideWhenUsed/>
    <w:rsid w:val="0019038E"/>
    <w:rPr>
      <w:color w:val="954F72" w:themeColor="followedHyperlink"/>
      <w:u w:val="single"/>
    </w:rPr>
  </w:style>
  <w:style w:type="paragraph" w:styleId="TOC1">
    <w:name w:val="toc 1"/>
    <w:basedOn w:val="Normal"/>
    <w:next w:val="Normal"/>
    <w:autoRedefine/>
    <w:uiPriority w:val="39"/>
    <w:unhideWhenUsed/>
    <w:rsid w:val="0019038E"/>
    <w:pPr>
      <w:spacing w:after="100"/>
    </w:pPr>
  </w:style>
  <w:style w:type="paragraph" w:styleId="TOC2">
    <w:name w:val="toc 2"/>
    <w:basedOn w:val="Normal"/>
    <w:next w:val="Normal"/>
    <w:autoRedefine/>
    <w:uiPriority w:val="39"/>
    <w:unhideWhenUsed/>
    <w:rsid w:val="0019038E"/>
    <w:pPr>
      <w:spacing w:after="100"/>
      <w:ind w:left="240"/>
    </w:pPr>
  </w:style>
  <w:style w:type="paragraph" w:styleId="TOC3">
    <w:name w:val="toc 3"/>
    <w:basedOn w:val="Normal"/>
    <w:next w:val="Normal"/>
    <w:autoRedefine/>
    <w:uiPriority w:val="39"/>
    <w:unhideWhenUsed/>
    <w:rsid w:val="0019038E"/>
    <w:pPr>
      <w:spacing w:after="100"/>
      <w:ind w:left="480"/>
    </w:pPr>
  </w:style>
  <w:style w:type="paragraph" w:styleId="TOC4">
    <w:name w:val="toc 4"/>
    <w:basedOn w:val="Normal"/>
    <w:next w:val="Normal"/>
    <w:autoRedefine/>
    <w:uiPriority w:val="39"/>
    <w:unhideWhenUsed/>
    <w:rsid w:val="0019038E"/>
    <w:pPr>
      <w:spacing w:after="100"/>
      <w:ind w:left="720"/>
    </w:pPr>
  </w:style>
  <w:style w:type="paragraph" w:styleId="TOC5">
    <w:name w:val="toc 5"/>
    <w:basedOn w:val="Normal"/>
    <w:next w:val="Normal"/>
    <w:autoRedefine/>
    <w:uiPriority w:val="39"/>
    <w:unhideWhenUsed/>
    <w:rsid w:val="0019038E"/>
    <w:pPr>
      <w:spacing w:after="100"/>
      <w:ind w:left="960"/>
    </w:pPr>
  </w:style>
  <w:style w:type="paragraph" w:styleId="TOC6">
    <w:name w:val="toc 6"/>
    <w:basedOn w:val="Normal"/>
    <w:next w:val="Normal"/>
    <w:autoRedefine/>
    <w:uiPriority w:val="39"/>
    <w:unhideWhenUsed/>
    <w:rsid w:val="0019038E"/>
    <w:pPr>
      <w:spacing w:after="100"/>
      <w:ind w:left="1200"/>
    </w:pPr>
    <w:rPr>
      <w:rFonts w:asciiTheme="minorHAnsi" w:eastAsiaTheme="minorEastAsia" w:hAnsiTheme="minorHAnsi" w:cstheme="minorBidi"/>
      <w:lang w:val="en-SA"/>
    </w:rPr>
  </w:style>
  <w:style w:type="paragraph" w:styleId="TOC7">
    <w:name w:val="toc 7"/>
    <w:basedOn w:val="Normal"/>
    <w:next w:val="Normal"/>
    <w:autoRedefine/>
    <w:uiPriority w:val="39"/>
    <w:unhideWhenUsed/>
    <w:rsid w:val="0019038E"/>
    <w:pPr>
      <w:spacing w:after="100"/>
      <w:ind w:left="1440"/>
    </w:pPr>
    <w:rPr>
      <w:rFonts w:asciiTheme="minorHAnsi" w:eastAsiaTheme="minorEastAsia" w:hAnsiTheme="minorHAnsi" w:cstheme="minorBidi"/>
      <w:lang w:val="en-SA"/>
    </w:rPr>
  </w:style>
  <w:style w:type="paragraph" w:styleId="TOC8">
    <w:name w:val="toc 8"/>
    <w:basedOn w:val="Normal"/>
    <w:next w:val="Normal"/>
    <w:autoRedefine/>
    <w:uiPriority w:val="39"/>
    <w:unhideWhenUsed/>
    <w:rsid w:val="0019038E"/>
    <w:pPr>
      <w:spacing w:after="100"/>
      <w:ind w:left="1680"/>
    </w:pPr>
    <w:rPr>
      <w:rFonts w:asciiTheme="minorHAnsi" w:eastAsiaTheme="minorEastAsia" w:hAnsiTheme="minorHAnsi" w:cstheme="minorBidi"/>
      <w:lang w:val="en-SA"/>
    </w:rPr>
  </w:style>
  <w:style w:type="paragraph" w:styleId="TOC9">
    <w:name w:val="toc 9"/>
    <w:basedOn w:val="Normal"/>
    <w:next w:val="Normal"/>
    <w:autoRedefine/>
    <w:uiPriority w:val="39"/>
    <w:unhideWhenUsed/>
    <w:rsid w:val="0019038E"/>
    <w:pPr>
      <w:spacing w:after="100"/>
      <w:ind w:left="1920"/>
    </w:pPr>
    <w:rPr>
      <w:rFonts w:asciiTheme="minorHAnsi" w:eastAsiaTheme="minorEastAsia" w:hAnsiTheme="minorHAnsi" w:cstheme="minorBidi"/>
      <w:lang w:val="en-SA"/>
    </w:rPr>
  </w:style>
  <w:style w:type="character" w:styleId="UnresolvedMention">
    <w:name w:val="Unresolved Mention"/>
    <w:basedOn w:val="DefaultParagraphFont"/>
    <w:uiPriority w:val="99"/>
    <w:unhideWhenUsed/>
    <w:rsid w:val="0019038E"/>
    <w:rPr>
      <w:color w:val="605E5C"/>
      <w:shd w:val="clear" w:color="auto" w:fill="E1DFDD"/>
    </w:rPr>
  </w:style>
  <w:style w:type="paragraph" w:styleId="TableofFigures">
    <w:name w:val="table of figures"/>
    <w:basedOn w:val="Normal"/>
    <w:next w:val="Normal"/>
    <w:uiPriority w:val="99"/>
    <w:unhideWhenUsed/>
    <w:rsid w:val="0019038E"/>
    <w:pPr>
      <w:spacing w:before="240" w:after="240"/>
    </w:pPr>
  </w:style>
  <w:style w:type="paragraph" w:customStyle="1" w:styleId="msonormal0">
    <w:name w:val="msonormal"/>
    <w:basedOn w:val="Normal"/>
    <w:rsid w:val="005E3F83"/>
    <w:pPr>
      <w:spacing w:before="100" w:beforeAutospacing="1" w:after="100" w:afterAutospacing="1"/>
    </w:pPr>
    <w:rPr>
      <w:rFonts w:eastAsiaTheme="minorEastAsia"/>
      <w:lang w:val="en-SA"/>
    </w:rPr>
  </w:style>
  <w:style w:type="character" w:customStyle="1" w:styleId="eq0j8">
    <w:name w:val="eq0j8"/>
    <w:basedOn w:val="DefaultParagraphFont"/>
    <w:rsid w:val="004D193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5601">
      <w:bodyDiv w:val="1"/>
      <w:marLeft w:val="0"/>
      <w:marRight w:val="0"/>
      <w:marTop w:val="0"/>
      <w:marBottom w:val="0"/>
      <w:divBdr>
        <w:top w:val="none" w:sz="0" w:space="0" w:color="auto"/>
        <w:left w:val="none" w:sz="0" w:space="0" w:color="auto"/>
        <w:bottom w:val="none" w:sz="0" w:space="0" w:color="auto"/>
        <w:right w:val="none" w:sz="0" w:space="0" w:color="auto"/>
      </w:divBdr>
    </w:div>
    <w:div w:id="544784">
      <w:bodyDiv w:val="1"/>
      <w:marLeft w:val="0"/>
      <w:marRight w:val="0"/>
      <w:marTop w:val="0"/>
      <w:marBottom w:val="0"/>
      <w:divBdr>
        <w:top w:val="none" w:sz="0" w:space="0" w:color="auto"/>
        <w:left w:val="none" w:sz="0" w:space="0" w:color="auto"/>
        <w:bottom w:val="none" w:sz="0" w:space="0" w:color="auto"/>
        <w:right w:val="none" w:sz="0" w:space="0" w:color="auto"/>
      </w:divBdr>
    </w:div>
    <w:div w:id="1589705">
      <w:bodyDiv w:val="1"/>
      <w:marLeft w:val="0"/>
      <w:marRight w:val="0"/>
      <w:marTop w:val="0"/>
      <w:marBottom w:val="0"/>
      <w:divBdr>
        <w:top w:val="none" w:sz="0" w:space="0" w:color="auto"/>
        <w:left w:val="none" w:sz="0" w:space="0" w:color="auto"/>
        <w:bottom w:val="none" w:sz="0" w:space="0" w:color="auto"/>
        <w:right w:val="none" w:sz="0" w:space="0" w:color="auto"/>
      </w:divBdr>
    </w:div>
    <w:div w:id="2823376">
      <w:bodyDiv w:val="1"/>
      <w:marLeft w:val="0"/>
      <w:marRight w:val="0"/>
      <w:marTop w:val="0"/>
      <w:marBottom w:val="0"/>
      <w:divBdr>
        <w:top w:val="none" w:sz="0" w:space="0" w:color="auto"/>
        <w:left w:val="none" w:sz="0" w:space="0" w:color="auto"/>
        <w:bottom w:val="none" w:sz="0" w:space="0" w:color="auto"/>
        <w:right w:val="none" w:sz="0" w:space="0" w:color="auto"/>
      </w:divBdr>
    </w:div>
    <w:div w:id="3090054">
      <w:bodyDiv w:val="1"/>
      <w:marLeft w:val="0"/>
      <w:marRight w:val="0"/>
      <w:marTop w:val="0"/>
      <w:marBottom w:val="0"/>
      <w:divBdr>
        <w:top w:val="none" w:sz="0" w:space="0" w:color="auto"/>
        <w:left w:val="none" w:sz="0" w:space="0" w:color="auto"/>
        <w:bottom w:val="none" w:sz="0" w:space="0" w:color="auto"/>
        <w:right w:val="none" w:sz="0" w:space="0" w:color="auto"/>
      </w:divBdr>
    </w:div>
    <w:div w:id="3242850">
      <w:bodyDiv w:val="1"/>
      <w:marLeft w:val="0"/>
      <w:marRight w:val="0"/>
      <w:marTop w:val="0"/>
      <w:marBottom w:val="0"/>
      <w:divBdr>
        <w:top w:val="none" w:sz="0" w:space="0" w:color="auto"/>
        <w:left w:val="none" w:sz="0" w:space="0" w:color="auto"/>
        <w:bottom w:val="none" w:sz="0" w:space="0" w:color="auto"/>
        <w:right w:val="none" w:sz="0" w:space="0" w:color="auto"/>
      </w:divBdr>
    </w:div>
    <w:div w:id="4524436">
      <w:bodyDiv w:val="1"/>
      <w:marLeft w:val="0"/>
      <w:marRight w:val="0"/>
      <w:marTop w:val="0"/>
      <w:marBottom w:val="0"/>
      <w:divBdr>
        <w:top w:val="none" w:sz="0" w:space="0" w:color="auto"/>
        <w:left w:val="none" w:sz="0" w:space="0" w:color="auto"/>
        <w:bottom w:val="none" w:sz="0" w:space="0" w:color="auto"/>
        <w:right w:val="none" w:sz="0" w:space="0" w:color="auto"/>
      </w:divBdr>
    </w:div>
    <w:div w:id="4941782">
      <w:bodyDiv w:val="1"/>
      <w:marLeft w:val="0"/>
      <w:marRight w:val="0"/>
      <w:marTop w:val="0"/>
      <w:marBottom w:val="0"/>
      <w:divBdr>
        <w:top w:val="none" w:sz="0" w:space="0" w:color="auto"/>
        <w:left w:val="none" w:sz="0" w:space="0" w:color="auto"/>
        <w:bottom w:val="none" w:sz="0" w:space="0" w:color="auto"/>
        <w:right w:val="none" w:sz="0" w:space="0" w:color="auto"/>
      </w:divBdr>
    </w:div>
    <w:div w:id="5597529">
      <w:bodyDiv w:val="1"/>
      <w:marLeft w:val="0"/>
      <w:marRight w:val="0"/>
      <w:marTop w:val="0"/>
      <w:marBottom w:val="0"/>
      <w:divBdr>
        <w:top w:val="none" w:sz="0" w:space="0" w:color="auto"/>
        <w:left w:val="none" w:sz="0" w:space="0" w:color="auto"/>
        <w:bottom w:val="none" w:sz="0" w:space="0" w:color="auto"/>
        <w:right w:val="none" w:sz="0" w:space="0" w:color="auto"/>
      </w:divBdr>
    </w:div>
    <w:div w:id="6298956">
      <w:bodyDiv w:val="1"/>
      <w:marLeft w:val="0"/>
      <w:marRight w:val="0"/>
      <w:marTop w:val="0"/>
      <w:marBottom w:val="0"/>
      <w:divBdr>
        <w:top w:val="none" w:sz="0" w:space="0" w:color="auto"/>
        <w:left w:val="none" w:sz="0" w:space="0" w:color="auto"/>
        <w:bottom w:val="none" w:sz="0" w:space="0" w:color="auto"/>
        <w:right w:val="none" w:sz="0" w:space="0" w:color="auto"/>
      </w:divBdr>
    </w:div>
    <w:div w:id="6644596">
      <w:bodyDiv w:val="1"/>
      <w:marLeft w:val="0"/>
      <w:marRight w:val="0"/>
      <w:marTop w:val="0"/>
      <w:marBottom w:val="0"/>
      <w:divBdr>
        <w:top w:val="none" w:sz="0" w:space="0" w:color="auto"/>
        <w:left w:val="none" w:sz="0" w:space="0" w:color="auto"/>
        <w:bottom w:val="none" w:sz="0" w:space="0" w:color="auto"/>
        <w:right w:val="none" w:sz="0" w:space="0" w:color="auto"/>
      </w:divBdr>
    </w:div>
    <w:div w:id="7562703">
      <w:bodyDiv w:val="1"/>
      <w:marLeft w:val="0"/>
      <w:marRight w:val="0"/>
      <w:marTop w:val="0"/>
      <w:marBottom w:val="0"/>
      <w:divBdr>
        <w:top w:val="none" w:sz="0" w:space="0" w:color="auto"/>
        <w:left w:val="none" w:sz="0" w:space="0" w:color="auto"/>
        <w:bottom w:val="none" w:sz="0" w:space="0" w:color="auto"/>
        <w:right w:val="none" w:sz="0" w:space="0" w:color="auto"/>
      </w:divBdr>
    </w:div>
    <w:div w:id="8988315">
      <w:bodyDiv w:val="1"/>
      <w:marLeft w:val="0"/>
      <w:marRight w:val="0"/>
      <w:marTop w:val="0"/>
      <w:marBottom w:val="0"/>
      <w:divBdr>
        <w:top w:val="none" w:sz="0" w:space="0" w:color="auto"/>
        <w:left w:val="none" w:sz="0" w:space="0" w:color="auto"/>
        <w:bottom w:val="none" w:sz="0" w:space="0" w:color="auto"/>
        <w:right w:val="none" w:sz="0" w:space="0" w:color="auto"/>
      </w:divBdr>
    </w:div>
    <w:div w:id="10299912">
      <w:bodyDiv w:val="1"/>
      <w:marLeft w:val="0"/>
      <w:marRight w:val="0"/>
      <w:marTop w:val="0"/>
      <w:marBottom w:val="0"/>
      <w:divBdr>
        <w:top w:val="none" w:sz="0" w:space="0" w:color="auto"/>
        <w:left w:val="none" w:sz="0" w:space="0" w:color="auto"/>
        <w:bottom w:val="none" w:sz="0" w:space="0" w:color="auto"/>
        <w:right w:val="none" w:sz="0" w:space="0" w:color="auto"/>
      </w:divBdr>
    </w:div>
    <w:div w:id="10374225">
      <w:bodyDiv w:val="1"/>
      <w:marLeft w:val="0"/>
      <w:marRight w:val="0"/>
      <w:marTop w:val="0"/>
      <w:marBottom w:val="0"/>
      <w:divBdr>
        <w:top w:val="none" w:sz="0" w:space="0" w:color="auto"/>
        <w:left w:val="none" w:sz="0" w:space="0" w:color="auto"/>
        <w:bottom w:val="none" w:sz="0" w:space="0" w:color="auto"/>
        <w:right w:val="none" w:sz="0" w:space="0" w:color="auto"/>
      </w:divBdr>
    </w:div>
    <w:div w:id="10760979">
      <w:bodyDiv w:val="1"/>
      <w:marLeft w:val="0"/>
      <w:marRight w:val="0"/>
      <w:marTop w:val="0"/>
      <w:marBottom w:val="0"/>
      <w:divBdr>
        <w:top w:val="none" w:sz="0" w:space="0" w:color="auto"/>
        <w:left w:val="none" w:sz="0" w:space="0" w:color="auto"/>
        <w:bottom w:val="none" w:sz="0" w:space="0" w:color="auto"/>
        <w:right w:val="none" w:sz="0" w:space="0" w:color="auto"/>
      </w:divBdr>
    </w:div>
    <w:div w:id="11037325">
      <w:bodyDiv w:val="1"/>
      <w:marLeft w:val="0"/>
      <w:marRight w:val="0"/>
      <w:marTop w:val="0"/>
      <w:marBottom w:val="0"/>
      <w:divBdr>
        <w:top w:val="none" w:sz="0" w:space="0" w:color="auto"/>
        <w:left w:val="none" w:sz="0" w:space="0" w:color="auto"/>
        <w:bottom w:val="none" w:sz="0" w:space="0" w:color="auto"/>
        <w:right w:val="none" w:sz="0" w:space="0" w:color="auto"/>
      </w:divBdr>
    </w:div>
    <w:div w:id="13003816">
      <w:bodyDiv w:val="1"/>
      <w:marLeft w:val="0"/>
      <w:marRight w:val="0"/>
      <w:marTop w:val="0"/>
      <w:marBottom w:val="0"/>
      <w:divBdr>
        <w:top w:val="none" w:sz="0" w:space="0" w:color="auto"/>
        <w:left w:val="none" w:sz="0" w:space="0" w:color="auto"/>
        <w:bottom w:val="none" w:sz="0" w:space="0" w:color="auto"/>
        <w:right w:val="none" w:sz="0" w:space="0" w:color="auto"/>
      </w:divBdr>
    </w:div>
    <w:div w:id="13043031">
      <w:bodyDiv w:val="1"/>
      <w:marLeft w:val="0"/>
      <w:marRight w:val="0"/>
      <w:marTop w:val="0"/>
      <w:marBottom w:val="0"/>
      <w:divBdr>
        <w:top w:val="none" w:sz="0" w:space="0" w:color="auto"/>
        <w:left w:val="none" w:sz="0" w:space="0" w:color="auto"/>
        <w:bottom w:val="none" w:sz="0" w:space="0" w:color="auto"/>
        <w:right w:val="none" w:sz="0" w:space="0" w:color="auto"/>
      </w:divBdr>
    </w:div>
    <w:div w:id="14892866">
      <w:bodyDiv w:val="1"/>
      <w:marLeft w:val="0"/>
      <w:marRight w:val="0"/>
      <w:marTop w:val="0"/>
      <w:marBottom w:val="0"/>
      <w:divBdr>
        <w:top w:val="none" w:sz="0" w:space="0" w:color="auto"/>
        <w:left w:val="none" w:sz="0" w:space="0" w:color="auto"/>
        <w:bottom w:val="none" w:sz="0" w:space="0" w:color="auto"/>
        <w:right w:val="none" w:sz="0" w:space="0" w:color="auto"/>
      </w:divBdr>
    </w:div>
    <w:div w:id="15233275">
      <w:bodyDiv w:val="1"/>
      <w:marLeft w:val="0"/>
      <w:marRight w:val="0"/>
      <w:marTop w:val="0"/>
      <w:marBottom w:val="0"/>
      <w:divBdr>
        <w:top w:val="none" w:sz="0" w:space="0" w:color="auto"/>
        <w:left w:val="none" w:sz="0" w:space="0" w:color="auto"/>
        <w:bottom w:val="none" w:sz="0" w:space="0" w:color="auto"/>
        <w:right w:val="none" w:sz="0" w:space="0" w:color="auto"/>
      </w:divBdr>
    </w:div>
    <w:div w:id="16741091">
      <w:bodyDiv w:val="1"/>
      <w:marLeft w:val="0"/>
      <w:marRight w:val="0"/>
      <w:marTop w:val="0"/>
      <w:marBottom w:val="0"/>
      <w:divBdr>
        <w:top w:val="none" w:sz="0" w:space="0" w:color="auto"/>
        <w:left w:val="none" w:sz="0" w:space="0" w:color="auto"/>
        <w:bottom w:val="none" w:sz="0" w:space="0" w:color="auto"/>
        <w:right w:val="none" w:sz="0" w:space="0" w:color="auto"/>
      </w:divBdr>
    </w:div>
    <w:div w:id="16852095">
      <w:bodyDiv w:val="1"/>
      <w:marLeft w:val="0"/>
      <w:marRight w:val="0"/>
      <w:marTop w:val="0"/>
      <w:marBottom w:val="0"/>
      <w:divBdr>
        <w:top w:val="none" w:sz="0" w:space="0" w:color="auto"/>
        <w:left w:val="none" w:sz="0" w:space="0" w:color="auto"/>
        <w:bottom w:val="none" w:sz="0" w:space="0" w:color="auto"/>
        <w:right w:val="none" w:sz="0" w:space="0" w:color="auto"/>
      </w:divBdr>
    </w:div>
    <w:div w:id="17775796">
      <w:bodyDiv w:val="1"/>
      <w:marLeft w:val="0"/>
      <w:marRight w:val="0"/>
      <w:marTop w:val="0"/>
      <w:marBottom w:val="0"/>
      <w:divBdr>
        <w:top w:val="none" w:sz="0" w:space="0" w:color="auto"/>
        <w:left w:val="none" w:sz="0" w:space="0" w:color="auto"/>
        <w:bottom w:val="none" w:sz="0" w:space="0" w:color="auto"/>
        <w:right w:val="none" w:sz="0" w:space="0" w:color="auto"/>
      </w:divBdr>
    </w:div>
    <w:div w:id="19863150">
      <w:bodyDiv w:val="1"/>
      <w:marLeft w:val="0"/>
      <w:marRight w:val="0"/>
      <w:marTop w:val="0"/>
      <w:marBottom w:val="0"/>
      <w:divBdr>
        <w:top w:val="none" w:sz="0" w:space="0" w:color="auto"/>
        <w:left w:val="none" w:sz="0" w:space="0" w:color="auto"/>
        <w:bottom w:val="none" w:sz="0" w:space="0" w:color="auto"/>
        <w:right w:val="none" w:sz="0" w:space="0" w:color="auto"/>
      </w:divBdr>
    </w:div>
    <w:div w:id="21831615">
      <w:bodyDiv w:val="1"/>
      <w:marLeft w:val="0"/>
      <w:marRight w:val="0"/>
      <w:marTop w:val="0"/>
      <w:marBottom w:val="0"/>
      <w:divBdr>
        <w:top w:val="none" w:sz="0" w:space="0" w:color="auto"/>
        <w:left w:val="none" w:sz="0" w:space="0" w:color="auto"/>
        <w:bottom w:val="none" w:sz="0" w:space="0" w:color="auto"/>
        <w:right w:val="none" w:sz="0" w:space="0" w:color="auto"/>
      </w:divBdr>
    </w:div>
    <w:div w:id="22293223">
      <w:bodyDiv w:val="1"/>
      <w:marLeft w:val="0"/>
      <w:marRight w:val="0"/>
      <w:marTop w:val="0"/>
      <w:marBottom w:val="0"/>
      <w:divBdr>
        <w:top w:val="none" w:sz="0" w:space="0" w:color="auto"/>
        <w:left w:val="none" w:sz="0" w:space="0" w:color="auto"/>
        <w:bottom w:val="none" w:sz="0" w:space="0" w:color="auto"/>
        <w:right w:val="none" w:sz="0" w:space="0" w:color="auto"/>
      </w:divBdr>
    </w:div>
    <w:div w:id="22554903">
      <w:bodyDiv w:val="1"/>
      <w:marLeft w:val="0"/>
      <w:marRight w:val="0"/>
      <w:marTop w:val="0"/>
      <w:marBottom w:val="0"/>
      <w:divBdr>
        <w:top w:val="none" w:sz="0" w:space="0" w:color="auto"/>
        <w:left w:val="none" w:sz="0" w:space="0" w:color="auto"/>
        <w:bottom w:val="none" w:sz="0" w:space="0" w:color="auto"/>
        <w:right w:val="none" w:sz="0" w:space="0" w:color="auto"/>
      </w:divBdr>
    </w:div>
    <w:div w:id="22749521">
      <w:bodyDiv w:val="1"/>
      <w:marLeft w:val="0"/>
      <w:marRight w:val="0"/>
      <w:marTop w:val="0"/>
      <w:marBottom w:val="0"/>
      <w:divBdr>
        <w:top w:val="none" w:sz="0" w:space="0" w:color="auto"/>
        <w:left w:val="none" w:sz="0" w:space="0" w:color="auto"/>
        <w:bottom w:val="none" w:sz="0" w:space="0" w:color="auto"/>
        <w:right w:val="none" w:sz="0" w:space="0" w:color="auto"/>
      </w:divBdr>
    </w:div>
    <w:div w:id="24058712">
      <w:bodyDiv w:val="1"/>
      <w:marLeft w:val="0"/>
      <w:marRight w:val="0"/>
      <w:marTop w:val="0"/>
      <w:marBottom w:val="0"/>
      <w:divBdr>
        <w:top w:val="none" w:sz="0" w:space="0" w:color="auto"/>
        <w:left w:val="none" w:sz="0" w:space="0" w:color="auto"/>
        <w:bottom w:val="none" w:sz="0" w:space="0" w:color="auto"/>
        <w:right w:val="none" w:sz="0" w:space="0" w:color="auto"/>
      </w:divBdr>
    </w:div>
    <w:div w:id="24523292">
      <w:bodyDiv w:val="1"/>
      <w:marLeft w:val="0"/>
      <w:marRight w:val="0"/>
      <w:marTop w:val="0"/>
      <w:marBottom w:val="0"/>
      <w:divBdr>
        <w:top w:val="none" w:sz="0" w:space="0" w:color="auto"/>
        <w:left w:val="none" w:sz="0" w:space="0" w:color="auto"/>
        <w:bottom w:val="none" w:sz="0" w:space="0" w:color="auto"/>
        <w:right w:val="none" w:sz="0" w:space="0" w:color="auto"/>
      </w:divBdr>
    </w:div>
    <w:div w:id="24714883">
      <w:bodyDiv w:val="1"/>
      <w:marLeft w:val="0"/>
      <w:marRight w:val="0"/>
      <w:marTop w:val="0"/>
      <w:marBottom w:val="0"/>
      <w:divBdr>
        <w:top w:val="none" w:sz="0" w:space="0" w:color="auto"/>
        <w:left w:val="none" w:sz="0" w:space="0" w:color="auto"/>
        <w:bottom w:val="none" w:sz="0" w:space="0" w:color="auto"/>
        <w:right w:val="none" w:sz="0" w:space="0" w:color="auto"/>
      </w:divBdr>
    </w:div>
    <w:div w:id="26033249">
      <w:bodyDiv w:val="1"/>
      <w:marLeft w:val="0"/>
      <w:marRight w:val="0"/>
      <w:marTop w:val="0"/>
      <w:marBottom w:val="0"/>
      <w:divBdr>
        <w:top w:val="none" w:sz="0" w:space="0" w:color="auto"/>
        <w:left w:val="none" w:sz="0" w:space="0" w:color="auto"/>
        <w:bottom w:val="none" w:sz="0" w:space="0" w:color="auto"/>
        <w:right w:val="none" w:sz="0" w:space="0" w:color="auto"/>
      </w:divBdr>
    </w:div>
    <w:div w:id="26610578">
      <w:bodyDiv w:val="1"/>
      <w:marLeft w:val="0"/>
      <w:marRight w:val="0"/>
      <w:marTop w:val="0"/>
      <w:marBottom w:val="0"/>
      <w:divBdr>
        <w:top w:val="none" w:sz="0" w:space="0" w:color="auto"/>
        <w:left w:val="none" w:sz="0" w:space="0" w:color="auto"/>
        <w:bottom w:val="none" w:sz="0" w:space="0" w:color="auto"/>
        <w:right w:val="none" w:sz="0" w:space="0" w:color="auto"/>
      </w:divBdr>
    </w:div>
    <w:div w:id="27419453">
      <w:bodyDiv w:val="1"/>
      <w:marLeft w:val="0"/>
      <w:marRight w:val="0"/>
      <w:marTop w:val="0"/>
      <w:marBottom w:val="0"/>
      <w:divBdr>
        <w:top w:val="none" w:sz="0" w:space="0" w:color="auto"/>
        <w:left w:val="none" w:sz="0" w:space="0" w:color="auto"/>
        <w:bottom w:val="none" w:sz="0" w:space="0" w:color="auto"/>
        <w:right w:val="none" w:sz="0" w:space="0" w:color="auto"/>
      </w:divBdr>
    </w:div>
    <w:div w:id="28265535">
      <w:bodyDiv w:val="1"/>
      <w:marLeft w:val="0"/>
      <w:marRight w:val="0"/>
      <w:marTop w:val="0"/>
      <w:marBottom w:val="0"/>
      <w:divBdr>
        <w:top w:val="none" w:sz="0" w:space="0" w:color="auto"/>
        <w:left w:val="none" w:sz="0" w:space="0" w:color="auto"/>
        <w:bottom w:val="none" w:sz="0" w:space="0" w:color="auto"/>
        <w:right w:val="none" w:sz="0" w:space="0" w:color="auto"/>
      </w:divBdr>
    </w:div>
    <w:div w:id="28646725">
      <w:bodyDiv w:val="1"/>
      <w:marLeft w:val="0"/>
      <w:marRight w:val="0"/>
      <w:marTop w:val="0"/>
      <w:marBottom w:val="0"/>
      <w:divBdr>
        <w:top w:val="none" w:sz="0" w:space="0" w:color="auto"/>
        <w:left w:val="none" w:sz="0" w:space="0" w:color="auto"/>
        <w:bottom w:val="none" w:sz="0" w:space="0" w:color="auto"/>
        <w:right w:val="none" w:sz="0" w:space="0" w:color="auto"/>
      </w:divBdr>
    </w:div>
    <w:div w:id="30151892">
      <w:bodyDiv w:val="1"/>
      <w:marLeft w:val="0"/>
      <w:marRight w:val="0"/>
      <w:marTop w:val="0"/>
      <w:marBottom w:val="0"/>
      <w:divBdr>
        <w:top w:val="none" w:sz="0" w:space="0" w:color="auto"/>
        <w:left w:val="none" w:sz="0" w:space="0" w:color="auto"/>
        <w:bottom w:val="none" w:sz="0" w:space="0" w:color="auto"/>
        <w:right w:val="none" w:sz="0" w:space="0" w:color="auto"/>
      </w:divBdr>
    </w:div>
    <w:div w:id="30806154">
      <w:bodyDiv w:val="1"/>
      <w:marLeft w:val="0"/>
      <w:marRight w:val="0"/>
      <w:marTop w:val="0"/>
      <w:marBottom w:val="0"/>
      <w:divBdr>
        <w:top w:val="none" w:sz="0" w:space="0" w:color="auto"/>
        <w:left w:val="none" w:sz="0" w:space="0" w:color="auto"/>
        <w:bottom w:val="none" w:sz="0" w:space="0" w:color="auto"/>
        <w:right w:val="none" w:sz="0" w:space="0" w:color="auto"/>
      </w:divBdr>
    </w:div>
    <w:div w:id="31347661">
      <w:bodyDiv w:val="1"/>
      <w:marLeft w:val="0"/>
      <w:marRight w:val="0"/>
      <w:marTop w:val="0"/>
      <w:marBottom w:val="0"/>
      <w:divBdr>
        <w:top w:val="none" w:sz="0" w:space="0" w:color="auto"/>
        <w:left w:val="none" w:sz="0" w:space="0" w:color="auto"/>
        <w:bottom w:val="none" w:sz="0" w:space="0" w:color="auto"/>
        <w:right w:val="none" w:sz="0" w:space="0" w:color="auto"/>
      </w:divBdr>
    </w:div>
    <w:div w:id="32076018">
      <w:bodyDiv w:val="1"/>
      <w:marLeft w:val="0"/>
      <w:marRight w:val="0"/>
      <w:marTop w:val="0"/>
      <w:marBottom w:val="0"/>
      <w:divBdr>
        <w:top w:val="none" w:sz="0" w:space="0" w:color="auto"/>
        <w:left w:val="none" w:sz="0" w:space="0" w:color="auto"/>
        <w:bottom w:val="none" w:sz="0" w:space="0" w:color="auto"/>
        <w:right w:val="none" w:sz="0" w:space="0" w:color="auto"/>
      </w:divBdr>
    </w:div>
    <w:div w:id="33970775">
      <w:bodyDiv w:val="1"/>
      <w:marLeft w:val="0"/>
      <w:marRight w:val="0"/>
      <w:marTop w:val="0"/>
      <w:marBottom w:val="0"/>
      <w:divBdr>
        <w:top w:val="none" w:sz="0" w:space="0" w:color="auto"/>
        <w:left w:val="none" w:sz="0" w:space="0" w:color="auto"/>
        <w:bottom w:val="none" w:sz="0" w:space="0" w:color="auto"/>
        <w:right w:val="none" w:sz="0" w:space="0" w:color="auto"/>
      </w:divBdr>
    </w:div>
    <w:div w:id="34159797">
      <w:bodyDiv w:val="1"/>
      <w:marLeft w:val="0"/>
      <w:marRight w:val="0"/>
      <w:marTop w:val="0"/>
      <w:marBottom w:val="0"/>
      <w:divBdr>
        <w:top w:val="none" w:sz="0" w:space="0" w:color="auto"/>
        <w:left w:val="none" w:sz="0" w:space="0" w:color="auto"/>
        <w:bottom w:val="none" w:sz="0" w:space="0" w:color="auto"/>
        <w:right w:val="none" w:sz="0" w:space="0" w:color="auto"/>
      </w:divBdr>
    </w:div>
    <w:div w:id="34434636">
      <w:bodyDiv w:val="1"/>
      <w:marLeft w:val="0"/>
      <w:marRight w:val="0"/>
      <w:marTop w:val="0"/>
      <w:marBottom w:val="0"/>
      <w:divBdr>
        <w:top w:val="none" w:sz="0" w:space="0" w:color="auto"/>
        <w:left w:val="none" w:sz="0" w:space="0" w:color="auto"/>
        <w:bottom w:val="none" w:sz="0" w:space="0" w:color="auto"/>
        <w:right w:val="none" w:sz="0" w:space="0" w:color="auto"/>
      </w:divBdr>
    </w:div>
    <w:div w:id="38363006">
      <w:bodyDiv w:val="1"/>
      <w:marLeft w:val="0"/>
      <w:marRight w:val="0"/>
      <w:marTop w:val="0"/>
      <w:marBottom w:val="0"/>
      <w:divBdr>
        <w:top w:val="none" w:sz="0" w:space="0" w:color="auto"/>
        <w:left w:val="none" w:sz="0" w:space="0" w:color="auto"/>
        <w:bottom w:val="none" w:sz="0" w:space="0" w:color="auto"/>
        <w:right w:val="none" w:sz="0" w:space="0" w:color="auto"/>
      </w:divBdr>
    </w:div>
    <w:div w:id="38864674">
      <w:bodyDiv w:val="1"/>
      <w:marLeft w:val="0"/>
      <w:marRight w:val="0"/>
      <w:marTop w:val="0"/>
      <w:marBottom w:val="0"/>
      <w:divBdr>
        <w:top w:val="none" w:sz="0" w:space="0" w:color="auto"/>
        <w:left w:val="none" w:sz="0" w:space="0" w:color="auto"/>
        <w:bottom w:val="none" w:sz="0" w:space="0" w:color="auto"/>
        <w:right w:val="none" w:sz="0" w:space="0" w:color="auto"/>
      </w:divBdr>
    </w:div>
    <w:div w:id="39323946">
      <w:bodyDiv w:val="1"/>
      <w:marLeft w:val="0"/>
      <w:marRight w:val="0"/>
      <w:marTop w:val="0"/>
      <w:marBottom w:val="0"/>
      <w:divBdr>
        <w:top w:val="none" w:sz="0" w:space="0" w:color="auto"/>
        <w:left w:val="none" w:sz="0" w:space="0" w:color="auto"/>
        <w:bottom w:val="none" w:sz="0" w:space="0" w:color="auto"/>
        <w:right w:val="none" w:sz="0" w:space="0" w:color="auto"/>
      </w:divBdr>
    </w:div>
    <w:div w:id="39478309">
      <w:bodyDiv w:val="1"/>
      <w:marLeft w:val="0"/>
      <w:marRight w:val="0"/>
      <w:marTop w:val="0"/>
      <w:marBottom w:val="0"/>
      <w:divBdr>
        <w:top w:val="none" w:sz="0" w:space="0" w:color="auto"/>
        <w:left w:val="none" w:sz="0" w:space="0" w:color="auto"/>
        <w:bottom w:val="none" w:sz="0" w:space="0" w:color="auto"/>
        <w:right w:val="none" w:sz="0" w:space="0" w:color="auto"/>
      </w:divBdr>
    </w:div>
    <w:div w:id="40714155">
      <w:bodyDiv w:val="1"/>
      <w:marLeft w:val="0"/>
      <w:marRight w:val="0"/>
      <w:marTop w:val="0"/>
      <w:marBottom w:val="0"/>
      <w:divBdr>
        <w:top w:val="none" w:sz="0" w:space="0" w:color="auto"/>
        <w:left w:val="none" w:sz="0" w:space="0" w:color="auto"/>
        <w:bottom w:val="none" w:sz="0" w:space="0" w:color="auto"/>
        <w:right w:val="none" w:sz="0" w:space="0" w:color="auto"/>
      </w:divBdr>
    </w:div>
    <w:div w:id="41100970">
      <w:bodyDiv w:val="1"/>
      <w:marLeft w:val="0"/>
      <w:marRight w:val="0"/>
      <w:marTop w:val="0"/>
      <w:marBottom w:val="0"/>
      <w:divBdr>
        <w:top w:val="none" w:sz="0" w:space="0" w:color="auto"/>
        <w:left w:val="none" w:sz="0" w:space="0" w:color="auto"/>
        <w:bottom w:val="none" w:sz="0" w:space="0" w:color="auto"/>
        <w:right w:val="none" w:sz="0" w:space="0" w:color="auto"/>
      </w:divBdr>
    </w:div>
    <w:div w:id="41638698">
      <w:bodyDiv w:val="1"/>
      <w:marLeft w:val="0"/>
      <w:marRight w:val="0"/>
      <w:marTop w:val="0"/>
      <w:marBottom w:val="0"/>
      <w:divBdr>
        <w:top w:val="none" w:sz="0" w:space="0" w:color="auto"/>
        <w:left w:val="none" w:sz="0" w:space="0" w:color="auto"/>
        <w:bottom w:val="none" w:sz="0" w:space="0" w:color="auto"/>
        <w:right w:val="none" w:sz="0" w:space="0" w:color="auto"/>
      </w:divBdr>
    </w:div>
    <w:div w:id="43409815">
      <w:bodyDiv w:val="1"/>
      <w:marLeft w:val="0"/>
      <w:marRight w:val="0"/>
      <w:marTop w:val="0"/>
      <w:marBottom w:val="0"/>
      <w:divBdr>
        <w:top w:val="none" w:sz="0" w:space="0" w:color="auto"/>
        <w:left w:val="none" w:sz="0" w:space="0" w:color="auto"/>
        <w:bottom w:val="none" w:sz="0" w:space="0" w:color="auto"/>
        <w:right w:val="none" w:sz="0" w:space="0" w:color="auto"/>
      </w:divBdr>
    </w:div>
    <w:div w:id="44645015">
      <w:bodyDiv w:val="1"/>
      <w:marLeft w:val="0"/>
      <w:marRight w:val="0"/>
      <w:marTop w:val="0"/>
      <w:marBottom w:val="0"/>
      <w:divBdr>
        <w:top w:val="none" w:sz="0" w:space="0" w:color="auto"/>
        <w:left w:val="none" w:sz="0" w:space="0" w:color="auto"/>
        <w:bottom w:val="none" w:sz="0" w:space="0" w:color="auto"/>
        <w:right w:val="none" w:sz="0" w:space="0" w:color="auto"/>
      </w:divBdr>
    </w:div>
    <w:div w:id="44719615">
      <w:bodyDiv w:val="1"/>
      <w:marLeft w:val="0"/>
      <w:marRight w:val="0"/>
      <w:marTop w:val="0"/>
      <w:marBottom w:val="0"/>
      <w:divBdr>
        <w:top w:val="none" w:sz="0" w:space="0" w:color="auto"/>
        <w:left w:val="none" w:sz="0" w:space="0" w:color="auto"/>
        <w:bottom w:val="none" w:sz="0" w:space="0" w:color="auto"/>
        <w:right w:val="none" w:sz="0" w:space="0" w:color="auto"/>
      </w:divBdr>
    </w:div>
    <w:div w:id="45183373">
      <w:bodyDiv w:val="1"/>
      <w:marLeft w:val="0"/>
      <w:marRight w:val="0"/>
      <w:marTop w:val="0"/>
      <w:marBottom w:val="0"/>
      <w:divBdr>
        <w:top w:val="none" w:sz="0" w:space="0" w:color="auto"/>
        <w:left w:val="none" w:sz="0" w:space="0" w:color="auto"/>
        <w:bottom w:val="none" w:sz="0" w:space="0" w:color="auto"/>
        <w:right w:val="none" w:sz="0" w:space="0" w:color="auto"/>
      </w:divBdr>
    </w:div>
    <w:div w:id="45185487">
      <w:bodyDiv w:val="1"/>
      <w:marLeft w:val="0"/>
      <w:marRight w:val="0"/>
      <w:marTop w:val="0"/>
      <w:marBottom w:val="0"/>
      <w:divBdr>
        <w:top w:val="none" w:sz="0" w:space="0" w:color="auto"/>
        <w:left w:val="none" w:sz="0" w:space="0" w:color="auto"/>
        <w:bottom w:val="none" w:sz="0" w:space="0" w:color="auto"/>
        <w:right w:val="none" w:sz="0" w:space="0" w:color="auto"/>
      </w:divBdr>
    </w:div>
    <w:div w:id="46688844">
      <w:bodyDiv w:val="1"/>
      <w:marLeft w:val="0"/>
      <w:marRight w:val="0"/>
      <w:marTop w:val="0"/>
      <w:marBottom w:val="0"/>
      <w:divBdr>
        <w:top w:val="none" w:sz="0" w:space="0" w:color="auto"/>
        <w:left w:val="none" w:sz="0" w:space="0" w:color="auto"/>
        <w:bottom w:val="none" w:sz="0" w:space="0" w:color="auto"/>
        <w:right w:val="none" w:sz="0" w:space="0" w:color="auto"/>
      </w:divBdr>
    </w:div>
    <w:div w:id="47648686">
      <w:bodyDiv w:val="1"/>
      <w:marLeft w:val="0"/>
      <w:marRight w:val="0"/>
      <w:marTop w:val="0"/>
      <w:marBottom w:val="0"/>
      <w:divBdr>
        <w:top w:val="none" w:sz="0" w:space="0" w:color="auto"/>
        <w:left w:val="none" w:sz="0" w:space="0" w:color="auto"/>
        <w:bottom w:val="none" w:sz="0" w:space="0" w:color="auto"/>
        <w:right w:val="none" w:sz="0" w:space="0" w:color="auto"/>
      </w:divBdr>
    </w:div>
    <w:div w:id="48235316">
      <w:bodyDiv w:val="1"/>
      <w:marLeft w:val="0"/>
      <w:marRight w:val="0"/>
      <w:marTop w:val="0"/>
      <w:marBottom w:val="0"/>
      <w:divBdr>
        <w:top w:val="none" w:sz="0" w:space="0" w:color="auto"/>
        <w:left w:val="none" w:sz="0" w:space="0" w:color="auto"/>
        <w:bottom w:val="none" w:sz="0" w:space="0" w:color="auto"/>
        <w:right w:val="none" w:sz="0" w:space="0" w:color="auto"/>
      </w:divBdr>
    </w:div>
    <w:div w:id="50010188">
      <w:bodyDiv w:val="1"/>
      <w:marLeft w:val="0"/>
      <w:marRight w:val="0"/>
      <w:marTop w:val="0"/>
      <w:marBottom w:val="0"/>
      <w:divBdr>
        <w:top w:val="none" w:sz="0" w:space="0" w:color="auto"/>
        <w:left w:val="none" w:sz="0" w:space="0" w:color="auto"/>
        <w:bottom w:val="none" w:sz="0" w:space="0" w:color="auto"/>
        <w:right w:val="none" w:sz="0" w:space="0" w:color="auto"/>
      </w:divBdr>
    </w:div>
    <w:div w:id="50230676">
      <w:bodyDiv w:val="1"/>
      <w:marLeft w:val="0"/>
      <w:marRight w:val="0"/>
      <w:marTop w:val="0"/>
      <w:marBottom w:val="0"/>
      <w:divBdr>
        <w:top w:val="none" w:sz="0" w:space="0" w:color="auto"/>
        <w:left w:val="none" w:sz="0" w:space="0" w:color="auto"/>
        <w:bottom w:val="none" w:sz="0" w:space="0" w:color="auto"/>
        <w:right w:val="none" w:sz="0" w:space="0" w:color="auto"/>
      </w:divBdr>
    </w:div>
    <w:div w:id="50428878">
      <w:bodyDiv w:val="1"/>
      <w:marLeft w:val="0"/>
      <w:marRight w:val="0"/>
      <w:marTop w:val="0"/>
      <w:marBottom w:val="0"/>
      <w:divBdr>
        <w:top w:val="none" w:sz="0" w:space="0" w:color="auto"/>
        <w:left w:val="none" w:sz="0" w:space="0" w:color="auto"/>
        <w:bottom w:val="none" w:sz="0" w:space="0" w:color="auto"/>
        <w:right w:val="none" w:sz="0" w:space="0" w:color="auto"/>
      </w:divBdr>
    </w:div>
    <w:div w:id="51081941">
      <w:bodyDiv w:val="1"/>
      <w:marLeft w:val="0"/>
      <w:marRight w:val="0"/>
      <w:marTop w:val="0"/>
      <w:marBottom w:val="0"/>
      <w:divBdr>
        <w:top w:val="none" w:sz="0" w:space="0" w:color="auto"/>
        <w:left w:val="none" w:sz="0" w:space="0" w:color="auto"/>
        <w:bottom w:val="none" w:sz="0" w:space="0" w:color="auto"/>
        <w:right w:val="none" w:sz="0" w:space="0" w:color="auto"/>
      </w:divBdr>
    </w:div>
    <w:div w:id="51734596">
      <w:bodyDiv w:val="1"/>
      <w:marLeft w:val="0"/>
      <w:marRight w:val="0"/>
      <w:marTop w:val="0"/>
      <w:marBottom w:val="0"/>
      <w:divBdr>
        <w:top w:val="none" w:sz="0" w:space="0" w:color="auto"/>
        <w:left w:val="none" w:sz="0" w:space="0" w:color="auto"/>
        <w:bottom w:val="none" w:sz="0" w:space="0" w:color="auto"/>
        <w:right w:val="none" w:sz="0" w:space="0" w:color="auto"/>
      </w:divBdr>
    </w:div>
    <w:div w:id="51782771">
      <w:bodyDiv w:val="1"/>
      <w:marLeft w:val="0"/>
      <w:marRight w:val="0"/>
      <w:marTop w:val="0"/>
      <w:marBottom w:val="0"/>
      <w:divBdr>
        <w:top w:val="none" w:sz="0" w:space="0" w:color="auto"/>
        <w:left w:val="none" w:sz="0" w:space="0" w:color="auto"/>
        <w:bottom w:val="none" w:sz="0" w:space="0" w:color="auto"/>
        <w:right w:val="none" w:sz="0" w:space="0" w:color="auto"/>
      </w:divBdr>
    </w:div>
    <w:div w:id="51932711">
      <w:bodyDiv w:val="1"/>
      <w:marLeft w:val="0"/>
      <w:marRight w:val="0"/>
      <w:marTop w:val="0"/>
      <w:marBottom w:val="0"/>
      <w:divBdr>
        <w:top w:val="none" w:sz="0" w:space="0" w:color="auto"/>
        <w:left w:val="none" w:sz="0" w:space="0" w:color="auto"/>
        <w:bottom w:val="none" w:sz="0" w:space="0" w:color="auto"/>
        <w:right w:val="none" w:sz="0" w:space="0" w:color="auto"/>
      </w:divBdr>
    </w:div>
    <w:div w:id="53353792">
      <w:bodyDiv w:val="1"/>
      <w:marLeft w:val="0"/>
      <w:marRight w:val="0"/>
      <w:marTop w:val="0"/>
      <w:marBottom w:val="0"/>
      <w:divBdr>
        <w:top w:val="none" w:sz="0" w:space="0" w:color="auto"/>
        <w:left w:val="none" w:sz="0" w:space="0" w:color="auto"/>
        <w:bottom w:val="none" w:sz="0" w:space="0" w:color="auto"/>
        <w:right w:val="none" w:sz="0" w:space="0" w:color="auto"/>
      </w:divBdr>
    </w:div>
    <w:div w:id="53700334">
      <w:bodyDiv w:val="1"/>
      <w:marLeft w:val="0"/>
      <w:marRight w:val="0"/>
      <w:marTop w:val="0"/>
      <w:marBottom w:val="0"/>
      <w:divBdr>
        <w:top w:val="none" w:sz="0" w:space="0" w:color="auto"/>
        <w:left w:val="none" w:sz="0" w:space="0" w:color="auto"/>
        <w:bottom w:val="none" w:sz="0" w:space="0" w:color="auto"/>
        <w:right w:val="none" w:sz="0" w:space="0" w:color="auto"/>
      </w:divBdr>
    </w:div>
    <w:div w:id="53966076">
      <w:bodyDiv w:val="1"/>
      <w:marLeft w:val="0"/>
      <w:marRight w:val="0"/>
      <w:marTop w:val="0"/>
      <w:marBottom w:val="0"/>
      <w:divBdr>
        <w:top w:val="none" w:sz="0" w:space="0" w:color="auto"/>
        <w:left w:val="none" w:sz="0" w:space="0" w:color="auto"/>
        <w:bottom w:val="none" w:sz="0" w:space="0" w:color="auto"/>
        <w:right w:val="none" w:sz="0" w:space="0" w:color="auto"/>
      </w:divBdr>
    </w:div>
    <w:div w:id="54085907">
      <w:bodyDiv w:val="1"/>
      <w:marLeft w:val="0"/>
      <w:marRight w:val="0"/>
      <w:marTop w:val="0"/>
      <w:marBottom w:val="0"/>
      <w:divBdr>
        <w:top w:val="none" w:sz="0" w:space="0" w:color="auto"/>
        <w:left w:val="none" w:sz="0" w:space="0" w:color="auto"/>
        <w:bottom w:val="none" w:sz="0" w:space="0" w:color="auto"/>
        <w:right w:val="none" w:sz="0" w:space="0" w:color="auto"/>
      </w:divBdr>
    </w:div>
    <w:div w:id="54477229">
      <w:bodyDiv w:val="1"/>
      <w:marLeft w:val="0"/>
      <w:marRight w:val="0"/>
      <w:marTop w:val="0"/>
      <w:marBottom w:val="0"/>
      <w:divBdr>
        <w:top w:val="none" w:sz="0" w:space="0" w:color="auto"/>
        <w:left w:val="none" w:sz="0" w:space="0" w:color="auto"/>
        <w:bottom w:val="none" w:sz="0" w:space="0" w:color="auto"/>
        <w:right w:val="none" w:sz="0" w:space="0" w:color="auto"/>
      </w:divBdr>
    </w:div>
    <w:div w:id="55321860">
      <w:bodyDiv w:val="1"/>
      <w:marLeft w:val="0"/>
      <w:marRight w:val="0"/>
      <w:marTop w:val="0"/>
      <w:marBottom w:val="0"/>
      <w:divBdr>
        <w:top w:val="none" w:sz="0" w:space="0" w:color="auto"/>
        <w:left w:val="none" w:sz="0" w:space="0" w:color="auto"/>
        <w:bottom w:val="none" w:sz="0" w:space="0" w:color="auto"/>
        <w:right w:val="none" w:sz="0" w:space="0" w:color="auto"/>
      </w:divBdr>
    </w:div>
    <w:div w:id="56126837">
      <w:bodyDiv w:val="1"/>
      <w:marLeft w:val="0"/>
      <w:marRight w:val="0"/>
      <w:marTop w:val="0"/>
      <w:marBottom w:val="0"/>
      <w:divBdr>
        <w:top w:val="none" w:sz="0" w:space="0" w:color="auto"/>
        <w:left w:val="none" w:sz="0" w:space="0" w:color="auto"/>
        <w:bottom w:val="none" w:sz="0" w:space="0" w:color="auto"/>
        <w:right w:val="none" w:sz="0" w:space="0" w:color="auto"/>
      </w:divBdr>
    </w:div>
    <w:div w:id="56242437">
      <w:bodyDiv w:val="1"/>
      <w:marLeft w:val="0"/>
      <w:marRight w:val="0"/>
      <w:marTop w:val="0"/>
      <w:marBottom w:val="0"/>
      <w:divBdr>
        <w:top w:val="none" w:sz="0" w:space="0" w:color="auto"/>
        <w:left w:val="none" w:sz="0" w:space="0" w:color="auto"/>
        <w:bottom w:val="none" w:sz="0" w:space="0" w:color="auto"/>
        <w:right w:val="none" w:sz="0" w:space="0" w:color="auto"/>
      </w:divBdr>
    </w:div>
    <w:div w:id="56784141">
      <w:bodyDiv w:val="1"/>
      <w:marLeft w:val="0"/>
      <w:marRight w:val="0"/>
      <w:marTop w:val="0"/>
      <w:marBottom w:val="0"/>
      <w:divBdr>
        <w:top w:val="none" w:sz="0" w:space="0" w:color="auto"/>
        <w:left w:val="none" w:sz="0" w:space="0" w:color="auto"/>
        <w:bottom w:val="none" w:sz="0" w:space="0" w:color="auto"/>
        <w:right w:val="none" w:sz="0" w:space="0" w:color="auto"/>
      </w:divBdr>
    </w:div>
    <w:div w:id="57945192">
      <w:bodyDiv w:val="1"/>
      <w:marLeft w:val="0"/>
      <w:marRight w:val="0"/>
      <w:marTop w:val="0"/>
      <w:marBottom w:val="0"/>
      <w:divBdr>
        <w:top w:val="none" w:sz="0" w:space="0" w:color="auto"/>
        <w:left w:val="none" w:sz="0" w:space="0" w:color="auto"/>
        <w:bottom w:val="none" w:sz="0" w:space="0" w:color="auto"/>
        <w:right w:val="none" w:sz="0" w:space="0" w:color="auto"/>
      </w:divBdr>
    </w:div>
    <w:div w:id="60256410">
      <w:bodyDiv w:val="1"/>
      <w:marLeft w:val="0"/>
      <w:marRight w:val="0"/>
      <w:marTop w:val="0"/>
      <w:marBottom w:val="0"/>
      <w:divBdr>
        <w:top w:val="none" w:sz="0" w:space="0" w:color="auto"/>
        <w:left w:val="none" w:sz="0" w:space="0" w:color="auto"/>
        <w:bottom w:val="none" w:sz="0" w:space="0" w:color="auto"/>
        <w:right w:val="none" w:sz="0" w:space="0" w:color="auto"/>
      </w:divBdr>
    </w:div>
    <w:div w:id="61029018">
      <w:bodyDiv w:val="1"/>
      <w:marLeft w:val="0"/>
      <w:marRight w:val="0"/>
      <w:marTop w:val="0"/>
      <w:marBottom w:val="0"/>
      <w:divBdr>
        <w:top w:val="none" w:sz="0" w:space="0" w:color="auto"/>
        <w:left w:val="none" w:sz="0" w:space="0" w:color="auto"/>
        <w:bottom w:val="none" w:sz="0" w:space="0" w:color="auto"/>
        <w:right w:val="none" w:sz="0" w:space="0" w:color="auto"/>
      </w:divBdr>
    </w:div>
    <w:div w:id="61832443">
      <w:bodyDiv w:val="1"/>
      <w:marLeft w:val="0"/>
      <w:marRight w:val="0"/>
      <w:marTop w:val="0"/>
      <w:marBottom w:val="0"/>
      <w:divBdr>
        <w:top w:val="none" w:sz="0" w:space="0" w:color="auto"/>
        <w:left w:val="none" w:sz="0" w:space="0" w:color="auto"/>
        <w:bottom w:val="none" w:sz="0" w:space="0" w:color="auto"/>
        <w:right w:val="none" w:sz="0" w:space="0" w:color="auto"/>
      </w:divBdr>
    </w:div>
    <w:div w:id="62919736">
      <w:bodyDiv w:val="1"/>
      <w:marLeft w:val="0"/>
      <w:marRight w:val="0"/>
      <w:marTop w:val="0"/>
      <w:marBottom w:val="0"/>
      <w:divBdr>
        <w:top w:val="none" w:sz="0" w:space="0" w:color="auto"/>
        <w:left w:val="none" w:sz="0" w:space="0" w:color="auto"/>
        <w:bottom w:val="none" w:sz="0" w:space="0" w:color="auto"/>
        <w:right w:val="none" w:sz="0" w:space="0" w:color="auto"/>
      </w:divBdr>
    </w:div>
    <w:div w:id="64576678">
      <w:bodyDiv w:val="1"/>
      <w:marLeft w:val="0"/>
      <w:marRight w:val="0"/>
      <w:marTop w:val="0"/>
      <w:marBottom w:val="0"/>
      <w:divBdr>
        <w:top w:val="none" w:sz="0" w:space="0" w:color="auto"/>
        <w:left w:val="none" w:sz="0" w:space="0" w:color="auto"/>
        <w:bottom w:val="none" w:sz="0" w:space="0" w:color="auto"/>
        <w:right w:val="none" w:sz="0" w:space="0" w:color="auto"/>
      </w:divBdr>
    </w:div>
    <w:div w:id="65036685">
      <w:bodyDiv w:val="1"/>
      <w:marLeft w:val="0"/>
      <w:marRight w:val="0"/>
      <w:marTop w:val="0"/>
      <w:marBottom w:val="0"/>
      <w:divBdr>
        <w:top w:val="none" w:sz="0" w:space="0" w:color="auto"/>
        <w:left w:val="none" w:sz="0" w:space="0" w:color="auto"/>
        <w:bottom w:val="none" w:sz="0" w:space="0" w:color="auto"/>
        <w:right w:val="none" w:sz="0" w:space="0" w:color="auto"/>
      </w:divBdr>
    </w:div>
    <w:div w:id="66274121">
      <w:bodyDiv w:val="1"/>
      <w:marLeft w:val="0"/>
      <w:marRight w:val="0"/>
      <w:marTop w:val="0"/>
      <w:marBottom w:val="0"/>
      <w:divBdr>
        <w:top w:val="none" w:sz="0" w:space="0" w:color="auto"/>
        <w:left w:val="none" w:sz="0" w:space="0" w:color="auto"/>
        <w:bottom w:val="none" w:sz="0" w:space="0" w:color="auto"/>
        <w:right w:val="none" w:sz="0" w:space="0" w:color="auto"/>
      </w:divBdr>
    </w:div>
    <w:div w:id="67926777">
      <w:bodyDiv w:val="1"/>
      <w:marLeft w:val="0"/>
      <w:marRight w:val="0"/>
      <w:marTop w:val="0"/>
      <w:marBottom w:val="0"/>
      <w:divBdr>
        <w:top w:val="none" w:sz="0" w:space="0" w:color="auto"/>
        <w:left w:val="none" w:sz="0" w:space="0" w:color="auto"/>
        <w:bottom w:val="none" w:sz="0" w:space="0" w:color="auto"/>
        <w:right w:val="none" w:sz="0" w:space="0" w:color="auto"/>
      </w:divBdr>
    </w:div>
    <w:div w:id="68305741">
      <w:bodyDiv w:val="1"/>
      <w:marLeft w:val="0"/>
      <w:marRight w:val="0"/>
      <w:marTop w:val="0"/>
      <w:marBottom w:val="0"/>
      <w:divBdr>
        <w:top w:val="none" w:sz="0" w:space="0" w:color="auto"/>
        <w:left w:val="none" w:sz="0" w:space="0" w:color="auto"/>
        <w:bottom w:val="none" w:sz="0" w:space="0" w:color="auto"/>
        <w:right w:val="none" w:sz="0" w:space="0" w:color="auto"/>
      </w:divBdr>
    </w:div>
    <w:div w:id="68843805">
      <w:bodyDiv w:val="1"/>
      <w:marLeft w:val="0"/>
      <w:marRight w:val="0"/>
      <w:marTop w:val="0"/>
      <w:marBottom w:val="0"/>
      <w:divBdr>
        <w:top w:val="none" w:sz="0" w:space="0" w:color="auto"/>
        <w:left w:val="none" w:sz="0" w:space="0" w:color="auto"/>
        <w:bottom w:val="none" w:sz="0" w:space="0" w:color="auto"/>
        <w:right w:val="none" w:sz="0" w:space="0" w:color="auto"/>
      </w:divBdr>
    </w:div>
    <w:div w:id="69237371">
      <w:bodyDiv w:val="1"/>
      <w:marLeft w:val="0"/>
      <w:marRight w:val="0"/>
      <w:marTop w:val="0"/>
      <w:marBottom w:val="0"/>
      <w:divBdr>
        <w:top w:val="none" w:sz="0" w:space="0" w:color="auto"/>
        <w:left w:val="none" w:sz="0" w:space="0" w:color="auto"/>
        <w:bottom w:val="none" w:sz="0" w:space="0" w:color="auto"/>
        <w:right w:val="none" w:sz="0" w:space="0" w:color="auto"/>
      </w:divBdr>
    </w:div>
    <w:div w:id="69428460">
      <w:bodyDiv w:val="1"/>
      <w:marLeft w:val="0"/>
      <w:marRight w:val="0"/>
      <w:marTop w:val="0"/>
      <w:marBottom w:val="0"/>
      <w:divBdr>
        <w:top w:val="none" w:sz="0" w:space="0" w:color="auto"/>
        <w:left w:val="none" w:sz="0" w:space="0" w:color="auto"/>
        <w:bottom w:val="none" w:sz="0" w:space="0" w:color="auto"/>
        <w:right w:val="none" w:sz="0" w:space="0" w:color="auto"/>
      </w:divBdr>
    </w:div>
    <w:div w:id="70589170">
      <w:bodyDiv w:val="1"/>
      <w:marLeft w:val="0"/>
      <w:marRight w:val="0"/>
      <w:marTop w:val="0"/>
      <w:marBottom w:val="0"/>
      <w:divBdr>
        <w:top w:val="none" w:sz="0" w:space="0" w:color="auto"/>
        <w:left w:val="none" w:sz="0" w:space="0" w:color="auto"/>
        <w:bottom w:val="none" w:sz="0" w:space="0" w:color="auto"/>
        <w:right w:val="none" w:sz="0" w:space="0" w:color="auto"/>
      </w:divBdr>
    </w:div>
    <w:div w:id="70779485">
      <w:bodyDiv w:val="1"/>
      <w:marLeft w:val="0"/>
      <w:marRight w:val="0"/>
      <w:marTop w:val="0"/>
      <w:marBottom w:val="0"/>
      <w:divBdr>
        <w:top w:val="none" w:sz="0" w:space="0" w:color="auto"/>
        <w:left w:val="none" w:sz="0" w:space="0" w:color="auto"/>
        <w:bottom w:val="none" w:sz="0" w:space="0" w:color="auto"/>
        <w:right w:val="none" w:sz="0" w:space="0" w:color="auto"/>
      </w:divBdr>
    </w:div>
    <w:div w:id="71051141">
      <w:bodyDiv w:val="1"/>
      <w:marLeft w:val="0"/>
      <w:marRight w:val="0"/>
      <w:marTop w:val="0"/>
      <w:marBottom w:val="0"/>
      <w:divBdr>
        <w:top w:val="none" w:sz="0" w:space="0" w:color="auto"/>
        <w:left w:val="none" w:sz="0" w:space="0" w:color="auto"/>
        <w:bottom w:val="none" w:sz="0" w:space="0" w:color="auto"/>
        <w:right w:val="none" w:sz="0" w:space="0" w:color="auto"/>
      </w:divBdr>
    </w:div>
    <w:div w:id="71200713">
      <w:bodyDiv w:val="1"/>
      <w:marLeft w:val="0"/>
      <w:marRight w:val="0"/>
      <w:marTop w:val="0"/>
      <w:marBottom w:val="0"/>
      <w:divBdr>
        <w:top w:val="none" w:sz="0" w:space="0" w:color="auto"/>
        <w:left w:val="none" w:sz="0" w:space="0" w:color="auto"/>
        <w:bottom w:val="none" w:sz="0" w:space="0" w:color="auto"/>
        <w:right w:val="none" w:sz="0" w:space="0" w:color="auto"/>
      </w:divBdr>
    </w:div>
    <w:div w:id="71778363">
      <w:bodyDiv w:val="1"/>
      <w:marLeft w:val="0"/>
      <w:marRight w:val="0"/>
      <w:marTop w:val="0"/>
      <w:marBottom w:val="0"/>
      <w:divBdr>
        <w:top w:val="none" w:sz="0" w:space="0" w:color="auto"/>
        <w:left w:val="none" w:sz="0" w:space="0" w:color="auto"/>
        <w:bottom w:val="none" w:sz="0" w:space="0" w:color="auto"/>
        <w:right w:val="none" w:sz="0" w:space="0" w:color="auto"/>
      </w:divBdr>
    </w:div>
    <w:div w:id="72091368">
      <w:bodyDiv w:val="1"/>
      <w:marLeft w:val="0"/>
      <w:marRight w:val="0"/>
      <w:marTop w:val="0"/>
      <w:marBottom w:val="0"/>
      <w:divBdr>
        <w:top w:val="none" w:sz="0" w:space="0" w:color="auto"/>
        <w:left w:val="none" w:sz="0" w:space="0" w:color="auto"/>
        <w:bottom w:val="none" w:sz="0" w:space="0" w:color="auto"/>
        <w:right w:val="none" w:sz="0" w:space="0" w:color="auto"/>
      </w:divBdr>
    </w:div>
    <w:div w:id="72549905">
      <w:bodyDiv w:val="1"/>
      <w:marLeft w:val="0"/>
      <w:marRight w:val="0"/>
      <w:marTop w:val="0"/>
      <w:marBottom w:val="0"/>
      <w:divBdr>
        <w:top w:val="none" w:sz="0" w:space="0" w:color="auto"/>
        <w:left w:val="none" w:sz="0" w:space="0" w:color="auto"/>
        <w:bottom w:val="none" w:sz="0" w:space="0" w:color="auto"/>
        <w:right w:val="none" w:sz="0" w:space="0" w:color="auto"/>
      </w:divBdr>
    </w:div>
    <w:div w:id="73014628">
      <w:bodyDiv w:val="1"/>
      <w:marLeft w:val="0"/>
      <w:marRight w:val="0"/>
      <w:marTop w:val="0"/>
      <w:marBottom w:val="0"/>
      <w:divBdr>
        <w:top w:val="none" w:sz="0" w:space="0" w:color="auto"/>
        <w:left w:val="none" w:sz="0" w:space="0" w:color="auto"/>
        <w:bottom w:val="none" w:sz="0" w:space="0" w:color="auto"/>
        <w:right w:val="none" w:sz="0" w:space="0" w:color="auto"/>
      </w:divBdr>
    </w:div>
    <w:div w:id="73557324">
      <w:bodyDiv w:val="1"/>
      <w:marLeft w:val="0"/>
      <w:marRight w:val="0"/>
      <w:marTop w:val="0"/>
      <w:marBottom w:val="0"/>
      <w:divBdr>
        <w:top w:val="none" w:sz="0" w:space="0" w:color="auto"/>
        <w:left w:val="none" w:sz="0" w:space="0" w:color="auto"/>
        <w:bottom w:val="none" w:sz="0" w:space="0" w:color="auto"/>
        <w:right w:val="none" w:sz="0" w:space="0" w:color="auto"/>
      </w:divBdr>
    </w:div>
    <w:div w:id="74715651">
      <w:bodyDiv w:val="1"/>
      <w:marLeft w:val="0"/>
      <w:marRight w:val="0"/>
      <w:marTop w:val="0"/>
      <w:marBottom w:val="0"/>
      <w:divBdr>
        <w:top w:val="none" w:sz="0" w:space="0" w:color="auto"/>
        <w:left w:val="none" w:sz="0" w:space="0" w:color="auto"/>
        <w:bottom w:val="none" w:sz="0" w:space="0" w:color="auto"/>
        <w:right w:val="none" w:sz="0" w:space="0" w:color="auto"/>
      </w:divBdr>
    </w:div>
    <w:div w:id="75905573">
      <w:bodyDiv w:val="1"/>
      <w:marLeft w:val="0"/>
      <w:marRight w:val="0"/>
      <w:marTop w:val="0"/>
      <w:marBottom w:val="0"/>
      <w:divBdr>
        <w:top w:val="none" w:sz="0" w:space="0" w:color="auto"/>
        <w:left w:val="none" w:sz="0" w:space="0" w:color="auto"/>
        <w:bottom w:val="none" w:sz="0" w:space="0" w:color="auto"/>
        <w:right w:val="none" w:sz="0" w:space="0" w:color="auto"/>
      </w:divBdr>
    </w:div>
    <w:div w:id="77480945">
      <w:bodyDiv w:val="1"/>
      <w:marLeft w:val="0"/>
      <w:marRight w:val="0"/>
      <w:marTop w:val="0"/>
      <w:marBottom w:val="0"/>
      <w:divBdr>
        <w:top w:val="none" w:sz="0" w:space="0" w:color="auto"/>
        <w:left w:val="none" w:sz="0" w:space="0" w:color="auto"/>
        <w:bottom w:val="none" w:sz="0" w:space="0" w:color="auto"/>
        <w:right w:val="none" w:sz="0" w:space="0" w:color="auto"/>
      </w:divBdr>
    </w:div>
    <w:div w:id="77599657">
      <w:bodyDiv w:val="1"/>
      <w:marLeft w:val="0"/>
      <w:marRight w:val="0"/>
      <w:marTop w:val="0"/>
      <w:marBottom w:val="0"/>
      <w:divBdr>
        <w:top w:val="none" w:sz="0" w:space="0" w:color="auto"/>
        <w:left w:val="none" w:sz="0" w:space="0" w:color="auto"/>
        <w:bottom w:val="none" w:sz="0" w:space="0" w:color="auto"/>
        <w:right w:val="none" w:sz="0" w:space="0" w:color="auto"/>
      </w:divBdr>
    </w:div>
    <w:div w:id="77605631">
      <w:bodyDiv w:val="1"/>
      <w:marLeft w:val="0"/>
      <w:marRight w:val="0"/>
      <w:marTop w:val="0"/>
      <w:marBottom w:val="0"/>
      <w:divBdr>
        <w:top w:val="none" w:sz="0" w:space="0" w:color="auto"/>
        <w:left w:val="none" w:sz="0" w:space="0" w:color="auto"/>
        <w:bottom w:val="none" w:sz="0" w:space="0" w:color="auto"/>
        <w:right w:val="none" w:sz="0" w:space="0" w:color="auto"/>
      </w:divBdr>
    </w:div>
    <w:div w:id="78252777">
      <w:bodyDiv w:val="1"/>
      <w:marLeft w:val="0"/>
      <w:marRight w:val="0"/>
      <w:marTop w:val="0"/>
      <w:marBottom w:val="0"/>
      <w:divBdr>
        <w:top w:val="none" w:sz="0" w:space="0" w:color="auto"/>
        <w:left w:val="none" w:sz="0" w:space="0" w:color="auto"/>
        <w:bottom w:val="none" w:sz="0" w:space="0" w:color="auto"/>
        <w:right w:val="none" w:sz="0" w:space="0" w:color="auto"/>
      </w:divBdr>
    </w:div>
    <w:div w:id="78916170">
      <w:bodyDiv w:val="1"/>
      <w:marLeft w:val="0"/>
      <w:marRight w:val="0"/>
      <w:marTop w:val="0"/>
      <w:marBottom w:val="0"/>
      <w:divBdr>
        <w:top w:val="none" w:sz="0" w:space="0" w:color="auto"/>
        <w:left w:val="none" w:sz="0" w:space="0" w:color="auto"/>
        <w:bottom w:val="none" w:sz="0" w:space="0" w:color="auto"/>
        <w:right w:val="none" w:sz="0" w:space="0" w:color="auto"/>
      </w:divBdr>
    </w:div>
    <w:div w:id="79567302">
      <w:bodyDiv w:val="1"/>
      <w:marLeft w:val="0"/>
      <w:marRight w:val="0"/>
      <w:marTop w:val="0"/>
      <w:marBottom w:val="0"/>
      <w:divBdr>
        <w:top w:val="none" w:sz="0" w:space="0" w:color="auto"/>
        <w:left w:val="none" w:sz="0" w:space="0" w:color="auto"/>
        <w:bottom w:val="none" w:sz="0" w:space="0" w:color="auto"/>
        <w:right w:val="none" w:sz="0" w:space="0" w:color="auto"/>
      </w:divBdr>
    </w:div>
    <w:div w:id="80026541">
      <w:bodyDiv w:val="1"/>
      <w:marLeft w:val="0"/>
      <w:marRight w:val="0"/>
      <w:marTop w:val="0"/>
      <w:marBottom w:val="0"/>
      <w:divBdr>
        <w:top w:val="none" w:sz="0" w:space="0" w:color="auto"/>
        <w:left w:val="none" w:sz="0" w:space="0" w:color="auto"/>
        <w:bottom w:val="none" w:sz="0" w:space="0" w:color="auto"/>
        <w:right w:val="none" w:sz="0" w:space="0" w:color="auto"/>
      </w:divBdr>
    </w:div>
    <w:div w:id="80300006">
      <w:bodyDiv w:val="1"/>
      <w:marLeft w:val="0"/>
      <w:marRight w:val="0"/>
      <w:marTop w:val="0"/>
      <w:marBottom w:val="0"/>
      <w:divBdr>
        <w:top w:val="none" w:sz="0" w:space="0" w:color="auto"/>
        <w:left w:val="none" w:sz="0" w:space="0" w:color="auto"/>
        <w:bottom w:val="none" w:sz="0" w:space="0" w:color="auto"/>
        <w:right w:val="none" w:sz="0" w:space="0" w:color="auto"/>
      </w:divBdr>
    </w:div>
    <w:div w:id="80880944">
      <w:bodyDiv w:val="1"/>
      <w:marLeft w:val="0"/>
      <w:marRight w:val="0"/>
      <w:marTop w:val="0"/>
      <w:marBottom w:val="0"/>
      <w:divBdr>
        <w:top w:val="none" w:sz="0" w:space="0" w:color="auto"/>
        <w:left w:val="none" w:sz="0" w:space="0" w:color="auto"/>
        <w:bottom w:val="none" w:sz="0" w:space="0" w:color="auto"/>
        <w:right w:val="none" w:sz="0" w:space="0" w:color="auto"/>
      </w:divBdr>
    </w:div>
    <w:div w:id="81143035">
      <w:bodyDiv w:val="1"/>
      <w:marLeft w:val="0"/>
      <w:marRight w:val="0"/>
      <w:marTop w:val="0"/>
      <w:marBottom w:val="0"/>
      <w:divBdr>
        <w:top w:val="none" w:sz="0" w:space="0" w:color="auto"/>
        <w:left w:val="none" w:sz="0" w:space="0" w:color="auto"/>
        <w:bottom w:val="none" w:sz="0" w:space="0" w:color="auto"/>
        <w:right w:val="none" w:sz="0" w:space="0" w:color="auto"/>
      </w:divBdr>
    </w:div>
    <w:div w:id="81145721">
      <w:bodyDiv w:val="1"/>
      <w:marLeft w:val="0"/>
      <w:marRight w:val="0"/>
      <w:marTop w:val="0"/>
      <w:marBottom w:val="0"/>
      <w:divBdr>
        <w:top w:val="none" w:sz="0" w:space="0" w:color="auto"/>
        <w:left w:val="none" w:sz="0" w:space="0" w:color="auto"/>
        <w:bottom w:val="none" w:sz="0" w:space="0" w:color="auto"/>
        <w:right w:val="none" w:sz="0" w:space="0" w:color="auto"/>
      </w:divBdr>
    </w:div>
    <w:div w:id="81992662">
      <w:bodyDiv w:val="1"/>
      <w:marLeft w:val="0"/>
      <w:marRight w:val="0"/>
      <w:marTop w:val="0"/>
      <w:marBottom w:val="0"/>
      <w:divBdr>
        <w:top w:val="none" w:sz="0" w:space="0" w:color="auto"/>
        <w:left w:val="none" w:sz="0" w:space="0" w:color="auto"/>
        <w:bottom w:val="none" w:sz="0" w:space="0" w:color="auto"/>
        <w:right w:val="none" w:sz="0" w:space="0" w:color="auto"/>
      </w:divBdr>
    </w:div>
    <w:div w:id="82841778">
      <w:bodyDiv w:val="1"/>
      <w:marLeft w:val="0"/>
      <w:marRight w:val="0"/>
      <w:marTop w:val="0"/>
      <w:marBottom w:val="0"/>
      <w:divBdr>
        <w:top w:val="none" w:sz="0" w:space="0" w:color="auto"/>
        <w:left w:val="none" w:sz="0" w:space="0" w:color="auto"/>
        <w:bottom w:val="none" w:sz="0" w:space="0" w:color="auto"/>
        <w:right w:val="none" w:sz="0" w:space="0" w:color="auto"/>
      </w:divBdr>
    </w:div>
    <w:div w:id="83574314">
      <w:bodyDiv w:val="1"/>
      <w:marLeft w:val="0"/>
      <w:marRight w:val="0"/>
      <w:marTop w:val="0"/>
      <w:marBottom w:val="0"/>
      <w:divBdr>
        <w:top w:val="none" w:sz="0" w:space="0" w:color="auto"/>
        <w:left w:val="none" w:sz="0" w:space="0" w:color="auto"/>
        <w:bottom w:val="none" w:sz="0" w:space="0" w:color="auto"/>
        <w:right w:val="none" w:sz="0" w:space="0" w:color="auto"/>
      </w:divBdr>
    </w:div>
    <w:div w:id="84037608">
      <w:bodyDiv w:val="1"/>
      <w:marLeft w:val="0"/>
      <w:marRight w:val="0"/>
      <w:marTop w:val="0"/>
      <w:marBottom w:val="0"/>
      <w:divBdr>
        <w:top w:val="none" w:sz="0" w:space="0" w:color="auto"/>
        <w:left w:val="none" w:sz="0" w:space="0" w:color="auto"/>
        <w:bottom w:val="none" w:sz="0" w:space="0" w:color="auto"/>
        <w:right w:val="none" w:sz="0" w:space="0" w:color="auto"/>
      </w:divBdr>
    </w:div>
    <w:div w:id="84082869">
      <w:bodyDiv w:val="1"/>
      <w:marLeft w:val="0"/>
      <w:marRight w:val="0"/>
      <w:marTop w:val="0"/>
      <w:marBottom w:val="0"/>
      <w:divBdr>
        <w:top w:val="none" w:sz="0" w:space="0" w:color="auto"/>
        <w:left w:val="none" w:sz="0" w:space="0" w:color="auto"/>
        <w:bottom w:val="none" w:sz="0" w:space="0" w:color="auto"/>
        <w:right w:val="none" w:sz="0" w:space="0" w:color="auto"/>
      </w:divBdr>
    </w:div>
    <w:div w:id="84159116">
      <w:bodyDiv w:val="1"/>
      <w:marLeft w:val="0"/>
      <w:marRight w:val="0"/>
      <w:marTop w:val="0"/>
      <w:marBottom w:val="0"/>
      <w:divBdr>
        <w:top w:val="none" w:sz="0" w:space="0" w:color="auto"/>
        <w:left w:val="none" w:sz="0" w:space="0" w:color="auto"/>
        <w:bottom w:val="none" w:sz="0" w:space="0" w:color="auto"/>
        <w:right w:val="none" w:sz="0" w:space="0" w:color="auto"/>
      </w:divBdr>
    </w:div>
    <w:div w:id="84425887">
      <w:bodyDiv w:val="1"/>
      <w:marLeft w:val="0"/>
      <w:marRight w:val="0"/>
      <w:marTop w:val="0"/>
      <w:marBottom w:val="0"/>
      <w:divBdr>
        <w:top w:val="none" w:sz="0" w:space="0" w:color="auto"/>
        <w:left w:val="none" w:sz="0" w:space="0" w:color="auto"/>
        <w:bottom w:val="none" w:sz="0" w:space="0" w:color="auto"/>
        <w:right w:val="none" w:sz="0" w:space="0" w:color="auto"/>
      </w:divBdr>
    </w:div>
    <w:div w:id="84616662">
      <w:bodyDiv w:val="1"/>
      <w:marLeft w:val="0"/>
      <w:marRight w:val="0"/>
      <w:marTop w:val="0"/>
      <w:marBottom w:val="0"/>
      <w:divBdr>
        <w:top w:val="none" w:sz="0" w:space="0" w:color="auto"/>
        <w:left w:val="none" w:sz="0" w:space="0" w:color="auto"/>
        <w:bottom w:val="none" w:sz="0" w:space="0" w:color="auto"/>
        <w:right w:val="none" w:sz="0" w:space="0" w:color="auto"/>
      </w:divBdr>
    </w:div>
    <w:div w:id="85032353">
      <w:bodyDiv w:val="1"/>
      <w:marLeft w:val="0"/>
      <w:marRight w:val="0"/>
      <w:marTop w:val="0"/>
      <w:marBottom w:val="0"/>
      <w:divBdr>
        <w:top w:val="none" w:sz="0" w:space="0" w:color="auto"/>
        <w:left w:val="none" w:sz="0" w:space="0" w:color="auto"/>
        <w:bottom w:val="none" w:sz="0" w:space="0" w:color="auto"/>
        <w:right w:val="none" w:sz="0" w:space="0" w:color="auto"/>
      </w:divBdr>
    </w:div>
    <w:div w:id="85201103">
      <w:bodyDiv w:val="1"/>
      <w:marLeft w:val="0"/>
      <w:marRight w:val="0"/>
      <w:marTop w:val="0"/>
      <w:marBottom w:val="0"/>
      <w:divBdr>
        <w:top w:val="none" w:sz="0" w:space="0" w:color="auto"/>
        <w:left w:val="none" w:sz="0" w:space="0" w:color="auto"/>
        <w:bottom w:val="none" w:sz="0" w:space="0" w:color="auto"/>
        <w:right w:val="none" w:sz="0" w:space="0" w:color="auto"/>
      </w:divBdr>
    </w:div>
    <w:div w:id="85926686">
      <w:bodyDiv w:val="1"/>
      <w:marLeft w:val="0"/>
      <w:marRight w:val="0"/>
      <w:marTop w:val="0"/>
      <w:marBottom w:val="0"/>
      <w:divBdr>
        <w:top w:val="none" w:sz="0" w:space="0" w:color="auto"/>
        <w:left w:val="none" w:sz="0" w:space="0" w:color="auto"/>
        <w:bottom w:val="none" w:sz="0" w:space="0" w:color="auto"/>
        <w:right w:val="none" w:sz="0" w:space="0" w:color="auto"/>
      </w:divBdr>
    </w:div>
    <w:div w:id="86193031">
      <w:bodyDiv w:val="1"/>
      <w:marLeft w:val="0"/>
      <w:marRight w:val="0"/>
      <w:marTop w:val="0"/>
      <w:marBottom w:val="0"/>
      <w:divBdr>
        <w:top w:val="none" w:sz="0" w:space="0" w:color="auto"/>
        <w:left w:val="none" w:sz="0" w:space="0" w:color="auto"/>
        <w:bottom w:val="none" w:sz="0" w:space="0" w:color="auto"/>
        <w:right w:val="none" w:sz="0" w:space="0" w:color="auto"/>
      </w:divBdr>
    </w:div>
    <w:div w:id="87384034">
      <w:bodyDiv w:val="1"/>
      <w:marLeft w:val="0"/>
      <w:marRight w:val="0"/>
      <w:marTop w:val="0"/>
      <w:marBottom w:val="0"/>
      <w:divBdr>
        <w:top w:val="none" w:sz="0" w:space="0" w:color="auto"/>
        <w:left w:val="none" w:sz="0" w:space="0" w:color="auto"/>
        <w:bottom w:val="none" w:sz="0" w:space="0" w:color="auto"/>
        <w:right w:val="none" w:sz="0" w:space="0" w:color="auto"/>
      </w:divBdr>
    </w:div>
    <w:div w:id="87628130">
      <w:bodyDiv w:val="1"/>
      <w:marLeft w:val="0"/>
      <w:marRight w:val="0"/>
      <w:marTop w:val="0"/>
      <w:marBottom w:val="0"/>
      <w:divBdr>
        <w:top w:val="none" w:sz="0" w:space="0" w:color="auto"/>
        <w:left w:val="none" w:sz="0" w:space="0" w:color="auto"/>
        <w:bottom w:val="none" w:sz="0" w:space="0" w:color="auto"/>
        <w:right w:val="none" w:sz="0" w:space="0" w:color="auto"/>
      </w:divBdr>
    </w:div>
    <w:div w:id="88239783">
      <w:bodyDiv w:val="1"/>
      <w:marLeft w:val="0"/>
      <w:marRight w:val="0"/>
      <w:marTop w:val="0"/>
      <w:marBottom w:val="0"/>
      <w:divBdr>
        <w:top w:val="none" w:sz="0" w:space="0" w:color="auto"/>
        <w:left w:val="none" w:sz="0" w:space="0" w:color="auto"/>
        <w:bottom w:val="none" w:sz="0" w:space="0" w:color="auto"/>
        <w:right w:val="none" w:sz="0" w:space="0" w:color="auto"/>
      </w:divBdr>
    </w:div>
    <w:div w:id="88282918">
      <w:bodyDiv w:val="1"/>
      <w:marLeft w:val="0"/>
      <w:marRight w:val="0"/>
      <w:marTop w:val="0"/>
      <w:marBottom w:val="0"/>
      <w:divBdr>
        <w:top w:val="none" w:sz="0" w:space="0" w:color="auto"/>
        <w:left w:val="none" w:sz="0" w:space="0" w:color="auto"/>
        <w:bottom w:val="none" w:sz="0" w:space="0" w:color="auto"/>
        <w:right w:val="none" w:sz="0" w:space="0" w:color="auto"/>
      </w:divBdr>
    </w:div>
    <w:div w:id="88476771">
      <w:bodyDiv w:val="1"/>
      <w:marLeft w:val="0"/>
      <w:marRight w:val="0"/>
      <w:marTop w:val="0"/>
      <w:marBottom w:val="0"/>
      <w:divBdr>
        <w:top w:val="none" w:sz="0" w:space="0" w:color="auto"/>
        <w:left w:val="none" w:sz="0" w:space="0" w:color="auto"/>
        <w:bottom w:val="none" w:sz="0" w:space="0" w:color="auto"/>
        <w:right w:val="none" w:sz="0" w:space="0" w:color="auto"/>
      </w:divBdr>
    </w:div>
    <w:div w:id="88627890">
      <w:bodyDiv w:val="1"/>
      <w:marLeft w:val="0"/>
      <w:marRight w:val="0"/>
      <w:marTop w:val="0"/>
      <w:marBottom w:val="0"/>
      <w:divBdr>
        <w:top w:val="none" w:sz="0" w:space="0" w:color="auto"/>
        <w:left w:val="none" w:sz="0" w:space="0" w:color="auto"/>
        <w:bottom w:val="none" w:sz="0" w:space="0" w:color="auto"/>
        <w:right w:val="none" w:sz="0" w:space="0" w:color="auto"/>
      </w:divBdr>
    </w:div>
    <w:div w:id="88819700">
      <w:bodyDiv w:val="1"/>
      <w:marLeft w:val="0"/>
      <w:marRight w:val="0"/>
      <w:marTop w:val="0"/>
      <w:marBottom w:val="0"/>
      <w:divBdr>
        <w:top w:val="none" w:sz="0" w:space="0" w:color="auto"/>
        <w:left w:val="none" w:sz="0" w:space="0" w:color="auto"/>
        <w:bottom w:val="none" w:sz="0" w:space="0" w:color="auto"/>
        <w:right w:val="none" w:sz="0" w:space="0" w:color="auto"/>
      </w:divBdr>
    </w:div>
    <w:div w:id="88820653">
      <w:bodyDiv w:val="1"/>
      <w:marLeft w:val="0"/>
      <w:marRight w:val="0"/>
      <w:marTop w:val="0"/>
      <w:marBottom w:val="0"/>
      <w:divBdr>
        <w:top w:val="none" w:sz="0" w:space="0" w:color="auto"/>
        <w:left w:val="none" w:sz="0" w:space="0" w:color="auto"/>
        <w:bottom w:val="none" w:sz="0" w:space="0" w:color="auto"/>
        <w:right w:val="none" w:sz="0" w:space="0" w:color="auto"/>
      </w:divBdr>
    </w:div>
    <w:div w:id="89860346">
      <w:bodyDiv w:val="1"/>
      <w:marLeft w:val="0"/>
      <w:marRight w:val="0"/>
      <w:marTop w:val="0"/>
      <w:marBottom w:val="0"/>
      <w:divBdr>
        <w:top w:val="none" w:sz="0" w:space="0" w:color="auto"/>
        <w:left w:val="none" w:sz="0" w:space="0" w:color="auto"/>
        <w:bottom w:val="none" w:sz="0" w:space="0" w:color="auto"/>
        <w:right w:val="none" w:sz="0" w:space="0" w:color="auto"/>
      </w:divBdr>
    </w:div>
    <w:div w:id="90005305">
      <w:bodyDiv w:val="1"/>
      <w:marLeft w:val="0"/>
      <w:marRight w:val="0"/>
      <w:marTop w:val="0"/>
      <w:marBottom w:val="0"/>
      <w:divBdr>
        <w:top w:val="none" w:sz="0" w:space="0" w:color="auto"/>
        <w:left w:val="none" w:sz="0" w:space="0" w:color="auto"/>
        <w:bottom w:val="none" w:sz="0" w:space="0" w:color="auto"/>
        <w:right w:val="none" w:sz="0" w:space="0" w:color="auto"/>
      </w:divBdr>
    </w:div>
    <w:div w:id="92168743">
      <w:bodyDiv w:val="1"/>
      <w:marLeft w:val="0"/>
      <w:marRight w:val="0"/>
      <w:marTop w:val="0"/>
      <w:marBottom w:val="0"/>
      <w:divBdr>
        <w:top w:val="none" w:sz="0" w:space="0" w:color="auto"/>
        <w:left w:val="none" w:sz="0" w:space="0" w:color="auto"/>
        <w:bottom w:val="none" w:sz="0" w:space="0" w:color="auto"/>
        <w:right w:val="none" w:sz="0" w:space="0" w:color="auto"/>
      </w:divBdr>
    </w:div>
    <w:div w:id="93331151">
      <w:bodyDiv w:val="1"/>
      <w:marLeft w:val="0"/>
      <w:marRight w:val="0"/>
      <w:marTop w:val="0"/>
      <w:marBottom w:val="0"/>
      <w:divBdr>
        <w:top w:val="none" w:sz="0" w:space="0" w:color="auto"/>
        <w:left w:val="none" w:sz="0" w:space="0" w:color="auto"/>
        <w:bottom w:val="none" w:sz="0" w:space="0" w:color="auto"/>
        <w:right w:val="none" w:sz="0" w:space="0" w:color="auto"/>
      </w:divBdr>
    </w:div>
    <w:div w:id="93718883">
      <w:bodyDiv w:val="1"/>
      <w:marLeft w:val="0"/>
      <w:marRight w:val="0"/>
      <w:marTop w:val="0"/>
      <w:marBottom w:val="0"/>
      <w:divBdr>
        <w:top w:val="none" w:sz="0" w:space="0" w:color="auto"/>
        <w:left w:val="none" w:sz="0" w:space="0" w:color="auto"/>
        <w:bottom w:val="none" w:sz="0" w:space="0" w:color="auto"/>
        <w:right w:val="none" w:sz="0" w:space="0" w:color="auto"/>
      </w:divBdr>
    </w:div>
    <w:div w:id="93936559">
      <w:bodyDiv w:val="1"/>
      <w:marLeft w:val="0"/>
      <w:marRight w:val="0"/>
      <w:marTop w:val="0"/>
      <w:marBottom w:val="0"/>
      <w:divBdr>
        <w:top w:val="none" w:sz="0" w:space="0" w:color="auto"/>
        <w:left w:val="none" w:sz="0" w:space="0" w:color="auto"/>
        <w:bottom w:val="none" w:sz="0" w:space="0" w:color="auto"/>
        <w:right w:val="none" w:sz="0" w:space="0" w:color="auto"/>
      </w:divBdr>
    </w:div>
    <w:div w:id="94862059">
      <w:bodyDiv w:val="1"/>
      <w:marLeft w:val="0"/>
      <w:marRight w:val="0"/>
      <w:marTop w:val="0"/>
      <w:marBottom w:val="0"/>
      <w:divBdr>
        <w:top w:val="none" w:sz="0" w:space="0" w:color="auto"/>
        <w:left w:val="none" w:sz="0" w:space="0" w:color="auto"/>
        <w:bottom w:val="none" w:sz="0" w:space="0" w:color="auto"/>
        <w:right w:val="none" w:sz="0" w:space="0" w:color="auto"/>
      </w:divBdr>
    </w:div>
    <w:div w:id="95640143">
      <w:bodyDiv w:val="1"/>
      <w:marLeft w:val="0"/>
      <w:marRight w:val="0"/>
      <w:marTop w:val="0"/>
      <w:marBottom w:val="0"/>
      <w:divBdr>
        <w:top w:val="none" w:sz="0" w:space="0" w:color="auto"/>
        <w:left w:val="none" w:sz="0" w:space="0" w:color="auto"/>
        <w:bottom w:val="none" w:sz="0" w:space="0" w:color="auto"/>
        <w:right w:val="none" w:sz="0" w:space="0" w:color="auto"/>
      </w:divBdr>
    </w:div>
    <w:div w:id="95909946">
      <w:bodyDiv w:val="1"/>
      <w:marLeft w:val="0"/>
      <w:marRight w:val="0"/>
      <w:marTop w:val="0"/>
      <w:marBottom w:val="0"/>
      <w:divBdr>
        <w:top w:val="none" w:sz="0" w:space="0" w:color="auto"/>
        <w:left w:val="none" w:sz="0" w:space="0" w:color="auto"/>
        <w:bottom w:val="none" w:sz="0" w:space="0" w:color="auto"/>
        <w:right w:val="none" w:sz="0" w:space="0" w:color="auto"/>
      </w:divBdr>
    </w:div>
    <w:div w:id="96024844">
      <w:bodyDiv w:val="1"/>
      <w:marLeft w:val="0"/>
      <w:marRight w:val="0"/>
      <w:marTop w:val="0"/>
      <w:marBottom w:val="0"/>
      <w:divBdr>
        <w:top w:val="none" w:sz="0" w:space="0" w:color="auto"/>
        <w:left w:val="none" w:sz="0" w:space="0" w:color="auto"/>
        <w:bottom w:val="none" w:sz="0" w:space="0" w:color="auto"/>
        <w:right w:val="none" w:sz="0" w:space="0" w:color="auto"/>
      </w:divBdr>
    </w:div>
    <w:div w:id="98138548">
      <w:bodyDiv w:val="1"/>
      <w:marLeft w:val="0"/>
      <w:marRight w:val="0"/>
      <w:marTop w:val="0"/>
      <w:marBottom w:val="0"/>
      <w:divBdr>
        <w:top w:val="none" w:sz="0" w:space="0" w:color="auto"/>
        <w:left w:val="none" w:sz="0" w:space="0" w:color="auto"/>
        <w:bottom w:val="none" w:sz="0" w:space="0" w:color="auto"/>
        <w:right w:val="none" w:sz="0" w:space="0" w:color="auto"/>
      </w:divBdr>
    </w:div>
    <w:div w:id="98140021">
      <w:bodyDiv w:val="1"/>
      <w:marLeft w:val="0"/>
      <w:marRight w:val="0"/>
      <w:marTop w:val="0"/>
      <w:marBottom w:val="0"/>
      <w:divBdr>
        <w:top w:val="none" w:sz="0" w:space="0" w:color="auto"/>
        <w:left w:val="none" w:sz="0" w:space="0" w:color="auto"/>
        <w:bottom w:val="none" w:sz="0" w:space="0" w:color="auto"/>
        <w:right w:val="none" w:sz="0" w:space="0" w:color="auto"/>
      </w:divBdr>
    </w:div>
    <w:div w:id="99448407">
      <w:bodyDiv w:val="1"/>
      <w:marLeft w:val="0"/>
      <w:marRight w:val="0"/>
      <w:marTop w:val="0"/>
      <w:marBottom w:val="0"/>
      <w:divBdr>
        <w:top w:val="none" w:sz="0" w:space="0" w:color="auto"/>
        <w:left w:val="none" w:sz="0" w:space="0" w:color="auto"/>
        <w:bottom w:val="none" w:sz="0" w:space="0" w:color="auto"/>
        <w:right w:val="none" w:sz="0" w:space="0" w:color="auto"/>
      </w:divBdr>
    </w:div>
    <w:div w:id="101071431">
      <w:bodyDiv w:val="1"/>
      <w:marLeft w:val="0"/>
      <w:marRight w:val="0"/>
      <w:marTop w:val="0"/>
      <w:marBottom w:val="0"/>
      <w:divBdr>
        <w:top w:val="none" w:sz="0" w:space="0" w:color="auto"/>
        <w:left w:val="none" w:sz="0" w:space="0" w:color="auto"/>
        <w:bottom w:val="none" w:sz="0" w:space="0" w:color="auto"/>
        <w:right w:val="none" w:sz="0" w:space="0" w:color="auto"/>
      </w:divBdr>
    </w:div>
    <w:div w:id="101192877">
      <w:bodyDiv w:val="1"/>
      <w:marLeft w:val="0"/>
      <w:marRight w:val="0"/>
      <w:marTop w:val="0"/>
      <w:marBottom w:val="0"/>
      <w:divBdr>
        <w:top w:val="none" w:sz="0" w:space="0" w:color="auto"/>
        <w:left w:val="none" w:sz="0" w:space="0" w:color="auto"/>
        <w:bottom w:val="none" w:sz="0" w:space="0" w:color="auto"/>
        <w:right w:val="none" w:sz="0" w:space="0" w:color="auto"/>
      </w:divBdr>
    </w:div>
    <w:div w:id="102656239">
      <w:bodyDiv w:val="1"/>
      <w:marLeft w:val="0"/>
      <w:marRight w:val="0"/>
      <w:marTop w:val="0"/>
      <w:marBottom w:val="0"/>
      <w:divBdr>
        <w:top w:val="none" w:sz="0" w:space="0" w:color="auto"/>
        <w:left w:val="none" w:sz="0" w:space="0" w:color="auto"/>
        <w:bottom w:val="none" w:sz="0" w:space="0" w:color="auto"/>
        <w:right w:val="none" w:sz="0" w:space="0" w:color="auto"/>
      </w:divBdr>
    </w:div>
    <w:div w:id="104008338">
      <w:bodyDiv w:val="1"/>
      <w:marLeft w:val="0"/>
      <w:marRight w:val="0"/>
      <w:marTop w:val="0"/>
      <w:marBottom w:val="0"/>
      <w:divBdr>
        <w:top w:val="none" w:sz="0" w:space="0" w:color="auto"/>
        <w:left w:val="none" w:sz="0" w:space="0" w:color="auto"/>
        <w:bottom w:val="none" w:sz="0" w:space="0" w:color="auto"/>
        <w:right w:val="none" w:sz="0" w:space="0" w:color="auto"/>
      </w:divBdr>
    </w:div>
    <w:div w:id="104036142">
      <w:bodyDiv w:val="1"/>
      <w:marLeft w:val="0"/>
      <w:marRight w:val="0"/>
      <w:marTop w:val="0"/>
      <w:marBottom w:val="0"/>
      <w:divBdr>
        <w:top w:val="none" w:sz="0" w:space="0" w:color="auto"/>
        <w:left w:val="none" w:sz="0" w:space="0" w:color="auto"/>
        <w:bottom w:val="none" w:sz="0" w:space="0" w:color="auto"/>
        <w:right w:val="none" w:sz="0" w:space="0" w:color="auto"/>
      </w:divBdr>
    </w:div>
    <w:div w:id="104817176">
      <w:bodyDiv w:val="1"/>
      <w:marLeft w:val="0"/>
      <w:marRight w:val="0"/>
      <w:marTop w:val="0"/>
      <w:marBottom w:val="0"/>
      <w:divBdr>
        <w:top w:val="none" w:sz="0" w:space="0" w:color="auto"/>
        <w:left w:val="none" w:sz="0" w:space="0" w:color="auto"/>
        <w:bottom w:val="none" w:sz="0" w:space="0" w:color="auto"/>
        <w:right w:val="none" w:sz="0" w:space="0" w:color="auto"/>
      </w:divBdr>
    </w:div>
    <w:div w:id="105079957">
      <w:bodyDiv w:val="1"/>
      <w:marLeft w:val="0"/>
      <w:marRight w:val="0"/>
      <w:marTop w:val="0"/>
      <w:marBottom w:val="0"/>
      <w:divBdr>
        <w:top w:val="none" w:sz="0" w:space="0" w:color="auto"/>
        <w:left w:val="none" w:sz="0" w:space="0" w:color="auto"/>
        <w:bottom w:val="none" w:sz="0" w:space="0" w:color="auto"/>
        <w:right w:val="none" w:sz="0" w:space="0" w:color="auto"/>
      </w:divBdr>
    </w:div>
    <w:div w:id="105194878">
      <w:bodyDiv w:val="1"/>
      <w:marLeft w:val="0"/>
      <w:marRight w:val="0"/>
      <w:marTop w:val="0"/>
      <w:marBottom w:val="0"/>
      <w:divBdr>
        <w:top w:val="none" w:sz="0" w:space="0" w:color="auto"/>
        <w:left w:val="none" w:sz="0" w:space="0" w:color="auto"/>
        <w:bottom w:val="none" w:sz="0" w:space="0" w:color="auto"/>
        <w:right w:val="none" w:sz="0" w:space="0" w:color="auto"/>
      </w:divBdr>
    </w:div>
    <w:div w:id="107438211">
      <w:bodyDiv w:val="1"/>
      <w:marLeft w:val="0"/>
      <w:marRight w:val="0"/>
      <w:marTop w:val="0"/>
      <w:marBottom w:val="0"/>
      <w:divBdr>
        <w:top w:val="none" w:sz="0" w:space="0" w:color="auto"/>
        <w:left w:val="none" w:sz="0" w:space="0" w:color="auto"/>
        <w:bottom w:val="none" w:sz="0" w:space="0" w:color="auto"/>
        <w:right w:val="none" w:sz="0" w:space="0" w:color="auto"/>
      </w:divBdr>
    </w:div>
    <w:div w:id="108013615">
      <w:bodyDiv w:val="1"/>
      <w:marLeft w:val="0"/>
      <w:marRight w:val="0"/>
      <w:marTop w:val="0"/>
      <w:marBottom w:val="0"/>
      <w:divBdr>
        <w:top w:val="none" w:sz="0" w:space="0" w:color="auto"/>
        <w:left w:val="none" w:sz="0" w:space="0" w:color="auto"/>
        <w:bottom w:val="none" w:sz="0" w:space="0" w:color="auto"/>
        <w:right w:val="none" w:sz="0" w:space="0" w:color="auto"/>
      </w:divBdr>
    </w:div>
    <w:div w:id="108858710">
      <w:bodyDiv w:val="1"/>
      <w:marLeft w:val="0"/>
      <w:marRight w:val="0"/>
      <w:marTop w:val="0"/>
      <w:marBottom w:val="0"/>
      <w:divBdr>
        <w:top w:val="none" w:sz="0" w:space="0" w:color="auto"/>
        <w:left w:val="none" w:sz="0" w:space="0" w:color="auto"/>
        <w:bottom w:val="none" w:sz="0" w:space="0" w:color="auto"/>
        <w:right w:val="none" w:sz="0" w:space="0" w:color="auto"/>
      </w:divBdr>
    </w:div>
    <w:div w:id="109248924">
      <w:bodyDiv w:val="1"/>
      <w:marLeft w:val="0"/>
      <w:marRight w:val="0"/>
      <w:marTop w:val="0"/>
      <w:marBottom w:val="0"/>
      <w:divBdr>
        <w:top w:val="none" w:sz="0" w:space="0" w:color="auto"/>
        <w:left w:val="none" w:sz="0" w:space="0" w:color="auto"/>
        <w:bottom w:val="none" w:sz="0" w:space="0" w:color="auto"/>
        <w:right w:val="none" w:sz="0" w:space="0" w:color="auto"/>
      </w:divBdr>
    </w:div>
    <w:div w:id="109446353">
      <w:bodyDiv w:val="1"/>
      <w:marLeft w:val="0"/>
      <w:marRight w:val="0"/>
      <w:marTop w:val="0"/>
      <w:marBottom w:val="0"/>
      <w:divBdr>
        <w:top w:val="none" w:sz="0" w:space="0" w:color="auto"/>
        <w:left w:val="none" w:sz="0" w:space="0" w:color="auto"/>
        <w:bottom w:val="none" w:sz="0" w:space="0" w:color="auto"/>
        <w:right w:val="none" w:sz="0" w:space="0" w:color="auto"/>
      </w:divBdr>
    </w:div>
    <w:div w:id="110101280">
      <w:bodyDiv w:val="1"/>
      <w:marLeft w:val="0"/>
      <w:marRight w:val="0"/>
      <w:marTop w:val="0"/>
      <w:marBottom w:val="0"/>
      <w:divBdr>
        <w:top w:val="none" w:sz="0" w:space="0" w:color="auto"/>
        <w:left w:val="none" w:sz="0" w:space="0" w:color="auto"/>
        <w:bottom w:val="none" w:sz="0" w:space="0" w:color="auto"/>
        <w:right w:val="none" w:sz="0" w:space="0" w:color="auto"/>
      </w:divBdr>
    </w:div>
    <w:div w:id="111753505">
      <w:bodyDiv w:val="1"/>
      <w:marLeft w:val="0"/>
      <w:marRight w:val="0"/>
      <w:marTop w:val="0"/>
      <w:marBottom w:val="0"/>
      <w:divBdr>
        <w:top w:val="none" w:sz="0" w:space="0" w:color="auto"/>
        <w:left w:val="none" w:sz="0" w:space="0" w:color="auto"/>
        <w:bottom w:val="none" w:sz="0" w:space="0" w:color="auto"/>
        <w:right w:val="none" w:sz="0" w:space="0" w:color="auto"/>
      </w:divBdr>
    </w:div>
    <w:div w:id="112404215">
      <w:bodyDiv w:val="1"/>
      <w:marLeft w:val="0"/>
      <w:marRight w:val="0"/>
      <w:marTop w:val="0"/>
      <w:marBottom w:val="0"/>
      <w:divBdr>
        <w:top w:val="none" w:sz="0" w:space="0" w:color="auto"/>
        <w:left w:val="none" w:sz="0" w:space="0" w:color="auto"/>
        <w:bottom w:val="none" w:sz="0" w:space="0" w:color="auto"/>
        <w:right w:val="none" w:sz="0" w:space="0" w:color="auto"/>
      </w:divBdr>
    </w:div>
    <w:div w:id="112943254">
      <w:bodyDiv w:val="1"/>
      <w:marLeft w:val="0"/>
      <w:marRight w:val="0"/>
      <w:marTop w:val="0"/>
      <w:marBottom w:val="0"/>
      <w:divBdr>
        <w:top w:val="none" w:sz="0" w:space="0" w:color="auto"/>
        <w:left w:val="none" w:sz="0" w:space="0" w:color="auto"/>
        <w:bottom w:val="none" w:sz="0" w:space="0" w:color="auto"/>
        <w:right w:val="none" w:sz="0" w:space="0" w:color="auto"/>
      </w:divBdr>
    </w:div>
    <w:div w:id="114450995">
      <w:bodyDiv w:val="1"/>
      <w:marLeft w:val="0"/>
      <w:marRight w:val="0"/>
      <w:marTop w:val="0"/>
      <w:marBottom w:val="0"/>
      <w:divBdr>
        <w:top w:val="none" w:sz="0" w:space="0" w:color="auto"/>
        <w:left w:val="none" w:sz="0" w:space="0" w:color="auto"/>
        <w:bottom w:val="none" w:sz="0" w:space="0" w:color="auto"/>
        <w:right w:val="none" w:sz="0" w:space="0" w:color="auto"/>
      </w:divBdr>
    </w:div>
    <w:div w:id="114493688">
      <w:bodyDiv w:val="1"/>
      <w:marLeft w:val="0"/>
      <w:marRight w:val="0"/>
      <w:marTop w:val="0"/>
      <w:marBottom w:val="0"/>
      <w:divBdr>
        <w:top w:val="none" w:sz="0" w:space="0" w:color="auto"/>
        <w:left w:val="none" w:sz="0" w:space="0" w:color="auto"/>
        <w:bottom w:val="none" w:sz="0" w:space="0" w:color="auto"/>
        <w:right w:val="none" w:sz="0" w:space="0" w:color="auto"/>
      </w:divBdr>
    </w:div>
    <w:div w:id="114645821">
      <w:bodyDiv w:val="1"/>
      <w:marLeft w:val="0"/>
      <w:marRight w:val="0"/>
      <w:marTop w:val="0"/>
      <w:marBottom w:val="0"/>
      <w:divBdr>
        <w:top w:val="none" w:sz="0" w:space="0" w:color="auto"/>
        <w:left w:val="none" w:sz="0" w:space="0" w:color="auto"/>
        <w:bottom w:val="none" w:sz="0" w:space="0" w:color="auto"/>
        <w:right w:val="none" w:sz="0" w:space="0" w:color="auto"/>
      </w:divBdr>
    </w:div>
    <w:div w:id="114832844">
      <w:bodyDiv w:val="1"/>
      <w:marLeft w:val="0"/>
      <w:marRight w:val="0"/>
      <w:marTop w:val="0"/>
      <w:marBottom w:val="0"/>
      <w:divBdr>
        <w:top w:val="none" w:sz="0" w:space="0" w:color="auto"/>
        <w:left w:val="none" w:sz="0" w:space="0" w:color="auto"/>
        <w:bottom w:val="none" w:sz="0" w:space="0" w:color="auto"/>
        <w:right w:val="none" w:sz="0" w:space="0" w:color="auto"/>
      </w:divBdr>
    </w:div>
    <w:div w:id="115369703">
      <w:bodyDiv w:val="1"/>
      <w:marLeft w:val="0"/>
      <w:marRight w:val="0"/>
      <w:marTop w:val="0"/>
      <w:marBottom w:val="0"/>
      <w:divBdr>
        <w:top w:val="none" w:sz="0" w:space="0" w:color="auto"/>
        <w:left w:val="none" w:sz="0" w:space="0" w:color="auto"/>
        <w:bottom w:val="none" w:sz="0" w:space="0" w:color="auto"/>
        <w:right w:val="none" w:sz="0" w:space="0" w:color="auto"/>
      </w:divBdr>
    </w:div>
    <w:div w:id="115762570">
      <w:bodyDiv w:val="1"/>
      <w:marLeft w:val="0"/>
      <w:marRight w:val="0"/>
      <w:marTop w:val="0"/>
      <w:marBottom w:val="0"/>
      <w:divBdr>
        <w:top w:val="none" w:sz="0" w:space="0" w:color="auto"/>
        <w:left w:val="none" w:sz="0" w:space="0" w:color="auto"/>
        <w:bottom w:val="none" w:sz="0" w:space="0" w:color="auto"/>
        <w:right w:val="none" w:sz="0" w:space="0" w:color="auto"/>
      </w:divBdr>
    </w:div>
    <w:div w:id="115834864">
      <w:bodyDiv w:val="1"/>
      <w:marLeft w:val="0"/>
      <w:marRight w:val="0"/>
      <w:marTop w:val="0"/>
      <w:marBottom w:val="0"/>
      <w:divBdr>
        <w:top w:val="none" w:sz="0" w:space="0" w:color="auto"/>
        <w:left w:val="none" w:sz="0" w:space="0" w:color="auto"/>
        <w:bottom w:val="none" w:sz="0" w:space="0" w:color="auto"/>
        <w:right w:val="none" w:sz="0" w:space="0" w:color="auto"/>
      </w:divBdr>
    </w:div>
    <w:div w:id="116024737">
      <w:bodyDiv w:val="1"/>
      <w:marLeft w:val="0"/>
      <w:marRight w:val="0"/>
      <w:marTop w:val="0"/>
      <w:marBottom w:val="0"/>
      <w:divBdr>
        <w:top w:val="none" w:sz="0" w:space="0" w:color="auto"/>
        <w:left w:val="none" w:sz="0" w:space="0" w:color="auto"/>
        <w:bottom w:val="none" w:sz="0" w:space="0" w:color="auto"/>
        <w:right w:val="none" w:sz="0" w:space="0" w:color="auto"/>
      </w:divBdr>
    </w:div>
    <w:div w:id="119342238">
      <w:bodyDiv w:val="1"/>
      <w:marLeft w:val="0"/>
      <w:marRight w:val="0"/>
      <w:marTop w:val="0"/>
      <w:marBottom w:val="0"/>
      <w:divBdr>
        <w:top w:val="none" w:sz="0" w:space="0" w:color="auto"/>
        <w:left w:val="none" w:sz="0" w:space="0" w:color="auto"/>
        <w:bottom w:val="none" w:sz="0" w:space="0" w:color="auto"/>
        <w:right w:val="none" w:sz="0" w:space="0" w:color="auto"/>
      </w:divBdr>
    </w:div>
    <w:div w:id="119762203">
      <w:bodyDiv w:val="1"/>
      <w:marLeft w:val="0"/>
      <w:marRight w:val="0"/>
      <w:marTop w:val="0"/>
      <w:marBottom w:val="0"/>
      <w:divBdr>
        <w:top w:val="none" w:sz="0" w:space="0" w:color="auto"/>
        <w:left w:val="none" w:sz="0" w:space="0" w:color="auto"/>
        <w:bottom w:val="none" w:sz="0" w:space="0" w:color="auto"/>
        <w:right w:val="none" w:sz="0" w:space="0" w:color="auto"/>
      </w:divBdr>
    </w:div>
    <w:div w:id="121191427">
      <w:bodyDiv w:val="1"/>
      <w:marLeft w:val="0"/>
      <w:marRight w:val="0"/>
      <w:marTop w:val="0"/>
      <w:marBottom w:val="0"/>
      <w:divBdr>
        <w:top w:val="none" w:sz="0" w:space="0" w:color="auto"/>
        <w:left w:val="none" w:sz="0" w:space="0" w:color="auto"/>
        <w:bottom w:val="none" w:sz="0" w:space="0" w:color="auto"/>
        <w:right w:val="none" w:sz="0" w:space="0" w:color="auto"/>
      </w:divBdr>
    </w:div>
    <w:div w:id="122038030">
      <w:bodyDiv w:val="1"/>
      <w:marLeft w:val="0"/>
      <w:marRight w:val="0"/>
      <w:marTop w:val="0"/>
      <w:marBottom w:val="0"/>
      <w:divBdr>
        <w:top w:val="none" w:sz="0" w:space="0" w:color="auto"/>
        <w:left w:val="none" w:sz="0" w:space="0" w:color="auto"/>
        <w:bottom w:val="none" w:sz="0" w:space="0" w:color="auto"/>
        <w:right w:val="none" w:sz="0" w:space="0" w:color="auto"/>
      </w:divBdr>
    </w:div>
    <w:div w:id="122893100">
      <w:bodyDiv w:val="1"/>
      <w:marLeft w:val="0"/>
      <w:marRight w:val="0"/>
      <w:marTop w:val="0"/>
      <w:marBottom w:val="0"/>
      <w:divBdr>
        <w:top w:val="none" w:sz="0" w:space="0" w:color="auto"/>
        <w:left w:val="none" w:sz="0" w:space="0" w:color="auto"/>
        <w:bottom w:val="none" w:sz="0" w:space="0" w:color="auto"/>
        <w:right w:val="none" w:sz="0" w:space="0" w:color="auto"/>
      </w:divBdr>
    </w:div>
    <w:div w:id="122895574">
      <w:bodyDiv w:val="1"/>
      <w:marLeft w:val="0"/>
      <w:marRight w:val="0"/>
      <w:marTop w:val="0"/>
      <w:marBottom w:val="0"/>
      <w:divBdr>
        <w:top w:val="none" w:sz="0" w:space="0" w:color="auto"/>
        <w:left w:val="none" w:sz="0" w:space="0" w:color="auto"/>
        <w:bottom w:val="none" w:sz="0" w:space="0" w:color="auto"/>
        <w:right w:val="none" w:sz="0" w:space="0" w:color="auto"/>
      </w:divBdr>
    </w:div>
    <w:div w:id="123624405">
      <w:bodyDiv w:val="1"/>
      <w:marLeft w:val="0"/>
      <w:marRight w:val="0"/>
      <w:marTop w:val="0"/>
      <w:marBottom w:val="0"/>
      <w:divBdr>
        <w:top w:val="none" w:sz="0" w:space="0" w:color="auto"/>
        <w:left w:val="none" w:sz="0" w:space="0" w:color="auto"/>
        <w:bottom w:val="none" w:sz="0" w:space="0" w:color="auto"/>
        <w:right w:val="none" w:sz="0" w:space="0" w:color="auto"/>
      </w:divBdr>
    </w:div>
    <w:div w:id="123696118">
      <w:bodyDiv w:val="1"/>
      <w:marLeft w:val="0"/>
      <w:marRight w:val="0"/>
      <w:marTop w:val="0"/>
      <w:marBottom w:val="0"/>
      <w:divBdr>
        <w:top w:val="none" w:sz="0" w:space="0" w:color="auto"/>
        <w:left w:val="none" w:sz="0" w:space="0" w:color="auto"/>
        <w:bottom w:val="none" w:sz="0" w:space="0" w:color="auto"/>
        <w:right w:val="none" w:sz="0" w:space="0" w:color="auto"/>
      </w:divBdr>
    </w:div>
    <w:div w:id="124661119">
      <w:bodyDiv w:val="1"/>
      <w:marLeft w:val="0"/>
      <w:marRight w:val="0"/>
      <w:marTop w:val="0"/>
      <w:marBottom w:val="0"/>
      <w:divBdr>
        <w:top w:val="none" w:sz="0" w:space="0" w:color="auto"/>
        <w:left w:val="none" w:sz="0" w:space="0" w:color="auto"/>
        <w:bottom w:val="none" w:sz="0" w:space="0" w:color="auto"/>
        <w:right w:val="none" w:sz="0" w:space="0" w:color="auto"/>
      </w:divBdr>
    </w:div>
    <w:div w:id="127668043">
      <w:bodyDiv w:val="1"/>
      <w:marLeft w:val="0"/>
      <w:marRight w:val="0"/>
      <w:marTop w:val="0"/>
      <w:marBottom w:val="0"/>
      <w:divBdr>
        <w:top w:val="none" w:sz="0" w:space="0" w:color="auto"/>
        <w:left w:val="none" w:sz="0" w:space="0" w:color="auto"/>
        <w:bottom w:val="none" w:sz="0" w:space="0" w:color="auto"/>
        <w:right w:val="none" w:sz="0" w:space="0" w:color="auto"/>
      </w:divBdr>
    </w:div>
    <w:div w:id="128670271">
      <w:bodyDiv w:val="1"/>
      <w:marLeft w:val="0"/>
      <w:marRight w:val="0"/>
      <w:marTop w:val="0"/>
      <w:marBottom w:val="0"/>
      <w:divBdr>
        <w:top w:val="none" w:sz="0" w:space="0" w:color="auto"/>
        <w:left w:val="none" w:sz="0" w:space="0" w:color="auto"/>
        <w:bottom w:val="none" w:sz="0" w:space="0" w:color="auto"/>
        <w:right w:val="none" w:sz="0" w:space="0" w:color="auto"/>
      </w:divBdr>
    </w:div>
    <w:div w:id="129901516">
      <w:bodyDiv w:val="1"/>
      <w:marLeft w:val="0"/>
      <w:marRight w:val="0"/>
      <w:marTop w:val="0"/>
      <w:marBottom w:val="0"/>
      <w:divBdr>
        <w:top w:val="none" w:sz="0" w:space="0" w:color="auto"/>
        <w:left w:val="none" w:sz="0" w:space="0" w:color="auto"/>
        <w:bottom w:val="none" w:sz="0" w:space="0" w:color="auto"/>
        <w:right w:val="none" w:sz="0" w:space="0" w:color="auto"/>
      </w:divBdr>
    </w:div>
    <w:div w:id="130171208">
      <w:bodyDiv w:val="1"/>
      <w:marLeft w:val="0"/>
      <w:marRight w:val="0"/>
      <w:marTop w:val="0"/>
      <w:marBottom w:val="0"/>
      <w:divBdr>
        <w:top w:val="none" w:sz="0" w:space="0" w:color="auto"/>
        <w:left w:val="none" w:sz="0" w:space="0" w:color="auto"/>
        <w:bottom w:val="none" w:sz="0" w:space="0" w:color="auto"/>
        <w:right w:val="none" w:sz="0" w:space="0" w:color="auto"/>
      </w:divBdr>
    </w:div>
    <w:div w:id="130558098">
      <w:bodyDiv w:val="1"/>
      <w:marLeft w:val="0"/>
      <w:marRight w:val="0"/>
      <w:marTop w:val="0"/>
      <w:marBottom w:val="0"/>
      <w:divBdr>
        <w:top w:val="none" w:sz="0" w:space="0" w:color="auto"/>
        <w:left w:val="none" w:sz="0" w:space="0" w:color="auto"/>
        <w:bottom w:val="none" w:sz="0" w:space="0" w:color="auto"/>
        <w:right w:val="none" w:sz="0" w:space="0" w:color="auto"/>
      </w:divBdr>
    </w:div>
    <w:div w:id="130634420">
      <w:bodyDiv w:val="1"/>
      <w:marLeft w:val="0"/>
      <w:marRight w:val="0"/>
      <w:marTop w:val="0"/>
      <w:marBottom w:val="0"/>
      <w:divBdr>
        <w:top w:val="none" w:sz="0" w:space="0" w:color="auto"/>
        <w:left w:val="none" w:sz="0" w:space="0" w:color="auto"/>
        <w:bottom w:val="none" w:sz="0" w:space="0" w:color="auto"/>
        <w:right w:val="none" w:sz="0" w:space="0" w:color="auto"/>
      </w:divBdr>
    </w:div>
    <w:div w:id="130901437">
      <w:bodyDiv w:val="1"/>
      <w:marLeft w:val="0"/>
      <w:marRight w:val="0"/>
      <w:marTop w:val="0"/>
      <w:marBottom w:val="0"/>
      <w:divBdr>
        <w:top w:val="none" w:sz="0" w:space="0" w:color="auto"/>
        <w:left w:val="none" w:sz="0" w:space="0" w:color="auto"/>
        <w:bottom w:val="none" w:sz="0" w:space="0" w:color="auto"/>
        <w:right w:val="none" w:sz="0" w:space="0" w:color="auto"/>
      </w:divBdr>
    </w:div>
    <w:div w:id="131365961">
      <w:bodyDiv w:val="1"/>
      <w:marLeft w:val="0"/>
      <w:marRight w:val="0"/>
      <w:marTop w:val="0"/>
      <w:marBottom w:val="0"/>
      <w:divBdr>
        <w:top w:val="none" w:sz="0" w:space="0" w:color="auto"/>
        <w:left w:val="none" w:sz="0" w:space="0" w:color="auto"/>
        <w:bottom w:val="none" w:sz="0" w:space="0" w:color="auto"/>
        <w:right w:val="none" w:sz="0" w:space="0" w:color="auto"/>
      </w:divBdr>
    </w:div>
    <w:div w:id="131603460">
      <w:bodyDiv w:val="1"/>
      <w:marLeft w:val="0"/>
      <w:marRight w:val="0"/>
      <w:marTop w:val="0"/>
      <w:marBottom w:val="0"/>
      <w:divBdr>
        <w:top w:val="none" w:sz="0" w:space="0" w:color="auto"/>
        <w:left w:val="none" w:sz="0" w:space="0" w:color="auto"/>
        <w:bottom w:val="none" w:sz="0" w:space="0" w:color="auto"/>
        <w:right w:val="none" w:sz="0" w:space="0" w:color="auto"/>
      </w:divBdr>
    </w:div>
    <w:div w:id="132254910">
      <w:bodyDiv w:val="1"/>
      <w:marLeft w:val="0"/>
      <w:marRight w:val="0"/>
      <w:marTop w:val="0"/>
      <w:marBottom w:val="0"/>
      <w:divBdr>
        <w:top w:val="none" w:sz="0" w:space="0" w:color="auto"/>
        <w:left w:val="none" w:sz="0" w:space="0" w:color="auto"/>
        <w:bottom w:val="none" w:sz="0" w:space="0" w:color="auto"/>
        <w:right w:val="none" w:sz="0" w:space="0" w:color="auto"/>
      </w:divBdr>
    </w:div>
    <w:div w:id="132841750">
      <w:bodyDiv w:val="1"/>
      <w:marLeft w:val="0"/>
      <w:marRight w:val="0"/>
      <w:marTop w:val="0"/>
      <w:marBottom w:val="0"/>
      <w:divBdr>
        <w:top w:val="none" w:sz="0" w:space="0" w:color="auto"/>
        <w:left w:val="none" w:sz="0" w:space="0" w:color="auto"/>
        <w:bottom w:val="none" w:sz="0" w:space="0" w:color="auto"/>
        <w:right w:val="none" w:sz="0" w:space="0" w:color="auto"/>
      </w:divBdr>
    </w:div>
    <w:div w:id="136462703">
      <w:bodyDiv w:val="1"/>
      <w:marLeft w:val="0"/>
      <w:marRight w:val="0"/>
      <w:marTop w:val="0"/>
      <w:marBottom w:val="0"/>
      <w:divBdr>
        <w:top w:val="none" w:sz="0" w:space="0" w:color="auto"/>
        <w:left w:val="none" w:sz="0" w:space="0" w:color="auto"/>
        <w:bottom w:val="none" w:sz="0" w:space="0" w:color="auto"/>
        <w:right w:val="none" w:sz="0" w:space="0" w:color="auto"/>
      </w:divBdr>
    </w:div>
    <w:div w:id="138815705">
      <w:bodyDiv w:val="1"/>
      <w:marLeft w:val="0"/>
      <w:marRight w:val="0"/>
      <w:marTop w:val="0"/>
      <w:marBottom w:val="0"/>
      <w:divBdr>
        <w:top w:val="none" w:sz="0" w:space="0" w:color="auto"/>
        <w:left w:val="none" w:sz="0" w:space="0" w:color="auto"/>
        <w:bottom w:val="none" w:sz="0" w:space="0" w:color="auto"/>
        <w:right w:val="none" w:sz="0" w:space="0" w:color="auto"/>
      </w:divBdr>
    </w:div>
    <w:div w:id="138888952">
      <w:bodyDiv w:val="1"/>
      <w:marLeft w:val="0"/>
      <w:marRight w:val="0"/>
      <w:marTop w:val="0"/>
      <w:marBottom w:val="0"/>
      <w:divBdr>
        <w:top w:val="none" w:sz="0" w:space="0" w:color="auto"/>
        <w:left w:val="none" w:sz="0" w:space="0" w:color="auto"/>
        <w:bottom w:val="none" w:sz="0" w:space="0" w:color="auto"/>
        <w:right w:val="none" w:sz="0" w:space="0" w:color="auto"/>
      </w:divBdr>
    </w:div>
    <w:div w:id="138964095">
      <w:bodyDiv w:val="1"/>
      <w:marLeft w:val="0"/>
      <w:marRight w:val="0"/>
      <w:marTop w:val="0"/>
      <w:marBottom w:val="0"/>
      <w:divBdr>
        <w:top w:val="none" w:sz="0" w:space="0" w:color="auto"/>
        <w:left w:val="none" w:sz="0" w:space="0" w:color="auto"/>
        <w:bottom w:val="none" w:sz="0" w:space="0" w:color="auto"/>
        <w:right w:val="none" w:sz="0" w:space="0" w:color="auto"/>
      </w:divBdr>
    </w:div>
    <w:div w:id="138964807">
      <w:bodyDiv w:val="1"/>
      <w:marLeft w:val="0"/>
      <w:marRight w:val="0"/>
      <w:marTop w:val="0"/>
      <w:marBottom w:val="0"/>
      <w:divBdr>
        <w:top w:val="none" w:sz="0" w:space="0" w:color="auto"/>
        <w:left w:val="none" w:sz="0" w:space="0" w:color="auto"/>
        <w:bottom w:val="none" w:sz="0" w:space="0" w:color="auto"/>
        <w:right w:val="none" w:sz="0" w:space="0" w:color="auto"/>
      </w:divBdr>
    </w:div>
    <w:div w:id="139081812">
      <w:bodyDiv w:val="1"/>
      <w:marLeft w:val="0"/>
      <w:marRight w:val="0"/>
      <w:marTop w:val="0"/>
      <w:marBottom w:val="0"/>
      <w:divBdr>
        <w:top w:val="none" w:sz="0" w:space="0" w:color="auto"/>
        <w:left w:val="none" w:sz="0" w:space="0" w:color="auto"/>
        <w:bottom w:val="none" w:sz="0" w:space="0" w:color="auto"/>
        <w:right w:val="none" w:sz="0" w:space="0" w:color="auto"/>
      </w:divBdr>
    </w:div>
    <w:div w:id="140386602">
      <w:bodyDiv w:val="1"/>
      <w:marLeft w:val="0"/>
      <w:marRight w:val="0"/>
      <w:marTop w:val="0"/>
      <w:marBottom w:val="0"/>
      <w:divBdr>
        <w:top w:val="none" w:sz="0" w:space="0" w:color="auto"/>
        <w:left w:val="none" w:sz="0" w:space="0" w:color="auto"/>
        <w:bottom w:val="none" w:sz="0" w:space="0" w:color="auto"/>
        <w:right w:val="none" w:sz="0" w:space="0" w:color="auto"/>
      </w:divBdr>
    </w:div>
    <w:div w:id="140468215">
      <w:bodyDiv w:val="1"/>
      <w:marLeft w:val="0"/>
      <w:marRight w:val="0"/>
      <w:marTop w:val="0"/>
      <w:marBottom w:val="0"/>
      <w:divBdr>
        <w:top w:val="none" w:sz="0" w:space="0" w:color="auto"/>
        <w:left w:val="none" w:sz="0" w:space="0" w:color="auto"/>
        <w:bottom w:val="none" w:sz="0" w:space="0" w:color="auto"/>
        <w:right w:val="none" w:sz="0" w:space="0" w:color="auto"/>
      </w:divBdr>
    </w:div>
    <w:div w:id="141698910">
      <w:bodyDiv w:val="1"/>
      <w:marLeft w:val="0"/>
      <w:marRight w:val="0"/>
      <w:marTop w:val="0"/>
      <w:marBottom w:val="0"/>
      <w:divBdr>
        <w:top w:val="none" w:sz="0" w:space="0" w:color="auto"/>
        <w:left w:val="none" w:sz="0" w:space="0" w:color="auto"/>
        <w:bottom w:val="none" w:sz="0" w:space="0" w:color="auto"/>
        <w:right w:val="none" w:sz="0" w:space="0" w:color="auto"/>
      </w:divBdr>
    </w:div>
    <w:div w:id="141822687">
      <w:bodyDiv w:val="1"/>
      <w:marLeft w:val="0"/>
      <w:marRight w:val="0"/>
      <w:marTop w:val="0"/>
      <w:marBottom w:val="0"/>
      <w:divBdr>
        <w:top w:val="none" w:sz="0" w:space="0" w:color="auto"/>
        <w:left w:val="none" w:sz="0" w:space="0" w:color="auto"/>
        <w:bottom w:val="none" w:sz="0" w:space="0" w:color="auto"/>
        <w:right w:val="none" w:sz="0" w:space="0" w:color="auto"/>
      </w:divBdr>
    </w:div>
    <w:div w:id="142426888">
      <w:bodyDiv w:val="1"/>
      <w:marLeft w:val="0"/>
      <w:marRight w:val="0"/>
      <w:marTop w:val="0"/>
      <w:marBottom w:val="0"/>
      <w:divBdr>
        <w:top w:val="none" w:sz="0" w:space="0" w:color="auto"/>
        <w:left w:val="none" w:sz="0" w:space="0" w:color="auto"/>
        <w:bottom w:val="none" w:sz="0" w:space="0" w:color="auto"/>
        <w:right w:val="none" w:sz="0" w:space="0" w:color="auto"/>
      </w:divBdr>
    </w:div>
    <w:div w:id="142503144">
      <w:bodyDiv w:val="1"/>
      <w:marLeft w:val="0"/>
      <w:marRight w:val="0"/>
      <w:marTop w:val="0"/>
      <w:marBottom w:val="0"/>
      <w:divBdr>
        <w:top w:val="none" w:sz="0" w:space="0" w:color="auto"/>
        <w:left w:val="none" w:sz="0" w:space="0" w:color="auto"/>
        <w:bottom w:val="none" w:sz="0" w:space="0" w:color="auto"/>
        <w:right w:val="none" w:sz="0" w:space="0" w:color="auto"/>
      </w:divBdr>
    </w:div>
    <w:div w:id="142550997">
      <w:bodyDiv w:val="1"/>
      <w:marLeft w:val="0"/>
      <w:marRight w:val="0"/>
      <w:marTop w:val="0"/>
      <w:marBottom w:val="0"/>
      <w:divBdr>
        <w:top w:val="none" w:sz="0" w:space="0" w:color="auto"/>
        <w:left w:val="none" w:sz="0" w:space="0" w:color="auto"/>
        <w:bottom w:val="none" w:sz="0" w:space="0" w:color="auto"/>
        <w:right w:val="none" w:sz="0" w:space="0" w:color="auto"/>
      </w:divBdr>
    </w:div>
    <w:div w:id="142621125">
      <w:bodyDiv w:val="1"/>
      <w:marLeft w:val="0"/>
      <w:marRight w:val="0"/>
      <w:marTop w:val="0"/>
      <w:marBottom w:val="0"/>
      <w:divBdr>
        <w:top w:val="none" w:sz="0" w:space="0" w:color="auto"/>
        <w:left w:val="none" w:sz="0" w:space="0" w:color="auto"/>
        <w:bottom w:val="none" w:sz="0" w:space="0" w:color="auto"/>
        <w:right w:val="none" w:sz="0" w:space="0" w:color="auto"/>
      </w:divBdr>
    </w:div>
    <w:div w:id="143087512">
      <w:bodyDiv w:val="1"/>
      <w:marLeft w:val="0"/>
      <w:marRight w:val="0"/>
      <w:marTop w:val="0"/>
      <w:marBottom w:val="0"/>
      <w:divBdr>
        <w:top w:val="none" w:sz="0" w:space="0" w:color="auto"/>
        <w:left w:val="none" w:sz="0" w:space="0" w:color="auto"/>
        <w:bottom w:val="none" w:sz="0" w:space="0" w:color="auto"/>
        <w:right w:val="none" w:sz="0" w:space="0" w:color="auto"/>
      </w:divBdr>
    </w:div>
    <w:div w:id="143930595">
      <w:bodyDiv w:val="1"/>
      <w:marLeft w:val="0"/>
      <w:marRight w:val="0"/>
      <w:marTop w:val="0"/>
      <w:marBottom w:val="0"/>
      <w:divBdr>
        <w:top w:val="none" w:sz="0" w:space="0" w:color="auto"/>
        <w:left w:val="none" w:sz="0" w:space="0" w:color="auto"/>
        <w:bottom w:val="none" w:sz="0" w:space="0" w:color="auto"/>
        <w:right w:val="none" w:sz="0" w:space="0" w:color="auto"/>
      </w:divBdr>
    </w:div>
    <w:div w:id="144051088">
      <w:bodyDiv w:val="1"/>
      <w:marLeft w:val="0"/>
      <w:marRight w:val="0"/>
      <w:marTop w:val="0"/>
      <w:marBottom w:val="0"/>
      <w:divBdr>
        <w:top w:val="none" w:sz="0" w:space="0" w:color="auto"/>
        <w:left w:val="none" w:sz="0" w:space="0" w:color="auto"/>
        <w:bottom w:val="none" w:sz="0" w:space="0" w:color="auto"/>
        <w:right w:val="none" w:sz="0" w:space="0" w:color="auto"/>
      </w:divBdr>
    </w:div>
    <w:div w:id="144930873">
      <w:bodyDiv w:val="1"/>
      <w:marLeft w:val="0"/>
      <w:marRight w:val="0"/>
      <w:marTop w:val="0"/>
      <w:marBottom w:val="0"/>
      <w:divBdr>
        <w:top w:val="none" w:sz="0" w:space="0" w:color="auto"/>
        <w:left w:val="none" w:sz="0" w:space="0" w:color="auto"/>
        <w:bottom w:val="none" w:sz="0" w:space="0" w:color="auto"/>
        <w:right w:val="none" w:sz="0" w:space="0" w:color="auto"/>
      </w:divBdr>
    </w:div>
    <w:div w:id="146215726">
      <w:bodyDiv w:val="1"/>
      <w:marLeft w:val="0"/>
      <w:marRight w:val="0"/>
      <w:marTop w:val="0"/>
      <w:marBottom w:val="0"/>
      <w:divBdr>
        <w:top w:val="none" w:sz="0" w:space="0" w:color="auto"/>
        <w:left w:val="none" w:sz="0" w:space="0" w:color="auto"/>
        <w:bottom w:val="none" w:sz="0" w:space="0" w:color="auto"/>
        <w:right w:val="none" w:sz="0" w:space="0" w:color="auto"/>
      </w:divBdr>
    </w:div>
    <w:div w:id="146290018">
      <w:bodyDiv w:val="1"/>
      <w:marLeft w:val="0"/>
      <w:marRight w:val="0"/>
      <w:marTop w:val="0"/>
      <w:marBottom w:val="0"/>
      <w:divBdr>
        <w:top w:val="none" w:sz="0" w:space="0" w:color="auto"/>
        <w:left w:val="none" w:sz="0" w:space="0" w:color="auto"/>
        <w:bottom w:val="none" w:sz="0" w:space="0" w:color="auto"/>
        <w:right w:val="none" w:sz="0" w:space="0" w:color="auto"/>
      </w:divBdr>
    </w:div>
    <w:div w:id="146747410">
      <w:bodyDiv w:val="1"/>
      <w:marLeft w:val="0"/>
      <w:marRight w:val="0"/>
      <w:marTop w:val="0"/>
      <w:marBottom w:val="0"/>
      <w:divBdr>
        <w:top w:val="none" w:sz="0" w:space="0" w:color="auto"/>
        <w:left w:val="none" w:sz="0" w:space="0" w:color="auto"/>
        <w:bottom w:val="none" w:sz="0" w:space="0" w:color="auto"/>
        <w:right w:val="none" w:sz="0" w:space="0" w:color="auto"/>
      </w:divBdr>
    </w:div>
    <w:div w:id="146753852">
      <w:bodyDiv w:val="1"/>
      <w:marLeft w:val="0"/>
      <w:marRight w:val="0"/>
      <w:marTop w:val="0"/>
      <w:marBottom w:val="0"/>
      <w:divBdr>
        <w:top w:val="none" w:sz="0" w:space="0" w:color="auto"/>
        <w:left w:val="none" w:sz="0" w:space="0" w:color="auto"/>
        <w:bottom w:val="none" w:sz="0" w:space="0" w:color="auto"/>
        <w:right w:val="none" w:sz="0" w:space="0" w:color="auto"/>
      </w:divBdr>
    </w:div>
    <w:div w:id="147868756">
      <w:bodyDiv w:val="1"/>
      <w:marLeft w:val="0"/>
      <w:marRight w:val="0"/>
      <w:marTop w:val="0"/>
      <w:marBottom w:val="0"/>
      <w:divBdr>
        <w:top w:val="none" w:sz="0" w:space="0" w:color="auto"/>
        <w:left w:val="none" w:sz="0" w:space="0" w:color="auto"/>
        <w:bottom w:val="none" w:sz="0" w:space="0" w:color="auto"/>
        <w:right w:val="none" w:sz="0" w:space="0" w:color="auto"/>
      </w:divBdr>
    </w:div>
    <w:div w:id="148140250">
      <w:bodyDiv w:val="1"/>
      <w:marLeft w:val="0"/>
      <w:marRight w:val="0"/>
      <w:marTop w:val="0"/>
      <w:marBottom w:val="0"/>
      <w:divBdr>
        <w:top w:val="none" w:sz="0" w:space="0" w:color="auto"/>
        <w:left w:val="none" w:sz="0" w:space="0" w:color="auto"/>
        <w:bottom w:val="none" w:sz="0" w:space="0" w:color="auto"/>
        <w:right w:val="none" w:sz="0" w:space="0" w:color="auto"/>
      </w:divBdr>
    </w:div>
    <w:div w:id="148521774">
      <w:bodyDiv w:val="1"/>
      <w:marLeft w:val="0"/>
      <w:marRight w:val="0"/>
      <w:marTop w:val="0"/>
      <w:marBottom w:val="0"/>
      <w:divBdr>
        <w:top w:val="none" w:sz="0" w:space="0" w:color="auto"/>
        <w:left w:val="none" w:sz="0" w:space="0" w:color="auto"/>
        <w:bottom w:val="none" w:sz="0" w:space="0" w:color="auto"/>
        <w:right w:val="none" w:sz="0" w:space="0" w:color="auto"/>
      </w:divBdr>
    </w:div>
    <w:div w:id="148592776">
      <w:bodyDiv w:val="1"/>
      <w:marLeft w:val="0"/>
      <w:marRight w:val="0"/>
      <w:marTop w:val="0"/>
      <w:marBottom w:val="0"/>
      <w:divBdr>
        <w:top w:val="none" w:sz="0" w:space="0" w:color="auto"/>
        <w:left w:val="none" w:sz="0" w:space="0" w:color="auto"/>
        <w:bottom w:val="none" w:sz="0" w:space="0" w:color="auto"/>
        <w:right w:val="none" w:sz="0" w:space="0" w:color="auto"/>
      </w:divBdr>
    </w:div>
    <w:div w:id="149449015">
      <w:bodyDiv w:val="1"/>
      <w:marLeft w:val="0"/>
      <w:marRight w:val="0"/>
      <w:marTop w:val="0"/>
      <w:marBottom w:val="0"/>
      <w:divBdr>
        <w:top w:val="none" w:sz="0" w:space="0" w:color="auto"/>
        <w:left w:val="none" w:sz="0" w:space="0" w:color="auto"/>
        <w:bottom w:val="none" w:sz="0" w:space="0" w:color="auto"/>
        <w:right w:val="none" w:sz="0" w:space="0" w:color="auto"/>
      </w:divBdr>
    </w:div>
    <w:div w:id="149837277">
      <w:bodyDiv w:val="1"/>
      <w:marLeft w:val="0"/>
      <w:marRight w:val="0"/>
      <w:marTop w:val="0"/>
      <w:marBottom w:val="0"/>
      <w:divBdr>
        <w:top w:val="none" w:sz="0" w:space="0" w:color="auto"/>
        <w:left w:val="none" w:sz="0" w:space="0" w:color="auto"/>
        <w:bottom w:val="none" w:sz="0" w:space="0" w:color="auto"/>
        <w:right w:val="none" w:sz="0" w:space="0" w:color="auto"/>
      </w:divBdr>
    </w:div>
    <w:div w:id="150174963">
      <w:bodyDiv w:val="1"/>
      <w:marLeft w:val="0"/>
      <w:marRight w:val="0"/>
      <w:marTop w:val="0"/>
      <w:marBottom w:val="0"/>
      <w:divBdr>
        <w:top w:val="none" w:sz="0" w:space="0" w:color="auto"/>
        <w:left w:val="none" w:sz="0" w:space="0" w:color="auto"/>
        <w:bottom w:val="none" w:sz="0" w:space="0" w:color="auto"/>
        <w:right w:val="none" w:sz="0" w:space="0" w:color="auto"/>
      </w:divBdr>
    </w:div>
    <w:div w:id="150175302">
      <w:bodyDiv w:val="1"/>
      <w:marLeft w:val="0"/>
      <w:marRight w:val="0"/>
      <w:marTop w:val="0"/>
      <w:marBottom w:val="0"/>
      <w:divBdr>
        <w:top w:val="none" w:sz="0" w:space="0" w:color="auto"/>
        <w:left w:val="none" w:sz="0" w:space="0" w:color="auto"/>
        <w:bottom w:val="none" w:sz="0" w:space="0" w:color="auto"/>
        <w:right w:val="none" w:sz="0" w:space="0" w:color="auto"/>
      </w:divBdr>
    </w:div>
    <w:div w:id="152374653">
      <w:bodyDiv w:val="1"/>
      <w:marLeft w:val="0"/>
      <w:marRight w:val="0"/>
      <w:marTop w:val="0"/>
      <w:marBottom w:val="0"/>
      <w:divBdr>
        <w:top w:val="none" w:sz="0" w:space="0" w:color="auto"/>
        <w:left w:val="none" w:sz="0" w:space="0" w:color="auto"/>
        <w:bottom w:val="none" w:sz="0" w:space="0" w:color="auto"/>
        <w:right w:val="none" w:sz="0" w:space="0" w:color="auto"/>
      </w:divBdr>
    </w:div>
    <w:div w:id="152532068">
      <w:bodyDiv w:val="1"/>
      <w:marLeft w:val="0"/>
      <w:marRight w:val="0"/>
      <w:marTop w:val="0"/>
      <w:marBottom w:val="0"/>
      <w:divBdr>
        <w:top w:val="none" w:sz="0" w:space="0" w:color="auto"/>
        <w:left w:val="none" w:sz="0" w:space="0" w:color="auto"/>
        <w:bottom w:val="none" w:sz="0" w:space="0" w:color="auto"/>
        <w:right w:val="none" w:sz="0" w:space="0" w:color="auto"/>
      </w:divBdr>
    </w:div>
    <w:div w:id="152722651">
      <w:bodyDiv w:val="1"/>
      <w:marLeft w:val="0"/>
      <w:marRight w:val="0"/>
      <w:marTop w:val="0"/>
      <w:marBottom w:val="0"/>
      <w:divBdr>
        <w:top w:val="none" w:sz="0" w:space="0" w:color="auto"/>
        <w:left w:val="none" w:sz="0" w:space="0" w:color="auto"/>
        <w:bottom w:val="none" w:sz="0" w:space="0" w:color="auto"/>
        <w:right w:val="none" w:sz="0" w:space="0" w:color="auto"/>
      </w:divBdr>
    </w:div>
    <w:div w:id="153884488">
      <w:bodyDiv w:val="1"/>
      <w:marLeft w:val="0"/>
      <w:marRight w:val="0"/>
      <w:marTop w:val="0"/>
      <w:marBottom w:val="0"/>
      <w:divBdr>
        <w:top w:val="none" w:sz="0" w:space="0" w:color="auto"/>
        <w:left w:val="none" w:sz="0" w:space="0" w:color="auto"/>
        <w:bottom w:val="none" w:sz="0" w:space="0" w:color="auto"/>
        <w:right w:val="none" w:sz="0" w:space="0" w:color="auto"/>
      </w:divBdr>
    </w:div>
    <w:div w:id="154106277">
      <w:bodyDiv w:val="1"/>
      <w:marLeft w:val="0"/>
      <w:marRight w:val="0"/>
      <w:marTop w:val="0"/>
      <w:marBottom w:val="0"/>
      <w:divBdr>
        <w:top w:val="none" w:sz="0" w:space="0" w:color="auto"/>
        <w:left w:val="none" w:sz="0" w:space="0" w:color="auto"/>
        <w:bottom w:val="none" w:sz="0" w:space="0" w:color="auto"/>
        <w:right w:val="none" w:sz="0" w:space="0" w:color="auto"/>
      </w:divBdr>
    </w:div>
    <w:div w:id="156196538">
      <w:bodyDiv w:val="1"/>
      <w:marLeft w:val="0"/>
      <w:marRight w:val="0"/>
      <w:marTop w:val="0"/>
      <w:marBottom w:val="0"/>
      <w:divBdr>
        <w:top w:val="none" w:sz="0" w:space="0" w:color="auto"/>
        <w:left w:val="none" w:sz="0" w:space="0" w:color="auto"/>
        <w:bottom w:val="none" w:sz="0" w:space="0" w:color="auto"/>
        <w:right w:val="none" w:sz="0" w:space="0" w:color="auto"/>
      </w:divBdr>
    </w:div>
    <w:div w:id="156505730">
      <w:bodyDiv w:val="1"/>
      <w:marLeft w:val="0"/>
      <w:marRight w:val="0"/>
      <w:marTop w:val="0"/>
      <w:marBottom w:val="0"/>
      <w:divBdr>
        <w:top w:val="none" w:sz="0" w:space="0" w:color="auto"/>
        <w:left w:val="none" w:sz="0" w:space="0" w:color="auto"/>
        <w:bottom w:val="none" w:sz="0" w:space="0" w:color="auto"/>
        <w:right w:val="none" w:sz="0" w:space="0" w:color="auto"/>
      </w:divBdr>
    </w:div>
    <w:div w:id="156920277">
      <w:bodyDiv w:val="1"/>
      <w:marLeft w:val="0"/>
      <w:marRight w:val="0"/>
      <w:marTop w:val="0"/>
      <w:marBottom w:val="0"/>
      <w:divBdr>
        <w:top w:val="none" w:sz="0" w:space="0" w:color="auto"/>
        <w:left w:val="none" w:sz="0" w:space="0" w:color="auto"/>
        <w:bottom w:val="none" w:sz="0" w:space="0" w:color="auto"/>
        <w:right w:val="none" w:sz="0" w:space="0" w:color="auto"/>
      </w:divBdr>
    </w:div>
    <w:div w:id="157774947">
      <w:bodyDiv w:val="1"/>
      <w:marLeft w:val="0"/>
      <w:marRight w:val="0"/>
      <w:marTop w:val="0"/>
      <w:marBottom w:val="0"/>
      <w:divBdr>
        <w:top w:val="none" w:sz="0" w:space="0" w:color="auto"/>
        <w:left w:val="none" w:sz="0" w:space="0" w:color="auto"/>
        <w:bottom w:val="none" w:sz="0" w:space="0" w:color="auto"/>
        <w:right w:val="none" w:sz="0" w:space="0" w:color="auto"/>
      </w:divBdr>
    </w:div>
    <w:div w:id="158693054">
      <w:bodyDiv w:val="1"/>
      <w:marLeft w:val="0"/>
      <w:marRight w:val="0"/>
      <w:marTop w:val="0"/>
      <w:marBottom w:val="0"/>
      <w:divBdr>
        <w:top w:val="none" w:sz="0" w:space="0" w:color="auto"/>
        <w:left w:val="none" w:sz="0" w:space="0" w:color="auto"/>
        <w:bottom w:val="none" w:sz="0" w:space="0" w:color="auto"/>
        <w:right w:val="none" w:sz="0" w:space="0" w:color="auto"/>
      </w:divBdr>
    </w:div>
    <w:div w:id="160242810">
      <w:bodyDiv w:val="1"/>
      <w:marLeft w:val="0"/>
      <w:marRight w:val="0"/>
      <w:marTop w:val="0"/>
      <w:marBottom w:val="0"/>
      <w:divBdr>
        <w:top w:val="none" w:sz="0" w:space="0" w:color="auto"/>
        <w:left w:val="none" w:sz="0" w:space="0" w:color="auto"/>
        <w:bottom w:val="none" w:sz="0" w:space="0" w:color="auto"/>
        <w:right w:val="none" w:sz="0" w:space="0" w:color="auto"/>
      </w:divBdr>
    </w:div>
    <w:div w:id="160315134">
      <w:bodyDiv w:val="1"/>
      <w:marLeft w:val="0"/>
      <w:marRight w:val="0"/>
      <w:marTop w:val="0"/>
      <w:marBottom w:val="0"/>
      <w:divBdr>
        <w:top w:val="none" w:sz="0" w:space="0" w:color="auto"/>
        <w:left w:val="none" w:sz="0" w:space="0" w:color="auto"/>
        <w:bottom w:val="none" w:sz="0" w:space="0" w:color="auto"/>
        <w:right w:val="none" w:sz="0" w:space="0" w:color="auto"/>
      </w:divBdr>
    </w:div>
    <w:div w:id="160394349">
      <w:bodyDiv w:val="1"/>
      <w:marLeft w:val="0"/>
      <w:marRight w:val="0"/>
      <w:marTop w:val="0"/>
      <w:marBottom w:val="0"/>
      <w:divBdr>
        <w:top w:val="none" w:sz="0" w:space="0" w:color="auto"/>
        <w:left w:val="none" w:sz="0" w:space="0" w:color="auto"/>
        <w:bottom w:val="none" w:sz="0" w:space="0" w:color="auto"/>
        <w:right w:val="none" w:sz="0" w:space="0" w:color="auto"/>
      </w:divBdr>
    </w:div>
    <w:div w:id="160975470">
      <w:bodyDiv w:val="1"/>
      <w:marLeft w:val="0"/>
      <w:marRight w:val="0"/>
      <w:marTop w:val="0"/>
      <w:marBottom w:val="0"/>
      <w:divBdr>
        <w:top w:val="none" w:sz="0" w:space="0" w:color="auto"/>
        <w:left w:val="none" w:sz="0" w:space="0" w:color="auto"/>
        <w:bottom w:val="none" w:sz="0" w:space="0" w:color="auto"/>
        <w:right w:val="none" w:sz="0" w:space="0" w:color="auto"/>
      </w:divBdr>
    </w:div>
    <w:div w:id="161316568">
      <w:bodyDiv w:val="1"/>
      <w:marLeft w:val="0"/>
      <w:marRight w:val="0"/>
      <w:marTop w:val="0"/>
      <w:marBottom w:val="0"/>
      <w:divBdr>
        <w:top w:val="none" w:sz="0" w:space="0" w:color="auto"/>
        <w:left w:val="none" w:sz="0" w:space="0" w:color="auto"/>
        <w:bottom w:val="none" w:sz="0" w:space="0" w:color="auto"/>
        <w:right w:val="none" w:sz="0" w:space="0" w:color="auto"/>
      </w:divBdr>
    </w:div>
    <w:div w:id="162598785">
      <w:bodyDiv w:val="1"/>
      <w:marLeft w:val="0"/>
      <w:marRight w:val="0"/>
      <w:marTop w:val="0"/>
      <w:marBottom w:val="0"/>
      <w:divBdr>
        <w:top w:val="none" w:sz="0" w:space="0" w:color="auto"/>
        <w:left w:val="none" w:sz="0" w:space="0" w:color="auto"/>
        <w:bottom w:val="none" w:sz="0" w:space="0" w:color="auto"/>
        <w:right w:val="none" w:sz="0" w:space="0" w:color="auto"/>
      </w:divBdr>
    </w:div>
    <w:div w:id="163740105">
      <w:bodyDiv w:val="1"/>
      <w:marLeft w:val="0"/>
      <w:marRight w:val="0"/>
      <w:marTop w:val="0"/>
      <w:marBottom w:val="0"/>
      <w:divBdr>
        <w:top w:val="none" w:sz="0" w:space="0" w:color="auto"/>
        <w:left w:val="none" w:sz="0" w:space="0" w:color="auto"/>
        <w:bottom w:val="none" w:sz="0" w:space="0" w:color="auto"/>
        <w:right w:val="none" w:sz="0" w:space="0" w:color="auto"/>
      </w:divBdr>
    </w:div>
    <w:div w:id="163790189">
      <w:bodyDiv w:val="1"/>
      <w:marLeft w:val="0"/>
      <w:marRight w:val="0"/>
      <w:marTop w:val="0"/>
      <w:marBottom w:val="0"/>
      <w:divBdr>
        <w:top w:val="none" w:sz="0" w:space="0" w:color="auto"/>
        <w:left w:val="none" w:sz="0" w:space="0" w:color="auto"/>
        <w:bottom w:val="none" w:sz="0" w:space="0" w:color="auto"/>
        <w:right w:val="none" w:sz="0" w:space="0" w:color="auto"/>
      </w:divBdr>
    </w:div>
    <w:div w:id="163976138">
      <w:bodyDiv w:val="1"/>
      <w:marLeft w:val="0"/>
      <w:marRight w:val="0"/>
      <w:marTop w:val="0"/>
      <w:marBottom w:val="0"/>
      <w:divBdr>
        <w:top w:val="none" w:sz="0" w:space="0" w:color="auto"/>
        <w:left w:val="none" w:sz="0" w:space="0" w:color="auto"/>
        <w:bottom w:val="none" w:sz="0" w:space="0" w:color="auto"/>
        <w:right w:val="none" w:sz="0" w:space="0" w:color="auto"/>
      </w:divBdr>
    </w:div>
    <w:div w:id="164908520">
      <w:bodyDiv w:val="1"/>
      <w:marLeft w:val="0"/>
      <w:marRight w:val="0"/>
      <w:marTop w:val="0"/>
      <w:marBottom w:val="0"/>
      <w:divBdr>
        <w:top w:val="none" w:sz="0" w:space="0" w:color="auto"/>
        <w:left w:val="none" w:sz="0" w:space="0" w:color="auto"/>
        <w:bottom w:val="none" w:sz="0" w:space="0" w:color="auto"/>
        <w:right w:val="none" w:sz="0" w:space="0" w:color="auto"/>
      </w:divBdr>
    </w:div>
    <w:div w:id="165217884">
      <w:bodyDiv w:val="1"/>
      <w:marLeft w:val="0"/>
      <w:marRight w:val="0"/>
      <w:marTop w:val="0"/>
      <w:marBottom w:val="0"/>
      <w:divBdr>
        <w:top w:val="none" w:sz="0" w:space="0" w:color="auto"/>
        <w:left w:val="none" w:sz="0" w:space="0" w:color="auto"/>
        <w:bottom w:val="none" w:sz="0" w:space="0" w:color="auto"/>
        <w:right w:val="none" w:sz="0" w:space="0" w:color="auto"/>
      </w:divBdr>
    </w:div>
    <w:div w:id="165948253">
      <w:bodyDiv w:val="1"/>
      <w:marLeft w:val="0"/>
      <w:marRight w:val="0"/>
      <w:marTop w:val="0"/>
      <w:marBottom w:val="0"/>
      <w:divBdr>
        <w:top w:val="none" w:sz="0" w:space="0" w:color="auto"/>
        <w:left w:val="none" w:sz="0" w:space="0" w:color="auto"/>
        <w:bottom w:val="none" w:sz="0" w:space="0" w:color="auto"/>
        <w:right w:val="none" w:sz="0" w:space="0" w:color="auto"/>
      </w:divBdr>
    </w:div>
    <w:div w:id="166022193">
      <w:bodyDiv w:val="1"/>
      <w:marLeft w:val="0"/>
      <w:marRight w:val="0"/>
      <w:marTop w:val="0"/>
      <w:marBottom w:val="0"/>
      <w:divBdr>
        <w:top w:val="none" w:sz="0" w:space="0" w:color="auto"/>
        <w:left w:val="none" w:sz="0" w:space="0" w:color="auto"/>
        <w:bottom w:val="none" w:sz="0" w:space="0" w:color="auto"/>
        <w:right w:val="none" w:sz="0" w:space="0" w:color="auto"/>
      </w:divBdr>
    </w:div>
    <w:div w:id="170294679">
      <w:bodyDiv w:val="1"/>
      <w:marLeft w:val="0"/>
      <w:marRight w:val="0"/>
      <w:marTop w:val="0"/>
      <w:marBottom w:val="0"/>
      <w:divBdr>
        <w:top w:val="none" w:sz="0" w:space="0" w:color="auto"/>
        <w:left w:val="none" w:sz="0" w:space="0" w:color="auto"/>
        <w:bottom w:val="none" w:sz="0" w:space="0" w:color="auto"/>
        <w:right w:val="none" w:sz="0" w:space="0" w:color="auto"/>
      </w:divBdr>
    </w:div>
    <w:div w:id="170415000">
      <w:bodyDiv w:val="1"/>
      <w:marLeft w:val="0"/>
      <w:marRight w:val="0"/>
      <w:marTop w:val="0"/>
      <w:marBottom w:val="0"/>
      <w:divBdr>
        <w:top w:val="none" w:sz="0" w:space="0" w:color="auto"/>
        <w:left w:val="none" w:sz="0" w:space="0" w:color="auto"/>
        <w:bottom w:val="none" w:sz="0" w:space="0" w:color="auto"/>
        <w:right w:val="none" w:sz="0" w:space="0" w:color="auto"/>
      </w:divBdr>
    </w:div>
    <w:div w:id="170922100">
      <w:bodyDiv w:val="1"/>
      <w:marLeft w:val="0"/>
      <w:marRight w:val="0"/>
      <w:marTop w:val="0"/>
      <w:marBottom w:val="0"/>
      <w:divBdr>
        <w:top w:val="none" w:sz="0" w:space="0" w:color="auto"/>
        <w:left w:val="none" w:sz="0" w:space="0" w:color="auto"/>
        <w:bottom w:val="none" w:sz="0" w:space="0" w:color="auto"/>
        <w:right w:val="none" w:sz="0" w:space="0" w:color="auto"/>
      </w:divBdr>
    </w:div>
    <w:div w:id="171380524">
      <w:bodyDiv w:val="1"/>
      <w:marLeft w:val="0"/>
      <w:marRight w:val="0"/>
      <w:marTop w:val="0"/>
      <w:marBottom w:val="0"/>
      <w:divBdr>
        <w:top w:val="none" w:sz="0" w:space="0" w:color="auto"/>
        <w:left w:val="none" w:sz="0" w:space="0" w:color="auto"/>
        <w:bottom w:val="none" w:sz="0" w:space="0" w:color="auto"/>
        <w:right w:val="none" w:sz="0" w:space="0" w:color="auto"/>
      </w:divBdr>
    </w:div>
    <w:div w:id="171994738">
      <w:bodyDiv w:val="1"/>
      <w:marLeft w:val="0"/>
      <w:marRight w:val="0"/>
      <w:marTop w:val="0"/>
      <w:marBottom w:val="0"/>
      <w:divBdr>
        <w:top w:val="none" w:sz="0" w:space="0" w:color="auto"/>
        <w:left w:val="none" w:sz="0" w:space="0" w:color="auto"/>
        <w:bottom w:val="none" w:sz="0" w:space="0" w:color="auto"/>
        <w:right w:val="none" w:sz="0" w:space="0" w:color="auto"/>
      </w:divBdr>
    </w:div>
    <w:div w:id="172502515">
      <w:bodyDiv w:val="1"/>
      <w:marLeft w:val="0"/>
      <w:marRight w:val="0"/>
      <w:marTop w:val="0"/>
      <w:marBottom w:val="0"/>
      <w:divBdr>
        <w:top w:val="none" w:sz="0" w:space="0" w:color="auto"/>
        <w:left w:val="none" w:sz="0" w:space="0" w:color="auto"/>
        <w:bottom w:val="none" w:sz="0" w:space="0" w:color="auto"/>
        <w:right w:val="none" w:sz="0" w:space="0" w:color="auto"/>
      </w:divBdr>
    </w:div>
    <w:div w:id="173421060">
      <w:bodyDiv w:val="1"/>
      <w:marLeft w:val="0"/>
      <w:marRight w:val="0"/>
      <w:marTop w:val="0"/>
      <w:marBottom w:val="0"/>
      <w:divBdr>
        <w:top w:val="none" w:sz="0" w:space="0" w:color="auto"/>
        <w:left w:val="none" w:sz="0" w:space="0" w:color="auto"/>
        <w:bottom w:val="none" w:sz="0" w:space="0" w:color="auto"/>
        <w:right w:val="none" w:sz="0" w:space="0" w:color="auto"/>
      </w:divBdr>
    </w:div>
    <w:div w:id="174227304">
      <w:bodyDiv w:val="1"/>
      <w:marLeft w:val="0"/>
      <w:marRight w:val="0"/>
      <w:marTop w:val="0"/>
      <w:marBottom w:val="0"/>
      <w:divBdr>
        <w:top w:val="none" w:sz="0" w:space="0" w:color="auto"/>
        <w:left w:val="none" w:sz="0" w:space="0" w:color="auto"/>
        <w:bottom w:val="none" w:sz="0" w:space="0" w:color="auto"/>
        <w:right w:val="none" w:sz="0" w:space="0" w:color="auto"/>
      </w:divBdr>
    </w:div>
    <w:div w:id="174346943">
      <w:bodyDiv w:val="1"/>
      <w:marLeft w:val="0"/>
      <w:marRight w:val="0"/>
      <w:marTop w:val="0"/>
      <w:marBottom w:val="0"/>
      <w:divBdr>
        <w:top w:val="none" w:sz="0" w:space="0" w:color="auto"/>
        <w:left w:val="none" w:sz="0" w:space="0" w:color="auto"/>
        <w:bottom w:val="none" w:sz="0" w:space="0" w:color="auto"/>
        <w:right w:val="none" w:sz="0" w:space="0" w:color="auto"/>
      </w:divBdr>
    </w:div>
    <w:div w:id="175341148">
      <w:bodyDiv w:val="1"/>
      <w:marLeft w:val="0"/>
      <w:marRight w:val="0"/>
      <w:marTop w:val="0"/>
      <w:marBottom w:val="0"/>
      <w:divBdr>
        <w:top w:val="none" w:sz="0" w:space="0" w:color="auto"/>
        <w:left w:val="none" w:sz="0" w:space="0" w:color="auto"/>
        <w:bottom w:val="none" w:sz="0" w:space="0" w:color="auto"/>
        <w:right w:val="none" w:sz="0" w:space="0" w:color="auto"/>
      </w:divBdr>
    </w:div>
    <w:div w:id="176119889">
      <w:bodyDiv w:val="1"/>
      <w:marLeft w:val="0"/>
      <w:marRight w:val="0"/>
      <w:marTop w:val="0"/>
      <w:marBottom w:val="0"/>
      <w:divBdr>
        <w:top w:val="none" w:sz="0" w:space="0" w:color="auto"/>
        <w:left w:val="none" w:sz="0" w:space="0" w:color="auto"/>
        <w:bottom w:val="none" w:sz="0" w:space="0" w:color="auto"/>
        <w:right w:val="none" w:sz="0" w:space="0" w:color="auto"/>
      </w:divBdr>
    </w:div>
    <w:div w:id="176969206">
      <w:bodyDiv w:val="1"/>
      <w:marLeft w:val="0"/>
      <w:marRight w:val="0"/>
      <w:marTop w:val="0"/>
      <w:marBottom w:val="0"/>
      <w:divBdr>
        <w:top w:val="none" w:sz="0" w:space="0" w:color="auto"/>
        <w:left w:val="none" w:sz="0" w:space="0" w:color="auto"/>
        <w:bottom w:val="none" w:sz="0" w:space="0" w:color="auto"/>
        <w:right w:val="none" w:sz="0" w:space="0" w:color="auto"/>
      </w:divBdr>
    </w:div>
    <w:div w:id="177279057">
      <w:bodyDiv w:val="1"/>
      <w:marLeft w:val="0"/>
      <w:marRight w:val="0"/>
      <w:marTop w:val="0"/>
      <w:marBottom w:val="0"/>
      <w:divBdr>
        <w:top w:val="none" w:sz="0" w:space="0" w:color="auto"/>
        <w:left w:val="none" w:sz="0" w:space="0" w:color="auto"/>
        <w:bottom w:val="none" w:sz="0" w:space="0" w:color="auto"/>
        <w:right w:val="none" w:sz="0" w:space="0" w:color="auto"/>
      </w:divBdr>
    </w:div>
    <w:div w:id="177935092">
      <w:bodyDiv w:val="1"/>
      <w:marLeft w:val="0"/>
      <w:marRight w:val="0"/>
      <w:marTop w:val="0"/>
      <w:marBottom w:val="0"/>
      <w:divBdr>
        <w:top w:val="none" w:sz="0" w:space="0" w:color="auto"/>
        <w:left w:val="none" w:sz="0" w:space="0" w:color="auto"/>
        <w:bottom w:val="none" w:sz="0" w:space="0" w:color="auto"/>
        <w:right w:val="none" w:sz="0" w:space="0" w:color="auto"/>
      </w:divBdr>
    </w:div>
    <w:div w:id="180820928">
      <w:bodyDiv w:val="1"/>
      <w:marLeft w:val="0"/>
      <w:marRight w:val="0"/>
      <w:marTop w:val="0"/>
      <w:marBottom w:val="0"/>
      <w:divBdr>
        <w:top w:val="none" w:sz="0" w:space="0" w:color="auto"/>
        <w:left w:val="none" w:sz="0" w:space="0" w:color="auto"/>
        <w:bottom w:val="none" w:sz="0" w:space="0" w:color="auto"/>
        <w:right w:val="none" w:sz="0" w:space="0" w:color="auto"/>
      </w:divBdr>
    </w:div>
    <w:div w:id="180969445">
      <w:bodyDiv w:val="1"/>
      <w:marLeft w:val="0"/>
      <w:marRight w:val="0"/>
      <w:marTop w:val="0"/>
      <w:marBottom w:val="0"/>
      <w:divBdr>
        <w:top w:val="none" w:sz="0" w:space="0" w:color="auto"/>
        <w:left w:val="none" w:sz="0" w:space="0" w:color="auto"/>
        <w:bottom w:val="none" w:sz="0" w:space="0" w:color="auto"/>
        <w:right w:val="none" w:sz="0" w:space="0" w:color="auto"/>
      </w:divBdr>
    </w:div>
    <w:div w:id="182745542">
      <w:bodyDiv w:val="1"/>
      <w:marLeft w:val="0"/>
      <w:marRight w:val="0"/>
      <w:marTop w:val="0"/>
      <w:marBottom w:val="0"/>
      <w:divBdr>
        <w:top w:val="none" w:sz="0" w:space="0" w:color="auto"/>
        <w:left w:val="none" w:sz="0" w:space="0" w:color="auto"/>
        <w:bottom w:val="none" w:sz="0" w:space="0" w:color="auto"/>
        <w:right w:val="none" w:sz="0" w:space="0" w:color="auto"/>
      </w:divBdr>
    </w:div>
    <w:div w:id="183516043">
      <w:bodyDiv w:val="1"/>
      <w:marLeft w:val="0"/>
      <w:marRight w:val="0"/>
      <w:marTop w:val="0"/>
      <w:marBottom w:val="0"/>
      <w:divBdr>
        <w:top w:val="none" w:sz="0" w:space="0" w:color="auto"/>
        <w:left w:val="none" w:sz="0" w:space="0" w:color="auto"/>
        <w:bottom w:val="none" w:sz="0" w:space="0" w:color="auto"/>
        <w:right w:val="none" w:sz="0" w:space="0" w:color="auto"/>
      </w:divBdr>
    </w:div>
    <w:div w:id="183985542">
      <w:bodyDiv w:val="1"/>
      <w:marLeft w:val="0"/>
      <w:marRight w:val="0"/>
      <w:marTop w:val="0"/>
      <w:marBottom w:val="0"/>
      <w:divBdr>
        <w:top w:val="none" w:sz="0" w:space="0" w:color="auto"/>
        <w:left w:val="none" w:sz="0" w:space="0" w:color="auto"/>
        <w:bottom w:val="none" w:sz="0" w:space="0" w:color="auto"/>
        <w:right w:val="none" w:sz="0" w:space="0" w:color="auto"/>
      </w:divBdr>
    </w:div>
    <w:div w:id="184490921">
      <w:bodyDiv w:val="1"/>
      <w:marLeft w:val="0"/>
      <w:marRight w:val="0"/>
      <w:marTop w:val="0"/>
      <w:marBottom w:val="0"/>
      <w:divBdr>
        <w:top w:val="none" w:sz="0" w:space="0" w:color="auto"/>
        <w:left w:val="none" w:sz="0" w:space="0" w:color="auto"/>
        <w:bottom w:val="none" w:sz="0" w:space="0" w:color="auto"/>
        <w:right w:val="none" w:sz="0" w:space="0" w:color="auto"/>
      </w:divBdr>
    </w:div>
    <w:div w:id="187649577">
      <w:bodyDiv w:val="1"/>
      <w:marLeft w:val="0"/>
      <w:marRight w:val="0"/>
      <w:marTop w:val="0"/>
      <w:marBottom w:val="0"/>
      <w:divBdr>
        <w:top w:val="none" w:sz="0" w:space="0" w:color="auto"/>
        <w:left w:val="none" w:sz="0" w:space="0" w:color="auto"/>
        <w:bottom w:val="none" w:sz="0" w:space="0" w:color="auto"/>
        <w:right w:val="none" w:sz="0" w:space="0" w:color="auto"/>
      </w:divBdr>
    </w:div>
    <w:div w:id="188642348">
      <w:bodyDiv w:val="1"/>
      <w:marLeft w:val="0"/>
      <w:marRight w:val="0"/>
      <w:marTop w:val="0"/>
      <w:marBottom w:val="0"/>
      <w:divBdr>
        <w:top w:val="none" w:sz="0" w:space="0" w:color="auto"/>
        <w:left w:val="none" w:sz="0" w:space="0" w:color="auto"/>
        <w:bottom w:val="none" w:sz="0" w:space="0" w:color="auto"/>
        <w:right w:val="none" w:sz="0" w:space="0" w:color="auto"/>
      </w:divBdr>
    </w:div>
    <w:div w:id="191649726">
      <w:bodyDiv w:val="1"/>
      <w:marLeft w:val="0"/>
      <w:marRight w:val="0"/>
      <w:marTop w:val="0"/>
      <w:marBottom w:val="0"/>
      <w:divBdr>
        <w:top w:val="none" w:sz="0" w:space="0" w:color="auto"/>
        <w:left w:val="none" w:sz="0" w:space="0" w:color="auto"/>
        <w:bottom w:val="none" w:sz="0" w:space="0" w:color="auto"/>
        <w:right w:val="none" w:sz="0" w:space="0" w:color="auto"/>
      </w:divBdr>
    </w:div>
    <w:div w:id="193079388">
      <w:bodyDiv w:val="1"/>
      <w:marLeft w:val="0"/>
      <w:marRight w:val="0"/>
      <w:marTop w:val="0"/>
      <w:marBottom w:val="0"/>
      <w:divBdr>
        <w:top w:val="none" w:sz="0" w:space="0" w:color="auto"/>
        <w:left w:val="none" w:sz="0" w:space="0" w:color="auto"/>
        <w:bottom w:val="none" w:sz="0" w:space="0" w:color="auto"/>
        <w:right w:val="none" w:sz="0" w:space="0" w:color="auto"/>
      </w:divBdr>
    </w:div>
    <w:div w:id="195309995">
      <w:bodyDiv w:val="1"/>
      <w:marLeft w:val="0"/>
      <w:marRight w:val="0"/>
      <w:marTop w:val="0"/>
      <w:marBottom w:val="0"/>
      <w:divBdr>
        <w:top w:val="none" w:sz="0" w:space="0" w:color="auto"/>
        <w:left w:val="none" w:sz="0" w:space="0" w:color="auto"/>
        <w:bottom w:val="none" w:sz="0" w:space="0" w:color="auto"/>
        <w:right w:val="none" w:sz="0" w:space="0" w:color="auto"/>
      </w:divBdr>
    </w:div>
    <w:div w:id="195706059">
      <w:bodyDiv w:val="1"/>
      <w:marLeft w:val="0"/>
      <w:marRight w:val="0"/>
      <w:marTop w:val="0"/>
      <w:marBottom w:val="0"/>
      <w:divBdr>
        <w:top w:val="none" w:sz="0" w:space="0" w:color="auto"/>
        <w:left w:val="none" w:sz="0" w:space="0" w:color="auto"/>
        <w:bottom w:val="none" w:sz="0" w:space="0" w:color="auto"/>
        <w:right w:val="none" w:sz="0" w:space="0" w:color="auto"/>
      </w:divBdr>
    </w:div>
    <w:div w:id="196821609">
      <w:bodyDiv w:val="1"/>
      <w:marLeft w:val="0"/>
      <w:marRight w:val="0"/>
      <w:marTop w:val="0"/>
      <w:marBottom w:val="0"/>
      <w:divBdr>
        <w:top w:val="none" w:sz="0" w:space="0" w:color="auto"/>
        <w:left w:val="none" w:sz="0" w:space="0" w:color="auto"/>
        <w:bottom w:val="none" w:sz="0" w:space="0" w:color="auto"/>
        <w:right w:val="none" w:sz="0" w:space="0" w:color="auto"/>
      </w:divBdr>
    </w:div>
    <w:div w:id="197134326">
      <w:bodyDiv w:val="1"/>
      <w:marLeft w:val="0"/>
      <w:marRight w:val="0"/>
      <w:marTop w:val="0"/>
      <w:marBottom w:val="0"/>
      <w:divBdr>
        <w:top w:val="none" w:sz="0" w:space="0" w:color="auto"/>
        <w:left w:val="none" w:sz="0" w:space="0" w:color="auto"/>
        <w:bottom w:val="none" w:sz="0" w:space="0" w:color="auto"/>
        <w:right w:val="none" w:sz="0" w:space="0" w:color="auto"/>
      </w:divBdr>
    </w:div>
    <w:div w:id="198207425">
      <w:bodyDiv w:val="1"/>
      <w:marLeft w:val="0"/>
      <w:marRight w:val="0"/>
      <w:marTop w:val="0"/>
      <w:marBottom w:val="0"/>
      <w:divBdr>
        <w:top w:val="none" w:sz="0" w:space="0" w:color="auto"/>
        <w:left w:val="none" w:sz="0" w:space="0" w:color="auto"/>
        <w:bottom w:val="none" w:sz="0" w:space="0" w:color="auto"/>
        <w:right w:val="none" w:sz="0" w:space="0" w:color="auto"/>
      </w:divBdr>
    </w:div>
    <w:div w:id="198591784">
      <w:bodyDiv w:val="1"/>
      <w:marLeft w:val="0"/>
      <w:marRight w:val="0"/>
      <w:marTop w:val="0"/>
      <w:marBottom w:val="0"/>
      <w:divBdr>
        <w:top w:val="none" w:sz="0" w:space="0" w:color="auto"/>
        <w:left w:val="none" w:sz="0" w:space="0" w:color="auto"/>
        <w:bottom w:val="none" w:sz="0" w:space="0" w:color="auto"/>
        <w:right w:val="none" w:sz="0" w:space="0" w:color="auto"/>
      </w:divBdr>
    </w:div>
    <w:div w:id="198977070">
      <w:bodyDiv w:val="1"/>
      <w:marLeft w:val="0"/>
      <w:marRight w:val="0"/>
      <w:marTop w:val="0"/>
      <w:marBottom w:val="0"/>
      <w:divBdr>
        <w:top w:val="none" w:sz="0" w:space="0" w:color="auto"/>
        <w:left w:val="none" w:sz="0" w:space="0" w:color="auto"/>
        <w:bottom w:val="none" w:sz="0" w:space="0" w:color="auto"/>
        <w:right w:val="none" w:sz="0" w:space="0" w:color="auto"/>
      </w:divBdr>
    </w:div>
    <w:div w:id="199051618">
      <w:bodyDiv w:val="1"/>
      <w:marLeft w:val="0"/>
      <w:marRight w:val="0"/>
      <w:marTop w:val="0"/>
      <w:marBottom w:val="0"/>
      <w:divBdr>
        <w:top w:val="none" w:sz="0" w:space="0" w:color="auto"/>
        <w:left w:val="none" w:sz="0" w:space="0" w:color="auto"/>
        <w:bottom w:val="none" w:sz="0" w:space="0" w:color="auto"/>
        <w:right w:val="none" w:sz="0" w:space="0" w:color="auto"/>
      </w:divBdr>
    </w:div>
    <w:div w:id="199515650">
      <w:bodyDiv w:val="1"/>
      <w:marLeft w:val="0"/>
      <w:marRight w:val="0"/>
      <w:marTop w:val="0"/>
      <w:marBottom w:val="0"/>
      <w:divBdr>
        <w:top w:val="none" w:sz="0" w:space="0" w:color="auto"/>
        <w:left w:val="none" w:sz="0" w:space="0" w:color="auto"/>
        <w:bottom w:val="none" w:sz="0" w:space="0" w:color="auto"/>
        <w:right w:val="none" w:sz="0" w:space="0" w:color="auto"/>
      </w:divBdr>
    </w:div>
    <w:div w:id="200557921">
      <w:bodyDiv w:val="1"/>
      <w:marLeft w:val="0"/>
      <w:marRight w:val="0"/>
      <w:marTop w:val="0"/>
      <w:marBottom w:val="0"/>
      <w:divBdr>
        <w:top w:val="none" w:sz="0" w:space="0" w:color="auto"/>
        <w:left w:val="none" w:sz="0" w:space="0" w:color="auto"/>
        <w:bottom w:val="none" w:sz="0" w:space="0" w:color="auto"/>
        <w:right w:val="none" w:sz="0" w:space="0" w:color="auto"/>
      </w:divBdr>
    </w:div>
    <w:div w:id="200635151">
      <w:bodyDiv w:val="1"/>
      <w:marLeft w:val="0"/>
      <w:marRight w:val="0"/>
      <w:marTop w:val="0"/>
      <w:marBottom w:val="0"/>
      <w:divBdr>
        <w:top w:val="none" w:sz="0" w:space="0" w:color="auto"/>
        <w:left w:val="none" w:sz="0" w:space="0" w:color="auto"/>
        <w:bottom w:val="none" w:sz="0" w:space="0" w:color="auto"/>
        <w:right w:val="none" w:sz="0" w:space="0" w:color="auto"/>
      </w:divBdr>
    </w:div>
    <w:div w:id="201290049">
      <w:bodyDiv w:val="1"/>
      <w:marLeft w:val="0"/>
      <w:marRight w:val="0"/>
      <w:marTop w:val="0"/>
      <w:marBottom w:val="0"/>
      <w:divBdr>
        <w:top w:val="none" w:sz="0" w:space="0" w:color="auto"/>
        <w:left w:val="none" w:sz="0" w:space="0" w:color="auto"/>
        <w:bottom w:val="none" w:sz="0" w:space="0" w:color="auto"/>
        <w:right w:val="none" w:sz="0" w:space="0" w:color="auto"/>
      </w:divBdr>
    </w:div>
    <w:div w:id="202065020">
      <w:bodyDiv w:val="1"/>
      <w:marLeft w:val="0"/>
      <w:marRight w:val="0"/>
      <w:marTop w:val="0"/>
      <w:marBottom w:val="0"/>
      <w:divBdr>
        <w:top w:val="none" w:sz="0" w:space="0" w:color="auto"/>
        <w:left w:val="none" w:sz="0" w:space="0" w:color="auto"/>
        <w:bottom w:val="none" w:sz="0" w:space="0" w:color="auto"/>
        <w:right w:val="none" w:sz="0" w:space="0" w:color="auto"/>
      </w:divBdr>
    </w:div>
    <w:div w:id="203250170">
      <w:bodyDiv w:val="1"/>
      <w:marLeft w:val="0"/>
      <w:marRight w:val="0"/>
      <w:marTop w:val="0"/>
      <w:marBottom w:val="0"/>
      <w:divBdr>
        <w:top w:val="none" w:sz="0" w:space="0" w:color="auto"/>
        <w:left w:val="none" w:sz="0" w:space="0" w:color="auto"/>
        <w:bottom w:val="none" w:sz="0" w:space="0" w:color="auto"/>
        <w:right w:val="none" w:sz="0" w:space="0" w:color="auto"/>
      </w:divBdr>
    </w:div>
    <w:div w:id="203257677">
      <w:bodyDiv w:val="1"/>
      <w:marLeft w:val="0"/>
      <w:marRight w:val="0"/>
      <w:marTop w:val="0"/>
      <w:marBottom w:val="0"/>
      <w:divBdr>
        <w:top w:val="none" w:sz="0" w:space="0" w:color="auto"/>
        <w:left w:val="none" w:sz="0" w:space="0" w:color="auto"/>
        <w:bottom w:val="none" w:sz="0" w:space="0" w:color="auto"/>
        <w:right w:val="none" w:sz="0" w:space="0" w:color="auto"/>
      </w:divBdr>
    </w:div>
    <w:div w:id="203712831">
      <w:bodyDiv w:val="1"/>
      <w:marLeft w:val="0"/>
      <w:marRight w:val="0"/>
      <w:marTop w:val="0"/>
      <w:marBottom w:val="0"/>
      <w:divBdr>
        <w:top w:val="none" w:sz="0" w:space="0" w:color="auto"/>
        <w:left w:val="none" w:sz="0" w:space="0" w:color="auto"/>
        <w:bottom w:val="none" w:sz="0" w:space="0" w:color="auto"/>
        <w:right w:val="none" w:sz="0" w:space="0" w:color="auto"/>
      </w:divBdr>
    </w:div>
    <w:div w:id="203761022">
      <w:bodyDiv w:val="1"/>
      <w:marLeft w:val="0"/>
      <w:marRight w:val="0"/>
      <w:marTop w:val="0"/>
      <w:marBottom w:val="0"/>
      <w:divBdr>
        <w:top w:val="none" w:sz="0" w:space="0" w:color="auto"/>
        <w:left w:val="none" w:sz="0" w:space="0" w:color="auto"/>
        <w:bottom w:val="none" w:sz="0" w:space="0" w:color="auto"/>
        <w:right w:val="none" w:sz="0" w:space="0" w:color="auto"/>
      </w:divBdr>
    </w:div>
    <w:div w:id="205341018">
      <w:bodyDiv w:val="1"/>
      <w:marLeft w:val="0"/>
      <w:marRight w:val="0"/>
      <w:marTop w:val="0"/>
      <w:marBottom w:val="0"/>
      <w:divBdr>
        <w:top w:val="none" w:sz="0" w:space="0" w:color="auto"/>
        <w:left w:val="none" w:sz="0" w:space="0" w:color="auto"/>
        <w:bottom w:val="none" w:sz="0" w:space="0" w:color="auto"/>
        <w:right w:val="none" w:sz="0" w:space="0" w:color="auto"/>
      </w:divBdr>
    </w:div>
    <w:div w:id="205458047">
      <w:bodyDiv w:val="1"/>
      <w:marLeft w:val="0"/>
      <w:marRight w:val="0"/>
      <w:marTop w:val="0"/>
      <w:marBottom w:val="0"/>
      <w:divBdr>
        <w:top w:val="none" w:sz="0" w:space="0" w:color="auto"/>
        <w:left w:val="none" w:sz="0" w:space="0" w:color="auto"/>
        <w:bottom w:val="none" w:sz="0" w:space="0" w:color="auto"/>
        <w:right w:val="none" w:sz="0" w:space="0" w:color="auto"/>
      </w:divBdr>
    </w:div>
    <w:div w:id="205652073">
      <w:bodyDiv w:val="1"/>
      <w:marLeft w:val="0"/>
      <w:marRight w:val="0"/>
      <w:marTop w:val="0"/>
      <w:marBottom w:val="0"/>
      <w:divBdr>
        <w:top w:val="none" w:sz="0" w:space="0" w:color="auto"/>
        <w:left w:val="none" w:sz="0" w:space="0" w:color="auto"/>
        <w:bottom w:val="none" w:sz="0" w:space="0" w:color="auto"/>
        <w:right w:val="none" w:sz="0" w:space="0" w:color="auto"/>
      </w:divBdr>
    </w:div>
    <w:div w:id="206451964">
      <w:bodyDiv w:val="1"/>
      <w:marLeft w:val="0"/>
      <w:marRight w:val="0"/>
      <w:marTop w:val="0"/>
      <w:marBottom w:val="0"/>
      <w:divBdr>
        <w:top w:val="none" w:sz="0" w:space="0" w:color="auto"/>
        <w:left w:val="none" w:sz="0" w:space="0" w:color="auto"/>
        <w:bottom w:val="none" w:sz="0" w:space="0" w:color="auto"/>
        <w:right w:val="none" w:sz="0" w:space="0" w:color="auto"/>
      </w:divBdr>
    </w:div>
    <w:div w:id="206570250">
      <w:bodyDiv w:val="1"/>
      <w:marLeft w:val="0"/>
      <w:marRight w:val="0"/>
      <w:marTop w:val="0"/>
      <w:marBottom w:val="0"/>
      <w:divBdr>
        <w:top w:val="none" w:sz="0" w:space="0" w:color="auto"/>
        <w:left w:val="none" w:sz="0" w:space="0" w:color="auto"/>
        <w:bottom w:val="none" w:sz="0" w:space="0" w:color="auto"/>
        <w:right w:val="none" w:sz="0" w:space="0" w:color="auto"/>
      </w:divBdr>
    </w:div>
    <w:div w:id="206726224">
      <w:bodyDiv w:val="1"/>
      <w:marLeft w:val="0"/>
      <w:marRight w:val="0"/>
      <w:marTop w:val="0"/>
      <w:marBottom w:val="0"/>
      <w:divBdr>
        <w:top w:val="none" w:sz="0" w:space="0" w:color="auto"/>
        <w:left w:val="none" w:sz="0" w:space="0" w:color="auto"/>
        <w:bottom w:val="none" w:sz="0" w:space="0" w:color="auto"/>
        <w:right w:val="none" w:sz="0" w:space="0" w:color="auto"/>
      </w:divBdr>
    </w:div>
    <w:div w:id="206962805">
      <w:bodyDiv w:val="1"/>
      <w:marLeft w:val="0"/>
      <w:marRight w:val="0"/>
      <w:marTop w:val="0"/>
      <w:marBottom w:val="0"/>
      <w:divBdr>
        <w:top w:val="none" w:sz="0" w:space="0" w:color="auto"/>
        <w:left w:val="none" w:sz="0" w:space="0" w:color="auto"/>
        <w:bottom w:val="none" w:sz="0" w:space="0" w:color="auto"/>
        <w:right w:val="none" w:sz="0" w:space="0" w:color="auto"/>
      </w:divBdr>
    </w:div>
    <w:div w:id="207494492">
      <w:bodyDiv w:val="1"/>
      <w:marLeft w:val="0"/>
      <w:marRight w:val="0"/>
      <w:marTop w:val="0"/>
      <w:marBottom w:val="0"/>
      <w:divBdr>
        <w:top w:val="none" w:sz="0" w:space="0" w:color="auto"/>
        <w:left w:val="none" w:sz="0" w:space="0" w:color="auto"/>
        <w:bottom w:val="none" w:sz="0" w:space="0" w:color="auto"/>
        <w:right w:val="none" w:sz="0" w:space="0" w:color="auto"/>
      </w:divBdr>
    </w:div>
    <w:div w:id="207494913">
      <w:bodyDiv w:val="1"/>
      <w:marLeft w:val="0"/>
      <w:marRight w:val="0"/>
      <w:marTop w:val="0"/>
      <w:marBottom w:val="0"/>
      <w:divBdr>
        <w:top w:val="none" w:sz="0" w:space="0" w:color="auto"/>
        <w:left w:val="none" w:sz="0" w:space="0" w:color="auto"/>
        <w:bottom w:val="none" w:sz="0" w:space="0" w:color="auto"/>
        <w:right w:val="none" w:sz="0" w:space="0" w:color="auto"/>
      </w:divBdr>
    </w:div>
    <w:div w:id="207880658">
      <w:bodyDiv w:val="1"/>
      <w:marLeft w:val="0"/>
      <w:marRight w:val="0"/>
      <w:marTop w:val="0"/>
      <w:marBottom w:val="0"/>
      <w:divBdr>
        <w:top w:val="none" w:sz="0" w:space="0" w:color="auto"/>
        <w:left w:val="none" w:sz="0" w:space="0" w:color="auto"/>
        <w:bottom w:val="none" w:sz="0" w:space="0" w:color="auto"/>
        <w:right w:val="none" w:sz="0" w:space="0" w:color="auto"/>
      </w:divBdr>
    </w:div>
    <w:div w:id="210188942">
      <w:bodyDiv w:val="1"/>
      <w:marLeft w:val="0"/>
      <w:marRight w:val="0"/>
      <w:marTop w:val="0"/>
      <w:marBottom w:val="0"/>
      <w:divBdr>
        <w:top w:val="none" w:sz="0" w:space="0" w:color="auto"/>
        <w:left w:val="none" w:sz="0" w:space="0" w:color="auto"/>
        <w:bottom w:val="none" w:sz="0" w:space="0" w:color="auto"/>
        <w:right w:val="none" w:sz="0" w:space="0" w:color="auto"/>
      </w:divBdr>
    </w:div>
    <w:div w:id="210504905">
      <w:bodyDiv w:val="1"/>
      <w:marLeft w:val="0"/>
      <w:marRight w:val="0"/>
      <w:marTop w:val="0"/>
      <w:marBottom w:val="0"/>
      <w:divBdr>
        <w:top w:val="none" w:sz="0" w:space="0" w:color="auto"/>
        <w:left w:val="none" w:sz="0" w:space="0" w:color="auto"/>
        <w:bottom w:val="none" w:sz="0" w:space="0" w:color="auto"/>
        <w:right w:val="none" w:sz="0" w:space="0" w:color="auto"/>
      </w:divBdr>
    </w:div>
    <w:div w:id="211776275">
      <w:bodyDiv w:val="1"/>
      <w:marLeft w:val="0"/>
      <w:marRight w:val="0"/>
      <w:marTop w:val="0"/>
      <w:marBottom w:val="0"/>
      <w:divBdr>
        <w:top w:val="none" w:sz="0" w:space="0" w:color="auto"/>
        <w:left w:val="none" w:sz="0" w:space="0" w:color="auto"/>
        <w:bottom w:val="none" w:sz="0" w:space="0" w:color="auto"/>
        <w:right w:val="none" w:sz="0" w:space="0" w:color="auto"/>
      </w:divBdr>
    </w:div>
    <w:div w:id="212230336">
      <w:bodyDiv w:val="1"/>
      <w:marLeft w:val="0"/>
      <w:marRight w:val="0"/>
      <w:marTop w:val="0"/>
      <w:marBottom w:val="0"/>
      <w:divBdr>
        <w:top w:val="none" w:sz="0" w:space="0" w:color="auto"/>
        <w:left w:val="none" w:sz="0" w:space="0" w:color="auto"/>
        <w:bottom w:val="none" w:sz="0" w:space="0" w:color="auto"/>
        <w:right w:val="none" w:sz="0" w:space="0" w:color="auto"/>
      </w:divBdr>
    </w:div>
    <w:div w:id="212470070">
      <w:bodyDiv w:val="1"/>
      <w:marLeft w:val="0"/>
      <w:marRight w:val="0"/>
      <w:marTop w:val="0"/>
      <w:marBottom w:val="0"/>
      <w:divBdr>
        <w:top w:val="none" w:sz="0" w:space="0" w:color="auto"/>
        <w:left w:val="none" w:sz="0" w:space="0" w:color="auto"/>
        <w:bottom w:val="none" w:sz="0" w:space="0" w:color="auto"/>
        <w:right w:val="none" w:sz="0" w:space="0" w:color="auto"/>
      </w:divBdr>
    </w:div>
    <w:div w:id="213739144">
      <w:bodyDiv w:val="1"/>
      <w:marLeft w:val="0"/>
      <w:marRight w:val="0"/>
      <w:marTop w:val="0"/>
      <w:marBottom w:val="0"/>
      <w:divBdr>
        <w:top w:val="none" w:sz="0" w:space="0" w:color="auto"/>
        <w:left w:val="none" w:sz="0" w:space="0" w:color="auto"/>
        <w:bottom w:val="none" w:sz="0" w:space="0" w:color="auto"/>
        <w:right w:val="none" w:sz="0" w:space="0" w:color="auto"/>
      </w:divBdr>
    </w:div>
    <w:div w:id="214388362">
      <w:bodyDiv w:val="1"/>
      <w:marLeft w:val="0"/>
      <w:marRight w:val="0"/>
      <w:marTop w:val="0"/>
      <w:marBottom w:val="0"/>
      <w:divBdr>
        <w:top w:val="none" w:sz="0" w:space="0" w:color="auto"/>
        <w:left w:val="none" w:sz="0" w:space="0" w:color="auto"/>
        <w:bottom w:val="none" w:sz="0" w:space="0" w:color="auto"/>
        <w:right w:val="none" w:sz="0" w:space="0" w:color="auto"/>
      </w:divBdr>
    </w:div>
    <w:div w:id="216094318">
      <w:bodyDiv w:val="1"/>
      <w:marLeft w:val="0"/>
      <w:marRight w:val="0"/>
      <w:marTop w:val="0"/>
      <w:marBottom w:val="0"/>
      <w:divBdr>
        <w:top w:val="none" w:sz="0" w:space="0" w:color="auto"/>
        <w:left w:val="none" w:sz="0" w:space="0" w:color="auto"/>
        <w:bottom w:val="none" w:sz="0" w:space="0" w:color="auto"/>
        <w:right w:val="none" w:sz="0" w:space="0" w:color="auto"/>
      </w:divBdr>
    </w:div>
    <w:div w:id="217790820">
      <w:bodyDiv w:val="1"/>
      <w:marLeft w:val="0"/>
      <w:marRight w:val="0"/>
      <w:marTop w:val="0"/>
      <w:marBottom w:val="0"/>
      <w:divBdr>
        <w:top w:val="none" w:sz="0" w:space="0" w:color="auto"/>
        <w:left w:val="none" w:sz="0" w:space="0" w:color="auto"/>
        <w:bottom w:val="none" w:sz="0" w:space="0" w:color="auto"/>
        <w:right w:val="none" w:sz="0" w:space="0" w:color="auto"/>
      </w:divBdr>
    </w:div>
    <w:div w:id="218055644">
      <w:bodyDiv w:val="1"/>
      <w:marLeft w:val="0"/>
      <w:marRight w:val="0"/>
      <w:marTop w:val="0"/>
      <w:marBottom w:val="0"/>
      <w:divBdr>
        <w:top w:val="none" w:sz="0" w:space="0" w:color="auto"/>
        <w:left w:val="none" w:sz="0" w:space="0" w:color="auto"/>
        <w:bottom w:val="none" w:sz="0" w:space="0" w:color="auto"/>
        <w:right w:val="none" w:sz="0" w:space="0" w:color="auto"/>
      </w:divBdr>
    </w:div>
    <w:div w:id="218518168">
      <w:bodyDiv w:val="1"/>
      <w:marLeft w:val="0"/>
      <w:marRight w:val="0"/>
      <w:marTop w:val="0"/>
      <w:marBottom w:val="0"/>
      <w:divBdr>
        <w:top w:val="none" w:sz="0" w:space="0" w:color="auto"/>
        <w:left w:val="none" w:sz="0" w:space="0" w:color="auto"/>
        <w:bottom w:val="none" w:sz="0" w:space="0" w:color="auto"/>
        <w:right w:val="none" w:sz="0" w:space="0" w:color="auto"/>
      </w:divBdr>
    </w:div>
    <w:div w:id="219362027">
      <w:bodyDiv w:val="1"/>
      <w:marLeft w:val="0"/>
      <w:marRight w:val="0"/>
      <w:marTop w:val="0"/>
      <w:marBottom w:val="0"/>
      <w:divBdr>
        <w:top w:val="none" w:sz="0" w:space="0" w:color="auto"/>
        <w:left w:val="none" w:sz="0" w:space="0" w:color="auto"/>
        <w:bottom w:val="none" w:sz="0" w:space="0" w:color="auto"/>
        <w:right w:val="none" w:sz="0" w:space="0" w:color="auto"/>
      </w:divBdr>
    </w:div>
    <w:div w:id="220139852">
      <w:bodyDiv w:val="1"/>
      <w:marLeft w:val="0"/>
      <w:marRight w:val="0"/>
      <w:marTop w:val="0"/>
      <w:marBottom w:val="0"/>
      <w:divBdr>
        <w:top w:val="none" w:sz="0" w:space="0" w:color="auto"/>
        <w:left w:val="none" w:sz="0" w:space="0" w:color="auto"/>
        <w:bottom w:val="none" w:sz="0" w:space="0" w:color="auto"/>
        <w:right w:val="none" w:sz="0" w:space="0" w:color="auto"/>
      </w:divBdr>
    </w:div>
    <w:div w:id="221597437">
      <w:bodyDiv w:val="1"/>
      <w:marLeft w:val="0"/>
      <w:marRight w:val="0"/>
      <w:marTop w:val="0"/>
      <w:marBottom w:val="0"/>
      <w:divBdr>
        <w:top w:val="none" w:sz="0" w:space="0" w:color="auto"/>
        <w:left w:val="none" w:sz="0" w:space="0" w:color="auto"/>
        <w:bottom w:val="none" w:sz="0" w:space="0" w:color="auto"/>
        <w:right w:val="none" w:sz="0" w:space="0" w:color="auto"/>
      </w:divBdr>
    </w:div>
    <w:div w:id="221795240">
      <w:bodyDiv w:val="1"/>
      <w:marLeft w:val="0"/>
      <w:marRight w:val="0"/>
      <w:marTop w:val="0"/>
      <w:marBottom w:val="0"/>
      <w:divBdr>
        <w:top w:val="none" w:sz="0" w:space="0" w:color="auto"/>
        <w:left w:val="none" w:sz="0" w:space="0" w:color="auto"/>
        <w:bottom w:val="none" w:sz="0" w:space="0" w:color="auto"/>
        <w:right w:val="none" w:sz="0" w:space="0" w:color="auto"/>
      </w:divBdr>
    </w:div>
    <w:div w:id="223417213">
      <w:bodyDiv w:val="1"/>
      <w:marLeft w:val="0"/>
      <w:marRight w:val="0"/>
      <w:marTop w:val="0"/>
      <w:marBottom w:val="0"/>
      <w:divBdr>
        <w:top w:val="none" w:sz="0" w:space="0" w:color="auto"/>
        <w:left w:val="none" w:sz="0" w:space="0" w:color="auto"/>
        <w:bottom w:val="none" w:sz="0" w:space="0" w:color="auto"/>
        <w:right w:val="none" w:sz="0" w:space="0" w:color="auto"/>
      </w:divBdr>
    </w:div>
    <w:div w:id="223687682">
      <w:bodyDiv w:val="1"/>
      <w:marLeft w:val="0"/>
      <w:marRight w:val="0"/>
      <w:marTop w:val="0"/>
      <w:marBottom w:val="0"/>
      <w:divBdr>
        <w:top w:val="none" w:sz="0" w:space="0" w:color="auto"/>
        <w:left w:val="none" w:sz="0" w:space="0" w:color="auto"/>
        <w:bottom w:val="none" w:sz="0" w:space="0" w:color="auto"/>
        <w:right w:val="none" w:sz="0" w:space="0" w:color="auto"/>
      </w:divBdr>
    </w:div>
    <w:div w:id="223756264">
      <w:bodyDiv w:val="1"/>
      <w:marLeft w:val="0"/>
      <w:marRight w:val="0"/>
      <w:marTop w:val="0"/>
      <w:marBottom w:val="0"/>
      <w:divBdr>
        <w:top w:val="none" w:sz="0" w:space="0" w:color="auto"/>
        <w:left w:val="none" w:sz="0" w:space="0" w:color="auto"/>
        <w:bottom w:val="none" w:sz="0" w:space="0" w:color="auto"/>
        <w:right w:val="none" w:sz="0" w:space="0" w:color="auto"/>
      </w:divBdr>
    </w:div>
    <w:div w:id="223952757">
      <w:bodyDiv w:val="1"/>
      <w:marLeft w:val="0"/>
      <w:marRight w:val="0"/>
      <w:marTop w:val="0"/>
      <w:marBottom w:val="0"/>
      <w:divBdr>
        <w:top w:val="none" w:sz="0" w:space="0" w:color="auto"/>
        <w:left w:val="none" w:sz="0" w:space="0" w:color="auto"/>
        <w:bottom w:val="none" w:sz="0" w:space="0" w:color="auto"/>
        <w:right w:val="none" w:sz="0" w:space="0" w:color="auto"/>
      </w:divBdr>
    </w:div>
    <w:div w:id="224489109">
      <w:bodyDiv w:val="1"/>
      <w:marLeft w:val="0"/>
      <w:marRight w:val="0"/>
      <w:marTop w:val="0"/>
      <w:marBottom w:val="0"/>
      <w:divBdr>
        <w:top w:val="none" w:sz="0" w:space="0" w:color="auto"/>
        <w:left w:val="none" w:sz="0" w:space="0" w:color="auto"/>
        <w:bottom w:val="none" w:sz="0" w:space="0" w:color="auto"/>
        <w:right w:val="none" w:sz="0" w:space="0" w:color="auto"/>
      </w:divBdr>
    </w:div>
    <w:div w:id="224489905">
      <w:bodyDiv w:val="1"/>
      <w:marLeft w:val="0"/>
      <w:marRight w:val="0"/>
      <w:marTop w:val="0"/>
      <w:marBottom w:val="0"/>
      <w:divBdr>
        <w:top w:val="none" w:sz="0" w:space="0" w:color="auto"/>
        <w:left w:val="none" w:sz="0" w:space="0" w:color="auto"/>
        <w:bottom w:val="none" w:sz="0" w:space="0" w:color="auto"/>
        <w:right w:val="none" w:sz="0" w:space="0" w:color="auto"/>
      </w:divBdr>
    </w:div>
    <w:div w:id="225380226">
      <w:bodyDiv w:val="1"/>
      <w:marLeft w:val="0"/>
      <w:marRight w:val="0"/>
      <w:marTop w:val="0"/>
      <w:marBottom w:val="0"/>
      <w:divBdr>
        <w:top w:val="none" w:sz="0" w:space="0" w:color="auto"/>
        <w:left w:val="none" w:sz="0" w:space="0" w:color="auto"/>
        <w:bottom w:val="none" w:sz="0" w:space="0" w:color="auto"/>
        <w:right w:val="none" w:sz="0" w:space="0" w:color="auto"/>
      </w:divBdr>
    </w:div>
    <w:div w:id="225576798">
      <w:bodyDiv w:val="1"/>
      <w:marLeft w:val="0"/>
      <w:marRight w:val="0"/>
      <w:marTop w:val="0"/>
      <w:marBottom w:val="0"/>
      <w:divBdr>
        <w:top w:val="none" w:sz="0" w:space="0" w:color="auto"/>
        <w:left w:val="none" w:sz="0" w:space="0" w:color="auto"/>
        <w:bottom w:val="none" w:sz="0" w:space="0" w:color="auto"/>
        <w:right w:val="none" w:sz="0" w:space="0" w:color="auto"/>
      </w:divBdr>
    </w:div>
    <w:div w:id="226187611">
      <w:bodyDiv w:val="1"/>
      <w:marLeft w:val="0"/>
      <w:marRight w:val="0"/>
      <w:marTop w:val="0"/>
      <w:marBottom w:val="0"/>
      <w:divBdr>
        <w:top w:val="none" w:sz="0" w:space="0" w:color="auto"/>
        <w:left w:val="none" w:sz="0" w:space="0" w:color="auto"/>
        <w:bottom w:val="none" w:sz="0" w:space="0" w:color="auto"/>
        <w:right w:val="none" w:sz="0" w:space="0" w:color="auto"/>
      </w:divBdr>
    </w:div>
    <w:div w:id="226696813">
      <w:bodyDiv w:val="1"/>
      <w:marLeft w:val="0"/>
      <w:marRight w:val="0"/>
      <w:marTop w:val="0"/>
      <w:marBottom w:val="0"/>
      <w:divBdr>
        <w:top w:val="none" w:sz="0" w:space="0" w:color="auto"/>
        <w:left w:val="none" w:sz="0" w:space="0" w:color="auto"/>
        <w:bottom w:val="none" w:sz="0" w:space="0" w:color="auto"/>
        <w:right w:val="none" w:sz="0" w:space="0" w:color="auto"/>
      </w:divBdr>
    </w:div>
    <w:div w:id="226844728">
      <w:bodyDiv w:val="1"/>
      <w:marLeft w:val="0"/>
      <w:marRight w:val="0"/>
      <w:marTop w:val="0"/>
      <w:marBottom w:val="0"/>
      <w:divBdr>
        <w:top w:val="none" w:sz="0" w:space="0" w:color="auto"/>
        <w:left w:val="none" w:sz="0" w:space="0" w:color="auto"/>
        <w:bottom w:val="none" w:sz="0" w:space="0" w:color="auto"/>
        <w:right w:val="none" w:sz="0" w:space="0" w:color="auto"/>
      </w:divBdr>
    </w:div>
    <w:div w:id="227107666">
      <w:bodyDiv w:val="1"/>
      <w:marLeft w:val="0"/>
      <w:marRight w:val="0"/>
      <w:marTop w:val="0"/>
      <w:marBottom w:val="0"/>
      <w:divBdr>
        <w:top w:val="none" w:sz="0" w:space="0" w:color="auto"/>
        <w:left w:val="none" w:sz="0" w:space="0" w:color="auto"/>
        <w:bottom w:val="none" w:sz="0" w:space="0" w:color="auto"/>
        <w:right w:val="none" w:sz="0" w:space="0" w:color="auto"/>
      </w:divBdr>
    </w:div>
    <w:div w:id="228466372">
      <w:bodyDiv w:val="1"/>
      <w:marLeft w:val="0"/>
      <w:marRight w:val="0"/>
      <w:marTop w:val="0"/>
      <w:marBottom w:val="0"/>
      <w:divBdr>
        <w:top w:val="none" w:sz="0" w:space="0" w:color="auto"/>
        <w:left w:val="none" w:sz="0" w:space="0" w:color="auto"/>
        <w:bottom w:val="none" w:sz="0" w:space="0" w:color="auto"/>
        <w:right w:val="none" w:sz="0" w:space="0" w:color="auto"/>
      </w:divBdr>
    </w:div>
    <w:div w:id="229466154">
      <w:bodyDiv w:val="1"/>
      <w:marLeft w:val="0"/>
      <w:marRight w:val="0"/>
      <w:marTop w:val="0"/>
      <w:marBottom w:val="0"/>
      <w:divBdr>
        <w:top w:val="none" w:sz="0" w:space="0" w:color="auto"/>
        <w:left w:val="none" w:sz="0" w:space="0" w:color="auto"/>
        <w:bottom w:val="none" w:sz="0" w:space="0" w:color="auto"/>
        <w:right w:val="none" w:sz="0" w:space="0" w:color="auto"/>
      </w:divBdr>
    </w:div>
    <w:div w:id="229534734">
      <w:bodyDiv w:val="1"/>
      <w:marLeft w:val="0"/>
      <w:marRight w:val="0"/>
      <w:marTop w:val="0"/>
      <w:marBottom w:val="0"/>
      <w:divBdr>
        <w:top w:val="none" w:sz="0" w:space="0" w:color="auto"/>
        <w:left w:val="none" w:sz="0" w:space="0" w:color="auto"/>
        <w:bottom w:val="none" w:sz="0" w:space="0" w:color="auto"/>
        <w:right w:val="none" w:sz="0" w:space="0" w:color="auto"/>
      </w:divBdr>
    </w:div>
    <w:div w:id="230967512">
      <w:bodyDiv w:val="1"/>
      <w:marLeft w:val="0"/>
      <w:marRight w:val="0"/>
      <w:marTop w:val="0"/>
      <w:marBottom w:val="0"/>
      <w:divBdr>
        <w:top w:val="none" w:sz="0" w:space="0" w:color="auto"/>
        <w:left w:val="none" w:sz="0" w:space="0" w:color="auto"/>
        <w:bottom w:val="none" w:sz="0" w:space="0" w:color="auto"/>
        <w:right w:val="none" w:sz="0" w:space="0" w:color="auto"/>
      </w:divBdr>
    </w:div>
    <w:div w:id="232083278">
      <w:bodyDiv w:val="1"/>
      <w:marLeft w:val="0"/>
      <w:marRight w:val="0"/>
      <w:marTop w:val="0"/>
      <w:marBottom w:val="0"/>
      <w:divBdr>
        <w:top w:val="none" w:sz="0" w:space="0" w:color="auto"/>
        <w:left w:val="none" w:sz="0" w:space="0" w:color="auto"/>
        <w:bottom w:val="none" w:sz="0" w:space="0" w:color="auto"/>
        <w:right w:val="none" w:sz="0" w:space="0" w:color="auto"/>
      </w:divBdr>
    </w:div>
    <w:div w:id="232937161">
      <w:bodyDiv w:val="1"/>
      <w:marLeft w:val="0"/>
      <w:marRight w:val="0"/>
      <w:marTop w:val="0"/>
      <w:marBottom w:val="0"/>
      <w:divBdr>
        <w:top w:val="none" w:sz="0" w:space="0" w:color="auto"/>
        <w:left w:val="none" w:sz="0" w:space="0" w:color="auto"/>
        <w:bottom w:val="none" w:sz="0" w:space="0" w:color="auto"/>
        <w:right w:val="none" w:sz="0" w:space="0" w:color="auto"/>
      </w:divBdr>
    </w:div>
    <w:div w:id="235550637">
      <w:bodyDiv w:val="1"/>
      <w:marLeft w:val="0"/>
      <w:marRight w:val="0"/>
      <w:marTop w:val="0"/>
      <w:marBottom w:val="0"/>
      <w:divBdr>
        <w:top w:val="none" w:sz="0" w:space="0" w:color="auto"/>
        <w:left w:val="none" w:sz="0" w:space="0" w:color="auto"/>
        <w:bottom w:val="none" w:sz="0" w:space="0" w:color="auto"/>
        <w:right w:val="none" w:sz="0" w:space="0" w:color="auto"/>
      </w:divBdr>
    </w:div>
    <w:div w:id="237250616">
      <w:bodyDiv w:val="1"/>
      <w:marLeft w:val="0"/>
      <w:marRight w:val="0"/>
      <w:marTop w:val="0"/>
      <w:marBottom w:val="0"/>
      <w:divBdr>
        <w:top w:val="none" w:sz="0" w:space="0" w:color="auto"/>
        <w:left w:val="none" w:sz="0" w:space="0" w:color="auto"/>
        <w:bottom w:val="none" w:sz="0" w:space="0" w:color="auto"/>
        <w:right w:val="none" w:sz="0" w:space="0" w:color="auto"/>
      </w:divBdr>
    </w:div>
    <w:div w:id="237597851">
      <w:bodyDiv w:val="1"/>
      <w:marLeft w:val="0"/>
      <w:marRight w:val="0"/>
      <w:marTop w:val="0"/>
      <w:marBottom w:val="0"/>
      <w:divBdr>
        <w:top w:val="none" w:sz="0" w:space="0" w:color="auto"/>
        <w:left w:val="none" w:sz="0" w:space="0" w:color="auto"/>
        <w:bottom w:val="none" w:sz="0" w:space="0" w:color="auto"/>
        <w:right w:val="none" w:sz="0" w:space="0" w:color="auto"/>
      </w:divBdr>
    </w:div>
    <w:div w:id="238053638">
      <w:bodyDiv w:val="1"/>
      <w:marLeft w:val="0"/>
      <w:marRight w:val="0"/>
      <w:marTop w:val="0"/>
      <w:marBottom w:val="0"/>
      <w:divBdr>
        <w:top w:val="none" w:sz="0" w:space="0" w:color="auto"/>
        <w:left w:val="none" w:sz="0" w:space="0" w:color="auto"/>
        <w:bottom w:val="none" w:sz="0" w:space="0" w:color="auto"/>
        <w:right w:val="none" w:sz="0" w:space="0" w:color="auto"/>
      </w:divBdr>
    </w:div>
    <w:div w:id="238096390">
      <w:bodyDiv w:val="1"/>
      <w:marLeft w:val="0"/>
      <w:marRight w:val="0"/>
      <w:marTop w:val="0"/>
      <w:marBottom w:val="0"/>
      <w:divBdr>
        <w:top w:val="none" w:sz="0" w:space="0" w:color="auto"/>
        <w:left w:val="none" w:sz="0" w:space="0" w:color="auto"/>
        <w:bottom w:val="none" w:sz="0" w:space="0" w:color="auto"/>
        <w:right w:val="none" w:sz="0" w:space="0" w:color="auto"/>
      </w:divBdr>
    </w:div>
    <w:div w:id="238558656">
      <w:bodyDiv w:val="1"/>
      <w:marLeft w:val="0"/>
      <w:marRight w:val="0"/>
      <w:marTop w:val="0"/>
      <w:marBottom w:val="0"/>
      <w:divBdr>
        <w:top w:val="none" w:sz="0" w:space="0" w:color="auto"/>
        <w:left w:val="none" w:sz="0" w:space="0" w:color="auto"/>
        <w:bottom w:val="none" w:sz="0" w:space="0" w:color="auto"/>
        <w:right w:val="none" w:sz="0" w:space="0" w:color="auto"/>
      </w:divBdr>
    </w:div>
    <w:div w:id="238752334">
      <w:bodyDiv w:val="1"/>
      <w:marLeft w:val="0"/>
      <w:marRight w:val="0"/>
      <w:marTop w:val="0"/>
      <w:marBottom w:val="0"/>
      <w:divBdr>
        <w:top w:val="none" w:sz="0" w:space="0" w:color="auto"/>
        <w:left w:val="none" w:sz="0" w:space="0" w:color="auto"/>
        <w:bottom w:val="none" w:sz="0" w:space="0" w:color="auto"/>
        <w:right w:val="none" w:sz="0" w:space="0" w:color="auto"/>
      </w:divBdr>
    </w:div>
    <w:div w:id="239102412">
      <w:bodyDiv w:val="1"/>
      <w:marLeft w:val="0"/>
      <w:marRight w:val="0"/>
      <w:marTop w:val="0"/>
      <w:marBottom w:val="0"/>
      <w:divBdr>
        <w:top w:val="none" w:sz="0" w:space="0" w:color="auto"/>
        <w:left w:val="none" w:sz="0" w:space="0" w:color="auto"/>
        <w:bottom w:val="none" w:sz="0" w:space="0" w:color="auto"/>
        <w:right w:val="none" w:sz="0" w:space="0" w:color="auto"/>
      </w:divBdr>
    </w:div>
    <w:div w:id="239411577">
      <w:bodyDiv w:val="1"/>
      <w:marLeft w:val="0"/>
      <w:marRight w:val="0"/>
      <w:marTop w:val="0"/>
      <w:marBottom w:val="0"/>
      <w:divBdr>
        <w:top w:val="none" w:sz="0" w:space="0" w:color="auto"/>
        <w:left w:val="none" w:sz="0" w:space="0" w:color="auto"/>
        <w:bottom w:val="none" w:sz="0" w:space="0" w:color="auto"/>
        <w:right w:val="none" w:sz="0" w:space="0" w:color="auto"/>
      </w:divBdr>
    </w:div>
    <w:div w:id="239869864">
      <w:bodyDiv w:val="1"/>
      <w:marLeft w:val="0"/>
      <w:marRight w:val="0"/>
      <w:marTop w:val="0"/>
      <w:marBottom w:val="0"/>
      <w:divBdr>
        <w:top w:val="none" w:sz="0" w:space="0" w:color="auto"/>
        <w:left w:val="none" w:sz="0" w:space="0" w:color="auto"/>
        <w:bottom w:val="none" w:sz="0" w:space="0" w:color="auto"/>
        <w:right w:val="none" w:sz="0" w:space="0" w:color="auto"/>
      </w:divBdr>
    </w:div>
    <w:div w:id="240868455">
      <w:bodyDiv w:val="1"/>
      <w:marLeft w:val="0"/>
      <w:marRight w:val="0"/>
      <w:marTop w:val="0"/>
      <w:marBottom w:val="0"/>
      <w:divBdr>
        <w:top w:val="none" w:sz="0" w:space="0" w:color="auto"/>
        <w:left w:val="none" w:sz="0" w:space="0" w:color="auto"/>
        <w:bottom w:val="none" w:sz="0" w:space="0" w:color="auto"/>
        <w:right w:val="none" w:sz="0" w:space="0" w:color="auto"/>
      </w:divBdr>
    </w:div>
    <w:div w:id="241524066">
      <w:bodyDiv w:val="1"/>
      <w:marLeft w:val="0"/>
      <w:marRight w:val="0"/>
      <w:marTop w:val="0"/>
      <w:marBottom w:val="0"/>
      <w:divBdr>
        <w:top w:val="none" w:sz="0" w:space="0" w:color="auto"/>
        <w:left w:val="none" w:sz="0" w:space="0" w:color="auto"/>
        <w:bottom w:val="none" w:sz="0" w:space="0" w:color="auto"/>
        <w:right w:val="none" w:sz="0" w:space="0" w:color="auto"/>
      </w:divBdr>
    </w:div>
    <w:div w:id="243491283">
      <w:bodyDiv w:val="1"/>
      <w:marLeft w:val="0"/>
      <w:marRight w:val="0"/>
      <w:marTop w:val="0"/>
      <w:marBottom w:val="0"/>
      <w:divBdr>
        <w:top w:val="none" w:sz="0" w:space="0" w:color="auto"/>
        <w:left w:val="none" w:sz="0" w:space="0" w:color="auto"/>
        <w:bottom w:val="none" w:sz="0" w:space="0" w:color="auto"/>
        <w:right w:val="none" w:sz="0" w:space="0" w:color="auto"/>
      </w:divBdr>
    </w:div>
    <w:div w:id="243808666">
      <w:bodyDiv w:val="1"/>
      <w:marLeft w:val="0"/>
      <w:marRight w:val="0"/>
      <w:marTop w:val="0"/>
      <w:marBottom w:val="0"/>
      <w:divBdr>
        <w:top w:val="none" w:sz="0" w:space="0" w:color="auto"/>
        <w:left w:val="none" w:sz="0" w:space="0" w:color="auto"/>
        <w:bottom w:val="none" w:sz="0" w:space="0" w:color="auto"/>
        <w:right w:val="none" w:sz="0" w:space="0" w:color="auto"/>
      </w:divBdr>
    </w:div>
    <w:div w:id="244919816">
      <w:bodyDiv w:val="1"/>
      <w:marLeft w:val="0"/>
      <w:marRight w:val="0"/>
      <w:marTop w:val="0"/>
      <w:marBottom w:val="0"/>
      <w:divBdr>
        <w:top w:val="none" w:sz="0" w:space="0" w:color="auto"/>
        <w:left w:val="none" w:sz="0" w:space="0" w:color="auto"/>
        <w:bottom w:val="none" w:sz="0" w:space="0" w:color="auto"/>
        <w:right w:val="none" w:sz="0" w:space="0" w:color="auto"/>
      </w:divBdr>
    </w:div>
    <w:div w:id="245499072">
      <w:bodyDiv w:val="1"/>
      <w:marLeft w:val="0"/>
      <w:marRight w:val="0"/>
      <w:marTop w:val="0"/>
      <w:marBottom w:val="0"/>
      <w:divBdr>
        <w:top w:val="none" w:sz="0" w:space="0" w:color="auto"/>
        <w:left w:val="none" w:sz="0" w:space="0" w:color="auto"/>
        <w:bottom w:val="none" w:sz="0" w:space="0" w:color="auto"/>
        <w:right w:val="none" w:sz="0" w:space="0" w:color="auto"/>
      </w:divBdr>
    </w:div>
    <w:div w:id="245961384">
      <w:bodyDiv w:val="1"/>
      <w:marLeft w:val="0"/>
      <w:marRight w:val="0"/>
      <w:marTop w:val="0"/>
      <w:marBottom w:val="0"/>
      <w:divBdr>
        <w:top w:val="none" w:sz="0" w:space="0" w:color="auto"/>
        <w:left w:val="none" w:sz="0" w:space="0" w:color="auto"/>
        <w:bottom w:val="none" w:sz="0" w:space="0" w:color="auto"/>
        <w:right w:val="none" w:sz="0" w:space="0" w:color="auto"/>
      </w:divBdr>
    </w:div>
    <w:div w:id="246768399">
      <w:bodyDiv w:val="1"/>
      <w:marLeft w:val="0"/>
      <w:marRight w:val="0"/>
      <w:marTop w:val="0"/>
      <w:marBottom w:val="0"/>
      <w:divBdr>
        <w:top w:val="none" w:sz="0" w:space="0" w:color="auto"/>
        <w:left w:val="none" w:sz="0" w:space="0" w:color="auto"/>
        <w:bottom w:val="none" w:sz="0" w:space="0" w:color="auto"/>
        <w:right w:val="none" w:sz="0" w:space="0" w:color="auto"/>
      </w:divBdr>
    </w:div>
    <w:div w:id="247160858">
      <w:bodyDiv w:val="1"/>
      <w:marLeft w:val="0"/>
      <w:marRight w:val="0"/>
      <w:marTop w:val="0"/>
      <w:marBottom w:val="0"/>
      <w:divBdr>
        <w:top w:val="none" w:sz="0" w:space="0" w:color="auto"/>
        <w:left w:val="none" w:sz="0" w:space="0" w:color="auto"/>
        <w:bottom w:val="none" w:sz="0" w:space="0" w:color="auto"/>
        <w:right w:val="none" w:sz="0" w:space="0" w:color="auto"/>
      </w:divBdr>
    </w:div>
    <w:div w:id="249194985">
      <w:bodyDiv w:val="1"/>
      <w:marLeft w:val="0"/>
      <w:marRight w:val="0"/>
      <w:marTop w:val="0"/>
      <w:marBottom w:val="0"/>
      <w:divBdr>
        <w:top w:val="none" w:sz="0" w:space="0" w:color="auto"/>
        <w:left w:val="none" w:sz="0" w:space="0" w:color="auto"/>
        <w:bottom w:val="none" w:sz="0" w:space="0" w:color="auto"/>
        <w:right w:val="none" w:sz="0" w:space="0" w:color="auto"/>
      </w:divBdr>
    </w:div>
    <w:div w:id="249236616">
      <w:bodyDiv w:val="1"/>
      <w:marLeft w:val="0"/>
      <w:marRight w:val="0"/>
      <w:marTop w:val="0"/>
      <w:marBottom w:val="0"/>
      <w:divBdr>
        <w:top w:val="none" w:sz="0" w:space="0" w:color="auto"/>
        <w:left w:val="none" w:sz="0" w:space="0" w:color="auto"/>
        <w:bottom w:val="none" w:sz="0" w:space="0" w:color="auto"/>
        <w:right w:val="none" w:sz="0" w:space="0" w:color="auto"/>
      </w:divBdr>
    </w:div>
    <w:div w:id="249778795">
      <w:bodyDiv w:val="1"/>
      <w:marLeft w:val="0"/>
      <w:marRight w:val="0"/>
      <w:marTop w:val="0"/>
      <w:marBottom w:val="0"/>
      <w:divBdr>
        <w:top w:val="none" w:sz="0" w:space="0" w:color="auto"/>
        <w:left w:val="none" w:sz="0" w:space="0" w:color="auto"/>
        <w:bottom w:val="none" w:sz="0" w:space="0" w:color="auto"/>
        <w:right w:val="none" w:sz="0" w:space="0" w:color="auto"/>
      </w:divBdr>
    </w:div>
    <w:div w:id="250242440">
      <w:bodyDiv w:val="1"/>
      <w:marLeft w:val="0"/>
      <w:marRight w:val="0"/>
      <w:marTop w:val="0"/>
      <w:marBottom w:val="0"/>
      <w:divBdr>
        <w:top w:val="none" w:sz="0" w:space="0" w:color="auto"/>
        <w:left w:val="none" w:sz="0" w:space="0" w:color="auto"/>
        <w:bottom w:val="none" w:sz="0" w:space="0" w:color="auto"/>
        <w:right w:val="none" w:sz="0" w:space="0" w:color="auto"/>
      </w:divBdr>
    </w:div>
    <w:div w:id="250549199">
      <w:bodyDiv w:val="1"/>
      <w:marLeft w:val="0"/>
      <w:marRight w:val="0"/>
      <w:marTop w:val="0"/>
      <w:marBottom w:val="0"/>
      <w:divBdr>
        <w:top w:val="none" w:sz="0" w:space="0" w:color="auto"/>
        <w:left w:val="none" w:sz="0" w:space="0" w:color="auto"/>
        <w:bottom w:val="none" w:sz="0" w:space="0" w:color="auto"/>
        <w:right w:val="none" w:sz="0" w:space="0" w:color="auto"/>
      </w:divBdr>
    </w:div>
    <w:div w:id="250816280">
      <w:bodyDiv w:val="1"/>
      <w:marLeft w:val="0"/>
      <w:marRight w:val="0"/>
      <w:marTop w:val="0"/>
      <w:marBottom w:val="0"/>
      <w:divBdr>
        <w:top w:val="none" w:sz="0" w:space="0" w:color="auto"/>
        <w:left w:val="none" w:sz="0" w:space="0" w:color="auto"/>
        <w:bottom w:val="none" w:sz="0" w:space="0" w:color="auto"/>
        <w:right w:val="none" w:sz="0" w:space="0" w:color="auto"/>
      </w:divBdr>
    </w:div>
    <w:div w:id="251398446">
      <w:bodyDiv w:val="1"/>
      <w:marLeft w:val="0"/>
      <w:marRight w:val="0"/>
      <w:marTop w:val="0"/>
      <w:marBottom w:val="0"/>
      <w:divBdr>
        <w:top w:val="none" w:sz="0" w:space="0" w:color="auto"/>
        <w:left w:val="none" w:sz="0" w:space="0" w:color="auto"/>
        <w:bottom w:val="none" w:sz="0" w:space="0" w:color="auto"/>
        <w:right w:val="none" w:sz="0" w:space="0" w:color="auto"/>
      </w:divBdr>
    </w:div>
    <w:div w:id="251937379">
      <w:bodyDiv w:val="1"/>
      <w:marLeft w:val="0"/>
      <w:marRight w:val="0"/>
      <w:marTop w:val="0"/>
      <w:marBottom w:val="0"/>
      <w:divBdr>
        <w:top w:val="none" w:sz="0" w:space="0" w:color="auto"/>
        <w:left w:val="none" w:sz="0" w:space="0" w:color="auto"/>
        <w:bottom w:val="none" w:sz="0" w:space="0" w:color="auto"/>
        <w:right w:val="none" w:sz="0" w:space="0" w:color="auto"/>
      </w:divBdr>
    </w:div>
    <w:div w:id="253052785">
      <w:bodyDiv w:val="1"/>
      <w:marLeft w:val="0"/>
      <w:marRight w:val="0"/>
      <w:marTop w:val="0"/>
      <w:marBottom w:val="0"/>
      <w:divBdr>
        <w:top w:val="none" w:sz="0" w:space="0" w:color="auto"/>
        <w:left w:val="none" w:sz="0" w:space="0" w:color="auto"/>
        <w:bottom w:val="none" w:sz="0" w:space="0" w:color="auto"/>
        <w:right w:val="none" w:sz="0" w:space="0" w:color="auto"/>
      </w:divBdr>
    </w:div>
    <w:div w:id="253977307">
      <w:bodyDiv w:val="1"/>
      <w:marLeft w:val="0"/>
      <w:marRight w:val="0"/>
      <w:marTop w:val="0"/>
      <w:marBottom w:val="0"/>
      <w:divBdr>
        <w:top w:val="none" w:sz="0" w:space="0" w:color="auto"/>
        <w:left w:val="none" w:sz="0" w:space="0" w:color="auto"/>
        <w:bottom w:val="none" w:sz="0" w:space="0" w:color="auto"/>
        <w:right w:val="none" w:sz="0" w:space="0" w:color="auto"/>
      </w:divBdr>
    </w:div>
    <w:div w:id="254023581">
      <w:bodyDiv w:val="1"/>
      <w:marLeft w:val="0"/>
      <w:marRight w:val="0"/>
      <w:marTop w:val="0"/>
      <w:marBottom w:val="0"/>
      <w:divBdr>
        <w:top w:val="none" w:sz="0" w:space="0" w:color="auto"/>
        <w:left w:val="none" w:sz="0" w:space="0" w:color="auto"/>
        <w:bottom w:val="none" w:sz="0" w:space="0" w:color="auto"/>
        <w:right w:val="none" w:sz="0" w:space="0" w:color="auto"/>
      </w:divBdr>
    </w:div>
    <w:div w:id="255138090">
      <w:bodyDiv w:val="1"/>
      <w:marLeft w:val="0"/>
      <w:marRight w:val="0"/>
      <w:marTop w:val="0"/>
      <w:marBottom w:val="0"/>
      <w:divBdr>
        <w:top w:val="none" w:sz="0" w:space="0" w:color="auto"/>
        <w:left w:val="none" w:sz="0" w:space="0" w:color="auto"/>
        <w:bottom w:val="none" w:sz="0" w:space="0" w:color="auto"/>
        <w:right w:val="none" w:sz="0" w:space="0" w:color="auto"/>
      </w:divBdr>
    </w:div>
    <w:div w:id="255331267">
      <w:bodyDiv w:val="1"/>
      <w:marLeft w:val="0"/>
      <w:marRight w:val="0"/>
      <w:marTop w:val="0"/>
      <w:marBottom w:val="0"/>
      <w:divBdr>
        <w:top w:val="none" w:sz="0" w:space="0" w:color="auto"/>
        <w:left w:val="none" w:sz="0" w:space="0" w:color="auto"/>
        <w:bottom w:val="none" w:sz="0" w:space="0" w:color="auto"/>
        <w:right w:val="none" w:sz="0" w:space="0" w:color="auto"/>
      </w:divBdr>
    </w:div>
    <w:div w:id="257301212">
      <w:bodyDiv w:val="1"/>
      <w:marLeft w:val="0"/>
      <w:marRight w:val="0"/>
      <w:marTop w:val="0"/>
      <w:marBottom w:val="0"/>
      <w:divBdr>
        <w:top w:val="none" w:sz="0" w:space="0" w:color="auto"/>
        <w:left w:val="none" w:sz="0" w:space="0" w:color="auto"/>
        <w:bottom w:val="none" w:sz="0" w:space="0" w:color="auto"/>
        <w:right w:val="none" w:sz="0" w:space="0" w:color="auto"/>
      </w:divBdr>
    </w:div>
    <w:div w:id="258368726">
      <w:bodyDiv w:val="1"/>
      <w:marLeft w:val="0"/>
      <w:marRight w:val="0"/>
      <w:marTop w:val="0"/>
      <w:marBottom w:val="0"/>
      <w:divBdr>
        <w:top w:val="none" w:sz="0" w:space="0" w:color="auto"/>
        <w:left w:val="none" w:sz="0" w:space="0" w:color="auto"/>
        <w:bottom w:val="none" w:sz="0" w:space="0" w:color="auto"/>
        <w:right w:val="none" w:sz="0" w:space="0" w:color="auto"/>
      </w:divBdr>
    </w:div>
    <w:div w:id="259071865">
      <w:bodyDiv w:val="1"/>
      <w:marLeft w:val="0"/>
      <w:marRight w:val="0"/>
      <w:marTop w:val="0"/>
      <w:marBottom w:val="0"/>
      <w:divBdr>
        <w:top w:val="none" w:sz="0" w:space="0" w:color="auto"/>
        <w:left w:val="none" w:sz="0" w:space="0" w:color="auto"/>
        <w:bottom w:val="none" w:sz="0" w:space="0" w:color="auto"/>
        <w:right w:val="none" w:sz="0" w:space="0" w:color="auto"/>
      </w:divBdr>
    </w:div>
    <w:div w:id="260795835">
      <w:bodyDiv w:val="1"/>
      <w:marLeft w:val="0"/>
      <w:marRight w:val="0"/>
      <w:marTop w:val="0"/>
      <w:marBottom w:val="0"/>
      <w:divBdr>
        <w:top w:val="none" w:sz="0" w:space="0" w:color="auto"/>
        <w:left w:val="none" w:sz="0" w:space="0" w:color="auto"/>
        <w:bottom w:val="none" w:sz="0" w:space="0" w:color="auto"/>
        <w:right w:val="none" w:sz="0" w:space="0" w:color="auto"/>
      </w:divBdr>
    </w:div>
    <w:div w:id="260838736">
      <w:bodyDiv w:val="1"/>
      <w:marLeft w:val="0"/>
      <w:marRight w:val="0"/>
      <w:marTop w:val="0"/>
      <w:marBottom w:val="0"/>
      <w:divBdr>
        <w:top w:val="none" w:sz="0" w:space="0" w:color="auto"/>
        <w:left w:val="none" w:sz="0" w:space="0" w:color="auto"/>
        <w:bottom w:val="none" w:sz="0" w:space="0" w:color="auto"/>
        <w:right w:val="none" w:sz="0" w:space="0" w:color="auto"/>
      </w:divBdr>
    </w:div>
    <w:div w:id="262346991">
      <w:bodyDiv w:val="1"/>
      <w:marLeft w:val="0"/>
      <w:marRight w:val="0"/>
      <w:marTop w:val="0"/>
      <w:marBottom w:val="0"/>
      <w:divBdr>
        <w:top w:val="none" w:sz="0" w:space="0" w:color="auto"/>
        <w:left w:val="none" w:sz="0" w:space="0" w:color="auto"/>
        <w:bottom w:val="none" w:sz="0" w:space="0" w:color="auto"/>
        <w:right w:val="none" w:sz="0" w:space="0" w:color="auto"/>
      </w:divBdr>
    </w:div>
    <w:div w:id="263347728">
      <w:bodyDiv w:val="1"/>
      <w:marLeft w:val="0"/>
      <w:marRight w:val="0"/>
      <w:marTop w:val="0"/>
      <w:marBottom w:val="0"/>
      <w:divBdr>
        <w:top w:val="none" w:sz="0" w:space="0" w:color="auto"/>
        <w:left w:val="none" w:sz="0" w:space="0" w:color="auto"/>
        <w:bottom w:val="none" w:sz="0" w:space="0" w:color="auto"/>
        <w:right w:val="none" w:sz="0" w:space="0" w:color="auto"/>
      </w:divBdr>
    </w:div>
    <w:div w:id="264701977">
      <w:bodyDiv w:val="1"/>
      <w:marLeft w:val="0"/>
      <w:marRight w:val="0"/>
      <w:marTop w:val="0"/>
      <w:marBottom w:val="0"/>
      <w:divBdr>
        <w:top w:val="none" w:sz="0" w:space="0" w:color="auto"/>
        <w:left w:val="none" w:sz="0" w:space="0" w:color="auto"/>
        <w:bottom w:val="none" w:sz="0" w:space="0" w:color="auto"/>
        <w:right w:val="none" w:sz="0" w:space="0" w:color="auto"/>
      </w:divBdr>
    </w:div>
    <w:div w:id="264778165">
      <w:bodyDiv w:val="1"/>
      <w:marLeft w:val="0"/>
      <w:marRight w:val="0"/>
      <w:marTop w:val="0"/>
      <w:marBottom w:val="0"/>
      <w:divBdr>
        <w:top w:val="none" w:sz="0" w:space="0" w:color="auto"/>
        <w:left w:val="none" w:sz="0" w:space="0" w:color="auto"/>
        <w:bottom w:val="none" w:sz="0" w:space="0" w:color="auto"/>
        <w:right w:val="none" w:sz="0" w:space="0" w:color="auto"/>
      </w:divBdr>
    </w:div>
    <w:div w:id="265695185">
      <w:bodyDiv w:val="1"/>
      <w:marLeft w:val="0"/>
      <w:marRight w:val="0"/>
      <w:marTop w:val="0"/>
      <w:marBottom w:val="0"/>
      <w:divBdr>
        <w:top w:val="none" w:sz="0" w:space="0" w:color="auto"/>
        <w:left w:val="none" w:sz="0" w:space="0" w:color="auto"/>
        <w:bottom w:val="none" w:sz="0" w:space="0" w:color="auto"/>
        <w:right w:val="none" w:sz="0" w:space="0" w:color="auto"/>
      </w:divBdr>
    </w:div>
    <w:div w:id="265962106">
      <w:bodyDiv w:val="1"/>
      <w:marLeft w:val="0"/>
      <w:marRight w:val="0"/>
      <w:marTop w:val="0"/>
      <w:marBottom w:val="0"/>
      <w:divBdr>
        <w:top w:val="none" w:sz="0" w:space="0" w:color="auto"/>
        <w:left w:val="none" w:sz="0" w:space="0" w:color="auto"/>
        <w:bottom w:val="none" w:sz="0" w:space="0" w:color="auto"/>
        <w:right w:val="none" w:sz="0" w:space="0" w:color="auto"/>
      </w:divBdr>
    </w:div>
    <w:div w:id="266500848">
      <w:bodyDiv w:val="1"/>
      <w:marLeft w:val="0"/>
      <w:marRight w:val="0"/>
      <w:marTop w:val="0"/>
      <w:marBottom w:val="0"/>
      <w:divBdr>
        <w:top w:val="none" w:sz="0" w:space="0" w:color="auto"/>
        <w:left w:val="none" w:sz="0" w:space="0" w:color="auto"/>
        <w:bottom w:val="none" w:sz="0" w:space="0" w:color="auto"/>
        <w:right w:val="none" w:sz="0" w:space="0" w:color="auto"/>
      </w:divBdr>
    </w:div>
    <w:div w:id="266893255">
      <w:bodyDiv w:val="1"/>
      <w:marLeft w:val="0"/>
      <w:marRight w:val="0"/>
      <w:marTop w:val="0"/>
      <w:marBottom w:val="0"/>
      <w:divBdr>
        <w:top w:val="none" w:sz="0" w:space="0" w:color="auto"/>
        <w:left w:val="none" w:sz="0" w:space="0" w:color="auto"/>
        <w:bottom w:val="none" w:sz="0" w:space="0" w:color="auto"/>
        <w:right w:val="none" w:sz="0" w:space="0" w:color="auto"/>
      </w:divBdr>
    </w:div>
    <w:div w:id="268126149">
      <w:bodyDiv w:val="1"/>
      <w:marLeft w:val="0"/>
      <w:marRight w:val="0"/>
      <w:marTop w:val="0"/>
      <w:marBottom w:val="0"/>
      <w:divBdr>
        <w:top w:val="none" w:sz="0" w:space="0" w:color="auto"/>
        <w:left w:val="none" w:sz="0" w:space="0" w:color="auto"/>
        <w:bottom w:val="none" w:sz="0" w:space="0" w:color="auto"/>
        <w:right w:val="none" w:sz="0" w:space="0" w:color="auto"/>
      </w:divBdr>
    </w:div>
    <w:div w:id="268586596">
      <w:bodyDiv w:val="1"/>
      <w:marLeft w:val="0"/>
      <w:marRight w:val="0"/>
      <w:marTop w:val="0"/>
      <w:marBottom w:val="0"/>
      <w:divBdr>
        <w:top w:val="none" w:sz="0" w:space="0" w:color="auto"/>
        <w:left w:val="none" w:sz="0" w:space="0" w:color="auto"/>
        <w:bottom w:val="none" w:sz="0" w:space="0" w:color="auto"/>
        <w:right w:val="none" w:sz="0" w:space="0" w:color="auto"/>
      </w:divBdr>
    </w:div>
    <w:div w:id="269044209">
      <w:bodyDiv w:val="1"/>
      <w:marLeft w:val="0"/>
      <w:marRight w:val="0"/>
      <w:marTop w:val="0"/>
      <w:marBottom w:val="0"/>
      <w:divBdr>
        <w:top w:val="none" w:sz="0" w:space="0" w:color="auto"/>
        <w:left w:val="none" w:sz="0" w:space="0" w:color="auto"/>
        <w:bottom w:val="none" w:sz="0" w:space="0" w:color="auto"/>
        <w:right w:val="none" w:sz="0" w:space="0" w:color="auto"/>
      </w:divBdr>
    </w:div>
    <w:div w:id="269631583">
      <w:bodyDiv w:val="1"/>
      <w:marLeft w:val="0"/>
      <w:marRight w:val="0"/>
      <w:marTop w:val="0"/>
      <w:marBottom w:val="0"/>
      <w:divBdr>
        <w:top w:val="none" w:sz="0" w:space="0" w:color="auto"/>
        <w:left w:val="none" w:sz="0" w:space="0" w:color="auto"/>
        <w:bottom w:val="none" w:sz="0" w:space="0" w:color="auto"/>
        <w:right w:val="none" w:sz="0" w:space="0" w:color="auto"/>
      </w:divBdr>
    </w:div>
    <w:div w:id="269973968">
      <w:bodyDiv w:val="1"/>
      <w:marLeft w:val="0"/>
      <w:marRight w:val="0"/>
      <w:marTop w:val="0"/>
      <w:marBottom w:val="0"/>
      <w:divBdr>
        <w:top w:val="none" w:sz="0" w:space="0" w:color="auto"/>
        <w:left w:val="none" w:sz="0" w:space="0" w:color="auto"/>
        <w:bottom w:val="none" w:sz="0" w:space="0" w:color="auto"/>
        <w:right w:val="none" w:sz="0" w:space="0" w:color="auto"/>
      </w:divBdr>
    </w:div>
    <w:div w:id="270431066">
      <w:bodyDiv w:val="1"/>
      <w:marLeft w:val="0"/>
      <w:marRight w:val="0"/>
      <w:marTop w:val="0"/>
      <w:marBottom w:val="0"/>
      <w:divBdr>
        <w:top w:val="none" w:sz="0" w:space="0" w:color="auto"/>
        <w:left w:val="none" w:sz="0" w:space="0" w:color="auto"/>
        <w:bottom w:val="none" w:sz="0" w:space="0" w:color="auto"/>
        <w:right w:val="none" w:sz="0" w:space="0" w:color="auto"/>
      </w:divBdr>
    </w:div>
    <w:div w:id="271131667">
      <w:bodyDiv w:val="1"/>
      <w:marLeft w:val="0"/>
      <w:marRight w:val="0"/>
      <w:marTop w:val="0"/>
      <w:marBottom w:val="0"/>
      <w:divBdr>
        <w:top w:val="none" w:sz="0" w:space="0" w:color="auto"/>
        <w:left w:val="none" w:sz="0" w:space="0" w:color="auto"/>
        <w:bottom w:val="none" w:sz="0" w:space="0" w:color="auto"/>
        <w:right w:val="none" w:sz="0" w:space="0" w:color="auto"/>
      </w:divBdr>
    </w:div>
    <w:div w:id="271667464">
      <w:bodyDiv w:val="1"/>
      <w:marLeft w:val="0"/>
      <w:marRight w:val="0"/>
      <w:marTop w:val="0"/>
      <w:marBottom w:val="0"/>
      <w:divBdr>
        <w:top w:val="none" w:sz="0" w:space="0" w:color="auto"/>
        <w:left w:val="none" w:sz="0" w:space="0" w:color="auto"/>
        <w:bottom w:val="none" w:sz="0" w:space="0" w:color="auto"/>
        <w:right w:val="none" w:sz="0" w:space="0" w:color="auto"/>
      </w:divBdr>
    </w:div>
    <w:div w:id="271712358">
      <w:bodyDiv w:val="1"/>
      <w:marLeft w:val="0"/>
      <w:marRight w:val="0"/>
      <w:marTop w:val="0"/>
      <w:marBottom w:val="0"/>
      <w:divBdr>
        <w:top w:val="none" w:sz="0" w:space="0" w:color="auto"/>
        <w:left w:val="none" w:sz="0" w:space="0" w:color="auto"/>
        <w:bottom w:val="none" w:sz="0" w:space="0" w:color="auto"/>
        <w:right w:val="none" w:sz="0" w:space="0" w:color="auto"/>
      </w:divBdr>
    </w:div>
    <w:div w:id="271981903">
      <w:bodyDiv w:val="1"/>
      <w:marLeft w:val="0"/>
      <w:marRight w:val="0"/>
      <w:marTop w:val="0"/>
      <w:marBottom w:val="0"/>
      <w:divBdr>
        <w:top w:val="none" w:sz="0" w:space="0" w:color="auto"/>
        <w:left w:val="none" w:sz="0" w:space="0" w:color="auto"/>
        <w:bottom w:val="none" w:sz="0" w:space="0" w:color="auto"/>
        <w:right w:val="none" w:sz="0" w:space="0" w:color="auto"/>
      </w:divBdr>
    </w:div>
    <w:div w:id="272782413">
      <w:bodyDiv w:val="1"/>
      <w:marLeft w:val="0"/>
      <w:marRight w:val="0"/>
      <w:marTop w:val="0"/>
      <w:marBottom w:val="0"/>
      <w:divBdr>
        <w:top w:val="none" w:sz="0" w:space="0" w:color="auto"/>
        <w:left w:val="none" w:sz="0" w:space="0" w:color="auto"/>
        <w:bottom w:val="none" w:sz="0" w:space="0" w:color="auto"/>
        <w:right w:val="none" w:sz="0" w:space="0" w:color="auto"/>
      </w:divBdr>
    </w:div>
    <w:div w:id="272981472">
      <w:bodyDiv w:val="1"/>
      <w:marLeft w:val="0"/>
      <w:marRight w:val="0"/>
      <w:marTop w:val="0"/>
      <w:marBottom w:val="0"/>
      <w:divBdr>
        <w:top w:val="none" w:sz="0" w:space="0" w:color="auto"/>
        <w:left w:val="none" w:sz="0" w:space="0" w:color="auto"/>
        <w:bottom w:val="none" w:sz="0" w:space="0" w:color="auto"/>
        <w:right w:val="none" w:sz="0" w:space="0" w:color="auto"/>
      </w:divBdr>
    </w:div>
    <w:div w:id="273246647">
      <w:bodyDiv w:val="1"/>
      <w:marLeft w:val="0"/>
      <w:marRight w:val="0"/>
      <w:marTop w:val="0"/>
      <w:marBottom w:val="0"/>
      <w:divBdr>
        <w:top w:val="none" w:sz="0" w:space="0" w:color="auto"/>
        <w:left w:val="none" w:sz="0" w:space="0" w:color="auto"/>
        <w:bottom w:val="none" w:sz="0" w:space="0" w:color="auto"/>
        <w:right w:val="none" w:sz="0" w:space="0" w:color="auto"/>
      </w:divBdr>
    </w:div>
    <w:div w:id="273485340">
      <w:bodyDiv w:val="1"/>
      <w:marLeft w:val="0"/>
      <w:marRight w:val="0"/>
      <w:marTop w:val="0"/>
      <w:marBottom w:val="0"/>
      <w:divBdr>
        <w:top w:val="none" w:sz="0" w:space="0" w:color="auto"/>
        <w:left w:val="none" w:sz="0" w:space="0" w:color="auto"/>
        <w:bottom w:val="none" w:sz="0" w:space="0" w:color="auto"/>
        <w:right w:val="none" w:sz="0" w:space="0" w:color="auto"/>
      </w:divBdr>
    </w:div>
    <w:div w:id="274413767">
      <w:bodyDiv w:val="1"/>
      <w:marLeft w:val="0"/>
      <w:marRight w:val="0"/>
      <w:marTop w:val="0"/>
      <w:marBottom w:val="0"/>
      <w:divBdr>
        <w:top w:val="none" w:sz="0" w:space="0" w:color="auto"/>
        <w:left w:val="none" w:sz="0" w:space="0" w:color="auto"/>
        <w:bottom w:val="none" w:sz="0" w:space="0" w:color="auto"/>
        <w:right w:val="none" w:sz="0" w:space="0" w:color="auto"/>
      </w:divBdr>
    </w:div>
    <w:div w:id="274870493">
      <w:bodyDiv w:val="1"/>
      <w:marLeft w:val="0"/>
      <w:marRight w:val="0"/>
      <w:marTop w:val="0"/>
      <w:marBottom w:val="0"/>
      <w:divBdr>
        <w:top w:val="none" w:sz="0" w:space="0" w:color="auto"/>
        <w:left w:val="none" w:sz="0" w:space="0" w:color="auto"/>
        <w:bottom w:val="none" w:sz="0" w:space="0" w:color="auto"/>
        <w:right w:val="none" w:sz="0" w:space="0" w:color="auto"/>
      </w:divBdr>
    </w:div>
    <w:div w:id="275409133">
      <w:bodyDiv w:val="1"/>
      <w:marLeft w:val="0"/>
      <w:marRight w:val="0"/>
      <w:marTop w:val="0"/>
      <w:marBottom w:val="0"/>
      <w:divBdr>
        <w:top w:val="none" w:sz="0" w:space="0" w:color="auto"/>
        <w:left w:val="none" w:sz="0" w:space="0" w:color="auto"/>
        <w:bottom w:val="none" w:sz="0" w:space="0" w:color="auto"/>
        <w:right w:val="none" w:sz="0" w:space="0" w:color="auto"/>
      </w:divBdr>
    </w:div>
    <w:div w:id="275798570">
      <w:bodyDiv w:val="1"/>
      <w:marLeft w:val="0"/>
      <w:marRight w:val="0"/>
      <w:marTop w:val="0"/>
      <w:marBottom w:val="0"/>
      <w:divBdr>
        <w:top w:val="none" w:sz="0" w:space="0" w:color="auto"/>
        <w:left w:val="none" w:sz="0" w:space="0" w:color="auto"/>
        <w:bottom w:val="none" w:sz="0" w:space="0" w:color="auto"/>
        <w:right w:val="none" w:sz="0" w:space="0" w:color="auto"/>
      </w:divBdr>
    </w:div>
    <w:div w:id="276765813">
      <w:bodyDiv w:val="1"/>
      <w:marLeft w:val="0"/>
      <w:marRight w:val="0"/>
      <w:marTop w:val="0"/>
      <w:marBottom w:val="0"/>
      <w:divBdr>
        <w:top w:val="none" w:sz="0" w:space="0" w:color="auto"/>
        <w:left w:val="none" w:sz="0" w:space="0" w:color="auto"/>
        <w:bottom w:val="none" w:sz="0" w:space="0" w:color="auto"/>
        <w:right w:val="none" w:sz="0" w:space="0" w:color="auto"/>
      </w:divBdr>
    </w:div>
    <w:div w:id="277686931">
      <w:bodyDiv w:val="1"/>
      <w:marLeft w:val="0"/>
      <w:marRight w:val="0"/>
      <w:marTop w:val="0"/>
      <w:marBottom w:val="0"/>
      <w:divBdr>
        <w:top w:val="none" w:sz="0" w:space="0" w:color="auto"/>
        <w:left w:val="none" w:sz="0" w:space="0" w:color="auto"/>
        <w:bottom w:val="none" w:sz="0" w:space="0" w:color="auto"/>
        <w:right w:val="none" w:sz="0" w:space="0" w:color="auto"/>
      </w:divBdr>
    </w:div>
    <w:div w:id="278220494">
      <w:bodyDiv w:val="1"/>
      <w:marLeft w:val="0"/>
      <w:marRight w:val="0"/>
      <w:marTop w:val="0"/>
      <w:marBottom w:val="0"/>
      <w:divBdr>
        <w:top w:val="none" w:sz="0" w:space="0" w:color="auto"/>
        <w:left w:val="none" w:sz="0" w:space="0" w:color="auto"/>
        <w:bottom w:val="none" w:sz="0" w:space="0" w:color="auto"/>
        <w:right w:val="none" w:sz="0" w:space="0" w:color="auto"/>
      </w:divBdr>
    </w:div>
    <w:div w:id="280573047">
      <w:bodyDiv w:val="1"/>
      <w:marLeft w:val="0"/>
      <w:marRight w:val="0"/>
      <w:marTop w:val="0"/>
      <w:marBottom w:val="0"/>
      <w:divBdr>
        <w:top w:val="none" w:sz="0" w:space="0" w:color="auto"/>
        <w:left w:val="none" w:sz="0" w:space="0" w:color="auto"/>
        <w:bottom w:val="none" w:sz="0" w:space="0" w:color="auto"/>
        <w:right w:val="none" w:sz="0" w:space="0" w:color="auto"/>
      </w:divBdr>
    </w:div>
    <w:div w:id="280694185">
      <w:bodyDiv w:val="1"/>
      <w:marLeft w:val="0"/>
      <w:marRight w:val="0"/>
      <w:marTop w:val="0"/>
      <w:marBottom w:val="0"/>
      <w:divBdr>
        <w:top w:val="none" w:sz="0" w:space="0" w:color="auto"/>
        <w:left w:val="none" w:sz="0" w:space="0" w:color="auto"/>
        <w:bottom w:val="none" w:sz="0" w:space="0" w:color="auto"/>
        <w:right w:val="none" w:sz="0" w:space="0" w:color="auto"/>
      </w:divBdr>
    </w:div>
    <w:div w:id="281034820">
      <w:bodyDiv w:val="1"/>
      <w:marLeft w:val="0"/>
      <w:marRight w:val="0"/>
      <w:marTop w:val="0"/>
      <w:marBottom w:val="0"/>
      <w:divBdr>
        <w:top w:val="none" w:sz="0" w:space="0" w:color="auto"/>
        <w:left w:val="none" w:sz="0" w:space="0" w:color="auto"/>
        <w:bottom w:val="none" w:sz="0" w:space="0" w:color="auto"/>
        <w:right w:val="none" w:sz="0" w:space="0" w:color="auto"/>
      </w:divBdr>
    </w:div>
    <w:div w:id="281158353">
      <w:bodyDiv w:val="1"/>
      <w:marLeft w:val="0"/>
      <w:marRight w:val="0"/>
      <w:marTop w:val="0"/>
      <w:marBottom w:val="0"/>
      <w:divBdr>
        <w:top w:val="none" w:sz="0" w:space="0" w:color="auto"/>
        <w:left w:val="none" w:sz="0" w:space="0" w:color="auto"/>
        <w:bottom w:val="none" w:sz="0" w:space="0" w:color="auto"/>
        <w:right w:val="none" w:sz="0" w:space="0" w:color="auto"/>
      </w:divBdr>
    </w:div>
    <w:div w:id="281809525">
      <w:bodyDiv w:val="1"/>
      <w:marLeft w:val="0"/>
      <w:marRight w:val="0"/>
      <w:marTop w:val="0"/>
      <w:marBottom w:val="0"/>
      <w:divBdr>
        <w:top w:val="none" w:sz="0" w:space="0" w:color="auto"/>
        <w:left w:val="none" w:sz="0" w:space="0" w:color="auto"/>
        <w:bottom w:val="none" w:sz="0" w:space="0" w:color="auto"/>
        <w:right w:val="none" w:sz="0" w:space="0" w:color="auto"/>
      </w:divBdr>
    </w:div>
    <w:div w:id="282621097">
      <w:bodyDiv w:val="1"/>
      <w:marLeft w:val="0"/>
      <w:marRight w:val="0"/>
      <w:marTop w:val="0"/>
      <w:marBottom w:val="0"/>
      <w:divBdr>
        <w:top w:val="none" w:sz="0" w:space="0" w:color="auto"/>
        <w:left w:val="none" w:sz="0" w:space="0" w:color="auto"/>
        <w:bottom w:val="none" w:sz="0" w:space="0" w:color="auto"/>
        <w:right w:val="none" w:sz="0" w:space="0" w:color="auto"/>
      </w:divBdr>
    </w:div>
    <w:div w:id="284893872">
      <w:bodyDiv w:val="1"/>
      <w:marLeft w:val="0"/>
      <w:marRight w:val="0"/>
      <w:marTop w:val="0"/>
      <w:marBottom w:val="0"/>
      <w:divBdr>
        <w:top w:val="none" w:sz="0" w:space="0" w:color="auto"/>
        <w:left w:val="none" w:sz="0" w:space="0" w:color="auto"/>
        <w:bottom w:val="none" w:sz="0" w:space="0" w:color="auto"/>
        <w:right w:val="none" w:sz="0" w:space="0" w:color="auto"/>
      </w:divBdr>
    </w:div>
    <w:div w:id="284969365">
      <w:bodyDiv w:val="1"/>
      <w:marLeft w:val="0"/>
      <w:marRight w:val="0"/>
      <w:marTop w:val="0"/>
      <w:marBottom w:val="0"/>
      <w:divBdr>
        <w:top w:val="none" w:sz="0" w:space="0" w:color="auto"/>
        <w:left w:val="none" w:sz="0" w:space="0" w:color="auto"/>
        <w:bottom w:val="none" w:sz="0" w:space="0" w:color="auto"/>
        <w:right w:val="none" w:sz="0" w:space="0" w:color="auto"/>
      </w:divBdr>
    </w:div>
    <w:div w:id="285745737">
      <w:bodyDiv w:val="1"/>
      <w:marLeft w:val="0"/>
      <w:marRight w:val="0"/>
      <w:marTop w:val="0"/>
      <w:marBottom w:val="0"/>
      <w:divBdr>
        <w:top w:val="none" w:sz="0" w:space="0" w:color="auto"/>
        <w:left w:val="none" w:sz="0" w:space="0" w:color="auto"/>
        <w:bottom w:val="none" w:sz="0" w:space="0" w:color="auto"/>
        <w:right w:val="none" w:sz="0" w:space="0" w:color="auto"/>
      </w:divBdr>
    </w:div>
    <w:div w:id="285815864">
      <w:bodyDiv w:val="1"/>
      <w:marLeft w:val="0"/>
      <w:marRight w:val="0"/>
      <w:marTop w:val="0"/>
      <w:marBottom w:val="0"/>
      <w:divBdr>
        <w:top w:val="none" w:sz="0" w:space="0" w:color="auto"/>
        <w:left w:val="none" w:sz="0" w:space="0" w:color="auto"/>
        <w:bottom w:val="none" w:sz="0" w:space="0" w:color="auto"/>
        <w:right w:val="none" w:sz="0" w:space="0" w:color="auto"/>
      </w:divBdr>
    </w:div>
    <w:div w:id="286006665">
      <w:bodyDiv w:val="1"/>
      <w:marLeft w:val="0"/>
      <w:marRight w:val="0"/>
      <w:marTop w:val="0"/>
      <w:marBottom w:val="0"/>
      <w:divBdr>
        <w:top w:val="none" w:sz="0" w:space="0" w:color="auto"/>
        <w:left w:val="none" w:sz="0" w:space="0" w:color="auto"/>
        <w:bottom w:val="none" w:sz="0" w:space="0" w:color="auto"/>
        <w:right w:val="none" w:sz="0" w:space="0" w:color="auto"/>
      </w:divBdr>
    </w:div>
    <w:div w:id="287705759">
      <w:bodyDiv w:val="1"/>
      <w:marLeft w:val="0"/>
      <w:marRight w:val="0"/>
      <w:marTop w:val="0"/>
      <w:marBottom w:val="0"/>
      <w:divBdr>
        <w:top w:val="none" w:sz="0" w:space="0" w:color="auto"/>
        <w:left w:val="none" w:sz="0" w:space="0" w:color="auto"/>
        <w:bottom w:val="none" w:sz="0" w:space="0" w:color="auto"/>
        <w:right w:val="none" w:sz="0" w:space="0" w:color="auto"/>
      </w:divBdr>
    </w:div>
    <w:div w:id="287858160">
      <w:bodyDiv w:val="1"/>
      <w:marLeft w:val="0"/>
      <w:marRight w:val="0"/>
      <w:marTop w:val="0"/>
      <w:marBottom w:val="0"/>
      <w:divBdr>
        <w:top w:val="none" w:sz="0" w:space="0" w:color="auto"/>
        <w:left w:val="none" w:sz="0" w:space="0" w:color="auto"/>
        <w:bottom w:val="none" w:sz="0" w:space="0" w:color="auto"/>
        <w:right w:val="none" w:sz="0" w:space="0" w:color="auto"/>
      </w:divBdr>
    </w:div>
    <w:div w:id="287905220">
      <w:bodyDiv w:val="1"/>
      <w:marLeft w:val="0"/>
      <w:marRight w:val="0"/>
      <w:marTop w:val="0"/>
      <w:marBottom w:val="0"/>
      <w:divBdr>
        <w:top w:val="none" w:sz="0" w:space="0" w:color="auto"/>
        <w:left w:val="none" w:sz="0" w:space="0" w:color="auto"/>
        <w:bottom w:val="none" w:sz="0" w:space="0" w:color="auto"/>
        <w:right w:val="none" w:sz="0" w:space="0" w:color="auto"/>
      </w:divBdr>
    </w:div>
    <w:div w:id="289943373">
      <w:bodyDiv w:val="1"/>
      <w:marLeft w:val="0"/>
      <w:marRight w:val="0"/>
      <w:marTop w:val="0"/>
      <w:marBottom w:val="0"/>
      <w:divBdr>
        <w:top w:val="none" w:sz="0" w:space="0" w:color="auto"/>
        <w:left w:val="none" w:sz="0" w:space="0" w:color="auto"/>
        <w:bottom w:val="none" w:sz="0" w:space="0" w:color="auto"/>
        <w:right w:val="none" w:sz="0" w:space="0" w:color="auto"/>
      </w:divBdr>
    </w:div>
    <w:div w:id="290290615">
      <w:bodyDiv w:val="1"/>
      <w:marLeft w:val="0"/>
      <w:marRight w:val="0"/>
      <w:marTop w:val="0"/>
      <w:marBottom w:val="0"/>
      <w:divBdr>
        <w:top w:val="none" w:sz="0" w:space="0" w:color="auto"/>
        <w:left w:val="none" w:sz="0" w:space="0" w:color="auto"/>
        <w:bottom w:val="none" w:sz="0" w:space="0" w:color="auto"/>
        <w:right w:val="none" w:sz="0" w:space="0" w:color="auto"/>
      </w:divBdr>
    </w:div>
    <w:div w:id="294533740">
      <w:bodyDiv w:val="1"/>
      <w:marLeft w:val="0"/>
      <w:marRight w:val="0"/>
      <w:marTop w:val="0"/>
      <w:marBottom w:val="0"/>
      <w:divBdr>
        <w:top w:val="none" w:sz="0" w:space="0" w:color="auto"/>
        <w:left w:val="none" w:sz="0" w:space="0" w:color="auto"/>
        <w:bottom w:val="none" w:sz="0" w:space="0" w:color="auto"/>
        <w:right w:val="none" w:sz="0" w:space="0" w:color="auto"/>
      </w:divBdr>
    </w:div>
    <w:div w:id="294607610">
      <w:bodyDiv w:val="1"/>
      <w:marLeft w:val="0"/>
      <w:marRight w:val="0"/>
      <w:marTop w:val="0"/>
      <w:marBottom w:val="0"/>
      <w:divBdr>
        <w:top w:val="none" w:sz="0" w:space="0" w:color="auto"/>
        <w:left w:val="none" w:sz="0" w:space="0" w:color="auto"/>
        <w:bottom w:val="none" w:sz="0" w:space="0" w:color="auto"/>
        <w:right w:val="none" w:sz="0" w:space="0" w:color="auto"/>
      </w:divBdr>
    </w:div>
    <w:div w:id="295067887">
      <w:bodyDiv w:val="1"/>
      <w:marLeft w:val="0"/>
      <w:marRight w:val="0"/>
      <w:marTop w:val="0"/>
      <w:marBottom w:val="0"/>
      <w:divBdr>
        <w:top w:val="none" w:sz="0" w:space="0" w:color="auto"/>
        <w:left w:val="none" w:sz="0" w:space="0" w:color="auto"/>
        <w:bottom w:val="none" w:sz="0" w:space="0" w:color="auto"/>
        <w:right w:val="none" w:sz="0" w:space="0" w:color="auto"/>
      </w:divBdr>
    </w:div>
    <w:div w:id="295113783">
      <w:bodyDiv w:val="1"/>
      <w:marLeft w:val="0"/>
      <w:marRight w:val="0"/>
      <w:marTop w:val="0"/>
      <w:marBottom w:val="0"/>
      <w:divBdr>
        <w:top w:val="none" w:sz="0" w:space="0" w:color="auto"/>
        <w:left w:val="none" w:sz="0" w:space="0" w:color="auto"/>
        <w:bottom w:val="none" w:sz="0" w:space="0" w:color="auto"/>
        <w:right w:val="none" w:sz="0" w:space="0" w:color="auto"/>
      </w:divBdr>
    </w:div>
    <w:div w:id="295721621">
      <w:bodyDiv w:val="1"/>
      <w:marLeft w:val="0"/>
      <w:marRight w:val="0"/>
      <w:marTop w:val="0"/>
      <w:marBottom w:val="0"/>
      <w:divBdr>
        <w:top w:val="none" w:sz="0" w:space="0" w:color="auto"/>
        <w:left w:val="none" w:sz="0" w:space="0" w:color="auto"/>
        <w:bottom w:val="none" w:sz="0" w:space="0" w:color="auto"/>
        <w:right w:val="none" w:sz="0" w:space="0" w:color="auto"/>
      </w:divBdr>
    </w:div>
    <w:div w:id="298077514">
      <w:bodyDiv w:val="1"/>
      <w:marLeft w:val="0"/>
      <w:marRight w:val="0"/>
      <w:marTop w:val="0"/>
      <w:marBottom w:val="0"/>
      <w:divBdr>
        <w:top w:val="none" w:sz="0" w:space="0" w:color="auto"/>
        <w:left w:val="none" w:sz="0" w:space="0" w:color="auto"/>
        <w:bottom w:val="none" w:sz="0" w:space="0" w:color="auto"/>
        <w:right w:val="none" w:sz="0" w:space="0" w:color="auto"/>
      </w:divBdr>
    </w:div>
    <w:div w:id="298457228">
      <w:bodyDiv w:val="1"/>
      <w:marLeft w:val="0"/>
      <w:marRight w:val="0"/>
      <w:marTop w:val="0"/>
      <w:marBottom w:val="0"/>
      <w:divBdr>
        <w:top w:val="none" w:sz="0" w:space="0" w:color="auto"/>
        <w:left w:val="none" w:sz="0" w:space="0" w:color="auto"/>
        <w:bottom w:val="none" w:sz="0" w:space="0" w:color="auto"/>
        <w:right w:val="none" w:sz="0" w:space="0" w:color="auto"/>
      </w:divBdr>
    </w:div>
    <w:div w:id="298650064">
      <w:bodyDiv w:val="1"/>
      <w:marLeft w:val="0"/>
      <w:marRight w:val="0"/>
      <w:marTop w:val="0"/>
      <w:marBottom w:val="0"/>
      <w:divBdr>
        <w:top w:val="none" w:sz="0" w:space="0" w:color="auto"/>
        <w:left w:val="none" w:sz="0" w:space="0" w:color="auto"/>
        <w:bottom w:val="none" w:sz="0" w:space="0" w:color="auto"/>
        <w:right w:val="none" w:sz="0" w:space="0" w:color="auto"/>
      </w:divBdr>
    </w:div>
    <w:div w:id="298729794">
      <w:bodyDiv w:val="1"/>
      <w:marLeft w:val="0"/>
      <w:marRight w:val="0"/>
      <w:marTop w:val="0"/>
      <w:marBottom w:val="0"/>
      <w:divBdr>
        <w:top w:val="none" w:sz="0" w:space="0" w:color="auto"/>
        <w:left w:val="none" w:sz="0" w:space="0" w:color="auto"/>
        <w:bottom w:val="none" w:sz="0" w:space="0" w:color="auto"/>
        <w:right w:val="none" w:sz="0" w:space="0" w:color="auto"/>
      </w:divBdr>
    </w:div>
    <w:div w:id="299114870">
      <w:bodyDiv w:val="1"/>
      <w:marLeft w:val="0"/>
      <w:marRight w:val="0"/>
      <w:marTop w:val="0"/>
      <w:marBottom w:val="0"/>
      <w:divBdr>
        <w:top w:val="none" w:sz="0" w:space="0" w:color="auto"/>
        <w:left w:val="none" w:sz="0" w:space="0" w:color="auto"/>
        <w:bottom w:val="none" w:sz="0" w:space="0" w:color="auto"/>
        <w:right w:val="none" w:sz="0" w:space="0" w:color="auto"/>
      </w:divBdr>
    </w:div>
    <w:div w:id="299379973">
      <w:bodyDiv w:val="1"/>
      <w:marLeft w:val="0"/>
      <w:marRight w:val="0"/>
      <w:marTop w:val="0"/>
      <w:marBottom w:val="0"/>
      <w:divBdr>
        <w:top w:val="none" w:sz="0" w:space="0" w:color="auto"/>
        <w:left w:val="none" w:sz="0" w:space="0" w:color="auto"/>
        <w:bottom w:val="none" w:sz="0" w:space="0" w:color="auto"/>
        <w:right w:val="none" w:sz="0" w:space="0" w:color="auto"/>
      </w:divBdr>
    </w:div>
    <w:div w:id="299382632">
      <w:bodyDiv w:val="1"/>
      <w:marLeft w:val="0"/>
      <w:marRight w:val="0"/>
      <w:marTop w:val="0"/>
      <w:marBottom w:val="0"/>
      <w:divBdr>
        <w:top w:val="none" w:sz="0" w:space="0" w:color="auto"/>
        <w:left w:val="none" w:sz="0" w:space="0" w:color="auto"/>
        <w:bottom w:val="none" w:sz="0" w:space="0" w:color="auto"/>
        <w:right w:val="none" w:sz="0" w:space="0" w:color="auto"/>
      </w:divBdr>
    </w:div>
    <w:div w:id="300619841">
      <w:bodyDiv w:val="1"/>
      <w:marLeft w:val="0"/>
      <w:marRight w:val="0"/>
      <w:marTop w:val="0"/>
      <w:marBottom w:val="0"/>
      <w:divBdr>
        <w:top w:val="none" w:sz="0" w:space="0" w:color="auto"/>
        <w:left w:val="none" w:sz="0" w:space="0" w:color="auto"/>
        <w:bottom w:val="none" w:sz="0" w:space="0" w:color="auto"/>
        <w:right w:val="none" w:sz="0" w:space="0" w:color="auto"/>
      </w:divBdr>
    </w:div>
    <w:div w:id="300967352">
      <w:bodyDiv w:val="1"/>
      <w:marLeft w:val="0"/>
      <w:marRight w:val="0"/>
      <w:marTop w:val="0"/>
      <w:marBottom w:val="0"/>
      <w:divBdr>
        <w:top w:val="none" w:sz="0" w:space="0" w:color="auto"/>
        <w:left w:val="none" w:sz="0" w:space="0" w:color="auto"/>
        <w:bottom w:val="none" w:sz="0" w:space="0" w:color="auto"/>
        <w:right w:val="none" w:sz="0" w:space="0" w:color="auto"/>
      </w:divBdr>
    </w:div>
    <w:div w:id="301694349">
      <w:bodyDiv w:val="1"/>
      <w:marLeft w:val="0"/>
      <w:marRight w:val="0"/>
      <w:marTop w:val="0"/>
      <w:marBottom w:val="0"/>
      <w:divBdr>
        <w:top w:val="none" w:sz="0" w:space="0" w:color="auto"/>
        <w:left w:val="none" w:sz="0" w:space="0" w:color="auto"/>
        <w:bottom w:val="none" w:sz="0" w:space="0" w:color="auto"/>
        <w:right w:val="none" w:sz="0" w:space="0" w:color="auto"/>
      </w:divBdr>
    </w:div>
    <w:div w:id="301814583">
      <w:bodyDiv w:val="1"/>
      <w:marLeft w:val="0"/>
      <w:marRight w:val="0"/>
      <w:marTop w:val="0"/>
      <w:marBottom w:val="0"/>
      <w:divBdr>
        <w:top w:val="none" w:sz="0" w:space="0" w:color="auto"/>
        <w:left w:val="none" w:sz="0" w:space="0" w:color="auto"/>
        <w:bottom w:val="none" w:sz="0" w:space="0" w:color="auto"/>
        <w:right w:val="none" w:sz="0" w:space="0" w:color="auto"/>
      </w:divBdr>
    </w:div>
    <w:div w:id="302003481">
      <w:bodyDiv w:val="1"/>
      <w:marLeft w:val="0"/>
      <w:marRight w:val="0"/>
      <w:marTop w:val="0"/>
      <w:marBottom w:val="0"/>
      <w:divBdr>
        <w:top w:val="none" w:sz="0" w:space="0" w:color="auto"/>
        <w:left w:val="none" w:sz="0" w:space="0" w:color="auto"/>
        <w:bottom w:val="none" w:sz="0" w:space="0" w:color="auto"/>
        <w:right w:val="none" w:sz="0" w:space="0" w:color="auto"/>
      </w:divBdr>
    </w:div>
    <w:div w:id="303510339">
      <w:bodyDiv w:val="1"/>
      <w:marLeft w:val="0"/>
      <w:marRight w:val="0"/>
      <w:marTop w:val="0"/>
      <w:marBottom w:val="0"/>
      <w:divBdr>
        <w:top w:val="none" w:sz="0" w:space="0" w:color="auto"/>
        <w:left w:val="none" w:sz="0" w:space="0" w:color="auto"/>
        <w:bottom w:val="none" w:sz="0" w:space="0" w:color="auto"/>
        <w:right w:val="none" w:sz="0" w:space="0" w:color="auto"/>
      </w:divBdr>
    </w:div>
    <w:div w:id="303580955">
      <w:bodyDiv w:val="1"/>
      <w:marLeft w:val="0"/>
      <w:marRight w:val="0"/>
      <w:marTop w:val="0"/>
      <w:marBottom w:val="0"/>
      <w:divBdr>
        <w:top w:val="none" w:sz="0" w:space="0" w:color="auto"/>
        <w:left w:val="none" w:sz="0" w:space="0" w:color="auto"/>
        <w:bottom w:val="none" w:sz="0" w:space="0" w:color="auto"/>
        <w:right w:val="none" w:sz="0" w:space="0" w:color="auto"/>
      </w:divBdr>
    </w:div>
    <w:div w:id="303781982">
      <w:bodyDiv w:val="1"/>
      <w:marLeft w:val="0"/>
      <w:marRight w:val="0"/>
      <w:marTop w:val="0"/>
      <w:marBottom w:val="0"/>
      <w:divBdr>
        <w:top w:val="none" w:sz="0" w:space="0" w:color="auto"/>
        <w:left w:val="none" w:sz="0" w:space="0" w:color="auto"/>
        <w:bottom w:val="none" w:sz="0" w:space="0" w:color="auto"/>
        <w:right w:val="none" w:sz="0" w:space="0" w:color="auto"/>
      </w:divBdr>
    </w:div>
    <w:div w:id="303893982">
      <w:bodyDiv w:val="1"/>
      <w:marLeft w:val="0"/>
      <w:marRight w:val="0"/>
      <w:marTop w:val="0"/>
      <w:marBottom w:val="0"/>
      <w:divBdr>
        <w:top w:val="none" w:sz="0" w:space="0" w:color="auto"/>
        <w:left w:val="none" w:sz="0" w:space="0" w:color="auto"/>
        <w:bottom w:val="none" w:sz="0" w:space="0" w:color="auto"/>
        <w:right w:val="none" w:sz="0" w:space="0" w:color="auto"/>
      </w:divBdr>
    </w:div>
    <w:div w:id="304359536">
      <w:bodyDiv w:val="1"/>
      <w:marLeft w:val="0"/>
      <w:marRight w:val="0"/>
      <w:marTop w:val="0"/>
      <w:marBottom w:val="0"/>
      <w:divBdr>
        <w:top w:val="none" w:sz="0" w:space="0" w:color="auto"/>
        <w:left w:val="none" w:sz="0" w:space="0" w:color="auto"/>
        <w:bottom w:val="none" w:sz="0" w:space="0" w:color="auto"/>
        <w:right w:val="none" w:sz="0" w:space="0" w:color="auto"/>
      </w:divBdr>
    </w:div>
    <w:div w:id="306251643">
      <w:bodyDiv w:val="1"/>
      <w:marLeft w:val="0"/>
      <w:marRight w:val="0"/>
      <w:marTop w:val="0"/>
      <w:marBottom w:val="0"/>
      <w:divBdr>
        <w:top w:val="none" w:sz="0" w:space="0" w:color="auto"/>
        <w:left w:val="none" w:sz="0" w:space="0" w:color="auto"/>
        <w:bottom w:val="none" w:sz="0" w:space="0" w:color="auto"/>
        <w:right w:val="none" w:sz="0" w:space="0" w:color="auto"/>
      </w:divBdr>
    </w:div>
    <w:div w:id="306905321">
      <w:bodyDiv w:val="1"/>
      <w:marLeft w:val="0"/>
      <w:marRight w:val="0"/>
      <w:marTop w:val="0"/>
      <w:marBottom w:val="0"/>
      <w:divBdr>
        <w:top w:val="none" w:sz="0" w:space="0" w:color="auto"/>
        <w:left w:val="none" w:sz="0" w:space="0" w:color="auto"/>
        <w:bottom w:val="none" w:sz="0" w:space="0" w:color="auto"/>
        <w:right w:val="none" w:sz="0" w:space="0" w:color="auto"/>
      </w:divBdr>
    </w:div>
    <w:div w:id="306975464">
      <w:bodyDiv w:val="1"/>
      <w:marLeft w:val="0"/>
      <w:marRight w:val="0"/>
      <w:marTop w:val="0"/>
      <w:marBottom w:val="0"/>
      <w:divBdr>
        <w:top w:val="none" w:sz="0" w:space="0" w:color="auto"/>
        <w:left w:val="none" w:sz="0" w:space="0" w:color="auto"/>
        <w:bottom w:val="none" w:sz="0" w:space="0" w:color="auto"/>
        <w:right w:val="none" w:sz="0" w:space="0" w:color="auto"/>
      </w:divBdr>
    </w:div>
    <w:div w:id="307983157">
      <w:bodyDiv w:val="1"/>
      <w:marLeft w:val="0"/>
      <w:marRight w:val="0"/>
      <w:marTop w:val="0"/>
      <w:marBottom w:val="0"/>
      <w:divBdr>
        <w:top w:val="none" w:sz="0" w:space="0" w:color="auto"/>
        <w:left w:val="none" w:sz="0" w:space="0" w:color="auto"/>
        <w:bottom w:val="none" w:sz="0" w:space="0" w:color="auto"/>
        <w:right w:val="none" w:sz="0" w:space="0" w:color="auto"/>
      </w:divBdr>
    </w:div>
    <w:div w:id="308368339">
      <w:bodyDiv w:val="1"/>
      <w:marLeft w:val="0"/>
      <w:marRight w:val="0"/>
      <w:marTop w:val="0"/>
      <w:marBottom w:val="0"/>
      <w:divBdr>
        <w:top w:val="none" w:sz="0" w:space="0" w:color="auto"/>
        <w:left w:val="none" w:sz="0" w:space="0" w:color="auto"/>
        <w:bottom w:val="none" w:sz="0" w:space="0" w:color="auto"/>
        <w:right w:val="none" w:sz="0" w:space="0" w:color="auto"/>
      </w:divBdr>
    </w:div>
    <w:div w:id="310595287">
      <w:bodyDiv w:val="1"/>
      <w:marLeft w:val="0"/>
      <w:marRight w:val="0"/>
      <w:marTop w:val="0"/>
      <w:marBottom w:val="0"/>
      <w:divBdr>
        <w:top w:val="none" w:sz="0" w:space="0" w:color="auto"/>
        <w:left w:val="none" w:sz="0" w:space="0" w:color="auto"/>
        <w:bottom w:val="none" w:sz="0" w:space="0" w:color="auto"/>
        <w:right w:val="none" w:sz="0" w:space="0" w:color="auto"/>
      </w:divBdr>
    </w:div>
    <w:div w:id="312877093">
      <w:bodyDiv w:val="1"/>
      <w:marLeft w:val="0"/>
      <w:marRight w:val="0"/>
      <w:marTop w:val="0"/>
      <w:marBottom w:val="0"/>
      <w:divBdr>
        <w:top w:val="none" w:sz="0" w:space="0" w:color="auto"/>
        <w:left w:val="none" w:sz="0" w:space="0" w:color="auto"/>
        <w:bottom w:val="none" w:sz="0" w:space="0" w:color="auto"/>
        <w:right w:val="none" w:sz="0" w:space="0" w:color="auto"/>
      </w:divBdr>
    </w:div>
    <w:div w:id="313216687">
      <w:bodyDiv w:val="1"/>
      <w:marLeft w:val="0"/>
      <w:marRight w:val="0"/>
      <w:marTop w:val="0"/>
      <w:marBottom w:val="0"/>
      <w:divBdr>
        <w:top w:val="none" w:sz="0" w:space="0" w:color="auto"/>
        <w:left w:val="none" w:sz="0" w:space="0" w:color="auto"/>
        <w:bottom w:val="none" w:sz="0" w:space="0" w:color="auto"/>
        <w:right w:val="none" w:sz="0" w:space="0" w:color="auto"/>
      </w:divBdr>
    </w:div>
    <w:div w:id="314339367">
      <w:bodyDiv w:val="1"/>
      <w:marLeft w:val="0"/>
      <w:marRight w:val="0"/>
      <w:marTop w:val="0"/>
      <w:marBottom w:val="0"/>
      <w:divBdr>
        <w:top w:val="none" w:sz="0" w:space="0" w:color="auto"/>
        <w:left w:val="none" w:sz="0" w:space="0" w:color="auto"/>
        <w:bottom w:val="none" w:sz="0" w:space="0" w:color="auto"/>
        <w:right w:val="none" w:sz="0" w:space="0" w:color="auto"/>
      </w:divBdr>
    </w:div>
    <w:div w:id="314724161">
      <w:bodyDiv w:val="1"/>
      <w:marLeft w:val="0"/>
      <w:marRight w:val="0"/>
      <w:marTop w:val="0"/>
      <w:marBottom w:val="0"/>
      <w:divBdr>
        <w:top w:val="none" w:sz="0" w:space="0" w:color="auto"/>
        <w:left w:val="none" w:sz="0" w:space="0" w:color="auto"/>
        <w:bottom w:val="none" w:sz="0" w:space="0" w:color="auto"/>
        <w:right w:val="none" w:sz="0" w:space="0" w:color="auto"/>
      </w:divBdr>
    </w:div>
    <w:div w:id="315766090">
      <w:bodyDiv w:val="1"/>
      <w:marLeft w:val="0"/>
      <w:marRight w:val="0"/>
      <w:marTop w:val="0"/>
      <w:marBottom w:val="0"/>
      <w:divBdr>
        <w:top w:val="none" w:sz="0" w:space="0" w:color="auto"/>
        <w:left w:val="none" w:sz="0" w:space="0" w:color="auto"/>
        <w:bottom w:val="none" w:sz="0" w:space="0" w:color="auto"/>
        <w:right w:val="none" w:sz="0" w:space="0" w:color="auto"/>
      </w:divBdr>
    </w:div>
    <w:div w:id="316498174">
      <w:bodyDiv w:val="1"/>
      <w:marLeft w:val="0"/>
      <w:marRight w:val="0"/>
      <w:marTop w:val="0"/>
      <w:marBottom w:val="0"/>
      <w:divBdr>
        <w:top w:val="none" w:sz="0" w:space="0" w:color="auto"/>
        <w:left w:val="none" w:sz="0" w:space="0" w:color="auto"/>
        <w:bottom w:val="none" w:sz="0" w:space="0" w:color="auto"/>
        <w:right w:val="none" w:sz="0" w:space="0" w:color="auto"/>
      </w:divBdr>
    </w:div>
    <w:div w:id="316613734">
      <w:bodyDiv w:val="1"/>
      <w:marLeft w:val="0"/>
      <w:marRight w:val="0"/>
      <w:marTop w:val="0"/>
      <w:marBottom w:val="0"/>
      <w:divBdr>
        <w:top w:val="none" w:sz="0" w:space="0" w:color="auto"/>
        <w:left w:val="none" w:sz="0" w:space="0" w:color="auto"/>
        <w:bottom w:val="none" w:sz="0" w:space="0" w:color="auto"/>
        <w:right w:val="none" w:sz="0" w:space="0" w:color="auto"/>
      </w:divBdr>
    </w:div>
    <w:div w:id="317880381">
      <w:bodyDiv w:val="1"/>
      <w:marLeft w:val="0"/>
      <w:marRight w:val="0"/>
      <w:marTop w:val="0"/>
      <w:marBottom w:val="0"/>
      <w:divBdr>
        <w:top w:val="none" w:sz="0" w:space="0" w:color="auto"/>
        <w:left w:val="none" w:sz="0" w:space="0" w:color="auto"/>
        <w:bottom w:val="none" w:sz="0" w:space="0" w:color="auto"/>
        <w:right w:val="none" w:sz="0" w:space="0" w:color="auto"/>
      </w:divBdr>
    </w:div>
    <w:div w:id="318074704">
      <w:bodyDiv w:val="1"/>
      <w:marLeft w:val="0"/>
      <w:marRight w:val="0"/>
      <w:marTop w:val="0"/>
      <w:marBottom w:val="0"/>
      <w:divBdr>
        <w:top w:val="none" w:sz="0" w:space="0" w:color="auto"/>
        <w:left w:val="none" w:sz="0" w:space="0" w:color="auto"/>
        <w:bottom w:val="none" w:sz="0" w:space="0" w:color="auto"/>
        <w:right w:val="none" w:sz="0" w:space="0" w:color="auto"/>
      </w:divBdr>
    </w:div>
    <w:div w:id="319389560">
      <w:bodyDiv w:val="1"/>
      <w:marLeft w:val="0"/>
      <w:marRight w:val="0"/>
      <w:marTop w:val="0"/>
      <w:marBottom w:val="0"/>
      <w:divBdr>
        <w:top w:val="none" w:sz="0" w:space="0" w:color="auto"/>
        <w:left w:val="none" w:sz="0" w:space="0" w:color="auto"/>
        <w:bottom w:val="none" w:sz="0" w:space="0" w:color="auto"/>
        <w:right w:val="none" w:sz="0" w:space="0" w:color="auto"/>
      </w:divBdr>
    </w:div>
    <w:div w:id="320041247">
      <w:bodyDiv w:val="1"/>
      <w:marLeft w:val="0"/>
      <w:marRight w:val="0"/>
      <w:marTop w:val="0"/>
      <w:marBottom w:val="0"/>
      <w:divBdr>
        <w:top w:val="none" w:sz="0" w:space="0" w:color="auto"/>
        <w:left w:val="none" w:sz="0" w:space="0" w:color="auto"/>
        <w:bottom w:val="none" w:sz="0" w:space="0" w:color="auto"/>
        <w:right w:val="none" w:sz="0" w:space="0" w:color="auto"/>
      </w:divBdr>
    </w:div>
    <w:div w:id="320084530">
      <w:bodyDiv w:val="1"/>
      <w:marLeft w:val="0"/>
      <w:marRight w:val="0"/>
      <w:marTop w:val="0"/>
      <w:marBottom w:val="0"/>
      <w:divBdr>
        <w:top w:val="none" w:sz="0" w:space="0" w:color="auto"/>
        <w:left w:val="none" w:sz="0" w:space="0" w:color="auto"/>
        <w:bottom w:val="none" w:sz="0" w:space="0" w:color="auto"/>
        <w:right w:val="none" w:sz="0" w:space="0" w:color="auto"/>
      </w:divBdr>
    </w:div>
    <w:div w:id="320743089">
      <w:bodyDiv w:val="1"/>
      <w:marLeft w:val="0"/>
      <w:marRight w:val="0"/>
      <w:marTop w:val="0"/>
      <w:marBottom w:val="0"/>
      <w:divBdr>
        <w:top w:val="none" w:sz="0" w:space="0" w:color="auto"/>
        <w:left w:val="none" w:sz="0" w:space="0" w:color="auto"/>
        <w:bottom w:val="none" w:sz="0" w:space="0" w:color="auto"/>
        <w:right w:val="none" w:sz="0" w:space="0" w:color="auto"/>
      </w:divBdr>
    </w:div>
    <w:div w:id="320743707">
      <w:bodyDiv w:val="1"/>
      <w:marLeft w:val="0"/>
      <w:marRight w:val="0"/>
      <w:marTop w:val="0"/>
      <w:marBottom w:val="0"/>
      <w:divBdr>
        <w:top w:val="none" w:sz="0" w:space="0" w:color="auto"/>
        <w:left w:val="none" w:sz="0" w:space="0" w:color="auto"/>
        <w:bottom w:val="none" w:sz="0" w:space="0" w:color="auto"/>
        <w:right w:val="none" w:sz="0" w:space="0" w:color="auto"/>
      </w:divBdr>
    </w:div>
    <w:div w:id="321785715">
      <w:bodyDiv w:val="1"/>
      <w:marLeft w:val="0"/>
      <w:marRight w:val="0"/>
      <w:marTop w:val="0"/>
      <w:marBottom w:val="0"/>
      <w:divBdr>
        <w:top w:val="none" w:sz="0" w:space="0" w:color="auto"/>
        <w:left w:val="none" w:sz="0" w:space="0" w:color="auto"/>
        <w:bottom w:val="none" w:sz="0" w:space="0" w:color="auto"/>
        <w:right w:val="none" w:sz="0" w:space="0" w:color="auto"/>
      </w:divBdr>
    </w:div>
    <w:div w:id="321810077">
      <w:bodyDiv w:val="1"/>
      <w:marLeft w:val="0"/>
      <w:marRight w:val="0"/>
      <w:marTop w:val="0"/>
      <w:marBottom w:val="0"/>
      <w:divBdr>
        <w:top w:val="none" w:sz="0" w:space="0" w:color="auto"/>
        <w:left w:val="none" w:sz="0" w:space="0" w:color="auto"/>
        <w:bottom w:val="none" w:sz="0" w:space="0" w:color="auto"/>
        <w:right w:val="none" w:sz="0" w:space="0" w:color="auto"/>
      </w:divBdr>
    </w:div>
    <w:div w:id="321852425">
      <w:bodyDiv w:val="1"/>
      <w:marLeft w:val="0"/>
      <w:marRight w:val="0"/>
      <w:marTop w:val="0"/>
      <w:marBottom w:val="0"/>
      <w:divBdr>
        <w:top w:val="none" w:sz="0" w:space="0" w:color="auto"/>
        <w:left w:val="none" w:sz="0" w:space="0" w:color="auto"/>
        <w:bottom w:val="none" w:sz="0" w:space="0" w:color="auto"/>
        <w:right w:val="none" w:sz="0" w:space="0" w:color="auto"/>
      </w:divBdr>
    </w:div>
    <w:div w:id="322046409">
      <w:bodyDiv w:val="1"/>
      <w:marLeft w:val="0"/>
      <w:marRight w:val="0"/>
      <w:marTop w:val="0"/>
      <w:marBottom w:val="0"/>
      <w:divBdr>
        <w:top w:val="none" w:sz="0" w:space="0" w:color="auto"/>
        <w:left w:val="none" w:sz="0" w:space="0" w:color="auto"/>
        <w:bottom w:val="none" w:sz="0" w:space="0" w:color="auto"/>
        <w:right w:val="none" w:sz="0" w:space="0" w:color="auto"/>
      </w:divBdr>
    </w:div>
    <w:div w:id="323172253">
      <w:bodyDiv w:val="1"/>
      <w:marLeft w:val="0"/>
      <w:marRight w:val="0"/>
      <w:marTop w:val="0"/>
      <w:marBottom w:val="0"/>
      <w:divBdr>
        <w:top w:val="none" w:sz="0" w:space="0" w:color="auto"/>
        <w:left w:val="none" w:sz="0" w:space="0" w:color="auto"/>
        <w:bottom w:val="none" w:sz="0" w:space="0" w:color="auto"/>
        <w:right w:val="none" w:sz="0" w:space="0" w:color="auto"/>
      </w:divBdr>
    </w:div>
    <w:div w:id="323820963">
      <w:bodyDiv w:val="1"/>
      <w:marLeft w:val="0"/>
      <w:marRight w:val="0"/>
      <w:marTop w:val="0"/>
      <w:marBottom w:val="0"/>
      <w:divBdr>
        <w:top w:val="none" w:sz="0" w:space="0" w:color="auto"/>
        <w:left w:val="none" w:sz="0" w:space="0" w:color="auto"/>
        <w:bottom w:val="none" w:sz="0" w:space="0" w:color="auto"/>
        <w:right w:val="none" w:sz="0" w:space="0" w:color="auto"/>
      </w:divBdr>
    </w:div>
    <w:div w:id="325867785">
      <w:bodyDiv w:val="1"/>
      <w:marLeft w:val="0"/>
      <w:marRight w:val="0"/>
      <w:marTop w:val="0"/>
      <w:marBottom w:val="0"/>
      <w:divBdr>
        <w:top w:val="none" w:sz="0" w:space="0" w:color="auto"/>
        <w:left w:val="none" w:sz="0" w:space="0" w:color="auto"/>
        <w:bottom w:val="none" w:sz="0" w:space="0" w:color="auto"/>
        <w:right w:val="none" w:sz="0" w:space="0" w:color="auto"/>
      </w:divBdr>
    </w:div>
    <w:div w:id="325911439">
      <w:bodyDiv w:val="1"/>
      <w:marLeft w:val="0"/>
      <w:marRight w:val="0"/>
      <w:marTop w:val="0"/>
      <w:marBottom w:val="0"/>
      <w:divBdr>
        <w:top w:val="none" w:sz="0" w:space="0" w:color="auto"/>
        <w:left w:val="none" w:sz="0" w:space="0" w:color="auto"/>
        <w:bottom w:val="none" w:sz="0" w:space="0" w:color="auto"/>
        <w:right w:val="none" w:sz="0" w:space="0" w:color="auto"/>
      </w:divBdr>
    </w:div>
    <w:div w:id="326904008">
      <w:bodyDiv w:val="1"/>
      <w:marLeft w:val="0"/>
      <w:marRight w:val="0"/>
      <w:marTop w:val="0"/>
      <w:marBottom w:val="0"/>
      <w:divBdr>
        <w:top w:val="none" w:sz="0" w:space="0" w:color="auto"/>
        <w:left w:val="none" w:sz="0" w:space="0" w:color="auto"/>
        <w:bottom w:val="none" w:sz="0" w:space="0" w:color="auto"/>
        <w:right w:val="none" w:sz="0" w:space="0" w:color="auto"/>
      </w:divBdr>
    </w:div>
    <w:div w:id="327947401">
      <w:bodyDiv w:val="1"/>
      <w:marLeft w:val="0"/>
      <w:marRight w:val="0"/>
      <w:marTop w:val="0"/>
      <w:marBottom w:val="0"/>
      <w:divBdr>
        <w:top w:val="none" w:sz="0" w:space="0" w:color="auto"/>
        <w:left w:val="none" w:sz="0" w:space="0" w:color="auto"/>
        <w:bottom w:val="none" w:sz="0" w:space="0" w:color="auto"/>
        <w:right w:val="none" w:sz="0" w:space="0" w:color="auto"/>
      </w:divBdr>
    </w:div>
    <w:div w:id="328144548">
      <w:bodyDiv w:val="1"/>
      <w:marLeft w:val="0"/>
      <w:marRight w:val="0"/>
      <w:marTop w:val="0"/>
      <w:marBottom w:val="0"/>
      <w:divBdr>
        <w:top w:val="none" w:sz="0" w:space="0" w:color="auto"/>
        <w:left w:val="none" w:sz="0" w:space="0" w:color="auto"/>
        <w:bottom w:val="none" w:sz="0" w:space="0" w:color="auto"/>
        <w:right w:val="none" w:sz="0" w:space="0" w:color="auto"/>
      </w:divBdr>
    </w:div>
    <w:div w:id="328867981">
      <w:bodyDiv w:val="1"/>
      <w:marLeft w:val="0"/>
      <w:marRight w:val="0"/>
      <w:marTop w:val="0"/>
      <w:marBottom w:val="0"/>
      <w:divBdr>
        <w:top w:val="none" w:sz="0" w:space="0" w:color="auto"/>
        <w:left w:val="none" w:sz="0" w:space="0" w:color="auto"/>
        <w:bottom w:val="none" w:sz="0" w:space="0" w:color="auto"/>
        <w:right w:val="none" w:sz="0" w:space="0" w:color="auto"/>
      </w:divBdr>
    </w:div>
    <w:div w:id="329717086">
      <w:bodyDiv w:val="1"/>
      <w:marLeft w:val="0"/>
      <w:marRight w:val="0"/>
      <w:marTop w:val="0"/>
      <w:marBottom w:val="0"/>
      <w:divBdr>
        <w:top w:val="none" w:sz="0" w:space="0" w:color="auto"/>
        <w:left w:val="none" w:sz="0" w:space="0" w:color="auto"/>
        <w:bottom w:val="none" w:sz="0" w:space="0" w:color="auto"/>
        <w:right w:val="none" w:sz="0" w:space="0" w:color="auto"/>
      </w:divBdr>
    </w:div>
    <w:div w:id="330644354">
      <w:bodyDiv w:val="1"/>
      <w:marLeft w:val="0"/>
      <w:marRight w:val="0"/>
      <w:marTop w:val="0"/>
      <w:marBottom w:val="0"/>
      <w:divBdr>
        <w:top w:val="none" w:sz="0" w:space="0" w:color="auto"/>
        <w:left w:val="none" w:sz="0" w:space="0" w:color="auto"/>
        <w:bottom w:val="none" w:sz="0" w:space="0" w:color="auto"/>
        <w:right w:val="none" w:sz="0" w:space="0" w:color="auto"/>
      </w:divBdr>
    </w:div>
    <w:div w:id="330957159">
      <w:bodyDiv w:val="1"/>
      <w:marLeft w:val="0"/>
      <w:marRight w:val="0"/>
      <w:marTop w:val="0"/>
      <w:marBottom w:val="0"/>
      <w:divBdr>
        <w:top w:val="none" w:sz="0" w:space="0" w:color="auto"/>
        <w:left w:val="none" w:sz="0" w:space="0" w:color="auto"/>
        <w:bottom w:val="none" w:sz="0" w:space="0" w:color="auto"/>
        <w:right w:val="none" w:sz="0" w:space="0" w:color="auto"/>
      </w:divBdr>
    </w:div>
    <w:div w:id="331110746">
      <w:bodyDiv w:val="1"/>
      <w:marLeft w:val="0"/>
      <w:marRight w:val="0"/>
      <w:marTop w:val="0"/>
      <w:marBottom w:val="0"/>
      <w:divBdr>
        <w:top w:val="none" w:sz="0" w:space="0" w:color="auto"/>
        <w:left w:val="none" w:sz="0" w:space="0" w:color="auto"/>
        <w:bottom w:val="none" w:sz="0" w:space="0" w:color="auto"/>
        <w:right w:val="none" w:sz="0" w:space="0" w:color="auto"/>
      </w:divBdr>
    </w:div>
    <w:div w:id="331379268">
      <w:bodyDiv w:val="1"/>
      <w:marLeft w:val="0"/>
      <w:marRight w:val="0"/>
      <w:marTop w:val="0"/>
      <w:marBottom w:val="0"/>
      <w:divBdr>
        <w:top w:val="none" w:sz="0" w:space="0" w:color="auto"/>
        <w:left w:val="none" w:sz="0" w:space="0" w:color="auto"/>
        <w:bottom w:val="none" w:sz="0" w:space="0" w:color="auto"/>
        <w:right w:val="none" w:sz="0" w:space="0" w:color="auto"/>
      </w:divBdr>
    </w:div>
    <w:div w:id="331416778">
      <w:bodyDiv w:val="1"/>
      <w:marLeft w:val="0"/>
      <w:marRight w:val="0"/>
      <w:marTop w:val="0"/>
      <w:marBottom w:val="0"/>
      <w:divBdr>
        <w:top w:val="none" w:sz="0" w:space="0" w:color="auto"/>
        <w:left w:val="none" w:sz="0" w:space="0" w:color="auto"/>
        <w:bottom w:val="none" w:sz="0" w:space="0" w:color="auto"/>
        <w:right w:val="none" w:sz="0" w:space="0" w:color="auto"/>
      </w:divBdr>
    </w:div>
    <w:div w:id="333579683">
      <w:bodyDiv w:val="1"/>
      <w:marLeft w:val="0"/>
      <w:marRight w:val="0"/>
      <w:marTop w:val="0"/>
      <w:marBottom w:val="0"/>
      <w:divBdr>
        <w:top w:val="none" w:sz="0" w:space="0" w:color="auto"/>
        <w:left w:val="none" w:sz="0" w:space="0" w:color="auto"/>
        <w:bottom w:val="none" w:sz="0" w:space="0" w:color="auto"/>
        <w:right w:val="none" w:sz="0" w:space="0" w:color="auto"/>
      </w:divBdr>
    </w:div>
    <w:div w:id="334580026">
      <w:bodyDiv w:val="1"/>
      <w:marLeft w:val="0"/>
      <w:marRight w:val="0"/>
      <w:marTop w:val="0"/>
      <w:marBottom w:val="0"/>
      <w:divBdr>
        <w:top w:val="none" w:sz="0" w:space="0" w:color="auto"/>
        <w:left w:val="none" w:sz="0" w:space="0" w:color="auto"/>
        <w:bottom w:val="none" w:sz="0" w:space="0" w:color="auto"/>
        <w:right w:val="none" w:sz="0" w:space="0" w:color="auto"/>
      </w:divBdr>
    </w:div>
    <w:div w:id="335616174">
      <w:bodyDiv w:val="1"/>
      <w:marLeft w:val="0"/>
      <w:marRight w:val="0"/>
      <w:marTop w:val="0"/>
      <w:marBottom w:val="0"/>
      <w:divBdr>
        <w:top w:val="none" w:sz="0" w:space="0" w:color="auto"/>
        <w:left w:val="none" w:sz="0" w:space="0" w:color="auto"/>
        <w:bottom w:val="none" w:sz="0" w:space="0" w:color="auto"/>
        <w:right w:val="none" w:sz="0" w:space="0" w:color="auto"/>
      </w:divBdr>
    </w:div>
    <w:div w:id="336271177">
      <w:bodyDiv w:val="1"/>
      <w:marLeft w:val="0"/>
      <w:marRight w:val="0"/>
      <w:marTop w:val="0"/>
      <w:marBottom w:val="0"/>
      <w:divBdr>
        <w:top w:val="none" w:sz="0" w:space="0" w:color="auto"/>
        <w:left w:val="none" w:sz="0" w:space="0" w:color="auto"/>
        <w:bottom w:val="none" w:sz="0" w:space="0" w:color="auto"/>
        <w:right w:val="none" w:sz="0" w:space="0" w:color="auto"/>
      </w:divBdr>
    </w:div>
    <w:div w:id="337772812">
      <w:bodyDiv w:val="1"/>
      <w:marLeft w:val="0"/>
      <w:marRight w:val="0"/>
      <w:marTop w:val="0"/>
      <w:marBottom w:val="0"/>
      <w:divBdr>
        <w:top w:val="none" w:sz="0" w:space="0" w:color="auto"/>
        <w:left w:val="none" w:sz="0" w:space="0" w:color="auto"/>
        <w:bottom w:val="none" w:sz="0" w:space="0" w:color="auto"/>
        <w:right w:val="none" w:sz="0" w:space="0" w:color="auto"/>
      </w:divBdr>
    </w:div>
    <w:div w:id="338848073">
      <w:bodyDiv w:val="1"/>
      <w:marLeft w:val="0"/>
      <w:marRight w:val="0"/>
      <w:marTop w:val="0"/>
      <w:marBottom w:val="0"/>
      <w:divBdr>
        <w:top w:val="none" w:sz="0" w:space="0" w:color="auto"/>
        <w:left w:val="none" w:sz="0" w:space="0" w:color="auto"/>
        <w:bottom w:val="none" w:sz="0" w:space="0" w:color="auto"/>
        <w:right w:val="none" w:sz="0" w:space="0" w:color="auto"/>
      </w:divBdr>
    </w:div>
    <w:div w:id="338850467">
      <w:bodyDiv w:val="1"/>
      <w:marLeft w:val="0"/>
      <w:marRight w:val="0"/>
      <w:marTop w:val="0"/>
      <w:marBottom w:val="0"/>
      <w:divBdr>
        <w:top w:val="none" w:sz="0" w:space="0" w:color="auto"/>
        <w:left w:val="none" w:sz="0" w:space="0" w:color="auto"/>
        <w:bottom w:val="none" w:sz="0" w:space="0" w:color="auto"/>
        <w:right w:val="none" w:sz="0" w:space="0" w:color="auto"/>
      </w:divBdr>
    </w:div>
    <w:div w:id="339891277">
      <w:bodyDiv w:val="1"/>
      <w:marLeft w:val="0"/>
      <w:marRight w:val="0"/>
      <w:marTop w:val="0"/>
      <w:marBottom w:val="0"/>
      <w:divBdr>
        <w:top w:val="none" w:sz="0" w:space="0" w:color="auto"/>
        <w:left w:val="none" w:sz="0" w:space="0" w:color="auto"/>
        <w:bottom w:val="none" w:sz="0" w:space="0" w:color="auto"/>
        <w:right w:val="none" w:sz="0" w:space="0" w:color="auto"/>
      </w:divBdr>
    </w:div>
    <w:div w:id="340209355">
      <w:bodyDiv w:val="1"/>
      <w:marLeft w:val="0"/>
      <w:marRight w:val="0"/>
      <w:marTop w:val="0"/>
      <w:marBottom w:val="0"/>
      <w:divBdr>
        <w:top w:val="none" w:sz="0" w:space="0" w:color="auto"/>
        <w:left w:val="none" w:sz="0" w:space="0" w:color="auto"/>
        <w:bottom w:val="none" w:sz="0" w:space="0" w:color="auto"/>
        <w:right w:val="none" w:sz="0" w:space="0" w:color="auto"/>
      </w:divBdr>
    </w:div>
    <w:div w:id="340475891">
      <w:bodyDiv w:val="1"/>
      <w:marLeft w:val="0"/>
      <w:marRight w:val="0"/>
      <w:marTop w:val="0"/>
      <w:marBottom w:val="0"/>
      <w:divBdr>
        <w:top w:val="none" w:sz="0" w:space="0" w:color="auto"/>
        <w:left w:val="none" w:sz="0" w:space="0" w:color="auto"/>
        <w:bottom w:val="none" w:sz="0" w:space="0" w:color="auto"/>
        <w:right w:val="none" w:sz="0" w:space="0" w:color="auto"/>
      </w:divBdr>
    </w:div>
    <w:div w:id="340936210">
      <w:bodyDiv w:val="1"/>
      <w:marLeft w:val="0"/>
      <w:marRight w:val="0"/>
      <w:marTop w:val="0"/>
      <w:marBottom w:val="0"/>
      <w:divBdr>
        <w:top w:val="none" w:sz="0" w:space="0" w:color="auto"/>
        <w:left w:val="none" w:sz="0" w:space="0" w:color="auto"/>
        <w:bottom w:val="none" w:sz="0" w:space="0" w:color="auto"/>
        <w:right w:val="none" w:sz="0" w:space="0" w:color="auto"/>
      </w:divBdr>
    </w:div>
    <w:div w:id="341467739">
      <w:bodyDiv w:val="1"/>
      <w:marLeft w:val="0"/>
      <w:marRight w:val="0"/>
      <w:marTop w:val="0"/>
      <w:marBottom w:val="0"/>
      <w:divBdr>
        <w:top w:val="none" w:sz="0" w:space="0" w:color="auto"/>
        <w:left w:val="none" w:sz="0" w:space="0" w:color="auto"/>
        <w:bottom w:val="none" w:sz="0" w:space="0" w:color="auto"/>
        <w:right w:val="none" w:sz="0" w:space="0" w:color="auto"/>
      </w:divBdr>
    </w:div>
    <w:div w:id="341903476">
      <w:bodyDiv w:val="1"/>
      <w:marLeft w:val="0"/>
      <w:marRight w:val="0"/>
      <w:marTop w:val="0"/>
      <w:marBottom w:val="0"/>
      <w:divBdr>
        <w:top w:val="none" w:sz="0" w:space="0" w:color="auto"/>
        <w:left w:val="none" w:sz="0" w:space="0" w:color="auto"/>
        <w:bottom w:val="none" w:sz="0" w:space="0" w:color="auto"/>
        <w:right w:val="none" w:sz="0" w:space="0" w:color="auto"/>
      </w:divBdr>
    </w:div>
    <w:div w:id="342628581">
      <w:bodyDiv w:val="1"/>
      <w:marLeft w:val="0"/>
      <w:marRight w:val="0"/>
      <w:marTop w:val="0"/>
      <w:marBottom w:val="0"/>
      <w:divBdr>
        <w:top w:val="none" w:sz="0" w:space="0" w:color="auto"/>
        <w:left w:val="none" w:sz="0" w:space="0" w:color="auto"/>
        <w:bottom w:val="none" w:sz="0" w:space="0" w:color="auto"/>
        <w:right w:val="none" w:sz="0" w:space="0" w:color="auto"/>
      </w:divBdr>
    </w:div>
    <w:div w:id="343243799">
      <w:bodyDiv w:val="1"/>
      <w:marLeft w:val="0"/>
      <w:marRight w:val="0"/>
      <w:marTop w:val="0"/>
      <w:marBottom w:val="0"/>
      <w:divBdr>
        <w:top w:val="none" w:sz="0" w:space="0" w:color="auto"/>
        <w:left w:val="none" w:sz="0" w:space="0" w:color="auto"/>
        <w:bottom w:val="none" w:sz="0" w:space="0" w:color="auto"/>
        <w:right w:val="none" w:sz="0" w:space="0" w:color="auto"/>
      </w:divBdr>
    </w:div>
    <w:div w:id="345446348">
      <w:bodyDiv w:val="1"/>
      <w:marLeft w:val="0"/>
      <w:marRight w:val="0"/>
      <w:marTop w:val="0"/>
      <w:marBottom w:val="0"/>
      <w:divBdr>
        <w:top w:val="none" w:sz="0" w:space="0" w:color="auto"/>
        <w:left w:val="none" w:sz="0" w:space="0" w:color="auto"/>
        <w:bottom w:val="none" w:sz="0" w:space="0" w:color="auto"/>
        <w:right w:val="none" w:sz="0" w:space="0" w:color="auto"/>
      </w:divBdr>
    </w:div>
    <w:div w:id="345863194">
      <w:bodyDiv w:val="1"/>
      <w:marLeft w:val="0"/>
      <w:marRight w:val="0"/>
      <w:marTop w:val="0"/>
      <w:marBottom w:val="0"/>
      <w:divBdr>
        <w:top w:val="none" w:sz="0" w:space="0" w:color="auto"/>
        <w:left w:val="none" w:sz="0" w:space="0" w:color="auto"/>
        <w:bottom w:val="none" w:sz="0" w:space="0" w:color="auto"/>
        <w:right w:val="none" w:sz="0" w:space="0" w:color="auto"/>
      </w:divBdr>
    </w:div>
    <w:div w:id="347224056">
      <w:bodyDiv w:val="1"/>
      <w:marLeft w:val="0"/>
      <w:marRight w:val="0"/>
      <w:marTop w:val="0"/>
      <w:marBottom w:val="0"/>
      <w:divBdr>
        <w:top w:val="none" w:sz="0" w:space="0" w:color="auto"/>
        <w:left w:val="none" w:sz="0" w:space="0" w:color="auto"/>
        <w:bottom w:val="none" w:sz="0" w:space="0" w:color="auto"/>
        <w:right w:val="none" w:sz="0" w:space="0" w:color="auto"/>
      </w:divBdr>
    </w:div>
    <w:div w:id="347567327">
      <w:bodyDiv w:val="1"/>
      <w:marLeft w:val="0"/>
      <w:marRight w:val="0"/>
      <w:marTop w:val="0"/>
      <w:marBottom w:val="0"/>
      <w:divBdr>
        <w:top w:val="none" w:sz="0" w:space="0" w:color="auto"/>
        <w:left w:val="none" w:sz="0" w:space="0" w:color="auto"/>
        <w:bottom w:val="none" w:sz="0" w:space="0" w:color="auto"/>
        <w:right w:val="none" w:sz="0" w:space="0" w:color="auto"/>
      </w:divBdr>
    </w:div>
    <w:div w:id="348022015">
      <w:bodyDiv w:val="1"/>
      <w:marLeft w:val="0"/>
      <w:marRight w:val="0"/>
      <w:marTop w:val="0"/>
      <w:marBottom w:val="0"/>
      <w:divBdr>
        <w:top w:val="none" w:sz="0" w:space="0" w:color="auto"/>
        <w:left w:val="none" w:sz="0" w:space="0" w:color="auto"/>
        <w:bottom w:val="none" w:sz="0" w:space="0" w:color="auto"/>
        <w:right w:val="none" w:sz="0" w:space="0" w:color="auto"/>
      </w:divBdr>
    </w:div>
    <w:div w:id="348721284">
      <w:bodyDiv w:val="1"/>
      <w:marLeft w:val="0"/>
      <w:marRight w:val="0"/>
      <w:marTop w:val="0"/>
      <w:marBottom w:val="0"/>
      <w:divBdr>
        <w:top w:val="none" w:sz="0" w:space="0" w:color="auto"/>
        <w:left w:val="none" w:sz="0" w:space="0" w:color="auto"/>
        <w:bottom w:val="none" w:sz="0" w:space="0" w:color="auto"/>
        <w:right w:val="none" w:sz="0" w:space="0" w:color="auto"/>
      </w:divBdr>
    </w:div>
    <w:div w:id="349113097">
      <w:bodyDiv w:val="1"/>
      <w:marLeft w:val="0"/>
      <w:marRight w:val="0"/>
      <w:marTop w:val="0"/>
      <w:marBottom w:val="0"/>
      <w:divBdr>
        <w:top w:val="none" w:sz="0" w:space="0" w:color="auto"/>
        <w:left w:val="none" w:sz="0" w:space="0" w:color="auto"/>
        <w:bottom w:val="none" w:sz="0" w:space="0" w:color="auto"/>
        <w:right w:val="none" w:sz="0" w:space="0" w:color="auto"/>
      </w:divBdr>
    </w:div>
    <w:div w:id="350959738">
      <w:bodyDiv w:val="1"/>
      <w:marLeft w:val="0"/>
      <w:marRight w:val="0"/>
      <w:marTop w:val="0"/>
      <w:marBottom w:val="0"/>
      <w:divBdr>
        <w:top w:val="none" w:sz="0" w:space="0" w:color="auto"/>
        <w:left w:val="none" w:sz="0" w:space="0" w:color="auto"/>
        <w:bottom w:val="none" w:sz="0" w:space="0" w:color="auto"/>
        <w:right w:val="none" w:sz="0" w:space="0" w:color="auto"/>
      </w:divBdr>
    </w:div>
    <w:div w:id="353311141">
      <w:bodyDiv w:val="1"/>
      <w:marLeft w:val="0"/>
      <w:marRight w:val="0"/>
      <w:marTop w:val="0"/>
      <w:marBottom w:val="0"/>
      <w:divBdr>
        <w:top w:val="none" w:sz="0" w:space="0" w:color="auto"/>
        <w:left w:val="none" w:sz="0" w:space="0" w:color="auto"/>
        <w:bottom w:val="none" w:sz="0" w:space="0" w:color="auto"/>
        <w:right w:val="none" w:sz="0" w:space="0" w:color="auto"/>
      </w:divBdr>
    </w:div>
    <w:div w:id="353657067">
      <w:bodyDiv w:val="1"/>
      <w:marLeft w:val="0"/>
      <w:marRight w:val="0"/>
      <w:marTop w:val="0"/>
      <w:marBottom w:val="0"/>
      <w:divBdr>
        <w:top w:val="none" w:sz="0" w:space="0" w:color="auto"/>
        <w:left w:val="none" w:sz="0" w:space="0" w:color="auto"/>
        <w:bottom w:val="none" w:sz="0" w:space="0" w:color="auto"/>
        <w:right w:val="none" w:sz="0" w:space="0" w:color="auto"/>
      </w:divBdr>
    </w:div>
    <w:div w:id="355157014">
      <w:bodyDiv w:val="1"/>
      <w:marLeft w:val="0"/>
      <w:marRight w:val="0"/>
      <w:marTop w:val="0"/>
      <w:marBottom w:val="0"/>
      <w:divBdr>
        <w:top w:val="none" w:sz="0" w:space="0" w:color="auto"/>
        <w:left w:val="none" w:sz="0" w:space="0" w:color="auto"/>
        <w:bottom w:val="none" w:sz="0" w:space="0" w:color="auto"/>
        <w:right w:val="none" w:sz="0" w:space="0" w:color="auto"/>
      </w:divBdr>
    </w:div>
    <w:div w:id="356082689">
      <w:bodyDiv w:val="1"/>
      <w:marLeft w:val="0"/>
      <w:marRight w:val="0"/>
      <w:marTop w:val="0"/>
      <w:marBottom w:val="0"/>
      <w:divBdr>
        <w:top w:val="none" w:sz="0" w:space="0" w:color="auto"/>
        <w:left w:val="none" w:sz="0" w:space="0" w:color="auto"/>
        <w:bottom w:val="none" w:sz="0" w:space="0" w:color="auto"/>
        <w:right w:val="none" w:sz="0" w:space="0" w:color="auto"/>
      </w:divBdr>
    </w:div>
    <w:div w:id="357505506">
      <w:bodyDiv w:val="1"/>
      <w:marLeft w:val="0"/>
      <w:marRight w:val="0"/>
      <w:marTop w:val="0"/>
      <w:marBottom w:val="0"/>
      <w:divBdr>
        <w:top w:val="none" w:sz="0" w:space="0" w:color="auto"/>
        <w:left w:val="none" w:sz="0" w:space="0" w:color="auto"/>
        <w:bottom w:val="none" w:sz="0" w:space="0" w:color="auto"/>
        <w:right w:val="none" w:sz="0" w:space="0" w:color="auto"/>
      </w:divBdr>
    </w:div>
    <w:div w:id="358966874">
      <w:bodyDiv w:val="1"/>
      <w:marLeft w:val="0"/>
      <w:marRight w:val="0"/>
      <w:marTop w:val="0"/>
      <w:marBottom w:val="0"/>
      <w:divBdr>
        <w:top w:val="none" w:sz="0" w:space="0" w:color="auto"/>
        <w:left w:val="none" w:sz="0" w:space="0" w:color="auto"/>
        <w:bottom w:val="none" w:sz="0" w:space="0" w:color="auto"/>
        <w:right w:val="none" w:sz="0" w:space="0" w:color="auto"/>
      </w:divBdr>
    </w:div>
    <w:div w:id="360012009">
      <w:bodyDiv w:val="1"/>
      <w:marLeft w:val="0"/>
      <w:marRight w:val="0"/>
      <w:marTop w:val="0"/>
      <w:marBottom w:val="0"/>
      <w:divBdr>
        <w:top w:val="none" w:sz="0" w:space="0" w:color="auto"/>
        <w:left w:val="none" w:sz="0" w:space="0" w:color="auto"/>
        <w:bottom w:val="none" w:sz="0" w:space="0" w:color="auto"/>
        <w:right w:val="none" w:sz="0" w:space="0" w:color="auto"/>
      </w:divBdr>
    </w:div>
    <w:div w:id="361171758">
      <w:bodyDiv w:val="1"/>
      <w:marLeft w:val="0"/>
      <w:marRight w:val="0"/>
      <w:marTop w:val="0"/>
      <w:marBottom w:val="0"/>
      <w:divBdr>
        <w:top w:val="none" w:sz="0" w:space="0" w:color="auto"/>
        <w:left w:val="none" w:sz="0" w:space="0" w:color="auto"/>
        <w:bottom w:val="none" w:sz="0" w:space="0" w:color="auto"/>
        <w:right w:val="none" w:sz="0" w:space="0" w:color="auto"/>
      </w:divBdr>
    </w:div>
    <w:div w:id="361588059">
      <w:bodyDiv w:val="1"/>
      <w:marLeft w:val="0"/>
      <w:marRight w:val="0"/>
      <w:marTop w:val="0"/>
      <w:marBottom w:val="0"/>
      <w:divBdr>
        <w:top w:val="none" w:sz="0" w:space="0" w:color="auto"/>
        <w:left w:val="none" w:sz="0" w:space="0" w:color="auto"/>
        <w:bottom w:val="none" w:sz="0" w:space="0" w:color="auto"/>
        <w:right w:val="none" w:sz="0" w:space="0" w:color="auto"/>
      </w:divBdr>
    </w:div>
    <w:div w:id="361900593">
      <w:bodyDiv w:val="1"/>
      <w:marLeft w:val="0"/>
      <w:marRight w:val="0"/>
      <w:marTop w:val="0"/>
      <w:marBottom w:val="0"/>
      <w:divBdr>
        <w:top w:val="none" w:sz="0" w:space="0" w:color="auto"/>
        <w:left w:val="none" w:sz="0" w:space="0" w:color="auto"/>
        <w:bottom w:val="none" w:sz="0" w:space="0" w:color="auto"/>
        <w:right w:val="none" w:sz="0" w:space="0" w:color="auto"/>
      </w:divBdr>
    </w:div>
    <w:div w:id="362947867">
      <w:bodyDiv w:val="1"/>
      <w:marLeft w:val="0"/>
      <w:marRight w:val="0"/>
      <w:marTop w:val="0"/>
      <w:marBottom w:val="0"/>
      <w:divBdr>
        <w:top w:val="none" w:sz="0" w:space="0" w:color="auto"/>
        <w:left w:val="none" w:sz="0" w:space="0" w:color="auto"/>
        <w:bottom w:val="none" w:sz="0" w:space="0" w:color="auto"/>
        <w:right w:val="none" w:sz="0" w:space="0" w:color="auto"/>
      </w:divBdr>
    </w:div>
    <w:div w:id="365377886">
      <w:bodyDiv w:val="1"/>
      <w:marLeft w:val="0"/>
      <w:marRight w:val="0"/>
      <w:marTop w:val="0"/>
      <w:marBottom w:val="0"/>
      <w:divBdr>
        <w:top w:val="none" w:sz="0" w:space="0" w:color="auto"/>
        <w:left w:val="none" w:sz="0" w:space="0" w:color="auto"/>
        <w:bottom w:val="none" w:sz="0" w:space="0" w:color="auto"/>
        <w:right w:val="none" w:sz="0" w:space="0" w:color="auto"/>
      </w:divBdr>
    </w:div>
    <w:div w:id="366151361">
      <w:bodyDiv w:val="1"/>
      <w:marLeft w:val="0"/>
      <w:marRight w:val="0"/>
      <w:marTop w:val="0"/>
      <w:marBottom w:val="0"/>
      <w:divBdr>
        <w:top w:val="none" w:sz="0" w:space="0" w:color="auto"/>
        <w:left w:val="none" w:sz="0" w:space="0" w:color="auto"/>
        <w:bottom w:val="none" w:sz="0" w:space="0" w:color="auto"/>
        <w:right w:val="none" w:sz="0" w:space="0" w:color="auto"/>
      </w:divBdr>
    </w:div>
    <w:div w:id="367149288">
      <w:bodyDiv w:val="1"/>
      <w:marLeft w:val="0"/>
      <w:marRight w:val="0"/>
      <w:marTop w:val="0"/>
      <w:marBottom w:val="0"/>
      <w:divBdr>
        <w:top w:val="none" w:sz="0" w:space="0" w:color="auto"/>
        <w:left w:val="none" w:sz="0" w:space="0" w:color="auto"/>
        <w:bottom w:val="none" w:sz="0" w:space="0" w:color="auto"/>
        <w:right w:val="none" w:sz="0" w:space="0" w:color="auto"/>
      </w:divBdr>
    </w:div>
    <w:div w:id="367335294">
      <w:bodyDiv w:val="1"/>
      <w:marLeft w:val="0"/>
      <w:marRight w:val="0"/>
      <w:marTop w:val="0"/>
      <w:marBottom w:val="0"/>
      <w:divBdr>
        <w:top w:val="none" w:sz="0" w:space="0" w:color="auto"/>
        <w:left w:val="none" w:sz="0" w:space="0" w:color="auto"/>
        <w:bottom w:val="none" w:sz="0" w:space="0" w:color="auto"/>
        <w:right w:val="none" w:sz="0" w:space="0" w:color="auto"/>
      </w:divBdr>
    </w:div>
    <w:div w:id="368457556">
      <w:bodyDiv w:val="1"/>
      <w:marLeft w:val="0"/>
      <w:marRight w:val="0"/>
      <w:marTop w:val="0"/>
      <w:marBottom w:val="0"/>
      <w:divBdr>
        <w:top w:val="none" w:sz="0" w:space="0" w:color="auto"/>
        <w:left w:val="none" w:sz="0" w:space="0" w:color="auto"/>
        <w:bottom w:val="none" w:sz="0" w:space="0" w:color="auto"/>
        <w:right w:val="none" w:sz="0" w:space="0" w:color="auto"/>
      </w:divBdr>
    </w:div>
    <w:div w:id="369381353">
      <w:bodyDiv w:val="1"/>
      <w:marLeft w:val="0"/>
      <w:marRight w:val="0"/>
      <w:marTop w:val="0"/>
      <w:marBottom w:val="0"/>
      <w:divBdr>
        <w:top w:val="none" w:sz="0" w:space="0" w:color="auto"/>
        <w:left w:val="none" w:sz="0" w:space="0" w:color="auto"/>
        <w:bottom w:val="none" w:sz="0" w:space="0" w:color="auto"/>
        <w:right w:val="none" w:sz="0" w:space="0" w:color="auto"/>
      </w:divBdr>
    </w:div>
    <w:div w:id="370425526">
      <w:bodyDiv w:val="1"/>
      <w:marLeft w:val="0"/>
      <w:marRight w:val="0"/>
      <w:marTop w:val="0"/>
      <w:marBottom w:val="0"/>
      <w:divBdr>
        <w:top w:val="none" w:sz="0" w:space="0" w:color="auto"/>
        <w:left w:val="none" w:sz="0" w:space="0" w:color="auto"/>
        <w:bottom w:val="none" w:sz="0" w:space="0" w:color="auto"/>
        <w:right w:val="none" w:sz="0" w:space="0" w:color="auto"/>
      </w:divBdr>
    </w:div>
    <w:div w:id="370809886">
      <w:bodyDiv w:val="1"/>
      <w:marLeft w:val="0"/>
      <w:marRight w:val="0"/>
      <w:marTop w:val="0"/>
      <w:marBottom w:val="0"/>
      <w:divBdr>
        <w:top w:val="none" w:sz="0" w:space="0" w:color="auto"/>
        <w:left w:val="none" w:sz="0" w:space="0" w:color="auto"/>
        <w:bottom w:val="none" w:sz="0" w:space="0" w:color="auto"/>
        <w:right w:val="none" w:sz="0" w:space="0" w:color="auto"/>
      </w:divBdr>
    </w:div>
    <w:div w:id="370959794">
      <w:bodyDiv w:val="1"/>
      <w:marLeft w:val="0"/>
      <w:marRight w:val="0"/>
      <w:marTop w:val="0"/>
      <w:marBottom w:val="0"/>
      <w:divBdr>
        <w:top w:val="none" w:sz="0" w:space="0" w:color="auto"/>
        <w:left w:val="none" w:sz="0" w:space="0" w:color="auto"/>
        <w:bottom w:val="none" w:sz="0" w:space="0" w:color="auto"/>
        <w:right w:val="none" w:sz="0" w:space="0" w:color="auto"/>
      </w:divBdr>
    </w:div>
    <w:div w:id="371927042">
      <w:bodyDiv w:val="1"/>
      <w:marLeft w:val="0"/>
      <w:marRight w:val="0"/>
      <w:marTop w:val="0"/>
      <w:marBottom w:val="0"/>
      <w:divBdr>
        <w:top w:val="none" w:sz="0" w:space="0" w:color="auto"/>
        <w:left w:val="none" w:sz="0" w:space="0" w:color="auto"/>
        <w:bottom w:val="none" w:sz="0" w:space="0" w:color="auto"/>
        <w:right w:val="none" w:sz="0" w:space="0" w:color="auto"/>
      </w:divBdr>
    </w:div>
    <w:div w:id="372267305">
      <w:bodyDiv w:val="1"/>
      <w:marLeft w:val="0"/>
      <w:marRight w:val="0"/>
      <w:marTop w:val="0"/>
      <w:marBottom w:val="0"/>
      <w:divBdr>
        <w:top w:val="none" w:sz="0" w:space="0" w:color="auto"/>
        <w:left w:val="none" w:sz="0" w:space="0" w:color="auto"/>
        <w:bottom w:val="none" w:sz="0" w:space="0" w:color="auto"/>
        <w:right w:val="none" w:sz="0" w:space="0" w:color="auto"/>
      </w:divBdr>
    </w:div>
    <w:div w:id="372466481">
      <w:bodyDiv w:val="1"/>
      <w:marLeft w:val="0"/>
      <w:marRight w:val="0"/>
      <w:marTop w:val="0"/>
      <w:marBottom w:val="0"/>
      <w:divBdr>
        <w:top w:val="none" w:sz="0" w:space="0" w:color="auto"/>
        <w:left w:val="none" w:sz="0" w:space="0" w:color="auto"/>
        <w:bottom w:val="none" w:sz="0" w:space="0" w:color="auto"/>
        <w:right w:val="none" w:sz="0" w:space="0" w:color="auto"/>
      </w:divBdr>
    </w:div>
    <w:div w:id="375008898">
      <w:bodyDiv w:val="1"/>
      <w:marLeft w:val="0"/>
      <w:marRight w:val="0"/>
      <w:marTop w:val="0"/>
      <w:marBottom w:val="0"/>
      <w:divBdr>
        <w:top w:val="none" w:sz="0" w:space="0" w:color="auto"/>
        <w:left w:val="none" w:sz="0" w:space="0" w:color="auto"/>
        <w:bottom w:val="none" w:sz="0" w:space="0" w:color="auto"/>
        <w:right w:val="none" w:sz="0" w:space="0" w:color="auto"/>
      </w:divBdr>
    </w:div>
    <w:div w:id="375356091">
      <w:bodyDiv w:val="1"/>
      <w:marLeft w:val="0"/>
      <w:marRight w:val="0"/>
      <w:marTop w:val="0"/>
      <w:marBottom w:val="0"/>
      <w:divBdr>
        <w:top w:val="none" w:sz="0" w:space="0" w:color="auto"/>
        <w:left w:val="none" w:sz="0" w:space="0" w:color="auto"/>
        <w:bottom w:val="none" w:sz="0" w:space="0" w:color="auto"/>
        <w:right w:val="none" w:sz="0" w:space="0" w:color="auto"/>
      </w:divBdr>
    </w:div>
    <w:div w:id="375394999">
      <w:bodyDiv w:val="1"/>
      <w:marLeft w:val="0"/>
      <w:marRight w:val="0"/>
      <w:marTop w:val="0"/>
      <w:marBottom w:val="0"/>
      <w:divBdr>
        <w:top w:val="none" w:sz="0" w:space="0" w:color="auto"/>
        <w:left w:val="none" w:sz="0" w:space="0" w:color="auto"/>
        <w:bottom w:val="none" w:sz="0" w:space="0" w:color="auto"/>
        <w:right w:val="none" w:sz="0" w:space="0" w:color="auto"/>
      </w:divBdr>
    </w:div>
    <w:div w:id="376049646">
      <w:bodyDiv w:val="1"/>
      <w:marLeft w:val="0"/>
      <w:marRight w:val="0"/>
      <w:marTop w:val="0"/>
      <w:marBottom w:val="0"/>
      <w:divBdr>
        <w:top w:val="none" w:sz="0" w:space="0" w:color="auto"/>
        <w:left w:val="none" w:sz="0" w:space="0" w:color="auto"/>
        <w:bottom w:val="none" w:sz="0" w:space="0" w:color="auto"/>
        <w:right w:val="none" w:sz="0" w:space="0" w:color="auto"/>
      </w:divBdr>
    </w:div>
    <w:div w:id="376856138">
      <w:bodyDiv w:val="1"/>
      <w:marLeft w:val="0"/>
      <w:marRight w:val="0"/>
      <w:marTop w:val="0"/>
      <w:marBottom w:val="0"/>
      <w:divBdr>
        <w:top w:val="none" w:sz="0" w:space="0" w:color="auto"/>
        <w:left w:val="none" w:sz="0" w:space="0" w:color="auto"/>
        <w:bottom w:val="none" w:sz="0" w:space="0" w:color="auto"/>
        <w:right w:val="none" w:sz="0" w:space="0" w:color="auto"/>
      </w:divBdr>
    </w:div>
    <w:div w:id="377973529">
      <w:bodyDiv w:val="1"/>
      <w:marLeft w:val="0"/>
      <w:marRight w:val="0"/>
      <w:marTop w:val="0"/>
      <w:marBottom w:val="0"/>
      <w:divBdr>
        <w:top w:val="none" w:sz="0" w:space="0" w:color="auto"/>
        <w:left w:val="none" w:sz="0" w:space="0" w:color="auto"/>
        <w:bottom w:val="none" w:sz="0" w:space="0" w:color="auto"/>
        <w:right w:val="none" w:sz="0" w:space="0" w:color="auto"/>
      </w:divBdr>
    </w:div>
    <w:div w:id="379323800">
      <w:bodyDiv w:val="1"/>
      <w:marLeft w:val="0"/>
      <w:marRight w:val="0"/>
      <w:marTop w:val="0"/>
      <w:marBottom w:val="0"/>
      <w:divBdr>
        <w:top w:val="none" w:sz="0" w:space="0" w:color="auto"/>
        <w:left w:val="none" w:sz="0" w:space="0" w:color="auto"/>
        <w:bottom w:val="none" w:sz="0" w:space="0" w:color="auto"/>
        <w:right w:val="none" w:sz="0" w:space="0" w:color="auto"/>
      </w:divBdr>
    </w:div>
    <w:div w:id="379675658">
      <w:bodyDiv w:val="1"/>
      <w:marLeft w:val="0"/>
      <w:marRight w:val="0"/>
      <w:marTop w:val="0"/>
      <w:marBottom w:val="0"/>
      <w:divBdr>
        <w:top w:val="none" w:sz="0" w:space="0" w:color="auto"/>
        <w:left w:val="none" w:sz="0" w:space="0" w:color="auto"/>
        <w:bottom w:val="none" w:sz="0" w:space="0" w:color="auto"/>
        <w:right w:val="none" w:sz="0" w:space="0" w:color="auto"/>
      </w:divBdr>
    </w:div>
    <w:div w:id="380594356">
      <w:bodyDiv w:val="1"/>
      <w:marLeft w:val="0"/>
      <w:marRight w:val="0"/>
      <w:marTop w:val="0"/>
      <w:marBottom w:val="0"/>
      <w:divBdr>
        <w:top w:val="none" w:sz="0" w:space="0" w:color="auto"/>
        <w:left w:val="none" w:sz="0" w:space="0" w:color="auto"/>
        <w:bottom w:val="none" w:sz="0" w:space="0" w:color="auto"/>
        <w:right w:val="none" w:sz="0" w:space="0" w:color="auto"/>
      </w:divBdr>
    </w:div>
    <w:div w:id="382365068">
      <w:bodyDiv w:val="1"/>
      <w:marLeft w:val="0"/>
      <w:marRight w:val="0"/>
      <w:marTop w:val="0"/>
      <w:marBottom w:val="0"/>
      <w:divBdr>
        <w:top w:val="none" w:sz="0" w:space="0" w:color="auto"/>
        <w:left w:val="none" w:sz="0" w:space="0" w:color="auto"/>
        <w:bottom w:val="none" w:sz="0" w:space="0" w:color="auto"/>
        <w:right w:val="none" w:sz="0" w:space="0" w:color="auto"/>
      </w:divBdr>
    </w:div>
    <w:div w:id="382489255">
      <w:bodyDiv w:val="1"/>
      <w:marLeft w:val="0"/>
      <w:marRight w:val="0"/>
      <w:marTop w:val="0"/>
      <w:marBottom w:val="0"/>
      <w:divBdr>
        <w:top w:val="none" w:sz="0" w:space="0" w:color="auto"/>
        <w:left w:val="none" w:sz="0" w:space="0" w:color="auto"/>
        <w:bottom w:val="none" w:sz="0" w:space="0" w:color="auto"/>
        <w:right w:val="none" w:sz="0" w:space="0" w:color="auto"/>
      </w:divBdr>
    </w:div>
    <w:div w:id="384069701">
      <w:bodyDiv w:val="1"/>
      <w:marLeft w:val="0"/>
      <w:marRight w:val="0"/>
      <w:marTop w:val="0"/>
      <w:marBottom w:val="0"/>
      <w:divBdr>
        <w:top w:val="none" w:sz="0" w:space="0" w:color="auto"/>
        <w:left w:val="none" w:sz="0" w:space="0" w:color="auto"/>
        <w:bottom w:val="none" w:sz="0" w:space="0" w:color="auto"/>
        <w:right w:val="none" w:sz="0" w:space="0" w:color="auto"/>
      </w:divBdr>
    </w:div>
    <w:div w:id="384522973">
      <w:bodyDiv w:val="1"/>
      <w:marLeft w:val="0"/>
      <w:marRight w:val="0"/>
      <w:marTop w:val="0"/>
      <w:marBottom w:val="0"/>
      <w:divBdr>
        <w:top w:val="none" w:sz="0" w:space="0" w:color="auto"/>
        <w:left w:val="none" w:sz="0" w:space="0" w:color="auto"/>
        <w:bottom w:val="none" w:sz="0" w:space="0" w:color="auto"/>
        <w:right w:val="none" w:sz="0" w:space="0" w:color="auto"/>
      </w:divBdr>
    </w:div>
    <w:div w:id="384569099">
      <w:bodyDiv w:val="1"/>
      <w:marLeft w:val="0"/>
      <w:marRight w:val="0"/>
      <w:marTop w:val="0"/>
      <w:marBottom w:val="0"/>
      <w:divBdr>
        <w:top w:val="none" w:sz="0" w:space="0" w:color="auto"/>
        <w:left w:val="none" w:sz="0" w:space="0" w:color="auto"/>
        <w:bottom w:val="none" w:sz="0" w:space="0" w:color="auto"/>
        <w:right w:val="none" w:sz="0" w:space="0" w:color="auto"/>
      </w:divBdr>
    </w:div>
    <w:div w:id="386145557">
      <w:bodyDiv w:val="1"/>
      <w:marLeft w:val="0"/>
      <w:marRight w:val="0"/>
      <w:marTop w:val="0"/>
      <w:marBottom w:val="0"/>
      <w:divBdr>
        <w:top w:val="none" w:sz="0" w:space="0" w:color="auto"/>
        <w:left w:val="none" w:sz="0" w:space="0" w:color="auto"/>
        <w:bottom w:val="none" w:sz="0" w:space="0" w:color="auto"/>
        <w:right w:val="none" w:sz="0" w:space="0" w:color="auto"/>
      </w:divBdr>
    </w:div>
    <w:div w:id="386688647">
      <w:bodyDiv w:val="1"/>
      <w:marLeft w:val="0"/>
      <w:marRight w:val="0"/>
      <w:marTop w:val="0"/>
      <w:marBottom w:val="0"/>
      <w:divBdr>
        <w:top w:val="none" w:sz="0" w:space="0" w:color="auto"/>
        <w:left w:val="none" w:sz="0" w:space="0" w:color="auto"/>
        <w:bottom w:val="none" w:sz="0" w:space="0" w:color="auto"/>
        <w:right w:val="none" w:sz="0" w:space="0" w:color="auto"/>
      </w:divBdr>
    </w:div>
    <w:div w:id="386731709">
      <w:bodyDiv w:val="1"/>
      <w:marLeft w:val="0"/>
      <w:marRight w:val="0"/>
      <w:marTop w:val="0"/>
      <w:marBottom w:val="0"/>
      <w:divBdr>
        <w:top w:val="none" w:sz="0" w:space="0" w:color="auto"/>
        <w:left w:val="none" w:sz="0" w:space="0" w:color="auto"/>
        <w:bottom w:val="none" w:sz="0" w:space="0" w:color="auto"/>
        <w:right w:val="none" w:sz="0" w:space="0" w:color="auto"/>
      </w:divBdr>
    </w:div>
    <w:div w:id="386999630">
      <w:bodyDiv w:val="1"/>
      <w:marLeft w:val="0"/>
      <w:marRight w:val="0"/>
      <w:marTop w:val="0"/>
      <w:marBottom w:val="0"/>
      <w:divBdr>
        <w:top w:val="none" w:sz="0" w:space="0" w:color="auto"/>
        <w:left w:val="none" w:sz="0" w:space="0" w:color="auto"/>
        <w:bottom w:val="none" w:sz="0" w:space="0" w:color="auto"/>
        <w:right w:val="none" w:sz="0" w:space="0" w:color="auto"/>
      </w:divBdr>
    </w:div>
    <w:div w:id="387605860">
      <w:bodyDiv w:val="1"/>
      <w:marLeft w:val="0"/>
      <w:marRight w:val="0"/>
      <w:marTop w:val="0"/>
      <w:marBottom w:val="0"/>
      <w:divBdr>
        <w:top w:val="none" w:sz="0" w:space="0" w:color="auto"/>
        <w:left w:val="none" w:sz="0" w:space="0" w:color="auto"/>
        <w:bottom w:val="none" w:sz="0" w:space="0" w:color="auto"/>
        <w:right w:val="none" w:sz="0" w:space="0" w:color="auto"/>
      </w:divBdr>
    </w:div>
    <w:div w:id="387798882">
      <w:bodyDiv w:val="1"/>
      <w:marLeft w:val="0"/>
      <w:marRight w:val="0"/>
      <w:marTop w:val="0"/>
      <w:marBottom w:val="0"/>
      <w:divBdr>
        <w:top w:val="none" w:sz="0" w:space="0" w:color="auto"/>
        <w:left w:val="none" w:sz="0" w:space="0" w:color="auto"/>
        <w:bottom w:val="none" w:sz="0" w:space="0" w:color="auto"/>
        <w:right w:val="none" w:sz="0" w:space="0" w:color="auto"/>
      </w:divBdr>
    </w:div>
    <w:div w:id="387924234">
      <w:bodyDiv w:val="1"/>
      <w:marLeft w:val="0"/>
      <w:marRight w:val="0"/>
      <w:marTop w:val="0"/>
      <w:marBottom w:val="0"/>
      <w:divBdr>
        <w:top w:val="none" w:sz="0" w:space="0" w:color="auto"/>
        <w:left w:val="none" w:sz="0" w:space="0" w:color="auto"/>
        <w:bottom w:val="none" w:sz="0" w:space="0" w:color="auto"/>
        <w:right w:val="none" w:sz="0" w:space="0" w:color="auto"/>
      </w:divBdr>
    </w:div>
    <w:div w:id="389155066">
      <w:bodyDiv w:val="1"/>
      <w:marLeft w:val="0"/>
      <w:marRight w:val="0"/>
      <w:marTop w:val="0"/>
      <w:marBottom w:val="0"/>
      <w:divBdr>
        <w:top w:val="none" w:sz="0" w:space="0" w:color="auto"/>
        <w:left w:val="none" w:sz="0" w:space="0" w:color="auto"/>
        <w:bottom w:val="none" w:sz="0" w:space="0" w:color="auto"/>
        <w:right w:val="none" w:sz="0" w:space="0" w:color="auto"/>
      </w:divBdr>
    </w:div>
    <w:div w:id="389159890">
      <w:bodyDiv w:val="1"/>
      <w:marLeft w:val="0"/>
      <w:marRight w:val="0"/>
      <w:marTop w:val="0"/>
      <w:marBottom w:val="0"/>
      <w:divBdr>
        <w:top w:val="none" w:sz="0" w:space="0" w:color="auto"/>
        <w:left w:val="none" w:sz="0" w:space="0" w:color="auto"/>
        <w:bottom w:val="none" w:sz="0" w:space="0" w:color="auto"/>
        <w:right w:val="none" w:sz="0" w:space="0" w:color="auto"/>
      </w:divBdr>
    </w:div>
    <w:div w:id="390619411">
      <w:bodyDiv w:val="1"/>
      <w:marLeft w:val="0"/>
      <w:marRight w:val="0"/>
      <w:marTop w:val="0"/>
      <w:marBottom w:val="0"/>
      <w:divBdr>
        <w:top w:val="none" w:sz="0" w:space="0" w:color="auto"/>
        <w:left w:val="none" w:sz="0" w:space="0" w:color="auto"/>
        <w:bottom w:val="none" w:sz="0" w:space="0" w:color="auto"/>
        <w:right w:val="none" w:sz="0" w:space="0" w:color="auto"/>
      </w:divBdr>
    </w:div>
    <w:div w:id="390692116">
      <w:bodyDiv w:val="1"/>
      <w:marLeft w:val="0"/>
      <w:marRight w:val="0"/>
      <w:marTop w:val="0"/>
      <w:marBottom w:val="0"/>
      <w:divBdr>
        <w:top w:val="none" w:sz="0" w:space="0" w:color="auto"/>
        <w:left w:val="none" w:sz="0" w:space="0" w:color="auto"/>
        <w:bottom w:val="none" w:sz="0" w:space="0" w:color="auto"/>
        <w:right w:val="none" w:sz="0" w:space="0" w:color="auto"/>
      </w:divBdr>
    </w:div>
    <w:div w:id="391196433">
      <w:bodyDiv w:val="1"/>
      <w:marLeft w:val="0"/>
      <w:marRight w:val="0"/>
      <w:marTop w:val="0"/>
      <w:marBottom w:val="0"/>
      <w:divBdr>
        <w:top w:val="none" w:sz="0" w:space="0" w:color="auto"/>
        <w:left w:val="none" w:sz="0" w:space="0" w:color="auto"/>
        <w:bottom w:val="none" w:sz="0" w:space="0" w:color="auto"/>
        <w:right w:val="none" w:sz="0" w:space="0" w:color="auto"/>
      </w:divBdr>
    </w:div>
    <w:div w:id="391197420">
      <w:bodyDiv w:val="1"/>
      <w:marLeft w:val="0"/>
      <w:marRight w:val="0"/>
      <w:marTop w:val="0"/>
      <w:marBottom w:val="0"/>
      <w:divBdr>
        <w:top w:val="none" w:sz="0" w:space="0" w:color="auto"/>
        <w:left w:val="none" w:sz="0" w:space="0" w:color="auto"/>
        <w:bottom w:val="none" w:sz="0" w:space="0" w:color="auto"/>
        <w:right w:val="none" w:sz="0" w:space="0" w:color="auto"/>
      </w:divBdr>
    </w:div>
    <w:div w:id="391731108">
      <w:bodyDiv w:val="1"/>
      <w:marLeft w:val="0"/>
      <w:marRight w:val="0"/>
      <w:marTop w:val="0"/>
      <w:marBottom w:val="0"/>
      <w:divBdr>
        <w:top w:val="none" w:sz="0" w:space="0" w:color="auto"/>
        <w:left w:val="none" w:sz="0" w:space="0" w:color="auto"/>
        <w:bottom w:val="none" w:sz="0" w:space="0" w:color="auto"/>
        <w:right w:val="none" w:sz="0" w:space="0" w:color="auto"/>
      </w:divBdr>
    </w:div>
    <w:div w:id="393091646">
      <w:bodyDiv w:val="1"/>
      <w:marLeft w:val="0"/>
      <w:marRight w:val="0"/>
      <w:marTop w:val="0"/>
      <w:marBottom w:val="0"/>
      <w:divBdr>
        <w:top w:val="none" w:sz="0" w:space="0" w:color="auto"/>
        <w:left w:val="none" w:sz="0" w:space="0" w:color="auto"/>
        <w:bottom w:val="none" w:sz="0" w:space="0" w:color="auto"/>
        <w:right w:val="none" w:sz="0" w:space="0" w:color="auto"/>
      </w:divBdr>
    </w:div>
    <w:div w:id="393554414">
      <w:bodyDiv w:val="1"/>
      <w:marLeft w:val="0"/>
      <w:marRight w:val="0"/>
      <w:marTop w:val="0"/>
      <w:marBottom w:val="0"/>
      <w:divBdr>
        <w:top w:val="none" w:sz="0" w:space="0" w:color="auto"/>
        <w:left w:val="none" w:sz="0" w:space="0" w:color="auto"/>
        <w:bottom w:val="none" w:sz="0" w:space="0" w:color="auto"/>
        <w:right w:val="none" w:sz="0" w:space="0" w:color="auto"/>
      </w:divBdr>
    </w:div>
    <w:div w:id="396246400">
      <w:bodyDiv w:val="1"/>
      <w:marLeft w:val="0"/>
      <w:marRight w:val="0"/>
      <w:marTop w:val="0"/>
      <w:marBottom w:val="0"/>
      <w:divBdr>
        <w:top w:val="none" w:sz="0" w:space="0" w:color="auto"/>
        <w:left w:val="none" w:sz="0" w:space="0" w:color="auto"/>
        <w:bottom w:val="none" w:sz="0" w:space="0" w:color="auto"/>
        <w:right w:val="none" w:sz="0" w:space="0" w:color="auto"/>
      </w:divBdr>
    </w:div>
    <w:div w:id="397435439">
      <w:bodyDiv w:val="1"/>
      <w:marLeft w:val="0"/>
      <w:marRight w:val="0"/>
      <w:marTop w:val="0"/>
      <w:marBottom w:val="0"/>
      <w:divBdr>
        <w:top w:val="none" w:sz="0" w:space="0" w:color="auto"/>
        <w:left w:val="none" w:sz="0" w:space="0" w:color="auto"/>
        <w:bottom w:val="none" w:sz="0" w:space="0" w:color="auto"/>
        <w:right w:val="none" w:sz="0" w:space="0" w:color="auto"/>
      </w:divBdr>
    </w:div>
    <w:div w:id="398402311">
      <w:bodyDiv w:val="1"/>
      <w:marLeft w:val="0"/>
      <w:marRight w:val="0"/>
      <w:marTop w:val="0"/>
      <w:marBottom w:val="0"/>
      <w:divBdr>
        <w:top w:val="none" w:sz="0" w:space="0" w:color="auto"/>
        <w:left w:val="none" w:sz="0" w:space="0" w:color="auto"/>
        <w:bottom w:val="none" w:sz="0" w:space="0" w:color="auto"/>
        <w:right w:val="none" w:sz="0" w:space="0" w:color="auto"/>
      </w:divBdr>
    </w:div>
    <w:div w:id="399401327">
      <w:bodyDiv w:val="1"/>
      <w:marLeft w:val="0"/>
      <w:marRight w:val="0"/>
      <w:marTop w:val="0"/>
      <w:marBottom w:val="0"/>
      <w:divBdr>
        <w:top w:val="none" w:sz="0" w:space="0" w:color="auto"/>
        <w:left w:val="none" w:sz="0" w:space="0" w:color="auto"/>
        <w:bottom w:val="none" w:sz="0" w:space="0" w:color="auto"/>
        <w:right w:val="none" w:sz="0" w:space="0" w:color="auto"/>
      </w:divBdr>
    </w:div>
    <w:div w:id="399985304">
      <w:bodyDiv w:val="1"/>
      <w:marLeft w:val="0"/>
      <w:marRight w:val="0"/>
      <w:marTop w:val="0"/>
      <w:marBottom w:val="0"/>
      <w:divBdr>
        <w:top w:val="none" w:sz="0" w:space="0" w:color="auto"/>
        <w:left w:val="none" w:sz="0" w:space="0" w:color="auto"/>
        <w:bottom w:val="none" w:sz="0" w:space="0" w:color="auto"/>
        <w:right w:val="none" w:sz="0" w:space="0" w:color="auto"/>
      </w:divBdr>
    </w:div>
    <w:div w:id="400638663">
      <w:bodyDiv w:val="1"/>
      <w:marLeft w:val="0"/>
      <w:marRight w:val="0"/>
      <w:marTop w:val="0"/>
      <w:marBottom w:val="0"/>
      <w:divBdr>
        <w:top w:val="none" w:sz="0" w:space="0" w:color="auto"/>
        <w:left w:val="none" w:sz="0" w:space="0" w:color="auto"/>
        <w:bottom w:val="none" w:sz="0" w:space="0" w:color="auto"/>
        <w:right w:val="none" w:sz="0" w:space="0" w:color="auto"/>
      </w:divBdr>
    </w:div>
    <w:div w:id="401607792">
      <w:bodyDiv w:val="1"/>
      <w:marLeft w:val="0"/>
      <w:marRight w:val="0"/>
      <w:marTop w:val="0"/>
      <w:marBottom w:val="0"/>
      <w:divBdr>
        <w:top w:val="none" w:sz="0" w:space="0" w:color="auto"/>
        <w:left w:val="none" w:sz="0" w:space="0" w:color="auto"/>
        <w:bottom w:val="none" w:sz="0" w:space="0" w:color="auto"/>
        <w:right w:val="none" w:sz="0" w:space="0" w:color="auto"/>
      </w:divBdr>
    </w:div>
    <w:div w:id="401879950">
      <w:bodyDiv w:val="1"/>
      <w:marLeft w:val="0"/>
      <w:marRight w:val="0"/>
      <w:marTop w:val="0"/>
      <w:marBottom w:val="0"/>
      <w:divBdr>
        <w:top w:val="none" w:sz="0" w:space="0" w:color="auto"/>
        <w:left w:val="none" w:sz="0" w:space="0" w:color="auto"/>
        <w:bottom w:val="none" w:sz="0" w:space="0" w:color="auto"/>
        <w:right w:val="none" w:sz="0" w:space="0" w:color="auto"/>
      </w:divBdr>
    </w:div>
    <w:div w:id="401950085">
      <w:bodyDiv w:val="1"/>
      <w:marLeft w:val="0"/>
      <w:marRight w:val="0"/>
      <w:marTop w:val="0"/>
      <w:marBottom w:val="0"/>
      <w:divBdr>
        <w:top w:val="none" w:sz="0" w:space="0" w:color="auto"/>
        <w:left w:val="none" w:sz="0" w:space="0" w:color="auto"/>
        <w:bottom w:val="none" w:sz="0" w:space="0" w:color="auto"/>
        <w:right w:val="none" w:sz="0" w:space="0" w:color="auto"/>
      </w:divBdr>
    </w:div>
    <w:div w:id="401954955">
      <w:bodyDiv w:val="1"/>
      <w:marLeft w:val="0"/>
      <w:marRight w:val="0"/>
      <w:marTop w:val="0"/>
      <w:marBottom w:val="0"/>
      <w:divBdr>
        <w:top w:val="none" w:sz="0" w:space="0" w:color="auto"/>
        <w:left w:val="none" w:sz="0" w:space="0" w:color="auto"/>
        <w:bottom w:val="none" w:sz="0" w:space="0" w:color="auto"/>
        <w:right w:val="none" w:sz="0" w:space="0" w:color="auto"/>
      </w:divBdr>
    </w:div>
    <w:div w:id="402260863">
      <w:bodyDiv w:val="1"/>
      <w:marLeft w:val="0"/>
      <w:marRight w:val="0"/>
      <w:marTop w:val="0"/>
      <w:marBottom w:val="0"/>
      <w:divBdr>
        <w:top w:val="none" w:sz="0" w:space="0" w:color="auto"/>
        <w:left w:val="none" w:sz="0" w:space="0" w:color="auto"/>
        <w:bottom w:val="none" w:sz="0" w:space="0" w:color="auto"/>
        <w:right w:val="none" w:sz="0" w:space="0" w:color="auto"/>
      </w:divBdr>
    </w:div>
    <w:div w:id="403189724">
      <w:bodyDiv w:val="1"/>
      <w:marLeft w:val="0"/>
      <w:marRight w:val="0"/>
      <w:marTop w:val="0"/>
      <w:marBottom w:val="0"/>
      <w:divBdr>
        <w:top w:val="none" w:sz="0" w:space="0" w:color="auto"/>
        <w:left w:val="none" w:sz="0" w:space="0" w:color="auto"/>
        <w:bottom w:val="none" w:sz="0" w:space="0" w:color="auto"/>
        <w:right w:val="none" w:sz="0" w:space="0" w:color="auto"/>
      </w:divBdr>
    </w:div>
    <w:div w:id="403652295">
      <w:bodyDiv w:val="1"/>
      <w:marLeft w:val="0"/>
      <w:marRight w:val="0"/>
      <w:marTop w:val="0"/>
      <w:marBottom w:val="0"/>
      <w:divBdr>
        <w:top w:val="none" w:sz="0" w:space="0" w:color="auto"/>
        <w:left w:val="none" w:sz="0" w:space="0" w:color="auto"/>
        <w:bottom w:val="none" w:sz="0" w:space="0" w:color="auto"/>
        <w:right w:val="none" w:sz="0" w:space="0" w:color="auto"/>
      </w:divBdr>
    </w:div>
    <w:div w:id="404492125">
      <w:bodyDiv w:val="1"/>
      <w:marLeft w:val="0"/>
      <w:marRight w:val="0"/>
      <w:marTop w:val="0"/>
      <w:marBottom w:val="0"/>
      <w:divBdr>
        <w:top w:val="none" w:sz="0" w:space="0" w:color="auto"/>
        <w:left w:val="none" w:sz="0" w:space="0" w:color="auto"/>
        <w:bottom w:val="none" w:sz="0" w:space="0" w:color="auto"/>
        <w:right w:val="none" w:sz="0" w:space="0" w:color="auto"/>
      </w:divBdr>
    </w:div>
    <w:div w:id="404765684">
      <w:bodyDiv w:val="1"/>
      <w:marLeft w:val="0"/>
      <w:marRight w:val="0"/>
      <w:marTop w:val="0"/>
      <w:marBottom w:val="0"/>
      <w:divBdr>
        <w:top w:val="none" w:sz="0" w:space="0" w:color="auto"/>
        <w:left w:val="none" w:sz="0" w:space="0" w:color="auto"/>
        <w:bottom w:val="none" w:sz="0" w:space="0" w:color="auto"/>
        <w:right w:val="none" w:sz="0" w:space="0" w:color="auto"/>
      </w:divBdr>
    </w:div>
    <w:div w:id="405147681">
      <w:bodyDiv w:val="1"/>
      <w:marLeft w:val="0"/>
      <w:marRight w:val="0"/>
      <w:marTop w:val="0"/>
      <w:marBottom w:val="0"/>
      <w:divBdr>
        <w:top w:val="none" w:sz="0" w:space="0" w:color="auto"/>
        <w:left w:val="none" w:sz="0" w:space="0" w:color="auto"/>
        <w:bottom w:val="none" w:sz="0" w:space="0" w:color="auto"/>
        <w:right w:val="none" w:sz="0" w:space="0" w:color="auto"/>
      </w:divBdr>
    </w:div>
    <w:div w:id="407533516">
      <w:bodyDiv w:val="1"/>
      <w:marLeft w:val="0"/>
      <w:marRight w:val="0"/>
      <w:marTop w:val="0"/>
      <w:marBottom w:val="0"/>
      <w:divBdr>
        <w:top w:val="none" w:sz="0" w:space="0" w:color="auto"/>
        <w:left w:val="none" w:sz="0" w:space="0" w:color="auto"/>
        <w:bottom w:val="none" w:sz="0" w:space="0" w:color="auto"/>
        <w:right w:val="none" w:sz="0" w:space="0" w:color="auto"/>
      </w:divBdr>
    </w:div>
    <w:div w:id="408162210">
      <w:bodyDiv w:val="1"/>
      <w:marLeft w:val="0"/>
      <w:marRight w:val="0"/>
      <w:marTop w:val="0"/>
      <w:marBottom w:val="0"/>
      <w:divBdr>
        <w:top w:val="none" w:sz="0" w:space="0" w:color="auto"/>
        <w:left w:val="none" w:sz="0" w:space="0" w:color="auto"/>
        <w:bottom w:val="none" w:sz="0" w:space="0" w:color="auto"/>
        <w:right w:val="none" w:sz="0" w:space="0" w:color="auto"/>
      </w:divBdr>
    </w:div>
    <w:div w:id="409273241">
      <w:bodyDiv w:val="1"/>
      <w:marLeft w:val="0"/>
      <w:marRight w:val="0"/>
      <w:marTop w:val="0"/>
      <w:marBottom w:val="0"/>
      <w:divBdr>
        <w:top w:val="none" w:sz="0" w:space="0" w:color="auto"/>
        <w:left w:val="none" w:sz="0" w:space="0" w:color="auto"/>
        <w:bottom w:val="none" w:sz="0" w:space="0" w:color="auto"/>
        <w:right w:val="none" w:sz="0" w:space="0" w:color="auto"/>
      </w:divBdr>
    </w:div>
    <w:div w:id="411584462">
      <w:bodyDiv w:val="1"/>
      <w:marLeft w:val="0"/>
      <w:marRight w:val="0"/>
      <w:marTop w:val="0"/>
      <w:marBottom w:val="0"/>
      <w:divBdr>
        <w:top w:val="none" w:sz="0" w:space="0" w:color="auto"/>
        <w:left w:val="none" w:sz="0" w:space="0" w:color="auto"/>
        <w:bottom w:val="none" w:sz="0" w:space="0" w:color="auto"/>
        <w:right w:val="none" w:sz="0" w:space="0" w:color="auto"/>
      </w:divBdr>
    </w:div>
    <w:div w:id="411586338">
      <w:bodyDiv w:val="1"/>
      <w:marLeft w:val="0"/>
      <w:marRight w:val="0"/>
      <w:marTop w:val="0"/>
      <w:marBottom w:val="0"/>
      <w:divBdr>
        <w:top w:val="none" w:sz="0" w:space="0" w:color="auto"/>
        <w:left w:val="none" w:sz="0" w:space="0" w:color="auto"/>
        <w:bottom w:val="none" w:sz="0" w:space="0" w:color="auto"/>
        <w:right w:val="none" w:sz="0" w:space="0" w:color="auto"/>
      </w:divBdr>
    </w:div>
    <w:div w:id="412045249">
      <w:bodyDiv w:val="1"/>
      <w:marLeft w:val="0"/>
      <w:marRight w:val="0"/>
      <w:marTop w:val="0"/>
      <w:marBottom w:val="0"/>
      <w:divBdr>
        <w:top w:val="none" w:sz="0" w:space="0" w:color="auto"/>
        <w:left w:val="none" w:sz="0" w:space="0" w:color="auto"/>
        <w:bottom w:val="none" w:sz="0" w:space="0" w:color="auto"/>
        <w:right w:val="none" w:sz="0" w:space="0" w:color="auto"/>
      </w:divBdr>
    </w:div>
    <w:div w:id="412701265">
      <w:bodyDiv w:val="1"/>
      <w:marLeft w:val="0"/>
      <w:marRight w:val="0"/>
      <w:marTop w:val="0"/>
      <w:marBottom w:val="0"/>
      <w:divBdr>
        <w:top w:val="none" w:sz="0" w:space="0" w:color="auto"/>
        <w:left w:val="none" w:sz="0" w:space="0" w:color="auto"/>
        <w:bottom w:val="none" w:sz="0" w:space="0" w:color="auto"/>
        <w:right w:val="none" w:sz="0" w:space="0" w:color="auto"/>
      </w:divBdr>
    </w:div>
    <w:div w:id="413169797">
      <w:bodyDiv w:val="1"/>
      <w:marLeft w:val="0"/>
      <w:marRight w:val="0"/>
      <w:marTop w:val="0"/>
      <w:marBottom w:val="0"/>
      <w:divBdr>
        <w:top w:val="none" w:sz="0" w:space="0" w:color="auto"/>
        <w:left w:val="none" w:sz="0" w:space="0" w:color="auto"/>
        <w:bottom w:val="none" w:sz="0" w:space="0" w:color="auto"/>
        <w:right w:val="none" w:sz="0" w:space="0" w:color="auto"/>
      </w:divBdr>
    </w:div>
    <w:div w:id="414980677">
      <w:bodyDiv w:val="1"/>
      <w:marLeft w:val="0"/>
      <w:marRight w:val="0"/>
      <w:marTop w:val="0"/>
      <w:marBottom w:val="0"/>
      <w:divBdr>
        <w:top w:val="none" w:sz="0" w:space="0" w:color="auto"/>
        <w:left w:val="none" w:sz="0" w:space="0" w:color="auto"/>
        <w:bottom w:val="none" w:sz="0" w:space="0" w:color="auto"/>
        <w:right w:val="none" w:sz="0" w:space="0" w:color="auto"/>
      </w:divBdr>
    </w:div>
    <w:div w:id="415052657">
      <w:bodyDiv w:val="1"/>
      <w:marLeft w:val="0"/>
      <w:marRight w:val="0"/>
      <w:marTop w:val="0"/>
      <w:marBottom w:val="0"/>
      <w:divBdr>
        <w:top w:val="none" w:sz="0" w:space="0" w:color="auto"/>
        <w:left w:val="none" w:sz="0" w:space="0" w:color="auto"/>
        <w:bottom w:val="none" w:sz="0" w:space="0" w:color="auto"/>
        <w:right w:val="none" w:sz="0" w:space="0" w:color="auto"/>
      </w:divBdr>
    </w:div>
    <w:div w:id="415904419">
      <w:bodyDiv w:val="1"/>
      <w:marLeft w:val="0"/>
      <w:marRight w:val="0"/>
      <w:marTop w:val="0"/>
      <w:marBottom w:val="0"/>
      <w:divBdr>
        <w:top w:val="none" w:sz="0" w:space="0" w:color="auto"/>
        <w:left w:val="none" w:sz="0" w:space="0" w:color="auto"/>
        <w:bottom w:val="none" w:sz="0" w:space="0" w:color="auto"/>
        <w:right w:val="none" w:sz="0" w:space="0" w:color="auto"/>
      </w:divBdr>
    </w:div>
    <w:div w:id="416901682">
      <w:bodyDiv w:val="1"/>
      <w:marLeft w:val="0"/>
      <w:marRight w:val="0"/>
      <w:marTop w:val="0"/>
      <w:marBottom w:val="0"/>
      <w:divBdr>
        <w:top w:val="none" w:sz="0" w:space="0" w:color="auto"/>
        <w:left w:val="none" w:sz="0" w:space="0" w:color="auto"/>
        <w:bottom w:val="none" w:sz="0" w:space="0" w:color="auto"/>
        <w:right w:val="none" w:sz="0" w:space="0" w:color="auto"/>
      </w:divBdr>
    </w:div>
    <w:div w:id="417556078">
      <w:bodyDiv w:val="1"/>
      <w:marLeft w:val="0"/>
      <w:marRight w:val="0"/>
      <w:marTop w:val="0"/>
      <w:marBottom w:val="0"/>
      <w:divBdr>
        <w:top w:val="none" w:sz="0" w:space="0" w:color="auto"/>
        <w:left w:val="none" w:sz="0" w:space="0" w:color="auto"/>
        <w:bottom w:val="none" w:sz="0" w:space="0" w:color="auto"/>
        <w:right w:val="none" w:sz="0" w:space="0" w:color="auto"/>
      </w:divBdr>
    </w:div>
    <w:div w:id="419452120">
      <w:bodyDiv w:val="1"/>
      <w:marLeft w:val="0"/>
      <w:marRight w:val="0"/>
      <w:marTop w:val="0"/>
      <w:marBottom w:val="0"/>
      <w:divBdr>
        <w:top w:val="none" w:sz="0" w:space="0" w:color="auto"/>
        <w:left w:val="none" w:sz="0" w:space="0" w:color="auto"/>
        <w:bottom w:val="none" w:sz="0" w:space="0" w:color="auto"/>
        <w:right w:val="none" w:sz="0" w:space="0" w:color="auto"/>
      </w:divBdr>
    </w:div>
    <w:div w:id="420956206">
      <w:bodyDiv w:val="1"/>
      <w:marLeft w:val="0"/>
      <w:marRight w:val="0"/>
      <w:marTop w:val="0"/>
      <w:marBottom w:val="0"/>
      <w:divBdr>
        <w:top w:val="none" w:sz="0" w:space="0" w:color="auto"/>
        <w:left w:val="none" w:sz="0" w:space="0" w:color="auto"/>
        <w:bottom w:val="none" w:sz="0" w:space="0" w:color="auto"/>
        <w:right w:val="none" w:sz="0" w:space="0" w:color="auto"/>
      </w:divBdr>
    </w:div>
    <w:div w:id="421266667">
      <w:bodyDiv w:val="1"/>
      <w:marLeft w:val="0"/>
      <w:marRight w:val="0"/>
      <w:marTop w:val="0"/>
      <w:marBottom w:val="0"/>
      <w:divBdr>
        <w:top w:val="none" w:sz="0" w:space="0" w:color="auto"/>
        <w:left w:val="none" w:sz="0" w:space="0" w:color="auto"/>
        <w:bottom w:val="none" w:sz="0" w:space="0" w:color="auto"/>
        <w:right w:val="none" w:sz="0" w:space="0" w:color="auto"/>
      </w:divBdr>
    </w:div>
    <w:div w:id="421339866">
      <w:bodyDiv w:val="1"/>
      <w:marLeft w:val="0"/>
      <w:marRight w:val="0"/>
      <w:marTop w:val="0"/>
      <w:marBottom w:val="0"/>
      <w:divBdr>
        <w:top w:val="none" w:sz="0" w:space="0" w:color="auto"/>
        <w:left w:val="none" w:sz="0" w:space="0" w:color="auto"/>
        <w:bottom w:val="none" w:sz="0" w:space="0" w:color="auto"/>
        <w:right w:val="none" w:sz="0" w:space="0" w:color="auto"/>
      </w:divBdr>
    </w:div>
    <w:div w:id="421992512">
      <w:bodyDiv w:val="1"/>
      <w:marLeft w:val="0"/>
      <w:marRight w:val="0"/>
      <w:marTop w:val="0"/>
      <w:marBottom w:val="0"/>
      <w:divBdr>
        <w:top w:val="none" w:sz="0" w:space="0" w:color="auto"/>
        <w:left w:val="none" w:sz="0" w:space="0" w:color="auto"/>
        <w:bottom w:val="none" w:sz="0" w:space="0" w:color="auto"/>
        <w:right w:val="none" w:sz="0" w:space="0" w:color="auto"/>
      </w:divBdr>
    </w:div>
    <w:div w:id="425543596">
      <w:bodyDiv w:val="1"/>
      <w:marLeft w:val="0"/>
      <w:marRight w:val="0"/>
      <w:marTop w:val="0"/>
      <w:marBottom w:val="0"/>
      <w:divBdr>
        <w:top w:val="none" w:sz="0" w:space="0" w:color="auto"/>
        <w:left w:val="none" w:sz="0" w:space="0" w:color="auto"/>
        <w:bottom w:val="none" w:sz="0" w:space="0" w:color="auto"/>
        <w:right w:val="none" w:sz="0" w:space="0" w:color="auto"/>
      </w:divBdr>
    </w:div>
    <w:div w:id="425735603">
      <w:bodyDiv w:val="1"/>
      <w:marLeft w:val="0"/>
      <w:marRight w:val="0"/>
      <w:marTop w:val="0"/>
      <w:marBottom w:val="0"/>
      <w:divBdr>
        <w:top w:val="none" w:sz="0" w:space="0" w:color="auto"/>
        <w:left w:val="none" w:sz="0" w:space="0" w:color="auto"/>
        <w:bottom w:val="none" w:sz="0" w:space="0" w:color="auto"/>
        <w:right w:val="none" w:sz="0" w:space="0" w:color="auto"/>
      </w:divBdr>
    </w:div>
    <w:div w:id="426344268">
      <w:bodyDiv w:val="1"/>
      <w:marLeft w:val="0"/>
      <w:marRight w:val="0"/>
      <w:marTop w:val="0"/>
      <w:marBottom w:val="0"/>
      <w:divBdr>
        <w:top w:val="none" w:sz="0" w:space="0" w:color="auto"/>
        <w:left w:val="none" w:sz="0" w:space="0" w:color="auto"/>
        <w:bottom w:val="none" w:sz="0" w:space="0" w:color="auto"/>
        <w:right w:val="none" w:sz="0" w:space="0" w:color="auto"/>
      </w:divBdr>
    </w:div>
    <w:div w:id="427623355">
      <w:bodyDiv w:val="1"/>
      <w:marLeft w:val="0"/>
      <w:marRight w:val="0"/>
      <w:marTop w:val="0"/>
      <w:marBottom w:val="0"/>
      <w:divBdr>
        <w:top w:val="none" w:sz="0" w:space="0" w:color="auto"/>
        <w:left w:val="none" w:sz="0" w:space="0" w:color="auto"/>
        <w:bottom w:val="none" w:sz="0" w:space="0" w:color="auto"/>
        <w:right w:val="none" w:sz="0" w:space="0" w:color="auto"/>
      </w:divBdr>
    </w:div>
    <w:div w:id="429353308">
      <w:bodyDiv w:val="1"/>
      <w:marLeft w:val="0"/>
      <w:marRight w:val="0"/>
      <w:marTop w:val="0"/>
      <w:marBottom w:val="0"/>
      <w:divBdr>
        <w:top w:val="none" w:sz="0" w:space="0" w:color="auto"/>
        <w:left w:val="none" w:sz="0" w:space="0" w:color="auto"/>
        <w:bottom w:val="none" w:sz="0" w:space="0" w:color="auto"/>
        <w:right w:val="none" w:sz="0" w:space="0" w:color="auto"/>
      </w:divBdr>
    </w:div>
    <w:div w:id="430006650">
      <w:bodyDiv w:val="1"/>
      <w:marLeft w:val="0"/>
      <w:marRight w:val="0"/>
      <w:marTop w:val="0"/>
      <w:marBottom w:val="0"/>
      <w:divBdr>
        <w:top w:val="none" w:sz="0" w:space="0" w:color="auto"/>
        <w:left w:val="none" w:sz="0" w:space="0" w:color="auto"/>
        <w:bottom w:val="none" w:sz="0" w:space="0" w:color="auto"/>
        <w:right w:val="none" w:sz="0" w:space="0" w:color="auto"/>
      </w:divBdr>
    </w:div>
    <w:div w:id="430010677">
      <w:bodyDiv w:val="1"/>
      <w:marLeft w:val="0"/>
      <w:marRight w:val="0"/>
      <w:marTop w:val="0"/>
      <w:marBottom w:val="0"/>
      <w:divBdr>
        <w:top w:val="none" w:sz="0" w:space="0" w:color="auto"/>
        <w:left w:val="none" w:sz="0" w:space="0" w:color="auto"/>
        <w:bottom w:val="none" w:sz="0" w:space="0" w:color="auto"/>
        <w:right w:val="none" w:sz="0" w:space="0" w:color="auto"/>
      </w:divBdr>
    </w:div>
    <w:div w:id="430197630">
      <w:bodyDiv w:val="1"/>
      <w:marLeft w:val="0"/>
      <w:marRight w:val="0"/>
      <w:marTop w:val="0"/>
      <w:marBottom w:val="0"/>
      <w:divBdr>
        <w:top w:val="none" w:sz="0" w:space="0" w:color="auto"/>
        <w:left w:val="none" w:sz="0" w:space="0" w:color="auto"/>
        <w:bottom w:val="none" w:sz="0" w:space="0" w:color="auto"/>
        <w:right w:val="none" w:sz="0" w:space="0" w:color="auto"/>
      </w:divBdr>
    </w:div>
    <w:div w:id="430317671">
      <w:bodyDiv w:val="1"/>
      <w:marLeft w:val="0"/>
      <w:marRight w:val="0"/>
      <w:marTop w:val="0"/>
      <w:marBottom w:val="0"/>
      <w:divBdr>
        <w:top w:val="none" w:sz="0" w:space="0" w:color="auto"/>
        <w:left w:val="none" w:sz="0" w:space="0" w:color="auto"/>
        <w:bottom w:val="none" w:sz="0" w:space="0" w:color="auto"/>
        <w:right w:val="none" w:sz="0" w:space="0" w:color="auto"/>
      </w:divBdr>
    </w:div>
    <w:div w:id="431098423">
      <w:bodyDiv w:val="1"/>
      <w:marLeft w:val="0"/>
      <w:marRight w:val="0"/>
      <w:marTop w:val="0"/>
      <w:marBottom w:val="0"/>
      <w:divBdr>
        <w:top w:val="none" w:sz="0" w:space="0" w:color="auto"/>
        <w:left w:val="none" w:sz="0" w:space="0" w:color="auto"/>
        <w:bottom w:val="none" w:sz="0" w:space="0" w:color="auto"/>
        <w:right w:val="none" w:sz="0" w:space="0" w:color="auto"/>
      </w:divBdr>
    </w:div>
    <w:div w:id="431584763">
      <w:bodyDiv w:val="1"/>
      <w:marLeft w:val="0"/>
      <w:marRight w:val="0"/>
      <w:marTop w:val="0"/>
      <w:marBottom w:val="0"/>
      <w:divBdr>
        <w:top w:val="none" w:sz="0" w:space="0" w:color="auto"/>
        <w:left w:val="none" w:sz="0" w:space="0" w:color="auto"/>
        <w:bottom w:val="none" w:sz="0" w:space="0" w:color="auto"/>
        <w:right w:val="none" w:sz="0" w:space="0" w:color="auto"/>
      </w:divBdr>
    </w:div>
    <w:div w:id="431976082">
      <w:bodyDiv w:val="1"/>
      <w:marLeft w:val="0"/>
      <w:marRight w:val="0"/>
      <w:marTop w:val="0"/>
      <w:marBottom w:val="0"/>
      <w:divBdr>
        <w:top w:val="none" w:sz="0" w:space="0" w:color="auto"/>
        <w:left w:val="none" w:sz="0" w:space="0" w:color="auto"/>
        <w:bottom w:val="none" w:sz="0" w:space="0" w:color="auto"/>
        <w:right w:val="none" w:sz="0" w:space="0" w:color="auto"/>
      </w:divBdr>
    </w:div>
    <w:div w:id="432288205">
      <w:bodyDiv w:val="1"/>
      <w:marLeft w:val="0"/>
      <w:marRight w:val="0"/>
      <w:marTop w:val="0"/>
      <w:marBottom w:val="0"/>
      <w:divBdr>
        <w:top w:val="none" w:sz="0" w:space="0" w:color="auto"/>
        <w:left w:val="none" w:sz="0" w:space="0" w:color="auto"/>
        <w:bottom w:val="none" w:sz="0" w:space="0" w:color="auto"/>
        <w:right w:val="none" w:sz="0" w:space="0" w:color="auto"/>
      </w:divBdr>
    </w:div>
    <w:div w:id="432406836">
      <w:bodyDiv w:val="1"/>
      <w:marLeft w:val="0"/>
      <w:marRight w:val="0"/>
      <w:marTop w:val="0"/>
      <w:marBottom w:val="0"/>
      <w:divBdr>
        <w:top w:val="none" w:sz="0" w:space="0" w:color="auto"/>
        <w:left w:val="none" w:sz="0" w:space="0" w:color="auto"/>
        <w:bottom w:val="none" w:sz="0" w:space="0" w:color="auto"/>
        <w:right w:val="none" w:sz="0" w:space="0" w:color="auto"/>
      </w:divBdr>
    </w:div>
    <w:div w:id="433403404">
      <w:bodyDiv w:val="1"/>
      <w:marLeft w:val="0"/>
      <w:marRight w:val="0"/>
      <w:marTop w:val="0"/>
      <w:marBottom w:val="0"/>
      <w:divBdr>
        <w:top w:val="none" w:sz="0" w:space="0" w:color="auto"/>
        <w:left w:val="none" w:sz="0" w:space="0" w:color="auto"/>
        <w:bottom w:val="none" w:sz="0" w:space="0" w:color="auto"/>
        <w:right w:val="none" w:sz="0" w:space="0" w:color="auto"/>
      </w:divBdr>
    </w:div>
    <w:div w:id="434253618">
      <w:bodyDiv w:val="1"/>
      <w:marLeft w:val="0"/>
      <w:marRight w:val="0"/>
      <w:marTop w:val="0"/>
      <w:marBottom w:val="0"/>
      <w:divBdr>
        <w:top w:val="none" w:sz="0" w:space="0" w:color="auto"/>
        <w:left w:val="none" w:sz="0" w:space="0" w:color="auto"/>
        <w:bottom w:val="none" w:sz="0" w:space="0" w:color="auto"/>
        <w:right w:val="none" w:sz="0" w:space="0" w:color="auto"/>
      </w:divBdr>
    </w:div>
    <w:div w:id="434593633">
      <w:bodyDiv w:val="1"/>
      <w:marLeft w:val="0"/>
      <w:marRight w:val="0"/>
      <w:marTop w:val="0"/>
      <w:marBottom w:val="0"/>
      <w:divBdr>
        <w:top w:val="none" w:sz="0" w:space="0" w:color="auto"/>
        <w:left w:val="none" w:sz="0" w:space="0" w:color="auto"/>
        <w:bottom w:val="none" w:sz="0" w:space="0" w:color="auto"/>
        <w:right w:val="none" w:sz="0" w:space="0" w:color="auto"/>
      </w:divBdr>
    </w:div>
    <w:div w:id="435174116">
      <w:bodyDiv w:val="1"/>
      <w:marLeft w:val="0"/>
      <w:marRight w:val="0"/>
      <w:marTop w:val="0"/>
      <w:marBottom w:val="0"/>
      <w:divBdr>
        <w:top w:val="none" w:sz="0" w:space="0" w:color="auto"/>
        <w:left w:val="none" w:sz="0" w:space="0" w:color="auto"/>
        <w:bottom w:val="none" w:sz="0" w:space="0" w:color="auto"/>
        <w:right w:val="none" w:sz="0" w:space="0" w:color="auto"/>
      </w:divBdr>
    </w:div>
    <w:div w:id="435559657">
      <w:bodyDiv w:val="1"/>
      <w:marLeft w:val="0"/>
      <w:marRight w:val="0"/>
      <w:marTop w:val="0"/>
      <w:marBottom w:val="0"/>
      <w:divBdr>
        <w:top w:val="none" w:sz="0" w:space="0" w:color="auto"/>
        <w:left w:val="none" w:sz="0" w:space="0" w:color="auto"/>
        <w:bottom w:val="none" w:sz="0" w:space="0" w:color="auto"/>
        <w:right w:val="none" w:sz="0" w:space="0" w:color="auto"/>
      </w:divBdr>
    </w:div>
    <w:div w:id="436143177">
      <w:bodyDiv w:val="1"/>
      <w:marLeft w:val="0"/>
      <w:marRight w:val="0"/>
      <w:marTop w:val="0"/>
      <w:marBottom w:val="0"/>
      <w:divBdr>
        <w:top w:val="none" w:sz="0" w:space="0" w:color="auto"/>
        <w:left w:val="none" w:sz="0" w:space="0" w:color="auto"/>
        <w:bottom w:val="none" w:sz="0" w:space="0" w:color="auto"/>
        <w:right w:val="none" w:sz="0" w:space="0" w:color="auto"/>
      </w:divBdr>
    </w:div>
    <w:div w:id="436216838">
      <w:bodyDiv w:val="1"/>
      <w:marLeft w:val="0"/>
      <w:marRight w:val="0"/>
      <w:marTop w:val="0"/>
      <w:marBottom w:val="0"/>
      <w:divBdr>
        <w:top w:val="none" w:sz="0" w:space="0" w:color="auto"/>
        <w:left w:val="none" w:sz="0" w:space="0" w:color="auto"/>
        <w:bottom w:val="none" w:sz="0" w:space="0" w:color="auto"/>
        <w:right w:val="none" w:sz="0" w:space="0" w:color="auto"/>
      </w:divBdr>
    </w:div>
    <w:div w:id="437599007">
      <w:bodyDiv w:val="1"/>
      <w:marLeft w:val="0"/>
      <w:marRight w:val="0"/>
      <w:marTop w:val="0"/>
      <w:marBottom w:val="0"/>
      <w:divBdr>
        <w:top w:val="none" w:sz="0" w:space="0" w:color="auto"/>
        <w:left w:val="none" w:sz="0" w:space="0" w:color="auto"/>
        <w:bottom w:val="none" w:sz="0" w:space="0" w:color="auto"/>
        <w:right w:val="none" w:sz="0" w:space="0" w:color="auto"/>
      </w:divBdr>
    </w:div>
    <w:div w:id="437868000">
      <w:bodyDiv w:val="1"/>
      <w:marLeft w:val="0"/>
      <w:marRight w:val="0"/>
      <w:marTop w:val="0"/>
      <w:marBottom w:val="0"/>
      <w:divBdr>
        <w:top w:val="none" w:sz="0" w:space="0" w:color="auto"/>
        <w:left w:val="none" w:sz="0" w:space="0" w:color="auto"/>
        <w:bottom w:val="none" w:sz="0" w:space="0" w:color="auto"/>
        <w:right w:val="none" w:sz="0" w:space="0" w:color="auto"/>
      </w:divBdr>
    </w:div>
    <w:div w:id="438572654">
      <w:bodyDiv w:val="1"/>
      <w:marLeft w:val="0"/>
      <w:marRight w:val="0"/>
      <w:marTop w:val="0"/>
      <w:marBottom w:val="0"/>
      <w:divBdr>
        <w:top w:val="none" w:sz="0" w:space="0" w:color="auto"/>
        <w:left w:val="none" w:sz="0" w:space="0" w:color="auto"/>
        <w:bottom w:val="none" w:sz="0" w:space="0" w:color="auto"/>
        <w:right w:val="none" w:sz="0" w:space="0" w:color="auto"/>
      </w:divBdr>
    </w:div>
    <w:div w:id="438842051">
      <w:bodyDiv w:val="1"/>
      <w:marLeft w:val="0"/>
      <w:marRight w:val="0"/>
      <w:marTop w:val="0"/>
      <w:marBottom w:val="0"/>
      <w:divBdr>
        <w:top w:val="none" w:sz="0" w:space="0" w:color="auto"/>
        <w:left w:val="none" w:sz="0" w:space="0" w:color="auto"/>
        <w:bottom w:val="none" w:sz="0" w:space="0" w:color="auto"/>
        <w:right w:val="none" w:sz="0" w:space="0" w:color="auto"/>
      </w:divBdr>
    </w:div>
    <w:div w:id="439107310">
      <w:bodyDiv w:val="1"/>
      <w:marLeft w:val="0"/>
      <w:marRight w:val="0"/>
      <w:marTop w:val="0"/>
      <w:marBottom w:val="0"/>
      <w:divBdr>
        <w:top w:val="none" w:sz="0" w:space="0" w:color="auto"/>
        <w:left w:val="none" w:sz="0" w:space="0" w:color="auto"/>
        <w:bottom w:val="none" w:sz="0" w:space="0" w:color="auto"/>
        <w:right w:val="none" w:sz="0" w:space="0" w:color="auto"/>
      </w:divBdr>
    </w:div>
    <w:div w:id="440220598">
      <w:bodyDiv w:val="1"/>
      <w:marLeft w:val="0"/>
      <w:marRight w:val="0"/>
      <w:marTop w:val="0"/>
      <w:marBottom w:val="0"/>
      <w:divBdr>
        <w:top w:val="none" w:sz="0" w:space="0" w:color="auto"/>
        <w:left w:val="none" w:sz="0" w:space="0" w:color="auto"/>
        <w:bottom w:val="none" w:sz="0" w:space="0" w:color="auto"/>
        <w:right w:val="none" w:sz="0" w:space="0" w:color="auto"/>
      </w:divBdr>
    </w:div>
    <w:div w:id="440226372">
      <w:bodyDiv w:val="1"/>
      <w:marLeft w:val="0"/>
      <w:marRight w:val="0"/>
      <w:marTop w:val="0"/>
      <w:marBottom w:val="0"/>
      <w:divBdr>
        <w:top w:val="none" w:sz="0" w:space="0" w:color="auto"/>
        <w:left w:val="none" w:sz="0" w:space="0" w:color="auto"/>
        <w:bottom w:val="none" w:sz="0" w:space="0" w:color="auto"/>
        <w:right w:val="none" w:sz="0" w:space="0" w:color="auto"/>
      </w:divBdr>
    </w:div>
    <w:div w:id="440302108">
      <w:bodyDiv w:val="1"/>
      <w:marLeft w:val="0"/>
      <w:marRight w:val="0"/>
      <w:marTop w:val="0"/>
      <w:marBottom w:val="0"/>
      <w:divBdr>
        <w:top w:val="none" w:sz="0" w:space="0" w:color="auto"/>
        <w:left w:val="none" w:sz="0" w:space="0" w:color="auto"/>
        <w:bottom w:val="none" w:sz="0" w:space="0" w:color="auto"/>
        <w:right w:val="none" w:sz="0" w:space="0" w:color="auto"/>
      </w:divBdr>
    </w:div>
    <w:div w:id="441270698">
      <w:bodyDiv w:val="1"/>
      <w:marLeft w:val="0"/>
      <w:marRight w:val="0"/>
      <w:marTop w:val="0"/>
      <w:marBottom w:val="0"/>
      <w:divBdr>
        <w:top w:val="none" w:sz="0" w:space="0" w:color="auto"/>
        <w:left w:val="none" w:sz="0" w:space="0" w:color="auto"/>
        <w:bottom w:val="none" w:sz="0" w:space="0" w:color="auto"/>
        <w:right w:val="none" w:sz="0" w:space="0" w:color="auto"/>
      </w:divBdr>
    </w:div>
    <w:div w:id="442193054">
      <w:bodyDiv w:val="1"/>
      <w:marLeft w:val="0"/>
      <w:marRight w:val="0"/>
      <w:marTop w:val="0"/>
      <w:marBottom w:val="0"/>
      <w:divBdr>
        <w:top w:val="none" w:sz="0" w:space="0" w:color="auto"/>
        <w:left w:val="none" w:sz="0" w:space="0" w:color="auto"/>
        <w:bottom w:val="none" w:sz="0" w:space="0" w:color="auto"/>
        <w:right w:val="none" w:sz="0" w:space="0" w:color="auto"/>
      </w:divBdr>
    </w:div>
    <w:div w:id="443304250">
      <w:bodyDiv w:val="1"/>
      <w:marLeft w:val="0"/>
      <w:marRight w:val="0"/>
      <w:marTop w:val="0"/>
      <w:marBottom w:val="0"/>
      <w:divBdr>
        <w:top w:val="none" w:sz="0" w:space="0" w:color="auto"/>
        <w:left w:val="none" w:sz="0" w:space="0" w:color="auto"/>
        <w:bottom w:val="none" w:sz="0" w:space="0" w:color="auto"/>
        <w:right w:val="none" w:sz="0" w:space="0" w:color="auto"/>
      </w:divBdr>
    </w:div>
    <w:div w:id="444808080">
      <w:bodyDiv w:val="1"/>
      <w:marLeft w:val="0"/>
      <w:marRight w:val="0"/>
      <w:marTop w:val="0"/>
      <w:marBottom w:val="0"/>
      <w:divBdr>
        <w:top w:val="none" w:sz="0" w:space="0" w:color="auto"/>
        <w:left w:val="none" w:sz="0" w:space="0" w:color="auto"/>
        <w:bottom w:val="none" w:sz="0" w:space="0" w:color="auto"/>
        <w:right w:val="none" w:sz="0" w:space="0" w:color="auto"/>
      </w:divBdr>
    </w:div>
    <w:div w:id="444810564">
      <w:bodyDiv w:val="1"/>
      <w:marLeft w:val="0"/>
      <w:marRight w:val="0"/>
      <w:marTop w:val="0"/>
      <w:marBottom w:val="0"/>
      <w:divBdr>
        <w:top w:val="none" w:sz="0" w:space="0" w:color="auto"/>
        <w:left w:val="none" w:sz="0" w:space="0" w:color="auto"/>
        <w:bottom w:val="none" w:sz="0" w:space="0" w:color="auto"/>
        <w:right w:val="none" w:sz="0" w:space="0" w:color="auto"/>
      </w:divBdr>
    </w:div>
    <w:div w:id="445002420">
      <w:bodyDiv w:val="1"/>
      <w:marLeft w:val="0"/>
      <w:marRight w:val="0"/>
      <w:marTop w:val="0"/>
      <w:marBottom w:val="0"/>
      <w:divBdr>
        <w:top w:val="none" w:sz="0" w:space="0" w:color="auto"/>
        <w:left w:val="none" w:sz="0" w:space="0" w:color="auto"/>
        <w:bottom w:val="none" w:sz="0" w:space="0" w:color="auto"/>
        <w:right w:val="none" w:sz="0" w:space="0" w:color="auto"/>
      </w:divBdr>
    </w:div>
    <w:div w:id="445006937">
      <w:bodyDiv w:val="1"/>
      <w:marLeft w:val="0"/>
      <w:marRight w:val="0"/>
      <w:marTop w:val="0"/>
      <w:marBottom w:val="0"/>
      <w:divBdr>
        <w:top w:val="none" w:sz="0" w:space="0" w:color="auto"/>
        <w:left w:val="none" w:sz="0" w:space="0" w:color="auto"/>
        <w:bottom w:val="none" w:sz="0" w:space="0" w:color="auto"/>
        <w:right w:val="none" w:sz="0" w:space="0" w:color="auto"/>
      </w:divBdr>
    </w:div>
    <w:div w:id="445121499">
      <w:bodyDiv w:val="1"/>
      <w:marLeft w:val="0"/>
      <w:marRight w:val="0"/>
      <w:marTop w:val="0"/>
      <w:marBottom w:val="0"/>
      <w:divBdr>
        <w:top w:val="none" w:sz="0" w:space="0" w:color="auto"/>
        <w:left w:val="none" w:sz="0" w:space="0" w:color="auto"/>
        <w:bottom w:val="none" w:sz="0" w:space="0" w:color="auto"/>
        <w:right w:val="none" w:sz="0" w:space="0" w:color="auto"/>
      </w:divBdr>
    </w:div>
    <w:div w:id="445589253">
      <w:bodyDiv w:val="1"/>
      <w:marLeft w:val="0"/>
      <w:marRight w:val="0"/>
      <w:marTop w:val="0"/>
      <w:marBottom w:val="0"/>
      <w:divBdr>
        <w:top w:val="none" w:sz="0" w:space="0" w:color="auto"/>
        <w:left w:val="none" w:sz="0" w:space="0" w:color="auto"/>
        <w:bottom w:val="none" w:sz="0" w:space="0" w:color="auto"/>
        <w:right w:val="none" w:sz="0" w:space="0" w:color="auto"/>
      </w:divBdr>
    </w:div>
    <w:div w:id="445930201">
      <w:bodyDiv w:val="1"/>
      <w:marLeft w:val="0"/>
      <w:marRight w:val="0"/>
      <w:marTop w:val="0"/>
      <w:marBottom w:val="0"/>
      <w:divBdr>
        <w:top w:val="none" w:sz="0" w:space="0" w:color="auto"/>
        <w:left w:val="none" w:sz="0" w:space="0" w:color="auto"/>
        <w:bottom w:val="none" w:sz="0" w:space="0" w:color="auto"/>
        <w:right w:val="none" w:sz="0" w:space="0" w:color="auto"/>
      </w:divBdr>
    </w:div>
    <w:div w:id="446630707">
      <w:bodyDiv w:val="1"/>
      <w:marLeft w:val="0"/>
      <w:marRight w:val="0"/>
      <w:marTop w:val="0"/>
      <w:marBottom w:val="0"/>
      <w:divBdr>
        <w:top w:val="none" w:sz="0" w:space="0" w:color="auto"/>
        <w:left w:val="none" w:sz="0" w:space="0" w:color="auto"/>
        <w:bottom w:val="none" w:sz="0" w:space="0" w:color="auto"/>
        <w:right w:val="none" w:sz="0" w:space="0" w:color="auto"/>
      </w:divBdr>
    </w:div>
    <w:div w:id="447161362">
      <w:bodyDiv w:val="1"/>
      <w:marLeft w:val="0"/>
      <w:marRight w:val="0"/>
      <w:marTop w:val="0"/>
      <w:marBottom w:val="0"/>
      <w:divBdr>
        <w:top w:val="none" w:sz="0" w:space="0" w:color="auto"/>
        <w:left w:val="none" w:sz="0" w:space="0" w:color="auto"/>
        <w:bottom w:val="none" w:sz="0" w:space="0" w:color="auto"/>
        <w:right w:val="none" w:sz="0" w:space="0" w:color="auto"/>
      </w:divBdr>
    </w:div>
    <w:div w:id="447818844">
      <w:bodyDiv w:val="1"/>
      <w:marLeft w:val="0"/>
      <w:marRight w:val="0"/>
      <w:marTop w:val="0"/>
      <w:marBottom w:val="0"/>
      <w:divBdr>
        <w:top w:val="none" w:sz="0" w:space="0" w:color="auto"/>
        <w:left w:val="none" w:sz="0" w:space="0" w:color="auto"/>
        <w:bottom w:val="none" w:sz="0" w:space="0" w:color="auto"/>
        <w:right w:val="none" w:sz="0" w:space="0" w:color="auto"/>
      </w:divBdr>
    </w:div>
    <w:div w:id="447892207">
      <w:bodyDiv w:val="1"/>
      <w:marLeft w:val="0"/>
      <w:marRight w:val="0"/>
      <w:marTop w:val="0"/>
      <w:marBottom w:val="0"/>
      <w:divBdr>
        <w:top w:val="none" w:sz="0" w:space="0" w:color="auto"/>
        <w:left w:val="none" w:sz="0" w:space="0" w:color="auto"/>
        <w:bottom w:val="none" w:sz="0" w:space="0" w:color="auto"/>
        <w:right w:val="none" w:sz="0" w:space="0" w:color="auto"/>
      </w:divBdr>
    </w:div>
    <w:div w:id="449908007">
      <w:bodyDiv w:val="1"/>
      <w:marLeft w:val="0"/>
      <w:marRight w:val="0"/>
      <w:marTop w:val="0"/>
      <w:marBottom w:val="0"/>
      <w:divBdr>
        <w:top w:val="none" w:sz="0" w:space="0" w:color="auto"/>
        <w:left w:val="none" w:sz="0" w:space="0" w:color="auto"/>
        <w:bottom w:val="none" w:sz="0" w:space="0" w:color="auto"/>
        <w:right w:val="none" w:sz="0" w:space="0" w:color="auto"/>
      </w:divBdr>
    </w:div>
    <w:div w:id="450634070">
      <w:bodyDiv w:val="1"/>
      <w:marLeft w:val="0"/>
      <w:marRight w:val="0"/>
      <w:marTop w:val="0"/>
      <w:marBottom w:val="0"/>
      <w:divBdr>
        <w:top w:val="none" w:sz="0" w:space="0" w:color="auto"/>
        <w:left w:val="none" w:sz="0" w:space="0" w:color="auto"/>
        <w:bottom w:val="none" w:sz="0" w:space="0" w:color="auto"/>
        <w:right w:val="none" w:sz="0" w:space="0" w:color="auto"/>
      </w:divBdr>
    </w:div>
    <w:div w:id="451359745">
      <w:bodyDiv w:val="1"/>
      <w:marLeft w:val="0"/>
      <w:marRight w:val="0"/>
      <w:marTop w:val="0"/>
      <w:marBottom w:val="0"/>
      <w:divBdr>
        <w:top w:val="none" w:sz="0" w:space="0" w:color="auto"/>
        <w:left w:val="none" w:sz="0" w:space="0" w:color="auto"/>
        <w:bottom w:val="none" w:sz="0" w:space="0" w:color="auto"/>
        <w:right w:val="none" w:sz="0" w:space="0" w:color="auto"/>
      </w:divBdr>
    </w:div>
    <w:div w:id="451629871">
      <w:bodyDiv w:val="1"/>
      <w:marLeft w:val="0"/>
      <w:marRight w:val="0"/>
      <w:marTop w:val="0"/>
      <w:marBottom w:val="0"/>
      <w:divBdr>
        <w:top w:val="none" w:sz="0" w:space="0" w:color="auto"/>
        <w:left w:val="none" w:sz="0" w:space="0" w:color="auto"/>
        <w:bottom w:val="none" w:sz="0" w:space="0" w:color="auto"/>
        <w:right w:val="none" w:sz="0" w:space="0" w:color="auto"/>
      </w:divBdr>
    </w:div>
    <w:div w:id="451678983">
      <w:bodyDiv w:val="1"/>
      <w:marLeft w:val="0"/>
      <w:marRight w:val="0"/>
      <w:marTop w:val="0"/>
      <w:marBottom w:val="0"/>
      <w:divBdr>
        <w:top w:val="none" w:sz="0" w:space="0" w:color="auto"/>
        <w:left w:val="none" w:sz="0" w:space="0" w:color="auto"/>
        <w:bottom w:val="none" w:sz="0" w:space="0" w:color="auto"/>
        <w:right w:val="none" w:sz="0" w:space="0" w:color="auto"/>
      </w:divBdr>
    </w:div>
    <w:div w:id="451940230">
      <w:bodyDiv w:val="1"/>
      <w:marLeft w:val="0"/>
      <w:marRight w:val="0"/>
      <w:marTop w:val="0"/>
      <w:marBottom w:val="0"/>
      <w:divBdr>
        <w:top w:val="none" w:sz="0" w:space="0" w:color="auto"/>
        <w:left w:val="none" w:sz="0" w:space="0" w:color="auto"/>
        <w:bottom w:val="none" w:sz="0" w:space="0" w:color="auto"/>
        <w:right w:val="none" w:sz="0" w:space="0" w:color="auto"/>
      </w:divBdr>
    </w:div>
    <w:div w:id="452944692">
      <w:bodyDiv w:val="1"/>
      <w:marLeft w:val="0"/>
      <w:marRight w:val="0"/>
      <w:marTop w:val="0"/>
      <w:marBottom w:val="0"/>
      <w:divBdr>
        <w:top w:val="none" w:sz="0" w:space="0" w:color="auto"/>
        <w:left w:val="none" w:sz="0" w:space="0" w:color="auto"/>
        <w:bottom w:val="none" w:sz="0" w:space="0" w:color="auto"/>
        <w:right w:val="none" w:sz="0" w:space="0" w:color="auto"/>
      </w:divBdr>
    </w:div>
    <w:div w:id="453209662">
      <w:bodyDiv w:val="1"/>
      <w:marLeft w:val="0"/>
      <w:marRight w:val="0"/>
      <w:marTop w:val="0"/>
      <w:marBottom w:val="0"/>
      <w:divBdr>
        <w:top w:val="none" w:sz="0" w:space="0" w:color="auto"/>
        <w:left w:val="none" w:sz="0" w:space="0" w:color="auto"/>
        <w:bottom w:val="none" w:sz="0" w:space="0" w:color="auto"/>
        <w:right w:val="none" w:sz="0" w:space="0" w:color="auto"/>
      </w:divBdr>
    </w:div>
    <w:div w:id="453408524">
      <w:bodyDiv w:val="1"/>
      <w:marLeft w:val="0"/>
      <w:marRight w:val="0"/>
      <w:marTop w:val="0"/>
      <w:marBottom w:val="0"/>
      <w:divBdr>
        <w:top w:val="none" w:sz="0" w:space="0" w:color="auto"/>
        <w:left w:val="none" w:sz="0" w:space="0" w:color="auto"/>
        <w:bottom w:val="none" w:sz="0" w:space="0" w:color="auto"/>
        <w:right w:val="none" w:sz="0" w:space="0" w:color="auto"/>
      </w:divBdr>
    </w:div>
    <w:div w:id="453641772">
      <w:bodyDiv w:val="1"/>
      <w:marLeft w:val="0"/>
      <w:marRight w:val="0"/>
      <w:marTop w:val="0"/>
      <w:marBottom w:val="0"/>
      <w:divBdr>
        <w:top w:val="none" w:sz="0" w:space="0" w:color="auto"/>
        <w:left w:val="none" w:sz="0" w:space="0" w:color="auto"/>
        <w:bottom w:val="none" w:sz="0" w:space="0" w:color="auto"/>
        <w:right w:val="none" w:sz="0" w:space="0" w:color="auto"/>
      </w:divBdr>
    </w:div>
    <w:div w:id="454560606">
      <w:bodyDiv w:val="1"/>
      <w:marLeft w:val="0"/>
      <w:marRight w:val="0"/>
      <w:marTop w:val="0"/>
      <w:marBottom w:val="0"/>
      <w:divBdr>
        <w:top w:val="none" w:sz="0" w:space="0" w:color="auto"/>
        <w:left w:val="none" w:sz="0" w:space="0" w:color="auto"/>
        <w:bottom w:val="none" w:sz="0" w:space="0" w:color="auto"/>
        <w:right w:val="none" w:sz="0" w:space="0" w:color="auto"/>
      </w:divBdr>
    </w:div>
    <w:div w:id="455148978">
      <w:bodyDiv w:val="1"/>
      <w:marLeft w:val="0"/>
      <w:marRight w:val="0"/>
      <w:marTop w:val="0"/>
      <w:marBottom w:val="0"/>
      <w:divBdr>
        <w:top w:val="none" w:sz="0" w:space="0" w:color="auto"/>
        <w:left w:val="none" w:sz="0" w:space="0" w:color="auto"/>
        <w:bottom w:val="none" w:sz="0" w:space="0" w:color="auto"/>
        <w:right w:val="none" w:sz="0" w:space="0" w:color="auto"/>
      </w:divBdr>
    </w:div>
    <w:div w:id="457601236">
      <w:bodyDiv w:val="1"/>
      <w:marLeft w:val="0"/>
      <w:marRight w:val="0"/>
      <w:marTop w:val="0"/>
      <w:marBottom w:val="0"/>
      <w:divBdr>
        <w:top w:val="none" w:sz="0" w:space="0" w:color="auto"/>
        <w:left w:val="none" w:sz="0" w:space="0" w:color="auto"/>
        <w:bottom w:val="none" w:sz="0" w:space="0" w:color="auto"/>
        <w:right w:val="none" w:sz="0" w:space="0" w:color="auto"/>
      </w:divBdr>
      <w:divsChild>
        <w:div w:id="86122587">
          <w:marLeft w:val="480"/>
          <w:marRight w:val="0"/>
          <w:marTop w:val="0"/>
          <w:marBottom w:val="0"/>
          <w:divBdr>
            <w:top w:val="none" w:sz="0" w:space="0" w:color="auto"/>
            <w:left w:val="none" w:sz="0" w:space="0" w:color="auto"/>
            <w:bottom w:val="none" w:sz="0" w:space="0" w:color="auto"/>
            <w:right w:val="none" w:sz="0" w:space="0" w:color="auto"/>
          </w:divBdr>
        </w:div>
        <w:div w:id="1509951866">
          <w:marLeft w:val="480"/>
          <w:marRight w:val="0"/>
          <w:marTop w:val="0"/>
          <w:marBottom w:val="0"/>
          <w:divBdr>
            <w:top w:val="none" w:sz="0" w:space="0" w:color="auto"/>
            <w:left w:val="none" w:sz="0" w:space="0" w:color="auto"/>
            <w:bottom w:val="none" w:sz="0" w:space="0" w:color="auto"/>
            <w:right w:val="none" w:sz="0" w:space="0" w:color="auto"/>
          </w:divBdr>
        </w:div>
        <w:div w:id="205215345">
          <w:marLeft w:val="480"/>
          <w:marRight w:val="0"/>
          <w:marTop w:val="0"/>
          <w:marBottom w:val="0"/>
          <w:divBdr>
            <w:top w:val="none" w:sz="0" w:space="0" w:color="auto"/>
            <w:left w:val="none" w:sz="0" w:space="0" w:color="auto"/>
            <w:bottom w:val="none" w:sz="0" w:space="0" w:color="auto"/>
            <w:right w:val="none" w:sz="0" w:space="0" w:color="auto"/>
          </w:divBdr>
        </w:div>
        <w:div w:id="1016689273">
          <w:marLeft w:val="480"/>
          <w:marRight w:val="0"/>
          <w:marTop w:val="0"/>
          <w:marBottom w:val="0"/>
          <w:divBdr>
            <w:top w:val="none" w:sz="0" w:space="0" w:color="auto"/>
            <w:left w:val="none" w:sz="0" w:space="0" w:color="auto"/>
            <w:bottom w:val="none" w:sz="0" w:space="0" w:color="auto"/>
            <w:right w:val="none" w:sz="0" w:space="0" w:color="auto"/>
          </w:divBdr>
        </w:div>
        <w:div w:id="944968050">
          <w:marLeft w:val="480"/>
          <w:marRight w:val="0"/>
          <w:marTop w:val="0"/>
          <w:marBottom w:val="0"/>
          <w:divBdr>
            <w:top w:val="none" w:sz="0" w:space="0" w:color="auto"/>
            <w:left w:val="none" w:sz="0" w:space="0" w:color="auto"/>
            <w:bottom w:val="none" w:sz="0" w:space="0" w:color="auto"/>
            <w:right w:val="none" w:sz="0" w:space="0" w:color="auto"/>
          </w:divBdr>
        </w:div>
        <w:div w:id="1613201328">
          <w:marLeft w:val="480"/>
          <w:marRight w:val="0"/>
          <w:marTop w:val="0"/>
          <w:marBottom w:val="0"/>
          <w:divBdr>
            <w:top w:val="none" w:sz="0" w:space="0" w:color="auto"/>
            <w:left w:val="none" w:sz="0" w:space="0" w:color="auto"/>
            <w:bottom w:val="none" w:sz="0" w:space="0" w:color="auto"/>
            <w:right w:val="none" w:sz="0" w:space="0" w:color="auto"/>
          </w:divBdr>
        </w:div>
        <w:div w:id="987250352">
          <w:marLeft w:val="480"/>
          <w:marRight w:val="0"/>
          <w:marTop w:val="0"/>
          <w:marBottom w:val="0"/>
          <w:divBdr>
            <w:top w:val="none" w:sz="0" w:space="0" w:color="auto"/>
            <w:left w:val="none" w:sz="0" w:space="0" w:color="auto"/>
            <w:bottom w:val="none" w:sz="0" w:space="0" w:color="auto"/>
            <w:right w:val="none" w:sz="0" w:space="0" w:color="auto"/>
          </w:divBdr>
        </w:div>
        <w:div w:id="2008482921">
          <w:marLeft w:val="480"/>
          <w:marRight w:val="0"/>
          <w:marTop w:val="0"/>
          <w:marBottom w:val="0"/>
          <w:divBdr>
            <w:top w:val="none" w:sz="0" w:space="0" w:color="auto"/>
            <w:left w:val="none" w:sz="0" w:space="0" w:color="auto"/>
            <w:bottom w:val="none" w:sz="0" w:space="0" w:color="auto"/>
            <w:right w:val="none" w:sz="0" w:space="0" w:color="auto"/>
          </w:divBdr>
        </w:div>
        <w:div w:id="802581804">
          <w:marLeft w:val="480"/>
          <w:marRight w:val="0"/>
          <w:marTop w:val="0"/>
          <w:marBottom w:val="0"/>
          <w:divBdr>
            <w:top w:val="none" w:sz="0" w:space="0" w:color="auto"/>
            <w:left w:val="none" w:sz="0" w:space="0" w:color="auto"/>
            <w:bottom w:val="none" w:sz="0" w:space="0" w:color="auto"/>
            <w:right w:val="none" w:sz="0" w:space="0" w:color="auto"/>
          </w:divBdr>
        </w:div>
        <w:div w:id="1399472647">
          <w:marLeft w:val="480"/>
          <w:marRight w:val="0"/>
          <w:marTop w:val="0"/>
          <w:marBottom w:val="0"/>
          <w:divBdr>
            <w:top w:val="none" w:sz="0" w:space="0" w:color="auto"/>
            <w:left w:val="none" w:sz="0" w:space="0" w:color="auto"/>
            <w:bottom w:val="none" w:sz="0" w:space="0" w:color="auto"/>
            <w:right w:val="none" w:sz="0" w:space="0" w:color="auto"/>
          </w:divBdr>
        </w:div>
        <w:div w:id="809519712">
          <w:marLeft w:val="480"/>
          <w:marRight w:val="0"/>
          <w:marTop w:val="0"/>
          <w:marBottom w:val="0"/>
          <w:divBdr>
            <w:top w:val="none" w:sz="0" w:space="0" w:color="auto"/>
            <w:left w:val="none" w:sz="0" w:space="0" w:color="auto"/>
            <w:bottom w:val="none" w:sz="0" w:space="0" w:color="auto"/>
            <w:right w:val="none" w:sz="0" w:space="0" w:color="auto"/>
          </w:divBdr>
        </w:div>
        <w:div w:id="1931352833">
          <w:marLeft w:val="480"/>
          <w:marRight w:val="0"/>
          <w:marTop w:val="0"/>
          <w:marBottom w:val="0"/>
          <w:divBdr>
            <w:top w:val="none" w:sz="0" w:space="0" w:color="auto"/>
            <w:left w:val="none" w:sz="0" w:space="0" w:color="auto"/>
            <w:bottom w:val="none" w:sz="0" w:space="0" w:color="auto"/>
            <w:right w:val="none" w:sz="0" w:space="0" w:color="auto"/>
          </w:divBdr>
        </w:div>
        <w:div w:id="2140293729">
          <w:marLeft w:val="480"/>
          <w:marRight w:val="0"/>
          <w:marTop w:val="0"/>
          <w:marBottom w:val="0"/>
          <w:divBdr>
            <w:top w:val="none" w:sz="0" w:space="0" w:color="auto"/>
            <w:left w:val="none" w:sz="0" w:space="0" w:color="auto"/>
            <w:bottom w:val="none" w:sz="0" w:space="0" w:color="auto"/>
            <w:right w:val="none" w:sz="0" w:space="0" w:color="auto"/>
          </w:divBdr>
        </w:div>
        <w:div w:id="206571215">
          <w:marLeft w:val="480"/>
          <w:marRight w:val="0"/>
          <w:marTop w:val="0"/>
          <w:marBottom w:val="0"/>
          <w:divBdr>
            <w:top w:val="none" w:sz="0" w:space="0" w:color="auto"/>
            <w:left w:val="none" w:sz="0" w:space="0" w:color="auto"/>
            <w:bottom w:val="none" w:sz="0" w:space="0" w:color="auto"/>
            <w:right w:val="none" w:sz="0" w:space="0" w:color="auto"/>
          </w:divBdr>
        </w:div>
        <w:div w:id="1175657264">
          <w:marLeft w:val="480"/>
          <w:marRight w:val="0"/>
          <w:marTop w:val="0"/>
          <w:marBottom w:val="0"/>
          <w:divBdr>
            <w:top w:val="none" w:sz="0" w:space="0" w:color="auto"/>
            <w:left w:val="none" w:sz="0" w:space="0" w:color="auto"/>
            <w:bottom w:val="none" w:sz="0" w:space="0" w:color="auto"/>
            <w:right w:val="none" w:sz="0" w:space="0" w:color="auto"/>
          </w:divBdr>
        </w:div>
        <w:div w:id="329912616">
          <w:marLeft w:val="480"/>
          <w:marRight w:val="0"/>
          <w:marTop w:val="0"/>
          <w:marBottom w:val="0"/>
          <w:divBdr>
            <w:top w:val="none" w:sz="0" w:space="0" w:color="auto"/>
            <w:left w:val="none" w:sz="0" w:space="0" w:color="auto"/>
            <w:bottom w:val="none" w:sz="0" w:space="0" w:color="auto"/>
            <w:right w:val="none" w:sz="0" w:space="0" w:color="auto"/>
          </w:divBdr>
        </w:div>
        <w:div w:id="1068961847">
          <w:marLeft w:val="480"/>
          <w:marRight w:val="0"/>
          <w:marTop w:val="0"/>
          <w:marBottom w:val="0"/>
          <w:divBdr>
            <w:top w:val="none" w:sz="0" w:space="0" w:color="auto"/>
            <w:left w:val="none" w:sz="0" w:space="0" w:color="auto"/>
            <w:bottom w:val="none" w:sz="0" w:space="0" w:color="auto"/>
            <w:right w:val="none" w:sz="0" w:space="0" w:color="auto"/>
          </w:divBdr>
        </w:div>
        <w:div w:id="667287574">
          <w:marLeft w:val="480"/>
          <w:marRight w:val="0"/>
          <w:marTop w:val="0"/>
          <w:marBottom w:val="0"/>
          <w:divBdr>
            <w:top w:val="none" w:sz="0" w:space="0" w:color="auto"/>
            <w:left w:val="none" w:sz="0" w:space="0" w:color="auto"/>
            <w:bottom w:val="none" w:sz="0" w:space="0" w:color="auto"/>
            <w:right w:val="none" w:sz="0" w:space="0" w:color="auto"/>
          </w:divBdr>
        </w:div>
        <w:div w:id="1245265912">
          <w:marLeft w:val="480"/>
          <w:marRight w:val="0"/>
          <w:marTop w:val="0"/>
          <w:marBottom w:val="0"/>
          <w:divBdr>
            <w:top w:val="none" w:sz="0" w:space="0" w:color="auto"/>
            <w:left w:val="none" w:sz="0" w:space="0" w:color="auto"/>
            <w:bottom w:val="none" w:sz="0" w:space="0" w:color="auto"/>
            <w:right w:val="none" w:sz="0" w:space="0" w:color="auto"/>
          </w:divBdr>
        </w:div>
        <w:div w:id="498008487">
          <w:marLeft w:val="480"/>
          <w:marRight w:val="0"/>
          <w:marTop w:val="0"/>
          <w:marBottom w:val="0"/>
          <w:divBdr>
            <w:top w:val="none" w:sz="0" w:space="0" w:color="auto"/>
            <w:left w:val="none" w:sz="0" w:space="0" w:color="auto"/>
            <w:bottom w:val="none" w:sz="0" w:space="0" w:color="auto"/>
            <w:right w:val="none" w:sz="0" w:space="0" w:color="auto"/>
          </w:divBdr>
        </w:div>
        <w:div w:id="1776753197">
          <w:marLeft w:val="480"/>
          <w:marRight w:val="0"/>
          <w:marTop w:val="0"/>
          <w:marBottom w:val="0"/>
          <w:divBdr>
            <w:top w:val="none" w:sz="0" w:space="0" w:color="auto"/>
            <w:left w:val="none" w:sz="0" w:space="0" w:color="auto"/>
            <w:bottom w:val="none" w:sz="0" w:space="0" w:color="auto"/>
            <w:right w:val="none" w:sz="0" w:space="0" w:color="auto"/>
          </w:divBdr>
        </w:div>
        <w:div w:id="1093206641">
          <w:marLeft w:val="480"/>
          <w:marRight w:val="0"/>
          <w:marTop w:val="0"/>
          <w:marBottom w:val="0"/>
          <w:divBdr>
            <w:top w:val="none" w:sz="0" w:space="0" w:color="auto"/>
            <w:left w:val="none" w:sz="0" w:space="0" w:color="auto"/>
            <w:bottom w:val="none" w:sz="0" w:space="0" w:color="auto"/>
            <w:right w:val="none" w:sz="0" w:space="0" w:color="auto"/>
          </w:divBdr>
        </w:div>
        <w:div w:id="746534411">
          <w:marLeft w:val="480"/>
          <w:marRight w:val="0"/>
          <w:marTop w:val="0"/>
          <w:marBottom w:val="0"/>
          <w:divBdr>
            <w:top w:val="none" w:sz="0" w:space="0" w:color="auto"/>
            <w:left w:val="none" w:sz="0" w:space="0" w:color="auto"/>
            <w:bottom w:val="none" w:sz="0" w:space="0" w:color="auto"/>
            <w:right w:val="none" w:sz="0" w:space="0" w:color="auto"/>
          </w:divBdr>
        </w:div>
        <w:div w:id="1690640538">
          <w:marLeft w:val="480"/>
          <w:marRight w:val="0"/>
          <w:marTop w:val="0"/>
          <w:marBottom w:val="0"/>
          <w:divBdr>
            <w:top w:val="none" w:sz="0" w:space="0" w:color="auto"/>
            <w:left w:val="none" w:sz="0" w:space="0" w:color="auto"/>
            <w:bottom w:val="none" w:sz="0" w:space="0" w:color="auto"/>
            <w:right w:val="none" w:sz="0" w:space="0" w:color="auto"/>
          </w:divBdr>
        </w:div>
        <w:div w:id="1197154575">
          <w:marLeft w:val="480"/>
          <w:marRight w:val="0"/>
          <w:marTop w:val="0"/>
          <w:marBottom w:val="0"/>
          <w:divBdr>
            <w:top w:val="none" w:sz="0" w:space="0" w:color="auto"/>
            <w:left w:val="none" w:sz="0" w:space="0" w:color="auto"/>
            <w:bottom w:val="none" w:sz="0" w:space="0" w:color="auto"/>
            <w:right w:val="none" w:sz="0" w:space="0" w:color="auto"/>
          </w:divBdr>
        </w:div>
        <w:div w:id="1520854942">
          <w:marLeft w:val="480"/>
          <w:marRight w:val="0"/>
          <w:marTop w:val="0"/>
          <w:marBottom w:val="0"/>
          <w:divBdr>
            <w:top w:val="none" w:sz="0" w:space="0" w:color="auto"/>
            <w:left w:val="none" w:sz="0" w:space="0" w:color="auto"/>
            <w:bottom w:val="none" w:sz="0" w:space="0" w:color="auto"/>
            <w:right w:val="none" w:sz="0" w:space="0" w:color="auto"/>
          </w:divBdr>
        </w:div>
        <w:div w:id="920679716">
          <w:marLeft w:val="480"/>
          <w:marRight w:val="0"/>
          <w:marTop w:val="0"/>
          <w:marBottom w:val="0"/>
          <w:divBdr>
            <w:top w:val="none" w:sz="0" w:space="0" w:color="auto"/>
            <w:left w:val="none" w:sz="0" w:space="0" w:color="auto"/>
            <w:bottom w:val="none" w:sz="0" w:space="0" w:color="auto"/>
            <w:right w:val="none" w:sz="0" w:space="0" w:color="auto"/>
          </w:divBdr>
        </w:div>
        <w:div w:id="14578311">
          <w:marLeft w:val="480"/>
          <w:marRight w:val="0"/>
          <w:marTop w:val="0"/>
          <w:marBottom w:val="0"/>
          <w:divBdr>
            <w:top w:val="none" w:sz="0" w:space="0" w:color="auto"/>
            <w:left w:val="none" w:sz="0" w:space="0" w:color="auto"/>
            <w:bottom w:val="none" w:sz="0" w:space="0" w:color="auto"/>
            <w:right w:val="none" w:sz="0" w:space="0" w:color="auto"/>
          </w:divBdr>
        </w:div>
        <w:div w:id="1176772542">
          <w:marLeft w:val="480"/>
          <w:marRight w:val="0"/>
          <w:marTop w:val="0"/>
          <w:marBottom w:val="0"/>
          <w:divBdr>
            <w:top w:val="none" w:sz="0" w:space="0" w:color="auto"/>
            <w:left w:val="none" w:sz="0" w:space="0" w:color="auto"/>
            <w:bottom w:val="none" w:sz="0" w:space="0" w:color="auto"/>
            <w:right w:val="none" w:sz="0" w:space="0" w:color="auto"/>
          </w:divBdr>
        </w:div>
        <w:div w:id="1113331011">
          <w:marLeft w:val="480"/>
          <w:marRight w:val="0"/>
          <w:marTop w:val="0"/>
          <w:marBottom w:val="0"/>
          <w:divBdr>
            <w:top w:val="none" w:sz="0" w:space="0" w:color="auto"/>
            <w:left w:val="none" w:sz="0" w:space="0" w:color="auto"/>
            <w:bottom w:val="none" w:sz="0" w:space="0" w:color="auto"/>
            <w:right w:val="none" w:sz="0" w:space="0" w:color="auto"/>
          </w:divBdr>
        </w:div>
        <w:div w:id="843713083">
          <w:marLeft w:val="480"/>
          <w:marRight w:val="0"/>
          <w:marTop w:val="0"/>
          <w:marBottom w:val="0"/>
          <w:divBdr>
            <w:top w:val="none" w:sz="0" w:space="0" w:color="auto"/>
            <w:left w:val="none" w:sz="0" w:space="0" w:color="auto"/>
            <w:bottom w:val="none" w:sz="0" w:space="0" w:color="auto"/>
            <w:right w:val="none" w:sz="0" w:space="0" w:color="auto"/>
          </w:divBdr>
        </w:div>
        <w:div w:id="103506286">
          <w:marLeft w:val="480"/>
          <w:marRight w:val="0"/>
          <w:marTop w:val="0"/>
          <w:marBottom w:val="0"/>
          <w:divBdr>
            <w:top w:val="none" w:sz="0" w:space="0" w:color="auto"/>
            <w:left w:val="none" w:sz="0" w:space="0" w:color="auto"/>
            <w:bottom w:val="none" w:sz="0" w:space="0" w:color="auto"/>
            <w:right w:val="none" w:sz="0" w:space="0" w:color="auto"/>
          </w:divBdr>
        </w:div>
        <w:div w:id="1742097745">
          <w:marLeft w:val="480"/>
          <w:marRight w:val="0"/>
          <w:marTop w:val="0"/>
          <w:marBottom w:val="0"/>
          <w:divBdr>
            <w:top w:val="none" w:sz="0" w:space="0" w:color="auto"/>
            <w:left w:val="none" w:sz="0" w:space="0" w:color="auto"/>
            <w:bottom w:val="none" w:sz="0" w:space="0" w:color="auto"/>
            <w:right w:val="none" w:sz="0" w:space="0" w:color="auto"/>
          </w:divBdr>
        </w:div>
        <w:div w:id="1190413074">
          <w:marLeft w:val="480"/>
          <w:marRight w:val="0"/>
          <w:marTop w:val="0"/>
          <w:marBottom w:val="0"/>
          <w:divBdr>
            <w:top w:val="none" w:sz="0" w:space="0" w:color="auto"/>
            <w:left w:val="none" w:sz="0" w:space="0" w:color="auto"/>
            <w:bottom w:val="none" w:sz="0" w:space="0" w:color="auto"/>
            <w:right w:val="none" w:sz="0" w:space="0" w:color="auto"/>
          </w:divBdr>
        </w:div>
        <w:div w:id="441850550">
          <w:marLeft w:val="480"/>
          <w:marRight w:val="0"/>
          <w:marTop w:val="0"/>
          <w:marBottom w:val="0"/>
          <w:divBdr>
            <w:top w:val="none" w:sz="0" w:space="0" w:color="auto"/>
            <w:left w:val="none" w:sz="0" w:space="0" w:color="auto"/>
            <w:bottom w:val="none" w:sz="0" w:space="0" w:color="auto"/>
            <w:right w:val="none" w:sz="0" w:space="0" w:color="auto"/>
          </w:divBdr>
        </w:div>
        <w:div w:id="1116754112">
          <w:marLeft w:val="480"/>
          <w:marRight w:val="0"/>
          <w:marTop w:val="0"/>
          <w:marBottom w:val="0"/>
          <w:divBdr>
            <w:top w:val="none" w:sz="0" w:space="0" w:color="auto"/>
            <w:left w:val="none" w:sz="0" w:space="0" w:color="auto"/>
            <w:bottom w:val="none" w:sz="0" w:space="0" w:color="auto"/>
            <w:right w:val="none" w:sz="0" w:space="0" w:color="auto"/>
          </w:divBdr>
        </w:div>
        <w:div w:id="1842161531">
          <w:marLeft w:val="480"/>
          <w:marRight w:val="0"/>
          <w:marTop w:val="0"/>
          <w:marBottom w:val="0"/>
          <w:divBdr>
            <w:top w:val="none" w:sz="0" w:space="0" w:color="auto"/>
            <w:left w:val="none" w:sz="0" w:space="0" w:color="auto"/>
            <w:bottom w:val="none" w:sz="0" w:space="0" w:color="auto"/>
            <w:right w:val="none" w:sz="0" w:space="0" w:color="auto"/>
          </w:divBdr>
        </w:div>
        <w:div w:id="981077656">
          <w:marLeft w:val="480"/>
          <w:marRight w:val="0"/>
          <w:marTop w:val="0"/>
          <w:marBottom w:val="0"/>
          <w:divBdr>
            <w:top w:val="none" w:sz="0" w:space="0" w:color="auto"/>
            <w:left w:val="none" w:sz="0" w:space="0" w:color="auto"/>
            <w:bottom w:val="none" w:sz="0" w:space="0" w:color="auto"/>
            <w:right w:val="none" w:sz="0" w:space="0" w:color="auto"/>
          </w:divBdr>
        </w:div>
        <w:div w:id="1705597899">
          <w:marLeft w:val="480"/>
          <w:marRight w:val="0"/>
          <w:marTop w:val="0"/>
          <w:marBottom w:val="0"/>
          <w:divBdr>
            <w:top w:val="none" w:sz="0" w:space="0" w:color="auto"/>
            <w:left w:val="none" w:sz="0" w:space="0" w:color="auto"/>
            <w:bottom w:val="none" w:sz="0" w:space="0" w:color="auto"/>
            <w:right w:val="none" w:sz="0" w:space="0" w:color="auto"/>
          </w:divBdr>
        </w:div>
        <w:div w:id="712845314">
          <w:marLeft w:val="480"/>
          <w:marRight w:val="0"/>
          <w:marTop w:val="0"/>
          <w:marBottom w:val="0"/>
          <w:divBdr>
            <w:top w:val="none" w:sz="0" w:space="0" w:color="auto"/>
            <w:left w:val="none" w:sz="0" w:space="0" w:color="auto"/>
            <w:bottom w:val="none" w:sz="0" w:space="0" w:color="auto"/>
            <w:right w:val="none" w:sz="0" w:space="0" w:color="auto"/>
          </w:divBdr>
        </w:div>
        <w:div w:id="1917859915">
          <w:marLeft w:val="480"/>
          <w:marRight w:val="0"/>
          <w:marTop w:val="0"/>
          <w:marBottom w:val="0"/>
          <w:divBdr>
            <w:top w:val="none" w:sz="0" w:space="0" w:color="auto"/>
            <w:left w:val="none" w:sz="0" w:space="0" w:color="auto"/>
            <w:bottom w:val="none" w:sz="0" w:space="0" w:color="auto"/>
            <w:right w:val="none" w:sz="0" w:space="0" w:color="auto"/>
          </w:divBdr>
        </w:div>
        <w:div w:id="491263503">
          <w:marLeft w:val="480"/>
          <w:marRight w:val="0"/>
          <w:marTop w:val="0"/>
          <w:marBottom w:val="0"/>
          <w:divBdr>
            <w:top w:val="none" w:sz="0" w:space="0" w:color="auto"/>
            <w:left w:val="none" w:sz="0" w:space="0" w:color="auto"/>
            <w:bottom w:val="none" w:sz="0" w:space="0" w:color="auto"/>
            <w:right w:val="none" w:sz="0" w:space="0" w:color="auto"/>
          </w:divBdr>
        </w:div>
        <w:div w:id="1462334864">
          <w:marLeft w:val="480"/>
          <w:marRight w:val="0"/>
          <w:marTop w:val="0"/>
          <w:marBottom w:val="0"/>
          <w:divBdr>
            <w:top w:val="none" w:sz="0" w:space="0" w:color="auto"/>
            <w:left w:val="none" w:sz="0" w:space="0" w:color="auto"/>
            <w:bottom w:val="none" w:sz="0" w:space="0" w:color="auto"/>
            <w:right w:val="none" w:sz="0" w:space="0" w:color="auto"/>
          </w:divBdr>
        </w:div>
        <w:div w:id="928345958">
          <w:marLeft w:val="480"/>
          <w:marRight w:val="0"/>
          <w:marTop w:val="0"/>
          <w:marBottom w:val="0"/>
          <w:divBdr>
            <w:top w:val="none" w:sz="0" w:space="0" w:color="auto"/>
            <w:left w:val="none" w:sz="0" w:space="0" w:color="auto"/>
            <w:bottom w:val="none" w:sz="0" w:space="0" w:color="auto"/>
            <w:right w:val="none" w:sz="0" w:space="0" w:color="auto"/>
          </w:divBdr>
        </w:div>
        <w:div w:id="1347057825">
          <w:marLeft w:val="480"/>
          <w:marRight w:val="0"/>
          <w:marTop w:val="0"/>
          <w:marBottom w:val="0"/>
          <w:divBdr>
            <w:top w:val="none" w:sz="0" w:space="0" w:color="auto"/>
            <w:left w:val="none" w:sz="0" w:space="0" w:color="auto"/>
            <w:bottom w:val="none" w:sz="0" w:space="0" w:color="auto"/>
            <w:right w:val="none" w:sz="0" w:space="0" w:color="auto"/>
          </w:divBdr>
        </w:div>
        <w:div w:id="1585454812">
          <w:marLeft w:val="480"/>
          <w:marRight w:val="0"/>
          <w:marTop w:val="0"/>
          <w:marBottom w:val="0"/>
          <w:divBdr>
            <w:top w:val="none" w:sz="0" w:space="0" w:color="auto"/>
            <w:left w:val="none" w:sz="0" w:space="0" w:color="auto"/>
            <w:bottom w:val="none" w:sz="0" w:space="0" w:color="auto"/>
            <w:right w:val="none" w:sz="0" w:space="0" w:color="auto"/>
          </w:divBdr>
        </w:div>
        <w:div w:id="1686664944">
          <w:marLeft w:val="480"/>
          <w:marRight w:val="0"/>
          <w:marTop w:val="0"/>
          <w:marBottom w:val="0"/>
          <w:divBdr>
            <w:top w:val="none" w:sz="0" w:space="0" w:color="auto"/>
            <w:left w:val="none" w:sz="0" w:space="0" w:color="auto"/>
            <w:bottom w:val="none" w:sz="0" w:space="0" w:color="auto"/>
            <w:right w:val="none" w:sz="0" w:space="0" w:color="auto"/>
          </w:divBdr>
        </w:div>
        <w:div w:id="147479241">
          <w:marLeft w:val="480"/>
          <w:marRight w:val="0"/>
          <w:marTop w:val="0"/>
          <w:marBottom w:val="0"/>
          <w:divBdr>
            <w:top w:val="none" w:sz="0" w:space="0" w:color="auto"/>
            <w:left w:val="none" w:sz="0" w:space="0" w:color="auto"/>
            <w:bottom w:val="none" w:sz="0" w:space="0" w:color="auto"/>
            <w:right w:val="none" w:sz="0" w:space="0" w:color="auto"/>
          </w:divBdr>
        </w:div>
        <w:div w:id="1994262175">
          <w:marLeft w:val="480"/>
          <w:marRight w:val="0"/>
          <w:marTop w:val="0"/>
          <w:marBottom w:val="0"/>
          <w:divBdr>
            <w:top w:val="none" w:sz="0" w:space="0" w:color="auto"/>
            <w:left w:val="none" w:sz="0" w:space="0" w:color="auto"/>
            <w:bottom w:val="none" w:sz="0" w:space="0" w:color="auto"/>
            <w:right w:val="none" w:sz="0" w:space="0" w:color="auto"/>
          </w:divBdr>
        </w:div>
        <w:div w:id="358548669">
          <w:marLeft w:val="480"/>
          <w:marRight w:val="0"/>
          <w:marTop w:val="0"/>
          <w:marBottom w:val="0"/>
          <w:divBdr>
            <w:top w:val="none" w:sz="0" w:space="0" w:color="auto"/>
            <w:left w:val="none" w:sz="0" w:space="0" w:color="auto"/>
            <w:bottom w:val="none" w:sz="0" w:space="0" w:color="auto"/>
            <w:right w:val="none" w:sz="0" w:space="0" w:color="auto"/>
          </w:divBdr>
        </w:div>
        <w:div w:id="1533807825">
          <w:marLeft w:val="480"/>
          <w:marRight w:val="0"/>
          <w:marTop w:val="0"/>
          <w:marBottom w:val="0"/>
          <w:divBdr>
            <w:top w:val="none" w:sz="0" w:space="0" w:color="auto"/>
            <w:left w:val="none" w:sz="0" w:space="0" w:color="auto"/>
            <w:bottom w:val="none" w:sz="0" w:space="0" w:color="auto"/>
            <w:right w:val="none" w:sz="0" w:space="0" w:color="auto"/>
          </w:divBdr>
        </w:div>
        <w:div w:id="997076231">
          <w:marLeft w:val="480"/>
          <w:marRight w:val="0"/>
          <w:marTop w:val="0"/>
          <w:marBottom w:val="0"/>
          <w:divBdr>
            <w:top w:val="none" w:sz="0" w:space="0" w:color="auto"/>
            <w:left w:val="none" w:sz="0" w:space="0" w:color="auto"/>
            <w:bottom w:val="none" w:sz="0" w:space="0" w:color="auto"/>
            <w:right w:val="none" w:sz="0" w:space="0" w:color="auto"/>
          </w:divBdr>
        </w:div>
        <w:div w:id="2066832126">
          <w:marLeft w:val="480"/>
          <w:marRight w:val="0"/>
          <w:marTop w:val="0"/>
          <w:marBottom w:val="0"/>
          <w:divBdr>
            <w:top w:val="none" w:sz="0" w:space="0" w:color="auto"/>
            <w:left w:val="none" w:sz="0" w:space="0" w:color="auto"/>
            <w:bottom w:val="none" w:sz="0" w:space="0" w:color="auto"/>
            <w:right w:val="none" w:sz="0" w:space="0" w:color="auto"/>
          </w:divBdr>
        </w:div>
        <w:div w:id="1625887847">
          <w:marLeft w:val="480"/>
          <w:marRight w:val="0"/>
          <w:marTop w:val="0"/>
          <w:marBottom w:val="0"/>
          <w:divBdr>
            <w:top w:val="none" w:sz="0" w:space="0" w:color="auto"/>
            <w:left w:val="none" w:sz="0" w:space="0" w:color="auto"/>
            <w:bottom w:val="none" w:sz="0" w:space="0" w:color="auto"/>
            <w:right w:val="none" w:sz="0" w:space="0" w:color="auto"/>
          </w:divBdr>
        </w:div>
        <w:div w:id="1025443765">
          <w:marLeft w:val="480"/>
          <w:marRight w:val="0"/>
          <w:marTop w:val="0"/>
          <w:marBottom w:val="0"/>
          <w:divBdr>
            <w:top w:val="none" w:sz="0" w:space="0" w:color="auto"/>
            <w:left w:val="none" w:sz="0" w:space="0" w:color="auto"/>
            <w:bottom w:val="none" w:sz="0" w:space="0" w:color="auto"/>
            <w:right w:val="none" w:sz="0" w:space="0" w:color="auto"/>
          </w:divBdr>
        </w:div>
        <w:div w:id="939800622">
          <w:marLeft w:val="480"/>
          <w:marRight w:val="0"/>
          <w:marTop w:val="0"/>
          <w:marBottom w:val="0"/>
          <w:divBdr>
            <w:top w:val="none" w:sz="0" w:space="0" w:color="auto"/>
            <w:left w:val="none" w:sz="0" w:space="0" w:color="auto"/>
            <w:bottom w:val="none" w:sz="0" w:space="0" w:color="auto"/>
            <w:right w:val="none" w:sz="0" w:space="0" w:color="auto"/>
          </w:divBdr>
        </w:div>
        <w:div w:id="1737046752">
          <w:marLeft w:val="480"/>
          <w:marRight w:val="0"/>
          <w:marTop w:val="0"/>
          <w:marBottom w:val="0"/>
          <w:divBdr>
            <w:top w:val="none" w:sz="0" w:space="0" w:color="auto"/>
            <w:left w:val="none" w:sz="0" w:space="0" w:color="auto"/>
            <w:bottom w:val="none" w:sz="0" w:space="0" w:color="auto"/>
            <w:right w:val="none" w:sz="0" w:space="0" w:color="auto"/>
          </w:divBdr>
        </w:div>
        <w:div w:id="897204619">
          <w:marLeft w:val="480"/>
          <w:marRight w:val="0"/>
          <w:marTop w:val="0"/>
          <w:marBottom w:val="0"/>
          <w:divBdr>
            <w:top w:val="none" w:sz="0" w:space="0" w:color="auto"/>
            <w:left w:val="none" w:sz="0" w:space="0" w:color="auto"/>
            <w:bottom w:val="none" w:sz="0" w:space="0" w:color="auto"/>
            <w:right w:val="none" w:sz="0" w:space="0" w:color="auto"/>
          </w:divBdr>
        </w:div>
        <w:div w:id="246310688">
          <w:marLeft w:val="480"/>
          <w:marRight w:val="0"/>
          <w:marTop w:val="0"/>
          <w:marBottom w:val="0"/>
          <w:divBdr>
            <w:top w:val="none" w:sz="0" w:space="0" w:color="auto"/>
            <w:left w:val="none" w:sz="0" w:space="0" w:color="auto"/>
            <w:bottom w:val="none" w:sz="0" w:space="0" w:color="auto"/>
            <w:right w:val="none" w:sz="0" w:space="0" w:color="auto"/>
          </w:divBdr>
        </w:div>
        <w:div w:id="1306471221">
          <w:marLeft w:val="480"/>
          <w:marRight w:val="0"/>
          <w:marTop w:val="0"/>
          <w:marBottom w:val="0"/>
          <w:divBdr>
            <w:top w:val="none" w:sz="0" w:space="0" w:color="auto"/>
            <w:left w:val="none" w:sz="0" w:space="0" w:color="auto"/>
            <w:bottom w:val="none" w:sz="0" w:space="0" w:color="auto"/>
            <w:right w:val="none" w:sz="0" w:space="0" w:color="auto"/>
          </w:divBdr>
        </w:div>
        <w:div w:id="563151071">
          <w:marLeft w:val="480"/>
          <w:marRight w:val="0"/>
          <w:marTop w:val="0"/>
          <w:marBottom w:val="0"/>
          <w:divBdr>
            <w:top w:val="none" w:sz="0" w:space="0" w:color="auto"/>
            <w:left w:val="none" w:sz="0" w:space="0" w:color="auto"/>
            <w:bottom w:val="none" w:sz="0" w:space="0" w:color="auto"/>
            <w:right w:val="none" w:sz="0" w:space="0" w:color="auto"/>
          </w:divBdr>
        </w:div>
        <w:div w:id="1729914411">
          <w:marLeft w:val="480"/>
          <w:marRight w:val="0"/>
          <w:marTop w:val="0"/>
          <w:marBottom w:val="0"/>
          <w:divBdr>
            <w:top w:val="none" w:sz="0" w:space="0" w:color="auto"/>
            <w:left w:val="none" w:sz="0" w:space="0" w:color="auto"/>
            <w:bottom w:val="none" w:sz="0" w:space="0" w:color="auto"/>
            <w:right w:val="none" w:sz="0" w:space="0" w:color="auto"/>
          </w:divBdr>
        </w:div>
        <w:div w:id="339745123">
          <w:marLeft w:val="480"/>
          <w:marRight w:val="0"/>
          <w:marTop w:val="0"/>
          <w:marBottom w:val="0"/>
          <w:divBdr>
            <w:top w:val="none" w:sz="0" w:space="0" w:color="auto"/>
            <w:left w:val="none" w:sz="0" w:space="0" w:color="auto"/>
            <w:bottom w:val="none" w:sz="0" w:space="0" w:color="auto"/>
            <w:right w:val="none" w:sz="0" w:space="0" w:color="auto"/>
          </w:divBdr>
        </w:div>
        <w:div w:id="2052458949">
          <w:marLeft w:val="480"/>
          <w:marRight w:val="0"/>
          <w:marTop w:val="0"/>
          <w:marBottom w:val="0"/>
          <w:divBdr>
            <w:top w:val="none" w:sz="0" w:space="0" w:color="auto"/>
            <w:left w:val="none" w:sz="0" w:space="0" w:color="auto"/>
            <w:bottom w:val="none" w:sz="0" w:space="0" w:color="auto"/>
            <w:right w:val="none" w:sz="0" w:space="0" w:color="auto"/>
          </w:divBdr>
        </w:div>
        <w:div w:id="1465387739">
          <w:marLeft w:val="480"/>
          <w:marRight w:val="0"/>
          <w:marTop w:val="0"/>
          <w:marBottom w:val="0"/>
          <w:divBdr>
            <w:top w:val="none" w:sz="0" w:space="0" w:color="auto"/>
            <w:left w:val="none" w:sz="0" w:space="0" w:color="auto"/>
            <w:bottom w:val="none" w:sz="0" w:space="0" w:color="auto"/>
            <w:right w:val="none" w:sz="0" w:space="0" w:color="auto"/>
          </w:divBdr>
        </w:div>
        <w:div w:id="1905093672">
          <w:marLeft w:val="480"/>
          <w:marRight w:val="0"/>
          <w:marTop w:val="0"/>
          <w:marBottom w:val="0"/>
          <w:divBdr>
            <w:top w:val="none" w:sz="0" w:space="0" w:color="auto"/>
            <w:left w:val="none" w:sz="0" w:space="0" w:color="auto"/>
            <w:bottom w:val="none" w:sz="0" w:space="0" w:color="auto"/>
            <w:right w:val="none" w:sz="0" w:space="0" w:color="auto"/>
          </w:divBdr>
        </w:div>
        <w:div w:id="1418137520">
          <w:marLeft w:val="480"/>
          <w:marRight w:val="0"/>
          <w:marTop w:val="0"/>
          <w:marBottom w:val="0"/>
          <w:divBdr>
            <w:top w:val="none" w:sz="0" w:space="0" w:color="auto"/>
            <w:left w:val="none" w:sz="0" w:space="0" w:color="auto"/>
            <w:bottom w:val="none" w:sz="0" w:space="0" w:color="auto"/>
            <w:right w:val="none" w:sz="0" w:space="0" w:color="auto"/>
          </w:divBdr>
        </w:div>
        <w:div w:id="1343775369">
          <w:marLeft w:val="480"/>
          <w:marRight w:val="0"/>
          <w:marTop w:val="0"/>
          <w:marBottom w:val="0"/>
          <w:divBdr>
            <w:top w:val="none" w:sz="0" w:space="0" w:color="auto"/>
            <w:left w:val="none" w:sz="0" w:space="0" w:color="auto"/>
            <w:bottom w:val="none" w:sz="0" w:space="0" w:color="auto"/>
            <w:right w:val="none" w:sz="0" w:space="0" w:color="auto"/>
          </w:divBdr>
        </w:div>
        <w:div w:id="1275094693">
          <w:marLeft w:val="480"/>
          <w:marRight w:val="0"/>
          <w:marTop w:val="0"/>
          <w:marBottom w:val="0"/>
          <w:divBdr>
            <w:top w:val="none" w:sz="0" w:space="0" w:color="auto"/>
            <w:left w:val="none" w:sz="0" w:space="0" w:color="auto"/>
            <w:bottom w:val="none" w:sz="0" w:space="0" w:color="auto"/>
            <w:right w:val="none" w:sz="0" w:space="0" w:color="auto"/>
          </w:divBdr>
        </w:div>
        <w:div w:id="1743671717">
          <w:marLeft w:val="480"/>
          <w:marRight w:val="0"/>
          <w:marTop w:val="0"/>
          <w:marBottom w:val="0"/>
          <w:divBdr>
            <w:top w:val="none" w:sz="0" w:space="0" w:color="auto"/>
            <w:left w:val="none" w:sz="0" w:space="0" w:color="auto"/>
            <w:bottom w:val="none" w:sz="0" w:space="0" w:color="auto"/>
            <w:right w:val="none" w:sz="0" w:space="0" w:color="auto"/>
          </w:divBdr>
        </w:div>
        <w:div w:id="1164473433">
          <w:marLeft w:val="480"/>
          <w:marRight w:val="0"/>
          <w:marTop w:val="0"/>
          <w:marBottom w:val="0"/>
          <w:divBdr>
            <w:top w:val="none" w:sz="0" w:space="0" w:color="auto"/>
            <w:left w:val="none" w:sz="0" w:space="0" w:color="auto"/>
            <w:bottom w:val="none" w:sz="0" w:space="0" w:color="auto"/>
            <w:right w:val="none" w:sz="0" w:space="0" w:color="auto"/>
          </w:divBdr>
        </w:div>
        <w:div w:id="484325865">
          <w:marLeft w:val="480"/>
          <w:marRight w:val="0"/>
          <w:marTop w:val="0"/>
          <w:marBottom w:val="0"/>
          <w:divBdr>
            <w:top w:val="none" w:sz="0" w:space="0" w:color="auto"/>
            <w:left w:val="none" w:sz="0" w:space="0" w:color="auto"/>
            <w:bottom w:val="none" w:sz="0" w:space="0" w:color="auto"/>
            <w:right w:val="none" w:sz="0" w:space="0" w:color="auto"/>
          </w:divBdr>
        </w:div>
        <w:div w:id="761026527">
          <w:marLeft w:val="480"/>
          <w:marRight w:val="0"/>
          <w:marTop w:val="0"/>
          <w:marBottom w:val="0"/>
          <w:divBdr>
            <w:top w:val="none" w:sz="0" w:space="0" w:color="auto"/>
            <w:left w:val="none" w:sz="0" w:space="0" w:color="auto"/>
            <w:bottom w:val="none" w:sz="0" w:space="0" w:color="auto"/>
            <w:right w:val="none" w:sz="0" w:space="0" w:color="auto"/>
          </w:divBdr>
        </w:div>
        <w:div w:id="939606491">
          <w:marLeft w:val="480"/>
          <w:marRight w:val="0"/>
          <w:marTop w:val="0"/>
          <w:marBottom w:val="0"/>
          <w:divBdr>
            <w:top w:val="none" w:sz="0" w:space="0" w:color="auto"/>
            <w:left w:val="none" w:sz="0" w:space="0" w:color="auto"/>
            <w:bottom w:val="none" w:sz="0" w:space="0" w:color="auto"/>
            <w:right w:val="none" w:sz="0" w:space="0" w:color="auto"/>
          </w:divBdr>
        </w:div>
        <w:div w:id="417285532">
          <w:marLeft w:val="480"/>
          <w:marRight w:val="0"/>
          <w:marTop w:val="0"/>
          <w:marBottom w:val="0"/>
          <w:divBdr>
            <w:top w:val="none" w:sz="0" w:space="0" w:color="auto"/>
            <w:left w:val="none" w:sz="0" w:space="0" w:color="auto"/>
            <w:bottom w:val="none" w:sz="0" w:space="0" w:color="auto"/>
            <w:right w:val="none" w:sz="0" w:space="0" w:color="auto"/>
          </w:divBdr>
        </w:div>
        <w:div w:id="171378832">
          <w:marLeft w:val="480"/>
          <w:marRight w:val="0"/>
          <w:marTop w:val="0"/>
          <w:marBottom w:val="0"/>
          <w:divBdr>
            <w:top w:val="none" w:sz="0" w:space="0" w:color="auto"/>
            <w:left w:val="none" w:sz="0" w:space="0" w:color="auto"/>
            <w:bottom w:val="none" w:sz="0" w:space="0" w:color="auto"/>
            <w:right w:val="none" w:sz="0" w:space="0" w:color="auto"/>
          </w:divBdr>
        </w:div>
        <w:div w:id="371423034">
          <w:marLeft w:val="480"/>
          <w:marRight w:val="0"/>
          <w:marTop w:val="0"/>
          <w:marBottom w:val="0"/>
          <w:divBdr>
            <w:top w:val="none" w:sz="0" w:space="0" w:color="auto"/>
            <w:left w:val="none" w:sz="0" w:space="0" w:color="auto"/>
            <w:bottom w:val="none" w:sz="0" w:space="0" w:color="auto"/>
            <w:right w:val="none" w:sz="0" w:space="0" w:color="auto"/>
          </w:divBdr>
        </w:div>
        <w:div w:id="624581996">
          <w:marLeft w:val="480"/>
          <w:marRight w:val="0"/>
          <w:marTop w:val="0"/>
          <w:marBottom w:val="0"/>
          <w:divBdr>
            <w:top w:val="none" w:sz="0" w:space="0" w:color="auto"/>
            <w:left w:val="none" w:sz="0" w:space="0" w:color="auto"/>
            <w:bottom w:val="none" w:sz="0" w:space="0" w:color="auto"/>
            <w:right w:val="none" w:sz="0" w:space="0" w:color="auto"/>
          </w:divBdr>
        </w:div>
        <w:div w:id="509368386">
          <w:marLeft w:val="480"/>
          <w:marRight w:val="0"/>
          <w:marTop w:val="0"/>
          <w:marBottom w:val="0"/>
          <w:divBdr>
            <w:top w:val="none" w:sz="0" w:space="0" w:color="auto"/>
            <w:left w:val="none" w:sz="0" w:space="0" w:color="auto"/>
            <w:bottom w:val="none" w:sz="0" w:space="0" w:color="auto"/>
            <w:right w:val="none" w:sz="0" w:space="0" w:color="auto"/>
          </w:divBdr>
        </w:div>
        <w:div w:id="1946031929">
          <w:marLeft w:val="480"/>
          <w:marRight w:val="0"/>
          <w:marTop w:val="0"/>
          <w:marBottom w:val="0"/>
          <w:divBdr>
            <w:top w:val="none" w:sz="0" w:space="0" w:color="auto"/>
            <w:left w:val="none" w:sz="0" w:space="0" w:color="auto"/>
            <w:bottom w:val="none" w:sz="0" w:space="0" w:color="auto"/>
            <w:right w:val="none" w:sz="0" w:space="0" w:color="auto"/>
          </w:divBdr>
        </w:div>
        <w:div w:id="2112620473">
          <w:marLeft w:val="480"/>
          <w:marRight w:val="0"/>
          <w:marTop w:val="0"/>
          <w:marBottom w:val="0"/>
          <w:divBdr>
            <w:top w:val="none" w:sz="0" w:space="0" w:color="auto"/>
            <w:left w:val="none" w:sz="0" w:space="0" w:color="auto"/>
            <w:bottom w:val="none" w:sz="0" w:space="0" w:color="auto"/>
            <w:right w:val="none" w:sz="0" w:space="0" w:color="auto"/>
          </w:divBdr>
        </w:div>
        <w:div w:id="1262640033">
          <w:marLeft w:val="480"/>
          <w:marRight w:val="0"/>
          <w:marTop w:val="0"/>
          <w:marBottom w:val="0"/>
          <w:divBdr>
            <w:top w:val="none" w:sz="0" w:space="0" w:color="auto"/>
            <w:left w:val="none" w:sz="0" w:space="0" w:color="auto"/>
            <w:bottom w:val="none" w:sz="0" w:space="0" w:color="auto"/>
            <w:right w:val="none" w:sz="0" w:space="0" w:color="auto"/>
          </w:divBdr>
        </w:div>
        <w:div w:id="1493177909">
          <w:marLeft w:val="480"/>
          <w:marRight w:val="0"/>
          <w:marTop w:val="0"/>
          <w:marBottom w:val="0"/>
          <w:divBdr>
            <w:top w:val="none" w:sz="0" w:space="0" w:color="auto"/>
            <w:left w:val="none" w:sz="0" w:space="0" w:color="auto"/>
            <w:bottom w:val="none" w:sz="0" w:space="0" w:color="auto"/>
            <w:right w:val="none" w:sz="0" w:space="0" w:color="auto"/>
          </w:divBdr>
        </w:div>
        <w:div w:id="180317577">
          <w:marLeft w:val="480"/>
          <w:marRight w:val="0"/>
          <w:marTop w:val="0"/>
          <w:marBottom w:val="0"/>
          <w:divBdr>
            <w:top w:val="none" w:sz="0" w:space="0" w:color="auto"/>
            <w:left w:val="none" w:sz="0" w:space="0" w:color="auto"/>
            <w:bottom w:val="none" w:sz="0" w:space="0" w:color="auto"/>
            <w:right w:val="none" w:sz="0" w:space="0" w:color="auto"/>
          </w:divBdr>
        </w:div>
        <w:div w:id="1200557727">
          <w:marLeft w:val="480"/>
          <w:marRight w:val="0"/>
          <w:marTop w:val="0"/>
          <w:marBottom w:val="0"/>
          <w:divBdr>
            <w:top w:val="none" w:sz="0" w:space="0" w:color="auto"/>
            <w:left w:val="none" w:sz="0" w:space="0" w:color="auto"/>
            <w:bottom w:val="none" w:sz="0" w:space="0" w:color="auto"/>
            <w:right w:val="none" w:sz="0" w:space="0" w:color="auto"/>
          </w:divBdr>
        </w:div>
        <w:div w:id="1977098706">
          <w:marLeft w:val="480"/>
          <w:marRight w:val="0"/>
          <w:marTop w:val="0"/>
          <w:marBottom w:val="0"/>
          <w:divBdr>
            <w:top w:val="none" w:sz="0" w:space="0" w:color="auto"/>
            <w:left w:val="none" w:sz="0" w:space="0" w:color="auto"/>
            <w:bottom w:val="none" w:sz="0" w:space="0" w:color="auto"/>
            <w:right w:val="none" w:sz="0" w:space="0" w:color="auto"/>
          </w:divBdr>
        </w:div>
        <w:div w:id="424571507">
          <w:marLeft w:val="480"/>
          <w:marRight w:val="0"/>
          <w:marTop w:val="0"/>
          <w:marBottom w:val="0"/>
          <w:divBdr>
            <w:top w:val="none" w:sz="0" w:space="0" w:color="auto"/>
            <w:left w:val="none" w:sz="0" w:space="0" w:color="auto"/>
            <w:bottom w:val="none" w:sz="0" w:space="0" w:color="auto"/>
            <w:right w:val="none" w:sz="0" w:space="0" w:color="auto"/>
          </w:divBdr>
        </w:div>
        <w:div w:id="1500075910">
          <w:marLeft w:val="480"/>
          <w:marRight w:val="0"/>
          <w:marTop w:val="0"/>
          <w:marBottom w:val="0"/>
          <w:divBdr>
            <w:top w:val="none" w:sz="0" w:space="0" w:color="auto"/>
            <w:left w:val="none" w:sz="0" w:space="0" w:color="auto"/>
            <w:bottom w:val="none" w:sz="0" w:space="0" w:color="auto"/>
            <w:right w:val="none" w:sz="0" w:space="0" w:color="auto"/>
          </w:divBdr>
        </w:div>
        <w:div w:id="1076971968">
          <w:marLeft w:val="480"/>
          <w:marRight w:val="0"/>
          <w:marTop w:val="0"/>
          <w:marBottom w:val="0"/>
          <w:divBdr>
            <w:top w:val="none" w:sz="0" w:space="0" w:color="auto"/>
            <w:left w:val="none" w:sz="0" w:space="0" w:color="auto"/>
            <w:bottom w:val="none" w:sz="0" w:space="0" w:color="auto"/>
            <w:right w:val="none" w:sz="0" w:space="0" w:color="auto"/>
          </w:divBdr>
        </w:div>
        <w:div w:id="1832063473">
          <w:marLeft w:val="480"/>
          <w:marRight w:val="0"/>
          <w:marTop w:val="0"/>
          <w:marBottom w:val="0"/>
          <w:divBdr>
            <w:top w:val="none" w:sz="0" w:space="0" w:color="auto"/>
            <w:left w:val="none" w:sz="0" w:space="0" w:color="auto"/>
            <w:bottom w:val="none" w:sz="0" w:space="0" w:color="auto"/>
            <w:right w:val="none" w:sz="0" w:space="0" w:color="auto"/>
          </w:divBdr>
        </w:div>
        <w:div w:id="1461261015">
          <w:marLeft w:val="480"/>
          <w:marRight w:val="0"/>
          <w:marTop w:val="0"/>
          <w:marBottom w:val="0"/>
          <w:divBdr>
            <w:top w:val="none" w:sz="0" w:space="0" w:color="auto"/>
            <w:left w:val="none" w:sz="0" w:space="0" w:color="auto"/>
            <w:bottom w:val="none" w:sz="0" w:space="0" w:color="auto"/>
            <w:right w:val="none" w:sz="0" w:space="0" w:color="auto"/>
          </w:divBdr>
        </w:div>
        <w:div w:id="1657414228">
          <w:marLeft w:val="480"/>
          <w:marRight w:val="0"/>
          <w:marTop w:val="0"/>
          <w:marBottom w:val="0"/>
          <w:divBdr>
            <w:top w:val="none" w:sz="0" w:space="0" w:color="auto"/>
            <w:left w:val="none" w:sz="0" w:space="0" w:color="auto"/>
            <w:bottom w:val="none" w:sz="0" w:space="0" w:color="auto"/>
            <w:right w:val="none" w:sz="0" w:space="0" w:color="auto"/>
          </w:divBdr>
        </w:div>
        <w:div w:id="150758374">
          <w:marLeft w:val="480"/>
          <w:marRight w:val="0"/>
          <w:marTop w:val="0"/>
          <w:marBottom w:val="0"/>
          <w:divBdr>
            <w:top w:val="none" w:sz="0" w:space="0" w:color="auto"/>
            <w:left w:val="none" w:sz="0" w:space="0" w:color="auto"/>
            <w:bottom w:val="none" w:sz="0" w:space="0" w:color="auto"/>
            <w:right w:val="none" w:sz="0" w:space="0" w:color="auto"/>
          </w:divBdr>
        </w:div>
        <w:div w:id="114522085">
          <w:marLeft w:val="480"/>
          <w:marRight w:val="0"/>
          <w:marTop w:val="0"/>
          <w:marBottom w:val="0"/>
          <w:divBdr>
            <w:top w:val="none" w:sz="0" w:space="0" w:color="auto"/>
            <w:left w:val="none" w:sz="0" w:space="0" w:color="auto"/>
            <w:bottom w:val="none" w:sz="0" w:space="0" w:color="auto"/>
            <w:right w:val="none" w:sz="0" w:space="0" w:color="auto"/>
          </w:divBdr>
        </w:div>
        <w:div w:id="846944611">
          <w:marLeft w:val="480"/>
          <w:marRight w:val="0"/>
          <w:marTop w:val="0"/>
          <w:marBottom w:val="0"/>
          <w:divBdr>
            <w:top w:val="none" w:sz="0" w:space="0" w:color="auto"/>
            <w:left w:val="none" w:sz="0" w:space="0" w:color="auto"/>
            <w:bottom w:val="none" w:sz="0" w:space="0" w:color="auto"/>
            <w:right w:val="none" w:sz="0" w:space="0" w:color="auto"/>
          </w:divBdr>
        </w:div>
        <w:div w:id="1483892819">
          <w:marLeft w:val="480"/>
          <w:marRight w:val="0"/>
          <w:marTop w:val="0"/>
          <w:marBottom w:val="0"/>
          <w:divBdr>
            <w:top w:val="none" w:sz="0" w:space="0" w:color="auto"/>
            <w:left w:val="none" w:sz="0" w:space="0" w:color="auto"/>
            <w:bottom w:val="none" w:sz="0" w:space="0" w:color="auto"/>
            <w:right w:val="none" w:sz="0" w:space="0" w:color="auto"/>
          </w:divBdr>
        </w:div>
        <w:div w:id="1311516285">
          <w:marLeft w:val="480"/>
          <w:marRight w:val="0"/>
          <w:marTop w:val="0"/>
          <w:marBottom w:val="0"/>
          <w:divBdr>
            <w:top w:val="none" w:sz="0" w:space="0" w:color="auto"/>
            <w:left w:val="none" w:sz="0" w:space="0" w:color="auto"/>
            <w:bottom w:val="none" w:sz="0" w:space="0" w:color="auto"/>
            <w:right w:val="none" w:sz="0" w:space="0" w:color="auto"/>
          </w:divBdr>
        </w:div>
        <w:div w:id="286548819">
          <w:marLeft w:val="480"/>
          <w:marRight w:val="0"/>
          <w:marTop w:val="0"/>
          <w:marBottom w:val="0"/>
          <w:divBdr>
            <w:top w:val="none" w:sz="0" w:space="0" w:color="auto"/>
            <w:left w:val="none" w:sz="0" w:space="0" w:color="auto"/>
            <w:bottom w:val="none" w:sz="0" w:space="0" w:color="auto"/>
            <w:right w:val="none" w:sz="0" w:space="0" w:color="auto"/>
          </w:divBdr>
        </w:div>
        <w:div w:id="433676667">
          <w:marLeft w:val="480"/>
          <w:marRight w:val="0"/>
          <w:marTop w:val="0"/>
          <w:marBottom w:val="0"/>
          <w:divBdr>
            <w:top w:val="none" w:sz="0" w:space="0" w:color="auto"/>
            <w:left w:val="none" w:sz="0" w:space="0" w:color="auto"/>
            <w:bottom w:val="none" w:sz="0" w:space="0" w:color="auto"/>
            <w:right w:val="none" w:sz="0" w:space="0" w:color="auto"/>
          </w:divBdr>
        </w:div>
        <w:div w:id="1046221515">
          <w:marLeft w:val="480"/>
          <w:marRight w:val="0"/>
          <w:marTop w:val="0"/>
          <w:marBottom w:val="0"/>
          <w:divBdr>
            <w:top w:val="none" w:sz="0" w:space="0" w:color="auto"/>
            <w:left w:val="none" w:sz="0" w:space="0" w:color="auto"/>
            <w:bottom w:val="none" w:sz="0" w:space="0" w:color="auto"/>
            <w:right w:val="none" w:sz="0" w:space="0" w:color="auto"/>
          </w:divBdr>
        </w:div>
        <w:div w:id="93718738">
          <w:marLeft w:val="480"/>
          <w:marRight w:val="0"/>
          <w:marTop w:val="0"/>
          <w:marBottom w:val="0"/>
          <w:divBdr>
            <w:top w:val="none" w:sz="0" w:space="0" w:color="auto"/>
            <w:left w:val="none" w:sz="0" w:space="0" w:color="auto"/>
            <w:bottom w:val="none" w:sz="0" w:space="0" w:color="auto"/>
            <w:right w:val="none" w:sz="0" w:space="0" w:color="auto"/>
          </w:divBdr>
        </w:div>
        <w:div w:id="1941988607">
          <w:marLeft w:val="480"/>
          <w:marRight w:val="0"/>
          <w:marTop w:val="0"/>
          <w:marBottom w:val="0"/>
          <w:divBdr>
            <w:top w:val="none" w:sz="0" w:space="0" w:color="auto"/>
            <w:left w:val="none" w:sz="0" w:space="0" w:color="auto"/>
            <w:bottom w:val="none" w:sz="0" w:space="0" w:color="auto"/>
            <w:right w:val="none" w:sz="0" w:space="0" w:color="auto"/>
          </w:divBdr>
        </w:div>
        <w:div w:id="853375359">
          <w:marLeft w:val="480"/>
          <w:marRight w:val="0"/>
          <w:marTop w:val="0"/>
          <w:marBottom w:val="0"/>
          <w:divBdr>
            <w:top w:val="none" w:sz="0" w:space="0" w:color="auto"/>
            <w:left w:val="none" w:sz="0" w:space="0" w:color="auto"/>
            <w:bottom w:val="none" w:sz="0" w:space="0" w:color="auto"/>
            <w:right w:val="none" w:sz="0" w:space="0" w:color="auto"/>
          </w:divBdr>
        </w:div>
        <w:div w:id="620497218">
          <w:marLeft w:val="480"/>
          <w:marRight w:val="0"/>
          <w:marTop w:val="0"/>
          <w:marBottom w:val="0"/>
          <w:divBdr>
            <w:top w:val="none" w:sz="0" w:space="0" w:color="auto"/>
            <w:left w:val="none" w:sz="0" w:space="0" w:color="auto"/>
            <w:bottom w:val="none" w:sz="0" w:space="0" w:color="auto"/>
            <w:right w:val="none" w:sz="0" w:space="0" w:color="auto"/>
          </w:divBdr>
        </w:div>
        <w:div w:id="808592954">
          <w:marLeft w:val="480"/>
          <w:marRight w:val="0"/>
          <w:marTop w:val="0"/>
          <w:marBottom w:val="0"/>
          <w:divBdr>
            <w:top w:val="none" w:sz="0" w:space="0" w:color="auto"/>
            <w:left w:val="none" w:sz="0" w:space="0" w:color="auto"/>
            <w:bottom w:val="none" w:sz="0" w:space="0" w:color="auto"/>
            <w:right w:val="none" w:sz="0" w:space="0" w:color="auto"/>
          </w:divBdr>
        </w:div>
        <w:div w:id="155582501">
          <w:marLeft w:val="480"/>
          <w:marRight w:val="0"/>
          <w:marTop w:val="0"/>
          <w:marBottom w:val="0"/>
          <w:divBdr>
            <w:top w:val="none" w:sz="0" w:space="0" w:color="auto"/>
            <w:left w:val="none" w:sz="0" w:space="0" w:color="auto"/>
            <w:bottom w:val="none" w:sz="0" w:space="0" w:color="auto"/>
            <w:right w:val="none" w:sz="0" w:space="0" w:color="auto"/>
          </w:divBdr>
        </w:div>
        <w:div w:id="257176775">
          <w:marLeft w:val="480"/>
          <w:marRight w:val="0"/>
          <w:marTop w:val="0"/>
          <w:marBottom w:val="0"/>
          <w:divBdr>
            <w:top w:val="none" w:sz="0" w:space="0" w:color="auto"/>
            <w:left w:val="none" w:sz="0" w:space="0" w:color="auto"/>
            <w:bottom w:val="none" w:sz="0" w:space="0" w:color="auto"/>
            <w:right w:val="none" w:sz="0" w:space="0" w:color="auto"/>
          </w:divBdr>
        </w:div>
        <w:div w:id="1307275155">
          <w:marLeft w:val="480"/>
          <w:marRight w:val="0"/>
          <w:marTop w:val="0"/>
          <w:marBottom w:val="0"/>
          <w:divBdr>
            <w:top w:val="none" w:sz="0" w:space="0" w:color="auto"/>
            <w:left w:val="none" w:sz="0" w:space="0" w:color="auto"/>
            <w:bottom w:val="none" w:sz="0" w:space="0" w:color="auto"/>
            <w:right w:val="none" w:sz="0" w:space="0" w:color="auto"/>
          </w:divBdr>
        </w:div>
        <w:div w:id="203098094">
          <w:marLeft w:val="480"/>
          <w:marRight w:val="0"/>
          <w:marTop w:val="0"/>
          <w:marBottom w:val="0"/>
          <w:divBdr>
            <w:top w:val="none" w:sz="0" w:space="0" w:color="auto"/>
            <w:left w:val="none" w:sz="0" w:space="0" w:color="auto"/>
            <w:bottom w:val="none" w:sz="0" w:space="0" w:color="auto"/>
            <w:right w:val="none" w:sz="0" w:space="0" w:color="auto"/>
          </w:divBdr>
        </w:div>
        <w:div w:id="763962830">
          <w:marLeft w:val="480"/>
          <w:marRight w:val="0"/>
          <w:marTop w:val="0"/>
          <w:marBottom w:val="0"/>
          <w:divBdr>
            <w:top w:val="none" w:sz="0" w:space="0" w:color="auto"/>
            <w:left w:val="none" w:sz="0" w:space="0" w:color="auto"/>
            <w:bottom w:val="none" w:sz="0" w:space="0" w:color="auto"/>
            <w:right w:val="none" w:sz="0" w:space="0" w:color="auto"/>
          </w:divBdr>
        </w:div>
        <w:div w:id="1896815310">
          <w:marLeft w:val="480"/>
          <w:marRight w:val="0"/>
          <w:marTop w:val="0"/>
          <w:marBottom w:val="0"/>
          <w:divBdr>
            <w:top w:val="none" w:sz="0" w:space="0" w:color="auto"/>
            <w:left w:val="none" w:sz="0" w:space="0" w:color="auto"/>
            <w:bottom w:val="none" w:sz="0" w:space="0" w:color="auto"/>
            <w:right w:val="none" w:sz="0" w:space="0" w:color="auto"/>
          </w:divBdr>
        </w:div>
        <w:div w:id="1717970773">
          <w:marLeft w:val="480"/>
          <w:marRight w:val="0"/>
          <w:marTop w:val="0"/>
          <w:marBottom w:val="0"/>
          <w:divBdr>
            <w:top w:val="none" w:sz="0" w:space="0" w:color="auto"/>
            <w:left w:val="none" w:sz="0" w:space="0" w:color="auto"/>
            <w:bottom w:val="none" w:sz="0" w:space="0" w:color="auto"/>
            <w:right w:val="none" w:sz="0" w:space="0" w:color="auto"/>
          </w:divBdr>
        </w:div>
        <w:div w:id="1869441078">
          <w:marLeft w:val="480"/>
          <w:marRight w:val="0"/>
          <w:marTop w:val="0"/>
          <w:marBottom w:val="0"/>
          <w:divBdr>
            <w:top w:val="none" w:sz="0" w:space="0" w:color="auto"/>
            <w:left w:val="none" w:sz="0" w:space="0" w:color="auto"/>
            <w:bottom w:val="none" w:sz="0" w:space="0" w:color="auto"/>
            <w:right w:val="none" w:sz="0" w:space="0" w:color="auto"/>
          </w:divBdr>
        </w:div>
        <w:div w:id="1969505501">
          <w:marLeft w:val="480"/>
          <w:marRight w:val="0"/>
          <w:marTop w:val="0"/>
          <w:marBottom w:val="0"/>
          <w:divBdr>
            <w:top w:val="none" w:sz="0" w:space="0" w:color="auto"/>
            <w:left w:val="none" w:sz="0" w:space="0" w:color="auto"/>
            <w:bottom w:val="none" w:sz="0" w:space="0" w:color="auto"/>
            <w:right w:val="none" w:sz="0" w:space="0" w:color="auto"/>
          </w:divBdr>
        </w:div>
        <w:div w:id="1790005825">
          <w:marLeft w:val="480"/>
          <w:marRight w:val="0"/>
          <w:marTop w:val="0"/>
          <w:marBottom w:val="0"/>
          <w:divBdr>
            <w:top w:val="none" w:sz="0" w:space="0" w:color="auto"/>
            <w:left w:val="none" w:sz="0" w:space="0" w:color="auto"/>
            <w:bottom w:val="none" w:sz="0" w:space="0" w:color="auto"/>
            <w:right w:val="none" w:sz="0" w:space="0" w:color="auto"/>
          </w:divBdr>
        </w:div>
        <w:div w:id="582497867">
          <w:marLeft w:val="480"/>
          <w:marRight w:val="0"/>
          <w:marTop w:val="0"/>
          <w:marBottom w:val="0"/>
          <w:divBdr>
            <w:top w:val="none" w:sz="0" w:space="0" w:color="auto"/>
            <w:left w:val="none" w:sz="0" w:space="0" w:color="auto"/>
            <w:bottom w:val="none" w:sz="0" w:space="0" w:color="auto"/>
            <w:right w:val="none" w:sz="0" w:space="0" w:color="auto"/>
          </w:divBdr>
        </w:div>
        <w:div w:id="2056347219">
          <w:marLeft w:val="480"/>
          <w:marRight w:val="0"/>
          <w:marTop w:val="0"/>
          <w:marBottom w:val="0"/>
          <w:divBdr>
            <w:top w:val="none" w:sz="0" w:space="0" w:color="auto"/>
            <w:left w:val="none" w:sz="0" w:space="0" w:color="auto"/>
            <w:bottom w:val="none" w:sz="0" w:space="0" w:color="auto"/>
            <w:right w:val="none" w:sz="0" w:space="0" w:color="auto"/>
          </w:divBdr>
        </w:div>
        <w:div w:id="917833963">
          <w:marLeft w:val="480"/>
          <w:marRight w:val="0"/>
          <w:marTop w:val="0"/>
          <w:marBottom w:val="0"/>
          <w:divBdr>
            <w:top w:val="none" w:sz="0" w:space="0" w:color="auto"/>
            <w:left w:val="none" w:sz="0" w:space="0" w:color="auto"/>
            <w:bottom w:val="none" w:sz="0" w:space="0" w:color="auto"/>
            <w:right w:val="none" w:sz="0" w:space="0" w:color="auto"/>
          </w:divBdr>
        </w:div>
        <w:div w:id="671762508">
          <w:marLeft w:val="480"/>
          <w:marRight w:val="0"/>
          <w:marTop w:val="0"/>
          <w:marBottom w:val="0"/>
          <w:divBdr>
            <w:top w:val="none" w:sz="0" w:space="0" w:color="auto"/>
            <w:left w:val="none" w:sz="0" w:space="0" w:color="auto"/>
            <w:bottom w:val="none" w:sz="0" w:space="0" w:color="auto"/>
            <w:right w:val="none" w:sz="0" w:space="0" w:color="auto"/>
          </w:divBdr>
        </w:div>
        <w:div w:id="780225861">
          <w:marLeft w:val="480"/>
          <w:marRight w:val="0"/>
          <w:marTop w:val="0"/>
          <w:marBottom w:val="0"/>
          <w:divBdr>
            <w:top w:val="none" w:sz="0" w:space="0" w:color="auto"/>
            <w:left w:val="none" w:sz="0" w:space="0" w:color="auto"/>
            <w:bottom w:val="none" w:sz="0" w:space="0" w:color="auto"/>
            <w:right w:val="none" w:sz="0" w:space="0" w:color="auto"/>
          </w:divBdr>
        </w:div>
        <w:div w:id="2146924382">
          <w:marLeft w:val="480"/>
          <w:marRight w:val="0"/>
          <w:marTop w:val="0"/>
          <w:marBottom w:val="0"/>
          <w:divBdr>
            <w:top w:val="none" w:sz="0" w:space="0" w:color="auto"/>
            <w:left w:val="none" w:sz="0" w:space="0" w:color="auto"/>
            <w:bottom w:val="none" w:sz="0" w:space="0" w:color="auto"/>
            <w:right w:val="none" w:sz="0" w:space="0" w:color="auto"/>
          </w:divBdr>
        </w:div>
        <w:div w:id="192234554">
          <w:marLeft w:val="480"/>
          <w:marRight w:val="0"/>
          <w:marTop w:val="0"/>
          <w:marBottom w:val="0"/>
          <w:divBdr>
            <w:top w:val="none" w:sz="0" w:space="0" w:color="auto"/>
            <w:left w:val="none" w:sz="0" w:space="0" w:color="auto"/>
            <w:bottom w:val="none" w:sz="0" w:space="0" w:color="auto"/>
            <w:right w:val="none" w:sz="0" w:space="0" w:color="auto"/>
          </w:divBdr>
        </w:div>
        <w:div w:id="1945920044">
          <w:marLeft w:val="480"/>
          <w:marRight w:val="0"/>
          <w:marTop w:val="0"/>
          <w:marBottom w:val="0"/>
          <w:divBdr>
            <w:top w:val="none" w:sz="0" w:space="0" w:color="auto"/>
            <w:left w:val="none" w:sz="0" w:space="0" w:color="auto"/>
            <w:bottom w:val="none" w:sz="0" w:space="0" w:color="auto"/>
            <w:right w:val="none" w:sz="0" w:space="0" w:color="auto"/>
          </w:divBdr>
        </w:div>
        <w:div w:id="1729961740">
          <w:marLeft w:val="480"/>
          <w:marRight w:val="0"/>
          <w:marTop w:val="0"/>
          <w:marBottom w:val="0"/>
          <w:divBdr>
            <w:top w:val="none" w:sz="0" w:space="0" w:color="auto"/>
            <w:left w:val="none" w:sz="0" w:space="0" w:color="auto"/>
            <w:bottom w:val="none" w:sz="0" w:space="0" w:color="auto"/>
            <w:right w:val="none" w:sz="0" w:space="0" w:color="auto"/>
          </w:divBdr>
        </w:div>
        <w:div w:id="530000153">
          <w:marLeft w:val="480"/>
          <w:marRight w:val="0"/>
          <w:marTop w:val="0"/>
          <w:marBottom w:val="0"/>
          <w:divBdr>
            <w:top w:val="none" w:sz="0" w:space="0" w:color="auto"/>
            <w:left w:val="none" w:sz="0" w:space="0" w:color="auto"/>
            <w:bottom w:val="none" w:sz="0" w:space="0" w:color="auto"/>
            <w:right w:val="none" w:sz="0" w:space="0" w:color="auto"/>
          </w:divBdr>
        </w:div>
        <w:div w:id="1201819304">
          <w:marLeft w:val="480"/>
          <w:marRight w:val="0"/>
          <w:marTop w:val="0"/>
          <w:marBottom w:val="0"/>
          <w:divBdr>
            <w:top w:val="none" w:sz="0" w:space="0" w:color="auto"/>
            <w:left w:val="none" w:sz="0" w:space="0" w:color="auto"/>
            <w:bottom w:val="none" w:sz="0" w:space="0" w:color="auto"/>
            <w:right w:val="none" w:sz="0" w:space="0" w:color="auto"/>
          </w:divBdr>
        </w:div>
        <w:div w:id="876895337">
          <w:marLeft w:val="480"/>
          <w:marRight w:val="0"/>
          <w:marTop w:val="0"/>
          <w:marBottom w:val="0"/>
          <w:divBdr>
            <w:top w:val="none" w:sz="0" w:space="0" w:color="auto"/>
            <w:left w:val="none" w:sz="0" w:space="0" w:color="auto"/>
            <w:bottom w:val="none" w:sz="0" w:space="0" w:color="auto"/>
            <w:right w:val="none" w:sz="0" w:space="0" w:color="auto"/>
          </w:divBdr>
        </w:div>
        <w:div w:id="1562523046">
          <w:marLeft w:val="480"/>
          <w:marRight w:val="0"/>
          <w:marTop w:val="0"/>
          <w:marBottom w:val="0"/>
          <w:divBdr>
            <w:top w:val="none" w:sz="0" w:space="0" w:color="auto"/>
            <w:left w:val="none" w:sz="0" w:space="0" w:color="auto"/>
            <w:bottom w:val="none" w:sz="0" w:space="0" w:color="auto"/>
            <w:right w:val="none" w:sz="0" w:space="0" w:color="auto"/>
          </w:divBdr>
        </w:div>
        <w:div w:id="1127358199">
          <w:marLeft w:val="480"/>
          <w:marRight w:val="0"/>
          <w:marTop w:val="0"/>
          <w:marBottom w:val="0"/>
          <w:divBdr>
            <w:top w:val="none" w:sz="0" w:space="0" w:color="auto"/>
            <w:left w:val="none" w:sz="0" w:space="0" w:color="auto"/>
            <w:bottom w:val="none" w:sz="0" w:space="0" w:color="auto"/>
            <w:right w:val="none" w:sz="0" w:space="0" w:color="auto"/>
          </w:divBdr>
        </w:div>
        <w:div w:id="2093621652">
          <w:marLeft w:val="480"/>
          <w:marRight w:val="0"/>
          <w:marTop w:val="0"/>
          <w:marBottom w:val="0"/>
          <w:divBdr>
            <w:top w:val="none" w:sz="0" w:space="0" w:color="auto"/>
            <w:left w:val="none" w:sz="0" w:space="0" w:color="auto"/>
            <w:bottom w:val="none" w:sz="0" w:space="0" w:color="auto"/>
            <w:right w:val="none" w:sz="0" w:space="0" w:color="auto"/>
          </w:divBdr>
        </w:div>
        <w:div w:id="1080130050">
          <w:marLeft w:val="480"/>
          <w:marRight w:val="0"/>
          <w:marTop w:val="0"/>
          <w:marBottom w:val="0"/>
          <w:divBdr>
            <w:top w:val="none" w:sz="0" w:space="0" w:color="auto"/>
            <w:left w:val="none" w:sz="0" w:space="0" w:color="auto"/>
            <w:bottom w:val="none" w:sz="0" w:space="0" w:color="auto"/>
            <w:right w:val="none" w:sz="0" w:space="0" w:color="auto"/>
          </w:divBdr>
        </w:div>
        <w:div w:id="1111632832">
          <w:marLeft w:val="480"/>
          <w:marRight w:val="0"/>
          <w:marTop w:val="0"/>
          <w:marBottom w:val="0"/>
          <w:divBdr>
            <w:top w:val="none" w:sz="0" w:space="0" w:color="auto"/>
            <w:left w:val="none" w:sz="0" w:space="0" w:color="auto"/>
            <w:bottom w:val="none" w:sz="0" w:space="0" w:color="auto"/>
            <w:right w:val="none" w:sz="0" w:space="0" w:color="auto"/>
          </w:divBdr>
        </w:div>
        <w:div w:id="2108848618">
          <w:marLeft w:val="480"/>
          <w:marRight w:val="0"/>
          <w:marTop w:val="0"/>
          <w:marBottom w:val="0"/>
          <w:divBdr>
            <w:top w:val="none" w:sz="0" w:space="0" w:color="auto"/>
            <w:left w:val="none" w:sz="0" w:space="0" w:color="auto"/>
            <w:bottom w:val="none" w:sz="0" w:space="0" w:color="auto"/>
            <w:right w:val="none" w:sz="0" w:space="0" w:color="auto"/>
          </w:divBdr>
        </w:div>
        <w:div w:id="880215726">
          <w:marLeft w:val="480"/>
          <w:marRight w:val="0"/>
          <w:marTop w:val="0"/>
          <w:marBottom w:val="0"/>
          <w:divBdr>
            <w:top w:val="none" w:sz="0" w:space="0" w:color="auto"/>
            <w:left w:val="none" w:sz="0" w:space="0" w:color="auto"/>
            <w:bottom w:val="none" w:sz="0" w:space="0" w:color="auto"/>
            <w:right w:val="none" w:sz="0" w:space="0" w:color="auto"/>
          </w:divBdr>
        </w:div>
        <w:div w:id="969289893">
          <w:marLeft w:val="480"/>
          <w:marRight w:val="0"/>
          <w:marTop w:val="0"/>
          <w:marBottom w:val="0"/>
          <w:divBdr>
            <w:top w:val="none" w:sz="0" w:space="0" w:color="auto"/>
            <w:left w:val="none" w:sz="0" w:space="0" w:color="auto"/>
            <w:bottom w:val="none" w:sz="0" w:space="0" w:color="auto"/>
            <w:right w:val="none" w:sz="0" w:space="0" w:color="auto"/>
          </w:divBdr>
        </w:div>
        <w:div w:id="952249751">
          <w:marLeft w:val="480"/>
          <w:marRight w:val="0"/>
          <w:marTop w:val="0"/>
          <w:marBottom w:val="0"/>
          <w:divBdr>
            <w:top w:val="none" w:sz="0" w:space="0" w:color="auto"/>
            <w:left w:val="none" w:sz="0" w:space="0" w:color="auto"/>
            <w:bottom w:val="none" w:sz="0" w:space="0" w:color="auto"/>
            <w:right w:val="none" w:sz="0" w:space="0" w:color="auto"/>
          </w:divBdr>
        </w:div>
        <w:div w:id="352533160">
          <w:marLeft w:val="480"/>
          <w:marRight w:val="0"/>
          <w:marTop w:val="0"/>
          <w:marBottom w:val="0"/>
          <w:divBdr>
            <w:top w:val="none" w:sz="0" w:space="0" w:color="auto"/>
            <w:left w:val="none" w:sz="0" w:space="0" w:color="auto"/>
            <w:bottom w:val="none" w:sz="0" w:space="0" w:color="auto"/>
            <w:right w:val="none" w:sz="0" w:space="0" w:color="auto"/>
          </w:divBdr>
        </w:div>
        <w:div w:id="1265384115">
          <w:marLeft w:val="480"/>
          <w:marRight w:val="0"/>
          <w:marTop w:val="0"/>
          <w:marBottom w:val="0"/>
          <w:divBdr>
            <w:top w:val="none" w:sz="0" w:space="0" w:color="auto"/>
            <w:left w:val="none" w:sz="0" w:space="0" w:color="auto"/>
            <w:bottom w:val="none" w:sz="0" w:space="0" w:color="auto"/>
            <w:right w:val="none" w:sz="0" w:space="0" w:color="auto"/>
          </w:divBdr>
        </w:div>
        <w:div w:id="2100523397">
          <w:marLeft w:val="480"/>
          <w:marRight w:val="0"/>
          <w:marTop w:val="0"/>
          <w:marBottom w:val="0"/>
          <w:divBdr>
            <w:top w:val="none" w:sz="0" w:space="0" w:color="auto"/>
            <w:left w:val="none" w:sz="0" w:space="0" w:color="auto"/>
            <w:bottom w:val="none" w:sz="0" w:space="0" w:color="auto"/>
            <w:right w:val="none" w:sz="0" w:space="0" w:color="auto"/>
          </w:divBdr>
        </w:div>
        <w:div w:id="384721727">
          <w:marLeft w:val="480"/>
          <w:marRight w:val="0"/>
          <w:marTop w:val="0"/>
          <w:marBottom w:val="0"/>
          <w:divBdr>
            <w:top w:val="none" w:sz="0" w:space="0" w:color="auto"/>
            <w:left w:val="none" w:sz="0" w:space="0" w:color="auto"/>
            <w:bottom w:val="none" w:sz="0" w:space="0" w:color="auto"/>
            <w:right w:val="none" w:sz="0" w:space="0" w:color="auto"/>
          </w:divBdr>
        </w:div>
        <w:div w:id="2127235268">
          <w:marLeft w:val="480"/>
          <w:marRight w:val="0"/>
          <w:marTop w:val="0"/>
          <w:marBottom w:val="0"/>
          <w:divBdr>
            <w:top w:val="none" w:sz="0" w:space="0" w:color="auto"/>
            <w:left w:val="none" w:sz="0" w:space="0" w:color="auto"/>
            <w:bottom w:val="none" w:sz="0" w:space="0" w:color="auto"/>
            <w:right w:val="none" w:sz="0" w:space="0" w:color="auto"/>
          </w:divBdr>
        </w:div>
        <w:div w:id="1372193314">
          <w:marLeft w:val="480"/>
          <w:marRight w:val="0"/>
          <w:marTop w:val="0"/>
          <w:marBottom w:val="0"/>
          <w:divBdr>
            <w:top w:val="none" w:sz="0" w:space="0" w:color="auto"/>
            <w:left w:val="none" w:sz="0" w:space="0" w:color="auto"/>
            <w:bottom w:val="none" w:sz="0" w:space="0" w:color="auto"/>
            <w:right w:val="none" w:sz="0" w:space="0" w:color="auto"/>
          </w:divBdr>
        </w:div>
        <w:div w:id="1392771767">
          <w:marLeft w:val="480"/>
          <w:marRight w:val="0"/>
          <w:marTop w:val="0"/>
          <w:marBottom w:val="0"/>
          <w:divBdr>
            <w:top w:val="none" w:sz="0" w:space="0" w:color="auto"/>
            <w:left w:val="none" w:sz="0" w:space="0" w:color="auto"/>
            <w:bottom w:val="none" w:sz="0" w:space="0" w:color="auto"/>
            <w:right w:val="none" w:sz="0" w:space="0" w:color="auto"/>
          </w:divBdr>
        </w:div>
        <w:div w:id="904490838">
          <w:marLeft w:val="480"/>
          <w:marRight w:val="0"/>
          <w:marTop w:val="0"/>
          <w:marBottom w:val="0"/>
          <w:divBdr>
            <w:top w:val="none" w:sz="0" w:space="0" w:color="auto"/>
            <w:left w:val="none" w:sz="0" w:space="0" w:color="auto"/>
            <w:bottom w:val="none" w:sz="0" w:space="0" w:color="auto"/>
            <w:right w:val="none" w:sz="0" w:space="0" w:color="auto"/>
          </w:divBdr>
        </w:div>
        <w:div w:id="1843546184">
          <w:marLeft w:val="480"/>
          <w:marRight w:val="0"/>
          <w:marTop w:val="0"/>
          <w:marBottom w:val="0"/>
          <w:divBdr>
            <w:top w:val="none" w:sz="0" w:space="0" w:color="auto"/>
            <w:left w:val="none" w:sz="0" w:space="0" w:color="auto"/>
            <w:bottom w:val="none" w:sz="0" w:space="0" w:color="auto"/>
            <w:right w:val="none" w:sz="0" w:space="0" w:color="auto"/>
          </w:divBdr>
        </w:div>
        <w:div w:id="297608684">
          <w:marLeft w:val="480"/>
          <w:marRight w:val="0"/>
          <w:marTop w:val="0"/>
          <w:marBottom w:val="0"/>
          <w:divBdr>
            <w:top w:val="none" w:sz="0" w:space="0" w:color="auto"/>
            <w:left w:val="none" w:sz="0" w:space="0" w:color="auto"/>
            <w:bottom w:val="none" w:sz="0" w:space="0" w:color="auto"/>
            <w:right w:val="none" w:sz="0" w:space="0" w:color="auto"/>
          </w:divBdr>
        </w:div>
        <w:div w:id="1423333883">
          <w:marLeft w:val="480"/>
          <w:marRight w:val="0"/>
          <w:marTop w:val="0"/>
          <w:marBottom w:val="0"/>
          <w:divBdr>
            <w:top w:val="none" w:sz="0" w:space="0" w:color="auto"/>
            <w:left w:val="none" w:sz="0" w:space="0" w:color="auto"/>
            <w:bottom w:val="none" w:sz="0" w:space="0" w:color="auto"/>
            <w:right w:val="none" w:sz="0" w:space="0" w:color="auto"/>
          </w:divBdr>
        </w:div>
        <w:div w:id="558398649">
          <w:marLeft w:val="480"/>
          <w:marRight w:val="0"/>
          <w:marTop w:val="0"/>
          <w:marBottom w:val="0"/>
          <w:divBdr>
            <w:top w:val="none" w:sz="0" w:space="0" w:color="auto"/>
            <w:left w:val="none" w:sz="0" w:space="0" w:color="auto"/>
            <w:bottom w:val="none" w:sz="0" w:space="0" w:color="auto"/>
            <w:right w:val="none" w:sz="0" w:space="0" w:color="auto"/>
          </w:divBdr>
        </w:div>
        <w:div w:id="2008703181">
          <w:marLeft w:val="480"/>
          <w:marRight w:val="0"/>
          <w:marTop w:val="0"/>
          <w:marBottom w:val="0"/>
          <w:divBdr>
            <w:top w:val="none" w:sz="0" w:space="0" w:color="auto"/>
            <w:left w:val="none" w:sz="0" w:space="0" w:color="auto"/>
            <w:bottom w:val="none" w:sz="0" w:space="0" w:color="auto"/>
            <w:right w:val="none" w:sz="0" w:space="0" w:color="auto"/>
          </w:divBdr>
        </w:div>
        <w:div w:id="1276667647">
          <w:marLeft w:val="480"/>
          <w:marRight w:val="0"/>
          <w:marTop w:val="0"/>
          <w:marBottom w:val="0"/>
          <w:divBdr>
            <w:top w:val="none" w:sz="0" w:space="0" w:color="auto"/>
            <w:left w:val="none" w:sz="0" w:space="0" w:color="auto"/>
            <w:bottom w:val="none" w:sz="0" w:space="0" w:color="auto"/>
            <w:right w:val="none" w:sz="0" w:space="0" w:color="auto"/>
          </w:divBdr>
        </w:div>
        <w:div w:id="1481313240">
          <w:marLeft w:val="480"/>
          <w:marRight w:val="0"/>
          <w:marTop w:val="0"/>
          <w:marBottom w:val="0"/>
          <w:divBdr>
            <w:top w:val="none" w:sz="0" w:space="0" w:color="auto"/>
            <w:left w:val="none" w:sz="0" w:space="0" w:color="auto"/>
            <w:bottom w:val="none" w:sz="0" w:space="0" w:color="auto"/>
            <w:right w:val="none" w:sz="0" w:space="0" w:color="auto"/>
          </w:divBdr>
        </w:div>
        <w:div w:id="1856530591">
          <w:marLeft w:val="480"/>
          <w:marRight w:val="0"/>
          <w:marTop w:val="0"/>
          <w:marBottom w:val="0"/>
          <w:divBdr>
            <w:top w:val="none" w:sz="0" w:space="0" w:color="auto"/>
            <w:left w:val="none" w:sz="0" w:space="0" w:color="auto"/>
            <w:bottom w:val="none" w:sz="0" w:space="0" w:color="auto"/>
            <w:right w:val="none" w:sz="0" w:space="0" w:color="auto"/>
          </w:divBdr>
        </w:div>
        <w:div w:id="975648029">
          <w:marLeft w:val="480"/>
          <w:marRight w:val="0"/>
          <w:marTop w:val="0"/>
          <w:marBottom w:val="0"/>
          <w:divBdr>
            <w:top w:val="none" w:sz="0" w:space="0" w:color="auto"/>
            <w:left w:val="none" w:sz="0" w:space="0" w:color="auto"/>
            <w:bottom w:val="none" w:sz="0" w:space="0" w:color="auto"/>
            <w:right w:val="none" w:sz="0" w:space="0" w:color="auto"/>
          </w:divBdr>
        </w:div>
        <w:div w:id="709770796">
          <w:marLeft w:val="480"/>
          <w:marRight w:val="0"/>
          <w:marTop w:val="0"/>
          <w:marBottom w:val="0"/>
          <w:divBdr>
            <w:top w:val="none" w:sz="0" w:space="0" w:color="auto"/>
            <w:left w:val="none" w:sz="0" w:space="0" w:color="auto"/>
            <w:bottom w:val="none" w:sz="0" w:space="0" w:color="auto"/>
            <w:right w:val="none" w:sz="0" w:space="0" w:color="auto"/>
          </w:divBdr>
        </w:div>
        <w:div w:id="948898156">
          <w:marLeft w:val="480"/>
          <w:marRight w:val="0"/>
          <w:marTop w:val="0"/>
          <w:marBottom w:val="0"/>
          <w:divBdr>
            <w:top w:val="none" w:sz="0" w:space="0" w:color="auto"/>
            <w:left w:val="none" w:sz="0" w:space="0" w:color="auto"/>
            <w:bottom w:val="none" w:sz="0" w:space="0" w:color="auto"/>
            <w:right w:val="none" w:sz="0" w:space="0" w:color="auto"/>
          </w:divBdr>
        </w:div>
        <w:div w:id="170025882">
          <w:marLeft w:val="480"/>
          <w:marRight w:val="0"/>
          <w:marTop w:val="0"/>
          <w:marBottom w:val="0"/>
          <w:divBdr>
            <w:top w:val="none" w:sz="0" w:space="0" w:color="auto"/>
            <w:left w:val="none" w:sz="0" w:space="0" w:color="auto"/>
            <w:bottom w:val="none" w:sz="0" w:space="0" w:color="auto"/>
            <w:right w:val="none" w:sz="0" w:space="0" w:color="auto"/>
          </w:divBdr>
        </w:div>
        <w:div w:id="516387528">
          <w:marLeft w:val="480"/>
          <w:marRight w:val="0"/>
          <w:marTop w:val="0"/>
          <w:marBottom w:val="0"/>
          <w:divBdr>
            <w:top w:val="none" w:sz="0" w:space="0" w:color="auto"/>
            <w:left w:val="none" w:sz="0" w:space="0" w:color="auto"/>
            <w:bottom w:val="none" w:sz="0" w:space="0" w:color="auto"/>
            <w:right w:val="none" w:sz="0" w:space="0" w:color="auto"/>
          </w:divBdr>
        </w:div>
        <w:div w:id="500629970">
          <w:marLeft w:val="480"/>
          <w:marRight w:val="0"/>
          <w:marTop w:val="0"/>
          <w:marBottom w:val="0"/>
          <w:divBdr>
            <w:top w:val="none" w:sz="0" w:space="0" w:color="auto"/>
            <w:left w:val="none" w:sz="0" w:space="0" w:color="auto"/>
            <w:bottom w:val="none" w:sz="0" w:space="0" w:color="auto"/>
            <w:right w:val="none" w:sz="0" w:space="0" w:color="auto"/>
          </w:divBdr>
        </w:div>
        <w:div w:id="1647320631">
          <w:marLeft w:val="480"/>
          <w:marRight w:val="0"/>
          <w:marTop w:val="0"/>
          <w:marBottom w:val="0"/>
          <w:divBdr>
            <w:top w:val="none" w:sz="0" w:space="0" w:color="auto"/>
            <w:left w:val="none" w:sz="0" w:space="0" w:color="auto"/>
            <w:bottom w:val="none" w:sz="0" w:space="0" w:color="auto"/>
            <w:right w:val="none" w:sz="0" w:space="0" w:color="auto"/>
          </w:divBdr>
        </w:div>
        <w:div w:id="582377152">
          <w:marLeft w:val="480"/>
          <w:marRight w:val="0"/>
          <w:marTop w:val="0"/>
          <w:marBottom w:val="0"/>
          <w:divBdr>
            <w:top w:val="none" w:sz="0" w:space="0" w:color="auto"/>
            <w:left w:val="none" w:sz="0" w:space="0" w:color="auto"/>
            <w:bottom w:val="none" w:sz="0" w:space="0" w:color="auto"/>
            <w:right w:val="none" w:sz="0" w:space="0" w:color="auto"/>
          </w:divBdr>
        </w:div>
        <w:div w:id="582572543">
          <w:marLeft w:val="480"/>
          <w:marRight w:val="0"/>
          <w:marTop w:val="0"/>
          <w:marBottom w:val="0"/>
          <w:divBdr>
            <w:top w:val="none" w:sz="0" w:space="0" w:color="auto"/>
            <w:left w:val="none" w:sz="0" w:space="0" w:color="auto"/>
            <w:bottom w:val="none" w:sz="0" w:space="0" w:color="auto"/>
            <w:right w:val="none" w:sz="0" w:space="0" w:color="auto"/>
          </w:divBdr>
        </w:div>
        <w:div w:id="797379197">
          <w:marLeft w:val="480"/>
          <w:marRight w:val="0"/>
          <w:marTop w:val="0"/>
          <w:marBottom w:val="0"/>
          <w:divBdr>
            <w:top w:val="none" w:sz="0" w:space="0" w:color="auto"/>
            <w:left w:val="none" w:sz="0" w:space="0" w:color="auto"/>
            <w:bottom w:val="none" w:sz="0" w:space="0" w:color="auto"/>
            <w:right w:val="none" w:sz="0" w:space="0" w:color="auto"/>
          </w:divBdr>
        </w:div>
        <w:div w:id="1977834682">
          <w:marLeft w:val="480"/>
          <w:marRight w:val="0"/>
          <w:marTop w:val="0"/>
          <w:marBottom w:val="0"/>
          <w:divBdr>
            <w:top w:val="none" w:sz="0" w:space="0" w:color="auto"/>
            <w:left w:val="none" w:sz="0" w:space="0" w:color="auto"/>
            <w:bottom w:val="none" w:sz="0" w:space="0" w:color="auto"/>
            <w:right w:val="none" w:sz="0" w:space="0" w:color="auto"/>
          </w:divBdr>
        </w:div>
        <w:div w:id="1615364087">
          <w:marLeft w:val="480"/>
          <w:marRight w:val="0"/>
          <w:marTop w:val="0"/>
          <w:marBottom w:val="0"/>
          <w:divBdr>
            <w:top w:val="none" w:sz="0" w:space="0" w:color="auto"/>
            <w:left w:val="none" w:sz="0" w:space="0" w:color="auto"/>
            <w:bottom w:val="none" w:sz="0" w:space="0" w:color="auto"/>
            <w:right w:val="none" w:sz="0" w:space="0" w:color="auto"/>
          </w:divBdr>
        </w:div>
        <w:div w:id="1270702386">
          <w:marLeft w:val="480"/>
          <w:marRight w:val="0"/>
          <w:marTop w:val="0"/>
          <w:marBottom w:val="0"/>
          <w:divBdr>
            <w:top w:val="none" w:sz="0" w:space="0" w:color="auto"/>
            <w:left w:val="none" w:sz="0" w:space="0" w:color="auto"/>
            <w:bottom w:val="none" w:sz="0" w:space="0" w:color="auto"/>
            <w:right w:val="none" w:sz="0" w:space="0" w:color="auto"/>
          </w:divBdr>
        </w:div>
        <w:div w:id="1729381346">
          <w:marLeft w:val="480"/>
          <w:marRight w:val="0"/>
          <w:marTop w:val="0"/>
          <w:marBottom w:val="0"/>
          <w:divBdr>
            <w:top w:val="none" w:sz="0" w:space="0" w:color="auto"/>
            <w:left w:val="none" w:sz="0" w:space="0" w:color="auto"/>
            <w:bottom w:val="none" w:sz="0" w:space="0" w:color="auto"/>
            <w:right w:val="none" w:sz="0" w:space="0" w:color="auto"/>
          </w:divBdr>
        </w:div>
        <w:div w:id="1055857884">
          <w:marLeft w:val="480"/>
          <w:marRight w:val="0"/>
          <w:marTop w:val="0"/>
          <w:marBottom w:val="0"/>
          <w:divBdr>
            <w:top w:val="none" w:sz="0" w:space="0" w:color="auto"/>
            <w:left w:val="none" w:sz="0" w:space="0" w:color="auto"/>
            <w:bottom w:val="none" w:sz="0" w:space="0" w:color="auto"/>
            <w:right w:val="none" w:sz="0" w:space="0" w:color="auto"/>
          </w:divBdr>
        </w:div>
        <w:div w:id="729184207">
          <w:marLeft w:val="480"/>
          <w:marRight w:val="0"/>
          <w:marTop w:val="0"/>
          <w:marBottom w:val="0"/>
          <w:divBdr>
            <w:top w:val="none" w:sz="0" w:space="0" w:color="auto"/>
            <w:left w:val="none" w:sz="0" w:space="0" w:color="auto"/>
            <w:bottom w:val="none" w:sz="0" w:space="0" w:color="auto"/>
            <w:right w:val="none" w:sz="0" w:space="0" w:color="auto"/>
          </w:divBdr>
        </w:div>
        <w:div w:id="1958486993">
          <w:marLeft w:val="480"/>
          <w:marRight w:val="0"/>
          <w:marTop w:val="0"/>
          <w:marBottom w:val="0"/>
          <w:divBdr>
            <w:top w:val="none" w:sz="0" w:space="0" w:color="auto"/>
            <w:left w:val="none" w:sz="0" w:space="0" w:color="auto"/>
            <w:bottom w:val="none" w:sz="0" w:space="0" w:color="auto"/>
            <w:right w:val="none" w:sz="0" w:space="0" w:color="auto"/>
          </w:divBdr>
        </w:div>
        <w:div w:id="477695469">
          <w:marLeft w:val="480"/>
          <w:marRight w:val="0"/>
          <w:marTop w:val="0"/>
          <w:marBottom w:val="0"/>
          <w:divBdr>
            <w:top w:val="none" w:sz="0" w:space="0" w:color="auto"/>
            <w:left w:val="none" w:sz="0" w:space="0" w:color="auto"/>
            <w:bottom w:val="none" w:sz="0" w:space="0" w:color="auto"/>
            <w:right w:val="none" w:sz="0" w:space="0" w:color="auto"/>
          </w:divBdr>
        </w:div>
        <w:div w:id="1536040903">
          <w:marLeft w:val="480"/>
          <w:marRight w:val="0"/>
          <w:marTop w:val="0"/>
          <w:marBottom w:val="0"/>
          <w:divBdr>
            <w:top w:val="none" w:sz="0" w:space="0" w:color="auto"/>
            <w:left w:val="none" w:sz="0" w:space="0" w:color="auto"/>
            <w:bottom w:val="none" w:sz="0" w:space="0" w:color="auto"/>
            <w:right w:val="none" w:sz="0" w:space="0" w:color="auto"/>
          </w:divBdr>
        </w:div>
        <w:div w:id="630282886">
          <w:marLeft w:val="480"/>
          <w:marRight w:val="0"/>
          <w:marTop w:val="0"/>
          <w:marBottom w:val="0"/>
          <w:divBdr>
            <w:top w:val="none" w:sz="0" w:space="0" w:color="auto"/>
            <w:left w:val="none" w:sz="0" w:space="0" w:color="auto"/>
            <w:bottom w:val="none" w:sz="0" w:space="0" w:color="auto"/>
            <w:right w:val="none" w:sz="0" w:space="0" w:color="auto"/>
          </w:divBdr>
        </w:div>
        <w:div w:id="1474371857">
          <w:marLeft w:val="480"/>
          <w:marRight w:val="0"/>
          <w:marTop w:val="0"/>
          <w:marBottom w:val="0"/>
          <w:divBdr>
            <w:top w:val="none" w:sz="0" w:space="0" w:color="auto"/>
            <w:left w:val="none" w:sz="0" w:space="0" w:color="auto"/>
            <w:bottom w:val="none" w:sz="0" w:space="0" w:color="auto"/>
            <w:right w:val="none" w:sz="0" w:space="0" w:color="auto"/>
          </w:divBdr>
        </w:div>
        <w:div w:id="618071706">
          <w:marLeft w:val="480"/>
          <w:marRight w:val="0"/>
          <w:marTop w:val="0"/>
          <w:marBottom w:val="0"/>
          <w:divBdr>
            <w:top w:val="none" w:sz="0" w:space="0" w:color="auto"/>
            <w:left w:val="none" w:sz="0" w:space="0" w:color="auto"/>
            <w:bottom w:val="none" w:sz="0" w:space="0" w:color="auto"/>
            <w:right w:val="none" w:sz="0" w:space="0" w:color="auto"/>
          </w:divBdr>
        </w:div>
        <w:div w:id="1377968740">
          <w:marLeft w:val="480"/>
          <w:marRight w:val="0"/>
          <w:marTop w:val="0"/>
          <w:marBottom w:val="0"/>
          <w:divBdr>
            <w:top w:val="none" w:sz="0" w:space="0" w:color="auto"/>
            <w:left w:val="none" w:sz="0" w:space="0" w:color="auto"/>
            <w:bottom w:val="none" w:sz="0" w:space="0" w:color="auto"/>
            <w:right w:val="none" w:sz="0" w:space="0" w:color="auto"/>
          </w:divBdr>
        </w:div>
        <w:div w:id="2025477151">
          <w:marLeft w:val="480"/>
          <w:marRight w:val="0"/>
          <w:marTop w:val="0"/>
          <w:marBottom w:val="0"/>
          <w:divBdr>
            <w:top w:val="none" w:sz="0" w:space="0" w:color="auto"/>
            <w:left w:val="none" w:sz="0" w:space="0" w:color="auto"/>
            <w:bottom w:val="none" w:sz="0" w:space="0" w:color="auto"/>
            <w:right w:val="none" w:sz="0" w:space="0" w:color="auto"/>
          </w:divBdr>
        </w:div>
        <w:div w:id="1190333314">
          <w:marLeft w:val="480"/>
          <w:marRight w:val="0"/>
          <w:marTop w:val="0"/>
          <w:marBottom w:val="0"/>
          <w:divBdr>
            <w:top w:val="none" w:sz="0" w:space="0" w:color="auto"/>
            <w:left w:val="none" w:sz="0" w:space="0" w:color="auto"/>
            <w:bottom w:val="none" w:sz="0" w:space="0" w:color="auto"/>
            <w:right w:val="none" w:sz="0" w:space="0" w:color="auto"/>
          </w:divBdr>
        </w:div>
        <w:div w:id="342903015">
          <w:marLeft w:val="480"/>
          <w:marRight w:val="0"/>
          <w:marTop w:val="0"/>
          <w:marBottom w:val="0"/>
          <w:divBdr>
            <w:top w:val="none" w:sz="0" w:space="0" w:color="auto"/>
            <w:left w:val="none" w:sz="0" w:space="0" w:color="auto"/>
            <w:bottom w:val="none" w:sz="0" w:space="0" w:color="auto"/>
            <w:right w:val="none" w:sz="0" w:space="0" w:color="auto"/>
          </w:divBdr>
        </w:div>
        <w:div w:id="1922711331">
          <w:marLeft w:val="480"/>
          <w:marRight w:val="0"/>
          <w:marTop w:val="0"/>
          <w:marBottom w:val="0"/>
          <w:divBdr>
            <w:top w:val="none" w:sz="0" w:space="0" w:color="auto"/>
            <w:left w:val="none" w:sz="0" w:space="0" w:color="auto"/>
            <w:bottom w:val="none" w:sz="0" w:space="0" w:color="auto"/>
            <w:right w:val="none" w:sz="0" w:space="0" w:color="auto"/>
          </w:divBdr>
        </w:div>
        <w:div w:id="861167780">
          <w:marLeft w:val="480"/>
          <w:marRight w:val="0"/>
          <w:marTop w:val="0"/>
          <w:marBottom w:val="0"/>
          <w:divBdr>
            <w:top w:val="none" w:sz="0" w:space="0" w:color="auto"/>
            <w:left w:val="none" w:sz="0" w:space="0" w:color="auto"/>
            <w:bottom w:val="none" w:sz="0" w:space="0" w:color="auto"/>
            <w:right w:val="none" w:sz="0" w:space="0" w:color="auto"/>
          </w:divBdr>
        </w:div>
        <w:div w:id="447889852">
          <w:marLeft w:val="480"/>
          <w:marRight w:val="0"/>
          <w:marTop w:val="0"/>
          <w:marBottom w:val="0"/>
          <w:divBdr>
            <w:top w:val="none" w:sz="0" w:space="0" w:color="auto"/>
            <w:left w:val="none" w:sz="0" w:space="0" w:color="auto"/>
            <w:bottom w:val="none" w:sz="0" w:space="0" w:color="auto"/>
            <w:right w:val="none" w:sz="0" w:space="0" w:color="auto"/>
          </w:divBdr>
        </w:div>
        <w:div w:id="1620796140">
          <w:marLeft w:val="480"/>
          <w:marRight w:val="0"/>
          <w:marTop w:val="0"/>
          <w:marBottom w:val="0"/>
          <w:divBdr>
            <w:top w:val="none" w:sz="0" w:space="0" w:color="auto"/>
            <w:left w:val="none" w:sz="0" w:space="0" w:color="auto"/>
            <w:bottom w:val="none" w:sz="0" w:space="0" w:color="auto"/>
            <w:right w:val="none" w:sz="0" w:space="0" w:color="auto"/>
          </w:divBdr>
        </w:div>
        <w:div w:id="357901224">
          <w:marLeft w:val="480"/>
          <w:marRight w:val="0"/>
          <w:marTop w:val="0"/>
          <w:marBottom w:val="0"/>
          <w:divBdr>
            <w:top w:val="none" w:sz="0" w:space="0" w:color="auto"/>
            <w:left w:val="none" w:sz="0" w:space="0" w:color="auto"/>
            <w:bottom w:val="none" w:sz="0" w:space="0" w:color="auto"/>
            <w:right w:val="none" w:sz="0" w:space="0" w:color="auto"/>
          </w:divBdr>
        </w:div>
        <w:div w:id="43531911">
          <w:marLeft w:val="480"/>
          <w:marRight w:val="0"/>
          <w:marTop w:val="0"/>
          <w:marBottom w:val="0"/>
          <w:divBdr>
            <w:top w:val="none" w:sz="0" w:space="0" w:color="auto"/>
            <w:left w:val="none" w:sz="0" w:space="0" w:color="auto"/>
            <w:bottom w:val="none" w:sz="0" w:space="0" w:color="auto"/>
            <w:right w:val="none" w:sz="0" w:space="0" w:color="auto"/>
          </w:divBdr>
        </w:div>
        <w:div w:id="1481844434">
          <w:marLeft w:val="480"/>
          <w:marRight w:val="0"/>
          <w:marTop w:val="0"/>
          <w:marBottom w:val="0"/>
          <w:divBdr>
            <w:top w:val="none" w:sz="0" w:space="0" w:color="auto"/>
            <w:left w:val="none" w:sz="0" w:space="0" w:color="auto"/>
            <w:bottom w:val="none" w:sz="0" w:space="0" w:color="auto"/>
            <w:right w:val="none" w:sz="0" w:space="0" w:color="auto"/>
          </w:divBdr>
        </w:div>
        <w:div w:id="1591699809">
          <w:marLeft w:val="480"/>
          <w:marRight w:val="0"/>
          <w:marTop w:val="0"/>
          <w:marBottom w:val="0"/>
          <w:divBdr>
            <w:top w:val="none" w:sz="0" w:space="0" w:color="auto"/>
            <w:left w:val="none" w:sz="0" w:space="0" w:color="auto"/>
            <w:bottom w:val="none" w:sz="0" w:space="0" w:color="auto"/>
            <w:right w:val="none" w:sz="0" w:space="0" w:color="auto"/>
          </w:divBdr>
        </w:div>
        <w:div w:id="1749618142">
          <w:marLeft w:val="480"/>
          <w:marRight w:val="0"/>
          <w:marTop w:val="0"/>
          <w:marBottom w:val="0"/>
          <w:divBdr>
            <w:top w:val="none" w:sz="0" w:space="0" w:color="auto"/>
            <w:left w:val="none" w:sz="0" w:space="0" w:color="auto"/>
            <w:bottom w:val="none" w:sz="0" w:space="0" w:color="auto"/>
            <w:right w:val="none" w:sz="0" w:space="0" w:color="auto"/>
          </w:divBdr>
        </w:div>
        <w:div w:id="473718704">
          <w:marLeft w:val="480"/>
          <w:marRight w:val="0"/>
          <w:marTop w:val="0"/>
          <w:marBottom w:val="0"/>
          <w:divBdr>
            <w:top w:val="none" w:sz="0" w:space="0" w:color="auto"/>
            <w:left w:val="none" w:sz="0" w:space="0" w:color="auto"/>
            <w:bottom w:val="none" w:sz="0" w:space="0" w:color="auto"/>
            <w:right w:val="none" w:sz="0" w:space="0" w:color="auto"/>
          </w:divBdr>
        </w:div>
        <w:div w:id="2116627939">
          <w:marLeft w:val="480"/>
          <w:marRight w:val="0"/>
          <w:marTop w:val="0"/>
          <w:marBottom w:val="0"/>
          <w:divBdr>
            <w:top w:val="none" w:sz="0" w:space="0" w:color="auto"/>
            <w:left w:val="none" w:sz="0" w:space="0" w:color="auto"/>
            <w:bottom w:val="none" w:sz="0" w:space="0" w:color="auto"/>
            <w:right w:val="none" w:sz="0" w:space="0" w:color="auto"/>
          </w:divBdr>
        </w:div>
        <w:div w:id="33429269">
          <w:marLeft w:val="480"/>
          <w:marRight w:val="0"/>
          <w:marTop w:val="0"/>
          <w:marBottom w:val="0"/>
          <w:divBdr>
            <w:top w:val="none" w:sz="0" w:space="0" w:color="auto"/>
            <w:left w:val="none" w:sz="0" w:space="0" w:color="auto"/>
            <w:bottom w:val="none" w:sz="0" w:space="0" w:color="auto"/>
            <w:right w:val="none" w:sz="0" w:space="0" w:color="auto"/>
          </w:divBdr>
        </w:div>
        <w:div w:id="261189128">
          <w:marLeft w:val="480"/>
          <w:marRight w:val="0"/>
          <w:marTop w:val="0"/>
          <w:marBottom w:val="0"/>
          <w:divBdr>
            <w:top w:val="none" w:sz="0" w:space="0" w:color="auto"/>
            <w:left w:val="none" w:sz="0" w:space="0" w:color="auto"/>
            <w:bottom w:val="none" w:sz="0" w:space="0" w:color="auto"/>
            <w:right w:val="none" w:sz="0" w:space="0" w:color="auto"/>
          </w:divBdr>
        </w:div>
        <w:div w:id="1195312470">
          <w:marLeft w:val="480"/>
          <w:marRight w:val="0"/>
          <w:marTop w:val="0"/>
          <w:marBottom w:val="0"/>
          <w:divBdr>
            <w:top w:val="none" w:sz="0" w:space="0" w:color="auto"/>
            <w:left w:val="none" w:sz="0" w:space="0" w:color="auto"/>
            <w:bottom w:val="none" w:sz="0" w:space="0" w:color="auto"/>
            <w:right w:val="none" w:sz="0" w:space="0" w:color="auto"/>
          </w:divBdr>
        </w:div>
        <w:div w:id="1242060145">
          <w:marLeft w:val="480"/>
          <w:marRight w:val="0"/>
          <w:marTop w:val="0"/>
          <w:marBottom w:val="0"/>
          <w:divBdr>
            <w:top w:val="none" w:sz="0" w:space="0" w:color="auto"/>
            <w:left w:val="none" w:sz="0" w:space="0" w:color="auto"/>
            <w:bottom w:val="none" w:sz="0" w:space="0" w:color="auto"/>
            <w:right w:val="none" w:sz="0" w:space="0" w:color="auto"/>
          </w:divBdr>
        </w:div>
        <w:div w:id="1775633014">
          <w:marLeft w:val="480"/>
          <w:marRight w:val="0"/>
          <w:marTop w:val="0"/>
          <w:marBottom w:val="0"/>
          <w:divBdr>
            <w:top w:val="none" w:sz="0" w:space="0" w:color="auto"/>
            <w:left w:val="none" w:sz="0" w:space="0" w:color="auto"/>
            <w:bottom w:val="none" w:sz="0" w:space="0" w:color="auto"/>
            <w:right w:val="none" w:sz="0" w:space="0" w:color="auto"/>
          </w:divBdr>
        </w:div>
        <w:div w:id="1904753141">
          <w:marLeft w:val="480"/>
          <w:marRight w:val="0"/>
          <w:marTop w:val="0"/>
          <w:marBottom w:val="0"/>
          <w:divBdr>
            <w:top w:val="none" w:sz="0" w:space="0" w:color="auto"/>
            <w:left w:val="none" w:sz="0" w:space="0" w:color="auto"/>
            <w:bottom w:val="none" w:sz="0" w:space="0" w:color="auto"/>
            <w:right w:val="none" w:sz="0" w:space="0" w:color="auto"/>
          </w:divBdr>
        </w:div>
        <w:div w:id="321548736">
          <w:marLeft w:val="480"/>
          <w:marRight w:val="0"/>
          <w:marTop w:val="0"/>
          <w:marBottom w:val="0"/>
          <w:divBdr>
            <w:top w:val="none" w:sz="0" w:space="0" w:color="auto"/>
            <w:left w:val="none" w:sz="0" w:space="0" w:color="auto"/>
            <w:bottom w:val="none" w:sz="0" w:space="0" w:color="auto"/>
            <w:right w:val="none" w:sz="0" w:space="0" w:color="auto"/>
          </w:divBdr>
        </w:div>
        <w:div w:id="2091659517">
          <w:marLeft w:val="480"/>
          <w:marRight w:val="0"/>
          <w:marTop w:val="0"/>
          <w:marBottom w:val="0"/>
          <w:divBdr>
            <w:top w:val="none" w:sz="0" w:space="0" w:color="auto"/>
            <w:left w:val="none" w:sz="0" w:space="0" w:color="auto"/>
            <w:bottom w:val="none" w:sz="0" w:space="0" w:color="auto"/>
            <w:right w:val="none" w:sz="0" w:space="0" w:color="auto"/>
          </w:divBdr>
        </w:div>
        <w:div w:id="1617445562">
          <w:marLeft w:val="480"/>
          <w:marRight w:val="0"/>
          <w:marTop w:val="0"/>
          <w:marBottom w:val="0"/>
          <w:divBdr>
            <w:top w:val="none" w:sz="0" w:space="0" w:color="auto"/>
            <w:left w:val="none" w:sz="0" w:space="0" w:color="auto"/>
            <w:bottom w:val="none" w:sz="0" w:space="0" w:color="auto"/>
            <w:right w:val="none" w:sz="0" w:space="0" w:color="auto"/>
          </w:divBdr>
        </w:div>
        <w:div w:id="5638828">
          <w:marLeft w:val="480"/>
          <w:marRight w:val="0"/>
          <w:marTop w:val="0"/>
          <w:marBottom w:val="0"/>
          <w:divBdr>
            <w:top w:val="none" w:sz="0" w:space="0" w:color="auto"/>
            <w:left w:val="none" w:sz="0" w:space="0" w:color="auto"/>
            <w:bottom w:val="none" w:sz="0" w:space="0" w:color="auto"/>
            <w:right w:val="none" w:sz="0" w:space="0" w:color="auto"/>
          </w:divBdr>
        </w:div>
        <w:div w:id="1753698036">
          <w:marLeft w:val="480"/>
          <w:marRight w:val="0"/>
          <w:marTop w:val="0"/>
          <w:marBottom w:val="0"/>
          <w:divBdr>
            <w:top w:val="none" w:sz="0" w:space="0" w:color="auto"/>
            <w:left w:val="none" w:sz="0" w:space="0" w:color="auto"/>
            <w:bottom w:val="none" w:sz="0" w:space="0" w:color="auto"/>
            <w:right w:val="none" w:sz="0" w:space="0" w:color="auto"/>
          </w:divBdr>
        </w:div>
        <w:div w:id="190806720">
          <w:marLeft w:val="480"/>
          <w:marRight w:val="0"/>
          <w:marTop w:val="0"/>
          <w:marBottom w:val="0"/>
          <w:divBdr>
            <w:top w:val="none" w:sz="0" w:space="0" w:color="auto"/>
            <w:left w:val="none" w:sz="0" w:space="0" w:color="auto"/>
            <w:bottom w:val="none" w:sz="0" w:space="0" w:color="auto"/>
            <w:right w:val="none" w:sz="0" w:space="0" w:color="auto"/>
          </w:divBdr>
        </w:div>
        <w:div w:id="1153645084">
          <w:marLeft w:val="480"/>
          <w:marRight w:val="0"/>
          <w:marTop w:val="0"/>
          <w:marBottom w:val="0"/>
          <w:divBdr>
            <w:top w:val="none" w:sz="0" w:space="0" w:color="auto"/>
            <w:left w:val="none" w:sz="0" w:space="0" w:color="auto"/>
            <w:bottom w:val="none" w:sz="0" w:space="0" w:color="auto"/>
            <w:right w:val="none" w:sz="0" w:space="0" w:color="auto"/>
          </w:divBdr>
        </w:div>
        <w:div w:id="1261179744">
          <w:marLeft w:val="480"/>
          <w:marRight w:val="0"/>
          <w:marTop w:val="0"/>
          <w:marBottom w:val="0"/>
          <w:divBdr>
            <w:top w:val="none" w:sz="0" w:space="0" w:color="auto"/>
            <w:left w:val="none" w:sz="0" w:space="0" w:color="auto"/>
            <w:bottom w:val="none" w:sz="0" w:space="0" w:color="auto"/>
            <w:right w:val="none" w:sz="0" w:space="0" w:color="auto"/>
          </w:divBdr>
        </w:div>
        <w:div w:id="1707220977">
          <w:marLeft w:val="480"/>
          <w:marRight w:val="0"/>
          <w:marTop w:val="0"/>
          <w:marBottom w:val="0"/>
          <w:divBdr>
            <w:top w:val="none" w:sz="0" w:space="0" w:color="auto"/>
            <w:left w:val="none" w:sz="0" w:space="0" w:color="auto"/>
            <w:bottom w:val="none" w:sz="0" w:space="0" w:color="auto"/>
            <w:right w:val="none" w:sz="0" w:space="0" w:color="auto"/>
          </w:divBdr>
        </w:div>
        <w:div w:id="27797473">
          <w:marLeft w:val="480"/>
          <w:marRight w:val="0"/>
          <w:marTop w:val="0"/>
          <w:marBottom w:val="0"/>
          <w:divBdr>
            <w:top w:val="none" w:sz="0" w:space="0" w:color="auto"/>
            <w:left w:val="none" w:sz="0" w:space="0" w:color="auto"/>
            <w:bottom w:val="none" w:sz="0" w:space="0" w:color="auto"/>
            <w:right w:val="none" w:sz="0" w:space="0" w:color="auto"/>
          </w:divBdr>
        </w:div>
        <w:div w:id="7490195">
          <w:marLeft w:val="480"/>
          <w:marRight w:val="0"/>
          <w:marTop w:val="0"/>
          <w:marBottom w:val="0"/>
          <w:divBdr>
            <w:top w:val="none" w:sz="0" w:space="0" w:color="auto"/>
            <w:left w:val="none" w:sz="0" w:space="0" w:color="auto"/>
            <w:bottom w:val="none" w:sz="0" w:space="0" w:color="auto"/>
            <w:right w:val="none" w:sz="0" w:space="0" w:color="auto"/>
          </w:divBdr>
        </w:div>
        <w:div w:id="352265268">
          <w:marLeft w:val="480"/>
          <w:marRight w:val="0"/>
          <w:marTop w:val="0"/>
          <w:marBottom w:val="0"/>
          <w:divBdr>
            <w:top w:val="none" w:sz="0" w:space="0" w:color="auto"/>
            <w:left w:val="none" w:sz="0" w:space="0" w:color="auto"/>
            <w:bottom w:val="none" w:sz="0" w:space="0" w:color="auto"/>
            <w:right w:val="none" w:sz="0" w:space="0" w:color="auto"/>
          </w:divBdr>
        </w:div>
        <w:div w:id="1950550630">
          <w:marLeft w:val="480"/>
          <w:marRight w:val="0"/>
          <w:marTop w:val="0"/>
          <w:marBottom w:val="0"/>
          <w:divBdr>
            <w:top w:val="none" w:sz="0" w:space="0" w:color="auto"/>
            <w:left w:val="none" w:sz="0" w:space="0" w:color="auto"/>
            <w:bottom w:val="none" w:sz="0" w:space="0" w:color="auto"/>
            <w:right w:val="none" w:sz="0" w:space="0" w:color="auto"/>
          </w:divBdr>
        </w:div>
        <w:div w:id="125129107">
          <w:marLeft w:val="480"/>
          <w:marRight w:val="0"/>
          <w:marTop w:val="0"/>
          <w:marBottom w:val="0"/>
          <w:divBdr>
            <w:top w:val="none" w:sz="0" w:space="0" w:color="auto"/>
            <w:left w:val="none" w:sz="0" w:space="0" w:color="auto"/>
            <w:bottom w:val="none" w:sz="0" w:space="0" w:color="auto"/>
            <w:right w:val="none" w:sz="0" w:space="0" w:color="auto"/>
          </w:divBdr>
        </w:div>
        <w:div w:id="479926350">
          <w:marLeft w:val="480"/>
          <w:marRight w:val="0"/>
          <w:marTop w:val="0"/>
          <w:marBottom w:val="0"/>
          <w:divBdr>
            <w:top w:val="none" w:sz="0" w:space="0" w:color="auto"/>
            <w:left w:val="none" w:sz="0" w:space="0" w:color="auto"/>
            <w:bottom w:val="none" w:sz="0" w:space="0" w:color="auto"/>
            <w:right w:val="none" w:sz="0" w:space="0" w:color="auto"/>
          </w:divBdr>
        </w:div>
        <w:div w:id="1820919277">
          <w:marLeft w:val="480"/>
          <w:marRight w:val="0"/>
          <w:marTop w:val="0"/>
          <w:marBottom w:val="0"/>
          <w:divBdr>
            <w:top w:val="none" w:sz="0" w:space="0" w:color="auto"/>
            <w:left w:val="none" w:sz="0" w:space="0" w:color="auto"/>
            <w:bottom w:val="none" w:sz="0" w:space="0" w:color="auto"/>
            <w:right w:val="none" w:sz="0" w:space="0" w:color="auto"/>
          </w:divBdr>
        </w:div>
        <w:div w:id="1833910653">
          <w:marLeft w:val="480"/>
          <w:marRight w:val="0"/>
          <w:marTop w:val="0"/>
          <w:marBottom w:val="0"/>
          <w:divBdr>
            <w:top w:val="none" w:sz="0" w:space="0" w:color="auto"/>
            <w:left w:val="none" w:sz="0" w:space="0" w:color="auto"/>
            <w:bottom w:val="none" w:sz="0" w:space="0" w:color="auto"/>
            <w:right w:val="none" w:sz="0" w:space="0" w:color="auto"/>
          </w:divBdr>
        </w:div>
        <w:div w:id="78408764">
          <w:marLeft w:val="480"/>
          <w:marRight w:val="0"/>
          <w:marTop w:val="0"/>
          <w:marBottom w:val="0"/>
          <w:divBdr>
            <w:top w:val="none" w:sz="0" w:space="0" w:color="auto"/>
            <w:left w:val="none" w:sz="0" w:space="0" w:color="auto"/>
            <w:bottom w:val="none" w:sz="0" w:space="0" w:color="auto"/>
            <w:right w:val="none" w:sz="0" w:space="0" w:color="auto"/>
          </w:divBdr>
        </w:div>
        <w:div w:id="1330980563">
          <w:marLeft w:val="480"/>
          <w:marRight w:val="0"/>
          <w:marTop w:val="0"/>
          <w:marBottom w:val="0"/>
          <w:divBdr>
            <w:top w:val="none" w:sz="0" w:space="0" w:color="auto"/>
            <w:left w:val="none" w:sz="0" w:space="0" w:color="auto"/>
            <w:bottom w:val="none" w:sz="0" w:space="0" w:color="auto"/>
            <w:right w:val="none" w:sz="0" w:space="0" w:color="auto"/>
          </w:divBdr>
        </w:div>
        <w:div w:id="266691955">
          <w:marLeft w:val="480"/>
          <w:marRight w:val="0"/>
          <w:marTop w:val="0"/>
          <w:marBottom w:val="0"/>
          <w:divBdr>
            <w:top w:val="none" w:sz="0" w:space="0" w:color="auto"/>
            <w:left w:val="none" w:sz="0" w:space="0" w:color="auto"/>
            <w:bottom w:val="none" w:sz="0" w:space="0" w:color="auto"/>
            <w:right w:val="none" w:sz="0" w:space="0" w:color="auto"/>
          </w:divBdr>
        </w:div>
        <w:div w:id="354454">
          <w:marLeft w:val="480"/>
          <w:marRight w:val="0"/>
          <w:marTop w:val="0"/>
          <w:marBottom w:val="0"/>
          <w:divBdr>
            <w:top w:val="none" w:sz="0" w:space="0" w:color="auto"/>
            <w:left w:val="none" w:sz="0" w:space="0" w:color="auto"/>
            <w:bottom w:val="none" w:sz="0" w:space="0" w:color="auto"/>
            <w:right w:val="none" w:sz="0" w:space="0" w:color="auto"/>
          </w:divBdr>
        </w:div>
        <w:div w:id="1495561810">
          <w:marLeft w:val="480"/>
          <w:marRight w:val="0"/>
          <w:marTop w:val="0"/>
          <w:marBottom w:val="0"/>
          <w:divBdr>
            <w:top w:val="none" w:sz="0" w:space="0" w:color="auto"/>
            <w:left w:val="none" w:sz="0" w:space="0" w:color="auto"/>
            <w:bottom w:val="none" w:sz="0" w:space="0" w:color="auto"/>
            <w:right w:val="none" w:sz="0" w:space="0" w:color="auto"/>
          </w:divBdr>
        </w:div>
        <w:div w:id="1601060167">
          <w:marLeft w:val="480"/>
          <w:marRight w:val="0"/>
          <w:marTop w:val="0"/>
          <w:marBottom w:val="0"/>
          <w:divBdr>
            <w:top w:val="none" w:sz="0" w:space="0" w:color="auto"/>
            <w:left w:val="none" w:sz="0" w:space="0" w:color="auto"/>
            <w:bottom w:val="none" w:sz="0" w:space="0" w:color="auto"/>
            <w:right w:val="none" w:sz="0" w:space="0" w:color="auto"/>
          </w:divBdr>
        </w:div>
        <w:div w:id="1720785111">
          <w:marLeft w:val="480"/>
          <w:marRight w:val="0"/>
          <w:marTop w:val="0"/>
          <w:marBottom w:val="0"/>
          <w:divBdr>
            <w:top w:val="none" w:sz="0" w:space="0" w:color="auto"/>
            <w:left w:val="none" w:sz="0" w:space="0" w:color="auto"/>
            <w:bottom w:val="none" w:sz="0" w:space="0" w:color="auto"/>
            <w:right w:val="none" w:sz="0" w:space="0" w:color="auto"/>
          </w:divBdr>
        </w:div>
        <w:div w:id="1851139636">
          <w:marLeft w:val="480"/>
          <w:marRight w:val="0"/>
          <w:marTop w:val="0"/>
          <w:marBottom w:val="0"/>
          <w:divBdr>
            <w:top w:val="none" w:sz="0" w:space="0" w:color="auto"/>
            <w:left w:val="none" w:sz="0" w:space="0" w:color="auto"/>
            <w:bottom w:val="none" w:sz="0" w:space="0" w:color="auto"/>
            <w:right w:val="none" w:sz="0" w:space="0" w:color="auto"/>
          </w:divBdr>
        </w:div>
        <w:div w:id="958800372">
          <w:marLeft w:val="480"/>
          <w:marRight w:val="0"/>
          <w:marTop w:val="0"/>
          <w:marBottom w:val="0"/>
          <w:divBdr>
            <w:top w:val="none" w:sz="0" w:space="0" w:color="auto"/>
            <w:left w:val="none" w:sz="0" w:space="0" w:color="auto"/>
            <w:bottom w:val="none" w:sz="0" w:space="0" w:color="auto"/>
            <w:right w:val="none" w:sz="0" w:space="0" w:color="auto"/>
          </w:divBdr>
        </w:div>
        <w:div w:id="307517432">
          <w:marLeft w:val="480"/>
          <w:marRight w:val="0"/>
          <w:marTop w:val="0"/>
          <w:marBottom w:val="0"/>
          <w:divBdr>
            <w:top w:val="none" w:sz="0" w:space="0" w:color="auto"/>
            <w:left w:val="none" w:sz="0" w:space="0" w:color="auto"/>
            <w:bottom w:val="none" w:sz="0" w:space="0" w:color="auto"/>
            <w:right w:val="none" w:sz="0" w:space="0" w:color="auto"/>
          </w:divBdr>
        </w:div>
        <w:div w:id="1875655794">
          <w:marLeft w:val="480"/>
          <w:marRight w:val="0"/>
          <w:marTop w:val="0"/>
          <w:marBottom w:val="0"/>
          <w:divBdr>
            <w:top w:val="none" w:sz="0" w:space="0" w:color="auto"/>
            <w:left w:val="none" w:sz="0" w:space="0" w:color="auto"/>
            <w:bottom w:val="none" w:sz="0" w:space="0" w:color="auto"/>
            <w:right w:val="none" w:sz="0" w:space="0" w:color="auto"/>
          </w:divBdr>
        </w:div>
        <w:div w:id="157774045">
          <w:marLeft w:val="480"/>
          <w:marRight w:val="0"/>
          <w:marTop w:val="0"/>
          <w:marBottom w:val="0"/>
          <w:divBdr>
            <w:top w:val="none" w:sz="0" w:space="0" w:color="auto"/>
            <w:left w:val="none" w:sz="0" w:space="0" w:color="auto"/>
            <w:bottom w:val="none" w:sz="0" w:space="0" w:color="auto"/>
            <w:right w:val="none" w:sz="0" w:space="0" w:color="auto"/>
          </w:divBdr>
        </w:div>
        <w:div w:id="14815712">
          <w:marLeft w:val="480"/>
          <w:marRight w:val="0"/>
          <w:marTop w:val="0"/>
          <w:marBottom w:val="0"/>
          <w:divBdr>
            <w:top w:val="none" w:sz="0" w:space="0" w:color="auto"/>
            <w:left w:val="none" w:sz="0" w:space="0" w:color="auto"/>
            <w:bottom w:val="none" w:sz="0" w:space="0" w:color="auto"/>
            <w:right w:val="none" w:sz="0" w:space="0" w:color="auto"/>
          </w:divBdr>
        </w:div>
        <w:div w:id="1468816381">
          <w:marLeft w:val="480"/>
          <w:marRight w:val="0"/>
          <w:marTop w:val="0"/>
          <w:marBottom w:val="0"/>
          <w:divBdr>
            <w:top w:val="none" w:sz="0" w:space="0" w:color="auto"/>
            <w:left w:val="none" w:sz="0" w:space="0" w:color="auto"/>
            <w:bottom w:val="none" w:sz="0" w:space="0" w:color="auto"/>
            <w:right w:val="none" w:sz="0" w:space="0" w:color="auto"/>
          </w:divBdr>
        </w:div>
        <w:div w:id="205147742">
          <w:marLeft w:val="480"/>
          <w:marRight w:val="0"/>
          <w:marTop w:val="0"/>
          <w:marBottom w:val="0"/>
          <w:divBdr>
            <w:top w:val="none" w:sz="0" w:space="0" w:color="auto"/>
            <w:left w:val="none" w:sz="0" w:space="0" w:color="auto"/>
            <w:bottom w:val="none" w:sz="0" w:space="0" w:color="auto"/>
            <w:right w:val="none" w:sz="0" w:space="0" w:color="auto"/>
          </w:divBdr>
        </w:div>
        <w:div w:id="434714987">
          <w:marLeft w:val="480"/>
          <w:marRight w:val="0"/>
          <w:marTop w:val="0"/>
          <w:marBottom w:val="0"/>
          <w:divBdr>
            <w:top w:val="none" w:sz="0" w:space="0" w:color="auto"/>
            <w:left w:val="none" w:sz="0" w:space="0" w:color="auto"/>
            <w:bottom w:val="none" w:sz="0" w:space="0" w:color="auto"/>
            <w:right w:val="none" w:sz="0" w:space="0" w:color="auto"/>
          </w:divBdr>
        </w:div>
        <w:div w:id="1226724231">
          <w:marLeft w:val="480"/>
          <w:marRight w:val="0"/>
          <w:marTop w:val="0"/>
          <w:marBottom w:val="0"/>
          <w:divBdr>
            <w:top w:val="none" w:sz="0" w:space="0" w:color="auto"/>
            <w:left w:val="none" w:sz="0" w:space="0" w:color="auto"/>
            <w:bottom w:val="none" w:sz="0" w:space="0" w:color="auto"/>
            <w:right w:val="none" w:sz="0" w:space="0" w:color="auto"/>
          </w:divBdr>
        </w:div>
        <w:div w:id="111680975">
          <w:marLeft w:val="480"/>
          <w:marRight w:val="0"/>
          <w:marTop w:val="0"/>
          <w:marBottom w:val="0"/>
          <w:divBdr>
            <w:top w:val="none" w:sz="0" w:space="0" w:color="auto"/>
            <w:left w:val="none" w:sz="0" w:space="0" w:color="auto"/>
            <w:bottom w:val="none" w:sz="0" w:space="0" w:color="auto"/>
            <w:right w:val="none" w:sz="0" w:space="0" w:color="auto"/>
          </w:divBdr>
        </w:div>
        <w:div w:id="668871038">
          <w:marLeft w:val="480"/>
          <w:marRight w:val="0"/>
          <w:marTop w:val="0"/>
          <w:marBottom w:val="0"/>
          <w:divBdr>
            <w:top w:val="none" w:sz="0" w:space="0" w:color="auto"/>
            <w:left w:val="none" w:sz="0" w:space="0" w:color="auto"/>
            <w:bottom w:val="none" w:sz="0" w:space="0" w:color="auto"/>
            <w:right w:val="none" w:sz="0" w:space="0" w:color="auto"/>
          </w:divBdr>
        </w:div>
        <w:div w:id="1225989529">
          <w:marLeft w:val="480"/>
          <w:marRight w:val="0"/>
          <w:marTop w:val="0"/>
          <w:marBottom w:val="0"/>
          <w:divBdr>
            <w:top w:val="none" w:sz="0" w:space="0" w:color="auto"/>
            <w:left w:val="none" w:sz="0" w:space="0" w:color="auto"/>
            <w:bottom w:val="none" w:sz="0" w:space="0" w:color="auto"/>
            <w:right w:val="none" w:sz="0" w:space="0" w:color="auto"/>
          </w:divBdr>
        </w:div>
        <w:div w:id="132064220">
          <w:marLeft w:val="480"/>
          <w:marRight w:val="0"/>
          <w:marTop w:val="0"/>
          <w:marBottom w:val="0"/>
          <w:divBdr>
            <w:top w:val="none" w:sz="0" w:space="0" w:color="auto"/>
            <w:left w:val="none" w:sz="0" w:space="0" w:color="auto"/>
            <w:bottom w:val="none" w:sz="0" w:space="0" w:color="auto"/>
            <w:right w:val="none" w:sz="0" w:space="0" w:color="auto"/>
          </w:divBdr>
        </w:div>
        <w:div w:id="1018629098">
          <w:marLeft w:val="480"/>
          <w:marRight w:val="0"/>
          <w:marTop w:val="0"/>
          <w:marBottom w:val="0"/>
          <w:divBdr>
            <w:top w:val="none" w:sz="0" w:space="0" w:color="auto"/>
            <w:left w:val="none" w:sz="0" w:space="0" w:color="auto"/>
            <w:bottom w:val="none" w:sz="0" w:space="0" w:color="auto"/>
            <w:right w:val="none" w:sz="0" w:space="0" w:color="auto"/>
          </w:divBdr>
        </w:div>
        <w:div w:id="387269083">
          <w:marLeft w:val="480"/>
          <w:marRight w:val="0"/>
          <w:marTop w:val="0"/>
          <w:marBottom w:val="0"/>
          <w:divBdr>
            <w:top w:val="none" w:sz="0" w:space="0" w:color="auto"/>
            <w:left w:val="none" w:sz="0" w:space="0" w:color="auto"/>
            <w:bottom w:val="none" w:sz="0" w:space="0" w:color="auto"/>
            <w:right w:val="none" w:sz="0" w:space="0" w:color="auto"/>
          </w:divBdr>
        </w:div>
        <w:div w:id="7022768">
          <w:marLeft w:val="480"/>
          <w:marRight w:val="0"/>
          <w:marTop w:val="0"/>
          <w:marBottom w:val="0"/>
          <w:divBdr>
            <w:top w:val="none" w:sz="0" w:space="0" w:color="auto"/>
            <w:left w:val="none" w:sz="0" w:space="0" w:color="auto"/>
            <w:bottom w:val="none" w:sz="0" w:space="0" w:color="auto"/>
            <w:right w:val="none" w:sz="0" w:space="0" w:color="auto"/>
          </w:divBdr>
        </w:div>
        <w:div w:id="1901792258">
          <w:marLeft w:val="480"/>
          <w:marRight w:val="0"/>
          <w:marTop w:val="0"/>
          <w:marBottom w:val="0"/>
          <w:divBdr>
            <w:top w:val="none" w:sz="0" w:space="0" w:color="auto"/>
            <w:left w:val="none" w:sz="0" w:space="0" w:color="auto"/>
            <w:bottom w:val="none" w:sz="0" w:space="0" w:color="auto"/>
            <w:right w:val="none" w:sz="0" w:space="0" w:color="auto"/>
          </w:divBdr>
        </w:div>
        <w:div w:id="819078056">
          <w:marLeft w:val="480"/>
          <w:marRight w:val="0"/>
          <w:marTop w:val="0"/>
          <w:marBottom w:val="0"/>
          <w:divBdr>
            <w:top w:val="none" w:sz="0" w:space="0" w:color="auto"/>
            <w:left w:val="none" w:sz="0" w:space="0" w:color="auto"/>
            <w:bottom w:val="none" w:sz="0" w:space="0" w:color="auto"/>
            <w:right w:val="none" w:sz="0" w:space="0" w:color="auto"/>
          </w:divBdr>
        </w:div>
        <w:div w:id="90245685">
          <w:marLeft w:val="480"/>
          <w:marRight w:val="0"/>
          <w:marTop w:val="0"/>
          <w:marBottom w:val="0"/>
          <w:divBdr>
            <w:top w:val="none" w:sz="0" w:space="0" w:color="auto"/>
            <w:left w:val="none" w:sz="0" w:space="0" w:color="auto"/>
            <w:bottom w:val="none" w:sz="0" w:space="0" w:color="auto"/>
            <w:right w:val="none" w:sz="0" w:space="0" w:color="auto"/>
          </w:divBdr>
        </w:div>
        <w:div w:id="691423252">
          <w:marLeft w:val="480"/>
          <w:marRight w:val="0"/>
          <w:marTop w:val="0"/>
          <w:marBottom w:val="0"/>
          <w:divBdr>
            <w:top w:val="none" w:sz="0" w:space="0" w:color="auto"/>
            <w:left w:val="none" w:sz="0" w:space="0" w:color="auto"/>
            <w:bottom w:val="none" w:sz="0" w:space="0" w:color="auto"/>
            <w:right w:val="none" w:sz="0" w:space="0" w:color="auto"/>
          </w:divBdr>
        </w:div>
        <w:div w:id="1358854004">
          <w:marLeft w:val="480"/>
          <w:marRight w:val="0"/>
          <w:marTop w:val="0"/>
          <w:marBottom w:val="0"/>
          <w:divBdr>
            <w:top w:val="none" w:sz="0" w:space="0" w:color="auto"/>
            <w:left w:val="none" w:sz="0" w:space="0" w:color="auto"/>
            <w:bottom w:val="none" w:sz="0" w:space="0" w:color="auto"/>
            <w:right w:val="none" w:sz="0" w:space="0" w:color="auto"/>
          </w:divBdr>
        </w:div>
        <w:div w:id="1163550321">
          <w:marLeft w:val="480"/>
          <w:marRight w:val="0"/>
          <w:marTop w:val="0"/>
          <w:marBottom w:val="0"/>
          <w:divBdr>
            <w:top w:val="none" w:sz="0" w:space="0" w:color="auto"/>
            <w:left w:val="none" w:sz="0" w:space="0" w:color="auto"/>
            <w:bottom w:val="none" w:sz="0" w:space="0" w:color="auto"/>
            <w:right w:val="none" w:sz="0" w:space="0" w:color="auto"/>
          </w:divBdr>
        </w:div>
        <w:div w:id="851458379">
          <w:marLeft w:val="480"/>
          <w:marRight w:val="0"/>
          <w:marTop w:val="0"/>
          <w:marBottom w:val="0"/>
          <w:divBdr>
            <w:top w:val="none" w:sz="0" w:space="0" w:color="auto"/>
            <w:left w:val="none" w:sz="0" w:space="0" w:color="auto"/>
            <w:bottom w:val="none" w:sz="0" w:space="0" w:color="auto"/>
            <w:right w:val="none" w:sz="0" w:space="0" w:color="auto"/>
          </w:divBdr>
        </w:div>
        <w:div w:id="333339311">
          <w:marLeft w:val="480"/>
          <w:marRight w:val="0"/>
          <w:marTop w:val="0"/>
          <w:marBottom w:val="0"/>
          <w:divBdr>
            <w:top w:val="none" w:sz="0" w:space="0" w:color="auto"/>
            <w:left w:val="none" w:sz="0" w:space="0" w:color="auto"/>
            <w:bottom w:val="none" w:sz="0" w:space="0" w:color="auto"/>
            <w:right w:val="none" w:sz="0" w:space="0" w:color="auto"/>
          </w:divBdr>
        </w:div>
        <w:div w:id="249241937">
          <w:marLeft w:val="480"/>
          <w:marRight w:val="0"/>
          <w:marTop w:val="0"/>
          <w:marBottom w:val="0"/>
          <w:divBdr>
            <w:top w:val="none" w:sz="0" w:space="0" w:color="auto"/>
            <w:left w:val="none" w:sz="0" w:space="0" w:color="auto"/>
            <w:bottom w:val="none" w:sz="0" w:space="0" w:color="auto"/>
            <w:right w:val="none" w:sz="0" w:space="0" w:color="auto"/>
          </w:divBdr>
        </w:div>
        <w:div w:id="955452030">
          <w:marLeft w:val="480"/>
          <w:marRight w:val="0"/>
          <w:marTop w:val="0"/>
          <w:marBottom w:val="0"/>
          <w:divBdr>
            <w:top w:val="none" w:sz="0" w:space="0" w:color="auto"/>
            <w:left w:val="none" w:sz="0" w:space="0" w:color="auto"/>
            <w:bottom w:val="none" w:sz="0" w:space="0" w:color="auto"/>
            <w:right w:val="none" w:sz="0" w:space="0" w:color="auto"/>
          </w:divBdr>
        </w:div>
        <w:div w:id="147021394">
          <w:marLeft w:val="480"/>
          <w:marRight w:val="0"/>
          <w:marTop w:val="0"/>
          <w:marBottom w:val="0"/>
          <w:divBdr>
            <w:top w:val="none" w:sz="0" w:space="0" w:color="auto"/>
            <w:left w:val="none" w:sz="0" w:space="0" w:color="auto"/>
            <w:bottom w:val="none" w:sz="0" w:space="0" w:color="auto"/>
            <w:right w:val="none" w:sz="0" w:space="0" w:color="auto"/>
          </w:divBdr>
        </w:div>
        <w:div w:id="413749101">
          <w:marLeft w:val="480"/>
          <w:marRight w:val="0"/>
          <w:marTop w:val="0"/>
          <w:marBottom w:val="0"/>
          <w:divBdr>
            <w:top w:val="none" w:sz="0" w:space="0" w:color="auto"/>
            <w:left w:val="none" w:sz="0" w:space="0" w:color="auto"/>
            <w:bottom w:val="none" w:sz="0" w:space="0" w:color="auto"/>
            <w:right w:val="none" w:sz="0" w:space="0" w:color="auto"/>
          </w:divBdr>
        </w:div>
        <w:div w:id="484005260">
          <w:marLeft w:val="480"/>
          <w:marRight w:val="0"/>
          <w:marTop w:val="0"/>
          <w:marBottom w:val="0"/>
          <w:divBdr>
            <w:top w:val="none" w:sz="0" w:space="0" w:color="auto"/>
            <w:left w:val="none" w:sz="0" w:space="0" w:color="auto"/>
            <w:bottom w:val="none" w:sz="0" w:space="0" w:color="auto"/>
            <w:right w:val="none" w:sz="0" w:space="0" w:color="auto"/>
          </w:divBdr>
        </w:div>
        <w:div w:id="176307413">
          <w:marLeft w:val="480"/>
          <w:marRight w:val="0"/>
          <w:marTop w:val="0"/>
          <w:marBottom w:val="0"/>
          <w:divBdr>
            <w:top w:val="none" w:sz="0" w:space="0" w:color="auto"/>
            <w:left w:val="none" w:sz="0" w:space="0" w:color="auto"/>
            <w:bottom w:val="none" w:sz="0" w:space="0" w:color="auto"/>
            <w:right w:val="none" w:sz="0" w:space="0" w:color="auto"/>
          </w:divBdr>
        </w:div>
        <w:div w:id="1520925030">
          <w:marLeft w:val="480"/>
          <w:marRight w:val="0"/>
          <w:marTop w:val="0"/>
          <w:marBottom w:val="0"/>
          <w:divBdr>
            <w:top w:val="none" w:sz="0" w:space="0" w:color="auto"/>
            <w:left w:val="none" w:sz="0" w:space="0" w:color="auto"/>
            <w:bottom w:val="none" w:sz="0" w:space="0" w:color="auto"/>
            <w:right w:val="none" w:sz="0" w:space="0" w:color="auto"/>
          </w:divBdr>
        </w:div>
        <w:div w:id="1863282105">
          <w:marLeft w:val="480"/>
          <w:marRight w:val="0"/>
          <w:marTop w:val="0"/>
          <w:marBottom w:val="0"/>
          <w:divBdr>
            <w:top w:val="none" w:sz="0" w:space="0" w:color="auto"/>
            <w:left w:val="none" w:sz="0" w:space="0" w:color="auto"/>
            <w:bottom w:val="none" w:sz="0" w:space="0" w:color="auto"/>
            <w:right w:val="none" w:sz="0" w:space="0" w:color="auto"/>
          </w:divBdr>
        </w:div>
        <w:div w:id="1997299496">
          <w:marLeft w:val="480"/>
          <w:marRight w:val="0"/>
          <w:marTop w:val="0"/>
          <w:marBottom w:val="0"/>
          <w:divBdr>
            <w:top w:val="none" w:sz="0" w:space="0" w:color="auto"/>
            <w:left w:val="none" w:sz="0" w:space="0" w:color="auto"/>
            <w:bottom w:val="none" w:sz="0" w:space="0" w:color="auto"/>
            <w:right w:val="none" w:sz="0" w:space="0" w:color="auto"/>
          </w:divBdr>
        </w:div>
        <w:div w:id="824324042">
          <w:marLeft w:val="480"/>
          <w:marRight w:val="0"/>
          <w:marTop w:val="0"/>
          <w:marBottom w:val="0"/>
          <w:divBdr>
            <w:top w:val="none" w:sz="0" w:space="0" w:color="auto"/>
            <w:left w:val="none" w:sz="0" w:space="0" w:color="auto"/>
            <w:bottom w:val="none" w:sz="0" w:space="0" w:color="auto"/>
            <w:right w:val="none" w:sz="0" w:space="0" w:color="auto"/>
          </w:divBdr>
        </w:div>
        <w:div w:id="1949192210">
          <w:marLeft w:val="480"/>
          <w:marRight w:val="0"/>
          <w:marTop w:val="0"/>
          <w:marBottom w:val="0"/>
          <w:divBdr>
            <w:top w:val="none" w:sz="0" w:space="0" w:color="auto"/>
            <w:left w:val="none" w:sz="0" w:space="0" w:color="auto"/>
            <w:bottom w:val="none" w:sz="0" w:space="0" w:color="auto"/>
            <w:right w:val="none" w:sz="0" w:space="0" w:color="auto"/>
          </w:divBdr>
        </w:div>
        <w:div w:id="1379822181">
          <w:marLeft w:val="480"/>
          <w:marRight w:val="0"/>
          <w:marTop w:val="0"/>
          <w:marBottom w:val="0"/>
          <w:divBdr>
            <w:top w:val="none" w:sz="0" w:space="0" w:color="auto"/>
            <w:left w:val="none" w:sz="0" w:space="0" w:color="auto"/>
            <w:bottom w:val="none" w:sz="0" w:space="0" w:color="auto"/>
            <w:right w:val="none" w:sz="0" w:space="0" w:color="auto"/>
          </w:divBdr>
        </w:div>
        <w:div w:id="1380126888">
          <w:marLeft w:val="480"/>
          <w:marRight w:val="0"/>
          <w:marTop w:val="0"/>
          <w:marBottom w:val="0"/>
          <w:divBdr>
            <w:top w:val="none" w:sz="0" w:space="0" w:color="auto"/>
            <w:left w:val="none" w:sz="0" w:space="0" w:color="auto"/>
            <w:bottom w:val="none" w:sz="0" w:space="0" w:color="auto"/>
            <w:right w:val="none" w:sz="0" w:space="0" w:color="auto"/>
          </w:divBdr>
        </w:div>
        <w:div w:id="32317184">
          <w:marLeft w:val="480"/>
          <w:marRight w:val="0"/>
          <w:marTop w:val="0"/>
          <w:marBottom w:val="0"/>
          <w:divBdr>
            <w:top w:val="none" w:sz="0" w:space="0" w:color="auto"/>
            <w:left w:val="none" w:sz="0" w:space="0" w:color="auto"/>
            <w:bottom w:val="none" w:sz="0" w:space="0" w:color="auto"/>
            <w:right w:val="none" w:sz="0" w:space="0" w:color="auto"/>
          </w:divBdr>
        </w:div>
        <w:div w:id="1507283517">
          <w:marLeft w:val="480"/>
          <w:marRight w:val="0"/>
          <w:marTop w:val="0"/>
          <w:marBottom w:val="0"/>
          <w:divBdr>
            <w:top w:val="none" w:sz="0" w:space="0" w:color="auto"/>
            <w:left w:val="none" w:sz="0" w:space="0" w:color="auto"/>
            <w:bottom w:val="none" w:sz="0" w:space="0" w:color="auto"/>
            <w:right w:val="none" w:sz="0" w:space="0" w:color="auto"/>
          </w:divBdr>
        </w:div>
        <w:div w:id="271933972">
          <w:marLeft w:val="480"/>
          <w:marRight w:val="0"/>
          <w:marTop w:val="0"/>
          <w:marBottom w:val="0"/>
          <w:divBdr>
            <w:top w:val="none" w:sz="0" w:space="0" w:color="auto"/>
            <w:left w:val="none" w:sz="0" w:space="0" w:color="auto"/>
            <w:bottom w:val="none" w:sz="0" w:space="0" w:color="auto"/>
            <w:right w:val="none" w:sz="0" w:space="0" w:color="auto"/>
          </w:divBdr>
        </w:div>
        <w:div w:id="1341350519">
          <w:marLeft w:val="480"/>
          <w:marRight w:val="0"/>
          <w:marTop w:val="0"/>
          <w:marBottom w:val="0"/>
          <w:divBdr>
            <w:top w:val="none" w:sz="0" w:space="0" w:color="auto"/>
            <w:left w:val="none" w:sz="0" w:space="0" w:color="auto"/>
            <w:bottom w:val="none" w:sz="0" w:space="0" w:color="auto"/>
            <w:right w:val="none" w:sz="0" w:space="0" w:color="auto"/>
          </w:divBdr>
        </w:div>
        <w:div w:id="430668471">
          <w:marLeft w:val="480"/>
          <w:marRight w:val="0"/>
          <w:marTop w:val="0"/>
          <w:marBottom w:val="0"/>
          <w:divBdr>
            <w:top w:val="none" w:sz="0" w:space="0" w:color="auto"/>
            <w:left w:val="none" w:sz="0" w:space="0" w:color="auto"/>
            <w:bottom w:val="none" w:sz="0" w:space="0" w:color="auto"/>
            <w:right w:val="none" w:sz="0" w:space="0" w:color="auto"/>
          </w:divBdr>
        </w:div>
        <w:div w:id="1584602249">
          <w:marLeft w:val="480"/>
          <w:marRight w:val="0"/>
          <w:marTop w:val="0"/>
          <w:marBottom w:val="0"/>
          <w:divBdr>
            <w:top w:val="none" w:sz="0" w:space="0" w:color="auto"/>
            <w:left w:val="none" w:sz="0" w:space="0" w:color="auto"/>
            <w:bottom w:val="none" w:sz="0" w:space="0" w:color="auto"/>
            <w:right w:val="none" w:sz="0" w:space="0" w:color="auto"/>
          </w:divBdr>
        </w:div>
        <w:div w:id="1343773891">
          <w:marLeft w:val="480"/>
          <w:marRight w:val="0"/>
          <w:marTop w:val="0"/>
          <w:marBottom w:val="0"/>
          <w:divBdr>
            <w:top w:val="none" w:sz="0" w:space="0" w:color="auto"/>
            <w:left w:val="none" w:sz="0" w:space="0" w:color="auto"/>
            <w:bottom w:val="none" w:sz="0" w:space="0" w:color="auto"/>
            <w:right w:val="none" w:sz="0" w:space="0" w:color="auto"/>
          </w:divBdr>
        </w:div>
        <w:div w:id="1354376445">
          <w:marLeft w:val="480"/>
          <w:marRight w:val="0"/>
          <w:marTop w:val="0"/>
          <w:marBottom w:val="0"/>
          <w:divBdr>
            <w:top w:val="none" w:sz="0" w:space="0" w:color="auto"/>
            <w:left w:val="none" w:sz="0" w:space="0" w:color="auto"/>
            <w:bottom w:val="none" w:sz="0" w:space="0" w:color="auto"/>
            <w:right w:val="none" w:sz="0" w:space="0" w:color="auto"/>
          </w:divBdr>
        </w:div>
        <w:div w:id="265432790">
          <w:marLeft w:val="480"/>
          <w:marRight w:val="0"/>
          <w:marTop w:val="0"/>
          <w:marBottom w:val="0"/>
          <w:divBdr>
            <w:top w:val="none" w:sz="0" w:space="0" w:color="auto"/>
            <w:left w:val="none" w:sz="0" w:space="0" w:color="auto"/>
            <w:bottom w:val="none" w:sz="0" w:space="0" w:color="auto"/>
            <w:right w:val="none" w:sz="0" w:space="0" w:color="auto"/>
          </w:divBdr>
        </w:div>
        <w:div w:id="1493327787">
          <w:marLeft w:val="480"/>
          <w:marRight w:val="0"/>
          <w:marTop w:val="0"/>
          <w:marBottom w:val="0"/>
          <w:divBdr>
            <w:top w:val="none" w:sz="0" w:space="0" w:color="auto"/>
            <w:left w:val="none" w:sz="0" w:space="0" w:color="auto"/>
            <w:bottom w:val="none" w:sz="0" w:space="0" w:color="auto"/>
            <w:right w:val="none" w:sz="0" w:space="0" w:color="auto"/>
          </w:divBdr>
        </w:div>
        <w:div w:id="1388185642">
          <w:marLeft w:val="480"/>
          <w:marRight w:val="0"/>
          <w:marTop w:val="0"/>
          <w:marBottom w:val="0"/>
          <w:divBdr>
            <w:top w:val="none" w:sz="0" w:space="0" w:color="auto"/>
            <w:left w:val="none" w:sz="0" w:space="0" w:color="auto"/>
            <w:bottom w:val="none" w:sz="0" w:space="0" w:color="auto"/>
            <w:right w:val="none" w:sz="0" w:space="0" w:color="auto"/>
          </w:divBdr>
        </w:div>
        <w:div w:id="832991420">
          <w:marLeft w:val="480"/>
          <w:marRight w:val="0"/>
          <w:marTop w:val="0"/>
          <w:marBottom w:val="0"/>
          <w:divBdr>
            <w:top w:val="none" w:sz="0" w:space="0" w:color="auto"/>
            <w:left w:val="none" w:sz="0" w:space="0" w:color="auto"/>
            <w:bottom w:val="none" w:sz="0" w:space="0" w:color="auto"/>
            <w:right w:val="none" w:sz="0" w:space="0" w:color="auto"/>
          </w:divBdr>
        </w:div>
        <w:div w:id="368847512">
          <w:marLeft w:val="480"/>
          <w:marRight w:val="0"/>
          <w:marTop w:val="0"/>
          <w:marBottom w:val="0"/>
          <w:divBdr>
            <w:top w:val="none" w:sz="0" w:space="0" w:color="auto"/>
            <w:left w:val="none" w:sz="0" w:space="0" w:color="auto"/>
            <w:bottom w:val="none" w:sz="0" w:space="0" w:color="auto"/>
            <w:right w:val="none" w:sz="0" w:space="0" w:color="auto"/>
          </w:divBdr>
        </w:div>
        <w:div w:id="494420409">
          <w:marLeft w:val="480"/>
          <w:marRight w:val="0"/>
          <w:marTop w:val="0"/>
          <w:marBottom w:val="0"/>
          <w:divBdr>
            <w:top w:val="none" w:sz="0" w:space="0" w:color="auto"/>
            <w:left w:val="none" w:sz="0" w:space="0" w:color="auto"/>
            <w:bottom w:val="none" w:sz="0" w:space="0" w:color="auto"/>
            <w:right w:val="none" w:sz="0" w:space="0" w:color="auto"/>
          </w:divBdr>
        </w:div>
        <w:div w:id="1682930177">
          <w:marLeft w:val="480"/>
          <w:marRight w:val="0"/>
          <w:marTop w:val="0"/>
          <w:marBottom w:val="0"/>
          <w:divBdr>
            <w:top w:val="none" w:sz="0" w:space="0" w:color="auto"/>
            <w:left w:val="none" w:sz="0" w:space="0" w:color="auto"/>
            <w:bottom w:val="none" w:sz="0" w:space="0" w:color="auto"/>
            <w:right w:val="none" w:sz="0" w:space="0" w:color="auto"/>
          </w:divBdr>
        </w:div>
        <w:div w:id="526066950">
          <w:marLeft w:val="480"/>
          <w:marRight w:val="0"/>
          <w:marTop w:val="0"/>
          <w:marBottom w:val="0"/>
          <w:divBdr>
            <w:top w:val="none" w:sz="0" w:space="0" w:color="auto"/>
            <w:left w:val="none" w:sz="0" w:space="0" w:color="auto"/>
            <w:bottom w:val="none" w:sz="0" w:space="0" w:color="auto"/>
            <w:right w:val="none" w:sz="0" w:space="0" w:color="auto"/>
          </w:divBdr>
        </w:div>
        <w:div w:id="1758746479">
          <w:marLeft w:val="480"/>
          <w:marRight w:val="0"/>
          <w:marTop w:val="0"/>
          <w:marBottom w:val="0"/>
          <w:divBdr>
            <w:top w:val="none" w:sz="0" w:space="0" w:color="auto"/>
            <w:left w:val="none" w:sz="0" w:space="0" w:color="auto"/>
            <w:bottom w:val="none" w:sz="0" w:space="0" w:color="auto"/>
            <w:right w:val="none" w:sz="0" w:space="0" w:color="auto"/>
          </w:divBdr>
        </w:div>
        <w:div w:id="1854294544">
          <w:marLeft w:val="480"/>
          <w:marRight w:val="0"/>
          <w:marTop w:val="0"/>
          <w:marBottom w:val="0"/>
          <w:divBdr>
            <w:top w:val="none" w:sz="0" w:space="0" w:color="auto"/>
            <w:left w:val="none" w:sz="0" w:space="0" w:color="auto"/>
            <w:bottom w:val="none" w:sz="0" w:space="0" w:color="auto"/>
            <w:right w:val="none" w:sz="0" w:space="0" w:color="auto"/>
          </w:divBdr>
        </w:div>
        <w:div w:id="1632713906">
          <w:marLeft w:val="480"/>
          <w:marRight w:val="0"/>
          <w:marTop w:val="0"/>
          <w:marBottom w:val="0"/>
          <w:divBdr>
            <w:top w:val="none" w:sz="0" w:space="0" w:color="auto"/>
            <w:left w:val="none" w:sz="0" w:space="0" w:color="auto"/>
            <w:bottom w:val="none" w:sz="0" w:space="0" w:color="auto"/>
            <w:right w:val="none" w:sz="0" w:space="0" w:color="auto"/>
          </w:divBdr>
        </w:div>
        <w:div w:id="441922138">
          <w:marLeft w:val="480"/>
          <w:marRight w:val="0"/>
          <w:marTop w:val="0"/>
          <w:marBottom w:val="0"/>
          <w:divBdr>
            <w:top w:val="none" w:sz="0" w:space="0" w:color="auto"/>
            <w:left w:val="none" w:sz="0" w:space="0" w:color="auto"/>
            <w:bottom w:val="none" w:sz="0" w:space="0" w:color="auto"/>
            <w:right w:val="none" w:sz="0" w:space="0" w:color="auto"/>
          </w:divBdr>
        </w:div>
        <w:div w:id="992832988">
          <w:marLeft w:val="480"/>
          <w:marRight w:val="0"/>
          <w:marTop w:val="0"/>
          <w:marBottom w:val="0"/>
          <w:divBdr>
            <w:top w:val="none" w:sz="0" w:space="0" w:color="auto"/>
            <w:left w:val="none" w:sz="0" w:space="0" w:color="auto"/>
            <w:bottom w:val="none" w:sz="0" w:space="0" w:color="auto"/>
            <w:right w:val="none" w:sz="0" w:space="0" w:color="auto"/>
          </w:divBdr>
        </w:div>
        <w:div w:id="1092631775">
          <w:marLeft w:val="480"/>
          <w:marRight w:val="0"/>
          <w:marTop w:val="0"/>
          <w:marBottom w:val="0"/>
          <w:divBdr>
            <w:top w:val="none" w:sz="0" w:space="0" w:color="auto"/>
            <w:left w:val="none" w:sz="0" w:space="0" w:color="auto"/>
            <w:bottom w:val="none" w:sz="0" w:space="0" w:color="auto"/>
            <w:right w:val="none" w:sz="0" w:space="0" w:color="auto"/>
          </w:divBdr>
        </w:div>
        <w:div w:id="1392967759">
          <w:marLeft w:val="480"/>
          <w:marRight w:val="0"/>
          <w:marTop w:val="0"/>
          <w:marBottom w:val="0"/>
          <w:divBdr>
            <w:top w:val="none" w:sz="0" w:space="0" w:color="auto"/>
            <w:left w:val="none" w:sz="0" w:space="0" w:color="auto"/>
            <w:bottom w:val="none" w:sz="0" w:space="0" w:color="auto"/>
            <w:right w:val="none" w:sz="0" w:space="0" w:color="auto"/>
          </w:divBdr>
        </w:div>
        <w:div w:id="1541746475">
          <w:marLeft w:val="480"/>
          <w:marRight w:val="0"/>
          <w:marTop w:val="0"/>
          <w:marBottom w:val="0"/>
          <w:divBdr>
            <w:top w:val="none" w:sz="0" w:space="0" w:color="auto"/>
            <w:left w:val="none" w:sz="0" w:space="0" w:color="auto"/>
            <w:bottom w:val="none" w:sz="0" w:space="0" w:color="auto"/>
            <w:right w:val="none" w:sz="0" w:space="0" w:color="auto"/>
          </w:divBdr>
        </w:div>
        <w:div w:id="753667681">
          <w:marLeft w:val="480"/>
          <w:marRight w:val="0"/>
          <w:marTop w:val="0"/>
          <w:marBottom w:val="0"/>
          <w:divBdr>
            <w:top w:val="none" w:sz="0" w:space="0" w:color="auto"/>
            <w:left w:val="none" w:sz="0" w:space="0" w:color="auto"/>
            <w:bottom w:val="none" w:sz="0" w:space="0" w:color="auto"/>
            <w:right w:val="none" w:sz="0" w:space="0" w:color="auto"/>
          </w:divBdr>
        </w:div>
        <w:div w:id="823594107">
          <w:marLeft w:val="480"/>
          <w:marRight w:val="0"/>
          <w:marTop w:val="0"/>
          <w:marBottom w:val="0"/>
          <w:divBdr>
            <w:top w:val="none" w:sz="0" w:space="0" w:color="auto"/>
            <w:left w:val="none" w:sz="0" w:space="0" w:color="auto"/>
            <w:bottom w:val="none" w:sz="0" w:space="0" w:color="auto"/>
            <w:right w:val="none" w:sz="0" w:space="0" w:color="auto"/>
          </w:divBdr>
        </w:div>
        <w:div w:id="1516266323">
          <w:marLeft w:val="480"/>
          <w:marRight w:val="0"/>
          <w:marTop w:val="0"/>
          <w:marBottom w:val="0"/>
          <w:divBdr>
            <w:top w:val="none" w:sz="0" w:space="0" w:color="auto"/>
            <w:left w:val="none" w:sz="0" w:space="0" w:color="auto"/>
            <w:bottom w:val="none" w:sz="0" w:space="0" w:color="auto"/>
            <w:right w:val="none" w:sz="0" w:space="0" w:color="auto"/>
          </w:divBdr>
        </w:div>
        <w:div w:id="2100563922">
          <w:marLeft w:val="480"/>
          <w:marRight w:val="0"/>
          <w:marTop w:val="0"/>
          <w:marBottom w:val="0"/>
          <w:divBdr>
            <w:top w:val="none" w:sz="0" w:space="0" w:color="auto"/>
            <w:left w:val="none" w:sz="0" w:space="0" w:color="auto"/>
            <w:bottom w:val="none" w:sz="0" w:space="0" w:color="auto"/>
            <w:right w:val="none" w:sz="0" w:space="0" w:color="auto"/>
          </w:divBdr>
        </w:div>
        <w:div w:id="166139590">
          <w:marLeft w:val="480"/>
          <w:marRight w:val="0"/>
          <w:marTop w:val="0"/>
          <w:marBottom w:val="0"/>
          <w:divBdr>
            <w:top w:val="none" w:sz="0" w:space="0" w:color="auto"/>
            <w:left w:val="none" w:sz="0" w:space="0" w:color="auto"/>
            <w:bottom w:val="none" w:sz="0" w:space="0" w:color="auto"/>
            <w:right w:val="none" w:sz="0" w:space="0" w:color="auto"/>
          </w:divBdr>
        </w:div>
        <w:div w:id="1246837367">
          <w:marLeft w:val="480"/>
          <w:marRight w:val="0"/>
          <w:marTop w:val="0"/>
          <w:marBottom w:val="0"/>
          <w:divBdr>
            <w:top w:val="none" w:sz="0" w:space="0" w:color="auto"/>
            <w:left w:val="none" w:sz="0" w:space="0" w:color="auto"/>
            <w:bottom w:val="none" w:sz="0" w:space="0" w:color="auto"/>
            <w:right w:val="none" w:sz="0" w:space="0" w:color="auto"/>
          </w:divBdr>
        </w:div>
        <w:div w:id="188877067">
          <w:marLeft w:val="480"/>
          <w:marRight w:val="0"/>
          <w:marTop w:val="0"/>
          <w:marBottom w:val="0"/>
          <w:divBdr>
            <w:top w:val="none" w:sz="0" w:space="0" w:color="auto"/>
            <w:left w:val="none" w:sz="0" w:space="0" w:color="auto"/>
            <w:bottom w:val="none" w:sz="0" w:space="0" w:color="auto"/>
            <w:right w:val="none" w:sz="0" w:space="0" w:color="auto"/>
          </w:divBdr>
        </w:div>
        <w:div w:id="120803209">
          <w:marLeft w:val="480"/>
          <w:marRight w:val="0"/>
          <w:marTop w:val="0"/>
          <w:marBottom w:val="0"/>
          <w:divBdr>
            <w:top w:val="none" w:sz="0" w:space="0" w:color="auto"/>
            <w:left w:val="none" w:sz="0" w:space="0" w:color="auto"/>
            <w:bottom w:val="none" w:sz="0" w:space="0" w:color="auto"/>
            <w:right w:val="none" w:sz="0" w:space="0" w:color="auto"/>
          </w:divBdr>
        </w:div>
        <w:div w:id="1582106414">
          <w:marLeft w:val="480"/>
          <w:marRight w:val="0"/>
          <w:marTop w:val="0"/>
          <w:marBottom w:val="0"/>
          <w:divBdr>
            <w:top w:val="none" w:sz="0" w:space="0" w:color="auto"/>
            <w:left w:val="none" w:sz="0" w:space="0" w:color="auto"/>
            <w:bottom w:val="none" w:sz="0" w:space="0" w:color="auto"/>
            <w:right w:val="none" w:sz="0" w:space="0" w:color="auto"/>
          </w:divBdr>
        </w:div>
        <w:div w:id="2019426883">
          <w:marLeft w:val="480"/>
          <w:marRight w:val="0"/>
          <w:marTop w:val="0"/>
          <w:marBottom w:val="0"/>
          <w:divBdr>
            <w:top w:val="none" w:sz="0" w:space="0" w:color="auto"/>
            <w:left w:val="none" w:sz="0" w:space="0" w:color="auto"/>
            <w:bottom w:val="none" w:sz="0" w:space="0" w:color="auto"/>
            <w:right w:val="none" w:sz="0" w:space="0" w:color="auto"/>
          </w:divBdr>
        </w:div>
        <w:div w:id="1122572746">
          <w:marLeft w:val="480"/>
          <w:marRight w:val="0"/>
          <w:marTop w:val="0"/>
          <w:marBottom w:val="0"/>
          <w:divBdr>
            <w:top w:val="none" w:sz="0" w:space="0" w:color="auto"/>
            <w:left w:val="none" w:sz="0" w:space="0" w:color="auto"/>
            <w:bottom w:val="none" w:sz="0" w:space="0" w:color="auto"/>
            <w:right w:val="none" w:sz="0" w:space="0" w:color="auto"/>
          </w:divBdr>
        </w:div>
        <w:div w:id="1758284639">
          <w:marLeft w:val="480"/>
          <w:marRight w:val="0"/>
          <w:marTop w:val="0"/>
          <w:marBottom w:val="0"/>
          <w:divBdr>
            <w:top w:val="none" w:sz="0" w:space="0" w:color="auto"/>
            <w:left w:val="none" w:sz="0" w:space="0" w:color="auto"/>
            <w:bottom w:val="none" w:sz="0" w:space="0" w:color="auto"/>
            <w:right w:val="none" w:sz="0" w:space="0" w:color="auto"/>
          </w:divBdr>
        </w:div>
        <w:div w:id="188034586">
          <w:marLeft w:val="480"/>
          <w:marRight w:val="0"/>
          <w:marTop w:val="0"/>
          <w:marBottom w:val="0"/>
          <w:divBdr>
            <w:top w:val="none" w:sz="0" w:space="0" w:color="auto"/>
            <w:left w:val="none" w:sz="0" w:space="0" w:color="auto"/>
            <w:bottom w:val="none" w:sz="0" w:space="0" w:color="auto"/>
            <w:right w:val="none" w:sz="0" w:space="0" w:color="auto"/>
          </w:divBdr>
        </w:div>
        <w:div w:id="683023278">
          <w:marLeft w:val="480"/>
          <w:marRight w:val="0"/>
          <w:marTop w:val="0"/>
          <w:marBottom w:val="0"/>
          <w:divBdr>
            <w:top w:val="none" w:sz="0" w:space="0" w:color="auto"/>
            <w:left w:val="none" w:sz="0" w:space="0" w:color="auto"/>
            <w:bottom w:val="none" w:sz="0" w:space="0" w:color="auto"/>
            <w:right w:val="none" w:sz="0" w:space="0" w:color="auto"/>
          </w:divBdr>
        </w:div>
        <w:div w:id="1620644142">
          <w:marLeft w:val="480"/>
          <w:marRight w:val="0"/>
          <w:marTop w:val="0"/>
          <w:marBottom w:val="0"/>
          <w:divBdr>
            <w:top w:val="none" w:sz="0" w:space="0" w:color="auto"/>
            <w:left w:val="none" w:sz="0" w:space="0" w:color="auto"/>
            <w:bottom w:val="none" w:sz="0" w:space="0" w:color="auto"/>
            <w:right w:val="none" w:sz="0" w:space="0" w:color="auto"/>
          </w:divBdr>
        </w:div>
        <w:div w:id="601186618">
          <w:marLeft w:val="480"/>
          <w:marRight w:val="0"/>
          <w:marTop w:val="0"/>
          <w:marBottom w:val="0"/>
          <w:divBdr>
            <w:top w:val="none" w:sz="0" w:space="0" w:color="auto"/>
            <w:left w:val="none" w:sz="0" w:space="0" w:color="auto"/>
            <w:bottom w:val="none" w:sz="0" w:space="0" w:color="auto"/>
            <w:right w:val="none" w:sz="0" w:space="0" w:color="auto"/>
          </w:divBdr>
        </w:div>
        <w:div w:id="154758682">
          <w:marLeft w:val="480"/>
          <w:marRight w:val="0"/>
          <w:marTop w:val="0"/>
          <w:marBottom w:val="0"/>
          <w:divBdr>
            <w:top w:val="none" w:sz="0" w:space="0" w:color="auto"/>
            <w:left w:val="none" w:sz="0" w:space="0" w:color="auto"/>
            <w:bottom w:val="none" w:sz="0" w:space="0" w:color="auto"/>
            <w:right w:val="none" w:sz="0" w:space="0" w:color="auto"/>
          </w:divBdr>
        </w:div>
        <w:div w:id="298456180">
          <w:marLeft w:val="480"/>
          <w:marRight w:val="0"/>
          <w:marTop w:val="0"/>
          <w:marBottom w:val="0"/>
          <w:divBdr>
            <w:top w:val="none" w:sz="0" w:space="0" w:color="auto"/>
            <w:left w:val="none" w:sz="0" w:space="0" w:color="auto"/>
            <w:bottom w:val="none" w:sz="0" w:space="0" w:color="auto"/>
            <w:right w:val="none" w:sz="0" w:space="0" w:color="auto"/>
          </w:divBdr>
        </w:div>
        <w:div w:id="863859989">
          <w:marLeft w:val="480"/>
          <w:marRight w:val="0"/>
          <w:marTop w:val="0"/>
          <w:marBottom w:val="0"/>
          <w:divBdr>
            <w:top w:val="none" w:sz="0" w:space="0" w:color="auto"/>
            <w:left w:val="none" w:sz="0" w:space="0" w:color="auto"/>
            <w:bottom w:val="none" w:sz="0" w:space="0" w:color="auto"/>
            <w:right w:val="none" w:sz="0" w:space="0" w:color="auto"/>
          </w:divBdr>
        </w:div>
        <w:div w:id="1080448768">
          <w:marLeft w:val="480"/>
          <w:marRight w:val="0"/>
          <w:marTop w:val="0"/>
          <w:marBottom w:val="0"/>
          <w:divBdr>
            <w:top w:val="none" w:sz="0" w:space="0" w:color="auto"/>
            <w:left w:val="none" w:sz="0" w:space="0" w:color="auto"/>
            <w:bottom w:val="none" w:sz="0" w:space="0" w:color="auto"/>
            <w:right w:val="none" w:sz="0" w:space="0" w:color="auto"/>
          </w:divBdr>
        </w:div>
        <w:div w:id="793905166">
          <w:marLeft w:val="480"/>
          <w:marRight w:val="0"/>
          <w:marTop w:val="0"/>
          <w:marBottom w:val="0"/>
          <w:divBdr>
            <w:top w:val="none" w:sz="0" w:space="0" w:color="auto"/>
            <w:left w:val="none" w:sz="0" w:space="0" w:color="auto"/>
            <w:bottom w:val="none" w:sz="0" w:space="0" w:color="auto"/>
            <w:right w:val="none" w:sz="0" w:space="0" w:color="auto"/>
          </w:divBdr>
        </w:div>
        <w:div w:id="406610282">
          <w:marLeft w:val="480"/>
          <w:marRight w:val="0"/>
          <w:marTop w:val="0"/>
          <w:marBottom w:val="0"/>
          <w:divBdr>
            <w:top w:val="none" w:sz="0" w:space="0" w:color="auto"/>
            <w:left w:val="none" w:sz="0" w:space="0" w:color="auto"/>
            <w:bottom w:val="none" w:sz="0" w:space="0" w:color="auto"/>
            <w:right w:val="none" w:sz="0" w:space="0" w:color="auto"/>
          </w:divBdr>
        </w:div>
        <w:div w:id="990057967">
          <w:marLeft w:val="480"/>
          <w:marRight w:val="0"/>
          <w:marTop w:val="0"/>
          <w:marBottom w:val="0"/>
          <w:divBdr>
            <w:top w:val="none" w:sz="0" w:space="0" w:color="auto"/>
            <w:left w:val="none" w:sz="0" w:space="0" w:color="auto"/>
            <w:bottom w:val="none" w:sz="0" w:space="0" w:color="auto"/>
            <w:right w:val="none" w:sz="0" w:space="0" w:color="auto"/>
          </w:divBdr>
        </w:div>
        <w:div w:id="156117146">
          <w:marLeft w:val="480"/>
          <w:marRight w:val="0"/>
          <w:marTop w:val="0"/>
          <w:marBottom w:val="0"/>
          <w:divBdr>
            <w:top w:val="none" w:sz="0" w:space="0" w:color="auto"/>
            <w:left w:val="none" w:sz="0" w:space="0" w:color="auto"/>
            <w:bottom w:val="none" w:sz="0" w:space="0" w:color="auto"/>
            <w:right w:val="none" w:sz="0" w:space="0" w:color="auto"/>
          </w:divBdr>
        </w:div>
        <w:div w:id="573973453">
          <w:marLeft w:val="480"/>
          <w:marRight w:val="0"/>
          <w:marTop w:val="0"/>
          <w:marBottom w:val="0"/>
          <w:divBdr>
            <w:top w:val="none" w:sz="0" w:space="0" w:color="auto"/>
            <w:left w:val="none" w:sz="0" w:space="0" w:color="auto"/>
            <w:bottom w:val="none" w:sz="0" w:space="0" w:color="auto"/>
            <w:right w:val="none" w:sz="0" w:space="0" w:color="auto"/>
          </w:divBdr>
        </w:div>
        <w:div w:id="2142644920">
          <w:marLeft w:val="480"/>
          <w:marRight w:val="0"/>
          <w:marTop w:val="0"/>
          <w:marBottom w:val="0"/>
          <w:divBdr>
            <w:top w:val="none" w:sz="0" w:space="0" w:color="auto"/>
            <w:left w:val="none" w:sz="0" w:space="0" w:color="auto"/>
            <w:bottom w:val="none" w:sz="0" w:space="0" w:color="auto"/>
            <w:right w:val="none" w:sz="0" w:space="0" w:color="auto"/>
          </w:divBdr>
        </w:div>
        <w:div w:id="2075734672">
          <w:marLeft w:val="480"/>
          <w:marRight w:val="0"/>
          <w:marTop w:val="0"/>
          <w:marBottom w:val="0"/>
          <w:divBdr>
            <w:top w:val="none" w:sz="0" w:space="0" w:color="auto"/>
            <w:left w:val="none" w:sz="0" w:space="0" w:color="auto"/>
            <w:bottom w:val="none" w:sz="0" w:space="0" w:color="auto"/>
            <w:right w:val="none" w:sz="0" w:space="0" w:color="auto"/>
          </w:divBdr>
        </w:div>
        <w:div w:id="1287354023">
          <w:marLeft w:val="480"/>
          <w:marRight w:val="0"/>
          <w:marTop w:val="0"/>
          <w:marBottom w:val="0"/>
          <w:divBdr>
            <w:top w:val="none" w:sz="0" w:space="0" w:color="auto"/>
            <w:left w:val="none" w:sz="0" w:space="0" w:color="auto"/>
            <w:bottom w:val="none" w:sz="0" w:space="0" w:color="auto"/>
            <w:right w:val="none" w:sz="0" w:space="0" w:color="auto"/>
          </w:divBdr>
        </w:div>
        <w:div w:id="566187926">
          <w:marLeft w:val="480"/>
          <w:marRight w:val="0"/>
          <w:marTop w:val="0"/>
          <w:marBottom w:val="0"/>
          <w:divBdr>
            <w:top w:val="none" w:sz="0" w:space="0" w:color="auto"/>
            <w:left w:val="none" w:sz="0" w:space="0" w:color="auto"/>
            <w:bottom w:val="none" w:sz="0" w:space="0" w:color="auto"/>
            <w:right w:val="none" w:sz="0" w:space="0" w:color="auto"/>
          </w:divBdr>
        </w:div>
        <w:div w:id="667437776">
          <w:marLeft w:val="480"/>
          <w:marRight w:val="0"/>
          <w:marTop w:val="0"/>
          <w:marBottom w:val="0"/>
          <w:divBdr>
            <w:top w:val="none" w:sz="0" w:space="0" w:color="auto"/>
            <w:left w:val="none" w:sz="0" w:space="0" w:color="auto"/>
            <w:bottom w:val="none" w:sz="0" w:space="0" w:color="auto"/>
            <w:right w:val="none" w:sz="0" w:space="0" w:color="auto"/>
          </w:divBdr>
        </w:div>
        <w:div w:id="907037417">
          <w:marLeft w:val="480"/>
          <w:marRight w:val="0"/>
          <w:marTop w:val="0"/>
          <w:marBottom w:val="0"/>
          <w:divBdr>
            <w:top w:val="none" w:sz="0" w:space="0" w:color="auto"/>
            <w:left w:val="none" w:sz="0" w:space="0" w:color="auto"/>
            <w:bottom w:val="none" w:sz="0" w:space="0" w:color="auto"/>
            <w:right w:val="none" w:sz="0" w:space="0" w:color="auto"/>
          </w:divBdr>
        </w:div>
        <w:div w:id="1517160393">
          <w:marLeft w:val="480"/>
          <w:marRight w:val="0"/>
          <w:marTop w:val="0"/>
          <w:marBottom w:val="0"/>
          <w:divBdr>
            <w:top w:val="none" w:sz="0" w:space="0" w:color="auto"/>
            <w:left w:val="none" w:sz="0" w:space="0" w:color="auto"/>
            <w:bottom w:val="none" w:sz="0" w:space="0" w:color="auto"/>
            <w:right w:val="none" w:sz="0" w:space="0" w:color="auto"/>
          </w:divBdr>
        </w:div>
        <w:div w:id="929508141">
          <w:marLeft w:val="480"/>
          <w:marRight w:val="0"/>
          <w:marTop w:val="0"/>
          <w:marBottom w:val="0"/>
          <w:divBdr>
            <w:top w:val="none" w:sz="0" w:space="0" w:color="auto"/>
            <w:left w:val="none" w:sz="0" w:space="0" w:color="auto"/>
            <w:bottom w:val="none" w:sz="0" w:space="0" w:color="auto"/>
            <w:right w:val="none" w:sz="0" w:space="0" w:color="auto"/>
          </w:divBdr>
        </w:div>
        <w:div w:id="64881344">
          <w:marLeft w:val="480"/>
          <w:marRight w:val="0"/>
          <w:marTop w:val="0"/>
          <w:marBottom w:val="0"/>
          <w:divBdr>
            <w:top w:val="none" w:sz="0" w:space="0" w:color="auto"/>
            <w:left w:val="none" w:sz="0" w:space="0" w:color="auto"/>
            <w:bottom w:val="none" w:sz="0" w:space="0" w:color="auto"/>
            <w:right w:val="none" w:sz="0" w:space="0" w:color="auto"/>
          </w:divBdr>
        </w:div>
        <w:div w:id="78605215">
          <w:marLeft w:val="480"/>
          <w:marRight w:val="0"/>
          <w:marTop w:val="0"/>
          <w:marBottom w:val="0"/>
          <w:divBdr>
            <w:top w:val="none" w:sz="0" w:space="0" w:color="auto"/>
            <w:left w:val="none" w:sz="0" w:space="0" w:color="auto"/>
            <w:bottom w:val="none" w:sz="0" w:space="0" w:color="auto"/>
            <w:right w:val="none" w:sz="0" w:space="0" w:color="auto"/>
          </w:divBdr>
        </w:div>
        <w:div w:id="1465612543">
          <w:marLeft w:val="480"/>
          <w:marRight w:val="0"/>
          <w:marTop w:val="0"/>
          <w:marBottom w:val="0"/>
          <w:divBdr>
            <w:top w:val="none" w:sz="0" w:space="0" w:color="auto"/>
            <w:left w:val="none" w:sz="0" w:space="0" w:color="auto"/>
            <w:bottom w:val="none" w:sz="0" w:space="0" w:color="auto"/>
            <w:right w:val="none" w:sz="0" w:space="0" w:color="auto"/>
          </w:divBdr>
        </w:div>
        <w:div w:id="1909874201">
          <w:marLeft w:val="480"/>
          <w:marRight w:val="0"/>
          <w:marTop w:val="0"/>
          <w:marBottom w:val="0"/>
          <w:divBdr>
            <w:top w:val="none" w:sz="0" w:space="0" w:color="auto"/>
            <w:left w:val="none" w:sz="0" w:space="0" w:color="auto"/>
            <w:bottom w:val="none" w:sz="0" w:space="0" w:color="auto"/>
            <w:right w:val="none" w:sz="0" w:space="0" w:color="auto"/>
          </w:divBdr>
        </w:div>
        <w:div w:id="117336275">
          <w:marLeft w:val="480"/>
          <w:marRight w:val="0"/>
          <w:marTop w:val="0"/>
          <w:marBottom w:val="0"/>
          <w:divBdr>
            <w:top w:val="none" w:sz="0" w:space="0" w:color="auto"/>
            <w:left w:val="none" w:sz="0" w:space="0" w:color="auto"/>
            <w:bottom w:val="none" w:sz="0" w:space="0" w:color="auto"/>
            <w:right w:val="none" w:sz="0" w:space="0" w:color="auto"/>
          </w:divBdr>
        </w:div>
        <w:div w:id="72165191">
          <w:marLeft w:val="480"/>
          <w:marRight w:val="0"/>
          <w:marTop w:val="0"/>
          <w:marBottom w:val="0"/>
          <w:divBdr>
            <w:top w:val="none" w:sz="0" w:space="0" w:color="auto"/>
            <w:left w:val="none" w:sz="0" w:space="0" w:color="auto"/>
            <w:bottom w:val="none" w:sz="0" w:space="0" w:color="auto"/>
            <w:right w:val="none" w:sz="0" w:space="0" w:color="auto"/>
          </w:divBdr>
        </w:div>
        <w:div w:id="1733692799">
          <w:marLeft w:val="480"/>
          <w:marRight w:val="0"/>
          <w:marTop w:val="0"/>
          <w:marBottom w:val="0"/>
          <w:divBdr>
            <w:top w:val="none" w:sz="0" w:space="0" w:color="auto"/>
            <w:left w:val="none" w:sz="0" w:space="0" w:color="auto"/>
            <w:bottom w:val="none" w:sz="0" w:space="0" w:color="auto"/>
            <w:right w:val="none" w:sz="0" w:space="0" w:color="auto"/>
          </w:divBdr>
        </w:div>
        <w:div w:id="1271858099">
          <w:marLeft w:val="480"/>
          <w:marRight w:val="0"/>
          <w:marTop w:val="0"/>
          <w:marBottom w:val="0"/>
          <w:divBdr>
            <w:top w:val="none" w:sz="0" w:space="0" w:color="auto"/>
            <w:left w:val="none" w:sz="0" w:space="0" w:color="auto"/>
            <w:bottom w:val="none" w:sz="0" w:space="0" w:color="auto"/>
            <w:right w:val="none" w:sz="0" w:space="0" w:color="auto"/>
          </w:divBdr>
        </w:div>
        <w:div w:id="1795904929">
          <w:marLeft w:val="480"/>
          <w:marRight w:val="0"/>
          <w:marTop w:val="0"/>
          <w:marBottom w:val="0"/>
          <w:divBdr>
            <w:top w:val="none" w:sz="0" w:space="0" w:color="auto"/>
            <w:left w:val="none" w:sz="0" w:space="0" w:color="auto"/>
            <w:bottom w:val="none" w:sz="0" w:space="0" w:color="auto"/>
            <w:right w:val="none" w:sz="0" w:space="0" w:color="auto"/>
          </w:divBdr>
        </w:div>
        <w:div w:id="453642612">
          <w:marLeft w:val="480"/>
          <w:marRight w:val="0"/>
          <w:marTop w:val="0"/>
          <w:marBottom w:val="0"/>
          <w:divBdr>
            <w:top w:val="none" w:sz="0" w:space="0" w:color="auto"/>
            <w:left w:val="none" w:sz="0" w:space="0" w:color="auto"/>
            <w:bottom w:val="none" w:sz="0" w:space="0" w:color="auto"/>
            <w:right w:val="none" w:sz="0" w:space="0" w:color="auto"/>
          </w:divBdr>
        </w:div>
        <w:div w:id="766659698">
          <w:marLeft w:val="480"/>
          <w:marRight w:val="0"/>
          <w:marTop w:val="0"/>
          <w:marBottom w:val="0"/>
          <w:divBdr>
            <w:top w:val="none" w:sz="0" w:space="0" w:color="auto"/>
            <w:left w:val="none" w:sz="0" w:space="0" w:color="auto"/>
            <w:bottom w:val="none" w:sz="0" w:space="0" w:color="auto"/>
            <w:right w:val="none" w:sz="0" w:space="0" w:color="auto"/>
          </w:divBdr>
        </w:div>
        <w:div w:id="1406882414">
          <w:marLeft w:val="480"/>
          <w:marRight w:val="0"/>
          <w:marTop w:val="0"/>
          <w:marBottom w:val="0"/>
          <w:divBdr>
            <w:top w:val="none" w:sz="0" w:space="0" w:color="auto"/>
            <w:left w:val="none" w:sz="0" w:space="0" w:color="auto"/>
            <w:bottom w:val="none" w:sz="0" w:space="0" w:color="auto"/>
            <w:right w:val="none" w:sz="0" w:space="0" w:color="auto"/>
          </w:divBdr>
        </w:div>
        <w:div w:id="1758404382">
          <w:marLeft w:val="480"/>
          <w:marRight w:val="0"/>
          <w:marTop w:val="0"/>
          <w:marBottom w:val="0"/>
          <w:divBdr>
            <w:top w:val="none" w:sz="0" w:space="0" w:color="auto"/>
            <w:left w:val="none" w:sz="0" w:space="0" w:color="auto"/>
            <w:bottom w:val="none" w:sz="0" w:space="0" w:color="auto"/>
            <w:right w:val="none" w:sz="0" w:space="0" w:color="auto"/>
          </w:divBdr>
        </w:div>
        <w:div w:id="1435632397">
          <w:marLeft w:val="480"/>
          <w:marRight w:val="0"/>
          <w:marTop w:val="0"/>
          <w:marBottom w:val="0"/>
          <w:divBdr>
            <w:top w:val="none" w:sz="0" w:space="0" w:color="auto"/>
            <w:left w:val="none" w:sz="0" w:space="0" w:color="auto"/>
            <w:bottom w:val="none" w:sz="0" w:space="0" w:color="auto"/>
            <w:right w:val="none" w:sz="0" w:space="0" w:color="auto"/>
          </w:divBdr>
        </w:div>
        <w:div w:id="494763981">
          <w:marLeft w:val="480"/>
          <w:marRight w:val="0"/>
          <w:marTop w:val="0"/>
          <w:marBottom w:val="0"/>
          <w:divBdr>
            <w:top w:val="none" w:sz="0" w:space="0" w:color="auto"/>
            <w:left w:val="none" w:sz="0" w:space="0" w:color="auto"/>
            <w:bottom w:val="none" w:sz="0" w:space="0" w:color="auto"/>
            <w:right w:val="none" w:sz="0" w:space="0" w:color="auto"/>
          </w:divBdr>
        </w:div>
        <w:div w:id="91436756">
          <w:marLeft w:val="480"/>
          <w:marRight w:val="0"/>
          <w:marTop w:val="0"/>
          <w:marBottom w:val="0"/>
          <w:divBdr>
            <w:top w:val="none" w:sz="0" w:space="0" w:color="auto"/>
            <w:left w:val="none" w:sz="0" w:space="0" w:color="auto"/>
            <w:bottom w:val="none" w:sz="0" w:space="0" w:color="auto"/>
            <w:right w:val="none" w:sz="0" w:space="0" w:color="auto"/>
          </w:divBdr>
        </w:div>
        <w:div w:id="1816097240">
          <w:marLeft w:val="480"/>
          <w:marRight w:val="0"/>
          <w:marTop w:val="0"/>
          <w:marBottom w:val="0"/>
          <w:divBdr>
            <w:top w:val="none" w:sz="0" w:space="0" w:color="auto"/>
            <w:left w:val="none" w:sz="0" w:space="0" w:color="auto"/>
            <w:bottom w:val="none" w:sz="0" w:space="0" w:color="auto"/>
            <w:right w:val="none" w:sz="0" w:space="0" w:color="auto"/>
          </w:divBdr>
        </w:div>
        <w:div w:id="651910734">
          <w:marLeft w:val="480"/>
          <w:marRight w:val="0"/>
          <w:marTop w:val="0"/>
          <w:marBottom w:val="0"/>
          <w:divBdr>
            <w:top w:val="none" w:sz="0" w:space="0" w:color="auto"/>
            <w:left w:val="none" w:sz="0" w:space="0" w:color="auto"/>
            <w:bottom w:val="none" w:sz="0" w:space="0" w:color="auto"/>
            <w:right w:val="none" w:sz="0" w:space="0" w:color="auto"/>
          </w:divBdr>
        </w:div>
        <w:div w:id="1881630524">
          <w:marLeft w:val="480"/>
          <w:marRight w:val="0"/>
          <w:marTop w:val="0"/>
          <w:marBottom w:val="0"/>
          <w:divBdr>
            <w:top w:val="none" w:sz="0" w:space="0" w:color="auto"/>
            <w:left w:val="none" w:sz="0" w:space="0" w:color="auto"/>
            <w:bottom w:val="none" w:sz="0" w:space="0" w:color="auto"/>
            <w:right w:val="none" w:sz="0" w:space="0" w:color="auto"/>
          </w:divBdr>
        </w:div>
        <w:div w:id="2110469876">
          <w:marLeft w:val="480"/>
          <w:marRight w:val="0"/>
          <w:marTop w:val="0"/>
          <w:marBottom w:val="0"/>
          <w:divBdr>
            <w:top w:val="none" w:sz="0" w:space="0" w:color="auto"/>
            <w:left w:val="none" w:sz="0" w:space="0" w:color="auto"/>
            <w:bottom w:val="none" w:sz="0" w:space="0" w:color="auto"/>
            <w:right w:val="none" w:sz="0" w:space="0" w:color="auto"/>
          </w:divBdr>
        </w:div>
        <w:div w:id="1367750111">
          <w:marLeft w:val="480"/>
          <w:marRight w:val="0"/>
          <w:marTop w:val="0"/>
          <w:marBottom w:val="0"/>
          <w:divBdr>
            <w:top w:val="none" w:sz="0" w:space="0" w:color="auto"/>
            <w:left w:val="none" w:sz="0" w:space="0" w:color="auto"/>
            <w:bottom w:val="none" w:sz="0" w:space="0" w:color="auto"/>
            <w:right w:val="none" w:sz="0" w:space="0" w:color="auto"/>
          </w:divBdr>
        </w:div>
        <w:div w:id="1102842271">
          <w:marLeft w:val="480"/>
          <w:marRight w:val="0"/>
          <w:marTop w:val="0"/>
          <w:marBottom w:val="0"/>
          <w:divBdr>
            <w:top w:val="none" w:sz="0" w:space="0" w:color="auto"/>
            <w:left w:val="none" w:sz="0" w:space="0" w:color="auto"/>
            <w:bottom w:val="none" w:sz="0" w:space="0" w:color="auto"/>
            <w:right w:val="none" w:sz="0" w:space="0" w:color="auto"/>
          </w:divBdr>
        </w:div>
        <w:div w:id="832911992">
          <w:marLeft w:val="480"/>
          <w:marRight w:val="0"/>
          <w:marTop w:val="0"/>
          <w:marBottom w:val="0"/>
          <w:divBdr>
            <w:top w:val="none" w:sz="0" w:space="0" w:color="auto"/>
            <w:left w:val="none" w:sz="0" w:space="0" w:color="auto"/>
            <w:bottom w:val="none" w:sz="0" w:space="0" w:color="auto"/>
            <w:right w:val="none" w:sz="0" w:space="0" w:color="auto"/>
          </w:divBdr>
        </w:div>
        <w:div w:id="642659944">
          <w:marLeft w:val="480"/>
          <w:marRight w:val="0"/>
          <w:marTop w:val="0"/>
          <w:marBottom w:val="0"/>
          <w:divBdr>
            <w:top w:val="none" w:sz="0" w:space="0" w:color="auto"/>
            <w:left w:val="none" w:sz="0" w:space="0" w:color="auto"/>
            <w:bottom w:val="none" w:sz="0" w:space="0" w:color="auto"/>
            <w:right w:val="none" w:sz="0" w:space="0" w:color="auto"/>
          </w:divBdr>
        </w:div>
        <w:div w:id="954752974">
          <w:marLeft w:val="480"/>
          <w:marRight w:val="0"/>
          <w:marTop w:val="0"/>
          <w:marBottom w:val="0"/>
          <w:divBdr>
            <w:top w:val="none" w:sz="0" w:space="0" w:color="auto"/>
            <w:left w:val="none" w:sz="0" w:space="0" w:color="auto"/>
            <w:bottom w:val="none" w:sz="0" w:space="0" w:color="auto"/>
            <w:right w:val="none" w:sz="0" w:space="0" w:color="auto"/>
          </w:divBdr>
        </w:div>
        <w:div w:id="1968853963">
          <w:marLeft w:val="480"/>
          <w:marRight w:val="0"/>
          <w:marTop w:val="0"/>
          <w:marBottom w:val="0"/>
          <w:divBdr>
            <w:top w:val="none" w:sz="0" w:space="0" w:color="auto"/>
            <w:left w:val="none" w:sz="0" w:space="0" w:color="auto"/>
            <w:bottom w:val="none" w:sz="0" w:space="0" w:color="auto"/>
            <w:right w:val="none" w:sz="0" w:space="0" w:color="auto"/>
          </w:divBdr>
        </w:div>
        <w:div w:id="865674738">
          <w:marLeft w:val="480"/>
          <w:marRight w:val="0"/>
          <w:marTop w:val="0"/>
          <w:marBottom w:val="0"/>
          <w:divBdr>
            <w:top w:val="none" w:sz="0" w:space="0" w:color="auto"/>
            <w:left w:val="none" w:sz="0" w:space="0" w:color="auto"/>
            <w:bottom w:val="none" w:sz="0" w:space="0" w:color="auto"/>
            <w:right w:val="none" w:sz="0" w:space="0" w:color="auto"/>
          </w:divBdr>
        </w:div>
        <w:div w:id="1345397547">
          <w:marLeft w:val="480"/>
          <w:marRight w:val="0"/>
          <w:marTop w:val="0"/>
          <w:marBottom w:val="0"/>
          <w:divBdr>
            <w:top w:val="none" w:sz="0" w:space="0" w:color="auto"/>
            <w:left w:val="none" w:sz="0" w:space="0" w:color="auto"/>
            <w:bottom w:val="none" w:sz="0" w:space="0" w:color="auto"/>
            <w:right w:val="none" w:sz="0" w:space="0" w:color="auto"/>
          </w:divBdr>
        </w:div>
        <w:div w:id="685669428">
          <w:marLeft w:val="480"/>
          <w:marRight w:val="0"/>
          <w:marTop w:val="0"/>
          <w:marBottom w:val="0"/>
          <w:divBdr>
            <w:top w:val="none" w:sz="0" w:space="0" w:color="auto"/>
            <w:left w:val="none" w:sz="0" w:space="0" w:color="auto"/>
            <w:bottom w:val="none" w:sz="0" w:space="0" w:color="auto"/>
            <w:right w:val="none" w:sz="0" w:space="0" w:color="auto"/>
          </w:divBdr>
        </w:div>
        <w:div w:id="66732759">
          <w:marLeft w:val="480"/>
          <w:marRight w:val="0"/>
          <w:marTop w:val="0"/>
          <w:marBottom w:val="0"/>
          <w:divBdr>
            <w:top w:val="none" w:sz="0" w:space="0" w:color="auto"/>
            <w:left w:val="none" w:sz="0" w:space="0" w:color="auto"/>
            <w:bottom w:val="none" w:sz="0" w:space="0" w:color="auto"/>
            <w:right w:val="none" w:sz="0" w:space="0" w:color="auto"/>
          </w:divBdr>
        </w:div>
        <w:div w:id="1471049361">
          <w:marLeft w:val="480"/>
          <w:marRight w:val="0"/>
          <w:marTop w:val="0"/>
          <w:marBottom w:val="0"/>
          <w:divBdr>
            <w:top w:val="none" w:sz="0" w:space="0" w:color="auto"/>
            <w:left w:val="none" w:sz="0" w:space="0" w:color="auto"/>
            <w:bottom w:val="none" w:sz="0" w:space="0" w:color="auto"/>
            <w:right w:val="none" w:sz="0" w:space="0" w:color="auto"/>
          </w:divBdr>
        </w:div>
        <w:div w:id="1256329391">
          <w:marLeft w:val="480"/>
          <w:marRight w:val="0"/>
          <w:marTop w:val="0"/>
          <w:marBottom w:val="0"/>
          <w:divBdr>
            <w:top w:val="none" w:sz="0" w:space="0" w:color="auto"/>
            <w:left w:val="none" w:sz="0" w:space="0" w:color="auto"/>
            <w:bottom w:val="none" w:sz="0" w:space="0" w:color="auto"/>
            <w:right w:val="none" w:sz="0" w:space="0" w:color="auto"/>
          </w:divBdr>
        </w:div>
        <w:div w:id="386030868">
          <w:marLeft w:val="480"/>
          <w:marRight w:val="0"/>
          <w:marTop w:val="0"/>
          <w:marBottom w:val="0"/>
          <w:divBdr>
            <w:top w:val="none" w:sz="0" w:space="0" w:color="auto"/>
            <w:left w:val="none" w:sz="0" w:space="0" w:color="auto"/>
            <w:bottom w:val="none" w:sz="0" w:space="0" w:color="auto"/>
            <w:right w:val="none" w:sz="0" w:space="0" w:color="auto"/>
          </w:divBdr>
        </w:div>
        <w:div w:id="1907061250">
          <w:marLeft w:val="480"/>
          <w:marRight w:val="0"/>
          <w:marTop w:val="0"/>
          <w:marBottom w:val="0"/>
          <w:divBdr>
            <w:top w:val="none" w:sz="0" w:space="0" w:color="auto"/>
            <w:left w:val="none" w:sz="0" w:space="0" w:color="auto"/>
            <w:bottom w:val="none" w:sz="0" w:space="0" w:color="auto"/>
            <w:right w:val="none" w:sz="0" w:space="0" w:color="auto"/>
          </w:divBdr>
        </w:div>
        <w:div w:id="1564222103">
          <w:marLeft w:val="480"/>
          <w:marRight w:val="0"/>
          <w:marTop w:val="0"/>
          <w:marBottom w:val="0"/>
          <w:divBdr>
            <w:top w:val="none" w:sz="0" w:space="0" w:color="auto"/>
            <w:left w:val="none" w:sz="0" w:space="0" w:color="auto"/>
            <w:bottom w:val="none" w:sz="0" w:space="0" w:color="auto"/>
            <w:right w:val="none" w:sz="0" w:space="0" w:color="auto"/>
          </w:divBdr>
        </w:div>
        <w:div w:id="274942274">
          <w:marLeft w:val="480"/>
          <w:marRight w:val="0"/>
          <w:marTop w:val="0"/>
          <w:marBottom w:val="0"/>
          <w:divBdr>
            <w:top w:val="none" w:sz="0" w:space="0" w:color="auto"/>
            <w:left w:val="none" w:sz="0" w:space="0" w:color="auto"/>
            <w:bottom w:val="none" w:sz="0" w:space="0" w:color="auto"/>
            <w:right w:val="none" w:sz="0" w:space="0" w:color="auto"/>
          </w:divBdr>
        </w:div>
        <w:div w:id="2020959024">
          <w:marLeft w:val="480"/>
          <w:marRight w:val="0"/>
          <w:marTop w:val="0"/>
          <w:marBottom w:val="0"/>
          <w:divBdr>
            <w:top w:val="none" w:sz="0" w:space="0" w:color="auto"/>
            <w:left w:val="none" w:sz="0" w:space="0" w:color="auto"/>
            <w:bottom w:val="none" w:sz="0" w:space="0" w:color="auto"/>
            <w:right w:val="none" w:sz="0" w:space="0" w:color="auto"/>
          </w:divBdr>
        </w:div>
        <w:div w:id="1520195802">
          <w:marLeft w:val="480"/>
          <w:marRight w:val="0"/>
          <w:marTop w:val="0"/>
          <w:marBottom w:val="0"/>
          <w:divBdr>
            <w:top w:val="none" w:sz="0" w:space="0" w:color="auto"/>
            <w:left w:val="none" w:sz="0" w:space="0" w:color="auto"/>
            <w:bottom w:val="none" w:sz="0" w:space="0" w:color="auto"/>
            <w:right w:val="none" w:sz="0" w:space="0" w:color="auto"/>
          </w:divBdr>
        </w:div>
        <w:div w:id="1370059874">
          <w:marLeft w:val="480"/>
          <w:marRight w:val="0"/>
          <w:marTop w:val="0"/>
          <w:marBottom w:val="0"/>
          <w:divBdr>
            <w:top w:val="none" w:sz="0" w:space="0" w:color="auto"/>
            <w:left w:val="none" w:sz="0" w:space="0" w:color="auto"/>
            <w:bottom w:val="none" w:sz="0" w:space="0" w:color="auto"/>
            <w:right w:val="none" w:sz="0" w:space="0" w:color="auto"/>
          </w:divBdr>
        </w:div>
        <w:div w:id="1884825453">
          <w:marLeft w:val="480"/>
          <w:marRight w:val="0"/>
          <w:marTop w:val="0"/>
          <w:marBottom w:val="0"/>
          <w:divBdr>
            <w:top w:val="none" w:sz="0" w:space="0" w:color="auto"/>
            <w:left w:val="none" w:sz="0" w:space="0" w:color="auto"/>
            <w:bottom w:val="none" w:sz="0" w:space="0" w:color="auto"/>
            <w:right w:val="none" w:sz="0" w:space="0" w:color="auto"/>
          </w:divBdr>
        </w:div>
        <w:div w:id="308947613">
          <w:marLeft w:val="480"/>
          <w:marRight w:val="0"/>
          <w:marTop w:val="0"/>
          <w:marBottom w:val="0"/>
          <w:divBdr>
            <w:top w:val="none" w:sz="0" w:space="0" w:color="auto"/>
            <w:left w:val="none" w:sz="0" w:space="0" w:color="auto"/>
            <w:bottom w:val="none" w:sz="0" w:space="0" w:color="auto"/>
            <w:right w:val="none" w:sz="0" w:space="0" w:color="auto"/>
          </w:divBdr>
        </w:div>
        <w:div w:id="1543129094">
          <w:marLeft w:val="480"/>
          <w:marRight w:val="0"/>
          <w:marTop w:val="0"/>
          <w:marBottom w:val="0"/>
          <w:divBdr>
            <w:top w:val="none" w:sz="0" w:space="0" w:color="auto"/>
            <w:left w:val="none" w:sz="0" w:space="0" w:color="auto"/>
            <w:bottom w:val="none" w:sz="0" w:space="0" w:color="auto"/>
            <w:right w:val="none" w:sz="0" w:space="0" w:color="auto"/>
          </w:divBdr>
        </w:div>
        <w:div w:id="863910034">
          <w:marLeft w:val="480"/>
          <w:marRight w:val="0"/>
          <w:marTop w:val="0"/>
          <w:marBottom w:val="0"/>
          <w:divBdr>
            <w:top w:val="none" w:sz="0" w:space="0" w:color="auto"/>
            <w:left w:val="none" w:sz="0" w:space="0" w:color="auto"/>
            <w:bottom w:val="none" w:sz="0" w:space="0" w:color="auto"/>
            <w:right w:val="none" w:sz="0" w:space="0" w:color="auto"/>
          </w:divBdr>
        </w:div>
        <w:div w:id="1442991500">
          <w:marLeft w:val="480"/>
          <w:marRight w:val="0"/>
          <w:marTop w:val="0"/>
          <w:marBottom w:val="0"/>
          <w:divBdr>
            <w:top w:val="none" w:sz="0" w:space="0" w:color="auto"/>
            <w:left w:val="none" w:sz="0" w:space="0" w:color="auto"/>
            <w:bottom w:val="none" w:sz="0" w:space="0" w:color="auto"/>
            <w:right w:val="none" w:sz="0" w:space="0" w:color="auto"/>
          </w:divBdr>
        </w:div>
        <w:div w:id="320888461">
          <w:marLeft w:val="480"/>
          <w:marRight w:val="0"/>
          <w:marTop w:val="0"/>
          <w:marBottom w:val="0"/>
          <w:divBdr>
            <w:top w:val="none" w:sz="0" w:space="0" w:color="auto"/>
            <w:left w:val="none" w:sz="0" w:space="0" w:color="auto"/>
            <w:bottom w:val="none" w:sz="0" w:space="0" w:color="auto"/>
            <w:right w:val="none" w:sz="0" w:space="0" w:color="auto"/>
          </w:divBdr>
        </w:div>
        <w:div w:id="1651713968">
          <w:marLeft w:val="480"/>
          <w:marRight w:val="0"/>
          <w:marTop w:val="0"/>
          <w:marBottom w:val="0"/>
          <w:divBdr>
            <w:top w:val="none" w:sz="0" w:space="0" w:color="auto"/>
            <w:left w:val="none" w:sz="0" w:space="0" w:color="auto"/>
            <w:bottom w:val="none" w:sz="0" w:space="0" w:color="auto"/>
            <w:right w:val="none" w:sz="0" w:space="0" w:color="auto"/>
          </w:divBdr>
        </w:div>
        <w:div w:id="460273145">
          <w:marLeft w:val="480"/>
          <w:marRight w:val="0"/>
          <w:marTop w:val="0"/>
          <w:marBottom w:val="0"/>
          <w:divBdr>
            <w:top w:val="none" w:sz="0" w:space="0" w:color="auto"/>
            <w:left w:val="none" w:sz="0" w:space="0" w:color="auto"/>
            <w:bottom w:val="none" w:sz="0" w:space="0" w:color="auto"/>
            <w:right w:val="none" w:sz="0" w:space="0" w:color="auto"/>
          </w:divBdr>
        </w:div>
        <w:div w:id="991645119">
          <w:marLeft w:val="480"/>
          <w:marRight w:val="0"/>
          <w:marTop w:val="0"/>
          <w:marBottom w:val="0"/>
          <w:divBdr>
            <w:top w:val="none" w:sz="0" w:space="0" w:color="auto"/>
            <w:left w:val="none" w:sz="0" w:space="0" w:color="auto"/>
            <w:bottom w:val="none" w:sz="0" w:space="0" w:color="auto"/>
            <w:right w:val="none" w:sz="0" w:space="0" w:color="auto"/>
          </w:divBdr>
        </w:div>
        <w:div w:id="736822536">
          <w:marLeft w:val="480"/>
          <w:marRight w:val="0"/>
          <w:marTop w:val="0"/>
          <w:marBottom w:val="0"/>
          <w:divBdr>
            <w:top w:val="none" w:sz="0" w:space="0" w:color="auto"/>
            <w:left w:val="none" w:sz="0" w:space="0" w:color="auto"/>
            <w:bottom w:val="none" w:sz="0" w:space="0" w:color="auto"/>
            <w:right w:val="none" w:sz="0" w:space="0" w:color="auto"/>
          </w:divBdr>
        </w:div>
        <w:div w:id="372387736">
          <w:marLeft w:val="480"/>
          <w:marRight w:val="0"/>
          <w:marTop w:val="0"/>
          <w:marBottom w:val="0"/>
          <w:divBdr>
            <w:top w:val="none" w:sz="0" w:space="0" w:color="auto"/>
            <w:left w:val="none" w:sz="0" w:space="0" w:color="auto"/>
            <w:bottom w:val="none" w:sz="0" w:space="0" w:color="auto"/>
            <w:right w:val="none" w:sz="0" w:space="0" w:color="auto"/>
          </w:divBdr>
        </w:div>
        <w:div w:id="2079086541">
          <w:marLeft w:val="480"/>
          <w:marRight w:val="0"/>
          <w:marTop w:val="0"/>
          <w:marBottom w:val="0"/>
          <w:divBdr>
            <w:top w:val="none" w:sz="0" w:space="0" w:color="auto"/>
            <w:left w:val="none" w:sz="0" w:space="0" w:color="auto"/>
            <w:bottom w:val="none" w:sz="0" w:space="0" w:color="auto"/>
            <w:right w:val="none" w:sz="0" w:space="0" w:color="auto"/>
          </w:divBdr>
        </w:div>
        <w:div w:id="1907373196">
          <w:marLeft w:val="480"/>
          <w:marRight w:val="0"/>
          <w:marTop w:val="0"/>
          <w:marBottom w:val="0"/>
          <w:divBdr>
            <w:top w:val="none" w:sz="0" w:space="0" w:color="auto"/>
            <w:left w:val="none" w:sz="0" w:space="0" w:color="auto"/>
            <w:bottom w:val="none" w:sz="0" w:space="0" w:color="auto"/>
            <w:right w:val="none" w:sz="0" w:space="0" w:color="auto"/>
          </w:divBdr>
        </w:div>
        <w:div w:id="2078699627">
          <w:marLeft w:val="480"/>
          <w:marRight w:val="0"/>
          <w:marTop w:val="0"/>
          <w:marBottom w:val="0"/>
          <w:divBdr>
            <w:top w:val="none" w:sz="0" w:space="0" w:color="auto"/>
            <w:left w:val="none" w:sz="0" w:space="0" w:color="auto"/>
            <w:bottom w:val="none" w:sz="0" w:space="0" w:color="auto"/>
            <w:right w:val="none" w:sz="0" w:space="0" w:color="auto"/>
          </w:divBdr>
        </w:div>
        <w:div w:id="1391922525">
          <w:marLeft w:val="480"/>
          <w:marRight w:val="0"/>
          <w:marTop w:val="0"/>
          <w:marBottom w:val="0"/>
          <w:divBdr>
            <w:top w:val="none" w:sz="0" w:space="0" w:color="auto"/>
            <w:left w:val="none" w:sz="0" w:space="0" w:color="auto"/>
            <w:bottom w:val="none" w:sz="0" w:space="0" w:color="auto"/>
            <w:right w:val="none" w:sz="0" w:space="0" w:color="auto"/>
          </w:divBdr>
        </w:div>
        <w:div w:id="710883514">
          <w:marLeft w:val="480"/>
          <w:marRight w:val="0"/>
          <w:marTop w:val="0"/>
          <w:marBottom w:val="0"/>
          <w:divBdr>
            <w:top w:val="none" w:sz="0" w:space="0" w:color="auto"/>
            <w:left w:val="none" w:sz="0" w:space="0" w:color="auto"/>
            <w:bottom w:val="none" w:sz="0" w:space="0" w:color="auto"/>
            <w:right w:val="none" w:sz="0" w:space="0" w:color="auto"/>
          </w:divBdr>
        </w:div>
        <w:div w:id="1128205248">
          <w:marLeft w:val="480"/>
          <w:marRight w:val="0"/>
          <w:marTop w:val="0"/>
          <w:marBottom w:val="0"/>
          <w:divBdr>
            <w:top w:val="none" w:sz="0" w:space="0" w:color="auto"/>
            <w:left w:val="none" w:sz="0" w:space="0" w:color="auto"/>
            <w:bottom w:val="none" w:sz="0" w:space="0" w:color="auto"/>
            <w:right w:val="none" w:sz="0" w:space="0" w:color="auto"/>
          </w:divBdr>
        </w:div>
        <w:div w:id="1394355501">
          <w:marLeft w:val="480"/>
          <w:marRight w:val="0"/>
          <w:marTop w:val="0"/>
          <w:marBottom w:val="0"/>
          <w:divBdr>
            <w:top w:val="none" w:sz="0" w:space="0" w:color="auto"/>
            <w:left w:val="none" w:sz="0" w:space="0" w:color="auto"/>
            <w:bottom w:val="none" w:sz="0" w:space="0" w:color="auto"/>
            <w:right w:val="none" w:sz="0" w:space="0" w:color="auto"/>
          </w:divBdr>
        </w:div>
        <w:div w:id="803234926">
          <w:marLeft w:val="480"/>
          <w:marRight w:val="0"/>
          <w:marTop w:val="0"/>
          <w:marBottom w:val="0"/>
          <w:divBdr>
            <w:top w:val="none" w:sz="0" w:space="0" w:color="auto"/>
            <w:left w:val="none" w:sz="0" w:space="0" w:color="auto"/>
            <w:bottom w:val="none" w:sz="0" w:space="0" w:color="auto"/>
            <w:right w:val="none" w:sz="0" w:space="0" w:color="auto"/>
          </w:divBdr>
        </w:div>
        <w:div w:id="1676884177">
          <w:marLeft w:val="480"/>
          <w:marRight w:val="0"/>
          <w:marTop w:val="0"/>
          <w:marBottom w:val="0"/>
          <w:divBdr>
            <w:top w:val="none" w:sz="0" w:space="0" w:color="auto"/>
            <w:left w:val="none" w:sz="0" w:space="0" w:color="auto"/>
            <w:bottom w:val="none" w:sz="0" w:space="0" w:color="auto"/>
            <w:right w:val="none" w:sz="0" w:space="0" w:color="auto"/>
          </w:divBdr>
        </w:div>
        <w:div w:id="1231846003">
          <w:marLeft w:val="480"/>
          <w:marRight w:val="0"/>
          <w:marTop w:val="0"/>
          <w:marBottom w:val="0"/>
          <w:divBdr>
            <w:top w:val="none" w:sz="0" w:space="0" w:color="auto"/>
            <w:left w:val="none" w:sz="0" w:space="0" w:color="auto"/>
            <w:bottom w:val="none" w:sz="0" w:space="0" w:color="auto"/>
            <w:right w:val="none" w:sz="0" w:space="0" w:color="auto"/>
          </w:divBdr>
        </w:div>
        <w:div w:id="1240409504">
          <w:marLeft w:val="480"/>
          <w:marRight w:val="0"/>
          <w:marTop w:val="0"/>
          <w:marBottom w:val="0"/>
          <w:divBdr>
            <w:top w:val="none" w:sz="0" w:space="0" w:color="auto"/>
            <w:left w:val="none" w:sz="0" w:space="0" w:color="auto"/>
            <w:bottom w:val="none" w:sz="0" w:space="0" w:color="auto"/>
            <w:right w:val="none" w:sz="0" w:space="0" w:color="auto"/>
          </w:divBdr>
        </w:div>
        <w:div w:id="1964578361">
          <w:marLeft w:val="480"/>
          <w:marRight w:val="0"/>
          <w:marTop w:val="0"/>
          <w:marBottom w:val="0"/>
          <w:divBdr>
            <w:top w:val="none" w:sz="0" w:space="0" w:color="auto"/>
            <w:left w:val="none" w:sz="0" w:space="0" w:color="auto"/>
            <w:bottom w:val="none" w:sz="0" w:space="0" w:color="auto"/>
            <w:right w:val="none" w:sz="0" w:space="0" w:color="auto"/>
          </w:divBdr>
        </w:div>
        <w:div w:id="362367736">
          <w:marLeft w:val="480"/>
          <w:marRight w:val="0"/>
          <w:marTop w:val="0"/>
          <w:marBottom w:val="0"/>
          <w:divBdr>
            <w:top w:val="none" w:sz="0" w:space="0" w:color="auto"/>
            <w:left w:val="none" w:sz="0" w:space="0" w:color="auto"/>
            <w:bottom w:val="none" w:sz="0" w:space="0" w:color="auto"/>
            <w:right w:val="none" w:sz="0" w:space="0" w:color="auto"/>
          </w:divBdr>
        </w:div>
        <w:div w:id="718552084">
          <w:marLeft w:val="480"/>
          <w:marRight w:val="0"/>
          <w:marTop w:val="0"/>
          <w:marBottom w:val="0"/>
          <w:divBdr>
            <w:top w:val="none" w:sz="0" w:space="0" w:color="auto"/>
            <w:left w:val="none" w:sz="0" w:space="0" w:color="auto"/>
            <w:bottom w:val="none" w:sz="0" w:space="0" w:color="auto"/>
            <w:right w:val="none" w:sz="0" w:space="0" w:color="auto"/>
          </w:divBdr>
        </w:div>
        <w:div w:id="1606497669">
          <w:marLeft w:val="480"/>
          <w:marRight w:val="0"/>
          <w:marTop w:val="0"/>
          <w:marBottom w:val="0"/>
          <w:divBdr>
            <w:top w:val="none" w:sz="0" w:space="0" w:color="auto"/>
            <w:left w:val="none" w:sz="0" w:space="0" w:color="auto"/>
            <w:bottom w:val="none" w:sz="0" w:space="0" w:color="auto"/>
            <w:right w:val="none" w:sz="0" w:space="0" w:color="auto"/>
          </w:divBdr>
        </w:div>
        <w:div w:id="1301958434">
          <w:marLeft w:val="480"/>
          <w:marRight w:val="0"/>
          <w:marTop w:val="0"/>
          <w:marBottom w:val="0"/>
          <w:divBdr>
            <w:top w:val="none" w:sz="0" w:space="0" w:color="auto"/>
            <w:left w:val="none" w:sz="0" w:space="0" w:color="auto"/>
            <w:bottom w:val="none" w:sz="0" w:space="0" w:color="auto"/>
            <w:right w:val="none" w:sz="0" w:space="0" w:color="auto"/>
          </w:divBdr>
        </w:div>
        <w:div w:id="1864634473">
          <w:marLeft w:val="480"/>
          <w:marRight w:val="0"/>
          <w:marTop w:val="0"/>
          <w:marBottom w:val="0"/>
          <w:divBdr>
            <w:top w:val="none" w:sz="0" w:space="0" w:color="auto"/>
            <w:left w:val="none" w:sz="0" w:space="0" w:color="auto"/>
            <w:bottom w:val="none" w:sz="0" w:space="0" w:color="auto"/>
            <w:right w:val="none" w:sz="0" w:space="0" w:color="auto"/>
          </w:divBdr>
        </w:div>
        <w:div w:id="692462353">
          <w:marLeft w:val="480"/>
          <w:marRight w:val="0"/>
          <w:marTop w:val="0"/>
          <w:marBottom w:val="0"/>
          <w:divBdr>
            <w:top w:val="none" w:sz="0" w:space="0" w:color="auto"/>
            <w:left w:val="none" w:sz="0" w:space="0" w:color="auto"/>
            <w:bottom w:val="none" w:sz="0" w:space="0" w:color="auto"/>
            <w:right w:val="none" w:sz="0" w:space="0" w:color="auto"/>
          </w:divBdr>
        </w:div>
        <w:div w:id="1382826989">
          <w:marLeft w:val="480"/>
          <w:marRight w:val="0"/>
          <w:marTop w:val="0"/>
          <w:marBottom w:val="0"/>
          <w:divBdr>
            <w:top w:val="none" w:sz="0" w:space="0" w:color="auto"/>
            <w:left w:val="none" w:sz="0" w:space="0" w:color="auto"/>
            <w:bottom w:val="none" w:sz="0" w:space="0" w:color="auto"/>
            <w:right w:val="none" w:sz="0" w:space="0" w:color="auto"/>
          </w:divBdr>
        </w:div>
        <w:div w:id="2096243283">
          <w:marLeft w:val="480"/>
          <w:marRight w:val="0"/>
          <w:marTop w:val="0"/>
          <w:marBottom w:val="0"/>
          <w:divBdr>
            <w:top w:val="none" w:sz="0" w:space="0" w:color="auto"/>
            <w:left w:val="none" w:sz="0" w:space="0" w:color="auto"/>
            <w:bottom w:val="none" w:sz="0" w:space="0" w:color="auto"/>
            <w:right w:val="none" w:sz="0" w:space="0" w:color="auto"/>
          </w:divBdr>
        </w:div>
        <w:div w:id="1305545667">
          <w:marLeft w:val="480"/>
          <w:marRight w:val="0"/>
          <w:marTop w:val="0"/>
          <w:marBottom w:val="0"/>
          <w:divBdr>
            <w:top w:val="none" w:sz="0" w:space="0" w:color="auto"/>
            <w:left w:val="none" w:sz="0" w:space="0" w:color="auto"/>
            <w:bottom w:val="none" w:sz="0" w:space="0" w:color="auto"/>
            <w:right w:val="none" w:sz="0" w:space="0" w:color="auto"/>
          </w:divBdr>
        </w:div>
        <w:div w:id="1034691348">
          <w:marLeft w:val="480"/>
          <w:marRight w:val="0"/>
          <w:marTop w:val="0"/>
          <w:marBottom w:val="0"/>
          <w:divBdr>
            <w:top w:val="none" w:sz="0" w:space="0" w:color="auto"/>
            <w:left w:val="none" w:sz="0" w:space="0" w:color="auto"/>
            <w:bottom w:val="none" w:sz="0" w:space="0" w:color="auto"/>
            <w:right w:val="none" w:sz="0" w:space="0" w:color="auto"/>
          </w:divBdr>
        </w:div>
        <w:div w:id="1277518047">
          <w:marLeft w:val="480"/>
          <w:marRight w:val="0"/>
          <w:marTop w:val="0"/>
          <w:marBottom w:val="0"/>
          <w:divBdr>
            <w:top w:val="none" w:sz="0" w:space="0" w:color="auto"/>
            <w:left w:val="none" w:sz="0" w:space="0" w:color="auto"/>
            <w:bottom w:val="none" w:sz="0" w:space="0" w:color="auto"/>
            <w:right w:val="none" w:sz="0" w:space="0" w:color="auto"/>
          </w:divBdr>
        </w:div>
        <w:div w:id="1689024532">
          <w:marLeft w:val="480"/>
          <w:marRight w:val="0"/>
          <w:marTop w:val="0"/>
          <w:marBottom w:val="0"/>
          <w:divBdr>
            <w:top w:val="none" w:sz="0" w:space="0" w:color="auto"/>
            <w:left w:val="none" w:sz="0" w:space="0" w:color="auto"/>
            <w:bottom w:val="none" w:sz="0" w:space="0" w:color="auto"/>
            <w:right w:val="none" w:sz="0" w:space="0" w:color="auto"/>
          </w:divBdr>
        </w:div>
        <w:div w:id="1052265189">
          <w:marLeft w:val="480"/>
          <w:marRight w:val="0"/>
          <w:marTop w:val="0"/>
          <w:marBottom w:val="0"/>
          <w:divBdr>
            <w:top w:val="none" w:sz="0" w:space="0" w:color="auto"/>
            <w:left w:val="none" w:sz="0" w:space="0" w:color="auto"/>
            <w:bottom w:val="none" w:sz="0" w:space="0" w:color="auto"/>
            <w:right w:val="none" w:sz="0" w:space="0" w:color="auto"/>
          </w:divBdr>
        </w:div>
        <w:div w:id="1662199059">
          <w:marLeft w:val="480"/>
          <w:marRight w:val="0"/>
          <w:marTop w:val="0"/>
          <w:marBottom w:val="0"/>
          <w:divBdr>
            <w:top w:val="none" w:sz="0" w:space="0" w:color="auto"/>
            <w:left w:val="none" w:sz="0" w:space="0" w:color="auto"/>
            <w:bottom w:val="none" w:sz="0" w:space="0" w:color="auto"/>
            <w:right w:val="none" w:sz="0" w:space="0" w:color="auto"/>
          </w:divBdr>
        </w:div>
        <w:div w:id="1301108010">
          <w:marLeft w:val="480"/>
          <w:marRight w:val="0"/>
          <w:marTop w:val="0"/>
          <w:marBottom w:val="0"/>
          <w:divBdr>
            <w:top w:val="none" w:sz="0" w:space="0" w:color="auto"/>
            <w:left w:val="none" w:sz="0" w:space="0" w:color="auto"/>
            <w:bottom w:val="none" w:sz="0" w:space="0" w:color="auto"/>
            <w:right w:val="none" w:sz="0" w:space="0" w:color="auto"/>
          </w:divBdr>
        </w:div>
        <w:div w:id="1512328834">
          <w:marLeft w:val="480"/>
          <w:marRight w:val="0"/>
          <w:marTop w:val="0"/>
          <w:marBottom w:val="0"/>
          <w:divBdr>
            <w:top w:val="none" w:sz="0" w:space="0" w:color="auto"/>
            <w:left w:val="none" w:sz="0" w:space="0" w:color="auto"/>
            <w:bottom w:val="none" w:sz="0" w:space="0" w:color="auto"/>
            <w:right w:val="none" w:sz="0" w:space="0" w:color="auto"/>
          </w:divBdr>
        </w:div>
        <w:div w:id="1776437480">
          <w:marLeft w:val="480"/>
          <w:marRight w:val="0"/>
          <w:marTop w:val="0"/>
          <w:marBottom w:val="0"/>
          <w:divBdr>
            <w:top w:val="none" w:sz="0" w:space="0" w:color="auto"/>
            <w:left w:val="none" w:sz="0" w:space="0" w:color="auto"/>
            <w:bottom w:val="none" w:sz="0" w:space="0" w:color="auto"/>
            <w:right w:val="none" w:sz="0" w:space="0" w:color="auto"/>
          </w:divBdr>
        </w:div>
        <w:div w:id="186992866">
          <w:marLeft w:val="480"/>
          <w:marRight w:val="0"/>
          <w:marTop w:val="0"/>
          <w:marBottom w:val="0"/>
          <w:divBdr>
            <w:top w:val="none" w:sz="0" w:space="0" w:color="auto"/>
            <w:left w:val="none" w:sz="0" w:space="0" w:color="auto"/>
            <w:bottom w:val="none" w:sz="0" w:space="0" w:color="auto"/>
            <w:right w:val="none" w:sz="0" w:space="0" w:color="auto"/>
          </w:divBdr>
        </w:div>
        <w:div w:id="282158697">
          <w:marLeft w:val="480"/>
          <w:marRight w:val="0"/>
          <w:marTop w:val="0"/>
          <w:marBottom w:val="0"/>
          <w:divBdr>
            <w:top w:val="none" w:sz="0" w:space="0" w:color="auto"/>
            <w:left w:val="none" w:sz="0" w:space="0" w:color="auto"/>
            <w:bottom w:val="none" w:sz="0" w:space="0" w:color="auto"/>
            <w:right w:val="none" w:sz="0" w:space="0" w:color="auto"/>
          </w:divBdr>
        </w:div>
        <w:div w:id="23990082">
          <w:marLeft w:val="480"/>
          <w:marRight w:val="0"/>
          <w:marTop w:val="0"/>
          <w:marBottom w:val="0"/>
          <w:divBdr>
            <w:top w:val="none" w:sz="0" w:space="0" w:color="auto"/>
            <w:left w:val="none" w:sz="0" w:space="0" w:color="auto"/>
            <w:bottom w:val="none" w:sz="0" w:space="0" w:color="auto"/>
            <w:right w:val="none" w:sz="0" w:space="0" w:color="auto"/>
          </w:divBdr>
        </w:div>
        <w:div w:id="1602761805">
          <w:marLeft w:val="480"/>
          <w:marRight w:val="0"/>
          <w:marTop w:val="0"/>
          <w:marBottom w:val="0"/>
          <w:divBdr>
            <w:top w:val="none" w:sz="0" w:space="0" w:color="auto"/>
            <w:left w:val="none" w:sz="0" w:space="0" w:color="auto"/>
            <w:bottom w:val="none" w:sz="0" w:space="0" w:color="auto"/>
            <w:right w:val="none" w:sz="0" w:space="0" w:color="auto"/>
          </w:divBdr>
        </w:div>
        <w:div w:id="307828690">
          <w:marLeft w:val="480"/>
          <w:marRight w:val="0"/>
          <w:marTop w:val="0"/>
          <w:marBottom w:val="0"/>
          <w:divBdr>
            <w:top w:val="none" w:sz="0" w:space="0" w:color="auto"/>
            <w:left w:val="none" w:sz="0" w:space="0" w:color="auto"/>
            <w:bottom w:val="none" w:sz="0" w:space="0" w:color="auto"/>
            <w:right w:val="none" w:sz="0" w:space="0" w:color="auto"/>
          </w:divBdr>
        </w:div>
        <w:div w:id="1856068578">
          <w:marLeft w:val="480"/>
          <w:marRight w:val="0"/>
          <w:marTop w:val="0"/>
          <w:marBottom w:val="0"/>
          <w:divBdr>
            <w:top w:val="none" w:sz="0" w:space="0" w:color="auto"/>
            <w:left w:val="none" w:sz="0" w:space="0" w:color="auto"/>
            <w:bottom w:val="none" w:sz="0" w:space="0" w:color="auto"/>
            <w:right w:val="none" w:sz="0" w:space="0" w:color="auto"/>
          </w:divBdr>
        </w:div>
        <w:div w:id="367876905">
          <w:marLeft w:val="480"/>
          <w:marRight w:val="0"/>
          <w:marTop w:val="0"/>
          <w:marBottom w:val="0"/>
          <w:divBdr>
            <w:top w:val="none" w:sz="0" w:space="0" w:color="auto"/>
            <w:left w:val="none" w:sz="0" w:space="0" w:color="auto"/>
            <w:bottom w:val="none" w:sz="0" w:space="0" w:color="auto"/>
            <w:right w:val="none" w:sz="0" w:space="0" w:color="auto"/>
          </w:divBdr>
        </w:div>
        <w:div w:id="1670712967">
          <w:marLeft w:val="480"/>
          <w:marRight w:val="0"/>
          <w:marTop w:val="0"/>
          <w:marBottom w:val="0"/>
          <w:divBdr>
            <w:top w:val="none" w:sz="0" w:space="0" w:color="auto"/>
            <w:left w:val="none" w:sz="0" w:space="0" w:color="auto"/>
            <w:bottom w:val="none" w:sz="0" w:space="0" w:color="auto"/>
            <w:right w:val="none" w:sz="0" w:space="0" w:color="auto"/>
          </w:divBdr>
        </w:div>
        <w:div w:id="1243561363">
          <w:marLeft w:val="480"/>
          <w:marRight w:val="0"/>
          <w:marTop w:val="0"/>
          <w:marBottom w:val="0"/>
          <w:divBdr>
            <w:top w:val="none" w:sz="0" w:space="0" w:color="auto"/>
            <w:left w:val="none" w:sz="0" w:space="0" w:color="auto"/>
            <w:bottom w:val="none" w:sz="0" w:space="0" w:color="auto"/>
            <w:right w:val="none" w:sz="0" w:space="0" w:color="auto"/>
          </w:divBdr>
        </w:div>
        <w:div w:id="1180661075">
          <w:marLeft w:val="480"/>
          <w:marRight w:val="0"/>
          <w:marTop w:val="0"/>
          <w:marBottom w:val="0"/>
          <w:divBdr>
            <w:top w:val="none" w:sz="0" w:space="0" w:color="auto"/>
            <w:left w:val="none" w:sz="0" w:space="0" w:color="auto"/>
            <w:bottom w:val="none" w:sz="0" w:space="0" w:color="auto"/>
            <w:right w:val="none" w:sz="0" w:space="0" w:color="auto"/>
          </w:divBdr>
        </w:div>
        <w:div w:id="355272556">
          <w:marLeft w:val="480"/>
          <w:marRight w:val="0"/>
          <w:marTop w:val="0"/>
          <w:marBottom w:val="0"/>
          <w:divBdr>
            <w:top w:val="none" w:sz="0" w:space="0" w:color="auto"/>
            <w:left w:val="none" w:sz="0" w:space="0" w:color="auto"/>
            <w:bottom w:val="none" w:sz="0" w:space="0" w:color="auto"/>
            <w:right w:val="none" w:sz="0" w:space="0" w:color="auto"/>
          </w:divBdr>
        </w:div>
        <w:div w:id="1055004718">
          <w:marLeft w:val="480"/>
          <w:marRight w:val="0"/>
          <w:marTop w:val="0"/>
          <w:marBottom w:val="0"/>
          <w:divBdr>
            <w:top w:val="none" w:sz="0" w:space="0" w:color="auto"/>
            <w:left w:val="none" w:sz="0" w:space="0" w:color="auto"/>
            <w:bottom w:val="none" w:sz="0" w:space="0" w:color="auto"/>
            <w:right w:val="none" w:sz="0" w:space="0" w:color="auto"/>
          </w:divBdr>
        </w:div>
        <w:div w:id="417484760">
          <w:marLeft w:val="480"/>
          <w:marRight w:val="0"/>
          <w:marTop w:val="0"/>
          <w:marBottom w:val="0"/>
          <w:divBdr>
            <w:top w:val="none" w:sz="0" w:space="0" w:color="auto"/>
            <w:left w:val="none" w:sz="0" w:space="0" w:color="auto"/>
            <w:bottom w:val="none" w:sz="0" w:space="0" w:color="auto"/>
            <w:right w:val="none" w:sz="0" w:space="0" w:color="auto"/>
          </w:divBdr>
        </w:div>
        <w:div w:id="811219310">
          <w:marLeft w:val="480"/>
          <w:marRight w:val="0"/>
          <w:marTop w:val="0"/>
          <w:marBottom w:val="0"/>
          <w:divBdr>
            <w:top w:val="none" w:sz="0" w:space="0" w:color="auto"/>
            <w:left w:val="none" w:sz="0" w:space="0" w:color="auto"/>
            <w:bottom w:val="none" w:sz="0" w:space="0" w:color="auto"/>
            <w:right w:val="none" w:sz="0" w:space="0" w:color="auto"/>
          </w:divBdr>
        </w:div>
        <w:div w:id="1147280449">
          <w:marLeft w:val="480"/>
          <w:marRight w:val="0"/>
          <w:marTop w:val="0"/>
          <w:marBottom w:val="0"/>
          <w:divBdr>
            <w:top w:val="none" w:sz="0" w:space="0" w:color="auto"/>
            <w:left w:val="none" w:sz="0" w:space="0" w:color="auto"/>
            <w:bottom w:val="none" w:sz="0" w:space="0" w:color="auto"/>
            <w:right w:val="none" w:sz="0" w:space="0" w:color="auto"/>
          </w:divBdr>
        </w:div>
        <w:div w:id="1919942951">
          <w:marLeft w:val="480"/>
          <w:marRight w:val="0"/>
          <w:marTop w:val="0"/>
          <w:marBottom w:val="0"/>
          <w:divBdr>
            <w:top w:val="none" w:sz="0" w:space="0" w:color="auto"/>
            <w:left w:val="none" w:sz="0" w:space="0" w:color="auto"/>
            <w:bottom w:val="none" w:sz="0" w:space="0" w:color="auto"/>
            <w:right w:val="none" w:sz="0" w:space="0" w:color="auto"/>
          </w:divBdr>
        </w:div>
        <w:div w:id="1293562171">
          <w:marLeft w:val="480"/>
          <w:marRight w:val="0"/>
          <w:marTop w:val="0"/>
          <w:marBottom w:val="0"/>
          <w:divBdr>
            <w:top w:val="none" w:sz="0" w:space="0" w:color="auto"/>
            <w:left w:val="none" w:sz="0" w:space="0" w:color="auto"/>
            <w:bottom w:val="none" w:sz="0" w:space="0" w:color="auto"/>
            <w:right w:val="none" w:sz="0" w:space="0" w:color="auto"/>
          </w:divBdr>
        </w:div>
        <w:div w:id="1193497166">
          <w:marLeft w:val="480"/>
          <w:marRight w:val="0"/>
          <w:marTop w:val="0"/>
          <w:marBottom w:val="0"/>
          <w:divBdr>
            <w:top w:val="none" w:sz="0" w:space="0" w:color="auto"/>
            <w:left w:val="none" w:sz="0" w:space="0" w:color="auto"/>
            <w:bottom w:val="none" w:sz="0" w:space="0" w:color="auto"/>
            <w:right w:val="none" w:sz="0" w:space="0" w:color="auto"/>
          </w:divBdr>
        </w:div>
        <w:div w:id="174854357">
          <w:marLeft w:val="480"/>
          <w:marRight w:val="0"/>
          <w:marTop w:val="0"/>
          <w:marBottom w:val="0"/>
          <w:divBdr>
            <w:top w:val="none" w:sz="0" w:space="0" w:color="auto"/>
            <w:left w:val="none" w:sz="0" w:space="0" w:color="auto"/>
            <w:bottom w:val="none" w:sz="0" w:space="0" w:color="auto"/>
            <w:right w:val="none" w:sz="0" w:space="0" w:color="auto"/>
          </w:divBdr>
        </w:div>
        <w:div w:id="1425808573">
          <w:marLeft w:val="480"/>
          <w:marRight w:val="0"/>
          <w:marTop w:val="0"/>
          <w:marBottom w:val="0"/>
          <w:divBdr>
            <w:top w:val="none" w:sz="0" w:space="0" w:color="auto"/>
            <w:left w:val="none" w:sz="0" w:space="0" w:color="auto"/>
            <w:bottom w:val="none" w:sz="0" w:space="0" w:color="auto"/>
            <w:right w:val="none" w:sz="0" w:space="0" w:color="auto"/>
          </w:divBdr>
        </w:div>
        <w:div w:id="103353292">
          <w:marLeft w:val="480"/>
          <w:marRight w:val="0"/>
          <w:marTop w:val="0"/>
          <w:marBottom w:val="0"/>
          <w:divBdr>
            <w:top w:val="none" w:sz="0" w:space="0" w:color="auto"/>
            <w:left w:val="none" w:sz="0" w:space="0" w:color="auto"/>
            <w:bottom w:val="none" w:sz="0" w:space="0" w:color="auto"/>
            <w:right w:val="none" w:sz="0" w:space="0" w:color="auto"/>
          </w:divBdr>
        </w:div>
        <w:div w:id="419958716">
          <w:marLeft w:val="480"/>
          <w:marRight w:val="0"/>
          <w:marTop w:val="0"/>
          <w:marBottom w:val="0"/>
          <w:divBdr>
            <w:top w:val="none" w:sz="0" w:space="0" w:color="auto"/>
            <w:left w:val="none" w:sz="0" w:space="0" w:color="auto"/>
            <w:bottom w:val="none" w:sz="0" w:space="0" w:color="auto"/>
            <w:right w:val="none" w:sz="0" w:space="0" w:color="auto"/>
          </w:divBdr>
        </w:div>
        <w:div w:id="446313093">
          <w:marLeft w:val="480"/>
          <w:marRight w:val="0"/>
          <w:marTop w:val="0"/>
          <w:marBottom w:val="0"/>
          <w:divBdr>
            <w:top w:val="none" w:sz="0" w:space="0" w:color="auto"/>
            <w:left w:val="none" w:sz="0" w:space="0" w:color="auto"/>
            <w:bottom w:val="none" w:sz="0" w:space="0" w:color="auto"/>
            <w:right w:val="none" w:sz="0" w:space="0" w:color="auto"/>
          </w:divBdr>
        </w:div>
        <w:div w:id="934748985">
          <w:marLeft w:val="480"/>
          <w:marRight w:val="0"/>
          <w:marTop w:val="0"/>
          <w:marBottom w:val="0"/>
          <w:divBdr>
            <w:top w:val="none" w:sz="0" w:space="0" w:color="auto"/>
            <w:left w:val="none" w:sz="0" w:space="0" w:color="auto"/>
            <w:bottom w:val="none" w:sz="0" w:space="0" w:color="auto"/>
            <w:right w:val="none" w:sz="0" w:space="0" w:color="auto"/>
          </w:divBdr>
        </w:div>
        <w:div w:id="1546091863">
          <w:marLeft w:val="480"/>
          <w:marRight w:val="0"/>
          <w:marTop w:val="0"/>
          <w:marBottom w:val="0"/>
          <w:divBdr>
            <w:top w:val="none" w:sz="0" w:space="0" w:color="auto"/>
            <w:left w:val="none" w:sz="0" w:space="0" w:color="auto"/>
            <w:bottom w:val="none" w:sz="0" w:space="0" w:color="auto"/>
            <w:right w:val="none" w:sz="0" w:space="0" w:color="auto"/>
          </w:divBdr>
        </w:div>
        <w:div w:id="494223312">
          <w:marLeft w:val="480"/>
          <w:marRight w:val="0"/>
          <w:marTop w:val="0"/>
          <w:marBottom w:val="0"/>
          <w:divBdr>
            <w:top w:val="none" w:sz="0" w:space="0" w:color="auto"/>
            <w:left w:val="none" w:sz="0" w:space="0" w:color="auto"/>
            <w:bottom w:val="none" w:sz="0" w:space="0" w:color="auto"/>
            <w:right w:val="none" w:sz="0" w:space="0" w:color="auto"/>
          </w:divBdr>
        </w:div>
        <w:div w:id="1000815773">
          <w:marLeft w:val="480"/>
          <w:marRight w:val="0"/>
          <w:marTop w:val="0"/>
          <w:marBottom w:val="0"/>
          <w:divBdr>
            <w:top w:val="none" w:sz="0" w:space="0" w:color="auto"/>
            <w:left w:val="none" w:sz="0" w:space="0" w:color="auto"/>
            <w:bottom w:val="none" w:sz="0" w:space="0" w:color="auto"/>
            <w:right w:val="none" w:sz="0" w:space="0" w:color="auto"/>
          </w:divBdr>
        </w:div>
        <w:div w:id="1921911814">
          <w:marLeft w:val="480"/>
          <w:marRight w:val="0"/>
          <w:marTop w:val="0"/>
          <w:marBottom w:val="0"/>
          <w:divBdr>
            <w:top w:val="none" w:sz="0" w:space="0" w:color="auto"/>
            <w:left w:val="none" w:sz="0" w:space="0" w:color="auto"/>
            <w:bottom w:val="none" w:sz="0" w:space="0" w:color="auto"/>
            <w:right w:val="none" w:sz="0" w:space="0" w:color="auto"/>
          </w:divBdr>
        </w:div>
        <w:div w:id="983244489">
          <w:marLeft w:val="480"/>
          <w:marRight w:val="0"/>
          <w:marTop w:val="0"/>
          <w:marBottom w:val="0"/>
          <w:divBdr>
            <w:top w:val="none" w:sz="0" w:space="0" w:color="auto"/>
            <w:left w:val="none" w:sz="0" w:space="0" w:color="auto"/>
            <w:bottom w:val="none" w:sz="0" w:space="0" w:color="auto"/>
            <w:right w:val="none" w:sz="0" w:space="0" w:color="auto"/>
          </w:divBdr>
        </w:div>
        <w:div w:id="436144081">
          <w:marLeft w:val="480"/>
          <w:marRight w:val="0"/>
          <w:marTop w:val="0"/>
          <w:marBottom w:val="0"/>
          <w:divBdr>
            <w:top w:val="none" w:sz="0" w:space="0" w:color="auto"/>
            <w:left w:val="none" w:sz="0" w:space="0" w:color="auto"/>
            <w:bottom w:val="none" w:sz="0" w:space="0" w:color="auto"/>
            <w:right w:val="none" w:sz="0" w:space="0" w:color="auto"/>
          </w:divBdr>
        </w:div>
        <w:div w:id="1559171809">
          <w:marLeft w:val="480"/>
          <w:marRight w:val="0"/>
          <w:marTop w:val="0"/>
          <w:marBottom w:val="0"/>
          <w:divBdr>
            <w:top w:val="none" w:sz="0" w:space="0" w:color="auto"/>
            <w:left w:val="none" w:sz="0" w:space="0" w:color="auto"/>
            <w:bottom w:val="none" w:sz="0" w:space="0" w:color="auto"/>
            <w:right w:val="none" w:sz="0" w:space="0" w:color="auto"/>
          </w:divBdr>
        </w:div>
        <w:div w:id="1572036321">
          <w:marLeft w:val="480"/>
          <w:marRight w:val="0"/>
          <w:marTop w:val="0"/>
          <w:marBottom w:val="0"/>
          <w:divBdr>
            <w:top w:val="none" w:sz="0" w:space="0" w:color="auto"/>
            <w:left w:val="none" w:sz="0" w:space="0" w:color="auto"/>
            <w:bottom w:val="none" w:sz="0" w:space="0" w:color="auto"/>
            <w:right w:val="none" w:sz="0" w:space="0" w:color="auto"/>
          </w:divBdr>
        </w:div>
        <w:div w:id="146282988">
          <w:marLeft w:val="480"/>
          <w:marRight w:val="0"/>
          <w:marTop w:val="0"/>
          <w:marBottom w:val="0"/>
          <w:divBdr>
            <w:top w:val="none" w:sz="0" w:space="0" w:color="auto"/>
            <w:left w:val="none" w:sz="0" w:space="0" w:color="auto"/>
            <w:bottom w:val="none" w:sz="0" w:space="0" w:color="auto"/>
            <w:right w:val="none" w:sz="0" w:space="0" w:color="auto"/>
          </w:divBdr>
        </w:div>
        <w:div w:id="1942910669">
          <w:marLeft w:val="480"/>
          <w:marRight w:val="0"/>
          <w:marTop w:val="0"/>
          <w:marBottom w:val="0"/>
          <w:divBdr>
            <w:top w:val="none" w:sz="0" w:space="0" w:color="auto"/>
            <w:left w:val="none" w:sz="0" w:space="0" w:color="auto"/>
            <w:bottom w:val="none" w:sz="0" w:space="0" w:color="auto"/>
            <w:right w:val="none" w:sz="0" w:space="0" w:color="auto"/>
          </w:divBdr>
        </w:div>
        <w:div w:id="851458706">
          <w:marLeft w:val="480"/>
          <w:marRight w:val="0"/>
          <w:marTop w:val="0"/>
          <w:marBottom w:val="0"/>
          <w:divBdr>
            <w:top w:val="none" w:sz="0" w:space="0" w:color="auto"/>
            <w:left w:val="none" w:sz="0" w:space="0" w:color="auto"/>
            <w:bottom w:val="none" w:sz="0" w:space="0" w:color="auto"/>
            <w:right w:val="none" w:sz="0" w:space="0" w:color="auto"/>
          </w:divBdr>
        </w:div>
        <w:div w:id="2062945938">
          <w:marLeft w:val="480"/>
          <w:marRight w:val="0"/>
          <w:marTop w:val="0"/>
          <w:marBottom w:val="0"/>
          <w:divBdr>
            <w:top w:val="none" w:sz="0" w:space="0" w:color="auto"/>
            <w:left w:val="none" w:sz="0" w:space="0" w:color="auto"/>
            <w:bottom w:val="none" w:sz="0" w:space="0" w:color="auto"/>
            <w:right w:val="none" w:sz="0" w:space="0" w:color="auto"/>
          </w:divBdr>
        </w:div>
        <w:div w:id="220290770">
          <w:marLeft w:val="480"/>
          <w:marRight w:val="0"/>
          <w:marTop w:val="0"/>
          <w:marBottom w:val="0"/>
          <w:divBdr>
            <w:top w:val="none" w:sz="0" w:space="0" w:color="auto"/>
            <w:left w:val="none" w:sz="0" w:space="0" w:color="auto"/>
            <w:bottom w:val="none" w:sz="0" w:space="0" w:color="auto"/>
            <w:right w:val="none" w:sz="0" w:space="0" w:color="auto"/>
          </w:divBdr>
        </w:div>
        <w:div w:id="1130588039">
          <w:marLeft w:val="480"/>
          <w:marRight w:val="0"/>
          <w:marTop w:val="0"/>
          <w:marBottom w:val="0"/>
          <w:divBdr>
            <w:top w:val="none" w:sz="0" w:space="0" w:color="auto"/>
            <w:left w:val="none" w:sz="0" w:space="0" w:color="auto"/>
            <w:bottom w:val="none" w:sz="0" w:space="0" w:color="auto"/>
            <w:right w:val="none" w:sz="0" w:space="0" w:color="auto"/>
          </w:divBdr>
        </w:div>
        <w:div w:id="1372075456">
          <w:marLeft w:val="480"/>
          <w:marRight w:val="0"/>
          <w:marTop w:val="0"/>
          <w:marBottom w:val="0"/>
          <w:divBdr>
            <w:top w:val="none" w:sz="0" w:space="0" w:color="auto"/>
            <w:left w:val="none" w:sz="0" w:space="0" w:color="auto"/>
            <w:bottom w:val="none" w:sz="0" w:space="0" w:color="auto"/>
            <w:right w:val="none" w:sz="0" w:space="0" w:color="auto"/>
          </w:divBdr>
        </w:div>
        <w:div w:id="582765995">
          <w:marLeft w:val="480"/>
          <w:marRight w:val="0"/>
          <w:marTop w:val="0"/>
          <w:marBottom w:val="0"/>
          <w:divBdr>
            <w:top w:val="none" w:sz="0" w:space="0" w:color="auto"/>
            <w:left w:val="none" w:sz="0" w:space="0" w:color="auto"/>
            <w:bottom w:val="none" w:sz="0" w:space="0" w:color="auto"/>
            <w:right w:val="none" w:sz="0" w:space="0" w:color="auto"/>
          </w:divBdr>
        </w:div>
        <w:div w:id="943461335">
          <w:marLeft w:val="480"/>
          <w:marRight w:val="0"/>
          <w:marTop w:val="0"/>
          <w:marBottom w:val="0"/>
          <w:divBdr>
            <w:top w:val="none" w:sz="0" w:space="0" w:color="auto"/>
            <w:left w:val="none" w:sz="0" w:space="0" w:color="auto"/>
            <w:bottom w:val="none" w:sz="0" w:space="0" w:color="auto"/>
            <w:right w:val="none" w:sz="0" w:space="0" w:color="auto"/>
          </w:divBdr>
        </w:div>
        <w:div w:id="816995343">
          <w:marLeft w:val="480"/>
          <w:marRight w:val="0"/>
          <w:marTop w:val="0"/>
          <w:marBottom w:val="0"/>
          <w:divBdr>
            <w:top w:val="none" w:sz="0" w:space="0" w:color="auto"/>
            <w:left w:val="none" w:sz="0" w:space="0" w:color="auto"/>
            <w:bottom w:val="none" w:sz="0" w:space="0" w:color="auto"/>
            <w:right w:val="none" w:sz="0" w:space="0" w:color="auto"/>
          </w:divBdr>
        </w:div>
        <w:div w:id="1078751921">
          <w:marLeft w:val="480"/>
          <w:marRight w:val="0"/>
          <w:marTop w:val="0"/>
          <w:marBottom w:val="0"/>
          <w:divBdr>
            <w:top w:val="none" w:sz="0" w:space="0" w:color="auto"/>
            <w:left w:val="none" w:sz="0" w:space="0" w:color="auto"/>
            <w:bottom w:val="none" w:sz="0" w:space="0" w:color="auto"/>
            <w:right w:val="none" w:sz="0" w:space="0" w:color="auto"/>
          </w:divBdr>
        </w:div>
        <w:div w:id="449472251">
          <w:marLeft w:val="480"/>
          <w:marRight w:val="0"/>
          <w:marTop w:val="0"/>
          <w:marBottom w:val="0"/>
          <w:divBdr>
            <w:top w:val="none" w:sz="0" w:space="0" w:color="auto"/>
            <w:left w:val="none" w:sz="0" w:space="0" w:color="auto"/>
            <w:bottom w:val="none" w:sz="0" w:space="0" w:color="auto"/>
            <w:right w:val="none" w:sz="0" w:space="0" w:color="auto"/>
          </w:divBdr>
        </w:div>
        <w:div w:id="1535581067">
          <w:marLeft w:val="480"/>
          <w:marRight w:val="0"/>
          <w:marTop w:val="0"/>
          <w:marBottom w:val="0"/>
          <w:divBdr>
            <w:top w:val="none" w:sz="0" w:space="0" w:color="auto"/>
            <w:left w:val="none" w:sz="0" w:space="0" w:color="auto"/>
            <w:bottom w:val="none" w:sz="0" w:space="0" w:color="auto"/>
            <w:right w:val="none" w:sz="0" w:space="0" w:color="auto"/>
          </w:divBdr>
        </w:div>
        <w:div w:id="977035484">
          <w:marLeft w:val="480"/>
          <w:marRight w:val="0"/>
          <w:marTop w:val="0"/>
          <w:marBottom w:val="0"/>
          <w:divBdr>
            <w:top w:val="none" w:sz="0" w:space="0" w:color="auto"/>
            <w:left w:val="none" w:sz="0" w:space="0" w:color="auto"/>
            <w:bottom w:val="none" w:sz="0" w:space="0" w:color="auto"/>
            <w:right w:val="none" w:sz="0" w:space="0" w:color="auto"/>
          </w:divBdr>
        </w:div>
        <w:div w:id="139689801">
          <w:marLeft w:val="480"/>
          <w:marRight w:val="0"/>
          <w:marTop w:val="0"/>
          <w:marBottom w:val="0"/>
          <w:divBdr>
            <w:top w:val="none" w:sz="0" w:space="0" w:color="auto"/>
            <w:left w:val="none" w:sz="0" w:space="0" w:color="auto"/>
            <w:bottom w:val="none" w:sz="0" w:space="0" w:color="auto"/>
            <w:right w:val="none" w:sz="0" w:space="0" w:color="auto"/>
          </w:divBdr>
        </w:div>
        <w:div w:id="1041173784">
          <w:marLeft w:val="480"/>
          <w:marRight w:val="0"/>
          <w:marTop w:val="0"/>
          <w:marBottom w:val="0"/>
          <w:divBdr>
            <w:top w:val="none" w:sz="0" w:space="0" w:color="auto"/>
            <w:left w:val="none" w:sz="0" w:space="0" w:color="auto"/>
            <w:bottom w:val="none" w:sz="0" w:space="0" w:color="auto"/>
            <w:right w:val="none" w:sz="0" w:space="0" w:color="auto"/>
          </w:divBdr>
        </w:div>
        <w:div w:id="1445227250">
          <w:marLeft w:val="480"/>
          <w:marRight w:val="0"/>
          <w:marTop w:val="0"/>
          <w:marBottom w:val="0"/>
          <w:divBdr>
            <w:top w:val="none" w:sz="0" w:space="0" w:color="auto"/>
            <w:left w:val="none" w:sz="0" w:space="0" w:color="auto"/>
            <w:bottom w:val="none" w:sz="0" w:space="0" w:color="auto"/>
            <w:right w:val="none" w:sz="0" w:space="0" w:color="auto"/>
          </w:divBdr>
        </w:div>
        <w:div w:id="1892115113">
          <w:marLeft w:val="480"/>
          <w:marRight w:val="0"/>
          <w:marTop w:val="0"/>
          <w:marBottom w:val="0"/>
          <w:divBdr>
            <w:top w:val="none" w:sz="0" w:space="0" w:color="auto"/>
            <w:left w:val="none" w:sz="0" w:space="0" w:color="auto"/>
            <w:bottom w:val="none" w:sz="0" w:space="0" w:color="auto"/>
            <w:right w:val="none" w:sz="0" w:space="0" w:color="auto"/>
          </w:divBdr>
        </w:div>
        <w:div w:id="489296283">
          <w:marLeft w:val="480"/>
          <w:marRight w:val="0"/>
          <w:marTop w:val="0"/>
          <w:marBottom w:val="0"/>
          <w:divBdr>
            <w:top w:val="none" w:sz="0" w:space="0" w:color="auto"/>
            <w:left w:val="none" w:sz="0" w:space="0" w:color="auto"/>
            <w:bottom w:val="none" w:sz="0" w:space="0" w:color="auto"/>
            <w:right w:val="none" w:sz="0" w:space="0" w:color="auto"/>
          </w:divBdr>
        </w:div>
        <w:div w:id="2116634288">
          <w:marLeft w:val="480"/>
          <w:marRight w:val="0"/>
          <w:marTop w:val="0"/>
          <w:marBottom w:val="0"/>
          <w:divBdr>
            <w:top w:val="none" w:sz="0" w:space="0" w:color="auto"/>
            <w:left w:val="none" w:sz="0" w:space="0" w:color="auto"/>
            <w:bottom w:val="none" w:sz="0" w:space="0" w:color="auto"/>
            <w:right w:val="none" w:sz="0" w:space="0" w:color="auto"/>
          </w:divBdr>
        </w:div>
        <w:div w:id="2015567426">
          <w:marLeft w:val="480"/>
          <w:marRight w:val="0"/>
          <w:marTop w:val="0"/>
          <w:marBottom w:val="0"/>
          <w:divBdr>
            <w:top w:val="none" w:sz="0" w:space="0" w:color="auto"/>
            <w:left w:val="none" w:sz="0" w:space="0" w:color="auto"/>
            <w:bottom w:val="none" w:sz="0" w:space="0" w:color="auto"/>
            <w:right w:val="none" w:sz="0" w:space="0" w:color="auto"/>
          </w:divBdr>
        </w:div>
        <w:div w:id="1824396620">
          <w:marLeft w:val="480"/>
          <w:marRight w:val="0"/>
          <w:marTop w:val="0"/>
          <w:marBottom w:val="0"/>
          <w:divBdr>
            <w:top w:val="none" w:sz="0" w:space="0" w:color="auto"/>
            <w:left w:val="none" w:sz="0" w:space="0" w:color="auto"/>
            <w:bottom w:val="none" w:sz="0" w:space="0" w:color="auto"/>
            <w:right w:val="none" w:sz="0" w:space="0" w:color="auto"/>
          </w:divBdr>
        </w:div>
        <w:div w:id="632641057">
          <w:marLeft w:val="480"/>
          <w:marRight w:val="0"/>
          <w:marTop w:val="0"/>
          <w:marBottom w:val="0"/>
          <w:divBdr>
            <w:top w:val="none" w:sz="0" w:space="0" w:color="auto"/>
            <w:left w:val="none" w:sz="0" w:space="0" w:color="auto"/>
            <w:bottom w:val="none" w:sz="0" w:space="0" w:color="auto"/>
            <w:right w:val="none" w:sz="0" w:space="0" w:color="auto"/>
          </w:divBdr>
        </w:div>
        <w:div w:id="1173882949">
          <w:marLeft w:val="480"/>
          <w:marRight w:val="0"/>
          <w:marTop w:val="0"/>
          <w:marBottom w:val="0"/>
          <w:divBdr>
            <w:top w:val="none" w:sz="0" w:space="0" w:color="auto"/>
            <w:left w:val="none" w:sz="0" w:space="0" w:color="auto"/>
            <w:bottom w:val="none" w:sz="0" w:space="0" w:color="auto"/>
            <w:right w:val="none" w:sz="0" w:space="0" w:color="auto"/>
          </w:divBdr>
        </w:div>
        <w:div w:id="1157724022">
          <w:marLeft w:val="480"/>
          <w:marRight w:val="0"/>
          <w:marTop w:val="0"/>
          <w:marBottom w:val="0"/>
          <w:divBdr>
            <w:top w:val="none" w:sz="0" w:space="0" w:color="auto"/>
            <w:left w:val="none" w:sz="0" w:space="0" w:color="auto"/>
            <w:bottom w:val="none" w:sz="0" w:space="0" w:color="auto"/>
            <w:right w:val="none" w:sz="0" w:space="0" w:color="auto"/>
          </w:divBdr>
        </w:div>
        <w:div w:id="372580891">
          <w:marLeft w:val="480"/>
          <w:marRight w:val="0"/>
          <w:marTop w:val="0"/>
          <w:marBottom w:val="0"/>
          <w:divBdr>
            <w:top w:val="none" w:sz="0" w:space="0" w:color="auto"/>
            <w:left w:val="none" w:sz="0" w:space="0" w:color="auto"/>
            <w:bottom w:val="none" w:sz="0" w:space="0" w:color="auto"/>
            <w:right w:val="none" w:sz="0" w:space="0" w:color="auto"/>
          </w:divBdr>
        </w:div>
        <w:div w:id="1863937353">
          <w:marLeft w:val="480"/>
          <w:marRight w:val="0"/>
          <w:marTop w:val="0"/>
          <w:marBottom w:val="0"/>
          <w:divBdr>
            <w:top w:val="none" w:sz="0" w:space="0" w:color="auto"/>
            <w:left w:val="none" w:sz="0" w:space="0" w:color="auto"/>
            <w:bottom w:val="none" w:sz="0" w:space="0" w:color="auto"/>
            <w:right w:val="none" w:sz="0" w:space="0" w:color="auto"/>
          </w:divBdr>
        </w:div>
        <w:div w:id="743721489">
          <w:marLeft w:val="480"/>
          <w:marRight w:val="0"/>
          <w:marTop w:val="0"/>
          <w:marBottom w:val="0"/>
          <w:divBdr>
            <w:top w:val="none" w:sz="0" w:space="0" w:color="auto"/>
            <w:left w:val="none" w:sz="0" w:space="0" w:color="auto"/>
            <w:bottom w:val="none" w:sz="0" w:space="0" w:color="auto"/>
            <w:right w:val="none" w:sz="0" w:space="0" w:color="auto"/>
          </w:divBdr>
        </w:div>
        <w:div w:id="479268951">
          <w:marLeft w:val="480"/>
          <w:marRight w:val="0"/>
          <w:marTop w:val="0"/>
          <w:marBottom w:val="0"/>
          <w:divBdr>
            <w:top w:val="none" w:sz="0" w:space="0" w:color="auto"/>
            <w:left w:val="none" w:sz="0" w:space="0" w:color="auto"/>
            <w:bottom w:val="none" w:sz="0" w:space="0" w:color="auto"/>
            <w:right w:val="none" w:sz="0" w:space="0" w:color="auto"/>
          </w:divBdr>
        </w:div>
        <w:div w:id="1749617663">
          <w:marLeft w:val="480"/>
          <w:marRight w:val="0"/>
          <w:marTop w:val="0"/>
          <w:marBottom w:val="0"/>
          <w:divBdr>
            <w:top w:val="none" w:sz="0" w:space="0" w:color="auto"/>
            <w:left w:val="none" w:sz="0" w:space="0" w:color="auto"/>
            <w:bottom w:val="none" w:sz="0" w:space="0" w:color="auto"/>
            <w:right w:val="none" w:sz="0" w:space="0" w:color="auto"/>
          </w:divBdr>
        </w:div>
        <w:div w:id="823666778">
          <w:marLeft w:val="480"/>
          <w:marRight w:val="0"/>
          <w:marTop w:val="0"/>
          <w:marBottom w:val="0"/>
          <w:divBdr>
            <w:top w:val="none" w:sz="0" w:space="0" w:color="auto"/>
            <w:left w:val="none" w:sz="0" w:space="0" w:color="auto"/>
            <w:bottom w:val="none" w:sz="0" w:space="0" w:color="auto"/>
            <w:right w:val="none" w:sz="0" w:space="0" w:color="auto"/>
          </w:divBdr>
        </w:div>
        <w:div w:id="730202485">
          <w:marLeft w:val="480"/>
          <w:marRight w:val="0"/>
          <w:marTop w:val="0"/>
          <w:marBottom w:val="0"/>
          <w:divBdr>
            <w:top w:val="none" w:sz="0" w:space="0" w:color="auto"/>
            <w:left w:val="none" w:sz="0" w:space="0" w:color="auto"/>
            <w:bottom w:val="none" w:sz="0" w:space="0" w:color="auto"/>
            <w:right w:val="none" w:sz="0" w:space="0" w:color="auto"/>
          </w:divBdr>
        </w:div>
        <w:div w:id="2047175540">
          <w:marLeft w:val="480"/>
          <w:marRight w:val="0"/>
          <w:marTop w:val="0"/>
          <w:marBottom w:val="0"/>
          <w:divBdr>
            <w:top w:val="none" w:sz="0" w:space="0" w:color="auto"/>
            <w:left w:val="none" w:sz="0" w:space="0" w:color="auto"/>
            <w:bottom w:val="none" w:sz="0" w:space="0" w:color="auto"/>
            <w:right w:val="none" w:sz="0" w:space="0" w:color="auto"/>
          </w:divBdr>
        </w:div>
        <w:div w:id="1876306698">
          <w:marLeft w:val="480"/>
          <w:marRight w:val="0"/>
          <w:marTop w:val="0"/>
          <w:marBottom w:val="0"/>
          <w:divBdr>
            <w:top w:val="none" w:sz="0" w:space="0" w:color="auto"/>
            <w:left w:val="none" w:sz="0" w:space="0" w:color="auto"/>
            <w:bottom w:val="none" w:sz="0" w:space="0" w:color="auto"/>
            <w:right w:val="none" w:sz="0" w:space="0" w:color="auto"/>
          </w:divBdr>
        </w:div>
        <w:div w:id="1055930904">
          <w:marLeft w:val="480"/>
          <w:marRight w:val="0"/>
          <w:marTop w:val="0"/>
          <w:marBottom w:val="0"/>
          <w:divBdr>
            <w:top w:val="none" w:sz="0" w:space="0" w:color="auto"/>
            <w:left w:val="none" w:sz="0" w:space="0" w:color="auto"/>
            <w:bottom w:val="none" w:sz="0" w:space="0" w:color="auto"/>
            <w:right w:val="none" w:sz="0" w:space="0" w:color="auto"/>
          </w:divBdr>
        </w:div>
        <w:div w:id="1251548477">
          <w:marLeft w:val="480"/>
          <w:marRight w:val="0"/>
          <w:marTop w:val="0"/>
          <w:marBottom w:val="0"/>
          <w:divBdr>
            <w:top w:val="none" w:sz="0" w:space="0" w:color="auto"/>
            <w:left w:val="none" w:sz="0" w:space="0" w:color="auto"/>
            <w:bottom w:val="none" w:sz="0" w:space="0" w:color="auto"/>
            <w:right w:val="none" w:sz="0" w:space="0" w:color="auto"/>
          </w:divBdr>
        </w:div>
        <w:div w:id="732654964">
          <w:marLeft w:val="480"/>
          <w:marRight w:val="0"/>
          <w:marTop w:val="0"/>
          <w:marBottom w:val="0"/>
          <w:divBdr>
            <w:top w:val="none" w:sz="0" w:space="0" w:color="auto"/>
            <w:left w:val="none" w:sz="0" w:space="0" w:color="auto"/>
            <w:bottom w:val="none" w:sz="0" w:space="0" w:color="auto"/>
            <w:right w:val="none" w:sz="0" w:space="0" w:color="auto"/>
          </w:divBdr>
        </w:div>
        <w:div w:id="754012034">
          <w:marLeft w:val="480"/>
          <w:marRight w:val="0"/>
          <w:marTop w:val="0"/>
          <w:marBottom w:val="0"/>
          <w:divBdr>
            <w:top w:val="none" w:sz="0" w:space="0" w:color="auto"/>
            <w:left w:val="none" w:sz="0" w:space="0" w:color="auto"/>
            <w:bottom w:val="none" w:sz="0" w:space="0" w:color="auto"/>
            <w:right w:val="none" w:sz="0" w:space="0" w:color="auto"/>
          </w:divBdr>
        </w:div>
        <w:div w:id="1200974696">
          <w:marLeft w:val="480"/>
          <w:marRight w:val="0"/>
          <w:marTop w:val="0"/>
          <w:marBottom w:val="0"/>
          <w:divBdr>
            <w:top w:val="none" w:sz="0" w:space="0" w:color="auto"/>
            <w:left w:val="none" w:sz="0" w:space="0" w:color="auto"/>
            <w:bottom w:val="none" w:sz="0" w:space="0" w:color="auto"/>
            <w:right w:val="none" w:sz="0" w:space="0" w:color="auto"/>
          </w:divBdr>
        </w:div>
        <w:div w:id="494077559">
          <w:marLeft w:val="480"/>
          <w:marRight w:val="0"/>
          <w:marTop w:val="0"/>
          <w:marBottom w:val="0"/>
          <w:divBdr>
            <w:top w:val="none" w:sz="0" w:space="0" w:color="auto"/>
            <w:left w:val="none" w:sz="0" w:space="0" w:color="auto"/>
            <w:bottom w:val="none" w:sz="0" w:space="0" w:color="auto"/>
            <w:right w:val="none" w:sz="0" w:space="0" w:color="auto"/>
          </w:divBdr>
        </w:div>
        <w:div w:id="302394274">
          <w:marLeft w:val="480"/>
          <w:marRight w:val="0"/>
          <w:marTop w:val="0"/>
          <w:marBottom w:val="0"/>
          <w:divBdr>
            <w:top w:val="none" w:sz="0" w:space="0" w:color="auto"/>
            <w:left w:val="none" w:sz="0" w:space="0" w:color="auto"/>
            <w:bottom w:val="none" w:sz="0" w:space="0" w:color="auto"/>
            <w:right w:val="none" w:sz="0" w:space="0" w:color="auto"/>
          </w:divBdr>
        </w:div>
        <w:div w:id="1810785477">
          <w:marLeft w:val="480"/>
          <w:marRight w:val="0"/>
          <w:marTop w:val="0"/>
          <w:marBottom w:val="0"/>
          <w:divBdr>
            <w:top w:val="none" w:sz="0" w:space="0" w:color="auto"/>
            <w:left w:val="none" w:sz="0" w:space="0" w:color="auto"/>
            <w:bottom w:val="none" w:sz="0" w:space="0" w:color="auto"/>
            <w:right w:val="none" w:sz="0" w:space="0" w:color="auto"/>
          </w:divBdr>
        </w:div>
        <w:div w:id="108740324">
          <w:marLeft w:val="480"/>
          <w:marRight w:val="0"/>
          <w:marTop w:val="0"/>
          <w:marBottom w:val="0"/>
          <w:divBdr>
            <w:top w:val="none" w:sz="0" w:space="0" w:color="auto"/>
            <w:left w:val="none" w:sz="0" w:space="0" w:color="auto"/>
            <w:bottom w:val="none" w:sz="0" w:space="0" w:color="auto"/>
            <w:right w:val="none" w:sz="0" w:space="0" w:color="auto"/>
          </w:divBdr>
        </w:div>
        <w:div w:id="1153524445">
          <w:marLeft w:val="480"/>
          <w:marRight w:val="0"/>
          <w:marTop w:val="0"/>
          <w:marBottom w:val="0"/>
          <w:divBdr>
            <w:top w:val="none" w:sz="0" w:space="0" w:color="auto"/>
            <w:left w:val="none" w:sz="0" w:space="0" w:color="auto"/>
            <w:bottom w:val="none" w:sz="0" w:space="0" w:color="auto"/>
            <w:right w:val="none" w:sz="0" w:space="0" w:color="auto"/>
          </w:divBdr>
        </w:div>
        <w:div w:id="1586114596">
          <w:marLeft w:val="480"/>
          <w:marRight w:val="0"/>
          <w:marTop w:val="0"/>
          <w:marBottom w:val="0"/>
          <w:divBdr>
            <w:top w:val="none" w:sz="0" w:space="0" w:color="auto"/>
            <w:left w:val="none" w:sz="0" w:space="0" w:color="auto"/>
            <w:bottom w:val="none" w:sz="0" w:space="0" w:color="auto"/>
            <w:right w:val="none" w:sz="0" w:space="0" w:color="auto"/>
          </w:divBdr>
        </w:div>
        <w:div w:id="1582449397">
          <w:marLeft w:val="480"/>
          <w:marRight w:val="0"/>
          <w:marTop w:val="0"/>
          <w:marBottom w:val="0"/>
          <w:divBdr>
            <w:top w:val="none" w:sz="0" w:space="0" w:color="auto"/>
            <w:left w:val="none" w:sz="0" w:space="0" w:color="auto"/>
            <w:bottom w:val="none" w:sz="0" w:space="0" w:color="auto"/>
            <w:right w:val="none" w:sz="0" w:space="0" w:color="auto"/>
          </w:divBdr>
        </w:div>
        <w:div w:id="1051226678">
          <w:marLeft w:val="480"/>
          <w:marRight w:val="0"/>
          <w:marTop w:val="0"/>
          <w:marBottom w:val="0"/>
          <w:divBdr>
            <w:top w:val="none" w:sz="0" w:space="0" w:color="auto"/>
            <w:left w:val="none" w:sz="0" w:space="0" w:color="auto"/>
            <w:bottom w:val="none" w:sz="0" w:space="0" w:color="auto"/>
            <w:right w:val="none" w:sz="0" w:space="0" w:color="auto"/>
          </w:divBdr>
        </w:div>
        <w:div w:id="900095548">
          <w:marLeft w:val="480"/>
          <w:marRight w:val="0"/>
          <w:marTop w:val="0"/>
          <w:marBottom w:val="0"/>
          <w:divBdr>
            <w:top w:val="none" w:sz="0" w:space="0" w:color="auto"/>
            <w:left w:val="none" w:sz="0" w:space="0" w:color="auto"/>
            <w:bottom w:val="none" w:sz="0" w:space="0" w:color="auto"/>
            <w:right w:val="none" w:sz="0" w:space="0" w:color="auto"/>
          </w:divBdr>
        </w:div>
        <w:div w:id="1439787927">
          <w:marLeft w:val="480"/>
          <w:marRight w:val="0"/>
          <w:marTop w:val="0"/>
          <w:marBottom w:val="0"/>
          <w:divBdr>
            <w:top w:val="none" w:sz="0" w:space="0" w:color="auto"/>
            <w:left w:val="none" w:sz="0" w:space="0" w:color="auto"/>
            <w:bottom w:val="none" w:sz="0" w:space="0" w:color="auto"/>
            <w:right w:val="none" w:sz="0" w:space="0" w:color="auto"/>
          </w:divBdr>
        </w:div>
        <w:div w:id="968168576">
          <w:marLeft w:val="480"/>
          <w:marRight w:val="0"/>
          <w:marTop w:val="0"/>
          <w:marBottom w:val="0"/>
          <w:divBdr>
            <w:top w:val="none" w:sz="0" w:space="0" w:color="auto"/>
            <w:left w:val="none" w:sz="0" w:space="0" w:color="auto"/>
            <w:bottom w:val="none" w:sz="0" w:space="0" w:color="auto"/>
            <w:right w:val="none" w:sz="0" w:space="0" w:color="auto"/>
          </w:divBdr>
        </w:div>
        <w:div w:id="2126652561">
          <w:marLeft w:val="480"/>
          <w:marRight w:val="0"/>
          <w:marTop w:val="0"/>
          <w:marBottom w:val="0"/>
          <w:divBdr>
            <w:top w:val="none" w:sz="0" w:space="0" w:color="auto"/>
            <w:left w:val="none" w:sz="0" w:space="0" w:color="auto"/>
            <w:bottom w:val="none" w:sz="0" w:space="0" w:color="auto"/>
            <w:right w:val="none" w:sz="0" w:space="0" w:color="auto"/>
          </w:divBdr>
        </w:div>
        <w:div w:id="1372074596">
          <w:marLeft w:val="480"/>
          <w:marRight w:val="0"/>
          <w:marTop w:val="0"/>
          <w:marBottom w:val="0"/>
          <w:divBdr>
            <w:top w:val="none" w:sz="0" w:space="0" w:color="auto"/>
            <w:left w:val="none" w:sz="0" w:space="0" w:color="auto"/>
            <w:bottom w:val="none" w:sz="0" w:space="0" w:color="auto"/>
            <w:right w:val="none" w:sz="0" w:space="0" w:color="auto"/>
          </w:divBdr>
        </w:div>
        <w:div w:id="1083255900">
          <w:marLeft w:val="480"/>
          <w:marRight w:val="0"/>
          <w:marTop w:val="0"/>
          <w:marBottom w:val="0"/>
          <w:divBdr>
            <w:top w:val="none" w:sz="0" w:space="0" w:color="auto"/>
            <w:left w:val="none" w:sz="0" w:space="0" w:color="auto"/>
            <w:bottom w:val="none" w:sz="0" w:space="0" w:color="auto"/>
            <w:right w:val="none" w:sz="0" w:space="0" w:color="auto"/>
          </w:divBdr>
        </w:div>
        <w:div w:id="1362129755">
          <w:marLeft w:val="480"/>
          <w:marRight w:val="0"/>
          <w:marTop w:val="0"/>
          <w:marBottom w:val="0"/>
          <w:divBdr>
            <w:top w:val="none" w:sz="0" w:space="0" w:color="auto"/>
            <w:left w:val="none" w:sz="0" w:space="0" w:color="auto"/>
            <w:bottom w:val="none" w:sz="0" w:space="0" w:color="auto"/>
            <w:right w:val="none" w:sz="0" w:space="0" w:color="auto"/>
          </w:divBdr>
        </w:div>
        <w:div w:id="458307442">
          <w:marLeft w:val="480"/>
          <w:marRight w:val="0"/>
          <w:marTop w:val="0"/>
          <w:marBottom w:val="0"/>
          <w:divBdr>
            <w:top w:val="none" w:sz="0" w:space="0" w:color="auto"/>
            <w:left w:val="none" w:sz="0" w:space="0" w:color="auto"/>
            <w:bottom w:val="none" w:sz="0" w:space="0" w:color="auto"/>
            <w:right w:val="none" w:sz="0" w:space="0" w:color="auto"/>
          </w:divBdr>
        </w:div>
        <w:div w:id="691610251">
          <w:marLeft w:val="480"/>
          <w:marRight w:val="0"/>
          <w:marTop w:val="0"/>
          <w:marBottom w:val="0"/>
          <w:divBdr>
            <w:top w:val="none" w:sz="0" w:space="0" w:color="auto"/>
            <w:left w:val="none" w:sz="0" w:space="0" w:color="auto"/>
            <w:bottom w:val="none" w:sz="0" w:space="0" w:color="auto"/>
            <w:right w:val="none" w:sz="0" w:space="0" w:color="auto"/>
          </w:divBdr>
        </w:div>
        <w:div w:id="1162504217">
          <w:marLeft w:val="480"/>
          <w:marRight w:val="0"/>
          <w:marTop w:val="0"/>
          <w:marBottom w:val="0"/>
          <w:divBdr>
            <w:top w:val="none" w:sz="0" w:space="0" w:color="auto"/>
            <w:left w:val="none" w:sz="0" w:space="0" w:color="auto"/>
            <w:bottom w:val="none" w:sz="0" w:space="0" w:color="auto"/>
            <w:right w:val="none" w:sz="0" w:space="0" w:color="auto"/>
          </w:divBdr>
        </w:div>
        <w:div w:id="991370701">
          <w:marLeft w:val="480"/>
          <w:marRight w:val="0"/>
          <w:marTop w:val="0"/>
          <w:marBottom w:val="0"/>
          <w:divBdr>
            <w:top w:val="none" w:sz="0" w:space="0" w:color="auto"/>
            <w:left w:val="none" w:sz="0" w:space="0" w:color="auto"/>
            <w:bottom w:val="none" w:sz="0" w:space="0" w:color="auto"/>
            <w:right w:val="none" w:sz="0" w:space="0" w:color="auto"/>
          </w:divBdr>
        </w:div>
        <w:div w:id="1456564172">
          <w:marLeft w:val="480"/>
          <w:marRight w:val="0"/>
          <w:marTop w:val="0"/>
          <w:marBottom w:val="0"/>
          <w:divBdr>
            <w:top w:val="none" w:sz="0" w:space="0" w:color="auto"/>
            <w:left w:val="none" w:sz="0" w:space="0" w:color="auto"/>
            <w:bottom w:val="none" w:sz="0" w:space="0" w:color="auto"/>
            <w:right w:val="none" w:sz="0" w:space="0" w:color="auto"/>
          </w:divBdr>
        </w:div>
        <w:div w:id="682441463">
          <w:marLeft w:val="480"/>
          <w:marRight w:val="0"/>
          <w:marTop w:val="0"/>
          <w:marBottom w:val="0"/>
          <w:divBdr>
            <w:top w:val="none" w:sz="0" w:space="0" w:color="auto"/>
            <w:left w:val="none" w:sz="0" w:space="0" w:color="auto"/>
            <w:bottom w:val="none" w:sz="0" w:space="0" w:color="auto"/>
            <w:right w:val="none" w:sz="0" w:space="0" w:color="auto"/>
          </w:divBdr>
        </w:div>
        <w:div w:id="684595661">
          <w:marLeft w:val="480"/>
          <w:marRight w:val="0"/>
          <w:marTop w:val="0"/>
          <w:marBottom w:val="0"/>
          <w:divBdr>
            <w:top w:val="none" w:sz="0" w:space="0" w:color="auto"/>
            <w:left w:val="none" w:sz="0" w:space="0" w:color="auto"/>
            <w:bottom w:val="none" w:sz="0" w:space="0" w:color="auto"/>
            <w:right w:val="none" w:sz="0" w:space="0" w:color="auto"/>
          </w:divBdr>
        </w:div>
        <w:div w:id="1363827936">
          <w:marLeft w:val="480"/>
          <w:marRight w:val="0"/>
          <w:marTop w:val="0"/>
          <w:marBottom w:val="0"/>
          <w:divBdr>
            <w:top w:val="none" w:sz="0" w:space="0" w:color="auto"/>
            <w:left w:val="none" w:sz="0" w:space="0" w:color="auto"/>
            <w:bottom w:val="none" w:sz="0" w:space="0" w:color="auto"/>
            <w:right w:val="none" w:sz="0" w:space="0" w:color="auto"/>
          </w:divBdr>
        </w:div>
        <w:div w:id="519971574">
          <w:marLeft w:val="480"/>
          <w:marRight w:val="0"/>
          <w:marTop w:val="0"/>
          <w:marBottom w:val="0"/>
          <w:divBdr>
            <w:top w:val="none" w:sz="0" w:space="0" w:color="auto"/>
            <w:left w:val="none" w:sz="0" w:space="0" w:color="auto"/>
            <w:bottom w:val="none" w:sz="0" w:space="0" w:color="auto"/>
            <w:right w:val="none" w:sz="0" w:space="0" w:color="auto"/>
          </w:divBdr>
        </w:div>
        <w:div w:id="929851918">
          <w:marLeft w:val="480"/>
          <w:marRight w:val="0"/>
          <w:marTop w:val="0"/>
          <w:marBottom w:val="0"/>
          <w:divBdr>
            <w:top w:val="none" w:sz="0" w:space="0" w:color="auto"/>
            <w:left w:val="none" w:sz="0" w:space="0" w:color="auto"/>
            <w:bottom w:val="none" w:sz="0" w:space="0" w:color="auto"/>
            <w:right w:val="none" w:sz="0" w:space="0" w:color="auto"/>
          </w:divBdr>
        </w:div>
        <w:div w:id="867834779">
          <w:marLeft w:val="480"/>
          <w:marRight w:val="0"/>
          <w:marTop w:val="0"/>
          <w:marBottom w:val="0"/>
          <w:divBdr>
            <w:top w:val="none" w:sz="0" w:space="0" w:color="auto"/>
            <w:left w:val="none" w:sz="0" w:space="0" w:color="auto"/>
            <w:bottom w:val="none" w:sz="0" w:space="0" w:color="auto"/>
            <w:right w:val="none" w:sz="0" w:space="0" w:color="auto"/>
          </w:divBdr>
        </w:div>
        <w:div w:id="454183680">
          <w:marLeft w:val="480"/>
          <w:marRight w:val="0"/>
          <w:marTop w:val="0"/>
          <w:marBottom w:val="0"/>
          <w:divBdr>
            <w:top w:val="none" w:sz="0" w:space="0" w:color="auto"/>
            <w:left w:val="none" w:sz="0" w:space="0" w:color="auto"/>
            <w:bottom w:val="none" w:sz="0" w:space="0" w:color="auto"/>
            <w:right w:val="none" w:sz="0" w:space="0" w:color="auto"/>
          </w:divBdr>
        </w:div>
        <w:div w:id="1553690443">
          <w:marLeft w:val="480"/>
          <w:marRight w:val="0"/>
          <w:marTop w:val="0"/>
          <w:marBottom w:val="0"/>
          <w:divBdr>
            <w:top w:val="none" w:sz="0" w:space="0" w:color="auto"/>
            <w:left w:val="none" w:sz="0" w:space="0" w:color="auto"/>
            <w:bottom w:val="none" w:sz="0" w:space="0" w:color="auto"/>
            <w:right w:val="none" w:sz="0" w:space="0" w:color="auto"/>
          </w:divBdr>
        </w:div>
        <w:div w:id="1125612037">
          <w:marLeft w:val="480"/>
          <w:marRight w:val="0"/>
          <w:marTop w:val="0"/>
          <w:marBottom w:val="0"/>
          <w:divBdr>
            <w:top w:val="none" w:sz="0" w:space="0" w:color="auto"/>
            <w:left w:val="none" w:sz="0" w:space="0" w:color="auto"/>
            <w:bottom w:val="none" w:sz="0" w:space="0" w:color="auto"/>
            <w:right w:val="none" w:sz="0" w:space="0" w:color="auto"/>
          </w:divBdr>
        </w:div>
        <w:div w:id="899825937">
          <w:marLeft w:val="480"/>
          <w:marRight w:val="0"/>
          <w:marTop w:val="0"/>
          <w:marBottom w:val="0"/>
          <w:divBdr>
            <w:top w:val="none" w:sz="0" w:space="0" w:color="auto"/>
            <w:left w:val="none" w:sz="0" w:space="0" w:color="auto"/>
            <w:bottom w:val="none" w:sz="0" w:space="0" w:color="auto"/>
            <w:right w:val="none" w:sz="0" w:space="0" w:color="auto"/>
          </w:divBdr>
        </w:div>
        <w:div w:id="1304117821">
          <w:marLeft w:val="480"/>
          <w:marRight w:val="0"/>
          <w:marTop w:val="0"/>
          <w:marBottom w:val="0"/>
          <w:divBdr>
            <w:top w:val="none" w:sz="0" w:space="0" w:color="auto"/>
            <w:left w:val="none" w:sz="0" w:space="0" w:color="auto"/>
            <w:bottom w:val="none" w:sz="0" w:space="0" w:color="auto"/>
            <w:right w:val="none" w:sz="0" w:space="0" w:color="auto"/>
          </w:divBdr>
        </w:div>
        <w:div w:id="1011447782">
          <w:marLeft w:val="480"/>
          <w:marRight w:val="0"/>
          <w:marTop w:val="0"/>
          <w:marBottom w:val="0"/>
          <w:divBdr>
            <w:top w:val="none" w:sz="0" w:space="0" w:color="auto"/>
            <w:left w:val="none" w:sz="0" w:space="0" w:color="auto"/>
            <w:bottom w:val="none" w:sz="0" w:space="0" w:color="auto"/>
            <w:right w:val="none" w:sz="0" w:space="0" w:color="auto"/>
          </w:divBdr>
        </w:div>
        <w:div w:id="1414626048">
          <w:marLeft w:val="480"/>
          <w:marRight w:val="0"/>
          <w:marTop w:val="0"/>
          <w:marBottom w:val="0"/>
          <w:divBdr>
            <w:top w:val="none" w:sz="0" w:space="0" w:color="auto"/>
            <w:left w:val="none" w:sz="0" w:space="0" w:color="auto"/>
            <w:bottom w:val="none" w:sz="0" w:space="0" w:color="auto"/>
            <w:right w:val="none" w:sz="0" w:space="0" w:color="auto"/>
          </w:divBdr>
        </w:div>
        <w:div w:id="1844281082">
          <w:marLeft w:val="480"/>
          <w:marRight w:val="0"/>
          <w:marTop w:val="0"/>
          <w:marBottom w:val="0"/>
          <w:divBdr>
            <w:top w:val="none" w:sz="0" w:space="0" w:color="auto"/>
            <w:left w:val="none" w:sz="0" w:space="0" w:color="auto"/>
            <w:bottom w:val="none" w:sz="0" w:space="0" w:color="auto"/>
            <w:right w:val="none" w:sz="0" w:space="0" w:color="auto"/>
          </w:divBdr>
        </w:div>
        <w:div w:id="1802920414">
          <w:marLeft w:val="480"/>
          <w:marRight w:val="0"/>
          <w:marTop w:val="0"/>
          <w:marBottom w:val="0"/>
          <w:divBdr>
            <w:top w:val="none" w:sz="0" w:space="0" w:color="auto"/>
            <w:left w:val="none" w:sz="0" w:space="0" w:color="auto"/>
            <w:bottom w:val="none" w:sz="0" w:space="0" w:color="auto"/>
            <w:right w:val="none" w:sz="0" w:space="0" w:color="auto"/>
          </w:divBdr>
        </w:div>
        <w:div w:id="600183171">
          <w:marLeft w:val="480"/>
          <w:marRight w:val="0"/>
          <w:marTop w:val="0"/>
          <w:marBottom w:val="0"/>
          <w:divBdr>
            <w:top w:val="none" w:sz="0" w:space="0" w:color="auto"/>
            <w:left w:val="none" w:sz="0" w:space="0" w:color="auto"/>
            <w:bottom w:val="none" w:sz="0" w:space="0" w:color="auto"/>
            <w:right w:val="none" w:sz="0" w:space="0" w:color="auto"/>
          </w:divBdr>
        </w:div>
        <w:div w:id="1744374212">
          <w:marLeft w:val="480"/>
          <w:marRight w:val="0"/>
          <w:marTop w:val="0"/>
          <w:marBottom w:val="0"/>
          <w:divBdr>
            <w:top w:val="none" w:sz="0" w:space="0" w:color="auto"/>
            <w:left w:val="none" w:sz="0" w:space="0" w:color="auto"/>
            <w:bottom w:val="none" w:sz="0" w:space="0" w:color="auto"/>
            <w:right w:val="none" w:sz="0" w:space="0" w:color="auto"/>
          </w:divBdr>
        </w:div>
        <w:div w:id="1097679505">
          <w:marLeft w:val="480"/>
          <w:marRight w:val="0"/>
          <w:marTop w:val="0"/>
          <w:marBottom w:val="0"/>
          <w:divBdr>
            <w:top w:val="none" w:sz="0" w:space="0" w:color="auto"/>
            <w:left w:val="none" w:sz="0" w:space="0" w:color="auto"/>
            <w:bottom w:val="none" w:sz="0" w:space="0" w:color="auto"/>
            <w:right w:val="none" w:sz="0" w:space="0" w:color="auto"/>
          </w:divBdr>
        </w:div>
        <w:div w:id="1388147437">
          <w:marLeft w:val="480"/>
          <w:marRight w:val="0"/>
          <w:marTop w:val="0"/>
          <w:marBottom w:val="0"/>
          <w:divBdr>
            <w:top w:val="none" w:sz="0" w:space="0" w:color="auto"/>
            <w:left w:val="none" w:sz="0" w:space="0" w:color="auto"/>
            <w:bottom w:val="none" w:sz="0" w:space="0" w:color="auto"/>
            <w:right w:val="none" w:sz="0" w:space="0" w:color="auto"/>
          </w:divBdr>
        </w:div>
        <w:div w:id="447160489">
          <w:marLeft w:val="480"/>
          <w:marRight w:val="0"/>
          <w:marTop w:val="0"/>
          <w:marBottom w:val="0"/>
          <w:divBdr>
            <w:top w:val="none" w:sz="0" w:space="0" w:color="auto"/>
            <w:left w:val="none" w:sz="0" w:space="0" w:color="auto"/>
            <w:bottom w:val="none" w:sz="0" w:space="0" w:color="auto"/>
            <w:right w:val="none" w:sz="0" w:space="0" w:color="auto"/>
          </w:divBdr>
        </w:div>
        <w:div w:id="143200465">
          <w:marLeft w:val="480"/>
          <w:marRight w:val="0"/>
          <w:marTop w:val="0"/>
          <w:marBottom w:val="0"/>
          <w:divBdr>
            <w:top w:val="none" w:sz="0" w:space="0" w:color="auto"/>
            <w:left w:val="none" w:sz="0" w:space="0" w:color="auto"/>
            <w:bottom w:val="none" w:sz="0" w:space="0" w:color="auto"/>
            <w:right w:val="none" w:sz="0" w:space="0" w:color="auto"/>
          </w:divBdr>
        </w:div>
        <w:div w:id="958025172">
          <w:marLeft w:val="480"/>
          <w:marRight w:val="0"/>
          <w:marTop w:val="0"/>
          <w:marBottom w:val="0"/>
          <w:divBdr>
            <w:top w:val="none" w:sz="0" w:space="0" w:color="auto"/>
            <w:left w:val="none" w:sz="0" w:space="0" w:color="auto"/>
            <w:bottom w:val="none" w:sz="0" w:space="0" w:color="auto"/>
            <w:right w:val="none" w:sz="0" w:space="0" w:color="auto"/>
          </w:divBdr>
        </w:div>
        <w:div w:id="1867790783">
          <w:marLeft w:val="480"/>
          <w:marRight w:val="0"/>
          <w:marTop w:val="0"/>
          <w:marBottom w:val="0"/>
          <w:divBdr>
            <w:top w:val="none" w:sz="0" w:space="0" w:color="auto"/>
            <w:left w:val="none" w:sz="0" w:space="0" w:color="auto"/>
            <w:bottom w:val="none" w:sz="0" w:space="0" w:color="auto"/>
            <w:right w:val="none" w:sz="0" w:space="0" w:color="auto"/>
          </w:divBdr>
        </w:div>
        <w:div w:id="2125617543">
          <w:marLeft w:val="480"/>
          <w:marRight w:val="0"/>
          <w:marTop w:val="0"/>
          <w:marBottom w:val="0"/>
          <w:divBdr>
            <w:top w:val="none" w:sz="0" w:space="0" w:color="auto"/>
            <w:left w:val="none" w:sz="0" w:space="0" w:color="auto"/>
            <w:bottom w:val="none" w:sz="0" w:space="0" w:color="auto"/>
            <w:right w:val="none" w:sz="0" w:space="0" w:color="auto"/>
          </w:divBdr>
        </w:div>
        <w:div w:id="539128970">
          <w:marLeft w:val="480"/>
          <w:marRight w:val="0"/>
          <w:marTop w:val="0"/>
          <w:marBottom w:val="0"/>
          <w:divBdr>
            <w:top w:val="none" w:sz="0" w:space="0" w:color="auto"/>
            <w:left w:val="none" w:sz="0" w:space="0" w:color="auto"/>
            <w:bottom w:val="none" w:sz="0" w:space="0" w:color="auto"/>
            <w:right w:val="none" w:sz="0" w:space="0" w:color="auto"/>
          </w:divBdr>
        </w:div>
        <w:div w:id="2002193473">
          <w:marLeft w:val="480"/>
          <w:marRight w:val="0"/>
          <w:marTop w:val="0"/>
          <w:marBottom w:val="0"/>
          <w:divBdr>
            <w:top w:val="none" w:sz="0" w:space="0" w:color="auto"/>
            <w:left w:val="none" w:sz="0" w:space="0" w:color="auto"/>
            <w:bottom w:val="none" w:sz="0" w:space="0" w:color="auto"/>
            <w:right w:val="none" w:sz="0" w:space="0" w:color="auto"/>
          </w:divBdr>
        </w:div>
        <w:div w:id="734814761">
          <w:marLeft w:val="480"/>
          <w:marRight w:val="0"/>
          <w:marTop w:val="0"/>
          <w:marBottom w:val="0"/>
          <w:divBdr>
            <w:top w:val="none" w:sz="0" w:space="0" w:color="auto"/>
            <w:left w:val="none" w:sz="0" w:space="0" w:color="auto"/>
            <w:bottom w:val="none" w:sz="0" w:space="0" w:color="auto"/>
            <w:right w:val="none" w:sz="0" w:space="0" w:color="auto"/>
          </w:divBdr>
        </w:div>
        <w:div w:id="1755086367">
          <w:marLeft w:val="480"/>
          <w:marRight w:val="0"/>
          <w:marTop w:val="0"/>
          <w:marBottom w:val="0"/>
          <w:divBdr>
            <w:top w:val="none" w:sz="0" w:space="0" w:color="auto"/>
            <w:left w:val="none" w:sz="0" w:space="0" w:color="auto"/>
            <w:bottom w:val="none" w:sz="0" w:space="0" w:color="auto"/>
            <w:right w:val="none" w:sz="0" w:space="0" w:color="auto"/>
          </w:divBdr>
        </w:div>
        <w:div w:id="169612075">
          <w:marLeft w:val="480"/>
          <w:marRight w:val="0"/>
          <w:marTop w:val="0"/>
          <w:marBottom w:val="0"/>
          <w:divBdr>
            <w:top w:val="none" w:sz="0" w:space="0" w:color="auto"/>
            <w:left w:val="none" w:sz="0" w:space="0" w:color="auto"/>
            <w:bottom w:val="none" w:sz="0" w:space="0" w:color="auto"/>
            <w:right w:val="none" w:sz="0" w:space="0" w:color="auto"/>
          </w:divBdr>
        </w:div>
        <w:div w:id="1669364065">
          <w:marLeft w:val="480"/>
          <w:marRight w:val="0"/>
          <w:marTop w:val="0"/>
          <w:marBottom w:val="0"/>
          <w:divBdr>
            <w:top w:val="none" w:sz="0" w:space="0" w:color="auto"/>
            <w:left w:val="none" w:sz="0" w:space="0" w:color="auto"/>
            <w:bottom w:val="none" w:sz="0" w:space="0" w:color="auto"/>
            <w:right w:val="none" w:sz="0" w:space="0" w:color="auto"/>
          </w:divBdr>
        </w:div>
      </w:divsChild>
    </w:div>
    <w:div w:id="459613169">
      <w:bodyDiv w:val="1"/>
      <w:marLeft w:val="0"/>
      <w:marRight w:val="0"/>
      <w:marTop w:val="0"/>
      <w:marBottom w:val="0"/>
      <w:divBdr>
        <w:top w:val="none" w:sz="0" w:space="0" w:color="auto"/>
        <w:left w:val="none" w:sz="0" w:space="0" w:color="auto"/>
        <w:bottom w:val="none" w:sz="0" w:space="0" w:color="auto"/>
        <w:right w:val="none" w:sz="0" w:space="0" w:color="auto"/>
      </w:divBdr>
    </w:div>
    <w:div w:id="459685894">
      <w:bodyDiv w:val="1"/>
      <w:marLeft w:val="0"/>
      <w:marRight w:val="0"/>
      <w:marTop w:val="0"/>
      <w:marBottom w:val="0"/>
      <w:divBdr>
        <w:top w:val="none" w:sz="0" w:space="0" w:color="auto"/>
        <w:left w:val="none" w:sz="0" w:space="0" w:color="auto"/>
        <w:bottom w:val="none" w:sz="0" w:space="0" w:color="auto"/>
        <w:right w:val="none" w:sz="0" w:space="0" w:color="auto"/>
      </w:divBdr>
    </w:div>
    <w:div w:id="459997298">
      <w:bodyDiv w:val="1"/>
      <w:marLeft w:val="0"/>
      <w:marRight w:val="0"/>
      <w:marTop w:val="0"/>
      <w:marBottom w:val="0"/>
      <w:divBdr>
        <w:top w:val="none" w:sz="0" w:space="0" w:color="auto"/>
        <w:left w:val="none" w:sz="0" w:space="0" w:color="auto"/>
        <w:bottom w:val="none" w:sz="0" w:space="0" w:color="auto"/>
        <w:right w:val="none" w:sz="0" w:space="0" w:color="auto"/>
      </w:divBdr>
    </w:div>
    <w:div w:id="460417901">
      <w:bodyDiv w:val="1"/>
      <w:marLeft w:val="0"/>
      <w:marRight w:val="0"/>
      <w:marTop w:val="0"/>
      <w:marBottom w:val="0"/>
      <w:divBdr>
        <w:top w:val="none" w:sz="0" w:space="0" w:color="auto"/>
        <w:left w:val="none" w:sz="0" w:space="0" w:color="auto"/>
        <w:bottom w:val="none" w:sz="0" w:space="0" w:color="auto"/>
        <w:right w:val="none" w:sz="0" w:space="0" w:color="auto"/>
      </w:divBdr>
    </w:div>
    <w:div w:id="460811710">
      <w:bodyDiv w:val="1"/>
      <w:marLeft w:val="0"/>
      <w:marRight w:val="0"/>
      <w:marTop w:val="0"/>
      <w:marBottom w:val="0"/>
      <w:divBdr>
        <w:top w:val="none" w:sz="0" w:space="0" w:color="auto"/>
        <w:left w:val="none" w:sz="0" w:space="0" w:color="auto"/>
        <w:bottom w:val="none" w:sz="0" w:space="0" w:color="auto"/>
        <w:right w:val="none" w:sz="0" w:space="0" w:color="auto"/>
      </w:divBdr>
    </w:div>
    <w:div w:id="461193901">
      <w:bodyDiv w:val="1"/>
      <w:marLeft w:val="0"/>
      <w:marRight w:val="0"/>
      <w:marTop w:val="0"/>
      <w:marBottom w:val="0"/>
      <w:divBdr>
        <w:top w:val="none" w:sz="0" w:space="0" w:color="auto"/>
        <w:left w:val="none" w:sz="0" w:space="0" w:color="auto"/>
        <w:bottom w:val="none" w:sz="0" w:space="0" w:color="auto"/>
        <w:right w:val="none" w:sz="0" w:space="0" w:color="auto"/>
      </w:divBdr>
    </w:div>
    <w:div w:id="461465984">
      <w:bodyDiv w:val="1"/>
      <w:marLeft w:val="0"/>
      <w:marRight w:val="0"/>
      <w:marTop w:val="0"/>
      <w:marBottom w:val="0"/>
      <w:divBdr>
        <w:top w:val="none" w:sz="0" w:space="0" w:color="auto"/>
        <w:left w:val="none" w:sz="0" w:space="0" w:color="auto"/>
        <w:bottom w:val="none" w:sz="0" w:space="0" w:color="auto"/>
        <w:right w:val="none" w:sz="0" w:space="0" w:color="auto"/>
      </w:divBdr>
    </w:div>
    <w:div w:id="462886603">
      <w:bodyDiv w:val="1"/>
      <w:marLeft w:val="0"/>
      <w:marRight w:val="0"/>
      <w:marTop w:val="0"/>
      <w:marBottom w:val="0"/>
      <w:divBdr>
        <w:top w:val="none" w:sz="0" w:space="0" w:color="auto"/>
        <w:left w:val="none" w:sz="0" w:space="0" w:color="auto"/>
        <w:bottom w:val="none" w:sz="0" w:space="0" w:color="auto"/>
        <w:right w:val="none" w:sz="0" w:space="0" w:color="auto"/>
      </w:divBdr>
    </w:div>
    <w:div w:id="463079785">
      <w:bodyDiv w:val="1"/>
      <w:marLeft w:val="0"/>
      <w:marRight w:val="0"/>
      <w:marTop w:val="0"/>
      <w:marBottom w:val="0"/>
      <w:divBdr>
        <w:top w:val="none" w:sz="0" w:space="0" w:color="auto"/>
        <w:left w:val="none" w:sz="0" w:space="0" w:color="auto"/>
        <w:bottom w:val="none" w:sz="0" w:space="0" w:color="auto"/>
        <w:right w:val="none" w:sz="0" w:space="0" w:color="auto"/>
      </w:divBdr>
    </w:div>
    <w:div w:id="463547852">
      <w:bodyDiv w:val="1"/>
      <w:marLeft w:val="0"/>
      <w:marRight w:val="0"/>
      <w:marTop w:val="0"/>
      <w:marBottom w:val="0"/>
      <w:divBdr>
        <w:top w:val="none" w:sz="0" w:space="0" w:color="auto"/>
        <w:left w:val="none" w:sz="0" w:space="0" w:color="auto"/>
        <w:bottom w:val="none" w:sz="0" w:space="0" w:color="auto"/>
        <w:right w:val="none" w:sz="0" w:space="0" w:color="auto"/>
      </w:divBdr>
    </w:div>
    <w:div w:id="465049830">
      <w:bodyDiv w:val="1"/>
      <w:marLeft w:val="0"/>
      <w:marRight w:val="0"/>
      <w:marTop w:val="0"/>
      <w:marBottom w:val="0"/>
      <w:divBdr>
        <w:top w:val="none" w:sz="0" w:space="0" w:color="auto"/>
        <w:left w:val="none" w:sz="0" w:space="0" w:color="auto"/>
        <w:bottom w:val="none" w:sz="0" w:space="0" w:color="auto"/>
        <w:right w:val="none" w:sz="0" w:space="0" w:color="auto"/>
      </w:divBdr>
    </w:div>
    <w:div w:id="465203327">
      <w:bodyDiv w:val="1"/>
      <w:marLeft w:val="0"/>
      <w:marRight w:val="0"/>
      <w:marTop w:val="0"/>
      <w:marBottom w:val="0"/>
      <w:divBdr>
        <w:top w:val="none" w:sz="0" w:space="0" w:color="auto"/>
        <w:left w:val="none" w:sz="0" w:space="0" w:color="auto"/>
        <w:bottom w:val="none" w:sz="0" w:space="0" w:color="auto"/>
        <w:right w:val="none" w:sz="0" w:space="0" w:color="auto"/>
      </w:divBdr>
    </w:div>
    <w:div w:id="465240434">
      <w:bodyDiv w:val="1"/>
      <w:marLeft w:val="0"/>
      <w:marRight w:val="0"/>
      <w:marTop w:val="0"/>
      <w:marBottom w:val="0"/>
      <w:divBdr>
        <w:top w:val="none" w:sz="0" w:space="0" w:color="auto"/>
        <w:left w:val="none" w:sz="0" w:space="0" w:color="auto"/>
        <w:bottom w:val="none" w:sz="0" w:space="0" w:color="auto"/>
        <w:right w:val="none" w:sz="0" w:space="0" w:color="auto"/>
      </w:divBdr>
    </w:div>
    <w:div w:id="465898705">
      <w:bodyDiv w:val="1"/>
      <w:marLeft w:val="0"/>
      <w:marRight w:val="0"/>
      <w:marTop w:val="0"/>
      <w:marBottom w:val="0"/>
      <w:divBdr>
        <w:top w:val="none" w:sz="0" w:space="0" w:color="auto"/>
        <w:left w:val="none" w:sz="0" w:space="0" w:color="auto"/>
        <w:bottom w:val="none" w:sz="0" w:space="0" w:color="auto"/>
        <w:right w:val="none" w:sz="0" w:space="0" w:color="auto"/>
      </w:divBdr>
    </w:div>
    <w:div w:id="466092236">
      <w:bodyDiv w:val="1"/>
      <w:marLeft w:val="0"/>
      <w:marRight w:val="0"/>
      <w:marTop w:val="0"/>
      <w:marBottom w:val="0"/>
      <w:divBdr>
        <w:top w:val="none" w:sz="0" w:space="0" w:color="auto"/>
        <w:left w:val="none" w:sz="0" w:space="0" w:color="auto"/>
        <w:bottom w:val="none" w:sz="0" w:space="0" w:color="auto"/>
        <w:right w:val="none" w:sz="0" w:space="0" w:color="auto"/>
      </w:divBdr>
    </w:div>
    <w:div w:id="466440252">
      <w:bodyDiv w:val="1"/>
      <w:marLeft w:val="0"/>
      <w:marRight w:val="0"/>
      <w:marTop w:val="0"/>
      <w:marBottom w:val="0"/>
      <w:divBdr>
        <w:top w:val="none" w:sz="0" w:space="0" w:color="auto"/>
        <w:left w:val="none" w:sz="0" w:space="0" w:color="auto"/>
        <w:bottom w:val="none" w:sz="0" w:space="0" w:color="auto"/>
        <w:right w:val="none" w:sz="0" w:space="0" w:color="auto"/>
      </w:divBdr>
    </w:div>
    <w:div w:id="468210554">
      <w:bodyDiv w:val="1"/>
      <w:marLeft w:val="0"/>
      <w:marRight w:val="0"/>
      <w:marTop w:val="0"/>
      <w:marBottom w:val="0"/>
      <w:divBdr>
        <w:top w:val="none" w:sz="0" w:space="0" w:color="auto"/>
        <w:left w:val="none" w:sz="0" w:space="0" w:color="auto"/>
        <w:bottom w:val="none" w:sz="0" w:space="0" w:color="auto"/>
        <w:right w:val="none" w:sz="0" w:space="0" w:color="auto"/>
      </w:divBdr>
    </w:div>
    <w:div w:id="469173646">
      <w:bodyDiv w:val="1"/>
      <w:marLeft w:val="0"/>
      <w:marRight w:val="0"/>
      <w:marTop w:val="0"/>
      <w:marBottom w:val="0"/>
      <w:divBdr>
        <w:top w:val="none" w:sz="0" w:space="0" w:color="auto"/>
        <w:left w:val="none" w:sz="0" w:space="0" w:color="auto"/>
        <w:bottom w:val="none" w:sz="0" w:space="0" w:color="auto"/>
        <w:right w:val="none" w:sz="0" w:space="0" w:color="auto"/>
      </w:divBdr>
    </w:div>
    <w:div w:id="469516998">
      <w:bodyDiv w:val="1"/>
      <w:marLeft w:val="0"/>
      <w:marRight w:val="0"/>
      <w:marTop w:val="0"/>
      <w:marBottom w:val="0"/>
      <w:divBdr>
        <w:top w:val="none" w:sz="0" w:space="0" w:color="auto"/>
        <w:left w:val="none" w:sz="0" w:space="0" w:color="auto"/>
        <w:bottom w:val="none" w:sz="0" w:space="0" w:color="auto"/>
        <w:right w:val="none" w:sz="0" w:space="0" w:color="auto"/>
      </w:divBdr>
    </w:div>
    <w:div w:id="469591503">
      <w:bodyDiv w:val="1"/>
      <w:marLeft w:val="0"/>
      <w:marRight w:val="0"/>
      <w:marTop w:val="0"/>
      <w:marBottom w:val="0"/>
      <w:divBdr>
        <w:top w:val="none" w:sz="0" w:space="0" w:color="auto"/>
        <w:left w:val="none" w:sz="0" w:space="0" w:color="auto"/>
        <w:bottom w:val="none" w:sz="0" w:space="0" w:color="auto"/>
        <w:right w:val="none" w:sz="0" w:space="0" w:color="auto"/>
      </w:divBdr>
    </w:div>
    <w:div w:id="469786892">
      <w:bodyDiv w:val="1"/>
      <w:marLeft w:val="0"/>
      <w:marRight w:val="0"/>
      <w:marTop w:val="0"/>
      <w:marBottom w:val="0"/>
      <w:divBdr>
        <w:top w:val="none" w:sz="0" w:space="0" w:color="auto"/>
        <w:left w:val="none" w:sz="0" w:space="0" w:color="auto"/>
        <w:bottom w:val="none" w:sz="0" w:space="0" w:color="auto"/>
        <w:right w:val="none" w:sz="0" w:space="0" w:color="auto"/>
      </w:divBdr>
    </w:div>
    <w:div w:id="470098728">
      <w:bodyDiv w:val="1"/>
      <w:marLeft w:val="0"/>
      <w:marRight w:val="0"/>
      <w:marTop w:val="0"/>
      <w:marBottom w:val="0"/>
      <w:divBdr>
        <w:top w:val="none" w:sz="0" w:space="0" w:color="auto"/>
        <w:left w:val="none" w:sz="0" w:space="0" w:color="auto"/>
        <w:bottom w:val="none" w:sz="0" w:space="0" w:color="auto"/>
        <w:right w:val="none" w:sz="0" w:space="0" w:color="auto"/>
      </w:divBdr>
    </w:div>
    <w:div w:id="470177354">
      <w:bodyDiv w:val="1"/>
      <w:marLeft w:val="0"/>
      <w:marRight w:val="0"/>
      <w:marTop w:val="0"/>
      <w:marBottom w:val="0"/>
      <w:divBdr>
        <w:top w:val="none" w:sz="0" w:space="0" w:color="auto"/>
        <w:left w:val="none" w:sz="0" w:space="0" w:color="auto"/>
        <w:bottom w:val="none" w:sz="0" w:space="0" w:color="auto"/>
        <w:right w:val="none" w:sz="0" w:space="0" w:color="auto"/>
      </w:divBdr>
    </w:div>
    <w:div w:id="470825167">
      <w:bodyDiv w:val="1"/>
      <w:marLeft w:val="0"/>
      <w:marRight w:val="0"/>
      <w:marTop w:val="0"/>
      <w:marBottom w:val="0"/>
      <w:divBdr>
        <w:top w:val="none" w:sz="0" w:space="0" w:color="auto"/>
        <w:left w:val="none" w:sz="0" w:space="0" w:color="auto"/>
        <w:bottom w:val="none" w:sz="0" w:space="0" w:color="auto"/>
        <w:right w:val="none" w:sz="0" w:space="0" w:color="auto"/>
      </w:divBdr>
    </w:div>
    <w:div w:id="471018032">
      <w:bodyDiv w:val="1"/>
      <w:marLeft w:val="0"/>
      <w:marRight w:val="0"/>
      <w:marTop w:val="0"/>
      <w:marBottom w:val="0"/>
      <w:divBdr>
        <w:top w:val="none" w:sz="0" w:space="0" w:color="auto"/>
        <w:left w:val="none" w:sz="0" w:space="0" w:color="auto"/>
        <w:bottom w:val="none" w:sz="0" w:space="0" w:color="auto"/>
        <w:right w:val="none" w:sz="0" w:space="0" w:color="auto"/>
      </w:divBdr>
    </w:div>
    <w:div w:id="471335224">
      <w:bodyDiv w:val="1"/>
      <w:marLeft w:val="0"/>
      <w:marRight w:val="0"/>
      <w:marTop w:val="0"/>
      <w:marBottom w:val="0"/>
      <w:divBdr>
        <w:top w:val="none" w:sz="0" w:space="0" w:color="auto"/>
        <w:left w:val="none" w:sz="0" w:space="0" w:color="auto"/>
        <w:bottom w:val="none" w:sz="0" w:space="0" w:color="auto"/>
        <w:right w:val="none" w:sz="0" w:space="0" w:color="auto"/>
      </w:divBdr>
    </w:div>
    <w:div w:id="472481033">
      <w:bodyDiv w:val="1"/>
      <w:marLeft w:val="0"/>
      <w:marRight w:val="0"/>
      <w:marTop w:val="0"/>
      <w:marBottom w:val="0"/>
      <w:divBdr>
        <w:top w:val="none" w:sz="0" w:space="0" w:color="auto"/>
        <w:left w:val="none" w:sz="0" w:space="0" w:color="auto"/>
        <w:bottom w:val="none" w:sz="0" w:space="0" w:color="auto"/>
        <w:right w:val="none" w:sz="0" w:space="0" w:color="auto"/>
      </w:divBdr>
    </w:div>
    <w:div w:id="472673832">
      <w:bodyDiv w:val="1"/>
      <w:marLeft w:val="0"/>
      <w:marRight w:val="0"/>
      <w:marTop w:val="0"/>
      <w:marBottom w:val="0"/>
      <w:divBdr>
        <w:top w:val="none" w:sz="0" w:space="0" w:color="auto"/>
        <w:left w:val="none" w:sz="0" w:space="0" w:color="auto"/>
        <w:bottom w:val="none" w:sz="0" w:space="0" w:color="auto"/>
        <w:right w:val="none" w:sz="0" w:space="0" w:color="auto"/>
      </w:divBdr>
    </w:div>
    <w:div w:id="473067271">
      <w:bodyDiv w:val="1"/>
      <w:marLeft w:val="0"/>
      <w:marRight w:val="0"/>
      <w:marTop w:val="0"/>
      <w:marBottom w:val="0"/>
      <w:divBdr>
        <w:top w:val="none" w:sz="0" w:space="0" w:color="auto"/>
        <w:left w:val="none" w:sz="0" w:space="0" w:color="auto"/>
        <w:bottom w:val="none" w:sz="0" w:space="0" w:color="auto"/>
        <w:right w:val="none" w:sz="0" w:space="0" w:color="auto"/>
      </w:divBdr>
    </w:div>
    <w:div w:id="473108847">
      <w:bodyDiv w:val="1"/>
      <w:marLeft w:val="0"/>
      <w:marRight w:val="0"/>
      <w:marTop w:val="0"/>
      <w:marBottom w:val="0"/>
      <w:divBdr>
        <w:top w:val="none" w:sz="0" w:space="0" w:color="auto"/>
        <w:left w:val="none" w:sz="0" w:space="0" w:color="auto"/>
        <w:bottom w:val="none" w:sz="0" w:space="0" w:color="auto"/>
        <w:right w:val="none" w:sz="0" w:space="0" w:color="auto"/>
      </w:divBdr>
    </w:div>
    <w:div w:id="473379318">
      <w:bodyDiv w:val="1"/>
      <w:marLeft w:val="0"/>
      <w:marRight w:val="0"/>
      <w:marTop w:val="0"/>
      <w:marBottom w:val="0"/>
      <w:divBdr>
        <w:top w:val="none" w:sz="0" w:space="0" w:color="auto"/>
        <w:left w:val="none" w:sz="0" w:space="0" w:color="auto"/>
        <w:bottom w:val="none" w:sz="0" w:space="0" w:color="auto"/>
        <w:right w:val="none" w:sz="0" w:space="0" w:color="auto"/>
      </w:divBdr>
    </w:div>
    <w:div w:id="473987745">
      <w:bodyDiv w:val="1"/>
      <w:marLeft w:val="0"/>
      <w:marRight w:val="0"/>
      <w:marTop w:val="0"/>
      <w:marBottom w:val="0"/>
      <w:divBdr>
        <w:top w:val="none" w:sz="0" w:space="0" w:color="auto"/>
        <w:left w:val="none" w:sz="0" w:space="0" w:color="auto"/>
        <w:bottom w:val="none" w:sz="0" w:space="0" w:color="auto"/>
        <w:right w:val="none" w:sz="0" w:space="0" w:color="auto"/>
      </w:divBdr>
    </w:div>
    <w:div w:id="475949695">
      <w:bodyDiv w:val="1"/>
      <w:marLeft w:val="0"/>
      <w:marRight w:val="0"/>
      <w:marTop w:val="0"/>
      <w:marBottom w:val="0"/>
      <w:divBdr>
        <w:top w:val="none" w:sz="0" w:space="0" w:color="auto"/>
        <w:left w:val="none" w:sz="0" w:space="0" w:color="auto"/>
        <w:bottom w:val="none" w:sz="0" w:space="0" w:color="auto"/>
        <w:right w:val="none" w:sz="0" w:space="0" w:color="auto"/>
      </w:divBdr>
    </w:div>
    <w:div w:id="477186269">
      <w:bodyDiv w:val="1"/>
      <w:marLeft w:val="0"/>
      <w:marRight w:val="0"/>
      <w:marTop w:val="0"/>
      <w:marBottom w:val="0"/>
      <w:divBdr>
        <w:top w:val="none" w:sz="0" w:space="0" w:color="auto"/>
        <w:left w:val="none" w:sz="0" w:space="0" w:color="auto"/>
        <w:bottom w:val="none" w:sz="0" w:space="0" w:color="auto"/>
        <w:right w:val="none" w:sz="0" w:space="0" w:color="auto"/>
      </w:divBdr>
    </w:div>
    <w:div w:id="477301903">
      <w:bodyDiv w:val="1"/>
      <w:marLeft w:val="0"/>
      <w:marRight w:val="0"/>
      <w:marTop w:val="0"/>
      <w:marBottom w:val="0"/>
      <w:divBdr>
        <w:top w:val="none" w:sz="0" w:space="0" w:color="auto"/>
        <w:left w:val="none" w:sz="0" w:space="0" w:color="auto"/>
        <w:bottom w:val="none" w:sz="0" w:space="0" w:color="auto"/>
        <w:right w:val="none" w:sz="0" w:space="0" w:color="auto"/>
      </w:divBdr>
    </w:div>
    <w:div w:id="477308310">
      <w:bodyDiv w:val="1"/>
      <w:marLeft w:val="0"/>
      <w:marRight w:val="0"/>
      <w:marTop w:val="0"/>
      <w:marBottom w:val="0"/>
      <w:divBdr>
        <w:top w:val="none" w:sz="0" w:space="0" w:color="auto"/>
        <w:left w:val="none" w:sz="0" w:space="0" w:color="auto"/>
        <w:bottom w:val="none" w:sz="0" w:space="0" w:color="auto"/>
        <w:right w:val="none" w:sz="0" w:space="0" w:color="auto"/>
      </w:divBdr>
    </w:div>
    <w:div w:id="477959886">
      <w:bodyDiv w:val="1"/>
      <w:marLeft w:val="0"/>
      <w:marRight w:val="0"/>
      <w:marTop w:val="0"/>
      <w:marBottom w:val="0"/>
      <w:divBdr>
        <w:top w:val="none" w:sz="0" w:space="0" w:color="auto"/>
        <w:left w:val="none" w:sz="0" w:space="0" w:color="auto"/>
        <w:bottom w:val="none" w:sz="0" w:space="0" w:color="auto"/>
        <w:right w:val="none" w:sz="0" w:space="0" w:color="auto"/>
      </w:divBdr>
    </w:div>
    <w:div w:id="477962389">
      <w:bodyDiv w:val="1"/>
      <w:marLeft w:val="0"/>
      <w:marRight w:val="0"/>
      <w:marTop w:val="0"/>
      <w:marBottom w:val="0"/>
      <w:divBdr>
        <w:top w:val="none" w:sz="0" w:space="0" w:color="auto"/>
        <w:left w:val="none" w:sz="0" w:space="0" w:color="auto"/>
        <w:bottom w:val="none" w:sz="0" w:space="0" w:color="auto"/>
        <w:right w:val="none" w:sz="0" w:space="0" w:color="auto"/>
      </w:divBdr>
    </w:div>
    <w:div w:id="481194970">
      <w:bodyDiv w:val="1"/>
      <w:marLeft w:val="0"/>
      <w:marRight w:val="0"/>
      <w:marTop w:val="0"/>
      <w:marBottom w:val="0"/>
      <w:divBdr>
        <w:top w:val="none" w:sz="0" w:space="0" w:color="auto"/>
        <w:left w:val="none" w:sz="0" w:space="0" w:color="auto"/>
        <w:bottom w:val="none" w:sz="0" w:space="0" w:color="auto"/>
        <w:right w:val="none" w:sz="0" w:space="0" w:color="auto"/>
      </w:divBdr>
    </w:div>
    <w:div w:id="481895214">
      <w:bodyDiv w:val="1"/>
      <w:marLeft w:val="0"/>
      <w:marRight w:val="0"/>
      <w:marTop w:val="0"/>
      <w:marBottom w:val="0"/>
      <w:divBdr>
        <w:top w:val="none" w:sz="0" w:space="0" w:color="auto"/>
        <w:left w:val="none" w:sz="0" w:space="0" w:color="auto"/>
        <w:bottom w:val="none" w:sz="0" w:space="0" w:color="auto"/>
        <w:right w:val="none" w:sz="0" w:space="0" w:color="auto"/>
      </w:divBdr>
    </w:div>
    <w:div w:id="482429445">
      <w:bodyDiv w:val="1"/>
      <w:marLeft w:val="0"/>
      <w:marRight w:val="0"/>
      <w:marTop w:val="0"/>
      <w:marBottom w:val="0"/>
      <w:divBdr>
        <w:top w:val="none" w:sz="0" w:space="0" w:color="auto"/>
        <w:left w:val="none" w:sz="0" w:space="0" w:color="auto"/>
        <w:bottom w:val="none" w:sz="0" w:space="0" w:color="auto"/>
        <w:right w:val="none" w:sz="0" w:space="0" w:color="auto"/>
      </w:divBdr>
    </w:div>
    <w:div w:id="483358471">
      <w:bodyDiv w:val="1"/>
      <w:marLeft w:val="0"/>
      <w:marRight w:val="0"/>
      <w:marTop w:val="0"/>
      <w:marBottom w:val="0"/>
      <w:divBdr>
        <w:top w:val="none" w:sz="0" w:space="0" w:color="auto"/>
        <w:left w:val="none" w:sz="0" w:space="0" w:color="auto"/>
        <w:bottom w:val="none" w:sz="0" w:space="0" w:color="auto"/>
        <w:right w:val="none" w:sz="0" w:space="0" w:color="auto"/>
      </w:divBdr>
    </w:div>
    <w:div w:id="484124654">
      <w:bodyDiv w:val="1"/>
      <w:marLeft w:val="0"/>
      <w:marRight w:val="0"/>
      <w:marTop w:val="0"/>
      <w:marBottom w:val="0"/>
      <w:divBdr>
        <w:top w:val="none" w:sz="0" w:space="0" w:color="auto"/>
        <w:left w:val="none" w:sz="0" w:space="0" w:color="auto"/>
        <w:bottom w:val="none" w:sz="0" w:space="0" w:color="auto"/>
        <w:right w:val="none" w:sz="0" w:space="0" w:color="auto"/>
      </w:divBdr>
    </w:div>
    <w:div w:id="485246754">
      <w:bodyDiv w:val="1"/>
      <w:marLeft w:val="0"/>
      <w:marRight w:val="0"/>
      <w:marTop w:val="0"/>
      <w:marBottom w:val="0"/>
      <w:divBdr>
        <w:top w:val="none" w:sz="0" w:space="0" w:color="auto"/>
        <w:left w:val="none" w:sz="0" w:space="0" w:color="auto"/>
        <w:bottom w:val="none" w:sz="0" w:space="0" w:color="auto"/>
        <w:right w:val="none" w:sz="0" w:space="0" w:color="auto"/>
      </w:divBdr>
    </w:div>
    <w:div w:id="485440834">
      <w:bodyDiv w:val="1"/>
      <w:marLeft w:val="0"/>
      <w:marRight w:val="0"/>
      <w:marTop w:val="0"/>
      <w:marBottom w:val="0"/>
      <w:divBdr>
        <w:top w:val="none" w:sz="0" w:space="0" w:color="auto"/>
        <w:left w:val="none" w:sz="0" w:space="0" w:color="auto"/>
        <w:bottom w:val="none" w:sz="0" w:space="0" w:color="auto"/>
        <w:right w:val="none" w:sz="0" w:space="0" w:color="auto"/>
      </w:divBdr>
    </w:div>
    <w:div w:id="485779355">
      <w:bodyDiv w:val="1"/>
      <w:marLeft w:val="0"/>
      <w:marRight w:val="0"/>
      <w:marTop w:val="0"/>
      <w:marBottom w:val="0"/>
      <w:divBdr>
        <w:top w:val="none" w:sz="0" w:space="0" w:color="auto"/>
        <w:left w:val="none" w:sz="0" w:space="0" w:color="auto"/>
        <w:bottom w:val="none" w:sz="0" w:space="0" w:color="auto"/>
        <w:right w:val="none" w:sz="0" w:space="0" w:color="auto"/>
      </w:divBdr>
    </w:div>
    <w:div w:id="486282777">
      <w:bodyDiv w:val="1"/>
      <w:marLeft w:val="0"/>
      <w:marRight w:val="0"/>
      <w:marTop w:val="0"/>
      <w:marBottom w:val="0"/>
      <w:divBdr>
        <w:top w:val="none" w:sz="0" w:space="0" w:color="auto"/>
        <w:left w:val="none" w:sz="0" w:space="0" w:color="auto"/>
        <w:bottom w:val="none" w:sz="0" w:space="0" w:color="auto"/>
        <w:right w:val="none" w:sz="0" w:space="0" w:color="auto"/>
      </w:divBdr>
    </w:div>
    <w:div w:id="487064283">
      <w:bodyDiv w:val="1"/>
      <w:marLeft w:val="0"/>
      <w:marRight w:val="0"/>
      <w:marTop w:val="0"/>
      <w:marBottom w:val="0"/>
      <w:divBdr>
        <w:top w:val="none" w:sz="0" w:space="0" w:color="auto"/>
        <w:left w:val="none" w:sz="0" w:space="0" w:color="auto"/>
        <w:bottom w:val="none" w:sz="0" w:space="0" w:color="auto"/>
        <w:right w:val="none" w:sz="0" w:space="0" w:color="auto"/>
      </w:divBdr>
    </w:div>
    <w:div w:id="487600042">
      <w:bodyDiv w:val="1"/>
      <w:marLeft w:val="0"/>
      <w:marRight w:val="0"/>
      <w:marTop w:val="0"/>
      <w:marBottom w:val="0"/>
      <w:divBdr>
        <w:top w:val="none" w:sz="0" w:space="0" w:color="auto"/>
        <w:left w:val="none" w:sz="0" w:space="0" w:color="auto"/>
        <w:bottom w:val="none" w:sz="0" w:space="0" w:color="auto"/>
        <w:right w:val="none" w:sz="0" w:space="0" w:color="auto"/>
      </w:divBdr>
    </w:div>
    <w:div w:id="488130266">
      <w:bodyDiv w:val="1"/>
      <w:marLeft w:val="0"/>
      <w:marRight w:val="0"/>
      <w:marTop w:val="0"/>
      <w:marBottom w:val="0"/>
      <w:divBdr>
        <w:top w:val="none" w:sz="0" w:space="0" w:color="auto"/>
        <w:left w:val="none" w:sz="0" w:space="0" w:color="auto"/>
        <w:bottom w:val="none" w:sz="0" w:space="0" w:color="auto"/>
        <w:right w:val="none" w:sz="0" w:space="0" w:color="auto"/>
      </w:divBdr>
    </w:div>
    <w:div w:id="489175323">
      <w:bodyDiv w:val="1"/>
      <w:marLeft w:val="0"/>
      <w:marRight w:val="0"/>
      <w:marTop w:val="0"/>
      <w:marBottom w:val="0"/>
      <w:divBdr>
        <w:top w:val="none" w:sz="0" w:space="0" w:color="auto"/>
        <w:left w:val="none" w:sz="0" w:space="0" w:color="auto"/>
        <w:bottom w:val="none" w:sz="0" w:space="0" w:color="auto"/>
        <w:right w:val="none" w:sz="0" w:space="0" w:color="auto"/>
      </w:divBdr>
    </w:div>
    <w:div w:id="490873255">
      <w:bodyDiv w:val="1"/>
      <w:marLeft w:val="0"/>
      <w:marRight w:val="0"/>
      <w:marTop w:val="0"/>
      <w:marBottom w:val="0"/>
      <w:divBdr>
        <w:top w:val="none" w:sz="0" w:space="0" w:color="auto"/>
        <w:left w:val="none" w:sz="0" w:space="0" w:color="auto"/>
        <w:bottom w:val="none" w:sz="0" w:space="0" w:color="auto"/>
        <w:right w:val="none" w:sz="0" w:space="0" w:color="auto"/>
      </w:divBdr>
    </w:div>
    <w:div w:id="491071341">
      <w:bodyDiv w:val="1"/>
      <w:marLeft w:val="0"/>
      <w:marRight w:val="0"/>
      <w:marTop w:val="0"/>
      <w:marBottom w:val="0"/>
      <w:divBdr>
        <w:top w:val="none" w:sz="0" w:space="0" w:color="auto"/>
        <w:left w:val="none" w:sz="0" w:space="0" w:color="auto"/>
        <w:bottom w:val="none" w:sz="0" w:space="0" w:color="auto"/>
        <w:right w:val="none" w:sz="0" w:space="0" w:color="auto"/>
      </w:divBdr>
    </w:div>
    <w:div w:id="491147287">
      <w:bodyDiv w:val="1"/>
      <w:marLeft w:val="0"/>
      <w:marRight w:val="0"/>
      <w:marTop w:val="0"/>
      <w:marBottom w:val="0"/>
      <w:divBdr>
        <w:top w:val="none" w:sz="0" w:space="0" w:color="auto"/>
        <w:left w:val="none" w:sz="0" w:space="0" w:color="auto"/>
        <w:bottom w:val="none" w:sz="0" w:space="0" w:color="auto"/>
        <w:right w:val="none" w:sz="0" w:space="0" w:color="auto"/>
      </w:divBdr>
    </w:div>
    <w:div w:id="491409677">
      <w:bodyDiv w:val="1"/>
      <w:marLeft w:val="0"/>
      <w:marRight w:val="0"/>
      <w:marTop w:val="0"/>
      <w:marBottom w:val="0"/>
      <w:divBdr>
        <w:top w:val="none" w:sz="0" w:space="0" w:color="auto"/>
        <w:left w:val="none" w:sz="0" w:space="0" w:color="auto"/>
        <w:bottom w:val="none" w:sz="0" w:space="0" w:color="auto"/>
        <w:right w:val="none" w:sz="0" w:space="0" w:color="auto"/>
      </w:divBdr>
    </w:div>
    <w:div w:id="491524561">
      <w:bodyDiv w:val="1"/>
      <w:marLeft w:val="0"/>
      <w:marRight w:val="0"/>
      <w:marTop w:val="0"/>
      <w:marBottom w:val="0"/>
      <w:divBdr>
        <w:top w:val="none" w:sz="0" w:space="0" w:color="auto"/>
        <w:left w:val="none" w:sz="0" w:space="0" w:color="auto"/>
        <w:bottom w:val="none" w:sz="0" w:space="0" w:color="auto"/>
        <w:right w:val="none" w:sz="0" w:space="0" w:color="auto"/>
      </w:divBdr>
    </w:div>
    <w:div w:id="492138329">
      <w:bodyDiv w:val="1"/>
      <w:marLeft w:val="0"/>
      <w:marRight w:val="0"/>
      <w:marTop w:val="0"/>
      <w:marBottom w:val="0"/>
      <w:divBdr>
        <w:top w:val="none" w:sz="0" w:space="0" w:color="auto"/>
        <w:left w:val="none" w:sz="0" w:space="0" w:color="auto"/>
        <w:bottom w:val="none" w:sz="0" w:space="0" w:color="auto"/>
        <w:right w:val="none" w:sz="0" w:space="0" w:color="auto"/>
      </w:divBdr>
    </w:div>
    <w:div w:id="492451984">
      <w:bodyDiv w:val="1"/>
      <w:marLeft w:val="0"/>
      <w:marRight w:val="0"/>
      <w:marTop w:val="0"/>
      <w:marBottom w:val="0"/>
      <w:divBdr>
        <w:top w:val="none" w:sz="0" w:space="0" w:color="auto"/>
        <w:left w:val="none" w:sz="0" w:space="0" w:color="auto"/>
        <w:bottom w:val="none" w:sz="0" w:space="0" w:color="auto"/>
        <w:right w:val="none" w:sz="0" w:space="0" w:color="auto"/>
      </w:divBdr>
    </w:div>
    <w:div w:id="492642467">
      <w:bodyDiv w:val="1"/>
      <w:marLeft w:val="0"/>
      <w:marRight w:val="0"/>
      <w:marTop w:val="0"/>
      <w:marBottom w:val="0"/>
      <w:divBdr>
        <w:top w:val="none" w:sz="0" w:space="0" w:color="auto"/>
        <w:left w:val="none" w:sz="0" w:space="0" w:color="auto"/>
        <w:bottom w:val="none" w:sz="0" w:space="0" w:color="auto"/>
        <w:right w:val="none" w:sz="0" w:space="0" w:color="auto"/>
      </w:divBdr>
    </w:div>
    <w:div w:id="492717709">
      <w:bodyDiv w:val="1"/>
      <w:marLeft w:val="0"/>
      <w:marRight w:val="0"/>
      <w:marTop w:val="0"/>
      <w:marBottom w:val="0"/>
      <w:divBdr>
        <w:top w:val="none" w:sz="0" w:space="0" w:color="auto"/>
        <w:left w:val="none" w:sz="0" w:space="0" w:color="auto"/>
        <w:bottom w:val="none" w:sz="0" w:space="0" w:color="auto"/>
        <w:right w:val="none" w:sz="0" w:space="0" w:color="auto"/>
      </w:divBdr>
    </w:div>
    <w:div w:id="493693016">
      <w:bodyDiv w:val="1"/>
      <w:marLeft w:val="0"/>
      <w:marRight w:val="0"/>
      <w:marTop w:val="0"/>
      <w:marBottom w:val="0"/>
      <w:divBdr>
        <w:top w:val="none" w:sz="0" w:space="0" w:color="auto"/>
        <w:left w:val="none" w:sz="0" w:space="0" w:color="auto"/>
        <w:bottom w:val="none" w:sz="0" w:space="0" w:color="auto"/>
        <w:right w:val="none" w:sz="0" w:space="0" w:color="auto"/>
      </w:divBdr>
    </w:div>
    <w:div w:id="494614677">
      <w:bodyDiv w:val="1"/>
      <w:marLeft w:val="0"/>
      <w:marRight w:val="0"/>
      <w:marTop w:val="0"/>
      <w:marBottom w:val="0"/>
      <w:divBdr>
        <w:top w:val="none" w:sz="0" w:space="0" w:color="auto"/>
        <w:left w:val="none" w:sz="0" w:space="0" w:color="auto"/>
        <w:bottom w:val="none" w:sz="0" w:space="0" w:color="auto"/>
        <w:right w:val="none" w:sz="0" w:space="0" w:color="auto"/>
      </w:divBdr>
    </w:div>
    <w:div w:id="494808467">
      <w:bodyDiv w:val="1"/>
      <w:marLeft w:val="0"/>
      <w:marRight w:val="0"/>
      <w:marTop w:val="0"/>
      <w:marBottom w:val="0"/>
      <w:divBdr>
        <w:top w:val="none" w:sz="0" w:space="0" w:color="auto"/>
        <w:left w:val="none" w:sz="0" w:space="0" w:color="auto"/>
        <w:bottom w:val="none" w:sz="0" w:space="0" w:color="auto"/>
        <w:right w:val="none" w:sz="0" w:space="0" w:color="auto"/>
      </w:divBdr>
    </w:div>
    <w:div w:id="495152938">
      <w:bodyDiv w:val="1"/>
      <w:marLeft w:val="0"/>
      <w:marRight w:val="0"/>
      <w:marTop w:val="0"/>
      <w:marBottom w:val="0"/>
      <w:divBdr>
        <w:top w:val="none" w:sz="0" w:space="0" w:color="auto"/>
        <w:left w:val="none" w:sz="0" w:space="0" w:color="auto"/>
        <w:bottom w:val="none" w:sz="0" w:space="0" w:color="auto"/>
        <w:right w:val="none" w:sz="0" w:space="0" w:color="auto"/>
      </w:divBdr>
    </w:div>
    <w:div w:id="495196199">
      <w:bodyDiv w:val="1"/>
      <w:marLeft w:val="0"/>
      <w:marRight w:val="0"/>
      <w:marTop w:val="0"/>
      <w:marBottom w:val="0"/>
      <w:divBdr>
        <w:top w:val="none" w:sz="0" w:space="0" w:color="auto"/>
        <w:left w:val="none" w:sz="0" w:space="0" w:color="auto"/>
        <w:bottom w:val="none" w:sz="0" w:space="0" w:color="auto"/>
        <w:right w:val="none" w:sz="0" w:space="0" w:color="auto"/>
      </w:divBdr>
    </w:div>
    <w:div w:id="495613712">
      <w:bodyDiv w:val="1"/>
      <w:marLeft w:val="0"/>
      <w:marRight w:val="0"/>
      <w:marTop w:val="0"/>
      <w:marBottom w:val="0"/>
      <w:divBdr>
        <w:top w:val="none" w:sz="0" w:space="0" w:color="auto"/>
        <w:left w:val="none" w:sz="0" w:space="0" w:color="auto"/>
        <w:bottom w:val="none" w:sz="0" w:space="0" w:color="auto"/>
        <w:right w:val="none" w:sz="0" w:space="0" w:color="auto"/>
      </w:divBdr>
    </w:div>
    <w:div w:id="495727771">
      <w:bodyDiv w:val="1"/>
      <w:marLeft w:val="0"/>
      <w:marRight w:val="0"/>
      <w:marTop w:val="0"/>
      <w:marBottom w:val="0"/>
      <w:divBdr>
        <w:top w:val="none" w:sz="0" w:space="0" w:color="auto"/>
        <w:left w:val="none" w:sz="0" w:space="0" w:color="auto"/>
        <w:bottom w:val="none" w:sz="0" w:space="0" w:color="auto"/>
        <w:right w:val="none" w:sz="0" w:space="0" w:color="auto"/>
      </w:divBdr>
    </w:div>
    <w:div w:id="495994135">
      <w:bodyDiv w:val="1"/>
      <w:marLeft w:val="0"/>
      <w:marRight w:val="0"/>
      <w:marTop w:val="0"/>
      <w:marBottom w:val="0"/>
      <w:divBdr>
        <w:top w:val="none" w:sz="0" w:space="0" w:color="auto"/>
        <w:left w:val="none" w:sz="0" w:space="0" w:color="auto"/>
        <w:bottom w:val="none" w:sz="0" w:space="0" w:color="auto"/>
        <w:right w:val="none" w:sz="0" w:space="0" w:color="auto"/>
      </w:divBdr>
    </w:div>
    <w:div w:id="496186943">
      <w:bodyDiv w:val="1"/>
      <w:marLeft w:val="0"/>
      <w:marRight w:val="0"/>
      <w:marTop w:val="0"/>
      <w:marBottom w:val="0"/>
      <w:divBdr>
        <w:top w:val="none" w:sz="0" w:space="0" w:color="auto"/>
        <w:left w:val="none" w:sz="0" w:space="0" w:color="auto"/>
        <w:bottom w:val="none" w:sz="0" w:space="0" w:color="auto"/>
        <w:right w:val="none" w:sz="0" w:space="0" w:color="auto"/>
      </w:divBdr>
    </w:div>
    <w:div w:id="497886914">
      <w:bodyDiv w:val="1"/>
      <w:marLeft w:val="0"/>
      <w:marRight w:val="0"/>
      <w:marTop w:val="0"/>
      <w:marBottom w:val="0"/>
      <w:divBdr>
        <w:top w:val="none" w:sz="0" w:space="0" w:color="auto"/>
        <w:left w:val="none" w:sz="0" w:space="0" w:color="auto"/>
        <w:bottom w:val="none" w:sz="0" w:space="0" w:color="auto"/>
        <w:right w:val="none" w:sz="0" w:space="0" w:color="auto"/>
      </w:divBdr>
    </w:div>
    <w:div w:id="498275790">
      <w:bodyDiv w:val="1"/>
      <w:marLeft w:val="0"/>
      <w:marRight w:val="0"/>
      <w:marTop w:val="0"/>
      <w:marBottom w:val="0"/>
      <w:divBdr>
        <w:top w:val="none" w:sz="0" w:space="0" w:color="auto"/>
        <w:left w:val="none" w:sz="0" w:space="0" w:color="auto"/>
        <w:bottom w:val="none" w:sz="0" w:space="0" w:color="auto"/>
        <w:right w:val="none" w:sz="0" w:space="0" w:color="auto"/>
      </w:divBdr>
    </w:div>
    <w:div w:id="498808977">
      <w:bodyDiv w:val="1"/>
      <w:marLeft w:val="0"/>
      <w:marRight w:val="0"/>
      <w:marTop w:val="0"/>
      <w:marBottom w:val="0"/>
      <w:divBdr>
        <w:top w:val="none" w:sz="0" w:space="0" w:color="auto"/>
        <w:left w:val="none" w:sz="0" w:space="0" w:color="auto"/>
        <w:bottom w:val="none" w:sz="0" w:space="0" w:color="auto"/>
        <w:right w:val="none" w:sz="0" w:space="0" w:color="auto"/>
      </w:divBdr>
    </w:div>
    <w:div w:id="499542060">
      <w:bodyDiv w:val="1"/>
      <w:marLeft w:val="0"/>
      <w:marRight w:val="0"/>
      <w:marTop w:val="0"/>
      <w:marBottom w:val="0"/>
      <w:divBdr>
        <w:top w:val="none" w:sz="0" w:space="0" w:color="auto"/>
        <w:left w:val="none" w:sz="0" w:space="0" w:color="auto"/>
        <w:bottom w:val="none" w:sz="0" w:space="0" w:color="auto"/>
        <w:right w:val="none" w:sz="0" w:space="0" w:color="auto"/>
      </w:divBdr>
    </w:div>
    <w:div w:id="500583371">
      <w:bodyDiv w:val="1"/>
      <w:marLeft w:val="0"/>
      <w:marRight w:val="0"/>
      <w:marTop w:val="0"/>
      <w:marBottom w:val="0"/>
      <w:divBdr>
        <w:top w:val="none" w:sz="0" w:space="0" w:color="auto"/>
        <w:left w:val="none" w:sz="0" w:space="0" w:color="auto"/>
        <w:bottom w:val="none" w:sz="0" w:space="0" w:color="auto"/>
        <w:right w:val="none" w:sz="0" w:space="0" w:color="auto"/>
      </w:divBdr>
    </w:div>
    <w:div w:id="500776767">
      <w:bodyDiv w:val="1"/>
      <w:marLeft w:val="0"/>
      <w:marRight w:val="0"/>
      <w:marTop w:val="0"/>
      <w:marBottom w:val="0"/>
      <w:divBdr>
        <w:top w:val="none" w:sz="0" w:space="0" w:color="auto"/>
        <w:left w:val="none" w:sz="0" w:space="0" w:color="auto"/>
        <w:bottom w:val="none" w:sz="0" w:space="0" w:color="auto"/>
        <w:right w:val="none" w:sz="0" w:space="0" w:color="auto"/>
      </w:divBdr>
    </w:div>
    <w:div w:id="503518729">
      <w:bodyDiv w:val="1"/>
      <w:marLeft w:val="0"/>
      <w:marRight w:val="0"/>
      <w:marTop w:val="0"/>
      <w:marBottom w:val="0"/>
      <w:divBdr>
        <w:top w:val="none" w:sz="0" w:space="0" w:color="auto"/>
        <w:left w:val="none" w:sz="0" w:space="0" w:color="auto"/>
        <w:bottom w:val="none" w:sz="0" w:space="0" w:color="auto"/>
        <w:right w:val="none" w:sz="0" w:space="0" w:color="auto"/>
      </w:divBdr>
    </w:div>
    <w:div w:id="505286033">
      <w:bodyDiv w:val="1"/>
      <w:marLeft w:val="0"/>
      <w:marRight w:val="0"/>
      <w:marTop w:val="0"/>
      <w:marBottom w:val="0"/>
      <w:divBdr>
        <w:top w:val="none" w:sz="0" w:space="0" w:color="auto"/>
        <w:left w:val="none" w:sz="0" w:space="0" w:color="auto"/>
        <w:bottom w:val="none" w:sz="0" w:space="0" w:color="auto"/>
        <w:right w:val="none" w:sz="0" w:space="0" w:color="auto"/>
      </w:divBdr>
    </w:div>
    <w:div w:id="506092332">
      <w:bodyDiv w:val="1"/>
      <w:marLeft w:val="0"/>
      <w:marRight w:val="0"/>
      <w:marTop w:val="0"/>
      <w:marBottom w:val="0"/>
      <w:divBdr>
        <w:top w:val="none" w:sz="0" w:space="0" w:color="auto"/>
        <w:left w:val="none" w:sz="0" w:space="0" w:color="auto"/>
        <w:bottom w:val="none" w:sz="0" w:space="0" w:color="auto"/>
        <w:right w:val="none" w:sz="0" w:space="0" w:color="auto"/>
      </w:divBdr>
    </w:div>
    <w:div w:id="507017537">
      <w:bodyDiv w:val="1"/>
      <w:marLeft w:val="0"/>
      <w:marRight w:val="0"/>
      <w:marTop w:val="0"/>
      <w:marBottom w:val="0"/>
      <w:divBdr>
        <w:top w:val="none" w:sz="0" w:space="0" w:color="auto"/>
        <w:left w:val="none" w:sz="0" w:space="0" w:color="auto"/>
        <w:bottom w:val="none" w:sz="0" w:space="0" w:color="auto"/>
        <w:right w:val="none" w:sz="0" w:space="0" w:color="auto"/>
      </w:divBdr>
    </w:div>
    <w:div w:id="509372445">
      <w:bodyDiv w:val="1"/>
      <w:marLeft w:val="0"/>
      <w:marRight w:val="0"/>
      <w:marTop w:val="0"/>
      <w:marBottom w:val="0"/>
      <w:divBdr>
        <w:top w:val="none" w:sz="0" w:space="0" w:color="auto"/>
        <w:left w:val="none" w:sz="0" w:space="0" w:color="auto"/>
        <w:bottom w:val="none" w:sz="0" w:space="0" w:color="auto"/>
        <w:right w:val="none" w:sz="0" w:space="0" w:color="auto"/>
      </w:divBdr>
    </w:div>
    <w:div w:id="510149347">
      <w:bodyDiv w:val="1"/>
      <w:marLeft w:val="0"/>
      <w:marRight w:val="0"/>
      <w:marTop w:val="0"/>
      <w:marBottom w:val="0"/>
      <w:divBdr>
        <w:top w:val="none" w:sz="0" w:space="0" w:color="auto"/>
        <w:left w:val="none" w:sz="0" w:space="0" w:color="auto"/>
        <w:bottom w:val="none" w:sz="0" w:space="0" w:color="auto"/>
        <w:right w:val="none" w:sz="0" w:space="0" w:color="auto"/>
      </w:divBdr>
    </w:div>
    <w:div w:id="510291800">
      <w:bodyDiv w:val="1"/>
      <w:marLeft w:val="0"/>
      <w:marRight w:val="0"/>
      <w:marTop w:val="0"/>
      <w:marBottom w:val="0"/>
      <w:divBdr>
        <w:top w:val="none" w:sz="0" w:space="0" w:color="auto"/>
        <w:left w:val="none" w:sz="0" w:space="0" w:color="auto"/>
        <w:bottom w:val="none" w:sz="0" w:space="0" w:color="auto"/>
        <w:right w:val="none" w:sz="0" w:space="0" w:color="auto"/>
      </w:divBdr>
    </w:div>
    <w:div w:id="510610096">
      <w:bodyDiv w:val="1"/>
      <w:marLeft w:val="0"/>
      <w:marRight w:val="0"/>
      <w:marTop w:val="0"/>
      <w:marBottom w:val="0"/>
      <w:divBdr>
        <w:top w:val="none" w:sz="0" w:space="0" w:color="auto"/>
        <w:left w:val="none" w:sz="0" w:space="0" w:color="auto"/>
        <w:bottom w:val="none" w:sz="0" w:space="0" w:color="auto"/>
        <w:right w:val="none" w:sz="0" w:space="0" w:color="auto"/>
      </w:divBdr>
    </w:div>
    <w:div w:id="510876949">
      <w:bodyDiv w:val="1"/>
      <w:marLeft w:val="0"/>
      <w:marRight w:val="0"/>
      <w:marTop w:val="0"/>
      <w:marBottom w:val="0"/>
      <w:divBdr>
        <w:top w:val="none" w:sz="0" w:space="0" w:color="auto"/>
        <w:left w:val="none" w:sz="0" w:space="0" w:color="auto"/>
        <w:bottom w:val="none" w:sz="0" w:space="0" w:color="auto"/>
        <w:right w:val="none" w:sz="0" w:space="0" w:color="auto"/>
      </w:divBdr>
    </w:div>
    <w:div w:id="512648189">
      <w:bodyDiv w:val="1"/>
      <w:marLeft w:val="0"/>
      <w:marRight w:val="0"/>
      <w:marTop w:val="0"/>
      <w:marBottom w:val="0"/>
      <w:divBdr>
        <w:top w:val="none" w:sz="0" w:space="0" w:color="auto"/>
        <w:left w:val="none" w:sz="0" w:space="0" w:color="auto"/>
        <w:bottom w:val="none" w:sz="0" w:space="0" w:color="auto"/>
        <w:right w:val="none" w:sz="0" w:space="0" w:color="auto"/>
      </w:divBdr>
    </w:div>
    <w:div w:id="513031326">
      <w:bodyDiv w:val="1"/>
      <w:marLeft w:val="0"/>
      <w:marRight w:val="0"/>
      <w:marTop w:val="0"/>
      <w:marBottom w:val="0"/>
      <w:divBdr>
        <w:top w:val="none" w:sz="0" w:space="0" w:color="auto"/>
        <w:left w:val="none" w:sz="0" w:space="0" w:color="auto"/>
        <w:bottom w:val="none" w:sz="0" w:space="0" w:color="auto"/>
        <w:right w:val="none" w:sz="0" w:space="0" w:color="auto"/>
      </w:divBdr>
    </w:div>
    <w:div w:id="513227619">
      <w:bodyDiv w:val="1"/>
      <w:marLeft w:val="0"/>
      <w:marRight w:val="0"/>
      <w:marTop w:val="0"/>
      <w:marBottom w:val="0"/>
      <w:divBdr>
        <w:top w:val="none" w:sz="0" w:space="0" w:color="auto"/>
        <w:left w:val="none" w:sz="0" w:space="0" w:color="auto"/>
        <w:bottom w:val="none" w:sz="0" w:space="0" w:color="auto"/>
        <w:right w:val="none" w:sz="0" w:space="0" w:color="auto"/>
      </w:divBdr>
    </w:div>
    <w:div w:id="513762561">
      <w:bodyDiv w:val="1"/>
      <w:marLeft w:val="0"/>
      <w:marRight w:val="0"/>
      <w:marTop w:val="0"/>
      <w:marBottom w:val="0"/>
      <w:divBdr>
        <w:top w:val="none" w:sz="0" w:space="0" w:color="auto"/>
        <w:left w:val="none" w:sz="0" w:space="0" w:color="auto"/>
        <w:bottom w:val="none" w:sz="0" w:space="0" w:color="auto"/>
        <w:right w:val="none" w:sz="0" w:space="0" w:color="auto"/>
      </w:divBdr>
    </w:div>
    <w:div w:id="514077861">
      <w:bodyDiv w:val="1"/>
      <w:marLeft w:val="0"/>
      <w:marRight w:val="0"/>
      <w:marTop w:val="0"/>
      <w:marBottom w:val="0"/>
      <w:divBdr>
        <w:top w:val="none" w:sz="0" w:space="0" w:color="auto"/>
        <w:left w:val="none" w:sz="0" w:space="0" w:color="auto"/>
        <w:bottom w:val="none" w:sz="0" w:space="0" w:color="auto"/>
        <w:right w:val="none" w:sz="0" w:space="0" w:color="auto"/>
      </w:divBdr>
    </w:div>
    <w:div w:id="515000098">
      <w:bodyDiv w:val="1"/>
      <w:marLeft w:val="0"/>
      <w:marRight w:val="0"/>
      <w:marTop w:val="0"/>
      <w:marBottom w:val="0"/>
      <w:divBdr>
        <w:top w:val="none" w:sz="0" w:space="0" w:color="auto"/>
        <w:left w:val="none" w:sz="0" w:space="0" w:color="auto"/>
        <w:bottom w:val="none" w:sz="0" w:space="0" w:color="auto"/>
        <w:right w:val="none" w:sz="0" w:space="0" w:color="auto"/>
      </w:divBdr>
    </w:div>
    <w:div w:id="515927321">
      <w:bodyDiv w:val="1"/>
      <w:marLeft w:val="0"/>
      <w:marRight w:val="0"/>
      <w:marTop w:val="0"/>
      <w:marBottom w:val="0"/>
      <w:divBdr>
        <w:top w:val="none" w:sz="0" w:space="0" w:color="auto"/>
        <w:left w:val="none" w:sz="0" w:space="0" w:color="auto"/>
        <w:bottom w:val="none" w:sz="0" w:space="0" w:color="auto"/>
        <w:right w:val="none" w:sz="0" w:space="0" w:color="auto"/>
      </w:divBdr>
    </w:div>
    <w:div w:id="516312071">
      <w:bodyDiv w:val="1"/>
      <w:marLeft w:val="0"/>
      <w:marRight w:val="0"/>
      <w:marTop w:val="0"/>
      <w:marBottom w:val="0"/>
      <w:divBdr>
        <w:top w:val="none" w:sz="0" w:space="0" w:color="auto"/>
        <w:left w:val="none" w:sz="0" w:space="0" w:color="auto"/>
        <w:bottom w:val="none" w:sz="0" w:space="0" w:color="auto"/>
        <w:right w:val="none" w:sz="0" w:space="0" w:color="auto"/>
      </w:divBdr>
    </w:div>
    <w:div w:id="517279850">
      <w:bodyDiv w:val="1"/>
      <w:marLeft w:val="0"/>
      <w:marRight w:val="0"/>
      <w:marTop w:val="0"/>
      <w:marBottom w:val="0"/>
      <w:divBdr>
        <w:top w:val="none" w:sz="0" w:space="0" w:color="auto"/>
        <w:left w:val="none" w:sz="0" w:space="0" w:color="auto"/>
        <w:bottom w:val="none" w:sz="0" w:space="0" w:color="auto"/>
        <w:right w:val="none" w:sz="0" w:space="0" w:color="auto"/>
      </w:divBdr>
    </w:div>
    <w:div w:id="518206063">
      <w:bodyDiv w:val="1"/>
      <w:marLeft w:val="0"/>
      <w:marRight w:val="0"/>
      <w:marTop w:val="0"/>
      <w:marBottom w:val="0"/>
      <w:divBdr>
        <w:top w:val="none" w:sz="0" w:space="0" w:color="auto"/>
        <w:left w:val="none" w:sz="0" w:space="0" w:color="auto"/>
        <w:bottom w:val="none" w:sz="0" w:space="0" w:color="auto"/>
        <w:right w:val="none" w:sz="0" w:space="0" w:color="auto"/>
      </w:divBdr>
    </w:div>
    <w:div w:id="518350200">
      <w:bodyDiv w:val="1"/>
      <w:marLeft w:val="0"/>
      <w:marRight w:val="0"/>
      <w:marTop w:val="0"/>
      <w:marBottom w:val="0"/>
      <w:divBdr>
        <w:top w:val="none" w:sz="0" w:space="0" w:color="auto"/>
        <w:left w:val="none" w:sz="0" w:space="0" w:color="auto"/>
        <w:bottom w:val="none" w:sz="0" w:space="0" w:color="auto"/>
        <w:right w:val="none" w:sz="0" w:space="0" w:color="auto"/>
      </w:divBdr>
    </w:div>
    <w:div w:id="519272041">
      <w:bodyDiv w:val="1"/>
      <w:marLeft w:val="0"/>
      <w:marRight w:val="0"/>
      <w:marTop w:val="0"/>
      <w:marBottom w:val="0"/>
      <w:divBdr>
        <w:top w:val="none" w:sz="0" w:space="0" w:color="auto"/>
        <w:left w:val="none" w:sz="0" w:space="0" w:color="auto"/>
        <w:bottom w:val="none" w:sz="0" w:space="0" w:color="auto"/>
        <w:right w:val="none" w:sz="0" w:space="0" w:color="auto"/>
      </w:divBdr>
    </w:div>
    <w:div w:id="519319887">
      <w:bodyDiv w:val="1"/>
      <w:marLeft w:val="0"/>
      <w:marRight w:val="0"/>
      <w:marTop w:val="0"/>
      <w:marBottom w:val="0"/>
      <w:divBdr>
        <w:top w:val="none" w:sz="0" w:space="0" w:color="auto"/>
        <w:left w:val="none" w:sz="0" w:space="0" w:color="auto"/>
        <w:bottom w:val="none" w:sz="0" w:space="0" w:color="auto"/>
        <w:right w:val="none" w:sz="0" w:space="0" w:color="auto"/>
      </w:divBdr>
    </w:div>
    <w:div w:id="519782164">
      <w:bodyDiv w:val="1"/>
      <w:marLeft w:val="0"/>
      <w:marRight w:val="0"/>
      <w:marTop w:val="0"/>
      <w:marBottom w:val="0"/>
      <w:divBdr>
        <w:top w:val="none" w:sz="0" w:space="0" w:color="auto"/>
        <w:left w:val="none" w:sz="0" w:space="0" w:color="auto"/>
        <w:bottom w:val="none" w:sz="0" w:space="0" w:color="auto"/>
        <w:right w:val="none" w:sz="0" w:space="0" w:color="auto"/>
      </w:divBdr>
    </w:div>
    <w:div w:id="519903440">
      <w:bodyDiv w:val="1"/>
      <w:marLeft w:val="0"/>
      <w:marRight w:val="0"/>
      <w:marTop w:val="0"/>
      <w:marBottom w:val="0"/>
      <w:divBdr>
        <w:top w:val="none" w:sz="0" w:space="0" w:color="auto"/>
        <w:left w:val="none" w:sz="0" w:space="0" w:color="auto"/>
        <w:bottom w:val="none" w:sz="0" w:space="0" w:color="auto"/>
        <w:right w:val="none" w:sz="0" w:space="0" w:color="auto"/>
      </w:divBdr>
    </w:div>
    <w:div w:id="520632291">
      <w:bodyDiv w:val="1"/>
      <w:marLeft w:val="0"/>
      <w:marRight w:val="0"/>
      <w:marTop w:val="0"/>
      <w:marBottom w:val="0"/>
      <w:divBdr>
        <w:top w:val="none" w:sz="0" w:space="0" w:color="auto"/>
        <w:left w:val="none" w:sz="0" w:space="0" w:color="auto"/>
        <w:bottom w:val="none" w:sz="0" w:space="0" w:color="auto"/>
        <w:right w:val="none" w:sz="0" w:space="0" w:color="auto"/>
      </w:divBdr>
    </w:div>
    <w:div w:id="521669158">
      <w:bodyDiv w:val="1"/>
      <w:marLeft w:val="0"/>
      <w:marRight w:val="0"/>
      <w:marTop w:val="0"/>
      <w:marBottom w:val="0"/>
      <w:divBdr>
        <w:top w:val="none" w:sz="0" w:space="0" w:color="auto"/>
        <w:left w:val="none" w:sz="0" w:space="0" w:color="auto"/>
        <w:bottom w:val="none" w:sz="0" w:space="0" w:color="auto"/>
        <w:right w:val="none" w:sz="0" w:space="0" w:color="auto"/>
      </w:divBdr>
    </w:div>
    <w:div w:id="522018465">
      <w:bodyDiv w:val="1"/>
      <w:marLeft w:val="0"/>
      <w:marRight w:val="0"/>
      <w:marTop w:val="0"/>
      <w:marBottom w:val="0"/>
      <w:divBdr>
        <w:top w:val="none" w:sz="0" w:space="0" w:color="auto"/>
        <w:left w:val="none" w:sz="0" w:space="0" w:color="auto"/>
        <w:bottom w:val="none" w:sz="0" w:space="0" w:color="auto"/>
        <w:right w:val="none" w:sz="0" w:space="0" w:color="auto"/>
      </w:divBdr>
    </w:div>
    <w:div w:id="523322405">
      <w:bodyDiv w:val="1"/>
      <w:marLeft w:val="0"/>
      <w:marRight w:val="0"/>
      <w:marTop w:val="0"/>
      <w:marBottom w:val="0"/>
      <w:divBdr>
        <w:top w:val="none" w:sz="0" w:space="0" w:color="auto"/>
        <w:left w:val="none" w:sz="0" w:space="0" w:color="auto"/>
        <w:bottom w:val="none" w:sz="0" w:space="0" w:color="auto"/>
        <w:right w:val="none" w:sz="0" w:space="0" w:color="auto"/>
      </w:divBdr>
    </w:div>
    <w:div w:id="523909259">
      <w:bodyDiv w:val="1"/>
      <w:marLeft w:val="0"/>
      <w:marRight w:val="0"/>
      <w:marTop w:val="0"/>
      <w:marBottom w:val="0"/>
      <w:divBdr>
        <w:top w:val="none" w:sz="0" w:space="0" w:color="auto"/>
        <w:left w:val="none" w:sz="0" w:space="0" w:color="auto"/>
        <w:bottom w:val="none" w:sz="0" w:space="0" w:color="auto"/>
        <w:right w:val="none" w:sz="0" w:space="0" w:color="auto"/>
      </w:divBdr>
    </w:div>
    <w:div w:id="525994133">
      <w:bodyDiv w:val="1"/>
      <w:marLeft w:val="0"/>
      <w:marRight w:val="0"/>
      <w:marTop w:val="0"/>
      <w:marBottom w:val="0"/>
      <w:divBdr>
        <w:top w:val="none" w:sz="0" w:space="0" w:color="auto"/>
        <w:left w:val="none" w:sz="0" w:space="0" w:color="auto"/>
        <w:bottom w:val="none" w:sz="0" w:space="0" w:color="auto"/>
        <w:right w:val="none" w:sz="0" w:space="0" w:color="auto"/>
      </w:divBdr>
    </w:div>
    <w:div w:id="526405196">
      <w:bodyDiv w:val="1"/>
      <w:marLeft w:val="0"/>
      <w:marRight w:val="0"/>
      <w:marTop w:val="0"/>
      <w:marBottom w:val="0"/>
      <w:divBdr>
        <w:top w:val="none" w:sz="0" w:space="0" w:color="auto"/>
        <w:left w:val="none" w:sz="0" w:space="0" w:color="auto"/>
        <w:bottom w:val="none" w:sz="0" w:space="0" w:color="auto"/>
        <w:right w:val="none" w:sz="0" w:space="0" w:color="auto"/>
      </w:divBdr>
    </w:div>
    <w:div w:id="526598459">
      <w:bodyDiv w:val="1"/>
      <w:marLeft w:val="0"/>
      <w:marRight w:val="0"/>
      <w:marTop w:val="0"/>
      <w:marBottom w:val="0"/>
      <w:divBdr>
        <w:top w:val="none" w:sz="0" w:space="0" w:color="auto"/>
        <w:left w:val="none" w:sz="0" w:space="0" w:color="auto"/>
        <w:bottom w:val="none" w:sz="0" w:space="0" w:color="auto"/>
        <w:right w:val="none" w:sz="0" w:space="0" w:color="auto"/>
      </w:divBdr>
    </w:div>
    <w:div w:id="527720675">
      <w:bodyDiv w:val="1"/>
      <w:marLeft w:val="0"/>
      <w:marRight w:val="0"/>
      <w:marTop w:val="0"/>
      <w:marBottom w:val="0"/>
      <w:divBdr>
        <w:top w:val="none" w:sz="0" w:space="0" w:color="auto"/>
        <w:left w:val="none" w:sz="0" w:space="0" w:color="auto"/>
        <w:bottom w:val="none" w:sz="0" w:space="0" w:color="auto"/>
        <w:right w:val="none" w:sz="0" w:space="0" w:color="auto"/>
      </w:divBdr>
    </w:div>
    <w:div w:id="528178397">
      <w:bodyDiv w:val="1"/>
      <w:marLeft w:val="0"/>
      <w:marRight w:val="0"/>
      <w:marTop w:val="0"/>
      <w:marBottom w:val="0"/>
      <w:divBdr>
        <w:top w:val="none" w:sz="0" w:space="0" w:color="auto"/>
        <w:left w:val="none" w:sz="0" w:space="0" w:color="auto"/>
        <w:bottom w:val="none" w:sz="0" w:space="0" w:color="auto"/>
        <w:right w:val="none" w:sz="0" w:space="0" w:color="auto"/>
      </w:divBdr>
    </w:div>
    <w:div w:id="529296353">
      <w:bodyDiv w:val="1"/>
      <w:marLeft w:val="0"/>
      <w:marRight w:val="0"/>
      <w:marTop w:val="0"/>
      <w:marBottom w:val="0"/>
      <w:divBdr>
        <w:top w:val="none" w:sz="0" w:space="0" w:color="auto"/>
        <w:left w:val="none" w:sz="0" w:space="0" w:color="auto"/>
        <w:bottom w:val="none" w:sz="0" w:space="0" w:color="auto"/>
        <w:right w:val="none" w:sz="0" w:space="0" w:color="auto"/>
      </w:divBdr>
    </w:div>
    <w:div w:id="530536519">
      <w:bodyDiv w:val="1"/>
      <w:marLeft w:val="0"/>
      <w:marRight w:val="0"/>
      <w:marTop w:val="0"/>
      <w:marBottom w:val="0"/>
      <w:divBdr>
        <w:top w:val="none" w:sz="0" w:space="0" w:color="auto"/>
        <w:left w:val="none" w:sz="0" w:space="0" w:color="auto"/>
        <w:bottom w:val="none" w:sz="0" w:space="0" w:color="auto"/>
        <w:right w:val="none" w:sz="0" w:space="0" w:color="auto"/>
      </w:divBdr>
    </w:div>
    <w:div w:id="530798438">
      <w:bodyDiv w:val="1"/>
      <w:marLeft w:val="0"/>
      <w:marRight w:val="0"/>
      <w:marTop w:val="0"/>
      <w:marBottom w:val="0"/>
      <w:divBdr>
        <w:top w:val="none" w:sz="0" w:space="0" w:color="auto"/>
        <w:left w:val="none" w:sz="0" w:space="0" w:color="auto"/>
        <w:bottom w:val="none" w:sz="0" w:space="0" w:color="auto"/>
        <w:right w:val="none" w:sz="0" w:space="0" w:color="auto"/>
      </w:divBdr>
    </w:div>
    <w:div w:id="530994642">
      <w:bodyDiv w:val="1"/>
      <w:marLeft w:val="0"/>
      <w:marRight w:val="0"/>
      <w:marTop w:val="0"/>
      <w:marBottom w:val="0"/>
      <w:divBdr>
        <w:top w:val="none" w:sz="0" w:space="0" w:color="auto"/>
        <w:left w:val="none" w:sz="0" w:space="0" w:color="auto"/>
        <w:bottom w:val="none" w:sz="0" w:space="0" w:color="auto"/>
        <w:right w:val="none" w:sz="0" w:space="0" w:color="auto"/>
      </w:divBdr>
    </w:div>
    <w:div w:id="531041727">
      <w:bodyDiv w:val="1"/>
      <w:marLeft w:val="0"/>
      <w:marRight w:val="0"/>
      <w:marTop w:val="0"/>
      <w:marBottom w:val="0"/>
      <w:divBdr>
        <w:top w:val="none" w:sz="0" w:space="0" w:color="auto"/>
        <w:left w:val="none" w:sz="0" w:space="0" w:color="auto"/>
        <w:bottom w:val="none" w:sz="0" w:space="0" w:color="auto"/>
        <w:right w:val="none" w:sz="0" w:space="0" w:color="auto"/>
      </w:divBdr>
    </w:div>
    <w:div w:id="531261709">
      <w:bodyDiv w:val="1"/>
      <w:marLeft w:val="0"/>
      <w:marRight w:val="0"/>
      <w:marTop w:val="0"/>
      <w:marBottom w:val="0"/>
      <w:divBdr>
        <w:top w:val="none" w:sz="0" w:space="0" w:color="auto"/>
        <w:left w:val="none" w:sz="0" w:space="0" w:color="auto"/>
        <w:bottom w:val="none" w:sz="0" w:space="0" w:color="auto"/>
        <w:right w:val="none" w:sz="0" w:space="0" w:color="auto"/>
      </w:divBdr>
    </w:div>
    <w:div w:id="532815435">
      <w:bodyDiv w:val="1"/>
      <w:marLeft w:val="0"/>
      <w:marRight w:val="0"/>
      <w:marTop w:val="0"/>
      <w:marBottom w:val="0"/>
      <w:divBdr>
        <w:top w:val="none" w:sz="0" w:space="0" w:color="auto"/>
        <w:left w:val="none" w:sz="0" w:space="0" w:color="auto"/>
        <w:bottom w:val="none" w:sz="0" w:space="0" w:color="auto"/>
        <w:right w:val="none" w:sz="0" w:space="0" w:color="auto"/>
      </w:divBdr>
    </w:div>
    <w:div w:id="534394555">
      <w:bodyDiv w:val="1"/>
      <w:marLeft w:val="0"/>
      <w:marRight w:val="0"/>
      <w:marTop w:val="0"/>
      <w:marBottom w:val="0"/>
      <w:divBdr>
        <w:top w:val="none" w:sz="0" w:space="0" w:color="auto"/>
        <w:left w:val="none" w:sz="0" w:space="0" w:color="auto"/>
        <w:bottom w:val="none" w:sz="0" w:space="0" w:color="auto"/>
        <w:right w:val="none" w:sz="0" w:space="0" w:color="auto"/>
      </w:divBdr>
    </w:div>
    <w:div w:id="535242567">
      <w:bodyDiv w:val="1"/>
      <w:marLeft w:val="0"/>
      <w:marRight w:val="0"/>
      <w:marTop w:val="0"/>
      <w:marBottom w:val="0"/>
      <w:divBdr>
        <w:top w:val="none" w:sz="0" w:space="0" w:color="auto"/>
        <w:left w:val="none" w:sz="0" w:space="0" w:color="auto"/>
        <w:bottom w:val="none" w:sz="0" w:space="0" w:color="auto"/>
        <w:right w:val="none" w:sz="0" w:space="0" w:color="auto"/>
      </w:divBdr>
    </w:div>
    <w:div w:id="537012576">
      <w:bodyDiv w:val="1"/>
      <w:marLeft w:val="0"/>
      <w:marRight w:val="0"/>
      <w:marTop w:val="0"/>
      <w:marBottom w:val="0"/>
      <w:divBdr>
        <w:top w:val="none" w:sz="0" w:space="0" w:color="auto"/>
        <w:left w:val="none" w:sz="0" w:space="0" w:color="auto"/>
        <w:bottom w:val="none" w:sz="0" w:space="0" w:color="auto"/>
        <w:right w:val="none" w:sz="0" w:space="0" w:color="auto"/>
      </w:divBdr>
    </w:div>
    <w:div w:id="537088278">
      <w:bodyDiv w:val="1"/>
      <w:marLeft w:val="0"/>
      <w:marRight w:val="0"/>
      <w:marTop w:val="0"/>
      <w:marBottom w:val="0"/>
      <w:divBdr>
        <w:top w:val="none" w:sz="0" w:space="0" w:color="auto"/>
        <w:left w:val="none" w:sz="0" w:space="0" w:color="auto"/>
        <w:bottom w:val="none" w:sz="0" w:space="0" w:color="auto"/>
        <w:right w:val="none" w:sz="0" w:space="0" w:color="auto"/>
      </w:divBdr>
    </w:div>
    <w:div w:id="537357316">
      <w:bodyDiv w:val="1"/>
      <w:marLeft w:val="0"/>
      <w:marRight w:val="0"/>
      <w:marTop w:val="0"/>
      <w:marBottom w:val="0"/>
      <w:divBdr>
        <w:top w:val="none" w:sz="0" w:space="0" w:color="auto"/>
        <w:left w:val="none" w:sz="0" w:space="0" w:color="auto"/>
        <w:bottom w:val="none" w:sz="0" w:space="0" w:color="auto"/>
        <w:right w:val="none" w:sz="0" w:space="0" w:color="auto"/>
      </w:divBdr>
    </w:div>
    <w:div w:id="539325241">
      <w:bodyDiv w:val="1"/>
      <w:marLeft w:val="0"/>
      <w:marRight w:val="0"/>
      <w:marTop w:val="0"/>
      <w:marBottom w:val="0"/>
      <w:divBdr>
        <w:top w:val="none" w:sz="0" w:space="0" w:color="auto"/>
        <w:left w:val="none" w:sz="0" w:space="0" w:color="auto"/>
        <w:bottom w:val="none" w:sz="0" w:space="0" w:color="auto"/>
        <w:right w:val="none" w:sz="0" w:space="0" w:color="auto"/>
      </w:divBdr>
    </w:div>
    <w:div w:id="540361497">
      <w:bodyDiv w:val="1"/>
      <w:marLeft w:val="0"/>
      <w:marRight w:val="0"/>
      <w:marTop w:val="0"/>
      <w:marBottom w:val="0"/>
      <w:divBdr>
        <w:top w:val="none" w:sz="0" w:space="0" w:color="auto"/>
        <w:left w:val="none" w:sz="0" w:space="0" w:color="auto"/>
        <w:bottom w:val="none" w:sz="0" w:space="0" w:color="auto"/>
        <w:right w:val="none" w:sz="0" w:space="0" w:color="auto"/>
      </w:divBdr>
    </w:div>
    <w:div w:id="540438987">
      <w:bodyDiv w:val="1"/>
      <w:marLeft w:val="0"/>
      <w:marRight w:val="0"/>
      <w:marTop w:val="0"/>
      <w:marBottom w:val="0"/>
      <w:divBdr>
        <w:top w:val="none" w:sz="0" w:space="0" w:color="auto"/>
        <w:left w:val="none" w:sz="0" w:space="0" w:color="auto"/>
        <w:bottom w:val="none" w:sz="0" w:space="0" w:color="auto"/>
        <w:right w:val="none" w:sz="0" w:space="0" w:color="auto"/>
      </w:divBdr>
    </w:div>
    <w:div w:id="540704762">
      <w:bodyDiv w:val="1"/>
      <w:marLeft w:val="0"/>
      <w:marRight w:val="0"/>
      <w:marTop w:val="0"/>
      <w:marBottom w:val="0"/>
      <w:divBdr>
        <w:top w:val="none" w:sz="0" w:space="0" w:color="auto"/>
        <w:left w:val="none" w:sz="0" w:space="0" w:color="auto"/>
        <w:bottom w:val="none" w:sz="0" w:space="0" w:color="auto"/>
        <w:right w:val="none" w:sz="0" w:space="0" w:color="auto"/>
      </w:divBdr>
    </w:div>
    <w:div w:id="541866057">
      <w:bodyDiv w:val="1"/>
      <w:marLeft w:val="0"/>
      <w:marRight w:val="0"/>
      <w:marTop w:val="0"/>
      <w:marBottom w:val="0"/>
      <w:divBdr>
        <w:top w:val="none" w:sz="0" w:space="0" w:color="auto"/>
        <w:left w:val="none" w:sz="0" w:space="0" w:color="auto"/>
        <w:bottom w:val="none" w:sz="0" w:space="0" w:color="auto"/>
        <w:right w:val="none" w:sz="0" w:space="0" w:color="auto"/>
      </w:divBdr>
    </w:div>
    <w:div w:id="542599394">
      <w:bodyDiv w:val="1"/>
      <w:marLeft w:val="0"/>
      <w:marRight w:val="0"/>
      <w:marTop w:val="0"/>
      <w:marBottom w:val="0"/>
      <w:divBdr>
        <w:top w:val="none" w:sz="0" w:space="0" w:color="auto"/>
        <w:left w:val="none" w:sz="0" w:space="0" w:color="auto"/>
        <w:bottom w:val="none" w:sz="0" w:space="0" w:color="auto"/>
        <w:right w:val="none" w:sz="0" w:space="0" w:color="auto"/>
      </w:divBdr>
    </w:div>
    <w:div w:id="543055485">
      <w:bodyDiv w:val="1"/>
      <w:marLeft w:val="0"/>
      <w:marRight w:val="0"/>
      <w:marTop w:val="0"/>
      <w:marBottom w:val="0"/>
      <w:divBdr>
        <w:top w:val="none" w:sz="0" w:space="0" w:color="auto"/>
        <w:left w:val="none" w:sz="0" w:space="0" w:color="auto"/>
        <w:bottom w:val="none" w:sz="0" w:space="0" w:color="auto"/>
        <w:right w:val="none" w:sz="0" w:space="0" w:color="auto"/>
      </w:divBdr>
    </w:div>
    <w:div w:id="543373726">
      <w:bodyDiv w:val="1"/>
      <w:marLeft w:val="0"/>
      <w:marRight w:val="0"/>
      <w:marTop w:val="0"/>
      <w:marBottom w:val="0"/>
      <w:divBdr>
        <w:top w:val="none" w:sz="0" w:space="0" w:color="auto"/>
        <w:left w:val="none" w:sz="0" w:space="0" w:color="auto"/>
        <w:bottom w:val="none" w:sz="0" w:space="0" w:color="auto"/>
        <w:right w:val="none" w:sz="0" w:space="0" w:color="auto"/>
      </w:divBdr>
    </w:div>
    <w:div w:id="544026358">
      <w:bodyDiv w:val="1"/>
      <w:marLeft w:val="0"/>
      <w:marRight w:val="0"/>
      <w:marTop w:val="0"/>
      <w:marBottom w:val="0"/>
      <w:divBdr>
        <w:top w:val="none" w:sz="0" w:space="0" w:color="auto"/>
        <w:left w:val="none" w:sz="0" w:space="0" w:color="auto"/>
        <w:bottom w:val="none" w:sz="0" w:space="0" w:color="auto"/>
        <w:right w:val="none" w:sz="0" w:space="0" w:color="auto"/>
      </w:divBdr>
    </w:div>
    <w:div w:id="544564548">
      <w:bodyDiv w:val="1"/>
      <w:marLeft w:val="0"/>
      <w:marRight w:val="0"/>
      <w:marTop w:val="0"/>
      <w:marBottom w:val="0"/>
      <w:divBdr>
        <w:top w:val="none" w:sz="0" w:space="0" w:color="auto"/>
        <w:left w:val="none" w:sz="0" w:space="0" w:color="auto"/>
        <w:bottom w:val="none" w:sz="0" w:space="0" w:color="auto"/>
        <w:right w:val="none" w:sz="0" w:space="0" w:color="auto"/>
      </w:divBdr>
    </w:div>
    <w:div w:id="545874977">
      <w:bodyDiv w:val="1"/>
      <w:marLeft w:val="0"/>
      <w:marRight w:val="0"/>
      <w:marTop w:val="0"/>
      <w:marBottom w:val="0"/>
      <w:divBdr>
        <w:top w:val="none" w:sz="0" w:space="0" w:color="auto"/>
        <w:left w:val="none" w:sz="0" w:space="0" w:color="auto"/>
        <w:bottom w:val="none" w:sz="0" w:space="0" w:color="auto"/>
        <w:right w:val="none" w:sz="0" w:space="0" w:color="auto"/>
      </w:divBdr>
    </w:div>
    <w:div w:id="546334157">
      <w:bodyDiv w:val="1"/>
      <w:marLeft w:val="0"/>
      <w:marRight w:val="0"/>
      <w:marTop w:val="0"/>
      <w:marBottom w:val="0"/>
      <w:divBdr>
        <w:top w:val="none" w:sz="0" w:space="0" w:color="auto"/>
        <w:left w:val="none" w:sz="0" w:space="0" w:color="auto"/>
        <w:bottom w:val="none" w:sz="0" w:space="0" w:color="auto"/>
        <w:right w:val="none" w:sz="0" w:space="0" w:color="auto"/>
      </w:divBdr>
    </w:div>
    <w:div w:id="547256000">
      <w:bodyDiv w:val="1"/>
      <w:marLeft w:val="0"/>
      <w:marRight w:val="0"/>
      <w:marTop w:val="0"/>
      <w:marBottom w:val="0"/>
      <w:divBdr>
        <w:top w:val="none" w:sz="0" w:space="0" w:color="auto"/>
        <w:left w:val="none" w:sz="0" w:space="0" w:color="auto"/>
        <w:bottom w:val="none" w:sz="0" w:space="0" w:color="auto"/>
        <w:right w:val="none" w:sz="0" w:space="0" w:color="auto"/>
      </w:divBdr>
    </w:div>
    <w:div w:id="549071423">
      <w:bodyDiv w:val="1"/>
      <w:marLeft w:val="0"/>
      <w:marRight w:val="0"/>
      <w:marTop w:val="0"/>
      <w:marBottom w:val="0"/>
      <w:divBdr>
        <w:top w:val="none" w:sz="0" w:space="0" w:color="auto"/>
        <w:left w:val="none" w:sz="0" w:space="0" w:color="auto"/>
        <w:bottom w:val="none" w:sz="0" w:space="0" w:color="auto"/>
        <w:right w:val="none" w:sz="0" w:space="0" w:color="auto"/>
      </w:divBdr>
    </w:div>
    <w:div w:id="549342884">
      <w:bodyDiv w:val="1"/>
      <w:marLeft w:val="0"/>
      <w:marRight w:val="0"/>
      <w:marTop w:val="0"/>
      <w:marBottom w:val="0"/>
      <w:divBdr>
        <w:top w:val="none" w:sz="0" w:space="0" w:color="auto"/>
        <w:left w:val="none" w:sz="0" w:space="0" w:color="auto"/>
        <w:bottom w:val="none" w:sz="0" w:space="0" w:color="auto"/>
        <w:right w:val="none" w:sz="0" w:space="0" w:color="auto"/>
      </w:divBdr>
    </w:div>
    <w:div w:id="550507432">
      <w:bodyDiv w:val="1"/>
      <w:marLeft w:val="0"/>
      <w:marRight w:val="0"/>
      <w:marTop w:val="0"/>
      <w:marBottom w:val="0"/>
      <w:divBdr>
        <w:top w:val="none" w:sz="0" w:space="0" w:color="auto"/>
        <w:left w:val="none" w:sz="0" w:space="0" w:color="auto"/>
        <w:bottom w:val="none" w:sz="0" w:space="0" w:color="auto"/>
        <w:right w:val="none" w:sz="0" w:space="0" w:color="auto"/>
      </w:divBdr>
    </w:div>
    <w:div w:id="550654414">
      <w:bodyDiv w:val="1"/>
      <w:marLeft w:val="0"/>
      <w:marRight w:val="0"/>
      <w:marTop w:val="0"/>
      <w:marBottom w:val="0"/>
      <w:divBdr>
        <w:top w:val="none" w:sz="0" w:space="0" w:color="auto"/>
        <w:left w:val="none" w:sz="0" w:space="0" w:color="auto"/>
        <w:bottom w:val="none" w:sz="0" w:space="0" w:color="auto"/>
        <w:right w:val="none" w:sz="0" w:space="0" w:color="auto"/>
      </w:divBdr>
    </w:div>
    <w:div w:id="552350403">
      <w:bodyDiv w:val="1"/>
      <w:marLeft w:val="0"/>
      <w:marRight w:val="0"/>
      <w:marTop w:val="0"/>
      <w:marBottom w:val="0"/>
      <w:divBdr>
        <w:top w:val="none" w:sz="0" w:space="0" w:color="auto"/>
        <w:left w:val="none" w:sz="0" w:space="0" w:color="auto"/>
        <w:bottom w:val="none" w:sz="0" w:space="0" w:color="auto"/>
        <w:right w:val="none" w:sz="0" w:space="0" w:color="auto"/>
      </w:divBdr>
    </w:div>
    <w:div w:id="552547122">
      <w:bodyDiv w:val="1"/>
      <w:marLeft w:val="0"/>
      <w:marRight w:val="0"/>
      <w:marTop w:val="0"/>
      <w:marBottom w:val="0"/>
      <w:divBdr>
        <w:top w:val="none" w:sz="0" w:space="0" w:color="auto"/>
        <w:left w:val="none" w:sz="0" w:space="0" w:color="auto"/>
        <w:bottom w:val="none" w:sz="0" w:space="0" w:color="auto"/>
        <w:right w:val="none" w:sz="0" w:space="0" w:color="auto"/>
      </w:divBdr>
    </w:div>
    <w:div w:id="552691614">
      <w:bodyDiv w:val="1"/>
      <w:marLeft w:val="0"/>
      <w:marRight w:val="0"/>
      <w:marTop w:val="0"/>
      <w:marBottom w:val="0"/>
      <w:divBdr>
        <w:top w:val="none" w:sz="0" w:space="0" w:color="auto"/>
        <w:left w:val="none" w:sz="0" w:space="0" w:color="auto"/>
        <w:bottom w:val="none" w:sz="0" w:space="0" w:color="auto"/>
        <w:right w:val="none" w:sz="0" w:space="0" w:color="auto"/>
      </w:divBdr>
    </w:div>
    <w:div w:id="552887432">
      <w:bodyDiv w:val="1"/>
      <w:marLeft w:val="0"/>
      <w:marRight w:val="0"/>
      <w:marTop w:val="0"/>
      <w:marBottom w:val="0"/>
      <w:divBdr>
        <w:top w:val="none" w:sz="0" w:space="0" w:color="auto"/>
        <w:left w:val="none" w:sz="0" w:space="0" w:color="auto"/>
        <w:bottom w:val="none" w:sz="0" w:space="0" w:color="auto"/>
        <w:right w:val="none" w:sz="0" w:space="0" w:color="auto"/>
      </w:divBdr>
    </w:div>
    <w:div w:id="553155077">
      <w:bodyDiv w:val="1"/>
      <w:marLeft w:val="0"/>
      <w:marRight w:val="0"/>
      <w:marTop w:val="0"/>
      <w:marBottom w:val="0"/>
      <w:divBdr>
        <w:top w:val="none" w:sz="0" w:space="0" w:color="auto"/>
        <w:left w:val="none" w:sz="0" w:space="0" w:color="auto"/>
        <w:bottom w:val="none" w:sz="0" w:space="0" w:color="auto"/>
        <w:right w:val="none" w:sz="0" w:space="0" w:color="auto"/>
      </w:divBdr>
    </w:div>
    <w:div w:id="555823453">
      <w:bodyDiv w:val="1"/>
      <w:marLeft w:val="0"/>
      <w:marRight w:val="0"/>
      <w:marTop w:val="0"/>
      <w:marBottom w:val="0"/>
      <w:divBdr>
        <w:top w:val="none" w:sz="0" w:space="0" w:color="auto"/>
        <w:left w:val="none" w:sz="0" w:space="0" w:color="auto"/>
        <w:bottom w:val="none" w:sz="0" w:space="0" w:color="auto"/>
        <w:right w:val="none" w:sz="0" w:space="0" w:color="auto"/>
      </w:divBdr>
    </w:div>
    <w:div w:id="555896006">
      <w:bodyDiv w:val="1"/>
      <w:marLeft w:val="0"/>
      <w:marRight w:val="0"/>
      <w:marTop w:val="0"/>
      <w:marBottom w:val="0"/>
      <w:divBdr>
        <w:top w:val="none" w:sz="0" w:space="0" w:color="auto"/>
        <w:left w:val="none" w:sz="0" w:space="0" w:color="auto"/>
        <w:bottom w:val="none" w:sz="0" w:space="0" w:color="auto"/>
        <w:right w:val="none" w:sz="0" w:space="0" w:color="auto"/>
      </w:divBdr>
    </w:div>
    <w:div w:id="556210914">
      <w:bodyDiv w:val="1"/>
      <w:marLeft w:val="0"/>
      <w:marRight w:val="0"/>
      <w:marTop w:val="0"/>
      <w:marBottom w:val="0"/>
      <w:divBdr>
        <w:top w:val="none" w:sz="0" w:space="0" w:color="auto"/>
        <w:left w:val="none" w:sz="0" w:space="0" w:color="auto"/>
        <w:bottom w:val="none" w:sz="0" w:space="0" w:color="auto"/>
        <w:right w:val="none" w:sz="0" w:space="0" w:color="auto"/>
      </w:divBdr>
    </w:div>
    <w:div w:id="556401349">
      <w:bodyDiv w:val="1"/>
      <w:marLeft w:val="0"/>
      <w:marRight w:val="0"/>
      <w:marTop w:val="0"/>
      <w:marBottom w:val="0"/>
      <w:divBdr>
        <w:top w:val="none" w:sz="0" w:space="0" w:color="auto"/>
        <w:left w:val="none" w:sz="0" w:space="0" w:color="auto"/>
        <w:bottom w:val="none" w:sz="0" w:space="0" w:color="auto"/>
        <w:right w:val="none" w:sz="0" w:space="0" w:color="auto"/>
      </w:divBdr>
    </w:div>
    <w:div w:id="556403565">
      <w:bodyDiv w:val="1"/>
      <w:marLeft w:val="0"/>
      <w:marRight w:val="0"/>
      <w:marTop w:val="0"/>
      <w:marBottom w:val="0"/>
      <w:divBdr>
        <w:top w:val="none" w:sz="0" w:space="0" w:color="auto"/>
        <w:left w:val="none" w:sz="0" w:space="0" w:color="auto"/>
        <w:bottom w:val="none" w:sz="0" w:space="0" w:color="auto"/>
        <w:right w:val="none" w:sz="0" w:space="0" w:color="auto"/>
      </w:divBdr>
    </w:div>
    <w:div w:id="557284654">
      <w:bodyDiv w:val="1"/>
      <w:marLeft w:val="0"/>
      <w:marRight w:val="0"/>
      <w:marTop w:val="0"/>
      <w:marBottom w:val="0"/>
      <w:divBdr>
        <w:top w:val="none" w:sz="0" w:space="0" w:color="auto"/>
        <w:left w:val="none" w:sz="0" w:space="0" w:color="auto"/>
        <w:bottom w:val="none" w:sz="0" w:space="0" w:color="auto"/>
        <w:right w:val="none" w:sz="0" w:space="0" w:color="auto"/>
      </w:divBdr>
    </w:div>
    <w:div w:id="558052667">
      <w:bodyDiv w:val="1"/>
      <w:marLeft w:val="0"/>
      <w:marRight w:val="0"/>
      <w:marTop w:val="0"/>
      <w:marBottom w:val="0"/>
      <w:divBdr>
        <w:top w:val="none" w:sz="0" w:space="0" w:color="auto"/>
        <w:left w:val="none" w:sz="0" w:space="0" w:color="auto"/>
        <w:bottom w:val="none" w:sz="0" w:space="0" w:color="auto"/>
        <w:right w:val="none" w:sz="0" w:space="0" w:color="auto"/>
      </w:divBdr>
    </w:div>
    <w:div w:id="558831853">
      <w:bodyDiv w:val="1"/>
      <w:marLeft w:val="0"/>
      <w:marRight w:val="0"/>
      <w:marTop w:val="0"/>
      <w:marBottom w:val="0"/>
      <w:divBdr>
        <w:top w:val="none" w:sz="0" w:space="0" w:color="auto"/>
        <w:left w:val="none" w:sz="0" w:space="0" w:color="auto"/>
        <w:bottom w:val="none" w:sz="0" w:space="0" w:color="auto"/>
        <w:right w:val="none" w:sz="0" w:space="0" w:color="auto"/>
      </w:divBdr>
    </w:div>
    <w:div w:id="560796269">
      <w:bodyDiv w:val="1"/>
      <w:marLeft w:val="0"/>
      <w:marRight w:val="0"/>
      <w:marTop w:val="0"/>
      <w:marBottom w:val="0"/>
      <w:divBdr>
        <w:top w:val="none" w:sz="0" w:space="0" w:color="auto"/>
        <w:left w:val="none" w:sz="0" w:space="0" w:color="auto"/>
        <w:bottom w:val="none" w:sz="0" w:space="0" w:color="auto"/>
        <w:right w:val="none" w:sz="0" w:space="0" w:color="auto"/>
      </w:divBdr>
    </w:div>
    <w:div w:id="561794010">
      <w:bodyDiv w:val="1"/>
      <w:marLeft w:val="0"/>
      <w:marRight w:val="0"/>
      <w:marTop w:val="0"/>
      <w:marBottom w:val="0"/>
      <w:divBdr>
        <w:top w:val="none" w:sz="0" w:space="0" w:color="auto"/>
        <w:left w:val="none" w:sz="0" w:space="0" w:color="auto"/>
        <w:bottom w:val="none" w:sz="0" w:space="0" w:color="auto"/>
        <w:right w:val="none" w:sz="0" w:space="0" w:color="auto"/>
      </w:divBdr>
    </w:div>
    <w:div w:id="562644002">
      <w:bodyDiv w:val="1"/>
      <w:marLeft w:val="0"/>
      <w:marRight w:val="0"/>
      <w:marTop w:val="0"/>
      <w:marBottom w:val="0"/>
      <w:divBdr>
        <w:top w:val="none" w:sz="0" w:space="0" w:color="auto"/>
        <w:left w:val="none" w:sz="0" w:space="0" w:color="auto"/>
        <w:bottom w:val="none" w:sz="0" w:space="0" w:color="auto"/>
        <w:right w:val="none" w:sz="0" w:space="0" w:color="auto"/>
      </w:divBdr>
    </w:div>
    <w:div w:id="562715678">
      <w:bodyDiv w:val="1"/>
      <w:marLeft w:val="0"/>
      <w:marRight w:val="0"/>
      <w:marTop w:val="0"/>
      <w:marBottom w:val="0"/>
      <w:divBdr>
        <w:top w:val="none" w:sz="0" w:space="0" w:color="auto"/>
        <w:left w:val="none" w:sz="0" w:space="0" w:color="auto"/>
        <w:bottom w:val="none" w:sz="0" w:space="0" w:color="auto"/>
        <w:right w:val="none" w:sz="0" w:space="0" w:color="auto"/>
      </w:divBdr>
    </w:div>
    <w:div w:id="565333878">
      <w:bodyDiv w:val="1"/>
      <w:marLeft w:val="0"/>
      <w:marRight w:val="0"/>
      <w:marTop w:val="0"/>
      <w:marBottom w:val="0"/>
      <w:divBdr>
        <w:top w:val="none" w:sz="0" w:space="0" w:color="auto"/>
        <w:left w:val="none" w:sz="0" w:space="0" w:color="auto"/>
        <w:bottom w:val="none" w:sz="0" w:space="0" w:color="auto"/>
        <w:right w:val="none" w:sz="0" w:space="0" w:color="auto"/>
      </w:divBdr>
    </w:div>
    <w:div w:id="567762082">
      <w:bodyDiv w:val="1"/>
      <w:marLeft w:val="0"/>
      <w:marRight w:val="0"/>
      <w:marTop w:val="0"/>
      <w:marBottom w:val="0"/>
      <w:divBdr>
        <w:top w:val="none" w:sz="0" w:space="0" w:color="auto"/>
        <w:left w:val="none" w:sz="0" w:space="0" w:color="auto"/>
        <w:bottom w:val="none" w:sz="0" w:space="0" w:color="auto"/>
        <w:right w:val="none" w:sz="0" w:space="0" w:color="auto"/>
      </w:divBdr>
    </w:div>
    <w:div w:id="568199077">
      <w:bodyDiv w:val="1"/>
      <w:marLeft w:val="0"/>
      <w:marRight w:val="0"/>
      <w:marTop w:val="0"/>
      <w:marBottom w:val="0"/>
      <w:divBdr>
        <w:top w:val="none" w:sz="0" w:space="0" w:color="auto"/>
        <w:left w:val="none" w:sz="0" w:space="0" w:color="auto"/>
        <w:bottom w:val="none" w:sz="0" w:space="0" w:color="auto"/>
        <w:right w:val="none" w:sz="0" w:space="0" w:color="auto"/>
      </w:divBdr>
    </w:div>
    <w:div w:id="568544050">
      <w:bodyDiv w:val="1"/>
      <w:marLeft w:val="0"/>
      <w:marRight w:val="0"/>
      <w:marTop w:val="0"/>
      <w:marBottom w:val="0"/>
      <w:divBdr>
        <w:top w:val="none" w:sz="0" w:space="0" w:color="auto"/>
        <w:left w:val="none" w:sz="0" w:space="0" w:color="auto"/>
        <w:bottom w:val="none" w:sz="0" w:space="0" w:color="auto"/>
        <w:right w:val="none" w:sz="0" w:space="0" w:color="auto"/>
      </w:divBdr>
    </w:div>
    <w:div w:id="571819028">
      <w:bodyDiv w:val="1"/>
      <w:marLeft w:val="0"/>
      <w:marRight w:val="0"/>
      <w:marTop w:val="0"/>
      <w:marBottom w:val="0"/>
      <w:divBdr>
        <w:top w:val="none" w:sz="0" w:space="0" w:color="auto"/>
        <w:left w:val="none" w:sz="0" w:space="0" w:color="auto"/>
        <w:bottom w:val="none" w:sz="0" w:space="0" w:color="auto"/>
        <w:right w:val="none" w:sz="0" w:space="0" w:color="auto"/>
      </w:divBdr>
    </w:div>
    <w:div w:id="571892090">
      <w:bodyDiv w:val="1"/>
      <w:marLeft w:val="0"/>
      <w:marRight w:val="0"/>
      <w:marTop w:val="0"/>
      <w:marBottom w:val="0"/>
      <w:divBdr>
        <w:top w:val="none" w:sz="0" w:space="0" w:color="auto"/>
        <w:left w:val="none" w:sz="0" w:space="0" w:color="auto"/>
        <w:bottom w:val="none" w:sz="0" w:space="0" w:color="auto"/>
        <w:right w:val="none" w:sz="0" w:space="0" w:color="auto"/>
      </w:divBdr>
    </w:div>
    <w:div w:id="572588672">
      <w:bodyDiv w:val="1"/>
      <w:marLeft w:val="0"/>
      <w:marRight w:val="0"/>
      <w:marTop w:val="0"/>
      <w:marBottom w:val="0"/>
      <w:divBdr>
        <w:top w:val="none" w:sz="0" w:space="0" w:color="auto"/>
        <w:left w:val="none" w:sz="0" w:space="0" w:color="auto"/>
        <w:bottom w:val="none" w:sz="0" w:space="0" w:color="auto"/>
        <w:right w:val="none" w:sz="0" w:space="0" w:color="auto"/>
      </w:divBdr>
    </w:div>
    <w:div w:id="572744207">
      <w:bodyDiv w:val="1"/>
      <w:marLeft w:val="0"/>
      <w:marRight w:val="0"/>
      <w:marTop w:val="0"/>
      <w:marBottom w:val="0"/>
      <w:divBdr>
        <w:top w:val="none" w:sz="0" w:space="0" w:color="auto"/>
        <w:left w:val="none" w:sz="0" w:space="0" w:color="auto"/>
        <w:bottom w:val="none" w:sz="0" w:space="0" w:color="auto"/>
        <w:right w:val="none" w:sz="0" w:space="0" w:color="auto"/>
      </w:divBdr>
    </w:div>
    <w:div w:id="573273342">
      <w:bodyDiv w:val="1"/>
      <w:marLeft w:val="0"/>
      <w:marRight w:val="0"/>
      <w:marTop w:val="0"/>
      <w:marBottom w:val="0"/>
      <w:divBdr>
        <w:top w:val="none" w:sz="0" w:space="0" w:color="auto"/>
        <w:left w:val="none" w:sz="0" w:space="0" w:color="auto"/>
        <w:bottom w:val="none" w:sz="0" w:space="0" w:color="auto"/>
        <w:right w:val="none" w:sz="0" w:space="0" w:color="auto"/>
      </w:divBdr>
    </w:div>
    <w:div w:id="573931284">
      <w:bodyDiv w:val="1"/>
      <w:marLeft w:val="0"/>
      <w:marRight w:val="0"/>
      <w:marTop w:val="0"/>
      <w:marBottom w:val="0"/>
      <w:divBdr>
        <w:top w:val="none" w:sz="0" w:space="0" w:color="auto"/>
        <w:left w:val="none" w:sz="0" w:space="0" w:color="auto"/>
        <w:bottom w:val="none" w:sz="0" w:space="0" w:color="auto"/>
        <w:right w:val="none" w:sz="0" w:space="0" w:color="auto"/>
      </w:divBdr>
    </w:div>
    <w:div w:id="575820356">
      <w:bodyDiv w:val="1"/>
      <w:marLeft w:val="0"/>
      <w:marRight w:val="0"/>
      <w:marTop w:val="0"/>
      <w:marBottom w:val="0"/>
      <w:divBdr>
        <w:top w:val="none" w:sz="0" w:space="0" w:color="auto"/>
        <w:left w:val="none" w:sz="0" w:space="0" w:color="auto"/>
        <w:bottom w:val="none" w:sz="0" w:space="0" w:color="auto"/>
        <w:right w:val="none" w:sz="0" w:space="0" w:color="auto"/>
      </w:divBdr>
    </w:div>
    <w:div w:id="575939962">
      <w:bodyDiv w:val="1"/>
      <w:marLeft w:val="0"/>
      <w:marRight w:val="0"/>
      <w:marTop w:val="0"/>
      <w:marBottom w:val="0"/>
      <w:divBdr>
        <w:top w:val="none" w:sz="0" w:space="0" w:color="auto"/>
        <w:left w:val="none" w:sz="0" w:space="0" w:color="auto"/>
        <w:bottom w:val="none" w:sz="0" w:space="0" w:color="auto"/>
        <w:right w:val="none" w:sz="0" w:space="0" w:color="auto"/>
      </w:divBdr>
    </w:div>
    <w:div w:id="576482292">
      <w:bodyDiv w:val="1"/>
      <w:marLeft w:val="0"/>
      <w:marRight w:val="0"/>
      <w:marTop w:val="0"/>
      <w:marBottom w:val="0"/>
      <w:divBdr>
        <w:top w:val="none" w:sz="0" w:space="0" w:color="auto"/>
        <w:left w:val="none" w:sz="0" w:space="0" w:color="auto"/>
        <w:bottom w:val="none" w:sz="0" w:space="0" w:color="auto"/>
        <w:right w:val="none" w:sz="0" w:space="0" w:color="auto"/>
      </w:divBdr>
    </w:div>
    <w:div w:id="576595607">
      <w:bodyDiv w:val="1"/>
      <w:marLeft w:val="0"/>
      <w:marRight w:val="0"/>
      <w:marTop w:val="0"/>
      <w:marBottom w:val="0"/>
      <w:divBdr>
        <w:top w:val="none" w:sz="0" w:space="0" w:color="auto"/>
        <w:left w:val="none" w:sz="0" w:space="0" w:color="auto"/>
        <w:bottom w:val="none" w:sz="0" w:space="0" w:color="auto"/>
        <w:right w:val="none" w:sz="0" w:space="0" w:color="auto"/>
      </w:divBdr>
    </w:div>
    <w:div w:id="576861956">
      <w:bodyDiv w:val="1"/>
      <w:marLeft w:val="0"/>
      <w:marRight w:val="0"/>
      <w:marTop w:val="0"/>
      <w:marBottom w:val="0"/>
      <w:divBdr>
        <w:top w:val="none" w:sz="0" w:space="0" w:color="auto"/>
        <w:left w:val="none" w:sz="0" w:space="0" w:color="auto"/>
        <w:bottom w:val="none" w:sz="0" w:space="0" w:color="auto"/>
        <w:right w:val="none" w:sz="0" w:space="0" w:color="auto"/>
      </w:divBdr>
    </w:div>
    <w:div w:id="577207411">
      <w:bodyDiv w:val="1"/>
      <w:marLeft w:val="0"/>
      <w:marRight w:val="0"/>
      <w:marTop w:val="0"/>
      <w:marBottom w:val="0"/>
      <w:divBdr>
        <w:top w:val="none" w:sz="0" w:space="0" w:color="auto"/>
        <w:left w:val="none" w:sz="0" w:space="0" w:color="auto"/>
        <w:bottom w:val="none" w:sz="0" w:space="0" w:color="auto"/>
        <w:right w:val="none" w:sz="0" w:space="0" w:color="auto"/>
      </w:divBdr>
    </w:div>
    <w:div w:id="577322755">
      <w:bodyDiv w:val="1"/>
      <w:marLeft w:val="0"/>
      <w:marRight w:val="0"/>
      <w:marTop w:val="0"/>
      <w:marBottom w:val="0"/>
      <w:divBdr>
        <w:top w:val="none" w:sz="0" w:space="0" w:color="auto"/>
        <w:left w:val="none" w:sz="0" w:space="0" w:color="auto"/>
        <w:bottom w:val="none" w:sz="0" w:space="0" w:color="auto"/>
        <w:right w:val="none" w:sz="0" w:space="0" w:color="auto"/>
      </w:divBdr>
    </w:div>
    <w:div w:id="578910317">
      <w:bodyDiv w:val="1"/>
      <w:marLeft w:val="0"/>
      <w:marRight w:val="0"/>
      <w:marTop w:val="0"/>
      <w:marBottom w:val="0"/>
      <w:divBdr>
        <w:top w:val="none" w:sz="0" w:space="0" w:color="auto"/>
        <w:left w:val="none" w:sz="0" w:space="0" w:color="auto"/>
        <w:bottom w:val="none" w:sz="0" w:space="0" w:color="auto"/>
        <w:right w:val="none" w:sz="0" w:space="0" w:color="auto"/>
      </w:divBdr>
    </w:div>
    <w:div w:id="579292462">
      <w:bodyDiv w:val="1"/>
      <w:marLeft w:val="0"/>
      <w:marRight w:val="0"/>
      <w:marTop w:val="0"/>
      <w:marBottom w:val="0"/>
      <w:divBdr>
        <w:top w:val="none" w:sz="0" w:space="0" w:color="auto"/>
        <w:left w:val="none" w:sz="0" w:space="0" w:color="auto"/>
        <w:bottom w:val="none" w:sz="0" w:space="0" w:color="auto"/>
        <w:right w:val="none" w:sz="0" w:space="0" w:color="auto"/>
      </w:divBdr>
    </w:div>
    <w:div w:id="579406368">
      <w:bodyDiv w:val="1"/>
      <w:marLeft w:val="0"/>
      <w:marRight w:val="0"/>
      <w:marTop w:val="0"/>
      <w:marBottom w:val="0"/>
      <w:divBdr>
        <w:top w:val="none" w:sz="0" w:space="0" w:color="auto"/>
        <w:left w:val="none" w:sz="0" w:space="0" w:color="auto"/>
        <w:bottom w:val="none" w:sz="0" w:space="0" w:color="auto"/>
        <w:right w:val="none" w:sz="0" w:space="0" w:color="auto"/>
      </w:divBdr>
    </w:div>
    <w:div w:id="579564634">
      <w:bodyDiv w:val="1"/>
      <w:marLeft w:val="0"/>
      <w:marRight w:val="0"/>
      <w:marTop w:val="0"/>
      <w:marBottom w:val="0"/>
      <w:divBdr>
        <w:top w:val="none" w:sz="0" w:space="0" w:color="auto"/>
        <w:left w:val="none" w:sz="0" w:space="0" w:color="auto"/>
        <w:bottom w:val="none" w:sz="0" w:space="0" w:color="auto"/>
        <w:right w:val="none" w:sz="0" w:space="0" w:color="auto"/>
      </w:divBdr>
    </w:div>
    <w:div w:id="580601759">
      <w:bodyDiv w:val="1"/>
      <w:marLeft w:val="0"/>
      <w:marRight w:val="0"/>
      <w:marTop w:val="0"/>
      <w:marBottom w:val="0"/>
      <w:divBdr>
        <w:top w:val="none" w:sz="0" w:space="0" w:color="auto"/>
        <w:left w:val="none" w:sz="0" w:space="0" w:color="auto"/>
        <w:bottom w:val="none" w:sz="0" w:space="0" w:color="auto"/>
        <w:right w:val="none" w:sz="0" w:space="0" w:color="auto"/>
      </w:divBdr>
    </w:div>
    <w:div w:id="580725185">
      <w:bodyDiv w:val="1"/>
      <w:marLeft w:val="0"/>
      <w:marRight w:val="0"/>
      <w:marTop w:val="0"/>
      <w:marBottom w:val="0"/>
      <w:divBdr>
        <w:top w:val="none" w:sz="0" w:space="0" w:color="auto"/>
        <w:left w:val="none" w:sz="0" w:space="0" w:color="auto"/>
        <w:bottom w:val="none" w:sz="0" w:space="0" w:color="auto"/>
        <w:right w:val="none" w:sz="0" w:space="0" w:color="auto"/>
      </w:divBdr>
    </w:div>
    <w:div w:id="580942703">
      <w:bodyDiv w:val="1"/>
      <w:marLeft w:val="0"/>
      <w:marRight w:val="0"/>
      <w:marTop w:val="0"/>
      <w:marBottom w:val="0"/>
      <w:divBdr>
        <w:top w:val="none" w:sz="0" w:space="0" w:color="auto"/>
        <w:left w:val="none" w:sz="0" w:space="0" w:color="auto"/>
        <w:bottom w:val="none" w:sz="0" w:space="0" w:color="auto"/>
        <w:right w:val="none" w:sz="0" w:space="0" w:color="auto"/>
      </w:divBdr>
    </w:div>
    <w:div w:id="582224897">
      <w:bodyDiv w:val="1"/>
      <w:marLeft w:val="0"/>
      <w:marRight w:val="0"/>
      <w:marTop w:val="0"/>
      <w:marBottom w:val="0"/>
      <w:divBdr>
        <w:top w:val="none" w:sz="0" w:space="0" w:color="auto"/>
        <w:left w:val="none" w:sz="0" w:space="0" w:color="auto"/>
        <w:bottom w:val="none" w:sz="0" w:space="0" w:color="auto"/>
        <w:right w:val="none" w:sz="0" w:space="0" w:color="auto"/>
      </w:divBdr>
    </w:div>
    <w:div w:id="582419875">
      <w:bodyDiv w:val="1"/>
      <w:marLeft w:val="0"/>
      <w:marRight w:val="0"/>
      <w:marTop w:val="0"/>
      <w:marBottom w:val="0"/>
      <w:divBdr>
        <w:top w:val="none" w:sz="0" w:space="0" w:color="auto"/>
        <w:left w:val="none" w:sz="0" w:space="0" w:color="auto"/>
        <w:bottom w:val="none" w:sz="0" w:space="0" w:color="auto"/>
        <w:right w:val="none" w:sz="0" w:space="0" w:color="auto"/>
      </w:divBdr>
    </w:div>
    <w:div w:id="582566832">
      <w:bodyDiv w:val="1"/>
      <w:marLeft w:val="0"/>
      <w:marRight w:val="0"/>
      <w:marTop w:val="0"/>
      <w:marBottom w:val="0"/>
      <w:divBdr>
        <w:top w:val="none" w:sz="0" w:space="0" w:color="auto"/>
        <w:left w:val="none" w:sz="0" w:space="0" w:color="auto"/>
        <w:bottom w:val="none" w:sz="0" w:space="0" w:color="auto"/>
        <w:right w:val="none" w:sz="0" w:space="0" w:color="auto"/>
      </w:divBdr>
    </w:div>
    <w:div w:id="582639761">
      <w:bodyDiv w:val="1"/>
      <w:marLeft w:val="0"/>
      <w:marRight w:val="0"/>
      <w:marTop w:val="0"/>
      <w:marBottom w:val="0"/>
      <w:divBdr>
        <w:top w:val="none" w:sz="0" w:space="0" w:color="auto"/>
        <w:left w:val="none" w:sz="0" w:space="0" w:color="auto"/>
        <w:bottom w:val="none" w:sz="0" w:space="0" w:color="auto"/>
        <w:right w:val="none" w:sz="0" w:space="0" w:color="auto"/>
      </w:divBdr>
    </w:div>
    <w:div w:id="583302803">
      <w:bodyDiv w:val="1"/>
      <w:marLeft w:val="0"/>
      <w:marRight w:val="0"/>
      <w:marTop w:val="0"/>
      <w:marBottom w:val="0"/>
      <w:divBdr>
        <w:top w:val="none" w:sz="0" w:space="0" w:color="auto"/>
        <w:left w:val="none" w:sz="0" w:space="0" w:color="auto"/>
        <w:bottom w:val="none" w:sz="0" w:space="0" w:color="auto"/>
        <w:right w:val="none" w:sz="0" w:space="0" w:color="auto"/>
      </w:divBdr>
    </w:div>
    <w:div w:id="583806972">
      <w:bodyDiv w:val="1"/>
      <w:marLeft w:val="0"/>
      <w:marRight w:val="0"/>
      <w:marTop w:val="0"/>
      <w:marBottom w:val="0"/>
      <w:divBdr>
        <w:top w:val="none" w:sz="0" w:space="0" w:color="auto"/>
        <w:left w:val="none" w:sz="0" w:space="0" w:color="auto"/>
        <w:bottom w:val="none" w:sz="0" w:space="0" w:color="auto"/>
        <w:right w:val="none" w:sz="0" w:space="0" w:color="auto"/>
      </w:divBdr>
    </w:div>
    <w:div w:id="585115249">
      <w:bodyDiv w:val="1"/>
      <w:marLeft w:val="0"/>
      <w:marRight w:val="0"/>
      <w:marTop w:val="0"/>
      <w:marBottom w:val="0"/>
      <w:divBdr>
        <w:top w:val="none" w:sz="0" w:space="0" w:color="auto"/>
        <w:left w:val="none" w:sz="0" w:space="0" w:color="auto"/>
        <w:bottom w:val="none" w:sz="0" w:space="0" w:color="auto"/>
        <w:right w:val="none" w:sz="0" w:space="0" w:color="auto"/>
      </w:divBdr>
    </w:div>
    <w:div w:id="586229267">
      <w:bodyDiv w:val="1"/>
      <w:marLeft w:val="0"/>
      <w:marRight w:val="0"/>
      <w:marTop w:val="0"/>
      <w:marBottom w:val="0"/>
      <w:divBdr>
        <w:top w:val="none" w:sz="0" w:space="0" w:color="auto"/>
        <w:left w:val="none" w:sz="0" w:space="0" w:color="auto"/>
        <w:bottom w:val="none" w:sz="0" w:space="0" w:color="auto"/>
        <w:right w:val="none" w:sz="0" w:space="0" w:color="auto"/>
      </w:divBdr>
    </w:div>
    <w:div w:id="586303017">
      <w:bodyDiv w:val="1"/>
      <w:marLeft w:val="0"/>
      <w:marRight w:val="0"/>
      <w:marTop w:val="0"/>
      <w:marBottom w:val="0"/>
      <w:divBdr>
        <w:top w:val="none" w:sz="0" w:space="0" w:color="auto"/>
        <w:left w:val="none" w:sz="0" w:space="0" w:color="auto"/>
        <w:bottom w:val="none" w:sz="0" w:space="0" w:color="auto"/>
        <w:right w:val="none" w:sz="0" w:space="0" w:color="auto"/>
      </w:divBdr>
    </w:div>
    <w:div w:id="586617031">
      <w:bodyDiv w:val="1"/>
      <w:marLeft w:val="0"/>
      <w:marRight w:val="0"/>
      <w:marTop w:val="0"/>
      <w:marBottom w:val="0"/>
      <w:divBdr>
        <w:top w:val="none" w:sz="0" w:space="0" w:color="auto"/>
        <w:left w:val="none" w:sz="0" w:space="0" w:color="auto"/>
        <w:bottom w:val="none" w:sz="0" w:space="0" w:color="auto"/>
        <w:right w:val="none" w:sz="0" w:space="0" w:color="auto"/>
      </w:divBdr>
    </w:div>
    <w:div w:id="587664447">
      <w:bodyDiv w:val="1"/>
      <w:marLeft w:val="0"/>
      <w:marRight w:val="0"/>
      <w:marTop w:val="0"/>
      <w:marBottom w:val="0"/>
      <w:divBdr>
        <w:top w:val="none" w:sz="0" w:space="0" w:color="auto"/>
        <w:left w:val="none" w:sz="0" w:space="0" w:color="auto"/>
        <w:bottom w:val="none" w:sz="0" w:space="0" w:color="auto"/>
        <w:right w:val="none" w:sz="0" w:space="0" w:color="auto"/>
      </w:divBdr>
    </w:div>
    <w:div w:id="587888323">
      <w:bodyDiv w:val="1"/>
      <w:marLeft w:val="0"/>
      <w:marRight w:val="0"/>
      <w:marTop w:val="0"/>
      <w:marBottom w:val="0"/>
      <w:divBdr>
        <w:top w:val="none" w:sz="0" w:space="0" w:color="auto"/>
        <w:left w:val="none" w:sz="0" w:space="0" w:color="auto"/>
        <w:bottom w:val="none" w:sz="0" w:space="0" w:color="auto"/>
        <w:right w:val="none" w:sz="0" w:space="0" w:color="auto"/>
      </w:divBdr>
    </w:div>
    <w:div w:id="588931307">
      <w:bodyDiv w:val="1"/>
      <w:marLeft w:val="0"/>
      <w:marRight w:val="0"/>
      <w:marTop w:val="0"/>
      <w:marBottom w:val="0"/>
      <w:divBdr>
        <w:top w:val="none" w:sz="0" w:space="0" w:color="auto"/>
        <w:left w:val="none" w:sz="0" w:space="0" w:color="auto"/>
        <w:bottom w:val="none" w:sz="0" w:space="0" w:color="auto"/>
        <w:right w:val="none" w:sz="0" w:space="0" w:color="auto"/>
      </w:divBdr>
    </w:div>
    <w:div w:id="588975589">
      <w:bodyDiv w:val="1"/>
      <w:marLeft w:val="0"/>
      <w:marRight w:val="0"/>
      <w:marTop w:val="0"/>
      <w:marBottom w:val="0"/>
      <w:divBdr>
        <w:top w:val="none" w:sz="0" w:space="0" w:color="auto"/>
        <w:left w:val="none" w:sz="0" w:space="0" w:color="auto"/>
        <w:bottom w:val="none" w:sz="0" w:space="0" w:color="auto"/>
        <w:right w:val="none" w:sz="0" w:space="0" w:color="auto"/>
      </w:divBdr>
    </w:div>
    <w:div w:id="589889916">
      <w:bodyDiv w:val="1"/>
      <w:marLeft w:val="0"/>
      <w:marRight w:val="0"/>
      <w:marTop w:val="0"/>
      <w:marBottom w:val="0"/>
      <w:divBdr>
        <w:top w:val="none" w:sz="0" w:space="0" w:color="auto"/>
        <w:left w:val="none" w:sz="0" w:space="0" w:color="auto"/>
        <w:bottom w:val="none" w:sz="0" w:space="0" w:color="auto"/>
        <w:right w:val="none" w:sz="0" w:space="0" w:color="auto"/>
      </w:divBdr>
    </w:div>
    <w:div w:id="590355409">
      <w:bodyDiv w:val="1"/>
      <w:marLeft w:val="0"/>
      <w:marRight w:val="0"/>
      <w:marTop w:val="0"/>
      <w:marBottom w:val="0"/>
      <w:divBdr>
        <w:top w:val="none" w:sz="0" w:space="0" w:color="auto"/>
        <w:left w:val="none" w:sz="0" w:space="0" w:color="auto"/>
        <w:bottom w:val="none" w:sz="0" w:space="0" w:color="auto"/>
        <w:right w:val="none" w:sz="0" w:space="0" w:color="auto"/>
      </w:divBdr>
    </w:div>
    <w:div w:id="590552986">
      <w:bodyDiv w:val="1"/>
      <w:marLeft w:val="0"/>
      <w:marRight w:val="0"/>
      <w:marTop w:val="0"/>
      <w:marBottom w:val="0"/>
      <w:divBdr>
        <w:top w:val="none" w:sz="0" w:space="0" w:color="auto"/>
        <w:left w:val="none" w:sz="0" w:space="0" w:color="auto"/>
        <w:bottom w:val="none" w:sz="0" w:space="0" w:color="auto"/>
        <w:right w:val="none" w:sz="0" w:space="0" w:color="auto"/>
      </w:divBdr>
    </w:div>
    <w:div w:id="591206460">
      <w:bodyDiv w:val="1"/>
      <w:marLeft w:val="0"/>
      <w:marRight w:val="0"/>
      <w:marTop w:val="0"/>
      <w:marBottom w:val="0"/>
      <w:divBdr>
        <w:top w:val="none" w:sz="0" w:space="0" w:color="auto"/>
        <w:left w:val="none" w:sz="0" w:space="0" w:color="auto"/>
        <w:bottom w:val="none" w:sz="0" w:space="0" w:color="auto"/>
        <w:right w:val="none" w:sz="0" w:space="0" w:color="auto"/>
      </w:divBdr>
    </w:div>
    <w:div w:id="591207913">
      <w:bodyDiv w:val="1"/>
      <w:marLeft w:val="0"/>
      <w:marRight w:val="0"/>
      <w:marTop w:val="0"/>
      <w:marBottom w:val="0"/>
      <w:divBdr>
        <w:top w:val="none" w:sz="0" w:space="0" w:color="auto"/>
        <w:left w:val="none" w:sz="0" w:space="0" w:color="auto"/>
        <w:bottom w:val="none" w:sz="0" w:space="0" w:color="auto"/>
        <w:right w:val="none" w:sz="0" w:space="0" w:color="auto"/>
      </w:divBdr>
    </w:div>
    <w:div w:id="591357566">
      <w:bodyDiv w:val="1"/>
      <w:marLeft w:val="0"/>
      <w:marRight w:val="0"/>
      <w:marTop w:val="0"/>
      <w:marBottom w:val="0"/>
      <w:divBdr>
        <w:top w:val="none" w:sz="0" w:space="0" w:color="auto"/>
        <w:left w:val="none" w:sz="0" w:space="0" w:color="auto"/>
        <w:bottom w:val="none" w:sz="0" w:space="0" w:color="auto"/>
        <w:right w:val="none" w:sz="0" w:space="0" w:color="auto"/>
      </w:divBdr>
    </w:div>
    <w:div w:id="592200866">
      <w:bodyDiv w:val="1"/>
      <w:marLeft w:val="0"/>
      <w:marRight w:val="0"/>
      <w:marTop w:val="0"/>
      <w:marBottom w:val="0"/>
      <w:divBdr>
        <w:top w:val="none" w:sz="0" w:space="0" w:color="auto"/>
        <w:left w:val="none" w:sz="0" w:space="0" w:color="auto"/>
        <w:bottom w:val="none" w:sz="0" w:space="0" w:color="auto"/>
        <w:right w:val="none" w:sz="0" w:space="0" w:color="auto"/>
      </w:divBdr>
    </w:div>
    <w:div w:id="593905371">
      <w:bodyDiv w:val="1"/>
      <w:marLeft w:val="0"/>
      <w:marRight w:val="0"/>
      <w:marTop w:val="0"/>
      <w:marBottom w:val="0"/>
      <w:divBdr>
        <w:top w:val="none" w:sz="0" w:space="0" w:color="auto"/>
        <w:left w:val="none" w:sz="0" w:space="0" w:color="auto"/>
        <w:bottom w:val="none" w:sz="0" w:space="0" w:color="auto"/>
        <w:right w:val="none" w:sz="0" w:space="0" w:color="auto"/>
      </w:divBdr>
    </w:div>
    <w:div w:id="596407158">
      <w:bodyDiv w:val="1"/>
      <w:marLeft w:val="0"/>
      <w:marRight w:val="0"/>
      <w:marTop w:val="0"/>
      <w:marBottom w:val="0"/>
      <w:divBdr>
        <w:top w:val="none" w:sz="0" w:space="0" w:color="auto"/>
        <w:left w:val="none" w:sz="0" w:space="0" w:color="auto"/>
        <w:bottom w:val="none" w:sz="0" w:space="0" w:color="auto"/>
        <w:right w:val="none" w:sz="0" w:space="0" w:color="auto"/>
      </w:divBdr>
    </w:div>
    <w:div w:id="596446603">
      <w:bodyDiv w:val="1"/>
      <w:marLeft w:val="0"/>
      <w:marRight w:val="0"/>
      <w:marTop w:val="0"/>
      <w:marBottom w:val="0"/>
      <w:divBdr>
        <w:top w:val="none" w:sz="0" w:space="0" w:color="auto"/>
        <w:left w:val="none" w:sz="0" w:space="0" w:color="auto"/>
        <w:bottom w:val="none" w:sz="0" w:space="0" w:color="auto"/>
        <w:right w:val="none" w:sz="0" w:space="0" w:color="auto"/>
      </w:divBdr>
    </w:div>
    <w:div w:id="597098893">
      <w:bodyDiv w:val="1"/>
      <w:marLeft w:val="0"/>
      <w:marRight w:val="0"/>
      <w:marTop w:val="0"/>
      <w:marBottom w:val="0"/>
      <w:divBdr>
        <w:top w:val="none" w:sz="0" w:space="0" w:color="auto"/>
        <w:left w:val="none" w:sz="0" w:space="0" w:color="auto"/>
        <w:bottom w:val="none" w:sz="0" w:space="0" w:color="auto"/>
        <w:right w:val="none" w:sz="0" w:space="0" w:color="auto"/>
      </w:divBdr>
    </w:div>
    <w:div w:id="597324822">
      <w:bodyDiv w:val="1"/>
      <w:marLeft w:val="0"/>
      <w:marRight w:val="0"/>
      <w:marTop w:val="0"/>
      <w:marBottom w:val="0"/>
      <w:divBdr>
        <w:top w:val="none" w:sz="0" w:space="0" w:color="auto"/>
        <w:left w:val="none" w:sz="0" w:space="0" w:color="auto"/>
        <w:bottom w:val="none" w:sz="0" w:space="0" w:color="auto"/>
        <w:right w:val="none" w:sz="0" w:space="0" w:color="auto"/>
      </w:divBdr>
    </w:div>
    <w:div w:id="598374077">
      <w:bodyDiv w:val="1"/>
      <w:marLeft w:val="0"/>
      <w:marRight w:val="0"/>
      <w:marTop w:val="0"/>
      <w:marBottom w:val="0"/>
      <w:divBdr>
        <w:top w:val="none" w:sz="0" w:space="0" w:color="auto"/>
        <w:left w:val="none" w:sz="0" w:space="0" w:color="auto"/>
        <w:bottom w:val="none" w:sz="0" w:space="0" w:color="auto"/>
        <w:right w:val="none" w:sz="0" w:space="0" w:color="auto"/>
      </w:divBdr>
    </w:div>
    <w:div w:id="599067519">
      <w:bodyDiv w:val="1"/>
      <w:marLeft w:val="0"/>
      <w:marRight w:val="0"/>
      <w:marTop w:val="0"/>
      <w:marBottom w:val="0"/>
      <w:divBdr>
        <w:top w:val="none" w:sz="0" w:space="0" w:color="auto"/>
        <w:left w:val="none" w:sz="0" w:space="0" w:color="auto"/>
        <w:bottom w:val="none" w:sz="0" w:space="0" w:color="auto"/>
        <w:right w:val="none" w:sz="0" w:space="0" w:color="auto"/>
      </w:divBdr>
    </w:div>
    <w:div w:id="599610279">
      <w:bodyDiv w:val="1"/>
      <w:marLeft w:val="0"/>
      <w:marRight w:val="0"/>
      <w:marTop w:val="0"/>
      <w:marBottom w:val="0"/>
      <w:divBdr>
        <w:top w:val="none" w:sz="0" w:space="0" w:color="auto"/>
        <w:left w:val="none" w:sz="0" w:space="0" w:color="auto"/>
        <w:bottom w:val="none" w:sz="0" w:space="0" w:color="auto"/>
        <w:right w:val="none" w:sz="0" w:space="0" w:color="auto"/>
      </w:divBdr>
    </w:div>
    <w:div w:id="599801809">
      <w:bodyDiv w:val="1"/>
      <w:marLeft w:val="0"/>
      <w:marRight w:val="0"/>
      <w:marTop w:val="0"/>
      <w:marBottom w:val="0"/>
      <w:divBdr>
        <w:top w:val="none" w:sz="0" w:space="0" w:color="auto"/>
        <w:left w:val="none" w:sz="0" w:space="0" w:color="auto"/>
        <w:bottom w:val="none" w:sz="0" w:space="0" w:color="auto"/>
        <w:right w:val="none" w:sz="0" w:space="0" w:color="auto"/>
      </w:divBdr>
    </w:div>
    <w:div w:id="599919210">
      <w:bodyDiv w:val="1"/>
      <w:marLeft w:val="0"/>
      <w:marRight w:val="0"/>
      <w:marTop w:val="0"/>
      <w:marBottom w:val="0"/>
      <w:divBdr>
        <w:top w:val="none" w:sz="0" w:space="0" w:color="auto"/>
        <w:left w:val="none" w:sz="0" w:space="0" w:color="auto"/>
        <w:bottom w:val="none" w:sz="0" w:space="0" w:color="auto"/>
        <w:right w:val="none" w:sz="0" w:space="0" w:color="auto"/>
      </w:divBdr>
    </w:div>
    <w:div w:id="600261388">
      <w:bodyDiv w:val="1"/>
      <w:marLeft w:val="0"/>
      <w:marRight w:val="0"/>
      <w:marTop w:val="0"/>
      <w:marBottom w:val="0"/>
      <w:divBdr>
        <w:top w:val="none" w:sz="0" w:space="0" w:color="auto"/>
        <w:left w:val="none" w:sz="0" w:space="0" w:color="auto"/>
        <w:bottom w:val="none" w:sz="0" w:space="0" w:color="auto"/>
        <w:right w:val="none" w:sz="0" w:space="0" w:color="auto"/>
      </w:divBdr>
    </w:div>
    <w:div w:id="600458930">
      <w:bodyDiv w:val="1"/>
      <w:marLeft w:val="0"/>
      <w:marRight w:val="0"/>
      <w:marTop w:val="0"/>
      <w:marBottom w:val="0"/>
      <w:divBdr>
        <w:top w:val="none" w:sz="0" w:space="0" w:color="auto"/>
        <w:left w:val="none" w:sz="0" w:space="0" w:color="auto"/>
        <w:bottom w:val="none" w:sz="0" w:space="0" w:color="auto"/>
        <w:right w:val="none" w:sz="0" w:space="0" w:color="auto"/>
      </w:divBdr>
    </w:div>
    <w:div w:id="603613415">
      <w:bodyDiv w:val="1"/>
      <w:marLeft w:val="0"/>
      <w:marRight w:val="0"/>
      <w:marTop w:val="0"/>
      <w:marBottom w:val="0"/>
      <w:divBdr>
        <w:top w:val="none" w:sz="0" w:space="0" w:color="auto"/>
        <w:left w:val="none" w:sz="0" w:space="0" w:color="auto"/>
        <w:bottom w:val="none" w:sz="0" w:space="0" w:color="auto"/>
        <w:right w:val="none" w:sz="0" w:space="0" w:color="auto"/>
      </w:divBdr>
    </w:div>
    <w:div w:id="604113511">
      <w:bodyDiv w:val="1"/>
      <w:marLeft w:val="0"/>
      <w:marRight w:val="0"/>
      <w:marTop w:val="0"/>
      <w:marBottom w:val="0"/>
      <w:divBdr>
        <w:top w:val="none" w:sz="0" w:space="0" w:color="auto"/>
        <w:left w:val="none" w:sz="0" w:space="0" w:color="auto"/>
        <w:bottom w:val="none" w:sz="0" w:space="0" w:color="auto"/>
        <w:right w:val="none" w:sz="0" w:space="0" w:color="auto"/>
      </w:divBdr>
    </w:div>
    <w:div w:id="605388297">
      <w:bodyDiv w:val="1"/>
      <w:marLeft w:val="0"/>
      <w:marRight w:val="0"/>
      <w:marTop w:val="0"/>
      <w:marBottom w:val="0"/>
      <w:divBdr>
        <w:top w:val="none" w:sz="0" w:space="0" w:color="auto"/>
        <w:left w:val="none" w:sz="0" w:space="0" w:color="auto"/>
        <w:bottom w:val="none" w:sz="0" w:space="0" w:color="auto"/>
        <w:right w:val="none" w:sz="0" w:space="0" w:color="auto"/>
      </w:divBdr>
    </w:div>
    <w:div w:id="605963544">
      <w:bodyDiv w:val="1"/>
      <w:marLeft w:val="0"/>
      <w:marRight w:val="0"/>
      <w:marTop w:val="0"/>
      <w:marBottom w:val="0"/>
      <w:divBdr>
        <w:top w:val="none" w:sz="0" w:space="0" w:color="auto"/>
        <w:left w:val="none" w:sz="0" w:space="0" w:color="auto"/>
        <w:bottom w:val="none" w:sz="0" w:space="0" w:color="auto"/>
        <w:right w:val="none" w:sz="0" w:space="0" w:color="auto"/>
      </w:divBdr>
    </w:div>
    <w:div w:id="606929936">
      <w:bodyDiv w:val="1"/>
      <w:marLeft w:val="0"/>
      <w:marRight w:val="0"/>
      <w:marTop w:val="0"/>
      <w:marBottom w:val="0"/>
      <w:divBdr>
        <w:top w:val="none" w:sz="0" w:space="0" w:color="auto"/>
        <w:left w:val="none" w:sz="0" w:space="0" w:color="auto"/>
        <w:bottom w:val="none" w:sz="0" w:space="0" w:color="auto"/>
        <w:right w:val="none" w:sz="0" w:space="0" w:color="auto"/>
      </w:divBdr>
    </w:div>
    <w:div w:id="607078076">
      <w:bodyDiv w:val="1"/>
      <w:marLeft w:val="0"/>
      <w:marRight w:val="0"/>
      <w:marTop w:val="0"/>
      <w:marBottom w:val="0"/>
      <w:divBdr>
        <w:top w:val="none" w:sz="0" w:space="0" w:color="auto"/>
        <w:left w:val="none" w:sz="0" w:space="0" w:color="auto"/>
        <w:bottom w:val="none" w:sz="0" w:space="0" w:color="auto"/>
        <w:right w:val="none" w:sz="0" w:space="0" w:color="auto"/>
      </w:divBdr>
    </w:div>
    <w:div w:id="608898423">
      <w:bodyDiv w:val="1"/>
      <w:marLeft w:val="0"/>
      <w:marRight w:val="0"/>
      <w:marTop w:val="0"/>
      <w:marBottom w:val="0"/>
      <w:divBdr>
        <w:top w:val="none" w:sz="0" w:space="0" w:color="auto"/>
        <w:left w:val="none" w:sz="0" w:space="0" w:color="auto"/>
        <w:bottom w:val="none" w:sz="0" w:space="0" w:color="auto"/>
        <w:right w:val="none" w:sz="0" w:space="0" w:color="auto"/>
      </w:divBdr>
    </w:div>
    <w:div w:id="610209168">
      <w:bodyDiv w:val="1"/>
      <w:marLeft w:val="0"/>
      <w:marRight w:val="0"/>
      <w:marTop w:val="0"/>
      <w:marBottom w:val="0"/>
      <w:divBdr>
        <w:top w:val="none" w:sz="0" w:space="0" w:color="auto"/>
        <w:left w:val="none" w:sz="0" w:space="0" w:color="auto"/>
        <w:bottom w:val="none" w:sz="0" w:space="0" w:color="auto"/>
        <w:right w:val="none" w:sz="0" w:space="0" w:color="auto"/>
      </w:divBdr>
    </w:div>
    <w:div w:id="612202187">
      <w:bodyDiv w:val="1"/>
      <w:marLeft w:val="0"/>
      <w:marRight w:val="0"/>
      <w:marTop w:val="0"/>
      <w:marBottom w:val="0"/>
      <w:divBdr>
        <w:top w:val="none" w:sz="0" w:space="0" w:color="auto"/>
        <w:left w:val="none" w:sz="0" w:space="0" w:color="auto"/>
        <w:bottom w:val="none" w:sz="0" w:space="0" w:color="auto"/>
        <w:right w:val="none" w:sz="0" w:space="0" w:color="auto"/>
      </w:divBdr>
    </w:div>
    <w:div w:id="612369155">
      <w:bodyDiv w:val="1"/>
      <w:marLeft w:val="0"/>
      <w:marRight w:val="0"/>
      <w:marTop w:val="0"/>
      <w:marBottom w:val="0"/>
      <w:divBdr>
        <w:top w:val="none" w:sz="0" w:space="0" w:color="auto"/>
        <w:left w:val="none" w:sz="0" w:space="0" w:color="auto"/>
        <w:bottom w:val="none" w:sz="0" w:space="0" w:color="auto"/>
        <w:right w:val="none" w:sz="0" w:space="0" w:color="auto"/>
      </w:divBdr>
    </w:div>
    <w:div w:id="612440492">
      <w:bodyDiv w:val="1"/>
      <w:marLeft w:val="0"/>
      <w:marRight w:val="0"/>
      <w:marTop w:val="0"/>
      <w:marBottom w:val="0"/>
      <w:divBdr>
        <w:top w:val="none" w:sz="0" w:space="0" w:color="auto"/>
        <w:left w:val="none" w:sz="0" w:space="0" w:color="auto"/>
        <w:bottom w:val="none" w:sz="0" w:space="0" w:color="auto"/>
        <w:right w:val="none" w:sz="0" w:space="0" w:color="auto"/>
      </w:divBdr>
    </w:div>
    <w:div w:id="612633760">
      <w:bodyDiv w:val="1"/>
      <w:marLeft w:val="0"/>
      <w:marRight w:val="0"/>
      <w:marTop w:val="0"/>
      <w:marBottom w:val="0"/>
      <w:divBdr>
        <w:top w:val="none" w:sz="0" w:space="0" w:color="auto"/>
        <w:left w:val="none" w:sz="0" w:space="0" w:color="auto"/>
        <w:bottom w:val="none" w:sz="0" w:space="0" w:color="auto"/>
        <w:right w:val="none" w:sz="0" w:space="0" w:color="auto"/>
      </w:divBdr>
    </w:div>
    <w:div w:id="613947909">
      <w:bodyDiv w:val="1"/>
      <w:marLeft w:val="0"/>
      <w:marRight w:val="0"/>
      <w:marTop w:val="0"/>
      <w:marBottom w:val="0"/>
      <w:divBdr>
        <w:top w:val="none" w:sz="0" w:space="0" w:color="auto"/>
        <w:left w:val="none" w:sz="0" w:space="0" w:color="auto"/>
        <w:bottom w:val="none" w:sz="0" w:space="0" w:color="auto"/>
        <w:right w:val="none" w:sz="0" w:space="0" w:color="auto"/>
      </w:divBdr>
    </w:div>
    <w:div w:id="614098514">
      <w:bodyDiv w:val="1"/>
      <w:marLeft w:val="0"/>
      <w:marRight w:val="0"/>
      <w:marTop w:val="0"/>
      <w:marBottom w:val="0"/>
      <w:divBdr>
        <w:top w:val="none" w:sz="0" w:space="0" w:color="auto"/>
        <w:left w:val="none" w:sz="0" w:space="0" w:color="auto"/>
        <w:bottom w:val="none" w:sz="0" w:space="0" w:color="auto"/>
        <w:right w:val="none" w:sz="0" w:space="0" w:color="auto"/>
      </w:divBdr>
    </w:div>
    <w:div w:id="615335915">
      <w:bodyDiv w:val="1"/>
      <w:marLeft w:val="0"/>
      <w:marRight w:val="0"/>
      <w:marTop w:val="0"/>
      <w:marBottom w:val="0"/>
      <w:divBdr>
        <w:top w:val="none" w:sz="0" w:space="0" w:color="auto"/>
        <w:left w:val="none" w:sz="0" w:space="0" w:color="auto"/>
        <w:bottom w:val="none" w:sz="0" w:space="0" w:color="auto"/>
        <w:right w:val="none" w:sz="0" w:space="0" w:color="auto"/>
      </w:divBdr>
    </w:div>
    <w:div w:id="615602860">
      <w:bodyDiv w:val="1"/>
      <w:marLeft w:val="0"/>
      <w:marRight w:val="0"/>
      <w:marTop w:val="0"/>
      <w:marBottom w:val="0"/>
      <w:divBdr>
        <w:top w:val="none" w:sz="0" w:space="0" w:color="auto"/>
        <w:left w:val="none" w:sz="0" w:space="0" w:color="auto"/>
        <w:bottom w:val="none" w:sz="0" w:space="0" w:color="auto"/>
        <w:right w:val="none" w:sz="0" w:space="0" w:color="auto"/>
      </w:divBdr>
    </w:div>
    <w:div w:id="616563095">
      <w:bodyDiv w:val="1"/>
      <w:marLeft w:val="0"/>
      <w:marRight w:val="0"/>
      <w:marTop w:val="0"/>
      <w:marBottom w:val="0"/>
      <w:divBdr>
        <w:top w:val="none" w:sz="0" w:space="0" w:color="auto"/>
        <w:left w:val="none" w:sz="0" w:space="0" w:color="auto"/>
        <w:bottom w:val="none" w:sz="0" w:space="0" w:color="auto"/>
        <w:right w:val="none" w:sz="0" w:space="0" w:color="auto"/>
      </w:divBdr>
    </w:div>
    <w:div w:id="617101132">
      <w:bodyDiv w:val="1"/>
      <w:marLeft w:val="0"/>
      <w:marRight w:val="0"/>
      <w:marTop w:val="0"/>
      <w:marBottom w:val="0"/>
      <w:divBdr>
        <w:top w:val="none" w:sz="0" w:space="0" w:color="auto"/>
        <w:left w:val="none" w:sz="0" w:space="0" w:color="auto"/>
        <w:bottom w:val="none" w:sz="0" w:space="0" w:color="auto"/>
        <w:right w:val="none" w:sz="0" w:space="0" w:color="auto"/>
      </w:divBdr>
    </w:div>
    <w:div w:id="617369200">
      <w:bodyDiv w:val="1"/>
      <w:marLeft w:val="0"/>
      <w:marRight w:val="0"/>
      <w:marTop w:val="0"/>
      <w:marBottom w:val="0"/>
      <w:divBdr>
        <w:top w:val="none" w:sz="0" w:space="0" w:color="auto"/>
        <w:left w:val="none" w:sz="0" w:space="0" w:color="auto"/>
        <w:bottom w:val="none" w:sz="0" w:space="0" w:color="auto"/>
        <w:right w:val="none" w:sz="0" w:space="0" w:color="auto"/>
      </w:divBdr>
    </w:div>
    <w:div w:id="617563440">
      <w:bodyDiv w:val="1"/>
      <w:marLeft w:val="0"/>
      <w:marRight w:val="0"/>
      <w:marTop w:val="0"/>
      <w:marBottom w:val="0"/>
      <w:divBdr>
        <w:top w:val="none" w:sz="0" w:space="0" w:color="auto"/>
        <w:left w:val="none" w:sz="0" w:space="0" w:color="auto"/>
        <w:bottom w:val="none" w:sz="0" w:space="0" w:color="auto"/>
        <w:right w:val="none" w:sz="0" w:space="0" w:color="auto"/>
      </w:divBdr>
    </w:div>
    <w:div w:id="617840344">
      <w:bodyDiv w:val="1"/>
      <w:marLeft w:val="0"/>
      <w:marRight w:val="0"/>
      <w:marTop w:val="0"/>
      <w:marBottom w:val="0"/>
      <w:divBdr>
        <w:top w:val="none" w:sz="0" w:space="0" w:color="auto"/>
        <w:left w:val="none" w:sz="0" w:space="0" w:color="auto"/>
        <w:bottom w:val="none" w:sz="0" w:space="0" w:color="auto"/>
        <w:right w:val="none" w:sz="0" w:space="0" w:color="auto"/>
      </w:divBdr>
    </w:div>
    <w:div w:id="618561325">
      <w:bodyDiv w:val="1"/>
      <w:marLeft w:val="0"/>
      <w:marRight w:val="0"/>
      <w:marTop w:val="0"/>
      <w:marBottom w:val="0"/>
      <w:divBdr>
        <w:top w:val="none" w:sz="0" w:space="0" w:color="auto"/>
        <w:left w:val="none" w:sz="0" w:space="0" w:color="auto"/>
        <w:bottom w:val="none" w:sz="0" w:space="0" w:color="auto"/>
        <w:right w:val="none" w:sz="0" w:space="0" w:color="auto"/>
      </w:divBdr>
    </w:div>
    <w:div w:id="621033376">
      <w:bodyDiv w:val="1"/>
      <w:marLeft w:val="0"/>
      <w:marRight w:val="0"/>
      <w:marTop w:val="0"/>
      <w:marBottom w:val="0"/>
      <w:divBdr>
        <w:top w:val="none" w:sz="0" w:space="0" w:color="auto"/>
        <w:left w:val="none" w:sz="0" w:space="0" w:color="auto"/>
        <w:bottom w:val="none" w:sz="0" w:space="0" w:color="auto"/>
        <w:right w:val="none" w:sz="0" w:space="0" w:color="auto"/>
      </w:divBdr>
    </w:div>
    <w:div w:id="621301437">
      <w:bodyDiv w:val="1"/>
      <w:marLeft w:val="0"/>
      <w:marRight w:val="0"/>
      <w:marTop w:val="0"/>
      <w:marBottom w:val="0"/>
      <w:divBdr>
        <w:top w:val="none" w:sz="0" w:space="0" w:color="auto"/>
        <w:left w:val="none" w:sz="0" w:space="0" w:color="auto"/>
        <w:bottom w:val="none" w:sz="0" w:space="0" w:color="auto"/>
        <w:right w:val="none" w:sz="0" w:space="0" w:color="auto"/>
      </w:divBdr>
    </w:div>
    <w:div w:id="622229440">
      <w:bodyDiv w:val="1"/>
      <w:marLeft w:val="0"/>
      <w:marRight w:val="0"/>
      <w:marTop w:val="0"/>
      <w:marBottom w:val="0"/>
      <w:divBdr>
        <w:top w:val="none" w:sz="0" w:space="0" w:color="auto"/>
        <w:left w:val="none" w:sz="0" w:space="0" w:color="auto"/>
        <w:bottom w:val="none" w:sz="0" w:space="0" w:color="auto"/>
        <w:right w:val="none" w:sz="0" w:space="0" w:color="auto"/>
      </w:divBdr>
    </w:div>
    <w:div w:id="622927260">
      <w:bodyDiv w:val="1"/>
      <w:marLeft w:val="0"/>
      <w:marRight w:val="0"/>
      <w:marTop w:val="0"/>
      <w:marBottom w:val="0"/>
      <w:divBdr>
        <w:top w:val="none" w:sz="0" w:space="0" w:color="auto"/>
        <w:left w:val="none" w:sz="0" w:space="0" w:color="auto"/>
        <w:bottom w:val="none" w:sz="0" w:space="0" w:color="auto"/>
        <w:right w:val="none" w:sz="0" w:space="0" w:color="auto"/>
      </w:divBdr>
    </w:div>
    <w:div w:id="623003647">
      <w:bodyDiv w:val="1"/>
      <w:marLeft w:val="0"/>
      <w:marRight w:val="0"/>
      <w:marTop w:val="0"/>
      <w:marBottom w:val="0"/>
      <w:divBdr>
        <w:top w:val="none" w:sz="0" w:space="0" w:color="auto"/>
        <w:left w:val="none" w:sz="0" w:space="0" w:color="auto"/>
        <w:bottom w:val="none" w:sz="0" w:space="0" w:color="auto"/>
        <w:right w:val="none" w:sz="0" w:space="0" w:color="auto"/>
      </w:divBdr>
    </w:div>
    <w:div w:id="623006148">
      <w:bodyDiv w:val="1"/>
      <w:marLeft w:val="0"/>
      <w:marRight w:val="0"/>
      <w:marTop w:val="0"/>
      <w:marBottom w:val="0"/>
      <w:divBdr>
        <w:top w:val="none" w:sz="0" w:space="0" w:color="auto"/>
        <w:left w:val="none" w:sz="0" w:space="0" w:color="auto"/>
        <w:bottom w:val="none" w:sz="0" w:space="0" w:color="auto"/>
        <w:right w:val="none" w:sz="0" w:space="0" w:color="auto"/>
      </w:divBdr>
    </w:div>
    <w:div w:id="623148295">
      <w:bodyDiv w:val="1"/>
      <w:marLeft w:val="0"/>
      <w:marRight w:val="0"/>
      <w:marTop w:val="0"/>
      <w:marBottom w:val="0"/>
      <w:divBdr>
        <w:top w:val="none" w:sz="0" w:space="0" w:color="auto"/>
        <w:left w:val="none" w:sz="0" w:space="0" w:color="auto"/>
        <w:bottom w:val="none" w:sz="0" w:space="0" w:color="auto"/>
        <w:right w:val="none" w:sz="0" w:space="0" w:color="auto"/>
      </w:divBdr>
    </w:div>
    <w:div w:id="623459391">
      <w:bodyDiv w:val="1"/>
      <w:marLeft w:val="0"/>
      <w:marRight w:val="0"/>
      <w:marTop w:val="0"/>
      <w:marBottom w:val="0"/>
      <w:divBdr>
        <w:top w:val="none" w:sz="0" w:space="0" w:color="auto"/>
        <w:left w:val="none" w:sz="0" w:space="0" w:color="auto"/>
        <w:bottom w:val="none" w:sz="0" w:space="0" w:color="auto"/>
        <w:right w:val="none" w:sz="0" w:space="0" w:color="auto"/>
      </w:divBdr>
    </w:div>
    <w:div w:id="623925060">
      <w:bodyDiv w:val="1"/>
      <w:marLeft w:val="0"/>
      <w:marRight w:val="0"/>
      <w:marTop w:val="0"/>
      <w:marBottom w:val="0"/>
      <w:divBdr>
        <w:top w:val="none" w:sz="0" w:space="0" w:color="auto"/>
        <w:left w:val="none" w:sz="0" w:space="0" w:color="auto"/>
        <w:bottom w:val="none" w:sz="0" w:space="0" w:color="auto"/>
        <w:right w:val="none" w:sz="0" w:space="0" w:color="auto"/>
      </w:divBdr>
    </w:div>
    <w:div w:id="624196580">
      <w:bodyDiv w:val="1"/>
      <w:marLeft w:val="0"/>
      <w:marRight w:val="0"/>
      <w:marTop w:val="0"/>
      <w:marBottom w:val="0"/>
      <w:divBdr>
        <w:top w:val="none" w:sz="0" w:space="0" w:color="auto"/>
        <w:left w:val="none" w:sz="0" w:space="0" w:color="auto"/>
        <w:bottom w:val="none" w:sz="0" w:space="0" w:color="auto"/>
        <w:right w:val="none" w:sz="0" w:space="0" w:color="auto"/>
      </w:divBdr>
    </w:div>
    <w:div w:id="624585933">
      <w:bodyDiv w:val="1"/>
      <w:marLeft w:val="0"/>
      <w:marRight w:val="0"/>
      <w:marTop w:val="0"/>
      <w:marBottom w:val="0"/>
      <w:divBdr>
        <w:top w:val="none" w:sz="0" w:space="0" w:color="auto"/>
        <w:left w:val="none" w:sz="0" w:space="0" w:color="auto"/>
        <w:bottom w:val="none" w:sz="0" w:space="0" w:color="auto"/>
        <w:right w:val="none" w:sz="0" w:space="0" w:color="auto"/>
      </w:divBdr>
    </w:div>
    <w:div w:id="624702229">
      <w:bodyDiv w:val="1"/>
      <w:marLeft w:val="0"/>
      <w:marRight w:val="0"/>
      <w:marTop w:val="0"/>
      <w:marBottom w:val="0"/>
      <w:divBdr>
        <w:top w:val="none" w:sz="0" w:space="0" w:color="auto"/>
        <w:left w:val="none" w:sz="0" w:space="0" w:color="auto"/>
        <w:bottom w:val="none" w:sz="0" w:space="0" w:color="auto"/>
        <w:right w:val="none" w:sz="0" w:space="0" w:color="auto"/>
      </w:divBdr>
    </w:div>
    <w:div w:id="625084957">
      <w:bodyDiv w:val="1"/>
      <w:marLeft w:val="0"/>
      <w:marRight w:val="0"/>
      <w:marTop w:val="0"/>
      <w:marBottom w:val="0"/>
      <w:divBdr>
        <w:top w:val="none" w:sz="0" w:space="0" w:color="auto"/>
        <w:left w:val="none" w:sz="0" w:space="0" w:color="auto"/>
        <w:bottom w:val="none" w:sz="0" w:space="0" w:color="auto"/>
        <w:right w:val="none" w:sz="0" w:space="0" w:color="auto"/>
      </w:divBdr>
    </w:div>
    <w:div w:id="625628078">
      <w:bodyDiv w:val="1"/>
      <w:marLeft w:val="0"/>
      <w:marRight w:val="0"/>
      <w:marTop w:val="0"/>
      <w:marBottom w:val="0"/>
      <w:divBdr>
        <w:top w:val="none" w:sz="0" w:space="0" w:color="auto"/>
        <w:left w:val="none" w:sz="0" w:space="0" w:color="auto"/>
        <w:bottom w:val="none" w:sz="0" w:space="0" w:color="auto"/>
        <w:right w:val="none" w:sz="0" w:space="0" w:color="auto"/>
      </w:divBdr>
    </w:div>
    <w:div w:id="626204354">
      <w:bodyDiv w:val="1"/>
      <w:marLeft w:val="0"/>
      <w:marRight w:val="0"/>
      <w:marTop w:val="0"/>
      <w:marBottom w:val="0"/>
      <w:divBdr>
        <w:top w:val="none" w:sz="0" w:space="0" w:color="auto"/>
        <w:left w:val="none" w:sz="0" w:space="0" w:color="auto"/>
        <w:bottom w:val="none" w:sz="0" w:space="0" w:color="auto"/>
        <w:right w:val="none" w:sz="0" w:space="0" w:color="auto"/>
      </w:divBdr>
    </w:div>
    <w:div w:id="629089372">
      <w:bodyDiv w:val="1"/>
      <w:marLeft w:val="0"/>
      <w:marRight w:val="0"/>
      <w:marTop w:val="0"/>
      <w:marBottom w:val="0"/>
      <w:divBdr>
        <w:top w:val="none" w:sz="0" w:space="0" w:color="auto"/>
        <w:left w:val="none" w:sz="0" w:space="0" w:color="auto"/>
        <w:bottom w:val="none" w:sz="0" w:space="0" w:color="auto"/>
        <w:right w:val="none" w:sz="0" w:space="0" w:color="auto"/>
      </w:divBdr>
    </w:div>
    <w:div w:id="630325878">
      <w:bodyDiv w:val="1"/>
      <w:marLeft w:val="0"/>
      <w:marRight w:val="0"/>
      <w:marTop w:val="0"/>
      <w:marBottom w:val="0"/>
      <w:divBdr>
        <w:top w:val="none" w:sz="0" w:space="0" w:color="auto"/>
        <w:left w:val="none" w:sz="0" w:space="0" w:color="auto"/>
        <w:bottom w:val="none" w:sz="0" w:space="0" w:color="auto"/>
        <w:right w:val="none" w:sz="0" w:space="0" w:color="auto"/>
      </w:divBdr>
    </w:div>
    <w:div w:id="632489595">
      <w:bodyDiv w:val="1"/>
      <w:marLeft w:val="0"/>
      <w:marRight w:val="0"/>
      <w:marTop w:val="0"/>
      <w:marBottom w:val="0"/>
      <w:divBdr>
        <w:top w:val="none" w:sz="0" w:space="0" w:color="auto"/>
        <w:left w:val="none" w:sz="0" w:space="0" w:color="auto"/>
        <w:bottom w:val="none" w:sz="0" w:space="0" w:color="auto"/>
        <w:right w:val="none" w:sz="0" w:space="0" w:color="auto"/>
      </w:divBdr>
    </w:div>
    <w:div w:id="633296062">
      <w:bodyDiv w:val="1"/>
      <w:marLeft w:val="0"/>
      <w:marRight w:val="0"/>
      <w:marTop w:val="0"/>
      <w:marBottom w:val="0"/>
      <w:divBdr>
        <w:top w:val="none" w:sz="0" w:space="0" w:color="auto"/>
        <w:left w:val="none" w:sz="0" w:space="0" w:color="auto"/>
        <w:bottom w:val="none" w:sz="0" w:space="0" w:color="auto"/>
        <w:right w:val="none" w:sz="0" w:space="0" w:color="auto"/>
      </w:divBdr>
    </w:div>
    <w:div w:id="634532425">
      <w:bodyDiv w:val="1"/>
      <w:marLeft w:val="0"/>
      <w:marRight w:val="0"/>
      <w:marTop w:val="0"/>
      <w:marBottom w:val="0"/>
      <w:divBdr>
        <w:top w:val="none" w:sz="0" w:space="0" w:color="auto"/>
        <w:left w:val="none" w:sz="0" w:space="0" w:color="auto"/>
        <w:bottom w:val="none" w:sz="0" w:space="0" w:color="auto"/>
        <w:right w:val="none" w:sz="0" w:space="0" w:color="auto"/>
      </w:divBdr>
    </w:div>
    <w:div w:id="635646162">
      <w:bodyDiv w:val="1"/>
      <w:marLeft w:val="0"/>
      <w:marRight w:val="0"/>
      <w:marTop w:val="0"/>
      <w:marBottom w:val="0"/>
      <w:divBdr>
        <w:top w:val="none" w:sz="0" w:space="0" w:color="auto"/>
        <w:left w:val="none" w:sz="0" w:space="0" w:color="auto"/>
        <w:bottom w:val="none" w:sz="0" w:space="0" w:color="auto"/>
        <w:right w:val="none" w:sz="0" w:space="0" w:color="auto"/>
      </w:divBdr>
    </w:div>
    <w:div w:id="636838799">
      <w:bodyDiv w:val="1"/>
      <w:marLeft w:val="0"/>
      <w:marRight w:val="0"/>
      <w:marTop w:val="0"/>
      <w:marBottom w:val="0"/>
      <w:divBdr>
        <w:top w:val="none" w:sz="0" w:space="0" w:color="auto"/>
        <w:left w:val="none" w:sz="0" w:space="0" w:color="auto"/>
        <w:bottom w:val="none" w:sz="0" w:space="0" w:color="auto"/>
        <w:right w:val="none" w:sz="0" w:space="0" w:color="auto"/>
      </w:divBdr>
    </w:div>
    <w:div w:id="638262302">
      <w:bodyDiv w:val="1"/>
      <w:marLeft w:val="0"/>
      <w:marRight w:val="0"/>
      <w:marTop w:val="0"/>
      <w:marBottom w:val="0"/>
      <w:divBdr>
        <w:top w:val="none" w:sz="0" w:space="0" w:color="auto"/>
        <w:left w:val="none" w:sz="0" w:space="0" w:color="auto"/>
        <w:bottom w:val="none" w:sz="0" w:space="0" w:color="auto"/>
        <w:right w:val="none" w:sz="0" w:space="0" w:color="auto"/>
      </w:divBdr>
    </w:div>
    <w:div w:id="638530658">
      <w:bodyDiv w:val="1"/>
      <w:marLeft w:val="0"/>
      <w:marRight w:val="0"/>
      <w:marTop w:val="0"/>
      <w:marBottom w:val="0"/>
      <w:divBdr>
        <w:top w:val="none" w:sz="0" w:space="0" w:color="auto"/>
        <w:left w:val="none" w:sz="0" w:space="0" w:color="auto"/>
        <w:bottom w:val="none" w:sz="0" w:space="0" w:color="auto"/>
        <w:right w:val="none" w:sz="0" w:space="0" w:color="auto"/>
      </w:divBdr>
    </w:div>
    <w:div w:id="638999583">
      <w:bodyDiv w:val="1"/>
      <w:marLeft w:val="0"/>
      <w:marRight w:val="0"/>
      <w:marTop w:val="0"/>
      <w:marBottom w:val="0"/>
      <w:divBdr>
        <w:top w:val="none" w:sz="0" w:space="0" w:color="auto"/>
        <w:left w:val="none" w:sz="0" w:space="0" w:color="auto"/>
        <w:bottom w:val="none" w:sz="0" w:space="0" w:color="auto"/>
        <w:right w:val="none" w:sz="0" w:space="0" w:color="auto"/>
      </w:divBdr>
    </w:div>
    <w:div w:id="641034453">
      <w:bodyDiv w:val="1"/>
      <w:marLeft w:val="0"/>
      <w:marRight w:val="0"/>
      <w:marTop w:val="0"/>
      <w:marBottom w:val="0"/>
      <w:divBdr>
        <w:top w:val="none" w:sz="0" w:space="0" w:color="auto"/>
        <w:left w:val="none" w:sz="0" w:space="0" w:color="auto"/>
        <w:bottom w:val="none" w:sz="0" w:space="0" w:color="auto"/>
        <w:right w:val="none" w:sz="0" w:space="0" w:color="auto"/>
      </w:divBdr>
    </w:div>
    <w:div w:id="641277257">
      <w:bodyDiv w:val="1"/>
      <w:marLeft w:val="0"/>
      <w:marRight w:val="0"/>
      <w:marTop w:val="0"/>
      <w:marBottom w:val="0"/>
      <w:divBdr>
        <w:top w:val="none" w:sz="0" w:space="0" w:color="auto"/>
        <w:left w:val="none" w:sz="0" w:space="0" w:color="auto"/>
        <w:bottom w:val="none" w:sz="0" w:space="0" w:color="auto"/>
        <w:right w:val="none" w:sz="0" w:space="0" w:color="auto"/>
      </w:divBdr>
    </w:div>
    <w:div w:id="642124805">
      <w:bodyDiv w:val="1"/>
      <w:marLeft w:val="0"/>
      <w:marRight w:val="0"/>
      <w:marTop w:val="0"/>
      <w:marBottom w:val="0"/>
      <w:divBdr>
        <w:top w:val="none" w:sz="0" w:space="0" w:color="auto"/>
        <w:left w:val="none" w:sz="0" w:space="0" w:color="auto"/>
        <w:bottom w:val="none" w:sz="0" w:space="0" w:color="auto"/>
        <w:right w:val="none" w:sz="0" w:space="0" w:color="auto"/>
      </w:divBdr>
    </w:div>
    <w:div w:id="642199533">
      <w:bodyDiv w:val="1"/>
      <w:marLeft w:val="0"/>
      <w:marRight w:val="0"/>
      <w:marTop w:val="0"/>
      <w:marBottom w:val="0"/>
      <w:divBdr>
        <w:top w:val="none" w:sz="0" w:space="0" w:color="auto"/>
        <w:left w:val="none" w:sz="0" w:space="0" w:color="auto"/>
        <w:bottom w:val="none" w:sz="0" w:space="0" w:color="auto"/>
        <w:right w:val="none" w:sz="0" w:space="0" w:color="auto"/>
      </w:divBdr>
    </w:div>
    <w:div w:id="643387414">
      <w:bodyDiv w:val="1"/>
      <w:marLeft w:val="0"/>
      <w:marRight w:val="0"/>
      <w:marTop w:val="0"/>
      <w:marBottom w:val="0"/>
      <w:divBdr>
        <w:top w:val="none" w:sz="0" w:space="0" w:color="auto"/>
        <w:left w:val="none" w:sz="0" w:space="0" w:color="auto"/>
        <w:bottom w:val="none" w:sz="0" w:space="0" w:color="auto"/>
        <w:right w:val="none" w:sz="0" w:space="0" w:color="auto"/>
      </w:divBdr>
    </w:div>
    <w:div w:id="643700791">
      <w:bodyDiv w:val="1"/>
      <w:marLeft w:val="0"/>
      <w:marRight w:val="0"/>
      <w:marTop w:val="0"/>
      <w:marBottom w:val="0"/>
      <w:divBdr>
        <w:top w:val="none" w:sz="0" w:space="0" w:color="auto"/>
        <w:left w:val="none" w:sz="0" w:space="0" w:color="auto"/>
        <w:bottom w:val="none" w:sz="0" w:space="0" w:color="auto"/>
        <w:right w:val="none" w:sz="0" w:space="0" w:color="auto"/>
      </w:divBdr>
    </w:div>
    <w:div w:id="644505900">
      <w:bodyDiv w:val="1"/>
      <w:marLeft w:val="0"/>
      <w:marRight w:val="0"/>
      <w:marTop w:val="0"/>
      <w:marBottom w:val="0"/>
      <w:divBdr>
        <w:top w:val="none" w:sz="0" w:space="0" w:color="auto"/>
        <w:left w:val="none" w:sz="0" w:space="0" w:color="auto"/>
        <w:bottom w:val="none" w:sz="0" w:space="0" w:color="auto"/>
        <w:right w:val="none" w:sz="0" w:space="0" w:color="auto"/>
      </w:divBdr>
    </w:div>
    <w:div w:id="645087355">
      <w:bodyDiv w:val="1"/>
      <w:marLeft w:val="0"/>
      <w:marRight w:val="0"/>
      <w:marTop w:val="0"/>
      <w:marBottom w:val="0"/>
      <w:divBdr>
        <w:top w:val="none" w:sz="0" w:space="0" w:color="auto"/>
        <w:left w:val="none" w:sz="0" w:space="0" w:color="auto"/>
        <w:bottom w:val="none" w:sz="0" w:space="0" w:color="auto"/>
        <w:right w:val="none" w:sz="0" w:space="0" w:color="auto"/>
      </w:divBdr>
    </w:div>
    <w:div w:id="646015434">
      <w:bodyDiv w:val="1"/>
      <w:marLeft w:val="0"/>
      <w:marRight w:val="0"/>
      <w:marTop w:val="0"/>
      <w:marBottom w:val="0"/>
      <w:divBdr>
        <w:top w:val="none" w:sz="0" w:space="0" w:color="auto"/>
        <w:left w:val="none" w:sz="0" w:space="0" w:color="auto"/>
        <w:bottom w:val="none" w:sz="0" w:space="0" w:color="auto"/>
        <w:right w:val="none" w:sz="0" w:space="0" w:color="auto"/>
      </w:divBdr>
    </w:div>
    <w:div w:id="647171133">
      <w:bodyDiv w:val="1"/>
      <w:marLeft w:val="0"/>
      <w:marRight w:val="0"/>
      <w:marTop w:val="0"/>
      <w:marBottom w:val="0"/>
      <w:divBdr>
        <w:top w:val="none" w:sz="0" w:space="0" w:color="auto"/>
        <w:left w:val="none" w:sz="0" w:space="0" w:color="auto"/>
        <w:bottom w:val="none" w:sz="0" w:space="0" w:color="auto"/>
        <w:right w:val="none" w:sz="0" w:space="0" w:color="auto"/>
      </w:divBdr>
    </w:div>
    <w:div w:id="647898712">
      <w:bodyDiv w:val="1"/>
      <w:marLeft w:val="0"/>
      <w:marRight w:val="0"/>
      <w:marTop w:val="0"/>
      <w:marBottom w:val="0"/>
      <w:divBdr>
        <w:top w:val="none" w:sz="0" w:space="0" w:color="auto"/>
        <w:left w:val="none" w:sz="0" w:space="0" w:color="auto"/>
        <w:bottom w:val="none" w:sz="0" w:space="0" w:color="auto"/>
        <w:right w:val="none" w:sz="0" w:space="0" w:color="auto"/>
      </w:divBdr>
    </w:div>
    <w:div w:id="648903489">
      <w:bodyDiv w:val="1"/>
      <w:marLeft w:val="0"/>
      <w:marRight w:val="0"/>
      <w:marTop w:val="0"/>
      <w:marBottom w:val="0"/>
      <w:divBdr>
        <w:top w:val="none" w:sz="0" w:space="0" w:color="auto"/>
        <w:left w:val="none" w:sz="0" w:space="0" w:color="auto"/>
        <w:bottom w:val="none" w:sz="0" w:space="0" w:color="auto"/>
        <w:right w:val="none" w:sz="0" w:space="0" w:color="auto"/>
      </w:divBdr>
    </w:div>
    <w:div w:id="649946144">
      <w:bodyDiv w:val="1"/>
      <w:marLeft w:val="0"/>
      <w:marRight w:val="0"/>
      <w:marTop w:val="0"/>
      <w:marBottom w:val="0"/>
      <w:divBdr>
        <w:top w:val="none" w:sz="0" w:space="0" w:color="auto"/>
        <w:left w:val="none" w:sz="0" w:space="0" w:color="auto"/>
        <w:bottom w:val="none" w:sz="0" w:space="0" w:color="auto"/>
        <w:right w:val="none" w:sz="0" w:space="0" w:color="auto"/>
      </w:divBdr>
    </w:div>
    <w:div w:id="650255382">
      <w:bodyDiv w:val="1"/>
      <w:marLeft w:val="0"/>
      <w:marRight w:val="0"/>
      <w:marTop w:val="0"/>
      <w:marBottom w:val="0"/>
      <w:divBdr>
        <w:top w:val="none" w:sz="0" w:space="0" w:color="auto"/>
        <w:left w:val="none" w:sz="0" w:space="0" w:color="auto"/>
        <w:bottom w:val="none" w:sz="0" w:space="0" w:color="auto"/>
        <w:right w:val="none" w:sz="0" w:space="0" w:color="auto"/>
      </w:divBdr>
    </w:div>
    <w:div w:id="651640842">
      <w:bodyDiv w:val="1"/>
      <w:marLeft w:val="0"/>
      <w:marRight w:val="0"/>
      <w:marTop w:val="0"/>
      <w:marBottom w:val="0"/>
      <w:divBdr>
        <w:top w:val="none" w:sz="0" w:space="0" w:color="auto"/>
        <w:left w:val="none" w:sz="0" w:space="0" w:color="auto"/>
        <w:bottom w:val="none" w:sz="0" w:space="0" w:color="auto"/>
        <w:right w:val="none" w:sz="0" w:space="0" w:color="auto"/>
      </w:divBdr>
    </w:div>
    <w:div w:id="651831868">
      <w:bodyDiv w:val="1"/>
      <w:marLeft w:val="0"/>
      <w:marRight w:val="0"/>
      <w:marTop w:val="0"/>
      <w:marBottom w:val="0"/>
      <w:divBdr>
        <w:top w:val="none" w:sz="0" w:space="0" w:color="auto"/>
        <w:left w:val="none" w:sz="0" w:space="0" w:color="auto"/>
        <w:bottom w:val="none" w:sz="0" w:space="0" w:color="auto"/>
        <w:right w:val="none" w:sz="0" w:space="0" w:color="auto"/>
      </w:divBdr>
    </w:div>
    <w:div w:id="651836113">
      <w:bodyDiv w:val="1"/>
      <w:marLeft w:val="0"/>
      <w:marRight w:val="0"/>
      <w:marTop w:val="0"/>
      <w:marBottom w:val="0"/>
      <w:divBdr>
        <w:top w:val="none" w:sz="0" w:space="0" w:color="auto"/>
        <w:left w:val="none" w:sz="0" w:space="0" w:color="auto"/>
        <w:bottom w:val="none" w:sz="0" w:space="0" w:color="auto"/>
        <w:right w:val="none" w:sz="0" w:space="0" w:color="auto"/>
      </w:divBdr>
    </w:div>
    <w:div w:id="653485270">
      <w:bodyDiv w:val="1"/>
      <w:marLeft w:val="0"/>
      <w:marRight w:val="0"/>
      <w:marTop w:val="0"/>
      <w:marBottom w:val="0"/>
      <w:divBdr>
        <w:top w:val="none" w:sz="0" w:space="0" w:color="auto"/>
        <w:left w:val="none" w:sz="0" w:space="0" w:color="auto"/>
        <w:bottom w:val="none" w:sz="0" w:space="0" w:color="auto"/>
        <w:right w:val="none" w:sz="0" w:space="0" w:color="auto"/>
      </w:divBdr>
    </w:div>
    <w:div w:id="653795418">
      <w:bodyDiv w:val="1"/>
      <w:marLeft w:val="0"/>
      <w:marRight w:val="0"/>
      <w:marTop w:val="0"/>
      <w:marBottom w:val="0"/>
      <w:divBdr>
        <w:top w:val="none" w:sz="0" w:space="0" w:color="auto"/>
        <w:left w:val="none" w:sz="0" w:space="0" w:color="auto"/>
        <w:bottom w:val="none" w:sz="0" w:space="0" w:color="auto"/>
        <w:right w:val="none" w:sz="0" w:space="0" w:color="auto"/>
      </w:divBdr>
    </w:div>
    <w:div w:id="653922312">
      <w:bodyDiv w:val="1"/>
      <w:marLeft w:val="0"/>
      <w:marRight w:val="0"/>
      <w:marTop w:val="0"/>
      <w:marBottom w:val="0"/>
      <w:divBdr>
        <w:top w:val="none" w:sz="0" w:space="0" w:color="auto"/>
        <w:left w:val="none" w:sz="0" w:space="0" w:color="auto"/>
        <w:bottom w:val="none" w:sz="0" w:space="0" w:color="auto"/>
        <w:right w:val="none" w:sz="0" w:space="0" w:color="auto"/>
      </w:divBdr>
    </w:div>
    <w:div w:id="654801250">
      <w:bodyDiv w:val="1"/>
      <w:marLeft w:val="0"/>
      <w:marRight w:val="0"/>
      <w:marTop w:val="0"/>
      <w:marBottom w:val="0"/>
      <w:divBdr>
        <w:top w:val="none" w:sz="0" w:space="0" w:color="auto"/>
        <w:left w:val="none" w:sz="0" w:space="0" w:color="auto"/>
        <w:bottom w:val="none" w:sz="0" w:space="0" w:color="auto"/>
        <w:right w:val="none" w:sz="0" w:space="0" w:color="auto"/>
      </w:divBdr>
    </w:div>
    <w:div w:id="654916444">
      <w:bodyDiv w:val="1"/>
      <w:marLeft w:val="0"/>
      <w:marRight w:val="0"/>
      <w:marTop w:val="0"/>
      <w:marBottom w:val="0"/>
      <w:divBdr>
        <w:top w:val="none" w:sz="0" w:space="0" w:color="auto"/>
        <w:left w:val="none" w:sz="0" w:space="0" w:color="auto"/>
        <w:bottom w:val="none" w:sz="0" w:space="0" w:color="auto"/>
        <w:right w:val="none" w:sz="0" w:space="0" w:color="auto"/>
      </w:divBdr>
    </w:div>
    <w:div w:id="656347381">
      <w:bodyDiv w:val="1"/>
      <w:marLeft w:val="0"/>
      <w:marRight w:val="0"/>
      <w:marTop w:val="0"/>
      <w:marBottom w:val="0"/>
      <w:divBdr>
        <w:top w:val="none" w:sz="0" w:space="0" w:color="auto"/>
        <w:left w:val="none" w:sz="0" w:space="0" w:color="auto"/>
        <w:bottom w:val="none" w:sz="0" w:space="0" w:color="auto"/>
        <w:right w:val="none" w:sz="0" w:space="0" w:color="auto"/>
      </w:divBdr>
    </w:div>
    <w:div w:id="657002648">
      <w:bodyDiv w:val="1"/>
      <w:marLeft w:val="0"/>
      <w:marRight w:val="0"/>
      <w:marTop w:val="0"/>
      <w:marBottom w:val="0"/>
      <w:divBdr>
        <w:top w:val="none" w:sz="0" w:space="0" w:color="auto"/>
        <w:left w:val="none" w:sz="0" w:space="0" w:color="auto"/>
        <w:bottom w:val="none" w:sz="0" w:space="0" w:color="auto"/>
        <w:right w:val="none" w:sz="0" w:space="0" w:color="auto"/>
      </w:divBdr>
    </w:div>
    <w:div w:id="657853419">
      <w:bodyDiv w:val="1"/>
      <w:marLeft w:val="0"/>
      <w:marRight w:val="0"/>
      <w:marTop w:val="0"/>
      <w:marBottom w:val="0"/>
      <w:divBdr>
        <w:top w:val="none" w:sz="0" w:space="0" w:color="auto"/>
        <w:left w:val="none" w:sz="0" w:space="0" w:color="auto"/>
        <w:bottom w:val="none" w:sz="0" w:space="0" w:color="auto"/>
        <w:right w:val="none" w:sz="0" w:space="0" w:color="auto"/>
      </w:divBdr>
    </w:div>
    <w:div w:id="658119828">
      <w:bodyDiv w:val="1"/>
      <w:marLeft w:val="0"/>
      <w:marRight w:val="0"/>
      <w:marTop w:val="0"/>
      <w:marBottom w:val="0"/>
      <w:divBdr>
        <w:top w:val="none" w:sz="0" w:space="0" w:color="auto"/>
        <w:left w:val="none" w:sz="0" w:space="0" w:color="auto"/>
        <w:bottom w:val="none" w:sz="0" w:space="0" w:color="auto"/>
        <w:right w:val="none" w:sz="0" w:space="0" w:color="auto"/>
      </w:divBdr>
    </w:div>
    <w:div w:id="659889363">
      <w:bodyDiv w:val="1"/>
      <w:marLeft w:val="0"/>
      <w:marRight w:val="0"/>
      <w:marTop w:val="0"/>
      <w:marBottom w:val="0"/>
      <w:divBdr>
        <w:top w:val="none" w:sz="0" w:space="0" w:color="auto"/>
        <w:left w:val="none" w:sz="0" w:space="0" w:color="auto"/>
        <w:bottom w:val="none" w:sz="0" w:space="0" w:color="auto"/>
        <w:right w:val="none" w:sz="0" w:space="0" w:color="auto"/>
      </w:divBdr>
    </w:div>
    <w:div w:id="660041036">
      <w:bodyDiv w:val="1"/>
      <w:marLeft w:val="0"/>
      <w:marRight w:val="0"/>
      <w:marTop w:val="0"/>
      <w:marBottom w:val="0"/>
      <w:divBdr>
        <w:top w:val="none" w:sz="0" w:space="0" w:color="auto"/>
        <w:left w:val="none" w:sz="0" w:space="0" w:color="auto"/>
        <w:bottom w:val="none" w:sz="0" w:space="0" w:color="auto"/>
        <w:right w:val="none" w:sz="0" w:space="0" w:color="auto"/>
      </w:divBdr>
    </w:div>
    <w:div w:id="660814359">
      <w:bodyDiv w:val="1"/>
      <w:marLeft w:val="0"/>
      <w:marRight w:val="0"/>
      <w:marTop w:val="0"/>
      <w:marBottom w:val="0"/>
      <w:divBdr>
        <w:top w:val="none" w:sz="0" w:space="0" w:color="auto"/>
        <w:left w:val="none" w:sz="0" w:space="0" w:color="auto"/>
        <w:bottom w:val="none" w:sz="0" w:space="0" w:color="auto"/>
        <w:right w:val="none" w:sz="0" w:space="0" w:color="auto"/>
      </w:divBdr>
    </w:div>
    <w:div w:id="663050493">
      <w:bodyDiv w:val="1"/>
      <w:marLeft w:val="0"/>
      <w:marRight w:val="0"/>
      <w:marTop w:val="0"/>
      <w:marBottom w:val="0"/>
      <w:divBdr>
        <w:top w:val="none" w:sz="0" w:space="0" w:color="auto"/>
        <w:left w:val="none" w:sz="0" w:space="0" w:color="auto"/>
        <w:bottom w:val="none" w:sz="0" w:space="0" w:color="auto"/>
        <w:right w:val="none" w:sz="0" w:space="0" w:color="auto"/>
      </w:divBdr>
    </w:div>
    <w:div w:id="663554422">
      <w:bodyDiv w:val="1"/>
      <w:marLeft w:val="0"/>
      <w:marRight w:val="0"/>
      <w:marTop w:val="0"/>
      <w:marBottom w:val="0"/>
      <w:divBdr>
        <w:top w:val="none" w:sz="0" w:space="0" w:color="auto"/>
        <w:left w:val="none" w:sz="0" w:space="0" w:color="auto"/>
        <w:bottom w:val="none" w:sz="0" w:space="0" w:color="auto"/>
        <w:right w:val="none" w:sz="0" w:space="0" w:color="auto"/>
      </w:divBdr>
    </w:div>
    <w:div w:id="663819065">
      <w:bodyDiv w:val="1"/>
      <w:marLeft w:val="0"/>
      <w:marRight w:val="0"/>
      <w:marTop w:val="0"/>
      <w:marBottom w:val="0"/>
      <w:divBdr>
        <w:top w:val="none" w:sz="0" w:space="0" w:color="auto"/>
        <w:left w:val="none" w:sz="0" w:space="0" w:color="auto"/>
        <w:bottom w:val="none" w:sz="0" w:space="0" w:color="auto"/>
        <w:right w:val="none" w:sz="0" w:space="0" w:color="auto"/>
      </w:divBdr>
    </w:div>
    <w:div w:id="664742508">
      <w:bodyDiv w:val="1"/>
      <w:marLeft w:val="0"/>
      <w:marRight w:val="0"/>
      <w:marTop w:val="0"/>
      <w:marBottom w:val="0"/>
      <w:divBdr>
        <w:top w:val="none" w:sz="0" w:space="0" w:color="auto"/>
        <w:left w:val="none" w:sz="0" w:space="0" w:color="auto"/>
        <w:bottom w:val="none" w:sz="0" w:space="0" w:color="auto"/>
        <w:right w:val="none" w:sz="0" w:space="0" w:color="auto"/>
      </w:divBdr>
    </w:div>
    <w:div w:id="664743332">
      <w:bodyDiv w:val="1"/>
      <w:marLeft w:val="0"/>
      <w:marRight w:val="0"/>
      <w:marTop w:val="0"/>
      <w:marBottom w:val="0"/>
      <w:divBdr>
        <w:top w:val="none" w:sz="0" w:space="0" w:color="auto"/>
        <w:left w:val="none" w:sz="0" w:space="0" w:color="auto"/>
        <w:bottom w:val="none" w:sz="0" w:space="0" w:color="auto"/>
        <w:right w:val="none" w:sz="0" w:space="0" w:color="auto"/>
      </w:divBdr>
    </w:div>
    <w:div w:id="666444701">
      <w:bodyDiv w:val="1"/>
      <w:marLeft w:val="0"/>
      <w:marRight w:val="0"/>
      <w:marTop w:val="0"/>
      <w:marBottom w:val="0"/>
      <w:divBdr>
        <w:top w:val="none" w:sz="0" w:space="0" w:color="auto"/>
        <w:left w:val="none" w:sz="0" w:space="0" w:color="auto"/>
        <w:bottom w:val="none" w:sz="0" w:space="0" w:color="auto"/>
        <w:right w:val="none" w:sz="0" w:space="0" w:color="auto"/>
      </w:divBdr>
    </w:div>
    <w:div w:id="666711477">
      <w:bodyDiv w:val="1"/>
      <w:marLeft w:val="0"/>
      <w:marRight w:val="0"/>
      <w:marTop w:val="0"/>
      <w:marBottom w:val="0"/>
      <w:divBdr>
        <w:top w:val="none" w:sz="0" w:space="0" w:color="auto"/>
        <w:left w:val="none" w:sz="0" w:space="0" w:color="auto"/>
        <w:bottom w:val="none" w:sz="0" w:space="0" w:color="auto"/>
        <w:right w:val="none" w:sz="0" w:space="0" w:color="auto"/>
      </w:divBdr>
    </w:div>
    <w:div w:id="668411199">
      <w:bodyDiv w:val="1"/>
      <w:marLeft w:val="0"/>
      <w:marRight w:val="0"/>
      <w:marTop w:val="0"/>
      <w:marBottom w:val="0"/>
      <w:divBdr>
        <w:top w:val="none" w:sz="0" w:space="0" w:color="auto"/>
        <w:left w:val="none" w:sz="0" w:space="0" w:color="auto"/>
        <w:bottom w:val="none" w:sz="0" w:space="0" w:color="auto"/>
        <w:right w:val="none" w:sz="0" w:space="0" w:color="auto"/>
      </w:divBdr>
    </w:div>
    <w:div w:id="668673736">
      <w:bodyDiv w:val="1"/>
      <w:marLeft w:val="0"/>
      <w:marRight w:val="0"/>
      <w:marTop w:val="0"/>
      <w:marBottom w:val="0"/>
      <w:divBdr>
        <w:top w:val="none" w:sz="0" w:space="0" w:color="auto"/>
        <w:left w:val="none" w:sz="0" w:space="0" w:color="auto"/>
        <w:bottom w:val="none" w:sz="0" w:space="0" w:color="auto"/>
        <w:right w:val="none" w:sz="0" w:space="0" w:color="auto"/>
      </w:divBdr>
    </w:div>
    <w:div w:id="668870782">
      <w:bodyDiv w:val="1"/>
      <w:marLeft w:val="0"/>
      <w:marRight w:val="0"/>
      <w:marTop w:val="0"/>
      <w:marBottom w:val="0"/>
      <w:divBdr>
        <w:top w:val="none" w:sz="0" w:space="0" w:color="auto"/>
        <w:left w:val="none" w:sz="0" w:space="0" w:color="auto"/>
        <w:bottom w:val="none" w:sz="0" w:space="0" w:color="auto"/>
        <w:right w:val="none" w:sz="0" w:space="0" w:color="auto"/>
      </w:divBdr>
    </w:div>
    <w:div w:id="669647634">
      <w:bodyDiv w:val="1"/>
      <w:marLeft w:val="0"/>
      <w:marRight w:val="0"/>
      <w:marTop w:val="0"/>
      <w:marBottom w:val="0"/>
      <w:divBdr>
        <w:top w:val="none" w:sz="0" w:space="0" w:color="auto"/>
        <w:left w:val="none" w:sz="0" w:space="0" w:color="auto"/>
        <w:bottom w:val="none" w:sz="0" w:space="0" w:color="auto"/>
        <w:right w:val="none" w:sz="0" w:space="0" w:color="auto"/>
      </w:divBdr>
    </w:div>
    <w:div w:id="669715768">
      <w:bodyDiv w:val="1"/>
      <w:marLeft w:val="0"/>
      <w:marRight w:val="0"/>
      <w:marTop w:val="0"/>
      <w:marBottom w:val="0"/>
      <w:divBdr>
        <w:top w:val="none" w:sz="0" w:space="0" w:color="auto"/>
        <w:left w:val="none" w:sz="0" w:space="0" w:color="auto"/>
        <w:bottom w:val="none" w:sz="0" w:space="0" w:color="auto"/>
        <w:right w:val="none" w:sz="0" w:space="0" w:color="auto"/>
      </w:divBdr>
    </w:div>
    <w:div w:id="670837078">
      <w:bodyDiv w:val="1"/>
      <w:marLeft w:val="0"/>
      <w:marRight w:val="0"/>
      <w:marTop w:val="0"/>
      <w:marBottom w:val="0"/>
      <w:divBdr>
        <w:top w:val="none" w:sz="0" w:space="0" w:color="auto"/>
        <w:left w:val="none" w:sz="0" w:space="0" w:color="auto"/>
        <w:bottom w:val="none" w:sz="0" w:space="0" w:color="auto"/>
        <w:right w:val="none" w:sz="0" w:space="0" w:color="auto"/>
      </w:divBdr>
    </w:div>
    <w:div w:id="671686166">
      <w:bodyDiv w:val="1"/>
      <w:marLeft w:val="0"/>
      <w:marRight w:val="0"/>
      <w:marTop w:val="0"/>
      <w:marBottom w:val="0"/>
      <w:divBdr>
        <w:top w:val="none" w:sz="0" w:space="0" w:color="auto"/>
        <w:left w:val="none" w:sz="0" w:space="0" w:color="auto"/>
        <w:bottom w:val="none" w:sz="0" w:space="0" w:color="auto"/>
        <w:right w:val="none" w:sz="0" w:space="0" w:color="auto"/>
      </w:divBdr>
    </w:div>
    <w:div w:id="671687523">
      <w:bodyDiv w:val="1"/>
      <w:marLeft w:val="0"/>
      <w:marRight w:val="0"/>
      <w:marTop w:val="0"/>
      <w:marBottom w:val="0"/>
      <w:divBdr>
        <w:top w:val="none" w:sz="0" w:space="0" w:color="auto"/>
        <w:left w:val="none" w:sz="0" w:space="0" w:color="auto"/>
        <w:bottom w:val="none" w:sz="0" w:space="0" w:color="auto"/>
        <w:right w:val="none" w:sz="0" w:space="0" w:color="auto"/>
      </w:divBdr>
    </w:div>
    <w:div w:id="673151156">
      <w:bodyDiv w:val="1"/>
      <w:marLeft w:val="0"/>
      <w:marRight w:val="0"/>
      <w:marTop w:val="0"/>
      <w:marBottom w:val="0"/>
      <w:divBdr>
        <w:top w:val="none" w:sz="0" w:space="0" w:color="auto"/>
        <w:left w:val="none" w:sz="0" w:space="0" w:color="auto"/>
        <w:bottom w:val="none" w:sz="0" w:space="0" w:color="auto"/>
        <w:right w:val="none" w:sz="0" w:space="0" w:color="auto"/>
      </w:divBdr>
    </w:div>
    <w:div w:id="673655080">
      <w:bodyDiv w:val="1"/>
      <w:marLeft w:val="0"/>
      <w:marRight w:val="0"/>
      <w:marTop w:val="0"/>
      <w:marBottom w:val="0"/>
      <w:divBdr>
        <w:top w:val="none" w:sz="0" w:space="0" w:color="auto"/>
        <w:left w:val="none" w:sz="0" w:space="0" w:color="auto"/>
        <w:bottom w:val="none" w:sz="0" w:space="0" w:color="auto"/>
        <w:right w:val="none" w:sz="0" w:space="0" w:color="auto"/>
      </w:divBdr>
    </w:div>
    <w:div w:id="675111889">
      <w:bodyDiv w:val="1"/>
      <w:marLeft w:val="0"/>
      <w:marRight w:val="0"/>
      <w:marTop w:val="0"/>
      <w:marBottom w:val="0"/>
      <w:divBdr>
        <w:top w:val="none" w:sz="0" w:space="0" w:color="auto"/>
        <w:left w:val="none" w:sz="0" w:space="0" w:color="auto"/>
        <w:bottom w:val="none" w:sz="0" w:space="0" w:color="auto"/>
        <w:right w:val="none" w:sz="0" w:space="0" w:color="auto"/>
      </w:divBdr>
    </w:div>
    <w:div w:id="675572413">
      <w:bodyDiv w:val="1"/>
      <w:marLeft w:val="0"/>
      <w:marRight w:val="0"/>
      <w:marTop w:val="0"/>
      <w:marBottom w:val="0"/>
      <w:divBdr>
        <w:top w:val="none" w:sz="0" w:space="0" w:color="auto"/>
        <w:left w:val="none" w:sz="0" w:space="0" w:color="auto"/>
        <w:bottom w:val="none" w:sz="0" w:space="0" w:color="auto"/>
        <w:right w:val="none" w:sz="0" w:space="0" w:color="auto"/>
      </w:divBdr>
    </w:div>
    <w:div w:id="676735961">
      <w:bodyDiv w:val="1"/>
      <w:marLeft w:val="0"/>
      <w:marRight w:val="0"/>
      <w:marTop w:val="0"/>
      <w:marBottom w:val="0"/>
      <w:divBdr>
        <w:top w:val="none" w:sz="0" w:space="0" w:color="auto"/>
        <w:left w:val="none" w:sz="0" w:space="0" w:color="auto"/>
        <w:bottom w:val="none" w:sz="0" w:space="0" w:color="auto"/>
        <w:right w:val="none" w:sz="0" w:space="0" w:color="auto"/>
      </w:divBdr>
    </w:div>
    <w:div w:id="677586389">
      <w:bodyDiv w:val="1"/>
      <w:marLeft w:val="0"/>
      <w:marRight w:val="0"/>
      <w:marTop w:val="0"/>
      <w:marBottom w:val="0"/>
      <w:divBdr>
        <w:top w:val="none" w:sz="0" w:space="0" w:color="auto"/>
        <w:left w:val="none" w:sz="0" w:space="0" w:color="auto"/>
        <w:bottom w:val="none" w:sz="0" w:space="0" w:color="auto"/>
        <w:right w:val="none" w:sz="0" w:space="0" w:color="auto"/>
      </w:divBdr>
    </w:div>
    <w:div w:id="677924423">
      <w:bodyDiv w:val="1"/>
      <w:marLeft w:val="0"/>
      <w:marRight w:val="0"/>
      <w:marTop w:val="0"/>
      <w:marBottom w:val="0"/>
      <w:divBdr>
        <w:top w:val="none" w:sz="0" w:space="0" w:color="auto"/>
        <w:left w:val="none" w:sz="0" w:space="0" w:color="auto"/>
        <w:bottom w:val="none" w:sz="0" w:space="0" w:color="auto"/>
        <w:right w:val="none" w:sz="0" w:space="0" w:color="auto"/>
      </w:divBdr>
    </w:div>
    <w:div w:id="679091359">
      <w:bodyDiv w:val="1"/>
      <w:marLeft w:val="0"/>
      <w:marRight w:val="0"/>
      <w:marTop w:val="0"/>
      <w:marBottom w:val="0"/>
      <w:divBdr>
        <w:top w:val="none" w:sz="0" w:space="0" w:color="auto"/>
        <w:left w:val="none" w:sz="0" w:space="0" w:color="auto"/>
        <w:bottom w:val="none" w:sz="0" w:space="0" w:color="auto"/>
        <w:right w:val="none" w:sz="0" w:space="0" w:color="auto"/>
      </w:divBdr>
    </w:div>
    <w:div w:id="680815378">
      <w:bodyDiv w:val="1"/>
      <w:marLeft w:val="0"/>
      <w:marRight w:val="0"/>
      <w:marTop w:val="0"/>
      <w:marBottom w:val="0"/>
      <w:divBdr>
        <w:top w:val="none" w:sz="0" w:space="0" w:color="auto"/>
        <w:left w:val="none" w:sz="0" w:space="0" w:color="auto"/>
        <w:bottom w:val="none" w:sz="0" w:space="0" w:color="auto"/>
        <w:right w:val="none" w:sz="0" w:space="0" w:color="auto"/>
      </w:divBdr>
    </w:div>
    <w:div w:id="680931892">
      <w:bodyDiv w:val="1"/>
      <w:marLeft w:val="0"/>
      <w:marRight w:val="0"/>
      <w:marTop w:val="0"/>
      <w:marBottom w:val="0"/>
      <w:divBdr>
        <w:top w:val="none" w:sz="0" w:space="0" w:color="auto"/>
        <w:left w:val="none" w:sz="0" w:space="0" w:color="auto"/>
        <w:bottom w:val="none" w:sz="0" w:space="0" w:color="auto"/>
        <w:right w:val="none" w:sz="0" w:space="0" w:color="auto"/>
      </w:divBdr>
    </w:div>
    <w:div w:id="683283286">
      <w:bodyDiv w:val="1"/>
      <w:marLeft w:val="0"/>
      <w:marRight w:val="0"/>
      <w:marTop w:val="0"/>
      <w:marBottom w:val="0"/>
      <w:divBdr>
        <w:top w:val="none" w:sz="0" w:space="0" w:color="auto"/>
        <w:left w:val="none" w:sz="0" w:space="0" w:color="auto"/>
        <w:bottom w:val="none" w:sz="0" w:space="0" w:color="auto"/>
        <w:right w:val="none" w:sz="0" w:space="0" w:color="auto"/>
      </w:divBdr>
    </w:div>
    <w:div w:id="683822400">
      <w:bodyDiv w:val="1"/>
      <w:marLeft w:val="0"/>
      <w:marRight w:val="0"/>
      <w:marTop w:val="0"/>
      <w:marBottom w:val="0"/>
      <w:divBdr>
        <w:top w:val="none" w:sz="0" w:space="0" w:color="auto"/>
        <w:left w:val="none" w:sz="0" w:space="0" w:color="auto"/>
        <w:bottom w:val="none" w:sz="0" w:space="0" w:color="auto"/>
        <w:right w:val="none" w:sz="0" w:space="0" w:color="auto"/>
      </w:divBdr>
    </w:div>
    <w:div w:id="684020735">
      <w:bodyDiv w:val="1"/>
      <w:marLeft w:val="0"/>
      <w:marRight w:val="0"/>
      <w:marTop w:val="0"/>
      <w:marBottom w:val="0"/>
      <w:divBdr>
        <w:top w:val="none" w:sz="0" w:space="0" w:color="auto"/>
        <w:left w:val="none" w:sz="0" w:space="0" w:color="auto"/>
        <w:bottom w:val="none" w:sz="0" w:space="0" w:color="auto"/>
        <w:right w:val="none" w:sz="0" w:space="0" w:color="auto"/>
      </w:divBdr>
    </w:div>
    <w:div w:id="685988147">
      <w:bodyDiv w:val="1"/>
      <w:marLeft w:val="0"/>
      <w:marRight w:val="0"/>
      <w:marTop w:val="0"/>
      <w:marBottom w:val="0"/>
      <w:divBdr>
        <w:top w:val="none" w:sz="0" w:space="0" w:color="auto"/>
        <w:left w:val="none" w:sz="0" w:space="0" w:color="auto"/>
        <w:bottom w:val="none" w:sz="0" w:space="0" w:color="auto"/>
        <w:right w:val="none" w:sz="0" w:space="0" w:color="auto"/>
      </w:divBdr>
    </w:div>
    <w:div w:id="686297155">
      <w:bodyDiv w:val="1"/>
      <w:marLeft w:val="0"/>
      <w:marRight w:val="0"/>
      <w:marTop w:val="0"/>
      <w:marBottom w:val="0"/>
      <w:divBdr>
        <w:top w:val="none" w:sz="0" w:space="0" w:color="auto"/>
        <w:left w:val="none" w:sz="0" w:space="0" w:color="auto"/>
        <w:bottom w:val="none" w:sz="0" w:space="0" w:color="auto"/>
        <w:right w:val="none" w:sz="0" w:space="0" w:color="auto"/>
      </w:divBdr>
    </w:div>
    <w:div w:id="689065077">
      <w:bodyDiv w:val="1"/>
      <w:marLeft w:val="0"/>
      <w:marRight w:val="0"/>
      <w:marTop w:val="0"/>
      <w:marBottom w:val="0"/>
      <w:divBdr>
        <w:top w:val="none" w:sz="0" w:space="0" w:color="auto"/>
        <w:left w:val="none" w:sz="0" w:space="0" w:color="auto"/>
        <w:bottom w:val="none" w:sz="0" w:space="0" w:color="auto"/>
        <w:right w:val="none" w:sz="0" w:space="0" w:color="auto"/>
      </w:divBdr>
    </w:div>
    <w:div w:id="691994993">
      <w:bodyDiv w:val="1"/>
      <w:marLeft w:val="0"/>
      <w:marRight w:val="0"/>
      <w:marTop w:val="0"/>
      <w:marBottom w:val="0"/>
      <w:divBdr>
        <w:top w:val="none" w:sz="0" w:space="0" w:color="auto"/>
        <w:left w:val="none" w:sz="0" w:space="0" w:color="auto"/>
        <w:bottom w:val="none" w:sz="0" w:space="0" w:color="auto"/>
        <w:right w:val="none" w:sz="0" w:space="0" w:color="auto"/>
      </w:divBdr>
    </w:div>
    <w:div w:id="692924176">
      <w:bodyDiv w:val="1"/>
      <w:marLeft w:val="0"/>
      <w:marRight w:val="0"/>
      <w:marTop w:val="0"/>
      <w:marBottom w:val="0"/>
      <w:divBdr>
        <w:top w:val="none" w:sz="0" w:space="0" w:color="auto"/>
        <w:left w:val="none" w:sz="0" w:space="0" w:color="auto"/>
        <w:bottom w:val="none" w:sz="0" w:space="0" w:color="auto"/>
        <w:right w:val="none" w:sz="0" w:space="0" w:color="auto"/>
      </w:divBdr>
    </w:div>
    <w:div w:id="692996175">
      <w:bodyDiv w:val="1"/>
      <w:marLeft w:val="0"/>
      <w:marRight w:val="0"/>
      <w:marTop w:val="0"/>
      <w:marBottom w:val="0"/>
      <w:divBdr>
        <w:top w:val="none" w:sz="0" w:space="0" w:color="auto"/>
        <w:left w:val="none" w:sz="0" w:space="0" w:color="auto"/>
        <w:bottom w:val="none" w:sz="0" w:space="0" w:color="auto"/>
        <w:right w:val="none" w:sz="0" w:space="0" w:color="auto"/>
      </w:divBdr>
    </w:div>
    <w:div w:id="693195921">
      <w:bodyDiv w:val="1"/>
      <w:marLeft w:val="0"/>
      <w:marRight w:val="0"/>
      <w:marTop w:val="0"/>
      <w:marBottom w:val="0"/>
      <w:divBdr>
        <w:top w:val="none" w:sz="0" w:space="0" w:color="auto"/>
        <w:left w:val="none" w:sz="0" w:space="0" w:color="auto"/>
        <w:bottom w:val="none" w:sz="0" w:space="0" w:color="auto"/>
        <w:right w:val="none" w:sz="0" w:space="0" w:color="auto"/>
      </w:divBdr>
    </w:div>
    <w:div w:id="693924959">
      <w:bodyDiv w:val="1"/>
      <w:marLeft w:val="0"/>
      <w:marRight w:val="0"/>
      <w:marTop w:val="0"/>
      <w:marBottom w:val="0"/>
      <w:divBdr>
        <w:top w:val="none" w:sz="0" w:space="0" w:color="auto"/>
        <w:left w:val="none" w:sz="0" w:space="0" w:color="auto"/>
        <w:bottom w:val="none" w:sz="0" w:space="0" w:color="auto"/>
        <w:right w:val="none" w:sz="0" w:space="0" w:color="auto"/>
      </w:divBdr>
    </w:div>
    <w:div w:id="693993143">
      <w:bodyDiv w:val="1"/>
      <w:marLeft w:val="0"/>
      <w:marRight w:val="0"/>
      <w:marTop w:val="0"/>
      <w:marBottom w:val="0"/>
      <w:divBdr>
        <w:top w:val="none" w:sz="0" w:space="0" w:color="auto"/>
        <w:left w:val="none" w:sz="0" w:space="0" w:color="auto"/>
        <w:bottom w:val="none" w:sz="0" w:space="0" w:color="auto"/>
        <w:right w:val="none" w:sz="0" w:space="0" w:color="auto"/>
      </w:divBdr>
    </w:div>
    <w:div w:id="694616588">
      <w:bodyDiv w:val="1"/>
      <w:marLeft w:val="0"/>
      <w:marRight w:val="0"/>
      <w:marTop w:val="0"/>
      <w:marBottom w:val="0"/>
      <w:divBdr>
        <w:top w:val="none" w:sz="0" w:space="0" w:color="auto"/>
        <w:left w:val="none" w:sz="0" w:space="0" w:color="auto"/>
        <w:bottom w:val="none" w:sz="0" w:space="0" w:color="auto"/>
        <w:right w:val="none" w:sz="0" w:space="0" w:color="auto"/>
      </w:divBdr>
    </w:div>
    <w:div w:id="695350500">
      <w:bodyDiv w:val="1"/>
      <w:marLeft w:val="0"/>
      <w:marRight w:val="0"/>
      <w:marTop w:val="0"/>
      <w:marBottom w:val="0"/>
      <w:divBdr>
        <w:top w:val="none" w:sz="0" w:space="0" w:color="auto"/>
        <w:left w:val="none" w:sz="0" w:space="0" w:color="auto"/>
        <w:bottom w:val="none" w:sz="0" w:space="0" w:color="auto"/>
        <w:right w:val="none" w:sz="0" w:space="0" w:color="auto"/>
      </w:divBdr>
    </w:div>
    <w:div w:id="696659262">
      <w:bodyDiv w:val="1"/>
      <w:marLeft w:val="0"/>
      <w:marRight w:val="0"/>
      <w:marTop w:val="0"/>
      <w:marBottom w:val="0"/>
      <w:divBdr>
        <w:top w:val="none" w:sz="0" w:space="0" w:color="auto"/>
        <w:left w:val="none" w:sz="0" w:space="0" w:color="auto"/>
        <w:bottom w:val="none" w:sz="0" w:space="0" w:color="auto"/>
        <w:right w:val="none" w:sz="0" w:space="0" w:color="auto"/>
      </w:divBdr>
    </w:div>
    <w:div w:id="697462603">
      <w:bodyDiv w:val="1"/>
      <w:marLeft w:val="0"/>
      <w:marRight w:val="0"/>
      <w:marTop w:val="0"/>
      <w:marBottom w:val="0"/>
      <w:divBdr>
        <w:top w:val="none" w:sz="0" w:space="0" w:color="auto"/>
        <w:left w:val="none" w:sz="0" w:space="0" w:color="auto"/>
        <w:bottom w:val="none" w:sz="0" w:space="0" w:color="auto"/>
        <w:right w:val="none" w:sz="0" w:space="0" w:color="auto"/>
      </w:divBdr>
    </w:div>
    <w:div w:id="698161133">
      <w:bodyDiv w:val="1"/>
      <w:marLeft w:val="0"/>
      <w:marRight w:val="0"/>
      <w:marTop w:val="0"/>
      <w:marBottom w:val="0"/>
      <w:divBdr>
        <w:top w:val="none" w:sz="0" w:space="0" w:color="auto"/>
        <w:left w:val="none" w:sz="0" w:space="0" w:color="auto"/>
        <w:bottom w:val="none" w:sz="0" w:space="0" w:color="auto"/>
        <w:right w:val="none" w:sz="0" w:space="0" w:color="auto"/>
      </w:divBdr>
    </w:div>
    <w:div w:id="698699906">
      <w:bodyDiv w:val="1"/>
      <w:marLeft w:val="0"/>
      <w:marRight w:val="0"/>
      <w:marTop w:val="0"/>
      <w:marBottom w:val="0"/>
      <w:divBdr>
        <w:top w:val="none" w:sz="0" w:space="0" w:color="auto"/>
        <w:left w:val="none" w:sz="0" w:space="0" w:color="auto"/>
        <w:bottom w:val="none" w:sz="0" w:space="0" w:color="auto"/>
        <w:right w:val="none" w:sz="0" w:space="0" w:color="auto"/>
      </w:divBdr>
    </w:div>
    <w:div w:id="700858460">
      <w:bodyDiv w:val="1"/>
      <w:marLeft w:val="0"/>
      <w:marRight w:val="0"/>
      <w:marTop w:val="0"/>
      <w:marBottom w:val="0"/>
      <w:divBdr>
        <w:top w:val="none" w:sz="0" w:space="0" w:color="auto"/>
        <w:left w:val="none" w:sz="0" w:space="0" w:color="auto"/>
        <w:bottom w:val="none" w:sz="0" w:space="0" w:color="auto"/>
        <w:right w:val="none" w:sz="0" w:space="0" w:color="auto"/>
      </w:divBdr>
    </w:div>
    <w:div w:id="702293739">
      <w:bodyDiv w:val="1"/>
      <w:marLeft w:val="0"/>
      <w:marRight w:val="0"/>
      <w:marTop w:val="0"/>
      <w:marBottom w:val="0"/>
      <w:divBdr>
        <w:top w:val="none" w:sz="0" w:space="0" w:color="auto"/>
        <w:left w:val="none" w:sz="0" w:space="0" w:color="auto"/>
        <w:bottom w:val="none" w:sz="0" w:space="0" w:color="auto"/>
        <w:right w:val="none" w:sz="0" w:space="0" w:color="auto"/>
      </w:divBdr>
    </w:div>
    <w:div w:id="702873796">
      <w:bodyDiv w:val="1"/>
      <w:marLeft w:val="0"/>
      <w:marRight w:val="0"/>
      <w:marTop w:val="0"/>
      <w:marBottom w:val="0"/>
      <w:divBdr>
        <w:top w:val="none" w:sz="0" w:space="0" w:color="auto"/>
        <w:left w:val="none" w:sz="0" w:space="0" w:color="auto"/>
        <w:bottom w:val="none" w:sz="0" w:space="0" w:color="auto"/>
        <w:right w:val="none" w:sz="0" w:space="0" w:color="auto"/>
      </w:divBdr>
    </w:div>
    <w:div w:id="703097326">
      <w:bodyDiv w:val="1"/>
      <w:marLeft w:val="0"/>
      <w:marRight w:val="0"/>
      <w:marTop w:val="0"/>
      <w:marBottom w:val="0"/>
      <w:divBdr>
        <w:top w:val="none" w:sz="0" w:space="0" w:color="auto"/>
        <w:left w:val="none" w:sz="0" w:space="0" w:color="auto"/>
        <w:bottom w:val="none" w:sz="0" w:space="0" w:color="auto"/>
        <w:right w:val="none" w:sz="0" w:space="0" w:color="auto"/>
      </w:divBdr>
    </w:div>
    <w:div w:id="703750915">
      <w:bodyDiv w:val="1"/>
      <w:marLeft w:val="0"/>
      <w:marRight w:val="0"/>
      <w:marTop w:val="0"/>
      <w:marBottom w:val="0"/>
      <w:divBdr>
        <w:top w:val="none" w:sz="0" w:space="0" w:color="auto"/>
        <w:left w:val="none" w:sz="0" w:space="0" w:color="auto"/>
        <w:bottom w:val="none" w:sz="0" w:space="0" w:color="auto"/>
        <w:right w:val="none" w:sz="0" w:space="0" w:color="auto"/>
      </w:divBdr>
    </w:div>
    <w:div w:id="705373552">
      <w:bodyDiv w:val="1"/>
      <w:marLeft w:val="0"/>
      <w:marRight w:val="0"/>
      <w:marTop w:val="0"/>
      <w:marBottom w:val="0"/>
      <w:divBdr>
        <w:top w:val="none" w:sz="0" w:space="0" w:color="auto"/>
        <w:left w:val="none" w:sz="0" w:space="0" w:color="auto"/>
        <w:bottom w:val="none" w:sz="0" w:space="0" w:color="auto"/>
        <w:right w:val="none" w:sz="0" w:space="0" w:color="auto"/>
      </w:divBdr>
    </w:div>
    <w:div w:id="705835519">
      <w:bodyDiv w:val="1"/>
      <w:marLeft w:val="0"/>
      <w:marRight w:val="0"/>
      <w:marTop w:val="0"/>
      <w:marBottom w:val="0"/>
      <w:divBdr>
        <w:top w:val="none" w:sz="0" w:space="0" w:color="auto"/>
        <w:left w:val="none" w:sz="0" w:space="0" w:color="auto"/>
        <w:bottom w:val="none" w:sz="0" w:space="0" w:color="auto"/>
        <w:right w:val="none" w:sz="0" w:space="0" w:color="auto"/>
      </w:divBdr>
    </w:div>
    <w:div w:id="706181198">
      <w:bodyDiv w:val="1"/>
      <w:marLeft w:val="0"/>
      <w:marRight w:val="0"/>
      <w:marTop w:val="0"/>
      <w:marBottom w:val="0"/>
      <w:divBdr>
        <w:top w:val="none" w:sz="0" w:space="0" w:color="auto"/>
        <w:left w:val="none" w:sz="0" w:space="0" w:color="auto"/>
        <w:bottom w:val="none" w:sz="0" w:space="0" w:color="auto"/>
        <w:right w:val="none" w:sz="0" w:space="0" w:color="auto"/>
      </w:divBdr>
    </w:div>
    <w:div w:id="706443180">
      <w:bodyDiv w:val="1"/>
      <w:marLeft w:val="0"/>
      <w:marRight w:val="0"/>
      <w:marTop w:val="0"/>
      <w:marBottom w:val="0"/>
      <w:divBdr>
        <w:top w:val="none" w:sz="0" w:space="0" w:color="auto"/>
        <w:left w:val="none" w:sz="0" w:space="0" w:color="auto"/>
        <w:bottom w:val="none" w:sz="0" w:space="0" w:color="auto"/>
        <w:right w:val="none" w:sz="0" w:space="0" w:color="auto"/>
      </w:divBdr>
    </w:div>
    <w:div w:id="707989636">
      <w:bodyDiv w:val="1"/>
      <w:marLeft w:val="0"/>
      <w:marRight w:val="0"/>
      <w:marTop w:val="0"/>
      <w:marBottom w:val="0"/>
      <w:divBdr>
        <w:top w:val="none" w:sz="0" w:space="0" w:color="auto"/>
        <w:left w:val="none" w:sz="0" w:space="0" w:color="auto"/>
        <w:bottom w:val="none" w:sz="0" w:space="0" w:color="auto"/>
        <w:right w:val="none" w:sz="0" w:space="0" w:color="auto"/>
      </w:divBdr>
    </w:div>
    <w:div w:id="708381352">
      <w:bodyDiv w:val="1"/>
      <w:marLeft w:val="0"/>
      <w:marRight w:val="0"/>
      <w:marTop w:val="0"/>
      <w:marBottom w:val="0"/>
      <w:divBdr>
        <w:top w:val="none" w:sz="0" w:space="0" w:color="auto"/>
        <w:left w:val="none" w:sz="0" w:space="0" w:color="auto"/>
        <w:bottom w:val="none" w:sz="0" w:space="0" w:color="auto"/>
        <w:right w:val="none" w:sz="0" w:space="0" w:color="auto"/>
      </w:divBdr>
    </w:div>
    <w:div w:id="708385467">
      <w:bodyDiv w:val="1"/>
      <w:marLeft w:val="0"/>
      <w:marRight w:val="0"/>
      <w:marTop w:val="0"/>
      <w:marBottom w:val="0"/>
      <w:divBdr>
        <w:top w:val="none" w:sz="0" w:space="0" w:color="auto"/>
        <w:left w:val="none" w:sz="0" w:space="0" w:color="auto"/>
        <w:bottom w:val="none" w:sz="0" w:space="0" w:color="auto"/>
        <w:right w:val="none" w:sz="0" w:space="0" w:color="auto"/>
      </w:divBdr>
    </w:div>
    <w:div w:id="708993409">
      <w:bodyDiv w:val="1"/>
      <w:marLeft w:val="0"/>
      <w:marRight w:val="0"/>
      <w:marTop w:val="0"/>
      <w:marBottom w:val="0"/>
      <w:divBdr>
        <w:top w:val="none" w:sz="0" w:space="0" w:color="auto"/>
        <w:left w:val="none" w:sz="0" w:space="0" w:color="auto"/>
        <w:bottom w:val="none" w:sz="0" w:space="0" w:color="auto"/>
        <w:right w:val="none" w:sz="0" w:space="0" w:color="auto"/>
      </w:divBdr>
    </w:div>
    <w:div w:id="709456945">
      <w:bodyDiv w:val="1"/>
      <w:marLeft w:val="0"/>
      <w:marRight w:val="0"/>
      <w:marTop w:val="0"/>
      <w:marBottom w:val="0"/>
      <w:divBdr>
        <w:top w:val="none" w:sz="0" w:space="0" w:color="auto"/>
        <w:left w:val="none" w:sz="0" w:space="0" w:color="auto"/>
        <w:bottom w:val="none" w:sz="0" w:space="0" w:color="auto"/>
        <w:right w:val="none" w:sz="0" w:space="0" w:color="auto"/>
      </w:divBdr>
    </w:div>
    <w:div w:id="709956045">
      <w:bodyDiv w:val="1"/>
      <w:marLeft w:val="0"/>
      <w:marRight w:val="0"/>
      <w:marTop w:val="0"/>
      <w:marBottom w:val="0"/>
      <w:divBdr>
        <w:top w:val="none" w:sz="0" w:space="0" w:color="auto"/>
        <w:left w:val="none" w:sz="0" w:space="0" w:color="auto"/>
        <w:bottom w:val="none" w:sz="0" w:space="0" w:color="auto"/>
        <w:right w:val="none" w:sz="0" w:space="0" w:color="auto"/>
      </w:divBdr>
    </w:div>
    <w:div w:id="712122956">
      <w:bodyDiv w:val="1"/>
      <w:marLeft w:val="0"/>
      <w:marRight w:val="0"/>
      <w:marTop w:val="0"/>
      <w:marBottom w:val="0"/>
      <w:divBdr>
        <w:top w:val="none" w:sz="0" w:space="0" w:color="auto"/>
        <w:left w:val="none" w:sz="0" w:space="0" w:color="auto"/>
        <w:bottom w:val="none" w:sz="0" w:space="0" w:color="auto"/>
        <w:right w:val="none" w:sz="0" w:space="0" w:color="auto"/>
      </w:divBdr>
    </w:div>
    <w:div w:id="712655095">
      <w:bodyDiv w:val="1"/>
      <w:marLeft w:val="0"/>
      <w:marRight w:val="0"/>
      <w:marTop w:val="0"/>
      <w:marBottom w:val="0"/>
      <w:divBdr>
        <w:top w:val="none" w:sz="0" w:space="0" w:color="auto"/>
        <w:left w:val="none" w:sz="0" w:space="0" w:color="auto"/>
        <w:bottom w:val="none" w:sz="0" w:space="0" w:color="auto"/>
        <w:right w:val="none" w:sz="0" w:space="0" w:color="auto"/>
      </w:divBdr>
    </w:div>
    <w:div w:id="712998667">
      <w:bodyDiv w:val="1"/>
      <w:marLeft w:val="0"/>
      <w:marRight w:val="0"/>
      <w:marTop w:val="0"/>
      <w:marBottom w:val="0"/>
      <w:divBdr>
        <w:top w:val="none" w:sz="0" w:space="0" w:color="auto"/>
        <w:left w:val="none" w:sz="0" w:space="0" w:color="auto"/>
        <w:bottom w:val="none" w:sz="0" w:space="0" w:color="auto"/>
        <w:right w:val="none" w:sz="0" w:space="0" w:color="auto"/>
      </w:divBdr>
    </w:div>
    <w:div w:id="713043703">
      <w:bodyDiv w:val="1"/>
      <w:marLeft w:val="0"/>
      <w:marRight w:val="0"/>
      <w:marTop w:val="0"/>
      <w:marBottom w:val="0"/>
      <w:divBdr>
        <w:top w:val="none" w:sz="0" w:space="0" w:color="auto"/>
        <w:left w:val="none" w:sz="0" w:space="0" w:color="auto"/>
        <w:bottom w:val="none" w:sz="0" w:space="0" w:color="auto"/>
        <w:right w:val="none" w:sz="0" w:space="0" w:color="auto"/>
      </w:divBdr>
    </w:div>
    <w:div w:id="714350333">
      <w:bodyDiv w:val="1"/>
      <w:marLeft w:val="0"/>
      <w:marRight w:val="0"/>
      <w:marTop w:val="0"/>
      <w:marBottom w:val="0"/>
      <w:divBdr>
        <w:top w:val="none" w:sz="0" w:space="0" w:color="auto"/>
        <w:left w:val="none" w:sz="0" w:space="0" w:color="auto"/>
        <w:bottom w:val="none" w:sz="0" w:space="0" w:color="auto"/>
        <w:right w:val="none" w:sz="0" w:space="0" w:color="auto"/>
      </w:divBdr>
    </w:div>
    <w:div w:id="714357394">
      <w:bodyDiv w:val="1"/>
      <w:marLeft w:val="0"/>
      <w:marRight w:val="0"/>
      <w:marTop w:val="0"/>
      <w:marBottom w:val="0"/>
      <w:divBdr>
        <w:top w:val="none" w:sz="0" w:space="0" w:color="auto"/>
        <w:left w:val="none" w:sz="0" w:space="0" w:color="auto"/>
        <w:bottom w:val="none" w:sz="0" w:space="0" w:color="auto"/>
        <w:right w:val="none" w:sz="0" w:space="0" w:color="auto"/>
      </w:divBdr>
    </w:div>
    <w:div w:id="714932325">
      <w:bodyDiv w:val="1"/>
      <w:marLeft w:val="0"/>
      <w:marRight w:val="0"/>
      <w:marTop w:val="0"/>
      <w:marBottom w:val="0"/>
      <w:divBdr>
        <w:top w:val="none" w:sz="0" w:space="0" w:color="auto"/>
        <w:left w:val="none" w:sz="0" w:space="0" w:color="auto"/>
        <w:bottom w:val="none" w:sz="0" w:space="0" w:color="auto"/>
        <w:right w:val="none" w:sz="0" w:space="0" w:color="auto"/>
      </w:divBdr>
    </w:div>
    <w:div w:id="715281373">
      <w:bodyDiv w:val="1"/>
      <w:marLeft w:val="0"/>
      <w:marRight w:val="0"/>
      <w:marTop w:val="0"/>
      <w:marBottom w:val="0"/>
      <w:divBdr>
        <w:top w:val="none" w:sz="0" w:space="0" w:color="auto"/>
        <w:left w:val="none" w:sz="0" w:space="0" w:color="auto"/>
        <w:bottom w:val="none" w:sz="0" w:space="0" w:color="auto"/>
        <w:right w:val="none" w:sz="0" w:space="0" w:color="auto"/>
      </w:divBdr>
    </w:div>
    <w:div w:id="715471709">
      <w:bodyDiv w:val="1"/>
      <w:marLeft w:val="0"/>
      <w:marRight w:val="0"/>
      <w:marTop w:val="0"/>
      <w:marBottom w:val="0"/>
      <w:divBdr>
        <w:top w:val="none" w:sz="0" w:space="0" w:color="auto"/>
        <w:left w:val="none" w:sz="0" w:space="0" w:color="auto"/>
        <w:bottom w:val="none" w:sz="0" w:space="0" w:color="auto"/>
        <w:right w:val="none" w:sz="0" w:space="0" w:color="auto"/>
      </w:divBdr>
    </w:div>
    <w:div w:id="719092496">
      <w:bodyDiv w:val="1"/>
      <w:marLeft w:val="0"/>
      <w:marRight w:val="0"/>
      <w:marTop w:val="0"/>
      <w:marBottom w:val="0"/>
      <w:divBdr>
        <w:top w:val="none" w:sz="0" w:space="0" w:color="auto"/>
        <w:left w:val="none" w:sz="0" w:space="0" w:color="auto"/>
        <w:bottom w:val="none" w:sz="0" w:space="0" w:color="auto"/>
        <w:right w:val="none" w:sz="0" w:space="0" w:color="auto"/>
      </w:divBdr>
    </w:div>
    <w:div w:id="719405670">
      <w:bodyDiv w:val="1"/>
      <w:marLeft w:val="0"/>
      <w:marRight w:val="0"/>
      <w:marTop w:val="0"/>
      <w:marBottom w:val="0"/>
      <w:divBdr>
        <w:top w:val="none" w:sz="0" w:space="0" w:color="auto"/>
        <w:left w:val="none" w:sz="0" w:space="0" w:color="auto"/>
        <w:bottom w:val="none" w:sz="0" w:space="0" w:color="auto"/>
        <w:right w:val="none" w:sz="0" w:space="0" w:color="auto"/>
      </w:divBdr>
    </w:div>
    <w:div w:id="721363199">
      <w:bodyDiv w:val="1"/>
      <w:marLeft w:val="0"/>
      <w:marRight w:val="0"/>
      <w:marTop w:val="0"/>
      <w:marBottom w:val="0"/>
      <w:divBdr>
        <w:top w:val="none" w:sz="0" w:space="0" w:color="auto"/>
        <w:left w:val="none" w:sz="0" w:space="0" w:color="auto"/>
        <w:bottom w:val="none" w:sz="0" w:space="0" w:color="auto"/>
        <w:right w:val="none" w:sz="0" w:space="0" w:color="auto"/>
      </w:divBdr>
    </w:div>
    <w:div w:id="721564750">
      <w:bodyDiv w:val="1"/>
      <w:marLeft w:val="0"/>
      <w:marRight w:val="0"/>
      <w:marTop w:val="0"/>
      <w:marBottom w:val="0"/>
      <w:divBdr>
        <w:top w:val="none" w:sz="0" w:space="0" w:color="auto"/>
        <w:left w:val="none" w:sz="0" w:space="0" w:color="auto"/>
        <w:bottom w:val="none" w:sz="0" w:space="0" w:color="auto"/>
        <w:right w:val="none" w:sz="0" w:space="0" w:color="auto"/>
      </w:divBdr>
    </w:div>
    <w:div w:id="723988556">
      <w:bodyDiv w:val="1"/>
      <w:marLeft w:val="0"/>
      <w:marRight w:val="0"/>
      <w:marTop w:val="0"/>
      <w:marBottom w:val="0"/>
      <w:divBdr>
        <w:top w:val="none" w:sz="0" w:space="0" w:color="auto"/>
        <w:left w:val="none" w:sz="0" w:space="0" w:color="auto"/>
        <w:bottom w:val="none" w:sz="0" w:space="0" w:color="auto"/>
        <w:right w:val="none" w:sz="0" w:space="0" w:color="auto"/>
      </w:divBdr>
    </w:div>
    <w:div w:id="724452059">
      <w:bodyDiv w:val="1"/>
      <w:marLeft w:val="0"/>
      <w:marRight w:val="0"/>
      <w:marTop w:val="0"/>
      <w:marBottom w:val="0"/>
      <w:divBdr>
        <w:top w:val="none" w:sz="0" w:space="0" w:color="auto"/>
        <w:left w:val="none" w:sz="0" w:space="0" w:color="auto"/>
        <w:bottom w:val="none" w:sz="0" w:space="0" w:color="auto"/>
        <w:right w:val="none" w:sz="0" w:space="0" w:color="auto"/>
      </w:divBdr>
    </w:div>
    <w:div w:id="725373586">
      <w:bodyDiv w:val="1"/>
      <w:marLeft w:val="0"/>
      <w:marRight w:val="0"/>
      <w:marTop w:val="0"/>
      <w:marBottom w:val="0"/>
      <w:divBdr>
        <w:top w:val="none" w:sz="0" w:space="0" w:color="auto"/>
        <w:left w:val="none" w:sz="0" w:space="0" w:color="auto"/>
        <w:bottom w:val="none" w:sz="0" w:space="0" w:color="auto"/>
        <w:right w:val="none" w:sz="0" w:space="0" w:color="auto"/>
      </w:divBdr>
    </w:div>
    <w:div w:id="727071233">
      <w:bodyDiv w:val="1"/>
      <w:marLeft w:val="0"/>
      <w:marRight w:val="0"/>
      <w:marTop w:val="0"/>
      <w:marBottom w:val="0"/>
      <w:divBdr>
        <w:top w:val="none" w:sz="0" w:space="0" w:color="auto"/>
        <w:left w:val="none" w:sz="0" w:space="0" w:color="auto"/>
        <w:bottom w:val="none" w:sz="0" w:space="0" w:color="auto"/>
        <w:right w:val="none" w:sz="0" w:space="0" w:color="auto"/>
      </w:divBdr>
    </w:div>
    <w:div w:id="728109452">
      <w:bodyDiv w:val="1"/>
      <w:marLeft w:val="0"/>
      <w:marRight w:val="0"/>
      <w:marTop w:val="0"/>
      <w:marBottom w:val="0"/>
      <w:divBdr>
        <w:top w:val="none" w:sz="0" w:space="0" w:color="auto"/>
        <w:left w:val="none" w:sz="0" w:space="0" w:color="auto"/>
        <w:bottom w:val="none" w:sz="0" w:space="0" w:color="auto"/>
        <w:right w:val="none" w:sz="0" w:space="0" w:color="auto"/>
      </w:divBdr>
    </w:div>
    <w:div w:id="729155941">
      <w:bodyDiv w:val="1"/>
      <w:marLeft w:val="0"/>
      <w:marRight w:val="0"/>
      <w:marTop w:val="0"/>
      <w:marBottom w:val="0"/>
      <w:divBdr>
        <w:top w:val="none" w:sz="0" w:space="0" w:color="auto"/>
        <w:left w:val="none" w:sz="0" w:space="0" w:color="auto"/>
        <w:bottom w:val="none" w:sz="0" w:space="0" w:color="auto"/>
        <w:right w:val="none" w:sz="0" w:space="0" w:color="auto"/>
      </w:divBdr>
    </w:div>
    <w:div w:id="730427437">
      <w:bodyDiv w:val="1"/>
      <w:marLeft w:val="0"/>
      <w:marRight w:val="0"/>
      <w:marTop w:val="0"/>
      <w:marBottom w:val="0"/>
      <w:divBdr>
        <w:top w:val="none" w:sz="0" w:space="0" w:color="auto"/>
        <w:left w:val="none" w:sz="0" w:space="0" w:color="auto"/>
        <w:bottom w:val="none" w:sz="0" w:space="0" w:color="auto"/>
        <w:right w:val="none" w:sz="0" w:space="0" w:color="auto"/>
      </w:divBdr>
    </w:div>
    <w:div w:id="731081055">
      <w:bodyDiv w:val="1"/>
      <w:marLeft w:val="0"/>
      <w:marRight w:val="0"/>
      <w:marTop w:val="0"/>
      <w:marBottom w:val="0"/>
      <w:divBdr>
        <w:top w:val="none" w:sz="0" w:space="0" w:color="auto"/>
        <w:left w:val="none" w:sz="0" w:space="0" w:color="auto"/>
        <w:bottom w:val="none" w:sz="0" w:space="0" w:color="auto"/>
        <w:right w:val="none" w:sz="0" w:space="0" w:color="auto"/>
      </w:divBdr>
    </w:div>
    <w:div w:id="731120864">
      <w:bodyDiv w:val="1"/>
      <w:marLeft w:val="0"/>
      <w:marRight w:val="0"/>
      <w:marTop w:val="0"/>
      <w:marBottom w:val="0"/>
      <w:divBdr>
        <w:top w:val="none" w:sz="0" w:space="0" w:color="auto"/>
        <w:left w:val="none" w:sz="0" w:space="0" w:color="auto"/>
        <w:bottom w:val="none" w:sz="0" w:space="0" w:color="auto"/>
        <w:right w:val="none" w:sz="0" w:space="0" w:color="auto"/>
      </w:divBdr>
    </w:div>
    <w:div w:id="731465291">
      <w:bodyDiv w:val="1"/>
      <w:marLeft w:val="0"/>
      <w:marRight w:val="0"/>
      <w:marTop w:val="0"/>
      <w:marBottom w:val="0"/>
      <w:divBdr>
        <w:top w:val="none" w:sz="0" w:space="0" w:color="auto"/>
        <w:left w:val="none" w:sz="0" w:space="0" w:color="auto"/>
        <w:bottom w:val="none" w:sz="0" w:space="0" w:color="auto"/>
        <w:right w:val="none" w:sz="0" w:space="0" w:color="auto"/>
      </w:divBdr>
    </w:div>
    <w:div w:id="732004046">
      <w:bodyDiv w:val="1"/>
      <w:marLeft w:val="0"/>
      <w:marRight w:val="0"/>
      <w:marTop w:val="0"/>
      <w:marBottom w:val="0"/>
      <w:divBdr>
        <w:top w:val="none" w:sz="0" w:space="0" w:color="auto"/>
        <w:left w:val="none" w:sz="0" w:space="0" w:color="auto"/>
        <w:bottom w:val="none" w:sz="0" w:space="0" w:color="auto"/>
        <w:right w:val="none" w:sz="0" w:space="0" w:color="auto"/>
      </w:divBdr>
    </w:div>
    <w:div w:id="732192839">
      <w:bodyDiv w:val="1"/>
      <w:marLeft w:val="0"/>
      <w:marRight w:val="0"/>
      <w:marTop w:val="0"/>
      <w:marBottom w:val="0"/>
      <w:divBdr>
        <w:top w:val="none" w:sz="0" w:space="0" w:color="auto"/>
        <w:left w:val="none" w:sz="0" w:space="0" w:color="auto"/>
        <w:bottom w:val="none" w:sz="0" w:space="0" w:color="auto"/>
        <w:right w:val="none" w:sz="0" w:space="0" w:color="auto"/>
      </w:divBdr>
    </w:div>
    <w:div w:id="733162873">
      <w:bodyDiv w:val="1"/>
      <w:marLeft w:val="0"/>
      <w:marRight w:val="0"/>
      <w:marTop w:val="0"/>
      <w:marBottom w:val="0"/>
      <w:divBdr>
        <w:top w:val="none" w:sz="0" w:space="0" w:color="auto"/>
        <w:left w:val="none" w:sz="0" w:space="0" w:color="auto"/>
        <w:bottom w:val="none" w:sz="0" w:space="0" w:color="auto"/>
        <w:right w:val="none" w:sz="0" w:space="0" w:color="auto"/>
      </w:divBdr>
    </w:div>
    <w:div w:id="733770816">
      <w:bodyDiv w:val="1"/>
      <w:marLeft w:val="0"/>
      <w:marRight w:val="0"/>
      <w:marTop w:val="0"/>
      <w:marBottom w:val="0"/>
      <w:divBdr>
        <w:top w:val="none" w:sz="0" w:space="0" w:color="auto"/>
        <w:left w:val="none" w:sz="0" w:space="0" w:color="auto"/>
        <w:bottom w:val="none" w:sz="0" w:space="0" w:color="auto"/>
        <w:right w:val="none" w:sz="0" w:space="0" w:color="auto"/>
      </w:divBdr>
    </w:div>
    <w:div w:id="735516273">
      <w:bodyDiv w:val="1"/>
      <w:marLeft w:val="0"/>
      <w:marRight w:val="0"/>
      <w:marTop w:val="0"/>
      <w:marBottom w:val="0"/>
      <w:divBdr>
        <w:top w:val="none" w:sz="0" w:space="0" w:color="auto"/>
        <w:left w:val="none" w:sz="0" w:space="0" w:color="auto"/>
        <w:bottom w:val="none" w:sz="0" w:space="0" w:color="auto"/>
        <w:right w:val="none" w:sz="0" w:space="0" w:color="auto"/>
      </w:divBdr>
    </w:div>
    <w:div w:id="737360726">
      <w:bodyDiv w:val="1"/>
      <w:marLeft w:val="0"/>
      <w:marRight w:val="0"/>
      <w:marTop w:val="0"/>
      <w:marBottom w:val="0"/>
      <w:divBdr>
        <w:top w:val="none" w:sz="0" w:space="0" w:color="auto"/>
        <w:left w:val="none" w:sz="0" w:space="0" w:color="auto"/>
        <w:bottom w:val="none" w:sz="0" w:space="0" w:color="auto"/>
        <w:right w:val="none" w:sz="0" w:space="0" w:color="auto"/>
      </w:divBdr>
    </w:div>
    <w:div w:id="738015661">
      <w:bodyDiv w:val="1"/>
      <w:marLeft w:val="0"/>
      <w:marRight w:val="0"/>
      <w:marTop w:val="0"/>
      <w:marBottom w:val="0"/>
      <w:divBdr>
        <w:top w:val="none" w:sz="0" w:space="0" w:color="auto"/>
        <w:left w:val="none" w:sz="0" w:space="0" w:color="auto"/>
        <w:bottom w:val="none" w:sz="0" w:space="0" w:color="auto"/>
        <w:right w:val="none" w:sz="0" w:space="0" w:color="auto"/>
      </w:divBdr>
    </w:div>
    <w:div w:id="738555393">
      <w:bodyDiv w:val="1"/>
      <w:marLeft w:val="0"/>
      <w:marRight w:val="0"/>
      <w:marTop w:val="0"/>
      <w:marBottom w:val="0"/>
      <w:divBdr>
        <w:top w:val="none" w:sz="0" w:space="0" w:color="auto"/>
        <w:left w:val="none" w:sz="0" w:space="0" w:color="auto"/>
        <w:bottom w:val="none" w:sz="0" w:space="0" w:color="auto"/>
        <w:right w:val="none" w:sz="0" w:space="0" w:color="auto"/>
      </w:divBdr>
    </w:div>
    <w:div w:id="739253046">
      <w:bodyDiv w:val="1"/>
      <w:marLeft w:val="0"/>
      <w:marRight w:val="0"/>
      <w:marTop w:val="0"/>
      <w:marBottom w:val="0"/>
      <w:divBdr>
        <w:top w:val="none" w:sz="0" w:space="0" w:color="auto"/>
        <w:left w:val="none" w:sz="0" w:space="0" w:color="auto"/>
        <w:bottom w:val="none" w:sz="0" w:space="0" w:color="auto"/>
        <w:right w:val="none" w:sz="0" w:space="0" w:color="auto"/>
      </w:divBdr>
    </w:div>
    <w:div w:id="739447586">
      <w:bodyDiv w:val="1"/>
      <w:marLeft w:val="0"/>
      <w:marRight w:val="0"/>
      <w:marTop w:val="0"/>
      <w:marBottom w:val="0"/>
      <w:divBdr>
        <w:top w:val="none" w:sz="0" w:space="0" w:color="auto"/>
        <w:left w:val="none" w:sz="0" w:space="0" w:color="auto"/>
        <w:bottom w:val="none" w:sz="0" w:space="0" w:color="auto"/>
        <w:right w:val="none" w:sz="0" w:space="0" w:color="auto"/>
      </w:divBdr>
    </w:div>
    <w:div w:id="739794148">
      <w:bodyDiv w:val="1"/>
      <w:marLeft w:val="0"/>
      <w:marRight w:val="0"/>
      <w:marTop w:val="0"/>
      <w:marBottom w:val="0"/>
      <w:divBdr>
        <w:top w:val="none" w:sz="0" w:space="0" w:color="auto"/>
        <w:left w:val="none" w:sz="0" w:space="0" w:color="auto"/>
        <w:bottom w:val="none" w:sz="0" w:space="0" w:color="auto"/>
        <w:right w:val="none" w:sz="0" w:space="0" w:color="auto"/>
      </w:divBdr>
    </w:div>
    <w:div w:id="741029442">
      <w:bodyDiv w:val="1"/>
      <w:marLeft w:val="0"/>
      <w:marRight w:val="0"/>
      <w:marTop w:val="0"/>
      <w:marBottom w:val="0"/>
      <w:divBdr>
        <w:top w:val="none" w:sz="0" w:space="0" w:color="auto"/>
        <w:left w:val="none" w:sz="0" w:space="0" w:color="auto"/>
        <w:bottom w:val="none" w:sz="0" w:space="0" w:color="auto"/>
        <w:right w:val="none" w:sz="0" w:space="0" w:color="auto"/>
      </w:divBdr>
    </w:div>
    <w:div w:id="742071047">
      <w:bodyDiv w:val="1"/>
      <w:marLeft w:val="0"/>
      <w:marRight w:val="0"/>
      <w:marTop w:val="0"/>
      <w:marBottom w:val="0"/>
      <w:divBdr>
        <w:top w:val="none" w:sz="0" w:space="0" w:color="auto"/>
        <w:left w:val="none" w:sz="0" w:space="0" w:color="auto"/>
        <w:bottom w:val="none" w:sz="0" w:space="0" w:color="auto"/>
        <w:right w:val="none" w:sz="0" w:space="0" w:color="auto"/>
      </w:divBdr>
    </w:div>
    <w:div w:id="742148146">
      <w:bodyDiv w:val="1"/>
      <w:marLeft w:val="0"/>
      <w:marRight w:val="0"/>
      <w:marTop w:val="0"/>
      <w:marBottom w:val="0"/>
      <w:divBdr>
        <w:top w:val="none" w:sz="0" w:space="0" w:color="auto"/>
        <w:left w:val="none" w:sz="0" w:space="0" w:color="auto"/>
        <w:bottom w:val="none" w:sz="0" w:space="0" w:color="auto"/>
        <w:right w:val="none" w:sz="0" w:space="0" w:color="auto"/>
      </w:divBdr>
    </w:div>
    <w:div w:id="742408759">
      <w:bodyDiv w:val="1"/>
      <w:marLeft w:val="0"/>
      <w:marRight w:val="0"/>
      <w:marTop w:val="0"/>
      <w:marBottom w:val="0"/>
      <w:divBdr>
        <w:top w:val="none" w:sz="0" w:space="0" w:color="auto"/>
        <w:left w:val="none" w:sz="0" w:space="0" w:color="auto"/>
        <w:bottom w:val="none" w:sz="0" w:space="0" w:color="auto"/>
        <w:right w:val="none" w:sz="0" w:space="0" w:color="auto"/>
      </w:divBdr>
    </w:div>
    <w:div w:id="743189188">
      <w:bodyDiv w:val="1"/>
      <w:marLeft w:val="0"/>
      <w:marRight w:val="0"/>
      <w:marTop w:val="0"/>
      <w:marBottom w:val="0"/>
      <w:divBdr>
        <w:top w:val="none" w:sz="0" w:space="0" w:color="auto"/>
        <w:left w:val="none" w:sz="0" w:space="0" w:color="auto"/>
        <w:bottom w:val="none" w:sz="0" w:space="0" w:color="auto"/>
        <w:right w:val="none" w:sz="0" w:space="0" w:color="auto"/>
      </w:divBdr>
    </w:div>
    <w:div w:id="743798507">
      <w:bodyDiv w:val="1"/>
      <w:marLeft w:val="0"/>
      <w:marRight w:val="0"/>
      <w:marTop w:val="0"/>
      <w:marBottom w:val="0"/>
      <w:divBdr>
        <w:top w:val="none" w:sz="0" w:space="0" w:color="auto"/>
        <w:left w:val="none" w:sz="0" w:space="0" w:color="auto"/>
        <w:bottom w:val="none" w:sz="0" w:space="0" w:color="auto"/>
        <w:right w:val="none" w:sz="0" w:space="0" w:color="auto"/>
      </w:divBdr>
    </w:div>
    <w:div w:id="744305716">
      <w:bodyDiv w:val="1"/>
      <w:marLeft w:val="0"/>
      <w:marRight w:val="0"/>
      <w:marTop w:val="0"/>
      <w:marBottom w:val="0"/>
      <w:divBdr>
        <w:top w:val="none" w:sz="0" w:space="0" w:color="auto"/>
        <w:left w:val="none" w:sz="0" w:space="0" w:color="auto"/>
        <w:bottom w:val="none" w:sz="0" w:space="0" w:color="auto"/>
        <w:right w:val="none" w:sz="0" w:space="0" w:color="auto"/>
      </w:divBdr>
    </w:div>
    <w:div w:id="745298688">
      <w:bodyDiv w:val="1"/>
      <w:marLeft w:val="0"/>
      <w:marRight w:val="0"/>
      <w:marTop w:val="0"/>
      <w:marBottom w:val="0"/>
      <w:divBdr>
        <w:top w:val="none" w:sz="0" w:space="0" w:color="auto"/>
        <w:left w:val="none" w:sz="0" w:space="0" w:color="auto"/>
        <w:bottom w:val="none" w:sz="0" w:space="0" w:color="auto"/>
        <w:right w:val="none" w:sz="0" w:space="0" w:color="auto"/>
      </w:divBdr>
    </w:div>
    <w:div w:id="745877981">
      <w:bodyDiv w:val="1"/>
      <w:marLeft w:val="0"/>
      <w:marRight w:val="0"/>
      <w:marTop w:val="0"/>
      <w:marBottom w:val="0"/>
      <w:divBdr>
        <w:top w:val="none" w:sz="0" w:space="0" w:color="auto"/>
        <w:left w:val="none" w:sz="0" w:space="0" w:color="auto"/>
        <w:bottom w:val="none" w:sz="0" w:space="0" w:color="auto"/>
        <w:right w:val="none" w:sz="0" w:space="0" w:color="auto"/>
      </w:divBdr>
    </w:div>
    <w:div w:id="746536695">
      <w:bodyDiv w:val="1"/>
      <w:marLeft w:val="0"/>
      <w:marRight w:val="0"/>
      <w:marTop w:val="0"/>
      <w:marBottom w:val="0"/>
      <w:divBdr>
        <w:top w:val="none" w:sz="0" w:space="0" w:color="auto"/>
        <w:left w:val="none" w:sz="0" w:space="0" w:color="auto"/>
        <w:bottom w:val="none" w:sz="0" w:space="0" w:color="auto"/>
        <w:right w:val="none" w:sz="0" w:space="0" w:color="auto"/>
      </w:divBdr>
    </w:div>
    <w:div w:id="746653581">
      <w:bodyDiv w:val="1"/>
      <w:marLeft w:val="0"/>
      <w:marRight w:val="0"/>
      <w:marTop w:val="0"/>
      <w:marBottom w:val="0"/>
      <w:divBdr>
        <w:top w:val="none" w:sz="0" w:space="0" w:color="auto"/>
        <w:left w:val="none" w:sz="0" w:space="0" w:color="auto"/>
        <w:bottom w:val="none" w:sz="0" w:space="0" w:color="auto"/>
        <w:right w:val="none" w:sz="0" w:space="0" w:color="auto"/>
      </w:divBdr>
    </w:div>
    <w:div w:id="746876133">
      <w:bodyDiv w:val="1"/>
      <w:marLeft w:val="0"/>
      <w:marRight w:val="0"/>
      <w:marTop w:val="0"/>
      <w:marBottom w:val="0"/>
      <w:divBdr>
        <w:top w:val="none" w:sz="0" w:space="0" w:color="auto"/>
        <w:left w:val="none" w:sz="0" w:space="0" w:color="auto"/>
        <w:bottom w:val="none" w:sz="0" w:space="0" w:color="auto"/>
        <w:right w:val="none" w:sz="0" w:space="0" w:color="auto"/>
      </w:divBdr>
    </w:div>
    <w:div w:id="747046008">
      <w:bodyDiv w:val="1"/>
      <w:marLeft w:val="0"/>
      <w:marRight w:val="0"/>
      <w:marTop w:val="0"/>
      <w:marBottom w:val="0"/>
      <w:divBdr>
        <w:top w:val="none" w:sz="0" w:space="0" w:color="auto"/>
        <w:left w:val="none" w:sz="0" w:space="0" w:color="auto"/>
        <w:bottom w:val="none" w:sz="0" w:space="0" w:color="auto"/>
        <w:right w:val="none" w:sz="0" w:space="0" w:color="auto"/>
      </w:divBdr>
    </w:div>
    <w:div w:id="747076567">
      <w:bodyDiv w:val="1"/>
      <w:marLeft w:val="0"/>
      <w:marRight w:val="0"/>
      <w:marTop w:val="0"/>
      <w:marBottom w:val="0"/>
      <w:divBdr>
        <w:top w:val="none" w:sz="0" w:space="0" w:color="auto"/>
        <w:left w:val="none" w:sz="0" w:space="0" w:color="auto"/>
        <w:bottom w:val="none" w:sz="0" w:space="0" w:color="auto"/>
        <w:right w:val="none" w:sz="0" w:space="0" w:color="auto"/>
      </w:divBdr>
    </w:div>
    <w:div w:id="748380286">
      <w:bodyDiv w:val="1"/>
      <w:marLeft w:val="0"/>
      <w:marRight w:val="0"/>
      <w:marTop w:val="0"/>
      <w:marBottom w:val="0"/>
      <w:divBdr>
        <w:top w:val="none" w:sz="0" w:space="0" w:color="auto"/>
        <w:left w:val="none" w:sz="0" w:space="0" w:color="auto"/>
        <w:bottom w:val="none" w:sz="0" w:space="0" w:color="auto"/>
        <w:right w:val="none" w:sz="0" w:space="0" w:color="auto"/>
      </w:divBdr>
    </w:div>
    <w:div w:id="749540499">
      <w:bodyDiv w:val="1"/>
      <w:marLeft w:val="0"/>
      <w:marRight w:val="0"/>
      <w:marTop w:val="0"/>
      <w:marBottom w:val="0"/>
      <w:divBdr>
        <w:top w:val="none" w:sz="0" w:space="0" w:color="auto"/>
        <w:left w:val="none" w:sz="0" w:space="0" w:color="auto"/>
        <w:bottom w:val="none" w:sz="0" w:space="0" w:color="auto"/>
        <w:right w:val="none" w:sz="0" w:space="0" w:color="auto"/>
      </w:divBdr>
    </w:div>
    <w:div w:id="750660418">
      <w:bodyDiv w:val="1"/>
      <w:marLeft w:val="0"/>
      <w:marRight w:val="0"/>
      <w:marTop w:val="0"/>
      <w:marBottom w:val="0"/>
      <w:divBdr>
        <w:top w:val="none" w:sz="0" w:space="0" w:color="auto"/>
        <w:left w:val="none" w:sz="0" w:space="0" w:color="auto"/>
        <w:bottom w:val="none" w:sz="0" w:space="0" w:color="auto"/>
        <w:right w:val="none" w:sz="0" w:space="0" w:color="auto"/>
      </w:divBdr>
    </w:div>
    <w:div w:id="750780451">
      <w:bodyDiv w:val="1"/>
      <w:marLeft w:val="0"/>
      <w:marRight w:val="0"/>
      <w:marTop w:val="0"/>
      <w:marBottom w:val="0"/>
      <w:divBdr>
        <w:top w:val="none" w:sz="0" w:space="0" w:color="auto"/>
        <w:left w:val="none" w:sz="0" w:space="0" w:color="auto"/>
        <w:bottom w:val="none" w:sz="0" w:space="0" w:color="auto"/>
        <w:right w:val="none" w:sz="0" w:space="0" w:color="auto"/>
      </w:divBdr>
    </w:div>
    <w:div w:id="751001619">
      <w:bodyDiv w:val="1"/>
      <w:marLeft w:val="0"/>
      <w:marRight w:val="0"/>
      <w:marTop w:val="0"/>
      <w:marBottom w:val="0"/>
      <w:divBdr>
        <w:top w:val="none" w:sz="0" w:space="0" w:color="auto"/>
        <w:left w:val="none" w:sz="0" w:space="0" w:color="auto"/>
        <w:bottom w:val="none" w:sz="0" w:space="0" w:color="auto"/>
        <w:right w:val="none" w:sz="0" w:space="0" w:color="auto"/>
      </w:divBdr>
    </w:div>
    <w:div w:id="751659532">
      <w:bodyDiv w:val="1"/>
      <w:marLeft w:val="0"/>
      <w:marRight w:val="0"/>
      <w:marTop w:val="0"/>
      <w:marBottom w:val="0"/>
      <w:divBdr>
        <w:top w:val="none" w:sz="0" w:space="0" w:color="auto"/>
        <w:left w:val="none" w:sz="0" w:space="0" w:color="auto"/>
        <w:bottom w:val="none" w:sz="0" w:space="0" w:color="auto"/>
        <w:right w:val="none" w:sz="0" w:space="0" w:color="auto"/>
      </w:divBdr>
    </w:div>
    <w:div w:id="751704826">
      <w:bodyDiv w:val="1"/>
      <w:marLeft w:val="0"/>
      <w:marRight w:val="0"/>
      <w:marTop w:val="0"/>
      <w:marBottom w:val="0"/>
      <w:divBdr>
        <w:top w:val="none" w:sz="0" w:space="0" w:color="auto"/>
        <w:left w:val="none" w:sz="0" w:space="0" w:color="auto"/>
        <w:bottom w:val="none" w:sz="0" w:space="0" w:color="auto"/>
        <w:right w:val="none" w:sz="0" w:space="0" w:color="auto"/>
      </w:divBdr>
    </w:div>
    <w:div w:id="751778490">
      <w:bodyDiv w:val="1"/>
      <w:marLeft w:val="0"/>
      <w:marRight w:val="0"/>
      <w:marTop w:val="0"/>
      <w:marBottom w:val="0"/>
      <w:divBdr>
        <w:top w:val="none" w:sz="0" w:space="0" w:color="auto"/>
        <w:left w:val="none" w:sz="0" w:space="0" w:color="auto"/>
        <w:bottom w:val="none" w:sz="0" w:space="0" w:color="auto"/>
        <w:right w:val="none" w:sz="0" w:space="0" w:color="auto"/>
      </w:divBdr>
    </w:div>
    <w:div w:id="751849620">
      <w:bodyDiv w:val="1"/>
      <w:marLeft w:val="0"/>
      <w:marRight w:val="0"/>
      <w:marTop w:val="0"/>
      <w:marBottom w:val="0"/>
      <w:divBdr>
        <w:top w:val="none" w:sz="0" w:space="0" w:color="auto"/>
        <w:left w:val="none" w:sz="0" w:space="0" w:color="auto"/>
        <w:bottom w:val="none" w:sz="0" w:space="0" w:color="auto"/>
        <w:right w:val="none" w:sz="0" w:space="0" w:color="auto"/>
      </w:divBdr>
    </w:div>
    <w:div w:id="752120579">
      <w:bodyDiv w:val="1"/>
      <w:marLeft w:val="0"/>
      <w:marRight w:val="0"/>
      <w:marTop w:val="0"/>
      <w:marBottom w:val="0"/>
      <w:divBdr>
        <w:top w:val="none" w:sz="0" w:space="0" w:color="auto"/>
        <w:left w:val="none" w:sz="0" w:space="0" w:color="auto"/>
        <w:bottom w:val="none" w:sz="0" w:space="0" w:color="auto"/>
        <w:right w:val="none" w:sz="0" w:space="0" w:color="auto"/>
      </w:divBdr>
    </w:div>
    <w:div w:id="752700491">
      <w:bodyDiv w:val="1"/>
      <w:marLeft w:val="0"/>
      <w:marRight w:val="0"/>
      <w:marTop w:val="0"/>
      <w:marBottom w:val="0"/>
      <w:divBdr>
        <w:top w:val="none" w:sz="0" w:space="0" w:color="auto"/>
        <w:left w:val="none" w:sz="0" w:space="0" w:color="auto"/>
        <w:bottom w:val="none" w:sz="0" w:space="0" w:color="auto"/>
        <w:right w:val="none" w:sz="0" w:space="0" w:color="auto"/>
      </w:divBdr>
    </w:div>
    <w:div w:id="752746954">
      <w:bodyDiv w:val="1"/>
      <w:marLeft w:val="0"/>
      <w:marRight w:val="0"/>
      <w:marTop w:val="0"/>
      <w:marBottom w:val="0"/>
      <w:divBdr>
        <w:top w:val="none" w:sz="0" w:space="0" w:color="auto"/>
        <w:left w:val="none" w:sz="0" w:space="0" w:color="auto"/>
        <w:bottom w:val="none" w:sz="0" w:space="0" w:color="auto"/>
        <w:right w:val="none" w:sz="0" w:space="0" w:color="auto"/>
      </w:divBdr>
    </w:div>
    <w:div w:id="752774635">
      <w:bodyDiv w:val="1"/>
      <w:marLeft w:val="0"/>
      <w:marRight w:val="0"/>
      <w:marTop w:val="0"/>
      <w:marBottom w:val="0"/>
      <w:divBdr>
        <w:top w:val="none" w:sz="0" w:space="0" w:color="auto"/>
        <w:left w:val="none" w:sz="0" w:space="0" w:color="auto"/>
        <w:bottom w:val="none" w:sz="0" w:space="0" w:color="auto"/>
        <w:right w:val="none" w:sz="0" w:space="0" w:color="auto"/>
      </w:divBdr>
    </w:div>
    <w:div w:id="753013791">
      <w:bodyDiv w:val="1"/>
      <w:marLeft w:val="0"/>
      <w:marRight w:val="0"/>
      <w:marTop w:val="0"/>
      <w:marBottom w:val="0"/>
      <w:divBdr>
        <w:top w:val="none" w:sz="0" w:space="0" w:color="auto"/>
        <w:left w:val="none" w:sz="0" w:space="0" w:color="auto"/>
        <w:bottom w:val="none" w:sz="0" w:space="0" w:color="auto"/>
        <w:right w:val="none" w:sz="0" w:space="0" w:color="auto"/>
      </w:divBdr>
    </w:div>
    <w:div w:id="754940790">
      <w:bodyDiv w:val="1"/>
      <w:marLeft w:val="0"/>
      <w:marRight w:val="0"/>
      <w:marTop w:val="0"/>
      <w:marBottom w:val="0"/>
      <w:divBdr>
        <w:top w:val="none" w:sz="0" w:space="0" w:color="auto"/>
        <w:left w:val="none" w:sz="0" w:space="0" w:color="auto"/>
        <w:bottom w:val="none" w:sz="0" w:space="0" w:color="auto"/>
        <w:right w:val="none" w:sz="0" w:space="0" w:color="auto"/>
      </w:divBdr>
    </w:div>
    <w:div w:id="755128877">
      <w:bodyDiv w:val="1"/>
      <w:marLeft w:val="0"/>
      <w:marRight w:val="0"/>
      <w:marTop w:val="0"/>
      <w:marBottom w:val="0"/>
      <w:divBdr>
        <w:top w:val="none" w:sz="0" w:space="0" w:color="auto"/>
        <w:left w:val="none" w:sz="0" w:space="0" w:color="auto"/>
        <w:bottom w:val="none" w:sz="0" w:space="0" w:color="auto"/>
        <w:right w:val="none" w:sz="0" w:space="0" w:color="auto"/>
      </w:divBdr>
    </w:div>
    <w:div w:id="755974941">
      <w:bodyDiv w:val="1"/>
      <w:marLeft w:val="0"/>
      <w:marRight w:val="0"/>
      <w:marTop w:val="0"/>
      <w:marBottom w:val="0"/>
      <w:divBdr>
        <w:top w:val="none" w:sz="0" w:space="0" w:color="auto"/>
        <w:left w:val="none" w:sz="0" w:space="0" w:color="auto"/>
        <w:bottom w:val="none" w:sz="0" w:space="0" w:color="auto"/>
        <w:right w:val="none" w:sz="0" w:space="0" w:color="auto"/>
      </w:divBdr>
    </w:div>
    <w:div w:id="756287275">
      <w:bodyDiv w:val="1"/>
      <w:marLeft w:val="0"/>
      <w:marRight w:val="0"/>
      <w:marTop w:val="0"/>
      <w:marBottom w:val="0"/>
      <w:divBdr>
        <w:top w:val="none" w:sz="0" w:space="0" w:color="auto"/>
        <w:left w:val="none" w:sz="0" w:space="0" w:color="auto"/>
        <w:bottom w:val="none" w:sz="0" w:space="0" w:color="auto"/>
        <w:right w:val="none" w:sz="0" w:space="0" w:color="auto"/>
      </w:divBdr>
    </w:div>
    <w:div w:id="757868003">
      <w:bodyDiv w:val="1"/>
      <w:marLeft w:val="0"/>
      <w:marRight w:val="0"/>
      <w:marTop w:val="0"/>
      <w:marBottom w:val="0"/>
      <w:divBdr>
        <w:top w:val="none" w:sz="0" w:space="0" w:color="auto"/>
        <w:left w:val="none" w:sz="0" w:space="0" w:color="auto"/>
        <w:bottom w:val="none" w:sz="0" w:space="0" w:color="auto"/>
        <w:right w:val="none" w:sz="0" w:space="0" w:color="auto"/>
      </w:divBdr>
    </w:div>
    <w:div w:id="758402585">
      <w:bodyDiv w:val="1"/>
      <w:marLeft w:val="0"/>
      <w:marRight w:val="0"/>
      <w:marTop w:val="0"/>
      <w:marBottom w:val="0"/>
      <w:divBdr>
        <w:top w:val="none" w:sz="0" w:space="0" w:color="auto"/>
        <w:left w:val="none" w:sz="0" w:space="0" w:color="auto"/>
        <w:bottom w:val="none" w:sz="0" w:space="0" w:color="auto"/>
        <w:right w:val="none" w:sz="0" w:space="0" w:color="auto"/>
      </w:divBdr>
    </w:div>
    <w:div w:id="758602330">
      <w:bodyDiv w:val="1"/>
      <w:marLeft w:val="0"/>
      <w:marRight w:val="0"/>
      <w:marTop w:val="0"/>
      <w:marBottom w:val="0"/>
      <w:divBdr>
        <w:top w:val="none" w:sz="0" w:space="0" w:color="auto"/>
        <w:left w:val="none" w:sz="0" w:space="0" w:color="auto"/>
        <w:bottom w:val="none" w:sz="0" w:space="0" w:color="auto"/>
        <w:right w:val="none" w:sz="0" w:space="0" w:color="auto"/>
      </w:divBdr>
    </w:div>
    <w:div w:id="761032447">
      <w:bodyDiv w:val="1"/>
      <w:marLeft w:val="0"/>
      <w:marRight w:val="0"/>
      <w:marTop w:val="0"/>
      <w:marBottom w:val="0"/>
      <w:divBdr>
        <w:top w:val="none" w:sz="0" w:space="0" w:color="auto"/>
        <w:left w:val="none" w:sz="0" w:space="0" w:color="auto"/>
        <w:bottom w:val="none" w:sz="0" w:space="0" w:color="auto"/>
        <w:right w:val="none" w:sz="0" w:space="0" w:color="auto"/>
      </w:divBdr>
    </w:div>
    <w:div w:id="761685660">
      <w:bodyDiv w:val="1"/>
      <w:marLeft w:val="0"/>
      <w:marRight w:val="0"/>
      <w:marTop w:val="0"/>
      <w:marBottom w:val="0"/>
      <w:divBdr>
        <w:top w:val="none" w:sz="0" w:space="0" w:color="auto"/>
        <w:left w:val="none" w:sz="0" w:space="0" w:color="auto"/>
        <w:bottom w:val="none" w:sz="0" w:space="0" w:color="auto"/>
        <w:right w:val="none" w:sz="0" w:space="0" w:color="auto"/>
      </w:divBdr>
    </w:div>
    <w:div w:id="761922426">
      <w:bodyDiv w:val="1"/>
      <w:marLeft w:val="0"/>
      <w:marRight w:val="0"/>
      <w:marTop w:val="0"/>
      <w:marBottom w:val="0"/>
      <w:divBdr>
        <w:top w:val="none" w:sz="0" w:space="0" w:color="auto"/>
        <w:left w:val="none" w:sz="0" w:space="0" w:color="auto"/>
        <w:bottom w:val="none" w:sz="0" w:space="0" w:color="auto"/>
        <w:right w:val="none" w:sz="0" w:space="0" w:color="auto"/>
      </w:divBdr>
    </w:div>
    <w:div w:id="762261463">
      <w:bodyDiv w:val="1"/>
      <w:marLeft w:val="0"/>
      <w:marRight w:val="0"/>
      <w:marTop w:val="0"/>
      <w:marBottom w:val="0"/>
      <w:divBdr>
        <w:top w:val="none" w:sz="0" w:space="0" w:color="auto"/>
        <w:left w:val="none" w:sz="0" w:space="0" w:color="auto"/>
        <w:bottom w:val="none" w:sz="0" w:space="0" w:color="auto"/>
        <w:right w:val="none" w:sz="0" w:space="0" w:color="auto"/>
      </w:divBdr>
    </w:div>
    <w:div w:id="762647167">
      <w:bodyDiv w:val="1"/>
      <w:marLeft w:val="0"/>
      <w:marRight w:val="0"/>
      <w:marTop w:val="0"/>
      <w:marBottom w:val="0"/>
      <w:divBdr>
        <w:top w:val="none" w:sz="0" w:space="0" w:color="auto"/>
        <w:left w:val="none" w:sz="0" w:space="0" w:color="auto"/>
        <w:bottom w:val="none" w:sz="0" w:space="0" w:color="auto"/>
        <w:right w:val="none" w:sz="0" w:space="0" w:color="auto"/>
      </w:divBdr>
    </w:div>
    <w:div w:id="763452845">
      <w:bodyDiv w:val="1"/>
      <w:marLeft w:val="0"/>
      <w:marRight w:val="0"/>
      <w:marTop w:val="0"/>
      <w:marBottom w:val="0"/>
      <w:divBdr>
        <w:top w:val="none" w:sz="0" w:space="0" w:color="auto"/>
        <w:left w:val="none" w:sz="0" w:space="0" w:color="auto"/>
        <w:bottom w:val="none" w:sz="0" w:space="0" w:color="auto"/>
        <w:right w:val="none" w:sz="0" w:space="0" w:color="auto"/>
      </w:divBdr>
    </w:div>
    <w:div w:id="763500789">
      <w:bodyDiv w:val="1"/>
      <w:marLeft w:val="0"/>
      <w:marRight w:val="0"/>
      <w:marTop w:val="0"/>
      <w:marBottom w:val="0"/>
      <w:divBdr>
        <w:top w:val="none" w:sz="0" w:space="0" w:color="auto"/>
        <w:left w:val="none" w:sz="0" w:space="0" w:color="auto"/>
        <w:bottom w:val="none" w:sz="0" w:space="0" w:color="auto"/>
        <w:right w:val="none" w:sz="0" w:space="0" w:color="auto"/>
      </w:divBdr>
    </w:div>
    <w:div w:id="764378813">
      <w:bodyDiv w:val="1"/>
      <w:marLeft w:val="0"/>
      <w:marRight w:val="0"/>
      <w:marTop w:val="0"/>
      <w:marBottom w:val="0"/>
      <w:divBdr>
        <w:top w:val="none" w:sz="0" w:space="0" w:color="auto"/>
        <w:left w:val="none" w:sz="0" w:space="0" w:color="auto"/>
        <w:bottom w:val="none" w:sz="0" w:space="0" w:color="auto"/>
        <w:right w:val="none" w:sz="0" w:space="0" w:color="auto"/>
      </w:divBdr>
    </w:div>
    <w:div w:id="765155538">
      <w:bodyDiv w:val="1"/>
      <w:marLeft w:val="0"/>
      <w:marRight w:val="0"/>
      <w:marTop w:val="0"/>
      <w:marBottom w:val="0"/>
      <w:divBdr>
        <w:top w:val="none" w:sz="0" w:space="0" w:color="auto"/>
        <w:left w:val="none" w:sz="0" w:space="0" w:color="auto"/>
        <w:bottom w:val="none" w:sz="0" w:space="0" w:color="auto"/>
        <w:right w:val="none" w:sz="0" w:space="0" w:color="auto"/>
      </w:divBdr>
    </w:div>
    <w:div w:id="766458881">
      <w:bodyDiv w:val="1"/>
      <w:marLeft w:val="0"/>
      <w:marRight w:val="0"/>
      <w:marTop w:val="0"/>
      <w:marBottom w:val="0"/>
      <w:divBdr>
        <w:top w:val="none" w:sz="0" w:space="0" w:color="auto"/>
        <w:left w:val="none" w:sz="0" w:space="0" w:color="auto"/>
        <w:bottom w:val="none" w:sz="0" w:space="0" w:color="auto"/>
        <w:right w:val="none" w:sz="0" w:space="0" w:color="auto"/>
      </w:divBdr>
    </w:div>
    <w:div w:id="766853911">
      <w:bodyDiv w:val="1"/>
      <w:marLeft w:val="0"/>
      <w:marRight w:val="0"/>
      <w:marTop w:val="0"/>
      <w:marBottom w:val="0"/>
      <w:divBdr>
        <w:top w:val="none" w:sz="0" w:space="0" w:color="auto"/>
        <w:left w:val="none" w:sz="0" w:space="0" w:color="auto"/>
        <w:bottom w:val="none" w:sz="0" w:space="0" w:color="auto"/>
        <w:right w:val="none" w:sz="0" w:space="0" w:color="auto"/>
      </w:divBdr>
    </w:div>
    <w:div w:id="767314572">
      <w:bodyDiv w:val="1"/>
      <w:marLeft w:val="0"/>
      <w:marRight w:val="0"/>
      <w:marTop w:val="0"/>
      <w:marBottom w:val="0"/>
      <w:divBdr>
        <w:top w:val="none" w:sz="0" w:space="0" w:color="auto"/>
        <w:left w:val="none" w:sz="0" w:space="0" w:color="auto"/>
        <w:bottom w:val="none" w:sz="0" w:space="0" w:color="auto"/>
        <w:right w:val="none" w:sz="0" w:space="0" w:color="auto"/>
      </w:divBdr>
    </w:div>
    <w:div w:id="767624721">
      <w:bodyDiv w:val="1"/>
      <w:marLeft w:val="0"/>
      <w:marRight w:val="0"/>
      <w:marTop w:val="0"/>
      <w:marBottom w:val="0"/>
      <w:divBdr>
        <w:top w:val="none" w:sz="0" w:space="0" w:color="auto"/>
        <w:left w:val="none" w:sz="0" w:space="0" w:color="auto"/>
        <w:bottom w:val="none" w:sz="0" w:space="0" w:color="auto"/>
        <w:right w:val="none" w:sz="0" w:space="0" w:color="auto"/>
      </w:divBdr>
    </w:div>
    <w:div w:id="767652728">
      <w:bodyDiv w:val="1"/>
      <w:marLeft w:val="0"/>
      <w:marRight w:val="0"/>
      <w:marTop w:val="0"/>
      <w:marBottom w:val="0"/>
      <w:divBdr>
        <w:top w:val="none" w:sz="0" w:space="0" w:color="auto"/>
        <w:left w:val="none" w:sz="0" w:space="0" w:color="auto"/>
        <w:bottom w:val="none" w:sz="0" w:space="0" w:color="auto"/>
        <w:right w:val="none" w:sz="0" w:space="0" w:color="auto"/>
      </w:divBdr>
    </w:div>
    <w:div w:id="768504063">
      <w:bodyDiv w:val="1"/>
      <w:marLeft w:val="0"/>
      <w:marRight w:val="0"/>
      <w:marTop w:val="0"/>
      <w:marBottom w:val="0"/>
      <w:divBdr>
        <w:top w:val="none" w:sz="0" w:space="0" w:color="auto"/>
        <w:left w:val="none" w:sz="0" w:space="0" w:color="auto"/>
        <w:bottom w:val="none" w:sz="0" w:space="0" w:color="auto"/>
        <w:right w:val="none" w:sz="0" w:space="0" w:color="auto"/>
      </w:divBdr>
    </w:div>
    <w:div w:id="770054607">
      <w:bodyDiv w:val="1"/>
      <w:marLeft w:val="0"/>
      <w:marRight w:val="0"/>
      <w:marTop w:val="0"/>
      <w:marBottom w:val="0"/>
      <w:divBdr>
        <w:top w:val="none" w:sz="0" w:space="0" w:color="auto"/>
        <w:left w:val="none" w:sz="0" w:space="0" w:color="auto"/>
        <w:bottom w:val="none" w:sz="0" w:space="0" w:color="auto"/>
        <w:right w:val="none" w:sz="0" w:space="0" w:color="auto"/>
      </w:divBdr>
    </w:div>
    <w:div w:id="770205798">
      <w:bodyDiv w:val="1"/>
      <w:marLeft w:val="0"/>
      <w:marRight w:val="0"/>
      <w:marTop w:val="0"/>
      <w:marBottom w:val="0"/>
      <w:divBdr>
        <w:top w:val="none" w:sz="0" w:space="0" w:color="auto"/>
        <w:left w:val="none" w:sz="0" w:space="0" w:color="auto"/>
        <w:bottom w:val="none" w:sz="0" w:space="0" w:color="auto"/>
        <w:right w:val="none" w:sz="0" w:space="0" w:color="auto"/>
      </w:divBdr>
    </w:div>
    <w:div w:id="770276392">
      <w:bodyDiv w:val="1"/>
      <w:marLeft w:val="0"/>
      <w:marRight w:val="0"/>
      <w:marTop w:val="0"/>
      <w:marBottom w:val="0"/>
      <w:divBdr>
        <w:top w:val="none" w:sz="0" w:space="0" w:color="auto"/>
        <w:left w:val="none" w:sz="0" w:space="0" w:color="auto"/>
        <w:bottom w:val="none" w:sz="0" w:space="0" w:color="auto"/>
        <w:right w:val="none" w:sz="0" w:space="0" w:color="auto"/>
      </w:divBdr>
    </w:div>
    <w:div w:id="771242305">
      <w:bodyDiv w:val="1"/>
      <w:marLeft w:val="0"/>
      <w:marRight w:val="0"/>
      <w:marTop w:val="0"/>
      <w:marBottom w:val="0"/>
      <w:divBdr>
        <w:top w:val="none" w:sz="0" w:space="0" w:color="auto"/>
        <w:left w:val="none" w:sz="0" w:space="0" w:color="auto"/>
        <w:bottom w:val="none" w:sz="0" w:space="0" w:color="auto"/>
        <w:right w:val="none" w:sz="0" w:space="0" w:color="auto"/>
      </w:divBdr>
    </w:div>
    <w:div w:id="771633899">
      <w:bodyDiv w:val="1"/>
      <w:marLeft w:val="0"/>
      <w:marRight w:val="0"/>
      <w:marTop w:val="0"/>
      <w:marBottom w:val="0"/>
      <w:divBdr>
        <w:top w:val="none" w:sz="0" w:space="0" w:color="auto"/>
        <w:left w:val="none" w:sz="0" w:space="0" w:color="auto"/>
        <w:bottom w:val="none" w:sz="0" w:space="0" w:color="auto"/>
        <w:right w:val="none" w:sz="0" w:space="0" w:color="auto"/>
      </w:divBdr>
    </w:div>
    <w:div w:id="775710098">
      <w:bodyDiv w:val="1"/>
      <w:marLeft w:val="0"/>
      <w:marRight w:val="0"/>
      <w:marTop w:val="0"/>
      <w:marBottom w:val="0"/>
      <w:divBdr>
        <w:top w:val="none" w:sz="0" w:space="0" w:color="auto"/>
        <w:left w:val="none" w:sz="0" w:space="0" w:color="auto"/>
        <w:bottom w:val="none" w:sz="0" w:space="0" w:color="auto"/>
        <w:right w:val="none" w:sz="0" w:space="0" w:color="auto"/>
      </w:divBdr>
    </w:div>
    <w:div w:id="777485290">
      <w:bodyDiv w:val="1"/>
      <w:marLeft w:val="0"/>
      <w:marRight w:val="0"/>
      <w:marTop w:val="0"/>
      <w:marBottom w:val="0"/>
      <w:divBdr>
        <w:top w:val="none" w:sz="0" w:space="0" w:color="auto"/>
        <w:left w:val="none" w:sz="0" w:space="0" w:color="auto"/>
        <w:bottom w:val="none" w:sz="0" w:space="0" w:color="auto"/>
        <w:right w:val="none" w:sz="0" w:space="0" w:color="auto"/>
      </w:divBdr>
    </w:div>
    <w:div w:id="779180619">
      <w:bodyDiv w:val="1"/>
      <w:marLeft w:val="0"/>
      <w:marRight w:val="0"/>
      <w:marTop w:val="0"/>
      <w:marBottom w:val="0"/>
      <w:divBdr>
        <w:top w:val="none" w:sz="0" w:space="0" w:color="auto"/>
        <w:left w:val="none" w:sz="0" w:space="0" w:color="auto"/>
        <w:bottom w:val="none" w:sz="0" w:space="0" w:color="auto"/>
        <w:right w:val="none" w:sz="0" w:space="0" w:color="auto"/>
      </w:divBdr>
    </w:div>
    <w:div w:id="779420955">
      <w:bodyDiv w:val="1"/>
      <w:marLeft w:val="0"/>
      <w:marRight w:val="0"/>
      <w:marTop w:val="0"/>
      <w:marBottom w:val="0"/>
      <w:divBdr>
        <w:top w:val="none" w:sz="0" w:space="0" w:color="auto"/>
        <w:left w:val="none" w:sz="0" w:space="0" w:color="auto"/>
        <w:bottom w:val="none" w:sz="0" w:space="0" w:color="auto"/>
        <w:right w:val="none" w:sz="0" w:space="0" w:color="auto"/>
      </w:divBdr>
    </w:div>
    <w:div w:id="779684663">
      <w:bodyDiv w:val="1"/>
      <w:marLeft w:val="0"/>
      <w:marRight w:val="0"/>
      <w:marTop w:val="0"/>
      <w:marBottom w:val="0"/>
      <w:divBdr>
        <w:top w:val="none" w:sz="0" w:space="0" w:color="auto"/>
        <w:left w:val="none" w:sz="0" w:space="0" w:color="auto"/>
        <w:bottom w:val="none" w:sz="0" w:space="0" w:color="auto"/>
        <w:right w:val="none" w:sz="0" w:space="0" w:color="auto"/>
      </w:divBdr>
    </w:div>
    <w:div w:id="780029489">
      <w:bodyDiv w:val="1"/>
      <w:marLeft w:val="0"/>
      <w:marRight w:val="0"/>
      <w:marTop w:val="0"/>
      <w:marBottom w:val="0"/>
      <w:divBdr>
        <w:top w:val="none" w:sz="0" w:space="0" w:color="auto"/>
        <w:left w:val="none" w:sz="0" w:space="0" w:color="auto"/>
        <w:bottom w:val="none" w:sz="0" w:space="0" w:color="auto"/>
        <w:right w:val="none" w:sz="0" w:space="0" w:color="auto"/>
      </w:divBdr>
    </w:div>
    <w:div w:id="780686707">
      <w:bodyDiv w:val="1"/>
      <w:marLeft w:val="0"/>
      <w:marRight w:val="0"/>
      <w:marTop w:val="0"/>
      <w:marBottom w:val="0"/>
      <w:divBdr>
        <w:top w:val="none" w:sz="0" w:space="0" w:color="auto"/>
        <w:left w:val="none" w:sz="0" w:space="0" w:color="auto"/>
        <w:bottom w:val="none" w:sz="0" w:space="0" w:color="auto"/>
        <w:right w:val="none" w:sz="0" w:space="0" w:color="auto"/>
      </w:divBdr>
    </w:div>
    <w:div w:id="781532062">
      <w:bodyDiv w:val="1"/>
      <w:marLeft w:val="0"/>
      <w:marRight w:val="0"/>
      <w:marTop w:val="0"/>
      <w:marBottom w:val="0"/>
      <w:divBdr>
        <w:top w:val="none" w:sz="0" w:space="0" w:color="auto"/>
        <w:left w:val="none" w:sz="0" w:space="0" w:color="auto"/>
        <w:bottom w:val="none" w:sz="0" w:space="0" w:color="auto"/>
        <w:right w:val="none" w:sz="0" w:space="0" w:color="auto"/>
      </w:divBdr>
    </w:div>
    <w:div w:id="782502433">
      <w:bodyDiv w:val="1"/>
      <w:marLeft w:val="0"/>
      <w:marRight w:val="0"/>
      <w:marTop w:val="0"/>
      <w:marBottom w:val="0"/>
      <w:divBdr>
        <w:top w:val="none" w:sz="0" w:space="0" w:color="auto"/>
        <w:left w:val="none" w:sz="0" w:space="0" w:color="auto"/>
        <w:bottom w:val="none" w:sz="0" w:space="0" w:color="auto"/>
        <w:right w:val="none" w:sz="0" w:space="0" w:color="auto"/>
      </w:divBdr>
    </w:div>
    <w:div w:id="783354729">
      <w:bodyDiv w:val="1"/>
      <w:marLeft w:val="0"/>
      <w:marRight w:val="0"/>
      <w:marTop w:val="0"/>
      <w:marBottom w:val="0"/>
      <w:divBdr>
        <w:top w:val="none" w:sz="0" w:space="0" w:color="auto"/>
        <w:left w:val="none" w:sz="0" w:space="0" w:color="auto"/>
        <w:bottom w:val="none" w:sz="0" w:space="0" w:color="auto"/>
        <w:right w:val="none" w:sz="0" w:space="0" w:color="auto"/>
      </w:divBdr>
    </w:div>
    <w:div w:id="784078866">
      <w:bodyDiv w:val="1"/>
      <w:marLeft w:val="0"/>
      <w:marRight w:val="0"/>
      <w:marTop w:val="0"/>
      <w:marBottom w:val="0"/>
      <w:divBdr>
        <w:top w:val="none" w:sz="0" w:space="0" w:color="auto"/>
        <w:left w:val="none" w:sz="0" w:space="0" w:color="auto"/>
        <w:bottom w:val="none" w:sz="0" w:space="0" w:color="auto"/>
        <w:right w:val="none" w:sz="0" w:space="0" w:color="auto"/>
      </w:divBdr>
    </w:div>
    <w:div w:id="784352705">
      <w:bodyDiv w:val="1"/>
      <w:marLeft w:val="0"/>
      <w:marRight w:val="0"/>
      <w:marTop w:val="0"/>
      <w:marBottom w:val="0"/>
      <w:divBdr>
        <w:top w:val="none" w:sz="0" w:space="0" w:color="auto"/>
        <w:left w:val="none" w:sz="0" w:space="0" w:color="auto"/>
        <w:bottom w:val="none" w:sz="0" w:space="0" w:color="auto"/>
        <w:right w:val="none" w:sz="0" w:space="0" w:color="auto"/>
      </w:divBdr>
    </w:div>
    <w:div w:id="785121677">
      <w:bodyDiv w:val="1"/>
      <w:marLeft w:val="0"/>
      <w:marRight w:val="0"/>
      <w:marTop w:val="0"/>
      <w:marBottom w:val="0"/>
      <w:divBdr>
        <w:top w:val="none" w:sz="0" w:space="0" w:color="auto"/>
        <w:left w:val="none" w:sz="0" w:space="0" w:color="auto"/>
        <w:bottom w:val="none" w:sz="0" w:space="0" w:color="auto"/>
        <w:right w:val="none" w:sz="0" w:space="0" w:color="auto"/>
      </w:divBdr>
    </w:div>
    <w:div w:id="785273882">
      <w:bodyDiv w:val="1"/>
      <w:marLeft w:val="0"/>
      <w:marRight w:val="0"/>
      <w:marTop w:val="0"/>
      <w:marBottom w:val="0"/>
      <w:divBdr>
        <w:top w:val="none" w:sz="0" w:space="0" w:color="auto"/>
        <w:left w:val="none" w:sz="0" w:space="0" w:color="auto"/>
        <w:bottom w:val="none" w:sz="0" w:space="0" w:color="auto"/>
        <w:right w:val="none" w:sz="0" w:space="0" w:color="auto"/>
      </w:divBdr>
    </w:div>
    <w:div w:id="785612508">
      <w:bodyDiv w:val="1"/>
      <w:marLeft w:val="0"/>
      <w:marRight w:val="0"/>
      <w:marTop w:val="0"/>
      <w:marBottom w:val="0"/>
      <w:divBdr>
        <w:top w:val="none" w:sz="0" w:space="0" w:color="auto"/>
        <w:left w:val="none" w:sz="0" w:space="0" w:color="auto"/>
        <w:bottom w:val="none" w:sz="0" w:space="0" w:color="auto"/>
        <w:right w:val="none" w:sz="0" w:space="0" w:color="auto"/>
      </w:divBdr>
    </w:div>
    <w:div w:id="786387033">
      <w:bodyDiv w:val="1"/>
      <w:marLeft w:val="0"/>
      <w:marRight w:val="0"/>
      <w:marTop w:val="0"/>
      <w:marBottom w:val="0"/>
      <w:divBdr>
        <w:top w:val="none" w:sz="0" w:space="0" w:color="auto"/>
        <w:left w:val="none" w:sz="0" w:space="0" w:color="auto"/>
        <w:bottom w:val="none" w:sz="0" w:space="0" w:color="auto"/>
        <w:right w:val="none" w:sz="0" w:space="0" w:color="auto"/>
      </w:divBdr>
    </w:div>
    <w:div w:id="786437255">
      <w:bodyDiv w:val="1"/>
      <w:marLeft w:val="0"/>
      <w:marRight w:val="0"/>
      <w:marTop w:val="0"/>
      <w:marBottom w:val="0"/>
      <w:divBdr>
        <w:top w:val="none" w:sz="0" w:space="0" w:color="auto"/>
        <w:left w:val="none" w:sz="0" w:space="0" w:color="auto"/>
        <w:bottom w:val="none" w:sz="0" w:space="0" w:color="auto"/>
        <w:right w:val="none" w:sz="0" w:space="0" w:color="auto"/>
      </w:divBdr>
    </w:div>
    <w:div w:id="786464196">
      <w:bodyDiv w:val="1"/>
      <w:marLeft w:val="0"/>
      <w:marRight w:val="0"/>
      <w:marTop w:val="0"/>
      <w:marBottom w:val="0"/>
      <w:divBdr>
        <w:top w:val="none" w:sz="0" w:space="0" w:color="auto"/>
        <w:left w:val="none" w:sz="0" w:space="0" w:color="auto"/>
        <w:bottom w:val="none" w:sz="0" w:space="0" w:color="auto"/>
        <w:right w:val="none" w:sz="0" w:space="0" w:color="auto"/>
      </w:divBdr>
    </w:div>
    <w:div w:id="786656678">
      <w:bodyDiv w:val="1"/>
      <w:marLeft w:val="0"/>
      <w:marRight w:val="0"/>
      <w:marTop w:val="0"/>
      <w:marBottom w:val="0"/>
      <w:divBdr>
        <w:top w:val="none" w:sz="0" w:space="0" w:color="auto"/>
        <w:left w:val="none" w:sz="0" w:space="0" w:color="auto"/>
        <w:bottom w:val="none" w:sz="0" w:space="0" w:color="auto"/>
        <w:right w:val="none" w:sz="0" w:space="0" w:color="auto"/>
      </w:divBdr>
    </w:div>
    <w:div w:id="786896217">
      <w:bodyDiv w:val="1"/>
      <w:marLeft w:val="0"/>
      <w:marRight w:val="0"/>
      <w:marTop w:val="0"/>
      <w:marBottom w:val="0"/>
      <w:divBdr>
        <w:top w:val="none" w:sz="0" w:space="0" w:color="auto"/>
        <w:left w:val="none" w:sz="0" w:space="0" w:color="auto"/>
        <w:bottom w:val="none" w:sz="0" w:space="0" w:color="auto"/>
        <w:right w:val="none" w:sz="0" w:space="0" w:color="auto"/>
      </w:divBdr>
    </w:div>
    <w:div w:id="787160112">
      <w:bodyDiv w:val="1"/>
      <w:marLeft w:val="0"/>
      <w:marRight w:val="0"/>
      <w:marTop w:val="0"/>
      <w:marBottom w:val="0"/>
      <w:divBdr>
        <w:top w:val="none" w:sz="0" w:space="0" w:color="auto"/>
        <w:left w:val="none" w:sz="0" w:space="0" w:color="auto"/>
        <w:bottom w:val="none" w:sz="0" w:space="0" w:color="auto"/>
        <w:right w:val="none" w:sz="0" w:space="0" w:color="auto"/>
      </w:divBdr>
    </w:div>
    <w:div w:id="788201750">
      <w:bodyDiv w:val="1"/>
      <w:marLeft w:val="0"/>
      <w:marRight w:val="0"/>
      <w:marTop w:val="0"/>
      <w:marBottom w:val="0"/>
      <w:divBdr>
        <w:top w:val="none" w:sz="0" w:space="0" w:color="auto"/>
        <w:left w:val="none" w:sz="0" w:space="0" w:color="auto"/>
        <w:bottom w:val="none" w:sz="0" w:space="0" w:color="auto"/>
        <w:right w:val="none" w:sz="0" w:space="0" w:color="auto"/>
      </w:divBdr>
    </w:div>
    <w:div w:id="788430258">
      <w:bodyDiv w:val="1"/>
      <w:marLeft w:val="0"/>
      <w:marRight w:val="0"/>
      <w:marTop w:val="0"/>
      <w:marBottom w:val="0"/>
      <w:divBdr>
        <w:top w:val="none" w:sz="0" w:space="0" w:color="auto"/>
        <w:left w:val="none" w:sz="0" w:space="0" w:color="auto"/>
        <w:bottom w:val="none" w:sz="0" w:space="0" w:color="auto"/>
        <w:right w:val="none" w:sz="0" w:space="0" w:color="auto"/>
      </w:divBdr>
    </w:div>
    <w:div w:id="788471478">
      <w:bodyDiv w:val="1"/>
      <w:marLeft w:val="0"/>
      <w:marRight w:val="0"/>
      <w:marTop w:val="0"/>
      <w:marBottom w:val="0"/>
      <w:divBdr>
        <w:top w:val="none" w:sz="0" w:space="0" w:color="auto"/>
        <w:left w:val="none" w:sz="0" w:space="0" w:color="auto"/>
        <w:bottom w:val="none" w:sz="0" w:space="0" w:color="auto"/>
        <w:right w:val="none" w:sz="0" w:space="0" w:color="auto"/>
      </w:divBdr>
    </w:div>
    <w:div w:id="788936880">
      <w:bodyDiv w:val="1"/>
      <w:marLeft w:val="0"/>
      <w:marRight w:val="0"/>
      <w:marTop w:val="0"/>
      <w:marBottom w:val="0"/>
      <w:divBdr>
        <w:top w:val="none" w:sz="0" w:space="0" w:color="auto"/>
        <w:left w:val="none" w:sz="0" w:space="0" w:color="auto"/>
        <w:bottom w:val="none" w:sz="0" w:space="0" w:color="auto"/>
        <w:right w:val="none" w:sz="0" w:space="0" w:color="auto"/>
      </w:divBdr>
    </w:div>
    <w:div w:id="788937059">
      <w:bodyDiv w:val="1"/>
      <w:marLeft w:val="0"/>
      <w:marRight w:val="0"/>
      <w:marTop w:val="0"/>
      <w:marBottom w:val="0"/>
      <w:divBdr>
        <w:top w:val="none" w:sz="0" w:space="0" w:color="auto"/>
        <w:left w:val="none" w:sz="0" w:space="0" w:color="auto"/>
        <w:bottom w:val="none" w:sz="0" w:space="0" w:color="auto"/>
        <w:right w:val="none" w:sz="0" w:space="0" w:color="auto"/>
      </w:divBdr>
    </w:div>
    <w:div w:id="789740510">
      <w:bodyDiv w:val="1"/>
      <w:marLeft w:val="0"/>
      <w:marRight w:val="0"/>
      <w:marTop w:val="0"/>
      <w:marBottom w:val="0"/>
      <w:divBdr>
        <w:top w:val="none" w:sz="0" w:space="0" w:color="auto"/>
        <w:left w:val="none" w:sz="0" w:space="0" w:color="auto"/>
        <w:bottom w:val="none" w:sz="0" w:space="0" w:color="auto"/>
        <w:right w:val="none" w:sz="0" w:space="0" w:color="auto"/>
      </w:divBdr>
    </w:div>
    <w:div w:id="789740789">
      <w:bodyDiv w:val="1"/>
      <w:marLeft w:val="0"/>
      <w:marRight w:val="0"/>
      <w:marTop w:val="0"/>
      <w:marBottom w:val="0"/>
      <w:divBdr>
        <w:top w:val="none" w:sz="0" w:space="0" w:color="auto"/>
        <w:left w:val="none" w:sz="0" w:space="0" w:color="auto"/>
        <w:bottom w:val="none" w:sz="0" w:space="0" w:color="auto"/>
        <w:right w:val="none" w:sz="0" w:space="0" w:color="auto"/>
      </w:divBdr>
    </w:div>
    <w:div w:id="790439857">
      <w:bodyDiv w:val="1"/>
      <w:marLeft w:val="0"/>
      <w:marRight w:val="0"/>
      <w:marTop w:val="0"/>
      <w:marBottom w:val="0"/>
      <w:divBdr>
        <w:top w:val="none" w:sz="0" w:space="0" w:color="auto"/>
        <w:left w:val="none" w:sz="0" w:space="0" w:color="auto"/>
        <w:bottom w:val="none" w:sz="0" w:space="0" w:color="auto"/>
        <w:right w:val="none" w:sz="0" w:space="0" w:color="auto"/>
      </w:divBdr>
    </w:div>
    <w:div w:id="791243871">
      <w:bodyDiv w:val="1"/>
      <w:marLeft w:val="0"/>
      <w:marRight w:val="0"/>
      <w:marTop w:val="0"/>
      <w:marBottom w:val="0"/>
      <w:divBdr>
        <w:top w:val="none" w:sz="0" w:space="0" w:color="auto"/>
        <w:left w:val="none" w:sz="0" w:space="0" w:color="auto"/>
        <w:bottom w:val="none" w:sz="0" w:space="0" w:color="auto"/>
        <w:right w:val="none" w:sz="0" w:space="0" w:color="auto"/>
      </w:divBdr>
    </w:div>
    <w:div w:id="792017343">
      <w:bodyDiv w:val="1"/>
      <w:marLeft w:val="0"/>
      <w:marRight w:val="0"/>
      <w:marTop w:val="0"/>
      <w:marBottom w:val="0"/>
      <w:divBdr>
        <w:top w:val="none" w:sz="0" w:space="0" w:color="auto"/>
        <w:left w:val="none" w:sz="0" w:space="0" w:color="auto"/>
        <w:bottom w:val="none" w:sz="0" w:space="0" w:color="auto"/>
        <w:right w:val="none" w:sz="0" w:space="0" w:color="auto"/>
      </w:divBdr>
    </w:div>
    <w:div w:id="792017845">
      <w:bodyDiv w:val="1"/>
      <w:marLeft w:val="0"/>
      <w:marRight w:val="0"/>
      <w:marTop w:val="0"/>
      <w:marBottom w:val="0"/>
      <w:divBdr>
        <w:top w:val="none" w:sz="0" w:space="0" w:color="auto"/>
        <w:left w:val="none" w:sz="0" w:space="0" w:color="auto"/>
        <w:bottom w:val="none" w:sz="0" w:space="0" w:color="auto"/>
        <w:right w:val="none" w:sz="0" w:space="0" w:color="auto"/>
      </w:divBdr>
    </w:div>
    <w:div w:id="792286611">
      <w:bodyDiv w:val="1"/>
      <w:marLeft w:val="0"/>
      <w:marRight w:val="0"/>
      <w:marTop w:val="0"/>
      <w:marBottom w:val="0"/>
      <w:divBdr>
        <w:top w:val="none" w:sz="0" w:space="0" w:color="auto"/>
        <w:left w:val="none" w:sz="0" w:space="0" w:color="auto"/>
        <w:bottom w:val="none" w:sz="0" w:space="0" w:color="auto"/>
        <w:right w:val="none" w:sz="0" w:space="0" w:color="auto"/>
      </w:divBdr>
    </w:div>
    <w:div w:id="792947048">
      <w:bodyDiv w:val="1"/>
      <w:marLeft w:val="0"/>
      <w:marRight w:val="0"/>
      <w:marTop w:val="0"/>
      <w:marBottom w:val="0"/>
      <w:divBdr>
        <w:top w:val="none" w:sz="0" w:space="0" w:color="auto"/>
        <w:left w:val="none" w:sz="0" w:space="0" w:color="auto"/>
        <w:bottom w:val="none" w:sz="0" w:space="0" w:color="auto"/>
        <w:right w:val="none" w:sz="0" w:space="0" w:color="auto"/>
      </w:divBdr>
    </w:div>
    <w:div w:id="795833435">
      <w:bodyDiv w:val="1"/>
      <w:marLeft w:val="0"/>
      <w:marRight w:val="0"/>
      <w:marTop w:val="0"/>
      <w:marBottom w:val="0"/>
      <w:divBdr>
        <w:top w:val="none" w:sz="0" w:space="0" w:color="auto"/>
        <w:left w:val="none" w:sz="0" w:space="0" w:color="auto"/>
        <w:bottom w:val="none" w:sz="0" w:space="0" w:color="auto"/>
        <w:right w:val="none" w:sz="0" w:space="0" w:color="auto"/>
      </w:divBdr>
    </w:div>
    <w:div w:id="795872923">
      <w:bodyDiv w:val="1"/>
      <w:marLeft w:val="0"/>
      <w:marRight w:val="0"/>
      <w:marTop w:val="0"/>
      <w:marBottom w:val="0"/>
      <w:divBdr>
        <w:top w:val="none" w:sz="0" w:space="0" w:color="auto"/>
        <w:left w:val="none" w:sz="0" w:space="0" w:color="auto"/>
        <w:bottom w:val="none" w:sz="0" w:space="0" w:color="auto"/>
        <w:right w:val="none" w:sz="0" w:space="0" w:color="auto"/>
      </w:divBdr>
    </w:div>
    <w:div w:id="796685625">
      <w:bodyDiv w:val="1"/>
      <w:marLeft w:val="0"/>
      <w:marRight w:val="0"/>
      <w:marTop w:val="0"/>
      <w:marBottom w:val="0"/>
      <w:divBdr>
        <w:top w:val="none" w:sz="0" w:space="0" w:color="auto"/>
        <w:left w:val="none" w:sz="0" w:space="0" w:color="auto"/>
        <w:bottom w:val="none" w:sz="0" w:space="0" w:color="auto"/>
        <w:right w:val="none" w:sz="0" w:space="0" w:color="auto"/>
      </w:divBdr>
    </w:div>
    <w:div w:id="797528175">
      <w:bodyDiv w:val="1"/>
      <w:marLeft w:val="0"/>
      <w:marRight w:val="0"/>
      <w:marTop w:val="0"/>
      <w:marBottom w:val="0"/>
      <w:divBdr>
        <w:top w:val="none" w:sz="0" w:space="0" w:color="auto"/>
        <w:left w:val="none" w:sz="0" w:space="0" w:color="auto"/>
        <w:bottom w:val="none" w:sz="0" w:space="0" w:color="auto"/>
        <w:right w:val="none" w:sz="0" w:space="0" w:color="auto"/>
      </w:divBdr>
    </w:div>
    <w:div w:id="797802227">
      <w:bodyDiv w:val="1"/>
      <w:marLeft w:val="0"/>
      <w:marRight w:val="0"/>
      <w:marTop w:val="0"/>
      <w:marBottom w:val="0"/>
      <w:divBdr>
        <w:top w:val="none" w:sz="0" w:space="0" w:color="auto"/>
        <w:left w:val="none" w:sz="0" w:space="0" w:color="auto"/>
        <w:bottom w:val="none" w:sz="0" w:space="0" w:color="auto"/>
        <w:right w:val="none" w:sz="0" w:space="0" w:color="auto"/>
      </w:divBdr>
    </w:div>
    <w:div w:id="798568746">
      <w:bodyDiv w:val="1"/>
      <w:marLeft w:val="0"/>
      <w:marRight w:val="0"/>
      <w:marTop w:val="0"/>
      <w:marBottom w:val="0"/>
      <w:divBdr>
        <w:top w:val="none" w:sz="0" w:space="0" w:color="auto"/>
        <w:left w:val="none" w:sz="0" w:space="0" w:color="auto"/>
        <w:bottom w:val="none" w:sz="0" w:space="0" w:color="auto"/>
        <w:right w:val="none" w:sz="0" w:space="0" w:color="auto"/>
      </w:divBdr>
    </w:div>
    <w:div w:id="798569597">
      <w:bodyDiv w:val="1"/>
      <w:marLeft w:val="0"/>
      <w:marRight w:val="0"/>
      <w:marTop w:val="0"/>
      <w:marBottom w:val="0"/>
      <w:divBdr>
        <w:top w:val="none" w:sz="0" w:space="0" w:color="auto"/>
        <w:left w:val="none" w:sz="0" w:space="0" w:color="auto"/>
        <w:bottom w:val="none" w:sz="0" w:space="0" w:color="auto"/>
        <w:right w:val="none" w:sz="0" w:space="0" w:color="auto"/>
      </w:divBdr>
    </w:div>
    <w:div w:id="798764797">
      <w:bodyDiv w:val="1"/>
      <w:marLeft w:val="0"/>
      <w:marRight w:val="0"/>
      <w:marTop w:val="0"/>
      <w:marBottom w:val="0"/>
      <w:divBdr>
        <w:top w:val="none" w:sz="0" w:space="0" w:color="auto"/>
        <w:left w:val="none" w:sz="0" w:space="0" w:color="auto"/>
        <w:bottom w:val="none" w:sz="0" w:space="0" w:color="auto"/>
        <w:right w:val="none" w:sz="0" w:space="0" w:color="auto"/>
      </w:divBdr>
    </w:div>
    <w:div w:id="798768728">
      <w:bodyDiv w:val="1"/>
      <w:marLeft w:val="0"/>
      <w:marRight w:val="0"/>
      <w:marTop w:val="0"/>
      <w:marBottom w:val="0"/>
      <w:divBdr>
        <w:top w:val="none" w:sz="0" w:space="0" w:color="auto"/>
        <w:left w:val="none" w:sz="0" w:space="0" w:color="auto"/>
        <w:bottom w:val="none" w:sz="0" w:space="0" w:color="auto"/>
        <w:right w:val="none" w:sz="0" w:space="0" w:color="auto"/>
      </w:divBdr>
    </w:div>
    <w:div w:id="799609718">
      <w:bodyDiv w:val="1"/>
      <w:marLeft w:val="0"/>
      <w:marRight w:val="0"/>
      <w:marTop w:val="0"/>
      <w:marBottom w:val="0"/>
      <w:divBdr>
        <w:top w:val="none" w:sz="0" w:space="0" w:color="auto"/>
        <w:left w:val="none" w:sz="0" w:space="0" w:color="auto"/>
        <w:bottom w:val="none" w:sz="0" w:space="0" w:color="auto"/>
        <w:right w:val="none" w:sz="0" w:space="0" w:color="auto"/>
      </w:divBdr>
    </w:div>
    <w:div w:id="799955255">
      <w:bodyDiv w:val="1"/>
      <w:marLeft w:val="0"/>
      <w:marRight w:val="0"/>
      <w:marTop w:val="0"/>
      <w:marBottom w:val="0"/>
      <w:divBdr>
        <w:top w:val="none" w:sz="0" w:space="0" w:color="auto"/>
        <w:left w:val="none" w:sz="0" w:space="0" w:color="auto"/>
        <w:bottom w:val="none" w:sz="0" w:space="0" w:color="auto"/>
        <w:right w:val="none" w:sz="0" w:space="0" w:color="auto"/>
      </w:divBdr>
    </w:div>
    <w:div w:id="801462622">
      <w:bodyDiv w:val="1"/>
      <w:marLeft w:val="0"/>
      <w:marRight w:val="0"/>
      <w:marTop w:val="0"/>
      <w:marBottom w:val="0"/>
      <w:divBdr>
        <w:top w:val="none" w:sz="0" w:space="0" w:color="auto"/>
        <w:left w:val="none" w:sz="0" w:space="0" w:color="auto"/>
        <w:bottom w:val="none" w:sz="0" w:space="0" w:color="auto"/>
        <w:right w:val="none" w:sz="0" w:space="0" w:color="auto"/>
      </w:divBdr>
    </w:div>
    <w:div w:id="802432488">
      <w:bodyDiv w:val="1"/>
      <w:marLeft w:val="0"/>
      <w:marRight w:val="0"/>
      <w:marTop w:val="0"/>
      <w:marBottom w:val="0"/>
      <w:divBdr>
        <w:top w:val="none" w:sz="0" w:space="0" w:color="auto"/>
        <w:left w:val="none" w:sz="0" w:space="0" w:color="auto"/>
        <w:bottom w:val="none" w:sz="0" w:space="0" w:color="auto"/>
        <w:right w:val="none" w:sz="0" w:space="0" w:color="auto"/>
      </w:divBdr>
    </w:div>
    <w:div w:id="804276334">
      <w:bodyDiv w:val="1"/>
      <w:marLeft w:val="0"/>
      <w:marRight w:val="0"/>
      <w:marTop w:val="0"/>
      <w:marBottom w:val="0"/>
      <w:divBdr>
        <w:top w:val="none" w:sz="0" w:space="0" w:color="auto"/>
        <w:left w:val="none" w:sz="0" w:space="0" w:color="auto"/>
        <w:bottom w:val="none" w:sz="0" w:space="0" w:color="auto"/>
        <w:right w:val="none" w:sz="0" w:space="0" w:color="auto"/>
      </w:divBdr>
    </w:div>
    <w:div w:id="805241661">
      <w:bodyDiv w:val="1"/>
      <w:marLeft w:val="0"/>
      <w:marRight w:val="0"/>
      <w:marTop w:val="0"/>
      <w:marBottom w:val="0"/>
      <w:divBdr>
        <w:top w:val="none" w:sz="0" w:space="0" w:color="auto"/>
        <w:left w:val="none" w:sz="0" w:space="0" w:color="auto"/>
        <w:bottom w:val="none" w:sz="0" w:space="0" w:color="auto"/>
        <w:right w:val="none" w:sz="0" w:space="0" w:color="auto"/>
      </w:divBdr>
    </w:div>
    <w:div w:id="805321252">
      <w:bodyDiv w:val="1"/>
      <w:marLeft w:val="0"/>
      <w:marRight w:val="0"/>
      <w:marTop w:val="0"/>
      <w:marBottom w:val="0"/>
      <w:divBdr>
        <w:top w:val="none" w:sz="0" w:space="0" w:color="auto"/>
        <w:left w:val="none" w:sz="0" w:space="0" w:color="auto"/>
        <w:bottom w:val="none" w:sz="0" w:space="0" w:color="auto"/>
        <w:right w:val="none" w:sz="0" w:space="0" w:color="auto"/>
      </w:divBdr>
    </w:div>
    <w:div w:id="806437686">
      <w:bodyDiv w:val="1"/>
      <w:marLeft w:val="0"/>
      <w:marRight w:val="0"/>
      <w:marTop w:val="0"/>
      <w:marBottom w:val="0"/>
      <w:divBdr>
        <w:top w:val="none" w:sz="0" w:space="0" w:color="auto"/>
        <w:left w:val="none" w:sz="0" w:space="0" w:color="auto"/>
        <w:bottom w:val="none" w:sz="0" w:space="0" w:color="auto"/>
        <w:right w:val="none" w:sz="0" w:space="0" w:color="auto"/>
      </w:divBdr>
    </w:div>
    <w:div w:id="806506273">
      <w:bodyDiv w:val="1"/>
      <w:marLeft w:val="0"/>
      <w:marRight w:val="0"/>
      <w:marTop w:val="0"/>
      <w:marBottom w:val="0"/>
      <w:divBdr>
        <w:top w:val="none" w:sz="0" w:space="0" w:color="auto"/>
        <w:left w:val="none" w:sz="0" w:space="0" w:color="auto"/>
        <w:bottom w:val="none" w:sz="0" w:space="0" w:color="auto"/>
        <w:right w:val="none" w:sz="0" w:space="0" w:color="auto"/>
      </w:divBdr>
    </w:div>
    <w:div w:id="807283022">
      <w:bodyDiv w:val="1"/>
      <w:marLeft w:val="0"/>
      <w:marRight w:val="0"/>
      <w:marTop w:val="0"/>
      <w:marBottom w:val="0"/>
      <w:divBdr>
        <w:top w:val="none" w:sz="0" w:space="0" w:color="auto"/>
        <w:left w:val="none" w:sz="0" w:space="0" w:color="auto"/>
        <w:bottom w:val="none" w:sz="0" w:space="0" w:color="auto"/>
        <w:right w:val="none" w:sz="0" w:space="0" w:color="auto"/>
      </w:divBdr>
    </w:div>
    <w:div w:id="807624760">
      <w:bodyDiv w:val="1"/>
      <w:marLeft w:val="0"/>
      <w:marRight w:val="0"/>
      <w:marTop w:val="0"/>
      <w:marBottom w:val="0"/>
      <w:divBdr>
        <w:top w:val="none" w:sz="0" w:space="0" w:color="auto"/>
        <w:left w:val="none" w:sz="0" w:space="0" w:color="auto"/>
        <w:bottom w:val="none" w:sz="0" w:space="0" w:color="auto"/>
        <w:right w:val="none" w:sz="0" w:space="0" w:color="auto"/>
      </w:divBdr>
    </w:div>
    <w:div w:id="808596796">
      <w:bodyDiv w:val="1"/>
      <w:marLeft w:val="0"/>
      <w:marRight w:val="0"/>
      <w:marTop w:val="0"/>
      <w:marBottom w:val="0"/>
      <w:divBdr>
        <w:top w:val="none" w:sz="0" w:space="0" w:color="auto"/>
        <w:left w:val="none" w:sz="0" w:space="0" w:color="auto"/>
        <w:bottom w:val="none" w:sz="0" w:space="0" w:color="auto"/>
        <w:right w:val="none" w:sz="0" w:space="0" w:color="auto"/>
      </w:divBdr>
    </w:div>
    <w:div w:id="808862137">
      <w:bodyDiv w:val="1"/>
      <w:marLeft w:val="0"/>
      <w:marRight w:val="0"/>
      <w:marTop w:val="0"/>
      <w:marBottom w:val="0"/>
      <w:divBdr>
        <w:top w:val="none" w:sz="0" w:space="0" w:color="auto"/>
        <w:left w:val="none" w:sz="0" w:space="0" w:color="auto"/>
        <w:bottom w:val="none" w:sz="0" w:space="0" w:color="auto"/>
        <w:right w:val="none" w:sz="0" w:space="0" w:color="auto"/>
      </w:divBdr>
    </w:div>
    <w:div w:id="809202939">
      <w:bodyDiv w:val="1"/>
      <w:marLeft w:val="0"/>
      <w:marRight w:val="0"/>
      <w:marTop w:val="0"/>
      <w:marBottom w:val="0"/>
      <w:divBdr>
        <w:top w:val="none" w:sz="0" w:space="0" w:color="auto"/>
        <w:left w:val="none" w:sz="0" w:space="0" w:color="auto"/>
        <w:bottom w:val="none" w:sz="0" w:space="0" w:color="auto"/>
        <w:right w:val="none" w:sz="0" w:space="0" w:color="auto"/>
      </w:divBdr>
    </w:div>
    <w:div w:id="810512449">
      <w:bodyDiv w:val="1"/>
      <w:marLeft w:val="0"/>
      <w:marRight w:val="0"/>
      <w:marTop w:val="0"/>
      <w:marBottom w:val="0"/>
      <w:divBdr>
        <w:top w:val="none" w:sz="0" w:space="0" w:color="auto"/>
        <w:left w:val="none" w:sz="0" w:space="0" w:color="auto"/>
        <w:bottom w:val="none" w:sz="0" w:space="0" w:color="auto"/>
        <w:right w:val="none" w:sz="0" w:space="0" w:color="auto"/>
      </w:divBdr>
    </w:div>
    <w:div w:id="812406115">
      <w:bodyDiv w:val="1"/>
      <w:marLeft w:val="0"/>
      <w:marRight w:val="0"/>
      <w:marTop w:val="0"/>
      <w:marBottom w:val="0"/>
      <w:divBdr>
        <w:top w:val="none" w:sz="0" w:space="0" w:color="auto"/>
        <w:left w:val="none" w:sz="0" w:space="0" w:color="auto"/>
        <w:bottom w:val="none" w:sz="0" w:space="0" w:color="auto"/>
        <w:right w:val="none" w:sz="0" w:space="0" w:color="auto"/>
      </w:divBdr>
    </w:div>
    <w:div w:id="812523906">
      <w:bodyDiv w:val="1"/>
      <w:marLeft w:val="0"/>
      <w:marRight w:val="0"/>
      <w:marTop w:val="0"/>
      <w:marBottom w:val="0"/>
      <w:divBdr>
        <w:top w:val="none" w:sz="0" w:space="0" w:color="auto"/>
        <w:left w:val="none" w:sz="0" w:space="0" w:color="auto"/>
        <w:bottom w:val="none" w:sz="0" w:space="0" w:color="auto"/>
        <w:right w:val="none" w:sz="0" w:space="0" w:color="auto"/>
      </w:divBdr>
    </w:div>
    <w:div w:id="813067737">
      <w:bodyDiv w:val="1"/>
      <w:marLeft w:val="0"/>
      <w:marRight w:val="0"/>
      <w:marTop w:val="0"/>
      <w:marBottom w:val="0"/>
      <w:divBdr>
        <w:top w:val="none" w:sz="0" w:space="0" w:color="auto"/>
        <w:left w:val="none" w:sz="0" w:space="0" w:color="auto"/>
        <w:bottom w:val="none" w:sz="0" w:space="0" w:color="auto"/>
        <w:right w:val="none" w:sz="0" w:space="0" w:color="auto"/>
      </w:divBdr>
    </w:div>
    <w:div w:id="813105631">
      <w:bodyDiv w:val="1"/>
      <w:marLeft w:val="0"/>
      <w:marRight w:val="0"/>
      <w:marTop w:val="0"/>
      <w:marBottom w:val="0"/>
      <w:divBdr>
        <w:top w:val="none" w:sz="0" w:space="0" w:color="auto"/>
        <w:left w:val="none" w:sz="0" w:space="0" w:color="auto"/>
        <w:bottom w:val="none" w:sz="0" w:space="0" w:color="auto"/>
        <w:right w:val="none" w:sz="0" w:space="0" w:color="auto"/>
      </w:divBdr>
    </w:div>
    <w:div w:id="813333038">
      <w:bodyDiv w:val="1"/>
      <w:marLeft w:val="0"/>
      <w:marRight w:val="0"/>
      <w:marTop w:val="0"/>
      <w:marBottom w:val="0"/>
      <w:divBdr>
        <w:top w:val="none" w:sz="0" w:space="0" w:color="auto"/>
        <w:left w:val="none" w:sz="0" w:space="0" w:color="auto"/>
        <w:bottom w:val="none" w:sz="0" w:space="0" w:color="auto"/>
        <w:right w:val="none" w:sz="0" w:space="0" w:color="auto"/>
      </w:divBdr>
    </w:div>
    <w:div w:id="813907990">
      <w:bodyDiv w:val="1"/>
      <w:marLeft w:val="0"/>
      <w:marRight w:val="0"/>
      <w:marTop w:val="0"/>
      <w:marBottom w:val="0"/>
      <w:divBdr>
        <w:top w:val="none" w:sz="0" w:space="0" w:color="auto"/>
        <w:left w:val="none" w:sz="0" w:space="0" w:color="auto"/>
        <w:bottom w:val="none" w:sz="0" w:space="0" w:color="auto"/>
        <w:right w:val="none" w:sz="0" w:space="0" w:color="auto"/>
      </w:divBdr>
    </w:div>
    <w:div w:id="816074556">
      <w:bodyDiv w:val="1"/>
      <w:marLeft w:val="0"/>
      <w:marRight w:val="0"/>
      <w:marTop w:val="0"/>
      <w:marBottom w:val="0"/>
      <w:divBdr>
        <w:top w:val="none" w:sz="0" w:space="0" w:color="auto"/>
        <w:left w:val="none" w:sz="0" w:space="0" w:color="auto"/>
        <w:bottom w:val="none" w:sz="0" w:space="0" w:color="auto"/>
        <w:right w:val="none" w:sz="0" w:space="0" w:color="auto"/>
      </w:divBdr>
    </w:div>
    <w:div w:id="816796934">
      <w:bodyDiv w:val="1"/>
      <w:marLeft w:val="0"/>
      <w:marRight w:val="0"/>
      <w:marTop w:val="0"/>
      <w:marBottom w:val="0"/>
      <w:divBdr>
        <w:top w:val="none" w:sz="0" w:space="0" w:color="auto"/>
        <w:left w:val="none" w:sz="0" w:space="0" w:color="auto"/>
        <w:bottom w:val="none" w:sz="0" w:space="0" w:color="auto"/>
        <w:right w:val="none" w:sz="0" w:space="0" w:color="auto"/>
      </w:divBdr>
    </w:div>
    <w:div w:id="817235240">
      <w:bodyDiv w:val="1"/>
      <w:marLeft w:val="0"/>
      <w:marRight w:val="0"/>
      <w:marTop w:val="0"/>
      <w:marBottom w:val="0"/>
      <w:divBdr>
        <w:top w:val="none" w:sz="0" w:space="0" w:color="auto"/>
        <w:left w:val="none" w:sz="0" w:space="0" w:color="auto"/>
        <w:bottom w:val="none" w:sz="0" w:space="0" w:color="auto"/>
        <w:right w:val="none" w:sz="0" w:space="0" w:color="auto"/>
      </w:divBdr>
    </w:div>
    <w:div w:id="818230160">
      <w:bodyDiv w:val="1"/>
      <w:marLeft w:val="0"/>
      <w:marRight w:val="0"/>
      <w:marTop w:val="0"/>
      <w:marBottom w:val="0"/>
      <w:divBdr>
        <w:top w:val="none" w:sz="0" w:space="0" w:color="auto"/>
        <w:left w:val="none" w:sz="0" w:space="0" w:color="auto"/>
        <w:bottom w:val="none" w:sz="0" w:space="0" w:color="auto"/>
        <w:right w:val="none" w:sz="0" w:space="0" w:color="auto"/>
      </w:divBdr>
    </w:div>
    <w:div w:id="818303001">
      <w:bodyDiv w:val="1"/>
      <w:marLeft w:val="0"/>
      <w:marRight w:val="0"/>
      <w:marTop w:val="0"/>
      <w:marBottom w:val="0"/>
      <w:divBdr>
        <w:top w:val="none" w:sz="0" w:space="0" w:color="auto"/>
        <w:left w:val="none" w:sz="0" w:space="0" w:color="auto"/>
        <w:bottom w:val="none" w:sz="0" w:space="0" w:color="auto"/>
        <w:right w:val="none" w:sz="0" w:space="0" w:color="auto"/>
      </w:divBdr>
    </w:div>
    <w:div w:id="818694193">
      <w:bodyDiv w:val="1"/>
      <w:marLeft w:val="0"/>
      <w:marRight w:val="0"/>
      <w:marTop w:val="0"/>
      <w:marBottom w:val="0"/>
      <w:divBdr>
        <w:top w:val="none" w:sz="0" w:space="0" w:color="auto"/>
        <w:left w:val="none" w:sz="0" w:space="0" w:color="auto"/>
        <w:bottom w:val="none" w:sz="0" w:space="0" w:color="auto"/>
        <w:right w:val="none" w:sz="0" w:space="0" w:color="auto"/>
      </w:divBdr>
    </w:div>
    <w:div w:id="820462366">
      <w:bodyDiv w:val="1"/>
      <w:marLeft w:val="0"/>
      <w:marRight w:val="0"/>
      <w:marTop w:val="0"/>
      <w:marBottom w:val="0"/>
      <w:divBdr>
        <w:top w:val="none" w:sz="0" w:space="0" w:color="auto"/>
        <w:left w:val="none" w:sz="0" w:space="0" w:color="auto"/>
        <w:bottom w:val="none" w:sz="0" w:space="0" w:color="auto"/>
        <w:right w:val="none" w:sz="0" w:space="0" w:color="auto"/>
      </w:divBdr>
    </w:div>
    <w:div w:id="820928169">
      <w:bodyDiv w:val="1"/>
      <w:marLeft w:val="0"/>
      <w:marRight w:val="0"/>
      <w:marTop w:val="0"/>
      <w:marBottom w:val="0"/>
      <w:divBdr>
        <w:top w:val="none" w:sz="0" w:space="0" w:color="auto"/>
        <w:left w:val="none" w:sz="0" w:space="0" w:color="auto"/>
        <w:bottom w:val="none" w:sz="0" w:space="0" w:color="auto"/>
        <w:right w:val="none" w:sz="0" w:space="0" w:color="auto"/>
      </w:divBdr>
    </w:div>
    <w:div w:id="821434796">
      <w:bodyDiv w:val="1"/>
      <w:marLeft w:val="0"/>
      <w:marRight w:val="0"/>
      <w:marTop w:val="0"/>
      <w:marBottom w:val="0"/>
      <w:divBdr>
        <w:top w:val="none" w:sz="0" w:space="0" w:color="auto"/>
        <w:left w:val="none" w:sz="0" w:space="0" w:color="auto"/>
        <w:bottom w:val="none" w:sz="0" w:space="0" w:color="auto"/>
        <w:right w:val="none" w:sz="0" w:space="0" w:color="auto"/>
      </w:divBdr>
    </w:div>
    <w:div w:id="821580757">
      <w:bodyDiv w:val="1"/>
      <w:marLeft w:val="0"/>
      <w:marRight w:val="0"/>
      <w:marTop w:val="0"/>
      <w:marBottom w:val="0"/>
      <w:divBdr>
        <w:top w:val="none" w:sz="0" w:space="0" w:color="auto"/>
        <w:left w:val="none" w:sz="0" w:space="0" w:color="auto"/>
        <w:bottom w:val="none" w:sz="0" w:space="0" w:color="auto"/>
        <w:right w:val="none" w:sz="0" w:space="0" w:color="auto"/>
      </w:divBdr>
    </w:div>
    <w:div w:id="822045479">
      <w:bodyDiv w:val="1"/>
      <w:marLeft w:val="0"/>
      <w:marRight w:val="0"/>
      <w:marTop w:val="0"/>
      <w:marBottom w:val="0"/>
      <w:divBdr>
        <w:top w:val="none" w:sz="0" w:space="0" w:color="auto"/>
        <w:left w:val="none" w:sz="0" w:space="0" w:color="auto"/>
        <w:bottom w:val="none" w:sz="0" w:space="0" w:color="auto"/>
        <w:right w:val="none" w:sz="0" w:space="0" w:color="auto"/>
      </w:divBdr>
    </w:div>
    <w:div w:id="822702045">
      <w:bodyDiv w:val="1"/>
      <w:marLeft w:val="0"/>
      <w:marRight w:val="0"/>
      <w:marTop w:val="0"/>
      <w:marBottom w:val="0"/>
      <w:divBdr>
        <w:top w:val="none" w:sz="0" w:space="0" w:color="auto"/>
        <w:left w:val="none" w:sz="0" w:space="0" w:color="auto"/>
        <w:bottom w:val="none" w:sz="0" w:space="0" w:color="auto"/>
        <w:right w:val="none" w:sz="0" w:space="0" w:color="auto"/>
      </w:divBdr>
    </w:div>
    <w:div w:id="822740802">
      <w:bodyDiv w:val="1"/>
      <w:marLeft w:val="0"/>
      <w:marRight w:val="0"/>
      <w:marTop w:val="0"/>
      <w:marBottom w:val="0"/>
      <w:divBdr>
        <w:top w:val="none" w:sz="0" w:space="0" w:color="auto"/>
        <w:left w:val="none" w:sz="0" w:space="0" w:color="auto"/>
        <w:bottom w:val="none" w:sz="0" w:space="0" w:color="auto"/>
        <w:right w:val="none" w:sz="0" w:space="0" w:color="auto"/>
      </w:divBdr>
    </w:div>
    <w:div w:id="823357334">
      <w:bodyDiv w:val="1"/>
      <w:marLeft w:val="0"/>
      <w:marRight w:val="0"/>
      <w:marTop w:val="0"/>
      <w:marBottom w:val="0"/>
      <w:divBdr>
        <w:top w:val="none" w:sz="0" w:space="0" w:color="auto"/>
        <w:left w:val="none" w:sz="0" w:space="0" w:color="auto"/>
        <w:bottom w:val="none" w:sz="0" w:space="0" w:color="auto"/>
        <w:right w:val="none" w:sz="0" w:space="0" w:color="auto"/>
      </w:divBdr>
    </w:div>
    <w:div w:id="824050826">
      <w:bodyDiv w:val="1"/>
      <w:marLeft w:val="0"/>
      <w:marRight w:val="0"/>
      <w:marTop w:val="0"/>
      <w:marBottom w:val="0"/>
      <w:divBdr>
        <w:top w:val="none" w:sz="0" w:space="0" w:color="auto"/>
        <w:left w:val="none" w:sz="0" w:space="0" w:color="auto"/>
        <w:bottom w:val="none" w:sz="0" w:space="0" w:color="auto"/>
        <w:right w:val="none" w:sz="0" w:space="0" w:color="auto"/>
      </w:divBdr>
    </w:div>
    <w:div w:id="824246765">
      <w:bodyDiv w:val="1"/>
      <w:marLeft w:val="0"/>
      <w:marRight w:val="0"/>
      <w:marTop w:val="0"/>
      <w:marBottom w:val="0"/>
      <w:divBdr>
        <w:top w:val="none" w:sz="0" w:space="0" w:color="auto"/>
        <w:left w:val="none" w:sz="0" w:space="0" w:color="auto"/>
        <w:bottom w:val="none" w:sz="0" w:space="0" w:color="auto"/>
        <w:right w:val="none" w:sz="0" w:space="0" w:color="auto"/>
      </w:divBdr>
    </w:div>
    <w:div w:id="824276807">
      <w:bodyDiv w:val="1"/>
      <w:marLeft w:val="0"/>
      <w:marRight w:val="0"/>
      <w:marTop w:val="0"/>
      <w:marBottom w:val="0"/>
      <w:divBdr>
        <w:top w:val="none" w:sz="0" w:space="0" w:color="auto"/>
        <w:left w:val="none" w:sz="0" w:space="0" w:color="auto"/>
        <w:bottom w:val="none" w:sz="0" w:space="0" w:color="auto"/>
        <w:right w:val="none" w:sz="0" w:space="0" w:color="auto"/>
      </w:divBdr>
    </w:div>
    <w:div w:id="825126325">
      <w:bodyDiv w:val="1"/>
      <w:marLeft w:val="0"/>
      <w:marRight w:val="0"/>
      <w:marTop w:val="0"/>
      <w:marBottom w:val="0"/>
      <w:divBdr>
        <w:top w:val="none" w:sz="0" w:space="0" w:color="auto"/>
        <w:left w:val="none" w:sz="0" w:space="0" w:color="auto"/>
        <w:bottom w:val="none" w:sz="0" w:space="0" w:color="auto"/>
        <w:right w:val="none" w:sz="0" w:space="0" w:color="auto"/>
      </w:divBdr>
    </w:div>
    <w:div w:id="825319988">
      <w:bodyDiv w:val="1"/>
      <w:marLeft w:val="0"/>
      <w:marRight w:val="0"/>
      <w:marTop w:val="0"/>
      <w:marBottom w:val="0"/>
      <w:divBdr>
        <w:top w:val="none" w:sz="0" w:space="0" w:color="auto"/>
        <w:left w:val="none" w:sz="0" w:space="0" w:color="auto"/>
        <w:bottom w:val="none" w:sz="0" w:space="0" w:color="auto"/>
        <w:right w:val="none" w:sz="0" w:space="0" w:color="auto"/>
      </w:divBdr>
    </w:div>
    <w:div w:id="825824996">
      <w:bodyDiv w:val="1"/>
      <w:marLeft w:val="0"/>
      <w:marRight w:val="0"/>
      <w:marTop w:val="0"/>
      <w:marBottom w:val="0"/>
      <w:divBdr>
        <w:top w:val="none" w:sz="0" w:space="0" w:color="auto"/>
        <w:left w:val="none" w:sz="0" w:space="0" w:color="auto"/>
        <w:bottom w:val="none" w:sz="0" w:space="0" w:color="auto"/>
        <w:right w:val="none" w:sz="0" w:space="0" w:color="auto"/>
      </w:divBdr>
    </w:div>
    <w:div w:id="826169352">
      <w:bodyDiv w:val="1"/>
      <w:marLeft w:val="0"/>
      <w:marRight w:val="0"/>
      <w:marTop w:val="0"/>
      <w:marBottom w:val="0"/>
      <w:divBdr>
        <w:top w:val="none" w:sz="0" w:space="0" w:color="auto"/>
        <w:left w:val="none" w:sz="0" w:space="0" w:color="auto"/>
        <w:bottom w:val="none" w:sz="0" w:space="0" w:color="auto"/>
        <w:right w:val="none" w:sz="0" w:space="0" w:color="auto"/>
      </w:divBdr>
    </w:div>
    <w:div w:id="826440716">
      <w:bodyDiv w:val="1"/>
      <w:marLeft w:val="0"/>
      <w:marRight w:val="0"/>
      <w:marTop w:val="0"/>
      <w:marBottom w:val="0"/>
      <w:divBdr>
        <w:top w:val="none" w:sz="0" w:space="0" w:color="auto"/>
        <w:left w:val="none" w:sz="0" w:space="0" w:color="auto"/>
        <w:bottom w:val="none" w:sz="0" w:space="0" w:color="auto"/>
        <w:right w:val="none" w:sz="0" w:space="0" w:color="auto"/>
      </w:divBdr>
    </w:div>
    <w:div w:id="826827036">
      <w:bodyDiv w:val="1"/>
      <w:marLeft w:val="0"/>
      <w:marRight w:val="0"/>
      <w:marTop w:val="0"/>
      <w:marBottom w:val="0"/>
      <w:divBdr>
        <w:top w:val="none" w:sz="0" w:space="0" w:color="auto"/>
        <w:left w:val="none" w:sz="0" w:space="0" w:color="auto"/>
        <w:bottom w:val="none" w:sz="0" w:space="0" w:color="auto"/>
        <w:right w:val="none" w:sz="0" w:space="0" w:color="auto"/>
      </w:divBdr>
    </w:div>
    <w:div w:id="827088388">
      <w:bodyDiv w:val="1"/>
      <w:marLeft w:val="0"/>
      <w:marRight w:val="0"/>
      <w:marTop w:val="0"/>
      <w:marBottom w:val="0"/>
      <w:divBdr>
        <w:top w:val="none" w:sz="0" w:space="0" w:color="auto"/>
        <w:left w:val="none" w:sz="0" w:space="0" w:color="auto"/>
        <w:bottom w:val="none" w:sz="0" w:space="0" w:color="auto"/>
        <w:right w:val="none" w:sz="0" w:space="0" w:color="auto"/>
      </w:divBdr>
    </w:div>
    <w:div w:id="828401605">
      <w:bodyDiv w:val="1"/>
      <w:marLeft w:val="0"/>
      <w:marRight w:val="0"/>
      <w:marTop w:val="0"/>
      <w:marBottom w:val="0"/>
      <w:divBdr>
        <w:top w:val="none" w:sz="0" w:space="0" w:color="auto"/>
        <w:left w:val="none" w:sz="0" w:space="0" w:color="auto"/>
        <w:bottom w:val="none" w:sz="0" w:space="0" w:color="auto"/>
        <w:right w:val="none" w:sz="0" w:space="0" w:color="auto"/>
      </w:divBdr>
    </w:div>
    <w:div w:id="828643263">
      <w:bodyDiv w:val="1"/>
      <w:marLeft w:val="0"/>
      <w:marRight w:val="0"/>
      <w:marTop w:val="0"/>
      <w:marBottom w:val="0"/>
      <w:divBdr>
        <w:top w:val="none" w:sz="0" w:space="0" w:color="auto"/>
        <w:left w:val="none" w:sz="0" w:space="0" w:color="auto"/>
        <w:bottom w:val="none" w:sz="0" w:space="0" w:color="auto"/>
        <w:right w:val="none" w:sz="0" w:space="0" w:color="auto"/>
      </w:divBdr>
    </w:div>
    <w:div w:id="829292989">
      <w:bodyDiv w:val="1"/>
      <w:marLeft w:val="0"/>
      <w:marRight w:val="0"/>
      <w:marTop w:val="0"/>
      <w:marBottom w:val="0"/>
      <w:divBdr>
        <w:top w:val="none" w:sz="0" w:space="0" w:color="auto"/>
        <w:left w:val="none" w:sz="0" w:space="0" w:color="auto"/>
        <w:bottom w:val="none" w:sz="0" w:space="0" w:color="auto"/>
        <w:right w:val="none" w:sz="0" w:space="0" w:color="auto"/>
      </w:divBdr>
    </w:div>
    <w:div w:id="829447173">
      <w:bodyDiv w:val="1"/>
      <w:marLeft w:val="0"/>
      <w:marRight w:val="0"/>
      <w:marTop w:val="0"/>
      <w:marBottom w:val="0"/>
      <w:divBdr>
        <w:top w:val="none" w:sz="0" w:space="0" w:color="auto"/>
        <w:left w:val="none" w:sz="0" w:space="0" w:color="auto"/>
        <w:bottom w:val="none" w:sz="0" w:space="0" w:color="auto"/>
        <w:right w:val="none" w:sz="0" w:space="0" w:color="auto"/>
      </w:divBdr>
    </w:div>
    <w:div w:id="829711848">
      <w:bodyDiv w:val="1"/>
      <w:marLeft w:val="0"/>
      <w:marRight w:val="0"/>
      <w:marTop w:val="0"/>
      <w:marBottom w:val="0"/>
      <w:divBdr>
        <w:top w:val="none" w:sz="0" w:space="0" w:color="auto"/>
        <w:left w:val="none" w:sz="0" w:space="0" w:color="auto"/>
        <w:bottom w:val="none" w:sz="0" w:space="0" w:color="auto"/>
        <w:right w:val="none" w:sz="0" w:space="0" w:color="auto"/>
      </w:divBdr>
    </w:div>
    <w:div w:id="830216624">
      <w:bodyDiv w:val="1"/>
      <w:marLeft w:val="0"/>
      <w:marRight w:val="0"/>
      <w:marTop w:val="0"/>
      <w:marBottom w:val="0"/>
      <w:divBdr>
        <w:top w:val="none" w:sz="0" w:space="0" w:color="auto"/>
        <w:left w:val="none" w:sz="0" w:space="0" w:color="auto"/>
        <w:bottom w:val="none" w:sz="0" w:space="0" w:color="auto"/>
        <w:right w:val="none" w:sz="0" w:space="0" w:color="auto"/>
      </w:divBdr>
    </w:div>
    <w:div w:id="832062928">
      <w:bodyDiv w:val="1"/>
      <w:marLeft w:val="0"/>
      <w:marRight w:val="0"/>
      <w:marTop w:val="0"/>
      <w:marBottom w:val="0"/>
      <w:divBdr>
        <w:top w:val="none" w:sz="0" w:space="0" w:color="auto"/>
        <w:left w:val="none" w:sz="0" w:space="0" w:color="auto"/>
        <w:bottom w:val="none" w:sz="0" w:space="0" w:color="auto"/>
        <w:right w:val="none" w:sz="0" w:space="0" w:color="auto"/>
      </w:divBdr>
    </w:div>
    <w:div w:id="834878943">
      <w:bodyDiv w:val="1"/>
      <w:marLeft w:val="0"/>
      <w:marRight w:val="0"/>
      <w:marTop w:val="0"/>
      <w:marBottom w:val="0"/>
      <w:divBdr>
        <w:top w:val="none" w:sz="0" w:space="0" w:color="auto"/>
        <w:left w:val="none" w:sz="0" w:space="0" w:color="auto"/>
        <w:bottom w:val="none" w:sz="0" w:space="0" w:color="auto"/>
        <w:right w:val="none" w:sz="0" w:space="0" w:color="auto"/>
      </w:divBdr>
    </w:div>
    <w:div w:id="835001382">
      <w:bodyDiv w:val="1"/>
      <w:marLeft w:val="0"/>
      <w:marRight w:val="0"/>
      <w:marTop w:val="0"/>
      <w:marBottom w:val="0"/>
      <w:divBdr>
        <w:top w:val="none" w:sz="0" w:space="0" w:color="auto"/>
        <w:left w:val="none" w:sz="0" w:space="0" w:color="auto"/>
        <w:bottom w:val="none" w:sz="0" w:space="0" w:color="auto"/>
        <w:right w:val="none" w:sz="0" w:space="0" w:color="auto"/>
      </w:divBdr>
    </w:div>
    <w:div w:id="835608753">
      <w:bodyDiv w:val="1"/>
      <w:marLeft w:val="0"/>
      <w:marRight w:val="0"/>
      <w:marTop w:val="0"/>
      <w:marBottom w:val="0"/>
      <w:divBdr>
        <w:top w:val="none" w:sz="0" w:space="0" w:color="auto"/>
        <w:left w:val="none" w:sz="0" w:space="0" w:color="auto"/>
        <w:bottom w:val="none" w:sz="0" w:space="0" w:color="auto"/>
        <w:right w:val="none" w:sz="0" w:space="0" w:color="auto"/>
      </w:divBdr>
    </w:div>
    <w:div w:id="835876722">
      <w:bodyDiv w:val="1"/>
      <w:marLeft w:val="0"/>
      <w:marRight w:val="0"/>
      <w:marTop w:val="0"/>
      <w:marBottom w:val="0"/>
      <w:divBdr>
        <w:top w:val="none" w:sz="0" w:space="0" w:color="auto"/>
        <w:left w:val="none" w:sz="0" w:space="0" w:color="auto"/>
        <w:bottom w:val="none" w:sz="0" w:space="0" w:color="auto"/>
        <w:right w:val="none" w:sz="0" w:space="0" w:color="auto"/>
      </w:divBdr>
    </w:div>
    <w:div w:id="835918929">
      <w:bodyDiv w:val="1"/>
      <w:marLeft w:val="0"/>
      <w:marRight w:val="0"/>
      <w:marTop w:val="0"/>
      <w:marBottom w:val="0"/>
      <w:divBdr>
        <w:top w:val="none" w:sz="0" w:space="0" w:color="auto"/>
        <w:left w:val="none" w:sz="0" w:space="0" w:color="auto"/>
        <w:bottom w:val="none" w:sz="0" w:space="0" w:color="auto"/>
        <w:right w:val="none" w:sz="0" w:space="0" w:color="auto"/>
      </w:divBdr>
    </w:div>
    <w:div w:id="835921622">
      <w:bodyDiv w:val="1"/>
      <w:marLeft w:val="0"/>
      <w:marRight w:val="0"/>
      <w:marTop w:val="0"/>
      <w:marBottom w:val="0"/>
      <w:divBdr>
        <w:top w:val="none" w:sz="0" w:space="0" w:color="auto"/>
        <w:left w:val="none" w:sz="0" w:space="0" w:color="auto"/>
        <w:bottom w:val="none" w:sz="0" w:space="0" w:color="auto"/>
        <w:right w:val="none" w:sz="0" w:space="0" w:color="auto"/>
      </w:divBdr>
    </w:div>
    <w:div w:id="836261927">
      <w:bodyDiv w:val="1"/>
      <w:marLeft w:val="0"/>
      <w:marRight w:val="0"/>
      <w:marTop w:val="0"/>
      <w:marBottom w:val="0"/>
      <w:divBdr>
        <w:top w:val="none" w:sz="0" w:space="0" w:color="auto"/>
        <w:left w:val="none" w:sz="0" w:space="0" w:color="auto"/>
        <w:bottom w:val="none" w:sz="0" w:space="0" w:color="auto"/>
        <w:right w:val="none" w:sz="0" w:space="0" w:color="auto"/>
      </w:divBdr>
    </w:div>
    <w:div w:id="836388629">
      <w:bodyDiv w:val="1"/>
      <w:marLeft w:val="0"/>
      <w:marRight w:val="0"/>
      <w:marTop w:val="0"/>
      <w:marBottom w:val="0"/>
      <w:divBdr>
        <w:top w:val="none" w:sz="0" w:space="0" w:color="auto"/>
        <w:left w:val="none" w:sz="0" w:space="0" w:color="auto"/>
        <w:bottom w:val="none" w:sz="0" w:space="0" w:color="auto"/>
        <w:right w:val="none" w:sz="0" w:space="0" w:color="auto"/>
      </w:divBdr>
    </w:div>
    <w:div w:id="836503674">
      <w:bodyDiv w:val="1"/>
      <w:marLeft w:val="0"/>
      <w:marRight w:val="0"/>
      <w:marTop w:val="0"/>
      <w:marBottom w:val="0"/>
      <w:divBdr>
        <w:top w:val="none" w:sz="0" w:space="0" w:color="auto"/>
        <w:left w:val="none" w:sz="0" w:space="0" w:color="auto"/>
        <w:bottom w:val="none" w:sz="0" w:space="0" w:color="auto"/>
        <w:right w:val="none" w:sz="0" w:space="0" w:color="auto"/>
      </w:divBdr>
    </w:div>
    <w:div w:id="837117801">
      <w:bodyDiv w:val="1"/>
      <w:marLeft w:val="0"/>
      <w:marRight w:val="0"/>
      <w:marTop w:val="0"/>
      <w:marBottom w:val="0"/>
      <w:divBdr>
        <w:top w:val="none" w:sz="0" w:space="0" w:color="auto"/>
        <w:left w:val="none" w:sz="0" w:space="0" w:color="auto"/>
        <w:bottom w:val="none" w:sz="0" w:space="0" w:color="auto"/>
        <w:right w:val="none" w:sz="0" w:space="0" w:color="auto"/>
      </w:divBdr>
    </w:div>
    <w:div w:id="838617671">
      <w:bodyDiv w:val="1"/>
      <w:marLeft w:val="0"/>
      <w:marRight w:val="0"/>
      <w:marTop w:val="0"/>
      <w:marBottom w:val="0"/>
      <w:divBdr>
        <w:top w:val="none" w:sz="0" w:space="0" w:color="auto"/>
        <w:left w:val="none" w:sz="0" w:space="0" w:color="auto"/>
        <w:bottom w:val="none" w:sz="0" w:space="0" w:color="auto"/>
        <w:right w:val="none" w:sz="0" w:space="0" w:color="auto"/>
      </w:divBdr>
    </w:div>
    <w:div w:id="840001046">
      <w:bodyDiv w:val="1"/>
      <w:marLeft w:val="0"/>
      <w:marRight w:val="0"/>
      <w:marTop w:val="0"/>
      <w:marBottom w:val="0"/>
      <w:divBdr>
        <w:top w:val="none" w:sz="0" w:space="0" w:color="auto"/>
        <w:left w:val="none" w:sz="0" w:space="0" w:color="auto"/>
        <w:bottom w:val="none" w:sz="0" w:space="0" w:color="auto"/>
        <w:right w:val="none" w:sz="0" w:space="0" w:color="auto"/>
      </w:divBdr>
    </w:div>
    <w:div w:id="840466238">
      <w:bodyDiv w:val="1"/>
      <w:marLeft w:val="0"/>
      <w:marRight w:val="0"/>
      <w:marTop w:val="0"/>
      <w:marBottom w:val="0"/>
      <w:divBdr>
        <w:top w:val="none" w:sz="0" w:space="0" w:color="auto"/>
        <w:left w:val="none" w:sz="0" w:space="0" w:color="auto"/>
        <w:bottom w:val="none" w:sz="0" w:space="0" w:color="auto"/>
        <w:right w:val="none" w:sz="0" w:space="0" w:color="auto"/>
      </w:divBdr>
    </w:div>
    <w:div w:id="841241634">
      <w:bodyDiv w:val="1"/>
      <w:marLeft w:val="0"/>
      <w:marRight w:val="0"/>
      <w:marTop w:val="0"/>
      <w:marBottom w:val="0"/>
      <w:divBdr>
        <w:top w:val="none" w:sz="0" w:space="0" w:color="auto"/>
        <w:left w:val="none" w:sz="0" w:space="0" w:color="auto"/>
        <w:bottom w:val="none" w:sz="0" w:space="0" w:color="auto"/>
        <w:right w:val="none" w:sz="0" w:space="0" w:color="auto"/>
      </w:divBdr>
    </w:div>
    <w:div w:id="842668676">
      <w:bodyDiv w:val="1"/>
      <w:marLeft w:val="0"/>
      <w:marRight w:val="0"/>
      <w:marTop w:val="0"/>
      <w:marBottom w:val="0"/>
      <w:divBdr>
        <w:top w:val="none" w:sz="0" w:space="0" w:color="auto"/>
        <w:left w:val="none" w:sz="0" w:space="0" w:color="auto"/>
        <w:bottom w:val="none" w:sz="0" w:space="0" w:color="auto"/>
        <w:right w:val="none" w:sz="0" w:space="0" w:color="auto"/>
      </w:divBdr>
    </w:div>
    <w:div w:id="843519471">
      <w:bodyDiv w:val="1"/>
      <w:marLeft w:val="0"/>
      <w:marRight w:val="0"/>
      <w:marTop w:val="0"/>
      <w:marBottom w:val="0"/>
      <w:divBdr>
        <w:top w:val="none" w:sz="0" w:space="0" w:color="auto"/>
        <w:left w:val="none" w:sz="0" w:space="0" w:color="auto"/>
        <w:bottom w:val="none" w:sz="0" w:space="0" w:color="auto"/>
        <w:right w:val="none" w:sz="0" w:space="0" w:color="auto"/>
      </w:divBdr>
    </w:div>
    <w:div w:id="843711660">
      <w:bodyDiv w:val="1"/>
      <w:marLeft w:val="0"/>
      <w:marRight w:val="0"/>
      <w:marTop w:val="0"/>
      <w:marBottom w:val="0"/>
      <w:divBdr>
        <w:top w:val="none" w:sz="0" w:space="0" w:color="auto"/>
        <w:left w:val="none" w:sz="0" w:space="0" w:color="auto"/>
        <w:bottom w:val="none" w:sz="0" w:space="0" w:color="auto"/>
        <w:right w:val="none" w:sz="0" w:space="0" w:color="auto"/>
      </w:divBdr>
    </w:div>
    <w:div w:id="844053808">
      <w:bodyDiv w:val="1"/>
      <w:marLeft w:val="0"/>
      <w:marRight w:val="0"/>
      <w:marTop w:val="0"/>
      <w:marBottom w:val="0"/>
      <w:divBdr>
        <w:top w:val="none" w:sz="0" w:space="0" w:color="auto"/>
        <w:left w:val="none" w:sz="0" w:space="0" w:color="auto"/>
        <w:bottom w:val="none" w:sz="0" w:space="0" w:color="auto"/>
        <w:right w:val="none" w:sz="0" w:space="0" w:color="auto"/>
      </w:divBdr>
    </w:div>
    <w:div w:id="844517903">
      <w:bodyDiv w:val="1"/>
      <w:marLeft w:val="0"/>
      <w:marRight w:val="0"/>
      <w:marTop w:val="0"/>
      <w:marBottom w:val="0"/>
      <w:divBdr>
        <w:top w:val="none" w:sz="0" w:space="0" w:color="auto"/>
        <w:left w:val="none" w:sz="0" w:space="0" w:color="auto"/>
        <w:bottom w:val="none" w:sz="0" w:space="0" w:color="auto"/>
        <w:right w:val="none" w:sz="0" w:space="0" w:color="auto"/>
      </w:divBdr>
    </w:div>
    <w:div w:id="845679873">
      <w:bodyDiv w:val="1"/>
      <w:marLeft w:val="0"/>
      <w:marRight w:val="0"/>
      <w:marTop w:val="0"/>
      <w:marBottom w:val="0"/>
      <w:divBdr>
        <w:top w:val="none" w:sz="0" w:space="0" w:color="auto"/>
        <w:left w:val="none" w:sz="0" w:space="0" w:color="auto"/>
        <w:bottom w:val="none" w:sz="0" w:space="0" w:color="auto"/>
        <w:right w:val="none" w:sz="0" w:space="0" w:color="auto"/>
      </w:divBdr>
    </w:div>
    <w:div w:id="846334933">
      <w:bodyDiv w:val="1"/>
      <w:marLeft w:val="0"/>
      <w:marRight w:val="0"/>
      <w:marTop w:val="0"/>
      <w:marBottom w:val="0"/>
      <w:divBdr>
        <w:top w:val="none" w:sz="0" w:space="0" w:color="auto"/>
        <w:left w:val="none" w:sz="0" w:space="0" w:color="auto"/>
        <w:bottom w:val="none" w:sz="0" w:space="0" w:color="auto"/>
        <w:right w:val="none" w:sz="0" w:space="0" w:color="auto"/>
      </w:divBdr>
    </w:div>
    <w:div w:id="846942212">
      <w:bodyDiv w:val="1"/>
      <w:marLeft w:val="0"/>
      <w:marRight w:val="0"/>
      <w:marTop w:val="0"/>
      <w:marBottom w:val="0"/>
      <w:divBdr>
        <w:top w:val="none" w:sz="0" w:space="0" w:color="auto"/>
        <w:left w:val="none" w:sz="0" w:space="0" w:color="auto"/>
        <w:bottom w:val="none" w:sz="0" w:space="0" w:color="auto"/>
        <w:right w:val="none" w:sz="0" w:space="0" w:color="auto"/>
      </w:divBdr>
    </w:div>
    <w:div w:id="846944940">
      <w:bodyDiv w:val="1"/>
      <w:marLeft w:val="0"/>
      <w:marRight w:val="0"/>
      <w:marTop w:val="0"/>
      <w:marBottom w:val="0"/>
      <w:divBdr>
        <w:top w:val="none" w:sz="0" w:space="0" w:color="auto"/>
        <w:left w:val="none" w:sz="0" w:space="0" w:color="auto"/>
        <w:bottom w:val="none" w:sz="0" w:space="0" w:color="auto"/>
        <w:right w:val="none" w:sz="0" w:space="0" w:color="auto"/>
      </w:divBdr>
    </w:div>
    <w:div w:id="847065468">
      <w:bodyDiv w:val="1"/>
      <w:marLeft w:val="0"/>
      <w:marRight w:val="0"/>
      <w:marTop w:val="0"/>
      <w:marBottom w:val="0"/>
      <w:divBdr>
        <w:top w:val="none" w:sz="0" w:space="0" w:color="auto"/>
        <w:left w:val="none" w:sz="0" w:space="0" w:color="auto"/>
        <w:bottom w:val="none" w:sz="0" w:space="0" w:color="auto"/>
        <w:right w:val="none" w:sz="0" w:space="0" w:color="auto"/>
      </w:divBdr>
    </w:div>
    <w:div w:id="847251510">
      <w:bodyDiv w:val="1"/>
      <w:marLeft w:val="0"/>
      <w:marRight w:val="0"/>
      <w:marTop w:val="0"/>
      <w:marBottom w:val="0"/>
      <w:divBdr>
        <w:top w:val="none" w:sz="0" w:space="0" w:color="auto"/>
        <w:left w:val="none" w:sz="0" w:space="0" w:color="auto"/>
        <w:bottom w:val="none" w:sz="0" w:space="0" w:color="auto"/>
        <w:right w:val="none" w:sz="0" w:space="0" w:color="auto"/>
      </w:divBdr>
    </w:div>
    <w:div w:id="848639787">
      <w:bodyDiv w:val="1"/>
      <w:marLeft w:val="0"/>
      <w:marRight w:val="0"/>
      <w:marTop w:val="0"/>
      <w:marBottom w:val="0"/>
      <w:divBdr>
        <w:top w:val="none" w:sz="0" w:space="0" w:color="auto"/>
        <w:left w:val="none" w:sz="0" w:space="0" w:color="auto"/>
        <w:bottom w:val="none" w:sz="0" w:space="0" w:color="auto"/>
        <w:right w:val="none" w:sz="0" w:space="0" w:color="auto"/>
      </w:divBdr>
    </w:div>
    <w:div w:id="849224572">
      <w:bodyDiv w:val="1"/>
      <w:marLeft w:val="0"/>
      <w:marRight w:val="0"/>
      <w:marTop w:val="0"/>
      <w:marBottom w:val="0"/>
      <w:divBdr>
        <w:top w:val="none" w:sz="0" w:space="0" w:color="auto"/>
        <w:left w:val="none" w:sz="0" w:space="0" w:color="auto"/>
        <w:bottom w:val="none" w:sz="0" w:space="0" w:color="auto"/>
        <w:right w:val="none" w:sz="0" w:space="0" w:color="auto"/>
      </w:divBdr>
    </w:div>
    <w:div w:id="849414641">
      <w:bodyDiv w:val="1"/>
      <w:marLeft w:val="0"/>
      <w:marRight w:val="0"/>
      <w:marTop w:val="0"/>
      <w:marBottom w:val="0"/>
      <w:divBdr>
        <w:top w:val="none" w:sz="0" w:space="0" w:color="auto"/>
        <w:left w:val="none" w:sz="0" w:space="0" w:color="auto"/>
        <w:bottom w:val="none" w:sz="0" w:space="0" w:color="auto"/>
        <w:right w:val="none" w:sz="0" w:space="0" w:color="auto"/>
      </w:divBdr>
    </w:div>
    <w:div w:id="849946638">
      <w:bodyDiv w:val="1"/>
      <w:marLeft w:val="0"/>
      <w:marRight w:val="0"/>
      <w:marTop w:val="0"/>
      <w:marBottom w:val="0"/>
      <w:divBdr>
        <w:top w:val="none" w:sz="0" w:space="0" w:color="auto"/>
        <w:left w:val="none" w:sz="0" w:space="0" w:color="auto"/>
        <w:bottom w:val="none" w:sz="0" w:space="0" w:color="auto"/>
        <w:right w:val="none" w:sz="0" w:space="0" w:color="auto"/>
      </w:divBdr>
    </w:div>
    <w:div w:id="850678750">
      <w:bodyDiv w:val="1"/>
      <w:marLeft w:val="0"/>
      <w:marRight w:val="0"/>
      <w:marTop w:val="0"/>
      <w:marBottom w:val="0"/>
      <w:divBdr>
        <w:top w:val="none" w:sz="0" w:space="0" w:color="auto"/>
        <w:left w:val="none" w:sz="0" w:space="0" w:color="auto"/>
        <w:bottom w:val="none" w:sz="0" w:space="0" w:color="auto"/>
        <w:right w:val="none" w:sz="0" w:space="0" w:color="auto"/>
      </w:divBdr>
    </w:div>
    <w:div w:id="851148704">
      <w:bodyDiv w:val="1"/>
      <w:marLeft w:val="0"/>
      <w:marRight w:val="0"/>
      <w:marTop w:val="0"/>
      <w:marBottom w:val="0"/>
      <w:divBdr>
        <w:top w:val="none" w:sz="0" w:space="0" w:color="auto"/>
        <w:left w:val="none" w:sz="0" w:space="0" w:color="auto"/>
        <w:bottom w:val="none" w:sz="0" w:space="0" w:color="auto"/>
        <w:right w:val="none" w:sz="0" w:space="0" w:color="auto"/>
      </w:divBdr>
    </w:div>
    <w:div w:id="851605836">
      <w:bodyDiv w:val="1"/>
      <w:marLeft w:val="0"/>
      <w:marRight w:val="0"/>
      <w:marTop w:val="0"/>
      <w:marBottom w:val="0"/>
      <w:divBdr>
        <w:top w:val="none" w:sz="0" w:space="0" w:color="auto"/>
        <w:left w:val="none" w:sz="0" w:space="0" w:color="auto"/>
        <w:bottom w:val="none" w:sz="0" w:space="0" w:color="auto"/>
        <w:right w:val="none" w:sz="0" w:space="0" w:color="auto"/>
      </w:divBdr>
    </w:div>
    <w:div w:id="852304370">
      <w:bodyDiv w:val="1"/>
      <w:marLeft w:val="0"/>
      <w:marRight w:val="0"/>
      <w:marTop w:val="0"/>
      <w:marBottom w:val="0"/>
      <w:divBdr>
        <w:top w:val="none" w:sz="0" w:space="0" w:color="auto"/>
        <w:left w:val="none" w:sz="0" w:space="0" w:color="auto"/>
        <w:bottom w:val="none" w:sz="0" w:space="0" w:color="auto"/>
        <w:right w:val="none" w:sz="0" w:space="0" w:color="auto"/>
      </w:divBdr>
    </w:div>
    <w:div w:id="852458292">
      <w:bodyDiv w:val="1"/>
      <w:marLeft w:val="0"/>
      <w:marRight w:val="0"/>
      <w:marTop w:val="0"/>
      <w:marBottom w:val="0"/>
      <w:divBdr>
        <w:top w:val="none" w:sz="0" w:space="0" w:color="auto"/>
        <w:left w:val="none" w:sz="0" w:space="0" w:color="auto"/>
        <w:bottom w:val="none" w:sz="0" w:space="0" w:color="auto"/>
        <w:right w:val="none" w:sz="0" w:space="0" w:color="auto"/>
      </w:divBdr>
    </w:div>
    <w:div w:id="852644081">
      <w:bodyDiv w:val="1"/>
      <w:marLeft w:val="0"/>
      <w:marRight w:val="0"/>
      <w:marTop w:val="0"/>
      <w:marBottom w:val="0"/>
      <w:divBdr>
        <w:top w:val="none" w:sz="0" w:space="0" w:color="auto"/>
        <w:left w:val="none" w:sz="0" w:space="0" w:color="auto"/>
        <w:bottom w:val="none" w:sz="0" w:space="0" w:color="auto"/>
        <w:right w:val="none" w:sz="0" w:space="0" w:color="auto"/>
      </w:divBdr>
    </w:div>
    <w:div w:id="853228020">
      <w:bodyDiv w:val="1"/>
      <w:marLeft w:val="0"/>
      <w:marRight w:val="0"/>
      <w:marTop w:val="0"/>
      <w:marBottom w:val="0"/>
      <w:divBdr>
        <w:top w:val="none" w:sz="0" w:space="0" w:color="auto"/>
        <w:left w:val="none" w:sz="0" w:space="0" w:color="auto"/>
        <w:bottom w:val="none" w:sz="0" w:space="0" w:color="auto"/>
        <w:right w:val="none" w:sz="0" w:space="0" w:color="auto"/>
      </w:divBdr>
    </w:div>
    <w:div w:id="853228738">
      <w:bodyDiv w:val="1"/>
      <w:marLeft w:val="0"/>
      <w:marRight w:val="0"/>
      <w:marTop w:val="0"/>
      <w:marBottom w:val="0"/>
      <w:divBdr>
        <w:top w:val="none" w:sz="0" w:space="0" w:color="auto"/>
        <w:left w:val="none" w:sz="0" w:space="0" w:color="auto"/>
        <w:bottom w:val="none" w:sz="0" w:space="0" w:color="auto"/>
        <w:right w:val="none" w:sz="0" w:space="0" w:color="auto"/>
      </w:divBdr>
    </w:div>
    <w:div w:id="854227742">
      <w:bodyDiv w:val="1"/>
      <w:marLeft w:val="0"/>
      <w:marRight w:val="0"/>
      <w:marTop w:val="0"/>
      <w:marBottom w:val="0"/>
      <w:divBdr>
        <w:top w:val="none" w:sz="0" w:space="0" w:color="auto"/>
        <w:left w:val="none" w:sz="0" w:space="0" w:color="auto"/>
        <w:bottom w:val="none" w:sz="0" w:space="0" w:color="auto"/>
        <w:right w:val="none" w:sz="0" w:space="0" w:color="auto"/>
      </w:divBdr>
    </w:div>
    <w:div w:id="854661101">
      <w:bodyDiv w:val="1"/>
      <w:marLeft w:val="0"/>
      <w:marRight w:val="0"/>
      <w:marTop w:val="0"/>
      <w:marBottom w:val="0"/>
      <w:divBdr>
        <w:top w:val="none" w:sz="0" w:space="0" w:color="auto"/>
        <w:left w:val="none" w:sz="0" w:space="0" w:color="auto"/>
        <w:bottom w:val="none" w:sz="0" w:space="0" w:color="auto"/>
        <w:right w:val="none" w:sz="0" w:space="0" w:color="auto"/>
      </w:divBdr>
    </w:div>
    <w:div w:id="854685142">
      <w:bodyDiv w:val="1"/>
      <w:marLeft w:val="0"/>
      <w:marRight w:val="0"/>
      <w:marTop w:val="0"/>
      <w:marBottom w:val="0"/>
      <w:divBdr>
        <w:top w:val="none" w:sz="0" w:space="0" w:color="auto"/>
        <w:left w:val="none" w:sz="0" w:space="0" w:color="auto"/>
        <w:bottom w:val="none" w:sz="0" w:space="0" w:color="auto"/>
        <w:right w:val="none" w:sz="0" w:space="0" w:color="auto"/>
      </w:divBdr>
    </w:div>
    <w:div w:id="855314034">
      <w:bodyDiv w:val="1"/>
      <w:marLeft w:val="0"/>
      <w:marRight w:val="0"/>
      <w:marTop w:val="0"/>
      <w:marBottom w:val="0"/>
      <w:divBdr>
        <w:top w:val="none" w:sz="0" w:space="0" w:color="auto"/>
        <w:left w:val="none" w:sz="0" w:space="0" w:color="auto"/>
        <w:bottom w:val="none" w:sz="0" w:space="0" w:color="auto"/>
        <w:right w:val="none" w:sz="0" w:space="0" w:color="auto"/>
      </w:divBdr>
    </w:div>
    <w:div w:id="856381505">
      <w:bodyDiv w:val="1"/>
      <w:marLeft w:val="0"/>
      <w:marRight w:val="0"/>
      <w:marTop w:val="0"/>
      <w:marBottom w:val="0"/>
      <w:divBdr>
        <w:top w:val="none" w:sz="0" w:space="0" w:color="auto"/>
        <w:left w:val="none" w:sz="0" w:space="0" w:color="auto"/>
        <w:bottom w:val="none" w:sz="0" w:space="0" w:color="auto"/>
        <w:right w:val="none" w:sz="0" w:space="0" w:color="auto"/>
      </w:divBdr>
    </w:div>
    <w:div w:id="857620081">
      <w:bodyDiv w:val="1"/>
      <w:marLeft w:val="0"/>
      <w:marRight w:val="0"/>
      <w:marTop w:val="0"/>
      <w:marBottom w:val="0"/>
      <w:divBdr>
        <w:top w:val="none" w:sz="0" w:space="0" w:color="auto"/>
        <w:left w:val="none" w:sz="0" w:space="0" w:color="auto"/>
        <w:bottom w:val="none" w:sz="0" w:space="0" w:color="auto"/>
        <w:right w:val="none" w:sz="0" w:space="0" w:color="auto"/>
      </w:divBdr>
    </w:div>
    <w:div w:id="859054616">
      <w:bodyDiv w:val="1"/>
      <w:marLeft w:val="0"/>
      <w:marRight w:val="0"/>
      <w:marTop w:val="0"/>
      <w:marBottom w:val="0"/>
      <w:divBdr>
        <w:top w:val="none" w:sz="0" w:space="0" w:color="auto"/>
        <w:left w:val="none" w:sz="0" w:space="0" w:color="auto"/>
        <w:bottom w:val="none" w:sz="0" w:space="0" w:color="auto"/>
        <w:right w:val="none" w:sz="0" w:space="0" w:color="auto"/>
      </w:divBdr>
    </w:div>
    <w:div w:id="861238126">
      <w:bodyDiv w:val="1"/>
      <w:marLeft w:val="0"/>
      <w:marRight w:val="0"/>
      <w:marTop w:val="0"/>
      <w:marBottom w:val="0"/>
      <w:divBdr>
        <w:top w:val="none" w:sz="0" w:space="0" w:color="auto"/>
        <w:left w:val="none" w:sz="0" w:space="0" w:color="auto"/>
        <w:bottom w:val="none" w:sz="0" w:space="0" w:color="auto"/>
        <w:right w:val="none" w:sz="0" w:space="0" w:color="auto"/>
      </w:divBdr>
    </w:div>
    <w:div w:id="861553366">
      <w:bodyDiv w:val="1"/>
      <w:marLeft w:val="0"/>
      <w:marRight w:val="0"/>
      <w:marTop w:val="0"/>
      <w:marBottom w:val="0"/>
      <w:divBdr>
        <w:top w:val="none" w:sz="0" w:space="0" w:color="auto"/>
        <w:left w:val="none" w:sz="0" w:space="0" w:color="auto"/>
        <w:bottom w:val="none" w:sz="0" w:space="0" w:color="auto"/>
        <w:right w:val="none" w:sz="0" w:space="0" w:color="auto"/>
      </w:divBdr>
    </w:div>
    <w:div w:id="861556832">
      <w:bodyDiv w:val="1"/>
      <w:marLeft w:val="0"/>
      <w:marRight w:val="0"/>
      <w:marTop w:val="0"/>
      <w:marBottom w:val="0"/>
      <w:divBdr>
        <w:top w:val="none" w:sz="0" w:space="0" w:color="auto"/>
        <w:left w:val="none" w:sz="0" w:space="0" w:color="auto"/>
        <w:bottom w:val="none" w:sz="0" w:space="0" w:color="auto"/>
        <w:right w:val="none" w:sz="0" w:space="0" w:color="auto"/>
      </w:divBdr>
    </w:div>
    <w:div w:id="861632437">
      <w:bodyDiv w:val="1"/>
      <w:marLeft w:val="0"/>
      <w:marRight w:val="0"/>
      <w:marTop w:val="0"/>
      <w:marBottom w:val="0"/>
      <w:divBdr>
        <w:top w:val="none" w:sz="0" w:space="0" w:color="auto"/>
        <w:left w:val="none" w:sz="0" w:space="0" w:color="auto"/>
        <w:bottom w:val="none" w:sz="0" w:space="0" w:color="auto"/>
        <w:right w:val="none" w:sz="0" w:space="0" w:color="auto"/>
      </w:divBdr>
    </w:div>
    <w:div w:id="861817963">
      <w:bodyDiv w:val="1"/>
      <w:marLeft w:val="0"/>
      <w:marRight w:val="0"/>
      <w:marTop w:val="0"/>
      <w:marBottom w:val="0"/>
      <w:divBdr>
        <w:top w:val="none" w:sz="0" w:space="0" w:color="auto"/>
        <w:left w:val="none" w:sz="0" w:space="0" w:color="auto"/>
        <w:bottom w:val="none" w:sz="0" w:space="0" w:color="auto"/>
        <w:right w:val="none" w:sz="0" w:space="0" w:color="auto"/>
      </w:divBdr>
    </w:div>
    <w:div w:id="861936104">
      <w:bodyDiv w:val="1"/>
      <w:marLeft w:val="0"/>
      <w:marRight w:val="0"/>
      <w:marTop w:val="0"/>
      <w:marBottom w:val="0"/>
      <w:divBdr>
        <w:top w:val="none" w:sz="0" w:space="0" w:color="auto"/>
        <w:left w:val="none" w:sz="0" w:space="0" w:color="auto"/>
        <w:bottom w:val="none" w:sz="0" w:space="0" w:color="auto"/>
        <w:right w:val="none" w:sz="0" w:space="0" w:color="auto"/>
      </w:divBdr>
    </w:div>
    <w:div w:id="862060711">
      <w:bodyDiv w:val="1"/>
      <w:marLeft w:val="0"/>
      <w:marRight w:val="0"/>
      <w:marTop w:val="0"/>
      <w:marBottom w:val="0"/>
      <w:divBdr>
        <w:top w:val="none" w:sz="0" w:space="0" w:color="auto"/>
        <w:left w:val="none" w:sz="0" w:space="0" w:color="auto"/>
        <w:bottom w:val="none" w:sz="0" w:space="0" w:color="auto"/>
        <w:right w:val="none" w:sz="0" w:space="0" w:color="auto"/>
      </w:divBdr>
    </w:div>
    <w:div w:id="864250355">
      <w:bodyDiv w:val="1"/>
      <w:marLeft w:val="0"/>
      <w:marRight w:val="0"/>
      <w:marTop w:val="0"/>
      <w:marBottom w:val="0"/>
      <w:divBdr>
        <w:top w:val="none" w:sz="0" w:space="0" w:color="auto"/>
        <w:left w:val="none" w:sz="0" w:space="0" w:color="auto"/>
        <w:bottom w:val="none" w:sz="0" w:space="0" w:color="auto"/>
        <w:right w:val="none" w:sz="0" w:space="0" w:color="auto"/>
      </w:divBdr>
    </w:div>
    <w:div w:id="865169414">
      <w:bodyDiv w:val="1"/>
      <w:marLeft w:val="0"/>
      <w:marRight w:val="0"/>
      <w:marTop w:val="0"/>
      <w:marBottom w:val="0"/>
      <w:divBdr>
        <w:top w:val="none" w:sz="0" w:space="0" w:color="auto"/>
        <w:left w:val="none" w:sz="0" w:space="0" w:color="auto"/>
        <w:bottom w:val="none" w:sz="0" w:space="0" w:color="auto"/>
        <w:right w:val="none" w:sz="0" w:space="0" w:color="auto"/>
      </w:divBdr>
    </w:div>
    <w:div w:id="865213963">
      <w:bodyDiv w:val="1"/>
      <w:marLeft w:val="0"/>
      <w:marRight w:val="0"/>
      <w:marTop w:val="0"/>
      <w:marBottom w:val="0"/>
      <w:divBdr>
        <w:top w:val="none" w:sz="0" w:space="0" w:color="auto"/>
        <w:left w:val="none" w:sz="0" w:space="0" w:color="auto"/>
        <w:bottom w:val="none" w:sz="0" w:space="0" w:color="auto"/>
        <w:right w:val="none" w:sz="0" w:space="0" w:color="auto"/>
      </w:divBdr>
    </w:div>
    <w:div w:id="865800180">
      <w:bodyDiv w:val="1"/>
      <w:marLeft w:val="0"/>
      <w:marRight w:val="0"/>
      <w:marTop w:val="0"/>
      <w:marBottom w:val="0"/>
      <w:divBdr>
        <w:top w:val="none" w:sz="0" w:space="0" w:color="auto"/>
        <w:left w:val="none" w:sz="0" w:space="0" w:color="auto"/>
        <w:bottom w:val="none" w:sz="0" w:space="0" w:color="auto"/>
        <w:right w:val="none" w:sz="0" w:space="0" w:color="auto"/>
      </w:divBdr>
    </w:div>
    <w:div w:id="866602030">
      <w:bodyDiv w:val="1"/>
      <w:marLeft w:val="0"/>
      <w:marRight w:val="0"/>
      <w:marTop w:val="0"/>
      <w:marBottom w:val="0"/>
      <w:divBdr>
        <w:top w:val="none" w:sz="0" w:space="0" w:color="auto"/>
        <w:left w:val="none" w:sz="0" w:space="0" w:color="auto"/>
        <w:bottom w:val="none" w:sz="0" w:space="0" w:color="auto"/>
        <w:right w:val="none" w:sz="0" w:space="0" w:color="auto"/>
      </w:divBdr>
    </w:div>
    <w:div w:id="866866216">
      <w:bodyDiv w:val="1"/>
      <w:marLeft w:val="0"/>
      <w:marRight w:val="0"/>
      <w:marTop w:val="0"/>
      <w:marBottom w:val="0"/>
      <w:divBdr>
        <w:top w:val="none" w:sz="0" w:space="0" w:color="auto"/>
        <w:left w:val="none" w:sz="0" w:space="0" w:color="auto"/>
        <w:bottom w:val="none" w:sz="0" w:space="0" w:color="auto"/>
        <w:right w:val="none" w:sz="0" w:space="0" w:color="auto"/>
      </w:divBdr>
    </w:div>
    <w:div w:id="868225302">
      <w:bodyDiv w:val="1"/>
      <w:marLeft w:val="0"/>
      <w:marRight w:val="0"/>
      <w:marTop w:val="0"/>
      <w:marBottom w:val="0"/>
      <w:divBdr>
        <w:top w:val="none" w:sz="0" w:space="0" w:color="auto"/>
        <w:left w:val="none" w:sz="0" w:space="0" w:color="auto"/>
        <w:bottom w:val="none" w:sz="0" w:space="0" w:color="auto"/>
        <w:right w:val="none" w:sz="0" w:space="0" w:color="auto"/>
      </w:divBdr>
    </w:div>
    <w:div w:id="868760365">
      <w:bodyDiv w:val="1"/>
      <w:marLeft w:val="0"/>
      <w:marRight w:val="0"/>
      <w:marTop w:val="0"/>
      <w:marBottom w:val="0"/>
      <w:divBdr>
        <w:top w:val="none" w:sz="0" w:space="0" w:color="auto"/>
        <w:left w:val="none" w:sz="0" w:space="0" w:color="auto"/>
        <w:bottom w:val="none" w:sz="0" w:space="0" w:color="auto"/>
        <w:right w:val="none" w:sz="0" w:space="0" w:color="auto"/>
      </w:divBdr>
    </w:div>
    <w:div w:id="871000084">
      <w:bodyDiv w:val="1"/>
      <w:marLeft w:val="0"/>
      <w:marRight w:val="0"/>
      <w:marTop w:val="0"/>
      <w:marBottom w:val="0"/>
      <w:divBdr>
        <w:top w:val="none" w:sz="0" w:space="0" w:color="auto"/>
        <w:left w:val="none" w:sz="0" w:space="0" w:color="auto"/>
        <w:bottom w:val="none" w:sz="0" w:space="0" w:color="auto"/>
        <w:right w:val="none" w:sz="0" w:space="0" w:color="auto"/>
      </w:divBdr>
    </w:div>
    <w:div w:id="871185576">
      <w:bodyDiv w:val="1"/>
      <w:marLeft w:val="0"/>
      <w:marRight w:val="0"/>
      <w:marTop w:val="0"/>
      <w:marBottom w:val="0"/>
      <w:divBdr>
        <w:top w:val="none" w:sz="0" w:space="0" w:color="auto"/>
        <w:left w:val="none" w:sz="0" w:space="0" w:color="auto"/>
        <w:bottom w:val="none" w:sz="0" w:space="0" w:color="auto"/>
        <w:right w:val="none" w:sz="0" w:space="0" w:color="auto"/>
      </w:divBdr>
    </w:div>
    <w:div w:id="872574277">
      <w:bodyDiv w:val="1"/>
      <w:marLeft w:val="0"/>
      <w:marRight w:val="0"/>
      <w:marTop w:val="0"/>
      <w:marBottom w:val="0"/>
      <w:divBdr>
        <w:top w:val="none" w:sz="0" w:space="0" w:color="auto"/>
        <w:left w:val="none" w:sz="0" w:space="0" w:color="auto"/>
        <w:bottom w:val="none" w:sz="0" w:space="0" w:color="auto"/>
        <w:right w:val="none" w:sz="0" w:space="0" w:color="auto"/>
      </w:divBdr>
    </w:div>
    <w:div w:id="873468993">
      <w:bodyDiv w:val="1"/>
      <w:marLeft w:val="0"/>
      <w:marRight w:val="0"/>
      <w:marTop w:val="0"/>
      <w:marBottom w:val="0"/>
      <w:divBdr>
        <w:top w:val="none" w:sz="0" w:space="0" w:color="auto"/>
        <w:left w:val="none" w:sz="0" w:space="0" w:color="auto"/>
        <w:bottom w:val="none" w:sz="0" w:space="0" w:color="auto"/>
        <w:right w:val="none" w:sz="0" w:space="0" w:color="auto"/>
      </w:divBdr>
    </w:div>
    <w:div w:id="873932224">
      <w:bodyDiv w:val="1"/>
      <w:marLeft w:val="0"/>
      <w:marRight w:val="0"/>
      <w:marTop w:val="0"/>
      <w:marBottom w:val="0"/>
      <w:divBdr>
        <w:top w:val="none" w:sz="0" w:space="0" w:color="auto"/>
        <w:left w:val="none" w:sz="0" w:space="0" w:color="auto"/>
        <w:bottom w:val="none" w:sz="0" w:space="0" w:color="auto"/>
        <w:right w:val="none" w:sz="0" w:space="0" w:color="auto"/>
      </w:divBdr>
    </w:div>
    <w:div w:id="874001858">
      <w:bodyDiv w:val="1"/>
      <w:marLeft w:val="0"/>
      <w:marRight w:val="0"/>
      <w:marTop w:val="0"/>
      <w:marBottom w:val="0"/>
      <w:divBdr>
        <w:top w:val="none" w:sz="0" w:space="0" w:color="auto"/>
        <w:left w:val="none" w:sz="0" w:space="0" w:color="auto"/>
        <w:bottom w:val="none" w:sz="0" w:space="0" w:color="auto"/>
        <w:right w:val="none" w:sz="0" w:space="0" w:color="auto"/>
      </w:divBdr>
    </w:div>
    <w:div w:id="874077150">
      <w:bodyDiv w:val="1"/>
      <w:marLeft w:val="0"/>
      <w:marRight w:val="0"/>
      <w:marTop w:val="0"/>
      <w:marBottom w:val="0"/>
      <w:divBdr>
        <w:top w:val="none" w:sz="0" w:space="0" w:color="auto"/>
        <w:left w:val="none" w:sz="0" w:space="0" w:color="auto"/>
        <w:bottom w:val="none" w:sz="0" w:space="0" w:color="auto"/>
        <w:right w:val="none" w:sz="0" w:space="0" w:color="auto"/>
      </w:divBdr>
    </w:div>
    <w:div w:id="874148963">
      <w:bodyDiv w:val="1"/>
      <w:marLeft w:val="0"/>
      <w:marRight w:val="0"/>
      <w:marTop w:val="0"/>
      <w:marBottom w:val="0"/>
      <w:divBdr>
        <w:top w:val="none" w:sz="0" w:space="0" w:color="auto"/>
        <w:left w:val="none" w:sz="0" w:space="0" w:color="auto"/>
        <w:bottom w:val="none" w:sz="0" w:space="0" w:color="auto"/>
        <w:right w:val="none" w:sz="0" w:space="0" w:color="auto"/>
      </w:divBdr>
    </w:div>
    <w:div w:id="874461525">
      <w:bodyDiv w:val="1"/>
      <w:marLeft w:val="0"/>
      <w:marRight w:val="0"/>
      <w:marTop w:val="0"/>
      <w:marBottom w:val="0"/>
      <w:divBdr>
        <w:top w:val="none" w:sz="0" w:space="0" w:color="auto"/>
        <w:left w:val="none" w:sz="0" w:space="0" w:color="auto"/>
        <w:bottom w:val="none" w:sz="0" w:space="0" w:color="auto"/>
        <w:right w:val="none" w:sz="0" w:space="0" w:color="auto"/>
      </w:divBdr>
    </w:div>
    <w:div w:id="875386685">
      <w:bodyDiv w:val="1"/>
      <w:marLeft w:val="0"/>
      <w:marRight w:val="0"/>
      <w:marTop w:val="0"/>
      <w:marBottom w:val="0"/>
      <w:divBdr>
        <w:top w:val="none" w:sz="0" w:space="0" w:color="auto"/>
        <w:left w:val="none" w:sz="0" w:space="0" w:color="auto"/>
        <w:bottom w:val="none" w:sz="0" w:space="0" w:color="auto"/>
        <w:right w:val="none" w:sz="0" w:space="0" w:color="auto"/>
      </w:divBdr>
    </w:div>
    <w:div w:id="876966676">
      <w:bodyDiv w:val="1"/>
      <w:marLeft w:val="0"/>
      <w:marRight w:val="0"/>
      <w:marTop w:val="0"/>
      <w:marBottom w:val="0"/>
      <w:divBdr>
        <w:top w:val="none" w:sz="0" w:space="0" w:color="auto"/>
        <w:left w:val="none" w:sz="0" w:space="0" w:color="auto"/>
        <w:bottom w:val="none" w:sz="0" w:space="0" w:color="auto"/>
        <w:right w:val="none" w:sz="0" w:space="0" w:color="auto"/>
      </w:divBdr>
    </w:div>
    <w:div w:id="877594972">
      <w:bodyDiv w:val="1"/>
      <w:marLeft w:val="0"/>
      <w:marRight w:val="0"/>
      <w:marTop w:val="0"/>
      <w:marBottom w:val="0"/>
      <w:divBdr>
        <w:top w:val="none" w:sz="0" w:space="0" w:color="auto"/>
        <w:left w:val="none" w:sz="0" w:space="0" w:color="auto"/>
        <w:bottom w:val="none" w:sz="0" w:space="0" w:color="auto"/>
        <w:right w:val="none" w:sz="0" w:space="0" w:color="auto"/>
      </w:divBdr>
    </w:div>
    <w:div w:id="878320469">
      <w:bodyDiv w:val="1"/>
      <w:marLeft w:val="0"/>
      <w:marRight w:val="0"/>
      <w:marTop w:val="0"/>
      <w:marBottom w:val="0"/>
      <w:divBdr>
        <w:top w:val="none" w:sz="0" w:space="0" w:color="auto"/>
        <w:left w:val="none" w:sz="0" w:space="0" w:color="auto"/>
        <w:bottom w:val="none" w:sz="0" w:space="0" w:color="auto"/>
        <w:right w:val="none" w:sz="0" w:space="0" w:color="auto"/>
      </w:divBdr>
    </w:div>
    <w:div w:id="879127232">
      <w:bodyDiv w:val="1"/>
      <w:marLeft w:val="0"/>
      <w:marRight w:val="0"/>
      <w:marTop w:val="0"/>
      <w:marBottom w:val="0"/>
      <w:divBdr>
        <w:top w:val="none" w:sz="0" w:space="0" w:color="auto"/>
        <w:left w:val="none" w:sz="0" w:space="0" w:color="auto"/>
        <w:bottom w:val="none" w:sz="0" w:space="0" w:color="auto"/>
        <w:right w:val="none" w:sz="0" w:space="0" w:color="auto"/>
      </w:divBdr>
    </w:div>
    <w:div w:id="880285182">
      <w:bodyDiv w:val="1"/>
      <w:marLeft w:val="0"/>
      <w:marRight w:val="0"/>
      <w:marTop w:val="0"/>
      <w:marBottom w:val="0"/>
      <w:divBdr>
        <w:top w:val="none" w:sz="0" w:space="0" w:color="auto"/>
        <w:left w:val="none" w:sz="0" w:space="0" w:color="auto"/>
        <w:bottom w:val="none" w:sz="0" w:space="0" w:color="auto"/>
        <w:right w:val="none" w:sz="0" w:space="0" w:color="auto"/>
      </w:divBdr>
    </w:div>
    <w:div w:id="880288812">
      <w:bodyDiv w:val="1"/>
      <w:marLeft w:val="0"/>
      <w:marRight w:val="0"/>
      <w:marTop w:val="0"/>
      <w:marBottom w:val="0"/>
      <w:divBdr>
        <w:top w:val="none" w:sz="0" w:space="0" w:color="auto"/>
        <w:left w:val="none" w:sz="0" w:space="0" w:color="auto"/>
        <w:bottom w:val="none" w:sz="0" w:space="0" w:color="auto"/>
        <w:right w:val="none" w:sz="0" w:space="0" w:color="auto"/>
      </w:divBdr>
    </w:div>
    <w:div w:id="880554213">
      <w:bodyDiv w:val="1"/>
      <w:marLeft w:val="0"/>
      <w:marRight w:val="0"/>
      <w:marTop w:val="0"/>
      <w:marBottom w:val="0"/>
      <w:divBdr>
        <w:top w:val="none" w:sz="0" w:space="0" w:color="auto"/>
        <w:left w:val="none" w:sz="0" w:space="0" w:color="auto"/>
        <w:bottom w:val="none" w:sz="0" w:space="0" w:color="auto"/>
        <w:right w:val="none" w:sz="0" w:space="0" w:color="auto"/>
      </w:divBdr>
    </w:div>
    <w:div w:id="881136190">
      <w:bodyDiv w:val="1"/>
      <w:marLeft w:val="0"/>
      <w:marRight w:val="0"/>
      <w:marTop w:val="0"/>
      <w:marBottom w:val="0"/>
      <w:divBdr>
        <w:top w:val="none" w:sz="0" w:space="0" w:color="auto"/>
        <w:left w:val="none" w:sz="0" w:space="0" w:color="auto"/>
        <w:bottom w:val="none" w:sz="0" w:space="0" w:color="auto"/>
        <w:right w:val="none" w:sz="0" w:space="0" w:color="auto"/>
      </w:divBdr>
    </w:div>
    <w:div w:id="881138178">
      <w:bodyDiv w:val="1"/>
      <w:marLeft w:val="0"/>
      <w:marRight w:val="0"/>
      <w:marTop w:val="0"/>
      <w:marBottom w:val="0"/>
      <w:divBdr>
        <w:top w:val="none" w:sz="0" w:space="0" w:color="auto"/>
        <w:left w:val="none" w:sz="0" w:space="0" w:color="auto"/>
        <w:bottom w:val="none" w:sz="0" w:space="0" w:color="auto"/>
        <w:right w:val="none" w:sz="0" w:space="0" w:color="auto"/>
      </w:divBdr>
    </w:div>
    <w:div w:id="882133657">
      <w:bodyDiv w:val="1"/>
      <w:marLeft w:val="0"/>
      <w:marRight w:val="0"/>
      <w:marTop w:val="0"/>
      <w:marBottom w:val="0"/>
      <w:divBdr>
        <w:top w:val="none" w:sz="0" w:space="0" w:color="auto"/>
        <w:left w:val="none" w:sz="0" w:space="0" w:color="auto"/>
        <w:bottom w:val="none" w:sz="0" w:space="0" w:color="auto"/>
        <w:right w:val="none" w:sz="0" w:space="0" w:color="auto"/>
      </w:divBdr>
    </w:div>
    <w:div w:id="882713063">
      <w:bodyDiv w:val="1"/>
      <w:marLeft w:val="0"/>
      <w:marRight w:val="0"/>
      <w:marTop w:val="0"/>
      <w:marBottom w:val="0"/>
      <w:divBdr>
        <w:top w:val="none" w:sz="0" w:space="0" w:color="auto"/>
        <w:left w:val="none" w:sz="0" w:space="0" w:color="auto"/>
        <w:bottom w:val="none" w:sz="0" w:space="0" w:color="auto"/>
        <w:right w:val="none" w:sz="0" w:space="0" w:color="auto"/>
      </w:divBdr>
    </w:div>
    <w:div w:id="883176472">
      <w:bodyDiv w:val="1"/>
      <w:marLeft w:val="0"/>
      <w:marRight w:val="0"/>
      <w:marTop w:val="0"/>
      <w:marBottom w:val="0"/>
      <w:divBdr>
        <w:top w:val="none" w:sz="0" w:space="0" w:color="auto"/>
        <w:left w:val="none" w:sz="0" w:space="0" w:color="auto"/>
        <w:bottom w:val="none" w:sz="0" w:space="0" w:color="auto"/>
        <w:right w:val="none" w:sz="0" w:space="0" w:color="auto"/>
      </w:divBdr>
    </w:div>
    <w:div w:id="885147515">
      <w:bodyDiv w:val="1"/>
      <w:marLeft w:val="0"/>
      <w:marRight w:val="0"/>
      <w:marTop w:val="0"/>
      <w:marBottom w:val="0"/>
      <w:divBdr>
        <w:top w:val="none" w:sz="0" w:space="0" w:color="auto"/>
        <w:left w:val="none" w:sz="0" w:space="0" w:color="auto"/>
        <w:bottom w:val="none" w:sz="0" w:space="0" w:color="auto"/>
        <w:right w:val="none" w:sz="0" w:space="0" w:color="auto"/>
      </w:divBdr>
    </w:div>
    <w:div w:id="885410692">
      <w:bodyDiv w:val="1"/>
      <w:marLeft w:val="0"/>
      <w:marRight w:val="0"/>
      <w:marTop w:val="0"/>
      <w:marBottom w:val="0"/>
      <w:divBdr>
        <w:top w:val="none" w:sz="0" w:space="0" w:color="auto"/>
        <w:left w:val="none" w:sz="0" w:space="0" w:color="auto"/>
        <w:bottom w:val="none" w:sz="0" w:space="0" w:color="auto"/>
        <w:right w:val="none" w:sz="0" w:space="0" w:color="auto"/>
      </w:divBdr>
    </w:div>
    <w:div w:id="885677683">
      <w:bodyDiv w:val="1"/>
      <w:marLeft w:val="0"/>
      <w:marRight w:val="0"/>
      <w:marTop w:val="0"/>
      <w:marBottom w:val="0"/>
      <w:divBdr>
        <w:top w:val="none" w:sz="0" w:space="0" w:color="auto"/>
        <w:left w:val="none" w:sz="0" w:space="0" w:color="auto"/>
        <w:bottom w:val="none" w:sz="0" w:space="0" w:color="auto"/>
        <w:right w:val="none" w:sz="0" w:space="0" w:color="auto"/>
      </w:divBdr>
    </w:div>
    <w:div w:id="886260749">
      <w:bodyDiv w:val="1"/>
      <w:marLeft w:val="0"/>
      <w:marRight w:val="0"/>
      <w:marTop w:val="0"/>
      <w:marBottom w:val="0"/>
      <w:divBdr>
        <w:top w:val="none" w:sz="0" w:space="0" w:color="auto"/>
        <w:left w:val="none" w:sz="0" w:space="0" w:color="auto"/>
        <w:bottom w:val="none" w:sz="0" w:space="0" w:color="auto"/>
        <w:right w:val="none" w:sz="0" w:space="0" w:color="auto"/>
      </w:divBdr>
    </w:div>
    <w:div w:id="886264756">
      <w:bodyDiv w:val="1"/>
      <w:marLeft w:val="0"/>
      <w:marRight w:val="0"/>
      <w:marTop w:val="0"/>
      <w:marBottom w:val="0"/>
      <w:divBdr>
        <w:top w:val="none" w:sz="0" w:space="0" w:color="auto"/>
        <w:left w:val="none" w:sz="0" w:space="0" w:color="auto"/>
        <w:bottom w:val="none" w:sz="0" w:space="0" w:color="auto"/>
        <w:right w:val="none" w:sz="0" w:space="0" w:color="auto"/>
      </w:divBdr>
    </w:div>
    <w:div w:id="886720254">
      <w:bodyDiv w:val="1"/>
      <w:marLeft w:val="0"/>
      <w:marRight w:val="0"/>
      <w:marTop w:val="0"/>
      <w:marBottom w:val="0"/>
      <w:divBdr>
        <w:top w:val="none" w:sz="0" w:space="0" w:color="auto"/>
        <w:left w:val="none" w:sz="0" w:space="0" w:color="auto"/>
        <w:bottom w:val="none" w:sz="0" w:space="0" w:color="auto"/>
        <w:right w:val="none" w:sz="0" w:space="0" w:color="auto"/>
      </w:divBdr>
    </w:div>
    <w:div w:id="887299008">
      <w:bodyDiv w:val="1"/>
      <w:marLeft w:val="0"/>
      <w:marRight w:val="0"/>
      <w:marTop w:val="0"/>
      <w:marBottom w:val="0"/>
      <w:divBdr>
        <w:top w:val="none" w:sz="0" w:space="0" w:color="auto"/>
        <w:left w:val="none" w:sz="0" w:space="0" w:color="auto"/>
        <w:bottom w:val="none" w:sz="0" w:space="0" w:color="auto"/>
        <w:right w:val="none" w:sz="0" w:space="0" w:color="auto"/>
      </w:divBdr>
    </w:div>
    <w:div w:id="887687775">
      <w:bodyDiv w:val="1"/>
      <w:marLeft w:val="0"/>
      <w:marRight w:val="0"/>
      <w:marTop w:val="0"/>
      <w:marBottom w:val="0"/>
      <w:divBdr>
        <w:top w:val="none" w:sz="0" w:space="0" w:color="auto"/>
        <w:left w:val="none" w:sz="0" w:space="0" w:color="auto"/>
        <w:bottom w:val="none" w:sz="0" w:space="0" w:color="auto"/>
        <w:right w:val="none" w:sz="0" w:space="0" w:color="auto"/>
      </w:divBdr>
    </w:div>
    <w:div w:id="888150899">
      <w:bodyDiv w:val="1"/>
      <w:marLeft w:val="0"/>
      <w:marRight w:val="0"/>
      <w:marTop w:val="0"/>
      <w:marBottom w:val="0"/>
      <w:divBdr>
        <w:top w:val="none" w:sz="0" w:space="0" w:color="auto"/>
        <w:left w:val="none" w:sz="0" w:space="0" w:color="auto"/>
        <w:bottom w:val="none" w:sz="0" w:space="0" w:color="auto"/>
        <w:right w:val="none" w:sz="0" w:space="0" w:color="auto"/>
      </w:divBdr>
    </w:div>
    <w:div w:id="888611438">
      <w:bodyDiv w:val="1"/>
      <w:marLeft w:val="0"/>
      <w:marRight w:val="0"/>
      <w:marTop w:val="0"/>
      <w:marBottom w:val="0"/>
      <w:divBdr>
        <w:top w:val="none" w:sz="0" w:space="0" w:color="auto"/>
        <w:left w:val="none" w:sz="0" w:space="0" w:color="auto"/>
        <w:bottom w:val="none" w:sz="0" w:space="0" w:color="auto"/>
        <w:right w:val="none" w:sz="0" w:space="0" w:color="auto"/>
      </w:divBdr>
    </w:div>
    <w:div w:id="889077423">
      <w:bodyDiv w:val="1"/>
      <w:marLeft w:val="0"/>
      <w:marRight w:val="0"/>
      <w:marTop w:val="0"/>
      <w:marBottom w:val="0"/>
      <w:divBdr>
        <w:top w:val="none" w:sz="0" w:space="0" w:color="auto"/>
        <w:left w:val="none" w:sz="0" w:space="0" w:color="auto"/>
        <w:bottom w:val="none" w:sz="0" w:space="0" w:color="auto"/>
        <w:right w:val="none" w:sz="0" w:space="0" w:color="auto"/>
      </w:divBdr>
    </w:div>
    <w:div w:id="889803976">
      <w:bodyDiv w:val="1"/>
      <w:marLeft w:val="0"/>
      <w:marRight w:val="0"/>
      <w:marTop w:val="0"/>
      <w:marBottom w:val="0"/>
      <w:divBdr>
        <w:top w:val="none" w:sz="0" w:space="0" w:color="auto"/>
        <w:left w:val="none" w:sz="0" w:space="0" w:color="auto"/>
        <w:bottom w:val="none" w:sz="0" w:space="0" w:color="auto"/>
        <w:right w:val="none" w:sz="0" w:space="0" w:color="auto"/>
      </w:divBdr>
    </w:div>
    <w:div w:id="890002345">
      <w:bodyDiv w:val="1"/>
      <w:marLeft w:val="0"/>
      <w:marRight w:val="0"/>
      <w:marTop w:val="0"/>
      <w:marBottom w:val="0"/>
      <w:divBdr>
        <w:top w:val="none" w:sz="0" w:space="0" w:color="auto"/>
        <w:left w:val="none" w:sz="0" w:space="0" w:color="auto"/>
        <w:bottom w:val="none" w:sz="0" w:space="0" w:color="auto"/>
        <w:right w:val="none" w:sz="0" w:space="0" w:color="auto"/>
      </w:divBdr>
    </w:div>
    <w:div w:id="890188943">
      <w:bodyDiv w:val="1"/>
      <w:marLeft w:val="0"/>
      <w:marRight w:val="0"/>
      <w:marTop w:val="0"/>
      <w:marBottom w:val="0"/>
      <w:divBdr>
        <w:top w:val="none" w:sz="0" w:space="0" w:color="auto"/>
        <w:left w:val="none" w:sz="0" w:space="0" w:color="auto"/>
        <w:bottom w:val="none" w:sz="0" w:space="0" w:color="auto"/>
        <w:right w:val="none" w:sz="0" w:space="0" w:color="auto"/>
      </w:divBdr>
    </w:div>
    <w:div w:id="891187104">
      <w:bodyDiv w:val="1"/>
      <w:marLeft w:val="0"/>
      <w:marRight w:val="0"/>
      <w:marTop w:val="0"/>
      <w:marBottom w:val="0"/>
      <w:divBdr>
        <w:top w:val="none" w:sz="0" w:space="0" w:color="auto"/>
        <w:left w:val="none" w:sz="0" w:space="0" w:color="auto"/>
        <w:bottom w:val="none" w:sz="0" w:space="0" w:color="auto"/>
        <w:right w:val="none" w:sz="0" w:space="0" w:color="auto"/>
      </w:divBdr>
    </w:div>
    <w:div w:id="891387424">
      <w:bodyDiv w:val="1"/>
      <w:marLeft w:val="0"/>
      <w:marRight w:val="0"/>
      <w:marTop w:val="0"/>
      <w:marBottom w:val="0"/>
      <w:divBdr>
        <w:top w:val="none" w:sz="0" w:space="0" w:color="auto"/>
        <w:left w:val="none" w:sz="0" w:space="0" w:color="auto"/>
        <w:bottom w:val="none" w:sz="0" w:space="0" w:color="auto"/>
        <w:right w:val="none" w:sz="0" w:space="0" w:color="auto"/>
      </w:divBdr>
    </w:div>
    <w:div w:id="892086830">
      <w:bodyDiv w:val="1"/>
      <w:marLeft w:val="0"/>
      <w:marRight w:val="0"/>
      <w:marTop w:val="0"/>
      <w:marBottom w:val="0"/>
      <w:divBdr>
        <w:top w:val="none" w:sz="0" w:space="0" w:color="auto"/>
        <w:left w:val="none" w:sz="0" w:space="0" w:color="auto"/>
        <w:bottom w:val="none" w:sz="0" w:space="0" w:color="auto"/>
        <w:right w:val="none" w:sz="0" w:space="0" w:color="auto"/>
      </w:divBdr>
    </w:div>
    <w:div w:id="892154527">
      <w:bodyDiv w:val="1"/>
      <w:marLeft w:val="0"/>
      <w:marRight w:val="0"/>
      <w:marTop w:val="0"/>
      <w:marBottom w:val="0"/>
      <w:divBdr>
        <w:top w:val="none" w:sz="0" w:space="0" w:color="auto"/>
        <w:left w:val="none" w:sz="0" w:space="0" w:color="auto"/>
        <w:bottom w:val="none" w:sz="0" w:space="0" w:color="auto"/>
        <w:right w:val="none" w:sz="0" w:space="0" w:color="auto"/>
      </w:divBdr>
    </w:div>
    <w:div w:id="893151893">
      <w:bodyDiv w:val="1"/>
      <w:marLeft w:val="0"/>
      <w:marRight w:val="0"/>
      <w:marTop w:val="0"/>
      <w:marBottom w:val="0"/>
      <w:divBdr>
        <w:top w:val="none" w:sz="0" w:space="0" w:color="auto"/>
        <w:left w:val="none" w:sz="0" w:space="0" w:color="auto"/>
        <w:bottom w:val="none" w:sz="0" w:space="0" w:color="auto"/>
        <w:right w:val="none" w:sz="0" w:space="0" w:color="auto"/>
      </w:divBdr>
    </w:div>
    <w:div w:id="894856818">
      <w:bodyDiv w:val="1"/>
      <w:marLeft w:val="0"/>
      <w:marRight w:val="0"/>
      <w:marTop w:val="0"/>
      <w:marBottom w:val="0"/>
      <w:divBdr>
        <w:top w:val="none" w:sz="0" w:space="0" w:color="auto"/>
        <w:left w:val="none" w:sz="0" w:space="0" w:color="auto"/>
        <w:bottom w:val="none" w:sz="0" w:space="0" w:color="auto"/>
        <w:right w:val="none" w:sz="0" w:space="0" w:color="auto"/>
      </w:divBdr>
    </w:div>
    <w:div w:id="895971290">
      <w:bodyDiv w:val="1"/>
      <w:marLeft w:val="0"/>
      <w:marRight w:val="0"/>
      <w:marTop w:val="0"/>
      <w:marBottom w:val="0"/>
      <w:divBdr>
        <w:top w:val="none" w:sz="0" w:space="0" w:color="auto"/>
        <w:left w:val="none" w:sz="0" w:space="0" w:color="auto"/>
        <w:bottom w:val="none" w:sz="0" w:space="0" w:color="auto"/>
        <w:right w:val="none" w:sz="0" w:space="0" w:color="auto"/>
      </w:divBdr>
    </w:div>
    <w:div w:id="897400512">
      <w:bodyDiv w:val="1"/>
      <w:marLeft w:val="0"/>
      <w:marRight w:val="0"/>
      <w:marTop w:val="0"/>
      <w:marBottom w:val="0"/>
      <w:divBdr>
        <w:top w:val="none" w:sz="0" w:space="0" w:color="auto"/>
        <w:left w:val="none" w:sz="0" w:space="0" w:color="auto"/>
        <w:bottom w:val="none" w:sz="0" w:space="0" w:color="auto"/>
        <w:right w:val="none" w:sz="0" w:space="0" w:color="auto"/>
      </w:divBdr>
    </w:div>
    <w:div w:id="897472741">
      <w:bodyDiv w:val="1"/>
      <w:marLeft w:val="0"/>
      <w:marRight w:val="0"/>
      <w:marTop w:val="0"/>
      <w:marBottom w:val="0"/>
      <w:divBdr>
        <w:top w:val="none" w:sz="0" w:space="0" w:color="auto"/>
        <w:left w:val="none" w:sz="0" w:space="0" w:color="auto"/>
        <w:bottom w:val="none" w:sz="0" w:space="0" w:color="auto"/>
        <w:right w:val="none" w:sz="0" w:space="0" w:color="auto"/>
      </w:divBdr>
    </w:div>
    <w:div w:id="897781601">
      <w:bodyDiv w:val="1"/>
      <w:marLeft w:val="0"/>
      <w:marRight w:val="0"/>
      <w:marTop w:val="0"/>
      <w:marBottom w:val="0"/>
      <w:divBdr>
        <w:top w:val="none" w:sz="0" w:space="0" w:color="auto"/>
        <w:left w:val="none" w:sz="0" w:space="0" w:color="auto"/>
        <w:bottom w:val="none" w:sz="0" w:space="0" w:color="auto"/>
        <w:right w:val="none" w:sz="0" w:space="0" w:color="auto"/>
      </w:divBdr>
    </w:div>
    <w:div w:id="898128003">
      <w:bodyDiv w:val="1"/>
      <w:marLeft w:val="0"/>
      <w:marRight w:val="0"/>
      <w:marTop w:val="0"/>
      <w:marBottom w:val="0"/>
      <w:divBdr>
        <w:top w:val="none" w:sz="0" w:space="0" w:color="auto"/>
        <w:left w:val="none" w:sz="0" w:space="0" w:color="auto"/>
        <w:bottom w:val="none" w:sz="0" w:space="0" w:color="auto"/>
        <w:right w:val="none" w:sz="0" w:space="0" w:color="auto"/>
      </w:divBdr>
    </w:div>
    <w:div w:id="898250701">
      <w:bodyDiv w:val="1"/>
      <w:marLeft w:val="0"/>
      <w:marRight w:val="0"/>
      <w:marTop w:val="0"/>
      <w:marBottom w:val="0"/>
      <w:divBdr>
        <w:top w:val="none" w:sz="0" w:space="0" w:color="auto"/>
        <w:left w:val="none" w:sz="0" w:space="0" w:color="auto"/>
        <w:bottom w:val="none" w:sz="0" w:space="0" w:color="auto"/>
        <w:right w:val="none" w:sz="0" w:space="0" w:color="auto"/>
      </w:divBdr>
    </w:div>
    <w:div w:id="899169384">
      <w:bodyDiv w:val="1"/>
      <w:marLeft w:val="0"/>
      <w:marRight w:val="0"/>
      <w:marTop w:val="0"/>
      <w:marBottom w:val="0"/>
      <w:divBdr>
        <w:top w:val="none" w:sz="0" w:space="0" w:color="auto"/>
        <w:left w:val="none" w:sz="0" w:space="0" w:color="auto"/>
        <w:bottom w:val="none" w:sz="0" w:space="0" w:color="auto"/>
        <w:right w:val="none" w:sz="0" w:space="0" w:color="auto"/>
      </w:divBdr>
    </w:div>
    <w:div w:id="899175557">
      <w:bodyDiv w:val="1"/>
      <w:marLeft w:val="0"/>
      <w:marRight w:val="0"/>
      <w:marTop w:val="0"/>
      <w:marBottom w:val="0"/>
      <w:divBdr>
        <w:top w:val="none" w:sz="0" w:space="0" w:color="auto"/>
        <w:left w:val="none" w:sz="0" w:space="0" w:color="auto"/>
        <w:bottom w:val="none" w:sz="0" w:space="0" w:color="auto"/>
        <w:right w:val="none" w:sz="0" w:space="0" w:color="auto"/>
      </w:divBdr>
    </w:div>
    <w:div w:id="900141526">
      <w:bodyDiv w:val="1"/>
      <w:marLeft w:val="0"/>
      <w:marRight w:val="0"/>
      <w:marTop w:val="0"/>
      <w:marBottom w:val="0"/>
      <w:divBdr>
        <w:top w:val="none" w:sz="0" w:space="0" w:color="auto"/>
        <w:left w:val="none" w:sz="0" w:space="0" w:color="auto"/>
        <w:bottom w:val="none" w:sz="0" w:space="0" w:color="auto"/>
        <w:right w:val="none" w:sz="0" w:space="0" w:color="auto"/>
      </w:divBdr>
    </w:div>
    <w:div w:id="900600992">
      <w:bodyDiv w:val="1"/>
      <w:marLeft w:val="0"/>
      <w:marRight w:val="0"/>
      <w:marTop w:val="0"/>
      <w:marBottom w:val="0"/>
      <w:divBdr>
        <w:top w:val="none" w:sz="0" w:space="0" w:color="auto"/>
        <w:left w:val="none" w:sz="0" w:space="0" w:color="auto"/>
        <w:bottom w:val="none" w:sz="0" w:space="0" w:color="auto"/>
        <w:right w:val="none" w:sz="0" w:space="0" w:color="auto"/>
      </w:divBdr>
    </w:div>
    <w:div w:id="901408327">
      <w:bodyDiv w:val="1"/>
      <w:marLeft w:val="0"/>
      <w:marRight w:val="0"/>
      <w:marTop w:val="0"/>
      <w:marBottom w:val="0"/>
      <w:divBdr>
        <w:top w:val="none" w:sz="0" w:space="0" w:color="auto"/>
        <w:left w:val="none" w:sz="0" w:space="0" w:color="auto"/>
        <w:bottom w:val="none" w:sz="0" w:space="0" w:color="auto"/>
        <w:right w:val="none" w:sz="0" w:space="0" w:color="auto"/>
      </w:divBdr>
    </w:div>
    <w:div w:id="902447346">
      <w:bodyDiv w:val="1"/>
      <w:marLeft w:val="0"/>
      <w:marRight w:val="0"/>
      <w:marTop w:val="0"/>
      <w:marBottom w:val="0"/>
      <w:divBdr>
        <w:top w:val="none" w:sz="0" w:space="0" w:color="auto"/>
        <w:left w:val="none" w:sz="0" w:space="0" w:color="auto"/>
        <w:bottom w:val="none" w:sz="0" w:space="0" w:color="auto"/>
        <w:right w:val="none" w:sz="0" w:space="0" w:color="auto"/>
      </w:divBdr>
    </w:div>
    <w:div w:id="905140353">
      <w:bodyDiv w:val="1"/>
      <w:marLeft w:val="0"/>
      <w:marRight w:val="0"/>
      <w:marTop w:val="0"/>
      <w:marBottom w:val="0"/>
      <w:divBdr>
        <w:top w:val="none" w:sz="0" w:space="0" w:color="auto"/>
        <w:left w:val="none" w:sz="0" w:space="0" w:color="auto"/>
        <w:bottom w:val="none" w:sz="0" w:space="0" w:color="auto"/>
        <w:right w:val="none" w:sz="0" w:space="0" w:color="auto"/>
      </w:divBdr>
    </w:div>
    <w:div w:id="906962994">
      <w:bodyDiv w:val="1"/>
      <w:marLeft w:val="0"/>
      <w:marRight w:val="0"/>
      <w:marTop w:val="0"/>
      <w:marBottom w:val="0"/>
      <w:divBdr>
        <w:top w:val="none" w:sz="0" w:space="0" w:color="auto"/>
        <w:left w:val="none" w:sz="0" w:space="0" w:color="auto"/>
        <w:bottom w:val="none" w:sz="0" w:space="0" w:color="auto"/>
        <w:right w:val="none" w:sz="0" w:space="0" w:color="auto"/>
      </w:divBdr>
    </w:div>
    <w:div w:id="907959442">
      <w:bodyDiv w:val="1"/>
      <w:marLeft w:val="0"/>
      <w:marRight w:val="0"/>
      <w:marTop w:val="0"/>
      <w:marBottom w:val="0"/>
      <w:divBdr>
        <w:top w:val="none" w:sz="0" w:space="0" w:color="auto"/>
        <w:left w:val="none" w:sz="0" w:space="0" w:color="auto"/>
        <w:bottom w:val="none" w:sz="0" w:space="0" w:color="auto"/>
        <w:right w:val="none" w:sz="0" w:space="0" w:color="auto"/>
      </w:divBdr>
    </w:div>
    <w:div w:id="908542000">
      <w:bodyDiv w:val="1"/>
      <w:marLeft w:val="0"/>
      <w:marRight w:val="0"/>
      <w:marTop w:val="0"/>
      <w:marBottom w:val="0"/>
      <w:divBdr>
        <w:top w:val="none" w:sz="0" w:space="0" w:color="auto"/>
        <w:left w:val="none" w:sz="0" w:space="0" w:color="auto"/>
        <w:bottom w:val="none" w:sz="0" w:space="0" w:color="auto"/>
        <w:right w:val="none" w:sz="0" w:space="0" w:color="auto"/>
      </w:divBdr>
    </w:div>
    <w:div w:id="909847067">
      <w:bodyDiv w:val="1"/>
      <w:marLeft w:val="0"/>
      <w:marRight w:val="0"/>
      <w:marTop w:val="0"/>
      <w:marBottom w:val="0"/>
      <w:divBdr>
        <w:top w:val="none" w:sz="0" w:space="0" w:color="auto"/>
        <w:left w:val="none" w:sz="0" w:space="0" w:color="auto"/>
        <w:bottom w:val="none" w:sz="0" w:space="0" w:color="auto"/>
        <w:right w:val="none" w:sz="0" w:space="0" w:color="auto"/>
      </w:divBdr>
    </w:div>
    <w:div w:id="910193369">
      <w:bodyDiv w:val="1"/>
      <w:marLeft w:val="0"/>
      <w:marRight w:val="0"/>
      <w:marTop w:val="0"/>
      <w:marBottom w:val="0"/>
      <w:divBdr>
        <w:top w:val="none" w:sz="0" w:space="0" w:color="auto"/>
        <w:left w:val="none" w:sz="0" w:space="0" w:color="auto"/>
        <w:bottom w:val="none" w:sz="0" w:space="0" w:color="auto"/>
        <w:right w:val="none" w:sz="0" w:space="0" w:color="auto"/>
      </w:divBdr>
    </w:div>
    <w:div w:id="910431804">
      <w:bodyDiv w:val="1"/>
      <w:marLeft w:val="0"/>
      <w:marRight w:val="0"/>
      <w:marTop w:val="0"/>
      <w:marBottom w:val="0"/>
      <w:divBdr>
        <w:top w:val="none" w:sz="0" w:space="0" w:color="auto"/>
        <w:left w:val="none" w:sz="0" w:space="0" w:color="auto"/>
        <w:bottom w:val="none" w:sz="0" w:space="0" w:color="auto"/>
        <w:right w:val="none" w:sz="0" w:space="0" w:color="auto"/>
      </w:divBdr>
    </w:div>
    <w:div w:id="911234097">
      <w:bodyDiv w:val="1"/>
      <w:marLeft w:val="0"/>
      <w:marRight w:val="0"/>
      <w:marTop w:val="0"/>
      <w:marBottom w:val="0"/>
      <w:divBdr>
        <w:top w:val="none" w:sz="0" w:space="0" w:color="auto"/>
        <w:left w:val="none" w:sz="0" w:space="0" w:color="auto"/>
        <w:bottom w:val="none" w:sz="0" w:space="0" w:color="auto"/>
        <w:right w:val="none" w:sz="0" w:space="0" w:color="auto"/>
      </w:divBdr>
    </w:div>
    <w:div w:id="912546082">
      <w:bodyDiv w:val="1"/>
      <w:marLeft w:val="0"/>
      <w:marRight w:val="0"/>
      <w:marTop w:val="0"/>
      <w:marBottom w:val="0"/>
      <w:divBdr>
        <w:top w:val="none" w:sz="0" w:space="0" w:color="auto"/>
        <w:left w:val="none" w:sz="0" w:space="0" w:color="auto"/>
        <w:bottom w:val="none" w:sz="0" w:space="0" w:color="auto"/>
        <w:right w:val="none" w:sz="0" w:space="0" w:color="auto"/>
      </w:divBdr>
    </w:div>
    <w:div w:id="913203156">
      <w:bodyDiv w:val="1"/>
      <w:marLeft w:val="0"/>
      <w:marRight w:val="0"/>
      <w:marTop w:val="0"/>
      <w:marBottom w:val="0"/>
      <w:divBdr>
        <w:top w:val="none" w:sz="0" w:space="0" w:color="auto"/>
        <w:left w:val="none" w:sz="0" w:space="0" w:color="auto"/>
        <w:bottom w:val="none" w:sz="0" w:space="0" w:color="auto"/>
        <w:right w:val="none" w:sz="0" w:space="0" w:color="auto"/>
      </w:divBdr>
    </w:div>
    <w:div w:id="913394224">
      <w:bodyDiv w:val="1"/>
      <w:marLeft w:val="0"/>
      <w:marRight w:val="0"/>
      <w:marTop w:val="0"/>
      <w:marBottom w:val="0"/>
      <w:divBdr>
        <w:top w:val="none" w:sz="0" w:space="0" w:color="auto"/>
        <w:left w:val="none" w:sz="0" w:space="0" w:color="auto"/>
        <w:bottom w:val="none" w:sz="0" w:space="0" w:color="auto"/>
        <w:right w:val="none" w:sz="0" w:space="0" w:color="auto"/>
      </w:divBdr>
    </w:div>
    <w:div w:id="915166170">
      <w:bodyDiv w:val="1"/>
      <w:marLeft w:val="0"/>
      <w:marRight w:val="0"/>
      <w:marTop w:val="0"/>
      <w:marBottom w:val="0"/>
      <w:divBdr>
        <w:top w:val="none" w:sz="0" w:space="0" w:color="auto"/>
        <w:left w:val="none" w:sz="0" w:space="0" w:color="auto"/>
        <w:bottom w:val="none" w:sz="0" w:space="0" w:color="auto"/>
        <w:right w:val="none" w:sz="0" w:space="0" w:color="auto"/>
      </w:divBdr>
    </w:div>
    <w:div w:id="915357050">
      <w:bodyDiv w:val="1"/>
      <w:marLeft w:val="0"/>
      <w:marRight w:val="0"/>
      <w:marTop w:val="0"/>
      <w:marBottom w:val="0"/>
      <w:divBdr>
        <w:top w:val="none" w:sz="0" w:space="0" w:color="auto"/>
        <w:left w:val="none" w:sz="0" w:space="0" w:color="auto"/>
        <w:bottom w:val="none" w:sz="0" w:space="0" w:color="auto"/>
        <w:right w:val="none" w:sz="0" w:space="0" w:color="auto"/>
      </w:divBdr>
    </w:div>
    <w:div w:id="916208152">
      <w:bodyDiv w:val="1"/>
      <w:marLeft w:val="0"/>
      <w:marRight w:val="0"/>
      <w:marTop w:val="0"/>
      <w:marBottom w:val="0"/>
      <w:divBdr>
        <w:top w:val="none" w:sz="0" w:space="0" w:color="auto"/>
        <w:left w:val="none" w:sz="0" w:space="0" w:color="auto"/>
        <w:bottom w:val="none" w:sz="0" w:space="0" w:color="auto"/>
        <w:right w:val="none" w:sz="0" w:space="0" w:color="auto"/>
      </w:divBdr>
    </w:div>
    <w:div w:id="918055020">
      <w:bodyDiv w:val="1"/>
      <w:marLeft w:val="0"/>
      <w:marRight w:val="0"/>
      <w:marTop w:val="0"/>
      <w:marBottom w:val="0"/>
      <w:divBdr>
        <w:top w:val="none" w:sz="0" w:space="0" w:color="auto"/>
        <w:left w:val="none" w:sz="0" w:space="0" w:color="auto"/>
        <w:bottom w:val="none" w:sz="0" w:space="0" w:color="auto"/>
        <w:right w:val="none" w:sz="0" w:space="0" w:color="auto"/>
      </w:divBdr>
    </w:div>
    <w:div w:id="919022509">
      <w:bodyDiv w:val="1"/>
      <w:marLeft w:val="0"/>
      <w:marRight w:val="0"/>
      <w:marTop w:val="0"/>
      <w:marBottom w:val="0"/>
      <w:divBdr>
        <w:top w:val="none" w:sz="0" w:space="0" w:color="auto"/>
        <w:left w:val="none" w:sz="0" w:space="0" w:color="auto"/>
        <w:bottom w:val="none" w:sz="0" w:space="0" w:color="auto"/>
        <w:right w:val="none" w:sz="0" w:space="0" w:color="auto"/>
      </w:divBdr>
    </w:div>
    <w:div w:id="919366825">
      <w:bodyDiv w:val="1"/>
      <w:marLeft w:val="0"/>
      <w:marRight w:val="0"/>
      <w:marTop w:val="0"/>
      <w:marBottom w:val="0"/>
      <w:divBdr>
        <w:top w:val="none" w:sz="0" w:space="0" w:color="auto"/>
        <w:left w:val="none" w:sz="0" w:space="0" w:color="auto"/>
        <w:bottom w:val="none" w:sz="0" w:space="0" w:color="auto"/>
        <w:right w:val="none" w:sz="0" w:space="0" w:color="auto"/>
      </w:divBdr>
    </w:div>
    <w:div w:id="919676636">
      <w:bodyDiv w:val="1"/>
      <w:marLeft w:val="0"/>
      <w:marRight w:val="0"/>
      <w:marTop w:val="0"/>
      <w:marBottom w:val="0"/>
      <w:divBdr>
        <w:top w:val="none" w:sz="0" w:space="0" w:color="auto"/>
        <w:left w:val="none" w:sz="0" w:space="0" w:color="auto"/>
        <w:bottom w:val="none" w:sz="0" w:space="0" w:color="auto"/>
        <w:right w:val="none" w:sz="0" w:space="0" w:color="auto"/>
      </w:divBdr>
    </w:div>
    <w:div w:id="921061371">
      <w:bodyDiv w:val="1"/>
      <w:marLeft w:val="0"/>
      <w:marRight w:val="0"/>
      <w:marTop w:val="0"/>
      <w:marBottom w:val="0"/>
      <w:divBdr>
        <w:top w:val="none" w:sz="0" w:space="0" w:color="auto"/>
        <w:left w:val="none" w:sz="0" w:space="0" w:color="auto"/>
        <w:bottom w:val="none" w:sz="0" w:space="0" w:color="auto"/>
        <w:right w:val="none" w:sz="0" w:space="0" w:color="auto"/>
      </w:divBdr>
    </w:div>
    <w:div w:id="921332648">
      <w:bodyDiv w:val="1"/>
      <w:marLeft w:val="0"/>
      <w:marRight w:val="0"/>
      <w:marTop w:val="0"/>
      <w:marBottom w:val="0"/>
      <w:divBdr>
        <w:top w:val="none" w:sz="0" w:space="0" w:color="auto"/>
        <w:left w:val="none" w:sz="0" w:space="0" w:color="auto"/>
        <w:bottom w:val="none" w:sz="0" w:space="0" w:color="auto"/>
        <w:right w:val="none" w:sz="0" w:space="0" w:color="auto"/>
      </w:divBdr>
    </w:div>
    <w:div w:id="927084307">
      <w:bodyDiv w:val="1"/>
      <w:marLeft w:val="0"/>
      <w:marRight w:val="0"/>
      <w:marTop w:val="0"/>
      <w:marBottom w:val="0"/>
      <w:divBdr>
        <w:top w:val="none" w:sz="0" w:space="0" w:color="auto"/>
        <w:left w:val="none" w:sz="0" w:space="0" w:color="auto"/>
        <w:bottom w:val="none" w:sz="0" w:space="0" w:color="auto"/>
        <w:right w:val="none" w:sz="0" w:space="0" w:color="auto"/>
      </w:divBdr>
    </w:div>
    <w:div w:id="928582294">
      <w:bodyDiv w:val="1"/>
      <w:marLeft w:val="0"/>
      <w:marRight w:val="0"/>
      <w:marTop w:val="0"/>
      <w:marBottom w:val="0"/>
      <w:divBdr>
        <w:top w:val="none" w:sz="0" w:space="0" w:color="auto"/>
        <w:left w:val="none" w:sz="0" w:space="0" w:color="auto"/>
        <w:bottom w:val="none" w:sz="0" w:space="0" w:color="auto"/>
        <w:right w:val="none" w:sz="0" w:space="0" w:color="auto"/>
      </w:divBdr>
    </w:div>
    <w:div w:id="928660619">
      <w:bodyDiv w:val="1"/>
      <w:marLeft w:val="0"/>
      <w:marRight w:val="0"/>
      <w:marTop w:val="0"/>
      <w:marBottom w:val="0"/>
      <w:divBdr>
        <w:top w:val="none" w:sz="0" w:space="0" w:color="auto"/>
        <w:left w:val="none" w:sz="0" w:space="0" w:color="auto"/>
        <w:bottom w:val="none" w:sz="0" w:space="0" w:color="auto"/>
        <w:right w:val="none" w:sz="0" w:space="0" w:color="auto"/>
      </w:divBdr>
    </w:div>
    <w:div w:id="929042926">
      <w:bodyDiv w:val="1"/>
      <w:marLeft w:val="0"/>
      <w:marRight w:val="0"/>
      <w:marTop w:val="0"/>
      <w:marBottom w:val="0"/>
      <w:divBdr>
        <w:top w:val="none" w:sz="0" w:space="0" w:color="auto"/>
        <w:left w:val="none" w:sz="0" w:space="0" w:color="auto"/>
        <w:bottom w:val="none" w:sz="0" w:space="0" w:color="auto"/>
        <w:right w:val="none" w:sz="0" w:space="0" w:color="auto"/>
      </w:divBdr>
    </w:div>
    <w:div w:id="931816677">
      <w:bodyDiv w:val="1"/>
      <w:marLeft w:val="0"/>
      <w:marRight w:val="0"/>
      <w:marTop w:val="0"/>
      <w:marBottom w:val="0"/>
      <w:divBdr>
        <w:top w:val="none" w:sz="0" w:space="0" w:color="auto"/>
        <w:left w:val="none" w:sz="0" w:space="0" w:color="auto"/>
        <w:bottom w:val="none" w:sz="0" w:space="0" w:color="auto"/>
        <w:right w:val="none" w:sz="0" w:space="0" w:color="auto"/>
      </w:divBdr>
    </w:div>
    <w:div w:id="931861508">
      <w:bodyDiv w:val="1"/>
      <w:marLeft w:val="0"/>
      <w:marRight w:val="0"/>
      <w:marTop w:val="0"/>
      <w:marBottom w:val="0"/>
      <w:divBdr>
        <w:top w:val="none" w:sz="0" w:space="0" w:color="auto"/>
        <w:left w:val="none" w:sz="0" w:space="0" w:color="auto"/>
        <w:bottom w:val="none" w:sz="0" w:space="0" w:color="auto"/>
        <w:right w:val="none" w:sz="0" w:space="0" w:color="auto"/>
      </w:divBdr>
    </w:div>
    <w:div w:id="931934865">
      <w:bodyDiv w:val="1"/>
      <w:marLeft w:val="0"/>
      <w:marRight w:val="0"/>
      <w:marTop w:val="0"/>
      <w:marBottom w:val="0"/>
      <w:divBdr>
        <w:top w:val="none" w:sz="0" w:space="0" w:color="auto"/>
        <w:left w:val="none" w:sz="0" w:space="0" w:color="auto"/>
        <w:bottom w:val="none" w:sz="0" w:space="0" w:color="auto"/>
        <w:right w:val="none" w:sz="0" w:space="0" w:color="auto"/>
      </w:divBdr>
    </w:div>
    <w:div w:id="933707296">
      <w:bodyDiv w:val="1"/>
      <w:marLeft w:val="0"/>
      <w:marRight w:val="0"/>
      <w:marTop w:val="0"/>
      <w:marBottom w:val="0"/>
      <w:divBdr>
        <w:top w:val="none" w:sz="0" w:space="0" w:color="auto"/>
        <w:left w:val="none" w:sz="0" w:space="0" w:color="auto"/>
        <w:bottom w:val="none" w:sz="0" w:space="0" w:color="auto"/>
        <w:right w:val="none" w:sz="0" w:space="0" w:color="auto"/>
      </w:divBdr>
    </w:div>
    <w:div w:id="933903301">
      <w:bodyDiv w:val="1"/>
      <w:marLeft w:val="0"/>
      <w:marRight w:val="0"/>
      <w:marTop w:val="0"/>
      <w:marBottom w:val="0"/>
      <w:divBdr>
        <w:top w:val="none" w:sz="0" w:space="0" w:color="auto"/>
        <w:left w:val="none" w:sz="0" w:space="0" w:color="auto"/>
        <w:bottom w:val="none" w:sz="0" w:space="0" w:color="auto"/>
        <w:right w:val="none" w:sz="0" w:space="0" w:color="auto"/>
      </w:divBdr>
    </w:div>
    <w:div w:id="934902480">
      <w:bodyDiv w:val="1"/>
      <w:marLeft w:val="0"/>
      <w:marRight w:val="0"/>
      <w:marTop w:val="0"/>
      <w:marBottom w:val="0"/>
      <w:divBdr>
        <w:top w:val="none" w:sz="0" w:space="0" w:color="auto"/>
        <w:left w:val="none" w:sz="0" w:space="0" w:color="auto"/>
        <w:bottom w:val="none" w:sz="0" w:space="0" w:color="auto"/>
        <w:right w:val="none" w:sz="0" w:space="0" w:color="auto"/>
      </w:divBdr>
    </w:div>
    <w:div w:id="935746561">
      <w:bodyDiv w:val="1"/>
      <w:marLeft w:val="0"/>
      <w:marRight w:val="0"/>
      <w:marTop w:val="0"/>
      <w:marBottom w:val="0"/>
      <w:divBdr>
        <w:top w:val="none" w:sz="0" w:space="0" w:color="auto"/>
        <w:left w:val="none" w:sz="0" w:space="0" w:color="auto"/>
        <w:bottom w:val="none" w:sz="0" w:space="0" w:color="auto"/>
        <w:right w:val="none" w:sz="0" w:space="0" w:color="auto"/>
      </w:divBdr>
    </w:div>
    <w:div w:id="936249931">
      <w:bodyDiv w:val="1"/>
      <w:marLeft w:val="0"/>
      <w:marRight w:val="0"/>
      <w:marTop w:val="0"/>
      <w:marBottom w:val="0"/>
      <w:divBdr>
        <w:top w:val="none" w:sz="0" w:space="0" w:color="auto"/>
        <w:left w:val="none" w:sz="0" w:space="0" w:color="auto"/>
        <w:bottom w:val="none" w:sz="0" w:space="0" w:color="auto"/>
        <w:right w:val="none" w:sz="0" w:space="0" w:color="auto"/>
      </w:divBdr>
    </w:div>
    <w:div w:id="936475349">
      <w:bodyDiv w:val="1"/>
      <w:marLeft w:val="0"/>
      <w:marRight w:val="0"/>
      <w:marTop w:val="0"/>
      <w:marBottom w:val="0"/>
      <w:divBdr>
        <w:top w:val="none" w:sz="0" w:space="0" w:color="auto"/>
        <w:left w:val="none" w:sz="0" w:space="0" w:color="auto"/>
        <w:bottom w:val="none" w:sz="0" w:space="0" w:color="auto"/>
        <w:right w:val="none" w:sz="0" w:space="0" w:color="auto"/>
      </w:divBdr>
    </w:div>
    <w:div w:id="936475662">
      <w:bodyDiv w:val="1"/>
      <w:marLeft w:val="0"/>
      <w:marRight w:val="0"/>
      <w:marTop w:val="0"/>
      <w:marBottom w:val="0"/>
      <w:divBdr>
        <w:top w:val="none" w:sz="0" w:space="0" w:color="auto"/>
        <w:left w:val="none" w:sz="0" w:space="0" w:color="auto"/>
        <w:bottom w:val="none" w:sz="0" w:space="0" w:color="auto"/>
        <w:right w:val="none" w:sz="0" w:space="0" w:color="auto"/>
      </w:divBdr>
    </w:div>
    <w:div w:id="937327235">
      <w:bodyDiv w:val="1"/>
      <w:marLeft w:val="0"/>
      <w:marRight w:val="0"/>
      <w:marTop w:val="0"/>
      <w:marBottom w:val="0"/>
      <w:divBdr>
        <w:top w:val="none" w:sz="0" w:space="0" w:color="auto"/>
        <w:left w:val="none" w:sz="0" w:space="0" w:color="auto"/>
        <w:bottom w:val="none" w:sz="0" w:space="0" w:color="auto"/>
        <w:right w:val="none" w:sz="0" w:space="0" w:color="auto"/>
      </w:divBdr>
    </w:div>
    <w:div w:id="937906341">
      <w:bodyDiv w:val="1"/>
      <w:marLeft w:val="0"/>
      <w:marRight w:val="0"/>
      <w:marTop w:val="0"/>
      <w:marBottom w:val="0"/>
      <w:divBdr>
        <w:top w:val="none" w:sz="0" w:space="0" w:color="auto"/>
        <w:left w:val="none" w:sz="0" w:space="0" w:color="auto"/>
        <w:bottom w:val="none" w:sz="0" w:space="0" w:color="auto"/>
        <w:right w:val="none" w:sz="0" w:space="0" w:color="auto"/>
      </w:divBdr>
    </w:div>
    <w:div w:id="938105109">
      <w:bodyDiv w:val="1"/>
      <w:marLeft w:val="0"/>
      <w:marRight w:val="0"/>
      <w:marTop w:val="0"/>
      <w:marBottom w:val="0"/>
      <w:divBdr>
        <w:top w:val="none" w:sz="0" w:space="0" w:color="auto"/>
        <w:left w:val="none" w:sz="0" w:space="0" w:color="auto"/>
        <w:bottom w:val="none" w:sz="0" w:space="0" w:color="auto"/>
        <w:right w:val="none" w:sz="0" w:space="0" w:color="auto"/>
      </w:divBdr>
    </w:div>
    <w:div w:id="938490927">
      <w:bodyDiv w:val="1"/>
      <w:marLeft w:val="0"/>
      <w:marRight w:val="0"/>
      <w:marTop w:val="0"/>
      <w:marBottom w:val="0"/>
      <w:divBdr>
        <w:top w:val="none" w:sz="0" w:space="0" w:color="auto"/>
        <w:left w:val="none" w:sz="0" w:space="0" w:color="auto"/>
        <w:bottom w:val="none" w:sz="0" w:space="0" w:color="auto"/>
        <w:right w:val="none" w:sz="0" w:space="0" w:color="auto"/>
      </w:divBdr>
    </w:div>
    <w:div w:id="938492771">
      <w:bodyDiv w:val="1"/>
      <w:marLeft w:val="0"/>
      <w:marRight w:val="0"/>
      <w:marTop w:val="0"/>
      <w:marBottom w:val="0"/>
      <w:divBdr>
        <w:top w:val="none" w:sz="0" w:space="0" w:color="auto"/>
        <w:left w:val="none" w:sz="0" w:space="0" w:color="auto"/>
        <w:bottom w:val="none" w:sz="0" w:space="0" w:color="auto"/>
        <w:right w:val="none" w:sz="0" w:space="0" w:color="auto"/>
      </w:divBdr>
    </w:div>
    <w:div w:id="939459127">
      <w:bodyDiv w:val="1"/>
      <w:marLeft w:val="0"/>
      <w:marRight w:val="0"/>
      <w:marTop w:val="0"/>
      <w:marBottom w:val="0"/>
      <w:divBdr>
        <w:top w:val="none" w:sz="0" w:space="0" w:color="auto"/>
        <w:left w:val="none" w:sz="0" w:space="0" w:color="auto"/>
        <w:bottom w:val="none" w:sz="0" w:space="0" w:color="auto"/>
        <w:right w:val="none" w:sz="0" w:space="0" w:color="auto"/>
      </w:divBdr>
    </w:div>
    <w:div w:id="940186527">
      <w:bodyDiv w:val="1"/>
      <w:marLeft w:val="0"/>
      <w:marRight w:val="0"/>
      <w:marTop w:val="0"/>
      <w:marBottom w:val="0"/>
      <w:divBdr>
        <w:top w:val="none" w:sz="0" w:space="0" w:color="auto"/>
        <w:left w:val="none" w:sz="0" w:space="0" w:color="auto"/>
        <w:bottom w:val="none" w:sz="0" w:space="0" w:color="auto"/>
        <w:right w:val="none" w:sz="0" w:space="0" w:color="auto"/>
      </w:divBdr>
    </w:div>
    <w:div w:id="940840491">
      <w:bodyDiv w:val="1"/>
      <w:marLeft w:val="0"/>
      <w:marRight w:val="0"/>
      <w:marTop w:val="0"/>
      <w:marBottom w:val="0"/>
      <w:divBdr>
        <w:top w:val="none" w:sz="0" w:space="0" w:color="auto"/>
        <w:left w:val="none" w:sz="0" w:space="0" w:color="auto"/>
        <w:bottom w:val="none" w:sz="0" w:space="0" w:color="auto"/>
        <w:right w:val="none" w:sz="0" w:space="0" w:color="auto"/>
      </w:divBdr>
    </w:div>
    <w:div w:id="941686989">
      <w:bodyDiv w:val="1"/>
      <w:marLeft w:val="0"/>
      <w:marRight w:val="0"/>
      <w:marTop w:val="0"/>
      <w:marBottom w:val="0"/>
      <w:divBdr>
        <w:top w:val="none" w:sz="0" w:space="0" w:color="auto"/>
        <w:left w:val="none" w:sz="0" w:space="0" w:color="auto"/>
        <w:bottom w:val="none" w:sz="0" w:space="0" w:color="auto"/>
        <w:right w:val="none" w:sz="0" w:space="0" w:color="auto"/>
      </w:divBdr>
    </w:div>
    <w:div w:id="942568820">
      <w:bodyDiv w:val="1"/>
      <w:marLeft w:val="0"/>
      <w:marRight w:val="0"/>
      <w:marTop w:val="0"/>
      <w:marBottom w:val="0"/>
      <w:divBdr>
        <w:top w:val="none" w:sz="0" w:space="0" w:color="auto"/>
        <w:left w:val="none" w:sz="0" w:space="0" w:color="auto"/>
        <w:bottom w:val="none" w:sz="0" w:space="0" w:color="auto"/>
        <w:right w:val="none" w:sz="0" w:space="0" w:color="auto"/>
      </w:divBdr>
    </w:div>
    <w:div w:id="942807085">
      <w:bodyDiv w:val="1"/>
      <w:marLeft w:val="0"/>
      <w:marRight w:val="0"/>
      <w:marTop w:val="0"/>
      <w:marBottom w:val="0"/>
      <w:divBdr>
        <w:top w:val="none" w:sz="0" w:space="0" w:color="auto"/>
        <w:left w:val="none" w:sz="0" w:space="0" w:color="auto"/>
        <w:bottom w:val="none" w:sz="0" w:space="0" w:color="auto"/>
        <w:right w:val="none" w:sz="0" w:space="0" w:color="auto"/>
      </w:divBdr>
    </w:div>
    <w:div w:id="944076722">
      <w:bodyDiv w:val="1"/>
      <w:marLeft w:val="0"/>
      <w:marRight w:val="0"/>
      <w:marTop w:val="0"/>
      <w:marBottom w:val="0"/>
      <w:divBdr>
        <w:top w:val="none" w:sz="0" w:space="0" w:color="auto"/>
        <w:left w:val="none" w:sz="0" w:space="0" w:color="auto"/>
        <w:bottom w:val="none" w:sz="0" w:space="0" w:color="auto"/>
        <w:right w:val="none" w:sz="0" w:space="0" w:color="auto"/>
      </w:divBdr>
    </w:div>
    <w:div w:id="944119397">
      <w:bodyDiv w:val="1"/>
      <w:marLeft w:val="0"/>
      <w:marRight w:val="0"/>
      <w:marTop w:val="0"/>
      <w:marBottom w:val="0"/>
      <w:divBdr>
        <w:top w:val="none" w:sz="0" w:space="0" w:color="auto"/>
        <w:left w:val="none" w:sz="0" w:space="0" w:color="auto"/>
        <w:bottom w:val="none" w:sz="0" w:space="0" w:color="auto"/>
        <w:right w:val="none" w:sz="0" w:space="0" w:color="auto"/>
      </w:divBdr>
    </w:div>
    <w:div w:id="944537234">
      <w:bodyDiv w:val="1"/>
      <w:marLeft w:val="0"/>
      <w:marRight w:val="0"/>
      <w:marTop w:val="0"/>
      <w:marBottom w:val="0"/>
      <w:divBdr>
        <w:top w:val="none" w:sz="0" w:space="0" w:color="auto"/>
        <w:left w:val="none" w:sz="0" w:space="0" w:color="auto"/>
        <w:bottom w:val="none" w:sz="0" w:space="0" w:color="auto"/>
        <w:right w:val="none" w:sz="0" w:space="0" w:color="auto"/>
      </w:divBdr>
    </w:div>
    <w:div w:id="945380003">
      <w:bodyDiv w:val="1"/>
      <w:marLeft w:val="0"/>
      <w:marRight w:val="0"/>
      <w:marTop w:val="0"/>
      <w:marBottom w:val="0"/>
      <w:divBdr>
        <w:top w:val="none" w:sz="0" w:space="0" w:color="auto"/>
        <w:left w:val="none" w:sz="0" w:space="0" w:color="auto"/>
        <w:bottom w:val="none" w:sz="0" w:space="0" w:color="auto"/>
        <w:right w:val="none" w:sz="0" w:space="0" w:color="auto"/>
      </w:divBdr>
    </w:div>
    <w:div w:id="945429151">
      <w:bodyDiv w:val="1"/>
      <w:marLeft w:val="0"/>
      <w:marRight w:val="0"/>
      <w:marTop w:val="0"/>
      <w:marBottom w:val="0"/>
      <w:divBdr>
        <w:top w:val="none" w:sz="0" w:space="0" w:color="auto"/>
        <w:left w:val="none" w:sz="0" w:space="0" w:color="auto"/>
        <w:bottom w:val="none" w:sz="0" w:space="0" w:color="auto"/>
        <w:right w:val="none" w:sz="0" w:space="0" w:color="auto"/>
      </w:divBdr>
    </w:div>
    <w:div w:id="945504309">
      <w:bodyDiv w:val="1"/>
      <w:marLeft w:val="0"/>
      <w:marRight w:val="0"/>
      <w:marTop w:val="0"/>
      <w:marBottom w:val="0"/>
      <w:divBdr>
        <w:top w:val="none" w:sz="0" w:space="0" w:color="auto"/>
        <w:left w:val="none" w:sz="0" w:space="0" w:color="auto"/>
        <w:bottom w:val="none" w:sz="0" w:space="0" w:color="auto"/>
        <w:right w:val="none" w:sz="0" w:space="0" w:color="auto"/>
      </w:divBdr>
    </w:div>
    <w:div w:id="945621120">
      <w:bodyDiv w:val="1"/>
      <w:marLeft w:val="0"/>
      <w:marRight w:val="0"/>
      <w:marTop w:val="0"/>
      <w:marBottom w:val="0"/>
      <w:divBdr>
        <w:top w:val="none" w:sz="0" w:space="0" w:color="auto"/>
        <w:left w:val="none" w:sz="0" w:space="0" w:color="auto"/>
        <w:bottom w:val="none" w:sz="0" w:space="0" w:color="auto"/>
        <w:right w:val="none" w:sz="0" w:space="0" w:color="auto"/>
      </w:divBdr>
    </w:div>
    <w:div w:id="945769970">
      <w:bodyDiv w:val="1"/>
      <w:marLeft w:val="0"/>
      <w:marRight w:val="0"/>
      <w:marTop w:val="0"/>
      <w:marBottom w:val="0"/>
      <w:divBdr>
        <w:top w:val="none" w:sz="0" w:space="0" w:color="auto"/>
        <w:left w:val="none" w:sz="0" w:space="0" w:color="auto"/>
        <w:bottom w:val="none" w:sz="0" w:space="0" w:color="auto"/>
        <w:right w:val="none" w:sz="0" w:space="0" w:color="auto"/>
      </w:divBdr>
    </w:div>
    <w:div w:id="945775403">
      <w:bodyDiv w:val="1"/>
      <w:marLeft w:val="0"/>
      <w:marRight w:val="0"/>
      <w:marTop w:val="0"/>
      <w:marBottom w:val="0"/>
      <w:divBdr>
        <w:top w:val="none" w:sz="0" w:space="0" w:color="auto"/>
        <w:left w:val="none" w:sz="0" w:space="0" w:color="auto"/>
        <w:bottom w:val="none" w:sz="0" w:space="0" w:color="auto"/>
        <w:right w:val="none" w:sz="0" w:space="0" w:color="auto"/>
      </w:divBdr>
    </w:div>
    <w:div w:id="946427648">
      <w:bodyDiv w:val="1"/>
      <w:marLeft w:val="0"/>
      <w:marRight w:val="0"/>
      <w:marTop w:val="0"/>
      <w:marBottom w:val="0"/>
      <w:divBdr>
        <w:top w:val="none" w:sz="0" w:space="0" w:color="auto"/>
        <w:left w:val="none" w:sz="0" w:space="0" w:color="auto"/>
        <w:bottom w:val="none" w:sz="0" w:space="0" w:color="auto"/>
        <w:right w:val="none" w:sz="0" w:space="0" w:color="auto"/>
      </w:divBdr>
    </w:div>
    <w:div w:id="946930717">
      <w:bodyDiv w:val="1"/>
      <w:marLeft w:val="0"/>
      <w:marRight w:val="0"/>
      <w:marTop w:val="0"/>
      <w:marBottom w:val="0"/>
      <w:divBdr>
        <w:top w:val="none" w:sz="0" w:space="0" w:color="auto"/>
        <w:left w:val="none" w:sz="0" w:space="0" w:color="auto"/>
        <w:bottom w:val="none" w:sz="0" w:space="0" w:color="auto"/>
        <w:right w:val="none" w:sz="0" w:space="0" w:color="auto"/>
      </w:divBdr>
    </w:div>
    <w:div w:id="948896307">
      <w:bodyDiv w:val="1"/>
      <w:marLeft w:val="0"/>
      <w:marRight w:val="0"/>
      <w:marTop w:val="0"/>
      <w:marBottom w:val="0"/>
      <w:divBdr>
        <w:top w:val="none" w:sz="0" w:space="0" w:color="auto"/>
        <w:left w:val="none" w:sz="0" w:space="0" w:color="auto"/>
        <w:bottom w:val="none" w:sz="0" w:space="0" w:color="auto"/>
        <w:right w:val="none" w:sz="0" w:space="0" w:color="auto"/>
      </w:divBdr>
    </w:div>
    <w:div w:id="948901608">
      <w:bodyDiv w:val="1"/>
      <w:marLeft w:val="0"/>
      <w:marRight w:val="0"/>
      <w:marTop w:val="0"/>
      <w:marBottom w:val="0"/>
      <w:divBdr>
        <w:top w:val="none" w:sz="0" w:space="0" w:color="auto"/>
        <w:left w:val="none" w:sz="0" w:space="0" w:color="auto"/>
        <w:bottom w:val="none" w:sz="0" w:space="0" w:color="auto"/>
        <w:right w:val="none" w:sz="0" w:space="0" w:color="auto"/>
      </w:divBdr>
    </w:div>
    <w:div w:id="949315783">
      <w:bodyDiv w:val="1"/>
      <w:marLeft w:val="0"/>
      <w:marRight w:val="0"/>
      <w:marTop w:val="0"/>
      <w:marBottom w:val="0"/>
      <w:divBdr>
        <w:top w:val="none" w:sz="0" w:space="0" w:color="auto"/>
        <w:left w:val="none" w:sz="0" w:space="0" w:color="auto"/>
        <w:bottom w:val="none" w:sz="0" w:space="0" w:color="auto"/>
        <w:right w:val="none" w:sz="0" w:space="0" w:color="auto"/>
      </w:divBdr>
    </w:div>
    <w:div w:id="949318641">
      <w:bodyDiv w:val="1"/>
      <w:marLeft w:val="0"/>
      <w:marRight w:val="0"/>
      <w:marTop w:val="0"/>
      <w:marBottom w:val="0"/>
      <w:divBdr>
        <w:top w:val="none" w:sz="0" w:space="0" w:color="auto"/>
        <w:left w:val="none" w:sz="0" w:space="0" w:color="auto"/>
        <w:bottom w:val="none" w:sz="0" w:space="0" w:color="auto"/>
        <w:right w:val="none" w:sz="0" w:space="0" w:color="auto"/>
      </w:divBdr>
    </w:div>
    <w:div w:id="949508956">
      <w:bodyDiv w:val="1"/>
      <w:marLeft w:val="0"/>
      <w:marRight w:val="0"/>
      <w:marTop w:val="0"/>
      <w:marBottom w:val="0"/>
      <w:divBdr>
        <w:top w:val="none" w:sz="0" w:space="0" w:color="auto"/>
        <w:left w:val="none" w:sz="0" w:space="0" w:color="auto"/>
        <w:bottom w:val="none" w:sz="0" w:space="0" w:color="auto"/>
        <w:right w:val="none" w:sz="0" w:space="0" w:color="auto"/>
      </w:divBdr>
    </w:div>
    <w:div w:id="951321047">
      <w:bodyDiv w:val="1"/>
      <w:marLeft w:val="0"/>
      <w:marRight w:val="0"/>
      <w:marTop w:val="0"/>
      <w:marBottom w:val="0"/>
      <w:divBdr>
        <w:top w:val="none" w:sz="0" w:space="0" w:color="auto"/>
        <w:left w:val="none" w:sz="0" w:space="0" w:color="auto"/>
        <w:bottom w:val="none" w:sz="0" w:space="0" w:color="auto"/>
        <w:right w:val="none" w:sz="0" w:space="0" w:color="auto"/>
      </w:divBdr>
    </w:div>
    <w:div w:id="951788528">
      <w:bodyDiv w:val="1"/>
      <w:marLeft w:val="0"/>
      <w:marRight w:val="0"/>
      <w:marTop w:val="0"/>
      <w:marBottom w:val="0"/>
      <w:divBdr>
        <w:top w:val="none" w:sz="0" w:space="0" w:color="auto"/>
        <w:left w:val="none" w:sz="0" w:space="0" w:color="auto"/>
        <w:bottom w:val="none" w:sz="0" w:space="0" w:color="auto"/>
        <w:right w:val="none" w:sz="0" w:space="0" w:color="auto"/>
      </w:divBdr>
    </w:div>
    <w:div w:id="951788819">
      <w:bodyDiv w:val="1"/>
      <w:marLeft w:val="0"/>
      <w:marRight w:val="0"/>
      <w:marTop w:val="0"/>
      <w:marBottom w:val="0"/>
      <w:divBdr>
        <w:top w:val="none" w:sz="0" w:space="0" w:color="auto"/>
        <w:left w:val="none" w:sz="0" w:space="0" w:color="auto"/>
        <w:bottom w:val="none" w:sz="0" w:space="0" w:color="auto"/>
        <w:right w:val="none" w:sz="0" w:space="0" w:color="auto"/>
      </w:divBdr>
    </w:div>
    <w:div w:id="951977883">
      <w:bodyDiv w:val="1"/>
      <w:marLeft w:val="0"/>
      <w:marRight w:val="0"/>
      <w:marTop w:val="0"/>
      <w:marBottom w:val="0"/>
      <w:divBdr>
        <w:top w:val="none" w:sz="0" w:space="0" w:color="auto"/>
        <w:left w:val="none" w:sz="0" w:space="0" w:color="auto"/>
        <w:bottom w:val="none" w:sz="0" w:space="0" w:color="auto"/>
        <w:right w:val="none" w:sz="0" w:space="0" w:color="auto"/>
      </w:divBdr>
    </w:div>
    <w:div w:id="952203691">
      <w:bodyDiv w:val="1"/>
      <w:marLeft w:val="0"/>
      <w:marRight w:val="0"/>
      <w:marTop w:val="0"/>
      <w:marBottom w:val="0"/>
      <w:divBdr>
        <w:top w:val="none" w:sz="0" w:space="0" w:color="auto"/>
        <w:left w:val="none" w:sz="0" w:space="0" w:color="auto"/>
        <w:bottom w:val="none" w:sz="0" w:space="0" w:color="auto"/>
        <w:right w:val="none" w:sz="0" w:space="0" w:color="auto"/>
      </w:divBdr>
    </w:div>
    <w:div w:id="952513154">
      <w:bodyDiv w:val="1"/>
      <w:marLeft w:val="0"/>
      <w:marRight w:val="0"/>
      <w:marTop w:val="0"/>
      <w:marBottom w:val="0"/>
      <w:divBdr>
        <w:top w:val="none" w:sz="0" w:space="0" w:color="auto"/>
        <w:left w:val="none" w:sz="0" w:space="0" w:color="auto"/>
        <w:bottom w:val="none" w:sz="0" w:space="0" w:color="auto"/>
        <w:right w:val="none" w:sz="0" w:space="0" w:color="auto"/>
      </w:divBdr>
    </w:div>
    <w:div w:id="953175059">
      <w:bodyDiv w:val="1"/>
      <w:marLeft w:val="0"/>
      <w:marRight w:val="0"/>
      <w:marTop w:val="0"/>
      <w:marBottom w:val="0"/>
      <w:divBdr>
        <w:top w:val="none" w:sz="0" w:space="0" w:color="auto"/>
        <w:left w:val="none" w:sz="0" w:space="0" w:color="auto"/>
        <w:bottom w:val="none" w:sz="0" w:space="0" w:color="auto"/>
        <w:right w:val="none" w:sz="0" w:space="0" w:color="auto"/>
      </w:divBdr>
    </w:div>
    <w:div w:id="953488325">
      <w:bodyDiv w:val="1"/>
      <w:marLeft w:val="0"/>
      <w:marRight w:val="0"/>
      <w:marTop w:val="0"/>
      <w:marBottom w:val="0"/>
      <w:divBdr>
        <w:top w:val="none" w:sz="0" w:space="0" w:color="auto"/>
        <w:left w:val="none" w:sz="0" w:space="0" w:color="auto"/>
        <w:bottom w:val="none" w:sz="0" w:space="0" w:color="auto"/>
        <w:right w:val="none" w:sz="0" w:space="0" w:color="auto"/>
      </w:divBdr>
    </w:div>
    <w:div w:id="953488329">
      <w:bodyDiv w:val="1"/>
      <w:marLeft w:val="0"/>
      <w:marRight w:val="0"/>
      <w:marTop w:val="0"/>
      <w:marBottom w:val="0"/>
      <w:divBdr>
        <w:top w:val="none" w:sz="0" w:space="0" w:color="auto"/>
        <w:left w:val="none" w:sz="0" w:space="0" w:color="auto"/>
        <w:bottom w:val="none" w:sz="0" w:space="0" w:color="auto"/>
        <w:right w:val="none" w:sz="0" w:space="0" w:color="auto"/>
      </w:divBdr>
    </w:div>
    <w:div w:id="953902523">
      <w:bodyDiv w:val="1"/>
      <w:marLeft w:val="0"/>
      <w:marRight w:val="0"/>
      <w:marTop w:val="0"/>
      <w:marBottom w:val="0"/>
      <w:divBdr>
        <w:top w:val="none" w:sz="0" w:space="0" w:color="auto"/>
        <w:left w:val="none" w:sz="0" w:space="0" w:color="auto"/>
        <w:bottom w:val="none" w:sz="0" w:space="0" w:color="auto"/>
        <w:right w:val="none" w:sz="0" w:space="0" w:color="auto"/>
      </w:divBdr>
    </w:div>
    <w:div w:id="954794192">
      <w:bodyDiv w:val="1"/>
      <w:marLeft w:val="0"/>
      <w:marRight w:val="0"/>
      <w:marTop w:val="0"/>
      <w:marBottom w:val="0"/>
      <w:divBdr>
        <w:top w:val="none" w:sz="0" w:space="0" w:color="auto"/>
        <w:left w:val="none" w:sz="0" w:space="0" w:color="auto"/>
        <w:bottom w:val="none" w:sz="0" w:space="0" w:color="auto"/>
        <w:right w:val="none" w:sz="0" w:space="0" w:color="auto"/>
      </w:divBdr>
    </w:div>
    <w:div w:id="956060686">
      <w:bodyDiv w:val="1"/>
      <w:marLeft w:val="0"/>
      <w:marRight w:val="0"/>
      <w:marTop w:val="0"/>
      <w:marBottom w:val="0"/>
      <w:divBdr>
        <w:top w:val="none" w:sz="0" w:space="0" w:color="auto"/>
        <w:left w:val="none" w:sz="0" w:space="0" w:color="auto"/>
        <w:bottom w:val="none" w:sz="0" w:space="0" w:color="auto"/>
        <w:right w:val="none" w:sz="0" w:space="0" w:color="auto"/>
      </w:divBdr>
    </w:div>
    <w:div w:id="956063051">
      <w:bodyDiv w:val="1"/>
      <w:marLeft w:val="0"/>
      <w:marRight w:val="0"/>
      <w:marTop w:val="0"/>
      <w:marBottom w:val="0"/>
      <w:divBdr>
        <w:top w:val="none" w:sz="0" w:space="0" w:color="auto"/>
        <w:left w:val="none" w:sz="0" w:space="0" w:color="auto"/>
        <w:bottom w:val="none" w:sz="0" w:space="0" w:color="auto"/>
        <w:right w:val="none" w:sz="0" w:space="0" w:color="auto"/>
      </w:divBdr>
    </w:div>
    <w:div w:id="956372439">
      <w:bodyDiv w:val="1"/>
      <w:marLeft w:val="0"/>
      <w:marRight w:val="0"/>
      <w:marTop w:val="0"/>
      <w:marBottom w:val="0"/>
      <w:divBdr>
        <w:top w:val="none" w:sz="0" w:space="0" w:color="auto"/>
        <w:left w:val="none" w:sz="0" w:space="0" w:color="auto"/>
        <w:bottom w:val="none" w:sz="0" w:space="0" w:color="auto"/>
        <w:right w:val="none" w:sz="0" w:space="0" w:color="auto"/>
      </w:divBdr>
    </w:div>
    <w:div w:id="957487574">
      <w:bodyDiv w:val="1"/>
      <w:marLeft w:val="0"/>
      <w:marRight w:val="0"/>
      <w:marTop w:val="0"/>
      <w:marBottom w:val="0"/>
      <w:divBdr>
        <w:top w:val="none" w:sz="0" w:space="0" w:color="auto"/>
        <w:left w:val="none" w:sz="0" w:space="0" w:color="auto"/>
        <w:bottom w:val="none" w:sz="0" w:space="0" w:color="auto"/>
        <w:right w:val="none" w:sz="0" w:space="0" w:color="auto"/>
      </w:divBdr>
    </w:div>
    <w:div w:id="958606210">
      <w:bodyDiv w:val="1"/>
      <w:marLeft w:val="0"/>
      <w:marRight w:val="0"/>
      <w:marTop w:val="0"/>
      <w:marBottom w:val="0"/>
      <w:divBdr>
        <w:top w:val="none" w:sz="0" w:space="0" w:color="auto"/>
        <w:left w:val="none" w:sz="0" w:space="0" w:color="auto"/>
        <w:bottom w:val="none" w:sz="0" w:space="0" w:color="auto"/>
        <w:right w:val="none" w:sz="0" w:space="0" w:color="auto"/>
      </w:divBdr>
    </w:div>
    <w:div w:id="958801046">
      <w:bodyDiv w:val="1"/>
      <w:marLeft w:val="0"/>
      <w:marRight w:val="0"/>
      <w:marTop w:val="0"/>
      <w:marBottom w:val="0"/>
      <w:divBdr>
        <w:top w:val="none" w:sz="0" w:space="0" w:color="auto"/>
        <w:left w:val="none" w:sz="0" w:space="0" w:color="auto"/>
        <w:bottom w:val="none" w:sz="0" w:space="0" w:color="auto"/>
        <w:right w:val="none" w:sz="0" w:space="0" w:color="auto"/>
      </w:divBdr>
    </w:div>
    <w:div w:id="960262707">
      <w:bodyDiv w:val="1"/>
      <w:marLeft w:val="0"/>
      <w:marRight w:val="0"/>
      <w:marTop w:val="0"/>
      <w:marBottom w:val="0"/>
      <w:divBdr>
        <w:top w:val="none" w:sz="0" w:space="0" w:color="auto"/>
        <w:left w:val="none" w:sz="0" w:space="0" w:color="auto"/>
        <w:bottom w:val="none" w:sz="0" w:space="0" w:color="auto"/>
        <w:right w:val="none" w:sz="0" w:space="0" w:color="auto"/>
      </w:divBdr>
    </w:div>
    <w:div w:id="961226351">
      <w:bodyDiv w:val="1"/>
      <w:marLeft w:val="0"/>
      <w:marRight w:val="0"/>
      <w:marTop w:val="0"/>
      <w:marBottom w:val="0"/>
      <w:divBdr>
        <w:top w:val="none" w:sz="0" w:space="0" w:color="auto"/>
        <w:left w:val="none" w:sz="0" w:space="0" w:color="auto"/>
        <w:bottom w:val="none" w:sz="0" w:space="0" w:color="auto"/>
        <w:right w:val="none" w:sz="0" w:space="0" w:color="auto"/>
      </w:divBdr>
    </w:div>
    <w:div w:id="961689560">
      <w:bodyDiv w:val="1"/>
      <w:marLeft w:val="0"/>
      <w:marRight w:val="0"/>
      <w:marTop w:val="0"/>
      <w:marBottom w:val="0"/>
      <w:divBdr>
        <w:top w:val="none" w:sz="0" w:space="0" w:color="auto"/>
        <w:left w:val="none" w:sz="0" w:space="0" w:color="auto"/>
        <w:bottom w:val="none" w:sz="0" w:space="0" w:color="auto"/>
        <w:right w:val="none" w:sz="0" w:space="0" w:color="auto"/>
      </w:divBdr>
    </w:div>
    <w:div w:id="962149800">
      <w:bodyDiv w:val="1"/>
      <w:marLeft w:val="0"/>
      <w:marRight w:val="0"/>
      <w:marTop w:val="0"/>
      <w:marBottom w:val="0"/>
      <w:divBdr>
        <w:top w:val="none" w:sz="0" w:space="0" w:color="auto"/>
        <w:left w:val="none" w:sz="0" w:space="0" w:color="auto"/>
        <w:bottom w:val="none" w:sz="0" w:space="0" w:color="auto"/>
        <w:right w:val="none" w:sz="0" w:space="0" w:color="auto"/>
      </w:divBdr>
    </w:div>
    <w:div w:id="963388319">
      <w:bodyDiv w:val="1"/>
      <w:marLeft w:val="0"/>
      <w:marRight w:val="0"/>
      <w:marTop w:val="0"/>
      <w:marBottom w:val="0"/>
      <w:divBdr>
        <w:top w:val="none" w:sz="0" w:space="0" w:color="auto"/>
        <w:left w:val="none" w:sz="0" w:space="0" w:color="auto"/>
        <w:bottom w:val="none" w:sz="0" w:space="0" w:color="auto"/>
        <w:right w:val="none" w:sz="0" w:space="0" w:color="auto"/>
      </w:divBdr>
    </w:div>
    <w:div w:id="963925643">
      <w:bodyDiv w:val="1"/>
      <w:marLeft w:val="0"/>
      <w:marRight w:val="0"/>
      <w:marTop w:val="0"/>
      <w:marBottom w:val="0"/>
      <w:divBdr>
        <w:top w:val="none" w:sz="0" w:space="0" w:color="auto"/>
        <w:left w:val="none" w:sz="0" w:space="0" w:color="auto"/>
        <w:bottom w:val="none" w:sz="0" w:space="0" w:color="auto"/>
        <w:right w:val="none" w:sz="0" w:space="0" w:color="auto"/>
      </w:divBdr>
    </w:div>
    <w:div w:id="964040673">
      <w:bodyDiv w:val="1"/>
      <w:marLeft w:val="0"/>
      <w:marRight w:val="0"/>
      <w:marTop w:val="0"/>
      <w:marBottom w:val="0"/>
      <w:divBdr>
        <w:top w:val="none" w:sz="0" w:space="0" w:color="auto"/>
        <w:left w:val="none" w:sz="0" w:space="0" w:color="auto"/>
        <w:bottom w:val="none" w:sz="0" w:space="0" w:color="auto"/>
        <w:right w:val="none" w:sz="0" w:space="0" w:color="auto"/>
      </w:divBdr>
    </w:div>
    <w:div w:id="964119542">
      <w:bodyDiv w:val="1"/>
      <w:marLeft w:val="0"/>
      <w:marRight w:val="0"/>
      <w:marTop w:val="0"/>
      <w:marBottom w:val="0"/>
      <w:divBdr>
        <w:top w:val="none" w:sz="0" w:space="0" w:color="auto"/>
        <w:left w:val="none" w:sz="0" w:space="0" w:color="auto"/>
        <w:bottom w:val="none" w:sz="0" w:space="0" w:color="auto"/>
        <w:right w:val="none" w:sz="0" w:space="0" w:color="auto"/>
      </w:divBdr>
    </w:div>
    <w:div w:id="964196930">
      <w:bodyDiv w:val="1"/>
      <w:marLeft w:val="0"/>
      <w:marRight w:val="0"/>
      <w:marTop w:val="0"/>
      <w:marBottom w:val="0"/>
      <w:divBdr>
        <w:top w:val="none" w:sz="0" w:space="0" w:color="auto"/>
        <w:left w:val="none" w:sz="0" w:space="0" w:color="auto"/>
        <w:bottom w:val="none" w:sz="0" w:space="0" w:color="auto"/>
        <w:right w:val="none" w:sz="0" w:space="0" w:color="auto"/>
      </w:divBdr>
    </w:div>
    <w:div w:id="965354257">
      <w:bodyDiv w:val="1"/>
      <w:marLeft w:val="0"/>
      <w:marRight w:val="0"/>
      <w:marTop w:val="0"/>
      <w:marBottom w:val="0"/>
      <w:divBdr>
        <w:top w:val="none" w:sz="0" w:space="0" w:color="auto"/>
        <w:left w:val="none" w:sz="0" w:space="0" w:color="auto"/>
        <w:bottom w:val="none" w:sz="0" w:space="0" w:color="auto"/>
        <w:right w:val="none" w:sz="0" w:space="0" w:color="auto"/>
      </w:divBdr>
    </w:div>
    <w:div w:id="966013444">
      <w:bodyDiv w:val="1"/>
      <w:marLeft w:val="0"/>
      <w:marRight w:val="0"/>
      <w:marTop w:val="0"/>
      <w:marBottom w:val="0"/>
      <w:divBdr>
        <w:top w:val="none" w:sz="0" w:space="0" w:color="auto"/>
        <w:left w:val="none" w:sz="0" w:space="0" w:color="auto"/>
        <w:bottom w:val="none" w:sz="0" w:space="0" w:color="auto"/>
        <w:right w:val="none" w:sz="0" w:space="0" w:color="auto"/>
      </w:divBdr>
    </w:div>
    <w:div w:id="966160788">
      <w:bodyDiv w:val="1"/>
      <w:marLeft w:val="0"/>
      <w:marRight w:val="0"/>
      <w:marTop w:val="0"/>
      <w:marBottom w:val="0"/>
      <w:divBdr>
        <w:top w:val="none" w:sz="0" w:space="0" w:color="auto"/>
        <w:left w:val="none" w:sz="0" w:space="0" w:color="auto"/>
        <w:bottom w:val="none" w:sz="0" w:space="0" w:color="auto"/>
        <w:right w:val="none" w:sz="0" w:space="0" w:color="auto"/>
      </w:divBdr>
    </w:div>
    <w:div w:id="966861373">
      <w:bodyDiv w:val="1"/>
      <w:marLeft w:val="0"/>
      <w:marRight w:val="0"/>
      <w:marTop w:val="0"/>
      <w:marBottom w:val="0"/>
      <w:divBdr>
        <w:top w:val="none" w:sz="0" w:space="0" w:color="auto"/>
        <w:left w:val="none" w:sz="0" w:space="0" w:color="auto"/>
        <w:bottom w:val="none" w:sz="0" w:space="0" w:color="auto"/>
        <w:right w:val="none" w:sz="0" w:space="0" w:color="auto"/>
      </w:divBdr>
    </w:div>
    <w:div w:id="967201972">
      <w:bodyDiv w:val="1"/>
      <w:marLeft w:val="0"/>
      <w:marRight w:val="0"/>
      <w:marTop w:val="0"/>
      <w:marBottom w:val="0"/>
      <w:divBdr>
        <w:top w:val="none" w:sz="0" w:space="0" w:color="auto"/>
        <w:left w:val="none" w:sz="0" w:space="0" w:color="auto"/>
        <w:bottom w:val="none" w:sz="0" w:space="0" w:color="auto"/>
        <w:right w:val="none" w:sz="0" w:space="0" w:color="auto"/>
      </w:divBdr>
    </w:div>
    <w:div w:id="968055376">
      <w:bodyDiv w:val="1"/>
      <w:marLeft w:val="0"/>
      <w:marRight w:val="0"/>
      <w:marTop w:val="0"/>
      <w:marBottom w:val="0"/>
      <w:divBdr>
        <w:top w:val="none" w:sz="0" w:space="0" w:color="auto"/>
        <w:left w:val="none" w:sz="0" w:space="0" w:color="auto"/>
        <w:bottom w:val="none" w:sz="0" w:space="0" w:color="auto"/>
        <w:right w:val="none" w:sz="0" w:space="0" w:color="auto"/>
      </w:divBdr>
    </w:div>
    <w:div w:id="968246262">
      <w:bodyDiv w:val="1"/>
      <w:marLeft w:val="0"/>
      <w:marRight w:val="0"/>
      <w:marTop w:val="0"/>
      <w:marBottom w:val="0"/>
      <w:divBdr>
        <w:top w:val="none" w:sz="0" w:space="0" w:color="auto"/>
        <w:left w:val="none" w:sz="0" w:space="0" w:color="auto"/>
        <w:bottom w:val="none" w:sz="0" w:space="0" w:color="auto"/>
        <w:right w:val="none" w:sz="0" w:space="0" w:color="auto"/>
      </w:divBdr>
    </w:div>
    <w:div w:id="969360118">
      <w:bodyDiv w:val="1"/>
      <w:marLeft w:val="0"/>
      <w:marRight w:val="0"/>
      <w:marTop w:val="0"/>
      <w:marBottom w:val="0"/>
      <w:divBdr>
        <w:top w:val="none" w:sz="0" w:space="0" w:color="auto"/>
        <w:left w:val="none" w:sz="0" w:space="0" w:color="auto"/>
        <w:bottom w:val="none" w:sz="0" w:space="0" w:color="auto"/>
        <w:right w:val="none" w:sz="0" w:space="0" w:color="auto"/>
      </w:divBdr>
    </w:div>
    <w:div w:id="970940348">
      <w:bodyDiv w:val="1"/>
      <w:marLeft w:val="0"/>
      <w:marRight w:val="0"/>
      <w:marTop w:val="0"/>
      <w:marBottom w:val="0"/>
      <w:divBdr>
        <w:top w:val="none" w:sz="0" w:space="0" w:color="auto"/>
        <w:left w:val="none" w:sz="0" w:space="0" w:color="auto"/>
        <w:bottom w:val="none" w:sz="0" w:space="0" w:color="auto"/>
        <w:right w:val="none" w:sz="0" w:space="0" w:color="auto"/>
      </w:divBdr>
    </w:div>
    <w:div w:id="970987224">
      <w:bodyDiv w:val="1"/>
      <w:marLeft w:val="0"/>
      <w:marRight w:val="0"/>
      <w:marTop w:val="0"/>
      <w:marBottom w:val="0"/>
      <w:divBdr>
        <w:top w:val="none" w:sz="0" w:space="0" w:color="auto"/>
        <w:left w:val="none" w:sz="0" w:space="0" w:color="auto"/>
        <w:bottom w:val="none" w:sz="0" w:space="0" w:color="auto"/>
        <w:right w:val="none" w:sz="0" w:space="0" w:color="auto"/>
      </w:divBdr>
    </w:div>
    <w:div w:id="971247592">
      <w:bodyDiv w:val="1"/>
      <w:marLeft w:val="0"/>
      <w:marRight w:val="0"/>
      <w:marTop w:val="0"/>
      <w:marBottom w:val="0"/>
      <w:divBdr>
        <w:top w:val="none" w:sz="0" w:space="0" w:color="auto"/>
        <w:left w:val="none" w:sz="0" w:space="0" w:color="auto"/>
        <w:bottom w:val="none" w:sz="0" w:space="0" w:color="auto"/>
        <w:right w:val="none" w:sz="0" w:space="0" w:color="auto"/>
      </w:divBdr>
    </w:div>
    <w:div w:id="971977592">
      <w:bodyDiv w:val="1"/>
      <w:marLeft w:val="0"/>
      <w:marRight w:val="0"/>
      <w:marTop w:val="0"/>
      <w:marBottom w:val="0"/>
      <w:divBdr>
        <w:top w:val="none" w:sz="0" w:space="0" w:color="auto"/>
        <w:left w:val="none" w:sz="0" w:space="0" w:color="auto"/>
        <w:bottom w:val="none" w:sz="0" w:space="0" w:color="auto"/>
        <w:right w:val="none" w:sz="0" w:space="0" w:color="auto"/>
      </w:divBdr>
    </w:div>
    <w:div w:id="972179423">
      <w:bodyDiv w:val="1"/>
      <w:marLeft w:val="0"/>
      <w:marRight w:val="0"/>
      <w:marTop w:val="0"/>
      <w:marBottom w:val="0"/>
      <w:divBdr>
        <w:top w:val="none" w:sz="0" w:space="0" w:color="auto"/>
        <w:left w:val="none" w:sz="0" w:space="0" w:color="auto"/>
        <w:bottom w:val="none" w:sz="0" w:space="0" w:color="auto"/>
        <w:right w:val="none" w:sz="0" w:space="0" w:color="auto"/>
      </w:divBdr>
    </w:div>
    <w:div w:id="972717268">
      <w:bodyDiv w:val="1"/>
      <w:marLeft w:val="0"/>
      <w:marRight w:val="0"/>
      <w:marTop w:val="0"/>
      <w:marBottom w:val="0"/>
      <w:divBdr>
        <w:top w:val="none" w:sz="0" w:space="0" w:color="auto"/>
        <w:left w:val="none" w:sz="0" w:space="0" w:color="auto"/>
        <w:bottom w:val="none" w:sz="0" w:space="0" w:color="auto"/>
        <w:right w:val="none" w:sz="0" w:space="0" w:color="auto"/>
      </w:divBdr>
    </w:div>
    <w:div w:id="973827316">
      <w:bodyDiv w:val="1"/>
      <w:marLeft w:val="0"/>
      <w:marRight w:val="0"/>
      <w:marTop w:val="0"/>
      <w:marBottom w:val="0"/>
      <w:divBdr>
        <w:top w:val="none" w:sz="0" w:space="0" w:color="auto"/>
        <w:left w:val="none" w:sz="0" w:space="0" w:color="auto"/>
        <w:bottom w:val="none" w:sz="0" w:space="0" w:color="auto"/>
        <w:right w:val="none" w:sz="0" w:space="0" w:color="auto"/>
      </w:divBdr>
    </w:div>
    <w:div w:id="973868790">
      <w:bodyDiv w:val="1"/>
      <w:marLeft w:val="0"/>
      <w:marRight w:val="0"/>
      <w:marTop w:val="0"/>
      <w:marBottom w:val="0"/>
      <w:divBdr>
        <w:top w:val="none" w:sz="0" w:space="0" w:color="auto"/>
        <w:left w:val="none" w:sz="0" w:space="0" w:color="auto"/>
        <w:bottom w:val="none" w:sz="0" w:space="0" w:color="auto"/>
        <w:right w:val="none" w:sz="0" w:space="0" w:color="auto"/>
      </w:divBdr>
    </w:div>
    <w:div w:id="975792798">
      <w:bodyDiv w:val="1"/>
      <w:marLeft w:val="0"/>
      <w:marRight w:val="0"/>
      <w:marTop w:val="0"/>
      <w:marBottom w:val="0"/>
      <w:divBdr>
        <w:top w:val="none" w:sz="0" w:space="0" w:color="auto"/>
        <w:left w:val="none" w:sz="0" w:space="0" w:color="auto"/>
        <w:bottom w:val="none" w:sz="0" w:space="0" w:color="auto"/>
        <w:right w:val="none" w:sz="0" w:space="0" w:color="auto"/>
      </w:divBdr>
    </w:div>
    <w:div w:id="976034139">
      <w:bodyDiv w:val="1"/>
      <w:marLeft w:val="0"/>
      <w:marRight w:val="0"/>
      <w:marTop w:val="0"/>
      <w:marBottom w:val="0"/>
      <w:divBdr>
        <w:top w:val="none" w:sz="0" w:space="0" w:color="auto"/>
        <w:left w:val="none" w:sz="0" w:space="0" w:color="auto"/>
        <w:bottom w:val="none" w:sz="0" w:space="0" w:color="auto"/>
        <w:right w:val="none" w:sz="0" w:space="0" w:color="auto"/>
      </w:divBdr>
    </w:div>
    <w:div w:id="976639694">
      <w:bodyDiv w:val="1"/>
      <w:marLeft w:val="0"/>
      <w:marRight w:val="0"/>
      <w:marTop w:val="0"/>
      <w:marBottom w:val="0"/>
      <w:divBdr>
        <w:top w:val="none" w:sz="0" w:space="0" w:color="auto"/>
        <w:left w:val="none" w:sz="0" w:space="0" w:color="auto"/>
        <w:bottom w:val="none" w:sz="0" w:space="0" w:color="auto"/>
        <w:right w:val="none" w:sz="0" w:space="0" w:color="auto"/>
      </w:divBdr>
    </w:div>
    <w:div w:id="976960094">
      <w:bodyDiv w:val="1"/>
      <w:marLeft w:val="0"/>
      <w:marRight w:val="0"/>
      <w:marTop w:val="0"/>
      <w:marBottom w:val="0"/>
      <w:divBdr>
        <w:top w:val="none" w:sz="0" w:space="0" w:color="auto"/>
        <w:left w:val="none" w:sz="0" w:space="0" w:color="auto"/>
        <w:bottom w:val="none" w:sz="0" w:space="0" w:color="auto"/>
        <w:right w:val="none" w:sz="0" w:space="0" w:color="auto"/>
      </w:divBdr>
    </w:div>
    <w:div w:id="977346688">
      <w:bodyDiv w:val="1"/>
      <w:marLeft w:val="0"/>
      <w:marRight w:val="0"/>
      <w:marTop w:val="0"/>
      <w:marBottom w:val="0"/>
      <w:divBdr>
        <w:top w:val="none" w:sz="0" w:space="0" w:color="auto"/>
        <w:left w:val="none" w:sz="0" w:space="0" w:color="auto"/>
        <w:bottom w:val="none" w:sz="0" w:space="0" w:color="auto"/>
        <w:right w:val="none" w:sz="0" w:space="0" w:color="auto"/>
      </w:divBdr>
    </w:div>
    <w:div w:id="978847471">
      <w:bodyDiv w:val="1"/>
      <w:marLeft w:val="0"/>
      <w:marRight w:val="0"/>
      <w:marTop w:val="0"/>
      <w:marBottom w:val="0"/>
      <w:divBdr>
        <w:top w:val="none" w:sz="0" w:space="0" w:color="auto"/>
        <w:left w:val="none" w:sz="0" w:space="0" w:color="auto"/>
        <w:bottom w:val="none" w:sz="0" w:space="0" w:color="auto"/>
        <w:right w:val="none" w:sz="0" w:space="0" w:color="auto"/>
      </w:divBdr>
    </w:div>
    <w:div w:id="979119343">
      <w:bodyDiv w:val="1"/>
      <w:marLeft w:val="0"/>
      <w:marRight w:val="0"/>
      <w:marTop w:val="0"/>
      <w:marBottom w:val="0"/>
      <w:divBdr>
        <w:top w:val="none" w:sz="0" w:space="0" w:color="auto"/>
        <w:left w:val="none" w:sz="0" w:space="0" w:color="auto"/>
        <w:bottom w:val="none" w:sz="0" w:space="0" w:color="auto"/>
        <w:right w:val="none" w:sz="0" w:space="0" w:color="auto"/>
      </w:divBdr>
    </w:div>
    <w:div w:id="979307397">
      <w:bodyDiv w:val="1"/>
      <w:marLeft w:val="0"/>
      <w:marRight w:val="0"/>
      <w:marTop w:val="0"/>
      <w:marBottom w:val="0"/>
      <w:divBdr>
        <w:top w:val="none" w:sz="0" w:space="0" w:color="auto"/>
        <w:left w:val="none" w:sz="0" w:space="0" w:color="auto"/>
        <w:bottom w:val="none" w:sz="0" w:space="0" w:color="auto"/>
        <w:right w:val="none" w:sz="0" w:space="0" w:color="auto"/>
      </w:divBdr>
    </w:div>
    <w:div w:id="979577189">
      <w:bodyDiv w:val="1"/>
      <w:marLeft w:val="0"/>
      <w:marRight w:val="0"/>
      <w:marTop w:val="0"/>
      <w:marBottom w:val="0"/>
      <w:divBdr>
        <w:top w:val="none" w:sz="0" w:space="0" w:color="auto"/>
        <w:left w:val="none" w:sz="0" w:space="0" w:color="auto"/>
        <w:bottom w:val="none" w:sz="0" w:space="0" w:color="auto"/>
        <w:right w:val="none" w:sz="0" w:space="0" w:color="auto"/>
      </w:divBdr>
    </w:div>
    <w:div w:id="979773161">
      <w:bodyDiv w:val="1"/>
      <w:marLeft w:val="0"/>
      <w:marRight w:val="0"/>
      <w:marTop w:val="0"/>
      <w:marBottom w:val="0"/>
      <w:divBdr>
        <w:top w:val="none" w:sz="0" w:space="0" w:color="auto"/>
        <w:left w:val="none" w:sz="0" w:space="0" w:color="auto"/>
        <w:bottom w:val="none" w:sz="0" w:space="0" w:color="auto"/>
        <w:right w:val="none" w:sz="0" w:space="0" w:color="auto"/>
      </w:divBdr>
    </w:div>
    <w:div w:id="979968258">
      <w:bodyDiv w:val="1"/>
      <w:marLeft w:val="0"/>
      <w:marRight w:val="0"/>
      <w:marTop w:val="0"/>
      <w:marBottom w:val="0"/>
      <w:divBdr>
        <w:top w:val="none" w:sz="0" w:space="0" w:color="auto"/>
        <w:left w:val="none" w:sz="0" w:space="0" w:color="auto"/>
        <w:bottom w:val="none" w:sz="0" w:space="0" w:color="auto"/>
        <w:right w:val="none" w:sz="0" w:space="0" w:color="auto"/>
      </w:divBdr>
    </w:div>
    <w:div w:id="980039639">
      <w:bodyDiv w:val="1"/>
      <w:marLeft w:val="0"/>
      <w:marRight w:val="0"/>
      <w:marTop w:val="0"/>
      <w:marBottom w:val="0"/>
      <w:divBdr>
        <w:top w:val="none" w:sz="0" w:space="0" w:color="auto"/>
        <w:left w:val="none" w:sz="0" w:space="0" w:color="auto"/>
        <w:bottom w:val="none" w:sz="0" w:space="0" w:color="auto"/>
        <w:right w:val="none" w:sz="0" w:space="0" w:color="auto"/>
      </w:divBdr>
    </w:div>
    <w:div w:id="980423438">
      <w:bodyDiv w:val="1"/>
      <w:marLeft w:val="0"/>
      <w:marRight w:val="0"/>
      <w:marTop w:val="0"/>
      <w:marBottom w:val="0"/>
      <w:divBdr>
        <w:top w:val="none" w:sz="0" w:space="0" w:color="auto"/>
        <w:left w:val="none" w:sz="0" w:space="0" w:color="auto"/>
        <w:bottom w:val="none" w:sz="0" w:space="0" w:color="auto"/>
        <w:right w:val="none" w:sz="0" w:space="0" w:color="auto"/>
      </w:divBdr>
    </w:div>
    <w:div w:id="980497373">
      <w:bodyDiv w:val="1"/>
      <w:marLeft w:val="0"/>
      <w:marRight w:val="0"/>
      <w:marTop w:val="0"/>
      <w:marBottom w:val="0"/>
      <w:divBdr>
        <w:top w:val="none" w:sz="0" w:space="0" w:color="auto"/>
        <w:left w:val="none" w:sz="0" w:space="0" w:color="auto"/>
        <w:bottom w:val="none" w:sz="0" w:space="0" w:color="auto"/>
        <w:right w:val="none" w:sz="0" w:space="0" w:color="auto"/>
      </w:divBdr>
    </w:div>
    <w:div w:id="982122991">
      <w:bodyDiv w:val="1"/>
      <w:marLeft w:val="0"/>
      <w:marRight w:val="0"/>
      <w:marTop w:val="0"/>
      <w:marBottom w:val="0"/>
      <w:divBdr>
        <w:top w:val="none" w:sz="0" w:space="0" w:color="auto"/>
        <w:left w:val="none" w:sz="0" w:space="0" w:color="auto"/>
        <w:bottom w:val="none" w:sz="0" w:space="0" w:color="auto"/>
        <w:right w:val="none" w:sz="0" w:space="0" w:color="auto"/>
      </w:divBdr>
    </w:div>
    <w:div w:id="982201519">
      <w:bodyDiv w:val="1"/>
      <w:marLeft w:val="0"/>
      <w:marRight w:val="0"/>
      <w:marTop w:val="0"/>
      <w:marBottom w:val="0"/>
      <w:divBdr>
        <w:top w:val="none" w:sz="0" w:space="0" w:color="auto"/>
        <w:left w:val="none" w:sz="0" w:space="0" w:color="auto"/>
        <w:bottom w:val="none" w:sz="0" w:space="0" w:color="auto"/>
        <w:right w:val="none" w:sz="0" w:space="0" w:color="auto"/>
      </w:divBdr>
    </w:div>
    <w:div w:id="982931377">
      <w:bodyDiv w:val="1"/>
      <w:marLeft w:val="0"/>
      <w:marRight w:val="0"/>
      <w:marTop w:val="0"/>
      <w:marBottom w:val="0"/>
      <w:divBdr>
        <w:top w:val="none" w:sz="0" w:space="0" w:color="auto"/>
        <w:left w:val="none" w:sz="0" w:space="0" w:color="auto"/>
        <w:bottom w:val="none" w:sz="0" w:space="0" w:color="auto"/>
        <w:right w:val="none" w:sz="0" w:space="0" w:color="auto"/>
      </w:divBdr>
    </w:div>
    <w:div w:id="983198706">
      <w:bodyDiv w:val="1"/>
      <w:marLeft w:val="0"/>
      <w:marRight w:val="0"/>
      <w:marTop w:val="0"/>
      <w:marBottom w:val="0"/>
      <w:divBdr>
        <w:top w:val="none" w:sz="0" w:space="0" w:color="auto"/>
        <w:left w:val="none" w:sz="0" w:space="0" w:color="auto"/>
        <w:bottom w:val="none" w:sz="0" w:space="0" w:color="auto"/>
        <w:right w:val="none" w:sz="0" w:space="0" w:color="auto"/>
      </w:divBdr>
    </w:div>
    <w:div w:id="983433357">
      <w:bodyDiv w:val="1"/>
      <w:marLeft w:val="0"/>
      <w:marRight w:val="0"/>
      <w:marTop w:val="0"/>
      <w:marBottom w:val="0"/>
      <w:divBdr>
        <w:top w:val="none" w:sz="0" w:space="0" w:color="auto"/>
        <w:left w:val="none" w:sz="0" w:space="0" w:color="auto"/>
        <w:bottom w:val="none" w:sz="0" w:space="0" w:color="auto"/>
        <w:right w:val="none" w:sz="0" w:space="0" w:color="auto"/>
      </w:divBdr>
    </w:div>
    <w:div w:id="984891707">
      <w:bodyDiv w:val="1"/>
      <w:marLeft w:val="0"/>
      <w:marRight w:val="0"/>
      <w:marTop w:val="0"/>
      <w:marBottom w:val="0"/>
      <w:divBdr>
        <w:top w:val="none" w:sz="0" w:space="0" w:color="auto"/>
        <w:left w:val="none" w:sz="0" w:space="0" w:color="auto"/>
        <w:bottom w:val="none" w:sz="0" w:space="0" w:color="auto"/>
        <w:right w:val="none" w:sz="0" w:space="0" w:color="auto"/>
      </w:divBdr>
    </w:div>
    <w:div w:id="984967082">
      <w:bodyDiv w:val="1"/>
      <w:marLeft w:val="0"/>
      <w:marRight w:val="0"/>
      <w:marTop w:val="0"/>
      <w:marBottom w:val="0"/>
      <w:divBdr>
        <w:top w:val="none" w:sz="0" w:space="0" w:color="auto"/>
        <w:left w:val="none" w:sz="0" w:space="0" w:color="auto"/>
        <w:bottom w:val="none" w:sz="0" w:space="0" w:color="auto"/>
        <w:right w:val="none" w:sz="0" w:space="0" w:color="auto"/>
      </w:divBdr>
    </w:div>
    <w:div w:id="985358871">
      <w:bodyDiv w:val="1"/>
      <w:marLeft w:val="0"/>
      <w:marRight w:val="0"/>
      <w:marTop w:val="0"/>
      <w:marBottom w:val="0"/>
      <w:divBdr>
        <w:top w:val="none" w:sz="0" w:space="0" w:color="auto"/>
        <w:left w:val="none" w:sz="0" w:space="0" w:color="auto"/>
        <w:bottom w:val="none" w:sz="0" w:space="0" w:color="auto"/>
        <w:right w:val="none" w:sz="0" w:space="0" w:color="auto"/>
      </w:divBdr>
    </w:div>
    <w:div w:id="985818415">
      <w:bodyDiv w:val="1"/>
      <w:marLeft w:val="0"/>
      <w:marRight w:val="0"/>
      <w:marTop w:val="0"/>
      <w:marBottom w:val="0"/>
      <w:divBdr>
        <w:top w:val="none" w:sz="0" w:space="0" w:color="auto"/>
        <w:left w:val="none" w:sz="0" w:space="0" w:color="auto"/>
        <w:bottom w:val="none" w:sz="0" w:space="0" w:color="auto"/>
        <w:right w:val="none" w:sz="0" w:space="0" w:color="auto"/>
      </w:divBdr>
    </w:div>
    <w:div w:id="986545410">
      <w:bodyDiv w:val="1"/>
      <w:marLeft w:val="0"/>
      <w:marRight w:val="0"/>
      <w:marTop w:val="0"/>
      <w:marBottom w:val="0"/>
      <w:divBdr>
        <w:top w:val="none" w:sz="0" w:space="0" w:color="auto"/>
        <w:left w:val="none" w:sz="0" w:space="0" w:color="auto"/>
        <w:bottom w:val="none" w:sz="0" w:space="0" w:color="auto"/>
        <w:right w:val="none" w:sz="0" w:space="0" w:color="auto"/>
      </w:divBdr>
    </w:div>
    <w:div w:id="986856704">
      <w:bodyDiv w:val="1"/>
      <w:marLeft w:val="0"/>
      <w:marRight w:val="0"/>
      <w:marTop w:val="0"/>
      <w:marBottom w:val="0"/>
      <w:divBdr>
        <w:top w:val="none" w:sz="0" w:space="0" w:color="auto"/>
        <w:left w:val="none" w:sz="0" w:space="0" w:color="auto"/>
        <w:bottom w:val="none" w:sz="0" w:space="0" w:color="auto"/>
        <w:right w:val="none" w:sz="0" w:space="0" w:color="auto"/>
      </w:divBdr>
    </w:div>
    <w:div w:id="988170203">
      <w:bodyDiv w:val="1"/>
      <w:marLeft w:val="0"/>
      <w:marRight w:val="0"/>
      <w:marTop w:val="0"/>
      <w:marBottom w:val="0"/>
      <w:divBdr>
        <w:top w:val="none" w:sz="0" w:space="0" w:color="auto"/>
        <w:left w:val="none" w:sz="0" w:space="0" w:color="auto"/>
        <w:bottom w:val="none" w:sz="0" w:space="0" w:color="auto"/>
        <w:right w:val="none" w:sz="0" w:space="0" w:color="auto"/>
      </w:divBdr>
    </w:div>
    <w:div w:id="988444011">
      <w:bodyDiv w:val="1"/>
      <w:marLeft w:val="0"/>
      <w:marRight w:val="0"/>
      <w:marTop w:val="0"/>
      <w:marBottom w:val="0"/>
      <w:divBdr>
        <w:top w:val="none" w:sz="0" w:space="0" w:color="auto"/>
        <w:left w:val="none" w:sz="0" w:space="0" w:color="auto"/>
        <w:bottom w:val="none" w:sz="0" w:space="0" w:color="auto"/>
        <w:right w:val="none" w:sz="0" w:space="0" w:color="auto"/>
      </w:divBdr>
    </w:div>
    <w:div w:id="989554575">
      <w:bodyDiv w:val="1"/>
      <w:marLeft w:val="0"/>
      <w:marRight w:val="0"/>
      <w:marTop w:val="0"/>
      <w:marBottom w:val="0"/>
      <w:divBdr>
        <w:top w:val="none" w:sz="0" w:space="0" w:color="auto"/>
        <w:left w:val="none" w:sz="0" w:space="0" w:color="auto"/>
        <w:bottom w:val="none" w:sz="0" w:space="0" w:color="auto"/>
        <w:right w:val="none" w:sz="0" w:space="0" w:color="auto"/>
      </w:divBdr>
    </w:div>
    <w:div w:id="990214166">
      <w:bodyDiv w:val="1"/>
      <w:marLeft w:val="0"/>
      <w:marRight w:val="0"/>
      <w:marTop w:val="0"/>
      <w:marBottom w:val="0"/>
      <w:divBdr>
        <w:top w:val="none" w:sz="0" w:space="0" w:color="auto"/>
        <w:left w:val="none" w:sz="0" w:space="0" w:color="auto"/>
        <w:bottom w:val="none" w:sz="0" w:space="0" w:color="auto"/>
        <w:right w:val="none" w:sz="0" w:space="0" w:color="auto"/>
      </w:divBdr>
    </w:div>
    <w:div w:id="990520901">
      <w:bodyDiv w:val="1"/>
      <w:marLeft w:val="0"/>
      <w:marRight w:val="0"/>
      <w:marTop w:val="0"/>
      <w:marBottom w:val="0"/>
      <w:divBdr>
        <w:top w:val="none" w:sz="0" w:space="0" w:color="auto"/>
        <w:left w:val="none" w:sz="0" w:space="0" w:color="auto"/>
        <w:bottom w:val="none" w:sz="0" w:space="0" w:color="auto"/>
        <w:right w:val="none" w:sz="0" w:space="0" w:color="auto"/>
      </w:divBdr>
    </w:div>
    <w:div w:id="990595022">
      <w:bodyDiv w:val="1"/>
      <w:marLeft w:val="0"/>
      <w:marRight w:val="0"/>
      <w:marTop w:val="0"/>
      <w:marBottom w:val="0"/>
      <w:divBdr>
        <w:top w:val="none" w:sz="0" w:space="0" w:color="auto"/>
        <w:left w:val="none" w:sz="0" w:space="0" w:color="auto"/>
        <w:bottom w:val="none" w:sz="0" w:space="0" w:color="auto"/>
        <w:right w:val="none" w:sz="0" w:space="0" w:color="auto"/>
      </w:divBdr>
    </w:div>
    <w:div w:id="991181555">
      <w:bodyDiv w:val="1"/>
      <w:marLeft w:val="0"/>
      <w:marRight w:val="0"/>
      <w:marTop w:val="0"/>
      <w:marBottom w:val="0"/>
      <w:divBdr>
        <w:top w:val="none" w:sz="0" w:space="0" w:color="auto"/>
        <w:left w:val="none" w:sz="0" w:space="0" w:color="auto"/>
        <w:bottom w:val="none" w:sz="0" w:space="0" w:color="auto"/>
        <w:right w:val="none" w:sz="0" w:space="0" w:color="auto"/>
      </w:divBdr>
    </w:div>
    <w:div w:id="992490220">
      <w:bodyDiv w:val="1"/>
      <w:marLeft w:val="0"/>
      <w:marRight w:val="0"/>
      <w:marTop w:val="0"/>
      <w:marBottom w:val="0"/>
      <w:divBdr>
        <w:top w:val="none" w:sz="0" w:space="0" w:color="auto"/>
        <w:left w:val="none" w:sz="0" w:space="0" w:color="auto"/>
        <w:bottom w:val="none" w:sz="0" w:space="0" w:color="auto"/>
        <w:right w:val="none" w:sz="0" w:space="0" w:color="auto"/>
      </w:divBdr>
    </w:div>
    <w:div w:id="993337585">
      <w:bodyDiv w:val="1"/>
      <w:marLeft w:val="0"/>
      <w:marRight w:val="0"/>
      <w:marTop w:val="0"/>
      <w:marBottom w:val="0"/>
      <w:divBdr>
        <w:top w:val="none" w:sz="0" w:space="0" w:color="auto"/>
        <w:left w:val="none" w:sz="0" w:space="0" w:color="auto"/>
        <w:bottom w:val="none" w:sz="0" w:space="0" w:color="auto"/>
        <w:right w:val="none" w:sz="0" w:space="0" w:color="auto"/>
      </w:divBdr>
    </w:div>
    <w:div w:id="993529967">
      <w:bodyDiv w:val="1"/>
      <w:marLeft w:val="0"/>
      <w:marRight w:val="0"/>
      <w:marTop w:val="0"/>
      <w:marBottom w:val="0"/>
      <w:divBdr>
        <w:top w:val="none" w:sz="0" w:space="0" w:color="auto"/>
        <w:left w:val="none" w:sz="0" w:space="0" w:color="auto"/>
        <w:bottom w:val="none" w:sz="0" w:space="0" w:color="auto"/>
        <w:right w:val="none" w:sz="0" w:space="0" w:color="auto"/>
      </w:divBdr>
    </w:div>
    <w:div w:id="993680227">
      <w:bodyDiv w:val="1"/>
      <w:marLeft w:val="0"/>
      <w:marRight w:val="0"/>
      <w:marTop w:val="0"/>
      <w:marBottom w:val="0"/>
      <w:divBdr>
        <w:top w:val="none" w:sz="0" w:space="0" w:color="auto"/>
        <w:left w:val="none" w:sz="0" w:space="0" w:color="auto"/>
        <w:bottom w:val="none" w:sz="0" w:space="0" w:color="auto"/>
        <w:right w:val="none" w:sz="0" w:space="0" w:color="auto"/>
      </w:divBdr>
    </w:div>
    <w:div w:id="995259230">
      <w:bodyDiv w:val="1"/>
      <w:marLeft w:val="0"/>
      <w:marRight w:val="0"/>
      <w:marTop w:val="0"/>
      <w:marBottom w:val="0"/>
      <w:divBdr>
        <w:top w:val="none" w:sz="0" w:space="0" w:color="auto"/>
        <w:left w:val="none" w:sz="0" w:space="0" w:color="auto"/>
        <w:bottom w:val="none" w:sz="0" w:space="0" w:color="auto"/>
        <w:right w:val="none" w:sz="0" w:space="0" w:color="auto"/>
      </w:divBdr>
    </w:div>
    <w:div w:id="995298643">
      <w:bodyDiv w:val="1"/>
      <w:marLeft w:val="0"/>
      <w:marRight w:val="0"/>
      <w:marTop w:val="0"/>
      <w:marBottom w:val="0"/>
      <w:divBdr>
        <w:top w:val="none" w:sz="0" w:space="0" w:color="auto"/>
        <w:left w:val="none" w:sz="0" w:space="0" w:color="auto"/>
        <w:bottom w:val="none" w:sz="0" w:space="0" w:color="auto"/>
        <w:right w:val="none" w:sz="0" w:space="0" w:color="auto"/>
      </w:divBdr>
    </w:div>
    <w:div w:id="995689226">
      <w:bodyDiv w:val="1"/>
      <w:marLeft w:val="0"/>
      <w:marRight w:val="0"/>
      <w:marTop w:val="0"/>
      <w:marBottom w:val="0"/>
      <w:divBdr>
        <w:top w:val="none" w:sz="0" w:space="0" w:color="auto"/>
        <w:left w:val="none" w:sz="0" w:space="0" w:color="auto"/>
        <w:bottom w:val="none" w:sz="0" w:space="0" w:color="auto"/>
        <w:right w:val="none" w:sz="0" w:space="0" w:color="auto"/>
      </w:divBdr>
    </w:div>
    <w:div w:id="997614151">
      <w:bodyDiv w:val="1"/>
      <w:marLeft w:val="0"/>
      <w:marRight w:val="0"/>
      <w:marTop w:val="0"/>
      <w:marBottom w:val="0"/>
      <w:divBdr>
        <w:top w:val="none" w:sz="0" w:space="0" w:color="auto"/>
        <w:left w:val="none" w:sz="0" w:space="0" w:color="auto"/>
        <w:bottom w:val="none" w:sz="0" w:space="0" w:color="auto"/>
        <w:right w:val="none" w:sz="0" w:space="0" w:color="auto"/>
      </w:divBdr>
    </w:div>
    <w:div w:id="997925581">
      <w:bodyDiv w:val="1"/>
      <w:marLeft w:val="0"/>
      <w:marRight w:val="0"/>
      <w:marTop w:val="0"/>
      <w:marBottom w:val="0"/>
      <w:divBdr>
        <w:top w:val="none" w:sz="0" w:space="0" w:color="auto"/>
        <w:left w:val="none" w:sz="0" w:space="0" w:color="auto"/>
        <w:bottom w:val="none" w:sz="0" w:space="0" w:color="auto"/>
        <w:right w:val="none" w:sz="0" w:space="0" w:color="auto"/>
      </w:divBdr>
    </w:div>
    <w:div w:id="998579764">
      <w:bodyDiv w:val="1"/>
      <w:marLeft w:val="0"/>
      <w:marRight w:val="0"/>
      <w:marTop w:val="0"/>
      <w:marBottom w:val="0"/>
      <w:divBdr>
        <w:top w:val="none" w:sz="0" w:space="0" w:color="auto"/>
        <w:left w:val="none" w:sz="0" w:space="0" w:color="auto"/>
        <w:bottom w:val="none" w:sz="0" w:space="0" w:color="auto"/>
        <w:right w:val="none" w:sz="0" w:space="0" w:color="auto"/>
      </w:divBdr>
    </w:div>
    <w:div w:id="998734018">
      <w:bodyDiv w:val="1"/>
      <w:marLeft w:val="0"/>
      <w:marRight w:val="0"/>
      <w:marTop w:val="0"/>
      <w:marBottom w:val="0"/>
      <w:divBdr>
        <w:top w:val="none" w:sz="0" w:space="0" w:color="auto"/>
        <w:left w:val="none" w:sz="0" w:space="0" w:color="auto"/>
        <w:bottom w:val="none" w:sz="0" w:space="0" w:color="auto"/>
        <w:right w:val="none" w:sz="0" w:space="0" w:color="auto"/>
      </w:divBdr>
    </w:div>
    <w:div w:id="999575132">
      <w:bodyDiv w:val="1"/>
      <w:marLeft w:val="0"/>
      <w:marRight w:val="0"/>
      <w:marTop w:val="0"/>
      <w:marBottom w:val="0"/>
      <w:divBdr>
        <w:top w:val="none" w:sz="0" w:space="0" w:color="auto"/>
        <w:left w:val="none" w:sz="0" w:space="0" w:color="auto"/>
        <w:bottom w:val="none" w:sz="0" w:space="0" w:color="auto"/>
        <w:right w:val="none" w:sz="0" w:space="0" w:color="auto"/>
      </w:divBdr>
    </w:div>
    <w:div w:id="1000276476">
      <w:bodyDiv w:val="1"/>
      <w:marLeft w:val="0"/>
      <w:marRight w:val="0"/>
      <w:marTop w:val="0"/>
      <w:marBottom w:val="0"/>
      <w:divBdr>
        <w:top w:val="none" w:sz="0" w:space="0" w:color="auto"/>
        <w:left w:val="none" w:sz="0" w:space="0" w:color="auto"/>
        <w:bottom w:val="none" w:sz="0" w:space="0" w:color="auto"/>
        <w:right w:val="none" w:sz="0" w:space="0" w:color="auto"/>
      </w:divBdr>
    </w:div>
    <w:div w:id="1000547131">
      <w:bodyDiv w:val="1"/>
      <w:marLeft w:val="0"/>
      <w:marRight w:val="0"/>
      <w:marTop w:val="0"/>
      <w:marBottom w:val="0"/>
      <w:divBdr>
        <w:top w:val="none" w:sz="0" w:space="0" w:color="auto"/>
        <w:left w:val="none" w:sz="0" w:space="0" w:color="auto"/>
        <w:bottom w:val="none" w:sz="0" w:space="0" w:color="auto"/>
        <w:right w:val="none" w:sz="0" w:space="0" w:color="auto"/>
      </w:divBdr>
    </w:div>
    <w:div w:id="1001159650">
      <w:bodyDiv w:val="1"/>
      <w:marLeft w:val="0"/>
      <w:marRight w:val="0"/>
      <w:marTop w:val="0"/>
      <w:marBottom w:val="0"/>
      <w:divBdr>
        <w:top w:val="none" w:sz="0" w:space="0" w:color="auto"/>
        <w:left w:val="none" w:sz="0" w:space="0" w:color="auto"/>
        <w:bottom w:val="none" w:sz="0" w:space="0" w:color="auto"/>
        <w:right w:val="none" w:sz="0" w:space="0" w:color="auto"/>
      </w:divBdr>
    </w:div>
    <w:div w:id="1003120065">
      <w:bodyDiv w:val="1"/>
      <w:marLeft w:val="0"/>
      <w:marRight w:val="0"/>
      <w:marTop w:val="0"/>
      <w:marBottom w:val="0"/>
      <w:divBdr>
        <w:top w:val="none" w:sz="0" w:space="0" w:color="auto"/>
        <w:left w:val="none" w:sz="0" w:space="0" w:color="auto"/>
        <w:bottom w:val="none" w:sz="0" w:space="0" w:color="auto"/>
        <w:right w:val="none" w:sz="0" w:space="0" w:color="auto"/>
      </w:divBdr>
    </w:div>
    <w:div w:id="1003556266">
      <w:bodyDiv w:val="1"/>
      <w:marLeft w:val="0"/>
      <w:marRight w:val="0"/>
      <w:marTop w:val="0"/>
      <w:marBottom w:val="0"/>
      <w:divBdr>
        <w:top w:val="none" w:sz="0" w:space="0" w:color="auto"/>
        <w:left w:val="none" w:sz="0" w:space="0" w:color="auto"/>
        <w:bottom w:val="none" w:sz="0" w:space="0" w:color="auto"/>
        <w:right w:val="none" w:sz="0" w:space="0" w:color="auto"/>
      </w:divBdr>
    </w:div>
    <w:div w:id="1003557756">
      <w:bodyDiv w:val="1"/>
      <w:marLeft w:val="0"/>
      <w:marRight w:val="0"/>
      <w:marTop w:val="0"/>
      <w:marBottom w:val="0"/>
      <w:divBdr>
        <w:top w:val="none" w:sz="0" w:space="0" w:color="auto"/>
        <w:left w:val="none" w:sz="0" w:space="0" w:color="auto"/>
        <w:bottom w:val="none" w:sz="0" w:space="0" w:color="auto"/>
        <w:right w:val="none" w:sz="0" w:space="0" w:color="auto"/>
      </w:divBdr>
    </w:div>
    <w:div w:id="1003628751">
      <w:bodyDiv w:val="1"/>
      <w:marLeft w:val="0"/>
      <w:marRight w:val="0"/>
      <w:marTop w:val="0"/>
      <w:marBottom w:val="0"/>
      <w:divBdr>
        <w:top w:val="none" w:sz="0" w:space="0" w:color="auto"/>
        <w:left w:val="none" w:sz="0" w:space="0" w:color="auto"/>
        <w:bottom w:val="none" w:sz="0" w:space="0" w:color="auto"/>
        <w:right w:val="none" w:sz="0" w:space="0" w:color="auto"/>
      </w:divBdr>
    </w:div>
    <w:div w:id="1004211510">
      <w:bodyDiv w:val="1"/>
      <w:marLeft w:val="0"/>
      <w:marRight w:val="0"/>
      <w:marTop w:val="0"/>
      <w:marBottom w:val="0"/>
      <w:divBdr>
        <w:top w:val="none" w:sz="0" w:space="0" w:color="auto"/>
        <w:left w:val="none" w:sz="0" w:space="0" w:color="auto"/>
        <w:bottom w:val="none" w:sz="0" w:space="0" w:color="auto"/>
        <w:right w:val="none" w:sz="0" w:space="0" w:color="auto"/>
      </w:divBdr>
    </w:div>
    <w:div w:id="1004938836">
      <w:bodyDiv w:val="1"/>
      <w:marLeft w:val="0"/>
      <w:marRight w:val="0"/>
      <w:marTop w:val="0"/>
      <w:marBottom w:val="0"/>
      <w:divBdr>
        <w:top w:val="none" w:sz="0" w:space="0" w:color="auto"/>
        <w:left w:val="none" w:sz="0" w:space="0" w:color="auto"/>
        <w:bottom w:val="none" w:sz="0" w:space="0" w:color="auto"/>
        <w:right w:val="none" w:sz="0" w:space="0" w:color="auto"/>
      </w:divBdr>
    </w:div>
    <w:div w:id="1005547340">
      <w:bodyDiv w:val="1"/>
      <w:marLeft w:val="0"/>
      <w:marRight w:val="0"/>
      <w:marTop w:val="0"/>
      <w:marBottom w:val="0"/>
      <w:divBdr>
        <w:top w:val="none" w:sz="0" w:space="0" w:color="auto"/>
        <w:left w:val="none" w:sz="0" w:space="0" w:color="auto"/>
        <w:bottom w:val="none" w:sz="0" w:space="0" w:color="auto"/>
        <w:right w:val="none" w:sz="0" w:space="0" w:color="auto"/>
      </w:divBdr>
    </w:div>
    <w:div w:id="1005743017">
      <w:bodyDiv w:val="1"/>
      <w:marLeft w:val="0"/>
      <w:marRight w:val="0"/>
      <w:marTop w:val="0"/>
      <w:marBottom w:val="0"/>
      <w:divBdr>
        <w:top w:val="none" w:sz="0" w:space="0" w:color="auto"/>
        <w:left w:val="none" w:sz="0" w:space="0" w:color="auto"/>
        <w:bottom w:val="none" w:sz="0" w:space="0" w:color="auto"/>
        <w:right w:val="none" w:sz="0" w:space="0" w:color="auto"/>
      </w:divBdr>
    </w:div>
    <w:div w:id="1005985296">
      <w:bodyDiv w:val="1"/>
      <w:marLeft w:val="0"/>
      <w:marRight w:val="0"/>
      <w:marTop w:val="0"/>
      <w:marBottom w:val="0"/>
      <w:divBdr>
        <w:top w:val="none" w:sz="0" w:space="0" w:color="auto"/>
        <w:left w:val="none" w:sz="0" w:space="0" w:color="auto"/>
        <w:bottom w:val="none" w:sz="0" w:space="0" w:color="auto"/>
        <w:right w:val="none" w:sz="0" w:space="0" w:color="auto"/>
      </w:divBdr>
    </w:div>
    <w:div w:id="1006060488">
      <w:bodyDiv w:val="1"/>
      <w:marLeft w:val="0"/>
      <w:marRight w:val="0"/>
      <w:marTop w:val="0"/>
      <w:marBottom w:val="0"/>
      <w:divBdr>
        <w:top w:val="none" w:sz="0" w:space="0" w:color="auto"/>
        <w:left w:val="none" w:sz="0" w:space="0" w:color="auto"/>
        <w:bottom w:val="none" w:sz="0" w:space="0" w:color="auto"/>
        <w:right w:val="none" w:sz="0" w:space="0" w:color="auto"/>
      </w:divBdr>
    </w:div>
    <w:div w:id="1006130875">
      <w:bodyDiv w:val="1"/>
      <w:marLeft w:val="0"/>
      <w:marRight w:val="0"/>
      <w:marTop w:val="0"/>
      <w:marBottom w:val="0"/>
      <w:divBdr>
        <w:top w:val="none" w:sz="0" w:space="0" w:color="auto"/>
        <w:left w:val="none" w:sz="0" w:space="0" w:color="auto"/>
        <w:bottom w:val="none" w:sz="0" w:space="0" w:color="auto"/>
        <w:right w:val="none" w:sz="0" w:space="0" w:color="auto"/>
      </w:divBdr>
    </w:div>
    <w:div w:id="1007515982">
      <w:bodyDiv w:val="1"/>
      <w:marLeft w:val="0"/>
      <w:marRight w:val="0"/>
      <w:marTop w:val="0"/>
      <w:marBottom w:val="0"/>
      <w:divBdr>
        <w:top w:val="none" w:sz="0" w:space="0" w:color="auto"/>
        <w:left w:val="none" w:sz="0" w:space="0" w:color="auto"/>
        <w:bottom w:val="none" w:sz="0" w:space="0" w:color="auto"/>
        <w:right w:val="none" w:sz="0" w:space="0" w:color="auto"/>
      </w:divBdr>
    </w:div>
    <w:div w:id="1007825010">
      <w:bodyDiv w:val="1"/>
      <w:marLeft w:val="0"/>
      <w:marRight w:val="0"/>
      <w:marTop w:val="0"/>
      <w:marBottom w:val="0"/>
      <w:divBdr>
        <w:top w:val="none" w:sz="0" w:space="0" w:color="auto"/>
        <w:left w:val="none" w:sz="0" w:space="0" w:color="auto"/>
        <w:bottom w:val="none" w:sz="0" w:space="0" w:color="auto"/>
        <w:right w:val="none" w:sz="0" w:space="0" w:color="auto"/>
      </w:divBdr>
    </w:div>
    <w:div w:id="1009479184">
      <w:bodyDiv w:val="1"/>
      <w:marLeft w:val="0"/>
      <w:marRight w:val="0"/>
      <w:marTop w:val="0"/>
      <w:marBottom w:val="0"/>
      <w:divBdr>
        <w:top w:val="none" w:sz="0" w:space="0" w:color="auto"/>
        <w:left w:val="none" w:sz="0" w:space="0" w:color="auto"/>
        <w:bottom w:val="none" w:sz="0" w:space="0" w:color="auto"/>
        <w:right w:val="none" w:sz="0" w:space="0" w:color="auto"/>
      </w:divBdr>
    </w:div>
    <w:div w:id="1009722238">
      <w:bodyDiv w:val="1"/>
      <w:marLeft w:val="0"/>
      <w:marRight w:val="0"/>
      <w:marTop w:val="0"/>
      <w:marBottom w:val="0"/>
      <w:divBdr>
        <w:top w:val="none" w:sz="0" w:space="0" w:color="auto"/>
        <w:left w:val="none" w:sz="0" w:space="0" w:color="auto"/>
        <w:bottom w:val="none" w:sz="0" w:space="0" w:color="auto"/>
        <w:right w:val="none" w:sz="0" w:space="0" w:color="auto"/>
      </w:divBdr>
    </w:div>
    <w:div w:id="1009989993">
      <w:bodyDiv w:val="1"/>
      <w:marLeft w:val="0"/>
      <w:marRight w:val="0"/>
      <w:marTop w:val="0"/>
      <w:marBottom w:val="0"/>
      <w:divBdr>
        <w:top w:val="none" w:sz="0" w:space="0" w:color="auto"/>
        <w:left w:val="none" w:sz="0" w:space="0" w:color="auto"/>
        <w:bottom w:val="none" w:sz="0" w:space="0" w:color="auto"/>
        <w:right w:val="none" w:sz="0" w:space="0" w:color="auto"/>
      </w:divBdr>
    </w:div>
    <w:div w:id="1011105146">
      <w:bodyDiv w:val="1"/>
      <w:marLeft w:val="0"/>
      <w:marRight w:val="0"/>
      <w:marTop w:val="0"/>
      <w:marBottom w:val="0"/>
      <w:divBdr>
        <w:top w:val="none" w:sz="0" w:space="0" w:color="auto"/>
        <w:left w:val="none" w:sz="0" w:space="0" w:color="auto"/>
        <w:bottom w:val="none" w:sz="0" w:space="0" w:color="auto"/>
        <w:right w:val="none" w:sz="0" w:space="0" w:color="auto"/>
      </w:divBdr>
    </w:div>
    <w:div w:id="1011494001">
      <w:bodyDiv w:val="1"/>
      <w:marLeft w:val="0"/>
      <w:marRight w:val="0"/>
      <w:marTop w:val="0"/>
      <w:marBottom w:val="0"/>
      <w:divBdr>
        <w:top w:val="none" w:sz="0" w:space="0" w:color="auto"/>
        <w:left w:val="none" w:sz="0" w:space="0" w:color="auto"/>
        <w:bottom w:val="none" w:sz="0" w:space="0" w:color="auto"/>
        <w:right w:val="none" w:sz="0" w:space="0" w:color="auto"/>
      </w:divBdr>
    </w:div>
    <w:div w:id="1011571409">
      <w:bodyDiv w:val="1"/>
      <w:marLeft w:val="0"/>
      <w:marRight w:val="0"/>
      <w:marTop w:val="0"/>
      <w:marBottom w:val="0"/>
      <w:divBdr>
        <w:top w:val="none" w:sz="0" w:space="0" w:color="auto"/>
        <w:left w:val="none" w:sz="0" w:space="0" w:color="auto"/>
        <w:bottom w:val="none" w:sz="0" w:space="0" w:color="auto"/>
        <w:right w:val="none" w:sz="0" w:space="0" w:color="auto"/>
      </w:divBdr>
    </w:div>
    <w:div w:id="1012299992">
      <w:bodyDiv w:val="1"/>
      <w:marLeft w:val="0"/>
      <w:marRight w:val="0"/>
      <w:marTop w:val="0"/>
      <w:marBottom w:val="0"/>
      <w:divBdr>
        <w:top w:val="none" w:sz="0" w:space="0" w:color="auto"/>
        <w:left w:val="none" w:sz="0" w:space="0" w:color="auto"/>
        <w:bottom w:val="none" w:sz="0" w:space="0" w:color="auto"/>
        <w:right w:val="none" w:sz="0" w:space="0" w:color="auto"/>
      </w:divBdr>
    </w:div>
    <w:div w:id="1012682486">
      <w:bodyDiv w:val="1"/>
      <w:marLeft w:val="0"/>
      <w:marRight w:val="0"/>
      <w:marTop w:val="0"/>
      <w:marBottom w:val="0"/>
      <w:divBdr>
        <w:top w:val="none" w:sz="0" w:space="0" w:color="auto"/>
        <w:left w:val="none" w:sz="0" w:space="0" w:color="auto"/>
        <w:bottom w:val="none" w:sz="0" w:space="0" w:color="auto"/>
        <w:right w:val="none" w:sz="0" w:space="0" w:color="auto"/>
      </w:divBdr>
    </w:div>
    <w:div w:id="1012687210">
      <w:bodyDiv w:val="1"/>
      <w:marLeft w:val="0"/>
      <w:marRight w:val="0"/>
      <w:marTop w:val="0"/>
      <w:marBottom w:val="0"/>
      <w:divBdr>
        <w:top w:val="none" w:sz="0" w:space="0" w:color="auto"/>
        <w:left w:val="none" w:sz="0" w:space="0" w:color="auto"/>
        <w:bottom w:val="none" w:sz="0" w:space="0" w:color="auto"/>
        <w:right w:val="none" w:sz="0" w:space="0" w:color="auto"/>
      </w:divBdr>
    </w:div>
    <w:div w:id="1012948236">
      <w:bodyDiv w:val="1"/>
      <w:marLeft w:val="0"/>
      <w:marRight w:val="0"/>
      <w:marTop w:val="0"/>
      <w:marBottom w:val="0"/>
      <w:divBdr>
        <w:top w:val="none" w:sz="0" w:space="0" w:color="auto"/>
        <w:left w:val="none" w:sz="0" w:space="0" w:color="auto"/>
        <w:bottom w:val="none" w:sz="0" w:space="0" w:color="auto"/>
        <w:right w:val="none" w:sz="0" w:space="0" w:color="auto"/>
      </w:divBdr>
    </w:div>
    <w:div w:id="1014452541">
      <w:bodyDiv w:val="1"/>
      <w:marLeft w:val="0"/>
      <w:marRight w:val="0"/>
      <w:marTop w:val="0"/>
      <w:marBottom w:val="0"/>
      <w:divBdr>
        <w:top w:val="none" w:sz="0" w:space="0" w:color="auto"/>
        <w:left w:val="none" w:sz="0" w:space="0" w:color="auto"/>
        <w:bottom w:val="none" w:sz="0" w:space="0" w:color="auto"/>
        <w:right w:val="none" w:sz="0" w:space="0" w:color="auto"/>
      </w:divBdr>
    </w:div>
    <w:div w:id="1014763796">
      <w:bodyDiv w:val="1"/>
      <w:marLeft w:val="0"/>
      <w:marRight w:val="0"/>
      <w:marTop w:val="0"/>
      <w:marBottom w:val="0"/>
      <w:divBdr>
        <w:top w:val="none" w:sz="0" w:space="0" w:color="auto"/>
        <w:left w:val="none" w:sz="0" w:space="0" w:color="auto"/>
        <w:bottom w:val="none" w:sz="0" w:space="0" w:color="auto"/>
        <w:right w:val="none" w:sz="0" w:space="0" w:color="auto"/>
      </w:divBdr>
    </w:div>
    <w:div w:id="1017386872">
      <w:bodyDiv w:val="1"/>
      <w:marLeft w:val="0"/>
      <w:marRight w:val="0"/>
      <w:marTop w:val="0"/>
      <w:marBottom w:val="0"/>
      <w:divBdr>
        <w:top w:val="none" w:sz="0" w:space="0" w:color="auto"/>
        <w:left w:val="none" w:sz="0" w:space="0" w:color="auto"/>
        <w:bottom w:val="none" w:sz="0" w:space="0" w:color="auto"/>
        <w:right w:val="none" w:sz="0" w:space="0" w:color="auto"/>
      </w:divBdr>
    </w:div>
    <w:div w:id="1018698426">
      <w:bodyDiv w:val="1"/>
      <w:marLeft w:val="0"/>
      <w:marRight w:val="0"/>
      <w:marTop w:val="0"/>
      <w:marBottom w:val="0"/>
      <w:divBdr>
        <w:top w:val="none" w:sz="0" w:space="0" w:color="auto"/>
        <w:left w:val="none" w:sz="0" w:space="0" w:color="auto"/>
        <w:bottom w:val="none" w:sz="0" w:space="0" w:color="auto"/>
        <w:right w:val="none" w:sz="0" w:space="0" w:color="auto"/>
      </w:divBdr>
    </w:div>
    <w:div w:id="1019968515">
      <w:bodyDiv w:val="1"/>
      <w:marLeft w:val="0"/>
      <w:marRight w:val="0"/>
      <w:marTop w:val="0"/>
      <w:marBottom w:val="0"/>
      <w:divBdr>
        <w:top w:val="none" w:sz="0" w:space="0" w:color="auto"/>
        <w:left w:val="none" w:sz="0" w:space="0" w:color="auto"/>
        <w:bottom w:val="none" w:sz="0" w:space="0" w:color="auto"/>
        <w:right w:val="none" w:sz="0" w:space="0" w:color="auto"/>
      </w:divBdr>
    </w:div>
    <w:div w:id="1021122567">
      <w:bodyDiv w:val="1"/>
      <w:marLeft w:val="0"/>
      <w:marRight w:val="0"/>
      <w:marTop w:val="0"/>
      <w:marBottom w:val="0"/>
      <w:divBdr>
        <w:top w:val="none" w:sz="0" w:space="0" w:color="auto"/>
        <w:left w:val="none" w:sz="0" w:space="0" w:color="auto"/>
        <w:bottom w:val="none" w:sz="0" w:space="0" w:color="auto"/>
        <w:right w:val="none" w:sz="0" w:space="0" w:color="auto"/>
      </w:divBdr>
    </w:div>
    <w:div w:id="1021928983">
      <w:bodyDiv w:val="1"/>
      <w:marLeft w:val="0"/>
      <w:marRight w:val="0"/>
      <w:marTop w:val="0"/>
      <w:marBottom w:val="0"/>
      <w:divBdr>
        <w:top w:val="none" w:sz="0" w:space="0" w:color="auto"/>
        <w:left w:val="none" w:sz="0" w:space="0" w:color="auto"/>
        <w:bottom w:val="none" w:sz="0" w:space="0" w:color="auto"/>
        <w:right w:val="none" w:sz="0" w:space="0" w:color="auto"/>
      </w:divBdr>
    </w:div>
    <w:div w:id="1022433442">
      <w:bodyDiv w:val="1"/>
      <w:marLeft w:val="0"/>
      <w:marRight w:val="0"/>
      <w:marTop w:val="0"/>
      <w:marBottom w:val="0"/>
      <w:divBdr>
        <w:top w:val="none" w:sz="0" w:space="0" w:color="auto"/>
        <w:left w:val="none" w:sz="0" w:space="0" w:color="auto"/>
        <w:bottom w:val="none" w:sz="0" w:space="0" w:color="auto"/>
        <w:right w:val="none" w:sz="0" w:space="0" w:color="auto"/>
      </w:divBdr>
    </w:div>
    <w:div w:id="1022513761">
      <w:bodyDiv w:val="1"/>
      <w:marLeft w:val="0"/>
      <w:marRight w:val="0"/>
      <w:marTop w:val="0"/>
      <w:marBottom w:val="0"/>
      <w:divBdr>
        <w:top w:val="none" w:sz="0" w:space="0" w:color="auto"/>
        <w:left w:val="none" w:sz="0" w:space="0" w:color="auto"/>
        <w:bottom w:val="none" w:sz="0" w:space="0" w:color="auto"/>
        <w:right w:val="none" w:sz="0" w:space="0" w:color="auto"/>
      </w:divBdr>
    </w:div>
    <w:div w:id="1023172213">
      <w:bodyDiv w:val="1"/>
      <w:marLeft w:val="0"/>
      <w:marRight w:val="0"/>
      <w:marTop w:val="0"/>
      <w:marBottom w:val="0"/>
      <w:divBdr>
        <w:top w:val="none" w:sz="0" w:space="0" w:color="auto"/>
        <w:left w:val="none" w:sz="0" w:space="0" w:color="auto"/>
        <w:bottom w:val="none" w:sz="0" w:space="0" w:color="auto"/>
        <w:right w:val="none" w:sz="0" w:space="0" w:color="auto"/>
      </w:divBdr>
    </w:div>
    <w:div w:id="1024095505">
      <w:bodyDiv w:val="1"/>
      <w:marLeft w:val="0"/>
      <w:marRight w:val="0"/>
      <w:marTop w:val="0"/>
      <w:marBottom w:val="0"/>
      <w:divBdr>
        <w:top w:val="none" w:sz="0" w:space="0" w:color="auto"/>
        <w:left w:val="none" w:sz="0" w:space="0" w:color="auto"/>
        <w:bottom w:val="none" w:sz="0" w:space="0" w:color="auto"/>
        <w:right w:val="none" w:sz="0" w:space="0" w:color="auto"/>
      </w:divBdr>
    </w:div>
    <w:div w:id="1024673177">
      <w:bodyDiv w:val="1"/>
      <w:marLeft w:val="0"/>
      <w:marRight w:val="0"/>
      <w:marTop w:val="0"/>
      <w:marBottom w:val="0"/>
      <w:divBdr>
        <w:top w:val="none" w:sz="0" w:space="0" w:color="auto"/>
        <w:left w:val="none" w:sz="0" w:space="0" w:color="auto"/>
        <w:bottom w:val="none" w:sz="0" w:space="0" w:color="auto"/>
        <w:right w:val="none" w:sz="0" w:space="0" w:color="auto"/>
      </w:divBdr>
    </w:div>
    <w:div w:id="1026295109">
      <w:bodyDiv w:val="1"/>
      <w:marLeft w:val="0"/>
      <w:marRight w:val="0"/>
      <w:marTop w:val="0"/>
      <w:marBottom w:val="0"/>
      <w:divBdr>
        <w:top w:val="none" w:sz="0" w:space="0" w:color="auto"/>
        <w:left w:val="none" w:sz="0" w:space="0" w:color="auto"/>
        <w:bottom w:val="none" w:sz="0" w:space="0" w:color="auto"/>
        <w:right w:val="none" w:sz="0" w:space="0" w:color="auto"/>
      </w:divBdr>
    </w:div>
    <w:div w:id="1026374081">
      <w:bodyDiv w:val="1"/>
      <w:marLeft w:val="0"/>
      <w:marRight w:val="0"/>
      <w:marTop w:val="0"/>
      <w:marBottom w:val="0"/>
      <w:divBdr>
        <w:top w:val="none" w:sz="0" w:space="0" w:color="auto"/>
        <w:left w:val="none" w:sz="0" w:space="0" w:color="auto"/>
        <w:bottom w:val="none" w:sz="0" w:space="0" w:color="auto"/>
        <w:right w:val="none" w:sz="0" w:space="0" w:color="auto"/>
      </w:divBdr>
    </w:div>
    <w:div w:id="1026444280">
      <w:bodyDiv w:val="1"/>
      <w:marLeft w:val="0"/>
      <w:marRight w:val="0"/>
      <w:marTop w:val="0"/>
      <w:marBottom w:val="0"/>
      <w:divBdr>
        <w:top w:val="none" w:sz="0" w:space="0" w:color="auto"/>
        <w:left w:val="none" w:sz="0" w:space="0" w:color="auto"/>
        <w:bottom w:val="none" w:sz="0" w:space="0" w:color="auto"/>
        <w:right w:val="none" w:sz="0" w:space="0" w:color="auto"/>
      </w:divBdr>
    </w:div>
    <w:div w:id="1026711109">
      <w:bodyDiv w:val="1"/>
      <w:marLeft w:val="0"/>
      <w:marRight w:val="0"/>
      <w:marTop w:val="0"/>
      <w:marBottom w:val="0"/>
      <w:divBdr>
        <w:top w:val="none" w:sz="0" w:space="0" w:color="auto"/>
        <w:left w:val="none" w:sz="0" w:space="0" w:color="auto"/>
        <w:bottom w:val="none" w:sz="0" w:space="0" w:color="auto"/>
        <w:right w:val="none" w:sz="0" w:space="0" w:color="auto"/>
      </w:divBdr>
    </w:div>
    <w:div w:id="1027023031">
      <w:bodyDiv w:val="1"/>
      <w:marLeft w:val="0"/>
      <w:marRight w:val="0"/>
      <w:marTop w:val="0"/>
      <w:marBottom w:val="0"/>
      <w:divBdr>
        <w:top w:val="none" w:sz="0" w:space="0" w:color="auto"/>
        <w:left w:val="none" w:sz="0" w:space="0" w:color="auto"/>
        <w:bottom w:val="none" w:sz="0" w:space="0" w:color="auto"/>
        <w:right w:val="none" w:sz="0" w:space="0" w:color="auto"/>
      </w:divBdr>
    </w:div>
    <w:div w:id="1027488316">
      <w:bodyDiv w:val="1"/>
      <w:marLeft w:val="0"/>
      <w:marRight w:val="0"/>
      <w:marTop w:val="0"/>
      <w:marBottom w:val="0"/>
      <w:divBdr>
        <w:top w:val="none" w:sz="0" w:space="0" w:color="auto"/>
        <w:left w:val="none" w:sz="0" w:space="0" w:color="auto"/>
        <w:bottom w:val="none" w:sz="0" w:space="0" w:color="auto"/>
        <w:right w:val="none" w:sz="0" w:space="0" w:color="auto"/>
      </w:divBdr>
    </w:div>
    <w:div w:id="1028987183">
      <w:bodyDiv w:val="1"/>
      <w:marLeft w:val="0"/>
      <w:marRight w:val="0"/>
      <w:marTop w:val="0"/>
      <w:marBottom w:val="0"/>
      <w:divBdr>
        <w:top w:val="none" w:sz="0" w:space="0" w:color="auto"/>
        <w:left w:val="none" w:sz="0" w:space="0" w:color="auto"/>
        <w:bottom w:val="none" w:sz="0" w:space="0" w:color="auto"/>
        <w:right w:val="none" w:sz="0" w:space="0" w:color="auto"/>
      </w:divBdr>
    </w:div>
    <w:div w:id="1029795144">
      <w:bodyDiv w:val="1"/>
      <w:marLeft w:val="0"/>
      <w:marRight w:val="0"/>
      <w:marTop w:val="0"/>
      <w:marBottom w:val="0"/>
      <w:divBdr>
        <w:top w:val="none" w:sz="0" w:space="0" w:color="auto"/>
        <w:left w:val="none" w:sz="0" w:space="0" w:color="auto"/>
        <w:bottom w:val="none" w:sz="0" w:space="0" w:color="auto"/>
        <w:right w:val="none" w:sz="0" w:space="0" w:color="auto"/>
      </w:divBdr>
    </w:div>
    <w:div w:id="1030374285">
      <w:bodyDiv w:val="1"/>
      <w:marLeft w:val="0"/>
      <w:marRight w:val="0"/>
      <w:marTop w:val="0"/>
      <w:marBottom w:val="0"/>
      <w:divBdr>
        <w:top w:val="none" w:sz="0" w:space="0" w:color="auto"/>
        <w:left w:val="none" w:sz="0" w:space="0" w:color="auto"/>
        <w:bottom w:val="none" w:sz="0" w:space="0" w:color="auto"/>
        <w:right w:val="none" w:sz="0" w:space="0" w:color="auto"/>
      </w:divBdr>
    </w:div>
    <w:div w:id="1030574456">
      <w:bodyDiv w:val="1"/>
      <w:marLeft w:val="0"/>
      <w:marRight w:val="0"/>
      <w:marTop w:val="0"/>
      <w:marBottom w:val="0"/>
      <w:divBdr>
        <w:top w:val="none" w:sz="0" w:space="0" w:color="auto"/>
        <w:left w:val="none" w:sz="0" w:space="0" w:color="auto"/>
        <w:bottom w:val="none" w:sz="0" w:space="0" w:color="auto"/>
        <w:right w:val="none" w:sz="0" w:space="0" w:color="auto"/>
      </w:divBdr>
    </w:div>
    <w:div w:id="1030837241">
      <w:bodyDiv w:val="1"/>
      <w:marLeft w:val="0"/>
      <w:marRight w:val="0"/>
      <w:marTop w:val="0"/>
      <w:marBottom w:val="0"/>
      <w:divBdr>
        <w:top w:val="none" w:sz="0" w:space="0" w:color="auto"/>
        <w:left w:val="none" w:sz="0" w:space="0" w:color="auto"/>
        <w:bottom w:val="none" w:sz="0" w:space="0" w:color="auto"/>
        <w:right w:val="none" w:sz="0" w:space="0" w:color="auto"/>
      </w:divBdr>
    </w:div>
    <w:div w:id="1031147242">
      <w:bodyDiv w:val="1"/>
      <w:marLeft w:val="0"/>
      <w:marRight w:val="0"/>
      <w:marTop w:val="0"/>
      <w:marBottom w:val="0"/>
      <w:divBdr>
        <w:top w:val="none" w:sz="0" w:space="0" w:color="auto"/>
        <w:left w:val="none" w:sz="0" w:space="0" w:color="auto"/>
        <w:bottom w:val="none" w:sz="0" w:space="0" w:color="auto"/>
        <w:right w:val="none" w:sz="0" w:space="0" w:color="auto"/>
      </w:divBdr>
    </w:div>
    <w:div w:id="1032727569">
      <w:bodyDiv w:val="1"/>
      <w:marLeft w:val="0"/>
      <w:marRight w:val="0"/>
      <w:marTop w:val="0"/>
      <w:marBottom w:val="0"/>
      <w:divBdr>
        <w:top w:val="none" w:sz="0" w:space="0" w:color="auto"/>
        <w:left w:val="none" w:sz="0" w:space="0" w:color="auto"/>
        <w:bottom w:val="none" w:sz="0" w:space="0" w:color="auto"/>
        <w:right w:val="none" w:sz="0" w:space="0" w:color="auto"/>
      </w:divBdr>
    </w:div>
    <w:div w:id="1032731471">
      <w:bodyDiv w:val="1"/>
      <w:marLeft w:val="0"/>
      <w:marRight w:val="0"/>
      <w:marTop w:val="0"/>
      <w:marBottom w:val="0"/>
      <w:divBdr>
        <w:top w:val="none" w:sz="0" w:space="0" w:color="auto"/>
        <w:left w:val="none" w:sz="0" w:space="0" w:color="auto"/>
        <w:bottom w:val="none" w:sz="0" w:space="0" w:color="auto"/>
        <w:right w:val="none" w:sz="0" w:space="0" w:color="auto"/>
      </w:divBdr>
    </w:div>
    <w:div w:id="1033310157">
      <w:bodyDiv w:val="1"/>
      <w:marLeft w:val="0"/>
      <w:marRight w:val="0"/>
      <w:marTop w:val="0"/>
      <w:marBottom w:val="0"/>
      <w:divBdr>
        <w:top w:val="none" w:sz="0" w:space="0" w:color="auto"/>
        <w:left w:val="none" w:sz="0" w:space="0" w:color="auto"/>
        <w:bottom w:val="none" w:sz="0" w:space="0" w:color="auto"/>
        <w:right w:val="none" w:sz="0" w:space="0" w:color="auto"/>
      </w:divBdr>
    </w:div>
    <w:div w:id="1034581088">
      <w:bodyDiv w:val="1"/>
      <w:marLeft w:val="0"/>
      <w:marRight w:val="0"/>
      <w:marTop w:val="0"/>
      <w:marBottom w:val="0"/>
      <w:divBdr>
        <w:top w:val="none" w:sz="0" w:space="0" w:color="auto"/>
        <w:left w:val="none" w:sz="0" w:space="0" w:color="auto"/>
        <w:bottom w:val="none" w:sz="0" w:space="0" w:color="auto"/>
        <w:right w:val="none" w:sz="0" w:space="0" w:color="auto"/>
      </w:divBdr>
    </w:div>
    <w:div w:id="1034624185">
      <w:bodyDiv w:val="1"/>
      <w:marLeft w:val="0"/>
      <w:marRight w:val="0"/>
      <w:marTop w:val="0"/>
      <w:marBottom w:val="0"/>
      <w:divBdr>
        <w:top w:val="none" w:sz="0" w:space="0" w:color="auto"/>
        <w:left w:val="none" w:sz="0" w:space="0" w:color="auto"/>
        <w:bottom w:val="none" w:sz="0" w:space="0" w:color="auto"/>
        <w:right w:val="none" w:sz="0" w:space="0" w:color="auto"/>
      </w:divBdr>
    </w:div>
    <w:div w:id="1034883941">
      <w:bodyDiv w:val="1"/>
      <w:marLeft w:val="0"/>
      <w:marRight w:val="0"/>
      <w:marTop w:val="0"/>
      <w:marBottom w:val="0"/>
      <w:divBdr>
        <w:top w:val="none" w:sz="0" w:space="0" w:color="auto"/>
        <w:left w:val="none" w:sz="0" w:space="0" w:color="auto"/>
        <w:bottom w:val="none" w:sz="0" w:space="0" w:color="auto"/>
        <w:right w:val="none" w:sz="0" w:space="0" w:color="auto"/>
      </w:divBdr>
    </w:div>
    <w:div w:id="1035739498">
      <w:bodyDiv w:val="1"/>
      <w:marLeft w:val="0"/>
      <w:marRight w:val="0"/>
      <w:marTop w:val="0"/>
      <w:marBottom w:val="0"/>
      <w:divBdr>
        <w:top w:val="none" w:sz="0" w:space="0" w:color="auto"/>
        <w:left w:val="none" w:sz="0" w:space="0" w:color="auto"/>
        <w:bottom w:val="none" w:sz="0" w:space="0" w:color="auto"/>
        <w:right w:val="none" w:sz="0" w:space="0" w:color="auto"/>
      </w:divBdr>
    </w:div>
    <w:div w:id="1036396290">
      <w:bodyDiv w:val="1"/>
      <w:marLeft w:val="0"/>
      <w:marRight w:val="0"/>
      <w:marTop w:val="0"/>
      <w:marBottom w:val="0"/>
      <w:divBdr>
        <w:top w:val="none" w:sz="0" w:space="0" w:color="auto"/>
        <w:left w:val="none" w:sz="0" w:space="0" w:color="auto"/>
        <w:bottom w:val="none" w:sz="0" w:space="0" w:color="auto"/>
        <w:right w:val="none" w:sz="0" w:space="0" w:color="auto"/>
      </w:divBdr>
    </w:div>
    <w:div w:id="1038358004">
      <w:bodyDiv w:val="1"/>
      <w:marLeft w:val="0"/>
      <w:marRight w:val="0"/>
      <w:marTop w:val="0"/>
      <w:marBottom w:val="0"/>
      <w:divBdr>
        <w:top w:val="none" w:sz="0" w:space="0" w:color="auto"/>
        <w:left w:val="none" w:sz="0" w:space="0" w:color="auto"/>
        <w:bottom w:val="none" w:sz="0" w:space="0" w:color="auto"/>
        <w:right w:val="none" w:sz="0" w:space="0" w:color="auto"/>
      </w:divBdr>
    </w:div>
    <w:div w:id="1040284216">
      <w:bodyDiv w:val="1"/>
      <w:marLeft w:val="0"/>
      <w:marRight w:val="0"/>
      <w:marTop w:val="0"/>
      <w:marBottom w:val="0"/>
      <w:divBdr>
        <w:top w:val="none" w:sz="0" w:space="0" w:color="auto"/>
        <w:left w:val="none" w:sz="0" w:space="0" w:color="auto"/>
        <w:bottom w:val="none" w:sz="0" w:space="0" w:color="auto"/>
        <w:right w:val="none" w:sz="0" w:space="0" w:color="auto"/>
      </w:divBdr>
    </w:div>
    <w:div w:id="1040395612">
      <w:bodyDiv w:val="1"/>
      <w:marLeft w:val="0"/>
      <w:marRight w:val="0"/>
      <w:marTop w:val="0"/>
      <w:marBottom w:val="0"/>
      <w:divBdr>
        <w:top w:val="none" w:sz="0" w:space="0" w:color="auto"/>
        <w:left w:val="none" w:sz="0" w:space="0" w:color="auto"/>
        <w:bottom w:val="none" w:sz="0" w:space="0" w:color="auto"/>
        <w:right w:val="none" w:sz="0" w:space="0" w:color="auto"/>
      </w:divBdr>
    </w:div>
    <w:div w:id="1040399253">
      <w:bodyDiv w:val="1"/>
      <w:marLeft w:val="0"/>
      <w:marRight w:val="0"/>
      <w:marTop w:val="0"/>
      <w:marBottom w:val="0"/>
      <w:divBdr>
        <w:top w:val="none" w:sz="0" w:space="0" w:color="auto"/>
        <w:left w:val="none" w:sz="0" w:space="0" w:color="auto"/>
        <w:bottom w:val="none" w:sz="0" w:space="0" w:color="auto"/>
        <w:right w:val="none" w:sz="0" w:space="0" w:color="auto"/>
      </w:divBdr>
    </w:div>
    <w:div w:id="1040855893">
      <w:bodyDiv w:val="1"/>
      <w:marLeft w:val="0"/>
      <w:marRight w:val="0"/>
      <w:marTop w:val="0"/>
      <w:marBottom w:val="0"/>
      <w:divBdr>
        <w:top w:val="none" w:sz="0" w:space="0" w:color="auto"/>
        <w:left w:val="none" w:sz="0" w:space="0" w:color="auto"/>
        <w:bottom w:val="none" w:sz="0" w:space="0" w:color="auto"/>
        <w:right w:val="none" w:sz="0" w:space="0" w:color="auto"/>
      </w:divBdr>
    </w:div>
    <w:div w:id="1041131619">
      <w:bodyDiv w:val="1"/>
      <w:marLeft w:val="0"/>
      <w:marRight w:val="0"/>
      <w:marTop w:val="0"/>
      <w:marBottom w:val="0"/>
      <w:divBdr>
        <w:top w:val="none" w:sz="0" w:space="0" w:color="auto"/>
        <w:left w:val="none" w:sz="0" w:space="0" w:color="auto"/>
        <w:bottom w:val="none" w:sz="0" w:space="0" w:color="auto"/>
        <w:right w:val="none" w:sz="0" w:space="0" w:color="auto"/>
      </w:divBdr>
    </w:div>
    <w:div w:id="1041899024">
      <w:bodyDiv w:val="1"/>
      <w:marLeft w:val="0"/>
      <w:marRight w:val="0"/>
      <w:marTop w:val="0"/>
      <w:marBottom w:val="0"/>
      <w:divBdr>
        <w:top w:val="none" w:sz="0" w:space="0" w:color="auto"/>
        <w:left w:val="none" w:sz="0" w:space="0" w:color="auto"/>
        <w:bottom w:val="none" w:sz="0" w:space="0" w:color="auto"/>
        <w:right w:val="none" w:sz="0" w:space="0" w:color="auto"/>
      </w:divBdr>
    </w:div>
    <w:div w:id="1042170934">
      <w:bodyDiv w:val="1"/>
      <w:marLeft w:val="0"/>
      <w:marRight w:val="0"/>
      <w:marTop w:val="0"/>
      <w:marBottom w:val="0"/>
      <w:divBdr>
        <w:top w:val="none" w:sz="0" w:space="0" w:color="auto"/>
        <w:left w:val="none" w:sz="0" w:space="0" w:color="auto"/>
        <w:bottom w:val="none" w:sz="0" w:space="0" w:color="auto"/>
        <w:right w:val="none" w:sz="0" w:space="0" w:color="auto"/>
      </w:divBdr>
    </w:div>
    <w:div w:id="1042753936">
      <w:bodyDiv w:val="1"/>
      <w:marLeft w:val="0"/>
      <w:marRight w:val="0"/>
      <w:marTop w:val="0"/>
      <w:marBottom w:val="0"/>
      <w:divBdr>
        <w:top w:val="none" w:sz="0" w:space="0" w:color="auto"/>
        <w:left w:val="none" w:sz="0" w:space="0" w:color="auto"/>
        <w:bottom w:val="none" w:sz="0" w:space="0" w:color="auto"/>
        <w:right w:val="none" w:sz="0" w:space="0" w:color="auto"/>
      </w:divBdr>
    </w:div>
    <w:div w:id="1044981551">
      <w:bodyDiv w:val="1"/>
      <w:marLeft w:val="0"/>
      <w:marRight w:val="0"/>
      <w:marTop w:val="0"/>
      <w:marBottom w:val="0"/>
      <w:divBdr>
        <w:top w:val="none" w:sz="0" w:space="0" w:color="auto"/>
        <w:left w:val="none" w:sz="0" w:space="0" w:color="auto"/>
        <w:bottom w:val="none" w:sz="0" w:space="0" w:color="auto"/>
        <w:right w:val="none" w:sz="0" w:space="0" w:color="auto"/>
      </w:divBdr>
    </w:div>
    <w:div w:id="1046417164">
      <w:bodyDiv w:val="1"/>
      <w:marLeft w:val="0"/>
      <w:marRight w:val="0"/>
      <w:marTop w:val="0"/>
      <w:marBottom w:val="0"/>
      <w:divBdr>
        <w:top w:val="none" w:sz="0" w:space="0" w:color="auto"/>
        <w:left w:val="none" w:sz="0" w:space="0" w:color="auto"/>
        <w:bottom w:val="none" w:sz="0" w:space="0" w:color="auto"/>
        <w:right w:val="none" w:sz="0" w:space="0" w:color="auto"/>
      </w:divBdr>
    </w:div>
    <w:div w:id="1046763029">
      <w:bodyDiv w:val="1"/>
      <w:marLeft w:val="0"/>
      <w:marRight w:val="0"/>
      <w:marTop w:val="0"/>
      <w:marBottom w:val="0"/>
      <w:divBdr>
        <w:top w:val="none" w:sz="0" w:space="0" w:color="auto"/>
        <w:left w:val="none" w:sz="0" w:space="0" w:color="auto"/>
        <w:bottom w:val="none" w:sz="0" w:space="0" w:color="auto"/>
        <w:right w:val="none" w:sz="0" w:space="0" w:color="auto"/>
      </w:divBdr>
    </w:div>
    <w:div w:id="1046838007">
      <w:bodyDiv w:val="1"/>
      <w:marLeft w:val="0"/>
      <w:marRight w:val="0"/>
      <w:marTop w:val="0"/>
      <w:marBottom w:val="0"/>
      <w:divBdr>
        <w:top w:val="none" w:sz="0" w:space="0" w:color="auto"/>
        <w:left w:val="none" w:sz="0" w:space="0" w:color="auto"/>
        <w:bottom w:val="none" w:sz="0" w:space="0" w:color="auto"/>
        <w:right w:val="none" w:sz="0" w:space="0" w:color="auto"/>
      </w:divBdr>
    </w:div>
    <w:div w:id="1047220272">
      <w:bodyDiv w:val="1"/>
      <w:marLeft w:val="0"/>
      <w:marRight w:val="0"/>
      <w:marTop w:val="0"/>
      <w:marBottom w:val="0"/>
      <w:divBdr>
        <w:top w:val="none" w:sz="0" w:space="0" w:color="auto"/>
        <w:left w:val="none" w:sz="0" w:space="0" w:color="auto"/>
        <w:bottom w:val="none" w:sz="0" w:space="0" w:color="auto"/>
        <w:right w:val="none" w:sz="0" w:space="0" w:color="auto"/>
      </w:divBdr>
    </w:div>
    <w:div w:id="1050493062">
      <w:bodyDiv w:val="1"/>
      <w:marLeft w:val="0"/>
      <w:marRight w:val="0"/>
      <w:marTop w:val="0"/>
      <w:marBottom w:val="0"/>
      <w:divBdr>
        <w:top w:val="none" w:sz="0" w:space="0" w:color="auto"/>
        <w:left w:val="none" w:sz="0" w:space="0" w:color="auto"/>
        <w:bottom w:val="none" w:sz="0" w:space="0" w:color="auto"/>
        <w:right w:val="none" w:sz="0" w:space="0" w:color="auto"/>
      </w:divBdr>
    </w:div>
    <w:div w:id="1050619361">
      <w:bodyDiv w:val="1"/>
      <w:marLeft w:val="0"/>
      <w:marRight w:val="0"/>
      <w:marTop w:val="0"/>
      <w:marBottom w:val="0"/>
      <w:divBdr>
        <w:top w:val="none" w:sz="0" w:space="0" w:color="auto"/>
        <w:left w:val="none" w:sz="0" w:space="0" w:color="auto"/>
        <w:bottom w:val="none" w:sz="0" w:space="0" w:color="auto"/>
        <w:right w:val="none" w:sz="0" w:space="0" w:color="auto"/>
      </w:divBdr>
    </w:div>
    <w:div w:id="1052461621">
      <w:bodyDiv w:val="1"/>
      <w:marLeft w:val="0"/>
      <w:marRight w:val="0"/>
      <w:marTop w:val="0"/>
      <w:marBottom w:val="0"/>
      <w:divBdr>
        <w:top w:val="none" w:sz="0" w:space="0" w:color="auto"/>
        <w:left w:val="none" w:sz="0" w:space="0" w:color="auto"/>
        <w:bottom w:val="none" w:sz="0" w:space="0" w:color="auto"/>
        <w:right w:val="none" w:sz="0" w:space="0" w:color="auto"/>
      </w:divBdr>
    </w:div>
    <w:div w:id="1052466402">
      <w:bodyDiv w:val="1"/>
      <w:marLeft w:val="0"/>
      <w:marRight w:val="0"/>
      <w:marTop w:val="0"/>
      <w:marBottom w:val="0"/>
      <w:divBdr>
        <w:top w:val="none" w:sz="0" w:space="0" w:color="auto"/>
        <w:left w:val="none" w:sz="0" w:space="0" w:color="auto"/>
        <w:bottom w:val="none" w:sz="0" w:space="0" w:color="auto"/>
        <w:right w:val="none" w:sz="0" w:space="0" w:color="auto"/>
      </w:divBdr>
    </w:div>
    <w:div w:id="1053578844">
      <w:bodyDiv w:val="1"/>
      <w:marLeft w:val="0"/>
      <w:marRight w:val="0"/>
      <w:marTop w:val="0"/>
      <w:marBottom w:val="0"/>
      <w:divBdr>
        <w:top w:val="none" w:sz="0" w:space="0" w:color="auto"/>
        <w:left w:val="none" w:sz="0" w:space="0" w:color="auto"/>
        <w:bottom w:val="none" w:sz="0" w:space="0" w:color="auto"/>
        <w:right w:val="none" w:sz="0" w:space="0" w:color="auto"/>
      </w:divBdr>
    </w:div>
    <w:div w:id="1053653613">
      <w:bodyDiv w:val="1"/>
      <w:marLeft w:val="0"/>
      <w:marRight w:val="0"/>
      <w:marTop w:val="0"/>
      <w:marBottom w:val="0"/>
      <w:divBdr>
        <w:top w:val="none" w:sz="0" w:space="0" w:color="auto"/>
        <w:left w:val="none" w:sz="0" w:space="0" w:color="auto"/>
        <w:bottom w:val="none" w:sz="0" w:space="0" w:color="auto"/>
        <w:right w:val="none" w:sz="0" w:space="0" w:color="auto"/>
      </w:divBdr>
    </w:div>
    <w:div w:id="1054086761">
      <w:bodyDiv w:val="1"/>
      <w:marLeft w:val="0"/>
      <w:marRight w:val="0"/>
      <w:marTop w:val="0"/>
      <w:marBottom w:val="0"/>
      <w:divBdr>
        <w:top w:val="none" w:sz="0" w:space="0" w:color="auto"/>
        <w:left w:val="none" w:sz="0" w:space="0" w:color="auto"/>
        <w:bottom w:val="none" w:sz="0" w:space="0" w:color="auto"/>
        <w:right w:val="none" w:sz="0" w:space="0" w:color="auto"/>
      </w:divBdr>
    </w:div>
    <w:div w:id="1054352177">
      <w:bodyDiv w:val="1"/>
      <w:marLeft w:val="0"/>
      <w:marRight w:val="0"/>
      <w:marTop w:val="0"/>
      <w:marBottom w:val="0"/>
      <w:divBdr>
        <w:top w:val="none" w:sz="0" w:space="0" w:color="auto"/>
        <w:left w:val="none" w:sz="0" w:space="0" w:color="auto"/>
        <w:bottom w:val="none" w:sz="0" w:space="0" w:color="auto"/>
        <w:right w:val="none" w:sz="0" w:space="0" w:color="auto"/>
      </w:divBdr>
    </w:div>
    <w:div w:id="1055272350">
      <w:bodyDiv w:val="1"/>
      <w:marLeft w:val="0"/>
      <w:marRight w:val="0"/>
      <w:marTop w:val="0"/>
      <w:marBottom w:val="0"/>
      <w:divBdr>
        <w:top w:val="none" w:sz="0" w:space="0" w:color="auto"/>
        <w:left w:val="none" w:sz="0" w:space="0" w:color="auto"/>
        <w:bottom w:val="none" w:sz="0" w:space="0" w:color="auto"/>
        <w:right w:val="none" w:sz="0" w:space="0" w:color="auto"/>
      </w:divBdr>
    </w:div>
    <w:div w:id="1055589098">
      <w:bodyDiv w:val="1"/>
      <w:marLeft w:val="0"/>
      <w:marRight w:val="0"/>
      <w:marTop w:val="0"/>
      <w:marBottom w:val="0"/>
      <w:divBdr>
        <w:top w:val="none" w:sz="0" w:space="0" w:color="auto"/>
        <w:left w:val="none" w:sz="0" w:space="0" w:color="auto"/>
        <w:bottom w:val="none" w:sz="0" w:space="0" w:color="auto"/>
        <w:right w:val="none" w:sz="0" w:space="0" w:color="auto"/>
      </w:divBdr>
    </w:div>
    <w:div w:id="1056004465">
      <w:bodyDiv w:val="1"/>
      <w:marLeft w:val="0"/>
      <w:marRight w:val="0"/>
      <w:marTop w:val="0"/>
      <w:marBottom w:val="0"/>
      <w:divBdr>
        <w:top w:val="none" w:sz="0" w:space="0" w:color="auto"/>
        <w:left w:val="none" w:sz="0" w:space="0" w:color="auto"/>
        <w:bottom w:val="none" w:sz="0" w:space="0" w:color="auto"/>
        <w:right w:val="none" w:sz="0" w:space="0" w:color="auto"/>
      </w:divBdr>
    </w:div>
    <w:div w:id="1056466173">
      <w:bodyDiv w:val="1"/>
      <w:marLeft w:val="0"/>
      <w:marRight w:val="0"/>
      <w:marTop w:val="0"/>
      <w:marBottom w:val="0"/>
      <w:divBdr>
        <w:top w:val="none" w:sz="0" w:space="0" w:color="auto"/>
        <w:left w:val="none" w:sz="0" w:space="0" w:color="auto"/>
        <w:bottom w:val="none" w:sz="0" w:space="0" w:color="auto"/>
        <w:right w:val="none" w:sz="0" w:space="0" w:color="auto"/>
      </w:divBdr>
    </w:div>
    <w:div w:id="1056658118">
      <w:bodyDiv w:val="1"/>
      <w:marLeft w:val="0"/>
      <w:marRight w:val="0"/>
      <w:marTop w:val="0"/>
      <w:marBottom w:val="0"/>
      <w:divBdr>
        <w:top w:val="none" w:sz="0" w:space="0" w:color="auto"/>
        <w:left w:val="none" w:sz="0" w:space="0" w:color="auto"/>
        <w:bottom w:val="none" w:sz="0" w:space="0" w:color="auto"/>
        <w:right w:val="none" w:sz="0" w:space="0" w:color="auto"/>
      </w:divBdr>
    </w:div>
    <w:div w:id="1056734722">
      <w:bodyDiv w:val="1"/>
      <w:marLeft w:val="0"/>
      <w:marRight w:val="0"/>
      <w:marTop w:val="0"/>
      <w:marBottom w:val="0"/>
      <w:divBdr>
        <w:top w:val="none" w:sz="0" w:space="0" w:color="auto"/>
        <w:left w:val="none" w:sz="0" w:space="0" w:color="auto"/>
        <w:bottom w:val="none" w:sz="0" w:space="0" w:color="auto"/>
        <w:right w:val="none" w:sz="0" w:space="0" w:color="auto"/>
      </w:divBdr>
    </w:div>
    <w:div w:id="1057629719">
      <w:bodyDiv w:val="1"/>
      <w:marLeft w:val="0"/>
      <w:marRight w:val="0"/>
      <w:marTop w:val="0"/>
      <w:marBottom w:val="0"/>
      <w:divBdr>
        <w:top w:val="none" w:sz="0" w:space="0" w:color="auto"/>
        <w:left w:val="none" w:sz="0" w:space="0" w:color="auto"/>
        <w:bottom w:val="none" w:sz="0" w:space="0" w:color="auto"/>
        <w:right w:val="none" w:sz="0" w:space="0" w:color="auto"/>
      </w:divBdr>
    </w:div>
    <w:div w:id="1057778318">
      <w:bodyDiv w:val="1"/>
      <w:marLeft w:val="0"/>
      <w:marRight w:val="0"/>
      <w:marTop w:val="0"/>
      <w:marBottom w:val="0"/>
      <w:divBdr>
        <w:top w:val="none" w:sz="0" w:space="0" w:color="auto"/>
        <w:left w:val="none" w:sz="0" w:space="0" w:color="auto"/>
        <w:bottom w:val="none" w:sz="0" w:space="0" w:color="auto"/>
        <w:right w:val="none" w:sz="0" w:space="0" w:color="auto"/>
      </w:divBdr>
    </w:div>
    <w:div w:id="1058239635">
      <w:bodyDiv w:val="1"/>
      <w:marLeft w:val="0"/>
      <w:marRight w:val="0"/>
      <w:marTop w:val="0"/>
      <w:marBottom w:val="0"/>
      <w:divBdr>
        <w:top w:val="none" w:sz="0" w:space="0" w:color="auto"/>
        <w:left w:val="none" w:sz="0" w:space="0" w:color="auto"/>
        <w:bottom w:val="none" w:sz="0" w:space="0" w:color="auto"/>
        <w:right w:val="none" w:sz="0" w:space="0" w:color="auto"/>
      </w:divBdr>
    </w:div>
    <w:div w:id="1058819691">
      <w:bodyDiv w:val="1"/>
      <w:marLeft w:val="0"/>
      <w:marRight w:val="0"/>
      <w:marTop w:val="0"/>
      <w:marBottom w:val="0"/>
      <w:divBdr>
        <w:top w:val="none" w:sz="0" w:space="0" w:color="auto"/>
        <w:left w:val="none" w:sz="0" w:space="0" w:color="auto"/>
        <w:bottom w:val="none" w:sz="0" w:space="0" w:color="auto"/>
        <w:right w:val="none" w:sz="0" w:space="0" w:color="auto"/>
      </w:divBdr>
    </w:div>
    <w:div w:id="1060252185">
      <w:bodyDiv w:val="1"/>
      <w:marLeft w:val="0"/>
      <w:marRight w:val="0"/>
      <w:marTop w:val="0"/>
      <w:marBottom w:val="0"/>
      <w:divBdr>
        <w:top w:val="none" w:sz="0" w:space="0" w:color="auto"/>
        <w:left w:val="none" w:sz="0" w:space="0" w:color="auto"/>
        <w:bottom w:val="none" w:sz="0" w:space="0" w:color="auto"/>
        <w:right w:val="none" w:sz="0" w:space="0" w:color="auto"/>
      </w:divBdr>
    </w:div>
    <w:div w:id="1060323072">
      <w:bodyDiv w:val="1"/>
      <w:marLeft w:val="0"/>
      <w:marRight w:val="0"/>
      <w:marTop w:val="0"/>
      <w:marBottom w:val="0"/>
      <w:divBdr>
        <w:top w:val="none" w:sz="0" w:space="0" w:color="auto"/>
        <w:left w:val="none" w:sz="0" w:space="0" w:color="auto"/>
        <w:bottom w:val="none" w:sz="0" w:space="0" w:color="auto"/>
        <w:right w:val="none" w:sz="0" w:space="0" w:color="auto"/>
      </w:divBdr>
    </w:div>
    <w:div w:id="1061559786">
      <w:bodyDiv w:val="1"/>
      <w:marLeft w:val="0"/>
      <w:marRight w:val="0"/>
      <w:marTop w:val="0"/>
      <w:marBottom w:val="0"/>
      <w:divBdr>
        <w:top w:val="none" w:sz="0" w:space="0" w:color="auto"/>
        <w:left w:val="none" w:sz="0" w:space="0" w:color="auto"/>
        <w:bottom w:val="none" w:sz="0" w:space="0" w:color="auto"/>
        <w:right w:val="none" w:sz="0" w:space="0" w:color="auto"/>
      </w:divBdr>
    </w:div>
    <w:div w:id="1061830025">
      <w:bodyDiv w:val="1"/>
      <w:marLeft w:val="0"/>
      <w:marRight w:val="0"/>
      <w:marTop w:val="0"/>
      <w:marBottom w:val="0"/>
      <w:divBdr>
        <w:top w:val="none" w:sz="0" w:space="0" w:color="auto"/>
        <w:left w:val="none" w:sz="0" w:space="0" w:color="auto"/>
        <w:bottom w:val="none" w:sz="0" w:space="0" w:color="auto"/>
        <w:right w:val="none" w:sz="0" w:space="0" w:color="auto"/>
      </w:divBdr>
    </w:div>
    <w:div w:id="1061946323">
      <w:bodyDiv w:val="1"/>
      <w:marLeft w:val="0"/>
      <w:marRight w:val="0"/>
      <w:marTop w:val="0"/>
      <w:marBottom w:val="0"/>
      <w:divBdr>
        <w:top w:val="none" w:sz="0" w:space="0" w:color="auto"/>
        <w:left w:val="none" w:sz="0" w:space="0" w:color="auto"/>
        <w:bottom w:val="none" w:sz="0" w:space="0" w:color="auto"/>
        <w:right w:val="none" w:sz="0" w:space="0" w:color="auto"/>
      </w:divBdr>
    </w:div>
    <w:div w:id="1063793432">
      <w:bodyDiv w:val="1"/>
      <w:marLeft w:val="0"/>
      <w:marRight w:val="0"/>
      <w:marTop w:val="0"/>
      <w:marBottom w:val="0"/>
      <w:divBdr>
        <w:top w:val="none" w:sz="0" w:space="0" w:color="auto"/>
        <w:left w:val="none" w:sz="0" w:space="0" w:color="auto"/>
        <w:bottom w:val="none" w:sz="0" w:space="0" w:color="auto"/>
        <w:right w:val="none" w:sz="0" w:space="0" w:color="auto"/>
      </w:divBdr>
    </w:div>
    <w:div w:id="1063797633">
      <w:bodyDiv w:val="1"/>
      <w:marLeft w:val="0"/>
      <w:marRight w:val="0"/>
      <w:marTop w:val="0"/>
      <w:marBottom w:val="0"/>
      <w:divBdr>
        <w:top w:val="none" w:sz="0" w:space="0" w:color="auto"/>
        <w:left w:val="none" w:sz="0" w:space="0" w:color="auto"/>
        <w:bottom w:val="none" w:sz="0" w:space="0" w:color="auto"/>
        <w:right w:val="none" w:sz="0" w:space="0" w:color="auto"/>
      </w:divBdr>
    </w:div>
    <w:div w:id="1063798621">
      <w:bodyDiv w:val="1"/>
      <w:marLeft w:val="0"/>
      <w:marRight w:val="0"/>
      <w:marTop w:val="0"/>
      <w:marBottom w:val="0"/>
      <w:divBdr>
        <w:top w:val="none" w:sz="0" w:space="0" w:color="auto"/>
        <w:left w:val="none" w:sz="0" w:space="0" w:color="auto"/>
        <w:bottom w:val="none" w:sz="0" w:space="0" w:color="auto"/>
        <w:right w:val="none" w:sz="0" w:space="0" w:color="auto"/>
      </w:divBdr>
    </w:div>
    <w:div w:id="1064526921">
      <w:bodyDiv w:val="1"/>
      <w:marLeft w:val="0"/>
      <w:marRight w:val="0"/>
      <w:marTop w:val="0"/>
      <w:marBottom w:val="0"/>
      <w:divBdr>
        <w:top w:val="none" w:sz="0" w:space="0" w:color="auto"/>
        <w:left w:val="none" w:sz="0" w:space="0" w:color="auto"/>
        <w:bottom w:val="none" w:sz="0" w:space="0" w:color="auto"/>
        <w:right w:val="none" w:sz="0" w:space="0" w:color="auto"/>
      </w:divBdr>
    </w:div>
    <w:div w:id="1065030688">
      <w:bodyDiv w:val="1"/>
      <w:marLeft w:val="0"/>
      <w:marRight w:val="0"/>
      <w:marTop w:val="0"/>
      <w:marBottom w:val="0"/>
      <w:divBdr>
        <w:top w:val="none" w:sz="0" w:space="0" w:color="auto"/>
        <w:left w:val="none" w:sz="0" w:space="0" w:color="auto"/>
        <w:bottom w:val="none" w:sz="0" w:space="0" w:color="auto"/>
        <w:right w:val="none" w:sz="0" w:space="0" w:color="auto"/>
      </w:divBdr>
    </w:div>
    <w:div w:id="1065645590">
      <w:bodyDiv w:val="1"/>
      <w:marLeft w:val="0"/>
      <w:marRight w:val="0"/>
      <w:marTop w:val="0"/>
      <w:marBottom w:val="0"/>
      <w:divBdr>
        <w:top w:val="none" w:sz="0" w:space="0" w:color="auto"/>
        <w:left w:val="none" w:sz="0" w:space="0" w:color="auto"/>
        <w:bottom w:val="none" w:sz="0" w:space="0" w:color="auto"/>
        <w:right w:val="none" w:sz="0" w:space="0" w:color="auto"/>
      </w:divBdr>
    </w:div>
    <w:div w:id="1065839551">
      <w:bodyDiv w:val="1"/>
      <w:marLeft w:val="0"/>
      <w:marRight w:val="0"/>
      <w:marTop w:val="0"/>
      <w:marBottom w:val="0"/>
      <w:divBdr>
        <w:top w:val="none" w:sz="0" w:space="0" w:color="auto"/>
        <w:left w:val="none" w:sz="0" w:space="0" w:color="auto"/>
        <w:bottom w:val="none" w:sz="0" w:space="0" w:color="auto"/>
        <w:right w:val="none" w:sz="0" w:space="0" w:color="auto"/>
      </w:divBdr>
    </w:div>
    <w:div w:id="1066949742">
      <w:bodyDiv w:val="1"/>
      <w:marLeft w:val="0"/>
      <w:marRight w:val="0"/>
      <w:marTop w:val="0"/>
      <w:marBottom w:val="0"/>
      <w:divBdr>
        <w:top w:val="none" w:sz="0" w:space="0" w:color="auto"/>
        <w:left w:val="none" w:sz="0" w:space="0" w:color="auto"/>
        <w:bottom w:val="none" w:sz="0" w:space="0" w:color="auto"/>
        <w:right w:val="none" w:sz="0" w:space="0" w:color="auto"/>
      </w:divBdr>
    </w:div>
    <w:div w:id="1066996665">
      <w:bodyDiv w:val="1"/>
      <w:marLeft w:val="0"/>
      <w:marRight w:val="0"/>
      <w:marTop w:val="0"/>
      <w:marBottom w:val="0"/>
      <w:divBdr>
        <w:top w:val="none" w:sz="0" w:space="0" w:color="auto"/>
        <w:left w:val="none" w:sz="0" w:space="0" w:color="auto"/>
        <w:bottom w:val="none" w:sz="0" w:space="0" w:color="auto"/>
        <w:right w:val="none" w:sz="0" w:space="0" w:color="auto"/>
      </w:divBdr>
    </w:div>
    <w:div w:id="1069620434">
      <w:bodyDiv w:val="1"/>
      <w:marLeft w:val="0"/>
      <w:marRight w:val="0"/>
      <w:marTop w:val="0"/>
      <w:marBottom w:val="0"/>
      <w:divBdr>
        <w:top w:val="none" w:sz="0" w:space="0" w:color="auto"/>
        <w:left w:val="none" w:sz="0" w:space="0" w:color="auto"/>
        <w:bottom w:val="none" w:sz="0" w:space="0" w:color="auto"/>
        <w:right w:val="none" w:sz="0" w:space="0" w:color="auto"/>
      </w:divBdr>
    </w:div>
    <w:div w:id="1071079653">
      <w:bodyDiv w:val="1"/>
      <w:marLeft w:val="0"/>
      <w:marRight w:val="0"/>
      <w:marTop w:val="0"/>
      <w:marBottom w:val="0"/>
      <w:divBdr>
        <w:top w:val="none" w:sz="0" w:space="0" w:color="auto"/>
        <w:left w:val="none" w:sz="0" w:space="0" w:color="auto"/>
        <w:bottom w:val="none" w:sz="0" w:space="0" w:color="auto"/>
        <w:right w:val="none" w:sz="0" w:space="0" w:color="auto"/>
      </w:divBdr>
    </w:div>
    <w:div w:id="1071856492">
      <w:bodyDiv w:val="1"/>
      <w:marLeft w:val="0"/>
      <w:marRight w:val="0"/>
      <w:marTop w:val="0"/>
      <w:marBottom w:val="0"/>
      <w:divBdr>
        <w:top w:val="none" w:sz="0" w:space="0" w:color="auto"/>
        <w:left w:val="none" w:sz="0" w:space="0" w:color="auto"/>
        <w:bottom w:val="none" w:sz="0" w:space="0" w:color="auto"/>
        <w:right w:val="none" w:sz="0" w:space="0" w:color="auto"/>
      </w:divBdr>
    </w:div>
    <w:div w:id="1072433884">
      <w:bodyDiv w:val="1"/>
      <w:marLeft w:val="0"/>
      <w:marRight w:val="0"/>
      <w:marTop w:val="0"/>
      <w:marBottom w:val="0"/>
      <w:divBdr>
        <w:top w:val="none" w:sz="0" w:space="0" w:color="auto"/>
        <w:left w:val="none" w:sz="0" w:space="0" w:color="auto"/>
        <w:bottom w:val="none" w:sz="0" w:space="0" w:color="auto"/>
        <w:right w:val="none" w:sz="0" w:space="0" w:color="auto"/>
      </w:divBdr>
    </w:div>
    <w:div w:id="1074545697">
      <w:bodyDiv w:val="1"/>
      <w:marLeft w:val="0"/>
      <w:marRight w:val="0"/>
      <w:marTop w:val="0"/>
      <w:marBottom w:val="0"/>
      <w:divBdr>
        <w:top w:val="none" w:sz="0" w:space="0" w:color="auto"/>
        <w:left w:val="none" w:sz="0" w:space="0" w:color="auto"/>
        <w:bottom w:val="none" w:sz="0" w:space="0" w:color="auto"/>
        <w:right w:val="none" w:sz="0" w:space="0" w:color="auto"/>
      </w:divBdr>
    </w:div>
    <w:div w:id="1074667406">
      <w:bodyDiv w:val="1"/>
      <w:marLeft w:val="0"/>
      <w:marRight w:val="0"/>
      <w:marTop w:val="0"/>
      <w:marBottom w:val="0"/>
      <w:divBdr>
        <w:top w:val="none" w:sz="0" w:space="0" w:color="auto"/>
        <w:left w:val="none" w:sz="0" w:space="0" w:color="auto"/>
        <w:bottom w:val="none" w:sz="0" w:space="0" w:color="auto"/>
        <w:right w:val="none" w:sz="0" w:space="0" w:color="auto"/>
      </w:divBdr>
    </w:div>
    <w:div w:id="1075394186">
      <w:bodyDiv w:val="1"/>
      <w:marLeft w:val="0"/>
      <w:marRight w:val="0"/>
      <w:marTop w:val="0"/>
      <w:marBottom w:val="0"/>
      <w:divBdr>
        <w:top w:val="none" w:sz="0" w:space="0" w:color="auto"/>
        <w:left w:val="none" w:sz="0" w:space="0" w:color="auto"/>
        <w:bottom w:val="none" w:sz="0" w:space="0" w:color="auto"/>
        <w:right w:val="none" w:sz="0" w:space="0" w:color="auto"/>
      </w:divBdr>
    </w:div>
    <w:div w:id="1076324790">
      <w:bodyDiv w:val="1"/>
      <w:marLeft w:val="0"/>
      <w:marRight w:val="0"/>
      <w:marTop w:val="0"/>
      <w:marBottom w:val="0"/>
      <w:divBdr>
        <w:top w:val="none" w:sz="0" w:space="0" w:color="auto"/>
        <w:left w:val="none" w:sz="0" w:space="0" w:color="auto"/>
        <w:bottom w:val="none" w:sz="0" w:space="0" w:color="auto"/>
        <w:right w:val="none" w:sz="0" w:space="0" w:color="auto"/>
      </w:divBdr>
    </w:div>
    <w:div w:id="1078476493">
      <w:bodyDiv w:val="1"/>
      <w:marLeft w:val="0"/>
      <w:marRight w:val="0"/>
      <w:marTop w:val="0"/>
      <w:marBottom w:val="0"/>
      <w:divBdr>
        <w:top w:val="none" w:sz="0" w:space="0" w:color="auto"/>
        <w:left w:val="none" w:sz="0" w:space="0" w:color="auto"/>
        <w:bottom w:val="none" w:sz="0" w:space="0" w:color="auto"/>
        <w:right w:val="none" w:sz="0" w:space="0" w:color="auto"/>
      </w:divBdr>
    </w:div>
    <w:div w:id="1078865793">
      <w:bodyDiv w:val="1"/>
      <w:marLeft w:val="0"/>
      <w:marRight w:val="0"/>
      <w:marTop w:val="0"/>
      <w:marBottom w:val="0"/>
      <w:divBdr>
        <w:top w:val="none" w:sz="0" w:space="0" w:color="auto"/>
        <w:left w:val="none" w:sz="0" w:space="0" w:color="auto"/>
        <w:bottom w:val="none" w:sz="0" w:space="0" w:color="auto"/>
        <w:right w:val="none" w:sz="0" w:space="0" w:color="auto"/>
      </w:divBdr>
    </w:div>
    <w:div w:id="1079059604">
      <w:bodyDiv w:val="1"/>
      <w:marLeft w:val="0"/>
      <w:marRight w:val="0"/>
      <w:marTop w:val="0"/>
      <w:marBottom w:val="0"/>
      <w:divBdr>
        <w:top w:val="none" w:sz="0" w:space="0" w:color="auto"/>
        <w:left w:val="none" w:sz="0" w:space="0" w:color="auto"/>
        <w:bottom w:val="none" w:sz="0" w:space="0" w:color="auto"/>
        <w:right w:val="none" w:sz="0" w:space="0" w:color="auto"/>
      </w:divBdr>
    </w:div>
    <w:div w:id="1079519972">
      <w:bodyDiv w:val="1"/>
      <w:marLeft w:val="0"/>
      <w:marRight w:val="0"/>
      <w:marTop w:val="0"/>
      <w:marBottom w:val="0"/>
      <w:divBdr>
        <w:top w:val="none" w:sz="0" w:space="0" w:color="auto"/>
        <w:left w:val="none" w:sz="0" w:space="0" w:color="auto"/>
        <w:bottom w:val="none" w:sz="0" w:space="0" w:color="auto"/>
        <w:right w:val="none" w:sz="0" w:space="0" w:color="auto"/>
      </w:divBdr>
    </w:div>
    <w:div w:id="1080374044">
      <w:bodyDiv w:val="1"/>
      <w:marLeft w:val="0"/>
      <w:marRight w:val="0"/>
      <w:marTop w:val="0"/>
      <w:marBottom w:val="0"/>
      <w:divBdr>
        <w:top w:val="none" w:sz="0" w:space="0" w:color="auto"/>
        <w:left w:val="none" w:sz="0" w:space="0" w:color="auto"/>
        <w:bottom w:val="none" w:sz="0" w:space="0" w:color="auto"/>
        <w:right w:val="none" w:sz="0" w:space="0" w:color="auto"/>
      </w:divBdr>
    </w:div>
    <w:div w:id="1080903612">
      <w:bodyDiv w:val="1"/>
      <w:marLeft w:val="0"/>
      <w:marRight w:val="0"/>
      <w:marTop w:val="0"/>
      <w:marBottom w:val="0"/>
      <w:divBdr>
        <w:top w:val="none" w:sz="0" w:space="0" w:color="auto"/>
        <w:left w:val="none" w:sz="0" w:space="0" w:color="auto"/>
        <w:bottom w:val="none" w:sz="0" w:space="0" w:color="auto"/>
        <w:right w:val="none" w:sz="0" w:space="0" w:color="auto"/>
      </w:divBdr>
    </w:div>
    <w:div w:id="1082799742">
      <w:bodyDiv w:val="1"/>
      <w:marLeft w:val="0"/>
      <w:marRight w:val="0"/>
      <w:marTop w:val="0"/>
      <w:marBottom w:val="0"/>
      <w:divBdr>
        <w:top w:val="none" w:sz="0" w:space="0" w:color="auto"/>
        <w:left w:val="none" w:sz="0" w:space="0" w:color="auto"/>
        <w:bottom w:val="none" w:sz="0" w:space="0" w:color="auto"/>
        <w:right w:val="none" w:sz="0" w:space="0" w:color="auto"/>
      </w:divBdr>
    </w:div>
    <w:div w:id="1083182544">
      <w:bodyDiv w:val="1"/>
      <w:marLeft w:val="0"/>
      <w:marRight w:val="0"/>
      <w:marTop w:val="0"/>
      <w:marBottom w:val="0"/>
      <w:divBdr>
        <w:top w:val="none" w:sz="0" w:space="0" w:color="auto"/>
        <w:left w:val="none" w:sz="0" w:space="0" w:color="auto"/>
        <w:bottom w:val="none" w:sz="0" w:space="0" w:color="auto"/>
        <w:right w:val="none" w:sz="0" w:space="0" w:color="auto"/>
      </w:divBdr>
    </w:div>
    <w:div w:id="1083257002">
      <w:bodyDiv w:val="1"/>
      <w:marLeft w:val="0"/>
      <w:marRight w:val="0"/>
      <w:marTop w:val="0"/>
      <w:marBottom w:val="0"/>
      <w:divBdr>
        <w:top w:val="none" w:sz="0" w:space="0" w:color="auto"/>
        <w:left w:val="none" w:sz="0" w:space="0" w:color="auto"/>
        <w:bottom w:val="none" w:sz="0" w:space="0" w:color="auto"/>
        <w:right w:val="none" w:sz="0" w:space="0" w:color="auto"/>
      </w:divBdr>
    </w:div>
    <w:div w:id="1084376482">
      <w:bodyDiv w:val="1"/>
      <w:marLeft w:val="0"/>
      <w:marRight w:val="0"/>
      <w:marTop w:val="0"/>
      <w:marBottom w:val="0"/>
      <w:divBdr>
        <w:top w:val="none" w:sz="0" w:space="0" w:color="auto"/>
        <w:left w:val="none" w:sz="0" w:space="0" w:color="auto"/>
        <w:bottom w:val="none" w:sz="0" w:space="0" w:color="auto"/>
        <w:right w:val="none" w:sz="0" w:space="0" w:color="auto"/>
      </w:divBdr>
    </w:div>
    <w:div w:id="1084499480">
      <w:bodyDiv w:val="1"/>
      <w:marLeft w:val="0"/>
      <w:marRight w:val="0"/>
      <w:marTop w:val="0"/>
      <w:marBottom w:val="0"/>
      <w:divBdr>
        <w:top w:val="none" w:sz="0" w:space="0" w:color="auto"/>
        <w:left w:val="none" w:sz="0" w:space="0" w:color="auto"/>
        <w:bottom w:val="none" w:sz="0" w:space="0" w:color="auto"/>
        <w:right w:val="none" w:sz="0" w:space="0" w:color="auto"/>
      </w:divBdr>
    </w:div>
    <w:div w:id="1084569820">
      <w:bodyDiv w:val="1"/>
      <w:marLeft w:val="0"/>
      <w:marRight w:val="0"/>
      <w:marTop w:val="0"/>
      <w:marBottom w:val="0"/>
      <w:divBdr>
        <w:top w:val="none" w:sz="0" w:space="0" w:color="auto"/>
        <w:left w:val="none" w:sz="0" w:space="0" w:color="auto"/>
        <w:bottom w:val="none" w:sz="0" w:space="0" w:color="auto"/>
        <w:right w:val="none" w:sz="0" w:space="0" w:color="auto"/>
      </w:divBdr>
    </w:div>
    <w:div w:id="1085421731">
      <w:bodyDiv w:val="1"/>
      <w:marLeft w:val="0"/>
      <w:marRight w:val="0"/>
      <w:marTop w:val="0"/>
      <w:marBottom w:val="0"/>
      <w:divBdr>
        <w:top w:val="none" w:sz="0" w:space="0" w:color="auto"/>
        <w:left w:val="none" w:sz="0" w:space="0" w:color="auto"/>
        <w:bottom w:val="none" w:sz="0" w:space="0" w:color="auto"/>
        <w:right w:val="none" w:sz="0" w:space="0" w:color="auto"/>
      </w:divBdr>
    </w:div>
    <w:div w:id="1086220915">
      <w:bodyDiv w:val="1"/>
      <w:marLeft w:val="0"/>
      <w:marRight w:val="0"/>
      <w:marTop w:val="0"/>
      <w:marBottom w:val="0"/>
      <w:divBdr>
        <w:top w:val="none" w:sz="0" w:space="0" w:color="auto"/>
        <w:left w:val="none" w:sz="0" w:space="0" w:color="auto"/>
        <w:bottom w:val="none" w:sz="0" w:space="0" w:color="auto"/>
        <w:right w:val="none" w:sz="0" w:space="0" w:color="auto"/>
      </w:divBdr>
    </w:div>
    <w:div w:id="1086463466">
      <w:bodyDiv w:val="1"/>
      <w:marLeft w:val="0"/>
      <w:marRight w:val="0"/>
      <w:marTop w:val="0"/>
      <w:marBottom w:val="0"/>
      <w:divBdr>
        <w:top w:val="none" w:sz="0" w:space="0" w:color="auto"/>
        <w:left w:val="none" w:sz="0" w:space="0" w:color="auto"/>
        <w:bottom w:val="none" w:sz="0" w:space="0" w:color="auto"/>
        <w:right w:val="none" w:sz="0" w:space="0" w:color="auto"/>
      </w:divBdr>
    </w:div>
    <w:div w:id="1088379315">
      <w:bodyDiv w:val="1"/>
      <w:marLeft w:val="0"/>
      <w:marRight w:val="0"/>
      <w:marTop w:val="0"/>
      <w:marBottom w:val="0"/>
      <w:divBdr>
        <w:top w:val="none" w:sz="0" w:space="0" w:color="auto"/>
        <w:left w:val="none" w:sz="0" w:space="0" w:color="auto"/>
        <w:bottom w:val="none" w:sz="0" w:space="0" w:color="auto"/>
        <w:right w:val="none" w:sz="0" w:space="0" w:color="auto"/>
      </w:divBdr>
    </w:div>
    <w:div w:id="1088843754">
      <w:bodyDiv w:val="1"/>
      <w:marLeft w:val="0"/>
      <w:marRight w:val="0"/>
      <w:marTop w:val="0"/>
      <w:marBottom w:val="0"/>
      <w:divBdr>
        <w:top w:val="none" w:sz="0" w:space="0" w:color="auto"/>
        <w:left w:val="none" w:sz="0" w:space="0" w:color="auto"/>
        <w:bottom w:val="none" w:sz="0" w:space="0" w:color="auto"/>
        <w:right w:val="none" w:sz="0" w:space="0" w:color="auto"/>
      </w:divBdr>
    </w:div>
    <w:div w:id="1089352910">
      <w:bodyDiv w:val="1"/>
      <w:marLeft w:val="0"/>
      <w:marRight w:val="0"/>
      <w:marTop w:val="0"/>
      <w:marBottom w:val="0"/>
      <w:divBdr>
        <w:top w:val="none" w:sz="0" w:space="0" w:color="auto"/>
        <w:left w:val="none" w:sz="0" w:space="0" w:color="auto"/>
        <w:bottom w:val="none" w:sz="0" w:space="0" w:color="auto"/>
        <w:right w:val="none" w:sz="0" w:space="0" w:color="auto"/>
      </w:divBdr>
    </w:div>
    <w:div w:id="1091896579">
      <w:bodyDiv w:val="1"/>
      <w:marLeft w:val="0"/>
      <w:marRight w:val="0"/>
      <w:marTop w:val="0"/>
      <w:marBottom w:val="0"/>
      <w:divBdr>
        <w:top w:val="none" w:sz="0" w:space="0" w:color="auto"/>
        <w:left w:val="none" w:sz="0" w:space="0" w:color="auto"/>
        <w:bottom w:val="none" w:sz="0" w:space="0" w:color="auto"/>
        <w:right w:val="none" w:sz="0" w:space="0" w:color="auto"/>
      </w:divBdr>
    </w:div>
    <w:div w:id="1092313308">
      <w:bodyDiv w:val="1"/>
      <w:marLeft w:val="0"/>
      <w:marRight w:val="0"/>
      <w:marTop w:val="0"/>
      <w:marBottom w:val="0"/>
      <w:divBdr>
        <w:top w:val="none" w:sz="0" w:space="0" w:color="auto"/>
        <w:left w:val="none" w:sz="0" w:space="0" w:color="auto"/>
        <w:bottom w:val="none" w:sz="0" w:space="0" w:color="auto"/>
        <w:right w:val="none" w:sz="0" w:space="0" w:color="auto"/>
      </w:divBdr>
    </w:div>
    <w:div w:id="1095637787">
      <w:bodyDiv w:val="1"/>
      <w:marLeft w:val="0"/>
      <w:marRight w:val="0"/>
      <w:marTop w:val="0"/>
      <w:marBottom w:val="0"/>
      <w:divBdr>
        <w:top w:val="none" w:sz="0" w:space="0" w:color="auto"/>
        <w:left w:val="none" w:sz="0" w:space="0" w:color="auto"/>
        <w:bottom w:val="none" w:sz="0" w:space="0" w:color="auto"/>
        <w:right w:val="none" w:sz="0" w:space="0" w:color="auto"/>
      </w:divBdr>
    </w:div>
    <w:div w:id="1096101551">
      <w:bodyDiv w:val="1"/>
      <w:marLeft w:val="0"/>
      <w:marRight w:val="0"/>
      <w:marTop w:val="0"/>
      <w:marBottom w:val="0"/>
      <w:divBdr>
        <w:top w:val="none" w:sz="0" w:space="0" w:color="auto"/>
        <w:left w:val="none" w:sz="0" w:space="0" w:color="auto"/>
        <w:bottom w:val="none" w:sz="0" w:space="0" w:color="auto"/>
        <w:right w:val="none" w:sz="0" w:space="0" w:color="auto"/>
      </w:divBdr>
    </w:div>
    <w:div w:id="1096756392">
      <w:bodyDiv w:val="1"/>
      <w:marLeft w:val="0"/>
      <w:marRight w:val="0"/>
      <w:marTop w:val="0"/>
      <w:marBottom w:val="0"/>
      <w:divBdr>
        <w:top w:val="none" w:sz="0" w:space="0" w:color="auto"/>
        <w:left w:val="none" w:sz="0" w:space="0" w:color="auto"/>
        <w:bottom w:val="none" w:sz="0" w:space="0" w:color="auto"/>
        <w:right w:val="none" w:sz="0" w:space="0" w:color="auto"/>
      </w:divBdr>
    </w:div>
    <w:div w:id="1096825718">
      <w:bodyDiv w:val="1"/>
      <w:marLeft w:val="0"/>
      <w:marRight w:val="0"/>
      <w:marTop w:val="0"/>
      <w:marBottom w:val="0"/>
      <w:divBdr>
        <w:top w:val="none" w:sz="0" w:space="0" w:color="auto"/>
        <w:left w:val="none" w:sz="0" w:space="0" w:color="auto"/>
        <w:bottom w:val="none" w:sz="0" w:space="0" w:color="auto"/>
        <w:right w:val="none" w:sz="0" w:space="0" w:color="auto"/>
      </w:divBdr>
    </w:div>
    <w:div w:id="1097091789">
      <w:bodyDiv w:val="1"/>
      <w:marLeft w:val="0"/>
      <w:marRight w:val="0"/>
      <w:marTop w:val="0"/>
      <w:marBottom w:val="0"/>
      <w:divBdr>
        <w:top w:val="none" w:sz="0" w:space="0" w:color="auto"/>
        <w:left w:val="none" w:sz="0" w:space="0" w:color="auto"/>
        <w:bottom w:val="none" w:sz="0" w:space="0" w:color="auto"/>
        <w:right w:val="none" w:sz="0" w:space="0" w:color="auto"/>
      </w:divBdr>
    </w:div>
    <w:div w:id="1097746690">
      <w:bodyDiv w:val="1"/>
      <w:marLeft w:val="0"/>
      <w:marRight w:val="0"/>
      <w:marTop w:val="0"/>
      <w:marBottom w:val="0"/>
      <w:divBdr>
        <w:top w:val="none" w:sz="0" w:space="0" w:color="auto"/>
        <w:left w:val="none" w:sz="0" w:space="0" w:color="auto"/>
        <w:bottom w:val="none" w:sz="0" w:space="0" w:color="auto"/>
        <w:right w:val="none" w:sz="0" w:space="0" w:color="auto"/>
      </w:divBdr>
    </w:div>
    <w:div w:id="1098333429">
      <w:bodyDiv w:val="1"/>
      <w:marLeft w:val="0"/>
      <w:marRight w:val="0"/>
      <w:marTop w:val="0"/>
      <w:marBottom w:val="0"/>
      <w:divBdr>
        <w:top w:val="none" w:sz="0" w:space="0" w:color="auto"/>
        <w:left w:val="none" w:sz="0" w:space="0" w:color="auto"/>
        <w:bottom w:val="none" w:sz="0" w:space="0" w:color="auto"/>
        <w:right w:val="none" w:sz="0" w:space="0" w:color="auto"/>
      </w:divBdr>
    </w:div>
    <w:div w:id="1099451061">
      <w:bodyDiv w:val="1"/>
      <w:marLeft w:val="0"/>
      <w:marRight w:val="0"/>
      <w:marTop w:val="0"/>
      <w:marBottom w:val="0"/>
      <w:divBdr>
        <w:top w:val="none" w:sz="0" w:space="0" w:color="auto"/>
        <w:left w:val="none" w:sz="0" w:space="0" w:color="auto"/>
        <w:bottom w:val="none" w:sz="0" w:space="0" w:color="auto"/>
        <w:right w:val="none" w:sz="0" w:space="0" w:color="auto"/>
      </w:divBdr>
    </w:div>
    <w:div w:id="1099520255">
      <w:bodyDiv w:val="1"/>
      <w:marLeft w:val="0"/>
      <w:marRight w:val="0"/>
      <w:marTop w:val="0"/>
      <w:marBottom w:val="0"/>
      <w:divBdr>
        <w:top w:val="none" w:sz="0" w:space="0" w:color="auto"/>
        <w:left w:val="none" w:sz="0" w:space="0" w:color="auto"/>
        <w:bottom w:val="none" w:sz="0" w:space="0" w:color="auto"/>
        <w:right w:val="none" w:sz="0" w:space="0" w:color="auto"/>
      </w:divBdr>
    </w:div>
    <w:div w:id="1099789971">
      <w:bodyDiv w:val="1"/>
      <w:marLeft w:val="0"/>
      <w:marRight w:val="0"/>
      <w:marTop w:val="0"/>
      <w:marBottom w:val="0"/>
      <w:divBdr>
        <w:top w:val="none" w:sz="0" w:space="0" w:color="auto"/>
        <w:left w:val="none" w:sz="0" w:space="0" w:color="auto"/>
        <w:bottom w:val="none" w:sz="0" w:space="0" w:color="auto"/>
        <w:right w:val="none" w:sz="0" w:space="0" w:color="auto"/>
      </w:divBdr>
    </w:div>
    <w:div w:id="1100679341">
      <w:bodyDiv w:val="1"/>
      <w:marLeft w:val="0"/>
      <w:marRight w:val="0"/>
      <w:marTop w:val="0"/>
      <w:marBottom w:val="0"/>
      <w:divBdr>
        <w:top w:val="none" w:sz="0" w:space="0" w:color="auto"/>
        <w:left w:val="none" w:sz="0" w:space="0" w:color="auto"/>
        <w:bottom w:val="none" w:sz="0" w:space="0" w:color="auto"/>
        <w:right w:val="none" w:sz="0" w:space="0" w:color="auto"/>
      </w:divBdr>
    </w:div>
    <w:div w:id="1102142011">
      <w:bodyDiv w:val="1"/>
      <w:marLeft w:val="0"/>
      <w:marRight w:val="0"/>
      <w:marTop w:val="0"/>
      <w:marBottom w:val="0"/>
      <w:divBdr>
        <w:top w:val="none" w:sz="0" w:space="0" w:color="auto"/>
        <w:left w:val="none" w:sz="0" w:space="0" w:color="auto"/>
        <w:bottom w:val="none" w:sz="0" w:space="0" w:color="auto"/>
        <w:right w:val="none" w:sz="0" w:space="0" w:color="auto"/>
      </w:divBdr>
    </w:div>
    <w:div w:id="1102412833">
      <w:bodyDiv w:val="1"/>
      <w:marLeft w:val="0"/>
      <w:marRight w:val="0"/>
      <w:marTop w:val="0"/>
      <w:marBottom w:val="0"/>
      <w:divBdr>
        <w:top w:val="none" w:sz="0" w:space="0" w:color="auto"/>
        <w:left w:val="none" w:sz="0" w:space="0" w:color="auto"/>
        <w:bottom w:val="none" w:sz="0" w:space="0" w:color="auto"/>
        <w:right w:val="none" w:sz="0" w:space="0" w:color="auto"/>
      </w:divBdr>
    </w:div>
    <w:div w:id="1103304812">
      <w:bodyDiv w:val="1"/>
      <w:marLeft w:val="0"/>
      <w:marRight w:val="0"/>
      <w:marTop w:val="0"/>
      <w:marBottom w:val="0"/>
      <w:divBdr>
        <w:top w:val="none" w:sz="0" w:space="0" w:color="auto"/>
        <w:left w:val="none" w:sz="0" w:space="0" w:color="auto"/>
        <w:bottom w:val="none" w:sz="0" w:space="0" w:color="auto"/>
        <w:right w:val="none" w:sz="0" w:space="0" w:color="auto"/>
      </w:divBdr>
    </w:div>
    <w:div w:id="1103767641">
      <w:bodyDiv w:val="1"/>
      <w:marLeft w:val="0"/>
      <w:marRight w:val="0"/>
      <w:marTop w:val="0"/>
      <w:marBottom w:val="0"/>
      <w:divBdr>
        <w:top w:val="none" w:sz="0" w:space="0" w:color="auto"/>
        <w:left w:val="none" w:sz="0" w:space="0" w:color="auto"/>
        <w:bottom w:val="none" w:sz="0" w:space="0" w:color="auto"/>
        <w:right w:val="none" w:sz="0" w:space="0" w:color="auto"/>
      </w:divBdr>
    </w:div>
    <w:div w:id="1104573867">
      <w:bodyDiv w:val="1"/>
      <w:marLeft w:val="0"/>
      <w:marRight w:val="0"/>
      <w:marTop w:val="0"/>
      <w:marBottom w:val="0"/>
      <w:divBdr>
        <w:top w:val="none" w:sz="0" w:space="0" w:color="auto"/>
        <w:left w:val="none" w:sz="0" w:space="0" w:color="auto"/>
        <w:bottom w:val="none" w:sz="0" w:space="0" w:color="auto"/>
        <w:right w:val="none" w:sz="0" w:space="0" w:color="auto"/>
      </w:divBdr>
    </w:div>
    <w:div w:id="1105228085">
      <w:bodyDiv w:val="1"/>
      <w:marLeft w:val="0"/>
      <w:marRight w:val="0"/>
      <w:marTop w:val="0"/>
      <w:marBottom w:val="0"/>
      <w:divBdr>
        <w:top w:val="none" w:sz="0" w:space="0" w:color="auto"/>
        <w:left w:val="none" w:sz="0" w:space="0" w:color="auto"/>
        <w:bottom w:val="none" w:sz="0" w:space="0" w:color="auto"/>
        <w:right w:val="none" w:sz="0" w:space="0" w:color="auto"/>
      </w:divBdr>
    </w:div>
    <w:div w:id="1105611869">
      <w:bodyDiv w:val="1"/>
      <w:marLeft w:val="0"/>
      <w:marRight w:val="0"/>
      <w:marTop w:val="0"/>
      <w:marBottom w:val="0"/>
      <w:divBdr>
        <w:top w:val="none" w:sz="0" w:space="0" w:color="auto"/>
        <w:left w:val="none" w:sz="0" w:space="0" w:color="auto"/>
        <w:bottom w:val="none" w:sz="0" w:space="0" w:color="auto"/>
        <w:right w:val="none" w:sz="0" w:space="0" w:color="auto"/>
      </w:divBdr>
    </w:div>
    <w:div w:id="1105930533">
      <w:bodyDiv w:val="1"/>
      <w:marLeft w:val="0"/>
      <w:marRight w:val="0"/>
      <w:marTop w:val="0"/>
      <w:marBottom w:val="0"/>
      <w:divBdr>
        <w:top w:val="none" w:sz="0" w:space="0" w:color="auto"/>
        <w:left w:val="none" w:sz="0" w:space="0" w:color="auto"/>
        <w:bottom w:val="none" w:sz="0" w:space="0" w:color="auto"/>
        <w:right w:val="none" w:sz="0" w:space="0" w:color="auto"/>
      </w:divBdr>
    </w:div>
    <w:div w:id="1106776671">
      <w:bodyDiv w:val="1"/>
      <w:marLeft w:val="0"/>
      <w:marRight w:val="0"/>
      <w:marTop w:val="0"/>
      <w:marBottom w:val="0"/>
      <w:divBdr>
        <w:top w:val="none" w:sz="0" w:space="0" w:color="auto"/>
        <w:left w:val="none" w:sz="0" w:space="0" w:color="auto"/>
        <w:bottom w:val="none" w:sz="0" w:space="0" w:color="auto"/>
        <w:right w:val="none" w:sz="0" w:space="0" w:color="auto"/>
      </w:divBdr>
    </w:div>
    <w:div w:id="1109423964">
      <w:bodyDiv w:val="1"/>
      <w:marLeft w:val="0"/>
      <w:marRight w:val="0"/>
      <w:marTop w:val="0"/>
      <w:marBottom w:val="0"/>
      <w:divBdr>
        <w:top w:val="none" w:sz="0" w:space="0" w:color="auto"/>
        <w:left w:val="none" w:sz="0" w:space="0" w:color="auto"/>
        <w:bottom w:val="none" w:sz="0" w:space="0" w:color="auto"/>
        <w:right w:val="none" w:sz="0" w:space="0" w:color="auto"/>
      </w:divBdr>
    </w:div>
    <w:div w:id="1109814151">
      <w:bodyDiv w:val="1"/>
      <w:marLeft w:val="0"/>
      <w:marRight w:val="0"/>
      <w:marTop w:val="0"/>
      <w:marBottom w:val="0"/>
      <w:divBdr>
        <w:top w:val="none" w:sz="0" w:space="0" w:color="auto"/>
        <w:left w:val="none" w:sz="0" w:space="0" w:color="auto"/>
        <w:bottom w:val="none" w:sz="0" w:space="0" w:color="auto"/>
        <w:right w:val="none" w:sz="0" w:space="0" w:color="auto"/>
      </w:divBdr>
    </w:div>
    <w:div w:id="1110510662">
      <w:bodyDiv w:val="1"/>
      <w:marLeft w:val="0"/>
      <w:marRight w:val="0"/>
      <w:marTop w:val="0"/>
      <w:marBottom w:val="0"/>
      <w:divBdr>
        <w:top w:val="none" w:sz="0" w:space="0" w:color="auto"/>
        <w:left w:val="none" w:sz="0" w:space="0" w:color="auto"/>
        <w:bottom w:val="none" w:sz="0" w:space="0" w:color="auto"/>
        <w:right w:val="none" w:sz="0" w:space="0" w:color="auto"/>
      </w:divBdr>
    </w:div>
    <w:div w:id="1110590356">
      <w:bodyDiv w:val="1"/>
      <w:marLeft w:val="0"/>
      <w:marRight w:val="0"/>
      <w:marTop w:val="0"/>
      <w:marBottom w:val="0"/>
      <w:divBdr>
        <w:top w:val="none" w:sz="0" w:space="0" w:color="auto"/>
        <w:left w:val="none" w:sz="0" w:space="0" w:color="auto"/>
        <w:bottom w:val="none" w:sz="0" w:space="0" w:color="auto"/>
        <w:right w:val="none" w:sz="0" w:space="0" w:color="auto"/>
      </w:divBdr>
    </w:div>
    <w:div w:id="1110780545">
      <w:bodyDiv w:val="1"/>
      <w:marLeft w:val="0"/>
      <w:marRight w:val="0"/>
      <w:marTop w:val="0"/>
      <w:marBottom w:val="0"/>
      <w:divBdr>
        <w:top w:val="none" w:sz="0" w:space="0" w:color="auto"/>
        <w:left w:val="none" w:sz="0" w:space="0" w:color="auto"/>
        <w:bottom w:val="none" w:sz="0" w:space="0" w:color="auto"/>
        <w:right w:val="none" w:sz="0" w:space="0" w:color="auto"/>
      </w:divBdr>
    </w:div>
    <w:div w:id="1111436469">
      <w:bodyDiv w:val="1"/>
      <w:marLeft w:val="0"/>
      <w:marRight w:val="0"/>
      <w:marTop w:val="0"/>
      <w:marBottom w:val="0"/>
      <w:divBdr>
        <w:top w:val="none" w:sz="0" w:space="0" w:color="auto"/>
        <w:left w:val="none" w:sz="0" w:space="0" w:color="auto"/>
        <w:bottom w:val="none" w:sz="0" w:space="0" w:color="auto"/>
        <w:right w:val="none" w:sz="0" w:space="0" w:color="auto"/>
      </w:divBdr>
    </w:div>
    <w:div w:id="1111626263">
      <w:bodyDiv w:val="1"/>
      <w:marLeft w:val="0"/>
      <w:marRight w:val="0"/>
      <w:marTop w:val="0"/>
      <w:marBottom w:val="0"/>
      <w:divBdr>
        <w:top w:val="none" w:sz="0" w:space="0" w:color="auto"/>
        <w:left w:val="none" w:sz="0" w:space="0" w:color="auto"/>
        <w:bottom w:val="none" w:sz="0" w:space="0" w:color="auto"/>
        <w:right w:val="none" w:sz="0" w:space="0" w:color="auto"/>
      </w:divBdr>
    </w:div>
    <w:div w:id="1112819752">
      <w:bodyDiv w:val="1"/>
      <w:marLeft w:val="0"/>
      <w:marRight w:val="0"/>
      <w:marTop w:val="0"/>
      <w:marBottom w:val="0"/>
      <w:divBdr>
        <w:top w:val="none" w:sz="0" w:space="0" w:color="auto"/>
        <w:left w:val="none" w:sz="0" w:space="0" w:color="auto"/>
        <w:bottom w:val="none" w:sz="0" w:space="0" w:color="auto"/>
        <w:right w:val="none" w:sz="0" w:space="0" w:color="auto"/>
      </w:divBdr>
    </w:div>
    <w:div w:id="1112941073">
      <w:bodyDiv w:val="1"/>
      <w:marLeft w:val="0"/>
      <w:marRight w:val="0"/>
      <w:marTop w:val="0"/>
      <w:marBottom w:val="0"/>
      <w:divBdr>
        <w:top w:val="none" w:sz="0" w:space="0" w:color="auto"/>
        <w:left w:val="none" w:sz="0" w:space="0" w:color="auto"/>
        <w:bottom w:val="none" w:sz="0" w:space="0" w:color="auto"/>
        <w:right w:val="none" w:sz="0" w:space="0" w:color="auto"/>
      </w:divBdr>
    </w:div>
    <w:div w:id="1112942751">
      <w:bodyDiv w:val="1"/>
      <w:marLeft w:val="0"/>
      <w:marRight w:val="0"/>
      <w:marTop w:val="0"/>
      <w:marBottom w:val="0"/>
      <w:divBdr>
        <w:top w:val="none" w:sz="0" w:space="0" w:color="auto"/>
        <w:left w:val="none" w:sz="0" w:space="0" w:color="auto"/>
        <w:bottom w:val="none" w:sz="0" w:space="0" w:color="auto"/>
        <w:right w:val="none" w:sz="0" w:space="0" w:color="auto"/>
      </w:divBdr>
    </w:div>
    <w:div w:id="1114595720">
      <w:bodyDiv w:val="1"/>
      <w:marLeft w:val="0"/>
      <w:marRight w:val="0"/>
      <w:marTop w:val="0"/>
      <w:marBottom w:val="0"/>
      <w:divBdr>
        <w:top w:val="none" w:sz="0" w:space="0" w:color="auto"/>
        <w:left w:val="none" w:sz="0" w:space="0" w:color="auto"/>
        <w:bottom w:val="none" w:sz="0" w:space="0" w:color="auto"/>
        <w:right w:val="none" w:sz="0" w:space="0" w:color="auto"/>
      </w:divBdr>
    </w:div>
    <w:div w:id="1114977543">
      <w:bodyDiv w:val="1"/>
      <w:marLeft w:val="0"/>
      <w:marRight w:val="0"/>
      <w:marTop w:val="0"/>
      <w:marBottom w:val="0"/>
      <w:divBdr>
        <w:top w:val="none" w:sz="0" w:space="0" w:color="auto"/>
        <w:left w:val="none" w:sz="0" w:space="0" w:color="auto"/>
        <w:bottom w:val="none" w:sz="0" w:space="0" w:color="auto"/>
        <w:right w:val="none" w:sz="0" w:space="0" w:color="auto"/>
      </w:divBdr>
    </w:div>
    <w:div w:id="1116561552">
      <w:bodyDiv w:val="1"/>
      <w:marLeft w:val="0"/>
      <w:marRight w:val="0"/>
      <w:marTop w:val="0"/>
      <w:marBottom w:val="0"/>
      <w:divBdr>
        <w:top w:val="none" w:sz="0" w:space="0" w:color="auto"/>
        <w:left w:val="none" w:sz="0" w:space="0" w:color="auto"/>
        <w:bottom w:val="none" w:sz="0" w:space="0" w:color="auto"/>
        <w:right w:val="none" w:sz="0" w:space="0" w:color="auto"/>
      </w:divBdr>
    </w:div>
    <w:div w:id="1116679047">
      <w:bodyDiv w:val="1"/>
      <w:marLeft w:val="0"/>
      <w:marRight w:val="0"/>
      <w:marTop w:val="0"/>
      <w:marBottom w:val="0"/>
      <w:divBdr>
        <w:top w:val="none" w:sz="0" w:space="0" w:color="auto"/>
        <w:left w:val="none" w:sz="0" w:space="0" w:color="auto"/>
        <w:bottom w:val="none" w:sz="0" w:space="0" w:color="auto"/>
        <w:right w:val="none" w:sz="0" w:space="0" w:color="auto"/>
      </w:divBdr>
    </w:div>
    <w:div w:id="1116681934">
      <w:bodyDiv w:val="1"/>
      <w:marLeft w:val="0"/>
      <w:marRight w:val="0"/>
      <w:marTop w:val="0"/>
      <w:marBottom w:val="0"/>
      <w:divBdr>
        <w:top w:val="none" w:sz="0" w:space="0" w:color="auto"/>
        <w:left w:val="none" w:sz="0" w:space="0" w:color="auto"/>
        <w:bottom w:val="none" w:sz="0" w:space="0" w:color="auto"/>
        <w:right w:val="none" w:sz="0" w:space="0" w:color="auto"/>
      </w:divBdr>
    </w:div>
    <w:div w:id="1117024308">
      <w:bodyDiv w:val="1"/>
      <w:marLeft w:val="0"/>
      <w:marRight w:val="0"/>
      <w:marTop w:val="0"/>
      <w:marBottom w:val="0"/>
      <w:divBdr>
        <w:top w:val="none" w:sz="0" w:space="0" w:color="auto"/>
        <w:left w:val="none" w:sz="0" w:space="0" w:color="auto"/>
        <w:bottom w:val="none" w:sz="0" w:space="0" w:color="auto"/>
        <w:right w:val="none" w:sz="0" w:space="0" w:color="auto"/>
      </w:divBdr>
    </w:div>
    <w:div w:id="1117679592">
      <w:bodyDiv w:val="1"/>
      <w:marLeft w:val="0"/>
      <w:marRight w:val="0"/>
      <w:marTop w:val="0"/>
      <w:marBottom w:val="0"/>
      <w:divBdr>
        <w:top w:val="none" w:sz="0" w:space="0" w:color="auto"/>
        <w:left w:val="none" w:sz="0" w:space="0" w:color="auto"/>
        <w:bottom w:val="none" w:sz="0" w:space="0" w:color="auto"/>
        <w:right w:val="none" w:sz="0" w:space="0" w:color="auto"/>
      </w:divBdr>
    </w:div>
    <w:div w:id="1117942137">
      <w:bodyDiv w:val="1"/>
      <w:marLeft w:val="0"/>
      <w:marRight w:val="0"/>
      <w:marTop w:val="0"/>
      <w:marBottom w:val="0"/>
      <w:divBdr>
        <w:top w:val="none" w:sz="0" w:space="0" w:color="auto"/>
        <w:left w:val="none" w:sz="0" w:space="0" w:color="auto"/>
        <w:bottom w:val="none" w:sz="0" w:space="0" w:color="auto"/>
        <w:right w:val="none" w:sz="0" w:space="0" w:color="auto"/>
      </w:divBdr>
    </w:div>
    <w:div w:id="1120412316">
      <w:bodyDiv w:val="1"/>
      <w:marLeft w:val="0"/>
      <w:marRight w:val="0"/>
      <w:marTop w:val="0"/>
      <w:marBottom w:val="0"/>
      <w:divBdr>
        <w:top w:val="none" w:sz="0" w:space="0" w:color="auto"/>
        <w:left w:val="none" w:sz="0" w:space="0" w:color="auto"/>
        <w:bottom w:val="none" w:sz="0" w:space="0" w:color="auto"/>
        <w:right w:val="none" w:sz="0" w:space="0" w:color="auto"/>
      </w:divBdr>
    </w:div>
    <w:div w:id="1121267672">
      <w:bodyDiv w:val="1"/>
      <w:marLeft w:val="0"/>
      <w:marRight w:val="0"/>
      <w:marTop w:val="0"/>
      <w:marBottom w:val="0"/>
      <w:divBdr>
        <w:top w:val="none" w:sz="0" w:space="0" w:color="auto"/>
        <w:left w:val="none" w:sz="0" w:space="0" w:color="auto"/>
        <w:bottom w:val="none" w:sz="0" w:space="0" w:color="auto"/>
        <w:right w:val="none" w:sz="0" w:space="0" w:color="auto"/>
      </w:divBdr>
    </w:div>
    <w:div w:id="1122074257">
      <w:bodyDiv w:val="1"/>
      <w:marLeft w:val="0"/>
      <w:marRight w:val="0"/>
      <w:marTop w:val="0"/>
      <w:marBottom w:val="0"/>
      <w:divBdr>
        <w:top w:val="none" w:sz="0" w:space="0" w:color="auto"/>
        <w:left w:val="none" w:sz="0" w:space="0" w:color="auto"/>
        <w:bottom w:val="none" w:sz="0" w:space="0" w:color="auto"/>
        <w:right w:val="none" w:sz="0" w:space="0" w:color="auto"/>
      </w:divBdr>
    </w:div>
    <w:div w:id="1122264025">
      <w:bodyDiv w:val="1"/>
      <w:marLeft w:val="0"/>
      <w:marRight w:val="0"/>
      <w:marTop w:val="0"/>
      <w:marBottom w:val="0"/>
      <w:divBdr>
        <w:top w:val="none" w:sz="0" w:space="0" w:color="auto"/>
        <w:left w:val="none" w:sz="0" w:space="0" w:color="auto"/>
        <w:bottom w:val="none" w:sz="0" w:space="0" w:color="auto"/>
        <w:right w:val="none" w:sz="0" w:space="0" w:color="auto"/>
      </w:divBdr>
    </w:div>
    <w:div w:id="1125275022">
      <w:bodyDiv w:val="1"/>
      <w:marLeft w:val="0"/>
      <w:marRight w:val="0"/>
      <w:marTop w:val="0"/>
      <w:marBottom w:val="0"/>
      <w:divBdr>
        <w:top w:val="none" w:sz="0" w:space="0" w:color="auto"/>
        <w:left w:val="none" w:sz="0" w:space="0" w:color="auto"/>
        <w:bottom w:val="none" w:sz="0" w:space="0" w:color="auto"/>
        <w:right w:val="none" w:sz="0" w:space="0" w:color="auto"/>
      </w:divBdr>
    </w:div>
    <w:div w:id="1125612693">
      <w:bodyDiv w:val="1"/>
      <w:marLeft w:val="0"/>
      <w:marRight w:val="0"/>
      <w:marTop w:val="0"/>
      <w:marBottom w:val="0"/>
      <w:divBdr>
        <w:top w:val="none" w:sz="0" w:space="0" w:color="auto"/>
        <w:left w:val="none" w:sz="0" w:space="0" w:color="auto"/>
        <w:bottom w:val="none" w:sz="0" w:space="0" w:color="auto"/>
        <w:right w:val="none" w:sz="0" w:space="0" w:color="auto"/>
      </w:divBdr>
    </w:div>
    <w:div w:id="1125662856">
      <w:bodyDiv w:val="1"/>
      <w:marLeft w:val="0"/>
      <w:marRight w:val="0"/>
      <w:marTop w:val="0"/>
      <w:marBottom w:val="0"/>
      <w:divBdr>
        <w:top w:val="none" w:sz="0" w:space="0" w:color="auto"/>
        <w:left w:val="none" w:sz="0" w:space="0" w:color="auto"/>
        <w:bottom w:val="none" w:sz="0" w:space="0" w:color="auto"/>
        <w:right w:val="none" w:sz="0" w:space="0" w:color="auto"/>
      </w:divBdr>
    </w:div>
    <w:div w:id="1125806201">
      <w:bodyDiv w:val="1"/>
      <w:marLeft w:val="0"/>
      <w:marRight w:val="0"/>
      <w:marTop w:val="0"/>
      <w:marBottom w:val="0"/>
      <w:divBdr>
        <w:top w:val="none" w:sz="0" w:space="0" w:color="auto"/>
        <w:left w:val="none" w:sz="0" w:space="0" w:color="auto"/>
        <w:bottom w:val="none" w:sz="0" w:space="0" w:color="auto"/>
        <w:right w:val="none" w:sz="0" w:space="0" w:color="auto"/>
      </w:divBdr>
    </w:div>
    <w:div w:id="1126777887">
      <w:bodyDiv w:val="1"/>
      <w:marLeft w:val="0"/>
      <w:marRight w:val="0"/>
      <w:marTop w:val="0"/>
      <w:marBottom w:val="0"/>
      <w:divBdr>
        <w:top w:val="none" w:sz="0" w:space="0" w:color="auto"/>
        <w:left w:val="none" w:sz="0" w:space="0" w:color="auto"/>
        <w:bottom w:val="none" w:sz="0" w:space="0" w:color="auto"/>
        <w:right w:val="none" w:sz="0" w:space="0" w:color="auto"/>
      </w:divBdr>
    </w:div>
    <w:div w:id="1128553135">
      <w:bodyDiv w:val="1"/>
      <w:marLeft w:val="0"/>
      <w:marRight w:val="0"/>
      <w:marTop w:val="0"/>
      <w:marBottom w:val="0"/>
      <w:divBdr>
        <w:top w:val="none" w:sz="0" w:space="0" w:color="auto"/>
        <w:left w:val="none" w:sz="0" w:space="0" w:color="auto"/>
        <w:bottom w:val="none" w:sz="0" w:space="0" w:color="auto"/>
        <w:right w:val="none" w:sz="0" w:space="0" w:color="auto"/>
      </w:divBdr>
    </w:div>
    <w:div w:id="1128737670">
      <w:bodyDiv w:val="1"/>
      <w:marLeft w:val="0"/>
      <w:marRight w:val="0"/>
      <w:marTop w:val="0"/>
      <w:marBottom w:val="0"/>
      <w:divBdr>
        <w:top w:val="none" w:sz="0" w:space="0" w:color="auto"/>
        <w:left w:val="none" w:sz="0" w:space="0" w:color="auto"/>
        <w:bottom w:val="none" w:sz="0" w:space="0" w:color="auto"/>
        <w:right w:val="none" w:sz="0" w:space="0" w:color="auto"/>
      </w:divBdr>
    </w:div>
    <w:div w:id="1128858888">
      <w:bodyDiv w:val="1"/>
      <w:marLeft w:val="0"/>
      <w:marRight w:val="0"/>
      <w:marTop w:val="0"/>
      <w:marBottom w:val="0"/>
      <w:divBdr>
        <w:top w:val="none" w:sz="0" w:space="0" w:color="auto"/>
        <w:left w:val="none" w:sz="0" w:space="0" w:color="auto"/>
        <w:bottom w:val="none" w:sz="0" w:space="0" w:color="auto"/>
        <w:right w:val="none" w:sz="0" w:space="0" w:color="auto"/>
      </w:divBdr>
    </w:div>
    <w:div w:id="1129933604">
      <w:bodyDiv w:val="1"/>
      <w:marLeft w:val="0"/>
      <w:marRight w:val="0"/>
      <w:marTop w:val="0"/>
      <w:marBottom w:val="0"/>
      <w:divBdr>
        <w:top w:val="none" w:sz="0" w:space="0" w:color="auto"/>
        <w:left w:val="none" w:sz="0" w:space="0" w:color="auto"/>
        <w:bottom w:val="none" w:sz="0" w:space="0" w:color="auto"/>
        <w:right w:val="none" w:sz="0" w:space="0" w:color="auto"/>
      </w:divBdr>
    </w:div>
    <w:div w:id="1130517893">
      <w:bodyDiv w:val="1"/>
      <w:marLeft w:val="0"/>
      <w:marRight w:val="0"/>
      <w:marTop w:val="0"/>
      <w:marBottom w:val="0"/>
      <w:divBdr>
        <w:top w:val="none" w:sz="0" w:space="0" w:color="auto"/>
        <w:left w:val="none" w:sz="0" w:space="0" w:color="auto"/>
        <w:bottom w:val="none" w:sz="0" w:space="0" w:color="auto"/>
        <w:right w:val="none" w:sz="0" w:space="0" w:color="auto"/>
      </w:divBdr>
    </w:div>
    <w:div w:id="1130897257">
      <w:bodyDiv w:val="1"/>
      <w:marLeft w:val="0"/>
      <w:marRight w:val="0"/>
      <w:marTop w:val="0"/>
      <w:marBottom w:val="0"/>
      <w:divBdr>
        <w:top w:val="none" w:sz="0" w:space="0" w:color="auto"/>
        <w:left w:val="none" w:sz="0" w:space="0" w:color="auto"/>
        <w:bottom w:val="none" w:sz="0" w:space="0" w:color="auto"/>
        <w:right w:val="none" w:sz="0" w:space="0" w:color="auto"/>
      </w:divBdr>
    </w:div>
    <w:div w:id="1130973147">
      <w:bodyDiv w:val="1"/>
      <w:marLeft w:val="0"/>
      <w:marRight w:val="0"/>
      <w:marTop w:val="0"/>
      <w:marBottom w:val="0"/>
      <w:divBdr>
        <w:top w:val="none" w:sz="0" w:space="0" w:color="auto"/>
        <w:left w:val="none" w:sz="0" w:space="0" w:color="auto"/>
        <w:bottom w:val="none" w:sz="0" w:space="0" w:color="auto"/>
        <w:right w:val="none" w:sz="0" w:space="0" w:color="auto"/>
      </w:divBdr>
    </w:div>
    <w:div w:id="1131435672">
      <w:bodyDiv w:val="1"/>
      <w:marLeft w:val="0"/>
      <w:marRight w:val="0"/>
      <w:marTop w:val="0"/>
      <w:marBottom w:val="0"/>
      <w:divBdr>
        <w:top w:val="none" w:sz="0" w:space="0" w:color="auto"/>
        <w:left w:val="none" w:sz="0" w:space="0" w:color="auto"/>
        <w:bottom w:val="none" w:sz="0" w:space="0" w:color="auto"/>
        <w:right w:val="none" w:sz="0" w:space="0" w:color="auto"/>
      </w:divBdr>
    </w:div>
    <w:div w:id="1133408056">
      <w:bodyDiv w:val="1"/>
      <w:marLeft w:val="0"/>
      <w:marRight w:val="0"/>
      <w:marTop w:val="0"/>
      <w:marBottom w:val="0"/>
      <w:divBdr>
        <w:top w:val="none" w:sz="0" w:space="0" w:color="auto"/>
        <w:left w:val="none" w:sz="0" w:space="0" w:color="auto"/>
        <w:bottom w:val="none" w:sz="0" w:space="0" w:color="auto"/>
        <w:right w:val="none" w:sz="0" w:space="0" w:color="auto"/>
      </w:divBdr>
    </w:div>
    <w:div w:id="1134641219">
      <w:bodyDiv w:val="1"/>
      <w:marLeft w:val="0"/>
      <w:marRight w:val="0"/>
      <w:marTop w:val="0"/>
      <w:marBottom w:val="0"/>
      <w:divBdr>
        <w:top w:val="none" w:sz="0" w:space="0" w:color="auto"/>
        <w:left w:val="none" w:sz="0" w:space="0" w:color="auto"/>
        <w:bottom w:val="none" w:sz="0" w:space="0" w:color="auto"/>
        <w:right w:val="none" w:sz="0" w:space="0" w:color="auto"/>
      </w:divBdr>
    </w:div>
    <w:div w:id="1135220932">
      <w:bodyDiv w:val="1"/>
      <w:marLeft w:val="0"/>
      <w:marRight w:val="0"/>
      <w:marTop w:val="0"/>
      <w:marBottom w:val="0"/>
      <w:divBdr>
        <w:top w:val="none" w:sz="0" w:space="0" w:color="auto"/>
        <w:left w:val="none" w:sz="0" w:space="0" w:color="auto"/>
        <w:bottom w:val="none" w:sz="0" w:space="0" w:color="auto"/>
        <w:right w:val="none" w:sz="0" w:space="0" w:color="auto"/>
      </w:divBdr>
    </w:div>
    <w:div w:id="1135290391">
      <w:bodyDiv w:val="1"/>
      <w:marLeft w:val="0"/>
      <w:marRight w:val="0"/>
      <w:marTop w:val="0"/>
      <w:marBottom w:val="0"/>
      <w:divBdr>
        <w:top w:val="none" w:sz="0" w:space="0" w:color="auto"/>
        <w:left w:val="none" w:sz="0" w:space="0" w:color="auto"/>
        <w:bottom w:val="none" w:sz="0" w:space="0" w:color="auto"/>
        <w:right w:val="none" w:sz="0" w:space="0" w:color="auto"/>
      </w:divBdr>
    </w:div>
    <w:div w:id="1135756098">
      <w:bodyDiv w:val="1"/>
      <w:marLeft w:val="0"/>
      <w:marRight w:val="0"/>
      <w:marTop w:val="0"/>
      <w:marBottom w:val="0"/>
      <w:divBdr>
        <w:top w:val="none" w:sz="0" w:space="0" w:color="auto"/>
        <w:left w:val="none" w:sz="0" w:space="0" w:color="auto"/>
        <w:bottom w:val="none" w:sz="0" w:space="0" w:color="auto"/>
        <w:right w:val="none" w:sz="0" w:space="0" w:color="auto"/>
      </w:divBdr>
    </w:div>
    <w:div w:id="1136526568">
      <w:bodyDiv w:val="1"/>
      <w:marLeft w:val="0"/>
      <w:marRight w:val="0"/>
      <w:marTop w:val="0"/>
      <w:marBottom w:val="0"/>
      <w:divBdr>
        <w:top w:val="none" w:sz="0" w:space="0" w:color="auto"/>
        <w:left w:val="none" w:sz="0" w:space="0" w:color="auto"/>
        <w:bottom w:val="none" w:sz="0" w:space="0" w:color="auto"/>
        <w:right w:val="none" w:sz="0" w:space="0" w:color="auto"/>
      </w:divBdr>
    </w:div>
    <w:div w:id="1138454323">
      <w:bodyDiv w:val="1"/>
      <w:marLeft w:val="0"/>
      <w:marRight w:val="0"/>
      <w:marTop w:val="0"/>
      <w:marBottom w:val="0"/>
      <w:divBdr>
        <w:top w:val="none" w:sz="0" w:space="0" w:color="auto"/>
        <w:left w:val="none" w:sz="0" w:space="0" w:color="auto"/>
        <w:bottom w:val="none" w:sz="0" w:space="0" w:color="auto"/>
        <w:right w:val="none" w:sz="0" w:space="0" w:color="auto"/>
      </w:divBdr>
    </w:div>
    <w:div w:id="1138915280">
      <w:bodyDiv w:val="1"/>
      <w:marLeft w:val="0"/>
      <w:marRight w:val="0"/>
      <w:marTop w:val="0"/>
      <w:marBottom w:val="0"/>
      <w:divBdr>
        <w:top w:val="none" w:sz="0" w:space="0" w:color="auto"/>
        <w:left w:val="none" w:sz="0" w:space="0" w:color="auto"/>
        <w:bottom w:val="none" w:sz="0" w:space="0" w:color="auto"/>
        <w:right w:val="none" w:sz="0" w:space="0" w:color="auto"/>
      </w:divBdr>
    </w:div>
    <w:div w:id="1139614312">
      <w:bodyDiv w:val="1"/>
      <w:marLeft w:val="0"/>
      <w:marRight w:val="0"/>
      <w:marTop w:val="0"/>
      <w:marBottom w:val="0"/>
      <w:divBdr>
        <w:top w:val="none" w:sz="0" w:space="0" w:color="auto"/>
        <w:left w:val="none" w:sz="0" w:space="0" w:color="auto"/>
        <w:bottom w:val="none" w:sz="0" w:space="0" w:color="auto"/>
        <w:right w:val="none" w:sz="0" w:space="0" w:color="auto"/>
      </w:divBdr>
    </w:div>
    <w:div w:id="1140614837">
      <w:bodyDiv w:val="1"/>
      <w:marLeft w:val="0"/>
      <w:marRight w:val="0"/>
      <w:marTop w:val="0"/>
      <w:marBottom w:val="0"/>
      <w:divBdr>
        <w:top w:val="none" w:sz="0" w:space="0" w:color="auto"/>
        <w:left w:val="none" w:sz="0" w:space="0" w:color="auto"/>
        <w:bottom w:val="none" w:sz="0" w:space="0" w:color="auto"/>
        <w:right w:val="none" w:sz="0" w:space="0" w:color="auto"/>
      </w:divBdr>
    </w:div>
    <w:div w:id="1140807178">
      <w:bodyDiv w:val="1"/>
      <w:marLeft w:val="0"/>
      <w:marRight w:val="0"/>
      <w:marTop w:val="0"/>
      <w:marBottom w:val="0"/>
      <w:divBdr>
        <w:top w:val="none" w:sz="0" w:space="0" w:color="auto"/>
        <w:left w:val="none" w:sz="0" w:space="0" w:color="auto"/>
        <w:bottom w:val="none" w:sz="0" w:space="0" w:color="auto"/>
        <w:right w:val="none" w:sz="0" w:space="0" w:color="auto"/>
      </w:divBdr>
    </w:div>
    <w:div w:id="1140851995">
      <w:bodyDiv w:val="1"/>
      <w:marLeft w:val="0"/>
      <w:marRight w:val="0"/>
      <w:marTop w:val="0"/>
      <w:marBottom w:val="0"/>
      <w:divBdr>
        <w:top w:val="none" w:sz="0" w:space="0" w:color="auto"/>
        <w:left w:val="none" w:sz="0" w:space="0" w:color="auto"/>
        <w:bottom w:val="none" w:sz="0" w:space="0" w:color="auto"/>
        <w:right w:val="none" w:sz="0" w:space="0" w:color="auto"/>
      </w:divBdr>
    </w:div>
    <w:div w:id="1141574099">
      <w:bodyDiv w:val="1"/>
      <w:marLeft w:val="0"/>
      <w:marRight w:val="0"/>
      <w:marTop w:val="0"/>
      <w:marBottom w:val="0"/>
      <w:divBdr>
        <w:top w:val="none" w:sz="0" w:space="0" w:color="auto"/>
        <w:left w:val="none" w:sz="0" w:space="0" w:color="auto"/>
        <w:bottom w:val="none" w:sz="0" w:space="0" w:color="auto"/>
        <w:right w:val="none" w:sz="0" w:space="0" w:color="auto"/>
      </w:divBdr>
    </w:div>
    <w:div w:id="1141654064">
      <w:bodyDiv w:val="1"/>
      <w:marLeft w:val="0"/>
      <w:marRight w:val="0"/>
      <w:marTop w:val="0"/>
      <w:marBottom w:val="0"/>
      <w:divBdr>
        <w:top w:val="none" w:sz="0" w:space="0" w:color="auto"/>
        <w:left w:val="none" w:sz="0" w:space="0" w:color="auto"/>
        <w:bottom w:val="none" w:sz="0" w:space="0" w:color="auto"/>
        <w:right w:val="none" w:sz="0" w:space="0" w:color="auto"/>
      </w:divBdr>
    </w:div>
    <w:div w:id="1143431659">
      <w:bodyDiv w:val="1"/>
      <w:marLeft w:val="0"/>
      <w:marRight w:val="0"/>
      <w:marTop w:val="0"/>
      <w:marBottom w:val="0"/>
      <w:divBdr>
        <w:top w:val="none" w:sz="0" w:space="0" w:color="auto"/>
        <w:left w:val="none" w:sz="0" w:space="0" w:color="auto"/>
        <w:bottom w:val="none" w:sz="0" w:space="0" w:color="auto"/>
        <w:right w:val="none" w:sz="0" w:space="0" w:color="auto"/>
      </w:divBdr>
    </w:div>
    <w:div w:id="1144541148">
      <w:bodyDiv w:val="1"/>
      <w:marLeft w:val="0"/>
      <w:marRight w:val="0"/>
      <w:marTop w:val="0"/>
      <w:marBottom w:val="0"/>
      <w:divBdr>
        <w:top w:val="none" w:sz="0" w:space="0" w:color="auto"/>
        <w:left w:val="none" w:sz="0" w:space="0" w:color="auto"/>
        <w:bottom w:val="none" w:sz="0" w:space="0" w:color="auto"/>
        <w:right w:val="none" w:sz="0" w:space="0" w:color="auto"/>
      </w:divBdr>
    </w:div>
    <w:div w:id="1144546305">
      <w:bodyDiv w:val="1"/>
      <w:marLeft w:val="0"/>
      <w:marRight w:val="0"/>
      <w:marTop w:val="0"/>
      <w:marBottom w:val="0"/>
      <w:divBdr>
        <w:top w:val="none" w:sz="0" w:space="0" w:color="auto"/>
        <w:left w:val="none" w:sz="0" w:space="0" w:color="auto"/>
        <w:bottom w:val="none" w:sz="0" w:space="0" w:color="auto"/>
        <w:right w:val="none" w:sz="0" w:space="0" w:color="auto"/>
      </w:divBdr>
    </w:div>
    <w:div w:id="1146623789">
      <w:bodyDiv w:val="1"/>
      <w:marLeft w:val="0"/>
      <w:marRight w:val="0"/>
      <w:marTop w:val="0"/>
      <w:marBottom w:val="0"/>
      <w:divBdr>
        <w:top w:val="none" w:sz="0" w:space="0" w:color="auto"/>
        <w:left w:val="none" w:sz="0" w:space="0" w:color="auto"/>
        <w:bottom w:val="none" w:sz="0" w:space="0" w:color="auto"/>
        <w:right w:val="none" w:sz="0" w:space="0" w:color="auto"/>
      </w:divBdr>
    </w:div>
    <w:div w:id="1147626002">
      <w:bodyDiv w:val="1"/>
      <w:marLeft w:val="0"/>
      <w:marRight w:val="0"/>
      <w:marTop w:val="0"/>
      <w:marBottom w:val="0"/>
      <w:divBdr>
        <w:top w:val="none" w:sz="0" w:space="0" w:color="auto"/>
        <w:left w:val="none" w:sz="0" w:space="0" w:color="auto"/>
        <w:bottom w:val="none" w:sz="0" w:space="0" w:color="auto"/>
        <w:right w:val="none" w:sz="0" w:space="0" w:color="auto"/>
      </w:divBdr>
    </w:div>
    <w:div w:id="1148592064">
      <w:bodyDiv w:val="1"/>
      <w:marLeft w:val="0"/>
      <w:marRight w:val="0"/>
      <w:marTop w:val="0"/>
      <w:marBottom w:val="0"/>
      <w:divBdr>
        <w:top w:val="none" w:sz="0" w:space="0" w:color="auto"/>
        <w:left w:val="none" w:sz="0" w:space="0" w:color="auto"/>
        <w:bottom w:val="none" w:sz="0" w:space="0" w:color="auto"/>
        <w:right w:val="none" w:sz="0" w:space="0" w:color="auto"/>
      </w:divBdr>
    </w:div>
    <w:div w:id="1149055596">
      <w:bodyDiv w:val="1"/>
      <w:marLeft w:val="0"/>
      <w:marRight w:val="0"/>
      <w:marTop w:val="0"/>
      <w:marBottom w:val="0"/>
      <w:divBdr>
        <w:top w:val="none" w:sz="0" w:space="0" w:color="auto"/>
        <w:left w:val="none" w:sz="0" w:space="0" w:color="auto"/>
        <w:bottom w:val="none" w:sz="0" w:space="0" w:color="auto"/>
        <w:right w:val="none" w:sz="0" w:space="0" w:color="auto"/>
      </w:divBdr>
    </w:div>
    <w:div w:id="1149244485">
      <w:bodyDiv w:val="1"/>
      <w:marLeft w:val="0"/>
      <w:marRight w:val="0"/>
      <w:marTop w:val="0"/>
      <w:marBottom w:val="0"/>
      <w:divBdr>
        <w:top w:val="none" w:sz="0" w:space="0" w:color="auto"/>
        <w:left w:val="none" w:sz="0" w:space="0" w:color="auto"/>
        <w:bottom w:val="none" w:sz="0" w:space="0" w:color="auto"/>
        <w:right w:val="none" w:sz="0" w:space="0" w:color="auto"/>
      </w:divBdr>
    </w:div>
    <w:div w:id="1150289700">
      <w:bodyDiv w:val="1"/>
      <w:marLeft w:val="0"/>
      <w:marRight w:val="0"/>
      <w:marTop w:val="0"/>
      <w:marBottom w:val="0"/>
      <w:divBdr>
        <w:top w:val="none" w:sz="0" w:space="0" w:color="auto"/>
        <w:left w:val="none" w:sz="0" w:space="0" w:color="auto"/>
        <w:bottom w:val="none" w:sz="0" w:space="0" w:color="auto"/>
        <w:right w:val="none" w:sz="0" w:space="0" w:color="auto"/>
      </w:divBdr>
    </w:div>
    <w:div w:id="1151867773">
      <w:bodyDiv w:val="1"/>
      <w:marLeft w:val="0"/>
      <w:marRight w:val="0"/>
      <w:marTop w:val="0"/>
      <w:marBottom w:val="0"/>
      <w:divBdr>
        <w:top w:val="none" w:sz="0" w:space="0" w:color="auto"/>
        <w:left w:val="none" w:sz="0" w:space="0" w:color="auto"/>
        <w:bottom w:val="none" w:sz="0" w:space="0" w:color="auto"/>
        <w:right w:val="none" w:sz="0" w:space="0" w:color="auto"/>
      </w:divBdr>
    </w:div>
    <w:div w:id="1152676607">
      <w:bodyDiv w:val="1"/>
      <w:marLeft w:val="0"/>
      <w:marRight w:val="0"/>
      <w:marTop w:val="0"/>
      <w:marBottom w:val="0"/>
      <w:divBdr>
        <w:top w:val="none" w:sz="0" w:space="0" w:color="auto"/>
        <w:left w:val="none" w:sz="0" w:space="0" w:color="auto"/>
        <w:bottom w:val="none" w:sz="0" w:space="0" w:color="auto"/>
        <w:right w:val="none" w:sz="0" w:space="0" w:color="auto"/>
      </w:divBdr>
    </w:div>
    <w:div w:id="1152987846">
      <w:bodyDiv w:val="1"/>
      <w:marLeft w:val="0"/>
      <w:marRight w:val="0"/>
      <w:marTop w:val="0"/>
      <w:marBottom w:val="0"/>
      <w:divBdr>
        <w:top w:val="none" w:sz="0" w:space="0" w:color="auto"/>
        <w:left w:val="none" w:sz="0" w:space="0" w:color="auto"/>
        <w:bottom w:val="none" w:sz="0" w:space="0" w:color="auto"/>
        <w:right w:val="none" w:sz="0" w:space="0" w:color="auto"/>
      </w:divBdr>
    </w:div>
    <w:div w:id="1153062217">
      <w:bodyDiv w:val="1"/>
      <w:marLeft w:val="0"/>
      <w:marRight w:val="0"/>
      <w:marTop w:val="0"/>
      <w:marBottom w:val="0"/>
      <w:divBdr>
        <w:top w:val="none" w:sz="0" w:space="0" w:color="auto"/>
        <w:left w:val="none" w:sz="0" w:space="0" w:color="auto"/>
        <w:bottom w:val="none" w:sz="0" w:space="0" w:color="auto"/>
        <w:right w:val="none" w:sz="0" w:space="0" w:color="auto"/>
      </w:divBdr>
    </w:div>
    <w:div w:id="1153566185">
      <w:bodyDiv w:val="1"/>
      <w:marLeft w:val="0"/>
      <w:marRight w:val="0"/>
      <w:marTop w:val="0"/>
      <w:marBottom w:val="0"/>
      <w:divBdr>
        <w:top w:val="none" w:sz="0" w:space="0" w:color="auto"/>
        <w:left w:val="none" w:sz="0" w:space="0" w:color="auto"/>
        <w:bottom w:val="none" w:sz="0" w:space="0" w:color="auto"/>
        <w:right w:val="none" w:sz="0" w:space="0" w:color="auto"/>
      </w:divBdr>
    </w:div>
    <w:div w:id="1154176819">
      <w:bodyDiv w:val="1"/>
      <w:marLeft w:val="0"/>
      <w:marRight w:val="0"/>
      <w:marTop w:val="0"/>
      <w:marBottom w:val="0"/>
      <w:divBdr>
        <w:top w:val="none" w:sz="0" w:space="0" w:color="auto"/>
        <w:left w:val="none" w:sz="0" w:space="0" w:color="auto"/>
        <w:bottom w:val="none" w:sz="0" w:space="0" w:color="auto"/>
        <w:right w:val="none" w:sz="0" w:space="0" w:color="auto"/>
      </w:divBdr>
    </w:div>
    <w:div w:id="1154489537">
      <w:bodyDiv w:val="1"/>
      <w:marLeft w:val="0"/>
      <w:marRight w:val="0"/>
      <w:marTop w:val="0"/>
      <w:marBottom w:val="0"/>
      <w:divBdr>
        <w:top w:val="none" w:sz="0" w:space="0" w:color="auto"/>
        <w:left w:val="none" w:sz="0" w:space="0" w:color="auto"/>
        <w:bottom w:val="none" w:sz="0" w:space="0" w:color="auto"/>
        <w:right w:val="none" w:sz="0" w:space="0" w:color="auto"/>
      </w:divBdr>
    </w:div>
    <w:div w:id="1156536148">
      <w:bodyDiv w:val="1"/>
      <w:marLeft w:val="0"/>
      <w:marRight w:val="0"/>
      <w:marTop w:val="0"/>
      <w:marBottom w:val="0"/>
      <w:divBdr>
        <w:top w:val="none" w:sz="0" w:space="0" w:color="auto"/>
        <w:left w:val="none" w:sz="0" w:space="0" w:color="auto"/>
        <w:bottom w:val="none" w:sz="0" w:space="0" w:color="auto"/>
        <w:right w:val="none" w:sz="0" w:space="0" w:color="auto"/>
      </w:divBdr>
    </w:div>
    <w:div w:id="1156645871">
      <w:bodyDiv w:val="1"/>
      <w:marLeft w:val="0"/>
      <w:marRight w:val="0"/>
      <w:marTop w:val="0"/>
      <w:marBottom w:val="0"/>
      <w:divBdr>
        <w:top w:val="none" w:sz="0" w:space="0" w:color="auto"/>
        <w:left w:val="none" w:sz="0" w:space="0" w:color="auto"/>
        <w:bottom w:val="none" w:sz="0" w:space="0" w:color="auto"/>
        <w:right w:val="none" w:sz="0" w:space="0" w:color="auto"/>
      </w:divBdr>
    </w:div>
    <w:div w:id="1157458892">
      <w:bodyDiv w:val="1"/>
      <w:marLeft w:val="0"/>
      <w:marRight w:val="0"/>
      <w:marTop w:val="0"/>
      <w:marBottom w:val="0"/>
      <w:divBdr>
        <w:top w:val="none" w:sz="0" w:space="0" w:color="auto"/>
        <w:left w:val="none" w:sz="0" w:space="0" w:color="auto"/>
        <w:bottom w:val="none" w:sz="0" w:space="0" w:color="auto"/>
        <w:right w:val="none" w:sz="0" w:space="0" w:color="auto"/>
      </w:divBdr>
    </w:div>
    <w:div w:id="1159229756">
      <w:bodyDiv w:val="1"/>
      <w:marLeft w:val="0"/>
      <w:marRight w:val="0"/>
      <w:marTop w:val="0"/>
      <w:marBottom w:val="0"/>
      <w:divBdr>
        <w:top w:val="none" w:sz="0" w:space="0" w:color="auto"/>
        <w:left w:val="none" w:sz="0" w:space="0" w:color="auto"/>
        <w:bottom w:val="none" w:sz="0" w:space="0" w:color="auto"/>
        <w:right w:val="none" w:sz="0" w:space="0" w:color="auto"/>
      </w:divBdr>
    </w:div>
    <w:div w:id="1161233763">
      <w:bodyDiv w:val="1"/>
      <w:marLeft w:val="0"/>
      <w:marRight w:val="0"/>
      <w:marTop w:val="0"/>
      <w:marBottom w:val="0"/>
      <w:divBdr>
        <w:top w:val="none" w:sz="0" w:space="0" w:color="auto"/>
        <w:left w:val="none" w:sz="0" w:space="0" w:color="auto"/>
        <w:bottom w:val="none" w:sz="0" w:space="0" w:color="auto"/>
        <w:right w:val="none" w:sz="0" w:space="0" w:color="auto"/>
      </w:divBdr>
    </w:div>
    <w:div w:id="1164009855">
      <w:bodyDiv w:val="1"/>
      <w:marLeft w:val="0"/>
      <w:marRight w:val="0"/>
      <w:marTop w:val="0"/>
      <w:marBottom w:val="0"/>
      <w:divBdr>
        <w:top w:val="none" w:sz="0" w:space="0" w:color="auto"/>
        <w:left w:val="none" w:sz="0" w:space="0" w:color="auto"/>
        <w:bottom w:val="none" w:sz="0" w:space="0" w:color="auto"/>
        <w:right w:val="none" w:sz="0" w:space="0" w:color="auto"/>
      </w:divBdr>
    </w:div>
    <w:div w:id="1164785053">
      <w:bodyDiv w:val="1"/>
      <w:marLeft w:val="0"/>
      <w:marRight w:val="0"/>
      <w:marTop w:val="0"/>
      <w:marBottom w:val="0"/>
      <w:divBdr>
        <w:top w:val="none" w:sz="0" w:space="0" w:color="auto"/>
        <w:left w:val="none" w:sz="0" w:space="0" w:color="auto"/>
        <w:bottom w:val="none" w:sz="0" w:space="0" w:color="auto"/>
        <w:right w:val="none" w:sz="0" w:space="0" w:color="auto"/>
      </w:divBdr>
    </w:div>
    <w:div w:id="1165825171">
      <w:bodyDiv w:val="1"/>
      <w:marLeft w:val="0"/>
      <w:marRight w:val="0"/>
      <w:marTop w:val="0"/>
      <w:marBottom w:val="0"/>
      <w:divBdr>
        <w:top w:val="none" w:sz="0" w:space="0" w:color="auto"/>
        <w:left w:val="none" w:sz="0" w:space="0" w:color="auto"/>
        <w:bottom w:val="none" w:sz="0" w:space="0" w:color="auto"/>
        <w:right w:val="none" w:sz="0" w:space="0" w:color="auto"/>
      </w:divBdr>
    </w:div>
    <w:div w:id="1166021914">
      <w:bodyDiv w:val="1"/>
      <w:marLeft w:val="0"/>
      <w:marRight w:val="0"/>
      <w:marTop w:val="0"/>
      <w:marBottom w:val="0"/>
      <w:divBdr>
        <w:top w:val="none" w:sz="0" w:space="0" w:color="auto"/>
        <w:left w:val="none" w:sz="0" w:space="0" w:color="auto"/>
        <w:bottom w:val="none" w:sz="0" w:space="0" w:color="auto"/>
        <w:right w:val="none" w:sz="0" w:space="0" w:color="auto"/>
      </w:divBdr>
    </w:div>
    <w:div w:id="1166046607">
      <w:bodyDiv w:val="1"/>
      <w:marLeft w:val="0"/>
      <w:marRight w:val="0"/>
      <w:marTop w:val="0"/>
      <w:marBottom w:val="0"/>
      <w:divBdr>
        <w:top w:val="none" w:sz="0" w:space="0" w:color="auto"/>
        <w:left w:val="none" w:sz="0" w:space="0" w:color="auto"/>
        <w:bottom w:val="none" w:sz="0" w:space="0" w:color="auto"/>
        <w:right w:val="none" w:sz="0" w:space="0" w:color="auto"/>
      </w:divBdr>
    </w:div>
    <w:div w:id="1166171569">
      <w:bodyDiv w:val="1"/>
      <w:marLeft w:val="0"/>
      <w:marRight w:val="0"/>
      <w:marTop w:val="0"/>
      <w:marBottom w:val="0"/>
      <w:divBdr>
        <w:top w:val="none" w:sz="0" w:space="0" w:color="auto"/>
        <w:left w:val="none" w:sz="0" w:space="0" w:color="auto"/>
        <w:bottom w:val="none" w:sz="0" w:space="0" w:color="auto"/>
        <w:right w:val="none" w:sz="0" w:space="0" w:color="auto"/>
      </w:divBdr>
    </w:div>
    <w:div w:id="1166747485">
      <w:bodyDiv w:val="1"/>
      <w:marLeft w:val="0"/>
      <w:marRight w:val="0"/>
      <w:marTop w:val="0"/>
      <w:marBottom w:val="0"/>
      <w:divBdr>
        <w:top w:val="none" w:sz="0" w:space="0" w:color="auto"/>
        <w:left w:val="none" w:sz="0" w:space="0" w:color="auto"/>
        <w:bottom w:val="none" w:sz="0" w:space="0" w:color="auto"/>
        <w:right w:val="none" w:sz="0" w:space="0" w:color="auto"/>
      </w:divBdr>
    </w:div>
    <w:div w:id="1167669625">
      <w:bodyDiv w:val="1"/>
      <w:marLeft w:val="0"/>
      <w:marRight w:val="0"/>
      <w:marTop w:val="0"/>
      <w:marBottom w:val="0"/>
      <w:divBdr>
        <w:top w:val="none" w:sz="0" w:space="0" w:color="auto"/>
        <w:left w:val="none" w:sz="0" w:space="0" w:color="auto"/>
        <w:bottom w:val="none" w:sz="0" w:space="0" w:color="auto"/>
        <w:right w:val="none" w:sz="0" w:space="0" w:color="auto"/>
      </w:divBdr>
    </w:div>
    <w:div w:id="1168712770">
      <w:bodyDiv w:val="1"/>
      <w:marLeft w:val="0"/>
      <w:marRight w:val="0"/>
      <w:marTop w:val="0"/>
      <w:marBottom w:val="0"/>
      <w:divBdr>
        <w:top w:val="none" w:sz="0" w:space="0" w:color="auto"/>
        <w:left w:val="none" w:sz="0" w:space="0" w:color="auto"/>
        <w:bottom w:val="none" w:sz="0" w:space="0" w:color="auto"/>
        <w:right w:val="none" w:sz="0" w:space="0" w:color="auto"/>
      </w:divBdr>
    </w:div>
    <w:div w:id="1169295007">
      <w:bodyDiv w:val="1"/>
      <w:marLeft w:val="0"/>
      <w:marRight w:val="0"/>
      <w:marTop w:val="0"/>
      <w:marBottom w:val="0"/>
      <w:divBdr>
        <w:top w:val="none" w:sz="0" w:space="0" w:color="auto"/>
        <w:left w:val="none" w:sz="0" w:space="0" w:color="auto"/>
        <w:bottom w:val="none" w:sz="0" w:space="0" w:color="auto"/>
        <w:right w:val="none" w:sz="0" w:space="0" w:color="auto"/>
      </w:divBdr>
    </w:div>
    <w:div w:id="1170750010">
      <w:bodyDiv w:val="1"/>
      <w:marLeft w:val="0"/>
      <w:marRight w:val="0"/>
      <w:marTop w:val="0"/>
      <w:marBottom w:val="0"/>
      <w:divBdr>
        <w:top w:val="none" w:sz="0" w:space="0" w:color="auto"/>
        <w:left w:val="none" w:sz="0" w:space="0" w:color="auto"/>
        <w:bottom w:val="none" w:sz="0" w:space="0" w:color="auto"/>
        <w:right w:val="none" w:sz="0" w:space="0" w:color="auto"/>
      </w:divBdr>
    </w:div>
    <w:div w:id="1170754726">
      <w:bodyDiv w:val="1"/>
      <w:marLeft w:val="0"/>
      <w:marRight w:val="0"/>
      <w:marTop w:val="0"/>
      <w:marBottom w:val="0"/>
      <w:divBdr>
        <w:top w:val="none" w:sz="0" w:space="0" w:color="auto"/>
        <w:left w:val="none" w:sz="0" w:space="0" w:color="auto"/>
        <w:bottom w:val="none" w:sz="0" w:space="0" w:color="auto"/>
        <w:right w:val="none" w:sz="0" w:space="0" w:color="auto"/>
      </w:divBdr>
    </w:div>
    <w:div w:id="1171869380">
      <w:bodyDiv w:val="1"/>
      <w:marLeft w:val="0"/>
      <w:marRight w:val="0"/>
      <w:marTop w:val="0"/>
      <w:marBottom w:val="0"/>
      <w:divBdr>
        <w:top w:val="none" w:sz="0" w:space="0" w:color="auto"/>
        <w:left w:val="none" w:sz="0" w:space="0" w:color="auto"/>
        <w:bottom w:val="none" w:sz="0" w:space="0" w:color="auto"/>
        <w:right w:val="none" w:sz="0" w:space="0" w:color="auto"/>
      </w:divBdr>
    </w:div>
    <w:div w:id="1172379580">
      <w:bodyDiv w:val="1"/>
      <w:marLeft w:val="0"/>
      <w:marRight w:val="0"/>
      <w:marTop w:val="0"/>
      <w:marBottom w:val="0"/>
      <w:divBdr>
        <w:top w:val="none" w:sz="0" w:space="0" w:color="auto"/>
        <w:left w:val="none" w:sz="0" w:space="0" w:color="auto"/>
        <w:bottom w:val="none" w:sz="0" w:space="0" w:color="auto"/>
        <w:right w:val="none" w:sz="0" w:space="0" w:color="auto"/>
      </w:divBdr>
    </w:div>
    <w:div w:id="1172793946">
      <w:bodyDiv w:val="1"/>
      <w:marLeft w:val="0"/>
      <w:marRight w:val="0"/>
      <w:marTop w:val="0"/>
      <w:marBottom w:val="0"/>
      <w:divBdr>
        <w:top w:val="none" w:sz="0" w:space="0" w:color="auto"/>
        <w:left w:val="none" w:sz="0" w:space="0" w:color="auto"/>
        <w:bottom w:val="none" w:sz="0" w:space="0" w:color="auto"/>
        <w:right w:val="none" w:sz="0" w:space="0" w:color="auto"/>
      </w:divBdr>
    </w:div>
    <w:div w:id="1173491832">
      <w:bodyDiv w:val="1"/>
      <w:marLeft w:val="0"/>
      <w:marRight w:val="0"/>
      <w:marTop w:val="0"/>
      <w:marBottom w:val="0"/>
      <w:divBdr>
        <w:top w:val="none" w:sz="0" w:space="0" w:color="auto"/>
        <w:left w:val="none" w:sz="0" w:space="0" w:color="auto"/>
        <w:bottom w:val="none" w:sz="0" w:space="0" w:color="auto"/>
        <w:right w:val="none" w:sz="0" w:space="0" w:color="auto"/>
      </w:divBdr>
    </w:div>
    <w:div w:id="1174295136">
      <w:bodyDiv w:val="1"/>
      <w:marLeft w:val="0"/>
      <w:marRight w:val="0"/>
      <w:marTop w:val="0"/>
      <w:marBottom w:val="0"/>
      <w:divBdr>
        <w:top w:val="none" w:sz="0" w:space="0" w:color="auto"/>
        <w:left w:val="none" w:sz="0" w:space="0" w:color="auto"/>
        <w:bottom w:val="none" w:sz="0" w:space="0" w:color="auto"/>
        <w:right w:val="none" w:sz="0" w:space="0" w:color="auto"/>
      </w:divBdr>
    </w:div>
    <w:div w:id="1174879966">
      <w:bodyDiv w:val="1"/>
      <w:marLeft w:val="0"/>
      <w:marRight w:val="0"/>
      <w:marTop w:val="0"/>
      <w:marBottom w:val="0"/>
      <w:divBdr>
        <w:top w:val="none" w:sz="0" w:space="0" w:color="auto"/>
        <w:left w:val="none" w:sz="0" w:space="0" w:color="auto"/>
        <w:bottom w:val="none" w:sz="0" w:space="0" w:color="auto"/>
        <w:right w:val="none" w:sz="0" w:space="0" w:color="auto"/>
      </w:divBdr>
    </w:div>
    <w:div w:id="1176849925">
      <w:bodyDiv w:val="1"/>
      <w:marLeft w:val="0"/>
      <w:marRight w:val="0"/>
      <w:marTop w:val="0"/>
      <w:marBottom w:val="0"/>
      <w:divBdr>
        <w:top w:val="none" w:sz="0" w:space="0" w:color="auto"/>
        <w:left w:val="none" w:sz="0" w:space="0" w:color="auto"/>
        <w:bottom w:val="none" w:sz="0" w:space="0" w:color="auto"/>
        <w:right w:val="none" w:sz="0" w:space="0" w:color="auto"/>
      </w:divBdr>
    </w:div>
    <w:div w:id="1177429390">
      <w:bodyDiv w:val="1"/>
      <w:marLeft w:val="0"/>
      <w:marRight w:val="0"/>
      <w:marTop w:val="0"/>
      <w:marBottom w:val="0"/>
      <w:divBdr>
        <w:top w:val="none" w:sz="0" w:space="0" w:color="auto"/>
        <w:left w:val="none" w:sz="0" w:space="0" w:color="auto"/>
        <w:bottom w:val="none" w:sz="0" w:space="0" w:color="auto"/>
        <w:right w:val="none" w:sz="0" w:space="0" w:color="auto"/>
      </w:divBdr>
    </w:div>
    <w:div w:id="1178544867">
      <w:bodyDiv w:val="1"/>
      <w:marLeft w:val="0"/>
      <w:marRight w:val="0"/>
      <w:marTop w:val="0"/>
      <w:marBottom w:val="0"/>
      <w:divBdr>
        <w:top w:val="none" w:sz="0" w:space="0" w:color="auto"/>
        <w:left w:val="none" w:sz="0" w:space="0" w:color="auto"/>
        <w:bottom w:val="none" w:sz="0" w:space="0" w:color="auto"/>
        <w:right w:val="none" w:sz="0" w:space="0" w:color="auto"/>
      </w:divBdr>
    </w:div>
    <w:div w:id="1178619621">
      <w:bodyDiv w:val="1"/>
      <w:marLeft w:val="0"/>
      <w:marRight w:val="0"/>
      <w:marTop w:val="0"/>
      <w:marBottom w:val="0"/>
      <w:divBdr>
        <w:top w:val="none" w:sz="0" w:space="0" w:color="auto"/>
        <w:left w:val="none" w:sz="0" w:space="0" w:color="auto"/>
        <w:bottom w:val="none" w:sz="0" w:space="0" w:color="auto"/>
        <w:right w:val="none" w:sz="0" w:space="0" w:color="auto"/>
      </w:divBdr>
    </w:div>
    <w:div w:id="1178890321">
      <w:bodyDiv w:val="1"/>
      <w:marLeft w:val="0"/>
      <w:marRight w:val="0"/>
      <w:marTop w:val="0"/>
      <w:marBottom w:val="0"/>
      <w:divBdr>
        <w:top w:val="none" w:sz="0" w:space="0" w:color="auto"/>
        <w:left w:val="none" w:sz="0" w:space="0" w:color="auto"/>
        <w:bottom w:val="none" w:sz="0" w:space="0" w:color="auto"/>
        <w:right w:val="none" w:sz="0" w:space="0" w:color="auto"/>
      </w:divBdr>
    </w:div>
    <w:div w:id="1179007703">
      <w:bodyDiv w:val="1"/>
      <w:marLeft w:val="0"/>
      <w:marRight w:val="0"/>
      <w:marTop w:val="0"/>
      <w:marBottom w:val="0"/>
      <w:divBdr>
        <w:top w:val="none" w:sz="0" w:space="0" w:color="auto"/>
        <w:left w:val="none" w:sz="0" w:space="0" w:color="auto"/>
        <w:bottom w:val="none" w:sz="0" w:space="0" w:color="auto"/>
        <w:right w:val="none" w:sz="0" w:space="0" w:color="auto"/>
      </w:divBdr>
    </w:div>
    <w:div w:id="1180896803">
      <w:bodyDiv w:val="1"/>
      <w:marLeft w:val="0"/>
      <w:marRight w:val="0"/>
      <w:marTop w:val="0"/>
      <w:marBottom w:val="0"/>
      <w:divBdr>
        <w:top w:val="none" w:sz="0" w:space="0" w:color="auto"/>
        <w:left w:val="none" w:sz="0" w:space="0" w:color="auto"/>
        <w:bottom w:val="none" w:sz="0" w:space="0" w:color="auto"/>
        <w:right w:val="none" w:sz="0" w:space="0" w:color="auto"/>
      </w:divBdr>
    </w:div>
    <w:div w:id="1181356291">
      <w:bodyDiv w:val="1"/>
      <w:marLeft w:val="0"/>
      <w:marRight w:val="0"/>
      <w:marTop w:val="0"/>
      <w:marBottom w:val="0"/>
      <w:divBdr>
        <w:top w:val="none" w:sz="0" w:space="0" w:color="auto"/>
        <w:left w:val="none" w:sz="0" w:space="0" w:color="auto"/>
        <w:bottom w:val="none" w:sz="0" w:space="0" w:color="auto"/>
        <w:right w:val="none" w:sz="0" w:space="0" w:color="auto"/>
      </w:divBdr>
    </w:div>
    <w:div w:id="1181703238">
      <w:bodyDiv w:val="1"/>
      <w:marLeft w:val="0"/>
      <w:marRight w:val="0"/>
      <w:marTop w:val="0"/>
      <w:marBottom w:val="0"/>
      <w:divBdr>
        <w:top w:val="none" w:sz="0" w:space="0" w:color="auto"/>
        <w:left w:val="none" w:sz="0" w:space="0" w:color="auto"/>
        <w:bottom w:val="none" w:sz="0" w:space="0" w:color="auto"/>
        <w:right w:val="none" w:sz="0" w:space="0" w:color="auto"/>
      </w:divBdr>
    </w:div>
    <w:div w:id="1181774843">
      <w:bodyDiv w:val="1"/>
      <w:marLeft w:val="0"/>
      <w:marRight w:val="0"/>
      <w:marTop w:val="0"/>
      <w:marBottom w:val="0"/>
      <w:divBdr>
        <w:top w:val="none" w:sz="0" w:space="0" w:color="auto"/>
        <w:left w:val="none" w:sz="0" w:space="0" w:color="auto"/>
        <w:bottom w:val="none" w:sz="0" w:space="0" w:color="auto"/>
        <w:right w:val="none" w:sz="0" w:space="0" w:color="auto"/>
      </w:divBdr>
    </w:div>
    <w:div w:id="1182746208">
      <w:bodyDiv w:val="1"/>
      <w:marLeft w:val="0"/>
      <w:marRight w:val="0"/>
      <w:marTop w:val="0"/>
      <w:marBottom w:val="0"/>
      <w:divBdr>
        <w:top w:val="none" w:sz="0" w:space="0" w:color="auto"/>
        <w:left w:val="none" w:sz="0" w:space="0" w:color="auto"/>
        <w:bottom w:val="none" w:sz="0" w:space="0" w:color="auto"/>
        <w:right w:val="none" w:sz="0" w:space="0" w:color="auto"/>
      </w:divBdr>
    </w:div>
    <w:div w:id="1183785094">
      <w:bodyDiv w:val="1"/>
      <w:marLeft w:val="0"/>
      <w:marRight w:val="0"/>
      <w:marTop w:val="0"/>
      <w:marBottom w:val="0"/>
      <w:divBdr>
        <w:top w:val="none" w:sz="0" w:space="0" w:color="auto"/>
        <w:left w:val="none" w:sz="0" w:space="0" w:color="auto"/>
        <w:bottom w:val="none" w:sz="0" w:space="0" w:color="auto"/>
        <w:right w:val="none" w:sz="0" w:space="0" w:color="auto"/>
      </w:divBdr>
    </w:div>
    <w:div w:id="1184785330">
      <w:bodyDiv w:val="1"/>
      <w:marLeft w:val="0"/>
      <w:marRight w:val="0"/>
      <w:marTop w:val="0"/>
      <w:marBottom w:val="0"/>
      <w:divBdr>
        <w:top w:val="none" w:sz="0" w:space="0" w:color="auto"/>
        <w:left w:val="none" w:sz="0" w:space="0" w:color="auto"/>
        <w:bottom w:val="none" w:sz="0" w:space="0" w:color="auto"/>
        <w:right w:val="none" w:sz="0" w:space="0" w:color="auto"/>
      </w:divBdr>
    </w:div>
    <w:div w:id="1184901543">
      <w:bodyDiv w:val="1"/>
      <w:marLeft w:val="0"/>
      <w:marRight w:val="0"/>
      <w:marTop w:val="0"/>
      <w:marBottom w:val="0"/>
      <w:divBdr>
        <w:top w:val="none" w:sz="0" w:space="0" w:color="auto"/>
        <w:left w:val="none" w:sz="0" w:space="0" w:color="auto"/>
        <w:bottom w:val="none" w:sz="0" w:space="0" w:color="auto"/>
        <w:right w:val="none" w:sz="0" w:space="0" w:color="auto"/>
      </w:divBdr>
    </w:div>
    <w:div w:id="1185098663">
      <w:bodyDiv w:val="1"/>
      <w:marLeft w:val="0"/>
      <w:marRight w:val="0"/>
      <w:marTop w:val="0"/>
      <w:marBottom w:val="0"/>
      <w:divBdr>
        <w:top w:val="none" w:sz="0" w:space="0" w:color="auto"/>
        <w:left w:val="none" w:sz="0" w:space="0" w:color="auto"/>
        <w:bottom w:val="none" w:sz="0" w:space="0" w:color="auto"/>
        <w:right w:val="none" w:sz="0" w:space="0" w:color="auto"/>
      </w:divBdr>
    </w:div>
    <w:div w:id="1187257181">
      <w:bodyDiv w:val="1"/>
      <w:marLeft w:val="0"/>
      <w:marRight w:val="0"/>
      <w:marTop w:val="0"/>
      <w:marBottom w:val="0"/>
      <w:divBdr>
        <w:top w:val="none" w:sz="0" w:space="0" w:color="auto"/>
        <w:left w:val="none" w:sz="0" w:space="0" w:color="auto"/>
        <w:bottom w:val="none" w:sz="0" w:space="0" w:color="auto"/>
        <w:right w:val="none" w:sz="0" w:space="0" w:color="auto"/>
      </w:divBdr>
    </w:div>
    <w:div w:id="1187525497">
      <w:bodyDiv w:val="1"/>
      <w:marLeft w:val="0"/>
      <w:marRight w:val="0"/>
      <w:marTop w:val="0"/>
      <w:marBottom w:val="0"/>
      <w:divBdr>
        <w:top w:val="none" w:sz="0" w:space="0" w:color="auto"/>
        <w:left w:val="none" w:sz="0" w:space="0" w:color="auto"/>
        <w:bottom w:val="none" w:sz="0" w:space="0" w:color="auto"/>
        <w:right w:val="none" w:sz="0" w:space="0" w:color="auto"/>
      </w:divBdr>
    </w:div>
    <w:div w:id="1187905842">
      <w:bodyDiv w:val="1"/>
      <w:marLeft w:val="0"/>
      <w:marRight w:val="0"/>
      <w:marTop w:val="0"/>
      <w:marBottom w:val="0"/>
      <w:divBdr>
        <w:top w:val="none" w:sz="0" w:space="0" w:color="auto"/>
        <w:left w:val="none" w:sz="0" w:space="0" w:color="auto"/>
        <w:bottom w:val="none" w:sz="0" w:space="0" w:color="auto"/>
        <w:right w:val="none" w:sz="0" w:space="0" w:color="auto"/>
      </w:divBdr>
    </w:div>
    <w:div w:id="1188300622">
      <w:bodyDiv w:val="1"/>
      <w:marLeft w:val="0"/>
      <w:marRight w:val="0"/>
      <w:marTop w:val="0"/>
      <w:marBottom w:val="0"/>
      <w:divBdr>
        <w:top w:val="none" w:sz="0" w:space="0" w:color="auto"/>
        <w:left w:val="none" w:sz="0" w:space="0" w:color="auto"/>
        <w:bottom w:val="none" w:sz="0" w:space="0" w:color="auto"/>
        <w:right w:val="none" w:sz="0" w:space="0" w:color="auto"/>
      </w:divBdr>
    </w:div>
    <w:div w:id="1188758686">
      <w:bodyDiv w:val="1"/>
      <w:marLeft w:val="0"/>
      <w:marRight w:val="0"/>
      <w:marTop w:val="0"/>
      <w:marBottom w:val="0"/>
      <w:divBdr>
        <w:top w:val="none" w:sz="0" w:space="0" w:color="auto"/>
        <w:left w:val="none" w:sz="0" w:space="0" w:color="auto"/>
        <w:bottom w:val="none" w:sz="0" w:space="0" w:color="auto"/>
        <w:right w:val="none" w:sz="0" w:space="0" w:color="auto"/>
      </w:divBdr>
    </w:div>
    <w:div w:id="1189637829">
      <w:bodyDiv w:val="1"/>
      <w:marLeft w:val="0"/>
      <w:marRight w:val="0"/>
      <w:marTop w:val="0"/>
      <w:marBottom w:val="0"/>
      <w:divBdr>
        <w:top w:val="none" w:sz="0" w:space="0" w:color="auto"/>
        <w:left w:val="none" w:sz="0" w:space="0" w:color="auto"/>
        <w:bottom w:val="none" w:sz="0" w:space="0" w:color="auto"/>
        <w:right w:val="none" w:sz="0" w:space="0" w:color="auto"/>
      </w:divBdr>
    </w:div>
    <w:div w:id="1189954947">
      <w:bodyDiv w:val="1"/>
      <w:marLeft w:val="0"/>
      <w:marRight w:val="0"/>
      <w:marTop w:val="0"/>
      <w:marBottom w:val="0"/>
      <w:divBdr>
        <w:top w:val="none" w:sz="0" w:space="0" w:color="auto"/>
        <w:left w:val="none" w:sz="0" w:space="0" w:color="auto"/>
        <w:bottom w:val="none" w:sz="0" w:space="0" w:color="auto"/>
        <w:right w:val="none" w:sz="0" w:space="0" w:color="auto"/>
      </w:divBdr>
    </w:div>
    <w:div w:id="1190071684">
      <w:bodyDiv w:val="1"/>
      <w:marLeft w:val="0"/>
      <w:marRight w:val="0"/>
      <w:marTop w:val="0"/>
      <w:marBottom w:val="0"/>
      <w:divBdr>
        <w:top w:val="none" w:sz="0" w:space="0" w:color="auto"/>
        <w:left w:val="none" w:sz="0" w:space="0" w:color="auto"/>
        <w:bottom w:val="none" w:sz="0" w:space="0" w:color="auto"/>
        <w:right w:val="none" w:sz="0" w:space="0" w:color="auto"/>
      </w:divBdr>
    </w:div>
    <w:div w:id="1190610656">
      <w:bodyDiv w:val="1"/>
      <w:marLeft w:val="0"/>
      <w:marRight w:val="0"/>
      <w:marTop w:val="0"/>
      <w:marBottom w:val="0"/>
      <w:divBdr>
        <w:top w:val="none" w:sz="0" w:space="0" w:color="auto"/>
        <w:left w:val="none" w:sz="0" w:space="0" w:color="auto"/>
        <w:bottom w:val="none" w:sz="0" w:space="0" w:color="auto"/>
        <w:right w:val="none" w:sz="0" w:space="0" w:color="auto"/>
      </w:divBdr>
    </w:div>
    <w:div w:id="1191147938">
      <w:bodyDiv w:val="1"/>
      <w:marLeft w:val="0"/>
      <w:marRight w:val="0"/>
      <w:marTop w:val="0"/>
      <w:marBottom w:val="0"/>
      <w:divBdr>
        <w:top w:val="none" w:sz="0" w:space="0" w:color="auto"/>
        <w:left w:val="none" w:sz="0" w:space="0" w:color="auto"/>
        <w:bottom w:val="none" w:sz="0" w:space="0" w:color="auto"/>
        <w:right w:val="none" w:sz="0" w:space="0" w:color="auto"/>
      </w:divBdr>
    </w:div>
    <w:div w:id="1191340093">
      <w:bodyDiv w:val="1"/>
      <w:marLeft w:val="0"/>
      <w:marRight w:val="0"/>
      <w:marTop w:val="0"/>
      <w:marBottom w:val="0"/>
      <w:divBdr>
        <w:top w:val="none" w:sz="0" w:space="0" w:color="auto"/>
        <w:left w:val="none" w:sz="0" w:space="0" w:color="auto"/>
        <w:bottom w:val="none" w:sz="0" w:space="0" w:color="auto"/>
        <w:right w:val="none" w:sz="0" w:space="0" w:color="auto"/>
      </w:divBdr>
    </w:div>
    <w:div w:id="1191796824">
      <w:bodyDiv w:val="1"/>
      <w:marLeft w:val="0"/>
      <w:marRight w:val="0"/>
      <w:marTop w:val="0"/>
      <w:marBottom w:val="0"/>
      <w:divBdr>
        <w:top w:val="none" w:sz="0" w:space="0" w:color="auto"/>
        <w:left w:val="none" w:sz="0" w:space="0" w:color="auto"/>
        <w:bottom w:val="none" w:sz="0" w:space="0" w:color="auto"/>
        <w:right w:val="none" w:sz="0" w:space="0" w:color="auto"/>
      </w:divBdr>
    </w:div>
    <w:div w:id="1192108370">
      <w:bodyDiv w:val="1"/>
      <w:marLeft w:val="0"/>
      <w:marRight w:val="0"/>
      <w:marTop w:val="0"/>
      <w:marBottom w:val="0"/>
      <w:divBdr>
        <w:top w:val="none" w:sz="0" w:space="0" w:color="auto"/>
        <w:left w:val="none" w:sz="0" w:space="0" w:color="auto"/>
        <w:bottom w:val="none" w:sz="0" w:space="0" w:color="auto"/>
        <w:right w:val="none" w:sz="0" w:space="0" w:color="auto"/>
      </w:divBdr>
    </w:div>
    <w:div w:id="1193882185">
      <w:bodyDiv w:val="1"/>
      <w:marLeft w:val="0"/>
      <w:marRight w:val="0"/>
      <w:marTop w:val="0"/>
      <w:marBottom w:val="0"/>
      <w:divBdr>
        <w:top w:val="none" w:sz="0" w:space="0" w:color="auto"/>
        <w:left w:val="none" w:sz="0" w:space="0" w:color="auto"/>
        <w:bottom w:val="none" w:sz="0" w:space="0" w:color="auto"/>
        <w:right w:val="none" w:sz="0" w:space="0" w:color="auto"/>
      </w:divBdr>
    </w:div>
    <w:div w:id="1194075200">
      <w:bodyDiv w:val="1"/>
      <w:marLeft w:val="0"/>
      <w:marRight w:val="0"/>
      <w:marTop w:val="0"/>
      <w:marBottom w:val="0"/>
      <w:divBdr>
        <w:top w:val="none" w:sz="0" w:space="0" w:color="auto"/>
        <w:left w:val="none" w:sz="0" w:space="0" w:color="auto"/>
        <w:bottom w:val="none" w:sz="0" w:space="0" w:color="auto"/>
        <w:right w:val="none" w:sz="0" w:space="0" w:color="auto"/>
      </w:divBdr>
    </w:div>
    <w:div w:id="1195190175">
      <w:bodyDiv w:val="1"/>
      <w:marLeft w:val="0"/>
      <w:marRight w:val="0"/>
      <w:marTop w:val="0"/>
      <w:marBottom w:val="0"/>
      <w:divBdr>
        <w:top w:val="none" w:sz="0" w:space="0" w:color="auto"/>
        <w:left w:val="none" w:sz="0" w:space="0" w:color="auto"/>
        <w:bottom w:val="none" w:sz="0" w:space="0" w:color="auto"/>
        <w:right w:val="none" w:sz="0" w:space="0" w:color="auto"/>
      </w:divBdr>
    </w:div>
    <w:div w:id="1195190670">
      <w:bodyDiv w:val="1"/>
      <w:marLeft w:val="0"/>
      <w:marRight w:val="0"/>
      <w:marTop w:val="0"/>
      <w:marBottom w:val="0"/>
      <w:divBdr>
        <w:top w:val="none" w:sz="0" w:space="0" w:color="auto"/>
        <w:left w:val="none" w:sz="0" w:space="0" w:color="auto"/>
        <w:bottom w:val="none" w:sz="0" w:space="0" w:color="auto"/>
        <w:right w:val="none" w:sz="0" w:space="0" w:color="auto"/>
      </w:divBdr>
    </w:div>
    <w:div w:id="1195195721">
      <w:bodyDiv w:val="1"/>
      <w:marLeft w:val="0"/>
      <w:marRight w:val="0"/>
      <w:marTop w:val="0"/>
      <w:marBottom w:val="0"/>
      <w:divBdr>
        <w:top w:val="none" w:sz="0" w:space="0" w:color="auto"/>
        <w:left w:val="none" w:sz="0" w:space="0" w:color="auto"/>
        <w:bottom w:val="none" w:sz="0" w:space="0" w:color="auto"/>
        <w:right w:val="none" w:sz="0" w:space="0" w:color="auto"/>
      </w:divBdr>
    </w:div>
    <w:div w:id="1196114739">
      <w:bodyDiv w:val="1"/>
      <w:marLeft w:val="0"/>
      <w:marRight w:val="0"/>
      <w:marTop w:val="0"/>
      <w:marBottom w:val="0"/>
      <w:divBdr>
        <w:top w:val="none" w:sz="0" w:space="0" w:color="auto"/>
        <w:left w:val="none" w:sz="0" w:space="0" w:color="auto"/>
        <w:bottom w:val="none" w:sz="0" w:space="0" w:color="auto"/>
        <w:right w:val="none" w:sz="0" w:space="0" w:color="auto"/>
      </w:divBdr>
    </w:div>
    <w:div w:id="1196430055">
      <w:bodyDiv w:val="1"/>
      <w:marLeft w:val="0"/>
      <w:marRight w:val="0"/>
      <w:marTop w:val="0"/>
      <w:marBottom w:val="0"/>
      <w:divBdr>
        <w:top w:val="none" w:sz="0" w:space="0" w:color="auto"/>
        <w:left w:val="none" w:sz="0" w:space="0" w:color="auto"/>
        <w:bottom w:val="none" w:sz="0" w:space="0" w:color="auto"/>
        <w:right w:val="none" w:sz="0" w:space="0" w:color="auto"/>
      </w:divBdr>
    </w:div>
    <w:div w:id="1197084699">
      <w:bodyDiv w:val="1"/>
      <w:marLeft w:val="0"/>
      <w:marRight w:val="0"/>
      <w:marTop w:val="0"/>
      <w:marBottom w:val="0"/>
      <w:divBdr>
        <w:top w:val="none" w:sz="0" w:space="0" w:color="auto"/>
        <w:left w:val="none" w:sz="0" w:space="0" w:color="auto"/>
        <w:bottom w:val="none" w:sz="0" w:space="0" w:color="auto"/>
        <w:right w:val="none" w:sz="0" w:space="0" w:color="auto"/>
      </w:divBdr>
    </w:div>
    <w:div w:id="1200162326">
      <w:bodyDiv w:val="1"/>
      <w:marLeft w:val="0"/>
      <w:marRight w:val="0"/>
      <w:marTop w:val="0"/>
      <w:marBottom w:val="0"/>
      <w:divBdr>
        <w:top w:val="none" w:sz="0" w:space="0" w:color="auto"/>
        <w:left w:val="none" w:sz="0" w:space="0" w:color="auto"/>
        <w:bottom w:val="none" w:sz="0" w:space="0" w:color="auto"/>
        <w:right w:val="none" w:sz="0" w:space="0" w:color="auto"/>
      </w:divBdr>
    </w:div>
    <w:div w:id="1201627390">
      <w:bodyDiv w:val="1"/>
      <w:marLeft w:val="0"/>
      <w:marRight w:val="0"/>
      <w:marTop w:val="0"/>
      <w:marBottom w:val="0"/>
      <w:divBdr>
        <w:top w:val="none" w:sz="0" w:space="0" w:color="auto"/>
        <w:left w:val="none" w:sz="0" w:space="0" w:color="auto"/>
        <w:bottom w:val="none" w:sz="0" w:space="0" w:color="auto"/>
        <w:right w:val="none" w:sz="0" w:space="0" w:color="auto"/>
      </w:divBdr>
    </w:div>
    <w:div w:id="1201821355">
      <w:bodyDiv w:val="1"/>
      <w:marLeft w:val="0"/>
      <w:marRight w:val="0"/>
      <w:marTop w:val="0"/>
      <w:marBottom w:val="0"/>
      <w:divBdr>
        <w:top w:val="none" w:sz="0" w:space="0" w:color="auto"/>
        <w:left w:val="none" w:sz="0" w:space="0" w:color="auto"/>
        <w:bottom w:val="none" w:sz="0" w:space="0" w:color="auto"/>
        <w:right w:val="none" w:sz="0" w:space="0" w:color="auto"/>
      </w:divBdr>
    </w:div>
    <w:div w:id="1202089131">
      <w:bodyDiv w:val="1"/>
      <w:marLeft w:val="0"/>
      <w:marRight w:val="0"/>
      <w:marTop w:val="0"/>
      <w:marBottom w:val="0"/>
      <w:divBdr>
        <w:top w:val="none" w:sz="0" w:space="0" w:color="auto"/>
        <w:left w:val="none" w:sz="0" w:space="0" w:color="auto"/>
        <w:bottom w:val="none" w:sz="0" w:space="0" w:color="auto"/>
        <w:right w:val="none" w:sz="0" w:space="0" w:color="auto"/>
      </w:divBdr>
    </w:div>
    <w:div w:id="1202550408">
      <w:bodyDiv w:val="1"/>
      <w:marLeft w:val="0"/>
      <w:marRight w:val="0"/>
      <w:marTop w:val="0"/>
      <w:marBottom w:val="0"/>
      <w:divBdr>
        <w:top w:val="none" w:sz="0" w:space="0" w:color="auto"/>
        <w:left w:val="none" w:sz="0" w:space="0" w:color="auto"/>
        <w:bottom w:val="none" w:sz="0" w:space="0" w:color="auto"/>
        <w:right w:val="none" w:sz="0" w:space="0" w:color="auto"/>
      </w:divBdr>
    </w:div>
    <w:div w:id="1202589652">
      <w:bodyDiv w:val="1"/>
      <w:marLeft w:val="0"/>
      <w:marRight w:val="0"/>
      <w:marTop w:val="0"/>
      <w:marBottom w:val="0"/>
      <w:divBdr>
        <w:top w:val="none" w:sz="0" w:space="0" w:color="auto"/>
        <w:left w:val="none" w:sz="0" w:space="0" w:color="auto"/>
        <w:bottom w:val="none" w:sz="0" w:space="0" w:color="auto"/>
        <w:right w:val="none" w:sz="0" w:space="0" w:color="auto"/>
      </w:divBdr>
    </w:div>
    <w:div w:id="1203589473">
      <w:bodyDiv w:val="1"/>
      <w:marLeft w:val="0"/>
      <w:marRight w:val="0"/>
      <w:marTop w:val="0"/>
      <w:marBottom w:val="0"/>
      <w:divBdr>
        <w:top w:val="none" w:sz="0" w:space="0" w:color="auto"/>
        <w:left w:val="none" w:sz="0" w:space="0" w:color="auto"/>
        <w:bottom w:val="none" w:sz="0" w:space="0" w:color="auto"/>
        <w:right w:val="none" w:sz="0" w:space="0" w:color="auto"/>
      </w:divBdr>
    </w:div>
    <w:div w:id="1203713484">
      <w:bodyDiv w:val="1"/>
      <w:marLeft w:val="0"/>
      <w:marRight w:val="0"/>
      <w:marTop w:val="0"/>
      <w:marBottom w:val="0"/>
      <w:divBdr>
        <w:top w:val="none" w:sz="0" w:space="0" w:color="auto"/>
        <w:left w:val="none" w:sz="0" w:space="0" w:color="auto"/>
        <w:bottom w:val="none" w:sz="0" w:space="0" w:color="auto"/>
        <w:right w:val="none" w:sz="0" w:space="0" w:color="auto"/>
      </w:divBdr>
    </w:div>
    <w:div w:id="1203975639">
      <w:bodyDiv w:val="1"/>
      <w:marLeft w:val="0"/>
      <w:marRight w:val="0"/>
      <w:marTop w:val="0"/>
      <w:marBottom w:val="0"/>
      <w:divBdr>
        <w:top w:val="none" w:sz="0" w:space="0" w:color="auto"/>
        <w:left w:val="none" w:sz="0" w:space="0" w:color="auto"/>
        <w:bottom w:val="none" w:sz="0" w:space="0" w:color="auto"/>
        <w:right w:val="none" w:sz="0" w:space="0" w:color="auto"/>
      </w:divBdr>
    </w:div>
    <w:div w:id="1203982148">
      <w:bodyDiv w:val="1"/>
      <w:marLeft w:val="0"/>
      <w:marRight w:val="0"/>
      <w:marTop w:val="0"/>
      <w:marBottom w:val="0"/>
      <w:divBdr>
        <w:top w:val="none" w:sz="0" w:space="0" w:color="auto"/>
        <w:left w:val="none" w:sz="0" w:space="0" w:color="auto"/>
        <w:bottom w:val="none" w:sz="0" w:space="0" w:color="auto"/>
        <w:right w:val="none" w:sz="0" w:space="0" w:color="auto"/>
      </w:divBdr>
    </w:div>
    <w:div w:id="1205369617">
      <w:bodyDiv w:val="1"/>
      <w:marLeft w:val="0"/>
      <w:marRight w:val="0"/>
      <w:marTop w:val="0"/>
      <w:marBottom w:val="0"/>
      <w:divBdr>
        <w:top w:val="none" w:sz="0" w:space="0" w:color="auto"/>
        <w:left w:val="none" w:sz="0" w:space="0" w:color="auto"/>
        <w:bottom w:val="none" w:sz="0" w:space="0" w:color="auto"/>
        <w:right w:val="none" w:sz="0" w:space="0" w:color="auto"/>
      </w:divBdr>
    </w:div>
    <w:div w:id="1205754590">
      <w:bodyDiv w:val="1"/>
      <w:marLeft w:val="0"/>
      <w:marRight w:val="0"/>
      <w:marTop w:val="0"/>
      <w:marBottom w:val="0"/>
      <w:divBdr>
        <w:top w:val="none" w:sz="0" w:space="0" w:color="auto"/>
        <w:left w:val="none" w:sz="0" w:space="0" w:color="auto"/>
        <w:bottom w:val="none" w:sz="0" w:space="0" w:color="auto"/>
        <w:right w:val="none" w:sz="0" w:space="0" w:color="auto"/>
      </w:divBdr>
    </w:div>
    <w:div w:id="1206212409">
      <w:bodyDiv w:val="1"/>
      <w:marLeft w:val="0"/>
      <w:marRight w:val="0"/>
      <w:marTop w:val="0"/>
      <w:marBottom w:val="0"/>
      <w:divBdr>
        <w:top w:val="none" w:sz="0" w:space="0" w:color="auto"/>
        <w:left w:val="none" w:sz="0" w:space="0" w:color="auto"/>
        <w:bottom w:val="none" w:sz="0" w:space="0" w:color="auto"/>
        <w:right w:val="none" w:sz="0" w:space="0" w:color="auto"/>
      </w:divBdr>
    </w:div>
    <w:div w:id="1206332555">
      <w:bodyDiv w:val="1"/>
      <w:marLeft w:val="0"/>
      <w:marRight w:val="0"/>
      <w:marTop w:val="0"/>
      <w:marBottom w:val="0"/>
      <w:divBdr>
        <w:top w:val="none" w:sz="0" w:space="0" w:color="auto"/>
        <w:left w:val="none" w:sz="0" w:space="0" w:color="auto"/>
        <w:bottom w:val="none" w:sz="0" w:space="0" w:color="auto"/>
        <w:right w:val="none" w:sz="0" w:space="0" w:color="auto"/>
      </w:divBdr>
    </w:div>
    <w:div w:id="1206913625">
      <w:bodyDiv w:val="1"/>
      <w:marLeft w:val="0"/>
      <w:marRight w:val="0"/>
      <w:marTop w:val="0"/>
      <w:marBottom w:val="0"/>
      <w:divBdr>
        <w:top w:val="none" w:sz="0" w:space="0" w:color="auto"/>
        <w:left w:val="none" w:sz="0" w:space="0" w:color="auto"/>
        <w:bottom w:val="none" w:sz="0" w:space="0" w:color="auto"/>
        <w:right w:val="none" w:sz="0" w:space="0" w:color="auto"/>
      </w:divBdr>
    </w:div>
    <w:div w:id="1208444239">
      <w:bodyDiv w:val="1"/>
      <w:marLeft w:val="0"/>
      <w:marRight w:val="0"/>
      <w:marTop w:val="0"/>
      <w:marBottom w:val="0"/>
      <w:divBdr>
        <w:top w:val="none" w:sz="0" w:space="0" w:color="auto"/>
        <w:left w:val="none" w:sz="0" w:space="0" w:color="auto"/>
        <w:bottom w:val="none" w:sz="0" w:space="0" w:color="auto"/>
        <w:right w:val="none" w:sz="0" w:space="0" w:color="auto"/>
      </w:divBdr>
    </w:div>
    <w:div w:id="1208756866">
      <w:bodyDiv w:val="1"/>
      <w:marLeft w:val="0"/>
      <w:marRight w:val="0"/>
      <w:marTop w:val="0"/>
      <w:marBottom w:val="0"/>
      <w:divBdr>
        <w:top w:val="none" w:sz="0" w:space="0" w:color="auto"/>
        <w:left w:val="none" w:sz="0" w:space="0" w:color="auto"/>
        <w:bottom w:val="none" w:sz="0" w:space="0" w:color="auto"/>
        <w:right w:val="none" w:sz="0" w:space="0" w:color="auto"/>
      </w:divBdr>
    </w:div>
    <w:div w:id="1209799830">
      <w:bodyDiv w:val="1"/>
      <w:marLeft w:val="0"/>
      <w:marRight w:val="0"/>
      <w:marTop w:val="0"/>
      <w:marBottom w:val="0"/>
      <w:divBdr>
        <w:top w:val="none" w:sz="0" w:space="0" w:color="auto"/>
        <w:left w:val="none" w:sz="0" w:space="0" w:color="auto"/>
        <w:bottom w:val="none" w:sz="0" w:space="0" w:color="auto"/>
        <w:right w:val="none" w:sz="0" w:space="0" w:color="auto"/>
      </w:divBdr>
    </w:div>
    <w:div w:id="1209955535">
      <w:bodyDiv w:val="1"/>
      <w:marLeft w:val="0"/>
      <w:marRight w:val="0"/>
      <w:marTop w:val="0"/>
      <w:marBottom w:val="0"/>
      <w:divBdr>
        <w:top w:val="none" w:sz="0" w:space="0" w:color="auto"/>
        <w:left w:val="none" w:sz="0" w:space="0" w:color="auto"/>
        <w:bottom w:val="none" w:sz="0" w:space="0" w:color="auto"/>
        <w:right w:val="none" w:sz="0" w:space="0" w:color="auto"/>
      </w:divBdr>
    </w:div>
    <w:div w:id="1210412859">
      <w:bodyDiv w:val="1"/>
      <w:marLeft w:val="0"/>
      <w:marRight w:val="0"/>
      <w:marTop w:val="0"/>
      <w:marBottom w:val="0"/>
      <w:divBdr>
        <w:top w:val="none" w:sz="0" w:space="0" w:color="auto"/>
        <w:left w:val="none" w:sz="0" w:space="0" w:color="auto"/>
        <w:bottom w:val="none" w:sz="0" w:space="0" w:color="auto"/>
        <w:right w:val="none" w:sz="0" w:space="0" w:color="auto"/>
      </w:divBdr>
    </w:div>
    <w:div w:id="1210415516">
      <w:bodyDiv w:val="1"/>
      <w:marLeft w:val="0"/>
      <w:marRight w:val="0"/>
      <w:marTop w:val="0"/>
      <w:marBottom w:val="0"/>
      <w:divBdr>
        <w:top w:val="none" w:sz="0" w:space="0" w:color="auto"/>
        <w:left w:val="none" w:sz="0" w:space="0" w:color="auto"/>
        <w:bottom w:val="none" w:sz="0" w:space="0" w:color="auto"/>
        <w:right w:val="none" w:sz="0" w:space="0" w:color="auto"/>
      </w:divBdr>
    </w:div>
    <w:div w:id="1210530520">
      <w:bodyDiv w:val="1"/>
      <w:marLeft w:val="0"/>
      <w:marRight w:val="0"/>
      <w:marTop w:val="0"/>
      <w:marBottom w:val="0"/>
      <w:divBdr>
        <w:top w:val="none" w:sz="0" w:space="0" w:color="auto"/>
        <w:left w:val="none" w:sz="0" w:space="0" w:color="auto"/>
        <w:bottom w:val="none" w:sz="0" w:space="0" w:color="auto"/>
        <w:right w:val="none" w:sz="0" w:space="0" w:color="auto"/>
      </w:divBdr>
    </w:div>
    <w:div w:id="1210605539">
      <w:bodyDiv w:val="1"/>
      <w:marLeft w:val="0"/>
      <w:marRight w:val="0"/>
      <w:marTop w:val="0"/>
      <w:marBottom w:val="0"/>
      <w:divBdr>
        <w:top w:val="none" w:sz="0" w:space="0" w:color="auto"/>
        <w:left w:val="none" w:sz="0" w:space="0" w:color="auto"/>
        <w:bottom w:val="none" w:sz="0" w:space="0" w:color="auto"/>
        <w:right w:val="none" w:sz="0" w:space="0" w:color="auto"/>
      </w:divBdr>
    </w:div>
    <w:div w:id="1212958000">
      <w:bodyDiv w:val="1"/>
      <w:marLeft w:val="0"/>
      <w:marRight w:val="0"/>
      <w:marTop w:val="0"/>
      <w:marBottom w:val="0"/>
      <w:divBdr>
        <w:top w:val="none" w:sz="0" w:space="0" w:color="auto"/>
        <w:left w:val="none" w:sz="0" w:space="0" w:color="auto"/>
        <w:bottom w:val="none" w:sz="0" w:space="0" w:color="auto"/>
        <w:right w:val="none" w:sz="0" w:space="0" w:color="auto"/>
      </w:divBdr>
    </w:div>
    <w:div w:id="1213731546">
      <w:bodyDiv w:val="1"/>
      <w:marLeft w:val="0"/>
      <w:marRight w:val="0"/>
      <w:marTop w:val="0"/>
      <w:marBottom w:val="0"/>
      <w:divBdr>
        <w:top w:val="none" w:sz="0" w:space="0" w:color="auto"/>
        <w:left w:val="none" w:sz="0" w:space="0" w:color="auto"/>
        <w:bottom w:val="none" w:sz="0" w:space="0" w:color="auto"/>
        <w:right w:val="none" w:sz="0" w:space="0" w:color="auto"/>
      </w:divBdr>
    </w:div>
    <w:div w:id="1213881497">
      <w:bodyDiv w:val="1"/>
      <w:marLeft w:val="0"/>
      <w:marRight w:val="0"/>
      <w:marTop w:val="0"/>
      <w:marBottom w:val="0"/>
      <w:divBdr>
        <w:top w:val="none" w:sz="0" w:space="0" w:color="auto"/>
        <w:left w:val="none" w:sz="0" w:space="0" w:color="auto"/>
        <w:bottom w:val="none" w:sz="0" w:space="0" w:color="auto"/>
        <w:right w:val="none" w:sz="0" w:space="0" w:color="auto"/>
      </w:divBdr>
    </w:div>
    <w:div w:id="1214081837">
      <w:bodyDiv w:val="1"/>
      <w:marLeft w:val="0"/>
      <w:marRight w:val="0"/>
      <w:marTop w:val="0"/>
      <w:marBottom w:val="0"/>
      <w:divBdr>
        <w:top w:val="none" w:sz="0" w:space="0" w:color="auto"/>
        <w:left w:val="none" w:sz="0" w:space="0" w:color="auto"/>
        <w:bottom w:val="none" w:sz="0" w:space="0" w:color="auto"/>
        <w:right w:val="none" w:sz="0" w:space="0" w:color="auto"/>
      </w:divBdr>
    </w:div>
    <w:div w:id="1214151191">
      <w:bodyDiv w:val="1"/>
      <w:marLeft w:val="0"/>
      <w:marRight w:val="0"/>
      <w:marTop w:val="0"/>
      <w:marBottom w:val="0"/>
      <w:divBdr>
        <w:top w:val="none" w:sz="0" w:space="0" w:color="auto"/>
        <w:left w:val="none" w:sz="0" w:space="0" w:color="auto"/>
        <w:bottom w:val="none" w:sz="0" w:space="0" w:color="auto"/>
        <w:right w:val="none" w:sz="0" w:space="0" w:color="auto"/>
      </w:divBdr>
    </w:div>
    <w:div w:id="1215003121">
      <w:bodyDiv w:val="1"/>
      <w:marLeft w:val="0"/>
      <w:marRight w:val="0"/>
      <w:marTop w:val="0"/>
      <w:marBottom w:val="0"/>
      <w:divBdr>
        <w:top w:val="none" w:sz="0" w:space="0" w:color="auto"/>
        <w:left w:val="none" w:sz="0" w:space="0" w:color="auto"/>
        <w:bottom w:val="none" w:sz="0" w:space="0" w:color="auto"/>
        <w:right w:val="none" w:sz="0" w:space="0" w:color="auto"/>
      </w:divBdr>
    </w:div>
    <w:div w:id="1215390138">
      <w:bodyDiv w:val="1"/>
      <w:marLeft w:val="0"/>
      <w:marRight w:val="0"/>
      <w:marTop w:val="0"/>
      <w:marBottom w:val="0"/>
      <w:divBdr>
        <w:top w:val="none" w:sz="0" w:space="0" w:color="auto"/>
        <w:left w:val="none" w:sz="0" w:space="0" w:color="auto"/>
        <w:bottom w:val="none" w:sz="0" w:space="0" w:color="auto"/>
        <w:right w:val="none" w:sz="0" w:space="0" w:color="auto"/>
      </w:divBdr>
    </w:div>
    <w:div w:id="1215970091">
      <w:bodyDiv w:val="1"/>
      <w:marLeft w:val="0"/>
      <w:marRight w:val="0"/>
      <w:marTop w:val="0"/>
      <w:marBottom w:val="0"/>
      <w:divBdr>
        <w:top w:val="none" w:sz="0" w:space="0" w:color="auto"/>
        <w:left w:val="none" w:sz="0" w:space="0" w:color="auto"/>
        <w:bottom w:val="none" w:sz="0" w:space="0" w:color="auto"/>
        <w:right w:val="none" w:sz="0" w:space="0" w:color="auto"/>
      </w:divBdr>
    </w:div>
    <w:div w:id="1216773989">
      <w:bodyDiv w:val="1"/>
      <w:marLeft w:val="0"/>
      <w:marRight w:val="0"/>
      <w:marTop w:val="0"/>
      <w:marBottom w:val="0"/>
      <w:divBdr>
        <w:top w:val="none" w:sz="0" w:space="0" w:color="auto"/>
        <w:left w:val="none" w:sz="0" w:space="0" w:color="auto"/>
        <w:bottom w:val="none" w:sz="0" w:space="0" w:color="auto"/>
        <w:right w:val="none" w:sz="0" w:space="0" w:color="auto"/>
      </w:divBdr>
    </w:div>
    <w:div w:id="1217005496">
      <w:bodyDiv w:val="1"/>
      <w:marLeft w:val="0"/>
      <w:marRight w:val="0"/>
      <w:marTop w:val="0"/>
      <w:marBottom w:val="0"/>
      <w:divBdr>
        <w:top w:val="none" w:sz="0" w:space="0" w:color="auto"/>
        <w:left w:val="none" w:sz="0" w:space="0" w:color="auto"/>
        <w:bottom w:val="none" w:sz="0" w:space="0" w:color="auto"/>
        <w:right w:val="none" w:sz="0" w:space="0" w:color="auto"/>
      </w:divBdr>
    </w:div>
    <w:div w:id="1217276303">
      <w:bodyDiv w:val="1"/>
      <w:marLeft w:val="0"/>
      <w:marRight w:val="0"/>
      <w:marTop w:val="0"/>
      <w:marBottom w:val="0"/>
      <w:divBdr>
        <w:top w:val="none" w:sz="0" w:space="0" w:color="auto"/>
        <w:left w:val="none" w:sz="0" w:space="0" w:color="auto"/>
        <w:bottom w:val="none" w:sz="0" w:space="0" w:color="auto"/>
        <w:right w:val="none" w:sz="0" w:space="0" w:color="auto"/>
      </w:divBdr>
    </w:div>
    <w:div w:id="1219173346">
      <w:bodyDiv w:val="1"/>
      <w:marLeft w:val="0"/>
      <w:marRight w:val="0"/>
      <w:marTop w:val="0"/>
      <w:marBottom w:val="0"/>
      <w:divBdr>
        <w:top w:val="none" w:sz="0" w:space="0" w:color="auto"/>
        <w:left w:val="none" w:sz="0" w:space="0" w:color="auto"/>
        <w:bottom w:val="none" w:sz="0" w:space="0" w:color="auto"/>
        <w:right w:val="none" w:sz="0" w:space="0" w:color="auto"/>
      </w:divBdr>
    </w:div>
    <w:div w:id="1219827837">
      <w:bodyDiv w:val="1"/>
      <w:marLeft w:val="0"/>
      <w:marRight w:val="0"/>
      <w:marTop w:val="0"/>
      <w:marBottom w:val="0"/>
      <w:divBdr>
        <w:top w:val="none" w:sz="0" w:space="0" w:color="auto"/>
        <w:left w:val="none" w:sz="0" w:space="0" w:color="auto"/>
        <w:bottom w:val="none" w:sz="0" w:space="0" w:color="auto"/>
        <w:right w:val="none" w:sz="0" w:space="0" w:color="auto"/>
      </w:divBdr>
    </w:div>
    <w:div w:id="1220094915">
      <w:bodyDiv w:val="1"/>
      <w:marLeft w:val="0"/>
      <w:marRight w:val="0"/>
      <w:marTop w:val="0"/>
      <w:marBottom w:val="0"/>
      <w:divBdr>
        <w:top w:val="none" w:sz="0" w:space="0" w:color="auto"/>
        <w:left w:val="none" w:sz="0" w:space="0" w:color="auto"/>
        <w:bottom w:val="none" w:sz="0" w:space="0" w:color="auto"/>
        <w:right w:val="none" w:sz="0" w:space="0" w:color="auto"/>
      </w:divBdr>
    </w:div>
    <w:div w:id="1220170194">
      <w:bodyDiv w:val="1"/>
      <w:marLeft w:val="0"/>
      <w:marRight w:val="0"/>
      <w:marTop w:val="0"/>
      <w:marBottom w:val="0"/>
      <w:divBdr>
        <w:top w:val="none" w:sz="0" w:space="0" w:color="auto"/>
        <w:left w:val="none" w:sz="0" w:space="0" w:color="auto"/>
        <w:bottom w:val="none" w:sz="0" w:space="0" w:color="auto"/>
        <w:right w:val="none" w:sz="0" w:space="0" w:color="auto"/>
      </w:divBdr>
    </w:div>
    <w:div w:id="1221862383">
      <w:bodyDiv w:val="1"/>
      <w:marLeft w:val="0"/>
      <w:marRight w:val="0"/>
      <w:marTop w:val="0"/>
      <w:marBottom w:val="0"/>
      <w:divBdr>
        <w:top w:val="none" w:sz="0" w:space="0" w:color="auto"/>
        <w:left w:val="none" w:sz="0" w:space="0" w:color="auto"/>
        <w:bottom w:val="none" w:sz="0" w:space="0" w:color="auto"/>
        <w:right w:val="none" w:sz="0" w:space="0" w:color="auto"/>
      </w:divBdr>
    </w:div>
    <w:div w:id="1222444259">
      <w:bodyDiv w:val="1"/>
      <w:marLeft w:val="0"/>
      <w:marRight w:val="0"/>
      <w:marTop w:val="0"/>
      <w:marBottom w:val="0"/>
      <w:divBdr>
        <w:top w:val="none" w:sz="0" w:space="0" w:color="auto"/>
        <w:left w:val="none" w:sz="0" w:space="0" w:color="auto"/>
        <w:bottom w:val="none" w:sz="0" w:space="0" w:color="auto"/>
        <w:right w:val="none" w:sz="0" w:space="0" w:color="auto"/>
      </w:divBdr>
    </w:div>
    <w:div w:id="1222521301">
      <w:bodyDiv w:val="1"/>
      <w:marLeft w:val="0"/>
      <w:marRight w:val="0"/>
      <w:marTop w:val="0"/>
      <w:marBottom w:val="0"/>
      <w:divBdr>
        <w:top w:val="none" w:sz="0" w:space="0" w:color="auto"/>
        <w:left w:val="none" w:sz="0" w:space="0" w:color="auto"/>
        <w:bottom w:val="none" w:sz="0" w:space="0" w:color="auto"/>
        <w:right w:val="none" w:sz="0" w:space="0" w:color="auto"/>
      </w:divBdr>
    </w:div>
    <w:div w:id="1222909902">
      <w:bodyDiv w:val="1"/>
      <w:marLeft w:val="0"/>
      <w:marRight w:val="0"/>
      <w:marTop w:val="0"/>
      <w:marBottom w:val="0"/>
      <w:divBdr>
        <w:top w:val="none" w:sz="0" w:space="0" w:color="auto"/>
        <w:left w:val="none" w:sz="0" w:space="0" w:color="auto"/>
        <w:bottom w:val="none" w:sz="0" w:space="0" w:color="auto"/>
        <w:right w:val="none" w:sz="0" w:space="0" w:color="auto"/>
      </w:divBdr>
    </w:div>
    <w:div w:id="1223176709">
      <w:bodyDiv w:val="1"/>
      <w:marLeft w:val="0"/>
      <w:marRight w:val="0"/>
      <w:marTop w:val="0"/>
      <w:marBottom w:val="0"/>
      <w:divBdr>
        <w:top w:val="none" w:sz="0" w:space="0" w:color="auto"/>
        <w:left w:val="none" w:sz="0" w:space="0" w:color="auto"/>
        <w:bottom w:val="none" w:sz="0" w:space="0" w:color="auto"/>
        <w:right w:val="none" w:sz="0" w:space="0" w:color="auto"/>
      </w:divBdr>
    </w:div>
    <w:div w:id="1223567267">
      <w:bodyDiv w:val="1"/>
      <w:marLeft w:val="0"/>
      <w:marRight w:val="0"/>
      <w:marTop w:val="0"/>
      <w:marBottom w:val="0"/>
      <w:divBdr>
        <w:top w:val="none" w:sz="0" w:space="0" w:color="auto"/>
        <w:left w:val="none" w:sz="0" w:space="0" w:color="auto"/>
        <w:bottom w:val="none" w:sz="0" w:space="0" w:color="auto"/>
        <w:right w:val="none" w:sz="0" w:space="0" w:color="auto"/>
      </w:divBdr>
    </w:div>
    <w:div w:id="1225095190">
      <w:bodyDiv w:val="1"/>
      <w:marLeft w:val="0"/>
      <w:marRight w:val="0"/>
      <w:marTop w:val="0"/>
      <w:marBottom w:val="0"/>
      <w:divBdr>
        <w:top w:val="none" w:sz="0" w:space="0" w:color="auto"/>
        <w:left w:val="none" w:sz="0" w:space="0" w:color="auto"/>
        <w:bottom w:val="none" w:sz="0" w:space="0" w:color="auto"/>
        <w:right w:val="none" w:sz="0" w:space="0" w:color="auto"/>
      </w:divBdr>
    </w:div>
    <w:div w:id="1225409066">
      <w:bodyDiv w:val="1"/>
      <w:marLeft w:val="0"/>
      <w:marRight w:val="0"/>
      <w:marTop w:val="0"/>
      <w:marBottom w:val="0"/>
      <w:divBdr>
        <w:top w:val="none" w:sz="0" w:space="0" w:color="auto"/>
        <w:left w:val="none" w:sz="0" w:space="0" w:color="auto"/>
        <w:bottom w:val="none" w:sz="0" w:space="0" w:color="auto"/>
        <w:right w:val="none" w:sz="0" w:space="0" w:color="auto"/>
      </w:divBdr>
    </w:div>
    <w:div w:id="1225601108">
      <w:bodyDiv w:val="1"/>
      <w:marLeft w:val="0"/>
      <w:marRight w:val="0"/>
      <w:marTop w:val="0"/>
      <w:marBottom w:val="0"/>
      <w:divBdr>
        <w:top w:val="none" w:sz="0" w:space="0" w:color="auto"/>
        <w:left w:val="none" w:sz="0" w:space="0" w:color="auto"/>
        <w:bottom w:val="none" w:sz="0" w:space="0" w:color="auto"/>
        <w:right w:val="none" w:sz="0" w:space="0" w:color="auto"/>
      </w:divBdr>
    </w:div>
    <w:div w:id="1227259173">
      <w:bodyDiv w:val="1"/>
      <w:marLeft w:val="0"/>
      <w:marRight w:val="0"/>
      <w:marTop w:val="0"/>
      <w:marBottom w:val="0"/>
      <w:divBdr>
        <w:top w:val="none" w:sz="0" w:space="0" w:color="auto"/>
        <w:left w:val="none" w:sz="0" w:space="0" w:color="auto"/>
        <w:bottom w:val="none" w:sz="0" w:space="0" w:color="auto"/>
        <w:right w:val="none" w:sz="0" w:space="0" w:color="auto"/>
      </w:divBdr>
    </w:div>
    <w:div w:id="1227494502">
      <w:bodyDiv w:val="1"/>
      <w:marLeft w:val="0"/>
      <w:marRight w:val="0"/>
      <w:marTop w:val="0"/>
      <w:marBottom w:val="0"/>
      <w:divBdr>
        <w:top w:val="none" w:sz="0" w:space="0" w:color="auto"/>
        <w:left w:val="none" w:sz="0" w:space="0" w:color="auto"/>
        <w:bottom w:val="none" w:sz="0" w:space="0" w:color="auto"/>
        <w:right w:val="none" w:sz="0" w:space="0" w:color="auto"/>
      </w:divBdr>
    </w:div>
    <w:div w:id="1228759953">
      <w:bodyDiv w:val="1"/>
      <w:marLeft w:val="0"/>
      <w:marRight w:val="0"/>
      <w:marTop w:val="0"/>
      <w:marBottom w:val="0"/>
      <w:divBdr>
        <w:top w:val="none" w:sz="0" w:space="0" w:color="auto"/>
        <w:left w:val="none" w:sz="0" w:space="0" w:color="auto"/>
        <w:bottom w:val="none" w:sz="0" w:space="0" w:color="auto"/>
        <w:right w:val="none" w:sz="0" w:space="0" w:color="auto"/>
      </w:divBdr>
    </w:div>
    <w:div w:id="1229149774">
      <w:bodyDiv w:val="1"/>
      <w:marLeft w:val="0"/>
      <w:marRight w:val="0"/>
      <w:marTop w:val="0"/>
      <w:marBottom w:val="0"/>
      <w:divBdr>
        <w:top w:val="none" w:sz="0" w:space="0" w:color="auto"/>
        <w:left w:val="none" w:sz="0" w:space="0" w:color="auto"/>
        <w:bottom w:val="none" w:sz="0" w:space="0" w:color="auto"/>
        <w:right w:val="none" w:sz="0" w:space="0" w:color="auto"/>
      </w:divBdr>
    </w:div>
    <w:div w:id="1229343912">
      <w:bodyDiv w:val="1"/>
      <w:marLeft w:val="0"/>
      <w:marRight w:val="0"/>
      <w:marTop w:val="0"/>
      <w:marBottom w:val="0"/>
      <w:divBdr>
        <w:top w:val="none" w:sz="0" w:space="0" w:color="auto"/>
        <w:left w:val="none" w:sz="0" w:space="0" w:color="auto"/>
        <w:bottom w:val="none" w:sz="0" w:space="0" w:color="auto"/>
        <w:right w:val="none" w:sz="0" w:space="0" w:color="auto"/>
      </w:divBdr>
    </w:div>
    <w:div w:id="1229534451">
      <w:bodyDiv w:val="1"/>
      <w:marLeft w:val="0"/>
      <w:marRight w:val="0"/>
      <w:marTop w:val="0"/>
      <w:marBottom w:val="0"/>
      <w:divBdr>
        <w:top w:val="none" w:sz="0" w:space="0" w:color="auto"/>
        <w:left w:val="none" w:sz="0" w:space="0" w:color="auto"/>
        <w:bottom w:val="none" w:sz="0" w:space="0" w:color="auto"/>
        <w:right w:val="none" w:sz="0" w:space="0" w:color="auto"/>
      </w:divBdr>
    </w:div>
    <w:div w:id="1231774570">
      <w:bodyDiv w:val="1"/>
      <w:marLeft w:val="0"/>
      <w:marRight w:val="0"/>
      <w:marTop w:val="0"/>
      <w:marBottom w:val="0"/>
      <w:divBdr>
        <w:top w:val="none" w:sz="0" w:space="0" w:color="auto"/>
        <w:left w:val="none" w:sz="0" w:space="0" w:color="auto"/>
        <w:bottom w:val="none" w:sz="0" w:space="0" w:color="auto"/>
        <w:right w:val="none" w:sz="0" w:space="0" w:color="auto"/>
      </w:divBdr>
    </w:div>
    <w:div w:id="1232809640">
      <w:bodyDiv w:val="1"/>
      <w:marLeft w:val="0"/>
      <w:marRight w:val="0"/>
      <w:marTop w:val="0"/>
      <w:marBottom w:val="0"/>
      <w:divBdr>
        <w:top w:val="none" w:sz="0" w:space="0" w:color="auto"/>
        <w:left w:val="none" w:sz="0" w:space="0" w:color="auto"/>
        <w:bottom w:val="none" w:sz="0" w:space="0" w:color="auto"/>
        <w:right w:val="none" w:sz="0" w:space="0" w:color="auto"/>
      </w:divBdr>
    </w:div>
    <w:div w:id="1236234252">
      <w:bodyDiv w:val="1"/>
      <w:marLeft w:val="0"/>
      <w:marRight w:val="0"/>
      <w:marTop w:val="0"/>
      <w:marBottom w:val="0"/>
      <w:divBdr>
        <w:top w:val="none" w:sz="0" w:space="0" w:color="auto"/>
        <w:left w:val="none" w:sz="0" w:space="0" w:color="auto"/>
        <w:bottom w:val="none" w:sz="0" w:space="0" w:color="auto"/>
        <w:right w:val="none" w:sz="0" w:space="0" w:color="auto"/>
      </w:divBdr>
    </w:div>
    <w:div w:id="1237276860">
      <w:bodyDiv w:val="1"/>
      <w:marLeft w:val="0"/>
      <w:marRight w:val="0"/>
      <w:marTop w:val="0"/>
      <w:marBottom w:val="0"/>
      <w:divBdr>
        <w:top w:val="none" w:sz="0" w:space="0" w:color="auto"/>
        <w:left w:val="none" w:sz="0" w:space="0" w:color="auto"/>
        <w:bottom w:val="none" w:sz="0" w:space="0" w:color="auto"/>
        <w:right w:val="none" w:sz="0" w:space="0" w:color="auto"/>
      </w:divBdr>
    </w:div>
    <w:div w:id="1237278777">
      <w:bodyDiv w:val="1"/>
      <w:marLeft w:val="0"/>
      <w:marRight w:val="0"/>
      <w:marTop w:val="0"/>
      <w:marBottom w:val="0"/>
      <w:divBdr>
        <w:top w:val="none" w:sz="0" w:space="0" w:color="auto"/>
        <w:left w:val="none" w:sz="0" w:space="0" w:color="auto"/>
        <w:bottom w:val="none" w:sz="0" w:space="0" w:color="auto"/>
        <w:right w:val="none" w:sz="0" w:space="0" w:color="auto"/>
      </w:divBdr>
    </w:div>
    <w:div w:id="1238978912">
      <w:bodyDiv w:val="1"/>
      <w:marLeft w:val="0"/>
      <w:marRight w:val="0"/>
      <w:marTop w:val="0"/>
      <w:marBottom w:val="0"/>
      <w:divBdr>
        <w:top w:val="none" w:sz="0" w:space="0" w:color="auto"/>
        <w:left w:val="none" w:sz="0" w:space="0" w:color="auto"/>
        <w:bottom w:val="none" w:sz="0" w:space="0" w:color="auto"/>
        <w:right w:val="none" w:sz="0" w:space="0" w:color="auto"/>
      </w:divBdr>
    </w:div>
    <w:div w:id="1239898910">
      <w:bodyDiv w:val="1"/>
      <w:marLeft w:val="0"/>
      <w:marRight w:val="0"/>
      <w:marTop w:val="0"/>
      <w:marBottom w:val="0"/>
      <w:divBdr>
        <w:top w:val="none" w:sz="0" w:space="0" w:color="auto"/>
        <w:left w:val="none" w:sz="0" w:space="0" w:color="auto"/>
        <w:bottom w:val="none" w:sz="0" w:space="0" w:color="auto"/>
        <w:right w:val="none" w:sz="0" w:space="0" w:color="auto"/>
      </w:divBdr>
    </w:div>
    <w:div w:id="1240750331">
      <w:bodyDiv w:val="1"/>
      <w:marLeft w:val="0"/>
      <w:marRight w:val="0"/>
      <w:marTop w:val="0"/>
      <w:marBottom w:val="0"/>
      <w:divBdr>
        <w:top w:val="none" w:sz="0" w:space="0" w:color="auto"/>
        <w:left w:val="none" w:sz="0" w:space="0" w:color="auto"/>
        <w:bottom w:val="none" w:sz="0" w:space="0" w:color="auto"/>
        <w:right w:val="none" w:sz="0" w:space="0" w:color="auto"/>
      </w:divBdr>
    </w:div>
    <w:div w:id="1242445921">
      <w:bodyDiv w:val="1"/>
      <w:marLeft w:val="0"/>
      <w:marRight w:val="0"/>
      <w:marTop w:val="0"/>
      <w:marBottom w:val="0"/>
      <w:divBdr>
        <w:top w:val="none" w:sz="0" w:space="0" w:color="auto"/>
        <w:left w:val="none" w:sz="0" w:space="0" w:color="auto"/>
        <w:bottom w:val="none" w:sz="0" w:space="0" w:color="auto"/>
        <w:right w:val="none" w:sz="0" w:space="0" w:color="auto"/>
      </w:divBdr>
    </w:div>
    <w:div w:id="1242830005">
      <w:bodyDiv w:val="1"/>
      <w:marLeft w:val="0"/>
      <w:marRight w:val="0"/>
      <w:marTop w:val="0"/>
      <w:marBottom w:val="0"/>
      <w:divBdr>
        <w:top w:val="none" w:sz="0" w:space="0" w:color="auto"/>
        <w:left w:val="none" w:sz="0" w:space="0" w:color="auto"/>
        <w:bottom w:val="none" w:sz="0" w:space="0" w:color="auto"/>
        <w:right w:val="none" w:sz="0" w:space="0" w:color="auto"/>
      </w:divBdr>
    </w:div>
    <w:div w:id="1242913410">
      <w:bodyDiv w:val="1"/>
      <w:marLeft w:val="0"/>
      <w:marRight w:val="0"/>
      <w:marTop w:val="0"/>
      <w:marBottom w:val="0"/>
      <w:divBdr>
        <w:top w:val="none" w:sz="0" w:space="0" w:color="auto"/>
        <w:left w:val="none" w:sz="0" w:space="0" w:color="auto"/>
        <w:bottom w:val="none" w:sz="0" w:space="0" w:color="auto"/>
        <w:right w:val="none" w:sz="0" w:space="0" w:color="auto"/>
      </w:divBdr>
    </w:div>
    <w:div w:id="1243028262">
      <w:bodyDiv w:val="1"/>
      <w:marLeft w:val="0"/>
      <w:marRight w:val="0"/>
      <w:marTop w:val="0"/>
      <w:marBottom w:val="0"/>
      <w:divBdr>
        <w:top w:val="none" w:sz="0" w:space="0" w:color="auto"/>
        <w:left w:val="none" w:sz="0" w:space="0" w:color="auto"/>
        <w:bottom w:val="none" w:sz="0" w:space="0" w:color="auto"/>
        <w:right w:val="none" w:sz="0" w:space="0" w:color="auto"/>
      </w:divBdr>
    </w:div>
    <w:div w:id="1244727916">
      <w:bodyDiv w:val="1"/>
      <w:marLeft w:val="0"/>
      <w:marRight w:val="0"/>
      <w:marTop w:val="0"/>
      <w:marBottom w:val="0"/>
      <w:divBdr>
        <w:top w:val="none" w:sz="0" w:space="0" w:color="auto"/>
        <w:left w:val="none" w:sz="0" w:space="0" w:color="auto"/>
        <w:bottom w:val="none" w:sz="0" w:space="0" w:color="auto"/>
        <w:right w:val="none" w:sz="0" w:space="0" w:color="auto"/>
      </w:divBdr>
    </w:div>
    <w:div w:id="1244754725">
      <w:bodyDiv w:val="1"/>
      <w:marLeft w:val="0"/>
      <w:marRight w:val="0"/>
      <w:marTop w:val="0"/>
      <w:marBottom w:val="0"/>
      <w:divBdr>
        <w:top w:val="none" w:sz="0" w:space="0" w:color="auto"/>
        <w:left w:val="none" w:sz="0" w:space="0" w:color="auto"/>
        <w:bottom w:val="none" w:sz="0" w:space="0" w:color="auto"/>
        <w:right w:val="none" w:sz="0" w:space="0" w:color="auto"/>
      </w:divBdr>
    </w:div>
    <w:div w:id="1244949811">
      <w:bodyDiv w:val="1"/>
      <w:marLeft w:val="0"/>
      <w:marRight w:val="0"/>
      <w:marTop w:val="0"/>
      <w:marBottom w:val="0"/>
      <w:divBdr>
        <w:top w:val="none" w:sz="0" w:space="0" w:color="auto"/>
        <w:left w:val="none" w:sz="0" w:space="0" w:color="auto"/>
        <w:bottom w:val="none" w:sz="0" w:space="0" w:color="auto"/>
        <w:right w:val="none" w:sz="0" w:space="0" w:color="auto"/>
      </w:divBdr>
    </w:div>
    <w:div w:id="1245844545">
      <w:bodyDiv w:val="1"/>
      <w:marLeft w:val="0"/>
      <w:marRight w:val="0"/>
      <w:marTop w:val="0"/>
      <w:marBottom w:val="0"/>
      <w:divBdr>
        <w:top w:val="none" w:sz="0" w:space="0" w:color="auto"/>
        <w:left w:val="none" w:sz="0" w:space="0" w:color="auto"/>
        <w:bottom w:val="none" w:sz="0" w:space="0" w:color="auto"/>
        <w:right w:val="none" w:sz="0" w:space="0" w:color="auto"/>
      </w:divBdr>
    </w:div>
    <w:div w:id="1246114442">
      <w:bodyDiv w:val="1"/>
      <w:marLeft w:val="0"/>
      <w:marRight w:val="0"/>
      <w:marTop w:val="0"/>
      <w:marBottom w:val="0"/>
      <w:divBdr>
        <w:top w:val="none" w:sz="0" w:space="0" w:color="auto"/>
        <w:left w:val="none" w:sz="0" w:space="0" w:color="auto"/>
        <w:bottom w:val="none" w:sz="0" w:space="0" w:color="auto"/>
        <w:right w:val="none" w:sz="0" w:space="0" w:color="auto"/>
      </w:divBdr>
    </w:div>
    <w:div w:id="1246115214">
      <w:bodyDiv w:val="1"/>
      <w:marLeft w:val="0"/>
      <w:marRight w:val="0"/>
      <w:marTop w:val="0"/>
      <w:marBottom w:val="0"/>
      <w:divBdr>
        <w:top w:val="none" w:sz="0" w:space="0" w:color="auto"/>
        <w:left w:val="none" w:sz="0" w:space="0" w:color="auto"/>
        <w:bottom w:val="none" w:sz="0" w:space="0" w:color="auto"/>
        <w:right w:val="none" w:sz="0" w:space="0" w:color="auto"/>
      </w:divBdr>
    </w:div>
    <w:div w:id="1246257667">
      <w:bodyDiv w:val="1"/>
      <w:marLeft w:val="0"/>
      <w:marRight w:val="0"/>
      <w:marTop w:val="0"/>
      <w:marBottom w:val="0"/>
      <w:divBdr>
        <w:top w:val="none" w:sz="0" w:space="0" w:color="auto"/>
        <w:left w:val="none" w:sz="0" w:space="0" w:color="auto"/>
        <w:bottom w:val="none" w:sz="0" w:space="0" w:color="auto"/>
        <w:right w:val="none" w:sz="0" w:space="0" w:color="auto"/>
      </w:divBdr>
    </w:div>
    <w:div w:id="1246647765">
      <w:bodyDiv w:val="1"/>
      <w:marLeft w:val="0"/>
      <w:marRight w:val="0"/>
      <w:marTop w:val="0"/>
      <w:marBottom w:val="0"/>
      <w:divBdr>
        <w:top w:val="none" w:sz="0" w:space="0" w:color="auto"/>
        <w:left w:val="none" w:sz="0" w:space="0" w:color="auto"/>
        <w:bottom w:val="none" w:sz="0" w:space="0" w:color="auto"/>
        <w:right w:val="none" w:sz="0" w:space="0" w:color="auto"/>
      </w:divBdr>
    </w:div>
    <w:div w:id="1248077335">
      <w:bodyDiv w:val="1"/>
      <w:marLeft w:val="0"/>
      <w:marRight w:val="0"/>
      <w:marTop w:val="0"/>
      <w:marBottom w:val="0"/>
      <w:divBdr>
        <w:top w:val="none" w:sz="0" w:space="0" w:color="auto"/>
        <w:left w:val="none" w:sz="0" w:space="0" w:color="auto"/>
        <w:bottom w:val="none" w:sz="0" w:space="0" w:color="auto"/>
        <w:right w:val="none" w:sz="0" w:space="0" w:color="auto"/>
      </w:divBdr>
    </w:div>
    <w:div w:id="1250119696">
      <w:bodyDiv w:val="1"/>
      <w:marLeft w:val="0"/>
      <w:marRight w:val="0"/>
      <w:marTop w:val="0"/>
      <w:marBottom w:val="0"/>
      <w:divBdr>
        <w:top w:val="none" w:sz="0" w:space="0" w:color="auto"/>
        <w:left w:val="none" w:sz="0" w:space="0" w:color="auto"/>
        <w:bottom w:val="none" w:sz="0" w:space="0" w:color="auto"/>
        <w:right w:val="none" w:sz="0" w:space="0" w:color="auto"/>
      </w:divBdr>
    </w:div>
    <w:div w:id="1251501863">
      <w:bodyDiv w:val="1"/>
      <w:marLeft w:val="0"/>
      <w:marRight w:val="0"/>
      <w:marTop w:val="0"/>
      <w:marBottom w:val="0"/>
      <w:divBdr>
        <w:top w:val="none" w:sz="0" w:space="0" w:color="auto"/>
        <w:left w:val="none" w:sz="0" w:space="0" w:color="auto"/>
        <w:bottom w:val="none" w:sz="0" w:space="0" w:color="auto"/>
        <w:right w:val="none" w:sz="0" w:space="0" w:color="auto"/>
      </w:divBdr>
    </w:div>
    <w:div w:id="1252547059">
      <w:bodyDiv w:val="1"/>
      <w:marLeft w:val="0"/>
      <w:marRight w:val="0"/>
      <w:marTop w:val="0"/>
      <w:marBottom w:val="0"/>
      <w:divBdr>
        <w:top w:val="none" w:sz="0" w:space="0" w:color="auto"/>
        <w:left w:val="none" w:sz="0" w:space="0" w:color="auto"/>
        <w:bottom w:val="none" w:sz="0" w:space="0" w:color="auto"/>
        <w:right w:val="none" w:sz="0" w:space="0" w:color="auto"/>
      </w:divBdr>
    </w:div>
    <w:div w:id="1254242155">
      <w:bodyDiv w:val="1"/>
      <w:marLeft w:val="0"/>
      <w:marRight w:val="0"/>
      <w:marTop w:val="0"/>
      <w:marBottom w:val="0"/>
      <w:divBdr>
        <w:top w:val="none" w:sz="0" w:space="0" w:color="auto"/>
        <w:left w:val="none" w:sz="0" w:space="0" w:color="auto"/>
        <w:bottom w:val="none" w:sz="0" w:space="0" w:color="auto"/>
        <w:right w:val="none" w:sz="0" w:space="0" w:color="auto"/>
      </w:divBdr>
    </w:div>
    <w:div w:id="1256285525">
      <w:bodyDiv w:val="1"/>
      <w:marLeft w:val="0"/>
      <w:marRight w:val="0"/>
      <w:marTop w:val="0"/>
      <w:marBottom w:val="0"/>
      <w:divBdr>
        <w:top w:val="none" w:sz="0" w:space="0" w:color="auto"/>
        <w:left w:val="none" w:sz="0" w:space="0" w:color="auto"/>
        <w:bottom w:val="none" w:sz="0" w:space="0" w:color="auto"/>
        <w:right w:val="none" w:sz="0" w:space="0" w:color="auto"/>
      </w:divBdr>
    </w:div>
    <w:div w:id="1256935045">
      <w:bodyDiv w:val="1"/>
      <w:marLeft w:val="0"/>
      <w:marRight w:val="0"/>
      <w:marTop w:val="0"/>
      <w:marBottom w:val="0"/>
      <w:divBdr>
        <w:top w:val="none" w:sz="0" w:space="0" w:color="auto"/>
        <w:left w:val="none" w:sz="0" w:space="0" w:color="auto"/>
        <w:bottom w:val="none" w:sz="0" w:space="0" w:color="auto"/>
        <w:right w:val="none" w:sz="0" w:space="0" w:color="auto"/>
      </w:divBdr>
    </w:div>
    <w:div w:id="1258177632">
      <w:bodyDiv w:val="1"/>
      <w:marLeft w:val="0"/>
      <w:marRight w:val="0"/>
      <w:marTop w:val="0"/>
      <w:marBottom w:val="0"/>
      <w:divBdr>
        <w:top w:val="none" w:sz="0" w:space="0" w:color="auto"/>
        <w:left w:val="none" w:sz="0" w:space="0" w:color="auto"/>
        <w:bottom w:val="none" w:sz="0" w:space="0" w:color="auto"/>
        <w:right w:val="none" w:sz="0" w:space="0" w:color="auto"/>
      </w:divBdr>
    </w:div>
    <w:div w:id="1259601934">
      <w:bodyDiv w:val="1"/>
      <w:marLeft w:val="0"/>
      <w:marRight w:val="0"/>
      <w:marTop w:val="0"/>
      <w:marBottom w:val="0"/>
      <w:divBdr>
        <w:top w:val="none" w:sz="0" w:space="0" w:color="auto"/>
        <w:left w:val="none" w:sz="0" w:space="0" w:color="auto"/>
        <w:bottom w:val="none" w:sz="0" w:space="0" w:color="auto"/>
        <w:right w:val="none" w:sz="0" w:space="0" w:color="auto"/>
      </w:divBdr>
    </w:div>
    <w:div w:id="1260522942">
      <w:bodyDiv w:val="1"/>
      <w:marLeft w:val="0"/>
      <w:marRight w:val="0"/>
      <w:marTop w:val="0"/>
      <w:marBottom w:val="0"/>
      <w:divBdr>
        <w:top w:val="none" w:sz="0" w:space="0" w:color="auto"/>
        <w:left w:val="none" w:sz="0" w:space="0" w:color="auto"/>
        <w:bottom w:val="none" w:sz="0" w:space="0" w:color="auto"/>
        <w:right w:val="none" w:sz="0" w:space="0" w:color="auto"/>
      </w:divBdr>
    </w:div>
    <w:div w:id="1260597952">
      <w:bodyDiv w:val="1"/>
      <w:marLeft w:val="0"/>
      <w:marRight w:val="0"/>
      <w:marTop w:val="0"/>
      <w:marBottom w:val="0"/>
      <w:divBdr>
        <w:top w:val="none" w:sz="0" w:space="0" w:color="auto"/>
        <w:left w:val="none" w:sz="0" w:space="0" w:color="auto"/>
        <w:bottom w:val="none" w:sz="0" w:space="0" w:color="auto"/>
        <w:right w:val="none" w:sz="0" w:space="0" w:color="auto"/>
      </w:divBdr>
    </w:div>
    <w:div w:id="1263222038">
      <w:bodyDiv w:val="1"/>
      <w:marLeft w:val="0"/>
      <w:marRight w:val="0"/>
      <w:marTop w:val="0"/>
      <w:marBottom w:val="0"/>
      <w:divBdr>
        <w:top w:val="none" w:sz="0" w:space="0" w:color="auto"/>
        <w:left w:val="none" w:sz="0" w:space="0" w:color="auto"/>
        <w:bottom w:val="none" w:sz="0" w:space="0" w:color="auto"/>
        <w:right w:val="none" w:sz="0" w:space="0" w:color="auto"/>
      </w:divBdr>
    </w:div>
    <w:div w:id="1263493280">
      <w:bodyDiv w:val="1"/>
      <w:marLeft w:val="0"/>
      <w:marRight w:val="0"/>
      <w:marTop w:val="0"/>
      <w:marBottom w:val="0"/>
      <w:divBdr>
        <w:top w:val="none" w:sz="0" w:space="0" w:color="auto"/>
        <w:left w:val="none" w:sz="0" w:space="0" w:color="auto"/>
        <w:bottom w:val="none" w:sz="0" w:space="0" w:color="auto"/>
        <w:right w:val="none" w:sz="0" w:space="0" w:color="auto"/>
      </w:divBdr>
    </w:div>
    <w:div w:id="1263951653">
      <w:bodyDiv w:val="1"/>
      <w:marLeft w:val="0"/>
      <w:marRight w:val="0"/>
      <w:marTop w:val="0"/>
      <w:marBottom w:val="0"/>
      <w:divBdr>
        <w:top w:val="none" w:sz="0" w:space="0" w:color="auto"/>
        <w:left w:val="none" w:sz="0" w:space="0" w:color="auto"/>
        <w:bottom w:val="none" w:sz="0" w:space="0" w:color="auto"/>
        <w:right w:val="none" w:sz="0" w:space="0" w:color="auto"/>
      </w:divBdr>
    </w:div>
    <w:div w:id="1264415452">
      <w:bodyDiv w:val="1"/>
      <w:marLeft w:val="0"/>
      <w:marRight w:val="0"/>
      <w:marTop w:val="0"/>
      <w:marBottom w:val="0"/>
      <w:divBdr>
        <w:top w:val="none" w:sz="0" w:space="0" w:color="auto"/>
        <w:left w:val="none" w:sz="0" w:space="0" w:color="auto"/>
        <w:bottom w:val="none" w:sz="0" w:space="0" w:color="auto"/>
        <w:right w:val="none" w:sz="0" w:space="0" w:color="auto"/>
      </w:divBdr>
    </w:div>
    <w:div w:id="1264729277">
      <w:bodyDiv w:val="1"/>
      <w:marLeft w:val="0"/>
      <w:marRight w:val="0"/>
      <w:marTop w:val="0"/>
      <w:marBottom w:val="0"/>
      <w:divBdr>
        <w:top w:val="none" w:sz="0" w:space="0" w:color="auto"/>
        <w:left w:val="none" w:sz="0" w:space="0" w:color="auto"/>
        <w:bottom w:val="none" w:sz="0" w:space="0" w:color="auto"/>
        <w:right w:val="none" w:sz="0" w:space="0" w:color="auto"/>
      </w:divBdr>
    </w:div>
    <w:div w:id="1265504191">
      <w:bodyDiv w:val="1"/>
      <w:marLeft w:val="0"/>
      <w:marRight w:val="0"/>
      <w:marTop w:val="0"/>
      <w:marBottom w:val="0"/>
      <w:divBdr>
        <w:top w:val="none" w:sz="0" w:space="0" w:color="auto"/>
        <w:left w:val="none" w:sz="0" w:space="0" w:color="auto"/>
        <w:bottom w:val="none" w:sz="0" w:space="0" w:color="auto"/>
        <w:right w:val="none" w:sz="0" w:space="0" w:color="auto"/>
      </w:divBdr>
    </w:div>
    <w:div w:id="1265848647">
      <w:bodyDiv w:val="1"/>
      <w:marLeft w:val="0"/>
      <w:marRight w:val="0"/>
      <w:marTop w:val="0"/>
      <w:marBottom w:val="0"/>
      <w:divBdr>
        <w:top w:val="none" w:sz="0" w:space="0" w:color="auto"/>
        <w:left w:val="none" w:sz="0" w:space="0" w:color="auto"/>
        <w:bottom w:val="none" w:sz="0" w:space="0" w:color="auto"/>
        <w:right w:val="none" w:sz="0" w:space="0" w:color="auto"/>
      </w:divBdr>
    </w:div>
    <w:div w:id="1265964170">
      <w:bodyDiv w:val="1"/>
      <w:marLeft w:val="0"/>
      <w:marRight w:val="0"/>
      <w:marTop w:val="0"/>
      <w:marBottom w:val="0"/>
      <w:divBdr>
        <w:top w:val="none" w:sz="0" w:space="0" w:color="auto"/>
        <w:left w:val="none" w:sz="0" w:space="0" w:color="auto"/>
        <w:bottom w:val="none" w:sz="0" w:space="0" w:color="auto"/>
        <w:right w:val="none" w:sz="0" w:space="0" w:color="auto"/>
      </w:divBdr>
    </w:div>
    <w:div w:id="1266109069">
      <w:bodyDiv w:val="1"/>
      <w:marLeft w:val="0"/>
      <w:marRight w:val="0"/>
      <w:marTop w:val="0"/>
      <w:marBottom w:val="0"/>
      <w:divBdr>
        <w:top w:val="none" w:sz="0" w:space="0" w:color="auto"/>
        <w:left w:val="none" w:sz="0" w:space="0" w:color="auto"/>
        <w:bottom w:val="none" w:sz="0" w:space="0" w:color="auto"/>
        <w:right w:val="none" w:sz="0" w:space="0" w:color="auto"/>
      </w:divBdr>
    </w:div>
    <w:div w:id="1267809177">
      <w:bodyDiv w:val="1"/>
      <w:marLeft w:val="0"/>
      <w:marRight w:val="0"/>
      <w:marTop w:val="0"/>
      <w:marBottom w:val="0"/>
      <w:divBdr>
        <w:top w:val="none" w:sz="0" w:space="0" w:color="auto"/>
        <w:left w:val="none" w:sz="0" w:space="0" w:color="auto"/>
        <w:bottom w:val="none" w:sz="0" w:space="0" w:color="auto"/>
        <w:right w:val="none" w:sz="0" w:space="0" w:color="auto"/>
      </w:divBdr>
    </w:div>
    <w:div w:id="1267928587">
      <w:bodyDiv w:val="1"/>
      <w:marLeft w:val="0"/>
      <w:marRight w:val="0"/>
      <w:marTop w:val="0"/>
      <w:marBottom w:val="0"/>
      <w:divBdr>
        <w:top w:val="none" w:sz="0" w:space="0" w:color="auto"/>
        <w:left w:val="none" w:sz="0" w:space="0" w:color="auto"/>
        <w:bottom w:val="none" w:sz="0" w:space="0" w:color="auto"/>
        <w:right w:val="none" w:sz="0" w:space="0" w:color="auto"/>
      </w:divBdr>
    </w:div>
    <w:div w:id="1268385003">
      <w:bodyDiv w:val="1"/>
      <w:marLeft w:val="0"/>
      <w:marRight w:val="0"/>
      <w:marTop w:val="0"/>
      <w:marBottom w:val="0"/>
      <w:divBdr>
        <w:top w:val="none" w:sz="0" w:space="0" w:color="auto"/>
        <w:left w:val="none" w:sz="0" w:space="0" w:color="auto"/>
        <w:bottom w:val="none" w:sz="0" w:space="0" w:color="auto"/>
        <w:right w:val="none" w:sz="0" w:space="0" w:color="auto"/>
      </w:divBdr>
    </w:div>
    <w:div w:id="1268931989">
      <w:bodyDiv w:val="1"/>
      <w:marLeft w:val="0"/>
      <w:marRight w:val="0"/>
      <w:marTop w:val="0"/>
      <w:marBottom w:val="0"/>
      <w:divBdr>
        <w:top w:val="none" w:sz="0" w:space="0" w:color="auto"/>
        <w:left w:val="none" w:sz="0" w:space="0" w:color="auto"/>
        <w:bottom w:val="none" w:sz="0" w:space="0" w:color="auto"/>
        <w:right w:val="none" w:sz="0" w:space="0" w:color="auto"/>
      </w:divBdr>
    </w:div>
    <w:div w:id="1269510844">
      <w:bodyDiv w:val="1"/>
      <w:marLeft w:val="0"/>
      <w:marRight w:val="0"/>
      <w:marTop w:val="0"/>
      <w:marBottom w:val="0"/>
      <w:divBdr>
        <w:top w:val="none" w:sz="0" w:space="0" w:color="auto"/>
        <w:left w:val="none" w:sz="0" w:space="0" w:color="auto"/>
        <w:bottom w:val="none" w:sz="0" w:space="0" w:color="auto"/>
        <w:right w:val="none" w:sz="0" w:space="0" w:color="auto"/>
      </w:divBdr>
    </w:div>
    <w:div w:id="1269771346">
      <w:bodyDiv w:val="1"/>
      <w:marLeft w:val="0"/>
      <w:marRight w:val="0"/>
      <w:marTop w:val="0"/>
      <w:marBottom w:val="0"/>
      <w:divBdr>
        <w:top w:val="none" w:sz="0" w:space="0" w:color="auto"/>
        <w:left w:val="none" w:sz="0" w:space="0" w:color="auto"/>
        <w:bottom w:val="none" w:sz="0" w:space="0" w:color="auto"/>
        <w:right w:val="none" w:sz="0" w:space="0" w:color="auto"/>
      </w:divBdr>
    </w:div>
    <w:div w:id="1270621898">
      <w:bodyDiv w:val="1"/>
      <w:marLeft w:val="0"/>
      <w:marRight w:val="0"/>
      <w:marTop w:val="0"/>
      <w:marBottom w:val="0"/>
      <w:divBdr>
        <w:top w:val="none" w:sz="0" w:space="0" w:color="auto"/>
        <w:left w:val="none" w:sz="0" w:space="0" w:color="auto"/>
        <w:bottom w:val="none" w:sz="0" w:space="0" w:color="auto"/>
        <w:right w:val="none" w:sz="0" w:space="0" w:color="auto"/>
      </w:divBdr>
    </w:div>
    <w:div w:id="1270775744">
      <w:bodyDiv w:val="1"/>
      <w:marLeft w:val="0"/>
      <w:marRight w:val="0"/>
      <w:marTop w:val="0"/>
      <w:marBottom w:val="0"/>
      <w:divBdr>
        <w:top w:val="none" w:sz="0" w:space="0" w:color="auto"/>
        <w:left w:val="none" w:sz="0" w:space="0" w:color="auto"/>
        <w:bottom w:val="none" w:sz="0" w:space="0" w:color="auto"/>
        <w:right w:val="none" w:sz="0" w:space="0" w:color="auto"/>
      </w:divBdr>
    </w:div>
    <w:div w:id="1271158895">
      <w:bodyDiv w:val="1"/>
      <w:marLeft w:val="0"/>
      <w:marRight w:val="0"/>
      <w:marTop w:val="0"/>
      <w:marBottom w:val="0"/>
      <w:divBdr>
        <w:top w:val="none" w:sz="0" w:space="0" w:color="auto"/>
        <w:left w:val="none" w:sz="0" w:space="0" w:color="auto"/>
        <w:bottom w:val="none" w:sz="0" w:space="0" w:color="auto"/>
        <w:right w:val="none" w:sz="0" w:space="0" w:color="auto"/>
      </w:divBdr>
    </w:div>
    <w:div w:id="1271736944">
      <w:bodyDiv w:val="1"/>
      <w:marLeft w:val="0"/>
      <w:marRight w:val="0"/>
      <w:marTop w:val="0"/>
      <w:marBottom w:val="0"/>
      <w:divBdr>
        <w:top w:val="none" w:sz="0" w:space="0" w:color="auto"/>
        <w:left w:val="none" w:sz="0" w:space="0" w:color="auto"/>
        <w:bottom w:val="none" w:sz="0" w:space="0" w:color="auto"/>
        <w:right w:val="none" w:sz="0" w:space="0" w:color="auto"/>
      </w:divBdr>
    </w:div>
    <w:div w:id="1272250752">
      <w:bodyDiv w:val="1"/>
      <w:marLeft w:val="0"/>
      <w:marRight w:val="0"/>
      <w:marTop w:val="0"/>
      <w:marBottom w:val="0"/>
      <w:divBdr>
        <w:top w:val="none" w:sz="0" w:space="0" w:color="auto"/>
        <w:left w:val="none" w:sz="0" w:space="0" w:color="auto"/>
        <w:bottom w:val="none" w:sz="0" w:space="0" w:color="auto"/>
        <w:right w:val="none" w:sz="0" w:space="0" w:color="auto"/>
      </w:divBdr>
    </w:div>
    <w:div w:id="1272588325">
      <w:bodyDiv w:val="1"/>
      <w:marLeft w:val="0"/>
      <w:marRight w:val="0"/>
      <w:marTop w:val="0"/>
      <w:marBottom w:val="0"/>
      <w:divBdr>
        <w:top w:val="none" w:sz="0" w:space="0" w:color="auto"/>
        <w:left w:val="none" w:sz="0" w:space="0" w:color="auto"/>
        <w:bottom w:val="none" w:sz="0" w:space="0" w:color="auto"/>
        <w:right w:val="none" w:sz="0" w:space="0" w:color="auto"/>
      </w:divBdr>
    </w:div>
    <w:div w:id="1273829360">
      <w:bodyDiv w:val="1"/>
      <w:marLeft w:val="0"/>
      <w:marRight w:val="0"/>
      <w:marTop w:val="0"/>
      <w:marBottom w:val="0"/>
      <w:divBdr>
        <w:top w:val="none" w:sz="0" w:space="0" w:color="auto"/>
        <w:left w:val="none" w:sz="0" w:space="0" w:color="auto"/>
        <w:bottom w:val="none" w:sz="0" w:space="0" w:color="auto"/>
        <w:right w:val="none" w:sz="0" w:space="0" w:color="auto"/>
      </w:divBdr>
    </w:div>
    <w:div w:id="1273903685">
      <w:bodyDiv w:val="1"/>
      <w:marLeft w:val="0"/>
      <w:marRight w:val="0"/>
      <w:marTop w:val="0"/>
      <w:marBottom w:val="0"/>
      <w:divBdr>
        <w:top w:val="none" w:sz="0" w:space="0" w:color="auto"/>
        <w:left w:val="none" w:sz="0" w:space="0" w:color="auto"/>
        <w:bottom w:val="none" w:sz="0" w:space="0" w:color="auto"/>
        <w:right w:val="none" w:sz="0" w:space="0" w:color="auto"/>
      </w:divBdr>
    </w:div>
    <w:div w:id="1274485077">
      <w:bodyDiv w:val="1"/>
      <w:marLeft w:val="0"/>
      <w:marRight w:val="0"/>
      <w:marTop w:val="0"/>
      <w:marBottom w:val="0"/>
      <w:divBdr>
        <w:top w:val="none" w:sz="0" w:space="0" w:color="auto"/>
        <w:left w:val="none" w:sz="0" w:space="0" w:color="auto"/>
        <w:bottom w:val="none" w:sz="0" w:space="0" w:color="auto"/>
        <w:right w:val="none" w:sz="0" w:space="0" w:color="auto"/>
      </w:divBdr>
    </w:div>
    <w:div w:id="1275134229">
      <w:bodyDiv w:val="1"/>
      <w:marLeft w:val="0"/>
      <w:marRight w:val="0"/>
      <w:marTop w:val="0"/>
      <w:marBottom w:val="0"/>
      <w:divBdr>
        <w:top w:val="none" w:sz="0" w:space="0" w:color="auto"/>
        <w:left w:val="none" w:sz="0" w:space="0" w:color="auto"/>
        <w:bottom w:val="none" w:sz="0" w:space="0" w:color="auto"/>
        <w:right w:val="none" w:sz="0" w:space="0" w:color="auto"/>
      </w:divBdr>
    </w:div>
    <w:div w:id="1275399766">
      <w:bodyDiv w:val="1"/>
      <w:marLeft w:val="0"/>
      <w:marRight w:val="0"/>
      <w:marTop w:val="0"/>
      <w:marBottom w:val="0"/>
      <w:divBdr>
        <w:top w:val="none" w:sz="0" w:space="0" w:color="auto"/>
        <w:left w:val="none" w:sz="0" w:space="0" w:color="auto"/>
        <w:bottom w:val="none" w:sz="0" w:space="0" w:color="auto"/>
        <w:right w:val="none" w:sz="0" w:space="0" w:color="auto"/>
      </w:divBdr>
    </w:div>
    <w:div w:id="1275939901">
      <w:bodyDiv w:val="1"/>
      <w:marLeft w:val="0"/>
      <w:marRight w:val="0"/>
      <w:marTop w:val="0"/>
      <w:marBottom w:val="0"/>
      <w:divBdr>
        <w:top w:val="none" w:sz="0" w:space="0" w:color="auto"/>
        <w:left w:val="none" w:sz="0" w:space="0" w:color="auto"/>
        <w:bottom w:val="none" w:sz="0" w:space="0" w:color="auto"/>
        <w:right w:val="none" w:sz="0" w:space="0" w:color="auto"/>
      </w:divBdr>
    </w:div>
    <w:div w:id="1276214543">
      <w:bodyDiv w:val="1"/>
      <w:marLeft w:val="0"/>
      <w:marRight w:val="0"/>
      <w:marTop w:val="0"/>
      <w:marBottom w:val="0"/>
      <w:divBdr>
        <w:top w:val="none" w:sz="0" w:space="0" w:color="auto"/>
        <w:left w:val="none" w:sz="0" w:space="0" w:color="auto"/>
        <w:bottom w:val="none" w:sz="0" w:space="0" w:color="auto"/>
        <w:right w:val="none" w:sz="0" w:space="0" w:color="auto"/>
      </w:divBdr>
    </w:div>
    <w:div w:id="1276255980">
      <w:bodyDiv w:val="1"/>
      <w:marLeft w:val="0"/>
      <w:marRight w:val="0"/>
      <w:marTop w:val="0"/>
      <w:marBottom w:val="0"/>
      <w:divBdr>
        <w:top w:val="none" w:sz="0" w:space="0" w:color="auto"/>
        <w:left w:val="none" w:sz="0" w:space="0" w:color="auto"/>
        <w:bottom w:val="none" w:sz="0" w:space="0" w:color="auto"/>
        <w:right w:val="none" w:sz="0" w:space="0" w:color="auto"/>
      </w:divBdr>
    </w:div>
    <w:div w:id="1276401235">
      <w:bodyDiv w:val="1"/>
      <w:marLeft w:val="0"/>
      <w:marRight w:val="0"/>
      <w:marTop w:val="0"/>
      <w:marBottom w:val="0"/>
      <w:divBdr>
        <w:top w:val="none" w:sz="0" w:space="0" w:color="auto"/>
        <w:left w:val="none" w:sz="0" w:space="0" w:color="auto"/>
        <w:bottom w:val="none" w:sz="0" w:space="0" w:color="auto"/>
        <w:right w:val="none" w:sz="0" w:space="0" w:color="auto"/>
      </w:divBdr>
    </w:div>
    <w:div w:id="1276595163">
      <w:bodyDiv w:val="1"/>
      <w:marLeft w:val="0"/>
      <w:marRight w:val="0"/>
      <w:marTop w:val="0"/>
      <w:marBottom w:val="0"/>
      <w:divBdr>
        <w:top w:val="none" w:sz="0" w:space="0" w:color="auto"/>
        <w:left w:val="none" w:sz="0" w:space="0" w:color="auto"/>
        <w:bottom w:val="none" w:sz="0" w:space="0" w:color="auto"/>
        <w:right w:val="none" w:sz="0" w:space="0" w:color="auto"/>
      </w:divBdr>
    </w:div>
    <w:div w:id="1277559763">
      <w:bodyDiv w:val="1"/>
      <w:marLeft w:val="0"/>
      <w:marRight w:val="0"/>
      <w:marTop w:val="0"/>
      <w:marBottom w:val="0"/>
      <w:divBdr>
        <w:top w:val="none" w:sz="0" w:space="0" w:color="auto"/>
        <w:left w:val="none" w:sz="0" w:space="0" w:color="auto"/>
        <w:bottom w:val="none" w:sz="0" w:space="0" w:color="auto"/>
        <w:right w:val="none" w:sz="0" w:space="0" w:color="auto"/>
      </w:divBdr>
    </w:div>
    <w:div w:id="1278021875">
      <w:bodyDiv w:val="1"/>
      <w:marLeft w:val="0"/>
      <w:marRight w:val="0"/>
      <w:marTop w:val="0"/>
      <w:marBottom w:val="0"/>
      <w:divBdr>
        <w:top w:val="none" w:sz="0" w:space="0" w:color="auto"/>
        <w:left w:val="none" w:sz="0" w:space="0" w:color="auto"/>
        <w:bottom w:val="none" w:sz="0" w:space="0" w:color="auto"/>
        <w:right w:val="none" w:sz="0" w:space="0" w:color="auto"/>
      </w:divBdr>
    </w:div>
    <w:div w:id="1278096704">
      <w:bodyDiv w:val="1"/>
      <w:marLeft w:val="0"/>
      <w:marRight w:val="0"/>
      <w:marTop w:val="0"/>
      <w:marBottom w:val="0"/>
      <w:divBdr>
        <w:top w:val="none" w:sz="0" w:space="0" w:color="auto"/>
        <w:left w:val="none" w:sz="0" w:space="0" w:color="auto"/>
        <w:bottom w:val="none" w:sz="0" w:space="0" w:color="auto"/>
        <w:right w:val="none" w:sz="0" w:space="0" w:color="auto"/>
      </w:divBdr>
    </w:div>
    <w:div w:id="1278296407">
      <w:bodyDiv w:val="1"/>
      <w:marLeft w:val="0"/>
      <w:marRight w:val="0"/>
      <w:marTop w:val="0"/>
      <w:marBottom w:val="0"/>
      <w:divBdr>
        <w:top w:val="none" w:sz="0" w:space="0" w:color="auto"/>
        <w:left w:val="none" w:sz="0" w:space="0" w:color="auto"/>
        <w:bottom w:val="none" w:sz="0" w:space="0" w:color="auto"/>
        <w:right w:val="none" w:sz="0" w:space="0" w:color="auto"/>
      </w:divBdr>
    </w:div>
    <w:div w:id="1278564211">
      <w:bodyDiv w:val="1"/>
      <w:marLeft w:val="0"/>
      <w:marRight w:val="0"/>
      <w:marTop w:val="0"/>
      <w:marBottom w:val="0"/>
      <w:divBdr>
        <w:top w:val="none" w:sz="0" w:space="0" w:color="auto"/>
        <w:left w:val="none" w:sz="0" w:space="0" w:color="auto"/>
        <w:bottom w:val="none" w:sz="0" w:space="0" w:color="auto"/>
        <w:right w:val="none" w:sz="0" w:space="0" w:color="auto"/>
      </w:divBdr>
    </w:div>
    <w:div w:id="1278870546">
      <w:bodyDiv w:val="1"/>
      <w:marLeft w:val="0"/>
      <w:marRight w:val="0"/>
      <w:marTop w:val="0"/>
      <w:marBottom w:val="0"/>
      <w:divBdr>
        <w:top w:val="none" w:sz="0" w:space="0" w:color="auto"/>
        <w:left w:val="none" w:sz="0" w:space="0" w:color="auto"/>
        <w:bottom w:val="none" w:sz="0" w:space="0" w:color="auto"/>
        <w:right w:val="none" w:sz="0" w:space="0" w:color="auto"/>
      </w:divBdr>
    </w:div>
    <w:div w:id="1279067824">
      <w:bodyDiv w:val="1"/>
      <w:marLeft w:val="0"/>
      <w:marRight w:val="0"/>
      <w:marTop w:val="0"/>
      <w:marBottom w:val="0"/>
      <w:divBdr>
        <w:top w:val="none" w:sz="0" w:space="0" w:color="auto"/>
        <w:left w:val="none" w:sz="0" w:space="0" w:color="auto"/>
        <w:bottom w:val="none" w:sz="0" w:space="0" w:color="auto"/>
        <w:right w:val="none" w:sz="0" w:space="0" w:color="auto"/>
      </w:divBdr>
    </w:div>
    <w:div w:id="1279139076">
      <w:bodyDiv w:val="1"/>
      <w:marLeft w:val="0"/>
      <w:marRight w:val="0"/>
      <w:marTop w:val="0"/>
      <w:marBottom w:val="0"/>
      <w:divBdr>
        <w:top w:val="none" w:sz="0" w:space="0" w:color="auto"/>
        <w:left w:val="none" w:sz="0" w:space="0" w:color="auto"/>
        <w:bottom w:val="none" w:sz="0" w:space="0" w:color="auto"/>
        <w:right w:val="none" w:sz="0" w:space="0" w:color="auto"/>
      </w:divBdr>
    </w:div>
    <w:div w:id="1280799007">
      <w:bodyDiv w:val="1"/>
      <w:marLeft w:val="0"/>
      <w:marRight w:val="0"/>
      <w:marTop w:val="0"/>
      <w:marBottom w:val="0"/>
      <w:divBdr>
        <w:top w:val="none" w:sz="0" w:space="0" w:color="auto"/>
        <w:left w:val="none" w:sz="0" w:space="0" w:color="auto"/>
        <w:bottom w:val="none" w:sz="0" w:space="0" w:color="auto"/>
        <w:right w:val="none" w:sz="0" w:space="0" w:color="auto"/>
      </w:divBdr>
    </w:div>
    <w:div w:id="1281372588">
      <w:bodyDiv w:val="1"/>
      <w:marLeft w:val="0"/>
      <w:marRight w:val="0"/>
      <w:marTop w:val="0"/>
      <w:marBottom w:val="0"/>
      <w:divBdr>
        <w:top w:val="none" w:sz="0" w:space="0" w:color="auto"/>
        <w:left w:val="none" w:sz="0" w:space="0" w:color="auto"/>
        <w:bottom w:val="none" w:sz="0" w:space="0" w:color="auto"/>
        <w:right w:val="none" w:sz="0" w:space="0" w:color="auto"/>
      </w:divBdr>
    </w:div>
    <w:div w:id="1282416027">
      <w:bodyDiv w:val="1"/>
      <w:marLeft w:val="0"/>
      <w:marRight w:val="0"/>
      <w:marTop w:val="0"/>
      <w:marBottom w:val="0"/>
      <w:divBdr>
        <w:top w:val="none" w:sz="0" w:space="0" w:color="auto"/>
        <w:left w:val="none" w:sz="0" w:space="0" w:color="auto"/>
        <w:bottom w:val="none" w:sz="0" w:space="0" w:color="auto"/>
        <w:right w:val="none" w:sz="0" w:space="0" w:color="auto"/>
      </w:divBdr>
    </w:div>
    <w:div w:id="1282766920">
      <w:bodyDiv w:val="1"/>
      <w:marLeft w:val="0"/>
      <w:marRight w:val="0"/>
      <w:marTop w:val="0"/>
      <w:marBottom w:val="0"/>
      <w:divBdr>
        <w:top w:val="none" w:sz="0" w:space="0" w:color="auto"/>
        <w:left w:val="none" w:sz="0" w:space="0" w:color="auto"/>
        <w:bottom w:val="none" w:sz="0" w:space="0" w:color="auto"/>
        <w:right w:val="none" w:sz="0" w:space="0" w:color="auto"/>
      </w:divBdr>
    </w:div>
    <w:div w:id="1283221467">
      <w:bodyDiv w:val="1"/>
      <w:marLeft w:val="0"/>
      <w:marRight w:val="0"/>
      <w:marTop w:val="0"/>
      <w:marBottom w:val="0"/>
      <w:divBdr>
        <w:top w:val="none" w:sz="0" w:space="0" w:color="auto"/>
        <w:left w:val="none" w:sz="0" w:space="0" w:color="auto"/>
        <w:bottom w:val="none" w:sz="0" w:space="0" w:color="auto"/>
        <w:right w:val="none" w:sz="0" w:space="0" w:color="auto"/>
      </w:divBdr>
    </w:div>
    <w:div w:id="1283340677">
      <w:bodyDiv w:val="1"/>
      <w:marLeft w:val="0"/>
      <w:marRight w:val="0"/>
      <w:marTop w:val="0"/>
      <w:marBottom w:val="0"/>
      <w:divBdr>
        <w:top w:val="none" w:sz="0" w:space="0" w:color="auto"/>
        <w:left w:val="none" w:sz="0" w:space="0" w:color="auto"/>
        <w:bottom w:val="none" w:sz="0" w:space="0" w:color="auto"/>
        <w:right w:val="none" w:sz="0" w:space="0" w:color="auto"/>
      </w:divBdr>
    </w:div>
    <w:div w:id="1283458460">
      <w:bodyDiv w:val="1"/>
      <w:marLeft w:val="0"/>
      <w:marRight w:val="0"/>
      <w:marTop w:val="0"/>
      <w:marBottom w:val="0"/>
      <w:divBdr>
        <w:top w:val="none" w:sz="0" w:space="0" w:color="auto"/>
        <w:left w:val="none" w:sz="0" w:space="0" w:color="auto"/>
        <w:bottom w:val="none" w:sz="0" w:space="0" w:color="auto"/>
        <w:right w:val="none" w:sz="0" w:space="0" w:color="auto"/>
      </w:divBdr>
    </w:div>
    <w:div w:id="1284657230">
      <w:bodyDiv w:val="1"/>
      <w:marLeft w:val="0"/>
      <w:marRight w:val="0"/>
      <w:marTop w:val="0"/>
      <w:marBottom w:val="0"/>
      <w:divBdr>
        <w:top w:val="none" w:sz="0" w:space="0" w:color="auto"/>
        <w:left w:val="none" w:sz="0" w:space="0" w:color="auto"/>
        <w:bottom w:val="none" w:sz="0" w:space="0" w:color="auto"/>
        <w:right w:val="none" w:sz="0" w:space="0" w:color="auto"/>
      </w:divBdr>
    </w:div>
    <w:div w:id="1285113216">
      <w:bodyDiv w:val="1"/>
      <w:marLeft w:val="0"/>
      <w:marRight w:val="0"/>
      <w:marTop w:val="0"/>
      <w:marBottom w:val="0"/>
      <w:divBdr>
        <w:top w:val="none" w:sz="0" w:space="0" w:color="auto"/>
        <w:left w:val="none" w:sz="0" w:space="0" w:color="auto"/>
        <w:bottom w:val="none" w:sz="0" w:space="0" w:color="auto"/>
        <w:right w:val="none" w:sz="0" w:space="0" w:color="auto"/>
      </w:divBdr>
    </w:div>
    <w:div w:id="1286543571">
      <w:bodyDiv w:val="1"/>
      <w:marLeft w:val="0"/>
      <w:marRight w:val="0"/>
      <w:marTop w:val="0"/>
      <w:marBottom w:val="0"/>
      <w:divBdr>
        <w:top w:val="none" w:sz="0" w:space="0" w:color="auto"/>
        <w:left w:val="none" w:sz="0" w:space="0" w:color="auto"/>
        <w:bottom w:val="none" w:sz="0" w:space="0" w:color="auto"/>
        <w:right w:val="none" w:sz="0" w:space="0" w:color="auto"/>
      </w:divBdr>
    </w:div>
    <w:div w:id="1286892951">
      <w:bodyDiv w:val="1"/>
      <w:marLeft w:val="0"/>
      <w:marRight w:val="0"/>
      <w:marTop w:val="0"/>
      <w:marBottom w:val="0"/>
      <w:divBdr>
        <w:top w:val="none" w:sz="0" w:space="0" w:color="auto"/>
        <w:left w:val="none" w:sz="0" w:space="0" w:color="auto"/>
        <w:bottom w:val="none" w:sz="0" w:space="0" w:color="auto"/>
        <w:right w:val="none" w:sz="0" w:space="0" w:color="auto"/>
      </w:divBdr>
    </w:div>
    <w:div w:id="1287279405">
      <w:bodyDiv w:val="1"/>
      <w:marLeft w:val="0"/>
      <w:marRight w:val="0"/>
      <w:marTop w:val="0"/>
      <w:marBottom w:val="0"/>
      <w:divBdr>
        <w:top w:val="none" w:sz="0" w:space="0" w:color="auto"/>
        <w:left w:val="none" w:sz="0" w:space="0" w:color="auto"/>
        <w:bottom w:val="none" w:sz="0" w:space="0" w:color="auto"/>
        <w:right w:val="none" w:sz="0" w:space="0" w:color="auto"/>
      </w:divBdr>
    </w:div>
    <w:div w:id="1287350612">
      <w:bodyDiv w:val="1"/>
      <w:marLeft w:val="0"/>
      <w:marRight w:val="0"/>
      <w:marTop w:val="0"/>
      <w:marBottom w:val="0"/>
      <w:divBdr>
        <w:top w:val="none" w:sz="0" w:space="0" w:color="auto"/>
        <w:left w:val="none" w:sz="0" w:space="0" w:color="auto"/>
        <w:bottom w:val="none" w:sz="0" w:space="0" w:color="auto"/>
        <w:right w:val="none" w:sz="0" w:space="0" w:color="auto"/>
      </w:divBdr>
    </w:div>
    <w:div w:id="1288855641">
      <w:bodyDiv w:val="1"/>
      <w:marLeft w:val="0"/>
      <w:marRight w:val="0"/>
      <w:marTop w:val="0"/>
      <w:marBottom w:val="0"/>
      <w:divBdr>
        <w:top w:val="none" w:sz="0" w:space="0" w:color="auto"/>
        <w:left w:val="none" w:sz="0" w:space="0" w:color="auto"/>
        <w:bottom w:val="none" w:sz="0" w:space="0" w:color="auto"/>
        <w:right w:val="none" w:sz="0" w:space="0" w:color="auto"/>
      </w:divBdr>
    </w:div>
    <w:div w:id="1289320529">
      <w:bodyDiv w:val="1"/>
      <w:marLeft w:val="0"/>
      <w:marRight w:val="0"/>
      <w:marTop w:val="0"/>
      <w:marBottom w:val="0"/>
      <w:divBdr>
        <w:top w:val="none" w:sz="0" w:space="0" w:color="auto"/>
        <w:left w:val="none" w:sz="0" w:space="0" w:color="auto"/>
        <w:bottom w:val="none" w:sz="0" w:space="0" w:color="auto"/>
        <w:right w:val="none" w:sz="0" w:space="0" w:color="auto"/>
      </w:divBdr>
    </w:div>
    <w:div w:id="1289896536">
      <w:bodyDiv w:val="1"/>
      <w:marLeft w:val="0"/>
      <w:marRight w:val="0"/>
      <w:marTop w:val="0"/>
      <w:marBottom w:val="0"/>
      <w:divBdr>
        <w:top w:val="none" w:sz="0" w:space="0" w:color="auto"/>
        <w:left w:val="none" w:sz="0" w:space="0" w:color="auto"/>
        <w:bottom w:val="none" w:sz="0" w:space="0" w:color="auto"/>
        <w:right w:val="none" w:sz="0" w:space="0" w:color="auto"/>
      </w:divBdr>
    </w:div>
    <w:div w:id="1290090332">
      <w:bodyDiv w:val="1"/>
      <w:marLeft w:val="0"/>
      <w:marRight w:val="0"/>
      <w:marTop w:val="0"/>
      <w:marBottom w:val="0"/>
      <w:divBdr>
        <w:top w:val="none" w:sz="0" w:space="0" w:color="auto"/>
        <w:left w:val="none" w:sz="0" w:space="0" w:color="auto"/>
        <w:bottom w:val="none" w:sz="0" w:space="0" w:color="auto"/>
        <w:right w:val="none" w:sz="0" w:space="0" w:color="auto"/>
      </w:divBdr>
    </w:div>
    <w:div w:id="1290357327">
      <w:bodyDiv w:val="1"/>
      <w:marLeft w:val="0"/>
      <w:marRight w:val="0"/>
      <w:marTop w:val="0"/>
      <w:marBottom w:val="0"/>
      <w:divBdr>
        <w:top w:val="none" w:sz="0" w:space="0" w:color="auto"/>
        <w:left w:val="none" w:sz="0" w:space="0" w:color="auto"/>
        <w:bottom w:val="none" w:sz="0" w:space="0" w:color="auto"/>
        <w:right w:val="none" w:sz="0" w:space="0" w:color="auto"/>
      </w:divBdr>
    </w:div>
    <w:div w:id="1290360279">
      <w:bodyDiv w:val="1"/>
      <w:marLeft w:val="0"/>
      <w:marRight w:val="0"/>
      <w:marTop w:val="0"/>
      <w:marBottom w:val="0"/>
      <w:divBdr>
        <w:top w:val="none" w:sz="0" w:space="0" w:color="auto"/>
        <w:left w:val="none" w:sz="0" w:space="0" w:color="auto"/>
        <w:bottom w:val="none" w:sz="0" w:space="0" w:color="auto"/>
        <w:right w:val="none" w:sz="0" w:space="0" w:color="auto"/>
      </w:divBdr>
    </w:div>
    <w:div w:id="1290552480">
      <w:bodyDiv w:val="1"/>
      <w:marLeft w:val="0"/>
      <w:marRight w:val="0"/>
      <w:marTop w:val="0"/>
      <w:marBottom w:val="0"/>
      <w:divBdr>
        <w:top w:val="none" w:sz="0" w:space="0" w:color="auto"/>
        <w:left w:val="none" w:sz="0" w:space="0" w:color="auto"/>
        <w:bottom w:val="none" w:sz="0" w:space="0" w:color="auto"/>
        <w:right w:val="none" w:sz="0" w:space="0" w:color="auto"/>
      </w:divBdr>
    </w:div>
    <w:div w:id="1292055067">
      <w:bodyDiv w:val="1"/>
      <w:marLeft w:val="0"/>
      <w:marRight w:val="0"/>
      <w:marTop w:val="0"/>
      <w:marBottom w:val="0"/>
      <w:divBdr>
        <w:top w:val="none" w:sz="0" w:space="0" w:color="auto"/>
        <w:left w:val="none" w:sz="0" w:space="0" w:color="auto"/>
        <w:bottom w:val="none" w:sz="0" w:space="0" w:color="auto"/>
        <w:right w:val="none" w:sz="0" w:space="0" w:color="auto"/>
      </w:divBdr>
    </w:div>
    <w:div w:id="1293514244">
      <w:bodyDiv w:val="1"/>
      <w:marLeft w:val="0"/>
      <w:marRight w:val="0"/>
      <w:marTop w:val="0"/>
      <w:marBottom w:val="0"/>
      <w:divBdr>
        <w:top w:val="none" w:sz="0" w:space="0" w:color="auto"/>
        <w:left w:val="none" w:sz="0" w:space="0" w:color="auto"/>
        <w:bottom w:val="none" w:sz="0" w:space="0" w:color="auto"/>
        <w:right w:val="none" w:sz="0" w:space="0" w:color="auto"/>
      </w:divBdr>
    </w:div>
    <w:div w:id="1294561639">
      <w:bodyDiv w:val="1"/>
      <w:marLeft w:val="0"/>
      <w:marRight w:val="0"/>
      <w:marTop w:val="0"/>
      <w:marBottom w:val="0"/>
      <w:divBdr>
        <w:top w:val="none" w:sz="0" w:space="0" w:color="auto"/>
        <w:left w:val="none" w:sz="0" w:space="0" w:color="auto"/>
        <w:bottom w:val="none" w:sz="0" w:space="0" w:color="auto"/>
        <w:right w:val="none" w:sz="0" w:space="0" w:color="auto"/>
      </w:divBdr>
    </w:div>
    <w:div w:id="1295453615">
      <w:bodyDiv w:val="1"/>
      <w:marLeft w:val="0"/>
      <w:marRight w:val="0"/>
      <w:marTop w:val="0"/>
      <w:marBottom w:val="0"/>
      <w:divBdr>
        <w:top w:val="none" w:sz="0" w:space="0" w:color="auto"/>
        <w:left w:val="none" w:sz="0" w:space="0" w:color="auto"/>
        <w:bottom w:val="none" w:sz="0" w:space="0" w:color="auto"/>
        <w:right w:val="none" w:sz="0" w:space="0" w:color="auto"/>
      </w:divBdr>
    </w:div>
    <w:div w:id="1295721633">
      <w:bodyDiv w:val="1"/>
      <w:marLeft w:val="0"/>
      <w:marRight w:val="0"/>
      <w:marTop w:val="0"/>
      <w:marBottom w:val="0"/>
      <w:divBdr>
        <w:top w:val="none" w:sz="0" w:space="0" w:color="auto"/>
        <w:left w:val="none" w:sz="0" w:space="0" w:color="auto"/>
        <w:bottom w:val="none" w:sz="0" w:space="0" w:color="auto"/>
        <w:right w:val="none" w:sz="0" w:space="0" w:color="auto"/>
      </w:divBdr>
    </w:div>
    <w:div w:id="1295795787">
      <w:bodyDiv w:val="1"/>
      <w:marLeft w:val="0"/>
      <w:marRight w:val="0"/>
      <w:marTop w:val="0"/>
      <w:marBottom w:val="0"/>
      <w:divBdr>
        <w:top w:val="none" w:sz="0" w:space="0" w:color="auto"/>
        <w:left w:val="none" w:sz="0" w:space="0" w:color="auto"/>
        <w:bottom w:val="none" w:sz="0" w:space="0" w:color="auto"/>
        <w:right w:val="none" w:sz="0" w:space="0" w:color="auto"/>
      </w:divBdr>
    </w:div>
    <w:div w:id="1296913096">
      <w:bodyDiv w:val="1"/>
      <w:marLeft w:val="0"/>
      <w:marRight w:val="0"/>
      <w:marTop w:val="0"/>
      <w:marBottom w:val="0"/>
      <w:divBdr>
        <w:top w:val="none" w:sz="0" w:space="0" w:color="auto"/>
        <w:left w:val="none" w:sz="0" w:space="0" w:color="auto"/>
        <w:bottom w:val="none" w:sz="0" w:space="0" w:color="auto"/>
        <w:right w:val="none" w:sz="0" w:space="0" w:color="auto"/>
      </w:divBdr>
    </w:div>
    <w:div w:id="1296981155">
      <w:bodyDiv w:val="1"/>
      <w:marLeft w:val="0"/>
      <w:marRight w:val="0"/>
      <w:marTop w:val="0"/>
      <w:marBottom w:val="0"/>
      <w:divBdr>
        <w:top w:val="none" w:sz="0" w:space="0" w:color="auto"/>
        <w:left w:val="none" w:sz="0" w:space="0" w:color="auto"/>
        <w:bottom w:val="none" w:sz="0" w:space="0" w:color="auto"/>
        <w:right w:val="none" w:sz="0" w:space="0" w:color="auto"/>
      </w:divBdr>
    </w:div>
    <w:div w:id="1297642983">
      <w:bodyDiv w:val="1"/>
      <w:marLeft w:val="0"/>
      <w:marRight w:val="0"/>
      <w:marTop w:val="0"/>
      <w:marBottom w:val="0"/>
      <w:divBdr>
        <w:top w:val="none" w:sz="0" w:space="0" w:color="auto"/>
        <w:left w:val="none" w:sz="0" w:space="0" w:color="auto"/>
        <w:bottom w:val="none" w:sz="0" w:space="0" w:color="auto"/>
        <w:right w:val="none" w:sz="0" w:space="0" w:color="auto"/>
      </w:divBdr>
    </w:div>
    <w:div w:id="1297680613">
      <w:bodyDiv w:val="1"/>
      <w:marLeft w:val="0"/>
      <w:marRight w:val="0"/>
      <w:marTop w:val="0"/>
      <w:marBottom w:val="0"/>
      <w:divBdr>
        <w:top w:val="none" w:sz="0" w:space="0" w:color="auto"/>
        <w:left w:val="none" w:sz="0" w:space="0" w:color="auto"/>
        <w:bottom w:val="none" w:sz="0" w:space="0" w:color="auto"/>
        <w:right w:val="none" w:sz="0" w:space="0" w:color="auto"/>
      </w:divBdr>
    </w:div>
    <w:div w:id="1298801342">
      <w:bodyDiv w:val="1"/>
      <w:marLeft w:val="0"/>
      <w:marRight w:val="0"/>
      <w:marTop w:val="0"/>
      <w:marBottom w:val="0"/>
      <w:divBdr>
        <w:top w:val="none" w:sz="0" w:space="0" w:color="auto"/>
        <w:left w:val="none" w:sz="0" w:space="0" w:color="auto"/>
        <w:bottom w:val="none" w:sz="0" w:space="0" w:color="auto"/>
        <w:right w:val="none" w:sz="0" w:space="0" w:color="auto"/>
      </w:divBdr>
    </w:div>
    <w:div w:id="1299338299">
      <w:bodyDiv w:val="1"/>
      <w:marLeft w:val="0"/>
      <w:marRight w:val="0"/>
      <w:marTop w:val="0"/>
      <w:marBottom w:val="0"/>
      <w:divBdr>
        <w:top w:val="none" w:sz="0" w:space="0" w:color="auto"/>
        <w:left w:val="none" w:sz="0" w:space="0" w:color="auto"/>
        <w:bottom w:val="none" w:sz="0" w:space="0" w:color="auto"/>
        <w:right w:val="none" w:sz="0" w:space="0" w:color="auto"/>
      </w:divBdr>
    </w:div>
    <w:div w:id="1301181449">
      <w:bodyDiv w:val="1"/>
      <w:marLeft w:val="0"/>
      <w:marRight w:val="0"/>
      <w:marTop w:val="0"/>
      <w:marBottom w:val="0"/>
      <w:divBdr>
        <w:top w:val="none" w:sz="0" w:space="0" w:color="auto"/>
        <w:left w:val="none" w:sz="0" w:space="0" w:color="auto"/>
        <w:bottom w:val="none" w:sz="0" w:space="0" w:color="auto"/>
        <w:right w:val="none" w:sz="0" w:space="0" w:color="auto"/>
      </w:divBdr>
    </w:div>
    <w:div w:id="1301810008">
      <w:bodyDiv w:val="1"/>
      <w:marLeft w:val="0"/>
      <w:marRight w:val="0"/>
      <w:marTop w:val="0"/>
      <w:marBottom w:val="0"/>
      <w:divBdr>
        <w:top w:val="none" w:sz="0" w:space="0" w:color="auto"/>
        <w:left w:val="none" w:sz="0" w:space="0" w:color="auto"/>
        <w:bottom w:val="none" w:sz="0" w:space="0" w:color="auto"/>
        <w:right w:val="none" w:sz="0" w:space="0" w:color="auto"/>
      </w:divBdr>
    </w:div>
    <w:div w:id="1303149038">
      <w:bodyDiv w:val="1"/>
      <w:marLeft w:val="0"/>
      <w:marRight w:val="0"/>
      <w:marTop w:val="0"/>
      <w:marBottom w:val="0"/>
      <w:divBdr>
        <w:top w:val="none" w:sz="0" w:space="0" w:color="auto"/>
        <w:left w:val="none" w:sz="0" w:space="0" w:color="auto"/>
        <w:bottom w:val="none" w:sz="0" w:space="0" w:color="auto"/>
        <w:right w:val="none" w:sz="0" w:space="0" w:color="auto"/>
      </w:divBdr>
    </w:div>
    <w:div w:id="1303658912">
      <w:bodyDiv w:val="1"/>
      <w:marLeft w:val="0"/>
      <w:marRight w:val="0"/>
      <w:marTop w:val="0"/>
      <w:marBottom w:val="0"/>
      <w:divBdr>
        <w:top w:val="none" w:sz="0" w:space="0" w:color="auto"/>
        <w:left w:val="none" w:sz="0" w:space="0" w:color="auto"/>
        <w:bottom w:val="none" w:sz="0" w:space="0" w:color="auto"/>
        <w:right w:val="none" w:sz="0" w:space="0" w:color="auto"/>
      </w:divBdr>
    </w:div>
    <w:div w:id="1303853651">
      <w:bodyDiv w:val="1"/>
      <w:marLeft w:val="0"/>
      <w:marRight w:val="0"/>
      <w:marTop w:val="0"/>
      <w:marBottom w:val="0"/>
      <w:divBdr>
        <w:top w:val="none" w:sz="0" w:space="0" w:color="auto"/>
        <w:left w:val="none" w:sz="0" w:space="0" w:color="auto"/>
        <w:bottom w:val="none" w:sz="0" w:space="0" w:color="auto"/>
        <w:right w:val="none" w:sz="0" w:space="0" w:color="auto"/>
      </w:divBdr>
    </w:div>
    <w:div w:id="1304433280">
      <w:bodyDiv w:val="1"/>
      <w:marLeft w:val="0"/>
      <w:marRight w:val="0"/>
      <w:marTop w:val="0"/>
      <w:marBottom w:val="0"/>
      <w:divBdr>
        <w:top w:val="none" w:sz="0" w:space="0" w:color="auto"/>
        <w:left w:val="none" w:sz="0" w:space="0" w:color="auto"/>
        <w:bottom w:val="none" w:sz="0" w:space="0" w:color="auto"/>
        <w:right w:val="none" w:sz="0" w:space="0" w:color="auto"/>
      </w:divBdr>
    </w:div>
    <w:div w:id="1304578442">
      <w:bodyDiv w:val="1"/>
      <w:marLeft w:val="0"/>
      <w:marRight w:val="0"/>
      <w:marTop w:val="0"/>
      <w:marBottom w:val="0"/>
      <w:divBdr>
        <w:top w:val="none" w:sz="0" w:space="0" w:color="auto"/>
        <w:left w:val="none" w:sz="0" w:space="0" w:color="auto"/>
        <w:bottom w:val="none" w:sz="0" w:space="0" w:color="auto"/>
        <w:right w:val="none" w:sz="0" w:space="0" w:color="auto"/>
      </w:divBdr>
    </w:div>
    <w:div w:id="1305544815">
      <w:bodyDiv w:val="1"/>
      <w:marLeft w:val="0"/>
      <w:marRight w:val="0"/>
      <w:marTop w:val="0"/>
      <w:marBottom w:val="0"/>
      <w:divBdr>
        <w:top w:val="none" w:sz="0" w:space="0" w:color="auto"/>
        <w:left w:val="none" w:sz="0" w:space="0" w:color="auto"/>
        <w:bottom w:val="none" w:sz="0" w:space="0" w:color="auto"/>
        <w:right w:val="none" w:sz="0" w:space="0" w:color="auto"/>
      </w:divBdr>
    </w:div>
    <w:div w:id="1307776671">
      <w:bodyDiv w:val="1"/>
      <w:marLeft w:val="0"/>
      <w:marRight w:val="0"/>
      <w:marTop w:val="0"/>
      <w:marBottom w:val="0"/>
      <w:divBdr>
        <w:top w:val="none" w:sz="0" w:space="0" w:color="auto"/>
        <w:left w:val="none" w:sz="0" w:space="0" w:color="auto"/>
        <w:bottom w:val="none" w:sz="0" w:space="0" w:color="auto"/>
        <w:right w:val="none" w:sz="0" w:space="0" w:color="auto"/>
      </w:divBdr>
    </w:div>
    <w:div w:id="1309289348">
      <w:bodyDiv w:val="1"/>
      <w:marLeft w:val="0"/>
      <w:marRight w:val="0"/>
      <w:marTop w:val="0"/>
      <w:marBottom w:val="0"/>
      <w:divBdr>
        <w:top w:val="none" w:sz="0" w:space="0" w:color="auto"/>
        <w:left w:val="none" w:sz="0" w:space="0" w:color="auto"/>
        <w:bottom w:val="none" w:sz="0" w:space="0" w:color="auto"/>
        <w:right w:val="none" w:sz="0" w:space="0" w:color="auto"/>
      </w:divBdr>
    </w:div>
    <w:div w:id="1310405547">
      <w:bodyDiv w:val="1"/>
      <w:marLeft w:val="0"/>
      <w:marRight w:val="0"/>
      <w:marTop w:val="0"/>
      <w:marBottom w:val="0"/>
      <w:divBdr>
        <w:top w:val="none" w:sz="0" w:space="0" w:color="auto"/>
        <w:left w:val="none" w:sz="0" w:space="0" w:color="auto"/>
        <w:bottom w:val="none" w:sz="0" w:space="0" w:color="auto"/>
        <w:right w:val="none" w:sz="0" w:space="0" w:color="auto"/>
      </w:divBdr>
    </w:div>
    <w:div w:id="1311522124">
      <w:bodyDiv w:val="1"/>
      <w:marLeft w:val="0"/>
      <w:marRight w:val="0"/>
      <w:marTop w:val="0"/>
      <w:marBottom w:val="0"/>
      <w:divBdr>
        <w:top w:val="none" w:sz="0" w:space="0" w:color="auto"/>
        <w:left w:val="none" w:sz="0" w:space="0" w:color="auto"/>
        <w:bottom w:val="none" w:sz="0" w:space="0" w:color="auto"/>
        <w:right w:val="none" w:sz="0" w:space="0" w:color="auto"/>
      </w:divBdr>
    </w:div>
    <w:div w:id="1312757958">
      <w:bodyDiv w:val="1"/>
      <w:marLeft w:val="0"/>
      <w:marRight w:val="0"/>
      <w:marTop w:val="0"/>
      <w:marBottom w:val="0"/>
      <w:divBdr>
        <w:top w:val="none" w:sz="0" w:space="0" w:color="auto"/>
        <w:left w:val="none" w:sz="0" w:space="0" w:color="auto"/>
        <w:bottom w:val="none" w:sz="0" w:space="0" w:color="auto"/>
        <w:right w:val="none" w:sz="0" w:space="0" w:color="auto"/>
      </w:divBdr>
    </w:div>
    <w:div w:id="1312909072">
      <w:bodyDiv w:val="1"/>
      <w:marLeft w:val="0"/>
      <w:marRight w:val="0"/>
      <w:marTop w:val="0"/>
      <w:marBottom w:val="0"/>
      <w:divBdr>
        <w:top w:val="none" w:sz="0" w:space="0" w:color="auto"/>
        <w:left w:val="none" w:sz="0" w:space="0" w:color="auto"/>
        <w:bottom w:val="none" w:sz="0" w:space="0" w:color="auto"/>
        <w:right w:val="none" w:sz="0" w:space="0" w:color="auto"/>
      </w:divBdr>
    </w:div>
    <w:div w:id="1314674667">
      <w:bodyDiv w:val="1"/>
      <w:marLeft w:val="0"/>
      <w:marRight w:val="0"/>
      <w:marTop w:val="0"/>
      <w:marBottom w:val="0"/>
      <w:divBdr>
        <w:top w:val="none" w:sz="0" w:space="0" w:color="auto"/>
        <w:left w:val="none" w:sz="0" w:space="0" w:color="auto"/>
        <w:bottom w:val="none" w:sz="0" w:space="0" w:color="auto"/>
        <w:right w:val="none" w:sz="0" w:space="0" w:color="auto"/>
      </w:divBdr>
    </w:div>
    <w:div w:id="1314870423">
      <w:bodyDiv w:val="1"/>
      <w:marLeft w:val="0"/>
      <w:marRight w:val="0"/>
      <w:marTop w:val="0"/>
      <w:marBottom w:val="0"/>
      <w:divBdr>
        <w:top w:val="none" w:sz="0" w:space="0" w:color="auto"/>
        <w:left w:val="none" w:sz="0" w:space="0" w:color="auto"/>
        <w:bottom w:val="none" w:sz="0" w:space="0" w:color="auto"/>
        <w:right w:val="none" w:sz="0" w:space="0" w:color="auto"/>
      </w:divBdr>
    </w:div>
    <w:div w:id="1315528189">
      <w:bodyDiv w:val="1"/>
      <w:marLeft w:val="0"/>
      <w:marRight w:val="0"/>
      <w:marTop w:val="0"/>
      <w:marBottom w:val="0"/>
      <w:divBdr>
        <w:top w:val="none" w:sz="0" w:space="0" w:color="auto"/>
        <w:left w:val="none" w:sz="0" w:space="0" w:color="auto"/>
        <w:bottom w:val="none" w:sz="0" w:space="0" w:color="auto"/>
        <w:right w:val="none" w:sz="0" w:space="0" w:color="auto"/>
      </w:divBdr>
    </w:div>
    <w:div w:id="1316181152">
      <w:bodyDiv w:val="1"/>
      <w:marLeft w:val="0"/>
      <w:marRight w:val="0"/>
      <w:marTop w:val="0"/>
      <w:marBottom w:val="0"/>
      <w:divBdr>
        <w:top w:val="none" w:sz="0" w:space="0" w:color="auto"/>
        <w:left w:val="none" w:sz="0" w:space="0" w:color="auto"/>
        <w:bottom w:val="none" w:sz="0" w:space="0" w:color="auto"/>
        <w:right w:val="none" w:sz="0" w:space="0" w:color="auto"/>
      </w:divBdr>
    </w:div>
    <w:div w:id="1316496884">
      <w:bodyDiv w:val="1"/>
      <w:marLeft w:val="0"/>
      <w:marRight w:val="0"/>
      <w:marTop w:val="0"/>
      <w:marBottom w:val="0"/>
      <w:divBdr>
        <w:top w:val="none" w:sz="0" w:space="0" w:color="auto"/>
        <w:left w:val="none" w:sz="0" w:space="0" w:color="auto"/>
        <w:bottom w:val="none" w:sz="0" w:space="0" w:color="auto"/>
        <w:right w:val="none" w:sz="0" w:space="0" w:color="auto"/>
      </w:divBdr>
    </w:div>
    <w:div w:id="1316909338">
      <w:bodyDiv w:val="1"/>
      <w:marLeft w:val="0"/>
      <w:marRight w:val="0"/>
      <w:marTop w:val="0"/>
      <w:marBottom w:val="0"/>
      <w:divBdr>
        <w:top w:val="none" w:sz="0" w:space="0" w:color="auto"/>
        <w:left w:val="none" w:sz="0" w:space="0" w:color="auto"/>
        <w:bottom w:val="none" w:sz="0" w:space="0" w:color="auto"/>
        <w:right w:val="none" w:sz="0" w:space="0" w:color="auto"/>
      </w:divBdr>
    </w:div>
    <w:div w:id="1317296639">
      <w:bodyDiv w:val="1"/>
      <w:marLeft w:val="0"/>
      <w:marRight w:val="0"/>
      <w:marTop w:val="0"/>
      <w:marBottom w:val="0"/>
      <w:divBdr>
        <w:top w:val="none" w:sz="0" w:space="0" w:color="auto"/>
        <w:left w:val="none" w:sz="0" w:space="0" w:color="auto"/>
        <w:bottom w:val="none" w:sz="0" w:space="0" w:color="auto"/>
        <w:right w:val="none" w:sz="0" w:space="0" w:color="auto"/>
      </w:divBdr>
    </w:div>
    <w:div w:id="1317683763">
      <w:bodyDiv w:val="1"/>
      <w:marLeft w:val="0"/>
      <w:marRight w:val="0"/>
      <w:marTop w:val="0"/>
      <w:marBottom w:val="0"/>
      <w:divBdr>
        <w:top w:val="none" w:sz="0" w:space="0" w:color="auto"/>
        <w:left w:val="none" w:sz="0" w:space="0" w:color="auto"/>
        <w:bottom w:val="none" w:sz="0" w:space="0" w:color="auto"/>
        <w:right w:val="none" w:sz="0" w:space="0" w:color="auto"/>
      </w:divBdr>
    </w:div>
    <w:div w:id="1318263763">
      <w:bodyDiv w:val="1"/>
      <w:marLeft w:val="0"/>
      <w:marRight w:val="0"/>
      <w:marTop w:val="0"/>
      <w:marBottom w:val="0"/>
      <w:divBdr>
        <w:top w:val="none" w:sz="0" w:space="0" w:color="auto"/>
        <w:left w:val="none" w:sz="0" w:space="0" w:color="auto"/>
        <w:bottom w:val="none" w:sz="0" w:space="0" w:color="auto"/>
        <w:right w:val="none" w:sz="0" w:space="0" w:color="auto"/>
      </w:divBdr>
    </w:div>
    <w:div w:id="1318655446">
      <w:bodyDiv w:val="1"/>
      <w:marLeft w:val="0"/>
      <w:marRight w:val="0"/>
      <w:marTop w:val="0"/>
      <w:marBottom w:val="0"/>
      <w:divBdr>
        <w:top w:val="none" w:sz="0" w:space="0" w:color="auto"/>
        <w:left w:val="none" w:sz="0" w:space="0" w:color="auto"/>
        <w:bottom w:val="none" w:sz="0" w:space="0" w:color="auto"/>
        <w:right w:val="none" w:sz="0" w:space="0" w:color="auto"/>
      </w:divBdr>
    </w:div>
    <w:div w:id="1319532078">
      <w:bodyDiv w:val="1"/>
      <w:marLeft w:val="0"/>
      <w:marRight w:val="0"/>
      <w:marTop w:val="0"/>
      <w:marBottom w:val="0"/>
      <w:divBdr>
        <w:top w:val="none" w:sz="0" w:space="0" w:color="auto"/>
        <w:left w:val="none" w:sz="0" w:space="0" w:color="auto"/>
        <w:bottom w:val="none" w:sz="0" w:space="0" w:color="auto"/>
        <w:right w:val="none" w:sz="0" w:space="0" w:color="auto"/>
      </w:divBdr>
    </w:div>
    <w:div w:id="1320116381">
      <w:bodyDiv w:val="1"/>
      <w:marLeft w:val="0"/>
      <w:marRight w:val="0"/>
      <w:marTop w:val="0"/>
      <w:marBottom w:val="0"/>
      <w:divBdr>
        <w:top w:val="none" w:sz="0" w:space="0" w:color="auto"/>
        <w:left w:val="none" w:sz="0" w:space="0" w:color="auto"/>
        <w:bottom w:val="none" w:sz="0" w:space="0" w:color="auto"/>
        <w:right w:val="none" w:sz="0" w:space="0" w:color="auto"/>
      </w:divBdr>
    </w:div>
    <w:div w:id="1320504562">
      <w:bodyDiv w:val="1"/>
      <w:marLeft w:val="0"/>
      <w:marRight w:val="0"/>
      <w:marTop w:val="0"/>
      <w:marBottom w:val="0"/>
      <w:divBdr>
        <w:top w:val="none" w:sz="0" w:space="0" w:color="auto"/>
        <w:left w:val="none" w:sz="0" w:space="0" w:color="auto"/>
        <w:bottom w:val="none" w:sz="0" w:space="0" w:color="auto"/>
        <w:right w:val="none" w:sz="0" w:space="0" w:color="auto"/>
      </w:divBdr>
    </w:div>
    <w:div w:id="1320575213">
      <w:bodyDiv w:val="1"/>
      <w:marLeft w:val="0"/>
      <w:marRight w:val="0"/>
      <w:marTop w:val="0"/>
      <w:marBottom w:val="0"/>
      <w:divBdr>
        <w:top w:val="none" w:sz="0" w:space="0" w:color="auto"/>
        <w:left w:val="none" w:sz="0" w:space="0" w:color="auto"/>
        <w:bottom w:val="none" w:sz="0" w:space="0" w:color="auto"/>
        <w:right w:val="none" w:sz="0" w:space="0" w:color="auto"/>
      </w:divBdr>
    </w:div>
    <w:div w:id="1321930295">
      <w:bodyDiv w:val="1"/>
      <w:marLeft w:val="0"/>
      <w:marRight w:val="0"/>
      <w:marTop w:val="0"/>
      <w:marBottom w:val="0"/>
      <w:divBdr>
        <w:top w:val="none" w:sz="0" w:space="0" w:color="auto"/>
        <w:left w:val="none" w:sz="0" w:space="0" w:color="auto"/>
        <w:bottom w:val="none" w:sz="0" w:space="0" w:color="auto"/>
        <w:right w:val="none" w:sz="0" w:space="0" w:color="auto"/>
      </w:divBdr>
    </w:div>
    <w:div w:id="1322150878">
      <w:bodyDiv w:val="1"/>
      <w:marLeft w:val="0"/>
      <w:marRight w:val="0"/>
      <w:marTop w:val="0"/>
      <w:marBottom w:val="0"/>
      <w:divBdr>
        <w:top w:val="none" w:sz="0" w:space="0" w:color="auto"/>
        <w:left w:val="none" w:sz="0" w:space="0" w:color="auto"/>
        <w:bottom w:val="none" w:sz="0" w:space="0" w:color="auto"/>
        <w:right w:val="none" w:sz="0" w:space="0" w:color="auto"/>
      </w:divBdr>
    </w:div>
    <w:div w:id="1323201001">
      <w:bodyDiv w:val="1"/>
      <w:marLeft w:val="0"/>
      <w:marRight w:val="0"/>
      <w:marTop w:val="0"/>
      <w:marBottom w:val="0"/>
      <w:divBdr>
        <w:top w:val="none" w:sz="0" w:space="0" w:color="auto"/>
        <w:left w:val="none" w:sz="0" w:space="0" w:color="auto"/>
        <w:bottom w:val="none" w:sz="0" w:space="0" w:color="auto"/>
        <w:right w:val="none" w:sz="0" w:space="0" w:color="auto"/>
      </w:divBdr>
    </w:div>
    <w:div w:id="1323243600">
      <w:bodyDiv w:val="1"/>
      <w:marLeft w:val="0"/>
      <w:marRight w:val="0"/>
      <w:marTop w:val="0"/>
      <w:marBottom w:val="0"/>
      <w:divBdr>
        <w:top w:val="none" w:sz="0" w:space="0" w:color="auto"/>
        <w:left w:val="none" w:sz="0" w:space="0" w:color="auto"/>
        <w:bottom w:val="none" w:sz="0" w:space="0" w:color="auto"/>
        <w:right w:val="none" w:sz="0" w:space="0" w:color="auto"/>
      </w:divBdr>
    </w:div>
    <w:div w:id="1323654636">
      <w:bodyDiv w:val="1"/>
      <w:marLeft w:val="0"/>
      <w:marRight w:val="0"/>
      <w:marTop w:val="0"/>
      <w:marBottom w:val="0"/>
      <w:divBdr>
        <w:top w:val="none" w:sz="0" w:space="0" w:color="auto"/>
        <w:left w:val="none" w:sz="0" w:space="0" w:color="auto"/>
        <w:bottom w:val="none" w:sz="0" w:space="0" w:color="auto"/>
        <w:right w:val="none" w:sz="0" w:space="0" w:color="auto"/>
      </w:divBdr>
    </w:div>
    <w:div w:id="1324159704">
      <w:bodyDiv w:val="1"/>
      <w:marLeft w:val="0"/>
      <w:marRight w:val="0"/>
      <w:marTop w:val="0"/>
      <w:marBottom w:val="0"/>
      <w:divBdr>
        <w:top w:val="none" w:sz="0" w:space="0" w:color="auto"/>
        <w:left w:val="none" w:sz="0" w:space="0" w:color="auto"/>
        <w:bottom w:val="none" w:sz="0" w:space="0" w:color="auto"/>
        <w:right w:val="none" w:sz="0" w:space="0" w:color="auto"/>
      </w:divBdr>
    </w:div>
    <w:div w:id="1324315143">
      <w:bodyDiv w:val="1"/>
      <w:marLeft w:val="0"/>
      <w:marRight w:val="0"/>
      <w:marTop w:val="0"/>
      <w:marBottom w:val="0"/>
      <w:divBdr>
        <w:top w:val="none" w:sz="0" w:space="0" w:color="auto"/>
        <w:left w:val="none" w:sz="0" w:space="0" w:color="auto"/>
        <w:bottom w:val="none" w:sz="0" w:space="0" w:color="auto"/>
        <w:right w:val="none" w:sz="0" w:space="0" w:color="auto"/>
      </w:divBdr>
    </w:div>
    <w:div w:id="1326129877">
      <w:bodyDiv w:val="1"/>
      <w:marLeft w:val="0"/>
      <w:marRight w:val="0"/>
      <w:marTop w:val="0"/>
      <w:marBottom w:val="0"/>
      <w:divBdr>
        <w:top w:val="none" w:sz="0" w:space="0" w:color="auto"/>
        <w:left w:val="none" w:sz="0" w:space="0" w:color="auto"/>
        <w:bottom w:val="none" w:sz="0" w:space="0" w:color="auto"/>
        <w:right w:val="none" w:sz="0" w:space="0" w:color="auto"/>
      </w:divBdr>
    </w:div>
    <w:div w:id="1326517701">
      <w:bodyDiv w:val="1"/>
      <w:marLeft w:val="0"/>
      <w:marRight w:val="0"/>
      <w:marTop w:val="0"/>
      <w:marBottom w:val="0"/>
      <w:divBdr>
        <w:top w:val="none" w:sz="0" w:space="0" w:color="auto"/>
        <w:left w:val="none" w:sz="0" w:space="0" w:color="auto"/>
        <w:bottom w:val="none" w:sz="0" w:space="0" w:color="auto"/>
        <w:right w:val="none" w:sz="0" w:space="0" w:color="auto"/>
      </w:divBdr>
    </w:div>
    <w:div w:id="1329165510">
      <w:bodyDiv w:val="1"/>
      <w:marLeft w:val="0"/>
      <w:marRight w:val="0"/>
      <w:marTop w:val="0"/>
      <w:marBottom w:val="0"/>
      <w:divBdr>
        <w:top w:val="none" w:sz="0" w:space="0" w:color="auto"/>
        <w:left w:val="none" w:sz="0" w:space="0" w:color="auto"/>
        <w:bottom w:val="none" w:sz="0" w:space="0" w:color="auto"/>
        <w:right w:val="none" w:sz="0" w:space="0" w:color="auto"/>
      </w:divBdr>
    </w:div>
    <w:div w:id="1329594804">
      <w:bodyDiv w:val="1"/>
      <w:marLeft w:val="0"/>
      <w:marRight w:val="0"/>
      <w:marTop w:val="0"/>
      <w:marBottom w:val="0"/>
      <w:divBdr>
        <w:top w:val="none" w:sz="0" w:space="0" w:color="auto"/>
        <w:left w:val="none" w:sz="0" w:space="0" w:color="auto"/>
        <w:bottom w:val="none" w:sz="0" w:space="0" w:color="auto"/>
        <w:right w:val="none" w:sz="0" w:space="0" w:color="auto"/>
      </w:divBdr>
    </w:div>
    <w:div w:id="1329869572">
      <w:bodyDiv w:val="1"/>
      <w:marLeft w:val="0"/>
      <w:marRight w:val="0"/>
      <w:marTop w:val="0"/>
      <w:marBottom w:val="0"/>
      <w:divBdr>
        <w:top w:val="none" w:sz="0" w:space="0" w:color="auto"/>
        <w:left w:val="none" w:sz="0" w:space="0" w:color="auto"/>
        <w:bottom w:val="none" w:sz="0" w:space="0" w:color="auto"/>
        <w:right w:val="none" w:sz="0" w:space="0" w:color="auto"/>
      </w:divBdr>
    </w:div>
    <w:div w:id="1331710346">
      <w:bodyDiv w:val="1"/>
      <w:marLeft w:val="0"/>
      <w:marRight w:val="0"/>
      <w:marTop w:val="0"/>
      <w:marBottom w:val="0"/>
      <w:divBdr>
        <w:top w:val="none" w:sz="0" w:space="0" w:color="auto"/>
        <w:left w:val="none" w:sz="0" w:space="0" w:color="auto"/>
        <w:bottom w:val="none" w:sz="0" w:space="0" w:color="auto"/>
        <w:right w:val="none" w:sz="0" w:space="0" w:color="auto"/>
      </w:divBdr>
    </w:div>
    <w:div w:id="1331831538">
      <w:bodyDiv w:val="1"/>
      <w:marLeft w:val="0"/>
      <w:marRight w:val="0"/>
      <w:marTop w:val="0"/>
      <w:marBottom w:val="0"/>
      <w:divBdr>
        <w:top w:val="none" w:sz="0" w:space="0" w:color="auto"/>
        <w:left w:val="none" w:sz="0" w:space="0" w:color="auto"/>
        <w:bottom w:val="none" w:sz="0" w:space="0" w:color="auto"/>
        <w:right w:val="none" w:sz="0" w:space="0" w:color="auto"/>
      </w:divBdr>
    </w:div>
    <w:div w:id="1333140003">
      <w:bodyDiv w:val="1"/>
      <w:marLeft w:val="0"/>
      <w:marRight w:val="0"/>
      <w:marTop w:val="0"/>
      <w:marBottom w:val="0"/>
      <w:divBdr>
        <w:top w:val="none" w:sz="0" w:space="0" w:color="auto"/>
        <w:left w:val="none" w:sz="0" w:space="0" w:color="auto"/>
        <w:bottom w:val="none" w:sz="0" w:space="0" w:color="auto"/>
        <w:right w:val="none" w:sz="0" w:space="0" w:color="auto"/>
      </w:divBdr>
    </w:div>
    <w:div w:id="1333335948">
      <w:bodyDiv w:val="1"/>
      <w:marLeft w:val="0"/>
      <w:marRight w:val="0"/>
      <w:marTop w:val="0"/>
      <w:marBottom w:val="0"/>
      <w:divBdr>
        <w:top w:val="none" w:sz="0" w:space="0" w:color="auto"/>
        <w:left w:val="none" w:sz="0" w:space="0" w:color="auto"/>
        <w:bottom w:val="none" w:sz="0" w:space="0" w:color="auto"/>
        <w:right w:val="none" w:sz="0" w:space="0" w:color="auto"/>
      </w:divBdr>
    </w:div>
    <w:div w:id="1333558112">
      <w:bodyDiv w:val="1"/>
      <w:marLeft w:val="0"/>
      <w:marRight w:val="0"/>
      <w:marTop w:val="0"/>
      <w:marBottom w:val="0"/>
      <w:divBdr>
        <w:top w:val="none" w:sz="0" w:space="0" w:color="auto"/>
        <w:left w:val="none" w:sz="0" w:space="0" w:color="auto"/>
        <w:bottom w:val="none" w:sz="0" w:space="0" w:color="auto"/>
        <w:right w:val="none" w:sz="0" w:space="0" w:color="auto"/>
      </w:divBdr>
    </w:div>
    <w:div w:id="1333604454">
      <w:bodyDiv w:val="1"/>
      <w:marLeft w:val="0"/>
      <w:marRight w:val="0"/>
      <w:marTop w:val="0"/>
      <w:marBottom w:val="0"/>
      <w:divBdr>
        <w:top w:val="none" w:sz="0" w:space="0" w:color="auto"/>
        <w:left w:val="none" w:sz="0" w:space="0" w:color="auto"/>
        <w:bottom w:val="none" w:sz="0" w:space="0" w:color="auto"/>
        <w:right w:val="none" w:sz="0" w:space="0" w:color="auto"/>
      </w:divBdr>
    </w:div>
    <w:div w:id="1334794643">
      <w:bodyDiv w:val="1"/>
      <w:marLeft w:val="0"/>
      <w:marRight w:val="0"/>
      <w:marTop w:val="0"/>
      <w:marBottom w:val="0"/>
      <w:divBdr>
        <w:top w:val="none" w:sz="0" w:space="0" w:color="auto"/>
        <w:left w:val="none" w:sz="0" w:space="0" w:color="auto"/>
        <w:bottom w:val="none" w:sz="0" w:space="0" w:color="auto"/>
        <w:right w:val="none" w:sz="0" w:space="0" w:color="auto"/>
      </w:divBdr>
    </w:div>
    <w:div w:id="1334917637">
      <w:bodyDiv w:val="1"/>
      <w:marLeft w:val="0"/>
      <w:marRight w:val="0"/>
      <w:marTop w:val="0"/>
      <w:marBottom w:val="0"/>
      <w:divBdr>
        <w:top w:val="none" w:sz="0" w:space="0" w:color="auto"/>
        <w:left w:val="none" w:sz="0" w:space="0" w:color="auto"/>
        <w:bottom w:val="none" w:sz="0" w:space="0" w:color="auto"/>
        <w:right w:val="none" w:sz="0" w:space="0" w:color="auto"/>
      </w:divBdr>
    </w:div>
    <w:div w:id="1335374469">
      <w:bodyDiv w:val="1"/>
      <w:marLeft w:val="0"/>
      <w:marRight w:val="0"/>
      <w:marTop w:val="0"/>
      <w:marBottom w:val="0"/>
      <w:divBdr>
        <w:top w:val="none" w:sz="0" w:space="0" w:color="auto"/>
        <w:left w:val="none" w:sz="0" w:space="0" w:color="auto"/>
        <w:bottom w:val="none" w:sz="0" w:space="0" w:color="auto"/>
        <w:right w:val="none" w:sz="0" w:space="0" w:color="auto"/>
      </w:divBdr>
    </w:div>
    <w:div w:id="1336953378">
      <w:bodyDiv w:val="1"/>
      <w:marLeft w:val="0"/>
      <w:marRight w:val="0"/>
      <w:marTop w:val="0"/>
      <w:marBottom w:val="0"/>
      <w:divBdr>
        <w:top w:val="none" w:sz="0" w:space="0" w:color="auto"/>
        <w:left w:val="none" w:sz="0" w:space="0" w:color="auto"/>
        <w:bottom w:val="none" w:sz="0" w:space="0" w:color="auto"/>
        <w:right w:val="none" w:sz="0" w:space="0" w:color="auto"/>
      </w:divBdr>
    </w:div>
    <w:div w:id="1339113692">
      <w:bodyDiv w:val="1"/>
      <w:marLeft w:val="0"/>
      <w:marRight w:val="0"/>
      <w:marTop w:val="0"/>
      <w:marBottom w:val="0"/>
      <w:divBdr>
        <w:top w:val="none" w:sz="0" w:space="0" w:color="auto"/>
        <w:left w:val="none" w:sz="0" w:space="0" w:color="auto"/>
        <w:bottom w:val="none" w:sz="0" w:space="0" w:color="auto"/>
        <w:right w:val="none" w:sz="0" w:space="0" w:color="auto"/>
      </w:divBdr>
    </w:div>
    <w:div w:id="1339382121">
      <w:bodyDiv w:val="1"/>
      <w:marLeft w:val="0"/>
      <w:marRight w:val="0"/>
      <w:marTop w:val="0"/>
      <w:marBottom w:val="0"/>
      <w:divBdr>
        <w:top w:val="none" w:sz="0" w:space="0" w:color="auto"/>
        <w:left w:val="none" w:sz="0" w:space="0" w:color="auto"/>
        <w:bottom w:val="none" w:sz="0" w:space="0" w:color="auto"/>
        <w:right w:val="none" w:sz="0" w:space="0" w:color="auto"/>
      </w:divBdr>
    </w:div>
    <w:div w:id="1340619931">
      <w:bodyDiv w:val="1"/>
      <w:marLeft w:val="0"/>
      <w:marRight w:val="0"/>
      <w:marTop w:val="0"/>
      <w:marBottom w:val="0"/>
      <w:divBdr>
        <w:top w:val="none" w:sz="0" w:space="0" w:color="auto"/>
        <w:left w:val="none" w:sz="0" w:space="0" w:color="auto"/>
        <w:bottom w:val="none" w:sz="0" w:space="0" w:color="auto"/>
        <w:right w:val="none" w:sz="0" w:space="0" w:color="auto"/>
      </w:divBdr>
    </w:div>
    <w:div w:id="1341279289">
      <w:bodyDiv w:val="1"/>
      <w:marLeft w:val="0"/>
      <w:marRight w:val="0"/>
      <w:marTop w:val="0"/>
      <w:marBottom w:val="0"/>
      <w:divBdr>
        <w:top w:val="none" w:sz="0" w:space="0" w:color="auto"/>
        <w:left w:val="none" w:sz="0" w:space="0" w:color="auto"/>
        <w:bottom w:val="none" w:sz="0" w:space="0" w:color="auto"/>
        <w:right w:val="none" w:sz="0" w:space="0" w:color="auto"/>
      </w:divBdr>
    </w:div>
    <w:div w:id="1342467842">
      <w:bodyDiv w:val="1"/>
      <w:marLeft w:val="0"/>
      <w:marRight w:val="0"/>
      <w:marTop w:val="0"/>
      <w:marBottom w:val="0"/>
      <w:divBdr>
        <w:top w:val="none" w:sz="0" w:space="0" w:color="auto"/>
        <w:left w:val="none" w:sz="0" w:space="0" w:color="auto"/>
        <w:bottom w:val="none" w:sz="0" w:space="0" w:color="auto"/>
        <w:right w:val="none" w:sz="0" w:space="0" w:color="auto"/>
      </w:divBdr>
    </w:div>
    <w:div w:id="1342703526">
      <w:bodyDiv w:val="1"/>
      <w:marLeft w:val="0"/>
      <w:marRight w:val="0"/>
      <w:marTop w:val="0"/>
      <w:marBottom w:val="0"/>
      <w:divBdr>
        <w:top w:val="none" w:sz="0" w:space="0" w:color="auto"/>
        <w:left w:val="none" w:sz="0" w:space="0" w:color="auto"/>
        <w:bottom w:val="none" w:sz="0" w:space="0" w:color="auto"/>
        <w:right w:val="none" w:sz="0" w:space="0" w:color="auto"/>
      </w:divBdr>
    </w:div>
    <w:div w:id="1342777525">
      <w:bodyDiv w:val="1"/>
      <w:marLeft w:val="0"/>
      <w:marRight w:val="0"/>
      <w:marTop w:val="0"/>
      <w:marBottom w:val="0"/>
      <w:divBdr>
        <w:top w:val="none" w:sz="0" w:space="0" w:color="auto"/>
        <w:left w:val="none" w:sz="0" w:space="0" w:color="auto"/>
        <w:bottom w:val="none" w:sz="0" w:space="0" w:color="auto"/>
        <w:right w:val="none" w:sz="0" w:space="0" w:color="auto"/>
      </w:divBdr>
    </w:div>
    <w:div w:id="1342781125">
      <w:bodyDiv w:val="1"/>
      <w:marLeft w:val="0"/>
      <w:marRight w:val="0"/>
      <w:marTop w:val="0"/>
      <w:marBottom w:val="0"/>
      <w:divBdr>
        <w:top w:val="none" w:sz="0" w:space="0" w:color="auto"/>
        <w:left w:val="none" w:sz="0" w:space="0" w:color="auto"/>
        <w:bottom w:val="none" w:sz="0" w:space="0" w:color="auto"/>
        <w:right w:val="none" w:sz="0" w:space="0" w:color="auto"/>
      </w:divBdr>
    </w:div>
    <w:div w:id="1344012977">
      <w:bodyDiv w:val="1"/>
      <w:marLeft w:val="0"/>
      <w:marRight w:val="0"/>
      <w:marTop w:val="0"/>
      <w:marBottom w:val="0"/>
      <w:divBdr>
        <w:top w:val="none" w:sz="0" w:space="0" w:color="auto"/>
        <w:left w:val="none" w:sz="0" w:space="0" w:color="auto"/>
        <w:bottom w:val="none" w:sz="0" w:space="0" w:color="auto"/>
        <w:right w:val="none" w:sz="0" w:space="0" w:color="auto"/>
      </w:divBdr>
    </w:div>
    <w:div w:id="1344212537">
      <w:bodyDiv w:val="1"/>
      <w:marLeft w:val="0"/>
      <w:marRight w:val="0"/>
      <w:marTop w:val="0"/>
      <w:marBottom w:val="0"/>
      <w:divBdr>
        <w:top w:val="none" w:sz="0" w:space="0" w:color="auto"/>
        <w:left w:val="none" w:sz="0" w:space="0" w:color="auto"/>
        <w:bottom w:val="none" w:sz="0" w:space="0" w:color="auto"/>
        <w:right w:val="none" w:sz="0" w:space="0" w:color="auto"/>
      </w:divBdr>
    </w:div>
    <w:div w:id="1344549926">
      <w:bodyDiv w:val="1"/>
      <w:marLeft w:val="0"/>
      <w:marRight w:val="0"/>
      <w:marTop w:val="0"/>
      <w:marBottom w:val="0"/>
      <w:divBdr>
        <w:top w:val="none" w:sz="0" w:space="0" w:color="auto"/>
        <w:left w:val="none" w:sz="0" w:space="0" w:color="auto"/>
        <w:bottom w:val="none" w:sz="0" w:space="0" w:color="auto"/>
        <w:right w:val="none" w:sz="0" w:space="0" w:color="auto"/>
      </w:divBdr>
    </w:div>
    <w:div w:id="1344630729">
      <w:bodyDiv w:val="1"/>
      <w:marLeft w:val="0"/>
      <w:marRight w:val="0"/>
      <w:marTop w:val="0"/>
      <w:marBottom w:val="0"/>
      <w:divBdr>
        <w:top w:val="none" w:sz="0" w:space="0" w:color="auto"/>
        <w:left w:val="none" w:sz="0" w:space="0" w:color="auto"/>
        <w:bottom w:val="none" w:sz="0" w:space="0" w:color="auto"/>
        <w:right w:val="none" w:sz="0" w:space="0" w:color="auto"/>
      </w:divBdr>
    </w:div>
    <w:div w:id="1345014577">
      <w:bodyDiv w:val="1"/>
      <w:marLeft w:val="0"/>
      <w:marRight w:val="0"/>
      <w:marTop w:val="0"/>
      <w:marBottom w:val="0"/>
      <w:divBdr>
        <w:top w:val="none" w:sz="0" w:space="0" w:color="auto"/>
        <w:left w:val="none" w:sz="0" w:space="0" w:color="auto"/>
        <w:bottom w:val="none" w:sz="0" w:space="0" w:color="auto"/>
        <w:right w:val="none" w:sz="0" w:space="0" w:color="auto"/>
      </w:divBdr>
    </w:div>
    <w:div w:id="1346975539">
      <w:bodyDiv w:val="1"/>
      <w:marLeft w:val="0"/>
      <w:marRight w:val="0"/>
      <w:marTop w:val="0"/>
      <w:marBottom w:val="0"/>
      <w:divBdr>
        <w:top w:val="none" w:sz="0" w:space="0" w:color="auto"/>
        <w:left w:val="none" w:sz="0" w:space="0" w:color="auto"/>
        <w:bottom w:val="none" w:sz="0" w:space="0" w:color="auto"/>
        <w:right w:val="none" w:sz="0" w:space="0" w:color="auto"/>
      </w:divBdr>
    </w:div>
    <w:div w:id="1349061236">
      <w:bodyDiv w:val="1"/>
      <w:marLeft w:val="0"/>
      <w:marRight w:val="0"/>
      <w:marTop w:val="0"/>
      <w:marBottom w:val="0"/>
      <w:divBdr>
        <w:top w:val="none" w:sz="0" w:space="0" w:color="auto"/>
        <w:left w:val="none" w:sz="0" w:space="0" w:color="auto"/>
        <w:bottom w:val="none" w:sz="0" w:space="0" w:color="auto"/>
        <w:right w:val="none" w:sz="0" w:space="0" w:color="auto"/>
      </w:divBdr>
    </w:div>
    <w:div w:id="1350260452">
      <w:bodyDiv w:val="1"/>
      <w:marLeft w:val="0"/>
      <w:marRight w:val="0"/>
      <w:marTop w:val="0"/>
      <w:marBottom w:val="0"/>
      <w:divBdr>
        <w:top w:val="none" w:sz="0" w:space="0" w:color="auto"/>
        <w:left w:val="none" w:sz="0" w:space="0" w:color="auto"/>
        <w:bottom w:val="none" w:sz="0" w:space="0" w:color="auto"/>
        <w:right w:val="none" w:sz="0" w:space="0" w:color="auto"/>
      </w:divBdr>
    </w:div>
    <w:div w:id="1351183788">
      <w:bodyDiv w:val="1"/>
      <w:marLeft w:val="0"/>
      <w:marRight w:val="0"/>
      <w:marTop w:val="0"/>
      <w:marBottom w:val="0"/>
      <w:divBdr>
        <w:top w:val="none" w:sz="0" w:space="0" w:color="auto"/>
        <w:left w:val="none" w:sz="0" w:space="0" w:color="auto"/>
        <w:bottom w:val="none" w:sz="0" w:space="0" w:color="auto"/>
        <w:right w:val="none" w:sz="0" w:space="0" w:color="auto"/>
      </w:divBdr>
    </w:div>
    <w:div w:id="1351952130">
      <w:bodyDiv w:val="1"/>
      <w:marLeft w:val="0"/>
      <w:marRight w:val="0"/>
      <w:marTop w:val="0"/>
      <w:marBottom w:val="0"/>
      <w:divBdr>
        <w:top w:val="none" w:sz="0" w:space="0" w:color="auto"/>
        <w:left w:val="none" w:sz="0" w:space="0" w:color="auto"/>
        <w:bottom w:val="none" w:sz="0" w:space="0" w:color="auto"/>
        <w:right w:val="none" w:sz="0" w:space="0" w:color="auto"/>
      </w:divBdr>
    </w:div>
    <w:div w:id="1352874782">
      <w:bodyDiv w:val="1"/>
      <w:marLeft w:val="0"/>
      <w:marRight w:val="0"/>
      <w:marTop w:val="0"/>
      <w:marBottom w:val="0"/>
      <w:divBdr>
        <w:top w:val="none" w:sz="0" w:space="0" w:color="auto"/>
        <w:left w:val="none" w:sz="0" w:space="0" w:color="auto"/>
        <w:bottom w:val="none" w:sz="0" w:space="0" w:color="auto"/>
        <w:right w:val="none" w:sz="0" w:space="0" w:color="auto"/>
      </w:divBdr>
    </w:div>
    <w:div w:id="1352954686">
      <w:bodyDiv w:val="1"/>
      <w:marLeft w:val="0"/>
      <w:marRight w:val="0"/>
      <w:marTop w:val="0"/>
      <w:marBottom w:val="0"/>
      <w:divBdr>
        <w:top w:val="none" w:sz="0" w:space="0" w:color="auto"/>
        <w:left w:val="none" w:sz="0" w:space="0" w:color="auto"/>
        <w:bottom w:val="none" w:sz="0" w:space="0" w:color="auto"/>
        <w:right w:val="none" w:sz="0" w:space="0" w:color="auto"/>
      </w:divBdr>
    </w:div>
    <w:div w:id="1352994816">
      <w:bodyDiv w:val="1"/>
      <w:marLeft w:val="0"/>
      <w:marRight w:val="0"/>
      <w:marTop w:val="0"/>
      <w:marBottom w:val="0"/>
      <w:divBdr>
        <w:top w:val="none" w:sz="0" w:space="0" w:color="auto"/>
        <w:left w:val="none" w:sz="0" w:space="0" w:color="auto"/>
        <w:bottom w:val="none" w:sz="0" w:space="0" w:color="auto"/>
        <w:right w:val="none" w:sz="0" w:space="0" w:color="auto"/>
      </w:divBdr>
    </w:div>
    <w:div w:id="1353913935">
      <w:bodyDiv w:val="1"/>
      <w:marLeft w:val="0"/>
      <w:marRight w:val="0"/>
      <w:marTop w:val="0"/>
      <w:marBottom w:val="0"/>
      <w:divBdr>
        <w:top w:val="none" w:sz="0" w:space="0" w:color="auto"/>
        <w:left w:val="none" w:sz="0" w:space="0" w:color="auto"/>
        <w:bottom w:val="none" w:sz="0" w:space="0" w:color="auto"/>
        <w:right w:val="none" w:sz="0" w:space="0" w:color="auto"/>
      </w:divBdr>
    </w:div>
    <w:div w:id="1354452217">
      <w:bodyDiv w:val="1"/>
      <w:marLeft w:val="0"/>
      <w:marRight w:val="0"/>
      <w:marTop w:val="0"/>
      <w:marBottom w:val="0"/>
      <w:divBdr>
        <w:top w:val="none" w:sz="0" w:space="0" w:color="auto"/>
        <w:left w:val="none" w:sz="0" w:space="0" w:color="auto"/>
        <w:bottom w:val="none" w:sz="0" w:space="0" w:color="auto"/>
        <w:right w:val="none" w:sz="0" w:space="0" w:color="auto"/>
      </w:divBdr>
    </w:div>
    <w:div w:id="1354763488">
      <w:bodyDiv w:val="1"/>
      <w:marLeft w:val="0"/>
      <w:marRight w:val="0"/>
      <w:marTop w:val="0"/>
      <w:marBottom w:val="0"/>
      <w:divBdr>
        <w:top w:val="none" w:sz="0" w:space="0" w:color="auto"/>
        <w:left w:val="none" w:sz="0" w:space="0" w:color="auto"/>
        <w:bottom w:val="none" w:sz="0" w:space="0" w:color="auto"/>
        <w:right w:val="none" w:sz="0" w:space="0" w:color="auto"/>
      </w:divBdr>
    </w:div>
    <w:div w:id="1358040597">
      <w:bodyDiv w:val="1"/>
      <w:marLeft w:val="0"/>
      <w:marRight w:val="0"/>
      <w:marTop w:val="0"/>
      <w:marBottom w:val="0"/>
      <w:divBdr>
        <w:top w:val="none" w:sz="0" w:space="0" w:color="auto"/>
        <w:left w:val="none" w:sz="0" w:space="0" w:color="auto"/>
        <w:bottom w:val="none" w:sz="0" w:space="0" w:color="auto"/>
        <w:right w:val="none" w:sz="0" w:space="0" w:color="auto"/>
      </w:divBdr>
    </w:div>
    <w:div w:id="1358190724">
      <w:bodyDiv w:val="1"/>
      <w:marLeft w:val="0"/>
      <w:marRight w:val="0"/>
      <w:marTop w:val="0"/>
      <w:marBottom w:val="0"/>
      <w:divBdr>
        <w:top w:val="none" w:sz="0" w:space="0" w:color="auto"/>
        <w:left w:val="none" w:sz="0" w:space="0" w:color="auto"/>
        <w:bottom w:val="none" w:sz="0" w:space="0" w:color="auto"/>
        <w:right w:val="none" w:sz="0" w:space="0" w:color="auto"/>
      </w:divBdr>
    </w:div>
    <w:div w:id="1358195154">
      <w:bodyDiv w:val="1"/>
      <w:marLeft w:val="0"/>
      <w:marRight w:val="0"/>
      <w:marTop w:val="0"/>
      <w:marBottom w:val="0"/>
      <w:divBdr>
        <w:top w:val="none" w:sz="0" w:space="0" w:color="auto"/>
        <w:left w:val="none" w:sz="0" w:space="0" w:color="auto"/>
        <w:bottom w:val="none" w:sz="0" w:space="0" w:color="auto"/>
        <w:right w:val="none" w:sz="0" w:space="0" w:color="auto"/>
      </w:divBdr>
    </w:div>
    <w:div w:id="1359350433">
      <w:bodyDiv w:val="1"/>
      <w:marLeft w:val="0"/>
      <w:marRight w:val="0"/>
      <w:marTop w:val="0"/>
      <w:marBottom w:val="0"/>
      <w:divBdr>
        <w:top w:val="none" w:sz="0" w:space="0" w:color="auto"/>
        <w:left w:val="none" w:sz="0" w:space="0" w:color="auto"/>
        <w:bottom w:val="none" w:sz="0" w:space="0" w:color="auto"/>
        <w:right w:val="none" w:sz="0" w:space="0" w:color="auto"/>
      </w:divBdr>
    </w:div>
    <w:div w:id="1359815834">
      <w:bodyDiv w:val="1"/>
      <w:marLeft w:val="0"/>
      <w:marRight w:val="0"/>
      <w:marTop w:val="0"/>
      <w:marBottom w:val="0"/>
      <w:divBdr>
        <w:top w:val="none" w:sz="0" w:space="0" w:color="auto"/>
        <w:left w:val="none" w:sz="0" w:space="0" w:color="auto"/>
        <w:bottom w:val="none" w:sz="0" w:space="0" w:color="auto"/>
        <w:right w:val="none" w:sz="0" w:space="0" w:color="auto"/>
      </w:divBdr>
    </w:div>
    <w:div w:id="1362049149">
      <w:bodyDiv w:val="1"/>
      <w:marLeft w:val="0"/>
      <w:marRight w:val="0"/>
      <w:marTop w:val="0"/>
      <w:marBottom w:val="0"/>
      <w:divBdr>
        <w:top w:val="none" w:sz="0" w:space="0" w:color="auto"/>
        <w:left w:val="none" w:sz="0" w:space="0" w:color="auto"/>
        <w:bottom w:val="none" w:sz="0" w:space="0" w:color="auto"/>
        <w:right w:val="none" w:sz="0" w:space="0" w:color="auto"/>
      </w:divBdr>
    </w:div>
    <w:div w:id="1362703613">
      <w:bodyDiv w:val="1"/>
      <w:marLeft w:val="0"/>
      <w:marRight w:val="0"/>
      <w:marTop w:val="0"/>
      <w:marBottom w:val="0"/>
      <w:divBdr>
        <w:top w:val="none" w:sz="0" w:space="0" w:color="auto"/>
        <w:left w:val="none" w:sz="0" w:space="0" w:color="auto"/>
        <w:bottom w:val="none" w:sz="0" w:space="0" w:color="auto"/>
        <w:right w:val="none" w:sz="0" w:space="0" w:color="auto"/>
      </w:divBdr>
    </w:div>
    <w:div w:id="1362781022">
      <w:bodyDiv w:val="1"/>
      <w:marLeft w:val="0"/>
      <w:marRight w:val="0"/>
      <w:marTop w:val="0"/>
      <w:marBottom w:val="0"/>
      <w:divBdr>
        <w:top w:val="none" w:sz="0" w:space="0" w:color="auto"/>
        <w:left w:val="none" w:sz="0" w:space="0" w:color="auto"/>
        <w:bottom w:val="none" w:sz="0" w:space="0" w:color="auto"/>
        <w:right w:val="none" w:sz="0" w:space="0" w:color="auto"/>
      </w:divBdr>
    </w:div>
    <w:div w:id="1364747756">
      <w:bodyDiv w:val="1"/>
      <w:marLeft w:val="0"/>
      <w:marRight w:val="0"/>
      <w:marTop w:val="0"/>
      <w:marBottom w:val="0"/>
      <w:divBdr>
        <w:top w:val="none" w:sz="0" w:space="0" w:color="auto"/>
        <w:left w:val="none" w:sz="0" w:space="0" w:color="auto"/>
        <w:bottom w:val="none" w:sz="0" w:space="0" w:color="auto"/>
        <w:right w:val="none" w:sz="0" w:space="0" w:color="auto"/>
      </w:divBdr>
    </w:div>
    <w:div w:id="1366171209">
      <w:bodyDiv w:val="1"/>
      <w:marLeft w:val="0"/>
      <w:marRight w:val="0"/>
      <w:marTop w:val="0"/>
      <w:marBottom w:val="0"/>
      <w:divBdr>
        <w:top w:val="none" w:sz="0" w:space="0" w:color="auto"/>
        <w:left w:val="none" w:sz="0" w:space="0" w:color="auto"/>
        <w:bottom w:val="none" w:sz="0" w:space="0" w:color="auto"/>
        <w:right w:val="none" w:sz="0" w:space="0" w:color="auto"/>
      </w:divBdr>
    </w:div>
    <w:div w:id="1366710485">
      <w:bodyDiv w:val="1"/>
      <w:marLeft w:val="0"/>
      <w:marRight w:val="0"/>
      <w:marTop w:val="0"/>
      <w:marBottom w:val="0"/>
      <w:divBdr>
        <w:top w:val="none" w:sz="0" w:space="0" w:color="auto"/>
        <w:left w:val="none" w:sz="0" w:space="0" w:color="auto"/>
        <w:bottom w:val="none" w:sz="0" w:space="0" w:color="auto"/>
        <w:right w:val="none" w:sz="0" w:space="0" w:color="auto"/>
      </w:divBdr>
    </w:div>
    <w:div w:id="1367636881">
      <w:bodyDiv w:val="1"/>
      <w:marLeft w:val="0"/>
      <w:marRight w:val="0"/>
      <w:marTop w:val="0"/>
      <w:marBottom w:val="0"/>
      <w:divBdr>
        <w:top w:val="none" w:sz="0" w:space="0" w:color="auto"/>
        <w:left w:val="none" w:sz="0" w:space="0" w:color="auto"/>
        <w:bottom w:val="none" w:sz="0" w:space="0" w:color="auto"/>
        <w:right w:val="none" w:sz="0" w:space="0" w:color="auto"/>
      </w:divBdr>
    </w:div>
    <w:div w:id="1368677750">
      <w:bodyDiv w:val="1"/>
      <w:marLeft w:val="0"/>
      <w:marRight w:val="0"/>
      <w:marTop w:val="0"/>
      <w:marBottom w:val="0"/>
      <w:divBdr>
        <w:top w:val="none" w:sz="0" w:space="0" w:color="auto"/>
        <w:left w:val="none" w:sz="0" w:space="0" w:color="auto"/>
        <w:bottom w:val="none" w:sz="0" w:space="0" w:color="auto"/>
        <w:right w:val="none" w:sz="0" w:space="0" w:color="auto"/>
      </w:divBdr>
    </w:div>
    <w:div w:id="1369188160">
      <w:bodyDiv w:val="1"/>
      <w:marLeft w:val="0"/>
      <w:marRight w:val="0"/>
      <w:marTop w:val="0"/>
      <w:marBottom w:val="0"/>
      <w:divBdr>
        <w:top w:val="none" w:sz="0" w:space="0" w:color="auto"/>
        <w:left w:val="none" w:sz="0" w:space="0" w:color="auto"/>
        <w:bottom w:val="none" w:sz="0" w:space="0" w:color="auto"/>
        <w:right w:val="none" w:sz="0" w:space="0" w:color="auto"/>
      </w:divBdr>
    </w:div>
    <w:div w:id="1369380524">
      <w:bodyDiv w:val="1"/>
      <w:marLeft w:val="0"/>
      <w:marRight w:val="0"/>
      <w:marTop w:val="0"/>
      <w:marBottom w:val="0"/>
      <w:divBdr>
        <w:top w:val="none" w:sz="0" w:space="0" w:color="auto"/>
        <w:left w:val="none" w:sz="0" w:space="0" w:color="auto"/>
        <w:bottom w:val="none" w:sz="0" w:space="0" w:color="auto"/>
        <w:right w:val="none" w:sz="0" w:space="0" w:color="auto"/>
      </w:divBdr>
    </w:div>
    <w:div w:id="1369573656">
      <w:bodyDiv w:val="1"/>
      <w:marLeft w:val="0"/>
      <w:marRight w:val="0"/>
      <w:marTop w:val="0"/>
      <w:marBottom w:val="0"/>
      <w:divBdr>
        <w:top w:val="none" w:sz="0" w:space="0" w:color="auto"/>
        <w:left w:val="none" w:sz="0" w:space="0" w:color="auto"/>
        <w:bottom w:val="none" w:sz="0" w:space="0" w:color="auto"/>
        <w:right w:val="none" w:sz="0" w:space="0" w:color="auto"/>
      </w:divBdr>
    </w:div>
    <w:div w:id="1369986962">
      <w:bodyDiv w:val="1"/>
      <w:marLeft w:val="0"/>
      <w:marRight w:val="0"/>
      <w:marTop w:val="0"/>
      <w:marBottom w:val="0"/>
      <w:divBdr>
        <w:top w:val="none" w:sz="0" w:space="0" w:color="auto"/>
        <w:left w:val="none" w:sz="0" w:space="0" w:color="auto"/>
        <w:bottom w:val="none" w:sz="0" w:space="0" w:color="auto"/>
        <w:right w:val="none" w:sz="0" w:space="0" w:color="auto"/>
      </w:divBdr>
    </w:div>
    <w:div w:id="1370496917">
      <w:bodyDiv w:val="1"/>
      <w:marLeft w:val="0"/>
      <w:marRight w:val="0"/>
      <w:marTop w:val="0"/>
      <w:marBottom w:val="0"/>
      <w:divBdr>
        <w:top w:val="none" w:sz="0" w:space="0" w:color="auto"/>
        <w:left w:val="none" w:sz="0" w:space="0" w:color="auto"/>
        <w:bottom w:val="none" w:sz="0" w:space="0" w:color="auto"/>
        <w:right w:val="none" w:sz="0" w:space="0" w:color="auto"/>
      </w:divBdr>
    </w:div>
    <w:div w:id="1370647536">
      <w:bodyDiv w:val="1"/>
      <w:marLeft w:val="0"/>
      <w:marRight w:val="0"/>
      <w:marTop w:val="0"/>
      <w:marBottom w:val="0"/>
      <w:divBdr>
        <w:top w:val="none" w:sz="0" w:space="0" w:color="auto"/>
        <w:left w:val="none" w:sz="0" w:space="0" w:color="auto"/>
        <w:bottom w:val="none" w:sz="0" w:space="0" w:color="auto"/>
        <w:right w:val="none" w:sz="0" w:space="0" w:color="auto"/>
      </w:divBdr>
    </w:div>
    <w:div w:id="1372144082">
      <w:bodyDiv w:val="1"/>
      <w:marLeft w:val="0"/>
      <w:marRight w:val="0"/>
      <w:marTop w:val="0"/>
      <w:marBottom w:val="0"/>
      <w:divBdr>
        <w:top w:val="none" w:sz="0" w:space="0" w:color="auto"/>
        <w:left w:val="none" w:sz="0" w:space="0" w:color="auto"/>
        <w:bottom w:val="none" w:sz="0" w:space="0" w:color="auto"/>
        <w:right w:val="none" w:sz="0" w:space="0" w:color="auto"/>
      </w:divBdr>
    </w:div>
    <w:div w:id="1374191220">
      <w:bodyDiv w:val="1"/>
      <w:marLeft w:val="0"/>
      <w:marRight w:val="0"/>
      <w:marTop w:val="0"/>
      <w:marBottom w:val="0"/>
      <w:divBdr>
        <w:top w:val="none" w:sz="0" w:space="0" w:color="auto"/>
        <w:left w:val="none" w:sz="0" w:space="0" w:color="auto"/>
        <w:bottom w:val="none" w:sz="0" w:space="0" w:color="auto"/>
        <w:right w:val="none" w:sz="0" w:space="0" w:color="auto"/>
      </w:divBdr>
    </w:div>
    <w:div w:id="1375278229">
      <w:bodyDiv w:val="1"/>
      <w:marLeft w:val="0"/>
      <w:marRight w:val="0"/>
      <w:marTop w:val="0"/>
      <w:marBottom w:val="0"/>
      <w:divBdr>
        <w:top w:val="none" w:sz="0" w:space="0" w:color="auto"/>
        <w:left w:val="none" w:sz="0" w:space="0" w:color="auto"/>
        <w:bottom w:val="none" w:sz="0" w:space="0" w:color="auto"/>
        <w:right w:val="none" w:sz="0" w:space="0" w:color="auto"/>
      </w:divBdr>
    </w:div>
    <w:div w:id="1376588254">
      <w:bodyDiv w:val="1"/>
      <w:marLeft w:val="0"/>
      <w:marRight w:val="0"/>
      <w:marTop w:val="0"/>
      <w:marBottom w:val="0"/>
      <w:divBdr>
        <w:top w:val="none" w:sz="0" w:space="0" w:color="auto"/>
        <w:left w:val="none" w:sz="0" w:space="0" w:color="auto"/>
        <w:bottom w:val="none" w:sz="0" w:space="0" w:color="auto"/>
        <w:right w:val="none" w:sz="0" w:space="0" w:color="auto"/>
      </w:divBdr>
    </w:div>
    <w:div w:id="1376924098">
      <w:bodyDiv w:val="1"/>
      <w:marLeft w:val="0"/>
      <w:marRight w:val="0"/>
      <w:marTop w:val="0"/>
      <w:marBottom w:val="0"/>
      <w:divBdr>
        <w:top w:val="none" w:sz="0" w:space="0" w:color="auto"/>
        <w:left w:val="none" w:sz="0" w:space="0" w:color="auto"/>
        <w:bottom w:val="none" w:sz="0" w:space="0" w:color="auto"/>
        <w:right w:val="none" w:sz="0" w:space="0" w:color="auto"/>
      </w:divBdr>
    </w:div>
    <w:div w:id="1376927016">
      <w:bodyDiv w:val="1"/>
      <w:marLeft w:val="0"/>
      <w:marRight w:val="0"/>
      <w:marTop w:val="0"/>
      <w:marBottom w:val="0"/>
      <w:divBdr>
        <w:top w:val="none" w:sz="0" w:space="0" w:color="auto"/>
        <w:left w:val="none" w:sz="0" w:space="0" w:color="auto"/>
        <w:bottom w:val="none" w:sz="0" w:space="0" w:color="auto"/>
        <w:right w:val="none" w:sz="0" w:space="0" w:color="auto"/>
      </w:divBdr>
    </w:div>
    <w:div w:id="1377122716">
      <w:bodyDiv w:val="1"/>
      <w:marLeft w:val="0"/>
      <w:marRight w:val="0"/>
      <w:marTop w:val="0"/>
      <w:marBottom w:val="0"/>
      <w:divBdr>
        <w:top w:val="none" w:sz="0" w:space="0" w:color="auto"/>
        <w:left w:val="none" w:sz="0" w:space="0" w:color="auto"/>
        <w:bottom w:val="none" w:sz="0" w:space="0" w:color="auto"/>
        <w:right w:val="none" w:sz="0" w:space="0" w:color="auto"/>
      </w:divBdr>
    </w:div>
    <w:div w:id="1378966693">
      <w:bodyDiv w:val="1"/>
      <w:marLeft w:val="0"/>
      <w:marRight w:val="0"/>
      <w:marTop w:val="0"/>
      <w:marBottom w:val="0"/>
      <w:divBdr>
        <w:top w:val="none" w:sz="0" w:space="0" w:color="auto"/>
        <w:left w:val="none" w:sz="0" w:space="0" w:color="auto"/>
        <w:bottom w:val="none" w:sz="0" w:space="0" w:color="auto"/>
        <w:right w:val="none" w:sz="0" w:space="0" w:color="auto"/>
      </w:divBdr>
    </w:div>
    <w:div w:id="1379740927">
      <w:bodyDiv w:val="1"/>
      <w:marLeft w:val="0"/>
      <w:marRight w:val="0"/>
      <w:marTop w:val="0"/>
      <w:marBottom w:val="0"/>
      <w:divBdr>
        <w:top w:val="none" w:sz="0" w:space="0" w:color="auto"/>
        <w:left w:val="none" w:sz="0" w:space="0" w:color="auto"/>
        <w:bottom w:val="none" w:sz="0" w:space="0" w:color="auto"/>
        <w:right w:val="none" w:sz="0" w:space="0" w:color="auto"/>
      </w:divBdr>
    </w:div>
    <w:div w:id="1379741643">
      <w:bodyDiv w:val="1"/>
      <w:marLeft w:val="0"/>
      <w:marRight w:val="0"/>
      <w:marTop w:val="0"/>
      <w:marBottom w:val="0"/>
      <w:divBdr>
        <w:top w:val="none" w:sz="0" w:space="0" w:color="auto"/>
        <w:left w:val="none" w:sz="0" w:space="0" w:color="auto"/>
        <w:bottom w:val="none" w:sz="0" w:space="0" w:color="auto"/>
        <w:right w:val="none" w:sz="0" w:space="0" w:color="auto"/>
      </w:divBdr>
    </w:div>
    <w:div w:id="1380396307">
      <w:bodyDiv w:val="1"/>
      <w:marLeft w:val="0"/>
      <w:marRight w:val="0"/>
      <w:marTop w:val="0"/>
      <w:marBottom w:val="0"/>
      <w:divBdr>
        <w:top w:val="none" w:sz="0" w:space="0" w:color="auto"/>
        <w:left w:val="none" w:sz="0" w:space="0" w:color="auto"/>
        <w:bottom w:val="none" w:sz="0" w:space="0" w:color="auto"/>
        <w:right w:val="none" w:sz="0" w:space="0" w:color="auto"/>
      </w:divBdr>
    </w:div>
    <w:div w:id="1380517193">
      <w:bodyDiv w:val="1"/>
      <w:marLeft w:val="0"/>
      <w:marRight w:val="0"/>
      <w:marTop w:val="0"/>
      <w:marBottom w:val="0"/>
      <w:divBdr>
        <w:top w:val="none" w:sz="0" w:space="0" w:color="auto"/>
        <w:left w:val="none" w:sz="0" w:space="0" w:color="auto"/>
        <w:bottom w:val="none" w:sz="0" w:space="0" w:color="auto"/>
        <w:right w:val="none" w:sz="0" w:space="0" w:color="auto"/>
      </w:divBdr>
    </w:div>
    <w:div w:id="1381514676">
      <w:bodyDiv w:val="1"/>
      <w:marLeft w:val="0"/>
      <w:marRight w:val="0"/>
      <w:marTop w:val="0"/>
      <w:marBottom w:val="0"/>
      <w:divBdr>
        <w:top w:val="none" w:sz="0" w:space="0" w:color="auto"/>
        <w:left w:val="none" w:sz="0" w:space="0" w:color="auto"/>
        <w:bottom w:val="none" w:sz="0" w:space="0" w:color="auto"/>
        <w:right w:val="none" w:sz="0" w:space="0" w:color="auto"/>
      </w:divBdr>
    </w:div>
    <w:div w:id="1382679126">
      <w:bodyDiv w:val="1"/>
      <w:marLeft w:val="0"/>
      <w:marRight w:val="0"/>
      <w:marTop w:val="0"/>
      <w:marBottom w:val="0"/>
      <w:divBdr>
        <w:top w:val="none" w:sz="0" w:space="0" w:color="auto"/>
        <w:left w:val="none" w:sz="0" w:space="0" w:color="auto"/>
        <w:bottom w:val="none" w:sz="0" w:space="0" w:color="auto"/>
        <w:right w:val="none" w:sz="0" w:space="0" w:color="auto"/>
      </w:divBdr>
    </w:div>
    <w:div w:id="1383214226">
      <w:bodyDiv w:val="1"/>
      <w:marLeft w:val="0"/>
      <w:marRight w:val="0"/>
      <w:marTop w:val="0"/>
      <w:marBottom w:val="0"/>
      <w:divBdr>
        <w:top w:val="none" w:sz="0" w:space="0" w:color="auto"/>
        <w:left w:val="none" w:sz="0" w:space="0" w:color="auto"/>
        <w:bottom w:val="none" w:sz="0" w:space="0" w:color="auto"/>
        <w:right w:val="none" w:sz="0" w:space="0" w:color="auto"/>
      </w:divBdr>
    </w:div>
    <w:div w:id="1383405500">
      <w:bodyDiv w:val="1"/>
      <w:marLeft w:val="0"/>
      <w:marRight w:val="0"/>
      <w:marTop w:val="0"/>
      <w:marBottom w:val="0"/>
      <w:divBdr>
        <w:top w:val="none" w:sz="0" w:space="0" w:color="auto"/>
        <w:left w:val="none" w:sz="0" w:space="0" w:color="auto"/>
        <w:bottom w:val="none" w:sz="0" w:space="0" w:color="auto"/>
        <w:right w:val="none" w:sz="0" w:space="0" w:color="auto"/>
      </w:divBdr>
    </w:div>
    <w:div w:id="1383746220">
      <w:bodyDiv w:val="1"/>
      <w:marLeft w:val="0"/>
      <w:marRight w:val="0"/>
      <w:marTop w:val="0"/>
      <w:marBottom w:val="0"/>
      <w:divBdr>
        <w:top w:val="none" w:sz="0" w:space="0" w:color="auto"/>
        <w:left w:val="none" w:sz="0" w:space="0" w:color="auto"/>
        <w:bottom w:val="none" w:sz="0" w:space="0" w:color="auto"/>
        <w:right w:val="none" w:sz="0" w:space="0" w:color="auto"/>
      </w:divBdr>
    </w:div>
    <w:div w:id="1384475939">
      <w:bodyDiv w:val="1"/>
      <w:marLeft w:val="0"/>
      <w:marRight w:val="0"/>
      <w:marTop w:val="0"/>
      <w:marBottom w:val="0"/>
      <w:divBdr>
        <w:top w:val="none" w:sz="0" w:space="0" w:color="auto"/>
        <w:left w:val="none" w:sz="0" w:space="0" w:color="auto"/>
        <w:bottom w:val="none" w:sz="0" w:space="0" w:color="auto"/>
        <w:right w:val="none" w:sz="0" w:space="0" w:color="auto"/>
      </w:divBdr>
    </w:div>
    <w:div w:id="1385637899">
      <w:bodyDiv w:val="1"/>
      <w:marLeft w:val="0"/>
      <w:marRight w:val="0"/>
      <w:marTop w:val="0"/>
      <w:marBottom w:val="0"/>
      <w:divBdr>
        <w:top w:val="none" w:sz="0" w:space="0" w:color="auto"/>
        <w:left w:val="none" w:sz="0" w:space="0" w:color="auto"/>
        <w:bottom w:val="none" w:sz="0" w:space="0" w:color="auto"/>
        <w:right w:val="none" w:sz="0" w:space="0" w:color="auto"/>
      </w:divBdr>
    </w:div>
    <w:div w:id="1386443884">
      <w:bodyDiv w:val="1"/>
      <w:marLeft w:val="0"/>
      <w:marRight w:val="0"/>
      <w:marTop w:val="0"/>
      <w:marBottom w:val="0"/>
      <w:divBdr>
        <w:top w:val="none" w:sz="0" w:space="0" w:color="auto"/>
        <w:left w:val="none" w:sz="0" w:space="0" w:color="auto"/>
        <w:bottom w:val="none" w:sz="0" w:space="0" w:color="auto"/>
        <w:right w:val="none" w:sz="0" w:space="0" w:color="auto"/>
      </w:divBdr>
    </w:div>
    <w:div w:id="1386905586">
      <w:bodyDiv w:val="1"/>
      <w:marLeft w:val="0"/>
      <w:marRight w:val="0"/>
      <w:marTop w:val="0"/>
      <w:marBottom w:val="0"/>
      <w:divBdr>
        <w:top w:val="none" w:sz="0" w:space="0" w:color="auto"/>
        <w:left w:val="none" w:sz="0" w:space="0" w:color="auto"/>
        <w:bottom w:val="none" w:sz="0" w:space="0" w:color="auto"/>
        <w:right w:val="none" w:sz="0" w:space="0" w:color="auto"/>
      </w:divBdr>
    </w:div>
    <w:div w:id="1386946470">
      <w:bodyDiv w:val="1"/>
      <w:marLeft w:val="0"/>
      <w:marRight w:val="0"/>
      <w:marTop w:val="0"/>
      <w:marBottom w:val="0"/>
      <w:divBdr>
        <w:top w:val="none" w:sz="0" w:space="0" w:color="auto"/>
        <w:left w:val="none" w:sz="0" w:space="0" w:color="auto"/>
        <w:bottom w:val="none" w:sz="0" w:space="0" w:color="auto"/>
        <w:right w:val="none" w:sz="0" w:space="0" w:color="auto"/>
      </w:divBdr>
    </w:div>
    <w:div w:id="1387070243">
      <w:bodyDiv w:val="1"/>
      <w:marLeft w:val="0"/>
      <w:marRight w:val="0"/>
      <w:marTop w:val="0"/>
      <w:marBottom w:val="0"/>
      <w:divBdr>
        <w:top w:val="none" w:sz="0" w:space="0" w:color="auto"/>
        <w:left w:val="none" w:sz="0" w:space="0" w:color="auto"/>
        <w:bottom w:val="none" w:sz="0" w:space="0" w:color="auto"/>
        <w:right w:val="none" w:sz="0" w:space="0" w:color="auto"/>
      </w:divBdr>
    </w:div>
    <w:div w:id="1387144026">
      <w:bodyDiv w:val="1"/>
      <w:marLeft w:val="0"/>
      <w:marRight w:val="0"/>
      <w:marTop w:val="0"/>
      <w:marBottom w:val="0"/>
      <w:divBdr>
        <w:top w:val="none" w:sz="0" w:space="0" w:color="auto"/>
        <w:left w:val="none" w:sz="0" w:space="0" w:color="auto"/>
        <w:bottom w:val="none" w:sz="0" w:space="0" w:color="auto"/>
        <w:right w:val="none" w:sz="0" w:space="0" w:color="auto"/>
      </w:divBdr>
    </w:div>
    <w:div w:id="1389067827">
      <w:bodyDiv w:val="1"/>
      <w:marLeft w:val="0"/>
      <w:marRight w:val="0"/>
      <w:marTop w:val="0"/>
      <w:marBottom w:val="0"/>
      <w:divBdr>
        <w:top w:val="none" w:sz="0" w:space="0" w:color="auto"/>
        <w:left w:val="none" w:sz="0" w:space="0" w:color="auto"/>
        <w:bottom w:val="none" w:sz="0" w:space="0" w:color="auto"/>
        <w:right w:val="none" w:sz="0" w:space="0" w:color="auto"/>
      </w:divBdr>
    </w:div>
    <w:div w:id="1389379495">
      <w:bodyDiv w:val="1"/>
      <w:marLeft w:val="0"/>
      <w:marRight w:val="0"/>
      <w:marTop w:val="0"/>
      <w:marBottom w:val="0"/>
      <w:divBdr>
        <w:top w:val="none" w:sz="0" w:space="0" w:color="auto"/>
        <w:left w:val="none" w:sz="0" w:space="0" w:color="auto"/>
        <w:bottom w:val="none" w:sz="0" w:space="0" w:color="auto"/>
        <w:right w:val="none" w:sz="0" w:space="0" w:color="auto"/>
      </w:divBdr>
    </w:div>
    <w:div w:id="1389573388">
      <w:bodyDiv w:val="1"/>
      <w:marLeft w:val="0"/>
      <w:marRight w:val="0"/>
      <w:marTop w:val="0"/>
      <w:marBottom w:val="0"/>
      <w:divBdr>
        <w:top w:val="none" w:sz="0" w:space="0" w:color="auto"/>
        <w:left w:val="none" w:sz="0" w:space="0" w:color="auto"/>
        <w:bottom w:val="none" w:sz="0" w:space="0" w:color="auto"/>
        <w:right w:val="none" w:sz="0" w:space="0" w:color="auto"/>
      </w:divBdr>
    </w:div>
    <w:div w:id="1390300573">
      <w:bodyDiv w:val="1"/>
      <w:marLeft w:val="0"/>
      <w:marRight w:val="0"/>
      <w:marTop w:val="0"/>
      <w:marBottom w:val="0"/>
      <w:divBdr>
        <w:top w:val="none" w:sz="0" w:space="0" w:color="auto"/>
        <w:left w:val="none" w:sz="0" w:space="0" w:color="auto"/>
        <w:bottom w:val="none" w:sz="0" w:space="0" w:color="auto"/>
        <w:right w:val="none" w:sz="0" w:space="0" w:color="auto"/>
      </w:divBdr>
    </w:div>
    <w:div w:id="1391617276">
      <w:bodyDiv w:val="1"/>
      <w:marLeft w:val="0"/>
      <w:marRight w:val="0"/>
      <w:marTop w:val="0"/>
      <w:marBottom w:val="0"/>
      <w:divBdr>
        <w:top w:val="none" w:sz="0" w:space="0" w:color="auto"/>
        <w:left w:val="none" w:sz="0" w:space="0" w:color="auto"/>
        <w:bottom w:val="none" w:sz="0" w:space="0" w:color="auto"/>
        <w:right w:val="none" w:sz="0" w:space="0" w:color="auto"/>
      </w:divBdr>
    </w:div>
    <w:div w:id="1392071957">
      <w:bodyDiv w:val="1"/>
      <w:marLeft w:val="0"/>
      <w:marRight w:val="0"/>
      <w:marTop w:val="0"/>
      <w:marBottom w:val="0"/>
      <w:divBdr>
        <w:top w:val="none" w:sz="0" w:space="0" w:color="auto"/>
        <w:left w:val="none" w:sz="0" w:space="0" w:color="auto"/>
        <w:bottom w:val="none" w:sz="0" w:space="0" w:color="auto"/>
        <w:right w:val="none" w:sz="0" w:space="0" w:color="auto"/>
      </w:divBdr>
    </w:div>
    <w:div w:id="1392728680">
      <w:bodyDiv w:val="1"/>
      <w:marLeft w:val="0"/>
      <w:marRight w:val="0"/>
      <w:marTop w:val="0"/>
      <w:marBottom w:val="0"/>
      <w:divBdr>
        <w:top w:val="none" w:sz="0" w:space="0" w:color="auto"/>
        <w:left w:val="none" w:sz="0" w:space="0" w:color="auto"/>
        <w:bottom w:val="none" w:sz="0" w:space="0" w:color="auto"/>
        <w:right w:val="none" w:sz="0" w:space="0" w:color="auto"/>
      </w:divBdr>
    </w:div>
    <w:div w:id="1393191025">
      <w:bodyDiv w:val="1"/>
      <w:marLeft w:val="0"/>
      <w:marRight w:val="0"/>
      <w:marTop w:val="0"/>
      <w:marBottom w:val="0"/>
      <w:divBdr>
        <w:top w:val="none" w:sz="0" w:space="0" w:color="auto"/>
        <w:left w:val="none" w:sz="0" w:space="0" w:color="auto"/>
        <w:bottom w:val="none" w:sz="0" w:space="0" w:color="auto"/>
        <w:right w:val="none" w:sz="0" w:space="0" w:color="auto"/>
      </w:divBdr>
    </w:div>
    <w:div w:id="1393654476">
      <w:bodyDiv w:val="1"/>
      <w:marLeft w:val="0"/>
      <w:marRight w:val="0"/>
      <w:marTop w:val="0"/>
      <w:marBottom w:val="0"/>
      <w:divBdr>
        <w:top w:val="none" w:sz="0" w:space="0" w:color="auto"/>
        <w:left w:val="none" w:sz="0" w:space="0" w:color="auto"/>
        <w:bottom w:val="none" w:sz="0" w:space="0" w:color="auto"/>
        <w:right w:val="none" w:sz="0" w:space="0" w:color="auto"/>
      </w:divBdr>
    </w:div>
    <w:div w:id="1394431794">
      <w:bodyDiv w:val="1"/>
      <w:marLeft w:val="0"/>
      <w:marRight w:val="0"/>
      <w:marTop w:val="0"/>
      <w:marBottom w:val="0"/>
      <w:divBdr>
        <w:top w:val="none" w:sz="0" w:space="0" w:color="auto"/>
        <w:left w:val="none" w:sz="0" w:space="0" w:color="auto"/>
        <w:bottom w:val="none" w:sz="0" w:space="0" w:color="auto"/>
        <w:right w:val="none" w:sz="0" w:space="0" w:color="auto"/>
      </w:divBdr>
    </w:div>
    <w:div w:id="1394622059">
      <w:bodyDiv w:val="1"/>
      <w:marLeft w:val="0"/>
      <w:marRight w:val="0"/>
      <w:marTop w:val="0"/>
      <w:marBottom w:val="0"/>
      <w:divBdr>
        <w:top w:val="none" w:sz="0" w:space="0" w:color="auto"/>
        <w:left w:val="none" w:sz="0" w:space="0" w:color="auto"/>
        <w:bottom w:val="none" w:sz="0" w:space="0" w:color="auto"/>
        <w:right w:val="none" w:sz="0" w:space="0" w:color="auto"/>
      </w:divBdr>
    </w:div>
    <w:div w:id="1395736855">
      <w:bodyDiv w:val="1"/>
      <w:marLeft w:val="0"/>
      <w:marRight w:val="0"/>
      <w:marTop w:val="0"/>
      <w:marBottom w:val="0"/>
      <w:divBdr>
        <w:top w:val="none" w:sz="0" w:space="0" w:color="auto"/>
        <w:left w:val="none" w:sz="0" w:space="0" w:color="auto"/>
        <w:bottom w:val="none" w:sz="0" w:space="0" w:color="auto"/>
        <w:right w:val="none" w:sz="0" w:space="0" w:color="auto"/>
      </w:divBdr>
    </w:div>
    <w:div w:id="1397631047">
      <w:bodyDiv w:val="1"/>
      <w:marLeft w:val="0"/>
      <w:marRight w:val="0"/>
      <w:marTop w:val="0"/>
      <w:marBottom w:val="0"/>
      <w:divBdr>
        <w:top w:val="none" w:sz="0" w:space="0" w:color="auto"/>
        <w:left w:val="none" w:sz="0" w:space="0" w:color="auto"/>
        <w:bottom w:val="none" w:sz="0" w:space="0" w:color="auto"/>
        <w:right w:val="none" w:sz="0" w:space="0" w:color="auto"/>
      </w:divBdr>
    </w:div>
    <w:div w:id="1398477045">
      <w:bodyDiv w:val="1"/>
      <w:marLeft w:val="0"/>
      <w:marRight w:val="0"/>
      <w:marTop w:val="0"/>
      <w:marBottom w:val="0"/>
      <w:divBdr>
        <w:top w:val="none" w:sz="0" w:space="0" w:color="auto"/>
        <w:left w:val="none" w:sz="0" w:space="0" w:color="auto"/>
        <w:bottom w:val="none" w:sz="0" w:space="0" w:color="auto"/>
        <w:right w:val="none" w:sz="0" w:space="0" w:color="auto"/>
      </w:divBdr>
    </w:div>
    <w:div w:id="1400640914">
      <w:bodyDiv w:val="1"/>
      <w:marLeft w:val="0"/>
      <w:marRight w:val="0"/>
      <w:marTop w:val="0"/>
      <w:marBottom w:val="0"/>
      <w:divBdr>
        <w:top w:val="none" w:sz="0" w:space="0" w:color="auto"/>
        <w:left w:val="none" w:sz="0" w:space="0" w:color="auto"/>
        <w:bottom w:val="none" w:sz="0" w:space="0" w:color="auto"/>
        <w:right w:val="none" w:sz="0" w:space="0" w:color="auto"/>
      </w:divBdr>
    </w:div>
    <w:div w:id="1401363215">
      <w:bodyDiv w:val="1"/>
      <w:marLeft w:val="0"/>
      <w:marRight w:val="0"/>
      <w:marTop w:val="0"/>
      <w:marBottom w:val="0"/>
      <w:divBdr>
        <w:top w:val="none" w:sz="0" w:space="0" w:color="auto"/>
        <w:left w:val="none" w:sz="0" w:space="0" w:color="auto"/>
        <w:bottom w:val="none" w:sz="0" w:space="0" w:color="auto"/>
        <w:right w:val="none" w:sz="0" w:space="0" w:color="auto"/>
      </w:divBdr>
    </w:div>
    <w:div w:id="1402554585">
      <w:bodyDiv w:val="1"/>
      <w:marLeft w:val="0"/>
      <w:marRight w:val="0"/>
      <w:marTop w:val="0"/>
      <w:marBottom w:val="0"/>
      <w:divBdr>
        <w:top w:val="none" w:sz="0" w:space="0" w:color="auto"/>
        <w:left w:val="none" w:sz="0" w:space="0" w:color="auto"/>
        <w:bottom w:val="none" w:sz="0" w:space="0" w:color="auto"/>
        <w:right w:val="none" w:sz="0" w:space="0" w:color="auto"/>
      </w:divBdr>
    </w:div>
    <w:div w:id="1404182183">
      <w:bodyDiv w:val="1"/>
      <w:marLeft w:val="0"/>
      <w:marRight w:val="0"/>
      <w:marTop w:val="0"/>
      <w:marBottom w:val="0"/>
      <w:divBdr>
        <w:top w:val="none" w:sz="0" w:space="0" w:color="auto"/>
        <w:left w:val="none" w:sz="0" w:space="0" w:color="auto"/>
        <w:bottom w:val="none" w:sz="0" w:space="0" w:color="auto"/>
        <w:right w:val="none" w:sz="0" w:space="0" w:color="auto"/>
      </w:divBdr>
    </w:div>
    <w:div w:id="1404909234">
      <w:bodyDiv w:val="1"/>
      <w:marLeft w:val="0"/>
      <w:marRight w:val="0"/>
      <w:marTop w:val="0"/>
      <w:marBottom w:val="0"/>
      <w:divBdr>
        <w:top w:val="none" w:sz="0" w:space="0" w:color="auto"/>
        <w:left w:val="none" w:sz="0" w:space="0" w:color="auto"/>
        <w:bottom w:val="none" w:sz="0" w:space="0" w:color="auto"/>
        <w:right w:val="none" w:sz="0" w:space="0" w:color="auto"/>
      </w:divBdr>
    </w:div>
    <w:div w:id="1405756537">
      <w:bodyDiv w:val="1"/>
      <w:marLeft w:val="0"/>
      <w:marRight w:val="0"/>
      <w:marTop w:val="0"/>
      <w:marBottom w:val="0"/>
      <w:divBdr>
        <w:top w:val="none" w:sz="0" w:space="0" w:color="auto"/>
        <w:left w:val="none" w:sz="0" w:space="0" w:color="auto"/>
        <w:bottom w:val="none" w:sz="0" w:space="0" w:color="auto"/>
        <w:right w:val="none" w:sz="0" w:space="0" w:color="auto"/>
      </w:divBdr>
    </w:div>
    <w:div w:id="1407533321">
      <w:bodyDiv w:val="1"/>
      <w:marLeft w:val="0"/>
      <w:marRight w:val="0"/>
      <w:marTop w:val="0"/>
      <w:marBottom w:val="0"/>
      <w:divBdr>
        <w:top w:val="none" w:sz="0" w:space="0" w:color="auto"/>
        <w:left w:val="none" w:sz="0" w:space="0" w:color="auto"/>
        <w:bottom w:val="none" w:sz="0" w:space="0" w:color="auto"/>
        <w:right w:val="none" w:sz="0" w:space="0" w:color="auto"/>
      </w:divBdr>
    </w:div>
    <w:div w:id="1408260464">
      <w:bodyDiv w:val="1"/>
      <w:marLeft w:val="0"/>
      <w:marRight w:val="0"/>
      <w:marTop w:val="0"/>
      <w:marBottom w:val="0"/>
      <w:divBdr>
        <w:top w:val="none" w:sz="0" w:space="0" w:color="auto"/>
        <w:left w:val="none" w:sz="0" w:space="0" w:color="auto"/>
        <w:bottom w:val="none" w:sz="0" w:space="0" w:color="auto"/>
        <w:right w:val="none" w:sz="0" w:space="0" w:color="auto"/>
      </w:divBdr>
    </w:div>
    <w:div w:id="1408697348">
      <w:bodyDiv w:val="1"/>
      <w:marLeft w:val="0"/>
      <w:marRight w:val="0"/>
      <w:marTop w:val="0"/>
      <w:marBottom w:val="0"/>
      <w:divBdr>
        <w:top w:val="none" w:sz="0" w:space="0" w:color="auto"/>
        <w:left w:val="none" w:sz="0" w:space="0" w:color="auto"/>
        <w:bottom w:val="none" w:sz="0" w:space="0" w:color="auto"/>
        <w:right w:val="none" w:sz="0" w:space="0" w:color="auto"/>
      </w:divBdr>
    </w:div>
    <w:div w:id="1410424278">
      <w:bodyDiv w:val="1"/>
      <w:marLeft w:val="0"/>
      <w:marRight w:val="0"/>
      <w:marTop w:val="0"/>
      <w:marBottom w:val="0"/>
      <w:divBdr>
        <w:top w:val="none" w:sz="0" w:space="0" w:color="auto"/>
        <w:left w:val="none" w:sz="0" w:space="0" w:color="auto"/>
        <w:bottom w:val="none" w:sz="0" w:space="0" w:color="auto"/>
        <w:right w:val="none" w:sz="0" w:space="0" w:color="auto"/>
      </w:divBdr>
    </w:div>
    <w:div w:id="1411342600">
      <w:bodyDiv w:val="1"/>
      <w:marLeft w:val="0"/>
      <w:marRight w:val="0"/>
      <w:marTop w:val="0"/>
      <w:marBottom w:val="0"/>
      <w:divBdr>
        <w:top w:val="none" w:sz="0" w:space="0" w:color="auto"/>
        <w:left w:val="none" w:sz="0" w:space="0" w:color="auto"/>
        <w:bottom w:val="none" w:sz="0" w:space="0" w:color="auto"/>
        <w:right w:val="none" w:sz="0" w:space="0" w:color="auto"/>
      </w:divBdr>
    </w:div>
    <w:div w:id="1411854905">
      <w:bodyDiv w:val="1"/>
      <w:marLeft w:val="0"/>
      <w:marRight w:val="0"/>
      <w:marTop w:val="0"/>
      <w:marBottom w:val="0"/>
      <w:divBdr>
        <w:top w:val="none" w:sz="0" w:space="0" w:color="auto"/>
        <w:left w:val="none" w:sz="0" w:space="0" w:color="auto"/>
        <w:bottom w:val="none" w:sz="0" w:space="0" w:color="auto"/>
        <w:right w:val="none" w:sz="0" w:space="0" w:color="auto"/>
      </w:divBdr>
    </w:div>
    <w:div w:id="1413047196">
      <w:bodyDiv w:val="1"/>
      <w:marLeft w:val="0"/>
      <w:marRight w:val="0"/>
      <w:marTop w:val="0"/>
      <w:marBottom w:val="0"/>
      <w:divBdr>
        <w:top w:val="none" w:sz="0" w:space="0" w:color="auto"/>
        <w:left w:val="none" w:sz="0" w:space="0" w:color="auto"/>
        <w:bottom w:val="none" w:sz="0" w:space="0" w:color="auto"/>
        <w:right w:val="none" w:sz="0" w:space="0" w:color="auto"/>
      </w:divBdr>
    </w:div>
    <w:div w:id="1417169660">
      <w:bodyDiv w:val="1"/>
      <w:marLeft w:val="0"/>
      <w:marRight w:val="0"/>
      <w:marTop w:val="0"/>
      <w:marBottom w:val="0"/>
      <w:divBdr>
        <w:top w:val="none" w:sz="0" w:space="0" w:color="auto"/>
        <w:left w:val="none" w:sz="0" w:space="0" w:color="auto"/>
        <w:bottom w:val="none" w:sz="0" w:space="0" w:color="auto"/>
        <w:right w:val="none" w:sz="0" w:space="0" w:color="auto"/>
      </w:divBdr>
    </w:div>
    <w:div w:id="1417246113">
      <w:bodyDiv w:val="1"/>
      <w:marLeft w:val="0"/>
      <w:marRight w:val="0"/>
      <w:marTop w:val="0"/>
      <w:marBottom w:val="0"/>
      <w:divBdr>
        <w:top w:val="none" w:sz="0" w:space="0" w:color="auto"/>
        <w:left w:val="none" w:sz="0" w:space="0" w:color="auto"/>
        <w:bottom w:val="none" w:sz="0" w:space="0" w:color="auto"/>
        <w:right w:val="none" w:sz="0" w:space="0" w:color="auto"/>
      </w:divBdr>
    </w:div>
    <w:div w:id="1417362800">
      <w:bodyDiv w:val="1"/>
      <w:marLeft w:val="0"/>
      <w:marRight w:val="0"/>
      <w:marTop w:val="0"/>
      <w:marBottom w:val="0"/>
      <w:divBdr>
        <w:top w:val="none" w:sz="0" w:space="0" w:color="auto"/>
        <w:left w:val="none" w:sz="0" w:space="0" w:color="auto"/>
        <w:bottom w:val="none" w:sz="0" w:space="0" w:color="auto"/>
        <w:right w:val="none" w:sz="0" w:space="0" w:color="auto"/>
      </w:divBdr>
    </w:div>
    <w:div w:id="1417902922">
      <w:bodyDiv w:val="1"/>
      <w:marLeft w:val="0"/>
      <w:marRight w:val="0"/>
      <w:marTop w:val="0"/>
      <w:marBottom w:val="0"/>
      <w:divBdr>
        <w:top w:val="none" w:sz="0" w:space="0" w:color="auto"/>
        <w:left w:val="none" w:sz="0" w:space="0" w:color="auto"/>
        <w:bottom w:val="none" w:sz="0" w:space="0" w:color="auto"/>
        <w:right w:val="none" w:sz="0" w:space="0" w:color="auto"/>
      </w:divBdr>
    </w:div>
    <w:div w:id="1418135680">
      <w:bodyDiv w:val="1"/>
      <w:marLeft w:val="0"/>
      <w:marRight w:val="0"/>
      <w:marTop w:val="0"/>
      <w:marBottom w:val="0"/>
      <w:divBdr>
        <w:top w:val="none" w:sz="0" w:space="0" w:color="auto"/>
        <w:left w:val="none" w:sz="0" w:space="0" w:color="auto"/>
        <w:bottom w:val="none" w:sz="0" w:space="0" w:color="auto"/>
        <w:right w:val="none" w:sz="0" w:space="0" w:color="auto"/>
      </w:divBdr>
    </w:div>
    <w:div w:id="1418408367">
      <w:bodyDiv w:val="1"/>
      <w:marLeft w:val="0"/>
      <w:marRight w:val="0"/>
      <w:marTop w:val="0"/>
      <w:marBottom w:val="0"/>
      <w:divBdr>
        <w:top w:val="none" w:sz="0" w:space="0" w:color="auto"/>
        <w:left w:val="none" w:sz="0" w:space="0" w:color="auto"/>
        <w:bottom w:val="none" w:sz="0" w:space="0" w:color="auto"/>
        <w:right w:val="none" w:sz="0" w:space="0" w:color="auto"/>
      </w:divBdr>
    </w:div>
    <w:div w:id="1419210906">
      <w:bodyDiv w:val="1"/>
      <w:marLeft w:val="0"/>
      <w:marRight w:val="0"/>
      <w:marTop w:val="0"/>
      <w:marBottom w:val="0"/>
      <w:divBdr>
        <w:top w:val="none" w:sz="0" w:space="0" w:color="auto"/>
        <w:left w:val="none" w:sz="0" w:space="0" w:color="auto"/>
        <w:bottom w:val="none" w:sz="0" w:space="0" w:color="auto"/>
        <w:right w:val="none" w:sz="0" w:space="0" w:color="auto"/>
      </w:divBdr>
    </w:div>
    <w:div w:id="1421484596">
      <w:bodyDiv w:val="1"/>
      <w:marLeft w:val="0"/>
      <w:marRight w:val="0"/>
      <w:marTop w:val="0"/>
      <w:marBottom w:val="0"/>
      <w:divBdr>
        <w:top w:val="none" w:sz="0" w:space="0" w:color="auto"/>
        <w:left w:val="none" w:sz="0" w:space="0" w:color="auto"/>
        <w:bottom w:val="none" w:sz="0" w:space="0" w:color="auto"/>
        <w:right w:val="none" w:sz="0" w:space="0" w:color="auto"/>
      </w:divBdr>
    </w:div>
    <w:div w:id="1422415712">
      <w:bodyDiv w:val="1"/>
      <w:marLeft w:val="0"/>
      <w:marRight w:val="0"/>
      <w:marTop w:val="0"/>
      <w:marBottom w:val="0"/>
      <w:divBdr>
        <w:top w:val="none" w:sz="0" w:space="0" w:color="auto"/>
        <w:left w:val="none" w:sz="0" w:space="0" w:color="auto"/>
        <w:bottom w:val="none" w:sz="0" w:space="0" w:color="auto"/>
        <w:right w:val="none" w:sz="0" w:space="0" w:color="auto"/>
      </w:divBdr>
    </w:div>
    <w:div w:id="1423140278">
      <w:bodyDiv w:val="1"/>
      <w:marLeft w:val="0"/>
      <w:marRight w:val="0"/>
      <w:marTop w:val="0"/>
      <w:marBottom w:val="0"/>
      <w:divBdr>
        <w:top w:val="none" w:sz="0" w:space="0" w:color="auto"/>
        <w:left w:val="none" w:sz="0" w:space="0" w:color="auto"/>
        <w:bottom w:val="none" w:sz="0" w:space="0" w:color="auto"/>
        <w:right w:val="none" w:sz="0" w:space="0" w:color="auto"/>
      </w:divBdr>
    </w:div>
    <w:div w:id="1425028454">
      <w:bodyDiv w:val="1"/>
      <w:marLeft w:val="0"/>
      <w:marRight w:val="0"/>
      <w:marTop w:val="0"/>
      <w:marBottom w:val="0"/>
      <w:divBdr>
        <w:top w:val="none" w:sz="0" w:space="0" w:color="auto"/>
        <w:left w:val="none" w:sz="0" w:space="0" w:color="auto"/>
        <w:bottom w:val="none" w:sz="0" w:space="0" w:color="auto"/>
        <w:right w:val="none" w:sz="0" w:space="0" w:color="auto"/>
      </w:divBdr>
    </w:div>
    <w:div w:id="1428161453">
      <w:bodyDiv w:val="1"/>
      <w:marLeft w:val="0"/>
      <w:marRight w:val="0"/>
      <w:marTop w:val="0"/>
      <w:marBottom w:val="0"/>
      <w:divBdr>
        <w:top w:val="none" w:sz="0" w:space="0" w:color="auto"/>
        <w:left w:val="none" w:sz="0" w:space="0" w:color="auto"/>
        <w:bottom w:val="none" w:sz="0" w:space="0" w:color="auto"/>
        <w:right w:val="none" w:sz="0" w:space="0" w:color="auto"/>
      </w:divBdr>
    </w:div>
    <w:div w:id="1429423146">
      <w:bodyDiv w:val="1"/>
      <w:marLeft w:val="0"/>
      <w:marRight w:val="0"/>
      <w:marTop w:val="0"/>
      <w:marBottom w:val="0"/>
      <w:divBdr>
        <w:top w:val="none" w:sz="0" w:space="0" w:color="auto"/>
        <w:left w:val="none" w:sz="0" w:space="0" w:color="auto"/>
        <w:bottom w:val="none" w:sz="0" w:space="0" w:color="auto"/>
        <w:right w:val="none" w:sz="0" w:space="0" w:color="auto"/>
      </w:divBdr>
    </w:div>
    <w:div w:id="1431438535">
      <w:bodyDiv w:val="1"/>
      <w:marLeft w:val="0"/>
      <w:marRight w:val="0"/>
      <w:marTop w:val="0"/>
      <w:marBottom w:val="0"/>
      <w:divBdr>
        <w:top w:val="none" w:sz="0" w:space="0" w:color="auto"/>
        <w:left w:val="none" w:sz="0" w:space="0" w:color="auto"/>
        <w:bottom w:val="none" w:sz="0" w:space="0" w:color="auto"/>
        <w:right w:val="none" w:sz="0" w:space="0" w:color="auto"/>
      </w:divBdr>
    </w:div>
    <w:div w:id="1433434256">
      <w:bodyDiv w:val="1"/>
      <w:marLeft w:val="0"/>
      <w:marRight w:val="0"/>
      <w:marTop w:val="0"/>
      <w:marBottom w:val="0"/>
      <w:divBdr>
        <w:top w:val="none" w:sz="0" w:space="0" w:color="auto"/>
        <w:left w:val="none" w:sz="0" w:space="0" w:color="auto"/>
        <w:bottom w:val="none" w:sz="0" w:space="0" w:color="auto"/>
        <w:right w:val="none" w:sz="0" w:space="0" w:color="auto"/>
      </w:divBdr>
    </w:div>
    <w:div w:id="1434008136">
      <w:bodyDiv w:val="1"/>
      <w:marLeft w:val="0"/>
      <w:marRight w:val="0"/>
      <w:marTop w:val="0"/>
      <w:marBottom w:val="0"/>
      <w:divBdr>
        <w:top w:val="none" w:sz="0" w:space="0" w:color="auto"/>
        <w:left w:val="none" w:sz="0" w:space="0" w:color="auto"/>
        <w:bottom w:val="none" w:sz="0" w:space="0" w:color="auto"/>
        <w:right w:val="none" w:sz="0" w:space="0" w:color="auto"/>
      </w:divBdr>
    </w:div>
    <w:div w:id="1436511250">
      <w:bodyDiv w:val="1"/>
      <w:marLeft w:val="0"/>
      <w:marRight w:val="0"/>
      <w:marTop w:val="0"/>
      <w:marBottom w:val="0"/>
      <w:divBdr>
        <w:top w:val="none" w:sz="0" w:space="0" w:color="auto"/>
        <w:left w:val="none" w:sz="0" w:space="0" w:color="auto"/>
        <w:bottom w:val="none" w:sz="0" w:space="0" w:color="auto"/>
        <w:right w:val="none" w:sz="0" w:space="0" w:color="auto"/>
      </w:divBdr>
    </w:div>
    <w:div w:id="1437096176">
      <w:bodyDiv w:val="1"/>
      <w:marLeft w:val="0"/>
      <w:marRight w:val="0"/>
      <w:marTop w:val="0"/>
      <w:marBottom w:val="0"/>
      <w:divBdr>
        <w:top w:val="none" w:sz="0" w:space="0" w:color="auto"/>
        <w:left w:val="none" w:sz="0" w:space="0" w:color="auto"/>
        <w:bottom w:val="none" w:sz="0" w:space="0" w:color="auto"/>
        <w:right w:val="none" w:sz="0" w:space="0" w:color="auto"/>
      </w:divBdr>
    </w:div>
    <w:div w:id="1437561157">
      <w:bodyDiv w:val="1"/>
      <w:marLeft w:val="0"/>
      <w:marRight w:val="0"/>
      <w:marTop w:val="0"/>
      <w:marBottom w:val="0"/>
      <w:divBdr>
        <w:top w:val="none" w:sz="0" w:space="0" w:color="auto"/>
        <w:left w:val="none" w:sz="0" w:space="0" w:color="auto"/>
        <w:bottom w:val="none" w:sz="0" w:space="0" w:color="auto"/>
        <w:right w:val="none" w:sz="0" w:space="0" w:color="auto"/>
      </w:divBdr>
    </w:div>
    <w:div w:id="1437676111">
      <w:bodyDiv w:val="1"/>
      <w:marLeft w:val="0"/>
      <w:marRight w:val="0"/>
      <w:marTop w:val="0"/>
      <w:marBottom w:val="0"/>
      <w:divBdr>
        <w:top w:val="none" w:sz="0" w:space="0" w:color="auto"/>
        <w:left w:val="none" w:sz="0" w:space="0" w:color="auto"/>
        <w:bottom w:val="none" w:sz="0" w:space="0" w:color="auto"/>
        <w:right w:val="none" w:sz="0" w:space="0" w:color="auto"/>
      </w:divBdr>
    </w:div>
    <w:div w:id="1438872811">
      <w:bodyDiv w:val="1"/>
      <w:marLeft w:val="0"/>
      <w:marRight w:val="0"/>
      <w:marTop w:val="0"/>
      <w:marBottom w:val="0"/>
      <w:divBdr>
        <w:top w:val="none" w:sz="0" w:space="0" w:color="auto"/>
        <w:left w:val="none" w:sz="0" w:space="0" w:color="auto"/>
        <w:bottom w:val="none" w:sz="0" w:space="0" w:color="auto"/>
        <w:right w:val="none" w:sz="0" w:space="0" w:color="auto"/>
      </w:divBdr>
    </w:div>
    <w:div w:id="1440486304">
      <w:bodyDiv w:val="1"/>
      <w:marLeft w:val="0"/>
      <w:marRight w:val="0"/>
      <w:marTop w:val="0"/>
      <w:marBottom w:val="0"/>
      <w:divBdr>
        <w:top w:val="none" w:sz="0" w:space="0" w:color="auto"/>
        <w:left w:val="none" w:sz="0" w:space="0" w:color="auto"/>
        <w:bottom w:val="none" w:sz="0" w:space="0" w:color="auto"/>
        <w:right w:val="none" w:sz="0" w:space="0" w:color="auto"/>
      </w:divBdr>
    </w:div>
    <w:div w:id="1441337785">
      <w:bodyDiv w:val="1"/>
      <w:marLeft w:val="0"/>
      <w:marRight w:val="0"/>
      <w:marTop w:val="0"/>
      <w:marBottom w:val="0"/>
      <w:divBdr>
        <w:top w:val="none" w:sz="0" w:space="0" w:color="auto"/>
        <w:left w:val="none" w:sz="0" w:space="0" w:color="auto"/>
        <w:bottom w:val="none" w:sz="0" w:space="0" w:color="auto"/>
        <w:right w:val="none" w:sz="0" w:space="0" w:color="auto"/>
      </w:divBdr>
    </w:div>
    <w:div w:id="1441989332">
      <w:bodyDiv w:val="1"/>
      <w:marLeft w:val="0"/>
      <w:marRight w:val="0"/>
      <w:marTop w:val="0"/>
      <w:marBottom w:val="0"/>
      <w:divBdr>
        <w:top w:val="none" w:sz="0" w:space="0" w:color="auto"/>
        <w:left w:val="none" w:sz="0" w:space="0" w:color="auto"/>
        <w:bottom w:val="none" w:sz="0" w:space="0" w:color="auto"/>
        <w:right w:val="none" w:sz="0" w:space="0" w:color="auto"/>
      </w:divBdr>
    </w:div>
    <w:div w:id="1442723686">
      <w:bodyDiv w:val="1"/>
      <w:marLeft w:val="0"/>
      <w:marRight w:val="0"/>
      <w:marTop w:val="0"/>
      <w:marBottom w:val="0"/>
      <w:divBdr>
        <w:top w:val="none" w:sz="0" w:space="0" w:color="auto"/>
        <w:left w:val="none" w:sz="0" w:space="0" w:color="auto"/>
        <w:bottom w:val="none" w:sz="0" w:space="0" w:color="auto"/>
        <w:right w:val="none" w:sz="0" w:space="0" w:color="auto"/>
      </w:divBdr>
    </w:div>
    <w:div w:id="1442918969">
      <w:bodyDiv w:val="1"/>
      <w:marLeft w:val="0"/>
      <w:marRight w:val="0"/>
      <w:marTop w:val="0"/>
      <w:marBottom w:val="0"/>
      <w:divBdr>
        <w:top w:val="none" w:sz="0" w:space="0" w:color="auto"/>
        <w:left w:val="none" w:sz="0" w:space="0" w:color="auto"/>
        <w:bottom w:val="none" w:sz="0" w:space="0" w:color="auto"/>
        <w:right w:val="none" w:sz="0" w:space="0" w:color="auto"/>
      </w:divBdr>
    </w:div>
    <w:div w:id="1443262179">
      <w:bodyDiv w:val="1"/>
      <w:marLeft w:val="0"/>
      <w:marRight w:val="0"/>
      <w:marTop w:val="0"/>
      <w:marBottom w:val="0"/>
      <w:divBdr>
        <w:top w:val="none" w:sz="0" w:space="0" w:color="auto"/>
        <w:left w:val="none" w:sz="0" w:space="0" w:color="auto"/>
        <w:bottom w:val="none" w:sz="0" w:space="0" w:color="auto"/>
        <w:right w:val="none" w:sz="0" w:space="0" w:color="auto"/>
      </w:divBdr>
    </w:div>
    <w:div w:id="1444839056">
      <w:bodyDiv w:val="1"/>
      <w:marLeft w:val="0"/>
      <w:marRight w:val="0"/>
      <w:marTop w:val="0"/>
      <w:marBottom w:val="0"/>
      <w:divBdr>
        <w:top w:val="none" w:sz="0" w:space="0" w:color="auto"/>
        <w:left w:val="none" w:sz="0" w:space="0" w:color="auto"/>
        <w:bottom w:val="none" w:sz="0" w:space="0" w:color="auto"/>
        <w:right w:val="none" w:sz="0" w:space="0" w:color="auto"/>
      </w:divBdr>
    </w:div>
    <w:div w:id="1444880222">
      <w:bodyDiv w:val="1"/>
      <w:marLeft w:val="0"/>
      <w:marRight w:val="0"/>
      <w:marTop w:val="0"/>
      <w:marBottom w:val="0"/>
      <w:divBdr>
        <w:top w:val="none" w:sz="0" w:space="0" w:color="auto"/>
        <w:left w:val="none" w:sz="0" w:space="0" w:color="auto"/>
        <w:bottom w:val="none" w:sz="0" w:space="0" w:color="auto"/>
        <w:right w:val="none" w:sz="0" w:space="0" w:color="auto"/>
      </w:divBdr>
    </w:div>
    <w:div w:id="1446004191">
      <w:bodyDiv w:val="1"/>
      <w:marLeft w:val="0"/>
      <w:marRight w:val="0"/>
      <w:marTop w:val="0"/>
      <w:marBottom w:val="0"/>
      <w:divBdr>
        <w:top w:val="none" w:sz="0" w:space="0" w:color="auto"/>
        <w:left w:val="none" w:sz="0" w:space="0" w:color="auto"/>
        <w:bottom w:val="none" w:sz="0" w:space="0" w:color="auto"/>
        <w:right w:val="none" w:sz="0" w:space="0" w:color="auto"/>
      </w:divBdr>
    </w:div>
    <w:div w:id="1446971694">
      <w:bodyDiv w:val="1"/>
      <w:marLeft w:val="0"/>
      <w:marRight w:val="0"/>
      <w:marTop w:val="0"/>
      <w:marBottom w:val="0"/>
      <w:divBdr>
        <w:top w:val="none" w:sz="0" w:space="0" w:color="auto"/>
        <w:left w:val="none" w:sz="0" w:space="0" w:color="auto"/>
        <w:bottom w:val="none" w:sz="0" w:space="0" w:color="auto"/>
        <w:right w:val="none" w:sz="0" w:space="0" w:color="auto"/>
      </w:divBdr>
    </w:div>
    <w:div w:id="1447190841">
      <w:bodyDiv w:val="1"/>
      <w:marLeft w:val="0"/>
      <w:marRight w:val="0"/>
      <w:marTop w:val="0"/>
      <w:marBottom w:val="0"/>
      <w:divBdr>
        <w:top w:val="none" w:sz="0" w:space="0" w:color="auto"/>
        <w:left w:val="none" w:sz="0" w:space="0" w:color="auto"/>
        <w:bottom w:val="none" w:sz="0" w:space="0" w:color="auto"/>
        <w:right w:val="none" w:sz="0" w:space="0" w:color="auto"/>
      </w:divBdr>
    </w:div>
    <w:div w:id="1448084790">
      <w:bodyDiv w:val="1"/>
      <w:marLeft w:val="0"/>
      <w:marRight w:val="0"/>
      <w:marTop w:val="0"/>
      <w:marBottom w:val="0"/>
      <w:divBdr>
        <w:top w:val="none" w:sz="0" w:space="0" w:color="auto"/>
        <w:left w:val="none" w:sz="0" w:space="0" w:color="auto"/>
        <w:bottom w:val="none" w:sz="0" w:space="0" w:color="auto"/>
        <w:right w:val="none" w:sz="0" w:space="0" w:color="auto"/>
      </w:divBdr>
    </w:div>
    <w:div w:id="1448890229">
      <w:bodyDiv w:val="1"/>
      <w:marLeft w:val="0"/>
      <w:marRight w:val="0"/>
      <w:marTop w:val="0"/>
      <w:marBottom w:val="0"/>
      <w:divBdr>
        <w:top w:val="none" w:sz="0" w:space="0" w:color="auto"/>
        <w:left w:val="none" w:sz="0" w:space="0" w:color="auto"/>
        <w:bottom w:val="none" w:sz="0" w:space="0" w:color="auto"/>
        <w:right w:val="none" w:sz="0" w:space="0" w:color="auto"/>
      </w:divBdr>
    </w:div>
    <w:div w:id="1449158965">
      <w:bodyDiv w:val="1"/>
      <w:marLeft w:val="0"/>
      <w:marRight w:val="0"/>
      <w:marTop w:val="0"/>
      <w:marBottom w:val="0"/>
      <w:divBdr>
        <w:top w:val="none" w:sz="0" w:space="0" w:color="auto"/>
        <w:left w:val="none" w:sz="0" w:space="0" w:color="auto"/>
        <w:bottom w:val="none" w:sz="0" w:space="0" w:color="auto"/>
        <w:right w:val="none" w:sz="0" w:space="0" w:color="auto"/>
      </w:divBdr>
    </w:div>
    <w:div w:id="1450662313">
      <w:bodyDiv w:val="1"/>
      <w:marLeft w:val="0"/>
      <w:marRight w:val="0"/>
      <w:marTop w:val="0"/>
      <w:marBottom w:val="0"/>
      <w:divBdr>
        <w:top w:val="none" w:sz="0" w:space="0" w:color="auto"/>
        <w:left w:val="none" w:sz="0" w:space="0" w:color="auto"/>
        <w:bottom w:val="none" w:sz="0" w:space="0" w:color="auto"/>
        <w:right w:val="none" w:sz="0" w:space="0" w:color="auto"/>
      </w:divBdr>
    </w:div>
    <w:div w:id="1451390310">
      <w:bodyDiv w:val="1"/>
      <w:marLeft w:val="0"/>
      <w:marRight w:val="0"/>
      <w:marTop w:val="0"/>
      <w:marBottom w:val="0"/>
      <w:divBdr>
        <w:top w:val="none" w:sz="0" w:space="0" w:color="auto"/>
        <w:left w:val="none" w:sz="0" w:space="0" w:color="auto"/>
        <w:bottom w:val="none" w:sz="0" w:space="0" w:color="auto"/>
        <w:right w:val="none" w:sz="0" w:space="0" w:color="auto"/>
      </w:divBdr>
    </w:div>
    <w:div w:id="1451977831">
      <w:bodyDiv w:val="1"/>
      <w:marLeft w:val="0"/>
      <w:marRight w:val="0"/>
      <w:marTop w:val="0"/>
      <w:marBottom w:val="0"/>
      <w:divBdr>
        <w:top w:val="none" w:sz="0" w:space="0" w:color="auto"/>
        <w:left w:val="none" w:sz="0" w:space="0" w:color="auto"/>
        <w:bottom w:val="none" w:sz="0" w:space="0" w:color="auto"/>
        <w:right w:val="none" w:sz="0" w:space="0" w:color="auto"/>
      </w:divBdr>
    </w:div>
    <w:div w:id="1452093232">
      <w:bodyDiv w:val="1"/>
      <w:marLeft w:val="0"/>
      <w:marRight w:val="0"/>
      <w:marTop w:val="0"/>
      <w:marBottom w:val="0"/>
      <w:divBdr>
        <w:top w:val="none" w:sz="0" w:space="0" w:color="auto"/>
        <w:left w:val="none" w:sz="0" w:space="0" w:color="auto"/>
        <w:bottom w:val="none" w:sz="0" w:space="0" w:color="auto"/>
        <w:right w:val="none" w:sz="0" w:space="0" w:color="auto"/>
      </w:divBdr>
    </w:div>
    <w:div w:id="1452162165">
      <w:bodyDiv w:val="1"/>
      <w:marLeft w:val="0"/>
      <w:marRight w:val="0"/>
      <w:marTop w:val="0"/>
      <w:marBottom w:val="0"/>
      <w:divBdr>
        <w:top w:val="none" w:sz="0" w:space="0" w:color="auto"/>
        <w:left w:val="none" w:sz="0" w:space="0" w:color="auto"/>
        <w:bottom w:val="none" w:sz="0" w:space="0" w:color="auto"/>
        <w:right w:val="none" w:sz="0" w:space="0" w:color="auto"/>
      </w:divBdr>
    </w:div>
    <w:div w:id="1452240530">
      <w:bodyDiv w:val="1"/>
      <w:marLeft w:val="0"/>
      <w:marRight w:val="0"/>
      <w:marTop w:val="0"/>
      <w:marBottom w:val="0"/>
      <w:divBdr>
        <w:top w:val="none" w:sz="0" w:space="0" w:color="auto"/>
        <w:left w:val="none" w:sz="0" w:space="0" w:color="auto"/>
        <w:bottom w:val="none" w:sz="0" w:space="0" w:color="auto"/>
        <w:right w:val="none" w:sz="0" w:space="0" w:color="auto"/>
      </w:divBdr>
    </w:div>
    <w:div w:id="1453402547">
      <w:bodyDiv w:val="1"/>
      <w:marLeft w:val="0"/>
      <w:marRight w:val="0"/>
      <w:marTop w:val="0"/>
      <w:marBottom w:val="0"/>
      <w:divBdr>
        <w:top w:val="none" w:sz="0" w:space="0" w:color="auto"/>
        <w:left w:val="none" w:sz="0" w:space="0" w:color="auto"/>
        <w:bottom w:val="none" w:sz="0" w:space="0" w:color="auto"/>
        <w:right w:val="none" w:sz="0" w:space="0" w:color="auto"/>
      </w:divBdr>
    </w:div>
    <w:div w:id="1453473618">
      <w:bodyDiv w:val="1"/>
      <w:marLeft w:val="0"/>
      <w:marRight w:val="0"/>
      <w:marTop w:val="0"/>
      <w:marBottom w:val="0"/>
      <w:divBdr>
        <w:top w:val="none" w:sz="0" w:space="0" w:color="auto"/>
        <w:left w:val="none" w:sz="0" w:space="0" w:color="auto"/>
        <w:bottom w:val="none" w:sz="0" w:space="0" w:color="auto"/>
        <w:right w:val="none" w:sz="0" w:space="0" w:color="auto"/>
      </w:divBdr>
    </w:div>
    <w:div w:id="1453934322">
      <w:bodyDiv w:val="1"/>
      <w:marLeft w:val="0"/>
      <w:marRight w:val="0"/>
      <w:marTop w:val="0"/>
      <w:marBottom w:val="0"/>
      <w:divBdr>
        <w:top w:val="none" w:sz="0" w:space="0" w:color="auto"/>
        <w:left w:val="none" w:sz="0" w:space="0" w:color="auto"/>
        <w:bottom w:val="none" w:sz="0" w:space="0" w:color="auto"/>
        <w:right w:val="none" w:sz="0" w:space="0" w:color="auto"/>
      </w:divBdr>
    </w:div>
    <w:div w:id="1456827959">
      <w:bodyDiv w:val="1"/>
      <w:marLeft w:val="0"/>
      <w:marRight w:val="0"/>
      <w:marTop w:val="0"/>
      <w:marBottom w:val="0"/>
      <w:divBdr>
        <w:top w:val="none" w:sz="0" w:space="0" w:color="auto"/>
        <w:left w:val="none" w:sz="0" w:space="0" w:color="auto"/>
        <w:bottom w:val="none" w:sz="0" w:space="0" w:color="auto"/>
        <w:right w:val="none" w:sz="0" w:space="0" w:color="auto"/>
      </w:divBdr>
    </w:div>
    <w:div w:id="1458066667">
      <w:bodyDiv w:val="1"/>
      <w:marLeft w:val="0"/>
      <w:marRight w:val="0"/>
      <w:marTop w:val="0"/>
      <w:marBottom w:val="0"/>
      <w:divBdr>
        <w:top w:val="none" w:sz="0" w:space="0" w:color="auto"/>
        <w:left w:val="none" w:sz="0" w:space="0" w:color="auto"/>
        <w:bottom w:val="none" w:sz="0" w:space="0" w:color="auto"/>
        <w:right w:val="none" w:sz="0" w:space="0" w:color="auto"/>
      </w:divBdr>
    </w:div>
    <w:div w:id="1459255796">
      <w:bodyDiv w:val="1"/>
      <w:marLeft w:val="0"/>
      <w:marRight w:val="0"/>
      <w:marTop w:val="0"/>
      <w:marBottom w:val="0"/>
      <w:divBdr>
        <w:top w:val="none" w:sz="0" w:space="0" w:color="auto"/>
        <w:left w:val="none" w:sz="0" w:space="0" w:color="auto"/>
        <w:bottom w:val="none" w:sz="0" w:space="0" w:color="auto"/>
        <w:right w:val="none" w:sz="0" w:space="0" w:color="auto"/>
      </w:divBdr>
    </w:div>
    <w:div w:id="1459377515">
      <w:bodyDiv w:val="1"/>
      <w:marLeft w:val="0"/>
      <w:marRight w:val="0"/>
      <w:marTop w:val="0"/>
      <w:marBottom w:val="0"/>
      <w:divBdr>
        <w:top w:val="none" w:sz="0" w:space="0" w:color="auto"/>
        <w:left w:val="none" w:sz="0" w:space="0" w:color="auto"/>
        <w:bottom w:val="none" w:sz="0" w:space="0" w:color="auto"/>
        <w:right w:val="none" w:sz="0" w:space="0" w:color="auto"/>
      </w:divBdr>
    </w:div>
    <w:div w:id="1459714348">
      <w:bodyDiv w:val="1"/>
      <w:marLeft w:val="0"/>
      <w:marRight w:val="0"/>
      <w:marTop w:val="0"/>
      <w:marBottom w:val="0"/>
      <w:divBdr>
        <w:top w:val="none" w:sz="0" w:space="0" w:color="auto"/>
        <w:left w:val="none" w:sz="0" w:space="0" w:color="auto"/>
        <w:bottom w:val="none" w:sz="0" w:space="0" w:color="auto"/>
        <w:right w:val="none" w:sz="0" w:space="0" w:color="auto"/>
      </w:divBdr>
    </w:div>
    <w:div w:id="1460219838">
      <w:bodyDiv w:val="1"/>
      <w:marLeft w:val="0"/>
      <w:marRight w:val="0"/>
      <w:marTop w:val="0"/>
      <w:marBottom w:val="0"/>
      <w:divBdr>
        <w:top w:val="none" w:sz="0" w:space="0" w:color="auto"/>
        <w:left w:val="none" w:sz="0" w:space="0" w:color="auto"/>
        <w:bottom w:val="none" w:sz="0" w:space="0" w:color="auto"/>
        <w:right w:val="none" w:sz="0" w:space="0" w:color="auto"/>
      </w:divBdr>
    </w:div>
    <w:div w:id="1460536790">
      <w:bodyDiv w:val="1"/>
      <w:marLeft w:val="0"/>
      <w:marRight w:val="0"/>
      <w:marTop w:val="0"/>
      <w:marBottom w:val="0"/>
      <w:divBdr>
        <w:top w:val="none" w:sz="0" w:space="0" w:color="auto"/>
        <w:left w:val="none" w:sz="0" w:space="0" w:color="auto"/>
        <w:bottom w:val="none" w:sz="0" w:space="0" w:color="auto"/>
        <w:right w:val="none" w:sz="0" w:space="0" w:color="auto"/>
      </w:divBdr>
    </w:div>
    <w:div w:id="1461146624">
      <w:bodyDiv w:val="1"/>
      <w:marLeft w:val="0"/>
      <w:marRight w:val="0"/>
      <w:marTop w:val="0"/>
      <w:marBottom w:val="0"/>
      <w:divBdr>
        <w:top w:val="none" w:sz="0" w:space="0" w:color="auto"/>
        <w:left w:val="none" w:sz="0" w:space="0" w:color="auto"/>
        <w:bottom w:val="none" w:sz="0" w:space="0" w:color="auto"/>
        <w:right w:val="none" w:sz="0" w:space="0" w:color="auto"/>
      </w:divBdr>
    </w:div>
    <w:div w:id="1461915610">
      <w:bodyDiv w:val="1"/>
      <w:marLeft w:val="0"/>
      <w:marRight w:val="0"/>
      <w:marTop w:val="0"/>
      <w:marBottom w:val="0"/>
      <w:divBdr>
        <w:top w:val="none" w:sz="0" w:space="0" w:color="auto"/>
        <w:left w:val="none" w:sz="0" w:space="0" w:color="auto"/>
        <w:bottom w:val="none" w:sz="0" w:space="0" w:color="auto"/>
        <w:right w:val="none" w:sz="0" w:space="0" w:color="auto"/>
      </w:divBdr>
    </w:div>
    <w:div w:id="1462066502">
      <w:bodyDiv w:val="1"/>
      <w:marLeft w:val="0"/>
      <w:marRight w:val="0"/>
      <w:marTop w:val="0"/>
      <w:marBottom w:val="0"/>
      <w:divBdr>
        <w:top w:val="none" w:sz="0" w:space="0" w:color="auto"/>
        <w:left w:val="none" w:sz="0" w:space="0" w:color="auto"/>
        <w:bottom w:val="none" w:sz="0" w:space="0" w:color="auto"/>
        <w:right w:val="none" w:sz="0" w:space="0" w:color="auto"/>
      </w:divBdr>
    </w:div>
    <w:div w:id="1462115091">
      <w:bodyDiv w:val="1"/>
      <w:marLeft w:val="0"/>
      <w:marRight w:val="0"/>
      <w:marTop w:val="0"/>
      <w:marBottom w:val="0"/>
      <w:divBdr>
        <w:top w:val="none" w:sz="0" w:space="0" w:color="auto"/>
        <w:left w:val="none" w:sz="0" w:space="0" w:color="auto"/>
        <w:bottom w:val="none" w:sz="0" w:space="0" w:color="auto"/>
        <w:right w:val="none" w:sz="0" w:space="0" w:color="auto"/>
      </w:divBdr>
    </w:div>
    <w:div w:id="1463033895">
      <w:bodyDiv w:val="1"/>
      <w:marLeft w:val="0"/>
      <w:marRight w:val="0"/>
      <w:marTop w:val="0"/>
      <w:marBottom w:val="0"/>
      <w:divBdr>
        <w:top w:val="none" w:sz="0" w:space="0" w:color="auto"/>
        <w:left w:val="none" w:sz="0" w:space="0" w:color="auto"/>
        <w:bottom w:val="none" w:sz="0" w:space="0" w:color="auto"/>
        <w:right w:val="none" w:sz="0" w:space="0" w:color="auto"/>
      </w:divBdr>
    </w:div>
    <w:div w:id="1464083249">
      <w:bodyDiv w:val="1"/>
      <w:marLeft w:val="0"/>
      <w:marRight w:val="0"/>
      <w:marTop w:val="0"/>
      <w:marBottom w:val="0"/>
      <w:divBdr>
        <w:top w:val="none" w:sz="0" w:space="0" w:color="auto"/>
        <w:left w:val="none" w:sz="0" w:space="0" w:color="auto"/>
        <w:bottom w:val="none" w:sz="0" w:space="0" w:color="auto"/>
        <w:right w:val="none" w:sz="0" w:space="0" w:color="auto"/>
      </w:divBdr>
    </w:div>
    <w:div w:id="1464806902">
      <w:bodyDiv w:val="1"/>
      <w:marLeft w:val="0"/>
      <w:marRight w:val="0"/>
      <w:marTop w:val="0"/>
      <w:marBottom w:val="0"/>
      <w:divBdr>
        <w:top w:val="none" w:sz="0" w:space="0" w:color="auto"/>
        <w:left w:val="none" w:sz="0" w:space="0" w:color="auto"/>
        <w:bottom w:val="none" w:sz="0" w:space="0" w:color="auto"/>
        <w:right w:val="none" w:sz="0" w:space="0" w:color="auto"/>
      </w:divBdr>
    </w:div>
    <w:div w:id="1467159861">
      <w:bodyDiv w:val="1"/>
      <w:marLeft w:val="0"/>
      <w:marRight w:val="0"/>
      <w:marTop w:val="0"/>
      <w:marBottom w:val="0"/>
      <w:divBdr>
        <w:top w:val="none" w:sz="0" w:space="0" w:color="auto"/>
        <w:left w:val="none" w:sz="0" w:space="0" w:color="auto"/>
        <w:bottom w:val="none" w:sz="0" w:space="0" w:color="auto"/>
        <w:right w:val="none" w:sz="0" w:space="0" w:color="auto"/>
      </w:divBdr>
    </w:div>
    <w:div w:id="1468352272">
      <w:bodyDiv w:val="1"/>
      <w:marLeft w:val="0"/>
      <w:marRight w:val="0"/>
      <w:marTop w:val="0"/>
      <w:marBottom w:val="0"/>
      <w:divBdr>
        <w:top w:val="none" w:sz="0" w:space="0" w:color="auto"/>
        <w:left w:val="none" w:sz="0" w:space="0" w:color="auto"/>
        <w:bottom w:val="none" w:sz="0" w:space="0" w:color="auto"/>
        <w:right w:val="none" w:sz="0" w:space="0" w:color="auto"/>
      </w:divBdr>
    </w:div>
    <w:div w:id="1468470999">
      <w:bodyDiv w:val="1"/>
      <w:marLeft w:val="0"/>
      <w:marRight w:val="0"/>
      <w:marTop w:val="0"/>
      <w:marBottom w:val="0"/>
      <w:divBdr>
        <w:top w:val="none" w:sz="0" w:space="0" w:color="auto"/>
        <w:left w:val="none" w:sz="0" w:space="0" w:color="auto"/>
        <w:bottom w:val="none" w:sz="0" w:space="0" w:color="auto"/>
        <w:right w:val="none" w:sz="0" w:space="0" w:color="auto"/>
      </w:divBdr>
    </w:div>
    <w:div w:id="1470711924">
      <w:bodyDiv w:val="1"/>
      <w:marLeft w:val="0"/>
      <w:marRight w:val="0"/>
      <w:marTop w:val="0"/>
      <w:marBottom w:val="0"/>
      <w:divBdr>
        <w:top w:val="none" w:sz="0" w:space="0" w:color="auto"/>
        <w:left w:val="none" w:sz="0" w:space="0" w:color="auto"/>
        <w:bottom w:val="none" w:sz="0" w:space="0" w:color="auto"/>
        <w:right w:val="none" w:sz="0" w:space="0" w:color="auto"/>
      </w:divBdr>
    </w:div>
    <w:div w:id="1472138151">
      <w:bodyDiv w:val="1"/>
      <w:marLeft w:val="0"/>
      <w:marRight w:val="0"/>
      <w:marTop w:val="0"/>
      <w:marBottom w:val="0"/>
      <w:divBdr>
        <w:top w:val="none" w:sz="0" w:space="0" w:color="auto"/>
        <w:left w:val="none" w:sz="0" w:space="0" w:color="auto"/>
        <w:bottom w:val="none" w:sz="0" w:space="0" w:color="auto"/>
        <w:right w:val="none" w:sz="0" w:space="0" w:color="auto"/>
      </w:divBdr>
    </w:div>
    <w:div w:id="1472360526">
      <w:bodyDiv w:val="1"/>
      <w:marLeft w:val="0"/>
      <w:marRight w:val="0"/>
      <w:marTop w:val="0"/>
      <w:marBottom w:val="0"/>
      <w:divBdr>
        <w:top w:val="none" w:sz="0" w:space="0" w:color="auto"/>
        <w:left w:val="none" w:sz="0" w:space="0" w:color="auto"/>
        <w:bottom w:val="none" w:sz="0" w:space="0" w:color="auto"/>
        <w:right w:val="none" w:sz="0" w:space="0" w:color="auto"/>
      </w:divBdr>
    </w:div>
    <w:div w:id="1472751083">
      <w:bodyDiv w:val="1"/>
      <w:marLeft w:val="0"/>
      <w:marRight w:val="0"/>
      <w:marTop w:val="0"/>
      <w:marBottom w:val="0"/>
      <w:divBdr>
        <w:top w:val="none" w:sz="0" w:space="0" w:color="auto"/>
        <w:left w:val="none" w:sz="0" w:space="0" w:color="auto"/>
        <w:bottom w:val="none" w:sz="0" w:space="0" w:color="auto"/>
        <w:right w:val="none" w:sz="0" w:space="0" w:color="auto"/>
      </w:divBdr>
    </w:div>
    <w:div w:id="1473055915">
      <w:bodyDiv w:val="1"/>
      <w:marLeft w:val="0"/>
      <w:marRight w:val="0"/>
      <w:marTop w:val="0"/>
      <w:marBottom w:val="0"/>
      <w:divBdr>
        <w:top w:val="none" w:sz="0" w:space="0" w:color="auto"/>
        <w:left w:val="none" w:sz="0" w:space="0" w:color="auto"/>
        <w:bottom w:val="none" w:sz="0" w:space="0" w:color="auto"/>
        <w:right w:val="none" w:sz="0" w:space="0" w:color="auto"/>
      </w:divBdr>
    </w:div>
    <w:div w:id="1473132647">
      <w:bodyDiv w:val="1"/>
      <w:marLeft w:val="0"/>
      <w:marRight w:val="0"/>
      <w:marTop w:val="0"/>
      <w:marBottom w:val="0"/>
      <w:divBdr>
        <w:top w:val="none" w:sz="0" w:space="0" w:color="auto"/>
        <w:left w:val="none" w:sz="0" w:space="0" w:color="auto"/>
        <w:bottom w:val="none" w:sz="0" w:space="0" w:color="auto"/>
        <w:right w:val="none" w:sz="0" w:space="0" w:color="auto"/>
      </w:divBdr>
    </w:div>
    <w:div w:id="1473210665">
      <w:bodyDiv w:val="1"/>
      <w:marLeft w:val="0"/>
      <w:marRight w:val="0"/>
      <w:marTop w:val="0"/>
      <w:marBottom w:val="0"/>
      <w:divBdr>
        <w:top w:val="none" w:sz="0" w:space="0" w:color="auto"/>
        <w:left w:val="none" w:sz="0" w:space="0" w:color="auto"/>
        <w:bottom w:val="none" w:sz="0" w:space="0" w:color="auto"/>
        <w:right w:val="none" w:sz="0" w:space="0" w:color="auto"/>
      </w:divBdr>
    </w:div>
    <w:div w:id="1474252993">
      <w:bodyDiv w:val="1"/>
      <w:marLeft w:val="0"/>
      <w:marRight w:val="0"/>
      <w:marTop w:val="0"/>
      <w:marBottom w:val="0"/>
      <w:divBdr>
        <w:top w:val="none" w:sz="0" w:space="0" w:color="auto"/>
        <w:left w:val="none" w:sz="0" w:space="0" w:color="auto"/>
        <w:bottom w:val="none" w:sz="0" w:space="0" w:color="auto"/>
        <w:right w:val="none" w:sz="0" w:space="0" w:color="auto"/>
      </w:divBdr>
    </w:div>
    <w:div w:id="1474253714">
      <w:bodyDiv w:val="1"/>
      <w:marLeft w:val="0"/>
      <w:marRight w:val="0"/>
      <w:marTop w:val="0"/>
      <w:marBottom w:val="0"/>
      <w:divBdr>
        <w:top w:val="none" w:sz="0" w:space="0" w:color="auto"/>
        <w:left w:val="none" w:sz="0" w:space="0" w:color="auto"/>
        <w:bottom w:val="none" w:sz="0" w:space="0" w:color="auto"/>
        <w:right w:val="none" w:sz="0" w:space="0" w:color="auto"/>
      </w:divBdr>
    </w:div>
    <w:div w:id="1475370060">
      <w:bodyDiv w:val="1"/>
      <w:marLeft w:val="0"/>
      <w:marRight w:val="0"/>
      <w:marTop w:val="0"/>
      <w:marBottom w:val="0"/>
      <w:divBdr>
        <w:top w:val="none" w:sz="0" w:space="0" w:color="auto"/>
        <w:left w:val="none" w:sz="0" w:space="0" w:color="auto"/>
        <w:bottom w:val="none" w:sz="0" w:space="0" w:color="auto"/>
        <w:right w:val="none" w:sz="0" w:space="0" w:color="auto"/>
      </w:divBdr>
    </w:div>
    <w:div w:id="1476993689">
      <w:bodyDiv w:val="1"/>
      <w:marLeft w:val="0"/>
      <w:marRight w:val="0"/>
      <w:marTop w:val="0"/>
      <w:marBottom w:val="0"/>
      <w:divBdr>
        <w:top w:val="none" w:sz="0" w:space="0" w:color="auto"/>
        <w:left w:val="none" w:sz="0" w:space="0" w:color="auto"/>
        <w:bottom w:val="none" w:sz="0" w:space="0" w:color="auto"/>
        <w:right w:val="none" w:sz="0" w:space="0" w:color="auto"/>
      </w:divBdr>
    </w:div>
    <w:div w:id="1477601220">
      <w:bodyDiv w:val="1"/>
      <w:marLeft w:val="0"/>
      <w:marRight w:val="0"/>
      <w:marTop w:val="0"/>
      <w:marBottom w:val="0"/>
      <w:divBdr>
        <w:top w:val="none" w:sz="0" w:space="0" w:color="auto"/>
        <w:left w:val="none" w:sz="0" w:space="0" w:color="auto"/>
        <w:bottom w:val="none" w:sz="0" w:space="0" w:color="auto"/>
        <w:right w:val="none" w:sz="0" w:space="0" w:color="auto"/>
      </w:divBdr>
    </w:div>
    <w:div w:id="1477798469">
      <w:bodyDiv w:val="1"/>
      <w:marLeft w:val="0"/>
      <w:marRight w:val="0"/>
      <w:marTop w:val="0"/>
      <w:marBottom w:val="0"/>
      <w:divBdr>
        <w:top w:val="none" w:sz="0" w:space="0" w:color="auto"/>
        <w:left w:val="none" w:sz="0" w:space="0" w:color="auto"/>
        <w:bottom w:val="none" w:sz="0" w:space="0" w:color="auto"/>
        <w:right w:val="none" w:sz="0" w:space="0" w:color="auto"/>
      </w:divBdr>
    </w:div>
    <w:div w:id="1477868236">
      <w:bodyDiv w:val="1"/>
      <w:marLeft w:val="0"/>
      <w:marRight w:val="0"/>
      <w:marTop w:val="0"/>
      <w:marBottom w:val="0"/>
      <w:divBdr>
        <w:top w:val="none" w:sz="0" w:space="0" w:color="auto"/>
        <w:left w:val="none" w:sz="0" w:space="0" w:color="auto"/>
        <w:bottom w:val="none" w:sz="0" w:space="0" w:color="auto"/>
        <w:right w:val="none" w:sz="0" w:space="0" w:color="auto"/>
      </w:divBdr>
    </w:div>
    <w:div w:id="1478759711">
      <w:bodyDiv w:val="1"/>
      <w:marLeft w:val="0"/>
      <w:marRight w:val="0"/>
      <w:marTop w:val="0"/>
      <w:marBottom w:val="0"/>
      <w:divBdr>
        <w:top w:val="none" w:sz="0" w:space="0" w:color="auto"/>
        <w:left w:val="none" w:sz="0" w:space="0" w:color="auto"/>
        <w:bottom w:val="none" w:sz="0" w:space="0" w:color="auto"/>
        <w:right w:val="none" w:sz="0" w:space="0" w:color="auto"/>
      </w:divBdr>
    </w:div>
    <w:div w:id="1478956108">
      <w:bodyDiv w:val="1"/>
      <w:marLeft w:val="0"/>
      <w:marRight w:val="0"/>
      <w:marTop w:val="0"/>
      <w:marBottom w:val="0"/>
      <w:divBdr>
        <w:top w:val="none" w:sz="0" w:space="0" w:color="auto"/>
        <w:left w:val="none" w:sz="0" w:space="0" w:color="auto"/>
        <w:bottom w:val="none" w:sz="0" w:space="0" w:color="auto"/>
        <w:right w:val="none" w:sz="0" w:space="0" w:color="auto"/>
      </w:divBdr>
    </w:div>
    <w:div w:id="1479031324">
      <w:bodyDiv w:val="1"/>
      <w:marLeft w:val="0"/>
      <w:marRight w:val="0"/>
      <w:marTop w:val="0"/>
      <w:marBottom w:val="0"/>
      <w:divBdr>
        <w:top w:val="none" w:sz="0" w:space="0" w:color="auto"/>
        <w:left w:val="none" w:sz="0" w:space="0" w:color="auto"/>
        <w:bottom w:val="none" w:sz="0" w:space="0" w:color="auto"/>
        <w:right w:val="none" w:sz="0" w:space="0" w:color="auto"/>
      </w:divBdr>
    </w:div>
    <w:div w:id="1479491414">
      <w:bodyDiv w:val="1"/>
      <w:marLeft w:val="0"/>
      <w:marRight w:val="0"/>
      <w:marTop w:val="0"/>
      <w:marBottom w:val="0"/>
      <w:divBdr>
        <w:top w:val="none" w:sz="0" w:space="0" w:color="auto"/>
        <w:left w:val="none" w:sz="0" w:space="0" w:color="auto"/>
        <w:bottom w:val="none" w:sz="0" w:space="0" w:color="auto"/>
        <w:right w:val="none" w:sz="0" w:space="0" w:color="auto"/>
      </w:divBdr>
    </w:div>
    <w:div w:id="1479956914">
      <w:bodyDiv w:val="1"/>
      <w:marLeft w:val="0"/>
      <w:marRight w:val="0"/>
      <w:marTop w:val="0"/>
      <w:marBottom w:val="0"/>
      <w:divBdr>
        <w:top w:val="none" w:sz="0" w:space="0" w:color="auto"/>
        <w:left w:val="none" w:sz="0" w:space="0" w:color="auto"/>
        <w:bottom w:val="none" w:sz="0" w:space="0" w:color="auto"/>
        <w:right w:val="none" w:sz="0" w:space="0" w:color="auto"/>
      </w:divBdr>
    </w:div>
    <w:div w:id="1480271872">
      <w:bodyDiv w:val="1"/>
      <w:marLeft w:val="0"/>
      <w:marRight w:val="0"/>
      <w:marTop w:val="0"/>
      <w:marBottom w:val="0"/>
      <w:divBdr>
        <w:top w:val="none" w:sz="0" w:space="0" w:color="auto"/>
        <w:left w:val="none" w:sz="0" w:space="0" w:color="auto"/>
        <w:bottom w:val="none" w:sz="0" w:space="0" w:color="auto"/>
        <w:right w:val="none" w:sz="0" w:space="0" w:color="auto"/>
      </w:divBdr>
    </w:div>
    <w:div w:id="1481194635">
      <w:bodyDiv w:val="1"/>
      <w:marLeft w:val="0"/>
      <w:marRight w:val="0"/>
      <w:marTop w:val="0"/>
      <w:marBottom w:val="0"/>
      <w:divBdr>
        <w:top w:val="none" w:sz="0" w:space="0" w:color="auto"/>
        <w:left w:val="none" w:sz="0" w:space="0" w:color="auto"/>
        <w:bottom w:val="none" w:sz="0" w:space="0" w:color="auto"/>
        <w:right w:val="none" w:sz="0" w:space="0" w:color="auto"/>
      </w:divBdr>
    </w:div>
    <w:div w:id="1481532067">
      <w:bodyDiv w:val="1"/>
      <w:marLeft w:val="0"/>
      <w:marRight w:val="0"/>
      <w:marTop w:val="0"/>
      <w:marBottom w:val="0"/>
      <w:divBdr>
        <w:top w:val="none" w:sz="0" w:space="0" w:color="auto"/>
        <w:left w:val="none" w:sz="0" w:space="0" w:color="auto"/>
        <w:bottom w:val="none" w:sz="0" w:space="0" w:color="auto"/>
        <w:right w:val="none" w:sz="0" w:space="0" w:color="auto"/>
      </w:divBdr>
    </w:div>
    <w:div w:id="1482622730">
      <w:bodyDiv w:val="1"/>
      <w:marLeft w:val="0"/>
      <w:marRight w:val="0"/>
      <w:marTop w:val="0"/>
      <w:marBottom w:val="0"/>
      <w:divBdr>
        <w:top w:val="none" w:sz="0" w:space="0" w:color="auto"/>
        <w:left w:val="none" w:sz="0" w:space="0" w:color="auto"/>
        <w:bottom w:val="none" w:sz="0" w:space="0" w:color="auto"/>
        <w:right w:val="none" w:sz="0" w:space="0" w:color="auto"/>
      </w:divBdr>
    </w:div>
    <w:div w:id="1482847916">
      <w:bodyDiv w:val="1"/>
      <w:marLeft w:val="0"/>
      <w:marRight w:val="0"/>
      <w:marTop w:val="0"/>
      <w:marBottom w:val="0"/>
      <w:divBdr>
        <w:top w:val="none" w:sz="0" w:space="0" w:color="auto"/>
        <w:left w:val="none" w:sz="0" w:space="0" w:color="auto"/>
        <w:bottom w:val="none" w:sz="0" w:space="0" w:color="auto"/>
        <w:right w:val="none" w:sz="0" w:space="0" w:color="auto"/>
      </w:divBdr>
    </w:div>
    <w:div w:id="1484008932">
      <w:bodyDiv w:val="1"/>
      <w:marLeft w:val="0"/>
      <w:marRight w:val="0"/>
      <w:marTop w:val="0"/>
      <w:marBottom w:val="0"/>
      <w:divBdr>
        <w:top w:val="none" w:sz="0" w:space="0" w:color="auto"/>
        <w:left w:val="none" w:sz="0" w:space="0" w:color="auto"/>
        <w:bottom w:val="none" w:sz="0" w:space="0" w:color="auto"/>
        <w:right w:val="none" w:sz="0" w:space="0" w:color="auto"/>
      </w:divBdr>
    </w:div>
    <w:div w:id="1484194559">
      <w:bodyDiv w:val="1"/>
      <w:marLeft w:val="0"/>
      <w:marRight w:val="0"/>
      <w:marTop w:val="0"/>
      <w:marBottom w:val="0"/>
      <w:divBdr>
        <w:top w:val="none" w:sz="0" w:space="0" w:color="auto"/>
        <w:left w:val="none" w:sz="0" w:space="0" w:color="auto"/>
        <w:bottom w:val="none" w:sz="0" w:space="0" w:color="auto"/>
        <w:right w:val="none" w:sz="0" w:space="0" w:color="auto"/>
      </w:divBdr>
    </w:div>
    <w:div w:id="1484351353">
      <w:bodyDiv w:val="1"/>
      <w:marLeft w:val="0"/>
      <w:marRight w:val="0"/>
      <w:marTop w:val="0"/>
      <w:marBottom w:val="0"/>
      <w:divBdr>
        <w:top w:val="none" w:sz="0" w:space="0" w:color="auto"/>
        <w:left w:val="none" w:sz="0" w:space="0" w:color="auto"/>
        <w:bottom w:val="none" w:sz="0" w:space="0" w:color="auto"/>
        <w:right w:val="none" w:sz="0" w:space="0" w:color="auto"/>
      </w:divBdr>
    </w:div>
    <w:div w:id="1484352755">
      <w:bodyDiv w:val="1"/>
      <w:marLeft w:val="0"/>
      <w:marRight w:val="0"/>
      <w:marTop w:val="0"/>
      <w:marBottom w:val="0"/>
      <w:divBdr>
        <w:top w:val="none" w:sz="0" w:space="0" w:color="auto"/>
        <w:left w:val="none" w:sz="0" w:space="0" w:color="auto"/>
        <w:bottom w:val="none" w:sz="0" w:space="0" w:color="auto"/>
        <w:right w:val="none" w:sz="0" w:space="0" w:color="auto"/>
      </w:divBdr>
    </w:div>
    <w:div w:id="1485051340">
      <w:bodyDiv w:val="1"/>
      <w:marLeft w:val="0"/>
      <w:marRight w:val="0"/>
      <w:marTop w:val="0"/>
      <w:marBottom w:val="0"/>
      <w:divBdr>
        <w:top w:val="none" w:sz="0" w:space="0" w:color="auto"/>
        <w:left w:val="none" w:sz="0" w:space="0" w:color="auto"/>
        <w:bottom w:val="none" w:sz="0" w:space="0" w:color="auto"/>
        <w:right w:val="none" w:sz="0" w:space="0" w:color="auto"/>
      </w:divBdr>
    </w:div>
    <w:div w:id="1487354176">
      <w:bodyDiv w:val="1"/>
      <w:marLeft w:val="0"/>
      <w:marRight w:val="0"/>
      <w:marTop w:val="0"/>
      <w:marBottom w:val="0"/>
      <w:divBdr>
        <w:top w:val="none" w:sz="0" w:space="0" w:color="auto"/>
        <w:left w:val="none" w:sz="0" w:space="0" w:color="auto"/>
        <w:bottom w:val="none" w:sz="0" w:space="0" w:color="auto"/>
        <w:right w:val="none" w:sz="0" w:space="0" w:color="auto"/>
      </w:divBdr>
    </w:div>
    <w:div w:id="1488548174">
      <w:bodyDiv w:val="1"/>
      <w:marLeft w:val="0"/>
      <w:marRight w:val="0"/>
      <w:marTop w:val="0"/>
      <w:marBottom w:val="0"/>
      <w:divBdr>
        <w:top w:val="none" w:sz="0" w:space="0" w:color="auto"/>
        <w:left w:val="none" w:sz="0" w:space="0" w:color="auto"/>
        <w:bottom w:val="none" w:sz="0" w:space="0" w:color="auto"/>
        <w:right w:val="none" w:sz="0" w:space="0" w:color="auto"/>
      </w:divBdr>
    </w:div>
    <w:div w:id="1488865153">
      <w:bodyDiv w:val="1"/>
      <w:marLeft w:val="0"/>
      <w:marRight w:val="0"/>
      <w:marTop w:val="0"/>
      <w:marBottom w:val="0"/>
      <w:divBdr>
        <w:top w:val="none" w:sz="0" w:space="0" w:color="auto"/>
        <w:left w:val="none" w:sz="0" w:space="0" w:color="auto"/>
        <w:bottom w:val="none" w:sz="0" w:space="0" w:color="auto"/>
        <w:right w:val="none" w:sz="0" w:space="0" w:color="auto"/>
      </w:divBdr>
    </w:div>
    <w:div w:id="1489438372">
      <w:bodyDiv w:val="1"/>
      <w:marLeft w:val="0"/>
      <w:marRight w:val="0"/>
      <w:marTop w:val="0"/>
      <w:marBottom w:val="0"/>
      <w:divBdr>
        <w:top w:val="none" w:sz="0" w:space="0" w:color="auto"/>
        <w:left w:val="none" w:sz="0" w:space="0" w:color="auto"/>
        <w:bottom w:val="none" w:sz="0" w:space="0" w:color="auto"/>
        <w:right w:val="none" w:sz="0" w:space="0" w:color="auto"/>
      </w:divBdr>
    </w:div>
    <w:div w:id="1490487013">
      <w:bodyDiv w:val="1"/>
      <w:marLeft w:val="0"/>
      <w:marRight w:val="0"/>
      <w:marTop w:val="0"/>
      <w:marBottom w:val="0"/>
      <w:divBdr>
        <w:top w:val="none" w:sz="0" w:space="0" w:color="auto"/>
        <w:left w:val="none" w:sz="0" w:space="0" w:color="auto"/>
        <w:bottom w:val="none" w:sz="0" w:space="0" w:color="auto"/>
        <w:right w:val="none" w:sz="0" w:space="0" w:color="auto"/>
      </w:divBdr>
    </w:div>
    <w:div w:id="1490747489">
      <w:bodyDiv w:val="1"/>
      <w:marLeft w:val="0"/>
      <w:marRight w:val="0"/>
      <w:marTop w:val="0"/>
      <w:marBottom w:val="0"/>
      <w:divBdr>
        <w:top w:val="none" w:sz="0" w:space="0" w:color="auto"/>
        <w:left w:val="none" w:sz="0" w:space="0" w:color="auto"/>
        <w:bottom w:val="none" w:sz="0" w:space="0" w:color="auto"/>
        <w:right w:val="none" w:sz="0" w:space="0" w:color="auto"/>
      </w:divBdr>
    </w:div>
    <w:div w:id="1490898221">
      <w:bodyDiv w:val="1"/>
      <w:marLeft w:val="0"/>
      <w:marRight w:val="0"/>
      <w:marTop w:val="0"/>
      <w:marBottom w:val="0"/>
      <w:divBdr>
        <w:top w:val="none" w:sz="0" w:space="0" w:color="auto"/>
        <w:left w:val="none" w:sz="0" w:space="0" w:color="auto"/>
        <w:bottom w:val="none" w:sz="0" w:space="0" w:color="auto"/>
        <w:right w:val="none" w:sz="0" w:space="0" w:color="auto"/>
      </w:divBdr>
    </w:div>
    <w:div w:id="1491216311">
      <w:bodyDiv w:val="1"/>
      <w:marLeft w:val="0"/>
      <w:marRight w:val="0"/>
      <w:marTop w:val="0"/>
      <w:marBottom w:val="0"/>
      <w:divBdr>
        <w:top w:val="none" w:sz="0" w:space="0" w:color="auto"/>
        <w:left w:val="none" w:sz="0" w:space="0" w:color="auto"/>
        <w:bottom w:val="none" w:sz="0" w:space="0" w:color="auto"/>
        <w:right w:val="none" w:sz="0" w:space="0" w:color="auto"/>
      </w:divBdr>
    </w:div>
    <w:div w:id="1492796625">
      <w:bodyDiv w:val="1"/>
      <w:marLeft w:val="0"/>
      <w:marRight w:val="0"/>
      <w:marTop w:val="0"/>
      <w:marBottom w:val="0"/>
      <w:divBdr>
        <w:top w:val="none" w:sz="0" w:space="0" w:color="auto"/>
        <w:left w:val="none" w:sz="0" w:space="0" w:color="auto"/>
        <w:bottom w:val="none" w:sz="0" w:space="0" w:color="auto"/>
        <w:right w:val="none" w:sz="0" w:space="0" w:color="auto"/>
      </w:divBdr>
    </w:div>
    <w:div w:id="1494880671">
      <w:bodyDiv w:val="1"/>
      <w:marLeft w:val="0"/>
      <w:marRight w:val="0"/>
      <w:marTop w:val="0"/>
      <w:marBottom w:val="0"/>
      <w:divBdr>
        <w:top w:val="none" w:sz="0" w:space="0" w:color="auto"/>
        <w:left w:val="none" w:sz="0" w:space="0" w:color="auto"/>
        <w:bottom w:val="none" w:sz="0" w:space="0" w:color="auto"/>
        <w:right w:val="none" w:sz="0" w:space="0" w:color="auto"/>
      </w:divBdr>
    </w:div>
    <w:div w:id="1495022897">
      <w:bodyDiv w:val="1"/>
      <w:marLeft w:val="0"/>
      <w:marRight w:val="0"/>
      <w:marTop w:val="0"/>
      <w:marBottom w:val="0"/>
      <w:divBdr>
        <w:top w:val="none" w:sz="0" w:space="0" w:color="auto"/>
        <w:left w:val="none" w:sz="0" w:space="0" w:color="auto"/>
        <w:bottom w:val="none" w:sz="0" w:space="0" w:color="auto"/>
        <w:right w:val="none" w:sz="0" w:space="0" w:color="auto"/>
      </w:divBdr>
    </w:div>
    <w:div w:id="1495610662">
      <w:bodyDiv w:val="1"/>
      <w:marLeft w:val="0"/>
      <w:marRight w:val="0"/>
      <w:marTop w:val="0"/>
      <w:marBottom w:val="0"/>
      <w:divBdr>
        <w:top w:val="none" w:sz="0" w:space="0" w:color="auto"/>
        <w:left w:val="none" w:sz="0" w:space="0" w:color="auto"/>
        <w:bottom w:val="none" w:sz="0" w:space="0" w:color="auto"/>
        <w:right w:val="none" w:sz="0" w:space="0" w:color="auto"/>
      </w:divBdr>
    </w:div>
    <w:div w:id="1496532896">
      <w:bodyDiv w:val="1"/>
      <w:marLeft w:val="0"/>
      <w:marRight w:val="0"/>
      <w:marTop w:val="0"/>
      <w:marBottom w:val="0"/>
      <w:divBdr>
        <w:top w:val="none" w:sz="0" w:space="0" w:color="auto"/>
        <w:left w:val="none" w:sz="0" w:space="0" w:color="auto"/>
        <w:bottom w:val="none" w:sz="0" w:space="0" w:color="auto"/>
        <w:right w:val="none" w:sz="0" w:space="0" w:color="auto"/>
      </w:divBdr>
    </w:div>
    <w:div w:id="1496992574">
      <w:bodyDiv w:val="1"/>
      <w:marLeft w:val="0"/>
      <w:marRight w:val="0"/>
      <w:marTop w:val="0"/>
      <w:marBottom w:val="0"/>
      <w:divBdr>
        <w:top w:val="none" w:sz="0" w:space="0" w:color="auto"/>
        <w:left w:val="none" w:sz="0" w:space="0" w:color="auto"/>
        <w:bottom w:val="none" w:sz="0" w:space="0" w:color="auto"/>
        <w:right w:val="none" w:sz="0" w:space="0" w:color="auto"/>
      </w:divBdr>
    </w:div>
    <w:div w:id="1497769063">
      <w:bodyDiv w:val="1"/>
      <w:marLeft w:val="0"/>
      <w:marRight w:val="0"/>
      <w:marTop w:val="0"/>
      <w:marBottom w:val="0"/>
      <w:divBdr>
        <w:top w:val="none" w:sz="0" w:space="0" w:color="auto"/>
        <w:left w:val="none" w:sz="0" w:space="0" w:color="auto"/>
        <w:bottom w:val="none" w:sz="0" w:space="0" w:color="auto"/>
        <w:right w:val="none" w:sz="0" w:space="0" w:color="auto"/>
      </w:divBdr>
    </w:div>
    <w:div w:id="1504708547">
      <w:bodyDiv w:val="1"/>
      <w:marLeft w:val="0"/>
      <w:marRight w:val="0"/>
      <w:marTop w:val="0"/>
      <w:marBottom w:val="0"/>
      <w:divBdr>
        <w:top w:val="none" w:sz="0" w:space="0" w:color="auto"/>
        <w:left w:val="none" w:sz="0" w:space="0" w:color="auto"/>
        <w:bottom w:val="none" w:sz="0" w:space="0" w:color="auto"/>
        <w:right w:val="none" w:sz="0" w:space="0" w:color="auto"/>
      </w:divBdr>
    </w:div>
    <w:div w:id="1504929805">
      <w:bodyDiv w:val="1"/>
      <w:marLeft w:val="0"/>
      <w:marRight w:val="0"/>
      <w:marTop w:val="0"/>
      <w:marBottom w:val="0"/>
      <w:divBdr>
        <w:top w:val="none" w:sz="0" w:space="0" w:color="auto"/>
        <w:left w:val="none" w:sz="0" w:space="0" w:color="auto"/>
        <w:bottom w:val="none" w:sz="0" w:space="0" w:color="auto"/>
        <w:right w:val="none" w:sz="0" w:space="0" w:color="auto"/>
      </w:divBdr>
    </w:div>
    <w:div w:id="1507093323">
      <w:bodyDiv w:val="1"/>
      <w:marLeft w:val="0"/>
      <w:marRight w:val="0"/>
      <w:marTop w:val="0"/>
      <w:marBottom w:val="0"/>
      <w:divBdr>
        <w:top w:val="none" w:sz="0" w:space="0" w:color="auto"/>
        <w:left w:val="none" w:sz="0" w:space="0" w:color="auto"/>
        <w:bottom w:val="none" w:sz="0" w:space="0" w:color="auto"/>
        <w:right w:val="none" w:sz="0" w:space="0" w:color="auto"/>
      </w:divBdr>
    </w:div>
    <w:div w:id="1507356835">
      <w:bodyDiv w:val="1"/>
      <w:marLeft w:val="0"/>
      <w:marRight w:val="0"/>
      <w:marTop w:val="0"/>
      <w:marBottom w:val="0"/>
      <w:divBdr>
        <w:top w:val="none" w:sz="0" w:space="0" w:color="auto"/>
        <w:left w:val="none" w:sz="0" w:space="0" w:color="auto"/>
        <w:bottom w:val="none" w:sz="0" w:space="0" w:color="auto"/>
        <w:right w:val="none" w:sz="0" w:space="0" w:color="auto"/>
      </w:divBdr>
    </w:div>
    <w:div w:id="1508251323">
      <w:bodyDiv w:val="1"/>
      <w:marLeft w:val="0"/>
      <w:marRight w:val="0"/>
      <w:marTop w:val="0"/>
      <w:marBottom w:val="0"/>
      <w:divBdr>
        <w:top w:val="none" w:sz="0" w:space="0" w:color="auto"/>
        <w:left w:val="none" w:sz="0" w:space="0" w:color="auto"/>
        <w:bottom w:val="none" w:sz="0" w:space="0" w:color="auto"/>
        <w:right w:val="none" w:sz="0" w:space="0" w:color="auto"/>
      </w:divBdr>
    </w:div>
    <w:div w:id="1508979707">
      <w:bodyDiv w:val="1"/>
      <w:marLeft w:val="0"/>
      <w:marRight w:val="0"/>
      <w:marTop w:val="0"/>
      <w:marBottom w:val="0"/>
      <w:divBdr>
        <w:top w:val="none" w:sz="0" w:space="0" w:color="auto"/>
        <w:left w:val="none" w:sz="0" w:space="0" w:color="auto"/>
        <w:bottom w:val="none" w:sz="0" w:space="0" w:color="auto"/>
        <w:right w:val="none" w:sz="0" w:space="0" w:color="auto"/>
      </w:divBdr>
    </w:div>
    <w:div w:id="1509783575">
      <w:bodyDiv w:val="1"/>
      <w:marLeft w:val="0"/>
      <w:marRight w:val="0"/>
      <w:marTop w:val="0"/>
      <w:marBottom w:val="0"/>
      <w:divBdr>
        <w:top w:val="none" w:sz="0" w:space="0" w:color="auto"/>
        <w:left w:val="none" w:sz="0" w:space="0" w:color="auto"/>
        <w:bottom w:val="none" w:sz="0" w:space="0" w:color="auto"/>
        <w:right w:val="none" w:sz="0" w:space="0" w:color="auto"/>
      </w:divBdr>
    </w:div>
    <w:div w:id="1510411330">
      <w:bodyDiv w:val="1"/>
      <w:marLeft w:val="0"/>
      <w:marRight w:val="0"/>
      <w:marTop w:val="0"/>
      <w:marBottom w:val="0"/>
      <w:divBdr>
        <w:top w:val="none" w:sz="0" w:space="0" w:color="auto"/>
        <w:left w:val="none" w:sz="0" w:space="0" w:color="auto"/>
        <w:bottom w:val="none" w:sz="0" w:space="0" w:color="auto"/>
        <w:right w:val="none" w:sz="0" w:space="0" w:color="auto"/>
      </w:divBdr>
    </w:div>
    <w:div w:id="1510486891">
      <w:bodyDiv w:val="1"/>
      <w:marLeft w:val="0"/>
      <w:marRight w:val="0"/>
      <w:marTop w:val="0"/>
      <w:marBottom w:val="0"/>
      <w:divBdr>
        <w:top w:val="none" w:sz="0" w:space="0" w:color="auto"/>
        <w:left w:val="none" w:sz="0" w:space="0" w:color="auto"/>
        <w:bottom w:val="none" w:sz="0" w:space="0" w:color="auto"/>
        <w:right w:val="none" w:sz="0" w:space="0" w:color="auto"/>
      </w:divBdr>
    </w:div>
    <w:div w:id="1510488171">
      <w:bodyDiv w:val="1"/>
      <w:marLeft w:val="0"/>
      <w:marRight w:val="0"/>
      <w:marTop w:val="0"/>
      <w:marBottom w:val="0"/>
      <w:divBdr>
        <w:top w:val="none" w:sz="0" w:space="0" w:color="auto"/>
        <w:left w:val="none" w:sz="0" w:space="0" w:color="auto"/>
        <w:bottom w:val="none" w:sz="0" w:space="0" w:color="auto"/>
        <w:right w:val="none" w:sz="0" w:space="0" w:color="auto"/>
      </w:divBdr>
    </w:div>
    <w:div w:id="1512645536">
      <w:bodyDiv w:val="1"/>
      <w:marLeft w:val="0"/>
      <w:marRight w:val="0"/>
      <w:marTop w:val="0"/>
      <w:marBottom w:val="0"/>
      <w:divBdr>
        <w:top w:val="none" w:sz="0" w:space="0" w:color="auto"/>
        <w:left w:val="none" w:sz="0" w:space="0" w:color="auto"/>
        <w:bottom w:val="none" w:sz="0" w:space="0" w:color="auto"/>
        <w:right w:val="none" w:sz="0" w:space="0" w:color="auto"/>
      </w:divBdr>
    </w:div>
    <w:div w:id="1514686826">
      <w:bodyDiv w:val="1"/>
      <w:marLeft w:val="0"/>
      <w:marRight w:val="0"/>
      <w:marTop w:val="0"/>
      <w:marBottom w:val="0"/>
      <w:divBdr>
        <w:top w:val="none" w:sz="0" w:space="0" w:color="auto"/>
        <w:left w:val="none" w:sz="0" w:space="0" w:color="auto"/>
        <w:bottom w:val="none" w:sz="0" w:space="0" w:color="auto"/>
        <w:right w:val="none" w:sz="0" w:space="0" w:color="auto"/>
      </w:divBdr>
    </w:div>
    <w:div w:id="1516655740">
      <w:bodyDiv w:val="1"/>
      <w:marLeft w:val="0"/>
      <w:marRight w:val="0"/>
      <w:marTop w:val="0"/>
      <w:marBottom w:val="0"/>
      <w:divBdr>
        <w:top w:val="none" w:sz="0" w:space="0" w:color="auto"/>
        <w:left w:val="none" w:sz="0" w:space="0" w:color="auto"/>
        <w:bottom w:val="none" w:sz="0" w:space="0" w:color="auto"/>
        <w:right w:val="none" w:sz="0" w:space="0" w:color="auto"/>
      </w:divBdr>
    </w:div>
    <w:div w:id="1519192643">
      <w:bodyDiv w:val="1"/>
      <w:marLeft w:val="0"/>
      <w:marRight w:val="0"/>
      <w:marTop w:val="0"/>
      <w:marBottom w:val="0"/>
      <w:divBdr>
        <w:top w:val="none" w:sz="0" w:space="0" w:color="auto"/>
        <w:left w:val="none" w:sz="0" w:space="0" w:color="auto"/>
        <w:bottom w:val="none" w:sz="0" w:space="0" w:color="auto"/>
        <w:right w:val="none" w:sz="0" w:space="0" w:color="auto"/>
      </w:divBdr>
    </w:div>
    <w:div w:id="1519388611">
      <w:bodyDiv w:val="1"/>
      <w:marLeft w:val="0"/>
      <w:marRight w:val="0"/>
      <w:marTop w:val="0"/>
      <w:marBottom w:val="0"/>
      <w:divBdr>
        <w:top w:val="none" w:sz="0" w:space="0" w:color="auto"/>
        <w:left w:val="none" w:sz="0" w:space="0" w:color="auto"/>
        <w:bottom w:val="none" w:sz="0" w:space="0" w:color="auto"/>
        <w:right w:val="none" w:sz="0" w:space="0" w:color="auto"/>
      </w:divBdr>
    </w:div>
    <w:div w:id="1520969654">
      <w:bodyDiv w:val="1"/>
      <w:marLeft w:val="0"/>
      <w:marRight w:val="0"/>
      <w:marTop w:val="0"/>
      <w:marBottom w:val="0"/>
      <w:divBdr>
        <w:top w:val="none" w:sz="0" w:space="0" w:color="auto"/>
        <w:left w:val="none" w:sz="0" w:space="0" w:color="auto"/>
        <w:bottom w:val="none" w:sz="0" w:space="0" w:color="auto"/>
        <w:right w:val="none" w:sz="0" w:space="0" w:color="auto"/>
      </w:divBdr>
    </w:div>
    <w:div w:id="1521973989">
      <w:bodyDiv w:val="1"/>
      <w:marLeft w:val="0"/>
      <w:marRight w:val="0"/>
      <w:marTop w:val="0"/>
      <w:marBottom w:val="0"/>
      <w:divBdr>
        <w:top w:val="none" w:sz="0" w:space="0" w:color="auto"/>
        <w:left w:val="none" w:sz="0" w:space="0" w:color="auto"/>
        <w:bottom w:val="none" w:sz="0" w:space="0" w:color="auto"/>
        <w:right w:val="none" w:sz="0" w:space="0" w:color="auto"/>
      </w:divBdr>
    </w:div>
    <w:div w:id="1522813463">
      <w:bodyDiv w:val="1"/>
      <w:marLeft w:val="0"/>
      <w:marRight w:val="0"/>
      <w:marTop w:val="0"/>
      <w:marBottom w:val="0"/>
      <w:divBdr>
        <w:top w:val="none" w:sz="0" w:space="0" w:color="auto"/>
        <w:left w:val="none" w:sz="0" w:space="0" w:color="auto"/>
        <w:bottom w:val="none" w:sz="0" w:space="0" w:color="auto"/>
        <w:right w:val="none" w:sz="0" w:space="0" w:color="auto"/>
      </w:divBdr>
    </w:div>
    <w:div w:id="1523470498">
      <w:bodyDiv w:val="1"/>
      <w:marLeft w:val="0"/>
      <w:marRight w:val="0"/>
      <w:marTop w:val="0"/>
      <w:marBottom w:val="0"/>
      <w:divBdr>
        <w:top w:val="none" w:sz="0" w:space="0" w:color="auto"/>
        <w:left w:val="none" w:sz="0" w:space="0" w:color="auto"/>
        <w:bottom w:val="none" w:sz="0" w:space="0" w:color="auto"/>
        <w:right w:val="none" w:sz="0" w:space="0" w:color="auto"/>
      </w:divBdr>
    </w:div>
    <w:div w:id="1524054788">
      <w:bodyDiv w:val="1"/>
      <w:marLeft w:val="0"/>
      <w:marRight w:val="0"/>
      <w:marTop w:val="0"/>
      <w:marBottom w:val="0"/>
      <w:divBdr>
        <w:top w:val="none" w:sz="0" w:space="0" w:color="auto"/>
        <w:left w:val="none" w:sz="0" w:space="0" w:color="auto"/>
        <w:bottom w:val="none" w:sz="0" w:space="0" w:color="auto"/>
        <w:right w:val="none" w:sz="0" w:space="0" w:color="auto"/>
      </w:divBdr>
    </w:div>
    <w:div w:id="1524241360">
      <w:bodyDiv w:val="1"/>
      <w:marLeft w:val="0"/>
      <w:marRight w:val="0"/>
      <w:marTop w:val="0"/>
      <w:marBottom w:val="0"/>
      <w:divBdr>
        <w:top w:val="none" w:sz="0" w:space="0" w:color="auto"/>
        <w:left w:val="none" w:sz="0" w:space="0" w:color="auto"/>
        <w:bottom w:val="none" w:sz="0" w:space="0" w:color="auto"/>
        <w:right w:val="none" w:sz="0" w:space="0" w:color="auto"/>
      </w:divBdr>
    </w:div>
    <w:div w:id="1524514933">
      <w:bodyDiv w:val="1"/>
      <w:marLeft w:val="0"/>
      <w:marRight w:val="0"/>
      <w:marTop w:val="0"/>
      <w:marBottom w:val="0"/>
      <w:divBdr>
        <w:top w:val="none" w:sz="0" w:space="0" w:color="auto"/>
        <w:left w:val="none" w:sz="0" w:space="0" w:color="auto"/>
        <w:bottom w:val="none" w:sz="0" w:space="0" w:color="auto"/>
        <w:right w:val="none" w:sz="0" w:space="0" w:color="auto"/>
      </w:divBdr>
    </w:div>
    <w:div w:id="1525437488">
      <w:bodyDiv w:val="1"/>
      <w:marLeft w:val="0"/>
      <w:marRight w:val="0"/>
      <w:marTop w:val="0"/>
      <w:marBottom w:val="0"/>
      <w:divBdr>
        <w:top w:val="none" w:sz="0" w:space="0" w:color="auto"/>
        <w:left w:val="none" w:sz="0" w:space="0" w:color="auto"/>
        <w:bottom w:val="none" w:sz="0" w:space="0" w:color="auto"/>
        <w:right w:val="none" w:sz="0" w:space="0" w:color="auto"/>
      </w:divBdr>
    </w:div>
    <w:div w:id="1527602212">
      <w:bodyDiv w:val="1"/>
      <w:marLeft w:val="0"/>
      <w:marRight w:val="0"/>
      <w:marTop w:val="0"/>
      <w:marBottom w:val="0"/>
      <w:divBdr>
        <w:top w:val="none" w:sz="0" w:space="0" w:color="auto"/>
        <w:left w:val="none" w:sz="0" w:space="0" w:color="auto"/>
        <w:bottom w:val="none" w:sz="0" w:space="0" w:color="auto"/>
        <w:right w:val="none" w:sz="0" w:space="0" w:color="auto"/>
      </w:divBdr>
    </w:div>
    <w:div w:id="1528253873">
      <w:bodyDiv w:val="1"/>
      <w:marLeft w:val="0"/>
      <w:marRight w:val="0"/>
      <w:marTop w:val="0"/>
      <w:marBottom w:val="0"/>
      <w:divBdr>
        <w:top w:val="none" w:sz="0" w:space="0" w:color="auto"/>
        <w:left w:val="none" w:sz="0" w:space="0" w:color="auto"/>
        <w:bottom w:val="none" w:sz="0" w:space="0" w:color="auto"/>
        <w:right w:val="none" w:sz="0" w:space="0" w:color="auto"/>
      </w:divBdr>
    </w:div>
    <w:div w:id="1528642702">
      <w:bodyDiv w:val="1"/>
      <w:marLeft w:val="0"/>
      <w:marRight w:val="0"/>
      <w:marTop w:val="0"/>
      <w:marBottom w:val="0"/>
      <w:divBdr>
        <w:top w:val="none" w:sz="0" w:space="0" w:color="auto"/>
        <w:left w:val="none" w:sz="0" w:space="0" w:color="auto"/>
        <w:bottom w:val="none" w:sz="0" w:space="0" w:color="auto"/>
        <w:right w:val="none" w:sz="0" w:space="0" w:color="auto"/>
      </w:divBdr>
    </w:div>
    <w:div w:id="1530411199">
      <w:bodyDiv w:val="1"/>
      <w:marLeft w:val="0"/>
      <w:marRight w:val="0"/>
      <w:marTop w:val="0"/>
      <w:marBottom w:val="0"/>
      <w:divBdr>
        <w:top w:val="none" w:sz="0" w:space="0" w:color="auto"/>
        <w:left w:val="none" w:sz="0" w:space="0" w:color="auto"/>
        <w:bottom w:val="none" w:sz="0" w:space="0" w:color="auto"/>
        <w:right w:val="none" w:sz="0" w:space="0" w:color="auto"/>
      </w:divBdr>
    </w:div>
    <w:div w:id="1531723884">
      <w:bodyDiv w:val="1"/>
      <w:marLeft w:val="0"/>
      <w:marRight w:val="0"/>
      <w:marTop w:val="0"/>
      <w:marBottom w:val="0"/>
      <w:divBdr>
        <w:top w:val="none" w:sz="0" w:space="0" w:color="auto"/>
        <w:left w:val="none" w:sz="0" w:space="0" w:color="auto"/>
        <w:bottom w:val="none" w:sz="0" w:space="0" w:color="auto"/>
        <w:right w:val="none" w:sz="0" w:space="0" w:color="auto"/>
      </w:divBdr>
    </w:div>
    <w:div w:id="1535575937">
      <w:bodyDiv w:val="1"/>
      <w:marLeft w:val="0"/>
      <w:marRight w:val="0"/>
      <w:marTop w:val="0"/>
      <w:marBottom w:val="0"/>
      <w:divBdr>
        <w:top w:val="none" w:sz="0" w:space="0" w:color="auto"/>
        <w:left w:val="none" w:sz="0" w:space="0" w:color="auto"/>
        <w:bottom w:val="none" w:sz="0" w:space="0" w:color="auto"/>
        <w:right w:val="none" w:sz="0" w:space="0" w:color="auto"/>
      </w:divBdr>
    </w:div>
    <w:div w:id="1535926244">
      <w:bodyDiv w:val="1"/>
      <w:marLeft w:val="0"/>
      <w:marRight w:val="0"/>
      <w:marTop w:val="0"/>
      <w:marBottom w:val="0"/>
      <w:divBdr>
        <w:top w:val="none" w:sz="0" w:space="0" w:color="auto"/>
        <w:left w:val="none" w:sz="0" w:space="0" w:color="auto"/>
        <w:bottom w:val="none" w:sz="0" w:space="0" w:color="auto"/>
        <w:right w:val="none" w:sz="0" w:space="0" w:color="auto"/>
      </w:divBdr>
    </w:div>
    <w:div w:id="1536037106">
      <w:bodyDiv w:val="1"/>
      <w:marLeft w:val="0"/>
      <w:marRight w:val="0"/>
      <w:marTop w:val="0"/>
      <w:marBottom w:val="0"/>
      <w:divBdr>
        <w:top w:val="none" w:sz="0" w:space="0" w:color="auto"/>
        <w:left w:val="none" w:sz="0" w:space="0" w:color="auto"/>
        <w:bottom w:val="none" w:sz="0" w:space="0" w:color="auto"/>
        <w:right w:val="none" w:sz="0" w:space="0" w:color="auto"/>
      </w:divBdr>
    </w:div>
    <w:div w:id="1536384902">
      <w:bodyDiv w:val="1"/>
      <w:marLeft w:val="0"/>
      <w:marRight w:val="0"/>
      <w:marTop w:val="0"/>
      <w:marBottom w:val="0"/>
      <w:divBdr>
        <w:top w:val="none" w:sz="0" w:space="0" w:color="auto"/>
        <w:left w:val="none" w:sz="0" w:space="0" w:color="auto"/>
        <w:bottom w:val="none" w:sz="0" w:space="0" w:color="auto"/>
        <w:right w:val="none" w:sz="0" w:space="0" w:color="auto"/>
      </w:divBdr>
    </w:div>
    <w:div w:id="1537429853">
      <w:bodyDiv w:val="1"/>
      <w:marLeft w:val="0"/>
      <w:marRight w:val="0"/>
      <w:marTop w:val="0"/>
      <w:marBottom w:val="0"/>
      <w:divBdr>
        <w:top w:val="none" w:sz="0" w:space="0" w:color="auto"/>
        <w:left w:val="none" w:sz="0" w:space="0" w:color="auto"/>
        <w:bottom w:val="none" w:sz="0" w:space="0" w:color="auto"/>
        <w:right w:val="none" w:sz="0" w:space="0" w:color="auto"/>
      </w:divBdr>
    </w:div>
    <w:div w:id="1537546282">
      <w:bodyDiv w:val="1"/>
      <w:marLeft w:val="0"/>
      <w:marRight w:val="0"/>
      <w:marTop w:val="0"/>
      <w:marBottom w:val="0"/>
      <w:divBdr>
        <w:top w:val="none" w:sz="0" w:space="0" w:color="auto"/>
        <w:left w:val="none" w:sz="0" w:space="0" w:color="auto"/>
        <w:bottom w:val="none" w:sz="0" w:space="0" w:color="auto"/>
        <w:right w:val="none" w:sz="0" w:space="0" w:color="auto"/>
      </w:divBdr>
    </w:div>
    <w:div w:id="1538664892">
      <w:bodyDiv w:val="1"/>
      <w:marLeft w:val="0"/>
      <w:marRight w:val="0"/>
      <w:marTop w:val="0"/>
      <w:marBottom w:val="0"/>
      <w:divBdr>
        <w:top w:val="none" w:sz="0" w:space="0" w:color="auto"/>
        <w:left w:val="none" w:sz="0" w:space="0" w:color="auto"/>
        <w:bottom w:val="none" w:sz="0" w:space="0" w:color="auto"/>
        <w:right w:val="none" w:sz="0" w:space="0" w:color="auto"/>
      </w:divBdr>
    </w:div>
    <w:div w:id="1539007894">
      <w:bodyDiv w:val="1"/>
      <w:marLeft w:val="0"/>
      <w:marRight w:val="0"/>
      <w:marTop w:val="0"/>
      <w:marBottom w:val="0"/>
      <w:divBdr>
        <w:top w:val="none" w:sz="0" w:space="0" w:color="auto"/>
        <w:left w:val="none" w:sz="0" w:space="0" w:color="auto"/>
        <w:bottom w:val="none" w:sz="0" w:space="0" w:color="auto"/>
        <w:right w:val="none" w:sz="0" w:space="0" w:color="auto"/>
      </w:divBdr>
    </w:div>
    <w:div w:id="1539781801">
      <w:bodyDiv w:val="1"/>
      <w:marLeft w:val="0"/>
      <w:marRight w:val="0"/>
      <w:marTop w:val="0"/>
      <w:marBottom w:val="0"/>
      <w:divBdr>
        <w:top w:val="none" w:sz="0" w:space="0" w:color="auto"/>
        <w:left w:val="none" w:sz="0" w:space="0" w:color="auto"/>
        <w:bottom w:val="none" w:sz="0" w:space="0" w:color="auto"/>
        <w:right w:val="none" w:sz="0" w:space="0" w:color="auto"/>
      </w:divBdr>
    </w:div>
    <w:div w:id="1540783099">
      <w:bodyDiv w:val="1"/>
      <w:marLeft w:val="0"/>
      <w:marRight w:val="0"/>
      <w:marTop w:val="0"/>
      <w:marBottom w:val="0"/>
      <w:divBdr>
        <w:top w:val="none" w:sz="0" w:space="0" w:color="auto"/>
        <w:left w:val="none" w:sz="0" w:space="0" w:color="auto"/>
        <w:bottom w:val="none" w:sz="0" w:space="0" w:color="auto"/>
        <w:right w:val="none" w:sz="0" w:space="0" w:color="auto"/>
      </w:divBdr>
    </w:div>
    <w:div w:id="1541360478">
      <w:bodyDiv w:val="1"/>
      <w:marLeft w:val="0"/>
      <w:marRight w:val="0"/>
      <w:marTop w:val="0"/>
      <w:marBottom w:val="0"/>
      <w:divBdr>
        <w:top w:val="none" w:sz="0" w:space="0" w:color="auto"/>
        <w:left w:val="none" w:sz="0" w:space="0" w:color="auto"/>
        <w:bottom w:val="none" w:sz="0" w:space="0" w:color="auto"/>
        <w:right w:val="none" w:sz="0" w:space="0" w:color="auto"/>
      </w:divBdr>
    </w:div>
    <w:div w:id="1541624909">
      <w:bodyDiv w:val="1"/>
      <w:marLeft w:val="0"/>
      <w:marRight w:val="0"/>
      <w:marTop w:val="0"/>
      <w:marBottom w:val="0"/>
      <w:divBdr>
        <w:top w:val="none" w:sz="0" w:space="0" w:color="auto"/>
        <w:left w:val="none" w:sz="0" w:space="0" w:color="auto"/>
        <w:bottom w:val="none" w:sz="0" w:space="0" w:color="auto"/>
        <w:right w:val="none" w:sz="0" w:space="0" w:color="auto"/>
      </w:divBdr>
    </w:div>
    <w:div w:id="1541631124">
      <w:bodyDiv w:val="1"/>
      <w:marLeft w:val="0"/>
      <w:marRight w:val="0"/>
      <w:marTop w:val="0"/>
      <w:marBottom w:val="0"/>
      <w:divBdr>
        <w:top w:val="none" w:sz="0" w:space="0" w:color="auto"/>
        <w:left w:val="none" w:sz="0" w:space="0" w:color="auto"/>
        <w:bottom w:val="none" w:sz="0" w:space="0" w:color="auto"/>
        <w:right w:val="none" w:sz="0" w:space="0" w:color="auto"/>
      </w:divBdr>
    </w:div>
    <w:div w:id="1541699610">
      <w:bodyDiv w:val="1"/>
      <w:marLeft w:val="0"/>
      <w:marRight w:val="0"/>
      <w:marTop w:val="0"/>
      <w:marBottom w:val="0"/>
      <w:divBdr>
        <w:top w:val="none" w:sz="0" w:space="0" w:color="auto"/>
        <w:left w:val="none" w:sz="0" w:space="0" w:color="auto"/>
        <w:bottom w:val="none" w:sz="0" w:space="0" w:color="auto"/>
        <w:right w:val="none" w:sz="0" w:space="0" w:color="auto"/>
      </w:divBdr>
    </w:div>
    <w:div w:id="1542596105">
      <w:bodyDiv w:val="1"/>
      <w:marLeft w:val="0"/>
      <w:marRight w:val="0"/>
      <w:marTop w:val="0"/>
      <w:marBottom w:val="0"/>
      <w:divBdr>
        <w:top w:val="none" w:sz="0" w:space="0" w:color="auto"/>
        <w:left w:val="none" w:sz="0" w:space="0" w:color="auto"/>
        <w:bottom w:val="none" w:sz="0" w:space="0" w:color="auto"/>
        <w:right w:val="none" w:sz="0" w:space="0" w:color="auto"/>
      </w:divBdr>
    </w:div>
    <w:div w:id="1542745723">
      <w:bodyDiv w:val="1"/>
      <w:marLeft w:val="0"/>
      <w:marRight w:val="0"/>
      <w:marTop w:val="0"/>
      <w:marBottom w:val="0"/>
      <w:divBdr>
        <w:top w:val="none" w:sz="0" w:space="0" w:color="auto"/>
        <w:left w:val="none" w:sz="0" w:space="0" w:color="auto"/>
        <w:bottom w:val="none" w:sz="0" w:space="0" w:color="auto"/>
        <w:right w:val="none" w:sz="0" w:space="0" w:color="auto"/>
      </w:divBdr>
    </w:div>
    <w:div w:id="1543976235">
      <w:bodyDiv w:val="1"/>
      <w:marLeft w:val="0"/>
      <w:marRight w:val="0"/>
      <w:marTop w:val="0"/>
      <w:marBottom w:val="0"/>
      <w:divBdr>
        <w:top w:val="none" w:sz="0" w:space="0" w:color="auto"/>
        <w:left w:val="none" w:sz="0" w:space="0" w:color="auto"/>
        <w:bottom w:val="none" w:sz="0" w:space="0" w:color="auto"/>
        <w:right w:val="none" w:sz="0" w:space="0" w:color="auto"/>
      </w:divBdr>
    </w:div>
    <w:div w:id="1544443491">
      <w:bodyDiv w:val="1"/>
      <w:marLeft w:val="0"/>
      <w:marRight w:val="0"/>
      <w:marTop w:val="0"/>
      <w:marBottom w:val="0"/>
      <w:divBdr>
        <w:top w:val="none" w:sz="0" w:space="0" w:color="auto"/>
        <w:left w:val="none" w:sz="0" w:space="0" w:color="auto"/>
        <w:bottom w:val="none" w:sz="0" w:space="0" w:color="auto"/>
        <w:right w:val="none" w:sz="0" w:space="0" w:color="auto"/>
      </w:divBdr>
    </w:div>
    <w:div w:id="1545293853">
      <w:bodyDiv w:val="1"/>
      <w:marLeft w:val="0"/>
      <w:marRight w:val="0"/>
      <w:marTop w:val="0"/>
      <w:marBottom w:val="0"/>
      <w:divBdr>
        <w:top w:val="none" w:sz="0" w:space="0" w:color="auto"/>
        <w:left w:val="none" w:sz="0" w:space="0" w:color="auto"/>
        <w:bottom w:val="none" w:sz="0" w:space="0" w:color="auto"/>
        <w:right w:val="none" w:sz="0" w:space="0" w:color="auto"/>
      </w:divBdr>
    </w:div>
    <w:div w:id="1546334632">
      <w:bodyDiv w:val="1"/>
      <w:marLeft w:val="0"/>
      <w:marRight w:val="0"/>
      <w:marTop w:val="0"/>
      <w:marBottom w:val="0"/>
      <w:divBdr>
        <w:top w:val="none" w:sz="0" w:space="0" w:color="auto"/>
        <w:left w:val="none" w:sz="0" w:space="0" w:color="auto"/>
        <w:bottom w:val="none" w:sz="0" w:space="0" w:color="auto"/>
        <w:right w:val="none" w:sz="0" w:space="0" w:color="auto"/>
      </w:divBdr>
    </w:div>
    <w:div w:id="1546795332">
      <w:bodyDiv w:val="1"/>
      <w:marLeft w:val="0"/>
      <w:marRight w:val="0"/>
      <w:marTop w:val="0"/>
      <w:marBottom w:val="0"/>
      <w:divBdr>
        <w:top w:val="none" w:sz="0" w:space="0" w:color="auto"/>
        <w:left w:val="none" w:sz="0" w:space="0" w:color="auto"/>
        <w:bottom w:val="none" w:sz="0" w:space="0" w:color="auto"/>
        <w:right w:val="none" w:sz="0" w:space="0" w:color="auto"/>
      </w:divBdr>
    </w:div>
    <w:div w:id="1546868205">
      <w:bodyDiv w:val="1"/>
      <w:marLeft w:val="0"/>
      <w:marRight w:val="0"/>
      <w:marTop w:val="0"/>
      <w:marBottom w:val="0"/>
      <w:divBdr>
        <w:top w:val="none" w:sz="0" w:space="0" w:color="auto"/>
        <w:left w:val="none" w:sz="0" w:space="0" w:color="auto"/>
        <w:bottom w:val="none" w:sz="0" w:space="0" w:color="auto"/>
        <w:right w:val="none" w:sz="0" w:space="0" w:color="auto"/>
      </w:divBdr>
    </w:div>
    <w:div w:id="1547178263">
      <w:bodyDiv w:val="1"/>
      <w:marLeft w:val="0"/>
      <w:marRight w:val="0"/>
      <w:marTop w:val="0"/>
      <w:marBottom w:val="0"/>
      <w:divBdr>
        <w:top w:val="none" w:sz="0" w:space="0" w:color="auto"/>
        <w:left w:val="none" w:sz="0" w:space="0" w:color="auto"/>
        <w:bottom w:val="none" w:sz="0" w:space="0" w:color="auto"/>
        <w:right w:val="none" w:sz="0" w:space="0" w:color="auto"/>
      </w:divBdr>
    </w:div>
    <w:div w:id="1547331926">
      <w:bodyDiv w:val="1"/>
      <w:marLeft w:val="0"/>
      <w:marRight w:val="0"/>
      <w:marTop w:val="0"/>
      <w:marBottom w:val="0"/>
      <w:divBdr>
        <w:top w:val="none" w:sz="0" w:space="0" w:color="auto"/>
        <w:left w:val="none" w:sz="0" w:space="0" w:color="auto"/>
        <w:bottom w:val="none" w:sz="0" w:space="0" w:color="auto"/>
        <w:right w:val="none" w:sz="0" w:space="0" w:color="auto"/>
      </w:divBdr>
    </w:div>
    <w:div w:id="1548908815">
      <w:bodyDiv w:val="1"/>
      <w:marLeft w:val="0"/>
      <w:marRight w:val="0"/>
      <w:marTop w:val="0"/>
      <w:marBottom w:val="0"/>
      <w:divBdr>
        <w:top w:val="none" w:sz="0" w:space="0" w:color="auto"/>
        <w:left w:val="none" w:sz="0" w:space="0" w:color="auto"/>
        <w:bottom w:val="none" w:sz="0" w:space="0" w:color="auto"/>
        <w:right w:val="none" w:sz="0" w:space="0" w:color="auto"/>
      </w:divBdr>
    </w:div>
    <w:div w:id="1549029926">
      <w:bodyDiv w:val="1"/>
      <w:marLeft w:val="0"/>
      <w:marRight w:val="0"/>
      <w:marTop w:val="0"/>
      <w:marBottom w:val="0"/>
      <w:divBdr>
        <w:top w:val="none" w:sz="0" w:space="0" w:color="auto"/>
        <w:left w:val="none" w:sz="0" w:space="0" w:color="auto"/>
        <w:bottom w:val="none" w:sz="0" w:space="0" w:color="auto"/>
        <w:right w:val="none" w:sz="0" w:space="0" w:color="auto"/>
      </w:divBdr>
    </w:div>
    <w:div w:id="1550412047">
      <w:bodyDiv w:val="1"/>
      <w:marLeft w:val="0"/>
      <w:marRight w:val="0"/>
      <w:marTop w:val="0"/>
      <w:marBottom w:val="0"/>
      <w:divBdr>
        <w:top w:val="none" w:sz="0" w:space="0" w:color="auto"/>
        <w:left w:val="none" w:sz="0" w:space="0" w:color="auto"/>
        <w:bottom w:val="none" w:sz="0" w:space="0" w:color="auto"/>
        <w:right w:val="none" w:sz="0" w:space="0" w:color="auto"/>
      </w:divBdr>
    </w:div>
    <w:div w:id="1550611796">
      <w:bodyDiv w:val="1"/>
      <w:marLeft w:val="0"/>
      <w:marRight w:val="0"/>
      <w:marTop w:val="0"/>
      <w:marBottom w:val="0"/>
      <w:divBdr>
        <w:top w:val="none" w:sz="0" w:space="0" w:color="auto"/>
        <w:left w:val="none" w:sz="0" w:space="0" w:color="auto"/>
        <w:bottom w:val="none" w:sz="0" w:space="0" w:color="auto"/>
        <w:right w:val="none" w:sz="0" w:space="0" w:color="auto"/>
      </w:divBdr>
    </w:div>
    <w:div w:id="1552615502">
      <w:bodyDiv w:val="1"/>
      <w:marLeft w:val="0"/>
      <w:marRight w:val="0"/>
      <w:marTop w:val="0"/>
      <w:marBottom w:val="0"/>
      <w:divBdr>
        <w:top w:val="none" w:sz="0" w:space="0" w:color="auto"/>
        <w:left w:val="none" w:sz="0" w:space="0" w:color="auto"/>
        <w:bottom w:val="none" w:sz="0" w:space="0" w:color="auto"/>
        <w:right w:val="none" w:sz="0" w:space="0" w:color="auto"/>
      </w:divBdr>
    </w:div>
    <w:div w:id="1552645179">
      <w:bodyDiv w:val="1"/>
      <w:marLeft w:val="0"/>
      <w:marRight w:val="0"/>
      <w:marTop w:val="0"/>
      <w:marBottom w:val="0"/>
      <w:divBdr>
        <w:top w:val="none" w:sz="0" w:space="0" w:color="auto"/>
        <w:left w:val="none" w:sz="0" w:space="0" w:color="auto"/>
        <w:bottom w:val="none" w:sz="0" w:space="0" w:color="auto"/>
        <w:right w:val="none" w:sz="0" w:space="0" w:color="auto"/>
      </w:divBdr>
    </w:div>
    <w:div w:id="1553929457">
      <w:bodyDiv w:val="1"/>
      <w:marLeft w:val="0"/>
      <w:marRight w:val="0"/>
      <w:marTop w:val="0"/>
      <w:marBottom w:val="0"/>
      <w:divBdr>
        <w:top w:val="none" w:sz="0" w:space="0" w:color="auto"/>
        <w:left w:val="none" w:sz="0" w:space="0" w:color="auto"/>
        <w:bottom w:val="none" w:sz="0" w:space="0" w:color="auto"/>
        <w:right w:val="none" w:sz="0" w:space="0" w:color="auto"/>
      </w:divBdr>
    </w:div>
    <w:div w:id="1554195741">
      <w:bodyDiv w:val="1"/>
      <w:marLeft w:val="0"/>
      <w:marRight w:val="0"/>
      <w:marTop w:val="0"/>
      <w:marBottom w:val="0"/>
      <w:divBdr>
        <w:top w:val="none" w:sz="0" w:space="0" w:color="auto"/>
        <w:left w:val="none" w:sz="0" w:space="0" w:color="auto"/>
        <w:bottom w:val="none" w:sz="0" w:space="0" w:color="auto"/>
        <w:right w:val="none" w:sz="0" w:space="0" w:color="auto"/>
      </w:divBdr>
    </w:div>
    <w:div w:id="1554273749">
      <w:bodyDiv w:val="1"/>
      <w:marLeft w:val="0"/>
      <w:marRight w:val="0"/>
      <w:marTop w:val="0"/>
      <w:marBottom w:val="0"/>
      <w:divBdr>
        <w:top w:val="none" w:sz="0" w:space="0" w:color="auto"/>
        <w:left w:val="none" w:sz="0" w:space="0" w:color="auto"/>
        <w:bottom w:val="none" w:sz="0" w:space="0" w:color="auto"/>
        <w:right w:val="none" w:sz="0" w:space="0" w:color="auto"/>
      </w:divBdr>
    </w:div>
    <w:div w:id="1554582102">
      <w:bodyDiv w:val="1"/>
      <w:marLeft w:val="0"/>
      <w:marRight w:val="0"/>
      <w:marTop w:val="0"/>
      <w:marBottom w:val="0"/>
      <w:divBdr>
        <w:top w:val="none" w:sz="0" w:space="0" w:color="auto"/>
        <w:left w:val="none" w:sz="0" w:space="0" w:color="auto"/>
        <w:bottom w:val="none" w:sz="0" w:space="0" w:color="auto"/>
        <w:right w:val="none" w:sz="0" w:space="0" w:color="auto"/>
      </w:divBdr>
    </w:div>
    <w:div w:id="1555265684">
      <w:bodyDiv w:val="1"/>
      <w:marLeft w:val="0"/>
      <w:marRight w:val="0"/>
      <w:marTop w:val="0"/>
      <w:marBottom w:val="0"/>
      <w:divBdr>
        <w:top w:val="none" w:sz="0" w:space="0" w:color="auto"/>
        <w:left w:val="none" w:sz="0" w:space="0" w:color="auto"/>
        <w:bottom w:val="none" w:sz="0" w:space="0" w:color="auto"/>
        <w:right w:val="none" w:sz="0" w:space="0" w:color="auto"/>
      </w:divBdr>
    </w:div>
    <w:div w:id="1556311834">
      <w:bodyDiv w:val="1"/>
      <w:marLeft w:val="0"/>
      <w:marRight w:val="0"/>
      <w:marTop w:val="0"/>
      <w:marBottom w:val="0"/>
      <w:divBdr>
        <w:top w:val="none" w:sz="0" w:space="0" w:color="auto"/>
        <w:left w:val="none" w:sz="0" w:space="0" w:color="auto"/>
        <w:bottom w:val="none" w:sz="0" w:space="0" w:color="auto"/>
        <w:right w:val="none" w:sz="0" w:space="0" w:color="auto"/>
      </w:divBdr>
    </w:div>
    <w:div w:id="1556428508">
      <w:bodyDiv w:val="1"/>
      <w:marLeft w:val="0"/>
      <w:marRight w:val="0"/>
      <w:marTop w:val="0"/>
      <w:marBottom w:val="0"/>
      <w:divBdr>
        <w:top w:val="none" w:sz="0" w:space="0" w:color="auto"/>
        <w:left w:val="none" w:sz="0" w:space="0" w:color="auto"/>
        <w:bottom w:val="none" w:sz="0" w:space="0" w:color="auto"/>
        <w:right w:val="none" w:sz="0" w:space="0" w:color="auto"/>
      </w:divBdr>
    </w:div>
    <w:div w:id="1556819330">
      <w:bodyDiv w:val="1"/>
      <w:marLeft w:val="0"/>
      <w:marRight w:val="0"/>
      <w:marTop w:val="0"/>
      <w:marBottom w:val="0"/>
      <w:divBdr>
        <w:top w:val="none" w:sz="0" w:space="0" w:color="auto"/>
        <w:left w:val="none" w:sz="0" w:space="0" w:color="auto"/>
        <w:bottom w:val="none" w:sz="0" w:space="0" w:color="auto"/>
        <w:right w:val="none" w:sz="0" w:space="0" w:color="auto"/>
      </w:divBdr>
    </w:div>
    <w:div w:id="1557424853">
      <w:bodyDiv w:val="1"/>
      <w:marLeft w:val="0"/>
      <w:marRight w:val="0"/>
      <w:marTop w:val="0"/>
      <w:marBottom w:val="0"/>
      <w:divBdr>
        <w:top w:val="none" w:sz="0" w:space="0" w:color="auto"/>
        <w:left w:val="none" w:sz="0" w:space="0" w:color="auto"/>
        <w:bottom w:val="none" w:sz="0" w:space="0" w:color="auto"/>
        <w:right w:val="none" w:sz="0" w:space="0" w:color="auto"/>
      </w:divBdr>
    </w:div>
    <w:div w:id="1558197955">
      <w:bodyDiv w:val="1"/>
      <w:marLeft w:val="0"/>
      <w:marRight w:val="0"/>
      <w:marTop w:val="0"/>
      <w:marBottom w:val="0"/>
      <w:divBdr>
        <w:top w:val="none" w:sz="0" w:space="0" w:color="auto"/>
        <w:left w:val="none" w:sz="0" w:space="0" w:color="auto"/>
        <w:bottom w:val="none" w:sz="0" w:space="0" w:color="auto"/>
        <w:right w:val="none" w:sz="0" w:space="0" w:color="auto"/>
      </w:divBdr>
    </w:div>
    <w:div w:id="1559052686">
      <w:bodyDiv w:val="1"/>
      <w:marLeft w:val="0"/>
      <w:marRight w:val="0"/>
      <w:marTop w:val="0"/>
      <w:marBottom w:val="0"/>
      <w:divBdr>
        <w:top w:val="none" w:sz="0" w:space="0" w:color="auto"/>
        <w:left w:val="none" w:sz="0" w:space="0" w:color="auto"/>
        <w:bottom w:val="none" w:sz="0" w:space="0" w:color="auto"/>
        <w:right w:val="none" w:sz="0" w:space="0" w:color="auto"/>
      </w:divBdr>
    </w:div>
    <w:div w:id="1559128005">
      <w:bodyDiv w:val="1"/>
      <w:marLeft w:val="0"/>
      <w:marRight w:val="0"/>
      <w:marTop w:val="0"/>
      <w:marBottom w:val="0"/>
      <w:divBdr>
        <w:top w:val="none" w:sz="0" w:space="0" w:color="auto"/>
        <w:left w:val="none" w:sz="0" w:space="0" w:color="auto"/>
        <w:bottom w:val="none" w:sz="0" w:space="0" w:color="auto"/>
        <w:right w:val="none" w:sz="0" w:space="0" w:color="auto"/>
      </w:divBdr>
    </w:div>
    <w:div w:id="1560048365">
      <w:bodyDiv w:val="1"/>
      <w:marLeft w:val="0"/>
      <w:marRight w:val="0"/>
      <w:marTop w:val="0"/>
      <w:marBottom w:val="0"/>
      <w:divBdr>
        <w:top w:val="none" w:sz="0" w:space="0" w:color="auto"/>
        <w:left w:val="none" w:sz="0" w:space="0" w:color="auto"/>
        <w:bottom w:val="none" w:sz="0" w:space="0" w:color="auto"/>
        <w:right w:val="none" w:sz="0" w:space="0" w:color="auto"/>
      </w:divBdr>
    </w:div>
    <w:div w:id="1560674734">
      <w:bodyDiv w:val="1"/>
      <w:marLeft w:val="0"/>
      <w:marRight w:val="0"/>
      <w:marTop w:val="0"/>
      <w:marBottom w:val="0"/>
      <w:divBdr>
        <w:top w:val="none" w:sz="0" w:space="0" w:color="auto"/>
        <w:left w:val="none" w:sz="0" w:space="0" w:color="auto"/>
        <w:bottom w:val="none" w:sz="0" w:space="0" w:color="auto"/>
        <w:right w:val="none" w:sz="0" w:space="0" w:color="auto"/>
      </w:divBdr>
    </w:div>
    <w:div w:id="1561595010">
      <w:bodyDiv w:val="1"/>
      <w:marLeft w:val="0"/>
      <w:marRight w:val="0"/>
      <w:marTop w:val="0"/>
      <w:marBottom w:val="0"/>
      <w:divBdr>
        <w:top w:val="none" w:sz="0" w:space="0" w:color="auto"/>
        <w:left w:val="none" w:sz="0" w:space="0" w:color="auto"/>
        <w:bottom w:val="none" w:sz="0" w:space="0" w:color="auto"/>
        <w:right w:val="none" w:sz="0" w:space="0" w:color="auto"/>
      </w:divBdr>
    </w:div>
    <w:div w:id="1561743434">
      <w:bodyDiv w:val="1"/>
      <w:marLeft w:val="0"/>
      <w:marRight w:val="0"/>
      <w:marTop w:val="0"/>
      <w:marBottom w:val="0"/>
      <w:divBdr>
        <w:top w:val="none" w:sz="0" w:space="0" w:color="auto"/>
        <w:left w:val="none" w:sz="0" w:space="0" w:color="auto"/>
        <w:bottom w:val="none" w:sz="0" w:space="0" w:color="auto"/>
        <w:right w:val="none" w:sz="0" w:space="0" w:color="auto"/>
      </w:divBdr>
    </w:div>
    <w:div w:id="1561864968">
      <w:bodyDiv w:val="1"/>
      <w:marLeft w:val="0"/>
      <w:marRight w:val="0"/>
      <w:marTop w:val="0"/>
      <w:marBottom w:val="0"/>
      <w:divBdr>
        <w:top w:val="none" w:sz="0" w:space="0" w:color="auto"/>
        <w:left w:val="none" w:sz="0" w:space="0" w:color="auto"/>
        <w:bottom w:val="none" w:sz="0" w:space="0" w:color="auto"/>
        <w:right w:val="none" w:sz="0" w:space="0" w:color="auto"/>
      </w:divBdr>
    </w:div>
    <w:div w:id="1562016727">
      <w:bodyDiv w:val="1"/>
      <w:marLeft w:val="0"/>
      <w:marRight w:val="0"/>
      <w:marTop w:val="0"/>
      <w:marBottom w:val="0"/>
      <w:divBdr>
        <w:top w:val="none" w:sz="0" w:space="0" w:color="auto"/>
        <w:left w:val="none" w:sz="0" w:space="0" w:color="auto"/>
        <w:bottom w:val="none" w:sz="0" w:space="0" w:color="auto"/>
        <w:right w:val="none" w:sz="0" w:space="0" w:color="auto"/>
      </w:divBdr>
    </w:div>
    <w:div w:id="1562208576">
      <w:bodyDiv w:val="1"/>
      <w:marLeft w:val="0"/>
      <w:marRight w:val="0"/>
      <w:marTop w:val="0"/>
      <w:marBottom w:val="0"/>
      <w:divBdr>
        <w:top w:val="none" w:sz="0" w:space="0" w:color="auto"/>
        <w:left w:val="none" w:sz="0" w:space="0" w:color="auto"/>
        <w:bottom w:val="none" w:sz="0" w:space="0" w:color="auto"/>
        <w:right w:val="none" w:sz="0" w:space="0" w:color="auto"/>
      </w:divBdr>
    </w:div>
    <w:div w:id="1562903676">
      <w:bodyDiv w:val="1"/>
      <w:marLeft w:val="0"/>
      <w:marRight w:val="0"/>
      <w:marTop w:val="0"/>
      <w:marBottom w:val="0"/>
      <w:divBdr>
        <w:top w:val="none" w:sz="0" w:space="0" w:color="auto"/>
        <w:left w:val="none" w:sz="0" w:space="0" w:color="auto"/>
        <w:bottom w:val="none" w:sz="0" w:space="0" w:color="auto"/>
        <w:right w:val="none" w:sz="0" w:space="0" w:color="auto"/>
      </w:divBdr>
    </w:div>
    <w:div w:id="1563365676">
      <w:bodyDiv w:val="1"/>
      <w:marLeft w:val="0"/>
      <w:marRight w:val="0"/>
      <w:marTop w:val="0"/>
      <w:marBottom w:val="0"/>
      <w:divBdr>
        <w:top w:val="none" w:sz="0" w:space="0" w:color="auto"/>
        <w:left w:val="none" w:sz="0" w:space="0" w:color="auto"/>
        <w:bottom w:val="none" w:sz="0" w:space="0" w:color="auto"/>
        <w:right w:val="none" w:sz="0" w:space="0" w:color="auto"/>
      </w:divBdr>
    </w:div>
    <w:div w:id="1563640219">
      <w:bodyDiv w:val="1"/>
      <w:marLeft w:val="0"/>
      <w:marRight w:val="0"/>
      <w:marTop w:val="0"/>
      <w:marBottom w:val="0"/>
      <w:divBdr>
        <w:top w:val="none" w:sz="0" w:space="0" w:color="auto"/>
        <w:left w:val="none" w:sz="0" w:space="0" w:color="auto"/>
        <w:bottom w:val="none" w:sz="0" w:space="0" w:color="auto"/>
        <w:right w:val="none" w:sz="0" w:space="0" w:color="auto"/>
      </w:divBdr>
    </w:div>
    <w:div w:id="1563754878">
      <w:bodyDiv w:val="1"/>
      <w:marLeft w:val="0"/>
      <w:marRight w:val="0"/>
      <w:marTop w:val="0"/>
      <w:marBottom w:val="0"/>
      <w:divBdr>
        <w:top w:val="none" w:sz="0" w:space="0" w:color="auto"/>
        <w:left w:val="none" w:sz="0" w:space="0" w:color="auto"/>
        <w:bottom w:val="none" w:sz="0" w:space="0" w:color="auto"/>
        <w:right w:val="none" w:sz="0" w:space="0" w:color="auto"/>
      </w:divBdr>
    </w:div>
    <w:div w:id="1565409623">
      <w:bodyDiv w:val="1"/>
      <w:marLeft w:val="0"/>
      <w:marRight w:val="0"/>
      <w:marTop w:val="0"/>
      <w:marBottom w:val="0"/>
      <w:divBdr>
        <w:top w:val="none" w:sz="0" w:space="0" w:color="auto"/>
        <w:left w:val="none" w:sz="0" w:space="0" w:color="auto"/>
        <w:bottom w:val="none" w:sz="0" w:space="0" w:color="auto"/>
        <w:right w:val="none" w:sz="0" w:space="0" w:color="auto"/>
      </w:divBdr>
    </w:div>
    <w:div w:id="1566145602">
      <w:bodyDiv w:val="1"/>
      <w:marLeft w:val="0"/>
      <w:marRight w:val="0"/>
      <w:marTop w:val="0"/>
      <w:marBottom w:val="0"/>
      <w:divBdr>
        <w:top w:val="none" w:sz="0" w:space="0" w:color="auto"/>
        <w:left w:val="none" w:sz="0" w:space="0" w:color="auto"/>
        <w:bottom w:val="none" w:sz="0" w:space="0" w:color="auto"/>
        <w:right w:val="none" w:sz="0" w:space="0" w:color="auto"/>
      </w:divBdr>
    </w:div>
    <w:div w:id="1566716614">
      <w:bodyDiv w:val="1"/>
      <w:marLeft w:val="0"/>
      <w:marRight w:val="0"/>
      <w:marTop w:val="0"/>
      <w:marBottom w:val="0"/>
      <w:divBdr>
        <w:top w:val="none" w:sz="0" w:space="0" w:color="auto"/>
        <w:left w:val="none" w:sz="0" w:space="0" w:color="auto"/>
        <w:bottom w:val="none" w:sz="0" w:space="0" w:color="auto"/>
        <w:right w:val="none" w:sz="0" w:space="0" w:color="auto"/>
      </w:divBdr>
    </w:div>
    <w:div w:id="1566992985">
      <w:bodyDiv w:val="1"/>
      <w:marLeft w:val="0"/>
      <w:marRight w:val="0"/>
      <w:marTop w:val="0"/>
      <w:marBottom w:val="0"/>
      <w:divBdr>
        <w:top w:val="none" w:sz="0" w:space="0" w:color="auto"/>
        <w:left w:val="none" w:sz="0" w:space="0" w:color="auto"/>
        <w:bottom w:val="none" w:sz="0" w:space="0" w:color="auto"/>
        <w:right w:val="none" w:sz="0" w:space="0" w:color="auto"/>
      </w:divBdr>
    </w:div>
    <w:div w:id="1567061629">
      <w:bodyDiv w:val="1"/>
      <w:marLeft w:val="0"/>
      <w:marRight w:val="0"/>
      <w:marTop w:val="0"/>
      <w:marBottom w:val="0"/>
      <w:divBdr>
        <w:top w:val="none" w:sz="0" w:space="0" w:color="auto"/>
        <w:left w:val="none" w:sz="0" w:space="0" w:color="auto"/>
        <w:bottom w:val="none" w:sz="0" w:space="0" w:color="auto"/>
        <w:right w:val="none" w:sz="0" w:space="0" w:color="auto"/>
      </w:divBdr>
    </w:div>
    <w:div w:id="1567180971">
      <w:bodyDiv w:val="1"/>
      <w:marLeft w:val="0"/>
      <w:marRight w:val="0"/>
      <w:marTop w:val="0"/>
      <w:marBottom w:val="0"/>
      <w:divBdr>
        <w:top w:val="none" w:sz="0" w:space="0" w:color="auto"/>
        <w:left w:val="none" w:sz="0" w:space="0" w:color="auto"/>
        <w:bottom w:val="none" w:sz="0" w:space="0" w:color="auto"/>
        <w:right w:val="none" w:sz="0" w:space="0" w:color="auto"/>
      </w:divBdr>
    </w:div>
    <w:div w:id="1567373414">
      <w:bodyDiv w:val="1"/>
      <w:marLeft w:val="0"/>
      <w:marRight w:val="0"/>
      <w:marTop w:val="0"/>
      <w:marBottom w:val="0"/>
      <w:divBdr>
        <w:top w:val="none" w:sz="0" w:space="0" w:color="auto"/>
        <w:left w:val="none" w:sz="0" w:space="0" w:color="auto"/>
        <w:bottom w:val="none" w:sz="0" w:space="0" w:color="auto"/>
        <w:right w:val="none" w:sz="0" w:space="0" w:color="auto"/>
      </w:divBdr>
    </w:div>
    <w:div w:id="1567762474">
      <w:bodyDiv w:val="1"/>
      <w:marLeft w:val="0"/>
      <w:marRight w:val="0"/>
      <w:marTop w:val="0"/>
      <w:marBottom w:val="0"/>
      <w:divBdr>
        <w:top w:val="none" w:sz="0" w:space="0" w:color="auto"/>
        <w:left w:val="none" w:sz="0" w:space="0" w:color="auto"/>
        <w:bottom w:val="none" w:sz="0" w:space="0" w:color="auto"/>
        <w:right w:val="none" w:sz="0" w:space="0" w:color="auto"/>
      </w:divBdr>
    </w:div>
    <w:div w:id="1567910910">
      <w:bodyDiv w:val="1"/>
      <w:marLeft w:val="0"/>
      <w:marRight w:val="0"/>
      <w:marTop w:val="0"/>
      <w:marBottom w:val="0"/>
      <w:divBdr>
        <w:top w:val="none" w:sz="0" w:space="0" w:color="auto"/>
        <w:left w:val="none" w:sz="0" w:space="0" w:color="auto"/>
        <w:bottom w:val="none" w:sz="0" w:space="0" w:color="auto"/>
        <w:right w:val="none" w:sz="0" w:space="0" w:color="auto"/>
      </w:divBdr>
    </w:div>
    <w:div w:id="1568105470">
      <w:bodyDiv w:val="1"/>
      <w:marLeft w:val="0"/>
      <w:marRight w:val="0"/>
      <w:marTop w:val="0"/>
      <w:marBottom w:val="0"/>
      <w:divBdr>
        <w:top w:val="none" w:sz="0" w:space="0" w:color="auto"/>
        <w:left w:val="none" w:sz="0" w:space="0" w:color="auto"/>
        <w:bottom w:val="none" w:sz="0" w:space="0" w:color="auto"/>
        <w:right w:val="none" w:sz="0" w:space="0" w:color="auto"/>
      </w:divBdr>
    </w:div>
    <w:div w:id="1568685325">
      <w:bodyDiv w:val="1"/>
      <w:marLeft w:val="0"/>
      <w:marRight w:val="0"/>
      <w:marTop w:val="0"/>
      <w:marBottom w:val="0"/>
      <w:divBdr>
        <w:top w:val="none" w:sz="0" w:space="0" w:color="auto"/>
        <w:left w:val="none" w:sz="0" w:space="0" w:color="auto"/>
        <w:bottom w:val="none" w:sz="0" w:space="0" w:color="auto"/>
        <w:right w:val="none" w:sz="0" w:space="0" w:color="auto"/>
      </w:divBdr>
    </w:div>
    <w:div w:id="1568808833">
      <w:bodyDiv w:val="1"/>
      <w:marLeft w:val="0"/>
      <w:marRight w:val="0"/>
      <w:marTop w:val="0"/>
      <w:marBottom w:val="0"/>
      <w:divBdr>
        <w:top w:val="none" w:sz="0" w:space="0" w:color="auto"/>
        <w:left w:val="none" w:sz="0" w:space="0" w:color="auto"/>
        <w:bottom w:val="none" w:sz="0" w:space="0" w:color="auto"/>
        <w:right w:val="none" w:sz="0" w:space="0" w:color="auto"/>
      </w:divBdr>
    </w:div>
    <w:div w:id="1568882499">
      <w:bodyDiv w:val="1"/>
      <w:marLeft w:val="0"/>
      <w:marRight w:val="0"/>
      <w:marTop w:val="0"/>
      <w:marBottom w:val="0"/>
      <w:divBdr>
        <w:top w:val="none" w:sz="0" w:space="0" w:color="auto"/>
        <w:left w:val="none" w:sz="0" w:space="0" w:color="auto"/>
        <w:bottom w:val="none" w:sz="0" w:space="0" w:color="auto"/>
        <w:right w:val="none" w:sz="0" w:space="0" w:color="auto"/>
      </w:divBdr>
    </w:div>
    <w:div w:id="1569342719">
      <w:bodyDiv w:val="1"/>
      <w:marLeft w:val="0"/>
      <w:marRight w:val="0"/>
      <w:marTop w:val="0"/>
      <w:marBottom w:val="0"/>
      <w:divBdr>
        <w:top w:val="none" w:sz="0" w:space="0" w:color="auto"/>
        <w:left w:val="none" w:sz="0" w:space="0" w:color="auto"/>
        <w:bottom w:val="none" w:sz="0" w:space="0" w:color="auto"/>
        <w:right w:val="none" w:sz="0" w:space="0" w:color="auto"/>
      </w:divBdr>
    </w:div>
    <w:div w:id="1569344227">
      <w:bodyDiv w:val="1"/>
      <w:marLeft w:val="0"/>
      <w:marRight w:val="0"/>
      <w:marTop w:val="0"/>
      <w:marBottom w:val="0"/>
      <w:divBdr>
        <w:top w:val="none" w:sz="0" w:space="0" w:color="auto"/>
        <w:left w:val="none" w:sz="0" w:space="0" w:color="auto"/>
        <w:bottom w:val="none" w:sz="0" w:space="0" w:color="auto"/>
        <w:right w:val="none" w:sz="0" w:space="0" w:color="auto"/>
      </w:divBdr>
    </w:div>
    <w:div w:id="1569727010">
      <w:bodyDiv w:val="1"/>
      <w:marLeft w:val="0"/>
      <w:marRight w:val="0"/>
      <w:marTop w:val="0"/>
      <w:marBottom w:val="0"/>
      <w:divBdr>
        <w:top w:val="none" w:sz="0" w:space="0" w:color="auto"/>
        <w:left w:val="none" w:sz="0" w:space="0" w:color="auto"/>
        <w:bottom w:val="none" w:sz="0" w:space="0" w:color="auto"/>
        <w:right w:val="none" w:sz="0" w:space="0" w:color="auto"/>
      </w:divBdr>
    </w:div>
    <w:div w:id="1569801375">
      <w:bodyDiv w:val="1"/>
      <w:marLeft w:val="0"/>
      <w:marRight w:val="0"/>
      <w:marTop w:val="0"/>
      <w:marBottom w:val="0"/>
      <w:divBdr>
        <w:top w:val="none" w:sz="0" w:space="0" w:color="auto"/>
        <w:left w:val="none" w:sz="0" w:space="0" w:color="auto"/>
        <w:bottom w:val="none" w:sz="0" w:space="0" w:color="auto"/>
        <w:right w:val="none" w:sz="0" w:space="0" w:color="auto"/>
      </w:divBdr>
    </w:div>
    <w:div w:id="1570378897">
      <w:bodyDiv w:val="1"/>
      <w:marLeft w:val="0"/>
      <w:marRight w:val="0"/>
      <w:marTop w:val="0"/>
      <w:marBottom w:val="0"/>
      <w:divBdr>
        <w:top w:val="none" w:sz="0" w:space="0" w:color="auto"/>
        <w:left w:val="none" w:sz="0" w:space="0" w:color="auto"/>
        <w:bottom w:val="none" w:sz="0" w:space="0" w:color="auto"/>
        <w:right w:val="none" w:sz="0" w:space="0" w:color="auto"/>
      </w:divBdr>
    </w:div>
    <w:div w:id="1570656160">
      <w:bodyDiv w:val="1"/>
      <w:marLeft w:val="0"/>
      <w:marRight w:val="0"/>
      <w:marTop w:val="0"/>
      <w:marBottom w:val="0"/>
      <w:divBdr>
        <w:top w:val="none" w:sz="0" w:space="0" w:color="auto"/>
        <w:left w:val="none" w:sz="0" w:space="0" w:color="auto"/>
        <w:bottom w:val="none" w:sz="0" w:space="0" w:color="auto"/>
        <w:right w:val="none" w:sz="0" w:space="0" w:color="auto"/>
      </w:divBdr>
    </w:div>
    <w:div w:id="1573083802">
      <w:bodyDiv w:val="1"/>
      <w:marLeft w:val="0"/>
      <w:marRight w:val="0"/>
      <w:marTop w:val="0"/>
      <w:marBottom w:val="0"/>
      <w:divBdr>
        <w:top w:val="none" w:sz="0" w:space="0" w:color="auto"/>
        <w:left w:val="none" w:sz="0" w:space="0" w:color="auto"/>
        <w:bottom w:val="none" w:sz="0" w:space="0" w:color="auto"/>
        <w:right w:val="none" w:sz="0" w:space="0" w:color="auto"/>
      </w:divBdr>
    </w:div>
    <w:div w:id="1573195343">
      <w:bodyDiv w:val="1"/>
      <w:marLeft w:val="0"/>
      <w:marRight w:val="0"/>
      <w:marTop w:val="0"/>
      <w:marBottom w:val="0"/>
      <w:divBdr>
        <w:top w:val="none" w:sz="0" w:space="0" w:color="auto"/>
        <w:left w:val="none" w:sz="0" w:space="0" w:color="auto"/>
        <w:bottom w:val="none" w:sz="0" w:space="0" w:color="auto"/>
        <w:right w:val="none" w:sz="0" w:space="0" w:color="auto"/>
      </w:divBdr>
    </w:div>
    <w:div w:id="1574119902">
      <w:bodyDiv w:val="1"/>
      <w:marLeft w:val="0"/>
      <w:marRight w:val="0"/>
      <w:marTop w:val="0"/>
      <w:marBottom w:val="0"/>
      <w:divBdr>
        <w:top w:val="none" w:sz="0" w:space="0" w:color="auto"/>
        <w:left w:val="none" w:sz="0" w:space="0" w:color="auto"/>
        <w:bottom w:val="none" w:sz="0" w:space="0" w:color="auto"/>
        <w:right w:val="none" w:sz="0" w:space="0" w:color="auto"/>
      </w:divBdr>
    </w:div>
    <w:div w:id="1574387439">
      <w:bodyDiv w:val="1"/>
      <w:marLeft w:val="0"/>
      <w:marRight w:val="0"/>
      <w:marTop w:val="0"/>
      <w:marBottom w:val="0"/>
      <w:divBdr>
        <w:top w:val="none" w:sz="0" w:space="0" w:color="auto"/>
        <w:left w:val="none" w:sz="0" w:space="0" w:color="auto"/>
        <w:bottom w:val="none" w:sz="0" w:space="0" w:color="auto"/>
        <w:right w:val="none" w:sz="0" w:space="0" w:color="auto"/>
      </w:divBdr>
    </w:div>
    <w:div w:id="1575428772">
      <w:bodyDiv w:val="1"/>
      <w:marLeft w:val="0"/>
      <w:marRight w:val="0"/>
      <w:marTop w:val="0"/>
      <w:marBottom w:val="0"/>
      <w:divBdr>
        <w:top w:val="none" w:sz="0" w:space="0" w:color="auto"/>
        <w:left w:val="none" w:sz="0" w:space="0" w:color="auto"/>
        <w:bottom w:val="none" w:sz="0" w:space="0" w:color="auto"/>
        <w:right w:val="none" w:sz="0" w:space="0" w:color="auto"/>
      </w:divBdr>
    </w:div>
    <w:div w:id="1576012289">
      <w:bodyDiv w:val="1"/>
      <w:marLeft w:val="0"/>
      <w:marRight w:val="0"/>
      <w:marTop w:val="0"/>
      <w:marBottom w:val="0"/>
      <w:divBdr>
        <w:top w:val="none" w:sz="0" w:space="0" w:color="auto"/>
        <w:left w:val="none" w:sz="0" w:space="0" w:color="auto"/>
        <w:bottom w:val="none" w:sz="0" w:space="0" w:color="auto"/>
        <w:right w:val="none" w:sz="0" w:space="0" w:color="auto"/>
      </w:divBdr>
    </w:div>
    <w:div w:id="1576741159">
      <w:bodyDiv w:val="1"/>
      <w:marLeft w:val="0"/>
      <w:marRight w:val="0"/>
      <w:marTop w:val="0"/>
      <w:marBottom w:val="0"/>
      <w:divBdr>
        <w:top w:val="none" w:sz="0" w:space="0" w:color="auto"/>
        <w:left w:val="none" w:sz="0" w:space="0" w:color="auto"/>
        <w:bottom w:val="none" w:sz="0" w:space="0" w:color="auto"/>
        <w:right w:val="none" w:sz="0" w:space="0" w:color="auto"/>
      </w:divBdr>
    </w:div>
    <w:div w:id="1577203501">
      <w:bodyDiv w:val="1"/>
      <w:marLeft w:val="0"/>
      <w:marRight w:val="0"/>
      <w:marTop w:val="0"/>
      <w:marBottom w:val="0"/>
      <w:divBdr>
        <w:top w:val="none" w:sz="0" w:space="0" w:color="auto"/>
        <w:left w:val="none" w:sz="0" w:space="0" w:color="auto"/>
        <w:bottom w:val="none" w:sz="0" w:space="0" w:color="auto"/>
        <w:right w:val="none" w:sz="0" w:space="0" w:color="auto"/>
      </w:divBdr>
    </w:div>
    <w:div w:id="1577671813">
      <w:bodyDiv w:val="1"/>
      <w:marLeft w:val="0"/>
      <w:marRight w:val="0"/>
      <w:marTop w:val="0"/>
      <w:marBottom w:val="0"/>
      <w:divBdr>
        <w:top w:val="none" w:sz="0" w:space="0" w:color="auto"/>
        <w:left w:val="none" w:sz="0" w:space="0" w:color="auto"/>
        <w:bottom w:val="none" w:sz="0" w:space="0" w:color="auto"/>
        <w:right w:val="none" w:sz="0" w:space="0" w:color="auto"/>
      </w:divBdr>
    </w:div>
    <w:div w:id="1577746315">
      <w:bodyDiv w:val="1"/>
      <w:marLeft w:val="0"/>
      <w:marRight w:val="0"/>
      <w:marTop w:val="0"/>
      <w:marBottom w:val="0"/>
      <w:divBdr>
        <w:top w:val="none" w:sz="0" w:space="0" w:color="auto"/>
        <w:left w:val="none" w:sz="0" w:space="0" w:color="auto"/>
        <w:bottom w:val="none" w:sz="0" w:space="0" w:color="auto"/>
        <w:right w:val="none" w:sz="0" w:space="0" w:color="auto"/>
      </w:divBdr>
    </w:div>
    <w:div w:id="1577937859">
      <w:bodyDiv w:val="1"/>
      <w:marLeft w:val="0"/>
      <w:marRight w:val="0"/>
      <w:marTop w:val="0"/>
      <w:marBottom w:val="0"/>
      <w:divBdr>
        <w:top w:val="none" w:sz="0" w:space="0" w:color="auto"/>
        <w:left w:val="none" w:sz="0" w:space="0" w:color="auto"/>
        <w:bottom w:val="none" w:sz="0" w:space="0" w:color="auto"/>
        <w:right w:val="none" w:sz="0" w:space="0" w:color="auto"/>
      </w:divBdr>
    </w:div>
    <w:div w:id="1578319872">
      <w:bodyDiv w:val="1"/>
      <w:marLeft w:val="0"/>
      <w:marRight w:val="0"/>
      <w:marTop w:val="0"/>
      <w:marBottom w:val="0"/>
      <w:divBdr>
        <w:top w:val="none" w:sz="0" w:space="0" w:color="auto"/>
        <w:left w:val="none" w:sz="0" w:space="0" w:color="auto"/>
        <w:bottom w:val="none" w:sz="0" w:space="0" w:color="auto"/>
        <w:right w:val="none" w:sz="0" w:space="0" w:color="auto"/>
      </w:divBdr>
    </w:div>
    <w:div w:id="1579055913">
      <w:bodyDiv w:val="1"/>
      <w:marLeft w:val="0"/>
      <w:marRight w:val="0"/>
      <w:marTop w:val="0"/>
      <w:marBottom w:val="0"/>
      <w:divBdr>
        <w:top w:val="none" w:sz="0" w:space="0" w:color="auto"/>
        <w:left w:val="none" w:sz="0" w:space="0" w:color="auto"/>
        <w:bottom w:val="none" w:sz="0" w:space="0" w:color="auto"/>
        <w:right w:val="none" w:sz="0" w:space="0" w:color="auto"/>
      </w:divBdr>
    </w:div>
    <w:div w:id="1580561166">
      <w:bodyDiv w:val="1"/>
      <w:marLeft w:val="0"/>
      <w:marRight w:val="0"/>
      <w:marTop w:val="0"/>
      <w:marBottom w:val="0"/>
      <w:divBdr>
        <w:top w:val="none" w:sz="0" w:space="0" w:color="auto"/>
        <w:left w:val="none" w:sz="0" w:space="0" w:color="auto"/>
        <w:bottom w:val="none" w:sz="0" w:space="0" w:color="auto"/>
        <w:right w:val="none" w:sz="0" w:space="0" w:color="auto"/>
      </w:divBdr>
    </w:div>
    <w:div w:id="1581058043">
      <w:bodyDiv w:val="1"/>
      <w:marLeft w:val="0"/>
      <w:marRight w:val="0"/>
      <w:marTop w:val="0"/>
      <w:marBottom w:val="0"/>
      <w:divBdr>
        <w:top w:val="none" w:sz="0" w:space="0" w:color="auto"/>
        <w:left w:val="none" w:sz="0" w:space="0" w:color="auto"/>
        <w:bottom w:val="none" w:sz="0" w:space="0" w:color="auto"/>
        <w:right w:val="none" w:sz="0" w:space="0" w:color="auto"/>
      </w:divBdr>
    </w:div>
    <w:div w:id="1583024191">
      <w:bodyDiv w:val="1"/>
      <w:marLeft w:val="0"/>
      <w:marRight w:val="0"/>
      <w:marTop w:val="0"/>
      <w:marBottom w:val="0"/>
      <w:divBdr>
        <w:top w:val="none" w:sz="0" w:space="0" w:color="auto"/>
        <w:left w:val="none" w:sz="0" w:space="0" w:color="auto"/>
        <w:bottom w:val="none" w:sz="0" w:space="0" w:color="auto"/>
        <w:right w:val="none" w:sz="0" w:space="0" w:color="auto"/>
      </w:divBdr>
    </w:div>
    <w:div w:id="1584223888">
      <w:bodyDiv w:val="1"/>
      <w:marLeft w:val="0"/>
      <w:marRight w:val="0"/>
      <w:marTop w:val="0"/>
      <w:marBottom w:val="0"/>
      <w:divBdr>
        <w:top w:val="none" w:sz="0" w:space="0" w:color="auto"/>
        <w:left w:val="none" w:sz="0" w:space="0" w:color="auto"/>
        <w:bottom w:val="none" w:sz="0" w:space="0" w:color="auto"/>
        <w:right w:val="none" w:sz="0" w:space="0" w:color="auto"/>
      </w:divBdr>
    </w:div>
    <w:div w:id="1584417442">
      <w:bodyDiv w:val="1"/>
      <w:marLeft w:val="0"/>
      <w:marRight w:val="0"/>
      <w:marTop w:val="0"/>
      <w:marBottom w:val="0"/>
      <w:divBdr>
        <w:top w:val="none" w:sz="0" w:space="0" w:color="auto"/>
        <w:left w:val="none" w:sz="0" w:space="0" w:color="auto"/>
        <w:bottom w:val="none" w:sz="0" w:space="0" w:color="auto"/>
        <w:right w:val="none" w:sz="0" w:space="0" w:color="auto"/>
      </w:divBdr>
    </w:div>
    <w:div w:id="1584753292">
      <w:bodyDiv w:val="1"/>
      <w:marLeft w:val="0"/>
      <w:marRight w:val="0"/>
      <w:marTop w:val="0"/>
      <w:marBottom w:val="0"/>
      <w:divBdr>
        <w:top w:val="none" w:sz="0" w:space="0" w:color="auto"/>
        <w:left w:val="none" w:sz="0" w:space="0" w:color="auto"/>
        <w:bottom w:val="none" w:sz="0" w:space="0" w:color="auto"/>
        <w:right w:val="none" w:sz="0" w:space="0" w:color="auto"/>
      </w:divBdr>
    </w:div>
    <w:div w:id="1584797195">
      <w:bodyDiv w:val="1"/>
      <w:marLeft w:val="0"/>
      <w:marRight w:val="0"/>
      <w:marTop w:val="0"/>
      <w:marBottom w:val="0"/>
      <w:divBdr>
        <w:top w:val="none" w:sz="0" w:space="0" w:color="auto"/>
        <w:left w:val="none" w:sz="0" w:space="0" w:color="auto"/>
        <w:bottom w:val="none" w:sz="0" w:space="0" w:color="auto"/>
        <w:right w:val="none" w:sz="0" w:space="0" w:color="auto"/>
      </w:divBdr>
    </w:div>
    <w:div w:id="1584992495">
      <w:bodyDiv w:val="1"/>
      <w:marLeft w:val="0"/>
      <w:marRight w:val="0"/>
      <w:marTop w:val="0"/>
      <w:marBottom w:val="0"/>
      <w:divBdr>
        <w:top w:val="none" w:sz="0" w:space="0" w:color="auto"/>
        <w:left w:val="none" w:sz="0" w:space="0" w:color="auto"/>
        <w:bottom w:val="none" w:sz="0" w:space="0" w:color="auto"/>
        <w:right w:val="none" w:sz="0" w:space="0" w:color="auto"/>
      </w:divBdr>
    </w:div>
    <w:div w:id="1585071199">
      <w:bodyDiv w:val="1"/>
      <w:marLeft w:val="0"/>
      <w:marRight w:val="0"/>
      <w:marTop w:val="0"/>
      <w:marBottom w:val="0"/>
      <w:divBdr>
        <w:top w:val="none" w:sz="0" w:space="0" w:color="auto"/>
        <w:left w:val="none" w:sz="0" w:space="0" w:color="auto"/>
        <w:bottom w:val="none" w:sz="0" w:space="0" w:color="auto"/>
        <w:right w:val="none" w:sz="0" w:space="0" w:color="auto"/>
      </w:divBdr>
    </w:div>
    <w:div w:id="1586304188">
      <w:bodyDiv w:val="1"/>
      <w:marLeft w:val="0"/>
      <w:marRight w:val="0"/>
      <w:marTop w:val="0"/>
      <w:marBottom w:val="0"/>
      <w:divBdr>
        <w:top w:val="none" w:sz="0" w:space="0" w:color="auto"/>
        <w:left w:val="none" w:sz="0" w:space="0" w:color="auto"/>
        <w:bottom w:val="none" w:sz="0" w:space="0" w:color="auto"/>
        <w:right w:val="none" w:sz="0" w:space="0" w:color="auto"/>
      </w:divBdr>
    </w:div>
    <w:div w:id="1587303143">
      <w:bodyDiv w:val="1"/>
      <w:marLeft w:val="0"/>
      <w:marRight w:val="0"/>
      <w:marTop w:val="0"/>
      <w:marBottom w:val="0"/>
      <w:divBdr>
        <w:top w:val="none" w:sz="0" w:space="0" w:color="auto"/>
        <w:left w:val="none" w:sz="0" w:space="0" w:color="auto"/>
        <w:bottom w:val="none" w:sz="0" w:space="0" w:color="auto"/>
        <w:right w:val="none" w:sz="0" w:space="0" w:color="auto"/>
      </w:divBdr>
    </w:div>
    <w:div w:id="1587614032">
      <w:bodyDiv w:val="1"/>
      <w:marLeft w:val="0"/>
      <w:marRight w:val="0"/>
      <w:marTop w:val="0"/>
      <w:marBottom w:val="0"/>
      <w:divBdr>
        <w:top w:val="none" w:sz="0" w:space="0" w:color="auto"/>
        <w:left w:val="none" w:sz="0" w:space="0" w:color="auto"/>
        <w:bottom w:val="none" w:sz="0" w:space="0" w:color="auto"/>
        <w:right w:val="none" w:sz="0" w:space="0" w:color="auto"/>
      </w:divBdr>
    </w:div>
    <w:div w:id="1587878612">
      <w:bodyDiv w:val="1"/>
      <w:marLeft w:val="0"/>
      <w:marRight w:val="0"/>
      <w:marTop w:val="0"/>
      <w:marBottom w:val="0"/>
      <w:divBdr>
        <w:top w:val="none" w:sz="0" w:space="0" w:color="auto"/>
        <w:left w:val="none" w:sz="0" w:space="0" w:color="auto"/>
        <w:bottom w:val="none" w:sz="0" w:space="0" w:color="auto"/>
        <w:right w:val="none" w:sz="0" w:space="0" w:color="auto"/>
      </w:divBdr>
    </w:div>
    <w:div w:id="1588226243">
      <w:bodyDiv w:val="1"/>
      <w:marLeft w:val="0"/>
      <w:marRight w:val="0"/>
      <w:marTop w:val="0"/>
      <w:marBottom w:val="0"/>
      <w:divBdr>
        <w:top w:val="none" w:sz="0" w:space="0" w:color="auto"/>
        <w:left w:val="none" w:sz="0" w:space="0" w:color="auto"/>
        <w:bottom w:val="none" w:sz="0" w:space="0" w:color="auto"/>
        <w:right w:val="none" w:sz="0" w:space="0" w:color="auto"/>
      </w:divBdr>
    </w:div>
    <w:div w:id="1588690357">
      <w:bodyDiv w:val="1"/>
      <w:marLeft w:val="0"/>
      <w:marRight w:val="0"/>
      <w:marTop w:val="0"/>
      <w:marBottom w:val="0"/>
      <w:divBdr>
        <w:top w:val="none" w:sz="0" w:space="0" w:color="auto"/>
        <w:left w:val="none" w:sz="0" w:space="0" w:color="auto"/>
        <w:bottom w:val="none" w:sz="0" w:space="0" w:color="auto"/>
        <w:right w:val="none" w:sz="0" w:space="0" w:color="auto"/>
      </w:divBdr>
    </w:div>
    <w:div w:id="1590041332">
      <w:bodyDiv w:val="1"/>
      <w:marLeft w:val="0"/>
      <w:marRight w:val="0"/>
      <w:marTop w:val="0"/>
      <w:marBottom w:val="0"/>
      <w:divBdr>
        <w:top w:val="none" w:sz="0" w:space="0" w:color="auto"/>
        <w:left w:val="none" w:sz="0" w:space="0" w:color="auto"/>
        <w:bottom w:val="none" w:sz="0" w:space="0" w:color="auto"/>
        <w:right w:val="none" w:sz="0" w:space="0" w:color="auto"/>
      </w:divBdr>
    </w:div>
    <w:div w:id="1590574351">
      <w:bodyDiv w:val="1"/>
      <w:marLeft w:val="0"/>
      <w:marRight w:val="0"/>
      <w:marTop w:val="0"/>
      <w:marBottom w:val="0"/>
      <w:divBdr>
        <w:top w:val="none" w:sz="0" w:space="0" w:color="auto"/>
        <w:left w:val="none" w:sz="0" w:space="0" w:color="auto"/>
        <w:bottom w:val="none" w:sz="0" w:space="0" w:color="auto"/>
        <w:right w:val="none" w:sz="0" w:space="0" w:color="auto"/>
      </w:divBdr>
    </w:div>
    <w:div w:id="1591158990">
      <w:bodyDiv w:val="1"/>
      <w:marLeft w:val="0"/>
      <w:marRight w:val="0"/>
      <w:marTop w:val="0"/>
      <w:marBottom w:val="0"/>
      <w:divBdr>
        <w:top w:val="none" w:sz="0" w:space="0" w:color="auto"/>
        <w:left w:val="none" w:sz="0" w:space="0" w:color="auto"/>
        <w:bottom w:val="none" w:sz="0" w:space="0" w:color="auto"/>
        <w:right w:val="none" w:sz="0" w:space="0" w:color="auto"/>
      </w:divBdr>
    </w:div>
    <w:div w:id="1591743242">
      <w:bodyDiv w:val="1"/>
      <w:marLeft w:val="0"/>
      <w:marRight w:val="0"/>
      <w:marTop w:val="0"/>
      <w:marBottom w:val="0"/>
      <w:divBdr>
        <w:top w:val="none" w:sz="0" w:space="0" w:color="auto"/>
        <w:left w:val="none" w:sz="0" w:space="0" w:color="auto"/>
        <w:bottom w:val="none" w:sz="0" w:space="0" w:color="auto"/>
        <w:right w:val="none" w:sz="0" w:space="0" w:color="auto"/>
      </w:divBdr>
    </w:div>
    <w:div w:id="1591815114">
      <w:bodyDiv w:val="1"/>
      <w:marLeft w:val="0"/>
      <w:marRight w:val="0"/>
      <w:marTop w:val="0"/>
      <w:marBottom w:val="0"/>
      <w:divBdr>
        <w:top w:val="none" w:sz="0" w:space="0" w:color="auto"/>
        <w:left w:val="none" w:sz="0" w:space="0" w:color="auto"/>
        <w:bottom w:val="none" w:sz="0" w:space="0" w:color="auto"/>
        <w:right w:val="none" w:sz="0" w:space="0" w:color="auto"/>
      </w:divBdr>
    </w:div>
    <w:div w:id="1592275765">
      <w:bodyDiv w:val="1"/>
      <w:marLeft w:val="0"/>
      <w:marRight w:val="0"/>
      <w:marTop w:val="0"/>
      <w:marBottom w:val="0"/>
      <w:divBdr>
        <w:top w:val="none" w:sz="0" w:space="0" w:color="auto"/>
        <w:left w:val="none" w:sz="0" w:space="0" w:color="auto"/>
        <w:bottom w:val="none" w:sz="0" w:space="0" w:color="auto"/>
        <w:right w:val="none" w:sz="0" w:space="0" w:color="auto"/>
      </w:divBdr>
    </w:div>
    <w:div w:id="1592927970">
      <w:bodyDiv w:val="1"/>
      <w:marLeft w:val="0"/>
      <w:marRight w:val="0"/>
      <w:marTop w:val="0"/>
      <w:marBottom w:val="0"/>
      <w:divBdr>
        <w:top w:val="none" w:sz="0" w:space="0" w:color="auto"/>
        <w:left w:val="none" w:sz="0" w:space="0" w:color="auto"/>
        <w:bottom w:val="none" w:sz="0" w:space="0" w:color="auto"/>
        <w:right w:val="none" w:sz="0" w:space="0" w:color="auto"/>
      </w:divBdr>
    </w:div>
    <w:div w:id="1593049383">
      <w:bodyDiv w:val="1"/>
      <w:marLeft w:val="0"/>
      <w:marRight w:val="0"/>
      <w:marTop w:val="0"/>
      <w:marBottom w:val="0"/>
      <w:divBdr>
        <w:top w:val="none" w:sz="0" w:space="0" w:color="auto"/>
        <w:left w:val="none" w:sz="0" w:space="0" w:color="auto"/>
        <w:bottom w:val="none" w:sz="0" w:space="0" w:color="auto"/>
        <w:right w:val="none" w:sz="0" w:space="0" w:color="auto"/>
      </w:divBdr>
    </w:div>
    <w:div w:id="1593276835">
      <w:bodyDiv w:val="1"/>
      <w:marLeft w:val="0"/>
      <w:marRight w:val="0"/>
      <w:marTop w:val="0"/>
      <w:marBottom w:val="0"/>
      <w:divBdr>
        <w:top w:val="none" w:sz="0" w:space="0" w:color="auto"/>
        <w:left w:val="none" w:sz="0" w:space="0" w:color="auto"/>
        <w:bottom w:val="none" w:sz="0" w:space="0" w:color="auto"/>
        <w:right w:val="none" w:sz="0" w:space="0" w:color="auto"/>
      </w:divBdr>
    </w:div>
    <w:div w:id="1595822078">
      <w:bodyDiv w:val="1"/>
      <w:marLeft w:val="0"/>
      <w:marRight w:val="0"/>
      <w:marTop w:val="0"/>
      <w:marBottom w:val="0"/>
      <w:divBdr>
        <w:top w:val="none" w:sz="0" w:space="0" w:color="auto"/>
        <w:left w:val="none" w:sz="0" w:space="0" w:color="auto"/>
        <w:bottom w:val="none" w:sz="0" w:space="0" w:color="auto"/>
        <w:right w:val="none" w:sz="0" w:space="0" w:color="auto"/>
      </w:divBdr>
    </w:div>
    <w:div w:id="1596280041">
      <w:bodyDiv w:val="1"/>
      <w:marLeft w:val="0"/>
      <w:marRight w:val="0"/>
      <w:marTop w:val="0"/>
      <w:marBottom w:val="0"/>
      <w:divBdr>
        <w:top w:val="none" w:sz="0" w:space="0" w:color="auto"/>
        <w:left w:val="none" w:sz="0" w:space="0" w:color="auto"/>
        <w:bottom w:val="none" w:sz="0" w:space="0" w:color="auto"/>
        <w:right w:val="none" w:sz="0" w:space="0" w:color="auto"/>
      </w:divBdr>
    </w:div>
    <w:div w:id="1597205123">
      <w:bodyDiv w:val="1"/>
      <w:marLeft w:val="0"/>
      <w:marRight w:val="0"/>
      <w:marTop w:val="0"/>
      <w:marBottom w:val="0"/>
      <w:divBdr>
        <w:top w:val="none" w:sz="0" w:space="0" w:color="auto"/>
        <w:left w:val="none" w:sz="0" w:space="0" w:color="auto"/>
        <w:bottom w:val="none" w:sz="0" w:space="0" w:color="auto"/>
        <w:right w:val="none" w:sz="0" w:space="0" w:color="auto"/>
      </w:divBdr>
    </w:div>
    <w:div w:id="1597248379">
      <w:bodyDiv w:val="1"/>
      <w:marLeft w:val="0"/>
      <w:marRight w:val="0"/>
      <w:marTop w:val="0"/>
      <w:marBottom w:val="0"/>
      <w:divBdr>
        <w:top w:val="none" w:sz="0" w:space="0" w:color="auto"/>
        <w:left w:val="none" w:sz="0" w:space="0" w:color="auto"/>
        <w:bottom w:val="none" w:sz="0" w:space="0" w:color="auto"/>
        <w:right w:val="none" w:sz="0" w:space="0" w:color="auto"/>
      </w:divBdr>
    </w:div>
    <w:div w:id="1597789136">
      <w:bodyDiv w:val="1"/>
      <w:marLeft w:val="0"/>
      <w:marRight w:val="0"/>
      <w:marTop w:val="0"/>
      <w:marBottom w:val="0"/>
      <w:divBdr>
        <w:top w:val="none" w:sz="0" w:space="0" w:color="auto"/>
        <w:left w:val="none" w:sz="0" w:space="0" w:color="auto"/>
        <w:bottom w:val="none" w:sz="0" w:space="0" w:color="auto"/>
        <w:right w:val="none" w:sz="0" w:space="0" w:color="auto"/>
      </w:divBdr>
    </w:div>
    <w:div w:id="1598825833">
      <w:bodyDiv w:val="1"/>
      <w:marLeft w:val="0"/>
      <w:marRight w:val="0"/>
      <w:marTop w:val="0"/>
      <w:marBottom w:val="0"/>
      <w:divBdr>
        <w:top w:val="none" w:sz="0" w:space="0" w:color="auto"/>
        <w:left w:val="none" w:sz="0" w:space="0" w:color="auto"/>
        <w:bottom w:val="none" w:sz="0" w:space="0" w:color="auto"/>
        <w:right w:val="none" w:sz="0" w:space="0" w:color="auto"/>
      </w:divBdr>
    </w:div>
    <w:div w:id="1599411686">
      <w:bodyDiv w:val="1"/>
      <w:marLeft w:val="0"/>
      <w:marRight w:val="0"/>
      <w:marTop w:val="0"/>
      <w:marBottom w:val="0"/>
      <w:divBdr>
        <w:top w:val="none" w:sz="0" w:space="0" w:color="auto"/>
        <w:left w:val="none" w:sz="0" w:space="0" w:color="auto"/>
        <w:bottom w:val="none" w:sz="0" w:space="0" w:color="auto"/>
        <w:right w:val="none" w:sz="0" w:space="0" w:color="auto"/>
      </w:divBdr>
    </w:div>
    <w:div w:id="1599868583">
      <w:bodyDiv w:val="1"/>
      <w:marLeft w:val="0"/>
      <w:marRight w:val="0"/>
      <w:marTop w:val="0"/>
      <w:marBottom w:val="0"/>
      <w:divBdr>
        <w:top w:val="none" w:sz="0" w:space="0" w:color="auto"/>
        <w:left w:val="none" w:sz="0" w:space="0" w:color="auto"/>
        <w:bottom w:val="none" w:sz="0" w:space="0" w:color="auto"/>
        <w:right w:val="none" w:sz="0" w:space="0" w:color="auto"/>
      </w:divBdr>
    </w:div>
    <w:div w:id="1600604025">
      <w:bodyDiv w:val="1"/>
      <w:marLeft w:val="0"/>
      <w:marRight w:val="0"/>
      <w:marTop w:val="0"/>
      <w:marBottom w:val="0"/>
      <w:divBdr>
        <w:top w:val="none" w:sz="0" w:space="0" w:color="auto"/>
        <w:left w:val="none" w:sz="0" w:space="0" w:color="auto"/>
        <w:bottom w:val="none" w:sz="0" w:space="0" w:color="auto"/>
        <w:right w:val="none" w:sz="0" w:space="0" w:color="auto"/>
      </w:divBdr>
    </w:div>
    <w:div w:id="1600718194">
      <w:bodyDiv w:val="1"/>
      <w:marLeft w:val="0"/>
      <w:marRight w:val="0"/>
      <w:marTop w:val="0"/>
      <w:marBottom w:val="0"/>
      <w:divBdr>
        <w:top w:val="none" w:sz="0" w:space="0" w:color="auto"/>
        <w:left w:val="none" w:sz="0" w:space="0" w:color="auto"/>
        <w:bottom w:val="none" w:sz="0" w:space="0" w:color="auto"/>
        <w:right w:val="none" w:sz="0" w:space="0" w:color="auto"/>
      </w:divBdr>
    </w:div>
    <w:div w:id="1602298910">
      <w:bodyDiv w:val="1"/>
      <w:marLeft w:val="0"/>
      <w:marRight w:val="0"/>
      <w:marTop w:val="0"/>
      <w:marBottom w:val="0"/>
      <w:divBdr>
        <w:top w:val="none" w:sz="0" w:space="0" w:color="auto"/>
        <w:left w:val="none" w:sz="0" w:space="0" w:color="auto"/>
        <w:bottom w:val="none" w:sz="0" w:space="0" w:color="auto"/>
        <w:right w:val="none" w:sz="0" w:space="0" w:color="auto"/>
      </w:divBdr>
    </w:div>
    <w:div w:id="1604459056">
      <w:bodyDiv w:val="1"/>
      <w:marLeft w:val="0"/>
      <w:marRight w:val="0"/>
      <w:marTop w:val="0"/>
      <w:marBottom w:val="0"/>
      <w:divBdr>
        <w:top w:val="none" w:sz="0" w:space="0" w:color="auto"/>
        <w:left w:val="none" w:sz="0" w:space="0" w:color="auto"/>
        <w:bottom w:val="none" w:sz="0" w:space="0" w:color="auto"/>
        <w:right w:val="none" w:sz="0" w:space="0" w:color="auto"/>
      </w:divBdr>
    </w:div>
    <w:div w:id="1606227016">
      <w:bodyDiv w:val="1"/>
      <w:marLeft w:val="0"/>
      <w:marRight w:val="0"/>
      <w:marTop w:val="0"/>
      <w:marBottom w:val="0"/>
      <w:divBdr>
        <w:top w:val="none" w:sz="0" w:space="0" w:color="auto"/>
        <w:left w:val="none" w:sz="0" w:space="0" w:color="auto"/>
        <w:bottom w:val="none" w:sz="0" w:space="0" w:color="auto"/>
        <w:right w:val="none" w:sz="0" w:space="0" w:color="auto"/>
      </w:divBdr>
    </w:div>
    <w:div w:id="1606304289">
      <w:bodyDiv w:val="1"/>
      <w:marLeft w:val="0"/>
      <w:marRight w:val="0"/>
      <w:marTop w:val="0"/>
      <w:marBottom w:val="0"/>
      <w:divBdr>
        <w:top w:val="none" w:sz="0" w:space="0" w:color="auto"/>
        <w:left w:val="none" w:sz="0" w:space="0" w:color="auto"/>
        <w:bottom w:val="none" w:sz="0" w:space="0" w:color="auto"/>
        <w:right w:val="none" w:sz="0" w:space="0" w:color="auto"/>
      </w:divBdr>
    </w:div>
    <w:div w:id="1606959655">
      <w:bodyDiv w:val="1"/>
      <w:marLeft w:val="0"/>
      <w:marRight w:val="0"/>
      <w:marTop w:val="0"/>
      <w:marBottom w:val="0"/>
      <w:divBdr>
        <w:top w:val="none" w:sz="0" w:space="0" w:color="auto"/>
        <w:left w:val="none" w:sz="0" w:space="0" w:color="auto"/>
        <w:bottom w:val="none" w:sz="0" w:space="0" w:color="auto"/>
        <w:right w:val="none" w:sz="0" w:space="0" w:color="auto"/>
      </w:divBdr>
    </w:div>
    <w:div w:id="1608005389">
      <w:bodyDiv w:val="1"/>
      <w:marLeft w:val="0"/>
      <w:marRight w:val="0"/>
      <w:marTop w:val="0"/>
      <w:marBottom w:val="0"/>
      <w:divBdr>
        <w:top w:val="none" w:sz="0" w:space="0" w:color="auto"/>
        <w:left w:val="none" w:sz="0" w:space="0" w:color="auto"/>
        <w:bottom w:val="none" w:sz="0" w:space="0" w:color="auto"/>
        <w:right w:val="none" w:sz="0" w:space="0" w:color="auto"/>
      </w:divBdr>
    </w:div>
    <w:div w:id="1608270809">
      <w:bodyDiv w:val="1"/>
      <w:marLeft w:val="0"/>
      <w:marRight w:val="0"/>
      <w:marTop w:val="0"/>
      <w:marBottom w:val="0"/>
      <w:divBdr>
        <w:top w:val="none" w:sz="0" w:space="0" w:color="auto"/>
        <w:left w:val="none" w:sz="0" w:space="0" w:color="auto"/>
        <w:bottom w:val="none" w:sz="0" w:space="0" w:color="auto"/>
        <w:right w:val="none" w:sz="0" w:space="0" w:color="auto"/>
      </w:divBdr>
    </w:div>
    <w:div w:id="1609001576">
      <w:bodyDiv w:val="1"/>
      <w:marLeft w:val="0"/>
      <w:marRight w:val="0"/>
      <w:marTop w:val="0"/>
      <w:marBottom w:val="0"/>
      <w:divBdr>
        <w:top w:val="none" w:sz="0" w:space="0" w:color="auto"/>
        <w:left w:val="none" w:sz="0" w:space="0" w:color="auto"/>
        <w:bottom w:val="none" w:sz="0" w:space="0" w:color="auto"/>
        <w:right w:val="none" w:sz="0" w:space="0" w:color="auto"/>
      </w:divBdr>
    </w:div>
    <w:div w:id="1609043492">
      <w:bodyDiv w:val="1"/>
      <w:marLeft w:val="0"/>
      <w:marRight w:val="0"/>
      <w:marTop w:val="0"/>
      <w:marBottom w:val="0"/>
      <w:divBdr>
        <w:top w:val="none" w:sz="0" w:space="0" w:color="auto"/>
        <w:left w:val="none" w:sz="0" w:space="0" w:color="auto"/>
        <w:bottom w:val="none" w:sz="0" w:space="0" w:color="auto"/>
        <w:right w:val="none" w:sz="0" w:space="0" w:color="auto"/>
      </w:divBdr>
    </w:div>
    <w:div w:id="1609385338">
      <w:bodyDiv w:val="1"/>
      <w:marLeft w:val="0"/>
      <w:marRight w:val="0"/>
      <w:marTop w:val="0"/>
      <w:marBottom w:val="0"/>
      <w:divBdr>
        <w:top w:val="none" w:sz="0" w:space="0" w:color="auto"/>
        <w:left w:val="none" w:sz="0" w:space="0" w:color="auto"/>
        <w:bottom w:val="none" w:sz="0" w:space="0" w:color="auto"/>
        <w:right w:val="none" w:sz="0" w:space="0" w:color="auto"/>
      </w:divBdr>
    </w:div>
    <w:div w:id="1609459176">
      <w:bodyDiv w:val="1"/>
      <w:marLeft w:val="0"/>
      <w:marRight w:val="0"/>
      <w:marTop w:val="0"/>
      <w:marBottom w:val="0"/>
      <w:divBdr>
        <w:top w:val="none" w:sz="0" w:space="0" w:color="auto"/>
        <w:left w:val="none" w:sz="0" w:space="0" w:color="auto"/>
        <w:bottom w:val="none" w:sz="0" w:space="0" w:color="auto"/>
        <w:right w:val="none" w:sz="0" w:space="0" w:color="auto"/>
      </w:divBdr>
    </w:div>
    <w:div w:id="1609577307">
      <w:bodyDiv w:val="1"/>
      <w:marLeft w:val="0"/>
      <w:marRight w:val="0"/>
      <w:marTop w:val="0"/>
      <w:marBottom w:val="0"/>
      <w:divBdr>
        <w:top w:val="none" w:sz="0" w:space="0" w:color="auto"/>
        <w:left w:val="none" w:sz="0" w:space="0" w:color="auto"/>
        <w:bottom w:val="none" w:sz="0" w:space="0" w:color="auto"/>
        <w:right w:val="none" w:sz="0" w:space="0" w:color="auto"/>
      </w:divBdr>
    </w:div>
    <w:div w:id="1609657716">
      <w:bodyDiv w:val="1"/>
      <w:marLeft w:val="0"/>
      <w:marRight w:val="0"/>
      <w:marTop w:val="0"/>
      <w:marBottom w:val="0"/>
      <w:divBdr>
        <w:top w:val="none" w:sz="0" w:space="0" w:color="auto"/>
        <w:left w:val="none" w:sz="0" w:space="0" w:color="auto"/>
        <w:bottom w:val="none" w:sz="0" w:space="0" w:color="auto"/>
        <w:right w:val="none" w:sz="0" w:space="0" w:color="auto"/>
      </w:divBdr>
    </w:div>
    <w:div w:id="1610308563">
      <w:bodyDiv w:val="1"/>
      <w:marLeft w:val="0"/>
      <w:marRight w:val="0"/>
      <w:marTop w:val="0"/>
      <w:marBottom w:val="0"/>
      <w:divBdr>
        <w:top w:val="none" w:sz="0" w:space="0" w:color="auto"/>
        <w:left w:val="none" w:sz="0" w:space="0" w:color="auto"/>
        <w:bottom w:val="none" w:sz="0" w:space="0" w:color="auto"/>
        <w:right w:val="none" w:sz="0" w:space="0" w:color="auto"/>
      </w:divBdr>
    </w:div>
    <w:div w:id="1610887860">
      <w:bodyDiv w:val="1"/>
      <w:marLeft w:val="0"/>
      <w:marRight w:val="0"/>
      <w:marTop w:val="0"/>
      <w:marBottom w:val="0"/>
      <w:divBdr>
        <w:top w:val="none" w:sz="0" w:space="0" w:color="auto"/>
        <w:left w:val="none" w:sz="0" w:space="0" w:color="auto"/>
        <w:bottom w:val="none" w:sz="0" w:space="0" w:color="auto"/>
        <w:right w:val="none" w:sz="0" w:space="0" w:color="auto"/>
      </w:divBdr>
    </w:div>
    <w:div w:id="1611204372">
      <w:bodyDiv w:val="1"/>
      <w:marLeft w:val="0"/>
      <w:marRight w:val="0"/>
      <w:marTop w:val="0"/>
      <w:marBottom w:val="0"/>
      <w:divBdr>
        <w:top w:val="none" w:sz="0" w:space="0" w:color="auto"/>
        <w:left w:val="none" w:sz="0" w:space="0" w:color="auto"/>
        <w:bottom w:val="none" w:sz="0" w:space="0" w:color="auto"/>
        <w:right w:val="none" w:sz="0" w:space="0" w:color="auto"/>
      </w:divBdr>
    </w:div>
    <w:div w:id="1612319050">
      <w:bodyDiv w:val="1"/>
      <w:marLeft w:val="0"/>
      <w:marRight w:val="0"/>
      <w:marTop w:val="0"/>
      <w:marBottom w:val="0"/>
      <w:divBdr>
        <w:top w:val="none" w:sz="0" w:space="0" w:color="auto"/>
        <w:left w:val="none" w:sz="0" w:space="0" w:color="auto"/>
        <w:bottom w:val="none" w:sz="0" w:space="0" w:color="auto"/>
        <w:right w:val="none" w:sz="0" w:space="0" w:color="auto"/>
      </w:divBdr>
    </w:div>
    <w:div w:id="1613436993">
      <w:bodyDiv w:val="1"/>
      <w:marLeft w:val="0"/>
      <w:marRight w:val="0"/>
      <w:marTop w:val="0"/>
      <w:marBottom w:val="0"/>
      <w:divBdr>
        <w:top w:val="none" w:sz="0" w:space="0" w:color="auto"/>
        <w:left w:val="none" w:sz="0" w:space="0" w:color="auto"/>
        <w:bottom w:val="none" w:sz="0" w:space="0" w:color="auto"/>
        <w:right w:val="none" w:sz="0" w:space="0" w:color="auto"/>
      </w:divBdr>
    </w:div>
    <w:div w:id="1613509917">
      <w:bodyDiv w:val="1"/>
      <w:marLeft w:val="0"/>
      <w:marRight w:val="0"/>
      <w:marTop w:val="0"/>
      <w:marBottom w:val="0"/>
      <w:divBdr>
        <w:top w:val="none" w:sz="0" w:space="0" w:color="auto"/>
        <w:left w:val="none" w:sz="0" w:space="0" w:color="auto"/>
        <w:bottom w:val="none" w:sz="0" w:space="0" w:color="auto"/>
        <w:right w:val="none" w:sz="0" w:space="0" w:color="auto"/>
      </w:divBdr>
    </w:div>
    <w:div w:id="1613589276">
      <w:bodyDiv w:val="1"/>
      <w:marLeft w:val="0"/>
      <w:marRight w:val="0"/>
      <w:marTop w:val="0"/>
      <w:marBottom w:val="0"/>
      <w:divBdr>
        <w:top w:val="none" w:sz="0" w:space="0" w:color="auto"/>
        <w:left w:val="none" w:sz="0" w:space="0" w:color="auto"/>
        <w:bottom w:val="none" w:sz="0" w:space="0" w:color="auto"/>
        <w:right w:val="none" w:sz="0" w:space="0" w:color="auto"/>
      </w:divBdr>
    </w:div>
    <w:div w:id="1614091530">
      <w:bodyDiv w:val="1"/>
      <w:marLeft w:val="0"/>
      <w:marRight w:val="0"/>
      <w:marTop w:val="0"/>
      <w:marBottom w:val="0"/>
      <w:divBdr>
        <w:top w:val="none" w:sz="0" w:space="0" w:color="auto"/>
        <w:left w:val="none" w:sz="0" w:space="0" w:color="auto"/>
        <w:bottom w:val="none" w:sz="0" w:space="0" w:color="auto"/>
        <w:right w:val="none" w:sz="0" w:space="0" w:color="auto"/>
      </w:divBdr>
    </w:div>
    <w:div w:id="1614287395">
      <w:bodyDiv w:val="1"/>
      <w:marLeft w:val="0"/>
      <w:marRight w:val="0"/>
      <w:marTop w:val="0"/>
      <w:marBottom w:val="0"/>
      <w:divBdr>
        <w:top w:val="none" w:sz="0" w:space="0" w:color="auto"/>
        <w:left w:val="none" w:sz="0" w:space="0" w:color="auto"/>
        <w:bottom w:val="none" w:sz="0" w:space="0" w:color="auto"/>
        <w:right w:val="none" w:sz="0" w:space="0" w:color="auto"/>
      </w:divBdr>
    </w:div>
    <w:div w:id="1614362600">
      <w:bodyDiv w:val="1"/>
      <w:marLeft w:val="0"/>
      <w:marRight w:val="0"/>
      <w:marTop w:val="0"/>
      <w:marBottom w:val="0"/>
      <w:divBdr>
        <w:top w:val="none" w:sz="0" w:space="0" w:color="auto"/>
        <w:left w:val="none" w:sz="0" w:space="0" w:color="auto"/>
        <w:bottom w:val="none" w:sz="0" w:space="0" w:color="auto"/>
        <w:right w:val="none" w:sz="0" w:space="0" w:color="auto"/>
      </w:divBdr>
    </w:div>
    <w:div w:id="1614480335">
      <w:bodyDiv w:val="1"/>
      <w:marLeft w:val="0"/>
      <w:marRight w:val="0"/>
      <w:marTop w:val="0"/>
      <w:marBottom w:val="0"/>
      <w:divBdr>
        <w:top w:val="none" w:sz="0" w:space="0" w:color="auto"/>
        <w:left w:val="none" w:sz="0" w:space="0" w:color="auto"/>
        <w:bottom w:val="none" w:sz="0" w:space="0" w:color="auto"/>
        <w:right w:val="none" w:sz="0" w:space="0" w:color="auto"/>
      </w:divBdr>
    </w:div>
    <w:div w:id="1614903034">
      <w:bodyDiv w:val="1"/>
      <w:marLeft w:val="0"/>
      <w:marRight w:val="0"/>
      <w:marTop w:val="0"/>
      <w:marBottom w:val="0"/>
      <w:divBdr>
        <w:top w:val="none" w:sz="0" w:space="0" w:color="auto"/>
        <w:left w:val="none" w:sz="0" w:space="0" w:color="auto"/>
        <w:bottom w:val="none" w:sz="0" w:space="0" w:color="auto"/>
        <w:right w:val="none" w:sz="0" w:space="0" w:color="auto"/>
      </w:divBdr>
    </w:div>
    <w:div w:id="1615399791">
      <w:bodyDiv w:val="1"/>
      <w:marLeft w:val="0"/>
      <w:marRight w:val="0"/>
      <w:marTop w:val="0"/>
      <w:marBottom w:val="0"/>
      <w:divBdr>
        <w:top w:val="none" w:sz="0" w:space="0" w:color="auto"/>
        <w:left w:val="none" w:sz="0" w:space="0" w:color="auto"/>
        <w:bottom w:val="none" w:sz="0" w:space="0" w:color="auto"/>
        <w:right w:val="none" w:sz="0" w:space="0" w:color="auto"/>
      </w:divBdr>
    </w:div>
    <w:div w:id="1615481080">
      <w:bodyDiv w:val="1"/>
      <w:marLeft w:val="0"/>
      <w:marRight w:val="0"/>
      <w:marTop w:val="0"/>
      <w:marBottom w:val="0"/>
      <w:divBdr>
        <w:top w:val="none" w:sz="0" w:space="0" w:color="auto"/>
        <w:left w:val="none" w:sz="0" w:space="0" w:color="auto"/>
        <w:bottom w:val="none" w:sz="0" w:space="0" w:color="auto"/>
        <w:right w:val="none" w:sz="0" w:space="0" w:color="auto"/>
      </w:divBdr>
    </w:div>
    <w:div w:id="1617057247">
      <w:bodyDiv w:val="1"/>
      <w:marLeft w:val="0"/>
      <w:marRight w:val="0"/>
      <w:marTop w:val="0"/>
      <w:marBottom w:val="0"/>
      <w:divBdr>
        <w:top w:val="none" w:sz="0" w:space="0" w:color="auto"/>
        <w:left w:val="none" w:sz="0" w:space="0" w:color="auto"/>
        <w:bottom w:val="none" w:sz="0" w:space="0" w:color="auto"/>
        <w:right w:val="none" w:sz="0" w:space="0" w:color="auto"/>
      </w:divBdr>
    </w:div>
    <w:div w:id="1617903347">
      <w:bodyDiv w:val="1"/>
      <w:marLeft w:val="0"/>
      <w:marRight w:val="0"/>
      <w:marTop w:val="0"/>
      <w:marBottom w:val="0"/>
      <w:divBdr>
        <w:top w:val="none" w:sz="0" w:space="0" w:color="auto"/>
        <w:left w:val="none" w:sz="0" w:space="0" w:color="auto"/>
        <w:bottom w:val="none" w:sz="0" w:space="0" w:color="auto"/>
        <w:right w:val="none" w:sz="0" w:space="0" w:color="auto"/>
      </w:divBdr>
    </w:div>
    <w:div w:id="1618171534">
      <w:bodyDiv w:val="1"/>
      <w:marLeft w:val="0"/>
      <w:marRight w:val="0"/>
      <w:marTop w:val="0"/>
      <w:marBottom w:val="0"/>
      <w:divBdr>
        <w:top w:val="none" w:sz="0" w:space="0" w:color="auto"/>
        <w:left w:val="none" w:sz="0" w:space="0" w:color="auto"/>
        <w:bottom w:val="none" w:sz="0" w:space="0" w:color="auto"/>
        <w:right w:val="none" w:sz="0" w:space="0" w:color="auto"/>
      </w:divBdr>
    </w:div>
    <w:div w:id="1618639783">
      <w:bodyDiv w:val="1"/>
      <w:marLeft w:val="0"/>
      <w:marRight w:val="0"/>
      <w:marTop w:val="0"/>
      <w:marBottom w:val="0"/>
      <w:divBdr>
        <w:top w:val="none" w:sz="0" w:space="0" w:color="auto"/>
        <w:left w:val="none" w:sz="0" w:space="0" w:color="auto"/>
        <w:bottom w:val="none" w:sz="0" w:space="0" w:color="auto"/>
        <w:right w:val="none" w:sz="0" w:space="0" w:color="auto"/>
      </w:divBdr>
    </w:div>
    <w:div w:id="1618870645">
      <w:bodyDiv w:val="1"/>
      <w:marLeft w:val="0"/>
      <w:marRight w:val="0"/>
      <w:marTop w:val="0"/>
      <w:marBottom w:val="0"/>
      <w:divBdr>
        <w:top w:val="none" w:sz="0" w:space="0" w:color="auto"/>
        <w:left w:val="none" w:sz="0" w:space="0" w:color="auto"/>
        <w:bottom w:val="none" w:sz="0" w:space="0" w:color="auto"/>
        <w:right w:val="none" w:sz="0" w:space="0" w:color="auto"/>
      </w:divBdr>
    </w:div>
    <w:div w:id="1619750259">
      <w:bodyDiv w:val="1"/>
      <w:marLeft w:val="0"/>
      <w:marRight w:val="0"/>
      <w:marTop w:val="0"/>
      <w:marBottom w:val="0"/>
      <w:divBdr>
        <w:top w:val="none" w:sz="0" w:space="0" w:color="auto"/>
        <w:left w:val="none" w:sz="0" w:space="0" w:color="auto"/>
        <w:bottom w:val="none" w:sz="0" w:space="0" w:color="auto"/>
        <w:right w:val="none" w:sz="0" w:space="0" w:color="auto"/>
      </w:divBdr>
    </w:div>
    <w:div w:id="1619868839">
      <w:bodyDiv w:val="1"/>
      <w:marLeft w:val="0"/>
      <w:marRight w:val="0"/>
      <w:marTop w:val="0"/>
      <w:marBottom w:val="0"/>
      <w:divBdr>
        <w:top w:val="none" w:sz="0" w:space="0" w:color="auto"/>
        <w:left w:val="none" w:sz="0" w:space="0" w:color="auto"/>
        <w:bottom w:val="none" w:sz="0" w:space="0" w:color="auto"/>
        <w:right w:val="none" w:sz="0" w:space="0" w:color="auto"/>
      </w:divBdr>
    </w:div>
    <w:div w:id="1622688529">
      <w:bodyDiv w:val="1"/>
      <w:marLeft w:val="0"/>
      <w:marRight w:val="0"/>
      <w:marTop w:val="0"/>
      <w:marBottom w:val="0"/>
      <w:divBdr>
        <w:top w:val="none" w:sz="0" w:space="0" w:color="auto"/>
        <w:left w:val="none" w:sz="0" w:space="0" w:color="auto"/>
        <w:bottom w:val="none" w:sz="0" w:space="0" w:color="auto"/>
        <w:right w:val="none" w:sz="0" w:space="0" w:color="auto"/>
      </w:divBdr>
    </w:div>
    <w:div w:id="1624458095">
      <w:bodyDiv w:val="1"/>
      <w:marLeft w:val="0"/>
      <w:marRight w:val="0"/>
      <w:marTop w:val="0"/>
      <w:marBottom w:val="0"/>
      <w:divBdr>
        <w:top w:val="none" w:sz="0" w:space="0" w:color="auto"/>
        <w:left w:val="none" w:sz="0" w:space="0" w:color="auto"/>
        <w:bottom w:val="none" w:sz="0" w:space="0" w:color="auto"/>
        <w:right w:val="none" w:sz="0" w:space="0" w:color="auto"/>
      </w:divBdr>
    </w:div>
    <w:div w:id="1625381573">
      <w:bodyDiv w:val="1"/>
      <w:marLeft w:val="0"/>
      <w:marRight w:val="0"/>
      <w:marTop w:val="0"/>
      <w:marBottom w:val="0"/>
      <w:divBdr>
        <w:top w:val="none" w:sz="0" w:space="0" w:color="auto"/>
        <w:left w:val="none" w:sz="0" w:space="0" w:color="auto"/>
        <w:bottom w:val="none" w:sz="0" w:space="0" w:color="auto"/>
        <w:right w:val="none" w:sz="0" w:space="0" w:color="auto"/>
      </w:divBdr>
    </w:div>
    <w:div w:id="1625576222">
      <w:bodyDiv w:val="1"/>
      <w:marLeft w:val="0"/>
      <w:marRight w:val="0"/>
      <w:marTop w:val="0"/>
      <w:marBottom w:val="0"/>
      <w:divBdr>
        <w:top w:val="none" w:sz="0" w:space="0" w:color="auto"/>
        <w:left w:val="none" w:sz="0" w:space="0" w:color="auto"/>
        <w:bottom w:val="none" w:sz="0" w:space="0" w:color="auto"/>
        <w:right w:val="none" w:sz="0" w:space="0" w:color="auto"/>
      </w:divBdr>
    </w:div>
    <w:div w:id="1625772634">
      <w:bodyDiv w:val="1"/>
      <w:marLeft w:val="0"/>
      <w:marRight w:val="0"/>
      <w:marTop w:val="0"/>
      <w:marBottom w:val="0"/>
      <w:divBdr>
        <w:top w:val="none" w:sz="0" w:space="0" w:color="auto"/>
        <w:left w:val="none" w:sz="0" w:space="0" w:color="auto"/>
        <w:bottom w:val="none" w:sz="0" w:space="0" w:color="auto"/>
        <w:right w:val="none" w:sz="0" w:space="0" w:color="auto"/>
      </w:divBdr>
    </w:div>
    <w:div w:id="1626085098">
      <w:bodyDiv w:val="1"/>
      <w:marLeft w:val="0"/>
      <w:marRight w:val="0"/>
      <w:marTop w:val="0"/>
      <w:marBottom w:val="0"/>
      <w:divBdr>
        <w:top w:val="none" w:sz="0" w:space="0" w:color="auto"/>
        <w:left w:val="none" w:sz="0" w:space="0" w:color="auto"/>
        <w:bottom w:val="none" w:sz="0" w:space="0" w:color="auto"/>
        <w:right w:val="none" w:sz="0" w:space="0" w:color="auto"/>
      </w:divBdr>
    </w:div>
    <w:div w:id="1629126300">
      <w:bodyDiv w:val="1"/>
      <w:marLeft w:val="0"/>
      <w:marRight w:val="0"/>
      <w:marTop w:val="0"/>
      <w:marBottom w:val="0"/>
      <w:divBdr>
        <w:top w:val="none" w:sz="0" w:space="0" w:color="auto"/>
        <w:left w:val="none" w:sz="0" w:space="0" w:color="auto"/>
        <w:bottom w:val="none" w:sz="0" w:space="0" w:color="auto"/>
        <w:right w:val="none" w:sz="0" w:space="0" w:color="auto"/>
      </w:divBdr>
    </w:div>
    <w:div w:id="1629159757">
      <w:bodyDiv w:val="1"/>
      <w:marLeft w:val="0"/>
      <w:marRight w:val="0"/>
      <w:marTop w:val="0"/>
      <w:marBottom w:val="0"/>
      <w:divBdr>
        <w:top w:val="none" w:sz="0" w:space="0" w:color="auto"/>
        <w:left w:val="none" w:sz="0" w:space="0" w:color="auto"/>
        <w:bottom w:val="none" w:sz="0" w:space="0" w:color="auto"/>
        <w:right w:val="none" w:sz="0" w:space="0" w:color="auto"/>
      </w:divBdr>
    </w:div>
    <w:div w:id="1631087881">
      <w:bodyDiv w:val="1"/>
      <w:marLeft w:val="0"/>
      <w:marRight w:val="0"/>
      <w:marTop w:val="0"/>
      <w:marBottom w:val="0"/>
      <w:divBdr>
        <w:top w:val="none" w:sz="0" w:space="0" w:color="auto"/>
        <w:left w:val="none" w:sz="0" w:space="0" w:color="auto"/>
        <w:bottom w:val="none" w:sz="0" w:space="0" w:color="auto"/>
        <w:right w:val="none" w:sz="0" w:space="0" w:color="auto"/>
      </w:divBdr>
    </w:div>
    <w:div w:id="1631785564">
      <w:bodyDiv w:val="1"/>
      <w:marLeft w:val="0"/>
      <w:marRight w:val="0"/>
      <w:marTop w:val="0"/>
      <w:marBottom w:val="0"/>
      <w:divBdr>
        <w:top w:val="none" w:sz="0" w:space="0" w:color="auto"/>
        <w:left w:val="none" w:sz="0" w:space="0" w:color="auto"/>
        <w:bottom w:val="none" w:sz="0" w:space="0" w:color="auto"/>
        <w:right w:val="none" w:sz="0" w:space="0" w:color="auto"/>
      </w:divBdr>
    </w:div>
    <w:div w:id="1631862343">
      <w:bodyDiv w:val="1"/>
      <w:marLeft w:val="0"/>
      <w:marRight w:val="0"/>
      <w:marTop w:val="0"/>
      <w:marBottom w:val="0"/>
      <w:divBdr>
        <w:top w:val="none" w:sz="0" w:space="0" w:color="auto"/>
        <w:left w:val="none" w:sz="0" w:space="0" w:color="auto"/>
        <w:bottom w:val="none" w:sz="0" w:space="0" w:color="auto"/>
        <w:right w:val="none" w:sz="0" w:space="0" w:color="auto"/>
      </w:divBdr>
    </w:div>
    <w:div w:id="1632444131">
      <w:bodyDiv w:val="1"/>
      <w:marLeft w:val="0"/>
      <w:marRight w:val="0"/>
      <w:marTop w:val="0"/>
      <w:marBottom w:val="0"/>
      <w:divBdr>
        <w:top w:val="none" w:sz="0" w:space="0" w:color="auto"/>
        <w:left w:val="none" w:sz="0" w:space="0" w:color="auto"/>
        <w:bottom w:val="none" w:sz="0" w:space="0" w:color="auto"/>
        <w:right w:val="none" w:sz="0" w:space="0" w:color="auto"/>
      </w:divBdr>
    </w:div>
    <w:div w:id="1633095059">
      <w:bodyDiv w:val="1"/>
      <w:marLeft w:val="0"/>
      <w:marRight w:val="0"/>
      <w:marTop w:val="0"/>
      <w:marBottom w:val="0"/>
      <w:divBdr>
        <w:top w:val="none" w:sz="0" w:space="0" w:color="auto"/>
        <w:left w:val="none" w:sz="0" w:space="0" w:color="auto"/>
        <w:bottom w:val="none" w:sz="0" w:space="0" w:color="auto"/>
        <w:right w:val="none" w:sz="0" w:space="0" w:color="auto"/>
      </w:divBdr>
    </w:div>
    <w:div w:id="1633439786">
      <w:bodyDiv w:val="1"/>
      <w:marLeft w:val="0"/>
      <w:marRight w:val="0"/>
      <w:marTop w:val="0"/>
      <w:marBottom w:val="0"/>
      <w:divBdr>
        <w:top w:val="none" w:sz="0" w:space="0" w:color="auto"/>
        <w:left w:val="none" w:sz="0" w:space="0" w:color="auto"/>
        <w:bottom w:val="none" w:sz="0" w:space="0" w:color="auto"/>
        <w:right w:val="none" w:sz="0" w:space="0" w:color="auto"/>
      </w:divBdr>
    </w:div>
    <w:div w:id="1633555217">
      <w:bodyDiv w:val="1"/>
      <w:marLeft w:val="0"/>
      <w:marRight w:val="0"/>
      <w:marTop w:val="0"/>
      <w:marBottom w:val="0"/>
      <w:divBdr>
        <w:top w:val="none" w:sz="0" w:space="0" w:color="auto"/>
        <w:left w:val="none" w:sz="0" w:space="0" w:color="auto"/>
        <w:bottom w:val="none" w:sz="0" w:space="0" w:color="auto"/>
        <w:right w:val="none" w:sz="0" w:space="0" w:color="auto"/>
      </w:divBdr>
    </w:div>
    <w:div w:id="1633754483">
      <w:bodyDiv w:val="1"/>
      <w:marLeft w:val="0"/>
      <w:marRight w:val="0"/>
      <w:marTop w:val="0"/>
      <w:marBottom w:val="0"/>
      <w:divBdr>
        <w:top w:val="none" w:sz="0" w:space="0" w:color="auto"/>
        <w:left w:val="none" w:sz="0" w:space="0" w:color="auto"/>
        <w:bottom w:val="none" w:sz="0" w:space="0" w:color="auto"/>
        <w:right w:val="none" w:sz="0" w:space="0" w:color="auto"/>
      </w:divBdr>
    </w:div>
    <w:div w:id="1634289261">
      <w:bodyDiv w:val="1"/>
      <w:marLeft w:val="0"/>
      <w:marRight w:val="0"/>
      <w:marTop w:val="0"/>
      <w:marBottom w:val="0"/>
      <w:divBdr>
        <w:top w:val="none" w:sz="0" w:space="0" w:color="auto"/>
        <w:left w:val="none" w:sz="0" w:space="0" w:color="auto"/>
        <w:bottom w:val="none" w:sz="0" w:space="0" w:color="auto"/>
        <w:right w:val="none" w:sz="0" w:space="0" w:color="auto"/>
      </w:divBdr>
    </w:div>
    <w:div w:id="1635286440">
      <w:bodyDiv w:val="1"/>
      <w:marLeft w:val="0"/>
      <w:marRight w:val="0"/>
      <w:marTop w:val="0"/>
      <w:marBottom w:val="0"/>
      <w:divBdr>
        <w:top w:val="none" w:sz="0" w:space="0" w:color="auto"/>
        <w:left w:val="none" w:sz="0" w:space="0" w:color="auto"/>
        <w:bottom w:val="none" w:sz="0" w:space="0" w:color="auto"/>
        <w:right w:val="none" w:sz="0" w:space="0" w:color="auto"/>
      </w:divBdr>
    </w:div>
    <w:div w:id="1635719035">
      <w:bodyDiv w:val="1"/>
      <w:marLeft w:val="0"/>
      <w:marRight w:val="0"/>
      <w:marTop w:val="0"/>
      <w:marBottom w:val="0"/>
      <w:divBdr>
        <w:top w:val="none" w:sz="0" w:space="0" w:color="auto"/>
        <w:left w:val="none" w:sz="0" w:space="0" w:color="auto"/>
        <w:bottom w:val="none" w:sz="0" w:space="0" w:color="auto"/>
        <w:right w:val="none" w:sz="0" w:space="0" w:color="auto"/>
      </w:divBdr>
    </w:div>
    <w:div w:id="1636182180">
      <w:bodyDiv w:val="1"/>
      <w:marLeft w:val="0"/>
      <w:marRight w:val="0"/>
      <w:marTop w:val="0"/>
      <w:marBottom w:val="0"/>
      <w:divBdr>
        <w:top w:val="none" w:sz="0" w:space="0" w:color="auto"/>
        <w:left w:val="none" w:sz="0" w:space="0" w:color="auto"/>
        <w:bottom w:val="none" w:sz="0" w:space="0" w:color="auto"/>
        <w:right w:val="none" w:sz="0" w:space="0" w:color="auto"/>
      </w:divBdr>
    </w:div>
    <w:div w:id="1637639213">
      <w:bodyDiv w:val="1"/>
      <w:marLeft w:val="0"/>
      <w:marRight w:val="0"/>
      <w:marTop w:val="0"/>
      <w:marBottom w:val="0"/>
      <w:divBdr>
        <w:top w:val="none" w:sz="0" w:space="0" w:color="auto"/>
        <w:left w:val="none" w:sz="0" w:space="0" w:color="auto"/>
        <w:bottom w:val="none" w:sz="0" w:space="0" w:color="auto"/>
        <w:right w:val="none" w:sz="0" w:space="0" w:color="auto"/>
      </w:divBdr>
    </w:div>
    <w:div w:id="1637877634">
      <w:bodyDiv w:val="1"/>
      <w:marLeft w:val="0"/>
      <w:marRight w:val="0"/>
      <w:marTop w:val="0"/>
      <w:marBottom w:val="0"/>
      <w:divBdr>
        <w:top w:val="none" w:sz="0" w:space="0" w:color="auto"/>
        <w:left w:val="none" w:sz="0" w:space="0" w:color="auto"/>
        <w:bottom w:val="none" w:sz="0" w:space="0" w:color="auto"/>
        <w:right w:val="none" w:sz="0" w:space="0" w:color="auto"/>
      </w:divBdr>
    </w:div>
    <w:div w:id="1638026321">
      <w:bodyDiv w:val="1"/>
      <w:marLeft w:val="0"/>
      <w:marRight w:val="0"/>
      <w:marTop w:val="0"/>
      <w:marBottom w:val="0"/>
      <w:divBdr>
        <w:top w:val="none" w:sz="0" w:space="0" w:color="auto"/>
        <w:left w:val="none" w:sz="0" w:space="0" w:color="auto"/>
        <w:bottom w:val="none" w:sz="0" w:space="0" w:color="auto"/>
        <w:right w:val="none" w:sz="0" w:space="0" w:color="auto"/>
      </w:divBdr>
    </w:div>
    <w:div w:id="1638340471">
      <w:bodyDiv w:val="1"/>
      <w:marLeft w:val="0"/>
      <w:marRight w:val="0"/>
      <w:marTop w:val="0"/>
      <w:marBottom w:val="0"/>
      <w:divBdr>
        <w:top w:val="none" w:sz="0" w:space="0" w:color="auto"/>
        <w:left w:val="none" w:sz="0" w:space="0" w:color="auto"/>
        <w:bottom w:val="none" w:sz="0" w:space="0" w:color="auto"/>
        <w:right w:val="none" w:sz="0" w:space="0" w:color="auto"/>
      </w:divBdr>
    </w:div>
    <w:div w:id="1640768577">
      <w:bodyDiv w:val="1"/>
      <w:marLeft w:val="0"/>
      <w:marRight w:val="0"/>
      <w:marTop w:val="0"/>
      <w:marBottom w:val="0"/>
      <w:divBdr>
        <w:top w:val="none" w:sz="0" w:space="0" w:color="auto"/>
        <w:left w:val="none" w:sz="0" w:space="0" w:color="auto"/>
        <w:bottom w:val="none" w:sz="0" w:space="0" w:color="auto"/>
        <w:right w:val="none" w:sz="0" w:space="0" w:color="auto"/>
      </w:divBdr>
    </w:div>
    <w:div w:id="1641036515">
      <w:bodyDiv w:val="1"/>
      <w:marLeft w:val="0"/>
      <w:marRight w:val="0"/>
      <w:marTop w:val="0"/>
      <w:marBottom w:val="0"/>
      <w:divBdr>
        <w:top w:val="none" w:sz="0" w:space="0" w:color="auto"/>
        <w:left w:val="none" w:sz="0" w:space="0" w:color="auto"/>
        <w:bottom w:val="none" w:sz="0" w:space="0" w:color="auto"/>
        <w:right w:val="none" w:sz="0" w:space="0" w:color="auto"/>
      </w:divBdr>
    </w:div>
    <w:div w:id="1641155959">
      <w:bodyDiv w:val="1"/>
      <w:marLeft w:val="0"/>
      <w:marRight w:val="0"/>
      <w:marTop w:val="0"/>
      <w:marBottom w:val="0"/>
      <w:divBdr>
        <w:top w:val="none" w:sz="0" w:space="0" w:color="auto"/>
        <w:left w:val="none" w:sz="0" w:space="0" w:color="auto"/>
        <w:bottom w:val="none" w:sz="0" w:space="0" w:color="auto"/>
        <w:right w:val="none" w:sz="0" w:space="0" w:color="auto"/>
      </w:divBdr>
    </w:div>
    <w:div w:id="1643384313">
      <w:bodyDiv w:val="1"/>
      <w:marLeft w:val="0"/>
      <w:marRight w:val="0"/>
      <w:marTop w:val="0"/>
      <w:marBottom w:val="0"/>
      <w:divBdr>
        <w:top w:val="none" w:sz="0" w:space="0" w:color="auto"/>
        <w:left w:val="none" w:sz="0" w:space="0" w:color="auto"/>
        <w:bottom w:val="none" w:sz="0" w:space="0" w:color="auto"/>
        <w:right w:val="none" w:sz="0" w:space="0" w:color="auto"/>
      </w:divBdr>
    </w:div>
    <w:div w:id="1644315392">
      <w:bodyDiv w:val="1"/>
      <w:marLeft w:val="0"/>
      <w:marRight w:val="0"/>
      <w:marTop w:val="0"/>
      <w:marBottom w:val="0"/>
      <w:divBdr>
        <w:top w:val="none" w:sz="0" w:space="0" w:color="auto"/>
        <w:left w:val="none" w:sz="0" w:space="0" w:color="auto"/>
        <w:bottom w:val="none" w:sz="0" w:space="0" w:color="auto"/>
        <w:right w:val="none" w:sz="0" w:space="0" w:color="auto"/>
      </w:divBdr>
    </w:div>
    <w:div w:id="1644458317">
      <w:bodyDiv w:val="1"/>
      <w:marLeft w:val="0"/>
      <w:marRight w:val="0"/>
      <w:marTop w:val="0"/>
      <w:marBottom w:val="0"/>
      <w:divBdr>
        <w:top w:val="none" w:sz="0" w:space="0" w:color="auto"/>
        <w:left w:val="none" w:sz="0" w:space="0" w:color="auto"/>
        <w:bottom w:val="none" w:sz="0" w:space="0" w:color="auto"/>
        <w:right w:val="none" w:sz="0" w:space="0" w:color="auto"/>
      </w:divBdr>
    </w:div>
    <w:div w:id="1644964354">
      <w:bodyDiv w:val="1"/>
      <w:marLeft w:val="0"/>
      <w:marRight w:val="0"/>
      <w:marTop w:val="0"/>
      <w:marBottom w:val="0"/>
      <w:divBdr>
        <w:top w:val="none" w:sz="0" w:space="0" w:color="auto"/>
        <w:left w:val="none" w:sz="0" w:space="0" w:color="auto"/>
        <w:bottom w:val="none" w:sz="0" w:space="0" w:color="auto"/>
        <w:right w:val="none" w:sz="0" w:space="0" w:color="auto"/>
      </w:divBdr>
    </w:div>
    <w:div w:id="1645431799">
      <w:bodyDiv w:val="1"/>
      <w:marLeft w:val="0"/>
      <w:marRight w:val="0"/>
      <w:marTop w:val="0"/>
      <w:marBottom w:val="0"/>
      <w:divBdr>
        <w:top w:val="none" w:sz="0" w:space="0" w:color="auto"/>
        <w:left w:val="none" w:sz="0" w:space="0" w:color="auto"/>
        <w:bottom w:val="none" w:sz="0" w:space="0" w:color="auto"/>
        <w:right w:val="none" w:sz="0" w:space="0" w:color="auto"/>
      </w:divBdr>
    </w:div>
    <w:div w:id="1645547451">
      <w:bodyDiv w:val="1"/>
      <w:marLeft w:val="0"/>
      <w:marRight w:val="0"/>
      <w:marTop w:val="0"/>
      <w:marBottom w:val="0"/>
      <w:divBdr>
        <w:top w:val="none" w:sz="0" w:space="0" w:color="auto"/>
        <w:left w:val="none" w:sz="0" w:space="0" w:color="auto"/>
        <w:bottom w:val="none" w:sz="0" w:space="0" w:color="auto"/>
        <w:right w:val="none" w:sz="0" w:space="0" w:color="auto"/>
      </w:divBdr>
    </w:div>
    <w:div w:id="1645701125">
      <w:bodyDiv w:val="1"/>
      <w:marLeft w:val="0"/>
      <w:marRight w:val="0"/>
      <w:marTop w:val="0"/>
      <w:marBottom w:val="0"/>
      <w:divBdr>
        <w:top w:val="none" w:sz="0" w:space="0" w:color="auto"/>
        <w:left w:val="none" w:sz="0" w:space="0" w:color="auto"/>
        <w:bottom w:val="none" w:sz="0" w:space="0" w:color="auto"/>
        <w:right w:val="none" w:sz="0" w:space="0" w:color="auto"/>
      </w:divBdr>
    </w:div>
    <w:div w:id="1646736093">
      <w:bodyDiv w:val="1"/>
      <w:marLeft w:val="0"/>
      <w:marRight w:val="0"/>
      <w:marTop w:val="0"/>
      <w:marBottom w:val="0"/>
      <w:divBdr>
        <w:top w:val="none" w:sz="0" w:space="0" w:color="auto"/>
        <w:left w:val="none" w:sz="0" w:space="0" w:color="auto"/>
        <w:bottom w:val="none" w:sz="0" w:space="0" w:color="auto"/>
        <w:right w:val="none" w:sz="0" w:space="0" w:color="auto"/>
      </w:divBdr>
    </w:div>
    <w:div w:id="1646810011">
      <w:bodyDiv w:val="1"/>
      <w:marLeft w:val="0"/>
      <w:marRight w:val="0"/>
      <w:marTop w:val="0"/>
      <w:marBottom w:val="0"/>
      <w:divBdr>
        <w:top w:val="none" w:sz="0" w:space="0" w:color="auto"/>
        <w:left w:val="none" w:sz="0" w:space="0" w:color="auto"/>
        <w:bottom w:val="none" w:sz="0" w:space="0" w:color="auto"/>
        <w:right w:val="none" w:sz="0" w:space="0" w:color="auto"/>
      </w:divBdr>
    </w:div>
    <w:div w:id="1647511254">
      <w:bodyDiv w:val="1"/>
      <w:marLeft w:val="0"/>
      <w:marRight w:val="0"/>
      <w:marTop w:val="0"/>
      <w:marBottom w:val="0"/>
      <w:divBdr>
        <w:top w:val="none" w:sz="0" w:space="0" w:color="auto"/>
        <w:left w:val="none" w:sz="0" w:space="0" w:color="auto"/>
        <w:bottom w:val="none" w:sz="0" w:space="0" w:color="auto"/>
        <w:right w:val="none" w:sz="0" w:space="0" w:color="auto"/>
      </w:divBdr>
    </w:div>
    <w:div w:id="1647930001">
      <w:bodyDiv w:val="1"/>
      <w:marLeft w:val="0"/>
      <w:marRight w:val="0"/>
      <w:marTop w:val="0"/>
      <w:marBottom w:val="0"/>
      <w:divBdr>
        <w:top w:val="none" w:sz="0" w:space="0" w:color="auto"/>
        <w:left w:val="none" w:sz="0" w:space="0" w:color="auto"/>
        <w:bottom w:val="none" w:sz="0" w:space="0" w:color="auto"/>
        <w:right w:val="none" w:sz="0" w:space="0" w:color="auto"/>
      </w:divBdr>
    </w:div>
    <w:div w:id="1648121253">
      <w:bodyDiv w:val="1"/>
      <w:marLeft w:val="0"/>
      <w:marRight w:val="0"/>
      <w:marTop w:val="0"/>
      <w:marBottom w:val="0"/>
      <w:divBdr>
        <w:top w:val="none" w:sz="0" w:space="0" w:color="auto"/>
        <w:left w:val="none" w:sz="0" w:space="0" w:color="auto"/>
        <w:bottom w:val="none" w:sz="0" w:space="0" w:color="auto"/>
        <w:right w:val="none" w:sz="0" w:space="0" w:color="auto"/>
      </w:divBdr>
    </w:div>
    <w:div w:id="1649899777">
      <w:bodyDiv w:val="1"/>
      <w:marLeft w:val="0"/>
      <w:marRight w:val="0"/>
      <w:marTop w:val="0"/>
      <w:marBottom w:val="0"/>
      <w:divBdr>
        <w:top w:val="none" w:sz="0" w:space="0" w:color="auto"/>
        <w:left w:val="none" w:sz="0" w:space="0" w:color="auto"/>
        <w:bottom w:val="none" w:sz="0" w:space="0" w:color="auto"/>
        <w:right w:val="none" w:sz="0" w:space="0" w:color="auto"/>
      </w:divBdr>
    </w:div>
    <w:div w:id="1650018846">
      <w:bodyDiv w:val="1"/>
      <w:marLeft w:val="0"/>
      <w:marRight w:val="0"/>
      <w:marTop w:val="0"/>
      <w:marBottom w:val="0"/>
      <w:divBdr>
        <w:top w:val="none" w:sz="0" w:space="0" w:color="auto"/>
        <w:left w:val="none" w:sz="0" w:space="0" w:color="auto"/>
        <w:bottom w:val="none" w:sz="0" w:space="0" w:color="auto"/>
        <w:right w:val="none" w:sz="0" w:space="0" w:color="auto"/>
      </w:divBdr>
    </w:div>
    <w:div w:id="1650789919">
      <w:bodyDiv w:val="1"/>
      <w:marLeft w:val="0"/>
      <w:marRight w:val="0"/>
      <w:marTop w:val="0"/>
      <w:marBottom w:val="0"/>
      <w:divBdr>
        <w:top w:val="none" w:sz="0" w:space="0" w:color="auto"/>
        <w:left w:val="none" w:sz="0" w:space="0" w:color="auto"/>
        <w:bottom w:val="none" w:sz="0" w:space="0" w:color="auto"/>
        <w:right w:val="none" w:sz="0" w:space="0" w:color="auto"/>
      </w:divBdr>
    </w:div>
    <w:div w:id="1650941665">
      <w:bodyDiv w:val="1"/>
      <w:marLeft w:val="0"/>
      <w:marRight w:val="0"/>
      <w:marTop w:val="0"/>
      <w:marBottom w:val="0"/>
      <w:divBdr>
        <w:top w:val="none" w:sz="0" w:space="0" w:color="auto"/>
        <w:left w:val="none" w:sz="0" w:space="0" w:color="auto"/>
        <w:bottom w:val="none" w:sz="0" w:space="0" w:color="auto"/>
        <w:right w:val="none" w:sz="0" w:space="0" w:color="auto"/>
      </w:divBdr>
    </w:div>
    <w:div w:id="1656491531">
      <w:bodyDiv w:val="1"/>
      <w:marLeft w:val="0"/>
      <w:marRight w:val="0"/>
      <w:marTop w:val="0"/>
      <w:marBottom w:val="0"/>
      <w:divBdr>
        <w:top w:val="none" w:sz="0" w:space="0" w:color="auto"/>
        <w:left w:val="none" w:sz="0" w:space="0" w:color="auto"/>
        <w:bottom w:val="none" w:sz="0" w:space="0" w:color="auto"/>
        <w:right w:val="none" w:sz="0" w:space="0" w:color="auto"/>
      </w:divBdr>
    </w:div>
    <w:div w:id="1656756959">
      <w:bodyDiv w:val="1"/>
      <w:marLeft w:val="0"/>
      <w:marRight w:val="0"/>
      <w:marTop w:val="0"/>
      <w:marBottom w:val="0"/>
      <w:divBdr>
        <w:top w:val="none" w:sz="0" w:space="0" w:color="auto"/>
        <w:left w:val="none" w:sz="0" w:space="0" w:color="auto"/>
        <w:bottom w:val="none" w:sz="0" w:space="0" w:color="auto"/>
        <w:right w:val="none" w:sz="0" w:space="0" w:color="auto"/>
      </w:divBdr>
    </w:div>
    <w:div w:id="1659653180">
      <w:bodyDiv w:val="1"/>
      <w:marLeft w:val="0"/>
      <w:marRight w:val="0"/>
      <w:marTop w:val="0"/>
      <w:marBottom w:val="0"/>
      <w:divBdr>
        <w:top w:val="none" w:sz="0" w:space="0" w:color="auto"/>
        <w:left w:val="none" w:sz="0" w:space="0" w:color="auto"/>
        <w:bottom w:val="none" w:sz="0" w:space="0" w:color="auto"/>
        <w:right w:val="none" w:sz="0" w:space="0" w:color="auto"/>
      </w:divBdr>
    </w:div>
    <w:div w:id="1660112794">
      <w:bodyDiv w:val="1"/>
      <w:marLeft w:val="0"/>
      <w:marRight w:val="0"/>
      <w:marTop w:val="0"/>
      <w:marBottom w:val="0"/>
      <w:divBdr>
        <w:top w:val="none" w:sz="0" w:space="0" w:color="auto"/>
        <w:left w:val="none" w:sz="0" w:space="0" w:color="auto"/>
        <w:bottom w:val="none" w:sz="0" w:space="0" w:color="auto"/>
        <w:right w:val="none" w:sz="0" w:space="0" w:color="auto"/>
      </w:divBdr>
    </w:div>
    <w:div w:id="1660425562">
      <w:bodyDiv w:val="1"/>
      <w:marLeft w:val="0"/>
      <w:marRight w:val="0"/>
      <w:marTop w:val="0"/>
      <w:marBottom w:val="0"/>
      <w:divBdr>
        <w:top w:val="none" w:sz="0" w:space="0" w:color="auto"/>
        <w:left w:val="none" w:sz="0" w:space="0" w:color="auto"/>
        <w:bottom w:val="none" w:sz="0" w:space="0" w:color="auto"/>
        <w:right w:val="none" w:sz="0" w:space="0" w:color="auto"/>
      </w:divBdr>
    </w:div>
    <w:div w:id="1661079195">
      <w:bodyDiv w:val="1"/>
      <w:marLeft w:val="0"/>
      <w:marRight w:val="0"/>
      <w:marTop w:val="0"/>
      <w:marBottom w:val="0"/>
      <w:divBdr>
        <w:top w:val="none" w:sz="0" w:space="0" w:color="auto"/>
        <w:left w:val="none" w:sz="0" w:space="0" w:color="auto"/>
        <w:bottom w:val="none" w:sz="0" w:space="0" w:color="auto"/>
        <w:right w:val="none" w:sz="0" w:space="0" w:color="auto"/>
      </w:divBdr>
    </w:div>
    <w:div w:id="1661694097">
      <w:bodyDiv w:val="1"/>
      <w:marLeft w:val="0"/>
      <w:marRight w:val="0"/>
      <w:marTop w:val="0"/>
      <w:marBottom w:val="0"/>
      <w:divBdr>
        <w:top w:val="none" w:sz="0" w:space="0" w:color="auto"/>
        <w:left w:val="none" w:sz="0" w:space="0" w:color="auto"/>
        <w:bottom w:val="none" w:sz="0" w:space="0" w:color="auto"/>
        <w:right w:val="none" w:sz="0" w:space="0" w:color="auto"/>
      </w:divBdr>
    </w:div>
    <w:div w:id="1662393495">
      <w:bodyDiv w:val="1"/>
      <w:marLeft w:val="0"/>
      <w:marRight w:val="0"/>
      <w:marTop w:val="0"/>
      <w:marBottom w:val="0"/>
      <w:divBdr>
        <w:top w:val="none" w:sz="0" w:space="0" w:color="auto"/>
        <w:left w:val="none" w:sz="0" w:space="0" w:color="auto"/>
        <w:bottom w:val="none" w:sz="0" w:space="0" w:color="auto"/>
        <w:right w:val="none" w:sz="0" w:space="0" w:color="auto"/>
      </w:divBdr>
    </w:div>
    <w:div w:id="1663270819">
      <w:bodyDiv w:val="1"/>
      <w:marLeft w:val="0"/>
      <w:marRight w:val="0"/>
      <w:marTop w:val="0"/>
      <w:marBottom w:val="0"/>
      <w:divBdr>
        <w:top w:val="none" w:sz="0" w:space="0" w:color="auto"/>
        <w:left w:val="none" w:sz="0" w:space="0" w:color="auto"/>
        <w:bottom w:val="none" w:sz="0" w:space="0" w:color="auto"/>
        <w:right w:val="none" w:sz="0" w:space="0" w:color="auto"/>
      </w:divBdr>
    </w:div>
    <w:div w:id="1663662425">
      <w:bodyDiv w:val="1"/>
      <w:marLeft w:val="0"/>
      <w:marRight w:val="0"/>
      <w:marTop w:val="0"/>
      <w:marBottom w:val="0"/>
      <w:divBdr>
        <w:top w:val="none" w:sz="0" w:space="0" w:color="auto"/>
        <w:left w:val="none" w:sz="0" w:space="0" w:color="auto"/>
        <w:bottom w:val="none" w:sz="0" w:space="0" w:color="auto"/>
        <w:right w:val="none" w:sz="0" w:space="0" w:color="auto"/>
      </w:divBdr>
    </w:div>
    <w:div w:id="1664240232">
      <w:bodyDiv w:val="1"/>
      <w:marLeft w:val="0"/>
      <w:marRight w:val="0"/>
      <w:marTop w:val="0"/>
      <w:marBottom w:val="0"/>
      <w:divBdr>
        <w:top w:val="none" w:sz="0" w:space="0" w:color="auto"/>
        <w:left w:val="none" w:sz="0" w:space="0" w:color="auto"/>
        <w:bottom w:val="none" w:sz="0" w:space="0" w:color="auto"/>
        <w:right w:val="none" w:sz="0" w:space="0" w:color="auto"/>
      </w:divBdr>
    </w:div>
    <w:div w:id="1666281429">
      <w:bodyDiv w:val="1"/>
      <w:marLeft w:val="0"/>
      <w:marRight w:val="0"/>
      <w:marTop w:val="0"/>
      <w:marBottom w:val="0"/>
      <w:divBdr>
        <w:top w:val="none" w:sz="0" w:space="0" w:color="auto"/>
        <w:left w:val="none" w:sz="0" w:space="0" w:color="auto"/>
        <w:bottom w:val="none" w:sz="0" w:space="0" w:color="auto"/>
        <w:right w:val="none" w:sz="0" w:space="0" w:color="auto"/>
      </w:divBdr>
    </w:div>
    <w:div w:id="1667123559">
      <w:bodyDiv w:val="1"/>
      <w:marLeft w:val="0"/>
      <w:marRight w:val="0"/>
      <w:marTop w:val="0"/>
      <w:marBottom w:val="0"/>
      <w:divBdr>
        <w:top w:val="none" w:sz="0" w:space="0" w:color="auto"/>
        <w:left w:val="none" w:sz="0" w:space="0" w:color="auto"/>
        <w:bottom w:val="none" w:sz="0" w:space="0" w:color="auto"/>
        <w:right w:val="none" w:sz="0" w:space="0" w:color="auto"/>
      </w:divBdr>
    </w:div>
    <w:div w:id="1667316400">
      <w:bodyDiv w:val="1"/>
      <w:marLeft w:val="0"/>
      <w:marRight w:val="0"/>
      <w:marTop w:val="0"/>
      <w:marBottom w:val="0"/>
      <w:divBdr>
        <w:top w:val="none" w:sz="0" w:space="0" w:color="auto"/>
        <w:left w:val="none" w:sz="0" w:space="0" w:color="auto"/>
        <w:bottom w:val="none" w:sz="0" w:space="0" w:color="auto"/>
        <w:right w:val="none" w:sz="0" w:space="0" w:color="auto"/>
      </w:divBdr>
    </w:div>
    <w:div w:id="1669669102">
      <w:bodyDiv w:val="1"/>
      <w:marLeft w:val="0"/>
      <w:marRight w:val="0"/>
      <w:marTop w:val="0"/>
      <w:marBottom w:val="0"/>
      <w:divBdr>
        <w:top w:val="none" w:sz="0" w:space="0" w:color="auto"/>
        <w:left w:val="none" w:sz="0" w:space="0" w:color="auto"/>
        <w:bottom w:val="none" w:sz="0" w:space="0" w:color="auto"/>
        <w:right w:val="none" w:sz="0" w:space="0" w:color="auto"/>
      </w:divBdr>
    </w:div>
    <w:div w:id="1671908502">
      <w:bodyDiv w:val="1"/>
      <w:marLeft w:val="0"/>
      <w:marRight w:val="0"/>
      <w:marTop w:val="0"/>
      <w:marBottom w:val="0"/>
      <w:divBdr>
        <w:top w:val="none" w:sz="0" w:space="0" w:color="auto"/>
        <w:left w:val="none" w:sz="0" w:space="0" w:color="auto"/>
        <w:bottom w:val="none" w:sz="0" w:space="0" w:color="auto"/>
        <w:right w:val="none" w:sz="0" w:space="0" w:color="auto"/>
      </w:divBdr>
    </w:div>
    <w:div w:id="1672561320">
      <w:bodyDiv w:val="1"/>
      <w:marLeft w:val="0"/>
      <w:marRight w:val="0"/>
      <w:marTop w:val="0"/>
      <w:marBottom w:val="0"/>
      <w:divBdr>
        <w:top w:val="none" w:sz="0" w:space="0" w:color="auto"/>
        <w:left w:val="none" w:sz="0" w:space="0" w:color="auto"/>
        <w:bottom w:val="none" w:sz="0" w:space="0" w:color="auto"/>
        <w:right w:val="none" w:sz="0" w:space="0" w:color="auto"/>
      </w:divBdr>
    </w:div>
    <w:div w:id="1673945153">
      <w:bodyDiv w:val="1"/>
      <w:marLeft w:val="0"/>
      <w:marRight w:val="0"/>
      <w:marTop w:val="0"/>
      <w:marBottom w:val="0"/>
      <w:divBdr>
        <w:top w:val="none" w:sz="0" w:space="0" w:color="auto"/>
        <w:left w:val="none" w:sz="0" w:space="0" w:color="auto"/>
        <w:bottom w:val="none" w:sz="0" w:space="0" w:color="auto"/>
        <w:right w:val="none" w:sz="0" w:space="0" w:color="auto"/>
      </w:divBdr>
    </w:div>
    <w:div w:id="1674457578">
      <w:bodyDiv w:val="1"/>
      <w:marLeft w:val="0"/>
      <w:marRight w:val="0"/>
      <w:marTop w:val="0"/>
      <w:marBottom w:val="0"/>
      <w:divBdr>
        <w:top w:val="none" w:sz="0" w:space="0" w:color="auto"/>
        <w:left w:val="none" w:sz="0" w:space="0" w:color="auto"/>
        <w:bottom w:val="none" w:sz="0" w:space="0" w:color="auto"/>
        <w:right w:val="none" w:sz="0" w:space="0" w:color="auto"/>
      </w:divBdr>
    </w:div>
    <w:div w:id="1675110134">
      <w:bodyDiv w:val="1"/>
      <w:marLeft w:val="0"/>
      <w:marRight w:val="0"/>
      <w:marTop w:val="0"/>
      <w:marBottom w:val="0"/>
      <w:divBdr>
        <w:top w:val="none" w:sz="0" w:space="0" w:color="auto"/>
        <w:left w:val="none" w:sz="0" w:space="0" w:color="auto"/>
        <w:bottom w:val="none" w:sz="0" w:space="0" w:color="auto"/>
        <w:right w:val="none" w:sz="0" w:space="0" w:color="auto"/>
      </w:divBdr>
    </w:div>
    <w:div w:id="1675495869">
      <w:bodyDiv w:val="1"/>
      <w:marLeft w:val="0"/>
      <w:marRight w:val="0"/>
      <w:marTop w:val="0"/>
      <w:marBottom w:val="0"/>
      <w:divBdr>
        <w:top w:val="none" w:sz="0" w:space="0" w:color="auto"/>
        <w:left w:val="none" w:sz="0" w:space="0" w:color="auto"/>
        <w:bottom w:val="none" w:sz="0" w:space="0" w:color="auto"/>
        <w:right w:val="none" w:sz="0" w:space="0" w:color="auto"/>
      </w:divBdr>
    </w:div>
    <w:div w:id="1680305217">
      <w:bodyDiv w:val="1"/>
      <w:marLeft w:val="0"/>
      <w:marRight w:val="0"/>
      <w:marTop w:val="0"/>
      <w:marBottom w:val="0"/>
      <w:divBdr>
        <w:top w:val="none" w:sz="0" w:space="0" w:color="auto"/>
        <w:left w:val="none" w:sz="0" w:space="0" w:color="auto"/>
        <w:bottom w:val="none" w:sz="0" w:space="0" w:color="auto"/>
        <w:right w:val="none" w:sz="0" w:space="0" w:color="auto"/>
      </w:divBdr>
    </w:div>
    <w:div w:id="1681395522">
      <w:bodyDiv w:val="1"/>
      <w:marLeft w:val="0"/>
      <w:marRight w:val="0"/>
      <w:marTop w:val="0"/>
      <w:marBottom w:val="0"/>
      <w:divBdr>
        <w:top w:val="none" w:sz="0" w:space="0" w:color="auto"/>
        <w:left w:val="none" w:sz="0" w:space="0" w:color="auto"/>
        <w:bottom w:val="none" w:sz="0" w:space="0" w:color="auto"/>
        <w:right w:val="none" w:sz="0" w:space="0" w:color="auto"/>
      </w:divBdr>
    </w:div>
    <w:div w:id="1682271773">
      <w:bodyDiv w:val="1"/>
      <w:marLeft w:val="0"/>
      <w:marRight w:val="0"/>
      <w:marTop w:val="0"/>
      <w:marBottom w:val="0"/>
      <w:divBdr>
        <w:top w:val="none" w:sz="0" w:space="0" w:color="auto"/>
        <w:left w:val="none" w:sz="0" w:space="0" w:color="auto"/>
        <w:bottom w:val="none" w:sz="0" w:space="0" w:color="auto"/>
        <w:right w:val="none" w:sz="0" w:space="0" w:color="auto"/>
      </w:divBdr>
    </w:div>
    <w:div w:id="1682318242">
      <w:bodyDiv w:val="1"/>
      <w:marLeft w:val="0"/>
      <w:marRight w:val="0"/>
      <w:marTop w:val="0"/>
      <w:marBottom w:val="0"/>
      <w:divBdr>
        <w:top w:val="none" w:sz="0" w:space="0" w:color="auto"/>
        <w:left w:val="none" w:sz="0" w:space="0" w:color="auto"/>
        <w:bottom w:val="none" w:sz="0" w:space="0" w:color="auto"/>
        <w:right w:val="none" w:sz="0" w:space="0" w:color="auto"/>
      </w:divBdr>
    </w:div>
    <w:div w:id="1683511615">
      <w:bodyDiv w:val="1"/>
      <w:marLeft w:val="0"/>
      <w:marRight w:val="0"/>
      <w:marTop w:val="0"/>
      <w:marBottom w:val="0"/>
      <w:divBdr>
        <w:top w:val="none" w:sz="0" w:space="0" w:color="auto"/>
        <w:left w:val="none" w:sz="0" w:space="0" w:color="auto"/>
        <w:bottom w:val="none" w:sz="0" w:space="0" w:color="auto"/>
        <w:right w:val="none" w:sz="0" w:space="0" w:color="auto"/>
      </w:divBdr>
    </w:div>
    <w:div w:id="1683625565">
      <w:bodyDiv w:val="1"/>
      <w:marLeft w:val="0"/>
      <w:marRight w:val="0"/>
      <w:marTop w:val="0"/>
      <w:marBottom w:val="0"/>
      <w:divBdr>
        <w:top w:val="none" w:sz="0" w:space="0" w:color="auto"/>
        <w:left w:val="none" w:sz="0" w:space="0" w:color="auto"/>
        <w:bottom w:val="none" w:sz="0" w:space="0" w:color="auto"/>
        <w:right w:val="none" w:sz="0" w:space="0" w:color="auto"/>
      </w:divBdr>
    </w:div>
    <w:div w:id="1684353647">
      <w:bodyDiv w:val="1"/>
      <w:marLeft w:val="0"/>
      <w:marRight w:val="0"/>
      <w:marTop w:val="0"/>
      <w:marBottom w:val="0"/>
      <w:divBdr>
        <w:top w:val="none" w:sz="0" w:space="0" w:color="auto"/>
        <w:left w:val="none" w:sz="0" w:space="0" w:color="auto"/>
        <w:bottom w:val="none" w:sz="0" w:space="0" w:color="auto"/>
        <w:right w:val="none" w:sz="0" w:space="0" w:color="auto"/>
      </w:divBdr>
    </w:div>
    <w:div w:id="1684546591">
      <w:bodyDiv w:val="1"/>
      <w:marLeft w:val="0"/>
      <w:marRight w:val="0"/>
      <w:marTop w:val="0"/>
      <w:marBottom w:val="0"/>
      <w:divBdr>
        <w:top w:val="none" w:sz="0" w:space="0" w:color="auto"/>
        <w:left w:val="none" w:sz="0" w:space="0" w:color="auto"/>
        <w:bottom w:val="none" w:sz="0" w:space="0" w:color="auto"/>
        <w:right w:val="none" w:sz="0" w:space="0" w:color="auto"/>
      </w:divBdr>
    </w:div>
    <w:div w:id="1685015250">
      <w:bodyDiv w:val="1"/>
      <w:marLeft w:val="0"/>
      <w:marRight w:val="0"/>
      <w:marTop w:val="0"/>
      <w:marBottom w:val="0"/>
      <w:divBdr>
        <w:top w:val="none" w:sz="0" w:space="0" w:color="auto"/>
        <w:left w:val="none" w:sz="0" w:space="0" w:color="auto"/>
        <w:bottom w:val="none" w:sz="0" w:space="0" w:color="auto"/>
        <w:right w:val="none" w:sz="0" w:space="0" w:color="auto"/>
      </w:divBdr>
    </w:div>
    <w:div w:id="1685859353">
      <w:bodyDiv w:val="1"/>
      <w:marLeft w:val="0"/>
      <w:marRight w:val="0"/>
      <w:marTop w:val="0"/>
      <w:marBottom w:val="0"/>
      <w:divBdr>
        <w:top w:val="none" w:sz="0" w:space="0" w:color="auto"/>
        <w:left w:val="none" w:sz="0" w:space="0" w:color="auto"/>
        <w:bottom w:val="none" w:sz="0" w:space="0" w:color="auto"/>
        <w:right w:val="none" w:sz="0" w:space="0" w:color="auto"/>
      </w:divBdr>
    </w:div>
    <w:div w:id="1686394758">
      <w:bodyDiv w:val="1"/>
      <w:marLeft w:val="0"/>
      <w:marRight w:val="0"/>
      <w:marTop w:val="0"/>
      <w:marBottom w:val="0"/>
      <w:divBdr>
        <w:top w:val="none" w:sz="0" w:space="0" w:color="auto"/>
        <w:left w:val="none" w:sz="0" w:space="0" w:color="auto"/>
        <w:bottom w:val="none" w:sz="0" w:space="0" w:color="auto"/>
        <w:right w:val="none" w:sz="0" w:space="0" w:color="auto"/>
      </w:divBdr>
    </w:div>
    <w:div w:id="1686519466">
      <w:bodyDiv w:val="1"/>
      <w:marLeft w:val="0"/>
      <w:marRight w:val="0"/>
      <w:marTop w:val="0"/>
      <w:marBottom w:val="0"/>
      <w:divBdr>
        <w:top w:val="none" w:sz="0" w:space="0" w:color="auto"/>
        <w:left w:val="none" w:sz="0" w:space="0" w:color="auto"/>
        <w:bottom w:val="none" w:sz="0" w:space="0" w:color="auto"/>
        <w:right w:val="none" w:sz="0" w:space="0" w:color="auto"/>
      </w:divBdr>
    </w:div>
    <w:div w:id="1688674308">
      <w:bodyDiv w:val="1"/>
      <w:marLeft w:val="0"/>
      <w:marRight w:val="0"/>
      <w:marTop w:val="0"/>
      <w:marBottom w:val="0"/>
      <w:divBdr>
        <w:top w:val="none" w:sz="0" w:space="0" w:color="auto"/>
        <w:left w:val="none" w:sz="0" w:space="0" w:color="auto"/>
        <w:bottom w:val="none" w:sz="0" w:space="0" w:color="auto"/>
        <w:right w:val="none" w:sz="0" w:space="0" w:color="auto"/>
      </w:divBdr>
    </w:div>
    <w:div w:id="1690253074">
      <w:bodyDiv w:val="1"/>
      <w:marLeft w:val="0"/>
      <w:marRight w:val="0"/>
      <w:marTop w:val="0"/>
      <w:marBottom w:val="0"/>
      <w:divBdr>
        <w:top w:val="none" w:sz="0" w:space="0" w:color="auto"/>
        <w:left w:val="none" w:sz="0" w:space="0" w:color="auto"/>
        <w:bottom w:val="none" w:sz="0" w:space="0" w:color="auto"/>
        <w:right w:val="none" w:sz="0" w:space="0" w:color="auto"/>
      </w:divBdr>
    </w:div>
    <w:div w:id="1691029799">
      <w:bodyDiv w:val="1"/>
      <w:marLeft w:val="0"/>
      <w:marRight w:val="0"/>
      <w:marTop w:val="0"/>
      <w:marBottom w:val="0"/>
      <w:divBdr>
        <w:top w:val="none" w:sz="0" w:space="0" w:color="auto"/>
        <w:left w:val="none" w:sz="0" w:space="0" w:color="auto"/>
        <w:bottom w:val="none" w:sz="0" w:space="0" w:color="auto"/>
        <w:right w:val="none" w:sz="0" w:space="0" w:color="auto"/>
      </w:divBdr>
    </w:div>
    <w:div w:id="1691561405">
      <w:bodyDiv w:val="1"/>
      <w:marLeft w:val="0"/>
      <w:marRight w:val="0"/>
      <w:marTop w:val="0"/>
      <w:marBottom w:val="0"/>
      <w:divBdr>
        <w:top w:val="none" w:sz="0" w:space="0" w:color="auto"/>
        <w:left w:val="none" w:sz="0" w:space="0" w:color="auto"/>
        <w:bottom w:val="none" w:sz="0" w:space="0" w:color="auto"/>
        <w:right w:val="none" w:sz="0" w:space="0" w:color="auto"/>
      </w:divBdr>
    </w:div>
    <w:div w:id="1691760275">
      <w:bodyDiv w:val="1"/>
      <w:marLeft w:val="0"/>
      <w:marRight w:val="0"/>
      <w:marTop w:val="0"/>
      <w:marBottom w:val="0"/>
      <w:divBdr>
        <w:top w:val="none" w:sz="0" w:space="0" w:color="auto"/>
        <w:left w:val="none" w:sz="0" w:space="0" w:color="auto"/>
        <w:bottom w:val="none" w:sz="0" w:space="0" w:color="auto"/>
        <w:right w:val="none" w:sz="0" w:space="0" w:color="auto"/>
      </w:divBdr>
    </w:div>
    <w:div w:id="1692339244">
      <w:bodyDiv w:val="1"/>
      <w:marLeft w:val="0"/>
      <w:marRight w:val="0"/>
      <w:marTop w:val="0"/>
      <w:marBottom w:val="0"/>
      <w:divBdr>
        <w:top w:val="none" w:sz="0" w:space="0" w:color="auto"/>
        <w:left w:val="none" w:sz="0" w:space="0" w:color="auto"/>
        <w:bottom w:val="none" w:sz="0" w:space="0" w:color="auto"/>
        <w:right w:val="none" w:sz="0" w:space="0" w:color="auto"/>
      </w:divBdr>
    </w:div>
    <w:div w:id="1692678623">
      <w:bodyDiv w:val="1"/>
      <w:marLeft w:val="0"/>
      <w:marRight w:val="0"/>
      <w:marTop w:val="0"/>
      <w:marBottom w:val="0"/>
      <w:divBdr>
        <w:top w:val="none" w:sz="0" w:space="0" w:color="auto"/>
        <w:left w:val="none" w:sz="0" w:space="0" w:color="auto"/>
        <w:bottom w:val="none" w:sz="0" w:space="0" w:color="auto"/>
        <w:right w:val="none" w:sz="0" w:space="0" w:color="auto"/>
      </w:divBdr>
    </w:div>
    <w:div w:id="1693336383">
      <w:bodyDiv w:val="1"/>
      <w:marLeft w:val="0"/>
      <w:marRight w:val="0"/>
      <w:marTop w:val="0"/>
      <w:marBottom w:val="0"/>
      <w:divBdr>
        <w:top w:val="none" w:sz="0" w:space="0" w:color="auto"/>
        <w:left w:val="none" w:sz="0" w:space="0" w:color="auto"/>
        <w:bottom w:val="none" w:sz="0" w:space="0" w:color="auto"/>
        <w:right w:val="none" w:sz="0" w:space="0" w:color="auto"/>
      </w:divBdr>
    </w:div>
    <w:div w:id="1696035575">
      <w:bodyDiv w:val="1"/>
      <w:marLeft w:val="0"/>
      <w:marRight w:val="0"/>
      <w:marTop w:val="0"/>
      <w:marBottom w:val="0"/>
      <w:divBdr>
        <w:top w:val="none" w:sz="0" w:space="0" w:color="auto"/>
        <w:left w:val="none" w:sz="0" w:space="0" w:color="auto"/>
        <w:bottom w:val="none" w:sz="0" w:space="0" w:color="auto"/>
        <w:right w:val="none" w:sz="0" w:space="0" w:color="auto"/>
      </w:divBdr>
    </w:div>
    <w:div w:id="1696540293">
      <w:bodyDiv w:val="1"/>
      <w:marLeft w:val="0"/>
      <w:marRight w:val="0"/>
      <w:marTop w:val="0"/>
      <w:marBottom w:val="0"/>
      <w:divBdr>
        <w:top w:val="none" w:sz="0" w:space="0" w:color="auto"/>
        <w:left w:val="none" w:sz="0" w:space="0" w:color="auto"/>
        <w:bottom w:val="none" w:sz="0" w:space="0" w:color="auto"/>
        <w:right w:val="none" w:sz="0" w:space="0" w:color="auto"/>
      </w:divBdr>
    </w:div>
    <w:div w:id="1696617905">
      <w:bodyDiv w:val="1"/>
      <w:marLeft w:val="0"/>
      <w:marRight w:val="0"/>
      <w:marTop w:val="0"/>
      <w:marBottom w:val="0"/>
      <w:divBdr>
        <w:top w:val="none" w:sz="0" w:space="0" w:color="auto"/>
        <w:left w:val="none" w:sz="0" w:space="0" w:color="auto"/>
        <w:bottom w:val="none" w:sz="0" w:space="0" w:color="auto"/>
        <w:right w:val="none" w:sz="0" w:space="0" w:color="auto"/>
      </w:divBdr>
    </w:div>
    <w:div w:id="1697193791">
      <w:bodyDiv w:val="1"/>
      <w:marLeft w:val="0"/>
      <w:marRight w:val="0"/>
      <w:marTop w:val="0"/>
      <w:marBottom w:val="0"/>
      <w:divBdr>
        <w:top w:val="none" w:sz="0" w:space="0" w:color="auto"/>
        <w:left w:val="none" w:sz="0" w:space="0" w:color="auto"/>
        <w:bottom w:val="none" w:sz="0" w:space="0" w:color="auto"/>
        <w:right w:val="none" w:sz="0" w:space="0" w:color="auto"/>
      </w:divBdr>
    </w:div>
    <w:div w:id="1697458765">
      <w:bodyDiv w:val="1"/>
      <w:marLeft w:val="0"/>
      <w:marRight w:val="0"/>
      <w:marTop w:val="0"/>
      <w:marBottom w:val="0"/>
      <w:divBdr>
        <w:top w:val="none" w:sz="0" w:space="0" w:color="auto"/>
        <w:left w:val="none" w:sz="0" w:space="0" w:color="auto"/>
        <w:bottom w:val="none" w:sz="0" w:space="0" w:color="auto"/>
        <w:right w:val="none" w:sz="0" w:space="0" w:color="auto"/>
      </w:divBdr>
    </w:div>
    <w:div w:id="1697536485">
      <w:bodyDiv w:val="1"/>
      <w:marLeft w:val="0"/>
      <w:marRight w:val="0"/>
      <w:marTop w:val="0"/>
      <w:marBottom w:val="0"/>
      <w:divBdr>
        <w:top w:val="none" w:sz="0" w:space="0" w:color="auto"/>
        <w:left w:val="none" w:sz="0" w:space="0" w:color="auto"/>
        <w:bottom w:val="none" w:sz="0" w:space="0" w:color="auto"/>
        <w:right w:val="none" w:sz="0" w:space="0" w:color="auto"/>
      </w:divBdr>
    </w:div>
    <w:div w:id="1698266357">
      <w:bodyDiv w:val="1"/>
      <w:marLeft w:val="0"/>
      <w:marRight w:val="0"/>
      <w:marTop w:val="0"/>
      <w:marBottom w:val="0"/>
      <w:divBdr>
        <w:top w:val="none" w:sz="0" w:space="0" w:color="auto"/>
        <w:left w:val="none" w:sz="0" w:space="0" w:color="auto"/>
        <w:bottom w:val="none" w:sz="0" w:space="0" w:color="auto"/>
        <w:right w:val="none" w:sz="0" w:space="0" w:color="auto"/>
      </w:divBdr>
    </w:div>
    <w:div w:id="1698387316">
      <w:bodyDiv w:val="1"/>
      <w:marLeft w:val="0"/>
      <w:marRight w:val="0"/>
      <w:marTop w:val="0"/>
      <w:marBottom w:val="0"/>
      <w:divBdr>
        <w:top w:val="none" w:sz="0" w:space="0" w:color="auto"/>
        <w:left w:val="none" w:sz="0" w:space="0" w:color="auto"/>
        <w:bottom w:val="none" w:sz="0" w:space="0" w:color="auto"/>
        <w:right w:val="none" w:sz="0" w:space="0" w:color="auto"/>
      </w:divBdr>
    </w:div>
    <w:div w:id="1701465372">
      <w:bodyDiv w:val="1"/>
      <w:marLeft w:val="0"/>
      <w:marRight w:val="0"/>
      <w:marTop w:val="0"/>
      <w:marBottom w:val="0"/>
      <w:divBdr>
        <w:top w:val="none" w:sz="0" w:space="0" w:color="auto"/>
        <w:left w:val="none" w:sz="0" w:space="0" w:color="auto"/>
        <w:bottom w:val="none" w:sz="0" w:space="0" w:color="auto"/>
        <w:right w:val="none" w:sz="0" w:space="0" w:color="auto"/>
      </w:divBdr>
    </w:div>
    <w:div w:id="1703239105">
      <w:bodyDiv w:val="1"/>
      <w:marLeft w:val="0"/>
      <w:marRight w:val="0"/>
      <w:marTop w:val="0"/>
      <w:marBottom w:val="0"/>
      <w:divBdr>
        <w:top w:val="none" w:sz="0" w:space="0" w:color="auto"/>
        <w:left w:val="none" w:sz="0" w:space="0" w:color="auto"/>
        <w:bottom w:val="none" w:sz="0" w:space="0" w:color="auto"/>
        <w:right w:val="none" w:sz="0" w:space="0" w:color="auto"/>
      </w:divBdr>
    </w:div>
    <w:div w:id="1703902783">
      <w:bodyDiv w:val="1"/>
      <w:marLeft w:val="0"/>
      <w:marRight w:val="0"/>
      <w:marTop w:val="0"/>
      <w:marBottom w:val="0"/>
      <w:divBdr>
        <w:top w:val="none" w:sz="0" w:space="0" w:color="auto"/>
        <w:left w:val="none" w:sz="0" w:space="0" w:color="auto"/>
        <w:bottom w:val="none" w:sz="0" w:space="0" w:color="auto"/>
        <w:right w:val="none" w:sz="0" w:space="0" w:color="auto"/>
      </w:divBdr>
    </w:div>
    <w:div w:id="1704359681">
      <w:bodyDiv w:val="1"/>
      <w:marLeft w:val="0"/>
      <w:marRight w:val="0"/>
      <w:marTop w:val="0"/>
      <w:marBottom w:val="0"/>
      <w:divBdr>
        <w:top w:val="none" w:sz="0" w:space="0" w:color="auto"/>
        <w:left w:val="none" w:sz="0" w:space="0" w:color="auto"/>
        <w:bottom w:val="none" w:sz="0" w:space="0" w:color="auto"/>
        <w:right w:val="none" w:sz="0" w:space="0" w:color="auto"/>
      </w:divBdr>
    </w:div>
    <w:div w:id="1704596710">
      <w:bodyDiv w:val="1"/>
      <w:marLeft w:val="0"/>
      <w:marRight w:val="0"/>
      <w:marTop w:val="0"/>
      <w:marBottom w:val="0"/>
      <w:divBdr>
        <w:top w:val="none" w:sz="0" w:space="0" w:color="auto"/>
        <w:left w:val="none" w:sz="0" w:space="0" w:color="auto"/>
        <w:bottom w:val="none" w:sz="0" w:space="0" w:color="auto"/>
        <w:right w:val="none" w:sz="0" w:space="0" w:color="auto"/>
      </w:divBdr>
    </w:div>
    <w:div w:id="1705792287">
      <w:bodyDiv w:val="1"/>
      <w:marLeft w:val="0"/>
      <w:marRight w:val="0"/>
      <w:marTop w:val="0"/>
      <w:marBottom w:val="0"/>
      <w:divBdr>
        <w:top w:val="none" w:sz="0" w:space="0" w:color="auto"/>
        <w:left w:val="none" w:sz="0" w:space="0" w:color="auto"/>
        <w:bottom w:val="none" w:sz="0" w:space="0" w:color="auto"/>
        <w:right w:val="none" w:sz="0" w:space="0" w:color="auto"/>
      </w:divBdr>
    </w:div>
    <w:div w:id="1707293185">
      <w:bodyDiv w:val="1"/>
      <w:marLeft w:val="0"/>
      <w:marRight w:val="0"/>
      <w:marTop w:val="0"/>
      <w:marBottom w:val="0"/>
      <w:divBdr>
        <w:top w:val="none" w:sz="0" w:space="0" w:color="auto"/>
        <w:left w:val="none" w:sz="0" w:space="0" w:color="auto"/>
        <w:bottom w:val="none" w:sz="0" w:space="0" w:color="auto"/>
        <w:right w:val="none" w:sz="0" w:space="0" w:color="auto"/>
      </w:divBdr>
    </w:div>
    <w:div w:id="1707750423">
      <w:bodyDiv w:val="1"/>
      <w:marLeft w:val="0"/>
      <w:marRight w:val="0"/>
      <w:marTop w:val="0"/>
      <w:marBottom w:val="0"/>
      <w:divBdr>
        <w:top w:val="none" w:sz="0" w:space="0" w:color="auto"/>
        <w:left w:val="none" w:sz="0" w:space="0" w:color="auto"/>
        <w:bottom w:val="none" w:sz="0" w:space="0" w:color="auto"/>
        <w:right w:val="none" w:sz="0" w:space="0" w:color="auto"/>
      </w:divBdr>
    </w:div>
    <w:div w:id="1709598912">
      <w:bodyDiv w:val="1"/>
      <w:marLeft w:val="0"/>
      <w:marRight w:val="0"/>
      <w:marTop w:val="0"/>
      <w:marBottom w:val="0"/>
      <w:divBdr>
        <w:top w:val="none" w:sz="0" w:space="0" w:color="auto"/>
        <w:left w:val="none" w:sz="0" w:space="0" w:color="auto"/>
        <w:bottom w:val="none" w:sz="0" w:space="0" w:color="auto"/>
        <w:right w:val="none" w:sz="0" w:space="0" w:color="auto"/>
      </w:divBdr>
    </w:div>
    <w:div w:id="1710687396">
      <w:bodyDiv w:val="1"/>
      <w:marLeft w:val="0"/>
      <w:marRight w:val="0"/>
      <w:marTop w:val="0"/>
      <w:marBottom w:val="0"/>
      <w:divBdr>
        <w:top w:val="none" w:sz="0" w:space="0" w:color="auto"/>
        <w:left w:val="none" w:sz="0" w:space="0" w:color="auto"/>
        <w:bottom w:val="none" w:sz="0" w:space="0" w:color="auto"/>
        <w:right w:val="none" w:sz="0" w:space="0" w:color="auto"/>
      </w:divBdr>
    </w:div>
    <w:div w:id="1712461475">
      <w:bodyDiv w:val="1"/>
      <w:marLeft w:val="0"/>
      <w:marRight w:val="0"/>
      <w:marTop w:val="0"/>
      <w:marBottom w:val="0"/>
      <w:divBdr>
        <w:top w:val="none" w:sz="0" w:space="0" w:color="auto"/>
        <w:left w:val="none" w:sz="0" w:space="0" w:color="auto"/>
        <w:bottom w:val="none" w:sz="0" w:space="0" w:color="auto"/>
        <w:right w:val="none" w:sz="0" w:space="0" w:color="auto"/>
      </w:divBdr>
    </w:div>
    <w:div w:id="1712613358">
      <w:bodyDiv w:val="1"/>
      <w:marLeft w:val="0"/>
      <w:marRight w:val="0"/>
      <w:marTop w:val="0"/>
      <w:marBottom w:val="0"/>
      <w:divBdr>
        <w:top w:val="none" w:sz="0" w:space="0" w:color="auto"/>
        <w:left w:val="none" w:sz="0" w:space="0" w:color="auto"/>
        <w:bottom w:val="none" w:sz="0" w:space="0" w:color="auto"/>
        <w:right w:val="none" w:sz="0" w:space="0" w:color="auto"/>
      </w:divBdr>
    </w:div>
    <w:div w:id="1713650394">
      <w:bodyDiv w:val="1"/>
      <w:marLeft w:val="0"/>
      <w:marRight w:val="0"/>
      <w:marTop w:val="0"/>
      <w:marBottom w:val="0"/>
      <w:divBdr>
        <w:top w:val="none" w:sz="0" w:space="0" w:color="auto"/>
        <w:left w:val="none" w:sz="0" w:space="0" w:color="auto"/>
        <w:bottom w:val="none" w:sz="0" w:space="0" w:color="auto"/>
        <w:right w:val="none" w:sz="0" w:space="0" w:color="auto"/>
      </w:divBdr>
    </w:div>
    <w:div w:id="1714187090">
      <w:bodyDiv w:val="1"/>
      <w:marLeft w:val="0"/>
      <w:marRight w:val="0"/>
      <w:marTop w:val="0"/>
      <w:marBottom w:val="0"/>
      <w:divBdr>
        <w:top w:val="none" w:sz="0" w:space="0" w:color="auto"/>
        <w:left w:val="none" w:sz="0" w:space="0" w:color="auto"/>
        <w:bottom w:val="none" w:sz="0" w:space="0" w:color="auto"/>
        <w:right w:val="none" w:sz="0" w:space="0" w:color="auto"/>
      </w:divBdr>
    </w:div>
    <w:div w:id="1714230809">
      <w:bodyDiv w:val="1"/>
      <w:marLeft w:val="0"/>
      <w:marRight w:val="0"/>
      <w:marTop w:val="0"/>
      <w:marBottom w:val="0"/>
      <w:divBdr>
        <w:top w:val="none" w:sz="0" w:space="0" w:color="auto"/>
        <w:left w:val="none" w:sz="0" w:space="0" w:color="auto"/>
        <w:bottom w:val="none" w:sz="0" w:space="0" w:color="auto"/>
        <w:right w:val="none" w:sz="0" w:space="0" w:color="auto"/>
      </w:divBdr>
    </w:div>
    <w:div w:id="1714965552">
      <w:bodyDiv w:val="1"/>
      <w:marLeft w:val="0"/>
      <w:marRight w:val="0"/>
      <w:marTop w:val="0"/>
      <w:marBottom w:val="0"/>
      <w:divBdr>
        <w:top w:val="none" w:sz="0" w:space="0" w:color="auto"/>
        <w:left w:val="none" w:sz="0" w:space="0" w:color="auto"/>
        <w:bottom w:val="none" w:sz="0" w:space="0" w:color="auto"/>
        <w:right w:val="none" w:sz="0" w:space="0" w:color="auto"/>
      </w:divBdr>
    </w:div>
    <w:div w:id="1716199843">
      <w:bodyDiv w:val="1"/>
      <w:marLeft w:val="0"/>
      <w:marRight w:val="0"/>
      <w:marTop w:val="0"/>
      <w:marBottom w:val="0"/>
      <w:divBdr>
        <w:top w:val="none" w:sz="0" w:space="0" w:color="auto"/>
        <w:left w:val="none" w:sz="0" w:space="0" w:color="auto"/>
        <w:bottom w:val="none" w:sz="0" w:space="0" w:color="auto"/>
        <w:right w:val="none" w:sz="0" w:space="0" w:color="auto"/>
      </w:divBdr>
    </w:div>
    <w:div w:id="1716349709">
      <w:bodyDiv w:val="1"/>
      <w:marLeft w:val="0"/>
      <w:marRight w:val="0"/>
      <w:marTop w:val="0"/>
      <w:marBottom w:val="0"/>
      <w:divBdr>
        <w:top w:val="none" w:sz="0" w:space="0" w:color="auto"/>
        <w:left w:val="none" w:sz="0" w:space="0" w:color="auto"/>
        <w:bottom w:val="none" w:sz="0" w:space="0" w:color="auto"/>
        <w:right w:val="none" w:sz="0" w:space="0" w:color="auto"/>
      </w:divBdr>
    </w:div>
    <w:div w:id="1717967938">
      <w:bodyDiv w:val="1"/>
      <w:marLeft w:val="0"/>
      <w:marRight w:val="0"/>
      <w:marTop w:val="0"/>
      <w:marBottom w:val="0"/>
      <w:divBdr>
        <w:top w:val="none" w:sz="0" w:space="0" w:color="auto"/>
        <w:left w:val="none" w:sz="0" w:space="0" w:color="auto"/>
        <w:bottom w:val="none" w:sz="0" w:space="0" w:color="auto"/>
        <w:right w:val="none" w:sz="0" w:space="0" w:color="auto"/>
      </w:divBdr>
    </w:div>
    <w:div w:id="1718972997">
      <w:bodyDiv w:val="1"/>
      <w:marLeft w:val="0"/>
      <w:marRight w:val="0"/>
      <w:marTop w:val="0"/>
      <w:marBottom w:val="0"/>
      <w:divBdr>
        <w:top w:val="none" w:sz="0" w:space="0" w:color="auto"/>
        <w:left w:val="none" w:sz="0" w:space="0" w:color="auto"/>
        <w:bottom w:val="none" w:sz="0" w:space="0" w:color="auto"/>
        <w:right w:val="none" w:sz="0" w:space="0" w:color="auto"/>
      </w:divBdr>
    </w:div>
    <w:div w:id="1719474031">
      <w:bodyDiv w:val="1"/>
      <w:marLeft w:val="0"/>
      <w:marRight w:val="0"/>
      <w:marTop w:val="0"/>
      <w:marBottom w:val="0"/>
      <w:divBdr>
        <w:top w:val="none" w:sz="0" w:space="0" w:color="auto"/>
        <w:left w:val="none" w:sz="0" w:space="0" w:color="auto"/>
        <w:bottom w:val="none" w:sz="0" w:space="0" w:color="auto"/>
        <w:right w:val="none" w:sz="0" w:space="0" w:color="auto"/>
      </w:divBdr>
    </w:div>
    <w:div w:id="1720783134">
      <w:bodyDiv w:val="1"/>
      <w:marLeft w:val="0"/>
      <w:marRight w:val="0"/>
      <w:marTop w:val="0"/>
      <w:marBottom w:val="0"/>
      <w:divBdr>
        <w:top w:val="none" w:sz="0" w:space="0" w:color="auto"/>
        <w:left w:val="none" w:sz="0" w:space="0" w:color="auto"/>
        <w:bottom w:val="none" w:sz="0" w:space="0" w:color="auto"/>
        <w:right w:val="none" w:sz="0" w:space="0" w:color="auto"/>
      </w:divBdr>
    </w:div>
    <w:div w:id="1721444147">
      <w:bodyDiv w:val="1"/>
      <w:marLeft w:val="0"/>
      <w:marRight w:val="0"/>
      <w:marTop w:val="0"/>
      <w:marBottom w:val="0"/>
      <w:divBdr>
        <w:top w:val="none" w:sz="0" w:space="0" w:color="auto"/>
        <w:left w:val="none" w:sz="0" w:space="0" w:color="auto"/>
        <w:bottom w:val="none" w:sz="0" w:space="0" w:color="auto"/>
        <w:right w:val="none" w:sz="0" w:space="0" w:color="auto"/>
      </w:divBdr>
    </w:div>
    <w:div w:id="1722438391">
      <w:bodyDiv w:val="1"/>
      <w:marLeft w:val="0"/>
      <w:marRight w:val="0"/>
      <w:marTop w:val="0"/>
      <w:marBottom w:val="0"/>
      <w:divBdr>
        <w:top w:val="none" w:sz="0" w:space="0" w:color="auto"/>
        <w:left w:val="none" w:sz="0" w:space="0" w:color="auto"/>
        <w:bottom w:val="none" w:sz="0" w:space="0" w:color="auto"/>
        <w:right w:val="none" w:sz="0" w:space="0" w:color="auto"/>
      </w:divBdr>
    </w:div>
    <w:div w:id="1722636870">
      <w:bodyDiv w:val="1"/>
      <w:marLeft w:val="0"/>
      <w:marRight w:val="0"/>
      <w:marTop w:val="0"/>
      <w:marBottom w:val="0"/>
      <w:divBdr>
        <w:top w:val="none" w:sz="0" w:space="0" w:color="auto"/>
        <w:left w:val="none" w:sz="0" w:space="0" w:color="auto"/>
        <w:bottom w:val="none" w:sz="0" w:space="0" w:color="auto"/>
        <w:right w:val="none" w:sz="0" w:space="0" w:color="auto"/>
      </w:divBdr>
    </w:div>
    <w:div w:id="1724022498">
      <w:bodyDiv w:val="1"/>
      <w:marLeft w:val="0"/>
      <w:marRight w:val="0"/>
      <w:marTop w:val="0"/>
      <w:marBottom w:val="0"/>
      <w:divBdr>
        <w:top w:val="none" w:sz="0" w:space="0" w:color="auto"/>
        <w:left w:val="none" w:sz="0" w:space="0" w:color="auto"/>
        <w:bottom w:val="none" w:sz="0" w:space="0" w:color="auto"/>
        <w:right w:val="none" w:sz="0" w:space="0" w:color="auto"/>
      </w:divBdr>
    </w:div>
    <w:div w:id="1724325197">
      <w:bodyDiv w:val="1"/>
      <w:marLeft w:val="0"/>
      <w:marRight w:val="0"/>
      <w:marTop w:val="0"/>
      <w:marBottom w:val="0"/>
      <w:divBdr>
        <w:top w:val="none" w:sz="0" w:space="0" w:color="auto"/>
        <w:left w:val="none" w:sz="0" w:space="0" w:color="auto"/>
        <w:bottom w:val="none" w:sz="0" w:space="0" w:color="auto"/>
        <w:right w:val="none" w:sz="0" w:space="0" w:color="auto"/>
      </w:divBdr>
    </w:div>
    <w:div w:id="1724984134">
      <w:bodyDiv w:val="1"/>
      <w:marLeft w:val="0"/>
      <w:marRight w:val="0"/>
      <w:marTop w:val="0"/>
      <w:marBottom w:val="0"/>
      <w:divBdr>
        <w:top w:val="none" w:sz="0" w:space="0" w:color="auto"/>
        <w:left w:val="none" w:sz="0" w:space="0" w:color="auto"/>
        <w:bottom w:val="none" w:sz="0" w:space="0" w:color="auto"/>
        <w:right w:val="none" w:sz="0" w:space="0" w:color="auto"/>
      </w:divBdr>
    </w:div>
    <w:div w:id="1726249014">
      <w:bodyDiv w:val="1"/>
      <w:marLeft w:val="0"/>
      <w:marRight w:val="0"/>
      <w:marTop w:val="0"/>
      <w:marBottom w:val="0"/>
      <w:divBdr>
        <w:top w:val="none" w:sz="0" w:space="0" w:color="auto"/>
        <w:left w:val="none" w:sz="0" w:space="0" w:color="auto"/>
        <w:bottom w:val="none" w:sz="0" w:space="0" w:color="auto"/>
        <w:right w:val="none" w:sz="0" w:space="0" w:color="auto"/>
      </w:divBdr>
    </w:div>
    <w:div w:id="1726640036">
      <w:bodyDiv w:val="1"/>
      <w:marLeft w:val="0"/>
      <w:marRight w:val="0"/>
      <w:marTop w:val="0"/>
      <w:marBottom w:val="0"/>
      <w:divBdr>
        <w:top w:val="none" w:sz="0" w:space="0" w:color="auto"/>
        <w:left w:val="none" w:sz="0" w:space="0" w:color="auto"/>
        <w:bottom w:val="none" w:sz="0" w:space="0" w:color="auto"/>
        <w:right w:val="none" w:sz="0" w:space="0" w:color="auto"/>
      </w:divBdr>
    </w:div>
    <w:div w:id="1726905605">
      <w:bodyDiv w:val="1"/>
      <w:marLeft w:val="0"/>
      <w:marRight w:val="0"/>
      <w:marTop w:val="0"/>
      <w:marBottom w:val="0"/>
      <w:divBdr>
        <w:top w:val="none" w:sz="0" w:space="0" w:color="auto"/>
        <w:left w:val="none" w:sz="0" w:space="0" w:color="auto"/>
        <w:bottom w:val="none" w:sz="0" w:space="0" w:color="auto"/>
        <w:right w:val="none" w:sz="0" w:space="0" w:color="auto"/>
      </w:divBdr>
    </w:div>
    <w:div w:id="1728147876">
      <w:bodyDiv w:val="1"/>
      <w:marLeft w:val="0"/>
      <w:marRight w:val="0"/>
      <w:marTop w:val="0"/>
      <w:marBottom w:val="0"/>
      <w:divBdr>
        <w:top w:val="none" w:sz="0" w:space="0" w:color="auto"/>
        <w:left w:val="none" w:sz="0" w:space="0" w:color="auto"/>
        <w:bottom w:val="none" w:sz="0" w:space="0" w:color="auto"/>
        <w:right w:val="none" w:sz="0" w:space="0" w:color="auto"/>
      </w:divBdr>
    </w:div>
    <w:div w:id="1728458462">
      <w:bodyDiv w:val="1"/>
      <w:marLeft w:val="0"/>
      <w:marRight w:val="0"/>
      <w:marTop w:val="0"/>
      <w:marBottom w:val="0"/>
      <w:divBdr>
        <w:top w:val="none" w:sz="0" w:space="0" w:color="auto"/>
        <w:left w:val="none" w:sz="0" w:space="0" w:color="auto"/>
        <w:bottom w:val="none" w:sz="0" w:space="0" w:color="auto"/>
        <w:right w:val="none" w:sz="0" w:space="0" w:color="auto"/>
      </w:divBdr>
    </w:div>
    <w:div w:id="1728797567">
      <w:bodyDiv w:val="1"/>
      <w:marLeft w:val="0"/>
      <w:marRight w:val="0"/>
      <w:marTop w:val="0"/>
      <w:marBottom w:val="0"/>
      <w:divBdr>
        <w:top w:val="none" w:sz="0" w:space="0" w:color="auto"/>
        <w:left w:val="none" w:sz="0" w:space="0" w:color="auto"/>
        <w:bottom w:val="none" w:sz="0" w:space="0" w:color="auto"/>
        <w:right w:val="none" w:sz="0" w:space="0" w:color="auto"/>
      </w:divBdr>
    </w:div>
    <w:div w:id="1730416605">
      <w:bodyDiv w:val="1"/>
      <w:marLeft w:val="0"/>
      <w:marRight w:val="0"/>
      <w:marTop w:val="0"/>
      <w:marBottom w:val="0"/>
      <w:divBdr>
        <w:top w:val="none" w:sz="0" w:space="0" w:color="auto"/>
        <w:left w:val="none" w:sz="0" w:space="0" w:color="auto"/>
        <w:bottom w:val="none" w:sz="0" w:space="0" w:color="auto"/>
        <w:right w:val="none" w:sz="0" w:space="0" w:color="auto"/>
      </w:divBdr>
    </w:div>
    <w:div w:id="1736273997">
      <w:bodyDiv w:val="1"/>
      <w:marLeft w:val="0"/>
      <w:marRight w:val="0"/>
      <w:marTop w:val="0"/>
      <w:marBottom w:val="0"/>
      <w:divBdr>
        <w:top w:val="none" w:sz="0" w:space="0" w:color="auto"/>
        <w:left w:val="none" w:sz="0" w:space="0" w:color="auto"/>
        <w:bottom w:val="none" w:sz="0" w:space="0" w:color="auto"/>
        <w:right w:val="none" w:sz="0" w:space="0" w:color="auto"/>
      </w:divBdr>
    </w:div>
    <w:div w:id="1736389006">
      <w:bodyDiv w:val="1"/>
      <w:marLeft w:val="0"/>
      <w:marRight w:val="0"/>
      <w:marTop w:val="0"/>
      <w:marBottom w:val="0"/>
      <w:divBdr>
        <w:top w:val="none" w:sz="0" w:space="0" w:color="auto"/>
        <w:left w:val="none" w:sz="0" w:space="0" w:color="auto"/>
        <w:bottom w:val="none" w:sz="0" w:space="0" w:color="auto"/>
        <w:right w:val="none" w:sz="0" w:space="0" w:color="auto"/>
      </w:divBdr>
    </w:div>
    <w:div w:id="1737320203">
      <w:bodyDiv w:val="1"/>
      <w:marLeft w:val="0"/>
      <w:marRight w:val="0"/>
      <w:marTop w:val="0"/>
      <w:marBottom w:val="0"/>
      <w:divBdr>
        <w:top w:val="none" w:sz="0" w:space="0" w:color="auto"/>
        <w:left w:val="none" w:sz="0" w:space="0" w:color="auto"/>
        <w:bottom w:val="none" w:sz="0" w:space="0" w:color="auto"/>
        <w:right w:val="none" w:sz="0" w:space="0" w:color="auto"/>
      </w:divBdr>
    </w:div>
    <w:div w:id="1737390329">
      <w:bodyDiv w:val="1"/>
      <w:marLeft w:val="0"/>
      <w:marRight w:val="0"/>
      <w:marTop w:val="0"/>
      <w:marBottom w:val="0"/>
      <w:divBdr>
        <w:top w:val="none" w:sz="0" w:space="0" w:color="auto"/>
        <w:left w:val="none" w:sz="0" w:space="0" w:color="auto"/>
        <w:bottom w:val="none" w:sz="0" w:space="0" w:color="auto"/>
        <w:right w:val="none" w:sz="0" w:space="0" w:color="auto"/>
      </w:divBdr>
    </w:div>
    <w:div w:id="1738045108">
      <w:bodyDiv w:val="1"/>
      <w:marLeft w:val="0"/>
      <w:marRight w:val="0"/>
      <w:marTop w:val="0"/>
      <w:marBottom w:val="0"/>
      <w:divBdr>
        <w:top w:val="none" w:sz="0" w:space="0" w:color="auto"/>
        <w:left w:val="none" w:sz="0" w:space="0" w:color="auto"/>
        <w:bottom w:val="none" w:sz="0" w:space="0" w:color="auto"/>
        <w:right w:val="none" w:sz="0" w:space="0" w:color="auto"/>
      </w:divBdr>
    </w:div>
    <w:div w:id="1738700589">
      <w:bodyDiv w:val="1"/>
      <w:marLeft w:val="0"/>
      <w:marRight w:val="0"/>
      <w:marTop w:val="0"/>
      <w:marBottom w:val="0"/>
      <w:divBdr>
        <w:top w:val="none" w:sz="0" w:space="0" w:color="auto"/>
        <w:left w:val="none" w:sz="0" w:space="0" w:color="auto"/>
        <w:bottom w:val="none" w:sz="0" w:space="0" w:color="auto"/>
        <w:right w:val="none" w:sz="0" w:space="0" w:color="auto"/>
      </w:divBdr>
    </w:div>
    <w:div w:id="1738742967">
      <w:bodyDiv w:val="1"/>
      <w:marLeft w:val="0"/>
      <w:marRight w:val="0"/>
      <w:marTop w:val="0"/>
      <w:marBottom w:val="0"/>
      <w:divBdr>
        <w:top w:val="none" w:sz="0" w:space="0" w:color="auto"/>
        <w:left w:val="none" w:sz="0" w:space="0" w:color="auto"/>
        <w:bottom w:val="none" w:sz="0" w:space="0" w:color="auto"/>
        <w:right w:val="none" w:sz="0" w:space="0" w:color="auto"/>
      </w:divBdr>
    </w:div>
    <w:div w:id="1739473094">
      <w:bodyDiv w:val="1"/>
      <w:marLeft w:val="0"/>
      <w:marRight w:val="0"/>
      <w:marTop w:val="0"/>
      <w:marBottom w:val="0"/>
      <w:divBdr>
        <w:top w:val="none" w:sz="0" w:space="0" w:color="auto"/>
        <w:left w:val="none" w:sz="0" w:space="0" w:color="auto"/>
        <w:bottom w:val="none" w:sz="0" w:space="0" w:color="auto"/>
        <w:right w:val="none" w:sz="0" w:space="0" w:color="auto"/>
      </w:divBdr>
    </w:div>
    <w:div w:id="1739667109">
      <w:bodyDiv w:val="1"/>
      <w:marLeft w:val="0"/>
      <w:marRight w:val="0"/>
      <w:marTop w:val="0"/>
      <w:marBottom w:val="0"/>
      <w:divBdr>
        <w:top w:val="none" w:sz="0" w:space="0" w:color="auto"/>
        <w:left w:val="none" w:sz="0" w:space="0" w:color="auto"/>
        <w:bottom w:val="none" w:sz="0" w:space="0" w:color="auto"/>
        <w:right w:val="none" w:sz="0" w:space="0" w:color="auto"/>
      </w:divBdr>
    </w:div>
    <w:div w:id="1740132736">
      <w:bodyDiv w:val="1"/>
      <w:marLeft w:val="0"/>
      <w:marRight w:val="0"/>
      <w:marTop w:val="0"/>
      <w:marBottom w:val="0"/>
      <w:divBdr>
        <w:top w:val="none" w:sz="0" w:space="0" w:color="auto"/>
        <w:left w:val="none" w:sz="0" w:space="0" w:color="auto"/>
        <w:bottom w:val="none" w:sz="0" w:space="0" w:color="auto"/>
        <w:right w:val="none" w:sz="0" w:space="0" w:color="auto"/>
      </w:divBdr>
    </w:div>
    <w:div w:id="1740709445">
      <w:bodyDiv w:val="1"/>
      <w:marLeft w:val="0"/>
      <w:marRight w:val="0"/>
      <w:marTop w:val="0"/>
      <w:marBottom w:val="0"/>
      <w:divBdr>
        <w:top w:val="none" w:sz="0" w:space="0" w:color="auto"/>
        <w:left w:val="none" w:sz="0" w:space="0" w:color="auto"/>
        <w:bottom w:val="none" w:sz="0" w:space="0" w:color="auto"/>
        <w:right w:val="none" w:sz="0" w:space="0" w:color="auto"/>
      </w:divBdr>
    </w:div>
    <w:div w:id="1741059352">
      <w:bodyDiv w:val="1"/>
      <w:marLeft w:val="0"/>
      <w:marRight w:val="0"/>
      <w:marTop w:val="0"/>
      <w:marBottom w:val="0"/>
      <w:divBdr>
        <w:top w:val="none" w:sz="0" w:space="0" w:color="auto"/>
        <w:left w:val="none" w:sz="0" w:space="0" w:color="auto"/>
        <w:bottom w:val="none" w:sz="0" w:space="0" w:color="auto"/>
        <w:right w:val="none" w:sz="0" w:space="0" w:color="auto"/>
      </w:divBdr>
    </w:div>
    <w:div w:id="1741949688">
      <w:bodyDiv w:val="1"/>
      <w:marLeft w:val="0"/>
      <w:marRight w:val="0"/>
      <w:marTop w:val="0"/>
      <w:marBottom w:val="0"/>
      <w:divBdr>
        <w:top w:val="none" w:sz="0" w:space="0" w:color="auto"/>
        <w:left w:val="none" w:sz="0" w:space="0" w:color="auto"/>
        <w:bottom w:val="none" w:sz="0" w:space="0" w:color="auto"/>
        <w:right w:val="none" w:sz="0" w:space="0" w:color="auto"/>
      </w:divBdr>
    </w:div>
    <w:div w:id="1742487259">
      <w:bodyDiv w:val="1"/>
      <w:marLeft w:val="0"/>
      <w:marRight w:val="0"/>
      <w:marTop w:val="0"/>
      <w:marBottom w:val="0"/>
      <w:divBdr>
        <w:top w:val="none" w:sz="0" w:space="0" w:color="auto"/>
        <w:left w:val="none" w:sz="0" w:space="0" w:color="auto"/>
        <w:bottom w:val="none" w:sz="0" w:space="0" w:color="auto"/>
        <w:right w:val="none" w:sz="0" w:space="0" w:color="auto"/>
      </w:divBdr>
    </w:div>
    <w:div w:id="1743410537">
      <w:bodyDiv w:val="1"/>
      <w:marLeft w:val="0"/>
      <w:marRight w:val="0"/>
      <w:marTop w:val="0"/>
      <w:marBottom w:val="0"/>
      <w:divBdr>
        <w:top w:val="none" w:sz="0" w:space="0" w:color="auto"/>
        <w:left w:val="none" w:sz="0" w:space="0" w:color="auto"/>
        <w:bottom w:val="none" w:sz="0" w:space="0" w:color="auto"/>
        <w:right w:val="none" w:sz="0" w:space="0" w:color="auto"/>
      </w:divBdr>
    </w:div>
    <w:div w:id="1743793654">
      <w:bodyDiv w:val="1"/>
      <w:marLeft w:val="0"/>
      <w:marRight w:val="0"/>
      <w:marTop w:val="0"/>
      <w:marBottom w:val="0"/>
      <w:divBdr>
        <w:top w:val="none" w:sz="0" w:space="0" w:color="auto"/>
        <w:left w:val="none" w:sz="0" w:space="0" w:color="auto"/>
        <w:bottom w:val="none" w:sz="0" w:space="0" w:color="auto"/>
        <w:right w:val="none" w:sz="0" w:space="0" w:color="auto"/>
      </w:divBdr>
    </w:div>
    <w:div w:id="1744834844">
      <w:bodyDiv w:val="1"/>
      <w:marLeft w:val="0"/>
      <w:marRight w:val="0"/>
      <w:marTop w:val="0"/>
      <w:marBottom w:val="0"/>
      <w:divBdr>
        <w:top w:val="none" w:sz="0" w:space="0" w:color="auto"/>
        <w:left w:val="none" w:sz="0" w:space="0" w:color="auto"/>
        <w:bottom w:val="none" w:sz="0" w:space="0" w:color="auto"/>
        <w:right w:val="none" w:sz="0" w:space="0" w:color="auto"/>
      </w:divBdr>
    </w:div>
    <w:div w:id="1745568445">
      <w:bodyDiv w:val="1"/>
      <w:marLeft w:val="0"/>
      <w:marRight w:val="0"/>
      <w:marTop w:val="0"/>
      <w:marBottom w:val="0"/>
      <w:divBdr>
        <w:top w:val="none" w:sz="0" w:space="0" w:color="auto"/>
        <w:left w:val="none" w:sz="0" w:space="0" w:color="auto"/>
        <w:bottom w:val="none" w:sz="0" w:space="0" w:color="auto"/>
        <w:right w:val="none" w:sz="0" w:space="0" w:color="auto"/>
      </w:divBdr>
    </w:div>
    <w:div w:id="1747073359">
      <w:bodyDiv w:val="1"/>
      <w:marLeft w:val="0"/>
      <w:marRight w:val="0"/>
      <w:marTop w:val="0"/>
      <w:marBottom w:val="0"/>
      <w:divBdr>
        <w:top w:val="none" w:sz="0" w:space="0" w:color="auto"/>
        <w:left w:val="none" w:sz="0" w:space="0" w:color="auto"/>
        <w:bottom w:val="none" w:sz="0" w:space="0" w:color="auto"/>
        <w:right w:val="none" w:sz="0" w:space="0" w:color="auto"/>
      </w:divBdr>
    </w:div>
    <w:div w:id="1747797370">
      <w:bodyDiv w:val="1"/>
      <w:marLeft w:val="0"/>
      <w:marRight w:val="0"/>
      <w:marTop w:val="0"/>
      <w:marBottom w:val="0"/>
      <w:divBdr>
        <w:top w:val="none" w:sz="0" w:space="0" w:color="auto"/>
        <w:left w:val="none" w:sz="0" w:space="0" w:color="auto"/>
        <w:bottom w:val="none" w:sz="0" w:space="0" w:color="auto"/>
        <w:right w:val="none" w:sz="0" w:space="0" w:color="auto"/>
      </w:divBdr>
    </w:div>
    <w:div w:id="1747998876">
      <w:bodyDiv w:val="1"/>
      <w:marLeft w:val="0"/>
      <w:marRight w:val="0"/>
      <w:marTop w:val="0"/>
      <w:marBottom w:val="0"/>
      <w:divBdr>
        <w:top w:val="none" w:sz="0" w:space="0" w:color="auto"/>
        <w:left w:val="none" w:sz="0" w:space="0" w:color="auto"/>
        <w:bottom w:val="none" w:sz="0" w:space="0" w:color="auto"/>
        <w:right w:val="none" w:sz="0" w:space="0" w:color="auto"/>
      </w:divBdr>
    </w:div>
    <w:div w:id="1748261969">
      <w:bodyDiv w:val="1"/>
      <w:marLeft w:val="0"/>
      <w:marRight w:val="0"/>
      <w:marTop w:val="0"/>
      <w:marBottom w:val="0"/>
      <w:divBdr>
        <w:top w:val="none" w:sz="0" w:space="0" w:color="auto"/>
        <w:left w:val="none" w:sz="0" w:space="0" w:color="auto"/>
        <w:bottom w:val="none" w:sz="0" w:space="0" w:color="auto"/>
        <w:right w:val="none" w:sz="0" w:space="0" w:color="auto"/>
      </w:divBdr>
    </w:div>
    <w:div w:id="1748763592">
      <w:bodyDiv w:val="1"/>
      <w:marLeft w:val="0"/>
      <w:marRight w:val="0"/>
      <w:marTop w:val="0"/>
      <w:marBottom w:val="0"/>
      <w:divBdr>
        <w:top w:val="none" w:sz="0" w:space="0" w:color="auto"/>
        <w:left w:val="none" w:sz="0" w:space="0" w:color="auto"/>
        <w:bottom w:val="none" w:sz="0" w:space="0" w:color="auto"/>
        <w:right w:val="none" w:sz="0" w:space="0" w:color="auto"/>
      </w:divBdr>
    </w:div>
    <w:div w:id="1749109940">
      <w:bodyDiv w:val="1"/>
      <w:marLeft w:val="0"/>
      <w:marRight w:val="0"/>
      <w:marTop w:val="0"/>
      <w:marBottom w:val="0"/>
      <w:divBdr>
        <w:top w:val="none" w:sz="0" w:space="0" w:color="auto"/>
        <w:left w:val="none" w:sz="0" w:space="0" w:color="auto"/>
        <w:bottom w:val="none" w:sz="0" w:space="0" w:color="auto"/>
        <w:right w:val="none" w:sz="0" w:space="0" w:color="auto"/>
      </w:divBdr>
    </w:div>
    <w:div w:id="1749646977">
      <w:bodyDiv w:val="1"/>
      <w:marLeft w:val="0"/>
      <w:marRight w:val="0"/>
      <w:marTop w:val="0"/>
      <w:marBottom w:val="0"/>
      <w:divBdr>
        <w:top w:val="none" w:sz="0" w:space="0" w:color="auto"/>
        <w:left w:val="none" w:sz="0" w:space="0" w:color="auto"/>
        <w:bottom w:val="none" w:sz="0" w:space="0" w:color="auto"/>
        <w:right w:val="none" w:sz="0" w:space="0" w:color="auto"/>
      </w:divBdr>
    </w:div>
    <w:div w:id="1749889700">
      <w:bodyDiv w:val="1"/>
      <w:marLeft w:val="0"/>
      <w:marRight w:val="0"/>
      <w:marTop w:val="0"/>
      <w:marBottom w:val="0"/>
      <w:divBdr>
        <w:top w:val="none" w:sz="0" w:space="0" w:color="auto"/>
        <w:left w:val="none" w:sz="0" w:space="0" w:color="auto"/>
        <w:bottom w:val="none" w:sz="0" w:space="0" w:color="auto"/>
        <w:right w:val="none" w:sz="0" w:space="0" w:color="auto"/>
      </w:divBdr>
    </w:div>
    <w:div w:id="1750540769">
      <w:bodyDiv w:val="1"/>
      <w:marLeft w:val="0"/>
      <w:marRight w:val="0"/>
      <w:marTop w:val="0"/>
      <w:marBottom w:val="0"/>
      <w:divBdr>
        <w:top w:val="none" w:sz="0" w:space="0" w:color="auto"/>
        <w:left w:val="none" w:sz="0" w:space="0" w:color="auto"/>
        <w:bottom w:val="none" w:sz="0" w:space="0" w:color="auto"/>
        <w:right w:val="none" w:sz="0" w:space="0" w:color="auto"/>
      </w:divBdr>
    </w:div>
    <w:div w:id="1751345309">
      <w:bodyDiv w:val="1"/>
      <w:marLeft w:val="0"/>
      <w:marRight w:val="0"/>
      <w:marTop w:val="0"/>
      <w:marBottom w:val="0"/>
      <w:divBdr>
        <w:top w:val="none" w:sz="0" w:space="0" w:color="auto"/>
        <w:left w:val="none" w:sz="0" w:space="0" w:color="auto"/>
        <w:bottom w:val="none" w:sz="0" w:space="0" w:color="auto"/>
        <w:right w:val="none" w:sz="0" w:space="0" w:color="auto"/>
      </w:divBdr>
    </w:div>
    <w:div w:id="1752505443">
      <w:bodyDiv w:val="1"/>
      <w:marLeft w:val="0"/>
      <w:marRight w:val="0"/>
      <w:marTop w:val="0"/>
      <w:marBottom w:val="0"/>
      <w:divBdr>
        <w:top w:val="none" w:sz="0" w:space="0" w:color="auto"/>
        <w:left w:val="none" w:sz="0" w:space="0" w:color="auto"/>
        <w:bottom w:val="none" w:sz="0" w:space="0" w:color="auto"/>
        <w:right w:val="none" w:sz="0" w:space="0" w:color="auto"/>
      </w:divBdr>
    </w:div>
    <w:div w:id="1752775186">
      <w:bodyDiv w:val="1"/>
      <w:marLeft w:val="0"/>
      <w:marRight w:val="0"/>
      <w:marTop w:val="0"/>
      <w:marBottom w:val="0"/>
      <w:divBdr>
        <w:top w:val="none" w:sz="0" w:space="0" w:color="auto"/>
        <w:left w:val="none" w:sz="0" w:space="0" w:color="auto"/>
        <w:bottom w:val="none" w:sz="0" w:space="0" w:color="auto"/>
        <w:right w:val="none" w:sz="0" w:space="0" w:color="auto"/>
      </w:divBdr>
    </w:div>
    <w:div w:id="1753966566">
      <w:bodyDiv w:val="1"/>
      <w:marLeft w:val="0"/>
      <w:marRight w:val="0"/>
      <w:marTop w:val="0"/>
      <w:marBottom w:val="0"/>
      <w:divBdr>
        <w:top w:val="none" w:sz="0" w:space="0" w:color="auto"/>
        <w:left w:val="none" w:sz="0" w:space="0" w:color="auto"/>
        <w:bottom w:val="none" w:sz="0" w:space="0" w:color="auto"/>
        <w:right w:val="none" w:sz="0" w:space="0" w:color="auto"/>
      </w:divBdr>
    </w:div>
    <w:div w:id="1754818271">
      <w:bodyDiv w:val="1"/>
      <w:marLeft w:val="0"/>
      <w:marRight w:val="0"/>
      <w:marTop w:val="0"/>
      <w:marBottom w:val="0"/>
      <w:divBdr>
        <w:top w:val="none" w:sz="0" w:space="0" w:color="auto"/>
        <w:left w:val="none" w:sz="0" w:space="0" w:color="auto"/>
        <w:bottom w:val="none" w:sz="0" w:space="0" w:color="auto"/>
        <w:right w:val="none" w:sz="0" w:space="0" w:color="auto"/>
      </w:divBdr>
    </w:div>
    <w:div w:id="1755392899">
      <w:bodyDiv w:val="1"/>
      <w:marLeft w:val="0"/>
      <w:marRight w:val="0"/>
      <w:marTop w:val="0"/>
      <w:marBottom w:val="0"/>
      <w:divBdr>
        <w:top w:val="none" w:sz="0" w:space="0" w:color="auto"/>
        <w:left w:val="none" w:sz="0" w:space="0" w:color="auto"/>
        <w:bottom w:val="none" w:sz="0" w:space="0" w:color="auto"/>
        <w:right w:val="none" w:sz="0" w:space="0" w:color="auto"/>
      </w:divBdr>
    </w:div>
    <w:div w:id="1755591381">
      <w:bodyDiv w:val="1"/>
      <w:marLeft w:val="0"/>
      <w:marRight w:val="0"/>
      <w:marTop w:val="0"/>
      <w:marBottom w:val="0"/>
      <w:divBdr>
        <w:top w:val="none" w:sz="0" w:space="0" w:color="auto"/>
        <w:left w:val="none" w:sz="0" w:space="0" w:color="auto"/>
        <w:bottom w:val="none" w:sz="0" w:space="0" w:color="auto"/>
        <w:right w:val="none" w:sz="0" w:space="0" w:color="auto"/>
      </w:divBdr>
    </w:div>
    <w:div w:id="1756972837">
      <w:bodyDiv w:val="1"/>
      <w:marLeft w:val="0"/>
      <w:marRight w:val="0"/>
      <w:marTop w:val="0"/>
      <w:marBottom w:val="0"/>
      <w:divBdr>
        <w:top w:val="none" w:sz="0" w:space="0" w:color="auto"/>
        <w:left w:val="none" w:sz="0" w:space="0" w:color="auto"/>
        <w:bottom w:val="none" w:sz="0" w:space="0" w:color="auto"/>
        <w:right w:val="none" w:sz="0" w:space="0" w:color="auto"/>
      </w:divBdr>
    </w:div>
    <w:div w:id="1757362893">
      <w:bodyDiv w:val="1"/>
      <w:marLeft w:val="0"/>
      <w:marRight w:val="0"/>
      <w:marTop w:val="0"/>
      <w:marBottom w:val="0"/>
      <w:divBdr>
        <w:top w:val="none" w:sz="0" w:space="0" w:color="auto"/>
        <w:left w:val="none" w:sz="0" w:space="0" w:color="auto"/>
        <w:bottom w:val="none" w:sz="0" w:space="0" w:color="auto"/>
        <w:right w:val="none" w:sz="0" w:space="0" w:color="auto"/>
      </w:divBdr>
    </w:div>
    <w:div w:id="1757434884">
      <w:bodyDiv w:val="1"/>
      <w:marLeft w:val="0"/>
      <w:marRight w:val="0"/>
      <w:marTop w:val="0"/>
      <w:marBottom w:val="0"/>
      <w:divBdr>
        <w:top w:val="none" w:sz="0" w:space="0" w:color="auto"/>
        <w:left w:val="none" w:sz="0" w:space="0" w:color="auto"/>
        <w:bottom w:val="none" w:sz="0" w:space="0" w:color="auto"/>
        <w:right w:val="none" w:sz="0" w:space="0" w:color="auto"/>
      </w:divBdr>
    </w:div>
    <w:div w:id="1757700929">
      <w:bodyDiv w:val="1"/>
      <w:marLeft w:val="0"/>
      <w:marRight w:val="0"/>
      <w:marTop w:val="0"/>
      <w:marBottom w:val="0"/>
      <w:divBdr>
        <w:top w:val="none" w:sz="0" w:space="0" w:color="auto"/>
        <w:left w:val="none" w:sz="0" w:space="0" w:color="auto"/>
        <w:bottom w:val="none" w:sz="0" w:space="0" w:color="auto"/>
        <w:right w:val="none" w:sz="0" w:space="0" w:color="auto"/>
      </w:divBdr>
    </w:div>
    <w:div w:id="1759522310">
      <w:bodyDiv w:val="1"/>
      <w:marLeft w:val="0"/>
      <w:marRight w:val="0"/>
      <w:marTop w:val="0"/>
      <w:marBottom w:val="0"/>
      <w:divBdr>
        <w:top w:val="none" w:sz="0" w:space="0" w:color="auto"/>
        <w:left w:val="none" w:sz="0" w:space="0" w:color="auto"/>
        <w:bottom w:val="none" w:sz="0" w:space="0" w:color="auto"/>
        <w:right w:val="none" w:sz="0" w:space="0" w:color="auto"/>
      </w:divBdr>
    </w:div>
    <w:div w:id="1760981677">
      <w:bodyDiv w:val="1"/>
      <w:marLeft w:val="0"/>
      <w:marRight w:val="0"/>
      <w:marTop w:val="0"/>
      <w:marBottom w:val="0"/>
      <w:divBdr>
        <w:top w:val="none" w:sz="0" w:space="0" w:color="auto"/>
        <w:left w:val="none" w:sz="0" w:space="0" w:color="auto"/>
        <w:bottom w:val="none" w:sz="0" w:space="0" w:color="auto"/>
        <w:right w:val="none" w:sz="0" w:space="0" w:color="auto"/>
      </w:divBdr>
    </w:div>
    <w:div w:id="1761414467">
      <w:bodyDiv w:val="1"/>
      <w:marLeft w:val="0"/>
      <w:marRight w:val="0"/>
      <w:marTop w:val="0"/>
      <w:marBottom w:val="0"/>
      <w:divBdr>
        <w:top w:val="none" w:sz="0" w:space="0" w:color="auto"/>
        <w:left w:val="none" w:sz="0" w:space="0" w:color="auto"/>
        <w:bottom w:val="none" w:sz="0" w:space="0" w:color="auto"/>
        <w:right w:val="none" w:sz="0" w:space="0" w:color="auto"/>
      </w:divBdr>
    </w:div>
    <w:div w:id="1762873439">
      <w:bodyDiv w:val="1"/>
      <w:marLeft w:val="0"/>
      <w:marRight w:val="0"/>
      <w:marTop w:val="0"/>
      <w:marBottom w:val="0"/>
      <w:divBdr>
        <w:top w:val="none" w:sz="0" w:space="0" w:color="auto"/>
        <w:left w:val="none" w:sz="0" w:space="0" w:color="auto"/>
        <w:bottom w:val="none" w:sz="0" w:space="0" w:color="auto"/>
        <w:right w:val="none" w:sz="0" w:space="0" w:color="auto"/>
      </w:divBdr>
    </w:div>
    <w:div w:id="1764910676">
      <w:bodyDiv w:val="1"/>
      <w:marLeft w:val="0"/>
      <w:marRight w:val="0"/>
      <w:marTop w:val="0"/>
      <w:marBottom w:val="0"/>
      <w:divBdr>
        <w:top w:val="none" w:sz="0" w:space="0" w:color="auto"/>
        <w:left w:val="none" w:sz="0" w:space="0" w:color="auto"/>
        <w:bottom w:val="none" w:sz="0" w:space="0" w:color="auto"/>
        <w:right w:val="none" w:sz="0" w:space="0" w:color="auto"/>
      </w:divBdr>
    </w:div>
    <w:div w:id="1765101873">
      <w:bodyDiv w:val="1"/>
      <w:marLeft w:val="0"/>
      <w:marRight w:val="0"/>
      <w:marTop w:val="0"/>
      <w:marBottom w:val="0"/>
      <w:divBdr>
        <w:top w:val="none" w:sz="0" w:space="0" w:color="auto"/>
        <w:left w:val="none" w:sz="0" w:space="0" w:color="auto"/>
        <w:bottom w:val="none" w:sz="0" w:space="0" w:color="auto"/>
        <w:right w:val="none" w:sz="0" w:space="0" w:color="auto"/>
      </w:divBdr>
    </w:div>
    <w:div w:id="1765682064">
      <w:bodyDiv w:val="1"/>
      <w:marLeft w:val="0"/>
      <w:marRight w:val="0"/>
      <w:marTop w:val="0"/>
      <w:marBottom w:val="0"/>
      <w:divBdr>
        <w:top w:val="none" w:sz="0" w:space="0" w:color="auto"/>
        <w:left w:val="none" w:sz="0" w:space="0" w:color="auto"/>
        <w:bottom w:val="none" w:sz="0" w:space="0" w:color="auto"/>
        <w:right w:val="none" w:sz="0" w:space="0" w:color="auto"/>
      </w:divBdr>
    </w:div>
    <w:div w:id="1767995387">
      <w:bodyDiv w:val="1"/>
      <w:marLeft w:val="0"/>
      <w:marRight w:val="0"/>
      <w:marTop w:val="0"/>
      <w:marBottom w:val="0"/>
      <w:divBdr>
        <w:top w:val="none" w:sz="0" w:space="0" w:color="auto"/>
        <w:left w:val="none" w:sz="0" w:space="0" w:color="auto"/>
        <w:bottom w:val="none" w:sz="0" w:space="0" w:color="auto"/>
        <w:right w:val="none" w:sz="0" w:space="0" w:color="auto"/>
      </w:divBdr>
    </w:div>
    <w:div w:id="1767996448">
      <w:bodyDiv w:val="1"/>
      <w:marLeft w:val="0"/>
      <w:marRight w:val="0"/>
      <w:marTop w:val="0"/>
      <w:marBottom w:val="0"/>
      <w:divBdr>
        <w:top w:val="none" w:sz="0" w:space="0" w:color="auto"/>
        <w:left w:val="none" w:sz="0" w:space="0" w:color="auto"/>
        <w:bottom w:val="none" w:sz="0" w:space="0" w:color="auto"/>
        <w:right w:val="none" w:sz="0" w:space="0" w:color="auto"/>
      </w:divBdr>
    </w:div>
    <w:div w:id="1768188716">
      <w:bodyDiv w:val="1"/>
      <w:marLeft w:val="0"/>
      <w:marRight w:val="0"/>
      <w:marTop w:val="0"/>
      <w:marBottom w:val="0"/>
      <w:divBdr>
        <w:top w:val="none" w:sz="0" w:space="0" w:color="auto"/>
        <w:left w:val="none" w:sz="0" w:space="0" w:color="auto"/>
        <w:bottom w:val="none" w:sz="0" w:space="0" w:color="auto"/>
        <w:right w:val="none" w:sz="0" w:space="0" w:color="auto"/>
      </w:divBdr>
    </w:div>
    <w:div w:id="1770738505">
      <w:bodyDiv w:val="1"/>
      <w:marLeft w:val="0"/>
      <w:marRight w:val="0"/>
      <w:marTop w:val="0"/>
      <w:marBottom w:val="0"/>
      <w:divBdr>
        <w:top w:val="none" w:sz="0" w:space="0" w:color="auto"/>
        <w:left w:val="none" w:sz="0" w:space="0" w:color="auto"/>
        <w:bottom w:val="none" w:sz="0" w:space="0" w:color="auto"/>
        <w:right w:val="none" w:sz="0" w:space="0" w:color="auto"/>
      </w:divBdr>
    </w:div>
    <w:div w:id="1771392643">
      <w:bodyDiv w:val="1"/>
      <w:marLeft w:val="0"/>
      <w:marRight w:val="0"/>
      <w:marTop w:val="0"/>
      <w:marBottom w:val="0"/>
      <w:divBdr>
        <w:top w:val="none" w:sz="0" w:space="0" w:color="auto"/>
        <w:left w:val="none" w:sz="0" w:space="0" w:color="auto"/>
        <w:bottom w:val="none" w:sz="0" w:space="0" w:color="auto"/>
        <w:right w:val="none" w:sz="0" w:space="0" w:color="auto"/>
      </w:divBdr>
    </w:div>
    <w:div w:id="1771897436">
      <w:bodyDiv w:val="1"/>
      <w:marLeft w:val="0"/>
      <w:marRight w:val="0"/>
      <w:marTop w:val="0"/>
      <w:marBottom w:val="0"/>
      <w:divBdr>
        <w:top w:val="none" w:sz="0" w:space="0" w:color="auto"/>
        <w:left w:val="none" w:sz="0" w:space="0" w:color="auto"/>
        <w:bottom w:val="none" w:sz="0" w:space="0" w:color="auto"/>
        <w:right w:val="none" w:sz="0" w:space="0" w:color="auto"/>
      </w:divBdr>
    </w:div>
    <w:div w:id="1773090699">
      <w:bodyDiv w:val="1"/>
      <w:marLeft w:val="0"/>
      <w:marRight w:val="0"/>
      <w:marTop w:val="0"/>
      <w:marBottom w:val="0"/>
      <w:divBdr>
        <w:top w:val="none" w:sz="0" w:space="0" w:color="auto"/>
        <w:left w:val="none" w:sz="0" w:space="0" w:color="auto"/>
        <w:bottom w:val="none" w:sz="0" w:space="0" w:color="auto"/>
        <w:right w:val="none" w:sz="0" w:space="0" w:color="auto"/>
      </w:divBdr>
    </w:div>
    <w:div w:id="1774747153">
      <w:bodyDiv w:val="1"/>
      <w:marLeft w:val="0"/>
      <w:marRight w:val="0"/>
      <w:marTop w:val="0"/>
      <w:marBottom w:val="0"/>
      <w:divBdr>
        <w:top w:val="none" w:sz="0" w:space="0" w:color="auto"/>
        <w:left w:val="none" w:sz="0" w:space="0" w:color="auto"/>
        <w:bottom w:val="none" w:sz="0" w:space="0" w:color="auto"/>
        <w:right w:val="none" w:sz="0" w:space="0" w:color="auto"/>
      </w:divBdr>
    </w:div>
    <w:div w:id="1775202442">
      <w:bodyDiv w:val="1"/>
      <w:marLeft w:val="0"/>
      <w:marRight w:val="0"/>
      <w:marTop w:val="0"/>
      <w:marBottom w:val="0"/>
      <w:divBdr>
        <w:top w:val="none" w:sz="0" w:space="0" w:color="auto"/>
        <w:left w:val="none" w:sz="0" w:space="0" w:color="auto"/>
        <w:bottom w:val="none" w:sz="0" w:space="0" w:color="auto"/>
        <w:right w:val="none" w:sz="0" w:space="0" w:color="auto"/>
      </w:divBdr>
    </w:div>
    <w:div w:id="1778138397">
      <w:bodyDiv w:val="1"/>
      <w:marLeft w:val="0"/>
      <w:marRight w:val="0"/>
      <w:marTop w:val="0"/>
      <w:marBottom w:val="0"/>
      <w:divBdr>
        <w:top w:val="none" w:sz="0" w:space="0" w:color="auto"/>
        <w:left w:val="none" w:sz="0" w:space="0" w:color="auto"/>
        <w:bottom w:val="none" w:sz="0" w:space="0" w:color="auto"/>
        <w:right w:val="none" w:sz="0" w:space="0" w:color="auto"/>
      </w:divBdr>
    </w:div>
    <w:div w:id="1779376057">
      <w:bodyDiv w:val="1"/>
      <w:marLeft w:val="0"/>
      <w:marRight w:val="0"/>
      <w:marTop w:val="0"/>
      <w:marBottom w:val="0"/>
      <w:divBdr>
        <w:top w:val="none" w:sz="0" w:space="0" w:color="auto"/>
        <w:left w:val="none" w:sz="0" w:space="0" w:color="auto"/>
        <w:bottom w:val="none" w:sz="0" w:space="0" w:color="auto"/>
        <w:right w:val="none" w:sz="0" w:space="0" w:color="auto"/>
      </w:divBdr>
    </w:div>
    <w:div w:id="1779443346">
      <w:bodyDiv w:val="1"/>
      <w:marLeft w:val="0"/>
      <w:marRight w:val="0"/>
      <w:marTop w:val="0"/>
      <w:marBottom w:val="0"/>
      <w:divBdr>
        <w:top w:val="none" w:sz="0" w:space="0" w:color="auto"/>
        <w:left w:val="none" w:sz="0" w:space="0" w:color="auto"/>
        <w:bottom w:val="none" w:sz="0" w:space="0" w:color="auto"/>
        <w:right w:val="none" w:sz="0" w:space="0" w:color="auto"/>
      </w:divBdr>
    </w:div>
    <w:div w:id="1780097980">
      <w:bodyDiv w:val="1"/>
      <w:marLeft w:val="0"/>
      <w:marRight w:val="0"/>
      <w:marTop w:val="0"/>
      <w:marBottom w:val="0"/>
      <w:divBdr>
        <w:top w:val="none" w:sz="0" w:space="0" w:color="auto"/>
        <w:left w:val="none" w:sz="0" w:space="0" w:color="auto"/>
        <w:bottom w:val="none" w:sz="0" w:space="0" w:color="auto"/>
        <w:right w:val="none" w:sz="0" w:space="0" w:color="auto"/>
      </w:divBdr>
    </w:div>
    <w:div w:id="1780371429">
      <w:bodyDiv w:val="1"/>
      <w:marLeft w:val="0"/>
      <w:marRight w:val="0"/>
      <w:marTop w:val="0"/>
      <w:marBottom w:val="0"/>
      <w:divBdr>
        <w:top w:val="none" w:sz="0" w:space="0" w:color="auto"/>
        <w:left w:val="none" w:sz="0" w:space="0" w:color="auto"/>
        <w:bottom w:val="none" w:sz="0" w:space="0" w:color="auto"/>
        <w:right w:val="none" w:sz="0" w:space="0" w:color="auto"/>
      </w:divBdr>
    </w:div>
    <w:div w:id="1781299631">
      <w:bodyDiv w:val="1"/>
      <w:marLeft w:val="0"/>
      <w:marRight w:val="0"/>
      <w:marTop w:val="0"/>
      <w:marBottom w:val="0"/>
      <w:divBdr>
        <w:top w:val="none" w:sz="0" w:space="0" w:color="auto"/>
        <w:left w:val="none" w:sz="0" w:space="0" w:color="auto"/>
        <w:bottom w:val="none" w:sz="0" w:space="0" w:color="auto"/>
        <w:right w:val="none" w:sz="0" w:space="0" w:color="auto"/>
      </w:divBdr>
    </w:div>
    <w:div w:id="1781560299">
      <w:bodyDiv w:val="1"/>
      <w:marLeft w:val="0"/>
      <w:marRight w:val="0"/>
      <w:marTop w:val="0"/>
      <w:marBottom w:val="0"/>
      <w:divBdr>
        <w:top w:val="none" w:sz="0" w:space="0" w:color="auto"/>
        <w:left w:val="none" w:sz="0" w:space="0" w:color="auto"/>
        <w:bottom w:val="none" w:sz="0" w:space="0" w:color="auto"/>
        <w:right w:val="none" w:sz="0" w:space="0" w:color="auto"/>
      </w:divBdr>
    </w:div>
    <w:div w:id="1781610229">
      <w:bodyDiv w:val="1"/>
      <w:marLeft w:val="0"/>
      <w:marRight w:val="0"/>
      <w:marTop w:val="0"/>
      <w:marBottom w:val="0"/>
      <w:divBdr>
        <w:top w:val="none" w:sz="0" w:space="0" w:color="auto"/>
        <w:left w:val="none" w:sz="0" w:space="0" w:color="auto"/>
        <w:bottom w:val="none" w:sz="0" w:space="0" w:color="auto"/>
        <w:right w:val="none" w:sz="0" w:space="0" w:color="auto"/>
      </w:divBdr>
    </w:div>
    <w:div w:id="1781755964">
      <w:bodyDiv w:val="1"/>
      <w:marLeft w:val="0"/>
      <w:marRight w:val="0"/>
      <w:marTop w:val="0"/>
      <w:marBottom w:val="0"/>
      <w:divBdr>
        <w:top w:val="none" w:sz="0" w:space="0" w:color="auto"/>
        <w:left w:val="none" w:sz="0" w:space="0" w:color="auto"/>
        <w:bottom w:val="none" w:sz="0" w:space="0" w:color="auto"/>
        <w:right w:val="none" w:sz="0" w:space="0" w:color="auto"/>
      </w:divBdr>
    </w:div>
    <w:div w:id="1782722927">
      <w:bodyDiv w:val="1"/>
      <w:marLeft w:val="0"/>
      <w:marRight w:val="0"/>
      <w:marTop w:val="0"/>
      <w:marBottom w:val="0"/>
      <w:divBdr>
        <w:top w:val="none" w:sz="0" w:space="0" w:color="auto"/>
        <w:left w:val="none" w:sz="0" w:space="0" w:color="auto"/>
        <w:bottom w:val="none" w:sz="0" w:space="0" w:color="auto"/>
        <w:right w:val="none" w:sz="0" w:space="0" w:color="auto"/>
      </w:divBdr>
    </w:div>
    <w:div w:id="1782798645">
      <w:bodyDiv w:val="1"/>
      <w:marLeft w:val="0"/>
      <w:marRight w:val="0"/>
      <w:marTop w:val="0"/>
      <w:marBottom w:val="0"/>
      <w:divBdr>
        <w:top w:val="none" w:sz="0" w:space="0" w:color="auto"/>
        <w:left w:val="none" w:sz="0" w:space="0" w:color="auto"/>
        <w:bottom w:val="none" w:sz="0" w:space="0" w:color="auto"/>
        <w:right w:val="none" w:sz="0" w:space="0" w:color="auto"/>
      </w:divBdr>
    </w:div>
    <w:div w:id="1782994905">
      <w:bodyDiv w:val="1"/>
      <w:marLeft w:val="0"/>
      <w:marRight w:val="0"/>
      <w:marTop w:val="0"/>
      <w:marBottom w:val="0"/>
      <w:divBdr>
        <w:top w:val="none" w:sz="0" w:space="0" w:color="auto"/>
        <w:left w:val="none" w:sz="0" w:space="0" w:color="auto"/>
        <w:bottom w:val="none" w:sz="0" w:space="0" w:color="auto"/>
        <w:right w:val="none" w:sz="0" w:space="0" w:color="auto"/>
      </w:divBdr>
    </w:div>
    <w:div w:id="1783067099">
      <w:bodyDiv w:val="1"/>
      <w:marLeft w:val="0"/>
      <w:marRight w:val="0"/>
      <w:marTop w:val="0"/>
      <w:marBottom w:val="0"/>
      <w:divBdr>
        <w:top w:val="none" w:sz="0" w:space="0" w:color="auto"/>
        <w:left w:val="none" w:sz="0" w:space="0" w:color="auto"/>
        <w:bottom w:val="none" w:sz="0" w:space="0" w:color="auto"/>
        <w:right w:val="none" w:sz="0" w:space="0" w:color="auto"/>
      </w:divBdr>
    </w:div>
    <w:div w:id="1784033430">
      <w:bodyDiv w:val="1"/>
      <w:marLeft w:val="0"/>
      <w:marRight w:val="0"/>
      <w:marTop w:val="0"/>
      <w:marBottom w:val="0"/>
      <w:divBdr>
        <w:top w:val="none" w:sz="0" w:space="0" w:color="auto"/>
        <w:left w:val="none" w:sz="0" w:space="0" w:color="auto"/>
        <w:bottom w:val="none" w:sz="0" w:space="0" w:color="auto"/>
        <w:right w:val="none" w:sz="0" w:space="0" w:color="auto"/>
      </w:divBdr>
    </w:div>
    <w:div w:id="1784182787">
      <w:bodyDiv w:val="1"/>
      <w:marLeft w:val="0"/>
      <w:marRight w:val="0"/>
      <w:marTop w:val="0"/>
      <w:marBottom w:val="0"/>
      <w:divBdr>
        <w:top w:val="none" w:sz="0" w:space="0" w:color="auto"/>
        <w:left w:val="none" w:sz="0" w:space="0" w:color="auto"/>
        <w:bottom w:val="none" w:sz="0" w:space="0" w:color="auto"/>
        <w:right w:val="none" w:sz="0" w:space="0" w:color="auto"/>
      </w:divBdr>
    </w:div>
    <w:div w:id="1784769347">
      <w:bodyDiv w:val="1"/>
      <w:marLeft w:val="0"/>
      <w:marRight w:val="0"/>
      <w:marTop w:val="0"/>
      <w:marBottom w:val="0"/>
      <w:divBdr>
        <w:top w:val="none" w:sz="0" w:space="0" w:color="auto"/>
        <w:left w:val="none" w:sz="0" w:space="0" w:color="auto"/>
        <w:bottom w:val="none" w:sz="0" w:space="0" w:color="auto"/>
        <w:right w:val="none" w:sz="0" w:space="0" w:color="auto"/>
      </w:divBdr>
    </w:div>
    <w:div w:id="1784885624">
      <w:bodyDiv w:val="1"/>
      <w:marLeft w:val="0"/>
      <w:marRight w:val="0"/>
      <w:marTop w:val="0"/>
      <w:marBottom w:val="0"/>
      <w:divBdr>
        <w:top w:val="none" w:sz="0" w:space="0" w:color="auto"/>
        <w:left w:val="none" w:sz="0" w:space="0" w:color="auto"/>
        <w:bottom w:val="none" w:sz="0" w:space="0" w:color="auto"/>
        <w:right w:val="none" w:sz="0" w:space="0" w:color="auto"/>
      </w:divBdr>
    </w:div>
    <w:div w:id="1785727179">
      <w:bodyDiv w:val="1"/>
      <w:marLeft w:val="0"/>
      <w:marRight w:val="0"/>
      <w:marTop w:val="0"/>
      <w:marBottom w:val="0"/>
      <w:divBdr>
        <w:top w:val="none" w:sz="0" w:space="0" w:color="auto"/>
        <w:left w:val="none" w:sz="0" w:space="0" w:color="auto"/>
        <w:bottom w:val="none" w:sz="0" w:space="0" w:color="auto"/>
        <w:right w:val="none" w:sz="0" w:space="0" w:color="auto"/>
      </w:divBdr>
    </w:div>
    <w:div w:id="1786075530">
      <w:bodyDiv w:val="1"/>
      <w:marLeft w:val="0"/>
      <w:marRight w:val="0"/>
      <w:marTop w:val="0"/>
      <w:marBottom w:val="0"/>
      <w:divBdr>
        <w:top w:val="none" w:sz="0" w:space="0" w:color="auto"/>
        <w:left w:val="none" w:sz="0" w:space="0" w:color="auto"/>
        <w:bottom w:val="none" w:sz="0" w:space="0" w:color="auto"/>
        <w:right w:val="none" w:sz="0" w:space="0" w:color="auto"/>
      </w:divBdr>
    </w:div>
    <w:div w:id="1786384129">
      <w:bodyDiv w:val="1"/>
      <w:marLeft w:val="0"/>
      <w:marRight w:val="0"/>
      <w:marTop w:val="0"/>
      <w:marBottom w:val="0"/>
      <w:divBdr>
        <w:top w:val="none" w:sz="0" w:space="0" w:color="auto"/>
        <w:left w:val="none" w:sz="0" w:space="0" w:color="auto"/>
        <w:bottom w:val="none" w:sz="0" w:space="0" w:color="auto"/>
        <w:right w:val="none" w:sz="0" w:space="0" w:color="auto"/>
      </w:divBdr>
    </w:div>
    <w:div w:id="1786657022">
      <w:bodyDiv w:val="1"/>
      <w:marLeft w:val="0"/>
      <w:marRight w:val="0"/>
      <w:marTop w:val="0"/>
      <w:marBottom w:val="0"/>
      <w:divBdr>
        <w:top w:val="none" w:sz="0" w:space="0" w:color="auto"/>
        <w:left w:val="none" w:sz="0" w:space="0" w:color="auto"/>
        <w:bottom w:val="none" w:sz="0" w:space="0" w:color="auto"/>
        <w:right w:val="none" w:sz="0" w:space="0" w:color="auto"/>
      </w:divBdr>
    </w:div>
    <w:div w:id="1786658982">
      <w:bodyDiv w:val="1"/>
      <w:marLeft w:val="0"/>
      <w:marRight w:val="0"/>
      <w:marTop w:val="0"/>
      <w:marBottom w:val="0"/>
      <w:divBdr>
        <w:top w:val="none" w:sz="0" w:space="0" w:color="auto"/>
        <w:left w:val="none" w:sz="0" w:space="0" w:color="auto"/>
        <w:bottom w:val="none" w:sz="0" w:space="0" w:color="auto"/>
        <w:right w:val="none" w:sz="0" w:space="0" w:color="auto"/>
      </w:divBdr>
    </w:div>
    <w:div w:id="1788045139">
      <w:bodyDiv w:val="1"/>
      <w:marLeft w:val="0"/>
      <w:marRight w:val="0"/>
      <w:marTop w:val="0"/>
      <w:marBottom w:val="0"/>
      <w:divBdr>
        <w:top w:val="none" w:sz="0" w:space="0" w:color="auto"/>
        <w:left w:val="none" w:sz="0" w:space="0" w:color="auto"/>
        <w:bottom w:val="none" w:sz="0" w:space="0" w:color="auto"/>
        <w:right w:val="none" w:sz="0" w:space="0" w:color="auto"/>
      </w:divBdr>
    </w:div>
    <w:div w:id="1789471393">
      <w:bodyDiv w:val="1"/>
      <w:marLeft w:val="0"/>
      <w:marRight w:val="0"/>
      <w:marTop w:val="0"/>
      <w:marBottom w:val="0"/>
      <w:divBdr>
        <w:top w:val="none" w:sz="0" w:space="0" w:color="auto"/>
        <w:left w:val="none" w:sz="0" w:space="0" w:color="auto"/>
        <w:bottom w:val="none" w:sz="0" w:space="0" w:color="auto"/>
        <w:right w:val="none" w:sz="0" w:space="0" w:color="auto"/>
      </w:divBdr>
    </w:div>
    <w:div w:id="1789471974">
      <w:bodyDiv w:val="1"/>
      <w:marLeft w:val="0"/>
      <w:marRight w:val="0"/>
      <w:marTop w:val="0"/>
      <w:marBottom w:val="0"/>
      <w:divBdr>
        <w:top w:val="none" w:sz="0" w:space="0" w:color="auto"/>
        <w:left w:val="none" w:sz="0" w:space="0" w:color="auto"/>
        <w:bottom w:val="none" w:sz="0" w:space="0" w:color="auto"/>
        <w:right w:val="none" w:sz="0" w:space="0" w:color="auto"/>
      </w:divBdr>
    </w:div>
    <w:div w:id="1789739428">
      <w:bodyDiv w:val="1"/>
      <w:marLeft w:val="0"/>
      <w:marRight w:val="0"/>
      <w:marTop w:val="0"/>
      <w:marBottom w:val="0"/>
      <w:divBdr>
        <w:top w:val="none" w:sz="0" w:space="0" w:color="auto"/>
        <w:left w:val="none" w:sz="0" w:space="0" w:color="auto"/>
        <w:bottom w:val="none" w:sz="0" w:space="0" w:color="auto"/>
        <w:right w:val="none" w:sz="0" w:space="0" w:color="auto"/>
      </w:divBdr>
    </w:div>
    <w:div w:id="1790247571">
      <w:bodyDiv w:val="1"/>
      <w:marLeft w:val="0"/>
      <w:marRight w:val="0"/>
      <w:marTop w:val="0"/>
      <w:marBottom w:val="0"/>
      <w:divBdr>
        <w:top w:val="none" w:sz="0" w:space="0" w:color="auto"/>
        <w:left w:val="none" w:sz="0" w:space="0" w:color="auto"/>
        <w:bottom w:val="none" w:sz="0" w:space="0" w:color="auto"/>
        <w:right w:val="none" w:sz="0" w:space="0" w:color="auto"/>
      </w:divBdr>
    </w:div>
    <w:div w:id="1790540600">
      <w:bodyDiv w:val="1"/>
      <w:marLeft w:val="0"/>
      <w:marRight w:val="0"/>
      <w:marTop w:val="0"/>
      <w:marBottom w:val="0"/>
      <w:divBdr>
        <w:top w:val="none" w:sz="0" w:space="0" w:color="auto"/>
        <w:left w:val="none" w:sz="0" w:space="0" w:color="auto"/>
        <w:bottom w:val="none" w:sz="0" w:space="0" w:color="auto"/>
        <w:right w:val="none" w:sz="0" w:space="0" w:color="auto"/>
      </w:divBdr>
    </w:div>
    <w:div w:id="1790585038">
      <w:bodyDiv w:val="1"/>
      <w:marLeft w:val="0"/>
      <w:marRight w:val="0"/>
      <w:marTop w:val="0"/>
      <w:marBottom w:val="0"/>
      <w:divBdr>
        <w:top w:val="none" w:sz="0" w:space="0" w:color="auto"/>
        <w:left w:val="none" w:sz="0" w:space="0" w:color="auto"/>
        <w:bottom w:val="none" w:sz="0" w:space="0" w:color="auto"/>
        <w:right w:val="none" w:sz="0" w:space="0" w:color="auto"/>
      </w:divBdr>
    </w:div>
    <w:div w:id="1790854133">
      <w:bodyDiv w:val="1"/>
      <w:marLeft w:val="0"/>
      <w:marRight w:val="0"/>
      <w:marTop w:val="0"/>
      <w:marBottom w:val="0"/>
      <w:divBdr>
        <w:top w:val="none" w:sz="0" w:space="0" w:color="auto"/>
        <w:left w:val="none" w:sz="0" w:space="0" w:color="auto"/>
        <w:bottom w:val="none" w:sz="0" w:space="0" w:color="auto"/>
        <w:right w:val="none" w:sz="0" w:space="0" w:color="auto"/>
      </w:divBdr>
    </w:div>
    <w:div w:id="1792243067">
      <w:bodyDiv w:val="1"/>
      <w:marLeft w:val="0"/>
      <w:marRight w:val="0"/>
      <w:marTop w:val="0"/>
      <w:marBottom w:val="0"/>
      <w:divBdr>
        <w:top w:val="none" w:sz="0" w:space="0" w:color="auto"/>
        <w:left w:val="none" w:sz="0" w:space="0" w:color="auto"/>
        <w:bottom w:val="none" w:sz="0" w:space="0" w:color="auto"/>
        <w:right w:val="none" w:sz="0" w:space="0" w:color="auto"/>
      </w:divBdr>
    </w:div>
    <w:div w:id="1792357216">
      <w:bodyDiv w:val="1"/>
      <w:marLeft w:val="0"/>
      <w:marRight w:val="0"/>
      <w:marTop w:val="0"/>
      <w:marBottom w:val="0"/>
      <w:divBdr>
        <w:top w:val="none" w:sz="0" w:space="0" w:color="auto"/>
        <w:left w:val="none" w:sz="0" w:space="0" w:color="auto"/>
        <w:bottom w:val="none" w:sz="0" w:space="0" w:color="auto"/>
        <w:right w:val="none" w:sz="0" w:space="0" w:color="auto"/>
      </w:divBdr>
    </w:div>
    <w:div w:id="1792623263">
      <w:bodyDiv w:val="1"/>
      <w:marLeft w:val="0"/>
      <w:marRight w:val="0"/>
      <w:marTop w:val="0"/>
      <w:marBottom w:val="0"/>
      <w:divBdr>
        <w:top w:val="none" w:sz="0" w:space="0" w:color="auto"/>
        <w:left w:val="none" w:sz="0" w:space="0" w:color="auto"/>
        <w:bottom w:val="none" w:sz="0" w:space="0" w:color="auto"/>
        <w:right w:val="none" w:sz="0" w:space="0" w:color="auto"/>
      </w:divBdr>
    </w:div>
    <w:div w:id="1796175041">
      <w:bodyDiv w:val="1"/>
      <w:marLeft w:val="0"/>
      <w:marRight w:val="0"/>
      <w:marTop w:val="0"/>
      <w:marBottom w:val="0"/>
      <w:divBdr>
        <w:top w:val="none" w:sz="0" w:space="0" w:color="auto"/>
        <w:left w:val="none" w:sz="0" w:space="0" w:color="auto"/>
        <w:bottom w:val="none" w:sz="0" w:space="0" w:color="auto"/>
        <w:right w:val="none" w:sz="0" w:space="0" w:color="auto"/>
      </w:divBdr>
    </w:div>
    <w:div w:id="1796677046">
      <w:bodyDiv w:val="1"/>
      <w:marLeft w:val="0"/>
      <w:marRight w:val="0"/>
      <w:marTop w:val="0"/>
      <w:marBottom w:val="0"/>
      <w:divBdr>
        <w:top w:val="none" w:sz="0" w:space="0" w:color="auto"/>
        <w:left w:val="none" w:sz="0" w:space="0" w:color="auto"/>
        <w:bottom w:val="none" w:sz="0" w:space="0" w:color="auto"/>
        <w:right w:val="none" w:sz="0" w:space="0" w:color="auto"/>
      </w:divBdr>
    </w:div>
    <w:div w:id="1796757672">
      <w:bodyDiv w:val="1"/>
      <w:marLeft w:val="0"/>
      <w:marRight w:val="0"/>
      <w:marTop w:val="0"/>
      <w:marBottom w:val="0"/>
      <w:divBdr>
        <w:top w:val="none" w:sz="0" w:space="0" w:color="auto"/>
        <w:left w:val="none" w:sz="0" w:space="0" w:color="auto"/>
        <w:bottom w:val="none" w:sz="0" w:space="0" w:color="auto"/>
        <w:right w:val="none" w:sz="0" w:space="0" w:color="auto"/>
      </w:divBdr>
    </w:div>
    <w:div w:id="1797331679">
      <w:bodyDiv w:val="1"/>
      <w:marLeft w:val="0"/>
      <w:marRight w:val="0"/>
      <w:marTop w:val="0"/>
      <w:marBottom w:val="0"/>
      <w:divBdr>
        <w:top w:val="none" w:sz="0" w:space="0" w:color="auto"/>
        <w:left w:val="none" w:sz="0" w:space="0" w:color="auto"/>
        <w:bottom w:val="none" w:sz="0" w:space="0" w:color="auto"/>
        <w:right w:val="none" w:sz="0" w:space="0" w:color="auto"/>
      </w:divBdr>
    </w:div>
    <w:div w:id="1797604760">
      <w:bodyDiv w:val="1"/>
      <w:marLeft w:val="0"/>
      <w:marRight w:val="0"/>
      <w:marTop w:val="0"/>
      <w:marBottom w:val="0"/>
      <w:divBdr>
        <w:top w:val="none" w:sz="0" w:space="0" w:color="auto"/>
        <w:left w:val="none" w:sz="0" w:space="0" w:color="auto"/>
        <w:bottom w:val="none" w:sz="0" w:space="0" w:color="auto"/>
        <w:right w:val="none" w:sz="0" w:space="0" w:color="auto"/>
      </w:divBdr>
    </w:div>
    <w:div w:id="1797874137">
      <w:bodyDiv w:val="1"/>
      <w:marLeft w:val="0"/>
      <w:marRight w:val="0"/>
      <w:marTop w:val="0"/>
      <w:marBottom w:val="0"/>
      <w:divBdr>
        <w:top w:val="none" w:sz="0" w:space="0" w:color="auto"/>
        <w:left w:val="none" w:sz="0" w:space="0" w:color="auto"/>
        <w:bottom w:val="none" w:sz="0" w:space="0" w:color="auto"/>
        <w:right w:val="none" w:sz="0" w:space="0" w:color="auto"/>
      </w:divBdr>
    </w:div>
    <w:div w:id="1798138635">
      <w:bodyDiv w:val="1"/>
      <w:marLeft w:val="0"/>
      <w:marRight w:val="0"/>
      <w:marTop w:val="0"/>
      <w:marBottom w:val="0"/>
      <w:divBdr>
        <w:top w:val="none" w:sz="0" w:space="0" w:color="auto"/>
        <w:left w:val="none" w:sz="0" w:space="0" w:color="auto"/>
        <w:bottom w:val="none" w:sz="0" w:space="0" w:color="auto"/>
        <w:right w:val="none" w:sz="0" w:space="0" w:color="auto"/>
      </w:divBdr>
    </w:div>
    <w:div w:id="1800218471">
      <w:bodyDiv w:val="1"/>
      <w:marLeft w:val="0"/>
      <w:marRight w:val="0"/>
      <w:marTop w:val="0"/>
      <w:marBottom w:val="0"/>
      <w:divBdr>
        <w:top w:val="none" w:sz="0" w:space="0" w:color="auto"/>
        <w:left w:val="none" w:sz="0" w:space="0" w:color="auto"/>
        <w:bottom w:val="none" w:sz="0" w:space="0" w:color="auto"/>
        <w:right w:val="none" w:sz="0" w:space="0" w:color="auto"/>
      </w:divBdr>
    </w:div>
    <w:div w:id="1800564277">
      <w:bodyDiv w:val="1"/>
      <w:marLeft w:val="0"/>
      <w:marRight w:val="0"/>
      <w:marTop w:val="0"/>
      <w:marBottom w:val="0"/>
      <w:divBdr>
        <w:top w:val="none" w:sz="0" w:space="0" w:color="auto"/>
        <w:left w:val="none" w:sz="0" w:space="0" w:color="auto"/>
        <w:bottom w:val="none" w:sz="0" w:space="0" w:color="auto"/>
        <w:right w:val="none" w:sz="0" w:space="0" w:color="auto"/>
      </w:divBdr>
    </w:div>
    <w:div w:id="1802532800">
      <w:bodyDiv w:val="1"/>
      <w:marLeft w:val="0"/>
      <w:marRight w:val="0"/>
      <w:marTop w:val="0"/>
      <w:marBottom w:val="0"/>
      <w:divBdr>
        <w:top w:val="none" w:sz="0" w:space="0" w:color="auto"/>
        <w:left w:val="none" w:sz="0" w:space="0" w:color="auto"/>
        <w:bottom w:val="none" w:sz="0" w:space="0" w:color="auto"/>
        <w:right w:val="none" w:sz="0" w:space="0" w:color="auto"/>
      </w:divBdr>
    </w:div>
    <w:div w:id="1803188605">
      <w:bodyDiv w:val="1"/>
      <w:marLeft w:val="0"/>
      <w:marRight w:val="0"/>
      <w:marTop w:val="0"/>
      <w:marBottom w:val="0"/>
      <w:divBdr>
        <w:top w:val="none" w:sz="0" w:space="0" w:color="auto"/>
        <w:left w:val="none" w:sz="0" w:space="0" w:color="auto"/>
        <w:bottom w:val="none" w:sz="0" w:space="0" w:color="auto"/>
        <w:right w:val="none" w:sz="0" w:space="0" w:color="auto"/>
      </w:divBdr>
    </w:div>
    <w:div w:id="1803691391">
      <w:bodyDiv w:val="1"/>
      <w:marLeft w:val="0"/>
      <w:marRight w:val="0"/>
      <w:marTop w:val="0"/>
      <w:marBottom w:val="0"/>
      <w:divBdr>
        <w:top w:val="none" w:sz="0" w:space="0" w:color="auto"/>
        <w:left w:val="none" w:sz="0" w:space="0" w:color="auto"/>
        <w:bottom w:val="none" w:sz="0" w:space="0" w:color="auto"/>
        <w:right w:val="none" w:sz="0" w:space="0" w:color="auto"/>
      </w:divBdr>
    </w:div>
    <w:div w:id="1805658994">
      <w:bodyDiv w:val="1"/>
      <w:marLeft w:val="0"/>
      <w:marRight w:val="0"/>
      <w:marTop w:val="0"/>
      <w:marBottom w:val="0"/>
      <w:divBdr>
        <w:top w:val="none" w:sz="0" w:space="0" w:color="auto"/>
        <w:left w:val="none" w:sz="0" w:space="0" w:color="auto"/>
        <w:bottom w:val="none" w:sz="0" w:space="0" w:color="auto"/>
        <w:right w:val="none" w:sz="0" w:space="0" w:color="auto"/>
      </w:divBdr>
    </w:div>
    <w:div w:id="1805931140">
      <w:bodyDiv w:val="1"/>
      <w:marLeft w:val="0"/>
      <w:marRight w:val="0"/>
      <w:marTop w:val="0"/>
      <w:marBottom w:val="0"/>
      <w:divBdr>
        <w:top w:val="none" w:sz="0" w:space="0" w:color="auto"/>
        <w:left w:val="none" w:sz="0" w:space="0" w:color="auto"/>
        <w:bottom w:val="none" w:sz="0" w:space="0" w:color="auto"/>
        <w:right w:val="none" w:sz="0" w:space="0" w:color="auto"/>
      </w:divBdr>
    </w:div>
    <w:div w:id="1806310876">
      <w:bodyDiv w:val="1"/>
      <w:marLeft w:val="0"/>
      <w:marRight w:val="0"/>
      <w:marTop w:val="0"/>
      <w:marBottom w:val="0"/>
      <w:divBdr>
        <w:top w:val="none" w:sz="0" w:space="0" w:color="auto"/>
        <w:left w:val="none" w:sz="0" w:space="0" w:color="auto"/>
        <w:bottom w:val="none" w:sz="0" w:space="0" w:color="auto"/>
        <w:right w:val="none" w:sz="0" w:space="0" w:color="auto"/>
      </w:divBdr>
    </w:div>
    <w:div w:id="1806922328">
      <w:bodyDiv w:val="1"/>
      <w:marLeft w:val="0"/>
      <w:marRight w:val="0"/>
      <w:marTop w:val="0"/>
      <w:marBottom w:val="0"/>
      <w:divBdr>
        <w:top w:val="none" w:sz="0" w:space="0" w:color="auto"/>
        <w:left w:val="none" w:sz="0" w:space="0" w:color="auto"/>
        <w:bottom w:val="none" w:sz="0" w:space="0" w:color="auto"/>
        <w:right w:val="none" w:sz="0" w:space="0" w:color="auto"/>
      </w:divBdr>
    </w:div>
    <w:div w:id="1807695577">
      <w:bodyDiv w:val="1"/>
      <w:marLeft w:val="0"/>
      <w:marRight w:val="0"/>
      <w:marTop w:val="0"/>
      <w:marBottom w:val="0"/>
      <w:divBdr>
        <w:top w:val="none" w:sz="0" w:space="0" w:color="auto"/>
        <w:left w:val="none" w:sz="0" w:space="0" w:color="auto"/>
        <w:bottom w:val="none" w:sz="0" w:space="0" w:color="auto"/>
        <w:right w:val="none" w:sz="0" w:space="0" w:color="auto"/>
      </w:divBdr>
    </w:div>
    <w:div w:id="1808427844">
      <w:bodyDiv w:val="1"/>
      <w:marLeft w:val="0"/>
      <w:marRight w:val="0"/>
      <w:marTop w:val="0"/>
      <w:marBottom w:val="0"/>
      <w:divBdr>
        <w:top w:val="none" w:sz="0" w:space="0" w:color="auto"/>
        <w:left w:val="none" w:sz="0" w:space="0" w:color="auto"/>
        <w:bottom w:val="none" w:sz="0" w:space="0" w:color="auto"/>
        <w:right w:val="none" w:sz="0" w:space="0" w:color="auto"/>
      </w:divBdr>
    </w:div>
    <w:div w:id="1808473508">
      <w:bodyDiv w:val="1"/>
      <w:marLeft w:val="0"/>
      <w:marRight w:val="0"/>
      <w:marTop w:val="0"/>
      <w:marBottom w:val="0"/>
      <w:divBdr>
        <w:top w:val="none" w:sz="0" w:space="0" w:color="auto"/>
        <w:left w:val="none" w:sz="0" w:space="0" w:color="auto"/>
        <w:bottom w:val="none" w:sz="0" w:space="0" w:color="auto"/>
        <w:right w:val="none" w:sz="0" w:space="0" w:color="auto"/>
      </w:divBdr>
    </w:div>
    <w:div w:id="1808627721">
      <w:bodyDiv w:val="1"/>
      <w:marLeft w:val="0"/>
      <w:marRight w:val="0"/>
      <w:marTop w:val="0"/>
      <w:marBottom w:val="0"/>
      <w:divBdr>
        <w:top w:val="none" w:sz="0" w:space="0" w:color="auto"/>
        <w:left w:val="none" w:sz="0" w:space="0" w:color="auto"/>
        <w:bottom w:val="none" w:sz="0" w:space="0" w:color="auto"/>
        <w:right w:val="none" w:sz="0" w:space="0" w:color="auto"/>
      </w:divBdr>
    </w:div>
    <w:div w:id="1809976984">
      <w:bodyDiv w:val="1"/>
      <w:marLeft w:val="0"/>
      <w:marRight w:val="0"/>
      <w:marTop w:val="0"/>
      <w:marBottom w:val="0"/>
      <w:divBdr>
        <w:top w:val="none" w:sz="0" w:space="0" w:color="auto"/>
        <w:left w:val="none" w:sz="0" w:space="0" w:color="auto"/>
        <w:bottom w:val="none" w:sz="0" w:space="0" w:color="auto"/>
        <w:right w:val="none" w:sz="0" w:space="0" w:color="auto"/>
      </w:divBdr>
    </w:div>
    <w:div w:id="1810591945">
      <w:bodyDiv w:val="1"/>
      <w:marLeft w:val="0"/>
      <w:marRight w:val="0"/>
      <w:marTop w:val="0"/>
      <w:marBottom w:val="0"/>
      <w:divBdr>
        <w:top w:val="none" w:sz="0" w:space="0" w:color="auto"/>
        <w:left w:val="none" w:sz="0" w:space="0" w:color="auto"/>
        <w:bottom w:val="none" w:sz="0" w:space="0" w:color="auto"/>
        <w:right w:val="none" w:sz="0" w:space="0" w:color="auto"/>
      </w:divBdr>
    </w:div>
    <w:div w:id="1811482250">
      <w:bodyDiv w:val="1"/>
      <w:marLeft w:val="0"/>
      <w:marRight w:val="0"/>
      <w:marTop w:val="0"/>
      <w:marBottom w:val="0"/>
      <w:divBdr>
        <w:top w:val="none" w:sz="0" w:space="0" w:color="auto"/>
        <w:left w:val="none" w:sz="0" w:space="0" w:color="auto"/>
        <w:bottom w:val="none" w:sz="0" w:space="0" w:color="auto"/>
        <w:right w:val="none" w:sz="0" w:space="0" w:color="auto"/>
      </w:divBdr>
    </w:div>
    <w:div w:id="1811511894">
      <w:bodyDiv w:val="1"/>
      <w:marLeft w:val="0"/>
      <w:marRight w:val="0"/>
      <w:marTop w:val="0"/>
      <w:marBottom w:val="0"/>
      <w:divBdr>
        <w:top w:val="none" w:sz="0" w:space="0" w:color="auto"/>
        <w:left w:val="none" w:sz="0" w:space="0" w:color="auto"/>
        <w:bottom w:val="none" w:sz="0" w:space="0" w:color="auto"/>
        <w:right w:val="none" w:sz="0" w:space="0" w:color="auto"/>
      </w:divBdr>
    </w:div>
    <w:div w:id="1812020639">
      <w:bodyDiv w:val="1"/>
      <w:marLeft w:val="0"/>
      <w:marRight w:val="0"/>
      <w:marTop w:val="0"/>
      <w:marBottom w:val="0"/>
      <w:divBdr>
        <w:top w:val="none" w:sz="0" w:space="0" w:color="auto"/>
        <w:left w:val="none" w:sz="0" w:space="0" w:color="auto"/>
        <w:bottom w:val="none" w:sz="0" w:space="0" w:color="auto"/>
        <w:right w:val="none" w:sz="0" w:space="0" w:color="auto"/>
      </w:divBdr>
    </w:div>
    <w:div w:id="1813058121">
      <w:bodyDiv w:val="1"/>
      <w:marLeft w:val="0"/>
      <w:marRight w:val="0"/>
      <w:marTop w:val="0"/>
      <w:marBottom w:val="0"/>
      <w:divBdr>
        <w:top w:val="none" w:sz="0" w:space="0" w:color="auto"/>
        <w:left w:val="none" w:sz="0" w:space="0" w:color="auto"/>
        <w:bottom w:val="none" w:sz="0" w:space="0" w:color="auto"/>
        <w:right w:val="none" w:sz="0" w:space="0" w:color="auto"/>
      </w:divBdr>
    </w:div>
    <w:div w:id="1813328696">
      <w:bodyDiv w:val="1"/>
      <w:marLeft w:val="0"/>
      <w:marRight w:val="0"/>
      <w:marTop w:val="0"/>
      <w:marBottom w:val="0"/>
      <w:divBdr>
        <w:top w:val="none" w:sz="0" w:space="0" w:color="auto"/>
        <w:left w:val="none" w:sz="0" w:space="0" w:color="auto"/>
        <w:bottom w:val="none" w:sz="0" w:space="0" w:color="auto"/>
        <w:right w:val="none" w:sz="0" w:space="0" w:color="auto"/>
      </w:divBdr>
    </w:div>
    <w:div w:id="1813937894">
      <w:bodyDiv w:val="1"/>
      <w:marLeft w:val="0"/>
      <w:marRight w:val="0"/>
      <w:marTop w:val="0"/>
      <w:marBottom w:val="0"/>
      <w:divBdr>
        <w:top w:val="none" w:sz="0" w:space="0" w:color="auto"/>
        <w:left w:val="none" w:sz="0" w:space="0" w:color="auto"/>
        <w:bottom w:val="none" w:sz="0" w:space="0" w:color="auto"/>
        <w:right w:val="none" w:sz="0" w:space="0" w:color="auto"/>
      </w:divBdr>
    </w:div>
    <w:div w:id="1814256286">
      <w:bodyDiv w:val="1"/>
      <w:marLeft w:val="0"/>
      <w:marRight w:val="0"/>
      <w:marTop w:val="0"/>
      <w:marBottom w:val="0"/>
      <w:divBdr>
        <w:top w:val="none" w:sz="0" w:space="0" w:color="auto"/>
        <w:left w:val="none" w:sz="0" w:space="0" w:color="auto"/>
        <w:bottom w:val="none" w:sz="0" w:space="0" w:color="auto"/>
        <w:right w:val="none" w:sz="0" w:space="0" w:color="auto"/>
      </w:divBdr>
    </w:div>
    <w:div w:id="1814831457">
      <w:bodyDiv w:val="1"/>
      <w:marLeft w:val="0"/>
      <w:marRight w:val="0"/>
      <w:marTop w:val="0"/>
      <w:marBottom w:val="0"/>
      <w:divBdr>
        <w:top w:val="none" w:sz="0" w:space="0" w:color="auto"/>
        <w:left w:val="none" w:sz="0" w:space="0" w:color="auto"/>
        <w:bottom w:val="none" w:sz="0" w:space="0" w:color="auto"/>
        <w:right w:val="none" w:sz="0" w:space="0" w:color="auto"/>
      </w:divBdr>
    </w:div>
    <w:div w:id="1815096861">
      <w:bodyDiv w:val="1"/>
      <w:marLeft w:val="0"/>
      <w:marRight w:val="0"/>
      <w:marTop w:val="0"/>
      <w:marBottom w:val="0"/>
      <w:divBdr>
        <w:top w:val="none" w:sz="0" w:space="0" w:color="auto"/>
        <w:left w:val="none" w:sz="0" w:space="0" w:color="auto"/>
        <w:bottom w:val="none" w:sz="0" w:space="0" w:color="auto"/>
        <w:right w:val="none" w:sz="0" w:space="0" w:color="auto"/>
      </w:divBdr>
    </w:div>
    <w:div w:id="1815876013">
      <w:bodyDiv w:val="1"/>
      <w:marLeft w:val="0"/>
      <w:marRight w:val="0"/>
      <w:marTop w:val="0"/>
      <w:marBottom w:val="0"/>
      <w:divBdr>
        <w:top w:val="none" w:sz="0" w:space="0" w:color="auto"/>
        <w:left w:val="none" w:sz="0" w:space="0" w:color="auto"/>
        <w:bottom w:val="none" w:sz="0" w:space="0" w:color="auto"/>
        <w:right w:val="none" w:sz="0" w:space="0" w:color="auto"/>
      </w:divBdr>
    </w:div>
    <w:div w:id="1816557871">
      <w:bodyDiv w:val="1"/>
      <w:marLeft w:val="0"/>
      <w:marRight w:val="0"/>
      <w:marTop w:val="0"/>
      <w:marBottom w:val="0"/>
      <w:divBdr>
        <w:top w:val="none" w:sz="0" w:space="0" w:color="auto"/>
        <w:left w:val="none" w:sz="0" w:space="0" w:color="auto"/>
        <w:bottom w:val="none" w:sz="0" w:space="0" w:color="auto"/>
        <w:right w:val="none" w:sz="0" w:space="0" w:color="auto"/>
      </w:divBdr>
    </w:div>
    <w:div w:id="1817525805">
      <w:bodyDiv w:val="1"/>
      <w:marLeft w:val="0"/>
      <w:marRight w:val="0"/>
      <w:marTop w:val="0"/>
      <w:marBottom w:val="0"/>
      <w:divBdr>
        <w:top w:val="none" w:sz="0" w:space="0" w:color="auto"/>
        <w:left w:val="none" w:sz="0" w:space="0" w:color="auto"/>
        <w:bottom w:val="none" w:sz="0" w:space="0" w:color="auto"/>
        <w:right w:val="none" w:sz="0" w:space="0" w:color="auto"/>
      </w:divBdr>
    </w:div>
    <w:div w:id="1817718965">
      <w:bodyDiv w:val="1"/>
      <w:marLeft w:val="0"/>
      <w:marRight w:val="0"/>
      <w:marTop w:val="0"/>
      <w:marBottom w:val="0"/>
      <w:divBdr>
        <w:top w:val="none" w:sz="0" w:space="0" w:color="auto"/>
        <w:left w:val="none" w:sz="0" w:space="0" w:color="auto"/>
        <w:bottom w:val="none" w:sz="0" w:space="0" w:color="auto"/>
        <w:right w:val="none" w:sz="0" w:space="0" w:color="auto"/>
      </w:divBdr>
    </w:div>
    <w:div w:id="1818105804">
      <w:bodyDiv w:val="1"/>
      <w:marLeft w:val="0"/>
      <w:marRight w:val="0"/>
      <w:marTop w:val="0"/>
      <w:marBottom w:val="0"/>
      <w:divBdr>
        <w:top w:val="none" w:sz="0" w:space="0" w:color="auto"/>
        <w:left w:val="none" w:sz="0" w:space="0" w:color="auto"/>
        <w:bottom w:val="none" w:sz="0" w:space="0" w:color="auto"/>
        <w:right w:val="none" w:sz="0" w:space="0" w:color="auto"/>
      </w:divBdr>
    </w:div>
    <w:div w:id="1819178355">
      <w:bodyDiv w:val="1"/>
      <w:marLeft w:val="0"/>
      <w:marRight w:val="0"/>
      <w:marTop w:val="0"/>
      <w:marBottom w:val="0"/>
      <w:divBdr>
        <w:top w:val="none" w:sz="0" w:space="0" w:color="auto"/>
        <w:left w:val="none" w:sz="0" w:space="0" w:color="auto"/>
        <w:bottom w:val="none" w:sz="0" w:space="0" w:color="auto"/>
        <w:right w:val="none" w:sz="0" w:space="0" w:color="auto"/>
      </w:divBdr>
    </w:div>
    <w:div w:id="1819228990">
      <w:bodyDiv w:val="1"/>
      <w:marLeft w:val="0"/>
      <w:marRight w:val="0"/>
      <w:marTop w:val="0"/>
      <w:marBottom w:val="0"/>
      <w:divBdr>
        <w:top w:val="none" w:sz="0" w:space="0" w:color="auto"/>
        <w:left w:val="none" w:sz="0" w:space="0" w:color="auto"/>
        <w:bottom w:val="none" w:sz="0" w:space="0" w:color="auto"/>
        <w:right w:val="none" w:sz="0" w:space="0" w:color="auto"/>
      </w:divBdr>
    </w:div>
    <w:div w:id="1820420661">
      <w:bodyDiv w:val="1"/>
      <w:marLeft w:val="0"/>
      <w:marRight w:val="0"/>
      <w:marTop w:val="0"/>
      <w:marBottom w:val="0"/>
      <w:divBdr>
        <w:top w:val="none" w:sz="0" w:space="0" w:color="auto"/>
        <w:left w:val="none" w:sz="0" w:space="0" w:color="auto"/>
        <w:bottom w:val="none" w:sz="0" w:space="0" w:color="auto"/>
        <w:right w:val="none" w:sz="0" w:space="0" w:color="auto"/>
      </w:divBdr>
    </w:div>
    <w:div w:id="1820461912">
      <w:bodyDiv w:val="1"/>
      <w:marLeft w:val="0"/>
      <w:marRight w:val="0"/>
      <w:marTop w:val="0"/>
      <w:marBottom w:val="0"/>
      <w:divBdr>
        <w:top w:val="none" w:sz="0" w:space="0" w:color="auto"/>
        <w:left w:val="none" w:sz="0" w:space="0" w:color="auto"/>
        <w:bottom w:val="none" w:sz="0" w:space="0" w:color="auto"/>
        <w:right w:val="none" w:sz="0" w:space="0" w:color="auto"/>
      </w:divBdr>
    </w:div>
    <w:div w:id="1821263509">
      <w:bodyDiv w:val="1"/>
      <w:marLeft w:val="0"/>
      <w:marRight w:val="0"/>
      <w:marTop w:val="0"/>
      <w:marBottom w:val="0"/>
      <w:divBdr>
        <w:top w:val="none" w:sz="0" w:space="0" w:color="auto"/>
        <w:left w:val="none" w:sz="0" w:space="0" w:color="auto"/>
        <w:bottom w:val="none" w:sz="0" w:space="0" w:color="auto"/>
        <w:right w:val="none" w:sz="0" w:space="0" w:color="auto"/>
      </w:divBdr>
    </w:div>
    <w:div w:id="1821386231">
      <w:bodyDiv w:val="1"/>
      <w:marLeft w:val="0"/>
      <w:marRight w:val="0"/>
      <w:marTop w:val="0"/>
      <w:marBottom w:val="0"/>
      <w:divBdr>
        <w:top w:val="none" w:sz="0" w:space="0" w:color="auto"/>
        <w:left w:val="none" w:sz="0" w:space="0" w:color="auto"/>
        <w:bottom w:val="none" w:sz="0" w:space="0" w:color="auto"/>
        <w:right w:val="none" w:sz="0" w:space="0" w:color="auto"/>
      </w:divBdr>
    </w:div>
    <w:div w:id="1821800283">
      <w:bodyDiv w:val="1"/>
      <w:marLeft w:val="0"/>
      <w:marRight w:val="0"/>
      <w:marTop w:val="0"/>
      <w:marBottom w:val="0"/>
      <w:divBdr>
        <w:top w:val="none" w:sz="0" w:space="0" w:color="auto"/>
        <w:left w:val="none" w:sz="0" w:space="0" w:color="auto"/>
        <w:bottom w:val="none" w:sz="0" w:space="0" w:color="auto"/>
        <w:right w:val="none" w:sz="0" w:space="0" w:color="auto"/>
      </w:divBdr>
    </w:div>
    <w:div w:id="1823231365">
      <w:bodyDiv w:val="1"/>
      <w:marLeft w:val="0"/>
      <w:marRight w:val="0"/>
      <w:marTop w:val="0"/>
      <w:marBottom w:val="0"/>
      <w:divBdr>
        <w:top w:val="none" w:sz="0" w:space="0" w:color="auto"/>
        <w:left w:val="none" w:sz="0" w:space="0" w:color="auto"/>
        <w:bottom w:val="none" w:sz="0" w:space="0" w:color="auto"/>
        <w:right w:val="none" w:sz="0" w:space="0" w:color="auto"/>
      </w:divBdr>
    </w:div>
    <w:div w:id="1825657982">
      <w:bodyDiv w:val="1"/>
      <w:marLeft w:val="0"/>
      <w:marRight w:val="0"/>
      <w:marTop w:val="0"/>
      <w:marBottom w:val="0"/>
      <w:divBdr>
        <w:top w:val="none" w:sz="0" w:space="0" w:color="auto"/>
        <w:left w:val="none" w:sz="0" w:space="0" w:color="auto"/>
        <w:bottom w:val="none" w:sz="0" w:space="0" w:color="auto"/>
        <w:right w:val="none" w:sz="0" w:space="0" w:color="auto"/>
      </w:divBdr>
    </w:div>
    <w:div w:id="1826241857">
      <w:bodyDiv w:val="1"/>
      <w:marLeft w:val="0"/>
      <w:marRight w:val="0"/>
      <w:marTop w:val="0"/>
      <w:marBottom w:val="0"/>
      <w:divBdr>
        <w:top w:val="none" w:sz="0" w:space="0" w:color="auto"/>
        <w:left w:val="none" w:sz="0" w:space="0" w:color="auto"/>
        <w:bottom w:val="none" w:sz="0" w:space="0" w:color="auto"/>
        <w:right w:val="none" w:sz="0" w:space="0" w:color="auto"/>
      </w:divBdr>
    </w:div>
    <w:div w:id="1827428538">
      <w:bodyDiv w:val="1"/>
      <w:marLeft w:val="0"/>
      <w:marRight w:val="0"/>
      <w:marTop w:val="0"/>
      <w:marBottom w:val="0"/>
      <w:divBdr>
        <w:top w:val="none" w:sz="0" w:space="0" w:color="auto"/>
        <w:left w:val="none" w:sz="0" w:space="0" w:color="auto"/>
        <w:bottom w:val="none" w:sz="0" w:space="0" w:color="auto"/>
        <w:right w:val="none" w:sz="0" w:space="0" w:color="auto"/>
      </w:divBdr>
    </w:div>
    <w:div w:id="1828016198">
      <w:bodyDiv w:val="1"/>
      <w:marLeft w:val="0"/>
      <w:marRight w:val="0"/>
      <w:marTop w:val="0"/>
      <w:marBottom w:val="0"/>
      <w:divBdr>
        <w:top w:val="none" w:sz="0" w:space="0" w:color="auto"/>
        <w:left w:val="none" w:sz="0" w:space="0" w:color="auto"/>
        <w:bottom w:val="none" w:sz="0" w:space="0" w:color="auto"/>
        <w:right w:val="none" w:sz="0" w:space="0" w:color="auto"/>
      </w:divBdr>
    </w:div>
    <w:div w:id="1828129307">
      <w:bodyDiv w:val="1"/>
      <w:marLeft w:val="0"/>
      <w:marRight w:val="0"/>
      <w:marTop w:val="0"/>
      <w:marBottom w:val="0"/>
      <w:divBdr>
        <w:top w:val="none" w:sz="0" w:space="0" w:color="auto"/>
        <w:left w:val="none" w:sz="0" w:space="0" w:color="auto"/>
        <w:bottom w:val="none" w:sz="0" w:space="0" w:color="auto"/>
        <w:right w:val="none" w:sz="0" w:space="0" w:color="auto"/>
      </w:divBdr>
    </w:div>
    <w:div w:id="1828205102">
      <w:bodyDiv w:val="1"/>
      <w:marLeft w:val="0"/>
      <w:marRight w:val="0"/>
      <w:marTop w:val="0"/>
      <w:marBottom w:val="0"/>
      <w:divBdr>
        <w:top w:val="none" w:sz="0" w:space="0" w:color="auto"/>
        <w:left w:val="none" w:sz="0" w:space="0" w:color="auto"/>
        <w:bottom w:val="none" w:sz="0" w:space="0" w:color="auto"/>
        <w:right w:val="none" w:sz="0" w:space="0" w:color="auto"/>
      </w:divBdr>
    </w:div>
    <w:div w:id="1830712129">
      <w:bodyDiv w:val="1"/>
      <w:marLeft w:val="0"/>
      <w:marRight w:val="0"/>
      <w:marTop w:val="0"/>
      <w:marBottom w:val="0"/>
      <w:divBdr>
        <w:top w:val="none" w:sz="0" w:space="0" w:color="auto"/>
        <w:left w:val="none" w:sz="0" w:space="0" w:color="auto"/>
        <w:bottom w:val="none" w:sz="0" w:space="0" w:color="auto"/>
        <w:right w:val="none" w:sz="0" w:space="0" w:color="auto"/>
      </w:divBdr>
    </w:div>
    <w:div w:id="1830904699">
      <w:bodyDiv w:val="1"/>
      <w:marLeft w:val="0"/>
      <w:marRight w:val="0"/>
      <w:marTop w:val="0"/>
      <w:marBottom w:val="0"/>
      <w:divBdr>
        <w:top w:val="none" w:sz="0" w:space="0" w:color="auto"/>
        <w:left w:val="none" w:sz="0" w:space="0" w:color="auto"/>
        <w:bottom w:val="none" w:sz="0" w:space="0" w:color="auto"/>
        <w:right w:val="none" w:sz="0" w:space="0" w:color="auto"/>
      </w:divBdr>
    </w:div>
    <w:div w:id="1831210185">
      <w:bodyDiv w:val="1"/>
      <w:marLeft w:val="0"/>
      <w:marRight w:val="0"/>
      <w:marTop w:val="0"/>
      <w:marBottom w:val="0"/>
      <w:divBdr>
        <w:top w:val="none" w:sz="0" w:space="0" w:color="auto"/>
        <w:left w:val="none" w:sz="0" w:space="0" w:color="auto"/>
        <w:bottom w:val="none" w:sz="0" w:space="0" w:color="auto"/>
        <w:right w:val="none" w:sz="0" w:space="0" w:color="auto"/>
      </w:divBdr>
    </w:div>
    <w:div w:id="1832064782">
      <w:bodyDiv w:val="1"/>
      <w:marLeft w:val="0"/>
      <w:marRight w:val="0"/>
      <w:marTop w:val="0"/>
      <w:marBottom w:val="0"/>
      <w:divBdr>
        <w:top w:val="none" w:sz="0" w:space="0" w:color="auto"/>
        <w:left w:val="none" w:sz="0" w:space="0" w:color="auto"/>
        <w:bottom w:val="none" w:sz="0" w:space="0" w:color="auto"/>
        <w:right w:val="none" w:sz="0" w:space="0" w:color="auto"/>
      </w:divBdr>
    </w:div>
    <w:div w:id="1832212590">
      <w:bodyDiv w:val="1"/>
      <w:marLeft w:val="0"/>
      <w:marRight w:val="0"/>
      <w:marTop w:val="0"/>
      <w:marBottom w:val="0"/>
      <w:divBdr>
        <w:top w:val="none" w:sz="0" w:space="0" w:color="auto"/>
        <w:left w:val="none" w:sz="0" w:space="0" w:color="auto"/>
        <w:bottom w:val="none" w:sz="0" w:space="0" w:color="auto"/>
        <w:right w:val="none" w:sz="0" w:space="0" w:color="auto"/>
      </w:divBdr>
    </w:div>
    <w:div w:id="1832519765">
      <w:bodyDiv w:val="1"/>
      <w:marLeft w:val="0"/>
      <w:marRight w:val="0"/>
      <w:marTop w:val="0"/>
      <w:marBottom w:val="0"/>
      <w:divBdr>
        <w:top w:val="none" w:sz="0" w:space="0" w:color="auto"/>
        <w:left w:val="none" w:sz="0" w:space="0" w:color="auto"/>
        <w:bottom w:val="none" w:sz="0" w:space="0" w:color="auto"/>
        <w:right w:val="none" w:sz="0" w:space="0" w:color="auto"/>
      </w:divBdr>
    </w:div>
    <w:div w:id="1833180642">
      <w:bodyDiv w:val="1"/>
      <w:marLeft w:val="0"/>
      <w:marRight w:val="0"/>
      <w:marTop w:val="0"/>
      <w:marBottom w:val="0"/>
      <w:divBdr>
        <w:top w:val="none" w:sz="0" w:space="0" w:color="auto"/>
        <w:left w:val="none" w:sz="0" w:space="0" w:color="auto"/>
        <w:bottom w:val="none" w:sz="0" w:space="0" w:color="auto"/>
        <w:right w:val="none" w:sz="0" w:space="0" w:color="auto"/>
      </w:divBdr>
    </w:div>
    <w:div w:id="1834030865">
      <w:bodyDiv w:val="1"/>
      <w:marLeft w:val="0"/>
      <w:marRight w:val="0"/>
      <w:marTop w:val="0"/>
      <w:marBottom w:val="0"/>
      <w:divBdr>
        <w:top w:val="none" w:sz="0" w:space="0" w:color="auto"/>
        <w:left w:val="none" w:sz="0" w:space="0" w:color="auto"/>
        <w:bottom w:val="none" w:sz="0" w:space="0" w:color="auto"/>
        <w:right w:val="none" w:sz="0" w:space="0" w:color="auto"/>
      </w:divBdr>
    </w:div>
    <w:div w:id="1834681474">
      <w:bodyDiv w:val="1"/>
      <w:marLeft w:val="0"/>
      <w:marRight w:val="0"/>
      <w:marTop w:val="0"/>
      <w:marBottom w:val="0"/>
      <w:divBdr>
        <w:top w:val="none" w:sz="0" w:space="0" w:color="auto"/>
        <w:left w:val="none" w:sz="0" w:space="0" w:color="auto"/>
        <w:bottom w:val="none" w:sz="0" w:space="0" w:color="auto"/>
        <w:right w:val="none" w:sz="0" w:space="0" w:color="auto"/>
      </w:divBdr>
    </w:div>
    <w:div w:id="1835679528">
      <w:bodyDiv w:val="1"/>
      <w:marLeft w:val="0"/>
      <w:marRight w:val="0"/>
      <w:marTop w:val="0"/>
      <w:marBottom w:val="0"/>
      <w:divBdr>
        <w:top w:val="none" w:sz="0" w:space="0" w:color="auto"/>
        <w:left w:val="none" w:sz="0" w:space="0" w:color="auto"/>
        <w:bottom w:val="none" w:sz="0" w:space="0" w:color="auto"/>
        <w:right w:val="none" w:sz="0" w:space="0" w:color="auto"/>
      </w:divBdr>
    </w:div>
    <w:div w:id="1838497811">
      <w:bodyDiv w:val="1"/>
      <w:marLeft w:val="0"/>
      <w:marRight w:val="0"/>
      <w:marTop w:val="0"/>
      <w:marBottom w:val="0"/>
      <w:divBdr>
        <w:top w:val="none" w:sz="0" w:space="0" w:color="auto"/>
        <w:left w:val="none" w:sz="0" w:space="0" w:color="auto"/>
        <w:bottom w:val="none" w:sz="0" w:space="0" w:color="auto"/>
        <w:right w:val="none" w:sz="0" w:space="0" w:color="auto"/>
      </w:divBdr>
    </w:div>
    <w:div w:id="1839148027">
      <w:bodyDiv w:val="1"/>
      <w:marLeft w:val="0"/>
      <w:marRight w:val="0"/>
      <w:marTop w:val="0"/>
      <w:marBottom w:val="0"/>
      <w:divBdr>
        <w:top w:val="none" w:sz="0" w:space="0" w:color="auto"/>
        <w:left w:val="none" w:sz="0" w:space="0" w:color="auto"/>
        <w:bottom w:val="none" w:sz="0" w:space="0" w:color="auto"/>
        <w:right w:val="none" w:sz="0" w:space="0" w:color="auto"/>
      </w:divBdr>
    </w:div>
    <w:div w:id="1839887145">
      <w:bodyDiv w:val="1"/>
      <w:marLeft w:val="0"/>
      <w:marRight w:val="0"/>
      <w:marTop w:val="0"/>
      <w:marBottom w:val="0"/>
      <w:divBdr>
        <w:top w:val="none" w:sz="0" w:space="0" w:color="auto"/>
        <w:left w:val="none" w:sz="0" w:space="0" w:color="auto"/>
        <w:bottom w:val="none" w:sz="0" w:space="0" w:color="auto"/>
        <w:right w:val="none" w:sz="0" w:space="0" w:color="auto"/>
      </w:divBdr>
    </w:div>
    <w:div w:id="1840000595">
      <w:bodyDiv w:val="1"/>
      <w:marLeft w:val="0"/>
      <w:marRight w:val="0"/>
      <w:marTop w:val="0"/>
      <w:marBottom w:val="0"/>
      <w:divBdr>
        <w:top w:val="none" w:sz="0" w:space="0" w:color="auto"/>
        <w:left w:val="none" w:sz="0" w:space="0" w:color="auto"/>
        <w:bottom w:val="none" w:sz="0" w:space="0" w:color="auto"/>
        <w:right w:val="none" w:sz="0" w:space="0" w:color="auto"/>
      </w:divBdr>
    </w:div>
    <w:div w:id="1840003093">
      <w:bodyDiv w:val="1"/>
      <w:marLeft w:val="0"/>
      <w:marRight w:val="0"/>
      <w:marTop w:val="0"/>
      <w:marBottom w:val="0"/>
      <w:divBdr>
        <w:top w:val="none" w:sz="0" w:space="0" w:color="auto"/>
        <w:left w:val="none" w:sz="0" w:space="0" w:color="auto"/>
        <w:bottom w:val="none" w:sz="0" w:space="0" w:color="auto"/>
        <w:right w:val="none" w:sz="0" w:space="0" w:color="auto"/>
      </w:divBdr>
    </w:div>
    <w:div w:id="1840388419">
      <w:bodyDiv w:val="1"/>
      <w:marLeft w:val="0"/>
      <w:marRight w:val="0"/>
      <w:marTop w:val="0"/>
      <w:marBottom w:val="0"/>
      <w:divBdr>
        <w:top w:val="none" w:sz="0" w:space="0" w:color="auto"/>
        <w:left w:val="none" w:sz="0" w:space="0" w:color="auto"/>
        <w:bottom w:val="none" w:sz="0" w:space="0" w:color="auto"/>
        <w:right w:val="none" w:sz="0" w:space="0" w:color="auto"/>
      </w:divBdr>
    </w:div>
    <w:div w:id="1840926319">
      <w:bodyDiv w:val="1"/>
      <w:marLeft w:val="0"/>
      <w:marRight w:val="0"/>
      <w:marTop w:val="0"/>
      <w:marBottom w:val="0"/>
      <w:divBdr>
        <w:top w:val="none" w:sz="0" w:space="0" w:color="auto"/>
        <w:left w:val="none" w:sz="0" w:space="0" w:color="auto"/>
        <w:bottom w:val="none" w:sz="0" w:space="0" w:color="auto"/>
        <w:right w:val="none" w:sz="0" w:space="0" w:color="auto"/>
      </w:divBdr>
    </w:div>
    <w:div w:id="1840997104">
      <w:bodyDiv w:val="1"/>
      <w:marLeft w:val="0"/>
      <w:marRight w:val="0"/>
      <w:marTop w:val="0"/>
      <w:marBottom w:val="0"/>
      <w:divBdr>
        <w:top w:val="none" w:sz="0" w:space="0" w:color="auto"/>
        <w:left w:val="none" w:sz="0" w:space="0" w:color="auto"/>
        <w:bottom w:val="none" w:sz="0" w:space="0" w:color="auto"/>
        <w:right w:val="none" w:sz="0" w:space="0" w:color="auto"/>
      </w:divBdr>
    </w:div>
    <w:div w:id="1843163155">
      <w:bodyDiv w:val="1"/>
      <w:marLeft w:val="0"/>
      <w:marRight w:val="0"/>
      <w:marTop w:val="0"/>
      <w:marBottom w:val="0"/>
      <w:divBdr>
        <w:top w:val="none" w:sz="0" w:space="0" w:color="auto"/>
        <w:left w:val="none" w:sz="0" w:space="0" w:color="auto"/>
        <w:bottom w:val="none" w:sz="0" w:space="0" w:color="auto"/>
        <w:right w:val="none" w:sz="0" w:space="0" w:color="auto"/>
      </w:divBdr>
    </w:div>
    <w:div w:id="1844078431">
      <w:bodyDiv w:val="1"/>
      <w:marLeft w:val="0"/>
      <w:marRight w:val="0"/>
      <w:marTop w:val="0"/>
      <w:marBottom w:val="0"/>
      <w:divBdr>
        <w:top w:val="none" w:sz="0" w:space="0" w:color="auto"/>
        <w:left w:val="none" w:sz="0" w:space="0" w:color="auto"/>
        <w:bottom w:val="none" w:sz="0" w:space="0" w:color="auto"/>
        <w:right w:val="none" w:sz="0" w:space="0" w:color="auto"/>
      </w:divBdr>
    </w:div>
    <w:div w:id="1844078432">
      <w:bodyDiv w:val="1"/>
      <w:marLeft w:val="0"/>
      <w:marRight w:val="0"/>
      <w:marTop w:val="0"/>
      <w:marBottom w:val="0"/>
      <w:divBdr>
        <w:top w:val="none" w:sz="0" w:space="0" w:color="auto"/>
        <w:left w:val="none" w:sz="0" w:space="0" w:color="auto"/>
        <w:bottom w:val="none" w:sz="0" w:space="0" w:color="auto"/>
        <w:right w:val="none" w:sz="0" w:space="0" w:color="auto"/>
      </w:divBdr>
    </w:div>
    <w:div w:id="1844275453">
      <w:bodyDiv w:val="1"/>
      <w:marLeft w:val="0"/>
      <w:marRight w:val="0"/>
      <w:marTop w:val="0"/>
      <w:marBottom w:val="0"/>
      <w:divBdr>
        <w:top w:val="none" w:sz="0" w:space="0" w:color="auto"/>
        <w:left w:val="none" w:sz="0" w:space="0" w:color="auto"/>
        <w:bottom w:val="none" w:sz="0" w:space="0" w:color="auto"/>
        <w:right w:val="none" w:sz="0" w:space="0" w:color="auto"/>
      </w:divBdr>
    </w:div>
    <w:div w:id="1845901614">
      <w:bodyDiv w:val="1"/>
      <w:marLeft w:val="0"/>
      <w:marRight w:val="0"/>
      <w:marTop w:val="0"/>
      <w:marBottom w:val="0"/>
      <w:divBdr>
        <w:top w:val="none" w:sz="0" w:space="0" w:color="auto"/>
        <w:left w:val="none" w:sz="0" w:space="0" w:color="auto"/>
        <w:bottom w:val="none" w:sz="0" w:space="0" w:color="auto"/>
        <w:right w:val="none" w:sz="0" w:space="0" w:color="auto"/>
      </w:divBdr>
    </w:div>
    <w:div w:id="1845969903">
      <w:bodyDiv w:val="1"/>
      <w:marLeft w:val="0"/>
      <w:marRight w:val="0"/>
      <w:marTop w:val="0"/>
      <w:marBottom w:val="0"/>
      <w:divBdr>
        <w:top w:val="none" w:sz="0" w:space="0" w:color="auto"/>
        <w:left w:val="none" w:sz="0" w:space="0" w:color="auto"/>
        <w:bottom w:val="none" w:sz="0" w:space="0" w:color="auto"/>
        <w:right w:val="none" w:sz="0" w:space="0" w:color="auto"/>
      </w:divBdr>
    </w:div>
    <w:div w:id="1846895706">
      <w:bodyDiv w:val="1"/>
      <w:marLeft w:val="0"/>
      <w:marRight w:val="0"/>
      <w:marTop w:val="0"/>
      <w:marBottom w:val="0"/>
      <w:divBdr>
        <w:top w:val="none" w:sz="0" w:space="0" w:color="auto"/>
        <w:left w:val="none" w:sz="0" w:space="0" w:color="auto"/>
        <w:bottom w:val="none" w:sz="0" w:space="0" w:color="auto"/>
        <w:right w:val="none" w:sz="0" w:space="0" w:color="auto"/>
      </w:divBdr>
    </w:div>
    <w:div w:id="1847284162">
      <w:bodyDiv w:val="1"/>
      <w:marLeft w:val="0"/>
      <w:marRight w:val="0"/>
      <w:marTop w:val="0"/>
      <w:marBottom w:val="0"/>
      <w:divBdr>
        <w:top w:val="none" w:sz="0" w:space="0" w:color="auto"/>
        <w:left w:val="none" w:sz="0" w:space="0" w:color="auto"/>
        <w:bottom w:val="none" w:sz="0" w:space="0" w:color="auto"/>
        <w:right w:val="none" w:sz="0" w:space="0" w:color="auto"/>
      </w:divBdr>
    </w:div>
    <w:div w:id="1847403563">
      <w:bodyDiv w:val="1"/>
      <w:marLeft w:val="0"/>
      <w:marRight w:val="0"/>
      <w:marTop w:val="0"/>
      <w:marBottom w:val="0"/>
      <w:divBdr>
        <w:top w:val="none" w:sz="0" w:space="0" w:color="auto"/>
        <w:left w:val="none" w:sz="0" w:space="0" w:color="auto"/>
        <w:bottom w:val="none" w:sz="0" w:space="0" w:color="auto"/>
        <w:right w:val="none" w:sz="0" w:space="0" w:color="auto"/>
      </w:divBdr>
    </w:div>
    <w:div w:id="1849518215">
      <w:bodyDiv w:val="1"/>
      <w:marLeft w:val="0"/>
      <w:marRight w:val="0"/>
      <w:marTop w:val="0"/>
      <w:marBottom w:val="0"/>
      <w:divBdr>
        <w:top w:val="none" w:sz="0" w:space="0" w:color="auto"/>
        <w:left w:val="none" w:sz="0" w:space="0" w:color="auto"/>
        <w:bottom w:val="none" w:sz="0" w:space="0" w:color="auto"/>
        <w:right w:val="none" w:sz="0" w:space="0" w:color="auto"/>
      </w:divBdr>
    </w:div>
    <w:div w:id="1849756638">
      <w:bodyDiv w:val="1"/>
      <w:marLeft w:val="0"/>
      <w:marRight w:val="0"/>
      <w:marTop w:val="0"/>
      <w:marBottom w:val="0"/>
      <w:divBdr>
        <w:top w:val="none" w:sz="0" w:space="0" w:color="auto"/>
        <w:left w:val="none" w:sz="0" w:space="0" w:color="auto"/>
        <w:bottom w:val="none" w:sz="0" w:space="0" w:color="auto"/>
        <w:right w:val="none" w:sz="0" w:space="0" w:color="auto"/>
      </w:divBdr>
    </w:div>
    <w:div w:id="1850213330">
      <w:bodyDiv w:val="1"/>
      <w:marLeft w:val="0"/>
      <w:marRight w:val="0"/>
      <w:marTop w:val="0"/>
      <w:marBottom w:val="0"/>
      <w:divBdr>
        <w:top w:val="none" w:sz="0" w:space="0" w:color="auto"/>
        <w:left w:val="none" w:sz="0" w:space="0" w:color="auto"/>
        <w:bottom w:val="none" w:sz="0" w:space="0" w:color="auto"/>
        <w:right w:val="none" w:sz="0" w:space="0" w:color="auto"/>
      </w:divBdr>
    </w:div>
    <w:div w:id="1850481405">
      <w:bodyDiv w:val="1"/>
      <w:marLeft w:val="0"/>
      <w:marRight w:val="0"/>
      <w:marTop w:val="0"/>
      <w:marBottom w:val="0"/>
      <w:divBdr>
        <w:top w:val="none" w:sz="0" w:space="0" w:color="auto"/>
        <w:left w:val="none" w:sz="0" w:space="0" w:color="auto"/>
        <w:bottom w:val="none" w:sz="0" w:space="0" w:color="auto"/>
        <w:right w:val="none" w:sz="0" w:space="0" w:color="auto"/>
      </w:divBdr>
    </w:div>
    <w:div w:id="1850870390">
      <w:bodyDiv w:val="1"/>
      <w:marLeft w:val="0"/>
      <w:marRight w:val="0"/>
      <w:marTop w:val="0"/>
      <w:marBottom w:val="0"/>
      <w:divBdr>
        <w:top w:val="none" w:sz="0" w:space="0" w:color="auto"/>
        <w:left w:val="none" w:sz="0" w:space="0" w:color="auto"/>
        <w:bottom w:val="none" w:sz="0" w:space="0" w:color="auto"/>
        <w:right w:val="none" w:sz="0" w:space="0" w:color="auto"/>
      </w:divBdr>
    </w:div>
    <w:div w:id="1851481385">
      <w:bodyDiv w:val="1"/>
      <w:marLeft w:val="0"/>
      <w:marRight w:val="0"/>
      <w:marTop w:val="0"/>
      <w:marBottom w:val="0"/>
      <w:divBdr>
        <w:top w:val="none" w:sz="0" w:space="0" w:color="auto"/>
        <w:left w:val="none" w:sz="0" w:space="0" w:color="auto"/>
        <w:bottom w:val="none" w:sz="0" w:space="0" w:color="auto"/>
        <w:right w:val="none" w:sz="0" w:space="0" w:color="auto"/>
      </w:divBdr>
    </w:div>
    <w:div w:id="1852645060">
      <w:bodyDiv w:val="1"/>
      <w:marLeft w:val="0"/>
      <w:marRight w:val="0"/>
      <w:marTop w:val="0"/>
      <w:marBottom w:val="0"/>
      <w:divBdr>
        <w:top w:val="none" w:sz="0" w:space="0" w:color="auto"/>
        <w:left w:val="none" w:sz="0" w:space="0" w:color="auto"/>
        <w:bottom w:val="none" w:sz="0" w:space="0" w:color="auto"/>
        <w:right w:val="none" w:sz="0" w:space="0" w:color="auto"/>
      </w:divBdr>
    </w:div>
    <w:div w:id="1852990755">
      <w:bodyDiv w:val="1"/>
      <w:marLeft w:val="0"/>
      <w:marRight w:val="0"/>
      <w:marTop w:val="0"/>
      <w:marBottom w:val="0"/>
      <w:divBdr>
        <w:top w:val="none" w:sz="0" w:space="0" w:color="auto"/>
        <w:left w:val="none" w:sz="0" w:space="0" w:color="auto"/>
        <w:bottom w:val="none" w:sz="0" w:space="0" w:color="auto"/>
        <w:right w:val="none" w:sz="0" w:space="0" w:color="auto"/>
      </w:divBdr>
    </w:div>
    <w:div w:id="1853062567">
      <w:bodyDiv w:val="1"/>
      <w:marLeft w:val="0"/>
      <w:marRight w:val="0"/>
      <w:marTop w:val="0"/>
      <w:marBottom w:val="0"/>
      <w:divBdr>
        <w:top w:val="none" w:sz="0" w:space="0" w:color="auto"/>
        <w:left w:val="none" w:sz="0" w:space="0" w:color="auto"/>
        <w:bottom w:val="none" w:sz="0" w:space="0" w:color="auto"/>
        <w:right w:val="none" w:sz="0" w:space="0" w:color="auto"/>
      </w:divBdr>
    </w:div>
    <w:div w:id="1853255704">
      <w:bodyDiv w:val="1"/>
      <w:marLeft w:val="0"/>
      <w:marRight w:val="0"/>
      <w:marTop w:val="0"/>
      <w:marBottom w:val="0"/>
      <w:divBdr>
        <w:top w:val="none" w:sz="0" w:space="0" w:color="auto"/>
        <w:left w:val="none" w:sz="0" w:space="0" w:color="auto"/>
        <w:bottom w:val="none" w:sz="0" w:space="0" w:color="auto"/>
        <w:right w:val="none" w:sz="0" w:space="0" w:color="auto"/>
      </w:divBdr>
    </w:div>
    <w:div w:id="1853644323">
      <w:bodyDiv w:val="1"/>
      <w:marLeft w:val="0"/>
      <w:marRight w:val="0"/>
      <w:marTop w:val="0"/>
      <w:marBottom w:val="0"/>
      <w:divBdr>
        <w:top w:val="none" w:sz="0" w:space="0" w:color="auto"/>
        <w:left w:val="none" w:sz="0" w:space="0" w:color="auto"/>
        <w:bottom w:val="none" w:sz="0" w:space="0" w:color="auto"/>
        <w:right w:val="none" w:sz="0" w:space="0" w:color="auto"/>
      </w:divBdr>
    </w:div>
    <w:div w:id="1853950719">
      <w:bodyDiv w:val="1"/>
      <w:marLeft w:val="0"/>
      <w:marRight w:val="0"/>
      <w:marTop w:val="0"/>
      <w:marBottom w:val="0"/>
      <w:divBdr>
        <w:top w:val="none" w:sz="0" w:space="0" w:color="auto"/>
        <w:left w:val="none" w:sz="0" w:space="0" w:color="auto"/>
        <w:bottom w:val="none" w:sz="0" w:space="0" w:color="auto"/>
        <w:right w:val="none" w:sz="0" w:space="0" w:color="auto"/>
      </w:divBdr>
    </w:div>
    <w:div w:id="1854683713">
      <w:bodyDiv w:val="1"/>
      <w:marLeft w:val="0"/>
      <w:marRight w:val="0"/>
      <w:marTop w:val="0"/>
      <w:marBottom w:val="0"/>
      <w:divBdr>
        <w:top w:val="none" w:sz="0" w:space="0" w:color="auto"/>
        <w:left w:val="none" w:sz="0" w:space="0" w:color="auto"/>
        <w:bottom w:val="none" w:sz="0" w:space="0" w:color="auto"/>
        <w:right w:val="none" w:sz="0" w:space="0" w:color="auto"/>
      </w:divBdr>
    </w:div>
    <w:div w:id="1855262347">
      <w:bodyDiv w:val="1"/>
      <w:marLeft w:val="0"/>
      <w:marRight w:val="0"/>
      <w:marTop w:val="0"/>
      <w:marBottom w:val="0"/>
      <w:divBdr>
        <w:top w:val="none" w:sz="0" w:space="0" w:color="auto"/>
        <w:left w:val="none" w:sz="0" w:space="0" w:color="auto"/>
        <w:bottom w:val="none" w:sz="0" w:space="0" w:color="auto"/>
        <w:right w:val="none" w:sz="0" w:space="0" w:color="auto"/>
      </w:divBdr>
    </w:div>
    <w:div w:id="1855798968">
      <w:bodyDiv w:val="1"/>
      <w:marLeft w:val="0"/>
      <w:marRight w:val="0"/>
      <w:marTop w:val="0"/>
      <w:marBottom w:val="0"/>
      <w:divBdr>
        <w:top w:val="none" w:sz="0" w:space="0" w:color="auto"/>
        <w:left w:val="none" w:sz="0" w:space="0" w:color="auto"/>
        <w:bottom w:val="none" w:sz="0" w:space="0" w:color="auto"/>
        <w:right w:val="none" w:sz="0" w:space="0" w:color="auto"/>
      </w:divBdr>
    </w:div>
    <w:div w:id="1856724205">
      <w:bodyDiv w:val="1"/>
      <w:marLeft w:val="0"/>
      <w:marRight w:val="0"/>
      <w:marTop w:val="0"/>
      <w:marBottom w:val="0"/>
      <w:divBdr>
        <w:top w:val="none" w:sz="0" w:space="0" w:color="auto"/>
        <w:left w:val="none" w:sz="0" w:space="0" w:color="auto"/>
        <w:bottom w:val="none" w:sz="0" w:space="0" w:color="auto"/>
        <w:right w:val="none" w:sz="0" w:space="0" w:color="auto"/>
      </w:divBdr>
    </w:div>
    <w:div w:id="1856771081">
      <w:bodyDiv w:val="1"/>
      <w:marLeft w:val="0"/>
      <w:marRight w:val="0"/>
      <w:marTop w:val="0"/>
      <w:marBottom w:val="0"/>
      <w:divBdr>
        <w:top w:val="none" w:sz="0" w:space="0" w:color="auto"/>
        <w:left w:val="none" w:sz="0" w:space="0" w:color="auto"/>
        <w:bottom w:val="none" w:sz="0" w:space="0" w:color="auto"/>
        <w:right w:val="none" w:sz="0" w:space="0" w:color="auto"/>
      </w:divBdr>
    </w:div>
    <w:div w:id="1857306133">
      <w:bodyDiv w:val="1"/>
      <w:marLeft w:val="0"/>
      <w:marRight w:val="0"/>
      <w:marTop w:val="0"/>
      <w:marBottom w:val="0"/>
      <w:divBdr>
        <w:top w:val="none" w:sz="0" w:space="0" w:color="auto"/>
        <w:left w:val="none" w:sz="0" w:space="0" w:color="auto"/>
        <w:bottom w:val="none" w:sz="0" w:space="0" w:color="auto"/>
        <w:right w:val="none" w:sz="0" w:space="0" w:color="auto"/>
      </w:divBdr>
    </w:div>
    <w:div w:id="1857576722">
      <w:bodyDiv w:val="1"/>
      <w:marLeft w:val="0"/>
      <w:marRight w:val="0"/>
      <w:marTop w:val="0"/>
      <w:marBottom w:val="0"/>
      <w:divBdr>
        <w:top w:val="none" w:sz="0" w:space="0" w:color="auto"/>
        <w:left w:val="none" w:sz="0" w:space="0" w:color="auto"/>
        <w:bottom w:val="none" w:sz="0" w:space="0" w:color="auto"/>
        <w:right w:val="none" w:sz="0" w:space="0" w:color="auto"/>
      </w:divBdr>
    </w:div>
    <w:div w:id="1857889084">
      <w:bodyDiv w:val="1"/>
      <w:marLeft w:val="0"/>
      <w:marRight w:val="0"/>
      <w:marTop w:val="0"/>
      <w:marBottom w:val="0"/>
      <w:divBdr>
        <w:top w:val="none" w:sz="0" w:space="0" w:color="auto"/>
        <w:left w:val="none" w:sz="0" w:space="0" w:color="auto"/>
        <w:bottom w:val="none" w:sz="0" w:space="0" w:color="auto"/>
        <w:right w:val="none" w:sz="0" w:space="0" w:color="auto"/>
      </w:divBdr>
    </w:div>
    <w:div w:id="1858036127">
      <w:bodyDiv w:val="1"/>
      <w:marLeft w:val="0"/>
      <w:marRight w:val="0"/>
      <w:marTop w:val="0"/>
      <w:marBottom w:val="0"/>
      <w:divBdr>
        <w:top w:val="none" w:sz="0" w:space="0" w:color="auto"/>
        <w:left w:val="none" w:sz="0" w:space="0" w:color="auto"/>
        <w:bottom w:val="none" w:sz="0" w:space="0" w:color="auto"/>
        <w:right w:val="none" w:sz="0" w:space="0" w:color="auto"/>
      </w:divBdr>
    </w:div>
    <w:div w:id="1858158873">
      <w:bodyDiv w:val="1"/>
      <w:marLeft w:val="0"/>
      <w:marRight w:val="0"/>
      <w:marTop w:val="0"/>
      <w:marBottom w:val="0"/>
      <w:divBdr>
        <w:top w:val="none" w:sz="0" w:space="0" w:color="auto"/>
        <w:left w:val="none" w:sz="0" w:space="0" w:color="auto"/>
        <w:bottom w:val="none" w:sz="0" w:space="0" w:color="auto"/>
        <w:right w:val="none" w:sz="0" w:space="0" w:color="auto"/>
      </w:divBdr>
    </w:div>
    <w:div w:id="1859734857">
      <w:bodyDiv w:val="1"/>
      <w:marLeft w:val="0"/>
      <w:marRight w:val="0"/>
      <w:marTop w:val="0"/>
      <w:marBottom w:val="0"/>
      <w:divBdr>
        <w:top w:val="none" w:sz="0" w:space="0" w:color="auto"/>
        <w:left w:val="none" w:sz="0" w:space="0" w:color="auto"/>
        <w:bottom w:val="none" w:sz="0" w:space="0" w:color="auto"/>
        <w:right w:val="none" w:sz="0" w:space="0" w:color="auto"/>
      </w:divBdr>
    </w:div>
    <w:div w:id="1859931865">
      <w:bodyDiv w:val="1"/>
      <w:marLeft w:val="0"/>
      <w:marRight w:val="0"/>
      <w:marTop w:val="0"/>
      <w:marBottom w:val="0"/>
      <w:divBdr>
        <w:top w:val="none" w:sz="0" w:space="0" w:color="auto"/>
        <w:left w:val="none" w:sz="0" w:space="0" w:color="auto"/>
        <w:bottom w:val="none" w:sz="0" w:space="0" w:color="auto"/>
        <w:right w:val="none" w:sz="0" w:space="0" w:color="auto"/>
      </w:divBdr>
    </w:div>
    <w:div w:id="1860004930">
      <w:bodyDiv w:val="1"/>
      <w:marLeft w:val="0"/>
      <w:marRight w:val="0"/>
      <w:marTop w:val="0"/>
      <w:marBottom w:val="0"/>
      <w:divBdr>
        <w:top w:val="none" w:sz="0" w:space="0" w:color="auto"/>
        <w:left w:val="none" w:sz="0" w:space="0" w:color="auto"/>
        <w:bottom w:val="none" w:sz="0" w:space="0" w:color="auto"/>
        <w:right w:val="none" w:sz="0" w:space="0" w:color="auto"/>
      </w:divBdr>
    </w:div>
    <w:div w:id="1860271991">
      <w:bodyDiv w:val="1"/>
      <w:marLeft w:val="0"/>
      <w:marRight w:val="0"/>
      <w:marTop w:val="0"/>
      <w:marBottom w:val="0"/>
      <w:divBdr>
        <w:top w:val="none" w:sz="0" w:space="0" w:color="auto"/>
        <w:left w:val="none" w:sz="0" w:space="0" w:color="auto"/>
        <w:bottom w:val="none" w:sz="0" w:space="0" w:color="auto"/>
        <w:right w:val="none" w:sz="0" w:space="0" w:color="auto"/>
      </w:divBdr>
    </w:div>
    <w:div w:id="1860462130">
      <w:bodyDiv w:val="1"/>
      <w:marLeft w:val="0"/>
      <w:marRight w:val="0"/>
      <w:marTop w:val="0"/>
      <w:marBottom w:val="0"/>
      <w:divBdr>
        <w:top w:val="none" w:sz="0" w:space="0" w:color="auto"/>
        <w:left w:val="none" w:sz="0" w:space="0" w:color="auto"/>
        <w:bottom w:val="none" w:sz="0" w:space="0" w:color="auto"/>
        <w:right w:val="none" w:sz="0" w:space="0" w:color="auto"/>
      </w:divBdr>
    </w:div>
    <w:div w:id="1860967204">
      <w:bodyDiv w:val="1"/>
      <w:marLeft w:val="0"/>
      <w:marRight w:val="0"/>
      <w:marTop w:val="0"/>
      <w:marBottom w:val="0"/>
      <w:divBdr>
        <w:top w:val="none" w:sz="0" w:space="0" w:color="auto"/>
        <w:left w:val="none" w:sz="0" w:space="0" w:color="auto"/>
        <w:bottom w:val="none" w:sz="0" w:space="0" w:color="auto"/>
        <w:right w:val="none" w:sz="0" w:space="0" w:color="auto"/>
      </w:divBdr>
    </w:div>
    <w:div w:id="1860973621">
      <w:bodyDiv w:val="1"/>
      <w:marLeft w:val="0"/>
      <w:marRight w:val="0"/>
      <w:marTop w:val="0"/>
      <w:marBottom w:val="0"/>
      <w:divBdr>
        <w:top w:val="none" w:sz="0" w:space="0" w:color="auto"/>
        <w:left w:val="none" w:sz="0" w:space="0" w:color="auto"/>
        <w:bottom w:val="none" w:sz="0" w:space="0" w:color="auto"/>
        <w:right w:val="none" w:sz="0" w:space="0" w:color="auto"/>
      </w:divBdr>
    </w:div>
    <w:div w:id="1861696730">
      <w:bodyDiv w:val="1"/>
      <w:marLeft w:val="0"/>
      <w:marRight w:val="0"/>
      <w:marTop w:val="0"/>
      <w:marBottom w:val="0"/>
      <w:divBdr>
        <w:top w:val="none" w:sz="0" w:space="0" w:color="auto"/>
        <w:left w:val="none" w:sz="0" w:space="0" w:color="auto"/>
        <w:bottom w:val="none" w:sz="0" w:space="0" w:color="auto"/>
        <w:right w:val="none" w:sz="0" w:space="0" w:color="auto"/>
      </w:divBdr>
    </w:div>
    <w:div w:id="1863861900">
      <w:bodyDiv w:val="1"/>
      <w:marLeft w:val="0"/>
      <w:marRight w:val="0"/>
      <w:marTop w:val="0"/>
      <w:marBottom w:val="0"/>
      <w:divBdr>
        <w:top w:val="none" w:sz="0" w:space="0" w:color="auto"/>
        <w:left w:val="none" w:sz="0" w:space="0" w:color="auto"/>
        <w:bottom w:val="none" w:sz="0" w:space="0" w:color="auto"/>
        <w:right w:val="none" w:sz="0" w:space="0" w:color="auto"/>
      </w:divBdr>
    </w:div>
    <w:div w:id="1866015402">
      <w:bodyDiv w:val="1"/>
      <w:marLeft w:val="0"/>
      <w:marRight w:val="0"/>
      <w:marTop w:val="0"/>
      <w:marBottom w:val="0"/>
      <w:divBdr>
        <w:top w:val="none" w:sz="0" w:space="0" w:color="auto"/>
        <w:left w:val="none" w:sz="0" w:space="0" w:color="auto"/>
        <w:bottom w:val="none" w:sz="0" w:space="0" w:color="auto"/>
        <w:right w:val="none" w:sz="0" w:space="0" w:color="auto"/>
      </w:divBdr>
    </w:div>
    <w:div w:id="1867139672">
      <w:bodyDiv w:val="1"/>
      <w:marLeft w:val="0"/>
      <w:marRight w:val="0"/>
      <w:marTop w:val="0"/>
      <w:marBottom w:val="0"/>
      <w:divBdr>
        <w:top w:val="none" w:sz="0" w:space="0" w:color="auto"/>
        <w:left w:val="none" w:sz="0" w:space="0" w:color="auto"/>
        <w:bottom w:val="none" w:sz="0" w:space="0" w:color="auto"/>
        <w:right w:val="none" w:sz="0" w:space="0" w:color="auto"/>
      </w:divBdr>
    </w:div>
    <w:div w:id="1867671827">
      <w:bodyDiv w:val="1"/>
      <w:marLeft w:val="0"/>
      <w:marRight w:val="0"/>
      <w:marTop w:val="0"/>
      <w:marBottom w:val="0"/>
      <w:divBdr>
        <w:top w:val="none" w:sz="0" w:space="0" w:color="auto"/>
        <w:left w:val="none" w:sz="0" w:space="0" w:color="auto"/>
        <w:bottom w:val="none" w:sz="0" w:space="0" w:color="auto"/>
        <w:right w:val="none" w:sz="0" w:space="0" w:color="auto"/>
      </w:divBdr>
    </w:div>
    <w:div w:id="1869558236">
      <w:bodyDiv w:val="1"/>
      <w:marLeft w:val="0"/>
      <w:marRight w:val="0"/>
      <w:marTop w:val="0"/>
      <w:marBottom w:val="0"/>
      <w:divBdr>
        <w:top w:val="none" w:sz="0" w:space="0" w:color="auto"/>
        <w:left w:val="none" w:sz="0" w:space="0" w:color="auto"/>
        <w:bottom w:val="none" w:sz="0" w:space="0" w:color="auto"/>
        <w:right w:val="none" w:sz="0" w:space="0" w:color="auto"/>
      </w:divBdr>
    </w:div>
    <w:div w:id="1869950446">
      <w:bodyDiv w:val="1"/>
      <w:marLeft w:val="0"/>
      <w:marRight w:val="0"/>
      <w:marTop w:val="0"/>
      <w:marBottom w:val="0"/>
      <w:divBdr>
        <w:top w:val="none" w:sz="0" w:space="0" w:color="auto"/>
        <w:left w:val="none" w:sz="0" w:space="0" w:color="auto"/>
        <w:bottom w:val="none" w:sz="0" w:space="0" w:color="auto"/>
        <w:right w:val="none" w:sz="0" w:space="0" w:color="auto"/>
      </w:divBdr>
    </w:div>
    <w:div w:id="1870364558">
      <w:bodyDiv w:val="1"/>
      <w:marLeft w:val="0"/>
      <w:marRight w:val="0"/>
      <w:marTop w:val="0"/>
      <w:marBottom w:val="0"/>
      <w:divBdr>
        <w:top w:val="none" w:sz="0" w:space="0" w:color="auto"/>
        <w:left w:val="none" w:sz="0" w:space="0" w:color="auto"/>
        <w:bottom w:val="none" w:sz="0" w:space="0" w:color="auto"/>
        <w:right w:val="none" w:sz="0" w:space="0" w:color="auto"/>
      </w:divBdr>
    </w:div>
    <w:div w:id="1871608620">
      <w:bodyDiv w:val="1"/>
      <w:marLeft w:val="0"/>
      <w:marRight w:val="0"/>
      <w:marTop w:val="0"/>
      <w:marBottom w:val="0"/>
      <w:divBdr>
        <w:top w:val="none" w:sz="0" w:space="0" w:color="auto"/>
        <w:left w:val="none" w:sz="0" w:space="0" w:color="auto"/>
        <w:bottom w:val="none" w:sz="0" w:space="0" w:color="auto"/>
        <w:right w:val="none" w:sz="0" w:space="0" w:color="auto"/>
      </w:divBdr>
    </w:div>
    <w:div w:id="1872720127">
      <w:bodyDiv w:val="1"/>
      <w:marLeft w:val="0"/>
      <w:marRight w:val="0"/>
      <w:marTop w:val="0"/>
      <w:marBottom w:val="0"/>
      <w:divBdr>
        <w:top w:val="none" w:sz="0" w:space="0" w:color="auto"/>
        <w:left w:val="none" w:sz="0" w:space="0" w:color="auto"/>
        <w:bottom w:val="none" w:sz="0" w:space="0" w:color="auto"/>
        <w:right w:val="none" w:sz="0" w:space="0" w:color="auto"/>
      </w:divBdr>
    </w:div>
    <w:div w:id="1872912967">
      <w:bodyDiv w:val="1"/>
      <w:marLeft w:val="0"/>
      <w:marRight w:val="0"/>
      <w:marTop w:val="0"/>
      <w:marBottom w:val="0"/>
      <w:divBdr>
        <w:top w:val="none" w:sz="0" w:space="0" w:color="auto"/>
        <w:left w:val="none" w:sz="0" w:space="0" w:color="auto"/>
        <w:bottom w:val="none" w:sz="0" w:space="0" w:color="auto"/>
        <w:right w:val="none" w:sz="0" w:space="0" w:color="auto"/>
      </w:divBdr>
    </w:div>
    <w:div w:id="1873497963">
      <w:bodyDiv w:val="1"/>
      <w:marLeft w:val="0"/>
      <w:marRight w:val="0"/>
      <w:marTop w:val="0"/>
      <w:marBottom w:val="0"/>
      <w:divBdr>
        <w:top w:val="none" w:sz="0" w:space="0" w:color="auto"/>
        <w:left w:val="none" w:sz="0" w:space="0" w:color="auto"/>
        <w:bottom w:val="none" w:sz="0" w:space="0" w:color="auto"/>
        <w:right w:val="none" w:sz="0" w:space="0" w:color="auto"/>
      </w:divBdr>
    </w:div>
    <w:div w:id="1873691519">
      <w:bodyDiv w:val="1"/>
      <w:marLeft w:val="0"/>
      <w:marRight w:val="0"/>
      <w:marTop w:val="0"/>
      <w:marBottom w:val="0"/>
      <w:divBdr>
        <w:top w:val="none" w:sz="0" w:space="0" w:color="auto"/>
        <w:left w:val="none" w:sz="0" w:space="0" w:color="auto"/>
        <w:bottom w:val="none" w:sz="0" w:space="0" w:color="auto"/>
        <w:right w:val="none" w:sz="0" w:space="0" w:color="auto"/>
      </w:divBdr>
    </w:div>
    <w:div w:id="1873763595">
      <w:bodyDiv w:val="1"/>
      <w:marLeft w:val="0"/>
      <w:marRight w:val="0"/>
      <w:marTop w:val="0"/>
      <w:marBottom w:val="0"/>
      <w:divBdr>
        <w:top w:val="none" w:sz="0" w:space="0" w:color="auto"/>
        <w:left w:val="none" w:sz="0" w:space="0" w:color="auto"/>
        <w:bottom w:val="none" w:sz="0" w:space="0" w:color="auto"/>
        <w:right w:val="none" w:sz="0" w:space="0" w:color="auto"/>
      </w:divBdr>
    </w:div>
    <w:div w:id="1874726484">
      <w:bodyDiv w:val="1"/>
      <w:marLeft w:val="0"/>
      <w:marRight w:val="0"/>
      <w:marTop w:val="0"/>
      <w:marBottom w:val="0"/>
      <w:divBdr>
        <w:top w:val="none" w:sz="0" w:space="0" w:color="auto"/>
        <w:left w:val="none" w:sz="0" w:space="0" w:color="auto"/>
        <w:bottom w:val="none" w:sz="0" w:space="0" w:color="auto"/>
        <w:right w:val="none" w:sz="0" w:space="0" w:color="auto"/>
      </w:divBdr>
    </w:div>
    <w:div w:id="1874995459">
      <w:bodyDiv w:val="1"/>
      <w:marLeft w:val="0"/>
      <w:marRight w:val="0"/>
      <w:marTop w:val="0"/>
      <w:marBottom w:val="0"/>
      <w:divBdr>
        <w:top w:val="none" w:sz="0" w:space="0" w:color="auto"/>
        <w:left w:val="none" w:sz="0" w:space="0" w:color="auto"/>
        <w:bottom w:val="none" w:sz="0" w:space="0" w:color="auto"/>
        <w:right w:val="none" w:sz="0" w:space="0" w:color="auto"/>
      </w:divBdr>
    </w:div>
    <w:div w:id="1876891841">
      <w:bodyDiv w:val="1"/>
      <w:marLeft w:val="0"/>
      <w:marRight w:val="0"/>
      <w:marTop w:val="0"/>
      <w:marBottom w:val="0"/>
      <w:divBdr>
        <w:top w:val="none" w:sz="0" w:space="0" w:color="auto"/>
        <w:left w:val="none" w:sz="0" w:space="0" w:color="auto"/>
        <w:bottom w:val="none" w:sz="0" w:space="0" w:color="auto"/>
        <w:right w:val="none" w:sz="0" w:space="0" w:color="auto"/>
      </w:divBdr>
    </w:div>
    <w:div w:id="1877545370">
      <w:bodyDiv w:val="1"/>
      <w:marLeft w:val="0"/>
      <w:marRight w:val="0"/>
      <w:marTop w:val="0"/>
      <w:marBottom w:val="0"/>
      <w:divBdr>
        <w:top w:val="none" w:sz="0" w:space="0" w:color="auto"/>
        <w:left w:val="none" w:sz="0" w:space="0" w:color="auto"/>
        <w:bottom w:val="none" w:sz="0" w:space="0" w:color="auto"/>
        <w:right w:val="none" w:sz="0" w:space="0" w:color="auto"/>
      </w:divBdr>
    </w:div>
    <w:div w:id="1877696697">
      <w:bodyDiv w:val="1"/>
      <w:marLeft w:val="0"/>
      <w:marRight w:val="0"/>
      <w:marTop w:val="0"/>
      <w:marBottom w:val="0"/>
      <w:divBdr>
        <w:top w:val="none" w:sz="0" w:space="0" w:color="auto"/>
        <w:left w:val="none" w:sz="0" w:space="0" w:color="auto"/>
        <w:bottom w:val="none" w:sz="0" w:space="0" w:color="auto"/>
        <w:right w:val="none" w:sz="0" w:space="0" w:color="auto"/>
      </w:divBdr>
    </w:div>
    <w:div w:id="1878354535">
      <w:bodyDiv w:val="1"/>
      <w:marLeft w:val="0"/>
      <w:marRight w:val="0"/>
      <w:marTop w:val="0"/>
      <w:marBottom w:val="0"/>
      <w:divBdr>
        <w:top w:val="none" w:sz="0" w:space="0" w:color="auto"/>
        <w:left w:val="none" w:sz="0" w:space="0" w:color="auto"/>
        <w:bottom w:val="none" w:sz="0" w:space="0" w:color="auto"/>
        <w:right w:val="none" w:sz="0" w:space="0" w:color="auto"/>
      </w:divBdr>
    </w:div>
    <w:div w:id="1878395729">
      <w:bodyDiv w:val="1"/>
      <w:marLeft w:val="0"/>
      <w:marRight w:val="0"/>
      <w:marTop w:val="0"/>
      <w:marBottom w:val="0"/>
      <w:divBdr>
        <w:top w:val="none" w:sz="0" w:space="0" w:color="auto"/>
        <w:left w:val="none" w:sz="0" w:space="0" w:color="auto"/>
        <w:bottom w:val="none" w:sz="0" w:space="0" w:color="auto"/>
        <w:right w:val="none" w:sz="0" w:space="0" w:color="auto"/>
      </w:divBdr>
    </w:div>
    <w:div w:id="1879051401">
      <w:bodyDiv w:val="1"/>
      <w:marLeft w:val="0"/>
      <w:marRight w:val="0"/>
      <w:marTop w:val="0"/>
      <w:marBottom w:val="0"/>
      <w:divBdr>
        <w:top w:val="none" w:sz="0" w:space="0" w:color="auto"/>
        <w:left w:val="none" w:sz="0" w:space="0" w:color="auto"/>
        <w:bottom w:val="none" w:sz="0" w:space="0" w:color="auto"/>
        <w:right w:val="none" w:sz="0" w:space="0" w:color="auto"/>
      </w:divBdr>
    </w:div>
    <w:div w:id="1879466686">
      <w:bodyDiv w:val="1"/>
      <w:marLeft w:val="0"/>
      <w:marRight w:val="0"/>
      <w:marTop w:val="0"/>
      <w:marBottom w:val="0"/>
      <w:divBdr>
        <w:top w:val="none" w:sz="0" w:space="0" w:color="auto"/>
        <w:left w:val="none" w:sz="0" w:space="0" w:color="auto"/>
        <w:bottom w:val="none" w:sz="0" w:space="0" w:color="auto"/>
        <w:right w:val="none" w:sz="0" w:space="0" w:color="auto"/>
      </w:divBdr>
    </w:div>
    <w:div w:id="1879469855">
      <w:bodyDiv w:val="1"/>
      <w:marLeft w:val="0"/>
      <w:marRight w:val="0"/>
      <w:marTop w:val="0"/>
      <w:marBottom w:val="0"/>
      <w:divBdr>
        <w:top w:val="none" w:sz="0" w:space="0" w:color="auto"/>
        <w:left w:val="none" w:sz="0" w:space="0" w:color="auto"/>
        <w:bottom w:val="none" w:sz="0" w:space="0" w:color="auto"/>
        <w:right w:val="none" w:sz="0" w:space="0" w:color="auto"/>
      </w:divBdr>
    </w:div>
    <w:div w:id="1879664681">
      <w:bodyDiv w:val="1"/>
      <w:marLeft w:val="0"/>
      <w:marRight w:val="0"/>
      <w:marTop w:val="0"/>
      <w:marBottom w:val="0"/>
      <w:divBdr>
        <w:top w:val="none" w:sz="0" w:space="0" w:color="auto"/>
        <w:left w:val="none" w:sz="0" w:space="0" w:color="auto"/>
        <w:bottom w:val="none" w:sz="0" w:space="0" w:color="auto"/>
        <w:right w:val="none" w:sz="0" w:space="0" w:color="auto"/>
      </w:divBdr>
    </w:div>
    <w:div w:id="1880048746">
      <w:bodyDiv w:val="1"/>
      <w:marLeft w:val="0"/>
      <w:marRight w:val="0"/>
      <w:marTop w:val="0"/>
      <w:marBottom w:val="0"/>
      <w:divBdr>
        <w:top w:val="none" w:sz="0" w:space="0" w:color="auto"/>
        <w:left w:val="none" w:sz="0" w:space="0" w:color="auto"/>
        <w:bottom w:val="none" w:sz="0" w:space="0" w:color="auto"/>
        <w:right w:val="none" w:sz="0" w:space="0" w:color="auto"/>
      </w:divBdr>
    </w:div>
    <w:div w:id="1880164373">
      <w:bodyDiv w:val="1"/>
      <w:marLeft w:val="0"/>
      <w:marRight w:val="0"/>
      <w:marTop w:val="0"/>
      <w:marBottom w:val="0"/>
      <w:divBdr>
        <w:top w:val="none" w:sz="0" w:space="0" w:color="auto"/>
        <w:left w:val="none" w:sz="0" w:space="0" w:color="auto"/>
        <w:bottom w:val="none" w:sz="0" w:space="0" w:color="auto"/>
        <w:right w:val="none" w:sz="0" w:space="0" w:color="auto"/>
      </w:divBdr>
    </w:div>
    <w:div w:id="1880318535">
      <w:bodyDiv w:val="1"/>
      <w:marLeft w:val="0"/>
      <w:marRight w:val="0"/>
      <w:marTop w:val="0"/>
      <w:marBottom w:val="0"/>
      <w:divBdr>
        <w:top w:val="none" w:sz="0" w:space="0" w:color="auto"/>
        <w:left w:val="none" w:sz="0" w:space="0" w:color="auto"/>
        <w:bottom w:val="none" w:sz="0" w:space="0" w:color="auto"/>
        <w:right w:val="none" w:sz="0" w:space="0" w:color="auto"/>
      </w:divBdr>
    </w:div>
    <w:div w:id="1880819760">
      <w:bodyDiv w:val="1"/>
      <w:marLeft w:val="0"/>
      <w:marRight w:val="0"/>
      <w:marTop w:val="0"/>
      <w:marBottom w:val="0"/>
      <w:divBdr>
        <w:top w:val="none" w:sz="0" w:space="0" w:color="auto"/>
        <w:left w:val="none" w:sz="0" w:space="0" w:color="auto"/>
        <w:bottom w:val="none" w:sz="0" w:space="0" w:color="auto"/>
        <w:right w:val="none" w:sz="0" w:space="0" w:color="auto"/>
      </w:divBdr>
    </w:div>
    <w:div w:id="1881091560">
      <w:bodyDiv w:val="1"/>
      <w:marLeft w:val="0"/>
      <w:marRight w:val="0"/>
      <w:marTop w:val="0"/>
      <w:marBottom w:val="0"/>
      <w:divBdr>
        <w:top w:val="none" w:sz="0" w:space="0" w:color="auto"/>
        <w:left w:val="none" w:sz="0" w:space="0" w:color="auto"/>
        <w:bottom w:val="none" w:sz="0" w:space="0" w:color="auto"/>
        <w:right w:val="none" w:sz="0" w:space="0" w:color="auto"/>
      </w:divBdr>
    </w:div>
    <w:div w:id="1881235520">
      <w:bodyDiv w:val="1"/>
      <w:marLeft w:val="0"/>
      <w:marRight w:val="0"/>
      <w:marTop w:val="0"/>
      <w:marBottom w:val="0"/>
      <w:divBdr>
        <w:top w:val="none" w:sz="0" w:space="0" w:color="auto"/>
        <w:left w:val="none" w:sz="0" w:space="0" w:color="auto"/>
        <w:bottom w:val="none" w:sz="0" w:space="0" w:color="auto"/>
        <w:right w:val="none" w:sz="0" w:space="0" w:color="auto"/>
      </w:divBdr>
    </w:div>
    <w:div w:id="1881554409">
      <w:bodyDiv w:val="1"/>
      <w:marLeft w:val="0"/>
      <w:marRight w:val="0"/>
      <w:marTop w:val="0"/>
      <w:marBottom w:val="0"/>
      <w:divBdr>
        <w:top w:val="none" w:sz="0" w:space="0" w:color="auto"/>
        <w:left w:val="none" w:sz="0" w:space="0" w:color="auto"/>
        <w:bottom w:val="none" w:sz="0" w:space="0" w:color="auto"/>
        <w:right w:val="none" w:sz="0" w:space="0" w:color="auto"/>
      </w:divBdr>
    </w:div>
    <w:div w:id="1882209118">
      <w:bodyDiv w:val="1"/>
      <w:marLeft w:val="0"/>
      <w:marRight w:val="0"/>
      <w:marTop w:val="0"/>
      <w:marBottom w:val="0"/>
      <w:divBdr>
        <w:top w:val="none" w:sz="0" w:space="0" w:color="auto"/>
        <w:left w:val="none" w:sz="0" w:space="0" w:color="auto"/>
        <w:bottom w:val="none" w:sz="0" w:space="0" w:color="auto"/>
        <w:right w:val="none" w:sz="0" w:space="0" w:color="auto"/>
      </w:divBdr>
    </w:div>
    <w:div w:id="1883012807">
      <w:bodyDiv w:val="1"/>
      <w:marLeft w:val="0"/>
      <w:marRight w:val="0"/>
      <w:marTop w:val="0"/>
      <w:marBottom w:val="0"/>
      <w:divBdr>
        <w:top w:val="none" w:sz="0" w:space="0" w:color="auto"/>
        <w:left w:val="none" w:sz="0" w:space="0" w:color="auto"/>
        <w:bottom w:val="none" w:sz="0" w:space="0" w:color="auto"/>
        <w:right w:val="none" w:sz="0" w:space="0" w:color="auto"/>
      </w:divBdr>
    </w:div>
    <w:div w:id="1883782064">
      <w:bodyDiv w:val="1"/>
      <w:marLeft w:val="0"/>
      <w:marRight w:val="0"/>
      <w:marTop w:val="0"/>
      <w:marBottom w:val="0"/>
      <w:divBdr>
        <w:top w:val="none" w:sz="0" w:space="0" w:color="auto"/>
        <w:left w:val="none" w:sz="0" w:space="0" w:color="auto"/>
        <w:bottom w:val="none" w:sz="0" w:space="0" w:color="auto"/>
        <w:right w:val="none" w:sz="0" w:space="0" w:color="auto"/>
      </w:divBdr>
    </w:div>
    <w:div w:id="1884364343">
      <w:bodyDiv w:val="1"/>
      <w:marLeft w:val="0"/>
      <w:marRight w:val="0"/>
      <w:marTop w:val="0"/>
      <w:marBottom w:val="0"/>
      <w:divBdr>
        <w:top w:val="none" w:sz="0" w:space="0" w:color="auto"/>
        <w:left w:val="none" w:sz="0" w:space="0" w:color="auto"/>
        <w:bottom w:val="none" w:sz="0" w:space="0" w:color="auto"/>
        <w:right w:val="none" w:sz="0" w:space="0" w:color="auto"/>
      </w:divBdr>
    </w:div>
    <w:div w:id="1886024884">
      <w:bodyDiv w:val="1"/>
      <w:marLeft w:val="0"/>
      <w:marRight w:val="0"/>
      <w:marTop w:val="0"/>
      <w:marBottom w:val="0"/>
      <w:divBdr>
        <w:top w:val="none" w:sz="0" w:space="0" w:color="auto"/>
        <w:left w:val="none" w:sz="0" w:space="0" w:color="auto"/>
        <w:bottom w:val="none" w:sz="0" w:space="0" w:color="auto"/>
        <w:right w:val="none" w:sz="0" w:space="0" w:color="auto"/>
      </w:divBdr>
    </w:div>
    <w:div w:id="1886599230">
      <w:bodyDiv w:val="1"/>
      <w:marLeft w:val="0"/>
      <w:marRight w:val="0"/>
      <w:marTop w:val="0"/>
      <w:marBottom w:val="0"/>
      <w:divBdr>
        <w:top w:val="none" w:sz="0" w:space="0" w:color="auto"/>
        <w:left w:val="none" w:sz="0" w:space="0" w:color="auto"/>
        <w:bottom w:val="none" w:sz="0" w:space="0" w:color="auto"/>
        <w:right w:val="none" w:sz="0" w:space="0" w:color="auto"/>
      </w:divBdr>
    </w:div>
    <w:div w:id="1887139268">
      <w:bodyDiv w:val="1"/>
      <w:marLeft w:val="0"/>
      <w:marRight w:val="0"/>
      <w:marTop w:val="0"/>
      <w:marBottom w:val="0"/>
      <w:divBdr>
        <w:top w:val="none" w:sz="0" w:space="0" w:color="auto"/>
        <w:left w:val="none" w:sz="0" w:space="0" w:color="auto"/>
        <w:bottom w:val="none" w:sz="0" w:space="0" w:color="auto"/>
        <w:right w:val="none" w:sz="0" w:space="0" w:color="auto"/>
      </w:divBdr>
    </w:div>
    <w:div w:id="1887522959">
      <w:bodyDiv w:val="1"/>
      <w:marLeft w:val="0"/>
      <w:marRight w:val="0"/>
      <w:marTop w:val="0"/>
      <w:marBottom w:val="0"/>
      <w:divBdr>
        <w:top w:val="none" w:sz="0" w:space="0" w:color="auto"/>
        <w:left w:val="none" w:sz="0" w:space="0" w:color="auto"/>
        <w:bottom w:val="none" w:sz="0" w:space="0" w:color="auto"/>
        <w:right w:val="none" w:sz="0" w:space="0" w:color="auto"/>
      </w:divBdr>
    </w:div>
    <w:div w:id="1887838021">
      <w:bodyDiv w:val="1"/>
      <w:marLeft w:val="0"/>
      <w:marRight w:val="0"/>
      <w:marTop w:val="0"/>
      <w:marBottom w:val="0"/>
      <w:divBdr>
        <w:top w:val="none" w:sz="0" w:space="0" w:color="auto"/>
        <w:left w:val="none" w:sz="0" w:space="0" w:color="auto"/>
        <w:bottom w:val="none" w:sz="0" w:space="0" w:color="auto"/>
        <w:right w:val="none" w:sz="0" w:space="0" w:color="auto"/>
      </w:divBdr>
    </w:div>
    <w:div w:id="1887990247">
      <w:bodyDiv w:val="1"/>
      <w:marLeft w:val="0"/>
      <w:marRight w:val="0"/>
      <w:marTop w:val="0"/>
      <w:marBottom w:val="0"/>
      <w:divBdr>
        <w:top w:val="none" w:sz="0" w:space="0" w:color="auto"/>
        <w:left w:val="none" w:sz="0" w:space="0" w:color="auto"/>
        <w:bottom w:val="none" w:sz="0" w:space="0" w:color="auto"/>
        <w:right w:val="none" w:sz="0" w:space="0" w:color="auto"/>
      </w:divBdr>
    </w:div>
    <w:div w:id="1889024689">
      <w:bodyDiv w:val="1"/>
      <w:marLeft w:val="0"/>
      <w:marRight w:val="0"/>
      <w:marTop w:val="0"/>
      <w:marBottom w:val="0"/>
      <w:divBdr>
        <w:top w:val="none" w:sz="0" w:space="0" w:color="auto"/>
        <w:left w:val="none" w:sz="0" w:space="0" w:color="auto"/>
        <w:bottom w:val="none" w:sz="0" w:space="0" w:color="auto"/>
        <w:right w:val="none" w:sz="0" w:space="0" w:color="auto"/>
      </w:divBdr>
    </w:div>
    <w:div w:id="1890336029">
      <w:bodyDiv w:val="1"/>
      <w:marLeft w:val="0"/>
      <w:marRight w:val="0"/>
      <w:marTop w:val="0"/>
      <w:marBottom w:val="0"/>
      <w:divBdr>
        <w:top w:val="none" w:sz="0" w:space="0" w:color="auto"/>
        <w:left w:val="none" w:sz="0" w:space="0" w:color="auto"/>
        <w:bottom w:val="none" w:sz="0" w:space="0" w:color="auto"/>
        <w:right w:val="none" w:sz="0" w:space="0" w:color="auto"/>
      </w:divBdr>
    </w:div>
    <w:div w:id="1890455024">
      <w:bodyDiv w:val="1"/>
      <w:marLeft w:val="0"/>
      <w:marRight w:val="0"/>
      <w:marTop w:val="0"/>
      <w:marBottom w:val="0"/>
      <w:divBdr>
        <w:top w:val="none" w:sz="0" w:space="0" w:color="auto"/>
        <w:left w:val="none" w:sz="0" w:space="0" w:color="auto"/>
        <w:bottom w:val="none" w:sz="0" w:space="0" w:color="auto"/>
        <w:right w:val="none" w:sz="0" w:space="0" w:color="auto"/>
      </w:divBdr>
    </w:div>
    <w:div w:id="1890535954">
      <w:bodyDiv w:val="1"/>
      <w:marLeft w:val="0"/>
      <w:marRight w:val="0"/>
      <w:marTop w:val="0"/>
      <w:marBottom w:val="0"/>
      <w:divBdr>
        <w:top w:val="none" w:sz="0" w:space="0" w:color="auto"/>
        <w:left w:val="none" w:sz="0" w:space="0" w:color="auto"/>
        <w:bottom w:val="none" w:sz="0" w:space="0" w:color="auto"/>
        <w:right w:val="none" w:sz="0" w:space="0" w:color="auto"/>
      </w:divBdr>
    </w:div>
    <w:div w:id="1890729750">
      <w:bodyDiv w:val="1"/>
      <w:marLeft w:val="0"/>
      <w:marRight w:val="0"/>
      <w:marTop w:val="0"/>
      <w:marBottom w:val="0"/>
      <w:divBdr>
        <w:top w:val="none" w:sz="0" w:space="0" w:color="auto"/>
        <w:left w:val="none" w:sz="0" w:space="0" w:color="auto"/>
        <w:bottom w:val="none" w:sz="0" w:space="0" w:color="auto"/>
        <w:right w:val="none" w:sz="0" w:space="0" w:color="auto"/>
      </w:divBdr>
    </w:div>
    <w:div w:id="1891257942">
      <w:bodyDiv w:val="1"/>
      <w:marLeft w:val="0"/>
      <w:marRight w:val="0"/>
      <w:marTop w:val="0"/>
      <w:marBottom w:val="0"/>
      <w:divBdr>
        <w:top w:val="none" w:sz="0" w:space="0" w:color="auto"/>
        <w:left w:val="none" w:sz="0" w:space="0" w:color="auto"/>
        <w:bottom w:val="none" w:sz="0" w:space="0" w:color="auto"/>
        <w:right w:val="none" w:sz="0" w:space="0" w:color="auto"/>
      </w:divBdr>
    </w:div>
    <w:div w:id="1891453452">
      <w:bodyDiv w:val="1"/>
      <w:marLeft w:val="0"/>
      <w:marRight w:val="0"/>
      <w:marTop w:val="0"/>
      <w:marBottom w:val="0"/>
      <w:divBdr>
        <w:top w:val="none" w:sz="0" w:space="0" w:color="auto"/>
        <w:left w:val="none" w:sz="0" w:space="0" w:color="auto"/>
        <w:bottom w:val="none" w:sz="0" w:space="0" w:color="auto"/>
        <w:right w:val="none" w:sz="0" w:space="0" w:color="auto"/>
      </w:divBdr>
    </w:div>
    <w:div w:id="1891456112">
      <w:bodyDiv w:val="1"/>
      <w:marLeft w:val="0"/>
      <w:marRight w:val="0"/>
      <w:marTop w:val="0"/>
      <w:marBottom w:val="0"/>
      <w:divBdr>
        <w:top w:val="none" w:sz="0" w:space="0" w:color="auto"/>
        <w:left w:val="none" w:sz="0" w:space="0" w:color="auto"/>
        <w:bottom w:val="none" w:sz="0" w:space="0" w:color="auto"/>
        <w:right w:val="none" w:sz="0" w:space="0" w:color="auto"/>
      </w:divBdr>
    </w:div>
    <w:div w:id="1892493799">
      <w:bodyDiv w:val="1"/>
      <w:marLeft w:val="0"/>
      <w:marRight w:val="0"/>
      <w:marTop w:val="0"/>
      <w:marBottom w:val="0"/>
      <w:divBdr>
        <w:top w:val="none" w:sz="0" w:space="0" w:color="auto"/>
        <w:left w:val="none" w:sz="0" w:space="0" w:color="auto"/>
        <w:bottom w:val="none" w:sz="0" w:space="0" w:color="auto"/>
        <w:right w:val="none" w:sz="0" w:space="0" w:color="auto"/>
      </w:divBdr>
    </w:div>
    <w:div w:id="1892573276">
      <w:bodyDiv w:val="1"/>
      <w:marLeft w:val="0"/>
      <w:marRight w:val="0"/>
      <w:marTop w:val="0"/>
      <w:marBottom w:val="0"/>
      <w:divBdr>
        <w:top w:val="none" w:sz="0" w:space="0" w:color="auto"/>
        <w:left w:val="none" w:sz="0" w:space="0" w:color="auto"/>
        <w:bottom w:val="none" w:sz="0" w:space="0" w:color="auto"/>
        <w:right w:val="none" w:sz="0" w:space="0" w:color="auto"/>
      </w:divBdr>
    </w:div>
    <w:div w:id="1895659303">
      <w:bodyDiv w:val="1"/>
      <w:marLeft w:val="0"/>
      <w:marRight w:val="0"/>
      <w:marTop w:val="0"/>
      <w:marBottom w:val="0"/>
      <w:divBdr>
        <w:top w:val="none" w:sz="0" w:space="0" w:color="auto"/>
        <w:left w:val="none" w:sz="0" w:space="0" w:color="auto"/>
        <w:bottom w:val="none" w:sz="0" w:space="0" w:color="auto"/>
        <w:right w:val="none" w:sz="0" w:space="0" w:color="auto"/>
      </w:divBdr>
    </w:div>
    <w:div w:id="1895697777">
      <w:bodyDiv w:val="1"/>
      <w:marLeft w:val="0"/>
      <w:marRight w:val="0"/>
      <w:marTop w:val="0"/>
      <w:marBottom w:val="0"/>
      <w:divBdr>
        <w:top w:val="none" w:sz="0" w:space="0" w:color="auto"/>
        <w:left w:val="none" w:sz="0" w:space="0" w:color="auto"/>
        <w:bottom w:val="none" w:sz="0" w:space="0" w:color="auto"/>
        <w:right w:val="none" w:sz="0" w:space="0" w:color="auto"/>
      </w:divBdr>
    </w:div>
    <w:div w:id="1895699306">
      <w:bodyDiv w:val="1"/>
      <w:marLeft w:val="0"/>
      <w:marRight w:val="0"/>
      <w:marTop w:val="0"/>
      <w:marBottom w:val="0"/>
      <w:divBdr>
        <w:top w:val="none" w:sz="0" w:space="0" w:color="auto"/>
        <w:left w:val="none" w:sz="0" w:space="0" w:color="auto"/>
        <w:bottom w:val="none" w:sz="0" w:space="0" w:color="auto"/>
        <w:right w:val="none" w:sz="0" w:space="0" w:color="auto"/>
      </w:divBdr>
    </w:div>
    <w:div w:id="1897934515">
      <w:bodyDiv w:val="1"/>
      <w:marLeft w:val="0"/>
      <w:marRight w:val="0"/>
      <w:marTop w:val="0"/>
      <w:marBottom w:val="0"/>
      <w:divBdr>
        <w:top w:val="none" w:sz="0" w:space="0" w:color="auto"/>
        <w:left w:val="none" w:sz="0" w:space="0" w:color="auto"/>
        <w:bottom w:val="none" w:sz="0" w:space="0" w:color="auto"/>
        <w:right w:val="none" w:sz="0" w:space="0" w:color="auto"/>
      </w:divBdr>
    </w:div>
    <w:div w:id="1898659265">
      <w:bodyDiv w:val="1"/>
      <w:marLeft w:val="0"/>
      <w:marRight w:val="0"/>
      <w:marTop w:val="0"/>
      <w:marBottom w:val="0"/>
      <w:divBdr>
        <w:top w:val="none" w:sz="0" w:space="0" w:color="auto"/>
        <w:left w:val="none" w:sz="0" w:space="0" w:color="auto"/>
        <w:bottom w:val="none" w:sz="0" w:space="0" w:color="auto"/>
        <w:right w:val="none" w:sz="0" w:space="0" w:color="auto"/>
      </w:divBdr>
    </w:div>
    <w:div w:id="1899049782">
      <w:bodyDiv w:val="1"/>
      <w:marLeft w:val="0"/>
      <w:marRight w:val="0"/>
      <w:marTop w:val="0"/>
      <w:marBottom w:val="0"/>
      <w:divBdr>
        <w:top w:val="none" w:sz="0" w:space="0" w:color="auto"/>
        <w:left w:val="none" w:sz="0" w:space="0" w:color="auto"/>
        <w:bottom w:val="none" w:sz="0" w:space="0" w:color="auto"/>
        <w:right w:val="none" w:sz="0" w:space="0" w:color="auto"/>
      </w:divBdr>
    </w:div>
    <w:div w:id="1899826013">
      <w:bodyDiv w:val="1"/>
      <w:marLeft w:val="0"/>
      <w:marRight w:val="0"/>
      <w:marTop w:val="0"/>
      <w:marBottom w:val="0"/>
      <w:divBdr>
        <w:top w:val="none" w:sz="0" w:space="0" w:color="auto"/>
        <w:left w:val="none" w:sz="0" w:space="0" w:color="auto"/>
        <w:bottom w:val="none" w:sz="0" w:space="0" w:color="auto"/>
        <w:right w:val="none" w:sz="0" w:space="0" w:color="auto"/>
      </w:divBdr>
    </w:div>
    <w:div w:id="1901282906">
      <w:bodyDiv w:val="1"/>
      <w:marLeft w:val="0"/>
      <w:marRight w:val="0"/>
      <w:marTop w:val="0"/>
      <w:marBottom w:val="0"/>
      <w:divBdr>
        <w:top w:val="none" w:sz="0" w:space="0" w:color="auto"/>
        <w:left w:val="none" w:sz="0" w:space="0" w:color="auto"/>
        <w:bottom w:val="none" w:sz="0" w:space="0" w:color="auto"/>
        <w:right w:val="none" w:sz="0" w:space="0" w:color="auto"/>
      </w:divBdr>
    </w:div>
    <w:div w:id="1901674335">
      <w:bodyDiv w:val="1"/>
      <w:marLeft w:val="0"/>
      <w:marRight w:val="0"/>
      <w:marTop w:val="0"/>
      <w:marBottom w:val="0"/>
      <w:divBdr>
        <w:top w:val="none" w:sz="0" w:space="0" w:color="auto"/>
        <w:left w:val="none" w:sz="0" w:space="0" w:color="auto"/>
        <w:bottom w:val="none" w:sz="0" w:space="0" w:color="auto"/>
        <w:right w:val="none" w:sz="0" w:space="0" w:color="auto"/>
      </w:divBdr>
    </w:div>
    <w:div w:id="1902591015">
      <w:bodyDiv w:val="1"/>
      <w:marLeft w:val="0"/>
      <w:marRight w:val="0"/>
      <w:marTop w:val="0"/>
      <w:marBottom w:val="0"/>
      <w:divBdr>
        <w:top w:val="none" w:sz="0" w:space="0" w:color="auto"/>
        <w:left w:val="none" w:sz="0" w:space="0" w:color="auto"/>
        <w:bottom w:val="none" w:sz="0" w:space="0" w:color="auto"/>
        <w:right w:val="none" w:sz="0" w:space="0" w:color="auto"/>
      </w:divBdr>
    </w:div>
    <w:div w:id="1902670819">
      <w:bodyDiv w:val="1"/>
      <w:marLeft w:val="0"/>
      <w:marRight w:val="0"/>
      <w:marTop w:val="0"/>
      <w:marBottom w:val="0"/>
      <w:divBdr>
        <w:top w:val="none" w:sz="0" w:space="0" w:color="auto"/>
        <w:left w:val="none" w:sz="0" w:space="0" w:color="auto"/>
        <w:bottom w:val="none" w:sz="0" w:space="0" w:color="auto"/>
        <w:right w:val="none" w:sz="0" w:space="0" w:color="auto"/>
      </w:divBdr>
    </w:div>
    <w:div w:id="1903825779">
      <w:bodyDiv w:val="1"/>
      <w:marLeft w:val="0"/>
      <w:marRight w:val="0"/>
      <w:marTop w:val="0"/>
      <w:marBottom w:val="0"/>
      <w:divBdr>
        <w:top w:val="none" w:sz="0" w:space="0" w:color="auto"/>
        <w:left w:val="none" w:sz="0" w:space="0" w:color="auto"/>
        <w:bottom w:val="none" w:sz="0" w:space="0" w:color="auto"/>
        <w:right w:val="none" w:sz="0" w:space="0" w:color="auto"/>
      </w:divBdr>
    </w:div>
    <w:div w:id="1904289540">
      <w:bodyDiv w:val="1"/>
      <w:marLeft w:val="0"/>
      <w:marRight w:val="0"/>
      <w:marTop w:val="0"/>
      <w:marBottom w:val="0"/>
      <w:divBdr>
        <w:top w:val="none" w:sz="0" w:space="0" w:color="auto"/>
        <w:left w:val="none" w:sz="0" w:space="0" w:color="auto"/>
        <w:bottom w:val="none" w:sz="0" w:space="0" w:color="auto"/>
        <w:right w:val="none" w:sz="0" w:space="0" w:color="auto"/>
      </w:divBdr>
    </w:div>
    <w:div w:id="1904758823">
      <w:bodyDiv w:val="1"/>
      <w:marLeft w:val="0"/>
      <w:marRight w:val="0"/>
      <w:marTop w:val="0"/>
      <w:marBottom w:val="0"/>
      <w:divBdr>
        <w:top w:val="none" w:sz="0" w:space="0" w:color="auto"/>
        <w:left w:val="none" w:sz="0" w:space="0" w:color="auto"/>
        <w:bottom w:val="none" w:sz="0" w:space="0" w:color="auto"/>
        <w:right w:val="none" w:sz="0" w:space="0" w:color="auto"/>
      </w:divBdr>
    </w:div>
    <w:div w:id="1905867384">
      <w:bodyDiv w:val="1"/>
      <w:marLeft w:val="0"/>
      <w:marRight w:val="0"/>
      <w:marTop w:val="0"/>
      <w:marBottom w:val="0"/>
      <w:divBdr>
        <w:top w:val="none" w:sz="0" w:space="0" w:color="auto"/>
        <w:left w:val="none" w:sz="0" w:space="0" w:color="auto"/>
        <w:bottom w:val="none" w:sz="0" w:space="0" w:color="auto"/>
        <w:right w:val="none" w:sz="0" w:space="0" w:color="auto"/>
      </w:divBdr>
    </w:div>
    <w:div w:id="1905947431">
      <w:bodyDiv w:val="1"/>
      <w:marLeft w:val="0"/>
      <w:marRight w:val="0"/>
      <w:marTop w:val="0"/>
      <w:marBottom w:val="0"/>
      <w:divBdr>
        <w:top w:val="none" w:sz="0" w:space="0" w:color="auto"/>
        <w:left w:val="none" w:sz="0" w:space="0" w:color="auto"/>
        <w:bottom w:val="none" w:sz="0" w:space="0" w:color="auto"/>
        <w:right w:val="none" w:sz="0" w:space="0" w:color="auto"/>
      </w:divBdr>
    </w:div>
    <w:div w:id="1906716802">
      <w:bodyDiv w:val="1"/>
      <w:marLeft w:val="0"/>
      <w:marRight w:val="0"/>
      <w:marTop w:val="0"/>
      <w:marBottom w:val="0"/>
      <w:divBdr>
        <w:top w:val="none" w:sz="0" w:space="0" w:color="auto"/>
        <w:left w:val="none" w:sz="0" w:space="0" w:color="auto"/>
        <w:bottom w:val="none" w:sz="0" w:space="0" w:color="auto"/>
        <w:right w:val="none" w:sz="0" w:space="0" w:color="auto"/>
      </w:divBdr>
    </w:div>
    <w:div w:id="1909606922">
      <w:bodyDiv w:val="1"/>
      <w:marLeft w:val="0"/>
      <w:marRight w:val="0"/>
      <w:marTop w:val="0"/>
      <w:marBottom w:val="0"/>
      <w:divBdr>
        <w:top w:val="none" w:sz="0" w:space="0" w:color="auto"/>
        <w:left w:val="none" w:sz="0" w:space="0" w:color="auto"/>
        <w:bottom w:val="none" w:sz="0" w:space="0" w:color="auto"/>
        <w:right w:val="none" w:sz="0" w:space="0" w:color="auto"/>
      </w:divBdr>
    </w:div>
    <w:div w:id="1909801010">
      <w:bodyDiv w:val="1"/>
      <w:marLeft w:val="0"/>
      <w:marRight w:val="0"/>
      <w:marTop w:val="0"/>
      <w:marBottom w:val="0"/>
      <w:divBdr>
        <w:top w:val="none" w:sz="0" w:space="0" w:color="auto"/>
        <w:left w:val="none" w:sz="0" w:space="0" w:color="auto"/>
        <w:bottom w:val="none" w:sz="0" w:space="0" w:color="auto"/>
        <w:right w:val="none" w:sz="0" w:space="0" w:color="auto"/>
      </w:divBdr>
    </w:div>
    <w:div w:id="1909880106">
      <w:bodyDiv w:val="1"/>
      <w:marLeft w:val="0"/>
      <w:marRight w:val="0"/>
      <w:marTop w:val="0"/>
      <w:marBottom w:val="0"/>
      <w:divBdr>
        <w:top w:val="none" w:sz="0" w:space="0" w:color="auto"/>
        <w:left w:val="none" w:sz="0" w:space="0" w:color="auto"/>
        <w:bottom w:val="none" w:sz="0" w:space="0" w:color="auto"/>
        <w:right w:val="none" w:sz="0" w:space="0" w:color="auto"/>
      </w:divBdr>
    </w:div>
    <w:div w:id="1909925560">
      <w:bodyDiv w:val="1"/>
      <w:marLeft w:val="0"/>
      <w:marRight w:val="0"/>
      <w:marTop w:val="0"/>
      <w:marBottom w:val="0"/>
      <w:divBdr>
        <w:top w:val="none" w:sz="0" w:space="0" w:color="auto"/>
        <w:left w:val="none" w:sz="0" w:space="0" w:color="auto"/>
        <w:bottom w:val="none" w:sz="0" w:space="0" w:color="auto"/>
        <w:right w:val="none" w:sz="0" w:space="0" w:color="auto"/>
      </w:divBdr>
    </w:div>
    <w:div w:id="1910336963">
      <w:bodyDiv w:val="1"/>
      <w:marLeft w:val="0"/>
      <w:marRight w:val="0"/>
      <w:marTop w:val="0"/>
      <w:marBottom w:val="0"/>
      <w:divBdr>
        <w:top w:val="none" w:sz="0" w:space="0" w:color="auto"/>
        <w:left w:val="none" w:sz="0" w:space="0" w:color="auto"/>
        <w:bottom w:val="none" w:sz="0" w:space="0" w:color="auto"/>
        <w:right w:val="none" w:sz="0" w:space="0" w:color="auto"/>
      </w:divBdr>
    </w:div>
    <w:div w:id="1911380185">
      <w:bodyDiv w:val="1"/>
      <w:marLeft w:val="0"/>
      <w:marRight w:val="0"/>
      <w:marTop w:val="0"/>
      <w:marBottom w:val="0"/>
      <w:divBdr>
        <w:top w:val="none" w:sz="0" w:space="0" w:color="auto"/>
        <w:left w:val="none" w:sz="0" w:space="0" w:color="auto"/>
        <w:bottom w:val="none" w:sz="0" w:space="0" w:color="auto"/>
        <w:right w:val="none" w:sz="0" w:space="0" w:color="auto"/>
      </w:divBdr>
    </w:div>
    <w:div w:id="1912039899">
      <w:bodyDiv w:val="1"/>
      <w:marLeft w:val="0"/>
      <w:marRight w:val="0"/>
      <w:marTop w:val="0"/>
      <w:marBottom w:val="0"/>
      <w:divBdr>
        <w:top w:val="none" w:sz="0" w:space="0" w:color="auto"/>
        <w:left w:val="none" w:sz="0" w:space="0" w:color="auto"/>
        <w:bottom w:val="none" w:sz="0" w:space="0" w:color="auto"/>
        <w:right w:val="none" w:sz="0" w:space="0" w:color="auto"/>
      </w:divBdr>
    </w:div>
    <w:div w:id="1912227113">
      <w:bodyDiv w:val="1"/>
      <w:marLeft w:val="0"/>
      <w:marRight w:val="0"/>
      <w:marTop w:val="0"/>
      <w:marBottom w:val="0"/>
      <w:divBdr>
        <w:top w:val="none" w:sz="0" w:space="0" w:color="auto"/>
        <w:left w:val="none" w:sz="0" w:space="0" w:color="auto"/>
        <w:bottom w:val="none" w:sz="0" w:space="0" w:color="auto"/>
        <w:right w:val="none" w:sz="0" w:space="0" w:color="auto"/>
      </w:divBdr>
    </w:div>
    <w:div w:id="1912503350">
      <w:bodyDiv w:val="1"/>
      <w:marLeft w:val="0"/>
      <w:marRight w:val="0"/>
      <w:marTop w:val="0"/>
      <w:marBottom w:val="0"/>
      <w:divBdr>
        <w:top w:val="none" w:sz="0" w:space="0" w:color="auto"/>
        <w:left w:val="none" w:sz="0" w:space="0" w:color="auto"/>
        <w:bottom w:val="none" w:sz="0" w:space="0" w:color="auto"/>
        <w:right w:val="none" w:sz="0" w:space="0" w:color="auto"/>
      </w:divBdr>
    </w:div>
    <w:div w:id="1912618265">
      <w:bodyDiv w:val="1"/>
      <w:marLeft w:val="0"/>
      <w:marRight w:val="0"/>
      <w:marTop w:val="0"/>
      <w:marBottom w:val="0"/>
      <w:divBdr>
        <w:top w:val="none" w:sz="0" w:space="0" w:color="auto"/>
        <w:left w:val="none" w:sz="0" w:space="0" w:color="auto"/>
        <w:bottom w:val="none" w:sz="0" w:space="0" w:color="auto"/>
        <w:right w:val="none" w:sz="0" w:space="0" w:color="auto"/>
      </w:divBdr>
    </w:div>
    <w:div w:id="1914968429">
      <w:bodyDiv w:val="1"/>
      <w:marLeft w:val="0"/>
      <w:marRight w:val="0"/>
      <w:marTop w:val="0"/>
      <w:marBottom w:val="0"/>
      <w:divBdr>
        <w:top w:val="none" w:sz="0" w:space="0" w:color="auto"/>
        <w:left w:val="none" w:sz="0" w:space="0" w:color="auto"/>
        <w:bottom w:val="none" w:sz="0" w:space="0" w:color="auto"/>
        <w:right w:val="none" w:sz="0" w:space="0" w:color="auto"/>
      </w:divBdr>
    </w:div>
    <w:div w:id="1915236759">
      <w:bodyDiv w:val="1"/>
      <w:marLeft w:val="0"/>
      <w:marRight w:val="0"/>
      <w:marTop w:val="0"/>
      <w:marBottom w:val="0"/>
      <w:divBdr>
        <w:top w:val="none" w:sz="0" w:space="0" w:color="auto"/>
        <w:left w:val="none" w:sz="0" w:space="0" w:color="auto"/>
        <w:bottom w:val="none" w:sz="0" w:space="0" w:color="auto"/>
        <w:right w:val="none" w:sz="0" w:space="0" w:color="auto"/>
      </w:divBdr>
    </w:div>
    <w:div w:id="1917353644">
      <w:bodyDiv w:val="1"/>
      <w:marLeft w:val="0"/>
      <w:marRight w:val="0"/>
      <w:marTop w:val="0"/>
      <w:marBottom w:val="0"/>
      <w:divBdr>
        <w:top w:val="none" w:sz="0" w:space="0" w:color="auto"/>
        <w:left w:val="none" w:sz="0" w:space="0" w:color="auto"/>
        <w:bottom w:val="none" w:sz="0" w:space="0" w:color="auto"/>
        <w:right w:val="none" w:sz="0" w:space="0" w:color="auto"/>
      </w:divBdr>
    </w:div>
    <w:div w:id="1917667741">
      <w:bodyDiv w:val="1"/>
      <w:marLeft w:val="0"/>
      <w:marRight w:val="0"/>
      <w:marTop w:val="0"/>
      <w:marBottom w:val="0"/>
      <w:divBdr>
        <w:top w:val="none" w:sz="0" w:space="0" w:color="auto"/>
        <w:left w:val="none" w:sz="0" w:space="0" w:color="auto"/>
        <w:bottom w:val="none" w:sz="0" w:space="0" w:color="auto"/>
        <w:right w:val="none" w:sz="0" w:space="0" w:color="auto"/>
      </w:divBdr>
    </w:div>
    <w:div w:id="1918396742">
      <w:bodyDiv w:val="1"/>
      <w:marLeft w:val="0"/>
      <w:marRight w:val="0"/>
      <w:marTop w:val="0"/>
      <w:marBottom w:val="0"/>
      <w:divBdr>
        <w:top w:val="none" w:sz="0" w:space="0" w:color="auto"/>
        <w:left w:val="none" w:sz="0" w:space="0" w:color="auto"/>
        <w:bottom w:val="none" w:sz="0" w:space="0" w:color="auto"/>
        <w:right w:val="none" w:sz="0" w:space="0" w:color="auto"/>
      </w:divBdr>
    </w:div>
    <w:div w:id="1920095667">
      <w:bodyDiv w:val="1"/>
      <w:marLeft w:val="0"/>
      <w:marRight w:val="0"/>
      <w:marTop w:val="0"/>
      <w:marBottom w:val="0"/>
      <w:divBdr>
        <w:top w:val="none" w:sz="0" w:space="0" w:color="auto"/>
        <w:left w:val="none" w:sz="0" w:space="0" w:color="auto"/>
        <w:bottom w:val="none" w:sz="0" w:space="0" w:color="auto"/>
        <w:right w:val="none" w:sz="0" w:space="0" w:color="auto"/>
      </w:divBdr>
    </w:div>
    <w:div w:id="1922373501">
      <w:bodyDiv w:val="1"/>
      <w:marLeft w:val="0"/>
      <w:marRight w:val="0"/>
      <w:marTop w:val="0"/>
      <w:marBottom w:val="0"/>
      <w:divBdr>
        <w:top w:val="none" w:sz="0" w:space="0" w:color="auto"/>
        <w:left w:val="none" w:sz="0" w:space="0" w:color="auto"/>
        <w:bottom w:val="none" w:sz="0" w:space="0" w:color="auto"/>
        <w:right w:val="none" w:sz="0" w:space="0" w:color="auto"/>
      </w:divBdr>
    </w:div>
    <w:div w:id="1922449688">
      <w:bodyDiv w:val="1"/>
      <w:marLeft w:val="0"/>
      <w:marRight w:val="0"/>
      <w:marTop w:val="0"/>
      <w:marBottom w:val="0"/>
      <w:divBdr>
        <w:top w:val="none" w:sz="0" w:space="0" w:color="auto"/>
        <w:left w:val="none" w:sz="0" w:space="0" w:color="auto"/>
        <w:bottom w:val="none" w:sz="0" w:space="0" w:color="auto"/>
        <w:right w:val="none" w:sz="0" w:space="0" w:color="auto"/>
      </w:divBdr>
    </w:div>
    <w:div w:id="1922569092">
      <w:bodyDiv w:val="1"/>
      <w:marLeft w:val="0"/>
      <w:marRight w:val="0"/>
      <w:marTop w:val="0"/>
      <w:marBottom w:val="0"/>
      <w:divBdr>
        <w:top w:val="none" w:sz="0" w:space="0" w:color="auto"/>
        <w:left w:val="none" w:sz="0" w:space="0" w:color="auto"/>
        <w:bottom w:val="none" w:sz="0" w:space="0" w:color="auto"/>
        <w:right w:val="none" w:sz="0" w:space="0" w:color="auto"/>
      </w:divBdr>
    </w:div>
    <w:div w:id="1922834779">
      <w:bodyDiv w:val="1"/>
      <w:marLeft w:val="0"/>
      <w:marRight w:val="0"/>
      <w:marTop w:val="0"/>
      <w:marBottom w:val="0"/>
      <w:divBdr>
        <w:top w:val="none" w:sz="0" w:space="0" w:color="auto"/>
        <w:left w:val="none" w:sz="0" w:space="0" w:color="auto"/>
        <w:bottom w:val="none" w:sz="0" w:space="0" w:color="auto"/>
        <w:right w:val="none" w:sz="0" w:space="0" w:color="auto"/>
      </w:divBdr>
    </w:div>
    <w:div w:id="1923174080">
      <w:bodyDiv w:val="1"/>
      <w:marLeft w:val="0"/>
      <w:marRight w:val="0"/>
      <w:marTop w:val="0"/>
      <w:marBottom w:val="0"/>
      <w:divBdr>
        <w:top w:val="none" w:sz="0" w:space="0" w:color="auto"/>
        <w:left w:val="none" w:sz="0" w:space="0" w:color="auto"/>
        <w:bottom w:val="none" w:sz="0" w:space="0" w:color="auto"/>
        <w:right w:val="none" w:sz="0" w:space="0" w:color="auto"/>
      </w:divBdr>
    </w:div>
    <w:div w:id="1923371405">
      <w:bodyDiv w:val="1"/>
      <w:marLeft w:val="0"/>
      <w:marRight w:val="0"/>
      <w:marTop w:val="0"/>
      <w:marBottom w:val="0"/>
      <w:divBdr>
        <w:top w:val="none" w:sz="0" w:space="0" w:color="auto"/>
        <w:left w:val="none" w:sz="0" w:space="0" w:color="auto"/>
        <w:bottom w:val="none" w:sz="0" w:space="0" w:color="auto"/>
        <w:right w:val="none" w:sz="0" w:space="0" w:color="auto"/>
      </w:divBdr>
    </w:div>
    <w:div w:id="1923372072">
      <w:bodyDiv w:val="1"/>
      <w:marLeft w:val="0"/>
      <w:marRight w:val="0"/>
      <w:marTop w:val="0"/>
      <w:marBottom w:val="0"/>
      <w:divBdr>
        <w:top w:val="none" w:sz="0" w:space="0" w:color="auto"/>
        <w:left w:val="none" w:sz="0" w:space="0" w:color="auto"/>
        <w:bottom w:val="none" w:sz="0" w:space="0" w:color="auto"/>
        <w:right w:val="none" w:sz="0" w:space="0" w:color="auto"/>
      </w:divBdr>
    </w:div>
    <w:div w:id="1923761707">
      <w:bodyDiv w:val="1"/>
      <w:marLeft w:val="0"/>
      <w:marRight w:val="0"/>
      <w:marTop w:val="0"/>
      <w:marBottom w:val="0"/>
      <w:divBdr>
        <w:top w:val="none" w:sz="0" w:space="0" w:color="auto"/>
        <w:left w:val="none" w:sz="0" w:space="0" w:color="auto"/>
        <w:bottom w:val="none" w:sz="0" w:space="0" w:color="auto"/>
        <w:right w:val="none" w:sz="0" w:space="0" w:color="auto"/>
      </w:divBdr>
    </w:div>
    <w:div w:id="1924292709">
      <w:bodyDiv w:val="1"/>
      <w:marLeft w:val="0"/>
      <w:marRight w:val="0"/>
      <w:marTop w:val="0"/>
      <w:marBottom w:val="0"/>
      <w:divBdr>
        <w:top w:val="none" w:sz="0" w:space="0" w:color="auto"/>
        <w:left w:val="none" w:sz="0" w:space="0" w:color="auto"/>
        <w:bottom w:val="none" w:sz="0" w:space="0" w:color="auto"/>
        <w:right w:val="none" w:sz="0" w:space="0" w:color="auto"/>
      </w:divBdr>
    </w:div>
    <w:div w:id="1924340708">
      <w:bodyDiv w:val="1"/>
      <w:marLeft w:val="0"/>
      <w:marRight w:val="0"/>
      <w:marTop w:val="0"/>
      <w:marBottom w:val="0"/>
      <w:divBdr>
        <w:top w:val="none" w:sz="0" w:space="0" w:color="auto"/>
        <w:left w:val="none" w:sz="0" w:space="0" w:color="auto"/>
        <w:bottom w:val="none" w:sz="0" w:space="0" w:color="auto"/>
        <w:right w:val="none" w:sz="0" w:space="0" w:color="auto"/>
      </w:divBdr>
    </w:div>
    <w:div w:id="1925340117">
      <w:bodyDiv w:val="1"/>
      <w:marLeft w:val="0"/>
      <w:marRight w:val="0"/>
      <w:marTop w:val="0"/>
      <w:marBottom w:val="0"/>
      <w:divBdr>
        <w:top w:val="none" w:sz="0" w:space="0" w:color="auto"/>
        <w:left w:val="none" w:sz="0" w:space="0" w:color="auto"/>
        <w:bottom w:val="none" w:sz="0" w:space="0" w:color="auto"/>
        <w:right w:val="none" w:sz="0" w:space="0" w:color="auto"/>
      </w:divBdr>
    </w:div>
    <w:div w:id="1926647762">
      <w:bodyDiv w:val="1"/>
      <w:marLeft w:val="0"/>
      <w:marRight w:val="0"/>
      <w:marTop w:val="0"/>
      <w:marBottom w:val="0"/>
      <w:divBdr>
        <w:top w:val="none" w:sz="0" w:space="0" w:color="auto"/>
        <w:left w:val="none" w:sz="0" w:space="0" w:color="auto"/>
        <w:bottom w:val="none" w:sz="0" w:space="0" w:color="auto"/>
        <w:right w:val="none" w:sz="0" w:space="0" w:color="auto"/>
      </w:divBdr>
    </w:div>
    <w:div w:id="1927227014">
      <w:bodyDiv w:val="1"/>
      <w:marLeft w:val="0"/>
      <w:marRight w:val="0"/>
      <w:marTop w:val="0"/>
      <w:marBottom w:val="0"/>
      <w:divBdr>
        <w:top w:val="none" w:sz="0" w:space="0" w:color="auto"/>
        <w:left w:val="none" w:sz="0" w:space="0" w:color="auto"/>
        <w:bottom w:val="none" w:sz="0" w:space="0" w:color="auto"/>
        <w:right w:val="none" w:sz="0" w:space="0" w:color="auto"/>
      </w:divBdr>
    </w:div>
    <w:div w:id="1928884861">
      <w:bodyDiv w:val="1"/>
      <w:marLeft w:val="0"/>
      <w:marRight w:val="0"/>
      <w:marTop w:val="0"/>
      <w:marBottom w:val="0"/>
      <w:divBdr>
        <w:top w:val="none" w:sz="0" w:space="0" w:color="auto"/>
        <w:left w:val="none" w:sz="0" w:space="0" w:color="auto"/>
        <w:bottom w:val="none" w:sz="0" w:space="0" w:color="auto"/>
        <w:right w:val="none" w:sz="0" w:space="0" w:color="auto"/>
      </w:divBdr>
    </w:div>
    <w:div w:id="1933513553">
      <w:bodyDiv w:val="1"/>
      <w:marLeft w:val="0"/>
      <w:marRight w:val="0"/>
      <w:marTop w:val="0"/>
      <w:marBottom w:val="0"/>
      <w:divBdr>
        <w:top w:val="none" w:sz="0" w:space="0" w:color="auto"/>
        <w:left w:val="none" w:sz="0" w:space="0" w:color="auto"/>
        <w:bottom w:val="none" w:sz="0" w:space="0" w:color="auto"/>
        <w:right w:val="none" w:sz="0" w:space="0" w:color="auto"/>
      </w:divBdr>
    </w:div>
    <w:div w:id="1935556463">
      <w:bodyDiv w:val="1"/>
      <w:marLeft w:val="0"/>
      <w:marRight w:val="0"/>
      <w:marTop w:val="0"/>
      <w:marBottom w:val="0"/>
      <w:divBdr>
        <w:top w:val="none" w:sz="0" w:space="0" w:color="auto"/>
        <w:left w:val="none" w:sz="0" w:space="0" w:color="auto"/>
        <w:bottom w:val="none" w:sz="0" w:space="0" w:color="auto"/>
        <w:right w:val="none" w:sz="0" w:space="0" w:color="auto"/>
      </w:divBdr>
    </w:div>
    <w:div w:id="1938369345">
      <w:bodyDiv w:val="1"/>
      <w:marLeft w:val="0"/>
      <w:marRight w:val="0"/>
      <w:marTop w:val="0"/>
      <w:marBottom w:val="0"/>
      <w:divBdr>
        <w:top w:val="none" w:sz="0" w:space="0" w:color="auto"/>
        <w:left w:val="none" w:sz="0" w:space="0" w:color="auto"/>
        <w:bottom w:val="none" w:sz="0" w:space="0" w:color="auto"/>
        <w:right w:val="none" w:sz="0" w:space="0" w:color="auto"/>
      </w:divBdr>
    </w:div>
    <w:div w:id="1941793000">
      <w:bodyDiv w:val="1"/>
      <w:marLeft w:val="0"/>
      <w:marRight w:val="0"/>
      <w:marTop w:val="0"/>
      <w:marBottom w:val="0"/>
      <w:divBdr>
        <w:top w:val="none" w:sz="0" w:space="0" w:color="auto"/>
        <w:left w:val="none" w:sz="0" w:space="0" w:color="auto"/>
        <w:bottom w:val="none" w:sz="0" w:space="0" w:color="auto"/>
        <w:right w:val="none" w:sz="0" w:space="0" w:color="auto"/>
      </w:divBdr>
    </w:div>
    <w:div w:id="1944456278">
      <w:bodyDiv w:val="1"/>
      <w:marLeft w:val="0"/>
      <w:marRight w:val="0"/>
      <w:marTop w:val="0"/>
      <w:marBottom w:val="0"/>
      <w:divBdr>
        <w:top w:val="none" w:sz="0" w:space="0" w:color="auto"/>
        <w:left w:val="none" w:sz="0" w:space="0" w:color="auto"/>
        <w:bottom w:val="none" w:sz="0" w:space="0" w:color="auto"/>
        <w:right w:val="none" w:sz="0" w:space="0" w:color="auto"/>
      </w:divBdr>
    </w:div>
    <w:div w:id="1944535189">
      <w:bodyDiv w:val="1"/>
      <w:marLeft w:val="0"/>
      <w:marRight w:val="0"/>
      <w:marTop w:val="0"/>
      <w:marBottom w:val="0"/>
      <w:divBdr>
        <w:top w:val="none" w:sz="0" w:space="0" w:color="auto"/>
        <w:left w:val="none" w:sz="0" w:space="0" w:color="auto"/>
        <w:bottom w:val="none" w:sz="0" w:space="0" w:color="auto"/>
        <w:right w:val="none" w:sz="0" w:space="0" w:color="auto"/>
      </w:divBdr>
    </w:div>
    <w:div w:id="1945576774">
      <w:bodyDiv w:val="1"/>
      <w:marLeft w:val="0"/>
      <w:marRight w:val="0"/>
      <w:marTop w:val="0"/>
      <w:marBottom w:val="0"/>
      <w:divBdr>
        <w:top w:val="none" w:sz="0" w:space="0" w:color="auto"/>
        <w:left w:val="none" w:sz="0" w:space="0" w:color="auto"/>
        <w:bottom w:val="none" w:sz="0" w:space="0" w:color="auto"/>
        <w:right w:val="none" w:sz="0" w:space="0" w:color="auto"/>
      </w:divBdr>
    </w:div>
    <w:div w:id="1945919823">
      <w:bodyDiv w:val="1"/>
      <w:marLeft w:val="0"/>
      <w:marRight w:val="0"/>
      <w:marTop w:val="0"/>
      <w:marBottom w:val="0"/>
      <w:divBdr>
        <w:top w:val="none" w:sz="0" w:space="0" w:color="auto"/>
        <w:left w:val="none" w:sz="0" w:space="0" w:color="auto"/>
        <w:bottom w:val="none" w:sz="0" w:space="0" w:color="auto"/>
        <w:right w:val="none" w:sz="0" w:space="0" w:color="auto"/>
      </w:divBdr>
    </w:div>
    <w:div w:id="1947037747">
      <w:bodyDiv w:val="1"/>
      <w:marLeft w:val="0"/>
      <w:marRight w:val="0"/>
      <w:marTop w:val="0"/>
      <w:marBottom w:val="0"/>
      <w:divBdr>
        <w:top w:val="none" w:sz="0" w:space="0" w:color="auto"/>
        <w:left w:val="none" w:sz="0" w:space="0" w:color="auto"/>
        <w:bottom w:val="none" w:sz="0" w:space="0" w:color="auto"/>
        <w:right w:val="none" w:sz="0" w:space="0" w:color="auto"/>
      </w:divBdr>
    </w:div>
    <w:div w:id="1947074692">
      <w:bodyDiv w:val="1"/>
      <w:marLeft w:val="0"/>
      <w:marRight w:val="0"/>
      <w:marTop w:val="0"/>
      <w:marBottom w:val="0"/>
      <w:divBdr>
        <w:top w:val="none" w:sz="0" w:space="0" w:color="auto"/>
        <w:left w:val="none" w:sz="0" w:space="0" w:color="auto"/>
        <w:bottom w:val="none" w:sz="0" w:space="0" w:color="auto"/>
        <w:right w:val="none" w:sz="0" w:space="0" w:color="auto"/>
      </w:divBdr>
    </w:div>
    <w:div w:id="1947075609">
      <w:bodyDiv w:val="1"/>
      <w:marLeft w:val="0"/>
      <w:marRight w:val="0"/>
      <w:marTop w:val="0"/>
      <w:marBottom w:val="0"/>
      <w:divBdr>
        <w:top w:val="none" w:sz="0" w:space="0" w:color="auto"/>
        <w:left w:val="none" w:sz="0" w:space="0" w:color="auto"/>
        <w:bottom w:val="none" w:sz="0" w:space="0" w:color="auto"/>
        <w:right w:val="none" w:sz="0" w:space="0" w:color="auto"/>
      </w:divBdr>
    </w:div>
    <w:div w:id="1947539295">
      <w:bodyDiv w:val="1"/>
      <w:marLeft w:val="0"/>
      <w:marRight w:val="0"/>
      <w:marTop w:val="0"/>
      <w:marBottom w:val="0"/>
      <w:divBdr>
        <w:top w:val="none" w:sz="0" w:space="0" w:color="auto"/>
        <w:left w:val="none" w:sz="0" w:space="0" w:color="auto"/>
        <w:bottom w:val="none" w:sz="0" w:space="0" w:color="auto"/>
        <w:right w:val="none" w:sz="0" w:space="0" w:color="auto"/>
      </w:divBdr>
    </w:div>
    <w:div w:id="1948417200">
      <w:bodyDiv w:val="1"/>
      <w:marLeft w:val="0"/>
      <w:marRight w:val="0"/>
      <w:marTop w:val="0"/>
      <w:marBottom w:val="0"/>
      <w:divBdr>
        <w:top w:val="none" w:sz="0" w:space="0" w:color="auto"/>
        <w:left w:val="none" w:sz="0" w:space="0" w:color="auto"/>
        <w:bottom w:val="none" w:sz="0" w:space="0" w:color="auto"/>
        <w:right w:val="none" w:sz="0" w:space="0" w:color="auto"/>
      </w:divBdr>
    </w:div>
    <w:div w:id="1950694868">
      <w:bodyDiv w:val="1"/>
      <w:marLeft w:val="0"/>
      <w:marRight w:val="0"/>
      <w:marTop w:val="0"/>
      <w:marBottom w:val="0"/>
      <w:divBdr>
        <w:top w:val="none" w:sz="0" w:space="0" w:color="auto"/>
        <w:left w:val="none" w:sz="0" w:space="0" w:color="auto"/>
        <w:bottom w:val="none" w:sz="0" w:space="0" w:color="auto"/>
        <w:right w:val="none" w:sz="0" w:space="0" w:color="auto"/>
      </w:divBdr>
    </w:div>
    <w:div w:id="1953199380">
      <w:bodyDiv w:val="1"/>
      <w:marLeft w:val="0"/>
      <w:marRight w:val="0"/>
      <w:marTop w:val="0"/>
      <w:marBottom w:val="0"/>
      <w:divBdr>
        <w:top w:val="none" w:sz="0" w:space="0" w:color="auto"/>
        <w:left w:val="none" w:sz="0" w:space="0" w:color="auto"/>
        <w:bottom w:val="none" w:sz="0" w:space="0" w:color="auto"/>
        <w:right w:val="none" w:sz="0" w:space="0" w:color="auto"/>
      </w:divBdr>
    </w:div>
    <w:div w:id="1955553251">
      <w:bodyDiv w:val="1"/>
      <w:marLeft w:val="0"/>
      <w:marRight w:val="0"/>
      <w:marTop w:val="0"/>
      <w:marBottom w:val="0"/>
      <w:divBdr>
        <w:top w:val="none" w:sz="0" w:space="0" w:color="auto"/>
        <w:left w:val="none" w:sz="0" w:space="0" w:color="auto"/>
        <w:bottom w:val="none" w:sz="0" w:space="0" w:color="auto"/>
        <w:right w:val="none" w:sz="0" w:space="0" w:color="auto"/>
      </w:divBdr>
    </w:div>
    <w:div w:id="1956012778">
      <w:bodyDiv w:val="1"/>
      <w:marLeft w:val="0"/>
      <w:marRight w:val="0"/>
      <w:marTop w:val="0"/>
      <w:marBottom w:val="0"/>
      <w:divBdr>
        <w:top w:val="none" w:sz="0" w:space="0" w:color="auto"/>
        <w:left w:val="none" w:sz="0" w:space="0" w:color="auto"/>
        <w:bottom w:val="none" w:sz="0" w:space="0" w:color="auto"/>
        <w:right w:val="none" w:sz="0" w:space="0" w:color="auto"/>
      </w:divBdr>
    </w:div>
    <w:div w:id="1956986110">
      <w:bodyDiv w:val="1"/>
      <w:marLeft w:val="0"/>
      <w:marRight w:val="0"/>
      <w:marTop w:val="0"/>
      <w:marBottom w:val="0"/>
      <w:divBdr>
        <w:top w:val="none" w:sz="0" w:space="0" w:color="auto"/>
        <w:left w:val="none" w:sz="0" w:space="0" w:color="auto"/>
        <w:bottom w:val="none" w:sz="0" w:space="0" w:color="auto"/>
        <w:right w:val="none" w:sz="0" w:space="0" w:color="auto"/>
      </w:divBdr>
    </w:div>
    <w:div w:id="1959218168">
      <w:bodyDiv w:val="1"/>
      <w:marLeft w:val="0"/>
      <w:marRight w:val="0"/>
      <w:marTop w:val="0"/>
      <w:marBottom w:val="0"/>
      <w:divBdr>
        <w:top w:val="none" w:sz="0" w:space="0" w:color="auto"/>
        <w:left w:val="none" w:sz="0" w:space="0" w:color="auto"/>
        <w:bottom w:val="none" w:sz="0" w:space="0" w:color="auto"/>
        <w:right w:val="none" w:sz="0" w:space="0" w:color="auto"/>
      </w:divBdr>
    </w:div>
    <w:div w:id="1959680890">
      <w:bodyDiv w:val="1"/>
      <w:marLeft w:val="0"/>
      <w:marRight w:val="0"/>
      <w:marTop w:val="0"/>
      <w:marBottom w:val="0"/>
      <w:divBdr>
        <w:top w:val="none" w:sz="0" w:space="0" w:color="auto"/>
        <w:left w:val="none" w:sz="0" w:space="0" w:color="auto"/>
        <w:bottom w:val="none" w:sz="0" w:space="0" w:color="auto"/>
        <w:right w:val="none" w:sz="0" w:space="0" w:color="auto"/>
      </w:divBdr>
    </w:div>
    <w:div w:id="1961255207">
      <w:bodyDiv w:val="1"/>
      <w:marLeft w:val="0"/>
      <w:marRight w:val="0"/>
      <w:marTop w:val="0"/>
      <w:marBottom w:val="0"/>
      <w:divBdr>
        <w:top w:val="none" w:sz="0" w:space="0" w:color="auto"/>
        <w:left w:val="none" w:sz="0" w:space="0" w:color="auto"/>
        <w:bottom w:val="none" w:sz="0" w:space="0" w:color="auto"/>
        <w:right w:val="none" w:sz="0" w:space="0" w:color="auto"/>
      </w:divBdr>
    </w:div>
    <w:div w:id="1961908740">
      <w:bodyDiv w:val="1"/>
      <w:marLeft w:val="0"/>
      <w:marRight w:val="0"/>
      <w:marTop w:val="0"/>
      <w:marBottom w:val="0"/>
      <w:divBdr>
        <w:top w:val="none" w:sz="0" w:space="0" w:color="auto"/>
        <w:left w:val="none" w:sz="0" w:space="0" w:color="auto"/>
        <w:bottom w:val="none" w:sz="0" w:space="0" w:color="auto"/>
        <w:right w:val="none" w:sz="0" w:space="0" w:color="auto"/>
      </w:divBdr>
    </w:div>
    <w:div w:id="1962683290">
      <w:bodyDiv w:val="1"/>
      <w:marLeft w:val="0"/>
      <w:marRight w:val="0"/>
      <w:marTop w:val="0"/>
      <w:marBottom w:val="0"/>
      <w:divBdr>
        <w:top w:val="none" w:sz="0" w:space="0" w:color="auto"/>
        <w:left w:val="none" w:sz="0" w:space="0" w:color="auto"/>
        <w:bottom w:val="none" w:sz="0" w:space="0" w:color="auto"/>
        <w:right w:val="none" w:sz="0" w:space="0" w:color="auto"/>
      </w:divBdr>
    </w:div>
    <w:div w:id="1962882413">
      <w:bodyDiv w:val="1"/>
      <w:marLeft w:val="0"/>
      <w:marRight w:val="0"/>
      <w:marTop w:val="0"/>
      <w:marBottom w:val="0"/>
      <w:divBdr>
        <w:top w:val="none" w:sz="0" w:space="0" w:color="auto"/>
        <w:left w:val="none" w:sz="0" w:space="0" w:color="auto"/>
        <w:bottom w:val="none" w:sz="0" w:space="0" w:color="auto"/>
        <w:right w:val="none" w:sz="0" w:space="0" w:color="auto"/>
      </w:divBdr>
    </w:div>
    <w:div w:id="1963225584">
      <w:bodyDiv w:val="1"/>
      <w:marLeft w:val="0"/>
      <w:marRight w:val="0"/>
      <w:marTop w:val="0"/>
      <w:marBottom w:val="0"/>
      <w:divBdr>
        <w:top w:val="none" w:sz="0" w:space="0" w:color="auto"/>
        <w:left w:val="none" w:sz="0" w:space="0" w:color="auto"/>
        <w:bottom w:val="none" w:sz="0" w:space="0" w:color="auto"/>
        <w:right w:val="none" w:sz="0" w:space="0" w:color="auto"/>
      </w:divBdr>
    </w:div>
    <w:div w:id="1963613189">
      <w:bodyDiv w:val="1"/>
      <w:marLeft w:val="0"/>
      <w:marRight w:val="0"/>
      <w:marTop w:val="0"/>
      <w:marBottom w:val="0"/>
      <w:divBdr>
        <w:top w:val="none" w:sz="0" w:space="0" w:color="auto"/>
        <w:left w:val="none" w:sz="0" w:space="0" w:color="auto"/>
        <w:bottom w:val="none" w:sz="0" w:space="0" w:color="auto"/>
        <w:right w:val="none" w:sz="0" w:space="0" w:color="auto"/>
      </w:divBdr>
    </w:div>
    <w:div w:id="1964001925">
      <w:bodyDiv w:val="1"/>
      <w:marLeft w:val="0"/>
      <w:marRight w:val="0"/>
      <w:marTop w:val="0"/>
      <w:marBottom w:val="0"/>
      <w:divBdr>
        <w:top w:val="none" w:sz="0" w:space="0" w:color="auto"/>
        <w:left w:val="none" w:sz="0" w:space="0" w:color="auto"/>
        <w:bottom w:val="none" w:sz="0" w:space="0" w:color="auto"/>
        <w:right w:val="none" w:sz="0" w:space="0" w:color="auto"/>
      </w:divBdr>
    </w:div>
    <w:div w:id="1964577553">
      <w:bodyDiv w:val="1"/>
      <w:marLeft w:val="0"/>
      <w:marRight w:val="0"/>
      <w:marTop w:val="0"/>
      <w:marBottom w:val="0"/>
      <w:divBdr>
        <w:top w:val="none" w:sz="0" w:space="0" w:color="auto"/>
        <w:left w:val="none" w:sz="0" w:space="0" w:color="auto"/>
        <w:bottom w:val="none" w:sz="0" w:space="0" w:color="auto"/>
        <w:right w:val="none" w:sz="0" w:space="0" w:color="auto"/>
      </w:divBdr>
    </w:div>
    <w:div w:id="1965425394">
      <w:bodyDiv w:val="1"/>
      <w:marLeft w:val="0"/>
      <w:marRight w:val="0"/>
      <w:marTop w:val="0"/>
      <w:marBottom w:val="0"/>
      <w:divBdr>
        <w:top w:val="none" w:sz="0" w:space="0" w:color="auto"/>
        <w:left w:val="none" w:sz="0" w:space="0" w:color="auto"/>
        <w:bottom w:val="none" w:sz="0" w:space="0" w:color="auto"/>
        <w:right w:val="none" w:sz="0" w:space="0" w:color="auto"/>
      </w:divBdr>
    </w:div>
    <w:div w:id="1965503558">
      <w:bodyDiv w:val="1"/>
      <w:marLeft w:val="0"/>
      <w:marRight w:val="0"/>
      <w:marTop w:val="0"/>
      <w:marBottom w:val="0"/>
      <w:divBdr>
        <w:top w:val="none" w:sz="0" w:space="0" w:color="auto"/>
        <w:left w:val="none" w:sz="0" w:space="0" w:color="auto"/>
        <w:bottom w:val="none" w:sz="0" w:space="0" w:color="auto"/>
        <w:right w:val="none" w:sz="0" w:space="0" w:color="auto"/>
      </w:divBdr>
    </w:div>
    <w:div w:id="1966156201">
      <w:bodyDiv w:val="1"/>
      <w:marLeft w:val="0"/>
      <w:marRight w:val="0"/>
      <w:marTop w:val="0"/>
      <w:marBottom w:val="0"/>
      <w:divBdr>
        <w:top w:val="none" w:sz="0" w:space="0" w:color="auto"/>
        <w:left w:val="none" w:sz="0" w:space="0" w:color="auto"/>
        <w:bottom w:val="none" w:sz="0" w:space="0" w:color="auto"/>
        <w:right w:val="none" w:sz="0" w:space="0" w:color="auto"/>
      </w:divBdr>
    </w:div>
    <w:div w:id="1967005789">
      <w:bodyDiv w:val="1"/>
      <w:marLeft w:val="0"/>
      <w:marRight w:val="0"/>
      <w:marTop w:val="0"/>
      <w:marBottom w:val="0"/>
      <w:divBdr>
        <w:top w:val="none" w:sz="0" w:space="0" w:color="auto"/>
        <w:left w:val="none" w:sz="0" w:space="0" w:color="auto"/>
        <w:bottom w:val="none" w:sz="0" w:space="0" w:color="auto"/>
        <w:right w:val="none" w:sz="0" w:space="0" w:color="auto"/>
      </w:divBdr>
    </w:div>
    <w:div w:id="1967152324">
      <w:bodyDiv w:val="1"/>
      <w:marLeft w:val="0"/>
      <w:marRight w:val="0"/>
      <w:marTop w:val="0"/>
      <w:marBottom w:val="0"/>
      <w:divBdr>
        <w:top w:val="none" w:sz="0" w:space="0" w:color="auto"/>
        <w:left w:val="none" w:sz="0" w:space="0" w:color="auto"/>
        <w:bottom w:val="none" w:sz="0" w:space="0" w:color="auto"/>
        <w:right w:val="none" w:sz="0" w:space="0" w:color="auto"/>
      </w:divBdr>
    </w:div>
    <w:div w:id="1968000999">
      <w:bodyDiv w:val="1"/>
      <w:marLeft w:val="0"/>
      <w:marRight w:val="0"/>
      <w:marTop w:val="0"/>
      <w:marBottom w:val="0"/>
      <w:divBdr>
        <w:top w:val="none" w:sz="0" w:space="0" w:color="auto"/>
        <w:left w:val="none" w:sz="0" w:space="0" w:color="auto"/>
        <w:bottom w:val="none" w:sz="0" w:space="0" w:color="auto"/>
        <w:right w:val="none" w:sz="0" w:space="0" w:color="auto"/>
      </w:divBdr>
    </w:div>
    <w:div w:id="1968664366">
      <w:bodyDiv w:val="1"/>
      <w:marLeft w:val="0"/>
      <w:marRight w:val="0"/>
      <w:marTop w:val="0"/>
      <w:marBottom w:val="0"/>
      <w:divBdr>
        <w:top w:val="none" w:sz="0" w:space="0" w:color="auto"/>
        <w:left w:val="none" w:sz="0" w:space="0" w:color="auto"/>
        <w:bottom w:val="none" w:sz="0" w:space="0" w:color="auto"/>
        <w:right w:val="none" w:sz="0" w:space="0" w:color="auto"/>
      </w:divBdr>
    </w:div>
    <w:div w:id="1969815889">
      <w:bodyDiv w:val="1"/>
      <w:marLeft w:val="0"/>
      <w:marRight w:val="0"/>
      <w:marTop w:val="0"/>
      <w:marBottom w:val="0"/>
      <w:divBdr>
        <w:top w:val="none" w:sz="0" w:space="0" w:color="auto"/>
        <w:left w:val="none" w:sz="0" w:space="0" w:color="auto"/>
        <w:bottom w:val="none" w:sz="0" w:space="0" w:color="auto"/>
        <w:right w:val="none" w:sz="0" w:space="0" w:color="auto"/>
      </w:divBdr>
    </w:div>
    <w:div w:id="1970166255">
      <w:bodyDiv w:val="1"/>
      <w:marLeft w:val="0"/>
      <w:marRight w:val="0"/>
      <w:marTop w:val="0"/>
      <w:marBottom w:val="0"/>
      <w:divBdr>
        <w:top w:val="none" w:sz="0" w:space="0" w:color="auto"/>
        <w:left w:val="none" w:sz="0" w:space="0" w:color="auto"/>
        <w:bottom w:val="none" w:sz="0" w:space="0" w:color="auto"/>
        <w:right w:val="none" w:sz="0" w:space="0" w:color="auto"/>
      </w:divBdr>
    </w:div>
    <w:div w:id="1970549807">
      <w:bodyDiv w:val="1"/>
      <w:marLeft w:val="0"/>
      <w:marRight w:val="0"/>
      <w:marTop w:val="0"/>
      <w:marBottom w:val="0"/>
      <w:divBdr>
        <w:top w:val="none" w:sz="0" w:space="0" w:color="auto"/>
        <w:left w:val="none" w:sz="0" w:space="0" w:color="auto"/>
        <w:bottom w:val="none" w:sz="0" w:space="0" w:color="auto"/>
        <w:right w:val="none" w:sz="0" w:space="0" w:color="auto"/>
      </w:divBdr>
    </w:div>
    <w:div w:id="1970627488">
      <w:bodyDiv w:val="1"/>
      <w:marLeft w:val="0"/>
      <w:marRight w:val="0"/>
      <w:marTop w:val="0"/>
      <w:marBottom w:val="0"/>
      <w:divBdr>
        <w:top w:val="none" w:sz="0" w:space="0" w:color="auto"/>
        <w:left w:val="none" w:sz="0" w:space="0" w:color="auto"/>
        <w:bottom w:val="none" w:sz="0" w:space="0" w:color="auto"/>
        <w:right w:val="none" w:sz="0" w:space="0" w:color="auto"/>
      </w:divBdr>
    </w:div>
    <w:div w:id="1971354034">
      <w:bodyDiv w:val="1"/>
      <w:marLeft w:val="0"/>
      <w:marRight w:val="0"/>
      <w:marTop w:val="0"/>
      <w:marBottom w:val="0"/>
      <w:divBdr>
        <w:top w:val="none" w:sz="0" w:space="0" w:color="auto"/>
        <w:left w:val="none" w:sz="0" w:space="0" w:color="auto"/>
        <w:bottom w:val="none" w:sz="0" w:space="0" w:color="auto"/>
        <w:right w:val="none" w:sz="0" w:space="0" w:color="auto"/>
      </w:divBdr>
    </w:div>
    <w:div w:id="1972201915">
      <w:bodyDiv w:val="1"/>
      <w:marLeft w:val="0"/>
      <w:marRight w:val="0"/>
      <w:marTop w:val="0"/>
      <w:marBottom w:val="0"/>
      <w:divBdr>
        <w:top w:val="none" w:sz="0" w:space="0" w:color="auto"/>
        <w:left w:val="none" w:sz="0" w:space="0" w:color="auto"/>
        <w:bottom w:val="none" w:sz="0" w:space="0" w:color="auto"/>
        <w:right w:val="none" w:sz="0" w:space="0" w:color="auto"/>
      </w:divBdr>
    </w:div>
    <w:div w:id="1972325972">
      <w:bodyDiv w:val="1"/>
      <w:marLeft w:val="0"/>
      <w:marRight w:val="0"/>
      <w:marTop w:val="0"/>
      <w:marBottom w:val="0"/>
      <w:divBdr>
        <w:top w:val="none" w:sz="0" w:space="0" w:color="auto"/>
        <w:left w:val="none" w:sz="0" w:space="0" w:color="auto"/>
        <w:bottom w:val="none" w:sz="0" w:space="0" w:color="auto"/>
        <w:right w:val="none" w:sz="0" w:space="0" w:color="auto"/>
      </w:divBdr>
    </w:div>
    <w:div w:id="1972663110">
      <w:bodyDiv w:val="1"/>
      <w:marLeft w:val="0"/>
      <w:marRight w:val="0"/>
      <w:marTop w:val="0"/>
      <w:marBottom w:val="0"/>
      <w:divBdr>
        <w:top w:val="none" w:sz="0" w:space="0" w:color="auto"/>
        <w:left w:val="none" w:sz="0" w:space="0" w:color="auto"/>
        <w:bottom w:val="none" w:sz="0" w:space="0" w:color="auto"/>
        <w:right w:val="none" w:sz="0" w:space="0" w:color="auto"/>
      </w:divBdr>
    </w:div>
    <w:div w:id="1972979634">
      <w:bodyDiv w:val="1"/>
      <w:marLeft w:val="0"/>
      <w:marRight w:val="0"/>
      <w:marTop w:val="0"/>
      <w:marBottom w:val="0"/>
      <w:divBdr>
        <w:top w:val="none" w:sz="0" w:space="0" w:color="auto"/>
        <w:left w:val="none" w:sz="0" w:space="0" w:color="auto"/>
        <w:bottom w:val="none" w:sz="0" w:space="0" w:color="auto"/>
        <w:right w:val="none" w:sz="0" w:space="0" w:color="auto"/>
      </w:divBdr>
    </w:div>
    <w:div w:id="1975132066">
      <w:bodyDiv w:val="1"/>
      <w:marLeft w:val="0"/>
      <w:marRight w:val="0"/>
      <w:marTop w:val="0"/>
      <w:marBottom w:val="0"/>
      <w:divBdr>
        <w:top w:val="none" w:sz="0" w:space="0" w:color="auto"/>
        <w:left w:val="none" w:sz="0" w:space="0" w:color="auto"/>
        <w:bottom w:val="none" w:sz="0" w:space="0" w:color="auto"/>
        <w:right w:val="none" w:sz="0" w:space="0" w:color="auto"/>
      </w:divBdr>
    </w:div>
    <w:div w:id="1975519412">
      <w:bodyDiv w:val="1"/>
      <w:marLeft w:val="0"/>
      <w:marRight w:val="0"/>
      <w:marTop w:val="0"/>
      <w:marBottom w:val="0"/>
      <w:divBdr>
        <w:top w:val="none" w:sz="0" w:space="0" w:color="auto"/>
        <w:left w:val="none" w:sz="0" w:space="0" w:color="auto"/>
        <w:bottom w:val="none" w:sz="0" w:space="0" w:color="auto"/>
        <w:right w:val="none" w:sz="0" w:space="0" w:color="auto"/>
      </w:divBdr>
    </w:div>
    <w:div w:id="1975527771">
      <w:bodyDiv w:val="1"/>
      <w:marLeft w:val="0"/>
      <w:marRight w:val="0"/>
      <w:marTop w:val="0"/>
      <w:marBottom w:val="0"/>
      <w:divBdr>
        <w:top w:val="none" w:sz="0" w:space="0" w:color="auto"/>
        <w:left w:val="none" w:sz="0" w:space="0" w:color="auto"/>
        <w:bottom w:val="none" w:sz="0" w:space="0" w:color="auto"/>
        <w:right w:val="none" w:sz="0" w:space="0" w:color="auto"/>
      </w:divBdr>
    </w:div>
    <w:div w:id="1975602986">
      <w:bodyDiv w:val="1"/>
      <w:marLeft w:val="0"/>
      <w:marRight w:val="0"/>
      <w:marTop w:val="0"/>
      <w:marBottom w:val="0"/>
      <w:divBdr>
        <w:top w:val="none" w:sz="0" w:space="0" w:color="auto"/>
        <w:left w:val="none" w:sz="0" w:space="0" w:color="auto"/>
        <w:bottom w:val="none" w:sz="0" w:space="0" w:color="auto"/>
        <w:right w:val="none" w:sz="0" w:space="0" w:color="auto"/>
      </w:divBdr>
    </w:div>
    <w:div w:id="1977490657">
      <w:bodyDiv w:val="1"/>
      <w:marLeft w:val="0"/>
      <w:marRight w:val="0"/>
      <w:marTop w:val="0"/>
      <w:marBottom w:val="0"/>
      <w:divBdr>
        <w:top w:val="none" w:sz="0" w:space="0" w:color="auto"/>
        <w:left w:val="none" w:sz="0" w:space="0" w:color="auto"/>
        <w:bottom w:val="none" w:sz="0" w:space="0" w:color="auto"/>
        <w:right w:val="none" w:sz="0" w:space="0" w:color="auto"/>
      </w:divBdr>
    </w:div>
    <w:div w:id="1977906987">
      <w:bodyDiv w:val="1"/>
      <w:marLeft w:val="0"/>
      <w:marRight w:val="0"/>
      <w:marTop w:val="0"/>
      <w:marBottom w:val="0"/>
      <w:divBdr>
        <w:top w:val="none" w:sz="0" w:space="0" w:color="auto"/>
        <w:left w:val="none" w:sz="0" w:space="0" w:color="auto"/>
        <w:bottom w:val="none" w:sz="0" w:space="0" w:color="auto"/>
        <w:right w:val="none" w:sz="0" w:space="0" w:color="auto"/>
      </w:divBdr>
    </w:div>
    <w:div w:id="1979846487">
      <w:bodyDiv w:val="1"/>
      <w:marLeft w:val="0"/>
      <w:marRight w:val="0"/>
      <w:marTop w:val="0"/>
      <w:marBottom w:val="0"/>
      <w:divBdr>
        <w:top w:val="none" w:sz="0" w:space="0" w:color="auto"/>
        <w:left w:val="none" w:sz="0" w:space="0" w:color="auto"/>
        <w:bottom w:val="none" w:sz="0" w:space="0" w:color="auto"/>
        <w:right w:val="none" w:sz="0" w:space="0" w:color="auto"/>
      </w:divBdr>
    </w:div>
    <w:div w:id="1980263260">
      <w:bodyDiv w:val="1"/>
      <w:marLeft w:val="0"/>
      <w:marRight w:val="0"/>
      <w:marTop w:val="0"/>
      <w:marBottom w:val="0"/>
      <w:divBdr>
        <w:top w:val="none" w:sz="0" w:space="0" w:color="auto"/>
        <w:left w:val="none" w:sz="0" w:space="0" w:color="auto"/>
        <w:bottom w:val="none" w:sz="0" w:space="0" w:color="auto"/>
        <w:right w:val="none" w:sz="0" w:space="0" w:color="auto"/>
      </w:divBdr>
    </w:div>
    <w:div w:id="1980575519">
      <w:bodyDiv w:val="1"/>
      <w:marLeft w:val="0"/>
      <w:marRight w:val="0"/>
      <w:marTop w:val="0"/>
      <w:marBottom w:val="0"/>
      <w:divBdr>
        <w:top w:val="none" w:sz="0" w:space="0" w:color="auto"/>
        <w:left w:val="none" w:sz="0" w:space="0" w:color="auto"/>
        <w:bottom w:val="none" w:sz="0" w:space="0" w:color="auto"/>
        <w:right w:val="none" w:sz="0" w:space="0" w:color="auto"/>
      </w:divBdr>
    </w:div>
    <w:div w:id="1980721230">
      <w:bodyDiv w:val="1"/>
      <w:marLeft w:val="0"/>
      <w:marRight w:val="0"/>
      <w:marTop w:val="0"/>
      <w:marBottom w:val="0"/>
      <w:divBdr>
        <w:top w:val="none" w:sz="0" w:space="0" w:color="auto"/>
        <w:left w:val="none" w:sz="0" w:space="0" w:color="auto"/>
        <w:bottom w:val="none" w:sz="0" w:space="0" w:color="auto"/>
        <w:right w:val="none" w:sz="0" w:space="0" w:color="auto"/>
      </w:divBdr>
    </w:div>
    <w:div w:id="1981955480">
      <w:bodyDiv w:val="1"/>
      <w:marLeft w:val="0"/>
      <w:marRight w:val="0"/>
      <w:marTop w:val="0"/>
      <w:marBottom w:val="0"/>
      <w:divBdr>
        <w:top w:val="none" w:sz="0" w:space="0" w:color="auto"/>
        <w:left w:val="none" w:sz="0" w:space="0" w:color="auto"/>
        <w:bottom w:val="none" w:sz="0" w:space="0" w:color="auto"/>
        <w:right w:val="none" w:sz="0" w:space="0" w:color="auto"/>
      </w:divBdr>
    </w:div>
    <w:div w:id="1982346300">
      <w:bodyDiv w:val="1"/>
      <w:marLeft w:val="0"/>
      <w:marRight w:val="0"/>
      <w:marTop w:val="0"/>
      <w:marBottom w:val="0"/>
      <w:divBdr>
        <w:top w:val="none" w:sz="0" w:space="0" w:color="auto"/>
        <w:left w:val="none" w:sz="0" w:space="0" w:color="auto"/>
        <w:bottom w:val="none" w:sz="0" w:space="0" w:color="auto"/>
        <w:right w:val="none" w:sz="0" w:space="0" w:color="auto"/>
      </w:divBdr>
    </w:div>
    <w:div w:id="1983533279">
      <w:bodyDiv w:val="1"/>
      <w:marLeft w:val="0"/>
      <w:marRight w:val="0"/>
      <w:marTop w:val="0"/>
      <w:marBottom w:val="0"/>
      <w:divBdr>
        <w:top w:val="none" w:sz="0" w:space="0" w:color="auto"/>
        <w:left w:val="none" w:sz="0" w:space="0" w:color="auto"/>
        <w:bottom w:val="none" w:sz="0" w:space="0" w:color="auto"/>
        <w:right w:val="none" w:sz="0" w:space="0" w:color="auto"/>
      </w:divBdr>
    </w:div>
    <w:div w:id="1983801298">
      <w:bodyDiv w:val="1"/>
      <w:marLeft w:val="0"/>
      <w:marRight w:val="0"/>
      <w:marTop w:val="0"/>
      <w:marBottom w:val="0"/>
      <w:divBdr>
        <w:top w:val="none" w:sz="0" w:space="0" w:color="auto"/>
        <w:left w:val="none" w:sz="0" w:space="0" w:color="auto"/>
        <w:bottom w:val="none" w:sz="0" w:space="0" w:color="auto"/>
        <w:right w:val="none" w:sz="0" w:space="0" w:color="auto"/>
      </w:divBdr>
    </w:div>
    <w:div w:id="1984501621">
      <w:bodyDiv w:val="1"/>
      <w:marLeft w:val="0"/>
      <w:marRight w:val="0"/>
      <w:marTop w:val="0"/>
      <w:marBottom w:val="0"/>
      <w:divBdr>
        <w:top w:val="none" w:sz="0" w:space="0" w:color="auto"/>
        <w:left w:val="none" w:sz="0" w:space="0" w:color="auto"/>
        <w:bottom w:val="none" w:sz="0" w:space="0" w:color="auto"/>
        <w:right w:val="none" w:sz="0" w:space="0" w:color="auto"/>
      </w:divBdr>
    </w:div>
    <w:div w:id="1984697289">
      <w:bodyDiv w:val="1"/>
      <w:marLeft w:val="0"/>
      <w:marRight w:val="0"/>
      <w:marTop w:val="0"/>
      <w:marBottom w:val="0"/>
      <w:divBdr>
        <w:top w:val="none" w:sz="0" w:space="0" w:color="auto"/>
        <w:left w:val="none" w:sz="0" w:space="0" w:color="auto"/>
        <w:bottom w:val="none" w:sz="0" w:space="0" w:color="auto"/>
        <w:right w:val="none" w:sz="0" w:space="0" w:color="auto"/>
      </w:divBdr>
    </w:div>
    <w:div w:id="1986737049">
      <w:bodyDiv w:val="1"/>
      <w:marLeft w:val="0"/>
      <w:marRight w:val="0"/>
      <w:marTop w:val="0"/>
      <w:marBottom w:val="0"/>
      <w:divBdr>
        <w:top w:val="none" w:sz="0" w:space="0" w:color="auto"/>
        <w:left w:val="none" w:sz="0" w:space="0" w:color="auto"/>
        <w:bottom w:val="none" w:sz="0" w:space="0" w:color="auto"/>
        <w:right w:val="none" w:sz="0" w:space="0" w:color="auto"/>
      </w:divBdr>
    </w:div>
    <w:div w:id="1987007373">
      <w:bodyDiv w:val="1"/>
      <w:marLeft w:val="0"/>
      <w:marRight w:val="0"/>
      <w:marTop w:val="0"/>
      <w:marBottom w:val="0"/>
      <w:divBdr>
        <w:top w:val="none" w:sz="0" w:space="0" w:color="auto"/>
        <w:left w:val="none" w:sz="0" w:space="0" w:color="auto"/>
        <w:bottom w:val="none" w:sz="0" w:space="0" w:color="auto"/>
        <w:right w:val="none" w:sz="0" w:space="0" w:color="auto"/>
      </w:divBdr>
    </w:div>
    <w:div w:id="1988050635">
      <w:bodyDiv w:val="1"/>
      <w:marLeft w:val="0"/>
      <w:marRight w:val="0"/>
      <w:marTop w:val="0"/>
      <w:marBottom w:val="0"/>
      <w:divBdr>
        <w:top w:val="none" w:sz="0" w:space="0" w:color="auto"/>
        <w:left w:val="none" w:sz="0" w:space="0" w:color="auto"/>
        <w:bottom w:val="none" w:sz="0" w:space="0" w:color="auto"/>
        <w:right w:val="none" w:sz="0" w:space="0" w:color="auto"/>
      </w:divBdr>
    </w:div>
    <w:div w:id="1988702158">
      <w:bodyDiv w:val="1"/>
      <w:marLeft w:val="0"/>
      <w:marRight w:val="0"/>
      <w:marTop w:val="0"/>
      <w:marBottom w:val="0"/>
      <w:divBdr>
        <w:top w:val="none" w:sz="0" w:space="0" w:color="auto"/>
        <w:left w:val="none" w:sz="0" w:space="0" w:color="auto"/>
        <w:bottom w:val="none" w:sz="0" w:space="0" w:color="auto"/>
        <w:right w:val="none" w:sz="0" w:space="0" w:color="auto"/>
      </w:divBdr>
    </w:div>
    <w:div w:id="1990014720">
      <w:bodyDiv w:val="1"/>
      <w:marLeft w:val="0"/>
      <w:marRight w:val="0"/>
      <w:marTop w:val="0"/>
      <w:marBottom w:val="0"/>
      <w:divBdr>
        <w:top w:val="none" w:sz="0" w:space="0" w:color="auto"/>
        <w:left w:val="none" w:sz="0" w:space="0" w:color="auto"/>
        <w:bottom w:val="none" w:sz="0" w:space="0" w:color="auto"/>
        <w:right w:val="none" w:sz="0" w:space="0" w:color="auto"/>
      </w:divBdr>
    </w:div>
    <w:div w:id="1990162483">
      <w:bodyDiv w:val="1"/>
      <w:marLeft w:val="0"/>
      <w:marRight w:val="0"/>
      <w:marTop w:val="0"/>
      <w:marBottom w:val="0"/>
      <w:divBdr>
        <w:top w:val="none" w:sz="0" w:space="0" w:color="auto"/>
        <w:left w:val="none" w:sz="0" w:space="0" w:color="auto"/>
        <w:bottom w:val="none" w:sz="0" w:space="0" w:color="auto"/>
        <w:right w:val="none" w:sz="0" w:space="0" w:color="auto"/>
      </w:divBdr>
    </w:div>
    <w:div w:id="1991472747">
      <w:bodyDiv w:val="1"/>
      <w:marLeft w:val="0"/>
      <w:marRight w:val="0"/>
      <w:marTop w:val="0"/>
      <w:marBottom w:val="0"/>
      <w:divBdr>
        <w:top w:val="none" w:sz="0" w:space="0" w:color="auto"/>
        <w:left w:val="none" w:sz="0" w:space="0" w:color="auto"/>
        <w:bottom w:val="none" w:sz="0" w:space="0" w:color="auto"/>
        <w:right w:val="none" w:sz="0" w:space="0" w:color="auto"/>
      </w:divBdr>
    </w:div>
    <w:div w:id="1993025004">
      <w:bodyDiv w:val="1"/>
      <w:marLeft w:val="0"/>
      <w:marRight w:val="0"/>
      <w:marTop w:val="0"/>
      <w:marBottom w:val="0"/>
      <w:divBdr>
        <w:top w:val="none" w:sz="0" w:space="0" w:color="auto"/>
        <w:left w:val="none" w:sz="0" w:space="0" w:color="auto"/>
        <w:bottom w:val="none" w:sz="0" w:space="0" w:color="auto"/>
        <w:right w:val="none" w:sz="0" w:space="0" w:color="auto"/>
      </w:divBdr>
    </w:div>
    <w:div w:id="1993605399">
      <w:bodyDiv w:val="1"/>
      <w:marLeft w:val="0"/>
      <w:marRight w:val="0"/>
      <w:marTop w:val="0"/>
      <w:marBottom w:val="0"/>
      <w:divBdr>
        <w:top w:val="none" w:sz="0" w:space="0" w:color="auto"/>
        <w:left w:val="none" w:sz="0" w:space="0" w:color="auto"/>
        <w:bottom w:val="none" w:sz="0" w:space="0" w:color="auto"/>
        <w:right w:val="none" w:sz="0" w:space="0" w:color="auto"/>
      </w:divBdr>
    </w:div>
    <w:div w:id="1994286217">
      <w:bodyDiv w:val="1"/>
      <w:marLeft w:val="0"/>
      <w:marRight w:val="0"/>
      <w:marTop w:val="0"/>
      <w:marBottom w:val="0"/>
      <w:divBdr>
        <w:top w:val="none" w:sz="0" w:space="0" w:color="auto"/>
        <w:left w:val="none" w:sz="0" w:space="0" w:color="auto"/>
        <w:bottom w:val="none" w:sz="0" w:space="0" w:color="auto"/>
        <w:right w:val="none" w:sz="0" w:space="0" w:color="auto"/>
      </w:divBdr>
    </w:div>
    <w:div w:id="1994673747">
      <w:bodyDiv w:val="1"/>
      <w:marLeft w:val="0"/>
      <w:marRight w:val="0"/>
      <w:marTop w:val="0"/>
      <w:marBottom w:val="0"/>
      <w:divBdr>
        <w:top w:val="none" w:sz="0" w:space="0" w:color="auto"/>
        <w:left w:val="none" w:sz="0" w:space="0" w:color="auto"/>
        <w:bottom w:val="none" w:sz="0" w:space="0" w:color="auto"/>
        <w:right w:val="none" w:sz="0" w:space="0" w:color="auto"/>
      </w:divBdr>
    </w:div>
    <w:div w:id="1995064555">
      <w:bodyDiv w:val="1"/>
      <w:marLeft w:val="0"/>
      <w:marRight w:val="0"/>
      <w:marTop w:val="0"/>
      <w:marBottom w:val="0"/>
      <w:divBdr>
        <w:top w:val="none" w:sz="0" w:space="0" w:color="auto"/>
        <w:left w:val="none" w:sz="0" w:space="0" w:color="auto"/>
        <w:bottom w:val="none" w:sz="0" w:space="0" w:color="auto"/>
        <w:right w:val="none" w:sz="0" w:space="0" w:color="auto"/>
      </w:divBdr>
    </w:div>
    <w:div w:id="1995259332">
      <w:bodyDiv w:val="1"/>
      <w:marLeft w:val="0"/>
      <w:marRight w:val="0"/>
      <w:marTop w:val="0"/>
      <w:marBottom w:val="0"/>
      <w:divBdr>
        <w:top w:val="none" w:sz="0" w:space="0" w:color="auto"/>
        <w:left w:val="none" w:sz="0" w:space="0" w:color="auto"/>
        <w:bottom w:val="none" w:sz="0" w:space="0" w:color="auto"/>
        <w:right w:val="none" w:sz="0" w:space="0" w:color="auto"/>
      </w:divBdr>
    </w:div>
    <w:div w:id="1997106396">
      <w:bodyDiv w:val="1"/>
      <w:marLeft w:val="0"/>
      <w:marRight w:val="0"/>
      <w:marTop w:val="0"/>
      <w:marBottom w:val="0"/>
      <w:divBdr>
        <w:top w:val="none" w:sz="0" w:space="0" w:color="auto"/>
        <w:left w:val="none" w:sz="0" w:space="0" w:color="auto"/>
        <w:bottom w:val="none" w:sz="0" w:space="0" w:color="auto"/>
        <w:right w:val="none" w:sz="0" w:space="0" w:color="auto"/>
      </w:divBdr>
    </w:div>
    <w:div w:id="1998224159">
      <w:bodyDiv w:val="1"/>
      <w:marLeft w:val="0"/>
      <w:marRight w:val="0"/>
      <w:marTop w:val="0"/>
      <w:marBottom w:val="0"/>
      <w:divBdr>
        <w:top w:val="none" w:sz="0" w:space="0" w:color="auto"/>
        <w:left w:val="none" w:sz="0" w:space="0" w:color="auto"/>
        <w:bottom w:val="none" w:sz="0" w:space="0" w:color="auto"/>
        <w:right w:val="none" w:sz="0" w:space="0" w:color="auto"/>
      </w:divBdr>
    </w:div>
    <w:div w:id="1999067874">
      <w:bodyDiv w:val="1"/>
      <w:marLeft w:val="0"/>
      <w:marRight w:val="0"/>
      <w:marTop w:val="0"/>
      <w:marBottom w:val="0"/>
      <w:divBdr>
        <w:top w:val="none" w:sz="0" w:space="0" w:color="auto"/>
        <w:left w:val="none" w:sz="0" w:space="0" w:color="auto"/>
        <w:bottom w:val="none" w:sz="0" w:space="0" w:color="auto"/>
        <w:right w:val="none" w:sz="0" w:space="0" w:color="auto"/>
      </w:divBdr>
    </w:div>
    <w:div w:id="1999072450">
      <w:bodyDiv w:val="1"/>
      <w:marLeft w:val="0"/>
      <w:marRight w:val="0"/>
      <w:marTop w:val="0"/>
      <w:marBottom w:val="0"/>
      <w:divBdr>
        <w:top w:val="none" w:sz="0" w:space="0" w:color="auto"/>
        <w:left w:val="none" w:sz="0" w:space="0" w:color="auto"/>
        <w:bottom w:val="none" w:sz="0" w:space="0" w:color="auto"/>
        <w:right w:val="none" w:sz="0" w:space="0" w:color="auto"/>
      </w:divBdr>
    </w:div>
    <w:div w:id="1999337209">
      <w:bodyDiv w:val="1"/>
      <w:marLeft w:val="0"/>
      <w:marRight w:val="0"/>
      <w:marTop w:val="0"/>
      <w:marBottom w:val="0"/>
      <w:divBdr>
        <w:top w:val="none" w:sz="0" w:space="0" w:color="auto"/>
        <w:left w:val="none" w:sz="0" w:space="0" w:color="auto"/>
        <w:bottom w:val="none" w:sz="0" w:space="0" w:color="auto"/>
        <w:right w:val="none" w:sz="0" w:space="0" w:color="auto"/>
      </w:divBdr>
    </w:div>
    <w:div w:id="2000696529">
      <w:bodyDiv w:val="1"/>
      <w:marLeft w:val="0"/>
      <w:marRight w:val="0"/>
      <w:marTop w:val="0"/>
      <w:marBottom w:val="0"/>
      <w:divBdr>
        <w:top w:val="none" w:sz="0" w:space="0" w:color="auto"/>
        <w:left w:val="none" w:sz="0" w:space="0" w:color="auto"/>
        <w:bottom w:val="none" w:sz="0" w:space="0" w:color="auto"/>
        <w:right w:val="none" w:sz="0" w:space="0" w:color="auto"/>
      </w:divBdr>
    </w:div>
    <w:div w:id="2000957755">
      <w:bodyDiv w:val="1"/>
      <w:marLeft w:val="0"/>
      <w:marRight w:val="0"/>
      <w:marTop w:val="0"/>
      <w:marBottom w:val="0"/>
      <w:divBdr>
        <w:top w:val="none" w:sz="0" w:space="0" w:color="auto"/>
        <w:left w:val="none" w:sz="0" w:space="0" w:color="auto"/>
        <w:bottom w:val="none" w:sz="0" w:space="0" w:color="auto"/>
        <w:right w:val="none" w:sz="0" w:space="0" w:color="auto"/>
      </w:divBdr>
    </w:div>
    <w:div w:id="2001618861">
      <w:bodyDiv w:val="1"/>
      <w:marLeft w:val="0"/>
      <w:marRight w:val="0"/>
      <w:marTop w:val="0"/>
      <w:marBottom w:val="0"/>
      <w:divBdr>
        <w:top w:val="none" w:sz="0" w:space="0" w:color="auto"/>
        <w:left w:val="none" w:sz="0" w:space="0" w:color="auto"/>
        <w:bottom w:val="none" w:sz="0" w:space="0" w:color="auto"/>
        <w:right w:val="none" w:sz="0" w:space="0" w:color="auto"/>
      </w:divBdr>
    </w:div>
    <w:div w:id="2003779326">
      <w:bodyDiv w:val="1"/>
      <w:marLeft w:val="0"/>
      <w:marRight w:val="0"/>
      <w:marTop w:val="0"/>
      <w:marBottom w:val="0"/>
      <w:divBdr>
        <w:top w:val="none" w:sz="0" w:space="0" w:color="auto"/>
        <w:left w:val="none" w:sz="0" w:space="0" w:color="auto"/>
        <w:bottom w:val="none" w:sz="0" w:space="0" w:color="auto"/>
        <w:right w:val="none" w:sz="0" w:space="0" w:color="auto"/>
      </w:divBdr>
    </w:div>
    <w:div w:id="2003922513">
      <w:bodyDiv w:val="1"/>
      <w:marLeft w:val="0"/>
      <w:marRight w:val="0"/>
      <w:marTop w:val="0"/>
      <w:marBottom w:val="0"/>
      <w:divBdr>
        <w:top w:val="none" w:sz="0" w:space="0" w:color="auto"/>
        <w:left w:val="none" w:sz="0" w:space="0" w:color="auto"/>
        <w:bottom w:val="none" w:sz="0" w:space="0" w:color="auto"/>
        <w:right w:val="none" w:sz="0" w:space="0" w:color="auto"/>
      </w:divBdr>
    </w:div>
    <w:div w:id="2005427522">
      <w:bodyDiv w:val="1"/>
      <w:marLeft w:val="0"/>
      <w:marRight w:val="0"/>
      <w:marTop w:val="0"/>
      <w:marBottom w:val="0"/>
      <w:divBdr>
        <w:top w:val="none" w:sz="0" w:space="0" w:color="auto"/>
        <w:left w:val="none" w:sz="0" w:space="0" w:color="auto"/>
        <w:bottom w:val="none" w:sz="0" w:space="0" w:color="auto"/>
        <w:right w:val="none" w:sz="0" w:space="0" w:color="auto"/>
      </w:divBdr>
    </w:div>
    <w:div w:id="2006587958">
      <w:bodyDiv w:val="1"/>
      <w:marLeft w:val="0"/>
      <w:marRight w:val="0"/>
      <w:marTop w:val="0"/>
      <w:marBottom w:val="0"/>
      <w:divBdr>
        <w:top w:val="none" w:sz="0" w:space="0" w:color="auto"/>
        <w:left w:val="none" w:sz="0" w:space="0" w:color="auto"/>
        <w:bottom w:val="none" w:sz="0" w:space="0" w:color="auto"/>
        <w:right w:val="none" w:sz="0" w:space="0" w:color="auto"/>
      </w:divBdr>
    </w:div>
    <w:div w:id="2007049296">
      <w:bodyDiv w:val="1"/>
      <w:marLeft w:val="0"/>
      <w:marRight w:val="0"/>
      <w:marTop w:val="0"/>
      <w:marBottom w:val="0"/>
      <w:divBdr>
        <w:top w:val="none" w:sz="0" w:space="0" w:color="auto"/>
        <w:left w:val="none" w:sz="0" w:space="0" w:color="auto"/>
        <w:bottom w:val="none" w:sz="0" w:space="0" w:color="auto"/>
        <w:right w:val="none" w:sz="0" w:space="0" w:color="auto"/>
      </w:divBdr>
    </w:div>
    <w:div w:id="2007827240">
      <w:bodyDiv w:val="1"/>
      <w:marLeft w:val="0"/>
      <w:marRight w:val="0"/>
      <w:marTop w:val="0"/>
      <w:marBottom w:val="0"/>
      <w:divBdr>
        <w:top w:val="none" w:sz="0" w:space="0" w:color="auto"/>
        <w:left w:val="none" w:sz="0" w:space="0" w:color="auto"/>
        <w:bottom w:val="none" w:sz="0" w:space="0" w:color="auto"/>
        <w:right w:val="none" w:sz="0" w:space="0" w:color="auto"/>
      </w:divBdr>
    </w:div>
    <w:div w:id="2008048058">
      <w:bodyDiv w:val="1"/>
      <w:marLeft w:val="0"/>
      <w:marRight w:val="0"/>
      <w:marTop w:val="0"/>
      <w:marBottom w:val="0"/>
      <w:divBdr>
        <w:top w:val="none" w:sz="0" w:space="0" w:color="auto"/>
        <w:left w:val="none" w:sz="0" w:space="0" w:color="auto"/>
        <w:bottom w:val="none" w:sz="0" w:space="0" w:color="auto"/>
        <w:right w:val="none" w:sz="0" w:space="0" w:color="auto"/>
      </w:divBdr>
    </w:div>
    <w:div w:id="2008366681">
      <w:bodyDiv w:val="1"/>
      <w:marLeft w:val="0"/>
      <w:marRight w:val="0"/>
      <w:marTop w:val="0"/>
      <w:marBottom w:val="0"/>
      <w:divBdr>
        <w:top w:val="none" w:sz="0" w:space="0" w:color="auto"/>
        <w:left w:val="none" w:sz="0" w:space="0" w:color="auto"/>
        <w:bottom w:val="none" w:sz="0" w:space="0" w:color="auto"/>
        <w:right w:val="none" w:sz="0" w:space="0" w:color="auto"/>
      </w:divBdr>
    </w:div>
    <w:div w:id="2008635322">
      <w:bodyDiv w:val="1"/>
      <w:marLeft w:val="0"/>
      <w:marRight w:val="0"/>
      <w:marTop w:val="0"/>
      <w:marBottom w:val="0"/>
      <w:divBdr>
        <w:top w:val="none" w:sz="0" w:space="0" w:color="auto"/>
        <w:left w:val="none" w:sz="0" w:space="0" w:color="auto"/>
        <w:bottom w:val="none" w:sz="0" w:space="0" w:color="auto"/>
        <w:right w:val="none" w:sz="0" w:space="0" w:color="auto"/>
      </w:divBdr>
    </w:div>
    <w:div w:id="2010332591">
      <w:bodyDiv w:val="1"/>
      <w:marLeft w:val="0"/>
      <w:marRight w:val="0"/>
      <w:marTop w:val="0"/>
      <w:marBottom w:val="0"/>
      <w:divBdr>
        <w:top w:val="none" w:sz="0" w:space="0" w:color="auto"/>
        <w:left w:val="none" w:sz="0" w:space="0" w:color="auto"/>
        <w:bottom w:val="none" w:sz="0" w:space="0" w:color="auto"/>
        <w:right w:val="none" w:sz="0" w:space="0" w:color="auto"/>
      </w:divBdr>
    </w:div>
    <w:div w:id="2010669480">
      <w:bodyDiv w:val="1"/>
      <w:marLeft w:val="0"/>
      <w:marRight w:val="0"/>
      <w:marTop w:val="0"/>
      <w:marBottom w:val="0"/>
      <w:divBdr>
        <w:top w:val="none" w:sz="0" w:space="0" w:color="auto"/>
        <w:left w:val="none" w:sz="0" w:space="0" w:color="auto"/>
        <w:bottom w:val="none" w:sz="0" w:space="0" w:color="auto"/>
        <w:right w:val="none" w:sz="0" w:space="0" w:color="auto"/>
      </w:divBdr>
    </w:div>
    <w:div w:id="2013023693">
      <w:bodyDiv w:val="1"/>
      <w:marLeft w:val="0"/>
      <w:marRight w:val="0"/>
      <w:marTop w:val="0"/>
      <w:marBottom w:val="0"/>
      <w:divBdr>
        <w:top w:val="none" w:sz="0" w:space="0" w:color="auto"/>
        <w:left w:val="none" w:sz="0" w:space="0" w:color="auto"/>
        <w:bottom w:val="none" w:sz="0" w:space="0" w:color="auto"/>
        <w:right w:val="none" w:sz="0" w:space="0" w:color="auto"/>
      </w:divBdr>
    </w:div>
    <w:div w:id="2013558528">
      <w:bodyDiv w:val="1"/>
      <w:marLeft w:val="0"/>
      <w:marRight w:val="0"/>
      <w:marTop w:val="0"/>
      <w:marBottom w:val="0"/>
      <w:divBdr>
        <w:top w:val="none" w:sz="0" w:space="0" w:color="auto"/>
        <w:left w:val="none" w:sz="0" w:space="0" w:color="auto"/>
        <w:bottom w:val="none" w:sz="0" w:space="0" w:color="auto"/>
        <w:right w:val="none" w:sz="0" w:space="0" w:color="auto"/>
      </w:divBdr>
    </w:div>
    <w:div w:id="2013602892">
      <w:bodyDiv w:val="1"/>
      <w:marLeft w:val="0"/>
      <w:marRight w:val="0"/>
      <w:marTop w:val="0"/>
      <w:marBottom w:val="0"/>
      <w:divBdr>
        <w:top w:val="none" w:sz="0" w:space="0" w:color="auto"/>
        <w:left w:val="none" w:sz="0" w:space="0" w:color="auto"/>
        <w:bottom w:val="none" w:sz="0" w:space="0" w:color="auto"/>
        <w:right w:val="none" w:sz="0" w:space="0" w:color="auto"/>
      </w:divBdr>
    </w:div>
    <w:div w:id="2014725600">
      <w:bodyDiv w:val="1"/>
      <w:marLeft w:val="0"/>
      <w:marRight w:val="0"/>
      <w:marTop w:val="0"/>
      <w:marBottom w:val="0"/>
      <w:divBdr>
        <w:top w:val="none" w:sz="0" w:space="0" w:color="auto"/>
        <w:left w:val="none" w:sz="0" w:space="0" w:color="auto"/>
        <w:bottom w:val="none" w:sz="0" w:space="0" w:color="auto"/>
        <w:right w:val="none" w:sz="0" w:space="0" w:color="auto"/>
      </w:divBdr>
    </w:div>
    <w:div w:id="2015037668">
      <w:bodyDiv w:val="1"/>
      <w:marLeft w:val="0"/>
      <w:marRight w:val="0"/>
      <w:marTop w:val="0"/>
      <w:marBottom w:val="0"/>
      <w:divBdr>
        <w:top w:val="none" w:sz="0" w:space="0" w:color="auto"/>
        <w:left w:val="none" w:sz="0" w:space="0" w:color="auto"/>
        <w:bottom w:val="none" w:sz="0" w:space="0" w:color="auto"/>
        <w:right w:val="none" w:sz="0" w:space="0" w:color="auto"/>
      </w:divBdr>
    </w:div>
    <w:div w:id="2015066851">
      <w:bodyDiv w:val="1"/>
      <w:marLeft w:val="0"/>
      <w:marRight w:val="0"/>
      <w:marTop w:val="0"/>
      <w:marBottom w:val="0"/>
      <w:divBdr>
        <w:top w:val="none" w:sz="0" w:space="0" w:color="auto"/>
        <w:left w:val="none" w:sz="0" w:space="0" w:color="auto"/>
        <w:bottom w:val="none" w:sz="0" w:space="0" w:color="auto"/>
        <w:right w:val="none" w:sz="0" w:space="0" w:color="auto"/>
      </w:divBdr>
    </w:div>
    <w:div w:id="2016421775">
      <w:bodyDiv w:val="1"/>
      <w:marLeft w:val="0"/>
      <w:marRight w:val="0"/>
      <w:marTop w:val="0"/>
      <w:marBottom w:val="0"/>
      <w:divBdr>
        <w:top w:val="none" w:sz="0" w:space="0" w:color="auto"/>
        <w:left w:val="none" w:sz="0" w:space="0" w:color="auto"/>
        <w:bottom w:val="none" w:sz="0" w:space="0" w:color="auto"/>
        <w:right w:val="none" w:sz="0" w:space="0" w:color="auto"/>
      </w:divBdr>
    </w:div>
    <w:div w:id="2017266452">
      <w:bodyDiv w:val="1"/>
      <w:marLeft w:val="0"/>
      <w:marRight w:val="0"/>
      <w:marTop w:val="0"/>
      <w:marBottom w:val="0"/>
      <w:divBdr>
        <w:top w:val="none" w:sz="0" w:space="0" w:color="auto"/>
        <w:left w:val="none" w:sz="0" w:space="0" w:color="auto"/>
        <w:bottom w:val="none" w:sz="0" w:space="0" w:color="auto"/>
        <w:right w:val="none" w:sz="0" w:space="0" w:color="auto"/>
      </w:divBdr>
    </w:div>
    <w:div w:id="2017463461">
      <w:bodyDiv w:val="1"/>
      <w:marLeft w:val="0"/>
      <w:marRight w:val="0"/>
      <w:marTop w:val="0"/>
      <w:marBottom w:val="0"/>
      <w:divBdr>
        <w:top w:val="none" w:sz="0" w:space="0" w:color="auto"/>
        <w:left w:val="none" w:sz="0" w:space="0" w:color="auto"/>
        <w:bottom w:val="none" w:sz="0" w:space="0" w:color="auto"/>
        <w:right w:val="none" w:sz="0" w:space="0" w:color="auto"/>
      </w:divBdr>
    </w:div>
    <w:div w:id="2017921236">
      <w:bodyDiv w:val="1"/>
      <w:marLeft w:val="0"/>
      <w:marRight w:val="0"/>
      <w:marTop w:val="0"/>
      <w:marBottom w:val="0"/>
      <w:divBdr>
        <w:top w:val="none" w:sz="0" w:space="0" w:color="auto"/>
        <w:left w:val="none" w:sz="0" w:space="0" w:color="auto"/>
        <w:bottom w:val="none" w:sz="0" w:space="0" w:color="auto"/>
        <w:right w:val="none" w:sz="0" w:space="0" w:color="auto"/>
      </w:divBdr>
    </w:div>
    <w:div w:id="2018580341">
      <w:bodyDiv w:val="1"/>
      <w:marLeft w:val="0"/>
      <w:marRight w:val="0"/>
      <w:marTop w:val="0"/>
      <w:marBottom w:val="0"/>
      <w:divBdr>
        <w:top w:val="none" w:sz="0" w:space="0" w:color="auto"/>
        <w:left w:val="none" w:sz="0" w:space="0" w:color="auto"/>
        <w:bottom w:val="none" w:sz="0" w:space="0" w:color="auto"/>
        <w:right w:val="none" w:sz="0" w:space="0" w:color="auto"/>
      </w:divBdr>
    </w:div>
    <w:div w:id="2019500996">
      <w:bodyDiv w:val="1"/>
      <w:marLeft w:val="0"/>
      <w:marRight w:val="0"/>
      <w:marTop w:val="0"/>
      <w:marBottom w:val="0"/>
      <w:divBdr>
        <w:top w:val="none" w:sz="0" w:space="0" w:color="auto"/>
        <w:left w:val="none" w:sz="0" w:space="0" w:color="auto"/>
        <w:bottom w:val="none" w:sz="0" w:space="0" w:color="auto"/>
        <w:right w:val="none" w:sz="0" w:space="0" w:color="auto"/>
      </w:divBdr>
    </w:div>
    <w:div w:id="2019888773">
      <w:bodyDiv w:val="1"/>
      <w:marLeft w:val="0"/>
      <w:marRight w:val="0"/>
      <w:marTop w:val="0"/>
      <w:marBottom w:val="0"/>
      <w:divBdr>
        <w:top w:val="none" w:sz="0" w:space="0" w:color="auto"/>
        <w:left w:val="none" w:sz="0" w:space="0" w:color="auto"/>
        <w:bottom w:val="none" w:sz="0" w:space="0" w:color="auto"/>
        <w:right w:val="none" w:sz="0" w:space="0" w:color="auto"/>
      </w:divBdr>
    </w:div>
    <w:div w:id="2019961096">
      <w:bodyDiv w:val="1"/>
      <w:marLeft w:val="0"/>
      <w:marRight w:val="0"/>
      <w:marTop w:val="0"/>
      <w:marBottom w:val="0"/>
      <w:divBdr>
        <w:top w:val="none" w:sz="0" w:space="0" w:color="auto"/>
        <w:left w:val="none" w:sz="0" w:space="0" w:color="auto"/>
        <w:bottom w:val="none" w:sz="0" w:space="0" w:color="auto"/>
        <w:right w:val="none" w:sz="0" w:space="0" w:color="auto"/>
      </w:divBdr>
    </w:div>
    <w:div w:id="2020307064">
      <w:bodyDiv w:val="1"/>
      <w:marLeft w:val="0"/>
      <w:marRight w:val="0"/>
      <w:marTop w:val="0"/>
      <w:marBottom w:val="0"/>
      <w:divBdr>
        <w:top w:val="none" w:sz="0" w:space="0" w:color="auto"/>
        <w:left w:val="none" w:sz="0" w:space="0" w:color="auto"/>
        <w:bottom w:val="none" w:sz="0" w:space="0" w:color="auto"/>
        <w:right w:val="none" w:sz="0" w:space="0" w:color="auto"/>
      </w:divBdr>
    </w:div>
    <w:div w:id="2021154689">
      <w:bodyDiv w:val="1"/>
      <w:marLeft w:val="0"/>
      <w:marRight w:val="0"/>
      <w:marTop w:val="0"/>
      <w:marBottom w:val="0"/>
      <w:divBdr>
        <w:top w:val="none" w:sz="0" w:space="0" w:color="auto"/>
        <w:left w:val="none" w:sz="0" w:space="0" w:color="auto"/>
        <w:bottom w:val="none" w:sz="0" w:space="0" w:color="auto"/>
        <w:right w:val="none" w:sz="0" w:space="0" w:color="auto"/>
      </w:divBdr>
    </w:div>
    <w:div w:id="2021737983">
      <w:bodyDiv w:val="1"/>
      <w:marLeft w:val="0"/>
      <w:marRight w:val="0"/>
      <w:marTop w:val="0"/>
      <w:marBottom w:val="0"/>
      <w:divBdr>
        <w:top w:val="none" w:sz="0" w:space="0" w:color="auto"/>
        <w:left w:val="none" w:sz="0" w:space="0" w:color="auto"/>
        <w:bottom w:val="none" w:sz="0" w:space="0" w:color="auto"/>
        <w:right w:val="none" w:sz="0" w:space="0" w:color="auto"/>
      </w:divBdr>
    </w:div>
    <w:div w:id="2024621724">
      <w:bodyDiv w:val="1"/>
      <w:marLeft w:val="0"/>
      <w:marRight w:val="0"/>
      <w:marTop w:val="0"/>
      <w:marBottom w:val="0"/>
      <w:divBdr>
        <w:top w:val="none" w:sz="0" w:space="0" w:color="auto"/>
        <w:left w:val="none" w:sz="0" w:space="0" w:color="auto"/>
        <w:bottom w:val="none" w:sz="0" w:space="0" w:color="auto"/>
        <w:right w:val="none" w:sz="0" w:space="0" w:color="auto"/>
      </w:divBdr>
    </w:div>
    <w:div w:id="2024891631">
      <w:bodyDiv w:val="1"/>
      <w:marLeft w:val="0"/>
      <w:marRight w:val="0"/>
      <w:marTop w:val="0"/>
      <w:marBottom w:val="0"/>
      <w:divBdr>
        <w:top w:val="none" w:sz="0" w:space="0" w:color="auto"/>
        <w:left w:val="none" w:sz="0" w:space="0" w:color="auto"/>
        <w:bottom w:val="none" w:sz="0" w:space="0" w:color="auto"/>
        <w:right w:val="none" w:sz="0" w:space="0" w:color="auto"/>
      </w:divBdr>
    </w:div>
    <w:div w:id="2025587802">
      <w:bodyDiv w:val="1"/>
      <w:marLeft w:val="0"/>
      <w:marRight w:val="0"/>
      <w:marTop w:val="0"/>
      <w:marBottom w:val="0"/>
      <w:divBdr>
        <w:top w:val="none" w:sz="0" w:space="0" w:color="auto"/>
        <w:left w:val="none" w:sz="0" w:space="0" w:color="auto"/>
        <w:bottom w:val="none" w:sz="0" w:space="0" w:color="auto"/>
        <w:right w:val="none" w:sz="0" w:space="0" w:color="auto"/>
      </w:divBdr>
    </w:div>
    <w:div w:id="2026132943">
      <w:bodyDiv w:val="1"/>
      <w:marLeft w:val="0"/>
      <w:marRight w:val="0"/>
      <w:marTop w:val="0"/>
      <w:marBottom w:val="0"/>
      <w:divBdr>
        <w:top w:val="none" w:sz="0" w:space="0" w:color="auto"/>
        <w:left w:val="none" w:sz="0" w:space="0" w:color="auto"/>
        <w:bottom w:val="none" w:sz="0" w:space="0" w:color="auto"/>
        <w:right w:val="none" w:sz="0" w:space="0" w:color="auto"/>
      </w:divBdr>
    </w:div>
    <w:div w:id="2027708099">
      <w:bodyDiv w:val="1"/>
      <w:marLeft w:val="0"/>
      <w:marRight w:val="0"/>
      <w:marTop w:val="0"/>
      <w:marBottom w:val="0"/>
      <w:divBdr>
        <w:top w:val="none" w:sz="0" w:space="0" w:color="auto"/>
        <w:left w:val="none" w:sz="0" w:space="0" w:color="auto"/>
        <w:bottom w:val="none" w:sz="0" w:space="0" w:color="auto"/>
        <w:right w:val="none" w:sz="0" w:space="0" w:color="auto"/>
      </w:divBdr>
    </w:div>
    <w:div w:id="2027976901">
      <w:bodyDiv w:val="1"/>
      <w:marLeft w:val="0"/>
      <w:marRight w:val="0"/>
      <w:marTop w:val="0"/>
      <w:marBottom w:val="0"/>
      <w:divBdr>
        <w:top w:val="none" w:sz="0" w:space="0" w:color="auto"/>
        <w:left w:val="none" w:sz="0" w:space="0" w:color="auto"/>
        <w:bottom w:val="none" w:sz="0" w:space="0" w:color="auto"/>
        <w:right w:val="none" w:sz="0" w:space="0" w:color="auto"/>
      </w:divBdr>
    </w:div>
    <w:div w:id="2028210951">
      <w:bodyDiv w:val="1"/>
      <w:marLeft w:val="0"/>
      <w:marRight w:val="0"/>
      <w:marTop w:val="0"/>
      <w:marBottom w:val="0"/>
      <w:divBdr>
        <w:top w:val="none" w:sz="0" w:space="0" w:color="auto"/>
        <w:left w:val="none" w:sz="0" w:space="0" w:color="auto"/>
        <w:bottom w:val="none" w:sz="0" w:space="0" w:color="auto"/>
        <w:right w:val="none" w:sz="0" w:space="0" w:color="auto"/>
      </w:divBdr>
    </w:div>
    <w:div w:id="2028602615">
      <w:bodyDiv w:val="1"/>
      <w:marLeft w:val="0"/>
      <w:marRight w:val="0"/>
      <w:marTop w:val="0"/>
      <w:marBottom w:val="0"/>
      <w:divBdr>
        <w:top w:val="none" w:sz="0" w:space="0" w:color="auto"/>
        <w:left w:val="none" w:sz="0" w:space="0" w:color="auto"/>
        <w:bottom w:val="none" w:sz="0" w:space="0" w:color="auto"/>
        <w:right w:val="none" w:sz="0" w:space="0" w:color="auto"/>
      </w:divBdr>
    </w:div>
    <w:div w:id="2029284050">
      <w:bodyDiv w:val="1"/>
      <w:marLeft w:val="0"/>
      <w:marRight w:val="0"/>
      <w:marTop w:val="0"/>
      <w:marBottom w:val="0"/>
      <w:divBdr>
        <w:top w:val="none" w:sz="0" w:space="0" w:color="auto"/>
        <w:left w:val="none" w:sz="0" w:space="0" w:color="auto"/>
        <w:bottom w:val="none" w:sz="0" w:space="0" w:color="auto"/>
        <w:right w:val="none" w:sz="0" w:space="0" w:color="auto"/>
      </w:divBdr>
    </w:div>
    <w:div w:id="2030980693">
      <w:bodyDiv w:val="1"/>
      <w:marLeft w:val="0"/>
      <w:marRight w:val="0"/>
      <w:marTop w:val="0"/>
      <w:marBottom w:val="0"/>
      <w:divBdr>
        <w:top w:val="none" w:sz="0" w:space="0" w:color="auto"/>
        <w:left w:val="none" w:sz="0" w:space="0" w:color="auto"/>
        <w:bottom w:val="none" w:sz="0" w:space="0" w:color="auto"/>
        <w:right w:val="none" w:sz="0" w:space="0" w:color="auto"/>
      </w:divBdr>
    </w:div>
    <w:div w:id="2032022525">
      <w:bodyDiv w:val="1"/>
      <w:marLeft w:val="0"/>
      <w:marRight w:val="0"/>
      <w:marTop w:val="0"/>
      <w:marBottom w:val="0"/>
      <w:divBdr>
        <w:top w:val="none" w:sz="0" w:space="0" w:color="auto"/>
        <w:left w:val="none" w:sz="0" w:space="0" w:color="auto"/>
        <w:bottom w:val="none" w:sz="0" w:space="0" w:color="auto"/>
        <w:right w:val="none" w:sz="0" w:space="0" w:color="auto"/>
      </w:divBdr>
    </w:div>
    <w:div w:id="2032411823">
      <w:bodyDiv w:val="1"/>
      <w:marLeft w:val="0"/>
      <w:marRight w:val="0"/>
      <w:marTop w:val="0"/>
      <w:marBottom w:val="0"/>
      <w:divBdr>
        <w:top w:val="none" w:sz="0" w:space="0" w:color="auto"/>
        <w:left w:val="none" w:sz="0" w:space="0" w:color="auto"/>
        <w:bottom w:val="none" w:sz="0" w:space="0" w:color="auto"/>
        <w:right w:val="none" w:sz="0" w:space="0" w:color="auto"/>
      </w:divBdr>
    </w:div>
    <w:div w:id="2032753044">
      <w:bodyDiv w:val="1"/>
      <w:marLeft w:val="0"/>
      <w:marRight w:val="0"/>
      <w:marTop w:val="0"/>
      <w:marBottom w:val="0"/>
      <w:divBdr>
        <w:top w:val="none" w:sz="0" w:space="0" w:color="auto"/>
        <w:left w:val="none" w:sz="0" w:space="0" w:color="auto"/>
        <w:bottom w:val="none" w:sz="0" w:space="0" w:color="auto"/>
        <w:right w:val="none" w:sz="0" w:space="0" w:color="auto"/>
      </w:divBdr>
    </w:div>
    <w:div w:id="2034185066">
      <w:bodyDiv w:val="1"/>
      <w:marLeft w:val="0"/>
      <w:marRight w:val="0"/>
      <w:marTop w:val="0"/>
      <w:marBottom w:val="0"/>
      <w:divBdr>
        <w:top w:val="none" w:sz="0" w:space="0" w:color="auto"/>
        <w:left w:val="none" w:sz="0" w:space="0" w:color="auto"/>
        <w:bottom w:val="none" w:sz="0" w:space="0" w:color="auto"/>
        <w:right w:val="none" w:sz="0" w:space="0" w:color="auto"/>
      </w:divBdr>
    </w:div>
    <w:div w:id="2034187096">
      <w:bodyDiv w:val="1"/>
      <w:marLeft w:val="0"/>
      <w:marRight w:val="0"/>
      <w:marTop w:val="0"/>
      <w:marBottom w:val="0"/>
      <w:divBdr>
        <w:top w:val="none" w:sz="0" w:space="0" w:color="auto"/>
        <w:left w:val="none" w:sz="0" w:space="0" w:color="auto"/>
        <w:bottom w:val="none" w:sz="0" w:space="0" w:color="auto"/>
        <w:right w:val="none" w:sz="0" w:space="0" w:color="auto"/>
      </w:divBdr>
    </w:div>
    <w:div w:id="2035768388">
      <w:bodyDiv w:val="1"/>
      <w:marLeft w:val="0"/>
      <w:marRight w:val="0"/>
      <w:marTop w:val="0"/>
      <w:marBottom w:val="0"/>
      <w:divBdr>
        <w:top w:val="none" w:sz="0" w:space="0" w:color="auto"/>
        <w:left w:val="none" w:sz="0" w:space="0" w:color="auto"/>
        <w:bottom w:val="none" w:sz="0" w:space="0" w:color="auto"/>
        <w:right w:val="none" w:sz="0" w:space="0" w:color="auto"/>
      </w:divBdr>
    </w:div>
    <w:div w:id="2035961801">
      <w:bodyDiv w:val="1"/>
      <w:marLeft w:val="0"/>
      <w:marRight w:val="0"/>
      <w:marTop w:val="0"/>
      <w:marBottom w:val="0"/>
      <w:divBdr>
        <w:top w:val="none" w:sz="0" w:space="0" w:color="auto"/>
        <w:left w:val="none" w:sz="0" w:space="0" w:color="auto"/>
        <w:bottom w:val="none" w:sz="0" w:space="0" w:color="auto"/>
        <w:right w:val="none" w:sz="0" w:space="0" w:color="auto"/>
      </w:divBdr>
    </w:div>
    <w:div w:id="2036343519">
      <w:bodyDiv w:val="1"/>
      <w:marLeft w:val="0"/>
      <w:marRight w:val="0"/>
      <w:marTop w:val="0"/>
      <w:marBottom w:val="0"/>
      <w:divBdr>
        <w:top w:val="none" w:sz="0" w:space="0" w:color="auto"/>
        <w:left w:val="none" w:sz="0" w:space="0" w:color="auto"/>
        <w:bottom w:val="none" w:sz="0" w:space="0" w:color="auto"/>
        <w:right w:val="none" w:sz="0" w:space="0" w:color="auto"/>
      </w:divBdr>
    </w:div>
    <w:div w:id="2037732761">
      <w:bodyDiv w:val="1"/>
      <w:marLeft w:val="0"/>
      <w:marRight w:val="0"/>
      <w:marTop w:val="0"/>
      <w:marBottom w:val="0"/>
      <w:divBdr>
        <w:top w:val="none" w:sz="0" w:space="0" w:color="auto"/>
        <w:left w:val="none" w:sz="0" w:space="0" w:color="auto"/>
        <w:bottom w:val="none" w:sz="0" w:space="0" w:color="auto"/>
        <w:right w:val="none" w:sz="0" w:space="0" w:color="auto"/>
      </w:divBdr>
    </w:div>
    <w:div w:id="2038658943">
      <w:bodyDiv w:val="1"/>
      <w:marLeft w:val="0"/>
      <w:marRight w:val="0"/>
      <w:marTop w:val="0"/>
      <w:marBottom w:val="0"/>
      <w:divBdr>
        <w:top w:val="none" w:sz="0" w:space="0" w:color="auto"/>
        <w:left w:val="none" w:sz="0" w:space="0" w:color="auto"/>
        <w:bottom w:val="none" w:sz="0" w:space="0" w:color="auto"/>
        <w:right w:val="none" w:sz="0" w:space="0" w:color="auto"/>
      </w:divBdr>
    </w:div>
    <w:div w:id="2038702524">
      <w:bodyDiv w:val="1"/>
      <w:marLeft w:val="0"/>
      <w:marRight w:val="0"/>
      <w:marTop w:val="0"/>
      <w:marBottom w:val="0"/>
      <w:divBdr>
        <w:top w:val="none" w:sz="0" w:space="0" w:color="auto"/>
        <w:left w:val="none" w:sz="0" w:space="0" w:color="auto"/>
        <w:bottom w:val="none" w:sz="0" w:space="0" w:color="auto"/>
        <w:right w:val="none" w:sz="0" w:space="0" w:color="auto"/>
      </w:divBdr>
    </w:div>
    <w:div w:id="2039350947">
      <w:bodyDiv w:val="1"/>
      <w:marLeft w:val="0"/>
      <w:marRight w:val="0"/>
      <w:marTop w:val="0"/>
      <w:marBottom w:val="0"/>
      <w:divBdr>
        <w:top w:val="none" w:sz="0" w:space="0" w:color="auto"/>
        <w:left w:val="none" w:sz="0" w:space="0" w:color="auto"/>
        <w:bottom w:val="none" w:sz="0" w:space="0" w:color="auto"/>
        <w:right w:val="none" w:sz="0" w:space="0" w:color="auto"/>
      </w:divBdr>
    </w:div>
    <w:div w:id="2039744444">
      <w:bodyDiv w:val="1"/>
      <w:marLeft w:val="0"/>
      <w:marRight w:val="0"/>
      <w:marTop w:val="0"/>
      <w:marBottom w:val="0"/>
      <w:divBdr>
        <w:top w:val="none" w:sz="0" w:space="0" w:color="auto"/>
        <w:left w:val="none" w:sz="0" w:space="0" w:color="auto"/>
        <w:bottom w:val="none" w:sz="0" w:space="0" w:color="auto"/>
        <w:right w:val="none" w:sz="0" w:space="0" w:color="auto"/>
      </w:divBdr>
    </w:div>
    <w:div w:id="2040081235">
      <w:bodyDiv w:val="1"/>
      <w:marLeft w:val="0"/>
      <w:marRight w:val="0"/>
      <w:marTop w:val="0"/>
      <w:marBottom w:val="0"/>
      <w:divBdr>
        <w:top w:val="none" w:sz="0" w:space="0" w:color="auto"/>
        <w:left w:val="none" w:sz="0" w:space="0" w:color="auto"/>
        <w:bottom w:val="none" w:sz="0" w:space="0" w:color="auto"/>
        <w:right w:val="none" w:sz="0" w:space="0" w:color="auto"/>
      </w:divBdr>
    </w:div>
    <w:div w:id="2040399789">
      <w:bodyDiv w:val="1"/>
      <w:marLeft w:val="0"/>
      <w:marRight w:val="0"/>
      <w:marTop w:val="0"/>
      <w:marBottom w:val="0"/>
      <w:divBdr>
        <w:top w:val="none" w:sz="0" w:space="0" w:color="auto"/>
        <w:left w:val="none" w:sz="0" w:space="0" w:color="auto"/>
        <w:bottom w:val="none" w:sz="0" w:space="0" w:color="auto"/>
        <w:right w:val="none" w:sz="0" w:space="0" w:color="auto"/>
      </w:divBdr>
    </w:div>
    <w:div w:id="2041079793">
      <w:bodyDiv w:val="1"/>
      <w:marLeft w:val="0"/>
      <w:marRight w:val="0"/>
      <w:marTop w:val="0"/>
      <w:marBottom w:val="0"/>
      <w:divBdr>
        <w:top w:val="none" w:sz="0" w:space="0" w:color="auto"/>
        <w:left w:val="none" w:sz="0" w:space="0" w:color="auto"/>
        <w:bottom w:val="none" w:sz="0" w:space="0" w:color="auto"/>
        <w:right w:val="none" w:sz="0" w:space="0" w:color="auto"/>
      </w:divBdr>
    </w:div>
    <w:div w:id="2041198086">
      <w:bodyDiv w:val="1"/>
      <w:marLeft w:val="0"/>
      <w:marRight w:val="0"/>
      <w:marTop w:val="0"/>
      <w:marBottom w:val="0"/>
      <w:divBdr>
        <w:top w:val="none" w:sz="0" w:space="0" w:color="auto"/>
        <w:left w:val="none" w:sz="0" w:space="0" w:color="auto"/>
        <w:bottom w:val="none" w:sz="0" w:space="0" w:color="auto"/>
        <w:right w:val="none" w:sz="0" w:space="0" w:color="auto"/>
      </w:divBdr>
    </w:div>
    <w:div w:id="2041935599">
      <w:bodyDiv w:val="1"/>
      <w:marLeft w:val="0"/>
      <w:marRight w:val="0"/>
      <w:marTop w:val="0"/>
      <w:marBottom w:val="0"/>
      <w:divBdr>
        <w:top w:val="none" w:sz="0" w:space="0" w:color="auto"/>
        <w:left w:val="none" w:sz="0" w:space="0" w:color="auto"/>
        <w:bottom w:val="none" w:sz="0" w:space="0" w:color="auto"/>
        <w:right w:val="none" w:sz="0" w:space="0" w:color="auto"/>
      </w:divBdr>
    </w:div>
    <w:div w:id="2042626608">
      <w:bodyDiv w:val="1"/>
      <w:marLeft w:val="0"/>
      <w:marRight w:val="0"/>
      <w:marTop w:val="0"/>
      <w:marBottom w:val="0"/>
      <w:divBdr>
        <w:top w:val="none" w:sz="0" w:space="0" w:color="auto"/>
        <w:left w:val="none" w:sz="0" w:space="0" w:color="auto"/>
        <w:bottom w:val="none" w:sz="0" w:space="0" w:color="auto"/>
        <w:right w:val="none" w:sz="0" w:space="0" w:color="auto"/>
      </w:divBdr>
    </w:div>
    <w:div w:id="2043238898">
      <w:bodyDiv w:val="1"/>
      <w:marLeft w:val="0"/>
      <w:marRight w:val="0"/>
      <w:marTop w:val="0"/>
      <w:marBottom w:val="0"/>
      <w:divBdr>
        <w:top w:val="none" w:sz="0" w:space="0" w:color="auto"/>
        <w:left w:val="none" w:sz="0" w:space="0" w:color="auto"/>
        <w:bottom w:val="none" w:sz="0" w:space="0" w:color="auto"/>
        <w:right w:val="none" w:sz="0" w:space="0" w:color="auto"/>
      </w:divBdr>
    </w:div>
    <w:div w:id="2043627362">
      <w:bodyDiv w:val="1"/>
      <w:marLeft w:val="0"/>
      <w:marRight w:val="0"/>
      <w:marTop w:val="0"/>
      <w:marBottom w:val="0"/>
      <w:divBdr>
        <w:top w:val="none" w:sz="0" w:space="0" w:color="auto"/>
        <w:left w:val="none" w:sz="0" w:space="0" w:color="auto"/>
        <w:bottom w:val="none" w:sz="0" w:space="0" w:color="auto"/>
        <w:right w:val="none" w:sz="0" w:space="0" w:color="auto"/>
      </w:divBdr>
    </w:div>
    <w:div w:id="2044550215">
      <w:bodyDiv w:val="1"/>
      <w:marLeft w:val="0"/>
      <w:marRight w:val="0"/>
      <w:marTop w:val="0"/>
      <w:marBottom w:val="0"/>
      <w:divBdr>
        <w:top w:val="none" w:sz="0" w:space="0" w:color="auto"/>
        <w:left w:val="none" w:sz="0" w:space="0" w:color="auto"/>
        <w:bottom w:val="none" w:sz="0" w:space="0" w:color="auto"/>
        <w:right w:val="none" w:sz="0" w:space="0" w:color="auto"/>
      </w:divBdr>
    </w:div>
    <w:div w:id="2044598028">
      <w:bodyDiv w:val="1"/>
      <w:marLeft w:val="0"/>
      <w:marRight w:val="0"/>
      <w:marTop w:val="0"/>
      <w:marBottom w:val="0"/>
      <w:divBdr>
        <w:top w:val="none" w:sz="0" w:space="0" w:color="auto"/>
        <w:left w:val="none" w:sz="0" w:space="0" w:color="auto"/>
        <w:bottom w:val="none" w:sz="0" w:space="0" w:color="auto"/>
        <w:right w:val="none" w:sz="0" w:space="0" w:color="auto"/>
      </w:divBdr>
    </w:div>
    <w:div w:id="2045325675">
      <w:bodyDiv w:val="1"/>
      <w:marLeft w:val="0"/>
      <w:marRight w:val="0"/>
      <w:marTop w:val="0"/>
      <w:marBottom w:val="0"/>
      <w:divBdr>
        <w:top w:val="none" w:sz="0" w:space="0" w:color="auto"/>
        <w:left w:val="none" w:sz="0" w:space="0" w:color="auto"/>
        <w:bottom w:val="none" w:sz="0" w:space="0" w:color="auto"/>
        <w:right w:val="none" w:sz="0" w:space="0" w:color="auto"/>
      </w:divBdr>
    </w:div>
    <w:div w:id="2045396868">
      <w:bodyDiv w:val="1"/>
      <w:marLeft w:val="0"/>
      <w:marRight w:val="0"/>
      <w:marTop w:val="0"/>
      <w:marBottom w:val="0"/>
      <w:divBdr>
        <w:top w:val="none" w:sz="0" w:space="0" w:color="auto"/>
        <w:left w:val="none" w:sz="0" w:space="0" w:color="auto"/>
        <w:bottom w:val="none" w:sz="0" w:space="0" w:color="auto"/>
        <w:right w:val="none" w:sz="0" w:space="0" w:color="auto"/>
      </w:divBdr>
    </w:div>
    <w:div w:id="2045590488">
      <w:bodyDiv w:val="1"/>
      <w:marLeft w:val="0"/>
      <w:marRight w:val="0"/>
      <w:marTop w:val="0"/>
      <w:marBottom w:val="0"/>
      <w:divBdr>
        <w:top w:val="none" w:sz="0" w:space="0" w:color="auto"/>
        <w:left w:val="none" w:sz="0" w:space="0" w:color="auto"/>
        <w:bottom w:val="none" w:sz="0" w:space="0" w:color="auto"/>
        <w:right w:val="none" w:sz="0" w:space="0" w:color="auto"/>
      </w:divBdr>
    </w:div>
    <w:div w:id="2047288829">
      <w:bodyDiv w:val="1"/>
      <w:marLeft w:val="0"/>
      <w:marRight w:val="0"/>
      <w:marTop w:val="0"/>
      <w:marBottom w:val="0"/>
      <w:divBdr>
        <w:top w:val="none" w:sz="0" w:space="0" w:color="auto"/>
        <w:left w:val="none" w:sz="0" w:space="0" w:color="auto"/>
        <w:bottom w:val="none" w:sz="0" w:space="0" w:color="auto"/>
        <w:right w:val="none" w:sz="0" w:space="0" w:color="auto"/>
      </w:divBdr>
    </w:div>
    <w:div w:id="2047561691">
      <w:bodyDiv w:val="1"/>
      <w:marLeft w:val="0"/>
      <w:marRight w:val="0"/>
      <w:marTop w:val="0"/>
      <w:marBottom w:val="0"/>
      <w:divBdr>
        <w:top w:val="none" w:sz="0" w:space="0" w:color="auto"/>
        <w:left w:val="none" w:sz="0" w:space="0" w:color="auto"/>
        <w:bottom w:val="none" w:sz="0" w:space="0" w:color="auto"/>
        <w:right w:val="none" w:sz="0" w:space="0" w:color="auto"/>
      </w:divBdr>
    </w:div>
    <w:div w:id="2047950069">
      <w:bodyDiv w:val="1"/>
      <w:marLeft w:val="0"/>
      <w:marRight w:val="0"/>
      <w:marTop w:val="0"/>
      <w:marBottom w:val="0"/>
      <w:divBdr>
        <w:top w:val="none" w:sz="0" w:space="0" w:color="auto"/>
        <w:left w:val="none" w:sz="0" w:space="0" w:color="auto"/>
        <w:bottom w:val="none" w:sz="0" w:space="0" w:color="auto"/>
        <w:right w:val="none" w:sz="0" w:space="0" w:color="auto"/>
      </w:divBdr>
    </w:div>
    <w:div w:id="2048407582">
      <w:bodyDiv w:val="1"/>
      <w:marLeft w:val="0"/>
      <w:marRight w:val="0"/>
      <w:marTop w:val="0"/>
      <w:marBottom w:val="0"/>
      <w:divBdr>
        <w:top w:val="none" w:sz="0" w:space="0" w:color="auto"/>
        <w:left w:val="none" w:sz="0" w:space="0" w:color="auto"/>
        <w:bottom w:val="none" w:sz="0" w:space="0" w:color="auto"/>
        <w:right w:val="none" w:sz="0" w:space="0" w:color="auto"/>
      </w:divBdr>
    </w:div>
    <w:div w:id="2049716798">
      <w:bodyDiv w:val="1"/>
      <w:marLeft w:val="0"/>
      <w:marRight w:val="0"/>
      <w:marTop w:val="0"/>
      <w:marBottom w:val="0"/>
      <w:divBdr>
        <w:top w:val="none" w:sz="0" w:space="0" w:color="auto"/>
        <w:left w:val="none" w:sz="0" w:space="0" w:color="auto"/>
        <w:bottom w:val="none" w:sz="0" w:space="0" w:color="auto"/>
        <w:right w:val="none" w:sz="0" w:space="0" w:color="auto"/>
      </w:divBdr>
    </w:div>
    <w:div w:id="2050298390">
      <w:bodyDiv w:val="1"/>
      <w:marLeft w:val="0"/>
      <w:marRight w:val="0"/>
      <w:marTop w:val="0"/>
      <w:marBottom w:val="0"/>
      <w:divBdr>
        <w:top w:val="none" w:sz="0" w:space="0" w:color="auto"/>
        <w:left w:val="none" w:sz="0" w:space="0" w:color="auto"/>
        <w:bottom w:val="none" w:sz="0" w:space="0" w:color="auto"/>
        <w:right w:val="none" w:sz="0" w:space="0" w:color="auto"/>
      </w:divBdr>
    </w:div>
    <w:div w:id="2050564805">
      <w:bodyDiv w:val="1"/>
      <w:marLeft w:val="0"/>
      <w:marRight w:val="0"/>
      <w:marTop w:val="0"/>
      <w:marBottom w:val="0"/>
      <w:divBdr>
        <w:top w:val="none" w:sz="0" w:space="0" w:color="auto"/>
        <w:left w:val="none" w:sz="0" w:space="0" w:color="auto"/>
        <w:bottom w:val="none" w:sz="0" w:space="0" w:color="auto"/>
        <w:right w:val="none" w:sz="0" w:space="0" w:color="auto"/>
      </w:divBdr>
    </w:div>
    <w:div w:id="2050718715">
      <w:bodyDiv w:val="1"/>
      <w:marLeft w:val="0"/>
      <w:marRight w:val="0"/>
      <w:marTop w:val="0"/>
      <w:marBottom w:val="0"/>
      <w:divBdr>
        <w:top w:val="none" w:sz="0" w:space="0" w:color="auto"/>
        <w:left w:val="none" w:sz="0" w:space="0" w:color="auto"/>
        <w:bottom w:val="none" w:sz="0" w:space="0" w:color="auto"/>
        <w:right w:val="none" w:sz="0" w:space="0" w:color="auto"/>
      </w:divBdr>
    </w:div>
    <w:div w:id="2050757538">
      <w:bodyDiv w:val="1"/>
      <w:marLeft w:val="0"/>
      <w:marRight w:val="0"/>
      <w:marTop w:val="0"/>
      <w:marBottom w:val="0"/>
      <w:divBdr>
        <w:top w:val="none" w:sz="0" w:space="0" w:color="auto"/>
        <w:left w:val="none" w:sz="0" w:space="0" w:color="auto"/>
        <w:bottom w:val="none" w:sz="0" w:space="0" w:color="auto"/>
        <w:right w:val="none" w:sz="0" w:space="0" w:color="auto"/>
      </w:divBdr>
    </w:div>
    <w:div w:id="2051570655">
      <w:bodyDiv w:val="1"/>
      <w:marLeft w:val="0"/>
      <w:marRight w:val="0"/>
      <w:marTop w:val="0"/>
      <w:marBottom w:val="0"/>
      <w:divBdr>
        <w:top w:val="none" w:sz="0" w:space="0" w:color="auto"/>
        <w:left w:val="none" w:sz="0" w:space="0" w:color="auto"/>
        <w:bottom w:val="none" w:sz="0" w:space="0" w:color="auto"/>
        <w:right w:val="none" w:sz="0" w:space="0" w:color="auto"/>
      </w:divBdr>
    </w:div>
    <w:div w:id="2051611379">
      <w:bodyDiv w:val="1"/>
      <w:marLeft w:val="0"/>
      <w:marRight w:val="0"/>
      <w:marTop w:val="0"/>
      <w:marBottom w:val="0"/>
      <w:divBdr>
        <w:top w:val="none" w:sz="0" w:space="0" w:color="auto"/>
        <w:left w:val="none" w:sz="0" w:space="0" w:color="auto"/>
        <w:bottom w:val="none" w:sz="0" w:space="0" w:color="auto"/>
        <w:right w:val="none" w:sz="0" w:space="0" w:color="auto"/>
      </w:divBdr>
    </w:div>
    <w:div w:id="2052415369">
      <w:bodyDiv w:val="1"/>
      <w:marLeft w:val="0"/>
      <w:marRight w:val="0"/>
      <w:marTop w:val="0"/>
      <w:marBottom w:val="0"/>
      <w:divBdr>
        <w:top w:val="none" w:sz="0" w:space="0" w:color="auto"/>
        <w:left w:val="none" w:sz="0" w:space="0" w:color="auto"/>
        <w:bottom w:val="none" w:sz="0" w:space="0" w:color="auto"/>
        <w:right w:val="none" w:sz="0" w:space="0" w:color="auto"/>
      </w:divBdr>
    </w:div>
    <w:div w:id="2052456616">
      <w:bodyDiv w:val="1"/>
      <w:marLeft w:val="0"/>
      <w:marRight w:val="0"/>
      <w:marTop w:val="0"/>
      <w:marBottom w:val="0"/>
      <w:divBdr>
        <w:top w:val="none" w:sz="0" w:space="0" w:color="auto"/>
        <w:left w:val="none" w:sz="0" w:space="0" w:color="auto"/>
        <w:bottom w:val="none" w:sz="0" w:space="0" w:color="auto"/>
        <w:right w:val="none" w:sz="0" w:space="0" w:color="auto"/>
      </w:divBdr>
    </w:div>
    <w:div w:id="2052725050">
      <w:bodyDiv w:val="1"/>
      <w:marLeft w:val="0"/>
      <w:marRight w:val="0"/>
      <w:marTop w:val="0"/>
      <w:marBottom w:val="0"/>
      <w:divBdr>
        <w:top w:val="none" w:sz="0" w:space="0" w:color="auto"/>
        <w:left w:val="none" w:sz="0" w:space="0" w:color="auto"/>
        <w:bottom w:val="none" w:sz="0" w:space="0" w:color="auto"/>
        <w:right w:val="none" w:sz="0" w:space="0" w:color="auto"/>
      </w:divBdr>
    </w:div>
    <w:div w:id="2052731328">
      <w:bodyDiv w:val="1"/>
      <w:marLeft w:val="0"/>
      <w:marRight w:val="0"/>
      <w:marTop w:val="0"/>
      <w:marBottom w:val="0"/>
      <w:divBdr>
        <w:top w:val="none" w:sz="0" w:space="0" w:color="auto"/>
        <w:left w:val="none" w:sz="0" w:space="0" w:color="auto"/>
        <w:bottom w:val="none" w:sz="0" w:space="0" w:color="auto"/>
        <w:right w:val="none" w:sz="0" w:space="0" w:color="auto"/>
      </w:divBdr>
    </w:div>
    <w:div w:id="2052802562">
      <w:bodyDiv w:val="1"/>
      <w:marLeft w:val="0"/>
      <w:marRight w:val="0"/>
      <w:marTop w:val="0"/>
      <w:marBottom w:val="0"/>
      <w:divBdr>
        <w:top w:val="none" w:sz="0" w:space="0" w:color="auto"/>
        <w:left w:val="none" w:sz="0" w:space="0" w:color="auto"/>
        <w:bottom w:val="none" w:sz="0" w:space="0" w:color="auto"/>
        <w:right w:val="none" w:sz="0" w:space="0" w:color="auto"/>
      </w:divBdr>
    </w:div>
    <w:div w:id="2052874740">
      <w:bodyDiv w:val="1"/>
      <w:marLeft w:val="0"/>
      <w:marRight w:val="0"/>
      <w:marTop w:val="0"/>
      <w:marBottom w:val="0"/>
      <w:divBdr>
        <w:top w:val="none" w:sz="0" w:space="0" w:color="auto"/>
        <w:left w:val="none" w:sz="0" w:space="0" w:color="auto"/>
        <w:bottom w:val="none" w:sz="0" w:space="0" w:color="auto"/>
        <w:right w:val="none" w:sz="0" w:space="0" w:color="auto"/>
      </w:divBdr>
    </w:div>
    <w:div w:id="2053067401">
      <w:bodyDiv w:val="1"/>
      <w:marLeft w:val="0"/>
      <w:marRight w:val="0"/>
      <w:marTop w:val="0"/>
      <w:marBottom w:val="0"/>
      <w:divBdr>
        <w:top w:val="none" w:sz="0" w:space="0" w:color="auto"/>
        <w:left w:val="none" w:sz="0" w:space="0" w:color="auto"/>
        <w:bottom w:val="none" w:sz="0" w:space="0" w:color="auto"/>
        <w:right w:val="none" w:sz="0" w:space="0" w:color="auto"/>
      </w:divBdr>
    </w:div>
    <w:div w:id="2054883876">
      <w:bodyDiv w:val="1"/>
      <w:marLeft w:val="0"/>
      <w:marRight w:val="0"/>
      <w:marTop w:val="0"/>
      <w:marBottom w:val="0"/>
      <w:divBdr>
        <w:top w:val="none" w:sz="0" w:space="0" w:color="auto"/>
        <w:left w:val="none" w:sz="0" w:space="0" w:color="auto"/>
        <w:bottom w:val="none" w:sz="0" w:space="0" w:color="auto"/>
        <w:right w:val="none" w:sz="0" w:space="0" w:color="auto"/>
      </w:divBdr>
    </w:div>
    <w:div w:id="2055999588">
      <w:bodyDiv w:val="1"/>
      <w:marLeft w:val="0"/>
      <w:marRight w:val="0"/>
      <w:marTop w:val="0"/>
      <w:marBottom w:val="0"/>
      <w:divBdr>
        <w:top w:val="none" w:sz="0" w:space="0" w:color="auto"/>
        <w:left w:val="none" w:sz="0" w:space="0" w:color="auto"/>
        <w:bottom w:val="none" w:sz="0" w:space="0" w:color="auto"/>
        <w:right w:val="none" w:sz="0" w:space="0" w:color="auto"/>
      </w:divBdr>
    </w:div>
    <w:div w:id="2056269658">
      <w:bodyDiv w:val="1"/>
      <w:marLeft w:val="0"/>
      <w:marRight w:val="0"/>
      <w:marTop w:val="0"/>
      <w:marBottom w:val="0"/>
      <w:divBdr>
        <w:top w:val="none" w:sz="0" w:space="0" w:color="auto"/>
        <w:left w:val="none" w:sz="0" w:space="0" w:color="auto"/>
        <w:bottom w:val="none" w:sz="0" w:space="0" w:color="auto"/>
        <w:right w:val="none" w:sz="0" w:space="0" w:color="auto"/>
      </w:divBdr>
    </w:div>
    <w:div w:id="2056541524">
      <w:bodyDiv w:val="1"/>
      <w:marLeft w:val="0"/>
      <w:marRight w:val="0"/>
      <w:marTop w:val="0"/>
      <w:marBottom w:val="0"/>
      <w:divBdr>
        <w:top w:val="none" w:sz="0" w:space="0" w:color="auto"/>
        <w:left w:val="none" w:sz="0" w:space="0" w:color="auto"/>
        <w:bottom w:val="none" w:sz="0" w:space="0" w:color="auto"/>
        <w:right w:val="none" w:sz="0" w:space="0" w:color="auto"/>
      </w:divBdr>
    </w:div>
    <w:div w:id="2057699959">
      <w:bodyDiv w:val="1"/>
      <w:marLeft w:val="0"/>
      <w:marRight w:val="0"/>
      <w:marTop w:val="0"/>
      <w:marBottom w:val="0"/>
      <w:divBdr>
        <w:top w:val="none" w:sz="0" w:space="0" w:color="auto"/>
        <w:left w:val="none" w:sz="0" w:space="0" w:color="auto"/>
        <w:bottom w:val="none" w:sz="0" w:space="0" w:color="auto"/>
        <w:right w:val="none" w:sz="0" w:space="0" w:color="auto"/>
      </w:divBdr>
    </w:div>
    <w:div w:id="2058167357">
      <w:bodyDiv w:val="1"/>
      <w:marLeft w:val="0"/>
      <w:marRight w:val="0"/>
      <w:marTop w:val="0"/>
      <w:marBottom w:val="0"/>
      <w:divBdr>
        <w:top w:val="none" w:sz="0" w:space="0" w:color="auto"/>
        <w:left w:val="none" w:sz="0" w:space="0" w:color="auto"/>
        <w:bottom w:val="none" w:sz="0" w:space="0" w:color="auto"/>
        <w:right w:val="none" w:sz="0" w:space="0" w:color="auto"/>
      </w:divBdr>
    </w:div>
    <w:div w:id="2058315559">
      <w:bodyDiv w:val="1"/>
      <w:marLeft w:val="0"/>
      <w:marRight w:val="0"/>
      <w:marTop w:val="0"/>
      <w:marBottom w:val="0"/>
      <w:divBdr>
        <w:top w:val="none" w:sz="0" w:space="0" w:color="auto"/>
        <w:left w:val="none" w:sz="0" w:space="0" w:color="auto"/>
        <w:bottom w:val="none" w:sz="0" w:space="0" w:color="auto"/>
        <w:right w:val="none" w:sz="0" w:space="0" w:color="auto"/>
      </w:divBdr>
    </w:div>
    <w:div w:id="2059280491">
      <w:bodyDiv w:val="1"/>
      <w:marLeft w:val="0"/>
      <w:marRight w:val="0"/>
      <w:marTop w:val="0"/>
      <w:marBottom w:val="0"/>
      <w:divBdr>
        <w:top w:val="none" w:sz="0" w:space="0" w:color="auto"/>
        <w:left w:val="none" w:sz="0" w:space="0" w:color="auto"/>
        <w:bottom w:val="none" w:sz="0" w:space="0" w:color="auto"/>
        <w:right w:val="none" w:sz="0" w:space="0" w:color="auto"/>
      </w:divBdr>
    </w:div>
    <w:div w:id="2059358418">
      <w:bodyDiv w:val="1"/>
      <w:marLeft w:val="0"/>
      <w:marRight w:val="0"/>
      <w:marTop w:val="0"/>
      <w:marBottom w:val="0"/>
      <w:divBdr>
        <w:top w:val="none" w:sz="0" w:space="0" w:color="auto"/>
        <w:left w:val="none" w:sz="0" w:space="0" w:color="auto"/>
        <w:bottom w:val="none" w:sz="0" w:space="0" w:color="auto"/>
        <w:right w:val="none" w:sz="0" w:space="0" w:color="auto"/>
      </w:divBdr>
    </w:div>
    <w:div w:id="2060855409">
      <w:bodyDiv w:val="1"/>
      <w:marLeft w:val="0"/>
      <w:marRight w:val="0"/>
      <w:marTop w:val="0"/>
      <w:marBottom w:val="0"/>
      <w:divBdr>
        <w:top w:val="none" w:sz="0" w:space="0" w:color="auto"/>
        <w:left w:val="none" w:sz="0" w:space="0" w:color="auto"/>
        <w:bottom w:val="none" w:sz="0" w:space="0" w:color="auto"/>
        <w:right w:val="none" w:sz="0" w:space="0" w:color="auto"/>
      </w:divBdr>
    </w:div>
    <w:div w:id="2064523643">
      <w:bodyDiv w:val="1"/>
      <w:marLeft w:val="0"/>
      <w:marRight w:val="0"/>
      <w:marTop w:val="0"/>
      <w:marBottom w:val="0"/>
      <w:divBdr>
        <w:top w:val="none" w:sz="0" w:space="0" w:color="auto"/>
        <w:left w:val="none" w:sz="0" w:space="0" w:color="auto"/>
        <w:bottom w:val="none" w:sz="0" w:space="0" w:color="auto"/>
        <w:right w:val="none" w:sz="0" w:space="0" w:color="auto"/>
      </w:divBdr>
    </w:div>
    <w:div w:id="2065373538">
      <w:bodyDiv w:val="1"/>
      <w:marLeft w:val="0"/>
      <w:marRight w:val="0"/>
      <w:marTop w:val="0"/>
      <w:marBottom w:val="0"/>
      <w:divBdr>
        <w:top w:val="none" w:sz="0" w:space="0" w:color="auto"/>
        <w:left w:val="none" w:sz="0" w:space="0" w:color="auto"/>
        <w:bottom w:val="none" w:sz="0" w:space="0" w:color="auto"/>
        <w:right w:val="none" w:sz="0" w:space="0" w:color="auto"/>
      </w:divBdr>
    </w:div>
    <w:div w:id="2065522785">
      <w:bodyDiv w:val="1"/>
      <w:marLeft w:val="0"/>
      <w:marRight w:val="0"/>
      <w:marTop w:val="0"/>
      <w:marBottom w:val="0"/>
      <w:divBdr>
        <w:top w:val="none" w:sz="0" w:space="0" w:color="auto"/>
        <w:left w:val="none" w:sz="0" w:space="0" w:color="auto"/>
        <w:bottom w:val="none" w:sz="0" w:space="0" w:color="auto"/>
        <w:right w:val="none" w:sz="0" w:space="0" w:color="auto"/>
      </w:divBdr>
    </w:div>
    <w:div w:id="2066754591">
      <w:bodyDiv w:val="1"/>
      <w:marLeft w:val="0"/>
      <w:marRight w:val="0"/>
      <w:marTop w:val="0"/>
      <w:marBottom w:val="0"/>
      <w:divBdr>
        <w:top w:val="none" w:sz="0" w:space="0" w:color="auto"/>
        <w:left w:val="none" w:sz="0" w:space="0" w:color="auto"/>
        <w:bottom w:val="none" w:sz="0" w:space="0" w:color="auto"/>
        <w:right w:val="none" w:sz="0" w:space="0" w:color="auto"/>
      </w:divBdr>
    </w:div>
    <w:div w:id="2066906698">
      <w:bodyDiv w:val="1"/>
      <w:marLeft w:val="0"/>
      <w:marRight w:val="0"/>
      <w:marTop w:val="0"/>
      <w:marBottom w:val="0"/>
      <w:divBdr>
        <w:top w:val="none" w:sz="0" w:space="0" w:color="auto"/>
        <w:left w:val="none" w:sz="0" w:space="0" w:color="auto"/>
        <w:bottom w:val="none" w:sz="0" w:space="0" w:color="auto"/>
        <w:right w:val="none" w:sz="0" w:space="0" w:color="auto"/>
      </w:divBdr>
    </w:div>
    <w:div w:id="2067098859">
      <w:bodyDiv w:val="1"/>
      <w:marLeft w:val="0"/>
      <w:marRight w:val="0"/>
      <w:marTop w:val="0"/>
      <w:marBottom w:val="0"/>
      <w:divBdr>
        <w:top w:val="none" w:sz="0" w:space="0" w:color="auto"/>
        <w:left w:val="none" w:sz="0" w:space="0" w:color="auto"/>
        <w:bottom w:val="none" w:sz="0" w:space="0" w:color="auto"/>
        <w:right w:val="none" w:sz="0" w:space="0" w:color="auto"/>
      </w:divBdr>
    </w:div>
    <w:div w:id="2067219684">
      <w:bodyDiv w:val="1"/>
      <w:marLeft w:val="0"/>
      <w:marRight w:val="0"/>
      <w:marTop w:val="0"/>
      <w:marBottom w:val="0"/>
      <w:divBdr>
        <w:top w:val="none" w:sz="0" w:space="0" w:color="auto"/>
        <w:left w:val="none" w:sz="0" w:space="0" w:color="auto"/>
        <w:bottom w:val="none" w:sz="0" w:space="0" w:color="auto"/>
        <w:right w:val="none" w:sz="0" w:space="0" w:color="auto"/>
      </w:divBdr>
    </w:div>
    <w:div w:id="2068993644">
      <w:bodyDiv w:val="1"/>
      <w:marLeft w:val="0"/>
      <w:marRight w:val="0"/>
      <w:marTop w:val="0"/>
      <w:marBottom w:val="0"/>
      <w:divBdr>
        <w:top w:val="none" w:sz="0" w:space="0" w:color="auto"/>
        <w:left w:val="none" w:sz="0" w:space="0" w:color="auto"/>
        <w:bottom w:val="none" w:sz="0" w:space="0" w:color="auto"/>
        <w:right w:val="none" w:sz="0" w:space="0" w:color="auto"/>
      </w:divBdr>
    </w:div>
    <w:div w:id="2069528053">
      <w:bodyDiv w:val="1"/>
      <w:marLeft w:val="0"/>
      <w:marRight w:val="0"/>
      <w:marTop w:val="0"/>
      <w:marBottom w:val="0"/>
      <w:divBdr>
        <w:top w:val="none" w:sz="0" w:space="0" w:color="auto"/>
        <w:left w:val="none" w:sz="0" w:space="0" w:color="auto"/>
        <w:bottom w:val="none" w:sz="0" w:space="0" w:color="auto"/>
        <w:right w:val="none" w:sz="0" w:space="0" w:color="auto"/>
      </w:divBdr>
    </w:div>
    <w:div w:id="2069764449">
      <w:bodyDiv w:val="1"/>
      <w:marLeft w:val="0"/>
      <w:marRight w:val="0"/>
      <w:marTop w:val="0"/>
      <w:marBottom w:val="0"/>
      <w:divBdr>
        <w:top w:val="none" w:sz="0" w:space="0" w:color="auto"/>
        <w:left w:val="none" w:sz="0" w:space="0" w:color="auto"/>
        <w:bottom w:val="none" w:sz="0" w:space="0" w:color="auto"/>
        <w:right w:val="none" w:sz="0" w:space="0" w:color="auto"/>
      </w:divBdr>
    </w:div>
    <w:div w:id="2070222426">
      <w:bodyDiv w:val="1"/>
      <w:marLeft w:val="0"/>
      <w:marRight w:val="0"/>
      <w:marTop w:val="0"/>
      <w:marBottom w:val="0"/>
      <w:divBdr>
        <w:top w:val="none" w:sz="0" w:space="0" w:color="auto"/>
        <w:left w:val="none" w:sz="0" w:space="0" w:color="auto"/>
        <w:bottom w:val="none" w:sz="0" w:space="0" w:color="auto"/>
        <w:right w:val="none" w:sz="0" w:space="0" w:color="auto"/>
      </w:divBdr>
    </w:div>
    <w:div w:id="2070230624">
      <w:bodyDiv w:val="1"/>
      <w:marLeft w:val="0"/>
      <w:marRight w:val="0"/>
      <w:marTop w:val="0"/>
      <w:marBottom w:val="0"/>
      <w:divBdr>
        <w:top w:val="none" w:sz="0" w:space="0" w:color="auto"/>
        <w:left w:val="none" w:sz="0" w:space="0" w:color="auto"/>
        <w:bottom w:val="none" w:sz="0" w:space="0" w:color="auto"/>
        <w:right w:val="none" w:sz="0" w:space="0" w:color="auto"/>
      </w:divBdr>
    </w:div>
    <w:div w:id="2070421825">
      <w:bodyDiv w:val="1"/>
      <w:marLeft w:val="0"/>
      <w:marRight w:val="0"/>
      <w:marTop w:val="0"/>
      <w:marBottom w:val="0"/>
      <w:divBdr>
        <w:top w:val="none" w:sz="0" w:space="0" w:color="auto"/>
        <w:left w:val="none" w:sz="0" w:space="0" w:color="auto"/>
        <w:bottom w:val="none" w:sz="0" w:space="0" w:color="auto"/>
        <w:right w:val="none" w:sz="0" w:space="0" w:color="auto"/>
      </w:divBdr>
    </w:div>
    <w:div w:id="2070767293">
      <w:bodyDiv w:val="1"/>
      <w:marLeft w:val="0"/>
      <w:marRight w:val="0"/>
      <w:marTop w:val="0"/>
      <w:marBottom w:val="0"/>
      <w:divBdr>
        <w:top w:val="none" w:sz="0" w:space="0" w:color="auto"/>
        <w:left w:val="none" w:sz="0" w:space="0" w:color="auto"/>
        <w:bottom w:val="none" w:sz="0" w:space="0" w:color="auto"/>
        <w:right w:val="none" w:sz="0" w:space="0" w:color="auto"/>
      </w:divBdr>
    </w:div>
    <w:div w:id="2070810207">
      <w:bodyDiv w:val="1"/>
      <w:marLeft w:val="0"/>
      <w:marRight w:val="0"/>
      <w:marTop w:val="0"/>
      <w:marBottom w:val="0"/>
      <w:divBdr>
        <w:top w:val="none" w:sz="0" w:space="0" w:color="auto"/>
        <w:left w:val="none" w:sz="0" w:space="0" w:color="auto"/>
        <w:bottom w:val="none" w:sz="0" w:space="0" w:color="auto"/>
        <w:right w:val="none" w:sz="0" w:space="0" w:color="auto"/>
      </w:divBdr>
    </w:div>
    <w:div w:id="2070882792">
      <w:bodyDiv w:val="1"/>
      <w:marLeft w:val="0"/>
      <w:marRight w:val="0"/>
      <w:marTop w:val="0"/>
      <w:marBottom w:val="0"/>
      <w:divBdr>
        <w:top w:val="none" w:sz="0" w:space="0" w:color="auto"/>
        <w:left w:val="none" w:sz="0" w:space="0" w:color="auto"/>
        <w:bottom w:val="none" w:sz="0" w:space="0" w:color="auto"/>
        <w:right w:val="none" w:sz="0" w:space="0" w:color="auto"/>
      </w:divBdr>
    </w:div>
    <w:div w:id="2071229860">
      <w:bodyDiv w:val="1"/>
      <w:marLeft w:val="0"/>
      <w:marRight w:val="0"/>
      <w:marTop w:val="0"/>
      <w:marBottom w:val="0"/>
      <w:divBdr>
        <w:top w:val="none" w:sz="0" w:space="0" w:color="auto"/>
        <w:left w:val="none" w:sz="0" w:space="0" w:color="auto"/>
        <w:bottom w:val="none" w:sz="0" w:space="0" w:color="auto"/>
        <w:right w:val="none" w:sz="0" w:space="0" w:color="auto"/>
      </w:divBdr>
    </w:div>
    <w:div w:id="2071728376">
      <w:bodyDiv w:val="1"/>
      <w:marLeft w:val="0"/>
      <w:marRight w:val="0"/>
      <w:marTop w:val="0"/>
      <w:marBottom w:val="0"/>
      <w:divBdr>
        <w:top w:val="none" w:sz="0" w:space="0" w:color="auto"/>
        <w:left w:val="none" w:sz="0" w:space="0" w:color="auto"/>
        <w:bottom w:val="none" w:sz="0" w:space="0" w:color="auto"/>
        <w:right w:val="none" w:sz="0" w:space="0" w:color="auto"/>
      </w:divBdr>
    </w:div>
    <w:div w:id="2073917994">
      <w:bodyDiv w:val="1"/>
      <w:marLeft w:val="0"/>
      <w:marRight w:val="0"/>
      <w:marTop w:val="0"/>
      <w:marBottom w:val="0"/>
      <w:divBdr>
        <w:top w:val="none" w:sz="0" w:space="0" w:color="auto"/>
        <w:left w:val="none" w:sz="0" w:space="0" w:color="auto"/>
        <w:bottom w:val="none" w:sz="0" w:space="0" w:color="auto"/>
        <w:right w:val="none" w:sz="0" w:space="0" w:color="auto"/>
      </w:divBdr>
    </w:div>
    <w:div w:id="2074156772">
      <w:bodyDiv w:val="1"/>
      <w:marLeft w:val="0"/>
      <w:marRight w:val="0"/>
      <w:marTop w:val="0"/>
      <w:marBottom w:val="0"/>
      <w:divBdr>
        <w:top w:val="none" w:sz="0" w:space="0" w:color="auto"/>
        <w:left w:val="none" w:sz="0" w:space="0" w:color="auto"/>
        <w:bottom w:val="none" w:sz="0" w:space="0" w:color="auto"/>
        <w:right w:val="none" w:sz="0" w:space="0" w:color="auto"/>
      </w:divBdr>
    </w:div>
    <w:div w:id="2075346672">
      <w:bodyDiv w:val="1"/>
      <w:marLeft w:val="0"/>
      <w:marRight w:val="0"/>
      <w:marTop w:val="0"/>
      <w:marBottom w:val="0"/>
      <w:divBdr>
        <w:top w:val="none" w:sz="0" w:space="0" w:color="auto"/>
        <w:left w:val="none" w:sz="0" w:space="0" w:color="auto"/>
        <w:bottom w:val="none" w:sz="0" w:space="0" w:color="auto"/>
        <w:right w:val="none" w:sz="0" w:space="0" w:color="auto"/>
      </w:divBdr>
    </w:div>
    <w:div w:id="2078092454">
      <w:bodyDiv w:val="1"/>
      <w:marLeft w:val="0"/>
      <w:marRight w:val="0"/>
      <w:marTop w:val="0"/>
      <w:marBottom w:val="0"/>
      <w:divBdr>
        <w:top w:val="none" w:sz="0" w:space="0" w:color="auto"/>
        <w:left w:val="none" w:sz="0" w:space="0" w:color="auto"/>
        <w:bottom w:val="none" w:sz="0" w:space="0" w:color="auto"/>
        <w:right w:val="none" w:sz="0" w:space="0" w:color="auto"/>
      </w:divBdr>
    </w:div>
    <w:div w:id="2079208550">
      <w:bodyDiv w:val="1"/>
      <w:marLeft w:val="0"/>
      <w:marRight w:val="0"/>
      <w:marTop w:val="0"/>
      <w:marBottom w:val="0"/>
      <w:divBdr>
        <w:top w:val="none" w:sz="0" w:space="0" w:color="auto"/>
        <w:left w:val="none" w:sz="0" w:space="0" w:color="auto"/>
        <w:bottom w:val="none" w:sz="0" w:space="0" w:color="auto"/>
        <w:right w:val="none" w:sz="0" w:space="0" w:color="auto"/>
      </w:divBdr>
    </w:div>
    <w:div w:id="2081948495">
      <w:bodyDiv w:val="1"/>
      <w:marLeft w:val="0"/>
      <w:marRight w:val="0"/>
      <w:marTop w:val="0"/>
      <w:marBottom w:val="0"/>
      <w:divBdr>
        <w:top w:val="none" w:sz="0" w:space="0" w:color="auto"/>
        <w:left w:val="none" w:sz="0" w:space="0" w:color="auto"/>
        <w:bottom w:val="none" w:sz="0" w:space="0" w:color="auto"/>
        <w:right w:val="none" w:sz="0" w:space="0" w:color="auto"/>
      </w:divBdr>
    </w:div>
    <w:div w:id="2083868321">
      <w:bodyDiv w:val="1"/>
      <w:marLeft w:val="0"/>
      <w:marRight w:val="0"/>
      <w:marTop w:val="0"/>
      <w:marBottom w:val="0"/>
      <w:divBdr>
        <w:top w:val="none" w:sz="0" w:space="0" w:color="auto"/>
        <w:left w:val="none" w:sz="0" w:space="0" w:color="auto"/>
        <w:bottom w:val="none" w:sz="0" w:space="0" w:color="auto"/>
        <w:right w:val="none" w:sz="0" w:space="0" w:color="auto"/>
      </w:divBdr>
    </w:div>
    <w:div w:id="2084255340">
      <w:bodyDiv w:val="1"/>
      <w:marLeft w:val="0"/>
      <w:marRight w:val="0"/>
      <w:marTop w:val="0"/>
      <w:marBottom w:val="0"/>
      <w:divBdr>
        <w:top w:val="none" w:sz="0" w:space="0" w:color="auto"/>
        <w:left w:val="none" w:sz="0" w:space="0" w:color="auto"/>
        <w:bottom w:val="none" w:sz="0" w:space="0" w:color="auto"/>
        <w:right w:val="none" w:sz="0" w:space="0" w:color="auto"/>
      </w:divBdr>
    </w:div>
    <w:div w:id="2084523205">
      <w:bodyDiv w:val="1"/>
      <w:marLeft w:val="0"/>
      <w:marRight w:val="0"/>
      <w:marTop w:val="0"/>
      <w:marBottom w:val="0"/>
      <w:divBdr>
        <w:top w:val="none" w:sz="0" w:space="0" w:color="auto"/>
        <w:left w:val="none" w:sz="0" w:space="0" w:color="auto"/>
        <w:bottom w:val="none" w:sz="0" w:space="0" w:color="auto"/>
        <w:right w:val="none" w:sz="0" w:space="0" w:color="auto"/>
      </w:divBdr>
    </w:div>
    <w:div w:id="2084717321">
      <w:bodyDiv w:val="1"/>
      <w:marLeft w:val="0"/>
      <w:marRight w:val="0"/>
      <w:marTop w:val="0"/>
      <w:marBottom w:val="0"/>
      <w:divBdr>
        <w:top w:val="none" w:sz="0" w:space="0" w:color="auto"/>
        <w:left w:val="none" w:sz="0" w:space="0" w:color="auto"/>
        <w:bottom w:val="none" w:sz="0" w:space="0" w:color="auto"/>
        <w:right w:val="none" w:sz="0" w:space="0" w:color="auto"/>
      </w:divBdr>
    </w:div>
    <w:div w:id="2085056876">
      <w:bodyDiv w:val="1"/>
      <w:marLeft w:val="0"/>
      <w:marRight w:val="0"/>
      <w:marTop w:val="0"/>
      <w:marBottom w:val="0"/>
      <w:divBdr>
        <w:top w:val="none" w:sz="0" w:space="0" w:color="auto"/>
        <w:left w:val="none" w:sz="0" w:space="0" w:color="auto"/>
        <w:bottom w:val="none" w:sz="0" w:space="0" w:color="auto"/>
        <w:right w:val="none" w:sz="0" w:space="0" w:color="auto"/>
      </w:divBdr>
    </w:div>
    <w:div w:id="2087459545">
      <w:bodyDiv w:val="1"/>
      <w:marLeft w:val="0"/>
      <w:marRight w:val="0"/>
      <w:marTop w:val="0"/>
      <w:marBottom w:val="0"/>
      <w:divBdr>
        <w:top w:val="none" w:sz="0" w:space="0" w:color="auto"/>
        <w:left w:val="none" w:sz="0" w:space="0" w:color="auto"/>
        <w:bottom w:val="none" w:sz="0" w:space="0" w:color="auto"/>
        <w:right w:val="none" w:sz="0" w:space="0" w:color="auto"/>
      </w:divBdr>
    </w:div>
    <w:div w:id="2088837726">
      <w:bodyDiv w:val="1"/>
      <w:marLeft w:val="0"/>
      <w:marRight w:val="0"/>
      <w:marTop w:val="0"/>
      <w:marBottom w:val="0"/>
      <w:divBdr>
        <w:top w:val="none" w:sz="0" w:space="0" w:color="auto"/>
        <w:left w:val="none" w:sz="0" w:space="0" w:color="auto"/>
        <w:bottom w:val="none" w:sz="0" w:space="0" w:color="auto"/>
        <w:right w:val="none" w:sz="0" w:space="0" w:color="auto"/>
      </w:divBdr>
    </w:div>
    <w:div w:id="2090154726">
      <w:bodyDiv w:val="1"/>
      <w:marLeft w:val="0"/>
      <w:marRight w:val="0"/>
      <w:marTop w:val="0"/>
      <w:marBottom w:val="0"/>
      <w:divBdr>
        <w:top w:val="none" w:sz="0" w:space="0" w:color="auto"/>
        <w:left w:val="none" w:sz="0" w:space="0" w:color="auto"/>
        <w:bottom w:val="none" w:sz="0" w:space="0" w:color="auto"/>
        <w:right w:val="none" w:sz="0" w:space="0" w:color="auto"/>
      </w:divBdr>
    </w:div>
    <w:div w:id="2090345731">
      <w:bodyDiv w:val="1"/>
      <w:marLeft w:val="0"/>
      <w:marRight w:val="0"/>
      <w:marTop w:val="0"/>
      <w:marBottom w:val="0"/>
      <w:divBdr>
        <w:top w:val="none" w:sz="0" w:space="0" w:color="auto"/>
        <w:left w:val="none" w:sz="0" w:space="0" w:color="auto"/>
        <w:bottom w:val="none" w:sz="0" w:space="0" w:color="auto"/>
        <w:right w:val="none" w:sz="0" w:space="0" w:color="auto"/>
      </w:divBdr>
    </w:div>
    <w:div w:id="2092583253">
      <w:bodyDiv w:val="1"/>
      <w:marLeft w:val="0"/>
      <w:marRight w:val="0"/>
      <w:marTop w:val="0"/>
      <w:marBottom w:val="0"/>
      <w:divBdr>
        <w:top w:val="none" w:sz="0" w:space="0" w:color="auto"/>
        <w:left w:val="none" w:sz="0" w:space="0" w:color="auto"/>
        <w:bottom w:val="none" w:sz="0" w:space="0" w:color="auto"/>
        <w:right w:val="none" w:sz="0" w:space="0" w:color="auto"/>
      </w:divBdr>
    </w:div>
    <w:div w:id="2092923301">
      <w:bodyDiv w:val="1"/>
      <w:marLeft w:val="0"/>
      <w:marRight w:val="0"/>
      <w:marTop w:val="0"/>
      <w:marBottom w:val="0"/>
      <w:divBdr>
        <w:top w:val="none" w:sz="0" w:space="0" w:color="auto"/>
        <w:left w:val="none" w:sz="0" w:space="0" w:color="auto"/>
        <w:bottom w:val="none" w:sz="0" w:space="0" w:color="auto"/>
        <w:right w:val="none" w:sz="0" w:space="0" w:color="auto"/>
      </w:divBdr>
    </w:div>
    <w:div w:id="2093886531">
      <w:bodyDiv w:val="1"/>
      <w:marLeft w:val="0"/>
      <w:marRight w:val="0"/>
      <w:marTop w:val="0"/>
      <w:marBottom w:val="0"/>
      <w:divBdr>
        <w:top w:val="none" w:sz="0" w:space="0" w:color="auto"/>
        <w:left w:val="none" w:sz="0" w:space="0" w:color="auto"/>
        <w:bottom w:val="none" w:sz="0" w:space="0" w:color="auto"/>
        <w:right w:val="none" w:sz="0" w:space="0" w:color="auto"/>
      </w:divBdr>
    </w:div>
    <w:div w:id="2094008475">
      <w:bodyDiv w:val="1"/>
      <w:marLeft w:val="0"/>
      <w:marRight w:val="0"/>
      <w:marTop w:val="0"/>
      <w:marBottom w:val="0"/>
      <w:divBdr>
        <w:top w:val="none" w:sz="0" w:space="0" w:color="auto"/>
        <w:left w:val="none" w:sz="0" w:space="0" w:color="auto"/>
        <w:bottom w:val="none" w:sz="0" w:space="0" w:color="auto"/>
        <w:right w:val="none" w:sz="0" w:space="0" w:color="auto"/>
      </w:divBdr>
    </w:div>
    <w:div w:id="2096200165">
      <w:bodyDiv w:val="1"/>
      <w:marLeft w:val="0"/>
      <w:marRight w:val="0"/>
      <w:marTop w:val="0"/>
      <w:marBottom w:val="0"/>
      <w:divBdr>
        <w:top w:val="none" w:sz="0" w:space="0" w:color="auto"/>
        <w:left w:val="none" w:sz="0" w:space="0" w:color="auto"/>
        <w:bottom w:val="none" w:sz="0" w:space="0" w:color="auto"/>
        <w:right w:val="none" w:sz="0" w:space="0" w:color="auto"/>
      </w:divBdr>
    </w:div>
    <w:div w:id="2096827674">
      <w:bodyDiv w:val="1"/>
      <w:marLeft w:val="0"/>
      <w:marRight w:val="0"/>
      <w:marTop w:val="0"/>
      <w:marBottom w:val="0"/>
      <w:divBdr>
        <w:top w:val="none" w:sz="0" w:space="0" w:color="auto"/>
        <w:left w:val="none" w:sz="0" w:space="0" w:color="auto"/>
        <w:bottom w:val="none" w:sz="0" w:space="0" w:color="auto"/>
        <w:right w:val="none" w:sz="0" w:space="0" w:color="auto"/>
      </w:divBdr>
    </w:div>
    <w:div w:id="2098211576">
      <w:bodyDiv w:val="1"/>
      <w:marLeft w:val="0"/>
      <w:marRight w:val="0"/>
      <w:marTop w:val="0"/>
      <w:marBottom w:val="0"/>
      <w:divBdr>
        <w:top w:val="none" w:sz="0" w:space="0" w:color="auto"/>
        <w:left w:val="none" w:sz="0" w:space="0" w:color="auto"/>
        <w:bottom w:val="none" w:sz="0" w:space="0" w:color="auto"/>
        <w:right w:val="none" w:sz="0" w:space="0" w:color="auto"/>
      </w:divBdr>
    </w:div>
    <w:div w:id="2099014074">
      <w:bodyDiv w:val="1"/>
      <w:marLeft w:val="0"/>
      <w:marRight w:val="0"/>
      <w:marTop w:val="0"/>
      <w:marBottom w:val="0"/>
      <w:divBdr>
        <w:top w:val="none" w:sz="0" w:space="0" w:color="auto"/>
        <w:left w:val="none" w:sz="0" w:space="0" w:color="auto"/>
        <w:bottom w:val="none" w:sz="0" w:space="0" w:color="auto"/>
        <w:right w:val="none" w:sz="0" w:space="0" w:color="auto"/>
      </w:divBdr>
    </w:div>
    <w:div w:id="2099210310">
      <w:bodyDiv w:val="1"/>
      <w:marLeft w:val="0"/>
      <w:marRight w:val="0"/>
      <w:marTop w:val="0"/>
      <w:marBottom w:val="0"/>
      <w:divBdr>
        <w:top w:val="none" w:sz="0" w:space="0" w:color="auto"/>
        <w:left w:val="none" w:sz="0" w:space="0" w:color="auto"/>
        <w:bottom w:val="none" w:sz="0" w:space="0" w:color="auto"/>
        <w:right w:val="none" w:sz="0" w:space="0" w:color="auto"/>
      </w:divBdr>
    </w:div>
    <w:div w:id="2102984894">
      <w:bodyDiv w:val="1"/>
      <w:marLeft w:val="0"/>
      <w:marRight w:val="0"/>
      <w:marTop w:val="0"/>
      <w:marBottom w:val="0"/>
      <w:divBdr>
        <w:top w:val="none" w:sz="0" w:space="0" w:color="auto"/>
        <w:left w:val="none" w:sz="0" w:space="0" w:color="auto"/>
        <w:bottom w:val="none" w:sz="0" w:space="0" w:color="auto"/>
        <w:right w:val="none" w:sz="0" w:space="0" w:color="auto"/>
      </w:divBdr>
    </w:div>
    <w:div w:id="2103407675">
      <w:bodyDiv w:val="1"/>
      <w:marLeft w:val="0"/>
      <w:marRight w:val="0"/>
      <w:marTop w:val="0"/>
      <w:marBottom w:val="0"/>
      <w:divBdr>
        <w:top w:val="none" w:sz="0" w:space="0" w:color="auto"/>
        <w:left w:val="none" w:sz="0" w:space="0" w:color="auto"/>
        <w:bottom w:val="none" w:sz="0" w:space="0" w:color="auto"/>
        <w:right w:val="none" w:sz="0" w:space="0" w:color="auto"/>
      </w:divBdr>
    </w:div>
    <w:div w:id="2104035928">
      <w:bodyDiv w:val="1"/>
      <w:marLeft w:val="0"/>
      <w:marRight w:val="0"/>
      <w:marTop w:val="0"/>
      <w:marBottom w:val="0"/>
      <w:divBdr>
        <w:top w:val="none" w:sz="0" w:space="0" w:color="auto"/>
        <w:left w:val="none" w:sz="0" w:space="0" w:color="auto"/>
        <w:bottom w:val="none" w:sz="0" w:space="0" w:color="auto"/>
        <w:right w:val="none" w:sz="0" w:space="0" w:color="auto"/>
      </w:divBdr>
    </w:div>
    <w:div w:id="2104375345">
      <w:bodyDiv w:val="1"/>
      <w:marLeft w:val="0"/>
      <w:marRight w:val="0"/>
      <w:marTop w:val="0"/>
      <w:marBottom w:val="0"/>
      <w:divBdr>
        <w:top w:val="none" w:sz="0" w:space="0" w:color="auto"/>
        <w:left w:val="none" w:sz="0" w:space="0" w:color="auto"/>
        <w:bottom w:val="none" w:sz="0" w:space="0" w:color="auto"/>
        <w:right w:val="none" w:sz="0" w:space="0" w:color="auto"/>
      </w:divBdr>
    </w:div>
    <w:div w:id="2104452016">
      <w:bodyDiv w:val="1"/>
      <w:marLeft w:val="0"/>
      <w:marRight w:val="0"/>
      <w:marTop w:val="0"/>
      <w:marBottom w:val="0"/>
      <w:divBdr>
        <w:top w:val="none" w:sz="0" w:space="0" w:color="auto"/>
        <w:left w:val="none" w:sz="0" w:space="0" w:color="auto"/>
        <w:bottom w:val="none" w:sz="0" w:space="0" w:color="auto"/>
        <w:right w:val="none" w:sz="0" w:space="0" w:color="auto"/>
      </w:divBdr>
    </w:div>
    <w:div w:id="2106073976">
      <w:bodyDiv w:val="1"/>
      <w:marLeft w:val="0"/>
      <w:marRight w:val="0"/>
      <w:marTop w:val="0"/>
      <w:marBottom w:val="0"/>
      <w:divBdr>
        <w:top w:val="none" w:sz="0" w:space="0" w:color="auto"/>
        <w:left w:val="none" w:sz="0" w:space="0" w:color="auto"/>
        <w:bottom w:val="none" w:sz="0" w:space="0" w:color="auto"/>
        <w:right w:val="none" w:sz="0" w:space="0" w:color="auto"/>
      </w:divBdr>
    </w:div>
    <w:div w:id="2106143216">
      <w:bodyDiv w:val="1"/>
      <w:marLeft w:val="0"/>
      <w:marRight w:val="0"/>
      <w:marTop w:val="0"/>
      <w:marBottom w:val="0"/>
      <w:divBdr>
        <w:top w:val="none" w:sz="0" w:space="0" w:color="auto"/>
        <w:left w:val="none" w:sz="0" w:space="0" w:color="auto"/>
        <w:bottom w:val="none" w:sz="0" w:space="0" w:color="auto"/>
        <w:right w:val="none" w:sz="0" w:space="0" w:color="auto"/>
      </w:divBdr>
    </w:div>
    <w:div w:id="2106458363">
      <w:bodyDiv w:val="1"/>
      <w:marLeft w:val="0"/>
      <w:marRight w:val="0"/>
      <w:marTop w:val="0"/>
      <w:marBottom w:val="0"/>
      <w:divBdr>
        <w:top w:val="none" w:sz="0" w:space="0" w:color="auto"/>
        <w:left w:val="none" w:sz="0" w:space="0" w:color="auto"/>
        <w:bottom w:val="none" w:sz="0" w:space="0" w:color="auto"/>
        <w:right w:val="none" w:sz="0" w:space="0" w:color="auto"/>
      </w:divBdr>
    </w:div>
    <w:div w:id="2106606830">
      <w:bodyDiv w:val="1"/>
      <w:marLeft w:val="0"/>
      <w:marRight w:val="0"/>
      <w:marTop w:val="0"/>
      <w:marBottom w:val="0"/>
      <w:divBdr>
        <w:top w:val="none" w:sz="0" w:space="0" w:color="auto"/>
        <w:left w:val="none" w:sz="0" w:space="0" w:color="auto"/>
        <w:bottom w:val="none" w:sz="0" w:space="0" w:color="auto"/>
        <w:right w:val="none" w:sz="0" w:space="0" w:color="auto"/>
      </w:divBdr>
    </w:div>
    <w:div w:id="2107535269">
      <w:bodyDiv w:val="1"/>
      <w:marLeft w:val="0"/>
      <w:marRight w:val="0"/>
      <w:marTop w:val="0"/>
      <w:marBottom w:val="0"/>
      <w:divBdr>
        <w:top w:val="none" w:sz="0" w:space="0" w:color="auto"/>
        <w:left w:val="none" w:sz="0" w:space="0" w:color="auto"/>
        <w:bottom w:val="none" w:sz="0" w:space="0" w:color="auto"/>
        <w:right w:val="none" w:sz="0" w:space="0" w:color="auto"/>
      </w:divBdr>
    </w:div>
    <w:div w:id="2108115011">
      <w:bodyDiv w:val="1"/>
      <w:marLeft w:val="0"/>
      <w:marRight w:val="0"/>
      <w:marTop w:val="0"/>
      <w:marBottom w:val="0"/>
      <w:divBdr>
        <w:top w:val="none" w:sz="0" w:space="0" w:color="auto"/>
        <w:left w:val="none" w:sz="0" w:space="0" w:color="auto"/>
        <w:bottom w:val="none" w:sz="0" w:space="0" w:color="auto"/>
        <w:right w:val="none" w:sz="0" w:space="0" w:color="auto"/>
      </w:divBdr>
    </w:div>
    <w:div w:id="2109689948">
      <w:bodyDiv w:val="1"/>
      <w:marLeft w:val="0"/>
      <w:marRight w:val="0"/>
      <w:marTop w:val="0"/>
      <w:marBottom w:val="0"/>
      <w:divBdr>
        <w:top w:val="none" w:sz="0" w:space="0" w:color="auto"/>
        <w:left w:val="none" w:sz="0" w:space="0" w:color="auto"/>
        <w:bottom w:val="none" w:sz="0" w:space="0" w:color="auto"/>
        <w:right w:val="none" w:sz="0" w:space="0" w:color="auto"/>
      </w:divBdr>
    </w:div>
    <w:div w:id="2110008140">
      <w:bodyDiv w:val="1"/>
      <w:marLeft w:val="0"/>
      <w:marRight w:val="0"/>
      <w:marTop w:val="0"/>
      <w:marBottom w:val="0"/>
      <w:divBdr>
        <w:top w:val="none" w:sz="0" w:space="0" w:color="auto"/>
        <w:left w:val="none" w:sz="0" w:space="0" w:color="auto"/>
        <w:bottom w:val="none" w:sz="0" w:space="0" w:color="auto"/>
        <w:right w:val="none" w:sz="0" w:space="0" w:color="auto"/>
      </w:divBdr>
    </w:div>
    <w:div w:id="2110734703">
      <w:bodyDiv w:val="1"/>
      <w:marLeft w:val="0"/>
      <w:marRight w:val="0"/>
      <w:marTop w:val="0"/>
      <w:marBottom w:val="0"/>
      <w:divBdr>
        <w:top w:val="none" w:sz="0" w:space="0" w:color="auto"/>
        <w:left w:val="none" w:sz="0" w:space="0" w:color="auto"/>
        <w:bottom w:val="none" w:sz="0" w:space="0" w:color="auto"/>
        <w:right w:val="none" w:sz="0" w:space="0" w:color="auto"/>
      </w:divBdr>
    </w:div>
    <w:div w:id="2111504597">
      <w:bodyDiv w:val="1"/>
      <w:marLeft w:val="0"/>
      <w:marRight w:val="0"/>
      <w:marTop w:val="0"/>
      <w:marBottom w:val="0"/>
      <w:divBdr>
        <w:top w:val="none" w:sz="0" w:space="0" w:color="auto"/>
        <w:left w:val="none" w:sz="0" w:space="0" w:color="auto"/>
        <w:bottom w:val="none" w:sz="0" w:space="0" w:color="auto"/>
        <w:right w:val="none" w:sz="0" w:space="0" w:color="auto"/>
      </w:divBdr>
    </w:div>
    <w:div w:id="2112697310">
      <w:bodyDiv w:val="1"/>
      <w:marLeft w:val="0"/>
      <w:marRight w:val="0"/>
      <w:marTop w:val="0"/>
      <w:marBottom w:val="0"/>
      <w:divBdr>
        <w:top w:val="none" w:sz="0" w:space="0" w:color="auto"/>
        <w:left w:val="none" w:sz="0" w:space="0" w:color="auto"/>
        <w:bottom w:val="none" w:sz="0" w:space="0" w:color="auto"/>
        <w:right w:val="none" w:sz="0" w:space="0" w:color="auto"/>
      </w:divBdr>
    </w:div>
    <w:div w:id="2112972560">
      <w:bodyDiv w:val="1"/>
      <w:marLeft w:val="0"/>
      <w:marRight w:val="0"/>
      <w:marTop w:val="0"/>
      <w:marBottom w:val="0"/>
      <w:divBdr>
        <w:top w:val="none" w:sz="0" w:space="0" w:color="auto"/>
        <w:left w:val="none" w:sz="0" w:space="0" w:color="auto"/>
        <w:bottom w:val="none" w:sz="0" w:space="0" w:color="auto"/>
        <w:right w:val="none" w:sz="0" w:space="0" w:color="auto"/>
      </w:divBdr>
    </w:div>
    <w:div w:id="2113937031">
      <w:bodyDiv w:val="1"/>
      <w:marLeft w:val="0"/>
      <w:marRight w:val="0"/>
      <w:marTop w:val="0"/>
      <w:marBottom w:val="0"/>
      <w:divBdr>
        <w:top w:val="none" w:sz="0" w:space="0" w:color="auto"/>
        <w:left w:val="none" w:sz="0" w:space="0" w:color="auto"/>
        <w:bottom w:val="none" w:sz="0" w:space="0" w:color="auto"/>
        <w:right w:val="none" w:sz="0" w:space="0" w:color="auto"/>
      </w:divBdr>
    </w:div>
    <w:div w:id="2116517397">
      <w:bodyDiv w:val="1"/>
      <w:marLeft w:val="0"/>
      <w:marRight w:val="0"/>
      <w:marTop w:val="0"/>
      <w:marBottom w:val="0"/>
      <w:divBdr>
        <w:top w:val="none" w:sz="0" w:space="0" w:color="auto"/>
        <w:left w:val="none" w:sz="0" w:space="0" w:color="auto"/>
        <w:bottom w:val="none" w:sz="0" w:space="0" w:color="auto"/>
        <w:right w:val="none" w:sz="0" w:space="0" w:color="auto"/>
      </w:divBdr>
    </w:div>
    <w:div w:id="2117019964">
      <w:bodyDiv w:val="1"/>
      <w:marLeft w:val="0"/>
      <w:marRight w:val="0"/>
      <w:marTop w:val="0"/>
      <w:marBottom w:val="0"/>
      <w:divBdr>
        <w:top w:val="none" w:sz="0" w:space="0" w:color="auto"/>
        <w:left w:val="none" w:sz="0" w:space="0" w:color="auto"/>
        <w:bottom w:val="none" w:sz="0" w:space="0" w:color="auto"/>
        <w:right w:val="none" w:sz="0" w:space="0" w:color="auto"/>
      </w:divBdr>
    </w:div>
    <w:div w:id="2117750850">
      <w:bodyDiv w:val="1"/>
      <w:marLeft w:val="0"/>
      <w:marRight w:val="0"/>
      <w:marTop w:val="0"/>
      <w:marBottom w:val="0"/>
      <w:divBdr>
        <w:top w:val="none" w:sz="0" w:space="0" w:color="auto"/>
        <w:left w:val="none" w:sz="0" w:space="0" w:color="auto"/>
        <w:bottom w:val="none" w:sz="0" w:space="0" w:color="auto"/>
        <w:right w:val="none" w:sz="0" w:space="0" w:color="auto"/>
      </w:divBdr>
    </w:div>
    <w:div w:id="2118480187">
      <w:bodyDiv w:val="1"/>
      <w:marLeft w:val="0"/>
      <w:marRight w:val="0"/>
      <w:marTop w:val="0"/>
      <w:marBottom w:val="0"/>
      <w:divBdr>
        <w:top w:val="none" w:sz="0" w:space="0" w:color="auto"/>
        <w:left w:val="none" w:sz="0" w:space="0" w:color="auto"/>
        <w:bottom w:val="none" w:sz="0" w:space="0" w:color="auto"/>
        <w:right w:val="none" w:sz="0" w:space="0" w:color="auto"/>
      </w:divBdr>
    </w:div>
    <w:div w:id="2119132656">
      <w:bodyDiv w:val="1"/>
      <w:marLeft w:val="0"/>
      <w:marRight w:val="0"/>
      <w:marTop w:val="0"/>
      <w:marBottom w:val="0"/>
      <w:divBdr>
        <w:top w:val="none" w:sz="0" w:space="0" w:color="auto"/>
        <w:left w:val="none" w:sz="0" w:space="0" w:color="auto"/>
        <w:bottom w:val="none" w:sz="0" w:space="0" w:color="auto"/>
        <w:right w:val="none" w:sz="0" w:space="0" w:color="auto"/>
      </w:divBdr>
    </w:div>
    <w:div w:id="2121290474">
      <w:bodyDiv w:val="1"/>
      <w:marLeft w:val="0"/>
      <w:marRight w:val="0"/>
      <w:marTop w:val="0"/>
      <w:marBottom w:val="0"/>
      <w:divBdr>
        <w:top w:val="none" w:sz="0" w:space="0" w:color="auto"/>
        <w:left w:val="none" w:sz="0" w:space="0" w:color="auto"/>
        <w:bottom w:val="none" w:sz="0" w:space="0" w:color="auto"/>
        <w:right w:val="none" w:sz="0" w:space="0" w:color="auto"/>
      </w:divBdr>
    </w:div>
    <w:div w:id="2121601591">
      <w:bodyDiv w:val="1"/>
      <w:marLeft w:val="0"/>
      <w:marRight w:val="0"/>
      <w:marTop w:val="0"/>
      <w:marBottom w:val="0"/>
      <w:divBdr>
        <w:top w:val="none" w:sz="0" w:space="0" w:color="auto"/>
        <w:left w:val="none" w:sz="0" w:space="0" w:color="auto"/>
        <w:bottom w:val="none" w:sz="0" w:space="0" w:color="auto"/>
        <w:right w:val="none" w:sz="0" w:space="0" w:color="auto"/>
      </w:divBdr>
    </w:div>
    <w:div w:id="2124879321">
      <w:bodyDiv w:val="1"/>
      <w:marLeft w:val="0"/>
      <w:marRight w:val="0"/>
      <w:marTop w:val="0"/>
      <w:marBottom w:val="0"/>
      <w:divBdr>
        <w:top w:val="none" w:sz="0" w:space="0" w:color="auto"/>
        <w:left w:val="none" w:sz="0" w:space="0" w:color="auto"/>
        <w:bottom w:val="none" w:sz="0" w:space="0" w:color="auto"/>
        <w:right w:val="none" w:sz="0" w:space="0" w:color="auto"/>
      </w:divBdr>
    </w:div>
    <w:div w:id="2125148961">
      <w:bodyDiv w:val="1"/>
      <w:marLeft w:val="0"/>
      <w:marRight w:val="0"/>
      <w:marTop w:val="0"/>
      <w:marBottom w:val="0"/>
      <w:divBdr>
        <w:top w:val="none" w:sz="0" w:space="0" w:color="auto"/>
        <w:left w:val="none" w:sz="0" w:space="0" w:color="auto"/>
        <w:bottom w:val="none" w:sz="0" w:space="0" w:color="auto"/>
        <w:right w:val="none" w:sz="0" w:space="0" w:color="auto"/>
      </w:divBdr>
    </w:div>
    <w:div w:id="2125879471">
      <w:bodyDiv w:val="1"/>
      <w:marLeft w:val="0"/>
      <w:marRight w:val="0"/>
      <w:marTop w:val="0"/>
      <w:marBottom w:val="0"/>
      <w:divBdr>
        <w:top w:val="none" w:sz="0" w:space="0" w:color="auto"/>
        <w:left w:val="none" w:sz="0" w:space="0" w:color="auto"/>
        <w:bottom w:val="none" w:sz="0" w:space="0" w:color="auto"/>
        <w:right w:val="none" w:sz="0" w:space="0" w:color="auto"/>
      </w:divBdr>
    </w:div>
    <w:div w:id="2126150552">
      <w:bodyDiv w:val="1"/>
      <w:marLeft w:val="0"/>
      <w:marRight w:val="0"/>
      <w:marTop w:val="0"/>
      <w:marBottom w:val="0"/>
      <w:divBdr>
        <w:top w:val="none" w:sz="0" w:space="0" w:color="auto"/>
        <w:left w:val="none" w:sz="0" w:space="0" w:color="auto"/>
        <w:bottom w:val="none" w:sz="0" w:space="0" w:color="auto"/>
        <w:right w:val="none" w:sz="0" w:space="0" w:color="auto"/>
      </w:divBdr>
    </w:div>
    <w:div w:id="2126774373">
      <w:bodyDiv w:val="1"/>
      <w:marLeft w:val="0"/>
      <w:marRight w:val="0"/>
      <w:marTop w:val="0"/>
      <w:marBottom w:val="0"/>
      <w:divBdr>
        <w:top w:val="none" w:sz="0" w:space="0" w:color="auto"/>
        <w:left w:val="none" w:sz="0" w:space="0" w:color="auto"/>
        <w:bottom w:val="none" w:sz="0" w:space="0" w:color="auto"/>
        <w:right w:val="none" w:sz="0" w:space="0" w:color="auto"/>
      </w:divBdr>
    </w:div>
    <w:div w:id="2127694905">
      <w:bodyDiv w:val="1"/>
      <w:marLeft w:val="0"/>
      <w:marRight w:val="0"/>
      <w:marTop w:val="0"/>
      <w:marBottom w:val="0"/>
      <w:divBdr>
        <w:top w:val="none" w:sz="0" w:space="0" w:color="auto"/>
        <w:left w:val="none" w:sz="0" w:space="0" w:color="auto"/>
        <w:bottom w:val="none" w:sz="0" w:space="0" w:color="auto"/>
        <w:right w:val="none" w:sz="0" w:space="0" w:color="auto"/>
      </w:divBdr>
    </w:div>
    <w:div w:id="2129355243">
      <w:bodyDiv w:val="1"/>
      <w:marLeft w:val="0"/>
      <w:marRight w:val="0"/>
      <w:marTop w:val="0"/>
      <w:marBottom w:val="0"/>
      <w:divBdr>
        <w:top w:val="none" w:sz="0" w:space="0" w:color="auto"/>
        <w:left w:val="none" w:sz="0" w:space="0" w:color="auto"/>
        <w:bottom w:val="none" w:sz="0" w:space="0" w:color="auto"/>
        <w:right w:val="none" w:sz="0" w:space="0" w:color="auto"/>
      </w:divBdr>
    </w:div>
    <w:div w:id="2129425335">
      <w:bodyDiv w:val="1"/>
      <w:marLeft w:val="0"/>
      <w:marRight w:val="0"/>
      <w:marTop w:val="0"/>
      <w:marBottom w:val="0"/>
      <w:divBdr>
        <w:top w:val="none" w:sz="0" w:space="0" w:color="auto"/>
        <w:left w:val="none" w:sz="0" w:space="0" w:color="auto"/>
        <w:bottom w:val="none" w:sz="0" w:space="0" w:color="auto"/>
        <w:right w:val="none" w:sz="0" w:space="0" w:color="auto"/>
      </w:divBdr>
    </w:div>
    <w:div w:id="2130081447">
      <w:bodyDiv w:val="1"/>
      <w:marLeft w:val="0"/>
      <w:marRight w:val="0"/>
      <w:marTop w:val="0"/>
      <w:marBottom w:val="0"/>
      <w:divBdr>
        <w:top w:val="none" w:sz="0" w:space="0" w:color="auto"/>
        <w:left w:val="none" w:sz="0" w:space="0" w:color="auto"/>
        <w:bottom w:val="none" w:sz="0" w:space="0" w:color="auto"/>
        <w:right w:val="none" w:sz="0" w:space="0" w:color="auto"/>
      </w:divBdr>
    </w:div>
    <w:div w:id="2130664404">
      <w:bodyDiv w:val="1"/>
      <w:marLeft w:val="0"/>
      <w:marRight w:val="0"/>
      <w:marTop w:val="0"/>
      <w:marBottom w:val="0"/>
      <w:divBdr>
        <w:top w:val="none" w:sz="0" w:space="0" w:color="auto"/>
        <w:left w:val="none" w:sz="0" w:space="0" w:color="auto"/>
        <w:bottom w:val="none" w:sz="0" w:space="0" w:color="auto"/>
        <w:right w:val="none" w:sz="0" w:space="0" w:color="auto"/>
      </w:divBdr>
    </w:div>
    <w:div w:id="2131239609">
      <w:bodyDiv w:val="1"/>
      <w:marLeft w:val="0"/>
      <w:marRight w:val="0"/>
      <w:marTop w:val="0"/>
      <w:marBottom w:val="0"/>
      <w:divBdr>
        <w:top w:val="none" w:sz="0" w:space="0" w:color="auto"/>
        <w:left w:val="none" w:sz="0" w:space="0" w:color="auto"/>
        <w:bottom w:val="none" w:sz="0" w:space="0" w:color="auto"/>
        <w:right w:val="none" w:sz="0" w:space="0" w:color="auto"/>
      </w:divBdr>
    </w:div>
    <w:div w:id="2131777142">
      <w:bodyDiv w:val="1"/>
      <w:marLeft w:val="0"/>
      <w:marRight w:val="0"/>
      <w:marTop w:val="0"/>
      <w:marBottom w:val="0"/>
      <w:divBdr>
        <w:top w:val="none" w:sz="0" w:space="0" w:color="auto"/>
        <w:left w:val="none" w:sz="0" w:space="0" w:color="auto"/>
        <w:bottom w:val="none" w:sz="0" w:space="0" w:color="auto"/>
        <w:right w:val="none" w:sz="0" w:space="0" w:color="auto"/>
      </w:divBdr>
    </w:div>
    <w:div w:id="2132507678">
      <w:bodyDiv w:val="1"/>
      <w:marLeft w:val="0"/>
      <w:marRight w:val="0"/>
      <w:marTop w:val="0"/>
      <w:marBottom w:val="0"/>
      <w:divBdr>
        <w:top w:val="none" w:sz="0" w:space="0" w:color="auto"/>
        <w:left w:val="none" w:sz="0" w:space="0" w:color="auto"/>
        <w:bottom w:val="none" w:sz="0" w:space="0" w:color="auto"/>
        <w:right w:val="none" w:sz="0" w:space="0" w:color="auto"/>
      </w:divBdr>
    </w:div>
    <w:div w:id="2136173372">
      <w:bodyDiv w:val="1"/>
      <w:marLeft w:val="0"/>
      <w:marRight w:val="0"/>
      <w:marTop w:val="0"/>
      <w:marBottom w:val="0"/>
      <w:divBdr>
        <w:top w:val="none" w:sz="0" w:space="0" w:color="auto"/>
        <w:left w:val="none" w:sz="0" w:space="0" w:color="auto"/>
        <w:bottom w:val="none" w:sz="0" w:space="0" w:color="auto"/>
        <w:right w:val="none" w:sz="0" w:space="0" w:color="auto"/>
      </w:divBdr>
    </w:div>
    <w:div w:id="2136286980">
      <w:bodyDiv w:val="1"/>
      <w:marLeft w:val="0"/>
      <w:marRight w:val="0"/>
      <w:marTop w:val="0"/>
      <w:marBottom w:val="0"/>
      <w:divBdr>
        <w:top w:val="none" w:sz="0" w:space="0" w:color="auto"/>
        <w:left w:val="none" w:sz="0" w:space="0" w:color="auto"/>
        <w:bottom w:val="none" w:sz="0" w:space="0" w:color="auto"/>
        <w:right w:val="none" w:sz="0" w:space="0" w:color="auto"/>
      </w:divBdr>
    </w:div>
    <w:div w:id="2136408615">
      <w:bodyDiv w:val="1"/>
      <w:marLeft w:val="0"/>
      <w:marRight w:val="0"/>
      <w:marTop w:val="0"/>
      <w:marBottom w:val="0"/>
      <w:divBdr>
        <w:top w:val="none" w:sz="0" w:space="0" w:color="auto"/>
        <w:left w:val="none" w:sz="0" w:space="0" w:color="auto"/>
        <w:bottom w:val="none" w:sz="0" w:space="0" w:color="auto"/>
        <w:right w:val="none" w:sz="0" w:space="0" w:color="auto"/>
      </w:divBdr>
    </w:div>
    <w:div w:id="2136605020">
      <w:bodyDiv w:val="1"/>
      <w:marLeft w:val="0"/>
      <w:marRight w:val="0"/>
      <w:marTop w:val="0"/>
      <w:marBottom w:val="0"/>
      <w:divBdr>
        <w:top w:val="none" w:sz="0" w:space="0" w:color="auto"/>
        <w:left w:val="none" w:sz="0" w:space="0" w:color="auto"/>
        <w:bottom w:val="none" w:sz="0" w:space="0" w:color="auto"/>
        <w:right w:val="none" w:sz="0" w:space="0" w:color="auto"/>
      </w:divBdr>
    </w:div>
    <w:div w:id="2137944312">
      <w:bodyDiv w:val="1"/>
      <w:marLeft w:val="0"/>
      <w:marRight w:val="0"/>
      <w:marTop w:val="0"/>
      <w:marBottom w:val="0"/>
      <w:divBdr>
        <w:top w:val="none" w:sz="0" w:space="0" w:color="auto"/>
        <w:left w:val="none" w:sz="0" w:space="0" w:color="auto"/>
        <w:bottom w:val="none" w:sz="0" w:space="0" w:color="auto"/>
        <w:right w:val="none" w:sz="0" w:space="0" w:color="auto"/>
      </w:divBdr>
    </w:div>
    <w:div w:id="2138066842">
      <w:bodyDiv w:val="1"/>
      <w:marLeft w:val="0"/>
      <w:marRight w:val="0"/>
      <w:marTop w:val="0"/>
      <w:marBottom w:val="0"/>
      <w:divBdr>
        <w:top w:val="none" w:sz="0" w:space="0" w:color="auto"/>
        <w:left w:val="none" w:sz="0" w:space="0" w:color="auto"/>
        <w:bottom w:val="none" w:sz="0" w:space="0" w:color="auto"/>
        <w:right w:val="none" w:sz="0" w:space="0" w:color="auto"/>
      </w:divBdr>
    </w:div>
    <w:div w:id="2138182574">
      <w:bodyDiv w:val="1"/>
      <w:marLeft w:val="0"/>
      <w:marRight w:val="0"/>
      <w:marTop w:val="0"/>
      <w:marBottom w:val="0"/>
      <w:divBdr>
        <w:top w:val="none" w:sz="0" w:space="0" w:color="auto"/>
        <w:left w:val="none" w:sz="0" w:space="0" w:color="auto"/>
        <w:bottom w:val="none" w:sz="0" w:space="0" w:color="auto"/>
        <w:right w:val="none" w:sz="0" w:space="0" w:color="auto"/>
      </w:divBdr>
    </w:div>
    <w:div w:id="2139912490">
      <w:bodyDiv w:val="1"/>
      <w:marLeft w:val="0"/>
      <w:marRight w:val="0"/>
      <w:marTop w:val="0"/>
      <w:marBottom w:val="0"/>
      <w:divBdr>
        <w:top w:val="none" w:sz="0" w:space="0" w:color="auto"/>
        <w:left w:val="none" w:sz="0" w:space="0" w:color="auto"/>
        <w:bottom w:val="none" w:sz="0" w:space="0" w:color="auto"/>
        <w:right w:val="none" w:sz="0" w:space="0" w:color="auto"/>
      </w:divBdr>
    </w:div>
    <w:div w:id="2140998624">
      <w:bodyDiv w:val="1"/>
      <w:marLeft w:val="0"/>
      <w:marRight w:val="0"/>
      <w:marTop w:val="0"/>
      <w:marBottom w:val="0"/>
      <w:divBdr>
        <w:top w:val="none" w:sz="0" w:space="0" w:color="auto"/>
        <w:left w:val="none" w:sz="0" w:space="0" w:color="auto"/>
        <w:bottom w:val="none" w:sz="0" w:space="0" w:color="auto"/>
        <w:right w:val="none" w:sz="0" w:space="0" w:color="auto"/>
      </w:divBdr>
    </w:div>
    <w:div w:id="2142651513">
      <w:bodyDiv w:val="1"/>
      <w:marLeft w:val="0"/>
      <w:marRight w:val="0"/>
      <w:marTop w:val="0"/>
      <w:marBottom w:val="0"/>
      <w:divBdr>
        <w:top w:val="none" w:sz="0" w:space="0" w:color="auto"/>
        <w:left w:val="none" w:sz="0" w:space="0" w:color="auto"/>
        <w:bottom w:val="none" w:sz="0" w:space="0" w:color="auto"/>
        <w:right w:val="none" w:sz="0" w:space="0" w:color="auto"/>
      </w:divBdr>
    </w:div>
    <w:div w:id="2143814051">
      <w:bodyDiv w:val="1"/>
      <w:marLeft w:val="0"/>
      <w:marRight w:val="0"/>
      <w:marTop w:val="0"/>
      <w:marBottom w:val="0"/>
      <w:divBdr>
        <w:top w:val="none" w:sz="0" w:space="0" w:color="auto"/>
        <w:left w:val="none" w:sz="0" w:space="0" w:color="auto"/>
        <w:bottom w:val="none" w:sz="0" w:space="0" w:color="auto"/>
        <w:right w:val="none" w:sz="0" w:space="0" w:color="auto"/>
      </w:divBdr>
    </w:div>
    <w:div w:id="2144350195">
      <w:bodyDiv w:val="1"/>
      <w:marLeft w:val="0"/>
      <w:marRight w:val="0"/>
      <w:marTop w:val="0"/>
      <w:marBottom w:val="0"/>
      <w:divBdr>
        <w:top w:val="none" w:sz="0" w:space="0" w:color="auto"/>
        <w:left w:val="none" w:sz="0" w:space="0" w:color="auto"/>
        <w:bottom w:val="none" w:sz="0" w:space="0" w:color="auto"/>
        <w:right w:val="none" w:sz="0" w:space="0" w:color="auto"/>
      </w:divBdr>
    </w:div>
    <w:div w:id="21467740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metacyc.org/compound?orgid=META&amp;id=CPD-669" TargetMode="External"/><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3.png"/><Relationship Id="rId84" Type="http://schemas.openxmlformats.org/officeDocument/2006/relationships/hyperlink" Target="https://metacyc.org/compound?orgid=META&amp;id=SN-GLYCEROL-1-PHOSPHATE" TargetMode="External"/><Relationship Id="rId138" Type="http://schemas.openxmlformats.org/officeDocument/2006/relationships/hyperlink" Target="https://metacyc.org/compound?orgid=META&amp;id=CPD-1912" TargetMode="External"/><Relationship Id="rId159" Type="http://schemas.openxmlformats.org/officeDocument/2006/relationships/hyperlink" Target="https://metacyc.org/compound?orgid=META&amp;id=CPD-9786" TargetMode="External"/><Relationship Id="rId170" Type="http://schemas.openxmlformats.org/officeDocument/2006/relationships/hyperlink" Target="https://metacyc.org/META/NEW-IMAGE?object=CPD-16569" TargetMode="External"/><Relationship Id="rId107" Type="http://schemas.openxmlformats.org/officeDocument/2006/relationships/hyperlink" Target="https://pubchem.ncbi.nlm.nih.gov/" TargetMode="External"/><Relationship Id="rId11" Type="http://schemas.openxmlformats.org/officeDocument/2006/relationships/image" Target="media/image2.emf"/><Relationship Id="rId32" Type="http://schemas.openxmlformats.org/officeDocument/2006/relationships/image" Target="media/image23.png"/><Relationship Id="rId53" Type="http://schemas.openxmlformats.org/officeDocument/2006/relationships/image" Target="media/image43.jpeg"/><Relationship Id="rId74" Type="http://schemas.openxmlformats.org/officeDocument/2006/relationships/hyperlink" Target="https://metacyc.org/compound?orgid=META&amp;id=CHLOROHYDROQUINONE" TargetMode="External"/><Relationship Id="rId128" Type="http://schemas.openxmlformats.org/officeDocument/2006/relationships/hyperlink" Target="https://metacyc.org/compound?orgid=META&amp;id=SACCHAROPINE" TargetMode="External"/><Relationship Id="rId149" Type="http://schemas.openxmlformats.org/officeDocument/2006/relationships/hyperlink" Target="https://metacyc.org/compound?orgid=META&amp;id=CPD-1086" TargetMode="External"/><Relationship Id="rId5" Type="http://schemas.openxmlformats.org/officeDocument/2006/relationships/webSettings" Target="webSettings.xml"/><Relationship Id="rId95" Type="http://schemas.openxmlformats.org/officeDocument/2006/relationships/hyperlink" Target="https://metacyc.org/compound?orgid=META&amp;id=CPD-402" TargetMode="External"/><Relationship Id="rId160" Type="http://schemas.openxmlformats.org/officeDocument/2006/relationships/hyperlink" Target="https://metacyc.org/compound?orgid=META&amp;id=CPD-7170" TargetMode="External"/><Relationship Id="rId22" Type="http://schemas.openxmlformats.org/officeDocument/2006/relationships/image" Target="media/image13.jpeg"/><Relationship Id="rId43" Type="http://schemas.openxmlformats.org/officeDocument/2006/relationships/image" Target="media/image34.png"/><Relationship Id="rId64" Type="http://schemas.openxmlformats.org/officeDocument/2006/relationships/image" Target="media/image54.jpeg"/><Relationship Id="rId118" Type="http://schemas.openxmlformats.org/officeDocument/2006/relationships/hyperlink" Target="https://metacyc.org/compound?orgid=META&amp;id=CPD-6401" TargetMode="External"/><Relationship Id="rId139" Type="http://schemas.openxmlformats.org/officeDocument/2006/relationships/hyperlink" Target="https://metacyc.org/compound?orgid=META&amp;id=6Z8E10E14Z-5S12R-512-DIHYDROXYI" TargetMode="External"/><Relationship Id="rId85" Type="http://schemas.openxmlformats.org/officeDocument/2006/relationships/hyperlink" Target="https://metacyc.org/compound?orgid=META&amp;id=CPD-15898" TargetMode="External"/><Relationship Id="rId150" Type="http://schemas.openxmlformats.org/officeDocument/2006/relationships/hyperlink" Target="https://metacyc.org/compound?orgid=META&amp;id=CPD-4620" TargetMode="External"/><Relationship Id="rId171" Type="http://schemas.openxmlformats.org/officeDocument/2006/relationships/hyperlink" Target="https://metacyc.org/META/NEW-IMAGE?object=CPD-15972" TargetMode="External"/><Relationship Id="rId12" Type="http://schemas.openxmlformats.org/officeDocument/2006/relationships/image" Target="media/image3.png"/><Relationship Id="rId33" Type="http://schemas.openxmlformats.org/officeDocument/2006/relationships/image" Target="media/image24.jpeg"/><Relationship Id="rId108" Type="http://schemas.openxmlformats.org/officeDocument/2006/relationships/hyperlink" Target="https://metacyc.org/compound?orgid=META&amp;id=CPD-18427" TargetMode="External"/><Relationship Id="rId129" Type="http://schemas.openxmlformats.org/officeDocument/2006/relationships/hyperlink" Target="https://metacyc.org/compound?orgid=META&amp;id=CREPENYNATE" TargetMode="External"/><Relationship Id="rId54" Type="http://schemas.openxmlformats.org/officeDocument/2006/relationships/image" Target="media/image44.jpeg"/><Relationship Id="rId75" Type="http://schemas.openxmlformats.org/officeDocument/2006/relationships/hyperlink" Target="https://metacyc.org/compound?orgid=META&amp;id=4-HYDROXYBENZALDEHYDE" TargetMode="External"/><Relationship Id="rId96" Type="http://schemas.openxmlformats.org/officeDocument/2006/relationships/hyperlink" Target="https://metacyc.org/compound?orgid=META&amp;id=DIHYDROSANGUINARINE" TargetMode="External"/><Relationship Id="rId140" Type="http://schemas.openxmlformats.org/officeDocument/2006/relationships/hyperlink" Target="https://metacyc.org/compound?orgid=META&amp;id=BERBERINE" TargetMode="External"/><Relationship Id="rId161" Type="http://schemas.openxmlformats.org/officeDocument/2006/relationships/hyperlink" Target="https://metacyc.org/compound?orgid=META&amp;id=CPD-9122" TargetMode="Externa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g"/><Relationship Id="rId49" Type="http://schemas.openxmlformats.org/officeDocument/2006/relationships/hyperlink" Target="https://metacyc.org/" TargetMode="External"/><Relationship Id="rId114" Type="http://schemas.openxmlformats.org/officeDocument/2006/relationships/hyperlink" Target="https://metacyc.org/compound?orgid=META&amp;id=GLN" TargetMode="External"/><Relationship Id="rId119" Type="http://schemas.openxmlformats.org/officeDocument/2006/relationships/hyperlink" Target="https://metacyc.org/compound?orgid=META&amp;id=CPD0-341" TargetMode="External"/><Relationship Id="rId44" Type="http://schemas.openxmlformats.org/officeDocument/2006/relationships/image" Target="media/image35.png"/><Relationship Id="rId60" Type="http://schemas.openxmlformats.org/officeDocument/2006/relationships/image" Target="media/image50.jpeg"/><Relationship Id="rId65" Type="http://schemas.openxmlformats.org/officeDocument/2006/relationships/image" Target="media/image55.jpeg"/><Relationship Id="rId81" Type="http://schemas.openxmlformats.org/officeDocument/2006/relationships/hyperlink" Target="https://metacyc.org/compound?orgid=META&amp;id=NIACINAMIDE" TargetMode="External"/><Relationship Id="rId86" Type="http://schemas.openxmlformats.org/officeDocument/2006/relationships/hyperlink" Target="https://metacyc.org/compound?orgid=META&amp;id=PHENOL-PHOSPHATE" TargetMode="External"/><Relationship Id="rId130" Type="http://schemas.openxmlformats.org/officeDocument/2006/relationships/hyperlink" Target="https://metacyc.org/compound?orgid=META&amp;id=CPD-8117" TargetMode="External"/><Relationship Id="rId135" Type="http://schemas.openxmlformats.org/officeDocument/2006/relationships/hyperlink" Target="https://metacyc.org/compound?orgid=META&amp;id=CPD-20042" TargetMode="External"/><Relationship Id="rId151" Type="http://schemas.openxmlformats.org/officeDocument/2006/relationships/hyperlink" Target="https://metacyc.org/compound?orgid=META&amp;id=CPD-4614" TargetMode="External"/><Relationship Id="rId156" Type="http://schemas.openxmlformats.org/officeDocument/2006/relationships/hyperlink" Target="https://metacyc.org/compound?orgid=META&amp;id=CPD-8905" TargetMode="External"/><Relationship Id="rId177" Type="http://schemas.openxmlformats.org/officeDocument/2006/relationships/glossaryDocument" Target="glossary/document.xml"/><Relationship Id="rId172" Type="http://schemas.openxmlformats.org/officeDocument/2006/relationships/hyperlink" Target="https://metacyc.org/compound?orgid=META&amp;id=ALPHA-MALTOSE" TargetMode="External"/><Relationship Id="rId13" Type="http://schemas.openxmlformats.org/officeDocument/2006/relationships/image" Target="media/image4.emf"/><Relationship Id="rId18" Type="http://schemas.openxmlformats.org/officeDocument/2006/relationships/image" Target="media/image9.jpeg"/><Relationship Id="rId39" Type="http://schemas.openxmlformats.org/officeDocument/2006/relationships/image" Target="media/image30.png"/><Relationship Id="rId109" Type="http://schemas.openxmlformats.org/officeDocument/2006/relationships/hyperlink" Target="https://metacyc.org/compound?orgid=META&amp;id=CPD-4241" TargetMode="External"/><Relationship Id="rId34" Type="http://schemas.openxmlformats.org/officeDocument/2006/relationships/image" Target="media/image25.pn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hyperlink" Target="https://metacyc.org/compound?orgid=META&amp;id=D-CYSTEINE" TargetMode="External"/><Relationship Id="rId97" Type="http://schemas.openxmlformats.org/officeDocument/2006/relationships/hyperlink" Target="https://metacyc.org/compound?orgid=META&amp;id=SANGUINARINE" TargetMode="External"/><Relationship Id="rId104" Type="http://schemas.openxmlformats.org/officeDocument/2006/relationships/hyperlink" Target="https://metacyc.org/compound?orgid=META&amp;id=CPD-21229" TargetMode="External"/><Relationship Id="rId120" Type="http://schemas.openxmlformats.org/officeDocument/2006/relationships/hyperlink" Target="https://metacyc.org/META/NEW-IMAGE?object=CPD-19427" TargetMode="External"/><Relationship Id="rId125" Type="http://schemas.openxmlformats.org/officeDocument/2006/relationships/hyperlink" Target="https://metacyc.org/compound?orgid=META&amp;id=CPD-13624" TargetMode="External"/><Relationship Id="rId141" Type="http://schemas.openxmlformats.org/officeDocument/2006/relationships/hyperlink" Target="https://metacyc.org/compound?orgid=META&amp;id=CPD-7173" TargetMode="External"/><Relationship Id="rId146" Type="http://schemas.openxmlformats.org/officeDocument/2006/relationships/hyperlink" Target="https://metacyc.org/compound?orgid=META&amp;id=CODEINONE" TargetMode="External"/><Relationship Id="rId167" Type="http://schemas.openxmlformats.org/officeDocument/2006/relationships/hyperlink" Target="https://metacyc.org/META/NEW-IMAGE?object=Gentiobiose" TargetMode="External"/><Relationship Id="rId7" Type="http://schemas.openxmlformats.org/officeDocument/2006/relationships/endnotes" Target="endnotes.xml"/><Relationship Id="rId71" Type="http://schemas.openxmlformats.org/officeDocument/2006/relationships/hyperlink" Target="https://metacyc.org/compound?orgid=META&amp;id=2-CH2-GLUTARATE" TargetMode="External"/><Relationship Id="rId92" Type="http://schemas.openxmlformats.org/officeDocument/2006/relationships/hyperlink" Target="https://metacyc.org/compound?orgid=META&amp;id=SHIKIMATE" TargetMode="External"/><Relationship Id="rId162" Type="http://schemas.openxmlformats.org/officeDocument/2006/relationships/hyperlink" Target="https://metacyc.org/compound?orgid=META&amp;id=CPD-15459" TargetMode="Externa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png"/><Relationship Id="rId45" Type="http://schemas.openxmlformats.org/officeDocument/2006/relationships/image" Target="media/image36.jpg"/><Relationship Id="rId66" Type="http://schemas.openxmlformats.org/officeDocument/2006/relationships/image" Target="media/image56.jpeg"/><Relationship Id="rId87" Type="http://schemas.openxmlformats.org/officeDocument/2006/relationships/hyperlink" Target="https://metacyc.org/compound?orgid=META&amp;id=L-DEHYDRO-ASCORBATE" TargetMode="External"/><Relationship Id="rId110" Type="http://schemas.openxmlformats.org/officeDocument/2006/relationships/hyperlink" Target="https://metacyc.org/compound?orgid=META&amp;id=CPD-7710" TargetMode="External"/><Relationship Id="rId115" Type="http://schemas.openxmlformats.org/officeDocument/2006/relationships/hyperlink" Target="https://metacyc.org/compound?orgid=META&amp;id=GLUTAMIDE" TargetMode="External"/><Relationship Id="rId131" Type="http://schemas.openxmlformats.org/officeDocument/2006/relationships/hyperlink" Target="https://metacyc.org/compound?orgid=META&amp;id=ALPHA-RIBAZOLE" TargetMode="External"/><Relationship Id="rId136" Type="http://schemas.openxmlformats.org/officeDocument/2006/relationships/hyperlink" Target="https://metacyc.org/compound?orgid=META&amp;id=CPD-17617" TargetMode="External"/><Relationship Id="rId157" Type="http://schemas.openxmlformats.org/officeDocument/2006/relationships/hyperlink" Target="https://metacyc.org/compound?orgid=META&amp;id=CPD-8906" TargetMode="External"/><Relationship Id="rId178" Type="http://schemas.openxmlformats.org/officeDocument/2006/relationships/theme" Target="theme/theme1.xml"/><Relationship Id="rId61" Type="http://schemas.openxmlformats.org/officeDocument/2006/relationships/image" Target="media/image51.png"/><Relationship Id="rId82" Type="http://schemas.openxmlformats.org/officeDocument/2006/relationships/hyperlink" Target="https://metacyc.org/META/NEW-IMAGE?object=Glycerol-1-phosphate" TargetMode="External"/><Relationship Id="rId152" Type="http://schemas.openxmlformats.org/officeDocument/2006/relationships/hyperlink" Target="https://metacyc.org/compound?orgid=META&amp;id=S-LACTOYL-GLUTATHIONE" TargetMode="External"/><Relationship Id="rId173" Type="http://schemas.openxmlformats.org/officeDocument/2006/relationships/hyperlink" Target="https://metacyc.org/compound?orgid=META&amp;id=CPD-13567" TargetMode="External"/><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6.jpeg"/><Relationship Id="rId77" Type="http://schemas.openxmlformats.org/officeDocument/2006/relationships/hyperlink" Target="https://metacyc.org/compound?orgid=META&amp;id=CYS" TargetMode="External"/><Relationship Id="rId100" Type="http://schemas.openxmlformats.org/officeDocument/2006/relationships/hyperlink" Target="https://metacyc.org/compound?orgid=META&amp;id=CPD-4207" TargetMode="External"/><Relationship Id="rId105" Type="http://schemas.openxmlformats.org/officeDocument/2006/relationships/hyperlink" Target="https://metacyc.org/compound?orgid=META&amp;id=CPD-21228" TargetMode="External"/><Relationship Id="rId126" Type="http://schemas.openxmlformats.org/officeDocument/2006/relationships/hyperlink" Target="https://metacyc.org/compound?orgid=META&amp;id=CPD-13622" TargetMode="External"/><Relationship Id="rId147" Type="http://schemas.openxmlformats.org/officeDocument/2006/relationships/hyperlink" Target="https://metacyc.org/compound?orgid=META&amp;id=5-METHYLTHIOINOSINE" TargetMode="External"/><Relationship Id="rId168" Type="http://schemas.openxmlformats.org/officeDocument/2006/relationships/hyperlink" Target="https://metacyc.org/META/NEW-IMAGE?object=CPD-15990" TargetMode="External"/><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hyperlink" Target="https://metacyc.org/compound?orgid=META&amp;id=DIMETHYLMAL-CPD" TargetMode="External"/><Relationship Id="rId93" Type="http://schemas.openxmlformats.org/officeDocument/2006/relationships/hyperlink" Target="https://metacyc.org/compound?orgid=META&amp;id=CPD0-1264" TargetMode="External"/><Relationship Id="rId98" Type="http://schemas.openxmlformats.org/officeDocument/2006/relationships/hyperlink" Target="https://metacyc.org/compound?orgid=META&amp;id=RIBOSE-15-BISPHOSPHATE" TargetMode="External"/><Relationship Id="rId121" Type="http://schemas.openxmlformats.org/officeDocument/2006/relationships/hyperlink" Target="https://metacyc.org/compound?orgid=META&amp;id=CPD-19421" TargetMode="External"/><Relationship Id="rId142" Type="http://schemas.openxmlformats.org/officeDocument/2006/relationships/hyperlink" Target="https://metacyc.org/compound?orgid=META&amp;id=PROGESTERONE" TargetMode="External"/><Relationship Id="rId163" Type="http://schemas.openxmlformats.org/officeDocument/2006/relationships/hyperlink" Target="https://metacyc.org/META/NEW-IMAGE?object=CPD-13545" TargetMode="Externa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png"/><Relationship Id="rId67" Type="http://schemas.openxmlformats.org/officeDocument/2006/relationships/image" Target="media/image57.png"/><Relationship Id="rId116" Type="http://schemas.openxmlformats.org/officeDocument/2006/relationships/hyperlink" Target="https://metacyc.org/compound?orgid=META&amp;id=CPD-12236" TargetMode="External"/><Relationship Id="rId137" Type="http://schemas.openxmlformats.org/officeDocument/2006/relationships/hyperlink" Target="https://metacyc.org/compound?orgid=META&amp;id=CPD-1911" TargetMode="External"/><Relationship Id="rId158" Type="http://schemas.openxmlformats.org/officeDocument/2006/relationships/hyperlink" Target="https://metacyc.org/compound?orgid=META&amp;id=CPD-8912" TargetMode="External"/><Relationship Id="rId20" Type="http://schemas.openxmlformats.org/officeDocument/2006/relationships/image" Target="media/image11.jpeg"/><Relationship Id="rId41" Type="http://schemas.openxmlformats.org/officeDocument/2006/relationships/image" Target="media/image32.png"/><Relationship Id="rId62" Type="http://schemas.openxmlformats.org/officeDocument/2006/relationships/image" Target="media/image52.jpeg"/><Relationship Id="rId83" Type="http://schemas.openxmlformats.org/officeDocument/2006/relationships/hyperlink" Target="https://metacyc.org/compound?orgid=META&amp;id=GLYCEROL-3P" TargetMode="External"/><Relationship Id="rId88" Type="http://schemas.openxmlformats.org/officeDocument/2006/relationships/hyperlink" Target="https://metacyc.org/compound?orgid=META&amp;id=CPD-225" TargetMode="External"/><Relationship Id="rId111" Type="http://schemas.openxmlformats.org/officeDocument/2006/relationships/hyperlink" Target="https://metacyc.org/META/NEW-IMAGE?object=Chlorins" TargetMode="External"/><Relationship Id="rId132" Type="http://schemas.openxmlformats.org/officeDocument/2006/relationships/hyperlink" Target="https://metacyc.org/compound?orgid=META&amp;id=CPD-21444" TargetMode="External"/><Relationship Id="rId153" Type="http://schemas.openxmlformats.org/officeDocument/2006/relationships/hyperlink" Target="https://metacyc.org/compound?orgid=META&amp;id=CPD3DJ-11366" TargetMode="External"/><Relationship Id="rId174" Type="http://schemas.openxmlformats.org/officeDocument/2006/relationships/hyperlink" Target="https://metacyc.org/compound?orgid=META&amp;id=CPD-458" TargetMode="External"/><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7.jpeg"/><Relationship Id="rId106" Type="http://schemas.openxmlformats.org/officeDocument/2006/relationships/hyperlink" Target="https://metacyc.org/compound?orgid=META&amp;id=CPD-15277" TargetMode="External"/><Relationship Id="rId127" Type="http://schemas.openxmlformats.org/officeDocument/2006/relationships/hyperlink" Target="https://metacyc.org/compound?orgid=META&amp;id=CPD-511" TargetMode="External"/><Relationship Id="rId10" Type="http://schemas.openxmlformats.org/officeDocument/2006/relationships/footer" Target="footer2.xml"/><Relationship Id="rId31" Type="http://schemas.openxmlformats.org/officeDocument/2006/relationships/image" Target="media/image22.png"/><Relationship Id="rId52" Type="http://schemas.openxmlformats.org/officeDocument/2006/relationships/image" Target="media/image42.jpeg"/><Relationship Id="rId73" Type="http://schemas.openxmlformats.org/officeDocument/2006/relationships/hyperlink" Target="https://metacyc.org/compound?orgid=META&amp;id=CPD-9152" TargetMode="External"/><Relationship Id="rId78" Type="http://schemas.openxmlformats.org/officeDocument/2006/relationships/hyperlink" Target="https://metacyc.org/compound?orgid=META&amp;id=SALICYLALDEHYDE" TargetMode="External"/><Relationship Id="rId94" Type="http://schemas.openxmlformats.org/officeDocument/2006/relationships/hyperlink" Target="https://metacyc.org/compound?orgid=META&amp;id=CPD-824" TargetMode="External"/><Relationship Id="rId99" Type="http://schemas.openxmlformats.org/officeDocument/2006/relationships/hyperlink" Target="http://classyfire.wishartlab.com/tax_nodes/C0000011" TargetMode="External"/><Relationship Id="rId101" Type="http://schemas.openxmlformats.org/officeDocument/2006/relationships/hyperlink" Target="https://metacyc.org/compound?orgid=META&amp;id=CPD-8986" TargetMode="External"/><Relationship Id="rId122" Type="http://schemas.openxmlformats.org/officeDocument/2006/relationships/hyperlink" Target="https://metacyc.org/compound?orgid=META&amp;id=CPD-19431" TargetMode="External"/><Relationship Id="rId143" Type="http://schemas.openxmlformats.org/officeDocument/2006/relationships/hyperlink" Target="https://metacyc.org/compound?orgid=META&amp;id=910-EPOXY-18-HYDROXYSTEARATE" TargetMode="External"/><Relationship Id="rId148" Type="http://schemas.openxmlformats.org/officeDocument/2006/relationships/hyperlink" Target="https://metacyc.org/compound?orgid=META&amp;id=CPD-10178" TargetMode="External"/><Relationship Id="rId164" Type="http://schemas.openxmlformats.org/officeDocument/2006/relationships/hyperlink" Target="https://metacyc.org/compound?orgid=META&amp;id=MELIBIOSE" TargetMode="External"/><Relationship Id="rId169" Type="http://schemas.openxmlformats.org/officeDocument/2006/relationships/hyperlink" Target="https://metacyc.org/META/NEW-IMAGE?object=Isomaltose" TargetMode="Externa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7.jpeg"/><Relationship Id="rId47" Type="http://schemas.openxmlformats.org/officeDocument/2006/relationships/image" Target="media/image38.png"/><Relationship Id="rId68" Type="http://schemas.openxmlformats.org/officeDocument/2006/relationships/hyperlink" Target="https://metacyc.org/compound?orgid=META&amp;id=QUINOLIN-4-OL" TargetMode="External"/><Relationship Id="rId89" Type="http://schemas.openxmlformats.org/officeDocument/2006/relationships/hyperlink" Target="https://metacyc.org/compound?orgid=META&amp;id=CIS-ACONITATE" TargetMode="External"/><Relationship Id="rId112" Type="http://schemas.openxmlformats.org/officeDocument/2006/relationships/hyperlink" Target="https://metacyc.org/compound?orgid=META&amp;id=CPD-13088" TargetMode="External"/><Relationship Id="rId133" Type="http://schemas.openxmlformats.org/officeDocument/2006/relationships/hyperlink" Target="https://metacyc.org/compound?orgid=META&amp;id=TABERSONINE" TargetMode="External"/><Relationship Id="rId154" Type="http://schemas.openxmlformats.org/officeDocument/2006/relationships/hyperlink" Target="https://metacyc.org/compound?orgid=META&amp;id=CPD-15910" TargetMode="External"/><Relationship Id="rId175" Type="http://schemas.openxmlformats.org/officeDocument/2006/relationships/fontTable" Target="fontTable.xml"/><Relationship Id="rId16" Type="http://schemas.openxmlformats.org/officeDocument/2006/relationships/image" Target="media/image7.jpeg"/><Relationship Id="rId37" Type="http://schemas.openxmlformats.org/officeDocument/2006/relationships/image" Target="media/image28.png"/><Relationship Id="rId58" Type="http://schemas.openxmlformats.org/officeDocument/2006/relationships/image" Target="media/image48.jpeg"/><Relationship Id="rId79" Type="http://schemas.openxmlformats.org/officeDocument/2006/relationships/hyperlink" Target="https://metacyc.org/compound?orgid=META&amp;id=BENZOATE" TargetMode="External"/><Relationship Id="rId102" Type="http://schemas.openxmlformats.org/officeDocument/2006/relationships/hyperlink" Target="https://metacyc.org/compound?orgid=META&amp;id=CPD-21554" TargetMode="External"/><Relationship Id="rId123" Type="http://schemas.openxmlformats.org/officeDocument/2006/relationships/hyperlink" Target="https://metacyc.org/compound?orgid=META&amp;id=CPD-19446" TargetMode="External"/><Relationship Id="rId144" Type="http://schemas.openxmlformats.org/officeDocument/2006/relationships/hyperlink" Target="https://metacyc.org/compound?orgid=META&amp;id=CPD-7712" TargetMode="External"/><Relationship Id="rId90" Type="http://schemas.openxmlformats.org/officeDocument/2006/relationships/hyperlink" Target="https://metacyc.org/compound?orgid=META&amp;id=CPD-291" TargetMode="External"/><Relationship Id="rId165" Type="http://schemas.openxmlformats.org/officeDocument/2006/relationships/hyperlink" Target="https://metacyc.org/compound?orgid=META&amp;id=SUCROSE" TargetMode="External"/><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hyperlink" Target="https://metacyc.org/compound?orgid=META&amp;id=4-OXOGLUTARAMATE" TargetMode="External"/><Relationship Id="rId113" Type="http://schemas.openxmlformats.org/officeDocument/2006/relationships/hyperlink" Target="https://metacyc.org/compound?orgid=META&amp;id=CPD-10484" TargetMode="External"/><Relationship Id="rId134" Type="http://schemas.openxmlformats.org/officeDocument/2006/relationships/hyperlink" Target="https://metacyc.org/compound?orgid=META&amp;id=CPD-7859" TargetMode="External"/><Relationship Id="rId80" Type="http://schemas.openxmlformats.org/officeDocument/2006/relationships/hyperlink" Target="https://metacyc.org/compound?orgid=META&amp;id=ERYTHRITOL" TargetMode="External"/><Relationship Id="rId155" Type="http://schemas.openxmlformats.org/officeDocument/2006/relationships/hyperlink" Target="https://metacyc.org/META/NEW-IMAGE?object=CPD-20974" TargetMode="External"/><Relationship Id="rId176" Type="http://schemas.microsoft.com/office/2011/relationships/people" Target="people.xml"/><Relationship Id="rId17" Type="http://schemas.openxmlformats.org/officeDocument/2006/relationships/image" Target="media/image8.jpeg"/><Relationship Id="rId38" Type="http://schemas.openxmlformats.org/officeDocument/2006/relationships/image" Target="media/image29.png"/><Relationship Id="rId59" Type="http://schemas.openxmlformats.org/officeDocument/2006/relationships/image" Target="media/image49.png"/><Relationship Id="rId103" Type="http://schemas.openxmlformats.org/officeDocument/2006/relationships/hyperlink" Target="https://metacyc.org/compound?orgid=META&amp;id=PENICILLIN-G" TargetMode="External"/><Relationship Id="rId124" Type="http://schemas.openxmlformats.org/officeDocument/2006/relationships/hyperlink" Target="https://metacyc.org/META/NEW-IMAGE?object=ManNAcA" TargetMode="External"/><Relationship Id="rId70" Type="http://schemas.openxmlformats.org/officeDocument/2006/relationships/hyperlink" Target="https://metacyc.org/compound?orgid=META&amp;id=2-KETO-GLUTARAMATE" TargetMode="External"/><Relationship Id="rId91" Type="http://schemas.openxmlformats.org/officeDocument/2006/relationships/hyperlink" Target="https://metacyc.org/compound?orgid=META&amp;id=CPD-7100" TargetMode="External"/><Relationship Id="rId145" Type="http://schemas.openxmlformats.org/officeDocument/2006/relationships/hyperlink" Target="https://metacyc.org/compound?orgid=META&amp;id=CPD-7713" TargetMode="External"/><Relationship Id="rId166" Type="http://schemas.openxmlformats.org/officeDocument/2006/relationships/hyperlink" Target="https://metacyc.org/META/NEW-IMAGE?object=MALTOSE" TargetMode="External"/><Relationship Id="rId1" Type="http://schemas.openxmlformats.org/officeDocument/2006/relationships/customXml" Target="../customXml/item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796E44BA29C7B49B74F3F722913E754"/>
        <w:category>
          <w:name w:val="General"/>
          <w:gallery w:val="placeholder"/>
        </w:category>
        <w:types>
          <w:type w:val="bbPlcHdr"/>
        </w:types>
        <w:behaviors>
          <w:behavior w:val="content"/>
        </w:behaviors>
        <w:guid w:val="{9211A11D-91CD-0745-9877-54A271E5E8D1}"/>
      </w:docPartPr>
      <w:docPartBody>
        <w:p w:rsidR="006C30C6" w:rsidRDefault="000E4F87" w:rsidP="000E4F87">
          <w:pPr>
            <w:pStyle w:val="C796E44BA29C7B49B74F3F722913E754"/>
          </w:pPr>
          <w:r w:rsidRPr="007E2DA6">
            <w:rPr>
              <w:rStyle w:val="PlaceholderText"/>
            </w:rPr>
            <w:t>Click or tap here to enter text.</w:t>
          </w:r>
        </w:p>
      </w:docPartBody>
    </w:docPart>
    <w:docPart>
      <w:docPartPr>
        <w:name w:val="4126063EBB940943BEF59DC61F8B67B4"/>
        <w:category>
          <w:name w:val="General"/>
          <w:gallery w:val="placeholder"/>
        </w:category>
        <w:types>
          <w:type w:val="bbPlcHdr"/>
        </w:types>
        <w:behaviors>
          <w:behavior w:val="content"/>
        </w:behaviors>
        <w:guid w:val="{C8B1C3D0-E964-F646-9413-1FA95D15570C}"/>
      </w:docPartPr>
      <w:docPartBody>
        <w:p w:rsidR="006C30C6" w:rsidRDefault="000E4F87" w:rsidP="000E4F87">
          <w:pPr>
            <w:pStyle w:val="4126063EBB940943BEF59DC61F8B67B4"/>
          </w:pPr>
          <w:r w:rsidRPr="000F057A">
            <w:rPr>
              <w:rStyle w:val="PlaceholderText"/>
            </w:rPr>
            <w:t>Click or tap here to enter text.</w:t>
          </w:r>
        </w:p>
      </w:docPartBody>
    </w:docPart>
    <w:docPart>
      <w:docPartPr>
        <w:name w:val="569D9F6B4E83544288B201F5A2ED5F5B"/>
        <w:category>
          <w:name w:val="General"/>
          <w:gallery w:val="placeholder"/>
        </w:category>
        <w:types>
          <w:type w:val="bbPlcHdr"/>
        </w:types>
        <w:behaviors>
          <w:behavior w:val="content"/>
        </w:behaviors>
        <w:guid w:val="{F4AC99DD-CF43-4043-AB0E-A9822F37D950}"/>
      </w:docPartPr>
      <w:docPartBody>
        <w:p w:rsidR="006C30C6" w:rsidRDefault="000E4F87" w:rsidP="000E4F87">
          <w:pPr>
            <w:pStyle w:val="569D9F6B4E83544288B201F5A2ED5F5B"/>
          </w:pPr>
          <w:r w:rsidRPr="007E2DA6">
            <w:rPr>
              <w:rStyle w:val="PlaceholderText"/>
            </w:rPr>
            <w:t>Click or tap here to enter text.</w:t>
          </w:r>
        </w:p>
      </w:docPartBody>
    </w:docPart>
    <w:docPart>
      <w:docPartPr>
        <w:name w:val="C1CA37D6761FC44FBB81052F54D3D068"/>
        <w:category>
          <w:name w:val="General"/>
          <w:gallery w:val="placeholder"/>
        </w:category>
        <w:types>
          <w:type w:val="bbPlcHdr"/>
        </w:types>
        <w:behaviors>
          <w:behavior w:val="content"/>
        </w:behaviors>
        <w:guid w:val="{2F366275-1DCD-8746-AD04-F6B1880375E6}"/>
      </w:docPartPr>
      <w:docPartBody>
        <w:p w:rsidR="006C30C6" w:rsidRDefault="000E4F87" w:rsidP="000E4F87">
          <w:pPr>
            <w:pStyle w:val="C1CA37D6761FC44FBB81052F54D3D068"/>
          </w:pPr>
          <w:r w:rsidRPr="000F057A">
            <w:rPr>
              <w:rStyle w:val="PlaceholderText"/>
            </w:rPr>
            <w:t>Click or tap here to enter text.</w:t>
          </w:r>
        </w:p>
      </w:docPartBody>
    </w:docPart>
    <w:docPart>
      <w:docPartPr>
        <w:name w:val="EDF00199ED3DE84983CDB902C1A3FE86"/>
        <w:category>
          <w:name w:val="General"/>
          <w:gallery w:val="placeholder"/>
        </w:category>
        <w:types>
          <w:type w:val="bbPlcHdr"/>
        </w:types>
        <w:behaviors>
          <w:behavior w:val="content"/>
        </w:behaviors>
        <w:guid w:val="{96665515-E2F2-5944-A320-90AC3DA63204}"/>
      </w:docPartPr>
      <w:docPartBody>
        <w:p w:rsidR="006C30C6" w:rsidRDefault="000E4F87" w:rsidP="000E4F87">
          <w:pPr>
            <w:pStyle w:val="EDF00199ED3DE84983CDB902C1A3FE86"/>
          </w:pPr>
          <w:r w:rsidRPr="000F057A">
            <w:rPr>
              <w:rStyle w:val="PlaceholderText"/>
            </w:rPr>
            <w:t>Click or tap here to enter text.</w:t>
          </w:r>
        </w:p>
      </w:docPartBody>
    </w:docPart>
    <w:docPart>
      <w:docPartPr>
        <w:name w:val="EE63A944E9482A4DAA8401AD4C8371B0"/>
        <w:category>
          <w:name w:val="General"/>
          <w:gallery w:val="placeholder"/>
        </w:category>
        <w:types>
          <w:type w:val="bbPlcHdr"/>
        </w:types>
        <w:behaviors>
          <w:behavior w:val="content"/>
        </w:behaviors>
        <w:guid w:val="{10E8D3E6-1D3D-5C4B-917D-CE56CAB13C92}"/>
      </w:docPartPr>
      <w:docPartBody>
        <w:p w:rsidR="006C30C6" w:rsidRDefault="000E4F87" w:rsidP="000E4F87">
          <w:pPr>
            <w:pStyle w:val="EE63A944E9482A4DAA8401AD4C8371B0"/>
          </w:pPr>
          <w:r w:rsidRPr="000F057A">
            <w:rPr>
              <w:rStyle w:val="PlaceholderText"/>
            </w:rPr>
            <w:t>Click or tap here to enter text.</w:t>
          </w:r>
        </w:p>
      </w:docPartBody>
    </w:docPart>
    <w:docPart>
      <w:docPartPr>
        <w:name w:val="FEDCDA593145B84097642108EC01EC32"/>
        <w:category>
          <w:name w:val="General"/>
          <w:gallery w:val="placeholder"/>
        </w:category>
        <w:types>
          <w:type w:val="bbPlcHdr"/>
        </w:types>
        <w:behaviors>
          <w:behavior w:val="content"/>
        </w:behaviors>
        <w:guid w:val="{0754223C-8519-CD4E-AE59-581118A84F5C}"/>
      </w:docPartPr>
      <w:docPartBody>
        <w:p w:rsidR="006C30C6" w:rsidRDefault="000E4F87" w:rsidP="000E4F87">
          <w:pPr>
            <w:pStyle w:val="FEDCDA593145B84097642108EC01EC32"/>
          </w:pPr>
          <w:r w:rsidRPr="000F057A">
            <w:rPr>
              <w:rStyle w:val="PlaceholderText"/>
            </w:rPr>
            <w:t>Click or tap here to enter text.</w:t>
          </w:r>
        </w:p>
      </w:docPartBody>
    </w:docPart>
    <w:docPart>
      <w:docPartPr>
        <w:name w:val="2336C5BAAA00F349BA5C469348C8DA86"/>
        <w:category>
          <w:name w:val="General"/>
          <w:gallery w:val="placeholder"/>
        </w:category>
        <w:types>
          <w:type w:val="bbPlcHdr"/>
        </w:types>
        <w:behaviors>
          <w:behavior w:val="content"/>
        </w:behaviors>
        <w:guid w:val="{1A9B7481-46F2-EE45-8B0F-5BFD14568899}"/>
      </w:docPartPr>
      <w:docPartBody>
        <w:p w:rsidR="006C30C6" w:rsidRDefault="000E4F87" w:rsidP="000E4F87">
          <w:pPr>
            <w:pStyle w:val="2336C5BAAA00F349BA5C469348C8DA86"/>
          </w:pPr>
          <w:r w:rsidRPr="000F057A">
            <w:rPr>
              <w:rStyle w:val="PlaceholderText"/>
            </w:rPr>
            <w:t>Click or tap here to enter text.</w:t>
          </w:r>
        </w:p>
      </w:docPartBody>
    </w:docPart>
    <w:docPart>
      <w:docPartPr>
        <w:name w:val="BECB124B9D8DDA428135D83EC83D8FBE"/>
        <w:category>
          <w:name w:val="General"/>
          <w:gallery w:val="placeholder"/>
        </w:category>
        <w:types>
          <w:type w:val="bbPlcHdr"/>
        </w:types>
        <w:behaviors>
          <w:behavior w:val="content"/>
        </w:behaviors>
        <w:guid w:val="{0435F61D-357E-2A4B-BC9F-F2C19E454EE4}"/>
      </w:docPartPr>
      <w:docPartBody>
        <w:p w:rsidR="006C30C6" w:rsidRDefault="000E4F87" w:rsidP="000E4F87">
          <w:pPr>
            <w:pStyle w:val="BECB124B9D8DDA428135D83EC83D8FBE"/>
          </w:pPr>
          <w:r w:rsidRPr="00E02BF2">
            <w:rPr>
              <w:rStyle w:val="PlaceholderText"/>
            </w:rPr>
            <w:t>Click or tap here to enter text.</w:t>
          </w:r>
        </w:p>
      </w:docPartBody>
    </w:docPart>
    <w:docPart>
      <w:docPartPr>
        <w:name w:val="2B016912BA50C34991453B78394EA061"/>
        <w:category>
          <w:name w:val="General"/>
          <w:gallery w:val="placeholder"/>
        </w:category>
        <w:types>
          <w:type w:val="bbPlcHdr"/>
        </w:types>
        <w:behaviors>
          <w:behavior w:val="content"/>
        </w:behaviors>
        <w:guid w:val="{7FADCB28-5799-7C4B-B72F-DC5D6F8984DB}"/>
      </w:docPartPr>
      <w:docPartBody>
        <w:p w:rsidR="006C30C6" w:rsidRDefault="000E4F87" w:rsidP="000E4F87">
          <w:pPr>
            <w:pStyle w:val="2B016912BA50C34991453B78394EA061"/>
          </w:pPr>
          <w:r w:rsidRPr="00E02BF2">
            <w:rPr>
              <w:rStyle w:val="PlaceholderText"/>
            </w:rPr>
            <w:t>Click or tap here to enter text.</w:t>
          </w:r>
        </w:p>
      </w:docPartBody>
    </w:docPart>
    <w:docPart>
      <w:docPartPr>
        <w:name w:val="9E5EC8349729D44EA280977D726B70C8"/>
        <w:category>
          <w:name w:val="General"/>
          <w:gallery w:val="placeholder"/>
        </w:category>
        <w:types>
          <w:type w:val="bbPlcHdr"/>
        </w:types>
        <w:behaviors>
          <w:behavior w:val="content"/>
        </w:behaviors>
        <w:guid w:val="{8773B9EF-BDE2-5645-83CD-14177DF2E3CC}"/>
      </w:docPartPr>
      <w:docPartBody>
        <w:p w:rsidR="006C30C6" w:rsidRDefault="000E4F87" w:rsidP="000E4F87">
          <w:pPr>
            <w:pStyle w:val="9E5EC8349729D44EA280977D726B70C8"/>
          </w:pPr>
          <w:r w:rsidRPr="00E02BF2">
            <w:rPr>
              <w:rStyle w:val="PlaceholderText"/>
            </w:rPr>
            <w:t>Click or tap here to enter text.</w:t>
          </w:r>
        </w:p>
      </w:docPartBody>
    </w:docPart>
    <w:docPart>
      <w:docPartPr>
        <w:name w:val="EB4DF83074D7D1438FD831B7D71D5FFB"/>
        <w:category>
          <w:name w:val="General"/>
          <w:gallery w:val="placeholder"/>
        </w:category>
        <w:types>
          <w:type w:val="bbPlcHdr"/>
        </w:types>
        <w:behaviors>
          <w:behavior w:val="content"/>
        </w:behaviors>
        <w:guid w:val="{8AB494AD-2570-034A-819F-933BF970A833}"/>
      </w:docPartPr>
      <w:docPartBody>
        <w:p w:rsidR="006C30C6" w:rsidRDefault="000E4F87" w:rsidP="000E4F87">
          <w:pPr>
            <w:pStyle w:val="EB4DF83074D7D1438FD831B7D71D5FFB"/>
          </w:pPr>
          <w:r w:rsidRPr="00BC5474">
            <w:rPr>
              <w:rStyle w:val="PlaceholderText"/>
            </w:rPr>
            <w:t>Click or tap here to enter text.</w:t>
          </w:r>
        </w:p>
      </w:docPartBody>
    </w:docPart>
    <w:docPart>
      <w:docPartPr>
        <w:name w:val="D0E9EB3ABB69904BA168C72EFAEB1088"/>
        <w:category>
          <w:name w:val="General"/>
          <w:gallery w:val="placeholder"/>
        </w:category>
        <w:types>
          <w:type w:val="bbPlcHdr"/>
        </w:types>
        <w:behaviors>
          <w:behavior w:val="content"/>
        </w:behaviors>
        <w:guid w:val="{ED26B86B-594D-BE46-9015-A68707FA726C}"/>
      </w:docPartPr>
      <w:docPartBody>
        <w:p w:rsidR="006C30C6" w:rsidRDefault="000E4F87" w:rsidP="000E4F87">
          <w:pPr>
            <w:pStyle w:val="D0E9EB3ABB69904BA168C72EFAEB1088"/>
          </w:pPr>
          <w:r w:rsidRPr="00D524D2">
            <w:rPr>
              <w:rStyle w:val="PlaceholderText"/>
            </w:rPr>
            <w:t>Click or tap here to enter text.</w:t>
          </w:r>
        </w:p>
      </w:docPartBody>
    </w:docPart>
    <w:docPart>
      <w:docPartPr>
        <w:name w:val="8F9960138C56C54F99D874F541DCD100"/>
        <w:category>
          <w:name w:val="General"/>
          <w:gallery w:val="placeholder"/>
        </w:category>
        <w:types>
          <w:type w:val="bbPlcHdr"/>
        </w:types>
        <w:behaviors>
          <w:behavior w:val="content"/>
        </w:behaviors>
        <w:guid w:val="{FD406135-E0AF-7646-9BBA-F8FF78E40CDB}"/>
      </w:docPartPr>
      <w:docPartBody>
        <w:p w:rsidR="006C30C6" w:rsidRDefault="000E4F87" w:rsidP="000E4F87">
          <w:pPr>
            <w:pStyle w:val="8F9960138C56C54F99D874F541DCD100"/>
          </w:pPr>
          <w:r w:rsidRPr="00BD549D">
            <w:rPr>
              <w:rStyle w:val="PlaceholderText"/>
            </w:rPr>
            <w:t>Click or tap here to enter text.</w:t>
          </w:r>
        </w:p>
      </w:docPartBody>
    </w:docPart>
    <w:docPart>
      <w:docPartPr>
        <w:name w:val="C91AE799F54C8743AA8ABFD78D7B799E"/>
        <w:category>
          <w:name w:val="General"/>
          <w:gallery w:val="placeholder"/>
        </w:category>
        <w:types>
          <w:type w:val="bbPlcHdr"/>
        </w:types>
        <w:behaviors>
          <w:behavior w:val="content"/>
        </w:behaviors>
        <w:guid w:val="{3B5058C1-4A63-0148-8303-EEB9DBCC6629}"/>
      </w:docPartPr>
      <w:docPartBody>
        <w:p w:rsidR="006C30C6" w:rsidRDefault="000E4F87" w:rsidP="000E4F87">
          <w:pPr>
            <w:pStyle w:val="C91AE799F54C8743AA8ABFD78D7B799E"/>
          </w:pPr>
          <w:r w:rsidRPr="00BD549D">
            <w:rPr>
              <w:rStyle w:val="PlaceholderText"/>
            </w:rPr>
            <w:t>Click or tap here to enter text.</w:t>
          </w:r>
        </w:p>
      </w:docPartBody>
    </w:docPart>
    <w:docPart>
      <w:docPartPr>
        <w:name w:val="FC2A71D7DF48DC4B8B5CB3D1B48A75E4"/>
        <w:category>
          <w:name w:val="General"/>
          <w:gallery w:val="placeholder"/>
        </w:category>
        <w:types>
          <w:type w:val="bbPlcHdr"/>
        </w:types>
        <w:behaviors>
          <w:behavior w:val="content"/>
        </w:behaviors>
        <w:guid w:val="{39896342-B034-8644-935D-0583E474CDB3}"/>
      </w:docPartPr>
      <w:docPartBody>
        <w:p w:rsidR="006C30C6" w:rsidRDefault="000E4F87" w:rsidP="000E4F87">
          <w:pPr>
            <w:pStyle w:val="FC2A71D7DF48DC4B8B5CB3D1B48A75E4"/>
          </w:pPr>
          <w:r w:rsidRPr="00BD549D">
            <w:rPr>
              <w:rStyle w:val="PlaceholderText"/>
            </w:rPr>
            <w:t>Click or tap here to enter text.</w:t>
          </w:r>
        </w:p>
      </w:docPartBody>
    </w:docPart>
    <w:docPart>
      <w:docPartPr>
        <w:name w:val="9186FB220E2CBA4085DAFAE249A527DA"/>
        <w:category>
          <w:name w:val="General"/>
          <w:gallery w:val="placeholder"/>
        </w:category>
        <w:types>
          <w:type w:val="bbPlcHdr"/>
        </w:types>
        <w:behaviors>
          <w:behavior w:val="content"/>
        </w:behaviors>
        <w:guid w:val="{F0A0EFDA-DB6E-9143-B808-80C050018428}"/>
      </w:docPartPr>
      <w:docPartBody>
        <w:p w:rsidR="006C30C6" w:rsidRDefault="000E4F87" w:rsidP="000E4F87">
          <w:pPr>
            <w:pStyle w:val="9186FB220E2CBA4085DAFAE249A527DA"/>
          </w:pPr>
          <w:r w:rsidRPr="00BD549D">
            <w:rPr>
              <w:rStyle w:val="PlaceholderText"/>
            </w:rPr>
            <w:t>Click or tap here to enter text.</w:t>
          </w:r>
        </w:p>
      </w:docPartBody>
    </w:docPart>
    <w:docPart>
      <w:docPartPr>
        <w:name w:val="185A0AA08B335149967943A340547BFE"/>
        <w:category>
          <w:name w:val="General"/>
          <w:gallery w:val="placeholder"/>
        </w:category>
        <w:types>
          <w:type w:val="bbPlcHdr"/>
        </w:types>
        <w:behaviors>
          <w:behavior w:val="content"/>
        </w:behaviors>
        <w:guid w:val="{0A3D0616-6C11-0C4F-A775-FA4636EE2A43}"/>
      </w:docPartPr>
      <w:docPartBody>
        <w:p w:rsidR="006C30C6" w:rsidRDefault="000E4F87" w:rsidP="000E4F87">
          <w:pPr>
            <w:pStyle w:val="185A0AA08B335149967943A340547BFE"/>
          </w:pPr>
          <w:r w:rsidRPr="00BD549D">
            <w:rPr>
              <w:rStyle w:val="PlaceholderText"/>
            </w:rPr>
            <w:t>Click or tap here to enter text.</w:t>
          </w:r>
        </w:p>
      </w:docPartBody>
    </w:docPart>
    <w:docPart>
      <w:docPartPr>
        <w:name w:val="26D08E5E26933F4BBF4B3CCDA70A1467"/>
        <w:category>
          <w:name w:val="General"/>
          <w:gallery w:val="placeholder"/>
        </w:category>
        <w:types>
          <w:type w:val="bbPlcHdr"/>
        </w:types>
        <w:behaviors>
          <w:behavior w:val="content"/>
        </w:behaviors>
        <w:guid w:val="{7D10B848-F33F-AB48-96EC-DEFDA641A447}"/>
      </w:docPartPr>
      <w:docPartBody>
        <w:p w:rsidR="006C30C6" w:rsidRDefault="000E4F87" w:rsidP="000E4F87">
          <w:pPr>
            <w:pStyle w:val="26D08E5E26933F4BBF4B3CCDA70A1467"/>
          </w:pPr>
          <w:r w:rsidRPr="00BD549D">
            <w:rPr>
              <w:rStyle w:val="PlaceholderText"/>
            </w:rPr>
            <w:t>Click or tap here to enter text.</w:t>
          </w:r>
        </w:p>
      </w:docPartBody>
    </w:docPart>
    <w:docPart>
      <w:docPartPr>
        <w:name w:val="E3FDB0639C6CD243B47E4FC1E0F3A242"/>
        <w:category>
          <w:name w:val="General"/>
          <w:gallery w:val="placeholder"/>
        </w:category>
        <w:types>
          <w:type w:val="bbPlcHdr"/>
        </w:types>
        <w:behaviors>
          <w:behavior w:val="content"/>
        </w:behaviors>
        <w:guid w:val="{27BD19E5-17E0-754B-B852-6E60FA1C3562}"/>
      </w:docPartPr>
      <w:docPartBody>
        <w:p w:rsidR="006C30C6" w:rsidRDefault="000E4F87" w:rsidP="000E4F87">
          <w:pPr>
            <w:pStyle w:val="E3FDB0639C6CD243B47E4FC1E0F3A242"/>
          </w:pPr>
          <w:r w:rsidRPr="00BD549D">
            <w:rPr>
              <w:rStyle w:val="PlaceholderText"/>
            </w:rPr>
            <w:t>Click or tap here to enter text.</w:t>
          </w:r>
        </w:p>
      </w:docPartBody>
    </w:docPart>
    <w:docPart>
      <w:docPartPr>
        <w:name w:val="CD7C99E1FE0F5949B7E50D6C8ECA1418"/>
        <w:category>
          <w:name w:val="General"/>
          <w:gallery w:val="placeholder"/>
        </w:category>
        <w:types>
          <w:type w:val="bbPlcHdr"/>
        </w:types>
        <w:behaviors>
          <w:behavior w:val="content"/>
        </w:behaviors>
        <w:guid w:val="{F0DB7C80-5C6C-1043-8F67-3C1725BF2762}"/>
      </w:docPartPr>
      <w:docPartBody>
        <w:p w:rsidR="006C30C6" w:rsidRDefault="000E4F87" w:rsidP="000E4F87">
          <w:pPr>
            <w:pStyle w:val="CD7C99E1FE0F5949B7E50D6C8ECA1418"/>
          </w:pPr>
          <w:r w:rsidRPr="00BD549D">
            <w:rPr>
              <w:rStyle w:val="PlaceholderText"/>
            </w:rPr>
            <w:t>Click or tap here to enter text.</w:t>
          </w:r>
        </w:p>
      </w:docPartBody>
    </w:docPart>
    <w:docPart>
      <w:docPartPr>
        <w:name w:val="A11495A64A425A45A172D4FF70F4F839"/>
        <w:category>
          <w:name w:val="General"/>
          <w:gallery w:val="placeholder"/>
        </w:category>
        <w:types>
          <w:type w:val="bbPlcHdr"/>
        </w:types>
        <w:behaviors>
          <w:behavior w:val="content"/>
        </w:behaviors>
        <w:guid w:val="{4B956F4E-30A5-C74C-8713-8543122D597A}"/>
      </w:docPartPr>
      <w:docPartBody>
        <w:p w:rsidR="006C30C6" w:rsidRDefault="000E4F87" w:rsidP="000E4F87">
          <w:pPr>
            <w:pStyle w:val="A11495A64A425A45A172D4FF70F4F839"/>
          </w:pPr>
          <w:r w:rsidRPr="00BD549D">
            <w:rPr>
              <w:rStyle w:val="PlaceholderText"/>
            </w:rPr>
            <w:t>Click or tap here to enter text.</w:t>
          </w:r>
        </w:p>
      </w:docPartBody>
    </w:docPart>
    <w:docPart>
      <w:docPartPr>
        <w:name w:val="A259CD50E62DA74D86963B1B062ED522"/>
        <w:category>
          <w:name w:val="General"/>
          <w:gallery w:val="placeholder"/>
        </w:category>
        <w:types>
          <w:type w:val="bbPlcHdr"/>
        </w:types>
        <w:behaviors>
          <w:behavior w:val="content"/>
        </w:behaviors>
        <w:guid w:val="{FDDC0949-231A-2E46-8A4C-1B682421CA86}"/>
      </w:docPartPr>
      <w:docPartBody>
        <w:p w:rsidR="006C30C6" w:rsidRDefault="000E4F87" w:rsidP="000E4F87">
          <w:pPr>
            <w:pStyle w:val="A259CD50E62DA74D86963B1B062ED522"/>
          </w:pPr>
          <w:r w:rsidRPr="00BD549D">
            <w:rPr>
              <w:rStyle w:val="PlaceholderText"/>
            </w:rPr>
            <w:t>Click or tap here to enter text.</w:t>
          </w:r>
        </w:p>
      </w:docPartBody>
    </w:docPart>
    <w:docPart>
      <w:docPartPr>
        <w:name w:val="FB399EEBEA969C4D87688ACCBA95698C"/>
        <w:category>
          <w:name w:val="General"/>
          <w:gallery w:val="placeholder"/>
        </w:category>
        <w:types>
          <w:type w:val="bbPlcHdr"/>
        </w:types>
        <w:behaviors>
          <w:behavior w:val="content"/>
        </w:behaviors>
        <w:guid w:val="{07CBD329-5CBE-0E43-B03C-1711F5E36670}"/>
      </w:docPartPr>
      <w:docPartBody>
        <w:p w:rsidR="006C30C6" w:rsidRDefault="000E4F87" w:rsidP="000E4F87">
          <w:pPr>
            <w:pStyle w:val="FB399EEBEA969C4D87688ACCBA95698C"/>
          </w:pPr>
          <w:r w:rsidRPr="00BD549D">
            <w:rPr>
              <w:rStyle w:val="PlaceholderText"/>
            </w:rPr>
            <w:t>Click or tap here to enter text.</w:t>
          </w:r>
        </w:p>
      </w:docPartBody>
    </w:docPart>
    <w:docPart>
      <w:docPartPr>
        <w:name w:val="2201A04363341444A882A6E87E89B173"/>
        <w:category>
          <w:name w:val="General"/>
          <w:gallery w:val="placeholder"/>
        </w:category>
        <w:types>
          <w:type w:val="bbPlcHdr"/>
        </w:types>
        <w:behaviors>
          <w:behavior w:val="content"/>
        </w:behaviors>
        <w:guid w:val="{1FE69519-E5D8-A347-BAB1-5BB2FDAD5789}"/>
      </w:docPartPr>
      <w:docPartBody>
        <w:p w:rsidR="006C30C6" w:rsidRDefault="000E4F87" w:rsidP="000E4F87">
          <w:pPr>
            <w:pStyle w:val="2201A04363341444A882A6E87E89B173"/>
          </w:pPr>
          <w:r w:rsidRPr="00BD549D">
            <w:rPr>
              <w:rStyle w:val="PlaceholderText"/>
            </w:rPr>
            <w:t>Click or tap here to enter text.</w:t>
          </w:r>
        </w:p>
      </w:docPartBody>
    </w:docPart>
    <w:docPart>
      <w:docPartPr>
        <w:name w:val="ACB7ACA57DEFB349B05A248E36802104"/>
        <w:category>
          <w:name w:val="General"/>
          <w:gallery w:val="placeholder"/>
        </w:category>
        <w:types>
          <w:type w:val="bbPlcHdr"/>
        </w:types>
        <w:behaviors>
          <w:behavior w:val="content"/>
        </w:behaviors>
        <w:guid w:val="{EBEB02E6-21BA-5A4B-9F23-472F554C19AC}"/>
      </w:docPartPr>
      <w:docPartBody>
        <w:p w:rsidR="006C30C6" w:rsidRDefault="000E4F87" w:rsidP="000E4F87">
          <w:pPr>
            <w:pStyle w:val="ACB7ACA57DEFB349B05A248E36802104"/>
          </w:pPr>
          <w:r w:rsidRPr="00BD549D">
            <w:rPr>
              <w:rStyle w:val="PlaceholderText"/>
            </w:rPr>
            <w:t>Click or tap here to enter text.</w:t>
          </w:r>
        </w:p>
      </w:docPartBody>
    </w:docPart>
    <w:docPart>
      <w:docPartPr>
        <w:name w:val="3297FC7EEEA6814DAFBB0F5C0E86EC4C"/>
        <w:category>
          <w:name w:val="General"/>
          <w:gallery w:val="placeholder"/>
        </w:category>
        <w:types>
          <w:type w:val="bbPlcHdr"/>
        </w:types>
        <w:behaviors>
          <w:behavior w:val="content"/>
        </w:behaviors>
        <w:guid w:val="{E4C14032-C79F-6248-8ADB-09B67A682882}"/>
      </w:docPartPr>
      <w:docPartBody>
        <w:p w:rsidR="006C30C6" w:rsidRDefault="000E4F87" w:rsidP="000E4F87">
          <w:pPr>
            <w:pStyle w:val="3297FC7EEEA6814DAFBB0F5C0E86EC4C"/>
          </w:pPr>
          <w:r w:rsidRPr="00BD549D">
            <w:rPr>
              <w:rStyle w:val="PlaceholderText"/>
            </w:rPr>
            <w:t>Click or tap here to enter text.</w:t>
          </w:r>
        </w:p>
      </w:docPartBody>
    </w:docPart>
    <w:docPart>
      <w:docPartPr>
        <w:name w:val="07E01DAC870F2F4189B8775F7DA8A97C"/>
        <w:category>
          <w:name w:val="General"/>
          <w:gallery w:val="placeholder"/>
        </w:category>
        <w:types>
          <w:type w:val="bbPlcHdr"/>
        </w:types>
        <w:behaviors>
          <w:behavior w:val="content"/>
        </w:behaviors>
        <w:guid w:val="{20251419-C615-0042-8D21-E51DC3088C57}"/>
      </w:docPartPr>
      <w:docPartBody>
        <w:p w:rsidR="006C30C6" w:rsidRDefault="000E4F87" w:rsidP="000E4F87">
          <w:pPr>
            <w:pStyle w:val="07E01DAC870F2F4189B8775F7DA8A97C"/>
          </w:pPr>
          <w:r w:rsidRPr="00BD549D">
            <w:rPr>
              <w:rStyle w:val="PlaceholderText"/>
            </w:rPr>
            <w:t>Click or tap here to enter text.</w:t>
          </w:r>
        </w:p>
      </w:docPartBody>
    </w:docPart>
    <w:docPart>
      <w:docPartPr>
        <w:name w:val="34B11B1CEB41A94B92E14BCCC6C927E4"/>
        <w:category>
          <w:name w:val="General"/>
          <w:gallery w:val="placeholder"/>
        </w:category>
        <w:types>
          <w:type w:val="bbPlcHdr"/>
        </w:types>
        <w:behaviors>
          <w:behavior w:val="content"/>
        </w:behaviors>
        <w:guid w:val="{E924D90E-45C9-9A46-BDDE-83A88F4301E3}"/>
      </w:docPartPr>
      <w:docPartBody>
        <w:p w:rsidR="006C30C6" w:rsidRDefault="000E4F87" w:rsidP="000E4F87">
          <w:pPr>
            <w:pStyle w:val="34B11B1CEB41A94B92E14BCCC6C927E4"/>
          </w:pPr>
          <w:r w:rsidRPr="00BD549D">
            <w:rPr>
              <w:rStyle w:val="PlaceholderText"/>
            </w:rPr>
            <w:t>Click or tap here to enter text.</w:t>
          </w:r>
        </w:p>
      </w:docPartBody>
    </w:docPart>
    <w:docPart>
      <w:docPartPr>
        <w:name w:val="DAF70422925D4C4CAC7FA7774705C40B"/>
        <w:category>
          <w:name w:val="General"/>
          <w:gallery w:val="placeholder"/>
        </w:category>
        <w:types>
          <w:type w:val="bbPlcHdr"/>
        </w:types>
        <w:behaviors>
          <w:behavior w:val="content"/>
        </w:behaviors>
        <w:guid w:val="{B90492D1-94CF-0242-8E96-FE55E5E1E012}"/>
      </w:docPartPr>
      <w:docPartBody>
        <w:p w:rsidR="006C30C6" w:rsidRDefault="000E4F87" w:rsidP="000E4F87">
          <w:pPr>
            <w:pStyle w:val="DAF70422925D4C4CAC7FA7774705C40B"/>
          </w:pPr>
          <w:r w:rsidRPr="00BD549D">
            <w:rPr>
              <w:rStyle w:val="PlaceholderText"/>
            </w:rPr>
            <w:t>Click or tap here to enter text.</w:t>
          </w:r>
        </w:p>
      </w:docPartBody>
    </w:docPart>
    <w:docPart>
      <w:docPartPr>
        <w:name w:val="CE89392810887C43A0EB5EE8D0B94876"/>
        <w:category>
          <w:name w:val="General"/>
          <w:gallery w:val="placeholder"/>
        </w:category>
        <w:types>
          <w:type w:val="bbPlcHdr"/>
        </w:types>
        <w:behaviors>
          <w:behavior w:val="content"/>
        </w:behaviors>
        <w:guid w:val="{48FD8DD8-6D96-B549-BE6D-AA222565F5AC}"/>
      </w:docPartPr>
      <w:docPartBody>
        <w:p w:rsidR="006C30C6" w:rsidRDefault="000E4F87" w:rsidP="000E4F87">
          <w:pPr>
            <w:pStyle w:val="CE89392810887C43A0EB5EE8D0B94876"/>
          </w:pPr>
          <w:r w:rsidRPr="00BD549D">
            <w:rPr>
              <w:rStyle w:val="PlaceholderText"/>
            </w:rPr>
            <w:t>Click or tap here to enter text.</w:t>
          </w:r>
        </w:p>
      </w:docPartBody>
    </w:docPart>
    <w:docPart>
      <w:docPartPr>
        <w:name w:val="FFC191C84F8BE64495D655B4ED420BB1"/>
        <w:category>
          <w:name w:val="General"/>
          <w:gallery w:val="placeholder"/>
        </w:category>
        <w:types>
          <w:type w:val="bbPlcHdr"/>
        </w:types>
        <w:behaviors>
          <w:behavior w:val="content"/>
        </w:behaviors>
        <w:guid w:val="{EC26A01A-34BF-E84C-99C4-9AE36DB07134}"/>
      </w:docPartPr>
      <w:docPartBody>
        <w:p w:rsidR="006C30C6" w:rsidRDefault="000E4F87" w:rsidP="000E4F87">
          <w:pPr>
            <w:pStyle w:val="FFC191C84F8BE64495D655B4ED420BB1"/>
          </w:pPr>
          <w:r w:rsidRPr="00703A2C">
            <w:rPr>
              <w:rStyle w:val="PlaceholderText"/>
            </w:rPr>
            <w:t>Click or tap here to enter text.</w:t>
          </w:r>
        </w:p>
      </w:docPartBody>
    </w:docPart>
    <w:docPart>
      <w:docPartPr>
        <w:name w:val="A5CABDD4AB83FD4FA228562225CB38E9"/>
        <w:category>
          <w:name w:val="General"/>
          <w:gallery w:val="placeholder"/>
        </w:category>
        <w:types>
          <w:type w:val="bbPlcHdr"/>
        </w:types>
        <w:behaviors>
          <w:behavior w:val="content"/>
        </w:behaviors>
        <w:guid w:val="{4B639AE0-A4D0-AD4D-9E08-C7A104E14557}"/>
      </w:docPartPr>
      <w:docPartBody>
        <w:p w:rsidR="006C30C6" w:rsidRDefault="000E4F87" w:rsidP="000E4F87">
          <w:pPr>
            <w:pStyle w:val="A5CABDD4AB83FD4FA228562225CB38E9"/>
          </w:pPr>
          <w:r w:rsidRPr="00703A2C">
            <w:rPr>
              <w:rStyle w:val="PlaceholderText"/>
            </w:rPr>
            <w:t>Click or tap here to enter text.</w:t>
          </w:r>
        </w:p>
      </w:docPartBody>
    </w:docPart>
    <w:docPart>
      <w:docPartPr>
        <w:name w:val="C8F1FA07DD61B3468C6D9DBDAFA12577"/>
        <w:category>
          <w:name w:val="General"/>
          <w:gallery w:val="placeholder"/>
        </w:category>
        <w:types>
          <w:type w:val="bbPlcHdr"/>
        </w:types>
        <w:behaviors>
          <w:behavior w:val="content"/>
        </w:behaviors>
        <w:guid w:val="{A7373BA3-ADC4-D64B-9AEC-7724F658DCE7}"/>
      </w:docPartPr>
      <w:docPartBody>
        <w:p w:rsidR="006C30C6" w:rsidRDefault="000E4F87" w:rsidP="000E4F87">
          <w:pPr>
            <w:pStyle w:val="C8F1FA07DD61B3468C6D9DBDAFA12577"/>
          </w:pPr>
          <w:r w:rsidRPr="00703A2C">
            <w:rPr>
              <w:rStyle w:val="PlaceholderText"/>
            </w:rPr>
            <w:t>Click or tap here to enter text.</w:t>
          </w:r>
        </w:p>
      </w:docPartBody>
    </w:docPart>
    <w:docPart>
      <w:docPartPr>
        <w:name w:val="307B75479AB4534E918D97548F3786C7"/>
        <w:category>
          <w:name w:val="General"/>
          <w:gallery w:val="placeholder"/>
        </w:category>
        <w:types>
          <w:type w:val="bbPlcHdr"/>
        </w:types>
        <w:behaviors>
          <w:behavior w:val="content"/>
        </w:behaviors>
        <w:guid w:val="{6D9D1E9A-74C6-B245-9F4F-42064CB57E33}"/>
      </w:docPartPr>
      <w:docPartBody>
        <w:p w:rsidR="006C30C6" w:rsidRDefault="000E4F87" w:rsidP="000E4F87">
          <w:pPr>
            <w:pStyle w:val="307B75479AB4534E918D97548F3786C7"/>
          </w:pPr>
          <w:r w:rsidRPr="007E2DA6">
            <w:rPr>
              <w:rStyle w:val="PlaceholderText"/>
            </w:rPr>
            <w:t>Click or tap here to enter text.</w:t>
          </w:r>
        </w:p>
      </w:docPartBody>
    </w:docPart>
    <w:docPart>
      <w:docPartPr>
        <w:name w:val="4F2067BB62ECBC4A8797CB7F7347792D"/>
        <w:category>
          <w:name w:val="General"/>
          <w:gallery w:val="placeholder"/>
        </w:category>
        <w:types>
          <w:type w:val="bbPlcHdr"/>
        </w:types>
        <w:behaviors>
          <w:behavior w:val="content"/>
        </w:behaviors>
        <w:guid w:val="{43D3CD78-2898-6540-9E3E-0FB38EB2217D}"/>
      </w:docPartPr>
      <w:docPartBody>
        <w:p w:rsidR="006C30C6" w:rsidRDefault="000E4F87" w:rsidP="000E4F87">
          <w:pPr>
            <w:pStyle w:val="4F2067BB62ECBC4A8797CB7F7347792D"/>
          </w:pPr>
          <w:r w:rsidRPr="00703A2C">
            <w:rPr>
              <w:rStyle w:val="PlaceholderText"/>
            </w:rPr>
            <w:t>Click or tap here to enter text.</w:t>
          </w:r>
        </w:p>
      </w:docPartBody>
    </w:docPart>
    <w:docPart>
      <w:docPartPr>
        <w:name w:val="AF8BB1A07945694EAFC0C10E8A88E2DA"/>
        <w:category>
          <w:name w:val="General"/>
          <w:gallery w:val="placeholder"/>
        </w:category>
        <w:types>
          <w:type w:val="bbPlcHdr"/>
        </w:types>
        <w:behaviors>
          <w:behavior w:val="content"/>
        </w:behaviors>
        <w:guid w:val="{B61D3A15-C375-8644-AE27-728594B71B2D}"/>
      </w:docPartPr>
      <w:docPartBody>
        <w:p w:rsidR="006C30C6" w:rsidRDefault="000E4F87" w:rsidP="000E4F87">
          <w:pPr>
            <w:pStyle w:val="AF8BB1A07945694EAFC0C10E8A88E2DA"/>
          </w:pPr>
          <w:r w:rsidRPr="00D524D2">
            <w:rPr>
              <w:rStyle w:val="PlaceholderText"/>
            </w:rPr>
            <w:t>Click or tap here to enter text.</w:t>
          </w:r>
        </w:p>
      </w:docPartBody>
    </w:docPart>
    <w:docPart>
      <w:docPartPr>
        <w:name w:val="A3025DF10D57274AAF3E0F3AE1CCEE16"/>
        <w:category>
          <w:name w:val="General"/>
          <w:gallery w:val="placeholder"/>
        </w:category>
        <w:types>
          <w:type w:val="bbPlcHdr"/>
        </w:types>
        <w:behaviors>
          <w:behavior w:val="content"/>
        </w:behaviors>
        <w:guid w:val="{EF9CC65C-2420-2D4C-B428-D4F00A6305D4}"/>
      </w:docPartPr>
      <w:docPartBody>
        <w:p w:rsidR="006C30C6" w:rsidRDefault="000E4F87" w:rsidP="000E4F87">
          <w:pPr>
            <w:pStyle w:val="A3025DF10D57274AAF3E0F3AE1CCEE16"/>
          </w:pPr>
          <w:r w:rsidRPr="007E2DA6">
            <w:rPr>
              <w:rStyle w:val="PlaceholderText"/>
            </w:rPr>
            <w:t>Click or tap here to enter text.</w:t>
          </w:r>
        </w:p>
      </w:docPartBody>
    </w:docPart>
    <w:docPart>
      <w:docPartPr>
        <w:name w:val="9A78E2370E34A2409A4DE53285D1DACC"/>
        <w:category>
          <w:name w:val="General"/>
          <w:gallery w:val="placeholder"/>
        </w:category>
        <w:types>
          <w:type w:val="bbPlcHdr"/>
        </w:types>
        <w:behaviors>
          <w:behavior w:val="content"/>
        </w:behaviors>
        <w:guid w:val="{FC252433-48B2-D44F-BCCB-BED56816B339}"/>
      </w:docPartPr>
      <w:docPartBody>
        <w:p w:rsidR="006C30C6" w:rsidRDefault="000E4F87" w:rsidP="000E4F87">
          <w:pPr>
            <w:pStyle w:val="9A78E2370E34A2409A4DE53285D1DACC"/>
          </w:pPr>
          <w:r w:rsidRPr="000F057A">
            <w:rPr>
              <w:rStyle w:val="PlaceholderText"/>
            </w:rPr>
            <w:t>Click or tap here to enter text.</w:t>
          </w:r>
        </w:p>
      </w:docPartBody>
    </w:docPart>
    <w:docPart>
      <w:docPartPr>
        <w:name w:val="969BE17370D6F14194E47C44A55D2C3B"/>
        <w:category>
          <w:name w:val="General"/>
          <w:gallery w:val="placeholder"/>
        </w:category>
        <w:types>
          <w:type w:val="bbPlcHdr"/>
        </w:types>
        <w:behaviors>
          <w:behavior w:val="content"/>
        </w:behaviors>
        <w:guid w:val="{7CA65CFC-A5A4-4C48-91B9-817A2CD486ED}"/>
      </w:docPartPr>
      <w:docPartBody>
        <w:p w:rsidR="006C30C6" w:rsidRDefault="000E4F87" w:rsidP="000E4F87">
          <w:pPr>
            <w:pStyle w:val="969BE17370D6F14194E47C44A55D2C3B"/>
          </w:pPr>
          <w:r w:rsidRPr="00D97A2F">
            <w:rPr>
              <w:rStyle w:val="PlaceholderText"/>
            </w:rPr>
            <w:t>Click or tap here to enter text.</w:t>
          </w:r>
        </w:p>
      </w:docPartBody>
    </w:docPart>
    <w:docPart>
      <w:docPartPr>
        <w:name w:val="09FCF8C24FBE8A49864069FAF7FC7D91"/>
        <w:category>
          <w:name w:val="General"/>
          <w:gallery w:val="placeholder"/>
        </w:category>
        <w:types>
          <w:type w:val="bbPlcHdr"/>
        </w:types>
        <w:behaviors>
          <w:behavior w:val="content"/>
        </w:behaviors>
        <w:guid w:val="{3E4918F3-93B5-E84A-A15C-1E601AE952F4}"/>
      </w:docPartPr>
      <w:docPartBody>
        <w:p w:rsidR="006C30C6" w:rsidRDefault="000E4F87" w:rsidP="000E4F87">
          <w:pPr>
            <w:pStyle w:val="09FCF8C24FBE8A49864069FAF7FC7D91"/>
          </w:pPr>
          <w:r w:rsidRPr="00BD549D">
            <w:rPr>
              <w:rStyle w:val="PlaceholderText"/>
            </w:rPr>
            <w:t>Click or tap here to enter text.</w:t>
          </w:r>
        </w:p>
      </w:docPartBody>
    </w:docPart>
    <w:docPart>
      <w:docPartPr>
        <w:name w:val="9E2AD82F90C98945841E1F77570B0B74"/>
        <w:category>
          <w:name w:val="General"/>
          <w:gallery w:val="placeholder"/>
        </w:category>
        <w:types>
          <w:type w:val="bbPlcHdr"/>
        </w:types>
        <w:behaviors>
          <w:behavior w:val="content"/>
        </w:behaviors>
        <w:guid w:val="{DD2B210E-1928-2A47-B600-7C5C9063C0D8}"/>
      </w:docPartPr>
      <w:docPartBody>
        <w:p w:rsidR="006C30C6" w:rsidRDefault="000E4F87" w:rsidP="000E4F87">
          <w:pPr>
            <w:pStyle w:val="9E2AD82F90C98945841E1F77570B0B74"/>
          </w:pPr>
          <w:r w:rsidRPr="00BD549D">
            <w:rPr>
              <w:rStyle w:val="PlaceholderText"/>
            </w:rPr>
            <w:t>Click or tap here to enter text.</w:t>
          </w:r>
        </w:p>
      </w:docPartBody>
    </w:docPart>
    <w:docPart>
      <w:docPartPr>
        <w:name w:val="ABF7951694535343AFF09B6323D27699"/>
        <w:category>
          <w:name w:val="General"/>
          <w:gallery w:val="placeholder"/>
        </w:category>
        <w:types>
          <w:type w:val="bbPlcHdr"/>
        </w:types>
        <w:behaviors>
          <w:behavior w:val="content"/>
        </w:behaviors>
        <w:guid w:val="{8F4C5069-94AC-AF46-A33E-9F44B6448627}"/>
      </w:docPartPr>
      <w:docPartBody>
        <w:p w:rsidR="006C30C6" w:rsidRDefault="000E4F87" w:rsidP="000E4F87">
          <w:pPr>
            <w:pStyle w:val="ABF7951694535343AFF09B6323D27699"/>
          </w:pPr>
          <w:r w:rsidRPr="00BD549D">
            <w:rPr>
              <w:rStyle w:val="PlaceholderText"/>
            </w:rPr>
            <w:t>Click or tap here to enter text.</w:t>
          </w:r>
        </w:p>
      </w:docPartBody>
    </w:docPart>
    <w:docPart>
      <w:docPartPr>
        <w:name w:val="BB7DDE6702EF03409D4F99D8529D7EC4"/>
        <w:category>
          <w:name w:val="General"/>
          <w:gallery w:val="placeholder"/>
        </w:category>
        <w:types>
          <w:type w:val="bbPlcHdr"/>
        </w:types>
        <w:behaviors>
          <w:behavior w:val="content"/>
        </w:behaviors>
        <w:guid w:val="{2446F8DA-91E5-6F49-A49D-28FD3AFA6381}"/>
      </w:docPartPr>
      <w:docPartBody>
        <w:p w:rsidR="006C30C6" w:rsidRDefault="000E4F87" w:rsidP="000E4F87">
          <w:pPr>
            <w:pStyle w:val="BB7DDE6702EF03409D4F99D8529D7EC4"/>
          </w:pPr>
          <w:r w:rsidRPr="00BD549D">
            <w:rPr>
              <w:rStyle w:val="PlaceholderText"/>
            </w:rPr>
            <w:t>Click or tap here to enter text.</w:t>
          </w:r>
        </w:p>
      </w:docPartBody>
    </w:docPart>
    <w:docPart>
      <w:docPartPr>
        <w:name w:val="D6F435F00B0DE44DA99388238EDA49D8"/>
        <w:category>
          <w:name w:val="General"/>
          <w:gallery w:val="placeholder"/>
        </w:category>
        <w:types>
          <w:type w:val="bbPlcHdr"/>
        </w:types>
        <w:behaviors>
          <w:behavior w:val="content"/>
        </w:behaviors>
        <w:guid w:val="{D41484FA-D532-2D46-BD72-D99A7885AB1F}"/>
      </w:docPartPr>
      <w:docPartBody>
        <w:p w:rsidR="006C30C6" w:rsidRDefault="000E4F87" w:rsidP="000E4F87">
          <w:pPr>
            <w:pStyle w:val="D6F435F00B0DE44DA99388238EDA49D8"/>
          </w:pPr>
          <w:r w:rsidRPr="00BD549D">
            <w:rPr>
              <w:rStyle w:val="PlaceholderText"/>
            </w:rPr>
            <w:t>Click or tap here to enter text.</w:t>
          </w:r>
        </w:p>
      </w:docPartBody>
    </w:docPart>
    <w:docPart>
      <w:docPartPr>
        <w:name w:val="0D684B554825BE4E832D7B1898B6C3A2"/>
        <w:category>
          <w:name w:val="General"/>
          <w:gallery w:val="placeholder"/>
        </w:category>
        <w:types>
          <w:type w:val="bbPlcHdr"/>
        </w:types>
        <w:behaviors>
          <w:behavior w:val="content"/>
        </w:behaviors>
        <w:guid w:val="{58C9AA60-FC2C-1F43-B653-13A2BD25192D}"/>
      </w:docPartPr>
      <w:docPartBody>
        <w:p w:rsidR="006C30C6" w:rsidRDefault="000E4F87" w:rsidP="000E4F87">
          <w:pPr>
            <w:pStyle w:val="0D684B554825BE4E832D7B1898B6C3A2"/>
          </w:pPr>
          <w:r w:rsidRPr="00BD549D">
            <w:rPr>
              <w:rStyle w:val="PlaceholderText"/>
            </w:rPr>
            <w:t>Click or tap here to enter text.</w:t>
          </w:r>
        </w:p>
      </w:docPartBody>
    </w:docPart>
    <w:docPart>
      <w:docPartPr>
        <w:name w:val="4B4A7B45557A6646A4EFDFEE2B6B1E26"/>
        <w:category>
          <w:name w:val="General"/>
          <w:gallery w:val="placeholder"/>
        </w:category>
        <w:types>
          <w:type w:val="bbPlcHdr"/>
        </w:types>
        <w:behaviors>
          <w:behavior w:val="content"/>
        </w:behaviors>
        <w:guid w:val="{68904865-29DD-E648-A85A-50B8FADF7608}"/>
      </w:docPartPr>
      <w:docPartBody>
        <w:p w:rsidR="006C30C6" w:rsidRDefault="000E4F87" w:rsidP="000E4F87">
          <w:pPr>
            <w:pStyle w:val="4B4A7B45557A6646A4EFDFEE2B6B1E26"/>
          </w:pPr>
          <w:r w:rsidRPr="00BD549D">
            <w:rPr>
              <w:rStyle w:val="PlaceholderText"/>
            </w:rPr>
            <w:t>Click or tap here to enter text.</w:t>
          </w:r>
        </w:p>
      </w:docPartBody>
    </w:docPart>
    <w:docPart>
      <w:docPartPr>
        <w:name w:val="3CA71E10BD7AB847967889232EA94205"/>
        <w:category>
          <w:name w:val="General"/>
          <w:gallery w:val="placeholder"/>
        </w:category>
        <w:types>
          <w:type w:val="bbPlcHdr"/>
        </w:types>
        <w:behaviors>
          <w:behavior w:val="content"/>
        </w:behaviors>
        <w:guid w:val="{C3B05E04-6FD9-D546-A032-9010B9DE8E5D}"/>
      </w:docPartPr>
      <w:docPartBody>
        <w:p w:rsidR="006C30C6" w:rsidRDefault="000E4F87" w:rsidP="000E4F87">
          <w:pPr>
            <w:pStyle w:val="3CA71E10BD7AB847967889232EA94205"/>
          </w:pPr>
          <w:r w:rsidRPr="00BD549D">
            <w:rPr>
              <w:rStyle w:val="PlaceholderText"/>
            </w:rPr>
            <w:t>Click or tap here to enter text.</w:t>
          </w:r>
        </w:p>
      </w:docPartBody>
    </w:docPart>
    <w:docPart>
      <w:docPartPr>
        <w:name w:val="BBC5259182A8074FAD78BFA079ADF02B"/>
        <w:category>
          <w:name w:val="General"/>
          <w:gallery w:val="placeholder"/>
        </w:category>
        <w:types>
          <w:type w:val="bbPlcHdr"/>
        </w:types>
        <w:behaviors>
          <w:behavior w:val="content"/>
        </w:behaviors>
        <w:guid w:val="{45AB2FC7-8E03-1B48-AD7E-4EF2F477E159}"/>
      </w:docPartPr>
      <w:docPartBody>
        <w:p w:rsidR="006C30C6" w:rsidRDefault="000E4F87" w:rsidP="000E4F87">
          <w:pPr>
            <w:pStyle w:val="BBC5259182A8074FAD78BFA079ADF02B"/>
          </w:pPr>
          <w:r w:rsidRPr="00BD549D">
            <w:rPr>
              <w:rStyle w:val="PlaceholderText"/>
            </w:rPr>
            <w:t>Click or tap here to enter text.</w:t>
          </w:r>
        </w:p>
      </w:docPartBody>
    </w:docPart>
    <w:docPart>
      <w:docPartPr>
        <w:name w:val="3B16E32CD488CE4CA62F59A71A63EAC7"/>
        <w:category>
          <w:name w:val="General"/>
          <w:gallery w:val="placeholder"/>
        </w:category>
        <w:types>
          <w:type w:val="bbPlcHdr"/>
        </w:types>
        <w:behaviors>
          <w:behavior w:val="content"/>
        </w:behaviors>
        <w:guid w:val="{F50E5328-4878-8F46-AAB1-C3700D827861}"/>
      </w:docPartPr>
      <w:docPartBody>
        <w:p w:rsidR="006C30C6" w:rsidRDefault="000E4F87" w:rsidP="000E4F87">
          <w:pPr>
            <w:pStyle w:val="3B16E32CD488CE4CA62F59A71A63EAC7"/>
          </w:pPr>
          <w:r w:rsidRPr="00BD549D">
            <w:rPr>
              <w:rStyle w:val="PlaceholderText"/>
            </w:rPr>
            <w:t>Click or tap here to enter text.</w:t>
          </w:r>
        </w:p>
      </w:docPartBody>
    </w:docPart>
    <w:docPart>
      <w:docPartPr>
        <w:name w:val="EC3705E68A697D42A756BF2C83C8692D"/>
        <w:category>
          <w:name w:val="General"/>
          <w:gallery w:val="placeholder"/>
        </w:category>
        <w:types>
          <w:type w:val="bbPlcHdr"/>
        </w:types>
        <w:behaviors>
          <w:behavior w:val="content"/>
        </w:behaviors>
        <w:guid w:val="{7420FF9E-D48B-CB42-B487-7C1485D1806B}"/>
      </w:docPartPr>
      <w:docPartBody>
        <w:p w:rsidR="006C30C6" w:rsidRDefault="000E4F87" w:rsidP="000E4F87">
          <w:pPr>
            <w:pStyle w:val="EC3705E68A697D42A756BF2C83C8692D"/>
          </w:pPr>
          <w:r w:rsidRPr="00BD549D">
            <w:rPr>
              <w:rStyle w:val="PlaceholderText"/>
            </w:rPr>
            <w:t>Click or tap here to enter text.</w:t>
          </w:r>
        </w:p>
      </w:docPartBody>
    </w:docPart>
    <w:docPart>
      <w:docPartPr>
        <w:name w:val="DBBA029B28AAF54FBBE95C436EAB753F"/>
        <w:category>
          <w:name w:val="General"/>
          <w:gallery w:val="placeholder"/>
        </w:category>
        <w:types>
          <w:type w:val="bbPlcHdr"/>
        </w:types>
        <w:behaviors>
          <w:behavior w:val="content"/>
        </w:behaviors>
        <w:guid w:val="{89040555-DF57-CC48-809A-79307F8D3D8C}"/>
      </w:docPartPr>
      <w:docPartBody>
        <w:p w:rsidR="006C30C6" w:rsidRDefault="000E4F87" w:rsidP="000E4F87">
          <w:pPr>
            <w:pStyle w:val="DBBA029B28AAF54FBBE95C436EAB753F"/>
          </w:pPr>
          <w:r w:rsidRPr="00BD549D">
            <w:rPr>
              <w:rStyle w:val="PlaceholderText"/>
            </w:rPr>
            <w:t>Click or tap here to enter text.</w:t>
          </w:r>
        </w:p>
      </w:docPartBody>
    </w:docPart>
    <w:docPart>
      <w:docPartPr>
        <w:name w:val="7C20D95494B80746A145E43D97B1AE50"/>
        <w:category>
          <w:name w:val="General"/>
          <w:gallery w:val="placeholder"/>
        </w:category>
        <w:types>
          <w:type w:val="bbPlcHdr"/>
        </w:types>
        <w:behaviors>
          <w:behavior w:val="content"/>
        </w:behaviors>
        <w:guid w:val="{5EA55197-D5BE-0648-8C31-A803A9DF3AED}"/>
      </w:docPartPr>
      <w:docPartBody>
        <w:p w:rsidR="006C30C6" w:rsidRDefault="000E4F87" w:rsidP="000E4F87">
          <w:pPr>
            <w:pStyle w:val="7C20D95494B80746A145E43D97B1AE50"/>
          </w:pPr>
          <w:r w:rsidRPr="007E2DA6">
            <w:rPr>
              <w:rStyle w:val="PlaceholderText"/>
            </w:rPr>
            <w:t>Click or tap here to enter text.</w:t>
          </w:r>
        </w:p>
      </w:docPartBody>
    </w:docPart>
    <w:docPart>
      <w:docPartPr>
        <w:name w:val="CE58DD48AEA495458651E01D6817A815"/>
        <w:category>
          <w:name w:val="General"/>
          <w:gallery w:val="placeholder"/>
        </w:category>
        <w:types>
          <w:type w:val="bbPlcHdr"/>
        </w:types>
        <w:behaviors>
          <w:behavior w:val="content"/>
        </w:behaviors>
        <w:guid w:val="{B9CDCECB-D8E0-A14C-85D8-711F18F23E87}"/>
      </w:docPartPr>
      <w:docPartBody>
        <w:p w:rsidR="006C30C6" w:rsidRDefault="000E4F87" w:rsidP="000E4F87">
          <w:pPr>
            <w:pStyle w:val="CE58DD48AEA495458651E01D6817A815"/>
          </w:pPr>
          <w:r w:rsidRPr="00BD549D">
            <w:rPr>
              <w:rStyle w:val="PlaceholderText"/>
            </w:rPr>
            <w:t>Click or tap here to enter text.</w:t>
          </w:r>
        </w:p>
      </w:docPartBody>
    </w:docPart>
    <w:docPart>
      <w:docPartPr>
        <w:name w:val="6913FFFCEF9B234FB36FB95CBEC66E6A"/>
        <w:category>
          <w:name w:val="General"/>
          <w:gallery w:val="placeholder"/>
        </w:category>
        <w:types>
          <w:type w:val="bbPlcHdr"/>
        </w:types>
        <w:behaviors>
          <w:behavior w:val="content"/>
        </w:behaviors>
        <w:guid w:val="{993BCABD-A503-0246-9918-B2DE762C89F4}"/>
      </w:docPartPr>
      <w:docPartBody>
        <w:p w:rsidR="006C30C6" w:rsidRDefault="000E4F87" w:rsidP="000E4F87">
          <w:pPr>
            <w:pStyle w:val="6913FFFCEF9B234FB36FB95CBEC66E6A"/>
          </w:pPr>
          <w:r w:rsidRPr="00BD549D">
            <w:rPr>
              <w:rStyle w:val="PlaceholderText"/>
            </w:rPr>
            <w:t>Click or tap here to enter text.</w:t>
          </w:r>
        </w:p>
      </w:docPartBody>
    </w:docPart>
    <w:docPart>
      <w:docPartPr>
        <w:name w:val="DefaultPlaceholder_-1854013440"/>
        <w:category>
          <w:name w:val="General"/>
          <w:gallery w:val="placeholder"/>
        </w:category>
        <w:types>
          <w:type w:val="bbPlcHdr"/>
        </w:types>
        <w:behaviors>
          <w:behavior w:val="content"/>
        </w:behaviors>
        <w:guid w:val="{C002C344-100A-5343-9E36-E01EAB6B16C2}"/>
      </w:docPartPr>
      <w:docPartBody>
        <w:p w:rsidR="00E01116" w:rsidRDefault="006C30C6">
          <w:r w:rsidRPr="00F452CE">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onsolas">
    <w:panose1 w:val="020B0609020204030204"/>
    <w:charset w:val="00"/>
    <w:family w:val="modern"/>
    <w:pitch w:val="fixed"/>
    <w:sig w:usb0="E10002FF" w:usb1="4000FCFF" w:usb2="00000009" w:usb3="00000000" w:csb0="0000019F" w:csb1="00000000"/>
  </w:font>
  <w:font w:name="Helvetica Neue">
    <w:panose1 w:val="02000503000000020004"/>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TUOS Blake">
    <w:altName w:val="Calibri"/>
    <w:panose1 w:val="020B0604020202020204"/>
    <w:charset w:val="00"/>
    <w:family w:val="swiss"/>
    <w:pitch w:val="variable"/>
    <w:sig w:usb0="8000002F" w:usb1="4000004A" w:usb2="00000000" w:usb3="00000000" w:csb0="00000011" w:csb1="00000000"/>
  </w:font>
  <w:font w:name="MS Mincho">
    <w:altName w:val="ＭＳ 明朝"/>
    <w:panose1 w:val="02020609040205080304"/>
    <w:charset w:val="80"/>
    <w:family w:val="modern"/>
    <w:pitch w:val="fixed"/>
    <w:sig w:usb0="E00002FF" w:usb1="6AC7FDFB" w:usb2="08000012" w:usb3="00000000" w:csb0="0002009F" w:csb1="00000000"/>
  </w:font>
  <w:font w:name="Songti SC">
    <w:panose1 w:val="02010600040101010101"/>
    <w:charset w:val="86"/>
    <w:family w:val="auto"/>
    <w:pitch w:val="variable"/>
    <w:sig w:usb0="00000287" w:usb1="080F0000" w:usb2="00000010" w:usb3="00000000" w:csb0="0004009F" w:csb1="00000000"/>
  </w:font>
  <w:font w:name="Verdana">
    <w:panose1 w:val="020B0604030504040204"/>
    <w:charset w:val="00"/>
    <w:family w:val="swiss"/>
    <w:pitch w:val="variable"/>
    <w:sig w:usb0="A10006FF" w:usb1="4000205B" w:usb2="00000010" w:usb3="00000000" w:csb0="0000019F" w:csb1="00000000"/>
  </w:font>
  <w:font w:name="Calibri (Body)">
    <w:altName w:val="Calibri"/>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4F87"/>
    <w:rsid w:val="000715F2"/>
    <w:rsid w:val="000763BD"/>
    <w:rsid w:val="000E4F87"/>
    <w:rsid w:val="00134D9E"/>
    <w:rsid w:val="003549C6"/>
    <w:rsid w:val="003A0304"/>
    <w:rsid w:val="003B6D18"/>
    <w:rsid w:val="003D2C42"/>
    <w:rsid w:val="003D371D"/>
    <w:rsid w:val="00543A1A"/>
    <w:rsid w:val="00561ED8"/>
    <w:rsid w:val="005813AD"/>
    <w:rsid w:val="005C4E08"/>
    <w:rsid w:val="005E65B6"/>
    <w:rsid w:val="00645355"/>
    <w:rsid w:val="006C30C6"/>
    <w:rsid w:val="007168AE"/>
    <w:rsid w:val="00716902"/>
    <w:rsid w:val="00783E35"/>
    <w:rsid w:val="007C362C"/>
    <w:rsid w:val="007F04C4"/>
    <w:rsid w:val="00811080"/>
    <w:rsid w:val="008A267F"/>
    <w:rsid w:val="009541D9"/>
    <w:rsid w:val="00A70162"/>
    <w:rsid w:val="00AA47BB"/>
    <w:rsid w:val="00AC11D9"/>
    <w:rsid w:val="00BB02EF"/>
    <w:rsid w:val="00BB6278"/>
    <w:rsid w:val="00C12D3B"/>
    <w:rsid w:val="00C6043A"/>
    <w:rsid w:val="00CE2312"/>
    <w:rsid w:val="00CF3BDB"/>
    <w:rsid w:val="00E01116"/>
    <w:rsid w:val="00E96175"/>
    <w:rsid w:val="00ED09BF"/>
    <w:rsid w:val="00EF55F0"/>
    <w:rsid w:val="00F070E1"/>
    <w:rsid w:val="00F51EBD"/>
  </w:rsids>
  <m:mathPr>
    <m:mathFont m:val="Cambria Math"/>
    <m:brkBin m:val="before"/>
    <m:brkBinSub m:val="--"/>
    <m:smallFrac m:val="0"/>
    <m:dispDef/>
    <m:lMargin m:val="0"/>
    <m:rMargin m:val="0"/>
    <m:defJc m:val="centerGroup"/>
    <m:wrapIndent m:val="1440"/>
    <m:intLim m:val="subSup"/>
    <m:naryLim m:val="undOvr"/>
  </m:mathPr>
  <w:themeFontLang w:val="en-SA"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S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C30C6"/>
    <w:rPr>
      <w:color w:val="808080"/>
    </w:rPr>
  </w:style>
  <w:style w:type="paragraph" w:customStyle="1" w:styleId="C796E44BA29C7B49B74F3F722913E754">
    <w:name w:val="C796E44BA29C7B49B74F3F722913E754"/>
    <w:rsid w:val="000E4F87"/>
  </w:style>
  <w:style w:type="paragraph" w:customStyle="1" w:styleId="4126063EBB940943BEF59DC61F8B67B4">
    <w:name w:val="4126063EBB940943BEF59DC61F8B67B4"/>
    <w:rsid w:val="000E4F87"/>
  </w:style>
  <w:style w:type="paragraph" w:customStyle="1" w:styleId="569D9F6B4E83544288B201F5A2ED5F5B">
    <w:name w:val="569D9F6B4E83544288B201F5A2ED5F5B"/>
    <w:rsid w:val="000E4F87"/>
  </w:style>
  <w:style w:type="paragraph" w:customStyle="1" w:styleId="C1CA37D6761FC44FBB81052F54D3D068">
    <w:name w:val="C1CA37D6761FC44FBB81052F54D3D068"/>
    <w:rsid w:val="000E4F87"/>
  </w:style>
  <w:style w:type="paragraph" w:customStyle="1" w:styleId="EDF00199ED3DE84983CDB902C1A3FE86">
    <w:name w:val="EDF00199ED3DE84983CDB902C1A3FE86"/>
    <w:rsid w:val="000E4F87"/>
  </w:style>
  <w:style w:type="paragraph" w:customStyle="1" w:styleId="EE63A944E9482A4DAA8401AD4C8371B0">
    <w:name w:val="EE63A944E9482A4DAA8401AD4C8371B0"/>
    <w:rsid w:val="000E4F87"/>
  </w:style>
  <w:style w:type="paragraph" w:customStyle="1" w:styleId="FEDCDA593145B84097642108EC01EC32">
    <w:name w:val="FEDCDA593145B84097642108EC01EC32"/>
    <w:rsid w:val="000E4F87"/>
  </w:style>
  <w:style w:type="paragraph" w:customStyle="1" w:styleId="2336C5BAAA00F349BA5C469348C8DA86">
    <w:name w:val="2336C5BAAA00F349BA5C469348C8DA86"/>
    <w:rsid w:val="000E4F87"/>
  </w:style>
  <w:style w:type="paragraph" w:customStyle="1" w:styleId="BECB124B9D8DDA428135D83EC83D8FBE">
    <w:name w:val="BECB124B9D8DDA428135D83EC83D8FBE"/>
    <w:rsid w:val="000E4F87"/>
  </w:style>
  <w:style w:type="paragraph" w:customStyle="1" w:styleId="2B016912BA50C34991453B78394EA061">
    <w:name w:val="2B016912BA50C34991453B78394EA061"/>
    <w:rsid w:val="000E4F87"/>
  </w:style>
  <w:style w:type="paragraph" w:customStyle="1" w:styleId="9E5EC8349729D44EA280977D726B70C8">
    <w:name w:val="9E5EC8349729D44EA280977D726B70C8"/>
    <w:rsid w:val="000E4F87"/>
  </w:style>
  <w:style w:type="paragraph" w:customStyle="1" w:styleId="EB4DF83074D7D1438FD831B7D71D5FFB">
    <w:name w:val="EB4DF83074D7D1438FD831B7D71D5FFB"/>
    <w:rsid w:val="000E4F87"/>
  </w:style>
  <w:style w:type="paragraph" w:customStyle="1" w:styleId="D0E9EB3ABB69904BA168C72EFAEB1088">
    <w:name w:val="D0E9EB3ABB69904BA168C72EFAEB1088"/>
    <w:rsid w:val="000E4F87"/>
  </w:style>
  <w:style w:type="paragraph" w:customStyle="1" w:styleId="8F9960138C56C54F99D874F541DCD100">
    <w:name w:val="8F9960138C56C54F99D874F541DCD100"/>
    <w:rsid w:val="000E4F87"/>
  </w:style>
  <w:style w:type="paragraph" w:customStyle="1" w:styleId="C91AE799F54C8743AA8ABFD78D7B799E">
    <w:name w:val="C91AE799F54C8743AA8ABFD78D7B799E"/>
    <w:rsid w:val="000E4F87"/>
  </w:style>
  <w:style w:type="paragraph" w:customStyle="1" w:styleId="FC2A71D7DF48DC4B8B5CB3D1B48A75E4">
    <w:name w:val="FC2A71D7DF48DC4B8B5CB3D1B48A75E4"/>
    <w:rsid w:val="000E4F87"/>
  </w:style>
  <w:style w:type="paragraph" w:customStyle="1" w:styleId="9186FB220E2CBA4085DAFAE249A527DA">
    <w:name w:val="9186FB220E2CBA4085DAFAE249A527DA"/>
    <w:rsid w:val="000E4F87"/>
  </w:style>
  <w:style w:type="paragraph" w:customStyle="1" w:styleId="185A0AA08B335149967943A340547BFE">
    <w:name w:val="185A0AA08B335149967943A340547BFE"/>
    <w:rsid w:val="000E4F87"/>
  </w:style>
  <w:style w:type="paragraph" w:customStyle="1" w:styleId="26D08E5E26933F4BBF4B3CCDA70A1467">
    <w:name w:val="26D08E5E26933F4BBF4B3CCDA70A1467"/>
    <w:rsid w:val="000E4F87"/>
  </w:style>
  <w:style w:type="paragraph" w:customStyle="1" w:styleId="19A5059A28CBBF4EB21E5264B845CBB5">
    <w:name w:val="19A5059A28CBBF4EB21E5264B845CBB5"/>
    <w:rsid w:val="000E4F87"/>
  </w:style>
  <w:style w:type="paragraph" w:customStyle="1" w:styleId="E3FDB0639C6CD243B47E4FC1E0F3A242">
    <w:name w:val="E3FDB0639C6CD243B47E4FC1E0F3A242"/>
    <w:rsid w:val="000E4F87"/>
  </w:style>
  <w:style w:type="paragraph" w:customStyle="1" w:styleId="CD7C99E1FE0F5949B7E50D6C8ECA1418">
    <w:name w:val="CD7C99E1FE0F5949B7E50D6C8ECA1418"/>
    <w:rsid w:val="000E4F87"/>
  </w:style>
  <w:style w:type="paragraph" w:customStyle="1" w:styleId="A11495A64A425A45A172D4FF70F4F839">
    <w:name w:val="A11495A64A425A45A172D4FF70F4F839"/>
    <w:rsid w:val="000E4F87"/>
  </w:style>
  <w:style w:type="paragraph" w:customStyle="1" w:styleId="A259CD50E62DA74D86963B1B062ED522">
    <w:name w:val="A259CD50E62DA74D86963B1B062ED522"/>
    <w:rsid w:val="000E4F87"/>
  </w:style>
  <w:style w:type="paragraph" w:customStyle="1" w:styleId="FB399EEBEA969C4D87688ACCBA95698C">
    <w:name w:val="FB399EEBEA969C4D87688ACCBA95698C"/>
    <w:rsid w:val="000E4F87"/>
  </w:style>
  <w:style w:type="paragraph" w:customStyle="1" w:styleId="2201A04363341444A882A6E87E89B173">
    <w:name w:val="2201A04363341444A882A6E87E89B173"/>
    <w:rsid w:val="000E4F87"/>
  </w:style>
  <w:style w:type="paragraph" w:customStyle="1" w:styleId="ACB7ACA57DEFB349B05A248E36802104">
    <w:name w:val="ACB7ACA57DEFB349B05A248E36802104"/>
    <w:rsid w:val="000E4F87"/>
  </w:style>
  <w:style w:type="paragraph" w:customStyle="1" w:styleId="3297FC7EEEA6814DAFBB0F5C0E86EC4C">
    <w:name w:val="3297FC7EEEA6814DAFBB0F5C0E86EC4C"/>
    <w:rsid w:val="000E4F87"/>
  </w:style>
  <w:style w:type="paragraph" w:customStyle="1" w:styleId="07E01DAC870F2F4189B8775F7DA8A97C">
    <w:name w:val="07E01DAC870F2F4189B8775F7DA8A97C"/>
    <w:rsid w:val="000E4F87"/>
  </w:style>
  <w:style w:type="paragraph" w:customStyle="1" w:styleId="34B11B1CEB41A94B92E14BCCC6C927E4">
    <w:name w:val="34B11B1CEB41A94B92E14BCCC6C927E4"/>
    <w:rsid w:val="000E4F87"/>
  </w:style>
  <w:style w:type="paragraph" w:customStyle="1" w:styleId="CD0AE2D863D1E24F8448054F25AB18B9">
    <w:name w:val="CD0AE2D863D1E24F8448054F25AB18B9"/>
    <w:rsid w:val="000E4F87"/>
  </w:style>
  <w:style w:type="paragraph" w:customStyle="1" w:styleId="DAF70422925D4C4CAC7FA7774705C40B">
    <w:name w:val="DAF70422925D4C4CAC7FA7774705C40B"/>
    <w:rsid w:val="000E4F87"/>
  </w:style>
  <w:style w:type="paragraph" w:customStyle="1" w:styleId="CE89392810887C43A0EB5EE8D0B94876">
    <w:name w:val="CE89392810887C43A0EB5EE8D0B94876"/>
    <w:rsid w:val="000E4F87"/>
  </w:style>
  <w:style w:type="paragraph" w:customStyle="1" w:styleId="FFC191C84F8BE64495D655B4ED420BB1">
    <w:name w:val="FFC191C84F8BE64495D655B4ED420BB1"/>
    <w:rsid w:val="000E4F87"/>
  </w:style>
  <w:style w:type="paragraph" w:customStyle="1" w:styleId="A5CABDD4AB83FD4FA228562225CB38E9">
    <w:name w:val="A5CABDD4AB83FD4FA228562225CB38E9"/>
    <w:rsid w:val="000E4F87"/>
  </w:style>
  <w:style w:type="paragraph" w:customStyle="1" w:styleId="C8F1FA07DD61B3468C6D9DBDAFA12577">
    <w:name w:val="C8F1FA07DD61B3468C6D9DBDAFA12577"/>
    <w:rsid w:val="000E4F87"/>
  </w:style>
  <w:style w:type="paragraph" w:customStyle="1" w:styleId="307B75479AB4534E918D97548F3786C7">
    <w:name w:val="307B75479AB4534E918D97548F3786C7"/>
    <w:rsid w:val="000E4F87"/>
  </w:style>
  <w:style w:type="paragraph" w:customStyle="1" w:styleId="4F2067BB62ECBC4A8797CB7F7347792D">
    <w:name w:val="4F2067BB62ECBC4A8797CB7F7347792D"/>
    <w:rsid w:val="000E4F87"/>
  </w:style>
  <w:style w:type="paragraph" w:customStyle="1" w:styleId="AF8BB1A07945694EAFC0C10E8A88E2DA">
    <w:name w:val="AF8BB1A07945694EAFC0C10E8A88E2DA"/>
    <w:rsid w:val="000E4F87"/>
  </w:style>
  <w:style w:type="paragraph" w:customStyle="1" w:styleId="A3025DF10D57274AAF3E0F3AE1CCEE16">
    <w:name w:val="A3025DF10D57274AAF3E0F3AE1CCEE16"/>
    <w:rsid w:val="000E4F87"/>
  </w:style>
  <w:style w:type="paragraph" w:customStyle="1" w:styleId="9A78E2370E34A2409A4DE53285D1DACC">
    <w:name w:val="9A78E2370E34A2409A4DE53285D1DACC"/>
    <w:rsid w:val="000E4F87"/>
  </w:style>
  <w:style w:type="paragraph" w:customStyle="1" w:styleId="969BE17370D6F14194E47C44A55D2C3B">
    <w:name w:val="969BE17370D6F14194E47C44A55D2C3B"/>
    <w:rsid w:val="000E4F87"/>
  </w:style>
  <w:style w:type="paragraph" w:customStyle="1" w:styleId="09FCF8C24FBE8A49864069FAF7FC7D91">
    <w:name w:val="09FCF8C24FBE8A49864069FAF7FC7D91"/>
    <w:rsid w:val="000E4F87"/>
  </w:style>
  <w:style w:type="paragraph" w:customStyle="1" w:styleId="9E2AD82F90C98945841E1F77570B0B74">
    <w:name w:val="9E2AD82F90C98945841E1F77570B0B74"/>
    <w:rsid w:val="000E4F87"/>
  </w:style>
  <w:style w:type="paragraph" w:customStyle="1" w:styleId="ABF7951694535343AFF09B6323D27699">
    <w:name w:val="ABF7951694535343AFF09B6323D27699"/>
    <w:rsid w:val="000E4F87"/>
  </w:style>
  <w:style w:type="paragraph" w:customStyle="1" w:styleId="BB7DDE6702EF03409D4F99D8529D7EC4">
    <w:name w:val="BB7DDE6702EF03409D4F99D8529D7EC4"/>
    <w:rsid w:val="000E4F87"/>
  </w:style>
  <w:style w:type="paragraph" w:customStyle="1" w:styleId="D6F435F00B0DE44DA99388238EDA49D8">
    <w:name w:val="D6F435F00B0DE44DA99388238EDA49D8"/>
    <w:rsid w:val="000E4F87"/>
  </w:style>
  <w:style w:type="paragraph" w:customStyle="1" w:styleId="0D684B554825BE4E832D7B1898B6C3A2">
    <w:name w:val="0D684B554825BE4E832D7B1898B6C3A2"/>
    <w:rsid w:val="000E4F87"/>
  </w:style>
  <w:style w:type="paragraph" w:customStyle="1" w:styleId="4B4A7B45557A6646A4EFDFEE2B6B1E26">
    <w:name w:val="4B4A7B45557A6646A4EFDFEE2B6B1E26"/>
    <w:rsid w:val="000E4F87"/>
  </w:style>
  <w:style w:type="paragraph" w:customStyle="1" w:styleId="3CA71E10BD7AB847967889232EA94205">
    <w:name w:val="3CA71E10BD7AB847967889232EA94205"/>
    <w:rsid w:val="000E4F87"/>
  </w:style>
  <w:style w:type="paragraph" w:customStyle="1" w:styleId="BBC5259182A8074FAD78BFA079ADF02B">
    <w:name w:val="BBC5259182A8074FAD78BFA079ADF02B"/>
    <w:rsid w:val="000E4F87"/>
  </w:style>
  <w:style w:type="paragraph" w:customStyle="1" w:styleId="3B16E32CD488CE4CA62F59A71A63EAC7">
    <w:name w:val="3B16E32CD488CE4CA62F59A71A63EAC7"/>
    <w:rsid w:val="000E4F87"/>
  </w:style>
  <w:style w:type="paragraph" w:customStyle="1" w:styleId="EC3705E68A697D42A756BF2C83C8692D">
    <w:name w:val="EC3705E68A697D42A756BF2C83C8692D"/>
    <w:rsid w:val="000E4F87"/>
  </w:style>
  <w:style w:type="paragraph" w:customStyle="1" w:styleId="DBBA029B28AAF54FBBE95C436EAB753F">
    <w:name w:val="DBBA029B28AAF54FBBE95C436EAB753F"/>
    <w:rsid w:val="000E4F87"/>
  </w:style>
  <w:style w:type="paragraph" w:customStyle="1" w:styleId="7C20D95494B80746A145E43D97B1AE50">
    <w:name w:val="7C20D95494B80746A145E43D97B1AE50"/>
    <w:rsid w:val="000E4F87"/>
  </w:style>
  <w:style w:type="paragraph" w:customStyle="1" w:styleId="CE58DD48AEA495458651E01D6817A815">
    <w:name w:val="CE58DD48AEA495458651E01D6817A815"/>
    <w:rsid w:val="000E4F87"/>
  </w:style>
  <w:style w:type="paragraph" w:customStyle="1" w:styleId="6913FFFCEF9B234FB36FB95CBEC66E6A">
    <w:name w:val="6913FFFCEF9B234FB36FB95CBEC66E6A"/>
    <w:rsid w:val="000E4F8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D9892FE9-3643-9843-A2FB-6407E3F1D02C}">
  <we:reference id="wa104382081" version="1.28.0.0" store="en-US" storeType="OMEX"/>
  <we:alternateReferences>
    <we:reference id="WA104382081" version="1.28.0.0" store="" storeType="OMEX"/>
  </we:alternateReferences>
  <we:properties>
    <we:property name="MENDELEY_CITATIONS" value="[{&quot;citationID&quot;:&quot;MENDELEY_CITATION_68a2706d-828f-4e5f-a2ff-a2dabf33f4fa&quot;,&quot;citationItems&quot;:[{&quot;id&quot;:&quot;8eebf42b-e1df-3e92-9b7f-d8d0d7e39bc3&quot;,&quot;itemData&quot;:{&quot;type&quot;:&quot;article-journal&quot;,&quot;id&quot;:&quot;8eebf42b-e1df-3e92-9b7f-d8d0d7e39bc3&quot;,&quot;title&quot;:&quot;Analysis of Nutritional Quality Attributes and Their Inter-Relationship in Maize Inbred Lines for Sustainable Livelihood&quot;,&quot;author&quot;:[{&quot;family&quot;:&quot;Langyan&quot;,&quot;given&quot;:&quot;Sapna&quot;,&quot;parse-names&quot;:false,&quot;dropping-particle&quot;:&quot;&quot;,&quot;non-dropping-particle&quot;:&quot;&quot;},{&quot;family&quot;:&quot;Dar&quot;,&quot;given&quot;:&quot;Zahoor A.&quot;,&quot;parse-names&quot;:false,&quot;dropping-particle&quot;:&quot;&quot;,&quot;non-dropping-particle&quot;:&quot;&quot;},{&quot;family&quot;:&quot;Chaudhary&quot;,&quot;given&quot;:&quot;D. P.&quot;,&quot;parse-names&quot;:false,&quot;dropping-particle&quot;:&quot;&quot;,&quot;non-dropping-particle&quot;:&quot;&quot;},{&quot;family&quot;:&quot;Shekhar&quot;,&quot;given&quot;:&quot;J. C.&quot;,&quot;parse-names&quot;:false,&quot;dropping-particle&quot;:&quot;&quot;,&quot;non-dropping-particle&quot;:&quot;&quot;},{&quot;family&quot;:&quot;Herlambang&quot;,&quot;given&quot;:&quot;Susila&quot;,&quot;parse-names&quot;:false,&quot;dropping-particle&quot;:&quot;&quot;,&quot;non-dropping-particle&quot;:&quot;&quot;},{&quot;family&quot;:&quot;Enshasy&quot;,&quot;given&quot;:&quot;Hesham&quot;,&quot;parse-names&quot;:false,&quot;dropping-particle&quot;:&quot;&quot;,&quot;non-dropping-particle&quot;:&quot;el&quot;},{&quot;family&quot;:&quot;Sayyed&quot;,&quot;given&quot;:&quot;R. Z.&quot;,&quot;parse-names&quot;:false,&quot;dropping-particle&quot;:&quot;&quot;,&quot;non-dropping-particle&quot;:&quot;&quot;},{&quot;family&quot;:&quot;Rakshit&quot;,&quot;given&quot;:&quot;S.&quot;,&quot;parse-names&quot;:false,&quot;dropping-particle&quot;:&quot;&quot;,&quot;non-dropping-particle&quot;:&quot;&quot;}],&quot;container-title&quot;:&quot;Sustainability&quot;,&quot;DOI&quot;:&quot;10.3390/su13116137&quot;,&quot;ISSN&quot;:&quot;2071-1050&quot;,&quot;issued&quot;:{&quot;date-parts&quot;:[[2021,5,29]]},&quot;abstract&quot;:&quot;&lt;p&gt;The present investigation was planned to understand the variability and inter-relationship among various nutritional quality attributes of maize kernels to identify potential donors of the respective traits for future hybridization programs. Sixty-three maize inbred lines were processed for the estimation of protein, starch, fat, sugar, 100-kernel weight, specific gravity, and moisture level of the grain. The results reveal that a wide variability among protein, starch, 100-kernel weight, specific gravity, and fat was seen, with special emphasis on the protein concentration that varied from 8.83 to 15.54%, starch (67.43–75.31%), and 100-kernel weight (9.14–36.11 gm). Factor analysis revealed that the protein concentration, starch, and 100-kernel weight, the three major components, comprise 68.58% of the kernel variability. Protein exhibited a significant negative correlation with starch and 100-kernel weight, indicating that an increase in the protein concentration will down-regulate the starch and 100-kernel weight. The inbred lines are proposed as donors for the development of high cultivars for their respective traits, viz., high protein (DMR WNC NY 403 and DMR WNC NY 404), high starch concentration (DMR WNC NY 2163, DMR WNC NY 2219, DMR WNC NY 2234, DMR WNC NY 2408, DMR WNC NY 2437, and DMR WNC NY 2466), high 100-kernel wt. (DMR WNC NY 2113, DMR WNC NY 2213, DMR WNC NY 2233, DMR WNC NY 2234, DMR WNC NY 2414, DMR WNC NY 2435, DMR WNC NY 2465, and DMR WNC NY 2474), sugar (DMR WNC NY 2417), and specific gravity (DMR WNC NY 2418). Genetic distance analysis revealed that DMR WNC NY 397 and DMR WNC NY 404 are the farthest apart inbred lines, having major differences in their protein, fat, starch, and sugar contents, followed by DMR WNC NY 2436 and DMR WNC NY 2394, DMR WNC NY 2212 and DMR WNC NY 2430, DMR WNC NY 396 and DMR WNC NY 2415, DMR WNC NY 404 and DMR WNC NY 2144, and DMR WNC NY403 and DMR WNC NY 2115. Moreover, this study proposes that these possible combinations of lines (in a breeding program) would result in genetic variability with simultaneous high values for the respective characteristics.&lt;/p&gt;&quot;,&quot;issue&quot;:&quot;11&quot;,&quot;volume&quot;:&quot;13&quot;},&quot;isTemporary&quot;:false}],&quot;properties&quot;:{&quot;noteIndex&quot;:0},&quot;isEdited&quot;:false,&quot;manualOverride&quot;:{&quot;isManuallyOverridden&quot;:true,&quot;citeprocText&quot;:&quot;(Langyan et al., 2021)&quot;,&quot;manualOverrideText&quot;:&quot; (Langyan et al., 2021).&quot;},&quot;citationTag&quot;:&quot;MENDELEY_CITATION_v3_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&quot;},{&quot;citationID&quot;:&quot;MENDELEY_CITATION_eeaba72e-8686-49a3-bbd1-b3cd5b971d52&quot;,&quot;citationItems&quot;:[{&quot;id&quot;:&quot;b56f3c7b-e2be-346b-baf5-56505691a784&quot;,&quot;itemData&quot;:{&quot;type&quot;:&quot;article-journal&quot;,&quot;id&quot;:&quot;b56f3c7b-e2be-346b-baf5-56505691a784&quot;,&quot;title&quot;:&quot;Nutritional and Safety Assessments of Foods and Feeds Nutritionally Improved Through Biotechnology: Lysine Maize as a Case Study&quot;,&quot;author&quot;:[{&quot;family&quot;:&quot;Glenn&quot;,&quot;given&quot;:&quot;Kevin C&quot;,&quot;parse-names&quot;:false,&quot;dropping-particle&quot;:&quot;&quot;,&quot;non-dropping-particle&quot;:&quot;&quot;}],&quot;container-title&quot;:&quot;Journal of AOAC INTERNATIONAL&quot;,&quot;DOI&quot;:&quot;10.1093/jaoac/90.5.1470&quot;,&quot;ISSN&quot;:&quot;1060-3271&quot;,&quot;issued&quot;:{&quot;date-parts&quot;:[[2007,9,1]]},&quot;abstract&quot;:&quot;&lt;p&gt;During the last decade, the area of biotech crops modified for agronomic input traits (e.g., herbicide tolerance and insect protection) has increased to 90 million ha/year, grown by over 8 million farmers in a total of 17 countries. As adoption of these improved agronomic trait biotech crops has grown, so has interest in biotech crops that have improved nutritional characteristics for use as feed and food. A previous publication by the International Life Sciences Institute (ILSI) reported on the principles and concepts proposed for the nutritional and safety assessments of foods and feeds nutritionally improved through biotechnology. In this paper, the guidelines and principles recommended in the earlier publication are discussed relative to a specific case study, Lysine maize. Lysine maize is a feed ingredient with enhanced nutritional characteristics for poultry and swine and provides an alternative to the need for addition of supplemental lysine to some diets for these animals. The 2004 Task Force of the ILSI has also applied the concepts from that report to 4 other case studies: sweet potato enriched in provitamin A (2 examples, one using biotechnology and one using conventional breeding); Golden Rice 2; double-embryo maize; and ASP-1 enhanced protein sweet potato.&lt;/p&gt;&quot;,&quot;issue&quot;:&quot;5&quot;,&quot;volume&quot;:&quot;90&quot;},&quot;isTemporary&quot;:false},{&quot;id&quot;:&quot;9a2e8af1-ac8e-3b75-8237-cc4cabff66ec&quot;,&quot;itemData&quot;:{&quot;type&quot;:&quot;article-journal&quot;,&quot;id&quot;:&quot;9a2e8af1-ac8e-3b75-8237-cc4cabff66ec&quot;,&quot;title&quot;:&quot;Food and Agricultural Organization of the United Nations. The State of Food Insecurity in the World : High Food Prices and Food Security-Threats and Opportunities. &quot;,&quot;author&quot;:[{&quot;family&quot;:&quot;FAO&quot;,&quot;given&quot;:&quot;&quot;,&quot;parse-names&quot;:false,&quot;dropping-particle&quot;:&quot;&quot;,&quot;non-dropping-particle&quot;:&quot;&quot;}],&quot;issued&quot;:{&quot;date-parts&quot;:[[2008]]}},&quot;isTemporary&quot;:false}],&quot;properties&quot;:{&quot;noteIndex&quot;:0},&quot;isEdited&quot;:false,&quot;manualOverride&quot;:{&quot;isManuallyOverridden&quot;:false,&quot;citeprocText&quot;:&quot;(FAO, 2008; Glenn, 2007)&quot;,&quot;manualOverrideText&quot;:&quot;&quot;},&quot;citationTag&quot;:&quot;MENDELEY_CITATION_v3_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&quot;},{&quot;citationID&quot;:&quot;MENDELEY_CITATION_9d95c743-4b84-4813-aebe-951d90f949df&quot;,&quot;citationItems&quot;:[{&quot;id&quot;:&quot;b556d69d-33ff-3d0b-8c54-c8f790bb89aa&quot;,&quot;itemData&quot;:{&quot;type&quot;:&quot;article-journal&quot;,&quot;id&quot;:&quot;b556d69d-33ff-3d0b-8c54-c8f790bb89aa&quot;,&quot;title&quot;:&quot;FAO Cereal Supply and Demand Brief http://www.fao.org/worldfoodsituation/csdb/en/&quot;,&quot;author&quot;:[{&quot;family&quot;:&quot;FAO&quot;,&quot;given&quot;:&quot;&quot;,&quot;parse-names&quot;:false,&quot;dropping-particle&quot;:&quot;&quot;,&quot;non-dropping-particle&quot;:&quot;&quot;}],&quot;issued&quot;:{&quot;date-parts&quot;:[[2021]]}},&quot;isTemporary&quot;:false}],&quot;properties&quot;:{&quot;noteIndex&quot;:0},&quot;isEdited&quot;:false,&quot;manualOverride&quot;:{&quot;isManuallyOverridden&quot;:false,&quot;citeprocText&quot;:&quot;(FAO, 2021)&quot;,&quot;manualOverrideText&quot;:&quot;&quot;},&quot;citationTag&quot;:&quot;MENDELEY_CITATION_v3_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&quot;},{&quot;citationID&quot;:&quot;MENDELEY_CITATION_314054c6-0e83-4a4f-9f6f-8336f8d1784f&quot;,&quot;citationItems&quot;:[{&quot;id&quot;:&quot;ef953d33-8b5d-39e3-b3c5-0993eb928359&quot;,&quot;itemData&quot;:{&quot;type&quot;:&quot;article-journal&quot;,&quot;id&quot;:&quot;ef953d33-8b5d-39e3-b3c5-0993eb928359&quot;,&quot;title&quot;:&quot;Maize-A potential source of human nutrition and health: A review&quot;,&quot;author&quot;:[{&quot;family&quot;:&quot;Rouf Shah&quot;,&quot;given&quot;:&quot;Tajamul&quot;,&quot;parse-names&quot;:false,&quot;dropping-particle&quot;:&quot;&quot;,&quot;non-dropping-particle&quot;:&quot;&quot;},{&quot;family&quot;:&quot;Prasad&quot;,&quot;given&quot;:&quot;Kamlesh&quot;,&quot;parse-names&quot;:false,&quot;dropping-particle&quot;:&quot;&quot;,&quot;non-dropping-particle&quot;:&quot;&quot;},{&quot;family&quot;:&quot;Kumar&quot;,&quot;given&quot;:&quot;Pradyuman&quot;,&quot;parse-names&quot;:false,&quot;dropping-particle&quot;:&quot;&quot;,&quot;non-dropping-particle&quot;:&quot;&quot;}],&quot;container-title&quot;:&quot;Cogent Food &amp; Agriculture&quot;,&quot;DOI&quot;:&quot;10.1080/23311932.2016.1166995&quot;,&quot;ISSN&quot;:&quot;2331-1932&quot;,&quot;issued&quot;:{&quot;date-parts&quot;:[[2016,4,4]]},&quot;issue&quot;:&quot;1&quot;,&quot;volume&quot;:&quot;2&quot;},&quot;isTemporary&quot;:false}],&quot;properties&quot;:{&quot;noteIndex&quot;:0},&quot;isEdited&quot;:false,&quot;manualOverride&quot;:{&quot;isManuallyOverridden&quot;:true,&quot;citeprocText&quot;:&quot;(Rouf Shah et al., 2016)&quot;,&quot;manualOverrideText&quot;:&quot;(Rouf Shah et al., 2016).&quot;},&quot;citationTag&quot;:&quot;MENDELEY_CITATION_v3_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&quot;},{&quot;citationID&quot;:&quot;MENDELEY_CITATION_64ed6601-7d24-4c8a-9c9a-f1bd3d6fb57a&quot;,&quot;citationItems&quot;:[{&quot;id&quot;:&quot;a329ce44-ae9d-324f-8934-e062f2763505&quot;,&quot;itemData&quot;:{&quot;type&quot;:&quot;article-journal&quot;,&quot;id&quot;:&quot;a329ce44-ae9d-324f-8934-e062f2763505&quot;,&quot;title&quot;:&quot;Classification of maize seeds of different years based on hyperspectral imaging and model updating&quot;,&quot;author&quot;:[{&quot;family&quot;:&quot;Huang&quot;,&quot;given&quot;:&quot;Min&quot;,&quot;parse-names&quot;:false,&quot;dropping-particle&quot;:&quot;&quot;,&quot;non-dropping-particle&quot;:&quot;&quot;},{&quot;family&quot;:&quot;Tang&quot;,&quot;given&quot;:&quot;Jinya&quot;,&quot;parse-names&quot;:false,&quot;dropping-particle&quot;:&quot;&quot;,&quot;non-dropping-particle&quot;:&quot;&quot;},{&quot;family&quot;:&quot;Yang&quot;,&quot;given&quot;:&quot;Bao&quot;,&quot;parse-names&quot;:false,&quot;dropping-particle&quot;:&quot;&quot;,&quot;non-dropping-particle&quot;:&quot;&quot;},{&quot;family&quot;:&quot;Zhu&quot;,&quot;given&quot;:&quot;Qibing&quot;,&quot;parse-names&quot;:false,&quot;dropping-particle&quot;:&quot;&quot;,&quot;non-dropping-particle&quot;:&quot;&quot;}],&quot;container-title&quot;:&quot;Computers and Electronics in Agriculture&quot;,&quot;DOI&quot;:&quot;10.1016/j.compag.2016.01.029&quot;,&quot;ISSN&quot;:&quot;01681699&quot;,&quot;issued&quot;:{&quot;date-parts&quot;:[[2016,3,1]]},&quot;page&quot;:&quot;139-145&quot;,&quot;abstract&quot;:&quot;Seed classification and identification exhibit potential for detecting seed purity and increasing crop yield. In this study, hyperspectral imaging was employed to develop classification methods for maize seeds. A total of 2000 seeds, including four varieties of maize seeds of different years, were evaluated. Hyperspectral reflectance images were acquired between 400 nm and 1000 nm. Classification models based on the mean spectral features of seeds were developed using least squares support vector machine (LSSVM). Model updating using incremental support vector data description was also applied to update the LSSVM model online and ensure accurate identification of maize seeds of different years. The classification accuracy of the LSSVM model combined with model updating reached 94.4% and was 10.3% higher than that of other non-updated models. This study showed that combined hyperspectral imaging and model updating could be an effective method for classification of seeds of different years.&quot;,&quot;publisher&quot;:&quot;Elsevier B.V.&quot;,&quot;volume&quot;:&quot;122&quot;},&quot;isTemporary&quot;:false}],&quot;properties&quot;:{&quot;noteIndex&quot;:0},&quot;isEdited&quot;:false,&quot;manualOverride&quot;:{&quot;isManuallyOverridden&quot;:false,&quot;citeprocText&quot;:&quot;(Huang et al., 2016)&quot;,&quot;manualOverrideText&quot;:&quot;&quot;},&quot;citationTag&quot;:&quot;MENDELEY_CITATION_v3_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&quot;},{&quot;citationID&quot;:&quot;MENDELEY_CITATION_033d9957-fa72-4efb-bc05-f22c0973e2dd&quot;,&quot;citationItems&quot;:[{&quot;id&quot;:&quot;39cd86d9-bda6-3716-8a0c-6c5e03beb0d7&quot;,&quot;itemData&quot;:{&quot;type&quot;:&quot;article-journal&quot;,&quot;id&quot;:&quot;39cd86d9-bda6-3716-8a0c-6c5e03beb0d7&quot;,&quot;title&quot;:&quot;The end of world population growth&quot;,&quot;author&quot;:[{&quot;family&quot;:&quot;Lutz&quot;,&quot;given&quot;:&quot;Wolfgang&quot;,&quot;parse-names&quot;:false,&quot;dropping-particle&quot;:&quot;&quot;,&quot;non-dropping-particle&quot;:&quot;&quot;},{&quot;family&quot;:&quot;Sanderson&quot;,&quot;given&quot;:&quot;Warren&quot;,&quot;parse-names&quot;:false,&quot;dropping-particle&quot;:&quot;&quot;,&quot;non-dropping-particle&quot;:&quot;&quot;},{&quot;family&quot;:&quot;Scherbov&quot;,&quot;given&quot;:&quot;Sergei&quot;,&quot;parse-names&quot;:false,&quot;dropping-particle&quot;:&quot;&quot;,&quot;non-dropping-particle&quot;:&quot;&quot;}],&quot;container-title&quot;:&quot;Nature&quot;,&quot;DOI&quot;:&quot;10.1038/35087589&quot;,&quot;ISSN&quot;:&quot;0028-0836&quot;,&quot;issued&quot;:{&quot;date-parts&quot;:[[2001,8,2]]},&quot;issue&quot;:&quot;6846&quot;,&quot;volume&quot;:&quot;412&quot;},&quot;isTemporary&quot;:false}],&quot;properties&quot;:{&quot;noteIndex&quot;:0},&quot;isEdited&quot;:false,&quot;manualOverride&quot;:{&quot;isManuallyOverridden&quot;:true,&quot;citeprocText&quot;:&quot;(Lutz et al., 2001)&quot;,&quot;manualOverrideText&quot;:&quot;(Lutz et al., 2001).&quot;},&quot;citationTag&quot;:&quot;MENDELEY_CITATION_v3_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&quot;},{&quot;citationID&quot;:&quot;MENDELEY_CITATION_96506c30-db87-489e-abbe-c2e371180ff7&quot;,&quot;citationItems&quot;:[{&quot;id&quot;:&quot;1ea57cde-4313-3443-9d6a-7d3b8b77259e&quot;,&quot;itemData&quot;:{&quot;type&quot;:&quot;article-journal&quot;,&quot;id&quot;:&quot;1ea57cde-4313-3443-9d6a-7d3b8b77259e&quot;,&quot;title&quot;:&quot; Nutritive value of normal and opaque-2 maize. &quot;,&quot;author&quot;:[{&quot;family&quot;:&quot;Lodha&quot;,&quot;given&quot;:&quot;M.L.; Srivastava, K.N.; Gupta, H.O.; Eggum, B.O.; Mehta, S.L.; Singh, J.&quot;,&quot;parse-names&quot;:false,&quot;dropping-particle&quot;:&quot;&quot;,&quot;non-dropping-particle&quot;:&quot;&quot;}],&quot;container-title&quot;:&quot;Curr. Sci&quot;,&quot;issued&quot;:{&quot;date-parts&quot;:[[1976]]},&quot;page&quot;:&quot;287-289&quot;,&quot;volume&quot;:&quot;45&quot;},&quot;isTemporary&quot;:false},{&quot;id&quot;:&quot;8cca9777-b624-3883-a390-a35dd6045477&quot;,&quot;itemData&quot;:{&quot;type&quot;:&quot;article-journal&quot;,&quot;id&quot;:&quot;8cca9777-b624-3883-a390-a35dd6045477&quot;,&quot;title&quot;:&quot; Protein quality of normal and opaque maize at different stages of ripening. &quot;,&quot;author&quot;:[{&quot;family&quot;:&quot;Gupta&quot;,&quot;given&quot;:&quot;H.O.; Lodha, M.L.; Singh, J.; Mehta, S.L.&quot;,&quot;parse-names&quot;:false,&quot;dropping-particle&quot;:&quot;&quot;,&quot;non-dropping-particle&quot;:&quot;&quot;}],&quot;container-title&quot;:&quot;J. Food Sci. Technol.&quot;,&quot;issued&quot;:{&quot;date-parts&quot;:[[1987]]},&quot;page&quot;:&quot;148-149&quot;,&quot;volume&quot;:&quot;15&quot;},&quot;isTemporary&quot;:false}],&quot;properties&quot;:{&quot;noteIndex&quot;:0},&quot;isEdited&quot;:false,&quot;manualOverride&quot;:{&quot;isManuallyOverridden&quot;:true,&quot;citeprocText&quot;:&quot;(Gupta, 1987; Lodha, 1976)&quot;,&quot;manualOverrideText&quot;:&quot;(Gupta, 1987; Lodha, 1976).&quot;},&quot;citationTag&quot;:&quot;MENDELEY_CITATION_v3_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&quot;},{&quot;citationID&quot;:&quot;MENDELEY_CITATION_2fe127ed-96e8-40bd-b1c7-9cf5beda102f&quot;,&quot;citationItems&quot;:[{&quot;id&quot;:&quot;2148905a-9fd1-3aec-8bd6-f948bbd84319&quot;,&quot;itemData&quot;:{&quot;type&quot;:&quot;report&quot;,&quot;id&quot;:&quot;2148905a-9fd1-3aec-8bd6-f948bbd84319&quot;,&quot;title&quot;:&quot;Manual on Arbuscular Mycorrhizal Fungus Production and Inoculation Techniques&quot;,&quot;author&quot;:[{&quot;family&quot;:&quot;Miyasaka S.C.&quot;,&quot;given&quot;:&quot;Habte M.,  Friday J.B., and Johnson E.V.&quot;,&quot;parse-names&quot;:false,&quot;dropping-particle&quot;:&quot;&quot;,&quot;non-dropping-particle&quot;:&quot;&quot;}],&quot;URL&quot;:&quot;http://www.ctahr.hawaii.edu/freepubs&quot;,&quot;issued&quot;:{&quot;date-parts&quot;:[[2003]]}},&quot;isTemporary&quot;:false}],&quot;properties&quot;:{&quot;noteIndex&quot;:0},&quot;isEdited&quot;:false,&quot;manualOverride&quot;:{&quot;isManuallyOverridden&quot;:true,&quot;citeprocText&quot;:&quot;(Miyasaka S.C., 2003)&quot;,&quot;manualOverrideText&quot;:&quot;(Miyasaka, 2003)&quot;},&quot;citationTag&quot;:&quot;MENDELEY_CITATION_v3_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&quot;},{&quot;citationID&quot;:&quot;MENDELEY_CITATION_a2f1d62e-d4fe-4463-a14c-eb9c499a92eb&quot;,&quot;citationItems&quot;:[{&quot;id&quot;:&quot;d45f5da5-b6a1-3818-b77e-d68f09d58fc2&quot;,&quot;itemData&quot;:{&quot;type&quot;:&quot;report&quot;,&quot;id&quot;:&quot;d45f5da5-b6a1-3818-b77e-d68f09d58fc2&quot;,&quot;title&quot;:&quot;Agricultural Application of Mycorrhizal Fungi to Increase Crop Yields, Promote Soil Health and Combat Climate Change&quot;,&quot;author&quot;:[{&quot;family&quot;:&quot;Johns&quot;,&quot;given&quot;:&quot;Christopher D&quot;,&quot;parse-names&quot;:false,&quot;dropping-particle&quot;:&quot;&quot;,&quot;non-dropping-particle&quot;:&quot;&quot;}],&quot;issued&quot;:{&quot;date-parts&quot;:[[2014]]}},&quot;isTemporary&quot;:false}],&quot;properties&quot;:{&quot;noteIndex&quot;:0},&quot;isEdited&quot;:false,&quot;manualOverride&quot;:{&quot;isManuallyOverridden&quot;:false,&quot;citeprocText&quot;:&quot;(Johns, 2014)&quot;,&quot;manualOverrideText&quot;:&quot;&quot;},&quot;citationTag&quot;:&quot;MENDELEY_CITATION_v3_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&quot;},{&quot;citationID&quot;:&quot;MENDELEY_CITATION_639d9b05-9a8f-405b-b625-0c17f41353b8&quot;,&quot;citationItems&quot;:[{&quot;id&quot;:&quot;43a4dedf-cf00-38d1-9a53-ef25bbd0c804&quot;,&quot;itemData&quot;:{&quot;type&quot;:&quot;article-journal&quot;,&quot;id&quot;:&quot;43a4dedf-cf00-38d1-9a53-ef25bbd0c804&quot;,&quot;title&quot;:&quot;Arbuscular mycorrhiza: the mother of plant root endosymbioses&quot;,&quot;author&quot;:[{&quot;family&quot;:&quot;Parniske&quot;,&quot;given&quot;:&quot;Martin&quot;,&quot;parse-names&quot;:false,&quot;dropping-particle&quot;:&quot;&quot;,&quot;non-dropping-particle&quot;:&quot;&quot;}],&quot;container-title&quot;:&quot;Nature Reviews Microbiology&quot;,&quot;DOI&quot;:&quot;10.1038/nrmicro1987&quot;,&quot;ISSN&quot;:&quot;1740-1526&quot;,&quot;issued&quot;:{&quot;date-parts&quot;:[[2008,10]]},&quot;issue&quot;:&quot;10&quot;,&quot;volume&quot;:&quot;6&quot;},&quot;isTemporary&quot;:false}],&quot;properties&quot;:{&quot;noteIndex&quot;:0},&quot;isEdited&quot;:false,&quot;manualOverride&quot;:{&quot;isManuallyOverridden&quot;:true,&quot;citeprocText&quot;:&quot;(Parniske, 2008)&quot;,&quot;manualOverrideText&quot;:&quot; (Parniske, 2008).&quot;},&quot;citationTag&quot;:&quot;MENDELEY_CITATION_v3_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&quot;},{&quot;citationID&quot;:&quot;MENDELEY_CITATION_6670a2c2-3baa-4731-a316-6bb56fbd7339&quot;,&quot;citationItems&quot;:[{&quot;id&quot;:&quot;70c75f79-66eb-331d-b95d-9ae56de28143&quot;,&quot;itemData&quot;:{&quot;type&quot;:&quot;article-journal&quot;,&quot;id&quot;:&quot;70c75f79-66eb-331d-b95d-9ae56de28143&quot;,&quot;title&quot;:&quot;Utilization of vesicular–arbuscular mycorrhizal fungi in agriculture&quot;,&quot;author&quot;:[{&quot;family&quot;:&quot;Menge&quot;,&quot;given&quot;:&quot;J. A.&quot;,&quot;parse-names&quot;:false,&quot;dropping-particle&quot;:&quot;&quot;,&quot;non-dropping-particle&quot;:&quot;&quot;}],&quot;container-title&quot;:&quot;Canadian Journal of Botany&quot;,&quot;DOI&quot;:&quot;10.1139/b83-109&quot;,&quot;ISSN&quot;:&quot;0008-4026&quot;,&quot;issued&quot;:{&quot;date-parts&quot;:[[1983,3,1]]},&quot;abstract&quot;:&quot;&lt;p&gt;Commercial use of vesicular–arbuscular mycorrhizae (VAM) may be an alternative to rising agricultural energy and fertilizer costs. Vesicular–arbuscular mycorrhizae may be able to increase crop yields while reducing fertilizer and energy inputs. Since mycorrhizal fungi are naturally present in most soils, their unique fertilizer abilities are already being utilized by most crop plants. Commercial uses of VA mycorrhizal fungi are therefore currently restricted to situations where the natural populations of VAM fungi have been destroyed or damaged such as in fumigated or chemically treated areas, greenhouses, and disturbed areas such as coal spoils, strip mines, waste areas, or road beds. Commercial production of VAM inoculum is presently being attempted at several locations in the U.S. Vesicular–arbuscular mycorrhizal inoculum is produced by growing VAM fungi on the roots of suitable host plants under aseptic greenhouse conditions The inoculum consists of the host-plant growth medium and host roots associated with VAM hyphae and spores which have been ground and dried. Most large-scale uses of VAM involve the establishment of the mycorrhizae on seedlings which will be transplanted to the field. Large-scale methods for direct inoculation with VAM have not yet been devised, but in small trials, layering, banding, broadcasting, and pelleting seed with VAM inoculum have proved effective. Methods for determining what soils are most likely to benefit from applications of VAM fungi are available. The potential for employing VAM fungi on a wide scale in agriculture is dependent on the development of crop growth-promoting strains of VAM which are superior to native soil populations of VAM fungi.&lt;/p&gt;&quot;,&quot;issue&quot;:&quot;3&quot;,&quot;volume&quot;:&quot;61&quot;},&quot;isTemporary&quot;:false}],&quot;properties&quot;:{&quot;noteIndex&quot;:0},&quot;isEdited&quot;:false,&quot;manualOverride&quot;:{&quot;isManuallyOverridden&quot;:false,&quot;citeprocText&quot;:&quot;(Menge, 1983)&quot;,&quot;manualOverrideText&quot;:&quot;&quot;},&quot;citationTag&quot;:&quot;MENDELEY_CITATION_v3_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&quot;},{&quot;citationID&quot;:&quot;MENDELEY_CITATION_4f6f44bd-b753-42fd-b705-68a3240e604c&quot;,&quot;citationItems&quot;:[{&quot;id&quot;:&quot;98366cd4-448b-383f-af59-2351ee14135f&quot;,&quot;itemData&quot;:{&quot;type&quot;:&quot;article-journal&quot;,&quot;id&quot;:&quot;98366cd4-448b-383f-af59-2351ee14135f&quot;,&quot;title&quot;:&quot;Giving and receiving: Measuring the carbon cost of mycorrhizas in the green orchid, Goodyera repens&quot;,&quot;author&quot;:[{&quot;family&quot;:&quot;Cameron&quot;,&quot;given&quot;:&quot;Duncan D.&quot;,&quot;parse-names&quot;:false,&quot;dropping-particle&quot;:&quot;&quot;,&quot;non-dropping-particle&quot;:&quot;&quot;},{&quot;family&quot;:&quot;Johnson&quot;,&quot;given&quot;:&quot;Irene&quot;,&quot;parse-names&quot;:false,&quot;dropping-particle&quot;:&quot;&quot;,&quot;non-dropping-particle&quot;:&quot;&quot;},{&quot;family&quot;:&quot;Read&quot;,&quot;given&quot;:&quot;David J.&quot;,&quot;parse-names&quot;:false,&quot;dropping-particle&quot;:&quot;&quot;,&quot;non-dropping-particle&quot;:&quot;&quot;},{&quot;family&quot;:&quot;Leake&quot;,&quot;given&quot;:&quot;Jonathan R.&quot;,&quot;parse-names&quot;:false,&quot;dropping-particle&quot;:&quot;&quot;,&quot;non-dropping-particle&quot;:&quot;&quot;}],&quot;container-title&quot;:&quot;New Phytologist&quot;,&quot;DOI&quot;:&quot;10.1111/j.1469-8137.2008.02533.x&quot;,&quot;ISSN&quot;:&quot;0028646X&quot;,&quot;PMID&quot;:&quot;18627489&quot;,&quot;issued&quot;:{&quot;date-parts&quot;:[[2008,10]]},&quot;page&quot;:&quot;176-184&quot;,&quot;abstract&quot;:&quot;• Direct measurement of the carbon (C) 'cost' of mycorrhizas is problematic. Although estimates have been made for arbuscular and ectomycorrhizal symbioses, these are based on incomplete budgets or indirect measurements. Furthermore, the conventional model of unidirectional plant-to-fungus C flux is too simplistic. Net fungus-to-plant C transfer supports seedling establishment in c. 10% of plant species, including most orchids, and bidirectional C flows occur in ectomycorrhiza utilizing soil amino acids. • Here, the C cost of mycorrhizas to the green orchid Goodyera repens was determined by measurement of simultaneous bidirectional fluxes of 14C labelled sources using a monoxenic system with the fungus Ceratobasidium cornigerum. • Transfer of C from fungus to plant ('up-flow') occurs in the photosynthesizing orchid G. repens (max. 0.06 μg) whereas over five times more current assimilate (min. 0.355 μg) is simultaneously allocated in the reverse direction to the mycorrhizal fungus ('down-flow') after 8 d. Carbon is transferred rapidly, being detected in plant-fungal respiration within 31 h of labelling. • This study provides the most complete C budget for an orchid-mycorrhizal symbiosis, and clearly shows net plant-to-fungus C flux. The rapidity of bidirectional C flux is indicative of dynamic transfer at an interfacial apoplast as opposed to reliance on digestion of fungal pelotons. © The Authors (2008).&quot;,&quot;issue&quot;:&quot;1&quot;,&quot;volume&quot;:&quot;180&quot;},&quot;isTemporary&quot;:false}],&quot;properties&quot;:{&quot;noteIndex&quot;:0},&quot;isEdited&quot;:false,&quot;manualOverride&quot;:{&quot;isManuallyOverridden&quot;:false,&quot;citeprocText&quot;:&quot;(Cameron et al., 2008)&quot;,&quot;manualOverrideText&quot;:&quot;&quot;},&quot;citationTag&quot;:&quot;MENDELEY_CITATION_v3_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&quot;},{&quot;citationID&quot;:&quot;MENDELEY_CITATION_8032ce15-da10-4812-88ac-a9035bca809e&quot;,&quot;citationItems&quot;:[{&quot;id&quot;:&quot;be93a72a-3222-3e53-84cb-31496fcdd21b&quot;,&quot;itemData&quot;:{&quot;type&quot;:&quot;article-journal&quot;,&quot;id&quot;:&quot;be93a72a-3222-3e53-84cb-31496fcdd21b&quot;,&quot;title&quot;:&quot;Glomalin production by an arbuscular mycorrhizal fungus: a mechanism of habitat modification?&quot;,&quot;author&quot;:[{&quot;family&quot;:&quot;Rillig&quot;,&quot;given&quot;:&quot;Matthias C&quot;,&quot;parse-names&quot;:false,&quot;dropping-particle&quot;:&quot;&quot;,&quot;non-dropping-particle&quot;:&quot;&quot;},{&quot;family&quot;:&quot;Steinberg&quot;,&quot;given&quot;:&quot;Peter D&quot;,&quot;parse-names&quot;:false,&quot;dropping-particle&quot;:&quot;&quot;,&quot;non-dropping-particle&quot;:&quot;&quot;}],&quot;container-title&quot;:&quot;Soil Biology and Biochemistry&quot;,&quot;DOI&quot;:&quot;10.1016/S0038-0717(02)00060-3&quot;,&quot;ISSN&quot;:&quot;00380717&quot;,&quot;issued&quot;:{&quot;date-parts&quot;:[[2002,9]]},&quot;issue&quot;:&quot;9&quot;,&quot;volume&quot;:&quot;34&quot;},&quot;isTemporary&quot;:false}],&quot;properties&quot;:{&quot;noteIndex&quot;:0},&quot;isEdited&quot;:false,&quot;manualOverride&quot;:{&quot;isManuallyOverridden&quot;:false,&quot;citeprocText&quot;:&quot;(Rillig &amp;#38; Steinberg, 2002)&quot;,&quot;manualOverrideText&quot;:&quot;&quot;},&quot;citationTag&quot;:&quot;MENDELEY_CITATION_v3_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&quot;},{&quot;citationID&quot;:&quot;MENDELEY_CITATION_eec4597c-db2e-4958-a5af-376d168e6e02&quot;,&quot;citationItems&quot;:[{&quot;id&quot;:&quot;402726f9-f48f-368e-8832-195272197c62&quot;,&quot;itemData&quot;:{&quot;type&quot;:&quot;article&quot;,&quot;id&quot;:&quot;402726f9-f48f-368e-8832-195272197c62&quot;,&quot;title&quot;:&quot;Mycorrhiza-induced resistance: More than the sum of its parts?&quot;,&quot;author&quot;:[{&quot;family&quot;:&quot;Cameron&quot;,&quot;given&quot;:&quot;Duncan D.&quot;,&quot;parse-names&quot;:false,&quot;dropping-particle&quot;:&quot;&quot;,&quot;non-dropping-particle&quot;:&quot;&quot;},{&quot;family&quot;:&quot;Neal&quot;,&quot;given&quot;:&quot;Andrew L.&quot;,&quot;parse-names&quot;:false,&quot;dropping-particle&quot;:&quot;&quot;,&quot;non-dropping-particle&quot;:&quot;&quot;},{&quot;family&quot;:&quot;Wees&quot;,&quot;given&quot;:&quot;Saskia C.M.&quot;,&quot;parse-names&quot;:false,&quot;dropping-particle&quot;:&quot;&quot;,&quot;non-dropping-particle&quot;:&quot;van&quot;},{&quot;family&quot;:&quot;Ton&quot;,&quot;given&quot;:&quot;Jurriaan&quot;,&quot;parse-names&quot;:false,&quot;dropping-particle&quot;:&quot;&quot;,&quot;non-dropping-particle&quot;:&quot;&quot;}],&quot;container-title&quot;:&quot;Trends in Plant Science&quot;,&quot;DOI&quot;:&quot;10.1016/j.tplants.2013.06.004&quot;,&quot;ISSN&quot;:&quot;13601385&quot;,&quot;PMID&quot;:&quot;23871659&quot;,&quot;issued&quot;:{&quot;date-parts&quot;:[[2013,10]]},&quot;page&quot;:&quot;539-545&quot;,&quot;abstract&quot;:&quot;Plants can develop an enhanced defensive capacity in response to infection by arbuscular mycorrhizal fungi (AMF). This 'mycorrhiza-induced resistance' (MIR) provides systemic protection against a wide range of attackers and shares characteristics with systemic acquired resistance (SAR) after pathogen infection and induced systemic resistance (ISR) following root colonisation by non-pathogenic rhizobacteria. It is commonly assumed that fungal stimulation of the plant immune system is solely responsible for MIR. In this opinion article, we present a novel model of MIR that integrates different aspects of the induced resistance phenomenon. We propose that MIR is a cumulative effect of direct plant responses to mycorrhizal infection and indirect immune responses to ISR-eliciting rhizobacteria in the mycorrhizosphere. © 2013.&quot;,&quot;issue&quot;:&quot;10&quot;,&quot;volume&quot;:&quot;18&quot;},&quot;isTemporary&quot;:false}],&quot;properties&quot;:{&quot;noteIndex&quot;:0},&quot;isEdited&quot;:false,&quot;manualOverride&quot;:{&quot;isManuallyOverridden&quot;:false,&quot;citeprocText&quot;:&quot;(Cameron et al., 2013a)&quot;,&quot;manualOverrideText&quot;:&quot;&quot;},&quot;citationTag&quot;:&quot;MENDELEY_CITATION_v3_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&quot;},{&quot;citationID&quot;:&quot;MENDELEY_CITATION_6992d9db-1e4a-48f2-aab5-e2fb3d655835&quot;,&quot;citationItems&quot;:[{&quot;id&quot;:&quot;0740680d-e8fa-3a80-a999-f8f91f73ddce&quot;,&quot;itemData&quot;:{&quot;type&quot;:&quot;article-journal&quot;,&quot;id&quot;:&quot;0740680d-e8fa-3a80-a999-f8f91f73ddce&quot;,&quot;title&quot;:&quot;Evolutionary trends in root-microbe symbioses&quot;,&quot;author&quot;:[{&quot;family&quot;:&quot;A. H. Fitter and B. Moyersoen&quot;,&quot;given&quot;:&quot;&quot;,&quot;parse-names&quot;:false,&quot;dropping-particle&quot;:&quot;&quot;,&quot;non-dropping-particle&quot;:&quot;&quot;}],&quot;container-title&quot;:&quot;Philosophical Transactions of the Royal Society of London. Series B: Biological Sciences&quot;,&quot;DOI&quot;:&quot;10.1098/rstb.1996.0120&quot;,&quot;ISSN&quot;:&quot;0962-8436&quot;,&quot;issued&quot;:{&quot;date-parts&quot;:[[1996,9,30]]},&quot;abstract&quot;:&quot;&lt;p&gt;Some of the various symbiotic associations that occur between plant roots and microbes are found on a very wide range of plants, others on very few. By far the most widespread association is the arbuscular mycorrhizal symbiosis, which appears to be an ancestral characteristic; other mycorrhizas and all bacterial nodule symbioses have much more restricted distributions. It has recently been shown that the ability to form nitrogen-fixing symbioses is a trait that occurs in only one clade of the angiosperms. Here we analyse the phylogenetic pattern of mycorrhizal associations, and show that the ectomycorrhizal association has almost certainly arisen more than once, although other types are more concentrated phylogenetically. A detailed com parative analysis of these symbioses awaits a more secure dataset, but it has been possible to undertake such an analysis for arbuscular mycorrhizas in the British flora, which has revealed that the non-mycorrhizal state is a derived one representing habitat and other forms of specialization.&lt;/p&gt;&quot;,&quot;issue&quot;:&quot;1345&quot;,&quot;volume&quot;:&quot;351&quot;},&quot;isTemporary&quot;:false}],&quot;properties&quot;:{&quot;noteIndex&quot;:0},&quot;isEdited&quot;:false,&quot;manualOverride&quot;:{&quot;isManuallyOverridden&quot;:true,&quot;citeprocText&quot;:&quot;(A. H. Fitter and B. Moyersoen, 1996)&quot;,&quot;manualOverrideText&quot;:&quot;(Fitter and Moyersoen, 1996)&quot;},&quot;citationTag&quot;:&quot;MENDELEY_CITATION_v3_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&quot;},{&quot;citationID&quot;:&quot;MENDELEY_CITATION_1c00e998-1e7f-48ef-8f9a-acc365363b71&quot;,&quot;citationItems&quot;:[{&quot;id&quot;:&quot;9e362ff3-1a74-32a9-be25-fba94f5126bc&quot;,&quot;itemData&quot;:{&quot;type&quot;:&quot;book&quot;,&quot;id&quot;:&quot;9e362ff3-1a74-32a9-be25-fba94f5126bc&quot;,&quot;title&quot;:&quot;Mycorrhizal symbiosis. &quot;,&quot;author&quot;:[{&quot;family&quot;:&quot;Smith&quot;,&quot;given&quot;:&quot;S. E.&quot;,&quot;parse-names&quot;:false,&quot;dropping-particle&quot;:&quot;&quot;,&quot;non-dropping-particle&quot;:&quot;&quot;},{&quot;family&quot;:&quot;&amp; Read&quot;,&quot;given&quot;:&quot;D. J.&quot;,&quot;parse-names&quot;:false,&quot;dropping-particle&quot;:&quot;&quot;,&quot;non-dropping-particle&quot;:&quot;&quot;}],&quot;editor&quot;:[{&quot;family&quot;:&quot;Academic Press&quot;,&quot;given&quot;:&quot;.&quot;,&quot;parse-names&quot;:false,&quot;dropping-particle&quot;:&quot;&quot;,&quot;non-dropping-particle&quot;:&quot;&quot;}],&quot;issued&quot;:{&quot;date-parts&quot;:[[1997]]},&quot;publisher-place&quot;:&quot;London&quot;},&quot;isTemporary&quot;:false}],&quot;properties&quot;:{&quot;noteIndex&quot;:0},&quot;isEdited&quot;:false,&quot;manualOverride&quot;:{&quot;isManuallyOverridden&quot;:true,&quot;citeprocText&quot;:&quot;(S. E. Smith &amp;#38; &amp;#38; Read, 1997)&quot;,&quot;manualOverrideText&quot;:&quot;(Smith &amp; &amp; Read, 1997)&quot;},&quot;citationTag&quot;:&quot;MENDELEY_CITATION_v3_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&quot;},{&quot;citationID&quot;:&quot;MENDELEY_CITATION_c95026e4-a7bb-46ef-a56e-e31410447dcd&quot;,&quot;citationItems&quot;:[{&quot;id&quot;:&quot;2148905a-9fd1-3aec-8bd6-f948bbd84319&quot;,&quot;itemData&quot;:{&quot;type&quot;:&quot;report&quot;,&quot;id&quot;:&quot;2148905a-9fd1-3aec-8bd6-f948bbd84319&quot;,&quot;title&quot;:&quot;Manual on Arbuscular Mycorrhizal Fungus Production and Inoculation Techniques&quot;,&quot;author&quot;:[{&quot;family&quot;:&quot;Miyasaka S.C.&quot;,&quot;given&quot;:&quot;Habte M.,  Friday J.B., and Johnson E.V.&quot;,&quot;parse-names&quot;:false,&quot;dropping-particle&quot;:&quot;&quot;,&quot;non-dropping-particle&quot;:&quot;&quot;}],&quot;URL&quot;:&quot;http://www.ctahr.hawaii.edu/freepubs&quot;,&quot;issued&quot;:{&quot;date-parts&quot;:[[2003]]}},&quot;isTemporary&quot;:false}],&quot;properties&quot;:{&quot;noteIndex&quot;:0},&quot;isEdited&quot;:false,&quot;manualOverride&quot;:{&quot;isManuallyOverridden&quot;:true,&quot;citeprocText&quot;:&quot;(Miyasaka S.C., 2003)&quot;,&quot;manualOverrideText&quot;:&quot;(Miyasaka, 2003)&quot;},&quot;citationTag&quot;:&quot;MENDELEY_CITATION_v3_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&quot;},{&quot;citationID&quot;:&quot;MENDELEY_CITATION_89b4face-dcff-4c8c-9ee0-aabf77318cff&quot;,&quot;citationItems&quot;:[{&quot;id&quot;:&quot;9e362ff3-1a74-32a9-be25-fba94f5126bc&quot;,&quot;itemData&quot;:{&quot;type&quot;:&quot;book&quot;,&quot;id&quot;:&quot;9e362ff3-1a74-32a9-be25-fba94f5126bc&quot;,&quot;title&quot;:&quot;Mycorrhizal symbiosis. &quot;,&quot;author&quot;:[{&quot;family&quot;:&quot;Smith&quot;,&quot;given&quot;:&quot;S. E.&quot;,&quot;parse-names&quot;:false,&quot;dropping-particle&quot;:&quot;&quot;,&quot;non-dropping-particle&quot;:&quot;&quot;},{&quot;family&quot;:&quot;&amp; Read&quot;,&quot;given&quot;:&quot;D. J.&quot;,&quot;parse-names&quot;:false,&quot;dropping-particle&quot;:&quot;&quot;,&quot;non-dropping-particle&quot;:&quot;&quot;}],&quot;editor&quot;:[{&quot;family&quot;:&quot;Academic Press&quot;,&quot;given&quot;:&quot;.&quot;,&quot;parse-names&quot;:false,&quot;dropping-particle&quot;:&quot;&quot;,&quot;non-dropping-particle&quot;:&quot;&quot;}],&quot;issued&quot;:{&quot;date-parts&quot;:[[1997]]},&quot;publisher-place&quot;:&quot;London&quot;},&quot;isTemporary&quot;:false}],&quot;properties&quot;:{&quot;noteIndex&quot;:0},&quot;isEdited&quot;:false,&quot;manualOverride&quot;:{&quot;isManuallyOverridden&quot;:true,&quot;citeprocText&quot;:&quot;(S. E. Smith &amp;#38; &amp;#38; Read, 1997)&quot;,&quot;manualOverrideText&quot;:&quot;(Smith &amp; &amp; Read, 1997)&quot;},&quot;citationTag&quot;:&quot;MENDELEY_CITATION_v3_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&quot;},{&quot;citationID&quot;:&quot;MENDELEY_CITATION_0034cf42-d7c7-4a41-ab26-a38ba6f56f79&quot;,&quot;citationItems&quot;:[{&quot;id&quot;:&quot;567c1767-0be3-3e9f-9f54-33ea1cd9a269&quot;,&quot;itemData&quot;:{&quot;type&quot;:&quot;book&quot;,&quot;id&quot;:&quot;567c1767-0be3-3e9f-9f54-33ea1cd9a269&quot;,&quot;title&quot;:&quot; Soil Fertility and Fertilizers, &quot;,&quot;author&quot;:[{&quot;family&quot;:&quot;Tisdale&quot;,&quot;given&quot;:&quot;S.,&quot;,&quot;parse-names&quot;:false,&quot;dropping-particle&quot;:&quot;&quot;,&quot;non-dropping-particle&quot;:&quot;&quot;},{&quot;family&quot;:&quot;Nelson&quot;,&quot;given&quot;:&quot;WL&quot;,&quot;parse-names&quot;:false,&quot;dropping-particle&quot;:&quot;&quot;,&quot;non-dropping-particle&quot;:&quot;&quot;},{&quot;family&quot;:&quot;Baton&quot;,&quot;given&quot;:&quot;JD&quot;,&quot;parse-names&quot;:false,&quot;dropping-particle&quot;:&quot;&quot;,&quot;non-dropping-particle&quot;:&quot;&quot;}],&quot;issued&quot;:{&quot;date-parts&quot;:[[1995]]},&quot;publisher-place&quot;:&quot;USA&quot;,&quot;publisher&quot;:&quot;Macmillan Publishing Company&quot;},&quot;isTemporary&quot;:false}],&quot;properties&quot;:{&quot;noteIndex&quot;:0},&quot;isEdited&quot;:false,&quot;manualOverride&quot;:{&quot;isManuallyOverridden&quot;:false,&quot;citeprocText&quot;:&quot;(Tisdale et al., 1995)&quot;,&quot;manualOverrideText&quot;:&quot;&quot;},&quot;citationTag&quot;:&quot;MENDELEY_CITATION_v3_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&quot;},{&quot;citationID&quot;:&quot;MENDELEY_CITATION_f85388ec-f2a6-43c1-8041-4ae137d63a05&quot;,&quot;citationItems&quot;:[{&quot;id&quot;:&quot;9e362ff3-1a74-32a9-be25-fba94f5126bc&quot;,&quot;itemData&quot;:{&quot;type&quot;:&quot;book&quot;,&quot;id&quot;:&quot;9e362ff3-1a74-32a9-be25-fba94f5126bc&quot;,&quot;title&quot;:&quot;Mycorrhizal symbiosis. &quot;,&quot;author&quot;:[{&quot;family&quot;:&quot;Smith&quot;,&quot;given&quot;:&quot;S. E.&quot;,&quot;parse-names&quot;:false,&quot;dropping-particle&quot;:&quot;&quot;,&quot;non-dropping-particle&quot;:&quot;&quot;},{&quot;family&quot;:&quot;&amp; Read&quot;,&quot;given&quot;:&quot;D. J.&quot;,&quot;parse-names&quot;:false,&quot;dropping-particle&quot;:&quot;&quot;,&quot;non-dropping-particle&quot;:&quot;&quot;}],&quot;editor&quot;:[{&quot;family&quot;:&quot;Academic Press&quot;,&quot;given&quot;:&quot;.&quot;,&quot;parse-names&quot;:false,&quot;dropping-particle&quot;:&quot;&quot;,&quot;non-dropping-particle&quot;:&quot;&quot;}],&quot;issued&quot;:{&quot;date-parts&quot;:[[1997]]},&quot;publisher-place&quot;:&quot;London&quot;},&quot;isTemporary&quot;:false}],&quot;properties&quot;:{&quot;noteIndex&quot;:0},&quot;isEdited&quot;:false,&quot;manualOverride&quot;:{&quot;isManuallyOverridden&quot;:true,&quot;citeprocText&quot;:&quot;(S. E. Smith &amp;#38; &amp;#38; Read, 1997)&quot;,&quot;manualOverrideText&quot;:&quot;(Smith &amp; &amp; Read, 1997)&quot;},&quot;citationTag&quot;:&quot;MENDELEY_CITATION_v3_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&quot;},{&quot;citationID&quot;:&quot;MENDELEY_CITATION_7b90e064-4d9a-440f-a6af-d5f4e19c6d54&quot;,&quot;citationItems&quot;:[{&quot;id&quot;:&quot;567c1767-0be3-3e9f-9f54-33ea1cd9a269&quot;,&quot;itemData&quot;:{&quot;type&quot;:&quot;book&quot;,&quot;id&quot;:&quot;567c1767-0be3-3e9f-9f54-33ea1cd9a269&quot;,&quot;title&quot;:&quot; Soil Fertility and Fertilizers, &quot;,&quot;author&quot;:[{&quot;family&quot;:&quot;Tisdale&quot;,&quot;given&quot;:&quot;S.,&quot;,&quot;parse-names&quot;:false,&quot;dropping-particle&quot;:&quot;&quot;,&quot;non-dropping-particle&quot;:&quot;&quot;},{&quot;family&quot;:&quot;Nelson&quot;,&quot;given&quot;:&quot;WL&quot;,&quot;parse-names&quot;:false,&quot;dropping-particle&quot;:&quot;&quot;,&quot;non-dropping-particle&quot;:&quot;&quot;},{&quot;family&quot;:&quot;Baton&quot;,&quot;given&quot;:&quot;JD&quot;,&quot;parse-names&quot;:false,&quot;dropping-particle&quot;:&quot;&quot;,&quot;non-dropping-particle&quot;:&quot;&quot;}],&quot;issued&quot;:{&quot;date-parts&quot;:[[1995]]},&quot;publisher-place&quot;:&quot;USA&quot;,&quot;publisher&quot;:&quot;Macmillan Publishing Company&quot;},&quot;isTemporary&quot;:false}],&quot;properties&quot;:{&quot;noteIndex&quot;:0},&quot;isEdited&quot;:false,&quot;manualOverride&quot;:{&quot;isManuallyOverridden&quot;:false,&quot;citeprocText&quot;:&quot;(Tisdale et al., 1995)&quot;,&quot;manualOverrideText&quot;:&quot;&quot;},&quot;citationTag&quot;:&quot;MENDELEY_CITATION_v3_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&quot;},{&quot;citationID&quot;:&quot;MENDELEY_CITATION_a58ca43a-d764-43a4-829d-72e91e6b7f6c&quot;,&quot;citationItems&quot;:[{&quot;id&quot;:&quot;136ac026-df9a-35c3-bd25-59913724e0cc&quot;,&quot;itemData&quot;:{&quot;type&quot;:&quot;book&quot;,&quot;id&quot;:&quot;136ac026-df9a-35c3-bd25-59913724e0cc&quot;,&quot;title&quot;:&quot;Mycorrhizal Symbiosis&quot;,&quot;author&quot;:[{&quot;family&quot;:&quot;Smith&quot;,&quot;given&quot;:&quot;Sally&quot;,&quot;parse-names&quot;:false,&quot;dropping-particle&quot;:&quot;&quot;,&quot;non-dropping-particle&quot;:&quot;&quot;},{&quot;family&quot;:&quot;Read&quot;,&quot;given&quot;:&quot;David&quot;,&quot;parse-names&quot;:false,&quot;dropping-particle&quot;:&quot;&quot;,&quot;non-dropping-particle&quot;:&quot;&quot;}],&quot;container-title&quot;:&quot;Mycorrhizal Symbiosis&quot;,&quot;accessed&quot;:{&quot;date-parts&quot;:[[2021,3,15]]},&quot;DOI&quot;:&quot;10.1016/B978-0-12-370526-6.X5001-6&quot;,&quot;ISBN&quot;:&quot;9780123705266&quot;,&quot;issued&quot;:{&quot;date-parts&quot;:[[2008]]},&quot;abstract&quot;:&quot;The roots of most plants are colonized by symbiotic fungi to form mycorrhiza, which play a critical role in the capture of nutrients from the soil and therefore in plant nutrition. Mycorrhizal Symbiosis is recognized as the definitive work in this area. Since the last edition was published there have been major advances in the field, particularly in the area of molecular biology, and the new edition has been fully revised and updated to incorporate these exciting new developments. . Over 50% new material . Includes expanded color plate section . Covers all aspects of mycorrhiza . Presents new taxonomy . Discusses the impact of proteomics and genomics on research in this area. © 2008 Elsevier Ltd All rights reserved.&quot;,&quot;publisher&quot;:&quot;Elsevier Ltd&quot;},&quot;isTemporary&quot;:false}],&quot;properties&quot;:{&quot;noteIndex&quot;:0},&quot;isEdited&quot;:false,&quot;manualOverride&quot;:{&quot;isManuallyOverridden&quot;:true,&quot;citeprocText&quot;:&quot;(S. Smith &amp;#38; Read, 2008)&quot;,&quot;manualOverrideText&quot;:&quot;(Smith &amp; Read, 2008)&quot;},&quot;citationTag&quot;:&quot;MENDELEY_CITATION_v3_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&quot;},{&quot;citationID&quot;:&quot;MENDELEY_CITATION_8ca3bf33-2f82-4b67-a36b-aba5bab015ff&quot;,&quot;citationItems&quot;:[{&quot;id&quot;:&quot;136ac026-df9a-35c3-bd25-59913724e0cc&quot;,&quot;itemData&quot;:{&quot;type&quot;:&quot;book&quot;,&quot;id&quot;:&quot;136ac026-df9a-35c3-bd25-59913724e0cc&quot;,&quot;title&quot;:&quot;Mycorrhizal Symbiosis&quot;,&quot;author&quot;:[{&quot;family&quot;:&quot;Smith&quot;,&quot;given&quot;:&quot;Sally&quot;,&quot;parse-names&quot;:false,&quot;dropping-particle&quot;:&quot;&quot;,&quot;non-dropping-particle&quot;:&quot;&quot;},{&quot;family&quot;:&quot;Read&quot;,&quot;given&quot;:&quot;David&quot;,&quot;parse-names&quot;:false,&quot;dropping-particle&quot;:&quot;&quot;,&quot;non-dropping-particle&quot;:&quot;&quot;}],&quot;container-title&quot;:&quot;Mycorrhizal Symbiosis&quot;,&quot;accessed&quot;:{&quot;date-parts&quot;:[[2021,3,15]]},&quot;DOI&quot;:&quot;10.1016/B978-0-12-370526-6.X5001-6&quot;,&quot;ISBN&quot;:&quot;9780123705266&quot;,&quot;issued&quot;:{&quot;date-parts&quot;:[[2008]]},&quot;abstract&quot;:&quot;The roots of most plants are colonized by symbiotic fungi to form mycorrhiza, which play a critical role in the capture of nutrients from the soil and therefore in plant nutrition. Mycorrhizal Symbiosis is recognized as the definitive work in this area. Since the last edition was published there have been major advances in the field, particularly in the area of molecular biology, and the new edition has been fully revised and updated to incorporate these exciting new developments. . Over 50% new material . Includes expanded color plate section . Covers all aspects of mycorrhiza . Presents new taxonomy . Discusses the impact of proteomics and genomics on research in this area. © 2008 Elsevier Ltd All rights reserved.&quot;,&quot;publisher&quot;:&quot;Elsevier Ltd&quot;},&quot;isTemporary&quot;:false}],&quot;properties&quot;:{&quot;noteIndex&quot;:0},&quot;isEdited&quot;:false,&quot;manualOverride&quot;:{&quot;isManuallyOverridden&quot;:true,&quot;citeprocText&quot;:&quot;(S. Smith &amp;#38; Read, 2008)&quot;,&quot;manualOverrideText&quot;:&quot;(Smith &amp; Read, 2008)&quot;},&quot;citationTag&quot;:&quot;MENDELEY_CITATION_v3_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&quot;},{&quot;citationID&quot;:&quot;MENDELEY_CITATION_55d3a00e-523f-4342-a78d-9b0b96bad664&quot;,&quot;citationItems&quot;:[{&quot;id&quot;:&quot;8e15c2aa-6343-3453-b4a9-d6964eb64d0e&quot;,&quot;itemData&quot;:{&quot;type&quot;:&quot;article-journal&quot;,&quot;id&quot;:&quot;8e15c2aa-6343-3453-b4a9-d6964eb64d0e&quot;,&quot;title&quot;:&quot;Contrasting arbuscular mycorrhizal responses of vascular and non-vascular plants to a simulated Palaeozoic CO2 decline&quot;,&quot;author&quot;:[{&quot;family&quot;:&quot;Field&quot;,&quot;given&quot;:&quot;Katie J.&quot;,&quot;parse-names&quot;:false,&quot;dropping-particle&quot;:&quot;&quot;,&quot;non-dropping-particle&quot;:&quot;&quot;},{&quot;family&quot;:&quot;Cameron&quot;,&quot;given&quot;:&quot;Duncan D.&quot;,&quot;parse-names&quot;:false,&quot;dropping-particle&quot;:&quot;&quot;,&quot;non-dropping-particle&quot;:&quot;&quot;},{&quot;family&quot;:&quot;Leake&quot;,&quot;given&quot;:&quot;Jonathan R.&quot;,&quot;parse-names&quot;:false,&quot;dropping-particle&quot;:&quot;&quot;,&quot;non-dropping-particle&quot;:&quot;&quot;},{&quot;family&quot;:&quot;Tille&quot;,&quot;given&quot;:&quot;Stefanie&quot;,&quot;parse-names&quot;:false,&quot;dropping-particle&quot;:&quot;&quot;,&quot;non-dropping-particle&quot;:&quot;&quot;},{&quot;family&quot;:&quot;Bidartondo&quot;,&quot;given&quot;:&quot;Martin I.&quot;,&quot;parse-names&quot;:false,&quot;dropping-particle&quot;:&quot;&quot;,&quot;non-dropping-particle&quot;:&quot;&quot;},{&quot;family&quot;:&quot;Beerling&quot;,&quot;given&quot;:&quot;David J.&quot;,&quot;parse-names&quot;:false,&quot;dropping-particle&quot;:&quot;&quot;,&quot;non-dropping-particle&quot;:&quot;&quot;}],&quot;container-title&quot;:&quot;Nature Communications&quot;,&quot;DOI&quot;:&quot;10.1038/ncomms1831&quot;,&quot;ISSN&quot;:&quot;20411723&quot;,&quot;PMID&quot;:&quot;22588297&quot;,&quot;issued&quot;:{&quot;date-parts&quot;:[[2012]]},&quot;abstract&quot;:&quot;The arbuscular mycorrhizal (AM) fungal symbiosis is widely hypothesized to have promoted the evolution of land plants from rootless gametophytes to rooted sporophytes during the mid-Palaeozoic (480-360 Myr, ago), at a time coincident with a 90% fall in the atmospheric CO2 concentration ([CO2 ]a). Here we show using standardized dual isotopic tracers ( 14 C and 33 P) that AM symbiosis efficiency (defined as plant P gain per unit of C invested into fungi) of liverwort gametophytes declines, but increases in the sporophytes of vascular plants (ferns and angiosperms), at 440 p.p.m. compared with 1,500 p.p.m. [CO2 ]a. These contrasting responses are associated with larger AM hyphal networks, and structural advances in vascular plant water-conducting systems, promoting P transport that enhances AM efficiency at 440 p.p.m. [CO2 ] a. Our results suggest that non-vascular land plants not only faced intense competition for light, as vascular land floras grew taller in the Palaeozoic, but also markedly reduced efficiency and total capture of P as [CO2 ]a fell. © 2012 Macmillan Publishers Limited. All rights reserved.&quot;,&quot;volume&quot;:&quot;3&quot;},&quot;isTemporary&quot;:false}],&quot;properties&quot;:{&quot;noteIndex&quot;:0},&quot;isEdited&quot;:false,&quot;manualOverride&quot;:{&quot;isManuallyOverridden&quot;:false,&quot;citeprocText&quot;:&quot;(Field et al., 2012)&quot;,&quot;manualOverrideText&quot;:&quot;&quot;},&quot;citationTag&quot;:&quot;MENDELEY_CITATION_v3_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&quot;},{&quot;citationID&quot;:&quot;MENDELEY_CITATION_0cfbce9b-5635-498e-80ca-7337cf144aa5&quot;,&quot;citationItems&quot;:[{&quot;id&quot;:&quot;294ba2a6-e7cc-3a7c-b901-54dfd11d622d&quot;,&quot;itemData&quot;:{&quot;type&quot;:&quot;report&quot;,&quot;id&quot;:&quot;294ba2a6-e7cc-3a7c-b901-54dfd11d622d&quot;,&quot;title&quot;:&quot;Arbuscular mycorrhizal fungi (AMF) associated with the rhizoshpere of Mentha arvensis L., and M.longifolia huds&quot;,&quot;author&quot;:[{&quot;family&quot;:&quot;Burni&quot;,&quot;given&quot;:&quot;Tanvir&quot;,&quot;parse-names&quot;:false,&quot;dropping-particle&quot;:&quot;&quot;,&quot;non-dropping-particle&quot;:&quot;&quot;},{&quot;family&quot;:&quot;Hussain&quot;,&quot;given&quot;:&quot;Farrukh&quot;,&quot;parse-names&quot;:false,&quot;dropping-particle&quot;:&quot;&quot;,&quot;non-dropping-particle&quot;:&quot;&quot;},{&quot;family&quot;:&quot;Sharief&quot;,&quot;given&quot;:&quot;M&quot;,&quot;parse-names&quot;:false,&quot;dropping-particle&quot;:&quot;&quot;,&quot;non-dropping-particle&quot;:&quot;&quot;}],&quot;container-title&quot;:&quot;Pak. J. Bot&quot;,&quot;issued&quot;:{&quot;date-parts&quot;:[[2011]]},&quot;number-of-pages&quot;:&quot;3013-3019&quot;,&quot;abstract&quot;:&quot;Present investigations were carried out to identify, quantify and find out the AMF relationship with chemical characteristics of rhizospheric soils of Mentha arvensis and M longifolia, growing in some cultivated and natural sites of KPK (Khyber PakhtunKhawa) respectively. Seven AMF species with M.arvensis and 11 with M.longifolia were recorded. The dominant Genus was Glomus (11 species) followed by Acaulospora and Gigaspora (2 species each). The AMF spore densities in studied sites were ranged from 30-245 spores/10 gr. soil. AM colonization ranged from 26.87-100 %. Coefficient of correlation (r) was estimated statistically to find out the relationship between AMF spore densities and chemical characteristics of soils.&quot;,&quot;issue&quot;:&quot;6&quot;,&quot;volume&quot;:&quot;43&quot;},&quot;isTemporary&quot;:false}],&quot;properties&quot;:{&quot;noteIndex&quot;:0},&quot;isEdited&quot;:false,&quot;manualOverride&quot;:{&quot;isManuallyOverridden&quot;:false,&quot;citeprocText&quot;:&quot;(Burni et al., 2011)&quot;,&quot;manualOverrideText&quot;:&quot;&quot;},&quot;citationTag&quot;:&quot;MENDELEY_CITATION_v3_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&quot;},{&quot;citationID&quot;:&quot;MENDELEY_CITATION_6efc3d92-90ff-4d49-b0de-31887334ef17&quot;,&quot;citationItems&quot;:[{&quot;id&quot;:&quot;9e362ff3-1a74-32a9-be25-fba94f5126bc&quot;,&quot;itemData&quot;:{&quot;type&quot;:&quot;book&quot;,&quot;id&quot;:&quot;9e362ff3-1a74-32a9-be25-fba94f5126bc&quot;,&quot;title&quot;:&quot;Mycorrhizal symbiosis. &quot;,&quot;author&quot;:[{&quot;family&quot;:&quot;Smith&quot;,&quot;given&quot;:&quot;S. E.&quot;,&quot;parse-names&quot;:false,&quot;dropping-particle&quot;:&quot;&quot;,&quot;non-dropping-particle&quot;:&quot;&quot;},{&quot;family&quot;:&quot;&amp; Read&quot;,&quot;given&quot;:&quot;D. J.&quot;,&quot;parse-names&quot;:false,&quot;dropping-particle&quot;:&quot;&quot;,&quot;non-dropping-particle&quot;:&quot;&quot;}],&quot;editor&quot;:[{&quot;family&quot;:&quot;Academic Press&quot;,&quot;given&quot;:&quot;.&quot;,&quot;parse-names&quot;:false,&quot;dropping-particle&quot;:&quot;&quot;,&quot;non-dropping-particle&quot;:&quot;&quot;}],&quot;issued&quot;:{&quot;date-parts&quot;:[[1997]]},&quot;publisher-place&quot;:&quot;London&quot;},&quot;isTemporary&quot;:false}],&quot;properties&quot;:{&quot;noteIndex&quot;:0},&quot;isEdited&quot;:false,&quot;manualOverride&quot;:{&quot;isManuallyOverridden&quot;:true,&quot;citeprocText&quot;:&quot;(S. E. Smith &amp;#38; &amp;#38; Read, 1997)&quot;,&quot;manualOverrideText&quot;:&quot;(Smith &amp; &amp; Read, 1997)&quot;},&quot;citationTag&quot;:&quot;MENDELEY_CITATION_v3_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&quot;},{&quot;citationID&quot;:&quot;MENDELEY_CITATION_dc46dbbc-b906-40fe-9193-5b2ec6356598&quot;,&quot;citationItems&quot;:[{&quot;id&quot;:&quot;f06cbefd-8868-386a-aae9-0ef80e56bef6&quot;,&quot;itemData&quot;:{&quot;type&quot;:&quot;article-journal&quot;,&quot;id&quot;:&quot;f06cbefd-8868-386a-aae9-0ef80e56bef6&quot;,&quot;title&quot;:&quot;Evolution of mycorrhiza systems&quot;,&quot;author&quot;:[{&quot;family&quot;:&quot;Cairney&quot;,&quot;given&quot;:&quot;J. W. G.&quot;,&quot;parse-names&quot;:false,&quot;dropping-particle&quot;:&quot;&quot;,&quot;non-dropping-particle&quot;:&quot;&quot;}],&quot;container-title&quot;:&quot;Naturwissenschaften&quot;,&quot;DOI&quot;:&quot;10.1007/s001140050762&quot;,&quot;ISSN&quot;:&quot;0028-1042&quot;,&quot;issued&quot;:{&quot;date-parts&quot;:[[2000,12,5]]},&quot;issue&quot;:&quot;11&quot;,&quot;volume&quot;:&quot;87&quot;},&quot;isTemporary&quot;:false}],&quot;properties&quot;:{&quot;noteIndex&quot;:0},&quot;isEdited&quot;:false,&quot;manualOverride&quot;:{&quot;isManuallyOverridden&quot;:false,&quot;citeprocText&quot;:&quot;(Cairney, 2000)&quot;,&quot;manualOverrideText&quot;:&quot;&quot;},&quot;citationTag&quot;:&quot;MENDELEY_CITATION_v3_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&quot;},{&quot;citationID&quot;:&quot;MENDELEY_CITATION_da869ed6-8d81-476a-a3a0-88bbe5555d4d&quot;,&quot;citationItems&quot;:[{&quot;id&quot;:&quot;80a8cbec-02a9-376a-9a5c-4b7a0408d03c&quot;,&quot;itemData&quot;:{&quot;type&quot;:&quot;article-journal&quot;,&quot;id&quot;:&quot;80a8cbec-02a9-376a-9a5c-4b7a0408d03c&quot;,&quot;title&quot;:&quot;Estimation of the biomass of arbuscular mycorrhizal fungi in a linseed field&quot;,&quot;author&quot;:[{&quot;family&quot;:&quot;Olsson&quot;,&quot;given&quot;:&quot;P.A&quot;,&quot;parse-names&quot;:false,&quot;dropping-particle&quot;:&quot;&quot;,&quot;non-dropping-particle&quot;:&quot;&quot;},{&quot;family&quot;:&quot;Thingstrup&quot;,&quot;given&quot;:&quot;I&quot;,&quot;parse-names&quot;:false,&quot;dropping-particle&quot;:&quot;&quot;,&quot;non-dropping-particle&quot;:&quot;&quot;},{&quot;family&quot;:&quot;Jakobsen&quot;,&quot;given&quot;:&quot;I&quot;,&quot;parse-names&quot;:false,&quot;dropping-particle&quot;:&quot;&quot;,&quot;non-dropping-particle&quot;:&quot;&quot;},{&quot;family&quot;:&quot;Bååth&quot;,&quot;given&quot;:&quot;E&quot;,&quot;parse-names&quot;:false,&quot;dropping-particle&quot;:&quot;&quot;,&quot;non-dropping-particle&quot;:&quot;&quot;}],&quot;container-title&quot;:&quot;Soil Biology and Biochemistry&quot;,&quot;DOI&quot;:&quot;10.1016/S0038-0717(99)00119-4&quot;,&quot;ISSN&quot;:&quot;00380717&quot;,&quot;issued&quot;:{&quot;date-parts&quot;:[[1999,11]]},&quot;issue&quot;:&quot;13&quot;,&quot;volume&quot;:&quot;31&quot;},&quot;isTemporary&quot;:false}],&quot;properties&quot;:{&quot;noteIndex&quot;:0},&quot;isEdited&quot;:false,&quot;manualOverride&quot;:{&quot;isManuallyOverridden&quot;:false,&quot;citeprocText&quot;:&quot;(Olsson et al., 1999)&quot;,&quot;manualOverrideText&quot;:&quot;&quot;},&quot;citationTag&quot;:&quot;MENDELEY_CITATION_v3_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&quot;},{&quot;citationID&quot;:&quot;MENDELEY_CITATION_f1b3fadb-f56f-49c2-b86d-695e711f1c88&quot;,&quot;citationItems&quot;:[{&quot;id&quot;:&quot;8e15c2aa-6343-3453-b4a9-d6964eb64d0e&quot;,&quot;itemData&quot;:{&quot;type&quot;:&quot;article-journal&quot;,&quot;id&quot;:&quot;8e15c2aa-6343-3453-b4a9-d6964eb64d0e&quot;,&quot;title&quot;:&quot;Contrasting arbuscular mycorrhizal responses of vascular and non-vascular plants to a simulated Palaeozoic CO2 decline&quot;,&quot;author&quot;:[{&quot;family&quot;:&quot;Field&quot;,&quot;given&quot;:&quot;Katie J.&quot;,&quot;parse-names&quot;:false,&quot;dropping-particle&quot;:&quot;&quot;,&quot;non-dropping-particle&quot;:&quot;&quot;},{&quot;family&quot;:&quot;Cameron&quot;,&quot;given&quot;:&quot;Duncan D.&quot;,&quot;parse-names&quot;:false,&quot;dropping-particle&quot;:&quot;&quot;,&quot;non-dropping-particle&quot;:&quot;&quot;},{&quot;family&quot;:&quot;Leake&quot;,&quot;given&quot;:&quot;Jonathan R.&quot;,&quot;parse-names&quot;:false,&quot;dropping-particle&quot;:&quot;&quot;,&quot;non-dropping-particle&quot;:&quot;&quot;},{&quot;family&quot;:&quot;Tille&quot;,&quot;given&quot;:&quot;Stefanie&quot;,&quot;parse-names&quot;:false,&quot;dropping-particle&quot;:&quot;&quot;,&quot;non-dropping-particle&quot;:&quot;&quot;},{&quot;family&quot;:&quot;Bidartondo&quot;,&quot;given&quot;:&quot;Martin I.&quot;,&quot;parse-names&quot;:false,&quot;dropping-particle&quot;:&quot;&quot;,&quot;non-dropping-particle&quot;:&quot;&quot;},{&quot;family&quot;:&quot;Beerling&quot;,&quot;given&quot;:&quot;David J.&quot;,&quot;parse-names&quot;:false,&quot;dropping-particle&quot;:&quot;&quot;,&quot;non-dropping-particle&quot;:&quot;&quot;}],&quot;container-title&quot;:&quot;Nature Communications&quot;,&quot;DOI&quot;:&quot;10.1038/ncomms1831&quot;,&quot;ISSN&quot;:&quot;20411723&quot;,&quot;PMID&quot;:&quot;22588297&quot;,&quot;issued&quot;:{&quot;date-parts&quot;:[[2012]]},&quot;abstract&quot;:&quot;The arbuscular mycorrhizal (AM) fungal symbiosis is widely hypothesized to have promoted the evolution of land plants from rootless gametophytes to rooted sporophytes during the mid-Palaeozoic (480-360 Myr, ago), at a time coincident with a 90% fall in the atmospheric CO2 concentration ([CO2 ]a). Here we show using standardized dual isotopic tracers ( 14 C and 33 P) that AM symbiosis efficiency (defined as plant P gain per unit of C invested into fungi) of liverwort gametophytes declines, but increases in the sporophytes of vascular plants (ferns and angiosperms), at 440 p.p.m. compared with 1,500 p.p.m. [CO2 ]a. These contrasting responses are associated with larger AM hyphal networks, and structural advances in vascular plant water-conducting systems, promoting P transport that enhances AM efficiency at 440 p.p.m. [CO2 ] a. Our results suggest that non-vascular land plants not only faced intense competition for light, as vascular land floras grew taller in the Palaeozoic, but also markedly reduced efficiency and total capture of P as [CO2 ]a fell. © 2012 Macmillan Publishers Limited. All rights reserved.&quot;,&quot;volume&quot;:&quot;3&quot;},&quot;isTemporary&quot;:false}],&quot;properties&quot;:{&quot;noteIndex&quot;:0},&quot;isEdited&quot;:false,&quot;manualOverride&quot;:{&quot;isManuallyOverridden&quot;:false,&quot;citeprocText&quot;:&quot;(Field et al., 2012)&quot;,&quot;manualOverrideText&quot;:&quot;&quot;},&quot;citationTag&quot;:&quot;MENDELEY_CITATION_v3_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&quot;},{&quot;citationID&quot;:&quot;MENDELEY_CITATION_af289da1-1347-4602-9591-23d9daf08eaa&quot;,&quot;citationItems&quot;:[{&quot;id&quot;:&quot;eab20047-c3a5-3a88-b4c1-9391fa139ebf&quot;,&quot;itemData&quot;:{&quot;type&quot;:&quot;article-journal&quot;,&quot;id&quot;:&quot;eab20047-c3a5-3a88-b4c1-9391fa139ebf&quot;,&quot;title&quot;:&quot;Glomalean Fungi from the Ordovician&quot;,&quot;author&quot;:[{&quot;family&quot;:&quot;Redecker&quot;,&quot;given&quot;:&quot;D.&quot;,&quot;parse-names&quot;:false,&quot;dropping-particle&quot;:&quot;&quot;,&quot;non-dropping-particle&quot;:&quot;&quot;}],&quot;container-title&quot;:&quot;Science&quot;,&quot;DOI&quot;:&quot;10.1126/science.289.5486.1920&quot;,&quot;ISSN&quot;:&quot;00368075&quot;,&quot;issued&quot;:{&quot;date-parts&quot;:[[2000,9,15]]},&quot;issue&quot;:&quot;5486&quot;,&quot;volume&quot;:&quot;289&quot;},&quot;isTemporary&quot;:false}],&quot;properties&quot;:{&quot;noteIndex&quot;:0},&quot;isEdited&quot;:false,&quot;manualOverride&quot;:{&quot;isManuallyOverridden&quot;:false,&quot;citeprocText&quot;:&quot;(Redecker, 2000)&quot;,&quot;manualOverrideText&quot;:&quot;&quot;},&quot;citationTag&quot;:&quot;MENDELEY_CITATION_v3_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&quot;},{&quot;citationID&quot;:&quot;MENDELEY_CITATION_148a1743-01cf-4b52-ba4d-1721e181564e&quot;,&quot;citationItems&quot;:[{&quot;id&quot;:&quot;9259c788-3fd3-38d2-98b5-678b1d2c17e7&quot;,&quot;itemData&quot;:{&quot;type&quot;:&quot;article-journal&quot;,&quot;id&quot;:&quot;9259c788-3fd3-38d2-98b5-678b1d2c17e7&quot;,&quot;title&quot;:&quot;Molecular Evidence for the Early Colonization of Land by Fungi and Plants&quot;,&quot;author&quot;:[{&quot;family&quot;:&quot;Heckman&quot;,&quot;given&quot;:&quot;D. S.&quot;,&quot;parse-names&quot;:false,&quot;dropping-particle&quot;:&quot;&quot;,&quot;non-dropping-particle&quot;:&quot;&quot;}],&quot;container-title&quot;:&quot;Science&quot;,&quot;DOI&quot;:&quot;10.1126/science.1061457&quot;,&quot;ISSN&quot;:&quot;00368075&quot;,&quot;issued&quot;:{&quot;date-parts&quot;:[[2001,8,10]]},&quot;issue&quot;:&quot;5532&quot;,&quot;volume&quot;:&quot;293&quot;},&quot;isTemporary&quot;:false}],&quot;properties&quot;:{&quot;noteIndex&quot;:0},&quot;isEdited&quot;:false,&quot;manualOverride&quot;:{&quot;isManuallyOverridden&quot;:false,&quot;citeprocText&quot;:&quot;(Heckman, 2001)&quot;,&quot;manualOverrideText&quot;:&quot;&quot;},&quot;citationTag&quot;:&quot;MENDELEY_CITATION_v3_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&quot;},{&quot;citationID&quot;:&quot;MENDELEY_CITATION_4c166f64-03a2-454b-bb34-fffa75845ae1&quot;,&quot;citationItems&quot;:[{&quot;id&quot;:&quot;f06cbefd-8868-386a-aae9-0ef80e56bef6&quot;,&quot;itemData&quot;:{&quot;type&quot;:&quot;article-journal&quot;,&quot;id&quot;:&quot;f06cbefd-8868-386a-aae9-0ef80e56bef6&quot;,&quot;title&quot;:&quot;Evolution of mycorrhiza systems&quot;,&quot;author&quot;:[{&quot;family&quot;:&quot;Cairney&quot;,&quot;given&quot;:&quot;J. W. G.&quot;,&quot;parse-names&quot;:false,&quot;dropping-particle&quot;:&quot;&quot;,&quot;non-dropping-particle&quot;:&quot;&quot;}],&quot;container-title&quot;:&quot;Naturwissenschaften&quot;,&quot;DOI&quot;:&quot;10.1007/s001140050762&quot;,&quot;ISSN&quot;:&quot;0028-1042&quot;,&quot;issued&quot;:{&quot;date-parts&quot;:[[2000,12,5]]},&quot;issue&quot;:&quot;11&quot;,&quot;volume&quot;:&quot;87&quot;},&quot;isTemporary&quot;:false}],&quot;properties&quot;:{&quot;noteIndex&quot;:0},&quot;isEdited&quot;:false,&quot;manualOverride&quot;:{&quot;isManuallyOverridden&quot;:false,&quot;citeprocText&quot;:&quot;(Cairney, 2000)&quot;,&quot;manualOverrideText&quot;:&quot;&quot;},&quot;citationTag&quot;:&quot;MENDELEY_CITATION_v3_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&quot;},{&quot;citationID&quot;:&quot;MENDELEY_CITATION_6c863636-1520-44f0-87f9-bdda4785c1d9&quot;,&quot;citationItems&quot;:[{&quot;id&quot;:&quot;f06cbefd-8868-386a-aae9-0ef80e56bef6&quot;,&quot;itemData&quot;:{&quot;type&quot;:&quot;article-journal&quot;,&quot;id&quot;:&quot;f06cbefd-8868-386a-aae9-0ef80e56bef6&quot;,&quot;title&quot;:&quot;Evolution of mycorrhiza systems&quot;,&quot;author&quot;:[{&quot;family&quot;:&quot;Cairney&quot;,&quot;given&quot;:&quot;J. W. G.&quot;,&quot;parse-names&quot;:false,&quot;dropping-particle&quot;:&quot;&quot;,&quot;non-dropping-particle&quot;:&quot;&quot;}],&quot;container-title&quot;:&quot;Naturwissenschaften&quot;,&quot;DOI&quot;:&quot;10.1007/s001140050762&quot;,&quot;ISSN&quot;:&quot;0028-1042&quot;,&quot;issued&quot;:{&quot;date-parts&quot;:[[2000,12,5]]},&quot;issue&quot;:&quot;11&quot;,&quot;volume&quot;:&quot;87&quot;},&quot;isTemporary&quot;:false}],&quot;properties&quot;:{&quot;noteIndex&quot;:0},&quot;isEdited&quot;:false,&quot;manualOverride&quot;:{&quot;isManuallyOverridden&quot;:true,&quot;citeprocText&quot;:&quot;(Cairney, 2000)&quot;,&quot;manualOverrideText&quot;:&quot;Cairney, 2000).&quot;},&quot;citationTag&quot;:&quot;MENDELEY_CITATION_v3_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&quot;},{&quot;citationID&quot;:&quot;MENDELEY_CITATION_c648a396-4894-4cd6-9233-1a3627eba4e0&quot;,&quot;citationItems&quot;:[{&quot;id&quot;:&quot;a453cef5-19f4-33ea-b572-d0e7dc794574&quot;,&quot;itemData&quot;:{&quot;type&quot;:&quot;article-journal&quot;,&quot;id&quot;:&quot;a453cef5-19f4-33ea-b572-d0e7dc794574&quot;,&quot;title&quot;:&quot;Changes in soil organic carbon, total nitrogen, and abundance of arbuscular mycorrhizal fungi along a large-scale aridity gradient&quot;,&quot;author&quot;:[{&quot;family&quot;:&quot;Yang&quot;,&quot;given&quot;:&quot;Haishui&quot;,&quot;parse-names&quot;:false,&quot;dropping-particle&quot;:&quot;&quot;,&quot;non-dropping-particle&quot;:&quot;&quot;},{&quot;family&quot;:&quot;Yuan&quot;,&quot;given&quot;:&quot;Yongge&quot;,&quot;parse-names&quot;:false,&quot;dropping-particle&quot;:&quot;&quot;,&quot;non-dropping-particle&quot;:&quot;&quot;},{&quot;family&quot;:&quot;Zhang&quot;,&quot;given&quot;:&quot;Qian&quot;,&quot;parse-names&quot;:false,&quot;dropping-particle&quot;:&quot;&quot;,&quot;non-dropping-particle&quot;:&quot;&quot;},{&quot;family&quot;:&quot;Tang&quot;,&quot;given&quot;:&quot;Jianjun&quot;,&quot;parse-names&quot;:false,&quot;dropping-particle&quot;:&quot;&quot;,&quot;non-dropping-particle&quot;:&quot;&quot;},{&quot;family&quot;:&quot;Liu&quot;,&quot;given&quot;:&quot;Yu&quot;,&quot;parse-names&quot;:false,&quot;dropping-particle&quot;:&quot;&quot;,&quot;non-dropping-particle&quot;:&quot;&quot;},{&quot;family&quot;:&quot;Chen&quot;,&quot;given&quot;:&quot;Xin&quot;,&quot;parse-names&quot;:false,&quot;dropping-particle&quot;:&quot;&quot;,&quot;non-dropping-particle&quot;:&quot;&quot;}],&quot;container-title&quot;:&quot;Catena&quot;,&quot;accessed&quot;:{&quot;date-parts&quot;:[[2021,4,5]]},&quot;DOI&quot;:&quot;10.1016/j.catena.2011.05.009&quot;,&quot;ISSN&quot;:&quot;03418162&quot;,&quot;issued&quot;:{&quot;date-parts&quot;:[[2011,10]]},&quot;page&quot;:&quot;70-77&quot;,&quot;abstract&quot;:&quot;Changes in soil organic carbon, total nitrogen, pH, and the abundance of arbuscular mycorrhizal fungi are examined along a large-scale aridity gradient from southeast to northwest in China. Soil organic carbon and total nitrogen decreased but pH increased with increased aridity. Aboveground plant biomass, spore abundance, and colonization of roots by arbuscular mycorrhizal fungi also declined as the aridity increased. Soil organic carbon and total nitrogen were positively correlated with aboveground plant biomass, and arbuscular mycorrhizal fungal spore number and root colonization were positively correlated with soil organic carbon, total nitrogen, and aboveground plant biomass but were negatively correlated with soil pH. A structural equation model suggested that aridity affected soil organic carbon and total nitrogen by limiting aboveground plant biomass. Aridity exerted a large direct effect and smaller indirect effects (via changes in aboveground plant biomass) on the abundance of arbuscular mycorrhizal fungi. Soil pH also directly influenced arbuscular mycorrhizal fungal abundance. These results suggest that aboveground plant biomass could be a key factor driving the changes of soil organic carbon, total nitrogen, and arbuscular mycorrhizal fungal abundance along this aridity gradient in China. © 2011 Elsevier B.V.&quot;,&quot;issue&quot;:&quot;1&quot;,&quot;volume&quot;:&quot;87&quot;},&quot;isTemporary&quot;:false}],&quot;properties&quot;:{&quot;noteIndex&quot;:0},&quot;isEdited&quot;:false,&quot;manualOverride&quot;:{&quot;isManuallyOverridden&quot;:false,&quot;citeprocText&quot;:&quot;(Yang et al., 2011)&quot;,&quot;manualOverrideText&quot;:&quot;&quot;},&quot;citationTag&quot;:&quot;MENDELEY_CITATION_v3_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&quot;},{&quot;citationID&quot;:&quot;MENDELEY_CITATION_9d324257-bbb8-4eb9-b42d-e92e700e2346&quot;,&quot;citationItems&quot;:[{&quot;id&quot;:&quot;f4a477eb-772a-338d-852e-e963bbf131ab&quot;,&quot;itemData&quot;:{&quot;type&quot;:&quot;article-journal&quot;,&quot;id&quot;:&quot;f4a477eb-772a-338d-852e-e963bbf131ab&quot;,&quot;title&quot;:&quot;Effects of arbuscular mycorrhizal inoculation and phosphorus supply on the growth and nutrient uptake of Kandelia obovata (Sheue, Liu &amp; Yong) seedlings in autoclaved soil&quot;,&quot;author&quot;:[{&quot;family&quot;:&quot;Xie&quot;,&quot;given&quot;:&quot;Xiangyu&quot;,&quot;parse-names&quot;:false,&quot;dropping-particle&quot;:&quot;&quot;,&quot;non-dropping-particle&quot;:&quot;&quot;},{&quot;family&quot;:&quot;Weng&quot;,&quot;given&quot;:&quot;Bosen&quot;,&quot;parse-names&quot;:false,&quot;dropping-particle&quot;:&quot;&quot;,&quot;non-dropping-particle&quot;:&quot;&quot;},{&quot;family&quot;:&quot;Cai&quot;,&quot;given&quot;:&quot;Bangping&quot;,&quot;parse-names&quot;:false,&quot;dropping-particle&quot;:&quot;&quot;,&quot;non-dropping-particle&quot;:&quot;&quot;},{&quot;family&quot;:&quot;Dong&quot;,&quot;given&quot;:&quot;Yiran&quot;,&quot;parse-names&quot;:false,&quot;dropping-particle&quot;:&quot;&quot;,&quot;non-dropping-particle&quot;:&quot;&quot;},{&quot;family&quot;:&quot;Yan&quot;,&quot;given&quot;:&quot;Chongling&quot;,&quot;parse-names&quot;:false,&quot;dropping-particle&quot;:&quot;&quot;,&quot;non-dropping-particle&quot;:&quot;&quot;}],&quot;container-title&quot;:&quot;Applied Soil Ecology&quot;,&quot;accessed&quot;:{&quot;date-parts&quot;:[[2021,4,5]]},&quot;DOI&quot;:&quot;10.1016/j.apsoil.2013.11.009&quot;,&quot;ISSN&quot;:&quot;09291393&quot;,&quot;issued&quot;:{&quot;date-parts&quot;:[[2014,3,1]]},&quot;page&quot;:&quot;162-171&quot;,&quot;abstract&quot;:&quot;This study evaluated the interactive effect of arbuscular mycorrhizal fungi (AMF) inoculation and exogenous phosphorus supply on soil phosphotases, plant growth, and nutrient uptake of Kandelia obovata (Sheue, Liu &amp; Yong). We aimed to explore the ecophysiological function of AMF in mangrove wetland ecosystems, and to clarify the possible survival mechanism of mangrove species against nutrient deficiency. K. obovata seedlings with or without AMF inoculation (mixed mangrove AMF), were cultivated for six months in autoclaved sediment medium which was supplemented with KH2PO4 (0, 15, 30, 60, 120mgkg-1). Then the plant growth, nitrogen and phosphorus content, root vitality, AMF colonization and soil phosphatase activity were analyzed. The inoculated AMF successfully infected K. obovata roots, developed intercellular hyphae, arbuscular (Arum-type), and vesicle structures. Arbuscular mycorrhizal fungi colonization ranged from 9.04 to 24.48%, with the highest value observed under 30 and 60mgkg-1 P treatments. Soil P supply, in the form of KH2PO4, significantly promoted the height and biomass of K. obovata, enhanced root vitality and P uptake, while partially inhibiting soil acid (ACP) and alkaline phosphotase (ALP) activities. Without enhancing plant height, the biomass, root vitality and P uptake were further increased when inoculated with AMF, and the reduction on ACP and ALP activities were alleviated. Phosphorus supply resulted in the decrease of leaf N-P ratio in K. obovata, and AMF inoculation strengthened the reduction, thus alleviating P limitation in plant growth. Arbuscular mycorrhizal fungi inoculation and adequate P supply (30mgkg-1 KH2PO4) enhanced root vitality, maintained soil ACP and ALP activities, increased plant N and P uptake, and resulted in greater biomass of K. obovata. Mutualistic symbiosis with AMF could explain the survival strategies of mangrove plants under a stressed environment (waterlogging and nutrient limitation) from a new perspective. © 2013 Elsevier B.V.&quot;,&quot;publisher&quot;:&quot;Elsevier&quot;,&quot;volume&quot;:&quot;75&quot;},&quot;isTemporary&quot;:false}],&quot;properties&quot;:{&quot;noteIndex&quot;:0},&quot;isEdited&quot;:false,&quot;manualOverride&quot;:{&quot;isManuallyOverridden&quot;:false,&quot;citeprocText&quot;:&quot;(Xie et al., 2014)&quot;,&quot;manualOverrideText&quot;:&quot;&quot;},&quot;citationTag&quot;:&quot;MENDELEY_CITATION_v3_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&quot;},{&quot;citationID&quot;:&quot;MENDELEY_CITATION_815e4678-bc14-4e93-b2a7-dff529191f3d&quot;,&quot;citationItems&quot;:[{&quot;id&quot;:&quot;7b8fed12-d2cf-3c40-8b69-ca49019dd8ea&quot;,&quot;itemData&quot;:{&quot;type&quot;:&quot;article-journal&quot;,&quot;id&quot;:&quot;7b8fed12-d2cf-3c40-8b69-ca49019dd8ea&quot;,&quot;title&quot;:&quot;Influence of arbuscular mycorrhiza on lipid peroxidation and antioxidant enzyme activity of maize plants under temperature stress&quot;,&quot;author&quot;:[{&quot;family&quot;:&quot;Zhu&quot;,&quot;given&quot;:&quot;Xiancan&quot;,&quot;parse-names&quot;:false,&quot;dropping-particle&quot;:&quot;&quot;,&quot;non-dropping-particle&quot;:&quot;&quot;},{&quot;family&quot;:&quot;Song&quot;,&quot;given&quot;:&quot;Fengbin&quot;,&quot;parse-names&quot;:false,&quot;dropping-particle&quot;:&quot;&quot;,&quot;non-dropping-particle&quot;:&quot;&quot;},{&quot;family&quot;:&quot;Xu&quot;,&quot;given&quot;:&quot;Hongwen&quot;,&quot;parse-names&quot;:false,&quot;dropping-particle&quot;:&quot;&quot;,&quot;non-dropping-particle&quot;:&quot;&quot;}],&quot;container-title&quot;:&quot;Mycorrhiza&quot;,&quot;DOI&quot;:&quot;10.1007/s00572-009-0285-7&quot;,&quot;ISSN&quot;:&quot;09406360&quot;,&quot;issued&quot;:{&quot;date-parts&quot;:[[2010,6]]},&quot;page&quot;:&quot;325-332&quot;,&quot;abstract&quot;:&quot;The influence of the arbuscular mycorrhizal (AM) fungus, Glomus etunicatum, on characteristics of growth, membrane lipid peroxidation, osmotic adjustment, and activity of antioxidant enzymes in leaves and roots of maize (Zea mays L.) plants was studied in pot culture under temperature stress. The maize plants were placed in a sand and soil mixture under normal temperature for 6 weeks and then exposed to five different temperature treatments (5oC, 15oC, 25oC, 35oC, and 40oC) for 1 week. AM symbiosis decreased membrane relative permeability and malondialdehyde content in leaves and roots. The contents of soluble sugar content and proline in roots were higher, but leaf proline content was lower in mycorrhizal than nonmycorrhizal plants. AM colonization increased the activities of superoxide dismutase, catalase, and peroxidase in leaves and roots. The results indicate that the AM fungus is capable of alleviating the damage caused by temperature stress on maize plants by reducing membrane lipid peroxidation and membrane permeability and increasing the accumulation of osmotic adjustment compounds and antioxidant enzyme activity. Consequently, arbuscular mycorrhiza formation highly enhanced the extreme temperature tolerance of maize plant, which increased host biomass and promoted plant growth. © 2009 Springer-Verlag.&quot;,&quot;issue&quot;:&quot;5&quot;,&quot;volume&quot;:&quot;20&quot;},&quot;isTemporary&quot;:false}],&quot;properties&quot;:{&quot;noteIndex&quot;:0},&quot;isEdited&quot;:false,&quot;manualOverride&quot;:{&quot;isManuallyOverridden&quot;:true,&quot;citeprocText&quot;:&quot;(X. Zhu et al., 2010)&quot;,&quot;manualOverrideText&quot;:&quot;(Zhu et al., 2010)&quot;},&quot;citationTag&quot;:&quot;MENDELEY_CITATION_v3_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&quot;},{&quot;citationID&quot;:&quot;MENDELEY_CITATION_8f99c2b4-23db-46c1-8b46-1db5082a05d8&quot;,&quot;citationItems&quot;:[{&quot;id&quot;:&quot;0e31756a-1f9d-3c14-b2b6-46234f39d43d&quot;,&quot;itemData&quot;:{&quot;type&quot;:&quot;article&quot;,&quot;id&quot;:&quot;0e31756a-1f9d-3c14-b2b6-46234f39d43d&quot;,&quot;title&quot;:&quot;A history of research on arbuscular mycorrhiza&quot;,&quot;author&quot;:[{&quot;family&quot;:&quot;Koide&quot;,&quot;given&quot;:&quot;Roger T.&quot;,&quot;parse-names&quot;:false,&quot;dropping-particle&quot;:&quot;&quot;,&quot;non-dropping-particle&quot;:&quot;&quot;},{&quot;family&quot;:&quot;Mosse&quot;,&quot;given&quot;:&quot;Barbara&quot;,&quot;parse-names&quot;:false,&quot;dropping-particle&quot;:&quot;&quot;,&quot;non-dropping-particle&quot;:&quot;&quot;}],&quot;container-title&quot;:&quot;Mycorrhiza&quot;,&quot;accessed&quot;:{&quot;date-parts&quot;:[[2021,4,5]]},&quot;DOI&quot;:&quot;10.1007/s00572-004-0307-4&quot;,&quot;ISSN&quot;:&quot;09406360&quot;,&quot;PMID&quot;:&quot;15088135&quot;,&quot;URL&quot;:&quot;https://link.springer.com/article/10.1007/s00572-004-0307-4&quot;,&quot;issued&quot;:{&quot;date-parts&quot;:[[2004,4,16]]},&quot;page&quot;:&quot;145-163&quot;,&quot;abstract&quot;:&quot;This is not a review paper in the traditional sense, of which there are many. Three of the most influential reviews that summarized well some of the \&quot;older\&quot; literature include those by Nicolson (1967), Gerdemann (1968) and Mosse (1973). Instead, in this brief and incomplete work, we attempt to show the historical development of research on arbuscular mycorrhizas. We owe much to those who have written other historical accounts, including Rayner (1926-1927), Trappe and Berch (1985), Mosse (1985), Schenck (1985), Harley (1991) and Allen (1996), but the contents of this work naturally reflect our own ignorance, interests and biases. It was often difficult to distinguish between the historical and the contemporary, and we did not use any specific cutoff date in making this distinction. The degree to which we include \&quot; contemporary\&quot; literature was determined by our own assessment of its connectedness to older literature. In any case, we hope this will be of some interest to those of you who study the arbuscular mycorrhiza, and that it will serve the purpose of providing what we consider to be an important historical context for current researchers. We wish you good fortune in your research. © Springer-Verlag 2004.&quot;,&quot;publisher&quot;:&quot;Springer Verlag&quot;,&quot;issue&quot;:&quot;3&quot;,&quot;volume&quot;:&quot;14&quot;},&quot;isTemporary&quot;:false},{&quot;id&quot;:&quot;f53261e1-bdeb-3494-ac25-30ce308fcac2&quot;,&quot;itemData&quot;:{&quot;type&quot;:&quot;article-journal&quot;,&quot;id&quot;:&quot;f53261e1-bdeb-3494-ac25-30ce308fcac2&quot;,&quot;title&quot;:&quot;Nomenclatural Clarifications and New Taxa in the Glomeromycota&quot;,&quot;author&quot;:[{&quot;family&quot;:&quot;Walker&quot;,&quot;given&quot;:&quot;Christopher&quot;,&quot;parse-names&quot;:false,&quot;dropping-particle&quot;:&quot;&quot;,&quot;non-dropping-particle&quot;:&quot;&quot;},{&quot;family&quot;:&quot;Schler&quot;,&quot;given&quot;:&quot;Arthur&quot;,&quot;parse-names&quot;:false,&quot;dropping-particle&quot;:&quot;&quot;,&quot;non-dropping-particle&quot;:&quot;&quot;}],&quot;container-title&quot;:&quot;Mycological Research&quot;,&quot;accessed&quot;:{&quot;date-parts&quot;:[[2021,4,5]]},&quot;DOI&quot;:&quot;10.1017/S0953756204231173&quot;,&quot;ISSN&quot;:&quot;14698102&quot;,&quot;URL&quot;:&quot;https://www.cambridge.org/core/journals/mycological-research/article/abs/nomenclatural-clarifications-and-new-taxa-in-the-glomeromycota/2385392BEAE9E2AFDA7DCB29192FF67B&quot;,&quot;issued&quot;:{&quot;date-parts&quot;:[[2004]]},&quot;page&quot;:&quot;981-982&quot;,&quot;abstract&quot;:&quot;//static.cambridge.org/content/id/urn%3Acambridge.org%3Aid%3Aarticle%3AS0953756204231173/resource/name/firstPage-S0953756204001170a.jpg&quot;,&quot;publisher&quot;:&quot;Cambridge University Press&quot;,&quot;issue&quot;:&quot;9&quot;,&quot;volume&quot;:&quot;108&quot;},&quot;isTemporary&quot;:false},{&quot;id&quot;:&quot;a32fd1ec-f3a7-3246-9358-dbb93e69b1b0&quot;,&quot;itemData&quot;:{&quot;type&quot;:&quot;article-journal&quot;,&quot;id&quot;:&quot;a32fd1ec-f3a7-3246-9358-dbb93e69b1b0&quot;,&quot;title&quot;:&quot;A new fungal phylum, the Glomeromycota: phylogeny and evolution&quot;,&quot;author&quot;:[{&quot;family&quot;:&quot;Schüβler&quot;,&quot;given&quot;:&quot;Arthur&quot;,&quot;parse-names&quot;:false,&quot;dropping-particle&quot;:&quot;&quot;,&quot;non-dropping-particle&quot;:&quot;&quot;},{&quot;family&quot;:&quot;Schwarzott&quot;,&quot;given&quot;:&quot;Daniel&quot;,&quot;parse-names&quot;:false,&quot;dropping-particle&quot;:&quot;&quot;,&quot;non-dropping-particle&quot;:&quot;&quot;},{&quot;family&quot;:&quot;Walker&quot;,&quot;given&quot;:&quot;Christopher&quot;,&quot;parse-names&quot;:false,&quot;dropping-particle&quot;:&quot;&quot;,&quot;non-dropping-particle&quot;:&quot;&quot;}],&quot;container-title&quot;:&quot;Mycological Research&quot;,&quot;DOI&quot;:&quot;10.1017/S0953756201005196&quot;,&quot;ISSN&quot;:&quot;09537562&quot;,&quot;issued&quot;:{&quot;date-parts&quot;:[[2001,12]]},&quot;issue&quot;:&quot;12&quot;,&quot;volume&quot;:&quot;105&quot;},&quot;isTemporary&quot;:false}],&quot;properties&quot;:{&quot;noteIndex&quot;:0},&quot;isEdited&quot;:false,&quot;manualOverride&quot;:{&quot;isManuallyOverridden&quot;:true,&quot;citeprocText&quot;:&quot;(Koide &amp;#38; Mosse, 2004; Schüβler et al., 2001; C. Walker &amp;#38; Schler, 2004)&quot;,&quot;manualOverrideText&quot;:&quot;(Koide &amp; Mosse, 2004; Schüβler et al., 2001; Walker &amp; Schler, 2004)&quot;},&quot;citationTag&quot;:&quot;MENDELEY_CITATION_v3_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&quot;},{&quot;citationID&quot;:&quot;MENDELEY_CITATION_6cff4962-3c2e-4e5d-a572-3456eb3f8749&quot;,&quot;citationItems&quot;:[{&quot;id&quot;:&quot;e6ed4eda-30d1-3fb2-bdbd-6c34084b43fa&quot;,&quot;itemData&quot;:{&quot;type&quot;:&quot;article-journal&quot;,&quot;id&quot;:&quot;e6ed4eda-30d1-3fb2-bdbd-6c34084b43fa&quot;,&quot;title&quot;:&quot;Effects of arbuscular mycorrhizae on tomato yield, nutrient uptake, water relations, and soil carbon dynamics under deficit irrigation in field conditions&quot;,&quot;author&quot;:[{&quot;family&quot;:&quot;Bowles&quot;,&quot;given&quot;:&quot;Timothy M.&quot;,&quot;parse-names&quot;:false,&quot;dropping-particle&quot;:&quot;&quot;,&quot;non-dropping-particle&quot;:&quot;&quot;},{&quot;family&quot;:&quot;Barrios-Masias&quot;,&quot;given&quot;:&quot;Felipe H.&quot;,&quot;parse-names&quot;:false,&quot;dropping-particle&quot;:&quot;&quot;,&quot;non-dropping-particle&quot;:&quot;&quot;},{&quot;family&quot;:&quot;Carlisle&quot;,&quot;given&quot;:&quot;Eli A.&quot;,&quot;parse-names&quot;:false,&quot;dropping-particle&quot;:&quot;&quot;,&quot;non-dropping-particle&quot;:&quot;&quot;},{&quot;family&quot;:&quot;Cavagnaro&quot;,&quot;given&quot;:&quot;Timothy R.&quot;,&quot;parse-names&quot;:false,&quot;dropping-particle&quot;:&quot;&quot;,&quot;non-dropping-particle&quot;:&quot;&quot;},{&quot;family&quot;:&quot;Jackson&quot;,&quot;given&quot;:&quot;Louise E.&quot;,&quot;parse-names&quot;:false,&quot;dropping-particle&quot;:&quot;&quot;,&quot;non-dropping-particle&quot;:&quot;&quot;}],&quot;container-title&quot;:&quot;Science of The Total Environment&quot;,&quot;DOI&quot;:&quot;10.1016/j.scitotenv.2016.05.178&quot;,&quot;ISSN&quot;:&quot;00489697&quot;,&quot;issued&quot;:{&quot;date-parts&quot;:[[2016,10]]},&quot;volume&quot;:&quot;566-567&quot;},&quot;isTemporary&quot;:false}],&quot;properties&quot;:{&quot;noteIndex&quot;:0},&quot;isEdited&quot;:false,&quot;manualOverride&quot;:{&quot;isManuallyOverridden&quot;:false,&quot;citeprocText&quot;:&quot;(Bowles et al., 2016)&quot;,&quot;manualOverrideText&quot;:&quot;&quot;},&quot;citationTag&quot;:&quot;MENDELEY_CITATION_v3_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&quot;},{&quot;citationID&quot;:&quot;MENDELEY_CITATION_b34c7944-03be-4738-bb68-2e9ef179d6cc&quot;,&quot;citationItems&quot;:[{&quot;id&quot;:&quot;dc88c38d-b5df-3225-bcae-b4c89c68d3bf&quot;,&quot;itemData&quot;:{&quot;type&quot;:&quot;article-journal&quot;,&quot;id&quot;:&quot;dc88c38d-b5df-3225-bcae-b4c89c68d3bf&quot;,&quot;title&quot;:&quot;Interactions of vesicular-arbuscular mycorrhizal infection and heavy metals in plants.I.the effects of heavy metals on the development of vesicular-arbuscular mycorrhizas&quot;,&quot;author&quot;:[{&quot;family&quot;:&quot;Gildon&quot;,&quot;given&quot;:&quot;A.&quot;,&quot;parse-names&quot;:false,&quot;dropping-particle&quot;:&quot;&quot;,&quot;non-dropping-particle&quot;:&quot;&quot;},{&quot;family&quot;:&quot;Tinker&quot;,&quot;given&quot;:&quot;P. B.&quot;,&quot;parse-names&quot;:false,&quot;dropping-particle&quot;:&quot;&quot;,&quot;non-dropping-particle&quot;:&quot;&quot;}],&quot;container-title&quot;:&quot;New Phytologist&quot;,&quot;DOI&quot;:&quot;10.1111/j.1469-8137.1983.tb03491.x&quot;,&quot;ISSN&quot;:&quot;0028-646X&quot;,&quot;issued&quot;:{&quot;date-parts&quot;:[[1983,10]]},&quot;issue&quot;:&quot;2&quot;,&quot;volume&quot;:&quot;95&quot;},&quot;isTemporary&quot;:false}],&quot;properties&quot;:{&quot;noteIndex&quot;:0},&quot;isEdited&quot;:false,&quot;manualOverride&quot;:{&quot;isManuallyOverridden&quot;:true,&quot;citeprocText&quot;:&quot;(Gildon &amp;#38; Tinker, 1983)&quot;,&quot;manualOverrideText&quot;:&quot;(Gildon &amp; Tinker, 1983) also &quot;},&quot;citationTag&quot;:&quot;MENDELEY_CITATION_v3_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&quot;},{&quot;citationID&quot;:&quot;MENDELEY_CITATION_36376697-d2d5-4d8a-903d-826c8f7c06d0&quot;,&quot;citationItems&quot;:[{&quot;id&quot;:&quot;d99a7bd1-a7fb-32f1-8d3b-02afe1e01149&quot;,&quot;itemData&quot;:{&quot;type&quot;:&quot;article-journal&quot;,&quot;id&quot;:&quot;d99a7bd1-a7fb-32f1-8d3b-02afe1e01149&quot;,&quot;title&quot;:&quot;Mycorrhizae in sustainable agriculture. I. Effects on seed yield and soil aggregation&quot;,&quot;author&quot;:[{&quot;family&quot;:&quot;Bethlenfalvay&quot;,&quot;given&quot;:&quot;Gabor J.&quot;,&quot;parse-names&quot;:false,&quot;dropping-particle&quot;:&quot;&quot;,&quot;non-dropping-particle&quot;:&quot;&quot;},{&quot;family&quot;:&quot;Barea&quot;,&quot;given&quot;:&quot;José-Miguel&quot;,&quot;parse-names&quot;:false,&quot;dropping-particle&quot;:&quot;&quot;,&quot;non-dropping-particle&quot;:&quot;&quot;}],&quot;container-title&quot;:&quot;American Journal of Alternative Agriculture&quot;,&quot;DOI&quot;:&quot;10.1017/S0889189300005919&quot;,&quot;ISSN&quot;:&quot;0889-1893&quot;,&quot;issued&quot;:{&quot;date-parts&quot;:[[1994,12,30]]},&quot;abstract&quot;:&quot;&lt;p&gt;Vesicular-arbuscular mycorrhizal (VAM) fungi colonize plant roots and the surrounding bulk soil. They transport mineral nutrients from the soil to the plant and carbon compounds from the plant to the soil, and have pervasive effects on plant form and function and on the composition of the soil microbiota. This experiment evaluated VAM effects on plants and soil to determine if VAM fungi mediate a relationship between changes in seed yield and soil aggregation. In a pot experiment with peas, an isolate of the VAM fungus Glomus mosseae (Nicol &amp;amp; Gerd.) Gerd. and Trappe did not significantly affect seed yield (8%), but improved soil aggregation by 400% in one soil, a gray silt-loam high in organic matter (OM) and phosphorus. In another soil, a yellow clay-loam low in OM and phosphorus, seed yield was enhanced significantly (57%), but there was only a small change (50%) in aggregation. The results suggest that carbon allocation between the plant (measured as seed yield) and the soil (measured as the formation of water-stable aggregates) is influenced by this VAM fungus. The soil appeared to gain carbon at the expense of carbon lost by the plant Mycorrhizal fungi thus seem to affect two biologically controlled aspects of sustainable agriculture: plant production and soil quality.&lt;/p&gt;&quot;,&quot;issue&quot;:&quot;4&quot;,&quot;volume&quot;:&quot;9&quot;},&quot;isTemporary&quot;:false},{&quot;id&quot;:&quot;2148905a-9fd1-3aec-8bd6-f948bbd84319&quot;,&quot;itemData&quot;:{&quot;type&quot;:&quot;report&quot;,&quot;id&quot;:&quot;2148905a-9fd1-3aec-8bd6-f948bbd84319&quot;,&quot;title&quot;:&quot;Manual on Arbuscular Mycorrhizal Fungus Production and Inoculation Techniques&quot;,&quot;author&quot;:[{&quot;family&quot;:&quot;Miyasaka S.C.&quot;,&quot;given&quot;:&quot;Habte M.,  Friday J.B., and Johnson E.V.&quot;,&quot;parse-names&quot;:false,&quot;dropping-particle&quot;:&quot;&quot;,&quot;non-dropping-particle&quot;:&quot;&quot;}],&quot;URL&quot;:&quot;http://www.ctahr.hawaii.edu/freepubs&quot;,&quot;issued&quot;:{&quot;date-parts&quot;:[[2003]]}},&quot;isTemporary&quot;:false},{&quot;id&quot;:&quot;e13c393f-2105-34d9-b9dd-e0543c760695&quot;,&quot;itemData&quot;:{&quot;type&quot;:&quot;book&quot;,&quot;id&quot;:&quot;e13c393f-2105-34d9-b9dd-e0543c760695&quot;,&quot;title&quot;:&quot; Plant Nutrient Management in Hawaii's Soils: Approaches for Tropical and Subtropical Agriculture&quot;,&quot;author&quot;:[{&quot;family&quot;:&quot;Silva&quot;,&quot;given&quot;:&quot;J. A.&quot;,&quot;parse-names&quot;:false,&quot;dropping-particle&quot;:&quot;&quot;,&quot;non-dropping-particle&quot;:&quot;&quot;},{&quot;family&quot;:&quot;&amp; Uchida&quot;,&quot;given&quot;:&quot;R. S.&quot;,&quot;parse-names&quot;:false,&quot;dropping-particle&quot;:&quot;&quot;,&quot;non-dropping-particle&quot;:&quot;&quot;}],&quot;issued&quot;:{&quot;date-parts&quot;:[[2000]]}},&quot;isTemporary&quot;:false}],&quot;properties&quot;:{&quot;noteIndex&quot;:0},&quot;isEdited&quot;:false,&quot;manualOverride&quot;:{&quot;isManuallyOverridden&quot;:true,&quot;citeprocText&quot;:&quot;(Bethlenfalvay &amp;#38; Barea, 1994; Miyasaka S.C., 2003; J. A. Silva &amp;#38; &amp;#38; Uchida, 2000)&quot;,&quot;manualOverrideText&quot;:&quot;(Bethlenfalvay &amp; Barea, 1994; Miyasaka S.C., 2003; Silva &amp; &amp; Uchida, 2000)&quot;},&quot;citationTag&quot;:&quot;MENDELEY_CITATION_v3_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&quot;},{&quot;citationID&quot;:&quot;MENDELEY_CITATION_0f57d5cf-245f-4ad9-a6ea-84904e88a235&quot;,&quot;citationItems&quot;:[{&quot;id&quot;:&quot;7e82069d-cf25-3413-bc4d-03477340742b&quot;,&quot;itemData&quot;:{&quot;type&quot;:&quot;article-journal&quot;,&quot;id&quot;:&quot;7e82069d-cf25-3413-bc4d-03477340742b&quot;,&quot;title&quot;:&quot;Effects of moisture regime and phosphorus on mycorrhizal infection, nutrient uptake, and growth of cowpeas (Vigna unguiculata (L.) Walp.)&quot;,&quot;author&quot;:[{&quot;family&quot;:&quot;Kwapata&quot;,&quot;given&quot;:&quot;M.B.&quot;,&quot;parse-names&quot;:false,&quot;dropping-particle&quot;:&quot;&quot;,&quot;non-dropping-particle&quot;:&quot;&quot;},{&quot;family&quot;:&quot;Hall&quot;,&quot;given&quot;:&quot;A.E.&quot;,&quot;parse-names&quot;:false,&quot;dropping-particle&quot;:&quot;&quot;,&quot;non-dropping-particle&quot;:&quot;&quot;}],&quot;container-title&quot;:&quot;Field Crops Research&quot;,&quot;DOI&quot;:&quot;10.1016/0378-4290(85)90072-3&quot;,&quot;ISSN&quot;:&quot;03784290&quot;,&quot;issued&quot;:{&quot;date-parts&quot;:[[1985,1]]},&quot;volume&quot;:&quot;12&quot;},&quot;isTemporary&quot;:false}],&quot;properties&quot;:{&quot;noteIndex&quot;:0},&quot;isEdited&quot;:false,&quot;manualOverride&quot;:{&quot;isManuallyOverridden&quot;:false,&quot;citeprocText&quot;:&quot;(Kwapata &amp;#38; Hall, 1985)&quot;,&quot;manualOverrideText&quot;:&quot;&quot;},&quot;citationTag&quot;:&quot;MENDELEY_CITATION_v3_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&quot;},{&quot;citationID&quot;:&quot;MENDELEY_CITATION_bde32e57-2ca4-4d5a-8faa-3362eb5fecf0&quot;,&quot;citationItems&quot;:[{&quot;id&quot;:&quot;8b42890b-b5cb-343a-a27f-e96102356f99&quot;,&quot;itemData&quot;:{&quot;type&quot;:&quot;article-journal&quot;,&quot;id&quot;:&quot;8b42890b-b5cb-343a-a27f-e96102356f99&quot;,&quot;title&quot;:&quot;Effectiveness of arbuscular mycorrhizal fungi in protection of maize (Zea mays L.) against witchweed (Striga hermonthica Del Benth) infestation&quot;,&quot;author&quot;:[{&quot;family&quot;:&quot;Othira&quot;,&quot;given&quot;:&quot;J. O.&quot;,&quot;parse-names&quot;:false,&quot;dropping-particle&quot;:&quot;&quot;,&quot;non-dropping-particle&quot;:&quot;&quot;}],&quot;container-title&quot;:&quot;Journal of Agricultural Biotechnology and Sustainable Development&quot;,&quot;DOI&quot;:&quot;10.5897/JABSD12.007&quot;,&quot;ISSN&quot;:&quot;21412340&quot;,&quot;issued&quot;:{&quot;date-parts&quot;:[[2012,6]]},&quot;issue&quot;:&quot;3&quot;,&quot;volume&quot;:&quot;4&quot;},&quot;isTemporary&quot;:false}],&quot;properties&quot;:{&quot;noteIndex&quot;:0},&quot;isEdited&quot;:false,&quot;manualOverride&quot;:{&quot;isManuallyOverridden&quot;:false,&quot;citeprocText&quot;:&quot;(Othira, 2012)&quot;,&quot;manualOverrideText&quot;:&quot;&quot;},&quot;citationTag&quot;:&quot;MENDELEY_CITATION_v3_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&quot;},{&quot;citationID&quot;:&quot;MENDELEY_CITATION_f5ab452c-c871-47ae-aa4a-8b98e0db6b77&quot;,&quot;citationItems&quot;:[{&quot;id&quot;:&quot;d16cf915-2367-369e-88d9-b59f9b07e175&quot;,&quot;itemData&quot;:{&quot;type&quot;:&quot;article-journal&quot;,&quot;id&quot;:&quot;d16cf915-2367-369e-88d9-b59f9b07e175&quot;,&quot;title&quot;:&quot;The relative contribution of hyphae and roots to phosphorus uptake by arbuscular mycorrhizal plants, measured by dual labelling with 32P and 33P&quot;,&quot;author&quot;:[{&quot;family&quot;:&quot;Pearson&quot;,&quot;given&quot;:&quot;J. N.&quot;,&quot;parse-names&quot;:false,&quot;dropping-particle&quot;:&quot;&quot;,&quot;non-dropping-particle&quot;:&quot;&quot;},{&quot;family&quot;:&quot;Jakobsen&quot;,&quot;given&quot;:&quot;I.&quot;,&quot;parse-names&quot;:false,&quot;dropping-particle&quot;:&quot;&quot;,&quot;non-dropping-particle&quot;:&quot;&quot;}],&quot;container-title&quot;:&quot;New Phytologist&quot;,&quot;DOI&quot;:&quot;10.1111/j.1469-8137.1993.tb03840.x&quot;,&quot;ISSN&quot;:&quot;0028-646X&quot;,&quot;issued&quot;:{&quot;date-parts&quot;:[[1993,7]]},&quot;issue&quot;:&quot;3&quot;,&quot;volume&quot;:&quot;124&quot;},&quot;isTemporary&quot;:false}],&quot;properties&quot;:{&quot;noteIndex&quot;:0},&quot;isEdited&quot;:false,&quot;manualOverride&quot;:{&quot;isManuallyOverridden&quot;:false,&quot;citeprocText&quot;:&quot;(Pearson &amp;#38; Jakobsen, 1993)&quot;,&quot;manualOverrideText&quot;:&quot;&quot;},&quot;citationTag&quot;:&quot;MENDELEY_CITATION_v3_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&quot;},{&quot;citationID&quot;:&quot;MENDELEY_CITATION_613ca541-d3c2-47ce-80dc-8cb3d96db0a0&quot;,&quot;citationItems&quot;:[{&quot;id&quot;:&quot;52432b96-0a6c-3333-936f-7557e534e401&quot;,&quot;itemData&quot;:{&quot;type&quot;:&quot;article-journal&quot;,&quot;id&quot;:&quot;52432b96-0a6c-3333-936f-7557e534e401&quot;,&quot;title&quot;:&quot;Growth response of sweet corn (Zea mays) to Glomus mosseae inoculation over different plant ages&quot;,&quot;author&quot;:[{&quot;family&quot;:&quot;Mustafa&quot;,&quot;given&quot;:&quot;Ali A.A.&quot;,&quot;parse-names&quot;:false,&quot;dropping-particle&quot;:&quot;&quot;,&quot;non-dropping-particle&quot;:&quot;&quot;},{&quot;family&quot;:&quot;Othman&quot;,&quot;given&quot;:&quot;Radziah&quot;,&quot;parse-names&quot;:false,&quot;dropping-particle&quot;:&quot;&quot;,&quot;non-dropping-particle&quot;:&quot;&quot;},{&quot;family&quot;:&quot;Zainal Abidin&quot;,&quot;given&quot;:&quot;M. A.&quot;,&quot;parse-names&quot;:false,&quot;dropping-particle&quot;:&quot;&quot;,&quot;non-dropping-particle&quot;:&quot;&quot;},{&quot;family&quot;:&quot;Ganesan&quot;,&quot;given&quot;:&quot;V.&quot;,&quot;parse-names&quot;:false,&quot;dropping-particle&quot;:&quot;&quot;,&quot;non-dropping-particle&quot;:&quot;&quot;}],&quot;container-title&quot;:&quot;Asian Journal of Plant Sciences&quot;,&quot;accessed&quot;:{&quot;date-parts&quot;:[[2021,4,5]]},&quot;DOI&quot;:&quot;10.3923/ajps.2010.337.343&quot;,&quot;ISSN&quot;:&quot;18125679&quot;,&quot;issued&quot;:{&quot;date-parts&quot;:[[2010]]},&quot;page&quot;:&quot;337-343&quot;,&quot;abstract&quot;:&quot;A glasshouse study was conducted to investigate the growth response of sweet corn (Zea mays) to mycorrhizal fungi inoculation over different plant ages (2, 4, 6, 8 and 10 weeks) and to determine the interaction between the host and mycorrhizal fungus on mycorrhizal development, using soil substrate as inoculum for Glomus mosseae. Inoculation had no significant effect on growth parameters in plants harvested at early ages in terms of plant height, total root length, root and shoot dry weights. The significant effect of mycorrhizal inoculation was observed on plants of eight weeks old. Percentage of mycorrhizal colonization and number of spores increased significantly at plants of 2 weeks old (24.1 and 39.2%), respectively while; the highest AMF spores level was recorded at plants of four weeks old. Inoculation with G. mosseae enhanced growth of sweet corn by increasing concentration of N, P and K (24.2, 8.4 and 18.2%), respectively. We concluded that the mycorrhizal inoculation need a time (not less than one month in sweet corn) until showed the beneficial effects on host plant to be desired. © 2010 Asian Network for Scientific Information.&quot;,&quot;publisher&quot;:&quot;Asian Network for Scientific Information&quot;,&quot;issue&quot;:&quot;6&quot;,&quot;volume&quot;:&quot;9&quot;},&quot;isTemporary&quot;:false}],&quot;properties&quot;:{&quot;noteIndex&quot;:0},&quot;isEdited&quot;:false,&quot;manualOverride&quot;:{&quot;isManuallyOverridden&quot;:false,&quot;citeprocText&quot;:&quot;(Mustafa et al., 2010)&quot;,&quot;manualOverrideText&quot;:&quot;&quot;},&quot;citationTag&quot;:&quot;MENDELEY_CITATION_v3_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&quot;},{&quot;citationID&quot;:&quot;MENDELEY_CITATION_cca5d92c-965c-4ba9-a384-e886833f55e4&quot;,&quot;citationItems&quot;:[{&quot;id&quot;:&quot;57139f99-dac3-32b2-83e3-fecd2f79807d&quot;,&quot;itemData&quot;:{&quot;type&quot;:&quot;article-journal&quot;,&quot;id&quot;:&quot;57139f99-dac3-32b2-83e3-fecd2f79807d&quot;,&quot;title&quot;:&quot;Cotton root growth as influenced by phosphorus nutrition and vesicular-arbuscular mycorrhizas&quot;,&quot;author&quot;:[{&quot;family&quot;:&quot;Price&quot;,&quot;given&quot;:&quot;N. S.&quot;,&quot;parse-names&quot;:false,&quot;dropping-particle&quot;:&quot;&quot;,&quot;non-dropping-particle&quot;:&quot;&quot;},{&quot;family&quot;:&quot;Roncadori&quot;,&quot;given&quot;:&quot;R. W.&quot;,&quot;parse-names&quot;:false,&quot;dropping-particle&quot;:&quot;&quot;,&quot;non-dropping-particle&quot;:&quot;&quot;},{&quot;family&quot;:&quot;Hussey&quot;,&quot;given&quot;:&quot;R. S.&quot;,&quot;parse-names&quot;:false,&quot;dropping-particle&quot;:&quot;&quot;,&quot;non-dropping-particle&quot;:&quot;&quot;}],&quot;container-title&quot;:&quot;New Phytologist&quot;,&quot;accessed&quot;:{&quot;date-parts&quot;:[[2021,4,5]]},&quot;DOI&quot;:&quot;10.1111/j.1469-8137.1989.tb04218.x&quot;,&quot;ISSN&quot;:&quot;0028-646X&quot;,&quot;URL&quot;:&quot;http://doi.wiley.com/10.1111/j.1469-8137.1989.tb04218.x&quot;,&quot;issued&quot;:{&quot;date-parts&quot;:[[1989,1,1]]},&quot;page&quot;:&quot;61-66&quot;,&quot;abstract&quot;:&quot;Cotton, Gossypium hirsutum L., was grown in the greenhouse in sand‐nutrient culture at five phosphorus (P) concentrations, and root systems were examined after 10 and 20 days. Extension rates of primary laterals and numbers of secondary laterals increased with increasing P. Cotton was grown for 6 weeks in environment cabinets in soils of three P concentrations with and without mycorrhizas. Increased P and mycorrhizas both stimulated plant growth (f. wt shoot d. wt), but however specific root length (cm root g' root f. wt) of mycorrhizal plants was reduced. Copyright © 1989, Wiley Blackwell. All rights reserved&quot;,&quot;publisher&quot;:&quot;HI&quot;,&quot;issue&quot;:&quot;1&quot;,&quot;volume&quot;:&quot;111&quot;},&quot;isTemporary&quot;:false},{&quot;id&quot;:&quot;bfa19db9-a8e6-39eb-a034-683574c2e835&quot;,&quot;itemData&quot;:{&quot;type&quot;:&quot;article-journal&quot;,&quot;id&quot;:&quot;bfa19db9-a8e6-39eb-a034-683574c2e835&quot;,&quot;title&quot;:&quot;Localized alteration in lateral root development in roots colonized by an arbuscular mycorrhizal fungus&quot;,&quot;author&quot;:[{&quot;family&quot;:&quot;Yano&quot;,&quot;given&quot;:&quot;K.&quot;,&quot;parse-names&quot;:false,&quot;dropping-particle&quot;:&quot;&quot;,&quot;non-dropping-particle&quot;:&quot;&quot;},{&quot;family&quot;:&quot;Yamauchi&quot;,&quot;given&quot;:&quot;A.&quot;,&quot;parse-names&quot;:false,&quot;dropping-particle&quot;:&quot;&quot;,&quot;non-dropping-particle&quot;:&quot;&quot;},{&quot;family&quot;:&quot;Kono&quot;,&quot;given&quot;:&quot;Y.&quot;,&quot;parse-names&quot;:false,&quot;dropping-particle&quot;:&quot;&quot;,&quot;non-dropping-particle&quot;:&quot;&quot;}],&quot;container-title&quot;:&quot;Mycorrhiza&quot;,&quot;accessed&quot;:{&quot;date-parts&quot;:[[2021,4,5]]},&quot;DOI&quot;:&quot;10.1007/s005720050140&quot;,&quot;ISSN&quot;:&quot;09406360&quot;,&quot;URL&quot;:&quot;https://link.springer.com/article/10.1007/s005720050140&quot;,&quot;issued&quot;:{&quot;date-parts&quot;:[[1996]]},&quot;page&quot;:&quot;409-415&quot;,&quot;abstract&quot;:&quot;The morphological responses of root systems to localized colonization by endophytes is not well understood. We examined the responses of lateral roots to the arbuscular mycorrhizal (AM) fungus Gigaspora margarita Becker and Hall inoculated locally into the soil. Peanut (Arachis hypogaea L.) and pigeon pea (Cajanus cajan (L.) Millsp.) were examined. Root boxes filled with nutrient- poor soil in were inoculated in one half with the fungus and in the other half with a sterilized inoculum. Responses were apparent after 30 days but not after 20 days. Overall, lateral root development was more advanced in inoculated soil. This was clearly observed for 2nd- and 3rd-order lateral roots, but less clear for 1st-order lateral roots in both species, although percentage of colonized root length was higher in 1st-order lateral roots. Whilst in peanut the responses were clearly evident at the level of lateral roots initiated on more proximal parts of the tap root axis, they occurred on more distal parts in pigeon pea. We conclude that plants under nutrient-poor conditions give priority to mycorrhizal roots when partitioning assimilation products within the root system. Thus, AM formation may induce local morphological alteration of root systems.&quot;,&quot;publisher&quot;:&quot;Springer-Verlag&quot;,&quot;issue&quot;:&quot;5&quot;,&quot;volume&quot;:&quot;6&quot;},&quot;isTemporary&quot;:false},{&quot;id&quot;:&quot;4ee87333-0116-34ae-842d-bb5dd8af3ac1&quot;,&quot;itemData&quot;:{&quot;type&quot;:&quot;article-journal&quot;,&quot;id&quot;:&quot;4ee87333-0116-34ae-842d-bb5dd8af3ac1&quot;,&quot;title&quot;:&quot;Rice phosphate transporters include an evolutionarily divergent gene specifically activated in arbuscular mycorrhizal symbiosis&quot;,&quot;author&quot;:[{&quot;family&quot;:&quot;Paszkowski&quot;,&quot;given&quot;:&quot;Uta&quot;,&quot;parse-names&quot;:false,&quot;dropping-particle&quot;:&quot;&quot;,&quot;non-dropping-particle&quot;:&quot;&quot;},{&quot;family&quot;:&quot;Kroken&quot;,&quot;given&quot;:&quot;Scott&quot;,&quot;parse-names&quot;:false,&quot;dropping-particle&quot;:&quot;&quot;,&quot;non-dropping-particle&quot;:&quot;&quot;},{&quot;family&quot;:&quot;Roux&quot;,&quot;given&quot;:&quot;Christophe&quot;,&quot;parse-names&quot;:false,&quot;dropping-particle&quot;:&quot;&quot;,&quot;non-dropping-particle&quot;:&quot;&quot;},{&quot;family&quot;:&quot;Briggs&quot;,&quot;given&quot;:&quot;Steven P.&quot;,&quot;parse-names&quot;:false,&quot;dropping-particle&quot;:&quot;&quot;,&quot;non-dropping-particle&quot;:&quot;&quot;}],&quot;container-title&quot;:&quot;Proceedings of the National Academy of Sciences of the United States of America&quot;,&quot;accessed&quot;:{&quot;date-parts&quot;:[[2021,3,26]]},&quot;DOI&quot;:&quot;10.1073/pnas.202474599&quot;,&quot;ISSN&quot;:&quot;00278424&quot;,&quot;PMID&quot;:&quot;12271140&quot;,&quot;URL&quot;:&quot;https://pubmed.ncbi.nlm.nih.gov/12271140/&quot;,&quot;issued&quot;:{&quot;date-parts&quot;:[[2002,10,1]]},&quot;page&quot;:&quot;13324-13329&quot;,&quot;abstract&quot;:&quot;Using a genome-wide approach, we asked how many transporter genes contribute to symbiotic phosphate uptake and analyzed their evolutionary conservation. Considering the sequenced rice genome at hand, only the Oryza sativa phosphate transporter (OsPT) gene OsPT11 was specifically induced during the arbuscular mycorrhizal symbiosis. This induction was confined to the root system and was tightly correlated with the degree of root colonization by Glomus intraradices. OsPT11 activation was independent of the nutritional status of the plant and phosphate availability in the rhizosphere. Moreover, infection of roots with the fungal pathogens Rhizoctonia solani and Fusarium moniliforme did not activate OsPT11, corroborating the high signal specificity for OsPT11 activation in the arbuscular mycorrhizal symbiosis. OsPT11 expression complemented a defect in phosphate uptake in a yeast strain mutated in its high-affinity Pi transporter (pho84), thereby confirming its function. Recently, a phosphate transporter gene in potato was shown to be induced during arbuscular mycorrhizal symbiosis. Assessment of the phylogenetic relationship of the rice and potato protein revealed that the rice is nonorthologous to the potato protein. Further, there are no structural commonalities in the promoter regions. Thus, although cytological and physiological features of the arbuscular mycorrhizal symbiosis seem to be conserved, the molecular components may differ significantly between distantly related plant species.&quot;,&quot;publisher&quot;:&quot;Proc Natl Acad Sci U S A&quot;,&quot;issue&quot;:&quot;20&quot;,&quot;volume&quot;:&quot;99&quot;},&quot;isTemporary&quot;:false},{&quot;id&quot;:&quot;444600ac-9139-38b2-abe5-a47e4f5258f5&quot;,&quot;itemData&quot;:{&quot;type&quot;:&quot;article-journal&quot;,&quot;id&quot;:&quot;444600ac-9139-38b2-abe5-a47e4f5258f5&quot;,&quot;title&quot;:&quot;Nod factors and a diffusible factor from arbuscular mycorrhizal fungi stimulate lateral root formation in Medicago truncatula via the DMI1/DMI2 signalling pathway&quot;,&quot;author&quot;:[{&quot;family&quot;:&quot;Oláh&quot;,&quot;given&quot;:&quot;Boglárka&quot;,&quot;parse-names&quot;:false,&quot;dropping-particle&quot;:&quot;&quot;,&quot;non-dropping-particle&quot;:&quot;&quot;},{&quot;family&quot;:&quot;Brière&quot;,&quot;given&quot;:&quot;Christian&quot;,&quot;parse-names&quot;:false,&quot;dropping-particle&quot;:&quot;&quot;,&quot;non-dropping-particle&quot;:&quot;&quot;},{&quot;family&quot;:&quot;Bécard&quot;,&quot;given&quot;:&quot;Guillaume&quot;,&quot;parse-names&quot;:false,&quot;dropping-particle&quot;:&quot;&quot;,&quot;non-dropping-particle&quot;:&quot;&quot;},{&quot;family&quot;:&quot;Dénarié&quot;,&quot;given&quot;:&quot;Jean&quot;,&quot;parse-names&quot;:false,&quot;dropping-particle&quot;:&quot;&quot;,&quot;non-dropping-particle&quot;:&quot;&quot;},{&quot;family&quot;:&quot;Gough&quot;,&quot;given&quot;:&quot;Clare&quot;,&quot;parse-names&quot;:false,&quot;dropping-particle&quot;:&quot;&quot;,&quot;non-dropping-particle&quot;:&quot;&quot;}],&quot;container-title&quot;:&quot;The Plant Journal&quot;,&quot;accessed&quot;:{&quot;date-parts&quot;:[[2021,4,5]]},&quot;DOI&quot;:&quot;10.1111/j.1365-313X.2005.02522.x&quot;,&quot;ISSN&quot;:&quot;09607412&quot;,&quot;URL&quot;:&quot;http://doi.wiley.com/10.1111/j.1365-313X.2005.02522.x&quot;,&quot;issued&quot;:{&quot;date-parts&quot;:[[2005,8,30]]},&quot;page&quot;:&quot;195-207&quot;,&quot;abstract&quot;:&quot;Legumes form two different types of intracellular root symbioses, with fungi and bacteria, resulting in arbuscular mycorrhiza and nitrogen-fixing nodules, respectively. Rhizobial signalling molecules, called Nod factors, play a key role in establishing the rhizobium-legume association and genes have been identified in Medicago truncatula that control a Nod factor signalling pathway leading to nodulation. Three of these genes, the so-called DMI1, DMI2 and DMI3 genes, are also required for formation of mycorrhiza, indicating that the symbiotic pathways activated by both the bacterial and the fungal symbionts share common steps. To analyse possible cross-talk between these pathways we have studied the effect of treatment with Nod factors on mycorrhization in M. truncatula. We show that Nod factors increase mycorrhizal colonization and stimulate lateral root formation. The stimulation of lateral root formation by Nod factors requires both the same structural features of Nod factors and the same plant genes (NFP, DMI1, DMI2, DMI3 and NSP1) that are required for other Nod factor-induced symbiotic responses such as early nodulin gene induction and cortical cell division. A diffusible factor from arbuscular mycorrhizal fungi was also found to stimulate lateral root formation, while three root pathogens did not have the same effect. Lateral root formation induced by fungal signal(s) was found to require the DMI1 and DMI2 genes, but not DMI3. The idea that this diffusible fungal factor might correspond to a previously hypothesized mycorrhizal signal, the 'Myc factor', is discussed. © 2005 Blackwell Publishing Ltd.&quot;,&quot;publisher&quot;:&quot;John Wiley &amp; Sons, Ltd&quot;,&quot;issue&quot;:&quot;2&quot;,&quot;volume&quot;:&quot;44&quot;},&quot;isTemporary&quot;:false},{&quot;id&quot;:&quot;159e8e99-ba4f-37b4-953b-e417331cc09a&quot;,&quot;itemData&quot;:{&quot;type&quot;:&quot;article-journal&quot;,&quot;id&quot;:&quot;159e8e99-ba4f-37b4-953b-e417331cc09a&quot;,&quot;title&quot;:&quot;Glomus intraradices induces changes in root system architecture of rice independently of common symbiosis signaling&quot;,&quot;author&quot;:[{&quot;family&quot;:&quot;Gutjahr&quot;,&quot;given&quot;:&quot;Caroline&quot;,&quot;parse-names&quot;:false,&quot;dropping-particle&quot;:&quot;&quot;,&quot;non-dropping-particle&quot;:&quot;&quot;},{&quot;family&quot;:&quot;Casieri&quot;,&quot;given&quot;:&quot;Leonardo&quot;,&quot;parse-names&quot;:false,&quot;dropping-particle&quot;:&quot;&quot;,&quot;non-dropping-particle&quot;:&quot;&quot;},{&quot;family&quot;:&quot;Paszkowski&quot;,&quot;given&quot;:&quot;Uta&quot;,&quot;parse-names&quot;:false,&quot;dropping-particle&quot;:&quot;&quot;,&quot;non-dropping-particle&quot;:&quot;&quot;}],&quot;container-title&quot;:&quot;New Phytologist&quot;,&quot;accessed&quot;:{&quot;date-parts&quot;:[[2021,4,5]]},&quot;DOI&quot;:&quot;10.1111/j.1469-8137.2009.02839.x&quot;,&quot;ISSN&quot;:&quot;0028646X&quot;,&quot;URL&quot;:&quot;http://doi.wiley.com/10.1111/j.1469-8137.2009.02839.x&quot;,&quot;issued&quot;:{&quot;date-parts&quot;:[[2009,6,1]]},&quot;page&quot;:&quot;829-837&quot;,&quot;abstract&quot;:&quot;Arbuscular mycorrhizal fungi colonize the roots of most monocotyledons and dicotyledons despite their different root architecture and cell patterning. Among the cereal hosts of arbuscular mycorrhizal fungi, Oryza sativa (rice) possesses a peculiar root system composed of three different types of roots: crown roots; large lateral roots; and fine lateral roots. Characteristic is the constitutive formation of aerenchyma in crown roots and large lateral roots and the absence of cortex from fine lateral roots. Here, we assessed the distribution of colonization by Glomus intraradices within this root system and determined its effect on root system architecture. • Large lateral roots are preferentially colonized, and fine lateral roots are immune to arbuscular mycorrhizal colonization. Fungal preference for large lateral roots also occurred in sym mutants that block colonization of the root beyond rhizodermal penetration. • Initiation of large lateral roots is significantly induced by G. intraradices colonization and does not require a functional common symbiosis signaling pathway from which some components are known to be needed for symbiosis-mediated lateral root induction in Medicago truncatula. • Our results suggest variation of symbiotic properties among the different rice root-types and induction of the preferred tissue by arbuscular mycorrhizal fungi. Furthermore, signaling for arbuscular mycorrhizal-elicited alterations of the root system differs between rice and M. truncatula. © 2009 New Phytologist.&quot;,&quot;publisher&quot;:&quot;Blackwell Publishing Ltd&quot;,&quot;issue&quot;:&quot;4&quot;,&quot;volume&quot;:&quot;182&quot;},&quot;isTemporary&quot;:false}],&quot;properties&quot;:{&quot;noteIndex&quot;:0},&quot;isEdited&quot;:false,&quot;manualOverride&quot;:{&quot;isManuallyOverridden&quot;:false,&quot;citeprocText&quot;:&quot;(Gutjahr et al., 2009; Oláh et al., 2005; Paszkowski et al., 2002; Price et al., 1989; Yano et al., 1996)&quot;,&quot;manualOverrideText&quot;:&quot;&quot;},&quot;citationTag&quot;:&quot;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&quot;},{&quot;citationID&quot;:&quot;MENDELEY_CITATION_ccd07395-2d08-4850-8af0-367bbfd63c07&quot;,&quot;citationItems&quot;:[{&quot;id&quot;:&quot;6a74d0f6-8745-3e96-a445-633d5984839f&quot;,&quot;itemData&quot;:{&quot;type&quot;:&quot;article&quot;,&quot;id&quot;:&quot;6a74d0f6-8745-3e96-a445-633d5984839f&quot;,&quot;title&quot;:&quot;Role of Arbuscular Mycorrhizal Fungi in Plant Growth Regulation: Implications in Abiotic Stress Tolerance&quot;,&quot;author&quot;:[{&quot;family&quot;:&quot;Begum&quot;,&quot;given&quot;:&quot;Naheeda&quot;,&quot;parse-names&quot;:false,&quot;dropping-particle&quot;:&quot;&quot;,&quot;non-dropping-particle&quot;:&quot;&quot;},{&quot;family&quot;:&quot;Qin&quot;,&quot;given&quot;:&quot;Cheng&quot;,&quot;parse-names&quot;:false,&quot;dropping-particle&quot;:&quot;&quot;,&quot;non-dropping-particle&quot;:&quot;&quot;},{&quot;family&quot;:&quot;Ahanger&quot;,&quot;given&quot;:&quot;Muhammad Abass&quot;,&quot;parse-names&quot;:false,&quot;dropping-particle&quot;:&quot;&quot;,&quot;non-dropping-particle&quot;:&quot;&quot;},{&quot;family&quot;:&quot;Raza&quot;,&quot;given&quot;:&quot;Sajjad&quot;,&quot;parse-names&quot;:false,&quot;dropping-particle&quot;:&quot;&quot;,&quot;non-dropping-particle&quot;:&quot;&quot;},{&quot;family&quot;:&quot;Khan&quot;,&quot;given&quot;:&quot;Muhammad Ishfaq&quot;,&quot;parse-names&quot;:false,&quot;dropping-particle&quot;:&quot;&quot;,&quot;non-dropping-particle&quot;:&quot;&quot;},{&quot;family&quot;:&quot;Ashraf&quot;,&quot;given&quot;:&quot;Muhammad&quot;,&quot;parse-names&quot;:false,&quot;dropping-particle&quot;:&quot;&quot;,&quot;non-dropping-particle&quot;:&quot;&quot;},{&quot;family&quot;:&quot;Ahmed&quot;,&quot;given&quot;:&quot;Nadeem&quot;,&quot;parse-names&quot;:false,&quot;dropping-particle&quot;:&quot;&quot;,&quot;non-dropping-particle&quot;:&quot;&quot;},{&quot;family&quot;:&quot;Zhang&quot;,&quot;given&quot;:&quot;Lixin&quot;,&quot;parse-names&quot;:false,&quot;dropping-particle&quot;:&quot;&quot;,&quot;non-dropping-particle&quot;:&quot;&quot;}],&quot;container-title&quot;:&quot;Frontiers in Plant Science&quot;,&quot;DOI&quot;:&quot;10.3389/fpls.2019.01068&quot;,&quot;ISSN&quot;:&quot;1664462X&quot;,&quot;issued&quot;:{&quot;date-parts&quot;:[[2019,9,19]]},&quot;abstract&quot;:&quot;Abiotic stresses hamper plant growth and productivity. Climate change and agricultural malpractices like excessive use of fertilizers and pesticides have aggravated the effects of abiotic stresses on crop productivity and degraded the ecosystem. There is an urgent need for environment-friendly management techniques such as the use of arbuscular mycorrhizal fungi (AMF) for enhancing crop productivity. AMF are commonly known as bio-fertilizers. Moreover, it is widely believed that the inoculation of AMF provides tolerance to host plants against various stressful situations like heat, salinity, drought, metals, and extreme temperatures. AMF may both assist host plants in the up-regulation of tolerance mechanisms and prevent the down-regulation of key metabolic pathways. AMF, being natural root symbionts, provide essential plant inorganic nutrients to host plants, thereby improving growth and yield under unstressed and stressed regimes. The role of AMF as a bio-fertilizer can potentially strengthen plants’ adaptability to changing environment. Thus, further research focusing on the AMF-mediated promotion of crop quality and productivity is needed. The present review provides a comprehensive up-to-date knowledge on AMF and their influence on host plants at various growth stages, their advantages and applications, and consequently the importance of the relationships of different plant nutrients with AMF.&quot;,&quot;publisher&quot;:&quot;Frontiers Media S.A.&quot;,&quot;volume&quot;:&quot;10&quot;},&quot;isTemporary&quot;:false}],&quot;properties&quot;:{&quot;noteIndex&quot;:0},&quot;isEdited&quot;:false,&quot;manualOverride&quot;:{&quot;isManuallyOverridden&quot;:true,&quot;citeprocText&quot;:&quot;(Begum et al., 2019)&quot;,&quot;manualOverrideText&quot;:&quot;Begum et al., 2019)&quot;},&quot;citationTag&quot;:&quot;MENDELEY_CITATION_v3_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&quot;},{&quot;citationID&quot;:&quot;MENDELEY_CITATION_7a12503b-aef8-4323-ad76-fb29eb7f1353&quot;,&quot;citationItems&quot;:[{&quot;id&quot;:&quot;beb4764e-af80-35a4-bae1-0e01d8e96d7d&quot;,&quot;itemData&quot;:{&quot;type&quot;:&quot;article-journal&quot;,&quot;id&quot;:&quot;beb4764e-af80-35a4-bae1-0e01d8e96d7d&quot;,&quot;title&quot;:&quot;Applications of arbuscular mycorrhizal fungi in agroecosystems. Tropical and Subtropical Agroecosystems&quot;,&quot;author&quot;:[{&quot;family&quot;:&quot;Khadi&quot;,&quot;given&quot;:&quot;S.W.&quot;,&quot;parse-names&quot;:false,&quot;dropping-particle&quot;:&quot;&quot;,&quot;non-dropping-particle&quot;:&quot;&quot;},{&quot;family&quot;:&quot;Rodrigues&quot;,&quot;given&quot;:&quot;B.F.&quot;,&quot;parse-names&quot;:false,&quot;dropping-particle&quot;:&quot;&quot;,&quot;non-dropping-particle&quot;:&quot;&quot;}],&quot;container-title&quot;:&quot;Tropical and Subtropical Agroecosystems&quot;,&quot;issued&quot;:{&quot;date-parts&quot;:[[2009]]},&quot;page&quot;:&quot;337-354&quot;,&quot;volume&quot;:&quot;10&quot;},&quot;isTemporary&quot;:false}],&quot;properties&quot;:{&quot;noteIndex&quot;:0},&quot;isEdited&quot;:false,&quot;manualOverride&quot;:{&quot;isManuallyOverridden&quot;:true,&quot;citeprocText&quot;:&quot;(Khadi &amp;#38; Rodrigues, 2009)&quot;,&quot;manualOverrideText&quot;:&quot;(Khadi &amp; Rodrigues, 2009).&quot;},&quot;citationTag&quot;:&quot;MENDELEY_CITATION_v3_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&quot;},{&quot;citationID&quot;:&quot;MENDELEY_CITATION_af7ae3b6-5171-48be-9fc3-b2c76ad615f3&quot;,&quot;citationItems&quot;:[{&quot;id&quot;:&quot;2148905a-9fd1-3aec-8bd6-f948bbd84319&quot;,&quot;itemData&quot;:{&quot;type&quot;:&quot;report&quot;,&quot;id&quot;:&quot;2148905a-9fd1-3aec-8bd6-f948bbd84319&quot;,&quot;title&quot;:&quot;Manual on Arbuscular Mycorrhizal Fungus Production and Inoculation Techniques&quot;,&quot;author&quot;:[{&quot;family&quot;:&quot;Miyasaka S.C.&quot;,&quot;given&quot;:&quot;Habte M.,  Friday J.B., and Johnson E.V.&quot;,&quot;parse-names&quot;:false,&quot;dropping-particle&quot;:&quot;&quot;,&quot;non-dropping-particle&quot;:&quot;&quot;}],&quot;URL&quot;:&quot;http://www.ctahr.hawaii.edu/freepubs&quot;,&quot;issued&quot;:{&quot;date-parts&quot;:[[2003]]}},&quot;isTemporary&quot;:false}],&quot;properties&quot;:{&quot;noteIndex&quot;:0},&quot;isEdited&quot;:false,&quot;manualOverride&quot;:{&quot;isManuallyOverridden&quot;:true,&quot;citeprocText&quot;:&quot;(Miyasaka S.C., 2003)&quot;,&quot;manualOverrideText&quot;:&quot;(Miyasaka, 2003)&quot;},&quot;citationTag&quot;:&quot;MENDELEY_CITATION_v3_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&quot;},{&quot;citationID&quot;:&quot;MENDELEY_CITATION_c6086a4d-4547-4c19-8759-ff64c9210b5c&quot;,&quot;citationItems&quot;:[{&quot;id&quot;:&quot;7fd5ce42-6f48-331b-b378-885ae22a341a&quot;,&quot;itemData&quot;:{&quot;type&quot;:&quot;article-journal&quot;,&quot;id&quot;:&quot;7fd5ce42-6f48-331b-b378-885ae22a341a&quot;,&quot;title&quot;:&quot;Extraradical hyphae of the mycorrhizal fungus &lt;i&gt;Glomus intraradices&lt;/i&gt; can hydrolyse organic phosphate&quot;,&quot;author&quot;:[{&quot;family&quot;:&quot;Koide&quot;,&quot;given&quot;:&quot;R. T.&quot;,&quot;parse-names&quot;:false,&quot;dropping-particle&quot;:&quot;&quot;,&quot;non-dropping-particle&quot;:&quot;&quot;},{&quot;family&quot;:&quot;Kabir&quot;,&quot;given&quot;:&quot;Z.&quot;,&quot;parse-names&quot;:false,&quot;dropping-particle&quot;:&quot;&quot;,&quot;non-dropping-particle&quot;:&quot;&quot;}],&quot;container-title&quot;:&quot;New Phytologist&quot;,&quot;DOI&quot;:&quot;10.1046/j.1469-8137.2000.00776.x&quot;,&quot;ISSN&quot;:&quot;0028-646X&quot;,&quot;issued&quot;:{&quot;date-parts&quot;:[[2000,12,18]]},&quot;issue&quot;:&quot;3&quot;,&quot;volume&quot;:&quot;148&quot;},&quot;isTemporary&quot;:false},{&quot;id&quot;:&quot;6384b96c-2005-3506-bf63-7552b707cead&quot;,&quot;itemData&quot;:{&quot;type&quot;:&quot;article-journal&quot;,&quot;id&quot;:&quot;6384b96c-2005-3506-bf63-7552b707cead&quot;,&quot;title&quot;:&quot;Solubilization of Insoluble Inorganic Phosphate by Hyphal Exudates of Arbuscular Mycorrhizal Fungi&quot;,&quot;author&quot;:[{&quot;family&quot;:&quot;Tawaraya&quot;,&quot;given&quot;:&quot;Keitaro&quot;,&quot;parse-names&quot;:false,&quot;dropping-particle&quot;:&quot;&quot;,&quot;non-dropping-particle&quot;:&quot;&quot;},{&quot;family&quot;:&quot;Naito&quot;,&quot;given&quot;:&quot;Makoto&quot;,&quot;parse-names&quot;:false,&quot;dropping-particle&quot;:&quot;&quot;,&quot;non-dropping-particle&quot;:&quot;&quot;},{&quot;family&quot;:&quot;Wagatsuma&quot;,&quot;given&quot;:&quot;Tadao&quot;,&quot;parse-names&quot;:false,&quot;dropping-particle&quot;:&quot;&quot;,&quot;non-dropping-particle&quot;:&quot;&quot;}],&quot;container-title&quot;:&quot;Journal of Plant Nutrition&quot;,&quot;DOI&quot;:&quot;10.1080/01904160600564428&quot;,&quot;ISSN&quot;:&quot;0190-4167&quot;,&quot;issued&quot;:{&quot;date-parts&quot;:[[2006,5]]},&quot;issue&quot;:&quot;4&quot;,&quot;volume&quot;:&quot;29&quot;},&quot;isTemporary&quot;:false}],&quot;properties&quot;:{&quot;noteIndex&quot;:0},&quot;isEdited&quot;:false,&quot;manualOverride&quot;:{&quot;isManuallyOverridden&quot;:false,&quot;citeprocText&quot;:&quot;(Koide &amp;#38; Kabir, 2000; Tawaraya et al., 2006)&quot;,&quot;manualOverrideText&quot;:&quot;&quot;},&quot;citationTag&quot;:&quot;MENDELEY_CITATION_v3_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&quot;},{&quot;citationID&quot;:&quot;MENDELEY_CITATION_a1f8ab07-ba54-4e50-a421-84ce17671b83&quot;,&quot;citationItems&quot;:[{&quot;id&quot;:&quot;9e362ff3-1a74-32a9-be25-fba94f5126bc&quot;,&quot;itemData&quot;:{&quot;type&quot;:&quot;book&quot;,&quot;id&quot;:&quot;9e362ff3-1a74-32a9-be25-fba94f5126bc&quot;,&quot;title&quot;:&quot;Mycorrhizal symbiosis. &quot;,&quot;author&quot;:[{&quot;family&quot;:&quot;Smith&quot;,&quot;given&quot;:&quot;S. E.&quot;,&quot;parse-names&quot;:false,&quot;dropping-particle&quot;:&quot;&quot;,&quot;non-dropping-particle&quot;:&quot;&quot;},{&quot;family&quot;:&quot;&amp; Read&quot;,&quot;given&quot;:&quot;D. J.&quot;,&quot;parse-names&quot;:false,&quot;dropping-particle&quot;:&quot;&quot;,&quot;non-dropping-particle&quot;:&quot;&quot;}],&quot;editor&quot;:[{&quot;family&quot;:&quot;Academic Press&quot;,&quot;given&quot;:&quot;.&quot;,&quot;parse-names&quot;:false,&quot;dropping-particle&quot;:&quot;&quot;,&quot;non-dropping-particle&quot;:&quot;&quot;}],&quot;issued&quot;:{&quot;date-parts&quot;:[[1997]]},&quot;publisher-place&quot;:&quot;London&quot;},&quot;isTemporary&quot;:false}],&quot;properties&quot;:{&quot;noteIndex&quot;:0},&quot;isEdited&quot;:false,&quot;manualOverride&quot;:{&quot;isManuallyOverridden&quot;:true,&quot;citeprocText&quot;:&quot;(S. E. Smith &amp;#38; &amp;#38; Read, 1997)&quot;,&quot;manualOverrideText&quot;:&quot;(Smith &amp; &amp; Read, 1997).&quot;},&quot;citationTag&quot;:&quot;MENDELEY_CITATION_v3_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&quot;},{&quot;citationID&quot;:&quot;MENDELEY_CITATION_ba571029-4e51-4761-bbcc-f6a7b115cca6&quot;,&quot;citationItems&quot;:[{&quot;id&quot;:&quot;136ac026-df9a-35c3-bd25-59913724e0cc&quot;,&quot;itemData&quot;:{&quot;type&quot;:&quot;book&quot;,&quot;id&quot;:&quot;136ac026-df9a-35c3-bd25-59913724e0cc&quot;,&quot;title&quot;:&quot;Mycorrhizal Symbiosis&quot;,&quot;author&quot;:[{&quot;family&quot;:&quot;Smith&quot;,&quot;given&quot;:&quot;Sally&quot;,&quot;parse-names&quot;:false,&quot;dropping-particle&quot;:&quot;&quot;,&quot;non-dropping-particle&quot;:&quot;&quot;},{&quot;family&quot;:&quot;Read&quot;,&quot;given&quot;:&quot;David&quot;,&quot;parse-names&quot;:false,&quot;dropping-particle&quot;:&quot;&quot;,&quot;non-dropping-particle&quot;:&quot;&quot;}],&quot;container-title&quot;:&quot;Mycorrhizal Symbiosis&quot;,&quot;accessed&quot;:{&quot;date-parts&quot;:[[2021,3,15]]},&quot;DOI&quot;:&quot;10.1016/B978-0-12-370526-6.X5001-6&quot;,&quot;ISBN&quot;:&quot;9780123705266&quot;,&quot;issued&quot;:{&quot;date-parts&quot;:[[2008]]},&quot;abstract&quot;:&quot;The roots of most plants are colonized by symbiotic fungi to form mycorrhiza, which play a critical role in the capture of nutrients from the soil and therefore in plant nutrition. Mycorrhizal Symbiosis is recognized as the definitive work in this area. Since the last edition was published there have been major advances in the field, particularly in the area of molecular biology, and the new edition has been fully revised and updated to incorporate these exciting new developments. . Over 50% new material . Includes expanded color plate section . Covers all aspects of mycorrhiza . Presents new taxonomy . Discusses the impact of proteomics and genomics on research in this area. © 2008 Elsevier Ltd All rights reserved.&quot;,&quot;publisher&quot;:&quot;Elsevier Ltd&quot;},&quot;isTemporary&quot;:false}],&quot;properties&quot;:{&quot;noteIndex&quot;:0},&quot;isEdited&quot;:false,&quot;manualOverride&quot;:{&quot;isManuallyOverridden&quot;:true,&quot;citeprocText&quot;:&quot;(S. Smith &amp;#38; Read, 2008)&quot;,&quot;manualOverrideText&quot;:&quot;(Smith &amp; Read, 2008)&quot;},&quot;citationTag&quot;:&quot;MENDELEY_CITATION_v3_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&quot;},{&quot;citationID&quot;:&quot;MENDELEY_CITATION_0e10e43a-5b9d-4880-a8c4-6edfd0f23881&quot;,&quot;citationItems&quot;:[{&quot;id&quot;:&quot;27200258-eca3-3ee0-aa57-6dfc28c15f30&quot;,&quot;itemData&quot;:{&quot;type&quot;:&quot;article-journal&quot;,&quot;id&quot;:&quot;27200258-eca3-3ee0-aa57-6dfc28c15f30&quot;,&quot;title&quot;:&quot;Agroecology: the key role of arbuscular mycorrhizas in ecosystem services&quot;,&quot;author&quot;:[{&quot;family&quot;:&quot;Gianinazzi&quot;,&quot;given&quot;:&quot;Silvio&quot;,&quot;parse-names&quot;:false,&quot;dropping-particle&quot;:&quot;&quot;,&quot;non-dropping-particle&quot;:&quot;&quot;},{&quot;family&quot;:&quot;Gollotte&quot;,&quot;given&quot;:&quot;Armelle&quot;,&quot;parse-names&quot;:false,&quot;dropping-particle&quot;:&quot;&quot;,&quot;non-dropping-particle&quot;:&quot;&quot;},{&quot;family&quot;:&quot;Binet&quot;,&quot;given&quot;:&quot;Marie-Noëlle&quot;,&quot;parse-names&quot;:false,&quot;dropping-particle&quot;:&quot;&quot;,&quot;non-dropping-particle&quot;:&quot;&quot;},{&quot;family&quot;:&quot;Tuinen&quot;,&quot;given&quot;:&quot;Diederik&quot;,&quot;parse-names&quot;:false,&quot;dropping-particle&quot;:&quot;&quot;,&quot;non-dropping-particle&quot;:&quot;van&quot;},{&quot;family&quot;:&quot;Redecker&quot;,&quot;given&quot;:&quot;Dirk&quot;,&quot;parse-names&quot;:false,&quot;dropping-particle&quot;:&quot;&quot;,&quot;non-dropping-particle&quot;:&quot;&quot;},{&quot;family&quot;:&quot;Wipf&quot;,&quot;given&quot;:&quot;Daniel&quot;,&quot;parse-names&quot;:false,&quot;dropping-particle&quot;:&quot;&quot;,&quot;non-dropping-particle&quot;:&quot;&quot;}],&quot;container-title&quot;:&quot;Mycorrhiza &quot;,&quot;accessed&quot;:{&quot;date-parts&quot;:[[2021,4,5]]},&quot;DOI&quot;:&quot;10.1007/s00572-010-0333-3&quot;,&quot;URL&quot;:&quot;http://www.amf-phylogeny.com&quot;,&quot;issued&quot;:{&quot;date-parts&quot;:[[2010]]},&quot;page&quot;:&quot;519-530&quot;,&quot;abstract&quot;:&quot;The beneficial effects of arbuscular mycorrhizal (AM) fungi on plant performance and soil health are essential for the sustainable management of agricultural ecosystems. Nevertheless, since the 'first green revolution', less attention has been given to beneficial soil microorganisms in general and to AM fungi in particular. Human society benefits from a multitude of resources and processes from natural and managed ecosystems, to which AM make a crucial contribution. These resources and processes, which are called ecosystem services, include products like food and processes like nutrient transfer. Many people have been under the illusion that these ecosystem services are free, invulnerable and infinitely available; taken for granted as public benefits, they lack a formal market and are traditionally absent from society's balance sheet. In 1997, a team of researchers from the USA, Argentina and the Netherlands put an average price tag of US $33 trillion a year on these fundamental ecosystem services. The present review highlights the key role that the AM symbiosis can play as an ecosystem service provider to guarantee plant productivity and quality in emerging systems of sustainable agriculture. The appropriate management of ecosystem services rendered by AM will impact on natural resource conservation and utilisation with an obvious net gain for human society.&quot;,&quot;volume&quot;:&quot;20&quot;},&quot;isTemporary&quot;:false}],&quot;properties&quot;:{&quot;noteIndex&quot;:0},&quot;isEdited&quot;:false,&quot;manualOverride&quot;:{&quot;isManuallyOverridden&quot;:false,&quot;citeprocText&quot;:&quot;(Gianinazzi et al., 2010)&quot;,&quot;manualOverrideText&quot;:&quot;&quot;},&quot;citationTag&quot;:&quot;MENDELEY_CITATION_v3_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&quot;},{&quot;citationID&quot;:&quot;MENDELEY_CITATION_a36186e9-4b22-4214-acce-101ef876adcc&quot;,&quot;citationItems&quot;:[{&quot;id&quot;:&quot;4c524af8-8458-3142-97d7-53ec920153b2&quot;,&quot;itemData&quot;:{&quot;type&quot;:&quot;article-journal&quot;,&quot;id&quot;:&quot;4c524af8-8458-3142-97d7-53ec920153b2&quot;,&quot;title&quot;:&quot;Roles of Arbuscular Mycorrhizas in Plant Nutrition and Growth: New Paradigms from Cellular to Ecosystem Scales&quot;,&quot;author&quot;:[{&quot;family&quot;:&quot;Smith&quot;,&quot;given&quot;:&quot;Sally E.&quot;,&quot;parse-names&quot;:false,&quot;dropping-particle&quot;:&quot;&quot;,&quot;non-dropping-particle&quot;:&quot;&quot;},{&quot;family&quot;:&quot;Smith&quot;,&quot;given&quot;:&quot;F. Andrew&quot;,&quot;parse-names&quot;:false,&quot;dropping-particle&quot;:&quot;&quot;,&quot;non-dropping-particle&quot;:&quot;&quot;}],&quot;container-title&quot;:&quot;Annual Review of Plant Biology&quot;,&quot;DOI&quot;:&quot;10.1146/annurev-arplant-042110-103846&quot;,&quot;ISSN&quot;:&quot;1543-5008&quot;,&quot;issued&quot;:{&quot;date-parts&quot;:[[2011,6,2]]},&quot;issue&quot;:&quot;1&quot;,&quot;volume&quot;:&quot;62&quot;},&quot;isTemporary&quot;:false}],&quot;properties&quot;:{&quot;noteIndex&quot;:0},&quot;isEdited&quot;:false,&quot;manualOverride&quot;:{&quot;isManuallyOverridden&quot;:true,&quot;citeprocText&quot;:&quot;(S. E. Smith &amp;#38; Smith, 2011a)&quot;,&quot;manualOverrideText&quot;:&quot;(Smith &amp; Smith, 2011a)&quot;},&quot;citationTag&quot;:&quot;MENDELEY_CITATION_v3_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&quot;},{&quot;citationID&quot;:&quot;MENDELEY_CITATION_27b61151-40f2-4c28-b64e-7a82bc1bd05f&quot;,&quot;citationItems&quot;:[{&quot;id&quot;:&quot;a9c82cf5-24a6-3143-a04b-25893c90f5d6&quot;,&quot;itemData&quot;:{&quot;type&quot;:&quot;article-journal&quot;,&quot;id&quot;:&quot;a9c82cf5-24a6-3143-a04b-25893c90f5d6&quot;,&quot;title&quot;:&quot;Variation among Maize Inbred Lines and Detection of Quantitative Trait Loci for Growth at Low Phosphorus and Responsiveness to Arbuscular Mycorrhizal Fungi&quot;,&quot;author&quot;:[{&quot;family&quot;:&quot;Kaeppler&quot;,&quot;given&quot;:&quot;Shawn M.&quot;,&quot;parse-names&quot;:false,&quot;dropping-particle&quot;:&quot;&quot;,&quot;non-dropping-particle&quot;:&quot;&quot;},{&quot;family&quot;:&quot;Parke&quot;,&quot;given&quot;:&quot;Jennifer L.&quot;,&quot;parse-names&quot;:false,&quot;dropping-particle&quot;:&quot;&quot;,&quot;non-dropping-particle&quot;:&quot;&quot;},{&quot;family&quot;:&quot;Mueller&quot;,&quot;given&quot;:&quot;Suzanne M.&quot;,&quot;parse-names&quot;:false,&quot;dropping-particle&quot;:&quot;&quot;,&quot;non-dropping-particle&quot;:&quot;&quot;},{&quot;family&quot;:&quot;Senior&quot;,&quot;given&quot;:&quot;Lynn&quot;,&quot;parse-names&quot;:false,&quot;dropping-particle&quot;:&quot;&quot;,&quot;non-dropping-particle&quot;:&quot;&quot;},{&quot;family&quot;:&quot;Stuber&quot;,&quot;given&quot;:&quot;Charles&quot;,&quot;parse-names&quot;:false,&quot;dropping-particle&quot;:&quot;&quot;,&quot;non-dropping-particle&quot;:&quot;&quot;},{&quot;family&quot;:&quot;Tracy&quot;,&quot;given&quot;:&quot;William F.&quot;,&quot;parse-names&quot;:false,&quot;dropping-particle&quot;:&quot;&quot;,&quot;non-dropping-particle&quot;:&quot;&quot;}],&quot;container-title&quot;:&quot;Crop Science&quot;,&quot;DOI&quot;:&quot;10.2135/cropsci2000.402358x&quot;,&quot;ISSN&quot;:&quot;0011183X&quot;,&quot;issued&quot;:{&quot;date-parts&quot;:[[2000,3]]},&quot;issue&quot;:&quot;2&quot;,&quot;volume&quot;:&quot;40&quot;},&quot;isTemporary&quot;:false},{&quot;id&quot;:&quot;edbd4584-c0bc-3bdd-b29d-33a31b849545&quot;,&quot;itemData&quot;:{&quot;type&quot;:&quot;article-journal&quot;,&quot;id&quot;:&quot;edbd4584-c0bc-3bdd-b29d-33a31b849545&quot;,&quot;title&quot;:&quot;Phosphorus acquisition efficiency in arbuscular mycorrhizal maize is correlated with the abundance of root-external hyphae and the accumulation of transcripts encoding PHT1 phosphate transporters&quot;,&quot;author&quot;:[{&quot;family&quot;:&quot;Sawers&quot;,&quot;given&quot;:&quot;Ruairidh J. H.&quot;,&quot;parse-names&quot;:false,&quot;dropping-particle&quot;:&quot;&quot;,&quot;non-dropping-particle&quot;:&quot;&quot;},{&quot;family&quot;:&quot;Svane&quot;,&quot;given&quot;:&quot;Simon F.&quot;,&quot;parse-names&quot;:false,&quot;dropping-particle&quot;:&quot;&quot;,&quot;non-dropping-particle&quot;:&quot;&quot;},{&quot;family&quot;:&quot;Quan&quot;,&quot;given&quot;:&quot;Clement&quot;,&quot;parse-names&quot;:false,&quot;dropping-particle&quot;:&quot;&quot;,&quot;non-dropping-particle&quot;:&quot;&quot;},{&quot;family&quot;:&quot;Grønlund&quot;,&quot;given&quot;:&quot;Mette&quot;,&quot;parse-names&quot;:false,&quot;dropping-particle&quot;:&quot;&quot;,&quot;non-dropping-particle&quot;:&quot;&quot;},{&quot;family&quot;:&quot;Wozniak&quot;,&quot;given&quot;:&quot;Barbara&quot;,&quot;parse-names&quot;:false,&quot;dropping-particle&quot;:&quot;&quot;,&quot;non-dropping-particle&quot;:&quot;&quot;},{&quot;family&quot;:&quot;Gebreselassie&quot;,&quot;given&quot;:&quot;Mesfin-Nigussie&quot;,&quot;parse-names&quot;:false,&quot;dropping-particle&quot;:&quot;&quot;,&quot;non-dropping-particle&quot;:&quot;&quot;},{&quot;family&quot;:&quot;González-Muñoz&quot;,&quot;given&quot;:&quot;Eliécer&quot;,&quot;parse-names&quot;:false,&quot;dropping-particle&quot;:&quot;&quot;,&quot;non-dropping-particle&quot;:&quot;&quot;},{&quot;family&quot;:&quot;Chávez Montes&quot;,&quot;given&quot;:&quot;Ricardo A.&quot;,&quot;parse-names&quot;:false,&quot;dropping-particle&quot;:&quot;&quot;,&quot;non-dropping-particle&quot;:&quot;&quot;},{&quot;family&quot;:&quot;Baxter&quot;,&quot;given&quot;:&quot;Ivan&quot;,&quot;parse-names&quot;:false,&quot;dropping-particle&quot;:&quot;&quot;,&quot;non-dropping-particle&quot;:&quot;&quot;},{&quot;family&quot;:&quot;Goudet&quot;,&quot;given&quot;:&quot;Jerome&quot;,&quot;parse-names&quot;:false,&quot;dropping-particle&quot;:&quot;&quot;,&quot;non-dropping-particle&quot;:&quot;&quot;},{&quot;family&quot;:&quot;Jakobsen&quot;,&quot;given&quot;:&quot;Iver&quot;,&quot;parse-names&quot;:false,&quot;dropping-particle&quot;:&quot;&quot;,&quot;non-dropping-particle&quot;:&quot;&quot;},{&quot;family&quot;:&quot;Paszkowski&quot;,&quot;given&quot;:&quot;Uta&quot;,&quot;parse-names&quot;:false,&quot;dropping-particle&quot;:&quot;&quot;,&quot;non-dropping-particle&quot;:&quot;&quot;}],&quot;container-title&quot;:&quot;New Phytologist&quot;,&quot;accessed&quot;:{&quot;date-parts&quot;:[[2021,4,5]]},&quot;DOI&quot;:&quot;10.1111/nph.14403&quot;,&quot;ISSN&quot;:&quot;0028646X&quot;,&quot;URL&quot;:&quot;http://doi.wiley.com/10.1111/nph.14403&quot;,&quot;issued&quot;:{&quot;date-parts&quot;:[[2017,4,1]]},&quot;page&quot;:&quot;632-643&quot;,&quot;abstract&quot;:&quot;Plant interactions with arbuscular mycorrhizal fungi have long attracted interest for their potential to promote more efficient use of mineral resources in agriculture. Their use, however, remains limited by a lack of understanding of the processes that determine the outcome of the symbiosis. In this study, the impact of host genotype on growth response to mycorrhizal inoculation was investigated in a panel of diverse maize lines. A panel of 30 maize lines was evaluated with and without inoculation with arbuscular mycorrhizal fungi. The line Oh43 was identified to show superior response and, along with five other reference lines, was characterized in greater detail in a split-compartment system, using 33P to quantify mycorrhizal phosphorus uptake. Changes in relative growth indicated variation in host capacity to profit from the symbiosis. Shoot phosphate content, abundance of root-internal and -external fungal structures, mycorrhizal phosphorus uptake, and accumulation of transcripts encoding plant PHT1 family phosphate transporters varied among lines. Superior response in Oh43 is correlated with extensive development of root-external hyphae, accumulation of specific Pht1 transcripts and high phosphorus uptake by mycorrhizal plants. The data indicate that host genetic factors influence fungal growth strategy with an impact on plant performance.&quot;,&quot;publisher&quot;:&quot;Blackwell Publishing Ltd&quot;,&quot;issue&quot;:&quot;2&quot;,&quot;volume&quot;:&quot;214&quot;},&quot;isTemporary&quot;:false}],&quot;properties&quot;:{&quot;noteIndex&quot;:0},&quot;isEdited&quot;:false,&quot;manualOverride&quot;:{&quot;isManuallyOverridden&quot;:false,&quot;citeprocText&quot;:&quot;(Kaeppler et al., 2000a; Sawers et al., 2017)&quot;,&quot;manualOverrideText&quot;:&quot;&quot;},&quot;citationTag&quot;:&quot;MENDELEY_CITATION_v3_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&quot;},{&quot;citationID&quot;:&quot;MENDELEY_CITATION_b1fcee5f-d109-46b3-b37b-6178664a924b&quot;,&quot;citationItems&quot;:[{&quot;id&quot;:&quot;cf7f6ad0-721d-3031-a642-80d0a08530af&quot;,&quot;itemData&quot;:{&quot;type&quot;:&quot;paper-conference&quot;,&quot;id&quot;:&quot;cf7f6ad0-721d-3031-a642-80d0a08530af&quot;,&quot;title&quot;:&quot;Soil and fertilizer phosphorus: Effects on plant P supply and mycorrhizal development&quot;,&quot;author&quot;:[{&quot;family&quot;:&quot;Grant&quot;,&quot;given&quot;:&quot;Cynthia&quot;,&quot;parse-names&quot;:false,&quot;dropping-particle&quot;:&quot;&quot;,&quot;non-dropping-particle&quot;:&quot;&quot;},{&quot;family&quot;:&quot;Bittman&quot;,&quot;given&quot;:&quot;Shabtai&quot;,&quot;parse-names&quot;:false,&quot;dropping-particle&quot;:&quot;&quot;,&quot;non-dropping-particle&quot;:&quot;&quot;},{&quot;family&quot;:&quot;Montreal&quot;,&quot;given&quot;:&quot;Marcia&quot;,&quot;parse-names&quot;:false,&quot;dropping-particle&quot;:&quot;&quot;,&quot;non-dropping-particle&quot;:&quot;&quot;},{&quot;family&quot;:&quot;Plenchette&quot;,&quot;given&quot;:&quot;Christian&quot;,&quot;parse-names&quot;:false,&quot;dropping-particle&quot;:&quot;&quot;,&quot;non-dropping-particle&quot;:&quot;&quot;},{&quot;family&quot;:&quot;Morel&quot;,&quot;given&quot;:&quot;Christian&quot;,&quot;parse-names&quot;:false,&quot;dropping-particle&quot;:&quot;&quot;,&quot;non-dropping-particle&quot;:&quot;&quot;}],&quot;container-title&quot;:&quot;Canadian Journal of Plant Science&quot;,&quot;accessed&quot;:{&quot;date-parts&quot;:[[2021,4,5]]},&quot;DOI&quot;:&quot;10.4141/P03-182&quot;,&quot;ISSN&quot;:&quot;00084220&quot;,&quot;URL&quot;:&quot;https://cdnsciencepub.com/doi/abs/10.4141/P03-182&quot;,&quot;issued&quot;:{&quot;date-parts&quot;:[[2005]]},&quot;page&quot;:&quot;3-14&quot;,&quot;abstract&quot;:&quot;Plants require adequate P from the very early stages of growth for optimum crop production. Phosphorus supply to the crop is affected by soil P, P fertilizer management and by soil and environmental conditions influencing P phytoavailability and root growth. Phosphorus uptake in many crops is improved by associations with arbuscular mycorrhizal fungi. Cropping system and long-term input of P through fertilizers and manures can influence the amount and phytoavailability of P in the system and the development of mycorrhizal associations. Optimum yield potential requires an adequate P supply to the crop from the soil or from P additions. Where early-season P supply is low, P fertilization may improve P nutrition and crop yield potential. Alternately, under low-P conditions, encouragement of arbuscular mycorrhizal associations may enhance P uptake by crops early in the growing season, improving crop yield potential and replacing starter fertilizer P applications. Soil P supply that exceeds P requirements of the crop may preclude mycorrhizal development. To encourage arbuscular mycorrhizal association, threshold levels of soil solution P that restrict mycorrhizal development must not be exceeded. Sustainable P management practices must be applied both in conventional and in alternative biologically based agricultural systems.&quot;,&quot;publisher&quot;:&quot;Agricultural Institute of Canada&quot;,&quot;issue&quot;:&quot;1&quot;,&quot;volume&quot;:&quot;85&quot;},&quot;isTemporary&quot;:false}],&quot;properties&quot;:{&quot;noteIndex&quot;:0},&quot;isEdited&quot;:false,&quot;manualOverride&quot;:{&quot;isManuallyOverridden&quot;:true,&quot;citeprocText&quot;:&quot;(Grant et al., 2005)&quot;,&quot;manualOverrideText&quot;:&quot;(Grant et al., 2005),&quot;},&quot;citationTag&quot;:&quot;MENDELEY_CITATION_v3_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&quot;},{&quot;citationID&quot;:&quot;MENDELEY_CITATION_b3b16b1a-f790-40dd-bb29-4832ddcfc517&quot;,&quot;citationItems&quot;:[{&quot;id&quot;:&quot;b531632f-13b2-39f4-b06d-3089abaf4017&quot;,&quot;itemData&quot;:{&quot;type&quot;:&quot;article-journal&quot;,&quot;id&quot;:&quot;b531632f-13b2-39f4-b06d-3089abaf4017&quot;,&quot;title&quot;:&quot;Changes in mycorrhiza development in maize indeed by crop management practices&quot;,&quot;author&quot;:[{&quot;family&quot;:&quot;Gavito&quot;,&quot;given&quot;:&quot;Mayra E.&quot;,&quot;parse-names&quot;:false,&quot;dropping-particle&quot;:&quot;&quot;,&quot;non-dropping-particle&quot;:&quot;&quot;},{&quot;family&quot;:&quot;Miller&quot;,&quot;given&quot;:&quot;Murray H.&quot;,&quot;parse-names&quot;:false,&quot;dropping-particle&quot;:&quot;&quot;,&quot;non-dropping-particle&quot;:&quot;&quot;}],&quot;container-title&quot;:&quot;Plant and Soil&quot;,&quot;accessed&quot;:{&quot;date-parts&quot;:[[2021,4,5]]},&quot;DOI&quot;:&quot;10.1023/A:1004314406653&quot;,&quot;ISSN&quot;:&quot;0032079X&quot;,&quot;URL&quot;:&quot;https://link.springer.com/article/10.1023/A:1004314406653&quot;,&quot;issued&quot;:{&quot;date-parts&quot;:[[1998]]},&quot;page&quot;:&quot;185-192&quot;,&quot;abstract&quot;:&quot;We selected three crop production practices; crop rotation, tillage and phosphorus fertilization, all known to effect arbuscular mycorrhiza (AM) development, to study early AM intraradical colonization in maize. Half of the plots were planted during the first year with either a host (maize, Zea mays L.) or a non-host (canola, Brassica napus L.) crop, and all of them with maize for the second year. Tillage and P fertilization treatments were applied to the plots in the second year. Mycorrhiza development in maize was measured in pot culture bioassays conducted before planting and after harvest of the previous and the subsequent crops, and in the field during the second crop season. Previous cropping of a soil with canola (Brassica napus L.), a non-host plant species, delayed mycorrhiza development of maize in a bioassay conducted with that soil in comparison with a previous cropping cycle with maize (Zea mays L.) or with the original plant species in the field site, bromegrass (Bromus inermis Leys.) and alfalfa (Medicago sativa L.). The delay in mycorrhiza development after cropping with canola was also observed in samples taken from the field and in a bioassay, both conducted at the beginning of the subsequent cropping cycle. Tillage had, on average, little effect on intraradical colonization either in the field or in the bioassays. Phosphorus fertilization also had little effect on mycorrhiza development in the field. Crop rotation with a non-host had the strongest effect on intraradical mycorrhiza development of the three practices studied.&quot;,&quot;publisher&quot;:&quot;Springer&quot;,&quot;issue&quot;:&quot;2&quot;,&quot;volume&quot;:&quot;198&quot;},&quot;isTemporary&quot;:false}],&quot;properties&quot;:{&quot;noteIndex&quot;:0},&quot;isEdited&quot;:false,&quot;manualOverride&quot;:{&quot;isManuallyOverridden&quot;:false,&quot;citeprocText&quot;:&quot;(Gavito &amp;#38; Miller, 1998)&quot;,&quot;manualOverrideText&quot;:&quot;&quot;},&quot;citationTag&quot;:&quot;MENDELEY_CITATION_v3_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&quot;},{&quot;citationID&quot;:&quot;MENDELEY_CITATION_8998b781-ba7f-4f21-8eaf-62514d753f71&quot;,&quot;citationItems&quot;:[{&quot;id&quot;:&quot;5d8cef6f-6944-3a83-8141-15f0d91070d3&quot;,&quot;itemData&quot;:{&quot;type&quot;:&quot;article-journal&quot;,&quot;id&quot;:&quot;5d8cef6f-6944-3a83-8141-15f0d91070d3&quot;,&quot;title&quot;:&quot;  Über die Mykorrhizenbildung der leguminosen Pflanzen. &quot;,&quot;author&quot;:[{&quot;family&quot;:&quot;Asai&quot;,&quot;given&quot;:&quot;T.&quot;,&quot;parse-names&quot;:false,&quot;dropping-particle&quot;:&quot;&quot;,&quot;non-dropping-particle&quot;:&quot;&quot;}],&quot;container-title&quot;:&quot;Japanese Journal of Botany&quot;,&quot;issued&quot;:{&quot;date-parts&quot;:[[1944]]},&quot;page&quot;:&quot;463-485&quot;,&quot;volume&quot;:&quot;13&quot;},&quot;isTemporary&quot;:false}],&quot;properties&quot;:{&quot;noteIndex&quot;:0},&quot;isEdited&quot;:false,&quot;manualOverride&quot;:{&quot;isManuallyOverridden&quot;:false,&quot;citeprocText&quot;:&quot;(Asai, 1944)&quot;,&quot;manualOverrideText&quot;:&quot;&quot;},&quot;citationTag&quot;:&quot;MENDELEY_CITATION_v3_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&quot;},{&quot;citationID&quot;:&quot;MENDELEY_CITATION_31ef0800-3619-40c9-8b5c-4f34f4c5f26f&quot;,&quot;citationItems&quot;:[{&quot;id&quot;:&quot;383739f5-00f8-3734-b604-ba7dd3650604&quot;,&quot;itemData&quot;:{&quot;type&quot;:&quot;article-journal&quot;,&quot;id&quot;:&quot;383739f5-00f8-3734-b604-ba7dd3650604&quot;,&quot;title&quot;:&quot;An arbuscular mycorrhizal fungus accelerates decomposition and acquires nitrogen directly from organic material&quot;,&quot;author&quot;:[{&quot;family&quot;:&quot;Hodge&quot;,&quot;given&quot;:&quot;Angela&quot;,&quot;parse-names&quot;:false,&quot;dropping-particle&quot;:&quot;&quot;,&quot;non-dropping-particle&quot;:&quot;&quot;},{&quot;family&quot;:&quot;Campbell&quot;,&quot;given&quot;:&quot;Colin D.&quot;,&quot;parse-names&quot;:false,&quot;dropping-particle&quot;:&quot;&quot;,&quot;non-dropping-particle&quot;:&quot;&quot;},{&quot;family&quot;:&quot;Fitter&quot;,&quot;given&quot;:&quot;Alastair H.&quot;,&quot;parse-names&quot;:false,&quot;dropping-particle&quot;:&quot;&quot;,&quot;non-dropping-particle&quot;:&quot;&quot;}],&quot;container-title&quot;:&quot;Nature&quot;,&quot;DOI&quot;:&quot;10.1038/35095041&quot;,&quot;ISSN&quot;:&quot;0028-0836&quot;,&quot;issued&quot;:{&quot;date-parts&quot;:[[2001,9]]},&quot;issue&quot;:&quot;6853&quot;,&quot;volume&quot;:&quot;413&quot;},&quot;isTemporary&quot;:false}],&quot;properties&quot;:{&quot;noteIndex&quot;:0},&quot;isEdited&quot;:false,&quot;manualOverride&quot;:{&quot;isManuallyOverridden&quot;:false,&quot;citeprocText&quot;:&quot;(Hodge et al., 2001)&quot;,&quot;manualOverrideText&quot;:&quot;&quot;},&quot;citationTag&quot;:&quot;MENDELEY_CITATION_v3_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&quot;},{&quot;citationID&quot;:&quot;MENDELEY_CITATION_cad350c0-9779-40b9-a605-22916e3de1e4&quot;,&quot;citationItems&quot;:[{&quot;id&quot;:&quot;7cdf150f-f105-3a6a-963e-df16deb7a8a9&quot;,&quot;itemData&quot;:{&quot;type&quot;:&quot;article-journal&quot;,&quot;id&quot;:&quot;7cdf150f-f105-3a6a-963e-df16deb7a8a9&quot;,&quot;title&quot;:&quot;Nitrogen transfer and assimilation between the arbuscular mycorrhizal fungus &lt;i&gt;Glomus intraradices&lt;/i&gt; Schenck &amp;amp; Smith and Ri T-DNA roots of &lt;i&gt;Daucus carota&lt;/i&gt; L. in an in vitro compartmented system&quot;,&quot;author&quot;:[{&quot;family&quot;:&quot;Toussaint&quot;,&quot;given&quot;:&quot;Jean-Patrick&quot;,&quot;parse-names&quot;:false,&quot;dropping-particle&quot;:&quot;&quot;,&quot;non-dropping-particle&quot;:&quot;&quot;},{&quot;family&quot;:&quot;St-Arnaud&quot;,&quot;given&quot;:&quot;Marc&quot;,&quot;parse-names&quot;:false,&quot;dropping-particle&quot;:&quot;&quot;,&quot;non-dropping-particle&quot;:&quot;&quot;},{&quot;family&quot;:&quot;Charest&quot;,&quot;given&quot;:&quot;Christiane&quot;,&quot;parse-names&quot;:false,&quot;dropping-particle&quot;:&quot;&quot;,&quot;non-dropping-particle&quot;:&quot;&quot;}],&quot;container-title&quot;:&quot;Canadian Journal of Microbiology&quot;,&quot;DOI&quot;:&quot;10.1139/w04-009&quot;,&quot;ISSN&quot;:&quot;0008-4166&quot;,&quot;issued&quot;:{&quot;date-parts&quot;:[[2004,4,1]]},&quot;abstract&quot;:&quot;&lt;p&gt; Nitrogen metabolism was examined in monoxenic cultures of carrot roots (Daucus carota L.) colonized with the arbuscular mycorrhizal (AM) fungus Glomus intraradices Schenck &amp;amp; Smith. Glutamine synthetase and glutamate dehydrogenase activities were significantly increased in mycorrhizal roots for which only the extraradical mycelium had exclusive access to NH &lt;sub&gt;4&lt;/sub&gt; NO &lt;sub&gt;3&lt;/sub&gt; in a distinct hyphal compartment inaccessible to the roots. This was in comparison with the water controls but was similar to the enzyme activities of non-arbuscular-mycorrhizal (non-AM) roots that had direct access to NH &lt;sub&gt;4&lt;/sub&gt; NO &lt;sub&gt;3&lt;/sub&gt; . In addition, glutamate dehydrogenase activity was significantly enhanced in AM roots compared with non-AM roots. Carrot roots took up &lt;sup&gt;15&lt;/sup&gt; NH &lt;sub&gt;4&lt;/sub&gt; &lt;sup&gt;+&lt;/sup&gt; more efficiently than &lt;sup&gt;15&lt;/sup&gt; NO &lt;sub&gt;3&lt;/sub&gt; &lt;sup&gt;–&lt;/sup&gt; , and the extraradical hyphae transfered &lt;sup&gt;15&lt;/sup&gt; NH &lt;sub&gt;4&lt;/sub&gt; &lt;sup&gt;+&lt;/sup&gt; to host roots from the hyphal compartment but did not transfer &lt;sup&gt;15&lt;/sup&gt; NO &lt;sub&gt;3&lt;/sub&gt; &lt;sup&gt;–&lt;/sup&gt; . The extraradical mycelium was shown, for the first time, to have a different glutamine synthetase monomer than roots. Our overall results highlight the active role of AM fungi in nitrogen uptake, transfer, and assimilation in their symbiotic root association.Key words: arbuscular mycorrhizal fungus, Ri T-DNA carrot roots, in vitro root-organ culture, nitrogen metabolism. &lt;/p&gt;&quot;,&quot;issue&quot;:&quot;4&quot;,&quot;volume&quot;:&quot;50&quot;},&quot;isTemporary&quot;:false}],&quot;properties&quot;:{&quot;noteIndex&quot;:0},&quot;isEdited&quot;:false,&quot;manualOverride&quot;:{&quot;isManuallyOverridden&quot;:false,&quot;citeprocText&quot;:&quot;(Toussaint et al., 2004)&quot;,&quot;manualOverrideText&quot;:&quot;&quot;},&quot;citationTag&quot;:&quot;MENDELEY_CITATION_v3_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&quot;},{&quot;citationID&quot;:&quot;MENDELEY_CITATION_0fe6ed82-08e2-4fcc-8e27-268b7761b53d&quot;,&quot;citationItems&quot;:[{&quot;id&quot;:&quot;759392f1-243a-31ba-84da-fddb68b21d37&quot;,&quot;itemData&quot;:{&quot;type&quot;:&quot;article-journal&quot;,&quot;id&quot;:&quot;759392f1-243a-31ba-84da-fddb68b21d37&quot;,&quot;title&quot;:&quot;How does arbuscular mycorrhizal symbiosis regulate root hydraulic properties and plasma membrane aquaporins in &lt;i&gt;Phaseolus vulgaris&lt;/i&gt; under drought, cold or salinity stresses?&quot;,&quot;author&quot;:[{&quot;family&quot;:&quot;Aroca&quot;,&quot;given&quot;:&quot;Ricardo&quot;,&quot;parse-names&quot;:false,&quot;dropping-particle&quot;:&quot;&quot;,&quot;non-dropping-particle&quot;:&quot;&quot;},{&quot;family&quot;:&quot;Porcel&quot;,&quot;given&quot;:&quot;Rosa&quot;,&quot;parse-names&quot;:false,&quot;dropping-particle&quot;:&quot;&quot;,&quot;non-dropping-particle&quot;:&quot;&quot;},{&quot;family&quot;:&quot;Ruiz‐Lozano&quot;,&quot;given&quot;:&quot;Juan Manuel&quot;,&quot;parse-names&quot;:false,&quot;dropping-particle&quot;:&quot;&quot;,&quot;non-dropping-particle&quot;:&quot;&quot;}],&quot;container-title&quot;:&quot;New Phytologist&quot;,&quot;DOI&quot;:&quot;10.1111/j.1469-8137.2006.01961.x&quot;,&quot;ISSN&quot;:&quot;0028-646X&quot;,&quot;issued&quot;:{&quot;date-parts&quot;:[[2007,3,20]]},&quot;issue&quot;:&quot;4&quot;,&quot;volume&quot;:&quot;173&quot;},&quot;isTemporary&quot;:false}],&quot;properties&quot;:{&quot;noteIndex&quot;:0},&quot;isEdited&quot;:false,&quot;manualOverride&quot;:{&quot;isManuallyOverridden&quot;:false,&quot;citeprocText&quot;:&quot;(Aroca et al., 2007)&quot;,&quot;manualOverrideText&quot;:&quot;&quot;},&quot;citationTag&quot;:&quot;MENDELEY_CITATION_v3_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&quot;},{&quot;citationID&quot;:&quot;MENDELEY_CITATION_54c1af34-7a21-44d2-98ac-295095681768&quot;,&quot;citationItems&quot;:[{&quot;id&quot;:&quot;d9004e1a-8daa-30d4-9db6-1a16baf55ecd&quot;,&quot;itemData&quot;:{&quot;type&quot;:&quot;article-journal&quot;,&quot;id&quot;:&quot;d9004e1a-8daa-30d4-9db6-1a16baf55ecd&quot;,&quot;title&quot;:&quot;Arbuscular mycorrhizal influence on leaf water potential, solute accumulation, and oxidative stress in soybean plants subjected to drought stress&quot;,&quot;author&quot;:[{&quot;family&quot;:&quot;Porcel&quot;,&quot;given&quot;:&quot;R.&quot;,&quot;parse-names&quot;:false,&quot;dropping-particle&quot;:&quot;&quot;,&quot;non-dropping-particle&quot;:&quot;&quot;}],&quot;container-title&quot;:&quot;Journal of Experimental Botany&quot;,&quot;DOI&quot;:&quot;10.1093/jxb/erh188&quot;,&quot;ISSN&quot;:&quot;1460-2431&quot;,&quot;issued&quot;:{&quot;date-parts&quot;:[[2004,7,16]]},&quot;issue&quot;:&quot;403&quot;,&quot;volume&quot;:&quot;55&quot;},&quot;isTemporary&quot;:false}],&quot;properties&quot;:{&quot;noteIndex&quot;:0},&quot;isEdited&quot;:false,&quot;manualOverride&quot;:{&quot;isManuallyOverridden&quot;:true,&quot;citeprocText&quot;:&quot;(Porcel, 2004)&quot;,&quot;manualOverrideText&quot;:&quot;(Porcel, 2004),&quot;},&quot;citationTag&quot;:&quot;MENDELEY_CITATION_v3_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&quot;},{&quot;citationID&quot;:&quot;MENDELEY_CITATION_4b76c836-2c2b-4098-9941-b30d364290d4&quot;,&quot;citationItems&quot;:[{&quot;id&quot;:&quot;f76b0b65-7a16-3ee5-b3cd-7072db7b27b6&quot;,&quot;itemData&quot;:{&quot;type&quot;:&quot;article-journal&quot;,&quot;id&quot;:&quot;f76b0b65-7a16-3ee5-b3cd-7072db7b27b6&quot;,&quot;title&quot;:&quot;Arbuscular mycorrhizae improve photosynthesis and water status of Zea mays L. under drought stress&quot;,&quot;author&quot;:[{&quot;family&quot;:&quot;Zhu&quot;,&quot;given&quot;:&quot;X.C.&quot;,&quot;parse-names&quot;:false,&quot;dropping-particle&quot;:&quot;&quot;,&quot;non-dropping-particle&quot;:&quot;&quot;},{&quot;family&quot;:&quot;Song&quot;,&quot;given&quot;:&quot;F.B.&quot;,&quot;parse-names&quot;:false,&quot;dropping-particle&quot;:&quot;&quot;,&quot;non-dropping-particle&quot;:&quot;&quot;},{&quot;family&quot;:&quot;Liu&quot;,&quot;given&quot;:&quot;S.Q.&quot;,&quot;parse-names&quot;:false,&quot;dropping-particle&quot;:&quot;&quot;,&quot;non-dropping-particle&quot;:&quot;&quot;},{&quot;family&quot;:&quot;Liu&quot;,&quot;given&quot;:&quot;T.D.&quot;,&quot;parse-names&quot;:false,&quot;dropping-particle&quot;:&quot;&quot;,&quot;non-dropping-particle&quot;:&quot;&quot;},{&quot;family&quot;:&quot;Zhou&quot;,&quot;given&quot;:&quot;X.&quot;,&quot;parse-names&quot;:false,&quot;dropping-particle&quot;:&quot;&quot;,&quot;non-dropping-particle&quot;:&quot;&quot;}],&quot;container-title&quot;:&quot;Plant, Soil and Environment&quot;,&quot;DOI&quot;:&quot;10.17221/23/2011-PSE&quot;,&quot;ISSN&quot;:&quot;12141178&quot;,&quot;issued&quot;:{&quot;date-parts&quot;:[[2012,4,19]]},&quot;abstract&quot;:&quot;&lt;p&gt;The influences of arbuscular mycorrhizal (AM) fungus on growth, gas exchange, chlorophyll concentration, chlorophyll fluorescence and water status of maize (Zea mays L.) plants were studied in pot culture under well-watered and drought stress conditions. The maize plants were grown in a sand and black soil mixture for 4 weeks, and then exposed to drought stress for 4 weeks. Drought stress significantly decreased AM colonization and total dry weight. AM symbioses notably enhanced net photosynthetic rate and transpiration rate, but decreased intercellular CO&amp;lt;sub&amp;gt;2&amp;lt;/sub&amp;gt; concentration of maize plants regardless of water treatments. Mycorrhizal plants had higher stomatal conductance than non-mycorrhizal plants under drought stress. The concentrations of chlorophyll were higher in mycorrhizal than non-mycorrhizal plants under drought stress. AM colonization significantly increased maximal fluorescence, maximum quantum efficiency of PSII photochemistry and potential photochemical efficiency, but decreased primary fluorescence under well-watered and droughted conditions. Mycorrhizal maize plants had higher relative water content and water use efficiency under drought stress compared with non-mycorrhizal plants. The results indicated that AM symbiosis alleviates the toxic effect of drought stress via improving photosynthesis and water status of maize plants. &amp;amp;nbsp;&lt;/p&gt;&quot;,&quot;issue&quot;:&quot;No. 4&quot;,&quot;volume&quot;:&quot;58&quot;},&quot;isTemporary&quot;:false}],&quot;properties&quot;:{&quot;noteIndex&quot;:0},&quot;isEdited&quot;:false,&quot;manualOverride&quot;:{&quot;isManuallyOverridden&quot;:true,&quot;citeprocText&quot;:&quot;(X. C. Zhu et al., 2012)&quot;,&quot;manualOverrideText&quot;:&quot;(Zhu et al., 2012)&quot;},&quot;citationTag&quot;:&quot;MENDELEY_CITATION_v3_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&quot;},{&quot;citationID&quot;:&quot;MENDELEY_CITATION_a47c885e-abd6-4e98-95f6-1eb56da65250&quot;,&quot;citationItems&quot;:[{&quot;id&quot;:&quot;056b7f53-38db-3d73-95ab-0fc6b6354e96&quot;,&quot;itemData&quot;:{&quot;type&quot;:&quot;article-journal&quot;,&quot;id&quot;:&quot;056b7f53-38db-3d73-95ab-0fc6b6354e96&quot;,&quot;title&quot;:&quot;Water relations, drought and vesicular-arbuscular mycorrhizal symbiosis&quot;,&quot;author&quot;:[{&quot;family&quot;:&quot;Augé&quot;,&quot;given&quot;:&quot;Robert M.&quot;,&quot;parse-names&quot;:false,&quot;dropping-particle&quot;:&quot;&quot;,&quot;non-dropping-particle&quot;:&quot;&quot;}],&quot;container-title&quot;:&quot;Mycorrhiza&quot;,&quot;DOI&quot;:&quot;10.1007/s005720100097&quot;,&quot;ISSN&quot;:&quot;0940-6360&quot;,&quot;issued&quot;:{&quot;date-parts&quot;:[[2001,5,28]]},&quot;issue&quot;:&quot;1&quot;,&quot;volume&quot;:&quot;11&quot;},&quot;isTemporary&quot;:false},{&quot;id&quot;:&quot;ca4f7b46-6677-3e84-86be-bc3d0a5b29a8&quot;,&quot;itemData&quot;:{&quot;type&quot;:&quot;article-journal&quot;,&quot;id&quot;:&quot;ca4f7b46-6677-3e84-86be-bc3d0a5b29a8&quot;,&quot;title&quot;:&quot;Plant and fungal identity determines pathogen protection of plant roots by arbuscular mycorrhizas&quot;,&quot;author&quot;:[{&quot;family&quot;:&quot;Sikes&quot;,&quot;given&quot;:&quot;Benjamin A.&quot;,&quot;parse-names&quot;:false,&quot;dropping-particle&quot;:&quot;&quot;,&quot;non-dropping-particle&quot;:&quot;&quot;},{&quot;family&quot;:&quot;Cottenie&quot;,&quot;given&quot;:&quot;Karl&quot;,&quot;parse-names&quot;:false,&quot;dropping-particle&quot;:&quot;&quot;,&quot;non-dropping-particle&quot;:&quot;&quot;},{&quot;family&quot;:&quot;Klironomos&quot;,&quot;given&quot;:&quot;John N.&quot;,&quot;parse-names&quot;:false,&quot;dropping-particle&quot;:&quot;&quot;,&quot;non-dropping-particle&quot;:&quot;&quot;}],&quot;container-title&quot;:&quot;Journal of Ecology&quot;,&quot;DOI&quot;:&quot;10.1111/j.1365-2745.2009.01557.x&quot;,&quot;ISSN&quot;:&quot;00220477&quot;,&quot;issued&quot;:{&quot;date-parts&quot;:[[2009,11]]},&quot;issue&quot;:&quot;6&quot;,&quot;volume&quot;:&quot;97&quot;},&quot;isTemporary&quot;:false}],&quot;properties&quot;:{&quot;noteIndex&quot;:0},&quot;isEdited&quot;:false,&quot;manualOverride&quot;:{&quot;isManuallyOverridden&quot;:false,&quot;citeprocText&quot;:&quot;(Augé, 2001; Sikes et al., 2009)&quot;,&quot;manualOverrideText&quot;:&quot;&quot;},&quot;citationTag&quot;:&quot;MENDELEY_CITATION_v3_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&quot;},{&quot;citationID&quot;:&quot;MENDELEY_CITATION_0f285aca-c7f7-4c44-9d18-45887ed289c2&quot;,&quot;citationItems&quot;:[{&quot;id&quot;:&quot;90633fed-caa7-34ff-b8d3-6919b0ec48b7&quot;,&quot;itemData&quot;:{&quot;type&quot;:&quot;article-journal&quot;,&quot;id&quot;:&quot;90633fed-caa7-34ff-b8d3-6919b0ec48b7&quot;,&quot;title&quot;:&quot;Functional traits in mycorrhizal ecology: their use for predicting the impact of arbuscular mycorrhizal fungal communities on plant growth and ecosystem functioning&quot;,&quot;author&quot;:[{&quot;family&quot;:&quot;Heijden&quot;,&quot;given&quot;:&quot;Marcel G. A.&quot;,&quot;parse-names&quot;:false,&quot;dropping-particle&quot;:&quot;&quot;,&quot;non-dropping-particle&quot;:&quot;van der&quot;},{&quot;family&quot;:&quot;Scheublin&quot;,&quot;given&quot;:&quot;Tanja R.&quot;,&quot;parse-names&quot;:false,&quot;dropping-particle&quot;:&quot;&quot;,&quot;non-dropping-particle&quot;:&quot;&quot;}],&quot;container-title&quot;:&quot;New Phytologist&quot;,&quot;DOI&quot;:&quot;10.1111/j.1469-8137.2007.02041.x&quot;,&quot;ISSN&quot;:&quot;0028-646X&quot;,&quot;issued&quot;:{&quot;date-parts&quot;:[[2007,4,26]]},&quot;issue&quot;:&quot;2&quot;,&quot;volume&quot;:&quot;174&quot;},&quot;isTemporary&quot;:false}],&quot;properties&quot;:{&quot;noteIndex&quot;:0},&quot;isEdited&quot;:false,&quot;manualOverride&quot;:{&quot;isManuallyOverridden&quot;:false,&quot;citeprocText&quot;:&quot;(van der Heijden &amp;#38; Scheublin, 2007)&quot;,&quot;manualOverrideText&quot;:&quot;&quot;},&quot;citationTag&quot;:&quot;MENDELEY_CITATION_v3_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&quot;},{&quot;citationID&quot;:&quot;MENDELEY_CITATION_0f080ead-4a0c-4240-9066-4a5b6ce5dafe&quot;,&quot;citationItems&quot;:[{&quot;id&quot;:&quot;d21b4046-8826-3840-9e33-93956c8dd151&quot;,&quot;itemData&quot;:{&quot;type&quot;:&quot;paper-conference&quot;,&quot;id&quot;:&quot;d21b4046-8826-3840-9e33-93956c8dd151&quot;,&quot;title&quot;:&quot; Use of Mycorrhizae in Restoration of Hawaiian Habitats. &quot;,&quot;author&quot;:[{&quot;family&quot;:&quot;Gemma&quot;,&quot;given&quot;:&quot;J. L.&quot;,&quot;parse-names&quot;:false,&quot;dropping-particle&quot;:&quot;&quot;,&quot;non-dropping-particle&quot;:&quot;&quot;},{&quot;family&quot;:&quot;&amp; Koske&quot;,&quot;given&quot;:&quot;R. E.&quot;,&quot;parse-names&quot;:false,&quot;dropping-particle&quot;:&quot;&quot;,&quot;non-dropping-particle&quot;:&quot;&quot;}],&quot;container-title&quot;:&quot;Hawaii Conservation Alliance. &quot;,&quot;issued&quot;:{&quot;date-parts&quot;:[[2006]]},&quot;publisher-place&quot;:&quot;Hawaii&quot;},&quot;isTemporary&quot;:false}],&quot;properties&quot;:{&quot;noteIndex&quot;:0},&quot;isEdited&quot;:false,&quot;manualOverride&quot;:{&quot;isManuallyOverridden&quot;:true,&quot;citeprocText&quot;:&quot;(Gemma &amp;#38; &amp;#38; Koske, 2006)&quot;,&quot;manualOverrideText&quot;:&quot;(Gemma &amp; &amp; Koske, 2006),&quot;},&quot;citationTag&quot;:&quot;MENDELEY_CITATION_v3_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&quot;},{&quot;citationID&quot;:&quot;MENDELEY_CITATION_acdc804d-39f9-4e4a-9c85-61810e7cbbdd&quot;,&quot;citationItems&quot;:[{&quot;id&quot;:&quot;3fda9e90-4ff6-3bb9-ae0f-b129abdb7c1e&quot;,&quot;itemData&quot;:{&quot;type&quot;:&quot;article-journal&quot;,&quot;id&quot;:&quot;3fda9e90-4ff6-3bb9-ae0f-b129abdb7c1e&quot;,&quot;title&quot;:&quot;Vesicular–arbuscular mycorrhizal ( &lt;i&gt;Glomus fasciculatum&lt;/i&gt; ) influence on soybean drought tolerance in high phosphorus soil&quot;,&quot;author&quot;:[{&quot;family&quot;:&quot;Busse&quot;,&quot;given&quot;:&quot;M. D.&quot;,&quot;parse-names&quot;:false,&quot;dropping-particle&quot;:&quot;&quot;,&quot;non-dropping-particle&quot;:&quot;&quot;},{&quot;family&quot;:&quot;Ellis&quot;,&quot;given&quot;:&quot;J. R.&quot;,&quot;parse-names&quot;:false,&quot;dropping-particle&quot;:&quot;&quot;,&quot;non-dropping-particle&quot;:&quot;&quot;}],&quot;container-title&quot;:&quot;Canadian Journal of Botany&quot;,&quot;DOI&quot;:&quot;10.1139/b85-327&quot;,&quot;ISSN&quot;:&quot;0008-4026&quot;,&quot;issued&quot;:{&quot;date-parts&quot;:[[1985,12,1]]},&quot;abstract&quot;:&quot;&lt;p&gt;Vesicular–arbuscular mycorrhizal fungi (VAM) may enhance growth of nonirrigated soybean (Glycine max (L.) Merr.) by improving host drought tolerance. The purpose of this study was to determine growth and yield response of drought-stressed soybean to infection by the mycorrhizal endophyte Glomus fasciculatum. Plants were grown in the greenhouse in Kennebec silt loam soil (fine silty, mixed, mesic, Cumulic Hapludoll). The treatments included the presence or absence of both G. fasciculatum and drought stress, arranged in a 2 × 2 factorial design (12 replications). To create stress treatments, water was withheld for 9 d during the pod elongation stage, and half of the plants were harvested immediately after the stress period and half at physiological seed maturity. Plants harvested immediately after stress (51 d after emergence) had significant reduction in mycorrhizal infection and soybean nodulation. The root-to-shoot ratio of stressed plants inoculated with VAM decreased 24% compared with noninoculated plants, indicating enhanced host drought tolerance by G. fasciculatum. Total seed weight of stressed plants increased 10% when infected with VAM as a result of reduced pod abortion. Significant G. fasciculatum × drought stress interactions were found for total seed weight, pod number, seed number, and root-to-shoot ratio, showing that G. fasciculatum had a more positive effect on drought-stressed compared with control plants. Transpiration rates during the stress period were similar for infected and noninfected plants. Enhanced yield of infected plants may have been the result of improved P nutrition or more extensive soil water extraction. The results of this experiment show potential benefits of VAM colonization in soybean in arid and semiarid regions.&lt;/p&gt;&quot;,&quot;issue&quot;:&quot;12&quot;,&quot;volume&quot;:&quot;63&quot;},&quot;isTemporary&quot;:false},{&quot;id&quot;:&quot;da1a0976-4c81-34bc-9e39-9f68d49a3d46&quot;,&quot;itemData&quot;:{&quot;type&quot;:&quot;article-journal&quot;,&quot;id&quot;:&quot;da1a0976-4c81-34bc-9e39-9f68d49a3d46&quot;,&quot;title&quot;:&quot;Influence of vesicular-arbuscular mycorrhiza on the hydraulic conductivity of roots of two citrus rootstocks&quot;,&quot;author&quot;:[{&quot;family&quot;:&quot;Graham&quot;,&quot;given&quot;:&quot;J. H.&quot;,&quot;parse-names&quot;:false,&quot;dropping-particle&quot;:&quot;&quot;,&quot;non-dropping-particle&quot;:&quot;&quot;},{&quot;family&quot;:&quot;Syvertsen&quot;,&quot;given&quot;:&quot;J. P.&quot;,&quot;parse-names&quot;:false,&quot;dropping-particle&quot;:&quot;&quot;,&quot;non-dropping-particle&quot;:&quot;&quot;}],&quot;container-title&quot;:&quot;New Phytologist&quot;,&quot;DOI&quot;:&quot;10.1111/j.1469-8137.1984.tb04132.x&quot;,&quot;ISSN&quot;:&quot;0028-646X&quot;,&quot;issued&quot;:{&quot;date-parts&quot;:[[1984,6]]},&quot;issue&quot;:&quot;2&quot;,&quot;volume&quot;:&quot;97&quot;},&quot;isTemporary&quot;:false}],&quot;properties&quot;:{&quot;noteIndex&quot;:0},&quot;isEdited&quot;:false,&quot;manualOverride&quot;:{&quot;isManuallyOverridden&quot;:false,&quot;citeprocText&quot;:&quot;(Busse &amp;#38; Ellis, 1985; Graham &amp;#38; Syvertsen, 1984)&quot;,&quot;manualOverrideText&quot;:&quot;&quot;},&quot;citationTag&quot;:&quot;MENDELEY_CITATION_v3_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&quot;},{&quot;citationID&quot;:&quot;MENDELEY_CITATION_4bee6257-a6a9-4c52-8317-14d90c513d58&quot;,&quot;citationItems&quot;:[{&quot;id&quot;:&quot;bb2616ab-1ae4-384a-ba2c-50cfd7078e56&quot;,&quot;itemData&quot;:{&quot;type&quot;:&quot;article-journal&quot;,&quot;id&quot;:&quot;bb2616ab-1ae4-384a-ba2c-50cfd7078e56&quot;,&quot;title&quot;:&quot;Disentangling the impact of AM fungi versus roots on soil structure and water transport&quot;,&quot;author&quot;:[{&quot;family&quot;:&quot;Hallett&quot;,&quot;given&quot;:&quot;Paul D.&quot;,&quot;parse-names&quot;:false,&quot;dropping-particle&quot;:&quot;&quot;,&quot;non-dropping-particle&quot;:&quot;&quot;},{&quot;family&quot;:&quot;Feeney&quot;,&quot;given&quot;:&quot;Debbie S.&quot;,&quot;parse-names&quot;:false,&quot;dropping-particle&quot;:&quot;&quot;,&quot;non-dropping-particle&quot;:&quot;&quot;},{&quot;family&quot;:&quot;Bengough&quot;,&quot;given&quot;:&quot;A. Glyn&quot;,&quot;parse-names&quot;:false,&quot;dropping-particle&quot;:&quot;&quot;,&quot;non-dropping-particle&quot;:&quot;&quot;},{&quot;family&quot;:&quot;Rillig&quot;,&quot;given&quot;:&quot;Matthias C.&quot;,&quot;parse-names&quot;:false,&quot;dropping-particle&quot;:&quot;&quot;,&quot;non-dropping-particle&quot;:&quot;&quot;},{&quot;family&quot;:&quot;Scrimgeour&quot;,&quot;given&quot;:&quot;Charlie M.&quot;,&quot;parse-names&quot;:false,&quot;dropping-particle&quot;:&quot;&quot;,&quot;non-dropping-particle&quot;:&quot;&quot;},{&quot;family&quot;:&quot;Young&quot;,&quot;given&quot;:&quot;Iain M.&quot;,&quot;parse-names&quot;:false,&quot;dropping-particle&quot;:&quot;&quot;,&quot;non-dropping-particle&quot;:&quot;&quot;}],&quot;container-title&quot;:&quot;Plant and Soil&quot;,&quot;DOI&quot;:&quot;10.1007/s11104-008-9717-y&quot;,&quot;ISSN&quot;:&quot;0032-079X&quot;,&quot;issued&quot;:{&quot;date-parts&quot;:[[2009,1,26]]},&quot;issue&quot;:&quot;1-2&quot;,&quot;volume&quot;:&quot;314&quot;},&quot;isTemporary&quot;:false}],&quot;properties&quot;:{&quot;noteIndex&quot;:0},&quot;isEdited&quot;:false,&quot;manualOverride&quot;:{&quot;isManuallyOverridden&quot;:false,&quot;citeprocText&quot;:&quot;(Hallett et al., 2009)&quot;,&quot;manualOverrideText&quot;:&quot;&quot;},&quot;citationTag&quot;:&quot;MENDELEY_CITATION_v3_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&quot;},{&quot;citationID&quot;:&quot;MENDELEY_CITATION_7e1e4244-aa6d-4714-914d-4d1716fa3a97&quot;,&quot;citationItems&quot;:[{&quot;id&quot;:&quot;d1d05fae-e65e-3c59-9ada-e1277070fb54&quot;,&quot;itemData&quot;:{&quot;type&quot;:&quot;article-journal&quot;,&quot;id&quot;:&quot;d1d05fae-e65e-3c59-9ada-e1277070fb54&quot;,&quot;title&quot;:&quot;Nutrient uptake in mycorrhizal symbiosis&quot;,&quot;author&quot;:[{&quot;family&quot;:&quot;Marschner&quot;,&quot;given&quot;:&quot;H.&quot;,&quot;parse-names&quot;:false,&quot;dropping-particle&quot;:&quot;&quot;,&quot;non-dropping-particle&quot;:&quot;&quot;},{&quot;family&quot;:&quot;Dell&quot;,&quot;given&quot;:&quot;B.&quot;,&quot;parse-names&quot;:false,&quot;dropping-particle&quot;:&quot;&quot;,&quot;non-dropping-particle&quot;:&quot;&quot;}],&quot;container-title&quot;:&quot;Plant and Soil&quot;,&quot;DOI&quot;:&quot;10.1007/BF00000098&quot;,&quot;ISSN&quot;:&quot;0032-079X&quot;,&quot;issued&quot;:{&quot;date-parts&quot;:[[1994,2]]},&quot;issue&quot;:&quot;1&quot;,&quot;volume&quot;:&quot;159&quot;},&quot;isTemporary&quot;:false}],&quot;properties&quot;:{&quot;noteIndex&quot;:0},&quot;isEdited&quot;:false,&quot;manualOverride&quot;:{&quot;isManuallyOverridden&quot;:false,&quot;citeprocText&quot;:&quot;(Marschner &amp;#38; Dell, 1994)&quot;,&quot;manualOverrideText&quot;:&quot;&quot;},&quot;citationTag&quot;:&quot;MENDELEY_CITATION_v3_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&quot;},{&quot;citationID&quot;:&quot;MENDELEY_CITATION_13d219e1-1251-4718-adc2-003700bc749a&quot;,&quot;citationItems&quot;:[{&quot;id&quot;:&quot;402726f9-f48f-368e-8832-195272197c62&quot;,&quot;itemData&quot;:{&quot;type&quot;:&quot;article&quot;,&quot;id&quot;:&quot;402726f9-f48f-368e-8832-195272197c62&quot;,&quot;title&quot;:&quot;Mycorrhiza-induced resistance: More than the sum of its parts?&quot;,&quot;author&quot;:[{&quot;family&quot;:&quot;Cameron&quot;,&quot;given&quot;:&quot;Duncan D.&quot;,&quot;parse-names&quot;:false,&quot;dropping-particle&quot;:&quot;&quot;,&quot;non-dropping-particle&quot;:&quot;&quot;},{&quot;family&quot;:&quot;Neal&quot;,&quot;given&quot;:&quot;Andrew L.&quot;,&quot;parse-names&quot;:false,&quot;dropping-particle&quot;:&quot;&quot;,&quot;non-dropping-particle&quot;:&quot;&quot;},{&quot;family&quot;:&quot;Wees&quot;,&quot;given&quot;:&quot;Saskia C.M.&quot;,&quot;parse-names&quot;:false,&quot;dropping-particle&quot;:&quot;&quot;,&quot;non-dropping-particle&quot;:&quot;van&quot;},{&quot;family&quot;:&quot;Ton&quot;,&quot;given&quot;:&quot;Jurriaan&quot;,&quot;parse-names&quot;:false,&quot;dropping-particle&quot;:&quot;&quot;,&quot;non-dropping-particle&quot;:&quot;&quot;}],&quot;container-title&quot;:&quot;Trends in Plant Science&quot;,&quot;DOI&quot;:&quot;10.1016/j.tplants.2013.06.004&quot;,&quot;ISSN&quot;:&quot;13601385&quot;,&quot;PMID&quot;:&quot;23871659&quot;,&quot;issued&quot;:{&quot;date-parts&quot;:[[2013,10]]},&quot;page&quot;:&quot;539-545&quot;,&quot;abstract&quot;:&quot;Plants can develop an enhanced defensive capacity in response to infection by arbuscular mycorrhizal fungi (AMF). This 'mycorrhiza-induced resistance' (MIR) provides systemic protection against a wide range of attackers and shares characteristics with systemic acquired resistance (SAR) after pathogen infection and induced systemic resistance (ISR) following root colonisation by non-pathogenic rhizobacteria. It is commonly assumed that fungal stimulation of the plant immune system is solely responsible for MIR. In this opinion article, we present a novel model of MIR that integrates different aspects of the induced resistance phenomenon. We propose that MIR is a cumulative effect of direct plant responses to mycorrhizal infection and indirect immune responses to ISR-eliciting rhizobacteria in the mycorrhizosphere. © 2013.&quot;,&quot;issue&quot;:&quot;10&quot;,&quot;volume&quot;:&quot;18&quot;},&quot;isTemporary&quot;:false}],&quot;properties&quot;:{&quot;noteIndex&quot;:0},&quot;isEdited&quot;:false,&quot;manualOverride&quot;:{&quot;isManuallyOverridden&quot;:true,&quot;citeprocText&quot;:&quot;(Cameron et al., 2013a)&quot;,&quot;manualOverrideText&quot;:&quot;(Cameron et al., 2013).&quot;},&quot;citationTag&quot;:&quot;MENDELEY_CITATION_v3_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&quot;},{&quot;citationID&quot;:&quot;MENDELEY_CITATION_9a1cbf11-24c3-4b69-993a-5cfffc2276db&quot;,&quot;citationItems&quot;:[{&quot;id&quot;:&quot;96b454db-5c55-3425-8f08-c6b445baae49&quot;,&quot;itemData&quot;:{&quot;type&quot;:&quot;article-journal&quot;,&quot;id&quot;:&quot;96b454db-5c55-3425-8f08-c6b445baae49&quot;,&quot;title&quot;:&quot;Impacts of domestication on the arbuscular mycorrhizal symbiosis of 27 crop species&quot;,&quot;author&quot;:[{&quot;family&quot;:&quot;Martín-Robles&quot;,&quot;given&quot;:&quot;Nieves&quot;,&quot;parse-names&quot;:false,&quot;dropping-particle&quot;:&quot;&quot;,&quot;non-dropping-particle&quot;:&quot;&quot;},{&quot;family&quot;:&quot;Lehmann&quot;,&quot;given&quot;:&quot;Anika&quot;,&quot;parse-names&quot;:false,&quot;dropping-particle&quot;:&quot;&quot;,&quot;non-dropping-particle&quot;:&quot;&quot;},{&quot;family&quot;:&quot;Seco&quot;,&quot;given&quot;:&quot;Erica&quot;,&quot;parse-names&quot;:false,&quot;dropping-particle&quot;:&quot;&quot;,&quot;non-dropping-particle&quot;:&quot;&quot;},{&quot;family&quot;:&quot;Aroca&quot;,&quot;given&quot;:&quot;Ricardo&quot;,&quot;parse-names&quot;:false,&quot;dropping-particle&quot;:&quot;&quot;,&quot;non-dropping-particle&quot;:&quot;&quot;},{&quot;family&quot;:&quot;Rillig&quot;,&quot;given&quot;:&quot;Matthias C.&quot;,&quot;parse-names&quot;:false,&quot;dropping-particle&quot;:&quot;&quot;,&quot;non-dropping-particle&quot;:&quot;&quot;},{&quot;family&quot;:&quot;Milla&quot;,&quot;given&quot;:&quot;Rubén&quot;,&quot;parse-names&quot;:false,&quot;dropping-particle&quot;:&quot;&quot;,&quot;non-dropping-particle&quot;:&quot;&quot;}],&quot;container-title&quot;:&quot;New Phytologist&quot;,&quot;DOI&quot;:&quot;10.1111/nph.14962&quot;,&quot;ISSN&quot;:&quot;0028646X&quot;,&quot;issued&quot;:{&quot;date-parts&quot;:[[2018,4]]},&quot;issue&quot;:&quot;1&quot;,&quot;volume&quot;:&quot;218&quot;},&quot;isTemporary&quot;:false}],&quot;properties&quot;:{&quot;noteIndex&quot;:0},&quot;isEdited&quot;:false,&quot;manualOverride&quot;:{&quot;isManuallyOverridden&quot;:true,&quot;citeprocText&quot;:&quot;(Martín-Robles et al., 2018)&quot;,&quot;manualOverrideText&quot;:&quot;(Martín-Robles et al., 2018).&quot;},&quot;citationTag&quot;:&quot;MENDELEY_CITATION_v3_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&quot;},{&quot;citationID&quot;:&quot;MENDELEY_CITATION_d17ab7eb-0c2e-4977-adc4-561c33a20424&quot;,&quot;citationItems&quot;:[{&quot;id&quot;:&quot;58646017-46e1-3d42-81eb-65dcaaf7dd95&quot;,&quot;itemData&quot;:{&quot;type&quot;:&quot;article-journal&quot;,&quot;id&quot;:&quot;58646017-46e1-3d42-81eb-65dcaaf7dd95&quot;,&quot;title&quot;:&quot;How does arbuscular mycorrhizal colonization vary with host plant genotype? An example based on maize (Zea mays) germplasms&quot;,&quot;author&quot;:[{&quot;family&quot;:&quot;An&quot;,&quot;given&quot;:&quot;G.-H.&quot;,&quot;parse-names&quot;:false,&quot;dropping-particle&quot;:&quot;&quot;,&quot;non-dropping-particle&quot;:&quot;&quot;},{&quot;family&quot;:&quot;Kobayashi&quot;,&quot;given&quot;:&quot;S.&quot;,&quot;parse-names&quot;:false,&quot;dropping-particle&quot;:&quot;&quot;,&quot;non-dropping-particle&quot;:&quot;&quot;},{&quot;family&quot;:&quot;Enoki&quot;,&quot;given&quot;:&quot;H.&quot;,&quot;parse-names&quot;:false,&quot;dropping-particle&quot;:&quot;&quot;,&quot;non-dropping-particle&quot;:&quot;&quot;},{&quot;family&quot;:&quot;Sonobe&quot;,&quot;given&quot;:&quot;K.&quot;,&quot;parse-names&quot;:false,&quot;dropping-particle&quot;:&quot;&quot;,&quot;non-dropping-particle&quot;:&quot;&quot;},{&quot;family&quot;:&quot;Muraki&quot;,&quot;given&quot;:&quot;M.&quot;,&quot;parse-names&quot;:false,&quot;dropping-particle&quot;:&quot;&quot;,&quot;non-dropping-particle&quot;:&quot;&quot;},{&quot;family&quot;:&quot;Karasawa&quot;,&quot;given&quot;:&quot;T.&quot;,&quot;parse-names&quot;:false,&quot;dropping-particle&quot;:&quot;&quot;,&quot;non-dropping-particle&quot;:&quot;&quot;},{&quot;family&quot;:&quot;Ezawa&quot;,&quot;given&quot;:&quot;T.&quot;,&quot;parse-names&quot;:false,&quot;dropping-particle&quot;:&quot;&quot;,&quot;non-dropping-particle&quot;:&quot;&quot;}],&quot;container-title&quot;:&quot;Plant and Soil&quot;,&quot;DOI&quot;:&quot;10.1007/s11104-009-0073-3&quot;,&quot;ISSN&quot;:&quot;0032-079X&quot;,&quot;issued&quot;:{&quot;date-parts&quot;:[[2010,2,9]]},&quot;issue&quot;:&quot;1-2&quot;,&quot;volume&quot;:&quot;327&quot;},&quot;isTemporary&quot;:false}],&quot;properties&quot;:{&quot;noteIndex&quot;:0},&quot;isEdited&quot;:false,&quot;manualOverride&quot;:{&quot;isManuallyOverridden&quot;:true,&quot;citeprocText&quot;:&quot;(G.-H. An et al., 2010)&quot;,&quot;manualOverrideText&quot;:&quot;(An et al., 2010).&quot;},&quot;citationTag&quot;:&quot;MENDELEY_CITATION_v3_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&quot;},{&quot;citationID&quot;:&quot;MENDELEY_CITATION_be62236e-4472-442b-8678-5ada6f1e8a3d&quot;,&quot;citationItems&quot;:[{&quot;id&quot;:&quot;e77317be-df76-3d42-a782-a008db478ac6&quot;,&quot;itemData&quot;:{&quot;type&quot;:&quot;chapter&quot;,&quot;id&quot;:&quot;e77317be-df76-3d42-a782-a008db478ac6&quot;,&quot;title&quot;:&quot;Benefits of Arbuscular Mycorrhizal Fungi Application to Crop Production under Water Scarcity&quot;,&quot;author&quot;:[{&quot;family&quot;:&quot;Posta&quot;,&quot;given&quot;:&quot;Katalin&quot;,&quot;parse-names&quot;:false,&quot;dropping-particle&quot;:&quot;&quot;,&quot;non-dropping-particle&quot;:&quot;&quot;},{&quot;family&quot;:&quot;Hong Duc&quot;,&quot;given&quot;:&quot;Nguyen&quot;,&quot;parse-names&quot;:false,&quot;dropping-particle&quot;:&quot;&quot;,&quot;non-dropping-particle&quot;:&quot;&quot;}],&quot;container-title&quot;:&quot;Drought - Detection and Solutions&quot;,&quot;DOI&quot;:&quot;10.5772/intechopen.86595&quot;,&quot;issued&quot;:{&quot;date-parts&quot;:[[2020,1,15]]},&quot;publisher&quot;:&quot;IntechOpen&quot;},&quot;isTemporary&quot;:false}],&quot;properties&quot;:{&quot;noteIndex&quot;:0},&quot;isEdited&quot;:false,&quot;manualOverride&quot;:{&quot;isManuallyOverridden&quot;:false,&quot;citeprocText&quot;:&quot;(Posta &amp;#38; Hong Duc, 2020)&quot;,&quot;manualOverrideText&quot;:&quot;&quot;},&quot;citationTag&quot;:&quot;MENDELEY_CITATION_v3_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&quot;},{&quot;citationID&quot;:&quot;MENDELEY_CITATION_2cc992f6-1d99-4f93-a851-9d534d7f4dd4&quot;,&quot;citationItems&quot;:[{&quot;id&quot;:&quot;0b1a8c3c-72a1-3ea4-82e9-437918b34227&quot;,&quot;itemData&quot;:{&quot;type&quot;:&quot;article-journal&quot;,&quot;id&quot;:&quot;0b1a8c3c-72a1-3ea4-82e9-437918b34227&quot;,&quot;title&quot;:&quot;Predicting plant responses to mycorrhizae: integrating evolutionary history and plant traits&quot;,&quot;author&quot;:[{&quot;family&quot;:&quot;Reinhart&quot;,&quot;given&quot;:&quot;Kurt O.&quot;,&quot;parse-names&quot;:false,&quot;dropping-particle&quot;:&quot;&quot;,&quot;non-dropping-particle&quot;:&quot;&quot;},{&quot;family&quot;:&quot;Wilson&quot;,&quot;given&quot;:&quot;Gail W. T.&quot;,&quot;parse-names&quot;:false,&quot;dropping-particle&quot;:&quot;&quot;,&quot;non-dropping-particle&quot;:&quot;&quot;},{&quot;family&quot;:&quot;Rinella&quot;,&quot;given&quot;:&quot;Matthew J.&quot;,&quot;parse-names&quot;:false,&quot;dropping-particle&quot;:&quot;&quot;,&quot;non-dropping-particle&quot;:&quot;&quot;}],&quot;container-title&quot;:&quot;Ecology Letters&quot;,&quot;DOI&quot;:&quot;10.1111/j.1461-0248.2012.01786.x&quot;,&quot;ISSN&quot;:&quot;1461023X&quot;,&quot;issued&quot;:{&quot;date-parts&quot;:[[2012,7]]},&quot;issue&quot;:&quot;7&quot;,&quot;volume&quot;:&quot;15&quot;},&quot;isTemporary&quot;:false},{&quot;id&quot;:&quot;cba760d3-79e3-3562-8e49-42677a5e1f1f&quot;,&quot;itemData&quot;:{&quot;type&quot;:&quot;article-journal&quot;,&quot;id&quot;:&quot;cba760d3-79e3-3562-8e49-42677a5e1f1f&quot;,&quot;title&quot;:&quot;Evolutionary history resolves global organization of root functional traits&quot;,&quot;author&quot;:[{&quot;family&quot;:&quot;Ma&quot;,&quot;given&quot;:&quot;Zeqing&quot;,&quot;parse-names&quot;:false,&quot;dropping-particle&quot;:&quot;&quot;,&quot;non-dropping-particle&quot;:&quot;&quot;},{&quot;family&quot;:&quot;Guo&quot;,&quot;given&quot;:&quot;Dali&quot;,&quot;parse-names&quot;:false,&quot;dropping-particle&quot;:&quot;&quot;,&quot;non-dropping-particle&quot;:&quot;&quot;},{&quot;family&quot;:&quot;Xu&quot;,&quot;given&quot;:&quot;Xingliang&quot;,&quot;parse-names&quot;:false,&quot;dropping-particle&quot;:&quot;&quot;,&quot;non-dropping-particle&quot;:&quot;&quot;},{&quot;family&quot;:&quot;Lu&quot;,&quot;given&quot;:&quot;mingzhen&quot;,&quot;parse-names&quot;:false,&quot;dropping-particle&quot;:&quot;&quot;,&quot;non-dropping-particle&quot;:&quot;&quot;},{&quot;family&quot;:&quot;Bardgett&quot;,&quot;given&quot;:&quot;Richard D&quot;,&quot;parse-names&quot;:false,&quot;dropping-particle&quot;:&quot;&quot;,&quot;non-dropping-particle&quot;:&quot;&quot;},{&quot;family&quot;:&quot;Eissenstat&quot;,&quot;given&quot;:&quot;David&quot;,&quot;parse-names&quot;:false,&quot;dropping-particle&quot;:&quot;&quot;,&quot;non-dropping-particle&quot;:&quot;&quot;},{&quot;family&quot;:&quot;mccormack&quot;,&quot;given&quot;:&quot;Luke&quot;,&quot;parse-names&quot;:false,&quot;dropping-particle&quot;:&quot;&quot;,&quot;non-dropping-particle&quot;:&quot;&quot;},{&quot;family&quot;:&quot;hedin&quot;,&quot;given&quot;:&quot;Lars O&quot;,&quot;parse-names&quot;:false,&quot;dropping-particle&quot;:&quot;&quot;,&quot;non-dropping-particle&quot;:&quot;&quot;}],&quot;container-title&quot;:&quot;Nature Publishing Group&quot;,&quot;DOI&quot;:&quot;10.1038/nature25783&quot;,&quot;issued&quot;:{&quot;date-parts&quot;:[[2018]]},&quot;abstract&quot;:&quot;Plant roots have greatly diversified in form and function since the emergence of the first land plants 1,2 , but the global organization of functional traits in roots remains poorly understood 3,4. Here we analyse a global dataset of 10 functionally important root traits in metabolically active first-order roots, collected from 369 species distributed across the natural plant communities of 7 biomes. Our results identify a high degree of organization of root traits across species and biomes, and reveal a pattern that differs from expectations based on previous studies 5,6 of leaf traits. Root diameter exerts the strongest influence on root trait variation across plant species, growth forms and biomes. Our analysis suggests that plants have evolved thinner roots since they first emerged in land ecosystems, which has enabled them to markedly improve their efficiency of soil exploration per unit of carbon invested and to reduce their dependence on symbiotic mycorrhizal fungi. We also found that diversity in root morphological traits is greatest in the tropics, where plant diversity is highest and many ancestral phylogenetic groups are preserved. Diversity in root morphology declines sharply across the sequence of tropical, temperate and desert biomes, presumably owing to changes in resource supply caused by seasonally inhospitable abiotic conditions. Our results suggest that root traits have evolved along a spectrum bounded by two contrasting strategies of root life: an ancestral 'conservative' strategy in which plants with thick roots depend on symbiosis with mycorrhizal fungi for soil resources and a more-derived 'opportunistic' strategy in which thin roots enable plants to more efficiently leverage photosynthetic carbon for soil exploration. These findings imply that innovations of belowground traits have had an important role in preparing plants to colonize new habitats, and in generating biodiversity within and across biomes. Recent efforts to understand how functional traits are organized across land plants have revealed notable patterns across the leaf economic spectrum 5,6 , but whether such a high degree of organization is also seen in root traits remains controversial 4,7. A key factor that has limited progress has been the paucity of data on root traits across plant species and biomes, as roots are difficult to sample and characterize 8,9. Yet, roots are vital for the ability of plants to acquire nutrients and water-two functions of fundamental importance to whole-plant performance and for predicting how plants respond to elevated CO 2 levels and to climate change 10-12. Roots face ecological and physiological challenges that differ fundamentally from those encountered by leaves. Roots must compete for and acquire nutrients and water in environments that greatly vary across global biomes, with biophysical conditions ranging from relatively stable (for example, tropical rainforests) to highly seasonal (for example, deserts or boreal forests). The high diversity that exists in root form and function, and in the degree of association with sym-biotic mycorrhizal fungi, raises a fundamental question: how are root traits organized across the diverse taxa that inhabit different ecological conditions worldwide? Here we propose a model of root trait organization that is functionally decoupled from the leaf economic spectrum and that derives from the phylogenetic history of root diameter and its evolutionary consequences for plant resource acquisition. We evaluated a species-and biome-specific dataset of 10 root traits in 3 major categories 3,13 (morphology, physiology and mycorrhizal association; Supplementary Information, note 1), collected from over 1,200 individual plants of 369 species (from 210 genera and 79 families), distributed across 7 major biomes and 3 continents (Extended Data Table 1). The observations in our dataset: (i) derive solely from native plant communities with natural soil and nutrient conditions; (ii) focus on first-order roots (the most distal and absorptive roots of the branching system) that are subject to strong selection by the local environment 8,9,14 ; (iii) accurately identify species and root order (that is, measure of branching hierarchy 8) in mixed-species ecosystems, by tracing roots to parent trees 15 ; and (iv) apply consistent analytical methods to trait measures across all species and biomes. We collected 94% of the total observations used in our dataset (see Methods). We first investigated whether first-order root traits are globally organized in a manner analogous to the leaf economic spectrum 5,6 , a composite axis of trait variation that ranges from nitrogen-rich leaves with high specific leaf area and short leaf lifespan to nitrogen-poor leaves with low specific leaf area and long leaf lifespan. In roots, nitrogen supports metabolic activity, including nutrient and water transport, enzyme functioning and mycorrhizal symbiosis 16 .&quot;},&quot;isTemporary&quot;:false}],&quot;properties&quot;:{&quot;noteIndex&quot;:0},&quot;isEdited&quot;:false,&quot;manualOverride&quot;:{&quot;isManuallyOverridden&quot;:false,&quot;citeprocText&quot;:&quot;(Ma et al., 2018; Reinhart et al., 2012)&quot;,&quot;manualOverrideText&quot;:&quot;&quot;},&quot;citationTag&quot;:&quot;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&quot;},{&quot;citationID&quot;:&quot;MENDELEY_CITATION_9b61aa00-d140-40bf-a0bd-543ab2f2220d&quot;,&quot;citationItems&quot;:[{&quot;id&quot;:&quot;85b259f4-dc9e-3499-b347-d47c72fe927b&quot;,&quot;itemData&quot;:{&quot;type&quot;:&quot;article-journal&quot;,&quot;id&quot;:&quot;85b259f4-dc9e-3499-b347-d47c72fe927b&quot;,&quot;title&quot;:&quot;Residual soil phosphorus as the missing piece in the global phosphorus crisis puzzle&quot;,&quot;author&quot;:[{&quot;family&quot;:&quot;Sattari&quot;,&quot;given&quot;:&quot;S. Z.&quot;,&quot;parse-names&quot;:false,&quot;dropping-particle&quot;:&quot;&quot;,&quot;non-dropping-particle&quot;:&quot;&quot;},{&quot;family&quot;:&quot;Bouwman&quot;,&quot;given&quot;:&quot;A. F.&quot;,&quot;parse-names&quot;:false,&quot;dropping-particle&quot;:&quot;&quot;,&quot;non-dropping-particle&quot;:&quot;&quot;},{&quot;family&quot;:&quot;Giller&quot;,&quot;given&quot;:&quot;K. E.&quot;,&quot;parse-names&quot;:false,&quot;dropping-particle&quot;:&quot;&quot;,&quot;non-dropping-particle&quot;:&quot;&quot;},{&quot;family&quot;:&quot;Ittersum&quot;,&quot;given&quot;:&quot;M. K.&quot;,&quot;parse-names&quot;:false,&quot;dropping-particle&quot;:&quot;&quot;,&quot;non-dropping-particle&quot;:&quot;van&quot;}],&quot;container-title&quot;:&quot;Proceedings of the National Academy of Sciences&quot;,&quot;DOI&quot;:&quot;10.1073/pnas.1113675109&quot;,&quot;ISSN&quot;:&quot;0027-8424&quot;,&quot;issued&quot;:{&quot;date-parts&quot;:[[2012,4,17]]},&quot;issue&quot;:&quot;16&quot;,&quot;volume&quot;:&quot;109&quot;},&quot;isTemporary&quot;:false},{&quot;id&quot;:&quot;af3620ef-df6d-39a5-8b97-2fa8aafe3163&quot;,&quot;itemData&quot;:{&quot;type&quot;:&quot;article-journal&quot;,&quot;id&quot;:&quot;af3620ef-df6d-39a5-8b97-2fa8aafe3163&quot;,&quot;title&quot;:&quot;Spatiotemporal dynamics of soil phosphorus and crop uptake in global cropland during the 20th century&quot;,&quot;author&quot;:[{&quot;family&quot;:&quot;Zhang&quot;,&quot;given&quot;:&quot;Jie&quot;,&quot;parse-names&quot;:false,&quot;dropping-particle&quot;:&quot;&quot;,&quot;non-dropping-particle&quot;:&quot;&quot;},{&quot;family&quot;:&quot;Beusen&quot;,&quot;given&quot;:&quot;Arthur H. W.&quot;,&quot;parse-names&quot;:false,&quot;dropping-particle&quot;:&quot;&quot;,&quot;non-dropping-particle&quot;:&quot;&quot;},{&quot;family&quot;:&quot;Apeldoorn&quot;,&quot;given&quot;:&quot;Dirk F.&quot;,&quot;parse-names&quot;:false,&quot;dropping-particle&quot;:&quot;&quot;,&quot;non-dropping-particle&quot;:&quot;van&quot;},{&quot;family&quot;:&quot;Mogollón&quot;,&quot;given&quot;:&quot;José M.&quot;,&quot;parse-names&quot;:false,&quot;dropping-particle&quot;:&quot;&quot;,&quot;non-dropping-particle&quot;:&quot;&quot;},{&quot;family&quot;:&quot;Yu&quot;,&quot;given&quot;:&quot;Chaoqing&quot;,&quot;parse-names&quot;:false,&quot;dropping-particle&quot;:&quot;&quot;,&quot;non-dropping-particle&quot;:&quot;&quot;},{&quot;family&quot;:&quot;Bouwman&quot;,&quot;given&quot;:&quot;Alexander F.&quot;,&quot;parse-names&quot;:false,&quot;dropping-particle&quot;:&quot;&quot;,&quot;non-dropping-particle&quot;:&quot;&quot;}],&quot;container-title&quot;:&quot;Biogeosciences&quot;,&quot;DOI&quot;:&quot;10.5194/bg-14-2055-2017&quot;,&quot;ISSN&quot;:&quot;1726-4189&quot;,&quot;issued&quot;:{&quot;date-parts&quot;:[[2017,4,20]]},&quot;abstract&quot;:&quot;&lt;p&gt;Abstract. Phosphorus (P) plays a vital role in global crop production and food security. In this study, we investigate the changes in soil P pool inventories calibrated from historical countrywide crop P uptake, using a 0.5-by-0.5° spatially explicit model for the period 1900–2010. Globally, the total P pool per hectare increased rapidly between 1900 and 2010 in soils of Europe (+31 %), South America (+2 %), North America (+15 %), Asia (+17 %), and Oceania (+17 %), while it has been stable in Africa. Simulated crop P uptake is influenced by both soil properties (available P and the P retention potential) and crop characteristics (maximum uptake). Until 1950, P fertilizer application had a negligible influence on crop uptake, but recently it has become a driving factor for food production in industrialized countries and a number of transition countries like Brazil, Korea, and China. This comprehensive and spatially explicit model can be used to assess how long surplus P fertilization is needed or how long depletions of built-up surplus P can continue without affecting crop yield.&lt;/p&gt;&quot;,&quot;issue&quot;:&quot;8&quot;,&quot;volume&quot;:&quot;14&quot;},&quot;isTemporary&quot;:false}],&quot;properties&quot;:{&quot;noteIndex&quot;:0},&quot;isEdited&quot;:false,&quot;manualOverride&quot;:{&quot;isManuallyOverridden&quot;:false,&quot;citeprocText&quot;:&quot;(Sattari et al., 2012; J. Zhang et al., 2017)&quot;,&quot;manualOverrideText&quot;:&quot;&quot;},&quot;citationTag&quot;:&quot;MENDELEY_CITATION_v3_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&quot;},{&quot;citationID&quot;:&quot;MENDELEY_CITATION_1bafa0ae-991d-4fdd-9e93-b58c9c24d311&quot;,&quot;citationItems&quot;:[{&quot;id&quot;:&quot;a2013d20-0bc1-3c94-8522-d31f5f9963d4&quot;,&quot;itemData&quot;:{&quot;type&quot;:&quot;article-journal&quot;,&quot;id&quot;:&quot;a2013d20-0bc1-3c94-8522-d31f5f9963d4&quot;,&quot;title&quot;:&quot;Novel approaches in plant breeding for rhizosphere-related traits&quot;,&quot;author&quot;:[{&quot;family&quot;:&quot;Wissuwa&quot;,&quot;given&quot;:&quot;Matthias&quot;,&quot;parse-names&quot;:false,&quot;dropping-particle&quot;:&quot;&quot;,&quot;non-dropping-particle&quot;:&quot;&quot;},{&quot;family&quot;:&quot;Mazzola&quot;,&quot;given&quot;:&quot;Mark&quot;,&quot;parse-names&quot;:false,&quot;dropping-particle&quot;:&quot;&quot;,&quot;non-dropping-particle&quot;:&quot;&quot;},{&quot;family&quot;:&quot;Picard&quot;,&quot;given&quot;:&quot;Christine&quot;,&quot;parse-names&quot;:false,&quot;dropping-particle&quot;:&quot;&quot;,&quot;non-dropping-particle&quot;:&quot;&quot;}],&quot;container-title&quot;:&quot;Plant and Soil&quot;,&quot;DOI&quot;:&quot;10.1007/s11104-008-9693-2&quot;,&quot;ISSN&quot;:&quot;0032-079X&quot;,&quot;issued&quot;:{&quot;date-parts&quot;:[[2009,8,4]]},&quot;issue&quot;:&quot;1-2&quot;,&quot;volume&quot;:&quot;321&quot;},&quot;isTemporary&quot;:false},{&quot;id&quot;:&quot;b94182e7-bb71-3eb9-9b44-0a7bd94d715d&quot;,&quot;itemData&quot;:{&quot;type&quot;:&quot;article-journal&quot;,&quot;id&quot;:&quot;b94182e7-bb71-3eb9-9b44-0a7bd94d715d&quot;,&quot;title&quot;:&quot;Genetic improvement for phosphorus efficiency in soybean: A radical approach&quot;,&quot;author&quot;:[{&quot;family&quot;:&quot;Wang&quot;,&quot;given&quot;:&quot;Xiurong&quot;,&quot;parse-names&quot;:false,&quot;dropping-particle&quot;:&quot;&quot;,&quot;non-dropping-particle&quot;:&quot;&quot;},{&quot;family&quot;:&quot;Yan&quot;,&quot;given&quot;:&quot;Xiaolong&quot;,&quot;parse-names&quot;:false,&quot;dropping-particle&quot;:&quot;&quot;,&quot;non-dropping-particle&quot;:&quot;&quot;},{&quot;family&quot;:&quot;Liao&quot;,&quot;given&quot;:&quot;Hong&quot;,&quot;parse-names&quot;:false,&quot;dropping-particle&quot;:&quot;&quot;,&quot;non-dropping-particle&quot;:&quot;&quot;}],&quot;container-title&quot;:&quot;Annals of Botany&quot;,&quot;accessed&quot;:{&quot;date-parts&quot;:[[2021,3,18]]},&quot;DOI&quot;:&quot;10.1093/aob/mcq029&quot;,&quot;ISSN&quot;:&quot;03057364&quot;,&quot;PMID&quot;:&quot;20228090&quot;,&quot;URL&quot;:&quot;/pmc/articles/PMC2889788/&quot;,&quot;issued&quot;:{&quot;date-parts&quot;:[[2010,7]]},&quot;page&quot;:&quot;215-222&quot;,&quot;abstract&quot;:&quot;Background: Low phosphorus (P) availability is a major constraint to soybean growth and production. Developing P-efficient soybean varieties that can efficiently utilize native P and added P in the soils would be a sustainable and economical approach to soybean production. Scope: This review summarizes the possible mechanisms for P efficiency and genetic strategies to improve P efficiency in soybean with examples from several case studies. It also highlights potential obstacles and depicts future perspectives in 'root breeding'. Conclusions: This review provides new insights into the mechanisms of P efficiency and breeding strategies for this trait in soybean. Root biology is a new frontier of plant biology. Substantial efforts are now focusing on increasing soybean P efficiency through 'root breeding'. To advance this area, additional collaborations between plant breeders and physiologists, as well as applied and theoretical research are needed to develop more soybean varieties with enhanced P efficiency through root modification, which might contribute to reduced use of P fertilizers, expanding agriculture on low-P soils, and achieving more sustainable agriculture. © The Author 2010.&quot;,&quot;publisher&quot;:&quot;Oxford University Press&quot;,&quot;issue&quot;:&quot;1&quot;,&quot;volume&quot;:&quot;106&quot;},&quot;isTemporary&quot;:false}],&quot;properties&quot;:{&quot;noteIndex&quot;:0},&quot;isEdited&quot;:false,&quot;manualOverride&quot;:{&quot;isManuallyOverridden&quot;:true,&quot;citeprocText&quot;:&quot;(X. Wang et al., 2010; Wissuwa et al., 2009)&quot;,&quot;manualOverrideText&quot;:&quot;(Wang et al., 2010; Wissuwa et al., 2009)&quot;},&quot;citationTag&quot;:&quot;MENDELEY_CITATION_v3_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&quot;},{&quot;citationID&quot;:&quot;MENDELEY_CITATION_fd8f50a3-8b4f-4367-b8de-14b9123b6abb&quot;,&quot;citationItems&quot;:[{&quot;id&quot;:&quot;f48fad62-2200-3a1b-bf4e-a412ed37c812&quot;,&quot;itemData&quot;:{&quot;type&quot;:&quot;article-journal&quot;,&quot;id&quot;:&quot;f48fad62-2200-3a1b-bf4e-a412ed37c812&quot;,&quot;title&quot;:&quot;Mycorrhizal dependence of modern wheat cultivars and ancestors: a synthesis&quot;,&quot;author&quot;:[{&quot;family&quot;:&quot;Hetrick&quot;,&quot;given&quot;:&quot;B. A. D.&quot;,&quot;parse-names&quot;:false,&quot;dropping-particle&quot;:&quot;&quot;,&quot;non-dropping-particle&quot;:&quot;&quot;},{&quot;family&quot;:&quot;Wilson&quot;,&quot;given&quot;:&quot;G. W. T.&quot;,&quot;parse-names&quot;:false,&quot;dropping-particle&quot;:&quot;&quot;,&quot;non-dropping-particle&quot;:&quot;&quot;},{&quot;family&quot;:&quot;Cox&quot;,&quot;given&quot;:&quot;T. S.&quot;,&quot;parse-names&quot;:false,&quot;dropping-particle&quot;:&quot;&quot;,&quot;non-dropping-particle&quot;:&quot;&quot;}],&quot;container-title&quot;:&quot;Canadian Journal of Botany&quot;,&quot;DOI&quot;:&quot;10.1139/b93-056&quot;,&quot;ISSN&quot;:&quot;0008-4026&quot;,&quot;issued&quot;:{&quot;date-parts&quot;:[[1993,3,1]]},&quot;abstract&quot;:&quot;&lt;p&gt;To supplement previous studies, wheat ancestors with the A, S(B), D, and AB genomes and modern spring and winter wheat cultivars were vernalized for 42 days in a growth chamber prior to transplanting and growth in a greenhouse for 14 weeks. One-half of the seedlings were inoculated with a mixture of equal numbers of spores of six vesicular–arbuscular mycorrhizal fungi at transplanting. Dry weights of plants and component parts were determined. Percent colonization of roots was determined microscopically. Growth response and mycorrhizal dependence were calculated. However, no mycorrhizal dependence was observed in Triticum monococcum PI 266844 and PI 355520 (A genome), Aegilops speltoides 1773 (S(B) genome), or in the AB genome ancestors Triticum carthlicum 2825, Triticum polonicum 2808, Triticum dicoccum 1165, Triticum pyramidale 2809, Triticum orientale 2805, Triticum paleocolchicum 2807, and Triticum persidum 2811 and 2812. Mycorrhizal dependence in the D genome ancestors was more variable. Triticum tauschii var. typica accessions 1649, 1691, 2378, 2448, 2492, 2495, 2528, 2541, and 2567 lacked dependence, whereas T. tauschii var. meyeri 2529 and var. strangulata 2377 and 2452 were dependent on mycorrhizal symbiosis. The spring wheat cultivars Chinese Spring 3008, Spelta 2603, Pavon 76 2980, and Norin 29 3025 and the winter wheat cultivars TAM 200, Wrangler, Saluda, and Karl were not dependent on mycorrhizae, whereas winter wheat cultivars TAM 107 and Century were dependent. When these data are synthesized with previously tested ancestors, landraces, and cultivars, it appears that both dependent and nondependent diploid ancestors with the A, S(B), and D genomes existed, but dependence was lost in tetraploid ancestors. Since no dependence on mycorrhizae has been demonstrated in any AB genome ancestors, the presence of dependence in modern cultivars of the hexaploid ABD genome is probably derived from the D genome. The consistent dependence of wheat cultivars released before 1950 suggests that modern breeding practices have reduced dependence on mycorrhizal symbiosis. The implications of having mycorrhizal colonization in the absence of mycorrhizal dependence (benefit) are discussed. Key words: pathogenesis, growth response, vesicular – arbuscular mycorrhizae.&lt;/p&gt;&quot;,&quot;issue&quot;:&quot;3&quot;,&quot;volume&quot;:&quot;71&quot;},&quot;isTemporary&quot;:false},{&quot;id&quot;:&quot;7d452f49-57c5-33f8-9bd9-26a437c98577&quot;,&quot;itemData&quot;:{&quot;type&quot;:&quot;report&quot;,&quot;id&quot;:&quot;7d452f49-57c5-33f8-9bd9-26a437c98577&quot;,&quot;title&quot;:&quot;Phosphorus (P) efficiencies and mycorrhizal responsiveness of old and modern wheat cultivars&quot;,&quot;author&quot;:[{&quot;family&quot;:&quot;Zhu&quot;,&quot;given&quot;:&quot;Y.-G&quot;,&quot;parse-names&quot;:false,&quot;dropping-particle&quot;:&quot;&quot;,&quot;non-dropping-particle&quot;:&quot;&quot;},{&quot;family&quot;:&quot;Smith&quot;,&quot;given&quot;:&quot;S E&quot;,&quot;parse-names&quot;:false,&quot;dropping-particle&quot;:&quot;&quot;,&quot;non-dropping-particle&quot;:&quot;&quot;},{&quot;family&quot;:&quot;Barritt&quot;,&quot;given&quot;:&quot;A R&quot;,&quot;parse-names&quot;:false,&quot;dropping-particle&quot;:&quot;&quot;,&quot;non-dropping-particle&quot;:&quot;&quot;},{&quot;family&quot;:&quot;Smith&quot;,&quot;given&quot;:&quot;F A&quot;,&quot;parse-names&quot;:false,&quot;dropping-particle&quot;:&quot;&quot;,&quot;non-dropping-particle&quot;:&quot;&quot;}],&quot;container-title&quot;:&quot;Plant and Soil&quot;,&quot;issued&quot;:{&quot;date-parts&quot;:[[2001]]},&quot;number-of-pages&quot;:&quot;249-255&quot;,&quot;abstract&quot;:&quot;A pot experiment was carried out in a growth chamber to investigate P efficiencies and mycorrhizal responsiveness of modern (Krichauff and Excalibur) and old (Khapstein, Bobin, Comeback and Purple Straw) wheat cultivars (Triticum aestivum). The arbuscular mycorrhizal fungus (AMF) used in this study was Glomus intraradices. The growth medium was a soil/sand mixture with NaHCO 3-extractable P of 9.4 mg P kg −1 and no extra P was added. Plant P efficiencies (uptake, utilisation and agronomic) were found to differ significantly between cultivars, but no general trends of changes with the year of release of the cultivar were found. AMF colonisation was found to decrease plant growth under our experimental conditions with low light intensity. Mycorrhizal responsiveness (MR) was measured in terms of the improvement in plant P nutrition (shoot P concentrations). MR was found to be generally lower in modern cultivars than in old cultivars, indicating that modern breeding programs may have reduced the responsiveness of modern wheat cultivars to arbuscular mycorrhizal fungi. MR was also found to decrease in general with increased plant P utilisation efficiency.&quot;,&quot;volume&quot;:&quot;237&quot;},&quot;isTemporary&quot;:false}],&quot;properties&quot;:{&quot;noteIndex&quot;:0},&quot;isEdited&quot;:false,&quot;manualOverride&quot;:{&quot;isManuallyOverridden&quot;:true,&quot;citeprocText&quot;:&quot;(Hetrick et al., 1993; Y.-G. Zhu et al., 2001)&quot;,&quot;manualOverrideText&quot;:&quot;(Hetrick et al., 1993; Zhu et al., 2001)&quot;},&quot;citationTag&quot;:&quot;MENDELEY_CITATION_v3_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&quot;},{&quot;citationID&quot;:&quot;MENDELEY_CITATION_53fa4ae8-72a9-433e-aff6-b8479970f4e7&quot;,&quot;citationItems&quot;:[{&quot;id&quot;:&quot;b90e4011-a8eb-3f82-9c14-e64bd7122ef3&quot;,&quot;itemData&quot;:{&quot;type&quot;:&quot;article-journal&quot;,&quot;id&quot;:&quot;b90e4011-a8eb-3f82-9c14-e64bd7122ef3&quot;,&quot;title&quot;:&quot; Change of phosphorus in red soil and its effect to grain yield under long-term different fertilizations.&quot;,&quot;author&quot;:[{&quot;family&quot;:&quot;Li&quot;,&quot;given&quot;:&quot;D. C.,&quot;,&quot;parse-names&quot;:false,&quot;dropping-particle&quot;:&quot;&quot;,&quot;non-dropping-particle&quot;:&quot;&quot;},{&quot;family&quot;:&quot;Wang&quot;,&quot;given&quot;:&quot;B. R.,&quot;,&quot;parse-names&quot;:false,&quot;dropping-particle&quot;:&quot;&quot;,&quot;non-dropping-particle&quot;:&quot;&quot;},{&quot;family&quot;:&quot;Huang&quot;,&quot;given&quot;:&quot;J.,&quot;,&quot;parse-names&quot;:false,&quot;dropping-particle&quot;:&quot;&quot;,&quot;non-dropping-particle&quot;:&quot;&quot;},{&quot;family&quot;:&quot;Zhang&quot;,&quot;given&quot;:&quot;Y. Z.,&quot;,&quot;parse-names&quot;:false,&quot;dropping-particle&quot;:&quot;&quot;,&quot;non-dropping-particle&quot;:&quot;&quot;},{&quot;family&quot;:&quot;Xu&quot;,&quot;given&quot;:&quot;M. G.,&quot;,&quot;parse-names&quot;:false,&quot;dropping-particle&quot;:&quot;&quot;,&quot;non-dropping-particle&quot;:&quot;&quot;},{&quot;family&quot;:&quot;Zhang&quot;,&quot;given&quot;:&quot;S. X.&quot;,&quot;parse-names&quot;:false,&quot;dropping-particle&quot;:&quot;&quot;,&quot;non-dropping-particle&quot;:&quot;&quot;}],&quot;container-title&quot;:&quot; Sci. Agric. Sin. &quot;,&quot;issued&quot;:{&quot;date-parts&quot;:[[2019]]},&quot;page&quot;:&quot;3830-3841&quot;,&quot;issue&quot;:&quot;21&quot;,&quot;volume&quot;:&quot;52&quot;},&quot;isTemporary&quot;:false}],&quot;properties&quot;:{&quot;noteIndex&quot;:0},&quot;isEdited&quot;:false,&quot;manualOverride&quot;:{&quot;isManuallyOverridden&quot;:true,&quot;citeprocText&quot;:&quot;(D. C. , Li et al., 2019)&quot;,&quot;manualOverrideText&quot;:&quot;(Li et al., 2019)&quot;},&quot;citationTag&quot;:&quot;MENDELEY_CITATION_v3_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&quot;},{&quot;citationID&quot;:&quot;MENDELEY_CITATION_e3ee6730-4e16-4326-9b11-56cd8fe279b7&quot;,&quot;citationItems&quot;:[{&quot;id&quot;:&quot;3f06f08e-f755-39d9-99c6-f991c4a7fbf5&quot;,&quot;itemData&quot;:{&quot;type&quot;:&quot;article-journal&quot;,&quot;id&quot;:&quot;3f06f08e-f755-39d9-99c6-f991c4a7fbf5&quot;,&quot;title&quot;:&quot;Microbial consortia inoculants stimulate early growth of maize depending on nitrogen and phosphorus supply&quot;,&quot;author&quot;:[{&quot;family&quot;:&quot;Bradáčová&quot;,&quot;given&quot;:&quot;Klára&quot;,&quot;parse-names&quot;:false,&quot;dropping-particle&quot;:&quot;&quot;,&quot;non-dropping-particle&quot;:&quot;&quot;},{&quot;family&quot;:&quot;Kandeler&quot;,&quot;given&quot;:&quot;Ellen&quot;,&quot;parse-names&quot;:false,&quot;dropping-particle&quot;:&quot;&quot;,&quot;non-dropping-particle&quot;:&quot;&quot;},{&quot;family&quot;:&quot;Berger&quot;,&quot;given&quot;:&quot;Nils&quot;,&quot;parse-names&quot;:false,&quot;dropping-particle&quot;:&quot;&quot;,&quot;non-dropping-particle&quot;:&quot;&quot;},{&quot;family&quot;:&quot;Ludewig&quot;,&quot;given&quot;:&quot;Uwe&quot;,&quot;parse-names&quot;:false,&quot;dropping-particle&quot;:&quot;&quot;,&quot;non-dropping-particle&quot;:&quot;&quot;},{&quot;family&quot;:&quot;Neumann&quot;,&quot;given&quot;:&quot;Günter&quot;,&quot;parse-names&quot;:false,&quot;dropping-particle&quot;:&quot;&quot;,&quot;non-dropping-particle&quot;:&quot;&quot;}],&quot;container-title&quot;:&quot;Plant, Soil and Environment&quot;,&quot;DOI&quot;:&quot;10.17221/382/2019-PSE&quot;,&quot;ISSN&quot;:&quot;12141178&quot;,&quot;issued&quot;:{&quot;date-parts&quot;:[[2020,3,30]]},&quot;abstract&quot;:&quot;&lt;p&gt;Adoption of microbial consortia as plant growth-promoting microorganisms (PGPMs) instead of single-strain inoculants is discussed as an approach to increase the efficiency and flexibility of PGPM-assisted production strategies. This study provides the functional characterisation of a commercial microbial consortia product (MCP) in a series of greenhouse experiments with maize on a silty-loam field soil (pH 5.9). A 60%-increased abundance of bacteria that could be cultivated after rhizosphere extraction was measured after MCP inoculation at the end of the 42-days culture period. MCP inoculation did not stimulate shoot biomass production of maize fertilised with nitrate, but growth improvement was recorded in combination with stabilised ammonium, especially with reduced phosphorus (P) supply. The MCP inoculant improved the acquisition of ammonium-N but also increased shoot-P. MCP inoculation stimulated root length development under reduced P supply with stabilised ammonium by 52%. This was accompanied by the increased auxin production capacity of rhizosphere bacteria. C-, N-, and P-turnover in the rhizosphere were little affected by the MCP inoculation, as deduced from the analysis of activities of extracellular soil enzymes. The findings suggest that the form of N supply is crucial for the efficiency of plant-MCP interactions.&lt;/p&gt;&quot;,&quot;issue&quot;:&quot;No. 3&quot;,&quot;volume&quot;:&quot;66&quot;},&quot;isTemporary&quot;:false}],&quot;properties&quot;:{&quot;noteIndex&quot;:0},&quot;isEdited&quot;:false,&quot;manualOverride&quot;:{&quot;isManuallyOverridden&quot;:false,&quot;citeprocText&quot;:&quot;(Bradáčová et al., 2020)&quot;,&quot;manualOverrideText&quot;:&quot;&quot;},&quot;citationTag&quot;:&quot;MENDELEY_CITATION_v3_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&quot;},{&quot;citationID&quot;:&quot;MENDELEY_CITATION_5ce47f4a-60cb-4fd0-847d-e1f80fb6679e&quot;,&quot;citationItems&quot;:[{&quot;id&quot;:&quot;97a312d5-9e19-39bf-a758-d4b3805716d2&quot;,&quot;itemData&quot;:{&quot;type&quot;:&quot;article-journal&quot;,&quot;id&quot;:&quot;97a312d5-9e19-39bf-a758-d4b3805716d2&quot;,&quot;title&quot;:&quot;Maize Inoculation with Microbial Consortia: Contrasting Effects on Rhizosphere Activities, Nutrient Acquisition and Early Growth in Different Soils&quot;,&quot;author&quot;:[{&quot;family&quot;:&quot;Bradáčová&quot;,&quot;given&quot;:&quot;Klára&quot;,&quot;parse-names&quot;:false,&quot;dropping-particle&quot;:&quot;&quot;,&quot;non-dropping-particle&quot;:&quot;&quot;},{&quot;family&quot;:&quot;Sittinger&quot;,&quot;given&quot;:&quot;Maximilian&quot;,&quot;parse-names&quot;:false,&quot;dropping-particle&quot;:&quot;&quot;,&quot;non-dropping-particle&quot;:&quot;&quot;},{&quot;family&quot;:&quot;Tietz&quot;,&quot;given&quot;:&quot;Katharina&quot;,&quot;parse-names&quot;:false,&quot;dropping-particle&quot;:&quot;&quot;,&quot;non-dropping-particle&quot;:&quot;&quot;},{&quot;family&quot;:&quot;Neuhäuser&quot;,&quot;given&quot;:&quot;Benjamin&quot;,&quot;parse-names&quot;:false,&quot;dropping-particle&quot;:&quot;&quot;,&quot;non-dropping-particle&quot;:&quot;&quot;},{&quot;family&quot;:&quot;Kandeler&quot;,&quot;given&quot;:&quot;Ellen&quot;,&quot;parse-names&quot;:false,&quot;dropping-particle&quot;:&quot;&quot;,&quot;non-dropping-particle&quot;:&quot;&quot;},{&quot;family&quot;:&quot;Berger&quot;,&quot;given&quot;:&quot;Nils&quot;,&quot;parse-names&quot;:false,&quot;dropping-particle&quot;:&quot;&quot;,&quot;non-dropping-particle&quot;:&quot;&quot;},{&quot;family&quot;:&quot;Ludewig&quot;,&quot;given&quot;:&quot;Uwe&quot;,&quot;parse-names&quot;:false,&quot;dropping-particle&quot;:&quot;&quot;,&quot;non-dropping-particle&quot;:&quot;&quot;},{&quot;family&quot;:&quot;Neumann&quot;,&quot;given&quot;:&quot;Günter&quot;,&quot;parse-names&quot;:false,&quot;dropping-particle&quot;:&quot;&quot;,&quot;non-dropping-particle&quot;:&quot;&quot;}],&quot;container-title&quot;:&quot;Microorganisms&quot;,&quot;DOI&quot;:&quot;10.3390/microorganisms7090329&quot;,&quot;ISSN&quot;:&quot;2076-2607&quot;,&quot;issued&quot;:{&quot;date-parts&quot;:[[2019,9,7]]},&quot;abstract&quot;:&quot;&lt;p&gt;The benefit of plant growth-promoting microorganisms (PGPMs) as plant inoculants is influenced by a wide range of environmental factors. Therefore, microbial consortia products (MCPs) based on multiple PGPM strains with complementary functions, have been proposed as superior, particularly under challenging environmental conditions and for restoration of beneficial microbial communities in disturbed soil environments. To test this hypothesis, the performance of a commercial MCP inoculant based on 22 PGPM strains was investigated in greenhouse experiments with maize on three soils with contrasting pH, organic matter content and microbial activity, under different P and N fertilization regimes. Interestingly, the MCP inoculant stimulated root and shoot growth and improved the acquisition of macronutrients only on a freshly collected field soil with high organic matter content, exclusively in combination with stabilized ammonium fertilization. This was associated with transiently increased expression of AuxIAA5 in the root tissue, a gene responsive to exogenous auxin supply, suggesting root growth promotion by microbial auxin production as a major mode of action of the MCP inoculant. High microbial activity was indicated by intense expression of soil enzyme activities involved in C, N and P cycling in the rhizosphere (cellulase, leucine peptidase, alkaline and acid phosphatases) but without MCP effects. By contrast, the MCP inoculation did not affect maize biomass production or nutrient acquisition on soils with very little Corg and low microbial activity, although moderate stimulation of rhizosphere enzymes involved in N and P cycling was recorded. There was also no indication for MCP-induced solubilization of Ca-phosphates on a calcareous sub-soil fertilized with rock-phosphate. The results demonstrate that the combination of multiple PGPM strains with complementary properties as MCP inoculants does not necessarily translate into plant benefits in challenging environments. Thus, a better understanding of the conditions determining successful MCP application is mandatory.&lt;/p&gt;&quot;,&quot;issue&quot;:&quot;9&quot;,&quot;volume&quot;:&quot;7&quot;},&quot;isTemporary&quot;:false}],&quot;properties&quot;:{&quot;noteIndex&quot;:0},&quot;isEdited&quot;:false,&quot;manualOverride&quot;:{&quot;isManuallyOverridden&quot;:false,&quot;citeprocText&quot;:&quot;(Bradáčová et al., 2019)&quot;,&quot;manualOverrideText&quot;:&quot;&quot;},&quot;citationTag&quot;:&quot;MENDELEY_CITATION_v3_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&quot;},{&quot;citationID&quot;:&quot;MENDELEY_CITATION_07e6a48f-a87f-4913-bf43-be9ff9bb4798&quot;,&quot;citationItems&quot;:[{&quot;id&quot;:&quot;58646017-46e1-3d42-81eb-65dcaaf7dd95&quot;,&quot;itemData&quot;:{&quot;type&quot;:&quot;article-journal&quot;,&quot;id&quot;:&quot;58646017-46e1-3d42-81eb-65dcaaf7dd95&quot;,&quot;title&quot;:&quot;How does arbuscular mycorrhizal colonization vary with host plant genotype? An example based on maize (Zea mays) germplasms&quot;,&quot;author&quot;:[{&quot;family&quot;:&quot;An&quot;,&quot;given&quot;:&quot;G.-H.&quot;,&quot;parse-names&quot;:false,&quot;dropping-particle&quot;:&quot;&quot;,&quot;non-dropping-particle&quot;:&quot;&quot;},{&quot;family&quot;:&quot;Kobayashi&quot;,&quot;given&quot;:&quot;S.&quot;,&quot;parse-names&quot;:false,&quot;dropping-particle&quot;:&quot;&quot;,&quot;non-dropping-particle&quot;:&quot;&quot;},{&quot;family&quot;:&quot;Enoki&quot;,&quot;given&quot;:&quot;H.&quot;,&quot;parse-names&quot;:false,&quot;dropping-particle&quot;:&quot;&quot;,&quot;non-dropping-particle&quot;:&quot;&quot;},{&quot;family&quot;:&quot;Sonobe&quot;,&quot;given&quot;:&quot;K.&quot;,&quot;parse-names&quot;:false,&quot;dropping-particle&quot;:&quot;&quot;,&quot;non-dropping-particle&quot;:&quot;&quot;},{&quot;family&quot;:&quot;Muraki&quot;,&quot;given&quot;:&quot;M.&quot;,&quot;parse-names&quot;:false,&quot;dropping-particle&quot;:&quot;&quot;,&quot;non-dropping-particle&quot;:&quot;&quot;},{&quot;family&quot;:&quot;Karasawa&quot;,&quot;given&quot;:&quot;T.&quot;,&quot;parse-names&quot;:false,&quot;dropping-particle&quot;:&quot;&quot;,&quot;non-dropping-particle&quot;:&quot;&quot;},{&quot;family&quot;:&quot;Ezawa&quot;,&quot;given&quot;:&quot;T.&quot;,&quot;parse-names&quot;:false,&quot;dropping-particle&quot;:&quot;&quot;,&quot;non-dropping-particle&quot;:&quot;&quot;}],&quot;container-title&quot;:&quot;Plant and Soil&quot;,&quot;DOI&quot;:&quot;10.1007/s11104-009-0073-3&quot;,&quot;ISSN&quot;:&quot;0032-079X&quot;,&quot;issued&quot;:{&quot;date-parts&quot;:[[2010,2,9]]},&quot;issue&quot;:&quot;1-2&quot;,&quot;volume&quot;:&quot;327&quot;},&quot;isTemporary&quot;:false}],&quot;properties&quot;:{&quot;noteIndex&quot;:0},&quot;isEdited&quot;:false,&quot;manualOverride&quot;:{&quot;isManuallyOverridden&quot;:true,&quot;citeprocText&quot;:&quot;(G.-H. An et al., 2010)&quot;,&quot;manualOverrideText&quot;:&quot;(An et al., 2010)&quot;},&quot;citationTag&quot;:&quot;MENDELEY_CITATION_v3_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&quot;},{&quot;citationID&quot;:&quot;MENDELEY_CITATION_3284fe82-340f-4328-a8d9-0563c0f370bc&quot;,&quot;citationItems&quot;:[{&quot;id&quot;:&quot;abf85b8f-4dfa-3ebe-95b6-e7b98e0ac462&quot;,&quot;itemData&quot;:{&quot;type&quot;:&quot;article-journal&quot;,&quot;id&quot;:&quot;abf85b8f-4dfa-3ebe-95b6-e7b98e0ac462&quot;,&quot;title&quot;:&quot;Flint maize root mycorrhization and organic acid exudates under phosphorus deficiency: Trends in breeding lines and doubled haploid lines from landraces&quot;,&quot;author&quot;:[{&quot;family&quot;:&quot;Li&quot;,&quot;given&quot;:&quot;Xuelian&quot;,&quot;parse-names&quot;:false,&quot;dropping-particle&quot;:&quot;&quot;,&quot;non-dropping-particle&quot;:&quot;&quot;},{&quot;family&quot;:&quot;Quan&quot;,&quot;given&quot;:&quot;Xiuhao&quot;,&quot;parse-names&quot;:false,&quot;dropping-particle&quot;:&quot;&quot;,&quot;non-dropping-particle&quot;:&quot;&quot;},{&quot;family&quot;:&quot;Mang&quot;,&quot;given&quot;:&quot;Melissa&quot;,&quot;parse-names&quot;:false,&quot;dropping-particle&quot;:&quot;&quot;,&quot;non-dropping-particle&quot;:&quot;&quot;},{&quot;family&quot;:&quot;Neumann&quot;,&quot;given&quot;:&quot;Günter&quot;,&quot;parse-names&quot;:false,&quot;dropping-particle&quot;:&quot;&quot;,&quot;non-dropping-particle&quot;:&quot;&quot;},{&quot;family&quot;:&quot;Melchinger&quot;,&quot;given&quot;:&quot;Albrecht&quot;,&quot;parse-names&quot;:false,&quot;dropping-particle&quot;:&quot;&quot;,&quot;non-dropping-particle&quot;:&quot;&quot;},{&quot;family&quot;:&quot;Ludewig&quot;,&quot;given&quot;:&quot;Uwe&quot;,&quot;parse-names&quot;:false,&quot;dropping-particle&quot;:&quot;&quot;,&quot;non-dropping-particle&quot;:&quot;&quot;}],&quot;container-title&quot;:&quot;Journal of Plant Nutrition and Soil Science&quot;,&quot;DOI&quot;:&quot;10.1002/jpln.202000471&quot;,&quot;ISSN&quot;:&quot;15222624&quot;,&quot;issued&quot;:{&quot;date-parts&quot;:[[2021]]},&quot;abstract&quot;:&quot;Aims: High maize yields in modern well-managed agroecosystems depend on the use of elite varieties and hybrids. Unfortunately, because of repeated selection at high fertilizer rates, some beneficial traits, such as the interaction with arbuscular mycorrhizal fungi or the release of organic acid anions for phosphate mobilization and for attracting beneficial microorganisms, might be gradually declining in modern elite genotypes. However, old founder lines and landraces possibly carry genetic relicts that originate from pre-green revolution times that are useful for breeding elite material for low input farming systems. Methods: Seedling colonization with arbuscular mycorrhizal fungi (AMF) and organic acid anion release were measured in flint lines that were released over more than five decades ago and in six preselected doubled haploid (DH) lines from landraces. P-uptake-related root traits were compared under P-sufficient and P-deficient conditions. Results: Weak trends for the loss of AMF colonization or changes in organic acid anion release at low P supply were detected in modern varieties. One DH line from a landrace was found with increased mycorrhization, whereas others were similar to modern elite lines. Overall, substantial genetic variance was encountered for these traits. Conclusions: The concern that modern elite maize varieties have lost beneficial traits for nutrient acquisition is not substantiated for the flint pool of maize, although weak trends exist. Lines associated with better P-acquisition efficiency under limited P availability should be utilized for breeding more sustainable varieties.&quot;,&quot;publisher&quot;:&quot;Wiley-VCH Verlag&quot;},&quot;isTemporary&quot;:false}],&quot;properties&quot;:{&quot;noteIndex&quot;:0},&quot;isEdited&quot;:false,&quot;manualOverride&quot;:{&quot;isManuallyOverridden&quot;:true,&quot;citeprocText&quot;:&quot;(X. Li et al., 2021)&quot;,&quot;manualOverrideText&quot;:&quot;(Li et al., 2021)&quot;},&quot;citationTag&quot;:&quot;MENDELEY_CITATION_v3_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&quot;},{&quot;citationID&quot;:&quot;MENDELEY_CITATION_aef4688d-c74c-45cf-98c3-ae4eeca536ea&quot;,&quot;citationItems&quot;:[{&quot;id&quot;:&quot;5939993b-3cc6-3fd3-ba81-e1797ceaa09b&quot;,&quot;itemData&quot;:{&quot;type&quot;:&quot;article-journal&quot;,&quot;id&quot;:&quot;5939993b-3cc6-3fd3-ba81-e1797ceaa09b&quot;,&quot;title&quot;:&quot;Mycorrhizal responsiveness of maize (Zea mays L.) genotypes as related to releasing date and available P content in soil&quot;,&quot;author&quot;:[{&quot;family&quot;:&quot;Chu&quot;,&quot;given&quot;:&quot;Qun&quot;,&quot;parse-names&quot;:false,&quot;dropping-particle&quot;:&quot;&quot;,&quot;non-dropping-particle&quot;:&quot;&quot;},{&quot;family&quot;:&quot;Wang&quot;,&quot;given&quot;:&quot;Xinxin&quot;,&quot;parse-names&quot;:false,&quot;dropping-particle&quot;:&quot;&quot;,&quot;non-dropping-particle&quot;:&quot;&quot;},{&quot;family&quot;:&quot;Yang&quot;,&quot;given&quot;:&quot;Yang&quot;,&quot;parse-names&quot;:false,&quot;dropping-particle&quot;:&quot;&quot;,&quot;non-dropping-particle&quot;:&quot;&quot;},{&quot;family&quot;:&quot;Chen&quot;,&quot;given&quot;:&quot;Fanjun&quot;,&quot;parse-names&quot;:false,&quot;dropping-particle&quot;:&quot;&quot;,&quot;non-dropping-particle&quot;:&quot;&quot;},{&quot;family&quot;:&quot;Zhang&quot;,&quot;given&quot;:&quot;Fusuo&quot;,&quot;parse-names&quot;:false,&quot;dropping-particle&quot;:&quot;&quot;,&quot;non-dropping-particle&quot;:&quot;&quot;},{&quot;family&quot;:&quot;Feng&quot;,&quot;given&quot;:&quot;Gu&quot;,&quot;parse-names&quot;:false,&quot;dropping-particle&quot;:&quot;&quot;,&quot;non-dropping-particle&quot;:&quot;&quot;}],&quot;container-title&quot;:&quot;Mycorrhiza&quot;,&quot;DOI&quot;:&quot;10.1007/s00572-013-0492-0&quot;,&quot;ISSN&quot;:&quot;0940-6360&quot;,&quot;issued&quot;:{&quot;date-parts&quot;:[[2013,8,16]]},&quot;issue&quot;:&quot;6&quot;,&quot;volume&quot;:&quot;23&quot;},&quot;isTemporary&quot;:false}],&quot;properties&quot;:{&quot;noteIndex&quot;:0},&quot;isEdited&quot;:false,&quot;manualOverride&quot;:{&quot;isManuallyOverridden&quot;:true,&quot;citeprocText&quot;:&quot;(Chu et al., 2013b)&quot;,&quot;manualOverrideText&quot;:&quot;(Chu et al., 2013)&quot;},&quot;citationTag&quot;:&quot;MENDELEY_CITATION_v3_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&quot;},{&quot;citationID&quot;:&quot;MENDELEY_CITATION_db163620-66bc-4fcb-a6c8-703a33244f52&quot;,&quot;citationItems&quot;:[{&quot;id&quot;:&quot;7d452f49-57c5-33f8-9bd9-26a437c98577&quot;,&quot;itemData&quot;:{&quot;type&quot;:&quot;report&quot;,&quot;id&quot;:&quot;7d452f49-57c5-33f8-9bd9-26a437c98577&quot;,&quot;title&quot;:&quot;Phosphorus (P) efficiencies and mycorrhizal responsiveness of old and modern wheat cultivars&quot;,&quot;author&quot;:[{&quot;family&quot;:&quot;Zhu&quot;,&quot;given&quot;:&quot;Y.-G&quot;,&quot;parse-names&quot;:false,&quot;dropping-particle&quot;:&quot;&quot;,&quot;non-dropping-particle&quot;:&quot;&quot;},{&quot;family&quot;:&quot;Smith&quot;,&quot;given&quot;:&quot;S E&quot;,&quot;parse-names&quot;:false,&quot;dropping-particle&quot;:&quot;&quot;,&quot;non-dropping-particle&quot;:&quot;&quot;},{&quot;family&quot;:&quot;Barritt&quot;,&quot;given&quot;:&quot;A R&quot;,&quot;parse-names&quot;:false,&quot;dropping-particle&quot;:&quot;&quot;,&quot;non-dropping-particle&quot;:&quot;&quot;},{&quot;family&quot;:&quot;Smith&quot;,&quot;given&quot;:&quot;F A&quot;,&quot;parse-names&quot;:false,&quot;dropping-particle&quot;:&quot;&quot;,&quot;non-dropping-particle&quot;:&quot;&quot;}],&quot;container-title&quot;:&quot;Plant and Soil&quot;,&quot;issued&quot;:{&quot;date-parts&quot;:[[2001]]},&quot;number-of-pages&quot;:&quot;249-255&quot;,&quot;abstract&quot;:&quot;A pot experiment was carried out in a growth chamber to investigate P efficiencies and mycorrhizal responsiveness of modern (Krichauff and Excalibur) and old (Khapstein, Bobin, Comeback and Purple Straw) wheat cultivars (Triticum aestivum). The arbuscular mycorrhizal fungus (AMF) used in this study was Glomus intraradices. The growth medium was a soil/sand mixture with NaHCO 3-extractable P of 9.4 mg P kg −1 and no extra P was added. Plant P efficiencies (uptake, utilisation and agronomic) were found to differ significantly between cultivars, but no general trends of changes with the year of release of the cultivar were found. AMF colonisation was found to decrease plant growth under our experimental conditions with low light intensity. Mycorrhizal responsiveness (MR) was measured in terms of the improvement in plant P nutrition (shoot P concentrations). MR was found to be generally lower in modern cultivars than in old cultivars, indicating that modern breeding programs may have reduced the responsiveness of modern wheat cultivars to arbuscular mycorrhizal fungi. MR was also found to decrease in general with increased plant P utilisation efficiency.&quot;,&quot;volume&quot;:&quot;237&quot;},&quot;isTemporary&quot;:false}],&quot;properties&quot;:{&quot;noteIndex&quot;:0},&quot;isEdited&quot;:false,&quot;manualOverride&quot;:{&quot;isManuallyOverridden&quot;:true,&quot;citeprocText&quot;:&quot;(Y.-G. Zhu et al., 2001)&quot;,&quot;manualOverrideText&quot;:&quot;(Zhu et al., 2001)&quot;},&quot;citationTag&quot;:&quot;MENDELEY_CITATION_v3_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&quot;},{&quot;citationID&quot;:&quot;MENDELEY_CITATION_933ae1c2-0e10-4ab2-87c0-e990f3b71d4b&quot;,&quot;citationItems&quot;:[{&quot;id&quot;:&quot;68c8cbae-e597-36eb-bcdf-281252dfaeef&quot;,&quot;itemData&quot;:{&quot;type&quot;:&quot;article-journal&quot;,&quot;id&quot;:&quot;68c8cbae-e597-36eb-bcdf-281252dfaeef&quot;,&quot;title&quot;:&quot;Mycorrhizal responses of barley cultivars differing in P efficiency&quot;,&quot;author&quot;:[{&quot;family&quot;:&quot;Baon&quot;,&quot;given&quot;:&quot;J. B.&quot;,&quot;parse-names&quot;:false,&quot;dropping-particle&quot;:&quot;&quot;,&quot;non-dropping-particle&quot;:&quot;&quot;},{&quot;family&quot;:&quot;Smith&quot;,&quot;given&quot;:&quot;S. E.&quot;,&quot;parse-names&quot;:false,&quot;dropping-particle&quot;:&quot;&quot;,&quot;non-dropping-particle&quot;:&quot;&quot;},{&quot;family&quot;:&quot;Alston&quot;,&quot;given&quot;:&quot;A. M.&quot;,&quot;parse-names&quot;:false,&quot;dropping-particle&quot;:&quot;&quot;,&quot;non-dropping-particle&quot;:&quot;&quot;}],&quot;container-title&quot;:&quot;Plant and Soil&quot;,&quot;DOI&quot;:&quot;10.1007/BF00038752&quot;,&quot;ISSN&quot;:&quot;0032-079X&quot;,&quot;issued&quot;:{&quot;date-parts&quot;:[[1993,11]]},&quot;issue&quot;:&quot;1&quot;,&quot;volume&quot;:&quot;157&quot;},&quot;isTemporary&quot;:false},{&quot;id&quot;:&quot;5f4b4be4-fe1c-364c-b07f-0f30e2ef8ea1&quot;,&quot;itemData&quot;:{&quot;type&quot;:&quot;article-journal&quot;,&quot;id&quot;:&quot;5f4b4be4-fe1c-364c-b07f-0f30e2ef8ea1&quot;,&quot;title&quot;:&quot;Mycorrhizal dependence of modern wheat varieties, landraces, and ancestors&quot;,&quot;author&quot;:[{&quot;family&quot;:&quot;Hetrick&quot;,&quot;given&quot;:&quot;B. A.D.&quot;,&quot;parse-names&quot;:false,&quot;dropping-particle&quot;:&quot;&quot;,&quot;non-dropping-particle&quot;:&quot;&quot;},{&quot;family&quot;:&quot;Wilson&quot;,&quot;given&quot;:&quot;G. W.T.&quot;,&quot;parse-names&quot;:false,&quot;dropping-particle&quot;:&quot;&quot;,&quot;non-dropping-particle&quot;:&quot;&quot;},{&quot;family&quot;:&quot;Cox&quot;,&quot;given&quot;:&quot;T. S.&quot;,&quot;parse-names&quot;:false,&quot;dropping-particle&quot;:&quot;&quot;,&quot;non-dropping-particle&quot;:&quot;&quot;}],&quot;container-title&quot;:&quot;Canadian Journal of Botany&quot;,&quot;accessed&quot;:{&quot;date-parts&quot;:[[2021,3,18]]},&quot;DOI&quot;:&quot;10.1139/b92-253&quot;,&quot;ISSN&quot;:&quot;00084026&quot;,&quot;URL&quot;:&quot;https://cdnsciencepub.com/doi/abs/10.1139/b92-253&quot;,&quot;issued&quot;:{&quot;date-parts&quot;:[[1992]]},&quot;page&quot;:&quot;2032-2040&quot;,&quot;abstract&quot;:&quot;With the exception of the US cultivar Newton and the German cultivars Apollo, Kanzler, and Sperber, dry weight of eight other modern wheats Triticum aestivum from the USA and Great Britain were increased by 29-100% following inoculation with mycorrhizal fungi. All landraces from Asian collections or early introduced American cultivars were also dependent on the symbiosis, with dry weight increases averaging 169 and 55%, respectively. All wheat ancestors of the AA and BB genomes (except Aegilops speltoides) benefitted significantly from the symbiosis, whereas no benefit was observed for ancestors of the DD genome, tetraploid wheats of the AABB and AAGG genomes, or in the hexaploid ancestor Triticum zhukovskyi (AAAAGG genome). These differences in mycorrhizal response of the ancestors, lines, and cultivars were highly correlated with root fibrousness ratings. -from Authors&quot;,&quot;publisher&quot;:&quot; NRC Research Press Ottawa, Canada &quot;,&quot;issue&quot;:&quot;10&quot;,&quot;volume&quot;:&quot;70&quot;},&quot;isTemporary&quot;:false},{&quot;id&quot;:&quot;7d452f49-57c5-33f8-9bd9-26a437c98577&quot;,&quot;itemData&quot;:{&quot;type&quot;:&quot;report&quot;,&quot;id&quot;:&quot;7d452f49-57c5-33f8-9bd9-26a437c98577&quot;,&quot;title&quot;:&quot;Phosphorus (P) efficiencies and mycorrhizal responsiveness of old and modern wheat cultivars&quot;,&quot;author&quot;:[{&quot;family&quot;:&quot;Zhu&quot;,&quot;given&quot;:&quot;Y.-G&quot;,&quot;parse-names&quot;:false,&quot;dropping-particle&quot;:&quot;&quot;,&quot;non-dropping-particle&quot;:&quot;&quot;},{&quot;family&quot;:&quot;Smith&quot;,&quot;given&quot;:&quot;S E&quot;,&quot;parse-names&quot;:false,&quot;dropping-particle&quot;:&quot;&quot;,&quot;non-dropping-particle&quot;:&quot;&quot;},{&quot;family&quot;:&quot;Barritt&quot;,&quot;given&quot;:&quot;A R&quot;,&quot;parse-names&quot;:false,&quot;dropping-particle&quot;:&quot;&quot;,&quot;non-dropping-particle&quot;:&quot;&quot;},{&quot;family&quot;:&quot;Smith&quot;,&quot;given&quot;:&quot;F A&quot;,&quot;parse-names&quot;:false,&quot;dropping-particle&quot;:&quot;&quot;,&quot;non-dropping-particle&quot;:&quot;&quot;}],&quot;container-title&quot;:&quot;Plant and Soil&quot;,&quot;issued&quot;:{&quot;date-parts&quot;:[[2001]]},&quot;number-of-pages&quot;:&quot;249-255&quot;,&quot;abstract&quot;:&quot;A pot experiment was carried out in a growth chamber to investigate P efficiencies and mycorrhizal responsiveness of modern (Krichauff and Excalibur) and old (Khapstein, Bobin, Comeback and Purple Straw) wheat cultivars (Triticum aestivum). The arbuscular mycorrhizal fungus (AMF) used in this study was Glomus intraradices. The growth medium was a soil/sand mixture with NaHCO 3-extractable P of 9.4 mg P kg −1 and no extra P was added. Plant P efficiencies (uptake, utilisation and agronomic) were found to differ significantly between cultivars, but no general trends of changes with the year of release of the cultivar were found. AMF colonisation was found to decrease plant growth under our experimental conditions with low light intensity. Mycorrhizal responsiveness (MR) was measured in terms of the improvement in plant P nutrition (shoot P concentrations). MR was found to be generally lower in modern cultivars than in old cultivars, indicating that modern breeding programs may have reduced the responsiveness of modern wheat cultivars to arbuscular mycorrhizal fungi. MR was also found to decrease in general with increased plant P utilisation efficiency.&quot;,&quot;volume&quot;:&quot;237&quot;},&quot;isTemporary&quot;:false}],&quot;properties&quot;:{&quot;noteIndex&quot;:0},&quot;isEdited&quot;:false,&quot;manualOverride&quot;:{&quot;isManuallyOverridden&quot;:true,&quot;citeprocText&quot;:&quot;(Baon et al., 1993; Hetrick et al., 1992; Y.-G. Zhu et al., 2001)&quot;,&quot;manualOverrideText&quot;:&quot;(Baon et al., 1993; Hetrick et al., 1992; Zhu et al., 2001)&quot;},&quot;citationTag&quot;:&quot;MENDELEY_CITATION_v3_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&quot;},{&quot;citationID&quot;:&quot;MENDELEY_CITATION_2ce50a71-fc01-408f-b5e1-236f5acff8e8&quot;,&quot;citationItems&quot;:[{&quot;id&quot;:&quot;684b797d-fb77-3d53-a6a3-dd66045d26f5&quot;,&quot;itemData&quot;:{&quot;type&quot;:&quot;article-journal&quot;,&quot;id&quot;:&quot;684b797d-fb77-3d53-a6a3-dd66045d26f5&quot;,&quot;title&quot;:&quot;Impact of long-term conventional and organic farming on the diversity of arbuscular mycorrhizal fungi&quot;,&quot;author&quot;:[{&quot;family&quot;:&quot;Oehl&quot;,&quot;given&quot;:&quot;Fritz&quot;,&quot;parse-names&quot;:false,&quot;dropping-particle&quot;:&quot;&quot;,&quot;non-dropping-particle&quot;:&quot;&quot;},{&quot;family&quot;:&quot;Sieverding&quot;,&quot;given&quot;:&quot;Ewald&quot;,&quot;parse-names&quot;:false,&quot;dropping-particle&quot;:&quot;&quot;,&quot;non-dropping-particle&quot;:&quot;&quot;},{&quot;family&quot;:&quot;Mäder&quot;,&quot;given&quot;:&quot;Paul&quot;,&quot;parse-names&quot;:false,&quot;dropping-particle&quot;:&quot;&quot;,&quot;non-dropping-particle&quot;:&quot;&quot;},{&quot;family&quot;:&quot;Dubois&quot;,&quot;given&quot;:&quot;David&quot;,&quot;parse-names&quot;:false,&quot;dropping-particle&quot;:&quot;&quot;,&quot;non-dropping-particle&quot;:&quot;&quot;},{&quot;family&quot;:&quot;Ineichen&quot;,&quot;given&quot;:&quot;Kurt&quot;,&quot;parse-names&quot;:false,&quot;dropping-particle&quot;:&quot;&quot;,&quot;non-dropping-particle&quot;:&quot;&quot;},{&quot;family&quot;:&quot;Boller&quot;,&quot;given&quot;:&quot;Thomas&quot;,&quot;parse-names&quot;:false,&quot;dropping-particle&quot;:&quot;&quot;,&quot;non-dropping-particle&quot;:&quot;&quot;},{&quot;family&quot;:&quot;Wiemken&quot;,&quot;given&quot;:&quot;Andres&quot;,&quot;parse-names&quot;:false,&quot;dropping-particle&quot;:&quot;&quot;,&quot;non-dropping-particle&quot;:&quot;&quot;}],&quot;container-title&quot;:&quot;Oecologia&quot;,&quot;DOI&quot;:&quot;10.1007/s00442-003-1458-2&quot;,&quot;ISSN&quot;:&quot;0029-8549&quot;,&quot;issued&quot;:{&quot;date-parts&quot;:[[2004,3,1]]},&quot;issue&quot;:&quot;4&quot;,&quot;volume&quot;:&quot;138&quot;},&quot;isTemporary&quot;:false}],&quot;properties&quot;:{&quot;noteIndex&quot;:0},&quot;isEdited&quot;:false,&quot;manualOverride&quot;:{&quot;isManuallyOverridden&quot;:true,&quot;citeprocText&quot;:&quot;(Oehl et al., 2004)&quot;,&quot;manualOverrideText&quot;:&quot;(Oehl et al., 2004),&quot;},&quot;citationTag&quot;:&quot;MENDELEY_CITATION_v3_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&quot;},{&quot;citationID&quot;:&quot;MENDELEY_CITATION_a6afe16b-f195-4523-a57e-430120c053d4&quot;,&quot;citationItems&quot;:[{&quot;id&quot;:&quot;00e95dd5-28de-3270-8023-0e03b8873a86&quot;,&quot;itemData&quot;:{&quot;type&quot;:&quot;article-journal&quot;,&quot;id&quot;:&quot;00e95dd5-28de-3270-8023-0e03b8873a86&quot;,&quot;title&quot;:&quot;Low seed phosphorus concentration depresses early growth and nodulation of narrow‐leafed Lupin ( &lt;i&gt;Lupinus angustifolius&lt;/i&gt; cv. Gungurru)&quot;,&quot;author&quot;:[{&quot;family&quot;:&quot;Thomson&quot;,&quot;given&quot;:&quot;B. D.&quot;,&quot;parse-names&quot;:false,&quot;dropping-particle&quot;:&quot;&quot;,&quot;non-dropping-particle&quot;:&quot;&quot;},{&quot;family&quot;:&quot;Bell&quot;,&quot;given&quot;:&quot;R. W.&quot;,&quot;parse-names&quot;:false,&quot;dropping-particle&quot;:&quot;&quot;,&quot;non-dropping-particle&quot;:&quot;&quot;},{&quot;family&quot;:&quot;Bolland&quot;,&quot;given&quot;:&quot;M. D. A.&quot;,&quot;parse-names&quot;:false,&quot;dropping-particle&quot;:&quot;&quot;,&quot;non-dropping-particle&quot;:&quot;&quot;}],&quot;container-title&quot;:&quot;Journal of Plant Nutrition&quot;,&quot;DOI&quot;:&quot;10.1080/01904169209364390&quot;,&quot;ISSN&quot;:&quot;0190-4167&quot;,&quot;issued&quot;:{&quot;date-parts&quot;:[[1992,8]]},&quot;issue&quot;:&quot;8&quot;,&quot;volume&quot;:&quot;15&quot;},&quot;isTemporary&quot;:false},{&quot;id&quot;:&quot;d749942b-5499-3aa3-a33d-719eeef236e1&quot;,&quot;itemData&quot;:{&quot;type&quot;:&quot;article-journal&quot;,&quot;id&quot;:&quot;d749942b-5499-3aa3-a33d-719eeef236e1&quot;,&quot;title&quot;:&quot;Arbuscular mycorrhizal fungal diversity and species dominance in a temperate soil with long-term conventional and low-input cropping systems&quot;,&quot;author&quot;:[{&quot;family&quot;:&quot;Vestberg&quot;,&quot;given&quot;:&quot;Mauritz&quot;,&quot;parse-names&quot;:false,&quot;dropping-particle&quot;:&quot;&quot;,&quot;non-dropping-particle&quot;:&quot;&quot;},{&quot;family&quot;:&quot;Kahiluoto&quot;,&quot;given&quot;:&quot;Helena&quot;,&quot;parse-names&quot;:false,&quot;dropping-particle&quot;:&quot;&quot;,&quot;non-dropping-particle&quot;:&quot;&quot;},{&quot;family&quot;:&quot;Wallius&quot;,&quot;given&quot;:&quot;Esa&quot;,&quot;parse-names&quot;:false,&quot;dropping-particle&quot;:&quot;&quot;,&quot;non-dropping-particle&quot;:&quot;&quot;}],&quot;container-title&quot;:&quot;Mycorrhiza&quot;,&quot;DOI&quot;:&quot;10.1007/s00572-010-0346-y&quot;,&quot;ISSN&quot;:&quot;0940-6360&quot;,&quot;issued&quot;:{&quot;date-parts&quot;:[[2011,7,18]]},&quot;issue&quot;:&quot;5&quot;,&quot;volume&quot;:&quot;21&quot;},&quot;isTemporary&quot;:false}],&quot;properties&quot;:{&quot;noteIndex&quot;:0},&quot;isEdited&quot;:false,&quot;manualOverride&quot;:{&quot;isManuallyOverridden&quot;:false,&quot;citeprocText&quot;:&quot;(Thomson et al., 1992; Vestberg et al., 2011)&quot;,&quot;manualOverrideText&quot;:&quot;&quot;},&quot;citationTag&quot;:&quot;MENDELEY_CITATION_v3_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&quot;},{&quot;citationID&quot;:&quot;MENDELEY_CITATION_477e8a64-0267-4d8e-be33-a5c373524c05&quot;,&quot;citationItems&quot;:[{&quot;id&quot;:&quot;122cf093-828b-39ec-ae07-ac2650f9df35&quot;,&quot;itemData&quot;:{&quot;type&quot;:&quot;article&quot;,&quot;id&quot;:&quot;122cf093-828b-39ec-ae07-ac2650f9df35&quot;,&quot;title&quot;:&quot;Plant responsiveness to mycorrhizas differs from dependence upon mycorrhizas&quot;,&quot;author&quot;:[{&quot;family&quot;:&quot;Janos&quot;,&quot;given&quot;:&quot;David P.&quot;,&quot;parse-names&quot;:false,&quot;dropping-particle&quot;:&quot;&quot;,&quot;non-dropping-particle&quot;:&quot;&quot;}],&quot;container-title&quot;:&quot;Mycorrhiza&quot;,&quot;accessed&quot;:{&quot;date-parts&quot;:[[2021,4,3]]},&quot;DOI&quot;:&quot;10.1007/s00572-006-0094-1&quot;,&quot;ISSN&quot;:&quot;09406360&quot;,&quot;PMID&quot;:&quot;17216499&quot;,&quot;URL&quot;:&quot;https://link.springer.com/article/10.1007/s00572-006-0094-1&quot;,&quot;issued&quot;:{&quot;date-parts&quot;:[[2007,3,11]]},&quot;page&quot;:&quot;75-91&quot;,&quot;abstract&quot;:&quot;Soil phosphorus response curves of plants with and without mycorrhizas reflect two different, but complementary, phenomena. The first, plant responsiveness to mycorrhizas, is represented by the difference in growth between plants with and without mycorrhizas at any designated level of phosphorus availability. This is also a measure of mycorrhizal fungus effectiveness. The second, the lowest level of phosphorus availability at which plants can grow without mycorrhizas, is here termed dependence upon mycorrhizas. The latter definition differs from conventional usage which fails to distinguish dependence from responsiveness. Sigmoid curves generated by the three-parameter, logistic equation generally can model the responses of plants to mycorrhizas and phosphorus addition and can be used to assess responsiveness, effectiveness, and dependence. Such curves reveal that plant responsiveness or fungus effectiveness determined at a single level of phosphorus availability may be misleading when used to compare different host species' intrinsic capacities to respond to different mycorrhizal fungus species. Instead, the same relative position should be evaluated among phosphorus response curves for different species combinations. Dependence of a plant species known to benefit from mycorrhizas can be assessed with reference to only the phosphorus response curve of plants without mycorrhizas. Dependence is a constitutive property of plant species that can be used to classify them as facultatively or obligately mycotrophic. Dependence is a plant attribute upon which natural selection can act, but responsiveness and effectiveness cannot be selected directly because they are emergent properties of the interaction between plant and fungus species. © 2007 Springer-Verlag.&quot;,&quot;publisher&quot;:&quot;Springer&quot;,&quot;issue&quot;:&quot;2&quot;,&quot;volume&quot;:&quot;17&quot;},&quot;isTemporary&quot;:false}],&quot;properties&quot;:{&quot;noteIndex&quot;:0},&quot;isEdited&quot;:false,&quot;manualOverride&quot;:{&quot;isManuallyOverridden&quot;:false,&quot;citeprocText&quot;:&quot;(Janos, 2007)&quot;,&quot;manualOverrideText&quot;:&quot;&quot;},&quot;citationTag&quot;:&quot;MENDELEY_CITATION_v3_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&quot;},{&quot;citationID&quot;:&quot;MENDELEY_CITATION_07300d75-e0c5-42c2-b60b-3a358fd5abd4&quot;,&quot;citationItems&quot;:[{&quot;id&quot;:&quot;90d52cf6-83d4-35cb-affb-f0cea8fcb2b8&quot;,&quot;itemData&quot;:{&quot;type&quot;:&quot;article-journal&quot;,&quot;id&quot;:&quot;90d52cf6-83d4-35cb-affb-f0cea8fcb2b8&quot;,&quot;title&quot;:&quot;Plant growth and phosphorus uptake in mycorrhizal rangpur lime seedlings under different levels of phosphorus&quot;,&quot;author&quot;:[{&quot;family&quot;:&quot;Nogueira&quot;,&quot;given&quot;:&quot;Marco Antonio&quot;,&quot;parse-names&quot;:false,&quot;dropping-particle&quot;:&quot;&quot;,&quot;non-dropping-particle&quot;:&quot;&quot;},{&quot;family&quot;:&quot;Cardoso&quot;,&quot;given&quot;:&quot;Elke Jurandy Bran Nogueira&quot;,&quot;parse-names&quot;:false,&quot;dropping-particle&quot;:&quot;&quot;,&quot;non-dropping-particle&quot;:&quot;&quot;}],&quot;container-title&quot;:&quot;Pesquisa Agropecuaria Brasileira&quot;,&quot;accessed&quot;:{&quot;date-parts&quot;:[[2021,4,3]]},&quot;DOI&quot;:&quot;10.1590/S0100-204X2006000100013&quot;,&quot;ISSN&quot;:&quot;16783921&quot;,&quot;URL&quot;:&quot;http://www.scielo.br/scielo.php?script=sci_arttext&amp;pid=S0100-204X2006000100013&amp;lng=en&amp;nrm=iso&amp;tlng=en&quot;,&quot;issued&quot;:{&quot;date-parts&quot;:[[2006]]},&quot;page&quot;:&quot;93-99&quot;,&quot;abstract&quot;:&quot;The objective of this work was to evaluate the response of rangpur lime (Citrus limonia) to arbuscular mycorrhiza (Glomus intraradices), under P levels ranging from low to excessive. Plants were grown in three levels of soluble P (25, 200 and 1,000 mg kg-1), either inoculated with Glomus intraradices or left noninoculated, evaluated at 30, 60, 90, 120 and 150 days after transplanting (DAT). Total dry weight, shoot P concentration and specific P uptake by roots increased in mycorrhizal plants with the doses of 25 and 200 mg kg-1 P at 90 DAT. With 1,000 mg kg-1 P, mycorrhizal plants had a transient growth depression at 90 and 120 DAT, and nonmycorrhizal effects on P uptake at any harvesting period. Root colonization and total external mycelium correlated positively with shoot P concentration and total dry weight at the two lowest P levels. Although the highest P level decreased root colonization, it did not affect total external mycelium to the same extent. As a result, a P availability imbalance affected negatively the mycorrhizal symbiosis and, consequently, the plant growth.&quot;,&quot;publisher&quot;:&quot;Embrapa&quot;,&quot;issue&quot;:&quot;1&quot;,&quot;volume&quot;:&quot;41&quot;},&quot;isTemporary&quot;:false}],&quot;properties&quot;:{&quot;noteIndex&quot;:0},&quot;isEdited&quot;:false,&quot;manualOverride&quot;:{&quot;isManuallyOverridden&quot;:false,&quot;citeprocText&quot;:&quot;(Nogueira &amp;#38; Cardoso, 2006)&quot;,&quot;manualOverrideText&quot;:&quot;&quot;},&quot;citationTag&quot;:&quot;MENDELEY_CITATION_v3_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&quot;},{&quot;citationID&quot;:&quot;MENDELEY_CITATION_17002fc9-dadf-4db6-8002-35a38d9223bf&quot;,&quot;citationItems&quot;:[{&quot;id&quot;:&quot;0aebef3b-4ea4-39ab-9e85-47aeccbed44d&quot;,&quot;itemData&quot;:{&quot;type&quot;:&quot;article-journal&quot;,&quot;id&quot;:&quot;0aebef3b-4ea4-39ab-9e85-47aeccbed44d&quot;,&quot;title&quot;:&quot;Factors affecting arbuscular mycorrhizal dependency of wheat genotypes with different phosphorus efficiencies&quot;,&quot;author&quot;:[{&quot;family&quot;:&quot;Yao&quot;,&quot;given&quot;:&quot;Q.&quot;,&quot;parse-names&quot;:false,&quot;dropping-particle&quot;:&quot;&quot;,&quot;non-dropping-particle&quot;:&quot;&quot;},{&quot;family&quot;:&quot;Li&quot;,&quot;given&quot;:&quot;X.&quot;,&quot;parse-names&quot;:false,&quot;dropping-particle&quot;:&quot;&quot;,&quot;non-dropping-particle&quot;:&quot;&quot;},{&quot;family&quot;:&quot;Christie&quot;,&quot;given&quot;:&quot;P.&quot;,&quot;parse-names&quot;:false,&quot;dropping-particle&quot;:&quot;&quot;,&quot;non-dropping-particle&quot;:&quot;&quot;}],&quot;container-title&quot;:&quot;Journal of Plant Nutrition&quot;,&quot;accessed&quot;:{&quot;date-parts&quot;:[[2021,4,5]]},&quot;DOI&quot;:&quot;10.1081/PLN-100106991&quot;,&quot;ISSN&quot;:&quot;01904167&quot;,&quot;URL&quot;:&quot;https://www.tandfonline.com/doi/abs/10.1081/PLN-100106991&quot;,&quot;issued&quot;:{&quot;date-parts&quot;:[[2001]]},&quot;page&quot;:&quot;1409-1419&quot;,&quot;abstract&quot;:&quot;Three wheat (Triticum aestivum L.) genotypes with high, intermediate and low phosphorus (P) efficiency were grown in a pot experiment with low P supply and adequate P supply either inoculated with the arbuscular mycorrhizal fungus Glomus versiforme or uninoculated. The mycorrhizal dependency of the genotype with relatively high P efficiency was lower than that of the genotypes with lower P efficiencies. Linear correlation analysis revealed that mycorrhizal dependency was primarily controlled by P uptake efficiency. More carbohydrate was translocated to the roots of genotypes with low P efficiency than of those with high P efficiency. In a second pot experiment the same three genotypes were grown in low P soils. Higher hyphal length density arising from carbohydrate translocation led to more P uptake, and this may account for higher mycorrhizal dependency.&quot;,&quot;publisher&quot;:&quot; Taylor &amp; Francis Group &quot;,&quot;issue&quot;:&quot;9&quot;,&quot;volume&quot;:&quot;24&quot;},&quot;isTemporary&quot;:false}],&quot;properties&quot;:{&quot;noteIndex&quot;:0},&quot;isEdited&quot;:false,&quot;manualOverride&quot;:{&quot;isManuallyOverridden&quot;:false,&quot;citeprocText&quot;:&quot;(Yao et al., 2001)&quot;,&quot;manualOverrideText&quot;:&quot;&quot;},&quot;citationTag&quot;:&quot;MENDELEY_CITATION_v3_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&quot;},{&quot;citationID&quot;:&quot;MENDELEY_CITATION_faf99140-8ddf-4cff-82c4-6fac9248d37d&quot;,&quot;citationItems&quot;:[{&quot;id&quot;:&quot;6db0f98c-9840-351c-9e94-de180be1c33d&quot;,&quot;itemData&quot;:{&quot;type&quot;:&quot;article-journal&quot;,&quot;id&quot;:&quot;6db0f98c-9840-351c-9e94-de180be1c33d&quot;,&quot;title&quot;:&quot;Arbuscular mycorrhizal dependency of different plant species and cultivars&quot;,&quot;author&quot;:[{&quot;family&quot;:&quot;Tawaraya&quot;,&quot;given&quot;:&quot;Keitaro&quot;,&quot;parse-names&quot;:false,&quot;dropping-particle&quot;:&quot;&quot;,&quot;non-dropping-particle&quot;:&quot;&quot;}],&quot;container-title&quot;:&quot;Soil Science and Plant Nutrition&quot;,&quot;accessed&quot;:{&quot;date-parts&quot;:[[2021,4,2]]},&quot;DOI&quot;:&quot;10.1080/00380768.2003.10410323&quot;,&quot;ISSN&quot;:&quot;17470765&quot;,&quot;URL&quot;:&quot;https://www.tandfonline.com/action/journalInformation?journalCode=tssp20&quot;,&quot;issued&quot;:{&quot;date-parts&quot;:[[2003,10,1]]},&quot;page&quot;:&quot;655-668&quot;,&quot;abstract&quot;:&quot;The degree of plant growth change associated with arbuscular mycorrhizal (AM) colonization is expressed as mycorrhizal dependency (MD). In this review, previous reports on the differences in MD among plant species or cultivars were surveyed, and the factors affecting the differences are discussed. Mean values of MD were 44% for field crops (37 species), 56% for forage crops (46 species), 70% for wild grasses and forbs (140 species), 79% for trees (26 species), and 56% for all plants (250 species), indicating that the cultivated plant species showed a lower MD than the wild plant species. MD was negatively correlated with root morphological characteristics such as root length, root dry weight, root hair length, density of root hairs, the ability of roots to acquire phosphate from soil, and the phosphorus utilization efficiency of the host plant. Inoculation of arbuscular mycorrhizal fungi (AMF) for low input systems should be carried out in considering differences in MD. © 2003 Taylor &amp; Francis Group, LLC.&quot;,&quot;publisher&quot;:&quot; Taylor &amp; Francis Group &quot;,&quot;issue&quot;:&quot;5&quot;,&quot;volume&quot;:&quot;49&quot;},&quot;isTemporary&quot;:false},{&quot;id&quot;:&quot;0aebef3b-4ea4-39ab-9e85-47aeccbed44d&quot;,&quot;itemData&quot;:{&quot;type&quot;:&quot;article-journal&quot;,&quot;id&quot;:&quot;0aebef3b-4ea4-39ab-9e85-47aeccbed44d&quot;,&quot;title&quot;:&quot;Factors affecting arbuscular mycorrhizal dependency of wheat genotypes with different phosphorus efficiencies&quot;,&quot;author&quot;:[{&quot;family&quot;:&quot;Yao&quot;,&quot;given&quot;:&quot;Q.&quot;,&quot;parse-names&quot;:false,&quot;dropping-particle&quot;:&quot;&quot;,&quot;non-dropping-particle&quot;:&quot;&quot;},{&quot;family&quot;:&quot;Li&quot;,&quot;given&quot;:&quot;X.&quot;,&quot;parse-names&quot;:false,&quot;dropping-particle&quot;:&quot;&quot;,&quot;non-dropping-particle&quot;:&quot;&quot;},{&quot;family&quot;:&quot;Christie&quot;,&quot;given&quot;:&quot;P.&quot;,&quot;parse-names&quot;:false,&quot;dropping-particle&quot;:&quot;&quot;,&quot;non-dropping-particle&quot;:&quot;&quot;}],&quot;container-title&quot;:&quot;Journal of Plant Nutrition&quot;,&quot;accessed&quot;:{&quot;date-parts&quot;:[[2021,4,5]]},&quot;DOI&quot;:&quot;10.1081/PLN-100106991&quot;,&quot;ISSN&quot;:&quot;01904167&quot;,&quot;URL&quot;:&quot;https://www.tandfonline.com/doi/abs/10.1081/PLN-100106991&quot;,&quot;issued&quot;:{&quot;date-parts&quot;:[[2001]]},&quot;page&quot;:&quot;1409-1419&quot;,&quot;abstract&quot;:&quot;Three wheat (Triticum aestivum L.) genotypes with high, intermediate and low phosphorus (P) efficiency were grown in a pot experiment with low P supply and adequate P supply either inoculated with the arbuscular mycorrhizal fungus Glomus versiforme or uninoculated. The mycorrhizal dependency of the genotype with relatively high P efficiency was lower than that of the genotypes with lower P efficiencies. Linear correlation analysis revealed that mycorrhizal dependency was primarily controlled by P uptake efficiency. More carbohydrate was translocated to the roots of genotypes with low P efficiency than of those with high P efficiency. In a second pot experiment the same three genotypes were grown in low P soils. Higher hyphal length density arising from carbohydrate translocation led to more P uptake, and this may account for higher mycorrhizal dependency.&quot;,&quot;publisher&quot;:&quot; Taylor &amp; Francis Group &quot;,&quot;issue&quot;:&quot;9&quot;,&quot;volume&quot;:&quot;24&quot;},&quot;isTemporary&quot;:false}],&quot;properties&quot;:{&quot;noteIndex&quot;:0},&quot;isEdited&quot;:false,&quot;manualOverride&quot;:{&quot;isManuallyOverridden&quot;:false,&quot;citeprocText&quot;:&quot;(Tawaraya, 2003; Yao et al., 2001)&quot;,&quot;manualOverrideText&quot;:&quot;&quot;},&quot;citationTag&quot;:&quot;MENDELEY_CITATION_v3_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&quot;},{&quot;citationID&quot;:&quot;MENDELEY_CITATION_93ddfbe5-40f6-4a04-988f-8d486f0170c8&quot;,&quot;citationItems&quot;:[{&quot;id&quot;:&quot;7647be43-95ed-3f69-a028-c14047bf2200&quot;,&quot;itemData&quot;:{&quot;type&quot;:&quot;article-journal&quot;,&quot;id&quot;:&quot;7647be43-95ed-3f69-a028-c14047bf2200&quot;,&quot;title&quot;:&quot;Growth dependency of wild, primitive and modern cultivated wheat lines on vesicular-arbuscular mycorrhiza fungi&quot;,&quot;author&quot;:[{&quot;family&quot;:&quot;Kapulnik&quot;,&quot;given&quot;:&quot;Yoram&quot;,&quot;parse-names&quot;:false,&quot;dropping-particle&quot;:&quot;&quot;,&quot;non-dropping-particle&quot;:&quot;&quot;},{&quot;family&quot;:&quot;Kushnir&quot;,&quot;given&quot;:&quot;Uri&quot;,&quot;parse-names&quot;:false,&quot;dropping-particle&quot;:&quot;&quot;,&quot;non-dropping-particle&quot;:&quot;&quot;}],&quot;container-title&quot;:&quot;Euphytica&quot;,&quot;accessed&quot;:{&quot;date-parts&quot;:[[2021,3,18]]},&quot;DOI&quot;:&quot;10.1007/BF00041740&quot;,&quot;ISSN&quot;:&quot;00142336&quot;,&quot;URL&quot;:&quot;https://link.springer.com/article/10.1007/BF00041740&quot;,&quot;issued&quot;:{&quot;date-parts&quot;:[[1991,7]]},&quot;page&quot;:&quot;27-36&quot;,&quot;abstract&quot;:&quot;Mycorrhizal colonization and growth dependency were studied at a single rate of phosphorous application in wild and cultivated primitive and modern wheats, inoculated with Glomus intraradices Schenck &amp; Smith. Mycorrhizal colonization found in Triticum timopheevii var. araraticum (AAGG) was higher than that found in the other tetraploid wheats (AABB). Mycorrhizal dependency was higher in representatives of the D genome donor - Aegilops squarrosa, compared with representatives of the A and possible B genome donors T. monococcum and Ae. sharonensis, Ae. longissima and Ae. speltoides, respectively. The nature of response to VAM in hexaploid wheat was controlled by factors of the A and B genomes which are epistatic over those located in the D genome. The high mycorrhizal colonization and dependency which was found in T. timopheevii var. araraticum may indicate special genomic affinity possessed by the G genome of wheat in VAM interaction. Based on the 27 wheat lines and species tested in this study only low correlation between G. intraradices colonization and its contribution to plant growth can be suggested. © 1991 Kluwer Academic Publishers.&quot;,&quot;publisher&quot;:&quot;Kluwer Academic Publishers&quot;,&quot;issue&quot;:&quot;1&quot;,&quot;volume&quot;:&quot;56&quot;},&quot;isTemporary&quot;:false}],&quot;properties&quot;:{&quot;noteIndex&quot;:0},&quot;isEdited&quot;:false,&quot;manualOverride&quot;:{&quot;isManuallyOverridden&quot;:false,&quot;citeprocText&quot;:&quot;(Kapulnik &amp;#38; Kushnir, 1991)&quot;,&quot;manualOverrideText&quot;:&quot;&quot;},&quot;citationTag&quot;:&quot;MENDELEY_CITATION_v3_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&quot;},{&quot;citationID&quot;:&quot;MENDELEY_CITATION_c7b152f9-8f39-42f0-83c5-618397f9c988&quot;,&quot;citationItems&quot;:[{&quot;id&quot;:&quot;62aab4d4-3c8c-3f50-a422-8b0052f0822e&quot;,&quot;itemData&quot;:{&quot;type&quot;:&quot;article-journal&quot;,&quot;id&quot;:&quot;62aab4d4-3c8c-3f50-a422-8b0052f0822e&quot;,&quot;title&quot;:&quot;Mycorrhizal Dependency and Nutrient Uptake by Improved and Unimproved Corn and Soybean Cultivars&quot;,&quot;author&quot;:[{&quot;family&quot;:&quot;Khalil&quot;,&quot;given&quot;:&quot;Samina&quot;,&quot;parse-names&quot;:false,&quot;dropping-particle&quot;:&quot;&quot;,&quot;non-dropping-particle&quot;:&quot;&quot;},{&quot;family&quot;:&quot;Loynachan&quot;,&quot;given&quot;:&quot;Thomas E.&quot;,&quot;parse-names&quot;:false,&quot;dropping-particle&quot;:&quot;&quot;,&quot;non-dropping-particle&quot;:&quot;&quot;},{&quot;family&quot;:&quot;Tabatabai&quot;,&quot;given&quot;:&quot;M. Ali&quot;,&quot;parse-names&quot;:false,&quot;dropping-particle&quot;:&quot;&quot;,&quot;non-dropping-particle&quot;:&quot;&quot;}],&quot;container-title&quot;:&quot;Agronomy Journal&quot;,&quot;DOI&quot;:&quot;10.2134/agronj1994.00021962008600060005x&quot;,&quot;ISSN&quot;:&quot;0002-1962&quot;,&quot;issued&quot;:{&quot;date-parts&quot;:[[1994,11]]},&quot;issue&quot;:&quot;6&quot;,&quot;volume&quot;:&quot;86&quot;},&quot;isTemporary&quot;:false}],&quot;properties&quot;:{&quot;noteIndex&quot;:0},&quot;isEdited&quot;:false,&quot;manualOverride&quot;:{&quot;isManuallyOverridden&quot;:false,&quot;citeprocText&quot;:&quot;(Khalil et al., 1994)&quot;,&quot;manualOverrideText&quot;:&quot;&quot;},&quot;citationTag&quot;:&quot;MENDELEY_CITATION_v3_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&quot;},{&quot;citationID&quot;:&quot;MENDELEY_CITATION_a7a1d905-3cd8-46b5-b155-31c2c6a295da&quot;,&quot;citationItems&quot;:[{&quot;id&quot;:&quot;58646017-46e1-3d42-81eb-65dcaaf7dd95&quot;,&quot;itemData&quot;:{&quot;type&quot;:&quot;article-journal&quot;,&quot;id&quot;:&quot;58646017-46e1-3d42-81eb-65dcaaf7dd95&quot;,&quot;title&quot;:&quot;How does arbuscular mycorrhizal colonization vary with host plant genotype? An example based on maize (Zea mays) germplasms&quot;,&quot;author&quot;:[{&quot;family&quot;:&quot;An&quot;,&quot;given&quot;:&quot;G.-H.&quot;,&quot;parse-names&quot;:false,&quot;dropping-particle&quot;:&quot;&quot;,&quot;non-dropping-particle&quot;:&quot;&quot;},{&quot;family&quot;:&quot;Kobayashi&quot;,&quot;given&quot;:&quot;S.&quot;,&quot;parse-names&quot;:false,&quot;dropping-particle&quot;:&quot;&quot;,&quot;non-dropping-particle&quot;:&quot;&quot;},{&quot;family&quot;:&quot;Enoki&quot;,&quot;given&quot;:&quot;H.&quot;,&quot;parse-names&quot;:false,&quot;dropping-particle&quot;:&quot;&quot;,&quot;non-dropping-particle&quot;:&quot;&quot;},{&quot;family&quot;:&quot;Sonobe&quot;,&quot;given&quot;:&quot;K.&quot;,&quot;parse-names&quot;:false,&quot;dropping-particle&quot;:&quot;&quot;,&quot;non-dropping-particle&quot;:&quot;&quot;},{&quot;family&quot;:&quot;Muraki&quot;,&quot;given&quot;:&quot;M.&quot;,&quot;parse-names&quot;:false,&quot;dropping-particle&quot;:&quot;&quot;,&quot;non-dropping-particle&quot;:&quot;&quot;},{&quot;family&quot;:&quot;Karasawa&quot;,&quot;given&quot;:&quot;T.&quot;,&quot;parse-names&quot;:false,&quot;dropping-particle&quot;:&quot;&quot;,&quot;non-dropping-particle&quot;:&quot;&quot;},{&quot;family&quot;:&quot;Ezawa&quot;,&quot;given&quot;:&quot;T.&quot;,&quot;parse-names&quot;:false,&quot;dropping-particle&quot;:&quot;&quot;,&quot;non-dropping-particle&quot;:&quot;&quot;}],&quot;container-title&quot;:&quot;Plant and Soil&quot;,&quot;DOI&quot;:&quot;10.1007/s11104-009-0073-3&quot;,&quot;ISSN&quot;:&quot;0032-079X&quot;,&quot;issued&quot;:{&quot;date-parts&quot;:[[2010,2,9]]},&quot;issue&quot;:&quot;1-2&quot;,&quot;volume&quot;:&quot;327&quot;},&quot;isTemporary&quot;:false},{&quot;id&quot;:&quot;4904c4b3-bc9b-33ba-b6be-62afd827f700&quot;,&quot;itemData&quot;:{&quot;type&quot;:&quot;report&quot;,&quot;id&quot;:&quot;4904c4b3-bc9b-33ba-b6be-62afd827f700&quot;,&quot;title&quot;:&quot;Mycorrhizal dependency of banana (Musa acuminata, AAA group) cultivar&quot;,&quot;author&quot;:[{&quot;family&quot;:&quot;Declerck&quot;,&quot;given&quot;:&quot;S&quot;,&quot;parse-names&quot;:false,&quot;dropping-particle&quot;:&quot;&quot;,&quot;non-dropping-particle&quot;:&quot;&quot;},{&quot;family&quot;:&quot;Plenchette&quot;,&quot;given&quot;:&quot;C&quot;,&quot;parse-names&quot;:false,&quot;dropping-particle&quot;:&quot;&quot;,&quot;non-dropping-particle&quot;:&quot;&quot;},{&quot;family&quot;:&quot;Strullu&quot;,&quot;given&quot;:&quot;D G&quot;,&quot;parse-names&quot;:false,&quot;dropping-particle&quot;:&quot;&quot;,&quot;non-dropping-particle&quot;:&quot;&quot;}],&quot;container-title&quot;:&quot;Plant and Soil&quot;,&quot;accessed&quot;:{&quot;date-parts&quot;:[[2021,4,3]]},&quot;issued&quot;:{&quot;date-parts&quot;:[[1995]]},&quot;number-of-pages&quot;:&quot;183-187&quot;,&quot;abstract&quot;:&quot;Seven banana cultivars (Musa acuminata, AAA group) were inoculated with two species of vesicular arbuscular mycorrhizal (VAM) fungi (Glomus mosseae and Glomus macrocarpum) in a greenhouse experiment. Inoculated plants had generally greater shoot dry weight and shoot phosphorus concentrations compared to the noninoculated plants. A great variation in dependency on mycorrhizal colonization was observed among the banana cultivars. Cv. Williams showed the highest relative mycorrhizal dependency (RMD) and cv. Poyo the lowest. For all the cultivars studied, inoculation with G. macrocarpum resulted in the highest RMD values. Both root dry weight and root hair length or density of the noninoculated plants were inverserly correlated with the RMD values of cultivars.&quot;,&quot;publisher&quot;:&quot;Kluwer Academic Publishers&quot;,&quot;volume&quot;:&quot;176&quot;},&quot;isTemporary&quot;:false},{&quot;id&quot;:&quot;5f4b4be4-fe1c-364c-b07f-0f30e2ef8ea1&quot;,&quot;itemData&quot;:{&quot;type&quot;:&quot;article-journal&quot;,&quot;id&quot;:&quot;5f4b4be4-fe1c-364c-b07f-0f30e2ef8ea1&quot;,&quot;title&quot;:&quot;Mycorrhizal dependence of modern wheat varieties, landraces, and ancestors&quot;,&quot;author&quot;:[{&quot;family&quot;:&quot;Hetrick&quot;,&quot;given&quot;:&quot;B. A.D.&quot;,&quot;parse-names&quot;:false,&quot;dropping-particle&quot;:&quot;&quot;,&quot;non-dropping-particle&quot;:&quot;&quot;},{&quot;family&quot;:&quot;Wilson&quot;,&quot;given&quot;:&quot;G. W.T.&quot;,&quot;parse-names&quot;:false,&quot;dropping-particle&quot;:&quot;&quot;,&quot;non-dropping-particle&quot;:&quot;&quot;},{&quot;family&quot;:&quot;Cox&quot;,&quot;given&quot;:&quot;T. S.&quot;,&quot;parse-names&quot;:false,&quot;dropping-particle&quot;:&quot;&quot;,&quot;non-dropping-particle&quot;:&quot;&quot;}],&quot;container-title&quot;:&quot;Canadian Journal of Botany&quot;,&quot;accessed&quot;:{&quot;date-parts&quot;:[[2021,3,18]]},&quot;DOI&quot;:&quot;10.1139/b92-253&quot;,&quot;ISSN&quot;:&quot;00084026&quot;,&quot;URL&quot;:&quot;https://cdnsciencepub.com/doi/abs/10.1139/b92-253&quot;,&quot;issued&quot;:{&quot;date-parts&quot;:[[1992]]},&quot;page&quot;:&quot;2032-2040&quot;,&quot;abstract&quot;:&quot;With the exception of the US cultivar Newton and the German cultivars Apollo, Kanzler, and Sperber, dry weight of eight other modern wheats Triticum aestivum from the USA and Great Britain were increased by 29-100% following inoculation with mycorrhizal fungi. All landraces from Asian collections or early introduced American cultivars were also dependent on the symbiosis, with dry weight increases averaging 169 and 55%, respectively. All wheat ancestors of the AA and BB genomes (except Aegilops speltoides) benefitted significantly from the symbiosis, whereas no benefit was observed for ancestors of the DD genome, tetraploid wheats of the AABB and AAGG genomes, or in the hexaploid ancestor Triticum zhukovskyi (AAAAGG genome). These differences in mycorrhizal response of the ancestors, lines, and cultivars were highly correlated with root fibrousness ratings. -from Authors&quot;,&quot;publisher&quot;:&quot; NRC Research Press Ottawa, Canada &quot;,&quot;issue&quot;:&quot;10&quot;,&quot;volume&quot;:&quot;70&quot;},&quot;isTemporary&quot;:false},{&quot;id&quot;:&quot;a9c82cf5-24a6-3143-a04b-25893c90f5d6&quot;,&quot;itemData&quot;:{&quot;type&quot;:&quot;article-journal&quot;,&quot;id&quot;:&quot;a9c82cf5-24a6-3143-a04b-25893c90f5d6&quot;,&quot;title&quot;:&quot;Variation among Maize Inbred Lines and Detection of Quantitative Trait Loci for Growth at Low Phosphorus and Responsiveness to Arbuscular Mycorrhizal Fungi&quot;,&quot;author&quot;:[{&quot;family&quot;:&quot;Kaeppler&quot;,&quot;given&quot;:&quot;Shawn M.&quot;,&quot;parse-names&quot;:false,&quot;dropping-particle&quot;:&quot;&quot;,&quot;non-dropping-particle&quot;:&quot;&quot;},{&quot;family&quot;:&quot;Parke&quot;,&quot;given&quot;:&quot;Jennifer L.&quot;,&quot;parse-names&quot;:false,&quot;dropping-particle&quot;:&quot;&quot;,&quot;non-dropping-particle&quot;:&quot;&quot;},{&quot;family&quot;:&quot;Mueller&quot;,&quot;given&quot;:&quot;Suzanne M.&quot;,&quot;parse-names&quot;:false,&quot;dropping-particle&quot;:&quot;&quot;,&quot;non-dropping-particle&quot;:&quot;&quot;},{&quot;family&quot;:&quot;Senior&quot;,&quot;given&quot;:&quot;Lynn&quot;,&quot;parse-names&quot;:false,&quot;dropping-particle&quot;:&quot;&quot;,&quot;non-dropping-particle&quot;:&quot;&quot;},{&quot;family&quot;:&quot;Stuber&quot;,&quot;given&quot;:&quot;Charles&quot;,&quot;parse-names&quot;:false,&quot;dropping-particle&quot;:&quot;&quot;,&quot;non-dropping-particle&quot;:&quot;&quot;},{&quot;family&quot;:&quot;Tracy&quot;,&quot;given&quot;:&quot;William F.&quot;,&quot;parse-names&quot;:false,&quot;dropping-particle&quot;:&quot;&quot;,&quot;non-dropping-particle&quot;:&quot;&quot;}],&quot;container-title&quot;:&quot;Crop Science&quot;,&quot;DOI&quot;:&quot;10.2135/cropsci2000.402358x&quot;,&quot;ISSN&quot;:&quot;0011183X&quot;,&quot;issued&quot;:{&quot;date-parts&quot;:[[2000,3]]},&quot;issue&quot;:&quot;2&quot;,&quot;volume&quot;:&quot;40&quot;},&quot;isTemporary&quot;:false},{&quot;id&quot;:&quot;518fb415-7e4c-367c-b2ee-a1c3808ce123&quot;,&quot;itemData&quot;:{&quot;type&quot;:&quot;article-journal&quot;,&quot;id&quot;:&quot;518fb415-7e4c-367c-b2ee-a1c3808ce123&quot;,&quot;title&quot;:&quot;Genotype dependent variation in mycorrhizal colonization and response to inoculation of pearl millet&quot;,&quot;author&quot;:[{&quot;family&quot;:&quot;Krishna&quot;,&quot;given&quot;:&quot;K. R.&quot;,&quot;parse-names&quot;:false,&quot;dropping-particle&quot;:&quot;&quot;,&quot;non-dropping-particle&quot;:&quot;&quot;},{&quot;family&quot;:&quot;Shetty&quot;,&quot;given&quot;:&quot;K. G.&quot;,&quot;parse-names&quot;:false,&quot;dropping-particle&quot;:&quot;&quot;,&quot;non-dropping-particle&quot;:&quot;&quot;},{&quot;family&quot;:&quot;Dart&quot;,&quot;given&quot;:&quot;P. J.&quot;,&quot;parse-names&quot;:false,&quot;dropping-particle&quot;:&quot;&quot;,&quot;non-dropping-particle&quot;:&quot;&quot;},{&quot;family&quot;:&quot;Andrews&quot;,&quot;given&quot;:&quot;D. J.&quot;,&quot;parse-names&quot;:false,&quot;dropping-particle&quot;:&quot;&quot;,&quot;non-dropping-particle&quot;:&quot;&quot;}],&quot;container-title&quot;:&quot;Plant and Soil&quot;,&quot;accessed&quot;:{&quot;date-parts&quot;:[[2021,4,3]]},&quot;DOI&quot;:&quot;10.1007/BF02185031&quot;,&quot;ISSN&quot;:&quot;0032079X&quot;,&quot;URL&quot;:&quot;https://link.springer.com/article/10.1007/BF02185031&quot;,&quot;issued&quot;:{&quot;date-parts&quot;:[[1985,2]]},&quot;page&quot;:&quot;113-125&quot;,&quot;abstract&quot;:&quot;Genotypes of pearl millet (Pennisetum americanum L. Leeke) were examined for differences in vesicular-arbuscular mycorrhizal (VAM) colonization and response to inoculation. For thirty genotypes tested across three field locations there was a range of mycorrhizal colonization intensity between 25 and 56%. In another experiment with two male-sterile lines, restorer lines and their derived crosses, grown in pots filled with non-sterilized soil there were significant differences between genotypes for colonization by mycorrhiza. This showed hostgenotype dependence for mycorrhizal colonization. Root growth rates, mycorrhizal root length, percentage root colonization and plant growth and P uptake were studied in ten genotypes. A set of 3 genotypes with similar root lengths varied significantly with regard to mycorrhizal root length and the percentage colonization. This supports the suggestion that VAM colonization and spread is dependent on the host genotype. The growth responses differed significantly between the genotypes and they also differed in their responses to P uptake and VAM inoculation. The utility of host-genotype dependent differences in VAM symbiosis in plant breeding is discussed. © 1985 Martinus Nijhoff/Dr W. Junk Publishers.&quot;,&quot;publisher&quot;:&quot;Martinus Nijhoff, The Hague/Kluwer Academic Publishers&quot;,&quot;issue&quot;:&quot;1&quot;,&quot;volume&quot;:&quot;86&quot;},&quot;isTemporary&quot;:false}],&quot;properties&quot;:{&quot;noteIndex&quot;:0},&quot;isEdited&quot;:false,&quot;manualOverride&quot;:{&quot;isManuallyOverridden&quot;:true,&quot;citeprocText&quot;:&quot;(G.-H. An et al., 2010; Declerck et al., 1995; Hetrick et al., 1992; Kaeppler et al., 2000a; Krishna et al., 1985)&quot;,&quot;manualOverrideText&quot;:&quot;(An et al., 2010; Declerck et al., 1995; Hetrick et al., 1992; Kaeppler et al., 2000a; Krishna et al., 1985)&quot;},&quot;citationTag&quot;:&quot;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&quot;},{&quot;citationID&quot;:&quot;MENDELEY_CITATION_a2ed0055-df9e-496e-a31e-e80643621801&quot;,&quot;citationItems&quot;:[{&quot;id&quot;:&quot;f2677581-8da0-3aa2-8e3a-8ea0e0d8b222&quot;,&quot;itemData&quot;:{&quot;type&quot;:&quot;article-journal&quot;,&quot;id&quot;:&quot;f2677581-8da0-3aa2-8e3a-8ea0e0d8b222&quot;,&quot;title&quot;:&quot;Evolution: The effects of artificial selection on the maize genome&quot;,&quot;author&quot;:[{&quot;family&quot;:&quot;Wright&quot;,&quot;given&quot;:&quot;Stephen I.&quot;,&quot;parse-names&quot;:false,&quot;dropping-particle&quot;:&quot;&quot;,&quot;non-dropping-particle&quot;:&quot;&quot;},{&quot;family&quot;:&quot;Bi&quot;,&quot;given&quot;:&quot;Irie Vroh&quot;,&quot;parse-names&quot;:false,&quot;dropping-particle&quot;:&quot;&quot;,&quot;non-dropping-particle&quot;:&quot;&quot;},{&quot;family&quot;:&quot;Schroeder&quot;,&quot;given&quot;:&quot;Steve C.&quot;,&quot;parse-names&quot;:false,&quot;dropping-particle&quot;:&quot;&quot;,&quot;non-dropping-particle&quot;:&quot;&quot;},{&quot;family&quot;:&quot;Yamasaki&quot;,&quot;given&quot;:&quot;Masanori&quot;,&quot;parse-names&quot;:false,&quot;dropping-particle&quot;:&quot;&quot;,&quot;non-dropping-particle&quot;:&quot;&quot;},{&quot;family&quot;:&quot;Doebley&quot;,&quot;given&quot;:&quot;John F.&quot;,&quot;parse-names&quot;:false,&quot;dropping-particle&quot;:&quot;&quot;,&quot;non-dropping-particle&quot;:&quot;&quot;},{&quot;family&quot;:&quot;McMullen&quot;,&quot;given&quot;:&quot;Michael D.&quot;,&quot;parse-names&quot;:false,&quot;dropping-particle&quot;:&quot;&quot;,&quot;non-dropping-particle&quot;:&quot;&quot;},{&quot;family&quot;:&quot;Gaut&quot;,&quot;given&quot;:&quot;Brandon S.&quot;,&quot;parse-names&quot;:false,&quot;dropping-particle&quot;:&quot;&quot;,&quot;non-dropping-particle&quot;:&quot;&quot;}],&quot;container-title&quot;:&quot;Science&quot;,&quot;accessed&quot;:{&quot;date-parts&quot;:[[2021,4,14]]},&quot;DOI&quot;:&quot;10.1126/science.1107891&quot;,&quot;ISSN&quot;:&quot;00368075&quot;,&quot;PMID&quot;:&quot;15919994&quot;,&quot;URL&quot;:&quot;https://pubmed.ncbi.nlm.nih.gov/15919994/&quot;,&quot;issued&quot;:{&quot;date-parts&quot;:[[2005,5,27]]},&quot;page&quot;:&quot;1310-1314&quot;,&quot;abstract&quot;:&quot;Domestication promotes rapid phenotypic evolution through artificial selection. We investigated the genetic history by which the wild grass teosinte (Zea mays ssp. patviglumis) was domesticated into modern maize (Z. mays ssp. mays). Analysis of single-nucleotide polymorphisms in 774 genes indicates that 2 to 4% of these genes experienced artificial selection. The remaining genes retain evidence of a population bottleneck associated with domestication. Candidate selected genes with putative function in plant growth are clustered near quantitative trait loci that contribute to phenotypic differences between maize and teosinte. If we assume that our sample of genes is representative, ∼1200 genes throughout the maize genome have been affected by artificial selection.&quot;,&quot;publisher&quot;:&quot;Science&quot;,&quot;issue&quot;:&quot;5726&quot;,&quot;volume&quot;:&quot;308&quot;},&quot;isTemporary&quot;:false}],&quot;properties&quot;:{&quot;noteIndex&quot;:0},&quot;isEdited&quot;:false,&quot;manualOverride&quot;:{&quot;isManuallyOverridden&quot;:true,&quot;citeprocText&quot;:&quot;(S. I. Wright et al., 2005)&quot;,&quot;manualOverrideText&quot;:&quot;(Wright et al., 2005)&quot;},&quot;citationTag&quot;:&quot;MENDELEY_CITATION_v3_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&quot;},{&quot;citationID&quot;:&quot;MENDELEY_CITATION_3767cef0-1096-40ee-b405-d8d1f81821be&quot;,&quot;citationItems&quot;:[{&quot;id&quot;:&quot;a9c82cf5-24a6-3143-a04b-25893c90f5d6&quot;,&quot;itemData&quot;:{&quot;type&quot;:&quot;article-journal&quot;,&quot;id&quot;:&quot;a9c82cf5-24a6-3143-a04b-25893c90f5d6&quot;,&quot;title&quot;:&quot;Variation among Maize Inbred Lines and Detection of Quantitative Trait Loci for Growth at Low Phosphorus and Responsiveness to Arbuscular Mycorrhizal Fungi&quot;,&quot;author&quot;:[{&quot;family&quot;:&quot;Kaeppler&quot;,&quot;given&quot;:&quot;Shawn M.&quot;,&quot;parse-names&quot;:false,&quot;dropping-particle&quot;:&quot;&quot;,&quot;non-dropping-particle&quot;:&quot;&quot;},{&quot;family&quot;:&quot;Parke&quot;,&quot;given&quot;:&quot;Jennifer L.&quot;,&quot;parse-names&quot;:false,&quot;dropping-particle&quot;:&quot;&quot;,&quot;non-dropping-particle&quot;:&quot;&quot;},{&quot;family&quot;:&quot;Mueller&quot;,&quot;given&quot;:&quot;Suzanne M.&quot;,&quot;parse-names&quot;:false,&quot;dropping-particle&quot;:&quot;&quot;,&quot;non-dropping-particle&quot;:&quot;&quot;},{&quot;family&quot;:&quot;Senior&quot;,&quot;given&quot;:&quot;Lynn&quot;,&quot;parse-names&quot;:false,&quot;dropping-particle&quot;:&quot;&quot;,&quot;non-dropping-particle&quot;:&quot;&quot;},{&quot;family&quot;:&quot;Stuber&quot;,&quot;given&quot;:&quot;Charles&quot;,&quot;parse-names&quot;:false,&quot;dropping-particle&quot;:&quot;&quot;,&quot;non-dropping-particle&quot;:&quot;&quot;},{&quot;family&quot;:&quot;Tracy&quot;,&quot;given&quot;:&quot;William F.&quot;,&quot;parse-names&quot;:false,&quot;dropping-particle&quot;:&quot;&quot;,&quot;non-dropping-particle&quot;:&quot;&quot;}],&quot;container-title&quot;:&quot;Crop Science&quot;,&quot;DOI&quot;:&quot;10.2135/cropsci2000.402358x&quot;,&quot;ISSN&quot;:&quot;0011183X&quot;,&quot;issued&quot;:{&quot;date-parts&quot;:[[2000,3]]},&quot;issue&quot;:&quot;2&quot;,&quot;volume&quot;:&quot;40&quot;},&quot;isTemporary&quot;:false}],&quot;properties&quot;:{&quot;noteIndex&quot;:0},&quot;isEdited&quot;:false,&quot;manualOverride&quot;:{&quot;isManuallyOverridden&quot;:true,&quot;citeprocText&quot;:&quot;(Kaeppler et al., 2000a)&quot;,&quot;manualOverrideText&quot;:&quot;(Kaeppler et al., 2000)&quot;},&quot;citationTag&quot;:&quot;MENDELEY_CITATION_v3_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&quot;},{&quot;citationID&quot;:&quot;MENDELEY_CITATION_d92a4a1c-ebe5-43df-8051-453e2fc2313d&quot;,&quot;citationItems&quot;:[{&quot;id&quot;:&quot;80f60ee4-c3e8-3c07-9a52-7cc9d1f68d01&quot;,&quot;itemData&quot;:{&quot;type&quot;:&quot;article-journal&quot;,&quot;id&quot;:&quot;80f60ee4-c3e8-3c07-9a52-7cc9d1f68d01&quot;,&quot;title&quot;:&quot;Breeding for mycorrhizal symbiosis: focus on disease resistance&quot;,&quot;author&quot;:[{&quot;family&quot;:&quot;Hohmann&quot;,&quot;given&quot;:&quot;Pierre&quot;,&quot;parse-names&quot;:false,&quot;dropping-particle&quot;:&quot;&quot;,&quot;non-dropping-particle&quot;:&quot;&quot;},{&quot;family&quot;:&quot;Messmer&quot;,&quot;given&quot;:&quot;Monika M.&quot;,&quot;parse-names&quot;:false,&quot;dropping-particle&quot;:&quot;&quot;,&quot;non-dropping-particle&quot;:&quot;&quot;}],&quot;container-title&quot;:&quot;Euphytica&quot;,&quot;DOI&quot;:&quot;10.1007/s10681-017-1900-x&quot;,&quot;ISSN&quot;:&quot;0014-2336&quot;,&quot;issued&quot;:{&quot;date-parts&quot;:[[2017,5,4]]},&quot;issue&quot;:&quot;5&quot;,&quot;volume&quot;:&quot;213&quot;},&quot;isTemporary&quot;:false}],&quot;properties&quot;:{&quot;noteIndex&quot;:0},&quot;isEdited&quot;:false,&quot;manualOverride&quot;:{&quot;isManuallyOverridden&quot;:false,&quot;citeprocText&quot;:&quot;(Hohmann &amp;#38; Messmer, 2017)&quot;,&quot;manualOverrideText&quot;:&quot;&quot;},&quot;citationTag&quot;:&quot;MENDELEY_CITATION_v3_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&quot;},{&quot;citationID&quot;:&quot;MENDELEY_CITATION_08aa7fb5-c2b6-412c-871f-3c4f1ea1a384&quot;,&quot;citationItems&quot;:[{&quot;id&quot;:&quot;778cfc92-6caf-35af-9783-6c27ad2ae49d&quot;,&quot;itemData&quot;:{&quot;type&quot;:&quot;article-journal&quot;,&quot;id&quot;:&quot;778cfc92-6caf-35af-9783-6c27ad2ae49d&quot;,&quot;title&quot;:&quot;Assessment of differences in ascomycete communities in the rhizosphere of field-grown wheat and potato&quot;,&quot;author&quot;:[{&quot;family&quot;:&quot;Viebahn&quot;,&quot;given&quot;:&quot;Mareike&quot;,&quot;parse-names&quot;:false,&quot;dropping-particle&quot;:&quot;&quot;,&quot;non-dropping-particle&quot;:&quot;&quot;},{&quot;family&quot;:&quot;Veenman&quot;,&quot;given&quot;:&quot;Christiaan&quot;,&quot;parse-names&quot;:false,&quot;dropping-particle&quot;:&quot;&quot;,&quot;non-dropping-particle&quot;:&quot;&quot;},{&quot;family&quot;:&quot;Wernars&quot;,&quot;given&quot;:&quot;Karel&quot;,&quot;parse-names&quot;:false,&quot;dropping-particle&quot;:&quot;&quot;,&quot;non-dropping-particle&quot;:&quot;&quot;},{&quot;family&quot;:&quot;Loon&quot;,&quot;given&quot;:&quot;Leendert C.&quot;,&quot;parse-names&quot;:false,&quot;dropping-particle&quot;:&quot;&quot;,&quot;non-dropping-particle&quot;:&quot;&quot;},{&quot;family&quot;:&quot;Smit&quot;,&quot;given&quot;:&quot;Eric&quot;,&quot;parse-names&quot;:false,&quot;dropping-particle&quot;:&quot;&quot;,&quot;non-dropping-particle&quot;:&quot;&quot;},{&quot;family&quot;:&quot;Bakker&quot;,&quot;given&quot;:&quot;Peter A.H.M.&quot;,&quot;parse-names&quot;:false,&quot;dropping-particle&quot;:&quot;&quot;,&quot;non-dropping-particle&quot;:&quot;&quot;}],&quot;container-title&quot;:&quot;FEMS Microbiology Ecology&quot;,&quot;DOI&quot;:&quot;10.1016/j.femsec.2004.12.014&quot;,&quot;ISSN&quot;:&quot;01686496&quot;,&quot;issued&quot;:{&quot;date-parts&quot;:[[2005,7]]},&quot;issue&quot;:&quot;2&quot;,&quot;volume&quot;:&quot;53&quot;},&quot;isTemporary&quot;:false},{&quot;id&quot;:&quot;e0a33a0a-1949-3c39-a704-379e6b38953b&quot;,&quot;itemData&quot;:{&quot;type&quot;:&quot;article-journal&quot;,&quot;id&quot;:&quot;e0a33a0a-1949-3c39-a704-379e6b38953b&quot;,&quot;title&quot;:&quot;The rhizosphere effect on bacteria antagonistic towards the pathogenic fungus Verticillium differs depending on plant species and site&quot;,&quot;author&quot;:[{&quot;family&quot;:&quot;Berg&quot;,&quot;given&quot;:&quot;Gabriele&quot;,&quot;parse-names&quot;:false,&quot;dropping-particle&quot;:&quot;&quot;,&quot;non-dropping-particle&quot;:&quot;&quot;},{&quot;family&quot;:&quot;Opelt&quot;,&quot;given&quot;:&quot;Katja&quot;,&quot;parse-names&quot;:false,&quot;dropping-particle&quot;:&quot;&quot;,&quot;non-dropping-particle&quot;:&quot;&quot;},{&quot;family&quot;:&quot;Zachow&quot;,&quot;given&quot;:&quot;Christin&quot;,&quot;parse-names&quot;:false,&quot;dropping-particle&quot;:&quot;&quot;,&quot;non-dropping-particle&quot;:&quot;&quot;},{&quot;family&quot;:&quot;Lottmann&quot;,&quot;given&quot;:&quot;Jana&quot;,&quot;parse-names&quot;:false,&quot;dropping-particle&quot;:&quot;&quot;,&quot;non-dropping-particle&quot;:&quot;&quot;},{&quot;family&quot;:&quot;GÃ¶tz&quot;,&quot;given&quot;:&quot;Monika&quot;,&quot;parse-names&quot;:false,&quot;dropping-particle&quot;:&quot;&quot;,&quot;non-dropping-particle&quot;:&quot;&quot;},{&quot;family&quot;:&quot;Costa&quot;,&quot;given&quot;:&quot;Rodrigo&quot;,&quot;parse-names&quot;:false,&quot;dropping-particle&quot;:&quot;&quot;,&quot;non-dropping-particle&quot;:&quot;&quot;},{&quot;family&quot;:&quot;Smalla&quot;,&quot;given&quot;:&quot;Kornelia&quot;,&quot;parse-names&quot;:false,&quot;dropping-particle&quot;:&quot;&quot;,&quot;non-dropping-particle&quot;:&quot;&quot;}],&quot;container-title&quot;:&quot;FEMS Microbiology Ecology&quot;,&quot;DOI&quot;:&quot;10.1111/j.1574-6941.2005.00025.x&quot;,&quot;ISSN&quot;:&quot;01686496&quot;,&quot;issued&quot;:{&quot;date-parts&quot;:[[2006,5]]},&quot;issue&quot;:&quot;2&quot;,&quot;volume&quot;:&quot;56&quot;},&quot;isTemporary&quot;:false},{&quot;id&quot;:&quot;f5e9222b-4ebe-3555-aacc-e3852c262d67&quot;,&quot;itemData&quot;:{&quot;type&quot;:&quot;article-journal&quot;,&quot;id&quot;:&quot;f5e9222b-4ebe-3555-aacc-e3852c262d67&quot;,&quot;title&quot;:&quot;Influence of Arabidopsis thaliana accessions on rhizobacterial communities and natural variation in root exudates&quot;,&quot;author&quot;:[{&quot;family&quot;:&quot;Micallef&quot;,&quot;given&quot;:&quot;Shirley A.&quot;,&quot;parse-names&quot;:false,&quot;dropping-particle&quot;:&quot;&quot;,&quot;non-dropping-particle&quot;:&quot;&quot;},{&quot;family&quot;:&quot;Shiaris&quot;,&quot;given&quot;:&quot;Michael P.&quot;,&quot;parse-names&quot;:false,&quot;dropping-particle&quot;:&quot;&quot;,&quot;non-dropping-particle&quot;:&quot;&quot;},{&quot;family&quot;:&quot;Colón-Carmona&quot;,&quot;given&quot;:&quot;Adán&quot;,&quot;parse-names&quot;:false,&quot;dropping-particle&quot;:&quot;&quot;,&quot;non-dropping-particle&quot;:&quot;&quot;}],&quot;container-title&quot;:&quot;Journal of Experimental Botany&quot;,&quot;DOI&quot;:&quot;10.1093/jxb/erp053&quot;,&quot;ISSN&quot;:&quot;1460-2431&quot;,&quot;issued&quot;:{&quot;date-parts&quot;:[[2009,4]]},&quot;issue&quot;:&quot;6&quot;,&quot;volume&quot;:&quot;60&quot;},&quot;isTemporary&quot;:false},{&quot;id&quot;:&quot;d2acb45c-945c-3546-8f9d-bb26d20e52bb&quot;,&quot;itemData&quot;:{&quot;type&quot;:&quot;article-journal&quot;,&quot;id&quot;:&quot;d2acb45c-945c-3546-8f9d-bb26d20e52bb&quot;,&quot;title&quot;:&quot;Diversity and heritability of the maize rhizosphere microbiome under field conditions&quot;,&quot;author&quot;:[{&quot;family&quot;:&quot;Peiffer&quot;,&quot;given&quot;:&quot;J. A.&quot;,&quot;parse-names&quot;:false,&quot;dropping-particle&quot;:&quot;&quot;,&quot;non-dropping-particle&quot;:&quot;&quot;},{&quot;family&quot;:&quot;Spor&quot;,&quot;given&quot;:&quot;A.&quot;,&quot;parse-names&quot;:false,&quot;dropping-particle&quot;:&quot;&quot;,&quot;non-dropping-particle&quot;:&quot;&quot;},{&quot;family&quot;:&quot;Koren&quot;,&quot;given&quot;:&quot;O.&quot;,&quot;parse-names&quot;:false,&quot;dropping-particle&quot;:&quot;&quot;,&quot;non-dropping-particle&quot;:&quot;&quot;},{&quot;family&quot;:&quot;Jin&quot;,&quot;given&quot;:&quot;Z.&quot;,&quot;parse-names&quot;:false,&quot;dropping-particle&quot;:&quot;&quot;,&quot;non-dropping-particle&quot;:&quot;&quot;},{&quot;family&quot;:&quot;Tringe&quot;,&quot;given&quot;:&quot;S. G.&quot;,&quot;parse-names&quot;:false,&quot;dropping-particle&quot;:&quot;&quot;,&quot;non-dropping-particle&quot;:&quot;&quot;},{&quot;family&quot;:&quot;Dangl&quot;,&quot;given&quot;:&quot;J. L.&quot;,&quot;parse-names&quot;:false,&quot;dropping-particle&quot;:&quot;&quot;,&quot;non-dropping-particle&quot;:&quot;&quot;},{&quot;family&quot;:&quot;Buckler&quot;,&quot;given&quot;:&quot;E. S.&quot;,&quot;parse-names&quot;:false,&quot;dropping-particle&quot;:&quot;&quot;,&quot;non-dropping-particle&quot;:&quot;&quot;},{&quot;family&quot;:&quot;Ley&quot;,&quot;given&quot;:&quot;R. E.&quot;,&quot;parse-names&quot;:false,&quot;dropping-particle&quot;:&quot;&quot;,&quot;non-dropping-particle&quot;:&quot;&quot;}],&quot;container-title&quot;:&quot;Proceedings of the National Academy of Sciences&quot;,&quot;DOI&quot;:&quot;10.1073/pnas.1302837110&quot;,&quot;ISSN&quot;:&quot;0027-8424&quot;,&quot;issued&quot;:{&quot;date-parts&quot;:[[2013,4,16]]},&quot;issue&quot;:&quot;16&quot;,&quot;volume&quot;:&quot;110&quot;},&quot;isTemporary&quot;:false},{&quot;id&quot;:&quot;be78c07e-078c-3544-850b-c62241bd95fe&quot;,&quot;itemData&quot;:{&quot;type&quot;:&quot;chapter&quot;,&quot;id&quot;:&quot;be78c07e-078c-3544-850b-c62241bd95fe&quot;,&quot;title&quot;:&quot;Effects of Genetic Differences among Crop Species and Cultivars Upon the Arbuscular Mycorrhizal Symbiosis&quot;,&quot;author&quot;:[{&quot;family&quot;:&quot;Parke&quot;,&quot;given&quot;:&quot;Jennifer L.&quot;,&quot;parse-names&quot;:false,&quot;dropping-particle&quot;:&quot;&quot;,&quot;non-dropping-particle&quot;:&quot;&quot;},{&quot;family&quot;:&quot;Kaeppler&quot;,&quot;given&quot;:&quot;Shawn W.&quot;,&quot;parse-names&quot;:false,&quot;dropping-particle&quot;:&quot;&quot;,&quot;non-dropping-particle&quot;:&quot;&quot;}],&quot;container-title&quot;:&quot;Arbuscular Mycorrhizas: Physiology and Function&quot;,&quot;DOI&quot;:&quot;10.1007/978-94-017-0776-3_7&quot;,&quot;issued&quot;:{&quot;date-parts&quot;:[[2000]]},&quot;publisher-place&quot;:&quot;Dordrecht&quot;,&quot;publisher&quot;:&quot;Springer Netherlands&quot;},&quot;isTemporary&quot;:false},{&quot;id&quot;:&quot;0f5bd4af-e8a7-3935-aeea-cf31c2d7cd0d&quot;,&quot;itemData&quot;:{&quot;type&quot;:&quot;article-journal&quot;,&quot;id&quot;:&quot;0f5bd4af-e8a7-3935-aeea-cf31c2d7cd0d&quot;,&quot;title&quot;:&quot;Characterizing variation in mycorrhiza effect among diverse plant varieties&quot;,&quot;author&quot;:[{&quot;family&quot;:&quot;Sawers&quot;,&quot;given&quot;:&quot;Ruairidh J. H.&quot;,&quot;parse-names&quot;:false,&quot;dropping-particle&quot;:&quot;&quot;,&quot;non-dropping-particle&quot;:&quot;&quot;},{&quot;family&quot;:&quot;Gebreselassie&quot;,&quot;given&quot;:&quot;Mesfin N.&quot;,&quot;parse-names&quot;:false,&quot;dropping-particle&quot;:&quot;&quot;,&quot;non-dropping-particle&quot;:&quot;&quot;},{&quot;family&quot;:&quot;Janos&quot;,&quot;given&quot;:&quot;David P.&quot;,&quot;parse-names&quot;:false,&quot;dropping-particle&quot;:&quot;&quot;,&quot;non-dropping-particle&quot;:&quot;&quot;},{&quot;family&quot;:&quot;Paszkowski&quot;,&quot;given&quot;:&quot;Uta&quot;,&quot;parse-names&quot;:false,&quot;dropping-particle&quot;:&quot;&quot;,&quot;non-dropping-particle&quot;:&quot;&quot;}],&quot;container-title&quot;:&quot;Theoretical and Applied Genetics&quot;,&quot;DOI&quot;:&quot;10.1007/s00122-009-1231-y&quot;,&quot;ISSN&quot;:&quot;0040-5752&quot;,&quot;issued&quot;:{&quot;date-parts&quot;:[[2010,3,15]]},&quot;issue&quot;:&quot;5&quot;,&quot;volume&quot;:&quot;120&quot;},&quot;isTemporary&quot;:false}],&quot;properties&quot;:{&quot;noteIndex&quot;:0},&quot;isEdited&quot;:false,&quot;manualOverride&quot;:{&quot;isManuallyOverridden&quot;:true,&quot;citeprocText&quot;:&quot;(Berg et al., 2006; Micallef et al., 2009; Parke &amp;#38; Kaeppler, 2000; Peiffer et al., 2013; Sawers et al., 2010; Viebahn et al., 2005)&quot;,&quot;manualOverrideText&quot;:&quot;(Berg et al., 2006; Micallef et al., 2009; Parke &amp; Kaeppler, 2000; Peiffer et al., 2013; Sawers et al., 2010; Viebahn et al., 2005)&quot;},&quot;citationTag&quot;:&quot;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&quot;},{&quot;citationID&quot;:&quot;MENDELEY_CITATION_e0ec5ccd-0d5e-4165-8198-c754a5faa332&quot;,&quot;citationItems&quot;:[{&quot;id&quot;:&quot;6a74d0f6-8745-3e96-a445-633d5984839f&quot;,&quot;itemData&quot;:{&quot;type&quot;:&quot;article&quot;,&quot;id&quot;:&quot;6a74d0f6-8745-3e96-a445-633d5984839f&quot;,&quot;title&quot;:&quot;Role of Arbuscular Mycorrhizal Fungi in Plant Growth Regulation: Implications in Abiotic Stress Tolerance&quot;,&quot;author&quot;:[{&quot;family&quot;:&quot;Begum&quot;,&quot;given&quot;:&quot;Naheeda&quot;,&quot;parse-names&quot;:false,&quot;dropping-particle&quot;:&quot;&quot;,&quot;non-dropping-particle&quot;:&quot;&quot;},{&quot;family&quot;:&quot;Qin&quot;,&quot;given&quot;:&quot;Cheng&quot;,&quot;parse-names&quot;:false,&quot;dropping-particle&quot;:&quot;&quot;,&quot;non-dropping-particle&quot;:&quot;&quot;},{&quot;family&quot;:&quot;Ahanger&quot;,&quot;given&quot;:&quot;Muhammad Abass&quot;,&quot;parse-names&quot;:false,&quot;dropping-particle&quot;:&quot;&quot;,&quot;non-dropping-particle&quot;:&quot;&quot;},{&quot;family&quot;:&quot;Raza&quot;,&quot;given&quot;:&quot;Sajjad&quot;,&quot;parse-names&quot;:false,&quot;dropping-particle&quot;:&quot;&quot;,&quot;non-dropping-particle&quot;:&quot;&quot;},{&quot;family&quot;:&quot;Khan&quot;,&quot;given&quot;:&quot;Muhammad Ishfaq&quot;,&quot;parse-names&quot;:false,&quot;dropping-particle&quot;:&quot;&quot;,&quot;non-dropping-particle&quot;:&quot;&quot;},{&quot;family&quot;:&quot;Ashraf&quot;,&quot;given&quot;:&quot;Muhammad&quot;,&quot;parse-names&quot;:false,&quot;dropping-particle&quot;:&quot;&quot;,&quot;non-dropping-particle&quot;:&quot;&quot;},{&quot;family&quot;:&quot;Ahmed&quot;,&quot;given&quot;:&quot;Nadeem&quot;,&quot;parse-names&quot;:false,&quot;dropping-particle&quot;:&quot;&quot;,&quot;non-dropping-particle&quot;:&quot;&quot;},{&quot;family&quot;:&quot;Zhang&quot;,&quot;given&quot;:&quot;Lixin&quot;,&quot;parse-names&quot;:false,&quot;dropping-particle&quot;:&quot;&quot;,&quot;non-dropping-particle&quot;:&quot;&quot;}],&quot;container-title&quot;:&quot;Frontiers in Plant Science&quot;,&quot;DOI&quot;:&quot;10.3389/fpls.2019.01068&quot;,&quot;ISSN&quot;:&quot;1664462X&quot;,&quot;issued&quot;:{&quot;date-parts&quot;:[[2019,9,19]]},&quot;abstract&quot;:&quot;Abiotic stresses hamper plant growth and productivity. Climate change and agricultural malpractices like excessive use of fertilizers and pesticides have aggravated the effects of abiotic stresses on crop productivity and degraded the ecosystem. There is an urgent need for environment-friendly management techniques such as the use of arbuscular mycorrhizal fungi (AMF) for enhancing crop productivity. AMF are commonly known as bio-fertilizers. Moreover, it is widely believed that the inoculation of AMF provides tolerance to host plants against various stressful situations like heat, salinity, drought, metals, and extreme temperatures. AMF may both assist host plants in the up-regulation of tolerance mechanisms and prevent the down-regulation of key metabolic pathways. AMF, being natural root symbionts, provide essential plant inorganic nutrients to host plants, thereby improving growth and yield under unstressed and stressed regimes. The role of AMF as a bio-fertilizer can potentially strengthen plants’ adaptability to changing environment. Thus, further research focusing on the AMF-mediated promotion of crop quality and productivity is needed. The present review provides a comprehensive up-to-date knowledge on AMF and their influence on host plants at various growth stages, their advantages and applications, and consequently the importance of the relationships of different plant nutrients with AMF.&quot;,&quot;publisher&quot;:&quot;Frontiers Media S.A.&quot;,&quot;volume&quot;:&quot;10&quot;},&quot;isTemporary&quot;:false}],&quot;properties&quot;:{&quot;noteIndex&quot;:0},&quot;isEdited&quot;:false,&quot;manualOverride&quot;:{&quot;isManuallyOverridden&quot;:false,&quot;citeprocText&quot;:&quot;(Begum et al., 2019)&quot;,&quot;manualOverrideText&quot;:&quot;&quot;},&quot;citationTag&quot;:&quot;MENDELEY_CITATION_v3_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&quot;},{&quot;citationID&quot;:&quot;MENDELEY_CITATION_965c2305-a08e-4894-8af7-137070bf43bf&quot;,&quot;citationItems&quot;:[{&quot;id&quot;:&quot;157e545b-3472-3b26-93f7-3b60e5a4763b&quot;,&quot;itemData&quot;:{&quot;type&quot;:&quot;article&quot;,&quot;id&quot;:&quot;157e545b-3472-3b26-93f7-3b60e5a4763b&quot;,&quot;title&quot;:&quot;Plant secondary metabolite biosynthesis and transcriptional regulation in response to biotic and abiotic stress conditions&quot;,&quot;author&quot;:[{&quot;family&quot;:&quot;Jan&quot;,&quot;given&quot;:&quot;Rahmatullah&quot;,&quot;parse-names&quot;:false,&quot;dropping-particle&quot;:&quot;&quot;,&quot;non-dropping-particle&quot;:&quot;&quot;},{&quot;family&quot;:&quot;Asaf&quot;,&quot;given&quot;:&quot;Sajjad&quot;,&quot;parse-names&quot;:false,&quot;dropping-particle&quot;:&quot;&quot;,&quot;non-dropping-particle&quot;:&quot;&quot;},{&quot;family&quot;:&quot;Numan&quot;,&quot;given&quot;:&quot;Muhammad&quot;,&quot;parse-names&quot;:false,&quot;dropping-particle&quot;:&quot;&quot;,&quot;non-dropping-particle&quot;:&quot;&quot;},{&quot;family&quot;:&quot;Lubna&quot;,&quot;given&quot;:&quot;&quot;,&quot;parse-names&quot;:false,&quot;dropping-particle&quot;:&quot;&quot;,&quot;non-dropping-particle&quot;:&quot;&quot;},{&quot;family&quot;:&quot;Kim&quot;,&quot;given&quot;:&quot;Kyung Min&quot;,&quot;parse-names&quot;:false,&quot;dropping-particle&quot;:&quot;&quot;,&quot;non-dropping-particle&quot;:&quot;&quot;}],&quot;container-title&quot;:&quot;Agronomy&quot;,&quot;DOI&quot;:&quot;10.3390/agronomy11050968&quot;,&quot;ISSN&quot;:&quot;20734395&quot;,&quot;issued&quot;:{&quot;date-parts&quot;:[[2021]]},&quot;abstract&quot;:&quot;Plant secondary metabolites (SMs) play important roles in plant survival and in creating ecological connections between other species. In addition to providing a variety of valuable natural products, secondary metabolites help protect plants against pathogenic attacks and environmental stresses. Given their sessile nature, plants must protect themselves from such situations through accumulation of these bioactive compounds. Indeed, secondary metabolites act as herbivore deterrents, barriers against pathogen invasion, and mitigators of oxidative stress. The accumulation of SMs are highly dependent on environmental factors such as light, temperature, soil water, soil fertility, and salinity. For most plants, a change in an individual environmental factor can alter the content of secondary metabolites even if other factors remain constant. In this review, we focus on how individual environmental factors affect the accumulation of secondary metabolites in plants during both biotic and abiotic stress conditions. Furthermore, we discuss the application of abiotic and biotic elicitors in culture systems as well as their stimulating effects on the accumulation of secondary metabolites. Specifically, we discuss the shikimate pathway and the aromatic amino acids produced in this pathway, which are the precursors of a range of secondary metabolites including terpenoids, alkaloids, and sulfur-and nitrogen-containing compounds. We also detail how the biosynthesis of important metabolites is altered by several genes related to secondary metabolite biosynthesis pathways. Genes responsible for secondary metabolite biosynthesis in various plant species during stress conditions are regulated by transcriptional factors such as WRKY, MYB, AP2/ERF, bZIP, bHLH, and NAC, which are also discussed here.&quot;,&quot;publisher&quot;:&quot;MDPI AG&quot;,&quot;issue&quot;:&quot;5&quot;,&quot;volume&quot;:&quot;11&quot;},&quot;isTemporary&quot;:false}],&quot;properties&quot;:{&quot;noteIndex&quot;:0},&quot;isEdited&quot;:false,&quot;manualOverride&quot;:{&quot;isManuallyOverridden&quot;:false,&quot;citeprocText&quot;:&quot;(Jan et al., 2021)&quot;,&quot;manualOverrideText&quot;:&quot;&quot;},&quot;citationTag&quot;:&quot;MENDELEY_CITATION_v3_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&quot;},{&quot;citationID&quot;:&quot;MENDELEY_CITATION_ec4c8ef0-fdb8-446a-a793-d4489cdd611e&quot;,&quot;citationItems&quot;:[{&quot;id&quot;:&quot;8da44e5d-2400-3276-abcc-9214fbabe7fc&quot;,&quot;itemData&quot;:{&quot;type&quot;:&quot;article-journal&quot;,&quot;id&quot;:&quot;8da44e5d-2400-3276-abcc-9214fbabe7fc&quot;,&quot;title&quot;:&quot;Use of pesticides for mass production of vesicular-arbuscular mycorrhizal inoculum&quot;,&quot;author&quot;:[{&quot;family&quot;:&quot;Sreenivasa&quot;,&quot;given&quot;:&quot;M. N.&quot;,&quot;parse-names&quot;:false,&quot;dropping-particle&quot;:&quot;&quot;,&quot;non-dropping-particle&quot;:&quot;&quot;},{&quot;family&quot;:&quot;Bagyaraj&quot;,&quot;given&quot;:&quot;D. J.&quot;,&quot;parse-names&quot;:false,&quot;dropping-particle&quot;:&quot;&quot;,&quot;non-dropping-particle&quot;:&quot;&quot;}],&quot;container-title&quot;:&quot;Plant and Soil&quot;,&quot;DOI&quot;:&quot;10.1007/BF02370276&quot;,&quot;ISSN&quot;:&quot;0032-079X&quot;,&quot;issued&quot;:{&quot;date-parts&quot;:[[1989,9]]},&quot;issue&quot;:&quot;1&quot;,&quot;volume&quot;:&quot;119&quot;},&quot;isTemporary&quot;:false}],&quot;properties&quot;:{&quot;noteIndex&quot;:0},&quot;isEdited&quot;:false,&quot;manualOverride&quot;:{&quot;isManuallyOverridden&quot;:false,&quot;citeprocText&quot;:&quot;(Sreenivasa &amp;#38; Bagyaraj, 1989)&quot;,&quot;manualOverrideText&quot;:&quot;&quot;},&quot;citationTag&quot;:&quot;MENDELEY_CITATION_v3_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&quot;},{&quot;citationID&quot;:&quot;MENDELEY_CITATION_b784e215-8823-4345-924e-af2a54c5694f&quot;,&quot;citationItems&quot;:[{&quot;id&quot;:&quot;553f199a-5376-3d13-a809-91cb4f5e6946&quot;,&quot;itemData&quot;:{&quot;type&quot;:&quot;article-journal&quot;,&quot;id&quot;:&quot;553f199a-5376-3d13-a809-91cb4f5e6946&quot;,&quot;title&quot;:&quot;Long-distance signalling in plant defence&quot;,&quot;author&quot;:[{&quot;family&quot;:&quot;Heil&quot;,&quot;given&quot;:&quot;Martin&quot;,&quot;parse-names&quot;:false,&quot;dropping-particle&quot;:&quot;&quot;,&quot;non-dropping-particle&quot;:&quot;&quot;},{&quot;family&quot;:&quot;Ton&quot;,&quot;given&quot;:&quot;Jurriaan&quot;,&quot;parse-names&quot;:false,&quot;dropping-particle&quot;:&quot;&quot;,&quot;non-dropping-particle&quot;:&quot;&quot;}],&quot;container-title&quot;:&quot;Trends in Plant Science&quot;,&quot;DOI&quot;:&quot;10.1016/j.tplants.2008.03.005&quot;,&quot;ISSN&quot;:&quot;13601385&quot;,&quot;issued&quot;:{&quot;date-parts&quot;:[[2008,6]]},&quot;issue&quot;:&quot;6&quot;,&quot;volume&quot;:&quot;13&quot;},&quot;isTemporary&quot;:false}],&quot;properties&quot;:{&quot;noteIndex&quot;:0},&quot;isEdited&quot;:false,&quot;manualOverride&quot;:{&quot;isManuallyOverridden&quot;:false,&quot;citeprocText&quot;:&quot;(Heil &amp;#38; Ton, 2008)&quot;,&quot;manualOverrideText&quot;:&quot;&quot;},&quot;citationTag&quot;:&quot;MENDELEY_CITATION_v3_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&quot;},{&quot;citationID&quot;:&quot;MENDELEY_CITATION_75a30492-e938-4cd0-beb5-00e2809556f8&quot;,&quot;citationItems&quot;:[{&quot;id&quot;:&quot;cc8523b7-fb76-3dfd-8b73-836acd1350af&quot;,&quot;itemData&quot;:{&quot;type&quot;:&quot;article-journal&quot;,&quot;id&quot;:&quot;cc8523b7-fb76-3dfd-8b73-836acd1350af&quot;,&quot;title&quot;:&quot;MOLECULAR AND CELLULAR ASPECTS OF THE ARBUSCULAR MYCORRHIZAL SYMBIOSIS&quot;,&quot;author&quot;:[{&quot;family&quot;:&quot;Harrison&quot;,&quot;given&quot;:&quot;Maria J.&quot;,&quot;parse-names&quot;:false,&quot;dropping-particle&quot;:&quot;&quot;,&quot;non-dropping-particle&quot;:&quot;&quot;}],&quot;container-title&quot;:&quot;Annual Review of Plant Physiology and Plant Molecular Biology&quot;,&quot;DOI&quot;:&quot;10.1146/annurev.arplant.50.1.361&quot;,&quot;ISSN&quot;:&quot;1040-2519&quot;,&quot;issued&quot;:{&quot;date-parts&quot;:[[1999,6]]},&quot;issue&quot;:&quot;1&quot;,&quot;volume&quot;:&quot;50&quot;},&quot;isTemporary&quot;:false},{&quot;id&quot;:&quot;a63b098c-9f42-3565-bad0-9a7ae4632ee3&quot;,&quot;itemData&quot;:{&quot;type&quot;:&quot;article-journal&quot;,&quot;id&quot;:&quot;a63b098c-9f42-3565-bad0-9a7ae4632ee3&quot;,&quot;title&quot;:&quot;Molecular and cell biology of arbuscular mycorrhizal symbiosis&quot;,&quot;author&quot;:[{&quot;family&quot;:&quot;Hause&quot;,&quot;given&quot;:&quot;Bettina&quot;,&quot;parse-names&quot;:false,&quot;dropping-particle&quot;:&quot;&quot;,&quot;non-dropping-particle&quot;:&quot;&quot;},{&quot;family&quot;:&quot;Fester&quot;,&quot;given&quot;:&quot;Thomas&quot;,&quot;parse-names&quot;:false,&quot;dropping-particle&quot;:&quot;&quot;,&quot;non-dropping-particle&quot;:&quot;&quot;}],&quot;container-title&quot;:&quot;Planta&quot;,&quot;DOI&quot;:&quot;10.1007/s00425-004-1436-x&quot;,&quot;ISSN&quot;:&quot;0032-0935&quot;,&quot;issued&quot;:{&quot;date-parts&quot;:[[2005,5,26]]},&quot;issue&quot;:&quot;2&quot;,&quot;volume&quot;:&quot;221&quot;},&quot;isTemporary&quot;:false}],&quot;properties&quot;:{&quot;noteIndex&quot;:0},&quot;isEdited&quot;:false,&quot;manualOverride&quot;:{&quot;isManuallyOverridden&quot;:true,&quot;citeprocText&quot;:&quot;(Harrison, 1999; Hause &amp;#38; Fester, 2005)&quot;,&quot;manualOverrideText&quot;:&quot;(Harrison, 1999; Hause &amp; Fester, 2005).&quot;},&quot;citationTag&quot;:&quot;MENDELEY_CITATION_v3_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&quot;},{&quot;citationID&quot;:&quot;MENDELEY_CITATION_c6e859c3-b91a-41a7-a114-9b7d48c21f27&quot;,&quot;citationItems&quot;:[{&quot;id&quot;:&quot;e1701bbd-f9d9-3cce-b746-0359960ef69e&quot;,&quot;itemData&quot;:{&quot;type&quot;:&quot;article-journal&quot;,&quot;id&quot;:&quot;e1701bbd-f9d9-3cce-b746-0359960ef69e&quot;,&quot;title&quot;:&quot;Are innate immune signaling pathways in plants and animals conserved?&quot;,&quot;author&quot;:[{&quot;family&quot;:&quot;Ausubel&quot;,&quot;given&quot;:&quot;Frederick M&quot;,&quot;parse-names&quot;:false,&quot;dropping-particle&quot;:&quot;&quot;,&quot;non-dropping-particle&quot;:&quot;&quot;}],&quot;container-title&quot;:&quot;Nature Immunology&quot;,&quot;DOI&quot;:&quot;10.1038/ni1253&quot;,&quot;ISSN&quot;:&quot;1529-2908&quot;,&quot;issued&quot;:{&quot;date-parts&quot;:[[2005,10,21]]},&quot;issue&quot;:&quot;10&quot;,&quot;volume&quot;:&quot;6&quot;},&quot;isTemporary&quot;:false}],&quot;properties&quot;:{&quot;noteIndex&quot;:0},&quot;isEdited&quot;:false,&quot;manualOverride&quot;:{&quot;isManuallyOverridden&quot;:false,&quot;citeprocText&quot;:&quot;(Ausubel, 2005a)&quot;,&quot;manualOverrideText&quot;:&quot;&quot;},&quot;citationTag&quot;:&quot;MENDELEY_CITATION_v3_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&quot;},{&quot;citationID&quot;:&quot;MENDELEY_CITATION_09b06183-1222-449f-bb98-f068f2ce94d5&quot;,&quot;citationItems&quot;:[{&quot;id&quot;:&quot;f58c76cc-ad60-346e-8210-cc44fcf5cc4e&quot;,&quot;itemData&quot;:{&quot;type&quot;:&quot;report&quot;,&quot;id&quot;:&quot;f58c76cc-ad60-346e-8210-cc44fcf5cc4e&quot;,&quot;title&quot;:&quot;Effect of Arbuscular Mycorrhizal Fungi in the Management of Black Bundle Disease of Maize caused by Cephalosporium acremonium. &quot;,&quot;author&quot;:[{&quot;family&quot;:&quot;Veerabhadraswamy&quot;,&quot;given&quot;:&quot;A. L.&quot;,&quot;parse-names&quot;:false,&quot;dropping-particle&quot;:&quot;&quot;,&quot;non-dropping-particle&quot;:&quot;&quot;},{&quot;family&quot;:&quot;&amp; Garamoalli&quot;,&quot;given&quot;:&quot;R. H.&quot;,&quot;parse-names&quot;:false,&quot;dropping-particle&quot;:&quot;&quot;,&quot;non-dropping-particle&quot;:&quot;&quot;}],&quot;issued&quot;:{&quot;date-parts&quot;:[[2011]]}},&quot;isTemporary&quot;:false}],&quot;properties&quot;:{&quot;noteIndex&quot;:0},&quot;isEdited&quot;:false,&quot;manualOverride&quot;:{&quot;isManuallyOverridden&quot;:false,&quot;citeprocText&quot;:&quot;(Veerabhadraswamy &amp;#38; &amp;#38; Garamoalli, 2011)&quot;,&quot;manualOverrideText&quot;:&quot;&quot;},&quot;citationTag&quot;:&quot;MENDELEY_CITATION_v3_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&quot;},{&quot;citationID&quot;:&quot;MENDELEY_CITATION_e063c777-3fe7-4293-93ae-4f9c61eed693&quot;,&quot;citationItems&quot;:[{&quot;id&quot;:&quot;64432eb5-2b02-3558-8479-5e3b0b11cae6&quot;,&quot;itemData&quot;:{&quot;type&quot;:&quot;article-journal&quot;,&quot;id&quot;:&quot;64432eb5-2b02-3558-8479-5e3b0b11cae6&quot;,&quot;title&quot;:&quot;Arbuscular mycorrhizas and biological control of soil-borne plant pathogens - an overview of the mechanisms involved&quot;,&quot;author&quot;:[{&quot;family&quot;:&quot;Azcón-Aguilar&quot;,&quot;given&quot;:&quot;C.&quot;,&quot;parse-names&quot;:false,&quot;dropping-particle&quot;:&quot;&quot;,&quot;non-dropping-particle&quot;:&quot;&quot;},{&quot;family&quot;:&quot;Barea&quot;,&quot;given&quot;:&quot;J. M.&quot;,&quot;parse-names&quot;:false,&quot;dropping-particle&quot;:&quot;&quot;,&quot;non-dropping-particle&quot;:&quot;&quot;}],&quot;container-title&quot;:&quot;Mycorrhiza&quot;,&quot;DOI&quot;:&quot;10.1007/s005720050147&quot;,&quot;ISSN&quot;:&quot;0940-6360&quot;,&quot;issued&quot;:{&quot;date-parts&quot;:[[1997,2,20]]},&quot;issue&quot;:&quot;6&quot;,&quot;volume&quot;:&quot;6&quot;},&quot;isTemporary&quot;:false}],&quot;properties&quot;:{&quot;noteIndex&quot;:0},&quot;isEdited&quot;:false,&quot;manualOverride&quot;:{&quot;isManuallyOverridden&quot;:true,&quot;citeprocText&quot;:&quot;(Azcón-Aguilar &amp;#38; Barea, 1997)&quot;,&quot;manualOverrideText&quot;:&quot;(Azcón-Aguilar &amp; Barea, 1997&quot;},&quot;citationTag&quot;:&quot;MENDELEY_CITATION_v3_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&quot;},{&quot;citationID&quot;:&quot;MENDELEY_CITATION_c3d70afe-cdf8-4b79-84bb-0039de15fe84&quot;,&quot;citationItems&quot;:[{&quot;id&quot;:&quot;78aa0c09-ebf7-3cf1-b15a-ccc9dac6b702&quot;,&quot;itemData&quot;:{&quot;type&quot;:&quot;article-journal&quot;,&quot;id&quot;:&quot;78aa0c09-ebf7-3cf1-b15a-ccc9dac6b702&quot;,&quot;title&quot;:&quot;Cell Defense Responses Associated with Localized and Systemic Resistance to &lt;i&gt;Phytophthora parasitica&lt;/i&gt; Induced in Tomato by an Arbuscular Mycorrhizal Fungus&quot;,&quot;author&quot;:[{&quot;family&quot;:&quot;Cordier&quot;,&quot;given&quot;:&quot;C.&quot;,&quot;parse-names&quot;:false,&quot;dropping-particle&quot;:&quot;&quot;,&quot;non-dropping-particle&quot;:&quot;&quot;},{&quot;family&quot;:&quot;Pozo&quot;,&quot;given&quot;:&quot;M. J.&quot;,&quot;parse-names&quot;:false,&quot;dropping-particle&quot;:&quot;&quot;,&quot;non-dropping-particle&quot;:&quot;&quot;},{&quot;family&quot;:&quot;Barea&quot;,&quot;given&quot;:&quot;J. M.&quot;,&quot;parse-names&quot;:false,&quot;dropping-particle&quot;:&quot;&quot;,&quot;non-dropping-particle&quot;:&quot;&quot;},{&quot;family&quot;:&quot;Gianinazzi&quot;,&quot;given&quot;:&quot;S.&quot;,&quot;parse-names&quot;:false,&quot;dropping-particle&quot;:&quot;&quot;,&quot;non-dropping-particle&quot;:&quot;&quot;},{&quot;family&quot;:&quot;Gianinazzi-Pearson&quot;,&quot;given&quot;:&quot;V.&quot;,&quot;parse-names&quot;:false,&quot;dropping-particle&quot;:&quot;&quot;,&quot;non-dropping-particle&quot;:&quot;&quot;}],&quot;container-title&quot;:&quot;Molecular Plant-Microbe Interactions®&quot;,&quot;DOI&quot;:&quot;10.1094/MPMI.1998.11.10.1017&quot;,&quot;ISSN&quot;:&quot;0894-0282&quot;,&quot;issued&quot;:{&quot;date-parts&quot;:[[1998,10]]},&quot;abstract&quot;:&quot;&lt;p&gt;The arbuscular mycorrhizal fungus Glomus mosseae is able to confer bioprotection against Phytophthora parasitica in tomato roots. Localized and induced systemic resistance (ISR) have been demonstrated to be involved in pathogen control in mycorrhizal and nonmycorrhizal roots with a split root experimental system. Decreased pathogen development in mycorrhizal and nonmycorrhizal parts of mycorrhizal root systems is associated with accumulation of phenolics and plant cell defense responses. G. mosseae-containing cortical cells in the mycorrhizal tissues are immune to the pathogen and exhibit a localized resistance response with the formation of cell wall appositions reinforced by callose adjacent to intercellular hyphae. The systemically induced resistance in nonmycorrhizal root parts is characterized by elicitation of host wall thickenings containing non-esterified pectins and PR-1a protein in reaction to intercellular pathogen hyphae, and by the formation of callose-rich encasement material around P. parasitica hyphae that are penetrating root cells. PR-la protein is detected in the pathogen wall only in these tissues. None of these cell reactions are observed in nonmycorrhizal pathogen-infected root systems, where disease development leads to host cell death. The cellular and molecular basis of bioprotection by an arbuscular mycorrhizal fungus is discussed in relation to that induced by other nonpathogenic microorganisms.&lt;/p&gt;&quot;,&quot;issue&quot;:&quot;10&quot;,&quot;volume&quot;:&quot;11&quot;},&quot;isTemporary&quot;:false},{&quot;id&quot;:&quot;cbf98900-baf0-3730-a422-8dcd6cf72705&quot;,&quot;itemData&quot;:{&quot;type&quot;:&quot;article-journal&quot;,&quot;id&quot;:&quot;cbf98900-baf0-3730-a422-8dcd6cf72705&quot;,&quot;title&quot;:&quot;Localized versus systemic effect of arbuscular mycorrhizal fungi on defence responses to Phytophthora infection in tomato plants&quot;,&quot;author&quot;:[{&quot;family&quot;:&quot;Pozo&quot;,&quot;given&quot;:&quot;Maria J.&quot;,&quot;parse-names&quot;:false,&quot;dropping-particle&quot;:&quot;&quot;,&quot;non-dropping-particle&quot;:&quot;&quot;},{&quot;family&quot;:&quot;Cordier&quot;,&quot;given&quot;:&quot;Christelle&quot;,&quot;parse-names&quot;:false,&quot;dropping-particle&quot;:&quot;&quot;,&quot;non-dropping-particle&quot;:&quot;&quot;},{&quot;family&quot;:&quot;Dumas‐Gaudot&quot;,&quot;given&quot;:&quot;Eliane&quot;,&quot;parse-names&quot;:false,&quot;dropping-particle&quot;:&quot;&quot;,&quot;non-dropping-particle&quot;:&quot;&quot;},{&quot;family&quot;:&quot;Gianinazzi&quot;,&quot;given&quot;:&quot;Silvio&quot;,&quot;parse-names&quot;:false,&quot;dropping-particle&quot;:&quot;&quot;,&quot;non-dropping-particle&quot;:&quot;&quot;},{&quot;family&quot;:&quot;Barea&quot;,&quot;given&quot;:&quot;Jose M.&quot;,&quot;parse-names&quot;:false,&quot;dropping-particle&quot;:&quot;&quot;,&quot;non-dropping-particle&quot;:&quot;&quot;},{&quot;family&quot;:&quot;Azcón‐Aguilar&quot;,&quot;given&quot;:&quot;Concepción&quot;,&quot;parse-names&quot;:false,&quot;dropping-particle&quot;:&quot;&quot;,&quot;non-dropping-particle&quot;:&quot;&quot;}],&quot;container-title&quot;:&quot;Journal of Experimental Botany&quot;,&quot;DOI&quot;:&quot;10.1093/jexbot/53.368.525&quot;,&quot;ISSN&quot;:&quot;1460-2431&quot;,&quot;issued&quot;:{&quot;date-parts&quot;:[[2002,3,1]]},&quot;issue&quot;:&quot;368&quot;,&quot;volume&quot;:&quot;53&quot;},&quot;isTemporary&quot;:false},{&quot;id&quot;:&quot;5c30ee9d-ebde-3951-8503-b9eb61407dd5&quot;,&quot;itemData&quot;:{&quot;type&quot;:&quot;article-journal&quot;,&quot;id&quot;:&quot;5c30ee9d-ebde-3951-8503-b9eb61407dd5&quot;,&quot;title&quot;:&quot;Unraveling mycorrhiza-induced resistance&quot;,&quot;author&quot;:[{&quot;family&quot;:&quot;Pozo&quot;,&quot;given&quot;:&quot;María J&quot;,&quot;parse-names&quot;:false,&quot;dropping-particle&quot;:&quot;&quot;,&quot;non-dropping-particle&quot;:&quot;&quot;},{&quot;family&quot;:&quot;Azcón-Aguilar&quot;,&quot;given&quot;:&quot;Concepción&quot;,&quot;parse-names&quot;:false,&quot;dropping-particle&quot;:&quot;&quot;,&quot;non-dropping-particle&quot;:&quot;&quot;}],&quot;container-title&quot;:&quot;Current Opinion in Plant Biology&quot;,&quot;DOI&quot;:&quot;10.1016/j.pbi.2007.05.004&quot;,&quot;ISSN&quot;:&quot;13695266&quot;,&quot;issued&quot;:{&quot;date-parts&quot;:[[2007,8]]},&quot;issue&quot;:&quot;4&quot;,&quot;volume&quot;:&quot;10&quot;},&quot;isTemporary&quot;:false}],&quot;properties&quot;:{&quot;noteIndex&quot;:0},&quot;isEdited&quot;:false,&quot;manualOverride&quot;:{&quot;isManuallyOverridden&quot;:false,&quot;citeprocText&quot;:&quot;(Cordier et al., 1998; Pozo et al., 2002; Pozo &amp;#38; Azcón-Aguilar, 2007)&quot;,&quot;manualOverrideText&quot;:&quot;&quot;},&quot;citationTag&quot;:&quot;MENDELEY_CITATION_v3_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&quot;},{&quot;citationID&quot;:&quot;MENDELEY_CITATION_369b3e63-b3e3-428b-9637-528ec2054a37&quot;,&quot;citationItems&quot;:[{&quot;id&quot;:&quot;351ec781-7827-305e-b4ad-c3604b585c59&quot;,&quot;itemData&quot;:{&quot;type&quot;:&quot;article-journal&quot;,&quot;id&quot;:&quot;351ec781-7827-305e-b4ad-c3604b585c59&quot;,&quot;title&quot;:&quot;Are innate immune signaling pathways in plants and animals conserved?&quot;,&quot;author&quot;:[{&quot;family&quot;:&quot;Ausubel&quot;,&quot;given&quot;:&quot;Frederick M&quot;,&quot;parse-names&quot;:false,&quot;dropping-particle&quot;:&quot;&quot;,&quot;non-dropping-particle&quot;:&quot;&quot;}],&quot;container-title&quot;:&quot;Nature Immunology&quot;,&quot;DOI&quot;:&quot;10.1038/ni1253&quot;,&quot;ISSN&quot;:&quot;1529-2908&quot;,&quot;issued&quot;:{&quot;date-parts&quot;:[[2005,10,21]]},&quot;issue&quot;:&quot;10&quot;,&quot;volume&quot;:&quot;6&quot;},&quot;isTemporary&quot;:false},{&quot;id&quot;:&quot;8a23d358-ff10-3fee-9e9a-310d0f4360fe&quot;,&quot;itemData&quot;:{&quot;type&quot;:&quot;article-journal&quot;,&quot;id&quot;:&quot;8a23d358-ff10-3fee-9e9a-310d0f4360fe&quot;,&quot;title&quot;:&quot;The plant immune system&quot;,&quot;author&quot;:[{&quot;family&quot;:&quot;Jones&quot;,&quot;given&quot;:&quot;Jonathan D. G.&quot;,&quot;parse-names&quot;:false,&quot;dropping-particle&quot;:&quot;&quot;,&quot;non-dropping-particle&quot;:&quot;&quot;},{&quot;family&quot;:&quot;Dangl&quot;,&quot;given&quot;:&quot;Jeffery L.&quot;,&quot;parse-names&quot;:false,&quot;dropping-particle&quot;:&quot;&quot;,&quot;non-dropping-particle&quot;:&quot;&quot;}],&quot;container-title&quot;:&quot;Nature&quot;,&quot;DOI&quot;:&quot;10.1038/nature05286&quot;,&quot;ISSN&quot;:&quot;0028-0836&quot;,&quot;issued&quot;:{&quot;date-parts&quot;:[[2006,11]]},&quot;issue&quot;:&quot;7117&quot;,&quot;volume&quot;:&quot;444&quot;},&quot;isTemporary&quot;:false},{&quot;id&quot;:&quot;07be0a0c-ad23-3af7-bedd-7534ab81b53d&quot;,&quot;itemData&quot;:{&quot;type&quot;:&quot;article-journal&quot;,&quot;id&quot;:&quot;07be0a0c-ad23-3af7-bedd-7534ab81b53d&quot;,&quot;title&quot;:&quot;Innate Immunity in Plants: An Arms Race Between Pattern Recognition Receptors in Plants and Effectors in Microbial Pathogens&quot;,&quot;author&quot;:[{&quot;family&quot;:&quot;Boller&quot;,&quot;given&quot;:&quot;T.&quot;,&quot;parse-names&quot;:false,&quot;dropping-particle&quot;:&quot;&quot;,&quot;non-dropping-particle&quot;:&quot;&quot;},{&quot;family&quot;:&quot;He&quot;,&quot;given&quot;:&quot;S. Y.&quot;,&quot;parse-names&quot;:false,&quot;dropping-particle&quot;:&quot;&quot;,&quot;non-dropping-particle&quot;:&quot;&quot;}],&quot;container-title&quot;:&quot;Science&quot;,&quot;DOI&quot;:&quot;10.1126/science.1171647&quot;,&quot;ISSN&quot;:&quot;0036-8075&quot;,&quot;issued&quot;:{&quot;date-parts&quot;:[[2009,5,8]]},&quot;issue&quot;:&quot;5928&quot;,&quot;volume&quot;:&quot;324&quot;},&quot;isTemporary&quot;:false},{&quot;id&quot;:&quot;97c19b80-4e62-3917-bb90-15d732dabc61&quot;,&quot;itemData&quot;:{&quot;type&quot;:&quot;article-journal&quot;,&quot;id&quot;:&quot;97c19b80-4e62-3917-bb90-15d732dabc61&quot;,&quot;title&quot;:&quot;Of PAMPs and Effectors: The Blurred PTI-ETI Dichotomy&quot;,&quot;author&quot;:[{&quot;family&quot;:&quot;Thomma&quot;,&quot;given&quot;:&quot;Bart P.H.J.&quot;,&quot;parse-names&quot;:false,&quot;dropping-particle&quot;:&quot;&quot;,&quot;non-dropping-particle&quot;:&quot;&quot;},{&quot;family&quot;:&quot;Nürnberger&quot;,&quot;given&quot;:&quot;Thorsten&quot;,&quot;parse-names&quot;:false,&quot;dropping-particle&quot;:&quot;&quot;,&quot;non-dropping-particle&quot;:&quot;&quot;},{&quot;family&quot;:&quot;Joosten&quot;,&quot;given&quot;:&quot;Matthieu H.A.J.&quot;,&quot;parse-names&quot;:false,&quot;dropping-particle&quot;:&quot;&quot;,&quot;non-dropping-particle&quot;:&quot;&quot;}],&quot;container-title&quot;:&quot;The Plant Cell&quot;,&quot;DOI&quot;:&quot;10.1105/tpc.110.082602&quot;,&quot;ISSN&quot;:&quot;1040-4651&quot;,&quot;issued&quot;:{&quot;date-parts&quot;:[[2011,1]]},&quot;issue&quot;:&quot;1&quot;,&quot;volume&quot;:&quot;23&quot;},&quot;isTemporary&quot;:false}],&quot;properties&quot;:{&quot;noteIndex&quot;:0},&quot;isEdited&quot;:false,&quot;manualOverride&quot;:{&quot;isManuallyOverridden&quot;:false,&quot;citeprocText&quot;:&quot;(Ausubel, 2005b; Boller &amp;#38; He, 2009; Jones &amp;#38; Dangl, 2006a; Thomma et al., 2011)&quot;,&quot;manualOverrideText&quot;:&quot;&quot;},&quot;citationTag&quot;:&quot;MENDELEY_CITATION_v3_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&quot;},{&quot;citationID&quot;:&quot;MENDELEY_CITATION_9fd82bf7-cc09-4030-b4f2-2098912da01d&quot;,&quot;citationItems&quot;:[{&quot;id&quot;:&quot;f58c76cc-ad60-346e-8210-cc44fcf5cc4e&quot;,&quot;itemData&quot;:{&quot;type&quot;:&quot;report&quot;,&quot;id&quot;:&quot;f58c76cc-ad60-346e-8210-cc44fcf5cc4e&quot;,&quot;title&quot;:&quot;Effect of Arbuscular Mycorrhizal Fungi in the Management of Black Bundle Disease of Maize caused by Cephalosporium acremonium. &quot;,&quot;author&quot;:[{&quot;family&quot;:&quot;Veerabhadraswamy&quot;,&quot;given&quot;:&quot;A. L.&quot;,&quot;parse-names&quot;:false,&quot;dropping-particle&quot;:&quot;&quot;,&quot;non-dropping-particle&quot;:&quot;&quot;},{&quot;family&quot;:&quot;&amp; Garamoalli&quot;,&quot;given&quot;:&quot;R. H.&quot;,&quot;parse-names&quot;:false,&quot;dropping-particle&quot;:&quot;&quot;,&quot;non-dropping-particle&quot;:&quot;&quot;}],&quot;issued&quot;:{&quot;date-parts&quot;:[[2011]]}},&quot;isTemporary&quot;:false}],&quot;properties&quot;:{&quot;noteIndex&quot;:0},&quot;isEdited&quot;:false,&quot;manualOverride&quot;:{&quot;isManuallyOverridden&quot;:false,&quot;citeprocText&quot;:&quot;(Veerabhadraswamy &amp;#38; &amp;#38; Garamoalli, 2011)&quot;,&quot;manualOverrideText&quot;:&quot;&quot;},&quot;citationTag&quot;:&quot;MENDELEY_CITATION_v3_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&quot;},{&quot;citationID&quot;:&quot;MENDELEY_CITATION_9937113a-d1ca-402a-8898-d628e8b81a08&quot;,&quot;citationItems&quot;:[{&quot;id&quot;:&quot;64432eb5-2b02-3558-8479-5e3b0b11cae6&quot;,&quot;itemData&quot;:{&quot;type&quot;:&quot;article-journal&quot;,&quot;id&quot;:&quot;64432eb5-2b02-3558-8479-5e3b0b11cae6&quot;,&quot;title&quot;:&quot;Arbuscular mycorrhizas and biological control of soil-borne plant pathogens - an overview of the mechanisms involved&quot;,&quot;author&quot;:[{&quot;family&quot;:&quot;Azcón-Aguilar&quot;,&quot;given&quot;:&quot;C.&quot;,&quot;parse-names&quot;:false,&quot;dropping-particle&quot;:&quot;&quot;,&quot;non-dropping-particle&quot;:&quot;&quot;},{&quot;family&quot;:&quot;Barea&quot;,&quot;given&quot;:&quot;J. M.&quot;,&quot;parse-names&quot;:false,&quot;dropping-particle&quot;:&quot;&quot;,&quot;non-dropping-particle&quot;:&quot;&quot;}],&quot;container-title&quot;:&quot;Mycorrhiza&quot;,&quot;DOI&quot;:&quot;10.1007/s005720050147&quot;,&quot;ISSN&quot;:&quot;0940-6360&quot;,&quot;issued&quot;:{&quot;date-parts&quot;:[[1997,2,20]]},&quot;issue&quot;:&quot;6&quot;,&quot;volume&quot;:&quot;6&quot;},&quot;isTemporary&quot;:false}],&quot;properties&quot;:{&quot;noteIndex&quot;:0},&quot;isEdited&quot;:false,&quot;manualOverride&quot;:{&quot;isManuallyOverridden&quot;:false,&quot;citeprocText&quot;:&quot;(Azcón-Aguilar &amp;#38; Barea, 1997)&quot;,&quot;manualOverrideText&quot;:&quot;&quot;},&quot;citationTag&quot;:&quot;MENDELEY_CITATION_v3_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&quot;},{&quot;citationID&quot;:&quot;MENDELEY_CITATION_81122329-9179-444a-a0d4-cfb15d6dde9f&quot;,&quot;citationItems&quot;:[{&quot;id&quot;:&quot;402726f9-f48f-368e-8832-195272197c62&quot;,&quot;itemData&quot;:{&quot;type&quot;:&quot;article&quot;,&quot;id&quot;:&quot;402726f9-f48f-368e-8832-195272197c62&quot;,&quot;title&quot;:&quot;Mycorrhiza-induced resistance: More than the sum of its parts?&quot;,&quot;author&quot;:[{&quot;family&quot;:&quot;Cameron&quot;,&quot;given&quot;:&quot;Duncan D.&quot;,&quot;parse-names&quot;:false,&quot;dropping-particle&quot;:&quot;&quot;,&quot;non-dropping-particle&quot;:&quot;&quot;},{&quot;family&quot;:&quot;Neal&quot;,&quot;given&quot;:&quot;Andrew L.&quot;,&quot;parse-names&quot;:false,&quot;dropping-particle&quot;:&quot;&quot;,&quot;non-dropping-particle&quot;:&quot;&quot;},{&quot;family&quot;:&quot;Wees&quot;,&quot;given&quot;:&quot;Saskia C.M.&quot;,&quot;parse-names&quot;:false,&quot;dropping-particle&quot;:&quot;&quot;,&quot;non-dropping-particle&quot;:&quot;van&quot;},{&quot;family&quot;:&quot;Ton&quot;,&quot;given&quot;:&quot;Jurriaan&quot;,&quot;parse-names&quot;:false,&quot;dropping-particle&quot;:&quot;&quot;,&quot;non-dropping-particle&quot;:&quot;&quot;}],&quot;container-title&quot;:&quot;Trends in Plant Science&quot;,&quot;DOI&quot;:&quot;10.1016/j.tplants.2013.06.004&quot;,&quot;ISSN&quot;:&quot;13601385&quot;,&quot;PMID&quot;:&quot;23871659&quot;,&quot;issued&quot;:{&quot;date-parts&quot;:[[2013,10]]},&quot;page&quot;:&quot;539-545&quot;,&quot;abstract&quot;:&quot;Plants can develop an enhanced defensive capacity in response to infection by arbuscular mycorrhizal fungi (AMF). This 'mycorrhiza-induced resistance' (MIR) provides systemic protection against a wide range of attackers and shares characteristics with systemic acquired resistance (SAR) after pathogen infection and induced systemic resistance (ISR) following root colonisation by non-pathogenic rhizobacteria. It is commonly assumed that fungal stimulation of the plant immune system is solely responsible for MIR. In this opinion article, we present a novel model of MIR that integrates different aspects of the induced resistance phenomenon. We propose that MIR is a cumulative effect of direct plant responses to mycorrhizal infection and indirect immune responses to ISR-eliciting rhizobacteria in the mycorrhizosphere. © 2013.&quot;,&quot;issue&quot;:&quot;10&quot;,&quot;volume&quot;:&quot;18&quot;},&quot;isTemporary&quot;:false}],&quot;properties&quot;:{&quot;noteIndex&quot;:0},&quot;isEdited&quot;:false,&quot;manualOverride&quot;:{&quot;isManuallyOverridden&quot;:true,&quot;citeprocText&quot;:&quot;(Cameron et al., 2013a)&quot;,&quot;manualOverrideText&quot;:&quot;(Cameron et al., 2013)&quot;},&quot;citationTag&quot;:&quot;MENDELEY_CITATION_v3_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&quot;},{&quot;citationID&quot;:&quot;MENDELEY_CITATION_95005726-f6cf-468f-ae96-b9832502505f&quot;,&quot;citationItems&quot;:[{&quot;id&quot;:&quot;966ff3bb-377f-3542-8a59-1b30c5aa39ca&quot;,&quot;itemData&quot;:{&quot;type&quot;:&quot;article-journal&quot;,&quot;id&quot;:&quot;966ff3bb-377f-3542-8a59-1b30c5aa39ca&quot;,&quot;title&quot;:&quot;Interactions between mycorrhizal fungi and other soil organisms&quot;,&quot;author&quot;:[{&quot;family&quot;:&quot;Fitter&quot;,&quot;given&quot;:&quot;A. H.&quot;,&quot;parse-names&quot;:false,&quot;dropping-particle&quot;:&quot;&quot;,&quot;non-dropping-particle&quot;:&quot;&quot;},{&quot;family&quot;:&quot;Garbaye&quot;,&quot;given&quot;:&quot;J.&quot;,&quot;parse-names&quot;:false,&quot;dropping-particle&quot;:&quot;&quot;,&quot;non-dropping-particle&quot;:&quot;&quot;}],&quot;container-title&quot;:&quot;Plant and Soil&quot;,&quot;DOI&quot;:&quot;10.1007/BF00000101&quot;,&quot;ISSN&quot;:&quot;0032-079X&quot;,&quot;issued&quot;:{&quot;date-parts&quot;:[[1994,2]]},&quot;issue&quot;:&quot;1&quot;,&quot;volume&quot;:&quot;159&quot;},&quot;isTemporary&quot;:false}],&quot;properties&quot;:{&quot;noteIndex&quot;:0},&quot;isEdited&quot;:false,&quot;manualOverride&quot;:{&quot;isManuallyOverridden&quot;:false,&quot;citeprocText&quot;:&quot;(Fitter &amp;#38; Garbaye, 1994)&quot;,&quot;manualOverrideText&quot;:&quot;&quot;},&quot;citationTag&quot;:&quot;MENDELEY_CITATION_v3_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&quot;},{&quot;citationID&quot;:&quot;MENDELEY_CITATION_87b05a14-7f12-4a81-b5a1-8844522f6d72&quot;,&quot;citationItems&quot;:[{&quot;id&quot;:&quot;d21b4046-8826-3840-9e33-93956c8dd151&quot;,&quot;itemData&quot;:{&quot;type&quot;:&quot;paper-conference&quot;,&quot;id&quot;:&quot;d21b4046-8826-3840-9e33-93956c8dd151&quot;,&quot;title&quot;:&quot; Use of Mycorrhizae in Restoration of Hawaiian Habitats. &quot;,&quot;author&quot;:[{&quot;family&quot;:&quot;Gemma&quot;,&quot;given&quot;:&quot;J. L.&quot;,&quot;parse-names&quot;:false,&quot;dropping-particle&quot;:&quot;&quot;,&quot;non-dropping-particle&quot;:&quot;&quot;},{&quot;family&quot;:&quot;&amp; Koske&quot;,&quot;given&quot;:&quot;R. E.&quot;,&quot;parse-names&quot;:false,&quot;dropping-particle&quot;:&quot;&quot;,&quot;non-dropping-particle&quot;:&quot;&quot;}],&quot;container-title&quot;:&quot;Hawaii Conservation Alliance. &quot;,&quot;issued&quot;:{&quot;date-parts&quot;:[[2006]]},&quot;publisher-place&quot;:&quot;Hawaii&quot;},&quot;isTemporary&quot;:false}],&quot;properties&quot;:{&quot;noteIndex&quot;:0},&quot;isEdited&quot;:false,&quot;manualOverride&quot;:{&quot;isManuallyOverridden&quot;:true,&quot;citeprocText&quot;:&quot;(Gemma &amp;#38; &amp;#38; Koske, 2006)&quot;,&quot;manualOverrideText&quot;:&quot;(Gemma &amp; &amp; Koske, 2006).&quot;},&quot;citationTag&quot;:&quot;MENDELEY_CITATION_v3_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&quot;},{&quot;citationID&quot;:&quot;MENDELEY_CITATION_57c04255-32eb-413b-978b-8460a6359ee3&quot;,&quot;citationItems&quot;:[{&quot;id&quot;:&quot;402726f9-f48f-368e-8832-195272197c62&quot;,&quot;itemData&quot;:{&quot;type&quot;:&quot;article&quot;,&quot;id&quot;:&quot;402726f9-f48f-368e-8832-195272197c62&quot;,&quot;title&quot;:&quot;Mycorrhiza-induced resistance: More than the sum of its parts?&quot;,&quot;author&quot;:[{&quot;family&quot;:&quot;Cameron&quot;,&quot;given&quot;:&quot;Duncan D.&quot;,&quot;parse-names&quot;:false,&quot;dropping-particle&quot;:&quot;&quot;,&quot;non-dropping-particle&quot;:&quot;&quot;},{&quot;family&quot;:&quot;Neal&quot;,&quot;given&quot;:&quot;Andrew L.&quot;,&quot;parse-names&quot;:false,&quot;dropping-particle&quot;:&quot;&quot;,&quot;non-dropping-particle&quot;:&quot;&quot;},{&quot;family&quot;:&quot;Wees&quot;,&quot;given&quot;:&quot;Saskia C.M.&quot;,&quot;parse-names&quot;:false,&quot;dropping-particle&quot;:&quot;&quot;,&quot;non-dropping-particle&quot;:&quot;van&quot;},{&quot;family&quot;:&quot;Ton&quot;,&quot;given&quot;:&quot;Jurriaan&quot;,&quot;parse-names&quot;:false,&quot;dropping-particle&quot;:&quot;&quot;,&quot;non-dropping-particle&quot;:&quot;&quot;}],&quot;container-title&quot;:&quot;Trends in Plant Science&quot;,&quot;DOI&quot;:&quot;10.1016/j.tplants.2013.06.004&quot;,&quot;ISSN&quot;:&quot;13601385&quot;,&quot;PMID&quot;:&quot;23871659&quot;,&quot;issued&quot;:{&quot;date-parts&quot;:[[2013,10]]},&quot;page&quot;:&quot;539-545&quot;,&quot;abstract&quot;:&quot;Plants can develop an enhanced defensive capacity in response to infection by arbuscular mycorrhizal fungi (AMF). This 'mycorrhiza-induced resistance' (MIR) provides systemic protection against a wide range of attackers and shares characteristics with systemic acquired resistance (SAR) after pathogen infection and induced systemic resistance (ISR) following root colonisation by non-pathogenic rhizobacteria. It is commonly assumed that fungal stimulation of the plant immune system is solely responsible for MIR. In this opinion article, we present a novel model of MIR that integrates different aspects of the induced resistance phenomenon. We propose that MIR is a cumulative effect of direct plant responses to mycorrhizal infection and indirect immune responses to ISR-eliciting rhizobacteria in the mycorrhizosphere. © 2013.&quot;,&quot;issue&quot;:&quot;10&quot;,&quot;volume&quot;:&quot;18&quot;},&quot;isTemporary&quot;:false}],&quot;properties&quot;:{&quot;noteIndex&quot;:0},&quot;isEdited&quot;:false,&quot;manualOverride&quot;:{&quot;isManuallyOverridden&quot;:false,&quot;citeprocText&quot;:&quot;(Cameron et al., 2013a)&quot;,&quot;manualOverrideText&quot;:&quot;&quot;},&quot;citationTag&quot;:&quot;MENDELEY_CITATION_v3_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&quot;},{&quot;citationID&quot;:&quot;MENDELEY_CITATION_23230d72-3bdf-40ac-97f5-ca42865ee952&quot;,&quot;citationItems&quot;:[{&quot;id&quot;:&quot;5c30ee9d-ebde-3951-8503-b9eb61407dd5&quot;,&quot;itemData&quot;:{&quot;type&quot;:&quot;article-journal&quot;,&quot;id&quot;:&quot;5c30ee9d-ebde-3951-8503-b9eb61407dd5&quot;,&quot;title&quot;:&quot;Unraveling mycorrhiza-induced resistance&quot;,&quot;author&quot;:[{&quot;family&quot;:&quot;Pozo&quot;,&quot;given&quot;:&quot;María J&quot;,&quot;parse-names&quot;:false,&quot;dropping-particle&quot;:&quot;&quot;,&quot;non-dropping-particle&quot;:&quot;&quot;},{&quot;family&quot;:&quot;Azcón-Aguilar&quot;,&quot;given&quot;:&quot;Concepción&quot;,&quot;parse-names&quot;:false,&quot;dropping-particle&quot;:&quot;&quot;,&quot;non-dropping-particle&quot;:&quot;&quot;}],&quot;container-title&quot;:&quot;Current Opinion in Plant Biology&quot;,&quot;DOI&quot;:&quot;10.1016/j.pbi.2007.05.004&quot;,&quot;ISSN&quot;:&quot;13695266&quot;,&quot;issued&quot;:{&quot;date-parts&quot;:[[2007,8]]},&quot;issue&quot;:&quot;4&quot;,&quot;volume&quot;:&quot;10&quot;},&quot;isTemporary&quot;:false},{&quot;id&quot;:&quot;d23828e1-c1c0-3fc4-8e95-f1cf5c3fa9bf&quot;,&quot;itemData&quot;:{&quot;type&quot;:&quot;article-journal&quot;,&quot;id&quot;:&quot;d23828e1-c1c0-3fc4-8e95-f1cf5c3fa9bf&quot;,&quot;title&quot;:&quot;Jasmonates in arbuscular mycorrhizal interactions&quot;,&quot;author&quot;:[{&quot;family&quot;:&quot;Hause&quot;,&quot;given&quot;:&quot;Bettina&quot;,&quot;parse-names&quot;:false,&quot;dropping-particle&quot;:&quot;&quot;,&quot;non-dropping-particle&quot;:&quot;&quot;},{&quot;family&quot;:&quot;Mrosk&quot;,&quot;given&quot;:&quot;Cornelia&quot;,&quot;parse-names&quot;:false,&quot;dropping-particle&quot;:&quot;&quot;,&quot;non-dropping-particle&quot;:&quot;&quot;},{&quot;family&quot;:&quot;Isayenkov&quot;,&quot;given&quot;:&quot;Stanislav&quot;,&quot;parse-names&quot;:false,&quot;dropping-particle&quot;:&quot;&quot;,&quot;non-dropping-particle&quot;:&quot;&quot;},{&quot;family&quot;:&quot;Strack&quot;,&quot;given&quot;:&quot;Dieter&quot;,&quot;parse-names&quot;:false,&quot;dropping-particle&quot;:&quot;&quot;,&quot;non-dropping-particle&quot;:&quot;&quot;}],&quot;container-title&quot;:&quot;Phytochemistry&quot;,&quot;DOI&quot;:&quot;10.1016/j.phytochem.2006.09.025&quot;,&quot;ISSN&quot;:&quot;00319422&quot;,&quot;issued&quot;:{&quot;date-parts&quot;:[[2007,1]]},&quot;issue&quot;:&quot;1&quot;,&quot;volume&quot;:&quot;68&quot;},&quot;isTemporary&quot;:false}],&quot;properties&quot;:{&quot;noteIndex&quot;:0},&quot;isEdited&quot;:false,&quot;manualOverride&quot;:{&quot;isManuallyOverridden&quot;:false,&quot;citeprocText&quot;:&quot;(Hause et al., 2007; Pozo &amp;#38; Azcón-Aguilar, 2007)&quot;,&quot;manualOverrideText&quot;:&quot;&quot;},&quot;citationTag&quot;:&quot;MENDELEY_CITATION_v3_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&quot;},{&quot;citationID&quot;:&quot;MENDELEY_CITATION_0dd15193-ae01-4cd3-8bd0-85d5ddbc2132&quot;,&quot;citationItems&quot;:[{&quot;id&quot;:&quot;402726f9-f48f-368e-8832-195272197c62&quot;,&quot;itemData&quot;:{&quot;type&quot;:&quot;article&quot;,&quot;id&quot;:&quot;402726f9-f48f-368e-8832-195272197c62&quot;,&quot;title&quot;:&quot;Mycorrhiza-induced resistance: More than the sum of its parts?&quot;,&quot;author&quot;:[{&quot;family&quot;:&quot;Cameron&quot;,&quot;given&quot;:&quot;Duncan D.&quot;,&quot;parse-names&quot;:false,&quot;dropping-particle&quot;:&quot;&quot;,&quot;non-dropping-particle&quot;:&quot;&quot;},{&quot;family&quot;:&quot;Neal&quot;,&quot;given&quot;:&quot;Andrew L.&quot;,&quot;parse-names&quot;:false,&quot;dropping-particle&quot;:&quot;&quot;,&quot;non-dropping-particle&quot;:&quot;&quot;},{&quot;family&quot;:&quot;Wees&quot;,&quot;given&quot;:&quot;Saskia C.M.&quot;,&quot;parse-names&quot;:false,&quot;dropping-particle&quot;:&quot;&quot;,&quot;non-dropping-particle&quot;:&quot;van&quot;},{&quot;family&quot;:&quot;Ton&quot;,&quot;given&quot;:&quot;Jurriaan&quot;,&quot;parse-names&quot;:false,&quot;dropping-particle&quot;:&quot;&quot;,&quot;non-dropping-particle&quot;:&quot;&quot;}],&quot;container-title&quot;:&quot;Trends in Plant Science&quot;,&quot;DOI&quot;:&quot;10.1016/j.tplants.2013.06.004&quot;,&quot;ISSN&quot;:&quot;13601385&quot;,&quot;PMID&quot;:&quot;23871659&quot;,&quot;issued&quot;:{&quot;date-parts&quot;:[[2013,10]]},&quot;page&quot;:&quot;539-545&quot;,&quot;abstract&quot;:&quot;Plants can develop an enhanced defensive capacity in response to infection by arbuscular mycorrhizal fungi (AMF). This 'mycorrhiza-induced resistance' (MIR) provides systemic protection against a wide range of attackers and shares characteristics with systemic acquired resistance (SAR) after pathogen infection and induced systemic resistance (ISR) following root colonisation by non-pathogenic rhizobacteria. It is commonly assumed that fungal stimulation of the plant immune system is solely responsible for MIR. In this opinion article, we present a novel model of MIR that integrates different aspects of the induced resistance phenomenon. We propose that MIR is a cumulative effect of direct plant responses to mycorrhizal infection and indirect immune responses to ISR-eliciting rhizobacteria in the mycorrhizosphere. © 2013.&quot;,&quot;issue&quot;:&quot;10&quot;,&quot;volume&quot;:&quot;18&quot;},&quot;isTemporary&quot;:false}],&quot;properties&quot;:{&quot;noteIndex&quot;:0},&quot;isEdited&quot;:false,&quot;manualOverride&quot;:{&quot;isManuallyOverridden&quot;:false,&quot;citeprocText&quot;:&quot;(Cameron et al., 2013a)&quot;,&quot;manualOverrideText&quot;:&quot;&quot;},&quot;citationTag&quot;:&quot;MENDELEY_CITATION_v3_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&quot;},{&quot;citationID&quot;:&quot;MENDELEY_CITATION_f992407e-1456-4a79-bd48-d6773adcc4ba&quot;,&quot;citationItems&quot;:[{&quot;id&quot;:&quot;402726f9-f48f-368e-8832-195272197c62&quot;,&quot;itemData&quot;:{&quot;type&quot;:&quot;article&quot;,&quot;id&quot;:&quot;402726f9-f48f-368e-8832-195272197c62&quot;,&quot;title&quot;:&quot;Mycorrhiza-induced resistance: More than the sum of its parts?&quot;,&quot;author&quot;:[{&quot;family&quot;:&quot;Cameron&quot;,&quot;given&quot;:&quot;Duncan D.&quot;,&quot;parse-names&quot;:false,&quot;dropping-particle&quot;:&quot;&quot;,&quot;non-dropping-particle&quot;:&quot;&quot;},{&quot;family&quot;:&quot;Neal&quot;,&quot;given&quot;:&quot;Andrew L.&quot;,&quot;parse-names&quot;:false,&quot;dropping-particle&quot;:&quot;&quot;,&quot;non-dropping-particle&quot;:&quot;&quot;},{&quot;family&quot;:&quot;Wees&quot;,&quot;given&quot;:&quot;Saskia C.M.&quot;,&quot;parse-names&quot;:false,&quot;dropping-particle&quot;:&quot;&quot;,&quot;non-dropping-particle&quot;:&quot;van&quot;},{&quot;family&quot;:&quot;Ton&quot;,&quot;given&quot;:&quot;Jurriaan&quot;,&quot;parse-names&quot;:false,&quot;dropping-particle&quot;:&quot;&quot;,&quot;non-dropping-particle&quot;:&quot;&quot;}],&quot;container-title&quot;:&quot;Trends in Plant Science&quot;,&quot;DOI&quot;:&quot;10.1016/j.tplants.2013.06.004&quot;,&quot;ISSN&quot;:&quot;13601385&quot;,&quot;PMID&quot;:&quot;23871659&quot;,&quot;issued&quot;:{&quot;date-parts&quot;:[[2013,10]]},&quot;page&quot;:&quot;539-545&quot;,&quot;abstract&quot;:&quot;Plants can develop an enhanced defensive capacity in response to infection by arbuscular mycorrhizal fungi (AMF). This 'mycorrhiza-induced resistance' (MIR) provides systemic protection against a wide range of attackers and shares characteristics with systemic acquired resistance (SAR) after pathogen infection and induced systemic resistance (ISR) following root colonisation by non-pathogenic rhizobacteria. It is commonly assumed that fungal stimulation of the plant immune system is solely responsible for MIR. In this opinion article, we present a novel model of MIR that integrates different aspects of the induced resistance phenomenon. We propose that MIR is a cumulative effect of direct plant responses to mycorrhizal infection and indirect immune responses to ISR-eliciting rhizobacteria in the mycorrhizosphere. © 2013.&quot;,&quot;issue&quot;:&quot;10&quot;,&quot;volume&quot;:&quot;18&quot;},&quot;isTemporary&quot;:false}],&quot;properties&quot;:{&quot;noteIndex&quot;:0},&quot;isEdited&quot;:false,&quot;manualOverride&quot;:{&quot;isManuallyOverridden&quot;:true,&quot;citeprocText&quot;:&quot;(Cameron et al., 2013a)&quot;,&quot;manualOverrideText&quot;:&quot;Cameron et al., 2013a)&quot;},&quot;citationTag&quot;:&quot;MENDELEY_CITATION_v3_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&quot;},{&quot;citationID&quot;:&quot;MENDELEY_CITATION_7d0490f6-783e-43aa-8a90-bf0c66422a51&quot;,&quot;citationItems&quot;:[{&quot;id&quot;:&quot;98ae4724-c97b-3b54-b734-f333b6393b0f&quot;,&quot;itemData&quot;:{&quot;type&quot;:&quot;article-journal&quot;,&quot;id&quot;:&quot;98ae4724-c97b-3b54-b734-f333b6393b0f&quot;,&quot;title&quot;:&quot;Ethylene signaling and response: where different regulatory modules meet&quot;,&quot;author&quot;:[{&quot;family&quot;:&quot;Stepanova&quot;,&quot;given&quot;:&quot;Anna N&quot;,&quot;parse-names&quot;:false,&quot;dropping-particle&quot;:&quot;&quot;,&quot;non-dropping-particle&quot;:&quot;&quot;},{&quot;family&quot;:&quot;Alonso&quot;,&quot;given&quot;:&quot;Jose M&quot;,&quot;parse-names&quot;:false,&quot;dropping-particle&quot;:&quot;&quot;,&quot;non-dropping-particle&quot;:&quot;&quot;}],&quot;container-title&quot;:&quot;Current Opinion in Plant Biology&quot;,&quot;DOI&quot;:&quot;10.1016/j.pbi.2009.07.009&quot;,&quot;ISSN&quot;:&quot;13695266&quot;,&quot;issued&quot;:{&quot;date-parts&quot;:[[2009,10]]},&quot;issue&quot;:&quot;5&quot;,&quot;volume&quot;:&quot;12&quot;},&quot;isTemporary&quot;:false}],&quot;properties&quot;:{&quot;noteIndex&quot;:0},&quot;isEdited&quot;:false,&quot;manualOverride&quot;:{&quot;isManuallyOverridden&quot;:false,&quot;citeprocText&quot;:&quot;(Stepanova &amp;#38; Alonso, 2009)&quot;,&quot;manualOverrideText&quot;:&quot;&quot;},&quot;citationTag&quot;:&quot;MENDELEY_CITATION_v3_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&quot;},{&quot;citationID&quot;:&quot;MENDELEY_CITATION_5508b738-65a4-4484-bdd8-144d937d5c63&quot;,&quot;citationItems&quot;:[{&quot;id&quot;:&quot;365bf946-5d07-3304-bd44-8e9acacd735a&quot;,&quot;itemData&quot;:{&quot;type&quot;:&quot;article-journal&quot;,&quot;id&quot;:&quot;365bf946-5d07-3304-bd44-8e9acacd735a&quot;,&quot;title&quot;:&quot;Mycorrhiza-Induced Resistance and Priming of Plant Defenses&quot;,&quot;author&quot;:[{&quot;family&quot;:&quot;Jung&quot;,&quot;given&quot;:&quot;Sabine C.&quot;,&quot;parse-names&quot;:false,&quot;dropping-particle&quot;:&quot;&quot;,&quot;non-dropping-particle&quot;:&quot;&quot;},{&quot;family&quot;:&quot;Martinez-Medina&quot;,&quot;given&quot;:&quot;Ainhoa&quot;,&quot;parse-names&quot;:false,&quot;dropping-particle&quot;:&quot;&quot;,&quot;non-dropping-particle&quot;:&quot;&quot;},{&quot;family&quot;:&quot;Lopez-Raez&quot;,&quot;given&quot;:&quot;Juan A.&quot;,&quot;parse-names&quot;:false,&quot;dropping-particle&quot;:&quot;&quot;,&quot;non-dropping-particle&quot;:&quot;&quot;},{&quot;family&quot;:&quot;Pozo&quot;,&quot;given&quot;:&quot;Maria J.&quot;,&quot;parse-names&quot;:false,&quot;dropping-particle&quot;:&quot;&quot;,&quot;non-dropping-particle&quot;:&quot;&quot;}],&quot;container-title&quot;:&quot;Journal of Chemical Ecology&quot;,&quot;DOI&quot;:&quot;10.1007/s10886-012-0134-6&quot;,&quot;ISSN&quot;:&quot;0098-0331&quot;,&quot;issued&quot;:{&quot;date-parts&quot;:[[2012,6,24]]},&quot;issue&quot;:&quot;6&quot;,&quot;volume&quot;:&quot;38&quot;},&quot;isTemporary&quot;:false}],&quot;properties&quot;:{&quot;noteIndex&quot;:0},&quot;isEdited&quot;:false,&quot;manualOverride&quot;:{&quot;isManuallyOverridden&quot;:false,&quot;citeprocText&quot;:&quot;(Jung et al., 2012b)&quot;,&quot;manualOverrideText&quot;:&quot;&quot;},&quot;citationTag&quot;:&quot;MENDELEY_CITATION_v3_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&quot;},{&quot;citationID&quot;:&quot;MENDELEY_CITATION_e509fced-d2f4-47f5-b232-dee5e07218f1&quot;,&quot;citationItems&quot;:[{&quot;id&quot;:&quot;9288bedf-d453-38d6-b0c1-17fe0bfb7d80&quot;,&quot;itemData&quot;:{&quot;type&quot;:&quot;article-journal&quot;,&quot;id&quot;:&quot;9288bedf-d453-38d6-b0c1-17fe0bfb7d80&quot;,&quot;title&quot;:&quot;Mycorrhiza-Induced Resistance and Priming of Plant Defenses&quot;,&quot;author&quot;:[{&quot;family&quot;:&quot;Jung&quot;,&quot;given&quot;:&quot;Sabine C.&quot;,&quot;parse-names&quot;:false,&quot;dropping-particle&quot;:&quot;&quot;,&quot;non-dropping-particle&quot;:&quot;&quot;},{&quot;family&quot;:&quot;Martinez-Medina&quot;,&quot;given&quot;:&quot;Ainhoa&quot;,&quot;parse-names&quot;:false,&quot;dropping-particle&quot;:&quot;&quot;,&quot;non-dropping-particle&quot;:&quot;&quot;},{&quot;family&quot;:&quot;Lopez-Raez&quot;,&quot;given&quot;:&quot;Juan A.&quot;,&quot;parse-names&quot;:false,&quot;dropping-particle&quot;:&quot;&quot;,&quot;non-dropping-particle&quot;:&quot;&quot;},{&quot;family&quot;:&quot;Pozo&quot;,&quot;given&quot;:&quot;Maria J.&quot;,&quot;parse-names&quot;:false,&quot;dropping-particle&quot;:&quot;&quot;,&quot;non-dropping-particle&quot;:&quot;&quot;}],&quot;container-title&quot;:&quot;Journal of Chemical Ecology&quot;,&quot;DOI&quot;:&quot;10.1007/s10886-012-0134-6&quot;,&quot;ISSN&quot;:&quot;00980331&quot;,&quot;PMID&quot;:&quot;22623151&quot;,&quot;issued&quot;:{&quot;date-parts&quot;:[[2012,6]]},&quot;page&quot;:&quot;651-664&quot;,&quot;abstract&quot;:&quot;Symbioses between plants and beneficial soil microorganisms like arbuscular-mycorrhizal fungi (AMF) are known to promote plant growth and help plants to cope with biotic and abiotic stresses. Profound physiological changes take place in the host plant upon root colonization by AMF affecting the interactions with a wide range of organisms below- and above-ground. Protective effects of the symbiosis against pathogens, pests, and parasitic plants have been described for many plant species, including agriculturally important crop varieties. Besides mechanisms such as improved plant nutrition and competition, experimental evidence supports a major role of plant defenses in the observed protection. During mycorrhiza establishment, modulation of plant defense responses occurs thus achieving a functional symbiosis. As a consequence of this modulation, a mild, but effective activation of the plant immune responses seems to occur, not only locally but also systemically. This activation leads to a primed state of the plant that allows a more efficient activation of defense mechanisms in response to attack by potential enemies. Here, we give an overview of the impact on interactions between mycorrhizal plants and pathogens, herbivores, and parasitic plants, and we summarize the current knowledge of the underlying mechanisms. We focus on the priming of jasmonate-regulated plant defense mechanisms that play a central role in the induction of resistance by arbuscular mycorrhizas. © 2012 Springer Science+Business Media, LLC.&quot;,&quot;issue&quot;:&quot;6&quot;,&quot;volume&quot;:&quot;38&quot;},&quot;isTemporary&quot;:false}],&quot;properties&quot;:{&quot;noteIndex&quot;:0},&quot;isEdited&quot;:false,&quot;manualOverride&quot;:{&quot;isManuallyOverridden&quot;:false,&quot;citeprocText&quot;:&quot;(Jung et al., 2012a)&quot;,&quot;manualOverrideText&quot;:&quot;&quot;},&quot;citationTag&quot;:&quot;MENDELEY_CITATION_v3_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&quot;},{&quot;citationID&quot;:&quot;MENDELEY_CITATION_3638dce6-d094-4393-9e38-54b3d3038f1d&quot;,&quot;citationItems&quot;:[{&quot;id&quot;:&quot;c225322c-c24a-333a-9a4c-5925dc6b04e4&quot;,&quot;itemData&quot;:{&quot;type&quot;:&quot;article-journal&quot;,&quot;id&quot;:&quot;c225322c-c24a-333a-9a4c-5925dc6b04e4&quot;,&quot;title&quot;:&quot; Fallow- and Flooded-Soil Syndromes: Effects on Crop Production. &quot;,&quot;author&quot;:[{&quot;family&quot;:&quot;Wetterauer&quot;,&quot;given&quot;:&quot;D. G.&quot;,&quot;parse-names&quot;:false,&quot;dropping-particle&quot;:&quot;&quot;,&quot;non-dropping-particle&quot;:&quot;&quot;},{&quot;family&quot;:&quot;&amp; Killorn&quot;,&quot;given&quot;:&quot;R. J.&quot;,&quot;parse-names&quot;:false,&quot;dropping-particle&quot;:&quot;&quot;,&quot;non-dropping-particle&quot;:&quot;&quot;}],&quot;container-title&quot;:&quot;J. Prod. Agric, &quot;,&quot;issued&quot;:{&quot;date-parts&quot;:[[1996]]},&quot;page&quot;:&quot;39-41&quot;,&quot;volume&quot;:&quot;9&quot;},&quot;isTemporary&quot;:false},{&quot;id&quot;:&quot;90c86f1b-7f6e-31dd-a995-0f5724f97fee&quot;,&quot;itemData&quot;:{&quot;type&quot;:&quot;article-journal&quot;,&quot;id&quot;:&quot;90c86f1b-7f6e-31dd-a995-0f5724f97fee&quot;,&quot;title&quot;:&quot;Effects of biofertilizer containing N-fixer, P and K solubilizers and AM fungi on maize growth: a greenhouse trial&quot;,&quot;author&quot;:[{&quot;family&quot;:&quot;Wu&quot;,&quot;given&quot;:&quot;S.C.&quot;,&quot;parse-names&quot;:false,&quot;dropping-particle&quot;:&quot;&quot;,&quot;non-dropping-particle&quot;:&quot;&quot;},{&quot;family&quot;:&quot;Cao&quot;,&quot;given&quot;:&quot;Z.H.&quot;,&quot;parse-names&quot;:false,&quot;dropping-particle&quot;:&quot;&quot;,&quot;non-dropping-particle&quot;:&quot;&quot;},{&quot;family&quot;:&quot;Li&quot;,&quot;given&quot;:&quot;Z.G.&quot;,&quot;parse-names&quot;:false,&quot;dropping-particle&quot;:&quot;&quot;,&quot;non-dropping-particle&quot;:&quot;&quot;},{&quot;family&quot;:&quot;Cheung&quot;,&quot;given&quot;:&quot;K.C.&quot;,&quot;parse-names&quot;:false,&quot;dropping-particle&quot;:&quot;&quot;,&quot;non-dropping-particle&quot;:&quot;&quot;},{&quot;family&quot;:&quot;Wong&quot;,&quot;given&quot;:&quot;M.H.&quot;,&quot;parse-names&quot;:false,&quot;dropping-particle&quot;:&quot;&quot;,&quot;non-dropping-particle&quot;:&quot;&quot;}],&quot;container-title&quot;:&quot;Geoderma&quot;,&quot;DOI&quot;:&quot;10.1016/j.geoderma.2004.07.003&quot;,&quot;ISSN&quot;:&quot;00167061&quot;,&quot;issued&quot;:{&quot;date-parts&quot;:[[2005,3]]},&quot;issue&quot;:&quot;1-2&quot;,&quot;volume&quot;:&quot;125&quot;},&quot;isTemporary&quot;:false}],&quot;properties&quot;:{&quot;noteIndex&quot;:0},&quot;isEdited&quot;:false,&quot;manualOverride&quot;:{&quot;isManuallyOverridden&quot;:true,&quot;citeprocText&quot;:&quot;(Wetterauer &amp;#38; &amp;#38; Killorn, 1996; S. C. Wu et al., 2005)&quot;,&quot;manualOverrideText&quot;:&quot;(Wetterauer &amp; &amp; Killorn, 1996; Wu et al., 2005)&quot;},&quot;citationTag&quot;:&quot;MENDELEY_CITATION_v3_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&quot;},{&quot;citationID&quot;:&quot;MENDELEY_CITATION_dcdf1ea5-5ecc-441c-95fc-1276ee7eb676&quot;,&quot;citationItems&quot;:[{&quot;id&quot;:&quot;cb2e644f-000d-3ee0-88f5-4bc3fe6d1d8d&quot;,&quot;itemData&quot;:{&quot;type&quot;:&quot;article-journal&quot;,&quot;id&quot;:&quot;cb2e644f-000d-3ee0-88f5-4bc3fe6d1d8d&quot;,&quot;title&quot;:&quot;Mycorrhizal fungi suppress aggressive agricultural weeds&quot;,&quot;author&quot;:[{&quot;family&quot;:&quot;Rinaudo&quot;,&quot;given&quot;:&quot;Valeria&quot;,&quot;parse-names&quot;:false,&quot;dropping-particle&quot;:&quot;&quot;,&quot;non-dropping-particle&quot;:&quot;&quot;},{&quot;family&quot;:&quot;Bàrberi&quot;,&quot;given&quot;:&quot;Paolo&quot;,&quot;parse-names&quot;:false,&quot;dropping-particle&quot;:&quot;&quot;,&quot;non-dropping-particle&quot;:&quot;&quot;},{&quot;family&quot;:&quot;Giovannetti&quot;,&quot;given&quot;:&quot;Manuela&quot;,&quot;parse-names&quot;:false,&quot;dropping-particle&quot;:&quot;&quot;,&quot;non-dropping-particle&quot;:&quot;&quot;},{&quot;family&quot;:&quot;Heijden&quot;,&quot;given&quot;:&quot;Marcel G. A.&quot;,&quot;parse-names&quot;:false,&quot;dropping-particle&quot;:&quot;&quot;,&quot;non-dropping-particle&quot;:&quot;van der&quot;}],&quot;container-title&quot;:&quot;Plant and Soil&quot;,&quot;DOI&quot;:&quot;10.1007/s11104-009-0202-z&quot;,&quot;ISSN&quot;:&quot;0032-079X&quot;,&quot;issued&quot;:{&quot;date-parts&quot;:[[2010,8,29]]},&quot;issue&quot;:&quot;1-2&quot;,&quot;volume&quot;:&quot;333&quot;},&quot;isTemporary&quot;:false}],&quot;properties&quot;:{&quot;noteIndex&quot;:0},&quot;isEdited&quot;:false,&quot;manualOverride&quot;:{&quot;isManuallyOverridden&quot;:false,&quot;citeprocText&quot;:&quot;(Rinaudo et al., 2010)&quot;,&quot;manualOverrideText&quot;:&quot;&quot;},&quot;citationTag&quot;:&quot;MENDELEY_CITATION_v3_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&quot;},{&quot;citationID&quot;:&quot;MENDELEY_CITATION_04e0d7d9-6259-4bf8-a2b0-0bfbdb046fd5&quot;,&quot;citationItems&quot;:[{&quot;id&quot;:&quot;c48807c8-df53-3e28-a425-156c62f12240&quot;,&quot;itemData&quot;:{&quot;type&quot;:&quot;article-journal&quot;,&quot;id&quot;:&quot;c48807c8-df53-3e28-a425-156c62f12240&quot;,&quot;title&quot;:&quot;Arbuscular mycorrhizal fungi as (agro)ecosystem engineers&quot;,&quot;author&quot;:[{&quot;family&quot;:&quot;Cameron&quot;,&quot;given&quot;:&quot;Duncan D.&quot;,&quot;parse-names&quot;:false,&quot;dropping-particle&quot;:&quot;&quot;,&quot;non-dropping-particle&quot;:&quot;&quot;}],&quot;container-title&quot;:&quot;Plant and Soil&quot;,&quot;DOI&quot;:&quot;10.1007/s11104-010-0361-y&quot;,&quot;ISSN&quot;:&quot;0032-079X&quot;,&quot;issued&quot;:{&quot;date-parts&quot;:[[2010,8,8]]},&quot;issue&quot;:&quot;1-2&quot;,&quot;volume&quot;:&quot;333&quot;},&quot;isTemporary&quot;:false}],&quot;properties&quot;:{&quot;noteIndex&quot;:0},&quot;isEdited&quot;:false,&quot;manualOverride&quot;:{&quot;isManuallyOverridden&quot;:false,&quot;citeprocText&quot;:&quot;(Cameron, 2010)&quot;,&quot;manualOverrideText&quot;:&quot;&quot;},&quot;citationTag&quot;:&quot;MENDELEY_CITATION_v3_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&quot;},{&quot;citationID&quot;:&quot;MENDELEY_CITATION_8241a69d-ed7e-421d-96f0-b795e324881f&quot;,&quot;citationItems&quot;:[{&quot;id&quot;:&quot;c48807c8-df53-3e28-a425-156c62f12240&quot;,&quot;itemData&quot;:{&quot;type&quot;:&quot;article-journal&quot;,&quot;id&quot;:&quot;c48807c8-df53-3e28-a425-156c62f12240&quot;,&quot;title&quot;:&quot;Arbuscular mycorrhizal fungi as (agro)ecosystem engineers&quot;,&quot;author&quot;:[{&quot;family&quot;:&quot;Cameron&quot;,&quot;given&quot;:&quot;Duncan D.&quot;,&quot;parse-names&quot;:false,&quot;dropping-particle&quot;:&quot;&quot;,&quot;non-dropping-particle&quot;:&quot;&quot;}],&quot;container-title&quot;:&quot;Plant and Soil&quot;,&quot;DOI&quot;:&quot;10.1007/s11104-010-0361-y&quot;,&quot;ISSN&quot;:&quot;0032-079X&quot;,&quot;issued&quot;:{&quot;date-parts&quot;:[[2010,8,8]]},&quot;issue&quot;:&quot;1-2&quot;,&quot;volume&quot;:&quot;333&quot;},&quot;isTemporary&quot;:false}],&quot;properties&quot;:{&quot;noteIndex&quot;:0},&quot;isEdited&quot;:false,&quot;manualOverride&quot;:{&quot;isManuallyOverridden&quot;:false,&quot;citeprocText&quot;:&quot;(Cameron, 2010)&quot;,&quot;manualOverrideText&quot;:&quot;&quot;},&quot;citationTag&quot;:&quot;MENDELEY_CITATION_v3_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&quot;},{&quot;citationID&quot;:&quot;MENDELEY_CITATION_bbdbaf49-d8c2-497b-abb4-6acaa3da9974&quot;,&quot;citationItems&quot;:[{&quot;id&quot;:&quot;8b42890b-b5cb-343a-a27f-e96102356f99&quot;,&quot;itemData&quot;:{&quot;type&quot;:&quot;article-journal&quot;,&quot;id&quot;:&quot;8b42890b-b5cb-343a-a27f-e96102356f99&quot;,&quot;title&quot;:&quot;Effectiveness of arbuscular mycorrhizal fungi in protection of maize (Zea mays L.) against witchweed (Striga hermonthica Del Benth) infestation&quot;,&quot;author&quot;:[{&quot;family&quot;:&quot;Othira&quot;,&quot;given&quot;:&quot;J. O.&quot;,&quot;parse-names&quot;:false,&quot;dropping-particle&quot;:&quot;&quot;,&quot;non-dropping-particle&quot;:&quot;&quot;}],&quot;container-title&quot;:&quot;Journal of Agricultural Biotechnology and Sustainable Development&quot;,&quot;DOI&quot;:&quot;10.5897/JABSD12.007&quot;,&quot;ISSN&quot;:&quot;21412340&quot;,&quot;issued&quot;:{&quot;date-parts&quot;:[[2012,6]]},&quot;issue&quot;:&quot;3&quot;,&quot;volume&quot;:&quot;4&quot;},&quot;isTemporary&quot;:false}],&quot;properties&quot;:{&quot;noteIndex&quot;:0},&quot;isEdited&quot;:false,&quot;manualOverride&quot;:{&quot;isManuallyOverridden&quot;:false,&quot;citeprocText&quot;:&quot;(Othira, 2012)&quot;,&quot;manualOverrideText&quot;:&quot;&quot;},&quot;citationTag&quot;:&quot;MENDELEY_CITATION_v3_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&quot;},{&quot;citationID&quot;:&quot;MENDELEY_CITATION_f3dc5a5e-c736-42c1-8df9-10d3ce09b1f9&quot;,&quot;citationItems&quot;:[{&quot;id&quot;:&quot;038db8b3-60d8-3f08-95f7-fd7c7709f8d4&quot;,&quot;itemData&quot;:{&quot;type&quot;:&quot;article&quot;,&quot;id&quot;:&quot;038db8b3-60d8-3f08-95f7-fd7c7709f8d4&quot;,&quot;title&quot;:&quot;Mycorrhiza-induced resistance: More than the sum of its parts?&quot;,&quot;author&quot;:[{&quot;family&quot;:&quot;Cameron&quot;,&quot;given&quot;:&quot;Duncan D.&quot;,&quot;parse-names&quot;:false,&quot;dropping-particle&quot;:&quot;&quot;,&quot;non-dropping-particle&quot;:&quot;&quot;},{&quot;family&quot;:&quot;Neal&quot;,&quot;given&quot;:&quot;Andrew L.&quot;,&quot;parse-names&quot;:false,&quot;dropping-particle&quot;:&quot;&quot;,&quot;non-dropping-particle&quot;:&quot;&quot;},{&quot;family&quot;:&quot;Wees&quot;,&quot;given&quot;:&quot;Saskia C.M.&quot;,&quot;parse-names&quot;:false,&quot;dropping-particle&quot;:&quot;&quot;,&quot;non-dropping-particle&quot;:&quot;van&quot;},{&quot;family&quot;:&quot;Ton&quot;,&quot;given&quot;:&quot;Jurriaan&quot;,&quot;parse-names&quot;:false,&quot;dropping-particle&quot;:&quot;&quot;,&quot;non-dropping-particle&quot;:&quot;&quot;}],&quot;container-title&quot;:&quot;Trends in Plant Science&quot;,&quot;DOI&quot;:&quot;10.1016/j.tplants.2013.06.004&quot;,&quot;ISSN&quot;:&quot;13601385&quot;,&quot;PMID&quot;:&quot;23871659&quot;,&quot;issued&quot;:{&quot;date-parts&quot;:[[2013,10]]},&quot;page&quot;:&quot;539-545&quot;,&quot;abstract&quot;:&quot;Plants can develop an enhanced defensive capacity in response to infection by arbuscular mycorrhizal fungi (AMF). This 'mycorrhiza-induced resistance' (MIR) provides systemic protection against a wide range of attackers and shares characteristics with systemic acquired resistance (SAR) after pathogen infection and induced systemic resistance (ISR) following root colonisation by non-pathogenic rhizobacteria. It is commonly assumed that fungal stimulation of the plant immune system is solely responsible for MIR. In this opinion article, we present a novel model of MIR that integrates different aspects of the induced resistance phenomenon. We propose that MIR is a cumulative effect of direct plant responses to mycorrhizal infection and indirect immune responses to ISR-eliciting rhizobacteria in the mycorrhizosphere. © 2013.&quot;,&quot;issue&quot;:&quot;10&quot;,&quot;volume&quot;:&quot;18&quot;},&quot;isTemporary&quot;:false}],&quot;properties&quot;:{&quot;noteIndex&quot;:0},&quot;isEdited&quot;:false,&quot;manualOverride&quot;:{&quot;isManuallyOverridden&quot;:false,&quot;citeprocText&quot;:&quot;(Cameron et al., 2013b)&quot;,&quot;manualOverrideText&quot;:&quot;&quot;},&quot;citationTag&quot;:&quot;MENDELEY_CITATION_v3_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&quot;},{&quot;citationID&quot;:&quot;MENDELEY_CITATION_0f3c0104-f359-421a-ab15-8580f5460443&quot;,&quot;citationItems&quot;:[{&quot;id&quot;:&quot;8929baee-6dcb-3407-801e-e5cd35363dbf&quot;,&quot;itemData&quot;:{&quot;type&quot;:&quot;article-journal&quot;,&quot;id&quot;:&quot;8929baee-6dcb-3407-801e-e5cd35363dbf&quot;,&quot;title&quot;:&quot;From waste products to ecochemicals: Fifty years research of plant secondary metabolism&quot;,&quot;author&quot;:[{&quot;family&quot;:&quot;Hartmann&quot;,&quot;given&quot;:&quot;Thomas&quot;,&quot;parse-names&quot;:false,&quot;dropping-particle&quot;:&quot;&quot;,&quot;non-dropping-particle&quot;:&quot;&quot;}],&quot;container-title&quot;:&quot;Phytochemistry&quot;,&quot;DOI&quot;:&quot;10.1016/j.phytochem.2007.09.017&quot;,&quot;ISSN&quot;:&quot;00319422&quot;,&quot;issued&quot;:{&quot;date-parts&quot;:[[2007,11]]},&quot;issue&quot;:&quot;22-24&quot;,&quot;volume&quot;:&quot;68&quot;},&quot;isTemporary&quot;:false}],&quot;properties&quot;:{&quot;noteIndex&quot;:0},&quot;isEdited&quot;:false,&quot;manualOverride&quot;:{&quot;isManuallyOverridden&quot;:false,&quot;citeprocText&quot;:&quot;(Hartmann, 2007)&quot;,&quot;manualOverrideText&quot;:&quot;&quot;},&quot;citationTag&quot;:&quot;MENDELEY_CITATION_v3_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&quot;},{&quot;citationID&quot;:&quot;MENDELEY_CITATION_10382bea-4aa9-40c1-a899-0d12a76fe1fa&quot;,&quot;citationItems&quot;:[{&quot;id&quot;:&quot;8a553ab8-134a-3a38-b61c-9ca87c2fbce7&quot;,&quot;itemData&quot;:{&quot;type&quot;:&quot;article-journal&quot;,&quot;id&quot;:&quot;8a553ab8-134a-3a38-b61c-9ca87c2fbce7&quot;,&quot;title&quot;:&quot;Significance of Inducible Defense-related Proteins in Infected Plants&quot;,&quot;author&quot;:[{&quot;family&quot;:&quot;Loon&quot;,&quot;given&quot;:&quot;L.C.&quot;,&quot;parse-names&quot;:false,&quot;dropping-particle&quot;:&quot;&quot;,&quot;non-dropping-particle&quot;:&quot;van&quot;},{&quot;family&quot;:&quot;Rep&quot;,&quot;given&quot;:&quot;M.&quot;,&quot;parse-names&quot;:false,&quot;dropping-particle&quot;:&quot;&quot;,&quot;non-dropping-particle&quot;:&quot;&quot;},{&quot;family&quot;:&quot;Pieterse&quot;,&quot;given&quot;:&quot;C.M.J.&quot;,&quot;parse-names&quot;:false,&quot;dropping-particle&quot;:&quot;&quot;,&quot;non-dropping-particle&quot;:&quot;&quot;}],&quot;container-title&quot;:&quot;Annual Review of Phytopathology&quot;,&quot;DOI&quot;:&quot;10.1146/annurev.phyto.44.070505.143425&quot;,&quot;ISSN&quot;:&quot;0066-4286&quot;,&quot;issued&quot;:{&quot;date-parts&quot;:[[2006,9]]},&quot;issue&quot;:&quot;1&quot;,&quot;volume&quot;:&quot;44&quot;},&quot;isTemporary&quot;:false}],&quot;properties&quot;:{&quot;noteIndex&quot;:0},&quot;isEdited&quot;:false,&quot;manualOverride&quot;:{&quot;isManuallyOverridden&quot;:false,&quot;citeprocText&quot;:&quot;(van Loon et al., 2006)&quot;,&quot;manualOverrideText&quot;:&quot;&quot;},&quot;citationTag&quot;:&quot;MENDELEY_CITATION_v3_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&quot;},{&quot;citationID&quot;:&quot;MENDELEY_CITATION_68fcb850-b061-4292-b99c-bc3e0c8d45c5&quot;,&quot;citationItems&quot;:[{&quot;id&quot;:&quot;9f2ede5b-1d8e-3c70-978b-50f4d3036219&quot;,&quot;itemData&quot;:{&quot;type&quot;:&quot;article-journal&quot;,&quot;id&quot;:&quot;9f2ede5b-1d8e-3c70-978b-50f4d3036219&quot;,&quot;title&quot;:&quot;Influence of abiotic stress signals on secondary metabolites in plants&quot;,&quot;author&quot;:[{&quot;family&quot;:&quot;Akula&quot;,&quot;given&quot;:&quot;Ramakrishna&quot;,&quot;parse-names&quot;:false,&quot;dropping-particle&quot;:&quot;&quot;,&quot;non-dropping-particle&quot;:&quot;&quot;},{&quot;family&quot;:&quot;Ravishankar&quot;,&quot;given&quot;:&quot;Gokare Aswathanarayana&quot;,&quot;parse-names&quot;:false,&quot;dropping-particle&quot;:&quot;&quot;,&quot;non-dropping-particle&quot;:&quot;&quot;}],&quot;container-title&quot;:&quot;Plant Signaling &amp; Behavior&quot;,&quot;DOI&quot;:&quot;10.4161/psb.6.11.17613&quot;,&quot;ISSN&quot;:&quot;1559-2324&quot;,&quot;issued&quot;:{&quot;date-parts&quot;:[[2011,11,31]]},&quot;issue&quot;:&quot;11&quot;,&quot;volume&quot;:&quot;6&quot;},&quot;isTemporary&quot;:false}],&quot;properties&quot;:{&quot;noteIndex&quot;:0},&quot;isEdited&quot;:false,&quot;manualOverride&quot;:{&quot;isManuallyOverridden&quot;:false,&quot;citeprocText&quot;:&quot;(Akula &amp;#38; Ravishankar, 2011)&quot;,&quot;manualOverrideText&quot;:&quot;&quot;},&quot;citationTag&quot;:&quot;MENDELEY_CITATION_v3_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&quot;},{&quot;citationID&quot;:&quot;MENDELEY_CITATION_588bf5ef-52dd-4d6e-b19a-008020afe282&quot;,&quot;citationItems&quot;:[{&quot;id&quot;:&quot;fa8b175a-948c-3330-b216-24d613d2f906&quot;,&quot;itemData&quot;:{&quot;type&quot;:&quot;article-journal&quot;,&quot;id&quot;:&quot;fa8b175a-948c-3330-b216-24d613d2f906&quot;,&quot;title&quot;:&quot;Positive impact of abiotic stress on medicinal and aromatic plants&quot;,&quot;author&quot;:[{&quot;family&quot;:&quot;Pradhan&quot;,&quot;given&quot;:&quot;J.&quot;,&quot;parse-names&quot;:false,&quot;dropping-particle&quot;:&quot;&quot;,&quot;non-dropping-particle&quot;:&quot;&quot;},{&quot;family&quot;:&quot;Sahoo&quot;,&quot;given&quot;:&quot;S.K.&quot;,&quot;parse-names&quot;:false,&quot;dropping-particle&quot;:&quot;&quot;,&quot;non-dropping-particle&quot;:&quot;&quot;},{&quot;family&quot;:&quot;Lalotra&quot;,&quot;given&quot;:&quot;S.&quot;,&quot;parse-names&quot;:false,&quot;dropping-particle&quot;:&quot;&quot;,&quot;non-dropping-particle&quot;:&quot;&quot;},{&quot;family&quot;:&quot;Sarma&quot;,&quot;given&quot;:&quot;R.S.&quot;,&quot;parse-names&quot;:false,&quot;dropping-particle&quot;:&quot;&quot;,&quot;non-dropping-particle&quot;:&quot;&quot;}],&quot;container-title&quot;:&quot;International journal of plant sciences &quot;,&quot;DOI&quot;:&quot;10.15740/HAS/IJPS/12.2/309-313&quot;,&quot;ISSN&quot;:&quot;09731547&quot;,&quot;issued&quot;:{&quot;date-parts&quot;:[[2017,7,15]]},&quot;issue&quot;:&quot;2&quot;,&quot;volume&quot;:&quot;12&quot;},&quot;isTemporary&quot;:false}],&quot;properties&quot;:{&quot;noteIndex&quot;:0},&quot;isEdited&quot;:false,&quot;manualOverride&quot;:{&quot;isManuallyOverridden&quot;:false,&quot;citeprocText&quot;:&quot;(Pradhan et al., 2017)&quot;,&quot;manualOverrideText&quot;:&quot;&quot;},&quot;citationTag&quot;:&quot;MENDELEY_CITATION_v3_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&quot;},{&quot;citationID&quot;:&quot;MENDELEY_CITATION_a161fdc0-0085-415a-98a4-5e23e059fe44&quot;,&quot;citationItems&quot;:[{&quot;id&quot;:&quot;157e545b-3472-3b26-93f7-3b60e5a4763b&quot;,&quot;itemData&quot;:{&quot;type&quot;:&quot;article&quot;,&quot;id&quot;:&quot;157e545b-3472-3b26-93f7-3b60e5a4763b&quot;,&quot;title&quot;:&quot;Plant secondary metabolite biosynthesis and transcriptional regulation in response to biotic and abiotic stress conditions&quot;,&quot;author&quot;:[{&quot;family&quot;:&quot;Jan&quot;,&quot;given&quot;:&quot;Rahmatullah&quot;,&quot;parse-names&quot;:false,&quot;dropping-particle&quot;:&quot;&quot;,&quot;non-dropping-particle&quot;:&quot;&quot;},{&quot;family&quot;:&quot;Asaf&quot;,&quot;given&quot;:&quot;Sajjad&quot;,&quot;parse-names&quot;:false,&quot;dropping-particle&quot;:&quot;&quot;,&quot;non-dropping-particle&quot;:&quot;&quot;},{&quot;family&quot;:&quot;Numan&quot;,&quot;given&quot;:&quot;Muhammad&quot;,&quot;parse-names&quot;:false,&quot;dropping-particle&quot;:&quot;&quot;,&quot;non-dropping-particle&quot;:&quot;&quot;},{&quot;family&quot;:&quot;Lubna&quot;,&quot;given&quot;:&quot;&quot;,&quot;parse-names&quot;:false,&quot;dropping-particle&quot;:&quot;&quot;,&quot;non-dropping-particle&quot;:&quot;&quot;},{&quot;family&quot;:&quot;Kim&quot;,&quot;given&quot;:&quot;Kyung Min&quot;,&quot;parse-names&quot;:false,&quot;dropping-particle&quot;:&quot;&quot;,&quot;non-dropping-particle&quot;:&quot;&quot;}],&quot;container-title&quot;:&quot;Agronomy&quot;,&quot;DOI&quot;:&quot;10.3390/agronomy11050968&quot;,&quot;ISSN&quot;:&quot;20734395&quot;,&quot;issued&quot;:{&quot;date-parts&quot;:[[2021]]},&quot;abstract&quot;:&quot;Plant secondary metabolites (SMs) play important roles in plant survival and in creating ecological connections between other species. In addition to providing a variety of valuable natural products, secondary metabolites help protect plants against pathogenic attacks and environmental stresses. Given their sessile nature, plants must protect themselves from such situations through accumulation of these bioactive compounds. Indeed, secondary metabolites act as herbivore deterrents, barriers against pathogen invasion, and mitigators of oxidative stress. The accumulation of SMs are highly dependent on environmental factors such as light, temperature, soil water, soil fertility, and salinity. For most plants, a change in an individual environmental factor can alter the content of secondary metabolites even if other factors remain constant. In this review, we focus on how individual environmental factors affect the accumulation of secondary metabolites in plants during both biotic and abiotic stress conditions. Furthermore, we discuss the application of abiotic and biotic elicitors in culture systems as well as their stimulating effects on the accumulation of secondary metabolites. Specifically, we discuss the shikimate pathway and the aromatic amino acids produced in this pathway, which are the precursors of a range of secondary metabolites including terpenoids, alkaloids, and sulfur-and nitrogen-containing compounds. We also detail how the biosynthesis of important metabolites is altered by several genes related to secondary metabolite biosynthesis pathways. Genes responsible for secondary metabolite biosynthesis in various plant species during stress conditions are regulated by transcriptional factors such as WRKY, MYB, AP2/ERF, bZIP, bHLH, and NAC, which are also discussed here.&quot;,&quot;publisher&quot;:&quot;MDPI AG&quot;,&quot;issue&quot;:&quot;5&quot;,&quot;volume&quot;:&quot;11&quot;},&quot;isTemporary&quot;:false}],&quot;properties&quot;:{&quot;noteIndex&quot;:0},&quot;isEdited&quot;:false,&quot;manualOverride&quot;:{&quot;isManuallyOverridden&quot;:false,&quot;citeprocText&quot;:&quot;(Jan et al., 2021)&quot;,&quot;manualOverrideText&quot;:&quot;&quot;},&quot;citationTag&quot;:&quot;MENDELEY_CITATION_v3_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&quot;},{&quot;citationID&quot;:&quot;MENDELEY_CITATION_fa25bd95-7186-4914-8d85-d1541c39f1c2&quot;,&quot;citationItems&quot;:[{&quot;id&quot;:&quot;35afc8ec-9f0d-3c01-ba49-33563d51300b&quot;,&quot;itemData&quot;:{&quot;type&quot;:&quot;chapter&quot;,&quot;id&quot;:&quot;35afc8ec-9f0d-3c01-ba49-33563d51300b&quot;,&quot;title&quot;:&quot;Signalling in Arbuscular Mycorrhiza: Facts and Hypotheses&quot;,&quot;author&quot;:[{&quot;family&quot;:&quot;Vierheilig&quot;,&quot;given&quot;:&quot;Horst&quot;,&quot;parse-names&quot;:false,&quot;dropping-particle&quot;:&quot;&quot;,&quot;non-dropping-particle&quot;:&quot;&quot;},{&quot;family&quot;:&quot;Piché&quot;,&quot;given&quot;:&quot;Yves&quot;,&quot;parse-names&quot;:false,&quot;dropping-particle&quot;:&quot;&quot;,&quot;non-dropping-particle&quot;:&quot;&quot;}],&quot;DOI&quot;:&quot;10.1007/978-1-4757-5235-9_3&quot;,&quot;issued&quot;:{&quot;date-parts&quot;:[[2002]]},&quot;page&quot;:&quot;23-39&quot;,&quot;volume&quot;:&quot;505&quot;},&quot;isTemporary&quot;:false},{&quot;id&quot;:&quot;af0ee65b-9975-39cc-b586-e11d6c042106&quot;,&quot;itemData&quot;:{&quot;type&quot;:&quot;article-journal&quot;,&quot;id&quot;:&quot;af0ee65b-9975-39cc-b586-e11d6c042106&quot;,&quot;title&quot;:&quot;Isolation and Identification of a Phosphate Deficiency-Induced &lt;i&gt;C&lt;/i&gt; -Glycosylflavonoid That Stimulates Arbuscular Mycorrhiza Formation in Melon Roots&quot;,&quot;author&quot;:[{&quot;family&quot;:&quot;Akiyama&quot;,&quot;given&quot;:&quot;Kohki&quot;,&quot;parse-names&quot;:false,&quot;dropping-particle&quot;:&quot;&quot;,&quot;non-dropping-particle&quot;:&quot;&quot;},{&quot;family&quot;:&quot;Matsuoka&quot;,&quot;given&quot;:&quot;Hiroyuki&quot;,&quot;parse-names&quot;:false,&quot;dropping-particle&quot;:&quot;&quot;,&quot;non-dropping-particle&quot;:&quot;&quot;},{&quot;family&quot;:&quot;Hayashi&quot;,&quot;given&quot;:&quot;Hideo&quot;,&quot;parse-names&quot;:false,&quot;dropping-particle&quot;:&quot;&quot;,&quot;non-dropping-particle&quot;:&quot;&quot;}],&quot;container-title&quot;:&quot;Molecular Plant-Microbe Interactions®&quot;,&quot;DOI&quot;:&quot;10.1094/MPMI.2002.15.4.334&quot;,&quot;ISSN&quot;:&quot;0894-0282&quot;,&quot;issued&quot;:{&quot;date-parts&quot;:[[2002,4]]},&quot;abstract&quot;:&quot;&lt;p&gt;Melon (Cucumis melo) roots were inoculated with or without the arbuscular mycorrhizal (AM) fungus Glomus caledonium under low phosphate conditions. High-performance liquid chromatography analysis of the secondary metabolites in butanol extracts from roots revealed that the level of one compound in noninoculated roots showed a significant increase from 30 days postinoculation. No accumulation was observed in mycorrhizal roots and high-phosphate-supplemented roots, indicating that the accumulation of the compound was caused by a phosphate deficiency. The compound was isolated by column chromatography and identified by spectroscopic methods to be a C-glycosylflavone, isovitexin 2″-O-β-glucoside. The effect of the compound on mycorrhizal colonization in melon roots was examined under low (0.05 mM) and high (2 mM) phosphate conditions. The degree of mycorrhizal colonization in control roots grown under high phosphate conditions (8.8%) was much lower than when grown under low phosphate conditions (22%). The treatment of roots with the compound at concentrations of 20 and 50 μM increased root colonization under both low and high phosphate conditions. In particular, the degrees of mycorrhizal colonization in treated roots grown under high phosphate conditions (25 and 22% at 20 and 50 μM, respectively) were comparable to that in untreated control roots grown under low phosphate conditions (22%). These findings suggest that the phosphate deficiency-induced C-glycosylflavonoid is involved in the regulation of AM fungal colonization in melon roots.&lt;/p&gt;&quot;,&quot;issue&quot;:&quot;4&quot;,&quot;volume&quot;:&quot;15&quot;},&quot;isTemporary&quot;:false}],&quot;properties&quot;:{&quot;noteIndex&quot;:0},&quot;isEdited&quot;:false,&quot;manualOverride&quot;:{&quot;isManuallyOverridden&quot;:false,&quot;citeprocText&quot;:&quot;(Akiyama et al., 2002; Vierheilig &amp;#38; Piché, 2002a)&quot;,&quot;manualOverrideText&quot;:&quot;&quot;},&quot;citationTag&quot;:&quot;MENDELEY_CITATION_v3_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&quot;},{&quot;citationID&quot;:&quot;MENDELEY_CITATION_5aa5eccc-b398-4759-b6dd-e0fcbe1eab9e&quot;,&quot;citationItems&quot;:[{&quot;id&quot;:&quot;5083acd8-63f8-3cf2-8379-bc1bfe8075ac&quot;,&quot;itemData&quot;:{&quot;type&quot;:&quot;article-journal&quot;,&quot;id&quot;:&quot;5083acd8-63f8-3cf2-8379-bc1bfe8075ac&quot;,&quot;title&quot;:&quot;Accumulation of reactive oxygen species in arbuscular mycorrhizal roots&quot;,&quot;author&quot;:[{&quot;family&quot;:&quot;Fester&quot;,&quot;given&quot;:&quot;T.&quot;,&quot;parse-names&quot;:false,&quot;dropping-particle&quot;:&quot;&quot;,&quot;non-dropping-particle&quot;:&quot;&quot;},{&quot;family&quot;:&quot;Hause&quot;,&quot;given&quot;:&quot;G.&quot;,&quot;parse-names&quot;:false,&quot;dropping-particle&quot;:&quot;&quot;,&quot;non-dropping-particle&quot;:&quot;&quot;}],&quot;container-title&quot;:&quot;Mycorrhiza&quot;,&quot;DOI&quot;:&quot;10.1007/s00572-005-0363-4&quot;,&quot;ISSN&quot;:&quot;0940-6360&quot;,&quot;issued&quot;:{&quot;date-parts&quot;:[[2005,7,4]]},&quot;issue&quot;:&quot;5&quot;,&quot;volume&quot;:&quot;15&quot;},&quot;isTemporary&quot;:false},{&quot;id&quot;:&quot;240dde0e-22c9-3636-ae31-6c3040693c6d&quot;,&quot;itemData&quot;:{&quot;type&quot;:&quot;article-journal&quot;,&quot;id&quot;:&quot;240dde0e-22c9-3636-ae31-6c3040693c6d&quot;,&quot;title&quot;:&quot;Hormonal and transcriptional profiles highlight common and differential host responses to arbuscular mycorrhizal fungi and the regulation of the oxylipin pathway&quot;,&quot;author&quot;:[{&quot;family&quot;:&quot;López-Ráez&quot;,&quot;given&quot;:&quot;Juan A.&quot;,&quot;parse-names&quot;:false,&quot;dropping-particle&quot;:&quot;&quot;,&quot;non-dropping-particle&quot;:&quot;&quot;},{&quot;family&quot;:&quot;Verhage&quot;,&quot;given&quot;:&quot;Adriaan&quot;,&quot;parse-names&quot;:false,&quot;dropping-particle&quot;:&quot;&quot;,&quot;non-dropping-particle&quot;:&quot;&quot;},{&quot;family&quot;:&quot;Fernández&quot;,&quot;given&quot;:&quot;Iván&quot;,&quot;parse-names&quot;:false,&quot;dropping-particle&quot;:&quot;&quot;,&quot;non-dropping-particle&quot;:&quot;&quot;},{&quot;family&quot;:&quot;García&quot;,&quot;given&quot;:&quot;Juan M.&quot;,&quot;parse-names&quot;:false,&quot;dropping-particle&quot;:&quot;&quot;,&quot;non-dropping-particle&quot;:&quot;&quot;},{&quot;family&quot;:&quot;Azcón-Aguilar&quot;,&quot;given&quot;:&quot;Concepción&quot;,&quot;parse-names&quot;:false,&quot;dropping-particle&quot;:&quot;&quot;,&quot;non-dropping-particle&quot;:&quot;&quot;},{&quot;family&quot;:&quot;Flors&quot;,&quot;given&quot;:&quot;Victor&quot;,&quot;parse-names&quot;:false,&quot;dropping-particle&quot;:&quot;&quot;,&quot;non-dropping-particle&quot;:&quot;&quot;},{&quot;family&quot;:&quot;Pozo&quot;,&quot;given&quot;:&quot;María J.&quot;,&quot;parse-names&quot;:false,&quot;dropping-particle&quot;:&quot;&quot;,&quot;non-dropping-particle&quot;:&quot;&quot;}],&quot;container-title&quot;:&quot;Journal of Experimental Botany&quot;,&quot;DOI&quot;:&quot;10.1093/jxb/erq089&quot;,&quot;ISSN&quot;:&quot;1460-2431&quot;,&quot;issued&quot;:{&quot;date-parts&quot;:[[2010,6]]},&quot;issue&quot;:&quot;10&quot;,&quot;volume&quot;:&quot;61&quot;},&quot;isTemporary&quot;:false},{&quot;id&quot;:&quot;47e24471-2ea3-3c99-aff4-dc178e5cfa81&quot;,&quot;itemData&quot;:{&quot;type&quot;:&quot;article-journal&quot;,&quot;id&quot;:&quot;47e24471-2ea3-3c99-aff4-dc178e5cfa81&quot;,&quot;title&quot;:&quot;AM symbiosis alters phenolic acid content in tomato roots&quot;,&quot;author&quot;:[{&quot;family&quot;:&quot;López-Ráez&quot;,&quot;given&quot;:&quot;Juan A.&quot;,&quot;parse-names&quot;:false,&quot;dropping-particle&quot;:&quot;&quot;,&quot;non-dropping-particle&quot;:&quot;&quot;},{&quot;family&quot;:&quot;Flors&quot;,&quot;given&quot;:&quot;Victor&quot;,&quot;parse-names&quot;:false,&quot;dropping-particle&quot;:&quot;&quot;,&quot;non-dropping-particle&quot;:&quot;&quot;},{&quot;family&quot;:&quot;García&quot;,&quot;given&quot;:&quot;Juan M.&quot;,&quot;parse-names&quot;:false,&quot;dropping-particle&quot;:&quot;&quot;,&quot;non-dropping-particle&quot;:&quot;&quot;},{&quot;family&quot;:&quot;Pozo&quot;,&quot;given&quot;:&quot;Maria J.&quot;,&quot;parse-names&quot;:false,&quot;dropping-particle&quot;:&quot;&quot;,&quot;non-dropping-particle&quot;:&quot;&quot;}],&quot;container-title&quot;:&quot;Plant Signaling &amp; Behavior&quot;,&quot;DOI&quot;:&quot;10.4161/psb.5.9.12659&quot;,&quot;ISSN&quot;:&quot;1559-2324&quot;,&quot;issued&quot;:{&quot;date-parts&quot;:[[2010,9,31]]},&quot;issue&quot;:&quot;9&quot;,&quot;volume&quot;:&quot;5&quot;},&quot;isTemporary&quot;:false}],&quot;properties&quot;:{&quot;noteIndex&quot;:0},&quot;isEdited&quot;:false,&quot;manualOverride&quot;:{&quot;isManuallyOverridden&quot;:false,&quot;citeprocText&quot;:&quot;(Fester &amp;#38; Hause, 2005; López-Ráez, Flors, et al., 2010; López-Ráez, Verhage, et al., 2010a)&quot;,&quot;manualOverrideText&quot;:&quot;&quot;},&quot;citationTag&quot;:&quot;MENDELEY_CITATION_v3_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&quot;},{&quot;citationID&quot;:&quot;MENDELEY_CITATION_b434a3e9-ba52-4444-85c0-2545cf6c6b4c&quot;,&quot;citationItems&quot;:[{&quot;id&quot;:&quot;b6a1cb9c-db84-32d8-b87a-7dcc8173fe59&quot;,&quot;itemData&quot;:{&quot;type&quot;:&quot;article-journal&quot;,&quot;id&quot;:&quot;b6a1cb9c-db84-32d8-b87a-7dcc8173fe59&quot;,&quot;title&quot;:&quot;Arbuscular mycorrhizal symbiosis is accompanied by local and systemic alterations in gene expression and an increase in disease resistance in the shoots&quot;,&quot;author&quot;:[{&quot;family&quot;:&quot;Liu&quot;,&quot;given&quot;:&quot;Jinyuan&quot;,&quot;parse-names&quot;:false,&quot;dropping-particle&quot;:&quot;&quot;,&quot;non-dropping-particle&quot;:&quot;&quot;},{&quot;family&quot;:&quot;Maldonado-Mendoza&quot;,&quot;given&quot;:&quot;Ignacio&quot;,&quot;parse-names&quot;:false,&quot;dropping-particle&quot;:&quot;&quot;,&quot;non-dropping-particle&quot;:&quot;&quot;},{&quot;family&quot;:&quot;Lopez-Meyer&quot;,&quot;given&quot;:&quot;Melina&quot;,&quot;parse-names&quot;:false,&quot;dropping-particle&quot;:&quot;&quot;,&quot;non-dropping-particle&quot;:&quot;&quot;},{&quot;family&quot;:&quot;Cheung&quot;,&quot;given&quot;:&quot;Foo&quot;,&quot;parse-names&quot;:false,&quot;dropping-particle&quot;:&quot;&quot;,&quot;non-dropping-particle&quot;:&quot;&quot;},{&quot;family&quot;:&quot;Town&quot;,&quot;given&quot;:&quot;Christopher D.&quot;,&quot;parse-names&quot;:false,&quot;dropping-particle&quot;:&quot;&quot;,&quot;non-dropping-particle&quot;:&quot;&quot;},{&quot;family&quot;:&quot;Harrison&quot;,&quot;given&quot;:&quot;Maria J.&quot;,&quot;parse-names&quot;:false,&quot;dropping-particle&quot;:&quot;&quot;,&quot;non-dropping-particle&quot;:&quot;&quot;}],&quot;container-title&quot;:&quot;The Plant Journal&quot;,&quot;DOI&quot;:&quot;10.1111/j.1365-313X.2007.03069.x&quot;,&quot;ISSN&quot;:&quot;09607412&quot;,&quot;issued&quot;:{&quot;date-parts&quot;:[[2007,4,5]]},&quot;issue&quot;:&quot;3&quot;,&quot;volume&quot;:&quot;50&quot;},&quot;isTemporary&quot;:false},{&quot;id&quot;:&quot;d78f92d8-1fd8-36dd-86b7-f61c0ab39091&quot;,&quot;itemData&quot;:{&quot;type&quot;:&quot;article-journal&quot;,&quot;id&quot;:&quot;d78f92d8-1fd8-36dd-86b7-f61c0ab39091&quot;,&quot;title&quot;:&quot;Are the rates of photosynthesis stimulated by the carbon sink strength of rhizobial and arbuscular mycorrhizal symbioses?&quot;,&quot;author&quot;:[{&quot;family&quot;:&quot;Kaschuk&quot;,&quot;given&quot;:&quot;Glaciela&quot;,&quot;parse-names&quot;:false,&quot;dropping-particle&quot;:&quot;&quot;,&quot;non-dropping-particle&quot;:&quot;&quot;},{&quot;family&quot;:&quot;Kuyper&quot;,&quot;given&quot;:&quot;Thomas W.&quot;,&quot;parse-names&quot;:false,&quot;dropping-particle&quot;:&quot;&quot;,&quot;non-dropping-particle&quot;:&quot;&quot;},{&quot;family&quot;:&quot;Leffelaar&quot;,&quot;given&quot;:&quot;Peter A.&quot;,&quot;parse-names&quot;:false,&quot;dropping-particle&quot;:&quot;&quot;,&quot;non-dropping-particle&quot;:&quot;&quot;},{&quot;family&quot;:&quot;Hungria&quot;,&quot;given&quot;:&quot;Mariangela&quot;,&quot;parse-names&quot;:false,&quot;dropping-particle&quot;:&quot;&quot;,&quot;non-dropping-particle&quot;:&quot;&quot;},{&quot;family&quot;:&quot;Giller&quot;,&quot;given&quot;:&quot;Ken E.&quot;,&quot;parse-names&quot;:false,&quot;dropping-particle&quot;:&quot;&quot;,&quot;non-dropping-particle&quot;:&quot;&quot;}],&quot;container-title&quot;:&quot;Soil Biology and Biochemistry&quot;,&quot;DOI&quot;:&quot;10.1016/j.soilbio.2009.03.005&quot;,&quot;ISSN&quot;:&quot;00380717&quot;,&quot;issued&quot;:{&quot;date-parts&quot;:[[2009,6]]},&quot;issue&quot;:&quot;6&quot;,&quot;volume&quot;:&quot;41&quot;},&quot;isTemporary&quot;:false},{&quot;id&quot;:&quot;87ea6fd1-895b-3e53-bd69-6858b1dafe13&quot;,&quot;itemData&quot;:{&quot;type&quot;:&quot;article-journal&quot;,&quot;id&quot;:&quot;87ea6fd1-895b-3e53-bd69-6858b1dafe13&quot;,&quot;title&quot;:&quot;Global and cell‐type gene expression profiles in tomato plants colonized by an arbuscular mycorrhizal fungus&quot;,&quot;author&quot;:[{&quot;family&quot;:&quot;Fiorilli&quot;,&quot;given&quot;:&quot;Valentina&quot;,&quot;parse-names&quot;:false,&quot;dropping-particle&quot;:&quot;&quot;,&quot;non-dropping-particle&quot;:&quot;&quot;},{&quot;family&quot;:&quot;Catoni&quot;,&quot;given&quot;:&quot;Marco&quot;,&quot;parse-names&quot;:false,&quot;dropping-particle&quot;:&quot;&quot;,&quot;non-dropping-particle&quot;:&quot;&quot;},{&quot;family&quot;:&quot;Miozzi&quot;,&quot;given&quot;:&quot;Laura&quot;,&quot;parse-names&quot;:false,&quot;dropping-particle&quot;:&quot;&quot;,&quot;non-dropping-particle&quot;:&quot;&quot;},{&quot;family&quot;:&quot;Novero&quot;,&quot;given&quot;:&quot;Mara&quot;,&quot;parse-names&quot;:false,&quot;dropping-particle&quot;:&quot;&quot;,&quot;non-dropping-particle&quot;:&quot;&quot;},{&quot;family&quot;:&quot;Accotto&quot;,&quot;given&quot;:&quot;Gian Paolo&quot;,&quot;parse-names&quot;:false,&quot;dropping-particle&quot;:&quot;&quot;,&quot;non-dropping-particle&quot;:&quot;&quot;},{&quot;family&quot;:&quot;Lanfranco&quot;,&quot;given&quot;:&quot;Luisa&quot;,&quot;parse-names&quot;:false,&quot;dropping-particle&quot;:&quot;&quot;,&quot;non-dropping-particle&quot;:&quot;&quot;}],&quot;container-title&quot;:&quot;New Phytologist&quot;,&quot;DOI&quot;:&quot;10.1111/j.1469-8137.2009.03031.x&quot;,&quot;ISSN&quot;:&quot;0028-646X&quot;,&quot;issued&quot;:{&quot;date-parts&quot;:[[2009,12,17]]},&quot;issue&quot;:&quot;4&quot;,&quot;volume&quot;:&quot;184&quot;},&quot;isTemporary&quot;:false},{&quot;id&quot;:&quot;164ed9c9-14a8-3cf8-8c88-9469d612d534&quot;,&quot;itemData&quot;:{&quot;type&quot;:&quot;chapter&quot;,&quot;id&quot;:&quot;164ed9c9-14a8-3cf8-8c88-9469d612d534&quot;,&quot;title&quot;:&quot;Priming Plant Defence Against Pathogens by Arbuscular Mycorrhizal Fungi&quot;,&quot;author&quot;:[{&quot;family&quot;:&quot;Pozo&quot;,&quot;given&quot;:&quot;María J.&quot;,&quot;parse-names&quot;:false,&quot;dropping-particle&quot;:&quot;&quot;,&quot;non-dropping-particle&quot;:&quot;&quot;},{&quot;family&quot;:&quot;Verhage&quot;,&quot;given&quot;:&quot;Adriaan&quot;,&quot;parse-names&quot;:false,&quot;dropping-particle&quot;:&quot;&quot;,&quot;non-dropping-particle&quot;:&quot;&quot;},{&quot;family&quot;:&quot;García-Andrade&quot;,&quot;given&quot;:&quot;Javier&quot;,&quot;parse-names&quot;:false,&quot;dropping-particle&quot;:&quot;&quot;,&quot;non-dropping-particle&quot;:&quot;&quot;},{&quot;family&quot;:&quot;García&quot;,&quot;given&quot;:&quot;Juan M.&quot;,&quot;parse-names&quot;:false,&quot;dropping-particle&quot;:&quot;&quot;,&quot;non-dropping-particle&quot;:&quot;&quot;},{&quot;family&quot;:&quot;Azcón-Aguilar&quot;,&quot;given&quot;:&quot;Concepción&quot;,&quot;parse-names&quot;:false,&quot;dropping-particle&quot;:&quot;&quot;,&quot;non-dropping-particle&quot;:&quot;&quot;}],&quot;container-title&quot;:&quot;Mycorrhizas - Functional Processes and Ecological Impact&quot;,&quot;DOI&quot;:&quot;10.1007/978-3-540-87978-7_9&quot;,&quot;issued&quot;:{&quot;date-parts&quot;:[[2009]]},&quot;publisher-place&quot;:&quot;Berlin, Heidelberg&quot;,&quot;publisher&quot;:&quot;Springer Berlin Heidelberg&quot;},&quot;isTemporary&quot;:false},{&quot;id&quot;:&quot;ca057930-f8ed-3294-82a6-b6cc0a8ccc64&quot;,&quot;itemData&quot;:{&quot;type&quot;:&quot;article-journal&quot;,&quot;id&quot;:&quot;ca057930-f8ed-3294-82a6-b6cc0a8ccc64&quot;,&quot;title&quot;:&quot;Towards a systemic metabolic signature of the arbuscular mycorrhizal interaction&quot;,&quot;author&quot;:[{&quot;family&quot;:&quot;Fester&quot;,&quot;given&quot;:&quot;Thomas&quot;,&quot;parse-names&quot;:false,&quot;dropping-particle&quot;:&quot;&quot;,&quot;non-dropping-particle&quot;:&quot;&quot;},{&quot;family&quot;:&quot;Fetzer&quot;,&quot;given&quot;:&quot;Ingo&quot;,&quot;parse-names&quot;:false,&quot;dropping-particle&quot;:&quot;&quot;,&quot;non-dropping-particle&quot;:&quot;&quot;},{&quot;family&quot;:&quot;Buchert&quot;,&quot;given&quot;:&quot;Sabine&quot;,&quot;parse-names&quot;:false,&quot;dropping-particle&quot;:&quot;&quot;,&quot;non-dropping-particle&quot;:&quot;&quot;},{&quot;family&quot;:&quot;Lucas&quot;,&quot;given&quot;:&quot;Rico&quot;,&quot;parse-names&quot;:false,&quot;dropping-particle&quot;:&quot;&quot;,&quot;non-dropping-particle&quot;:&quot;&quot;},{&quot;family&quot;:&quot;Rillig&quot;,&quot;given&quot;:&quot;Matthias C.&quot;,&quot;parse-names&quot;:false,&quot;dropping-particle&quot;:&quot;&quot;,&quot;non-dropping-particle&quot;:&quot;&quot;},{&quot;family&quot;:&quot;Härtig&quot;,&quot;given&quot;:&quot;Claus&quot;,&quot;parse-names&quot;:false,&quot;dropping-particle&quot;:&quot;&quot;,&quot;non-dropping-particle&quot;:&quot;&quot;}],&quot;container-title&quot;:&quot;Oecologia&quot;,&quot;DOI&quot;:&quot;10.1007/s00442-011-2037-6&quot;,&quot;ISSN&quot;:&quot;0029-8549&quot;,&quot;issued&quot;:{&quot;date-parts&quot;:[[2011,12,4]]},&quot;issue&quot;:&quot;4&quot;,&quot;volume&quot;:&quot;167&quot;},&quot;isTemporary&quot;:false},{&quot;id&quot;:&quot;b4bc3268-d6bb-31f5-b610-00c45b13a4eb&quot;,&quot;itemData&quot;:{&quot;type&quot;:&quot;article-journal&quot;,&quot;id&quot;:&quot;b4bc3268-d6bb-31f5-b610-00c45b13a4eb&quot;,&quot;title&quot;:&quot;Arbuscular mycorrhizal symbiosis elicits shoot proteome changes that are modified during cadmium stress alleviation in Medicago truncatula&quot;,&quot;author&quot;:[{&quot;family&quot;:&quot;Aloui&quot;,&quot;given&quot;:&quot;Achref&quot;,&quot;parse-names&quot;:false,&quot;dropping-particle&quot;:&quot;&quot;,&quot;non-dropping-particle&quot;:&quot;&quot;},{&quot;family&quot;:&quot;Recorbet&quot;,&quot;given&quot;:&quot;Ghislaine&quot;,&quot;parse-names&quot;:false,&quot;dropping-particle&quot;:&quot;&quot;,&quot;non-dropping-particle&quot;:&quot;&quot;},{&quot;family&quot;:&quot;Robert&quot;,&quot;given&quot;:&quot;Franck&quot;,&quot;parse-names&quot;:false,&quot;dropping-particle&quot;:&quot;&quot;,&quot;non-dropping-particle&quot;:&quot;&quot;},{&quot;family&quot;:&quot;Schoefs&quot;,&quot;given&quot;:&quot;Benoît&quot;,&quot;parse-names&quot;:false,&quot;dropping-particle&quot;:&quot;&quot;,&quot;non-dropping-particle&quot;:&quot;&quot;},{&quot;family&quot;:&quot;Bertrand&quot;,&quot;given&quot;:&quot;Martine&quot;,&quot;parse-names&quot;:false,&quot;dropping-particle&quot;:&quot;&quot;,&quot;non-dropping-particle&quot;:&quot;&quot;},{&quot;family&quot;:&quot;Henry&quot;,&quot;given&quot;:&quot;Céline&quot;,&quot;parse-names&quot;:false,&quot;dropping-particle&quot;:&quot;&quot;,&quot;non-dropping-particle&quot;:&quot;&quot;},{&quot;family&quot;:&quot;Gianinazzi-Pearson&quot;,&quot;given&quot;:&quot;Vivienne&quot;,&quot;parse-names&quot;:false,&quot;dropping-particle&quot;:&quot;&quot;,&quot;non-dropping-particle&quot;:&quot;&quot;},{&quot;family&quot;:&quot;Dumas-Gaudot&quot;,&quot;given&quot;:&quot;Eliane&quot;,&quot;parse-names&quot;:false,&quot;dropping-particle&quot;:&quot;&quot;,&quot;non-dropping-particle&quot;:&quot;&quot;},{&quot;family&quot;:&quot;Aschi-Smiti&quot;,&quot;given&quot;:&quot;Samira&quot;,&quot;parse-names&quot;:false,&quot;dropping-particle&quot;:&quot;&quot;,&quot;non-dropping-particle&quot;:&quot;&quot;}],&quot;container-title&quot;:&quot;BMC Plant Biology&quot;,&quot;DOI&quot;:&quot;10.1186/1471-2229-11-75&quot;,&quot;ISSN&quot;:&quot;1471-2229&quot;,&quot;issued&quot;:{&quot;date-parts&quot;:[[2011,12,5]]},&quot;issue&quot;:&quot;1&quot;,&quot;volume&quot;:&quot;11&quot;},&quot;isTemporary&quot;:false}],&quot;properties&quot;:{&quot;noteIndex&quot;:0},&quot;isEdited&quot;:false,&quot;manualOverride&quot;:{&quot;isManuallyOverridden&quot;:false,&quot;citeprocText&quot;:&quot;(Aloui et al., 2011; Fester et al., 2011; Fiorilli et al., 2009; Kaschuk et al., 2009; J. Liu et al., 2007; Pozo et al., 2009)&quot;,&quot;manualOverrideText&quot;:&quot;&quot;},&quot;citationTag&quot;:&quot;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&quot;},{&quot;citationID&quot;:&quot;MENDELEY_CITATION_763dc75a-e227-4bda-8136-03a098575fb6&quot;,&quot;citationItems&quot;:[{&quot;id&quot;:&quot;e1701bbd-f9d9-3cce-b746-0359960ef69e&quot;,&quot;itemData&quot;:{&quot;type&quot;:&quot;article-journal&quot;,&quot;id&quot;:&quot;e1701bbd-f9d9-3cce-b746-0359960ef69e&quot;,&quot;title&quot;:&quot;Are innate immune signaling pathways in plants and animals conserved?&quot;,&quot;author&quot;:[{&quot;family&quot;:&quot;Ausubel&quot;,&quot;given&quot;:&quot;Frederick M&quot;,&quot;parse-names&quot;:false,&quot;dropping-particle&quot;:&quot;&quot;,&quot;non-dropping-particle&quot;:&quot;&quot;}],&quot;container-title&quot;:&quot;Nature Immunology&quot;,&quot;DOI&quot;:&quot;10.1038/ni1253&quot;,&quot;ISSN&quot;:&quot;1529-2908&quot;,&quot;issued&quot;:{&quot;date-parts&quot;:[[2005,10,21]]},&quot;issue&quot;:&quot;10&quot;,&quot;volume&quot;:&quot;6&quot;},&quot;isTemporary&quot;:false},{&quot;id&quot;:&quot;4eed069a-f9d7-3b7b-ae71-580e44e219f5&quot;,&quot;itemData&quot;:{&quot;type&quot;:&quot;article-journal&quot;,&quot;id&quot;:&quot;4eed069a-f9d7-3b7b-ae71-580e44e219f5&quot;,&quot;title&quot;:&quot;The plant immune system&quot;,&quot;author&quot;:[{&quot;family&quot;:&quot;Jones&quot;,&quot;given&quot;:&quot;Jonathan D. G.&quot;,&quot;parse-names&quot;:false,&quot;dropping-particle&quot;:&quot;&quot;,&quot;non-dropping-particle&quot;:&quot;&quot;},{&quot;family&quot;:&quot;Dangl&quot;,&quot;given&quot;:&quot;Jeffery L.&quot;,&quot;parse-names&quot;:false,&quot;dropping-particle&quot;:&quot;&quot;,&quot;non-dropping-particle&quot;:&quot;&quot;}],&quot;container-title&quot;:&quot;Nature&quot;,&quot;DOI&quot;:&quot;10.1038/nature05286&quot;,&quot;ISSN&quot;:&quot;0028-0836&quot;,&quot;issued&quot;:{&quot;date-parts&quot;:[[2006,11]]},&quot;issue&quot;:&quot;7117&quot;,&quot;volume&quot;:&quot;444&quot;},&quot;isTemporary&quot;:false}],&quot;properties&quot;:{&quot;noteIndex&quot;:0},&quot;isEdited&quot;:false,&quot;manualOverride&quot;:{&quot;isManuallyOverridden&quot;:false,&quot;citeprocText&quot;:&quot;(Ausubel, 2005a; Jones &amp;#38; Dangl, 2006b)&quot;,&quot;manualOverrideText&quot;:&quot;&quot;},&quot;citationTag&quot;:&quot;MENDELEY_CITATION_v3_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&quot;},{&quot;citationID&quot;:&quot;MENDELEY_CITATION_d769623d-4930-480a-a551-33687b42b9ab&quot;,&quot;citationItems&quot;:[{&quot;id&quot;:&quot;69baf3a7-879e-3cf8-bdef-025d7a93c4ac&quot;,&quot;itemData&quot;:{&quot;type&quot;:&quot;article-journal&quot;,&quot;id&quot;:&quot;69baf3a7-879e-3cf8-bdef-025d7a93c4ac&quot;,&quot;title&quot;:&quot;Networking by small-molecule hormones in plant immunity&quot;,&quot;author&quot;:[{&quot;family&quot;:&quot;Pieterse&quot;,&quot;given&quot;:&quot;Corné M J&quot;,&quot;parse-names&quot;:false,&quot;dropping-particle&quot;:&quot;&quot;,&quot;non-dropping-particle&quot;:&quot;&quot;},{&quot;family&quot;:&quot;Leon-Reyes&quot;,&quot;given&quot;:&quot;Antonio&quot;,&quot;parse-names&quot;:false,&quot;dropping-particle&quot;:&quot;&quot;,&quot;non-dropping-particle&quot;:&quot;&quot;},{&quot;family&quot;:&quot;Ent&quot;,&quot;given&quot;:&quot;Sjoerd&quot;,&quot;parse-names&quot;:false,&quot;dropping-particle&quot;:&quot;&quot;,&quot;non-dropping-particle&quot;:&quot;van der&quot;},{&quot;family&quot;:&quot;Wees&quot;,&quot;given&quot;:&quot;Saskia C M&quot;,&quot;parse-names&quot;:false,&quot;dropping-particle&quot;:&quot;&quot;,&quot;non-dropping-particle&quot;:&quot;van&quot;}],&quot;container-title&quot;:&quot;Nature Chemical Biology&quot;,&quot;DOI&quot;:&quot;10.1038/nchembio.164&quot;,&quot;ISSN&quot;:&quot;1552-4450&quot;,&quot;issued&quot;:{&quot;date-parts&quot;:[[2009,5,17]]},&quot;issue&quot;:&quot;5&quot;,&quot;volume&quot;:&quot;5&quot;},&quot;isTemporary&quot;:false}],&quot;properties&quot;:{&quot;noteIndex&quot;:0},&quot;isEdited&quot;:false,&quot;manualOverride&quot;:{&quot;isManuallyOverridden&quot;:true,&quot;citeprocText&quot;:&quot;(C. M. J. Pieterse et al., 2009)&quot;,&quot;manualOverrideText&quot;:&quot;(Pieterse et al., 2009)&quot;},&quot;citationTag&quot;:&quot;MENDELEY_CITATION_v3_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&quot;},{&quot;citationID&quot;:&quot;MENDELEY_CITATION_5d3ede58-9757-4490-b440-10a3052175e2&quot;,&quot;citationItems&quot;:[{&quot;id&quot;:&quot;bd7edd96-e1f5-3160-8df3-4a5b44a94332&quot;,&quot;itemData&quot;:{&quot;type&quot;:&quot;article-journal&quot;,&quot;id&quot;:&quot;bd7edd96-e1f5-3160-8df3-4a5b44a94332&quot;,&quot;title&quot;:&quot;Contrasting Mechanisms of Defense Against Biotrophic and Necrotrophic Pathogens&quot;,&quot;author&quot;:[{&quot;family&quot;:&quot;Glazebrook&quot;,&quot;given&quot;:&quot;Jane&quot;,&quot;parse-names&quot;:false,&quot;dropping-particle&quot;:&quot;&quot;,&quot;non-dropping-particle&quot;:&quot;&quot;}],&quot;container-title&quot;:&quot;Annual Review of Phytopathology&quot;,&quot;DOI&quot;:&quot;10.1146/annurev.phyto.43.040204.135923&quot;,&quot;ISSN&quot;:&quot;0066-4286&quot;,&quot;issued&quot;:{&quot;date-parts&quot;:[[2005,9]]},&quot;issue&quot;:&quot;1&quot;,&quot;volume&quot;:&quot;43&quot;},&quot;isTemporary&quot;:false}],&quot;properties&quot;:{&quot;noteIndex&quot;:0},&quot;isEdited&quot;:false,&quot;manualOverride&quot;:{&quot;isManuallyOverridden&quot;:false,&quot;citeprocText&quot;:&quot;(Glazebrook, 2005)&quot;,&quot;manualOverrideText&quot;:&quot;&quot;},&quot;citationTag&quot;:&quot;MENDELEY_CITATION_v3_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&quot;},{&quot;citationID&quot;:&quot;MENDELEY_CITATION_ec73b316-7bb3-4833-acd4-6d70e5482a07&quot;,&quot;citationItems&quot;:[{&quot;id&quot;:&quot;5aea2a66-410b-373f-9be4-25d2ef143cb2&quot;,&quot;itemData&quot;:{&quot;type&quot;:&quot;paper-conference&quot;,&quot;id&quot;:&quot;5aea2a66-410b-373f-9be4-25d2ef143cb2&quot;,&quot;title&quot;:&quot;Cross-talk between signaling pathways leading to defense against pathogens and insects&quot;,&quot;author&quot;:[{&quot;family&quot;:&quot;Pieterse&quot;,&quot;given&quot;:&quot;C. M. J.,&quot;,&quot;parse-names&quot;:false,&quot;dropping-particle&quot;:&quot;&quot;,&quot;non-dropping-particle&quot;:&quot;&quot;},{&quot;family&quot;:&quot;Koornneef&quot;,&quot;given&quot;:&quot;A.,&quot;,&quot;parse-names&quot;:false,&quot;dropping-particle&quot;:&quot;&quot;,&quot;non-dropping-particle&quot;:&quot;&quot;},{&quot;family&quot;:&quot;Leonreyes&quot;,&quot;given&quot;:&quot;H. A.,&quot;,&quot;parse-names&quot;:false,&quot;dropping-particle&quot;:&quot;&quot;,&quot;non-dropping-particle&quot;:&quot;&quot;},{&quot;family&quot;:&quot;Ritsema&quot;,&quot;given&quot;:&quot;T.,&quot;,&quot;parse-names&quot;:false,&quot;dropping-particle&quot;:&quot;&quot;,&quot;non-dropping-particle&quot;:&quot;&quot;},{&quot;family&quot;:&quot;Verhage&quot;,&quot;given&quot;:&quot;A.,&quot;,&quot;parse-names&quot;:false,&quot;dropping-particle&quot;:&quot;&quot;,&quot;non-dropping-particle&quot;:&quot;&quot;},{&quot;family&quot;:&quot;Joosten&quot;,&quot;given&quot;:&quot;R. G.,&quot;,&quot;parse-names&quot;:false,&quot;dropping-particle&quot;:&quot;&quot;,&quot;non-dropping-particle&quot;:&quot;&quot;},{&quot;family&quot;:&quot;Vos&quot;,&quot;given&quot;:&quot;M. D.,&quot;,&quot;parse-names&quot;:false,&quot;dropping-particle&quot;:&quot;&quot;,&quot;non-dropping-particle&quot;:&quot;&quot;},{&quot;family&quot;:&quot;Oosten&quot;,&quot;given&quot;:&quot;V. R. V.,&quot;,&quot;parse-names&quot;:false,&quot;dropping-particle&quot;:&quot;&quot;,&quot;non-dropping-particle&quot;:&quot;&quot;},{&quot;family&quot;:&quot;Dicke&quot;,&quot;given&quot;:&quot;M.&quot;,&quot;parse-names&quot;:false,&quot;dropping-particle&quot;:&quot;&quot;,&quot;non-dropping-particle&quot;:&quot;&quot;}],&quot;container-title&quot;:&quot;in M. Lorito, S. L. Woo, and F. Scala (eds.) Biology of Plant-microbe Interactions. International Society for Molecular Plant-Microbe Interactions, St. Paul, MN.&quot;,&quot;issued&quot;:{&quot;date-parts&quot;:[[2008]]},&quot;page&quot;:&quot;1-9&quot;},&quot;isTemporary&quot;:false}],&quot;properties&quot;:{&quot;noteIndex&quot;:0},&quot;isEdited&quot;:false,&quot;manualOverride&quot;:{&quot;isManuallyOverridden&quot;:true,&quot;citeprocText&quot;:&quot;(C. M. J. , Pieterse et al., 2008)&quot;,&quot;manualOverrideText&quot;:&quot;(Pieterse et al., 2008)&quot;},&quot;citationTag&quot;:&quot;MENDELEY_CITATION_v3_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&quot;},{&quot;citationID&quot;:&quot;MENDELEY_CITATION_3f118717-5afb-4d2a-8b3a-6e00c1bf47ed&quot;,&quot;citationItems&quot;:[{&quot;id&quot;:&quot;a2907141-7579-384a-aa34-cf6078ca4887&quot;,&quot;itemData&quot;:{&quot;type&quot;:&quot;article-journal&quot;,&quot;id&quot;:&quot;a2907141-7579-384a-aa34-cf6078ca4887&quot;,&quot;title&quot;:&quot;A journey through signaling in arbuscular mycorrhizal symbioses 2006&quot;,&quot;author&quot;:[{&quot;family&quot;:&quot;Paszkowski&quot;,&quot;given&quot;:&quot;Uta&quot;,&quot;parse-names&quot;:false,&quot;dropping-particle&quot;:&quot;&quot;,&quot;non-dropping-particle&quot;:&quot;&quot;}],&quot;container-title&quot;:&quot;New Phytologist&quot;,&quot;accessed&quot;:{&quot;date-parts&quot;:[[2021,4,5]]},&quot;DOI&quot;:&quot;10.1111/j.1469-8137.2006.01840.x&quot;,&quot;ISSN&quot;:&quot;0028-646X&quot;,&quot;URL&quot;:&quot;http://doi.wiley.com/10.1111/j.1469-8137.2006.01840.x&quot;,&quot;issued&quot;:{&quot;date-parts&quot;:[[2006,10,1]]},&quot;page&quot;:&quot;35-46&quot;,&quot;abstract&quot;:&quot;Recent years have seen fascinating contributions to our understanding of the molecular dialogue between fungi and plants entering into arbuscular mycorrhizal (AM) symbioses. Attention has shifted from descriptions of physiological and cellular events to molecular genetics and modern chemical diagnostics. Genes, signal transduction pathways and the chemical structures of components relevant to the symbiosis have been defined. This review examines our current knowledge of signals and mechanisms involved in the establishment of AM symbioses. © The Authors (2006).&quot;,&quot;publisher&quot;:&quot;John Wiley &amp; Sons, Ltd&quot;,&quot;issue&quot;:&quot;1&quot;,&quot;volume&quot;:&quot;172&quot;},&quot;isTemporary&quot;:false}],&quot;properties&quot;:{&quot;noteIndex&quot;:0},&quot;isEdited&quot;:false,&quot;manualOverride&quot;:{&quot;isManuallyOverridden&quot;:false,&quot;citeprocText&quot;:&quot;(Paszkowski, 2006)&quot;,&quot;manualOverrideText&quot;:&quot;&quot;},&quot;citationTag&quot;:&quot;MENDELEY_CITATION_v3_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&quot;},{&quot;citationID&quot;:&quot;MENDELEY_CITATION_a710fdd1-ab69-4d03-94ba-47a27343e427&quot;,&quot;citationItems&quot;:[{&quot;id&quot;:&quot;5c30ee9d-ebde-3951-8503-b9eb61407dd5&quot;,&quot;itemData&quot;:{&quot;type&quot;:&quot;article-journal&quot;,&quot;id&quot;:&quot;5c30ee9d-ebde-3951-8503-b9eb61407dd5&quot;,&quot;title&quot;:&quot;Unraveling mycorrhiza-induced resistance&quot;,&quot;author&quot;:[{&quot;family&quot;:&quot;Pozo&quot;,&quot;given&quot;:&quot;María J&quot;,&quot;parse-names&quot;:false,&quot;dropping-particle&quot;:&quot;&quot;,&quot;non-dropping-particle&quot;:&quot;&quot;},{&quot;family&quot;:&quot;Azcón-Aguilar&quot;,&quot;given&quot;:&quot;Concepción&quot;,&quot;parse-names&quot;:false,&quot;dropping-particle&quot;:&quot;&quot;,&quot;non-dropping-particle&quot;:&quot;&quot;}],&quot;container-title&quot;:&quot;Current Opinion in Plant Biology&quot;,&quot;DOI&quot;:&quot;10.1016/j.pbi.2007.05.004&quot;,&quot;ISSN&quot;:&quot;13695266&quot;,&quot;issued&quot;:{&quot;date-parts&quot;:[[2007,8]]},&quot;issue&quot;:&quot;4&quot;,&quot;volume&quot;:&quot;10&quot;},&quot;isTemporary&quot;:false}],&quot;properties&quot;:{&quot;noteIndex&quot;:0},&quot;isEdited&quot;:false,&quot;manualOverride&quot;:{&quot;isManuallyOverridden&quot;:false,&quot;citeprocText&quot;:&quot;(Pozo &amp;#38; Azcón-Aguilar, 2007)&quot;,&quot;manualOverrideText&quot;:&quot;&quot;},&quot;citationTag&quot;:&quot;MENDELEY_CITATION_v3_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&quot;},{&quot;citationID&quot;:&quot;MENDELEY_CITATION_d4f96090-10fe-42eb-bb17-e3f90f4bab4b&quot;,&quot;citationItems&quot;:[{&quot;id&quot;:&quot;76f49f74-bf4f-32a1-82f8-f3ff08f15493&quot;,&quot;itemData&quot;:{&quot;type&quot;:&quot;article-journal&quot;,&quot;id&quot;:&quot;76f49f74-bf4f-32a1-82f8-f3ff08f15493&quot;,&quot;title&quot;:&quot;Priming: Getting Ready for Battle&quot;,&quot;author&quot;:[{&quot;family&quot;:&quot;Conrath&quot;,&quot;given&quot;:&quot;Uwe&quot;,&quot;parse-names&quot;:false,&quot;dropping-particle&quot;:&quot;&quot;,&quot;non-dropping-particle&quot;:&quot;&quot;},{&quot;family&quot;:&quot;Beckers&quot;,&quot;given&quot;:&quot;Gerold J. M.&quot;,&quot;parse-names&quot;:false,&quot;dropping-particle&quot;:&quot;&quot;,&quot;non-dropping-particle&quot;:&quot;&quot;},{&quot;family&quot;:&quot;Flors&quot;,&quot;given&quot;:&quot;Victor&quot;,&quot;parse-names&quot;:false,&quot;dropping-particle&quot;:&quot;&quot;,&quot;non-dropping-particle&quot;:&quot;&quot;},{&quot;family&quot;:&quot;García-Agustín&quot;,&quot;given&quot;:&quot;Pilar&quot;,&quot;parse-names&quot;:false,&quot;dropping-particle&quot;:&quot;&quot;,&quot;non-dropping-particle&quot;:&quot;&quot;},{&quot;family&quot;:&quot;Jakab&quot;,&quot;given&quot;:&quot;Gábor&quot;,&quot;parse-names&quot;:false,&quot;dropping-particle&quot;:&quot;&quot;,&quot;non-dropping-particle&quot;:&quot;&quot;},{&quot;family&quot;:&quot;Mauch&quot;,&quot;given&quot;:&quot;Felix&quot;,&quot;parse-names&quot;:false,&quot;dropping-particle&quot;:&quot;&quot;,&quot;non-dropping-particle&quot;:&quot;&quot;},{&quot;family&quot;:&quot;Newman&quot;,&quot;given&quot;:&quot;Mari-Anne&quot;,&quot;parse-names&quot;:false,&quot;dropping-particle&quot;:&quot;&quot;,&quot;non-dropping-particle&quot;:&quot;&quot;},{&quot;family&quot;:&quot;Pieterse&quot;,&quot;given&quot;:&quot;Corné M. J.&quot;,&quot;parse-names&quot;:false,&quot;dropping-particle&quot;:&quot;&quot;,&quot;non-dropping-particle&quot;:&quot;&quot;},{&quot;family&quot;:&quot;Poinssot&quot;,&quot;given&quot;:&quot;Benoit&quot;,&quot;parse-names&quot;:false,&quot;dropping-particle&quot;:&quot;&quot;,&quot;non-dropping-particle&quot;:&quot;&quot;},{&quot;family&quot;:&quot;Pozo&quot;,&quot;given&quot;:&quot;María J.&quot;,&quot;parse-names&quot;:false,&quot;dropping-particle&quot;:&quot;&quot;,&quot;non-dropping-particle&quot;:&quot;&quot;},{&quot;family&quot;:&quot;Pugin&quot;,&quot;given&quot;:&quot;Alain&quot;,&quot;parse-names&quot;:false,&quot;dropping-particle&quot;:&quot;&quot;,&quot;non-dropping-particle&quot;:&quot;&quot;},{&quot;family&quot;:&quot;Schaffrath&quot;,&quot;given&quot;:&quot;Ulrich&quot;,&quot;parse-names&quot;:false,&quot;dropping-particle&quot;:&quot;&quot;,&quot;non-dropping-particle&quot;:&quot;&quot;},{&quot;family&quot;:&quot;Ton&quot;,&quot;given&quot;:&quot;Jurriaan&quot;,&quot;parse-names&quot;:false,&quot;dropping-particle&quot;:&quot;&quot;,&quot;non-dropping-particle&quot;:&quot;&quot;},{&quot;family&quot;:&quot;Wendehenne&quot;,&quot;given&quot;:&quot;David&quot;,&quot;parse-names&quot;:false,&quot;dropping-particle&quot;:&quot;&quot;,&quot;non-dropping-particle&quot;:&quot;&quot;},{&quot;family&quot;:&quot;Zimmerli&quot;,&quot;given&quot;:&quot;Laurent&quot;,&quot;parse-names&quot;:false,&quot;dropping-particle&quot;:&quot;&quot;,&quot;non-dropping-particle&quot;:&quot;&quot;},{&quot;family&quot;:&quot;Mauch-Mani&quot;,&quot;given&quot;:&quot;Brigitte&quot;,&quot;parse-names&quot;:false,&quot;dropping-particle&quot;:&quot;&quot;,&quot;non-dropping-particle&quot;:&quot;&quot;}],&quot;container-title&quot;:&quot;Molecular Plant-Microbe Interactions®&quot;,&quot;DOI&quot;:&quot;10.1094/MPMI-19-1062&quot;,&quot;ISSN&quot;:&quot;0894-0282&quot;,&quot;issued&quot;:{&quot;date-parts&quot;:[[2006,10]]},&quot;abstract&quot;:&quot;&lt;p&gt;Infection of plants by necrotizing pathogens or colonization of plant roots with certain beneficial microbes causes the induction of a unique physiological state called “ priming”. The primed state can also be induced by treatment of plants with various natural and synthetic compounds. Primed plants display either faster, stronger, or both activation of the various cellular defense responses that are induced following attack by either pathogens or insects or in response to abiotic stress. Although the phenomenon has been known for decades, most progress in our understanding of priming has been made over the past few years. Here, we summarize the current knowledge of priming in various induced-resistance phenomena in plants.&lt;/p&gt;&quot;,&quot;issue&quot;:&quot;10&quot;,&quot;volume&quot;:&quot;19&quot;},&quot;isTemporary&quot;:false},{&quot;id&quot;:&quot;b411de46-32ab-3d36-b02a-c49ad804b205&quot;,&quot;itemData&quot;:{&quot;type&quot;:&quot;article-journal&quot;,&quot;id&quot;:&quot;b411de46-32ab-3d36-b02a-c49ad804b205&quot;,&quot;title&quot;:&quot;Costs and benefits of priming for defense in Arabidopsis&quot;,&quot;author&quot;:[{&quot;family&quot;:&quot;Hulten&quot;,&quot;given&quot;:&quot;M.&quot;,&quot;parse-names&quot;:false,&quot;dropping-particle&quot;:&quot;&quot;,&quot;non-dropping-particle&quot;:&quot;van&quot;},{&quot;family&quot;:&quot;Pelser&quot;,&quot;given&quot;:&quot;M.&quot;,&quot;parse-names&quot;:false,&quot;dropping-particle&quot;:&quot;&quot;,&quot;non-dropping-particle&quot;:&quot;&quot;},{&quot;family&quot;:&quot;Loon&quot;,&quot;given&quot;:&quot;L. C.&quot;,&quot;parse-names&quot;:false,&quot;dropping-particle&quot;:&quot;&quot;,&quot;non-dropping-particle&quot;:&quot;van&quot;},{&quot;family&quot;:&quot;Pieterse&quot;,&quot;given&quot;:&quot;C. M. J.&quot;,&quot;parse-names&quot;:false,&quot;dropping-particle&quot;:&quot;&quot;,&quot;non-dropping-particle&quot;:&quot;&quot;},{&quot;family&quot;:&quot;Ton&quot;,&quot;given&quot;:&quot;J.&quot;,&quot;parse-names&quot;:false,&quot;dropping-particle&quot;:&quot;&quot;,&quot;non-dropping-particle&quot;:&quot;&quot;}],&quot;container-title&quot;:&quot;Proceedings of the National Academy of Sciences&quot;,&quot;DOI&quot;:&quot;10.1073/pnas.0510213103&quot;,&quot;ISSN&quot;:&quot;0027-8424&quot;,&quot;issued&quot;:{&quot;date-parts&quot;:[[2006,4,4]]},&quot;issue&quot;:&quot;14&quot;,&quot;volume&quot;:&quot;103&quot;},&quot;isTemporary&quot;:false},{&quot;id&quot;:&quot;7398c9fc-942c-370a-858a-c7366f4fcf4f&quot;,&quot;itemData&quot;:{&quot;type&quot;:&quot;article-journal&quot;,&quot;id&quot;:&quot;7398c9fc-942c-370a-858a-c7366f4fcf4f&quot;,&quot;title&quot;:&quot;Costs and trade-offs associated with induced resistance&quot;,&quot;author&quot;:[{&quot;family&quot;:&quot;Walters&quot;,&quot;given&quot;:&quot;Dale&quot;,&quot;parse-names&quot;:false,&quot;dropping-particle&quot;:&quot;&quot;,&quot;non-dropping-particle&quot;:&quot;&quot;},{&quot;family&quot;:&quot;Heil&quot;,&quot;given&quot;:&quot;Martin&quot;,&quot;parse-names&quot;:false,&quot;dropping-particle&quot;:&quot;&quot;,&quot;non-dropping-particle&quot;:&quot;&quot;}],&quot;container-title&quot;:&quot;Physiological and Molecular Plant Pathology&quot;,&quot;DOI&quot;:&quot;10.1016/j.pmpp.2007.09.008&quot;,&quot;ISSN&quot;:&quot;08855765&quot;,&quot;issued&quot;:{&quot;date-parts&quot;:[[2007,7]]},&quot;issue&quot;:&quot;1-3&quot;,&quot;volume&quot;:&quot;71&quot;},&quot;isTemporary&quot;:false}],&quot;properties&quot;:{&quot;noteIndex&quot;:0},&quot;isEdited&quot;:false,&quot;manualOverride&quot;:{&quot;isManuallyOverridden&quot;:false,&quot;citeprocText&quot;:&quot;(Conrath et al., 2006; van Hulten et al., 2006; Walters &amp;#38; Heil, 2007)&quot;,&quot;manualOverrideText&quot;:&quot;&quot;},&quot;citationTag&quot;:&quot;MENDELEY_CITATION_v3_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&quot;},{&quot;citationID&quot;:&quot;MENDELEY_CITATION_97966e03-c798-4bea-84ec-15ddc740d44c&quot;,&quot;citationItems&quot;:[{&quot;id&quot;:&quot;76f49f74-bf4f-32a1-82f8-f3ff08f15493&quot;,&quot;itemData&quot;:{&quot;type&quot;:&quot;article-journal&quot;,&quot;id&quot;:&quot;76f49f74-bf4f-32a1-82f8-f3ff08f15493&quot;,&quot;title&quot;:&quot;Priming: Getting Ready for Battle&quot;,&quot;author&quot;:[{&quot;family&quot;:&quot;Conrath&quot;,&quot;given&quot;:&quot;Uwe&quot;,&quot;parse-names&quot;:false,&quot;dropping-particle&quot;:&quot;&quot;,&quot;non-dropping-particle&quot;:&quot;&quot;},{&quot;family&quot;:&quot;Beckers&quot;,&quot;given&quot;:&quot;Gerold J. M.&quot;,&quot;parse-names&quot;:false,&quot;dropping-particle&quot;:&quot;&quot;,&quot;non-dropping-particle&quot;:&quot;&quot;},{&quot;family&quot;:&quot;Flors&quot;,&quot;given&quot;:&quot;Victor&quot;,&quot;parse-names&quot;:false,&quot;dropping-particle&quot;:&quot;&quot;,&quot;non-dropping-particle&quot;:&quot;&quot;},{&quot;family&quot;:&quot;García-Agustín&quot;,&quot;given&quot;:&quot;Pilar&quot;,&quot;parse-names&quot;:false,&quot;dropping-particle&quot;:&quot;&quot;,&quot;non-dropping-particle&quot;:&quot;&quot;},{&quot;family&quot;:&quot;Jakab&quot;,&quot;given&quot;:&quot;Gábor&quot;,&quot;parse-names&quot;:false,&quot;dropping-particle&quot;:&quot;&quot;,&quot;non-dropping-particle&quot;:&quot;&quot;},{&quot;family&quot;:&quot;Mauch&quot;,&quot;given&quot;:&quot;Felix&quot;,&quot;parse-names&quot;:false,&quot;dropping-particle&quot;:&quot;&quot;,&quot;non-dropping-particle&quot;:&quot;&quot;},{&quot;family&quot;:&quot;Newman&quot;,&quot;given&quot;:&quot;Mari-Anne&quot;,&quot;parse-names&quot;:false,&quot;dropping-particle&quot;:&quot;&quot;,&quot;non-dropping-particle&quot;:&quot;&quot;},{&quot;family&quot;:&quot;Pieterse&quot;,&quot;given&quot;:&quot;Corné M. J.&quot;,&quot;parse-names&quot;:false,&quot;dropping-particle&quot;:&quot;&quot;,&quot;non-dropping-particle&quot;:&quot;&quot;},{&quot;family&quot;:&quot;Poinssot&quot;,&quot;given&quot;:&quot;Benoit&quot;,&quot;parse-names&quot;:false,&quot;dropping-particle&quot;:&quot;&quot;,&quot;non-dropping-particle&quot;:&quot;&quot;},{&quot;family&quot;:&quot;Pozo&quot;,&quot;given&quot;:&quot;María J.&quot;,&quot;parse-names&quot;:false,&quot;dropping-particle&quot;:&quot;&quot;,&quot;non-dropping-particle&quot;:&quot;&quot;},{&quot;family&quot;:&quot;Pugin&quot;,&quot;given&quot;:&quot;Alain&quot;,&quot;parse-names&quot;:false,&quot;dropping-particle&quot;:&quot;&quot;,&quot;non-dropping-particle&quot;:&quot;&quot;},{&quot;family&quot;:&quot;Schaffrath&quot;,&quot;given&quot;:&quot;Ulrich&quot;,&quot;parse-names&quot;:false,&quot;dropping-particle&quot;:&quot;&quot;,&quot;non-dropping-particle&quot;:&quot;&quot;},{&quot;family&quot;:&quot;Ton&quot;,&quot;given&quot;:&quot;Jurriaan&quot;,&quot;parse-names&quot;:false,&quot;dropping-particle&quot;:&quot;&quot;,&quot;non-dropping-particle&quot;:&quot;&quot;},{&quot;family&quot;:&quot;Wendehenne&quot;,&quot;given&quot;:&quot;David&quot;,&quot;parse-names&quot;:false,&quot;dropping-particle&quot;:&quot;&quot;,&quot;non-dropping-particle&quot;:&quot;&quot;},{&quot;family&quot;:&quot;Zimmerli&quot;,&quot;given&quot;:&quot;Laurent&quot;,&quot;parse-names&quot;:false,&quot;dropping-particle&quot;:&quot;&quot;,&quot;non-dropping-particle&quot;:&quot;&quot;},{&quot;family&quot;:&quot;Mauch-Mani&quot;,&quot;given&quot;:&quot;Brigitte&quot;,&quot;parse-names&quot;:false,&quot;dropping-particle&quot;:&quot;&quot;,&quot;non-dropping-particle&quot;:&quot;&quot;}],&quot;container-title&quot;:&quot;Molecular Plant-Microbe Interactions®&quot;,&quot;DOI&quot;:&quot;10.1094/MPMI-19-1062&quot;,&quot;ISSN&quot;:&quot;0894-0282&quot;,&quot;issued&quot;:{&quot;date-parts&quot;:[[2006,10]]},&quot;abstract&quot;:&quot;&lt;p&gt;Infection of plants by necrotizing pathogens or colonization of plant roots with certain beneficial microbes causes the induction of a unique physiological state called “ priming”. The primed state can also be induced by treatment of plants with various natural and synthetic compounds. Primed plants display either faster, stronger, or both activation of the various cellular defense responses that are induced following attack by either pathogens or insects or in response to abiotic stress. Although the phenomenon has been known for decades, most progress in our understanding of priming has been made over the past few years. Here, we summarize the current knowledge of priming in various induced-resistance phenomena in plants.&lt;/p&gt;&quot;,&quot;issue&quot;:&quot;10&quot;,&quot;volume&quot;:&quot;19&quot;},&quot;isTemporary&quot;:false},{&quot;id&quot;:&quot;d228cb76-4f2b-3bac-81f4-a72721de811d&quot;,&quot;itemData&quot;:{&quot;type&quot;:&quot;article-journal&quot;,&quot;id&quot;:&quot;d228cb76-4f2b-3bac-81f4-a72721de811d&quot;,&quot;title&quot;:&quot;Priming for stress resistance: from the lab to the field&quot;,&quot;author&quot;:[{&quot;family&quot;:&quot;Beckers&quot;,&quot;given&quot;:&quot;Gerold JM&quot;,&quot;parse-names&quot;:false,&quot;dropping-particle&quot;:&quot;&quot;,&quot;non-dropping-particle&quot;:&quot;&quot;},{&quot;family&quot;:&quot;Conrath&quot;,&quot;given&quot;:&quot;Uwe&quot;,&quot;parse-names&quot;:false,&quot;dropping-particle&quot;:&quot;&quot;,&quot;non-dropping-particle&quot;:&quot;&quot;}],&quot;container-title&quot;:&quot;Current Opinion in Plant Biology&quot;,&quot;DOI&quot;:&quot;10.1016/j.pbi.2007.06.002&quot;,&quot;ISSN&quot;:&quot;13695266&quot;,&quot;issued&quot;:{&quot;date-parts&quot;:[[2007,8]]},&quot;issue&quot;:&quot;4&quot;,&quot;volume&quot;:&quot;10&quot;},&quot;isTemporary&quot;:false}],&quot;properties&quot;:{&quot;noteIndex&quot;:0},&quot;isEdited&quot;:false,&quot;manualOverride&quot;:{&quot;isManuallyOverridden&quot;:true,&quot;citeprocText&quot;:&quot;(Beckers &amp;#38; Conrath, 2007; Conrath et al., 2006)&quot;,&quot;manualOverrideText&quot;:&quot;(Beckers &amp; Conrath, 2007; Conrath et al., 2006&quot;},&quot;citationTag&quot;:&quot;MENDELEY_CITATION_v3_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&quot;},{&quot;citationID&quot;:&quot;MENDELEY_CITATION_d97bda44-bd03-4bef-9097-3f58d66aab9b&quot;,&quot;citationItems&quot;:[{&quot;id&quot;:&quot;157e545b-3472-3b26-93f7-3b60e5a4763b&quot;,&quot;itemData&quot;:{&quot;type&quot;:&quot;article&quot;,&quot;id&quot;:&quot;157e545b-3472-3b26-93f7-3b60e5a4763b&quot;,&quot;title&quot;:&quot;Plant secondary metabolite biosynthesis and transcriptional regulation in response to biotic and abiotic stress conditions&quot;,&quot;author&quot;:[{&quot;family&quot;:&quot;Jan&quot;,&quot;given&quot;:&quot;Rahmatullah&quot;,&quot;parse-names&quot;:false,&quot;dropping-particle&quot;:&quot;&quot;,&quot;non-dropping-particle&quot;:&quot;&quot;},{&quot;family&quot;:&quot;Asaf&quot;,&quot;given&quot;:&quot;Sajjad&quot;,&quot;parse-names&quot;:false,&quot;dropping-particle&quot;:&quot;&quot;,&quot;non-dropping-particle&quot;:&quot;&quot;},{&quot;family&quot;:&quot;Numan&quot;,&quot;given&quot;:&quot;Muhammad&quot;,&quot;parse-names&quot;:false,&quot;dropping-particle&quot;:&quot;&quot;,&quot;non-dropping-particle&quot;:&quot;&quot;},{&quot;family&quot;:&quot;Lubna&quot;,&quot;given&quot;:&quot;&quot;,&quot;parse-names&quot;:false,&quot;dropping-particle&quot;:&quot;&quot;,&quot;non-dropping-particle&quot;:&quot;&quot;},{&quot;family&quot;:&quot;Kim&quot;,&quot;given&quot;:&quot;Kyung Min&quot;,&quot;parse-names&quot;:false,&quot;dropping-particle&quot;:&quot;&quot;,&quot;non-dropping-particle&quot;:&quot;&quot;}],&quot;container-title&quot;:&quot;Agronomy&quot;,&quot;DOI&quot;:&quot;10.3390/agronomy11050968&quot;,&quot;ISSN&quot;:&quot;20734395&quot;,&quot;issued&quot;:{&quot;date-parts&quot;:[[2021]]},&quot;abstract&quot;:&quot;Plant secondary metabolites (SMs) play important roles in plant survival and in creating ecological connections between other species. In addition to providing a variety of valuable natural products, secondary metabolites help protect plants against pathogenic attacks and environmental stresses. Given their sessile nature, plants must protect themselves from such situations through accumulation of these bioactive compounds. Indeed, secondary metabolites act as herbivore deterrents, barriers against pathogen invasion, and mitigators of oxidative stress. The accumulation of SMs are highly dependent on environmental factors such as light, temperature, soil water, soil fertility, and salinity. For most plants, a change in an individual environmental factor can alter the content of secondary metabolites even if other factors remain constant. In this review, we focus on how individual environmental factors affect the accumulation of secondary metabolites in plants during both biotic and abiotic stress conditions. Furthermore, we discuss the application of abiotic and biotic elicitors in culture systems as well as their stimulating effects on the accumulation of secondary metabolites. Specifically, we discuss the shikimate pathway and the aromatic amino acids produced in this pathway, which are the precursors of a range of secondary metabolites including terpenoids, alkaloids, and sulfur-and nitrogen-containing compounds. We also detail how the biosynthesis of important metabolites is altered by several genes related to secondary metabolite biosynthesis pathways. Genes responsible for secondary metabolite biosynthesis in various plant species during stress conditions are regulated by transcriptional factors such as WRKY, MYB, AP2/ERF, bZIP, bHLH, and NAC, which are also discussed here.&quot;,&quot;publisher&quot;:&quot;MDPI AG&quot;,&quot;issue&quot;:&quot;5&quot;,&quot;volume&quot;:&quot;11&quot;},&quot;isTemporary&quot;:false}],&quot;properties&quot;:{&quot;noteIndex&quot;:0},&quot;isEdited&quot;:false,&quot;manualOverride&quot;:{&quot;isManuallyOverridden&quot;:true,&quot;citeprocText&quot;:&quot;(Jan et al., 2021)&quot;,&quot;manualOverrideText&quot;:&quot;Jan et al., 2021)&quot;},&quot;citationTag&quot;:&quot;MENDELEY_CITATION_v3_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&quot;},{&quot;citationID&quot;:&quot;MENDELEY_CITATION_babb7849-d023-4e69-b66e-e39d2aabc00d&quot;,&quot;citationItems&quot;:[{&quot;id&quot;:&quot;aebc5bc9-f9bc-3daa-98d0-499f805dccf3&quot;,&quot;itemData&quot;:{&quot;type&quot;:&quot;article-journal&quot;,&quot;id&quot;:&quot;aebc5bc9-f9bc-3daa-98d0-499f805dccf3&quot;,&quot;title&quot;:&quot;Efficient soil microorganisms: A new dimension for sustainable agriculture and environmental development&quot;,&quot;author&quot;:[{&quot;family&quot;:&quot;Singh&quot;,&quot;given&quot;:&quot;Jay Shankar&quot;,&quot;parse-names&quot;:false,&quot;dropping-particle&quot;:&quot;&quot;,&quot;non-dropping-particle&quot;:&quot;&quot;},{&quot;family&quot;:&quot;Pandey&quot;,&quot;given&quot;:&quot;Vimal Chandra&quot;,&quot;parse-names&quot;:false,&quot;dropping-particle&quot;:&quot;&quot;,&quot;non-dropping-particle&quot;:&quot;&quot;},{&quot;family&quot;:&quot;Singh&quot;,&quot;given&quot;:&quot;D.P.&quot;,&quot;parse-names&quot;:false,&quot;dropping-particle&quot;:&quot;&quot;,&quot;non-dropping-particle&quot;:&quot;&quot;}],&quot;container-title&quot;:&quot;Agriculture, Ecosystems &amp; Environment&quot;,&quot;DOI&quot;:&quot;10.1016/j.agee.2011.01.017&quot;,&quot;ISSN&quot;:&quot;01678809&quot;,&quot;issued&quot;:{&quot;date-parts&quot;:[[2011,3]]},&quot;issue&quot;:&quot;3-4&quot;,&quot;volume&quot;:&quot;140&quot;},&quot;isTemporary&quot;:false}],&quot;properties&quot;:{&quot;noteIndex&quot;:0},&quot;isEdited&quot;:false,&quot;manualOverride&quot;:{&quot;isManuallyOverridden&quot;:true,&quot;citeprocText&quot;:&quot;(J. S. Singh et al., 2011)&quot;,&quot;manualOverrideText&quot;:&quot;(Singh et al., 2011)&quot;},&quot;citationTag&quot;:&quot;MENDELEY_CITATION_v3_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&quot;},{&quot;citationID&quot;:&quot;MENDELEY_CITATION_25be61b5-70d4-4d4c-9fe4-6eedd919e15e&quot;,&quot;citationItems&quot;:[{&quot;id&quot;:&quot;edc19532-39c6-3f89-bfed-252dee93e8a1&quot;,&quot;itemData&quot;:{&quot;type&quot;:&quot;article-journal&quot;,&quot;id&quot;:&quot;edc19532-39c6-3f89-bfed-252dee93e8a1&quot;,&quot;title&quot;:&quot;Microbial interactions in the mycorrhizosphere and their significance for sustainable agriculture&quot;,&quot;author&quot;:[{&quot;family&quot;:&quot;Johansson&quot;,&quot;given&quot;:&quot;Jonas F.&quot;,&quot;parse-names&quot;:false,&quot;dropping-particle&quot;:&quot;&quot;,&quot;non-dropping-particle&quot;:&quot;&quot;},{&quot;family&quot;:&quot;Paul&quot;,&quot;given&quot;:&quot;Leslie R.&quot;,&quot;parse-names&quot;:false,&quot;dropping-particle&quot;:&quot;&quot;,&quot;non-dropping-particle&quot;:&quot;&quot;},{&quot;family&quot;:&quot;Finlay&quot;,&quot;given&quot;:&quot;Roger D.&quot;,&quot;parse-names&quot;:false,&quot;dropping-particle&quot;:&quot;&quot;,&quot;non-dropping-particle&quot;:&quot;&quot;}],&quot;container-title&quot;:&quot;FEMS Microbiology Ecology&quot;,&quot;DOI&quot;:&quot;10.1016/j.femsec.2003.11.012&quot;,&quot;ISSN&quot;:&quot;01686496&quot;,&quot;issued&quot;:{&quot;date-parts&quot;:[[2004,4]]},&quot;issue&quot;:&quot;1&quot;,&quot;volume&quot;:&quot;48&quot;},&quot;isTemporary&quot;:false}],&quot;properties&quot;:{&quot;noteIndex&quot;:0},&quot;isEdited&quot;:false,&quot;manualOverride&quot;:{&quot;isManuallyOverridden&quot;:false,&quot;citeprocText&quot;:&quot;(Johansson et al., 2004)&quot;,&quot;manualOverrideText&quot;:&quot;&quot;},&quot;citationTag&quot;:&quot;MENDELEY_CITATION_v3_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&quot;},{&quot;citationID&quot;:&quot;MENDELEY_CITATION_e547179e-bbff-46d3-b8ab-28e5019a7161&quot;,&quot;citationItems&quot;:[{&quot;id&quot;:&quot;aebc5bc9-f9bc-3daa-98d0-499f805dccf3&quot;,&quot;itemData&quot;:{&quot;type&quot;:&quot;article-journal&quot;,&quot;id&quot;:&quot;aebc5bc9-f9bc-3daa-98d0-499f805dccf3&quot;,&quot;title&quot;:&quot;Efficient soil microorganisms: A new dimension for sustainable agriculture and environmental development&quot;,&quot;author&quot;:[{&quot;family&quot;:&quot;Singh&quot;,&quot;given&quot;:&quot;Jay Shankar&quot;,&quot;parse-names&quot;:false,&quot;dropping-particle&quot;:&quot;&quot;,&quot;non-dropping-particle&quot;:&quot;&quot;},{&quot;family&quot;:&quot;Pandey&quot;,&quot;given&quot;:&quot;Vimal Chandra&quot;,&quot;parse-names&quot;:false,&quot;dropping-particle&quot;:&quot;&quot;,&quot;non-dropping-particle&quot;:&quot;&quot;},{&quot;family&quot;:&quot;Singh&quot;,&quot;given&quot;:&quot;D.P.&quot;,&quot;parse-names&quot;:false,&quot;dropping-particle&quot;:&quot;&quot;,&quot;non-dropping-particle&quot;:&quot;&quot;}],&quot;container-title&quot;:&quot;Agriculture, Ecosystems &amp; Environment&quot;,&quot;DOI&quot;:&quot;10.1016/j.agee.2011.01.017&quot;,&quot;ISSN&quot;:&quot;01678809&quot;,&quot;issued&quot;:{&quot;date-parts&quot;:[[2011,3]]},&quot;issue&quot;:&quot;3-4&quot;,&quot;volume&quot;:&quot;140&quot;},&quot;isTemporary&quot;:false}],&quot;properties&quot;:{&quot;noteIndex&quot;:0},&quot;isEdited&quot;:false,&quot;manualOverride&quot;:{&quot;isManuallyOverridden&quot;:true,&quot;citeprocText&quot;:&quot;(J. S. Singh et al., 2011)&quot;,&quot;manualOverrideText&quot;:&quot;(Singh et al., 2011)&quot;},&quot;citationTag&quot;:&quot;MENDELEY_CITATION_v3_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&quot;},{&quot;citationID&quot;:&quot;MENDELEY_CITATION_14433b28-92e0-4db9-9b62-9bcfd19304bf&quot;,&quot;citationItems&quot;:[{&quot;id&quot;:&quot;994b9106-2766-3f88-9bb2-af01ebd769f8&quot;,&quot;itemData&quot;:{&quot;type&quot;:&quot;chapter&quot;,&quot;id&quot;:&quot;994b9106-2766-3f88-9bb2-af01ebd769f8&quot;,&quot;title&quot;:&quot;Potential of Plant Growth-Promoting Rhizobacteria for Sustainable Agriculture&quot;,&quot;author&quot;:[{&quot;family&quot;:&quot;Sayyed&quot;,&quot;given&quot;:&quot;R. Z.&quot;,&quot;parse-names&quot;:false,&quot;dropping-particle&quot;:&quot;&quot;,&quot;non-dropping-particle&quot;:&quot;&quot;},{&quot;family&quot;:&quot;Reddy&quot;,&quot;given&quot;:&quot;M. S.&quot;,&quot;parse-names&quot;:false,&quot;dropping-particle&quot;:&quot;&quot;,&quot;non-dropping-particle&quot;:&quot;&quot;},{&quot;family&quot;:&quot;Kumar&quot;,&quot;given&quot;:&quot;K. Vijay&quot;,&quot;parse-names&quot;:false,&quot;dropping-particle&quot;:&quot;&quot;,&quot;non-dropping-particle&quot;:&quot;&quot;},{&quot;family&quot;:&quot;Yellareddygari&quot;,&quot;given&quot;:&quot;S. K. R.&quot;,&quot;parse-names&quot;:false,&quot;dropping-particle&quot;:&quot;&quot;,&quot;non-dropping-particle&quot;:&quot;&quot;},{&quot;family&quot;:&quot;Deshmukh&quot;,&quot;given&quot;:&quot;A. M.&quot;,&quot;parse-names&quot;:false,&quot;dropping-particle&quot;:&quot;&quot;,&quot;non-dropping-particle&quot;:&quot;&quot;},{&quot;family&quot;:&quot;Patel&quot;,&quot;given&quot;:&quot;P. R.&quot;,&quot;parse-names&quot;:false,&quot;dropping-particle&quot;:&quot;&quot;,&quot;non-dropping-particle&quot;:&quot;&quot;},{&quot;family&quot;:&quot;Gangurde&quot;,&quot;given&quot;:&quot;N. S.&quot;,&quot;parse-names&quot;:false,&quot;dropping-particle&quot;:&quot;&quot;,&quot;non-dropping-particle&quot;:&quot;&quot;}],&quot;container-title&quot;:&quot;Bacteria in Agrobiology: Plant Probiotics&quot;,&quot;DOI&quot;:&quot;10.1007/978-3-642-27515-9_16&quot;,&quot;issued&quot;:{&quot;date-parts&quot;:[[2012]]},&quot;publisher-place&quot;:&quot;Berlin, Heidelberg&quot;,&quot;publisher&quot;:&quot;Springer Berlin Heidelberg&quot;},&quot;isTemporary&quot;:false}],&quot;properties&quot;:{&quot;noteIndex&quot;:0},&quot;isEdited&quot;:false,&quot;manualOverride&quot;:{&quot;isManuallyOverridden&quot;:false,&quot;citeprocText&quot;:&quot;(Sayyed et al., 2012)&quot;,&quot;manualOverrideText&quot;:&quot;&quot;},&quot;citationTag&quot;:&quot;MENDELEY_CITATION_v3_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&quot;},{&quot;citationID&quot;:&quot;MENDELEY_CITATION_99bc405c-dcda-4f3c-be6d-a36903c5df91&quot;,&quot;citationItems&quot;:[{&quot;id&quot;:&quot;41de04b0-bc67-310e-997a-e08e67e1fd86&quot;,&quot;itemData&quot;:{&quot;type&quot;:&quot;article-journal&quot;,&quot;id&quot;:&quot;41de04b0-bc67-310e-997a-e08e67e1fd86&quot;,&quot;title&quot;:&quot;Nodulation by numbers: the role of ethylene in symbiotic nitrogen fixation&quot;,&quot;author&quot;:[{&quot;family&quot;:&quot;Wood&quot;,&quot;given&quot;:&quot;Nicola T&quot;,&quot;parse-names&quot;:false,&quot;dropping-particle&quot;:&quot;&quot;,&quot;non-dropping-particle&quot;:&quot;&quot;}],&quot;container-title&quot;:&quot;Trends in Plant Science&quot;,&quot;DOI&quot;:&quot;10.1016/S1360-1385(01)02128-8&quot;,&quot;ISSN&quot;:&quot;13601385&quot;,&quot;issued&quot;:{&quot;date-parts&quot;:[[2001,11]]},&quot;issue&quot;:&quot;11&quot;,&quot;volume&quot;:&quot;6&quot;},&quot;isTemporary&quot;:false}],&quot;properties&quot;:{&quot;noteIndex&quot;:0},&quot;isEdited&quot;:false,&quot;manualOverride&quot;:{&quot;isManuallyOverridden&quot;:false,&quot;citeprocText&quot;:&quot;(Wood, 2001)&quot;,&quot;manualOverrideText&quot;:&quot;&quot;},&quot;citationTag&quot;:&quot;MENDELEY_CITATION_v3_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&quot;},{&quot;citationID&quot;:&quot;MENDELEY_CITATION_8a7e4be3-54f5-44d3-aa8b-265ea5807d89&quot;,&quot;citationItems&quot;:[{&quot;id&quot;:&quot;6e778651-b0cd-3edf-8d70-e2c74dff3401&quot;,&quot;itemData&quot;:{&quot;type&quot;:&quot;chapter&quot;,&quot;id&quot;:&quot;6e778651-b0cd-3edf-8d70-e2c74dff3401&quot;,&quot;title&quot;:&quot; Biofertilizer in agriculture. In: P. K. Thampan (ed.) Organics in soil health and crop production. Peekay Tree Crops Development Foundation,&quot;,&quot;author&quot;:[{&quot;family&quot;:&quot;Verma LN&quot;,&quot;given&quot;:&quot;&quot;,&quot;parse-names&quot;:false,&quot;dropping-particle&quot;:&quot;&quot;,&quot;non-dropping-particle&quot;:&quot;&quot;}],&quot;issued&quot;:{&quot;date-parts&quot;:[[1993]]},&quot;publisher-place&quot;:&quot; Cochin, India. &quot;,&quot;page&quot;:&quot;152-183&quot;},&quot;isTemporary&quot;:false}],&quot;properties&quot;:{&quot;noteIndex&quot;:0},&quot;isEdited&quot;:false,&quot;manualOverride&quot;:{&quot;isManuallyOverridden&quot;:true,&quot;citeprocText&quot;:&quot;(Verma LN, 1993)&quot;,&quot;manualOverrideText&quot;:&quot;(Verma , 1993)&quot;},&quot;citationTag&quot;:&quot;MENDELEY_CITATION_v3_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&quot;},{&quot;citationID&quot;:&quot;MENDELEY_CITATION_137599c1-1391-4068-b2a8-1202d45c5947&quot;,&quot;citationItems&quot;:[{&quot;id&quot;:&quot;bb29af71-03c7-396a-9540-1855e9731d71&quot;,&quot;itemData&quot;:{&quot;type&quot;:&quot;chapter&quot;,&quot;id&quot;:&quot;bb29af71-03c7-396a-9540-1855e9731d71&quot;,&quot;title&quot;:&quot;An Overview of Plant Growth Promoting Rhizobacteria (PGPR) for Sustainable Agriculture&quot;,&quot;author&quot;:[{&quot;family&quot;:&quot;Hayat&quot;,&quot;given&quot;:&quot;Rifat&quot;,&quot;parse-names&quot;:false,&quot;dropping-particle&quot;:&quot;&quot;,&quot;non-dropping-particle&quot;:&quot;&quot;},{&quot;family&quot;:&quot;Ahmed&quot;,&quot;given&quot;:&quot;Iftikhar&quot;,&quot;parse-names&quot;:false,&quot;dropping-particle&quot;:&quot;&quot;,&quot;non-dropping-particle&quot;:&quot;&quot;},{&quot;family&quot;:&quot;Sheirdil&quot;,&quot;given&quot;:&quot;Rizwan Ali&quot;,&quot;parse-names&quot;:false,&quot;dropping-particle&quot;:&quot;&quot;,&quot;non-dropping-particle&quot;:&quot;&quot;}],&quot;container-title&quot;:&quot;Crop Production for Agricultural Improvement&quot;,&quot;DOI&quot;:&quot;10.1007/978-94-007-4116-4_22&quot;,&quot;issued&quot;:{&quot;date-parts&quot;:[[2012]]},&quot;publisher-place&quot;:&quot;Dordrecht&quot;,&quot;publisher&quot;:&quot;Springer Netherlands&quot;},&quot;isTemporary&quot;:false}],&quot;properties&quot;:{&quot;noteIndex&quot;:0},&quot;isEdited&quot;:false,&quot;manualOverride&quot;:{&quot;isManuallyOverridden&quot;:false,&quot;citeprocText&quot;:&quot;(Hayat et al., 2012)&quot;,&quot;manualOverrideText&quot;:&quot;&quot;},&quot;citationTag&quot;:&quot;MENDELEY_CITATION_v3_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&quot;},{&quot;citationID&quot;:&quot;MENDELEY_CITATION_083af465-f82f-4f8c-8676-97b78563aab2&quot;,&quot;citationItems&quot;:[{&quot;id&quot;:&quot;cb40b802-2e9d-3462-a8c0-cc5dade6f32e&quot;,&quot;itemData&quot;:{&quot;type&quot;:&quot;article-journal&quot;,&quot;id&quot;:&quot;cb40b802-2e9d-3462-a8c0-cc5dade6f32e&quot;,&quot;title&quot;:&quot;Diversity of plant growth and soil health supporting bacteria. &quot;,&quot;author&quot;:[{&quot;family&quot;:&quot;Tilak&quot;,&quot;given&quot;:&quot;K.,&quot;,&quot;parse-names&quot;:false,&quot;dropping-particle&quot;:&quot;&quot;,&quot;non-dropping-particle&quot;:&quot;&quot;},{&quot;family&quot;:&quot;Ranganayaki&quot;,&quot;given&quot;:&quot;N.,&quot;,&quot;parse-names&quot;:false,&quot;dropping-particle&quot;:&quot;&quot;,&quot;non-dropping-particle&quot;:&quot;&quot;},{&quot;family&quot;:&quot;Pal&quot;,&quot;given&quot;:&quot;K. K.,&quot;,&quot;parse-names&quot;:false,&quot;dropping-particle&quot;:&quot;&quot;,&quot;non-dropping-particle&quot;:&quot;&quot;},{&quot;family&quot;:&quot;De&quot;,&quot;given&quot;:&quot;R.,&quot;,&quot;parse-names&quot;:false,&quot;dropping-particle&quot;:&quot;&quot;,&quot;non-dropping-particle&quot;:&quot;&quot;},{&quot;family&quot;:&quot;Saxena&quot;,&quot;given&quot;:&quot;A. K.,&quot;,&quot;parse-names&quot;:false,&quot;dropping-particle&quot;:&quot;&quot;,&quot;non-dropping-particle&quot;:&quot;&quot;},{&quot;family&quot;:&quot;Nautiyal&quot;,&quot;given&quot;:&quot;C. S.,&quot;,&quot;parse-names&quot;:false,&quot;dropping-particle&quot;:&quot;&quot;,&quot;non-dropping-particle&quot;:&quot;&quot;},{&quot;family&quot;:&quot;Mittal&quot;,&quot;given&quot;:&quot;S.,&quot;,&quot;parse-names&quot;:false,&quot;dropping-particle&quot;:&quot;&quot;,&quot;non-dropping-particle&quot;:&quot;&quot;},{&quot;family&quot;:&quot;Tripathi&quot;,&quot;given&quot;:&quot;A. K.&quot;,&quot;parse-names&quot;:false,&quot;dropping-particle&quot;:&quot;&quot;,&quot;non-dropping-particle&quot;:&quot;&quot;},{&quot;family&quot;:&quot;&amp; Johri&quot;,&quot;given&quot;:&quot;B. N.&quot;,&quot;parse-names&quot;:false,&quot;dropping-particle&quot;:&quot;&quot;,&quot;non-dropping-particle&quot;:&quot;&quot;}],&quot;container-title&quot;:&quot;Current science,&quot;,&quot;issued&quot;:{&quot;date-parts&quot;:[[2005]]},&quot;page&quot;:&quot;136-150&quot;,&quot;volume&quot;:&quot;89&quot;},&quot;isTemporary&quot;:false}],&quot;properties&quot;:{&quot;noteIndex&quot;:0},&quot;isEdited&quot;:false,&quot;manualOverride&quot;:{&quot;isManuallyOverridden&quot;:false,&quot;citeprocText&quot;:&quot;(Tilak et al., 2005)&quot;,&quot;manualOverrideText&quot;:&quot;&quot;},&quot;citationTag&quot;:&quot;MENDELEY_CITATION_v3_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&quot;},{&quot;citationID&quot;:&quot;MENDELEY_CITATION_c518f6e2-578e-4731-b2e4-a45f60f6a6b4&quot;,&quot;citationItems&quot;:[{&quot;id&quot;:&quot;835f5681-edb4-3ffb-a5dd-a5504cbfbec6&quot;,&quot;itemData&quot;:{&quot;type&quot;:&quot;article-journal&quot;,&quot;id&quot;:&quot;835f5681-edb4-3ffb-a5dd-a5504cbfbec6&quot;,&quot;title&quot;:&quot;Biocoating of Seeds with Plant Growth-Promoting Rhizobacteria to Improve Plant Establishment&quot;,&quot;author&quot;:[{&quot;family&quot;:&quot;Schippers&quot;,&quot;given&quot;:&quot;B.&quot;,&quot;parse-names&quot;:false,&quot;dropping-particle&quot;:&quot;&quot;,&quot;non-dropping-particle&quot;:&quot;&quot;},{&quot;family&quot;:&quot;Scheffer&quot;,&quot;given&quot;:&quot;R. J.&quot;,&quot;parse-names&quot;:false,&quot;dropping-particle&quot;:&quot;&quot;,&quot;non-dropping-particle&quot;:&quot;&quot;},{&quot;family&quot;:&quot;Lugtenberg&quot;,&quot;given&quot;:&quot;B. J. J.&quot;,&quot;parse-names&quot;:false,&quot;dropping-particle&quot;:&quot;&quot;,&quot;non-dropping-particle&quot;:&quot;&quot;},{&quot;family&quot;:&quot;Weisbeek&quot;,&quot;given&quot;:&quot;P. J.&quot;,&quot;parse-names&quot;:false,&quot;dropping-particle&quot;:&quot;&quot;,&quot;non-dropping-particle&quot;:&quot;&quot;}],&quot;container-title&quot;:&quot;Outlook on Agriculture&quot;,&quot;DOI&quot;:&quot;10.1177/003072709502400308&quot;,&quot;ISSN&quot;:&quot;0030-7270&quot;,&quot;issued&quot;:{&quot;date-parts&quot;:[[1995,9,3]]},&quot;abstract&quot;:&quot;&lt;p&gt;Plant growth-promoting rhizobacteria (PGPRs) have the potential to contribute significantly to the development of sustainable agricultural systems. Our understanding at the molecular level of the interactions between these microorganisms, the plant and the environment is growing rapidly, facilitating the development of microbial products. However, their development is hampered by the legislative restrictions on their use and consequently high costs. This is especially true because biocontrol agents are often specific to crops, pathogens and soil types. Nevertheless, promising new products for the improvement of plant establishment and plant growth, such as ‘BioCoat ’ for radish seeds, have entered the market.&lt;/p&gt;&quot;,&quot;issue&quot;:&quot;3&quot;,&quot;volume&quot;:&quot;24&quot;},&quot;isTemporary&quot;:false}],&quot;properties&quot;:{&quot;noteIndex&quot;:0},&quot;isEdited&quot;:false,&quot;manualOverride&quot;:{&quot;isManuallyOverridden&quot;:false,&quot;citeprocText&quot;:&quot;(Schippers et al., 1995)&quot;,&quot;manualOverrideText&quot;:&quot;&quot;},&quot;citationTag&quot;:&quot;MENDELEY_CITATION_v3_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&quot;},{&quot;citationID&quot;:&quot;MENDELEY_CITATION_dfb83908-1ac5-42bb-816f-0de1b5d01519&quot;,&quot;citationItems&quot;:[{&quot;id&quot;:&quot;c32b6b5d-bcab-38d7-8487-b27f5a9496f8&quot;,&quot;itemData&quot;:{&quot;type&quot;:&quot;article-journal&quot;,&quot;id&quot;:&quot;c32b6b5d-bcab-38d7-8487-b27f5a9496f8&quot;,&quot;title&quot;:&quot;Plant Growth-Promoting Effects of Diazotrophs in the Rhizosphere&quot;,&quot;author&quot;:[{&quot;family&quot;:&quot;Dobbelaere&quot;,&quot;given&quot;:&quot;Sofie&quot;,&quot;parse-names&quot;:false,&quot;dropping-particle&quot;:&quot;&quot;,&quot;non-dropping-particle&quot;:&quot;&quot;},{&quot;family&quot;:&quot;Vanderleyden&quot;,&quot;given&quot;:&quot;Jos&quot;,&quot;parse-names&quot;:false,&quot;dropping-particle&quot;:&quot;&quot;,&quot;non-dropping-particle&quot;:&quot;&quot;},{&quot;family&quot;:&quot;Okon&quot;,&quot;given&quot;:&quot;Yaacov&quot;,&quot;parse-names&quot;:false,&quot;dropping-particle&quot;:&quot;&quot;,&quot;non-dropping-particle&quot;:&quot;&quot;}],&quot;container-title&quot;:&quot;Critical Reviews in Plant Sciences&quot;,&quot;DOI&quot;:&quot;10.1080/713610853&quot;,&quot;ISSN&quot;:&quot;0735-2689&quot;,&quot;issued&quot;:{&quot;date-parts&quot;:[[2003,3]]},&quot;issue&quot;:&quot;2&quot;,&quot;volume&quot;:&quot;22&quot;},&quot;isTemporary&quot;:false}],&quot;properties&quot;:{&quot;noteIndex&quot;:0},&quot;isEdited&quot;:false,&quot;manualOverride&quot;:{&quot;isManuallyOverridden&quot;:false,&quot;citeprocText&quot;:&quot;(Dobbelaere et al., 2003)&quot;,&quot;manualOverrideText&quot;:&quot;&quot;},&quot;citationTag&quot;:&quot;MENDELEY_CITATION_v3_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&quot;},{&quot;citationID&quot;:&quot;MENDELEY_CITATION_727be542-930b-46cd-ab67-4cf1e6566aec&quot;,&quot;citationItems&quot;:[{&quot;id&quot;:&quot;da8e24da-5ac7-3de2-80bf-b09d04922acf&quot;,&quot;itemData&quot;:{&quot;type&quot;:&quot;article-journal&quot;,&quot;id&quot;:&quot;da8e24da-5ac7-3de2-80bf-b09d04922acf&quot;,&quot;title&quot;:&quot;Growth promotion of plants by plant growth-promoting rhizobacteria under greenhouse and two different field soil conditions&quot;,&quot;author&quot;:[{&quot;family&quot;:&quot;Çakmakçi&quot;,&quot;given&quot;:&quot;Ramazan&quot;,&quot;parse-names&quot;:false,&quot;dropping-particle&quot;:&quot;&quot;,&quot;non-dropping-particle&quot;:&quot;&quot;},{&quot;family&quot;:&quot;Dönmez&quot;,&quot;given&quot;:&quot;Figen&quot;,&quot;parse-names&quot;:false,&quot;dropping-particle&quot;:&quot;&quot;,&quot;non-dropping-particle&quot;:&quot;&quot;},{&quot;family&quot;:&quot;Aydın&quot;,&quot;given&quot;:&quot;Adil&quot;,&quot;parse-names&quot;:false,&quot;dropping-particle&quot;:&quot;&quot;,&quot;non-dropping-particle&quot;:&quot;&quot;},{&quot;family&quot;:&quot;Şahin&quot;,&quot;given&quot;:&quot;Fikrettin&quot;,&quot;parse-names&quot;:false,&quot;dropping-particle&quot;:&quot;&quot;,&quot;non-dropping-particle&quot;:&quot;&quot;}],&quot;container-title&quot;:&quot;Soil Biology and Biochemistry&quot;,&quot;DOI&quot;:&quot;10.1016/j.soilbio.2005.09.019&quot;,&quot;ISSN&quot;:&quot;00380717&quot;,&quot;issued&quot;:{&quot;date-parts&quot;:[[2006,6]]},&quot;issue&quot;:&quot;6&quot;,&quot;volume&quot;:&quot;38&quot;},&quot;isTemporary&quot;:false}],&quot;properties&quot;:{&quot;noteIndex&quot;:0},&quot;isEdited&quot;:false,&quot;manualOverride&quot;:{&quot;isManuallyOverridden&quot;:false,&quot;citeprocText&quot;:&quot;(Çakmakçi et al., 2006)&quot;,&quot;manualOverrideText&quot;:&quot;&quot;},&quot;citationTag&quot;:&quot;MENDELEY_CITATION_v3_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&quot;},{&quot;citationID&quot;:&quot;MENDELEY_CITATION_82ca9c80-c8f1-4071-9e3c-45fd1a6d410b&quot;,&quot;citationItems&quot;:[{&quot;id&quot;:&quot;edc19532-39c6-3f89-bfed-252dee93e8a1&quot;,&quot;itemData&quot;:{&quot;type&quot;:&quot;article-journal&quot;,&quot;id&quot;:&quot;edc19532-39c6-3f89-bfed-252dee93e8a1&quot;,&quot;title&quot;:&quot;Microbial interactions in the mycorrhizosphere and their significance for sustainable agriculture&quot;,&quot;author&quot;:[{&quot;family&quot;:&quot;Johansson&quot;,&quot;given&quot;:&quot;Jonas F.&quot;,&quot;parse-names&quot;:false,&quot;dropping-particle&quot;:&quot;&quot;,&quot;non-dropping-particle&quot;:&quot;&quot;},{&quot;family&quot;:&quot;Paul&quot;,&quot;given&quot;:&quot;Leslie R.&quot;,&quot;parse-names&quot;:false,&quot;dropping-particle&quot;:&quot;&quot;,&quot;non-dropping-particle&quot;:&quot;&quot;},{&quot;family&quot;:&quot;Finlay&quot;,&quot;given&quot;:&quot;Roger D.&quot;,&quot;parse-names&quot;:false,&quot;dropping-particle&quot;:&quot;&quot;,&quot;non-dropping-particle&quot;:&quot;&quot;}],&quot;container-title&quot;:&quot;FEMS Microbiology Ecology&quot;,&quot;DOI&quot;:&quot;10.1016/j.femsec.2003.11.012&quot;,&quot;ISSN&quot;:&quot;01686496&quot;,&quot;issued&quot;:{&quot;date-parts&quot;:[[2004,4]]},&quot;issue&quot;:&quot;1&quot;,&quot;volume&quot;:&quot;48&quot;},&quot;isTemporary&quot;:false}],&quot;properties&quot;:{&quot;noteIndex&quot;:0},&quot;isEdited&quot;:false,&quot;manualOverride&quot;:{&quot;isManuallyOverridden&quot;:false,&quot;citeprocText&quot;:&quot;(Johansson et al., 2004)&quot;,&quot;manualOverrideText&quot;:&quot;&quot;},&quot;citationTag&quot;:&quot;MENDELEY_CITATION_v3_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&quot;},{&quot;citationID&quot;:&quot;MENDELEY_CITATION_c27baea5-b5b6-43e2-a66e-33b2595ac3f1&quot;,&quot;citationItems&quot;:[{&quot;id&quot;:&quot;64432eb5-2b02-3558-8479-5e3b0b11cae6&quot;,&quot;itemData&quot;:{&quot;type&quot;:&quot;article-journal&quot;,&quot;id&quot;:&quot;64432eb5-2b02-3558-8479-5e3b0b11cae6&quot;,&quot;title&quot;:&quot;Arbuscular mycorrhizas and biological control of soil-borne plant pathogens - an overview of the mechanisms involved&quot;,&quot;author&quot;:[{&quot;family&quot;:&quot;Azcón-Aguilar&quot;,&quot;given&quot;:&quot;C.&quot;,&quot;parse-names&quot;:false,&quot;dropping-particle&quot;:&quot;&quot;,&quot;non-dropping-particle&quot;:&quot;&quot;},{&quot;family&quot;:&quot;Barea&quot;,&quot;given&quot;:&quot;J. M.&quot;,&quot;parse-names&quot;:false,&quot;dropping-particle&quot;:&quot;&quot;,&quot;non-dropping-particle&quot;:&quot;&quot;}],&quot;container-title&quot;:&quot;Mycorrhiza&quot;,&quot;DOI&quot;:&quot;10.1007/s005720050147&quot;,&quot;ISSN&quot;:&quot;0940-6360&quot;,&quot;issued&quot;:{&quot;date-parts&quot;:[[1997,2,20]]},&quot;issue&quot;:&quot;6&quot;,&quot;volume&quot;:&quot;6&quot;},&quot;isTemporary&quot;:false}],&quot;properties&quot;:{&quot;noteIndex&quot;:0},&quot;isEdited&quot;:false,&quot;manualOverride&quot;:{&quot;isManuallyOverridden&quot;:false,&quot;citeprocText&quot;:&quot;(Azcón-Aguilar &amp;#38; Barea, 1997)&quot;,&quot;manualOverrideText&quot;:&quot;&quot;},&quot;citationTag&quot;:&quot;MENDELEY_CITATION_v3_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&quot;},{&quot;citationID&quot;:&quot;MENDELEY_CITATION_b8ace3b3-64b9-49a1-8f8b-ca6ec5ecae5b&quot;,&quot;citationItems&quot;:[{&quot;id&quot;:&quot;d261efce-3d89-30b9-ab7c-55129f182b72&quot;,&quot;itemData&quot;:{&quot;type&quot;:&quot;article-journal&quot;,&quot;id&quot;:&quot;d261efce-3d89-30b9-ab7c-55129f182b72&quot;,&quot;title&quot;:&quot; Microbial interactions in mycorrhizosphere of Anethum graveolens L. &quot;,&quot;author&quot;:[{&quot;family&quot;:&quot;Kapoor&quot;,&quot;given&quot;:&quot;R.&quot;,&quot;parse-names&quot;:false,&quot;dropping-particle&quot;:&quot;&quot;,&quot;non-dropping-particle&quot;:&quot;&quot;},{&quot;family&quot;:&quot;&amp; Mukerji&quot;,&quot;given&quot;:&quot;K. G.&quot;,&quot;parse-names&quot;:false,&quot;dropping-particle&quot;:&quot;&quot;,&quot;non-dropping-particle&quot;:&quot;&quot;}],&quot;container-title&quot;:&quot;Phytomorphology, &quot;,&quot;issued&quot;:{&quot;date-parts&quot;:[[1998]]},&quot;page&quot;:&quot;383-389&quot;,&quot;volume&quot;:&quot;48&quot;},&quot;isTemporary&quot;:false}],&quot;properties&quot;:{&quot;noteIndex&quot;:0},&quot;isEdited&quot;:false,&quot;manualOverride&quot;:{&quot;isManuallyOverridden&quot;:true,&quot;citeprocText&quot;:&quot;(Kapoor &amp;#38; &amp;#38; Mukerji, 1998)&quot;,&quot;manualOverrideText&quot;:&quot; (Kapoor &amp; &amp; Mukerji, 1998).&quot;},&quot;citationTag&quot;:&quot;MENDELEY_CITATION_v3_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&quot;},{&quot;citationID&quot;:&quot;MENDELEY_CITATION_009d3577-9074-4160-97fc-b9a55cf96fda&quot;,&quot;citationItems&quot;:[{&quot;id&quot;:&quot;84bb8b28-df28-383c-87bd-80bfacfd842b&quot;,&quot;itemData&quot;:{&quot;type&quot;:&quot;article-journal&quot;,&quot;id&quot;:&quot;84bb8b28-df28-383c-87bd-80bfacfd842b&quot;,&quot;title&quot;:&quot;The occurrence of antagonistic bacteria in Glomus mosseae pot cultures.&quot;,&quot;author&quot;:[{&quot;family&quot;:&quot;Citernesi&quot;,&quot;given&quot;:&quot;A. S.,&quot;,&quot;parse-names&quot;:false,&quot;dropping-particle&quot;:&quot;&quot;,&quot;non-dropping-particle&quot;:&quot;&quot;},{&quot;family&quot;:&quot;Fortuna&quot;,&quot;given&quot;:&quot;P.,&quot;,&quot;parse-names&quot;:false,&quot;dropping-particle&quot;:&quot;&quot;,&quot;non-dropping-particle&quot;:&quot;&quot;},{&quot;family&quot;:&quot;Filippi&quot;,&quot;given&quot;:&quot;C.,&quot;,&quot;parse-names&quot;:false,&quot;dropping-particle&quot;:&quot;&quot;,&quot;non-dropping-particle&quot;:&quot;&quot;},{&quot;family&quot;:&quot;Bagnoli&quot;,&quot;given&quot;:&quot;G.&quot;,&quot;parse-names&quot;:false,&quot;dropping-particle&quot;:&quot;&quot;,&quot;non-dropping-particle&quot;:&quot;&quot;},{&quot;family&quot;:&quot;&amp; GiovannettiI&quot;,&quot;given&quot;:&quot;M.&quot;,&quot;parse-names&quot;:false,&quot;dropping-particle&quot;:&quot;&quot;,&quot;non-dropping-particle&quot;:&quot;&quot;}],&quot;container-title&quot;:&quot;Agronomie-Sciences des Productions Vegetales et de l'Environnement, &quot;,&quot;issued&quot;:{&quot;date-parts&quot;:[[1996]]},&quot;page&quot;:&quot;671-678&quot;,&quot;volume&quot;:&quot;16&quot;},&quot;isTemporary&quot;:false}],&quot;properties&quot;:{&quot;noteIndex&quot;:0},&quot;isEdited&quot;:false,&quot;manualOverride&quot;:{&quot;isManuallyOverridden&quot;:false,&quot;citeprocText&quot;:&quot;(Citernesi et al., 1996)&quot;,&quot;manualOverrideText&quot;:&quot;&quot;},&quot;citationTag&quot;:&quot;MENDELEY_CITATION_v3_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&quot;},{&quot;citationID&quot;:&quot;MENDELEY_CITATION_40d43402-bcf4-4419-9668-5288058cb88f&quot;,&quot;citationItems&quot;:[{&quot;id&quot;:&quot;1c23a07e-d2ea-33dc-91d0-3d9a2842d4a4&quot;,&quot;itemData&quot;:{&quot;type&quot;:&quot;article-journal&quot;,&quot;id&quot;:&quot;1c23a07e-d2ea-33dc-91d0-3d9a2842d4a4&quot;,&quot;title&quot;:&quot;Postharvest suppression of potato dry rot (Fusarium sambucinum) in prenuclear minitubers by arbuscular mycorrhizal fungal inoculum. &quot;,&quot;author&quot;:[{&quot;family&quot;:&quot;Niemira&quot;,&quot;given&quot;:&quot;B. A.,&quot;,&quot;parse-names&quot;:false,&quot;dropping-particle&quot;:&quot;&quot;,&quot;non-dropping-particle&quot;:&quot;&quot;},{&quot;family&quot;:&quot;Hammerschmidt&quot;,&quot;given&quot;:&quot;R.&quot;,&quot;parse-names&quot;:false,&quot;dropping-particle&quot;:&quot;&quot;,&quot;non-dropping-particle&quot;:&quot;&quot;},{&quot;family&quot;:&quot;&amp; Safir&quot;,&quot;given&quot;:&quot;G. R.&quot;,&quot;parse-names&quot;:false,&quot;dropping-particle&quot;:&quot;&quot;,&quot;non-dropping-particle&quot;:&quot;&quot;}],&quot;container-title&quot;:&quot;American potato journal, 73, 509-515.&quot;,&quot;issued&quot;:{&quot;date-parts&quot;:[[1996]]},&quot;page&quot;:&quot;509-515&quot;,&quot;volume&quot;:&quot;73&quot;},&quot;isTemporary&quot;:false}],&quot;properties&quot;:{&quot;noteIndex&quot;:0},&quot;isEdited&quot;:false,&quot;manualOverride&quot;:{&quot;isManuallyOverridden&quot;:false,&quot;citeprocText&quot;:&quot;(Niemira et al., 1996)&quot;,&quot;manualOverrideText&quot;:&quot;&quot;},&quot;citationTag&quot;:&quot;MENDELEY_CITATION_v3_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&quot;},{&quot;citationID&quot;:&quot;MENDELEY_CITATION_3139883b-61fd-4665-9790-3c55f99e1cf1&quot;,&quot;citationItems&quot;:[{&quot;id&quot;:&quot;aa9b41d7-934a-3e4d-ae9c-e2974c1083a9&quot;,&quot;itemData&quot;:{&quot;type&quot;:&quot;article-journal&quot;,&quot;id&quot;:&quot;aa9b41d7-934a-3e4d-ae9c-e2974c1083a9&quot;,&quot;title&quot;:&quot;Effect of the combined inoculation of arbuscular mycorrhizal fungi and plant growth-promoting rhizobacteria on carica papaya L.) infected with the root-knot nematoda meloidogyn incognita.&quot;,&quot;author&quot;:[{&quot;family&quot;:&quot;Jaizme-vega&quot;,&quot;given&quot;:&quot;M. D. C.,&quot;,&quot;parse-names&quot;:false,&quot;dropping-particle&quot;:&quot;&quot;,&quot;non-dropping-particle&quot;:&quot;&quot;},{&quot;family&quot;:&quot;Rodriguez-romero&quot;,&quot;given&quot;:&quot;A. S.&quot;,&quot;parse-names&quot;:false,&quot;dropping-particle&quot;:&quot;&quot;,&quot;non-dropping-particle&quot;:&quot;&quot;},{&quot;family&quot;:&quot;&amp; Barroso nuneza&quot;,&quot;given&quot;:&quot;L. A.&quot;,&quot;parse-names&quot;:false,&quot;dropping-particle&quot;:&quot;&quot;,&quot;non-dropping-particle&quot;:&quot;&quot;}],&quot;container-title&quot;:&quot;Fruits,&quot;,&quot;issued&quot;:{&quot;date-parts&quot;:[[2006]]},&quot;page&quot;:&quot;151-162&quot;,&quot;volume&quot;:&quot;  61&quot;},&quot;isTemporary&quot;:false}],&quot;properties&quot;:{&quot;noteIndex&quot;:0},&quot;isEdited&quot;:false,&quot;manualOverride&quot;:{&quot;isManuallyOverridden&quot;:false,&quot;citeprocText&quot;:&quot;(Jaizme-vega et al., 2006)&quot;,&quot;manualOverrideText&quot;:&quot;&quot;},&quot;citationTag&quot;:&quot;MENDELEY_CITATION_v3_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&quot;},{&quot;citationID&quot;:&quot;MENDELEY_CITATION_ab93f681-9470-4dc6-a316-a89d47a8c0a0&quot;,&quot;citationItems&quot;:[{&quot;id&quot;:&quot;aebc5bc9-f9bc-3daa-98d0-499f805dccf3&quot;,&quot;itemData&quot;:{&quot;type&quot;:&quot;article-journal&quot;,&quot;id&quot;:&quot;aebc5bc9-f9bc-3daa-98d0-499f805dccf3&quot;,&quot;title&quot;:&quot;Efficient soil microorganisms: A new dimension for sustainable agriculture and environmental development&quot;,&quot;author&quot;:[{&quot;family&quot;:&quot;Singh&quot;,&quot;given&quot;:&quot;Jay Shankar&quot;,&quot;parse-names&quot;:false,&quot;dropping-particle&quot;:&quot;&quot;,&quot;non-dropping-particle&quot;:&quot;&quot;},{&quot;family&quot;:&quot;Pandey&quot;,&quot;given&quot;:&quot;Vimal Chandra&quot;,&quot;parse-names&quot;:false,&quot;dropping-particle&quot;:&quot;&quot;,&quot;non-dropping-particle&quot;:&quot;&quot;},{&quot;family&quot;:&quot;Singh&quot;,&quot;given&quot;:&quot;D.P.&quot;,&quot;parse-names&quot;:false,&quot;dropping-particle&quot;:&quot;&quot;,&quot;non-dropping-particle&quot;:&quot;&quot;}],&quot;container-title&quot;:&quot;Agriculture, Ecosystems &amp; Environment&quot;,&quot;DOI&quot;:&quot;10.1016/j.agee.2011.01.017&quot;,&quot;ISSN&quot;:&quot;01678809&quot;,&quot;issued&quot;:{&quot;date-parts&quot;:[[2011,3]]},&quot;issue&quot;:&quot;3-4&quot;,&quot;volume&quot;:&quot;140&quot;},&quot;isTemporary&quot;:false}],&quot;properties&quot;:{&quot;noteIndex&quot;:0},&quot;isEdited&quot;:false,&quot;manualOverride&quot;:{&quot;isManuallyOverridden&quot;:true,&quot;citeprocText&quot;:&quot;(J. S. Singh et al., 2011)&quot;,&quot;manualOverrideText&quot;:&quot;(Singh et al., 2011)&quot;},&quot;citationTag&quot;:&quot;MENDELEY_CITATION_v3_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&quot;},{&quot;citationID&quot;:&quot;MENDELEY_CITATION_a2e78532-98d2-4e7d-939b-354dd7c8e815&quot;,&quot;citationItems&quot;:[{&quot;id&quot;:&quot;dfa58bdd-c7a8-39b3-ae39-4bbf7a3cc6bb&quot;,&quot;itemData&quot;:{&quot;type&quot;:&quot;article-journal&quot;,&quot;id&quot;:&quot;dfa58bdd-c7a8-39b3-ae39-4bbf7a3cc6bb&quot;,&quot;title&quot;:&quot;Soil microbial diversity and the sustainability of agricultural soils&quot;,&quot;author&quot;:[{&quot;family&quot;:&quot;Kennedy&quot;,&quot;given&quot;:&quot;A. C.&quot;,&quot;parse-names&quot;:false,&quot;dropping-particle&quot;:&quot;&quot;,&quot;non-dropping-particle&quot;:&quot;&quot;},{&quot;family&quot;:&quot;Smith&quot;,&quot;given&quot;:&quot;K. L.&quot;,&quot;parse-names&quot;:false,&quot;dropping-particle&quot;:&quot;&quot;,&quot;non-dropping-particle&quot;:&quot;&quot;}],&quot;container-title&quot;:&quot;Plant and Soil&quot;,&quot;DOI&quot;:&quot;10.1007/BF02183056&quot;,&quot;ISSN&quot;:&quot;0032-079X&quot;,&quot;issued&quot;:{&quot;date-parts&quot;:[[1995,3]]},&quot;issue&quot;:&quot;1&quot;,&quot;volume&quot;:&quot;170&quot;},&quot;isTemporary&quot;:false}],&quot;properties&quot;:{&quot;noteIndex&quot;:0},&quot;isEdited&quot;:false,&quot;manualOverride&quot;:{&quot;isManuallyOverridden&quot;:false,&quot;citeprocText&quot;:&quot;(Kennedy &amp;#38; Smith, 1995)&quot;,&quot;manualOverrideText&quot;:&quot;&quot;},&quot;citationTag&quot;:&quot;MENDELEY_CITATION_v3_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&quot;},{&quot;citationID&quot;:&quot;MENDELEY_CITATION_1b4f66fd-1c63-4153-916d-92dc49f06164&quot;,&quot;citationItems&quot;:[{&quot;id&quot;:&quot;ebd446b2-27e3-3991-8659-fd28e6b6b29d&quot;,&quot;itemData&quot;:{&quot;type&quot;:&quot;article-journal&quot;,&quot;id&quot;:&quot;ebd446b2-27e3-3991-8659-fd28e6b6b29d&quot;,&quot;title&quot;:&quot;http://www.fao.org/3/av007e/av007e.pdf&quot;,&quot;author&quot;:[{&quot;family&quot;:&quot;FAO&quot;,&quot;given&quot;:&quot;&quot;,&quot;parse-names&quot;:false,&quot;dropping-particle&quot;:&quot;&quot;,&quot;non-dropping-particle&quot;:&quot;&quot;}],&quot;container-title&quot;:&quot;http://www.fao.org/in-action/inpho/crop-compendium/cereals-grains/en/&quot;,&quot;issued&quot;:{&quot;date-parts&quot;:[[2003]]}},&quot;isTemporary&quot;:false}],&quot;properties&quot;:{&quot;noteIndex&quot;:0},&quot;isEdited&quot;:false,&quot;manualOverride&quot;:{&quot;isManuallyOverridden&quot;:true,&quot;citeprocText&quot;:&quot;(FAO, 2003)&quot;,&quot;manualOverrideText&quot;:&quot;(FAO, 2003).&quot;},&quot;citationTag&quot;:&quot;MENDELEY_CITATION_v3_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&quot;},{&quot;citationID&quot;:&quot;MENDELEY_CITATION_317422ef-afe1-4510-b92c-2a32305b849f&quot;,&quot;citationItems&quot;:[{&quot;id&quot;:&quot;cd563ccf-b47f-3d46-bb59-ac8f8192b7a5&quot;,&quot;itemData&quot;:{&quot;type&quot;:&quot;article-journal&quot;,&quot;id&quot;:&quot;cd563ccf-b47f-3d46-bb59-ac8f8192b7a5&quot;,&quot;title&quot;:&quot;Applications of Nanotechnology in Plant Growth and Crop Protection: A Review&quot;,&quot;author&quot;:[{&quot;family&quot;:&quot;Shang&quot;,&quot;given&quot;:&quot;Yifen&quot;,&quot;parse-names&quot;:false,&quot;dropping-particle&quot;:&quot;&quot;,&quot;non-dropping-particle&quot;:&quot;&quot;},{&quot;family&quot;:&quot;Hasan&quot;,&quot;given&quot;:&quot;Md. Kamrul&quot;,&quot;parse-names&quot;:false,&quot;dropping-particle&quot;:&quot;&quot;,&quot;non-dropping-particle&quot;:&quot;&quot;},{&quot;family&quot;:&quot;Ahammed&quot;,&quot;given&quot;:&quot;Golam Jalal&quot;,&quot;parse-names&quot;:false,&quot;dropping-particle&quot;:&quot;&quot;,&quot;non-dropping-particle&quot;:&quot;&quot;},{&quot;family&quot;:&quot;Li&quot;,&quot;given&quot;:&quot;Mengqi&quot;,&quot;parse-names&quot;:false,&quot;dropping-particle&quot;:&quot;&quot;,&quot;non-dropping-particle&quot;:&quot;&quot;},{&quot;family&quot;:&quot;Yin&quot;,&quot;given&quot;:&quot;Hanqin&quot;,&quot;parse-names&quot;:false,&quot;dropping-particle&quot;:&quot;&quot;,&quot;non-dropping-particle&quot;:&quot;&quot;},{&quot;family&quot;:&quot;Zhou&quot;,&quot;given&quot;:&quot;Jie&quot;,&quot;parse-names&quot;:false,&quot;dropping-particle&quot;:&quot;&quot;,&quot;non-dropping-particle&quot;:&quot;&quot;}],&quot;container-title&quot;:&quot;Molecules&quot;,&quot;DOI&quot;:&quot;10.3390/molecules24142558&quot;,&quot;ISSN&quot;:&quot;1420-3049&quot;,&quot;issued&quot;:{&quot;date-parts&quot;:[[2019,7,13]]},&quot;abstract&quot;:&quot;&lt;p&gt;In the era of climate change, global agricultural systems are facing numerous, unprecedented challenges. In order to achieve food security, advanced nano-engineering is a handy tool for boosting crop production and assuring sustainability. Nanotechnology helps to improve agricultural production by increasing the efficiency of inputs and minimizing relevant losses. Nanomaterials offer a wider specific surface area to fertilizers and pesticides. In addition, nanomaterials as unique carriers of agrochemicals facilitate the site-targeted controlled delivery of nutrients with increased crop protection. Due to their direct and intended applications in the precise management and control of inputs (fertilizers, pesticides, herbicides), nanotools, such as nanobiosensors, support the development of high-tech agricultural farms. The integration of biology and nanotechnology into nonosensors has greatly increased their potential to sense and identify the environmental conditions or impairments. In this review, we summarize recent attempts at innovative uses of nanotechnologies in agriculture that may help to meet the rising demand for food and environmental sustainability.&lt;/p&gt;&quot;,&quot;issue&quot;:&quot;14&quot;,&quot;volume&quot;:&quot;24&quot;},&quot;isTemporary&quot;:false}],&quot;properties&quot;:{&quot;noteIndex&quot;:0},&quot;isEdited&quot;:false,&quot;manualOverride&quot;:{&quot;isManuallyOverridden&quot;:false,&quot;citeprocText&quot;:&quot;(Shang et al., 2019)&quot;,&quot;manualOverrideText&quot;:&quot;&quot;},&quot;citationTag&quot;:&quot;MENDELEY_CITATION_v3_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&quot;},{&quot;citationID&quot;:&quot;MENDELEY_CITATION_d8a3f0b9-4961-4b71-b43b-97b78493e174&quot;,&quot;citationItems&quot;:[{&quot;id&quot;:&quot;75f7f28f-4c28-3548-9c92-33c43ce7a3c0&quot;,&quot;itemData&quot;:{&quot;type&quot;:&quot;article&quot;,&quot;id&quot;:&quot;75f7f28f-4c28-3548-9c92-33c43ce7a3c0&quot;,&quot;title&quot;:&quot;The impact of Genetically Modified (GM) crops in modern agriculture: A review&quot;,&quot;author&quot;:[{&quot;family&quot;:&quot;Raman&quot;,&quot;given&quot;:&quot;Ruchir&quot;,&quot;parse-names&quot;:false,&quot;dropping-particle&quot;:&quot;&quot;,&quot;non-dropping-particle&quot;:&quot;&quot;}],&quot;container-title&quot;:&quot;GM Crops and Food&quot;,&quot;DOI&quot;:&quot;10.1080/21645698.2017.1413522&quot;,&quot;ISSN&quot;:&quot;21645701&quot;,&quot;PMID&quot;:&quot;29235937&quot;,&quot;issued&quot;:{&quot;date-parts&quot;:[[2017,10,2]]},&quot;page&quot;:&quot;195-208&quot;,&quot;abstract&quot;:&quot;Genetic modification in plants was first recorded 10,000 years ago in Southwest Asia where humans first bred plants through artificial selection and selective breeding. Since then, advancements in agriculture science and technology have brought about the current GM crop revolution. GM crops are promising to mitigate current and future problems in commercial agriculture, with proven case studies in Indian cotton and Australian canola. However, controversial studies such as the Monarch Butterfly study (1999) and the Séralini affair (2012) along with current problems linked to insect resistance and potential health risks have jeopardised its standing with the public and policymakers, even leading to full and partial bans in certain countries. Nevertheless, the current growth rate of the GM seed market at 9.83–10% CAGR along with promising research avenues in biofortification, precise DNA integration and stress tolerance have forecast it to bring productivity and prosperity to commercial agriculture.&quot;,&quot;publisher&quot;:&quot;Taylor and Francis Ltd.&quot;,&quot;issue&quot;:&quot;4&quot;,&quot;volume&quot;:&quot;8&quot;},&quot;isTemporary&quot;:false}],&quot;properties&quot;:{&quot;noteIndex&quot;:0},&quot;isEdited&quot;:false,&quot;manualOverride&quot;:{&quot;isManuallyOverridden&quot;:false,&quot;citeprocText&quot;:&quot;(Raman, 2017)&quot;,&quot;manualOverrideText&quot;:&quot;&quot;},&quot;citationTag&quot;:&quot;MENDELEY_CITATION_v3_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&quot;},{&quot;citationID&quot;:&quot;MENDELEY_CITATION_b6faf95e-113f-4e5b-83e1-194aa1932fab&quot;,&quot;citationItems&quot;:[{&quot;id&quot;:&quot;136ac026-df9a-35c3-bd25-59913724e0cc&quot;,&quot;itemData&quot;:{&quot;type&quot;:&quot;book&quot;,&quot;id&quot;:&quot;136ac026-df9a-35c3-bd25-59913724e0cc&quot;,&quot;title&quot;:&quot;Mycorrhizal Symbiosis&quot;,&quot;author&quot;:[{&quot;family&quot;:&quot;Smith&quot;,&quot;given&quot;:&quot;Sally&quot;,&quot;parse-names&quot;:false,&quot;dropping-particle&quot;:&quot;&quot;,&quot;non-dropping-particle&quot;:&quot;&quot;},{&quot;family&quot;:&quot;Read&quot;,&quot;given&quot;:&quot;David&quot;,&quot;parse-names&quot;:false,&quot;dropping-particle&quot;:&quot;&quot;,&quot;non-dropping-particle&quot;:&quot;&quot;}],&quot;container-title&quot;:&quot;Mycorrhizal Symbiosis&quot;,&quot;accessed&quot;:{&quot;date-parts&quot;:[[2021,3,15]]},&quot;DOI&quot;:&quot;10.1016/B978-0-12-370526-6.X5001-6&quot;,&quot;ISBN&quot;:&quot;9780123705266&quot;,&quot;issued&quot;:{&quot;date-parts&quot;:[[2008]]},&quot;abstract&quot;:&quot;The roots of most plants are colonized by symbiotic fungi to form mycorrhiza, which play a critical role in the capture of nutrients from the soil and therefore in plant nutrition. Mycorrhizal Symbiosis is recognized as the definitive work in this area. Since the last edition was published there have been major advances in the field, particularly in the area of molecular biology, and the new edition has been fully revised and updated to incorporate these exciting new developments. . Over 50% new material . Includes expanded color plate section . Covers all aspects of mycorrhiza . Presents new taxonomy . Discusses the impact of proteomics and genomics on research in this area. © 2008 Elsevier Ltd All rights reserved.&quot;,&quot;publisher&quot;:&quot;Elsevier Ltd&quot;},&quot;isTemporary&quot;:false}],&quot;properties&quot;:{&quot;noteIndex&quot;:0},&quot;isEdited&quot;:false,&quot;manualOverride&quot;:{&quot;isManuallyOverridden&quot;:true,&quot;citeprocText&quot;:&quot;(S. Smith &amp;#38; Read, 2008)&quot;,&quot;manualOverrideText&quot;:&quot;(Smith &amp; Read, 2008)&quot;},&quot;citationTag&quot;:&quot;MENDELEY_CITATION_v3_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&quot;},{&quot;citationID&quot;:&quot;MENDELEY_CITATION_8b35e713-ac04-4965-be63-ad6d3f2e927b&quot;,&quot;citationItems&quot;:[{&quot;id&quot;:&quot;27200258-eca3-3ee0-aa57-6dfc28c15f30&quot;,&quot;itemData&quot;:{&quot;type&quot;:&quot;article-journal&quot;,&quot;id&quot;:&quot;27200258-eca3-3ee0-aa57-6dfc28c15f30&quot;,&quot;title&quot;:&quot;Agroecology: the key role of arbuscular mycorrhizas in ecosystem services&quot;,&quot;author&quot;:[{&quot;family&quot;:&quot;Gianinazzi&quot;,&quot;given&quot;:&quot;Silvio&quot;,&quot;parse-names&quot;:false,&quot;dropping-particle&quot;:&quot;&quot;,&quot;non-dropping-particle&quot;:&quot;&quot;},{&quot;family&quot;:&quot;Gollotte&quot;,&quot;given&quot;:&quot;Armelle&quot;,&quot;parse-names&quot;:false,&quot;dropping-particle&quot;:&quot;&quot;,&quot;non-dropping-particle&quot;:&quot;&quot;},{&quot;family&quot;:&quot;Binet&quot;,&quot;given&quot;:&quot;Marie-Noëlle&quot;,&quot;parse-names&quot;:false,&quot;dropping-particle&quot;:&quot;&quot;,&quot;non-dropping-particle&quot;:&quot;&quot;},{&quot;family&quot;:&quot;Tuinen&quot;,&quot;given&quot;:&quot;Diederik&quot;,&quot;parse-names&quot;:false,&quot;dropping-particle&quot;:&quot;&quot;,&quot;non-dropping-particle&quot;:&quot;van&quot;},{&quot;family&quot;:&quot;Redecker&quot;,&quot;given&quot;:&quot;Dirk&quot;,&quot;parse-names&quot;:false,&quot;dropping-particle&quot;:&quot;&quot;,&quot;non-dropping-particle&quot;:&quot;&quot;},{&quot;family&quot;:&quot;Wipf&quot;,&quot;given&quot;:&quot;Daniel&quot;,&quot;parse-names&quot;:false,&quot;dropping-particle&quot;:&quot;&quot;,&quot;non-dropping-particle&quot;:&quot;&quot;}],&quot;container-title&quot;:&quot;Mycorrhiza &quot;,&quot;accessed&quot;:{&quot;date-parts&quot;:[[2021,4,5]]},&quot;DOI&quot;:&quot;10.1007/s00572-010-0333-3&quot;,&quot;URL&quot;:&quot;http://www.amf-phylogeny.com&quot;,&quot;issued&quot;:{&quot;date-parts&quot;:[[2010]]},&quot;page&quot;:&quot;519-530&quot;,&quot;abstract&quot;:&quot;The beneficial effects of arbuscular mycorrhizal (AM) fungi on plant performance and soil health are essential for the sustainable management of agricultural ecosystems. Nevertheless, since the 'first green revolution', less attention has been given to beneficial soil microorganisms in general and to AM fungi in particular. Human society benefits from a multitude of resources and processes from natural and managed ecosystems, to which AM make a crucial contribution. These resources and processes, which are called ecosystem services, include products like food and processes like nutrient transfer. Many people have been under the illusion that these ecosystem services are free, invulnerable and infinitely available; taken for granted as public benefits, they lack a formal market and are traditionally absent from society's balance sheet. In 1997, a team of researchers from the USA, Argentina and the Netherlands put an average price tag of US $33 trillion a year on these fundamental ecosystem services. The present review highlights the key role that the AM symbiosis can play as an ecosystem service provider to guarantee plant productivity and quality in emerging systems of sustainable agriculture. The appropriate management of ecosystem services rendered by AM will impact on natural resource conservation and utilisation with an obvious net gain for human society.&quot;,&quot;volume&quot;:&quot;20&quot;},&quot;isTemporary&quot;:false}],&quot;properties&quot;:{&quot;noteIndex&quot;:0},&quot;isEdited&quot;:false,&quot;manualOverride&quot;:{&quot;isManuallyOverridden&quot;:false,&quot;citeprocText&quot;:&quot;(Gianinazzi et al., 2010)&quot;,&quot;manualOverrideText&quot;:&quot;&quot;},&quot;citationTag&quot;:&quot;MENDELEY_CITATION_v3_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&quot;},{&quot;citationID&quot;:&quot;MENDELEY_CITATION_7571dcfb-f6e3-49bf-b616-5ed827037775&quot;,&quot;citationItems&quot;:[{&quot;id&quot;:&quot;402726f9-f48f-368e-8832-195272197c62&quot;,&quot;itemData&quot;:{&quot;type&quot;:&quot;article&quot;,&quot;id&quot;:&quot;402726f9-f48f-368e-8832-195272197c62&quot;,&quot;title&quot;:&quot;Mycorrhiza-induced resistance: More than the sum of its parts?&quot;,&quot;author&quot;:[{&quot;family&quot;:&quot;Cameron&quot;,&quot;given&quot;:&quot;Duncan D.&quot;,&quot;parse-names&quot;:false,&quot;dropping-particle&quot;:&quot;&quot;,&quot;non-dropping-particle&quot;:&quot;&quot;},{&quot;family&quot;:&quot;Neal&quot;,&quot;given&quot;:&quot;Andrew L.&quot;,&quot;parse-names&quot;:false,&quot;dropping-particle&quot;:&quot;&quot;,&quot;non-dropping-particle&quot;:&quot;&quot;},{&quot;family&quot;:&quot;Wees&quot;,&quot;given&quot;:&quot;Saskia C.M.&quot;,&quot;parse-names&quot;:false,&quot;dropping-particle&quot;:&quot;&quot;,&quot;non-dropping-particle&quot;:&quot;van&quot;},{&quot;family&quot;:&quot;Ton&quot;,&quot;given&quot;:&quot;Jurriaan&quot;,&quot;parse-names&quot;:false,&quot;dropping-particle&quot;:&quot;&quot;,&quot;non-dropping-particle&quot;:&quot;&quot;}],&quot;container-title&quot;:&quot;Trends in Plant Science&quot;,&quot;DOI&quot;:&quot;10.1016/j.tplants.2013.06.004&quot;,&quot;ISSN&quot;:&quot;13601385&quot;,&quot;PMID&quot;:&quot;23871659&quot;,&quot;issued&quot;:{&quot;date-parts&quot;:[[2013,10]]},&quot;page&quot;:&quot;539-545&quot;,&quot;abstract&quot;:&quot;Plants can develop an enhanced defensive capacity in response to infection by arbuscular mycorrhizal fungi (AMF). This 'mycorrhiza-induced resistance' (MIR) provides systemic protection against a wide range of attackers and shares characteristics with systemic acquired resistance (SAR) after pathogen infection and induced systemic resistance (ISR) following root colonisation by non-pathogenic rhizobacteria. It is commonly assumed that fungal stimulation of the plant immune system is solely responsible for MIR. In this opinion article, we present a novel model of MIR that integrates different aspects of the induced resistance phenomenon. We propose that MIR is a cumulative effect of direct plant responses to mycorrhizal infection and indirect immune responses to ISR-eliciting rhizobacteria in the mycorrhizosphere. © 2013.&quot;,&quot;issue&quot;:&quot;10&quot;,&quot;volume&quot;:&quot;18&quot;},&quot;isTemporary&quot;:false}],&quot;properties&quot;:{&quot;noteIndex&quot;:0},&quot;isEdited&quot;:false,&quot;manualOverride&quot;:{&quot;isManuallyOverridden&quot;:false,&quot;citeprocText&quot;:&quot;(Cameron et al., 2013a)&quot;,&quot;manualOverrideText&quot;:&quot;&quot;},&quot;citationTag&quot;:&quot;MENDELEY_CITATION_v3_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&quot;},{&quot;citationID&quot;:&quot;MENDELEY_CITATION_b9f4c7f8-cc12-4392-a9b8-629820c0f02e&quot;,&quot;citationItems&quot;:[{&quot;id&quot;:&quot;15f6f5c6-f0e3-39eb-b49e-f189cce25ccc&quot;,&quot;itemData&quot;:{&quot;type&quot;:&quot;article&quot;,&quot;id&quot;:&quot;15f6f5c6-f0e3-39eb-b49e-f189cce25ccc&quot;,&quot;title&quot;:&quot;Regulation of resource exchange in the arbuscular mycorrhizal symbiosis&quot;,&quot;author&quot;:[{&quot;family&quot;:&quot;Walder&quot;,&quot;given&quot;:&quot;Florian&quot;,&quot;parse-names&quot;:false,&quot;dropping-particle&quot;:&quot;&quot;,&quot;non-dropping-particle&quot;:&quot;&quot;},{&quot;family&quot;:&quot;Heijden&quot;,&quot;given&quot;:&quot;Marcel G.A.&quot;,&quot;parse-names&quot;:false,&quot;dropping-particle&quot;:&quot;&quot;,&quot;non-dropping-particle&quot;:&quot;van der&quot;}],&quot;container-title&quot;:&quot;Nature Plants&quot;,&quot;accessed&quot;:{&quot;date-parts&quot;:[[2021,4,7]]},&quot;DOI&quot;:&quot;10.1038/nplants.2015.159&quot;,&quot;ISSN&quot;:&quot;2055026X&quot;,&quot;URL&quot;:&quot;https://pubmed.ncbi.nlm.nih.gov/27251530/&quot;,&quot;issued&quot;:{&quot;date-parts&quot;:[[2015,11,3]]},&quot;page&quot;:&quot;1-7&quot;,&quot;abstract&quot;:&quot;Arbuscular mycorrhizal (AM) fungi are one of the most important groups of plant symbionts. These fungi provide mineral nutrients to plants in exchange for carbon. Although substantial amounts of resources are exchanged, the factors that regulate trade in the AM symbiosis are poorly understood. Recent evidence for the reciprocally regulated exchange of resources by AM fungi and plants has led to the suggestion that these symbioses operate according to biological market dynamics, in which interactions are viewed from an economic perspective, and the most beneficial partners are favoured. Here we present five arguments that challenge the importance of reciprocally regulated exchange, and thereby market dynamics, for resource exchange in the AM symbiosis, and suggest that such reciprocity is only found in a subset of symbionts, under specific conditions. We instead propose that resource exchange in the AM symbiosis is determined by competition for surplus resources, functional diversity and sink strength.&quot;,&quot;publisher&quot;:&quot;Palgrave Macmillan Ltd.&quot;,&quot;volume&quot;:&quot;1&quot;},&quot;isTemporary&quot;:false}],&quot;properties&quot;:{&quot;noteIndex&quot;:0},&quot;isEdited&quot;:false,&quot;manualOverride&quot;:{&quot;isManuallyOverriden&quot;:false,&quot;citeprocText&quot;:&quot;(Walder &amp;#38; van der Heijden, 2015a)&quot;,&quot;manualOverrideText&quot;:&quot;&quot;},&quot;citationTag&quot;:&quot;MENDELEY_CITATION_v3_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&quot;},{&quot;citationID&quot;:&quot;MENDELEY_CITATION_cd0aa833-63b5-4757-9a18-5099539aea6b&quot;,&quot;citationItems&quot;:[{&quot;id&quot;:&quot;8a36718e-8861-364e-b42d-afb25c60565e&quot;,&quot;itemData&quot;:{&quot;type&quot;:&quot;article-journal&quot;,&quot;id&quot;:&quot;8a36718e-8861-364e-b42d-afb25c60565e&quot;,&quot;title&quot;:&quot;Resource limitation is a driver of local adaptation in mycorrhizal symbioses&quot;,&quot;author&quot;:[{&quot;family&quot;:&quot;Johnson&quot;,&quot;given&quot;:&quot;Nancy Collins&quot;,&quot;parse-names&quot;:false,&quot;dropping-particle&quot;:&quot;&quot;,&quot;non-dropping-particle&quot;:&quot;&quot;},{&quot;family&quot;:&quot;Wilson&quot;,&quot;given&quot;:&quot;Gail W.T.&quot;,&quot;parse-names&quot;:false,&quot;dropping-particle&quot;:&quot;&quot;,&quot;non-dropping-particle&quot;:&quot;&quot;},{&quot;family&quot;:&quot;Bowker&quot;,&quot;given&quot;:&quot;Matthew A.&quot;,&quot;parse-names&quot;:false,&quot;dropping-particle&quot;:&quot;&quot;,&quot;non-dropping-particle&quot;:&quot;&quot;},{&quot;family&quot;:&quot;Wilson&quot;,&quot;given&quot;:&quot;Jacqueline A.&quot;,&quot;parse-names&quot;:false,&quot;dropping-particle&quot;:&quot;&quot;,&quot;non-dropping-particle&quot;:&quot;&quot;},{&quot;family&quot;:&quot;Miller&quot;,&quot;given&quot;:&quot;R. Michael&quot;,&quot;parse-names&quot;:false,&quot;dropping-particle&quot;:&quot;&quot;,&quot;non-dropping-particle&quot;:&quot;&quot;}],&quot;container-title&quot;:&quot;Proceedings of the National Academy of Sciences of the United States of America&quot;,&quot;accessed&quot;:{&quot;date-parts&quot;:[[2021,4,7]]},&quot;DOI&quot;:&quot;10.1073/pnas.0906710107&quot;,&quot;ISSN&quot;:&quot;00278424&quot;,&quot;PMID&quot;:&quot;20133855&quot;,&quot;URL&quot;:&quot;www.pnas.org/cgi/doi/10.1073/pnas.0906710107&quot;,&quot;issued&quot;:{&quot;date-parts&quot;:[[2010,2,2]]},&quot;page&quot;:&quot;2093-2098&quot;,&quot;abstract&quot;:&quot;Symbioses may be important mechanisms of plant adaptation to their environment. We conducted a reciprocal inoculation experiment to test the hypothesis that soil fertility is a key driver of local adaptation in arbuscular mycorrhizal (AM) symbioses. Ecotypes of Andropogon gerardii from phosphorus-limited and nitrogenlimited grasslands were grown with all possible \&quot;home and away\&quot; combinations of soils and AM fungal communities. Our results indicate that Andropogon ecotypes adapt to their local soil and indigenousAMfungal communities such that mycorrhizal exchange of the most limiting resource is maximized. Grasses grown in home soil and inoculated with home AM fungi produced more arbuscules (symbiotic exchange structures) in their roots than those grown in away combinations. Also, regardless of the host ecotype, AM fungi produced more extraradical hyphae in their home soil, and locally adapted AM fungi were, therefore, able to sequester more carbon compared with nonlocal fungi. Locally adapted mycorrhizal associations were more mutualistic in the two phosphorus-limited sites and less parasitic at the nitrogen-limited site compared with novel combinations of plants, fungi, and soils. To our knowledge, these findings provide the strongest evidence to date that resource availability generates evolved geographic structure in symbioses among plants and soil organisms. Thus, edaphic origin of AM fungi should be considered when managing for their benefits in agriculture, ecosystem restoration, and soil-carbon sequestration.&quot;,&quot;publisher&quot;:&quot;National Academy of Sciences&quot;,&quot;issue&quot;:&quot;5&quot;,&quot;volume&quot;:&quot;107&quot;},&quot;isTemporary&quot;:false}],&quot;properties&quot;:{&quot;noteIndex&quot;:0},&quot;isEdited&quot;:false,&quot;manualOverride&quot;:{&quot;isManuallyOverriden&quot;:false,&quot;citeprocText&quot;:&quot;(Johnson et al., 2010a)&quot;,&quot;manualOverrideText&quot;:&quot;&quot;},&quot;citationTag&quot;:&quot;MENDELEY_CITATION_v3_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&quot;},{&quot;citationID&quot;:&quot;MENDELEY_CITATION_0e7a2a59-b25b-4d02-bc02-61139280d684&quot;,&quot;citationItems&quot;:[{&quot;id&quot;:&quot;a9c82cf5-24a6-3143-a04b-25893c90f5d6&quot;,&quot;itemData&quot;:{&quot;type&quot;:&quot;article-journal&quot;,&quot;id&quot;:&quot;a9c82cf5-24a6-3143-a04b-25893c90f5d6&quot;,&quot;title&quot;:&quot;Variation among Maize Inbred Lines and Detection of Quantitative Trait Loci for Growth at Low Phosphorus and Responsiveness to Arbuscular Mycorrhizal Fungi&quot;,&quot;author&quot;:[{&quot;family&quot;:&quot;Kaeppler&quot;,&quot;given&quot;:&quot;Shawn M.&quot;,&quot;parse-names&quot;:false,&quot;dropping-particle&quot;:&quot;&quot;,&quot;non-dropping-particle&quot;:&quot;&quot;},{&quot;family&quot;:&quot;Parke&quot;,&quot;given&quot;:&quot;Jennifer L.&quot;,&quot;parse-names&quot;:false,&quot;dropping-particle&quot;:&quot;&quot;,&quot;non-dropping-particle&quot;:&quot;&quot;},{&quot;family&quot;:&quot;Mueller&quot;,&quot;given&quot;:&quot;Suzanne M.&quot;,&quot;parse-names&quot;:false,&quot;dropping-particle&quot;:&quot;&quot;,&quot;non-dropping-particle&quot;:&quot;&quot;},{&quot;family&quot;:&quot;Senior&quot;,&quot;given&quot;:&quot;Lynn&quot;,&quot;parse-names&quot;:false,&quot;dropping-particle&quot;:&quot;&quot;,&quot;non-dropping-particle&quot;:&quot;&quot;},{&quot;family&quot;:&quot;Stuber&quot;,&quot;given&quot;:&quot;Charles&quot;,&quot;parse-names&quot;:false,&quot;dropping-particle&quot;:&quot;&quot;,&quot;non-dropping-particle&quot;:&quot;&quot;},{&quot;family&quot;:&quot;Tracy&quot;,&quot;given&quot;:&quot;William F.&quot;,&quot;parse-names&quot;:false,&quot;dropping-particle&quot;:&quot;&quot;,&quot;non-dropping-particle&quot;:&quot;&quot;}],&quot;container-title&quot;:&quot;Crop Science&quot;,&quot;DOI&quot;:&quot;10.2135/cropsci2000.402358x&quot;,&quot;ISSN&quot;:&quot;0011183X&quot;,&quot;issued&quot;:{&quot;date-parts&quot;:[[2000,3]]},&quot;issue&quot;:&quot;2&quot;,&quot;volume&quot;:&quot;40&quot;},&quot;isTemporary&quot;:false},{&quot;id&quot;:&quot;6db0f98c-9840-351c-9e94-de180be1c33d&quot;,&quot;itemData&quot;:{&quot;type&quot;:&quot;article-journal&quot;,&quot;id&quot;:&quot;6db0f98c-9840-351c-9e94-de180be1c33d&quot;,&quot;title&quot;:&quot;Arbuscular mycorrhizal dependency of different plant species and cultivars&quot;,&quot;author&quot;:[{&quot;family&quot;:&quot;Tawaraya&quot;,&quot;given&quot;:&quot;Keitaro&quot;,&quot;parse-names&quot;:false,&quot;dropping-particle&quot;:&quot;&quot;,&quot;non-dropping-particle&quot;:&quot;&quot;}],&quot;container-title&quot;:&quot;Soil Science and Plant Nutrition&quot;,&quot;accessed&quot;:{&quot;date-parts&quot;:[[2021,4,2]]},&quot;DOI&quot;:&quot;10.1080/00380768.2003.10410323&quot;,&quot;ISSN&quot;:&quot;17470765&quot;,&quot;URL&quot;:&quot;https://www.tandfonline.com/action/journalInformation?journalCode=tssp20&quot;,&quot;issued&quot;:{&quot;date-parts&quot;:[[2003,10,1]]},&quot;page&quot;:&quot;655-668&quot;,&quot;abstract&quot;:&quot;The degree of plant growth change associated with arbuscular mycorrhizal (AM) colonization is expressed as mycorrhizal dependency (MD). In this review, previous reports on the differences in MD among plant species or cultivars were surveyed, and the factors affecting the differences are discussed. Mean values of MD were 44% for field crops (37 species), 56% for forage crops (46 species), 70% for wild grasses and forbs (140 species), 79% for trees (26 species), and 56% for all plants (250 species), indicating that the cultivated plant species showed a lower MD than the wild plant species. MD was negatively correlated with root morphological characteristics such as root length, root dry weight, root hair length, density of root hairs, the ability of roots to acquire phosphate from soil, and the phosphorus utilization efficiency of the host plant. Inoculation of arbuscular mycorrhizal fungi (AMF) for low input systems should be carried out in considering differences in MD. © 2003 Taylor &amp; Francis Group, LLC.&quot;,&quot;publisher&quot;:&quot; Taylor &amp; Francis Group &quot;,&quot;issue&quot;:&quot;5&quot;,&quot;volume&quot;:&quot;49&quot;},&quot;isTemporary&quot;:false}],&quot;properties&quot;:{&quot;noteIndex&quot;:0},&quot;isEdited&quot;:false,&quot;manualOverride&quot;:{&quot;isManuallyOverridden&quot;:false,&quot;citeprocText&quot;:&quot;(Kaeppler et al., 2000a; Tawaraya, 2003)&quot;,&quot;manualOverrideText&quot;:&quot;&quot;},&quot;citationTag&quot;:&quot;MENDELEY_CITATION_v3_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&quot;},{&quot;citationID&quot;:&quot;MENDELEY_CITATION_0a0c2487-1bef-40ce-a34e-c3c7c4ca4d3e&quot;,&quot;citationItems&quot;:[{&quot;id&quot;:&quot;78961894-6690-3331-9b51-8e1e0427e7a4&quot;,&quot;itemData&quot;:{&quot;type&quot;:&quot;article-journal&quot;,&quot;id&quot;:&quot;78961894-6690-3331-9b51-8e1e0427e7a4&quot;,&quot;title&quot;:&quot;Vesicular-arbuscular mycorrhizal colonization in Zea mays affected by breeding for resistance to fungal pathogens&quot;,&quot;author&quot;:[{&quot;family&quot;:&quot;Toth&quot;,&quot;given&quot;:&quot;R.&quot;,&quot;parse-names&quot;:false,&quot;dropping-particle&quot;:&quot;&quot;,&quot;non-dropping-particle&quot;:&quot;&quot;},{&quot;family&quot;:&quot;Toth&quot;,&quot;given&quot;:&quot;D.&quot;,&quot;parse-names&quot;:false,&quot;dropping-particle&quot;:&quot;&quot;,&quot;non-dropping-particle&quot;:&quot;&quot;},{&quot;family&quot;:&quot;Starke&quot;,&quot;given&quot;:&quot;D.&quot;,&quot;parse-names&quot;:false,&quot;dropping-particle&quot;:&quot;&quot;,&quot;non-dropping-particle&quot;:&quot;&quot;},{&quot;family&quot;:&quot;Smith&quot;,&quot;given&quot;:&quot;D. R.&quot;,&quot;parse-names&quot;:false,&quot;dropping-particle&quot;:&quot;&quot;,&quot;non-dropping-particle&quot;:&quot;&quot;}],&quot;container-title&quot;:&quot;Canadian Journal of Botany&quot;,&quot;accessed&quot;:{&quot;date-parts&quot;:[[2021,4,5]]},&quot;DOI&quot;:&quot;10.1139/b90-131&quot;,&quot;ISSN&quot;:&quot;00084026&quot;,&quot;issued&quot;:{&quot;date-parts&quot;:[[1990]]},&quot;page&quot;:&quot;1039-1044&quot;,&quot;abstract&quot;:&quot;Inbreds that were generally resistant to a number of fungal pathogens had significantly lower levels of VAM, matured more slowly, and had larger root systems. Disease-susceptible inbreds had significantly higher levels of mycorrhizal colonization, matured more rapidly, and had smaller root systems. It is uncertain if a general resistance to fungal pathogens or rate of root development, separately or in combination, may have influenced mycorrhizal colonization levels. -from Authors&quot;,&quot;issue&quot;:&quot;5&quot;,&quot;volume&quot;:&quot;68&quot;},&quot;isTemporary&quot;:false}],&quot;properties&quot;:{&quot;noteIndex&quot;:0},&quot;isEdited&quot;:false,&quot;manualOverride&quot;:{&quot;isManuallyOverriden&quot;:false,&quot;citeprocText&quot;:&quot;(Toth et al., 1990a)&quot;,&quot;manualOverrideText&quot;:&quot;&quot;},&quot;citationTag&quot;:&quot;MENDELEY_CITATION_v3_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&quot;},{&quot;citationID&quot;:&quot;MENDELEY_CITATION_4364edad-7849-4963-b2fa-14e4c3eaf677&quot;,&quot;citationItems&quot;:[{&quot;id&quot;:&quot;c57a5d4d-c769-38af-a660-422aa6eb94d7&quot;,&quot;itemData&quot;:{&quot;type&quot;:&quot;article-journal&quot;,&quot;id&quot;:&quot;c57a5d4d-c769-38af-a660-422aa6eb94d7&quot;,&quot;title&quot;:&quot;Variation among Maize Inbred Lines and Detection of Quantitative Trait Loci for Growth at Low Phosphorus and Responsiveness to Arbuscular Mycorrhizal Fungi&quot;,&quot;author&quot;:[{&quot;family&quot;:&quot;Kaeppler&quot;,&quot;given&quot;:&quot;Shawn M.&quot;,&quot;parse-names&quot;:false,&quot;dropping-particle&quot;:&quot;&quot;,&quot;non-dropping-particle&quot;:&quot;&quot;},{&quot;family&quot;:&quot;Parke&quot;,&quot;given&quot;:&quot;Jennifer L.&quot;,&quot;parse-names&quot;:false,&quot;dropping-particle&quot;:&quot;&quot;,&quot;non-dropping-particle&quot;:&quot;&quot;},{&quot;family&quot;:&quot;Mueller&quot;,&quot;given&quot;:&quot;Suzanne M.&quot;,&quot;parse-names&quot;:false,&quot;dropping-particle&quot;:&quot;&quot;,&quot;non-dropping-particle&quot;:&quot;&quot;},{&quot;family&quot;:&quot;Senior&quot;,&quot;given&quot;:&quot;Lynn&quot;,&quot;parse-names&quot;:false,&quot;dropping-particle&quot;:&quot;&quot;,&quot;non-dropping-particle&quot;:&quot;&quot;},{&quot;family&quot;:&quot;Stuber&quot;,&quot;given&quot;:&quot;Charles&quot;,&quot;parse-names&quot;:false,&quot;dropping-particle&quot;:&quot;&quot;,&quot;non-dropping-particle&quot;:&quot;&quot;},{&quot;family&quot;:&quot;Tracy&quot;,&quot;given&quot;:&quot;William F.&quot;,&quot;parse-names&quot;:false,&quot;dropping-particle&quot;:&quot;&quot;,&quot;non-dropping-particle&quot;:&quot;&quot;}],&quot;container-title&quot;:&quot;Crop Science&quot;,&quot;accessed&quot;:{&quot;date-parts&quot;:[[2021,3,18]]},&quot;DOI&quot;:&quot;10.2135/cropsci2000.402358x&quot;,&quot;ISSN&quot;:&quot;0011183X&quot;,&quot;URL&quot;:&quot;http://doi.wiley.com/10.2135/cropsci2000.402358x&quot;,&quot;issued&quot;:{&quot;date-parts&quot;:[[2000,3,1]]},&quot;page&quot;:&quot;358-364&quot;,&quot;abstract&quot;:&quot;Maize (Zea mays L.) growth at low soil P levels is affected both by inherent physiological factors as well as interactions with soil microbes. The objectives of this study were (i) to quantify differences among maize inbred lines for growth at low P and response to mycorrhizal fungi, and (ii) to identify quantitative trait loci (QTL) controlling these traits in a B73 X Mo17 recombinant inbred population. Shoot dry weight and root volume were measured in the greenhouse after 6 wk of growth in a factorial experiment of 28 inbred maize lines using treatments of low vs. high P and mycorrhizal vs. nonmycorrhizal treatments. Shoot dry weight for the low P treatment in the absence of mycorrhizae ranged from 0.56 to 3.15 g. Mycorrhizal responsiveness based on shoot dry weight ranged from 106 to 800%. Shoot dry weight in the low P-nonmycorrhizal treatment was highly negatively correlated with mycorrhizal responsiveness. Plants grown at high P in the presence of mycorrhizae accumulated only 88% of the biomass of plants grown at high P in the absence of mycorrhizae, indicating that mycorrhizae can reduce plant growth when not contributing to the symbiosis. Percentage of root colonization was not correlated with mycorrhizal responsiveness. B73 and Mo17 were among the extremes for growth at low P and mycorrhizal responsiveness, and a B73 x Mo17 population of 197 recombinant inbred lines was used to detect QTL for growth at low P and mycorrhizal responsiveness. Three QTL were identified which controlled growth at low P in the absence of mycorrhizae based on shoot weight and one QTL which controlled mycorrhizal responsiveness. This study indicates that there is substantial variation among maize lines for growth at low P and response to mycorrhizal fungi. This variation could be harnessed to develop cultivars for regions of the world with P deficiency and for reduced-input production systems.&quot;,&quot;publisher&quot;:&quot;Crop Science Society of America&quot;,&quot;issue&quot;:&quot;2&quot;,&quot;volume&quot;:&quot;40&quot;},&quot;isTemporary&quot;:false},{&quot;id&quot;:&quot;edbd4584-c0bc-3bdd-b29d-33a31b849545&quot;,&quot;itemData&quot;:{&quot;type&quot;:&quot;article-journal&quot;,&quot;id&quot;:&quot;edbd4584-c0bc-3bdd-b29d-33a31b849545&quot;,&quot;title&quot;:&quot;Phosphorus acquisition efficiency in arbuscular mycorrhizal maize is correlated with the abundance of root-external hyphae and the accumulation of transcripts encoding PHT1 phosphate transporters&quot;,&quot;author&quot;:[{&quot;family&quot;:&quot;Sawers&quot;,&quot;given&quot;:&quot;Ruairidh J. H.&quot;,&quot;parse-names&quot;:false,&quot;dropping-particle&quot;:&quot;&quot;,&quot;non-dropping-particle&quot;:&quot;&quot;},{&quot;family&quot;:&quot;Svane&quot;,&quot;given&quot;:&quot;Simon F.&quot;,&quot;parse-names&quot;:false,&quot;dropping-particle&quot;:&quot;&quot;,&quot;non-dropping-particle&quot;:&quot;&quot;},{&quot;family&quot;:&quot;Quan&quot;,&quot;given&quot;:&quot;Clement&quot;,&quot;parse-names&quot;:false,&quot;dropping-particle&quot;:&quot;&quot;,&quot;non-dropping-particle&quot;:&quot;&quot;},{&quot;family&quot;:&quot;Grønlund&quot;,&quot;given&quot;:&quot;Mette&quot;,&quot;parse-names&quot;:false,&quot;dropping-particle&quot;:&quot;&quot;,&quot;non-dropping-particle&quot;:&quot;&quot;},{&quot;family&quot;:&quot;Wozniak&quot;,&quot;given&quot;:&quot;Barbara&quot;,&quot;parse-names&quot;:false,&quot;dropping-particle&quot;:&quot;&quot;,&quot;non-dropping-particle&quot;:&quot;&quot;},{&quot;family&quot;:&quot;Gebreselassie&quot;,&quot;given&quot;:&quot;Mesfin-Nigussie&quot;,&quot;parse-names&quot;:false,&quot;dropping-particle&quot;:&quot;&quot;,&quot;non-dropping-particle&quot;:&quot;&quot;},{&quot;family&quot;:&quot;González-Muñoz&quot;,&quot;given&quot;:&quot;Eliécer&quot;,&quot;parse-names&quot;:false,&quot;dropping-particle&quot;:&quot;&quot;,&quot;non-dropping-particle&quot;:&quot;&quot;},{&quot;family&quot;:&quot;Chávez Montes&quot;,&quot;given&quot;:&quot;Ricardo A.&quot;,&quot;parse-names&quot;:false,&quot;dropping-particle&quot;:&quot;&quot;,&quot;non-dropping-particle&quot;:&quot;&quot;},{&quot;family&quot;:&quot;Baxter&quot;,&quot;given&quot;:&quot;Ivan&quot;,&quot;parse-names&quot;:false,&quot;dropping-particle&quot;:&quot;&quot;,&quot;non-dropping-particle&quot;:&quot;&quot;},{&quot;family&quot;:&quot;Goudet&quot;,&quot;given&quot;:&quot;Jerome&quot;,&quot;parse-names&quot;:false,&quot;dropping-particle&quot;:&quot;&quot;,&quot;non-dropping-particle&quot;:&quot;&quot;},{&quot;family&quot;:&quot;Jakobsen&quot;,&quot;given&quot;:&quot;Iver&quot;,&quot;parse-names&quot;:false,&quot;dropping-particle&quot;:&quot;&quot;,&quot;non-dropping-particle&quot;:&quot;&quot;},{&quot;family&quot;:&quot;Paszkowski&quot;,&quot;given&quot;:&quot;Uta&quot;,&quot;parse-names&quot;:false,&quot;dropping-particle&quot;:&quot;&quot;,&quot;non-dropping-particle&quot;:&quot;&quot;}],&quot;container-title&quot;:&quot;New Phytologist&quot;,&quot;accessed&quot;:{&quot;date-parts&quot;:[[2021,4,5]]},&quot;DOI&quot;:&quot;10.1111/nph.14403&quot;,&quot;ISSN&quot;:&quot;0028646X&quot;,&quot;URL&quot;:&quot;http://doi.wiley.com/10.1111/nph.14403&quot;,&quot;issued&quot;:{&quot;date-parts&quot;:[[2017,4,1]]},&quot;page&quot;:&quot;632-643&quot;,&quot;abstract&quot;:&quot;Plant interactions with arbuscular mycorrhizal fungi have long attracted interest for their potential to promote more efficient use of mineral resources in agriculture. Their use, however, remains limited by a lack of understanding of the processes that determine the outcome of the symbiosis. In this study, the impact of host genotype on growth response to mycorrhizal inoculation was investigated in a panel of diverse maize lines. A panel of 30 maize lines was evaluated with and without inoculation with arbuscular mycorrhizal fungi. The line Oh43 was identified to show superior response and, along with five other reference lines, was characterized in greater detail in a split-compartment system, using 33P to quantify mycorrhizal phosphorus uptake. Changes in relative growth indicated variation in host capacity to profit from the symbiosis. Shoot phosphate content, abundance of root-internal and -external fungal structures, mycorrhizal phosphorus uptake, and accumulation of transcripts encoding plant PHT1 family phosphate transporters varied among lines. Superior response in Oh43 is correlated with extensive development of root-external hyphae, accumulation of specific Pht1 transcripts and high phosphorus uptake by mycorrhizal plants. The data indicate that host genetic factors influence fungal growth strategy with an impact on plant performance.&quot;,&quot;publisher&quot;:&quot;Blackwell Publishing Ltd&quot;,&quot;issue&quot;:&quot;2&quot;,&quot;volume&quot;:&quot;214&quot;},&quot;isTemporary&quot;:false}],&quot;properties&quot;:{&quot;noteIndex&quot;:0},&quot;isEdited&quot;:false,&quot;manualOverride&quot;:{&quot;isManuallyOverridden&quot;:false,&quot;citeprocText&quot;:&quot;(Kaeppler et al., 2000b; Sawers et al., 2017)&quot;,&quot;manualOverrideText&quot;:&quot;&quot;},&quot;citationTag&quot;:&quot;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&quot;},{&quot;citationID&quot;:&quot;MENDELEY_CITATION_d8ee1032-2527-4cd9-b206-32b89a09b71c&quot;,&quot;citationItems&quot;:[{&quot;id&quot;:&quot;cf7f6ad0-721d-3031-a642-80d0a08530af&quot;,&quot;itemData&quot;:{&quot;type&quot;:&quot;paper-conference&quot;,&quot;id&quot;:&quot;cf7f6ad0-721d-3031-a642-80d0a08530af&quot;,&quot;title&quot;:&quot;Soil and fertilizer phosphorus: Effects on plant P supply and mycorrhizal development&quot;,&quot;author&quot;:[{&quot;family&quot;:&quot;Grant&quot;,&quot;given&quot;:&quot;Cynthia&quot;,&quot;parse-names&quot;:false,&quot;dropping-particle&quot;:&quot;&quot;,&quot;non-dropping-particle&quot;:&quot;&quot;},{&quot;family&quot;:&quot;Bittman&quot;,&quot;given&quot;:&quot;Shabtai&quot;,&quot;parse-names&quot;:false,&quot;dropping-particle&quot;:&quot;&quot;,&quot;non-dropping-particle&quot;:&quot;&quot;},{&quot;family&quot;:&quot;Montreal&quot;,&quot;given&quot;:&quot;Marcia&quot;,&quot;parse-names&quot;:false,&quot;dropping-particle&quot;:&quot;&quot;,&quot;non-dropping-particle&quot;:&quot;&quot;},{&quot;family&quot;:&quot;Plenchette&quot;,&quot;given&quot;:&quot;Christian&quot;,&quot;parse-names&quot;:false,&quot;dropping-particle&quot;:&quot;&quot;,&quot;non-dropping-particle&quot;:&quot;&quot;},{&quot;family&quot;:&quot;Morel&quot;,&quot;given&quot;:&quot;Christian&quot;,&quot;parse-names&quot;:false,&quot;dropping-particle&quot;:&quot;&quot;,&quot;non-dropping-particle&quot;:&quot;&quot;}],&quot;container-title&quot;:&quot;Canadian Journal of Plant Science&quot;,&quot;accessed&quot;:{&quot;date-parts&quot;:[[2021,4,5]]},&quot;DOI&quot;:&quot;10.4141/P03-182&quot;,&quot;ISSN&quot;:&quot;00084220&quot;,&quot;URL&quot;:&quot;https://cdnsciencepub.com/doi/abs/10.4141/P03-182&quot;,&quot;issued&quot;:{&quot;date-parts&quot;:[[2005]]},&quot;page&quot;:&quot;3-14&quot;,&quot;abstract&quot;:&quot;Plants require adequate P from the very early stages of growth for optimum crop production. Phosphorus supply to the crop is affected by soil P, P fertilizer management and by soil and environmental conditions influencing P phytoavailability and root growth. Phosphorus uptake in many crops is improved by associations with arbuscular mycorrhizal fungi. Cropping system and long-term input of P through fertilizers and manures can influence the amount and phytoavailability of P in the system and the development of mycorrhizal associations. Optimum yield potential requires an adequate P supply to the crop from the soil or from P additions. Where early-season P supply is low, P fertilization may improve P nutrition and crop yield potential. Alternately, under low-P conditions, encouragement of arbuscular mycorrhizal associations may enhance P uptake by crops early in the growing season, improving crop yield potential and replacing starter fertilizer P applications. Soil P supply that exceeds P requirements of the crop may preclude mycorrhizal development. To encourage arbuscular mycorrhizal association, threshold levels of soil solution P that restrict mycorrhizal development must not be exceeded. Sustainable P management practices must be applied both in conventional and in alternative biologically based agricultural systems.&quot;,&quot;publisher&quot;:&quot;Agricultural Institute of Canada&quot;,&quot;issue&quot;:&quot;1&quot;,&quot;volume&quot;:&quot;85&quot;},&quot;isTemporary&quot;:false}],&quot;properties&quot;:{&quot;noteIndex&quot;:0},&quot;isEdited&quot;:false,&quot;manualOverride&quot;:{&quot;isManuallyOverridden&quot;:false,&quot;citeprocText&quot;:&quot;(Grant et al., 2005)&quot;,&quot;manualOverrideText&quot;:&quot;&quot;},&quot;citationTag&quot;:&quot;MENDELEY_CITATION_v3_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&quot;},{&quot;citationID&quot;:&quot;MENDELEY_CITATION_3e061081-c5d6-4806-a234-089d37be82d1&quot;,&quot;citationItems&quot;:[{&quot;id&quot;:&quot;b531632f-13b2-39f4-b06d-3089abaf4017&quot;,&quot;itemData&quot;:{&quot;type&quot;:&quot;article-journal&quot;,&quot;id&quot;:&quot;b531632f-13b2-39f4-b06d-3089abaf4017&quot;,&quot;title&quot;:&quot;Changes in mycorrhiza development in maize indeed by crop management practices&quot;,&quot;author&quot;:[{&quot;family&quot;:&quot;Gavito&quot;,&quot;given&quot;:&quot;Mayra E.&quot;,&quot;parse-names&quot;:false,&quot;dropping-particle&quot;:&quot;&quot;,&quot;non-dropping-particle&quot;:&quot;&quot;},{&quot;family&quot;:&quot;Miller&quot;,&quot;given&quot;:&quot;Murray H.&quot;,&quot;parse-names&quot;:false,&quot;dropping-particle&quot;:&quot;&quot;,&quot;non-dropping-particle&quot;:&quot;&quot;}],&quot;container-title&quot;:&quot;Plant and Soil&quot;,&quot;accessed&quot;:{&quot;date-parts&quot;:[[2021,4,5]]},&quot;DOI&quot;:&quot;10.1023/A:1004314406653&quot;,&quot;ISSN&quot;:&quot;0032079X&quot;,&quot;URL&quot;:&quot;https://link.springer.com/article/10.1023/A:1004314406653&quot;,&quot;issued&quot;:{&quot;date-parts&quot;:[[1998]]},&quot;page&quot;:&quot;185-192&quot;,&quot;abstract&quot;:&quot;We selected three crop production practices; crop rotation, tillage and phosphorus fertilization, all known to effect arbuscular mycorrhiza (AM) development, to study early AM intraradical colonization in maize. Half of the plots were planted during the first year with either a host (maize, Zea mays L.) or a non-host (canola, Brassica napus L.) crop, and all of them with maize for the second year. Tillage and P fertilization treatments were applied to the plots in the second year. Mycorrhiza development in maize was measured in pot culture bioassays conducted before planting and after harvest of the previous and the subsequent crops, and in the field during the second crop season. Previous cropping of a soil with canola (Brassica napus L.), a non-host plant species, delayed mycorrhiza development of maize in a bioassay conducted with that soil in comparison with a previous cropping cycle with maize (Zea mays L.) or with the original plant species in the field site, bromegrass (Bromus inermis Leys.) and alfalfa (Medicago sativa L.). The delay in mycorrhiza development after cropping with canola was also observed in samples taken from the field and in a bioassay, both conducted at the beginning of the subsequent cropping cycle. Tillage had, on average, little effect on intraradical colonization either in the field or in the bioassays. Phosphorus fertilization also had little effect on mycorrhiza development in the field. Crop rotation with a non-host had the strongest effect on intraradical mycorrhiza development of the three practices studied.&quot;,&quot;publisher&quot;:&quot;Springer&quot;,&quot;issue&quot;:&quot;2&quot;,&quot;volume&quot;:&quot;198&quot;},&quot;isTemporary&quot;:false}],&quot;properties&quot;:{&quot;noteIndex&quot;:0},&quot;isEdited&quot;:false,&quot;manualOverride&quot;:{&quot;isManuallyOverridden&quot;:false,&quot;citeprocText&quot;:&quot;(Gavito &amp;#38; Miller, 1998)&quot;,&quot;manualOverrideText&quot;:&quot;&quot;},&quot;citationTag&quot;:&quot;MENDELEY_CITATION_v3_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&quot;},{&quot;citationID&quot;:&quot;MENDELEY_CITATION_0ce0cc45-7fe0-4900-8c64-5f16eecd0a0a&quot;,&quot;citationItems&quot;:[{&quot;id&quot;:&quot;122cf093-828b-39ec-ae07-ac2650f9df35&quot;,&quot;itemData&quot;:{&quot;type&quot;:&quot;article&quot;,&quot;id&quot;:&quot;122cf093-828b-39ec-ae07-ac2650f9df35&quot;,&quot;title&quot;:&quot;Plant responsiveness to mycorrhizas differs from dependence upon mycorrhizas&quot;,&quot;author&quot;:[{&quot;family&quot;:&quot;Janos&quot;,&quot;given&quot;:&quot;David P.&quot;,&quot;parse-names&quot;:false,&quot;dropping-particle&quot;:&quot;&quot;,&quot;non-dropping-particle&quot;:&quot;&quot;}],&quot;container-title&quot;:&quot;Mycorrhiza&quot;,&quot;accessed&quot;:{&quot;date-parts&quot;:[[2021,4,3]]},&quot;DOI&quot;:&quot;10.1007/s00572-006-0094-1&quot;,&quot;ISSN&quot;:&quot;09406360&quot;,&quot;PMID&quot;:&quot;17216499&quot;,&quot;URL&quot;:&quot;https://link.springer.com/article/10.1007/s00572-006-0094-1&quot;,&quot;issued&quot;:{&quot;date-parts&quot;:[[2007,3,11]]},&quot;page&quot;:&quot;75-91&quot;,&quot;abstract&quot;:&quot;Soil phosphorus response curves of plants with and without mycorrhizas reflect two different, but complementary, phenomena. The first, plant responsiveness to mycorrhizas, is represented by the difference in growth between plants with and without mycorrhizas at any designated level of phosphorus availability. This is also a measure of mycorrhizal fungus effectiveness. The second, the lowest level of phosphorus availability at which plants can grow without mycorrhizas, is here termed dependence upon mycorrhizas. The latter definition differs from conventional usage which fails to distinguish dependence from responsiveness. Sigmoid curves generated by the three-parameter, logistic equation generally can model the responses of plants to mycorrhizas and phosphorus addition and can be used to assess responsiveness, effectiveness, and dependence. Such curves reveal that plant responsiveness or fungus effectiveness determined at a single level of phosphorus availability may be misleading when used to compare different host species' intrinsic capacities to respond to different mycorrhizal fungus species. Instead, the same relative position should be evaluated among phosphorus response curves for different species combinations. Dependence of a plant species known to benefit from mycorrhizas can be assessed with reference to only the phosphorus response curve of plants without mycorrhizas. Dependence is a constitutive property of plant species that can be used to classify them as facultatively or obligately mycotrophic. Dependence is a plant attribute upon which natural selection can act, but responsiveness and effectiveness cannot be selected directly because they are emergent properties of the interaction between plant and fungus species. © 2007 Springer-Verlag.&quot;,&quot;publisher&quot;:&quot;Springer&quot;,&quot;issue&quot;:&quot;2&quot;,&quot;volume&quot;:&quot;17&quot;},&quot;isTemporary&quot;:false}],&quot;properties&quot;:{&quot;noteIndex&quot;:0},&quot;isEdited&quot;:false,&quot;manualOverride&quot;:{&quot;isManuallyOverridden&quot;:false,&quot;citeprocText&quot;:&quot;(Janos, 2007)&quot;,&quot;manualOverrideText&quot;:&quot;&quot;},&quot;citationTag&quot;:&quot;MENDELEY_CITATION_v3_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&quot;},{&quot;citationID&quot;:&quot;MENDELEY_CITATION_a5776240-c9c6-4860-93b6-fa596b136a1f&quot;,&quot;citationItems&quot;:[{&quot;id&quot;:&quot;90d52cf6-83d4-35cb-affb-f0cea8fcb2b8&quot;,&quot;itemData&quot;:{&quot;type&quot;:&quot;article-journal&quot;,&quot;id&quot;:&quot;90d52cf6-83d4-35cb-affb-f0cea8fcb2b8&quot;,&quot;title&quot;:&quot;Plant growth and phosphorus uptake in mycorrhizal rangpur lime seedlings under different levels of phosphorus&quot;,&quot;author&quot;:[{&quot;family&quot;:&quot;Nogueira&quot;,&quot;given&quot;:&quot;Marco Antonio&quot;,&quot;parse-names&quot;:false,&quot;dropping-particle&quot;:&quot;&quot;,&quot;non-dropping-particle&quot;:&quot;&quot;},{&quot;family&quot;:&quot;Cardoso&quot;,&quot;given&quot;:&quot;Elke Jurandy Bran Nogueira&quot;,&quot;parse-names&quot;:false,&quot;dropping-particle&quot;:&quot;&quot;,&quot;non-dropping-particle&quot;:&quot;&quot;}],&quot;container-title&quot;:&quot;Pesquisa Agropecuaria Brasileira&quot;,&quot;accessed&quot;:{&quot;date-parts&quot;:[[2021,4,3]]},&quot;DOI&quot;:&quot;10.1590/S0100-204X2006000100013&quot;,&quot;ISSN&quot;:&quot;16783921&quot;,&quot;URL&quot;:&quot;http://www.scielo.br/scielo.php?script=sci_arttext&amp;pid=S0100-204X2006000100013&amp;lng=en&amp;nrm=iso&amp;tlng=en&quot;,&quot;issued&quot;:{&quot;date-parts&quot;:[[2006]]},&quot;page&quot;:&quot;93-99&quot;,&quot;abstract&quot;:&quot;The objective of this work was to evaluate the response of rangpur lime (Citrus limonia) to arbuscular mycorrhiza (Glomus intraradices), under P levels ranging from low to excessive. Plants were grown in three levels of soluble P (25, 200 and 1,000 mg kg-1), either inoculated with Glomus intraradices or left noninoculated, evaluated at 30, 60, 90, 120 and 150 days after transplanting (DAT). Total dry weight, shoot P concentration and specific P uptake by roots increased in mycorrhizal plants with the doses of 25 and 200 mg kg-1 P at 90 DAT. With 1,000 mg kg-1 P, mycorrhizal plants had a transient growth depression at 90 and 120 DAT, and nonmycorrhizal effects on P uptake at any harvesting period. Root colonization and total external mycelium correlated positively with shoot P concentration and total dry weight at the two lowest P levels. Although the highest P level decreased root colonization, it did not affect total external mycelium to the same extent. As a result, a P availability imbalance affected negatively the mycorrhizal symbiosis and, consequently, the plant growth.&quot;,&quot;publisher&quot;:&quot;Embrapa&quot;,&quot;issue&quot;:&quot;1&quot;,&quot;volume&quot;:&quot;41&quot;},&quot;isTemporary&quot;:false}],&quot;properties&quot;:{&quot;noteIndex&quot;:0},&quot;isEdited&quot;:false,&quot;manualOverride&quot;:{&quot;isManuallyOverridden&quot;:false,&quot;citeprocText&quot;:&quot;(Nogueira &amp;#38; Cardoso, 2006)&quot;,&quot;manualOverrideText&quot;:&quot;&quot;},&quot;citationTag&quot;:&quot;MENDELEY_CITATION_v3_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&quot;},{&quot;citationID&quot;:&quot;MENDELEY_CITATION_b56db41c-bec0-4a0f-ac7e-0899bfddd58c&quot;,&quot;citationItems&quot;:[{&quot;id&quot;:&quot;0aebef3b-4ea4-39ab-9e85-47aeccbed44d&quot;,&quot;itemData&quot;:{&quot;type&quot;:&quot;article-journal&quot;,&quot;id&quot;:&quot;0aebef3b-4ea4-39ab-9e85-47aeccbed44d&quot;,&quot;title&quot;:&quot;Factors affecting arbuscular mycorrhizal dependency of wheat genotypes with different phosphorus efficiencies&quot;,&quot;author&quot;:[{&quot;family&quot;:&quot;Yao&quot;,&quot;given&quot;:&quot;Q.&quot;,&quot;parse-names&quot;:false,&quot;dropping-particle&quot;:&quot;&quot;,&quot;non-dropping-particle&quot;:&quot;&quot;},{&quot;family&quot;:&quot;Li&quot;,&quot;given&quot;:&quot;X.&quot;,&quot;parse-names&quot;:false,&quot;dropping-particle&quot;:&quot;&quot;,&quot;non-dropping-particle&quot;:&quot;&quot;},{&quot;family&quot;:&quot;Christie&quot;,&quot;given&quot;:&quot;P.&quot;,&quot;parse-names&quot;:false,&quot;dropping-particle&quot;:&quot;&quot;,&quot;non-dropping-particle&quot;:&quot;&quot;}],&quot;container-title&quot;:&quot;Journal of Plant Nutrition&quot;,&quot;accessed&quot;:{&quot;date-parts&quot;:[[2021,4,5]]},&quot;DOI&quot;:&quot;10.1081/PLN-100106991&quot;,&quot;ISSN&quot;:&quot;01904167&quot;,&quot;URL&quot;:&quot;https://www.tandfonline.com/doi/abs/10.1081/PLN-100106991&quot;,&quot;issued&quot;:{&quot;date-parts&quot;:[[2001]]},&quot;page&quot;:&quot;1409-1419&quot;,&quot;abstract&quot;:&quot;Three wheat (Triticum aestivum L.) genotypes with high, intermediate and low phosphorus (P) efficiency were grown in a pot experiment with low P supply and adequate P supply either inoculated with the arbuscular mycorrhizal fungus Glomus versiforme or uninoculated. The mycorrhizal dependency of the genotype with relatively high P efficiency was lower than that of the genotypes with lower P efficiencies. Linear correlation analysis revealed that mycorrhizal dependency was primarily controlled by P uptake efficiency. More carbohydrate was translocated to the roots of genotypes with low P efficiency than of those with high P efficiency. In a second pot experiment the same three genotypes were grown in low P soils. Higher hyphal length density arising from carbohydrate translocation led to more P uptake, and this may account for higher mycorrhizal dependency.&quot;,&quot;publisher&quot;:&quot; Taylor &amp; Francis Group &quot;,&quot;issue&quot;:&quot;9&quot;,&quot;volume&quot;:&quot;24&quot;},&quot;isTemporary&quot;:false}],&quot;properties&quot;:{&quot;noteIndex&quot;:0},&quot;isEdited&quot;:false,&quot;manualOverride&quot;:{&quot;isManuallyOverridden&quot;:false,&quot;citeprocText&quot;:&quot;(Yao et al., 2001)&quot;,&quot;manualOverrideText&quot;:&quot;&quot;},&quot;citationTag&quot;:&quot;MENDELEY_CITATION_v3_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&quot;},{&quot;citationID&quot;:&quot;MENDELEY_CITATION_021d14c5-586c-47c3-863a-4c68b4fa4133&quot;,&quot;citationItems&quot;:[{&quot;id&quot;:&quot;2a00b653-dbdf-3cbb-80d6-f972c3930f55&quot;,&quot;itemData&quot;:{&quot;type&quot;:&quot;article-journal&quot;,&quot;id&quot;:&quot;2a00b653-dbdf-3cbb-80d6-f972c3930f55&quot;,&quot;title&quot;:&quot;How does arbuscular mycorrhizal colonization vary with host plant genotype? An example based on maize (Zea mays) germplasms&quot;,&quot;author&quot;:[{&quot;family&quot;:&quot;An&quot;,&quot;given&quot;:&quot;G. H.&quot;,&quot;parse-names&quot;:false,&quot;dropping-particle&quot;:&quot;&quot;,&quot;non-dropping-particle&quot;:&quot;&quot;},{&quot;family&quot;:&quot;Kobayashi&quot;,&quot;given&quot;:&quot;S.&quot;,&quot;parse-names&quot;:false,&quot;dropping-particle&quot;:&quot;&quot;,&quot;non-dropping-particle&quot;:&quot;&quot;},{&quot;family&quot;:&quot;Enoki&quot;,&quot;given&quot;:&quot;H.&quot;,&quot;parse-names&quot;:false,&quot;dropping-particle&quot;:&quot;&quot;,&quot;non-dropping-particle&quot;:&quot;&quot;},{&quot;family&quot;:&quot;Sonobe&quot;,&quot;given&quot;:&quot;K.&quot;,&quot;parse-names&quot;:false,&quot;dropping-particle&quot;:&quot;&quot;,&quot;non-dropping-particle&quot;:&quot;&quot;},{&quot;family&quot;:&quot;Muraki&quot;,&quot;given&quot;:&quot;M.&quot;,&quot;parse-names&quot;:false,&quot;dropping-particle&quot;:&quot;&quot;,&quot;non-dropping-particle&quot;:&quot;&quot;},{&quot;family&quot;:&quot;Karasawa&quot;,&quot;given&quot;:&quot;T.&quot;,&quot;parse-names&quot;:false,&quot;dropping-particle&quot;:&quot;&quot;,&quot;non-dropping-particle&quot;:&quot;&quot;},{&quot;family&quot;:&quot;Ezawa&quot;,&quot;given&quot;:&quot;T.&quot;,&quot;parse-names&quot;:false,&quot;dropping-particle&quot;:&quot;&quot;,&quot;non-dropping-particle&quot;:&quot;&quot;}],&quot;container-title&quot;:&quot;Plant and Soil&quot;,&quot;accessed&quot;:{&quot;date-parts&quot;:[[2021,3,18]]},&quot;DOI&quot;:&quot;10.1007/s11104-009-0073-3&quot;,&quot;ISSN&quot;:&quot;0032079X&quot;,&quot;issued&quot;:{&quot;date-parts&quot;:[[2010,1]]},&quot;page&quot;:&quot;441-453&quot;,&quot;abstract&quot;:&quot;Colonization of plant roots by arbuscular mycorrhizal (AM) fungi is a primary factor determining mycorrhizal associations. This study aimed to investigate the variation in AM colonization among maize genotypes and in response to plant breeding programs. Three types of maize (Zea mays) germplasms composed of 141 inbred lines, 38 hybrids, and 76 landraces were grown in replicated field experiments in Sapporo, Japan, for two cropping years to evaluate the percentage of root length colonized by indigenous AM fungi. The percent colonization varied greatly and continuously among maize genotypes. Inbred lines that originated (released) in particular locations (e. g., Tokachi, Japan) and years (e.g., 1960s) showed significantly larger values than other lines. Inter-location differences were also observed for landraces. The direction of the year-of-release effect on colonization depended on the origin. No significant differences were observed between leaf-blight-disease-resistant near-isogenic inbred lines and their parents. Modern hybrids showed significantly greater values than inbred lines and older landraces. Evaluating numerous, diverse genotypes demonstrated that AM colonization of maize plants varies with germplasm type, origin (country and location), and year of release, and that modern plant breeding programs do not necessarily lead to the suppression of colonization. © Springer Science + Business Media B.V. 2009.&quot;,&quot;issue&quot;:&quot;1&quot;,&quot;volume&quot;:&quot;327&quot;},&quot;isTemporary&quot;:false},{&quot;id&quot;:&quot;5f4b4be4-fe1c-364c-b07f-0f30e2ef8ea1&quot;,&quot;itemData&quot;:{&quot;type&quot;:&quot;article-journal&quot;,&quot;id&quot;:&quot;5f4b4be4-fe1c-364c-b07f-0f30e2ef8ea1&quot;,&quot;title&quot;:&quot;Mycorrhizal dependence of modern wheat varieties, landraces, and ancestors&quot;,&quot;author&quot;:[{&quot;family&quot;:&quot;Hetrick&quot;,&quot;given&quot;:&quot;B. A.D.&quot;,&quot;parse-names&quot;:false,&quot;dropping-particle&quot;:&quot;&quot;,&quot;non-dropping-particle&quot;:&quot;&quot;},{&quot;family&quot;:&quot;Wilson&quot;,&quot;given&quot;:&quot;G. W.T.&quot;,&quot;parse-names&quot;:false,&quot;dropping-particle&quot;:&quot;&quot;,&quot;non-dropping-particle&quot;:&quot;&quot;},{&quot;family&quot;:&quot;Cox&quot;,&quot;given&quot;:&quot;T. S.&quot;,&quot;parse-names&quot;:false,&quot;dropping-particle&quot;:&quot;&quot;,&quot;non-dropping-particle&quot;:&quot;&quot;}],&quot;container-title&quot;:&quot;Canadian Journal of Botany&quot;,&quot;accessed&quot;:{&quot;date-parts&quot;:[[2021,3,18]]},&quot;DOI&quot;:&quot;10.1139/b92-253&quot;,&quot;ISSN&quot;:&quot;00084026&quot;,&quot;URL&quot;:&quot;https://cdnsciencepub.com/doi/abs/10.1139/b92-253&quot;,&quot;issued&quot;:{&quot;date-parts&quot;:[[1992]]},&quot;page&quot;:&quot;2032-2040&quot;,&quot;abstract&quot;:&quot;With the exception of the US cultivar Newton and the German cultivars Apollo, Kanzler, and Sperber, dry weight of eight other modern wheats Triticum aestivum from the USA and Great Britain were increased by 29-100% following inoculation with mycorrhizal fungi. All landraces from Asian collections or early introduced American cultivars were also dependent on the symbiosis, with dry weight increases averaging 169 and 55%, respectively. All wheat ancestors of the AA and BB genomes (except Aegilops speltoides) benefitted significantly from the symbiosis, whereas no benefit was observed for ancestors of the DD genome, tetraploid wheats of the AABB and AAGG genomes, or in the hexaploid ancestor Triticum zhukovskyi (AAAAGG genome). These differences in mycorrhizal response of the ancestors, lines, and cultivars were highly correlated with root fibrousness ratings. -from Authors&quot;,&quot;publisher&quot;:&quot; NRC Research Press Ottawa, Canada &quot;,&quot;issue&quot;:&quot;10&quot;,&quot;volume&quot;:&quot;70&quot;},&quot;isTemporary&quot;:false},{&quot;id&quot;:&quot;c57a5d4d-c769-38af-a660-422aa6eb94d7&quot;,&quot;itemData&quot;:{&quot;type&quot;:&quot;article-journal&quot;,&quot;id&quot;:&quot;c57a5d4d-c769-38af-a660-422aa6eb94d7&quot;,&quot;title&quot;:&quot;Variation among Maize Inbred Lines and Detection of Quantitative Trait Loci for Growth at Low Phosphorus and Responsiveness to Arbuscular Mycorrhizal Fungi&quot;,&quot;author&quot;:[{&quot;family&quot;:&quot;Kaeppler&quot;,&quot;given&quot;:&quot;Shawn M.&quot;,&quot;parse-names&quot;:false,&quot;dropping-particle&quot;:&quot;&quot;,&quot;non-dropping-particle&quot;:&quot;&quot;},{&quot;family&quot;:&quot;Parke&quot;,&quot;given&quot;:&quot;Jennifer L.&quot;,&quot;parse-names&quot;:false,&quot;dropping-particle&quot;:&quot;&quot;,&quot;non-dropping-particle&quot;:&quot;&quot;},{&quot;family&quot;:&quot;Mueller&quot;,&quot;given&quot;:&quot;Suzanne M.&quot;,&quot;parse-names&quot;:false,&quot;dropping-particle&quot;:&quot;&quot;,&quot;non-dropping-particle&quot;:&quot;&quot;},{&quot;family&quot;:&quot;Senior&quot;,&quot;given&quot;:&quot;Lynn&quot;,&quot;parse-names&quot;:false,&quot;dropping-particle&quot;:&quot;&quot;,&quot;non-dropping-particle&quot;:&quot;&quot;},{&quot;family&quot;:&quot;Stuber&quot;,&quot;given&quot;:&quot;Charles&quot;,&quot;parse-names&quot;:false,&quot;dropping-particle&quot;:&quot;&quot;,&quot;non-dropping-particle&quot;:&quot;&quot;},{&quot;family&quot;:&quot;Tracy&quot;,&quot;given&quot;:&quot;William F.&quot;,&quot;parse-names&quot;:false,&quot;dropping-particle&quot;:&quot;&quot;,&quot;non-dropping-particle&quot;:&quot;&quot;}],&quot;container-title&quot;:&quot;Crop Science&quot;,&quot;accessed&quot;:{&quot;date-parts&quot;:[[2021,3,18]]},&quot;DOI&quot;:&quot;10.2135/cropsci2000.402358x&quot;,&quot;ISSN&quot;:&quot;0011183X&quot;,&quot;URL&quot;:&quot;http://doi.wiley.com/10.2135/cropsci2000.402358x&quot;,&quot;issued&quot;:{&quot;date-parts&quot;:[[2000,3,1]]},&quot;page&quot;:&quot;358-364&quot;,&quot;abstract&quot;:&quot;Maize (Zea mays L.) growth at low soil P levels is affected both by inherent physiological factors as well as interactions with soil microbes. The objectives of this study were (i) to quantify differences among maize inbred lines for growth at low P and response to mycorrhizal fungi, and (ii) to identify quantitative trait loci (QTL) controlling these traits in a B73 X Mo17 recombinant inbred population. Shoot dry weight and root volume were measured in the greenhouse after 6 wk of growth in a factorial experiment of 28 inbred maize lines using treatments of low vs. high P and mycorrhizal vs. nonmycorrhizal treatments. Shoot dry weight for the low P treatment in the absence of mycorrhizae ranged from 0.56 to 3.15 g. Mycorrhizal responsiveness based on shoot dry weight ranged from 106 to 800%. Shoot dry weight in the low P-nonmycorrhizal treatment was highly negatively correlated with mycorrhizal responsiveness. Plants grown at high P in the presence of mycorrhizae accumulated only 88% of the biomass of plants grown at high P in the absence of mycorrhizae, indicating that mycorrhizae can reduce plant growth when not contributing to the symbiosis. Percentage of root colonization was not correlated with mycorrhizal responsiveness. B73 and Mo17 were among the extremes for growth at low P and mycorrhizal responsiveness, and a B73 x Mo17 population of 197 recombinant inbred lines was used to detect QTL for growth at low P and mycorrhizal responsiveness. Three QTL were identified which controlled growth at low P in the absence of mycorrhizae based on shoot weight and one QTL which controlled mycorrhizal responsiveness. This study indicates that there is substantial variation among maize lines for growth at low P and response to mycorrhizal fungi. This variation could be harnessed to develop cultivars for regions of the world with P deficiency and for reduced-input production systems.&quot;,&quot;publisher&quot;:&quot;Crop Science Society of America&quot;,&quot;issue&quot;:&quot;2&quot;,&quot;volume&quot;:&quot;40&quot;},&quot;isTemporary&quot;:false},{&quot;id&quot;:&quot;518fb415-7e4c-367c-b2ee-a1c3808ce123&quot;,&quot;itemData&quot;:{&quot;type&quot;:&quot;article-journal&quot;,&quot;id&quot;:&quot;518fb415-7e4c-367c-b2ee-a1c3808ce123&quot;,&quot;title&quot;:&quot;Genotype dependent variation in mycorrhizal colonization and response to inoculation of pearl millet&quot;,&quot;author&quot;:[{&quot;family&quot;:&quot;Krishna&quot;,&quot;given&quot;:&quot;K. R.&quot;,&quot;parse-names&quot;:false,&quot;dropping-particle&quot;:&quot;&quot;,&quot;non-dropping-particle&quot;:&quot;&quot;},{&quot;family&quot;:&quot;Shetty&quot;,&quot;given&quot;:&quot;K. G.&quot;,&quot;parse-names&quot;:false,&quot;dropping-particle&quot;:&quot;&quot;,&quot;non-dropping-particle&quot;:&quot;&quot;},{&quot;family&quot;:&quot;Dart&quot;,&quot;given&quot;:&quot;P. J.&quot;,&quot;parse-names&quot;:false,&quot;dropping-particle&quot;:&quot;&quot;,&quot;non-dropping-particle&quot;:&quot;&quot;},{&quot;family&quot;:&quot;Andrews&quot;,&quot;given&quot;:&quot;D. J.&quot;,&quot;parse-names&quot;:false,&quot;dropping-particle&quot;:&quot;&quot;,&quot;non-dropping-particle&quot;:&quot;&quot;}],&quot;container-title&quot;:&quot;Plant and Soil&quot;,&quot;accessed&quot;:{&quot;date-parts&quot;:[[2021,4,3]]},&quot;DOI&quot;:&quot;10.1007/BF02185031&quot;,&quot;ISSN&quot;:&quot;0032079X&quot;,&quot;URL&quot;:&quot;https://link.springer.com/article/10.1007/BF02185031&quot;,&quot;issued&quot;:{&quot;date-parts&quot;:[[1985,2]]},&quot;page&quot;:&quot;113-125&quot;,&quot;abstract&quot;:&quot;Genotypes of pearl millet (Pennisetum americanum L. Leeke) were examined for differences in vesicular-arbuscular mycorrhizal (VAM) colonization and response to inoculation. For thirty genotypes tested across three field locations there was a range of mycorrhizal colonization intensity between 25 and 56%. In another experiment with two male-sterile lines, restorer lines and their derived crosses, grown in pots filled with non-sterilized soil there were significant differences between genotypes for colonization by mycorrhiza. This showed hostgenotype dependence for mycorrhizal colonization. Root growth rates, mycorrhizal root length, percentage root colonization and plant growth and P uptake were studied in ten genotypes. A set of 3 genotypes with similar root lengths varied significantly with regard to mycorrhizal root length and the percentage colonization. This supports the suggestion that VAM colonization and spread is dependent on the host genotype. The growth responses differed significantly between the genotypes and they also differed in their responses to P uptake and VAM inoculation. The utility of host-genotype dependent differences in VAM symbiosis in plant breeding is discussed. © 1985 Martinus Nijhoff/Dr W. Junk Publishers.&quot;,&quot;publisher&quot;:&quot;Martinus Nijhoff, The Hague/Kluwer Academic Publishers&quot;,&quot;issue&quot;:&quot;1&quot;,&quot;volume&quot;:&quot;86&quot;},&quot;isTemporary&quot;:false}],&quot;properties&quot;:{&quot;noteIndex&quot;:0},&quot;isEdited&quot;:false,&quot;manualOverride&quot;:{&quot;isManuallyOverriden&quot;:false,&quot;citeprocText&quot;:&quot;(G. H. An et al., 2010; Hetrick et al., 1992; Kaeppler et al., 2000b; Krishna et al., 1985)&quot;,&quot;manualOverrideText&quot;:&quot;(An et al., 2010; Hetrick et al., 1992; Kaeppler et al., 2000b; Krishna et al., 1985)&quot;,&quot;isManuallyOverridden&quot;:true},&quot;citationTag&quot;:&quot;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&quot;},{&quot;citationID&quot;:&quot;MENDELEY_CITATION_3a489730-13bf-4880-bd71-367b613b4ad6&quot;,&quot;citationItems&quot;:[{&quot;id&quot;:&quot;b2ef2ba5-eead-3596-ac71-9ef5c0d80ca6&quot;,&quot;itemData&quot;:{&quot;type&quot;:&quot;article-journal&quot;,&quot;id&quot;:&quot;b2ef2ba5-eead-3596-ac71-9ef5c0d80ca6&quot;,&quot;title&quot;:&quot;Arbuscular mycorrhizal fungal application to improve growth and tolerance of wheat (Triticum aestivum L.) plants grown in saline soil&quot;,&quot;author&quot;:[{&quot;family&quot;:&quot;Abdel-Fattah&quot;,&quot;given&quot;:&quot;Gamal M.&quot;,&quot;parse-names&quot;:false,&quot;dropping-particle&quot;:&quot;&quot;,&quot;non-dropping-particle&quot;:&quot;&quot;},{&quot;family&quot;:&quot;Asrar&quot;,&quot;given&quot;:&quot;Abdul Wasea A.&quot;,&quot;parse-names&quot;:false,&quot;dropping-particle&quot;:&quot;&quot;,&quot;non-dropping-particle&quot;:&quot;&quot;}],&quot;container-title&quot;:&quot;Acta Physiologiae Plantarum&quot;,&quot;DOI&quot;:&quot;10.1007/s11738-011-0825-6&quot;,&quot;ISSN&quot;:&quot;01375881&quot;,&quot;issued&quot;:{&quot;date-parts&quot;:[[2012,1]]},&quot;page&quot;:&quot;267-277&quot;,&quot;abstract&quot;:&quot;A pot experiment was conducted to examine the effects of three different arbuscular mycorrhizal fungi, Glomus mosseae, G. deserticola and Gigaspora gergaria, on growth and nutrition of wheat (Triticum aestivium L. cv. Henta) plants grown in saline soil. Under saline condition, mycorrhizal inoculation significantly increased growth responses, nutrient contents, acid and alkaline phosphatases, proline and total soluble protein of wheat plants compared to non-mycorrhizal ones. Those stimulations were related to the metabolic activity of the each mycorrhizal fungus. The localization of succinate dehydrogenase \&quot;SDH\&quot; (as a vital stain for the metabolically active fungus) in the arbuscular mycorrhizal fungi was variable. In general, mycorrhizal shoot plant tissues had significantly higher concentrations of P, N, K and Mg but lower Na concentration than those of non-mycorrhizal plants. In saline soil, growth and nutrition of wheat plants showed a high degree of dependency on mycorrhizal fungi (especially G. mosseae). The use of the nitroblue tetrazolium chloride method as a vital stain for SDH activity showed that all the structures of mycorrhizal infections in the wheat plant estimated by the trypan blue staining (non-vital stain) were not metabolically active. Interestingly, the reduction in Na uptake along with associated increases in P, N and Mg absorption and high proline, phosphatase activities and chlorophyll content in the mycorrhizal plants could be important for salt alleviation in plants growing in saline soils. © 2011 The Author(s).&quot;,&quot;issue&quot;:&quot;1&quot;,&quot;volume&quot;:&quot;34&quot;},&quot;isTemporary&quot;:false}],&quot;properties&quot;:{&quot;noteIndex&quot;:0},&quot;isEdited&quot;:false,&quot;manualOverride&quot;:{&quot;isManuallyOverriden&quot;:false,&quot;citeprocText&quot;:&quot;(Abdel-Fattah &amp;#38; Asrar, 2012)&quot;,&quot;manualOverrideText&quot;:&quot;&quot;},&quot;citationTag&quot;:&quot;MENDELEY_CITATION_v3_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&quot;},{&quot;citationID&quot;:&quot;MENDELEY_CITATION_eaeac424-658c-45c3-90c1-0d1dfe7d606e&quot;,&quot;citationItems&quot;:[{&quot;id&quot;:&quot;8d3294a4-e2a2-3c2d-a64e-e3268254bb8d&quot;,&quot;itemData&quot;:{&quot;type&quot;:&quot;article-journal&quot;,&quot;id&quot;:&quot;8d3294a4-e2a2-3c2d-a64e-e3268254bb8d&quot;,&quot;title&quot;:&quot;Occurrence and Effectiveness of Vesicular Arbuscular Mycorrhizas in Agricultural Soils from Saudi Arabia&quot;,&quot;author&quot;:[{&quot;family&quot;:&quot;Al-Garni&quot;,&quot;given&quot;:&quot;S.M.&quot;,&quot;parse-names&quot;:false,&quot;dropping-particle&quot;:&quot;&quot;,&quot;non-dropping-particle&quot;:&quot;&quot;},{&quot;family&quot;:&quot;Daft&quot;,&quot;given&quot;:&quot;M.J.&quot;,&quot;parse-names&quot;:false,&quot;dropping-particle&quot;:&quot;&quot;,&quot;non-dropping-particle&quot;:&quot;&quot;}],&quot;container-title&quot;:&quot;Biological Agriculture &amp; Horticulture&quot;,&quot;accessed&quot;:{&quot;date-parts&quot;:[[2021,4,2]]},&quot;DOI&quot;:&quot;10.1080/01448765.1990.11978496&quot;,&quot;ISSN&quot;:&quot;0144-8765&quot;,&quot;URL&quot;:&quot;https://www.tandfonline.com/doi/abs/10.1080/01448765.1990.11978496&quot;,&quot;issued&quot;:{&quot;date-parts&quot;:[[1990,1]]},&quot;page&quot;:&quot;69-80&quot;,&quot;abstract&quot;:&quot;Soils were examined from six major agricultural regions in Saudi Arabia. Most of the 30 soils were irrigated, all contained low organic matter and had pH values in excess of 8 units. A record was m...&quot;,&quot;publisher&quot;:&quot;Informa UK Limited&quot;,&quot;issue&quot;:&quot;1&quot;,&quot;volume&quot;:&quot;7&quot;},&quot;isTemporary&quot;:false}],&quot;properties&quot;:{&quot;noteIndex&quot;:0},&quot;isEdited&quot;:false,&quot;manualOverride&quot;:{&quot;isManuallyOverriden&quot;:false,&quot;citeprocText&quot;:&quot;(Al-Garni &amp;#38; Daft, 1990)&quot;,&quot;manualOverrideText&quot;:&quot;&quot;},&quot;citationTag&quot;:&quot;MENDELEY_CITATION_v3_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&quot;},{&quot;citationID&quot;:&quot;MENDELEY_CITATION_7c79b5ca-2195-43a0-8caa-fce9be8a1a5f&quot;,&quot;citationItems&quot;:[{&quot;id&quot;:&quot;48b4a56e-faa6-3004-9ab0-89c4c4c2fecf&quot;,&quot;itemData&quot;:{&quot;type&quot;:&quot;book&quot;,&quot;id&quot;:&quot;48b4a56e-faa6-3004-9ab0-89c4c4c2fecf&quot;,&quot;title&quot;:&quot;Working with Mycorrhizas in Forestry and Agriculture The Authors&quot;,&quot;author&quot;:[{&quot;family&quot;:&quot;Brundrett&quot;,&quot;given&quot;:&quot;Mark&quot;,&quot;parse-names&quot;:false,&quot;dropping-particle&quot;:&quot;&quot;,&quot;non-dropping-particle&quot;:&quot;&quot;},{&quot;family&quot;:&quot;Bougher&quot;,&quot;given&quot;:&quot;Neale&quot;,&quot;parse-names&quot;:false,&quot;dropping-particle&quot;:&quot;&quot;,&quot;non-dropping-particle&quot;:&quot;&quot;},{&quot;family&quot;:&quot;Dell&quot;,&quot;given&quot;:&quot;Bernie&quot;,&quot;parse-names&quot;:false,&quot;dropping-particle&quot;:&quot;&quot;,&quot;non-dropping-particle&quot;:&quot;&quot;},{&quot;family&quot;:&quot;Grove&quot;,&quot;given&quot;:&quot;Tim&quot;,&quot;parse-names&quot;:false,&quot;dropping-particle&quot;:&quot;&quot;,&quot;non-dropping-particle&quot;:&quot;&quot;},{&quot;family&quot;:&quot;Disclaimer&quot;,&quot;given&quot;:&quot;Nick Malajczuk&quot;,&quot;parse-names&quot;:false,&quot;dropping-particle&quot;:&quot;&quot;,&quot;non-dropping-particle&quot;:&quot;&quot;},{&quot;family&quot;:&quot;Neale&quot;,&quot;given&quot;:&quot;Mark Brundrett&quot;,&quot;parse-names&quot;:false,&quot;dropping-particle&quot;:&quot;&quot;,&quot;non-dropping-particle&quot;:&quot;&quot;},{&quot;family&quot;:&quot;Grove&quot;,&quot;given&quot;:&quot;Bougher Tim&quot;,&quot;parse-names&quot;:false,&quot;dropping-particle&quot;:&quot;&quot;,&quot;non-dropping-particle&quot;:&quot;&quot;},{&quot;family&quot;:&quot;Malajczuk&quot;,&quot;given&quot;:&quot;Nick&quot;,&quot;parse-names&quot;:false,&quot;dropping-particle&quot;:&quot;&quot;,&quot;non-dropping-particle&quot;:&quot;&quot;},{&quot;family&quot;:&quot;Csiro&quot;,&quot;given&quot;:&quot;:&quot;,&quot;parse-names&quot;:false,&quot;dropping-particle&quot;:&quot;&quot;,&quot;non-dropping-particle&quot;:&quot;&quot;},{&quot;family&quot;:&quot;Products&quot;,&quot;given&quot;:&quot;Forest&quot;,&quot;parse-names&quot;:false,&quot;dropping-particle&quot;:&quot;&quot;,&quot;non-dropping-particle&quot;:&quot;&quot;}],&quot;accessed&quot;:{&quot;date-parts&quot;:[[2021,3,21]]},&quot;DOI&quot;:&quot;10.22004/AG.ECON.119356&quot;,&quot;URL&quot;:&quot;http://ageconsearch.umn.edu/record/119356&quot;,&quot;issued&quot;:{&quot;date-parts&quot;:[[1996]]}},&quot;isTemporary&quot;:false},{&quot;id&quot;:&quot;73780485-8ecb-3c1f-b3cf-54885f8a952e&quot;,&quot;itemData&quot;:{&quot;type&quot;:&quot;article-journal&quot;,&quot;id&quot;:&quot;73780485-8ecb-3c1f-b3cf-54885f8a952e&quot;,&quot;title&quot;:&quot;An Evaluation of techniques for measuring vesicular-arbuscular mycorrhizal infection in roots&quot;,&quot;author&quot;:[{&quot;family&quot;:&quot;Giovannetti&quot;,&quot;given&quot;:&quot;M.&quot;,&quot;parse-names&quot;:false,&quot;dropping-particle&quot;:&quot;&quot;,&quot;non-dropping-particle&quot;:&quot;&quot;},{&quot;family&quot;:&quot;Mosse&quot;,&quot;given&quot;:&quot;B.&quot;,&quot;parse-names&quot;:false,&quot;dropping-particle&quot;:&quot;&quot;,&quot;non-dropping-particle&quot;:&quot;&quot;}],&quot;container-title&quot;:&quot;New Phytologist&quot;,&quot;accessed&quot;:{&quot;date-parts&quot;:[[2021,3,21]]},&quot;DOI&quot;:&quot;10.1111/j.1469-8137.1980.tb04556.x&quot;,&quot;ISSN&quot;:&quot;0028646X&quot;,&quot;URL&quot;:&quot;http://doi.wiley.com/10.1111/j.1469-8137.1980.tb04556.x&quot;,&quot;issued&quot;:{&quot;date-parts&quot;:[[1980,3,1]]},&quot;page&quot;:&quot;489-500&quot;,&quot;abstract&quot;:&quot;Assessment of infection is an essential part of many studies involving VA mycorrhiza. A summary is given of the range of techniques that have been used. We calculated the standard error of four methods of assessment based on observations of stained root samples either randomly arranged in a petri dish or mounted on microscope slides. The methods are based on presence or absence of infection at root/grid intersect points, on a visual estimate of percentage cortex occupied by fungus or on estimates of length, or presence or absence of infection in root pieces mounted on slides. The number of replicate observations required for a given standard error % infection can be read from the curves provided. The advantages of the different methods of assessment are discussed and reasons given why they all probably overestimate the true values. Copyright © 1980, Wiley Blackwell. All rights reserved&quot;,&quot;publisher&quot;:&quot;John Wiley &amp; Sons, Ltd&quot;,&quot;issue&quot;:&quot;3&quot;,&quot;volume&quot;:&quot;84&quot;},&quot;isTemporary&quot;:false}],&quot;properties&quot;:{&quot;noteIndex&quot;:0},&quot;isEdited&quot;:false,&quot;manualOverride&quot;:{&quot;isManuallyOverriden&quot;:false,&quot;citeprocText&quot;:&quot;(Brundrett et al., 1996; Giovannetti &amp;#38; Mosse, 1980)&quot;,&quot;manualOverrideText&quot;:&quot;&quot;},&quot;citationTag&quot;:&quot;MENDELEY_CITATION_v3_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&quot;},{&quot;citationID&quot;:&quot;MENDELEY_CITATION_3a937954-ce48-4884-a0e7-bb36e2d20bff&quot;,&quot;citationItems&quot;:[{&quot;id&quot;:&quot;71587607-564b-32b2-9950-4c4803c23de0&quot;,&quot;itemData&quot;:{&quot;type&quot;:&quot;article-journal&quot;,&quot;id&quot;:&quot;71587607-564b-32b2-9950-4c4803c23de0&quot;,&quot;title&quot;:&quot;Improved procedures for clearing roots and staining parasitic and vesicular-arbuscular mycorrhizal fungi for rapid assessment of infection&quot;,&quot;author&quot;:[{&quot;family&quot;:&quot;Phillips&quot;,&quot;given&quot;:&quot;J.M.&quot;,&quot;parse-names&quot;:false,&quot;dropping-particle&quot;:&quot;&quot;,&quot;non-dropping-particle&quot;:&quot;&quot;},{&quot;family&quot;:&quot;Hayman&quot;,&quot;given&quot;:&quot;D.S.&quot;,&quot;parse-names&quot;:false,&quot;dropping-particle&quot;:&quot;&quot;,&quot;non-dropping-particle&quot;:&quot;&quot;}],&quot;container-title&quot;:&quot;Transactions of the British Mycological Society&quot;,&quot;accessed&quot;:{&quot;date-parts&quot;:[[2021,3,21]]},&quot;DOI&quot;:&quot;10.1016/s0007-1536(70)80110-3&quot;,&quot;ISSN&quot;:&quot;00071536&quot;,&quot;issued&quot;:{&quot;date-parts&quot;:[[1970,8,1]]},&quot;page&quot;:&quot;158-IN18&quot;,&quot;abstract&quot;:&quot;(Eddy) The procedure has been developed for use on roots. Procedure for staining : materials can be fixed in FAA (13 ml formalin, , 5 ml glacial acetic acid and 200 ml 50 % ethanol). Then materials are heated in 10 % KOH for about 1 hour at 90 c. This removes the host cytoplasm and most of the nuclei. Materials were then rinsed in water and acidified with dilute HCL. Staining was done by simmering for 5 min. in 0.05 % trypan blue in lactophenol and the excess staining is removed by clear lactophenol. For roots which are thicker than 2 mm a longer period (more than one hour) of treatment with KOH at 90 c was recommended. Because of the KOH treatment the staining of intracellular fungal tissue would be easier and no cytoplasm would block the visibility of the fungus. For pigmented root materials the treatment with KOH was extended, after which the materials were washed with fresh KOH. Then the materials were immersed in an alkaline solution of hydrogen peroxide (about 10 at 20 c until bleached.&quot;,&quot;publisher&quot;:&quot;Elsevier BV&quot;,&quot;issue&quot;:&quot;1&quot;,&quot;volume&quot;:&quot;55&quot;},&quot;isTemporary&quot;:false}],&quot;properties&quot;:{&quot;noteIndex&quot;:0},&quot;isEdited&quot;:false,&quot;manualOverride&quot;:{&quot;isManuallyOverriden&quot;:false,&quot;citeprocText&quot;:&quot;(Phillips &amp;#38; Hayman, 1970)&quot;,&quot;manualOverrideText&quot;:&quot;&quot;},&quot;citationTag&quot;:&quot;MENDELEY_CITATION_v3_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&quot;},{&quot;citationID&quot;:&quot;MENDELEY_CITATION_ad3471d2-fdc9-4a98-b074-20b376ec4ea8&quot;,&quot;citationItems&quot;:[{&quot;id&quot;:&quot;d1aa6617-43fa-3c2b-a597-b5e4dd9bcf77&quot;,&quot;itemData&quot;:{&quot;type&quot;:&quot;article-journal&quot;,&quot;id&quot;:&quot;d1aa6617-43fa-3c2b-a597-b5e4dd9bcf77&quot;,&quot;title&quot;:&quot;A modified procedure for staining roots to detect VA mycorrhizas&quot;,&quot;author&quot;:[{&quot;family&quot;:&quot;Koske&quot;,&quot;given&quot;:&quot;R. E.&quot;,&quot;parse-names&quot;:false,&quot;dropping-particle&quot;:&quot;&quot;,&quot;non-dropping-particle&quot;:&quot;&quot;},{&quot;family&quot;:&quot;Gemma&quot;,&quot;given&quot;:&quot;J. N.&quot;,&quot;parse-names&quot;:false,&quot;dropping-particle&quot;:&quot;&quot;,&quot;non-dropping-particle&quot;:&quot;&quot;}],&quot;container-title&quot;:&quot;Mycological Research&quot;,&quot;accessed&quot;:{&quot;date-parts&quot;:[[2021,3,21]]},&quot;DOI&quot;:&quot;10.1016/S0953-7562(89)80195-9&quot;,&quot;ISSN&quot;:&quot;09537562&quot;,&quot;issued&quot;:{&quot;date-parts&quot;:[[1989,6,1]]},&quot;page&quot;:&quot;486-488&quot;,&quot;abstract&quot;:&quot;A modified technique for staining roots to detect VA mycorrhizas is described. It eliminates as many toxic compounds as possible from root fixation/staining procedures without reducing the resolution of the staining. Success has been achieved with angiosperm, fern, lycopod and psilophyte roots and bryophyte. © 1989, British Mycological Society. All rights reserved.&quot;,&quot;publisher&quot;:&quot;Elsevier&quot;,&quot;issue&quot;:&quot;4&quot;,&quot;volume&quot;:&quot;92&quot;},&quot;isTemporary&quot;:false}],&quot;properties&quot;:{&quot;noteIndex&quot;:0},&quot;isEdited&quot;:false,&quot;manualOverride&quot;:{&quot;isManuallyOverriden&quot;:false,&quot;citeprocText&quot;:&quot;(Koske &amp;#38; Gemma, 1989)&quot;,&quot;manualOverrideText&quot;:&quot;&quot;},&quot;citationTag&quot;:&quot;MENDELEY_CITATION_v3_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&quot;},{&quot;citationID&quot;:&quot;MENDELEY_CITATION_e00ff4b3-d60c-4e93-936f-e3f930658586&quot;,&quot;citationItems&quot;:[{&quot;id&quot;:&quot;f902ff6d-4a75-3f48-a894-90c4a56fa98e&quot;,&quot;itemData&quot;:{&quot;type&quot;:&quot;article-journal&quot;,&quot;id&quot;:&quot;f902ff6d-4a75-3f48-a894-90c4a56fa98e&quot;,&quot;title&quot;:&quot;The use of H2 S04 -H2 0 2 for the destruction of plants matter as a preliminary to determination of N, K, Mg, Ca, Fe, Mn.&quot;,&quot;author&quot;:[{&quot;family&quot;:&quot;Mizuno&quot;,&quot;given&quot;:&quot;N. and Minami, M.&quot;,&quot;parse-names&quot;:false,&quot;dropping-particle&quot;:&quot;&quot;,&quot;non-dropping-particle&quot;:&quot;&quot;}],&quot;container-title&quot;:&quot;Soil Sci. Manure, lpn&quot;,&quot;issued&quot;:{&quot;date-parts&quot;:[[1980]]},&quot;page&quot;:&quot;418-420&quot;,&quot;volume&quot;:&quot;51&quot;},&quot;isTemporary&quot;:false}],&quot;properties&quot;:{&quot;noteIndex&quot;:0},&quot;isEdited&quot;:false,&quot;manualOverride&quot;:{&quot;isManuallyOverriden&quot;:false,&quot;citeprocText&quot;:&quot;(Mizuno, 1980)&quot;,&quot;manualOverrideText&quot;:&quot;&quot;},&quot;citationTag&quot;:&quot;MENDELEY_CITATION_v3_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&quot;},{&quot;citationID&quot;:&quot;MENDELEY_CITATION_b1f8d145-13e0-43d4-bb25-c77c5e7f9144&quot;,&quot;citationItems&quot;:[{&quot;id&quot;:&quot;19ec8feb-fb9d-397f-bfec-f65173a1b614&quot;,&quot;itemData&quot;:{&quot;type&quot;:&quot;article-journal&quot;,&quot;id&quot;:&quot;19ec8feb-fb9d-397f-bfec-f65173a1b614&quot;,&quot;title&quot;:&quot;A modified single solution method for the determination of phosphate in natural waters&quot;,&quot;author&quot;:[{&quot;family&quot;:&quot;Murphy&quot;,&quot;given&quot;:&quot;J.&quot;,&quot;parse-names&quot;:false,&quot;dropping-particle&quot;:&quot;&quot;,&quot;non-dropping-particle&quot;:&quot;&quot;},{&quot;family&quot;:&quot;Riley&quot;,&quot;given&quot;:&quot;J. P.&quot;,&quot;parse-names&quot;:false,&quot;dropping-particle&quot;:&quot;&quot;,&quot;non-dropping-particle&quot;:&quot;&quot;}],&quot;container-title&quot;:&quot;Analytica Chimica Acta&quot;,&quot;accessed&quot;:{&quot;date-parts&quot;:[[2021,3,21]]},&quot;DOI&quot;:&quot;10.1016/S0003-2670(00)88444-5&quot;,&quot;ISSN&quot;:&quot;00032670&quot;,&quot;issued&quot;:{&quot;date-parts&quot;:[[1962,1,1]]},&quot;page&quot;:&quot;31-36&quot;,&quot;abstract&quot;:&quot;A single solution reagent is described for the determination of phosphorus in sea water. It consists of an acidified solution of ammonium molybdate containing ascorbic acid and a small amount of antimony. This reagent reacts rapidly with phosphate ion yielding a blue-purple compound which contains antimony and phosphorus in a 1:1 atomic ratio. The complex is very stable and obeys Beer's law up to a phosphate concentration of at least 2 μg/ml.The sensitivity of the procedure is comparable with that of the stannous chloride method. The salt error is less than 1 %. © 1962.&quot;,&quot;publisher&quot;:&quot;Elsevier&quot;,&quot;issue&quot;:&quot;C&quot;,&quot;volume&quot;:&quot;27&quot;},&quot;isTemporary&quot;:false},{&quot;id&quot;:&quot;e38544f5-df78-3bbf-9b0a-ab0a2e258413&quot;,&quot;itemData&quot;:{&quot;type&quot;:&quot;article-journal&quot;,&quot;id&quot;:&quot;e38544f5-df78-3bbf-9b0a-ab0a2e258413&quot;,&quot;title&quot;:&quot;Colorimetric determination of phosphorus in soil and plant materials with ascorbic acid&quot;,&quot;author&quot;:[{&quot;family&quot;:&quot;Matt K John&quot;,&quot;given&quot;:&quot;&quot;,&quot;parse-names&quot;:false,&quot;dropping-particle&quot;:&quot;&quot;,&quot;non-dropping-particle&quot;:&quot;&quot;}],&quot;container-title&quot;:&quot;Soil Science&quot;,&quot;issued&quot;:{&quot;date-parts&quot;:[[1970]]},&quot;page&quot;:&quot;214-220&quot;,&quot;issue&quot;:&quot;4&quot;,&quot;volume&quot;:&quot;109&quot;},&quot;isTemporary&quot;:false}],&quot;properties&quot;:{&quot;noteIndex&quot;:0},&quot;isEdited&quot;:false,&quot;manualOverride&quot;:{&quot;isManuallyOverriden&quot;:false,&quot;citeprocText&quot;:&quot;(Matt K John, 1970; Murphy &amp;#38; Riley, 1962)&quot;,&quot;manualOverrideText&quot;:&quot;&quot;},&quot;citationTag&quot;:&quot;MENDELEY_CITATION_v3_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&quot;},{&quot;citationID&quot;:&quot;MENDELEY_CITATION_0b16f221-62e8-4b90-96fc-0d17f1c65623&quot;,&quot;citationItems&quot;:[{&quot;id&quot;:&quot;1db01793-e92f-377b-a2cf-89c574e3fac7&quot;,&quot;itemData&quot;:{&quot;type&quot;:&quot;article-journal&quot;,&quot;id&quot;:&quot;1db01793-e92f-377b-a2cf-89c574e3fac7&quot;,&quot;title&quot;:&quot;The colorimetric determination of total nitrogen in feeding stuffs&quot;,&quot;author&quot;:[{&quot;family&quot;:&quot;Williams&quot;,&quot;given&quot;:&quot;P. C.&quot;,&quot;parse-names&quot;:false,&quot;dropping-particle&quot;:&quot;&quot;,&quot;non-dropping-particle&quot;:&quot;&quot;}],&quot;container-title&quot;:&quot;The Analyst&quot;,&quot;DOI&quot;:&quot;10.1039/an9648900276&quot;,&quot;ISSN&quot;:&quot;0003-2654&quot;,&quot;issued&quot;:{&quot;date-parts&quot;:[[1964]]},&quot;issue&quot;:&quot;1057&quot;,&quot;volume&quot;:&quot;89&quot;},&quot;isTemporary&quot;:false},{&quot;id&quot;:&quot;4631b44e-034d-3cd8-a813-ed5b1685e29e&quot;,&quot;itemData&quot;:{&quot;type&quot;:&quot;article-journal&quot;,&quot;id&quot;:&quot;4631b44e-034d-3cd8-a813-ed5b1685e29e&quot;,&quot;title&quot;:&quot;Phosphoric acid, nitric acid, and hydrogen peroxide digestion of soil and plant materials for selenium determination&quot;,&quot;author&quot;:[{&quot;family&quot;:&quot;Dong&quot;,&quot;given&quot;:&quot;Allen.&quot;,&quot;parse-names&quot;:false,&quot;dropping-particle&quot;:&quot;&quot;,&quot;non-dropping-particle&quot;:&quot;&quot;},{&quot;family&quot;:&quot;Rendig&quot;,&quot;given&quot;:&quot;V.&quot;,&quot;parse-names&quot;:false,&quot;dropping-particle&quot;:&quot;v.&quot;,&quot;non-dropping-particle&quot;:&quot;&quot;},{&quot;family&quot;:&quot;Burau&quot;,&quot;given&quot;:&quot;R. G.&quot;,&quot;parse-names&quot;:false,&quot;dropping-particle&quot;:&quot;&quot;,&quot;non-dropping-particle&quot;:&quot;&quot;},{&quot;family&quot;:&quot;Besga&quot;,&quot;given&quot;:&quot;G. S.&quot;,&quot;parse-names&quot;:false,&quot;dropping-particle&quot;:&quot;&quot;,&quot;non-dropping-particle&quot;:&quot;&quot;}],&quot;container-title&quot;:&quot;Analytical Chemistry&quot;,&quot;DOI&quot;:&quot;10.1021/ac00149a020&quot;,&quot;ISSN&quot;:&quot;0003-2700&quot;,&quot;issued&quot;:{&quot;date-parts&quot;:[[1987,11,15]]},&quot;issue&quot;:&quot;22&quot;,&quot;volume&quot;:&quot;59&quot;},&quot;isTemporary&quot;:false},{&quot;id&quot;:&quot;c9679379-11aa-38cf-8b88-9cc5ef2a2c7d&quot;,&quot;itemData&quot;:{&quot;type&quot;:&quot;article-journal&quot;,&quot;id&quot;:&quot;c9679379-11aa-38cf-8b88-9cc5ef2a2c7d&quot;,&quot;title&quot;:&quot;Determination of Total Nitrogen in Solid Samples by Two-Step Digestion–Ultraviolet Spectrophotometry Method&quot;,&quot;author&quot;:[{&quot;family&quot;:&quot;Liu&quot;,&quot;given&quot;:&quot;Wu Jun&quot;,&quot;parse-names&quot;:false,&quot;dropping-particle&quot;:&quot;&quot;,&quot;non-dropping-particle&quot;:&quot;&quot;},{&quot;family&quot;:&quot;Zeng&quot;,&quot;given&quot;:&quot;Fan Xin&quot;,&quot;parse-names&quot;:false,&quot;dropping-particle&quot;:&quot;&quot;,&quot;non-dropping-particle&quot;:&quot;&quot;},{&quot;family&quot;:&quot;Jiang&quot;,&quot;given&quot;:&quot;Hong&quot;,&quot;parse-names&quot;:false,&quot;dropping-particle&quot;:&quot;&quot;,&quot;non-dropping-particle&quot;:&quot;&quot;}],&quot;container-title&quot;:&quot;Communications in Soil Science and Plant Analysis&quot;,&quot;DOI&quot;:&quot;10.1080/00103624.2012.750330&quot;,&quot;ISSN&quot;:&quot;0010-3624&quot;,&quot;issued&quot;:{&quot;date-parts&quot;:[[2013,3,26]]},&quot;issue&quot;:&quot;6&quot;,&quot;volume&quot;:&quot;44&quot;},&quot;isTemporary&quot;:false}],&quot;properties&quot;:{&quot;noteIndex&quot;:0},&quot;isEdited&quot;:false,&quot;manualOverride&quot;:{&quot;isManuallyOverridden&quot;:true,&quot;citeprocText&quot;:&quot;(Dong et al., 1987; W. J. Liu et al., 2013; Williams, 1964)&quot;,&quot;manualOverrideText&quot;:&quot;(Dong et al., 1987; Liu et al., 2013; Williams, 1964) &quot;},&quot;citationTag&quot;:&quot;MENDELEY_CITATION_v3_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&quot;},{&quot;citationID&quot;:&quot;MENDELEY_CITATION_dde1c917-f4cd-43b3-97f5-c4ed6021ca4f&quot;,&quot;citationItems&quot;:[{&quot;id&quot;:&quot;da9831c8-5484-3c12-895a-398a5f2f591e&quot;,&quot;itemData&quot;:{&quot;type&quot;:&quot;article-journal&quot;,&quot;id&quot;:&quot;da9831c8-5484-3c12-895a-398a5f2f591e&quot;,&quot;title&quot;:&quot;The mycorrhizal contribution to plant productivity, plant nutrition and soil structure in experimental grassland&quot;,&quot;author&quot;:[{&quot;family&quot;:&quot;Heijden&quot;,&quot;given&quot;:&quot;Marcel G.A.&quot;,&quot;parse-names&quot;:false,&quot;dropping-particle&quot;:&quot;&quot;,&quot;non-dropping-particle&quot;:&quot;van der&quot;},{&quot;family&quot;:&quot;Streitwolf-Engel&quot;,&quot;given&quot;:&quot;Ruth&quot;,&quot;parse-names&quot;:false,&quot;dropping-particle&quot;:&quot;&quot;,&quot;non-dropping-particle&quot;:&quot;&quot;},{&quot;family&quot;:&quot;Riedl&quot;,&quot;given&quot;:&quot;Ralph&quot;,&quot;parse-names&quot;:false,&quot;dropping-particle&quot;:&quot;&quot;,&quot;non-dropping-particle&quot;:&quot;&quot;},{&quot;family&quot;:&quot;Siegrist&quot;,&quot;given&quot;:&quot;Sabine&quot;,&quot;parse-names&quot;:false,&quot;dropping-particle&quot;:&quot;&quot;,&quot;non-dropping-particle&quot;:&quot;&quot;},{&quot;family&quot;:&quot;Neudecker&quot;,&quot;given&quot;:&quot;Angelica&quot;,&quot;parse-names&quot;:false,&quot;dropping-particle&quot;:&quot;&quot;,&quot;non-dropping-particle&quot;:&quot;&quot;},{&quot;family&quot;:&quot;Ineichen&quot;,&quot;given&quot;:&quot;Kurt&quot;,&quot;parse-names&quot;:false,&quot;dropping-particle&quot;:&quot;&quot;,&quot;non-dropping-particle&quot;:&quot;&quot;},{&quot;family&quot;:&quot;Boller&quot;,&quot;given&quot;:&quot;Thomas&quot;,&quot;parse-names&quot;:false,&quot;dropping-particle&quot;:&quot;&quot;,&quot;non-dropping-particle&quot;:&quot;&quot;},{&quot;family&quot;:&quot;Wiemken&quot;,&quot;given&quot;:&quot;Andres&quot;,&quot;parse-names&quot;:false,&quot;dropping-particle&quot;:&quot;&quot;,&quot;non-dropping-particle&quot;:&quot;&quot;},{&quot;family&quot;:&quot;Sanders&quot;,&quot;given&quot;:&quot;Ian R.&quot;,&quot;parse-names&quot;:false,&quot;dropping-particle&quot;:&quot;&quot;,&quot;non-dropping-particle&quot;:&quot;&quot;}],&quot;container-title&quot;:&quot;New Phytologist&quot;,&quot;accessed&quot;:{&quot;date-parts&quot;:[[2021,3,24]]},&quot;DOI&quot;:&quot;10.1111/j.1469-8137.2006.01862.x&quot;,&quot;ISSN&quot;:&quot;0028646X&quot;,&quot;PMID&quot;:&quot;17096799&quot;,&quot;URL&quot;:&quot;https://pubmed.ncbi.nlm.nih.gov/17096799/&quot;,&quot;issued&quot;:{&quot;date-parts&quot;:[[2006,12]]},&quot;page&quot;:&quot;739-752&quot;,&quot;abstract&quot;:&quot;• Previous studies have shown that arbuscular mycorrhizal fungi (AMF) can influence plant diversity and ecosystem productivity. However, little is known about the effects of AMF and different AMF taxa on other important community properties such as nutrient acquisition, plant survival and soil structure. • We established experimental grassland microcosms and tested the impact of AMF and of different AMF taxa on a number of grassland characteristics. We also tested whether plant species benefited from the same or different AMF taxa in subsequent growing seasons. • AMF enhanced phosphorus acquisition, soil aggregation and survival of several plant species, but AMF did not increase total plant productivity. Moreover, AMF increased nitrogen acquisition by some plant species, but AMF had no effect on total N uptake by the plant community. Plant growth responses to AMF were temporally variable and some plant species obtained the highest biomass with different AMF in different years. Hence the results indicate that it may be beneficial for a plant to be colonized by different AMF taxa in different seasons. • This study shows that AMF play a key role in grassland by improving plant nutrition and soil structure, and by regulating the make-up of the plant community. © The Authors (2006).&quot;,&quot;publisher&quot;:&quot;New Phytol&quot;,&quot;issue&quot;:&quot;4&quot;,&quot;volume&quot;:&quot;172&quot;},&quot;isTemporary&quot;:false}],&quot;properties&quot;:{&quot;noteIndex&quot;:0},&quot;isEdited&quot;:false,&quot;manualOverride&quot;:{&quot;isManuallyOverriden&quot;:false,&quot;citeprocText&quot;:&quot;(van der Heijden et al., 2006)&quot;,&quot;manualOverrideText&quot;:&quot;(van der Heijden et al., 2006).&quot;,&quot;isManuallyOverridden&quot;:true},&quot;citationTag&quot;:&quot;MENDELEY_CITATION_v3_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&quot;},{&quot;citationID&quot;:&quot;MENDELEY_CITATION_3f523cd9-8116-4805-924c-f31de4d87eaa&quot;,&quot;citationItems&quot;:[{&quot;id&quot;:&quot;eb316449-6e3b-3f1c-bc1e-8ae8e72cd02b&quot;,&quot;itemData&quot;:{&quot;type&quot;:&quot;article-journal&quot;,&quot;id&quot;:&quot;eb316449-6e3b-3f1c-bc1e-8ae8e72cd02b&quot;,&quot;title&quot;:&quot;A commercial arbuscular mycorrhizal inoculum increases root colonization across wheat cultivars but does not increase assimilation of mycorrhiza‐acquired nutrients&quot;,&quot;author&quot;:[{&quot;family&quot;:&quot;Elliott&quot;,&quot;given&quot;:&quot;Ashleigh J.&quot;,&quot;parse-names&quot;:false,&quot;dropping-particle&quot;:&quot;&quot;,&quot;non-dropping-particle&quot;:&quot;&quot;},{&quot;family&quot;:&quot;Daniell&quot;,&quot;given&quot;:&quot;Tim J.&quot;,&quot;parse-names&quot;:false,&quot;dropping-particle&quot;:&quot;&quot;,&quot;non-dropping-particle&quot;:&quot;&quot;},{&quot;family&quot;:&quot;Cameron&quot;,&quot;given&quot;:&quot;Duncan D.&quot;,&quot;parse-names&quot;:false,&quot;dropping-particle&quot;:&quot;&quot;,&quot;non-dropping-particle&quot;:&quot;&quot;},{&quot;family&quot;:&quot;Field&quot;,&quot;given&quot;:&quot;Katie J.&quot;,&quot;parse-names&quot;:false,&quot;dropping-particle&quot;:&quot;&quot;,&quot;non-dropping-particle&quot;:&quot;&quot;}],&quot;container-title&quot;:&quot;PLANTS, PEOPLE, PLANET&quot;,&quot;DOI&quot;:&quot;10.1002/ppp3.10094&quot;,&quot;ISSN&quot;:&quot;2572-2611&quot;,&quot;issued&quot;:{&quot;date-parts&quot;:[[2021,9]]},&quot;page&quot;:&quot;588-599&quot;,&quot;abstract&quot;:&quot;Production and heavy application of chemical-based fertilizers to maintain crop yields is unsustainable due to pollution from run-off, high CO2 emissions, and diminishing yield returns. Access to fertilizers will be limited in the future due to rising energy costs and dwindling rock phosphate resources. A growing number of companies produce and sell arbuscular mycorrhizal fungal (AMF) inoculants, intended to help reduce fertilizer usage by facilitating crop nutrient uptake through arbuscular mycorrhizas. However, their success has been variable. Here, we present information about the efficacy of a commercially available AMF inoculant in increasing AMF root colonization and fungal contribution to plant nutrient uptake, which are critical considerations within the growing AMF inoculant industry. Summary Arable agriculture needs sustainable solutions to reduce reliance on large inputs of nutrient fertilizers while continuing to improve crop yields. By harnessing arbuscular mycorrhizal symbiosis, there is potential to improve crop nutrient assimilation and growth without additional inputs, although the efficacy of commercially available mycorrhizal inocula in agricultural systems remains controversial. Using stable and radioisotope tracing, carbon-for-nutrient exchange between arbuscular mycorrhizal fungi and three modern cultivars of wheat was quantified in a non-sterile, agricultural soil, with or without the addition of a commercial mycorrhizal inoculant. While there was no effect of inoculum addition on above-ground plant biomass, there was increased root colonization by arbuscular mycorrhizal fungi and changes in community structure. Inoculation increased phosphorus uptake across all wheat cultivars by up to 30%, although this increase was not directly attributable to mycorrhizal fungi. Carbon-for-nutrient exchange between symbionts varied substantially between the wheat cultivars. Plant tissue phosphorus increased in inoculated plants potentially because of changes induced by inoculation in microbial community composition and/or nutrient cycling within the rhizosphere. Our data contribute to the growing consensus that mycorrhizal inoculants could play a role in sustainable food production systems of the future.&quot;,&quot;publisher&quot;:&quot;Wiley&quot;,&quot;issue&quot;:&quot;5&quot;,&quot;volume&quot;:&quot;3&quot;},&quot;isTemporary&quot;:false}],&quot;properties&quot;:{&quot;noteIndex&quot;:0},&quot;isEdited&quot;:false,&quot;manualOverride&quot;:{&quot;isManuallyOverridden&quot;:false,&quot;citeprocText&quot;:&quot;(Elliott et al., 2021)&quot;,&quot;manualOverrideText&quot;:&quot;&quot;},&quot;citationTag&quot;:&quot;MENDELEY_CITATION_v3_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&quot;},{&quot;citationID&quot;:&quot;MENDELEY_CITATION_63627017-d80d-4b80-bf60-34676d105cb8&quot;,&quot;citationItems&quot;:[{&quot;id&quot;:&quot;7448bac4-c08e-328f-87dc-8852169727d3&quot;,&quot;itemData&quot;:{&quot;type&quot;:&quot;article-journal&quot;,&quot;id&quot;:&quot;7448bac4-c08e-328f-87dc-8852169727d3&quot;,&quot;title&quot;:&quot;Functional complementarity of ancient plant–fungal mutualisms: contrasting nitrogen, phosphorus and carbon exchanges between Mucoromycotina and Glomeromycotina fungal symbionts of liverworts&quot;,&quot;author&quot;:[{&quot;family&quot;:&quot;Field&quot;,&quot;given&quot;:&quot;Katie J.&quot;,&quot;parse-names&quot;:false,&quot;dropping-particle&quot;:&quot;&quot;,&quot;non-dropping-particle&quot;:&quot;&quot;},{&quot;family&quot;:&quot;Bidartondo&quot;,&quot;given&quot;:&quot;Martin I.&quot;,&quot;parse-names&quot;:false,&quot;dropping-particle&quot;:&quot;&quot;,&quot;non-dropping-particle&quot;:&quot;&quot;},{&quot;family&quot;:&quot;Rimington&quot;,&quot;given&quot;:&quot;William R.&quot;,&quot;parse-names&quot;:false,&quot;dropping-particle&quot;:&quot;&quot;,&quot;non-dropping-particle&quot;:&quot;&quot;},{&quot;family&quot;:&quot;Hoysted&quot;,&quot;given&quot;:&quot;Grace A.&quot;,&quot;parse-names&quot;:false,&quot;dropping-particle&quot;:&quot;&quot;,&quot;non-dropping-particle&quot;:&quot;&quot;},{&quot;family&quot;:&quot;Beerling&quot;,&quot;given&quot;:&quot;David J.&quot;,&quot;parse-names&quot;:false,&quot;dropping-particle&quot;:&quot;&quot;,&quot;non-dropping-particle&quot;:&quot;&quot;},{&quot;family&quot;:&quot;Cameron&quot;,&quot;given&quot;:&quot;Duncan D.&quot;,&quot;parse-names&quot;:false,&quot;dropping-particle&quot;:&quot;&quot;,&quot;non-dropping-particle&quot;:&quot;&quot;},{&quot;family&quot;:&quot;Duckett&quot;,&quot;given&quot;:&quot;Jeffrey G.&quot;,&quot;parse-names&quot;:false,&quot;dropping-particle&quot;:&quot;&quot;,&quot;non-dropping-particle&quot;:&quot;&quot;},{&quot;family&quot;:&quot;Leake&quot;,&quot;given&quot;:&quot;Jonathan R.&quot;,&quot;parse-names&quot;:false,&quot;dropping-particle&quot;:&quot;&quot;,&quot;non-dropping-particle&quot;:&quot;&quot;},{&quot;family&quot;:&quot;Pressel&quot;,&quot;given&quot;:&quot;Silvia&quot;,&quot;parse-names&quot;:false,&quot;dropping-particle&quot;:&quot;&quot;,&quot;non-dropping-particle&quot;:&quot;&quot;}],&quot;container-title&quot;:&quot;New Phytologist&quot;,&quot;accessed&quot;:{&quot;date-parts&quot;:[[2021,3,26]]},&quot;DOI&quot;:&quot;10.1111/nph.15819&quot;,&quot;ISSN&quot;:&quot;14698137&quot;,&quot;PMID&quot;:&quot;30919981&quot;,&quot;issued&quot;:{&quot;date-parts&quot;:[[2019,7,1]]},&quot;page&quot;:&quot;908-921&quot;,&quot;abstract&quot;:&quot;Liverworts, which are amongst the earliest divergent plant lineages and important ecosystem pioneers, often form nutritional mutualisms with arbuscular mycorrhiza-forming Glomeromycotina and fine-root endophytic Mucoromycotina fungi, both of which coevolved with early land plants. Some liverworts, in common with many later divergent plants, harbour both fungal groups, suggesting these fungi may complementarily improve plant access to different soil nutrients. We tested this hypothesis by growing liverworts in single and dual fungal partnerships under a modern atmosphere and under 1500 ppm [CO2], as experienced by early land plants. Access to soil nutrients via fungal partners was investigated with 15N-labelled algal necromass and 33P orthophosphate. Photosynthate allocation to fungi was traced using 14CO2. Only Mucoromycotina fungal partners provided liverworts with substantial access to algal 15N, irrespective of atmospheric CO2 concentration. Both symbionts increased 33P uptake, but Glomeromycotina were often more effective. Dual partnerships showed complementarity of nutrient pool use and greatest photosynthate allocation to symbiotic fungi. We show there are important functional differences between the plant–fungal symbioses tested, providing new insights into the functional biology of Glomeromycotina and Mucoromycotina fungal groups that form symbioses with plants. This may explain the persistence of the two fungal lineages in symbioses across the evolution of land plants.&quot;,&quot;publisher&quot;:&quot;Blackwell Publishing Ltd&quot;,&quot;issue&quot;:&quot;2&quot;,&quot;volume&quot;:&quot;223&quot;},&quot;isTemporary&quot;:false},{&quot;id&quot;:&quot;4c13c2ca-9de1-31ee-87b6-39ccce3d83d8&quot;,&quot;itemData&quot;:{&quot;type&quot;:&quot;article-journal&quot;,&quot;id&quot;:&quot;4c13c2ca-9de1-31ee-87b6-39ccce3d83d8&quot;,&quot;title&quot;:&quot;Mucoromycotina fine root endophyte fungi form nutritional mutualisms with vascular plants&quot;,&quot;author&quot;:[{&quot;family&quot;:&quot;Hoysted&quot;,&quot;given&quot;:&quot;Grace A.&quot;,&quot;parse-names&quot;:false,&quot;dropping-particle&quot;:&quot;&quot;,&quot;non-dropping-particle&quot;:&quot;&quot;},{&quot;family&quot;:&quot;Jacob&quot;,&quot;given&quot;:&quot;Alison S.&quot;,&quot;parse-names&quot;:false,&quot;dropping-particle&quot;:&quot;&quot;,&quot;non-dropping-particle&quot;:&quot;&quot;},{&quot;family&quot;:&quot;Kowal&quot;,&quot;given&quot;:&quot;Jill&quot;,&quot;parse-names&quot;:false,&quot;dropping-particle&quot;:&quot;&quot;,&quot;non-dropping-particle&quot;:&quot;&quot;},{&quot;family&quot;:&quot;Giesemann&quot;,&quot;given&quot;:&quot;Philipp&quot;,&quot;parse-names&quot;:false,&quot;dropping-particle&quot;:&quot;&quot;,&quot;non-dropping-particle&quot;:&quot;&quot;},{&quot;family&quot;:&quot;Bidartondo&quot;,&quot;given&quot;:&quot;Martin I.&quot;,&quot;parse-names&quot;:false,&quot;dropping-particle&quot;:&quot;&quot;,&quot;non-dropping-particle&quot;:&quot;&quot;},{&quot;family&quot;:&quot;Duckett&quot;,&quot;given&quot;:&quot;Jeffrey G.&quot;,&quot;parse-names&quot;:false,&quot;dropping-particle&quot;:&quot;&quot;,&quot;non-dropping-particle&quot;:&quot;&quot;},{&quot;family&quot;:&quot;Gebauer&quot;,&quot;given&quot;:&quot;Gerhard&quot;,&quot;parse-names&quot;:false,&quot;dropping-particle&quot;:&quot;&quot;,&quot;non-dropping-particle&quot;:&quot;&quot;},{&quot;family&quot;:&quot;Rimington&quot;,&quot;given&quot;:&quot;William R.&quot;,&quot;parse-names&quot;:false,&quot;dropping-particle&quot;:&quot;&quot;,&quot;non-dropping-particle&quot;:&quot;&quot;},{&quot;family&quot;:&quot;Schornack&quot;,&quot;given&quot;:&quot;Sebastian&quot;,&quot;parse-names&quot;:false,&quot;dropping-particle&quot;:&quot;&quot;,&quot;non-dropping-particle&quot;:&quot;&quot;},{&quot;family&quot;:&quot;Pressel&quot;,&quot;given&quot;:&quot;Silvia&quot;,&quot;parse-names&quot;:false,&quot;dropping-particle&quot;:&quot;&quot;,&quot;non-dropping-particle&quot;:&quot;&quot;},{&quot;family&quot;:&quot;Field&quot;,&quot;given&quot;:&quot;Katie J.&quot;,&quot;parse-names&quot;:false,&quot;dropping-particle&quot;:&quot;&quot;,&quot;non-dropping-particle&quot;:&quot;&quot;}],&quot;container-title&quot;:&quot;Plant Physiology&quot;,&quot;accessed&quot;:{&quot;date-parts&quot;:[[2021,3,26]]},&quot;DOI&quot;:&quot;10.1104/pp.19.00729&quot;,&quot;ISSN&quot;:&quot;15322548&quot;,&quot;PMID&quot;:&quot;31358684&quot;,&quot;URL&quot;:&quot;www.plantphysiol.org/cgi/doi/10.1104/pp.19.00729&quot;,&quot;issued&quot;:{&quot;date-parts&quot;:[[2019,10,1]]},&quot;page&quot;:&quot;565-577&quot;,&quot;abstract&quot;:&quot;Fungi and plants have engaged in intimate symbioses that are globally widespread and have driven terrestrial biogeochemical processes since plant terrestrialization .500 million years ago. Recently, hitherto unknown nutritional mutualisms involving ancient lineages of fungi and nonvascular plants have been discovered, although their extent and functional significance in vascular plants remain uncertain. Here, we provide evidence of carbon-for-nitrogen exchange between an early-diverging vascular plant (Lycopodiella inundata) and Mucoromycotina (Endogonales) fine root endophyte fungi. Furthermore, we demonstrate that the same fungal symbionts colonize neighboring nonvascular and flowering plants. These findings fundamentally change our understanding of the physiology, interrelationships, and ecology of underground plant-fungal symbioses in modern terrestrial ecosystems by revealing the nutritional role of Mucoromycotina fungal symbionts in vascular plants.&quot;,&quot;publisher&quot;:&quot;American Society of Plant Biologists&quot;,&quot;issue&quot;:&quot;2&quot;,&quot;volume&quot;:&quot;181&quot;},&quot;isTemporary&quot;:false}],&quot;properties&quot;:{&quot;noteIndex&quot;:0},&quot;isEdited&quot;:false,&quot;manualOverride&quot;:{&quot;isManuallyOverriden&quot;:false,&quot;citeprocText&quot;:&quot;(Field et al., 2019; Hoysted et al., 2019)&quot;,&quot;manualOverrideText&quot;:&quot;(Field et al., 2019; Hoysted et al., 2019)&quot;,&quot;isManuallyOverridden&quot;:true},&quot;citationTag&quot;:&quot;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&quot;},{&quot;citationID&quot;:&quot;MENDELEY_CITATION_2668b843-35bb-44da-b3f9-0643a5b027a3&quot;,&quot;citationItems&quot;:[{&quot;id&quot;:&quot;1d3acae2-f00c-3b6b-a1ae-fbee43d8f5df&quot;,&quot;itemData&quot;:{&quot;type&quot;:&quot;article-journal&quot;,&quot;id&quot;:&quot;1d3acae2-f00c-3b6b-a1ae-fbee43d8f5df&quot;,&quot;title&quot;:&quot;Establishment and effectiveness of inoculated arbuscular mycorrhizal fungi in agricultural soils&quot;,&quot;author&quot;:[{&quot;family&quot;:&quot;Köhl&quot;,&quot;given&quot;:&quot;Luise&quot;,&quot;parse-names&quot;:false,&quot;dropping-particle&quot;:&quot;&quot;,&quot;non-dropping-particle&quot;:&quot;&quot;},{&quot;family&quot;:&quot;Lukasiewicz&quot;,&quot;given&quot;:&quot;Catherine E&quot;,&quot;parse-names&quot;:false,&quot;dropping-particle&quot;:&quot;&quot;,&quot;non-dropping-particle&quot;:&quot;&quot;},{&quot;family&quot;:&quot;Heijden&quot;,&quot;given&quot;:&quot;Marcel G A&quot;,&quot;parse-names&quot;:false,&quot;dropping-particle&quot;:&quot;&quot;,&quot;non-dropping-particle&quot;:&quot;van der&quot;}],&quot;DOI&quot;:&quot;10.1111/pce.12600&quot;,&quot;URL&quot;:&quot;www.agroscope.ch/saf&quot;,&quot;issued&quot;:{&quot;date-parts&quot;:[[2015]]},&quot;abstract&quot;:&quot;Arbuscular mycorrhizal fungi (AMF) are promoted as biofertilizers for sustainable agriculture. So far, most researchers have investigated the effects of AMF on plant growth under highly controlled conditions with sterilized soil, soil substrates or soils with low available P or low inoculum potential. However, it is still poorly documented whether inoc-ulated AMF can successfully establish in field soils with native AMF communities and enhance plant growth. We inoculated grassland microcosms planted with a grass-clover mixture (Lolium multiflorum and Trifolium pratense) with the arbuscular mycorrhizal fungus Rhizoglomus irregulare. The microcosms were filled with eight different unsterilized field soils that varied greatly in soil type and chemical characteristics and indigenous AMF communities. We tested whether inoculation with AMF enhanced plant biomass and R. irregulare abundance using a species specific qPCR. Inoculation increased the abundance of R. irregulare in all soils, irrespective of soil P availability, the initial abundance of R. irregulare or the abundance of native AM fungal communities. AMF inoculation had no effect on the grass but significantly enhanced clover yield in five out of eight field soils. The results demonstrate that AMF inoculation can be successful, even when soil P availability is high and native AMF communities are abundant.&quot;},&quot;isTemporary&quot;:false}],&quot;properties&quot;:{&quot;noteIndex&quot;:0},&quot;isEdited&quot;:false,&quot;manualOverride&quot;:{&quot;isManuallyOverriden&quot;:false,&quot;citeprocText&quot;:&quot;(Köhl et al., 2015)&quot;,&quot;manualOverrideText&quot;:&quot;&quot;},&quot;citationTag&quot;:&quot;MENDELEY_CITATION_v3_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&quot;},{&quot;citationID&quot;:&quot;MENDELEY_CITATION_224a0424-d28e-429b-976c-14db8a14a521&quot;,&quot;citationItems&quot;:[{&quot;id&quot;:&quot;5a0158b1-136d-389b-89b5-04992605ba03&quot;,&quot;itemData&quot;:{&quot;type&quot;:&quot;article-journal&quot;,&quot;id&quot;:&quot;5a0158b1-136d-389b-89b5-04992605ba03&quot;,&quot;title&quot;:&quot;A commercial arbuscular mycorrhizal inoculum increases root colonization across wheat cultivars but does not increase assimilation of mycorrhiza‐acquired nutrients&quot;,&quot;author&quot;:[{&quot;family&quot;:&quot;Elliott&quot;,&quot;given&quot;:&quot;Ashleigh J.&quot;,&quot;parse-names&quot;:false,&quot;dropping-particle&quot;:&quot;&quot;,&quot;non-dropping-particle&quot;:&quot;&quot;},{&quot;family&quot;:&quot;Daniell&quot;,&quot;given&quot;:&quot;Tim J.&quot;,&quot;parse-names&quot;:false,&quot;dropping-particle&quot;:&quot;&quot;,&quot;non-dropping-particle&quot;:&quot;&quot;},{&quot;family&quot;:&quot;Cameron&quot;,&quot;given&quot;:&quot;Duncan D.&quot;,&quot;parse-names&quot;:false,&quot;dropping-particle&quot;:&quot;&quot;,&quot;non-dropping-particle&quot;:&quot;&quot;},{&quot;family&quot;:&quot;Field&quot;,&quot;given&quot;:&quot;Katie J.&quot;,&quot;parse-names&quot;:false,&quot;dropping-particle&quot;:&quot;&quot;,&quot;non-dropping-particle&quot;:&quot;&quot;}],&quot;container-title&quot;:&quot;PLANTS, PEOPLE, PLANET&quot;,&quot;accessed&quot;:{&quot;date-parts&quot;:[[2021,3,26]]},&quot;DOI&quot;:&quot;10.1002/ppp3.10094&quot;,&quot;ISSN&quot;:&quot;2572-2611&quot;,&quot;URL&quot;:&quot;https://onlinelibrary.wiley.com/doi/abs/10.1002/ppp3.10094&quot;,&quot;issued&quot;:{&quot;date-parts&quot;:[[2020,1,3]]},&quot;page&quot;:&quot;ppp3.10094&quot;,&quot;abstract&quot;:&quot;Production and heavy application of chemical‐based fertilizers to maintain crop yields is unsustainable due to pollution from run‐off, high CO2 emissions, and diminishing yield returns. Access to fertilizers will be limited in the future due to rising energy costs and dwindling rock phosphate resources. A growing number of companies produce and sell arbuscular mycorrhizal fungal (AMF) inoculants, intended to help reduce fertilizer usage by facilitating crop nutrient uptake through arbuscular mycorrhizas. However, their success has been variable. Here, we present information about the efficacy of a commercially available AMF inoculant in increasing AMF root colonization and fungal contribution to plant nutrient uptake, which are critical considerations within the growing AMF inoculant industry. Arable agriculture needs sustainable solutions to reduce reliance on large inputs of nutrient fertilizers while continuing to improve crop yields. By harnessing arbuscular mycorrhizal symbiosis, there is potential to improve crop nutrient assimilation and growth without additional inputs, although the efficacy of commercially available mycorrhizal inocula in agricultural systems remains controversial. Using stable and radioisotope tracing, carbon‐for‐nutrient exchange between arbuscular mycorrhizal fungi and three modern cultivars of wheat was quantified in a non‐sterile, agricultural soil, with or without the addition of a commercial mycorrhizal inoculant. While there was no effect of inoculum addition on above‐ground plant biomass, there was increased root colonization by arbuscular mycorrhizal fungi and changes in community structure. Inoculation increased phosphorus uptake across all wheat cultivars by up to 30%, although this increase was not directly attributable to mycorrhizal fungi. Carbon‐for‐nutrient exchange between symbionts varied substantially between the wheat cultivars. Plant tissue phosphorus increased in inoculated plants potentially because of changes induced by inoculation in microbial community composition and/or nutrient cycling within the rhizosphere. Our data contribute to the growing consensus that mycorrhizal inoculants could play a role in sustainable food production systems of the future.&quot;,&quot;publisher&quot;:&quot;Wiley&quot;},&quot;isTemporary&quot;:false}],&quot;properties&quot;:{&quot;noteIndex&quot;:0},&quot;isEdited&quot;:false,&quot;manualOverride&quot;:{&quot;isManuallyOverriden&quot;:false,&quot;citeprocText&quot;:&quot;(Elliott et al., 2020)&quot;,&quot;manualOverrideText&quot;:&quot;&quot;},&quot;citationTag&quot;:&quot;MENDELEY_CITATION_v3_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&quot;},{&quot;citationID&quot;:&quot;MENDELEY_CITATION_4ea53a03-456e-4e66-9617-a96f2c464e93&quot;,&quot;citationItems&quot;:[{&quot;id&quot;:&quot;abf85b8f-4dfa-3ebe-95b6-e7b98e0ac462&quot;,&quot;itemData&quot;:{&quot;type&quot;:&quot;article-journal&quot;,&quot;id&quot;:&quot;abf85b8f-4dfa-3ebe-95b6-e7b98e0ac462&quot;,&quot;title&quot;:&quot;Flint maize root mycorrhization and organic acid exudates under phosphorus deficiency: Trends in breeding lines and doubled haploid lines from landraces&quot;,&quot;author&quot;:[{&quot;family&quot;:&quot;Li&quot;,&quot;given&quot;:&quot;Xuelian&quot;,&quot;parse-names&quot;:false,&quot;dropping-particle&quot;:&quot;&quot;,&quot;non-dropping-particle&quot;:&quot;&quot;},{&quot;family&quot;:&quot;Quan&quot;,&quot;given&quot;:&quot;Xiuhao&quot;,&quot;parse-names&quot;:false,&quot;dropping-particle&quot;:&quot;&quot;,&quot;non-dropping-particle&quot;:&quot;&quot;},{&quot;family&quot;:&quot;Mang&quot;,&quot;given&quot;:&quot;Melissa&quot;,&quot;parse-names&quot;:false,&quot;dropping-particle&quot;:&quot;&quot;,&quot;non-dropping-particle&quot;:&quot;&quot;},{&quot;family&quot;:&quot;Neumann&quot;,&quot;given&quot;:&quot;Günter&quot;,&quot;parse-names&quot;:false,&quot;dropping-particle&quot;:&quot;&quot;,&quot;non-dropping-particle&quot;:&quot;&quot;},{&quot;family&quot;:&quot;Melchinger&quot;,&quot;given&quot;:&quot;Albrecht&quot;,&quot;parse-names&quot;:false,&quot;dropping-particle&quot;:&quot;&quot;,&quot;non-dropping-particle&quot;:&quot;&quot;},{&quot;family&quot;:&quot;Ludewig&quot;,&quot;given&quot;:&quot;Uwe&quot;,&quot;parse-names&quot;:false,&quot;dropping-particle&quot;:&quot;&quot;,&quot;non-dropping-particle&quot;:&quot;&quot;}],&quot;container-title&quot;:&quot;Journal of Plant Nutrition and Soil Science&quot;,&quot;DOI&quot;:&quot;10.1002/jpln.202000471&quot;,&quot;ISSN&quot;:&quot;15222624&quot;,&quot;issued&quot;:{&quot;date-parts&quot;:[[2021]]},&quot;abstract&quot;:&quot;Aims: High maize yields in modern well-managed agroecosystems depend on the use of elite varieties and hybrids. Unfortunately, because of repeated selection at high fertilizer rates, some beneficial traits, such as the interaction with arbuscular mycorrhizal fungi or the release of organic acid anions for phosphate mobilization and for attracting beneficial microorganisms, might be gradually declining in modern elite genotypes. However, old founder lines and landraces possibly carry genetic relicts that originate from pre-green revolution times that are useful for breeding elite material for low input farming systems. Methods: Seedling colonization with arbuscular mycorrhizal fungi (AMF) and organic acid anion release were measured in flint lines that were released over more than five decades ago and in six preselected doubled haploid (DH) lines from landraces. P-uptake-related root traits were compared under P-sufficient and P-deficient conditions. Results: Weak trends for the loss of AMF colonization or changes in organic acid anion release at low P supply were detected in modern varieties. One DH line from a landrace was found with increased mycorrhization, whereas others were similar to modern elite lines. Overall, substantial genetic variance was encountered for these traits. Conclusions: The concern that modern elite maize varieties have lost beneficial traits for nutrient acquisition is not substantiated for the flint pool of maize, although weak trends exist. Lines associated with better P-acquisition efficiency under limited P availability should be utilized for breeding more sustainable varieties.&quot;,&quot;publisher&quot;:&quot;Wiley-VCH Verlag&quot;},&quot;isTemporary&quot;:false}],&quot;properties&quot;:{&quot;noteIndex&quot;:0},&quot;isEdited&quot;:false,&quot;manualOverride&quot;:{&quot;isManuallyOverriden&quot;:false,&quot;citeprocText&quot;:&quot;(X. Li et al., 2021)&quot;,&quot;manualOverrideText&quot;:&quot;(Li et al., 2021)&quot;,&quot;isManuallyOverridden&quot;:true},&quot;citationTag&quot;:&quot;MENDELEY_CITATION_v3_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&quot;},{&quot;citationID&quot;:&quot;MENDELEY_CITATION_e5b08777-a22c-4dd6-9aa1-78d834976f87&quot;,&quot;citationItems&quot;:[{&quot;id&quot;:&quot;f0be4788-130e-3d44-aa37-255b29bb6d53&quot;,&quot;itemData&quot;:{&quot;type&quot;:&quot;report&quot;,&quot;id&quot;:&quot;f0be4788-130e-3d44-aa37-255b29bb6d53&quot;,&quot;title&quot;:&quot;Interspecific N-transfer and plant development in a mycorrhizal field-grown mixture&quot;,&quot;author&quot;:[{&quot;family&quot;:&quot;Hamel&quot;,&quot;given&quot;:&quot;Chantal&quot;,&quot;parse-names&quot;:false,&quot;dropping-particle&quot;:&quot;&quot;,&quot;non-dropping-particle&quot;:&quot;&quot;},{&quot;family&quot;:&quot;Smith&quot;,&quot;given&quot;:&quot;Donald L&quot;,&quot;parse-names&quot;:false,&quot;dropping-particle&quot;:&quot;&quot;,&quot;non-dropping-particle&quot;:&quot;&quot;}],&quot;container-title&quot;:&quot;Soil Biol. B&amp;hem&quot;,&quot;issued&quot;:{&quot;date-parts&quot;:[[1991]]},&quot;number-of-pages&quot;:&quot;661-665&quot;,&quot;abstract&quot;:&quot;In the field, a mycorrhiil mixture of corn and soybean was compared to non-mycorrhixal and to P-compensated plant mixtures. The extent of \&quot;N-transfer from soybean to corn was assess&amp;. Plant development and the competitive relationship between the components of the mixtures were also examined. After having labelled selected soybean plants with isotopic NH,NO, by feeding roots induced on their stems, a greater amount of i5N-transfer to corn was measured in mycorrhixa inoculated plots than in control plots. The growth of both corn and soybean plants was greatly enhanced when inoculated with Glomur intraradix, and the effect of the fungus could not be replicated by fertilization. Inoculation and P fertilization had similar effects on P, K and Mg uptake by plants, but their effects differed regarding Ca absorption. Inoculation with the mycorrhixal fungus favoured the grass component of the mixture over the legume. Even if more N appeared to be transferred from soybean to corn when plants were mycorrhixal, the nutrient status of the plants suggests that the growth increase can be attributed mainly to a better P uptake by mycorrhizal plants, and that the significance of interspecific mycorrhixae-mediated N-transfer may be limited. INTRODUClION In intercrops and pastures, N-transfer from legumes to grasses can partly substitute for N fertilizers. Values of N-transfer ranging from 2 to 17% of legume N were reported by Agboola and Fayemi (1972), Ledgard et al. (1985) and Brophy et al. (1987), and Willey (1979) estimated the contribution of an intercropped legume to corn at as much as 40kgNha-'. Accepted mechanisms of N transfer are: (a) by direct root excretion and leaching from leaves and (b) decomposition of fallen leaves (Burton et al., 1983). Recently, results from some experiments indicated enhancement of interspecific N-transfer between plants colonized by a common mycelium of vesicular-arbuscular mycorrhizal fungi. Transfer of lSN from clover to ryegrass (Haystead et al., 1988) and from soybean to corn (Van Kessel et al., 1985) was significantly increased when the plants were mycorrhizal. Francis et al. (1986) grew Festuca ovino and Plantago lanceolata in a split root system. A nutrient gradient was created between the donor and the receiver plant and therefore, a source-to-sink relationship was established between the associated plants. The receiver plant grew better and had a higher N content when mycorrhixal. In the field, a similar N source-to-sink relationship may also be found between legumes and grasses growing together in soil of low fertility. Some field studies have investigated the occurrence of mycorrhizae-mediated N-transfer from legume to&quot;,&quot;issue&quot;:&quot;1&quot;,&quot;volume&quot;:&quot;23&quot;},&quot;isTemporary&quot;:false}],&quot;properties&quot;:{&quot;noteIndex&quot;:0},&quot;isEdited&quot;:false,&quot;manualOverride&quot;:{&quot;isManuallyOverriden&quot;:false,&quot;citeprocText&quot;:&quot;(Hamel &amp;#38; Smith, 1991)&quot;,&quot;manualOverrideText&quot;:&quot;(Hamel &amp; Smith, 1991).&quot;,&quot;isManuallyOverridden&quot;:true},&quot;citationTag&quot;:&quot;MENDELEY_CITATION_v3_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&quot;},{&quot;citationID&quot;:&quot;MENDELEY_CITATION_39ae55e0-15ac-4e9d-9bbb-dffa340edbe5&quot;,&quot;citationItems&quot;:[{&quot;id&quot;:&quot;37f9a23b-c5a6-33f5-9ef0-519063894650&quot;,&quot;itemData&quot;:{&quot;type&quot;:&quot;article&quot;,&quot;id&quot;:&quot;37f9a23b-c5a6-33f5-9ef0-519063894650&quot;,&quot;title&quot;:&quot;Growth and chemical composition of mycorrhizal and non-mycorrhizal apples&quot;,&quot;author&quot;:[{&quot;family&quot;:&quot;Mosse&quot;,&quot;given&quot;:&quot;B.&quot;,&quot;parse-names&quot;:false,&quot;dropping-particle&quot;:&quot;&quot;,&quot;non-dropping-particle&quot;:&quot;&quot;}],&quot;container-title&quot;:&quot;Nature&quot;,&quot;accessed&quot;:{&quot;date-parts&quot;:[[2021,3,15]]},&quot;DOI&quot;:&quot;10.1038/179922b0&quot;,&quot;ISSN&quot;:&quot;00280836&quot;,&quot;URL&quot;:&quot;https://www.nature.com/articles/179922b0&quot;,&quot;issued&quot;:{&quot;date-parts&quot;:[[1957]]},&quot;page&quot;:&quot;922-924&quot;,&quot;abstract&quot;:&quot;DESPITE much conjecture, there is almost no direct evidence of the effect of endotrophic mycorrhizal infection on plant growth. It may therefore be appropriate to give the results of some preliminary experiments designed to compare the growth of mycorrhizal and non-mycorrhizal apples. © 1957 Nature Publishing Group.&quot;,&quot;publisher&quot;:&quot;Nature Publishing Group&quot;,&quot;issue&quot;:&quot;4566&quot;,&quot;volume&quot;:&quot;179&quot;},&quot;isTemporary&quot;:false},{&quot;id&quot;:&quot;eb0e41b2-99ec-32c5-9fa5-3fc494ea1f09&quot;,&quot;itemData&quot;:{&quot;type&quot;:&quot;article-journal&quot;,&quot;id&quot;:&quot;eb0e41b2-99ec-32c5-9fa5-3fc494ea1f09&quot;,&quot;title&quot;:&quot;Advances in the Study of Vesicular-Arbuscular Mycorrhiza&quot;,&quot;author&quot;:[{&quot;family&quot;:&quot;Mosse&quot;,&quot;given&quot;:&quot;B&quot;,&quot;parse-names&quot;:false,&quot;dropping-particle&quot;:&quot;&quot;,&quot;non-dropping-particle&quot;:&quot;&quot;}],&quot;container-title&quot;:&quot;Annual Review of Phytopathology&quot;,&quot;accessed&quot;:{&quot;date-parts&quot;:[[2021,3,15]]},&quot;DOI&quot;:&quot;10.1146/annurev.py.11.090173.001131&quot;,&quot;ISSN&quot;:&quot;0066-4286&quot;,&quot;URL&quot;:&quot;http://www.annualreviews.org/doi/10.1146/annurev.py.11.090173.001131&quot;,&quot;issued&quot;:{&quot;date-parts&quot;:[[1973,9,28]]},&quot;page&quot;:&quot;171-196&quot;,&quot;abstract&quot;:&quot;This books examines issues of interest in the current world of Greek scholarship and provides an accessible introduction for students, pastors, professors, and commentators to understand these issues in this period of paradigm shift.&quot;,&quot;publisher&quot;:&quot;Annual Reviews&quot;,&quot;issue&quot;:&quot;1&quot;,&quot;volume&quot;:&quot;11&quot;},&quot;isTemporary&quot;:false},{&quot;id&quot;:&quot;4c524af8-8458-3142-97d7-53ec920153b2&quot;,&quot;itemData&quot;:{&quot;type&quot;:&quot;article-journal&quot;,&quot;id&quot;:&quot;4c524af8-8458-3142-97d7-53ec920153b2&quot;,&quot;title&quot;:&quot;Roles of Arbuscular Mycorrhizas in Plant Nutrition and Growth: New Paradigms from Cellular to Ecosystem Scales&quot;,&quot;author&quot;:[{&quot;family&quot;:&quot;Smith&quot;,&quot;given&quot;:&quot;Sally E.&quot;,&quot;parse-names&quot;:false,&quot;dropping-particle&quot;:&quot;&quot;,&quot;non-dropping-particle&quot;:&quot;&quot;},{&quot;family&quot;:&quot;Smith&quot;,&quot;given&quot;:&quot;F. Andrew&quot;,&quot;parse-names&quot;:false,&quot;dropping-particle&quot;:&quot;&quot;,&quot;non-dropping-particle&quot;:&quot;&quot;}],&quot;container-title&quot;:&quot;Annual Review of Plant Biology&quot;,&quot;DOI&quot;:&quot;10.1146/annurev-arplant-042110-103846&quot;,&quot;ISSN&quot;:&quot;1543-5008&quot;,&quot;issued&quot;:{&quot;date-parts&quot;:[[2011,6,2]]},&quot;issue&quot;:&quot;1&quot;,&quot;volume&quot;:&quot;62&quot;},&quot;isTemporary&quot;:false},{&quot;id&quot;:&quot;df1348f1-ba8c-3cad-9041-7c29aa73a832&quot;,&quot;itemData&quot;:{&quot;type&quot;:&quot;article-journal&quot;,&quot;id&quot;:&quot;df1348f1-ba8c-3cad-9041-7c29aa73a832&quot;,&quot;title&quot;:&quot;Fresh perspectives on the roles of arbuscular mycorrhizal fungi in plant nutrition and growth&quot;,&quot;author&quot;:[{&quot;family&quot;:&quot;Smith&quot;,&quot;given&quot;:&quot;Sally E.&quot;,&quot;parse-names&quot;:false,&quot;dropping-particle&quot;:&quot;&quot;,&quot;non-dropping-particle&quot;:&quot;&quot;},{&quot;family&quot;:&quot;Smith&quot;,&quot;given&quot;:&quot;F. Andrew&quot;,&quot;parse-names&quot;:false,&quot;dropping-particle&quot;:&quot;&quot;,&quot;non-dropping-particle&quot;:&quot;&quot;}],&quot;container-title&quot;:&quot;Mycologia&quot;,&quot;accessed&quot;:{&quot;date-parts&quot;:[[2021,3,15]]},&quot;DOI&quot;:&quot;10.3852/11-229&quot;,&quot;ISSN&quot;:&quot;00275514&quot;,&quot;PMID&quot;:&quot;21933929&quot;,&quot;issued&quot;:{&quot;date-parts&quot;:[[2012,1]]},&quot;page&quot;:&quot;1-13&quot;,&quot;abstract&quot;:&quot;Recent research on arbuscular mycorrhizas has demonstrated that AM fungi play a significant role in plant phosphorus (P) uptake, regardless of whether the plant responds positively to colonization in terms of growth or P content. Here we focus particularly on implications of this finding for consideration of the balance between organic carbon (C) use by the fungi and P delivery (i.e. the C-P trade between the symbionts). Positive growth responses to arbuscular mycorrhizal (AM) colonization are attributed frequently to increased P uptake via the fungus, which results in relief of P deficiency and increased growth. Zero AM responses, compared with non-mycorrhizal (NM) plants, have conventionally been attributed to failure of the fungi to deliver P to the plants. Negative responses, combined with excessive C use, have been attributed to this failure. The fungi were viewed as parasites. Demonstration that the AM pathway of P uptake operates in such plants indicates that direct P uptake by the roots is reduced and that the fungi are not parasites but mutualists because they deliver P as well as using C. We suggest that poor plant growth is the result of P deficiency because AM fungi lower the amount of P taken up directly by roots but the AM uptake of P does compensate for the reduction. The implications of interplay between direct root uptake and AM fungal uptake of P also include increased tolerance of AM plants to toxins such as arsenate and increased success when competing with NM plants. Finally we discuss the new information on C-P trade in the context of control of the symbiosis by the fungus or the plant, including new information (from NM plants) on sugar transport and on the role of sucrose in the signaling network involved in responses of plants to P deprivation. © 2012 by The Mycological Society of America.&quot;,&quot;issue&quot;:&quot;1&quot;,&quot;volume&quot;:&quot;104&quot;},&quot;isTemporary&quot;:false},{&quot;id&quot;:&quot;136ac026-df9a-35c3-bd25-59913724e0cc&quot;,&quot;itemData&quot;:{&quot;type&quot;:&quot;book&quot;,&quot;id&quot;:&quot;136ac026-df9a-35c3-bd25-59913724e0cc&quot;,&quot;title&quot;:&quot;Mycorrhizal Symbiosis&quot;,&quot;author&quot;:[{&quot;family&quot;:&quot;Smith&quot;,&quot;given&quot;:&quot;Sally&quot;,&quot;parse-names&quot;:false,&quot;dropping-particle&quot;:&quot;&quot;,&quot;non-dropping-particle&quot;:&quot;&quot;},{&quot;family&quot;:&quot;Read&quot;,&quot;given&quot;:&quot;David&quot;,&quot;parse-names&quot;:false,&quot;dropping-particle&quot;:&quot;&quot;,&quot;non-dropping-particle&quot;:&quot;&quot;}],&quot;container-title&quot;:&quot;Mycorrhizal Symbiosis&quot;,&quot;accessed&quot;:{&quot;date-parts&quot;:[[2021,3,15]]},&quot;DOI&quot;:&quot;10.1016/B978-0-12-370526-6.X5001-6&quot;,&quot;ISBN&quot;:&quot;9780123705266&quot;,&quot;issued&quot;:{&quot;date-parts&quot;:[[2008]]},&quot;abstract&quot;:&quot;The roots of most plants are colonized by symbiotic fungi to form mycorrhiza, which play a critical role in the capture of nutrients from the soil and therefore in plant nutrition. Mycorrhizal Symbiosis is recognized as the definitive work in this area. Since the last edition was published there have been major advances in the field, particularly in the area of molecular biology, and the new edition has been fully revised and updated to incorporate these exciting new developments. . Over 50% new material . Includes expanded color plate section . Covers all aspects of mycorrhiza . Presents new taxonomy . Discusses the impact of proteomics and genomics on research in this area. © 2008 Elsevier Ltd All rights reserved.&quot;,&quot;publisher&quot;:&quot;Elsevier Ltd&quot;},&quot;isTemporary&quot;:false}],&quot;properties&quot;:{&quot;noteIndex&quot;:0},&quot;isEdited&quot;:false,&quot;manualOverride&quot;:{&quot;isManuallyOverridden&quot;:true,&quot;citeprocText&quot;:&quot;(Mosse, 1957, 1973; S. E. Smith &amp;#38; Smith, 2011a, 2012a; S. Smith &amp;#38; Read, 2008)&quot;,&quot;manualOverrideText&quot;:&quot;(Mosse, 1957, 1973; Smith &amp; Smith, 2011a, 2012a; Smith &amp; Read, 2008)&quot;},&quot;citationTag&quot;:&quot;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&quot;},{&quot;citationID&quot;:&quot;MENDELEY_CITATION_b404bc04-527b-439d-9e48-2fac3a76013f&quot;,&quot;citationItems&quot;:[{&quot;id&quot;:&quot;f0be4788-130e-3d44-aa37-255b29bb6d53&quot;,&quot;itemData&quot;:{&quot;type&quot;:&quot;report&quot;,&quot;id&quot;:&quot;f0be4788-130e-3d44-aa37-255b29bb6d53&quot;,&quot;title&quot;:&quot;Interspecific N-transfer and plant development in a mycorrhizal field-grown mixture&quot;,&quot;author&quot;:[{&quot;family&quot;:&quot;Hamel&quot;,&quot;given&quot;:&quot;Chantal&quot;,&quot;parse-names&quot;:false,&quot;dropping-particle&quot;:&quot;&quot;,&quot;non-dropping-particle&quot;:&quot;&quot;},{&quot;family&quot;:&quot;Smith&quot;,&quot;given&quot;:&quot;Donald L&quot;,&quot;parse-names&quot;:false,&quot;dropping-particle&quot;:&quot;&quot;,&quot;non-dropping-particle&quot;:&quot;&quot;}],&quot;container-title&quot;:&quot;Soil Biol. B&amp;hem&quot;,&quot;issued&quot;:{&quot;date-parts&quot;:[[1991]]},&quot;number-of-pages&quot;:&quot;661-665&quot;,&quot;abstract&quot;:&quot;In the field, a mycorrhiil mixture of corn and soybean was compared to non-mycorrhixal and to P-compensated plant mixtures. The extent of \&quot;N-transfer from soybean to corn was assess&amp;. Plant development and the competitive relationship between the components of the mixtures were also examined. After having labelled selected soybean plants with isotopic NH,NO, by feeding roots induced on their stems, a greater amount of i5N-transfer to corn was measured in mycorrhixa inoculated plots than in control plots. The growth of both corn and soybean plants was greatly enhanced when inoculated with Glomur intraradix, and the effect of the fungus could not be replicated by fertilization. Inoculation and P fertilization had similar effects on P, K and Mg uptake by plants, but their effects differed regarding Ca absorption. Inoculation with the mycorrhixal fungus favoured the grass component of the mixture over the legume. Even if more N appeared to be transferred from soybean to corn when plants were mycorrhixal, the nutrient status of the plants suggests that the growth increase can be attributed mainly to a better P uptake by mycorrhizal plants, and that the significance of interspecific mycorrhixae-mediated N-transfer may be limited. INTRODUClION In intercrops and pastures, N-transfer from legumes to grasses can partly substitute for N fertilizers. Values of N-transfer ranging from 2 to 17% of legume N were reported by Agboola and Fayemi (1972), Ledgard et al. (1985) and Brophy et al. (1987), and Willey (1979) estimated the contribution of an intercropped legume to corn at as much as 40kgNha-'. Accepted mechanisms of N transfer are: (a) by direct root excretion and leaching from leaves and (b) decomposition of fallen leaves (Burton et al., 1983). Recently, results from some experiments indicated enhancement of interspecific N-transfer between plants colonized by a common mycelium of vesicular-arbuscular mycorrhizal fungi. Transfer of lSN from clover to ryegrass (Haystead et al., 1988) and from soybean to corn (Van Kessel et al., 1985) was significantly increased when the plants were mycorrhizal. Francis et al. (1986) grew Festuca ovino and Plantago lanceolata in a split root system. A nutrient gradient was created between the donor and the receiver plant and therefore, a source-to-sink relationship was established between the associated plants. The receiver plant grew better and had a higher N content when mycorrhixal. In the field, a similar N source-to-sink relationship may also be found between legumes and grasses growing together in soil of low fertility. Some field studies have investigated the occurrence of mycorrhizae-mediated N-transfer from legume to&quot;,&quot;issue&quot;:&quot;1&quot;,&quot;volume&quot;:&quot;23&quot;},&quot;isTemporary&quot;:false}],&quot;properties&quot;:{&quot;noteIndex&quot;:0},&quot;isEdited&quot;:false,&quot;manualOverride&quot;:{&quot;isManuallyOverriden&quot;:false,&quot;citeprocText&quot;:&quot;(Hamel &amp;#38; Smith, 1991)&quot;,&quot;manualOverrideText&quot;:&quot;&quot;},&quot;citationTag&quot;:&quot;MENDELEY_CITATION_v3_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&quot;},{&quot;citationID&quot;:&quot;MENDELEY_CITATION_9d134297-8b11-4755-ace5-651e11338727&quot;,&quot;citationItems&quot;:[{&quot;id&quot;:&quot;2897564c-9095-3f75-b05b-aa83c5b4269f&quot;,&quot;itemData&quot;:{&quot;type&quot;:&quot;article-journal&quot;,&quot;id&quot;:&quot;2897564c-9095-3f75-b05b-aa83c5b4269f&quot;,&quot;title&quot;:&quot;What is the significance of the arbuscular mycorrhizal colonisation of many economically important crop plants?&quot;,&quot;author&quot;:[{&quot;family&quot;:&quot;Andrew Smith&quot;,&quot;given&quot;:&quot;F.&quot;,&quot;parse-names&quot;:false,&quot;dropping-particle&quot;:&quot;&quot;,&quot;non-dropping-particle&quot;:&quot;&quot;},{&quot;family&quot;:&quot;Smith&quot;,&quot;given&quot;:&quot;Sally E.&quot;,&quot;parse-names&quot;:false,&quot;dropping-particle&quot;:&quot;&quot;,&quot;non-dropping-particle&quot;:&quot;&quot;}],&quot;container-title&quot;:&quot;Plant and Soil&quot;,&quot;DOI&quot;:&quot;10.1007/s11104-011-0865-0&quot;,&quot;ISSN&quot;:&quot;0032079X&quot;,&quot;issued&quot;:{&quot;date-parts&quot;:[[2011,11]]},&quot;page&quot;:&quot;63-79&quot;,&quot;abstract&quot;:&quot;Arbuscular mycorrhizal (AM) symbioses are widespread in land plants but the extent to which they are functionally important in agriculture remains unclear, despite much previous research. We ask focused questions designed to give new perspectives on AM function, some based on recent research that is overturning past beliefs. We address factors that determine growth responses (from positive to negative) in AM plants, the extent to which AM plants that lack positive responses benefit in terms of nutrient (particularly phosphate: P) uptake, whether or not AM and nonmycorrhizal (NM) plants acquire different forms of soil P, and the cause(s) of AM 'growth depressions'. We consider the relevance of laboratory work to the agricultural context, including effects of high (available) soil P on AM fungal colonisation and whether AM colonisation may be deleterious to crop production due to fungal 'parasitism'. We emphasise the imperative for research that is aimed at increasing benefits of AM symbioses in the field at a time of increasing prices of P-fertiliser, and increasing demands on agriculture to feed the world. In other words, AM symbioses have key roles in providing ecosystem services that are receiving increasing attention worldwide. © 2011 Springer Science+Business Media B.V.&quot;,&quot;issue&quot;:&quot;1-2&quot;,&quot;volume&quot;:&quot;348&quot;},&quot;isTemporary&quot;:false},{&quot;id&quot;:&quot;52ee0ec3-432e-3981-9298-ca2532316b79&quot;,&quot;itemData&quot;:{&quot;type&quot;:&quot;article-journal&quot;,&quot;id&quot;:&quot;52ee0ec3-432e-3981-9298-ca2532316b79&quot;,&quot;title&quot;:&quot;Fresh perspectives on the roles of arbuscular mycorrhizal fungi in plant nutrition and growth&quot;,&quot;author&quot;:[{&quot;family&quot;:&quot;Smith&quot;,&quot;given&quot;:&quot;Sally E.&quot;,&quot;parse-names&quot;:false,&quot;dropping-particle&quot;:&quot;&quot;,&quot;non-dropping-particle&quot;:&quot;&quot;},{&quot;family&quot;:&quot;Smith&quot;,&quot;given&quot;:&quot;F. Andrew&quot;,&quot;parse-names&quot;:false,&quot;dropping-particle&quot;:&quot;&quot;,&quot;non-dropping-particle&quot;:&quot;&quot;}],&quot;container-title&quot;:&quot;Mycologia&quot;,&quot;DOI&quot;:&quot;10.3852/11-229&quot;,&quot;ISSN&quot;:&quot;00275514&quot;,&quot;PMID&quot;:&quot;21933929&quot;,&quot;issued&quot;:{&quot;date-parts&quot;:[[2012,1]]},&quot;page&quot;:&quot;1-13&quot;,&quot;abstract&quot;:&quot;Recent research on arbuscular mycorrhizas has demonstrated that AM fungi play a significant role in plant phosphorus (P) uptake, regardless of whether the plant responds positively to colonization in terms of growth or P content. Here we focus particularly on implications of this finding for consideration of the balance between organic carbon (C) use by the fungi and P delivery (i.e. the C-P trade between the symbionts). Positive growth responses to arbuscular mycorrhizal (AM) colonization are attributed frequently to increased P uptake via the fungus, which results in relief of P deficiency and increased growth. Zero AM responses, compared with non-mycorrhizal (NM) plants, have conventionally been attributed to failure of the fungi to deliver P to the plants. Negative responses, combined with excessive C use, have been attributed to this failure. The fungi were viewed as parasites. Demonstration that the AM pathway of P uptake operates in such plants indicates that direct P uptake by the roots is reduced and that the fungi are not parasites but mutualists because they deliver P as well as using C. We suggest that poor plant growth is the result of P deficiency because AM fungi lower the amount of P taken up directly by roots but the AM uptake of P does compensate for the reduction. The implications of interplay between direct root uptake and AM fungal uptake of P also include increased tolerance of AM plants to toxins such as arsenate and increased success when competing with NM plants. Finally we discuss the new information on C-P trade in the context of control of the symbiosis by the fungus or the plant, including new information (from NM plants) on sugar transport and on the role of sucrose in the signaling network involved in responses of plants to P deprivation. © 2012 by The Mycological Society of America.&quot;,&quot;issue&quot;:&quot;1&quot;,&quot;volume&quot;:&quot;104&quot;},&quot;isTemporary&quot;:false},{&quot;id&quot;:&quot;ca175415-bfc8-38f3-ba77-643990331923&quot;,&quot;itemData&quot;:{&quot;type&quot;:&quot;article-journal&quot;,&quot;id&quot;:&quot;ca175415-bfc8-38f3-ba77-643990331923&quot;,&quot;title&quot;:&quot;Roles of arbuscular mycorrhizas in plant nutrition and growth: New paradigms from cellular to ecosystem scales&quot;,&quot;author&quot;:[{&quot;family&quot;:&quot;Smith&quot;,&quot;given&quot;:&quot;Sally E.&quot;,&quot;parse-names&quot;:false,&quot;dropping-particle&quot;:&quot;&quot;,&quot;non-dropping-particle&quot;:&quot;&quot;},{&quot;family&quot;:&quot;Smith&quot;,&quot;given&quot;:&quot;F. Andrew&quot;,&quot;parse-names&quot;:false,&quot;dropping-particle&quot;:&quot;&quot;,&quot;non-dropping-particle&quot;:&quot;&quot;}],&quot;container-title&quot;:&quot;Annual Review of Plant Biology&quot;,&quot;DOI&quot;:&quot;10.1146/annurev-arplant-042110-103846&quot;,&quot;ISSN&quot;:&quot;15435008&quot;,&quot;PMID&quot;:&quot;21391813&quot;,&quot;issued&quot;:{&quot;date-parts&quot;:[[2011,6,2]]},&quot;page&quot;:&quot;227-250&quot;,&quot;abstract&quot;:&quot;Root systems of most land plants form arbuscular mycorrhizal (AM) symbioses in the field, and these contribute to nutrient uptake. AM roots have two pathways for nutrient absorption, directly through the root epidermis and root hairs and via AM fungal hyphae into root cortical cells, where arbuscules or hyphal coils provide symbiotic interfaces. New physiological and molecular evidence shows that for phosphorus the mycorrhizal pathway (MP) is operational regardless of plant growth responses (positive or negative). Amounts delivered cannot be determined from plant nutrient contents because when responses are negative the contribution of the direct pathway (DP) is reduced. Nitrogen (N) is also delivered to roots via an MP, but the contribution to total N requirement and the costs to the plant are not clear. The functional interplay between activities of the DP and MP has important implications for consideration of AM symbioses in ecological, agronomic, and evolutionary contexts. Copyright © 2011 by Annual Reviews. All rights reserved.&quot;,&quot;volume&quot;:&quot;62&quot;},&quot;isTemporary&quot;:false}],&quot;properties&quot;:{&quot;noteIndex&quot;:0},&quot;isEdited&quot;:false,&quot;manualOverride&quot;:{&quot;isManuallyOverriden&quot;:false,&quot;citeprocText&quot;:&quot;(Andrew Smith &amp;#38; Smith, 2011; S. E. Smith &amp;#38; Smith, 2011b, 2012b)&quot;,&quot;manualOverrideText&quot;:&quot;(Smith &amp; Smith, 2011; Smith &amp; Smith, 2011b, 2012b)&quot;,&quot;isManuallyOverridden&quot;:true},&quot;citationTag&quot;:&quot;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&quot;},{&quot;citationID&quot;:&quot;MENDELEY_CITATION_f42699cb-7839-4268-8dba-74c849961e17&quot;,&quot;citationItems&quot;:[{&quot;id&quot;:&quot;52ee0ec3-432e-3981-9298-ca2532316b79&quot;,&quot;itemData&quot;:{&quot;type&quot;:&quot;article-journal&quot;,&quot;id&quot;:&quot;52ee0ec3-432e-3981-9298-ca2532316b79&quot;,&quot;title&quot;:&quot;Fresh perspectives on the roles of arbuscular mycorrhizal fungi in plant nutrition and growth&quot;,&quot;author&quot;:[{&quot;family&quot;:&quot;Smith&quot;,&quot;given&quot;:&quot;Sally E.&quot;,&quot;parse-names&quot;:false,&quot;dropping-particle&quot;:&quot;&quot;,&quot;non-dropping-particle&quot;:&quot;&quot;},{&quot;family&quot;:&quot;Smith&quot;,&quot;given&quot;:&quot;F. Andrew&quot;,&quot;parse-names&quot;:false,&quot;dropping-particle&quot;:&quot;&quot;,&quot;non-dropping-particle&quot;:&quot;&quot;}],&quot;container-title&quot;:&quot;Mycologia&quot;,&quot;DOI&quot;:&quot;10.3852/11-229&quot;,&quot;ISSN&quot;:&quot;00275514&quot;,&quot;PMID&quot;:&quot;21933929&quot;,&quot;issued&quot;:{&quot;date-parts&quot;:[[2012,1]]},&quot;page&quot;:&quot;1-13&quot;,&quot;abstract&quot;:&quot;Recent research on arbuscular mycorrhizas has demonstrated that AM fungi play a significant role in plant phosphorus (P) uptake, regardless of whether the plant responds positively to colonization in terms of growth or P content. Here we focus particularly on implications of this finding for consideration of the balance between organic carbon (C) use by the fungi and P delivery (i.e. the C-P trade between the symbionts). Positive growth responses to arbuscular mycorrhizal (AM) colonization are attributed frequently to increased P uptake via the fungus, which results in relief of P deficiency and increased growth. Zero AM responses, compared with non-mycorrhizal (NM) plants, have conventionally been attributed to failure of the fungi to deliver P to the plants. Negative responses, combined with excessive C use, have been attributed to this failure. The fungi were viewed as parasites. Demonstration that the AM pathway of P uptake operates in such plants indicates that direct P uptake by the roots is reduced and that the fungi are not parasites but mutualists because they deliver P as well as using C. We suggest that poor plant growth is the result of P deficiency because AM fungi lower the amount of P taken up directly by roots but the AM uptake of P does compensate for the reduction. The implications of interplay between direct root uptake and AM fungal uptake of P also include increased tolerance of AM plants to toxins such as arsenate and increased success when competing with NM plants. Finally we discuss the new information on C-P trade in the context of control of the symbiosis by the fungus or the plant, including new information (from NM plants) on sugar transport and on the role of sucrose in the signaling network involved in responses of plants to P deprivation. © 2012 by The Mycological Society of America.&quot;,&quot;issue&quot;:&quot;1&quot;,&quot;volume&quot;:&quot;104&quot;},&quot;isTemporary&quot;:false}],&quot;properties&quot;:{&quot;noteIndex&quot;:0},&quot;isEdited&quot;:false,&quot;manualOverride&quot;:{&quot;isManuallyOverriden&quot;:false,&quot;citeprocText&quot;:&quot;(S. E. Smith &amp;#38; Smith, 2012b)&quot;,&quot;manualOverrideText&quot;:&quot;(Smith &amp; Smith, 2012b)&quot;,&quot;isManuallyOverridden&quot;:true},&quot;citationTag&quot;:&quot;MENDELEY_CITATION_v3_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&quot;},{&quot;citationID&quot;:&quot;MENDELEY_CITATION_1e5b91f3-681f-42d0-9f93-ae91e0046ad0&quot;,&quot;citationItems&quot;:[{&quot;id&quot;:&quot;8e15c2aa-6343-3453-b4a9-d6964eb64d0e&quot;,&quot;itemData&quot;:{&quot;type&quot;:&quot;article-journal&quot;,&quot;id&quot;:&quot;8e15c2aa-6343-3453-b4a9-d6964eb64d0e&quot;,&quot;title&quot;:&quot;Contrasting arbuscular mycorrhizal responses of vascular and non-vascular plants to a simulated Palaeozoic CO2 decline&quot;,&quot;author&quot;:[{&quot;family&quot;:&quot;Field&quot;,&quot;given&quot;:&quot;Katie J.&quot;,&quot;parse-names&quot;:false,&quot;dropping-particle&quot;:&quot;&quot;,&quot;non-dropping-particle&quot;:&quot;&quot;},{&quot;family&quot;:&quot;Cameron&quot;,&quot;given&quot;:&quot;Duncan D.&quot;,&quot;parse-names&quot;:false,&quot;dropping-particle&quot;:&quot;&quot;,&quot;non-dropping-particle&quot;:&quot;&quot;},{&quot;family&quot;:&quot;Leake&quot;,&quot;given&quot;:&quot;Jonathan R.&quot;,&quot;parse-names&quot;:false,&quot;dropping-particle&quot;:&quot;&quot;,&quot;non-dropping-particle&quot;:&quot;&quot;},{&quot;family&quot;:&quot;Tille&quot;,&quot;given&quot;:&quot;Stefanie&quot;,&quot;parse-names&quot;:false,&quot;dropping-particle&quot;:&quot;&quot;,&quot;non-dropping-particle&quot;:&quot;&quot;},{&quot;family&quot;:&quot;Bidartondo&quot;,&quot;given&quot;:&quot;Martin I.&quot;,&quot;parse-names&quot;:false,&quot;dropping-particle&quot;:&quot;&quot;,&quot;non-dropping-particle&quot;:&quot;&quot;},{&quot;family&quot;:&quot;Beerling&quot;,&quot;given&quot;:&quot;David J.&quot;,&quot;parse-names&quot;:false,&quot;dropping-particle&quot;:&quot;&quot;,&quot;non-dropping-particle&quot;:&quot;&quot;}],&quot;container-title&quot;:&quot;Nature Communications&quot;,&quot;DOI&quot;:&quot;10.1038/ncomms1831&quot;,&quot;ISSN&quot;:&quot;20411723&quot;,&quot;PMID&quot;:&quot;22588297&quot;,&quot;issued&quot;:{&quot;date-parts&quot;:[[2012]]},&quot;abstract&quot;:&quot;The arbuscular mycorrhizal (AM) fungal symbiosis is widely hypothesized to have promoted the evolution of land plants from rootless gametophytes to rooted sporophytes during the mid-Palaeozoic (480-360 Myr, ago), at a time coincident with a 90% fall in the atmospheric CO2 concentration ([CO2 ]a). Here we show using standardized dual isotopic tracers ( 14 C and 33 P) that AM symbiosis efficiency (defined as plant P gain per unit of C invested into fungi) of liverwort gametophytes declines, but increases in the sporophytes of vascular plants (ferns and angiosperms), at 440 p.p.m. compared with 1,500 p.p.m. [CO2 ]a. These contrasting responses are associated with larger AM hyphal networks, and structural advances in vascular plant water-conducting systems, promoting P transport that enhances AM efficiency at 440 p.p.m. [CO2 ] a. Our results suggest that non-vascular land plants not only faced intense competition for light, as vascular land floras grew taller in the Palaeozoic, but also markedly reduced efficiency and total capture of P as [CO2 ]a fell. © 2012 Macmillan Publishers Limited. All rights reserved.&quot;,&quot;volume&quot;:&quot;3&quot;},&quot;isTemporary&quot;:false}],&quot;properties&quot;:{&quot;noteIndex&quot;:0},&quot;isEdited&quot;:false,&quot;manualOverride&quot;:{&quot;isManuallyOverridden&quot;:true,&quot;citeprocText&quot;:&quot;(Field et al., 2012)&quot;,&quot;manualOverrideText&quot;:&quot;(Field et al., 2012).&quot;},&quot;citationTag&quot;:&quot;MENDELEY_CITATION_v3_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&quot;},{&quot;citationID&quot;:&quot;MENDELEY_CITATION_7b7a9546-97d7-42a8-ab60-dd99a5b948c4&quot;,&quot;citationItems&quot;:[{&quot;id&quot;:&quot;23ce6105-8d38-3441-a0e5-a80cfe12d211&quot;,&quot;itemData&quot;:{&quot;type&quot;:&quot;article-journal&quot;,&quot;id&quot;:&quot;23ce6105-8d38-3441-a0e5-a80cfe12d211&quot;,&quot;title&quot;:&quot;Inoculation effects on root-colonizing arbuscular mycorrhizal fungal communities spread beyond directly inoculated plants&quot;,&quot;author&quot;:[{&quot;family&quot;:&quot;Janoušková&quot;,&quot;given&quot;:&quot;Martina&quot;,&quot;parse-names&quot;:false,&quot;dropping-particle&quot;:&quot;&quot;,&quot;non-dropping-particle&quot;:&quot;&quot;},{&quot;family&quot;:&quot;Krak&quot;,&quot;given&quot;:&quot;Karol&quot;,&quot;parse-names&quot;:false,&quot;dropping-particle&quot;:&quot;&quot;,&quot;non-dropping-particle&quot;:&quot;&quot;},{&quot;family&quot;:&quot;Vosátka&quot;,&quot;given&quot;:&quot;Miroslav&quot;,&quot;parse-names&quot;:false,&quot;dropping-particle&quot;:&quot;&quot;,&quot;non-dropping-particle&quot;:&quot;&quot;},{&quot;family&quot;:&quot;Püschel&quot;,&quot;given&quot;:&quot;David&quot;,&quot;parse-names&quot;:false,&quot;dropping-particle&quot;:&quot;&quot;,&quot;non-dropping-particle&quot;:&quot;&quot;},{&quot;family&quot;:&quot;Štorchová&quot;,&quot;given&quot;:&quot;Helena&quot;,&quot;parse-names&quot;:false,&quot;dropping-particle&quot;:&quot;&quot;,&quot;non-dropping-particle&quot;:&quot;&quot;}],&quot;container-title&quot;:&quot;PLOS ONE&quot;,&quot;DOI&quot;:&quot;10.1371/journal.pone.0181525&quot;,&quot;ISSN&quot;:&quot;1932-6203&quot;,&quot;issued&quot;:{&quot;date-parts&quot;:[[2017,7,24]]},&quot;issue&quot;:&quot;7&quot;,&quot;volume&quot;:&quot;12&quot;},&quot;isTemporary&quot;:false}],&quot;properties&quot;:{&quot;noteIndex&quot;:0},&quot;isEdited&quot;:false,&quot;manualOverride&quot;:{&quot;isManuallyOverridden&quot;:false,&quot;citeprocText&quot;:&quot;(Janoušková et al., 2017)&quot;,&quot;manualOverrideText&quot;:&quot;&quot;},&quot;citationTag&quot;:&quot;MENDELEY_CITATION_v3_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&quot;},{&quot;citationID&quot;:&quot;MENDELEY_CITATION_d1ad9d5d-46f9-4464-8a07-681af84eadd1&quot;,&quot;citationItems&quot;:[{&quot;id&quot;:&quot;8502e5b4-0d7a-38fd-b4cc-d29890a85178&quot;,&quot;itemData&quot;:{&quot;type&quot;:&quot;article-journal&quot;,&quot;id&quot;:&quot;8502e5b4-0d7a-38fd-b4cc-d29890a85178&quot;,&quot;title&quot;:&quot;Effects of Interspecific Interactions of Arbuscular Mycorrhizal Fungi on Growth of Soybean and Corn&quot;,&quot;author&quot;:[{&quot;family&quot;:&quot;Jeong&quot;,&quot;given&quot;:&quot;Hyeon-Suk&quot;,&quot;parse-names&quot;:false,&quot;dropping-particle&quot;:&quot;&quot;,&quot;non-dropping-particle&quot;:&quot;&quot;},{&quot;family&quot;:&quot;Lee&quot;,&quot;given&quot;:&quot;Jaikoo&quot;,&quot;parse-names&quot;:false,&quot;dropping-particle&quot;:&quot;&quot;,&quot;non-dropping-particle&quot;:&quot;&quot;},{&quot;family&quot;:&quot;Eom&quot;,&quot;given&quot;:&quot;Ahn-Heum&quot;,&quot;parse-names&quot;:false,&quot;dropping-particle&quot;:&quot;&quot;,&quot;non-dropping-particle&quot;:&quot;&quot;}],&quot;container-title&quot;:&quot;Mycobiology&quot;,&quot;accessed&quot;:{&quot;date-parts&quot;:[[2021,3,25]]},&quot;DOI&quot;:&quot;10.4489/myco.2006.34.1.034&quot;,&quot;ISSN&quot;:&quot;1229-8093&quot;,&quot;URL&quot;:&quot;/pmc/articles/PMC3769537/&quot;,&quot;issued&quot;:{&quot;date-parts&quot;:[[2006]]},&quot;page&quot;:&quot;34&quot;,&quot;abstract&quot;:&quot;Growth responses of Zea mays and Glycine max to colonization by mixture of combination of three species of arbuscular mycorrhizal (AM) fungi, two species of Glomus and a species of Scutellospora were compared. In Zea mays, plants inoculated with single species of AM fungi showed significantly higher in dry weight than non-mycorrhizal plant for all three AM fungal species. Also, growth of plants inoculated with spores of two species of AM fungi was significantly higher than nonmycorrhizal control except for plants inoculated with two Glomus species. When three species of AM fungi were inoculated, the plants showed the highest growth. In Glycine max, plants with single AM fungal species inoculation were not significantly different in plant growth from nonmycorrhizal plants. When the plants were inoculated with combination of two or more AM fungal species, their growth significantly increased compared to nonmycorrhizal plants. In both plant species, mycorrhizal root colonization by Scutellospora species was significantly lower than by Glomus species.&quot;,&quot;publisher&quot;:&quot;Mycobiology (KAMJE)&quot;,&quot;issue&quot;:&quot;1&quot;,&quot;volume&quot;:&quot;34&quot;},&quot;isTemporary&quot;:false}],&quot;properties&quot;:{&quot;noteIndex&quot;:0},&quot;isEdited&quot;:false,&quot;manualOverride&quot;:{&quot;isManuallyOverriden&quot;:false,&quot;citeprocText&quot;:&quot;(Jeong et al., 2006)&quot;,&quot;manualOverrideText&quot;:&quot;&quot;},&quot;citationTag&quot;:&quot;MENDELEY_CITATION_v3_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&quot;},{&quot;citationID&quot;:&quot;MENDELEY_CITATION_cd1d9db4-302a-4060-9c1b-eaa20c52c2bc&quot;,&quot;citationItems&quot;:[{&quot;id&quot;:&quot;2aa7c5dd-eaf6-31f6-86b1-094e97b319e2&quot;,&quot;itemData&quot;:{&quot;type&quot;:&quot;article-journal&quot;,&quot;id&quot;:&quot;2aa7c5dd-eaf6-31f6-86b1-094e97b319e2&quot;,&quot;title&quot;:&quot;Spatial differences in acquisition of soil phosphate between two arbuscular mycorrhizal fungi in symbiosis with Medicago truncatula&quot;,&quot;author&quot;:[{&quot;family&quot;:&quot;Smith&quot;,&quot;given&quot;:&quot;F. A.&quot;,&quot;parse-names&quot;:false,&quot;dropping-particle&quot;:&quot;&quot;,&quot;non-dropping-particle&quot;:&quot;&quot;},{&quot;family&quot;:&quot;Jakobsen&quot;,&quot;given&quot;:&quot;I.&quot;,&quot;parse-names&quot;:false,&quot;dropping-particle&quot;:&quot;&quot;,&quot;non-dropping-particle&quot;:&quot;&quot;},{&quot;family&quot;:&quot;Smith&quot;,&quot;given&quot;:&quot;S. E.&quot;,&quot;parse-names&quot;:false,&quot;dropping-particle&quot;:&quot;&quot;,&quot;non-dropping-particle&quot;:&quot;&quot;}],&quot;container-title&quot;:&quot;New Phytologist&quot;,&quot;accessed&quot;:{&quot;date-parts&quot;:[[2021,3,26]]},&quot;DOI&quot;:&quot;10.1046/j.1469-8137.2000.00695.x&quot;,&quot;ISSN&quot;:&quot;0028646X&quot;,&quot;URL&quot;:&quot;http://doi.wiley.com/10.1046/j.1469-8137.2000.00695.x&quot;,&quot;issued&quot;:{&quot;date-parts&quot;:[[2000,8,1]]},&quot;page&quot;:&quot;357-366&quot;,&quot;abstract&quot;:&quot;Responses of Medicago truncatula to colonization by two arbuscular mycorrhizal fungi, Scutellospora calospora isolate WUM 12(2) and Glomus caledonium isolate RIS 42, were compared in the light of previous findings that the former fungus can be ineffective as a beneficial microsymbiont with some host plants. The plants were grown individually in two-compartment systems in which a lateral side arm containing soil labelled with 33P was separated from the main soil compartment by a nylon mesh that prevented penetration by roots but not fungal hyphae. Fungal inoculum was applied as a root-soil mixture in a band opposite the side arm. Nonmycorrhizal controls were set up similarly, without inoculum. There were harvests at 28, 35, 42 and 49 d. Both sets of mycorrhizal plants grew better than nonmycorrhizal plants and initially had higher concentrations of P in shoots and roots. Plants grown with S. calospora grew better than plants grown with G. caledonium, and this was associated with somewhat greater fungal colonization in terms of intraradical hyphae and numbers of arbuscules. Scutellospora calospora formed denser hyphae at root surfaces than G. caledonium. By 28 d there were extensive hyphae of both fungi in the side arms, and after 35 d S. calospora produced denser hyphae there than G. caledonium. Nevertheless, there was very little transfer of 33P via S. calospora to the plant at 28 d, and thereafter its transfer increased at a rate only c. 33% of that via G. caledonium. The results showed that plants colonized by S. calospora preferentially obtained P from sites in the main soil chamber relatively close to the roots, compared with plants colonized by G. caledonium. Hence formation of a highly beneficial arbuscular mycorrhizal symbiosis does not necessarily depend on development of hyphae at a distance from the roots or on large-scale translocation of P from distant sites. The results are discussed in relation to previous studies with compartmented systems that have involved the same fungi. Possible causes of the variable effects of S. calospora in symbiosis with different host plants are briefly assessed. Differences in spatial abilities of individual arbuscular mycorrhizal fungi to acquire P might have strong ecological implications for plant growth in soils low in P.&quot;,&quot;publisher&quot;:&quot;John Wiley &amp; Sons, Ltd&quot;,&quot;issue&quot;:&quot;2&quot;,&quot;volume&quot;:&quot;147&quot;},&quot;isTemporary&quot;:false}],&quot;properties&quot;:{&quot;noteIndex&quot;:0},&quot;isEdited&quot;:false,&quot;manualOverride&quot;:{&quot;isManuallyOverridden&quot;:true,&quot;citeprocText&quot;:&quot;(F. A. Smith et al., 2000)&quot;,&quot;manualOverrideText&quot;:&quot;(Smith et al., 2000)&quot;},&quot;citationTag&quot;:&quot;MENDELEY_CITATION_v3_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&quot;},{&quot;citationID&quot;:&quot;MENDELEY_CITATION_b1de8cd7-da86-472c-806c-81a7d72e672e&quot;,&quot;citationItems&quot;:[{&quot;id&quot;:&quot;350d6db2-b48f-3134-9c96-992e42ef3f62&quot;,&quot;itemData&quot;:{&quot;type&quot;:&quot;article&quot;,&quot;id&quot;:&quot;350d6db2-b48f-3134-9c96-992e42ef3f62&quot;,&quot;title&quot;:&quot;Diversity and classification of mycorrhizal associations&quot;,&quot;author&quot;:[{&quot;family&quot;:&quot;Brundrett&quot;,&quot;given&quot;:&quot;Mark&quot;,&quot;parse-names&quot;:false,&quot;dropping-particle&quot;:&quot;&quot;,&quot;non-dropping-particle&quot;:&quot;&quot;}],&quot;container-title&quot;:&quot;Biological Reviews of the Cambridge Philosophical Society&quot;,&quot;accessed&quot;:{&quot;date-parts&quot;:[[2021,3,16]]},&quot;DOI&quot;:&quot;10.1017/S1464793103006316&quot;,&quot;ISSN&quot;:&quot;14647931&quot;,&quot;PMID&quot;:&quot;15366760&quot;,&quot;issued&quot;:{&quot;date-parts&quot;:[[2004,8]]},&quot;page&quot;:&quot;473-495&quot;,&quot;abstract&quot;:&quot;Most mycorrhizas are 'balanced' mutualistic associations in which the fungus and plant exchange commodities required for their growth and survival. Myco-heterotrophic plants have 'exploitative' mycorrhizas where transfer processes apparently benefit only plants. Exploitative associations are symbiotic (in the broad sense), but are not mutualistic. A new definition of mycorrhizas that encompasses all types of these associations while excluding other plant-fungus interactions is provided. This definition recognises the importance of nutrient transfer at an interface resulting from synchronised plant-fungus development. The diversity of interactions between mycorrhizal fungi and plants is considered. Mycorrhizal fungi also function as endophytes, necrotrophs and antagonists of host or non-host plants, with roles that vary during the lifespan of their associations. It is recommended that mycorrhizal associations are defined and classified primarily by anatomical criteria regulated by the host plant. A revised classification scheme for types and categories of mycorrhizal associations defined by these criteria is proposed. The main categories of vesicular-arbuscular mycorrhizal associations (VAM) are 'linear' or 'coiling', and of ectomycorrhizal associations (ECM) are 'epidermal' or 'cortical'. Subcategories of coiling VAM and epidermal ECM occur in certain host plants. Fungus-controlled features result in 'morphotypes' within categories of VAM and ECM. Arbutoid and monotropoid associations should be considered subcategories of epidermal ECM and ectendomycorrhizas should be relegated to an ECM morphotype. Both arbuscules and vesicles define mycorrhizas formed by glomeromycotan fungi. A new classification scheme for categories, subcategories and morphotypes of mycorrhizal associations is provided.&quot;,&quot;issue&quot;:&quot;3&quot;,&quot;volume&quot;:&quot;79&quot;},&quot;isTemporary&quot;:false}],&quot;properties&quot;:{&quot;noteIndex&quot;:0},&quot;isEdited&quot;:false,&quot;manualOverride&quot;:{&quot;isManuallyOverriden&quot;:false,&quot;citeprocText&quot;:&quot;(Brundrett, 2004)&quot;,&quot;manualOverrideText&quot;:&quot;&quot;},&quot;citationTag&quot;:&quot;MENDELEY_CITATION_v3_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&quot;},{&quot;citationID&quot;:&quot;MENDELEY_CITATION_e6710be4-1718-4ce3-841f-04012349b8f5&quot;,&quot;citationItems&quot;:[{&quot;id&quot;:&quot;df1348f1-ba8c-3cad-9041-7c29aa73a832&quot;,&quot;itemData&quot;:{&quot;type&quot;:&quot;article-journal&quot;,&quot;id&quot;:&quot;df1348f1-ba8c-3cad-9041-7c29aa73a832&quot;,&quot;title&quot;:&quot;Fresh perspectives on the roles of arbuscular mycorrhizal fungi in plant nutrition and growth&quot;,&quot;author&quot;:[{&quot;family&quot;:&quot;Smith&quot;,&quot;given&quot;:&quot;Sally E.&quot;,&quot;parse-names&quot;:false,&quot;dropping-particle&quot;:&quot;&quot;,&quot;non-dropping-particle&quot;:&quot;&quot;},{&quot;family&quot;:&quot;Smith&quot;,&quot;given&quot;:&quot;F. Andrew&quot;,&quot;parse-names&quot;:false,&quot;dropping-particle&quot;:&quot;&quot;,&quot;non-dropping-particle&quot;:&quot;&quot;}],&quot;container-title&quot;:&quot;Mycologia&quot;,&quot;accessed&quot;:{&quot;date-parts&quot;:[[2021,3,15]]},&quot;DOI&quot;:&quot;10.3852/11-229&quot;,&quot;ISSN&quot;:&quot;00275514&quot;,&quot;PMID&quot;:&quot;21933929&quot;,&quot;issued&quot;:{&quot;date-parts&quot;:[[2012,1]]},&quot;page&quot;:&quot;1-13&quot;,&quot;abstract&quot;:&quot;Recent research on arbuscular mycorrhizas has demonstrated that AM fungi play a significant role in plant phosphorus (P) uptake, regardless of whether the plant responds positively to colonization in terms of growth or P content. Here we focus particularly on implications of this finding for consideration of the balance between organic carbon (C) use by the fungi and P delivery (i.e. the C-P trade between the symbionts). Positive growth responses to arbuscular mycorrhizal (AM) colonization are attributed frequently to increased P uptake via the fungus, which results in relief of P deficiency and increased growth. Zero AM responses, compared with non-mycorrhizal (NM) plants, have conventionally been attributed to failure of the fungi to deliver P to the plants. Negative responses, combined with excessive C use, have been attributed to this failure. The fungi were viewed as parasites. Demonstration that the AM pathway of P uptake operates in such plants indicates that direct P uptake by the roots is reduced and that the fungi are not parasites but mutualists because they deliver P as well as using C. We suggest that poor plant growth is the result of P deficiency because AM fungi lower the amount of P taken up directly by roots but the AM uptake of P does compensate for the reduction. The implications of interplay between direct root uptake and AM fungal uptake of P also include increased tolerance of AM plants to toxins such as arsenate and increased success when competing with NM plants. Finally we discuss the new information on C-P trade in the context of control of the symbiosis by the fungus or the plant, including new information (from NM plants) on sugar transport and on the role of sucrose in the signaling network involved in responses of plants to P deprivation. © 2012 by The Mycological Society of America.&quot;,&quot;issue&quot;:&quot;1&quot;,&quot;volume&quot;:&quot;104&quot;},&quot;isTemporary&quot;:false}],&quot;properties&quot;:{&quot;noteIndex&quot;:0},&quot;isEdited&quot;:false,&quot;manualOverride&quot;:{&quot;isManuallyOverriden&quot;:false,&quot;citeprocText&quot;:&quot;(S. E. Smith &amp;#38; Smith, 2012a)&quot;,&quot;manualOverrideText&quot;:&quot;(Smith &amp; Smith, 2012a)&quot;,&quot;isManuallyOverridden&quot;:true},&quot;citationTag&quot;:&quot;MENDELEY_CITATION_v3_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&quot;},{&quot;citationID&quot;:&quot;MENDELEY_CITATION_99afe155-bd0c-4e58-8a8f-6e54192f6225&quot;,&quot;citationItems&quot;:[{&quot;id&quot;:&quot;d79d2aea-ee87-3fef-b36a-efc58f8085a6&quot;,&quot;itemData&quot;:{&quot;type&quot;:&quot;article&quot;,&quot;id&quot;:&quot;d79d2aea-ee87-3fef-b36a-efc58f8085a6&quot;,&quot;title&quot;:&quot;Arbuscular mycorrhizal fungi and nitrogen uptake&quot;,&quot;author&quot;:[{&quot;family&quot;:&quot;Miransari&quot;,&quot;given&quot;:&quot;Mohammad&quot;,&quot;parse-names&quot;:false,&quot;dropping-particle&quot;:&quot;&quot;,&quot;non-dropping-particle&quot;:&quot;&quot;}],&quot;container-title&quot;:&quot;Archives of Microbiology&quot;,&quot;DOI&quot;:&quot;10.1007/s00203-010-0657-6&quot;,&quot;ISSN&quot;:&quot;03028933&quot;,&quot;PMID&quot;:&quot;21136040&quot;,&quot;issued&quot;:{&quot;date-parts&quot;:[[2011,2]]},&quot;page&quot;:&quot;77-81&quot;,&quot;abstract&quot;:&quot;Nitrogen (N) is among the most important macro-nutrients significantly affecting plant growth and yield production. Accordingly, N must be supplied adequately so that optimum amounts of yield are resulted. There are different ways of supplying N to the plant including the use of chemical and biological fertilization. The chemical properties of N make it very mobile, especially under humid conditions. Hence, N must not be overfertilized with respect to the economical and environmental points of view. N Biological fertilization includes the use of plant growth-promoting rhizobacteria (PGPR) including the N-fixing bacteria, rhizobium. There are also arbuscular mycorrhizal (AM) fungi in the soil, which are symbiotic to most terrestrial plants enhancing plant growth and yield production through increasing the uptake of water and nutrients by the host plant. Numerous experiments have indicated the important role of AM fungi in enhancing P uptake by plant. However, it is yet a matter of debate that how AM fungi may affect soil N dynamic and hence plant N uptake. Some of the most important and recent aspects regarding such effects by AM fungi are highlighted, which can be of significance to health and productivity of the ecosystem. © 2010 Springer-Verlag.&quot;,&quot;issue&quot;:&quot;2&quot;,&quot;volume&quot;:&quot;193&quot;},&quot;isTemporary&quot;:false}],&quot;properties&quot;:{&quot;noteIndex&quot;:0},&quot;isEdited&quot;:false,&quot;manualOverride&quot;:{&quot;isManuallyOverriden&quot;:false,&quot;citeprocText&quot;:&quot;(Miransari, 2011)&quot;,&quot;manualOverrideText&quot;:&quot;&quot;},&quot;citationTag&quot;:&quot;MENDELEY_CITATION_v3_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&quot;},{&quot;citationID&quot;:&quot;MENDELEY_CITATION_a5c24278-2061-4524-aeef-a1e82900fbc1&quot;,&quot;citationItems&quot;:[{&quot;id&quot;:&quot;02330908-7e61-37a7-bbdf-a58fcda11fd3&quot;,&quot;itemData&quot;:{&quot;type&quot;:&quot;article-journal&quot;,&quot;id&quot;:&quot;02330908-7e61-37a7-bbdf-a58fcda11fd3&quot;,&quot;title&quot;:&quot;Genotype Variation in Nutrient Uptake Efficiency in Corn &lt;sup&gt;1&lt;/sup&gt;&quot;,&quot;author&quot;:[{&quot;family&quot;:&quot;Bruetsch&quot;,&quot;given&quot;:&quot;T. F.&quot;,&quot;parse-names&quot;:false,&quot;dropping-particle&quot;:&quot;&quot;,&quot;non-dropping-particle&quot;:&quot;&quot;},{&quot;family&quot;:&quot;Estes&quot;,&quot;given&quot;:&quot;G. O.&quot;,&quot;parse-names&quot;:false,&quot;dropping-particle&quot;:&quot;&quot;,&quot;non-dropping-particle&quot;:&quot;&quot;}],&quot;container-title&quot;:&quot;Agronomy Journal&quot;,&quot;accessed&quot;:{&quot;date-parts&quot;:[[2021,3,25]]},&quot;DOI&quot;:&quot;10.2134/agronj1976.00021962006800030023x&quot;,&quot;ISSN&quot;:&quot;0002-1962&quot;,&quot;URL&quot;:&quot;https://onlinelibrary.wiley.com/doi/abs/10.2134/agronj1976.00021962006800030023x&quot;,&quot;issued&quot;:{&quot;date-parts&quot;:[[1976,5,1]]},&quot;page&quot;:&quot;521-523&quot;,&quot;publisher&quot;:&quot;Wiley&quot;,&quot;issue&quot;:&quot;3&quot;,&quot;volume&quot;:&quot;68&quot;},&quot;isTemporary&quot;:false},{&quot;id&quot;:&quot;387b8baa-6299-3469-96b1-e5e10f030fe3&quot;,&quot;itemData&quot;:{&quot;type&quot;:&quot;article-journal&quot;,&quot;id&quot;:&quot;387b8baa-6299-3469-96b1-e5e10f030fe3&quot;,&quot;title&quot;:&quot;Role of root growth, arbuscular mycorrhiza, and root exudates for the efficiency in nutrient acquisition&quot;,&quot;author&quot;:[{&quot;family&quot;:&quot;Marschener&quot;,&quot;given&quot;:&quot;H.&quot;,&quot;parse-names&quot;:false,&quot;dropping-particle&quot;:&quot;&quot;,&quot;non-dropping-particle&quot;:&quot;&quot;}],&quot;container-title&quot;:&quot;Field Crops Research&quot;,&quot;accessed&quot;:{&quot;date-parts&quot;:[[2021,3,25]]},&quot;DOI&quot;:&quot;10.1016/S0378-4290(97)00131-7&quot;,&quot;ISSN&quot;:&quot;03784290&quot;,&quot;issued&quot;:{&quot;date-parts&quot;:[[1998,3,1]]},&quot;page&quot;:&quot;203-207&quot;,&quot;abstract&quot;:&quot;Genotypic differences in nutrient acquisition are important determinants of nutrient efficiency. These differences can be related to root size and morphology and/or to root physiology. Root surface area can be enhanced through mycorrhizal associations. Root processes can affect rhizosphere pH and redox potential. In addition, root exudates affect rhizosphere chemistry. Exudation may be responsive to a particular nutrient deficiency. For example, P deficiency can induce the release of organic acids and/or acid phosphatases, and iron or Zn deficiencies result in the release of phytosiderophores by some species. Thus, in light of the diverse plant responses to nutrient-deficient soils, it will be necessary to identify the key mechanism(s) of tolerance in a particular field environment before initiating mass screening for a specific tolerance mechanism.&quot;,&quot;publisher&quot;:&quot;Elsevier&quot;,&quot;issue&quot;:&quot;1-2&quot;,&quot;volume&quot;:&quot;56&quot;},&quot;isTemporary&quot;:false}],&quot;properties&quot;:{&quot;noteIndex&quot;:0},&quot;isEdited&quot;:false,&quot;manualOverride&quot;:{&quot;isManuallyOverridden&quot;:true,&quot;citeprocText&quot;:&quot;(Bruetsch &amp;#38; Estes, 1976; Marschener, 1998)&quot;,&quot;manualOverrideText&quot;:&quot;(Bruetsch &amp; Estes, 1976; Marschener, 1998).&quot;},&quot;citationTag&quot;:&quot;MENDELEY_CITATION_v3_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&quot;},{&quot;citationID&quot;:&quot;MENDELEY_CITATION_313a0f80-2167-4ff7-9495-a7a8485be830&quot;,&quot;citationItems&quot;:[{&quot;id&quot;:&quot;db17a5ef-688f-34df-acc2-04d7029d7524&quot;,&quot;itemData&quot;:{&quot;type&quot;:&quot;article-journal&quot;,&quot;id&quot;:&quot;db17a5ef-688f-34df-acc2-04d7029d7524&quot;,&quot;title&quot;:&quot;Contrasting Nitrogen Fertilisation Rates Alter Mycorrhizal Contribution to Barley Nutrition in a Field Trial&quot;,&quot;author&quot;:[{&quot;family&quot;:&quot;Thirkell&quot;,&quot;given&quot;:&quot;Tom&quot;,&quot;parse-names&quot;:false,&quot;dropping-particle&quot;:&quot;&quot;,&quot;non-dropping-particle&quot;:&quot;&quot;},{&quot;family&quot;:&quot;Cameron&quot;,&quot;given&quot;:&quot;Duncan&quot;,&quot;parse-names&quot;:false,&quot;dropping-particle&quot;:&quot;&quot;,&quot;non-dropping-particle&quot;:&quot;&quot;},{&quot;family&quot;:&quot;Hodge&quot;,&quot;given&quot;:&quot;Angela&quot;,&quot;parse-names&quot;:false,&quot;dropping-particle&quot;:&quot;&quot;,&quot;non-dropping-particle&quot;:&quot;&quot;}],&quot;container-title&quot;:&quot;Frontiers in Plant Science&quot;,&quot;DOI&quot;:&quot;10.3389/fpls.2019.01312&quot;,&quot;ISSN&quot;:&quot;1664462X&quot;,&quot;issued&quot;:{&quot;date-parts&quot;:[[2019,10,30]]},&quot;abstract&quot;:&quot;Controlled environment studies show that arbuscular mycorrhizal fungi (AMF) may contribute to plant nitrogen (N) uptake, but the role of these near-ubiquitous symbionts in crop plant N nutrition under natural field conditions remains largely unknown. In a field trial, we tested the effects of N fertilisation and barley (Hordeum vulgare L.) cultivar identity on the contribution of AMF to barley N uptake using 15N tracers added to rhizosphere soil compartments. AMF were shown capable of significantly increasing plant 15N acquisition from root exclusion zones, and this was influenced by nitrogen addition type, N fertiliser application rate and barley cultivar identity. Our data demonstrate a previously overlooked potential route of crop plant N uptake which may be influenced substantially and rapidly in response to shifting agricultural management practices.&quot;,&quot;publisher&quot;:&quot;Frontiers Media S.A.&quot;,&quot;volume&quot;:&quot;10&quot;},&quot;isTemporary&quot;:false}],&quot;properties&quot;:{&quot;noteIndex&quot;:0},&quot;isEdited&quot;:false,&quot;manualOverride&quot;:{&quot;isManuallyOverridden&quot;:true,&quot;citeprocText&quot;:&quot;(T. Thirkell et al., 2019)&quot;,&quot;manualOverrideText&quot;:&quot;(Thirkell et al., 2019)&quot;},&quot;citationTag&quot;:&quot;MENDELEY_CITATION_v3_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&quot;},{&quot;citationID&quot;:&quot;MENDELEY_CITATION_629ed731-5f84-4492-a3e8-32f8b13c7e7f&quot;,&quot;citationItems&quot;:[{&quot;id&quot;:&quot;0b9e38af-f9b8-35c4-a9a2-21acf26bca76&quot;,&quot;itemData&quot;:{&quot;type&quot;:&quot;article-journal&quot;,&quot;id&quot;:&quot;0b9e38af-f9b8-35c4-a9a2-21acf26bca76&quot;,&quot;title&quot;:&quot;Recovery of Corn Yield on Gardena Subsoil as Related to Leaf and Soil Analysis&quot;,&quot;author&quot;:[{&quot;family&quot;:&quot;Follett&quot;,&quot;given&quot;:&quot;R. F.&quot;,&quot;parse-names&quot;:false,&quot;dropping-particle&quot;:&quot;&quot;,&quot;non-dropping-particle&quot;:&quot;&quot;},{&quot;family&quot;:&quot;Grunes&quot;,&quot;given&quot;:&quot;D. L.&quot;,&quot;parse-names&quot;:false,&quot;dropping-particle&quot;:&quot;&quot;,&quot;non-dropping-particle&quot;:&quot;&quot;},{&quot;family&quot;:&quot;Reichman&quot;,&quot;given&quot;:&quot;G. A.&quot;,&quot;parse-names&quot;:false,&quot;dropping-particle&quot;:&quot;&quot;,&quot;non-dropping-particle&quot;:&quot;&quot;},{&quot;family&quot;:&quot;Carlson&quot;,&quot;given&quot;:&quot;C. W.&quot;,&quot;parse-names&quot;:false,&quot;dropping-particle&quot;:&quot;&quot;,&quot;non-dropping-particle&quot;:&quot;&quot;}],&quot;container-title&quot;:&quot;Soil Science Society of America Journal&quot;,&quot;accessed&quot;:{&quot;date-parts&quot;:[[2021,3,24]]},&quot;DOI&quot;:&quot;10.2136/sssaj1974.03615995003800020032x&quot;,&quot;ISSN&quot;:&quot;03615995&quot;,&quot;URL&quot;:&quot;http://doi.wiley.com/10.2136/sssaj1974.03615995003800020032x&quot;,&quot;issued&quot;:{&quot;date-parts&quot;:[[1974,3,1]]},&quot;page&quot;:&quot;327-331&quot;,&quot;publisher&quot;:&quot;Wiley&quot;,&quot;issue&quot;:&quot;2&quot;,&quot;volume&quot;:&quot;38&quot;},&quot;isTemporary&quot;:false}],&quot;properties&quot;:{&quot;noteIndex&quot;:0},&quot;isEdited&quot;:false,&quot;manualOverride&quot;:{&quot;isManuallyOverriden&quot;:false,&quot;citeprocText&quot;:&quot;(Follett et al., 1974)&quot;,&quot;manualOverrideText&quot;:&quot;&quot;},&quot;citationTag&quot;:&quot;MENDELEY_CITATION_v3_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&quot;},{&quot;citationID&quot;:&quot;MENDELEY_CITATION_3df9cb52-94a3-414b-b330-1127a3f891a6&quot;,&quot;citationItems&quot;:[{&quot;id&quot;:&quot;26c3bbd1-d89a-3644-9d21-1ffab0227802&quot;,&quot;itemData&quot;:{&quot;type&quot;:&quot;article-journal&quot;,&quot;id&quot;:&quot;26c3bbd1-d89a-3644-9d21-1ffab0227802&quot;,&quot;title&quot;:&quot;Relationship between P and N concentrations in timothy&quot;,&quot;author&quot;:[{&quot;family&quot;:&quot;Bélanger&quot;,&quot;given&quot;:&quot;G.&quot;,&quot;parse-names&quot;:false,&quot;dropping-particle&quot;:&quot;&quot;,&quot;non-dropping-particle&quot;:&quot;&quot;},{&quot;family&quot;:&quot;Richards&quot;,&quot;given&quot;:&quot;J. E.&quot;,&quot;parse-names&quot;:false,&quot;dropping-particle&quot;:&quot;&quot;,&quot;non-dropping-particle&quot;:&quot;&quot;}],&quot;container-title&quot;:&quot;Canadian Journal of Plant Science&quot;,&quot;accessed&quot;:{&quot;date-parts&quot;:[[2021,3,24]]},&quot;DOI&quot;:&quot;10.4141/P97-125&quot;,&quot;ISSN&quot;:&quot;00084220&quot;,&quot;URL&quot;:&quot;https://cdnsciencepub.com/doi/abs/10.4141/P97-125&quot;,&quot;issued&quot;:{&quot;date-parts&quot;:[[1999]]},&quot;page&quot;:&quot;65-70&quot;,&quot;abstract&quot;:&quot;Tools quantifying the status of N and P in plants may help to achieve efficient management of these nutrients and to optimize crop growth and yield. The objective of this study was to establish the relationship between P and N concentrations during the regrowth of timothy (Phleum pratense L.) and, in particular, to estimate the critical P concentration required to diagnose P deficiency. The relationship between P and N concentrations was determined for timothy grown in two experiments conducted with early- and late-maturing cultivars under non-limiting N conditions in spring of 1991 and 1992, and in two experiments with four rates of N fertilization conducted in the spring of 1993 and the summer of 1994. Shoot biomass and P and N concentrations were determined weekly during each regrowth cycle. The P and N concentrations decreased with time in all four experiments. The decrease in P concentration with increasing shoot biomass was generally similar to the decrease in N concentration. The relationship between P concentration and shoot biomass was not different for early- and late-maturing timothy cultivars. This relationship, however, was affected by N fertilization. For a given shoot biomass, increasing N fertilization rates increased P concentration. The relationship between P and N concentrations under non-limiting N conditions is described by a linear relationship (P = 1.46 + 0.069N, R2 = 0.79, P &lt; 0.001, n = 48) in which P concentration (P) and N concentration (N) are expressed in g kg-1 DM. The relationship between P and N concentrations was different under N limiting conditions. For a given N concentration, the P concentration was greater under limiting N conditions than under non-limiting N conditions. Our results show that the critical P concentration for shoot growth is a function of the N concentration in the shoot biomass and the level of N deficiency. The present study provides the relationship required to estimate the critical P concentration which is essential for quantifying levels of P deficiency in timothy, and in developing models to predict the quantity of fertilizer P needed to correct that deficiency.&quot;,&quot;publisher&quot;:&quot;Agricultural Institute of Canada&quot;,&quot;issue&quot;:&quot;1&quot;,&quot;volume&quot;:&quot;79&quot;},&quot;isTemporary&quot;:false}],&quot;properties&quot;:{&quot;noteIndex&quot;:0},&quot;isEdited&quot;:false,&quot;manualOverride&quot;:{&quot;isManuallyOverriden&quot;:false,&quot;citeprocText&quot;:&quot;(Bélanger &amp;#38; Richards, 1999)&quot;,&quot;manualOverrideText&quot;:&quot;&quot;},&quot;citationTag&quot;:&quot;MENDELEY_CITATION_v3_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&quot;},{&quot;citationID&quot;:&quot;MENDELEY_CITATION_c1d43a38-4513-477a-b818-be031c5207b8&quot;,&quot;citationItems&quot;:[{&quot;id&quot;:&quot;47df5461-05a7-3f91-b662-efe9f86afceb&quot;,&quot;itemData&quot;:{&quot;type&quot;:&quot;article-journal&quot;,&quot;id&quot;:&quot;47df5461-05a7-3f91-b662-efe9f86afceb&quot;,&quot;title&quot;:&quot;Resolving the ‘nitrogen paradox’ of &lt;i&gt;arbuscular mycorrhizas&lt;/i&gt; : fertilization with organic matter brings considerable benefits for plant nutrition and growth&quot;,&quot;author&quot;:[{&quot;family&quot;:&quot;Thirkell&quot;,&quot;given&quot;:&quot;Tom J.&quot;,&quot;parse-names&quot;:false,&quot;dropping-particle&quot;:&quot;&quot;,&quot;non-dropping-particle&quot;:&quot;&quot;},{&quot;family&quot;:&quot;Cameron&quot;,&quot;given&quot;:&quot;Duncan D.&quot;,&quot;parse-names&quot;:false,&quot;dropping-particle&quot;:&quot;&quot;,&quot;non-dropping-particle&quot;:&quot;&quot;},{&quot;family&quot;:&quot;Hodge&quot;,&quot;given&quot;:&quot;Angela&quot;,&quot;parse-names&quot;:false,&quot;dropping-particle&quot;:&quot;&quot;,&quot;non-dropping-particle&quot;:&quot;&quot;}],&quot;container-title&quot;:&quot;Plant, Cell &amp; Environment&quot;,&quot;DOI&quot;:&quot;10.1111/pce.12667&quot;,&quot;ISSN&quot;:&quot;0140-7791&quot;,&quot;issued&quot;:{&quot;date-parts&quot;:[[2016,8,10]]},&quot;issue&quot;:&quot;8&quot;,&quot;volume&quot;:&quot;39&quot;},&quot;isTemporary&quot;:false},{&quot;id&quot;:&quot;eb316449-6e3b-3f1c-bc1e-8ae8e72cd02b&quot;,&quot;itemData&quot;:{&quot;type&quot;:&quot;article-journal&quot;,&quot;id&quot;:&quot;eb316449-6e3b-3f1c-bc1e-8ae8e72cd02b&quot;,&quot;title&quot;:&quot;A commercial arbuscular mycorrhizal inoculum increases root colonization across wheat cultivars but does not increase assimilation of mycorrhiza‐acquired nutrients&quot;,&quot;author&quot;:[{&quot;family&quot;:&quot;Elliott&quot;,&quot;given&quot;:&quot;Ashleigh J.&quot;,&quot;parse-names&quot;:false,&quot;dropping-particle&quot;:&quot;&quot;,&quot;non-dropping-particle&quot;:&quot;&quot;},{&quot;family&quot;:&quot;Daniell&quot;,&quot;given&quot;:&quot;Tim J.&quot;,&quot;parse-names&quot;:false,&quot;dropping-particle&quot;:&quot;&quot;,&quot;non-dropping-particle&quot;:&quot;&quot;},{&quot;family&quot;:&quot;Cameron&quot;,&quot;given&quot;:&quot;Duncan D.&quot;,&quot;parse-names&quot;:false,&quot;dropping-particle&quot;:&quot;&quot;,&quot;non-dropping-particle&quot;:&quot;&quot;},{&quot;family&quot;:&quot;Field&quot;,&quot;given&quot;:&quot;Katie J.&quot;,&quot;parse-names&quot;:false,&quot;dropping-particle&quot;:&quot;&quot;,&quot;non-dropping-particle&quot;:&quot;&quot;}],&quot;container-title&quot;:&quot;PLANTS, PEOPLE, PLANET&quot;,&quot;DOI&quot;:&quot;10.1002/ppp3.10094&quot;,&quot;ISSN&quot;:&quot;2572-2611&quot;,&quot;issued&quot;:{&quot;date-parts&quot;:[[2021,9]]},&quot;page&quot;:&quot;588-599&quot;,&quot;abstract&quot;:&quot;Production and heavy application of chemical-based fertilizers to maintain crop yields is unsustainable due to pollution from run-off, high CO2 emissions, and diminishing yield returns. Access to fertilizers will be limited in the future due to rising energy costs and dwindling rock phosphate resources. A growing number of companies produce and sell arbuscular mycorrhizal fungal (AMF) inoculants, intended to help reduce fertilizer usage by facilitating crop nutrient uptake through arbuscular mycorrhizas. However, their success has been variable. Here, we present information about the efficacy of a commercially available AMF inoculant in increasing AMF root colonization and fungal contribution to plant nutrient uptake, which are critical considerations within the growing AMF inoculant industry. Summary Arable agriculture needs sustainable solutions to reduce reliance on large inputs of nutrient fertilizers while continuing to improve crop yields. By harnessing arbuscular mycorrhizal symbiosis, there is potential to improve crop nutrient assimilation and growth without additional inputs, although the efficacy of commercially available mycorrhizal inocula in agricultural systems remains controversial. Using stable and radioisotope tracing, carbon-for-nutrient exchange between arbuscular mycorrhizal fungi and three modern cultivars of wheat was quantified in a non-sterile, agricultural soil, with or without the addition of a commercial mycorrhizal inoculant. While there was no effect of inoculum addition on above-ground plant biomass, there was increased root colonization by arbuscular mycorrhizal fungi and changes in community structure. Inoculation increased phosphorus uptake across all wheat cultivars by up to 30%, although this increase was not directly attributable to mycorrhizal fungi. Carbon-for-nutrient exchange between symbionts varied substantially between the wheat cultivars. Plant tissue phosphorus increased in inoculated plants potentially because of changes induced by inoculation in microbial community composition and/or nutrient cycling within the rhizosphere. Our data contribute to the growing consensus that mycorrhizal inoculants could play a role in sustainable food production systems of the future.&quot;,&quot;publisher&quot;:&quot;Wiley&quot;,&quot;issue&quot;:&quot;5&quot;,&quot;volume&quot;:&quot;3&quot;},&quot;isTemporary&quot;:false}],&quot;properties&quot;:{&quot;noteIndex&quot;:0},&quot;isEdited&quot;:false,&quot;manualOverride&quot;:{&quot;isManuallyOverridden&quot;:true,&quot;citeprocText&quot;:&quot;(Elliott et al., 2021; T. J. Thirkell et al., 2016)&quot;,&quot;manualOverrideText&quot;:&quot;(Elliott et al., 2021; Thirkell et al., 2016)&quot;},&quot;citationTag&quot;:&quot;MENDELEY_CITATION_v3_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&quot;},{&quot;citationID&quot;:&quot;MENDELEY_CITATION_c2d49379-690a-4df4-ba9f-7bbf702cc803&quot;,&quot;citationItems&quot;:[{&quot;id&quot;:&quot;3dbf6c41-fbc5-381c-8ebf-47a803c566d0&quot;,&quot;itemData&quot;:{&quot;type&quot;:&quot;article-journal&quot;,&quot;id&quot;:&quot;3dbf6c41-fbc5-381c-8ebf-47a803c566d0&quot;,&quot;title&quot;:&quot;High phosphate reduces host ability to develop arbuscular mycorrhizal symbiosis without affecting root calcium spiking responses to the fungus&quot;,&quot;author&quot;:[{&quot;family&quot;:&quot;Balzergue&quot;,&quot;given&quot;:&quot;Coline&quot;,&quot;parse-names&quot;:false,&quot;dropping-particle&quot;:&quot;&quot;,&quot;non-dropping-particle&quot;:&quot;&quot;},{&quot;family&quot;:&quot;Chabaud&quot;,&quot;given&quot;:&quot;Mireille&quot;,&quot;parse-names&quot;:false,&quot;dropping-particle&quot;:&quot;&quot;,&quot;non-dropping-particle&quot;:&quot;&quot;},{&quot;family&quot;:&quot;Barker&quot;,&quot;given&quot;:&quot;David G.&quot;,&quot;parse-names&quot;:false,&quot;dropping-particle&quot;:&quot;&quot;,&quot;non-dropping-particle&quot;:&quot;&quot;},{&quot;family&quot;:&quot;Bécard&quot;,&quot;given&quot;:&quot;Guillaume&quot;,&quot;parse-names&quot;:false,&quot;dropping-particle&quot;:&quot;&quot;,&quot;non-dropping-particle&quot;:&quot;&quot;},{&quot;family&quot;:&quot;Rochange&quot;,&quot;given&quot;:&quot;Soizic F.&quot;,&quot;parse-names&quot;:false,&quot;dropping-particle&quot;:&quot;&quot;,&quot;non-dropping-particle&quot;:&quot;&quot;}],&quot;container-title&quot;:&quot;Frontiers in Plant Science&quot;,&quot;DOI&quot;:&quot;10.3389/fpls.2013.00426&quot;,&quot;ISSN&quot;:&quot;1664-462X&quot;,&quot;issued&quot;:{&quot;date-parts&quot;:[[2013]]},&quot;volume&quot;:&quot;4&quot;},&quot;isTemporary&quot;:false}],&quot;properties&quot;:{&quot;noteIndex&quot;:0},&quot;isEdited&quot;:false,&quot;manualOverride&quot;:{&quot;isManuallyOverridden&quot;:false,&quot;citeprocText&quot;:&quot;(Balzergue et al., 2013)&quot;,&quot;manualOverrideText&quot;:&quot;&quot;},&quot;citationTag&quot;:&quot;MENDELEY_CITATION_v3_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&quot;},{&quot;citationID&quot;:&quot;MENDELEY_CITATION_b8455739-32b4-4de6-b823-3ac582001e92&quot;,&quot;citationItems&quot;:[{&quot;id&quot;:&quot;769347fd-cac3-35ee-940e-6ee81caae43a&quot;,&quot;itemData&quot;:{&quot;type&quot;:&quot;article-journal&quot;,&quot;id&quot;:&quot;769347fd-cac3-35ee-940e-6ee81caae43a&quot;,&quot;title&quot;:&quot;Root growth in response to nitrogen supply in Chinese maize hybrids released between 1973 and 2009&quot;,&quot;author&quot;:[{&quot;family&quot;:&quot;Wu&quot;,&quot;given&quot;:&quot;Qiu Ping&quot;,&quot;parse-names&quot;:false,&quot;dropping-particle&quot;:&quot;&quot;,&quot;non-dropping-particle&quot;:&quot;&quot;},{&quot;family&quot;:&quot;Chen&quot;,&quot;given&quot;:&quot;Fan Jun&quot;,&quot;parse-names&quot;:false,&quot;dropping-particle&quot;:&quot;&quot;,&quot;non-dropping-particle&quot;:&quot;&quot;},{&quot;family&quot;:&quot;Chen&quot;,&quot;given&quot;:&quot;Yan Ling&quot;,&quot;parse-names&quot;:false,&quot;dropping-particle&quot;:&quot;&quot;,&quot;non-dropping-particle&quot;:&quot;&quot;},{&quot;family&quot;:&quot;Yuan&quot;,&quot;given&quot;:&quot;Li Xing&quot;,&quot;parse-names&quot;:false,&quot;dropping-particle&quot;:&quot;&quot;,&quot;non-dropping-particle&quot;:&quot;&quot;},{&quot;family&quot;:&quot;Zhang&quot;,&quot;given&quot;:&quot;Fu Suo&quot;,&quot;parse-names&quot;:false,&quot;dropping-particle&quot;:&quot;&quot;,&quot;non-dropping-particle&quot;:&quot;&quot;},{&quot;family&quot;:&quot;Mi&quot;,&quot;given&quot;:&quot;Guo Hua&quot;,&quot;parse-names&quot;:false,&quot;dropping-particle&quot;:&quot;&quot;,&quot;non-dropping-particle&quot;:&quot;&quot;}],&quot;container-title&quot;:&quot;Science China Life Sciences&quot;,&quot;DOI&quot;:&quot;10.1007/s11427-011-4186-6&quot;,&quot;ISSN&quot;:&quot;16747305&quot;,&quot;PMID&quot;:&quot;21748587&quot;,&quot;issued&quot;:{&quot;date-parts&quot;:[[2011,7]]},&quot;page&quot;:&quot;642-650&quot;,&quot;abstract&quot;:&quot;Root growth has a fundamental role in nitrogen (N) use efficiency. Nevertheless, little is known about how modern breeding progress has affected root growth and its responses to N supply. The root and shoot growth of a core set of 11 representative Chinese maize (Zea mays L.) hybrids released between 1973 and 2009 were investigated under high N (4 mmol L -1, HN) and low N (0. 04 mmol L -1, LN) levels in a solution culture system. Compared with LN, HN treatment decreased root dry weight (RDW), the root: shoot ratio (R/S), and the relative growth rate for root dry weight (RGR root), but increased the total root length (TRL) and the total lateral root length (LRL). The total axial root length (ARL) per plant was reduced under HN, mostly in hybrids released before the 1990s. The number of seminal roots (SRN) was largely unaffected by different N levels. More recently released hybrids showed higher relative growth rates in the shoot under both HN and LN. However, the roots only showed increased RGR under HN treatment. Correspondingly, there was a positive linear relationship with the year of hybrid release for TRL, LRL and ARL under HN treatment. Together, these results suggest that while shoot growth of maize has improved, its root growth has only improved under high N conditions over the last 36 years of selective breeding in China. Improving root growth under LN conditions may be necessary to increase the N use efficiency of maize. © 2011 Science China Press and Springer-Verlag Berlin Heidelberg.&quot;,&quot;issue&quot;:&quot;7&quot;,&quot;volume&quot;:&quot;54&quot;},&quot;isTemporary&quot;:false}],&quot;properties&quot;:{&quot;noteIndex&quot;:0},&quot;isEdited&quot;:false,&quot;manualOverride&quot;:{&quot;isManuallyOverriden&quot;:false,&quot;citeprocText&quot;:&quot;(Q. P. Wu et al., 2011)&quot;,&quot;manualOverrideText&quot;:&quot;(Wu et al., 2011)&quot;,&quot;isManuallyOverridden&quot;:true},&quot;citationTag&quot;:&quot;MENDELEY_CITATION_v3_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&quot;},{&quot;citationID&quot;:&quot;MENDELEY_CITATION_f9032c88-3e33-4da3-b6fa-6e26c0d193b6&quot;,&quot;citationItems&quot;:[{&quot;id&quot;:&quot;769347fd-cac3-35ee-940e-6ee81caae43a&quot;,&quot;itemData&quot;:{&quot;type&quot;:&quot;article-journal&quot;,&quot;id&quot;:&quot;769347fd-cac3-35ee-940e-6ee81caae43a&quot;,&quot;title&quot;:&quot;Root growth in response to nitrogen supply in Chinese maize hybrids released between 1973 and 2009&quot;,&quot;author&quot;:[{&quot;family&quot;:&quot;Wu&quot;,&quot;given&quot;:&quot;Qiu Ping&quot;,&quot;parse-names&quot;:false,&quot;dropping-particle&quot;:&quot;&quot;,&quot;non-dropping-particle&quot;:&quot;&quot;},{&quot;family&quot;:&quot;Chen&quot;,&quot;given&quot;:&quot;Fan Jun&quot;,&quot;parse-names&quot;:false,&quot;dropping-particle&quot;:&quot;&quot;,&quot;non-dropping-particle&quot;:&quot;&quot;},{&quot;family&quot;:&quot;Chen&quot;,&quot;given&quot;:&quot;Yan Ling&quot;,&quot;parse-names&quot;:false,&quot;dropping-particle&quot;:&quot;&quot;,&quot;non-dropping-particle&quot;:&quot;&quot;},{&quot;family&quot;:&quot;Yuan&quot;,&quot;given&quot;:&quot;Li Xing&quot;,&quot;parse-names&quot;:false,&quot;dropping-particle&quot;:&quot;&quot;,&quot;non-dropping-particle&quot;:&quot;&quot;},{&quot;family&quot;:&quot;Zhang&quot;,&quot;given&quot;:&quot;Fu Suo&quot;,&quot;parse-names&quot;:false,&quot;dropping-particle&quot;:&quot;&quot;,&quot;non-dropping-particle&quot;:&quot;&quot;},{&quot;family&quot;:&quot;Mi&quot;,&quot;given&quot;:&quot;Guo Hua&quot;,&quot;parse-names&quot;:false,&quot;dropping-particle&quot;:&quot;&quot;,&quot;non-dropping-particle&quot;:&quot;&quot;}],&quot;container-title&quot;:&quot;Science China Life Sciences&quot;,&quot;DOI&quot;:&quot;10.1007/s11427-011-4186-6&quot;,&quot;ISSN&quot;:&quot;16747305&quot;,&quot;PMID&quot;:&quot;21748587&quot;,&quot;issued&quot;:{&quot;date-parts&quot;:[[2011,7]]},&quot;page&quot;:&quot;642-650&quot;,&quot;abstract&quot;:&quot;Root growth has a fundamental role in nitrogen (N) use efficiency. Nevertheless, little is known about how modern breeding progress has affected root growth and its responses to N supply. The root and shoot growth of a core set of 11 representative Chinese maize (Zea mays L.) hybrids released between 1973 and 2009 were investigated under high N (4 mmol L -1, HN) and low N (0. 04 mmol L -1, LN) levels in a solution culture system. Compared with LN, HN treatment decreased root dry weight (RDW), the root: shoot ratio (R/S), and the relative growth rate for root dry weight (RGR root), but increased the total root length (TRL) and the total lateral root length (LRL). The total axial root length (ARL) per plant was reduced under HN, mostly in hybrids released before the 1990s. The number of seminal roots (SRN) was largely unaffected by different N levels. More recently released hybrids showed higher relative growth rates in the shoot under both HN and LN. However, the roots only showed increased RGR under HN treatment. Correspondingly, there was a positive linear relationship with the year of hybrid release for TRL, LRL and ARL under HN treatment. Together, these results suggest that while shoot growth of maize has improved, its root growth has only improved under high N conditions over the last 36 years of selective breeding in China. Improving root growth under LN conditions may be necessary to increase the N use efficiency of maize. © 2011 Science China Press and Springer-Verlag Berlin Heidelberg.&quot;,&quot;issue&quot;:&quot;7&quot;,&quot;volume&quot;:&quot;54&quot;},&quot;isTemporary&quot;:false}],&quot;properties&quot;:{&quot;noteIndex&quot;:0},&quot;isEdited&quot;:false,&quot;manualOverride&quot;:{&quot;isManuallyOverriden&quot;:false,&quot;citeprocText&quot;:&quot;(Q. P. Wu et al., 2011)&quot;,&quot;manualOverrideText&quot;:&quot;(Wu et al., 2011)&quot;,&quot;isManuallyOverridden&quot;:true},&quot;citationTag&quot;:&quot;MENDELEY_CITATION_v3_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&quot;},{&quot;citationID&quot;:&quot;MENDELEY_CITATION_f7f16975-ac40-4c1b-9c21-6922e3b3b24f&quot;,&quot;citationItems&quot;:[{&quot;id&quot;:&quot;d9e40617-8e25-3da7-95d6-b9b8bddbe1cd&quot;,&quot;itemData&quot;:{&quot;type&quot;:&quot;article-journal&quot;,&quot;id&quot;:&quot;d9e40617-8e25-3da7-95d6-b9b8bddbe1cd&quot;,&quot;title&quot;:&quot;Possible involvement of cytokinin in nitrate-mediated root growth in maize&quot;,&quot;author&quot;:[{&quot;family&quot;:&quot;Tian&quot;,&quot;given&quot;:&quot;Qiuying&quot;,&quot;parse-names&quot;:false,&quot;dropping-particle&quot;:&quot;&quot;,&quot;non-dropping-particle&quot;:&quot;&quot;},{&quot;family&quot;:&quot;Chen&quot;,&quot;given&quot;:&quot;Fanjun&quot;,&quot;parse-names&quot;:false,&quot;dropping-particle&quot;:&quot;&quot;,&quot;non-dropping-particle&quot;:&quot;&quot;},{&quot;family&quot;:&quot;Zhang&quot;,&quot;given&quot;:&quot;Fusuo&quot;,&quot;parse-names&quot;:false,&quot;dropping-particle&quot;:&quot;&quot;,&quot;non-dropping-particle&quot;:&quot;&quot;},{&quot;family&quot;:&quot;Mi&quot;,&quot;given&quot;:&quot;Guohua&quot;,&quot;parse-names&quot;:false,&quot;dropping-particle&quot;:&quot;&quot;,&quot;non-dropping-particle&quot;:&quot;&quot;}],&quot;container-title&quot;:&quot;Plant and Soil&quot;,&quot;DOI&quot;:&quot;10.1007/s11104-005-6837-5&quot;,&quot;ISSN&quot;:&quot;0032079X&quot;,&quot;issued&quot;:{&quot;date-parts&quot;:[[2005,12]]},&quot;page&quot;:&quot;185-196&quot;,&quot;abstract&quot;:&quot;Response of root system architecture to nutrient availability in soils is an essential way for plants to adapt to soil environments. Nitrate can affect root development either as a result of changes in the external concentration, or through changes in the internal nutrient status of the plant. Nevertheless, less is known about the physiological mechanisms. In the present study, two maize (Zea mays L.) inbred lines (478 and Wu312) were used to study a possible role of cytokinin in nitrate-mediated root growth in nutrient solutions. Root elongation of 478 was more sensitive to high nitrate supply than that of Wu312. Medium high nitrate (5 mM) inhibited root elongation in 478, while, root elongation in Wu312 was only inhibited at high NO 3- supply (20 mM). Under high nitrate supply, the root elongation zone in 478 became swollen and the site of lateral root elongation was close towards the root tip. Both of the phenomena are typical of root growth induced by exogenous cytokinin treatments. Correspondingly, zeatin and zeatin nucleotide (Z + ZR) concentrations were increased at higher nitrate supply in 478, whereas they were constant in Wu312. Furthermore, exogenous cytokinin 6-benzylaminopurine (6-BA) completely reversed the stimulatory effect of low nitrate on root elongation. Therefore, it is supposed that the inhibitory effect of high concentration of nitrate on root elongation is, at least in part, mediated by increased cytokinin level in roots. High nitrate supply may have negative influences on root apex activity by affecting cytokinin metabolism so that root apical dominance is weakened and, therefore, root elongation is suppressed and lateral roots grow closer to the root apex. Nitrate suppressed lateral root elongation in Wu312 at concentration higher than 5 mM. In 478, however, this phenomenon was not significant even at 20 mM nitrate. Although exogenous 6-BA (20 nM) could suppress lateral root elongation as well, the inhibitory effect of high NO 3- concentration of nitrate on lateral root growth cannot be explained by changes in endogenous cytokinin alone. © Springer 2005.&quot;,&quot;issue&quot;:&quot;1-2&quot;,&quot;volume&quot;:&quot;277&quot;},&quot;isTemporary&quot;:false},{&quot;id&quot;:&quot;9f3e4c14-7339-3f54-b4dd-bba0ac645986&quot;,&quot;itemData&quot;:{&quot;type&quot;:&quot;article-journal&quot;,&quot;id&quot;:&quot;9f3e4c14-7339-3f54-b4dd-bba0ac645986&quot;,&quot;title&quot;:&quot;Inhibition of maize root growth by high nitrate supply is correlated with reduced IAA levels in roots&quot;,&quot;author&quot;:[{&quot;family&quot;:&quot;Tian&quot;,&quot;given&quot;:&quot;Qiuying&quot;,&quot;parse-names&quot;:false,&quot;dropping-particle&quot;:&quot;&quot;,&quot;non-dropping-particle&quot;:&quot;&quot;},{&quot;family&quot;:&quot;Chen&quot;,&quot;given&quot;:&quot;Fanjun&quot;,&quot;parse-names&quot;:false,&quot;dropping-particle&quot;:&quot;&quot;,&quot;non-dropping-particle&quot;:&quot;&quot;},{&quot;family&quot;:&quot;Liu&quot;,&quot;given&quot;:&quot;Jinxin&quot;,&quot;parse-names&quot;:false,&quot;dropping-particle&quot;:&quot;&quot;,&quot;non-dropping-particle&quot;:&quot;&quot;},{&quot;family&quot;:&quot;Zhang&quot;,&quot;given&quot;:&quot;Fusuo&quot;,&quot;parse-names&quot;:false,&quot;dropping-particle&quot;:&quot;&quot;,&quot;non-dropping-particle&quot;:&quot;&quot;},{&quot;family&quot;:&quot;Mi&quot;,&quot;given&quot;:&quot;Guohua&quot;,&quot;parse-names&quot;:false,&quot;dropping-particle&quot;:&quot;&quot;,&quot;non-dropping-particle&quot;:&quot;&quot;}],&quot;container-title&quot;:&quot;Journal of Plant Physiology&quot;,&quot;accessed&quot;:{&quot;date-parts&quot;:[[2021,3,26]]},&quot;DOI&quot;:&quot;10.1016/j.jplph.2007.02.011&quot;,&quot;ISSN&quot;:&quot;01761617&quot;,&quot;PMID&quot;:&quot;17928098&quot;,&quot;URL&quot;:&quot;https://pubmed.ncbi.nlm.nih.gov/17928098/&quot;,&quot;issued&quot;:{&quot;date-parts&quot;:[[2008,6,16]]},&quot;page&quot;:&quot;942-951&quot;,&quot;abstract&quot;:&quot;The plant root system is highly sensitive to nutrient availability and distribution in the soil. For instance, root elongation is inhibited when grown in high nitrate concentrations. To decipher the mechanism underlying the nitrate-induced inhibition of root elongation, the involvement of the plant hormone auxin in nitrate-dependent root elongation of maize was investigated. Root growth, nitrogen and nitrate concentrations, and indole-3-acetic acid (IAA) concentrations in roots and in phloem exudates of maize grown under varying nitrate concentrations were analyzed. Total N and nitrate concentrations in shoots and roots increased and elongation of primary, seminal and crown roots were inhibited with increasing external nitrate from 0.05 to 5 mM. High nitrate-inhibited root growth resulted primarily from the reduced cell elongation and not from changes in meristem length. IAA concentrations in phloem exudates reduced with higher nitrate supply. Inhibition of root growth by high nitrate was closely related to the reduction of IAA levels in roots, especially in the sections close to root tips. Exogenous NAA and IAA restored primary root growth in high nitrate concentrations. It is concluded that the inhibitory effect of high nitrate concentrations on root growth may be partly attributed to the decrease in auxin concentrations of roots. © 2007 Elsevier GmbH. All rights reserved.&quot;,&quot;publisher&quot;:&quot;Elsevier GmbH&quot;,&quot;issue&quot;:&quot;9&quot;,&quot;volume&quot;:&quot;165&quot;},&quot;isTemporary&quot;:false}],&quot;properties&quot;:{&quot;noteIndex&quot;:0},&quot;isEdited&quot;:false,&quot;manualOverride&quot;:{&quot;isManuallyOverriden&quot;:false,&quot;citeprocText&quot;:&quot;(Tian et al., 2005, 2008)&quot;,&quot;manualOverrideText&quot;:&quot;&quot;},&quot;citationTag&quot;:&quot;MENDELEY_CITATION_v3_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&quot;},{&quot;citationID&quot;:&quot;MENDELEY_CITATION_8b937e38-88a5-4972-a4a3-7883b11242c0&quot;,&quot;citationItems&quot;:[{&quot;id&quot;:&quot;bb0933e8-3c92-3c93-bf67-8683036406a0&quot;,&quot;itemData&quot;:{&quot;type&quot;:&quot;article-journal&quot;,&quot;id&quot;:&quot;bb0933e8-3c92-3c93-bf67-8683036406a0&quot;,&quot;title&quot;:&quot;Differences among maize cultivars in the utilization of soil nitrate and the related losses of nitrate through leaching&quot;,&quot;author&quot;:[{&quot;family&quot;:&quot;Wiesler&quot;,&quot;given&quot;:&quot;F.&quot;,&quot;parse-names&quot;:false,&quot;dropping-particle&quot;:&quot;&quot;,&quot;non-dropping-particle&quot;:&quot;&quot;},{&quot;family&quot;:&quot;Horst&quot;,&quot;given&quot;:&quot;W. J.&quot;,&quot;parse-names&quot;:false,&quot;dropping-particle&quot;:&quot;&quot;,&quot;non-dropping-particle&quot;:&quot;&quot;}],&quot;container-title&quot;:&quot;Plant and Soil&quot;,&quot;accessed&quot;:{&quot;date-parts&quot;:[[2021,3,26]]},&quot;DOI&quot;:&quot;10.1007/BF00016284&quot;,&quot;ISSN&quot;:&quot;0032079X&quot;,&quot;URL&quot;:&quot;https://link.springer.com/article/10.1007/BF00016284&quot;,&quot;issued&quot;:{&quot;date-parts&quot;:[[1993,4]]},&quot;page&quot;:&quot;193-203&quot;,&quot;abstract&quot;:&quot;In a 2-year field experiment conducted on a Gleyic Luvisol in Stuttgart-Hohenheim one experimental and nine commercial maize cultivars were compared for their ability to utilize soil nitrate and to reduce related losses of nitrate through leaching. Soil nitrate was monitored periodically in CaCl2 extracts and in suction cup water. Nitrate concentrations in suction water were generally higher than in CaCl2 extracts. Both methods revealed that all cultivars examined were able to extract nitrate down to a soil depth of at least 120 cm (1988 season) or 150 cm (1987 season). Significant differences among the cultivars existed in nitrate depletion particularly in the subsoil. At harvest, residual nitrate in the upper 150 cm of the profile ranged from 73-110 kg N ha-1 in 1987 and from 59-119 kg N ha-1 in 1988. Residual nitrate was closely correlated with nitrate losses by leaching because water infiltration at 120 cm soil depth started 4 weeks after harvest (1987) or immediately after harvest (1988) and continued until early summer of the following year. The calculated amount of nitrate lost by leaching was strongly influenced by the method of calculation. During the winter of 1987/88 nitrate leaching ranged from 57-84 kg N ha-1 (suction cups) and 40-55 kg N ha-1 (CaCl2 extracts), respectively. The corresponding values for the winter of 1988/89 were 47-79 and 20-39 kg N ha-1, respectively. ei]Section editor: B E Clothier © 1993 Kluwer Academic Publishers.&quot;,&quot;publisher&quot;:&quot;Kluwer Academic Publishers&quot;,&quot;issue&quot;:&quot;2&quot;,&quot;volume&quot;:&quot;151&quot;},&quot;isTemporary&quot;:false},{&quot;id&quot;:&quot;a62a6b23-7772-3250-b7bf-a1c73a43dbea&quot;,&quot;itemData&quot;:{&quot;type&quot;:&quot;article-journal&quot;,&quot;id&quot;:&quot;a62a6b23-7772-3250-b7bf-a1c73a43dbea&quot;,&quot;title&quot;:&quot;Ideotype root architecture for efficient nitrogen acquisition by maize in intensive cropping systems&quot;,&quot;author&quot;:[{&quot;family&quot;:&quot;Mi&quot;,&quot;given&quot;:&quot;Guo Hua&quot;,&quot;parse-names&quot;:false,&quot;dropping-particle&quot;:&quot;&quot;,&quot;non-dropping-particle&quot;:&quot;&quot;},{&quot;family&quot;:&quot;Chen&quot;,&quot;given&quot;:&quot;Fan Jun&quot;,&quot;parse-names&quot;:false,&quot;dropping-particle&quot;:&quot;&quot;,&quot;non-dropping-particle&quot;:&quot;&quot;},{&quot;family&quot;:&quot;Wu&quot;,&quot;given&quot;:&quot;Qiu Ping&quot;,&quot;parse-names&quot;:false,&quot;dropping-particle&quot;:&quot;&quot;,&quot;non-dropping-particle&quot;:&quot;&quot;},{&quot;family&quot;:&quot;Lai&quot;,&quot;given&quot;:&quot;Ning Wei&quot;,&quot;parse-names&quot;:false,&quot;dropping-particle&quot;:&quot;&quot;,&quot;non-dropping-particle&quot;:&quot;&quot;},{&quot;family&quot;:&quot;Yuan&quot;,&quot;given&quot;:&quot;Li Xing&quot;,&quot;parse-names&quot;:false,&quot;dropping-particle&quot;:&quot;&quot;,&quot;non-dropping-particle&quot;:&quot;&quot;},{&quot;family&quot;:&quot;Zhang&quot;,&quot;given&quot;:&quot;Fu Suo&quot;,&quot;parse-names&quot;:false,&quot;dropping-particle&quot;:&quot;&quot;,&quot;non-dropping-particle&quot;:&quot;&quot;}],&quot;container-title&quot;:&quot;Science China Life Sciences&quot;,&quot;accessed&quot;:{&quot;date-parts&quot;:[[2021,3,18]]},&quot;DOI&quot;:&quot;10.1007/s11427-010-4097-y&quot;,&quot;ISSN&quot;:&quot;16747305&quot;,&quot;PMID&quot;:&quot;21181338&quot;,&quot;URL&quot;:&quot;https://pubmed.ncbi.nlm.nih.gov/21181338/&quot;,&quot;issued&quot;:{&quot;date-parts&quot;:[[2010]]},&quot;page&quot;:&quot;1369-1373&quot;,&quot;abstract&quot;:&quot;The use of nitrogen (N) fertilizers has contributed to the production of a food supply sufficient for both animals and humans despite some negative environmental impact. Sustaining food production by increasing N use efficiency in intensive cropping systems has become a major concern for scientists, environmental groups, and agricultural policymakers worldwide. In high-yielding maize systems the major method of N loss is nitrate leaching. In this review paper, the characteristic of nitrate movement in the soil, N uptake by maize as well as the regulation of root growth by soil N availability are discussed. We suggest that an ideotype root architecture for efficient N acquisition in maize should include (i) deeper roots with high activity that are able to uptake nitrate before it moves downward into deep soil; (ii) vigorous lateral root growth under high N input conditions so as to increase spatial N availability in the soil; and (iii) strong response of lateral root growth to localized nitrogen supply so as to utilize unevenly distributed nitrate especially under limited N conditions. © 2010 Science China Press and Springer-Verlag Berlin Heidelberg.&quot;,&quot;publisher&quot;:&quot;Sci China Life Sci&quot;,&quot;issue&quot;:&quot;12&quot;,&quot;volume&quot;:&quot;53&quot;},&quot;isTemporary&quot;:false}],&quot;properties&quot;:{&quot;noteIndex&quot;:0},&quot;isEdited&quot;:false,&quot;manualOverride&quot;:{&quot;isManuallyOverriden&quot;:false,&quot;citeprocText&quot;:&quot;(Mi et al., 2010; Wiesler &amp;#38; Horst, 1993)&quot;,&quot;manualOverrideText&quot;:&quot;&quot;},&quot;citationTag&quot;:&quot;MENDELEY_CITATION_v3_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&quot;},{&quot;citationID&quot;:&quot;MENDELEY_CITATION_d77cc88f-116a-4aee-abb0-e076300a0063&quot;,&quot;citationItems&quot;:[{&quot;id&quot;:&quot;99761f88-0dd1-3b7d-99d7-a5a74677415b&quot;,&quot;itemData&quot;:{&quot;type&quot;:&quot;article-journal&quot;,&quot;id&quot;:&quot;99761f88-0dd1-3b7d-99d7-a5a74677415b&quot;,&quot;title&quot;:&quot;Nitrogen Type and Availability Drive Mycorrhizal Effects on Wheat Performance, Nitrogen Uptake and Recovery, and Production Sustainability&quot;,&quot;author&quot;:[{&quot;family&quot;:&quot;Ingraffia&quot;,&quot;given&quot;:&quot;Rosolino&quot;,&quot;parse-names&quot;:false,&quot;dropping-particle&quot;:&quot;&quot;,&quot;non-dropping-particle&quot;:&quot;&quot;},{&quot;family&quot;:&quot;Amato&quot;,&quot;given&quot;:&quot;Gaetano&quot;,&quot;parse-names&quot;:false,&quot;dropping-particle&quot;:&quot;&quot;,&quot;non-dropping-particle&quot;:&quot;&quot;},{&quot;family&quot;:&quot;Sosa-Hernández&quot;,&quot;given&quot;:&quot;Moisés A.&quot;,&quot;parse-names&quot;:false,&quot;dropping-particle&quot;:&quot;&quot;,&quot;non-dropping-particle&quot;:&quot;&quot;},{&quot;family&quot;:&quot;Frenda&quot;,&quot;given&quot;:&quot;Alfonso S.&quot;,&quot;parse-names&quot;:false,&quot;dropping-particle&quot;:&quot;&quot;,&quot;non-dropping-particle&quot;:&quot;&quot;},{&quot;family&quot;:&quot;Rillig&quot;,&quot;given&quot;:&quot;Matthias C.&quot;,&quot;parse-names&quot;:false,&quot;dropping-particle&quot;:&quot;&quot;,&quot;non-dropping-particle&quot;:&quot;&quot;},{&quot;family&quot;:&quot;Giambalvo&quot;,&quot;given&quot;:&quot;Dario&quot;,&quot;parse-names&quot;:false,&quot;dropping-particle&quot;:&quot;&quot;,&quot;non-dropping-particle&quot;:&quot;&quot;}],&quot;container-title&quot;:&quot;Frontiers in Plant Science&quot;,&quot;DOI&quot;:&quot;10.3389/fpls.2020.00760&quot;,&quot;ISSN&quot;:&quot;1664462X&quot;,&quot;issued&quot;:{&quot;date-parts&quot;:[[2020,6,19]]},&quot;abstract&quot;:&quot;Plant performance is strongly dependent on nitrogen (N), and thus increasing N nutrition is of great relevance for the productivity of agroecosystems. The effects of arbuscular mycorrhizal (AM) fungi on plant N acquisition are debated because contradictory results have been reported. Using 15N-labeled fertilizers as a tracer, we evaluated the effects of AM fungi on N uptake and recovery from mineral or organic sources in durum wheat. Under sufficient N availability, AM fungi had no effects on plant biomass but increased N concentrations in plant tissue, plant N uptake, and total N recovered from the fertilizer. In N-deficient soil, AM fungi led to decreased aboveground biomass, which suggests that plants and AM fungi may have competed for N. When the organic source had a low C:N ratio, AM fungi favored both plant N uptake and N recovery. In contrast, when the organic source had a high C:N ratio, a clear reduction in N recovery from the fertilizer was observed. Overall, the results indicate an active role of arbuscular mycorrhizae in favoring plant N-related traits when N is not a limiting factor and show that these fungi help in N recovery from the fertilizer. These results hold great potential for increasing the sustainability of durum wheat production.&quot;,&quot;publisher&quot;:&quot;Frontiers Media S.A.&quot;,&quot;volume&quot;:&quot;11&quot;},&quot;isTemporary&quot;:false}],&quot;properties&quot;:{&quot;noteIndex&quot;:0},&quot;isEdited&quot;:false,&quot;manualOverride&quot;:{&quot;isManuallyOverriden&quot;:false,&quot;citeprocText&quot;:&quot;(Ingraffia et al., 2020)&quot;,&quot;manualOverrideText&quot;:&quot;(Ingraffia et al., 2020).&quot;,&quot;isManuallyOverridden&quot;:true},&quot;citationTag&quot;:&quot;MENDELEY_CITATION_v3_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&quot;},{&quot;citationID&quot;:&quot;MENDELEY_CITATION_79db8bc8-16df-4d04-8e16-02ff827da76e&quot;,&quot;citationItems&quot;:[{&quot;id&quot;:&quot;405778b0-73f6-39c8-b6b8-b405bd79445e&quot;,&quot;itemData&quot;:{&quot;type&quot;:&quot;report&quot;,&quot;id&quot;:&quot;405778b0-73f6-39c8-b6b8-b405bd79445e&quot;,&quot;title&quot;:&quot;Host Genotype Determines the Impact of Soil Phosphorus on Arbuscular Mycorrhizal Symbiosis in Maize (Zea mays L.) 1 2 1 *&quot;,&quot;author&quot;:[{&quot;family&quot;:&quot;Singh&quot;,&quot;given&quot;:&quot;C&quot;,&quot;parse-names&quot;:false,&quot;dropping-particle&quot;:&quot;&quot;,&quot;non-dropping-particle&quot;:&quot;&quot;},{&quot;family&quot;:&quot;Sharma&quot;,&quot;given&quot;:&quot;A K&quot;,&quot;parse-names&quot;:false,&quot;dropping-particle&quot;:&quot;&quot;,&quot;non-dropping-particle&quot;:&quot;&quot;},{&quot;family&quot;:&quot;Johri&quot;,&quot;given&quot;:&quot;B N&quot;,&quot;parse-names&quot;:false,&quot;dropping-particle&quot;:&quot;&quot;,&quot;non-dropping-particle&quot;:&quot;&quot;}],&quot;container-title&quot;:&quot;Symbiosis&quot;,&quot;issued&quot;:{&quot;date-parts&quot;:[[2002]]},&quot;number-of-pages&quot;:&quot;145&quot;,&quot;abstract&quot;:&quot;Growth responses of maize genotypes, i.e., VL90 and VL16 of low and VL89 and HIM129 of relatively high P requirements, to inoculation with a native consortium of arbuscular mycorrhizal (AM) fungi was studied in a sandy loam soil fertilized with single super phosphate (SSP) to provide O (Po), 60 (P1), 90 (P2) and 120 (P3) mg P kg-1 soil. AM colonization increased vegetative plant growth significantly after 45 d at Po and P1 levels for genotype VL90 and VL16, at P2 and P3 levels for VL89 and Po, P1, and P2 levels in HIM129. Except for VL89, a growth depression in roots and shoots of AM plants was observed at either P2 or P3 levels. This was most pronounced in VL90 and VL16. In contrast, in non-mycorrhizal plants no growth depression was observed; genotype VL90 at P3 was an exception. Root and shoot P, and shoot Zn concentrations were significantly higher in AM compared with non-mycorrhizal plants, at various P levels. However, the pattern of phosphorus and zinc uptake in mycorrhizal and non-mycorrhizal shoots was genotype specific. Alkaline phosphatase (ALPase) activity of mycorrhizal 'and non-mycorrhizal roots was variable with respect to genotype and soil P level. In mycorrhizal roots ALPase activity was significantly higher at Po and P1 levels in VL90, Po, P1, P2 level in VL16, P2 and P3 levels in VL89 and at all P levels in genotype HIM129. \&quot;The author to whom correspondence should be sent. 0334-5114/2002/$05.50 ©2002 Balaban 146. C. SINGH ET AL. Small additions. of P to soil supported AM colonization, while high levels decreased it; all such responses were genotype dependent. Maximum AM colonization in genotype VL90 was observed at Po level, while in genotype VL89, AM colonization increased with phosphorous availability with maximum at P3 level. This study shows that the impact of soil P on AM symbiosis is governed by the host at the genus as well as the genotype level.&quot;,&quot;volume&quot;:&quot;33&quot;},&quot;isTemporary&quot;:false}],&quot;properties&quot;:{&quot;noteIndex&quot;:0},&quot;isEdited&quot;:false,&quot;manualOverride&quot;:{&quot;isManuallyOverriden&quot;:false,&quot;citeprocText&quot;:&quot;(C. Singh et al., 2002)&quot;,&quot;manualOverrideText&quot;:&quot;(Singh et al., 2002)&quot;,&quot;isManuallyOverridden&quot;:true},&quot;citationTag&quot;:&quot;MENDELEY_CITATION_v3_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&quot;},{&quot;citationID&quot;:&quot;MENDELEY_CITATION_9d1ce232-359a-4ff0-9017-ecebe311cd0b&quot;,&quot;citationItems&quot;:[{&quot;id&quot;:&quot;64d6328b-1e2a-3032-85aa-525bcc88037d&quot;,&quot;itemData&quot;:{&quot;type&quot;:&quot;article&quot;,&quot;id&quot;:&quot;64d6328b-1e2a-3032-85aa-525bcc88037d&quot;,&quot;title&quot;:&quot;The extent of mycorrhizal colonization of roots and its influence on plant growth and phosphorus content&quot;,&quot;author&quot;:[{&quot;family&quot;:&quot;Treseder&quot;,&quot;given&quot;:&quot;Kathleen K.&quot;,&quot;parse-names&quot;:false,&quot;dropping-particle&quot;:&quot;&quot;,&quot;non-dropping-particle&quot;:&quot;&quot;}],&quot;container-title&quot;:&quot;Plant and Soil&quot;,&quot;DOI&quot;:&quot;10.1007/s11104-013-1681-5&quot;,&quot;ISSN&quot;:&quot;0032079X&quot;,&quot;issued&quot;:{&quot;date-parts&quot;:[[2013,10]]},&quot;page&quot;:&quot;1-13&quot;,&quot;abstract&quot;:&quot;Aims: The most common metric of arbuscular mycorrhizal fungal (AMF) abundance is percent root length colonized (PRLC) by mycorrhizal structures. Frequently, plants with greater PRLC are assumed to receive more nutrients (such as phosphorus, P) from their mycorrhizal symbionts, leading to greater plant growth. Nevertheless, the functional significance of this metric remains controversial. In this review, I discuss whether manipulations of PRLC generally led to changes in plant biomass and P content, and whether AMF taxa and plant functional groups influence these relationships. Methods: I conducted a meta-analysis of laboratory- and field-based trials in which mycorrhizal colonization was directly altered compared to unmanipulated controls. For each trial, I calculated (1) the difference in PRLC (ΔPRLC) between the treatments, and (2) the response ratio of plant biomass. In a subset of these studies, the response ratio of P content of host plants could also be calculated. Results: The response ratio of plant biomass and P content rose significantly and exponentially as ΔPRLC increased. Nevertheless, ΔPRLC explained only a fraction of the variation in response ratios in each case. Moreover, AMF taxa varied in their effects on biomass per unit ΔPRLC. In addition, plant functional groups differed in effects on plant P content per unit ΔPRLC, with C4 grasses responding most strongly. Conclusions: It appears that as the extent to which plant roots are colonized by AMF increases, plant growth and P content often increase, although substantial variability exists among trials. As others have found, a likely mechanism for this relationship is increased transfer of P (and perhaps other nutrients) through the more-prevalent mycorrhizal structures. © 2013 Springer Science+Business Media Dordrecht.&quot;,&quot;issue&quot;:&quot;1-2&quot;,&quot;volume&quot;:&quot;371&quot;},&quot;isTemporary&quot;:false}],&quot;properties&quot;:{&quot;noteIndex&quot;:0},&quot;isEdited&quot;:false,&quot;manualOverride&quot;:{&quot;isManuallyOverridden&quot;:false,&quot;citeprocText&quot;:&quot;(Treseder, 2013b)&quot;,&quot;manualOverrideText&quot;:&quot;&quot;},&quot;citationTag&quot;:&quot;MENDELEY_CITATION_v3_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&quot;},{&quot;citationID&quot;:&quot;MENDELEY_CITATION_2b26dee1-d4c0-4ae5-adc3-529516520fc3&quot;,&quot;citationItems&quot;:[{&quot;id&quot;:&quot;62edb4ea-9669-347b-9680-4af20a66a2dd&quot;,&quot;itemData&quot;:{&quot;type&quot;:&quot;article-journal&quot;,&quot;id&quot;:&quot;62edb4ea-9669-347b-9680-4af20a66a2dd&quot;,&quot;title&quot;:&quot;Phosphorus effects on the mycelium and storage structures of an arbuscular mycorrhizal fungus as studied in the soil and roots by analysis of Fatty Acid signatures.&quot;,&quot;author&quot;:[{&quot;family&quot;:&quot;Olsson&quot;,&quot;given&quot;:&quot;P A&quot;,&quot;parse-names&quot;:false,&quot;dropping-particle&quot;:&quot;&quot;,&quot;non-dropping-particle&quot;:&quot;&quot;},{&quot;family&quot;:&quot;Baath&quot;,&quot;given&quot;:&quot;E&quot;,&quot;parse-names&quot;:false,&quot;dropping-particle&quot;:&quot;&quot;,&quot;non-dropping-particle&quot;:&quot;&quot;},{&quot;family&quot;:&quot;Jakobsen&quot;,&quot;given&quot;:&quot;I&quot;,&quot;parse-names&quot;:false,&quot;dropping-particle&quot;:&quot;&quot;,&quot;non-dropping-particle&quot;:&quot;&quot;}],&quot;container-title&quot;:&quot;Applied and Environmental Microbiology&quot;,&quot;accessed&quot;:{&quot;date-parts&quot;:[[2021,3,25]]},&quot;issued&quot;:{&quot;date-parts&quot;:[[1997]]},&quot;issue&quot;:&quot;9&quot;,&quot;volume&quot;:&quot;63&quot;},&quot;isTemporary&quot;:false}],&quot;properties&quot;:{&quot;noteIndex&quot;:0},&quot;isEdited&quot;:false,&quot;manualOverride&quot;:{&quot;isManuallyOverriden&quot;:false,&quot;citeprocText&quot;:&quot;(Olsson et al., 1997)&quot;,&quot;manualOverrideText&quot;:&quot;(Olsson et al., 1997).&quot;,&quot;isManuallyOverridden&quot;:true},&quot;citationTag&quot;:&quot;MENDELEY_CITATION_v3_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&quot;},{&quot;citationID&quot;:&quot;MENDELEY_CITATION_97e7aba8-6be4-4d91-9d8a-70f8dd828e0e&quot;,&quot;citationItems&quot;:[{&quot;id&quot;:&quot;79d23dce-7466-3b33-b866-efda90b0e661&quot;,&quot;itemData&quot;:{&quot;type&quot;:&quot;article-journal&quot;,&quot;id&quot;:&quot;79d23dce-7466-3b33-b866-efda90b0e661&quot;,&quot;title&quot;:&quot;Membrane-Mediated Decrease in Root Exudation Responsible for Phorphorus Inhibition of Vesicular-Arbuscular Mycorrhiza Formation&quot;,&quot;author&quot;:[{&quot;family&quot;:&quot;Graham&quot;,&quot;given&quot;:&quot;James H.&quot;,&quot;parse-names&quot;:false,&quot;dropping-particle&quot;:&quot;&quot;,&quot;non-dropping-particle&quot;:&quot;&quot;},{&quot;family&quot;:&quot;Leonard&quot;,&quot;given&quot;:&quot;Robert T.&quot;,&quot;parse-names&quot;:false,&quot;dropping-particle&quot;:&quot;&quot;,&quot;non-dropping-particle&quot;:&quot;&quot;},{&quot;family&quot;:&quot;Menge&quot;,&quot;given&quot;:&quot;John A.&quot;,&quot;parse-names&quot;:false,&quot;dropping-particle&quot;:&quot;&quot;,&quot;non-dropping-particle&quot;:&quot;&quot;}],&quot;container-title&quot;:&quot;Plant Physiology&quot;,&quot;accessed&quot;:{&quot;date-parts&quot;:[[2021,3,21]]},&quot;DOI&quot;:&quot;10.1104/pp.68.3.548&quot;,&quot;ISSN&quot;:&quot;0032-0889&quot;,&quot;URL&quot;:&quot;/pmc/articles/PMC425937/?report=abstract&quot;,&quot;issued&quot;:{&quot;date-parts&quot;:[[1981,9,1]]},&quot;page&quot;:&quot;548-552&quot;,&quot;abstract&quot;:&quot;The mechanism responsible for phosphorus inhibition of vesicular-arbuscular mycorrhiza formation in sudangrass (Sorghum vulgare Pers.) was investigated in a phosphorus-deficient sandy soil (0.5 micrograms phosphorus per gram soil) amended with increasing levels of phosphorus as superphosphate (0, 28, 56, 228 micrograms per gram soil). The root phosphorus content of 4-week-old plants was correlated with the amount of phosphorus added to the soil. Root exudation of amino acids and reducing sugars was greater for plants grown in phosphorus-deficient soil than for those grown in the phosphorus-treated soils. The increase in exudation corresponded with changes in membrane permeability of phosphorus-deficient roots, as measured by K(+) ((86)Rb) efflux, rather than with changes in root content of reducing sugars and amino acids. The roots of phosphorus-deficient plants inoculated at 4 weeks with Glomus fasciculatus were 88% infected after 9 weeks as compared to less than 25% infection in phosphorus-sufficient roots; these differences were correlated with root exudation at the time of inoculation. For plants grown in phosphorus-deficient soil, infection by vesicular-arbuscular mycorrhizae increased root phosphorus which resulted in a decrease in root membrane permeability and exudation compared to nonmycorrhizal plants. It is proposed that, under low phosphorus nutrition, increased root membrane permeability leads to net loss of metabolites at sufficient levels to sustain the germination and growth of the mycorrhizal fungus during pre- and postinfection. Subsequently, mycorrhizal infection leads to improvement of root phosphorus nutrition and a reduction in membrane-mediated loss of root metabolites.&quot;,&quot;publisher&quot;:&quot;Oxford University Press (OUP)&quot;,&quot;issue&quot;:&quot;3&quot;,&quot;volume&quot;:&quot;68&quot;},&quot;isTemporary&quot;:false}],&quot;properties&quot;:{&quot;noteIndex&quot;:0},&quot;isEdited&quot;:false,&quot;manualOverride&quot;:{&quot;isManuallyOverriden&quot;:false,&quot;citeprocText&quot;:&quot;(Graham et al., 1981)&quot;,&quot;manualOverrideText&quot;:&quot;&quot;},&quot;citationTag&quot;:&quot;MENDELEY_CITATION_v3_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&quot;},{&quot;citationID&quot;:&quot;MENDELEY_CITATION_088cf3cb-f9de-42e6-8cd4-e0bc1fc59a2b&quot;,&quot;citationItems&quot;:[{&quot;id&quot;:&quot;a9c7d94d-143b-3ec0-8e73-1b40830d8184&quot;,&quot;itemData&quot;:{&quot;type&quot;:&quot;report&quot;,&quot;id&quot;:&quot;a9c7d94d-143b-3ec0-8e73-1b40830d8184&quot;,&quot;title&quot;:&quot;PHOSPHORUS CONCENTRATIONS IN PLANTS RESPONSIBLE FOR INHIBITION OF MYCORRHIZAL INFECTION&quot;,&quot;author&quot;:[{&quot;family&quot;:&quot;Menge&quot;,&quot;given&quot;:&quot;J A&quot;,&quot;parse-names&quot;:false,&quot;dropping-particle&quot;:&quot;&quot;,&quot;non-dropping-particle&quot;:&quot;&quot;},{&quot;family&quot;:&quot;Steirle&quot;,&quot;given&quot;:&quot;D&quot;,&quot;parse-names&quot;:false,&quot;dropping-particle&quot;:&quot;&quot;,&quot;non-dropping-particle&quot;:&quot;&quot;},{&quot;family&quot;:&quot;Bagyaraj&quot;,&quot;given&quot;:&quot;D J&quot;,&quot;parse-names&quot;:false,&quot;dropping-particle&quot;:&quot;&quot;,&quot;non-dropping-particle&quot;:&quot;&quot;},{&quot;family&quot;:&quot;Johnson&quot;,&quot;given&quot;:&quot;E L&quot;,&quot;parse-names&quot;:false,&quot;dropping-particle&quot;:&quot;v&quot;,&quot;non-dropping-particle&quot;:&quot;&quot;},{&quot;family&quot;:&quot;Leonard&quot;,&quot;given&quot;:&quot;R T&quot;,&quot;parse-names&quot;:false,&quot;dropping-particle&quot;:&quot;&quot;,&quot;non-dropping-particle&quot;:&quot;&quot;}],&quot;container-title&quot;:&quot;New Phytol&quot;,&quot;accessed&quot;:{&quot;date-parts&quot;:[[2021,3,21]]},&quot;issued&quot;:{&quot;date-parts&quot;:[[1978]]},&quot;number-of-pages&quot;:&quot;575-578&quot;,&quot;abstract&quot;:&quot;Using a 'split root' technique, it was found that phosphorus fertilization of half of the root system of sudangrass could significantly reduce the number of chlamydospores of the mycorrhizal fungus Glomus fasciculatus in the unfertilized half of the root system. In a second experiment, vials of soil containing different concentrations of phosphorus were inserted into pots of sudangrass which were fertilized with different amounts of phosphorus and inoculated with G. fasciculatus. The numbers of chlamydospores, vesicles and arbuscles and the amount of hyphae produced by G. fasciculatus on roots within the vials were not influenced by the soil P in the vials but were inversely correlated with the concentration of P in roots outside the vial. All evidence indicates that it is the concentration of P within the plant and not the soil P which leads to a reduction in colonization, infection, and spore production of G. fasciculatus.&quot;,&quot;volume&quot;:&quot;80&quot;},&quot;isTemporary&quot;:false}],&quot;properties&quot;:{&quot;noteIndex&quot;:0},&quot;isEdited&quot;:false,&quot;manualOverride&quot;:{&quot;isManuallyOverriden&quot;:false,&quot;citeprocText&quot;:&quot;(Menge et al., 1978)&quot;,&quot;manualOverrideText&quot;:&quot;&quot;},&quot;citationTag&quot;:&quot;MENDELEY_CITATION_v3_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&quot;},{&quot;citationID&quot;:&quot;MENDELEY_CITATION_a1d44bd1-cf33-4759-9fd9-7ea0dc0e41ab&quot;,&quot;citationItems&quot;:[{&quot;id&quot;:&quot;d47b56b7-4ade-371e-b157-a43616621f72&quot;,&quot;itemData&quot;:{&quot;type&quot;:&quot;article&quot;,&quot;id&quot;:&quot;d47b56b7-4ade-371e-b157-a43616621f72&quot;,&quot;title&quot;:&quot;Nitrogen- or phosphorus-limited growth in herbaceous, wet vegetation: Relations with atmospheric inputs and management regimes&quot;,&quot;author&quot;:[{&quot;family&quot;:&quot;Verhoeven&quot;,&quot;given&quot;:&quot;J. T.A.&quot;,&quot;parse-names&quot;:false,&quot;dropping-particle&quot;:&quot;&quot;,&quot;non-dropping-particle&quot;:&quot;&quot;},{&quot;family&quot;:&quot;Koerselman&quot;,&quot;given&quot;:&quot;W.&quot;,&quot;parse-names&quot;:false,&quot;dropping-particle&quot;:&quot;&quot;,&quot;non-dropping-particle&quot;:&quot;&quot;},{&quot;family&quot;:&quot;Meuleman&quot;,&quot;given&quot;:&quot;A. F.M.&quot;,&quot;parse-names&quot;:false,&quot;dropping-particle&quot;:&quot;&quot;,&quot;non-dropping-particle&quot;:&quot;&quot;}],&quot;container-title&quot;:&quot;Trends in Ecology and Evolution&quot;,&quot;accessed&quot;:{&quot;date-parts&quot;:[[2021,3,21]]},&quot;DOI&quot;:&quot;10.1016/S0169-5347(96)10055-0&quot;,&quot;ISSN&quot;:&quot;01695347&quot;,&quot;issued&quot;:{&quot;date-parts&quot;:[[1996,12,1]]},&quot;page&quot;:&quot;494-497&quot;,&quot;abstract&quot;:&quot;Herbaceous vegetation under temperate climatic conditions generally shows nitrogen-or phosphorus-limited plant growth, which creates conditions for a high botanical diversity. Is nitrogen (N) or phosphorus (P) the most important limiting factor, or are both generally in short supply? What are the consequences of increased N and P inputs that result from anthropogenic disturbances? A new indicator of N or P limitation, that is, the vegetation N:P ratio, allows us to address these questions for a range of mires, dune slacks and moist grasslands.&quot;,&quot;publisher&quot;:&quot;Elsevier Current Trends&quot;,&quot;issue&quot;:&quot;12&quot;,&quot;volume&quot;:&quot;11&quot;},&quot;isTemporary&quot;:false}],&quot;properties&quot;:{&quot;noteIndex&quot;:0},&quot;isEdited&quot;:false,&quot;manualOverride&quot;:{&quot;isManuallyOverriden&quot;:false,&quot;citeprocText&quot;:&quot;(Verhoeven et al., 1996)&quot;,&quot;manualOverrideText&quot;:&quot;&quot;},&quot;citationTag&quot;:&quot;MENDELEY_CITATION_v3_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&quot;},{&quot;citationID&quot;:&quot;MENDELEY_CITATION_64730f5f-e0fb-49f9-9dec-48ba82243579&quot;,&quot;citationItems&quot;:[{&quot;id&quot;:&quot;2f7a8efe-57e5-3d59-8800-bd4ab3a1e799&quot;,&quot;itemData&quot;:{&quot;type&quot;:&quot;article-journal&quot;,&quot;id&quot;:&quot;2f7a8efe-57e5-3d59-8800-bd4ab3a1e799&quot;,&quot;title&quot;:&quot;Comparative effects of foliar or soil-applied nitrate on vesicular-arbuscular mycorrhizal infection maize&quot;,&quot;author&quot;:[{&quot;family&quot;:&quot;AzcÓn&quot;,&quot;given&quot;:&quot;R.&quot;,&quot;parse-names&quot;:false,&quot;dropping-particle&quot;:&quot;&quot;,&quot;non-dropping-particle&quot;:&quot;&quot;},{&quot;family&quot;:&quot;Gomez-ortega&quot;,&quot;given&quot;:&quot;M.&quot;,&quot;parse-names&quot;:false,&quot;dropping-particle&quot;:&quot;&quot;,&quot;non-dropping-particle&quot;:&quot;&quot;},{&quot;family&quot;:&quot;Barea&quot;,&quot;given&quot;:&quot;J. M.&quot;,&quot;parse-names&quot;:false,&quot;dropping-particle&quot;:&quot;&quot;,&quot;non-dropping-particle&quot;:&quot;&quot;}],&quot;container-title&quot;:&quot;New Phytologist&quot;,&quot;accessed&quot;:{&quot;date-parts&quot;:[[2021,3,21]]},&quot;DOI&quot;:&quot;10.1111/j.1469-8137.1982.tb03414.x&quot;,&quot;ISSN&quot;:&quot;14698137&quot;,&quot;issued&quot;:{&quot;date-parts&quot;:[[1982]]},&quot;page&quot;:&quot;553-559&quot;,&quot;abstract&quot;:&quot;Various concentrations of nitrate were applied either to the rooting medium (soil) or to the foliage of maize (Zea mays L.) plants inoculated or not inoculated with the vesicular‐arbuscular mycorrhizal fungus Glomus mosseae. Certain levels of foliar‐applied nitrate and of soil‐applied nitrate had similar effects on growth of non‐mycorrhizal plants and on concentrations of nitrogen and phosphorus in their shoots. However, when the effects of these concentrations on inoculated plants were compared, plants with soil‐applied nitrate always developed much less infection. These results are further evidence that soil nitrate influences mycorrhizal development by acting on the establishment of infection rather than on spread within the root. Copyright © 1982, Wiley Blackwell. All rights reserved&quot;,&quot;issue&quot;:&quot;4&quot;,&quot;volume&quot;:&quot;92&quot;},&quot;isTemporary&quot;:false}],&quot;properties&quot;:{&quot;noteIndex&quot;:0},&quot;isEdited&quot;:false,&quot;manualOverride&quot;:{&quot;isManuallyOverriden&quot;:false,&quot;citeprocText&quot;:&quot;(AzcÓn et al., 1982)&quot;,&quot;manualOverrideText&quot;:&quot;&quot;},&quot;citationTag&quot;:&quot;MENDELEY_CITATION_v3_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&quot;},{&quot;citationID&quot;:&quot;MENDELEY_CITATION_c655ae99-094e-484f-b84f-b4980ba319a8&quot;,&quot;citationItems&quot;:[{&quot;id&quot;:&quot;5a6e5160-d1e4-3831-b4c8-bd6cde3c886b&quot;,&quot;itemData&quot;:{&quot;type&quot;:&quot;article-journal&quot;,&quot;id&quot;:&quot;5a6e5160-d1e4-3831-b4c8-bd6cde3c886b&quot;,&quot;title&quot;:&quot;The extent of mycorrhizal colonization of roots and its influence on plant growth and phosphorus content&quot;,&quot;author&quot;:[{&quot;family&quot;:&quot;Treseder&quot;,&quot;given&quot;:&quot;Kathleen K&quot;,&quot;parse-names&quot;:false,&quot;dropping-particle&quot;:&quot;&quot;,&quot;non-dropping-particle&quot;:&quot;&quot;}],&quot;container-title&quot;:&quot;Plant Soil&quot;,&quot;DOI&quot;:&quot;10.1007/s11104-013-1681-5&quot;,&quot;issued&quot;:{&quot;date-parts&quot;:[[2013]]},&quot;page&quot;:&quot;1-13&quot;,&quot;abstract&quot;:&quot;Aims The most common metric of arbuscular mycor-rhizal fungal (AMF) abundance is percent root length colonized (PRLC) by mycorrhizal structures. Frequently , plants with greater PRLC are assumed to receive more nutrients (such as phosphorus, P) from their mycorrhizal symbionts, leading to greater plant growth. Nevertheless, the functional significance of this metric remains controversial. In this review, I discuss whether manipulations of PRLC generally led to changes in plant biomass and P content, and whether AMF taxa and plant functional groups influence these relationships. Methods I conducted a meta-analysis of laboratory-and field-based trials in which mycorrhizal coloniza-tion was directly altered compared to unmanipulated controls. For each trial, I calculated (1) the difference in PRLC (ΔPRLC) between the treatments, and (2) the response ratio of plant biomass. In a subset of these studies, the response ratio of P content of host plants could also be calculated. Results The response ratio of plant biomass and P content rose significantly and exponentially as ΔPRLC increased. Nevertheless, ΔPRLC explained only a fraction of the variation in response ratios in each case. Moreover, AMF taxa varied in their effects on biomass per unit ΔPRLC. In addition, plant functional groups differed in effects on plant P content per unit ΔPRLC, with C4 grasses responding most strongly. Conclusions It appears that as the extent to which plant roots are colonized by AMF increases, plant growth and P content often increase, although substantial variability exists among trials. As others have found, a likely mechanism for this relationship is increased transfer of P (and perhaps other nutrients) through the more-prevalent mycorrhizal structures.&quot;,&quot;volume&quot;:&quot;371&quot;},&quot;isTemporary&quot;:false}],&quot;properties&quot;:{&quot;noteIndex&quot;:0},&quot;isEdited&quot;:false,&quot;manualOverride&quot;:{&quot;isManuallyOverriden&quot;:false,&quot;citeprocText&quot;:&quot;(Treseder, 2013a)&quot;,&quot;manualOverrideText&quot;:&quot;&quot;},&quot;citationTag&quot;:&quot;MENDELEY_CITATION_v3_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&quot;},{&quot;citationID&quot;:&quot;MENDELEY_CITATION_a31e600b-3365-4153-a4c3-c88a36f1f38e&quot;,&quot;citationItems&quot;:[{&quot;id&quot;:&quot;b38fa207-2471-3d67-998f-1a0980243885&quot;,&quot;itemData&quot;:{&quot;type&quot;:&quot;article-journal&quot;,&quot;id&quot;:&quot;b38fa207-2471-3d67-998f-1a0980243885&quot;,&quot;title&quot;:&quot;Isotopic evidence of partial mycoheterotrophy in the gentianaceae: Bartonia virginica and obolaria virginica as case studies&quot;,&quot;author&quot;:[{&quot;family&quot;:&quot;Cameron&quot;,&quot;given&quot;:&quot;Duncan D.&quot;,&quot;parse-names&quot;:false,&quot;dropping-particle&quot;:&quot;&quot;,&quot;non-dropping-particle&quot;:&quot;&quot;},{&quot;family&quot;:&quot;Bolin&quot;,&quot;given&quot;:&quot;Jay F.&quot;,&quot;parse-names&quot;:false,&quot;dropping-particle&quot;:&quot;&quot;,&quot;non-dropping-particle&quot;:&quot;&quot;}],&quot;container-title&quot;:&quot;American Journal of Botany&quot;,&quot;DOI&quot;:&quot;10.3732/ajb.0900292&quot;,&quot;ISSN&quot;:&quot;00029122&quot;,&quot;issued&quot;:{&quot;date-parts&quot;:[[2010]]},&quot;page&quot;:&quot;1272-1277&quot;,&quot;abstract&quot;:&quot;Premise of the study: An estimated 10% of plant species have evolved to steal C from their symbiotic fungal partners (mycoheterotrophy), and while physiological evidence for full and partial mycoheterotrophy is well developed in the Orchidaceae and Ericaceae, it is lacking for the majority of other mycoheterotrophic taxa. The family Gentianaceae not only contains several lineages of achlorophyllous mycoheterotrophs, but also contains species that are putative partially mycoheterotrophic. The North American genera Bartonia and Obolaria (Gentianaceae) are green but have leaves reduced to scales or foliose bracts and so have ambiguous mycoheterotrophic status. Methods: We investigated the natural abundance 13 C and 15 N profiles of both genera along with total N and chlorophyll content and investigated mycorrhizal infection using light microscopy. Key results: The shoots of B. virginica were significantly more enriched in 15 N than the surrounding vegetation but not in 13 C. In contrast, the shoots of O. virginica are not enriched in 15 N compared to the surrounding vegetation but were significantly enriched in 13 C. Total N concentrations were significantly higher than the surrounding vegetation in B. virginica, while the collaroid roots of both species were infected by arbuscular mycorrhizal fungi. Conclusions: This microscopic evidence coupled with the natural abundance stable isotope profiles strongly suggests that both species are partially mycoheterotrophic. However, differences in the root-shoot stable isotopic patterns relative to surrounding vegetation between B. virginica and O. virginica are suggestive of the utilization of different physiological pathways or extent of commitment to mycoheterotrophic C gain. © 2010 Botanical Society of America.&quot;,&quot;issue&quot;:&quot;8&quot;,&quot;volume&quot;:&quot;97&quot;},&quot;isTemporary&quot;:false}],&quot;properties&quot;:{&quot;noteIndex&quot;:0},&quot;isEdited&quot;:false,&quot;manualOverride&quot;:{&quot;isManuallyOverridden&quot;:true,&quot;citeprocText&quot;:&quot;(Cameron &amp;#38; Bolin, 2010)&quot;,&quot;manualOverrideText&quot;:&quot;(Cameron &amp; Bolin, 2010).&quot;},&quot;citationTag&quot;:&quot;MENDELEY_CITATION_v3_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&quot;},{&quot;citationID&quot;:&quot;MENDELEY_CITATION_61235492-ddc5-4bda-8e51-1a2bef85491f&quot;,&quot;citationItems&quot;:[{&quot;id&quot;:&quot;769347fd-cac3-35ee-940e-6ee81caae43a&quot;,&quot;itemData&quot;:{&quot;type&quot;:&quot;article-journal&quot;,&quot;id&quot;:&quot;769347fd-cac3-35ee-940e-6ee81caae43a&quot;,&quot;title&quot;:&quot;Root growth in response to nitrogen supply in Chinese maize hybrids released between 1973 and 2009&quot;,&quot;author&quot;:[{&quot;family&quot;:&quot;Wu&quot;,&quot;given&quot;:&quot;Qiu Ping&quot;,&quot;parse-names&quot;:false,&quot;dropping-particle&quot;:&quot;&quot;,&quot;non-dropping-particle&quot;:&quot;&quot;},{&quot;family&quot;:&quot;Chen&quot;,&quot;given&quot;:&quot;Fan Jun&quot;,&quot;parse-names&quot;:false,&quot;dropping-particle&quot;:&quot;&quot;,&quot;non-dropping-particle&quot;:&quot;&quot;},{&quot;family&quot;:&quot;Chen&quot;,&quot;given&quot;:&quot;Yan Ling&quot;,&quot;parse-names&quot;:false,&quot;dropping-particle&quot;:&quot;&quot;,&quot;non-dropping-particle&quot;:&quot;&quot;},{&quot;family&quot;:&quot;Yuan&quot;,&quot;given&quot;:&quot;Li Xing&quot;,&quot;parse-names&quot;:false,&quot;dropping-particle&quot;:&quot;&quot;,&quot;non-dropping-particle&quot;:&quot;&quot;},{&quot;family&quot;:&quot;Zhang&quot;,&quot;given&quot;:&quot;Fu Suo&quot;,&quot;parse-names&quot;:false,&quot;dropping-particle&quot;:&quot;&quot;,&quot;non-dropping-particle&quot;:&quot;&quot;},{&quot;family&quot;:&quot;Mi&quot;,&quot;given&quot;:&quot;Guo Hua&quot;,&quot;parse-names&quot;:false,&quot;dropping-particle&quot;:&quot;&quot;,&quot;non-dropping-particle&quot;:&quot;&quot;}],&quot;container-title&quot;:&quot;Science China Life Sciences&quot;,&quot;DOI&quot;:&quot;10.1007/s11427-011-4186-6&quot;,&quot;ISSN&quot;:&quot;16747305&quot;,&quot;PMID&quot;:&quot;21748587&quot;,&quot;issued&quot;:{&quot;date-parts&quot;:[[2011,7]]},&quot;page&quot;:&quot;642-650&quot;,&quot;abstract&quot;:&quot;Root growth has a fundamental role in nitrogen (N) use efficiency. Nevertheless, little is known about how modern breeding progress has affected root growth and its responses to N supply. The root and shoot growth of a core set of 11 representative Chinese maize (Zea mays L.) hybrids released between 1973 and 2009 were investigated under high N (4 mmol L -1, HN) and low N (0. 04 mmol L -1, LN) levels in a solution culture system. Compared with LN, HN treatment decreased root dry weight (RDW), the root: shoot ratio (R/S), and the relative growth rate for root dry weight (RGR root), but increased the total root length (TRL) and the total lateral root length (LRL). The total axial root length (ARL) per plant was reduced under HN, mostly in hybrids released before the 1990s. The number of seminal roots (SRN) was largely unaffected by different N levels. More recently released hybrids showed higher relative growth rates in the shoot under both HN and LN. However, the roots only showed increased RGR under HN treatment. Correspondingly, there was a positive linear relationship with the year of hybrid release for TRL, LRL and ARL under HN treatment. Together, these results suggest that while shoot growth of maize has improved, its root growth has only improved under high N conditions over the last 36 years of selective breeding in China. Improving root growth under LN conditions may be necessary to increase the N use efficiency of maize. © 2011 Science China Press and Springer-Verlag Berlin Heidelberg.&quot;,&quot;issue&quot;:&quot;7&quot;,&quot;volume&quot;:&quot;54&quot;},&quot;isTemporary&quot;:false}],&quot;properties&quot;:{&quot;noteIndex&quot;:0},&quot;isEdited&quot;:false,&quot;manualOverride&quot;:{&quot;isManuallyOverriden&quot;:false,&quot;citeprocText&quot;:&quot;(Q. P. Wu et al., 2011)&quot;,&quot;manualOverrideText&quot;:&quot;(Wu et al., 2011) &quot;,&quot;isManuallyOverridden&quot;:true},&quot;citationTag&quot;:&quot;MENDELEY_CITATION_v3_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&quot;},{&quot;citationID&quot;:&quot;MENDELEY_CITATION_19f221d1-d889-4ab3-a841-6e486d6435af&quot;,&quot;citationItems&quot;:[{&quot;id&quot;:&quot;a2b086aa-b94b-31f3-a703-c8ea4a0ea97a&quot;,&quot;itemData&quot;:{&quot;type&quot;:&quot;article-journal&quot;,&quot;id&quot;:&quot;a2b086aa-b94b-31f3-a703-c8ea4a0ea97a&quot;,&quot;title&quot;:&quot;Progress and challenges in agricultural applications of arbuscular mycorrhizal Fungi&quot;,&quot;author&quot;:[{&quot;family&quot;:&quot;Fester&quot;,&quot;given&quot;:&quot;T.&quot;,&quot;parse-names&quot;:false,&quot;dropping-particle&quot;:&quot;&quot;,&quot;non-dropping-particle&quot;:&quot;&quot;},{&quot;family&quot;:&quot;Sawers&quot;,&quot;given&quot;:&quot;R.&quot;,&quot;parse-names&quot;:false,&quot;dropping-particle&quot;:&quot;&quot;,&quot;non-dropping-particle&quot;:&quot;&quot;}],&quot;container-title&quot;:&quot;Critical Reviews in Plant Sciences&quot;,&quot;accessed&quot;:{&quot;date-parts&quot;:[[2021,3,26]]},&quot;DOI&quot;:&quot;10.1080/07352689.2011.605741&quot;,&quot;ISSN&quot;:&quot;07352689&quot;,&quot;URL&quot;:&quot;https://www.tandfonline.com/doi/abs/10.1080/07352689.2011.605741&quot;,&quot;issued&quot;:{&quot;date-parts&quot;:[[2011,9]]},&quot;page&quot;:&quot;459-470&quot;,&quot;abstract&quot;:&quot;Arbuscular mycorrhiza is a widespread interaction between plant roots and mutualistic fungi that both promotes plant mineral nutrition and supports stability in many natural ecosystems. Given the demand in current agriculture for these ecosystem services, it appears desirable to further integrate this interaction in currentmanagement schemes. While two different approaches can be identified in this regard, a number of problems have limited the agricultural application of mycorrhiza to date. In this review, the sensitivity of arbuscular mycorrhizal fungi to certain agricultural management methods, the functional variability of arbuscularmycorrhizal fungi, and the variability of plant responsiveness will be discussed in particular. In addition we will focus on recent advances in the study of mycorrhiza in natural ecosystems, and illustrate how such knowledge might be used to further the integration of arbuscular mycorrhizal fungi in agricultural regimes, and so increase the sustainability and robustness of current practice. © Taylor &amp; Francis Group, LLC.&quot;,&quot;publisher&quot;:&quot; Taylor &amp; Francis Group &quot;,&quot;issue&quot;:&quot;5&quot;,&quot;volume&quot;:&quot;30&quot;},&quot;isTemporary&quot;:false}],&quot;properties&quot;:{&quot;noteIndex&quot;:0},&quot;isEdited&quot;:false,&quot;manualOverride&quot;:{&quot;isManuallyOverriden&quot;:false,&quot;citeprocText&quot;:&quot;(Fester &amp;#38; Sawers, 2011)&quot;,&quot;manualOverrideText&quot;:&quot;(Fester &amp; Sawers, 2011)&quot;,&quot;isManuallyOverridden&quot;:true},&quot;citationTag&quot;:&quot;MENDELEY_CITATION_v3_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&quot;},{&quot;citationID&quot;:&quot;MENDELEY_CITATION_0f30d173-cd3f-47f2-9d5a-a0d4c1ac6581&quot;,&quot;citationItems&quot;:[{&quot;id&quot;:&quot;a62a6b23-7772-3250-b7bf-a1c73a43dbea&quot;,&quot;itemData&quot;:{&quot;type&quot;:&quot;article-journal&quot;,&quot;id&quot;:&quot;a62a6b23-7772-3250-b7bf-a1c73a43dbea&quot;,&quot;title&quot;:&quot;Ideotype root architecture for efficient nitrogen acquisition by maize in intensive cropping systems&quot;,&quot;author&quot;:[{&quot;family&quot;:&quot;Mi&quot;,&quot;given&quot;:&quot;Guo Hua&quot;,&quot;parse-names&quot;:false,&quot;dropping-particle&quot;:&quot;&quot;,&quot;non-dropping-particle&quot;:&quot;&quot;},{&quot;family&quot;:&quot;Chen&quot;,&quot;given&quot;:&quot;Fan Jun&quot;,&quot;parse-names&quot;:false,&quot;dropping-particle&quot;:&quot;&quot;,&quot;non-dropping-particle&quot;:&quot;&quot;},{&quot;family&quot;:&quot;Wu&quot;,&quot;given&quot;:&quot;Qiu Ping&quot;,&quot;parse-names&quot;:false,&quot;dropping-particle&quot;:&quot;&quot;,&quot;non-dropping-particle&quot;:&quot;&quot;},{&quot;family&quot;:&quot;Lai&quot;,&quot;given&quot;:&quot;Ning Wei&quot;,&quot;parse-names&quot;:false,&quot;dropping-particle&quot;:&quot;&quot;,&quot;non-dropping-particle&quot;:&quot;&quot;},{&quot;family&quot;:&quot;Yuan&quot;,&quot;given&quot;:&quot;Li Xing&quot;,&quot;parse-names&quot;:false,&quot;dropping-particle&quot;:&quot;&quot;,&quot;non-dropping-particle&quot;:&quot;&quot;},{&quot;family&quot;:&quot;Zhang&quot;,&quot;given&quot;:&quot;Fu Suo&quot;,&quot;parse-names&quot;:false,&quot;dropping-particle&quot;:&quot;&quot;,&quot;non-dropping-particle&quot;:&quot;&quot;}],&quot;container-title&quot;:&quot;Science China Life Sciences&quot;,&quot;accessed&quot;:{&quot;date-parts&quot;:[[2021,3,18]]},&quot;DOI&quot;:&quot;10.1007/s11427-010-4097-y&quot;,&quot;ISSN&quot;:&quot;16747305&quot;,&quot;PMID&quot;:&quot;21181338&quot;,&quot;URL&quot;:&quot;https://pubmed.ncbi.nlm.nih.gov/21181338/&quot;,&quot;issued&quot;:{&quot;date-parts&quot;:[[2010]]},&quot;page&quot;:&quot;1369-1373&quot;,&quot;abstract&quot;:&quot;The use of nitrogen (N) fertilizers has contributed to the production of a food supply sufficient for both animals and humans despite some negative environmental impact. Sustaining food production by increasing N use efficiency in intensive cropping systems has become a major concern for scientists, environmental groups, and agricultural policymakers worldwide. In high-yielding maize systems the major method of N loss is nitrate leaching. In this review paper, the characteristic of nitrate movement in the soil, N uptake by maize as well as the regulation of root growth by soil N availability are discussed. We suggest that an ideotype root architecture for efficient N acquisition in maize should include (i) deeper roots with high activity that are able to uptake nitrate before it moves downward into deep soil; (ii) vigorous lateral root growth under high N input conditions so as to increase spatial N availability in the soil; and (iii) strong response of lateral root growth to localized nitrogen supply so as to utilize unevenly distributed nitrate especially under limited N conditions. © 2010 Science China Press and Springer-Verlag Berlin Heidelberg.&quot;,&quot;publisher&quot;:&quot;Sci China Life Sci&quot;,&quot;issue&quot;:&quot;12&quot;,&quot;volume&quot;:&quot;53&quot;},&quot;isTemporary&quot;:false},{&quot;id&quot;:&quot;b94182e7-bb71-3eb9-9b44-0a7bd94d715d&quot;,&quot;itemData&quot;:{&quot;type&quot;:&quot;article-journal&quot;,&quot;id&quot;:&quot;b94182e7-bb71-3eb9-9b44-0a7bd94d715d&quot;,&quot;title&quot;:&quot;Genetic improvement for phosphorus efficiency in soybean: A radical approach&quot;,&quot;author&quot;:[{&quot;family&quot;:&quot;Wang&quot;,&quot;given&quot;:&quot;Xiurong&quot;,&quot;parse-names&quot;:false,&quot;dropping-particle&quot;:&quot;&quot;,&quot;non-dropping-particle&quot;:&quot;&quot;},{&quot;family&quot;:&quot;Yan&quot;,&quot;given&quot;:&quot;Xiaolong&quot;,&quot;parse-names&quot;:false,&quot;dropping-particle&quot;:&quot;&quot;,&quot;non-dropping-particle&quot;:&quot;&quot;},{&quot;family&quot;:&quot;Liao&quot;,&quot;given&quot;:&quot;Hong&quot;,&quot;parse-names&quot;:false,&quot;dropping-particle&quot;:&quot;&quot;,&quot;non-dropping-particle&quot;:&quot;&quot;}],&quot;container-title&quot;:&quot;Annals of Botany&quot;,&quot;accessed&quot;:{&quot;date-parts&quot;:[[2021,3,18]]},&quot;DOI&quot;:&quot;10.1093/aob/mcq029&quot;,&quot;ISSN&quot;:&quot;03057364&quot;,&quot;PMID&quot;:&quot;20228090&quot;,&quot;URL&quot;:&quot;/pmc/articles/PMC2889788/&quot;,&quot;issued&quot;:{&quot;date-parts&quot;:[[2010,7]]},&quot;page&quot;:&quot;215-222&quot;,&quot;abstract&quot;:&quot;Background: Low phosphorus (P) availability is a major constraint to soybean growth and production. Developing P-efficient soybean varieties that can efficiently utilize native P and added P in the soils would be a sustainable and economical approach to soybean production. Scope: This review summarizes the possible mechanisms for P efficiency and genetic strategies to improve P efficiency in soybean with examples from several case studies. It also highlights potential obstacles and depicts future perspectives in 'root breeding'. Conclusions: This review provides new insights into the mechanisms of P efficiency and breeding strategies for this trait in soybean. Root biology is a new frontier of plant biology. Substantial efforts are now focusing on increasing soybean P efficiency through 'root breeding'. To advance this area, additional collaborations between plant breeders and physiologists, as well as applied and theoretical research are needed to develop more soybean varieties with enhanced P efficiency through root modification, which might contribute to reduced use of P fertilizers, expanding agriculture on low-P soils, and achieving more sustainable agriculture. © The Author 2010.&quot;,&quot;publisher&quot;:&quot;Oxford University Press&quot;,&quot;issue&quot;:&quot;1&quot;,&quot;volume&quot;:&quot;106&quot;},&quot;isTemporary&quot;:false},{&quot;id&quot;:&quot;769347fd-cac3-35ee-940e-6ee81caae43a&quot;,&quot;itemData&quot;:{&quot;type&quot;:&quot;article-journal&quot;,&quot;id&quot;:&quot;769347fd-cac3-35ee-940e-6ee81caae43a&quot;,&quot;title&quot;:&quot;Root growth in response to nitrogen supply in Chinese maize hybrids released between 1973 and 2009&quot;,&quot;author&quot;:[{&quot;family&quot;:&quot;Wu&quot;,&quot;given&quot;:&quot;Qiu Ping&quot;,&quot;parse-names&quot;:false,&quot;dropping-particle&quot;:&quot;&quot;,&quot;non-dropping-particle&quot;:&quot;&quot;},{&quot;family&quot;:&quot;Chen&quot;,&quot;given&quot;:&quot;Fan Jun&quot;,&quot;parse-names&quot;:false,&quot;dropping-particle&quot;:&quot;&quot;,&quot;non-dropping-particle&quot;:&quot;&quot;},{&quot;family&quot;:&quot;Chen&quot;,&quot;given&quot;:&quot;Yan Ling&quot;,&quot;parse-names&quot;:false,&quot;dropping-particle&quot;:&quot;&quot;,&quot;non-dropping-particle&quot;:&quot;&quot;},{&quot;family&quot;:&quot;Yuan&quot;,&quot;given&quot;:&quot;Li Xing&quot;,&quot;parse-names&quot;:false,&quot;dropping-particle&quot;:&quot;&quot;,&quot;non-dropping-particle&quot;:&quot;&quot;},{&quot;family&quot;:&quot;Zhang&quot;,&quot;given&quot;:&quot;Fu Suo&quot;,&quot;parse-names&quot;:false,&quot;dropping-particle&quot;:&quot;&quot;,&quot;non-dropping-particle&quot;:&quot;&quot;},{&quot;family&quot;:&quot;Mi&quot;,&quot;given&quot;:&quot;Guo Hua&quot;,&quot;parse-names&quot;:false,&quot;dropping-particle&quot;:&quot;&quot;,&quot;non-dropping-particle&quot;:&quot;&quot;}],&quot;container-title&quot;:&quot;Science China Life Sciences&quot;,&quot;DOI&quot;:&quot;10.1007/s11427-011-4186-6&quot;,&quot;ISSN&quot;:&quot;16747305&quot;,&quot;PMID&quot;:&quot;21748587&quot;,&quot;issued&quot;:{&quot;date-parts&quot;:[[2011,7]]},&quot;page&quot;:&quot;642-650&quot;,&quot;abstract&quot;:&quot;Root growth has a fundamental role in nitrogen (N) use efficiency. Nevertheless, little is known about how modern breeding progress has affected root growth and its responses to N supply. The root and shoot growth of a core set of 11 representative Chinese maize (Zea mays L.) hybrids released between 1973 and 2009 were investigated under high N (4 mmol L -1, HN) and low N (0. 04 mmol L -1, LN) levels in a solution culture system. Compared with LN, HN treatment decreased root dry weight (RDW), the root: shoot ratio (R/S), and the relative growth rate for root dry weight (RGR root), but increased the total root length (TRL) and the total lateral root length (LRL). The total axial root length (ARL) per plant was reduced under HN, mostly in hybrids released before the 1990s. The number of seminal roots (SRN) was largely unaffected by different N levels. More recently released hybrids showed higher relative growth rates in the shoot under both HN and LN. However, the roots only showed increased RGR under HN treatment. Correspondingly, there was a positive linear relationship with the year of hybrid release for TRL, LRL and ARL under HN treatment. Together, these results suggest that while shoot growth of maize has improved, its root growth has only improved under high N conditions over the last 36 years of selective breeding in China. Improving root growth under LN conditions may be necessary to increase the N use efficiency of maize. © 2011 Science China Press and Springer-Verlag Berlin Heidelberg.&quot;,&quot;issue&quot;:&quot;7&quot;,&quot;volume&quot;:&quot;54&quot;},&quot;isTemporary&quot;:false}],&quot;properties&quot;:{&quot;noteIndex&quot;:0},&quot;isEdited&quot;:false,&quot;manualOverride&quot;:{&quot;isManuallyOverriden&quot;:false,&quot;citeprocText&quot;:&quot;(Mi et al., 2010; X. Wang et al., 2010; Q. P. Wu et al., 2011)&quot;,&quot;manualOverrideText&quot;:&quot;(Mi et al., 2010; Wang et al., 2010; Wu et al., 2011). &quot;,&quot;isManuallyOverridden&quot;:true},&quot;citationTag&quot;:&quot;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&quot;},{&quot;citationID&quot;:&quot;MENDELEY_CITATION_aba0a10f-0607-4b33-92b5-ed4ccd373997&quot;,&quot;citationItems&quot;:[{&quot;id&quot;:&quot;7e1b2c9d-cc34-3e21-9c46-3526f09b4c83&quot;,&quot;itemData&quot;:{&quot;type&quot;:&quot;article-journal&quot;,&quot;id&quot;:&quot;7e1b2c9d-cc34-3e21-9c46-3526f09b4c83&quot;,&quot;title&quot;:&quot;Low-P tolerance by maize (Zea mays L.) genotypes: Significance of root growth, and organic acids and acid phosphatase root exudation&quot;,&quot;author&quot;:[{&quot;family&quot;:&quot;Gaume&quot;,&quot;given&quot;:&quot;Alain&quot;,&quot;parse-names&quot;:false,&quot;dropping-particle&quot;:&quot;&quot;,&quot;non-dropping-particle&quot;:&quot;&quot;},{&quot;family&quot;:&quot;Mächler&quot;,&quot;given&quot;:&quot;Felix&quot;,&quot;parse-names&quot;:false,&quot;dropping-particle&quot;:&quot;&quot;,&quot;non-dropping-particle&quot;:&quot;&quot;},{&quot;family&quot;:&quot;León&quot;,&quot;given&quot;:&quot;Carlos&quot;,&quot;parse-names&quot;:false,&quot;dropping-particle&quot;:&quot;&quot;,&quot;non-dropping-particle&quot;:&quot;de&quot;},{&quot;family&quot;:&quot;Narro&quot;,&quot;given&quot;:&quot;Luis&quot;,&quot;parse-names&quot;:false,&quot;dropping-particle&quot;:&quot;&quot;,&quot;non-dropping-particle&quot;:&quot;&quot;},{&quot;family&quot;:&quot;Frossard&quot;,&quot;given&quot;:&quot;Emmanuel&quot;,&quot;parse-names&quot;:false,&quot;dropping-particle&quot;:&quot;&quot;,&quot;non-dropping-particle&quot;:&quot;&quot;}],&quot;container-title&quot;:&quot;Plant and Soil&quot;,&quot;accessed&quot;:{&quot;date-parts&quot;:[[2021,3,24]]},&quot;DOI&quot;:&quot;10.1023/A:1004824019289&quot;,&quot;ISSN&quot;:&quot;0032079X&quot;,&quot;URL&quot;:&quot;https://link.springer.com/article/10.1023/A:1004824019289&quot;,&quot;issued&quot;:{&quot;date-parts&quot;:[[2001]]},&quot;page&quot;:&quot;253-264&quot;,&quot;abstract&quot;:&quot;We investigated some mechanisms, which allow maize genotypes to adapt to soils which are low in available P. Dry matter production, root/shoot-ratio, root length and root exudation of organic acids and acid phosphatase were investigated in four maize genotypes grown under P-deficient and P-sufficient conditions in sterile hydroponic culture. A low-P tolerant, an acid-tolerant and a low-P susceptible genotype of maize were compared with a Swiss commercial cultivar. The study found increased root development and increased exudation of acid phosphatase under P-deficient conditions in all maize genotypes, except for the Swiss cultivar. Effects on root formation and acid phosphatase were greater for the low-P tolerant than for the low-P susceptible, and the acid soil tolerant genotypes. Organic acid contents in root tissues were increased under P deficiency and related to increased PEPC activity. However, the increase in contents was associated with an increase in exudation for the low-P tolerant genotype only. The low-P susceptible genotype was characterized by high organic acid content in roots and low organic acid exudation. The organic acids content in the phloem exudates of shoots was related to root exudation under different P supply, to the difference between lines in organic acids root content, but not to the low-P tolerance or susceptibility of maize genotypes.&quot;,&quot;publisher&quot;:&quot;Springer&quot;,&quot;issue&quot;:&quot;2&quot;,&quot;volume&quot;:&quot;228&quot;},&quot;isTemporary&quot;:false},{&quot;id&quot;:&quot;0e0d3317-8a7e-353b-a49c-3d1921ab5f3b&quot;,&quot;itemData&quot;:{&quot;type&quot;:&quot;article-journal&quot;,&quot;id&quot;:&quot;0e0d3317-8a7e-353b-a49c-3d1921ab5f3b&quot;,&quot;title&quot;:&quot;Mapping of QTL controlling root hair length in maize (Zea mays L.) under phosphorus deficiency&quot;,&quot;author&quot;:[{&quot;family&quot;:&quot;Zhu&quot;,&quot;given&quot;:&quot;Jinming&quot;,&quot;parse-names&quot;:false,&quot;dropping-particle&quot;:&quot;&quot;,&quot;non-dropping-particle&quot;:&quot;&quot;},{&quot;family&quot;:&quot;Kaeppler&quot;,&quot;given&quot;:&quot;Shawn M.&quot;,&quot;parse-names&quot;:false,&quot;dropping-particle&quot;:&quot;&quot;,&quot;non-dropping-particle&quot;:&quot;&quot;},{&quot;family&quot;:&quot;Lynch&quot;,&quot;given&quot;:&quot;Jonathan P.&quot;,&quot;parse-names&quot;:false,&quot;dropping-particle&quot;:&quot;&quot;,&quot;non-dropping-particle&quot;:&quot;&quot;}],&quot;container-title&quot;:&quot;Plant and Soil&quot;,&quot;accessed&quot;:{&quot;date-parts&quot;:[[2021,3,24]]},&quot;DOI&quot;:&quot;10.1007/s11104-004-1697-y&quot;,&quot;ISSN&quot;:&quot;0032079X&quot;,&quot;URL&quot;:&quot;https://pennstate.pure.elsevier.com/en/publications/mapping-of-qtl-controlling-root-hair-length-in-maize-zea-mays-l-u&quot;,&quot;issued&quot;:{&quot;date-parts&quot;:[[2005,3]]},&quot;page&quot;:&quot;299-310&quot;,&quot;abstract&quot;:&quot;Suboptimal phosphorus availability is a primary constraint for terrestrial plant growth and crop productivity. Root hairs are subcellular extensions from the root epidermis that play an important role in the uptake of immobile nutrients such as phosphorus by increasing soil exploration. The objective of this study was to identify quantitative trait loci for root hair length and plasticity in response to phosphorus stress in maize. Using a cigar roll culture system in a controlled environment, root traits including root hair length, tap root length, root thickness, and root biomass were evaluated in 169 recombinant inbred lines derived from a cross between B73 and Mo17. These parents have contrasting adaptation to low phosphorus availability in the field. The parents segregated for the length of individual root hairs under low phosphorus. Average root hair length (RHL) of RI lines ranged from 0.6 to 3.5 mm with an average of 2.0 mm under fertile conditions, and RHL was increased from 0% to 185% under phosphorus stress. Using composite interval mapping with a LOD threshold of 3.27, one QTL was associated with RHL plasticity, three QTL with RHL under high fertility, and one QTL with root hair length under low phosphorus. These QTL accounted for 12.7%, 31.9%, and 9.6% of phenotypic variation, respectively. No QTL were detected for taproot thickness and root biomass. Six QTL were associated with 53.1% of the total variation for seed phosphorus in the population. Root biomass plasticity was significantly correlated with RHL induced by low phosphorus, taproot length plasticity, and seed phosphorus reserves. Our results suggest that genetic variation in root hair length and plasticity may be an appropriate target for marker aided selection to improve the phosphorus efficiency of maize. © Springer 2005.&quot;,&quot;publisher&quot;:&quot;Springer Netherlands&quot;,&quot;issue&quot;:&quot;1&quot;,&quot;volume&quot;:&quot;270&quot;},&quot;isTemporary&quot;:false}],&quot;properties&quot;:{&quot;noteIndex&quot;:0},&quot;isEdited&quot;:false,&quot;manualOverride&quot;:{&quot;isManuallyOverriden&quot;:false,&quot;citeprocText&quot;:&quot;(Gaume et al., 2001; J. Zhu et al., 2005)&quot;,&quot;manualOverrideText&quot;:&quot;(Gaume et al., 2001; Zhu et al., 2005)&quot;,&quot;isManuallyOverridden&quot;:true},&quot;citationTag&quot;:&quot;MENDELEY_CITATION_v3_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&quot;},{&quot;citationID&quot;:&quot;MENDELEY_CITATION_93bce744-8414-4d19-98bd-7e1642634c15&quot;,&quot;citationItems&quot;:[{&quot;id&quot;:&quot;15f6f5c6-f0e3-39eb-b49e-f189cce25ccc&quot;,&quot;itemData&quot;:{&quot;type&quot;:&quot;article&quot;,&quot;id&quot;:&quot;15f6f5c6-f0e3-39eb-b49e-f189cce25ccc&quot;,&quot;title&quot;:&quot;Regulation of resource exchange in the arbuscular mycorrhizal symbiosis&quot;,&quot;author&quot;:[{&quot;family&quot;:&quot;Walder&quot;,&quot;given&quot;:&quot;Florian&quot;,&quot;parse-names&quot;:false,&quot;dropping-particle&quot;:&quot;&quot;,&quot;non-dropping-particle&quot;:&quot;&quot;},{&quot;family&quot;:&quot;Heijden&quot;,&quot;given&quot;:&quot;Marcel G.A.&quot;,&quot;parse-names&quot;:false,&quot;dropping-particle&quot;:&quot;&quot;,&quot;non-dropping-particle&quot;:&quot;van der&quot;}],&quot;container-title&quot;:&quot;Nature Plants&quot;,&quot;accessed&quot;:{&quot;date-parts&quot;:[[2021,4,7]]},&quot;DOI&quot;:&quot;10.1038/nplants.2015.159&quot;,&quot;ISSN&quot;:&quot;2055026X&quot;,&quot;URL&quot;:&quot;https://pubmed.ncbi.nlm.nih.gov/27251530/&quot;,&quot;issued&quot;:{&quot;date-parts&quot;:[[2015,11,3]]},&quot;page&quot;:&quot;1-7&quot;,&quot;abstract&quot;:&quot;Arbuscular mycorrhizal (AM) fungi are one of the most important groups of plant symbionts. These fungi provide mineral nutrients to plants in exchange for carbon. Although substantial amounts of resources are exchanged, the factors that regulate trade in the AM symbiosis are poorly understood. Recent evidence for the reciprocally regulated exchange of resources by AM fungi and plants has led to the suggestion that these symbioses operate according to biological market dynamics, in which interactions are viewed from an economic perspective, and the most beneficial partners are favoured. Here we present five arguments that challenge the importance of reciprocally regulated exchange, and thereby market dynamics, for resource exchange in the AM symbiosis, and suggest that such reciprocity is only found in a subset of symbionts, under specific conditions. We instead propose that resource exchange in the AM symbiosis is determined by competition for surplus resources, functional diversity and sink strength.&quot;,&quot;publisher&quot;:&quot;Palgrave Macmillan Ltd.&quot;,&quot;volume&quot;:&quot;1&quot;},&quot;isTemporary&quot;:false}],&quot;properties&quot;:{&quot;noteIndex&quot;:0},&quot;isEdited&quot;:false,&quot;manualOverride&quot;:{&quot;isManuallyOverridden&quot;:false,&quot;citeprocText&quot;:&quot;(Walder &amp;#38; van der Heijden, 2015a)&quot;,&quot;manualOverrideText&quot;:&quot;&quot;},&quot;citationTag&quot;:&quot;MENDELEY_CITATION_v3_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&quot;},{&quot;citationID&quot;:&quot;MENDELEY_CITATION_95cc196a-39a5-44ae-bfa4-95ba61553fea&quot;,&quot;citationItems&quot;:[{&quot;id&quot;:&quot;15f6f5c6-f0e3-39eb-b49e-f189cce25ccc&quot;,&quot;itemData&quot;:{&quot;type&quot;:&quot;article&quot;,&quot;id&quot;:&quot;15f6f5c6-f0e3-39eb-b49e-f189cce25ccc&quot;,&quot;title&quot;:&quot;Regulation of resource exchange in the arbuscular mycorrhizal symbiosis&quot;,&quot;author&quot;:[{&quot;family&quot;:&quot;Walder&quot;,&quot;given&quot;:&quot;Florian&quot;,&quot;parse-names&quot;:false,&quot;dropping-particle&quot;:&quot;&quot;,&quot;non-dropping-particle&quot;:&quot;&quot;},{&quot;family&quot;:&quot;Heijden&quot;,&quot;given&quot;:&quot;Marcel G.A.&quot;,&quot;parse-names&quot;:false,&quot;dropping-particle&quot;:&quot;&quot;,&quot;non-dropping-particle&quot;:&quot;van der&quot;}],&quot;container-title&quot;:&quot;Nature Plants&quot;,&quot;accessed&quot;:{&quot;date-parts&quot;:[[2021,4,7]]},&quot;DOI&quot;:&quot;10.1038/nplants.2015.159&quot;,&quot;ISSN&quot;:&quot;2055026X&quot;,&quot;URL&quot;:&quot;https://pubmed.ncbi.nlm.nih.gov/27251530/&quot;,&quot;issued&quot;:{&quot;date-parts&quot;:[[2015,11,3]]},&quot;page&quot;:&quot;1-7&quot;,&quot;abstract&quot;:&quot;Arbuscular mycorrhizal (AM) fungi are one of the most important groups of plant symbionts. These fungi provide mineral nutrients to plants in exchange for carbon. Although substantial amounts of resources are exchanged, the factors that regulate trade in the AM symbiosis are poorly understood. Recent evidence for the reciprocally regulated exchange of resources by AM fungi and plants has led to the suggestion that these symbioses operate according to biological market dynamics, in which interactions are viewed from an economic perspective, and the most beneficial partners are favoured. Here we present five arguments that challenge the importance of reciprocally regulated exchange, and thereby market dynamics, for resource exchange in the AM symbiosis, and suggest that such reciprocity is only found in a subset of symbionts, under specific conditions. We instead propose that resource exchange in the AM symbiosis is determined by competition for surplus resources, functional diversity and sink strength.&quot;,&quot;publisher&quot;:&quot;Palgrave Macmillan Ltd.&quot;,&quot;volume&quot;:&quot;1&quot;},&quot;isTemporary&quot;:false}],&quot;properties&quot;:{&quot;noteIndex&quot;:0},&quot;isEdited&quot;:false,&quot;manualOverride&quot;:{&quot;isManuallyOverridden&quot;:false,&quot;citeprocText&quot;:&quot;(Walder &amp;#38; van der Heijden, 2015a)&quot;,&quot;manualOverrideText&quot;:&quot;&quot;},&quot;citationTag&quot;:&quot;MENDELEY_CITATION_v3_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&quot;},{&quot;citationID&quot;:&quot;MENDELEY_CITATION_9767faa1-cf23-4fef-ba33-1e914061ec2f&quot;,&quot;citationItems&quot;:[{&quot;id&quot;:&quot;9d99d774-a2d5-3938-bd24-0142d7ac5a28&quot;,&quot;itemData&quot;:{&quot;type&quot;:&quot;article-journal&quot;,&quot;id&quot;:&quot;9d99d774-a2d5-3938-bd24-0142d7ac5a28&quot;,&quot;title&quot;:&quot;A comparison of visualization techniques for recording arbuscular mycorrhizal colonization&quot;,&quot;author&quot;:[{&quot;family&quot;:&quot;Gange&quot;,&quot;given&quot;:&quot;A. C.&quot;,&quot;parse-names&quot;:false,&quot;dropping-particle&quot;:&quot;&quot;,&quot;non-dropping-particle&quot;:&quot;&quot;},{&quot;family&quot;:&quot;Bower&quot;,&quot;given&quot;:&quot;E.&quot;,&quot;parse-names&quot;:false,&quot;dropping-particle&quot;:&quot;&quot;,&quot;non-dropping-particle&quot;:&quot;&quot;},{&quot;family&quot;:&quot;Stagg&quot;,&quot;given&quot;:&quot;P. G.&quot;,&quot;parse-names&quot;:false,&quot;dropping-particle&quot;:&quot;&quot;,&quot;non-dropping-particle&quot;:&quot;&quot;},{&quot;family&quot;:&quot;Aplin&quot;,&quot;given&quot;:&quot;D. M.&quot;,&quot;parse-names&quot;:false,&quot;dropping-particle&quot;:&quot;&quot;,&quot;non-dropping-particle&quot;:&quot;&quot;},{&quot;family&quot;:&quot;Gillam&quot;,&quot;given&quot;:&quot;A. E.&quot;,&quot;parse-names&quot;:false,&quot;dropping-particle&quot;:&quot;&quot;,&quot;non-dropping-particle&quot;:&quot;&quot;},{&quot;family&quot;:&quot;Bracken&quot;,&quot;given&quot;:&quot;M.&quot;,&quot;parse-names&quot;:false,&quot;dropping-particle&quot;:&quot;&quot;,&quot;non-dropping-particle&quot;:&quot;&quot;}],&quot;container-title&quot;:&quot;New Phytologist&quot;,&quot;accessed&quot;:{&quot;date-parts&quot;:[[2021,3,16]]},&quot;DOI&quot;:&quot;10.1046/j.1469-8137.1999.00371.x&quot;,&quot;ISSN&quot;:&quot;0028646X&quot;,&quot;URL&quot;:&quot;http://doi.wiley.com/10.1046/j.1469-8137.1999.00371.x&quot;,&quot;issued&quot;:{&quot;date-parts&quot;:[[1999,4,1]]},&quot;page&quot;:&quot;123-132&quot;,&quot;abstract&quot;:&quot;The extent of arbuscular mycorrhizal colonization was assessed in 10 field-collected plant species, representing three annual forbs, three perennial forbs, three perennial grasses and one annual grass. Each root system of each plant was split into four portions, and for each portion, mycorrhizal structures were revealed with epifluorescence microscopy (under which only arbuscules are generally visible) and three commonly used stains (Chlorazol Black E, Acid Fuchsin and Trypan Blue). The aim of the study was not to evaluate the efficacy of each method, but to compare results obtained by each under standard laboratory conditions. The recorded colonization levels of arbuscules, total arbuscular mycorrhizal fungal material and total fungal (arbuscular mycorrhizal + non-arbuscular mycorrhizal) material differed significantly between visualization methods in a number of species. However, there were also interactions between stain and plant species, indicating that the performance of a stain is dependent on the plant species being examined. In some cases (e.g. Plantago lanceolata), each visualization method produced the same colonization level, while in others (e.g. Dactylis glomerata), each method gave a different result. These data therefore suggest that the level of mycorrhizal colonization recorded in any particular plant species at a particular time is dependent on the technique employed.&quot;,&quot;publisher&quot;:&quot;John Wiley &amp; Sons, Ltd&quot;,&quot;issue&quot;:&quot;1&quot;,&quot;volume&quot;:&quot;142&quot;},&quot;isTemporary&quot;:false}],&quot;properties&quot;:{&quot;noteIndex&quot;:0},&quot;isEdited&quot;:false,&quot;manualOverride&quot;:{&quot;isManuallyOverridden&quot;:true,&quot;citeprocText&quot;:&quot;(Gange et al., 1999)&quot;,&quot;manualOverrideText&quot;:&quot;(Gange et al., 1999).&quot;},&quot;citationTag&quot;:&quot;MENDELEY_CITATION_v3_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&quot;},{&quot;citationID&quot;:&quot;MENDELEY_CITATION_3a001ea1-d31c-4869-971d-e3f09fcf2e54&quot;,&quot;citationItems&quot;:[{&quot;id&quot;:&quot;3644bb2c-45cf-3796-8f89-caa4ef523138&quot;,&quot;itemData&quot;:{&quot;type&quot;:&quot;article&quot;,&quot;id&quot;:&quot;3644bb2c-45cf-3796-8f89-caa4ef523138&quot;,&quot;title&quot;:&quot;Cereal mycorrhiza: an ancient symbiosis in modern agriculture&quot;,&quot;author&quot;:[{&quot;family&quot;:&quot;Sawers&quot;,&quot;given&quot;:&quot;Ruairidh J.H.&quot;,&quot;parse-names&quot;:false,&quot;dropping-particle&quot;:&quot;&quot;,&quot;non-dropping-particle&quot;:&quot;&quot;},{&quot;family&quot;:&quot;Gutjahr&quot;,&quot;given&quot;:&quot;Caroline&quot;,&quot;parse-names&quot;:false,&quot;dropping-particle&quot;:&quot;&quot;,&quot;non-dropping-particle&quot;:&quot;&quot;},{&quot;family&quot;:&quot;Paszkowski&quot;,&quot;given&quot;:&quot;Uta&quot;,&quot;parse-names&quot;:false,&quot;dropping-particle&quot;:&quot;&quot;,&quot;non-dropping-particle&quot;:&quot;&quot;}],&quot;container-title&quot;:&quot;Trends in Plant Science&quot;,&quot;accessed&quot;:{&quot;date-parts&quot;:[[2021,3,18]]},&quot;DOI&quot;:&quot;10.1016/j.tplants.2007.11.006&quot;,&quot;ISSN&quot;:&quot;13601385&quot;,&quot;PMID&quot;:&quot;18262822&quot;,&quot;issued&quot;:{&quot;date-parts&quot;:[[2008,2]]},&quot;page&quot;:&quot;93-97&quot;,&quot;abstract&quot;:&quot;The majority of terrestrial plants live in association with symbiotic fungi that facilitate mineral nutrient uptake. The oldest and most prevalent of these associations are the arbuscular mycorrhizal (AM) symbioses that first evolved ∼400 million years ago, coinciding with the appearance of the first land plants. Crop domestication, in comparison, is a relatively recent event, beginning ∼10 000 years ago. How has the dramatic change from wild to cultivated ecosystems impacted AM associations, and do these ancient symbioses potentially have a role in modern agriculture? Here, we review recent advances in AM research and the use of breeding approaches to generate new crop varieties that enhance the agronomic potential of AM associations. © 2007 Elsevier Ltd. All rights reserved.&quot;,&quot;issue&quot;:&quot;2&quot;,&quot;volume&quot;:&quot;13&quot;},&quot;isTemporary&quot;:false}],&quot;properties&quot;:{&quot;noteIndex&quot;:0},&quot;isEdited&quot;:false,&quot;manualOverride&quot;:{&quot;isManuallyOverridden&quot;:false,&quot;citeprocText&quot;:&quot;(Sawers et al., 2008)&quot;,&quot;manualOverrideText&quot;:&quot;&quot;},&quot;citationTag&quot;:&quot;MENDELEY_CITATION_v3_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&quot;},{&quot;citationID&quot;:&quot;MENDELEY_CITATION_e73486ce-39b8-4009-a34e-d316a89a9977&quot;,&quot;citationItems&quot;:[{&quot;id&quot;:&quot;54420778-acda-3914-a295-e66914b6cc21&quot;,&quot;itemData&quot;:{&quot;type&quot;:&quot;article-journal&quot;,&quot;id&quot;:&quot;54420778-acda-3914-a295-e66914b6cc21&quot;,&quot;title&quot;:&quot;Mycorrhizal fungi can dominate phosphate supply to plants irrespective of growth responses&quot;,&quot;author&quot;:[{&quot;family&quot;:&quot;Smith&quot;,&quot;given&quot;:&quot;Sally E.&quot;,&quot;parse-names&quot;:false,&quot;dropping-particle&quot;:&quot;&quot;,&quot;non-dropping-particle&quot;:&quot;&quot;},{&quot;family&quot;:&quot;Smith&quot;,&quot;given&quot;:&quot;F. Andrew&quot;,&quot;parse-names&quot;:false,&quot;dropping-particle&quot;:&quot;&quot;,&quot;non-dropping-particle&quot;:&quot;&quot;},{&quot;family&quot;:&quot;Jakobsen&quot;,&quot;given&quot;:&quot;Iver&quot;,&quot;parse-names&quot;:false,&quot;dropping-particle&quot;:&quot;&quot;,&quot;non-dropping-particle&quot;:&quot;&quot;}],&quot;container-title&quot;:&quot;Plant Physiology&quot;,&quot;accessed&quot;:{&quot;date-parts&quot;:[[2021,3,18]]},&quot;DOI&quot;:&quot;10.1104/pp.103.024380&quot;,&quot;ISSN&quot;:&quot;00320889&quot;,&quot;PMID&quot;:&quot;12970469&quot;,&quot;URL&quot;:&quot;https://www.ncbi.nlm.nih.gov/pmc/articles/PMC1540331/&quot;,&quot;issued&quot;:{&quot;date-parts&quot;:[[2003,9,1]]},&quot;page&quot;:&quot;16-20&quot;,&quot;abstract&quot;:&quot;Arbuscular mycorrhizal (AM) fungi are vital components of nearly all terrestrial ecosystems, forming mutually beneficial (mutualistic) symbioses with the roots of around 80% of vascular plants and often increasing phosphate (P) uptake and growth. We present novel data showing that AM fungi can provide the dominant route for plant P supply, even when overall growth or P uptake remains unaffected. The results will change our understanding of the roles of AM fungi in agricultural and natural ecosystems ; they also predict that mycorrhiza-specific plant P transporters must play a major role in plant P uptake regardless of whether the plants respond to AM colonization by taking up more P per plant or by increased dry weight, compared with non-mycorrhizal (NM) control plants. AM associations are the outcome of 450 million years of co-evolution, which has led to adaptations in both plants and fungi that underpin their symbiotic development and function. The main physiological basis for mutualism is bidirectional nutrient transfer (Smith and Smith, 1990). Plants supply the AM fungi with sugars, and the fungi enhance the ability of the plants to scavenge for scarce and immobile nutrients, particularly P. Different AM fungus-plant combinations are functionally diverse both in effectiveness of the fungi as symbionts and in responsiveness of the plants in terms of total P uptake, growth, and/or reproduction, again compared with NM controls. This diversity has significant influences on plant interactions in ecosystems (Read, 1998; van der Heijden et al., 1998; Jakobsen et al., 2002; van der Heijden and Sanders, 2002) but is poorly understood at physiological or molecular levels.&quot;,&quot;publisher&quot;:&quot;American Society of Plant Biologists&quot;,&quot;issue&quot;:&quot;1&quot;,&quot;volume&quot;:&quot;133&quot;},&quot;isTemporary&quot;:false}],&quot;properties&quot;:{&quot;noteIndex&quot;:0},&quot;isEdited&quot;:false,&quot;manualOverride&quot;:{&quot;isManuallyOverriden&quot;:false,&quot;citeprocText&quot;:&quot;(S. E. Smith et al., 2003)&quot;,&quot;manualOverrideText&quot;:&quot;(Smith et al., 2003)&quot;,&quot;isManuallyOverridden&quot;:true},&quot;citationTag&quot;:&quot;MENDELEY_CITATION_v3_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&quot;},{&quot;citationID&quot;:&quot;MENDELEY_CITATION_531bb582-799b-4ce8-ad04-d4706f7d4265&quot;,&quot;citationItems&quot;:[{&quot;id&quot;:&quot;3714e97b-d34c-329f-8671-9b8478b46e16&quot;,&quot;itemData&quot;:{&quot;type&quot;:&quot;article-journal&quot;,&quot;id&quot;:&quot;3714e97b-d34c-329f-8671-9b8478b46e16&quot;,&quot;title&quot;:&quot;European and African maize cultivars differ in their physiological and molecular responses to mycorrhizal infection&quot;,&quot;author&quot;:[{&quot;family&quot;:&quot;Wright&quot;,&quot;given&quot;:&quot;Derek P.&quot;,&quot;parse-names&quot;:false,&quot;dropping-particle&quot;:&quot;&quot;,&quot;non-dropping-particle&quot;:&quot;&quot;},{&quot;family&quot;:&quot;Scholes&quot;,&quot;given&quot;:&quot;Julie D.&quot;,&quot;parse-names&quot;:false,&quot;dropping-particle&quot;:&quot;&quot;,&quot;non-dropping-particle&quot;:&quot;&quot;},{&quot;family&quot;:&quot;Read&quot;,&quot;given&quot;:&quot;David J.&quot;,&quot;parse-names&quot;:false,&quot;dropping-particle&quot;:&quot;&quot;,&quot;non-dropping-particle&quot;:&quot;&quot;},{&quot;family&quot;:&quot;Rolfe&quot;,&quot;given&quot;:&quot;Stephen A.&quot;,&quot;parse-names&quot;:false,&quot;dropping-particle&quot;:&quot;&quot;,&quot;non-dropping-particle&quot;:&quot;&quot;}],&quot;container-title&quot;:&quot;New Phytologist&quot;,&quot;accessed&quot;:{&quot;date-parts&quot;:[[2021,3,18]]},&quot;DOI&quot;:&quot;10.1111/j.1469-8137.2005.01472.x&quot;,&quot;ISSN&quot;:&quot;0028646X&quot;,&quot;URL&quot;:&quot;http://doi.wiley.com/10.1111/j.1469-8137.2005.01472.x&quot;,&quot;issued&quot;:{&quot;date-parts&quot;:[[2005,6,16]]},&quot;page&quot;:&quot;881-896&quot;,&quot;abstract&quot;:&quot;• Physiological and molecular responses to phosphorus (P) supply and mycorrhizal infection by Glomus intraradices were compared in European (River) and African (H511) maize (Zea mays) cultivars to examine the extent to which these responses differed between plants developed for use in high- and low-nutrient-input agricultural systems. • Biomass, photosynthetic rates, nutrient and carbohydrate contents, mycorrhizal colonization and nutrient-responsive phosphate transporter gene expression were measured in nonmycorrhizal and mycorrhizal plants grown at different inorganic phosphorus (Pi) supply rates. • Nonmycorrhizal River plants grew poorly at low Pi but were highly responsive to mycorrhizal infection; there were large increases in biomass, tissue P content and the rate of photosynthesis and a decline in the expression of phosphate transporter genes. Nonmycorrhizal H511 plants grew better than River plants at low Pi, and had a higher root:shoot ratio. However, the responses of H511 plants to higher Pi supplies and mycorrhizal infection were much more limited than those of River plants. • The adaptations that allowed nonmycorrhizal H511 plants to perform well in low-P soils limited their ability to respond to higher nutrient supply rates and mycorrhizal infection. The European variety had not lost the ability to respond to mycorrhizas and may have traits useful for low-nutrient agriculture where mycorrhizal symbioses are established. © New Phytologist (2005).&quot;,&quot;publisher&quot;:&quot;John Wiley &amp; Sons, Ltd&quot;,&quot;issue&quot;:&quot;3&quot;,&quot;volume&quot;:&quot;167&quot;},&quot;isTemporary&quot;:false},{&quot;id&quot;:&quot;3644bb2c-45cf-3796-8f89-caa4ef523138&quot;,&quot;itemData&quot;:{&quot;type&quot;:&quot;article&quot;,&quot;id&quot;:&quot;3644bb2c-45cf-3796-8f89-caa4ef523138&quot;,&quot;title&quot;:&quot;Cereal mycorrhiza: an ancient symbiosis in modern agriculture&quot;,&quot;author&quot;:[{&quot;family&quot;:&quot;Sawers&quot;,&quot;given&quot;:&quot;Ruairidh J.H.&quot;,&quot;parse-names&quot;:false,&quot;dropping-particle&quot;:&quot;&quot;,&quot;non-dropping-particle&quot;:&quot;&quot;},{&quot;family&quot;:&quot;Gutjahr&quot;,&quot;given&quot;:&quot;Caroline&quot;,&quot;parse-names&quot;:false,&quot;dropping-particle&quot;:&quot;&quot;,&quot;non-dropping-particle&quot;:&quot;&quot;},{&quot;family&quot;:&quot;Paszkowski&quot;,&quot;given&quot;:&quot;Uta&quot;,&quot;parse-names&quot;:false,&quot;dropping-particle&quot;:&quot;&quot;,&quot;non-dropping-particle&quot;:&quot;&quot;}],&quot;container-title&quot;:&quot;Trends in Plant Science&quot;,&quot;accessed&quot;:{&quot;date-parts&quot;:[[2021,3,18]]},&quot;DOI&quot;:&quot;10.1016/j.tplants.2007.11.006&quot;,&quot;ISSN&quot;:&quot;13601385&quot;,&quot;PMID&quot;:&quot;18262822&quot;,&quot;issued&quot;:{&quot;date-parts&quot;:[[2008,2]]},&quot;page&quot;:&quot;93-97&quot;,&quot;abstract&quot;:&quot;The majority of terrestrial plants live in association with symbiotic fungi that facilitate mineral nutrient uptake. The oldest and most prevalent of these associations are the arbuscular mycorrhizal (AM) symbioses that first evolved ∼400 million years ago, coinciding with the appearance of the first land plants. Crop domestication, in comparison, is a relatively recent event, beginning ∼10 000 years ago. How has the dramatic change from wild to cultivated ecosystems impacted AM associations, and do these ancient symbioses potentially have a role in modern agriculture? Here, we review recent advances in AM research and the use of breeding approaches to generate new crop varieties that enhance the agronomic potential of AM associations. © 2007 Elsevier Ltd. All rights reserved.&quot;,&quot;issue&quot;:&quot;2&quot;,&quot;volume&quot;:&quot;13&quot;},&quot;isTemporary&quot;:false}],&quot;properties&quot;:{&quot;noteIndex&quot;:0},&quot;isEdited&quot;:false,&quot;manualOverride&quot;:{&quot;isManuallyOverriden&quot;:false,&quot;citeprocText&quot;:&quot;(Sawers et al., 2008; D. P. Wright et al., 2005)&quot;,&quot;manualOverrideText&quot;:&quot;(Sawers et al., 2008; Wright et al., 2005)&quot;,&quot;isManuallyOverridden&quot;:true},&quot;citationTag&quot;:&quot;MENDELEY_CITATION_v3_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&quot;},{&quot;citationID&quot;:&quot;MENDELEY_CITATION_65a2545c-b100-4803-9a3b-6ff123056959&quot;,&quot;citationItems&quot;:[{&quot;id&quot;:&quot;769347fd-cac3-35ee-940e-6ee81caae43a&quot;,&quot;itemData&quot;:{&quot;type&quot;:&quot;article-journal&quot;,&quot;id&quot;:&quot;769347fd-cac3-35ee-940e-6ee81caae43a&quot;,&quot;title&quot;:&quot;Root growth in response to nitrogen supply in Chinese maize hybrids released between 1973 and 2009&quot;,&quot;author&quot;:[{&quot;family&quot;:&quot;Wu&quot;,&quot;given&quot;:&quot;Qiu Ping&quot;,&quot;parse-names&quot;:false,&quot;dropping-particle&quot;:&quot;&quot;,&quot;non-dropping-particle&quot;:&quot;&quot;},{&quot;family&quot;:&quot;Chen&quot;,&quot;given&quot;:&quot;Fan Jun&quot;,&quot;parse-names&quot;:false,&quot;dropping-particle&quot;:&quot;&quot;,&quot;non-dropping-particle&quot;:&quot;&quot;},{&quot;family&quot;:&quot;Chen&quot;,&quot;given&quot;:&quot;Yan Ling&quot;,&quot;parse-names&quot;:false,&quot;dropping-particle&quot;:&quot;&quot;,&quot;non-dropping-particle&quot;:&quot;&quot;},{&quot;family&quot;:&quot;Yuan&quot;,&quot;given&quot;:&quot;Li Xing&quot;,&quot;parse-names&quot;:false,&quot;dropping-particle&quot;:&quot;&quot;,&quot;non-dropping-particle&quot;:&quot;&quot;},{&quot;family&quot;:&quot;Zhang&quot;,&quot;given&quot;:&quot;Fu Suo&quot;,&quot;parse-names&quot;:false,&quot;dropping-particle&quot;:&quot;&quot;,&quot;non-dropping-particle&quot;:&quot;&quot;},{&quot;family&quot;:&quot;Mi&quot;,&quot;given&quot;:&quot;Guo Hua&quot;,&quot;parse-names&quot;:false,&quot;dropping-particle&quot;:&quot;&quot;,&quot;non-dropping-particle&quot;:&quot;&quot;}],&quot;container-title&quot;:&quot;Science China Life Sciences&quot;,&quot;DOI&quot;:&quot;10.1007/s11427-011-4186-6&quot;,&quot;ISSN&quot;:&quot;16747305&quot;,&quot;PMID&quot;:&quot;21748587&quot;,&quot;issued&quot;:{&quot;date-parts&quot;:[[2011,7]]},&quot;page&quot;:&quot;642-650&quot;,&quot;abstract&quot;:&quot;Root growth has a fundamental role in nitrogen (N) use efficiency. Nevertheless, little is known about how modern breeding progress has affected root growth and its responses to N supply. The root and shoot growth of a core set of 11 representative Chinese maize (Zea mays L.) hybrids released between 1973 and 2009 were investigated under high N (4 mmol L -1, HN) and low N (0. 04 mmol L -1, LN) levels in a solution culture system. Compared with LN, HN treatment decreased root dry weight (RDW), the root: shoot ratio (R/S), and the relative growth rate for root dry weight (RGR root), but increased the total root length (TRL) and the total lateral root length (LRL). The total axial root length (ARL) per plant was reduced under HN, mostly in hybrids released before the 1990s. The number of seminal roots (SRN) was largely unaffected by different N levels. More recently released hybrids showed higher relative growth rates in the shoot under both HN and LN. However, the roots only showed increased RGR under HN treatment. Correspondingly, there was a positive linear relationship with the year of hybrid release for TRL, LRL and ARL under HN treatment. Together, these results suggest that while shoot growth of maize has improved, its root growth has only improved under high N conditions over the last 36 years of selective breeding in China. Improving root growth under LN conditions may be necessary to increase the N use efficiency of maize. © 2011 Science China Press and Springer-Verlag Berlin Heidelberg.&quot;,&quot;issue&quot;:&quot;7&quot;,&quot;volume&quot;:&quot;54&quot;},&quot;isTemporary&quot;:false}],&quot;properties&quot;:{&quot;noteIndex&quot;:0},&quot;isEdited&quot;:false,&quot;manualOverride&quot;:{&quot;isManuallyOverriden&quot;:false,&quot;citeprocText&quot;:&quot;(Q. P. Wu et al., 2011)&quot;,&quot;manualOverrideText&quot;:&quot;(Wu et al., 2011)&quot;,&quot;isManuallyOverridden&quot;:true},&quot;citationTag&quot;:&quot;MENDELEY_CITATION_v3_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&quot;},{&quot;citationID&quot;:&quot;MENDELEY_CITATION_fc013bad-3f9d-4933-8eb6-5c0ac1b882eb&quot;,&quot;citationItems&quot;:[{&quot;id&quot;:&quot;7448bac4-c08e-328f-87dc-8852169727d3&quot;,&quot;itemData&quot;:{&quot;type&quot;:&quot;article-journal&quot;,&quot;id&quot;:&quot;7448bac4-c08e-328f-87dc-8852169727d3&quot;,&quot;title&quot;:&quot;Functional complementarity of ancient plant–fungal mutualisms: contrasting nitrogen, phosphorus and carbon exchanges between Mucoromycotina and Glomeromycotina fungal symbionts of liverworts&quot;,&quot;author&quot;:[{&quot;family&quot;:&quot;Field&quot;,&quot;given&quot;:&quot;Katie J.&quot;,&quot;parse-names&quot;:false,&quot;dropping-particle&quot;:&quot;&quot;,&quot;non-dropping-particle&quot;:&quot;&quot;},{&quot;family&quot;:&quot;Bidartondo&quot;,&quot;given&quot;:&quot;Martin I.&quot;,&quot;parse-names&quot;:false,&quot;dropping-particle&quot;:&quot;&quot;,&quot;non-dropping-particle&quot;:&quot;&quot;},{&quot;family&quot;:&quot;Rimington&quot;,&quot;given&quot;:&quot;William R.&quot;,&quot;parse-names&quot;:false,&quot;dropping-particle&quot;:&quot;&quot;,&quot;non-dropping-particle&quot;:&quot;&quot;},{&quot;family&quot;:&quot;Hoysted&quot;,&quot;given&quot;:&quot;Grace A.&quot;,&quot;parse-names&quot;:false,&quot;dropping-particle&quot;:&quot;&quot;,&quot;non-dropping-particle&quot;:&quot;&quot;},{&quot;family&quot;:&quot;Beerling&quot;,&quot;given&quot;:&quot;David J.&quot;,&quot;parse-names&quot;:false,&quot;dropping-particle&quot;:&quot;&quot;,&quot;non-dropping-particle&quot;:&quot;&quot;},{&quot;family&quot;:&quot;Cameron&quot;,&quot;given&quot;:&quot;Duncan D.&quot;,&quot;parse-names&quot;:false,&quot;dropping-particle&quot;:&quot;&quot;,&quot;non-dropping-particle&quot;:&quot;&quot;},{&quot;family&quot;:&quot;Duckett&quot;,&quot;given&quot;:&quot;Jeffrey G.&quot;,&quot;parse-names&quot;:false,&quot;dropping-particle&quot;:&quot;&quot;,&quot;non-dropping-particle&quot;:&quot;&quot;},{&quot;family&quot;:&quot;Leake&quot;,&quot;given&quot;:&quot;Jonathan R.&quot;,&quot;parse-names&quot;:false,&quot;dropping-particle&quot;:&quot;&quot;,&quot;non-dropping-particle&quot;:&quot;&quot;},{&quot;family&quot;:&quot;Pressel&quot;,&quot;given&quot;:&quot;Silvia&quot;,&quot;parse-names&quot;:false,&quot;dropping-particle&quot;:&quot;&quot;,&quot;non-dropping-particle&quot;:&quot;&quot;}],&quot;container-title&quot;:&quot;New Phytologist&quot;,&quot;accessed&quot;:{&quot;date-parts&quot;:[[2021,3,26]]},&quot;DOI&quot;:&quot;10.1111/nph.15819&quot;,&quot;ISSN&quot;:&quot;14698137&quot;,&quot;PMID&quot;:&quot;30919981&quot;,&quot;issued&quot;:{&quot;date-parts&quot;:[[2019,7,1]]},&quot;page&quot;:&quot;908-921&quot;,&quot;abstract&quot;:&quot;Liverworts, which are amongst the earliest divergent plant lineages and important ecosystem pioneers, often form nutritional mutualisms with arbuscular mycorrhiza-forming Glomeromycotina and fine-root endophytic Mucoromycotina fungi, both of which coevolved with early land plants. Some liverworts, in common with many later divergent plants, harbour both fungal groups, suggesting these fungi may complementarily improve plant access to different soil nutrients. We tested this hypothesis by growing liverworts in single and dual fungal partnerships under a modern atmosphere and under 1500 ppm [CO2], as experienced by early land plants. Access to soil nutrients via fungal partners was investigated with 15N-labelled algal necromass and 33P orthophosphate. Photosynthate allocation to fungi was traced using 14CO2. Only Mucoromycotina fungal partners provided liverworts with substantial access to algal 15N, irrespective of atmospheric CO2 concentration. Both symbionts increased 33P uptake, but Glomeromycotina were often more effective. Dual partnerships showed complementarity of nutrient pool use and greatest photosynthate allocation to symbiotic fungi. We show there are important functional differences between the plant–fungal symbioses tested, providing new insights into the functional biology of Glomeromycotina and Mucoromycotina fungal groups that form symbioses with plants. This may explain the persistence of the two fungal lineages in symbioses across the evolution of land plants.&quot;,&quot;publisher&quot;:&quot;Blackwell Publishing Ltd&quot;,&quot;issue&quot;:&quot;2&quot;,&quot;volume&quot;:&quot;223&quot;},&quot;isTemporary&quot;:false}],&quot;properties&quot;:{&quot;noteIndex&quot;:0},&quot;isEdited&quot;:false,&quot;manualOverride&quot;:{&quot;isManuallyOverridden&quot;:false,&quot;citeprocText&quot;:&quot;(Field et al., 2019)&quot;,&quot;manualOverrideText&quot;:&quot;&quot;},&quot;citationTag&quot;:&quot;MENDELEY_CITATION_v3_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&quot;},{&quot;citationID&quot;:&quot;MENDELEY_CITATION_3f4bf3e1-fdb6-4181-8994-54636c5d26be&quot;,&quot;citationItems&quot;:[{&quot;id&quot;:&quot;a329ce44-ae9d-324f-8934-e062f2763505&quot;,&quot;itemData&quot;:{&quot;type&quot;:&quot;article-journal&quot;,&quot;id&quot;:&quot;a329ce44-ae9d-324f-8934-e062f2763505&quot;,&quot;title&quot;:&quot;Classification of maize seeds of different years based on hyperspectral imaging and model updating&quot;,&quot;author&quot;:[{&quot;family&quot;:&quot;Huang&quot;,&quot;given&quot;:&quot;Min&quot;,&quot;parse-names&quot;:false,&quot;dropping-particle&quot;:&quot;&quot;,&quot;non-dropping-particle&quot;:&quot;&quot;},{&quot;family&quot;:&quot;Tang&quot;,&quot;given&quot;:&quot;Jinya&quot;,&quot;parse-names&quot;:false,&quot;dropping-particle&quot;:&quot;&quot;,&quot;non-dropping-particle&quot;:&quot;&quot;},{&quot;family&quot;:&quot;Yang&quot;,&quot;given&quot;:&quot;Bao&quot;,&quot;parse-names&quot;:false,&quot;dropping-particle&quot;:&quot;&quot;,&quot;non-dropping-particle&quot;:&quot;&quot;},{&quot;family&quot;:&quot;Zhu&quot;,&quot;given&quot;:&quot;Qibing&quot;,&quot;parse-names&quot;:false,&quot;dropping-particle&quot;:&quot;&quot;,&quot;non-dropping-particle&quot;:&quot;&quot;}],&quot;container-title&quot;:&quot;Computers and Electronics in Agriculture&quot;,&quot;DOI&quot;:&quot;10.1016/j.compag.2016.01.029&quot;,&quot;ISSN&quot;:&quot;01681699&quot;,&quot;issued&quot;:{&quot;date-parts&quot;:[[2016,3,1]]},&quot;page&quot;:&quot;139-145&quot;,&quot;abstract&quot;:&quot;Seed classification and identification exhibit potential for detecting seed purity and increasing crop yield. In this study, hyperspectral imaging was employed to develop classification methods for maize seeds. A total of 2000 seeds, including four varieties of maize seeds of different years, were evaluated. Hyperspectral reflectance images were acquired between 400 nm and 1000 nm. Classification models based on the mean spectral features of seeds were developed using least squares support vector machine (LSSVM). Model updating using incremental support vector data description was also applied to update the LSSVM model online and ensure accurate identification of maize seeds of different years. The classification accuracy of the LSSVM model combined with model updating reached 94.4% and was 10.3% higher than that of other non-updated models. This study showed that combined hyperspectral imaging and model updating could be an effective method for classification of seeds of different years.&quot;,&quot;publisher&quot;:&quot;Elsevier B.V.&quot;,&quot;volume&quot;:&quot;122&quot;},&quot;isTemporary&quot;:false},{&quot;id&quot;:&quot;d682ac47-e3af-3a3d-9fcb-69cadf68255a&quot;,&quot;itemData&quot;:{&quot;type&quot;:&quot;article-journal&quot;,&quot;id&quot;:&quot;d682ac47-e3af-3a3d-9fcb-69cadf68255a&quot;,&quot;title&quot;:&quot;Seed systems and farmers' seed choices: The case of maize in the Peruvian Amazon&quot;,&quot;author&quot;:[{&quot;family&quot;:&quot;Stromberg&quot;,&quot;given&quot;:&quot;Per M.&quot;,&quot;parse-names&quot;:false,&quot;dropping-particle&quot;:&quot;&quot;,&quot;non-dropping-particle&quot;:&quot;&quot;},{&quot;family&quot;:&quot;Pascual&quot;,&quot;given&quot;:&quot;Unai&quot;,&quot;parse-names&quot;:false,&quot;dropping-particle&quot;:&quot;&quot;,&quot;non-dropping-particle&quot;:&quot;&quot;},{&quot;family&quot;:&quot;Bellon&quot;,&quot;given&quot;:&quot;Mauricio R.&quot;,&quot;parse-names&quot;:false,&quot;dropping-particle&quot;:&quot;&quot;,&quot;non-dropping-particle&quot;:&quot;&quot;}],&quot;container-title&quot;:&quot;Human Ecology&quot;,&quot;DOI&quot;:&quot;10.1007/s10745-010-9333-3&quot;,&quot;ISSN&quot;:&quot;03007839&quot;,&quot;issued&quot;:{&quot;date-parts&quot;:[[2010]]},&quot;page&quot;:&quot;539-553&quot;,&quot;abstract&quot;:&quot;This paper analyzes how local seed system institutions support seed diversity, itself a requirement for agrobiodiversity maintained on-farm. The paper focuses on maize seed diversity in the central Peruvian Amazon. Using household and community level data from three different cultural groups from the central Peruvian Amazon, empirical results show the importance of collective action and the mediating role of ethnicity in the functioning of informal seed systems that in turn affect farmers' choices regarding conservation of seed diversity. This implies that policies are needed to protect the relatively open seed exchanges of such local practices as a way to sustain on-farm agrobiodiversity. © 2010 Springer Science+Business Media, LLC.&quot;,&quot;publisher&quot;:&quot;Springer New York&quot;,&quot;issue&quot;:&quot;4&quot;,&quot;volume&quot;:&quot;38&quot;},&quot;isTemporary&quot;:false}],&quot;properties&quot;:{&quot;noteIndex&quot;:0},&quot;isEdited&quot;:false,&quot;manualOverride&quot;:{&quot;isManuallyOverriden&quot;:false,&quot;citeprocText&quot;:&quot;(Huang et al., 2016; Stromberg et al., 2010)&quot;,&quot;manualOverrideText&quot;:&quot;&quot;},&quot;citationTag&quot;:&quot;MENDELEY_CITATION_v3_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&quot;},{&quot;citationID&quot;:&quot;MENDELEY_CITATION_d64d06b3-f963-40d8-85a5-76fbdb534032&quot;,&quot;citationItems&quot;:[{&quot;id&quot;:&quot;dbddbcb3-e51e-34d0-b7e6-0a94dde3c996&quot;,&quot;itemData&quot;:{&quot;type&quot;:&quot;article-journal&quot;,&quot;id&quot;:&quot;dbddbcb3-e51e-34d0-b7e6-0a94dde3c996&quot;,&quot;title&quot;:&quot;Wide variability in kernel composition, seed characteristics, and zein profiles among diverse maize inbreds, landraces, and teosinte&quot;,&quot;author&quot;:[{&quot;family&quot;:&quot;Flint-Garcia&quot;,&quot;given&quot;:&quot;Sherry A.&quot;,&quot;parse-names&quot;:false,&quot;dropping-particle&quot;:&quot;&quot;,&quot;non-dropping-particle&quot;:&quot;&quot;},{&quot;family&quot;:&quot;Bodnar&quot;,&quot;given&quot;:&quot;Anastasia L.&quot;,&quot;parse-names&quot;:false,&quot;dropping-particle&quot;:&quot;&quot;,&quot;non-dropping-particle&quot;:&quot;&quot;},{&quot;family&quot;:&quot;Scott&quot;,&quot;given&quot;:&quot;M. Paul&quot;,&quot;parse-names&quot;:false,&quot;dropping-particle&quot;:&quot;&quot;,&quot;non-dropping-particle&quot;:&quot;&quot;}],&quot;container-title&quot;:&quot;Theoretical and Applied Genetics&quot;,&quot;DOI&quot;:&quot;10.1007/s00122-009-1115-1&quot;,&quot;ISSN&quot;:&quot;00405752&quot;,&quot;PMID&quot;:&quot;19701625&quot;,&quot;issued&quot;:{&quot;date-parts&quot;:[[2009,10]]},&quot;page&quot;:&quot;1129-1142&quot;,&quot;abstract&quot;:&quot;All crop species have been domesticated from their wild relatives, and geneticists are just now beginning to understand the consequences of artificial (human) selection on agronomic traits that are relevant today. The primary consequence is a basal loss of diversity across the genome, and an additional reduction in diversity for genes underlying traits targeted by selection. An understanding of attributes of the wild relatives may provide insight into target traits and valuable allelic variants for modern agriculture. This is especially true for maize (Zea mays ssp. mays), where its wild ancestor, teosinte (Z. mays ssp. parviglumis), is so strikingly different than modern maize. One obvious target of selection is the size and composition of the kernel. We evaluated kernel characteristics, kernel composition, and zein profiles for a diverse set of modern inbred lines, teosinte accessions, and landraces, the intermediate between inbreds and teosinte. We found that teosinte has very small seeds, but twice the protein content of landraces and inbred lines. Teosinte has a higher average alpha zein content (nearly 89% of total zeins as compared to 72% for inbred lines and 76% for landraces), and there are many novel alcohol-soluble proteins in teosinte relative to the other two germplasm groups. Nearly every zein protein varied in abundance among the germplasm groups, especially the methionine-rich delta zein protein, and the gamma zeins. Teosinte and landraces harbor phenotypic variation that will facilitate genetic dissection of kernel traits and grain quality, ultimately leading to improvement via traditional plant breeding and/or genetic engineering. © 2009 US Government.&quot;,&quot;issue&quot;:&quot;6&quot;,&quot;volume&quot;:&quot;119&quot;},&quot;isTemporary&quot;:false},{&quot;id&quot;:&quot;063d9c93-b62e-34a1-9558-0d6c74105554&quot;,&quot;itemData&quot;:{&quot;type&quot;:&quot;article-journal&quot;,&quot;id&quot;:&quot;063d9c93-b62e-34a1-9558-0d6c74105554&quot;,&quot;title&quot;:&quot;Developing incentives and economic mechanisms for in situ biodiversity conservation in agricultural landscapes&quot;,&quot;author&quot;:[{&quot;family&quot;:&quot;Pascual&quot;,&quot;given&quot;:&quot;U.&quot;,&quot;parse-names&quot;:false,&quot;dropping-particle&quot;:&quot;&quot;,&quot;non-dropping-particle&quot;:&quot;&quot;},{&quot;family&quot;:&quot;Perrings&quot;,&quot;given&quot;:&quot;C.&quot;,&quot;parse-names&quot;:false,&quot;dropping-particle&quot;:&quot;&quot;,&quot;non-dropping-particle&quot;:&quot;&quot;}],&quot;container-title&quot;:&quot;Agriculture, Ecosystems and Environment&quot;,&quot;DOI&quot;:&quot;10.1016/j.agee.2006.12.025&quot;,&quot;ISSN&quot;:&quot;01678809&quot;,&quot;issued&quot;:{&quot;date-parts&quot;:[[2007,7]]},&quot;page&quot;:&quot;256-268&quot;,&quot;abstract&quot;:&quot;The main focus of this paper is agrobiodiversity and its effects on agricultural production within agricultural landscapes. The interest is to shed light about the fundamental causes of agrobiodiversity loss by focusing upon the institutional or meso-economic environment that mediates farmers' decentralized decisions. Since the main causes of farmers' decisions to 'disinvest' in agrobiodiversity as an asset lie in the incentives offered by current markets and other institutions, the solution to the problem also lies in corrective institutional design. This paper discusses the institutional issues involved in establishing market-like mechanisms for agrobiodiversity conservation. Three steps are highlighted in such process: demonstration (valuation), capture and sharing of conservation benefits (mechanism design). This information is then used to examine the potential success of nascent market creation incentive mechanisms for biodiversity conservation, including: (i) payments/rewards for ecosystem services, (ii) direct compensation payments, (iii) land use development rights, and (iv) auctions for biodiversity conservation. The potential gains to society from their use with regard to agrobiodiversity conservation are discussed and some illustrative examples involving their application in different parts of the world are also described. © 2006 Elsevier B.V. All rights reserved.&quot;,&quot;issue&quot;:&quot;3&quot;,&quot;volume&quot;:&quot;121&quot;},&quot;isTemporary&quot;:false}],&quot;properties&quot;:{&quot;noteIndex&quot;:0},&quot;isEdited&quot;:false,&quot;manualOverride&quot;:{&quot;isManuallyOverriden&quot;:false,&quot;citeprocText&quot;:&quot;(Flint-Garcia et al., 2009; Pascual &amp;#38; Perrings, 2007)&quot;,&quot;manualOverrideText&quot;:&quot;&quot;},&quot;citationTag&quot;:&quot;MENDELEY_CITATION_v3_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&quot;},{&quot;citationID&quot;:&quot;MENDELEY_CITATION_8e0b3fc3-eef2-4efd-9717-f1f58f87c539&quot;,&quot;citationItems&quot;:[{&quot;id&quot;:&quot;cdce12d4-3453-3547-a1df-ce796d191377&quot;,&quot;itemData&quot;:{&quot;type&quot;:&quot;article-journal&quot;,&quot;id&quot;:&quot;cdce12d4-3453-3547-a1df-ce796d191377&quot;,&quot;title&quot;:&quot;The Dynamics of Farmers' Maize Seed Supply Practices in the Central Valleys of Oaxaca, Mexico&quot;,&quot;author&quot;:[{&quot;family&quot;:&quot;Badstue&quot;,&quot;given&quot;:&quot;Lone B.&quot;,&quot;parse-names&quot;:false,&quot;dropping-particle&quot;:&quot;&quot;,&quot;non-dropping-particle&quot;:&quot;&quot;},{&quot;family&quot;:&quot;Bellon&quot;,&quot;given&quot;:&quot;Mauricio R.&quot;,&quot;parse-names&quot;:false,&quot;dropping-particle&quot;:&quot;&quot;,&quot;non-dropping-particle&quot;:&quot;&quot;},{&quot;family&quot;:&quot;Berthaud&quot;,&quot;given&quot;:&quot;Julien&quot;,&quot;parse-names&quot;:false,&quot;dropping-particle&quot;:&quot;&quot;,&quot;non-dropping-particle&quot;:&quot;&quot;},{&quot;family&quot;:&quot;Ramírez&quot;,&quot;given&quot;:&quot;Alejandro&quot;,&quot;parse-names&quot;:false,&quot;dropping-particle&quot;:&quot;&quot;,&quot;non-dropping-particle&quot;:&quot;&quot;},{&quot;family&quot;:&quot;Flores&quot;,&quot;given&quot;:&quot;Dagoberto&quot;,&quot;parse-names&quot;:false,&quot;dropping-particle&quot;:&quot;&quot;,&quot;non-dropping-particle&quot;:&quot;&quot;},{&quot;family&quot;:&quot;Juárez&quot;,&quot;given&quot;:&quot;Xóchitl&quot;,&quot;parse-names&quot;:false,&quot;dropping-particle&quot;:&quot;&quot;,&quot;non-dropping-particle&quot;:&quot;&quot;}],&quot;container-title&quot;:&quot;World Development&quot;,&quot;DOI&quot;:&quot;10.1016/j.worlddev.2006.05.023&quot;,&quot;ISSN&quot;:&quot;0305750X&quot;,&quot;issued&quot;:{&quot;date-parts&quot;:[[2007,9]]},&quot;page&quot;:&quot;1579-1593&quot;,&quot;abstract&quot;:&quot;What are the organizing principles that underlie and help shape farmers' seed supply practices in the Central Valleys of Oaxaca? And what are the implications of these practices for maize genetic diversity and the introduction of improved varieties? Local maize seed supply was studied using both qualitative and quantitative methods and a series of factors that influence local seed supply was analyzed. Together they constitute a set of flexible and dynamic practices, which embrace both conservation and innovation aspects. Implications for on-farm conservation and introduction of improved varieties are discussed. © 2007 Elsevier Ltd. All rights reserved.&quot;,&quot;issue&quot;:&quot;9&quot;,&quot;volume&quot;:&quot;35&quot;},&quot;isTemporary&quot;:false}],&quot;properties&quot;:{&quot;noteIndex&quot;:0},&quot;isEdited&quot;:false,&quot;manualOverride&quot;:{&quot;isManuallyOverriden&quot;:false,&quot;citeprocText&quot;:&quot;(Badstue et al., 2007)&quot;,&quot;manualOverrideText&quot;:&quot;&quot;},&quot;citationTag&quot;:&quot;MENDELEY_CITATION_v3_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&quot;},{&quot;citationID&quot;:&quot;MENDELEY_CITATION_5b3bc3c7-9ef5-4f4c-a43f-4c02b2ded648&quot;,&quot;citationItems&quot;:[{&quot;id&quot;:&quot;ddcd3ef7-54c6-30ae-b76f-cd2ee83b8456&quot;,&quot;itemData&quot;:{&quot;type&quot;:&quot;article-journal&quot;,&quot;id&quot;:&quot;ddcd3ef7-54c6-30ae-b76f-cd2ee83b8456&quot;,&quot;title&quot;:&quot;Application of hyperspectral imaging and chemometric calibrations for variety discrimination of maize seeds&quot;,&quot;author&quot;:[{&quot;family&quot;:&quot;Zhang&quot;,&quot;given&quot;:&quot;Xiaolei&quot;,&quot;parse-names&quot;:false,&quot;dropping-particle&quot;:&quot;&quot;,&quot;non-dropping-particle&quot;:&quot;&quot;},{&quot;family&quot;:&quot;Liu&quot;,&quot;given&quot;:&quot;Fei&quot;,&quot;parse-names&quot;:false,&quot;dropping-particle&quot;:&quot;&quot;,&quot;non-dropping-particle&quot;:&quot;&quot;},{&quot;family&quot;:&quot;He&quot;,&quot;given&quot;:&quot;Yong&quot;,&quot;parse-names&quot;:false,&quot;dropping-particle&quot;:&quot;&quot;,&quot;non-dropping-particle&quot;:&quot;&quot;},{&quot;family&quot;:&quot;Li&quot;,&quot;given&quot;:&quot;Xiaoli&quot;,&quot;parse-names&quot;:false,&quot;dropping-particle&quot;:&quot;&quot;,&quot;non-dropping-particle&quot;:&quot;&quot;}],&quot;container-title&quot;:&quot;Sensors (Switzerland)&quot;,&quot;DOI&quot;:&quot;10.3390/s121217234&quot;,&quot;ISSN&quot;:&quot;14248220&quot;,&quot;PMID&quot;:&quot;23235456&quot;,&quot;issued&quot;:{&quot;date-parts&quot;:[[2012,12]]},&quot;page&quot;:&quot;17234-17246&quot;,&quot;abstract&quot;:&quot;Hyperspectral imaging in the visible and near infrared (VIS-NIR) region was used to develop a novel method for discriminating different varieties of commodity maize seeds. Firstly, hyperspectral images of 330 samples of six varieties of maize seeds were acquired using a hyperspectral imaging system in the 380-1,030 nm wavelength range. Secondly, principal component analysis (PCA) and kernel principal component analysis (KPCA) were used to explore the internal structure of the spectral data. Thirdly, three optimal wavelengths (523, 579 and 863 nm) were selected by implementing PCA directly on each image. Then four textural variables including contrast, homogeneity, energy and correlation were extracted from gray level co-occurrence matrix (GLCM) of each monochromatic image based on the optimal wavelengths. Finally, several models for maize seeds identification were established by least squares-support vector machine (LS-SVM) and back propagation neural network (BPNN) using four different combinations of principal components (PCs), kernel principal components (KPCs) and textural features as input variables, respectively. The recognition accuracy achieved in the PCA-GLCM-LS-SVM model (98.89%) was the most satisfactory one. We conclude that hyperspectral imaging combined with texture analysis can be implemented for fast classification of different varieties of maize seeds. © 2012 by the authors; licensee MDPI, Basel, Switzerland.&quot;,&quot;issue&quot;:&quot;12&quot;,&quot;volume&quot;:&quot;12&quot;},&quot;isTemporary&quot;:false}],&quot;properties&quot;:{&quot;noteIndex&quot;:0},&quot;isEdited&quot;:false,&quot;manualOverride&quot;:{&quot;isManuallyOverriden&quot;:false,&quot;citeprocText&quot;:&quot;(X. Zhang et al., 2012)&quot;,&quot;manualOverrideText&quot;:&quot;(Zhang et al., 2012)&quot;,&quot;isManuallyOverridden&quot;:true},&quot;citationTag&quot;:&quot;MENDELEY_CITATION_v3_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&quot;},{&quot;citationID&quot;:&quot;MENDELEY_CITATION_0aaec2b3-7069-42e1-b15e-83f64995476c&quot;,&quot;citationItems&quot;:[{&quot;id&quot;:&quot;25b13e2b-d9e2-3408-bf41-69461ad7fcb0&quot;,&quot;itemData&quot;:{&quot;type&quot;:&quot;article-journal&quot;,&quot;id&quot;:&quot;25b13e2b-d9e2-3408-bf41-69461ad7fcb0&quot;,&quot;title&quot;:&quot;Ethnobotanical knowledge and crop diversity in Swidden fields: A study in a native Amazonian society&quot;,&quot;author&quot;:[{&quot;family&quot;:&quot;Reyes-García&quot;,&quot;given&quot;:&quot;Victoria&quot;,&quot;parse-names&quot;:false,&quot;dropping-particle&quot;:&quot;&quot;,&quot;non-dropping-particle&quot;:&quot;&quot;},{&quot;family&quot;:&quot;Vadez&quot;,&quot;given&quot;:&quot;Vincent&quot;,&quot;parse-names&quot;:false,&quot;dropping-particle&quot;:&quot;&quot;,&quot;non-dropping-particle&quot;:&quot;&quot;},{&quot;family&quot;:&quot;Martí&quot;,&quot;given&quot;:&quot;Neus&quot;,&quot;parse-names&quot;:false,&quot;dropping-particle&quot;:&quot;&quot;,&quot;non-dropping-particle&quot;:&quot;&quot;},{&quot;family&quot;:&quot;Huanca&quot;,&quot;given&quot;:&quot;Tomás&quot;,&quot;parse-names&quot;:false,&quot;dropping-particle&quot;:&quot;&quot;,&quot;non-dropping-particle&quot;:&quot;&quot;},{&quot;family&quot;:&quot;Leonard&quot;,&quot;given&quot;:&quot;William R.&quot;,&quot;parse-names&quot;:false,&quot;dropping-particle&quot;:&quot;&quot;,&quot;non-dropping-particle&quot;:&quot;&quot;},{&quot;family&quot;:&quot;Tanner&quot;,&quot;given&quot;:&quot;Susan&quot;,&quot;parse-names&quot;:false,&quot;dropping-particle&quot;:&quot;&quot;,&quot;non-dropping-particle&quot;:&quot;&quot;}],&quot;container-title&quot;:&quot;Human Ecology&quot;,&quot;DOI&quot;:&quot;10.1007/s10745-008-9177-2&quot;,&quot;ISSN&quot;:&quot;03007839&quot;,&quot;issued&quot;:{&quot;date-parts&quot;:[[2008]]},&quot;page&quot;:&quot;569-580&quot;,&quot;abstract&quot;:&quot;Crop diversity protects food consumption in poor households within developing nations. Here we estimate the association between crop diversity on swidden fields and ethnobotanical knowledge. We conducted research among 215 male household heads from a native Amazonian society. Using multivariate regressions, we found higher crop diversity among households that depend on agricultural production for household consumption. We also found a statistically significant and positive, but low, association between the ethnobotanical knowledge of the male household head and crop diversity. Doubling the stock of ethnobotanical knowledge of the male household head is associated with a 9% increase in the number of crops sown by a household. The association remained after we controlled for the household level of market exposure, but vanished after we controlled for the social capital of the male household head. Future research should compare the association between ethnobotanical knowledge and crop diversity across different agricultural systems (i.e., home gardens, fallow fields). © Springer Science+Business Media, LLC 2008.&quot;,&quot;publisher&quot;:&quot;Springer New York&quot;,&quot;issue&quot;:&quot;4&quot;,&quot;volume&quot;:&quot;36&quot;},&quot;isTemporary&quot;:false}],&quot;properties&quot;:{&quot;noteIndex&quot;:0},&quot;isEdited&quot;:false,&quot;manualOverride&quot;:{&quot;isManuallyOverriden&quot;:false,&quot;citeprocText&quot;:&quot;(Reyes-García et al., 2008)&quot;,&quot;manualOverrideText&quot;:&quot;(Reyes-García et al., 2008). &quot;,&quot;isManuallyOverridden&quot;:true},&quot;citationTag&quot;:&quot;MENDELEY_CITATION_v3_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&quot;},{&quot;citationID&quot;:&quot;MENDELEY_CITATION_fc485cf1-8815-4e04-a7fa-ed2c705c06fd&quot;,&quot;citationItems&quot;:[{&quot;id&quot;:&quot;f2677581-8da0-3aa2-8e3a-8ea0e0d8b222&quot;,&quot;itemData&quot;:{&quot;type&quot;:&quot;article-journal&quot;,&quot;id&quot;:&quot;f2677581-8da0-3aa2-8e3a-8ea0e0d8b222&quot;,&quot;title&quot;:&quot;Evolution: The effects of artificial selection on the maize genome&quot;,&quot;author&quot;:[{&quot;family&quot;:&quot;Wright&quot;,&quot;given&quot;:&quot;Stephen I.&quot;,&quot;parse-names&quot;:false,&quot;dropping-particle&quot;:&quot;&quot;,&quot;non-dropping-particle&quot;:&quot;&quot;},{&quot;family&quot;:&quot;Bi&quot;,&quot;given&quot;:&quot;Irie Vroh&quot;,&quot;parse-names&quot;:false,&quot;dropping-particle&quot;:&quot;&quot;,&quot;non-dropping-particle&quot;:&quot;&quot;},{&quot;family&quot;:&quot;Schroeder&quot;,&quot;given&quot;:&quot;Steve C.&quot;,&quot;parse-names&quot;:false,&quot;dropping-particle&quot;:&quot;&quot;,&quot;non-dropping-particle&quot;:&quot;&quot;},{&quot;family&quot;:&quot;Yamasaki&quot;,&quot;given&quot;:&quot;Masanori&quot;,&quot;parse-names&quot;:false,&quot;dropping-particle&quot;:&quot;&quot;,&quot;non-dropping-particle&quot;:&quot;&quot;},{&quot;family&quot;:&quot;Doebley&quot;,&quot;given&quot;:&quot;John F.&quot;,&quot;parse-names&quot;:false,&quot;dropping-particle&quot;:&quot;&quot;,&quot;non-dropping-particle&quot;:&quot;&quot;},{&quot;family&quot;:&quot;McMullen&quot;,&quot;given&quot;:&quot;Michael D.&quot;,&quot;parse-names&quot;:false,&quot;dropping-particle&quot;:&quot;&quot;,&quot;non-dropping-particle&quot;:&quot;&quot;},{&quot;family&quot;:&quot;Gaut&quot;,&quot;given&quot;:&quot;Brandon S.&quot;,&quot;parse-names&quot;:false,&quot;dropping-particle&quot;:&quot;&quot;,&quot;non-dropping-particle&quot;:&quot;&quot;}],&quot;container-title&quot;:&quot;Science&quot;,&quot;accessed&quot;:{&quot;date-parts&quot;:[[2021,4,14]]},&quot;DOI&quot;:&quot;10.1126/science.1107891&quot;,&quot;ISSN&quot;:&quot;00368075&quot;,&quot;PMID&quot;:&quot;15919994&quot;,&quot;URL&quot;:&quot;https://pubmed.ncbi.nlm.nih.gov/15919994/&quot;,&quot;issued&quot;:{&quot;date-parts&quot;:[[2005,5,27]]},&quot;page&quot;:&quot;1310-1314&quot;,&quot;abstract&quot;:&quot;Domestication promotes rapid phenotypic evolution through artificial selection. We investigated the genetic history by which the wild grass teosinte (Zea mays ssp. patviglumis) was domesticated into modern maize (Z. mays ssp. mays). Analysis of single-nucleotide polymorphisms in 774 genes indicates that 2 to 4% of these genes experienced artificial selection. The remaining genes retain evidence of a population bottleneck associated with domestication. Candidate selected genes with putative function in plant growth are clustered near quantitative trait loci that contribute to phenotypic differences between maize and teosinte. If we assume that our sample of genes is representative, ∼1200 genes throughout the maize genome have been affected by artificial selection.&quot;,&quot;publisher&quot;:&quot;Science&quot;,&quot;issue&quot;:&quot;5726&quot;,&quot;volume&quot;:&quot;308&quot;},&quot;isTemporary&quot;:false},{&quot;id&quot;:&quot;4b4b0589-1422-3825-b5d8-3437f3727b2b&quot;,&quot;itemData&quot;:{&quot;type&quot;:&quot;article-journal&quot;,&quot;id&quot;:&quot;4b4b0589-1422-3825-b5d8-3437f3727b2b&quot;,&quot;title&quot;:&quot;A large-scale screen for artificial selection in maize identifies candidate agronomic loci for domestication and crop improvement&quot;,&quot;author&quot;:[{&quot;family&quot;:&quot;Yamasaki&quot;,&quot;given&quot;:&quot;Masanori&quot;,&quot;parse-names&quot;:false,&quot;dropping-particle&quot;:&quot;&quot;,&quot;non-dropping-particle&quot;:&quot;&quot;},{&quot;family&quot;:&quot;Tenaillon&quot;,&quot;given&quot;:&quot;Maud I.&quot;,&quot;parse-names&quot;:false,&quot;dropping-particle&quot;:&quot;&quot;,&quot;non-dropping-particle&quot;:&quot;&quot;},{&quot;family&quot;:&quot;Bi&quot;,&quot;given&quot;:&quot;Irie Vroh&quot;,&quot;parse-names&quot;:false,&quot;dropping-particle&quot;:&quot;&quot;,&quot;non-dropping-particle&quot;:&quot;&quot;},{&quot;family&quot;:&quot;Schroeder&quot;,&quot;given&quot;:&quot;Steve G.&quot;,&quot;parse-names&quot;:false,&quot;dropping-particle&quot;:&quot;&quot;,&quot;non-dropping-particle&quot;:&quot;&quot;},{&quot;family&quot;:&quot;Sanchez-Villeda&quot;,&quot;given&quot;:&quot;Hector&quot;,&quot;parse-names&quot;:false,&quot;dropping-particle&quot;:&quot;&quot;,&quot;non-dropping-particle&quot;:&quot;&quot;},{&quot;family&quot;:&quot;Doebley&quot;,&quot;given&quot;:&quot;John F.&quot;,&quot;parse-names&quot;:false,&quot;dropping-particle&quot;:&quot;&quot;,&quot;non-dropping-particle&quot;:&quot;&quot;},{&quot;family&quot;:&quot;Gaut&quot;,&quot;given&quot;:&quot;Brandon S.&quot;,&quot;parse-names&quot;:false,&quot;dropping-particle&quot;:&quot;&quot;,&quot;non-dropping-particle&quot;:&quot;&quot;},{&quot;family&quot;:&quot;McMullen&quot;,&quot;given&quot;:&quot;Michael D.&quot;,&quot;parse-names&quot;:false,&quot;dropping-particle&quot;:&quot;&quot;,&quot;non-dropping-particle&quot;:&quot;&quot;}],&quot;container-title&quot;:&quot;Plant Cell&quot;,&quot;DOI&quot;:&quot;10.1105/tpc.105.037242&quot;,&quot;ISSN&quot;:&quot;10404651&quot;,&quot;PMID&quot;:&quot;16227451&quot;,&quot;issued&quot;:{&quot;date-parts&quot;:[[2005]]},&quot;page&quot;:&quot;2859-2872&quot;,&quot;abstract&quot;:&quot;Maize (Zea mays subsp mays) was domesticated from teosinte (Z. mays subsp parviglumis) through a single domestication event in southern Mexico between 6000 and 9000 years ago. This domestication event resulted in the original maize landrace varieties, which were spread throughout the Americas by Native Americans and adapted to a wide range of environmental conditions. Starting with landraces, 20th century plant breeders selected inbred lines of maize for use in hybrid maize production. Both domestication and crop improvement involved selection of specific alleles at genes controlling key morphological and agronomic traits, resulting in reduced genetic diversity relative to unselected genes. Here, we sequenced 1095 maize genes from a sample of 14 inbred lines and chose 35 genes with zero sequence diversity as potential targets of selection. These 35 genes were then sequenced in a sample of diverse maize landraces and teosintes and tested for selection. Using two statistical tests, we identified eight candidate genes. Extended gene sequencing of these eight candidate loci confirmed that six were selected throughout the gene, and the remaining two exhibited evidence of selection in the 3′ portion of each gene. The selected genes have functions consistent with agronomic selection for nutritional quality, maturity, and productivity. Our large-scale screen for artificial selection allows identification of genes of potential agronomic importance even when gene function and the phenotype of interest are unknown. © 2005 American Society of Plant Biologists.&quot;,&quot;publisher&quot;:&quot;American Society of Plant Biologists&quot;,&quot;issue&quot;:&quot;11&quot;,&quot;volume&quot;:&quot;17&quot;},&quot;isTemporary&quot;:false}],&quot;properties&quot;:{&quot;noteIndex&quot;:0},&quot;isEdited&quot;:false,&quot;manualOverride&quot;:{&quot;isManuallyOverriden&quot;:false,&quot;citeprocText&quot;:&quot;(S. I. Wright et al., 2005; Yamasaki et al., 2005)&quot;,&quot;manualOverrideText&quot;:&quot;(Wright et al., 2005; Yamasaki et al., 2005)&quot;,&quot;isManuallyOverridden&quot;:true},&quot;citationTag&quot;:&quot;MENDELEY_CITATION_v3_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&quot;},{&quot;citationID&quot;:&quot;MENDELEY_CITATION_17b7ec04-7c77-48a0-a4c1-e0aaa23dd346&quot;,&quot;citationItems&quot;:[{&quot;id&quot;:&quot;f1004eab-3720-384e-9451-37382b1eebe9&quot;,&quot;itemData&quot;:{&quot;type&quot;:&quot;article-journal&quot;,&quot;id&quot;:&quot;f1004eab-3720-384e-9451-37382b1eebe9&quot;,&quot;title&quot;:&quot;Challenges of detecting directional selection after a bottleneck: Lessons from Sorghum bicolor&quot;,&quot;author&quot;:[{&quot;family&quot;:&quot;Hamblin&quot;,&quot;given&quot;:&quot;Martha T.&quot;,&quot;parse-names&quot;:false,&quot;dropping-particle&quot;:&quot;&quot;,&quot;non-dropping-particle&quot;:&quot;&quot;},{&quot;family&quot;:&quot;Casa&quot;,&quot;given&quot;:&quot;Alexandra M.&quot;,&quot;parse-names&quot;:false,&quot;dropping-particle&quot;:&quot;&quot;,&quot;non-dropping-particle&quot;:&quot;&quot;},{&quot;family&quot;:&quot;Sun&quot;,&quot;given&quot;:&quot;Hong&quot;,&quot;parse-names&quot;:false,&quot;dropping-particle&quot;:&quot;&quot;,&quot;non-dropping-particle&quot;:&quot;&quot;},{&quot;family&quot;:&quot;Murray&quot;,&quot;given&quot;:&quot;Seth C.&quot;,&quot;parse-names&quot;:false,&quot;dropping-particle&quot;:&quot;&quot;,&quot;non-dropping-particle&quot;:&quot;&quot;},{&quot;family&quot;:&quot;Paterson&quot;,&quot;given&quot;:&quot;Andrew H.&quot;,&quot;parse-names&quot;:false,&quot;dropping-particle&quot;:&quot;&quot;,&quot;non-dropping-particle&quot;:&quot;&quot;},{&quot;family&quot;:&quot;Aquadro&quot;,&quot;given&quot;:&quot;Charles F.&quot;,&quot;parse-names&quot;:false,&quot;dropping-particle&quot;:&quot;&quot;,&quot;non-dropping-particle&quot;:&quot;&quot;},{&quot;family&quot;:&quot;Kresovich&quot;,&quot;given&quot;:&quot;Stephen&quot;,&quot;parse-names&quot;:false,&quot;dropping-particle&quot;:&quot;&quot;,&quot;non-dropping-particle&quot;:&quot;&quot;}],&quot;container-title&quot;:&quot;Genetics&quot;,&quot;DOI&quot;:&quot;10.1534/genetics.105.054312&quot;,&quot;ISSN&quot;:&quot;00166731&quot;,&quot;PMID&quot;:&quot;16547110&quot;,&quot;issued&quot;:{&quot;date-parts&quot;:[[2006]]},&quot;page&quot;:&quot;953-964&quot;,&quot;abstract&quot;:&quot;Multilocus surveys of sequence variation can be used to identify targets of directional selection, which are expected to have reduced levels of variation. Following a population bottleneck, the signal of directional selection may be hard to detect because many loci may have low variation by chance and the frequency spectrum of variation may be perturbed in ways that resemble the effects of selection. Cultivated Sorghum bicolor contains a subset of the genetic diversity found in its wild ancestor(s) due to the combined effects of a domestication bottleneck and human selection on traits associated with agriculture. As a framework for distinguishing between the effects of demography and selection, we sequenced 204 loci in a diverse panel of 17 cultivated S. bicolor accessions. Genomewide patterns of diversity depart strongly from equilibrium expectations with regard to the variance of the number of segregating sites, the site frequency spectrum, and haplotype configuration. Furthermore, gene genealogies of most loci with an excess of low frequency variants and/or an excess of segregating sites do not show the characteristic signatures of directional and diversifying selection, respectively. A simple bottleneck model provides an improved but inadequate fit to the data, suggesting the action of other population-level factors, such as population structure and migration. Despite a known history of recent selection, we find little evidence for directional selection, likely due to low statistical power and lack of an appropriate null model. Copyright © 2006 by the Genetics Society of America.&quot;,&quot;issue&quot;:&quot;2&quot;,&quot;volume&quot;:&quot;173&quot;},&quot;isTemporary&quot;:false},{&quot;id&quot;:&quot;fe8cc7fd-fa35-3710-9a97-19860a544f49&quot;,&quot;itemData&quot;:{&quot;type&quot;:&quot;report&quot;,&quot;id&quot;:&quot;fe8cc7fd-fa35-3710-9a97-19860a544f49&quot;,&quot;title&quot;:&quot;Impacts of genetic bottlenecks on soybean genome diversity&quot;,&quot;author&quot;:[{&quot;family&quot;:&quot;Hyten&quot;,&quot;given&quot;:&quot;David L&quot;,&quot;parse-names&quot;:false,&quot;dropping-particle&quot;:&quot;&quot;,&quot;non-dropping-particle&quot;:&quot;&quot;},{&quot;family&quot;:&quot;Song&quot;,&quot;given&quot;:&quot;Qijian&quot;,&quot;parse-names&quot;:false,&quot;dropping-particle&quot;:&quot;&quot;,&quot;non-dropping-particle&quot;:&quot;&quot;},{&quot;family&quot;:&quot;Zhu&quot;,&quot;given&quot;:&quot;Youlin&quot;,&quot;parse-names&quot;:false,&quot;dropping-particle&quot;:&quot;&quot;,&quot;non-dropping-particle&quot;:&quot;&quot;},{&quot;family&quot;:&quot;Choi&quot;,&quot;given&quot;:&quot;Ik-Young&quot;,&quot;parse-names&quot;:false,&quot;dropping-particle&quot;:&quot;&quot;,&quot;non-dropping-particle&quot;:&quot;&quot;},{&quot;family&quot;:&quot;Nelson&quot;,&quot;given&quot;:&quot;Randall L&quot;,&quot;parse-names&quot;:false,&quot;dropping-particle&quot;:&quot;&quot;,&quot;non-dropping-particle&quot;:&quot;&quot;},{&quot;family&quot;:&quot;Costa&quot;,&quot;given&quot;:&quot;Jose M&quot;,&quot;parse-names&quot;:false,&quot;dropping-particle&quot;:&quot;&quot;,&quot;non-dropping-particle&quot;:&quot;&quot;},{&quot;family&quot;:&quot;Specht&quot;,&quot;given&quot;:&quot;James E&quot;,&quot;parse-names&quot;:false,&quot;dropping-particle&quot;:&quot;&quot;,&quot;non-dropping-particle&quot;:&quot;&quot;},{&quot;family&quot;:&quot;Shoemaker&quot;,&quot;given&quot;:&quot;Randy C&quot;,&quot;parse-names&quot;:false,&quot;dropping-particle&quot;:&quot;&quot;,&quot;non-dropping-particle&quot;:&quot;&quot;},{&quot;family&quot;:&quot;Cregan&quot;,&quot;given&quot;:&quot;Perry B&quot;,&quot;parse-names&quot;:false,&quot;dropping-particle&quot;:&quot;&quot;,&quot;non-dropping-particle&quot;:&quot;&quot;},{&quot;family&quot;:&quot;Tanksley&quot;,&quot;given&quot;:&quot;Steven D&quot;,&quot;parse-names&quot;:false,&quot;dropping-particle&quot;:&quot;&quot;,&quot;non-dropping-particle&quot;:&quot;&quot;}],&quot;URL&quot;:&quot;www.pnas.orgcgidoi10.1073pnas.0604379103&quot;,&quot;issued&quot;:{&quot;date-parts&quot;:[[2006]]},&quot;abstract&quot;:&quot;Soybean has undergone several genetic bottlenecks. These include domestication in Asia to produce numerous Asian landraces, introduction of relatively few landraces to North America, and then selective breeding over the past 75 years. It is presumed that these three human-mediated events have reduced genetic diversity. We sequenced 111 fragments from 102 genes in four soybean populations representing the populations before and after genetic bottlenecks. We show that soybean has lost many rare sequence variants and has undergone numerous allele frequency changes throughout its history. Although soybean genetic diversity has been eroded by human selection after domestication, it is notable that modern cultivars have retained 72% of the sequence diversity present in the Asian landraces but lost 79% of rare alleles (fre-quency &lt;0.10) found in the Asian landraces. Simulations indicated that the diversity lost through the genetic bottlenecks of introduction and plant breeding was mostly due to the small number of Asian introductions and not the artificial selection subsequently imposed by selective breeding. The bottleneck with the most impact was domestication; when the low sequence diversity present in the wild species was halved, 81% of the rare alleles were lost, and 60% of the genes exhibited evidence of significant allele frequency changes. artificial selection crop domestication genetic diversity SNPs&quot;},&quot;isTemporary&quot;:false},{&quot;id&quot;:&quot;48545ade-5d39-3e5b-8a91-15690226cd88&quot;,&quot;itemData&quot;:{&quot;type&quot;:&quot;article-journal&quot;,&quot;id&quot;:&quot;48545ade-5d39-3e5b-8a91-15690226cd88&quot;,&quot;title&quot;:&quot;Genomic variation in rice: Genesis of highly polymorphic linkage blocks during domestication&quot;,&quot;author&quot;:[{&quot;family&quot;:&quot;Tang&quot;,&quot;given&quot;:&quot;Tian&quot;,&quot;parse-names&quot;:false,&quot;dropping-particle&quot;:&quot;&quot;,&quot;non-dropping-particle&quot;:&quot;&quot;},{&quot;family&quot;:&quot;Lu&quot;,&quot;given&quot;:&quot;Jian&quot;,&quot;parse-names&quot;:false,&quot;dropping-particle&quot;:&quot;&quot;,&quot;non-dropping-particle&quot;:&quot;&quot;},{&quot;family&quot;:&quot;Huang&quot;,&quot;given&quot;:&quot;Jianzi&quot;,&quot;parse-names&quot;:false,&quot;dropping-particle&quot;:&quot;&quot;,&quot;non-dropping-particle&quot;:&quot;&quot;},{&quot;family&quot;:&quot;He&quot;,&quot;given&quot;:&quot;Jinghong&quot;,&quot;parse-names&quot;:false,&quot;dropping-particle&quot;:&quot;&quot;,&quot;non-dropping-particle&quot;:&quot;&quot;},{&quot;family&quot;:&quot;McCouch&quot;,&quot;given&quot;:&quot;Susan R.&quot;,&quot;parse-names&quot;:false,&quot;dropping-particle&quot;:&quot;&quot;,&quot;non-dropping-particle&quot;:&quot;&quot;},{&quot;family&quot;:&quot;Shen&quot;,&quot;given&quot;:&quot;Yang&quot;,&quot;parse-names&quot;:false,&quot;dropping-particle&quot;:&quot;&quot;,&quot;non-dropping-particle&quot;:&quot;&quot;},{&quot;family&quot;:&quot;Kai&quot;,&quot;given&quot;:&quot;Zeng&quot;,&quot;parse-names&quot;:false,&quot;dropping-particle&quot;:&quot;&quot;,&quot;non-dropping-particle&quot;:&quot;&quot;},{&quot;family&quot;:&quot;Purugganan&quot;,&quot;given&quot;:&quot;Michael D.&quot;,&quot;parse-names&quot;:false,&quot;dropping-particle&quot;:&quot;&quot;,&quot;non-dropping-particle&quot;:&quot;&quot;},{&quot;family&quot;:&quot;Shi&quot;,&quot;given&quot;:&quot;Suhua&quot;,&quot;parse-names&quot;:false,&quot;dropping-particle&quot;:&quot;&quot;,&quot;non-dropping-particle&quot;:&quot;&quot;},{&quot;family&quot;:&quot;Wu&quot;,&quot;given&quot;:&quot;Chung I.&quot;,&quot;parse-names&quot;:false,&quot;dropping-particle&quot;:&quot;&quot;,&quot;non-dropping-particle&quot;:&quot;&quot;}],&quot;container-title&quot;:&quot;PLoS Genetics&quot;,&quot;DOI&quot;:&quot;10.1371/journal.pgen.0020199&quot;,&quot;ISSN&quot;:&quot;15537390&quot;,&quot;PMID&quot;:&quot;17112320&quot;,&quot;issued&quot;:{&quot;date-parts&quot;:[[2006,11]]},&quot;page&quot;:&quot;1824-1833&quot;,&quot;abstract&quot;:&quot;Genomic regions that are unusually divergent between closely related species or racial groups can be particularly informative about the process of speciation or the operation of natural selection. The two sequenced genomes of cultivated Asian rice, Oryza sativa, reveal that at least 6% of the genomes are unusually divergent. Sequencing of ten unlinked loci from the highly divergent regions consistently identified two highly divergent haplotypes with each locus in nearly complete linkage disequilibrium among 25 O. sativa cultivars and 35 lines from six wild species. The existence of two highly divergent haplotypes in high divergence regions in species from all geographical areas (Africa, Asia, and Oceania) was in contrast to the low polymorphism and low linkage disequilibrium that were observed in other parts of the genome, represented by ten reference loci. While several natural processes are likely to contribute to this pattern of genomic variation, domestication may have greatly exaggerated the trend. In this hypothesis, divergent haplotypes that were adapted to different geographical and ecological environments migrated along with humans during the development of domesticated varieties. If true, these high divergence regions of the genome would be enriched for loci that contribute to the enormous range of phenotypic variation observed among domesticated breeds. © 2006 Tang et al.&quot;,&quot;issue&quot;:&quot;11&quot;,&quot;volume&quot;:&quot;2&quot;},&quot;isTemporary&quot;:false}],&quot;properties&quot;:{&quot;noteIndex&quot;:0},&quot;isEdited&quot;:false,&quot;manualOverride&quot;:{&quot;isManuallyOverriden&quot;:false,&quot;citeprocText&quot;:&quot;(Hamblin et al., 2006; Hyten et al., 2006; Tang et al., 2006)&quot;,&quot;manualOverrideText&quot;:&quot;&quot;},&quot;citationTag&quot;:&quot;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&quot;},{&quot;citationID&quot;:&quot;MENDELEY_CITATION_78f29b3d-35e7-44f9-85d1-57d177a1df4f&quot;,&quot;citationItems&quot;:[{&quot;id&quot;:&quot;2a223105-33c4-3cfd-85ca-d6d5d5e3f168&quot;,&quot;itemData&quot;:{&quot;type&quot;:&quot;article-journal&quot;,&quot;id&quot;:&quot;2a223105-33c4-3cfd-85ca-d6d5d5e3f168&quot;,&quot;title&quot;:&quot;Wheat biotechnology: A minireview. &quot;,&quot;author&quot;:[{&quot;family&quot;:&quot;Debasis&quot;,&quot;given&quot;:&quot;P.&quot;,&quot;parse-names&quot;:false,&quot;dropping-particle&quot;:&quot;&quot;,&quot;non-dropping-particle&quot;:&quot;&quot;},{&quot;family&quot;:&quot;and Paramjit&quot;,&quot;given&quot;:&quot;K.&quot;,&quot;parse-names&quot;:false,&quot;dropping-particle&quot;:&quot;&quot;,&quot;non-dropping-particle&quot;:&quot;&quot;}],&quot;container-title&quot;:&quot;Electronic Journal of Biotechnology&quot;,&quot;issued&quot;:{&quot;date-parts&quot;:[[2001]]},&quot;page&quot;:&quot;74-102&quot;,&quot;volume&quot;:&quot;4&quot;},&quot;isTemporary&quot;:false}],&quot;properties&quot;:{&quot;noteIndex&quot;:0},&quot;isEdited&quot;:false,&quot;manualOverride&quot;:{&quot;isManuallyOverridden&quot;:false,&quot;citeprocText&quot;:&quot;(Debasis &amp;#38; and Paramjit, 2001)&quot;,&quot;manualOverrideText&quot;:&quot;&quot;},&quot;citationTag&quot;:&quot;MENDELEY_CITATION_v3_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&quot;},{&quot;citationID&quot;:&quot;MENDELEY_CITATION_747ed6bf-4b95-4ca7-9a2d-d73b81d814ca&quot;,&quot;citationItems&quot;:[{&quot;id&quot;:&quot;7ffb4610-9686-3087-a9b5-6ed1acbd8a16&quot;,&quot;itemData&quot;:{&quot;type&quot;:&quot;article-journal&quot;,&quot;id&quot;:&quot;7ffb4610-9686-3087-a9b5-6ed1acbd8a16&quot;,&quot;title&quot;:&quot;A Chromosome Bin Map of 16,000 Expressed Sequence Tag Loci and Distribution of Genes Among the Three Genomes of Polyploid Wheat&quot;,&quot;author&quot;:[{&quot;family&quot;:&quot;Qi&quot;,&quot;given&quot;:&quot;L L&quot;,&quot;parse-names&quot;:false,&quot;dropping-particle&quot;:&quot;&quot;,&quot;non-dropping-particle&quot;:&quot;&quot;},{&quot;family&quot;:&quot;Echalier&quot;,&quot;given&quot;:&quot;B&quot;,&quot;parse-names&quot;:false,&quot;dropping-particle&quot;:&quot;&quot;,&quot;non-dropping-particle&quot;:&quot;&quot;},{&quot;family&quot;:&quot;Chao&quot;,&quot;given&quot;:&quot;S&quot;,&quot;parse-names&quot;:false,&quot;dropping-particle&quot;:&quot;&quot;,&quot;non-dropping-particle&quot;:&quot;&quot;},{&quot;family&quot;:&quot;Lazo&quot;,&quot;given&quot;:&quot;G R&quot;,&quot;parse-names&quot;:false,&quot;dropping-particle&quot;:&quot;&quot;,&quot;non-dropping-particle&quot;:&quot;&quot;},{&quot;family&quot;:&quot;Butler&quot;,&quot;given&quot;:&quot;G E&quot;,&quot;parse-names&quot;:false,&quot;dropping-particle&quot;:&quot;&quot;,&quot;non-dropping-particle&quot;:&quot;&quot;},{&quot;family&quot;:&quot;Anderson&quot;,&quot;given&quot;:&quot;O D&quot;,&quot;parse-names&quot;:false,&quot;dropping-particle&quot;:&quot;&quot;,&quot;non-dropping-particle&quot;:&quot;&quot;},{&quot;family&quot;:&quot;Akhunov&quot;,&quot;given&quot;:&quot;E D&quot;,&quot;parse-names&quot;:false,&quot;dropping-particle&quot;:&quot;&quot;,&quot;non-dropping-particle&quot;:&quot;&quot;},{&quot;family&quot;:&quot;Dvořák&quot;,&quot;given&quot;:&quot;J&quot;,&quot;parse-names&quot;:false,&quot;dropping-particle&quot;:&quot;&quot;,&quot;non-dropping-particle&quot;:&quot;&quot;},{&quot;family&quot;:&quot;Linkiewicz&quot;,&quot;given&quot;:&quot;A M&quot;,&quot;parse-names&quot;:false,&quot;dropping-particle&quot;:&quot;&quot;,&quot;non-dropping-particle&quot;:&quot;&quot;},{&quot;family&quot;:&quot;Ratnasiri&quot;,&quot;given&quot;:&quot;A&quot;,&quot;parse-names&quot;:false,&quot;dropping-particle&quot;:&quot;&quot;,&quot;non-dropping-particle&quot;:&quot;&quot;},{&quot;family&quot;:&quot;Dubcovsky&quot;,&quot;given&quot;:&quot;J&quot;,&quot;parse-names&quot;:false,&quot;dropping-particle&quot;:&quot;&quot;,&quot;non-dropping-particle&quot;:&quot;&quot;},{&quot;family&quot;:&quot;Bermudez-Kandianis&quot;,&quot;given&quot;:&quot;C E&quot;,&quot;parse-names&quot;:false,&quot;dropping-particle&quot;:&quot;&quot;,&quot;non-dropping-particle&quot;:&quot;&quot;},{&quot;family&quot;:&quot;Greene&quot;,&quot;given&quot;:&quot;R A&quot;,&quot;parse-names&quot;:false,&quot;dropping-particle&quot;:&quot;&quot;,&quot;non-dropping-particle&quot;:&quot;&quot;},{&quot;family&quot;:&quot;Kantety&quot;,&quot;given&quot;:&quot;R&quot;,&quot;parse-names&quot;:false,&quot;dropping-particle&quot;:&quot;&quot;,&quot;non-dropping-particle&quot;:&quot;&quot;},{&quot;family&quot;:&quot;Rota&quot;,&quot;given&quot;:&quot;C M&quot;,&quot;parse-names&quot;:false,&quot;dropping-particle&quot;:&quot;&quot;,&quot;non-dropping-particle&quot;:&quot;la&quot;},{&quot;family&quot;:&quot;Munkvold&quot;,&quot;given&quot;:&quot;J D&quot;,&quot;parse-names&quot;:false,&quot;dropping-particle&quot;:&quot;&quot;,&quot;non-dropping-particle&quot;:&quot;&quot;},{&quot;family&quot;:&quot;Sorrells&quot;,&quot;given&quot;:&quot;S F&quot;,&quot;parse-names&quot;:false,&quot;dropping-particle&quot;:&quot;&quot;,&quot;non-dropping-particle&quot;:&quot;&quot;},{&quot;family&quot;:&quot;Sorrells&quot;,&quot;given&quot;:&quot;M E&quot;,&quot;parse-names&quot;:false,&quot;dropping-particle&quot;:&quot;&quot;,&quot;non-dropping-particle&quot;:&quot;&quot;},{&quot;family&quot;:&quot;Dilbirligi&quot;,&quot;given&quot;:&quot;M&quot;,&quot;parse-names&quot;:false,&quot;dropping-particle&quot;:&quot;&quot;,&quot;non-dropping-particle&quot;:&quot;&quot;},{&quot;family&quot;:&quot;Sidhu&quot;,&quot;given&quot;:&quot;D&quot;,&quot;parse-names&quot;:false,&quot;dropping-particle&quot;:&quot;&quot;,&quot;non-dropping-particle&quot;:&quot;&quot;},{&quot;family&quot;:&quot;Erayman&quot;,&quot;given&quot;:&quot;M&quot;,&quot;parse-names&quot;:false,&quot;dropping-particle&quot;:&quot;&quot;,&quot;non-dropping-particle&quot;:&quot;&quot;},{&quot;family&quot;:&quot;Randhawa&quot;,&quot;given&quot;:&quot;H S&quot;,&quot;parse-names&quot;:false,&quot;dropping-particle&quot;:&quot;&quot;,&quot;non-dropping-particle&quot;:&quot;&quot;},{&quot;family&quot;:&quot;Sandhu&quot;,&quot;given&quot;:&quot;D&quot;,&quot;parse-names&quot;:false,&quot;dropping-particle&quot;:&quot;&quot;,&quot;non-dropping-particle&quot;:&quot;&quot;},{&quot;family&quot;:&quot;Bondareva&quot;,&quot;given&quot;:&quot;S N&quot;,&quot;parse-names&quot;:false,&quot;dropping-particle&quot;:&quot;&quot;,&quot;non-dropping-particle&quot;:&quot;&quot;},{&quot;family&quot;:&quot;Gill&quot;,&quot;given&quot;:&quot;K S&quot;,&quot;parse-names&quot;:false,&quot;dropping-particle&quot;:&quot;&quot;,&quot;non-dropping-particle&quot;:&quot;&quot;},{&quot;family&quot;:&quot;Mahmoud&quot;,&quot;given&quot;:&quot;A A&quot;,&quot;parse-names&quot;:false,&quot;dropping-particle&quot;:&quot;&quot;,&quot;non-dropping-particle&quot;:&quot;&quot;},{&quot;family&quot;:&quot;Ma&quot;,&quot;given&quot;:&quot;X-F&quot;,&quot;parse-names&quot;:false,&quot;dropping-particle&quot;:&quot;&quot;,&quot;non-dropping-particle&quot;:&quot;&quot;},{&quot;family&quot;:&quot;Gustafson&quot;,&quot;given&quot;:&quot;J P&quot;,&quot;parse-names&quot;:false,&quot;dropping-particle&quot;:&quot;&quot;,&quot;non-dropping-particle&quot;:&quot;&quot;},{&quot;family&quot;:&quot;Conley&quot;,&quot;given&quot;:&quot;E J&quot;,&quot;parse-names&quot;:false,&quot;dropping-particle&quot;:&quot;&quot;,&quot;non-dropping-particle&quot;:&quot;&quot;},{&quot;family&quot;:&quot;Nduati&quot;,&quot;given&quot;:&quot;V&quot;,&quot;parse-names&quot;:false,&quot;dropping-particle&quot;:&quot;&quot;,&quot;non-dropping-particle&quot;:&quot;&quot;},{&quot;family&quot;:&quot;Gonzalez-Hernandez&quot;,&quot;given&quot;:&quot;J L&quot;,&quot;parse-names&quot;:false,&quot;dropping-particle&quot;:&quot;&quot;,&quot;non-dropping-particle&quot;:&quot;&quot;},{&quot;family&quot;:&quot;Anderson&quot;,&quot;given&quot;:&quot;J A&quot;,&quot;parse-names&quot;:false,&quot;dropping-particle&quot;:&quot;&quot;,&quot;non-dropping-particle&quot;:&quot;&quot;},{&quot;family&quot;:&quot;Peng&quot;,&quot;given&quot;:&quot;J H&quot;,&quot;parse-names&quot;:false,&quot;dropping-particle&quot;:&quot;&quot;,&quot;non-dropping-particle&quot;:&quot;&quot;},{&quot;family&quot;:&quot;Lapitan&quot;,&quot;given&quot;:&quot;N L&quot;,&quot;parse-names&quot;:false,&quot;dropping-particle&quot;:&quot;v&quot;,&quot;non-dropping-particle&quot;:&quot;&quot;},{&quot;family&quot;:&quot;Hossain&quot;,&quot;given&quot;:&quot;K G&quot;,&quot;parse-names&quot;:false,&quot;dropping-particle&quot;:&quot;&quot;,&quot;non-dropping-particle&quot;:&quot;&quot;},{&quot;family&quot;:&quot;Kalavacharla&quot;,&quot;given&quot;:&quot;V&quot;,&quot;parse-names&quot;:false,&quot;dropping-particle&quot;:&quot;&quot;,&quot;non-dropping-particle&quot;:&quot;&quot;},{&quot;family&quot;:&quot;Kianian&quot;,&quot;given&quot;:&quot;S F&quot;,&quot;parse-names&quot;:false,&quot;dropping-particle&quot;:&quot;&quot;,&quot;non-dropping-particle&quot;:&quot;&quot;},{&quot;family&quot;:&quot;Pathan&quot;,&quot;given&quot;:&quot;M S&quot;,&quot;parse-names&quot;:false,&quot;dropping-particle&quot;:&quot;&quot;,&quot;non-dropping-particle&quot;:&quot;&quot;},{&quot;family&quot;:&quot;Zhang&quot;,&quot;given&quot;:&quot;D S&quot;,&quot;parse-names&quot;:false,&quot;dropping-particle&quot;:&quot;&quot;,&quot;non-dropping-particle&quot;:&quot;&quot;},{&quot;family&quot;:&quot;Nguyen&quot;,&quot;given&quot;:&quot;H T&quot;,&quot;parse-names&quot;:false,&quot;dropping-particle&quot;:&quot;&quot;,&quot;non-dropping-particle&quot;:&quot;&quot;},{&quot;family&quot;:&quot;Choi&quot;,&quot;given&quot;:&quot;D-W&quot;,&quot;parse-names&quot;:false,&quot;dropping-particle&quot;:&quot;&quot;,&quot;non-dropping-particle&quot;:&quot;&quot;},{&quot;family&quot;:&quot;Fenton&quot;,&quot;given&quot;:&quot;R D&quot;,&quot;parse-names&quot;:false,&quot;dropping-particle&quot;:&quot;&quot;,&quot;non-dropping-particle&quot;:&quot;&quot;},{&quot;family&quot;:&quot;Close&quot;,&quot;given&quot;:&quot;T J&quot;,&quot;parse-names&quot;:false,&quot;dropping-particle&quot;:&quot;&quot;,&quot;non-dropping-particle&quot;:&quot;&quot;},{&quot;family&quot;:&quot;McGuire&quot;,&quot;given&quot;:&quot;P E&quot;,&quot;parse-names&quot;:false,&quot;dropping-particle&quot;:&quot;&quot;,&quot;non-dropping-particle&quot;:&quot;&quot;},{&quot;family&quot;:&quot;Qualset&quot;,&quot;given&quot;:&quot;C O&quot;,&quot;parse-names&quot;:false,&quot;dropping-particle&quot;:&quot;&quot;,&quot;non-dropping-particle&quot;:&quot;&quot;},{&quot;family&quot;:&quot;Gill&quot;,&quot;given&quot;:&quot;B S&quot;,&quot;parse-names&quot;:false,&quot;dropping-particle&quot;:&quot;&quot;,&quot;non-dropping-particle&quot;:&quot;&quot;}],&quot;container-title&quot;:&quot;Genetics&quot;,&quot;DOI&quot;:&quot;10.1534/genetics.104.034868&quot;,&quot;ISSN&quot;:&quot;1943-2631&quot;,&quot;issued&quot;:{&quot;date-parts&quot;:[[2004,10,1]]},&quot;abstract&quot;:&quot;&lt;p&gt;Because of the huge size of the common wheat (Triticum aestivum L., 2n = 6x = 42, AABBDD) genome of 17,300 Mb, sequencing and mapping of the expressed portion is a logical first step for gene discovery. Here we report mapping of 7104 expressed sequence tag (EST) unigenes by Southern hybridization into a chromosome bin map using a set of wheat aneuploids and deletion stocks. Each EST detected a mean of 4.8 restriction fragments and 2.8 loci. More loci were mapped in the B genome (5774) than in the A (5173) or D (5146) genomes. The EST density was significantly higher for the D genome than for the A or B. In general, EST density increased relative to the physical distance from the centromere. The majority of EST-dense regions are in the distal parts of chromosomes. Most of the agronomically important genes are located in EST-dense regions. The chromosome bin map of ESTs is a unique resource for SNP analysis, comparative mapping, structural and functional analysis, and polyploid evolution, as well as providing a framework for constructing a sequence-ready, BAC-contig map of the wheat genome.&lt;/p&gt;&quot;,&quot;issue&quot;:&quot;2&quot;,&quot;volume&quot;:&quot;168&quot;},&quot;isTemporary&quot;:false}],&quot;properties&quot;:{&quot;noteIndex&quot;:0},&quot;isEdited&quot;:false,&quot;manualOverride&quot;:{&quot;isManuallyOverridden&quot;:false,&quot;citeprocText&quot;:&quot;(Qi et al., 2004)&quot;,&quot;manualOverrideText&quot;:&quot;&quot;},&quot;citationTag&quot;:&quot;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&quot;},{&quot;citationID&quot;:&quot;MENDELEY_CITATION_9651e13b-9a50-4a59-90d0-22d5a661db9d&quot;,&quot;citationItems&quot;:[{&quot;id&quot;:&quot;26d473ff-c010-3f6e-98de-befde2c725ed&quot;,&quot;itemData&quot;:{&quot;type&quot;:&quot;paper-conference&quot;,&quot;id&quot;:&quot;26d473ff-c010-3f6e-98de-befde2c725ed&quot;,&quot;title&quot;:&quot; Genetic diversity in an isolated population of Capparis dicidua. &quot;,&quot;author&quot;:[{&quot;family&quot;:&quot;Abdel-Mawgood&quot;,&quot;given&quot;:&quot;&quot;,&quot;parse-names&quot;:false,&quot;dropping-particle&quot;:&quot;&quot;,&quot;non-dropping-particle&quot;:&quot;&quot;},{&quot;family&quot;:&quot;A. L.&quot;,&quot;given&quot;:&quot;Alsaeed, A.&quot;,&quot;parse-names&quot;:false,&quot;dropping-particle&quot;:&quot;&quot;,&quot;non-dropping-particle&quot;:&quot;&quot;},{&quot;family&quot;:&quot;and Abdellatif&quot;,&quot;given&quot;:&quot;T.&quot;,&quot;parse-names&quot;:false,&quot;dropping-particle&quot;:&quot;&quot;,&quot;non-dropping-particle&quot;:&quot;&quot;}],&quot;container-title&quot;:&quot;Proceeding of the workshop “The role of biotechnology for the characterization and conservation of crop, forestry, animal and fishery genetic resources&quot;,&quot;issued&quot;:{&quot;date-parts&quot;:[[2005,3,5]]},&quot;publisher-place&quot;:&quot;Torino, Italy&quot;,&quot;page&quot;:&quot;82-83&quot;},&quot;isTemporary&quot;:false}],&quot;properties&quot;:{&quot;noteIndex&quot;:0},&quot;isEdited&quot;:false,&quot;manualOverride&quot;:{&quot;isManuallyOverridden&quot;:true,&quot;citeprocText&quot;:&quot;(Abdel-Mawgood et al., 2005)&quot;,&quot;manualOverrideText&quot;:&quot;(Abdel-Mawgood et al., 2005),&quot;},&quot;citationTag&quot;:&quot;MENDELEY_CITATION_v3_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&quot;},{&quot;citationID&quot;:&quot;MENDELEY_CITATION_05aa9539-2512-4be4-92a9-3ae019790789&quot;,&quot;citationItems&quot;:[{&quot;id&quot;:&quot;30294db5-431d-3201-91e4-8c7250f9c12b&quot;,&quot;itemData&quot;:{&quot;type&quot;:&quot;article-journal&quot;,&quot;id&quot;:&quot;30294db5-431d-3201-91e4-8c7250f9c12b&quot;,&quot;title&quot;:&quot;Preserving the information content of species: genetic diversity, phylogeny,and conservation worth&quot;,&quot;author&quot;:[{&quot;family&quot;:&quot;Crozier&quot;,&quot;given&quot;:&quot;R. H.&quot;,&quot;parse-names&quot;:false,&quot;dropping-particle&quot;:&quot;&quot;,&quot;non-dropping-particle&quot;:&quot;&quot;}],&quot;container-title&quot;:&quot;Annual Review of Ecology and Systematics&quot;,&quot;DOI&quot;:&quot;10.1146/annurev.ecolsys.28.1.243&quot;,&quot;ISSN&quot;:&quot;0066-4162&quot;,&quot;issued&quot;:{&quot;date-parts&quot;:[[1997,11]]},&quot;issue&quot;:&quot;1&quot;,&quot;volume&quot;:&quot;28&quot;},&quot;isTemporary&quot;:false},{&quot;id&quot;:&quot;ed57e202-fa97-3602-95de-bf67b3a6e961&quot;,&quot;itemData&quot;:{&quot;type&quot;:&quot;article-journal&quot;,&quot;id&quot;:&quot;ed57e202-fa97-3602-95de-bf67b3a6e961&quot;,&quot;title&quot;:&quot;Phylogeographic studies in plants: problems and prospects&quot;,&quot;author&quot;:[{&quot;family&quot;:&quot;Schaal&quot;,&quot;given&quot;:&quot;B. A.&quot;,&quot;parse-names&quot;:false,&quot;dropping-particle&quot;:&quot;&quot;,&quot;non-dropping-particle&quot;:&quot;&quot;},{&quot;family&quot;:&quot;Hayworth&quot;,&quot;given&quot;:&quot;D. A.&quot;,&quot;parse-names&quot;:false,&quot;dropping-particle&quot;:&quot;&quot;,&quot;non-dropping-particle&quot;:&quot;&quot;},{&quot;family&quot;:&quot;Olsen&quot;,&quot;given&quot;:&quot;K. M.&quot;,&quot;parse-names&quot;:false,&quot;dropping-particle&quot;:&quot;&quot;,&quot;non-dropping-particle&quot;:&quot;&quot;},{&quot;family&quot;:&quot;Rauscher&quot;,&quot;given&quot;:&quot;J. T.&quot;,&quot;parse-names&quot;:false,&quot;dropping-particle&quot;:&quot;&quot;,&quot;non-dropping-particle&quot;:&quot;&quot;},{&quot;family&quot;:&quot;Smith&quot;,&quot;given&quot;:&quot;W. A.&quot;,&quot;parse-names&quot;:false,&quot;dropping-particle&quot;:&quot;&quot;,&quot;non-dropping-particle&quot;:&quot;&quot;}],&quot;container-title&quot;:&quot;Molecular Ecology&quot;,&quot;DOI&quot;:&quot;10.1046/j.1365-294x.1998.00318.x&quot;,&quot;ISSN&quot;:&quot;0962-1083&quot;,&quot;issued&quot;:{&quot;date-parts&quot;:[[1998,4,28]]},&quot;issue&quot;:&quot;4&quot;,&quot;volume&quot;:&quot;7&quot;},&quot;isTemporary&quot;:false}],&quot;properties&quot;:{&quot;noteIndex&quot;:0},&quot;isEdited&quot;:false,&quot;manualOverride&quot;:{&quot;isManuallyOverridden&quot;:false,&quot;citeprocText&quot;:&quot;(Crozier, 1997; Schaal et al., 1998)&quot;,&quot;manualOverrideText&quot;:&quot;&quot;},&quot;citationTag&quot;:&quot;MENDELEY_CITATION_v3_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&quot;},{&quot;citationID&quot;:&quot;MENDELEY_CITATION_ac319a48-bf1f-4b30-b7f6-59d81f8f5d5d&quot;,&quot;citationItems&quot;:[{&quot;id&quot;:&quot;68b4e9a6-5b05-3790-971a-c18f1e3f9ae8&quot;,&quot;itemData&quot;:{&quot;type&quot;:&quot;article-journal&quot;,&quot;id&quot;:&quot;68b4e9a6-5b05-3790-971a-c18f1e3f9ae8&quot;,&quot;title&quot;:&quot;Molecular Markers Linked to Brown Stem Rot Resistance Genes, &lt;i&gt; Rbs &lt;sub&gt;1&lt;/sub&gt; &lt;/i&gt; and &lt;i&gt; Rbs &lt;sub&gt;2&lt;/sub&gt; &lt;/i&gt; , in Soybean&quot;,&quot;author&quot;:[{&quot;family&quot;:&quot;Bachman&quot;,&quot;given&quot;:&quot;M.S.&quot;,&quot;parse-names&quot;:false,&quot;dropping-particle&quot;:&quot;&quot;,&quot;non-dropping-particle&quot;:&quot;&quot;},{&quot;family&quot;:&quot;Tamulonis&quot;,&quot;given&quot;:&quot;J.P.&quot;,&quot;parse-names&quot;:false,&quot;dropping-particle&quot;:&quot;&quot;,&quot;non-dropping-particle&quot;:&quot;&quot;},{&quot;family&quot;:&quot;Nickell&quot;,&quot;given&quot;:&quot;C.D.&quot;,&quot;parse-names&quot;:false,&quot;dropping-particle&quot;:&quot;&quot;,&quot;non-dropping-particle&quot;:&quot;&quot;},{&quot;family&quot;:&quot;Bent&quot;,&quot;given&quot;:&quot;A.F.&quot;,&quot;parse-names&quot;:false,&quot;dropping-particle&quot;:&quot;&quot;,&quot;non-dropping-particle&quot;:&quot;&quot;}],&quot;container-title&quot;:&quot;Crop Science&quot;,&quot;DOI&quot;:&quot;10.2135/cropsci2001.412527x&quot;,&quot;ISSN&quot;:&quot;0011-183X&quot;,&quot;issued&quot;:{&quot;date-parts&quot;:[[2001,3]]},&quot;issue&quot;:&quot;2&quot;,&quot;volume&quot;:&quot;41&quot;},&quot;isTemporary&quot;:false},{&quot;id&quot;:&quot;47c21f9b-2b47-3f07-b036-30e041944bf1&quot;,&quot;itemData&quot;:{&quot;type&quot;:&quot;article-journal&quot;,&quot;id&quot;:&quot;47c21f9b-2b47-3f07-b036-30e041944bf1&quot;,&quot;title&quot;:&quot;Marker-assisted selection in public breeding programs:The wheat experience.&quot;,&quot;author&quot;:[{&quot;family&quot;:&quot;Dubcovsky&quot;,&quot;given&quot;:&quot;J.&quot;,&quot;parse-names&quot;:false,&quot;dropping-particle&quot;:&quot;&quot;,&quot;non-dropping-particle&quot;:&quot;&quot;}],&quot;container-title&quot;:&quot;Crop Sci.&quot;,&quot;issued&quot;:{&quot;date-parts&quot;:[[2004]]},&quot;page&quot;:&quot;1895-1898&quot;,&quot;volume&quot;:&quot;    44&quot;},&quot;isTemporary&quot;:false},{&quot;id&quot;:&quot;9e87ab2d-d414-3fde-95f7-21a0e572ec74&quot;,&quot;itemData&quot;:{&quot;type&quot;:&quot;article-journal&quot;,&quot;id&quot;:&quot;9e87ab2d-d414-3fde-95f7-21a0e572ec74&quot;,&quot;title&quot;:&quot; A study on the purity of hybrid maize Nongda 108 through DNA fingerprint identification. &quot;,&quot;author&quot;:[{&quot;family&quot;:&quot;Zhao&quot;,&quot;given&quot;:&quot;JiuRan,&quot;,&quot;parse-names&quot;:false,&quot;dropping-particle&quot;:&quot;&quot;,&quot;non-dropping-particle&quot;:&quot;&quot;},{&quot;family&quot;:&quot;Kong&quot;,&quot;given&quot;:&quot;YanFang,&quot;,&quot;parse-names&quot;:false,&quot;dropping-particle&quot;:&quot;&quot;,&quot;non-dropping-particle&quot;:&quot;&quot;},{&quot;family&quot;:&quot;Guo&quot;,&quot;given&quot;:&quot;JingLun,&quot;,&quot;parse-names&quot;:false,&quot;dropping-particle&quot;:&quot;&quot;,&quot;non-dropping-particle&quot;:&quot;&quot;},{&quot;family&quot;:&quot;Chi&quot;,&quot;given&quot;:&quot;ShuMin,&quot;,&quot;parse-names&quot;:false,&quot;dropping-particle&quot;:&quot;&quot;,&quot;non-dropping-particle&quot;:&quot;&quot;},{&quot;family&quot;:&quot;Wei&quot;,&quot;given&quot;:&quot;DeMing,&quot;,&quot;parse-names&quot;:false,&quot;dropping-particle&quot;:&quot;&quot;,&quot;non-dropping-particle&quot;:&quot;&quot;},{&quot;family&quot;:&quot;Guo&quot;,&quot;given&quot;:&quot;Qiang,&quot;,&quot;parse-names&quot;:false,&quot;dropping-particle&quot;:&quot;&quot;,&quot;non-dropping-particle&quot;:&quot;&quot;},{&quot;family&quot;:&quot;ZhaoJ.R.&quot;,&quot;given&quot;:&quot;&quot;,&quot;parse-names&quot;:false,&quot;dropping-particle&quot;:&quot;&quot;,&quot;non-dropping-particle&quot;:&quot;&quot;},{&quot;family&quot;:&quot;Kong&quot;,&quot;given&quot;:&quot;Y.F.,&quot;,&quot;parse-names&quot;:false,&quot;dropping-particle&quot;:&quot;&quot;,&quot;non-dropping-particle&quot;:&quot;&quot;},{&quot;family&quot;:&quot;Guo&quot;,&quot;given&quot;:&quot;J.L.,&quot;,&quot;parse-names&quot;:false,&quot;dropping-particle&quot;:&quot;&quot;,&quot;non-dropping-particle&quot;:&quot;&quot;},{&quot;family&quot;:&quot;Chi&quot;,&quot;given&quot;:&quot;S.M.,&quot;,&quot;parse-names&quot;:false,&quot;dropping-particle&quot;:&quot;&quot;,&quot;non-dropping-particle&quot;:&quot;&quot;},{&quot;family&quot;:&quot;Wei&quot;,&quot;given&quot;:&quot;D.M.&quot;,&quot;parse-names&quot;:false,&quot;dropping-particle&quot;:&quot;&quot;,&quot;non-dropping-particle&quot;:&quot;&quot;},{&quot;family&quot;:&quot;and Guo&quot;,&quot;given&quot;:&quot;Q.&quot;,&quot;parse-names&quot;:false,&quot;dropping-particle&quot;:&quot;&quot;,&quot;non-dropping-particle&quot;:&quot;&quot;}],&quot;container-title&quot;:&quot;Beijing Agricultural Sciences &quot;,&quot;issued&quot;:{&quot;date-parts&quot;:[[1997]]},&quot;page&quot;:&quot;1-2&quot;,&quot;volume&quot;:&quot;16&quot;},&quot;isTemporary&quot;:false}],&quot;properties&quot;:{&quot;noteIndex&quot;:0},&quot;isEdited&quot;:false,&quot;manualOverride&quot;:{&quot;isManuallyOverridden&quot;:false,&quot;citeprocText&quot;:&quot;(Bachman et al., 2001; Dubcovsky, 2004; J. Zhao et al., 1997)&quot;,&quot;manualOverrideText&quot;:&quot;&quot;},&quot;citationTag&quot;:&quot;MENDELEY_CITATION_v3_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&quot;},{&quot;citationID&quot;:&quot;MENDELEY_CITATION_42839b74-aa77-47f3-af60-81e0d7a1ba88&quot;,&quot;citationItems&quot;:[{&quot;id&quot;:&quot;5c27a761-1abd-396c-a372-caf1e4043a5c&quot;,&quot;itemData&quot;:{&quot;type&quot;:&quot;article-journal&quot;,&quot;id&quot;:&quot;5c27a761-1abd-396c-a372-caf1e4043a5c&quot;,&quot;title&quot;:&quot; Plant cultivar identification and registration – therole for molecular techniques. &quot;,&quot;author&quot;:[{&quot;family&quot;:&quot;Camlin&quot;,&quot;given&quot;:&quot;M.S.&quot;,&quot;parse-names&quot;:false,&quot;dropping-particle&quot;:&quot;&quot;,&quot;non-dropping-particle&quot;:&quot;&quot;}],&quot;container-title&quot;:&quot;Acta Horticulturae &quot;,&quot;issued&quot;:{&quot;date-parts&quot;:[[2003]]},&quot;page&quot;:&quot;37-47&quot;,&quot;volume&quot;:&quot;625&quot;},&quot;isTemporary&quot;:false},{&quot;id&quot;:&quot;a19ad2ed-00bf-35b9-af18-1a830fc24ee7&quot;,&quot;itemData&quot;:{&quot;type&quot;:&quot;article-journal&quot;,&quot;id&quot;:&quot;a19ad2ed-00bf-35b9-af18-1a830fc24ee7&quot;,&quot;title&quot;:&quot;Plant genetic resources: Advancing conservation and use through biotechnology&quot;,&quot;author&quot;:[{&quot;family&quot;:&quot;Rao&quot;,&quot;given&quot;:&quot;N.K.&quot;,&quot;parse-names&quot;:false,&quot;dropping-particle&quot;:&quot;&quot;,&quot;non-dropping-particle&quot;:&quot;&quot;}],&quot;container-title&quot;:&quot;African Journal of Biotechnology&quot;,&quot;DOI&quot;:&quot;10.5897/AJB2004.000-2025&quot;,&quot;ISSN&quot;:&quot;1684-5315&quot;,&quot;issued&quot;:{&quot;date-parts&quot;:[[2004,2,28]]},&quot;page&quot;:&quot;136-145&quot;,&quot;issue&quot;:&quot;2&quot;,&quot;volume&quot;:&quot;3&quot;},&quot;isTemporary&quot;:false},{&quot;id&quot;:&quot;26d473ff-c010-3f6e-98de-befde2c725ed&quot;,&quot;itemData&quot;:{&quot;type&quot;:&quot;paper-conference&quot;,&quot;id&quot;:&quot;26d473ff-c010-3f6e-98de-befde2c725ed&quot;,&quot;title&quot;:&quot; Genetic diversity in an isolated population of Capparis dicidua. &quot;,&quot;author&quot;:[{&quot;family&quot;:&quot;Abdel-Mawgood&quot;,&quot;given&quot;:&quot;&quot;,&quot;parse-names&quot;:false,&quot;dropping-particle&quot;:&quot;&quot;,&quot;non-dropping-particle&quot;:&quot;&quot;},{&quot;family&quot;:&quot;A. L.&quot;,&quot;given&quot;:&quot;Alsaeed, A.&quot;,&quot;parse-names&quot;:false,&quot;dropping-particle&quot;:&quot;&quot;,&quot;non-dropping-particle&quot;:&quot;&quot;},{&quot;family&quot;:&quot;and Abdellatif&quot;,&quot;given&quot;:&quot;T.&quot;,&quot;parse-names&quot;:false,&quot;dropping-particle&quot;:&quot;&quot;,&quot;non-dropping-particle&quot;:&quot;&quot;}],&quot;container-title&quot;:&quot;Proceeding of the workshop “The role of biotechnology for the characterization and conservation of crop, forestry, animal and fishery genetic resources&quot;,&quot;issued&quot;:{&quot;date-parts&quot;:[[2005,3,5]]},&quot;publisher-place&quot;:&quot;Torino, Italy&quot;,&quot;page&quot;:&quot;82-83&quot;},&quot;isTemporary&quot;:false}],&quot;properties&quot;:{&quot;noteIndex&quot;:0},&quot;isEdited&quot;:false,&quot;manualOverride&quot;:{&quot;isManuallyOverridden&quot;:false,&quot;citeprocText&quot;:&quot;(Abdel-Mawgood et al., 2005; Camlin, 2003; Rao, 2004)&quot;,&quot;manualOverrideText&quot;:&quot;&quot;},&quot;citationTag&quot;:&quot;MENDELEY_CITATION_v3_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&quot;},{&quot;citationID&quot;:&quot;MENDELEY_CITATION_46711db6-3300-4c85-a594-9fc6644cd966&quot;,&quot;citationItems&quot;:[{&quot;id&quot;:&quot;26d473ff-c010-3f6e-98de-befde2c725ed&quot;,&quot;itemData&quot;:{&quot;type&quot;:&quot;paper-conference&quot;,&quot;id&quot;:&quot;26d473ff-c010-3f6e-98de-befde2c725ed&quot;,&quot;title&quot;:&quot; Genetic diversity in an isolated population of Capparis dicidua. &quot;,&quot;author&quot;:[{&quot;family&quot;:&quot;Abdel-Mawgood&quot;,&quot;given&quot;:&quot;&quot;,&quot;parse-names&quot;:false,&quot;dropping-particle&quot;:&quot;&quot;,&quot;non-dropping-particle&quot;:&quot;&quot;},{&quot;family&quot;:&quot;A. L.&quot;,&quot;given&quot;:&quot;Alsaeed, A.&quot;,&quot;parse-names&quot;:false,&quot;dropping-particle&quot;:&quot;&quot;,&quot;non-dropping-particle&quot;:&quot;&quot;},{&quot;family&quot;:&quot;and Abdellatif&quot;,&quot;given&quot;:&quot;T.&quot;,&quot;parse-names&quot;:false,&quot;dropping-particle&quot;:&quot;&quot;,&quot;non-dropping-particle&quot;:&quot;&quot;}],&quot;container-title&quot;:&quot;Proceeding of the workshop “The role of biotechnology for the characterization and conservation of crop, forestry, animal and fishery genetic resources&quot;,&quot;issued&quot;:{&quot;date-parts&quot;:[[2005,3,5]]},&quot;publisher-place&quot;:&quot;Torino, Italy&quot;,&quot;page&quot;:&quot;82-83&quot;},&quot;isTemporary&quot;:false}],&quot;properties&quot;:{&quot;noteIndex&quot;:0},&quot;isEdited&quot;:false,&quot;manualOverride&quot;:{&quot;isManuallyOverridden&quot;:false,&quot;citeprocText&quot;:&quot;(Abdel-Mawgood et al., 2005)&quot;,&quot;manualOverrideText&quot;:&quot;&quot;},&quot;citationTag&quot;:&quot;MENDELEY_CITATION_v3_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&quot;},{&quot;citationID&quot;:&quot;MENDELEY_CITATION_90406467-1dbb-4d80-a6af-9ccbe8a25a23&quot;,&quot;citationItems&quot;:[{&quot;id&quot;:&quot;ecb93c44-3b0d-38dc-905b-9ee639c86c6a&quot;,&quot;itemData&quot;:{&quot;type&quot;:&quot;article-journal&quot;,&quot;id&quot;:&quot;ecb93c44-3b0d-38dc-905b-9ee639c86c6a&quot;,&quot;title&quot;:&quot; Absolute quantification of mRNA using real-time reverse transcription polymerase chain reaction assays. &quot;,&quot;author&quot;:[{&quot;family&quot;:&quot;Bustin SA&quot;,&quot;given&quot;:&quot;&quot;,&quot;parse-names&quot;:false,&quot;dropping-particle&quot;:&quot;&quot;,&quot;non-dropping-particle&quot;:&quot;&quot;}],&quot;container-title&quot;:&quot;J Mol Endocrinol &quot;,&quot;issued&quot;:{&quot;date-parts&quot;:[[2000]]},&quot;page&quot;:&quot;169-193&quot;,&quot;volume&quot;:&quot;25&quot;},&quot;isTemporary&quot;:false},{&quot;id&quot;:&quot;7553b27b-1035-3a0e-a9fe-38a75caa44c4&quot;,&quot;itemData&quot;:{&quot;type&quot;:&quot;article-journal&quot;,&quot;id&quot;:&quot;7553b27b-1035-3a0e-a9fe-38a75caa44c4&quot;,&quot;title&quot;:&quot;Ribosomal 18S RNA Prevails over Glyceraldehyde-3-Phosphate Dehydrogenase and β-Actin Genes as Internal Standard for Quantitative Comparison of mRNA Levels in Invasive and Noninvasive Human Melanoma Cell Subpopulations&quot;,&quot;author&quot;:[{&quot;family&quot;:&quot;Goidin&quot;,&quot;given&quot;:&quot;Didier&quot;,&quot;parse-names&quot;:false,&quot;dropping-particle&quot;:&quot;&quot;,&quot;non-dropping-particle&quot;:&quot;&quot;},{&quot;family&quot;:&quot;Mamessier&quot;,&quot;given&quot;:&quot;Audrey&quot;,&quot;parse-names&quot;:false,&quot;dropping-particle&quot;:&quot;&quot;,&quot;non-dropping-particle&quot;:&quot;&quot;},{&quot;family&quot;:&quot;Staquet&quot;,&quot;given&quot;:&quot;Marie-Jeanne&quot;,&quot;parse-names&quot;:false,&quot;dropping-particle&quot;:&quot;&quot;,&quot;non-dropping-particle&quot;:&quot;&quot;},{&quot;family&quot;:&quot;Schmitt&quot;,&quot;given&quot;:&quot;Daniel&quot;,&quot;parse-names&quot;:false,&quot;dropping-particle&quot;:&quot;&quot;,&quot;non-dropping-particle&quot;:&quot;&quot;},{&quot;family&quot;:&quot;Berthier-Vergnes&quot;,&quot;given&quot;:&quot;Odile&quot;,&quot;parse-names&quot;:false,&quot;dropping-particle&quot;:&quot;&quot;,&quot;non-dropping-particle&quot;:&quot;&quot;}],&quot;container-title&quot;:&quot;Analytical Biochemistry&quot;,&quot;DOI&quot;:&quot;10.1006/abio.2001.5171&quot;,&quot;ISSN&quot;:&quot;00032697&quot;,&quot;issued&quot;:{&quot;date-parts&quot;:[[2001,8]]},&quot;issue&quot;:&quot;1&quot;,&quot;volume&quot;:&quot;295&quot;},&quot;isTemporary&quot;:false},{&quot;id&quot;:&quot;d80b63d1-8d43-3b86-8028-46a11b300e17&quot;,&quot;itemData&quot;:{&quot;type&quot;:&quot;article-journal&quot;,&quot;id&quot;:&quot;d80b63d1-8d43-3b86-8028-46a11b300e17&quot;,&quot;title&quot;:&quot;Validation of reference genes as internal control for studying viral infections in cereals by quantitative real-time RT-PCR&quot;,&quot;author&quot;:[{&quot;family&quot;:&quot;Jarošová&quot;,&quot;given&quot;:&quot;Jana&quot;,&quot;parse-names&quot;:false,&quot;dropping-particle&quot;:&quot;&quot;,&quot;non-dropping-particle&quot;:&quot;&quot;},{&quot;family&quot;:&quot;Kundu&quot;,&quot;given&quot;:&quot;Jiban K&quot;,&quot;parse-names&quot;:false,&quot;dropping-particle&quot;:&quot;&quot;,&quot;non-dropping-particle&quot;:&quot;&quot;}],&quot;container-title&quot;:&quot;BMC Plant Biology&quot;,&quot;DOI&quot;:&quot;10.1186/1471-2229-10-146&quot;,&quot;ISSN&quot;:&quot;1471-2229&quot;,&quot;issued&quot;:{&quot;date-parts&quot;:[[2010]]},&quot;issue&quot;:&quot;1&quot;,&quot;volume&quot;:&quot;10&quot;},&quot;isTemporary&quot;:false},{&quot;id&quot;:&quot;0ec5ff08-98aa-388f-9470-e02c5c6b0bba&quot;,&quot;itemData&quot;:{&quot;type&quot;:&quot;article-journal&quot;,&quot;id&quot;:&quot;0ec5ff08-98aa-388f-9470-e02c5c6b0bba&quot;,&quot;title&quot;:&quot;Validation of reference genes for gene expression analysis in chicory (Cichorium intybus) using quantitative real-time PCR&quot;,&quot;author&quot;:[{&quot;family&quot;:&quot;Maroufi&quot;,&quot;given&quot;:&quot;Asad&quot;,&quot;parse-names&quot;:false,&quot;dropping-particle&quot;:&quot;&quot;,&quot;non-dropping-particle&quot;:&quot;&quot;},{&quot;family&quot;:&quot;Bockstaele&quot;,&quot;given&quot;:&quot;Erik&quot;,&quot;parse-names&quot;:false,&quot;dropping-particle&quot;:&quot;&quot;,&quot;non-dropping-particle&quot;:&quot;van&quot;},{&quot;family&quot;:&quot;Loose&quot;,&quot;given&quot;:&quot;Marc&quot;,&quot;parse-names&quot;:false,&quot;dropping-particle&quot;:&quot;&quot;,&quot;non-dropping-particle&quot;:&quot;de&quot;}],&quot;container-title&quot;:&quot;BMC Molecular Biology&quot;,&quot;DOI&quot;:&quot;10.1186/1471-2199-11-15&quot;,&quot;ISSN&quot;:&quot;1471-2199&quot;,&quot;issued&quot;:{&quot;date-parts&quot;:[[2010,12,15]]},&quot;issue&quot;:&quot;1&quot;,&quot;volume&quot;:&quot;11&quot;},&quot;isTemporary&quot;:false},{&quot;id&quot;:&quot;72ea948c-0544-3e06-bd05-e0c97540f84e&quot;,&quot;itemData&quot;:{&quot;type&quot;:&quot;article-journal&quot;,&quot;id&quot;:&quot;72ea948c-0544-3e06-bd05-e0c97540f84e&quot;,&quot;title&quot;:&quot;Housekeeping gene selection for real-time RT-PCR normalization in potato during biotic and abiotic stress&quot;,&quot;author&quot;:[{&quot;family&quot;:&quot;Nicot&quot;,&quot;given&quot;:&quot;Nathalie&quot;,&quot;parse-names&quot;:false,&quot;dropping-particle&quot;:&quot;&quot;,&quot;non-dropping-particle&quot;:&quot;&quot;},{&quot;family&quot;:&quot;Hausman&quot;,&quot;given&quot;:&quot;Jean-François&quot;,&quot;parse-names&quot;:false,&quot;dropping-particle&quot;:&quot;&quot;,&quot;non-dropping-particle&quot;:&quot;&quot;},{&quot;family&quot;:&quot;Hoffmann&quot;,&quot;given&quot;:&quot;Lucien&quot;,&quot;parse-names&quot;:false,&quot;dropping-particle&quot;:&quot;&quot;,&quot;non-dropping-particle&quot;:&quot;&quot;},{&quot;family&quot;:&quot;Evers&quot;,&quot;given&quot;:&quot;Danièle&quot;,&quot;parse-names&quot;:false,&quot;dropping-particle&quot;:&quot;&quot;,&quot;non-dropping-particle&quot;:&quot;&quot;}],&quot;container-title&quot;:&quot;Journal of Experimental Botany&quot;,&quot;DOI&quot;:&quot;10.1093/jxb/eri285&quot;,&quot;ISSN&quot;:&quot;1460-2431&quot;,&quot;issued&quot;:{&quot;date-parts&quot;:[[2005,11,1]]},&quot;issue&quot;:&quot;421&quot;,&quot;volume&quot;:&quot;56&quot;},&quot;isTemporary&quot;:false},{&quot;id&quot;:&quot;59e44e23-11ce-3216-847c-0f5107085d14&quot;,&quot;itemData&quot;:{&quot;type&quot;:&quot;article-journal&quot;,&quot;id&quot;:&quot;59e44e23-11ce-3216-847c-0f5107085d14&quot;,&quot;title&quot;:&quot;Selection of Reference Genes for Normalizing Gene Expression During Seed Priming and Germination Using qPCR in Zea mays and Spinacia oleracea&quot;,&quot;author&quot;:[{&quot;family&quot;:&quot;Chen&quot;,&quot;given&quot;:&quot;Keting&quot;,&quot;parse-names&quot;:false,&quot;dropping-particle&quot;:&quot;&quot;,&quot;non-dropping-particle&quot;:&quot;&quot;},{&quot;family&quot;:&quot;Fessehaie&quot;,&quot;given&quot;:&quot;Anania&quot;,&quot;parse-names&quot;:false,&quot;dropping-particle&quot;:&quot;&quot;,&quot;non-dropping-particle&quot;:&quot;&quot;},{&quot;family&quot;:&quot;Arora&quot;,&quot;given&quot;:&quot;Rajeev&quot;,&quot;parse-names&quot;:false,&quot;dropping-particle&quot;:&quot;&quot;,&quot;non-dropping-particle&quot;:&quot;&quot;}],&quot;container-title&quot;:&quot;Plant Molecular Biology Reporter&quot;,&quot;DOI&quot;:&quot;10.1007/s11105-011-0354-x&quot;,&quot;ISSN&quot;:&quot;0735-9640&quot;,&quot;issued&quot;:{&quot;date-parts&quot;:[[2012,4,21]]},&quot;issue&quot;:&quot;2&quot;,&quot;volume&quot;:&quot;30&quot;},&quot;isTemporary&quot;:false}],&quot;properties&quot;:{&quot;noteIndex&quot;:0},&quot;isEdited&quot;:false,&quot;manualOverride&quot;:{&quot;isManuallyOverridden&quot;:true,&quot;citeprocText&quot;:&quot;(Bustin SA, 2000; K. Chen et al., 2012; Goidin et al., 2001; Jarošová &amp;#38; Kundu, 2010; Maroufi et al., 2010; Nicot et al., 2005)&quot;,&quot;manualOverrideText&quot;:&quot;(Bustin, 2000; Chen et al., 2012; Goidin et al., 2001; Jarošová &amp; Kundu, 2010; Maroufi et al., 2010; Nicot et al., 2005)&quot;},&quot;citationTag&quot;:&quot;MENDELEY_CITATION_v3_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&quot;},{&quot;citationID&quot;:&quot;MENDELEY_CITATION_f3e40962-e5aa-44fe-b6fb-a1bedb5e58f4&quot;,&quot;citationItems&quot;:[{&quot;id&quot;:&quot;b4980fe0-454f-3809-9618-6459e80e4c8e&quot;,&quot;itemData&quot;:{&quot;type&quot;:&quot;article-journal&quot;,&quot;id&quot;:&quot;b4980fe0-454f-3809-9618-6459e80e4c8e&quot;,&quot;title&quot;:&quot;Reverse Transcription of 18S rRNA with Poly(dT)18 and Other Homopolymers&quot;,&quot;author&quot;:[{&quot;family&quot;:&quot;Bogdanović&quot;,&quot;given&quot;:&quot;Milica D.&quot;,&quot;parse-names&quot;:false,&quot;dropping-particle&quot;:&quot;&quot;,&quot;non-dropping-particle&quot;:&quot;&quot;},{&quot;family&quot;:&quot;Dragićević&quot;,&quot;given&quot;:&quot;Milan B.&quot;,&quot;parse-names&quot;:false,&quot;dropping-particle&quot;:&quot;&quot;,&quot;non-dropping-particle&quot;:&quot;&quot;},{&quot;family&quot;:&quot;Tanić&quot;,&quot;given&quot;:&quot;Nikola T.&quot;,&quot;parse-names&quot;:false,&quot;dropping-particle&quot;:&quot;&quot;,&quot;non-dropping-particle&quot;:&quot;&quot;},{&quot;family&quot;:&quot;Todorović&quot;,&quot;given&quot;:&quot;Sladana I.&quot;,&quot;parse-names&quot;:false,&quot;dropping-particle&quot;:&quot;&quot;,&quot;non-dropping-particle&quot;:&quot;&quot;},{&quot;family&quot;:&quot;Mišić&quot;,&quot;given&quot;:&quot;Danijela M.&quot;,&quot;parse-names&quot;:false,&quot;dropping-particle&quot;:&quot;&quot;,&quot;non-dropping-particle&quot;:&quot;&quot;},{&quot;family&quot;:&quot;Živković&quot;,&quot;given&quot;:&quot;Suzana T.&quot;,&quot;parse-names&quot;:false,&quot;dropping-particle&quot;:&quot;&quot;,&quot;non-dropping-particle&quot;:&quot;&quot;},{&quot;family&quot;:&quot;Tissier&quot;,&quot;given&quot;:&quot;Alain&quot;,&quot;parse-names&quot;:false,&quot;dropping-particle&quot;:&quot;&quot;,&quot;non-dropping-particle&quot;:&quot;&quot;},{&quot;family&quot;:&quot;Simonović&quot;,&quot;given&quot;:&quot;Ana D.&quot;,&quot;parse-names&quot;:false,&quot;dropping-particle&quot;:&quot;&quot;,&quot;non-dropping-particle&quot;:&quot;&quot;}],&quot;container-title&quot;:&quot;Plant Molecular Biology Reporter&quot;,&quot;DOI&quot;:&quot;10.1007/s11105-012-0474-y&quot;,&quot;ISSN&quot;:&quot;15729818&quot;,&quot;issued&quot;:{&quot;date-parts&quot;:[[2013,2,1]]},&quot;page&quot;:&quot;55-63&quot;,&quot;abstract&quot;:&quot;Ribosomal 18S RNA is widely used as a housekeeping gene in expression studies, including end-point PCR, Northern analysis, and real-time experiments. However, there are two disadvantages and two points of error introduction in using 18S rRNA as a reference gene. First, 18S has no poly(A) tail, so it is commonly reverse transcribed with specific primers or random hexamers, independently from poly(dT)-primed transcripts. Secondly, due to its abundance, the 18S cDNA must be extensively diluted to be comparable to the tested genes. In this study, 18S rRNA from five taxonomically diverse plant species, including Physcomitrella patens, Adiantum capillus-veneris, Centaurium erythraea, Arabidopsis thaliana, and Zea mays, was successfully reverse transcribed (RT) using poly(dT)18. As all other homopolymers, including poly(dA)18, poly(dC)18, and poly(dG)18, could serve as RT primers, it was concluded that homopolymers anneal by mispriming at the sites of complementary homopolymeric runs or segments rich in complementary base. Poly(dC)18 was the most efficient as RT primer, and the only one which interfered with subsequent PCR, giving species-specific pattern of products. Poly(dT)-primed RT reactions were less efficient in comparison to specific primer or random hexamer-primed reactions. Homopolymeric priming of 18S in RT reactions is general in terms of RNA origin and the method of RNA isolation and is possibly applicable to other tailless housekeeping genes. © 2012 Springer-Verlag.&quot;,&quot;publisher&quot;:&quot;Springer Science and Business Media, LLC&quot;,&quot;issue&quot;:&quot;1&quot;,&quot;volume&quot;:&quot;31&quot;},&quot;isTemporary&quot;:false}],&quot;properties&quot;:{&quot;noteIndex&quot;:0},&quot;isEdited&quot;:false,&quot;manualOverride&quot;:{&quot;isManuallyOverridden&quot;:true,&quot;citeprocText&quot;:&quot;(Bogdanović et al., 2013)&quot;,&quot;manualOverrideText&quot;:&quot;(Bogdanović et al., 2013&quot;},&quot;citationTag&quot;:&quot;MENDELEY_CITATION_v3_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&quot;},{&quot;citationID&quot;:&quot;MENDELEY_CITATION_fbade42f-c93f-49b8-ba2a-7c372ee5d2aa&quot;,&quot;citationItems&quot;:[{&quot;id&quot;:&quot;79c6184d-7d5f-39c7-976e-34fd197fdd48&quot;,&quot;itemData&quot;:{&quot;type&quot;:&quot;article-journal&quot;,&quot;id&quot;:&quot;79c6184d-7d5f-39c7-976e-34fd197fdd48&quot;,&quot;title&quot;:&quot; Chloroplast DNA variation and plant phylogeny. &quot;,&quot;author&quot;:[{&quot;family&quot;:&quot;Palmer&quot;,&quot;given&quot;:&quot;J.D.K.,&quot;,&quot;parse-names&quot;:false,&quot;dropping-particle&quot;:&quot;&quot;,&quot;non-dropping-particle&quot;:&quot;&quot;},{&quot;family&quot;:&quot;Jansen&quot;,&quot;given&quot;:&quot;H. J.&quot;,&quot;parse-names&quot;:false,&quot;dropping-particle&quot;:&quot;&quot;,&quot;non-dropping-particle&quot;:&quot;&quot;},{&quot;family&quot;:&quot;Michaels&quot;,&quot;given&quot;:&quot;M. K.&quot;,&quot;parse-names&quot;:false,&quot;dropping-particle&quot;:&quot;&quot;,&quot;non-dropping-particle&quot;:&quot;&quot;},{&quot;family&quot;:&quot;Chase&quot;,&quot;given&quot;:&quot;&quot;,&quot;parse-names&quot;:false,&quot;dropping-particle&quot;:&quot;&quot;,&quot;non-dropping-particle&quot;:&quot;&quot;},{&quot;family&quot;:&quot;and J. R. Manhart.&quot;,&quot;given&quot;:&quot;&quot;,&quot;parse-names&quot;:false,&quot;dropping-particle&quot;:&quot;&quot;,&quot;non-dropping-particle&quot;:&quot;&quot;}],&quot;container-title&quot;:&quot;Ann. MO. Bot. Garden &quot;,&quot;issued&quot;:{&quot;date-parts&quot;:[[1988]]},&quot;page&quot;:&quot;1180-1206&quot;,&quot;volume&quot;:&quot;75&quot;},&quot;isTemporary&quot;:false}],&quot;properties&quot;:{&quot;noteIndex&quot;:0},&quot;isEdited&quot;:false,&quot;manualOverride&quot;:{&quot;isManuallyOverridden&quot;:false,&quot;citeprocText&quot;:&quot;(Palmer et al., 1988)&quot;,&quot;manualOverrideText&quot;:&quot;&quot;},&quot;citationTag&quot;:&quot;MENDELEY_CITATION_v3_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&quot;},{&quot;citationID&quot;:&quot;MENDELEY_CITATION_fd39536c-a593-4e4d-8b58-8d637d058054&quot;,&quot;citationItems&quot;:[{&quot;id&quot;:&quot;27a38eea-a9d4-35bc-accf-8fce1cfc24ea&quot;,&quot;itemData&quot;:{&quot;type&quot;:&quot;article-journal&quot;,&quot;id&quot;:&quot;27a38eea-a9d4-35bc-accf-8fce1cfc24ea&quot;,&quot;title&quot;:&quot;Species identification by means of the cytochrome b gene&quot;,&quot;author&quot;:[{&quot;family&quot;:&quot;Parson&quot;,&quot;given&quot;:&quot;W.&quot;,&quot;parse-names&quot;:false,&quot;dropping-particle&quot;:&quot;&quot;,&quot;non-dropping-particle&quot;:&quot;&quot;},{&quot;family&quot;:&quot;Pegoraro&quot;,&quot;given&quot;:&quot;K.&quot;,&quot;parse-names&quot;:false,&quot;dropping-particle&quot;:&quot;&quot;,&quot;non-dropping-particle&quot;:&quot;&quot;},{&quot;family&quot;:&quot;Niederstätter&quot;,&quot;given&quot;:&quot;H.&quot;,&quot;parse-names&quot;:false,&quot;dropping-particle&quot;:&quot;&quot;,&quot;non-dropping-particle&quot;:&quot;&quot;},{&quot;family&quot;:&quot;Föger&quot;,&quot;given&quot;:&quot;M.&quot;,&quot;parse-names&quot;:false,&quot;dropping-particle&quot;:&quot;&quot;,&quot;non-dropping-particle&quot;:&quot;&quot;},{&quot;family&quot;:&quot;Steinlechner&quot;,&quot;given&quot;:&quot;M.&quot;,&quot;parse-names&quot;:false,&quot;dropping-particle&quot;:&quot;&quot;,&quot;non-dropping-particle&quot;:&quot;&quot;}],&quot;container-title&quot;:&quot;International Journal of Legal Medicine&quot;,&quot;accessed&quot;:{&quot;date-parts&quot;:[[2021,6,20]]},&quot;DOI&quot;:&quot;10.1007/s004140000134&quot;,&quot;ISSN&quot;:&quot;09379827&quot;,&quot;PMID&quot;:&quot;11197623&quot;,&quot;URL&quot;:&quot;http://www.ncbi.nlm.nih.gov/Taxonomy/tax.html&quot;,&quot;issued&quot;:{&quot;date-parts&quot;:[[2000]]},&quot;page&quot;:&quot;23-28&quot;,&quot;abstract&quot;:&quot;Species identification was carried out by nucleotide sequence analysis of the cytochrome b (cytb) gene. The aim of the study was to identify biological specimens from diverse vertebrate animals by extracting and amplifying DNA from 44 different animal species covering the 5 major vertebrate groups (i.e. mammals, birds, reptiles, amphibians and fishes). The sequences derived were used to identify the biological origin of the samples by aligning to cytb gene sequence entries in nucleotide databases using the program BLAST. All sequences were submitted to the GenBank including new species which were not observed in the databases. The applicability of this method to the forensic field is demonstrated by simulated casework conditions where different types of samples including problematic specimens such as hair, bone samples, bristles and feathers were investigated to identify the species.&quot;,&quot;publisher&quot;:&quot;Springer&quot;,&quot;issue&quot;:&quot;1-2&quot;,&quot;volume&quot;:&quot;114&quot;},&quot;isTemporary&quot;:false}],&quot;properties&quot;:{&quot;noteIndex&quot;:0},&quot;isEdited&quot;:false,&quot;manualOverride&quot;:{&quot;isManuallyOverriden&quot;:false,&quot;citeprocText&quot;:&quot;(Parson et al., 2000)&quot;,&quot;manualOverrideText&quot;:&quot;&quot;},&quot;citationTag&quot;:&quot;MENDELEY_CITATION_v3_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&quot;},{&quot;citationID&quot;:&quot;MENDELEY_CITATION_b3f1645d-365b-4f80-92eb-76ade45de8b5&quot;,&quot;citationItems&quot;:[{&quot;id&quot;:&quot;435c2f64-5f11-3d3d-a5bf-81f8dfa06a83&quot;,&quot;itemData&quot;:{&quot;type&quot;:&quot;article-journal&quot;,&quot;id&quot;:&quot;435c2f64-5f11-3d3d-a5bf-81f8dfa06a83&quot;,&quot;title&quot;:&quot;Universal plant DNA barcode loci may not work in complex groups: A case study with Indian berberis species&quot;,&quot;author&quot;:[{&quot;family&quot;:&quot;Roy&quot;,&quot;given&quot;:&quot;Sribash&quot;,&quot;parse-names&quot;:false,&quot;dropping-particle&quot;:&quot;&quot;,&quot;non-dropping-particle&quot;:&quot;&quot;},{&quot;family&quot;:&quot;Tyagi&quot;,&quot;given&quot;:&quot;Antariksh&quot;,&quot;parse-names&quot;:false,&quot;dropping-particle&quot;:&quot;&quot;,&quot;non-dropping-particle&quot;:&quot;&quot;},{&quot;family&quot;:&quot;Shukla&quot;,&quot;given&quot;:&quot;Virendra&quot;,&quot;parse-names&quot;:false,&quot;dropping-particle&quot;:&quot;&quot;,&quot;non-dropping-particle&quot;:&quot;&quot;},{&quot;family&quot;:&quot;Kumar&quot;,&quot;given&quot;:&quot;Anil&quot;,&quot;parse-names&quot;:false,&quot;dropping-particle&quot;:&quot;&quot;,&quot;non-dropping-particle&quot;:&quot;&quot;},{&quot;family&quot;:&quot;Singh&quot;,&quot;given&quot;:&quot;Uma M.&quot;,&quot;parse-names&quot;:false,&quot;dropping-particle&quot;:&quot;&quot;,&quot;non-dropping-particle&quot;:&quot;&quot;},{&quot;family&quot;:&quot;Chaudhary&quot;,&quot;given&quot;:&quot;Lal Babu&quot;,&quot;parse-names&quot;:false,&quot;dropping-particle&quot;:&quot;&quot;,&quot;non-dropping-particle&quot;:&quot;&quot;},{&quot;family&quot;:&quot;Datt&quot;,&quot;given&quot;:&quot;Bhaskar&quot;,&quot;parse-names&quot;:false,&quot;dropping-particle&quot;:&quot;&quot;,&quot;non-dropping-particle&quot;:&quot;&quot;},{&quot;family&quot;:&quot;Bag&quot;,&quot;given&quot;:&quot;Sumit K.&quot;,&quot;parse-names&quot;:false,&quot;dropping-particle&quot;:&quot;&quot;,&quot;non-dropping-particle&quot;:&quot;&quot;},{&quot;family&quot;:&quot;Singh&quot;,&quot;given&quot;:&quot;Pradhyumna K.&quot;,&quot;parse-names&quot;:false,&quot;dropping-particle&quot;:&quot;&quot;,&quot;non-dropping-particle&quot;:&quot;&quot;},{&quot;family&quot;:&quot;Nair&quot;,&quot;given&quot;:&quot;Narayanan K.&quot;,&quot;parse-names&quot;:false,&quot;dropping-particle&quot;:&quot;&quot;,&quot;non-dropping-particle&quot;:&quot;&quot;},{&quot;family&quot;:&quot;Husain&quot;,&quot;given&quot;:&quot;Tariq&quot;,&quot;parse-names&quot;:false,&quot;dropping-particle&quot;:&quot;&quot;,&quot;non-dropping-particle&quot;:&quot;&quot;},{&quot;family&quot;:&quot;Tuli&quot;,&quot;given&quot;:&quot;Rakesh&quot;,&quot;parse-names&quot;:false,&quot;dropping-particle&quot;:&quot;&quot;,&quot;non-dropping-particle&quot;:&quot;&quot;}],&quot;container-title&quot;:&quot;PLoS ONE&quot;,&quot;accessed&quot;:{&quot;date-parts&quot;:[[2021,6,20]]},&quot;DOI&quot;:&quot;10.1371/journal.pone.0013674&quot;,&quot;ISSN&quot;:&quot;19326203&quot;,&quot;PMID&quot;:&quot;21060687&quot;,&quot;URL&quot;:&quot;www.plosone.org&quot;,&quot;issued&quot;:{&quot;date-parts&quot;:[[2010]]},&quot;page&quot;:&quot;e13674&quot;,&quot;abstract&quot;:&quot;Background: The concept of DNA barcoding for species identification has gained considerable momentum in animals because of fairly successful species identification using cytochrome oxidase I (COI). In plants, MATK and RBCL have been proposed as standard barcodes. However, barcoding in complex genera is a challenging task. Methodology and Principal Findings:We investigated the species discriminatory power of four reportedly most promising plant DNA barcoding loci (one from nuclear genome- ITS, and three from plastid genome- trnH-psbA, rbcL and MATK) in species of Indian Berberis L. (Berberidaceae) and two other genera, Ficus L. (Moraceae) and Gossypium L. (Malvaceae). Berberis species were delineated using morphological characters. These characters resulted in a well resolved species tree. Applying both nucleotide distance and nucleotide character-based approaches, we found that none of the loci, either singly or in combinations, could discriminate the species of Berberis. ITS resolved all the tested species of Ficus and Gossypium and trnH-psbA resolved 82% of the tested species in Ficus. The highly regarded MATK and RCBL could not resolve all the species. Finally, we employed amplified fragment length polymorphism test in species of Berberis to determine their relationships. Using ten primer pair combinations in AFLP, the data demonstrated incomplete species resolution. Further, AFLP analysis showed that there was a tendency of the Berberis accessions to cluster according to their geographic origin rather than species affiliation. Conclusions/Significance: We reconfirm the earlier reports that the concept of universal barcode in plants may not work in a number of genera. Our results also suggest that the MATK and RCBL, recommended as universal barcode loci for plants, may not work in all the genera of land plants. Morphological, geographical and molecular data analyses of Indian species of Berberis suggest probable reticulate evolution and thus barcode markers may not work in this case. © 2010 Roy et al.&quot;,&quot;publisher&quot;:&quot;Public Library of Science&quot;,&quot;issue&quot;:&quot;10&quot;,&quot;volume&quot;:&quot;5&quot;},&quot;isTemporary&quot;:false}],&quot;properties&quot;:{&quot;noteIndex&quot;:0},&quot;isEdited&quot;:false,&quot;manualOverride&quot;:{&quot;isManuallyOverriden&quot;:false,&quot;citeprocText&quot;:&quot;(Roy et al., 2010)&quot;,&quot;manualOverrideText&quot;:&quot;(Roy et al., 2010).&quot;,&quot;isManuallyOverridden&quot;:true},&quot;citationTag&quot;:&quot;MENDELEY_CITATION_v3_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&quot;},{&quot;citationID&quot;:&quot;MENDELEY_CITATION_cb489cc5-f5a7-4375-adb8-9416fae3fc22&quot;,&quot;citationItems&quot;:[{&quot;id&quot;:&quot;9c437f22-31e1-387c-9455-c8459bbb02af&quot;,&quot;itemData&quot;:{&quot;type&quot;:&quot;article-journal&quot;,&quot;id&quot;:&quot;9c437f22-31e1-387c-9455-c8459bbb02af&quot;,&quot;title&quot;:&quot;rbcL gene sequences provide evidence for the evolutionary lineages of leptosporangiate ferns&quot;,&quot;author&quot;:[{&quot;family&quot;:&quot;Hasebe&quot;,&quot;given&quot;:&quot;Mitsuyasu&quot;,&quot;parse-names&quot;:false,&quot;dropping-particle&quot;:&quot;&quot;,&quot;non-dropping-particle&quot;:&quot;&quot;},{&quot;family&quot;:&quot;Omori&quot;,&quot;given&quot;:&quot;Tomoyuki&quot;,&quot;parse-names&quot;:false,&quot;dropping-particle&quot;:&quot;&quot;,&quot;non-dropping-particle&quot;:&quot;&quot;},{&quot;family&quot;:&quot;Nakazawa&quot;,&quot;given&quot;:&quot;Miyuki&quot;,&quot;parse-names&quot;:false,&quot;dropping-particle&quot;:&quot;&quot;,&quot;non-dropping-particle&quot;:&quot;&quot;},{&quot;family&quot;:&quot;Sano&quot;,&quot;given&quot;:&quot;Toshio&quot;,&quot;parse-names&quot;:false,&quot;dropping-particle&quot;:&quot;&quot;,&quot;non-dropping-particle&quot;:&quot;&quot;},{&quot;family&quot;:&quot;Kato&quot;,&quot;given&quot;:&quot;Masahiro&quot;,&quot;parse-names&quot;:false,&quot;dropping-particle&quot;:&quot;&quot;,&quot;non-dropping-particle&quot;:&quot;&quot;},{&quot;family&quot;:&quot;Iwatsuki&quot;,&quot;given&quot;:&quot;Kunio&quot;,&quot;parse-names&quot;:false,&quot;dropping-particle&quot;:&quot;&quot;,&quot;non-dropping-particle&quot;:&quot;&quot;}],&quot;container-title&quot;:&quot;Proceedings of the National Academy of Sciences of the United States of America&quot;,&quot;accessed&quot;:{&quot;date-parts&quot;:[[2021,6,20]]},&quot;DOI&quot;:&quot;10.1073/pnas.91.12.5730&quot;,&quot;ISSN&quot;:&quot;00278424&quot;,&quot;PMID&quot;:&quot;8202555&quot;,&quot;URL&quot;:&quot;https://europepmc.org/articles/PMC44070&quot;,&quot;issued&quot;:{&quot;date-parts&quot;:[[1994,6,7]]},&quot;page&quot;:&quot;5730-5734&quot;,&quot;abstract&quot;:&quot;Pteridophytes have a longer evolutionary history than any other vascular land plant and, therefore, have endured greater loss of phylogenetically informative information. This factor has resulted in substantial disagreements in evaluating characters and, thus, controversy in establishing a stable classification. To compare competing classifications, we obtained DNA sequences of a chloroplast gene. The sequence of 1206 nt of the large subunit of the ribulose-bisphosphate carboxylase gene (rbcL) was determined from 58 species, representing almost all families of leptosporangiate ferns. Phylogenetic trees were inferred by the neighbor-joining and the parsimony methods. The two methods produced almost identical phylogenetic trees that provided insights concerning major general evolutionary trends in the leptosporangiate ferns. Interesting findings were as follows: (i) two morphologically distinct heterosporous water ferns, Marsilea and Salvinia, are sister genera; (ii) the tree ferns (Cyatheaceae, Dicksoniaceae, and Metaxyaceae) are monophyletic; and (iii) polypodioids are distantly related to the gleichenioids in spite of the similarity of their exindusiate soral morphology and are close to the higher indusiate ferns. In addition, the affinities of several 'problematic genera' were assessed.&quot;,&quot;issue&quot;:&quot;12&quot;,&quot;volume&quot;:&quot;91&quot;},&quot;isTemporary&quot;:false},{&quot;id&quot;:&quot;fc8db7be-cbec-37b1-aa21-8544db5c903f&quot;,&quot;itemData&quot;:{&quot;type&quot;:&quot;article-journal&quot;,&quot;id&quot;:&quot;fc8db7be-cbec-37b1-aa21-8544db5c903f&quot;,&quot;title&quot;:&quot;Molecular evolutionary history of ancient aquatic angiosperms&quot;,&quot;author&quot;:[{&quot;family&quot;:&quot;Les&quot;,&quot;given&quot;:&quot;D. H.&quot;,&quot;parse-names&quot;:false,&quot;dropping-particle&quot;:&quot;&quot;,&quot;non-dropping-particle&quot;:&quot;&quot;},{&quot;family&quot;:&quot;Garvin&quot;,&quot;given&quot;:&quot;D. K.&quot;,&quot;parse-names&quot;:false,&quot;dropping-particle&quot;:&quot;&quot;,&quot;non-dropping-particle&quot;:&quot;&quot;},{&quot;family&quot;:&quot;Wimpee&quot;,&quot;given&quot;:&quot;C. F.&quot;,&quot;parse-names&quot;:false,&quot;dropping-particle&quot;:&quot;&quot;,&quot;non-dropping-particle&quot;:&quot;&quot;}],&quot;container-title&quot;:&quot;Proceedings of the National Academy of Sciences of the United States of America&quot;,&quot;accessed&quot;:{&quot;date-parts&quot;:[[2021,6,20]]},&quot;DOI&quot;:&quot;10.1073/pnas.88.22.10119&quot;,&quot;ISSN&quot;:&quot;00278424&quot;,&quot;PMID&quot;:&quot;1946432&quot;,&quot;URL&quot;:&quot;https://pubmed.ncbi.nlm.nih.gov/1946432/&quot;,&quot;issued&quot;:{&quot;date-parts&quot;:[[1991]]},&quot;page&quot;:&quot;10119-10123&quot;,&quot;abstract&quot;:&quot;Aquatic plants are notoriously difficult to study systematically due to convergent evolution and reductionary processes that result in confusing arrays of morphological features. Plant systematists have frequently focused their attention on the 'water lilies,' putative descendants of the most archaic angiosperms. Classification of these 10 plant genera varies from recognition of one to three orders containing three to six families. We have used DNA sequence analysis as a means of overcoming many problems inherent in morphologically based studies of the group. Phylogenetic analyses of sequence data obtained from a 1.2-kilobase portion of the chloroplast gene rbcL provide compelling evidence for the recognition of three distinct lineages of 'water lily' plants. Molecular phylogenies including woody Magnoliidae sequences and sequences of these aquatic plants depict Ceratophyllum as an early diverging genus. Our results support hypotheses that most taxonomic concepts of the order Nymphaeales reflect polyphyletic groups and that the unusual genus Ceratophyllum represents descendants of some of the earliest angiosperms.&quot;,&quot;publisher&quot;:&quot;Proc Natl Acad Sci U S A&quot;,&quot;issue&quot;:&quot;22&quot;,&quot;volume&quot;:&quot;88&quot;},&quot;isTemporary&quot;:false},{&quot;id&quot;:&quot;28b025d4-2bf5-3bb5-ad12-c89af1eb737b&quot;,&quot;itemData&quot;:{&quot;type&quot;:&quot;article&quot;,&quot;id&quot;:&quot;28b025d4-2bf5-3bb5-ad12-c89af1eb737b&quot;,&quot;title&quot;:&quot;DNA barcoding in land plants: Evaluation of rbcL in a multigene tiered approach&quot;,&quot;author&quot;:[{&quot;family&quot;:&quot;Newmaster&quot;,&quot;given&quot;:&quot;S. G.&quot;,&quot;parse-names&quot;:false,&quot;dropping-particle&quot;:&quot;&quot;,&quot;non-dropping-particle&quot;:&quot;&quot;},{&quot;family&quot;:&quot;Fazekas&quot;,&quot;given&quot;:&quot;A. J.&quot;,&quot;parse-names&quot;:false,&quot;dropping-particle&quot;:&quot;&quot;,&quot;non-dropping-particle&quot;:&quot;&quot;},{&quot;family&quot;:&quot;Ragupathy&quot;,&quot;given&quot;:&quot;S.&quot;,&quot;parse-names&quot;:false,&quot;dropping-particle&quot;:&quot;&quot;,&quot;non-dropping-particle&quot;:&quot;&quot;}],&quot;container-title&quot;:&quot;Canadian Journal of Botany&quot;,&quot;accessed&quot;:{&quot;date-parts&quot;:[[2021,6,20]]},&quot;DOI&quot;:&quot;10.1139/B06-047&quot;,&quot;ISSN&quot;:&quot;00084026&quot;,&quot;URL&quot;:&quot;http://www.barcodeoflife.org;&quot;,&quot;issued&quot;:{&quot;date-parts&quot;:[[2006,3]]},&quot;page&quot;:&quot;335-341&quot;,&quot;abstract&quot;:&quot;DNA barcoding based on the mitochondrial cytochrome c oxidase 1 (cox1) sequence is being employed for diverse groups of animals with demonstrated success in species identification and new species discovery. Applying barcoding systems to land plants will be a more challenging task as plant genome substitution rates are considerably lower than those observed in animal mitochondria, suggesting that a much greater amount of sequence data from multiple loci will be required to barcode plants. In the absence of an obvious well-characterized plant locus that meets all the necessary criteria, a key first step will be identifying candidate regions with the most potential. To meet the challenges with land plants, we are proposing the adoption of a tiered approach wherein highly variable loci are nested under a core barcoding gene. Analysis of over 10 000 rbcL sequences from GenBank demonstrate that this locus could serve well as the core region, with sufficient variation to discriminate among species in approximately 85% of congeneric pair-wise comparisons. Use of a secondary locus can be implemented when required and can vary from group to group if necessary. The implementation of a barcoding tool has multiple academic and practical applications. It will speed routine identifications and the detection of alien species, advance ecological and taxonomic inquiry, permit fast and accurate forensic analysis of plant fragments, and can function as an additional layer of quality control in the food industry. © 2006 NRC.&quot;,&quot;issue&quot;:&quot;3&quot;,&quot;volume&quot;:&quot;84&quot;},&quot;isTemporary&quot;:false}],&quot;properties&quot;:{&quot;noteIndex&quot;:0},&quot;isEdited&quot;:false,&quot;manualOverride&quot;:{&quot;isManuallyOverridden&quot;:false,&quot;citeprocText&quot;:&quot;(Hasebe et al., 1994; Les et al., 1991; Newmaster et al., 2006)&quot;,&quot;manualOverrideText&quot;:&quot;&quot;},&quot;citationTag&quot;:&quot;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&quot;},{&quot;citationID&quot;:&quot;MENDELEY_CITATION_dd2e825a-c379-4842-8c1c-4c7b31994c15&quot;,&quot;citationItems&quot;:[{&quot;id&quot;:&quot;66f5d722-38a8-3d19-b272-e62e85d7c81b&quot;,&quot;itemData&quot;:{&quot;type&quot;:&quot;article-journal&quot;,&quot;id&quot;:&quot;66f5d722-38a8-3d19-b272-e62e85d7c81b&quot;,&quot;title&quot;:&quot;A DNA barcode for land plants&quot;,&quot;author&quot;:[{&quot;family&quot;:&quot;Hollingsworth&quot;,&quot;given&quot;:&quot;Peter M.&quot;,&quot;parse-names&quot;:false,&quot;dropping-particle&quot;:&quot;&quot;,&quot;non-dropping-particle&quot;:&quot;&quot;},{&quot;family&quot;:&quot;Forrest&quot;,&quot;given&quot;:&quot;Laura L.&quot;,&quot;parse-names&quot;:false,&quot;dropping-particle&quot;:&quot;&quot;,&quot;non-dropping-particle&quot;:&quot;&quot;},{&quot;family&quot;:&quot;Spouge&quot;,&quot;given&quot;:&quot;John L.&quot;,&quot;parse-names&quot;:false,&quot;dropping-particle&quot;:&quot;&quot;,&quot;non-dropping-particle&quot;:&quot;&quot;},{&quot;family&quot;:&quot;Hajibabaei&quot;,&quot;given&quot;:&quot;Mehrdad&quot;,&quot;parse-names&quot;:false,&quot;dropping-particle&quot;:&quot;&quot;,&quot;non-dropping-particle&quot;:&quot;&quot;},{&quot;family&quot;:&quot;Ratnasingham&quot;,&quot;given&quot;:&quot;Sujeevan&quot;,&quot;parse-names&quot;:false,&quot;dropping-particle&quot;:&quot;&quot;,&quot;non-dropping-particle&quot;:&quot;&quot;},{&quot;family&quot;:&quot;Bank&quot;,&quot;given&quot;:&quot;Michelle&quot;,&quot;parse-names&quot;:false,&quot;dropping-particle&quot;:&quot;&quot;,&quot;non-dropping-particle&quot;:&quot;van der&quot;},{&quot;family&quot;:&quot;Chase&quot;,&quot;given&quot;:&quot;Mark W.&quot;,&quot;parse-names&quot;:false,&quot;dropping-particle&quot;:&quot;&quot;,&quot;non-dropping-particle&quot;:&quot;&quot;},{&quot;family&quot;:&quot;Cowan&quot;,&quot;given&quot;:&quot;Robyn S.&quot;,&quot;parse-names&quot;:false,&quot;dropping-particle&quot;:&quot;&quot;,&quot;non-dropping-particle&quot;:&quot;&quot;},{&quot;family&quot;:&quot;Erickson&quot;,&quot;given&quot;:&quot;David L.&quot;,&quot;parse-names&quot;:false,&quot;dropping-particle&quot;:&quot;&quot;,&quot;non-dropping-particle&quot;:&quot;&quot;},{&quot;family&quot;:&quot;Fazekas&quot;,&quot;given&quot;:&quot;Aron J.&quot;,&quot;parse-names&quot;:false,&quot;dropping-particle&quot;:&quot;&quot;,&quot;non-dropping-particle&quot;:&quot;&quot;},{&quot;family&quot;:&quot;Graham&quot;,&quot;given&quot;:&quot;Sean W.&quot;,&quot;parse-names&quot;:false,&quot;dropping-particle&quot;:&quot;&quot;,&quot;non-dropping-particle&quot;:&quot;&quot;},{&quot;family&quot;:&quot;James&quot;,&quot;given&quot;:&quot;Karen E.&quot;,&quot;parse-names&quot;:false,&quot;dropping-particle&quot;:&quot;&quot;,&quot;non-dropping-particle&quot;:&quot;&quot;},{&quot;family&quot;:&quot;Kim&quot;,&quot;given&quot;:&quot;Ki Joong&quot;,&quot;parse-names&quot;:false,&quot;dropping-particle&quot;:&quot;&quot;,&quot;non-dropping-particle&quot;:&quot;&quot;},{&quot;family&quot;:&quot;John Kress&quot;,&quot;given&quot;:&quot;W.&quot;,&quot;parse-names&quot;:false,&quot;dropping-particle&quot;:&quot;&quot;,&quot;non-dropping-particle&quot;:&quot;&quot;},{&quot;family&quot;:&quot;Schneider&quot;,&quot;given&quot;:&quot;Harald&quot;,&quot;parse-names&quot;:false,&quot;dropping-particle&quot;:&quot;&quot;,&quot;non-dropping-particle&quot;:&quot;&quot;},{&quot;family&quot;:&quot;AlphenStahl&quot;,&quot;given&quot;:&quot;Jonathan&quot;,&quot;parse-names&quot;:false,&quot;dropping-particle&quot;:&quot;&quot;,&quot;non-dropping-particle&quot;:&quot;van&quot;},{&quot;family&quot;:&quot;Barrett&quot;,&quot;given&quot;:&quot;Spencer C.H.&quot;,&quot;parse-names&quot;:false,&quot;dropping-particle&quot;:&quot;&quot;,&quot;non-dropping-particle&quot;:&quot;&quot;},{&quot;family&quot;:&quot;Berg&quot;,&quot;given&quot;:&quot;Cassio&quot;,&quot;parse-names&quot;:false,&quot;dropping-particle&quot;:&quot;&quot;,&quot;non-dropping-particle&quot;:&quot;van den&quot;},{&quot;family&quot;:&quot;Bogarin&quot;,&quot;given&quot;:&quot;Diego&quot;,&quot;parse-names&quot;:false,&quot;dropping-particle&quot;:&quot;&quot;,&quot;non-dropping-particle&quot;:&quot;&quot;},{&quot;family&quot;:&quot;Burgess&quot;,&quot;given&quot;:&quot;Kevin S.&quot;,&quot;parse-names&quot;:false,&quot;dropping-particle&quot;:&quot;&quot;,&quot;non-dropping-particle&quot;:&quot;&quot;},{&quot;family&quot;:&quot;Cameron&quot;,&quot;given&quot;:&quot;Kenneth M.&quot;,&quot;parse-names&quot;:false,&quot;dropping-particle&quot;:&quot;&quot;,&quot;non-dropping-particle&quot;:&quot;&quot;},{&quot;family&quot;:&quot;Carine&quot;,&quot;given&quot;:&quot;Mark&quot;,&quot;parse-names&quot;:false,&quot;dropping-particle&quot;:&quot;&quot;,&quot;non-dropping-particle&quot;:&quot;&quot;},{&quot;family&quot;:&quot;Chacón&quot;,&quot;given&quot;:&quot;Juliana&quot;,&quot;parse-names&quot;:false,&quot;dropping-particle&quot;:&quot;&quot;,&quot;non-dropping-particle&quot;:&quot;&quot;},{&quot;family&quot;:&quot;Clark&quot;,&quot;given&quot;:&quot;Alexandra&quot;,&quot;parse-names&quot;:false,&quot;dropping-particle&quot;:&quot;&quot;,&quot;non-dropping-particle&quot;:&quot;&quot;},{&quot;family&quot;:&quot;Clarkson&quot;,&quot;given&quot;:&quot;James J.&quot;,&quot;parse-names&quot;:false,&quot;dropping-particle&quot;:&quot;&quot;,&quot;non-dropping-particle&quot;:&quot;&quot;},{&quot;family&quot;:&quot;Conrad&quot;,&quot;given&quot;:&quot;Ferozah&quot;,&quot;parse-names&quot;:false,&quot;dropping-particle&quot;:&quot;&quot;,&quot;non-dropping-particle&quot;:&quot;&quot;},{&quot;family&quot;:&quot;Devey&quot;,&quot;given&quot;:&quot;Dion S.&quot;,&quot;parse-names&quot;:false,&quot;dropping-particle&quot;:&quot;&quot;,&quot;non-dropping-particle&quot;:&quot;&quot;},{&quot;family&quot;:&quot;Ford&quot;,&quot;given&quot;:&quot;Caroline S.&quot;,&quot;parse-names&quot;:false,&quot;dropping-particle&quot;:&quot;&quot;,&quot;non-dropping-particle&quot;:&quot;&quot;},{&quot;family&quot;:&quot;Hedderson&quot;,&quot;given&quot;:&quot;Terry A.J.&quot;,&quot;parse-names&quot;:false,&quot;dropping-particle&quot;:&quot;&quot;,&quot;non-dropping-particle&quot;:&quot;&quot;},{&quot;family&quot;:&quot;Hollingsworth&quot;,&quot;given&quot;:&quot;Michelle L.&quot;,&quot;parse-names&quot;:false,&quot;dropping-particle&quot;:&quot;&quot;,&quot;non-dropping-particle&quot;:&quot;&quot;},{&quot;family&quot;:&quot;Husband&quot;,&quot;given&quot;:&quot;Brian C.&quot;,&quot;parse-names&quot;:false,&quot;dropping-particle&quot;:&quot;&quot;,&quot;non-dropping-particle&quot;:&quot;&quot;},{&quot;family&quot;:&quot;Kelly&quot;,&quot;given&quot;:&quot;Laura J.&quot;,&quot;parse-names&quot;:false,&quot;dropping-particle&quot;:&quot;&quot;,&quot;non-dropping-particle&quot;:&quot;&quot;},{&quot;family&quot;:&quot;Kesanakurti&quot;,&quot;given&quot;:&quot;Prasad R.&quot;,&quot;parse-names&quot;:false,&quot;dropping-particle&quot;:&quot;&quot;,&quot;non-dropping-particle&quot;:&quot;&quot;},{&quot;family&quot;:&quot;Kim&quot;,&quot;given&quot;:&quot;Jung Sung&quot;,&quot;parse-names&quot;:false,&quot;dropping-particle&quot;:&quot;&quot;,&quot;non-dropping-particle&quot;:&quot;&quot;},{&quot;family&quot;:&quot;Kim&quot;,&quot;given&quot;:&quot;Young Dong&quot;,&quot;parse-names&quot;:false,&quot;dropping-particle&quot;:&quot;&quot;,&quot;non-dropping-particle&quot;:&quot;&quot;},{&quot;family&quot;:&quot;Lahaye&quot;,&quot;given&quot;:&quot;Renaud&quot;,&quot;parse-names&quot;:false,&quot;dropping-particle&quot;:&quot;&quot;,&quot;non-dropping-particle&quot;:&quot;&quot;},{&quot;family&quot;:&quot;Lee&quot;,&quot;given&quot;:&quot;Hae Lim&quot;,&quot;parse-names&quot;:false,&quot;dropping-particle&quot;:&quot;&quot;,&quot;non-dropping-particle&quot;:&quot;&quot;},{&quot;family&quot;:&quot;Long&quot;,&quot;given&quot;:&quot;David G.&quot;,&quot;parse-names&quot;:false,&quot;dropping-particle&quot;:&quot;&quot;,&quot;non-dropping-particle&quot;:&quot;&quot;},{&quot;family&quot;:&quot;Madriñán&quot;,&quot;given&quot;:&quot;Santiago&quot;,&quot;parse-names&quot;:false,&quot;dropping-particle&quot;:&quot;&quot;,&quot;non-dropping-particle&quot;:&quot;&quot;},{&quot;family&quot;:&quot;Maurin&quot;,&quot;given&quot;:&quot;Olivier&quot;,&quot;parse-names&quot;:false,&quot;dropping-particle&quot;:&quot;&quot;,&quot;non-dropping-particle&quot;:&quot;&quot;},{&quot;family&quot;:&quot;Meusnier&quot;,&quot;given&quot;:&quot;Isabelle&quot;,&quot;parse-names&quot;:false,&quot;dropping-particle&quot;:&quot;&quot;,&quot;non-dropping-particle&quot;:&quot;&quot;},{&quot;family&quot;:&quot;Newmaster&quot;,&quot;given&quot;:&quot;Steven G.&quot;,&quot;parse-names&quot;:false,&quot;dropping-particle&quot;:&quot;&quot;,&quot;non-dropping-particle&quot;:&quot;&quot;},{&quot;family&quot;:&quot;Park&quot;,&quot;given&quot;:&quot;Chong Wook&quot;,&quot;parse-names&quot;:false,&quot;dropping-particle&quot;:&quot;&quot;,&quot;non-dropping-particle&quot;:&quot;&quot;},{&quot;family&quot;:&quot;Percy&quot;,&quot;given&quot;:&quot;Diana M.&quot;,&quot;parse-names&quot;:false,&quot;dropping-particle&quot;:&quot;&quot;,&quot;non-dropping-particle&quot;:&quot;&quot;},{&quot;family&quot;:&quot;Petersen&quot;,&quot;given&quot;:&quot;Gitte&quot;,&quot;parse-names&quot;:false,&quot;dropping-particle&quot;:&quot;&quot;,&quot;non-dropping-particle&quot;:&quot;&quot;},{&quot;family&quot;:&quot;Richardson&quot;,&quot;given&quot;:&quot;James E.&quot;,&quot;parse-names&quot;:false,&quot;dropping-particle&quot;:&quot;&quot;,&quot;non-dropping-particle&quot;:&quot;&quot;},{&quot;family&quot;:&quot;Salazar&quot;,&quot;given&quot;:&quot;Gerardo A.&quot;,&quot;parse-names&quot;:false,&quot;dropping-particle&quot;:&quot;&quot;,&quot;non-dropping-particle&quot;:&quot;&quot;},{&quot;family&quot;:&quot;Savolainen&quot;,&quot;given&quot;:&quot;Vincent&quot;,&quot;parse-names&quot;:false,&quot;dropping-particle&quot;:&quot;&quot;,&quot;non-dropping-particle&quot;:&quot;&quot;},{&quot;family&quot;:&quot;Seberg&quot;,&quot;given&quot;:&quot;Ole&quot;,&quot;parse-names&quot;:false,&quot;dropping-particle&quot;:&quot;&quot;,&quot;non-dropping-particle&quot;:&quot;&quot;},{&quot;family&quot;:&quot;Wilkinson&quot;,&quot;given&quot;:&quot;Michael J.&quot;,&quot;parse-names&quot;:false,&quot;dropping-particle&quot;:&quot;&quot;,&quot;non-dropping-particle&quot;:&quot;&quot;},{&quot;family&quot;:&quot;Yi&quot;,&quot;given&quot;:&quot;Dong Keun&quot;,&quot;parse-names&quot;:false,&quot;dropping-particle&quot;:&quot;&quot;,&quot;non-dropping-particle&quot;:&quot;&quot;},{&quot;family&quot;:&quot;Little&quot;,&quot;given&quot;:&quot;Damon P.&quot;,&quot;parse-names&quot;:false,&quot;dropping-particle&quot;:&quot;&quot;,&quot;non-dropping-particle&quot;:&quot;&quot;}],&quot;container-title&quot;:&quot;Proceedings of the National Academy of Sciences of the United States of America&quot;,&quot;accessed&quot;:{&quot;date-parts&quot;:[[2021,6,20]]},&quot;DOI&quot;:&quot;10.1073/pnas.0905845106&quot;,&quot;ISSN&quot;:&quot;00278424&quot;,&quot;PMID&quot;:&quot;19666622&quot;,&quot;URL&quot;:&quot;https://pubmed.ncbi.nlm.nih.gov/19666622/&quot;,&quot;issued&quot;:{&quot;date-parts&quot;:[[2009,8,4]]},&quot;page&quot;:&quot;12794-12797&quot;,&quot;abstract&quot;:&quot;DNA barcoding involves sequencing a standard region of DNA as a tool for species identification. However, there has been no agreement on which region(s) should be used for barcoding land plants. To provide a community recommendation on a standard plant barcode, we have compared the performance of 7 leading candidate plastid DNA regions (atpF-atpH spacer, matK gene, rbcL gene, rpoB gene, rpoC1 gene, psbK-psbI spacer, and trnH-psbA spacer). Based on assessments of recoverability, sequence quality, and levels of species discrimination, we recommend the 2-locus combination of rbcL+matK as the plant barcode. This core 2-locus barcode will provide a universal framework for the routine use of DNA sequence data to identify specimens and contribute toward the discovery of overlooked species of land plants.&quot;,&quot;publisher&quot;:&quot;Proc Natl Acad Sci U S A&quot;,&quot;issue&quot;:&quot;31&quot;,&quot;volume&quot;:&quot;106&quot;},&quot;isTemporary&quot;:false}],&quot;properties&quot;:{&quot;noteIndex&quot;:0},&quot;isEdited&quot;:false,&quot;manualOverride&quot;:{&quot;isManuallyOverridden&quot;:false,&quot;citeprocText&quot;:&quot;(Hollingsworth et al., 2009)&quot;,&quot;manualOverrideText&quot;:&quot;&quot;},&quot;citationTag&quot;:&quot;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&quot;},{&quot;citationID&quot;:&quot;MENDELEY_CITATION_211ec172-dcd9-496f-ac7b-b23ad30e04d0&quot;,&quot;citationItems&quot;:[{&quot;id&quot;:&quot;1a3dd6d3-53f5-306c-a26e-97846b2f532a&quot;,&quot;itemData&quot;:{&quot;type&quot;:&quot;article&quot;,&quot;id&quot;:&quot;1a3dd6d3-53f5-306c-a26e-97846b2f532a&quot;,&quot;title&quot;:&quot;The structure and function of RuBisCO and their implications for systematic studies&quot;,&quot;author&quot;:[{&quot;family&quot;:&quot;Kellogg&quot;,&quot;given&quot;:&quot;Elizabeth A.&quot;,&quot;parse-names&quot;:false,&quot;dropping-particle&quot;:&quot;&quot;,&quot;non-dropping-particle&quot;:&quot;&quot;},{&quot;family&quot;:&quot;Juliano&quot;,&quot;given&quot;:&quot;Nickolas D.&quot;,&quot;parse-names&quot;:false,&quot;dropping-particle&quot;:&quot;&quot;,&quot;non-dropping-particle&quot;:&quot;&quot;}],&quot;container-title&quot;:&quot;American Journal of Botany&quot;,&quot;accessed&quot;:{&quot;date-parts&quot;:[[2021,6,20]]},&quot;DOI&quot;:&quot;10.2307/2446015&quot;,&quot;ISSN&quot;:&quot;00029122&quot;,&quot;PMID&quot;:&quot;21708595&quot;,&quot;issued&quot;:{&quot;date-parts&quot;:[[1997]]},&quot;page&quot;:&quot;413-428&quot;,&quot;abstract&quot;:&quot;As 'the most abundant protein in the world,' ribulose-1,5-bisphosphate carboxylase (RuBisCO) attracts the attention of genetic engineers and plant phylogeneticists. The active site, which is responsible for almost all carbon fixation on earth, is in the large subunit (LSU). Over 30% of the 476 amino acids in the LSU are involved in intermolecular associations. Using available sequence data, we find that 105 (22%) of the residues are absolutely conserved across 499 seed plants, with an additional 110 demonstrating only one change. Our analyses show that conserved domains are not fully explained by current structural data. This has several implications for systematic studies. First, the number of potentially variable sites is likely to be slightly over 1 000, rather than 1 428. Second, rates of change can vary greatly across the molecule; functional constraints on amino acids and codon biases greatly increase the potential for homoplasy. Third, some changes are correlated, and thus might be down-weighted accordingly. Fourth, some of the variation in RuBisCO may be adaptive and present insights into the nature of evolutionary change in response to the environment.&quot;,&quot;publisher&quot;:&quot;Botanical Society of America Inc.&quot;,&quot;issue&quot;:&quot;3&quot;,&quot;volume&quot;:&quot;84&quot;},&quot;isTemporary&quot;:false}],&quot;properties&quot;:{&quot;noteIndex&quot;:0},&quot;isEdited&quot;:false,&quot;manualOverride&quot;:{&quot;isManuallyOverriden&quot;:false,&quot;citeprocText&quot;:&quot;(Kellogg &amp;#38; Juliano, 1997)&quot;,&quot;manualOverrideText&quot;:&quot;(Kellogg &amp; Juliano, 1997).&quot;,&quot;isManuallyOverridden&quot;:true},&quot;citationTag&quot;:&quot;MENDELEY_CITATION_v3_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&quot;},{&quot;citationID&quot;:&quot;MENDELEY_CITATION_b0b0ac27-c04c-488a-bcd6-7b310adcf374&quot;,&quot;citationItems&quot;:[{&quot;id&quot;:&quot;845da2d1-0c47-3ab9-93b0-6a07eadfff2b&quot;,&quot;itemData&quot;:{&quot;type&quot;:&quot;article-journal&quot;,&quot;id&quot;:&quot;845da2d1-0c47-3ab9-93b0-6a07eadfff2b&quot;,&quot;title&quot;:&quot;Biological identifications through DNA barcodes&quot;,&quot;author&quot;:[{&quot;family&quot;:&quot;Hebert&quot;,&quot;given&quot;:&quot;Paul D.N.&quot;,&quot;parse-names&quot;:false,&quot;dropping-particle&quot;:&quot;&quot;,&quot;non-dropping-particle&quot;:&quot;&quot;},{&quot;family&quot;:&quot;Cywinska&quot;,&quot;given&quot;:&quot;Alina&quot;,&quot;parse-names&quot;:false,&quot;dropping-particle&quot;:&quot;&quot;,&quot;non-dropping-particle&quot;:&quot;&quot;},{&quot;family&quot;:&quot;Ball&quot;,&quot;given&quot;:&quot;Shelley L.&quot;,&quot;parse-names&quot;:false,&quot;dropping-particle&quot;:&quot;&quot;,&quot;non-dropping-particle&quot;:&quot;&quot;},{&quot;family&quot;:&quot;DeWaard&quot;,&quot;given&quot;:&quot;Jeremy R.&quot;,&quot;parse-names&quot;:false,&quot;dropping-particle&quot;:&quot;&quot;,&quot;non-dropping-particle&quot;:&quot;&quot;}],&quot;container-title&quot;:&quot;Proceedings of the Royal Society B: Biological Sciences&quot;,&quot;accessed&quot;:{&quot;date-parts&quot;:[[2021,6,20]]},&quot;DOI&quot;:&quot;10.1098/rspb.2002.2218&quot;,&quot;ISSN&quot;:&quot;09628452&quot;,&quot;PMID&quot;:&quot;12614582&quot;,&quot;URL&quot;:&quot;https://royalsocietypublishing.org/doi/abs/10.1098/rspb.2002.2218&quot;,&quot;issued&quot;:{&quot;date-parts&quot;:[[2003,2,7]]},&quot;page&quot;:&quot;313-321&quot;,&quot;abstract&quot;:&quot;Although much biological research depends upon species diagnoses, taxonomic expertise is collapsing. We are convinced that the sole prospect for a sustainable identification capability lies in the construction of systems that employ DNA sequences as taxon 'barcodes'. We establish that the mitochondrial gene cytochrome c oxidase I (COI) can serve as the core of a global bioidentification system for animals. First, we demonstrate that COI profiles, derived from the low-density sampling of higher taxonomic categories, ordinarily assign newly analysed taxa to the appropriate phylum or order. Second, we demonstrate that species-level assignments can be obtained by creating comprehensive COI profiles. A model COI profile, based upon the analysis of a single individual from each of 200 closely allied species of lepidopterans, was 100% successful in correctly identifying subsequent specimens. When fully developed, a COI identification system will provide a reliable, cost-effective and accessible solution to the current problem of species identification. Its assembly will also generate important new insights into the diversification of life and the rules of molecular evolution.&quot;,&quot;publisher&quot;:&quot;\n\t\t\t\tThe Royal Society\n\t\t\t&quot;,&quot;issue&quot;:&quot;1512&quot;,&quot;volume&quot;:&quot;270&quot;},&quot;isTemporary&quot;:false}],&quot;properties&quot;:{&quot;noteIndex&quot;:0},&quot;isEdited&quot;:false,&quot;manualOverride&quot;:{&quot;isManuallyOverriden&quot;:false,&quot;citeprocText&quot;:&quot;(Hebert et al., 2003)&quot;,&quot;manualOverrideText&quot;:&quot;&quot;},&quot;citationTag&quot;:&quot;MENDELEY_CITATION_v3_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&quot;},{&quot;citationID&quot;:&quot;MENDELEY_CITATION_ab46dc21-2eea-496a-8290-716c689fc52b&quot;,&quot;citationItems&quot;:[{&quot;id&quot;:&quot;bb37762e-a371-3f71-ba2d-bb406a6f2705&quot;,&quot;itemData&quot;:{&quot;type&quot;:&quot;article-journal&quot;,&quot;id&quot;:&quot;bb37762e-a371-3f71-ba2d-bb406a6f2705&quot;,&quot;title&quot;:&quot;Choosing and using a plant DNA barcode&quot;,&quot;author&quot;:[{&quot;family&quot;:&quot;Hollingsworth&quot;,&quot;given&quot;:&quot;Peter M.&quot;,&quot;parse-names&quot;:false,&quot;dropping-particle&quot;:&quot;&quot;,&quot;non-dropping-particle&quot;:&quot;&quot;},{&quot;family&quot;:&quot;Graham&quot;,&quot;given&quot;:&quot;Sean W.&quot;,&quot;parse-names&quot;:false,&quot;dropping-particle&quot;:&quot;&quot;,&quot;non-dropping-particle&quot;:&quot;&quot;},{&quot;family&quot;:&quot;Little&quot;,&quot;given&quot;:&quot;Damon P.&quot;,&quot;parse-names&quot;:false,&quot;dropping-particle&quot;:&quot;&quot;,&quot;non-dropping-particle&quot;:&quot;&quot;}],&quot;container-title&quot;:&quot;PLoS ONE&quot;,&quot;accessed&quot;:{&quot;date-parts&quot;:[[2021,6,20]]},&quot;DOI&quot;:&quot;10.1371/journal.pone.0019254&quot;,&quot;ISSN&quot;:&quot;19326203&quot;,&quot;PMID&quot;:&quot;21637336&quot;,&quot;URL&quot;:&quot;www.plosone.org&quot;,&quot;issued&quot;:{&quot;date-parts&quot;:[[2011]]},&quot;page&quot;:&quot;e19254&quot;,&quot;abstract&quot;:&quot;The main aim of DNA barcoding is to establish a shared community resource of DNA sequences that can be used for organismal identification and taxonomic clarification. This approach was successfully pioneered in animals using a portion of the cytochrome oxidase 1 (CO1) mitochondrial gene. In plants, establishing a standardized DNA barcoding system has been more challenging. In this paper, we review the process of selecting and refining a plant barcode; evaluate the factors which influence the discriminatory power of the approach; describe some early applications of plant barcoding and summarise major emerging projects; and outline tool development that will be necessary for plant DNA barcoding to advance. © 2011 Hollingsworth et al.&quot;,&quot;publisher&quot;:&quot;Public Library of Science&quot;,&quot;issue&quot;:&quot;5&quot;,&quot;volume&quot;:&quot;6&quot;},&quot;isTemporary&quot;:false}],&quot;properties&quot;:{&quot;noteIndex&quot;:0},&quot;isEdited&quot;:false,&quot;manualOverride&quot;:{&quot;isManuallyOverriden&quot;:false,&quot;citeprocText&quot;:&quot;(Hollingsworth et al., 2011)&quot;,&quot;manualOverrideText&quot;:&quot;&quot;},&quot;citationTag&quot;:&quot;MENDELEY_CITATION_v3_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&quot;},{&quot;citationID&quot;:&quot;MENDELEY_CITATION_610676a0-4d07-43e1-a4b0-abfa13d25d23&quot;,&quot;citationItems&quot;:[{&quot;id&quot;:&quot;4eefcb52-5e5e-3e12-b86d-9770f880de60&quot;,&quot;itemData&quot;:{&quot;type&quot;:&quot;report&quot;,&quot;id&quot;:&quot;4eefcb52-5e5e-3e12-b86d-9770f880de60&quot;,&quot;title&quot;:&quot;Inter Simple Sequence Repeat (ISSR) Polymorphism and Its Application in Mulberry Genome Analysis [Review] Inter Simple Sequence Repeat (ISSR) Polymorphism and Its Application in Mulberry Genome Analysis&quot;,&quot;author&quot;:[{&quot;family&quot;:&quot;Vijayan&quot;,&quot;given&quot;:&quot;Kunjupillai&quot;,&quot;parse-names&quot;:false,&quot;dropping-particle&quot;:&quot;&quot;,&quot;non-dropping-particle&quot;:&quot;&quot;}],&quot;container-title&quot;:&quot;Int. J. Indust. Entomol&quot;,&quot;URL&quot;:&quot;https://www.researchgate.net/publication/257657433&quot;,&quot;issued&quot;:{&quot;date-parts&quot;:[[2005]]},&quot;number-of-pages&quot;:&quot;79-86&quot;,&quot;abstract&quot;:&quot;Molecular markers have increasingly been used in plant genetic analysis, due to their obvious advantages over conventional phenotypic markers, as they are highly polymorphic, more in number, stable across different developmental stages, neutral to selection and least influenced by environmental factors. Among the PCR based marker techniques, ISSR is one of the simplest and widely used techniques, which involves amplification of DNA segment present at an amplifi-able distance in between two identical microsatellite repeat regions oriented in opposite direction. Though ISSR markers are dominant like RAPD, they are more stable and reproducible. Because of these properties ISSR markers have recently been found using extensively for finger printing, pohylogenetic analysis, population structure analysis, varietal/line identification, genetic mapping, marker-assisted selection, etc. In mulberry (Morus spp.), ISSR markers were used for analyzing phylogenetic relationship among cultivated varieties, between tropical and temperate mulberry, for solving the vexed problem of identifying taxonomic positions of genotypes, for identifying markers associated with leaf yield attributing characters. As ISSR markers are one of the cheapest and easiest marker systems with high efficiency in generating polymor-phism among closely related varieties, they would play a major role in mulberry genome analysis in the future.&quot;,&quot;issue&quot;:&quot;2&quot;,&quot;volume&quot;:&quot;10&quot;},&quot;isTemporary&quot;:false}],&quot;properties&quot;:{&quot;noteIndex&quot;:0},&quot;isEdited&quot;:false,&quot;manualOverride&quot;:{&quot;isManuallyOverriden&quot;:false,&quot;citeprocText&quot;:&quot;(Vijayan, 2005)&quot;,&quot;manualOverrideText&quot;:&quot;&quot;},&quot;citationTag&quot;:&quot;MENDELEY_CITATION_v3_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&quot;},{&quot;citationID&quot;:&quot;MENDELEY_CITATION_a0005f40-d436-4e23-918c-39c2ccdd96f0&quot;,&quot;citationItems&quot;:[{&quot;id&quot;:&quot;530ae0e8-48ef-3802-b0bc-0fc7530ba5a2&quot;,&quot;itemData&quot;:{&quot;type&quot;:&quot;article-journal&quot;,&quot;id&quot;:&quot;530ae0e8-48ef-3802-b0bc-0fc7530ba5a2&quot;,&quot;title&quot;:&quot;Inter simple sequence repeat (ISSR) polymorphism and its application in plant breeding&quot;,&quot;author&quot;:[{&quot;family&quot;:&quot;Pradeep Reddy&quot;,&quot;given&quot;:&quot;M.&quot;,&quot;parse-names&quot;:false,&quot;dropping-particle&quot;:&quot;&quot;,&quot;non-dropping-particle&quot;:&quot;&quot;},{&quot;family&quot;:&quot;Sarla&quot;,&quot;given&quot;:&quot;N.&quot;,&quot;parse-names&quot;:false,&quot;dropping-particle&quot;:&quot;&quot;,&quot;non-dropping-particle&quot;:&quot;&quot;},{&quot;family&quot;:&quot;Siddiq&quot;,&quot;given&quot;:&quot;E.A.&quot;,&quot;parse-names&quot;:false,&quot;dropping-particle&quot;:&quot;&quot;,&quot;non-dropping-particle&quot;:&quot;&quot;}],&quot;container-title&quot;:&quot;Euphytica&quot;,&quot;DOI&quot;:&quot;10.1023/A:1020691618797&quot;,&quot;ISSN&quot;:&quot;00142336&quot;,&quot;issued&quot;:{&quot;date-parts&quot;:[[2002]]},&quot;issue&quot;:&quot;1&quot;,&quot;volume&quot;:&quot;128&quot;},&quot;isTemporary&quot;:false}],&quot;properties&quot;:{&quot;noteIndex&quot;:0},&quot;isEdited&quot;:false,&quot;manualOverride&quot;:{&quot;isManuallyOverridden&quot;:false,&quot;citeprocText&quot;:&quot;(Pradeep Reddy et al., 2002)&quot;,&quot;manualOverrideText&quot;:&quot;&quot;},&quot;citationTag&quot;:&quot;MENDELEY_CITATION_v3_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&quot;},{&quot;citationID&quot;:&quot;MENDELEY_CITATION_8b4b26b1-c4d5-40c1-b902-9ab996e15a0f&quot;,&quot;citationItems&quot;:[{&quot;id&quot;:&quot;92f183ec-9f3e-301c-bf0f-77fb90953fc0&quot;,&quot;itemData&quot;:{&quot;type&quot;:&quot;chapter&quot;,&quot;id&quot;:&quot;92f183ec-9f3e-301c-bf0f-77fb90953fc0&quot;,&quot;title&quot;:&quot;ISSR: A Reliable and Cost-Effective Technique for Detection of DNA Polymorphism&quot;,&quot;author&quot;:[{&quot;family&quot;:&quot;Sarwat&quot;,&quot;given&quot;:&quot;Maryam&quot;,&quot;parse-names&quot;:false,&quot;dropping-particle&quot;:&quot;&quot;,&quot;non-dropping-particle&quot;:&quot;&quot;}],&quot;DOI&quot;:&quot;10.1007/978-1-61779-609-8_9&quot;,&quot;issued&quot;:{&quot;date-parts&quot;:[[2012]]}},&quot;isTemporary&quot;:false}],&quot;properties&quot;:{&quot;noteIndex&quot;:0},&quot;isEdited&quot;:false,&quot;manualOverride&quot;:{&quot;isManuallyOverridden&quot;:true,&quot;citeprocText&quot;:&quot;(Sarwat, 2012)&quot;,&quot;manualOverrideText&quot;:&quot;(Sarwat, 2012).&quot;},&quot;citationTag&quot;:&quot;MENDELEY_CITATION_v3_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&quot;},{&quot;citationID&quot;:&quot;MENDELEY_CITATION_9aacba77-ffeb-400b-81a9-df420693d3d9&quot;,&quot;citationItems&quot;:[{&quot;id&quot;:&quot;53602d71-4d31-358d-a4f9-71876c350685&quot;,&quot;itemData&quot;:{&quot;type&quot;:&quot;article-journal&quot;,&quot;id&quot;:&quot;53602d71-4d31-358d-a4f9-71876c350685&quot;,&quot;title&quot;:&quot;ISSR markers as a tool to distinguish Idt and SSS populations of Zea mays L.&quot;,&quot;author&quot;:[{&quot;family&quot;:&quot;Jana&quot;,&quot;given&quot;:&quot;Ţiarovská&quot;,&quot;parse-names&quot;:false,&quot;dropping-particle&quot;:&quot;&quot;,&quot;non-dropping-particle&quot;:&quot;&quot;},{&quot;family&quot;:&quot;Slavomíra&quot;,&quot;given&quot;:&quot;Senková&quot;,&quot;parse-names&quot;:false,&quot;dropping-particle&quot;:&quot;&quot;,&quot;non-dropping-particle&quot;:&quot;&quot;},{&quot;family&quot;:&quot;Milan&quot;,&quot;given&quot;:&quot;Beţo&quot;,&quot;parse-names&quot;:false,&quot;dropping-particle&quot;:&quot;&quot;,&quot;non-dropping-particle&quot;:&quot;&quot;},{&quot;family&quot;:&quot;Katarína&quot;,&quot;given&quot;:&quot;Raţná&quot;,&quot;parse-names&quot;:false,&quot;dropping-particle&quot;:&quot;&quot;,&quot;non-dropping-particle&quot;:&quot;&quot;},{&quot;family&quot;:&quot;Masnica&quot;,&quot;given&quot;:&quot;Miloslav&quot;,&quot;parse-names&quot;:false,&quot;dropping-particle&quot;:&quot;&quot;,&quot;non-dropping-particle&quot;:&quot;&quot;},{&quot;family&quot;:&quot;Mária&quot;,&quot;given&quot;:&quot;Labajová&quot;,&quot;parse-names&quot;:false,&quot;dropping-particle&quot;:&quot;&quot;,&quot;non-dropping-particle&quot;:&quot;&quot;}],&quot;container-title&quot;:&quot;Journal of Central European Agriculture&quot;,&quot;DOI&quot;:&quot;10.5513/JCEA01/14.2.1227&quot;,&quot;ISSN&quot;:&quot;13329049&quot;,&quot;issued&quot;:{&quot;date-parts&quot;:[[2013]]},&quot;page&quot;:&quot;11-21&quot;,&quot;abstract&quot;:&quot;Maintaining genetic diversity for crop improvement and improving the quality of genetic resource management is both an inevitable part of nowadays maize breeding. ISSR markers brings the potential of finding a marker system to discriminate Iowa Stiff Stalk Synthetic and Iodent Reid populations of Zea mays, L. and on the base on coefficients of genetic distance and UPGMA grouping appropriate maize genotypes for the best potential for hybridization can be selected. The work presents the potential of ISSR markers in analysis of length polymorphism when a specific ISSR pattern can be used for fast screening of differences among maize genotypes and based of these differences lines can be used in breeding programms in a very specific mode.&quot;,&quot;publisher&quot;:&quot;University of Zagreb - Faculty of Agriculture&quot;,&quot;issue&quot;:&quot;2&quot;,&quot;volume&quot;:&quot;14&quot;},&quot;isTemporary&quot;:false},{&quot;id&quot;:&quot;78e1f821-7ce9-38a6-936f-99df12cb0f6c&quot;,&quot;itemData&quot;:{&quot;type&quot;:&quot;article-journal&quot;,&quot;id&quot;:&quot;78e1f821-7ce9-38a6-936f-99df12cb0f6c&quot;,&quot;title&quot;:&quot;Maize (Zea mays L.) Genotypes Diversity Study by Utilization of Inter-Simple Sequence Repeat (ISSR) Markers&quot;,&quot;author&quot;:[{&quot;family&quot;:&quot;Elsadig Idris&quot;,&quot;given&quot;:&quot;Atif&quot;,&quot;parse-names&quot;:false,&quot;dropping-particle&quot;:&quot;&quot;,&quot;non-dropping-particle&quot;:&quot;&quot;},{&quot;family&quot;:&quot;Babiker Hamza&quot;,&quot;given&quot;:&quot;Nada&quot;,&quot;parse-names&quot;:false,&quot;dropping-particle&quot;:&quot;&quot;,&quot;non-dropping-particle&quot;:&quot;&quot;},{&quot;family&quot;:&quot;Osman Yagoub&quot;,&quot;given&quot;:&quot;Samia&quot;,&quot;parse-names&quot;:false,&quot;dropping-particle&quot;:&quot;&quot;,&quot;non-dropping-particle&quot;:&quot;&quot;},{&quot;family&quot;:&quot;Ibrahim&quot;,&quot;given&quot;:&quot;Ali IA&quot;,&quot;parse-names&quot;:false,&quot;dropping-particle&quot;:&quot;&quot;,&quot;non-dropping-particle&quot;:&quot;&quot;},{&quot;family&quot;:&quot;El-Amin&quot;,&quot;given&quot;:&quot;Haitham KA&quot;,&quot;parse-names&quot;:false,&quot;dropping-particle&quot;:&quot;&quot;,&quot;non-dropping-particle&quot;:&quot;&quot;}],&quot;container-title&quot;:&quot;Australian Journal of Basic and Applied Sciences&quot;,&quot;accessed&quot;:{&quot;date-parts&quot;:[[2021,4,14]]},&quot;ISSN&quot;:&quot;1991-8178&quot;,&quot;issued&quot;:{&quot;date-parts&quot;:[[2012]]},&quot;page&quot;:&quot;42-47&quot;,&quot;abstract&quot;:&quot;Analysis of the extent and distribution of genetic diversity in crop plants is essential for optimizing sampling and breeding strategies. Several methods were identified for the existence of diversity in maize for the aim of perfect selection based on great diversity among maize genotypes. In this study, Inter-simple sequence repeat (ISSR) markers were used to assess genetic diversity in a selected group of maize inbred (Zea mays L.) genotypes. A high level of polymorphism of 69% was detected among these genotypes. The ISSR primers showed 10 fingerprints for six genotypes out of 9 studied which are Frantic, Huediba-1, Balady, Huediba-2, Giza 2 and Mogtamaa 45-2. The maximum genetic distance of 0.48% was detected between Huediba-2 and Mogtama-45-2. While, the minimum genetic distance of 0.16 percent was observed between Giza-2 and Var.113. The results indicated that variation can be attributed to use of ISSR.&quot;,&quot;issue&quot;:&quot;10&quot;,&quot;volume&quot;:&quot;6&quot;},&quot;isTemporary&quot;:false},{&quot;id&quot;:&quot;ca845dc1-9c82-3539-ba31-0b35dc0999eb&quot;,&quot;itemData&quot;:{&quot;type&quot;:&quot;article-journal&quot;,&quot;id&quot;:&quot;ca845dc1-9c82-3539-ba31-0b35dc0999eb&quot;,&quot;title&quot;:&quot;Analysis of specific RAPD and ISSR fragments in maize (Zea mays L.) somaclones and development of SCAR markers on their basis&quot;,&quot;author&quot;:[{&quot;family&quot;:&quot;Osipova&quot;,&quot;given&quot;:&quot;E. S.&quot;,&quot;parse-names&quot;:false,&quot;dropping-particle&quot;:&quot;&quot;,&quot;non-dropping-particle&quot;:&quot;&quot;},{&quot;family&quot;:&quot;Koveza&quot;,&quot;given&quot;:&quot;O.&quot;,&quot;parse-names&quot;:false,&quot;dropping-particle&quot;:&quot;v.&quot;,&quot;non-dropping-particle&quot;:&quot;&quot;},{&quot;family&quot;:&quot;Troitskij&quot;,&quot;given&quot;:&quot;A.&quot;,&quot;parse-names&quot;:false,&quot;dropping-particle&quot;:&quot;v.&quot;,&quot;non-dropping-particle&quot;:&quot;&quot;},{&quot;family&quot;:&quot;Dolgikh&quot;,&quot;given&quot;:&quot;Yu I.&quot;,&quot;parse-names&quot;:false,&quot;dropping-particle&quot;:&quot;&quot;,&quot;non-dropping-particle&quot;:&quot;&quot;},{&quot;family&quot;:&quot;Shamina&quot;,&quot;given&quot;:&quot;Z. B.&quot;,&quot;parse-names&quot;:false,&quot;dropping-particle&quot;:&quot;&quot;,&quot;non-dropping-particle&quot;:&quot;&quot;},{&quot;family&quot;:&quot;Gostimskij&quot;,&quot;given&quot;:&quot;S. A.&quot;,&quot;parse-names&quot;:false,&quot;dropping-particle&quot;:&quot;&quot;,&quot;non-dropping-particle&quot;:&quot;&quot;}],&quot;container-title&quot;:&quot;Genetika&quot;,&quot;accessed&quot;:{&quot;date-parts&quot;:[[2021,4,14]]},&quot;ISSN&quot;:&quot;00166758&quot;,&quot;PMID&quot;:&quot;14964834&quot;,&quot;URL&quot;:&quot;https://europepmc.org/article/med/14964834&quot;,&quot;issued&quot;:{&quot;date-parts&quot;:[[2003,12,1]]},&quot;page&quot;:&quot;1664-1672&quot;,&quot;abstract&quot;:&quot;RAPD (Random Amplified Polymorphic DNA) and ISSR (Inter Simple Sequence Repeats) markers were used to analyse the genetic divergence between the regenerated plants derived from callus cultures and the original maize line A188. Analysis of polymorphism by using 38 RAPD- and 10 ISSR-oligonucleotide primers showed that the differences between eight examined somaclones and the original line ranged from 6.5 to 23%. As confirmed using new primers, the regenerants derived from callus cultures grouped into two clusters according to their origin. The regenerants isolated from calluses grown for eight months differed from one another and the original line to a larger extent than the regenerants obtained from two-month callus cultures. In some somaclones, molecular marking of the regenerants revealed specific RAPD and ISSR fragments that were absent in other somaclones or the original maize line. On the basis of six specific fragments (five RAPD and one ISSR), SCAR (Sequence Characterized Amplified Region) markers were developed. Specific polymorphism revealed with random primers was completely confirmed using five SCAR markers. Polymorphism of one SCAR marker differed from that revealed with random primers. Five SCAR fragments were inherited as simple dominant traits. One SCAR fragment displayed codominant inheritance.&quot;,&quot;issue&quot;:&quot;12&quot;,&quot;volume&quot;:&quot;39&quot;},&quot;isTemporary&quot;:false}],&quot;properties&quot;:{&quot;noteIndex&quot;:0},&quot;isEdited&quot;:false,&quot;manualOverride&quot;:{&quot;isManuallyOverriden&quot;:false,&quot;citeprocText&quot;:&quot;(Elsadig Idris et al., 2012; Jana et al., 2013; Osipova et al., 2003)&quot;,&quot;manualOverrideText&quot;:&quot;(Idris et al., 2012; Jana et al., 2013; Osipova et al., 2003&quot;,&quot;isManuallyOverridden&quot;:true},&quot;citationTag&quot;:&quot;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&quot;},{&quot;citationID&quot;:&quot;MENDELEY_CITATION_8b3fd33a-50b7-4268-b73c-b951dd8c5339&quot;,&quot;citationItems&quot;:[{&quot;id&quot;:&quot;ef166851-6aaf-3819-95b4-0fb9ac30fd80&quot;,&quot;itemData&quot;:{&quot;type&quot;:&quot;article-journal&quot;,&quot;id&quot;:&quot;ef166851-6aaf-3819-95b4-0fb9ac30fd80&quot;,&quot;title&quot;:&quot;Characterization of ten date palm (Phoenix dactylifera L.) cultivars from Saudi Arabia using AFLP and ISSR markers&quot;,&quot;author&quot;:[{&quot;family&quot;:&quot;Sabir&quot;,&quot;given&quot;:&quot;Jamal S.M.&quot;,&quot;parse-names&quot;:false,&quot;dropping-particle&quot;:&quot;&quot;,&quot;non-dropping-particle&quot;:&quot;&quot;},{&quot;family&quot;:&quot;Abo-Aba&quot;,&quot;given&quot;:&quot;Salah&quot;,&quot;parse-names&quot;:false,&quot;dropping-particle&quot;:&quot;&quot;,&quot;non-dropping-particle&quot;:&quot;&quot;},{&quot;family&quot;:&quot;Bafeel&quot;,&quot;given&quot;:&quot;Sameera&quot;,&quot;parse-names&quot;:false,&quot;dropping-particle&quot;:&quot;&quot;,&quot;non-dropping-particle&quot;:&quot;&quot;},{&quot;family&quot;:&quot;Zari&quot;,&quot;given&quot;:&quot;Talal A.&quot;,&quot;parse-names&quot;:false,&quot;dropping-particle&quot;:&quot;&quot;,&quot;non-dropping-particle&quot;:&quot;&quot;},{&quot;family&quot;:&quot;Edris&quot;,&quot;given&quot;:&quot;Sherif&quot;,&quot;parse-names&quot;:false,&quot;dropping-particle&quot;:&quot;&quot;,&quot;non-dropping-particle&quot;:&quot;&quot;},{&quot;family&quot;:&quot;Shokry&quot;,&quot;given&quot;:&quot;Ahmed M.&quot;,&quot;parse-names&quot;:false,&quot;dropping-particle&quot;:&quot;&quot;,&quot;non-dropping-particle&quot;:&quot;&quot;},{&quot;family&quot;:&quot;Atef&quot;,&quot;given&quot;:&quot;Ahmed&quot;,&quot;parse-names&quot;:false,&quot;dropping-particle&quot;:&quot;&quot;,&quot;non-dropping-particle&quot;:&quot;&quot;},{&quot;family&quot;:&quot;Gadalla&quot;,&quot;given&quot;:&quot;Nour O.&quot;,&quot;parse-names&quot;:false,&quot;dropping-particle&quot;:&quot;&quot;,&quot;non-dropping-particle&quot;:&quot;&quot;},{&quot;family&quot;:&quot;Ramadan&quot;,&quot;given&quot;:&quot;Ahmed M.&quot;,&quot;parse-names&quot;:false,&quot;dropping-particle&quot;:&quot;&quot;,&quot;non-dropping-particle&quot;:&quot;&quot;},{&quot;family&quot;:&quot;Al-Kordy&quot;,&quot;given&quot;:&quot;Magdy A.&quot;,&quot;parse-names&quot;:false,&quot;dropping-particle&quot;:&quot;&quot;,&quot;non-dropping-particle&quot;:&quot;&quot;},{&quot;family&quot;:&quot;El-Domyati&quot;,&quot;given&quot;:&quot;Fotouh M.&quot;,&quot;parse-names&quot;:false,&quot;dropping-particle&quot;:&quot;&quot;,&quot;non-dropping-particle&quot;:&quot;&quot;},{&quot;family&quot;:&quot;Jansen&quot;,&quot;given&quot;:&quot;Robert K.&quot;,&quot;parse-names&quot;:false,&quot;dropping-particle&quot;:&quot;&quot;,&quot;non-dropping-particle&quot;:&quot;&quot;},{&quot;family&quot;:&quot;Bahieldin&quot;,&quot;given&quot;:&quot;Ahmed&quot;,&quot;parse-names&quot;:false,&quot;dropping-particle&quot;:&quot;&quot;,&quot;non-dropping-particle&quot;:&quot;&quot;}],&quot;container-title&quot;:&quot;Comptes Rendus - Biologies&quot;,&quot;DOI&quot;:&quot;10.1016/j.crvi.2013.11.003&quot;,&quot;ISSN&quot;:&quot;16310691&quot;,&quot;PMID&quot;:&quot;24439547&quot;,&quot;issued&quot;:{&quot;date-parts&quot;:[[2014,1]]},&quot;page&quot;:&quot;6-18&quot;,&quot;abstract&quot;:&quot;Date palm is the most economically important plant in the Middle East due to its nutritionally valuable fruit. The development of accurate DNA fingerprints to characterize cultivars and the detection of genetic diversity are of great value for breeding programs. The present study explores the usefulness of ISSR and AFLP molecular markers to detect relationships among 10 date palm (Phoenix dactylifera L.) cultivars from Saudi Arabia. Thirteen ISSR primers and six AFLP primer combinations were examined. The level of polymorphism among cultivars for ISSRs ranged from 20% to 100% with an average of 85%. Polymorphism levels for AFLPs ranged from 63% to 84% with an average of 76%. The total number of cultivar-specific markers was 241, 208 of which were generated from AFLP analysis. AJWA cultivar had the highest number of cultivar-specific ISSR markers, whereas DEK, PER, SUK-Q, SHA and MOS-H cultivars had the lowest. RAB and SHA cultivars had the most and least AFLP cultivar-specific markers, respectively. The highest pairwise similarity indices for ISSRs, AFLPs and combined markers were 84% between DEK (female) and PER (female), 81% between SUK-Q (male) and RAB (male), and 80% between SUK-Q (male) and RAB (male), respectively. The lowest similarity indices were 65% between TAB (female) and SUK-Q (male), 67% between SUK-A (female) and SUK-Q (male), and 67% between SUK-A (female) and SUK-Q (male). Cultivars of the same sex had higher pairwise similarities than those between cultivars of different sex. The Neighbor-Joining (NJ) tree generated from the ISSR dataset was not well resolved and bootstrap support for resolved nodes in the tree was low. AFLP and combined data generated completely resolved trees with high levels of bootstrap support. In conclusion, AFLP and ISSR approaches enabled discrimination among 10 date palm cultivars of from Saudi Arabia, which will provide valuable information for future improvement of this important crop. © 2013 Académie des sciences.&quot;,&quot;issue&quot;:&quot;1&quot;,&quot;volume&quot;:&quot;337&quot;},&quot;isTemporary&quot;:false},{&quot;id&quot;:&quot;1a5bcf92-62f0-3e2f-8e05-1e2774914d0e&quot;,&quot;itemData&quot;:{&quot;type&quot;:&quot;report&quot;,&quot;id&quot;:&quot;1a5bcf92-62f0-3e2f-8e05-1e2774914d0e&quot;,&quot;title&quot;:&quot;Molecular characterization of tomato cultivarsgrown in Saudi Arabia and differing in earliness of fruit development as revealed by AFLP and ISSR&quot;,&quot;author&quot;:[{&quot;family&quot;:&quot;Edris&quot;,&quot;given&quot;:&quot;Sherif&quot;,&quot;parse-names&quot;:false,&quot;dropping-particle&quot;:&quot;&quot;,&quot;non-dropping-particle&quot;:&quot;&quot;},{&quot;family&quot;:&quot;Abo-Aba&quot;,&quot;given&quot;:&quot;Salah&quot;,&quot;parse-names&quot;:false,&quot;dropping-particle&quot;:&quot;&quot;,&quot;non-dropping-particle&quot;:&quot;&quot;},{&quot;family&quot;:&quot;Algandaby&quot;,&quot;given&quot;:&quot;Mardi M&quot;,&quot;parse-names&quot;:false,&quot;dropping-particle&quot;:&quot;&quot;,&quot;non-dropping-particle&quot;:&quot;&quot;},{&quot;family&quot;:&quot;MRamadan&quot;,&quot;given&quot;:&quot;Ahmed&quot;,&quot;parse-names&quot;:false,&quot;dropping-particle&quot;:&quot;&quot;,&quot;non-dropping-particle&quot;:&quot;&quot;},{&quot;family&quot;:&quot;Gadalla&quot;,&quot;given&quot;:&quot;Nour O&quot;,&quot;parse-names&quot;:false,&quot;dropping-particle&quot;:&quot;&quot;,&quot;non-dropping-particle&quot;:&quot;&quot;},{&quot;family&quot;:&quot;Al-Kordy&quot;,&quot;given&quot;:&quot;Magdy A&quot;,&quot;parse-names&quot;:false,&quot;dropping-particle&quot;:&quot;&quot;,&quot;non-dropping-particle&quot;:&quot;&quot;},{&quot;family&quot;:&quot;Sabir&quot;,&quot;given&quot;:&quot;Jamal SM&quot;,&quot;parse-names&quot;:false,&quot;dropping-particle&quot;:&quot;&quot;,&quot;non-dropping-particle&quot;:&quot;&quot;},{&quot;family&quot;:&quot;El-Domyati&quot;,&quot;given&quot;:&quot;Fotouh M&quot;,&quot;parse-names&quot;:false,&quot;dropping-particle&quot;:&quot;&quot;,&quot;non-dropping-particle&quot;:&quot;&quot;},{&quot;family&quot;:&quot;Alzohairy&quot;,&quot;given&quot;:&quot;Ahmed M&quot;,&quot;parse-names&quot;:false,&quot;dropping-particle&quot;:&quot;&quot;,&quot;non-dropping-particle&quot;:&quot;&quot;},{&quot;family&quot;:&quot;Bahieldin&quot;,&quot;given&quot;:&quot;Ahmed&quot;,&quot;parse-names&quot;:false,&quot;dropping-particle&quot;:&quot;&quot;,&quot;non-dropping-particle&quot;:&quot;&quot;},{&quot;family&quot;:&quot;Ramadan&quot;,&quot;given&quot;:&quot;Ahmed M&quot;,&quot;parse-names&quot;:false,&quot;dropping-particle&quot;:&quot;&quot;,&quot;non-dropping-particle&quot;:&quot;&quot;},{&quot;family&quot;:&quot;Bahieldin Molecular&quot;,&quot;given&quot;:&quot;Ahmed&quot;,&quot;parse-names&quot;:false,&quot;dropping-particle&quot;:&quot;&quot;,&quot;non-dropping-particle&quot;:&quot;&quot;}],&quot;container-title&quot;:&quot;Life Science Journal&quot;,&quot;accessed&quot;:{&quot;date-parts&quot;:[[2021,4,14]]},&quot;URL&quot;:&quot;http://www.lifesciencesite.comhttp://www.lifesciencesite.com.&quot;,&quot;issued&quot;:{&quot;date-parts&quot;:[[2014]]},&quot;number-of-pages&quot;:&quot;1097-8135&quot;,&quot;abstract&quot;:&quot;Early fruit development is an important trait defining fresh tomato marketability in kingdom of Saudi Arabia (KSA), which is related to more profit for farmers. Eight commercial cultivars of tomato (Solanumlycopersicum L.) grown in Saudi Arabiaanddiffering in fruit developmentdates were characterized on the molecular genetic basis by inter simple sequence repeats (ISSR) and amplified fragment length polymorphism (AFLP) markers. The results indicated a wide range of molecular variation, in which some markers distinguished among different genotypes. In general, both sets of data allowed for the identification of cultivars by means of pairwise differences, cluster analysis and principal component analysis. AFLP and combined data generated resolved trees with bootstrap support. AFLP and ISSR approaches enabled discrimination among the eight tomato cultivars, which represents a valuable data for improvement of this economic crop in the future. characterization of tomato cultivars grown in Saudi Arabia and differing in earliness of fruit development as revealed by AFLP and ISSR.&quot;,&quot;issue&quot;:&quot;8s&quot;,&quot;volume&quot;:&quot;11&quot;},&quot;isTemporary&quot;:false}],&quot;properties&quot;:{&quot;noteIndex&quot;:0},&quot;isEdited&quot;:false,&quot;manualOverride&quot;:{&quot;isManuallyOverriden&quot;:false,&quot;citeprocText&quot;:&quot;(Edris et al., 2014; Sabir et al., 2014a)&quot;,&quot;manualOverrideText&quot;:&quot;&quot;},&quot;citationTag&quot;:&quot;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&quot;},{&quot;citationID&quot;:&quot;MENDELEY_CITATION_0ccb9c7b-d153-44d8-a995-143d9772caa8&quot;,&quot;citationItems&quot;:[{&quot;id&quot;:&quot;7db5a45a-2315-3808-b200-dc21e9d2856a&quot;,&quot;itemData&quot;:{&quot;type&quot;:&quot;article-journal&quot;,&quot;id&quot;:&quot;7db5a45a-2315-3808-b200-dc21e9d2856a&quot;,&quot;title&quot;:&quot;Genetic diversity of maize inbred lines in relation to downy mildew&quot;,&quot;author&quot;:[{&quot;family&quot;:&quot;George&quot;,&quot;given&quot;:&quot;Maria Luz&quot;,&quot;parse-names&quot;:false,&quot;dropping-particle&quot;:&quot;&quot;,&quot;non-dropping-particle&quot;:&quot;&quot;},{&quot;family&quot;:&quot;Regalado&quot;,&quot;given&quot;:&quot;Ellen&quot;,&quot;parse-names&quot;:false,&quot;dropping-particle&quot;:&quot;&quot;,&quot;non-dropping-particle&quot;:&quot;&quot;},{&quot;family&quot;:&quot;Warburton&quot;,&quot;given&quot;:&quot;Marilyn&quot;,&quot;parse-names&quot;:false,&quot;dropping-particle&quot;:&quot;&quot;,&quot;non-dropping-particle&quot;:&quot;&quot;},{&quot;family&quot;:&quot;Vasal&quot;,&quot;given&quot;:&quot;Surinder&quot;,&quot;parse-names&quot;:false,&quot;dropping-particle&quot;:&quot;&quot;,&quot;non-dropping-particle&quot;:&quot;&quot;},{&quot;family&quot;:&quot;Hoisington&quot;,&quot;given&quot;:&quot;David&quot;,&quot;parse-names&quot;:false,&quot;dropping-particle&quot;:&quot;&quot;,&quot;non-dropping-particle&quot;:&quot;&quot;}],&quot;container-title&quot;:&quot;Euphytica&quot;,&quot;DOI&quot;:&quot;10.1023/B:EUPH.0000014904.80451.7f&quot;,&quot;ISSN&quot;:&quot;0014-2336&quot;,&quot;issued&quot;:{&quot;date-parts&quot;:[[2004]]},&quot;issue&quot;:&quot;2&quot;,&quot;volume&quot;:&quot;135&quot;},&quot;isTemporary&quot;:false}],&quot;properties&quot;:{&quot;noteIndex&quot;:0},&quot;isEdited&quot;:false,&quot;manualOverride&quot;:{&quot;isManuallyOverridden&quot;:false,&quot;citeprocText&quot;:&quot;(George et al., 2004)&quot;,&quot;manualOverrideText&quot;:&quot;&quot;},&quot;citationTag&quot;:&quot;MENDELEY_CITATION_v3_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&quot;},{&quot;citationID&quot;:&quot;MENDELEY_CITATION_bc0a32ab-b757-4f5f-acef-720a60b4bb95&quot;,&quot;citationItems&quot;:[{&quot;id&quot;:&quot;8f91a207-14a8-3b64-b5ba-ea0fe27a4317&quot;,&quot;itemData&quot;:{&quot;type&quot;:&quot;chapter&quot;,&quot;id&quot;:&quot;8f91a207-14a8-3b64-b5ba-ea0fe27a4317&quot;,&quot;title&quot;:&quot;Methods for Plasmid and Genomic DNA Isolation from Lactobacilli&quot;,&quot;author&quot;:[{&quot;family&quot;:&quot;Azcárate-Peril&quot;,&quot;given&quot;:&quot;M. Andrea&quot;,&quot;parse-names&quot;:false,&quot;dropping-particle&quot;:&quot;&quot;,&quot;non-dropping-particle&quot;:&quot;&quot;},{&quot;family&quot;:&quot;Raya&quot;,&quot;given&quot;:&quot;Raúl R.&quot;,&quot;parse-names&quot;:false,&quot;dropping-particle&quot;:&quot;&quot;,&quot;non-dropping-particle&quot;:&quot;&quot;}],&quot;container-title&quot;:&quot;Food Microbiology Protocols&quot;,&quot;DOI&quot;:&quot;10.1385/1-59259-029-2:135&quot;,&quot;issued&quot;:{&quot;date-parts&quot;:[[2001]]},&quot;publisher-place&quot;:&quot;New Jersey&quot;,&quot;publisher&quot;:&quot;Humana Press&quot;},&quot;isTemporary&quot;:false}],&quot;properties&quot;:{&quot;noteIndex&quot;:0},&quot;isEdited&quot;:false,&quot;manualOverride&quot;:{&quot;isManuallyOverridden&quot;:true,&quot;citeprocText&quot;:&quot;(Azcárate-Peril &amp;#38; Raya, 2001)&quot;,&quot;manualOverrideText&quot;:&quot;(Azcárate-Peril &amp; Raya, 2001).&quot;},&quot;citationTag&quot;:&quot;MENDELEY_CITATION_v3_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&quot;},{&quot;citationID&quot;:&quot;MENDELEY_CITATION_b1abd6e0-7d72-49cb-9fa2-a64807a8e0ce&quot;,&quot;citationItems&quot;:[{&quot;id&quot;:&quot;bf8791d2-f3fe-3033-930d-0b07981ddc29&quot;,&quot;itemData&quot;:{&quot;type&quot;:&quot;article-journal&quot;,&quot;id&quot;:&quot;bf8791d2-f3fe-3033-930d-0b07981ddc29&quot;,&quot;title&quot;:&quot;First Characterisation of the Phoma Species Complex on Maize Leaves in Central Europe&quot;,&quot;author&quot;:[{&quot;family&quot;:&quot;Romero&quot;,&quot;given&quot;:&quot;Lucia Ramos&quot;,&quot;parse-names&quot;:false,&quot;dropping-particle&quot;:&quot;&quot;,&quot;non-dropping-particle&quot;:&quot;&quot;},{&quot;family&quot;:&quot;Tacke&quot;,&quot;given&quot;:&quot;Dagmar&quot;,&quot;parse-names&quot;:false,&quot;dropping-particle&quot;:&quot;&quot;,&quot;non-dropping-particle&quot;:&quot;&quot;},{&quot;family&quot;:&quot;Koopmann&quot;,&quot;given&quot;:&quot;Birger&quot;,&quot;parse-names&quot;:false,&quot;dropping-particle&quot;:&quot;&quot;,&quot;non-dropping-particle&quot;:&quot;&quot;},{&quot;family&quot;:&quot;Tiedemann&quot;,&quot;given&quot;:&quot;Andreas&quot;,&quot;parse-names&quot;:false,&quot;dropping-particle&quot;:&quot;&quot;,&quot;non-dropping-particle&quot;:&quot;von&quot;}],&quot;container-title&quot;:&quot;pathogens&quot;,&quot;DOI&quot;:&quot;10.3390/pathogens10091216&quot;,&quot;issued&quot;:{&quot;date-parts&quot;:[[2021]]},&quot;page&quot;:&quot;1-18&quot;,&quot;abstract&quot;:&quot;In the last decade, the cultivated area of maize has increased in Central Europe due to its high yield potential and diverse uses for feed and bio-energy. This has led to more intense maize cultivation, with narrowed crop rotations resulting in the increase in maize leaf diseases. During 2012 and 2013, an inventory of maize leaf spot diseases was carried out in various regions in Central Europe. In addition to the major leaf pathogens, isolates of Phoma-like species were obtained from oval to elliptical spots on leaves or found in lesions produced by other leaf pathogens. A total of 16 representative Phoma-like strains were characterised for their pathogenicity on maize leaves, for their morphological characteristics and with a phylogenetic analysis based on multilocus sequence analysis using part of the actin (ACT), calmodulin (CAL), β-tubulin (TUB), internal transcribed spacer (ITS) region of ribosomal DNA and large subunit ribosomal RNA (LSU) genes. The strains were grouped into four clades, and morphological studies supported this classification for most of them. Strains were compared with six reference Phoma-like species strains from the Westerndijk Fungal Biodiversity Institute collection reported to colonise maize. The pathogenic group of strains from our collection (after completion of Koch's postulates) did not cluster with any of these species, indicating a different and novel Phoma-like species infecting maize leaves. To our knowledge, this is the first study dissecting the Phoma species complex on maize leaves in Central Europe.&quot;,&quot;issue&quot;:&quot;1216&quot;,&quot;volume&quot;:&quot;10&quot;},&quot;isTemporary&quot;:false},{&quot;id&quot;:&quot;1a46e0a7-2797-361a-92c9-42f2bcd14f36&quot;,&quot;itemData&quot;:{&quot;type&quot;:&quot;article-journal&quot;,&quot;id&quot;:&quot;1a46e0a7-2797-361a-92c9-42f2bcd14f36&quot;,&quot;title&quot;:&quot;Validation of a PNA Clamping Method for Reducing Host DNA Amplification and Increasing Eukaryotic Diversity in Rhizosphere Microbiome Studies&quot;,&quot;author&quot;:[{&quot;family&quot;:&quot;Taerum&quot;,&quot;given&quot;:&quot;Stephen J.&quot;,&quot;parse-names&quot;:false,&quot;dropping-particle&quot;:&quot;&quot;,&quot;non-dropping-particle&quot;:&quot;&quot;},{&quot;family&quot;:&quot;Steven&quot;,&quot;given&quot;:&quot;Blaire&quot;,&quot;parse-names&quot;:false,&quot;dropping-particle&quot;:&quot;&quot;,&quot;non-dropping-particle&quot;:&quot;&quot;},{&quot;family&quot;:&quot;Gage&quot;,&quot;given&quot;:&quot;Daniel J.&quot;,&quot;parse-names&quot;:false,&quot;dropping-particle&quot;:&quot;&quot;,&quot;non-dropping-particle&quot;:&quot;&quot;},{&quot;family&quot;:&quot;Triplett&quot;,&quot;given&quot;:&quot;Lindsay R.&quot;,&quot;parse-names&quot;:false,&quot;dropping-particle&quot;:&quot;&quot;,&quot;non-dropping-particle&quot;:&quot;&quot;}],&quot;container-title&quot;:&quot;Phytobiomes Journal&quot;,&quot;DOI&quot;:&quot;10.1094/PBIOMES-05-20-0040-TA&quot;,&quot;ISSN&quot;:&quot;2471-2906&quot;,&quot;issued&quot;:{&quot;date-parts&quot;:[[2020,1]]},&quot;abstract&quot;:&quot;&lt;p&gt;Protists and microscopic animals are important but poorly understood determinants of plant health. Plant-associated eukaryotes could be surveyed by high-throughput sequencing of 18S ribosomal RNA (rRNA) genes but the abundance of plant DNA in rhizosphere samples makes 18S rRNA gene amplification with universal primers unfeasible. Here, we applied a pipeline to generate peptide nucleic acid (PNA) clamps to suppress the amplification of maize host DNA during 18S rRNA gene library preparation. PNA clamps targeting the V4 and V9 hypervariable regions of the 18S rRNA gene of maize were designed and evaluated in silico, and the performance of the V9 targeting clamp PoacV9_01 was evaluated in vitro. PoacV9_01 suppressed the amplification of five crop species in quantitative PCR assays. In an 18S rRNA gene sequencing survey of the rhizosphere of maize, PoacV9_01 reduced the relative abundance of plant reads from 65 to 0.6%, while drastically increasing the number and diversity of animal, fungal, and protist reads detected. Thus, PoacV9_01 can be used to facilitate the study of eukaryotes present in grass phytobiomes. In addition, the pipeline developed here can be used to develop PNA clamps that target other plant species.&lt;/p&gt;&quot;,&quot;issue&quot;:&quot;4&quot;,&quot;volume&quot;:&quot;4&quot;},&quot;isTemporary&quot;:false}],&quot;properties&quot;:{&quot;noteIndex&quot;:0},&quot;isEdited&quot;:false,&quot;manualOverride&quot;:{&quot;isManuallyOverridden&quot;:false,&quot;citeprocText&quot;:&quot;(Romero et al., 2021; Taerum et al., 2020)&quot;,&quot;manualOverrideText&quot;:&quot;&quot;},&quot;citationTag&quot;:&quot;MENDELEY_CITATION_v3_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&quot;},{&quot;citationID&quot;:&quot;MENDELEY_CITATION_ccc271bc-b81b-42c3-95c8-534716584621&quot;,&quot;citationItems&quot;:[{&quot;id&quot;:&quot;585f4972-47bc-3bb7-81c9-653c82b3809d&quot;,&quot;itemData&quot;:{&quot;type&quot;:&quot;article-journal&quot;,&quot;id&quot;:&quot;585f4972-47bc-3bb7-81c9-653c82b3809d&quot;,&quot;title&quot;:&quot;DNA barcoding and molecular systematics of selected species of family Acanthaceae&quot;,&quot;author&quot;:[{&quot;family&quot;:&quot;Khan&quot;,&quot;given&quot;:&quot;Ibrahim&quot;,&quot;parse-names&quot;:false,&quot;dropping-particle&quot;:&quot;&quot;,&quot;non-dropping-particle&quot;:&quot;&quot;},{&quot;family&quot;:&quot;Shinwari&quot;,&quot;given&quot;:&quot;Zabta Khan&quot;,&quot;parse-names&quot;:false,&quot;dropping-particle&quot;:&quot;&quot;,&quot;non-dropping-particle&quot;:&quot;&quot;},{&quot;family&quot;:&quot;Zahra&quot;,&quot;given&quot;:&quot;Nadia Batool&quot;,&quot;parse-names&quot;:false,&quot;dropping-particle&quot;:&quot;&quot;,&quot;non-dropping-particle&quot;:&quot;&quot;},{&quot;family&quot;:&quot;Jan&quot;,&quot;given&quot;:&quot;Sohail Ahmad&quot;,&quot;parse-names&quot;:false,&quot;dropping-particle&quot;:&quot;&quot;,&quot;non-dropping-particle&quot;:&quot;&quot;},{&quot;family&quot;:&quot;Shinwari&quot;,&quot;given&quot;:&quot;Shehla&quot;,&quot;parse-names&quot;:false,&quot;dropping-particle&quot;:&quot;&quot;,&quot;non-dropping-particle&quot;:&quot;&quot;},{&quot;family&quot;:&quot;Najeebullah&quot;,&quot;given&quot;:&quot;Syed&quot;,&quot;parse-names&quot;:false,&quot;dropping-particle&quot;:&quot;&quot;,&quot;non-dropping-particle&quot;:&quot;&quot;}],&quot;container-title&quot;:&quot;Pakistan Journal of Botany&quot;,&quot;DOI&quot;:&quot;10.30848/PJB2020-1(27)&quot;,&quot;ISSN&quot;:&quot;05563321&quot;,&quot;issued&quot;:{&quot;date-parts&quot;:[[2020,1,28]]},&quot;page&quot;:&quot;205-212&quot;,&quot;issue&quot;:&quot;1&quot;,&quot;volume&quot;:&quot;52&quot;},&quot;isTemporary&quot;:false}],&quot;properties&quot;:{&quot;noteIndex&quot;:0},&quot;isEdited&quot;:false,&quot;manualOverride&quot;:{&quot;isManuallyOverridden&quot;:false,&quot;citeprocText&quot;:&quot;(Khan et al., 2020)&quot;,&quot;manualOverrideText&quot;:&quot;&quot;},&quot;citationTag&quot;:&quot;MENDELEY_CITATION_v3_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&quot;},{&quot;citationID&quot;:&quot;MENDELEY_CITATION_6d4cbe21-8b58-4ec6-a32b-b8a8d24a318a&quot;,&quot;citationItems&quot;:[{&quot;id&quot;:&quot;b9cea948-72f1-3434-8948-a3c4f07690d1&quot;,&quot;itemData&quot;:{&quot;type&quot;:&quot;article-journal&quot;,&quot;id&quot;:&quot;b9cea948-72f1-3434-8948-a3c4f07690d1&quot;,&quot;title&quot;:&quot;Rapid Regeneration and Reuse of Silica Columns from PCR Purification and Gel Extraction Kits&quot;,&quot;author&quot;:[{&quot;family&quot;:&quot;Zhou&quot;,&quot;given&quot;:&quot;Ying&quot;,&quot;parse-names&quot;:false,&quot;dropping-particle&quot;:&quot;&quot;,&quot;non-dropping-particle&quot;:&quot;&quot;},{&quot;family&quot;:&quot;Zhang&quot;,&quot;given&quot;:&quot;Yang&quot;,&quot;parse-names&quot;:false,&quot;dropping-particle&quot;:&quot;&quot;,&quot;non-dropping-particle&quot;:&quot;&quot;},{&quot;family&quot;:&quot;He&quot;,&quot;given&quot;:&quot;Wei&quot;,&quot;parse-names&quot;:false,&quot;dropping-particle&quot;:&quot;&quot;,&quot;non-dropping-particle&quot;:&quot;&quot;},{&quot;family&quot;:&quot;Wang&quot;,&quot;given&quot;:&quot;Juan&quot;,&quot;parse-names&quot;:false,&quot;dropping-particle&quot;:&quot;&quot;,&quot;non-dropping-particle&quot;:&quot;&quot;},{&quot;family&quot;:&quot;Peng&quot;,&quot;given&quot;:&quot;Feixia&quot;,&quot;parse-names&quot;:false,&quot;dropping-particle&quot;:&quot;&quot;,&quot;non-dropping-particle&quot;:&quot;&quot;},{&quot;family&quot;:&quot;Huang&quot;,&quot;given&quot;:&quot;Liyun&quot;,&quot;parse-names&quot;:false,&quot;dropping-particle&quot;:&quot;&quot;,&quot;non-dropping-particle&quot;:&quot;&quot;},{&quot;family&quot;:&quot;Zhao&quot;,&quot;given&quot;:&quot;Shasha&quot;,&quot;parse-names&quot;:false,&quot;dropping-particle&quot;:&quot;&quot;,&quot;non-dropping-particle&quot;:&quot;&quot;},{&quot;family&quot;:&quot;Deng&quot;,&quot;given&quot;:&quot;Wensheng&quot;,&quot;parse-names&quot;:false,&quot;dropping-particle&quot;:&quot;&quot;,&quot;non-dropping-particle&quot;:&quot;&quot;}],&quot;container-title&quot;:&quot;Scientific Reports&quot;,&quot;DOI&quot;:&quot;10.1038/s41598-018-30316-w&quot;,&quot;ISSN&quot;:&quot;2045-2322&quot;,&quot;issued&quot;:{&quot;date-parts&quot;:[[2018,12,27]]},&quot;issue&quot;:&quot;1&quot;,&quot;volume&quot;:&quot;8&quot;},&quot;isTemporary&quot;:false}],&quot;properties&quot;:{&quot;noteIndex&quot;:0},&quot;isEdited&quot;:false,&quot;manualOverride&quot;:{&quot;isManuallyOverridden&quot;:true,&quot;citeprocText&quot;:&quot;(Zhou et al., 2018)&quot;,&quot;manualOverrideText&quot;:&quot;(Zhou et al., 2018).&quot;},&quot;citationTag&quot;:&quot;MENDELEY_CITATION_v3_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&quot;},{&quot;citationID&quot;:&quot;MENDELEY_CITATION_1f5ccc6c-1f21-4e63-9e60-41b9e0f9ac7a&quot;,&quot;citationItems&quot;:[{&quot;id&quot;:&quot;df6e9a8b-c188-3d58-8215-8ef7a57b7f8d&quot;,&quot;itemData&quot;:{&quot;type&quot;:&quot;article-journal&quot;,&quot;id&quot;:&quot;df6e9a8b-c188-3d58-8215-8ef7a57b7f8d&quot;,&quot;title&quot;:&quot;Clustal W and Clustal X version 2.0&quot;,&quot;author&quot;:[{&quot;family&quot;:&quot;Larkin&quot;,&quot;given&quot;:&quot;M.A.&quot;,&quot;parse-names&quot;:false,&quot;dropping-particle&quot;:&quot;&quot;,&quot;non-dropping-particle&quot;:&quot;&quot;},{&quot;family&quot;:&quot;Blackshields&quot;,&quot;given&quot;:&quot;G.&quot;,&quot;parse-names&quot;:false,&quot;dropping-particle&quot;:&quot;&quot;,&quot;non-dropping-particle&quot;:&quot;&quot;},{&quot;family&quot;:&quot;Brown&quot;,&quot;given&quot;:&quot;N.P.&quot;,&quot;parse-names&quot;:false,&quot;dropping-particle&quot;:&quot;&quot;,&quot;non-dropping-particle&quot;:&quot;&quot;},{&quot;family&quot;:&quot;Chenna&quot;,&quot;given&quot;:&quot;R.&quot;,&quot;parse-names&quot;:false,&quot;dropping-particle&quot;:&quot;&quot;,&quot;non-dropping-particle&quot;:&quot;&quot;},{&quot;family&quot;:&quot;McGettigan&quot;,&quot;given&quot;:&quot;P.A.&quot;,&quot;parse-names&quot;:false,&quot;dropping-particle&quot;:&quot;&quot;,&quot;non-dropping-particle&quot;:&quot;&quot;},{&quot;family&quot;:&quot;McWilliam&quot;,&quot;given&quot;:&quot;H.&quot;,&quot;parse-names&quot;:false,&quot;dropping-particle&quot;:&quot;&quot;,&quot;non-dropping-particle&quot;:&quot;&quot;},{&quot;family&quot;:&quot;Valentin&quot;,&quot;given&quot;:&quot;F.&quot;,&quot;parse-names&quot;:false,&quot;dropping-particle&quot;:&quot;&quot;,&quot;non-dropping-particle&quot;:&quot;&quot;},{&quot;family&quot;:&quot;Wallace&quot;,&quot;given&quot;:&quot;I.M.&quot;,&quot;parse-names&quot;:false,&quot;dropping-particle&quot;:&quot;&quot;,&quot;non-dropping-particle&quot;:&quot;&quot;},{&quot;family&quot;:&quot;Wilm&quot;,&quot;given&quot;:&quot;A.&quot;,&quot;parse-names&quot;:false,&quot;dropping-particle&quot;:&quot;&quot;,&quot;non-dropping-particle&quot;:&quot;&quot;},{&quot;family&quot;:&quot;Lopez&quot;,&quot;given&quot;:&quot;R.&quot;,&quot;parse-names&quot;:false,&quot;dropping-particle&quot;:&quot;&quot;,&quot;non-dropping-particle&quot;:&quot;&quot;},{&quot;family&quot;:&quot;Thompson&quot;,&quot;given&quot;:&quot;J.D.&quot;,&quot;parse-names&quot;:false,&quot;dropping-particle&quot;:&quot;&quot;,&quot;non-dropping-particle&quot;:&quot;&quot;},{&quot;family&quot;:&quot;Gibson&quot;,&quot;given&quot;:&quot;T.J.&quot;,&quot;parse-names&quot;:false,&quot;dropping-particle&quot;:&quot;&quot;,&quot;non-dropping-particle&quot;:&quot;&quot;},{&quot;family&quot;:&quot;Higgins&quot;,&quot;given&quot;:&quot;D.G.&quot;,&quot;parse-names&quot;:false,&quot;dropping-particle&quot;:&quot;&quot;,&quot;non-dropping-particle&quot;:&quot;&quot;}],&quot;container-title&quot;:&quot;Bioinformatics&quot;,&quot;DOI&quot;:&quot;10.1093/bioinformatics/btm404&quot;,&quot;ISSN&quot;:&quot;1367-4803&quot;,&quot;issued&quot;:{&quot;date-parts&quot;:[[2007,11,1]]},&quot;page&quot;:&quot;2947-2948&quot;,&quot;issue&quot;:&quot;21&quot;,&quot;volume&quot;:&quot;23&quot;},&quot;isTemporary&quot;:false}],&quot;properties&quot;:{&quot;noteIndex&quot;:0},&quot;isEdited&quot;:false,&quot;manualOverride&quot;:{&quot;isManuallyOverridden&quot;:false,&quot;citeprocText&quot;:&quot;(Larkin et al., 2007)&quot;,&quot;manualOverrideText&quot;:&quot;&quot;},&quot;citationTag&quot;:&quot;MENDELEY_CITATION_v3_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&quot;},{&quot;citationID&quot;:&quot;MENDELEY_CITATION_e1400266-eef9-4132-9725-a58701e28cac&quot;,&quot;citationItems&quot;:[{&quot;id&quot;:&quot;355aafef-8c48-3700-9190-7ba19010739a&quot;,&quot;itemData&quot;:{&quot;type&quot;:&quot;article-journal&quot;,&quot;id&quot;:&quot;355aafef-8c48-3700-9190-7ba19010739a&quot;,&quot;title&quot;:&quot;R: A language and environment for statistical computing. R Foundation for Statistical Computing, Vienna, Austria.&quot;,&quot;author&quot;:[{&quot;family&quot;:&quot;R Core Team.&quot;,&quot;given&quot;:&quot;&quot;,&quot;parse-names&quot;:false,&quot;dropping-particle&quot;:&quot;&quot;,&quot;non-dropping-particle&quot;:&quot;&quot;}],&quot;issued&quot;:{&quot;date-parts&quot;:[[2021]]}},&quot;isTemporary&quot;:false}],&quot;properties&quot;:{&quot;noteIndex&quot;:0},&quot;isEdited&quot;:false,&quot;manualOverride&quot;:{&quot;isManuallyOverridden&quot;:false,&quot;citeprocText&quot;:&quot;(R Core Team., 2021)&quot;,&quot;manualOverrideText&quot;:&quot;&quot;},&quot;citationTag&quot;:&quot;MENDELEY_CITATION_v3_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&quot;},{&quot;citationID&quot;:&quot;MENDELEY_CITATION_c28a6025-19d8-433e-90ee-0e96c6dac742&quot;,&quot;citationItems&quot;:[{&quot;id&quot;:&quot;fa0ae6c5-4623-3bdd-b1eb-baf2af7f590d&quot;,&quot;itemData&quot;:{&quot;type&quot;:&quot;chapter&quot;,&quot;id&quot;:&quot;fa0ae6c5-4623-3bdd-b1eb-baf2af7f590d&quot;,&quot;title&quot;:&quot;SeqinR 1.0-2: A Contributed Package to the R Project for Statistical Computing Devoted to Biological Sequences Retrieval and Analysis&quot;,&quot;author&quot;:[{&quot;family&quot;:&quot;Charif&quot;,&quot;given&quot;:&quot;Delphine&quot;,&quot;parse-names&quot;:false,&quot;dropping-particle&quot;:&quot;&quot;,&quot;non-dropping-particle&quot;:&quot;&quot;},{&quot;family&quot;:&quot;Lobry&quot;,&quot;given&quot;:&quot;Jean R.&quot;,&quot;parse-names&quot;:false,&quot;dropping-particle&quot;:&quot;&quot;,&quot;non-dropping-particle&quot;:&quot;&quot;}],&quot;accessed&quot;:{&quot;date-parts&quot;:[[2021,4,13]]},&quot;DOI&quot;:&quot;10.1007/978-3-540-35306-5_10&quot;,&quot;URL&quot;:&quot;http://www.R-project.org/&quot;,&quot;issued&quot;:{&quot;date-parts&quot;:[[2007]]},&quot;page&quot;:&quot;207-232&quot;,&quot;abstract&quot;:&quot;The seqinR package for the R environment is a library of utilities to retrieve and analyze biological sequences. It provides an interface between: (i) the R language and environment for statistical computing and graphics, and (ii) the ACNUC sequence retrieval system for nucleotide and protein sequence databases such as GenBank, EMBL, SWISS-PROT. ACNUC is very efficient in providing direct access to subsequences of biological interest (e.g., protein coding regions, tRNA, or rRNA coding regions) present in GenBank and in EMBL. Thanks to a simple query language, it is then easy under R to select sequences of interest and then use all the power of the R environment to analyze them. The ACNUC databases can be locally installed but they are more conveniently accessed through a web server to take advantage of centralized daily updates. The aim of this chapter is to provide a handout on basic sequence analyses under seqinR with a special focus on multivariate methods.&quot;,&quot;publisher&quot;:&quot;Springer, Berlin, Heidelberg&quot;},&quot;isTemporary&quot;:false}],&quot;properties&quot;:{&quot;noteIndex&quot;:0},&quot;isEdited&quot;:false,&quot;manualOverride&quot;:{&quot;isManuallyOverridden&quot;:false,&quot;citeprocText&quot;:&quot;(Charif &amp;#38; Lobry, 2007)&quot;,&quot;manualOverrideText&quot;:&quot;&quot;},&quot;citationTag&quot;:&quot;MENDELEY_CITATION_v3_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&quot;},{&quot;citationID&quot;:&quot;MENDELEY_CITATION_bda97364-2715-4980-a91f-720f07780cd0&quot;,&quot;citationItems&quot;:[{&quot;id&quot;:&quot;c20dc67e-6a16-3865-8142-9643a4d81e58&quot;,&quot;itemData&quot;:{&quot;type&quot;:&quot;article-journal&quot;,&quot;id&quot;:&quot;c20dc67e-6a16-3865-8142-9643a4d81e58&quot;,&quot;title&quot;:&quot;APE: Analyses of Phylogenetics and Evolution in R language&quot;,&quot;author&quot;:[{&quot;family&quot;:&quot;Paradis&quot;,&quot;given&quot;:&quot;E.&quot;,&quot;parse-names&quot;:false,&quot;dropping-particle&quot;:&quot;&quot;,&quot;non-dropping-particle&quot;:&quot;&quot;},{&quot;family&quot;:&quot;Claude&quot;,&quot;given&quot;:&quot;J.&quot;,&quot;parse-names&quot;:false,&quot;dropping-particle&quot;:&quot;&quot;,&quot;non-dropping-particle&quot;:&quot;&quot;},{&quot;family&quot;:&quot;Strimmer&quot;,&quot;given&quot;:&quot;K.&quot;,&quot;parse-names&quot;:false,&quot;dropping-particle&quot;:&quot;&quot;,&quot;non-dropping-particle&quot;:&quot;&quot;}],&quot;container-title&quot;:&quot;Bioinformatics&quot;,&quot;accessed&quot;:{&quot;date-parts&quot;:[[2021,4,13]]},&quot;DOI&quot;:&quot;10.1093/bioinformatics/btg412&quot;,&quot;ISSN&quot;:&quot;1367-4803&quot;,&quot;URL&quot;:&quot;https://academic.oup.com/bioinformatics/article-lookup/doi/10.1093/bioinformatics/btg412&quot;,&quot;issued&quot;:{&quot;date-parts&quot;:[[2004,1,22]]},&quot;page&quot;:&quot;289-290&quot;,&quot;abstract&quot;:&quot;Summary: Analysis of Phylogenetics and Evolution (APE) is a package written in the R language for use in molecular evolution and phylogenetics. APE provides both utility functions for reading and writing data and manipulating phylogenetic trees, as well as several advanced methods for phylogenetic and evolutionary analysis (e.g. comparative and population genetic methods). APE takes advantage of the many R functions for statistics and graphics, and also provides a flexible framework for developing and implementing further statistical methods for the analysis of evolutionary processes.&quot;,&quot;publisher&quot;:&quot;Oxford Academic&quot;,&quot;issue&quot;:&quot;2&quot;,&quot;volume&quot;:&quot;20&quot;},&quot;isTemporary&quot;:false}],&quot;properties&quot;:{&quot;noteIndex&quot;:0},&quot;isEdited&quot;:false,&quot;manualOverride&quot;:{&quot;isManuallyOverridden&quot;:false,&quot;citeprocText&quot;:&quot;(Paradis et al., 2004)&quot;,&quot;manualOverrideText&quot;:&quot;&quot;},&quot;citationTag&quot;:&quot;MENDELEY_CITATION_v3_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&quot;},{&quot;citationID&quot;:&quot;MENDELEY_CITATION_42bb0a9f-68e5-47e4-a7a0-510c12f19c60&quot;,&quot;citationItems&quot;:[{&quot;id&quot;:&quot;2eac4ad9-52b4-390f-904a-93ffa85037ed&quot;,&quot;itemData&quot;:{&quot;type&quot;:&quot;article-journal&quot;,&quot;id&quot;:&quot;2eac4ad9-52b4-390f-904a-93ffa85037ed&quot;,&quot;title&quot;:&quot; Maximum likelihood inference of phylogenetic trees, with special reference to a Poisson process model of DNA substitution and to parsimony analyses Systematic Biology. &quot;,&quot;author&quot;:[{&quot;family&quot;:&quot;Goldman N.&quot;,&quot;given&quot;:&quot;&quot;,&quot;parse-names&quot;:false,&quot;dropping-particle&quot;:&quot;&quot;,&quot;non-dropping-particle&quot;:&quot;&quot;}],&quot;issued&quot;:{&quot;date-parts&quot;:[[1990]]},&quot;page&quot;:&quot;345&quot;,&quot;issue&quot;:&quot;4&quot;,&quot;volume&quot;:&quot;39&quot;},&quot;isTemporary&quot;:false}],&quot;properties&quot;:{&quot;noteIndex&quot;:0},&quot;isEdited&quot;:false,&quot;manualOverride&quot;:{&quot;isManuallyOverridden&quot;:false,&quot;citeprocText&quot;:&quot;(Goldman N., 1990)&quot;,&quot;manualOverrideText&quot;:&quot;&quot;},&quot;citationTag&quot;:&quot;MENDELEY_CITATION_v3_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&quot;},{&quot;citationID&quot;:&quot;MENDELEY_CITATION_b2c349cb-8911-4db3-87d0-3e6baccb08e6&quot;,&quot;citationItems&quot;:[{&quot;id&quot;:&quot;f480b947-1e9f-3f90-8aec-ea61f0039550&quot;,&quot;itemData&quot;:{&quot;type&quot;:&quot;article-journal&quot;,&quot;id&quot;:&quot;f480b947-1e9f-3f90-8aec-ea61f0039550&quot;,&quot;title&quot;:&quot;Fruit Quality Traits and Genotypic Characterization in a Pomegranate Ex Situ (Punica granatum L.) Collection in Greece&quot;,&quot;author&quot;:[{&quot;family&quot;:&quot;Karapetsi&quot;,&quot;given&quot;:&quot;Lefkothea&quot;,&quot;parse-names&quot;:false,&quot;dropping-particle&quot;:&quot;&quot;,&quot;non-dropping-particle&quot;:&quot;&quot;},{&quot;family&quot;:&quot;Pantelidis&quot;,&quot;given&quot;:&quot;Georgios&quot;,&quot;parse-names&quot;:false,&quot;dropping-particle&quot;:&quot;&quot;,&quot;non-dropping-particle&quot;:&quot;&quot;},{&quot;family&quot;:&quot;Pratsinakis&quot;,&quot;given&quot;:&quot;Emmanouil D.&quot;,&quot;parse-names&quot;:false,&quot;dropping-particle&quot;:&quot;&quot;,&quot;non-dropping-particle&quot;:&quot;&quot;},{&quot;family&quot;:&quot;Drogoudi&quot;,&quot;given&quot;:&quot;Pavlina&quot;,&quot;parse-names&quot;:false,&quot;dropping-particle&quot;:&quot;&quot;,&quot;non-dropping-particle&quot;:&quot;&quot;},{&quot;family&quot;:&quot;Madesis&quot;,&quot;given&quot;:&quot;Panagiotis&quot;,&quot;parse-names&quot;:false,&quot;dropping-particle&quot;:&quot;&quot;,&quot;non-dropping-particle&quot;:&quot;&quot;}],&quot;container-title&quot;:&quot;Agriculture&quot;,&quot;DOI&quot;:&quot;10.3390/agriculture11060482&quot;,&quot;ISSN&quot;:&quot;2077-0472&quot;,&quot;issued&quot;:{&quot;date-parts&quot;:[[2021,5,24]]},&quot;abstract&quot;:&quot;&lt;p&gt;Pomegranate is one of the oldest known fruit crops, well adapted to hot and dry areas and successfully grown in Mediterranean countries. During the last two decades, numerous publications have revealed the traditionally known associations between pomegranate consumption and health benefits, which led to increased demand by consumers and expansion in cultivation areas. Pomegranate is well adapted to areas with diverse pedoclimatic conditions and local cultivars could provide an essential source of genes for breeding. In this study, fruit phenotypic and genetic variability, and relationships, were studied in 26 Greek and foreign pomegranate cultivars/accessions grown in an ex situ collection located in Naoussa Greece, using Inter Simple Sequence Repeat (ISSR) and Start Codon Targeted (SCoT) molecular markers. Results from the principal component analysis made on fruit phenotypic characters revealed five components that accounted for 74.8% of the total variance, the first being related to skin color parameters and the second to juice antioxidant contents and aril color. Clustering from phenotypic data allocated individuals into four clusters. A total of 184 bands were generated for all markers applied across the 26 pomegranate cultivars/accessions, with an average of 77 bands per ISSR markers and 82 bands for SCoT markers. Low variability in the phenotypic and genotypic level was indicated; nevertheless, results from the association study between phenotypic traits and molecular markers that were obtained using Multiple Regression Analysis (MRA) could prove valuable for marker-assisted breeding programs, especially from SCoT markers that were found to be strongly or averagely associated with the morphological traits and chemical components.&lt;/p&gt;&quot;,&quot;issue&quot;:&quot;6&quot;,&quot;volume&quot;:&quot;11&quot;},&quot;isTemporary&quot;:false}],&quot;properties&quot;:{&quot;noteIndex&quot;:0},&quot;isEdited&quot;:false,&quot;manualOverride&quot;:{&quot;isManuallyOverridden&quot;:false,&quot;citeprocText&quot;:&quot;(Karapetsi et al., 2021)&quot;,&quot;manualOverrideText&quot;:&quot;&quot;},&quot;citationTag&quot;:&quot;MENDELEY_CITATION_v3_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&quot;},{&quot;citationID&quot;:&quot;MENDELEY_CITATION_cd6d8f66-7601-4b94-896a-233b31bb00ae&quot;,&quot;citationItems&quot;:[{&quot;id&quot;:&quot;3a825202-6bdc-39e2-aaa3-6e3367f130a9&quot;,&quot;itemData&quot;:{&quot;type&quot;:&quot;article-journal&quot;,&quot;id&quot;:&quot;3a825202-6bdc-39e2-aaa3-6e3367f130a9&quot;,&quot;title&quot;:&quot;NTSYS-pc Version. 2.02i Numerical Taxonomy and Multivariate Analysis System.  &quot;,&quot;author&quot;:[{&quot;family&quot;:&quot;Rohlf&quot;,&quot;given&quot;:&quot;F.J.&quot;,&quot;parse-names&quot;:false,&quot;dropping-particle&quot;:&quot;&quot;,&quot;non-dropping-particle&quot;:&quot;&quot;}],&quot;container-title&quot;:&quot;Applied Biostatistics Inc.,Exeter Software, Setauket, New York.&quot;,&quot;issued&quot;:{&quot;date-parts&quot;:[[1997]]}},&quot;isTemporary&quot;:false},{&quot;id&quot;:&quot;cec55436-8435-39f6-ace2-dc09b2c8f34e&quot;,&quot;itemData&quot;:{&quot;type&quot;:&quot;book&quot;,&quot;id&quot;:&quot;cec55436-8435-39f6-ace2-dc09b2c8f34e&quot;,&quot;title&quot;:&quot; Numerical taxonomy. In The principles and practices of classification. &quot;,&quot;author&quot;:[{&quot;family&quot;:&quot;Sneath&quot;,&quot;given&quot;:&quot;P.H.A.&quot;,&quot;parse-names&quot;:false,&quot;dropping-particle&quot;:&quot;&quot;,&quot;non-dropping-particle&quot;:&quot;&quot;},{&quot;family&quot;:&quot;and Sokal&quot;,&quot;given&quot;:&quot;R.R.&quot;,&quot;parse-names&quot;:false,&quot;dropping-particle&quot;:&quot;&quot;,&quot;non-dropping-particle&quot;:&quot;&quot;}],&quot;issued&quot;:{&quot;date-parts&quot;:[[1973]]},&quot;publisher-place&quot;:&quot;San Francisco, &quot;,&quot;number-of-pages&quot;:&quot;573&quot;,&quot;edition&quot;:&quot;1st&quot;,&quot;publisher&quot;:&quot;ed, W.H. Freeman and Co, &quot;},&quot;isTemporary&quot;:false},{&quot;id&quot;:&quot;1e16cfd1-6d68-3c65-82a8-fe6c281c882b&quot;,&quot;itemData&quot;:{&quot;type&quot;:&quot;article-journal&quot;,&quot;id&quot;:&quot;1e16cfd1-6d68-3c65-82a8-fe6c281c882b&quot;,&quot;title&quot;:&quot;A Survey of Genetic Diversity of the Weedy Species &amp;amp;lt;i&amp;amp;gt;Ipomoea lacunosa&amp;amp;lt;/i&amp;amp;gt; L. in the USA Mid-South&quot;,&quot;author&quot;:[{&quot;family&quot;:&quot;Burgos&quot;,&quot;given&quot;:&quot;Nilda R.&quot;,&quot;parse-names&quot;:false,&quot;dropping-particle&quot;:&quot;&quot;,&quot;non-dropping-particle&quot;:&quot;&quot;},{&quot;family&quot;:&quot;Stephenson&quot;,&quot;given&quot;:&quot;Daniel O.&quot;,&quot;parse-names&quot;:false,&quot;dropping-particle&quot;:&quot;&quot;,&quot;non-dropping-particle&quot;:&quot;&quot;},{&quot;family&quot;:&quot;Agrama&quot;,&quot;given&quot;:&quot;Hesham A.&quot;,&quot;parse-names&quot;:false,&quot;dropping-particle&quot;:&quot;&quot;,&quot;non-dropping-particle&quot;:&quot;&quot;},{&quot;family&quot;:&quot;Oliver&quot;,&quot;given&quot;:&quot;Lawrence R.&quot;,&quot;parse-names&quot;:false,&quot;dropping-particle&quot;:&quot;&quot;,&quot;non-dropping-particle&quot;:&quot;&quot;},{&quot;family&quot;:&quot;Bond&quot;,&quot;given&quot;:&quot;Jason A.&quot;,&quot;parse-names&quot;:false,&quot;dropping-particle&quot;:&quot;&quot;,&quot;non-dropping-particle&quot;:&quot;&quot;}],&quot;container-title&quot;:&quot;American Journal of Plant Sciences&quot;,&quot;DOI&quot;:&quot;10.4236/ajps.2011.23045&quot;,&quot;ISSN&quot;:&quot;2158-2742&quot;,&quot;issued&quot;:{&quot;date-parts&quot;:[[2011]]},&quot;issue&quot;:&quot;03&quot;,&quot;volume&quot;:&quot;02&quot;},&quot;isTemporary&quot;:false},{&quot;id&quot;:&quot;39ad5ee8-7e51-357f-a8f7-20aed3bdfa2f&quot;,&quot;itemData&quot;:{&quot;type&quot;:&quot;article-journal&quot;,&quot;id&quot;:&quot;39ad5ee8-7e51-357f-a8f7-20aed3bdfa2f&quot;,&quot;title&quot;:&quot;Characterization of ten date palm (Phoenix dactylifera L.) cultivars from Saudi Arabia using AFLP and ISSR markers&quot;,&quot;author&quot;:[{&quot;family&quot;:&quot;Sabir&quot;,&quot;given&quot;:&quot;Jamal S.M.&quot;,&quot;parse-names&quot;:false,&quot;dropping-particle&quot;:&quot;&quot;,&quot;non-dropping-particle&quot;:&quot;&quot;},{&quot;family&quot;:&quot;Abo-Aba&quot;,&quot;given&quot;:&quot;Salah&quot;,&quot;parse-names&quot;:false,&quot;dropping-particle&quot;:&quot;&quot;,&quot;non-dropping-particle&quot;:&quot;&quot;},{&quot;family&quot;:&quot;Bafeel&quot;,&quot;given&quot;:&quot;Sameera&quot;,&quot;parse-names&quot;:false,&quot;dropping-particle&quot;:&quot;&quot;,&quot;non-dropping-particle&quot;:&quot;&quot;},{&quot;family&quot;:&quot;Zari&quot;,&quot;given&quot;:&quot;Talal A.&quot;,&quot;parse-names&quot;:false,&quot;dropping-particle&quot;:&quot;&quot;,&quot;non-dropping-particle&quot;:&quot;&quot;},{&quot;family&quot;:&quot;Edris&quot;,&quot;given&quot;:&quot;Sherif&quot;,&quot;parse-names&quot;:false,&quot;dropping-particle&quot;:&quot;&quot;,&quot;non-dropping-particle&quot;:&quot;&quot;},{&quot;family&quot;:&quot;Shokry&quot;,&quot;given&quot;:&quot;Ahmed M.&quot;,&quot;parse-names&quot;:false,&quot;dropping-particle&quot;:&quot;&quot;,&quot;non-dropping-particle&quot;:&quot;&quot;},{&quot;family&quot;:&quot;Atef&quot;,&quot;given&quot;:&quot;Ahmed&quot;,&quot;parse-names&quot;:false,&quot;dropping-particle&quot;:&quot;&quot;,&quot;non-dropping-particle&quot;:&quot;&quot;},{&quot;family&quot;:&quot;Gadalla&quot;,&quot;given&quot;:&quot;Nour O.&quot;,&quot;parse-names&quot;:false,&quot;dropping-particle&quot;:&quot;&quot;,&quot;non-dropping-particle&quot;:&quot;&quot;},{&quot;family&quot;:&quot;Ramadan&quot;,&quot;given&quot;:&quot;Ahmed M.&quot;,&quot;parse-names&quot;:false,&quot;dropping-particle&quot;:&quot;&quot;,&quot;non-dropping-particle&quot;:&quot;&quot;},{&quot;family&quot;:&quot;Al-Kordy&quot;,&quot;given&quot;:&quot;Magdy A.&quot;,&quot;parse-names&quot;:false,&quot;dropping-particle&quot;:&quot;&quot;,&quot;non-dropping-particle&quot;:&quot;&quot;},{&quot;family&quot;:&quot;El-Domyati&quot;,&quot;given&quot;:&quot;Fotouh M.&quot;,&quot;parse-names&quot;:false,&quot;dropping-particle&quot;:&quot;&quot;,&quot;non-dropping-particle&quot;:&quot;&quot;},{&quot;family&quot;:&quot;Jansen&quot;,&quot;given&quot;:&quot;Robert K.&quot;,&quot;parse-names&quot;:false,&quot;dropping-particle&quot;:&quot;&quot;,&quot;non-dropping-particle&quot;:&quot;&quot;},{&quot;family&quot;:&quot;Bahieldin&quot;,&quot;given&quot;:&quot;Ahmed&quot;,&quot;parse-names&quot;:false,&quot;dropping-particle&quot;:&quot;&quot;,&quot;non-dropping-particle&quot;:&quot;&quot;}],&quot;container-title&quot;:&quot;Comptes Rendus Biologies&quot;,&quot;DOI&quot;:&quot;10.1016/j.crvi.2013.11.003&quot;,&quot;ISSN&quot;:&quot;16310691&quot;,&quot;issued&quot;:{&quot;date-parts&quot;:[[2014,1]]},&quot;issue&quot;:&quot;1&quot;,&quot;volume&quot;:&quot;337&quot;},&quot;isTemporary&quot;:false}],&quot;properties&quot;:{&quot;noteIndex&quot;:0},&quot;isEdited&quot;:false,&quot;manualOverride&quot;:{&quot;isManuallyOverridden&quot;:true,&quot;citeprocText&quot;:&quot;(Burgos et al., 2011; Rohlf, 1997; Sabir et al., 2014b; Sneath &amp;#38; and Sokal, 1973)&quot;,&quot;manualOverrideText&quot;:&quot;(Burgos et al., 2011; Rohlf, 1997; Sabir et al., 2014b; Sneath, 1973).&quot;},&quot;citationTag&quot;:&quot;MENDELEY_CITATION_v3_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&quot;},{&quot;citationID&quot;:&quot;MENDELEY_CITATION_d5925f94-b11c-4dd2-96a9-89cb9605c4d3&quot;,&quot;citationItems&quot;:[{&quot;id&quot;:&quot;7c3aca86-9077-36ba-8706-f62c8ef472a2&quot;,&quot;itemData&quot;:{&quot;type&quot;:&quot;article-journal&quot;,&quot;id&quot;:&quot;7c3aca86-9077-36ba-8706-f62c8ef472a2&quot;,&quot;title&quot;:&quot;Monsanto wins seven-year court battle for seed patent&quot;,&quot;author&quot;:[{&quot;family&quot;:&quot;Nature e.g.&quot;,&quot;given&quot;:&quot;&quot;,&quot;parse-names&quot;:false,&quot;dropping-particle&quot;:&quot;&quot;,&quot;non-dropping-particle&quot;:&quot;&quot;}],&quot;container-title&quot;:&quot;nature&quot;,&quot;issued&quot;:{&quot;date-parts&quot;:[[2004,5,27]]},&quot;page&quot;:&quot;-330&quot;,&quot;volume&quot;:&quot;429&quot;},&quot;isTemporary&quot;:false}],&quot;properties&quot;:{&quot;noteIndex&quot;:0},&quot;isEdited&quot;:false,&quot;manualOverride&quot;:{&quot;isManuallyOverriden&quot;:false,&quot;citeprocText&quot;:&quot;(Nature e.g., 2004)&quot;,&quot;manualOverrideText&quot;:&quot;&quot;},&quot;citationTag&quot;:&quot;MENDELEY_CITATION_v3_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&quot;},{&quot;citationID&quot;:&quot;MENDELEY_CITATION_32108f96-d32b-4abd-a89c-7ee09ab0b024&quot;,&quot;citationItems&quot;:[{&quot;id&quot;:&quot;25f70e3d-9fd5-3fa1-8780-bf20983fb7bd&quot;,&quot;itemData&quot;:{&quot;type&quot;:&quot;article-journal&quot;,&quot;id&quot;:&quot;25f70e3d-9fd5-3fa1-8780-bf20983fb7bd&quot;,&quot;title&quot;:&quot;Molecular identification and phylogenetic relationship of green algae, Spirogyra ellipsospora (Chlorophyta) using ISSR and rbcL markers&quot;,&quot;author&quot;:[{&quot;family&quot;:&quot;Wongsawad&quot;,&quot;given&quot;:&quot;Pheravut&quot;,&quot;parse-names&quot;:false,&quot;dropping-particle&quot;:&quot;&quot;,&quot;non-dropping-particle&quot;:&quot;&quot;},{&quot;family&quot;:&quot;Peerapornpisal&quot;,&quot;given&quot;:&quot;Yuwadee&quot;,&quot;parse-names&quot;:false,&quot;dropping-particle&quot;:&quot;&quot;,&quot;non-dropping-particle&quot;:&quot;&quot;}],&quot;container-title&quot;:&quot;Saudi Journal of Biological Sciences&quot;,&quot;DOI&quot;:&quot;10.1016/j.sjbs.2014.01.003&quot;,&quot;ISSN&quot;:&quot;1319562X&quot;,&quot;issued&quot;:{&quot;date-parts&quot;:[[2014,11]]},&quot;issue&quot;:&quot;5&quot;,&quot;volume&quot;:&quot;21&quot;},&quot;isTemporary&quot;:false}],&quot;properties&quot;:{&quot;noteIndex&quot;:0},&quot;isEdited&quot;:false,&quot;manualOverride&quot;:{&quot;isManuallyOverridden&quot;:true,&quot;citeprocText&quot;:&quot;(Wongsawad &amp;#38; Peerapornpisal, 2014)&quot;,&quot;manualOverrideText&quot;:&quot;(Wongsawad &amp; Peerapornpisal, 2014).&quot;},&quot;citationTag&quot;:&quot;MENDELEY_CITATION_v3_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&quot;},{&quot;citationID&quot;:&quot;MENDELEY_CITATION_995ced9c-a996-4f0e-8be6-eb21e05215f6&quot;,&quot;citationItems&quot;:[{&quot;id&quot;:&quot;dba21387-5213-3115-86cc-cc0d629a10b3&quot;,&quot;itemData&quot;:{&quot;type&quot;:&quot;article-journal&quot;,&quot;id&quot;:&quot;dba21387-5213-3115-86cc-cc0d629a10b3&quot;,&quot;title&quot;:&quot;Genetic diversity of local corn (Zea mays) cultivars from South Amarasi, Kupang District, Indonesia by Inter Simple Sequence Repeats marker&quot;,&quot;author&quot;:[{&quot;family&quot;:&quot;Uslan&quot;,&quot;given&quot;:&quot;Uslan&quot;,&quot;parse-names&quot;:false,&quot;dropping-particle&quot;:&quot;&quot;,&quot;non-dropping-particle&quot;:&quot;&quot;},{&quot;family&quot;:&quot;Nur Jannah&quot;,&quot;given&quot;:&quot;&quot;,&quot;parse-names&quot;:false,&quot;dropping-particle&quot;:&quot;&quot;,&quot;non-dropping-particle&quot;:&quot;&quot;}],&quot;container-title&quot;:&quot;Biodiversitas Journal of Biological Diversity&quot;,&quot;DOI&quot;:&quot;10.13057/biodiv/d210348&quot;,&quot;ISSN&quot;:&quot;2085-4722&quot;,&quot;issued&quot;:{&quot;date-parts&quot;:[[2020,2,26]]},&quot;abstract&quot;:&quot;&lt;p&gt;Abstract. Uslan, Jannah N. 2020. Genetic diversity of local corn (Zea mays) cultivars from South Amarasi, Kupang District, Indonesia by Inter Simple Sequence Repeats marker. Biodiversitas 21: 1208-1214. Corn (Zea mays L.) is one of the most important food crops in Indonesia. However, the studies described their genetic variation is relatively poor. Therefore, the aim of this study was to analyze the genetic diversity of local corn cultivars from South Amarasi, Kupang District, East Nusa Tenggara (NTT), Indonesia using ISSR markers. The sampling was conducted in 4 different sites in Sub-district of Amarasi, Kupang District. A total of 11 corn cultivars from Sub-district of South Amarasi was collected. DNA isolation was performed by using CTAB Method. Clustering analysis was conducted on MSVP 3.2 software. It was shown that all ISSR-primers used (UBC 811, UBC 814 and UBC 824) were successfully produced polymorphic bands and represents the high genetic diversity of the local corn cultivars. The genetic distance index indicated that several corn cultivars from two different populations were geographically unclustered, although there are samples from several populations that have a low genetic distance. The genetic variation index also showed high genetic diversity among the populations. Further research on the exhaustive sample collection was needed to give an insight into the genetic diversity of local corn cultivars (Zea mays L.) from South Amarasi, Indonesia. Please write implementation of this research&lt;/p&gt;&quot;,&quot;issue&quot;:&quot;3&quot;,&quot;volume&quot;:&quot;21&quot;},&quot;isTemporary&quot;:false}],&quot;properties&quot;:{&quot;noteIndex&quot;:0},&quot;isEdited&quot;:false,&quot;manualOverride&quot;:{&quot;isManuallyOverridden&quot;:false,&quot;citeprocText&quot;:&quot;(Uslan &amp;#38; Nur Jannah, 2020)&quot;,&quot;manualOverrideText&quot;:&quot;&quot;},&quot;citationTag&quot;:&quot;MENDELEY_CITATION_v3_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&quot;},{&quot;citationID&quot;:&quot;MENDELEY_CITATION_4e1f45eb-783e-432f-a371-c87959de712d&quot;,&quot;citationItems&quot;:[{&quot;id&quot;:&quot;433eba3f-d574-34e2-a8cf-3e895536b63d&quot;,&quot;itemData&quot;:{&quot;type&quot;:&quot;article-journal&quot;,&quot;id&quot;:&quot;433eba3f-d574-34e2-a8cf-3e895536b63d&quot;,&quot;title&quot;:&quot;Optimized breeding strategies to harness genetic resources with different performance levels&quot;,&quot;author&quot;:[{&quot;family&quot;:&quot;Allier&quot;,&quot;given&quot;:&quot;Antoine&quot;,&quot;parse-names&quot;:false,&quot;dropping-particle&quot;:&quot;&quot;,&quot;non-dropping-particle&quot;:&quot;&quot;},{&quot;family&quot;:&quot;Teyssèdre&quot;,&quot;given&quot;:&quot;Simon&quot;,&quot;parse-names&quot;:false,&quot;dropping-particle&quot;:&quot;&quot;,&quot;non-dropping-particle&quot;:&quot;&quot;},{&quot;family&quot;:&quot;Lehermeier&quot;,&quot;given&quot;:&quot;Christina&quot;,&quot;parse-names&quot;:false,&quot;dropping-particle&quot;:&quot;&quot;,&quot;non-dropping-particle&quot;:&quot;&quot;},{&quot;family&quot;:&quot;Moreau&quot;,&quot;given&quot;:&quot;Laurence&quot;,&quot;parse-names&quot;:false,&quot;dropping-particle&quot;:&quot;&quot;,&quot;non-dropping-particle&quot;:&quot;&quot;},{&quot;family&quot;:&quot;Charcosset&quot;,&quot;given&quot;:&quot;Alain&quot;,&quot;parse-names&quot;:false,&quot;dropping-particle&quot;:&quot;&quot;,&quot;non-dropping-particle&quot;:&quot;&quot;}],&quot;container-title&quot;:&quot;BMC Genomics&quot;,&quot;DOI&quot;:&quot;10.1186/s12864-020-6756-0&quot;,&quot;ISSN&quot;:&quot;1471-2164&quot;,&quot;issued&quot;:{&quot;date-parts&quot;:[[2020,12,11]]},&quot;issue&quot;:&quot;1&quot;,&quot;volume&quot;:&quot;21&quot;},&quot;isTemporary&quot;:false}],&quot;properties&quot;:{&quot;noteIndex&quot;:0},&quot;isEdited&quot;:false,&quot;manualOverride&quot;:{&quot;isManuallyOverridden&quot;:true,&quot;citeprocText&quot;:&quot;(Allier et al., 2020)&quot;,&quot;manualOverrideText&quot;:&quot;(Allier et al., 2020).&quot;},&quot;citationTag&quot;:&quot;MENDELEY_CITATION_v3_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&quot;},{&quot;citationID&quot;:&quot;MENDELEY_CITATION_7b576d3a-89e9-44f4-b067-d6647e4b777a&quot;,&quot;citationItems&quot;:[{&quot;id&quot;:&quot;4c4e8d27-e92f-35bc-89b9-ce27f81721db&quot;,&quot;itemData&quot;:{&quot;type&quot;:&quot;article-journal&quot;,&quot;id&quot;:&quot;4c4e8d27-e92f-35bc-89b9-ce27f81721db&quot;,&quot;title&quot;:&quot;Genetic Diversity of the Vigna Germplasm from Thailand and Neighboring Regions Revealed by AFLP Analysis&quot;,&quot;author&quot;:[{&quot;family&quot;:&quot;Seehalak&quot;,&quot;given&quot;:&quot;Worapa&quot;,&quot;parse-names&quot;:false,&quot;dropping-particle&quot;:&quot;&quot;,&quot;non-dropping-particle&quot;:&quot;&quot;},{&quot;family&quot;:&quot;Tomooka&quot;,&quot;given&quot;:&quot;Norihiko&quot;,&quot;parse-names&quot;:false,&quot;dropping-particle&quot;:&quot;&quot;,&quot;non-dropping-particle&quot;:&quot;&quot;},{&quot;family&quot;:&quot;Waranyuwat&quot;,&quot;given&quot;:&quot;Aree&quot;,&quot;parse-names&quot;:false,&quot;dropping-particle&quot;:&quot;&quot;,&quot;non-dropping-particle&quot;:&quot;&quot;},{&quot;family&quot;:&quot;Thipyapong&quot;,&quot;given&quot;:&quot;Piyada&quot;,&quot;parse-names&quot;:false,&quot;dropping-particle&quot;:&quot;&quot;,&quot;non-dropping-particle&quot;:&quot;&quot;},{&quot;family&quot;:&quot;Laosuwan&quot;,&quot;given&quot;:&quot;Paisan&quot;,&quot;parse-names&quot;:false,&quot;dropping-particle&quot;:&quot;&quot;,&quot;non-dropping-particle&quot;:&quot;&quot;},{&quot;family&quot;:&quot;Kaga&quot;,&quot;given&quot;:&quot;Akito&quot;,&quot;parse-names&quot;:false,&quot;dropping-particle&quot;:&quot;&quot;,&quot;non-dropping-particle&quot;:&quot;&quot;},{&quot;family&quot;:&quot;Vaughan&quot;,&quot;given&quot;:&quot;Duncan A.&quot;,&quot;parse-names&quot;:false,&quot;dropping-particle&quot;:&quot;&quot;,&quot;non-dropping-particle&quot;:&quot;&quot;}],&quot;container-title&quot;:&quot;Genetic Resources and Crop Evolution&quot;,&quot;DOI&quot;:&quot;10.1007/s10722-004-7939-2&quot;,&quot;ISSN&quot;:&quot;0925-9864&quot;,&quot;issued&quot;:{&quot;date-parts&quot;:[[2006,8,29]]},&quot;issue&quot;:&quot;5&quot;,&quot;volume&quot;:&quot;53&quot;},&quot;isTemporary&quot;:false}],&quot;properties&quot;:{&quot;noteIndex&quot;:0},&quot;isEdited&quot;:false,&quot;manualOverride&quot;:{&quot;isManuallyOverridden&quot;:false,&quot;citeprocText&quot;:&quot;(Seehalak et al., 2006)&quot;,&quot;manualOverrideText&quot;:&quot;&quot;},&quot;citationTag&quot;:&quot;MENDELEY_CITATION_v3_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&quot;},{&quot;citationID&quot;:&quot;MENDELEY_CITATION_370530c9-0911-4c2b-b531-7143261fc5c8&quot;,&quot;citationItems&quot;:[{&quot;id&quot;:&quot;d89ca12e-71f1-354c-a756-5757196d2a68&quot;,&quot;itemData&quot;:{&quot;type&quot;:&quot;article-journal&quot;,&quot;id&quot;:&quot;d89ca12e-71f1-354c-a756-5757196d2a68&quot;,&quot;title&quot;:&quot;The genetic architecture of host response reveals the importance of arbuscular mycorrhizae to maize cultivation&quot;,&quot;author&quot;:[{&quot;family&quot;:&quot;Ramírez-Flores&quot;,&quot;given&quot;:&quot;M Rosario&quot;,&quot;parse-names&quot;:false,&quot;dropping-particle&quot;:&quot;&quot;,&quot;non-dropping-particle&quot;:&quot;&quot;},{&quot;family&quot;:&quot;Perez-Limon&quot;,&quot;given&quot;:&quot;Sergio&quot;,&quot;parse-names&quot;:false,&quot;dropping-particle&quot;:&quot;&quot;,&quot;non-dropping-particle&quot;:&quot;&quot;},{&quot;family&quot;:&quot;Li&quot;,&quot;given&quot;:&quot;Meng&quot;,&quot;parse-names&quot;:false,&quot;dropping-particle&quot;:&quot;&quot;,&quot;non-dropping-particle&quot;:&quot;&quot;},{&quot;family&quot;:&quot;Barrales-Gamez&quot;,&quot;given&quot;:&quot;Benjamín&quot;,&quot;parse-names&quot;:false,&quot;dropping-particle&quot;:&quot;&quot;,&quot;non-dropping-particle&quot;:&quot;&quot;},{&quot;family&quot;:&quot;Albinsky&quot;,&quot;given&quot;:&quot;Doris&quot;,&quot;parse-names&quot;:false,&quot;dropping-particle&quot;:&quot;&quot;,&quot;non-dropping-particle&quot;:&quot;&quot;},{&quot;family&quot;:&quot;Paszkowski&quot;,&quot;given&quot;:&quot;Uta&quot;,&quot;parse-names&quot;:false,&quot;dropping-particle&quot;:&quot;&quot;,&quot;non-dropping-particle&quot;:&quot;&quot;},{&quot;family&quot;:&quot;Olalde-Portugal&quot;,&quot;given&quot;:&quot;Víctor&quot;,&quot;parse-names&quot;:false,&quot;dropping-particle&quot;:&quot;&quot;,&quot;non-dropping-particle&quot;:&quot;&quot;},{&quot;family&quot;:&quot;Sawers&quot;,&quot;given&quot;:&quot;Ruairidh JH&quot;,&quot;parse-names&quot;:false,&quot;dropping-particle&quot;:&quot;&quot;,&quot;non-dropping-particle&quot;:&quot;&quot;}],&quot;container-title&quot;:&quot;eLife&quot;,&quot;DOI&quot;:&quot;10.7554/eLife.61701&quot;,&quot;ISSN&quot;:&quot;2050-084X&quot;,&quot;issued&quot;:{&quot;date-parts&quot;:[[2020,11,19]]},&quot;abstract&quot;:&quot;&lt;p&gt;Arbuscular mycorrhizal fungi (AMF) are ubiquitous in cultivated soils, forming symbiotic relationships with the roots of major crop species. Studies in controlled conditions have demonstrated the potential of AMF to enhance the growth of host plants. However, it is difficult to estimate the actual benefit in the field, not least because of the lack of suitable AMF-free controls. Here we implement a novel strategy using the selective incorporation of AMF-resistance into a genetic mapping population to evaluate maize response to AMF. We found AMF to account for about one-third of the grain production in a medium input field, as well as to affect the relative performance of different plant genotypes. Characterization of the genetic architecture of the host response indicated a trade-off between mycorrhizal dependence and benefit. We identified several QTL linked to host benefit, supporting the feasibility of breeding crops to maximize profit from symbiosis with AMF.&lt;/p&gt;&quot;,&quot;volume&quot;:&quot;9&quot;},&quot;isTemporary&quot;:false}],&quot;properties&quot;:{&quot;noteIndex&quot;:0},&quot;isEdited&quot;:false,&quot;manualOverride&quot;:{&quot;isManuallyOverridden&quot;:true,&quot;citeprocText&quot;:&quot;(Ramírez-Flores et al., 2020)&quot;,&quot;manualOverrideText&quot;:&quot;(Ramírez-Flores et al., 2020).&quot;},&quot;citationTag&quot;:&quot;MENDELEY_CITATION_v3_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&quot;},{&quot;citationID&quot;:&quot;MENDELEY_CITATION_09b44355-733d-4a56-8fc1-308be0dfd508&quot;,&quot;citationItems&quot;:[{&quot;id&quot;:&quot;54af1b06-c167-3d59-a70d-b87814242fbc&quot;,&quot;itemData&quot;:{&quot;type&quot;:&quot;article-journal&quot;,&quot;id&quot;:&quot;54af1b06-c167-3d59-a70d-b87814242fbc&quot;,&quot;title&quot;:&quot;Influence of arbuscular mycorrhizae on the metabolism of maize under drought stress&quot;,&quot;author&quot;:[{&quot;family&quot;:&quot;Subramanian K.S.&quot;,&quot;given&quot;:&quot;&quot;,&quot;parse-names&quot;:false,&quot;dropping-particle&quot;:&quot;&quot;,&quot;non-dropping-particle&quot;:&quot;&quot;},{&quot;family&quot;:&quot;and Charest C&quot;,&quot;given&quot;:&quot;&quot;,&quot;parse-names&quot;:false,&quot;dropping-particle&quot;:&quot;&quot;,&quot;non-dropping-particle&quot;:&quot;&quot;}],&quot;container-title&quot;:&quot;Mycorrhiza&quot;,&quot;issued&quot;:{&quot;date-parts&quot;:[[1995]]},&quot;page&quot;:&quot;273-278&quot;,&quot;volume&quot;:&quot;5&quot;},&quot;isTemporary&quot;:false}],&quot;properties&quot;:{&quot;noteIndex&quot;:0},&quot;isEdited&quot;:false,&quot;manualOverride&quot;:{&quot;isManuallyOverridden&quot;:true,&quot;citeprocText&quot;:&quot;(Subramanian K.S. &amp;#38; and Charest C, 1995)&quot;,&quot;manualOverrideText&quot;:&quot;(Subramanian and Charest, 1995), &quot;},&quot;citationTag&quot;:&quot;MENDELEY_CITATION_v3_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&quot;},{&quot;citationID&quot;:&quot;MENDELEY_CITATION_71790402-1cc5-4813-b9c6-333a1b1a89ba&quot;,&quot;citationItems&quot;:[{&quot;id&quot;:&quot;cecab06f-1829-3227-8e6a-9b2379469b59&quot;,&quot;itemData&quot;:{&quot;type&quot;:&quot;article-journal&quot;,&quot;id&quot;:&quot;cecab06f-1829-3227-8e6a-9b2379469b59&quot;,&quot;title&quot;:&quot;Influence of arbuscular mycorrhizae on photosynthesis and water status of maize plants under salt stress&quot;,&quot;author&quot;:[{&quot;family&quot;:&quot;Sheng&quot;,&quot;given&quot;:&quot;Min&quot;,&quot;parse-names&quot;:false,&quot;dropping-particle&quot;:&quot;&quot;,&quot;non-dropping-particle&quot;:&quot;&quot;},{&quot;family&quot;:&quot;Tang&quot;,&quot;given&quot;:&quot;Ming&quot;,&quot;parse-names&quot;:false,&quot;dropping-particle&quot;:&quot;&quot;,&quot;non-dropping-particle&quot;:&quot;&quot;},{&quot;family&quot;:&quot;Chen&quot;,&quot;given&quot;:&quot;Hui&quot;,&quot;parse-names&quot;:false,&quot;dropping-particle&quot;:&quot;&quot;,&quot;non-dropping-particle&quot;:&quot;&quot;},{&quot;family&quot;:&quot;Yang&quot;,&quot;given&quot;:&quot;Baowei&quot;,&quot;parse-names&quot;:false,&quot;dropping-particle&quot;:&quot;&quot;,&quot;non-dropping-particle&quot;:&quot;&quot;},{&quot;family&quot;:&quot;Zhang&quot;,&quot;given&quot;:&quot;Fengfeng&quot;,&quot;parse-names&quot;:false,&quot;dropping-particle&quot;:&quot;&quot;,&quot;non-dropping-particle&quot;:&quot;&quot;},{&quot;family&quot;:&quot;Huang&quot;,&quot;given&quot;:&quot;Yanhui&quot;,&quot;parse-names&quot;:false,&quot;dropping-particle&quot;:&quot;&quot;,&quot;non-dropping-particle&quot;:&quot;&quot;}],&quot;container-title&quot;:&quot;Mycorrhiza&quot;,&quot;DOI&quot;:&quot;10.1007/s00572-008-0180-7&quot;,&quot;ISSN&quot;:&quot;0940-6360&quot;,&quot;issued&quot;:{&quot;date-parts&quot;:[[2008,9,27]]},&quot;issue&quot;:&quot;6-7&quot;,&quot;volume&quot;:&quot;18&quot;},&quot;isTemporary&quot;:false}],&quot;properties&quot;:{&quot;noteIndex&quot;:0},&quot;isEdited&quot;:false,&quot;manualOverride&quot;:{&quot;isManuallyOverridden&quot;:false,&quot;citeprocText&quot;:&quot;(Sheng et al., 2008)&quot;,&quot;manualOverrideText&quot;:&quot;&quot;},&quot;citationTag&quot;:&quot;MENDELEY_CITATION_v3_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&quot;},{&quot;citationID&quot;:&quot;MENDELEY_CITATION_450c160f-02c1-400f-8765-795bc41e499e&quot;,&quot;citationItems&quot;:[{&quot;id&quot;:&quot;7b8fed12-d2cf-3c40-8b69-ca49019dd8ea&quot;,&quot;itemData&quot;:{&quot;type&quot;:&quot;article-journal&quot;,&quot;id&quot;:&quot;7b8fed12-d2cf-3c40-8b69-ca49019dd8ea&quot;,&quot;title&quot;:&quot;Influence of arbuscular mycorrhiza on lipid peroxidation and antioxidant enzyme activity of maize plants under temperature stress&quot;,&quot;author&quot;:[{&quot;family&quot;:&quot;Zhu&quot;,&quot;given&quot;:&quot;Xiancan&quot;,&quot;parse-names&quot;:false,&quot;dropping-particle&quot;:&quot;&quot;,&quot;non-dropping-particle&quot;:&quot;&quot;},{&quot;family&quot;:&quot;Song&quot;,&quot;given&quot;:&quot;Fengbin&quot;,&quot;parse-names&quot;:false,&quot;dropping-particle&quot;:&quot;&quot;,&quot;non-dropping-particle&quot;:&quot;&quot;},{&quot;family&quot;:&quot;Xu&quot;,&quot;given&quot;:&quot;Hongwen&quot;,&quot;parse-names&quot;:false,&quot;dropping-particle&quot;:&quot;&quot;,&quot;non-dropping-particle&quot;:&quot;&quot;}],&quot;container-title&quot;:&quot;Mycorrhiza&quot;,&quot;DOI&quot;:&quot;10.1007/s00572-009-0285-7&quot;,&quot;ISSN&quot;:&quot;09406360&quot;,&quot;issued&quot;:{&quot;date-parts&quot;:[[2010,6]]},&quot;page&quot;:&quot;325-332&quot;,&quot;abstract&quot;:&quot;The influence of the arbuscular mycorrhizal (AM) fungus, Glomus etunicatum, on characteristics of growth, membrane lipid peroxidation, osmotic adjustment, and activity of antioxidant enzymes in leaves and roots of maize (Zea mays L.) plants was studied in pot culture under temperature stress. The maize plants were placed in a sand and soil mixture under normal temperature for 6 weeks and then exposed to five different temperature treatments (5oC, 15oC, 25oC, 35oC, and 40oC) for 1 week. AM symbiosis decreased membrane relative permeability and malondialdehyde content in leaves and roots. The contents of soluble sugar content and proline in roots were higher, but leaf proline content was lower in mycorrhizal than nonmycorrhizal plants. AM colonization increased the activities of superoxide dismutase, catalase, and peroxidase in leaves and roots. The results indicate that the AM fungus is capable of alleviating the damage caused by temperature stress on maize plants by reducing membrane lipid peroxidation and membrane permeability and increasing the accumulation of osmotic adjustment compounds and antioxidant enzyme activity. Consequently, arbuscular mycorrhiza formation highly enhanced the extreme temperature tolerance of maize plant, which increased host biomass and promoted plant growth. © 2009 Springer-Verlag.&quot;,&quot;issue&quot;:&quot;5&quot;,&quot;volume&quot;:&quot;20&quot;},&quot;isTemporary&quot;:false}],&quot;properties&quot;:{&quot;noteIndex&quot;:0},&quot;isEdited&quot;:false,&quot;manualOverride&quot;:{&quot;isManuallyOverridden&quot;:true,&quot;citeprocText&quot;:&quot;(X. Zhu et al., 2010)&quot;,&quot;manualOverrideText&quot;:&quot;(Zhu et al., 2010). &quot;},&quot;citationTag&quot;:&quot;MENDELEY_CITATION_v3_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&quot;},{&quot;citationID&quot;:&quot;MENDELEY_CITATION_d1b9a579-0c55-4636-a8f8-b96fe21da015&quot;,&quot;citationItems&quot;:[{&quot;id&quot;:&quot;42c90448-5fa5-3582-812f-656bc5d13e34&quot;,&quot;itemData&quot;:{&quot;type&quot;:&quot;article-journal&quot;,&quot;id&quot;:&quot;42c90448-5fa5-3582-812f-656bc5d13e34&quot;,&quot;title&quot;:&quot;Physiological responses to NaCl stress in three wild species of potato in vitro&quot;,&quot;author&quot;:[{&quot;family&quot;:&quot;Daneshmand&quot;,&quot;given&quot;:&quot;Fatemeh&quot;,&quot;parse-names&quot;:false,&quot;dropping-particle&quot;:&quot;&quot;,&quot;non-dropping-particle&quot;:&quot;&quot;},{&quot;family&quot;:&quot;Arvin&quot;,&quot;given&quot;:&quot;Mohammad Javad&quot;,&quot;parse-names&quot;:false,&quot;dropping-particle&quot;:&quot;&quot;,&quot;non-dropping-particle&quot;:&quot;&quot;},{&quot;family&quot;:&quot;Kalantari&quot;,&quot;given&quot;:&quot;Khosrow Manouchehri&quot;,&quot;parse-names&quot;:false,&quot;dropping-particle&quot;:&quot;&quot;,&quot;non-dropping-particle&quot;:&quot;&quot;}],&quot;container-title&quot;:&quot;Acta Physiologiae Plantarum&quot;,&quot;DOI&quot;:&quot;10.1007/s11738-009-0384-2&quot;,&quot;ISSN&quot;:&quot;0137-5881&quot;,&quot;issued&quot;:{&quot;date-parts&quot;:[[2010,1,13]]},&quot;issue&quot;:&quot;1&quot;,&quot;volume&quot;:&quot;32&quot;},&quot;isTemporary&quot;:false}],&quot;properties&quot;:{&quot;noteIndex&quot;:0},&quot;isEdited&quot;:false,&quot;manualOverride&quot;:{&quot;isManuallyOverridden&quot;:false,&quot;citeprocText&quot;:&quot;(Daneshmand et al., 2010)&quot;,&quot;manualOverrideText&quot;:&quot;&quot;},&quot;citationTag&quot;:&quot;MENDELEY_CITATION_v3_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&quot;},{&quot;citationID&quot;:&quot;MENDELEY_CITATION_a6fad70d-aff0-4bff-bb1b-876c8cf52fe2&quot;,&quot;citationItems&quot;:[{&quot;id&quot;:&quot;136ac026-df9a-35c3-bd25-59913724e0cc&quot;,&quot;itemData&quot;:{&quot;type&quot;:&quot;book&quot;,&quot;id&quot;:&quot;136ac026-df9a-35c3-bd25-59913724e0cc&quot;,&quot;title&quot;:&quot;Mycorrhizal Symbiosis&quot;,&quot;author&quot;:[{&quot;family&quot;:&quot;Smith&quot;,&quot;given&quot;:&quot;Sally&quot;,&quot;parse-names&quot;:false,&quot;dropping-particle&quot;:&quot;&quot;,&quot;non-dropping-particle&quot;:&quot;&quot;},{&quot;family&quot;:&quot;Read&quot;,&quot;given&quot;:&quot;David&quot;,&quot;parse-names&quot;:false,&quot;dropping-particle&quot;:&quot;&quot;,&quot;non-dropping-particle&quot;:&quot;&quot;}],&quot;container-title&quot;:&quot;Mycorrhizal Symbiosis&quot;,&quot;accessed&quot;:{&quot;date-parts&quot;:[[2021,3,15]]},&quot;DOI&quot;:&quot;10.1016/B978-0-12-370526-6.X5001-6&quot;,&quot;ISBN&quot;:&quot;9780123705266&quot;,&quot;issued&quot;:{&quot;date-parts&quot;:[[2008]]},&quot;abstract&quot;:&quot;The roots of most plants are colonized by symbiotic fungi to form mycorrhiza, which play a critical role in the capture of nutrients from the soil and therefore in plant nutrition. Mycorrhizal Symbiosis is recognized as the definitive work in this area. Since the last edition was published there have been major advances in the field, particularly in the area of molecular biology, and the new edition has been fully revised and updated to incorporate these exciting new developments. . Over 50% new material . Includes expanded color plate section . Covers all aspects of mycorrhiza . Presents new taxonomy . Discusses the impact of proteomics and genomics on research in this area. © 2008 Elsevier Ltd All rights reserved.&quot;,&quot;publisher&quot;:&quot;Elsevier Ltd&quot;},&quot;isTemporary&quot;:false}],&quot;properties&quot;:{&quot;noteIndex&quot;:0},&quot;isEdited&quot;:false,&quot;manualOverride&quot;:{&quot;isManuallyOverridden&quot;:true,&quot;citeprocText&quot;:&quot;(S. Smith &amp;#38; Read, 2008)&quot;,&quot;manualOverrideText&quot;:&quot;(Smith &amp; Read, 2008)&quot;},&quot;citationTag&quot;:&quot;MENDELEY_CITATION_v3_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&quot;},{&quot;citationID&quot;:&quot;MENDELEY_CITATION_0ac2c81f-e3bd-4a06-ac6d-8d46f2aa4826&quot;,&quot;citationItems&quot;:[{&quot;id&quot;:&quot;0c61ed80-8638-35c5-ba72-f0441590af83&quot;,&quot;itemData&quot;:{&quot;type&quot;:&quot;article-journal&quot;,&quot;id&quot;:&quot;0c61ed80-8638-35c5-ba72-f0441590af83&quot;,&quot;title&quot;:&quot;Impact of arbuscular mycorrhizal fungi on some defference enzyme activities at an early stage of maize (Zea mays.L ) under different abiotic stress &quot;,&quot;author&quot;:[{&quot;family&quot;:&quot;Mayer&quot;,&quot;given&quot;:&quot;Z&quot;,&quot;parse-names&quot;:false,&quot;dropping-particle&quot;:&quot;&quot;,&quot;non-dropping-particle&quot;:&quot;&quot;}],&quot;container-title&quot;:&quot;Applied Ecology and Environmental Research&quot;,&quot;DOI&quot;:&quot;10.15666/aeer/1703_62416253&quot;,&quot;ISSN&quot;:&quot;15891623&quot;,&quot;issued&quot;:{&quot;date-parts&quot;:[[2019]]},&quot;issue&quot;:&quot;3&quot;,&quot;volume&quot;:&quot;17&quot;},&quot;isTemporary&quot;:false}],&quot;properties&quot;:{&quot;noteIndex&quot;:0},&quot;isEdited&quot;:false,&quot;manualOverride&quot;:{&quot;isManuallyOverridden&quot;:false,&quot;citeprocText&quot;:&quot;(Mayer, 2019)&quot;,&quot;manualOverrideText&quot;:&quot;&quot;},&quot;citationTag&quot;:&quot;MENDELEY_CITATION_v3_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&quot;},{&quot;citationID&quot;:&quot;MENDELEY_CITATION_c6e7ca6b-5275-4f95-8c99-70c737284d34&quot;,&quot;citationItems&quot;:[{&quot;id&quot;:&quot;038db8b3-60d8-3f08-95f7-fd7c7709f8d4&quot;,&quot;itemData&quot;:{&quot;type&quot;:&quot;article&quot;,&quot;id&quot;:&quot;038db8b3-60d8-3f08-95f7-fd7c7709f8d4&quot;,&quot;title&quot;:&quot;Mycorrhiza-induced resistance: More than the sum of its parts?&quot;,&quot;author&quot;:[{&quot;family&quot;:&quot;Cameron&quot;,&quot;given&quot;:&quot;Duncan D.&quot;,&quot;parse-names&quot;:false,&quot;dropping-particle&quot;:&quot;&quot;,&quot;non-dropping-particle&quot;:&quot;&quot;},{&quot;family&quot;:&quot;Neal&quot;,&quot;given&quot;:&quot;Andrew L.&quot;,&quot;parse-names&quot;:false,&quot;dropping-particle&quot;:&quot;&quot;,&quot;non-dropping-particle&quot;:&quot;&quot;},{&quot;family&quot;:&quot;Wees&quot;,&quot;given&quot;:&quot;Saskia C.M.&quot;,&quot;parse-names&quot;:false,&quot;dropping-particle&quot;:&quot;&quot;,&quot;non-dropping-particle&quot;:&quot;van&quot;},{&quot;family&quot;:&quot;Ton&quot;,&quot;given&quot;:&quot;Jurriaan&quot;,&quot;parse-names&quot;:false,&quot;dropping-particle&quot;:&quot;&quot;,&quot;non-dropping-particle&quot;:&quot;&quot;}],&quot;container-title&quot;:&quot;Trends in Plant Science&quot;,&quot;DOI&quot;:&quot;10.1016/j.tplants.2013.06.004&quot;,&quot;ISSN&quot;:&quot;13601385&quot;,&quot;PMID&quot;:&quot;23871659&quot;,&quot;issued&quot;:{&quot;date-parts&quot;:[[2013,10]]},&quot;page&quot;:&quot;539-545&quot;,&quot;abstract&quot;:&quot;Plants can develop an enhanced defensive capacity in response to infection by arbuscular mycorrhizal fungi (AMF). This 'mycorrhiza-induced resistance' (MIR) provides systemic protection against a wide range of attackers and shares characteristics with systemic acquired resistance (SAR) after pathogen infection and induced systemic resistance (ISR) following root colonisation by non-pathogenic rhizobacteria. It is commonly assumed that fungal stimulation of the plant immune system is solely responsible for MIR. In this opinion article, we present a novel model of MIR that integrates different aspects of the induced resistance phenomenon. We propose that MIR is a cumulative effect of direct plant responses to mycorrhizal infection and indirect immune responses to ISR-eliciting rhizobacteria in the mycorrhizosphere. © 2013.&quot;,&quot;issue&quot;:&quot;10&quot;,&quot;volume&quot;:&quot;18&quot;},&quot;isTemporary&quot;:false}],&quot;properties&quot;:{&quot;noteIndex&quot;:0},&quot;isEdited&quot;:false,&quot;manualOverride&quot;:{&quot;isManuallyOverridden&quot;:true,&quot;citeprocText&quot;:&quot;(Cameron et al., 2013b)&quot;,&quot;manualOverrideText&quot;:&quot;(Cameron et al., 2013) &quot;},&quot;citationTag&quot;:&quot;MENDELEY_CITATION_v3_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&quot;},{&quot;citationID&quot;:&quot;MENDELEY_CITATION_508914b7-ee30-4142-8e41-1b34ad5af873&quot;,&quot;citationItems&quot;:[{&quot;id&quot;:&quot;7570843d-c77d-396f-a34b-47256ec6ad52&quot;,&quot;itemData&quot;:{&quot;type&quot;:&quot;article-journal&quot;,&quot;id&quot;:&quot;7570843d-c77d-396f-a34b-47256ec6ad52&quot;,&quot;title&quot;:&quot;The interactive effects of arbuscular mycorrhiza and plant growth-promoting rhizobacteria synergistically enhance host plant defences against pathogen&quot;,&quot;author&quot;:[{&quot;family&quot;:&quot;Pérez-De-Luque&quot;,&quot;given&quot;:&quot;Alejandro&quot;,&quot;parse-names&quot;:false,&quot;dropping-particle&quot;:&quot;&quot;,&quot;non-dropping-particle&quot;:&quot;&quot;},{&quot;family&quot;:&quot;Tille&quot;,&quot;given&quot;:&quot;Stefanie&quot;,&quot;parse-names&quot;:false,&quot;dropping-particle&quot;:&quot;&quot;,&quot;non-dropping-particle&quot;:&quot;&quot;},{&quot;family&quot;:&quot;Johnson&quot;,&quot;given&quot;:&quot;Irene&quot;,&quot;parse-names&quot;:false,&quot;dropping-particle&quot;:&quot;&quot;,&quot;non-dropping-particle&quot;:&quot;&quot;},{&quot;family&quot;:&quot;Pascual-Pardo&quot;,&quot;given&quot;:&quot;David&quot;,&quot;parse-names&quot;:false,&quot;dropping-particle&quot;:&quot;&quot;,&quot;non-dropping-particle&quot;:&quot;&quot;},{&quot;family&quot;:&quot;Ton&quot;,&quot;given&quot;:&quot;Jurriaan&quot;,&quot;parse-names&quot;:false,&quot;dropping-particle&quot;:&quot;&quot;,&quot;non-dropping-particle&quot;:&quot;&quot;},{&quot;family&quot;:&quot;Cameron&quot;,&quot;given&quot;:&quot;Duncan D.&quot;,&quot;parse-names&quot;:false,&quot;dropping-particle&quot;:&quot;&quot;,&quot;non-dropping-particle&quot;:&quot;&quot;}],&quot;container-title&quot;:&quot;Scientific Reports&quot;,&quot;DOI&quot;:&quot;10.1038/s41598-017-16697-4&quot;,&quot;ISSN&quot;:&quot;20452322&quot;,&quot;PMID&quot;:&quot;29180695&quot;,&quot;issued&quot;:{&quot;date-parts&quot;:[[2017,12,1]]},&quot;abstract&quot;:&quot;Belowground interactions between plant roots, mycorrhizal fungi and plant growth-promoting rhizobacteria (PGPR) can improve plant health via enhanced nutrient acquisition and priming of the plant immune system. Two wheat cultivars differing in their ability to form mycorrhiza were (co)inoculated with the mycorrhizal fungus Rhizophagus irregularis and the rhizobacterial strain Pseudomonas putida KT2440. The cultivar with high mycorrhizal compatibility supported higher levels of rhizobacterial colonization than the low compatibility cultivar. Those levels were augmented by mycorrhizal infection. Conversely, rhizobacterial colonization of the low compatibility cultivar was reduced by mycorrhizal arbuscule formation. Single inoculations with R. irregularis or P. putida had differential growth effects on both cultivars. Furthermore, while both cultivars developed systemic priming of chitosan-induced callose after single inoculations with R. irregularis or P. putida, only the cultivar with high mycorrhizal compatibility showed a synergistic increase in callose responsiveness following co-inoculation with both microbes. Our results show that multilateral interactions between roots, mycorrhizal fungi and PGPR can have synergistic effects on growth and systemic priming of wheat.&quot;,&quot;publisher&quot;:&quot;Nature Publishing Group&quot;,&quot;issue&quot;:&quot;1&quot;,&quot;volume&quot;:&quot;7&quot;},&quot;isTemporary&quot;:false}],&quot;properties&quot;:{&quot;noteIndex&quot;:0},&quot;isEdited&quot;:false,&quot;manualOverride&quot;:{&quot;isManuallyOverridden&quot;:true,&quot;citeprocText&quot;:&quot;(Pérez-De-Luque et al., 2017a)&quot;,&quot;manualOverrideText&quot;:&quot;(Pérez-De-Luque et al., 2017)&quot;},&quot;citationTag&quot;:&quot;MENDELEY_CITATION_v3_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&quot;},{&quot;citationID&quot;:&quot;MENDELEY_CITATION_e1df133f-fe40-46d0-8150-0f8bb1a00c2f&quot;,&quot;citationItems&quot;:[{&quot;id&quot;:&quot;e12ca448-6972-3003-9a47-8b4aa481e219&quot;,&quot;itemData&quot;:{&quot;type&quot;:&quot;article-journal&quot;,&quot;id&quot;:&quot;e12ca448-6972-3003-9a47-8b4aa481e219&quot;,&quot;title&quot;:&quot;Arbuscular mycorrhizal fungi (AMF) increase growth and secondary metabolism in cucumber subjected to low temperature stress&quot;,&quot;author&quot;:[{&quot;family&quot;:&quot;Chen&quot;,&quot;given&quot;:&quot;Shuangchen&quot;,&quot;parse-names&quot;:false,&quot;dropping-particle&quot;:&quot;&quot;,&quot;non-dropping-particle&quot;:&quot;&quot;},{&quot;family&quot;:&quot;Jin&quot;,&quot;given&quot;:&quot;Wenjuan&quot;,&quot;parse-names&quot;:false,&quot;dropping-particle&quot;:&quot;&quot;,&quot;non-dropping-particle&quot;:&quot;&quot;},{&quot;family&quot;:&quot;Liu&quot;,&quot;given&quot;:&quot;Airong&quot;,&quot;parse-names&quot;:false,&quot;dropping-particle&quot;:&quot;&quot;,&quot;non-dropping-particle&quot;:&quot;&quot;},{&quot;family&quot;:&quot;Zhang&quot;,&quot;given&quot;:&quot;Shaojie&quot;,&quot;parse-names&quot;:false,&quot;dropping-particle&quot;:&quot;&quot;,&quot;non-dropping-particle&quot;:&quot;&quot;},{&quot;family&quot;:&quot;Liu&quot;,&quot;given&quot;:&quot;Dilin&quot;,&quot;parse-names&quot;:false,&quot;dropping-particle&quot;:&quot;&quot;,&quot;non-dropping-particle&quot;:&quot;&quot;},{&quot;family&quot;:&quot;Wang&quot;,&quot;given&quot;:&quot;Fenghua&quot;,&quot;parse-names&quot;:false,&quot;dropping-particle&quot;:&quot;&quot;,&quot;non-dropping-particle&quot;:&quot;&quot;},{&quot;family&quot;:&quot;Lin&quot;,&quot;given&quot;:&quot;Xiaomin&quot;,&quot;parse-names&quot;:false,&quot;dropping-particle&quot;:&quot;&quot;,&quot;non-dropping-particle&quot;:&quot;&quot;},{&quot;family&quot;:&quot;He&quot;,&quot;given&quot;:&quot;Chaoxing&quot;,&quot;parse-names&quot;:false,&quot;dropping-particle&quot;:&quot;&quot;,&quot;non-dropping-particle&quot;:&quot;&quot;}],&quot;container-title&quot;:&quot;Scientia Horticulturae&quot;,&quot;DOI&quot;:&quot;10.1016/j.scienta.2013.05.039&quot;,&quot;ISSN&quot;:&quot;03044238&quot;,&quot;issued&quot;:{&quot;date-parts&quot;:[[2013,8,27]]},&quot;page&quot;:&quot;222-229&quot;,&quot;abstract&quot;:&quot;The widely present symbiotic association between arbuscular mycorrhizal fungi (AMF) and plant roots contributes considerably to improve plant growth, nutrient uptake and stress responses. The present study addressed the potential of AM fungus Funneliformis mosseae in the alleviation of chilling stress for cucumber seedlings. The results showed that the AMF-inoculated cucumber seedlings had significant higher fresh weight and dry weight than non-AMF inoculated control plants under both normal (25/15°C) and low temperature (15/10°C) treatment. Under chilling stress, AMF inoculation significantly improved the content of related secondary metabolites including phenols, flavonoids, lignin, DPPH activity and phenolic compounds compared with the non-AMF control. Furthermore, large increments were observed in a number of enzymatic activities related to secondary metabolism and antioxidant system in AMF-inoculated seedlings under low temperature, such as glucose-6-phosphate dehydrogenase (G6PDH), shikimate dehydrogenase (SKDH), phenylalanine ammonia-lyase (PAL), cinnamyl alcohol dehydrogenase (CAD), polyphenol oxidase (PPO), guaiacol peroxidase (G-POD), caffeic acid peroxidase (CA-POD) and chlorogenic acid peroxidase (CGA-POD). As well, the expression of stress-related marker genes was enhanced in AMF-inoculated seedlings in comparison with the non-AMF control. Furthermore, AMF symbiosis decreased hydrogen peroxide (H2O2) content under low temperature. Taken together, these results indicated that the enhanced secondary metabolism and integrated transcriptional regulation might play a crucial role in AMF-mediated alleviation of chilling stress in cucumber. © 2013 Elsevier B.V.&quot;,&quot;volume&quot;:&quot;160&quot;},&quot;isTemporary&quot;:false},{&quot;id&quot;:&quot;e8653f10-432d-35d8-8cef-e27577291bc4&quot;,&quot;itemData&quot;:{&quot;type&quot;:&quot;article-journal&quot;,&quot;id&quot;:&quot;e8653f10-432d-35d8-8cef-e27577291bc4&quot;,&quot;title&quot;:&quot;Effect of progressive drought stress on growth, leaf gas exchange, and antioxidant production in two maize cultivars&quot;,&quot;author&quot;:[{&quot;family&quot;:&quot;Anjum&quot;,&quot;given&quot;:&quot;Shakeel Ahmad&quot;,&quot;parse-names&quot;:false,&quot;dropping-particle&quot;:&quot;&quot;,&quot;non-dropping-particle&quot;:&quot;&quot;},{&quot;family&quot;:&quot;Tanveer&quot;,&quot;given&quot;:&quot;Mohsin&quot;,&quot;parse-names&quot;:false,&quot;dropping-particle&quot;:&quot;&quot;,&quot;non-dropping-particle&quot;:&quot;&quot;},{&quot;family&quot;:&quot;Ashraf&quot;,&quot;given&quot;:&quot;Umair&quot;,&quot;parse-names&quot;:false,&quot;dropping-particle&quot;:&quot;&quot;,&quot;non-dropping-particle&quot;:&quot;&quot;},{&quot;family&quot;:&quot;Hussain&quot;,&quot;given&quot;:&quot;Saddam&quot;,&quot;parse-names&quot;:false,&quot;dropping-particle&quot;:&quot;&quot;,&quot;non-dropping-particle&quot;:&quot;&quot;},{&quot;family&quot;:&quot;Shahzad&quot;,&quot;given&quot;:&quot;Babar&quot;,&quot;parse-names&quot;:false,&quot;dropping-particle&quot;:&quot;&quot;,&quot;non-dropping-particle&quot;:&quot;&quot;},{&quot;family&quot;:&quot;Khan&quot;,&quot;given&quot;:&quot;Imran&quot;,&quot;parse-names&quot;:false,&quot;dropping-particle&quot;:&quot;&quot;,&quot;non-dropping-particle&quot;:&quot;&quot;},{&quot;family&quot;:&quot;Wang&quot;,&quot;given&quot;:&quot;Longchang&quot;,&quot;parse-names&quot;:false,&quot;dropping-particle&quot;:&quot;&quot;,&quot;non-dropping-particle&quot;:&quot;&quot;}],&quot;container-title&quot;:&quot;Environmental Science and Pollution Research&quot;,&quot;DOI&quot;:&quot;10.1007/s11356-016-6894-8&quot;,&quot;ISSN&quot;:&quot;0944-1344&quot;,&quot;issued&quot;:{&quot;date-parts&quot;:[[2016,9,23]]},&quot;issue&quot;:&quot;17&quot;,&quot;volume&quot;:&quot;23&quot;},&quot;isTemporary&quot;:false}],&quot;properties&quot;:{&quot;noteIndex&quot;:0},&quot;isEdited&quot;:false,&quot;manualOverride&quot;:{&quot;isManuallyOverridden&quot;:true,&quot;citeprocText&quot;:&quot;(Anjum et al., 2016; S. Chen et al., 2013)&quot;,&quot;manualOverrideText&quot;:&quot;(Anjum et al., 2016; Chen et al., 2013)&quot;},&quot;citationTag&quot;:&quot;MENDELEY_CITATION_v3_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&quot;},{&quot;citationID&quot;:&quot;MENDELEY_CITATION_e8d3a0a7-ffbf-4bf8-b763-5826b173b946&quot;,&quot;citationItems&quot;:[{&quot;id&quot;:&quot;bc32e0ea-1513-3a17-80f3-4ac010389f83&quot;,&quot;itemData&quot;:{&quot;type&quot;:&quot;article-journal&quot;,&quot;id&quot;:&quot;bc32e0ea-1513-3a17-80f3-4ac010389f83&quot;,&quot;title&quot;:&quot;Arbuscular Mycorrhizal Fungi and Plant Chemical Defence: Effects of Colonisation on Aboveground and Belowground Metabolomes&quot;,&quot;author&quot;:[{&quot;family&quot;:&quot;Hill&quot;,&quot;given&quot;:&quot;Elizabeth M.&quot;,&quot;parse-names&quot;:false,&quot;dropping-particle&quot;:&quot;&quot;,&quot;non-dropping-particle&quot;:&quot;&quot;},{&quot;family&quot;:&quot;Robinson&quot;,&quot;given&quot;:&quot;Lynne A.&quot;,&quot;parse-names&quot;:false,&quot;dropping-particle&quot;:&quot;&quot;,&quot;non-dropping-particle&quot;:&quot;&quot;},{&quot;family&quot;:&quot;Abdul-Sada&quot;,&quot;given&quot;:&quot;Ali&quot;,&quot;parse-names&quot;:false,&quot;dropping-particle&quot;:&quot;&quot;,&quot;non-dropping-particle&quot;:&quot;&quot;},{&quot;family&quot;:&quot;Vanbergen&quot;,&quot;given&quot;:&quot;Adam J.&quot;,&quot;parse-names&quot;:false,&quot;dropping-particle&quot;:&quot;&quot;,&quot;non-dropping-particle&quot;:&quot;&quot;},{&quot;family&quot;:&quot;Hodge&quot;,&quot;given&quot;:&quot;Angela&quot;,&quot;parse-names&quot;:false,&quot;dropping-particle&quot;:&quot;&quot;,&quot;non-dropping-particle&quot;:&quot;&quot;},{&quot;family&quot;:&quot;Hartley&quot;,&quot;given&quot;:&quot;Sue E.&quot;,&quot;parse-names&quot;:false,&quot;dropping-particle&quot;:&quot;&quot;,&quot;non-dropping-particle&quot;:&quot;&quot;}],&quot;container-title&quot;:&quot;Journal of Chemical Ecology&quot;,&quot;DOI&quot;:&quot;10.1007/s10886-017-0921-1&quot;,&quot;ISSN&quot;:&quot;15731561&quot;,&quot;issued&quot;:{&quot;date-parts&quot;:[[2018,2,1]]},&quot;page&quot;:&quot;198-208&quot;,&quot;abstract&quot;:&quot;Arbuscular mycorrhizal fungal (AMF) colonisation of plant roots is one of the most ancient and widespread interactions in ecology, yet the systemic consequences for plant secondary chemistry remain unclear. We performed the first metabolomic investigation into the impact of AMF colonisation by Rhizophagus irregularis on the chemical defences, spanning above- and below-ground tissues, in its host-plant ragwort (Senecio jacobaea). We used a non-targeted metabolomics approach to profile, and where possible identify, compounds induced by AMF colonisation in both roots and shoots. Metabolomics analyses revealed that 33 compounds were significantly increased in the root tissue of AMF colonised plants, including seven blumenols, plant-derived compounds known to be associated with AMF colonisation. One of these was a novel structure conjugated with a malonyl-sugar and uronic acid moiety, hitherto an unreported combination. Such structural modifications of blumenols could be significant for their previously reported functional roles associated with the establishment and maintenance of AM colonisation. Pyrrolizidine alkaloids (PAs), key anti-herbivore defence compounds in ragwort, dominated the metabolomic profiles of root and shoot extracts. Analyses of the metabolomic profiles revealed an increase in four PAs in roots (but not shoots) of AMF colonised plants, with the potential to protect colonised plants from below-ground organisms.&quot;,&quot;publisher&quot;:&quot;Springer New York LLC&quot;,&quot;issue&quot;:&quot;2&quot;,&quot;volume&quot;:&quot;44&quot;},&quot;isTemporary&quot;:false},{&quot;id&quot;:&quot;e12ca448-6972-3003-9a47-8b4aa481e219&quot;,&quot;itemData&quot;:{&quot;type&quot;:&quot;article-journal&quot;,&quot;id&quot;:&quot;e12ca448-6972-3003-9a47-8b4aa481e219&quot;,&quot;title&quot;:&quot;Arbuscular mycorrhizal fungi (AMF) increase growth and secondary metabolism in cucumber subjected to low temperature stress&quot;,&quot;author&quot;:[{&quot;family&quot;:&quot;Chen&quot;,&quot;given&quot;:&quot;Shuangchen&quot;,&quot;parse-names&quot;:false,&quot;dropping-particle&quot;:&quot;&quot;,&quot;non-dropping-particle&quot;:&quot;&quot;},{&quot;family&quot;:&quot;Jin&quot;,&quot;given&quot;:&quot;Wenjuan&quot;,&quot;parse-names&quot;:false,&quot;dropping-particle&quot;:&quot;&quot;,&quot;non-dropping-particle&quot;:&quot;&quot;},{&quot;family&quot;:&quot;Liu&quot;,&quot;given&quot;:&quot;Airong&quot;,&quot;parse-names&quot;:false,&quot;dropping-particle&quot;:&quot;&quot;,&quot;non-dropping-particle&quot;:&quot;&quot;},{&quot;family&quot;:&quot;Zhang&quot;,&quot;given&quot;:&quot;Shaojie&quot;,&quot;parse-names&quot;:false,&quot;dropping-particle&quot;:&quot;&quot;,&quot;non-dropping-particle&quot;:&quot;&quot;},{&quot;family&quot;:&quot;Liu&quot;,&quot;given&quot;:&quot;Dilin&quot;,&quot;parse-names&quot;:false,&quot;dropping-particle&quot;:&quot;&quot;,&quot;non-dropping-particle&quot;:&quot;&quot;},{&quot;family&quot;:&quot;Wang&quot;,&quot;given&quot;:&quot;Fenghua&quot;,&quot;parse-names&quot;:false,&quot;dropping-particle&quot;:&quot;&quot;,&quot;non-dropping-particle&quot;:&quot;&quot;},{&quot;family&quot;:&quot;Lin&quot;,&quot;given&quot;:&quot;Xiaomin&quot;,&quot;parse-names&quot;:false,&quot;dropping-particle&quot;:&quot;&quot;,&quot;non-dropping-particle&quot;:&quot;&quot;},{&quot;family&quot;:&quot;He&quot;,&quot;given&quot;:&quot;Chaoxing&quot;,&quot;parse-names&quot;:false,&quot;dropping-particle&quot;:&quot;&quot;,&quot;non-dropping-particle&quot;:&quot;&quot;}],&quot;container-title&quot;:&quot;Scientia Horticulturae&quot;,&quot;DOI&quot;:&quot;10.1016/j.scienta.2013.05.039&quot;,&quot;ISSN&quot;:&quot;03044238&quot;,&quot;issued&quot;:{&quot;date-parts&quot;:[[2013,8,27]]},&quot;page&quot;:&quot;222-229&quot;,&quot;abstract&quot;:&quot;The widely present symbiotic association between arbuscular mycorrhizal fungi (AMF) and plant roots contributes considerably to improve plant growth, nutrient uptake and stress responses. The present study addressed the potential of AM fungus Funneliformis mosseae in the alleviation of chilling stress for cucumber seedlings. The results showed that the AMF-inoculated cucumber seedlings had significant higher fresh weight and dry weight than non-AMF inoculated control plants under both normal (25/15°C) and low temperature (15/10°C) treatment. Under chilling stress, AMF inoculation significantly improved the content of related secondary metabolites including phenols, flavonoids, lignin, DPPH activity and phenolic compounds compared with the non-AMF control. Furthermore, large increments were observed in a number of enzymatic activities related to secondary metabolism and antioxidant system in AMF-inoculated seedlings under low temperature, such as glucose-6-phosphate dehydrogenase (G6PDH), shikimate dehydrogenase (SKDH), phenylalanine ammonia-lyase (PAL), cinnamyl alcohol dehydrogenase (CAD), polyphenol oxidase (PPO), guaiacol peroxidase (G-POD), caffeic acid peroxidase (CA-POD) and chlorogenic acid peroxidase (CGA-POD). As well, the expression of stress-related marker genes was enhanced in AMF-inoculated seedlings in comparison with the non-AMF control. Furthermore, AMF symbiosis decreased hydrogen peroxide (H2O2) content under low temperature. Taken together, these results indicated that the enhanced secondary metabolism and integrated transcriptional regulation might play a crucial role in AMF-mediated alleviation of chilling stress in cucumber. © 2013 Elsevier B.V.&quot;,&quot;volume&quot;:&quot;160&quot;},&quot;isTemporary&quot;:false}],&quot;properties&quot;:{&quot;noteIndex&quot;:0},&quot;isEdited&quot;:false,&quot;manualOverride&quot;:{&quot;isManuallyOverridden&quot;:true,&quot;citeprocText&quot;:&quot;(S. Chen et al., 2013; Hill et al., 2018)&quot;,&quot;manualOverrideText&quot;:&quot;( Chen et al., 2013; Hill et al., 2018)&quot;},&quot;citationTag&quot;:&quot;MENDELEY_CITATION_v3_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&quot;},{&quot;citationID&quot;:&quot;MENDELEY_CITATION_df8462f6-e942-4c67-a422-fbe7e7b9814c&quot;,&quot;citationItems&quot;:[{&quot;id&quot;:&quot;1f225e7d-2337-3f3d-8474-5da9d3b87c75&quot;,&quot;itemData&quot;:{&quot;type&quot;:&quot;article&quot;,&quot;id&quot;:&quot;1f225e7d-2337-3f3d-8474-5da9d3b87c75&quot;,&quot;title&quot;:&quot;Unraveling arbuscular mycorrhiza-induced changes in plant primary and secondary metabolome&quot;,&quot;author&quot;:[{&quot;family&quot;:&quot;Kaur&quot;,&quot;given&quot;:&quot;Sukhmanpreet&quot;,&quot;parse-names&quot;:false,&quot;dropping-particle&quot;:&quot;&quot;,&quot;non-dropping-particle&quot;:&quot;&quot;},{&quot;family&quot;:&quot;Suseela&quot;,&quot;given&quot;:&quot;Vidya&quot;,&quot;parse-names&quot;:false,&quot;dropping-particle&quot;:&quot;&quot;,&quot;non-dropping-particle&quot;:&quot;&quot;}],&quot;container-title&quot;:&quot;Metabolites&quot;,&quot;DOI&quot;:&quot;10.3390/metabo10080335&quot;,&quot;ISSN&quot;:&quot;22181989&quot;,&quot;issued&quot;:{&quot;date-parts&quot;:[[2020,8,1]]},&quot;page&quot;:&quot;1-30&quot;,&quot;abstract&quot;:&quot;Arbuscular mycorrhizal fungi (AMF) is among the most ubiquitous plant mutualists that enhance plant growth and yield by facilitating the uptake of phosphorus and water. The countless interactions that occur in the rhizosphere between plants and its AMF symbionts are mediated through the plant and fungal metabolites that ensure partner recognition, colonization, and establishment of the symbiotic association. The colonization and establishment of AMF reprogram the metabolic pathways of plants, resulting in changes in the primary and secondary metabolites, which is the focus of this review. During initial colonization, plant–AMF interaction is facilitated through the regulation of signaling and carotenoid pathways. After the establishment, the AMF symbiotic association influences the primary metabolism of the plant, thus facilitating the sharing of photosynthates with the AMF. The carbon supply to AMF leads to the transport of a significant amount of sugars to the roots, and also alters the tricarboxylic acid cycle. Apart from the nutrient exchange, the AMF imparts abiotic stress tolerance in host plants by increasing the abundance of several primary metabolites. Although AMF initially suppresses the defense response of the host, it later primes the host for better defense against biotic and abiotic stresses by reprogramming the biosynthesis of secondary metabolites. Additionally, the influence of AMF on signaling pathways translates to enhanced phytochemical content through the upregulation of the phenylpropanoid pathway, which improves the quality of the plant products. These phytometabolome changes induced by plant–AMF interaction depends on the identity of both plant and AMF species, which could contribute to the differential outcome of this symbiotic association. A better understanding of the phytochemical landscape shaped by plant–AMF interactions would enable us to harness this symbiotic association to enhance plant performance, particularly under non-optimal growing conditions.&quot;,&quot;publisher&quot;:&quot;MDPI AG&quot;,&quot;issue&quot;:&quot;8&quot;,&quot;volume&quot;:&quot;10&quot;},&quot;isTemporary&quot;:false}],&quot;properties&quot;:{&quot;noteIndex&quot;:0},&quot;isEdited&quot;:false,&quot;manualOverride&quot;:{&quot;isManuallyOverridden&quot;:false,&quot;citeprocText&quot;:&quot;(Kaur &amp;#38; Suseela, 2020)&quot;,&quot;manualOverrideText&quot;:&quot;&quot;},&quot;citationTag&quot;:&quot;MENDELEY_CITATION_v3_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&quot;},{&quot;citationID&quot;:&quot;MENDELEY_CITATION_ae1da3fb-2ea1-47f2-9c0f-b94f642c92e9&quot;,&quot;citationItems&quot;:[{&quot;id&quot;:&quot;1ec60231-f5e5-34c9-abc1-77a97f9e4aa0&quot;,&quot;itemData&quot;:{&quot;type&quot;:&quot;article-journal&quot;,&quot;id&quot;:&quot;1ec60231-f5e5-34c9-abc1-77a97f9e4aa0&quot;,&quot;title&quot;:&quot;Plant growth regulator mediated consequences of secondary metabolites in medicinal plants&quot;,&quot;author&quot;:[{&quot;family&quot;:&quot;Jamwal&quot;,&quot;given&quot;:&quot;Komal&quot;,&quot;parse-names&quot;:false,&quot;dropping-particle&quot;:&quot;&quot;,&quot;non-dropping-particle&quot;:&quot;&quot;},{&quot;family&quot;:&quot;Bhattacharya&quot;,&quot;given&quot;:&quot;Sujata&quot;,&quot;parse-names&quot;:false,&quot;dropping-particle&quot;:&quot;&quot;,&quot;non-dropping-particle&quot;:&quot;&quot;},{&quot;family&quot;:&quot;Puri&quot;,&quot;given&quot;:&quot;Sunil&quot;,&quot;parse-names&quot;:false,&quot;dropping-particle&quot;:&quot;&quot;,&quot;non-dropping-particle&quot;:&quot;&quot;}],&quot;container-title&quot;:&quot;Journal of Applied Research on Medicinal and Aromatic Plants&quot;,&quot;DOI&quot;:&quot;10.1016/j.jarmap.2017.12.003&quot;,&quot;ISSN&quot;:&quot;22147861&quot;,&quot;issued&quot;:{&quot;date-parts&quot;:[[2018,5]]},&quot;page&quot;:&quot;26-38&quot;,&quot;volume&quot;:&quot;9&quot;},&quot;isTemporary&quot;:false}],&quot;properties&quot;:{&quot;noteIndex&quot;:0},&quot;isEdited&quot;:false,&quot;manualOverride&quot;:{&quot;isManuallyOverridden&quot;:false,&quot;citeprocText&quot;:&quot;(Jamwal et al., 2018b)&quot;,&quot;manualOverrideText&quot;:&quot;&quot;},&quot;citationTag&quot;:&quot;MENDELEY_CITATION_v3_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&quot;},{&quot;citationID&quot;:&quot;MENDELEY_CITATION_664f87fb-f2f2-449c-9e49-a487d9829b78&quot;,&quot;citationItems&quot;:[{&quot;id&quot;:&quot;16967a31-285f-3912-bc5f-776fb59f3ffb&quot;,&quot;itemData&quot;:{&quot;type&quot;:&quot;article-journal&quot;,&quot;id&quot;:&quot;16967a31-285f-3912-bc5f-776fb59f3ffb&quot;,&quot;title&quot;:&quot;Sulfur-containing Secondary Metabolites as Neuroprotective Agents&quot;,&quot;author&quot;:[{&quot;family&quot;:&quot;Venditti&quot;,&quot;given&quot;:&quot;Alessandro&quot;,&quot;parse-names&quot;:false,&quot;dropping-particle&quot;:&quot;&quot;,&quot;non-dropping-particle&quot;:&quot;&quot;},{&quot;family&quot;:&quot;Bianco&quot;,&quot;given&quot;:&quot;Armandodoriano&quot;,&quot;parse-names&quot;:false,&quot;dropping-particle&quot;:&quot;&quot;,&quot;non-dropping-particle&quot;:&quot;&quot;}],&quot;container-title&quot;:&quot;Current Medicinal Chemistry&quot;,&quot;DOI&quot;:&quot;10.2174/0929867325666180912105036&quot;,&quot;ISSN&quot;:&quot;09298673&quot;,&quot;issued&quot;:{&quot;date-parts&quot;:[[2020,7,23]]},&quot;issue&quot;:&quot;26&quot;,&quot;volume&quot;:&quot;27&quot;},&quot;isTemporary&quot;:false}],&quot;properties&quot;:{&quot;noteIndex&quot;:0},&quot;isEdited&quot;:false,&quot;manualOverride&quot;:{&quot;isManuallyOverridden&quot;:false,&quot;citeprocText&quot;:&quot;(Venditti &amp;#38; Bianco, 2020)&quot;,&quot;manualOverrideText&quot;:&quot;&quot;},&quot;citationTag&quot;:&quot;MENDELEY_CITATION_v3_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&quot;},{&quot;citationID&quot;:&quot;MENDELEY_CITATION_74b5b446-4133-4e94-afda-999a5577a912&quot;,&quot;citationItems&quot;:[{&quot;id&quot;:&quot;a2b54bb6-8c53-3e47-8758-6e86c4623db3&quot;,&quot;itemData&quot;:{&quot;type&quot;:&quot;article-journal&quot;,&quot;id&quot;:&quot;a2b54bb6-8c53-3e47-8758-6e86c4623db3&quot;,&quot;title&quot;:&quot;Extraction and partial characterization of polyphenol oxidase from banana (Musa acuminata Grande naine) roots&quot;,&quot;author&quot;:[{&quot;family&quot;:&quot;Wuyts&quot;,&quot;given&quot;:&quot;Nathalie&quot;,&quot;parse-names&quot;:false,&quot;dropping-particle&quot;:&quot;&quot;,&quot;non-dropping-particle&quot;:&quot;&quot;},{&quot;family&quot;:&quot;Waele&quot;,&quot;given&quot;:&quot;Dirk&quot;,&quot;parse-names&quot;:false,&quot;dropping-particle&quot;:&quot;&quot;,&quot;non-dropping-particle&quot;:&quot;de&quot;},{&quot;family&quot;:&quot;Swennen&quot;,&quot;given&quot;:&quot;Rony&quot;,&quot;parse-names&quot;:false,&quot;dropping-particle&quot;:&quot;&quot;,&quot;non-dropping-particle&quot;:&quot;&quot;}],&quot;container-title&quot;:&quot;Plant Physiology and Biochemistry&quot;,&quot;DOI&quot;:&quot;10.1016/j.plaphy.2006.06.005&quot;,&quot;ISSN&quot;:&quot;09819428&quot;,&quot;issued&quot;:{&quot;date-parts&quot;:[[2006,5]]},&quot;issue&quot;:&quot;5-6&quot;,&quot;volume&quot;:&quot;44&quot;},&quot;isTemporary&quot;:false}],&quot;properties&quot;:{&quot;noteIndex&quot;:0},&quot;isEdited&quot;:false,&quot;manualOverride&quot;:{&quot;isManuallyOverridden&quot;:false,&quot;citeprocText&quot;:&quot;(Wuyts et al., 2006)&quot;,&quot;manualOverrideText&quot;:&quot;&quot;},&quot;citationTag&quot;:&quot;MENDELEY_CITATION_v3_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&quot;},{&quot;citationID&quot;:&quot;MENDELEY_CITATION_1ae250f0-4710-428a-a2b3-241f38aebabb&quot;,&quot;citationItems&quot;:[{&quot;id&quot;:&quot;987dc93d-947a-3e55-bc2c-04f20eea914d&quot;,&quot;itemData&quot;:{&quot;type&quot;:&quot;article-journal&quot;,&quot;id&quot;:&quot;987dc93d-947a-3e55-bc2c-04f20eea914d&quot;,&quot;title&quot;:&quot;Structure and Dynamics of the Isoprenoid Pathway Network&quot;,&quot;author&quot;:[{&quot;family&quot;:&quot;Vranová&quot;,&quot;given&quot;:&quot;Eva&quot;,&quot;parse-names&quot;:false,&quot;dropping-particle&quot;:&quot;&quot;,&quot;non-dropping-particle&quot;:&quot;&quot;},{&quot;family&quot;:&quot;Coman&quot;,&quot;given&quot;:&quot;Diana&quot;,&quot;parse-names&quot;:false,&quot;dropping-particle&quot;:&quot;&quot;,&quot;non-dropping-particle&quot;:&quot;&quot;},{&quot;family&quot;:&quot;Gruissem&quot;,&quot;given&quot;:&quot;Wilhelm&quot;,&quot;parse-names&quot;:false,&quot;dropping-particle&quot;:&quot;&quot;,&quot;non-dropping-particle&quot;:&quot;&quot;}],&quot;container-title&quot;:&quot;Molecular Plant&quot;,&quot;DOI&quot;:&quot;10.1093/mp/sss015&quot;,&quot;ISSN&quot;:&quot;16742052&quot;,&quot;issued&quot;:{&quot;date-parts&quot;:[[2012,3]]},&quot;issue&quot;:&quot;2&quot;,&quot;volume&quot;:&quot;5&quot;},&quot;isTemporary&quot;:false}],&quot;properties&quot;:{&quot;noteIndex&quot;:0},&quot;isEdited&quot;:false,&quot;manualOverride&quot;:{&quot;isManuallyOverridden&quot;:false,&quot;citeprocText&quot;:&quot;(Vranová et al., 2012)&quot;,&quot;manualOverrideText&quot;:&quot;&quot;},&quot;citationTag&quot;:&quot;MENDELEY_CITATION_v3_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&quot;},{&quot;citationID&quot;:&quot;MENDELEY_CITATION_2ca4b6e5-f472-4cde-a320-a8645b4fb323&quot;,&quot;citationItems&quot;:[{&quot;id&quot;:&quot;16967a31-285f-3912-bc5f-776fb59f3ffb&quot;,&quot;itemData&quot;:{&quot;type&quot;:&quot;article-journal&quot;,&quot;id&quot;:&quot;16967a31-285f-3912-bc5f-776fb59f3ffb&quot;,&quot;title&quot;:&quot;Sulfur-containing Secondary Metabolites as Neuroprotective Agents&quot;,&quot;author&quot;:[{&quot;family&quot;:&quot;Venditti&quot;,&quot;given&quot;:&quot;Alessandro&quot;,&quot;parse-names&quot;:false,&quot;dropping-particle&quot;:&quot;&quot;,&quot;non-dropping-particle&quot;:&quot;&quot;},{&quot;family&quot;:&quot;Bianco&quot;,&quot;given&quot;:&quot;Armandodoriano&quot;,&quot;parse-names&quot;:false,&quot;dropping-particle&quot;:&quot;&quot;,&quot;non-dropping-particle&quot;:&quot;&quot;}],&quot;container-title&quot;:&quot;Current Medicinal Chemistry&quot;,&quot;DOI&quot;:&quot;10.2174/0929867325666180912105036&quot;,&quot;ISSN&quot;:&quot;09298673&quot;,&quot;issued&quot;:{&quot;date-parts&quot;:[[2020,7,23]]},&quot;issue&quot;:&quot;26&quot;,&quot;volume&quot;:&quot;27&quot;},&quot;isTemporary&quot;:false}],&quot;properties&quot;:{&quot;noteIndex&quot;:0},&quot;isEdited&quot;:false,&quot;manualOverride&quot;:{&quot;isManuallyOverridden&quot;:false,&quot;citeprocText&quot;:&quot;(Venditti &amp;#38; Bianco, 2020)&quot;,&quot;manualOverrideText&quot;:&quot;&quot;},&quot;citationTag&quot;:&quot;MENDELEY_CITATION_v3_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&quot;},{&quot;citationID&quot;:&quot;MENDELEY_CITATION_cd642cad-426f-420a-923c-84aa65e0db2a&quot;,&quot;citationItems&quot;:[{&quot;id&quot;:&quot;d84d5516-3665-3338-807a-27795c31d359&quot;,&quot;itemData&quot;:{&quot;type&quot;:&quot;article-journal&quot;,&quot;id&quot;:&quot;d84d5516-3665-3338-807a-27795c31d359&quot;,&quot;title&quot;:&quot;Facts and Fiction about Sulfur Metabolism in Relation to Plant-Pathogen Interactions&quot;,&quot;author&quot;:[{&quot;family&quot;:&quot;Bloem&quot;,&quot;given&quot;:&quot;E.&quot;,&quot;parse-names&quot;:false,&quot;dropping-particle&quot;:&quot;&quot;,&quot;non-dropping-particle&quot;:&quot;&quot;},{&quot;family&quot;:&quot;Haneklaus&quot;,&quot;given&quot;:&quot;S.&quot;,&quot;parse-names&quot;:false,&quot;dropping-particle&quot;:&quot;&quot;,&quot;non-dropping-particle&quot;:&quot;&quot;},{&quot;family&quot;:&quot;Salac&quot;,&quot;given&quot;:&quot;I.&quot;,&quot;parse-names&quot;:false,&quot;dropping-particle&quot;:&quot;&quot;,&quot;non-dropping-particle&quot;:&quot;&quot;},{&quot;family&quot;:&quot;Wickenhäuser&quot;,&quot;given&quot;:&quot;P.&quot;,&quot;parse-names&quot;:false,&quot;dropping-particle&quot;:&quot;&quot;,&quot;non-dropping-particle&quot;:&quot;&quot;},{&quot;family&quot;:&quot;Schnug&quot;,&quot;given&quot;:&quot;E.&quot;,&quot;parse-names&quot;:false,&quot;dropping-particle&quot;:&quot;&quot;,&quot;non-dropping-particle&quot;:&quot;&quot;}],&quot;container-title&quot;:&quot;Plant Biology&quot;,&quot;DOI&quot;:&quot;10.1055/s-2007-965420&quot;,&quot;ISSN&quot;:&quot;1435-8603&quot;,&quot;issued&quot;:{&quot;date-parts&quot;:[[2007,9]]},&quot;issue&quot;:&quot;5&quot;,&quot;volume&quot;:&quot;9&quot;},&quot;isTemporary&quot;:false}],&quot;properties&quot;:{&quot;noteIndex&quot;:0},&quot;isEdited&quot;:false,&quot;manualOverride&quot;:{&quot;isManuallyOverridden&quot;:false,&quot;citeprocText&quot;:&quot;(Bloem et al., 2007)&quot;,&quot;manualOverrideText&quot;:&quot;&quot;},&quot;citationTag&quot;:&quot;MENDELEY_CITATION_v3_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&quot;},{&quot;citationID&quot;:&quot;MENDELEY_CITATION_93e001d9-85e3-4847-88f8-a6a42e2a374c&quot;,&quot;citationItems&quot;:[{&quot;id&quot;:&quot;76025bdb-fba2-3ccc-bcf3-d4c7f74021ea&quot;,&quot;itemData&quot;:{&quot;type&quot;:&quot;article-journal&quot;,&quot;id&quot;:&quot;76025bdb-fba2-3ccc-bcf3-d4c7f74021ea&quot;,&quot;title&quot;:&quot;Role of secondary metabolites in defense mechanisms of plants&quot;,&quot;author&quot;:[{&quot;family&quot;:&quot;Mazid&quot;,&quot;given&quot;:&quot;&quot;,&quot;parse-names&quot;:false,&quot;dropping-particle&quot;:&quot;&quot;,&quot;non-dropping-particle&quot;:&quot;&quot;},{&quot;family&quot;:&quot;Ta&quot;,&quot;given&quot;:&quot;Khan&quot;,&quot;parse-names&quot;:false,&quot;dropping-particle&quot;:&quot;&quot;,&quot;non-dropping-particle&quot;:&quot;&quot;},{&quot;family&quot;:&quot;Mohammad F&quot;,&quot;given&quot;:&quot;&quot;,&quot;parse-names&quot;:false,&quot;dropping-particle&quot;:&quot;&quot;,&quot;non-dropping-particle&quot;:&quot;&quot;}],&quot;container-title&quot;:&quot; Biology and Medicine&quot;,&quot;URL&quot;:&quot;www.biolmedonline.com&quot;,&quot;issued&quot;:{&quot;date-parts&quot;:[[2011]]},&quot;page&quot;:&quot;232-249&quot;,&quot;abstract&quot;:&quot;In all natural habitats, plants are surrounded by an enormous number of potential enemies (biotic) and various kinds of abiotic environmental stress. Nearly all ecosystems contain a wide variety of bacteria, viruses, fungi, nematodes, mites, insects, mammals and other herbivorous animals, greatly responsible for heavy reduction in crop productivity. By their nature, plants protect themselves by producing some compounds called as secondary metabolites. Secondary metabolites, including terpenes, phenolics and nitrogen (N) and sulphur (S) containing compounds, defend plants against a variety of herbivores and pathogenic microorganisms as well as various kinds of abiotic stresses. This review presents an overview about some of the mechanisms by which plants protect themselves against herbivory, pathogenic microbes and various abiotic stresses as well as specific plant responses to pathogen attack, the genetic control of host-pathogen interactions.&quot;,&quot;issue&quot;:&quot;2&quot;,&quot;volume&quot;:&quot;3&quot;},&quot;isTemporary&quot;:false}],&quot;properties&quot;:{&quot;noteIndex&quot;:0},&quot;isEdited&quot;:false,&quot;manualOverride&quot;:{&quot;isManuallyOverridden&quot;:true,&quot;citeprocText&quot;:&quot;(Mazid, Ta, et al., 2011)&quot;,&quot;manualOverrideText&quot;:&quot; (Mazid et al., 2011).&quot;},&quot;citationTag&quot;:&quot;MENDELEY_CITATION_v3_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&quot;},{&quot;citationID&quot;:&quot;MENDELEY_CITATION_f3c1751c-6f20-43c6-be99-8c9555f665c7&quot;,&quot;citationItems&quot;:[{&quot;id&quot;:&quot;1f225e7d-2337-3f3d-8474-5da9d3b87c75&quot;,&quot;itemData&quot;:{&quot;type&quot;:&quot;article&quot;,&quot;id&quot;:&quot;1f225e7d-2337-3f3d-8474-5da9d3b87c75&quot;,&quot;title&quot;:&quot;Unraveling arbuscular mycorrhiza-induced changes in plant primary and secondary metabolome&quot;,&quot;author&quot;:[{&quot;family&quot;:&quot;Kaur&quot;,&quot;given&quot;:&quot;Sukhmanpreet&quot;,&quot;parse-names&quot;:false,&quot;dropping-particle&quot;:&quot;&quot;,&quot;non-dropping-particle&quot;:&quot;&quot;},{&quot;family&quot;:&quot;Suseela&quot;,&quot;given&quot;:&quot;Vidya&quot;,&quot;parse-names&quot;:false,&quot;dropping-particle&quot;:&quot;&quot;,&quot;non-dropping-particle&quot;:&quot;&quot;}],&quot;container-title&quot;:&quot;Metabolites&quot;,&quot;DOI&quot;:&quot;10.3390/metabo10080335&quot;,&quot;ISSN&quot;:&quot;22181989&quot;,&quot;issued&quot;:{&quot;date-parts&quot;:[[2020,8,1]]},&quot;page&quot;:&quot;1-30&quot;,&quot;abstract&quot;:&quot;Arbuscular mycorrhizal fungi (AMF) is among the most ubiquitous plant mutualists that enhance plant growth and yield by facilitating the uptake of phosphorus and water. The countless interactions that occur in the rhizosphere between plants and its AMF symbionts are mediated through the plant and fungal metabolites that ensure partner recognition, colonization, and establishment of the symbiotic association. The colonization and establishment of AMF reprogram the metabolic pathways of plants, resulting in changes in the primary and secondary metabolites, which is the focus of this review. During initial colonization, plant–AMF interaction is facilitated through the regulation of signaling and carotenoid pathways. After the establishment, the AMF symbiotic association influences the primary metabolism of the plant, thus facilitating the sharing of photosynthates with the AMF. The carbon supply to AMF leads to the transport of a significant amount of sugars to the roots, and also alters the tricarboxylic acid cycle. Apart from the nutrient exchange, the AMF imparts abiotic stress tolerance in host plants by increasing the abundance of several primary metabolites. Although AMF initially suppresses the defense response of the host, it later primes the host for better defense against biotic and abiotic stresses by reprogramming the biosynthesis of secondary metabolites. Additionally, the influence of AMF on signaling pathways translates to enhanced phytochemical content through the upregulation of the phenylpropanoid pathway, which improves the quality of the plant products. These phytometabolome changes induced by plant–AMF interaction depends on the identity of both plant and AMF species, which could contribute to the differential outcome of this symbiotic association. A better understanding of the phytochemical landscape shaped by plant–AMF interactions would enable us to harness this symbiotic association to enhance plant performance, particularly under non-optimal growing conditions.&quot;,&quot;publisher&quot;:&quot;MDPI AG&quot;,&quot;issue&quot;:&quot;8&quot;,&quot;volume&quot;:&quot;10&quot;},&quot;isTemporary&quot;:false}],&quot;properties&quot;:{&quot;noteIndex&quot;:0},&quot;isEdited&quot;:false,&quot;manualOverride&quot;:{&quot;isManuallyOverridden&quot;:true,&quot;citeprocText&quot;:&quot;(Kaur &amp;#38; Suseela, 2020)&quot;,&quot;manualOverrideText&quot;:&quot;Kaur &amp; Suseela, 2020)&quot;},&quot;citationTag&quot;:&quot;MENDELEY_CITATION_v3_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&quot;},{&quot;citationID&quot;:&quot;MENDELEY_CITATION_9fd1404b-cb19-4371-b1c3-7e279f6f6b2b&quot;,&quot;citationItems&quot;:[{&quot;id&quot;:&quot;16b88150-b36f-38ca-8d4d-0d4ee36cb9f5&quot;,&quot;itemData&quot;:{&quot;type&quot;:&quot;article-journal&quot;,&quot;id&quot;:&quot;16b88150-b36f-38ca-8d4d-0d4ee36cb9f5&quot;,&quot;title&quot;:&quot; Free amino acid composition of phloem sap and growing fruit of Lycopersicon esculentum. &quot;,&quot;author&quot;:[{&quot;family&quot;:&quot;Valle EM&quot;,&quot;given&quot;:&quot;&quot;,&quot;parse-names&quot;:false,&quot;dropping-particle&quot;:&quot;&quot;,&quot;non-dropping-particle&quot;:&quot;&quot;},{&quot;family&quot;:&quot;Boggio SB&quot;,&quot;given&quot;:&quot;&quot;,&quot;parse-names&quot;:false,&quot;dropping-particle&quot;:&quot;&quot;,&quot;non-dropping-particle&quot;:&quot;&quot;},{&quot;family&quot;:&quot;Heldt HW.&quot;,&quot;given&quot;:&quot;&quot;,&quot;parse-names&quot;:false,&quot;dropping-particle&quot;:&quot;&quot;,&quot;non-dropping-particle&quot;:&quot;&quot;}],&quot;container-title&quot;:&quot;Plant and Cell Physiology, 39, 458–461.&quot;,&quot;issued&quot;:{&quot;date-parts&quot;:[[1998]]},&quot;page&quot;:&quot;458-461&quot;,&quot;volume&quot;:&quot;39&quot;},&quot;isTemporary&quot;:false}],&quot;properties&quot;:{&quot;noteIndex&quot;:0},&quot;isEdited&quot;:false,&quot;manualOverride&quot;:{&quot;isManuallyOverridden&quot;:true,&quot;citeprocText&quot;:&quot;(Valle EM et al., 1998)&quot;,&quot;manualOverrideText&quot;:&quot;(Valle EM et al., 1998).&quot;},&quot;citationTag&quot;:&quot;MENDELEY_CITATION_v3_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&quot;},{&quot;citationID&quot;:&quot;MENDELEY_CITATION_a995ca3e-df93-40e5-a9ec-8cfc25a15c37&quot;,&quot;citationItems&quot;:[{&quot;id&quot;:&quot;001798a0-ee02-3dd4-bb49-e39b61725b04&quot;,&quot;itemData&quot;:{&quot;type&quot;:&quot;article-journal&quot;,&quot;id&quot;:&quot;001798a0-ee02-3dd4-bb49-e39b61725b04&quot;,&quot;title&quot;:&quot;Application of metabolite profiling to the identification of traits in a population of tomato introgression lines&quot;,&quot;author&quot;:[{&quot;family&quot;:&quot;Overy&quot;,&quot;given&quot;:&quot;S. A.&quot;,&quot;parse-names&quot;:false,&quot;dropping-particle&quot;:&quot;&quot;,&quot;non-dropping-particle&quot;:&quot;&quot;}],&quot;container-title&quot;:&quot;Journal of Experimental Botany&quot;,&quot;DOI&quot;:&quot;10.1093/jxb/eri070&quot;,&quot;ISSN&quot;:&quot;1460-2431&quot;,&quot;issued&quot;:{&quot;date-parts&quot;:[[2004,12,23]]},&quot;issue&quot;:&quot;410&quot;,&quot;volume&quot;:&quot;56&quot;},&quot;isTemporary&quot;:false}],&quot;properties&quot;:{&quot;noteIndex&quot;:0},&quot;isEdited&quot;:false,&quot;manualOverride&quot;:{&quot;isManuallyOverridden&quot;:false,&quot;citeprocText&quot;:&quot;(Overy, 2004)&quot;,&quot;manualOverrideText&quot;:&quot;&quot;},&quot;citationTag&quot;:&quot;MENDELEY_CITATION_v3_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&quot;},{&quot;citationID&quot;:&quot;MENDELEY_CITATION_250cf841-57a0-4774-bd70-e2729885738b&quot;,&quot;citationItems&quot;:[{&quot;id&quot;:&quot;001798a0-ee02-3dd4-bb49-e39b61725b04&quot;,&quot;itemData&quot;:{&quot;type&quot;:&quot;article-journal&quot;,&quot;id&quot;:&quot;001798a0-ee02-3dd4-bb49-e39b61725b04&quot;,&quot;title&quot;:&quot;Application of metabolite profiling to the identification of traits in a population of tomato introgression lines&quot;,&quot;author&quot;:[{&quot;family&quot;:&quot;Overy&quot;,&quot;given&quot;:&quot;S. A.&quot;,&quot;parse-names&quot;:false,&quot;dropping-particle&quot;:&quot;&quot;,&quot;non-dropping-particle&quot;:&quot;&quot;}],&quot;container-title&quot;:&quot;Journal of Experimental Botany&quot;,&quot;DOI&quot;:&quot;10.1093/jxb/eri070&quot;,&quot;ISSN&quot;:&quot;1460-2431&quot;,&quot;issued&quot;:{&quot;date-parts&quot;:[[2004,12,23]]},&quot;issue&quot;:&quot;410&quot;,&quot;volume&quot;:&quot;56&quot;},&quot;isTemporary&quot;:false}],&quot;properties&quot;:{&quot;noteIndex&quot;:0},&quot;isEdited&quot;:false,&quot;manualOverride&quot;:{&quot;isManuallyOverridden&quot;:true,&quot;citeprocText&quot;:&quot;(Overy, 2004)&quot;,&quot;manualOverrideText&quot;:&quot;(Overy, 2004).&quot;},&quot;citationTag&quot;:&quot;MENDELEY_CITATION_v3_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&quot;},{&quot;citationID&quot;:&quot;MENDELEY_CITATION_c1fc4b60-1904-4c30-9ba5-85fbe0cffae9&quot;,&quot;citationItems&quot;:[{&quot;id&quot;:&quot;25cbfe43-98e5-3d32-aaa9-aa1bcd3bc870&quot;,&quot;itemData&quot;:{&quot;type&quot;:&quot;article-journal&quot;,&quot;id&quot;:&quot;25cbfe43-98e5-3d32-aaa9-aa1bcd3bc870&quot;,&quot;title&quot;:&quot;Secondary metabolites in fungus-plant interactions&quot;,&quot;author&quot;:[{&quot;family&quot;:&quot;Pusztahelyi&quot;,&quot;given&quot;:&quot;TÃ¼nde&quot;,&quot;parse-names&quot;:false,&quot;dropping-particle&quot;:&quot;&quot;,&quot;non-dropping-particle&quot;:&quot;&quot;},{&quot;family&quot;:&quot;Holb&quot;,&quot;given&quot;:&quot;Imre J.&quot;,&quot;parse-names&quot;:false,&quot;dropping-particle&quot;:&quot;&quot;,&quot;non-dropping-particle&quot;:&quot;&quot;},{&quot;family&quot;:&quot;PÃ³csi&quot;,&quot;given&quot;:&quot;IstvÃ¡n&quot;,&quot;parse-names&quot;:false,&quot;dropping-particle&quot;:&quot;&quot;,&quot;non-dropping-particle&quot;:&quot;&quot;}],&quot;container-title&quot;:&quot;Frontiers in Plant Science&quot;,&quot;DOI&quot;:&quot;10.3389/fpls.2015.00573&quot;,&quot;ISSN&quot;:&quot;1664-462X&quot;,&quot;issued&quot;:{&quot;date-parts&quot;:[[2015,8,6]]},&quot;volume&quot;:&quot;6&quot;},&quot;isTemporary&quot;:false},{&quot;id&quot;:&quot;402726f9-f48f-368e-8832-195272197c62&quot;,&quot;itemData&quot;:{&quot;type&quot;:&quot;article&quot;,&quot;id&quot;:&quot;402726f9-f48f-368e-8832-195272197c62&quot;,&quot;title&quot;:&quot;Mycorrhiza-induced resistance: More than the sum of its parts?&quot;,&quot;author&quot;:[{&quot;family&quot;:&quot;Cameron&quot;,&quot;given&quot;:&quot;Duncan D.&quot;,&quot;parse-names&quot;:false,&quot;dropping-particle&quot;:&quot;&quot;,&quot;non-dropping-particle&quot;:&quot;&quot;},{&quot;family&quot;:&quot;Neal&quot;,&quot;given&quot;:&quot;Andrew L.&quot;,&quot;parse-names&quot;:false,&quot;dropping-particle&quot;:&quot;&quot;,&quot;non-dropping-particle&quot;:&quot;&quot;},{&quot;family&quot;:&quot;Wees&quot;,&quot;given&quot;:&quot;Saskia C.M.&quot;,&quot;parse-names&quot;:false,&quot;dropping-particle&quot;:&quot;&quot;,&quot;non-dropping-particle&quot;:&quot;van&quot;},{&quot;family&quot;:&quot;Ton&quot;,&quot;given&quot;:&quot;Jurriaan&quot;,&quot;parse-names&quot;:false,&quot;dropping-particle&quot;:&quot;&quot;,&quot;non-dropping-particle&quot;:&quot;&quot;}],&quot;container-title&quot;:&quot;Trends in Plant Science&quot;,&quot;DOI&quot;:&quot;10.1016/j.tplants.2013.06.004&quot;,&quot;ISSN&quot;:&quot;13601385&quot;,&quot;PMID&quot;:&quot;23871659&quot;,&quot;issued&quot;:{&quot;date-parts&quot;:[[2013,10]]},&quot;page&quot;:&quot;539-545&quot;,&quot;abstract&quot;:&quot;Plants can develop an enhanced defensive capacity in response to infection by arbuscular mycorrhizal fungi (AMF). This 'mycorrhiza-induced resistance' (MIR) provides systemic protection against a wide range of attackers and shares characteristics with systemic acquired resistance (SAR) after pathogen infection and induced systemic resistance (ISR) following root colonisation by non-pathogenic rhizobacteria. It is commonly assumed that fungal stimulation of the plant immune system is solely responsible for MIR. In this opinion article, we present a novel model of MIR that integrates different aspects of the induced resistance phenomenon. We propose that MIR is a cumulative effect of direct plant responses to mycorrhizal infection and indirect immune responses to ISR-eliciting rhizobacteria in the mycorrhizosphere. © 2013.&quot;,&quot;issue&quot;:&quot;10&quot;,&quot;volume&quot;:&quot;18&quot;},&quot;isTemporary&quot;:false}],&quot;properties&quot;:{&quot;noteIndex&quot;:0},&quot;isEdited&quot;:false,&quot;manualOverride&quot;:{&quot;isManuallyOverridden&quot;:false,&quot;citeprocText&quot;:&quot;(Cameron et al., 2013a; Pusztahelyi et al., 2015)&quot;,&quot;manualOverrideText&quot;:&quot;&quot;},&quot;citationTag&quot;:&quot;MENDELEY_CITATION_v3_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&quot;},{&quot;citationID&quot;:&quot;MENDELEY_CITATION_5b72530d-ce6e-4819-bb85-3fb598b6d974&quot;,&quot;citationItems&quot;:[{&quot;id&quot;:&quot;038db8b3-60d8-3f08-95f7-fd7c7709f8d4&quot;,&quot;itemData&quot;:{&quot;type&quot;:&quot;article&quot;,&quot;id&quot;:&quot;038db8b3-60d8-3f08-95f7-fd7c7709f8d4&quot;,&quot;title&quot;:&quot;Mycorrhiza-induced resistance: More than the sum of its parts?&quot;,&quot;author&quot;:[{&quot;family&quot;:&quot;Cameron&quot;,&quot;given&quot;:&quot;Duncan D.&quot;,&quot;parse-names&quot;:false,&quot;dropping-particle&quot;:&quot;&quot;,&quot;non-dropping-particle&quot;:&quot;&quot;},{&quot;family&quot;:&quot;Neal&quot;,&quot;given&quot;:&quot;Andrew L.&quot;,&quot;parse-names&quot;:false,&quot;dropping-particle&quot;:&quot;&quot;,&quot;non-dropping-particle&quot;:&quot;&quot;},{&quot;family&quot;:&quot;Wees&quot;,&quot;given&quot;:&quot;Saskia C.M.&quot;,&quot;parse-names&quot;:false,&quot;dropping-particle&quot;:&quot;&quot;,&quot;non-dropping-particle&quot;:&quot;van&quot;},{&quot;family&quot;:&quot;Ton&quot;,&quot;given&quot;:&quot;Jurriaan&quot;,&quot;parse-names&quot;:false,&quot;dropping-particle&quot;:&quot;&quot;,&quot;non-dropping-particle&quot;:&quot;&quot;}],&quot;container-title&quot;:&quot;Trends in Plant Science&quot;,&quot;DOI&quot;:&quot;10.1016/j.tplants.2013.06.004&quot;,&quot;ISSN&quot;:&quot;13601385&quot;,&quot;PMID&quot;:&quot;23871659&quot;,&quot;issued&quot;:{&quot;date-parts&quot;:[[2013,10]]},&quot;page&quot;:&quot;539-545&quot;,&quot;abstract&quot;:&quot;Plants can develop an enhanced defensive capacity in response to infection by arbuscular mycorrhizal fungi (AMF). This 'mycorrhiza-induced resistance' (MIR) provides systemic protection against a wide range of attackers and shares characteristics with systemic acquired resistance (SAR) after pathogen infection and induced systemic resistance (ISR) following root colonisation by non-pathogenic rhizobacteria. It is commonly assumed that fungal stimulation of the plant immune system is solely responsible for MIR. In this opinion article, we present a novel model of MIR that integrates different aspects of the induced resistance phenomenon. We propose that MIR is a cumulative effect of direct plant responses to mycorrhizal infection and indirect immune responses to ISR-eliciting rhizobacteria in the mycorrhizosphere. © 2013.&quot;,&quot;issue&quot;:&quot;10&quot;,&quot;volume&quot;:&quot;18&quot;},&quot;isTemporary&quot;:false},{&quot;id&quot;:&quot;d5bc20b5-db7e-3172-9b21-cb24103b810d&quot;,&quot;itemData&quot;:{&quot;type&quot;:&quot;article-journal&quot;,&quot;id&quot;:&quot;d5bc20b5-db7e-3172-9b21-cb24103b810d&quot;,&quot;title&quot;:&quot;The interactive effects of arbuscular mycorrhiza and plant growth-promoting rhizobacteria synergistically enhance host plant defences against pathogen&quot;,&quot;author&quot;:[{&quot;family&quot;:&quot;Pérez-De-Luque&quot;,&quot;given&quot;:&quot;Alejandro&quot;,&quot;parse-names&quot;:false,&quot;dropping-particle&quot;:&quot;&quot;,&quot;non-dropping-particle&quot;:&quot;&quot;},{&quot;family&quot;:&quot;Tille&quot;,&quot;given&quot;:&quot;Stefanie&quot;,&quot;parse-names&quot;:false,&quot;dropping-particle&quot;:&quot;&quot;,&quot;non-dropping-particle&quot;:&quot;&quot;},{&quot;family&quot;:&quot;Johnson&quot;,&quot;given&quot;:&quot;Irene&quot;,&quot;parse-names&quot;:false,&quot;dropping-particle&quot;:&quot;&quot;,&quot;non-dropping-particle&quot;:&quot;&quot;},{&quot;family&quot;:&quot;Pascual-Pardo&quot;,&quot;given&quot;:&quot;David&quot;,&quot;parse-names&quot;:false,&quot;dropping-particle&quot;:&quot;&quot;,&quot;non-dropping-particle&quot;:&quot;&quot;},{&quot;family&quot;:&quot;Ton&quot;,&quot;given&quot;:&quot;Jurriaan&quot;,&quot;parse-names&quot;:false,&quot;dropping-particle&quot;:&quot;&quot;,&quot;non-dropping-particle&quot;:&quot;&quot;},{&quot;family&quot;:&quot;Cameron&quot;,&quot;given&quot;:&quot;Duncan D.&quot;,&quot;parse-names&quot;:false,&quot;dropping-particle&quot;:&quot;&quot;,&quot;non-dropping-particle&quot;:&quot;&quot;}],&quot;container-title&quot;:&quot;Scientific Reports&quot;,&quot;DOI&quot;:&quot;10.1038/s41598-017-16697-4&quot;,&quot;ISSN&quot;:&quot;20452322&quot;,&quot;PMID&quot;:&quot;29180695&quot;,&quot;issued&quot;:{&quot;date-parts&quot;:[[2017,12,1]]},&quot;abstract&quot;:&quot;Belowground interactions between plant roots, mycorrhizal fungi and plant growth-promoting rhizobacteria (PGPR) can improve plant health via enhanced nutrient acquisition and priming of the plant immune system. Two wheat cultivars differing in their ability to form mycorrhiza were (co)inoculated with the mycorrhizal fungus Rhizophagus irregularis and the rhizobacterial strain Pseudomonas putida KT2440. The cultivar with high mycorrhizal compatibility supported higher levels of rhizobacterial colonization than the low compatibility cultivar. Those levels were augmented by mycorrhizal infection. Conversely, rhizobacterial colonization of the low compatibility cultivar was reduced by mycorrhizal arbuscule formation. Single inoculations with R. irregularis or P. putida had differential growth effects on both cultivars. Furthermore, while both cultivars developed systemic priming of chitosan-induced callose after single inoculations with R. irregularis or P. putida, only the cultivar with high mycorrhizal compatibility showed a synergistic increase in callose responsiveness following co-inoculation with both microbes. Our results show that multilateral interactions between roots, mycorrhizal fungi and PGPR can have synergistic effects on growth and systemic priming of wheat.&quot;,&quot;publisher&quot;:&quot;Nature Publishing Group&quot;,&quot;issue&quot;:&quot;1&quot;,&quot;volume&quot;:&quot;7&quot;},&quot;isTemporary&quot;:false}],&quot;properties&quot;:{&quot;noteIndex&quot;:0},&quot;isEdited&quot;:false,&quot;manualOverride&quot;:{&quot;isManuallyOverridden&quot;:true,&quot;citeprocText&quot;:&quot;(Cameron et al., 2013b; Pérez-De-Luque et al., 2017b)&quot;,&quot;manualOverrideText&quot;:&quot;(Cameron et al., 2013; Pérez-De-Luque et al., 2017).&quot;},&quot;citationTag&quot;:&quot;MENDELEY_CITATION_v3_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&quot;},{&quot;citationID&quot;:&quot;MENDELEY_CITATION_e1ccab90-722e-404a-b1d1-2b553adfd230&quot;,&quot;citationItems&quot;:[{&quot;id&quot;:&quot;402726f9-f48f-368e-8832-195272197c62&quot;,&quot;itemData&quot;:{&quot;type&quot;:&quot;article&quot;,&quot;id&quot;:&quot;402726f9-f48f-368e-8832-195272197c62&quot;,&quot;title&quot;:&quot;Mycorrhiza-induced resistance: More than the sum of its parts?&quot;,&quot;author&quot;:[{&quot;family&quot;:&quot;Cameron&quot;,&quot;given&quot;:&quot;Duncan D.&quot;,&quot;parse-names&quot;:false,&quot;dropping-particle&quot;:&quot;&quot;,&quot;non-dropping-particle&quot;:&quot;&quot;},{&quot;family&quot;:&quot;Neal&quot;,&quot;given&quot;:&quot;Andrew L.&quot;,&quot;parse-names&quot;:false,&quot;dropping-particle&quot;:&quot;&quot;,&quot;non-dropping-particle&quot;:&quot;&quot;},{&quot;family&quot;:&quot;Wees&quot;,&quot;given&quot;:&quot;Saskia C.M.&quot;,&quot;parse-names&quot;:false,&quot;dropping-particle&quot;:&quot;&quot;,&quot;non-dropping-particle&quot;:&quot;van&quot;},{&quot;family&quot;:&quot;Ton&quot;,&quot;given&quot;:&quot;Jurriaan&quot;,&quot;parse-names&quot;:false,&quot;dropping-particle&quot;:&quot;&quot;,&quot;non-dropping-particle&quot;:&quot;&quot;}],&quot;container-title&quot;:&quot;Trends in Plant Science&quot;,&quot;DOI&quot;:&quot;10.1016/j.tplants.2013.06.004&quot;,&quot;ISSN&quot;:&quot;13601385&quot;,&quot;PMID&quot;:&quot;23871659&quot;,&quot;issued&quot;:{&quot;date-parts&quot;:[[2013,10]]},&quot;page&quot;:&quot;539-545&quot;,&quot;abstract&quot;:&quot;Plants can develop an enhanced defensive capacity in response to infection by arbuscular mycorrhizal fungi (AMF). This 'mycorrhiza-induced resistance' (MIR) provides systemic protection against a wide range of attackers and shares characteristics with systemic acquired resistance (SAR) after pathogen infection and induced systemic resistance (ISR) following root colonisation by non-pathogenic rhizobacteria. It is commonly assumed that fungal stimulation of the plant immune system is solely responsible for MIR. In this opinion article, we present a novel model of MIR that integrates different aspects of the induced resistance phenomenon. We propose that MIR is a cumulative effect of direct plant responses to mycorrhizal infection and indirect immune responses to ISR-eliciting rhizobacteria in the mycorrhizosphere. © 2013.&quot;,&quot;issue&quot;:&quot;10&quot;,&quot;volume&quot;:&quot;18&quot;},&quot;isTemporary&quot;:false}],&quot;properties&quot;:{&quot;noteIndex&quot;:0},&quot;isEdited&quot;:false,&quot;manualOverride&quot;:{&quot;isManuallyOverridden&quot;:true,&quot;citeprocText&quot;:&quot;(Cameron et al., 2013a)&quot;,&quot;manualOverrideText&quot;:&quot;(Cameron et al., 2013).&quot;},&quot;citationTag&quot;:&quot;MENDELEY_CITATION_v3_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&quot;},{&quot;citationID&quot;:&quot;MENDELEY_CITATION_d0521f09-2f3a-4fa9-bd6f-ba2d5947e02a&quot;,&quot;citationItems&quot;:[{&quot;id&quot;:&quot;6a74d0f6-8745-3e96-a445-633d5984839f&quot;,&quot;itemData&quot;:{&quot;type&quot;:&quot;article&quot;,&quot;id&quot;:&quot;6a74d0f6-8745-3e96-a445-633d5984839f&quot;,&quot;title&quot;:&quot;Role of Arbuscular Mycorrhizal Fungi in Plant Growth Regulation: Implications in Abiotic Stress Tolerance&quot;,&quot;author&quot;:[{&quot;family&quot;:&quot;Begum&quot;,&quot;given&quot;:&quot;Naheeda&quot;,&quot;parse-names&quot;:false,&quot;dropping-particle&quot;:&quot;&quot;,&quot;non-dropping-particle&quot;:&quot;&quot;},{&quot;family&quot;:&quot;Qin&quot;,&quot;given&quot;:&quot;Cheng&quot;,&quot;parse-names&quot;:false,&quot;dropping-particle&quot;:&quot;&quot;,&quot;non-dropping-particle&quot;:&quot;&quot;},{&quot;family&quot;:&quot;Ahanger&quot;,&quot;given&quot;:&quot;Muhammad Abass&quot;,&quot;parse-names&quot;:false,&quot;dropping-particle&quot;:&quot;&quot;,&quot;non-dropping-particle&quot;:&quot;&quot;},{&quot;family&quot;:&quot;Raza&quot;,&quot;given&quot;:&quot;Sajjad&quot;,&quot;parse-names&quot;:false,&quot;dropping-particle&quot;:&quot;&quot;,&quot;non-dropping-particle&quot;:&quot;&quot;},{&quot;family&quot;:&quot;Khan&quot;,&quot;given&quot;:&quot;Muhammad Ishfaq&quot;,&quot;parse-names&quot;:false,&quot;dropping-particle&quot;:&quot;&quot;,&quot;non-dropping-particle&quot;:&quot;&quot;},{&quot;family&quot;:&quot;Ashraf&quot;,&quot;given&quot;:&quot;Muhammad&quot;,&quot;parse-names&quot;:false,&quot;dropping-particle&quot;:&quot;&quot;,&quot;non-dropping-particle&quot;:&quot;&quot;},{&quot;family&quot;:&quot;Ahmed&quot;,&quot;given&quot;:&quot;Nadeem&quot;,&quot;parse-names&quot;:false,&quot;dropping-particle&quot;:&quot;&quot;,&quot;non-dropping-particle&quot;:&quot;&quot;},{&quot;family&quot;:&quot;Zhang&quot;,&quot;given&quot;:&quot;Lixin&quot;,&quot;parse-names&quot;:false,&quot;dropping-particle&quot;:&quot;&quot;,&quot;non-dropping-particle&quot;:&quot;&quot;}],&quot;container-title&quot;:&quot;Frontiers in Plant Science&quot;,&quot;DOI&quot;:&quot;10.3389/fpls.2019.01068&quot;,&quot;ISSN&quot;:&quot;1664462X&quot;,&quot;issued&quot;:{&quot;date-parts&quot;:[[2019,9,19]]},&quot;abstract&quot;:&quot;Abiotic stresses hamper plant growth and productivity. Climate change and agricultural malpractices like excessive use of fertilizers and pesticides have aggravated the effects of abiotic stresses on crop productivity and degraded the ecosystem. There is an urgent need for environment-friendly management techniques such as the use of arbuscular mycorrhizal fungi (AMF) for enhancing crop productivity. AMF are commonly known as bio-fertilizers. Moreover, it is widely believed that the inoculation of AMF provides tolerance to host plants against various stressful situations like heat, salinity, drought, metals, and extreme temperatures. AMF may both assist host plants in the up-regulation of tolerance mechanisms and prevent the down-regulation of key metabolic pathways. AMF, being natural root symbionts, provide essential plant inorganic nutrients to host plants, thereby improving growth and yield under unstressed and stressed regimes. The role of AMF as a bio-fertilizer can potentially strengthen plants’ adaptability to changing environment. Thus, further research focusing on the AMF-mediated promotion of crop quality and productivity is needed. The present review provides a comprehensive up-to-date knowledge on AMF and their influence on host plants at various growth stages, their advantages and applications, and consequently the importance of the relationships of different plant nutrients with AMF.&quot;,&quot;publisher&quot;:&quot;Frontiers Media S.A.&quot;,&quot;volume&quot;:&quot;10&quot;},&quot;isTemporary&quot;:false}],&quot;properties&quot;:{&quot;noteIndex&quot;:0},&quot;isEdited&quot;:false,&quot;manualOverride&quot;:{&quot;isManuallyOverridden&quot;:true,&quot;citeprocText&quot;:&quot;(Begum et al., 2019)&quot;,&quot;manualOverrideText&quot;:&quot;(Begum et al., 2019). &quot;},&quot;citationTag&quot;:&quot;MENDELEY_CITATION_v3_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&quot;},{&quot;citationID&quot;:&quot;MENDELEY_CITATION_decae711-cd00-45e3-b351-a5939a93b72e&quot;,&quot;citationItems&quot;:[{&quot;id&quot;:&quot;1d66c202-b9d4-3542-8189-32482f0f74bf&quot;,&quot;itemData&quot;:{&quot;type&quot;:&quot;article-journal&quot;,&quot;id&quot;:&quot;1d66c202-b9d4-3542-8189-32482f0f74bf&quot;,&quot;title&quot;:&quot;Arbuscular mycorrhizal fungi as biotechnology alternative to increase concentrate of secondary metabolites in Zea mays L.&quot;,&quot;author&quot;:[{&quot;family&quot;:&quot;Silva&quot;,&quot;given&quot;:&quot;Francineyde A.&quot;,&quot;parse-names&quot;:false,&quot;dropping-particle&quot;:&quot;&quot;,&quot;non-dropping-particle&quot;:&quot;&quot;},{&quot;family&quot;:&quot;Maia&quot;,&quot;given&quot;:&quot;Leonor C.&quot;,&quot;parse-names&quot;:false,&quot;dropping-particle&quot;:&quot;&quot;,&quot;non-dropping-particle&quot;:&quot;&quot;},{&quot;family&quot;:&quot;Silva&quot;,&quot;given&quot;:&quot;Fábio S.B.&quot;,&quot;parse-names&quot;:false,&quot;dropping-particle&quot;:&quot;&quot;,&quot;non-dropping-particle&quot;:&quot;&quot;}],&quot;container-title&quot;:&quot;Revista Brasileira de Botanica&quot;,&quot;DOI&quot;:&quot;10.1007/s40415-018-0508-2&quot;,&quot;ISSN&quot;:&quot;18069959&quot;,&quot;issued&quot;:{&quot;date-parts&quot;:[[2019,3,29]]},&quot;page&quot;:&quot;189-193&quot;,&quot;abstract&quot;:&quot;Leaves of corn (Zea mays L.) produce secondary metabolism compounds characterizing them as an alternative source of animal food. Plants of this species establish mutualistic symbiosis with arbuscular mycorrhizal fungi (AMF) which provide an increase in the contents of bioactive compounds. These compounds have pharmacological properties and are important to the process of healing diseases. The objective of this paper was to establish whether the association of Z. mays with AMF increases the concentration of phenolic compounds in the leaves. After 70 days of growth, corn leaves were collected and their extract used for phytochemical analyses that included: soluble carbohydrates, proteins, phenols, flavonoids, and total tannins. Plants associated with Claroideoglomus etunicatum (W. N. Becker &amp; Gerdemann) C. Walker &amp; A. Schüssler (UFPE 06), Acaulospora longula Spain &amp; N. C. Schenck (UFPE 21) and Dentiscutata heterogama (T.H. Nicolson &amp; Gerd.) Sieverd., F.A. de Souza &amp; Oehl (UFPE 19) presented an increase in the concentration of soluble carbohydrates of 153.7%, 86.6%, and 79.1%, respectively, in relation to the control. Concentration of flavonoids was higher in plants inoculated with A. longula comparing with the control, while the concentrations of phenols, tannins, and total proteins in the mycorrhizal treatments did not differ from the control. Use of mycorrhizal technology may represent an alternative to enhance the content of some foliar metabolites in Z. mays leading to the production of phytomass with greater phytochemical and nutritional qualities.&quot;,&quot;publisher&quot;:&quot;Springer International Publishing&quot;,&quot;issue&quot;:&quot;1&quot;,&quot;volume&quot;:&quot;42&quot;},&quot;isTemporary&quot;:false}],&quot;properties&quot;:{&quot;noteIndex&quot;:0},&quot;isEdited&quot;:false,&quot;manualOverride&quot;:{&quot;isManuallyOverridden&quot;:false,&quot;citeprocText&quot;:&quot;(F. A. Silva et al., 2019a)&quot;,&quot;manualOverrideText&quot;:&quot;&quot;},&quot;citationTag&quot;:&quot;MENDELEY_CITATION_v3_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&quot;},{&quot;citationID&quot;:&quot;MENDELEY_CITATION_0eef54e7-0658-4cd1-9509-0ef8d0c24f1f&quot;,&quot;citationItems&quot;:[{&quot;id&quot;:&quot;753e8328-1f64-3593-bcb9-4a48290d4f93&quot;,&quot;itemData&quot;:{&quot;type&quot;:&quot;article-journal&quot;,&quot;id&quot;:&quot;753e8328-1f64-3593-bcb9-4a48290d4f93&quot;,&quot;title&quot;:&quot;Effects of three AM fungi on growth, distribution of glandular hairs, and essential oil production in Ocimum basilicum L. var. Genovese&quot;,&quot;author&quot;:[{&quot;family&quot;:&quot;Copetta&quot;,&quot;given&quot;:&quot;Andrea&quot;,&quot;parse-names&quot;:false,&quot;dropping-particle&quot;:&quot;&quot;,&quot;non-dropping-particle&quot;:&quot;&quot;},{&quot;family&quot;:&quot;Lingua&quot;,&quot;given&quot;:&quot;Guido&quot;,&quot;parse-names&quot;:false,&quot;dropping-particle&quot;:&quot;&quot;,&quot;non-dropping-particle&quot;:&quot;&quot;},{&quot;family&quot;:&quot;Berta&quot;,&quot;given&quot;:&quot;Graziella&quot;,&quot;parse-names&quot;:false,&quot;dropping-particle&quot;:&quot;&quot;,&quot;non-dropping-particle&quot;:&quot;&quot;}],&quot;container-title&quot;:&quot;Mycorrhiza&quot;,&quot;DOI&quot;:&quot;10.1007/s00572-006-0065-6&quot;,&quot;ISSN&quot;:&quot;0940-6360&quot;,&quot;issued&quot;:{&quot;date-parts&quot;:[[2006,10,8]]},&quot;issue&quot;:&quot;7&quot;,&quot;volume&quot;:&quot;16&quot;},&quot;isTemporary&quot;:false}],&quot;properties&quot;:{&quot;noteIndex&quot;:0},&quot;isEdited&quot;:false,&quot;manualOverride&quot;:{&quot;isManuallyOverridden&quot;:false,&quot;citeprocText&quot;:&quot;(Copetta et al., 2006)&quot;,&quot;manualOverrideText&quot;:&quot;&quot;},&quot;citationTag&quot;:&quot;MENDELEY_CITATION_v3_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&quot;},{&quot;citationID&quot;:&quot;MENDELEY_CITATION_5bf8031a-48d1-4ba4-84e9-19f1dcc5487e&quot;,&quot;citationItems&quot;:[{&quot;id&quot;:&quot;cf14b4e3-7280-3508-b5e3-3d8efe4e716c&quot;,&quot;itemData&quot;:{&quot;type&quot;:&quot;article-journal&quot;,&quot;id&quot;:&quot;cf14b4e3-7280-3508-b5e3-3d8efe4e716c&quot;,&quot;title&quot;:&quot;Glomus macrocarpum: a potential bioinoculant to improve essential oil quality and concentration in Dill (Anethumgraveolens L.) and Carum (Trachyspermumammi (Linn.) Sprague).&quot;,&quot;author&quot;:[{&quot;family&quot;:&quot;Kapoor&quot;,&quot;given&quot;:&quot;Rupam&quot;,&quot;parse-names&quot;:false,&quot;dropping-particle&quot;:&quot;&quot;,&quot;non-dropping-particle&quot;:&quot;&quot;},{&quot;family&quot;:&quot;Giri&quot;,&quot;given&quot;:&quot;Bhoopander&quot;,&quot;parse-names&quot;:false,&quot;dropping-particle&quot;:&quot;&quot;,&quot;non-dropping-particle&quot;:&quot;&quot;},{&quot;family&quot;:&quot;Mukerji&quot;,&quot;given&quot;:&quot;Krishan G.&quot;,&quot;parse-names&quot;:false,&quot;dropping-particle&quot;:&quot;&quot;,&quot;non-dropping-particle&quot;:&quot;&quot;}],&quot;container-title&quot;:&quot;World Journal of Microbiology and Biotechnology&quot;,&quot;DOI&quot;:&quot;10.1023/A:1015522100497&quot;,&quot;ISSN&quot;:&quot;09593993&quot;,&quot;issued&quot;:{&quot;date-parts&quot;:[[2002]]},&quot;issue&quot;:&quot;5&quot;,&quot;volume&quot;:&quot;18&quot;},&quot;isTemporary&quot;:false},{&quot;id&quot;:&quot;a31442a3-7f3c-3588-8f01-1cb5bd22911e&quot;,&quot;itemData&quot;:{&quot;type&quot;:&quot;article-journal&quot;,&quot;id&quot;:&quot;a31442a3-7f3c-3588-8f01-1cb5bd22911e&quot;,&quot;title&quot;:&quot;Investigating physiological changes in the aerial parts of AM plants: what do we know and where should we be heading?&quot;,&quot;author&quot;:[{&quot;family&quot;:&quot;Toussaint&quot;,&quot;given&quot;:&quot;J.-P.&quot;,&quot;parse-names&quot;:false,&quot;dropping-particle&quot;:&quot;&quot;,&quot;non-dropping-particle&quot;:&quot;&quot;}],&quot;container-title&quot;:&quot;Mycorrhiza&quot;,&quot;DOI&quot;:&quot;10.1007/s00572-007-0133-6&quot;,&quot;ISSN&quot;:&quot;0940-6360&quot;,&quot;issued&quot;:{&quot;date-parts&quot;:[[2007,6,3]]},&quot;issue&quot;:&quot;4&quot;,&quot;volume&quot;:&quot;17&quot;},&quot;isTemporary&quot;:false}],&quot;properties&quot;:{&quot;noteIndex&quot;:0},&quot;isEdited&quot;:false,&quot;manualOverride&quot;:{&quot;isManuallyOverridden&quot;:false,&quot;citeprocText&quot;:&quot;(Kapoor et al., 2002; Toussaint, 2007)&quot;,&quot;manualOverrideText&quot;:&quot;&quot;},&quot;citationTag&quot;:&quot;MENDELEY_CITATION_v3_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&quot;},{&quot;citationID&quot;:&quot;MENDELEY_CITATION_407a50ed-a4c9-4be6-ae98-16a394d0f1c9&quot;,&quot;citationItems&quot;:[{&quot;id&quot;:&quot;c0cbb0e9-eb97-3376-b28a-2a909c05b11c&quot;,&quot;itemData&quot;:{&quot;type&quot;:&quot;article-journal&quot;,&quot;id&quot;:&quot;c0cbb0e9-eb97-3376-b28a-2a909c05b11c&quot;,&quot;title&quot;:&quot;Arbuscular mycorrhizal fungal inoculation increases phenolic synthesis in clover roots via hydrogen peroxide, salicylic acid and nitric oxide signaling pathways&quot;,&quot;author&quot;:[{&quot;family&quot;:&quot;Zhang&quot;,&quot;given&quot;:&quot;Rui-Qin&quot;,&quot;parse-names&quot;:false,&quot;dropping-particle&quot;:&quot;&quot;,&quot;non-dropping-particle&quot;:&quot;&quot;},{&quot;family&quot;:&quot;Zhu&quot;,&quot;given&quot;:&quot;Hong-Hui&quot;,&quot;parse-names&quot;:false,&quot;dropping-particle&quot;:&quot;&quot;,&quot;non-dropping-particle&quot;:&quot;&quot;},{&quot;family&quot;:&quot;Zhao&quot;,&quot;given&quot;:&quot;Hai-Quan&quot;,&quot;parse-names&quot;:false,&quot;dropping-particle&quot;:&quot;&quot;,&quot;non-dropping-particle&quot;:&quot;&quot;},{&quot;family&quot;:&quot;Yao&quot;,&quot;given&quot;:&quot;Qing&quot;,&quot;parse-names&quot;:false,&quot;dropping-particle&quot;:&quot;&quot;,&quot;non-dropping-particle&quot;:&quot;&quot;}],&quot;container-title&quot;:&quot;Journal of Plant Physiology&quot;,&quot;DOI&quot;:&quot;10.1016/j.jplph.2012.08.022&quot;,&quot;ISSN&quot;:&quot;01761617&quot;,&quot;issued&quot;:{&quot;date-parts&quot;:[[2013,1]]},&quot;issue&quot;:&quot;1&quot;,&quot;volume&quot;:&quot;170&quot;},&quot;isTemporary&quot;:false},{&quot;id&quot;:&quot;3058ad50-532a-3c0a-a187-a923d7008e3f&quot;,&quot;itemData&quot;:{&quot;type&quot;:&quot;article-journal&quot;,&quot;id&quot;:&quot;3058ad50-532a-3c0a-a187-a923d7008e3f&quot;,&quot;title&quot;:&quot;Arbuscular mycorrhiza increase artemisinin accumulation in Artemisia annua by higher expression of key biosynthesis genes via enhanced jasmonic acid levels&quot;,&quot;author&quot;:[{&quot;family&quot;:&quot;Mandal&quot;,&quot;given&quot;:&quot;Shantanu&quot;,&quot;parse-names&quot;:false,&quot;dropping-particle&quot;:&quot;&quot;,&quot;non-dropping-particle&quot;:&quot;&quot;},{&quot;family&quot;:&quot;Upadhyay&quot;,&quot;given&quot;:&quot;Shivangi&quot;,&quot;parse-names&quot;:false,&quot;dropping-particle&quot;:&quot;&quot;,&quot;non-dropping-particle&quot;:&quot;&quot;},{&quot;family&quot;:&quot;Wajid&quot;,&quot;given&quot;:&quot;Saima&quot;,&quot;parse-names&quot;:false,&quot;dropping-particle&quot;:&quot;&quot;,&quot;non-dropping-particle&quot;:&quot;&quot;},{&quot;family&quot;:&quot;Ram&quot;,&quot;given&quot;:&quot;Mauji&quot;,&quot;parse-names&quot;:false,&quot;dropping-particle&quot;:&quot;&quot;,&quot;non-dropping-particle&quot;:&quot;&quot;},{&quot;family&quot;:&quot;Jain&quot;,&quot;given&quot;:&quot;Dharam Chand&quot;,&quot;parse-names&quot;:false,&quot;dropping-particle&quot;:&quot;&quot;,&quot;non-dropping-particle&quot;:&quot;&quot;},{&quot;family&quot;:&quot;Singh&quot;,&quot;given&quot;:&quot;Ved Pal&quot;,&quot;parse-names&quot;:false,&quot;dropping-particle&quot;:&quot;&quot;,&quot;non-dropping-particle&quot;:&quot;&quot;},{&quot;family&quot;:&quot;Abdin&quot;,&quot;given&quot;:&quot;Malik Zainul&quot;,&quot;parse-names&quot;:false,&quot;dropping-particle&quot;:&quot;&quot;,&quot;non-dropping-particle&quot;:&quot;&quot;},{&quot;family&quot;:&quot;Kapoor&quot;,&quot;given&quot;:&quot;Rupam&quot;,&quot;parse-names&quot;:false,&quot;dropping-particle&quot;:&quot;&quot;,&quot;non-dropping-particle&quot;:&quot;&quot;}],&quot;container-title&quot;:&quot;Mycorrhiza&quot;,&quot;DOI&quot;:&quot;10.1007/s00572-014-0614-3&quot;,&quot;ISSN&quot;:&quot;0940-6360&quot;,&quot;issued&quot;:{&quot;date-parts&quot;:[[2015,7,5]]},&quot;issue&quot;:&quot;5&quot;,&quot;volume&quot;:&quot;25&quot;},&quot;isTemporary&quot;:false}],&quot;properties&quot;:{&quot;noteIndex&quot;:0},&quot;isEdited&quot;:false,&quot;manualOverride&quot;:{&quot;isManuallyOverridden&quot;:true,&quot;citeprocText&quot;:&quot;(Mandal et al., 2015; R.-Q. Zhang et al., 2013)&quot;,&quot;manualOverrideText&quot;:&quot;(Mandal et al., 2015; Zhang et al., 2013)&quot;},&quot;citationTag&quot;:&quot;MENDELEY_CITATION_v3_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&quot;},{&quot;citationID&quot;:&quot;MENDELEY_CITATION_f8042170-0ebb-47c9-a66e-160a3a0d78f4&quot;,&quot;citationItems&quot;:[{&quot;id&quot;:&quot;1ca1b2d2-a255-3fa3-b9ff-9ce703115ebb&quot;,&quot;itemData&quot;:{&quot;type&quot;:&quot;article-journal&quot;,&quot;id&quot;:&quot;1ca1b2d2-a255-3fa3-b9ff-9ce703115ebb&quot;,&quot;title&quot;:&quot;The Shikimate Pathway and Aromatic Amino Acid Biosynthesis in Plants&quot;,&quot;author&quot;:[{&quot;family&quot;:&quot;Maeda&quot;,&quot;given&quot;:&quot;Hiroshi&quot;,&quot;parse-names&quot;:false,&quot;dropping-particle&quot;:&quot;&quot;,&quot;non-dropping-particle&quot;:&quot;&quot;},{&quot;family&quot;:&quot;Dudareva&quot;,&quot;given&quot;:&quot;Natalia&quot;,&quot;parse-names&quot;:false,&quot;dropping-particle&quot;:&quot;&quot;,&quot;non-dropping-particle&quot;:&quot;&quot;}],&quot;container-title&quot;:&quot;Annual Review of Plant Biology&quot;,&quot;DOI&quot;:&quot;10.1146/annurev-arplant-042811-105439&quot;,&quot;ISSN&quot;:&quot;1543-5008&quot;,&quot;issued&quot;:{&quot;date-parts&quot;:[[2012,6,2]]},&quot;issue&quot;:&quot;1&quot;,&quot;volume&quot;:&quot;63&quot;},&quot;isTemporary&quot;:false}],&quot;properties&quot;:{&quot;noteIndex&quot;:0},&quot;isEdited&quot;:false,&quot;manualOverride&quot;:{&quot;isManuallyOverridden&quot;:true,&quot;citeprocText&quot;:&quot;(Maeda &amp;#38; Dudareva, 2012)&quot;,&quot;manualOverrideText&quot;:&quot;(Maeda &amp; Dudareva, 2012),&quot;},&quot;citationTag&quot;:&quot;MENDELEY_CITATION_v3_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&quot;},{&quot;citationID&quot;:&quot;MENDELEY_CITATION_552e2510-8302-4e84-a5a8-a0a4c33e7938&quot;,&quot;citationItems&quot;:[{&quot;id&quot;:&quot;62882888-67a4-3583-a0a6-02e592c996f2&quot;,&quot;itemData&quot;:{&quot;type&quot;:&quot;article-journal&quot;,&quot;id&quot;:&quot;62882888-67a4-3583-a0a6-02e592c996f2&quot;,&quot;title&quot;:&quot;Stress-Induced Phenylpropanoid Metabolism.&quot;,&quot;author&quot;:[{&quot;family&quot;:&quot;Dixon&quot;,&quot;given&quot;:&quot;R. A.&quot;,&quot;parse-names&quot;:false,&quot;dropping-particle&quot;:&quot;&quot;,&quot;non-dropping-particle&quot;:&quot;&quot;},{&quot;family&quot;:&quot;Paiva&quot;,&quot;given&quot;:&quot;N. L.&quot;,&quot;parse-names&quot;:false,&quot;dropping-particle&quot;:&quot;&quot;,&quot;non-dropping-particle&quot;:&quot;&quot;}],&quot;container-title&quot;:&quot;The Plant Cell&quot;,&quot;DOI&quot;:&quot;10.1105/tpc.7.7.1085&quot;,&quot;ISSN&quot;:&quot;1040-4651&quot;,&quot;issued&quot;:{&quot;date-parts&quot;:[[1995,7,1]]}},&quot;isTemporary&quot;:false},{&quot;id&quot;:&quot;5860a75f-2fef-3618-9551-73b099de5c04&quot;,&quot;itemData&quot;:{&quot;type&quot;:&quot;article-journal&quot;,&quot;id&quot;:&quot;5860a75f-2fef-3618-9551-73b099de5c04&quot;,&quot;title&quot;:&quot;Response of Phenylpropanoid Pathway and the Role of Polyphenols in Plants under Abiotic Stress&quot;,&quot;author&quot;:[{&quot;family&quot;:&quot;Sharma&quot;,&quot;given&quot;:&quot;Anket&quot;,&quot;parse-names&quot;:false,&quot;dropping-particle&quot;:&quot;&quot;,&quot;non-dropping-particle&quot;:&quot;&quot;},{&quot;family&quot;:&quot;Shahzad&quot;,&quot;given&quot;:&quot;Babar&quot;,&quot;parse-names&quot;:false,&quot;dropping-particle&quot;:&quot;&quot;,&quot;non-dropping-particle&quot;:&quot;&quot;},{&quot;family&quot;:&quot;Rehman&quot;,&quot;given&quot;:&quot;Abdul&quot;,&quot;parse-names&quot;:false,&quot;dropping-particle&quot;:&quot;&quot;,&quot;non-dropping-particle&quot;:&quot;&quot;},{&quot;family&quot;:&quot;Bhardwaj&quot;,&quot;given&quot;:&quot;Renu&quot;,&quot;parse-names&quot;:false,&quot;dropping-particle&quot;:&quot;&quot;,&quot;non-dropping-particle&quot;:&quot;&quot;},{&quot;family&quot;:&quot;Landi&quot;,&quot;given&quot;:&quot;Marco&quot;,&quot;parse-names&quot;:false,&quot;dropping-particle&quot;:&quot;&quot;,&quot;non-dropping-particle&quot;:&quot;&quot;},{&quot;family&quot;:&quot;Zheng&quot;,&quot;given&quot;:&quot;Bingsong&quot;,&quot;parse-names&quot;:false,&quot;dropping-particle&quot;:&quot;&quot;,&quot;non-dropping-particle&quot;:&quot;&quot;}],&quot;container-title&quot;:&quot;Molecules&quot;,&quot;DOI&quot;:&quot;10.3390/molecules24132452&quot;,&quot;ISSN&quot;:&quot;1420-3049&quot;,&quot;issued&quot;:{&quot;date-parts&quot;:[[2019,7,4]]},&quot;abstract&quot;:&quot;&lt;p&gt;Phenolic compounds are an important class of plant secondary metabolites which play crucial physiological roles throughout the plant life cycle. Phenolics are produced under optimal and suboptimal conditions in plants and play key roles in developmental processes like cell division, hormonal regulation, photosynthetic activity, nutrient mineralization, and reproduction. Plants exhibit increased synthesis of polyphenols such as phenolic acids and flavonoids under abiotic stress conditions, which help the plant to cope with environmental constraints. Phenylpropanoid biosynthetic pathway is activated under abiotic stress conditions (drought, heavy metal, salinity, high/low temperature, and ultraviolet radiations) resulting in accumulation of various phenolic compounds which, among other roles, have the potential to scavenge harmful reactive oxygen species. Deepening the research focuses on the phenolic responses to abiotic stress is of great interest for the scientific community. In the present article, we discuss the biochemical and molecular mechanisms related to the activation of phenylpropanoid metabolism and we describe phenolic-mediated stress tolerance in plants. An attempt has been made to provide updated and brand-new information about the response of phenolics under a challenging environment.&lt;/p&gt;&quot;,&quot;issue&quot;:&quot;13&quot;,&quot;volume&quot;:&quot;24&quot;},&quot;isTemporary&quot;:false}],&quot;properties&quot;:{&quot;noteIndex&quot;:0},&quot;isEdited&quot;:false,&quot;manualOverride&quot;:{&quot;isManuallyOverridden&quot;:false,&quot;citeprocText&quot;:&quot;(Dixon &amp;#38; Paiva, 1995; A. Sharma et al., 2019)&quot;,&quot;manualOverrideText&quot;:&quot;&quot;},&quot;citationTag&quot;:&quot;MENDELEY_CITATION_v3_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&quot;},{&quot;citationID&quot;:&quot;MENDELEY_CITATION_1a67be67-a651-4a27-81a3-98e4b41621da&quot;,&quot;citationItems&quot;:[{&quot;id&quot;:&quot;83f3d5f6-d310-3d0a-9c07-a47e572e68b5&quot;,&quot;itemData&quot;:{&quot;type&quot;:&quot;article-journal&quot;,&quot;id&quot;:&quot;83f3d5f6-d310-3d0a-9c07-a47e572e68b5&quot;,&quot;title&quot;:&quot;Phenylpropanoid Biosynthesis&quot;,&quot;author&quot;:[{&quot;family&quot;:&quot;Vogt&quot;,&quot;given&quot;:&quot;Thomas&quot;,&quot;parse-names&quot;:false,&quot;dropping-particle&quot;:&quot;&quot;,&quot;non-dropping-particle&quot;:&quot;&quot;}],&quot;container-title&quot;:&quot;Molecular Plant&quot;,&quot;DOI&quot;:&quot;10.1093/mp/ssp106&quot;,&quot;ISSN&quot;:&quot;16742052&quot;,&quot;issued&quot;:{&quot;date-parts&quot;:[[2010,1]]},&quot;issue&quot;:&quot;1&quot;,&quot;volume&quot;:&quot;3&quot;},&quot;isTemporary&quot;:false},{&quot;id&quot;:&quot;451013d0-61fe-3c65-8c5b-98994951c7aa&quot;,&quot;itemData&quot;:{&quot;type&quot;:&quot;article-journal&quot;,&quot;id&quot;:&quot;451013d0-61fe-3c65-8c5b-98994951c7aa&quot;,&quot;title&quot;:&quot;Salicylic Acid Inhibits Pathogen Growth in Plants through Repression of the Auxin Signaling Pathway&quot;,&quot;author&quot;:[{&quot;family&quot;:&quot;Wang&quot;,&quot;given&quot;:&quot;Dong&quot;,&quot;parse-names&quot;:false,&quot;dropping-particle&quot;:&quot;&quot;,&quot;non-dropping-particle&quot;:&quot;&quot;},{&quot;family&quot;:&quot;Pajerowska-Mukhtar&quot;,&quot;given&quot;:&quot;Karolina&quot;,&quot;parse-names&quot;:false,&quot;dropping-particle&quot;:&quot;&quot;,&quot;non-dropping-particle&quot;:&quot;&quot;},{&quot;family&quot;:&quot;Culler&quot;,&quot;given&quot;:&quot;Angela Hendrickson&quot;,&quot;parse-names&quot;:false,&quot;dropping-particle&quot;:&quot;&quot;,&quot;non-dropping-particle&quot;:&quot;&quot;},{&quot;family&quot;:&quot;Dong&quot;,&quot;given&quot;:&quot;Xinnian&quot;,&quot;parse-names&quot;:false,&quot;dropping-particle&quot;:&quot;&quot;,&quot;non-dropping-particle&quot;:&quot;&quot;}],&quot;container-title&quot;:&quot;Current Biology&quot;,&quot;DOI&quot;:&quot;10.1016/j.cub.2007.09.025&quot;,&quot;ISSN&quot;:&quot;09609822&quot;,&quot;issued&quot;:{&quot;date-parts&quot;:[[2007,10]]},&quot;issue&quot;:&quot;20&quot;,&quot;volume&quot;:&quot;17&quot;},&quot;isTemporary&quot;:false}],&quot;properties&quot;:{&quot;noteIndex&quot;:0},&quot;isEdited&quot;:false,&quot;manualOverride&quot;:{&quot;isManuallyOverridden&quot;:true,&quot;citeprocText&quot;:&quot;(Vogt, 2010; D. Wang et al., 2007)&quot;,&quot;manualOverrideText&quot;:&quot;(Vogt, 2010; Wang et al., 2007)&quot;},&quot;citationTag&quot;:&quot;MENDELEY_CITATION_v3_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&quot;},{&quot;citationID&quot;:&quot;MENDELEY_CITATION_376b7955-08cc-404a-9834-20819493e3bf&quot;,&quot;citationItems&quot;:[{&quot;id&quot;:&quot;451013d0-61fe-3c65-8c5b-98994951c7aa&quot;,&quot;itemData&quot;:{&quot;type&quot;:&quot;article-journal&quot;,&quot;id&quot;:&quot;451013d0-61fe-3c65-8c5b-98994951c7aa&quot;,&quot;title&quot;:&quot;Salicylic Acid Inhibits Pathogen Growth in Plants through Repression of the Auxin Signaling Pathway&quot;,&quot;author&quot;:[{&quot;family&quot;:&quot;Wang&quot;,&quot;given&quot;:&quot;Dong&quot;,&quot;parse-names&quot;:false,&quot;dropping-particle&quot;:&quot;&quot;,&quot;non-dropping-particle&quot;:&quot;&quot;},{&quot;family&quot;:&quot;Pajerowska-Mukhtar&quot;,&quot;given&quot;:&quot;Karolina&quot;,&quot;parse-names&quot;:false,&quot;dropping-particle&quot;:&quot;&quot;,&quot;non-dropping-particle&quot;:&quot;&quot;},{&quot;family&quot;:&quot;Culler&quot;,&quot;given&quot;:&quot;Angela Hendrickson&quot;,&quot;parse-names&quot;:false,&quot;dropping-particle&quot;:&quot;&quot;,&quot;non-dropping-particle&quot;:&quot;&quot;},{&quot;family&quot;:&quot;Dong&quot;,&quot;given&quot;:&quot;Xinnian&quot;,&quot;parse-names&quot;:false,&quot;dropping-particle&quot;:&quot;&quot;,&quot;non-dropping-particle&quot;:&quot;&quot;}],&quot;container-title&quot;:&quot;Current Biology&quot;,&quot;DOI&quot;:&quot;10.1016/j.cub.2007.09.025&quot;,&quot;ISSN&quot;:&quot;09609822&quot;,&quot;issued&quot;:{&quot;date-parts&quot;:[[2007,10]]},&quot;issue&quot;:&quot;20&quot;,&quot;volume&quot;:&quot;17&quot;},&quot;isTemporary&quot;:false}],&quot;properties&quot;:{&quot;noteIndex&quot;:0},&quot;isEdited&quot;:false,&quot;manualOverride&quot;:{&quot;isManuallyOverridden&quot;:true,&quot;citeprocText&quot;:&quot;(D. Wang et al., 2007)&quot;,&quot;manualOverrideText&quot;:&quot;(Wang et al., 2007)&quot;},&quot;citationTag&quot;:&quot;MENDELEY_CITATION_v3_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&quot;},{&quot;citationID&quot;:&quot;MENDELEY_CITATION_de19db96-9665-438b-ab95-f2aea8566cff&quot;,&quot;citationItems&quot;:[{&quot;id&quot;:&quot;88ca11e4-6174-355c-a872-0ae9fb16b5ec&quot;,&quot;itemData&quot;:{&quot;type&quot;:&quot;article-journal&quot;,&quot;id&quot;:&quot;88ca11e4-6174-355c-a872-0ae9fb16b5ec&quot;,&quot;title&quot;:&quot;Modulation of Plant Defenses by Ethylene&quot;,&quot;author&quot;:[{&quot;family&quot;:&quot;Adie&quot;,&quot;given&quot;:&quot;Bruce&quot;,&quot;parse-names&quot;:false,&quot;dropping-particle&quot;:&quot;&quot;,&quot;non-dropping-particle&quot;:&quot;&quot;},{&quot;family&quot;:&quot;Chico&quot;,&quot;given&quot;:&quot;José Manuel&quot;,&quot;parse-names&quot;:false,&quot;dropping-particle&quot;:&quot;&quot;,&quot;non-dropping-particle&quot;:&quot;&quot;},{&quot;family&quot;:&quot;Rubio-Somoza&quot;,&quot;given&quot;:&quot;Ignacio&quot;,&quot;parse-names&quot;:false,&quot;dropping-particle&quot;:&quot;&quot;,&quot;non-dropping-particle&quot;:&quot;&quot;},{&quot;family&quot;:&quot;Solano&quot;,&quot;given&quot;:&quot;Roberto&quot;,&quot;parse-names&quot;:false,&quot;dropping-particle&quot;:&quot;&quot;,&quot;non-dropping-particle&quot;:&quot;&quot;}],&quot;container-title&quot;:&quot;Journal of Plant Growth Regulation&quot;,&quot;DOI&quot;:&quot;10.1007/s00344-007-0012-6&quot;,&quot;ISSN&quot;:&quot;0721-7595&quot;,&quot;issued&quot;:{&quot;date-parts&quot;:[[2007,7,27]]},&quot;issue&quot;:&quot;2&quot;,&quot;volume&quot;:&quot;26&quot;},&quot;isTemporary&quot;:false}],&quot;properties&quot;:{&quot;noteIndex&quot;:0},&quot;isEdited&quot;:false,&quot;manualOverride&quot;:{&quot;isManuallyOverridden&quot;:false,&quot;citeprocText&quot;:&quot;(Adie et al., 2007)&quot;,&quot;manualOverrideText&quot;:&quot;&quot;},&quot;citationTag&quot;:&quot;MENDELEY_CITATION_v3_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&quot;},{&quot;citationID&quot;:&quot;MENDELEY_CITATION_8dd48511-23bc-40e7-bcf9-79f2fdeb2279&quot;,&quot;citationItems&quot;:[{&quot;id&quot;:&quot;3e3c8104-9db7-3483-ae25-a968f505f5cb&quot;,&quot;itemData&quot;:{&quot;type&quot;:&quot;article-journal&quot;,&quot;id&quot;:&quot;3e3c8104-9db7-3483-ae25-a968f505f5cb&quot;,&quot;title&quot;:&quot;Evolution of jasmonate and salicylate signal crosstalk&quot;,&quot;author&quot;:[{&quot;family&quot;:&quot;Thaler&quot;,&quot;given&quot;:&quot;Jennifer S.&quot;,&quot;parse-names&quot;:false,&quot;dropping-particle&quot;:&quot;&quot;,&quot;non-dropping-particle&quot;:&quot;&quot;},{&quot;family&quot;:&quot;Humphrey&quot;,&quot;given&quot;:&quot;Parris T.&quot;,&quot;parse-names&quot;:false,&quot;dropping-particle&quot;:&quot;&quot;,&quot;non-dropping-particle&quot;:&quot;&quot;},{&quot;family&quot;:&quot;Whiteman&quot;,&quot;given&quot;:&quot;Noah K.&quot;,&quot;parse-names&quot;:false,&quot;dropping-particle&quot;:&quot;&quot;,&quot;non-dropping-particle&quot;:&quot;&quot;}],&quot;container-title&quot;:&quot;Trends in Plant Science&quot;,&quot;DOI&quot;:&quot;10.1016/j.tplants.2012.02.010&quot;,&quot;ISSN&quot;:&quot;13601385&quot;,&quot;issued&quot;:{&quot;date-parts&quot;:[[2012,5]]},&quot;issue&quot;:&quot;5&quot;,&quot;volume&quot;:&quot;17&quot;},&quot;isTemporary&quot;:false}],&quot;properties&quot;:{&quot;noteIndex&quot;:0},&quot;isEdited&quot;:false,&quot;manualOverride&quot;:{&quot;isManuallyOverridden&quot;:false,&quot;citeprocText&quot;:&quot;(Thaler et al., 2012)&quot;,&quot;manualOverrideText&quot;:&quot;&quot;},&quot;citationTag&quot;:&quot;MENDELEY_CITATION_v3_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&quot;},{&quot;citationID&quot;:&quot;MENDELEY_CITATION_6d0a9daa-691c-43ef-99c5-90c4edb85551&quot;,&quot;citationItems&quot;:[{&quot;id&quot;:&quot;b2bf22a9-187f-34fb-9592-a593661ce632&quot;,&quot;itemData&quot;:{&quot;type&quot;:&quot;article-journal&quot;,&quot;id&quot;:&quot;b2bf22a9-187f-34fb-9592-a593661ce632&quot;,&quot;title&quot;:&quot;Hormone Crosstalk in Plant Disease and Defense: More Than Just JASMONATE-SALICYLATE Antagonism&quot;,&quot;author&quot;:[{&quot;family&quot;:&quot;Robert-Seilaniantz&quot;,&quot;given&quot;:&quot;Alexandre&quot;,&quot;parse-names&quot;:false,&quot;dropping-particle&quot;:&quot;&quot;,&quot;non-dropping-particle&quot;:&quot;&quot;},{&quot;family&quot;:&quot;Grant&quot;,&quot;given&quot;:&quot;Murray&quot;,&quot;parse-names&quot;:false,&quot;dropping-particle&quot;:&quot;&quot;,&quot;non-dropping-particle&quot;:&quot;&quot;},{&quot;family&quot;:&quot;Jones&quot;,&quot;given&quot;:&quot;Jonathan D.G.&quot;,&quot;parse-names&quot;:false,&quot;dropping-particle&quot;:&quot;&quot;,&quot;non-dropping-particle&quot;:&quot;&quot;}],&quot;container-title&quot;:&quot;Annual Review of Phytopathology&quot;,&quot;DOI&quot;:&quot;10.1146/annurev-phyto-073009-114447&quot;,&quot;ISSN&quot;:&quot;0066-4286&quot;,&quot;issued&quot;:{&quot;date-parts&quot;:[[2011,9,8]]},&quot;issue&quot;:&quot;1&quot;,&quot;volume&quot;:&quot;49&quot;},&quot;isTemporary&quot;:false}],&quot;properties&quot;:{&quot;noteIndex&quot;:0},&quot;isEdited&quot;:false,&quot;manualOverride&quot;:{&quot;isManuallyOverridden&quot;:false,&quot;citeprocText&quot;:&quot;(Robert-Seilaniantz et al., 2011)&quot;,&quot;manualOverrideText&quot;:&quot;&quot;},&quot;citationTag&quot;:&quot;MENDELEY_CITATION_v3_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&quot;},{&quot;citationID&quot;:&quot;MENDELEY_CITATION_686149a2-0e7f-43f2-935c-ab4332c82f12&quot;,&quot;citationItems&quot;:[{&quot;id&quot;:&quot;b2bf22a9-187f-34fb-9592-a593661ce632&quot;,&quot;itemData&quot;:{&quot;type&quot;:&quot;article-journal&quot;,&quot;id&quot;:&quot;b2bf22a9-187f-34fb-9592-a593661ce632&quot;,&quot;title&quot;:&quot;Hormone Crosstalk in Plant Disease and Defense: More Than Just JASMONATE-SALICYLATE Antagonism&quot;,&quot;author&quot;:[{&quot;family&quot;:&quot;Robert-Seilaniantz&quot;,&quot;given&quot;:&quot;Alexandre&quot;,&quot;parse-names&quot;:false,&quot;dropping-particle&quot;:&quot;&quot;,&quot;non-dropping-particle&quot;:&quot;&quot;},{&quot;family&quot;:&quot;Grant&quot;,&quot;given&quot;:&quot;Murray&quot;,&quot;parse-names&quot;:false,&quot;dropping-particle&quot;:&quot;&quot;,&quot;non-dropping-particle&quot;:&quot;&quot;},{&quot;family&quot;:&quot;Jones&quot;,&quot;given&quot;:&quot;Jonathan D.G.&quot;,&quot;parse-names&quot;:false,&quot;dropping-particle&quot;:&quot;&quot;,&quot;non-dropping-particle&quot;:&quot;&quot;}],&quot;container-title&quot;:&quot;Annual Review of Phytopathology&quot;,&quot;DOI&quot;:&quot;10.1146/annurev-phyto-073009-114447&quot;,&quot;ISSN&quot;:&quot;0066-4286&quot;,&quot;issued&quot;:{&quot;date-parts&quot;:[[2011,9,8]]},&quot;issue&quot;:&quot;1&quot;,&quot;volume&quot;:&quot;49&quot;},&quot;isTemporary&quot;:false}],&quot;properties&quot;:{&quot;noteIndex&quot;:0},&quot;isEdited&quot;:false,&quot;manualOverride&quot;:{&quot;isManuallyOverridden&quot;:false,&quot;citeprocText&quot;:&quot;(Robert-Seilaniantz et al., 2011)&quot;,&quot;manualOverrideText&quot;:&quot;&quot;},&quot;citationTag&quot;:&quot;MENDELEY_CITATION_v3_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&quot;},{&quot;citationID&quot;:&quot;MENDELEY_CITATION_202c0b34-468e-4c5d-8217-a0f14160988f&quot;,&quot;citationItems&quot;:[{&quot;id&quot;:&quot;202ddcc9-f826-3447-b2da-f89ddc21d151&quot;,&quot;itemData&quot;:{&quot;type&quot;:&quot;article-journal&quot;,&quot;id&quot;:&quot;202ddcc9-f826-3447-b2da-f89ddc21d151&quot;,&quot;title&quot;:&quot;Evolution of Hormone Signaling Networks in Plant Defense&quot;,&quot;author&quot;:[{&quot;family&quot;:&quot;Berens&quot;,&quot;given&quot;:&quot;Matthias L.&quot;,&quot;parse-names&quot;:false,&quot;dropping-particle&quot;:&quot;&quot;,&quot;non-dropping-particle&quot;:&quot;&quot;},{&quot;family&quot;:&quot;Berry&quot;,&quot;given&quot;:&quot;Hannah M.&quot;,&quot;parse-names&quot;:false,&quot;dropping-particle&quot;:&quot;&quot;,&quot;non-dropping-particle&quot;:&quot;&quot;},{&quot;family&quot;:&quot;Mine&quot;,&quot;given&quot;:&quot;Akira&quot;,&quot;parse-names&quot;:false,&quot;dropping-particle&quot;:&quot;&quot;,&quot;non-dropping-particle&quot;:&quot;&quot;},{&quot;family&quot;:&quot;Argueso&quot;,&quot;given&quot;:&quot;Cristiana T.&quot;,&quot;parse-names&quot;:false,&quot;dropping-particle&quot;:&quot;&quot;,&quot;non-dropping-particle&quot;:&quot;&quot;},{&quot;family&quot;:&quot;Tsuda&quot;,&quot;given&quot;:&quot;Kenichi&quot;,&quot;parse-names&quot;:false,&quot;dropping-particle&quot;:&quot;&quot;,&quot;non-dropping-particle&quot;:&quot;&quot;}],&quot;container-title&quot;:&quot;Annual Review of Phytopathology&quot;,&quot;DOI&quot;:&quot;10.1146/annurev-phyto-080516-035544&quot;,&quot;ISSN&quot;:&quot;0066-4286&quot;,&quot;issued&quot;:{&quot;date-parts&quot;:[[2017,8,4]]},&quot;issue&quot;:&quot;1&quot;,&quot;volume&quot;:&quot;55&quot;},&quot;isTemporary&quot;:false}],&quot;properties&quot;:{&quot;noteIndex&quot;:0},&quot;isEdited&quot;:false,&quot;manualOverride&quot;:{&quot;isManuallyOverridden&quot;:false,&quot;citeprocText&quot;:&quot;(Berens et al., 2017)&quot;,&quot;manualOverrideText&quot;:&quot;&quot;},&quot;citationTag&quot;:&quot;MENDELEY_CITATION_v3_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&quot;},{&quot;citationID&quot;:&quot;MENDELEY_CITATION_c40e1b3b-ac15-4b58-923a-e4d02a57a605&quot;,&quot;citationItems&quot;:[{&quot;id&quot;:&quot;451013d0-61fe-3c65-8c5b-98994951c7aa&quot;,&quot;itemData&quot;:{&quot;type&quot;:&quot;article-journal&quot;,&quot;id&quot;:&quot;451013d0-61fe-3c65-8c5b-98994951c7aa&quot;,&quot;title&quot;:&quot;Salicylic Acid Inhibits Pathogen Growth in Plants through Repression of the Auxin Signaling Pathway&quot;,&quot;author&quot;:[{&quot;family&quot;:&quot;Wang&quot;,&quot;given&quot;:&quot;Dong&quot;,&quot;parse-names&quot;:false,&quot;dropping-particle&quot;:&quot;&quot;,&quot;non-dropping-particle&quot;:&quot;&quot;},{&quot;family&quot;:&quot;Pajerowska-Mukhtar&quot;,&quot;given&quot;:&quot;Karolina&quot;,&quot;parse-names&quot;:false,&quot;dropping-particle&quot;:&quot;&quot;,&quot;non-dropping-particle&quot;:&quot;&quot;},{&quot;family&quot;:&quot;Culler&quot;,&quot;given&quot;:&quot;Angela Hendrickson&quot;,&quot;parse-names&quot;:false,&quot;dropping-particle&quot;:&quot;&quot;,&quot;non-dropping-particle&quot;:&quot;&quot;},{&quot;family&quot;:&quot;Dong&quot;,&quot;given&quot;:&quot;Xinnian&quot;,&quot;parse-names&quot;:false,&quot;dropping-particle&quot;:&quot;&quot;,&quot;non-dropping-particle&quot;:&quot;&quot;}],&quot;container-title&quot;:&quot;Current Biology&quot;,&quot;DOI&quot;:&quot;10.1016/j.cub.2007.09.025&quot;,&quot;ISSN&quot;:&quot;09609822&quot;,&quot;issued&quot;:{&quot;date-parts&quot;:[[2007,10]]},&quot;issue&quot;:&quot;20&quot;,&quot;volume&quot;:&quot;17&quot;},&quot;isTemporary&quot;:false}],&quot;properties&quot;:{&quot;noteIndex&quot;:0},&quot;isEdited&quot;:false,&quot;manualOverride&quot;:{&quot;isManuallyOverridden&quot;:true,&quot;citeprocText&quot;:&quot;(D. Wang et al., 2007)&quot;,&quot;manualOverrideText&quot;:&quot;(Wang et al., 2007)&quot;},&quot;citationTag&quot;:&quot;MENDELEY_CITATION_v3_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&quot;},{&quot;citationID&quot;:&quot;MENDELEY_CITATION_fea7a205-358b-4fa3-9b50-0c9db0c631d1&quot;,&quot;citationItems&quot;:[{&quot;id&quot;:&quot;c970e579-a540-3fb9-bf86-a998d6252221&quot;,&quot;itemData&quot;:{&quot;type&quot;:&quot;article-journal&quot;,&quot;id&quot;:&quot;c970e579-a540-3fb9-bf86-a998d6252221&quot;,&quot;title&quot;:&quot;Linking development to defense: auxin in plant–pathogen interactions&quot;,&quot;author&quot;:[{&quot;family&quot;:&quot;Kazan&quot;,&quot;given&quot;:&quot;Kemal&quot;,&quot;parse-names&quot;:false,&quot;dropping-particle&quot;:&quot;&quot;,&quot;non-dropping-particle&quot;:&quot;&quot;},{&quot;family&quot;:&quot;Manners&quot;,&quot;given&quot;:&quot;John M.&quot;,&quot;parse-names&quot;:false,&quot;dropping-particle&quot;:&quot;&quot;,&quot;non-dropping-particle&quot;:&quot;&quot;}],&quot;container-title&quot;:&quot;Trends in Plant Science&quot;,&quot;DOI&quot;:&quot;10.1016/j.tplants.2009.04.005&quot;,&quot;ISSN&quot;:&quot;13601385&quot;,&quot;issued&quot;:{&quot;date-parts&quot;:[[2009,7]]},&quot;issue&quot;:&quot;7&quot;,&quot;volume&quot;:&quot;14&quot;},&quot;isTemporary&quot;:false},{&quot;id&quot;:&quot;7ecbda70-dad4-34ef-8d7a-bc8ff48613b3&quot;,&quot;itemData&quot;:{&quot;type&quot;:&quot;article-journal&quot;,&quot;id&quot;:&quot;7ecbda70-dad4-34ef-8d7a-bc8ff48613b3&quot;,&quot;title&quot;:&quot;Effect of Glyphosate on Ethylene Production in Tobacco Callus&quot;,&quot;author&quot;:[{&quot;family&quot;:&quot;Lee&quot;,&quot;given&quot;:&quot;Tsung T.&quot;,&quot;parse-names&quot;:false,&quot;dropping-particle&quot;:&quot;&quot;,&quot;non-dropping-particle&quot;:&quot;&quot;},{&quot;family&quot;:&quot;Dumas&quot;,&quot;given&quot;:&quot;Theodore&quot;,&quot;parse-names&quot;:false,&quot;dropping-particle&quot;:&quot;&quot;,&quot;non-dropping-particle&quot;:&quot;&quot;}],&quot;container-title&quot;:&quot;Plant Physiology&quot;,&quot;DOI&quot;:&quot;10.1104/pp.72.3.855&quot;,&quot;ISSN&quot;:&quot;0032-0889&quot;,&quot;issued&quot;:{&quot;date-parts&quot;:[[1983,7,1]]},&quot;issue&quot;:&quot;3&quot;,&quot;volume&quot;:&quot;72&quot;},&quot;isTemporary&quot;:false}],&quot;properties&quot;:{&quot;noteIndex&quot;:0},&quot;isEdited&quot;:false,&quot;manualOverride&quot;:{&quot;isManuallyOverridden&quot;:false,&quot;citeprocText&quot;:&quot;(Kazan &amp;#38; Manners, 2009; Lee &amp;#38; Dumas, 1983)&quot;,&quot;manualOverrideText&quot;:&quot;&quot;},&quot;citationTag&quot;:&quot;MENDELEY_CITATION_v3_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&quot;},{&quot;citationID&quot;:&quot;MENDELEY_CITATION_c3c71c31-4d8a-4d75-8b7a-c16009c22f1f&quot;,&quot;citationItems&quot;:[{&quot;id&quot;:&quot;b2bf22a9-187f-34fb-9592-a593661ce632&quot;,&quot;itemData&quot;:{&quot;type&quot;:&quot;article-journal&quot;,&quot;id&quot;:&quot;b2bf22a9-187f-34fb-9592-a593661ce632&quot;,&quot;title&quot;:&quot;Hormone Crosstalk in Plant Disease and Defense: More Than Just JASMONATE-SALICYLATE Antagonism&quot;,&quot;author&quot;:[{&quot;family&quot;:&quot;Robert-Seilaniantz&quot;,&quot;given&quot;:&quot;Alexandre&quot;,&quot;parse-names&quot;:false,&quot;dropping-particle&quot;:&quot;&quot;,&quot;non-dropping-particle&quot;:&quot;&quot;},{&quot;family&quot;:&quot;Grant&quot;,&quot;given&quot;:&quot;Murray&quot;,&quot;parse-names&quot;:false,&quot;dropping-particle&quot;:&quot;&quot;,&quot;non-dropping-particle&quot;:&quot;&quot;},{&quot;family&quot;:&quot;Jones&quot;,&quot;given&quot;:&quot;Jonathan D.G.&quot;,&quot;parse-names&quot;:false,&quot;dropping-particle&quot;:&quot;&quot;,&quot;non-dropping-particle&quot;:&quot;&quot;}],&quot;container-title&quot;:&quot;Annual Review of Phytopathology&quot;,&quot;DOI&quot;:&quot;10.1146/annurev-phyto-073009-114447&quot;,&quot;ISSN&quot;:&quot;0066-4286&quot;,&quot;issued&quot;:{&quot;date-parts&quot;:[[2011,9,8]]},&quot;issue&quot;:&quot;1&quot;,&quot;volume&quot;:&quot;49&quot;},&quot;isTemporary&quot;:false}],&quot;properties&quot;:{&quot;noteIndex&quot;:0},&quot;isEdited&quot;:false,&quot;manualOverride&quot;:{&quot;isManuallyOverridden&quot;:true,&quot;citeprocText&quot;:&quot;(Robert-Seilaniantz et al., 2011)&quot;,&quot;manualOverrideText&quot;:&quot;(Robert-Seilaniantz et al., 2011).&quot;},&quot;citationTag&quot;:&quot;MENDELEY_CITATION_v3_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&quot;},{&quot;citationID&quot;:&quot;MENDELEY_CITATION_7ebeaad4-c71d-4903-8dab-9b9084854924&quot;,&quot;citationItems&quot;:[{&quot;id&quot;:&quot;753e8328-1f64-3593-bcb9-4a48290d4f93&quot;,&quot;itemData&quot;:{&quot;type&quot;:&quot;article-journal&quot;,&quot;id&quot;:&quot;753e8328-1f64-3593-bcb9-4a48290d4f93&quot;,&quot;title&quot;:&quot;Effects of three AM fungi on growth, distribution of glandular hairs, and essential oil production in Ocimum basilicum L. var. Genovese&quot;,&quot;author&quot;:[{&quot;family&quot;:&quot;Copetta&quot;,&quot;given&quot;:&quot;Andrea&quot;,&quot;parse-names&quot;:false,&quot;dropping-particle&quot;:&quot;&quot;,&quot;non-dropping-particle&quot;:&quot;&quot;},{&quot;family&quot;:&quot;Lingua&quot;,&quot;given&quot;:&quot;Guido&quot;,&quot;parse-names&quot;:false,&quot;dropping-particle&quot;:&quot;&quot;,&quot;non-dropping-particle&quot;:&quot;&quot;},{&quot;family&quot;:&quot;Berta&quot;,&quot;given&quot;:&quot;Graziella&quot;,&quot;parse-names&quot;:false,&quot;dropping-particle&quot;:&quot;&quot;,&quot;non-dropping-particle&quot;:&quot;&quot;}],&quot;container-title&quot;:&quot;Mycorrhiza&quot;,&quot;DOI&quot;:&quot;10.1007/s00572-006-0065-6&quot;,&quot;ISSN&quot;:&quot;0940-6360&quot;,&quot;issued&quot;:{&quot;date-parts&quot;:[[2006,10,8]]},&quot;issue&quot;:&quot;7&quot;,&quot;volume&quot;:&quot;16&quot;},&quot;isTemporary&quot;:false},{&quot;id&quot;:&quot;cf14b4e3-7280-3508-b5e3-3d8efe4e716c&quot;,&quot;itemData&quot;:{&quot;type&quot;:&quot;article-journal&quot;,&quot;id&quot;:&quot;cf14b4e3-7280-3508-b5e3-3d8efe4e716c&quot;,&quot;title&quot;:&quot;Glomus macrocarpum: a potential bioinoculant to improve essential oil quality and concentration in Dill (Anethumgraveolens L.) and Carum (Trachyspermumammi (Linn.) Sprague).&quot;,&quot;author&quot;:[{&quot;family&quot;:&quot;Kapoor&quot;,&quot;given&quot;:&quot;Rupam&quot;,&quot;parse-names&quot;:false,&quot;dropping-particle&quot;:&quot;&quot;,&quot;non-dropping-particle&quot;:&quot;&quot;},{&quot;family&quot;:&quot;Giri&quot;,&quot;given&quot;:&quot;Bhoopander&quot;,&quot;parse-names&quot;:false,&quot;dropping-particle&quot;:&quot;&quot;,&quot;non-dropping-particle&quot;:&quot;&quot;},{&quot;family&quot;:&quot;Mukerji&quot;,&quot;given&quot;:&quot;Krishan G.&quot;,&quot;parse-names&quot;:false,&quot;dropping-particle&quot;:&quot;&quot;,&quot;non-dropping-particle&quot;:&quot;&quot;}],&quot;container-title&quot;:&quot;World Journal of Microbiology and Biotechnology&quot;,&quot;DOI&quot;:&quot;10.1023/A:1015522100497&quot;,&quot;ISSN&quot;:&quot;09593993&quot;,&quot;issued&quot;:{&quot;date-parts&quot;:[[2002]]},&quot;issue&quot;:&quot;5&quot;,&quot;volume&quot;:&quot;18&quot;},&quot;isTemporary&quot;:false},{&quot;id&quot;:&quot;9fd5644d-8478-3642-aa33-7803a800944f&quot;,&quot;itemData&quot;:{&quot;type&quot;:&quot;article-journal&quot;,&quot;id&quot;:&quot;9fd5644d-8478-3642-aa33-7803a800944f&quot;,&quot;title&quot;:&quot;Arbuscular mycorrhiza alter the concentration of essential oils in oregano (Origanum sp., Lamiaceae)&quot;,&quot;author&quot;:[{&quot;family&quot;:&quot;Khaosaad&quot;,&quot;given&quot;:&quot;T.&quot;,&quot;parse-names&quot;:false,&quot;dropping-particle&quot;:&quot;&quot;,&quot;non-dropping-particle&quot;:&quot;&quot;},{&quot;family&quot;:&quot;Vierheilig&quot;,&quot;given&quot;:&quot;H.&quot;,&quot;parse-names&quot;:false,&quot;dropping-particle&quot;:&quot;&quot;,&quot;non-dropping-particle&quot;:&quot;&quot;},{&quot;family&quot;:&quot;Nell&quot;,&quot;given&quot;:&quot;M.&quot;,&quot;parse-names&quot;:false,&quot;dropping-particle&quot;:&quot;&quot;,&quot;non-dropping-particle&quot;:&quot;&quot;},{&quot;family&quot;:&quot;Zitterl-Eglseer&quot;,&quot;given&quot;:&quot;K.&quot;,&quot;parse-names&quot;:false,&quot;dropping-particle&quot;:&quot;&quot;,&quot;non-dropping-particle&quot;:&quot;&quot;},{&quot;family&quot;:&quot;Novak&quot;,&quot;given&quot;:&quot;J.&quot;,&quot;parse-names&quot;:false,&quot;dropping-particle&quot;:&quot;&quot;,&quot;non-dropping-particle&quot;:&quot;&quot;}],&quot;container-title&quot;:&quot;Mycorrhiza&quot;,&quot;DOI&quot;:&quot;10.1007/s00572-006-0062-9&quot;,&quot;ISSN&quot;:&quot;0940-6360&quot;,&quot;issued&quot;:{&quot;date-parts&quot;:[[2006,9,15]]},&quot;issue&quot;:&quot;6&quot;,&quot;volume&quot;:&quot;16&quot;},&quot;isTemporary&quot;:false},{&quot;id&quot;:&quot;0a0c35fd-5c70-3942-8113-0e86cefc3b33&quot;,&quot;itemData&quot;:{&quot;type&quot;:&quot;article-journal&quot;,&quot;id&quot;:&quot;0a0c35fd-5c70-3942-8113-0e86cefc3b33&quot;,&quot;title&quot;:&quot;Flavonoid levels in roots of Medicago sativa are modulated by the developmental stage of the symbiosis and the root colonizing arbuscular mycorrhizal fungus&quot;,&quot;author&quot;:[{&quot;family&quot;:&quot;Larose&quot;,&quot;given&quot;:&quot;Geneviève&quot;,&quot;parse-names&quot;:false,&quot;dropping-particle&quot;:&quot;&quot;,&quot;non-dropping-particle&quot;:&quot;&quot;},{&quot;family&quot;:&quot;Chênevert&quot;,&quot;given&quot;:&quot;Robert&quot;,&quot;parse-names&quot;:false,&quot;dropping-particle&quot;:&quot;&quot;,&quot;non-dropping-particle&quot;:&quot;&quot;},{&quot;family&quot;:&quot;Moutoglis&quot;,&quot;given&quot;:&quot;Peter&quot;,&quot;parse-names&quot;:false,&quot;dropping-particle&quot;:&quot;&quot;,&quot;non-dropping-particle&quot;:&quot;&quot;},{&quot;family&quot;:&quot;Gagné&quot;,&quot;given&quot;:&quot;Serge&quot;,&quot;parse-names&quot;:false,&quot;dropping-particle&quot;:&quot;&quot;,&quot;non-dropping-particle&quot;:&quot;&quot;},{&quot;family&quot;:&quot;Piché&quot;,&quot;given&quot;:&quot;Yves&quot;,&quot;parse-names&quot;:false,&quot;dropping-particle&quot;:&quot;&quot;,&quot;non-dropping-particle&quot;:&quot;&quot;},{&quot;family&quot;:&quot;Vierheilig&quot;,&quot;given&quot;:&quot;Horst&quot;,&quot;parse-names&quot;:false,&quot;dropping-particle&quot;:&quot;&quot;,&quot;non-dropping-particle&quot;:&quot;&quot;}],&quot;container-title&quot;:&quot;Journal of Plant Physiology&quot;,&quot;DOI&quot;:&quot;10.1078/0176-1617-00896&quot;,&quot;ISSN&quot;:&quot;01761617&quot;,&quot;issued&quot;:{&quot;date-parts&quot;:[[2002,1]]},&quot;issue&quot;:&quot;12&quot;,&quot;volume&quot;:&quot;159&quot;},&quot;isTemporary&quot;:false},{&quot;id&quot;:&quot;a31442a3-7f3c-3588-8f01-1cb5bd22911e&quot;,&quot;itemData&quot;:{&quot;type&quot;:&quot;article-journal&quot;,&quot;id&quot;:&quot;a31442a3-7f3c-3588-8f01-1cb5bd22911e&quot;,&quot;title&quot;:&quot;Investigating physiological changes in the aerial parts of AM plants: what do we know and where should we be heading?&quot;,&quot;author&quot;:[{&quot;family&quot;:&quot;Toussaint&quot;,&quot;given&quot;:&quot;J.-P.&quot;,&quot;parse-names&quot;:false,&quot;dropping-particle&quot;:&quot;&quot;,&quot;non-dropping-particle&quot;:&quot;&quot;}],&quot;container-title&quot;:&quot;Mycorrhiza&quot;,&quot;DOI&quot;:&quot;10.1007/s00572-007-0133-6&quot;,&quot;ISSN&quot;:&quot;0940-6360&quot;,&quot;issued&quot;:{&quot;date-parts&quot;:[[2007,6,3]]},&quot;issue&quot;:&quot;4&quot;,&quot;volume&quot;:&quot;17&quot;},&quot;isTemporary&quot;:false}],&quot;properties&quot;:{&quot;noteIndex&quot;:0},&quot;isEdited&quot;:false,&quot;manualOverride&quot;:{&quot;isManuallyOverridden&quot;:false,&quot;citeprocText&quot;:&quot;(Copetta et al., 2006; Kapoor et al., 2002; Khaosaad et al., 2006; Larose et al., 2002; Toussaint, 2007)&quot;,&quot;manualOverrideText&quot;:&quot;&quot;},&quot;citationTag&quot;:&quot;MENDELEY_CITATION_v3_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&quot;},{&quot;citationID&quot;:&quot;MENDELEY_CITATION_26540f7f-7a8b-452f-9e9e-9118d0152abc&quot;,&quot;citationItems&quot;:[{&quot;id&quot;:&quot;8a479f5e-c81e-3ee3-8bcd-5bb0bb50fdfe&quot;,&quot;itemData&quot;:{&quot;type&quot;:&quot;article-journal&quot;,&quot;id&quot;:&quot;8a479f5e-c81e-3ee3-8bcd-5bb0bb50fdfe&quot;,&quot;title&quot;:&quot;Arbuscular Mycorrhizal Fungi Improve Tolerance of the Medicinal Plant Eclipta prostrata (L.) and Induce Major Changes in Polyphenol Profiles Under Salt Stresses&quot;,&quot;author&quot;:[{&quot;family&quot;:&quot;Duc&quot;,&quot;given&quot;:&quot;Nguyen Hong&quot;,&quot;parse-names&quot;:false,&quot;dropping-particle&quot;:&quot;&quot;,&quot;non-dropping-particle&quot;:&quot;&quot;},{&quot;family&quot;:&quot;Vo&quot;,&quot;given&quot;:&quot;Au Trung&quot;,&quot;parse-names&quot;:false,&quot;dropping-particle&quot;:&quot;&quot;,&quot;non-dropping-particle&quot;:&quot;&quot;},{&quot;family&quot;:&quot;Haddidi&quot;,&quot;given&quot;:&quot;Imane&quot;,&quot;parse-names&quot;:false,&quot;dropping-particle&quot;:&quot;&quot;,&quot;non-dropping-particle&quot;:&quot;&quot;},{&quot;family&quot;:&quot;Daood&quot;,&quot;given&quot;:&quot;Hussein&quot;,&quot;parse-names&quot;:false,&quot;dropping-particle&quot;:&quot;&quot;,&quot;non-dropping-particle&quot;:&quot;&quot;},{&quot;family&quot;:&quot;Posta&quot;,&quot;given&quot;:&quot;Katalin&quot;,&quot;parse-names&quot;:false,&quot;dropping-particle&quot;:&quot;&quot;,&quot;non-dropping-particle&quot;:&quot;&quot;}],&quot;container-title&quot;:&quot;Frontiers in Plant Science&quot;,&quot;DOI&quot;:&quot;10.3389/fpls.2020.612299&quot;,&quot;ISSN&quot;:&quot;1664-462X&quot;,&quot;issued&quot;:{&quot;date-parts&quot;:[[2021,1,15]]},&quot;abstract&quot;:&quot;&lt;p&gt; &lt;italic&gt;Eclipta prostrata&lt;/italic&gt; (L.) is an important and well-known medicinal plant due to its valuable bioactive compounds. Microorganisms, including arbuscular mycorrhizal fungi (AMF), and salinity could directly impact plant metabolome, thus influencing their secondary metabolites and the efficacy of herbal medicine. In this study, the role of different single AMF species ( &lt;italic&gt;Funneliformis mosseae&lt;/italic&gt; , &lt;italic&gt;Septoglomus deserticola&lt;/italic&gt; , &lt;italic&gt;Acaulospora lacunosa&lt;/italic&gt; ) and a mixture of six AMF species in plant growth and physio-biochemical characteristics of &lt;italic&gt;E. prostrata&lt;/italic&gt; under non-saline conditions was investigated. Next, the most suitable AM treatment was chosen to examine the impact of AMF on physio-biochemical features and polyphenol profiles of &lt;italic&gt;E. prostrata&lt;/italic&gt; under saline conditions (100 and 200 mM NaCl). The findings indicated that AMF mixture application resulted in more effective promotion on the aboveground part of non-saline plants than single AMF species. AM mixture application improved growth and salt tolerance of &lt;italic&gt;E. prostrata&lt;/italic&gt; through increasing the activity of catalase, peroxidase (at 4 weeks), proline, and total phenolic content (at 8 weeks). Such benefits were not observed under high salinity, except for a higher total phenolic concentration in mycorrhizal plants at 8 weeks. Through high-performance liquid chromatography, 14 individual phenolic compounds were analyzed, with wedelolactone and/or 4,5-dicaffeoylquinic acid abundant in all treatments. Salinity and mycorrhizal inoculation sharply altered the polyphenol profiles of &lt;italic&gt;E. prostrata&lt;/italic&gt; . Moderate salinity boosted phenolic compound production in non-AM plants at 4 weeks, while at 8 weeks, the decline in the content of phenolic compounds occurred in uncolonized plants subjected to both saline conditions. Mycorrhization augmented polyphenol concentration and yield under non-saline and saline conditions, depending on the growth stages and salt stress severity. Plant age influenced polyphenol profiles with usually a higher content of phenolic compounds in older plants and changed the production of individual polyphenols of both non-AM and AM plants under non-stress and salt stress conditions. A better understanding of factors (involving mycorrhiza and salinity) affecting the phenolic compounds of &lt;italic&gt;E. prostrata&lt;/italic&gt; facilitates the optimization of individual polyphenol production in this medicinal plant. &lt;/p&gt;&quot;,&quot;volume&quot;:&quot;11&quot;},&quot;isTemporary&quot;:false}],&quot;properties&quot;:{&quot;noteIndex&quot;:0},&quot;isEdited&quot;:false,&quot;manualOverride&quot;:{&quot;isManuallyOverridden&quot;:false,&quot;citeprocText&quot;:&quot;(Duc et al., 2021)&quot;,&quot;manualOverrideText&quot;:&quot;&quot;},&quot;citationTag&quot;:&quot;MENDELEY_CITATION_v3_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&quot;},{&quot;citationID&quot;:&quot;MENDELEY_CITATION_b8cd9543-a4c5-4670-953e-730458227b9c&quot;,&quot;citationItems&quot;:[{&quot;id&quot;:&quot;157e545b-3472-3b26-93f7-3b60e5a4763b&quot;,&quot;itemData&quot;:{&quot;type&quot;:&quot;article&quot;,&quot;id&quot;:&quot;157e545b-3472-3b26-93f7-3b60e5a4763b&quot;,&quot;title&quot;:&quot;Plant secondary metabolite biosynthesis and transcriptional regulation in response to biotic and abiotic stress conditions&quot;,&quot;author&quot;:[{&quot;family&quot;:&quot;Jan&quot;,&quot;given&quot;:&quot;Rahmatullah&quot;,&quot;parse-names&quot;:false,&quot;dropping-particle&quot;:&quot;&quot;,&quot;non-dropping-particle&quot;:&quot;&quot;},{&quot;family&quot;:&quot;Asaf&quot;,&quot;given&quot;:&quot;Sajjad&quot;,&quot;parse-names&quot;:false,&quot;dropping-particle&quot;:&quot;&quot;,&quot;non-dropping-particle&quot;:&quot;&quot;},{&quot;family&quot;:&quot;Numan&quot;,&quot;given&quot;:&quot;Muhammad&quot;,&quot;parse-names&quot;:false,&quot;dropping-particle&quot;:&quot;&quot;,&quot;non-dropping-particle&quot;:&quot;&quot;},{&quot;family&quot;:&quot;Lubna&quot;,&quot;given&quot;:&quot;&quot;,&quot;parse-names&quot;:false,&quot;dropping-particle&quot;:&quot;&quot;,&quot;non-dropping-particle&quot;:&quot;&quot;},{&quot;family&quot;:&quot;Kim&quot;,&quot;given&quot;:&quot;Kyung Min&quot;,&quot;parse-names&quot;:false,&quot;dropping-particle&quot;:&quot;&quot;,&quot;non-dropping-particle&quot;:&quot;&quot;}],&quot;container-title&quot;:&quot;Agronomy&quot;,&quot;DOI&quot;:&quot;10.3390/agronomy11050968&quot;,&quot;ISSN&quot;:&quot;20734395&quot;,&quot;issued&quot;:{&quot;date-parts&quot;:[[2021]]},&quot;abstract&quot;:&quot;Plant secondary metabolites (SMs) play important roles in plant survival and in creating ecological connections between other species. In addition to providing a variety of valuable natural products, secondary metabolites help protect plants against pathogenic attacks and environmental stresses. Given their sessile nature, plants must protect themselves from such situations through accumulation of these bioactive compounds. Indeed, secondary metabolites act as herbivore deterrents, barriers against pathogen invasion, and mitigators of oxidative stress. The accumulation of SMs are highly dependent on environmental factors such as light, temperature, soil water, soil fertility, and salinity. For most plants, a change in an individual environmental factor can alter the content of secondary metabolites even if other factors remain constant. In this review, we focus on how individual environmental factors affect the accumulation of secondary metabolites in plants during both biotic and abiotic stress conditions. Furthermore, we discuss the application of abiotic and biotic elicitors in culture systems as well as their stimulating effects on the accumulation of secondary metabolites. Specifically, we discuss the shikimate pathway and the aromatic amino acids produced in this pathway, which are the precursors of a range of secondary metabolites including terpenoids, alkaloids, and sulfur-and nitrogen-containing compounds. We also detail how the biosynthesis of important metabolites is altered by several genes related to secondary metabolite biosynthesis pathways. Genes responsible for secondary metabolite biosynthesis in various plant species during stress conditions are regulated by transcriptional factors such as WRKY, MYB, AP2/ERF, bZIP, bHLH, and NAC, which are also discussed here.&quot;,&quot;publisher&quot;:&quot;MDPI AG&quot;,&quot;issue&quot;:&quot;5&quot;,&quot;volume&quot;:&quot;11&quot;},&quot;isTemporary&quot;:false}],&quot;properties&quot;:{&quot;noteIndex&quot;:0},&quot;isEdited&quot;:false,&quot;manualOverride&quot;:{&quot;isManuallyOverridden&quot;:true,&quot;citeprocText&quot;:&quot;(Jan et al., 2021)&quot;,&quot;manualOverrideText&quot;:&quot;(Jan et al., 2021).&quot;},&quot;citationTag&quot;:&quot;MENDELEY_CITATION_v3_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&quot;},{&quot;citationID&quot;:&quot;MENDELEY_CITATION_9c9f996f-3d6c-4f92-b523-fd5fd572634e&quot;,&quot;citationItems&quot;:[{&quot;id&quot;:&quot;5a3706d0-ffe9-3c85-a182-c439d40d6927&quot;,&quot;itemData&quot;:{&quot;type&quot;:&quot;book&quot;,&quot;id&quot;:&quot;5a3706d0-ffe9-3c85-a182-c439d40d6927&quot;,&quot;title&quot;:&quot;Flavonoids and arbuscular mycorrhizal fungi&quot;,&quot;author&quot;:[{&quot;family&quot;:&quot;Vierheilig  H&quot;,&quot;given&quot;:&quot;Bago  B,  Albrecht  C,  Poulin  MJ,  Piche  Y&quot;,&quot;parse-names&quot;:false,&quot;dropping-particle&quot;:&quot;&quot;,&quot;non-dropping-particle&quot;:&quot;&quot;}],&quot;issued&quot;:{&quot;date-parts&quot;:[[1998]]},&quot;publisher-place&quot;:&quot;New York&quot;,&quot;number-of-pages&quot;:&quot;9-33&quot;},&quot;isTemporary&quot;:false}],&quot;properties&quot;:{&quot;noteIndex&quot;:0},&quot;isEdited&quot;:false,&quot;manualOverride&quot;:{&quot;isManuallyOverridden&quot;:true,&quot;citeprocText&quot;:&quot;(Vierheilig  H, 1998)&quot;,&quot;manualOverrideText&quot;:&quot;(Vierheilig, 1998)&quot;},&quot;citationTag&quot;:&quot;MENDELEY_CITATION_v3_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&quot;},{&quot;citationID&quot;:&quot;MENDELEY_CITATION_14e779e9-7aba-4dd5-a65a-d4b840655930&quot;,&quot;citationItems&quot;:[{&quot;id&quot;:&quot;362499ea-c978-3c55-bbec-b53df05bfcc7&quot;,&quot;itemData&quot;:{&quot;type&quot;:&quot;article-journal&quot;,&quot;id&quot;:&quot;362499ea-c978-3c55-bbec-b53df05bfcc7&quot;,&quot;title&quot;:&quot;Growth and mycorrhizal colonization of maize plants treated with aqueous extracts from nonmycorrhizal weeds&quot;,&quot;author&quot;:[{&quot;family&quot;:&quot;Melo&quot;,&quot;given&quot;:&quot;Karla Andréia&quot;,&quot;parse-names&quot;:false,&quot;dropping-particle&quot;:&quot;&quot;,&quot;non-dropping-particle&quot;:&quot;de&quot;},{&quot;family&quot;:&quot;Carrenho&quot;,&quot;given&quot;:&quot;Rosilaine&quot;,&quot;parse-names&quot;:false,&quot;dropping-particle&quot;:&quot;&quot;,&quot;non-dropping-particle&quot;:&quot;&quot;}],&quot;container-title&quot;:&quot;Pesquisa Agropecuaria Brasileira&quot;,&quot;DOI&quot;:&quot;10.1590/S0100-204X2017001100010&quot;,&quot;ISSN&quot;:&quot;16783921&quot;,&quot;issued&quot;:{&quot;date-parts&quot;:[[2017,11,1]]},&quot;page&quot;:&quot;1042-1049&quot;,&quot;abstract&quot;:&quot;The objective of this work was to evaluate the influence of aqueous extracts of nonmycorrhizal weedy species on dry matter accumulation and assimilate partitioning of maize plants, with or without Cetraspora pellucida inoculation. The experiment was carried out in pots, in a completely randomized design, in a 5x2 factorial arrangement consisting of four plant extracts (purple nutsedge, guinea-hen weed, slender amaranth, and knotweed), a control irrigated with water, and two conditions (mycorrhizal and nonmycorrhizal maize plants), with four replicates of each treatment. Plants were irrigated with aqueous extracts diluted at 15%. Root colonization (RC), shoot dry matter (SDM), root dry matter (RDM), and RDM/ SDM were evaluated. Root colonization was not influenced by the extracts, and ranged from 41.5 to 65.2%. Shoot dry matter of mycorrhizal (AM) and nonmycorrhizal (NM) plants was not influenced by the extracts; however RDM showed varying responses. Mycorrhization favored the production of RDM, and increased plant sensitiveness to the extracts. Guinea-hen weed extract increased RDM of AM plants, while the other extracts inhibited it. In NM plants, the production of RDM was benefited by slender amaranth extract, to the detriment of SDM. Mycorrhizal and nonmycorrhizal maize plants respond differently to aqueous extracts of nonmycorrhizal weeds.&quot;,&quot;publisher&quot;:&quot;Embrapa&quot;,&quot;issue&quot;:&quot;11&quot;,&quot;volume&quot;:&quot;52&quot;},&quot;isTemporary&quot;:false}],&quot;properties&quot;:{&quot;noteIndex&quot;:0},&quot;isEdited&quot;:false,&quot;manualOverride&quot;:{&quot;isManuallyOverriden&quot;:false,&quot;citeprocText&quot;:&quot;(de Melo &amp;#38; Carrenho, 2017)&quot;,&quot;manualOverrideText&quot;:&quot;(de Melo &amp; Carrenho, 2017).&quot;,&quot;isManuallyOverridden&quot;:true},&quot;citationTag&quot;:&quot;MENDELEY_CITATION_v3_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&quot;},{&quot;citationID&quot;:&quot;MENDELEY_CITATION_4e6d0b28-2e13-4f3b-b377-f12bc032fac8&quot;,&quot;citationItems&quot;:[{&quot;id&quot;:&quot;032ce0ba-0743-3711-9384-2eaac4c54a80&quot;,&quot;itemData&quot;:{&quot;type&quot;:&quot;article-journal&quot;,&quot;id&quot;:&quot;032ce0ba-0743-3711-9384-2eaac4c54a80&quot;,&quot;title&quot;:&quot;Different mycorrhizal fungal communities differentially affect plant phenolic-based resistance to insect herbivory&quot;,&quot;author&quot;:[{&quot;family&quot;:&quot;Frew&quot;,&quot;given&quot;:&quot;Adam&quot;,&quot;parse-names&quot;:false,&quot;dropping-particle&quot;:&quot;&quot;,&quot;non-dropping-particle&quot;:&quot;&quot;},{&quot;family&quot;:&quot;Wilson&quot;,&quot;given&quot;:&quot;Bree A.L.&quot;,&quot;parse-names&quot;:false,&quot;dropping-particle&quot;:&quot;&quot;,&quot;non-dropping-particle&quot;:&quot;&quot;}],&quot;container-title&quot;:&quot;Rhizosphere&quot;,&quot;DOI&quot;:&quot;10.1016/j.rhisph.2021.100365&quot;,&quot;ISSN&quot;:&quot;24522198&quot;,&quot;issued&quot;:{&quot;date-parts&quot;:[[2021,9]]},&quot;volume&quot;:&quot;19&quot;},&quot;isTemporary&quot;:false}],&quot;properties&quot;:{&quot;noteIndex&quot;:0},&quot;isEdited&quot;:false,&quot;manualOverride&quot;:{&quot;isManuallyOverridden&quot;:false,&quot;citeprocText&quot;:&quot;(Frew &amp;#38; Wilson, 2021)&quot;,&quot;manualOverrideText&quot;:&quot;&quot;},&quot;citationTag&quot;:&quot;MENDELEY_CITATION_v3_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&quot;},{&quot;citationID&quot;:&quot;MENDELEY_CITATION_a843e630-9b7d-4c28-80fd-29a2b16bbd7d&quot;,&quot;citationItems&quot;:[{&quot;id&quot;:&quot;1bbf47a7-62c6-35b9-bf40-b8a724ffc1dc&quot;,&quot;itemData&quot;:{&quot;type&quot;:&quot;article-journal&quot;,&quot;id&quot;:&quot;1bbf47a7-62c6-35b9-bf40-b8a724ffc1dc&quot;,&quot;title&quot;:&quot;Arbuscular mycorrhizal fungi species-specifically affect induced plant responses to a spider mite&quot;,&quot;author&quot;:[{&quot;family&quot;:&quot;Nishida&quot;,&quot;given&quot;:&quot;Takaaki&quot;,&quot;parse-names&quot;:false,&quot;dropping-particle&quot;:&quot;&quot;,&quot;non-dropping-particle&quot;:&quot;&quot;},{&quot;family&quot;:&quot;Katayama&quot;,&quot;given&quot;:&quot;Noboru&quot;,&quot;parse-names&quot;:false,&quot;dropping-particle&quot;:&quot;&quot;,&quot;non-dropping-particle&quot;:&quot;&quot;},{&quot;family&quot;:&quot;Izumi&quot;,&quot;given&quot;:&quot;Naoyuki&quot;,&quot;parse-names&quot;:false,&quot;dropping-particle&quot;:&quot;&quot;,&quot;non-dropping-particle&quot;:&quot;&quot;},{&quot;family&quot;:&quot;Ohgushi&quot;,&quot;given&quot;:&quot;Takayuki&quot;,&quot;parse-names&quot;:false,&quot;dropping-particle&quot;:&quot;&quot;,&quot;non-dropping-particle&quot;:&quot;&quot;}],&quot;container-title&quot;:&quot;Population Ecology&quot;,&quot;DOI&quot;:&quot;10.1007/s10144-010-0208-7&quot;,&quot;ISSN&quot;:&quot;1438-3896&quot;,&quot;issued&quot;:{&quot;date-parts&quot;:[[2010,10,14]]},&quot;issue&quot;:&quot;4&quot;,&quot;volume&quot;:&quot;52&quot;},&quot;isTemporary&quot;:false},{&quot;id&quot;:&quot;c5330c44-8ccb-363b-9b94-b9538d375896&quot;,&quot;itemData&quot;:{&quot;type&quot;:&quot;article-journal&quot;,&quot;id&quot;:&quot;c5330c44-8ccb-363b-9b94-b9538d375896&quot;,&quot;title&quot;:&quot;Mycorrhizal colonization impacts on phenolic content and antioxidant properties of artichoke leaves and flower heads two years after field transplant&quot;,&quot;author&quot;:[{&quot;family&quot;:&quot;Ceccarelli&quot;,&quot;given&quot;:&quot;Nello&quot;,&quot;parse-names&quot;:false,&quot;dropping-particle&quot;:&quot;&quot;,&quot;non-dropping-particle&quot;:&quot;&quot;},{&quot;family&quot;:&quot;Curadi&quot;,&quot;given&quot;:&quot;Maurizio&quot;,&quot;parse-names&quot;:false,&quot;dropping-particle&quot;:&quot;&quot;,&quot;non-dropping-particle&quot;:&quot;&quot;},{&quot;family&quot;:&quot;Martelloni&quot;,&quot;given&quot;:&quot;Luca&quot;,&quot;parse-names&quot;:false,&quot;dropping-particle&quot;:&quot;&quot;,&quot;non-dropping-particle&quot;:&quot;&quot;},{&quot;family&quot;:&quot;Sbrana&quot;,&quot;given&quot;:&quot;Cristiana&quot;,&quot;parse-names&quot;:false,&quot;dropping-particle&quot;:&quot;&quot;,&quot;non-dropping-particle&quot;:&quot;&quot;},{&quot;family&quot;:&quot;Picciarelli&quot;,&quot;given&quot;:&quot;Piero&quot;,&quot;parse-names&quot;:false,&quot;dropping-particle&quot;:&quot;&quot;,&quot;non-dropping-particle&quot;:&quot;&quot;},{&quot;family&quot;:&quot;Giovannetti&quot;,&quot;given&quot;:&quot;Manuela&quot;,&quot;parse-names&quot;:false,&quot;dropping-particle&quot;:&quot;&quot;,&quot;non-dropping-particle&quot;:&quot;&quot;}],&quot;container-title&quot;:&quot;Plant and Soil&quot;,&quot;DOI&quot;:&quot;10.1007/s11104-010-0417-z&quot;,&quot;ISSN&quot;:&quot;0032-079X&quot;,&quot;issued&quot;:{&quot;date-parts&quot;:[[2010,10,18]]},&quot;issue&quot;:&quot;1-2&quot;,&quot;volume&quot;:&quot;335&quot;},&quot;isTemporary&quot;:false},{&quot;id&quot;:&quot;d54e0647-f2cf-35bc-a44e-33ff9827f94c&quot;,&quot;itemData&quot;:{&quot;type&quot;:&quot;article-journal&quot;,&quot;id&quot;:&quot;d54e0647-f2cf-35bc-a44e-33ff9827f94c&quot;,&quot;title&quot;:&quot; Mycorrhizal composition influences plant anatomical defense and impacts herbivore growth and survival in a life-stage dependent manner. &quot;,&quot;author&quot;:[{&quot;family&quot;:&quot;Malik RJ&quot;,&quot;given&quot;:&quot;&quot;,&quot;parse-names&quot;:false,&quot;dropping-particle&quot;:&quot;&quot;,&quot;non-dropping-particle&quot;:&quot;&quot;},{&quot;family&quot;:&quot;Ali JG&quot;,&quot;given&quot;:&quot;&quot;,&quot;parse-names&quot;:false,&quot;dropping-particle&quot;:&quot;&quot;,&quot;non-dropping-particle&quot;:&quot;&quot;},{&quot;family&quot;:&quot;Bever JD.&quot;,&quot;given&quot;:&quot;&quot;,&quot;parse-names&quot;:false,&quot;dropping-particle&quot;:&quot;&quot;,&quot;non-dropping-particle&quot;:&quot;&quot;}],&quot;container-title&quot;:&quot;Pedobiologia&quot;,&quot;issued&quot;:{&quot;date-parts&quot;:[[2018]]},&quot;page&quot;:&quot;29-35&quot;,&quot;volume&quot;:&quot;66&quot;},&quot;isTemporary&quot;:false},{&quot;id&quot;:&quot;032ce0ba-0743-3711-9384-2eaac4c54a80&quot;,&quot;itemData&quot;:{&quot;type&quot;:&quot;article-journal&quot;,&quot;id&quot;:&quot;032ce0ba-0743-3711-9384-2eaac4c54a80&quot;,&quot;title&quot;:&quot;Different mycorrhizal fungal communities differentially affect plant phenolic-based resistance to insect herbivory&quot;,&quot;author&quot;:[{&quot;family&quot;:&quot;Frew&quot;,&quot;given&quot;:&quot;Adam&quot;,&quot;parse-names&quot;:false,&quot;dropping-particle&quot;:&quot;&quot;,&quot;non-dropping-particle&quot;:&quot;&quot;},{&quot;family&quot;:&quot;Wilson&quot;,&quot;given&quot;:&quot;Bree A.L.&quot;,&quot;parse-names&quot;:false,&quot;dropping-particle&quot;:&quot;&quot;,&quot;non-dropping-particle&quot;:&quot;&quot;}],&quot;container-title&quot;:&quot;Rhizosphere&quot;,&quot;DOI&quot;:&quot;10.1016/j.rhisph.2021.100365&quot;,&quot;ISSN&quot;:&quot;24522198&quot;,&quot;issued&quot;:{&quot;date-parts&quot;:[[2021,9]]},&quot;volume&quot;:&quot;19&quot;},&quot;isTemporary&quot;:false}],&quot;properties&quot;:{&quot;noteIndex&quot;:0},&quot;isEdited&quot;:false,&quot;manualOverride&quot;:{&quot;isManuallyOverridden&quot;:false,&quot;citeprocText&quot;:&quot;(Ceccarelli et al., 2010; Frew &amp;#38; Wilson, 2021; Malik RJ et al., 2018; Nishida et al., 2010)&quot;,&quot;manualOverrideText&quot;:&quot;&quot;},&quot;citationTag&quot;:&quot;MENDELEY_CITATION_v3_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&quot;},{&quot;citationID&quot;:&quot;MENDELEY_CITATION_44139dee-50e6-46a6-b534-3c3b71fe3a4c&quot;,&quot;citationItems&quot;:[{&quot;id&quot;:&quot;8f18cde0-7e69-30f5-9ef2-7e1bc8318b8e&quot;,&quot;itemData&quot;:{&quot;type&quot;:&quot;article-journal&quot;,&quot;id&quot;:&quot;8f18cde0-7e69-30f5-9ef2-7e1bc8318b8e&quot;,&quot;title&quot;:&quot;Plant and insect microbial symbionts alter the outcome of plant–herbivore–parasitoid interactions: implications for invaded, agricultural and natural systems&quot;,&quot;author&quot;:[{&quot;family&quot;:&quot;Bennett&quot;,&quot;given&quot;:&quot;Alison E.&quot;,&quot;parse-names&quot;:false,&quot;dropping-particle&quot;:&quot;&quot;,&quot;non-dropping-particle&quot;:&quot;&quot;},{&quot;family&quot;:&quot;Millar&quot;,&quot;given&quot;:&quot;Niall S.&quot;,&quot;parse-names&quot;:false,&quot;dropping-particle&quot;:&quot;&quot;,&quot;non-dropping-particle&quot;:&quot;&quot;},{&quot;family&quot;:&quot;Gedrovics&quot;,&quot;given&quot;:&quot;Emils&quot;,&quot;parse-names&quot;:false,&quot;dropping-particle&quot;:&quot;&quot;,&quot;non-dropping-particle&quot;:&quot;&quot;},{&quot;family&quot;:&quot;Karley&quot;,&quot;given&quot;:&quot;Alison J.&quot;,&quot;parse-names&quot;:false,&quot;dropping-particle&quot;:&quot;&quot;,&quot;non-dropping-particle&quot;:&quot;&quot;}],&quot;container-title&quot;:&quot;Journal of Ecology&quot;,&quot;DOI&quot;:&quot;10.1111/1365-2745.12620&quot;,&quot;ISSN&quot;:&quot;0022-0477&quot;,&quot;issued&quot;:{&quot;date-parts&quot;:[[2016,11,19]]},&quot;issue&quot;:&quot;6&quot;,&quot;volume&quot;:&quot;104&quot;},&quot;isTemporary&quot;:false},{&quot;id&quot;:&quot;9913c16b-5e09-37d7-9ace-59aeebc27221&quot;,&quot;itemData&quot;:{&quot;type&quot;:&quot;article-journal&quot;,&quot;id&quot;:&quot;9913c16b-5e09-37d7-9ace-59aeebc27221&quot;,&quot;title&quot;:&quot;Plant and insect genetic variation mediate the impact of arbuscular mycorrhizal fungi on a natural plant-herbivore interaction&quot;,&quot;author&quot;:[{&quot;family&quot;:&quot;Rasmussen&quot;,&quot;given&quot;:&quot;PIL U.&quot;,&quot;parse-names&quot;:false,&quot;dropping-particle&quot;:&quot;&quot;,&quot;non-dropping-particle&quot;:&quot;&quot;},{&quot;family&quot;:&quot;Amin&quot;,&quot;given&quot;:&quot;TARIQUE&quot;,&quot;parse-names&quot;:false,&quot;dropping-particle&quot;:&quot;&quot;,&quot;non-dropping-particle&quot;:&quot;&quot;},{&quot;family&quot;:&quot;Bennett&quot;,&quot;given&quot;:&quot;ALISON E.&quot;,&quot;parse-names&quot;:false,&quot;dropping-particle&quot;:&quot;&quot;,&quot;non-dropping-particle&quot;:&quot;&quot;},{&quot;family&quot;:&quot;Karlsson Green&quot;,&quot;given&quot;:&quot;KRISTINA&quot;,&quot;parse-names&quot;:false,&quot;dropping-particle&quot;:&quot;&quot;,&quot;non-dropping-particle&quot;:&quot;&quot;},{&quot;family&quot;:&quot;Timonen&quot;,&quot;given&quot;:&quot;SARI&quot;,&quot;parse-names&quot;:false,&quot;dropping-particle&quot;:&quot;&quot;,&quot;non-dropping-particle&quot;:&quot;&quot;},{&quot;family&quot;:&quot;nouhuys&quot;,&quot;given&quot;:&quot;SASKYA&quot;,&quot;parse-names&quot;:false,&quot;dropping-particle&quot;:&quot;&quot;,&quot;non-dropping-particle&quot;:&quot;van&quot;},{&quot;family&quot;:&quot;Tack&quot;,&quot;given&quot;:&quot;AYCO J. M.&quot;,&quot;parse-names&quot;:false,&quot;dropping-particle&quot;:&quot;&quot;,&quot;non-dropping-particle&quot;:&quot;&quot;}],&quot;container-title&quot;:&quot;Ecological Entomology&quot;,&quot;DOI&quot;:&quot;10.1111/een.12453&quot;,&quot;ISSN&quot;:&quot;03076946&quot;,&quot;issued&quot;:{&quot;date-parts&quot;:[[2017,12]]},&quot;issue&quot;:&quot;6&quot;,&quot;volume&quot;:&quot;42&quot;},&quot;isTemporary&quot;:false}],&quot;properties&quot;:{&quot;noteIndex&quot;:0},&quot;isEdited&quot;:false,&quot;manualOverride&quot;:{&quot;isManuallyOverridden&quot;:true,&quot;citeprocText&quot;:&quot;(Bennett et al., 2016; Rasmussen et al., 2017)&quot;,&quot;manualOverrideText&quot;:&quot;(Bennett et al., 2016; Rasmussen et al., 2017).&quot;},&quot;citationTag&quot;:&quot;MENDELEY_CITATION_v3_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&quot;},{&quot;citationID&quot;:&quot;MENDELEY_CITATION_80c62b90-fdbc-4034-ad51-3480e93d96e4&quot;,&quot;citationItems&quot;:[{&quot;id&quot;:&quot;402726f9-f48f-368e-8832-195272197c62&quot;,&quot;itemData&quot;:{&quot;type&quot;:&quot;article&quot;,&quot;id&quot;:&quot;402726f9-f48f-368e-8832-195272197c62&quot;,&quot;title&quot;:&quot;Mycorrhiza-induced resistance: More than the sum of its parts?&quot;,&quot;author&quot;:[{&quot;family&quot;:&quot;Cameron&quot;,&quot;given&quot;:&quot;Duncan D.&quot;,&quot;parse-names&quot;:false,&quot;dropping-particle&quot;:&quot;&quot;,&quot;non-dropping-particle&quot;:&quot;&quot;},{&quot;family&quot;:&quot;Neal&quot;,&quot;given&quot;:&quot;Andrew L.&quot;,&quot;parse-names&quot;:false,&quot;dropping-particle&quot;:&quot;&quot;,&quot;non-dropping-particle&quot;:&quot;&quot;},{&quot;family&quot;:&quot;Wees&quot;,&quot;given&quot;:&quot;Saskia C.M.&quot;,&quot;parse-names&quot;:false,&quot;dropping-particle&quot;:&quot;&quot;,&quot;non-dropping-particle&quot;:&quot;van&quot;},{&quot;family&quot;:&quot;Ton&quot;,&quot;given&quot;:&quot;Jurriaan&quot;,&quot;parse-names&quot;:false,&quot;dropping-particle&quot;:&quot;&quot;,&quot;non-dropping-particle&quot;:&quot;&quot;}],&quot;container-title&quot;:&quot;Trends in Plant Science&quot;,&quot;DOI&quot;:&quot;10.1016/j.tplants.2013.06.004&quot;,&quot;ISSN&quot;:&quot;13601385&quot;,&quot;PMID&quot;:&quot;23871659&quot;,&quot;issued&quot;:{&quot;date-parts&quot;:[[2013,10]]},&quot;page&quot;:&quot;539-545&quot;,&quot;abstract&quot;:&quot;Plants can develop an enhanced defensive capacity in response to infection by arbuscular mycorrhizal fungi (AMF). This 'mycorrhiza-induced resistance' (MIR) provides systemic protection against a wide range of attackers and shares characteristics with systemic acquired resistance (SAR) after pathogen infection and induced systemic resistance (ISR) following root colonisation by non-pathogenic rhizobacteria. It is commonly assumed that fungal stimulation of the plant immune system is solely responsible for MIR. In this opinion article, we present a novel model of MIR that integrates different aspects of the induced resistance phenomenon. We propose that MIR is a cumulative effect of direct plant responses to mycorrhizal infection and indirect immune responses to ISR-eliciting rhizobacteria in the mycorrhizosphere. © 2013.&quot;,&quot;issue&quot;:&quot;10&quot;,&quot;volume&quot;:&quot;18&quot;},&quot;isTemporary&quot;:false},{&quot;id&quot;:&quot;9288bedf-d453-38d6-b0c1-17fe0bfb7d80&quot;,&quot;itemData&quot;:{&quot;type&quot;:&quot;article-journal&quot;,&quot;id&quot;:&quot;9288bedf-d453-38d6-b0c1-17fe0bfb7d80&quot;,&quot;title&quot;:&quot;Mycorrhiza-Induced Resistance and Priming of Plant Defenses&quot;,&quot;author&quot;:[{&quot;family&quot;:&quot;Jung&quot;,&quot;given&quot;:&quot;Sabine C.&quot;,&quot;parse-names&quot;:false,&quot;dropping-particle&quot;:&quot;&quot;,&quot;non-dropping-particle&quot;:&quot;&quot;},{&quot;family&quot;:&quot;Martinez-Medina&quot;,&quot;given&quot;:&quot;Ainhoa&quot;,&quot;parse-names&quot;:false,&quot;dropping-particle&quot;:&quot;&quot;,&quot;non-dropping-particle&quot;:&quot;&quot;},{&quot;family&quot;:&quot;Lopez-Raez&quot;,&quot;given&quot;:&quot;Juan A.&quot;,&quot;parse-names&quot;:false,&quot;dropping-particle&quot;:&quot;&quot;,&quot;non-dropping-particle&quot;:&quot;&quot;},{&quot;family&quot;:&quot;Pozo&quot;,&quot;given&quot;:&quot;Maria J.&quot;,&quot;parse-names&quot;:false,&quot;dropping-particle&quot;:&quot;&quot;,&quot;non-dropping-particle&quot;:&quot;&quot;}],&quot;container-title&quot;:&quot;Journal of Chemical Ecology&quot;,&quot;DOI&quot;:&quot;10.1007/s10886-012-0134-6&quot;,&quot;ISSN&quot;:&quot;00980331&quot;,&quot;PMID&quot;:&quot;22623151&quot;,&quot;issued&quot;:{&quot;date-parts&quot;:[[2012,6]]},&quot;page&quot;:&quot;651-664&quot;,&quot;abstract&quot;:&quot;Symbioses between plants and beneficial soil microorganisms like arbuscular-mycorrhizal fungi (AMF) are known to promote plant growth and help plants to cope with biotic and abiotic stresses. Profound physiological changes take place in the host plant upon root colonization by AMF affecting the interactions with a wide range of organisms below- and above-ground. Protective effects of the symbiosis against pathogens, pests, and parasitic plants have been described for many plant species, including agriculturally important crop varieties. Besides mechanisms such as improved plant nutrition and competition, experimental evidence supports a major role of plant defenses in the observed protection. During mycorrhiza establishment, modulation of plant defense responses occurs thus achieving a functional symbiosis. As a consequence of this modulation, a mild, but effective activation of the plant immune responses seems to occur, not only locally but also systemically. This activation leads to a primed state of the plant that allows a more efficient activation of defense mechanisms in response to attack by potential enemies. Here, we give an overview of the impact on interactions between mycorrhizal plants and pathogens, herbivores, and parasitic plants, and we summarize the current knowledge of the underlying mechanisms. We focus on the priming of jasmonate-regulated plant defense mechanisms that play a central role in the induction of resistance by arbuscular mycorrhizas. © 2012 Springer Science+Business Media, LLC.&quot;,&quot;issue&quot;:&quot;6&quot;,&quot;volume&quot;:&quot;38&quot;},&quot;isTemporary&quot;:false}],&quot;properties&quot;:{&quot;noteIndex&quot;:0},&quot;isEdited&quot;:false,&quot;manualOverride&quot;:{&quot;isManuallyOverridden&quot;:true,&quot;citeprocText&quot;:&quot;(Cameron et al., 2013a; Jung et al., 2012a)&quot;,&quot;manualOverrideText&quot;:&quot;(Cameron et al., 2013; Jung et al., 2012)&quot;},&quot;citationTag&quot;:&quot;MENDELEY_CITATION_v3_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&quot;},{&quot;citationID&quot;:&quot;MENDELEY_CITATION_dc15a7e4-1b0d-4ee7-a466-4ad3ee9ec515&quot;,&quot;citationItems&quot;:[{&quot;id&quot;:&quot;6146a33a-97ee-37fe-835e-b4d91c629f28&quot;,&quot;itemData&quot;:{&quot;type&quot;:&quot;article-journal&quot;,&quot;id&quot;:&quot;6146a33a-97ee-37fe-835e-b4d91c629f28&quot;,&quot;title&quot;:&quot;Hormonal and transcriptional profiles highlight common and differential host responses to arbuscular mycorrhizal fungi and the regulation of the oxylipin pathway&quot;,&quot;author&quot;:[{&quot;family&quot;:&quot;López-Ráez&quot;,&quot;given&quot;:&quot;Juan A.&quot;,&quot;parse-names&quot;:false,&quot;dropping-particle&quot;:&quot;&quot;,&quot;non-dropping-particle&quot;:&quot;&quot;},{&quot;family&quot;:&quot;Verhage&quot;,&quot;given&quot;:&quot;Adriaan&quot;,&quot;parse-names&quot;:false,&quot;dropping-particle&quot;:&quot;&quot;,&quot;non-dropping-particle&quot;:&quot;&quot;},{&quot;family&quot;:&quot;Fernández&quot;,&quot;given&quot;:&quot;Iván&quot;,&quot;parse-names&quot;:false,&quot;dropping-particle&quot;:&quot;&quot;,&quot;non-dropping-particle&quot;:&quot;&quot;},{&quot;family&quot;:&quot;García&quot;,&quot;given&quot;:&quot;Juan M.&quot;,&quot;parse-names&quot;:false,&quot;dropping-particle&quot;:&quot;&quot;,&quot;non-dropping-particle&quot;:&quot;&quot;},{&quot;family&quot;:&quot;Azcón-Aguilar&quot;,&quot;given&quot;:&quot;Concepción&quot;,&quot;parse-names&quot;:false,&quot;dropping-particle&quot;:&quot;&quot;,&quot;non-dropping-particle&quot;:&quot;&quot;},{&quot;family&quot;:&quot;Flors&quot;,&quot;given&quot;:&quot;Victor&quot;,&quot;parse-names&quot;:false,&quot;dropping-particle&quot;:&quot;&quot;,&quot;non-dropping-particle&quot;:&quot;&quot;},{&quot;family&quot;:&quot;Pozo&quot;,&quot;given&quot;:&quot;María J.&quot;,&quot;parse-names&quot;:false,&quot;dropping-particle&quot;:&quot;&quot;,&quot;non-dropping-particle&quot;:&quot;&quot;}],&quot;container-title&quot;:&quot;Journal of Experimental Botany&quot;,&quot;DOI&quot;:&quot;10.1093/jxb/erq089&quot;,&quot;ISSN&quot;:&quot;1460-2431&quot;,&quot;issued&quot;:{&quot;date-parts&quot;:[[2010,6]]},&quot;issue&quot;:&quot;10&quot;,&quot;volume&quot;:&quot;61&quot;},&quot;isTemporary&quot;:false},{&quot;id&quot;:&quot;62ef8781-cce8-36b8-a783-22eec076fdce&quot;,&quot;itemData&quot;:{&quot;type&quot;:&quot;article-journal&quot;,&quot;id&quot;:&quot;62ef8781-cce8-36b8-a783-22eec076fdce&quot;,&quot;title&quot;:&quot;Defense Related Phytohormones Regulation in Arbuscular Mycorrhizal Symbioses Depends on the Partner Genotypes&quot;,&quot;author&quot;:[{&quot;family&quot;:&quot;Fernández&quot;,&quot;given&quot;:&quot;I.&quot;,&quot;parse-names&quot;:false,&quot;dropping-particle&quot;:&quot;&quot;,&quot;non-dropping-particle&quot;:&quot;&quot;},{&quot;family&quot;:&quot;Merlos&quot;,&quot;given&quot;:&quot;M.&quot;,&quot;parse-names&quot;:false,&quot;dropping-particle&quot;:&quot;&quot;,&quot;non-dropping-particle&quot;:&quot;&quot;},{&quot;family&quot;:&quot;López-Ráez&quot;,&quot;given&quot;:&quot;J. A.&quot;,&quot;parse-names&quot;:false,&quot;dropping-particle&quot;:&quot;&quot;,&quot;non-dropping-particle&quot;:&quot;&quot;},{&quot;family&quot;:&quot;Martínez-Medina&quot;,&quot;given&quot;:&quot;A.&quot;,&quot;parse-names&quot;:false,&quot;dropping-particle&quot;:&quot;&quot;,&quot;non-dropping-particle&quot;:&quot;&quot;},{&quot;family&quot;:&quot;Ferrol&quot;,&quot;given&quot;:&quot;N.&quot;,&quot;parse-names&quot;:false,&quot;dropping-particle&quot;:&quot;&quot;,&quot;non-dropping-particle&quot;:&quot;&quot;},{&quot;family&quot;:&quot;Azcón&quot;,&quot;given&quot;:&quot;C.&quot;,&quot;parse-names&quot;:false,&quot;dropping-particle&quot;:&quot;&quot;,&quot;non-dropping-particle&quot;:&quot;&quot;},{&quot;family&quot;:&quot;Bonfante&quot;,&quot;given&quot;:&quot;P.&quot;,&quot;parse-names&quot;:false,&quot;dropping-particle&quot;:&quot;&quot;,&quot;non-dropping-particle&quot;:&quot;&quot;},{&quot;family&quot;:&quot;Flors&quot;,&quot;given&quot;:&quot;V.&quot;,&quot;parse-names&quot;:false,&quot;dropping-particle&quot;:&quot;&quot;,&quot;non-dropping-particle&quot;:&quot;&quot;},{&quot;family&quot;:&quot;Pozo&quot;,&quot;given&quot;:&quot;M. J.&quot;,&quot;parse-names&quot;:false,&quot;dropping-particle&quot;:&quot;&quot;,&quot;non-dropping-particle&quot;:&quot;&quot;}],&quot;container-title&quot;:&quot;Journal of Chemical Ecology&quot;,&quot;DOI&quot;:&quot;10.1007/s10886-014-0473-6&quot;,&quot;ISSN&quot;:&quot;0098-0331&quot;,&quot;issued&quot;:{&quot;date-parts&quot;:[[2014,7,6]]},&quot;issue&quot;:&quot;7&quot;,&quot;volume&quot;:&quot;40&quot;},&quot;isTemporary&quot;:false}],&quot;properties&quot;:{&quot;noteIndex&quot;:0},&quot;isEdited&quot;:false,&quot;manualOverride&quot;:{&quot;isManuallyOverridden&quot;:true,&quot;citeprocText&quot;:&quot;(Fernández et al., 2014; López-Ráez, Verhage, et al., 2010b)&quot;,&quot;manualOverrideText&quot;:&quot;(Fernández et al., 2014; López-Ráez, Verhage, et al., 2010)&quot;},&quot;citationTag&quot;:&quot;MENDELEY_CITATION_v3_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&quot;},{&quot;citationID&quot;:&quot;MENDELEY_CITATION_3f22b287-989f-4ea4-9eb4-fea5ce5e61d9&quot;,&quot;citationItems&quot;:[{&quot;id&quot;:&quot;86d504cc-cb75-341f-aa31-d06977141818&quot;,&quot;itemData&quot;:{&quot;type&quot;:&quot;article-journal&quot;,&quot;id&quot;:&quot;86d504cc-cb75-341f-aa31-d06977141818&quot;,&quot;title&quot;:&quot;The impact of arbuscular mycorrhizal fungi on plant growth following herbivory: A search for pattern&quot;,&quot;author&quot;:[{&quot;family&quot;:&quot;Borowicz&quot;,&quot;given&quot;:&quot;Victoria A.&quot;,&quot;parse-names&quot;:false,&quot;dropping-particle&quot;:&quot;&quot;,&quot;non-dropping-particle&quot;:&quot;&quot;}],&quot;container-title&quot;:&quot;Acta Oecologica&quot;,&quot;DOI&quot;:&quot;10.1016/j.actao.2013.06.004&quot;,&quot;ISSN&quot;:&quot;1146609X&quot;,&quot;issued&quot;:{&quot;date-parts&quot;:[[2013,10]]},&quot;volume&quot;:&quot;52&quot;},&quot;isTemporary&quot;:false}],&quot;properties&quot;:{&quot;noteIndex&quot;:0},&quot;isEdited&quot;:false,&quot;manualOverride&quot;:{&quot;isManuallyOverridden&quot;:false,&quot;citeprocText&quot;:&quot;(Borowicz, 2013)&quot;,&quot;manualOverrideText&quot;:&quot;&quot;},&quot;citationTag&quot;:&quot;MENDELEY_CITATION_v3_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&quot;},{&quot;citationID&quot;:&quot;MENDELEY_CITATION_2daa4742-3fce-43e5-bf24-264614902464&quot;,&quot;citationItems&quot;:[{&quot;id&quot;:&quot;55b40673-15e5-38b9-9169-e3e7cb25aca5&quot;,&quot;itemData&quot;:{&quot;type&quot;:&quot;article-journal&quot;,&quot;id&quot;:&quot;55b40673-15e5-38b9-9169-e3e7cb25aca5&quot;,&quot;title&quot;:&quot;The chemical signatures underlying host plant discrimination by aphids&quot;,&quot;author&quot;:[{&quot;family&quot;:&quot;Hopkins&quot;,&quot;given&quot;:&quot;David P.&quot;,&quot;parse-names&quot;:false,&quot;dropping-particle&quot;:&quot;&quot;,&quot;non-dropping-particle&quot;:&quot;&quot;},{&quot;family&quot;:&quot;Cameron&quot;,&quot;given&quot;:&quot;Duncan D.&quot;,&quot;parse-names&quot;:false,&quot;dropping-particle&quot;:&quot;&quot;,&quot;non-dropping-particle&quot;:&quot;&quot;},{&quot;family&quot;:&quot;Butlin&quot;,&quot;given&quot;:&quot;Roger K.&quot;,&quot;parse-names&quot;:false,&quot;dropping-particle&quot;:&quot;&quot;,&quot;non-dropping-particle&quot;:&quot;&quot;}],&quot;container-title&quot;:&quot;Scientific Reports&quot;,&quot;DOI&quot;:&quot;10.1038/s41598-017-07729-0&quot;,&quot;ISSN&quot;:&quot;2045-2322&quot;,&quot;issued&quot;:{&quot;date-parts&quot;:[[2017,12,17]]},&quot;issue&quot;:&quot;1&quot;,&quot;volume&quot;:&quot;7&quot;},&quot;isTemporary&quot;:false}],&quot;properties&quot;:{&quot;noteIndex&quot;:0},&quot;isEdited&quot;:false,&quot;manualOverride&quot;:{&quot;isManuallyOverridden&quot;:true,&quot;citeprocText&quot;:&quot;(Hopkins et al., 2017)&quot;,&quot;manualOverrideText&quot;:&quot;(Hopkins et al., 2017).&quot;},&quot;citationTag&quot;:&quot;MENDELEY_CITATION_v3_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&quot;},{&quot;citationID&quot;:&quot;MENDELEY_CITATION_1c8d4a1f-fa8c-4224-8712-bac8ebb99e25&quot;,&quot;citationItems&quot;:[{&quot;id&quot;:&quot;ede8df20-feb7-3385-9e30-1f5447297d8b&quot;,&quot;itemData&quot;:{&quot;type&quot;:&quot;article-journal&quot;,&quot;id&quot;:&quot;ede8df20-feb7-3385-9e30-1f5447297d8b&quot;,&quot;title&quot;:&quot;Arbuscular mycorrhizal fungi and aphids interact by changing host plant quality and volatile emission&quot;,&quot;author&quot;:[{&quot;family&quot;:&quot;Babikova&quot;,&quot;given&quot;:&quot;Zdenka&quot;,&quot;parse-names&quot;:false,&quot;dropping-particle&quot;:&quot;&quot;,&quot;non-dropping-particle&quot;:&quot;&quot;},{&quot;family&quot;:&quot;Gilbert&quot;,&quot;given&quot;:&quot;Lucy&quot;,&quot;parse-names&quot;:false,&quot;dropping-particle&quot;:&quot;&quot;,&quot;non-dropping-particle&quot;:&quot;&quot;},{&quot;family&quot;:&quot;Bruce&quot;,&quot;given&quot;:&quot;Toby&quot;,&quot;parse-names&quot;:false,&quot;dropping-particle&quot;:&quot;&quot;,&quot;non-dropping-particle&quot;:&quot;&quot;},{&quot;family&quot;:&quot;Dewhirst&quot;,&quot;given&quot;:&quot;Sarah Y.&quot;,&quot;parse-names&quot;:false,&quot;dropping-particle&quot;:&quot;&quot;,&quot;non-dropping-particle&quot;:&quot;&quot;},{&quot;family&quot;:&quot;Pickett&quot;,&quot;given&quot;:&quot;John A.&quot;,&quot;parse-names&quot;:false,&quot;dropping-particle&quot;:&quot;&quot;,&quot;non-dropping-particle&quot;:&quot;&quot;},{&quot;family&quot;:&quot;Johnson&quot;,&quot;given&quot;:&quot;David&quot;,&quot;parse-names&quot;:false,&quot;dropping-particle&quot;:&quot;&quot;,&quot;non-dropping-particle&quot;:&quot;&quot;}],&quot;container-title&quot;:&quot;Functional Ecology&quot;,&quot;DOI&quot;:&quot;10.1111/1365-2435.12181&quot;,&quot;ISSN&quot;:&quot;02698463&quot;,&quot;issued&quot;:{&quot;date-parts&quot;:[[2014,4]]},&quot;issue&quot;:&quot;2&quot;,&quot;volume&quot;:&quot;28&quot;},&quot;isTemporary&quot;:false}],&quot;properties&quot;:{&quot;noteIndex&quot;:0},&quot;isEdited&quot;:false,&quot;manualOverride&quot;:{&quot;isManuallyOverridden&quot;:true,&quot;citeprocText&quot;:&quot;(Babikova et al., 2014)&quot;,&quot;manualOverrideText&quot;:&quot;(Babikova et al., 2014).&quot;},&quot;citationTag&quot;:&quot;MENDELEY_CITATION_v3_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&quot;},{&quot;citationID&quot;:&quot;MENDELEY_CITATION_93715cbb-9b16-4263-98bb-ee854f9db93a&quot;,&quot;citationItems&quot;:[{&quot;id&quot;:&quot;5f6b6055-91ac-3b0d-98b3-0948aa6c7002&quot;,&quot;itemData&quot;:{&quot;type&quot;:&quot;article-journal&quot;,&quot;id&quot;:&quot;5f6b6055-91ac-3b0d-98b3-0948aa6c7002&quot;,&quot;title&quot;:&quot;The roles of plant phenolics in defence and communication during Agrobacterium and Rhizobium infection&quot;,&quot;author&quot;:[{&quot;family&quot;:&quot;Bhattacharya&quot;,&quot;given&quot;:&quot;Amita&quot;,&quot;parse-names&quot;:false,&quot;dropping-particle&quot;:&quot;&quot;,&quot;non-dropping-particle&quot;:&quot;&quot;},{&quot;family&quot;:&quot;Sood&quot;,&quot;given&quot;:&quot;Priyanka&quot;,&quot;parse-names&quot;:false,&quot;dropping-particle&quot;:&quot;&quot;,&quot;non-dropping-particle&quot;:&quot;&quot;},{&quot;family&quot;:&quot;Citovsky&quot;,&quot;given&quot;:&quot;Vitaly&quot;,&quot;parse-names&quot;:false,&quot;dropping-particle&quot;:&quot;&quot;,&quot;non-dropping-particle&quot;:&quot;&quot;}],&quot;container-title&quot;:&quot;Molecular Plant Pathology&quot;,&quot;DOI&quot;:&quot;10.1111/j.1364-3703.2010.00625.x&quot;,&quot;ISSN&quot;:&quot;14646722&quot;,&quot;issued&quot;:{&quot;date-parts&quot;:[[2010,9]]},&quot;page&quot;:&quot;705-719&quot;,&quot;issue&quot;:&quot;5&quot;,&quot;volume&quot;:&quot;11&quot;},&quot;isTemporary&quot;:false}],&quot;properties&quot;:{&quot;noteIndex&quot;:0},&quot;isEdited&quot;:false,&quot;manualOverride&quot;:{&quot;isManuallyOverridden&quot;:false,&quot;citeprocText&quot;:&quot;(Bhattacharya et al., 2010)&quot;,&quot;manualOverrideText&quot;:&quot;&quot;},&quot;citationTag&quot;:&quot;MENDELEY_CITATION_v3_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&quot;},{&quot;citationID&quot;:&quot;MENDELEY_CITATION_e0dc9c76-635b-419a-894b-9c088d3e3051&quot;,&quot;citationItems&quot;:[{&quot;id&quot;:&quot;4bf531a9-a5d5-301d-b382-3297d3793642&quot;,&quot;itemData&quot;:{&quot;type&quot;:&quot;article-journal&quot;,&quot;id&quot;:&quot;4bf531a9-a5d5-301d-b382-3297d3793642&quot;,&quot;title&quot;:&quot;Medicinal natural products : a biosynthetic approach&quot;,&quot;author&quot;:[{&quot;family&quot;:&quot;Dewick&quot;,&quot;given&quot;:&quot;Paul M.&quot;,&quot;parse-names&quot;:false,&quot;dropping-particle&quot;:&quot;&quot;,&quot;non-dropping-particle&quot;:&quot;&quot;}],&quot;accessed&quot;:{&quot;date-parts&quot;:[[2021,8,18]]},&quot;ISBN&quot;:&quot;0-471-49640-5&quot;,&quot;issued&quot;:{&quot;date-parts&quot;:[[2002]]},&quot;page&quot;:&quot;507&quot;,&quot;abstract&quot;:&quot;2nd ed. Medicinal Natural Products, Second Edition is a comprehensive guide providing information on all classes of natural products in medicine. It builds upon fundamental chemical principles and demonstrates a unique integration of plant, microbial and animal natural products in one volume. The text guides the reader through a wealth of diverse natural metabolites used in medicine with sources, production methods, use as drugs and modes of action all extensively covered. Taking a chemistry based approach it combines traditional pharmacognosy with medicinal chemistry. Secondary metabolism : the building blocks and construction mechanisms -- The acetate pathway : fatty acids and polyketides -- The shikimate pathway : aromatic amino acids and phenylpropanoids -- The mevalonate and deoxyxylulose phosphate pathways : terpanoids and steroids -- Alkaloids -- Peptides, proteins and other amino acid derivatives -- Carbohydrates.&quot;,&quot;publisher&quot;:&quot;Wiley&quot;},&quot;isTemporary&quot;:false}],&quot;properties&quot;:{&quot;noteIndex&quot;:0},&quot;isEdited&quot;:false,&quot;manualOverride&quot;:{&quot;isManuallyOverridden&quot;:false,&quot;citeprocText&quot;:&quot;(Dewick, 2002)&quot;,&quot;manualOverrideText&quot;:&quot;&quot;},&quot;citationTag&quot;:&quot;MENDELEY_CITATION_v3_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&quot;},{&quot;citationID&quot;:&quot;MENDELEY_CITATION_137cd6ab-7ffa-4888-994a-da3440c487ef&quot;,&quot;citationItems&quot;:[{&quot;id&quot;:&quot;c05bacad-c735-366d-8b38-61e375eec897&quot;,&quot;itemData&quot;:{&quot;type&quot;:&quot;article-journal&quot;,&quot;id&quot;:&quot;c05bacad-c735-366d-8b38-61e375eec897&quot;,&quot;title&quot;:&quot;Evaluation of antioxidant, anti-inflammatory and lipoxygenaseinhibitory activities of the prenylated coumarin umbelliprenin.&quot;,&quot;author&quot;:[{&quot;family&quot;:&quot;Iranshahi&quot;,&quot;given&quot;:&quot;M.;&quot;,&quot;parse-names&quot;:false,&quot;dropping-particle&quot;:&quot;&quot;,&quot;non-dropping-particle&quot;:&quot;&quot;},{&quot;family&quot;:&quot;Askari&quot;,&quot;given&quot;:&quot;M.;&quot;,&quot;parse-names&quot;:false,&quot;dropping-particle&quot;:&quot;&quot;,&quot;non-dropping-particle&quot;:&quot;&quot;},{&quot;family&quot;:&quot;Sahebkar&quot;,&quot;given&quot;:&quot;A.;&quot;,&quot;parse-names&quot;:false,&quot;dropping-particle&quot;:&quot;&quot;,&quot;non-dropping-particle&quot;:&quot;&quot;},{&quot;family&quot;:&quot;Hadjipavlou&quot;,&quot;given&quot;:&quot;L.D.&quot;,&quot;parse-names&quot;:false,&quot;dropping-particle&quot;:&quot;&quot;,&quot;non-dropping-particle&quot;:&quot;&quot;}],&quot;container-title&quot;:&quot;DARU J. Pharm. Sci&quot;,&quot;issued&quot;:{&quot;date-parts&quot;:[[2009]]},&quot;page&quot;:&quot;99-103&quot;,&quot;volume&quot;:&quot;17&quot;},&quot;isTemporary&quot;:false}],&quot;properties&quot;:{&quot;noteIndex&quot;:0},&quot;isEdited&quot;:false,&quot;manualOverride&quot;:{&quot;isManuallyOverridden&quot;:true,&quot;citeprocText&quot;:&quot;(Iranshahi et al., 2009)&quot;,&quot;manualOverrideText&quot;:&quot;(Iranshahi et al., 2009).&quot;},&quot;citationTag&quot;:&quot;MENDELEY_CITATION_v3_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&quot;},{&quot;citationID&quot;:&quot;MENDELEY_CITATION_2bcdbd05-ce29-4db4-8c8d-95f006b49e7e&quot;,&quot;citationItems&quot;:[{&quot;id&quot;:&quot;f7313fcd-434b-3049-8de4-406001247448&quot;,&quot;itemData&quot;:{&quot;type&quot;:&quot;article-journal&quot;,&quot;id&quot;:&quot;f7313fcd-434b-3049-8de4-406001247448&quot;,&quot;title&quot;:&quot;Structural Determinants of Phosphoinositide 3-Kinase Inhibition by Wortmannin, LY294002, Quercetin, Myricetin, and Staurosporine&quot;,&quot;author&quot;:[{&quot;family&quot;:&quot;Walker&quot;,&quot;given&quot;:&quot;Edward H.&quot;,&quot;parse-names&quot;:false,&quot;dropping-particle&quot;:&quot;&quot;,&quot;non-dropping-particle&quot;:&quot;&quot;},{&quot;family&quot;:&quot;Pacold&quot;,&quot;given&quot;:&quot;Michael E.&quot;,&quot;parse-names&quot;:false,&quot;dropping-particle&quot;:&quot;&quot;,&quot;non-dropping-particle&quot;:&quot;&quot;},{&quot;family&quot;:&quot;Perisic&quot;,&quot;given&quot;:&quot;Olga&quot;,&quot;parse-names&quot;:false,&quot;dropping-particle&quot;:&quot;&quot;,&quot;non-dropping-particle&quot;:&quot;&quot;},{&quot;family&quot;:&quot;Stephens&quot;,&quot;given&quot;:&quot;Len&quot;,&quot;parse-names&quot;:false,&quot;dropping-particle&quot;:&quot;&quot;,&quot;non-dropping-particle&quot;:&quot;&quot;},{&quot;family&quot;:&quot;Hawkins&quot;,&quot;given&quot;:&quot;Philip T.&quot;,&quot;parse-names&quot;:false,&quot;dropping-particle&quot;:&quot;&quot;,&quot;non-dropping-particle&quot;:&quot;&quot;},{&quot;family&quot;:&quot;Wymann&quot;,&quot;given&quot;:&quot;Matthias P.&quot;,&quot;parse-names&quot;:false,&quot;dropping-particle&quot;:&quot;&quot;,&quot;non-dropping-particle&quot;:&quot;&quot;},{&quot;family&quot;:&quot;Williams&quot;,&quot;given&quot;:&quot;Roger L.&quot;,&quot;parse-names&quot;:false,&quot;dropping-particle&quot;:&quot;&quot;,&quot;non-dropping-particle&quot;:&quot;&quot;}],&quot;container-title&quot;:&quot;Molecular Cell&quot;,&quot;DOI&quot;:&quot;10.1016/S1097-2765(05)00089-4&quot;,&quot;ISSN&quot;:&quot;10972765&quot;,&quot;issued&quot;:{&quot;date-parts&quot;:[[2000,10]]},&quot;issue&quot;:&quot;4&quot;,&quot;volume&quot;:&quot;6&quot;},&quot;isTemporary&quot;:false}],&quot;properties&quot;:{&quot;noteIndex&quot;:0},&quot;isEdited&quot;:false,&quot;manualOverride&quot;:{&quot;isManuallyOverridden&quot;:true,&quot;citeprocText&quot;:&quot;(E. H. Walker et al., 2000)&quot;,&quot;manualOverrideText&quot;:&quot;(Walker et al., 2000).&quot;},&quot;citationTag&quot;:&quot;MENDELEY_CITATION_v3_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&quot;},{&quot;citationID&quot;:&quot;MENDELEY_CITATION_510ceb37-2307-436c-b1f7-fbd57a720323&quot;,&quot;citationItems&quot;:[{&quot;id&quot;:&quot;5803820e-f6f5-3e65-918f-bb9734b45242&quot;,&quot;itemData&quot;:{&quot;type&quot;:&quot;article-journal&quot;,&quot;id&quot;:&quot;5803820e-f6f5-3e65-918f-bb9734b45242&quot;,&quot;title&quot;:&quot;Olive mycorrhization: Influences of genotype, mycorrhiza, and growing periods&quot;,&quot;author&quot;:[{&quot;family&quot;:&quot;Seifi&quot;,&quot;given&quot;:&quot;Esmaeil&quot;,&quot;parse-names&quot;:false,&quot;dropping-particle&quot;:&quot;&quot;,&quot;non-dropping-particle&quot;:&quot;&quot;},{&quot;family&quot;:&quot;Teymoor&quot;,&quot;given&quot;:&quot;Yahya Shiri&quot;,&quot;parse-names&quot;:false,&quot;dropping-particle&quot;:&quot;&quot;,&quot;non-dropping-particle&quot;:&quot;&quot;},{&quot;family&quot;:&quot;Alizadeh&quot;,&quot;given&quot;:&quot;Mahdi&quot;,&quot;parse-names&quot;:false,&quot;dropping-particle&quot;:&quot;&quot;,&quot;non-dropping-particle&quot;:&quot;&quot;},{&quot;family&quot;:&quot;Fereydooni&quot;,&quot;given&quot;:&quot;Hossein&quot;,&quot;parse-names&quot;:false,&quot;dropping-particle&quot;:&quot;&quot;,&quot;non-dropping-particle&quot;:&quot;&quot;}],&quot;container-title&quot;:&quot;Scientia Horticulturae&quot;,&quot;DOI&quot;:&quot;10.1016/j.scienta.2014.10.042&quot;,&quot;ISSN&quot;:&quot;03044238&quot;,&quot;issued&quot;:{&quot;date-parts&quot;:[[2014,12]]},&quot;volume&quot;:&quot;180&quot;},&quot;isTemporary&quot;:false}],&quot;properties&quot;:{&quot;noteIndex&quot;:0},&quot;isEdited&quot;:false,&quot;manualOverride&quot;:{&quot;isManuallyOverridden&quot;:false,&quot;citeprocText&quot;:&quot;(Seifi et al., 2014)&quot;,&quot;manualOverrideText&quot;:&quot;&quot;},&quot;citationTag&quot;:&quot;MENDELEY_CITATION_v3_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&quot;},{&quot;citationID&quot;:&quot;MENDELEY_CITATION_0857353d-2086-45e7-bbac-b1165cc1fe35&quot;,&quot;citationItems&quot;:[{&quot;id&quot;:&quot;c5330c44-8ccb-363b-9b94-b9538d375896&quot;,&quot;itemData&quot;:{&quot;type&quot;:&quot;article-journal&quot;,&quot;id&quot;:&quot;c5330c44-8ccb-363b-9b94-b9538d375896&quot;,&quot;title&quot;:&quot;Mycorrhizal colonization impacts on phenolic content and antioxidant properties of artichoke leaves and flower heads two years after field transplant&quot;,&quot;author&quot;:[{&quot;family&quot;:&quot;Ceccarelli&quot;,&quot;given&quot;:&quot;Nello&quot;,&quot;parse-names&quot;:false,&quot;dropping-particle&quot;:&quot;&quot;,&quot;non-dropping-particle&quot;:&quot;&quot;},{&quot;family&quot;:&quot;Curadi&quot;,&quot;given&quot;:&quot;Maurizio&quot;,&quot;parse-names&quot;:false,&quot;dropping-particle&quot;:&quot;&quot;,&quot;non-dropping-particle&quot;:&quot;&quot;},{&quot;family&quot;:&quot;Martelloni&quot;,&quot;given&quot;:&quot;Luca&quot;,&quot;parse-names&quot;:false,&quot;dropping-particle&quot;:&quot;&quot;,&quot;non-dropping-particle&quot;:&quot;&quot;},{&quot;family&quot;:&quot;Sbrana&quot;,&quot;given&quot;:&quot;Cristiana&quot;,&quot;parse-names&quot;:false,&quot;dropping-particle&quot;:&quot;&quot;,&quot;non-dropping-particle&quot;:&quot;&quot;},{&quot;family&quot;:&quot;Picciarelli&quot;,&quot;given&quot;:&quot;Piero&quot;,&quot;parse-names&quot;:false,&quot;dropping-particle&quot;:&quot;&quot;,&quot;non-dropping-particle&quot;:&quot;&quot;},{&quot;family&quot;:&quot;Giovannetti&quot;,&quot;given&quot;:&quot;Manuela&quot;,&quot;parse-names&quot;:false,&quot;dropping-particle&quot;:&quot;&quot;,&quot;non-dropping-particle&quot;:&quot;&quot;}],&quot;container-title&quot;:&quot;Plant and Soil&quot;,&quot;DOI&quot;:&quot;10.1007/s11104-010-0417-z&quot;,&quot;ISSN&quot;:&quot;0032-079X&quot;,&quot;issued&quot;:{&quot;date-parts&quot;:[[2010,10,18]]},&quot;issue&quot;:&quot;1-2&quot;,&quot;volume&quot;:&quot;335&quot;},&quot;isTemporary&quot;:false}],&quot;properties&quot;:{&quot;noteIndex&quot;:0},&quot;isEdited&quot;:false,&quot;manualOverride&quot;:{&quot;isManuallyOverridden&quot;:false,&quot;citeprocText&quot;:&quot;(Ceccarelli et al., 2010)&quot;,&quot;manualOverrideText&quot;:&quot;&quot;},&quot;citationTag&quot;:&quot;MENDELEY_CITATION_v3_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&quot;},{&quot;citationID&quot;:&quot;MENDELEY_CITATION_c3596732-7abb-4c11-a8ab-1d10cb3dfebd&quot;,&quot;citationItems&quot;:[{&quot;id&quot;:&quot;00782284-7faa-363a-ba41-a4be7abc25ba&quot;,&quot;itemData&quot;:{&quot;type&quot;:&quot;article-journal&quot;,&quot;id&quot;:&quot;00782284-7faa-363a-ba41-a4be7abc25ba&quot;,&quot;title&quot;:&quot;Arbuscular mycorrhizal fungi as biotechnology alternative to increase concentrate of secondary metabolites in Zea mays L.&quot;,&quot;author&quot;:[{&quot;family&quot;:&quot;Silva&quot;,&quot;given&quot;:&quot;Francineyde A.&quot;,&quot;parse-names&quot;:false,&quot;dropping-particle&quot;:&quot;&quot;,&quot;non-dropping-particle&quot;:&quot;&quot;},{&quot;family&quot;:&quot;Maia&quot;,&quot;given&quot;:&quot;Leonor C.&quot;,&quot;parse-names&quot;:false,&quot;dropping-particle&quot;:&quot;&quot;,&quot;non-dropping-particle&quot;:&quot;&quot;},{&quot;family&quot;:&quot;Silva&quot;,&quot;given&quot;:&quot;Fábio S.B.&quot;,&quot;parse-names&quot;:false,&quot;dropping-particle&quot;:&quot;&quot;,&quot;non-dropping-particle&quot;:&quot;&quot;}],&quot;container-title&quot;:&quot;Revista Brasileira de Botanica&quot;,&quot;DOI&quot;:&quot;10.1007/s40415-018-0508-2&quot;,&quot;ISSN&quot;:&quot;18069959&quot;,&quot;issued&quot;:{&quot;date-parts&quot;:[[2019,3,29]]},&quot;page&quot;:&quot;189-193&quot;,&quot;abstract&quot;:&quot;Leaves of corn (Zea mays L.) produce secondary metabolism compounds characterizing them as an alternative source of animal food. Plants of this species establish mutualistic symbiosis with arbuscular mycorrhizal fungi (AMF) which provide an increase in the contents of bioactive compounds. These compounds have pharmacological properties and are important to the process of healing diseases. The objective of this paper was to establish whether the association of Z. mays with AMF increases the concentration of phenolic compounds in the leaves. After 70 days of growth, corn leaves were collected and their extract used for phytochemical analyses that included: soluble carbohydrates, proteins, phenols, flavonoids, and total tannins. Plants associated with Claroideoglomus etunicatum (W. N. Becker &amp; Gerdemann) C. Walker &amp; A. Schüssler (UFPE 06), Acaulospora longula Spain &amp; N. C. Schenck (UFPE 21) and Dentiscutata heterogama (T.H. Nicolson &amp; Gerd.) Sieverd., F.A. de Souza &amp; Oehl (UFPE 19) presented an increase in the concentration of soluble carbohydrates of 153.7%, 86.6%, and 79.1%, respectively, in relation to the control. Concentration of flavonoids was higher in plants inoculated with A. longula comparing with the control, while the concentrations of phenols, tannins, and total proteins in the mycorrhizal treatments did not differ from the control. Use of mycorrhizal technology may represent an alternative to enhance the content of some foliar metabolites in Z. mays leading to the production of phytomass with greater phytochemical and nutritional qualities.&quot;,&quot;publisher&quot;:&quot;Springer International Publishing&quot;,&quot;issue&quot;:&quot;1&quot;,&quot;volume&quot;:&quot;42&quot;},&quot;isTemporary&quot;:false}],&quot;properties&quot;:{&quot;noteIndex&quot;:0},&quot;isEdited&quot;:false,&quot;manualOverride&quot;:{&quot;isManuallyOverridden&quot;:true,&quot;citeprocText&quot;:&quot;(F. A. Silva et al., 2019b)&quot;,&quot;manualOverrideText&quot;:&quot;(Silva et al., 2019)&quot;},&quot;citationTag&quot;:&quot;MENDELEY_CITATION_v3_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&quot;},{&quot;citationID&quot;:&quot;MENDELEY_CITATION_519c0bde-61cf-4223-a317-4af7b827de90&quot;,&quot;citationItems&quot;:[{&quot;id&quot;:&quot;2a99317b-c021-3f18-ab97-9c8aeca708e4&quot;,&quot;itemData&quot;:{&quot;type&quot;:&quot;article-journal&quot;,&quot;id&quot;:&quot;2a99317b-c021-3f18-ab97-9c8aeca708e4&quot;,&quot;title&quot;:&quot;Arbuscular mycorrhizal fungi and vermicompost to maximize the production of foliar biomolecules in &lt;i&gt;Passiflora alata&lt;/i&gt; Curtis seedlings&quot;,&quot;author&quot;:[{&quot;family&quot;:&quot;Oliveira&quot;,&quot;given&quot;:&quot;Melquisedec S&quot;,&quot;parse-names&quot;:false,&quot;dropping-particle&quot;:&quot;&quot;,&quot;non-dropping-particle&quot;:&quot;&quot;},{&quot;family&quot;:&quot;Campos&quot;,&quot;given&quot;:&quot;Maryluce AS&quot;,&quot;parse-names&quot;:false,&quot;dropping-particle&quot;:&quot;&quot;,&quot;non-dropping-particle&quot;:&quot;&quot;},{&quot;family&quot;:&quot;Silva&quot;,&quot;given&quot;:&quot;Fábio SB&quot;,&quot;parse-names&quot;:false,&quot;dropping-particle&quot;:&quot;&quot;,&quot;non-dropping-particle&quot;:&quot;&quot;}],&quot;container-title&quot;:&quot;Journal of the Science of Food and Agriculture&quot;,&quot;DOI&quot;:&quot;10.1002/jsfa.6767&quot;,&quot;ISSN&quot;:&quot;00225142&quot;,&quot;issued&quot;:{&quot;date-parts&quot;:[[2015,2]]},&quot;issue&quot;:&quot;3&quot;,&quot;volume&quot;:&quot;95&quot;},&quot;isTemporary&quot;:false}],&quot;properties&quot;:{&quot;noteIndex&quot;:0},&quot;isEdited&quot;:false,&quot;manualOverride&quot;:{&quot;isManuallyOverridden&quot;:false,&quot;citeprocText&quot;:&quot;(M. S. Oliveira et al., 2015)&quot;,&quot;manualOverrideText&quot;:&quot;&quot;},&quot;citationTag&quot;:&quot;MENDELEY_CITATION_v3_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&quot;},{&quot;citationID&quot;:&quot;MENDELEY_CITATION_7ef00c74-cd7d-47be-b393-eb21a277af3f&quot;,&quot;citationItems&quot;:[{&quot;id&quot;:&quot;6ea5346f-6426-30ee-a54c-be1d2b54d2e5&quot;,&quot;itemData&quot;:{&quot;type&quot;:&quot;article-journal&quot;,&quot;id&quot;:&quot;6ea5346f-6426-30ee-a54c-be1d2b54d2e5&quot;,&quot;title&quot;:&quot;Evaluation of the total phenolics and quercetin content of foliage in mycorrhizal grape (Vitis vinifera L.) varieties and effect of postharvest drying on quercetin yield&quot;,&quot;author&quot;:[{&quot;family&quot;:&quot;Eftekhari&quot;,&quot;given&quot;:&quot;M.&quot;,&quot;parse-names&quot;:false,&quot;dropping-particle&quot;:&quot;&quot;,&quot;non-dropping-particle&quot;:&quot;&quot;},{&quot;family&quot;:&quot;Alizadeh&quot;,&quot;given&quot;:&quot;M.&quot;,&quot;parse-names&quot;:false,&quot;dropping-particle&quot;:&quot;&quot;,&quot;non-dropping-particle&quot;:&quot;&quot;},{&quot;family&quot;:&quot;Ebrahimi&quot;,&quot;given&quot;:&quot;P.&quot;,&quot;parse-names&quot;:false,&quot;dropping-particle&quot;:&quot;&quot;,&quot;non-dropping-particle&quot;:&quot;&quot;}],&quot;container-title&quot;:&quot;Industrial Crops and Products&quot;,&quot;DOI&quot;:&quot;10.1016/j.indcrop.2012.01.022&quot;,&quot;ISSN&quot;:&quot;09266690&quot;,&quot;issued&quot;:{&quot;date-parts&quot;:[[2012,7]]},&quot;volume&quot;:&quot;38&quot;},&quot;isTemporary&quot;:false}],&quot;properties&quot;:{&quot;noteIndex&quot;:0},&quot;isEdited&quot;:false,&quot;manualOverride&quot;:{&quot;isManuallyOverridden&quot;:false,&quot;citeprocText&quot;:&quot;(Eftekhari et al., 2012)&quot;,&quot;manualOverrideText&quot;:&quot;&quot;},&quot;citationTag&quot;:&quot;MENDELEY_CITATION_v3_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&quot;},{&quot;citationID&quot;:&quot;MENDELEY_CITATION_3e8c0c26-55ea-4804-892d-14466bef6b32&quot;,&quot;citationItems&quot;:[{&quot;id&quot;:&quot;333ad946-de50-3250-b9cc-3ae940e0ae94&quot;,&quot;itemData&quot;:{&quot;type&quot;:&quot;article-journal&quot;,&quot;id&quot;:&quot;333ad946-de50-3250-b9cc-3ae940e0ae94&quot;,&quot;title&quot;:&quot;Nutraceutical value and safety of tomato fruits produced by mycorrhizal plants&quot;,&quot;author&quot;:[{&quot;family&quot;:&quot;Giovannetti&quot;,&quot;given&quot;:&quot;M.&quot;,&quot;parse-names&quot;:false,&quot;dropping-particle&quot;:&quot;&quot;,&quot;non-dropping-particle&quot;:&quot;&quot;},{&quot;family&quot;:&quot;Avio&quot;,&quot;given&quot;:&quot;L.&quot;,&quot;parse-names&quot;:false,&quot;dropping-particle&quot;:&quot;&quot;,&quot;non-dropping-particle&quot;:&quot;&quot;},{&quot;family&quot;:&quot;Barale&quot;,&quot;given&quot;:&quot;R.&quot;,&quot;parse-names&quot;:false,&quot;dropping-particle&quot;:&quot;&quot;,&quot;non-dropping-particle&quot;:&quot;&quot;},{&quot;family&quot;:&quot;Ceccarelli&quot;,&quot;given&quot;:&quot;N.&quot;,&quot;parse-names&quot;:false,&quot;dropping-particle&quot;:&quot;&quot;,&quot;non-dropping-particle&quot;:&quot;&quot;},{&quot;family&quot;:&quot;Cristofani&quot;,&quot;given&quot;:&quot;R.&quot;,&quot;parse-names&quot;:false,&quot;dropping-particle&quot;:&quot;&quot;,&quot;non-dropping-particle&quot;:&quot;&quot;},{&quot;family&quot;:&quot;Iezzi&quot;,&quot;given&quot;:&quot;A.&quot;,&quot;parse-names&quot;:false,&quot;dropping-particle&quot;:&quot;&quot;,&quot;non-dropping-particle&quot;:&quot;&quot;},{&quot;family&quot;:&quot;Mignolli&quot;,&quot;given&quot;:&quot;F.&quot;,&quot;parse-names&quot;:false,&quot;dropping-particle&quot;:&quot;&quot;,&quot;non-dropping-particle&quot;:&quot;&quot;},{&quot;family&quot;:&quot;Picciarelli&quot;,&quot;given&quot;:&quot;P.&quot;,&quot;parse-names&quot;:false,&quot;dropping-particle&quot;:&quot;&quot;,&quot;non-dropping-particle&quot;:&quot;&quot;},{&quot;family&quot;:&quot;Pinto&quot;,&quot;given&quot;:&quot;B.&quot;,&quot;parse-names&quot;:false,&quot;dropping-particle&quot;:&quot;&quot;,&quot;non-dropping-particle&quot;:&quot;&quot;},{&quot;family&quot;:&quot;Reali&quot;,&quot;given&quot;:&quot;D.&quot;,&quot;parse-names&quot;:false,&quot;dropping-particle&quot;:&quot;&quot;,&quot;non-dropping-particle&quot;:&quot;&quot;},{&quot;family&quot;:&quot;Sbrana&quot;,&quot;given&quot;:&quot;C.&quot;,&quot;parse-names&quot;:false,&quot;dropping-particle&quot;:&quot;&quot;,&quot;non-dropping-particle&quot;:&quot;&quot;},{&quot;family&quot;:&quot;Scarpato&quot;,&quot;given&quot;:&quot;R.&quot;,&quot;parse-names&quot;:false,&quot;dropping-particle&quot;:&quot;&quot;,&quot;non-dropping-particle&quot;:&quot;&quot;}],&quot;container-title&quot;:&quot;British Journal of Nutrition&quot;,&quot;DOI&quot;:&quot;10.1017/S000711451100290X&quot;,&quot;ISSN&quot;:&quot;0007-1145&quot;,&quot;issued&quot;:{&quot;date-parts&quot;:[[2012,1,28]]},&quot;abstract&quot;:&quot;&lt;p&gt; Tomato fruit has assumed the status of ‘functional food’ due to the association between its consumption and a reduced likelihood of certain types of cancers and CVD. The nutraceutical value of tomatoes can be affected by the cultivation conditions, e.g. the phytochemical content of the fruits may increase with the establishment of beneficial mycorrhizal symbioses in the plants. A multidisciplinary study was carried out to gain knowledge on the antioxidant, oestrogenic/anti-oestrogenic and genotoxic activity of tomato fruits produced by mycorrhizal plants. The present results showed that the symbiosis positively affected the growth and mineral nutrient content of tomato plants and enhanced the nutritional and nutraceutical value of tomato fruits through modifications of plant secondary metabolism, which led to increased levels of lycopene in fruits obtained from mycorrhizal plants, compared with controls. Moreover, such changes did not result in the production of mutagenic compounds, since tomato extracts induced no &lt;italic&gt;in vitro&lt;/italic&gt; genotoxic effects. Fruit extracts, both hydrophilic and the lipophilic fractions, originating from mycorrhizal plants strongly inhibited 17-β-oestradiol–human oestrogen receptor binding, showing significantly higher anti-oestrogenic power compared with controls. The present study shows that beneficial plant symbionts, such as mycorrhizal fungi, can lead to the production of safe and high-quality food, which is an important societal issue strongly demanded by both consumers and producers. &lt;/p&gt;&quot;,&quot;issue&quot;:&quot;2&quot;,&quot;volume&quot;:&quot;107&quot;},&quot;isTemporary&quot;:false}],&quot;properties&quot;:{&quot;noteIndex&quot;:0},&quot;isEdited&quot;:false,&quot;manualOverride&quot;:{&quot;isManuallyOverridden&quot;:false,&quot;citeprocText&quot;:&quot;(Giovannetti et al., 2012)&quot;,&quot;manualOverrideText&quot;:&quot;&quot;},&quot;citationTag&quot;:&quot;MENDELEY_CITATION_v3_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&quot;},{&quot;citationID&quot;:&quot;MENDELEY_CITATION_23eca45d-d0b7-41ea-aa7c-4f55e8e2cb09&quot;,&quot;citationItems&quot;:[{&quot;id&quot;:&quot;91b4dea8-9923-39c9-8fe3-cfa4f7e0200e&quot;,&quot;itemData&quot;:{&quot;type&quot;:&quot;article-journal&quot;,&quot;id&quot;:&quot;91b4dea8-9923-39c9-8fe3-cfa4f7e0200e&quot;,&quot;title&quot;:&quot;Arbuscular Mycorrhizal Fungi (AMF) Improved Growth and Nutritional Quality of Greenhouse-Grown Lettuce&quot;,&quot;author&quot;:[{&quot;family&quot;:&quot;Baslam&quot;,&quot;given&quot;:&quot;Marouane&quot;,&quot;parse-names&quot;:false,&quot;dropping-particle&quot;:&quot;&quot;,&quot;non-dropping-particle&quot;:&quot;&quot;},{&quot;family&quot;:&quot;Garmendia&quot;,&quot;given&quot;:&quot;Idoia&quot;,&quot;parse-names&quot;:false,&quot;dropping-particle&quot;:&quot;&quot;,&quot;non-dropping-particle&quot;:&quot;&quot;},{&quot;family&quot;:&quot;Goicoechea&quot;,&quot;given&quot;:&quot;Nieves&quot;,&quot;parse-names&quot;:false,&quot;dropping-particle&quot;:&quot;&quot;,&quot;non-dropping-particle&quot;:&quot;&quot;}],&quot;container-title&quot;:&quot;Journal of Agricultural and Food Chemistry&quot;,&quot;DOI&quot;:&quot;10.1021/jf200501c&quot;,&quot;ISSN&quot;:&quot;0021-8561&quot;,&quot;issued&quot;:{&quot;date-parts&quot;:[[2011,5,25]]},&quot;issue&quot;:&quot;10&quot;,&quot;volume&quot;:&quot;59&quot;},&quot;isTemporary&quot;:false}],&quot;properties&quot;:{&quot;noteIndex&quot;:0},&quot;isEdited&quot;:false,&quot;manualOverride&quot;:{&quot;isManuallyOverridden&quot;:false,&quot;citeprocText&quot;:&quot;(Baslam et al., 2011)&quot;,&quot;manualOverrideText&quot;:&quot;&quot;},&quot;citationTag&quot;:&quot;MENDELEY_CITATION_v3_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&quot;},{&quot;citationID&quot;:&quot;MENDELEY_CITATION_ad535539-47ab-4f9b-a13d-ed2ef9fe0b4d&quot;,&quot;citationItems&quot;:[{&quot;id&quot;:&quot;00782284-7faa-363a-ba41-a4be7abc25ba&quot;,&quot;itemData&quot;:{&quot;type&quot;:&quot;article-journal&quot;,&quot;id&quot;:&quot;00782284-7faa-363a-ba41-a4be7abc25ba&quot;,&quot;title&quot;:&quot;Arbuscular mycorrhizal fungi as biotechnology alternative to increase concentrate of secondary metabolites in Zea mays L.&quot;,&quot;author&quot;:[{&quot;family&quot;:&quot;Silva&quot;,&quot;given&quot;:&quot;Francineyde A.&quot;,&quot;parse-names&quot;:false,&quot;dropping-particle&quot;:&quot;&quot;,&quot;non-dropping-particle&quot;:&quot;&quot;},{&quot;family&quot;:&quot;Maia&quot;,&quot;given&quot;:&quot;Leonor C.&quot;,&quot;parse-names&quot;:false,&quot;dropping-particle&quot;:&quot;&quot;,&quot;non-dropping-particle&quot;:&quot;&quot;},{&quot;family&quot;:&quot;Silva&quot;,&quot;given&quot;:&quot;Fábio S.B.&quot;,&quot;parse-names&quot;:false,&quot;dropping-particle&quot;:&quot;&quot;,&quot;non-dropping-particle&quot;:&quot;&quot;}],&quot;container-title&quot;:&quot;Revista Brasileira de Botanica&quot;,&quot;DOI&quot;:&quot;10.1007/s40415-018-0508-2&quot;,&quot;ISSN&quot;:&quot;18069959&quot;,&quot;issued&quot;:{&quot;date-parts&quot;:[[2019,3,29]]},&quot;page&quot;:&quot;189-193&quot;,&quot;abstract&quot;:&quot;Leaves of corn (Zea mays L.) produce secondary metabolism compounds characterizing them as an alternative source of animal food. Plants of this species establish mutualistic symbiosis with arbuscular mycorrhizal fungi (AMF) which provide an increase in the contents of bioactive compounds. These compounds have pharmacological properties and are important to the process of healing diseases. The objective of this paper was to establish whether the association of Z. mays with AMF increases the concentration of phenolic compounds in the leaves. After 70 days of growth, corn leaves were collected and their extract used for phytochemical analyses that included: soluble carbohydrates, proteins, phenols, flavonoids, and total tannins. Plants associated with Claroideoglomus etunicatum (W. N. Becker &amp; Gerdemann) C. Walker &amp; A. Schüssler (UFPE 06), Acaulospora longula Spain &amp; N. C. Schenck (UFPE 21) and Dentiscutata heterogama (T.H. Nicolson &amp; Gerd.) Sieverd., F.A. de Souza &amp; Oehl (UFPE 19) presented an increase in the concentration of soluble carbohydrates of 153.7%, 86.6%, and 79.1%, respectively, in relation to the control. Concentration of flavonoids was higher in plants inoculated with A. longula comparing with the control, while the concentrations of phenols, tannins, and total proteins in the mycorrhizal treatments did not differ from the control. Use of mycorrhizal technology may represent an alternative to enhance the content of some foliar metabolites in Z. mays leading to the production of phytomass with greater phytochemical and nutritional qualities.&quot;,&quot;publisher&quot;:&quot;Springer International Publishing&quot;,&quot;issue&quot;:&quot;1&quot;,&quot;volume&quot;:&quot;42&quot;},&quot;isTemporary&quot;:false}],&quot;properties&quot;:{&quot;noteIndex&quot;:0},&quot;isEdited&quot;:false,&quot;manualOverride&quot;:{&quot;isManuallyOverridden&quot;:true,&quot;citeprocText&quot;:&quot;(F. A. Silva et al., 2019b)&quot;,&quot;manualOverrideText&quot;:&quot;(Silva et al., 2019)&quot;},&quot;citationTag&quot;:&quot;MENDELEY_CITATION_v3_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&quot;},{&quot;citationID&quot;:&quot;MENDELEY_CITATION_ae340143-7185-4478-af0c-068064f945b4&quot;,&quot;citationItems&quot;:[{&quot;id&quot;:&quot;fbe4975b-f919-359f-bbd7-0e1ea7b00ab2&quot;,&quot;itemData&quot;:{&quot;type&quot;:&quot;article-journal&quot;,&quot;id&quot;:&quot;fbe4975b-f919-359f-bbd7-0e1ea7b00ab2&quot;,&quot;title&quot;:&quot;Arbuscular mycorrhizal fungi (AMF) affects biomolecules content in Myracrodruon urundeuva seedlings&quot;,&quot;author&quot;:[{&quot;family&quot;:&quot;Oliveira&quot;,&quot;given&quot;:&quot;Melquisedec de Sousa&quot;,&quot;parse-names&quot;:false,&quot;dropping-particle&quot;:&quot;&quot;,&quot;non-dropping-particle&quot;:&quot;&quot;},{&quot;family&quot;:&quot;Silva Campos&quot;,&quot;given&quot;:&quot;Maryluce Albuquerque&quot;,&quot;parse-names&quot;:false,&quot;dropping-particle&quot;:&quot;&quot;,&quot;non-dropping-particle&quot;:&quot;da&quot;},{&quot;family&quot;:&quot;Albuquerque&quot;,&quot;given&quot;:&quot;Ulysses Paulino&quot;,&quot;parse-names&quot;:false,&quot;dropping-particle&quot;:&quot;&quot;,&quot;non-dropping-particle&quot;:&quot;de&quot;},{&quot;family&quot;:&quot;Silva&quot;,&quot;given&quot;:&quot;Fábio Sérgio Barbosa&quot;,&quot;parse-names&quot;:false,&quot;dropping-particle&quot;:&quot;&quot;,&quot;non-dropping-particle&quot;:&quot;da&quot;}],&quot;container-title&quot;:&quot;Industrial Crops and Products&quot;,&quot;DOI&quot;:&quot;10.1016/j.indcrop.2013.07.041&quot;,&quot;ISSN&quot;:&quot;09266690&quot;,&quot;issued&quot;:{&quot;date-parts&quot;:[[2013,10]]},&quot;volume&quot;:&quot;50&quot;},&quot;isTemporary&quot;:false}],&quot;properties&quot;:{&quot;noteIndex&quot;:0},&quot;isEdited&quot;:false,&quot;manualOverride&quot;:{&quot;isManuallyOverridden&quot;:true,&quot;citeprocText&quot;:&quot;(M. de S. Oliveira et al., 2013)&quot;,&quot;manualOverrideText&quot;:&quot;(Oliveira et al., 2013)&quot;},&quot;citationTag&quot;:&quot;MENDELEY_CITATION_v3_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&quot;},{&quot;citationID&quot;:&quot;MENDELEY_CITATION_fdd82a89-c6c4-443a-b01f-bb259c0ee688&quot;,&quot;citationItems&quot;:[{&quot;id&quot;:&quot;00782284-7faa-363a-ba41-a4be7abc25ba&quot;,&quot;itemData&quot;:{&quot;type&quot;:&quot;article-journal&quot;,&quot;id&quot;:&quot;00782284-7faa-363a-ba41-a4be7abc25ba&quot;,&quot;title&quot;:&quot;Arbuscular mycorrhizal fungi as biotechnology alternative to increase concentrate of secondary metabolites in Zea mays L.&quot;,&quot;author&quot;:[{&quot;family&quot;:&quot;Silva&quot;,&quot;given&quot;:&quot;Francineyde A.&quot;,&quot;parse-names&quot;:false,&quot;dropping-particle&quot;:&quot;&quot;,&quot;non-dropping-particle&quot;:&quot;&quot;},{&quot;family&quot;:&quot;Maia&quot;,&quot;given&quot;:&quot;Leonor C.&quot;,&quot;parse-names&quot;:false,&quot;dropping-particle&quot;:&quot;&quot;,&quot;non-dropping-particle&quot;:&quot;&quot;},{&quot;family&quot;:&quot;Silva&quot;,&quot;given&quot;:&quot;Fábio S.B.&quot;,&quot;parse-names&quot;:false,&quot;dropping-particle&quot;:&quot;&quot;,&quot;non-dropping-particle&quot;:&quot;&quot;}],&quot;container-title&quot;:&quot;Revista Brasileira de Botanica&quot;,&quot;DOI&quot;:&quot;10.1007/s40415-018-0508-2&quot;,&quot;ISSN&quot;:&quot;18069959&quot;,&quot;issued&quot;:{&quot;date-parts&quot;:[[2019,3,29]]},&quot;page&quot;:&quot;189-193&quot;,&quot;abstract&quot;:&quot;Leaves of corn (Zea mays L.) produce secondary metabolism compounds characterizing them as an alternative source of animal food. Plants of this species establish mutualistic symbiosis with arbuscular mycorrhizal fungi (AMF) which provide an increase in the contents of bioactive compounds. These compounds have pharmacological properties and are important to the process of healing diseases. The objective of this paper was to establish whether the association of Z. mays with AMF increases the concentration of phenolic compounds in the leaves. After 70 days of growth, corn leaves were collected and their extract used for phytochemical analyses that included: soluble carbohydrates, proteins, phenols, flavonoids, and total tannins. Plants associated with Claroideoglomus etunicatum (W. N. Becker &amp; Gerdemann) C. Walker &amp; A. Schüssler (UFPE 06), Acaulospora longula Spain &amp; N. C. Schenck (UFPE 21) and Dentiscutata heterogama (T.H. Nicolson &amp; Gerd.) Sieverd., F.A. de Souza &amp; Oehl (UFPE 19) presented an increase in the concentration of soluble carbohydrates of 153.7%, 86.6%, and 79.1%, respectively, in relation to the control. Concentration of flavonoids was higher in plants inoculated with A. longula comparing with the control, while the concentrations of phenols, tannins, and total proteins in the mycorrhizal treatments did not differ from the control. Use of mycorrhizal technology may represent an alternative to enhance the content of some foliar metabolites in Z. mays leading to the production of phytomass with greater phytochemical and nutritional qualities.&quot;,&quot;publisher&quot;:&quot;Springer International Publishing&quot;,&quot;issue&quot;:&quot;1&quot;,&quot;volume&quot;:&quot;42&quot;},&quot;isTemporary&quot;:false}],&quot;properties&quot;:{&quot;noteIndex&quot;:0},&quot;isEdited&quot;:false,&quot;manualOverride&quot;:{&quot;isManuallyOverridden&quot;:true,&quot;citeprocText&quot;:&quot;(F. A. Silva et al., 2019b)&quot;,&quot;manualOverrideText&quot;:&quot;(Silva et al., 2019)&quot;},&quot;citationTag&quot;:&quot;MENDELEY_CITATION_v3_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&quot;},{&quot;citationID&quot;:&quot;MENDELEY_CITATION_be8d53d5-f992-4afc-a51f-2714efdb0ce3&quot;,&quot;citationItems&quot;:[{&quot;id&quot;:&quot;ccda2f94-a5f1-377d-a04a-a3246e9012ab&quot;,&quot;itemData&quot;:{&quot;type&quot;:&quot;article-journal&quot;,&quot;id&quot;:&quot;ccda2f94-a5f1-377d-a04a-a3246e9012ab&quot;,&quot;title&quot;:&quot;Root colonization by an arbuscular mycorrhizal (AM) fungus increases growth and secondary metabolism of purple coneflower, Echinacea purpurea (L.) Moench&quot;,&quot;author&quot;:[{&quot;family&quot;:&quot;Araim&quot;,&quot;given&quot;:&quot;Ghada&quot;,&quot;parse-names&quot;:false,&quot;dropping-particle&quot;:&quot;&quot;,&quot;non-dropping-particle&quot;:&quot;&quot;},{&quot;family&quot;:&quot;Saleem&quot;,&quot;given&quot;:&quot;Ammar&quot;,&quot;parse-names&quot;:false,&quot;dropping-particle&quot;:&quot;&quot;,&quot;non-dropping-particle&quot;:&quot;&quot;},{&quot;family&quot;:&quot;Arnason&quot;,&quot;given&quot;:&quot;John T.&quot;,&quot;parse-names&quot;:false,&quot;dropping-particle&quot;:&quot;&quot;,&quot;non-dropping-particle&quot;:&quot;&quot;},{&quot;family&quot;:&quot;Charest&quot;,&quot;given&quot;:&quot;Christiane&quot;,&quot;parse-names&quot;:false,&quot;dropping-particle&quot;:&quot;&quot;,&quot;non-dropping-particle&quot;:&quot;&quot;}],&quot;container-title&quot;:&quot;Journal of Agricultural and Food Chemistry&quot;,&quot;DOI&quot;:&quot;10.1021/jf803173x&quot;,&quot;ISSN&quot;:&quot;00218561&quot;,&quot;PMID&quot;:&quot;19239187&quot;,&quot;issued&quot;:{&quot;date-parts&quot;:[[2009,3,25]]},&quot;page&quot;:&quot;2255-2258&quot;,&quot;abstract&quot;:&quot;Purple coneflower, Echinacea purpurea (L.) Moench, is an important phytomedicinal species that contains phenolics and alkamides with antipathogenic properties. This study aimed to examine the effect of arbuscular mycorrhizal (AM) colonization on the physiology and biochemistry of E purpurea. It was hypothesized that AM colonization enhances the growth and secondary metabolism in E purpurea. In this regard, a 13-week factorial greenhouse experiment was performed with E purpurea, inoculated (or not) with the AM fungus Glomus intraradices Schenck &amp; Smith. Overall, the results indicated that AM colonization significantly increased the mass of shoots and roots and the concentrations of proteins and most of the phenolics in the roots. Hence, the selected trait of mycorrhiza could play an important role in optimizing the growth of E purpurea by inducing the production of secondary phytomedicinal metabolites. © 2009 American Chemical Society.&quot;,&quot;issue&quot;:&quot;6&quot;,&quot;volume&quot;:&quot;57&quot;},&quot;isTemporary&quot;:false}],&quot;properties&quot;:{&quot;noteIndex&quot;:0},&quot;isEdited&quot;:false,&quot;manualOverride&quot;:{&quot;isManuallyOverridden&quot;:false,&quot;citeprocText&quot;:&quot;(Araim et al., 2009)&quot;,&quot;manualOverrideText&quot;:&quot;&quot;},&quot;citationTag&quot;:&quot;MENDELEY_CITATION_v3_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&quot;},{&quot;citationID&quot;:&quot;MENDELEY_CITATION_b0aef829-60a9-465b-b923-70d8cac8a05c&quot;,&quot;citationItems&quot;:[{&quot;id&quot;:&quot;ccda2f94-a5f1-377d-a04a-a3246e9012ab&quot;,&quot;itemData&quot;:{&quot;type&quot;:&quot;article-journal&quot;,&quot;id&quot;:&quot;ccda2f94-a5f1-377d-a04a-a3246e9012ab&quot;,&quot;title&quot;:&quot;Root colonization by an arbuscular mycorrhizal (AM) fungus increases growth and secondary metabolism of purple coneflower, Echinacea purpurea (L.) Moench&quot;,&quot;author&quot;:[{&quot;family&quot;:&quot;Araim&quot;,&quot;given&quot;:&quot;Ghada&quot;,&quot;parse-names&quot;:false,&quot;dropping-particle&quot;:&quot;&quot;,&quot;non-dropping-particle&quot;:&quot;&quot;},{&quot;family&quot;:&quot;Saleem&quot;,&quot;given&quot;:&quot;Ammar&quot;,&quot;parse-names&quot;:false,&quot;dropping-particle&quot;:&quot;&quot;,&quot;non-dropping-particle&quot;:&quot;&quot;},{&quot;family&quot;:&quot;Arnason&quot;,&quot;given&quot;:&quot;John T.&quot;,&quot;parse-names&quot;:false,&quot;dropping-particle&quot;:&quot;&quot;,&quot;non-dropping-particle&quot;:&quot;&quot;},{&quot;family&quot;:&quot;Charest&quot;,&quot;given&quot;:&quot;Christiane&quot;,&quot;parse-names&quot;:false,&quot;dropping-particle&quot;:&quot;&quot;,&quot;non-dropping-particle&quot;:&quot;&quot;}],&quot;container-title&quot;:&quot;Journal of Agricultural and Food Chemistry&quot;,&quot;DOI&quot;:&quot;10.1021/jf803173x&quot;,&quot;ISSN&quot;:&quot;00218561&quot;,&quot;PMID&quot;:&quot;19239187&quot;,&quot;issued&quot;:{&quot;date-parts&quot;:[[2009,3,25]]},&quot;page&quot;:&quot;2255-2258&quot;,&quot;abstract&quot;:&quot;Purple coneflower, Echinacea purpurea (L.) Moench, is an important phytomedicinal species that contains phenolics and alkamides with antipathogenic properties. This study aimed to examine the effect of arbuscular mycorrhizal (AM) colonization on the physiology and biochemistry of E purpurea. It was hypothesized that AM colonization enhances the growth and secondary metabolism in E purpurea. In this regard, a 13-week factorial greenhouse experiment was performed with E purpurea, inoculated (or not) with the AM fungus Glomus intraradices Schenck &amp; Smith. Overall, the results indicated that AM colonization significantly increased the mass of shoots and roots and the concentrations of proteins and most of the phenolics in the roots. Hence, the selected trait of mycorrhiza could play an important role in optimizing the growth of E purpurea by inducing the production of secondary phytomedicinal metabolites. © 2009 American Chemical Society.&quot;,&quot;issue&quot;:&quot;6&quot;,&quot;volume&quot;:&quot;57&quot;},&quot;isTemporary&quot;:false}],&quot;properties&quot;:{&quot;noteIndex&quot;:0},&quot;isEdited&quot;:false,&quot;manualOverride&quot;:{&quot;isManuallyOverridden&quot;:false,&quot;citeprocText&quot;:&quot;(Araim et al., 2009)&quot;,&quot;manualOverrideText&quot;:&quot;&quot;},&quot;citationTag&quot;:&quot;MENDELEY_CITATION_v3_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&quot;},{&quot;citationID&quot;:&quot;MENDELEY_CITATION_c915857f-286d-4189-9988-a9baf6b614df&quot;,&quot;citationItems&quot;:[{&quot;id&quot;:&quot;b24ac625-0eec-3176-a9e2-3d804f084182&quot;,&quot;itemData&quot;:{&quot;type&quot;:&quot;article-journal&quot;,&quot;id&quot;:&quot;b24ac625-0eec-3176-a9e2-3d804f084182&quot;,&quot;title&quot;:&quot;Effect of arbuscular mycorrhizal colonization of four species of &lt;i&gt;glomus&lt;/i&gt; on physiological responses of maize&quot;,&quot;author&quot;:[{&quot;family&quot;:&quot;Boucher&quot;,&quot;given&quot;:&quot;Alain&quot;,&quot;parse-names&quot;:false,&quot;dropping-particle&quot;:&quot;&quot;,&quot;non-dropping-particle&quot;:&quot;&quot;},{&quot;family&quot;:&quot;Dalpé&quot;,&quot;given&quot;:&quot;Yolande&quot;,&quot;parse-names&quot;:false,&quot;dropping-particle&quot;:&quot;&quot;,&quot;non-dropping-particle&quot;:&quot;&quot;},{&quot;family&quot;:&quot;Charest&quot;,&quot;given&quot;:&quot;Christiane&quot;,&quot;parse-names&quot;:false,&quot;dropping-particle&quot;:&quot;&quot;,&quot;non-dropping-particle&quot;:&quot;&quot;}],&quot;container-title&quot;:&quot;Journal of Plant Nutrition&quot;,&quot;DOI&quot;:&quot;10.1080/01904169909365671&quot;,&quot;ISSN&quot;:&quot;0190-4167&quot;,&quot;issued&quot;:{&quot;date-parts&quot;:[[1999,1]]},&quot;issue&quot;:&quot;4-5&quot;,&quot;volume&quot;:&quot;22&quot;},&quot;isTemporary&quot;:false}],&quot;properties&quot;:{&quot;noteIndex&quot;:0},&quot;isEdited&quot;:false,&quot;manualOverride&quot;:{&quot;isManuallyOverridden&quot;:false,&quot;citeprocText&quot;:&quot;(Boucher et al., 1999)&quot;,&quot;manualOverrideText&quot;:&quot;&quot;},&quot;citationTag&quot;:&quot;MENDELEY_CITATION_v3_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&quot;},{&quot;citationID&quot;:&quot;MENDELEY_CITATION_3c809eca-14c9-4d75-962b-04c0eff464d0&quot;,&quot;citationItems&quot;:[{&quot;id&quot;:&quot;e4985f42-8f09-3720-adb3-ecff49ab9c60&quot;,&quot;itemData&quot;:{&quot;type&quot;:&quot;article-journal&quot;,&quot;id&quot;:&quot;e4985f42-8f09-3720-adb3-ecff49ab9c60&quot;,&quot;title&quot;:&quot;Accumulation of secondary compounds in barley and wheat roots in response to inoculation with an arbuscular mycorrhizal fungus and co-inoculation with rhizosphere bacteria&quot;,&quot;author&quot;:[{&quot;family&quot;:&quot;Fester&quot;,&quot;given&quot;:&quot;Thomas&quot;,&quot;parse-names&quot;:false,&quot;dropping-particle&quot;:&quot;&quot;,&quot;non-dropping-particle&quot;:&quot;&quot;},{&quot;family&quot;:&quot;Maier&quot;,&quot;given&quot;:&quot;Walter&quot;,&quot;parse-names&quot;:false,&quot;dropping-particle&quot;:&quot;&quot;,&quot;non-dropping-particle&quot;:&quot;&quot;},{&quot;family&quot;:&quot;Strack&quot;,&quot;given&quot;:&quot;D.&quot;,&quot;parse-names&quot;:false,&quot;dropping-particle&quot;:&quot;&quot;,&quot;non-dropping-particle&quot;:&quot;&quot;}],&quot;container-title&quot;:&quot;Mycorrhiza&quot;,&quot;DOI&quot;:&quot;10.1007/s005720050240&quot;,&quot;ISSN&quot;:&quot;0940-6360&quot;,&quot;issued&quot;:{&quot;date-parts&quot;:[[1999,3,12]]},&quot;issue&quot;:&quot;5&quot;,&quot;volume&quot;:&quot;8&quot;},&quot;isTemporary&quot;:false}],&quot;properties&quot;:{&quot;noteIndex&quot;:0},&quot;isEdited&quot;:false,&quot;manualOverride&quot;:{&quot;isManuallyOverridden&quot;:true,&quot;citeprocText&quot;:&quot;(Fester et al., 1999)&quot;,&quot;manualOverrideText&quot;:&quot;,(Fester et al., 1999)&quot;},&quot;citationTag&quot;:&quot;MENDELEY_CITATION_v3_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&quot;},{&quot;citationID&quot;:&quot;MENDELEY_CITATION_088acda8-7bde-4ae2-a7c1-b0ad3b661428&quot;,&quot;citationItems&quot;:[{&quot;id&quot;:&quot;66830d6f-023e-35ab-9529-440998baabff&quot;,&quot;itemData&quot;:{&quot;type&quot;:&quot;article-journal&quot;,&quot;id&quot;:&quot;66830d6f-023e-35ab-9529-440998baabff&quot;,&quot;title&quot;:&quot;Growth under elevated air temperature alters secondary metabolites in Robinia pseudoacacia L. seedlings in Cd- and Pb-contaminated soils&quot;,&quot;author&quot;:[{&quot;family&quot;:&quot;Zhao&quot;,&quot;given&quot;:&quot;Y.H.&quot;,&quot;parse-names&quot;:false,&quot;dropping-particle&quot;:&quot;&quot;,&quot;non-dropping-particle&quot;:&quot;&quot;},{&quot;family&quot;:&quot;Jia&quot;,&quot;given&quot;:&quot;X.&quot;,&quot;parse-names&quot;:false,&quot;dropping-particle&quot;:&quot;&quot;,&quot;non-dropping-particle&quot;:&quot;&quot;},{&quot;family&quot;:&quot;Wang&quot;,&quot;given&quot;:&quot;W.K.&quot;,&quot;parse-names&quot;:false,&quot;dropping-particle&quot;:&quot;&quot;,&quot;non-dropping-particle&quot;:&quot;&quot;},{&quot;family&quot;:&quot;Liu&quot;,&quot;given&quot;:&quot;T.&quot;,&quot;parse-names&quot;:false,&quot;dropping-particle&quot;:&quot;&quot;,&quot;non-dropping-particle&quot;:&quot;&quot;},{&quot;family&quot;:&quot;Huang&quot;,&quot;given&quot;:&quot;S.P.&quot;,&quot;parse-names&quot;:false,&quot;dropping-particle&quot;:&quot;&quot;,&quot;non-dropping-particle&quot;:&quot;&quot;},{&quot;family&quot;:&quot;Yang&quot;,&quot;given&quot;:&quot;M.Y.&quot;,&quot;parse-names&quot;:false,&quot;dropping-particle&quot;:&quot;&quot;,&quot;non-dropping-particle&quot;:&quot;&quot;}],&quot;container-title&quot;:&quot;Science of The Total Environment&quot;,&quot;DOI&quot;:&quot;10.1016/j.scitotenv.2016.05.058&quot;,&quot;ISSN&quot;:&quot;00489697&quot;,&quot;issued&quot;:{&quot;date-parts&quot;:[[2016,9]]},&quot;volume&quot;:&quot;565&quot;},&quot;isTemporary&quot;:false}],&quot;properties&quot;:{&quot;noteIndex&quot;:0},&quot;isEdited&quot;:false,&quot;manualOverride&quot;:{&quot;isManuallyOverridden&quot;:true,&quot;citeprocText&quot;:&quot;(Y. H. Zhao et al., 2016)&quot;,&quot;manualOverrideText&quot;:&quot;(Zhao et al., 2016).&quot;},&quot;citationTag&quot;:&quot;MENDELEY_CITATION_v3_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&quot;},{&quot;citationID&quot;:&quot;MENDELEY_CITATION_1143a3f2-a60b-47df-a856-f2fbdc3ce496&quot;,&quot;citationItems&quot;:[{&quot;id&quot;:&quot;47c21f9b-2b47-3f07-b036-30e041944bf1&quot;,&quot;itemData&quot;:{&quot;type&quot;:&quot;article-journal&quot;,&quot;id&quot;:&quot;47c21f9b-2b47-3f07-b036-30e041944bf1&quot;,&quot;title&quot;:&quot;Marker-assisted selection in public breeding programs:The wheat experience.&quot;,&quot;author&quot;:[{&quot;family&quot;:&quot;Dubcovsky&quot;,&quot;given&quot;:&quot;J.&quot;,&quot;parse-names&quot;:false,&quot;dropping-particle&quot;:&quot;&quot;,&quot;non-dropping-particle&quot;:&quot;&quot;}],&quot;container-title&quot;:&quot;Crop Sci.&quot;,&quot;issued&quot;:{&quot;date-parts&quot;:[[2004]]},&quot;page&quot;:&quot;1895-1898&quot;,&quot;volume&quot;:&quot;    44&quot;},&quot;isTemporary&quot;:false},{&quot;id&quot;:&quot;3b914f60-bdfa-3ed0-82a2-66ef6dc7d37c&quot;,&quot;itemData&quot;:{&quot;type&quot;:&quot;article-journal&quot;,&quot;id&quot;:&quot;3b914f60-bdfa-3ed0-82a2-66ef6dc7d37c&quot;,&quot;title&quot;:&quot;Using ‘mute’ plants to translate volatile signals&quot;,&quot;author&quot;:[{&quot;family&quot;:&quot;Paschold&quot;,&quot;given&quot;:&quot;Anja&quot;,&quot;parse-names&quot;:false,&quot;dropping-particle&quot;:&quot;&quot;,&quot;non-dropping-particle&quot;:&quot;&quot;},{&quot;family&quot;:&quot;Halitschke&quot;,&quot;given&quot;:&quot;Rayko&quot;,&quot;parse-names&quot;:false,&quot;dropping-particle&quot;:&quot;&quot;,&quot;non-dropping-particle&quot;:&quot;&quot;},{&quot;family&quot;:&quot;Baldwin&quot;,&quot;given&quot;:&quot;Ian T.&quot;,&quot;parse-names&quot;:false,&quot;dropping-particle&quot;:&quot;&quot;,&quot;non-dropping-particle&quot;:&quot;&quot;}],&quot;container-title&quot;:&quot;The Plant Journal&quot;,&quot;DOI&quot;:&quot;10.1111/j.1365-313X.2005.02623.x&quot;,&quot;ISSN&quot;:&quot;09607412&quot;,&quot;issued&quot;:{&quot;date-parts&quot;:[[2006,1]]},&quot;issue&quot;:&quot;2&quot;,&quot;volume&quot;:&quot;45&quot;},&quot;isTemporary&quot;:false}],&quot;properties&quot;:{&quot;noteIndex&quot;:0},&quot;isEdited&quot;:false,&quot;manualOverride&quot;:{&quot;isManuallyOverridden&quot;:false,&quot;citeprocText&quot;:&quot;(Dubcovsky, 2004; Paschold et al., 2006)&quot;,&quot;manualOverrideText&quot;:&quot;&quot;},&quot;citationTag&quot;:&quot;MENDELEY_CITATION_v3_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&quot;},{&quot;citationID&quot;:&quot;MENDELEY_CITATION_ba984426-3e0b-4451-9ecf-0f67ce6c6721&quot;,&quot;citationItems&quot;:[{&quot;id&quot;:&quot;35585be1-e168-30e4-b286-840e71cf7156&quot;,&quot;itemData&quot;:{&quot;type&quot;:&quot;article-journal&quot;,&quot;id&quot;:&quot;35585be1-e168-30e4-b286-840e71cf7156&quot;,&quot;title&quot;:&quot;Biochemistry of Plant Volatiles&quot;,&quot;author&quot;:[{&quot;family&quot;:&quot;Dudareva&quot;,&quot;given&quot;:&quot;Natalia&quot;,&quot;parse-names&quot;:false,&quot;dropping-particle&quot;:&quot;&quot;,&quot;non-dropping-particle&quot;:&quot;&quot;},{&quot;family&quot;:&quot;Pichersky&quot;,&quot;given&quot;:&quot;Eran&quot;,&quot;parse-names&quot;:false,&quot;dropping-particle&quot;:&quot;&quot;,&quot;non-dropping-particle&quot;:&quot;&quot;},{&quot;family&quot;:&quot;Gershenzon&quot;,&quot;given&quot;:&quot;Jonathan&quot;,&quot;parse-names&quot;:false,&quot;dropping-particle&quot;:&quot;&quot;,&quot;non-dropping-particle&quot;:&quot;&quot;}],&quot;container-title&quot;:&quot;Plant Physiology&quot;,&quot;DOI&quot;:&quot;10.1104/pp.104.049981&quot;,&quot;ISSN&quot;:&quot;1532-2548&quot;,&quot;issued&quot;:{&quot;date-parts&quot;:[[2004,8,1]]},&quot;issue&quot;:&quot;4&quot;,&quot;volume&quot;:&quot;135&quot;},&quot;isTemporary&quot;:false}],&quot;properties&quot;:{&quot;noteIndex&quot;:0},&quot;isEdited&quot;:false,&quot;manualOverride&quot;:{&quot;isManuallyOverridden&quot;:false,&quot;citeprocText&quot;:&quot;(Dudareva et al., 2004)&quot;,&quot;manualOverrideText&quot;:&quot;&quot;},&quot;citationTag&quot;:&quot;MENDELEY_CITATION_v3_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&quot;},{&quot;citationID&quot;:&quot;MENDELEY_CITATION_6a7115cf-21a4-4143-b4a0-1e01c0b21bbd&quot;,&quot;citationItems&quot;:[{&quot;id&quot;:&quot;6b5a7c04-87aa-3d14-9dfe-23de81fcaa9c&quot;,&quot;itemData&quot;:{&quot;type&quot;:&quot;chapter&quot;,&quot;id&quot;:&quot;6b5a7c04-87aa-3d14-9dfe-23de81fcaa9c&quot;,&quot;title&quot;:&quot; Natural Products (Secondary Metabolites).  &quot;,&quot;author&quot;:[{&quot;family&quot;:&quot;Croteau&quot;,&quot;given&quot;:&quot;R.,&quot;,&quot;parse-names&quot;:false,&quot;dropping-particle&quot;:&quot;&quot;,&quot;non-dropping-particle&quot;:&quot;&quot;},{&quot;family&quot;:&quot;Kutchan&quot;,&quot;given&quot;:&quot;T.M.&quot;,&quot;parse-names&quot;:false,&quot;dropping-particle&quot;:&quot;&quot;,&quot;non-dropping-particle&quot;:&quot;&quot;},{&quot;family&quot;:&quot;and Lewis&quot;,&quot;given&quot;:&quot;N.G.&quot;,&quot;parse-names&quot;:false,&quot;dropping-particle&quot;:&quot;&quot;,&quot;non-dropping-particle&quot;:&quot;&quot;}],&quot;container-title&quot;:&quot;Biochemistry and Molecular Biology of Plants,&quot;,&quot;issued&quot;:{&quot;date-parts&quot;:[[2000]]},&quot;page&quot;:&quot;1250-1319&quot;,&quot;volume&quot;:&quot;24&quot;},&quot;isTemporary&quot;:false}],&quot;properties&quot;:{&quot;noteIndex&quot;:0},&quot;isEdited&quot;:false,&quot;manualOverride&quot;:{&quot;isManuallyOverridden&quot;:true,&quot;citeprocText&quot;:&quot;(Croteau et al., 2000)&quot;,&quot;manualOverrideText&quot;:&quot;(Croteau et al., 2000).&quot;},&quot;citationTag&quot;:&quot;MENDELEY_CITATION_v3_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&quot;},{&quot;citationID&quot;:&quot;MENDELEY_CITATION_4f7553ed-14eb-424c-9ecc-0817f278db3a&quot;,&quot;citationItems&quot;:[{&quot;id&quot;:&quot;082f0197-7a21-3471-bef7-9695fe9f9a5b&quot;,&quot;itemData&quot;:{&quot;type&quot;:&quot;chapter&quot;,&quot;id&quot;:&quot;082f0197-7a21-3471-bef7-9695fe9f9a5b&quot;,&quot;title&quot;:&quot;Hormonal Balance in Plants During Colonization by Mycorrhizal Fungi&quot;,&quot;author&quot;:[{&quot;family&quot;:&quot;Ludwig-Müller&quot;,&quot;given&quot;:&quot;Jutta&quot;,&quot;parse-names&quot;:false,&quot;dropping-particle&quot;:&quot;&quot;,&quot;non-dropping-particle&quot;:&quot;&quot;}],&quot;container-title&quot;:&quot;Arbuscular Mycorrhizas: Physiology and Function&quot;,&quot;DOI&quot;:&quot;10.1007/978-94-017-0776-3_12&quot;,&quot;issued&quot;:{&quot;date-parts&quot;:[[2000]]},&quot;publisher-place&quot;:&quot;Dordrecht&quot;,&quot;publisher&quot;:&quot;Springer Netherlands&quot;},&quot;isTemporary&quot;:false}],&quot;properties&quot;:{&quot;noteIndex&quot;:0},&quot;isEdited&quot;:false,&quot;manualOverride&quot;:{&quot;isManuallyOverridden&quot;:false,&quot;citeprocText&quot;:&quot;(Ludwig-Müller, 2000)&quot;,&quot;manualOverrideText&quot;:&quot;&quot;},&quot;citationTag&quot;:&quot;MENDELEY_CITATION_v3_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&quot;},{&quot;citationID&quot;:&quot;MENDELEY_CITATION_7bd31fe5-502a-45b1-a954-8c890c7437a1&quot;,&quot;citationItems&quot;:[{&quot;id&quot;:&quot;4b82d69f-c88b-301b-9f66-dc8d82fa1cfc&quot;,&quot;itemData&quot;:{&quot;type&quot;:&quot;article-journal&quot;,&quot;id&quot;:&quot;4b82d69f-c88b-301b-9f66-dc8d82fa1cfc&quot;,&quot;title&quot;:&quot;Effects of jasmonic acid on mycorrhizal &lt;i&gt;Allium sativum&lt;/i&gt;&quot;,&quot;author&quot;:[{&quot;family&quot;:&quot;Regvar&quot;,&quot;given&quot;:&quot;Marjana&quot;,&quot;parse-names&quot;:false,&quot;dropping-particle&quot;:&quot;&quot;,&quot;non-dropping-particle&quot;:&quot;&quot;},{&quot;family&quot;:&quot;Gogala&quot;,&quot;given&quot;:&quot;Nada&quot;,&quot;parse-names&quot;:false,&quot;dropping-particle&quot;:&quot;&quot;,&quot;non-dropping-particle&quot;:&quot;&quot;},{&quot;family&quot;:&quot;Zalar&quot;,&quot;given&quot;:&quot;Polona&quot;,&quot;parse-names&quot;:false,&quot;dropping-particle&quot;:&quot;&quot;,&quot;non-dropping-particle&quot;:&quot;&quot;}],&quot;container-title&quot;:&quot;New Phytologist&quot;,&quot;DOI&quot;:&quot;10.1111/j.1469-8137.1996.tb04936.x&quot;,&quot;ISSN&quot;:&quot;0028-646X&quot;,&quot;issued&quot;:{&quot;date-parts&quot;:[[1996,12,28]]},&quot;issue&quot;:&quot;4&quot;,&quot;volume&quot;:&quot;134&quot;},&quot;isTemporary&quot;:false}],&quot;properties&quot;:{&quot;noteIndex&quot;:0},&quot;isEdited&quot;:false,&quot;manualOverride&quot;:{&quot;isManuallyOverridden&quot;:false,&quot;citeprocText&quot;:&quot;(Regvar et al., 1996)&quot;,&quot;manualOverrideText&quot;:&quot;&quot;},&quot;citationTag&quot;:&quot;MENDELEY_CITATION_v3_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&quot;},{&quot;citationID&quot;:&quot;MENDELEY_CITATION_279296fb-11f1-4601-ad6c-e179fa53dae3&quot;,&quot;citationItems&quot;:[{&quot;id&quot;:&quot;93057650-3e4b-3de3-9188-7bc2bf16b56a&quot;,&quot;itemData&quot;:{&quot;type&quot;:&quot;article-journal&quot;,&quot;id&quot;:&quot;93057650-3e4b-3de3-9188-7bc2bf16b56a&quot;,&quot;title&quot;:&quot;Reduced arbuscular mycorrhizal root colonization in Tropaeolum majus and Carica papaya after jasmonic acid application can not be attributed to increased glucosinolate levels&quot;,&quot;author&quot;:[{&quot;family&quot;:&quot;Ludwig-Müller&quot;,&quot;given&quot;:&quot;Jutta&quot;,&quot;parse-names&quot;:false,&quot;dropping-particle&quot;:&quot;&quot;,&quot;non-dropping-particle&quot;:&quot;&quot;},{&quot;family&quot;:&quot;Bennett&quot;,&quot;given&quot;:&quot;Richard N.&quot;,&quot;parse-names&quot;:false,&quot;dropping-particle&quot;:&quot;&quot;,&quot;non-dropping-particle&quot;:&quot;&quot;},{&quot;family&quot;:&quot;García-Garrido&quot;,&quot;given&quot;:&quot;José M.&quot;,&quot;parse-names&quot;:false,&quot;dropping-particle&quot;:&quot;&quot;,&quot;non-dropping-particle&quot;:&quot;&quot;},{&quot;family&quot;:&quot;Piché&quot;,&quot;given&quot;:&quot;Yves&quot;,&quot;parse-names&quot;:false,&quot;dropping-particle&quot;:&quot;&quot;,&quot;non-dropping-particle&quot;:&quot;&quot;},{&quot;family&quot;:&quot;Vierheilig&quot;,&quot;given&quot;:&quot;Horst&quot;,&quot;parse-names&quot;:false,&quot;dropping-particle&quot;:&quot;&quot;,&quot;non-dropping-particle&quot;:&quot;&quot;}],&quot;container-title&quot;:&quot;Journal of Plant Physiology&quot;,&quot;DOI&quot;:&quot;10.1078/0176-1617-00731&quot;,&quot;ISSN&quot;:&quot;01761617&quot;,&quot;issued&quot;:{&quot;date-parts&quot;:[[2002,1]]},&quot;issue&quot;:&quot;5&quot;,&quot;volume&quot;:&quot;159&quot;},&quot;isTemporary&quot;:false}],&quot;properties&quot;:{&quot;noteIndex&quot;:0},&quot;isEdited&quot;:false,&quot;manualOverride&quot;:{&quot;isManuallyOverridden&quot;:false,&quot;citeprocText&quot;:&quot;(Ludwig-Müller et al., 2002)&quot;,&quot;manualOverrideText&quot;:&quot;&quot;},&quot;citationTag&quot;:&quot;MENDELEY_CITATION_v3_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&quot;},{&quot;citationID&quot;:&quot;MENDELEY_CITATION_5dd18a60-33ab-43c9-b049-341c433e4aa3&quot;,&quot;citationItems&quot;:[{&quot;id&quot;:&quot;5a3706d0-ffe9-3c85-a182-c439d40d6927&quot;,&quot;itemData&quot;:{&quot;type&quot;:&quot;book&quot;,&quot;id&quot;:&quot;5a3706d0-ffe9-3c85-a182-c439d40d6927&quot;,&quot;title&quot;:&quot;Flavonoids and arbuscular mycorrhizal fungi&quot;,&quot;author&quot;:[{&quot;family&quot;:&quot;Vierheilig  H&quot;,&quot;given&quot;:&quot;Bago  B,  Albrecht  C,  Poulin  MJ,  Piche  Y&quot;,&quot;parse-names&quot;:false,&quot;dropping-particle&quot;:&quot;&quot;,&quot;non-dropping-particle&quot;:&quot;&quot;}],&quot;issued&quot;:{&quot;date-parts&quot;:[[1998]]},&quot;publisher-place&quot;:&quot;New York&quot;,&quot;number-of-pages&quot;:&quot;9-33&quot;},&quot;isTemporary&quot;:false}],&quot;properties&quot;:{&quot;noteIndex&quot;:0},&quot;isEdited&quot;:false,&quot;manualOverride&quot;:{&quot;isManuallyOverridden&quot;:true,&quot;citeprocText&quot;:&quot;(Vierheilig  H, 1998)&quot;,&quot;manualOverrideText&quot;:&quot;(Vierheilig, 1998)&quot;},&quot;citationTag&quot;:&quot;MENDELEY_CITATION_v3_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&quot;},{&quot;citationID&quot;:&quot;MENDELEY_CITATION_d653509e-e333-4fd0-886b-f74dbe53073c&quot;,&quot;citationItems&quot;:[{&quot;id&quot;:&quot;9f6b276f-07b5-3c7d-86e1-0f7eeede16df&quot;,&quot;itemData&quot;:{&quot;type&quot;:&quot;article-journal&quot;,&quot;id&quot;:&quot;9f6b276f-07b5-3c7d-86e1-0f7eeede16df&quot;,&quot;title&quot;:&quot;Induction of Jasmonate Biosynthesis in Arbuscular Mycorrhizal Barley Roots,&quot;,&quot;author&quot;:[{&quot;family&quot;:&quot;Hause&quot;,&quot;given&quot;:&quot;Bettina&quot;,&quot;parse-names&quot;:false,&quot;dropping-particle&quot;:&quot;&quot;,&quot;non-dropping-particle&quot;:&quot;&quot;},{&quot;family&quot;:&quot;Maier&quot;,&quot;given&quot;:&quot;Walter&quot;,&quot;parse-names&quot;:false,&quot;dropping-particle&quot;:&quot;&quot;,&quot;non-dropping-particle&quot;:&quot;&quot;},{&quot;family&quot;:&quot;Miersch&quot;,&quot;given&quot;:&quot;Otto&quot;,&quot;parse-names&quot;:false,&quot;dropping-particle&quot;:&quot;&quot;,&quot;non-dropping-particle&quot;:&quot;&quot;},{&quot;family&quot;:&quot;Kramell&quot;,&quot;given&quot;:&quot;Robert&quot;,&quot;parse-names&quot;:false,&quot;dropping-particle&quot;:&quot;&quot;,&quot;non-dropping-particle&quot;:&quot;&quot;},{&quot;family&quot;:&quot;Strack&quot;,&quot;given&quot;:&quot;Dieter&quot;,&quot;parse-names&quot;:false,&quot;dropping-particle&quot;:&quot;&quot;,&quot;non-dropping-particle&quot;:&quot;&quot;}],&quot;container-title&quot;:&quot;Plant Physiology&quot;,&quot;DOI&quot;:&quot;10.1104/pp.006007&quot;,&quot;ISSN&quot;:&quot;1532-2548&quot;,&quot;issued&quot;:{&quot;date-parts&quot;:[[2002,11,1]]},&quot;abstract&quot;:&quot;&lt;p&gt;Colonization of barley (Hordeum vulgare cv Salome) roots by an arbuscular mycorrhizal fungus, Glomus intraradices Schenck &amp;amp; Smith, leads to elevated levels of endogenous jasmonic acid (JA) and its amino acid conjugate JA-isoleucine, whereas the level of the JA precursor, oxophytodienoic acid, remains constant. The rise in jasmonates is accompanied by the expression of genes coding for an enzyme of JA biosynthesis (allene oxide synthase) and of a jasmonate-induced protein (JIP23). In situ hybridization and immunocytochemical analysis revealed that expression of these genes occurred cell specifically within arbuscule-containing root cortex cells. The concomitant gene expression indicates that jasmonates are generated and act within arbuscule-containing cells. By use of a near-synchronous mycorrhization, analysis of temporal expression patterns showed the occurrence of transcript accumulation 4 to 6 d after the appearance of the first arbuscules. This suggests that the endogenous rise in jasmonates might be related to the fully established symbiosis rather than to the recognition of interacting partners or to the onset of interaction. Because the plant supplies the fungus with carbohydrates, a model is proposed in which the induction of JA biosynthesis in colonized roots is linked to the stronger sink function of mycorrhizal roots compared with nonmycorrhizal roots.&lt;/p&gt;&quot;,&quot;issue&quot;:&quot;3&quot;,&quot;volume&quot;:&quot;130&quot;},&quot;isTemporary&quot;:false},{&quot;id&quot;:&quot;2ab3ea57-cd05-32e7-99a1-21a0cf12a513&quot;,&quot;itemData&quot;:{&quot;type&quot;:&quot;article-journal&quot;,&quot;id&quot;:&quot;2ab3ea57-cd05-32e7-99a1-21a0cf12a513&quot;,&quot;title&quot;:&quot;Lack of mycorrhizal autoregulation and phytohormonal changes in the supernodulating soybean mutant nts1007&quot;,&quot;author&quot;:[{&quot;family&quot;:&quot;Meixner&quot;,&quot;given&quot;:&quot;Claudia&quot;,&quot;parse-names&quot;:false,&quot;dropping-particle&quot;:&quot;&quot;,&quot;non-dropping-particle&quot;:&quot;&quot;},{&quot;family&quot;:&quot;Ludwig-Müller&quot;,&quot;given&quot;:&quot;Jutta&quot;,&quot;parse-names&quot;:false,&quot;dropping-particle&quot;:&quot;&quot;,&quot;non-dropping-particle&quot;:&quot;&quot;},{&quot;family&quot;:&quot;Miersch&quot;,&quot;given&quot;:&quot;Otto&quot;,&quot;parse-names&quot;:false,&quot;dropping-particle&quot;:&quot;&quot;,&quot;non-dropping-particle&quot;:&quot;&quot;},{&quot;family&quot;:&quot;Gresshoff&quot;,&quot;given&quot;:&quot;Peter&quot;,&quot;parse-names&quot;:false,&quot;dropping-particle&quot;:&quot;&quot;,&quot;non-dropping-particle&quot;:&quot;&quot;},{&quot;family&quot;:&quot;Staehelin&quot;,&quot;given&quot;:&quot;Christian&quot;,&quot;parse-names&quot;:false,&quot;dropping-particle&quot;:&quot;&quot;,&quot;non-dropping-particle&quot;:&quot;&quot;},{&quot;family&quot;:&quot;Vierheilig&quot;,&quot;given&quot;:&quot;Horst&quot;,&quot;parse-names&quot;:false,&quot;dropping-particle&quot;:&quot;&quot;,&quot;non-dropping-particle&quot;:&quot;&quot;}],&quot;container-title&quot;:&quot;Planta&quot;,&quot;DOI&quot;:&quot;10.1007/s00425-005-0003-4&quot;,&quot;ISSN&quot;:&quot;0032-0935&quot;,&quot;issued&quot;:{&quot;date-parts&quot;:[[2005,11,15]]},&quot;issue&quot;:&quot;4&quot;,&quot;volume&quot;:&quot;222&quot;},&quot;isTemporary&quot;:false},{&quot;id&quot;:&quot;3794c5cd-0bc0-3458-8b30-ece65e68de65&quot;,&quot;itemData&quot;:{&quot;type&quot;:&quot;article-journal&quot;,&quot;id&quot;:&quot;3794c5cd-0bc0-3458-8b30-ece65e68de65&quot;,&quot;title&quot;:&quot;Lipid metabolism in arbuscular mycorrhizal roots of Medicago truncatula&quot;,&quot;author&quot;:[{&quot;family&quot;:&quot;Stumpe&quot;,&quot;given&quot;:&quot;Michael&quot;,&quot;parse-names&quot;:false,&quot;dropping-particle&quot;:&quot;&quot;,&quot;non-dropping-particle&quot;:&quot;&quot;},{&quot;family&quot;:&quot;Carsjens&quot;,&quot;given&quot;:&quot;Jan-Gerrit&quot;,&quot;parse-names&quot;:false,&quot;dropping-particle&quot;:&quot;&quot;,&quot;non-dropping-particle&quot;:&quot;&quot;},{&quot;family&quot;:&quot;Stenzel&quot;,&quot;given&quot;:&quot;Irene&quot;,&quot;parse-names&quot;:false,&quot;dropping-particle&quot;:&quot;&quot;,&quot;non-dropping-particle&quot;:&quot;&quot;},{&quot;family&quot;:&quot;Göbel&quot;,&quot;given&quot;:&quot;Cornelia&quot;,&quot;parse-names&quot;:false,&quot;dropping-particle&quot;:&quot;&quot;,&quot;non-dropping-particle&quot;:&quot;&quot;},{&quot;family&quot;:&quot;Lang&quot;,&quot;given&quot;:&quot;Imke&quot;,&quot;parse-names&quot;:false,&quot;dropping-particle&quot;:&quot;&quot;,&quot;non-dropping-particle&quot;:&quot;&quot;},{&quot;family&quot;:&quot;Pawlowski&quot;,&quot;given&quot;:&quot;Katharina&quot;,&quot;parse-names&quot;:false,&quot;dropping-particle&quot;:&quot;&quot;,&quot;non-dropping-particle&quot;:&quot;&quot;},{&quot;family&quot;:&quot;Hause&quot;,&quot;given&quot;:&quot;Bettina&quot;,&quot;parse-names&quot;:false,&quot;dropping-particle&quot;:&quot;&quot;,&quot;non-dropping-particle&quot;:&quot;&quot;},{&quot;family&quot;:&quot;Feussner&quot;,&quot;given&quot;:&quot;Ivo&quot;,&quot;parse-names&quot;:false,&quot;dropping-particle&quot;:&quot;&quot;,&quot;non-dropping-particle&quot;:&quot;&quot;}],&quot;container-title&quot;:&quot;Phytochemistry&quot;,&quot;DOI&quot;:&quot;10.1016/j.phytochem.2005.01.020&quot;,&quot;ISSN&quot;:&quot;00319422&quot;,&quot;issued&quot;:{&quot;date-parts&quot;:[[2005,4]]},&quot;issue&quot;:&quot;7&quot;,&quot;volume&quot;:&quot;66&quot;},&quot;isTemporary&quot;:false},{&quot;id&quot;:&quot;59da343d-658c-36ea-8fb0-f088ee40b163&quot;,&quot;itemData&quot;:{&quot;type&quot;:&quot;chapter&quot;,&quot;id&quot;:&quot;59da343d-658c-36ea-8fb0-f088ee40b163&quot;,&quot;title&quot;:&quot;Signalling in Arbuscular Mycorrhiza: Facts and Hypotheses&quot;,&quot;author&quot;:[{&quot;family&quot;:&quot;Vierheilig&quot;,&quot;given&quot;:&quot;Horst&quot;,&quot;parse-names&quot;:false,&quot;dropping-particle&quot;:&quot;&quot;,&quot;non-dropping-particle&quot;:&quot;&quot;},{&quot;family&quot;:&quot;Piché&quot;,&quot;given&quot;:&quot;Yves&quot;,&quot;parse-names&quot;:false,&quot;dropping-particle&quot;:&quot;&quot;,&quot;non-dropping-particle&quot;:&quot;&quot;}],&quot;DOI&quot;:&quot;10.1007/978-1-4757-5235-9_3&quot;,&quot;issued&quot;:{&quot;date-parts&quot;:[[2002]]}},&quot;isTemporary&quot;:false}],&quot;properties&quot;:{&quot;noteIndex&quot;:0},&quot;isEdited&quot;:false,&quot;manualOverride&quot;:{&quot;isManuallyOverridden&quot;:true,&quot;citeprocText&quot;:&quot;(Hause et al., 2002; Meixner et al., 2005; Stumpe et al., 2005; Vierheilig &amp;#38; Piché, 2002b)&quot;,&quot;manualOverrideText&quot;:&quot;(Hause et al., 2002; Meixner et al., 2005; Stumpe et al., 2005; Vierheilig &amp; Piché, 2002)&quot;},&quot;citationTag&quot;:&quot;MENDELEY_CITATION_v3_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&quot;},{&quot;citationID&quot;:&quot;MENDELEY_CITATION_62277b71-5011-40a6-a57d-bf463a80664b&quot;,&quot;citationItems&quot;:[{&quot;id&quot;:&quot;4b4ea383-9629-371b-8b87-675ca5edb00d&quot;,&quot;itemData&quot;:{&quot;type&quot;:&quot;article&quot;,&quot;id&quot;:&quot;4b4ea383-9629-371b-8b87-675ca5edb00d&quot;,&quot;title&quot;:&quot;Jasmonic acid signaling pathway in plants&quot;,&quot;author&quot;:[{&quot;family&quot;:&quot;Ruan&quot;,&quot;given&quot;:&quot;Jingjun&quot;,&quot;parse-names&quot;:false,&quot;dropping-particle&quot;:&quot;&quot;,&quot;non-dropping-particle&quot;:&quot;&quot;},{&quot;family&quot;:&quot;Zhou&quot;,&quot;given&quot;:&quot;Yuexia&quot;,&quot;parse-names&quot;:false,&quot;dropping-particle&quot;:&quot;&quot;,&quot;non-dropping-particle&quot;:&quot;&quot;},{&quot;family&quot;:&quot;Zhou&quot;,&quot;given&quot;:&quot;Meiliang&quot;,&quot;parse-names&quot;:false,&quot;dropping-particle&quot;:&quot;&quot;,&quot;non-dropping-particle&quot;:&quot;&quot;},{&quot;family&quot;:&quot;Yan&quot;,&quot;given&quot;:&quot;Jun&quot;,&quot;parse-names&quot;:false,&quot;dropping-particle&quot;:&quot;&quot;,&quot;non-dropping-particle&quot;:&quot;&quot;},{&quot;family&quot;:&quot;Khurshid&quot;,&quot;given&quot;:&quot;Muhammad&quot;,&quot;parse-names&quot;:false,&quot;dropping-particle&quot;:&quot;&quot;,&quot;non-dropping-particle&quot;:&quot;&quot;},{&quot;family&quot;:&quot;Weng&quot;,&quot;given&quot;:&quot;Wenfeng&quot;,&quot;parse-names&quot;:false,&quot;dropping-particle&quot;:&quot;&quot;,&quot;non-dropping-particle&quot;:&quot;&quot;},{&quot;family&quot;:&quot;Cheng&quot;,&quot;given&quot;:&quot;Jianping&quot;,&quot;parse-names&quot;:false,&quot;dropping-particle&quot;:&quot;&quot;,&quot;non-dropping-particle&quot;:&quot;&quot;},{&quot;family&quot;:&quot;Zhang&quot;,&quot;given&quot;:&quot;Kaixuan&quot;,&quot;parse-names&quot;:false,&quot;dropping-particle&quot;:&quot;&quot;,&quot;non-dropping-particle&quot;:&quot;&quot;}],&quot;container-title&quot;:&quot;International Journal of Molecular Sciences&quot;,&quot;DOI&quot;:&quot;10.3390/ijms20102479&quot;,&quot;ISSN&quot;:&quot;14220067&quot;,&quot;PMID&quot;:&quot;31137463&quot;,&quot;issued&quot;:{&quot;date-parts&quot;:[[2019,5,2]]},&quot;abstract&quot;:&quot;Jasmonic acid (JA) and its precursors and dervatives, referred as jasmonates (JAs) are important molecules in the regulation of many physiological processes in plant growth and development, and especially the mediation of plant responses to biotic and abiotic stresses. JAs biosynthesis, perception, transport, signal transduction and action have been extensively investigated. In this review, we will discuss the initiation of JA signaling with a focus on environmental signal perception and transduction, JA biosynthesis and metabolism, transport of signaling molecules (local transmission, vascular bundle transmission, and airborne transportation), and biological function (JA signal receptors, regulated transcription factors, and biological processes involved).&quot;,&quot;publisher&quot;:&quot;MDPI AG&quot;,&quot;issue&quot;:&quot;10&quot;,&quot;volume&quot;:&quot;20&quot;},&quot;isTemporary&quot;:false}],&quot;properties&quot;:{&quot;noteIndex&quot;:0},&quot;isEdited&quot;:false,&quot;manualOverride&quot;:{&quot;isManuallyOverridden&quot;:false,&quot;citeprocText&quot;:&quot;(Ruan et al., 2019)&quot;,&quot;manualOverrideText&quot;:&quot;&quot;},&quot;citationTag&quot;:&quot;MENDELEY_CITATION_v3_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&quot;},{&quot;citationID&quot;:&quot;MENDELEY_CITATION_550db132-657c-4d59-b5a0-891b341f296b&quot;,&quot;citationItems&quot;:[{&quot;id&quot;:&quot;9da65478-279b-3abb-ac59-033bf0693f05&quot;,&quot;itemData&quot;:{&quot;type&quot;:&quot;article-journal&quot;,&quot;id&quot;:&quot;9da65478-279b-3abb-ac59-033bf0693f05&quot;,&quot;title&quot;:&quot;Jasmonates and related compounds from Fusarium oxysporum&quot;,&quot;author&quot;:[{&quot;family&quot;:&quot;Miersch&quot;,&quot;given&quot;:&quot;Otto&quot;,&quot;parse-names&quot;:false,&quot;dropping-particle&quot;:&quot;&quot;,&quot;non-dropping-particle&quot;:&quot;&quot;},{&quot;family&quot;:&quot;Bohlmann&quot;,&quot;given&quot;:&quot;Holger&quot;,&quot;parse-names&quot;:false,&quot;dropping-particle&quot;:&quot;&quot;,&quot;non-dropping-particle&quot;:&quot;&quot;},{&quot;family&quot;:&quot;Wasternack&quot;,&quot;given&quot;:&quot;Claus&quot;,&quot;parse-names&quot;:false,&quot;dropping-particle&quot;:&quot;&quot;,&quot;non-dropping-particle&quot;:&quot;&quot;}],&quot;container-title&quot;:&quot;Phytochemistry&quot;,&quot;DOI&quot;:&quot;10.1016/S0031-9422(98)00596-2&quot;,&quot;ISSN&quot;:&quot;00319422&quot;,&quot;issued&quot;:{&quot;date-parts&quot;:[[1999,2]]},&quot;issue&quot;:&quot;4&quot;,&quot;volume&quot;:&quot;50&quot;},&quot;isTemporary&quot;:false},{&quot;id&quot;:&quot;fa25df93-eb41-39fe-8758-718502354af9&quot;,&quot;itemData&quot;:{&quot;type&quot;:&quot;article-journal&quot;,&quot;id&quot;:&quot;fa25df93-eb41-39fe-8758-718502354af9&quot;,&quot;title&quot;:&quot;Jasmonates from Different Fungal Species&quot;,&quot;author&quot;:[{&quot;family&quot;:&quot;Miersch&quot;,&quot;given&quot;:&quot;Otto&quot;,&quot;parse-names&quot;:false,&quot;dropping-particle&quot;:&quot;&quot;,&quot;non-dropping-particle&quot;:&quot;&quot;},{&quot;family&quot;:&quot;Günther&quot;,&quot;given&quot;:&quot;Thomas&quot;,&quot;parse-names&quot;:false,&quot;dropping-particle&quot;:&quot;&quot;,&quot;non-dropping-particle&quot;:&quot;&quot;},{&quot;family&quot;:&quot;Fritsche&quot;,&quot;given&quot;:&quot;Wolfgang&quot;,&quot;parse-names&quot;:false,&quot;dropping-particle&quot;:&quot;&quot;,&quot;non-dropping-particle&quot;:&quot;&quot;},{&quot;family&quot;:&quot;Sembdner&quot;,&quot;given&quot;:&quot;Günther&quot;,&quot;parse-names&quot;:false,&quot;dropping-particle&quot;:&quot;&quot;,&quot;non-dropping-particle&quot;:&quot;&quot;}],&quot;container-title&quot;:&quot;Natural Product Letters&quot;,&quot;DOI&quot;:&quot;10.1080/10575639308043825&quot;,&quot;ISSN&quot;:&quot;1057-5634&quot;,&quot;issued&quot;:{&quot;date-parts&quot;:[[1993,7]]},&quot;issue&quot;:&quot;4&quot;,&quot;volume&quot;:&quot;2&quot;},&quot;isTemporary&quot;:false}],&quot;properties&quot;:{&quot;noteIndex&quot;:0},&quot;isEdited&quot;:false,&quot;manualOverride&quot;:{&quot;isManuallyOverridden&quot;:false,&quot;citeprocText&quot;:&quot;(Miersch et al., 1993, 1999)&quot;,&quot;manualOverrideText&quot;:&quot;&quot;},&quot;citationTag&quot;:&quot;MENDELEY_CITATION_v3_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&quot;},{&quot;citationID&quot;:&quot;MENDELEY_CITATION_ad5efa7f-99a2-44fc-9667-bdd324d5810d&quot;,&quot;citationItems&quot;:[{&quot;id&quot;:&quot;1f918959-3917-36d7-847f-ea1e6574f947&quot;,&quot;itemData&quot;:{&quot;type&quot;:&quot;article-journal&quot;,&quot;id&quot;:&quot;1f918959-3917-36d7-847f-ea1e6574f947&quot;,&quot;title&quot;:&quot;Biosynthesis of jasmonic acid in a plant pathogenic fungus, Lasiodiplodia theobromae&quot;,&quot;author&quot;:[{&quot;family&quot;:&quot;Tsukada&quot;,&quot;given&quot;:&quot;Kohei&quot;,&quot;parse-names&quot;:false,&quot;dropping-particle&quot;:&quot;&quot;,&quot;non-dropping-particle&quot;:&quot;&quot;},{&quot;family&quot;:&quot;Takahashi&quot;,&quot;given&quot;:&quot;Kosaku&quot;,&quot;parse-names&quot;:false,&quot;dropping-particle&quot;:&quot;&quot;,&quot;non-dropping-particle&quot;:&quot;&quot;},{&quot;family&quot;:&quot;Nabeta&quot;,&quot;given&quot;:&quot;Kensuke&quot;,&quot;parse-names&quot;:false,&quot;dropping-particle&quot;:&quot;&quot;,&quot;non-dropping-particle&quot;:&quot;&quot;}],&quot;container-title&quot;:&quot;Phytochemistry&quot;,&quot;DOI&quot;:&quot;10.1016/j.phytochem.2010.09.013&quot;,&quot;ISSN&quot;:&quot;00319422&quot;,&quot;issued&quot;:{&quot;date-parts&quot;:[[2010,12]]},&quot;issue&quot;:&quot;17-18&quot;,&quot;volume&quot;:&quot;71&quot;},&quot;isTemporary&quot;:false}],&quot;properties&quot;:{&quot;noteIndex&quot;:0},&quot;isEdited&quot;:false,&quot;manualOverride&quot;:{&quot;isManuallyOverridden&quot;:false,&quot;citeprocText&quot;:&quot;(Tsukada et al., 2010)&quot;,&quot;manualOverrideText&quot;:&quot;&quot;},&quot;citationTag&quot;:&quot;MENDELEY_CITATION_v3_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&quot;},{&quot;citationID&quot;:&quot;MENDELEY_CITATION_e41f4629-009f-43a9-868a-8476ebfc767d&quot;,&quot;citationItems&quot;:[{&quot;id&quot;:&quot;8099807c-f7b6-349d-a1f1-f7cd73f85028&quot;,&quot;itemData&quot;:{&quot;type&quot;:&quot;article&quot;,&quot;id&quot;:&quot;8099807c-f7b6-349d-a1f1-f7cd73f85028&quot;,&quot;title&quot;:&quot;Synthesis and functions of jasmonates in maize&quot;,&quot;author&quot;:[{&quot;family&quot;:&quot;Borrego&quot;,&quot;given&quot;:&quot;Eli J.&quot;,&quot;parse-names&quot;:false,&quot;dropping-particle&quot;:&quot;&quot;,&quot;non-dropping-particle&quot;:&quot;&quot;},{&quot;family&quot;:&quot;Kolomiets&quot;,&quot;given&quot;:&quot;Michael&quot;,&quot;parse-names&quot;:false,&quot;dropping-particle&quot;:&quot;v.&quot;,&quot;non-dropping-particle&quot;:&quot;&quot;}],&quot;container-title&quot;:&quot;Plants&quot;,&quot;DOI&quot;:&quot;10.3390/plants5040041&quot;,&quot;ISSN&quot;:&quot;22237747&quot;,&quot;issued&quot;:{&quot;date-parts&quot;:[[2016]]},&quot;page&quot;:&quot;1-13&quot;,&quot;abstract&quot;:&quot;Of the over 600 oxylipins present in all plants, the phytohormone jasmonic acid (JA) remains the best understood in terms of its biosynthesis, function and signaling. Much like their eicosanoid analogues in mammalian system, evidence is growing for the role of the other oxylipins in diverse physiological processes. JA serves as the model plant oxylipin species and regulates defense and development. For several decades, the biology of JA has been characterized in a few dicot species, yet the function of JA in monocots has only recently begun to be elucidated. In this work, the synthesis and function of JA in maize is presented from the perspective of oxylipin biology. The maize genes responsible for catalyzing the reactions in the JA biosynthesis are clarified and described. Recent studies into the function of JA in maize defense against insect herbivory, pathogens and its role in growth and development are highlighted. Additionally, a list of JA-responsive genes is presented for use as biological markers for improving future investigations into JA signaling in maize.&quot;,&quot;publisher&quot;:&quot;MDPI AG&quot;,&quot;issue&quot;:&quot;4&quot;,&quot;volume&quot;:&quot;5&quot;},&quot;isTemporary&quot;:false}],&quot;properties&quot;:{&quot;noteIndex&quot;:0},&quot;isEdited&quot;:false,&quot;manualOverride&quot;:{&quot;isManuallyOverridden&quot;:false,&quot;citeprocText&quot;:&quot;(Borrego &amp;#38; Kolomiets, 2016)&quot;,&quot;manualOverrideText&quot;:&quot;&quot;},&quot;citationTag&quot;:&quot;MENDELEY_CITATION_v3_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&quot;},{&quot;citationID&quot;:&quot;MENDELEY_CITATION_d906e97d-83c8-487e-abc0-1bd0d7269339&quot;,&quot;citationItems&quot;:[{&quot;id&quot;:&quot;b57cadd2-7781-3faa-ac5a-fb4ae416b70c&quot;,&quot;itemData&quot;:{&quot;type&quot;:&quot;chapter&quot;,&quot;id&quot;:&quot;b57cadd2-7781-3faa-ac5a-fb4ae416b70c&quot;,&quot;title&quot;:&quot;Lipid-Mediated Signaling Between Fungi and Plants&quot;,&quot;author&quot;:[{&quot;family&quot;:&quot;Borrego&quot;,&quot;given&quot;:&quot;Eli J.&quot;,&quot;parse-names&quot;:false,&quot;dropping-particle&quot;:&quot;&quot;,&quot;non-dropping-particle&quot;:&quot;&quot;},{&quot;family&quot;:&quot;Kolomiets&quot;,&quot;given&quot;:&quot;Michael&quot;,&quot;parse-names&quot;:false,&quot;dropping-particle&quot;:&quot;v.&quot;,&quot;non-dropping-particle&quot;:&quot;&quot;}],&quot;container-title&quot;:&quot;Biocommunication of Fungi&quot;,&quot;DOI&quot;:&quot;10.1007/978-94-007-4264-2_16&quot;,&quot;issued&quot;:{&quot;date-parts&quot;:[[2012]]},&quot;publisher-place&quot;:&quot;Dordrecht&quot;,&quot;publisher&quot;:&quot;Springer Netherlands&quot;},&quot;isTemporary&quot;:false}],&quot;properties&quot;:{&quot;noteIndex&quot;:0},&quot;isEdited&quot;:false,&quot;manualOverride&quot;:{&quot;isManuallyOverridden&quot;:false,&quot;citeprocText&quot;:&quot;(Borrego &amp;#38; Kolomiets, 2012)&quot;,&quot;manualOverrideText&quot;:&quot;&quot;},&quot;citationTag&quot;:&quot;MENDELEY_CITATION_v3_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&quot;},{&quot;citationID&quot;:&quot;MENDELEY_CITATION_2e509f8b-a83d-47ff-83d4-32bf2bdcc57d&quot;,&quot;citationItems&quot;:[{&quot;id&quot;:&quot;9693f8f8-cf29-3c95-a64b-5547cc45ead2&quot;,&quot;itemData&quot;:{&quot;type&quot;:&quot;article-journal&quot;,&quot;id&quot;:&quot;9693f8f8-cf29-3c95-a64b-5547cc45ead2&quot;,&quot;title&quot;:&quot;The effects of jasmonic acid and methyl jasmonate on rosmarinic acid production in Mentha × piperita cell suspension cultures&quot;,&quot;author&quot;:[{&quot;family&quot;:&quot;Krzyzanowska&quot;,&quot;given&quot;:&quot;Justyna&quot;,&quot;parse-names&quot;:false,&quot;dropping-particle&quot;:&quot;&quot;,&quot;non-dropping-particle&quot;:&quot;&quot;},{&quot;family&quot;:&quot;Czubacka&quot;,&quot;given&quot;:&quot;Anna&quot;,&quot;parse-names&quot;:false,&quot;dropping-particle&quot;:&quot;&quot;,&quot;non-dropping-particle&quot;:&quot;&quot;},{&quot;family&quot;:&quot;Pecio&quot;,&quot;given&quot;:&quot;Lukasz&quot;,&quot;parse-names&quot;:false,&quot;dropping-particle&quot;:&quot;&quot;,&quot;non-dropping-particle&quot;:&quot;&quot;},{&quot;family&quot;:&quot;Przybys&quot;,&quot;given&quot;:&quot;Marcin&quot;,&quot;parse-names&quot;:false,&quot;dropping-particle&quot;:&quot;&quot;,&quot;non-dropping-particle&quot;:&quot;&quot;},{&quot;family&quot;:&quot;Doroszewska&quot;,&quot;given&quot;:&quot;Teresa&quot;,&quot;parse-names&quot;:false,&quot;dropping-particle&quot;:&quot;&quot;,&quot;non-dropping-particle&quot;:&quot;&quot;},{&quot;family&quot;:&quot;Stochmal&quot;,&quot;given&quot;:&quot;Anna&quot;,&quot;parse-names&quot;:false,&quot;dropping-particle&quot;:&quot;&quot;,&quot;non-dropping-particle&quot;:&quot;&quot;},{&quot;family&quot;:&quot;Oleszek&quot;,&quot;given&quot;:&quot;Wieslaw&quot;,&quot;parse-names&quot;:false,&quot;dropping-particle&quot;:&quot;&quot;,&quot;non-dropping-particle&quot;:&quot;&quot;}],&quot;container-title&quot;:&quot;Plant Cell, Tissue and Organ Culture (PCTOC)&quot;,&quot;DOI&quot;:&quot;10.1007/s11240-011-0014-8&quot;,&quot;ISSN&quot;:&quot;0167-6857&quot;,&quot;issued&quot;:{&quot;date-parts&quot;:[[2012,1,13]]},&quot;issue&quot;:&quot;1&quot;,&quot;volume&quot;:&quot;108&quot;},&quot;isTemporary&quot;:false},{&quot;id&quot;:&quot;5bfe6730-56b2-3c5a-af0f-2b848e437580&quot;,&quot;itemData&quot;:{&quot;type&quot;:&quot;article-journal&quot;,&quot;id&quot;:&quot;5bfe6730-56b2-3c5a-af0f-2b848e437580&quot;,&quot;title&quot;:&quot;Synergistic and additive influence of cyclodextrins and methyl jasmonate on the expression of the terpenoid indole alkaloid pathway genes and metabolites in Catharanthus roseus cell cultures&quot;,&quot;author&quot;:[{&quot;family&quot;:&quot;Almagro&quot;,&quot;given&quot;:&quot;Lorena&quot;,&quot;parse-names&quot;:false,&quot;dropping-particle&quot;:&quot;&quot;,&quot;non-dropping-particle&quot;:&quot;&quot;},{&quot;family&quot;:&quot;Gutierrez&quot;,&quot;given&quot;:&quot;Jorge&quot;,&quot;parse-names&quot;:false,&quot;dropping-particle&quot;:&quot;&quot;,&quot;non-dropping-particle&quot;:&quot;&quot;},{&quot;family&quot;:&quot;Pedreño&quot;,&quot;given&quot;:&quot;Maria Angeles&quot;,&quot;parse-names&quot;:false,&quot;dropping-particle&quot;:&quot;&quot;,&quot;non-dropping-particle&quot;:&quot;&quot;},{&quot;family&quot;:&quot;Sottomayor&quot;,&quot;given&quot;:&quot;Mariana&quot;,&quot;parse-names&quot;:false,&quot;dropping-particle&quot;:&quot;&quot;,&quot;non-dropping-particle&quot;:&quot;&quot;}],&quot;container-title&quot;:&quot;Plant Cell, Tissue and Organ Culture (PCTOC)&quot;,&quot;DOI&quot;:&quot;10.1007/s11240-014-0554-9&quot;,&quot;ISSN&quot;:&quot;0167-6857&quot;,&quot;issued&quot;:{&quot;date-parts&quot;:[[2014,12,3]]},&quot;issue&quot;:&quot;3&quot;,&quot;volume&quot;:&quot;119&quot;},&quot;isTemporary&quot;:false}],&quot;properties&quot;:{&quot;noteIndex&quot;:0},&quot;isEdited&quot;:false,&quot;manualOverride&quot;:{&quot;isManuallyOverridden&quot;:false,&quot;citeprocText&quot;:&quot;(Almagro et al., 2014; Krzyzanowska et al., 2012)&quot;,&quot;manualOverrideText&quot;:&quot;&quot;},&quot;citationTag&quot;:&quot;MENDELEY_CITATION_v3_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&quot;},{&quot;citationID&quot;:&quot;MENDELEY_CITATION_f87b87b9-06a9-49cc-ba97-1d222712db47&quot;,&quot;citationItems&quot;:[{&quot;id&quot;:&quot;93d670a8-d840-34b8-a301-f6c0266f0616&quot;,&quot;itemData&quot;:{&quot;type&quot;:&quot;article-journal&quot;,&quot;id&quot;:&quot;93d670a8-d840-34b8-a301-f6c0266f0616&quot;,&quot;title&quot;:&quot;Jasmonate-inducible gene: what does it mean?&quot;,&quot;author&quot;:[{&quot;family&quot;:&quot;Pauwels&quot;,&quot;given&quot;:&quot;Laurens&quot;,&quot;parse-names&quot;:false,&quot;dropping-particle&quot;:&quot;&quot;,&quot;non-dropping-particle&quot;:&quot;&quot;},{&quot;family&quot;:&quot;Inzé&quot;,&quot;given&quot;:&quot;Dirk&quot;,&quot;parse-names&quot;:false,&quot;dropping-particle&quot;:&quot;&quot;,&quot;non-dropping-particle&quot;:&quot;&quot;},{&quot;family&quot;:&quot;Goossens&quot;,&quot;given&quot;:&quot;Alain&quot;,&quot;parse-names&quot;:false,&quot;dropping-particle&quot;:&quot;&quot;,&quot;non-dropping-particle&quot;:&quot;&quot;}],&quot;container-title&quot;:&quot;Trends in Plant Science&quot;,&quot;DOI&quot;:&quot;10.1016/j.tplants.2008.11.005&quot;,&quot;ISSN&quot;:&quot;13601385&quot;,&quot;issued&quot;:{&quot;date-parts&quot;:[[2009,2]]},&quot;issue&quot;:&quot;2&quot;,&quot;volume&quot;:&quot;14&quot;},&quot;isTemporary&quot;:false}],&quot;properties&quot;:{&quot;noteIndex&quot;:0},&quot;isEdited&quot;:false,&quot;manualOverride&quot;:{&quot;isManuallyOverridden&quot;:false,&quot;citeprocText&quot;:&quot;(Pauwels et al., 2009)&quot;,&quot;manualOverrideText&quot;:&quot;&quot;},&quot;citationTag&quot;:&quot;MENDELEY_CITATION_v3_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&quot;},{&quot;citationID&quot;:&quot;MENDELEY_CITATION_3d576594-c4ed-4270-884b-64b421bca9ef&quot;,&quot;citationItems&quot;:[{&quot;id&quot;:&quot;4155abf2-ac67-339f-9d9a-fcef9fabb946&quot;,&quot;itemData&quot;:{&quot;type&quot;:&quot;article-journal&quot;,&quot;id&quot;:&quot;4155abf2-ac67-339f-9d9a-fcef9fabb946&quot;,&quot;title&quot;:&quot;Jasmonate-induced biosynthesis of andrographolide in &lt;i&gt;Andrographis paniculata&lt;/i&gt;&quot;,&quot;author&quot;:[{&quot;family&quot;:&quot;Sharma&quot;,&quot;given&quot;:&quot;Shiv Narayan&quot;,&quot;parse-names&quot;:false,&quot;dropping-particle&quot;:&quot;&quot;,&quot;non-dropping-particle&quot;:&quot;&quot;},{&quot;family&quot;:&quot;Jha&quot;,&quot;given&quot;:&quot;Zenu&quot;,&quot;parse-names&quot;:false,&quot;dropping-particle&quot;:&quot;&quot;,&quot;non-dropping-particle&quot;:&quot;&quot;},{&quot;family&quot;:&quot;Sinha&quot;,&quot;given&quot;:&quot;Rakesh Kumar&quot;,&quot;parse-names&quot;:false,&quot;dropping-particle&quot;:&quot;&quot;,&quot;non-dropping-particle&quot;:&quot;&quot;},{&quot;family&quot;:&quot;Geda&quot;,&quot;given&quot;:&quot;Arvind Kumar&quot;,&quot;parse-names&quot;:false,&quot;dropping-particle&quot;:&quot;&quot;,&quot;non-dropping-particle&quot;:&quot;&quot;}],&quot;container-title&quot;:&quot;Physiologia Plantarum&quot;,&quot;DOI&quot;:&quot;10.1111/ppl.12252&quot;,&quot;ISSN&quot;:&quot;00319317&quot;,&quot;issued&quot;:{&quot;date-parts&quot;:[[2015,2]]},&quot;issue&quot;:&quot;2&quot;,&quot;volume&quot;:&quot;153&quot;},&quot;isTemporary&quot;:false}],&quot;properties&quot;:{&quot;noteIndex&quot;:0},&quot;isEdited&quot;:false,&quot;manualOverride&quot;:{&quot;isManuallyOverridden&quot;:true,&quot;citeprocText&quot;:&quot;(S. N. Sharma et al., 2015)&quot;,&quot;manualOverrideText&quot;:&quot;(Sharma et al., 2015)&quot;},&quot;citationTag&quot;:&quot;MENDELEY_CITATION_v3_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&quot;},{&quot;citationID&quot;:&quot;MENDELEY_CITATION_c9a525c6-594b-4ba1-a089-962c208b0d3c&quot;,&quot;citationItems&quot;:[{&quot;id&quot;:&quot;53a0f4f8-b5d2-3679-95b0-be8dc2adb2e2&quot;,&quot;itemData&quot;:{&quot;type&quot;:&quot;article-journal&quot;,&quot;id&quot;:&quot;53a0f4f8-b5d2-3679-95b0-be8dc2adb2e2&quot;,&quot;title&quot;:&quot;Up-regulation of Soyasaponin Biosynthesis by Methyl Jasmonate in Cultured Cells of Glycyrrhiza glabra&quot;,&quot;author&quot;:[{&quot;family&quot;:&quot;Hayashi&quot;,&quot;given&quot;:&quot;Hiroaki&quot;,&quot;parse-names&quot;:false,&quot;dropping-particle&quot;:&quot;&quot;,&quot;non-dropping-particle&quot;:&quot;&quot;},{&quot;family&quot;:&quot;Huang&quot;,&quot;given&quot;:&quot;Pengyu&quot;,&quot;parse-names&quot;:false,&quot;dropping-particle&quot;:&quot;&quot;,&quot;non-dropping-particle&quot;:&quot;&quot;},{&quot;family&quot;:&quot;Inoue&quot;,&quot;given&quot;:&quot;Kenichiro&quot;,&quot;parse-names&quot;:false,&quot;dropping-particle&quot;:&quot;&quot;,&quot;non-dropping-particle&quot;:&quot;&quot;}],&quot;container-title&quot;:&quot;Plant and Cell Physiology&quot;,&quot;DOI&quot;:&quot;10.1093/pcp/pcg054&quot;,&quot;ISSN&quot;:&quot;1471-9053&quot;,&quot;issued&quot;:{&quot;date-parts&quot;:[[2003,4,15]]},&quot;issue&quot;:&quot;4&quot;,&quot;volume&quot;:&quot;44&quot;},&quot;isTemporary&quot;:false}],&quot;properties&quot;:{&quot;noteIndex&quot;:0},&quot;isEdited&quot;:false,&quot;manualOverride&quot;:{&quot;isManuallyOverridden&quot;:false,&quot;citeprocText&quot;:&quot;(Hayashi et al., 2003)&quot;,&quot;manualOverrideText&quot;:&quot;&quot;},&quot;citationTag&quot;:&quot;MENDELEY_CITATION_v3_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&quot;},{&quot;citationID&quot;:&quot;MENDELEY_CITATION_cf451b7c-5829-4e07-b37d-f78695b6ab67&quot;,&quot;citationItems&quot;:[{&quot;id&quot;:&quot;5a1c8478-73e2-3a33-906e-4fe48044aaa6&quot;,&quot;itemData&quot;:{&quot;type&quot;:&quot;article-journal&quot;,&quot;id&quot;:&quot;5a1c8478-73e2-3a33-906e-4fe48044aaa6&quot;,&quot;title&quot;:&quot;Production and Elicitation of Benzalacetone and the Raspberry Ketone in Cell Suspension Cultures of Rubus idaeus&quot;,&quot;author&quot;:[{&quot;family&quot;:&quot;Pedapudi&quot;,&quot;given&quot;:&quot;S.&quot;,&quot;parse-names&quot;:false,&quot;dropping-particle&quot;:&quot;&quot;,&quot;non-dropping-particle&quot;:&quot;&quot;},{&quot;family&quot;:&quot;Chin&quot;,&quot;given&quot;:&quot;C.-K.&quot;,&quot;parse-names&quot;:false,&quot;dropping-particle&quot;:&quot;&quot;,&quot;non-dropping-particle&quot;:&quot;&quot;},{&quot;family&quot;:&quot;Pedersen&quot;,&quot;given&quot;:&quot;H.&quot;,&quot;parse-names&quot;:false,&quot;dropping-particle&quot;:&quot;&quot;,&quot;non-dropping-particle&quot;:&quot;&quot;}],&quot;container-title&quot;:&quot;Biotechnology Progress&quot;,&quot;DOI&quot;:&quot;10.1021/bp000033i&quot;,&quot;ISSN&quot;:&quot;8756-7938&quot;,&quot;issued&quot;:{&quot;date-parts&quot;:[[2000,6,2]]},&quot;issue&quot;:&quot;3&quot;,&quot;volume&quot;:&quot;16&quot;},&quot;isTemporary&quot;:false}],&quot;properties&quot;:{&quot;noteIndex&quot;:0},&quot;isEdited&quot;:false,&quot;manualOverride&quot;:{&quot;isManuallyOverridden&quot;:true,&quot;citeprocText&quot;:&quot;(Pedapudi et al., 2000)&quot;,&quot;manualOverrideText&quot;:&quot;(Pedapudi et al., 2000).&quot;},&quot;citationTag&quot;:&quot;MENDELEY_CITATION_v3_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&quot;},{&quot;citationID&quot;:&quot;MENDELEY_CITATION_89a3af6f-0e2c-428d-b373-b41a278fe995&quot;,&quot;citationItems&quot;:[{&quot;id&quot;:&quot;4b3b6141-cb34-3320-924b-24ec1952b100&quot;,&quot;itemData&quot;:{&quot;type&quot;:&quot;article-journal&quot;,&quot;id&quot;:&quot;4b3b6141-cb34-3320-924b-24ec1952b100&quot;,&quot;title&quot;:&quot;Effect of Methyl Jasmonate on the Enzymatic Antioxidant Defense System in Maize Seedlings Subjected to Paraquat&quot;,&quot;author&quot;:[{&quot;family&quot;:&quot;Norastehnia A and Asghari MN&quot;,&quot;given&quot;:&quot;&quot;,&quot;parse-names&quot;:false,&quot;dropping-particle&quot;:&quot;&quot;,&quot;non-dropping-particle&quot;:&quot;&quot;}],&quot;container-title&quot;:&quot;Asian Journal of Plant Sciences&quot;,&quot;issued&quot;:{&quot;date-parts&quot;:[[2006]]},&quot;page&quot;:&quot;17-23&quot;,&quot;issue&quot;:&quot;1&quot;,&quot;volume&quot;:&quot;5&quot;},&quot;isTemporary&quot;:false}],&quot;properties&quot;:{&quot;noteIndex&quot;:0},&quot;isEdited&quot;:false,&quot;manualOverride&quot;:{&quot;isManuallyOverridden&quot;:true,&quot;citeprocText&quot;:&quot;(Norastehnia A and Asghari MN, 2006)&quot;,&quot;manualOverrideText&quot;:&quot;(Norastehnia and Asghari, 2006)&quot;},&quot;citationTag&quot;:&quot;MENDELEY_CITATION_v3_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&quot;},{&quot;citationID&quot;:&quot;MENDELEY_CITATION_7f3ad487-49ed-4440-8b79-c65fbe76855c&quot;,&quot;citationItems&quot;:[{&quot;id&quot;:&quot;3879a3a9-b6d9-365f-9e1a-4791fbb05726&quot;,&quot;itemData&quot;:{&quot;type&quot;:&quot;report&quot;,&quot;id&quot;:&quot;3879a3a9-b6d9-365f-9e1a-4791fbb05726&quot;,&quot;title&quot;:&quot;The effect of jasmonic acid on the accumulation of ABA, proline and spermidine and its influence on membrane injury under water deficit in two barley genotypes&quot;,&quot;author&quot;:[{&quot;family&quot;:&quot;Bandurska&quot;,&quot;given&quot;:&quot;Hanna&quot;,&quot;parse-names&quot;:false,&quot;dropping-particle&quot;:&quot;&quot;,&quot;non-dropping-particle&quot;:&quot;&quot;},{&quot;family&quot;:&quot;Stroihski&quot;,&quot;given&quot;:&quot;Andrzej&quot;,&quot;parse-names&quot;:false,&quot;dropping-particle&quot;:&quot;&quot;,&quot;non-dropping-particle&quot;:&quot;&quot;},{&quot;family&quot;:&quot;Kubig&quot;,&quot;given&quot;:&quot;Jan&quot;,&quot;parse-names&quot;:false,&quot;dropping-particle&quot;:&quot;&quot;,&quot;non-dropping-particle&quot;:&quot;&quot;}],&quot;container-title&quot;:&quot;ACTA PHYSIOLOGIAE PLANTARUM&quot;,&quot;issued&quot;:{&quot;date-parts&quot;:[[2003]]},&quot;number-of-pages&quot;:&quot;279-285&quot;,&quot;abstract&quot;:&quot;Seedlings of two barley genotypes ('Maresi' and wild form of Hordeum spontaneum) were treated with jasmonic acid (JA 5 laM and 15 laM) for 24 h, and then subjected to water stress (PEG 6000 solution of-1.5 MPa). JA caused an increase in the content of ABA but not in that of proline and spermidine in the two studied genotypes. The effect of the treatment did not depend on the applied JA concentration. The pre-stress treatment with JA changed plant response to water deficit with regard to membrane injury. Treatment with a lower JA concentration (5 laM) caused a substantial reduction of the stress-induced membrane damage in the both genotypes. A higher JA concentration (15 laM) caused the reduction of membrane injury only in H. spontaneum and was ineffective in 'Maresi'. JA had no influence on the leaf water status in water-stressed plants. A possible role of JA in leaf ABA accumulation and alleviation of cell membrane injury under water deficit is discussed.&quot;,&quot;issue&quot;:&quot;3&quot;,&quot;volume&quot;:&quot;25&quot;},&quot;isTemporary&quot;:false}],&quot;properties&quot;:{&quot;noteIndex&quot;:0},&quot;isEdited&quot;:false,&quot;manualOverride&quot;:{&quot;isManuallyOverridden&quot;:false,&quot;citeprocText&quot;:&quot;(Bandurska et al., 2003)&quot;,&quot;manualOverrideText&quot;:&quot;&quot;},&quot;citationTag&quot;:&quot;MENDELEY_CITATION_v3_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&quot;},{&quot;citationID&quot;:&quot;MENDELEY_CITATION_70ce91ad-b787-4c5c-a93d-ff91c0643b41&quot;,&quot;citationItems&quot;:[{&quot;id&quot;:&quot;a2fc1726-27ee-380e-8abf-15604a205a8a&quot;,&quot;itemData&quot;:{&quot;type&quot;:&quot;article-journal&quot;,&quot;id&quot;:&quot;a2fc1726-27ee-380e-8abf-15604a205a8a&quot;,&quot;title&quot;:&quot;Large-scale expression profiling and physiological characterization of jasmonic acid-mediated adaptation of barley to salinity stress&quot;,&quot;author&quot;:[{&quot;family&quot;:&quot;Walia&quot;,&quot;given&quot;:&quot;Harkamal&quot;,&quot;parse-names&quot;:false,&quot;dropping-particle&quot;:&quot;&quot;,&quot;non-dropping-particle&quot;:&quot;&quot;},{&quot;family&quot;:&quot;Wilson&quot;,&quot;given&quot;:&quot;Clyde&quot;,&quot;parse-names&quot;:false,&quot;dropping-particle&quot;:&quot;&quot;,&quot;non-dropping-particle&quot;:&quot;&quot;},{&quot;family&quot;:&quot;Condamine&quot;,&quot;given&quot;:&quot;Pascal&quot;,&quot;parse-names&quot;:false,&quot;dropping-particle&quot;:&quot;&quot;,&quot;non-dropping-particle&quot;:&quot;&quot;},{&quot;family&quot;:&quot;Liu&quot;,&quot;given&quot;:&quot;Xuan&quot;,&quot;parse-names&quot;:false,&quot;dropping-particle&quot;:&quot;&quot;,&quot;non-dropping-particle&quot;:&quot;&quot;},{&quot;family&quot;:&quot;Ismail&quot;,&quot;given&quot;:&quot;Abdelbagi M.&quot;,&quot;parse-names&quot;:false,&quot;dropping-particle&quot;:&quot;&quot;,&quot;non-dropping-particle&quot;:&quot;&quot;},{&quot;family&quot;:&quot;Close&quot;,&quot;given&quot;:&quot;Timothy J.&quot;,&quot;parse-names&quot;:false,&quot;dropping-particle&quot;:&quot;&quot;,&quot;non-dropping-particle&quot;:&quot;&quot;}],&quot;container-title&quot;:&quot;Plant, Cell and Environment&quot;,&quot;DOI&quot;:&quot;10.1111/j.1365-3040.2006.01628.x&quot;,&quot;ISSN&quot;:&quot;01407791&quot;,&quot;PMID&quot;:&quot;17324228&quot;,&quot;issued&quot;:{&quot;date-parts&quot;:[[2007,4]]},&quot;page&quot;:&quot;410-421&quot;,&quot;abstract&quot;:&quot;Barley (Hordeum vulgare L.) is a salt-tolerant member of the Triticeae. Recent transcriptome studies on salinity stress response in barley revealed regulation of jasmonic acid (JA) biosynthesis and JA-responsive genes by salt stress. From that observation and several other physiological reports, it was hypothesized that JA is involved in the adaptation of barley to salt stress. Here we tested that hypothesis by applying JA to barley plants and observing the physiological responses and transcriptome changes. Photosynthetic and sodium ion accumulation responses were compared after (1) salinity stress, (2) JA treatment and (3) JA pre-treatment followed by salinity stress. The JA-pre-treated salt-stressed plants accumulated strikingly low levels of Na + in the shoot tissue compared with untreated salt-stressed plants after several days of exposure to stress. In addition, pre-treatment with JA partially alleviated photosynthetic inhibition caused by salinity stress. Expression profiling after a short-term exposure to salinity stress indicated a considerable overlap between genes regulated by salinity stress and JA application. Three JA-regulated genes, arginine decarboxylase, ribulose 1.5-bisphosphate carboxylase/oxygenase (Rubisco) activase and apoplastic invertase are possibly involved in salinity tolerance mediated by JA. This work provides a reference data set for further study of the role of JA in salinity tolerance in barley and other plants species.&quot;,&quot;issue&quot;:&quot;4&quot;,&quot;volume&quot;:&quot;30&quot;},&quot;isTemporary&quot;:false}],&quot;properties&quot;:{&quot;noteIndex&quot;:0},&quot;isEdited&quot;:false,&quot;manualOverride&quot;:{&quot;isManuallyOverridden&quot;:false,&quot;citeprocText&quot;:&quot;(Walia et al., 2007)&quot;,&quot;manualOverrideText&quot;:&quot;&quot;},&quot;citationTag&quot;:&quot;MENDELEY_CITATION_v3_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&quot;},{&quot;citationID&quot;:&quot;MENDELEY_CITATION_61d5b193-2585-48f1-b91f-4a104c2a7f64&quot;,&quot;citationItems&quot;:[{&quot;id&quot;:&quot;cd4e1632-bd46-36fa-b641-70257d14a33b&quot;,&quot;itemData&quot;:{&quot;type&quot;:&quot;article-journal&quot;,&quot;id&quot;:&quot;cd4e1632-bd46-36fa-b641-70257d14a33b&quot;,&quot;title&quot;:&quot;Molecular identification and comparative analysis of novel 18S ribosomal RNA genomic sequences of a wide range of medicinal plants&quot;,&quot;author&quot;:[{&quot;family&quot;:&quot;Khan Shinwari&quot;,&quot;given&quot;:&quot;Zabta&quot;,&quot;parse-names&quot;:false,&quot;dropping-particle&quot;:&quot;&quot;,&quot;non-dropping-particle&quot;:&quot;&quot;}],&quot;container-title&quot;:&quot;Pakistan Journal of Botany 44(6)&quot;,&quot;URL&quot;:&quot;https://www.researchgate.net/publication/286032849&quot;,&quot;issued&quot;:{&quot;date-parts&quot;:[[2012]]},&quot;page&quot;:&quot;2021-2026&quot;,&quot;issue&quot;:&quot;6&quot;,&quot;volume&quot;:&quot;44&quot;},&quot;isTemporary&quot;:false}],&quot;properties&quot;:{&quot;noteIndex&quot;:0},&quot;isEdited&quot;:false,&quot;manualOverride&quot;:{&quot;isManuallyOverridden&quot;:false,&quot;citeprocText&quot;:&quot;(Khan Shinwari, 2012)&quot;,&quot;manualOverrideText&quot;:&quot;&quot;},&quot;citationTag&quot;:&quot;MENDELEY_CITATION_v3_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&quot;},{&quot;citationID&quot;:&quot;MENDELEY_CITATION_7ed328e7-9571-4751-8383-24abb30573cd&quot;,&quot;citationItems&quot;:[{&quot;id&quot;:&quot;f1b67d8f-b5bf-3c51-9a05-b0f40e63a66e&quot;,&quot;itemData&quot;:{&quot;type&quot;:&quot;article-journal&quot;,&quot;id&quot;:&quot;f1b67d8f-b5bf-3c51-9a05-b0f40e63a66e&quot;,&quot;title&quot;:&quot;Maize Genotypes Differing in Salt Resistance Vary in Jasmonic Acid Accumulation During the First Phase of Salt Stress&quot;,&quot;author&quot;:[{&quot;family&quot;:&quot;Shahzad&quot;,&quot;given&quot;:&quot;A. N.&quot;,&quot;parse-names&quot;:false,&quot;dropping-particle&quot;:&quot;&quot;,&quot;non-dropping-particle&quot;:&quot;&quot;},{&quot;family&quot;:&quot;Pitann&quot;,&quot;given&quot;:&quot;B.&quot;,&quot;parse-names&quot;:false,&quot;dropping-particle&quot;:&quot;&quot;,&quot;non-dropping-particle&quot;:&quot;&quot;},{&quot;family&quot;:&quot;Ali&quot;,&quot;given&quot;:&quot;H.&quot;,&quot;parse-names&quot;:false,&quot;dropping-particle&quot;:&quot;&quot;,&quot;non-dropping-particle&quot;:&quot;&quot;},{&quot;family&quot;:&quot;Qayyum&quot;,&quot;given&quot;:&quot;M. F.&quot;,&quot;parse-names&quot;:false,&quot;dropping-particle&quot;:&quot;&quot;,&quot;non-dropping-particle&quot;:&quot;&quot;},{&quot;family&quot;:&quot;Fatima&quot;,&quot;given&quot;:&quot;A.&quot;,&quot;parse-names&quot;:false,&quot;dropping-particle&quot;:&quot;&quot;,&quot;non-dropping-particle&quot;:&quot;&quot;},{&quot;family&quot;:&quot;Bakhat&quot;,&quot;given&quot;:&quot;H. F.&quot;,&quot;parse-names&quot;:false,&quot;dropping-particle&quot;:&quot;&quot;,&quot;non-dropping-particle&quot;:&quot;&quot;}],&quot;container-title&quot;:&quot;Journal of Agronomy and Crop Science&quot;,&quot;DOI&quot;:&quot;10.1111/jac.12134&quot;,&quot;ISSN&quot;:&quot;1439037X&quot;,&quot;issued&quot;:{&quot;date-parts&quot;:[[2015,12,1]]},&quot;page&quot;:&quot;443-451&quot;,&quot;abstract&quot;:&quot;Plant hormones are considered to play an important role in plant adaptation to drought and salt stress. The objective of the study was to investigate the changes in endogenous jasmonic acid (JA) in relation to differences in the salt resistance of maize genotypes. Two maize genotypes (SR 03 and Across 8023) were compared for changes in water relations, growth and tissue JA levels in response to 100 mm NaCl. Salt stress significantly reduced the shoot growth of both genotypes; however, SR 03 exhibited significantly less reduction in relative shoot fresh weight than Across 8023. Both genotypes showed an identical response to salt stress regarding plant water relations; therefore, genotypic differences in the salt resistance could not be attributed to changes in shoot turgor and these results were further confirmed by the response of both genotypes under equiosmotic stress (-0.49 MPa) of either 100 mm NaCl or PEG-6000. GC-MS/MS analysis showed that salt stress did not alter shoot JA levels of both genotypes, however significantly increased the root JA levels of Across 8023. In contrast, root JA levels of salt-resistant SR 03 did not change by salt stress. Increase in root JA levels in response to stress treatments does not coincide with the growth inhibition of shoot in Across 8023. In contrast, both PEG and NaCl did not change the JA concentrations in both root and shoot tissues of SR 03. Growth assays with maize seedlings showed that JA supply in root medium inhibits shoot extension growth and both maize genotypes were sensitive to the inhibitory effects of JA. These results suggest that maize genotypes differ in JA accumulation during the first phase of salt stress and JA may indirectly be involved in leaf growth inhibition of the salt-sensitive genotype. In addition, our results also showed that treatment of salt-stressed plants with exogenous JA improved the Na+ exclusion by decreasing the Na+ uptake at the root surface. Copyright&quot;,&quot;publisher&quot;:&quot;Blackwell Publishing Ltd&quot;,&quot;issue&quot;:&quot;6&quot;,&quot;volume&quot;:&quot;201&quot;},&quot;isTemporary&quot;:false}],&quot;properties&quot;:{&quot;noteIndex&quot;:0},&quot;isEdited&quot;:false,&quot;manualOverride&quot;:{&quot;isManuallyOverridden&quot;:false,&quot;citeprocText&quot;:&quot;(Shahzad et al., 2015)&quot;,&quot;manualOverrideText&quot;:&quot;&quot;},&quot;citationTag&quot;:&quot;MENDELEY_CITATION_v3_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&quot;},{&quot;citationID&quot;:&quot;MENDELEY_CITATION_3df89e8d-0593-4c2d-b44d-c6f75c59c8c8&quot;,&quot;citationItems&quot;:[{&quot;id&quot;:&quot;4b82d69f-c88b-301b-9f66-dc8d82fa1cfc&quot;,&quot;itemData&quot;:{&quot;type&quot;:&quot;article-journal&quot;,&quot;id&quot;:&quot;4b82d69f-c88b-301b-9f66-dc8d82fa1cfc&quot;,&quot;title&quot;:&quot;Effects of jasmonic acid on mycorrhizal &lt;i&gt;Allium sativum&lt;/i&gt;&quot;,&quot;author&quot;:[{&quot;family&quot;:&quot;Regvar&quot;,&quot;given&quot;:&quot;Marjana&quot;,&quot;parse-names&quot;:false,&quot;dropping-particle&quot;:&quot;&quot;,&quot;non-dropping-particle&quot;:&quot;&quot;},{&quot;family&quot;:&quot;Gogala&quot;,&quot;given&quot;:&quot;Nada&quot;,&quot;parse-names&quot;:false,&quot;dropping-particle&quot;:&quot;&quot;,&quot;non-dropping-particle&quot;:&quot;&quot;},{&quot;family&quot;:&quot;Zalar&quot;,&quot;given&quot;:&quot;Polona&quot;,&quot;parse-names&quot;:false,&quot;dropping-particle&quot;:&quot;&quot;,&quot;non-dropping-particle&quot;:&quot;&quot;}],&quot;container-title&quot;:&quot;New Phytologist&quot;,&quot;DOI&quot;:&quot;10.1111/j.1469-8137.1996.tb04936.x&quot;,&quot;ISSN&quot;:&quot;0028-646X&quot;,&quot;issued&quot;:{&quot;date-parts&quot;:[[1996,12,28]]},&quot;issue&quot;:&quot;4&quot;,&quot;volume&quot;:&quot;134&quot;},&quot;isTemporary&quot;:false}],&quot;properties&quot;:{&quot;noteIndex&quot;:0},&quot;isEdited&quot;:false,&quot;manualOverride&quot;:{&quot;isManuallyOverridden&quot;:true,&quot;citeprocText&quot;:&quot;(Regvar et al., 1996)&quot;,&quot;manualOverrideText&quot;:&quot;Regvar et al., 1996)&quot;},&quot;citationTag&quot;:&quot;MENDELEY_CITATION_v3_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&quot;},{&quot;citationID&quot;:&quot;MENDELEY_CITATION_170e71c1-8bec-4412-a047-ac62e3cc30bd&quot;,&quot;citationItems&quot;:[{&quot;id&quot;:&quot;93057650-3e4b-3de3-9188-7bc2bf16b56a&quot;,&quot;itemData&quot;:{&quot;type&quot;:&quot;article-journal&quot;,&quot;id&quot;:&quot;93057650-3e4b-3de3-9188-7bc2bf16b56a&quot;,&quot;title&quot;:&quot;Reduced arbuscular mycorrhizal root colonization in Tropaeolum majus and Carica papaya after jasmonic acid application can not be attributed to increased glucosinolate levels&quot;,&quot;author&quot;:[{&quot;family&quot;:&quot;Ludwig-Müller&quot;,&quot;given&quot;:&quot;Jutta&quot;,&quot;parse-names&quot;:false,&quot;dropping-particle&quot;:&quot;&quot;,&quot;non-dropping-particle&quot;:&quot;&quot;},{&quot;family&quot;:&quot;Bennett&quot;,&quot;given&quot;:&quot;Richard N.&quot;,&quot;parse-names&quot;:false,&quot;dropping-particle&quot;:&quot;&quot;,&quot;non-dropping-particle&quot;:&quot;&quot;},{&quot;family&quot;:&quot;García-Garrido&quot;,&quot;given&quot;:&quot;José M.&quot;,&quot;parse-names&quot;:false,&quot;dropping-particle&quot;:&quot;&quot;,&quot;non-dropping-particle&quot;:&quot;&quot;},{&quot;family&quot;:&quot;Piché&quot;,&quot;given&quot;:&quot;Yves&quot;,&quot;parse-names&quot;:false,&quot;dropping-particle&quot;:&quot;&quot;,&quot;non-dropping-particle&quot;:&quot;&quot;},{&quot;family&quot;:&quot;Vierheilig&quot;,&quot;given&quot;:&quot;Horst&quot;,&quot;parse-names&quot;:false,&quot;dropping-particle&quot;:&quot;&quot;,&quot;non-dropping-particle&quot;:&quot;&quot;}],&quot;container-title&quot;:&quot;Journal of Plant Physiology&quot;,&quot;DOI&quot;:&quot;10.1078/0176-1617-00731&quot;,&quot;ISSN&quot;:&quot;01761617&quot;,&quot;issued&quot;:{&quot;date-parts&quot;:[[2002,1]]},&quot;issue&quot;:&quot;5&quot;,&quot;volume&quot;:&quot;159&quot;},&quot;isTemporary&quot;:false}],&quot;properties&quot;:{&quot;noteIndex&quot;:0},&quot;isEdited&quot;:false,&quot;manualOverride&quot;:{&quot;isManuallyOverridden&quot;:false,&quot;citeprocText&quot;:&quot;(Ludwig-Müller et al., 2002)&quot;,&quot;manualOverrideText&quot;:&quot;&quot;},&quot;citationTag&quot;:&quot;MENDELEY_CITATION_v3_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&quot;},{&quot;citationID&quot;:&quot;MENDELEY_CITATION_24207b94-646e-451f-975c-6945a2e542b6&quot;,&quot;citationItems&quot;:[{&quot;id&quot;:&quot;9f6b276f-07b5-3c7d-86e1-0f7eeede16df&quot;,&quot;itemData&quot;:{&quot;type&quot;:&quot;article-journal&quot;,&quot;id&quot;:&quot;9f6b276f-07b5-3c7d-86e1-0f7eeede16df&quot;,&quot;title&quot;:&quot;Induction of Jasmonate Biosynthesis in Arbuscular Mycorrhizal Barley Roots,&quot;,&quot;author&quot;:[{&quot;family&quot;:&quot;Hause&quot;,&quot;given&quot;:&quot;Bettina&quot;,&quot;parse-names&quot;:false,&quot;dropping-particle&quot;:&quot;&quot;,&quot;non-dropping-particle&quot;:&quot;&quot;},{&quot;family&quot;:&quot;Maier&quot;,&quot;given&quot;:&quot;Walter&quot;,&quot;parse-names&quot;:false,&quot;dropping-particle&quot;:&quot;&quot;,&quot;non-dropping-particle&quot;:&quot;&quot;},{&quot;family&quot;:&quot;Miersch&quot;,&quot;given&quot;:&quot;Otto&quot;,&quot;parse-names&quot;:false,&quot;dropping-particle&quot;:&quot;&quot;,&quot;non-dropping-particle&quot;:&quot;&quot;},{&quot;family&quot;:&quot;Kramell&quot;,&quot;given&quot;:&quot;Robert&quot;,&quot;parse-names&quot;:false,&quot;dropping-particle&quot;:&quot;&quot;,&quot;non-dropping-particle&quot;:&quot;&quot;},{&quot;family&quot;:&quot;Strack&quot;,&quot;given&quot;:&quot;Dieter&quot;,&quot;parse-names&quot;:false,&quot;dropping-particle&quot;:&quot;&quot;,&quot;non-dropping-particle&quot;:&quot;&quot;}],&quot;container-title&quot;:&quot;Plant Physiology&quot;,&quot;DOI&quot;:&quot;10.1104/pp.006007&quot;,&quot;ISSN&quot;:&quot;1532-2548&quot;,&quot;issued&quot;:{&quot;date-parts&quot;:[[2002,11,1]]},&quot;abstract&quot;:&quot;&lt;p&gt;Colonization of barley (Hordeum vulgare cv Salome) roots by an arbuscular mycorrhizal fungus, Glomus intraradices Schenck &amp;amp; Smith, leads to elevated levels of endogenous jasmonic acid (JA) and its amino acid conjugate JA-isoleucine, whereas the level of the JA precursor, oxophytodienoic acid, remains constant. The rise in jasmonates is accompanied by the expression of genes coding for an enzyme of JA biosynthesis (allene oxide synthase) and of a jasmonate-induced protein (JIP23). In situ hybridization and immunocytochemical analysis revealed that expression of these genes occurred cell specifically within arbuscule-containing root cortex cells. The concomitant gene expression indicates that jasmonates are generated and act within arbuscule-containing cells. By use of a near-synchronous mycorrhization, analysis of temporal expression patterns showed the occurrence of transcript accumulation 4 to 6 d after the appearance of the first arbuscules. This suggests that the endogenous rise in jasmonates might be related to the fully established symbiosis rather than to the recognition of interacting partners or to the onset of interaction. Because the plant supplies the fungus with carbohydrates, a model is proposed in which the induction of JA biosynthesis in colonized roots is linked to the stronger sink function of mycorrhizal roots compared with nonmycorrhizal roots.&lt;/p&gt;&quot;,&quot;issue&quot;:&quot;3&quot;,&quot;volume&quot;:&quot;130&quot;},&quot;isTemporary&quot;:false},{&quot;id&quot;:&quot;59da343d-658c-36ea-8fb0-f088ee40b163&quot;,&quot;itemData&quot;:{&quot;type&quot;:&quot;chapter&quot;,&quot;id&quot;:&quot;59da343d-658c-36ea-8fb0-f088ee40b163&quot;,&quot;title&quot;:&quot;Signalling in Arbuscular Mycorrhiza: Facts and Hypotheses&quot;,&quot;author&quot;:[{&quot;family&quot;:&quot;Vierheilig&quot;,&quot;given&quot;:&quot;Horst&quot;,&quot;parse-names&quot;:false,&quot;dropping-particle&quot;:&quot;&quot;,&quot;non-dropping-particle&quot;:&quot;&quot;},{&quot;family&quot;:&quot;Piché&quot;,&quot;given&quot;:&quot;Yves&quot;,&quot;parse-names&quot;:false,&quot;dropping-particle&quot;:&quot;&quot;,&quot;non-dropping-particle&quot;:&quot;&quot;}],&quot;DOI&quot;:&quot;10.1007/978-1-4757-5235-9_3&quot;,&quot;issued&quot;:{&quot;date-parts&quot;:[[2002]]}},&quot;isTemporary&quot;:false}],&quot;properties&quot;:{&quot;noteIndex&quot;:0},&quot;isEdited&quot;:false,&quot;manualOverride&quot;:{&quot;isManuallyOverridden&quot;:true,&quot;citeprocText&quot;:&quot;(Hause et al., 2002; Vierheilig &amp;#38; Piché, 2002b)&quot;,&quot;manualOverrideText&quot;:&quot;(Hause et al., 2002; Vierheilig &amp; Piché, 2002)&quot;},&quot;citationTag&quot;:&quot;MENDELEY_CITATION_v3_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&quot;},{&quot;citationID&quot;:&quot;MENDELEY_CITATION_941d5b07-b13d-4355-ad23-fa20c9d11921&quot;,&quot;citationItems&quot;:[{&quot;id&quot;:&quot;8099807c-f7b6-349d-a1f1-f7cd73f85028&quot;,&quot;itemData&quot;:{&quot;type&quot;:&quot;article&quot;,&quot;id&quot;:&quot;8099807c-f7b6-349d-a1f1-f7cd73f85028&quot;,&quot;title&quot;:&quot;Synthesis and functions of jasmonates in maize&quot;,&quot;author&quot;:[{&quot;family&quot;:&quot;Borrego&quot;,&quot;given&quot;:&quot;Eli J.&quot;,&quot;parse-names&quot;:false,&quot;dropping-particle&quot;:&quot;&quot;,&quot;non-dropping-particle&quot;:&quot;&quot;},{&quot;family&quot;:&quot;Kolomiets&quot;,&quot;given&quot;:&quot;Michael&quot;,&quot;parse-names&quot;:false,&quot;dropping-particle&quot;:&quot;v.&quot;,&quot;non-dropping-particle&quot;:&quot;&quot;}],&quot;container-title&quot;:&quot;Plants&quot;,&quot;DOI&quot;:&quot;10.3390/plants5040041&quot;,&quot;ISSN&quot;:&quot;22237747&quot;,&quot;issued&quot;:{&quot;date-parts&quot;:[[2016]]},&quot;page&quot;:&quot;1-13&quot;,&quot;abstract&quot;:&quot;Of the over 600 oxylipins present in all plants, the phytohormone jasmonic acid (JA) remains the best understood in terms of its biosynthesis, function and signaling. Much like their eicosanoid analogues in mammalian system, evidence is growing for the role of the other oxylipins in diverse physiological processes. JA serves as the model plant oxylipin species and regulates defense and development. For several decades, the biology of JA has been characterized in a few dicot species, yet the function of JA in monocots has only recently begun to be elucidated. In this work, the synthesis and function of JA in maize is presented from the perspective of oxylipin biology. The maize genes responsible for catalyzing the reactions in the JA biosynthesis are clarified and described. Recent studies into the function of JA in maize defense against insect herbivory, pathogens and its role in growth and development are highlighted. Additionally, a list of JA-responsive genes is presented for use as biological markers for improving future investigations into JA signaling in maize.&quot;,&quot;publisher&quot;:&quot;MDPI AG&quot;,&quot;issue&quot;:&quot;4&quot;,&quot;volume&quot;:&quot;5&quot;},&quot;isTemporary&quot;:false}],&quot;properties&quot;:{&quot;noteIndex&quot;:0},&quot;isEdited&quot;:false,&quot;manualOverride&quot;:{&quot;isManuallyOverridden&quot;:false,&quot;citeprocText&quot;:&quot;(Borrego &amp;#38; Kolomiets, 2016)&quot;,&quot;manualOverrideText&quot;:&quot;&quot;},&quot;citationTag&quot;:&quot;MENDELEY_CITATION_v3_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&quot;},{&quot;citationID&quot;:&quot;MENDELEY_CITATION_93fd97e9-0a70-4545-bff6-24dc3a546108&quot;,&quot;citationItems&quot;:[{&quot;id&quot;:&quot;68b46fd6-f4f9-366f-ab95-55c06b94ba92&quot;,&quot;itemData&quot;:{&quot;type&quot;:&quot;article-journal&quot;,&quot;id&quot;:&quot;68b46fd6-f4f9-366f-ab95-55c06b94ba92&quot;,&quot;title&quot;:&quot;Registration of B70 and B73 Parental Lines of Maize &lt;sup&gt;1&lt;/sup&gt; (Reg. Nos. PL16 and PL17)&quot;,&quot;author&quot;:[{&quot;family&quot;:&quot;Russell&quot;,&quot;given&quot;:&quot;W. A.&quot;,&quot;parse-names&quot;:false,&quot;dropping-particle&quot;:&quot;&quot;,&quot;non-dropping-particle&quot;:&quot;&quot;}],&quot;container-title&quot;:&quot;Crop Science&quot;,&quot;DOI&quot;:&quot;10.2135/cropsci1972.0011183X001200050085x&quot;,&quot;ISSN&quot;:&quot;0011-183X&quot;,&quot;issued&quot;:{&quot;date-parts&quot;:[[1972,9]]},&quot;issue&quot;:&quot;5&quot;,&quot;volume&quot;:&quot;12&quot;},&quot;isTemporary&quot;:false}],&quot;properties&quot;:{&quot;noteIndex&quot;:0},&quot;isEdited&quot;:false,&quot;manualOverride&quot;:{&quot;isManuallyOverridden&quot;:false,&quot;citeprocText&quot;:&quot;(Russell, 1972)&quot;,&quot;manualOverrideText&quot;:&quot;&quot;},&quot;citationTag&quot;:&quot;MENDELEY_CITATION_v3_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&quot;},{&quot;citationID&quot;:&quot;MENDELEY_CITATION_f55ac2c9-ac7c-40b6-92d4-3cf4a531ec99&quot;,&quot;citationItems&quot;:[{&quot;id&quot;:&quot;75ef69f5-3fc1-3604-bcc9-f246ff6d23c0&quot;,&quot;itemData&quot;:{&quot;type&quot;:&quot;article-journal&quot;,&quot;id&quot;:&quot;75ef69f5-3fc1-3604-bcc9-f246ff6d23c0&quot;,&quot;title&quot;:&quot;Effects of methyl jasmonate and salicylic acid on tanshinone production and biosynthetic gene expression in transgenic &lt;i&gt;Salvia miltiorrhiza&lt;/i&gt; hairy roots&quot;,&quot;author&quot;:[{&quot;family&quot;:&quot;Hao&quot;,&quot;given&quot;:&quot;Xiaolong&quot;,&quot;parse-names&quot;:false,&quot;dropping-particle&quot;:&quot;&quot;,&quot;non-dropping-particle&quot;:&quot;&quot;},{&quot;family&quot;:&quot;Shi&quot;,&quot;given&quot;:&quot;Min&quot;,&quot;parse-names&quot;:false,&quot;dropping-particle&quot;:&quot;&quot;,&quot;non-dropping-particle&quot;:&quot;&quot;},{&quot;family&quot;:&quot;Cui&quot;,&quot;given&quot;:&quot;Lijie&quot;,&quot;parse-names&quot;:false,&quot;dropping-particle&quot;:&quot;&quot;,&quot;non-dropping-particle&quot;:&quot;&quot;},{&quot;family&quot;:&quot;Xu&quot;,&quot;given&quot;:&quot;Chao&quot;,&quot;parse-names&quot;:false,&quot;dropping-particle&quot;:&quot;&quot;,&quot;non-dropping-particle&quot;:&quot;&quot;},{&quot;family&quot;:&quot;Zhang&quot;,&quot;given&quot;:&quot;Yanjie&quot;,&quot;parse-names&quot;:false,&quot;dropping-particle&quot;:&quot;&quot;,&quot;non-dropping-particle&quot;:&quot;&quot;},{&quot;family&quot;:&quot;Kai&quot;,&quot;given&quot;:&quot;Guoyin&quot;,&quot;parse-names&quot;:false,&quot;dropping-particle&quot;:&quot;&quot;,&quot;non-dropping-particle&quot;:&quot;&quot;}],&quot;container-title&quot;:&quot;Biotechnology and Applied Biochemistry&quot;,&quot;DOI&quot;:&quot;10.1002/bab.1236&quot;,&quot;ISSN&quot;:&quot;08854513&quot;,&quot;issued&quot;:{&quot;date-parts&quot;:[[2015,1]]},&quot;issue&quot;:&quot;1&quot;,&quot;volume&quot;:&quot;62&quot;},&quot;isTemporary&quot;:false}],&quot;properties&quot;:{&quot;noteIndex&quot;:0},&quot;isEdited&quot;:false,&quot;manualOverride&quot;:{&quot;isManuallyOverridden&quot;:false,&quot;citeprocText&quot;:&quot;(Hao et al., 2015)&quot;,&quot;manualOverrideText&quot;:&quot;&quot;},&quot;citationTag&quot;:&quot;MENDELEY_CITATION_v3_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&quot;},{&quot;citationID&quot;:&quot;MENDELEY_CITATION_d0c37332-b737-4994-ae49-a1089388f8a5&quot;,&quot;citationItems&quot;:[{&quot;id&quot;:&quot;d63eb2dc-9894-3f05-819f-24cb25c5d8f3&quot;,&quot;itemData&quot;:{&quot;type&quot;:&quot;article-journal&quot;,&quot;id&quot;:&quot;d63eb2dc-9894-3f05-819f-24cb25c5d8f3&quot;,&quot;title&quot;:&quot;Effects of ultraviolet C, methyl jasmonate and salicylic acid, alone or in combination, on stilbene biosynthesis in cell suspension cultures of Vitis vinifera L. cv. Cabernet Sauvignon&quot;,&quot;author&quot;:[{&quot;family&quot;:&quot;Xu&quot;,&quot;given&quot;:&quot;Ai&quot;,&quot;parse-names&quot;:false,&quot;dropping-particle&quot;:&quot;&quot;,&quot;non-dropping-particle&quot;:&quot;&quot;},{&quot;family&quot;:&quot;Zhan&quot;,&quot;given&quot;:&quot;Ji-Cheng&quot;,&quot;parse-names&quot;:false,&quot;dropping-particle&quot;:&quot;&quot;,&quot;non-dropping-particle&quot;:&quot;&quot;},{&quot;family&quot;:&quot;Huang&quot;,&quot;given&quot;:&quot;Wei-Dong&quot;,&quot;parse-names&quot;:false,&quot;dropping-particle&quot;:&quot;&quot;,&quot;non-dropping-particle&quot;:&quot;&quot;}],&quot;container-title&quot;:&quot;Plant Cell, Tissue and Organ Culture (PCTOC)&quot;,&quot;DOI&quot;:&quot;10.1007/s11240-015-0761-z&quot;,&quot;ISSN&quot;:&quot;0167-6857&quot;,&quot;issued&quot;:{&quot;date-parts&quot;:[[2015,7,4]]},&quot;issue&quot;:&quot;1&quot;,&quot;volume&quot;:&quot;122&quot;},&quot;isTemporary&quot;:false}],&quot;properties&quot;:{&quot;noteIndex&quot;:0},&quot;isEdited&quot;:false,&quot;manualOverride&quot;:{&quot;isManuallyOverridden&quot;:false,&quot;citeprocText&quot;:&quot;(Xu et al., 2015)&quot;,&quot;manualOverrideText&quot;:&quot;&quot;},&quot;citationTag&quot;:&quot;MENDELEY_CITATION_v3_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&quot;},{&quot;citationID&quot;:&quot;MENDELEY_CITATION_431a28de-a939-4d98-bb7c-fcdb0ca7e3b7&quot;,&quot;citationItems&quot;:[{&quot;id&quot;:&quot;5065088d-2272-3b01-8d1e-241375d7fc1f&quot;,&quot;itemData&quot;:{&quot;type&quot;:&quot;article-journal&quot;,&quot;id&quot;:&quot;5065088d-2272-3b01-8d1e-241375d7fc1f&quot;,&quot;title&quot;:&quot;Salicylic acid mitigates salinity stress by improving antioxidant defence system and enhances vincristine and vinblastine alkaloids production in periwinkle [Catharanthus roseus (L.) G. Don]&quot;,&quot;author&quot;:[{&quot;family&quot;:&quot;Idrees&quot;,&quot;given&quot;:&quot;Mohd&quot;,&quot;parse-names&quot;:false,&quot;dropping-particle&quot;:&quot;&quot;,&quot;non-dropping-particle&quot;:&quot;&quot;},{&quot;family&quot;:&quot;Naeem&quot;,&quot;given&quot;:&quot;M.&quot;,&quot;parse-names&quot;:false,&quot;dropping-particle&quot;:&quot;&quot;,&quot;non-dropping-particle&quot;:&quot;&quot;},{&quot;family&quot;:&quot;Aftab&quot;,&quot;given&quot;:&quot;Tariq&quot;,&quot;parse-names&quot;:false,&quot;dropping-particle&quot;:&quot;&quot;,&quot;non-dropping-particle&quot;:&quot;&quot;},{&quot;family&quot;:&quot;Khan&quot;,&quot;given&quot;:&quot;M. Masroor A.&quot;,&quot;parse-names&quot;:false,&quot;dropping-particle&quot;:&quot;&quot;,&quot;non-dropping-particle&quot;:&quot;&quot;},{&quot;family&quot;:&quot;Moinuddin&quot;,&quot;given&quot;:&quot;&quot;,&quot;parse-names&quot;:false,&quot;dropping-particle&quot;:&quot;&quot;,&quot;non-dropping-particle&quot;:&quot;&quot;}],&quot;container-title&quot;:&quot;Acta Physiologiae Plantarum&quot;,&quot;DOI&quot;:&quot;10.1007/s11738-010-0631-6&quot;,&quot;ISSN&quot;:&quot;0137-5881&quot;,&quot;issued&quot;:{&quot;date-parts&quot;:[[2011,5,27]]},&quot;issue&quot;:&quot;3&quot;,&quot;volume&quot;:&quot;33&quot;},&quot;isTemporary&quot;:false}],&quot;properties&quot;:{&quot;noteIndex&quot;:0},&quot;isEdited&quot;:false,&quot;manualOverride&quot;:{&quot;isManuallyOverridden&quot;:false,&quot;citeprocText&quot;:&quot;(Idrees et al., 2011)&quot;,&quot;manualOverrideText&quot;:&quot;&quot;},&quot;citationTag&quot;:&quot;MENDELEY_CITATION_v3_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&quot;},{&quot;citationID&quot;:&quot;MENDELEY_CITATION_347728ac-cb34-45c3-a0cb-84c32a38fe15&quot;,&quot;citationItems&quot;:[{&quot;id&quot;:&quot;cb878927-4f07-3ffa-938a-f577adf796f3&quot;,&quot;itemData&quot;:{&quot;type&quot;:&quot;article-journal&quot;,&quot;id&quot;:&quot;cb878927-4f07-3ffa-938a-f577adf796f3&quot;,&quot;title&quot;:&quot;Effect of salicylic acid, methyl jasmonate, ethephon and cantharidin on anthraquinone production by Rubia cordifolia callus cultures transformed with the rolB and rolC genes&quot;,&quot;author&quot;:[{&quot;family&quot;:&quot;Bulgakov&quot;,&quot;given&quot;:&quot;V.P&quot;,&quot;parse-names&quot;:false,&quot;dropping-particle&quot;:&quot;&quot;,&quot;non-dropping-particle&quot;:&quot;&quot;},{&quot;family&quot;:&quot;Tchernoded&quot;,&quot;given&quot;:&quot;G.K&quot;,&quot;parse-names&quot;:false,&quot;dropping-particle&quot;:&quot;&quot;,&quot;non-dropping-particle&quot;:&quot;&quot;},{&quot;family&quot;:&quot;Mischenko&quot;,&quot;given&quot;:&quot;N.P&quot;,&quot;parse-names&quot;:false,&quot;dropping-particle&quot;:&quot;&quot;,&quot;non-dropping-particle&quot;:&quot;&quot;},{&quot;family&quot;:&quot;Khodakovskaya&quot;,&quot;given&quot;:&quot;M.V&quot;,&quot;parse-names&quot;:false,&quot;dropping-particle&quot;:&quot;&quot;,&quot;non-dropping-particle&quot;:&quot;&quot;},{&quot;family&quot;:&quot;Glazunov&quot;,&quot;given&quot;:&quot;V.P&quot;,&quot;parse-names&quot;:false,&quot;dropping-particle&quot;:&quot;&quot;,&quot;non-dropping-particle&quot;:&quot;&quot;},{&quot;family&quot;:&quot;Radchenko&quot;,&quot;given&quot;:&quot;S.V&quot;,&quot;parse-names&quot;:false,&quot;dropping-particle&quot;:&quot;&quot;,&quot;non-dropping-particle&quot;:&quot;&quot;},{&quot;family&quot;:&quot;Zvereva&quot;,&quot;given&quot;:&quot;E.V&quot;,&quot;parse-names&quot;:false,&quot;dropping-particle&quot;:&quot;&quot;,&quot;non-dropping-particle&quot;:&quot;&quot;},{&quot;family&quot;:&quot;Fedoreyev&quot;,&quot;given&quot;:&quot;S.A&quot;,&quot;parse-names&quot;:false,&quot;dropping-particle&quot;:&quot;&quot;,&quot;non-dropping-particle&quot;:&quot;&quot;},{&quot;family&quot;:&quot;Zhuravlev&quot;,&quot;given&quot;:&quot;Yu.N&quot;,&quot;parse-names&quot;:false,&quot;dropping-particle&quot;:&quot;&quot;,&quot;non-dropping-particle&quot;:&quot;&quot;}],&quot;container-title&quot;:&quot;Journal of Biotechnology&quot;,&quot;DOI&quot;:&quot;10.1016/S0168-1656(02)00067-6&quot;,&quot;ISSN&quot;:&quot;01681656&quot;,&quot;issued&quot;:{&quot;date-parts&quot;:[[2002,8]]},&quot;issue&quot;:&quot;3&quot;,&quot;volume&quot;:&quot;97&quot;},&quot;isTemporary&quot;:false}],&quot;properties&quot;:{&quot;noteIndex&quot;:0},&quot;isEdited&quot;:false,&quot;manualOverride&quot;:{&quot;isManuallyOverridden&quot;:false,&quot;citeprocText&quot;:&quot;(Bulgakov et al., 2002)&quot;,&quot;manualOverrideText&quot;:&quot;&quot;},&quot;citationTag&quot;:&quot;MENDELEY_CITATION_v3_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&quot;},{&quot;citationID&quot;:&quot;MENDELEY_CITATION_080b9ddc-fa60-437a-ad5f-7b59c7eb4011&quot;,&quot;citationItems&quot;:[{&quot;id&quot;:&quot;7d52fa0b-6644-3f5f-ad9a-49b0e8fc3d55&quot;,&quot;itemData&quot;:{&quot;type&quot;:&quot;book&quot;,&quot;id&quot;:&quot;7d52fa0b-6644-3f5f-ad9a-49b0e8fc3d55&quot;,&quot;title&quot;:&quot;Alkaloid Biology and Metabolism in Plants&quot;,&quot;author&quot;:[{&quot;family&quot;:&quot;Waller&quot;,&quot;given&quot;:&quot;George R.&quot;,&quot;parse-names&quot;:false,&quot;dropping-particle&quot;:&quot;&quot;,&quot;non-dropping-particle&quot;:&quot;&quot;},{&quot;family&quot;:&quot;Nowacki&quot;,&quot;given&quot;:&quot;Edmund K.&quot;,&quot;parse-names&quot;:false,&quot;dropping-particle&quot;:&quot;&quot;,&quot;non-dropping-particle&quot;:&quot;&quot;}],&quot;DOI&quot;:&quot;10.1007/978-1-4684-0772-3&quot;,&quot;ISBN&quot;:&quot;978-1-4684-0774-7&quot;,&quot;issued&quot;:{&quot;date-parts&quot;:[[1978]]},&quot;publisher-place&quot;:&quot;Boston, MA&quot;,&quot;publisher&quot;:&quot;Springer US&quot;},&quot;isTemporary&quot;:false}],&quot;properties&quot;:{&quot;noteIndex&quot;:0},&quot;isEdited&quot;:false,&quot;manualOverride&quot;:{&quot;isManuallyOverridden&quot;:false,&quot;citeprocText&quot;:&quot;(Waller &amp;#38; Nowacki, 1978)&quot;,&quot;manualOverrideText&quot;:&quot;&quot;},&quot;citationTag&quot;:&quot;MENDELEY_CITATION_v3_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&quot;},{&quot;citationID&quot;:&quot;MENDELEY_CITATION_66a508a6-5553-4ec8-9916-3921f7cc3e2f&quot;,&quot;citationItems&quot;:[{&quot;id&quot;:&quot;c8af34f3-c096-3a6b-b312-60c315b79de6&quot;,&quot;itemData&quot;:{&quot;type&quot;:&quot;article-journal&quot;,&quot;id&quot;:&quot;c8af34f3-c096-3a6b-b312-60c315b79de6&quot;,&quot;title&quot;:&quot; Plant growth regulator mediated consequences of secondary metabolites in medicinal plants.J. &quot;,&quot;author&quot;:[{&quot;family&quot;:&quot;Jamwal&quot;,&quot;given&quot;:&quot;K.;&quot;,&quot;parse-names&quot;:false,&quot;dropping-particle&quot;:&quot;&quot;,&quot;non-dropping-particle&quot;:&quot;&quot;},{&quot;family&quot;:&quot;Bhattacharya&quot;,&quot;given&quot;:&quot;S.;&quot;,&quot;parse-names&quot;:false,&quot;dropping-particle&quot;:&quot;&quot;,&quot;non-dropping-particle&quot;:&quot;&quot;},{&quot;family&quot;:&quot;Puri&quot;,&quot;given&quot;:&quot;S.&quot;,&quot;parse-names&quot;:false,&quot;dropping-particle&quot;:&quot;&quot;,&quot;non-dropping-particle&quot;:&quot;&quot;}],&quot;container-title&quot;:&quot;Appl. Res. Med. Aromat. Plants&quot;,&quot;issued&quot;:{&quot;date-parts&quot;:[[2018]]},&quot;page&quot;:&quot;26-38&quot;,&quot;volume&quot;:&quot;9&quot;},&quot;isTemporary&quot;:false}],&quot;properties&quot;:{&quot;noteIndex&quot;:0},&quot;isEdited&quot;:false,&quot;manualOverride&quot;:{&quot;isManuallyOverridden&quot;:false,&quot;citeprocText&quot;:&quot;(Jamwal et al., 2018a)&quot;,&quot;manualOverrideText&quot;:&quot;&quot;},&quot;citationTag&quot;:&quot;MENDELEY_CITATION_v3_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&quot;},{&quot;citationID&quot;:&quot;MENDELEY_CITATION_b87ddfac-b3fe-4dbd-9005-53417c6527c2&quot;,&quot;citationItems&quot;:[{&quot;id&quot;:&quot;17168dc9-4c5d-3527-98e9-4ff95d14f767&quot;,&quot;itemData&quot;:{&quot;type&quot;:&quot;article-journal&quot;,&quot;id&quot;:&quot;17168dc9-4c5d-3527-98e9-4ff95d14f767&quot;,&quot;title&quot;:&quot;Culture medium optimization for camptothecin production in cell suspension cultures of Nothapodytes nimmoniana (J. Grah.) Mabberley&quot;,&quot;author&quot;:[{&quot;family&quot;:&quot;Karwasara&quot;,&quot;given&quot;:&quot;Vijai Singh&quot;,&quot;parse-names&quot;:false,&quot;dropping-particle&quot;:&quot;&quot;,&quot;non-dropping-particle&quot;:&quot;&quot;},{&quot;family&quot;:&quot;Dixit&quot;,&quot;given&quot;:&quot;Vinod Kumar&quot;,&quot;parse-names&quot;:false,&quot;dropping-particle&quot;:&quot;&quot;,&quot;non-dropping-particle&quot;:&quot;&quot;}],&quot;container-title&quot;:&quot;Plant Biotechnology Reports&quot;,&quot;DOI&quot;:&quot;10.1007/s11816-012-0270-z&quot;,&quot;ISSN&quot;:&quot;1863-5466&quot;,&quot;issued&quot;:{&quot;date-parts&quot;:[[2013,7,29]]},&quot;issue&quot;:&quot;3&quot;,&quot;volume&quot;:&quot;7&quot;},&quot;isTemporary&quot;:false}],&quot;properties&quot;:{&quot;noteIndex&quot;:0},&quot;isEdited&quot;:false,&quot;manualOverride&quot;:{&quot;isManuallyOverridden&quot;:false,&quot;citeprocText&quot;:&quot;(Karwasara &amp;#38; Dixit, 2013)&quot;,&quot;manualOverrideText&quot;:&quot;&quot;},&quot;citationTag&quot;:&quot;MENDELEY_CITATION_v3_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&quot;},{&quot;citationID&quot;:&quot;MENDELEY_CITATION_d7889165-ea0a-435c-9cad-32c7d5e3191c&quot;,&quot;citationItems&quot;:[{&quot;id&quot;:&quot;750afc85-cf61-37f3-99c3-0f83b9148831&quot;,&quot;itemData&quot;:{&quot;type&quot;:&quot;article-journal&quot;,&quot;id&quot;:&quot;750afc85-cf61-37f3-99c3-0f83b9148831&quot;,&quot;title&quot;:&quot;Effects of Temperature on the Alkaloid Content of Seeds of &lt;i&gt;Lupinus angustifolius&lt;/i&gt; Cultivars&quot;,&quot;author&quot;:[{&quot;family&quot;:&quot;Jansen&quot;,&quot;given&quot;:&quot;G.&quot;,&quot;parse-names&quot;:false,&quot;dropping-particle&quot;:&quot;&quot;,&quot;non-dropping-particle&quot;:&quot;&quot;},{&quot;family&quot;:&quot;Jürgens&quot;,&quot;given&quot;:&quot;H.-U.&quot;,&quot;parse-names&quot;:false,&quot;dropping-particle&quot;:&quot;&quot;,&quot;non-dropping-particle&quot;:&quot;&quot;},{&quot;family&quot;:&quot;Ordon&quot;,&quot;given&quot;:&quot;F.&quot;,&quot;parse-names&quot;:false,&quot;dropping-particle&quot;:&quot;&quot;,&quot;non-dropping-particle&quot;:&quot;&quot;}],&quot;container-title&quot;:&quot;Journal of Agronomy and Crop Science&quot;,&quot;DOI&quot;:&quot;10.1111/j.1439-037X.2008.00356.x&quot;,&quot;ISSN&quot;:&quot;09312250&quot;,&quot;issued&quot;:{&quot;date-parts&quot;:[[2009,6]]},&quot;issue&quot;:&quot;3&quot;,&quot;volume&quot;:&quot;195&quot;},&quot;isTemporary&quot;:false}],&quot;properties&quot;:{&quot;noteIndex&quot;:0},&quot;isEdited&quot;:false,&quot;manualOverride&quot;:{&quot;isManuallyOverridden&quot;:false,&quot;citeprocText&quot;:&quot;(Jansen et al., 2009)&quot;,&quot;manualOverrideText&quot;:&quot;&quot;},&quot;citationTag&quot;:&quot;MENDELEY_CITATION_v3_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&quot;},{&quot;citationID&quot;:&quot;MENDELEY_CITATION_cb1cd974-de9a-4ee5-b2be-56ca558f8048&quot;,&quot;citationItems&quot;:[{&quot;id&quot;:&quot;053d13eb-d569-33f9-92a4-2eaf48124f42&quot;,&quot;itemData&quot;:{&quot;type&quot;:&quot;article-journal&quot;,&quot;id&quot;:&quot;053d13eb-d569-33f9-92a4-2eaf48124f42&quot;,&quot;title&quot;:&quot; Different responses of camptothecin and 10-hydroxycamptothecinto heat shock in Camptotheca acuminata seedlings.&quot;,&quot;author&quot;:[{&quot;family&quot;:&quot;Zu&quot;,&quot;given&quot;:&quot;Y.-G.;&quot;,&quot;parse-names&quot;:false,&quot;dropping-particle&quot;:&quot;&quot;,&quot;non-dropping-particle&quot;:&quot;&quot;},{&quot;family&quot;:&quot;Tang&quot;,&quot;given&quot;:&quot;Z.-H.;&quot;,&quot;parse-names&quot;:false,&quot;dropping-particle&quot;:&quot;&quot;,&quot;non-dropping-particle&quot;:&quot;&quot;},{&quot;family&quot;:&quot;Yu&quot;,&quot;given&quot;:&quot;J.-H.;&quot;,&quot;parse-names&quot;:false,&quot;dropping-particle&quot;:&quot;&quot;,&quot;non-dropping-particle&quot;:&quot;&quot;},{&quot;family&quot;:&quot;Liu&quot;,&quot;given&quot;:&quot;S.-G.;&quot;,&quot;parse-names&quot;:false,&quot;dropping-particle&quot;:&quot;&quot;,&quot;non-dropping-particle&quot;:&quot;&quot;},{&quot;family&quot;:&quot;Wang&quot;,&quot;given&quot;:&quot;W.;&quot;,&quot;parse-names&quot;:false,&quot;dropping-particle&quot;:&quot;&quot;,&quot;non-dropping-particle&quot;:&quot;&quot;},{&quot;family&quot;:&quot;Guo&quot;,&quot;given&quot;:&quot;X.-R.&quot;,&quot;parse-names&quot;:false,&quot;dropping-particle&quot;:&quot;&quot;,&quot;non-dropping-particle&quot;:&quot;&quot;}],&quot;container-title&quot;:&quot;J. Integr. Plant Biol.2003,45, 809–814&quot;,&quot;issued&quot;:{&quot;date-parts&quot;:[[2003]]},&quot;page&quot;:&quot;809-814&quot;,&quot;volume&quot;:&quot;45&quot;},&quot;isTemporary&quot;:false}],&quot;properties&quot;:{&quot;noteIndex&quot;:0},&quot;isEdited&quot;:false,&quot;manualOverride&quot;:{&quot;isManuallyOverridden&quot;:false,&quot;citeprocText&quot;:&quot;(Zu et al., 2003)&quot;,&quot;manualOverrideText&quot;:&quot;&quot;},&quot;citationTag&quot;:&quot;MENDELEY_CITATION_v3_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&quot;},{&quot;citationID&quot;:&quot;MENDELEY_CITATION_4d359b43-d4d9-40d3-8594-39dae9a542ea&quot;,&quot;citationItems&quot;:[{&quot;id&quot;:&quot;68f4caa0-25e8-3e79-b41b-34e69b9314da&quot;,&quot;itemData&quot;:{&quot;type&quot;:&quot;article-journal&quot;,&quot;id&quot;:&quot;68f4caa0-25e8-3e79-b41b-34e69b9314da&quot;,&quot;title&quot;:&quot; Downregulation of terpenoid indole alkaloid biosynthetic pathway by low temperature and cloningof a AP2 type C-repeat binding factor (CBF) fromCatharanthus roseus(L). G. &quot;,&quot;author&quot;:[{&quot;family&quot;:&quot;Dutta&quot;,&quot;given&quot;:&quot;A.;&quot;,&quot;parse-names&quot;:false,&quot;dropping-particle&quot;:&quot;&quot;,&quot;non-dropping-particle&quot;:&quot;&quot;},{&quot;family&quot;:&quot;Sen&quot;,&quot;given&quot;:&quot;J.;&quot;,&quot;parse-names&quot;:false,&quot;dropping-particle&quot;:&quot;&quot;,&quot;non-dropping-particle&quot;:&quot;&quot;},{&quot;family&quot;:&quot;Deswal&quot;,&quot;given&quot;:&quot;R.&quot;,&quot;parse-names&quot;:false,&quot;dropping-particle&quot;:&quot;&quot;,&quot;non-dropping-particle&quot;:&quot;&quot;}],&quot;container-title&quot;:&quot;Don.Plant Cell Rep. &quot;,&quot;issued&quot;:{&quot;date-parts&quot;:[[2007]]},&quot;page&quot;:&quot;1869-1878&quot;,&quot;volume&quot;:&quot;26&quot;},&quot;isTemporary&quot;:false}],&quot;properties&quot;:{&quot;noteIndex&quot;:0},&quot;isEdited&quot;:false,&quot;manualOverride&quot;:{&quot;isManuallyOverridden&quot;:false,&quot;citeprocText&quot;:&quot;(Dutta et al., 2007)&quot;,&quot;manualOverrideText&quot;:&quot;&quot;},&quot;citationTag&quot;:&quot;MENDELEY_CITATION_v3_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&quot;},{&quot;citationID&quot;:&quot;MENDELEY_CITATION_080a5a1f-7695-4024-a31a-6335301e2032&quot;,&quot;citationItems&quot;:[{&quot;id&quot;:&quot;c5330c44-8ccb-363b-9b94-b9538d375896&quot;,&quot;itemData&quot;:{&quot;type&quot;:&quot;article-journal&quot;,&quot;id&quot;:&quot;c5330c44-8ccb-363b-9b94-b9538d375896&quot;,&quot;title&quot;:&quot;Mycorrhizal colonization impacts on phenolic content and antioxidant properties of artichoke leaves and flower heads two years after field transplant&quot;,&quot;author&quot;:[{&quot;family&quot;:&quot;Ceccarelli&quot;,&quot;given&quot;:&quot;Nello&quot;,&quot;parse-names&quot;:false,&quot;dropping-particle&quot;:&quot;&quot;,&quot;non-dropping-particle&quot;:&quot;&quot;},{&quot;family&quot;:&quot;Curadi&quot;,&quot;given&quot;:&quot;Maurizio&quot;,&quot;parse-names&quot;:false,&quot;dropping-particle&quot;:&quot;&quot;,&quot;non-dropping-particle&quot;:&quot;&quot;},{&quot;family&quot;:&quot;Martelloni&quot;,&quot;given&quot;:&quot;Luca&quot;,&quot;parse-names&quot;:false,&quot;dropping-particle&quot;:&quot;&quot;,&quot;non-dropping-particle&quot;:&quot;&quot;},{&quot;family&quot;:&quot;Sbrana&quot;,&quot;given&quot;:&quot;Cristiana&quot;,&quot;parse-names&quot;:false,&quot;dropping-particle&quot;:&quot;&quot;,&quot;non-dropping-particle&quot;:&quot;&quot;},{&quot;family&quot;:&quot;Picciarelli&quot;,&quot;given&quot;:&quot;Piero&quot;,&quot;parse-names&quot;:false,&quot;dropping-particle&quot;:&quot;&quot;,&quot;non-dropping-particle&quot;:&quot;&quot;},{&quot;family&quot;:&quot;Giovannetti&quot;,&quot;given&quot;:&quot;Manuela&quot;,&quot;parse-names&quot;:false,&quot;dropping-particle&quot;:&quot;&quot;,&quot;non-dropping-particle&quot;:&quot;&quot;}],&quot;container-title&quot;:&quot;Plant and Soil&quot;,&quot;DOI&quot;:&quot;10.1007/s11104-010-0417-z&quot;,&quot;ISSN&quot;:&quot;0032-079X&quot;,&quot;issued&quot;:{&quot;date-parts&quot;:[[2010,10,18]]},&quot;issue&quot;:&quot;1-2&quot;,&quot;volume&quot;:&quot;335&quot;},&quot;isTemporary&quot;:false},{&quot;id&quot;:&quot;753e8328-1f64-3593-bcb9-4a48290d4f93&quot;,&quot;itemData&quot;:{&quot;type&quot;:&quot;article-journal&quot;,&quot;id&quot;:&quot;753e8328-1f64-3593-bcb9-4a48290d4f93&quot;,&quot;title&quot;:&quot;Effects of three AM fungi on growth, distribution of glandular hairs, and essential oil production in Ocimum basilicum L. var. Genovese&quot;,&quot;author&quot;:[{&quot;family&quot;:&quot;Copetta&quot;,&quot;given&quot;:&quot;Andrea&quot;,&quot;parse-names&quot;:false,&quot;dropping-particle&quot;:&quot;&quot;,&quot;non-dropping-particle&quot;:&quot;&quot;},{&quot;family&quot;:&quot;Lingua&quot;,&quot;given&quot;:&quot;Guido&quot;,&quot;parse-names&quot;:false,&quot;dropping-particle&quot;:&quot;&quot;,&quot;non-dropping-particle&quot;:&quot;&quot;},{&quot;family&quot;:&quot;Berta&quot;,&quot;given&quot;:&quot;Graziella&quot;,&quot;parse-names&quot;:false,&quot;dropping-particle&quot;:&quot;&quot;,&quot;non-dropping-particle&quot;:&quot;&quot;}],&quot;container-title&quot;:&quot;Mycorrhiza&quot;,&quot;DOI&quot;:&quot;10.1007/s00572-006-0065-6&quot;,&quot;ISSN&quot;:&quot;0940-6360&quot;,&quot;issued&quot;:{&quot;date-parts&quot;:[[2006,10,8]]},&quot;issue&quot;:&quot;7&quot;,&quot;volume&quot;:&quot;16&quot;},&quot;isTemporary&quot;:false},{&quot;id&quot;:&quot;cb401d47-e937-35b6-a03c-6b5e4b77f031&quot;,&quot;itemData&quot;:{&quot;type&quot;:&quot;article-journal&quot;,&quot;id&quot;:&quot;cb401d47-e937-35b6-a03c-6b5e4b77f031&quot;,&quot;title&quot;:&quot;The Effects of Arbuscular Mycorrhizal Fungi on Direct and Indirect Defense Metabolites of Plantago lanceolata L.&quot;,&quot;author&quot;:[{&quot;family&quot;:&quot;Fontana&quot;,&quot;given&quot;:&quot;Anna&quot;,&quot;parse-names&quot;:false,&quot;dropping-particle&quot;:&quot;&quot;,&quot;non-dropping-particle&quot;:&quot;&quot;},{&quot;family&quot;:&quot;Reichelt&quot;,&quot;given&quot;:&quot;Michael&quot;,&quot;parse-names&quot;:false,&quot;dropping-particle&quot;:&quot;&quot;,&quot;non-dropping-particle&quot;:&quot;&quot;},{&quot;family&quot;:&quot;Hempel&quot;,&quot;given&quot;:&quot;Stefan&quot;,&quot;parse-names&quot;:false,&quot;dropping-particle&quot;:&quot;&quot;,&quot;non-dropping-particle&quot;:&quot;&quot;},{&quot;family&quot;:&quot;Gershenzon&quot;,&quot;given&quot;:&quot;Jonathan&quot;,&quot;parse-names&quot;:false,&quot;dropping-particle&quot;:&quot;&quot;,&quot;non-dropping-particle&quot;:&quot;&quot;},{&quot;family&quot;:&quot;Unsicker&quot;,&quot;given&quot;:&quot;Sybille B.&quot;,&quot;parse-names&quot;:false,&quot;dropping-particle&quot;:&quot;&quot;,&quot;non-dropping-particle&quot;:&quot;&quot;}],&quot;container-title&quot;:&quot;Journal of Chemical Ecology&quot;,&quot;DOI&quot;:&quot;10.1007/s10886-009-9654-0&quot;,&quot;ISSN&quot;:&quot;0098-0331&quot;,&quot;issued&quot;:{&quot;date-parts&quot;:[[2009,7,2]]},&quot;issue&quot;:&quot;7&quot;,&quot;volume&quot;:&quot;35&quot;},&quot;isTemporary&quot;:false},{&quot;id&quot;:&quot;941ce9a1-6904-32b1-a97b-670fd12fc910&quot;,&quot;itemData&quot;:{&quot;type&quot;:&quot;article-journal&quot;,&quot;id&quot;:&quot;941ce9a1-6904-32b1-a97b-670fd12fc910&quot;,&quot;title&quot;:&quot;Effects of arbuscular mycorrhiza and phosphorus application on artemisinin concentration in Artemisia annua L.&quot;,&quot;author&quot;:[{&quot;family&quot;:&quot;Kapoor&quot;,&quot;given&quot;:&quot;Rupam&quot;,&quot;parse-names&quot;:false,&quot;dropping-particle&quot;:&quot;&quot;,&quot;non-dropping-particle&quot;:&quot;&quot;},{&quot;family&quot;:&quot;Chaudhary&quot;,&quot;given&quot;:&quot;Vidhi&quot;,&quot;parse-names&quot;:false,&quot;dropping-particle&quot;:&quot;&quot;,&quot;non-dropping-particle&quot;:&quot;&quot;},{&quot;family&quot;:&quot;Bhatnagar&quot;,&quot;given&quot;:&quot;A. K.&quot;,&quot;parse-names&quot;:false,&quot;dropping-particle&quot;:&quot;&quot;,&quot;non-dropping-particle&quot;:&quot;&quot;}],&quot;container-title&quot;:&quot;Mycorrhiza&quot;,&quot;DOI&quot;:&quot;10.1007/s00572-007-0135-4&quot;,&quot;ISSN&quot;:&quot;0940-6360&quot;,&quot;issued&quot;:{&quot;date-parts&quot;:[[2007,10,20]]},&quot;issue&quot;:&quot;7&quot;,&quot;volume&quot;:&quot;17&quot;},&quot;isTemporary&quot;:false},{&quot;id&quot;:&quot;35aa7428-8ca6-3ab6-b666-4e01dfae4a7d&quot;,&quot;itemData&quot;:{&quot;type&quot;:&quot;article-journal&quot;,&quot;id&quot;:&quot;35aa7428-8ca6-3ab6-b666-4e01dfae4a7d&quot;,&quot;title&quot;:&quot;Arbuscular mycorrhiza enhances the production of stevioside and rebaudioside-A in Stevia rebaudiana via nutritional and non-nutritional mechanisms&quot;,&quot;author&quot;:[{&quot;family&quot;:&quot;Mandal&quot;,&quot;given&quot;:&quot;Shantanu&quot;,&quot;parse-names&quot;:false,&quot;dropping-particle&quot;:&quot;&quot;,&quot;non-dropping-particle&quot;:&quot;&quot;},{&quot;family&quot;:&quot;Evelin&quot;,&quot;given&quot;:&quot;Heikham&quot;,&quot;parse-names&quot;:false,&quot;dropping-particle&quot;:&quot;&quot;,&quot;non-dropping-particle&quot;:&quot;&quot;},{&quot;family&quot;:&quot;Giri&quot;,&quot;given&quot;:&quot;Bhoopander&quot;,&quot;parse-names&quot;:false,&quot;dropping-particle&quot;:&quot;&quot;,&quot;non-dropping-particle&quot;:&quot;&quot;},{&quot;family&quot;:&quot;Singh&quot;,&quot;given&quot;:&quot;Ved Pal&quot;,&quot;parse-names&quot;:false,&quot;dropping-particle&quot;:&quot;&quot;,&quot;non-dropping-particle&quot;:&quot;&quot;},{&quot;family&quot;:&quot;Kapoor&quot;,&quot;given&quot;:&quot;Rupam&quot;,&quot;parse-names&quot;:false,&quot;dropping-particle&quot;:&quot;&quot;,&quot;non-dropping-particle&quot;:&quot;&quot;}],&quot;container-title&quot;:&quot;Applied Soil Ecology&quot;,&quot;DOI&quot;:&quot;10.1016/j.apsoil.2013.07.003&quot;,&quot;ISSN&quot;:&quot;09291393&quot;,&quot;issued&quot;:{&quot;date-parts&quot;:[[2013,10]]},&quot;volume&quot;:&quot;72&quot;},&quot;isTemporary&quot;:false},{&quot;id&quot;:&quot;a31442a3-7f3c-3588-8f01-1cb5bd22911e&quot;,&quot;itemData&quot;:{&quot;type&quot;:&quot;article-journal&quot;,&quot;id&quot;:&quot;a31442a3-7f3c-3588-8f01-1cb5bd22911e&quot;,&quot;title&quot;:&quot;Investigating physiological changes in the aerial parts of AM plants: what do we know and where should we be heading?&quot;,&quot;author&quot;:[{&quot;family&quot;:&quot;Toussaint&quot;,&quot;given&quot;:&quot;J.-P.&quot;,&quot;parse-names&quot;:false,&quot;dropping-particle&quot;:&quot;&quot;,&quot;non-dropping-particle&quot;:&quot;&quot;}],&quot;container-title&quot;:&quot;Mycorrhiza&quot;,&quot;DOI&quot;:&quot;10.1007/s00572-007-0133-6&quot;,&quot;ISSN&quot;:&quot;0940-6360&quot;,&quot;issued&quot;:{&quot;date-parts&quot;:[[2007,6,3]]},&quot;issue&quot;:&quot;4&quot;,&quot;volume&quot;:&quot;17&quot;},&quot;isTemporary&quot;:false},{&quot;id&quot;:&quot;90bd8e81-8beb-3c9c-83dc-ae9b1af7f531&quot;,&quot;itemData&quot;:{&quot;type&quot;:&quot;article-journal&quot;,&quot;id&quot;:&quot;90bd8e81-8beb-3c9c-83dc-ae9b1af7f531&quot;,&quot;title&quot;:&quot;Arbuscular mycorrhizal fungi can induce the production of phytochemicals in sweet basil irrespective of phosphorus nutrition&quot;,&quot;author&quot;:[{&quot;family&quot;:&quot;Toussaint&quot;,&quot;given&quot;:&quot;J. -P.&quot;,&quot;parse-names&quot;:false,&quot;dropping-particle&quot;:&quot;&quot;,&quot;non-dropping-particle&quot;:&quot;&quot;},{&quot;family&quot;:&quot;Smith&quot;,&quot;given&quot;:&quot;F. A.&quot;,&quot;parse-names&quot;:false,&quot;dropping-particle&quot;:&quot;&quot;,&quot;non-dropping-particle&quot;:&quot;&quot;},{&quot;family&quot;:&quot;Smith&quot;,&quot;given&quot;:&quot;S. E.&quot;,&quot;parse-names&quot;:false,&quot;dropping-particle&quot;:&quot;&quot;,&quot;non-dropping-particle&quot;:&quot;&quot;}],&quot;container-title&quot;:&quot;Mycorrhiza&quot;,&quot;DOI&quot;:&quot;10.1007/s00572-006-0104-3&quot;,&quot;ISSN&quot;:&quot;0940-6360&quot;,&quot;issued&quot;:{&quot;date-parts&quot;:[[2007,6,2]]},&quot;issue&quot;:&quot;4&quot;,&quot;volume&quot;:&quot;17&quot;},&quot;isTemporary&quot;:false},{&quot;id&quot;:&quot;6c77d034-d85a-355e-b65b-5e271ac7fcb1&quot;,&quot;itemData&quot;:{&quot;type&quot;:&quot;article-journal&quot;,&quot;id&quot;:&quot;6c77d034-d85a-355e-b65b-5e271ac7fcb1&quot;,&quot;title&quot;:&quot;Beneficial mycorrhizal symbionts affecting the production of health-promoting phytochemicals&quot;,&quot;author&quot;:[{&quot;family&quot;:&quot;Sbrana&quot;,&quot;given&quot;:&quot;Cristiana&quot;,&quot;parse-names&quot;:false,&quot;dropping-particle&quot;:&quot;&quot;,&quot;non-dropping-particle&quot;:&quot;&quot;},{&quot;family&quot;:&quot;Avio&quot;,&quot;given&quot;:&quot;Luciano&quot;,&quot;parse-names&quot;:false,&quot;dropping-particle&quot;:&quot;&quot;,&quot;non-dropping-particle&quot;:&quot;&quot;},{&quot;family&quot;:&quot;Giovannetti&quot;,&quot;given&quot;:&quot;Manuela&quot;,&quot;parse-names&quot;:false,&quot;dropping-particle&quot;:&quot;&quot;,&quot;non-dropping-particle&quot;:&quot;&quot;}],&quot;container-title&quot;:&quot;ELECTROPHORESIS&quot;,&quot;DOI&quot;:&quot;10.1002/elps.201300568&quot;,&quot;ISSN&quot;:&quot;01730835&quot;,&quot;issued&quot;:{&quot;date-parts&quot;:[[2014,6]]},&quot;issue&quot;:&quot;11&quot;,&quot;volume&quot;:&quot;35&quot;},&quot;isTemporary&quot;:false}],&quot;properties&quot;:{&quot;noteIndex&quot;:0},&quot;isEdited&quot;:false,&quot;manualOverride&quot;:{&quot;isManuallyOverridden&quot;:false,&quot;citeprocText&quot;:&quot;(Ceccarelli et al., 2010; Copetta et al., 2006; Fontana et al., 2009; Kapoor et al., 2007; Mandal et al., 2013; Sbrana et al., 2014; Toussaint, 2007; Toussaint et al., 2007)&quot;,&quot;manualOverrideText&quot;:&quot;&quot;},&quot;citationTag&quot;:&quot;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&quot;},{&quot;citationID&quot;:&quot;MENDELEY_CITATION_d99a46f4-5999-470f-9db9-5eea3f9581a1&quot;,&quot;citationItems&quot;:[{&quot;id&quot;:&quot;136ac026-df9a-35c3-bd25-59913724e0cc&quot;,&quot;itemData&quot;:{&quot;type&quot;:&quot;book&quot;,&quot;id&quot;:&quot;136ac026-df9a-35c3-bd25-59913724e0cc&quot;,&quot;title&quot;:&quot;Mycorrhizal Symbiosis&quot;,&quot;author&quot;:[{&quot;family&quot;:&quot;Smith&quot;,&quot;given&quot;:&quot;Sally&quot;,&quot;parse-names&quot;:false,&quot;dropping-particle&quot;:&quot;&quot;,&quot;non-dropping-particle&quot;:&quot;&quot;},{&quot;family&quot;:&quot;Read&quot;,&quot;given&quot;:&quot;David&quot;,&quot;parse-names&quot;:false,&quot;dropping-particle&quot;:&quot;&quot;,&quot;non-dropping-particle&quot;:&quot;&quot;}],&quot;container-title&quot;:&quot;Mycorrhizal Symbiosis&quot;,&quot;accessed&quot;:{&quot;date-parts&quot;:[[2021,3,15]]},&quot;DOI&quot;:&quot;10.1016/B978-0-12-370526-6.X5001-6&quot;,&quot;ISBN&quot;:&quot;9780123705266&quot;,&quot;issued&quot;:{&quot;date-parts&quot;:[[2008]]},&quot;abstract&quot;:&quot;The roots of most plants are colonized by symbiotic fungi to form mycorrhiza, which play a critical role in the capture of nutrients from the soil and therefore in plant nutrition. Mycorrhizal Symbiosis is recognized as the definitive work in this area. Since the last edition was published there have been major advances in the field, particularly in the area of molecular biology, and the new edition has been fully revised and updated to incorporate these exciting new developments. . Over 50% new material . Includes expanded color plate section . Covers all aspects of mycorrhiza . Presents new taxonomy . Discusses the impact of proteomics and genomics on research in this area. © 2008 Elsevier Ltd All rights reserved.&quot;,&quot;publisher&quot;:&quot;Elsevier Ltd&quot;},&quot;isTemporary&quot;:false},{&quot;id&quot;:&quot;64d6328b-1e2a-3032-85aa-525bcc88037d&quot;,&quot;itemData&quot;:{&quot;type&quot;:&quot;article&quot;,&quot;id&quot;:&quot;64d6328b-1e2a-3032-85aa-525bcc88037d&quot;,&quot;title&quot;:&quot;The extent of mycorrhizal colonization of roots and its influence on plant growth and phosphorus content&quot;,&quot;author&quot;:[{&quot;family&quot;:&quot;Treseder&quot;,&quot;given&quot;:&quot;Kathleen K.&quot;,&quot;parse-names&quot;:false,&quot;dropping-particle&quot;:&quot;&quot;,&quot;non-dropping-particle&quot;:&quot;&quot;}],&quot;container-title&quot;:&quot;Plant and Soil&quot;,&quot;DOI&quot;:&quot;10.1007/s11104-013-1681-5&quot;,&quot;ISSN&quot;:&quot;0032079X&quot;,&quot;issued&quot;:{&quot;date-parts&quot;:[[2013,10]]},&quot;page&quot;:&quot;1-13&quot;,&quot;abstract&quot;:&quot;Aims: The most common metric of arbuscular mycorrhizal fungal (AMF) abundance is percent root length colonized (PRLC) by mycorrhizal structures. Frequently, plants with greater PRLC are assumed to receive more nutrients (such as phosphorus, P) from their mycorrhizal symbionts, leading to greater plant growth. Nevertheless, the functional significance of this metric remains controversial. In this review, I discuss whether manipulations of PRLC generally led to changes in plant biomass and P content, and whether AMF taxa and plant functional groups influence these relationships. Methods: I conducted a meta-analysis of laboratory- and field-based trials in which mycorrhizal colonization was directly altered compared to unmanipulated controls. For each trial, I calculated (1) the difference in PRLC (ΔPRLC) between the treatments, and (2) the response ratio of plant biomass. In a subset of these studies, the response ratio of P content of host plants could also be calculated. Results: The response ratio of plant biomass and P content rose significantly and exponentially as ΔPRLC increased. Nevertheless, ΔPRLC explained only a fraction of the variation in response ratios in each case. Moreover, AMF taxa varied in their effects on biomass per unit ΔPRLC. In addition, plant functional groups differed in effects on plant P content per unit ΔPRLC, with C4 grasses responding most strongly. Conclusions: It appears that as the extent to which plant roots are colonized by AMF increases, plant growth and P content often increase, although substantial variability exists among trials. As others have found, a likely mechanism for this relationship is increased transfer of P (and perhaps other nutrients) through the more-prevalent mycorrhizal structures. © 2013 Springer Science+Business Media Dordrecht.&quot;,&quot;issue&quot;:&quot;1-2&quot;,&quot;volume&quot;:&quot;371&quot;},&quot;isTemporary&quot;:false}],&quot;properties&quot;:{&quot;noteIndex&quot;:0},&quot;isEdited&quot;:false,&quot;manualOverride&quot;:{&quot;isManuallyOverridden&quot;:true,&quot;citeprocText&quot;:&quot;(S. Smith &amp;#38; Read, 2008; Treseder, 2013b)&quot;,&quot;manualOverrideText&quot;:&quot;( Smith &amp; Read, 2008; Treseder, 2013)&quot;},&quot;citationTag&quot;:&quot;MENDELEY_CITATION_v3_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&quot;},{&quot;citationID&quot;:&quot;MENDELEY_CITATION_55d2c2bc-24b5-4371-9c5a-493fcc00d477&quot;,&quot;citationItems&quot;:[{&quot;id&quot;:&quot;a31442a3-7f3c-3588-8f01-1cb5bd22911e&quot;,&quot;itemData&quot;:{&quot;type&quot;:&quot;article-journal&quot;,&quot;id&quot;:&quot;a31442a3-7f3c-3588-8f01-1cb5bd22911e&quot;,&quot;title&quot;:&quot;Investigating physiological changes in the aerial parts of AM plants: what do we know and where should we be heading?&quot;,&quot;author&quot;:[{&quot;family&quot;:&quot;Toussaint&quot;,&quot;given&quot;:&quot;J.-P.&quot;,&quot;parse-names&quot;:false,&quot;dropping-particle&quot;:&quot;&quot;,&quot;non-dropping-particle&quot;:&quot;&quot;}],&quot;container-title&quot;:&quot;Mycorrhiza&quot;,&quot;DOI&quot;:&quot;10.1007/s00572-007-0133-6&quot;,&quot;ISSN&quot;:&quot;0940-6360&quot;,&quot;issued&quot;:{&quot;date-parts&quot;:[[2007,6,3]]},&quot;issue&quot;:&quot;4&quot;,&quot;volume&quot;:&quot;17&quot;},&quot;isTemporary&quot;:false}],&quot;properties&quot;:{&quot;noteIndex&quot;:0},&quot;isEdited&quot;:false,&quot;manualOverride&quot;:{&quot;isManuallyOverridden&quot;:false,&quot;citeprocText&quot;:&quot;(Toussaint, 2007)&quot;,&quot;manualOverrideText&quot;:&quot;&quot;},&quot;citationTag&quot;:&quot;MENDELEY_CITATION_v3_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&quot;},{&quot;citationID&quot;:&quot;MENDELEY_CITATION_e1bef9ed-df97-48a1-8353-95775caf3ed5&quot;,&quot;citationItems&quot;:[{&quot;id&quot;:&quot;136ac026-df9a-35c3-bd25-59913724e0cc&quot;,&quot;itemData&quot;:{&quot;type&quot;:&quot;book&quot;,&quot;id&quot;:&quot;136ac026-df9a-35c3-bd25-59913724e0cc&quot;,&quot;title&quot;:&quot;Mycorrhizal Symbiosis&quot;,&quot;author&quot;:[{&quot;family&quot;:&quot;Smith&quot;,&quot;given&quot;:&quot;Sally&quot;,&quot;parse-names&quot;:false,&quot;dropping-particle&quot;:&quot;&quot;,&quot;non-dropping-particle&quot;:&quot;&quot;},{&quot;family&quot;:&quot;Read&quot;,&quot;given&quot;:&quot;David&quot;,&quot;parse-names&quot;:false,&quot;dropping-particle&quot;:&quot;&quot;,&quot;non-dropping-particle&quot;:&quot;&quot;}],&quot;container-title&quot;:&quot;Mycorrhizal Symbiosis&quot;,&quot;accessed&quot;:{&quot;date-parts&quot;:[[2021,3,15]]},&quot;DOI&quot;:&quot;10.1016/B978-0-12-370526-6.X5001-6&quot;,&quot;ISBN&quot;:&quot;9780123705266&quot;,&quot;issued&quot;:{&quot;date-parts&quot;:[[2008]]},&quot;abstract&quot;:&quot;The roots of most plants are colonized by symbiotic fungi to form mycorrhiza, which play a critical role in the capture of nutrients from the soil and therefore in plant nutrition. Mycorrhizal Symbiosis is recognized as the definitive work in this area. Since the last edition was published there have been major advances in the field, particularly in the area of molecular biology, and the new edition has been fully revised and updated to incorporate these exciting new developments. . Over 50% new material . Includes expanded color plate section . Covers all aspects of mycorrhiza . Presents new taxonomy . Discusses the impact of proteomics and genomics on research in this area. © 2008 Elsevier Ltd All rights reserved.&quot;,&quot;publisher&quot;:&quot;Elsevier Ltd&quot;},&quot;isTemporary&quot;:false}],&quot;properties&quot;:{&quot;noteIndex&quot;:0},&quot;isEdited&quot;:false,&quot;manualOverride&quot;:{&quot;isManuallyOverridden&quot;:true,&quot;citeprocText&quot;:&quot;(S. Smith &amp;#38; Read, 2008)&quot;,&quot;manualOverrideText&quot;:&quot;( Smith &amp; Read, 2008)&quot;},&quot;citationTag&quot;:&quot;MENDELEY_CITATION_v3_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&quot;},{&quot;citationID&quot;:&quot;MENDELEY_CITATION_fd53478b-ec6c-48d5-aab9-f09d7e91929f&quot;,&quot;citationItems&quot;:[{&quot;id&quot;:&quot;cb401d47-e937-35b6-a03c-6b5e4b77f031&quot;,&quot;itemData&quot;:{&quot;type&quot;:&quot;article-journal&quot;,&quot;id&quot;:&quot;cb401d47-e937-35b6-a03c-6b5e4b77f031&quot;,&quot;title&quot;:&quot;The Effects of Arbuscular Mycorrhizal Fungi on Direct and Indirect Defense Metabolites of Plantago lanceolata L.&quot;,&quot;author&quot;:[{&quot;family&quot;:&quot;Fontana&quot;,&quot;given&quot;:&quot;Anna&quot;,&quot;parse-names&quot;:false,&quot;dropping-particle&quot;:&quot;&quot;,&quot;non-dropping-particle&quot;:&quot;&quot;},{&quot;family&quot;:&quot;Reichelt&quot;,&quot;given&quot;:&quot;Michael&quot;,&quot;parse-names&quot;:false,&quot;dropping-particle&quot;:&quot;&quot;,&quot;non-dropping-particle&quot;:&quot;&quot;},{&quot;family&quot;:&quot;Hempel&quot;,&quot;given&quot;:&quot;Stefan&quot;,&quot;parse-names&quot;:false,&quot;dropping-particle&quot;:&quot;&quot;,&quot;non-dropping-particle&quot;:&quot;&quot;},{&quot;family&quot;:&quot;Gershenzon&quot;,&quot;given&quot;:&quot;Jonathan&quot;,&quot;parse-names&quot;:false,&quot;dropping-particle&quot;:&quot;&quot;,&quot;non-dropping-particle&quot;:&quot;&quot;},{&quot;family&quot;:&quot;Unsicker&quot;,&quot;given&quot;:&quot;Sybille B.&quot;,&quot;parse-names&quot;:false,&quot;dropping-particle&quot;:&quot;&quot;,&quot;non-dropping-particle&quot;:&quot;&quot;}],&quot;container-title&quot;:&quot;Journal of Chemical Ecology&quot;,&quot;DOI&quot;:&quot;10.1007/s10886-009-9654-0&quot;,&quot;ISSN&quot;:&quot;0098-0331&quot;,&quot;issued&quot;:{&quot;date-parts&quot;:[[2009,7,2]]},&quot;issue&quot;:&quot;7&quot;,&quot;volume&quot;:&quot;35&quot;},&quot;isTemporary&quot;:false}],&quot;properties&quot;:{&quot;noteIndex&quot;:0},&quot;isEdited&quot;:false,&quot;manualOverride&quot;:{&quot;isManuallyOverridden&quot;:true,&quot;citeprocText&quot;:&quot;(Fontana et al., 2009)&quot;,&quot;manualOverrideText&quot;:&quot;(Fontana et al., 2009).&quot;},&quot;citationTag&quot;:&quot;MENDELEY_CITATION_v3_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&quot;},{&quot;citationID&quot;:&quot;MENDELEY_CITATION_18e76e9b-67e3-415c-af9f-90842af6448d&quot;,&quot;citationItems&quot;:[{&quot;id&quot;:&quot;9030a6a7-6dc3-33ba-aa4b-96b36e420084&quot;,&quot;itemData&quot;:{&quot;type&quot;:&quot;article-journal&quot;,&quot;id&quot;:&quot;9030a6a7-6dc3-33ba-aa4b-96b36e420084&quot;,&quot;title&quot;:&quot;Enhanced concentrations of elements and secondary metabolites in Viola tricolor L. induced by arbuscular mycorrhizal fungi&quot;,&quot;author&quot;:[{&quot;family&quot;:&quot;Zubek&quot;,&quot;given&quot;:&quot;Szymon&quot;,&quot;parse-names&quot;:false,&quot;dropping-particle&quot;:&quot;&quot;,&quot;non-dropping-particle&quot;:&quot;&quot;},{&quot;family&quot;:&quot;Rola&quot;,&quot;given&quot;:&quot;Kaja&quot;,&quot;parse-names&quot;:false,&quot;dropping-particle&quot;:&quot;&quot;,&quot;non-dropping-particle&quot;:&quot;&quot;},{&quot;family&quot;:&quot;Szewczyk&quot;,&quot;given&quot;:&quot;Agnieszka&quot;,&quot;parse-names&quot;:false,&quot;dropping-particle&quot;:&quot;&quot;,&quot;non-dropping-particle&quot;:&quot;&quot;},{&quot;family&quot;:&quot;Majewska&quot;,&quot;given&quot;:&quot;Marta L.&quot;,&quot;parse-names&quot;:false,&quot;dropping-particle&quot;:&quot;&quot;,&quot;non-dropping-particle&quot;:&quot;&quot;},{&quot;family&quot;:&quot;Turnau&quot;,&quot;given&quot;:&quot;Katarzyna&quot;,&quot;parse-names&quot;:false,&quot;dropping-particle&quot;:&quot;&quot;,&quot;non-dropping-particle&quot;:&quot;&quot;}],&quot;container-title&quot;:&quot;Plant and Soil&quot;,&quot;DOI&quot;:&quot;10.1007/s11104-015-2388-6&quot;,&quot;ISSN&quot;:&quot;15735036&quot;,&quot;issued&quot;:{&quot;date-parts&quot;:[[2015,5,1]]},&quot;page&quot;:&quot;129-142&quot;,&quot;abstract&quot;:&quot;Background and Aims: Viola tricolor L. (heartsease, wild pansy) is a valuable medicinal plant obtained for pharmaceutical purposes by cultivation. Given that the species is usually strongly colonized by arbuscular mycorrhizal fungi (AMF), we tested in a pot experiment whether these microorganisms were able to influence V. tricolor mass, vitality, and the concentrations of selected elements, phenolic acids and flavonoids.\nMethods: The following treatments were prepared: (1) control: sterile soil without AMF inoculation; (2) Rhizophagus irregularis BEG144; (3) Funneliformis mosseae BEG12; and (4) both isolates. Using a combination of physiological, phytochemical and biophysical methods, we evaluated the effects of these AMF on the performance of heartsease.\nResults: The intensity of mycorrhizal colonization and arbuscule formation was higher when F. mosseae and R. irregularis were introduced separately than when both isolates were present. None of the AMF treatments had an impact either on V. tricolor vitality as expressed by photosynthetic performance index (PI) or on its shoot and root mass. However, in general, a negative correlation was found between the extent of mycorrhizal colonization and shoot mass. We found AMF species specificities in their influence on element, phenolic acid and flavonoid concentrations. Viola tricolor showed no response to F. mosseae. The plants inoculated with R. irregularis had higher concentrations of P, Zn, Mg, and Ca, as well as p-hydroxybenzoic acid and rutin, in comparison to control. Dual AMF species inoculation increased concentrations of Cu, Mg and rutin.\nConclusions: The enhanced production of secondary metabolites in V. tricolor shoots may be due to improved mineral nutrition by AMF and/or a result of general plant defense reaction to fungal colonization. The tendency towards biomass decrease in AMF treatments could be explained by the allocation of plant carbon both to the maintenance of symbionts and enhanced production of secondary compounds.&quot;,&quot;publisher&quot;:&quot;Kluwer Academic Publishers&quot;,&quot;issue&quot;:&quot;1-2&quot;,&quot;volume&quot;:&quot;390&quot;},&quot;isTemporary&quot;:false}],&quot;properties&quot;:{&quot;noteIndex&quot;:0},&quot;isEdited&quot;:false,&quot;manualOverride&quot;:{&quot;isManuallyOverridden&quot;:true,&quot;citeprocText&quot;:&quot;(Zubek et al., 2015)&quot;,&quot;manualOverrideText&quot;:&quot;(Zubek et al., 2015).&quot;},&quot;citationTag&quot;:&quot;MENDELEY_CITATION_v3_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&quot;},{&quot;citationID&quot;:&quot;MENDELEY_CITATION_284370e4-4f97-4526-93c2-947533f9351d&quot;,&quot;citationItems&quot;:[{&quot;id&quot;:&quot;cb401d47-e937-35b6-a03c-6b5e4b77f031&quot;,&quot;itemData&quot;:{&quot;type&quot;:&quot;article-journal&quot;,&quot;id&quot;:&quot;cb401d47-e937-35b6-a03c-6b5e4b77f031&quot;,&quot;title&quot;:&quot;The Effects of Arbuscular Mycorrhizal Fungi on Direct and Indirect Defense Metabolites of Plantago lanceolata L.&quot;,&quot;author&quot;:[{&quot;family&quot;:&quot;Fontana&quot;,&quot;given&quot;:&quot;Anna&quot;,&quot;parse-names&quot;:false,&quot;dropping-particle&quot;:&quot;&quot;,&quot;non-dropping-particle&quot;:&quot;&quot;},{&quot;family&quot;:&quot;Reichelt&quot;,&quot;given&quot;:&quot;Michael&quot;,&quot;parse-names&quot;:false,&quot;dropping-particle&quot;:&quot;&quot;,&quot;non-dropping-particle&quot;:&quot;&quot;},{&quot;family&quot;:&quot;Hempel&quot;,&quot;given&quot;:&quot;Stefan&quot;,&quot;parse-names&quot;:false,&quot;dropping-particle&quot;:&quot;&quot;,&quot;non-dropping-particle&quot;:&quot;&quot;},{&quot;family&quot;:&quot;Gershenzon&quot;,&quot;given&quot;:&quot;Jonathan&quot;,&quot;parse-names&quot;:false,&quot;dropping-particle&quot;:&quot;&quot;,&quot;non-dropping-particle&quot;:&quot;&quot;},{&quot;family&quot;:&quot;Unsicker&quot;,&quot;given&quot;:&quot;Sybille B.&quot;,&quot;parse-names&quot;:false,&quot;dropping-particle&quot;:&quot;&quot;,&quot;non-dropping-particle&quot;:&quot;&quot;}],&quot;container-title&quot;:&quot;Journal of Chemical Ecology&quot;,&quot;DOI&quot;:&quot;10.1007/s10886-009-9654-0&quot;,&quot;ISSN&quot;:&quot;0098-0331&quot;,&quot;issued&quot;:{&quot;date-parts&quot;:[[2009,7,2]]},&quot;issue&quot;:&quot;7&quot;,&quot;volume&quot;:&quot;35&quot;},&quot;isTemporary&quot;:false}],&quot;properties&quot;:{&quot;noteIndex&quot;:0},&quot;isEdited&quot;:false,&quot;manualOverride&quot;:{&quot;isManuallyOverridden&quot;:true,&quot;citeprocText&quot;:&quot;(Fontana et al., 2009)&quot;,&quot;manualOverrideText&quot;:&quot;(Fontana et al., 2009).&quot;},&quot;citationTag&quot;:&quot;MENDELEY_CITATION_v3_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&quot;},{&quot;citationID&quot;:&quot;MENDELEY_CITATION_fae82360-a12d-42e2-8705-ec85a0029153&quot;,&quot;citationItems&quot;:[{&quot;id&quot;:&quot;5f46752d-f4fb-33c2-ae7d-29e6853c06bf&quot;,&quot;itemData&quot;:{&quot;type&quot;:&quot;article-journal&quot;,&quot;id&quot;:&quot;5f46752d-f4fb-33c2-ae7d-29e6853c06bf&quot;,&quot;title&quot;:&quot;A Vesicular Arbuscular Mycorrhizal Fungus (Glomus intraradix) Induces a Defense Response in Alfalfa Roots&quot;,&quot;author&quot;:[{&quot;family&quot;:&quot;Volpin&quot;,&quot;given&quot;:&quot;H.&quot;,&quot;parse-names&quot;:false,&quot;dropping-particle&quot;:&quot;&quot;,&quot;non-dropping-particle&quot;:&quot;&quot;},{&quot;family&quot;:&quot;Elkind&quot;,&quot;given&quot;:&quot;Y.&quot;,&quot;parse-names&quot;:false,&quot;dropping-particle&quot;:&quot;&quot;,&quot;non-dropping-particle&quot;:&quot;&quot;},{&quot;family&quot;:&quot;Okon&quot;,&quot;given&quot;:&quot;Y.&quot;,&quot;parse-names&quot;:false,&quot;dropping-particle&quot;:&quot;&quot;,&quot;non-dropping-particle&quot;:&quot;&quot;},{&quot;family&quot;:&quot;Kapulnik&quot;,&quot;given&quot;:&quot;Y.&quot;,&quot;parse-names&quot;:false,&quot;dropping-particle&quot;:&quot;&quot;,&quot;non-dropping-particle&quot;:&quot;&quot;}],&quot;container-title&quot;:&quot;Plant Physiology&quot;,&quot;DOI&quot;:&quot;10.1104/pp.104.2.683&quot;,&quot;ISSN&quot;:&quot;0032-0889&quot;,&quot;issued&quot;:{&quot;date-parts&quot;:[[1994,2,1]]},&quot;issue&quot;:&quot;2&quot;,&quot;volume&quot;:&quot;104&quot;},&quot;isTemporary&quot;:false},{&quot;id&quot;:&quot;cb401d47-e937-35b6-a03c-6b5e4b77f031&quot;,&quot;itemData&quot;:{&quot;type&quot;:&quot;article-journal&quot;,&quot;id&quot;:&quot;cb401d47-e937-35b6-a03c-6b5e4b77f031&quot;,&quot;title&quot;:&quot;The Effects of Arbuscular Mycorrhizal Fungi on Direct and Indirect Defense Metabolites of Plantago lanceolata L.&quot;,&quot;author&quot;:[{&quot;family&quot;:&quot;Fontana&quot;,&quot;given&quot;:&quot;Anna&quot;,&quot;parse-names&quot;:false,&quot;dropping-particle&quot;:&quot;&quot;,&quot;non-dropping-particle&quot;:&quot;&quot;},{&quot;family&quot;:&quot;Reichelt&quot;,&quot;given&quot;:&quot;Michael&quot;,&quot;parse-names&quot;:false,&quot;dropping-particle&quot;:&quot;&quot;,&quot;non-dropping-particle&quot;:&quot;&quot;},{&quot;family&quot;:&quot;Hempel&quot;,&quot;given&quot;:&quot;Stefan&quot;,&quot;parse-names&quot;:false,&quot;dropping-particle&quot;:&quot;&quot;,&quot;non-dropping-particle&quot;:&quot;&quot;},{&quot;family&quot;:&quot;Gershenzon&quot;,&quot;given&quot;:&quot;Jonathan&quot;,&quot;parse-names&quot;:false,&quot;dropping-particle&quot;:&quot;&quot;,&quot;non-dropping-particle&quot;:&quot;&quot;},{&quot;family&quot;:&quot;Unsicker&quot;,&quot;given&quot;:&quot;Sybille B.&quot;,&quot;parse-names&quot;:false,&quot;dropping-particle&quot;:&quot;&quot;,&quot;non-dropping-particle&quot;:&quot;&quot;}],&quot;container-title&quot;:&quot;Journal of Chemical Ecology&quot;,&quot;DOI&quot;:&quot;10.1007/s10886-009-9654-0&quot;,&quot;ISSN&quot;:&quot;0098-0331&quot;,&quot;issued&quot;:{&quot;date-parts&quot;:[[2009,7,2]]},&quot;issue&quot;:&quot;7&quot;,&quot;volume&quot;:&quot;35&quot;},&quot;isTemporary&quot;:false},{&quot;id&quot;:&quot;402726f9-f48f-368e-8832-195272197c62&quot;,&quot;itemData&quot;:{&quot;type&quot;:&quot;article&quot;,&quot;id&quot;:&quot;402726f9-f48f-368e-8832-195272197c62&quot;,&quot;title&quot;:&quot;Mycorrhiza-induced resistance: More than the sum of its parts?&quot;,&quot;author&quot;:[{&quot;family&quot;:&quot;Cameron&quot;,&quot;given&quot;:&quot;Duncan D.&quot;,&quot;parse-names&quot;:false,&quot;dropping-particle&quot;:&quot;&quot;,&quot;non-dropping-particle&quot;:&quot;&quot;},{&quot;family&quot;:&quot;Neal&quot;,&quot;given&quot;:&quot;Andrew L.&quot;,&quot;parse-names&quot;:false,&quot;dropping-particle&quot;:&quot;&quot;,&quot;non-dropping-particle&quot;:&quot;&quot;},{&quot;family&quot;:&quot;Wees&quot;,&quot;given&quot;:&quot;Saskia C.M.&quot;,&quot;parse-names&quot;:false,&quot;dropping-particle&quot;:&quot;&quot;,&quot;non-dropping-particle&quot;:&quot;van&quot;},{&quot;family&quot;:&quot;Ton&quot;,&quot;given&quot;:&quot;Jurriaan&quot;,&quot;parse-names&quot;:false,&quot;dropping-particle&quot;:&quot;&quot;,&quot;non-dropping-particle&quot;:&quot;&quot;}],&quot;container-title&quot;:&quot;Trends in Plant Science&quot;,&quot;DOI&quot;:&quot;10.1016/j.tplants.2013.06.004&quot;,&quot;ISSN&quot;:&quot;13601385&quot;,&quot;PMID&quot;:&quot;23871659&quot;,&quot;issued&quot;:{&quot;date-parts&quot;:[[2013,10]]},&quot;page&quot;:&quot;539-545&quot;,&quot;abstract&quot;:&quot;Plants can develop an enhanced defensive capacity in response to infection by arbuscular mycorrhizal fungi (AMF). This 'mycorrhiza-induced resistance' (MIR) provides systemic protection against a wide range of attackers and shares characteristics with systemic acquired resistance (SAR) after pathogen infection and induced systemic resistance (ISR) following root colonisation by non-pathogenic rhizobacteria. It is commonly assumed that fungal stimulation of the plant immune system is solely responsible for MIR. In this opinion article, we present a novel model of MIR that integrates different aspects of the induced resistance phenomenon. We propose that MIR is a cumulative effect of direct plant responses to mycorrhizal infection and indirect immune responses to ISR-eliciting rhizobacteria in the mycorrhizosphere. © 2013.&quot;,&quot;issue&quot;:&quot;10&quot;,&quot;volume&quot;:&quot;18&quot;},&quot;isTemporary&quot;:false}],&quot;properties&quot;:{&quot;noteIndex&quot;:0},&quot;isEdited&quot;:false,&quot;manualOverride&quot;:{&quot;isManuallyOverridden&quot;:false,&quot;citeprocText&quot;:&quot;(Cameron et al., 2013a; Fontana et al., 2009; Volpin et al., 1994)&quot;,&quot;manualOverrideText&quot;:&quot;&quot;},&quot;citationTag&quot;:&quot;MENDELEY_CITATION_v3_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&quot;},{&quot;citationID&quot;:&quot;MENDELEY_CITATION_d227513b-cb6e-406b-8aee-d0e418796b42&quot;,&quot;citationItems&quot;:[{&quot;id&quot;:&quot;1c197995-8434-3c50-b8d6-5c26dec03d05&quot;,&quot;itemData&quot;:{&quot;type&quot;:&quot;article-journal&quot;,&quot;id&quot;:&quot;1c197995-8434-3c50-b8d6-5c26dec03d05&quot;,&quot;title&quot;:&quot;Induction of Ltp (lipid transfer protein) and Pal (phenylalanine ammonia‐lyase) gene expression in rice roots colonized by the arbuscular mycorrhizal fungus Glomus mosseae&quot;,&quot;author&quot;:[{&quot;family&quot;:&quot;Blilou&quot;,&quot;given&quot;:&quot;Ikram&quot;,&quot;parse-names&quot;:false,&quot;dropping-particle&quot;:&quot;&quot;,&quot;non-dropping-particle&quot;:&quot;&quot;},{&quot;family&quot;:&quot;Ocampo&quot;,&quot;given&quot;:&quot;Juan A.&quot;,&quot;parse-names&quot;:false,&quot;dropping-particle&quot;:&quot;&quot;,&quot;non-dropping-particle&quot;:&quot;&quot;},{&quot;family&quot;:&quot;García‐Garrido&quot;,&quot;given&quot;:&quot;José M.&quot;,&quot;parse-names&quot;:false,&quot;dropping-particle&quot;:&quot;&quot;,&quot;non-dropping-particle&quot;:&quot;&quot;}],&quot;container-title&quot;:&quot;Journal of Experimental Botany&quot;,&quot;DOI&quot;:&quot;10.1093/jexbot/51.353.1969&quot;,&quot;ISSN&quot;:&quot;1460-2431&quot;,&quot;issued&quot;:{&quot;date-parts&quot;:[[2000,12]]},&quot;issue&quot;:&quot;353&quot;,&quot;volume&quot;:&quot;51&quot;},&quot;isTemporary&quot;:false},{&quot;id&quot;:&quot;f8a447a7-6acd-3200-9b51-117feb7bd9e9&quot;,&quot;itemData&quot;:{&quot;type&quot;:&quot;article-journal&quot;,&quot;id&quot;:&quot;f8a447a7-6acd-3200-9b51-117feb7bd9e9&quot;,&quot;title&quot;:&quot;Arbuscular mycorrhiza in mini-mycorrhizotrons: first contact of &lt;i&gt;Medicago truncatula&lt;/i&gt; roots with &lt;i&gt;Glomus intraradices&lt;/i&gt; induces chalcone synthase&quot;,&quot;author&quot;:[{&quot;family&quot;:&quot;Bonanomi&quot;,&quot;given&quot;:&quot;Athos&quot;,&quot;parse-names&quot;:false,&quot;dropping-particle&quot;:&quot;&quot;,&quot;non-dropping-particle&quot;:&quot;&quot;},{&quot;family&quot;:&quot;Oetiker&quot;,&quot;given&quot;:&quot;Jürg H.&quot;,&quot;parse-names&quot;:false,&quot;dropping-particle&quot;:&quot;&quot;,&quot;non-dropping-particle&quot;:&quot;&quot;},{&quot;family&quot;:&quot;Guggenheim&quot;,&quot;given&quot;:&quot;Richard&quot;,&quot;parse-names&quot;:false,&quot;dropping-particle&quot;:&quot;&quot;,&quot;non-dropping-particle&quot;:&quot;&quot;},{&quot;family&quot;:&quot;Boller&quot;,&quot;given&quot;:&quot;Thomas&quot;,&quot;parse-names&quot;:false,&quot;dropping-particle&quot;:&quot;&quot;,&quot;non-dropping-particle&quot;:&quot;&quot;},{&quot;family&quot;:&quot;Wiemken&quot;,&quot;given&quot;:&quot;Andres&quot;,&quot;parse-names&quot;:false,&quot;dropping-particle&quot;:&quot;&quot;,&quot;non-dropping-particle&quot;:&quot;&quot;},{&quot;family&quot;:&quot;Vögeli-Lange&quot;,&quot;given&quot;:&quot;Regina&quot;,&quot;parse-names&quot;:false,&quot;dropping-particle&quot;:&quot;&quot;,&quot;non-dropping-particle&quot;:&quot;&quot;}],&quot;container-title&quot;:&quot;New Phytologist&quot;,&quot;DOI&quot;:&quot;10.1046/j.1469-8137.2001.00135.x&quot;,&quot;ISSN&quot;:&quot;0028646X&quot;,&quot;issued&quot;:{&quot;date-parts&quot;:[[2001,6]]},&quot;issue&quot;:&quot;3&quot;,&quot;volume&quot;:&quot;150&quot;},&quot;isTemporary&quot;:false}],&quot;properties&quot;:{&quot;noteIndex&quot;:0},&quot;isEdited&quot;:false,&quot;manualOverride&quot;:{&quot;isManuallyOverridden&quot;:false,&quot;citeprocText&quot;:&quot;(Blilou et al., 2000; Bonanomi et al., 2001)&quot;,&quot;manualOverrideText&quot;:&quot;&quot;},&quot;citationTag&quot;:&quot;MENDELEY_CITATION_v3_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&quot;},{&quot;citationID&quot;:&quot;MENDELEY_CITATION_1c422d63-93a5-4216-aa19-3dad61870b32&quot;,&quot;citationItems&quot;:[{&quot;id&quot;:&quot;a2df7f69-1636-3472-bf5e-74d94fc9522d&quot;,&quot;itemData&quot;:{&quot;type&quot;:&quot;article-journal&quot;,&quot;id&quot;:&quot;a2df7f69-1636-3472-bf5e-74d94fc9522d&quot;,&quot;title&quot;:&quot;A modern view of phenylalanine ammonia lyase&quot;,&quot;author&quot;:[{&quot;family&quot;:&quot;MacDonald&quot;,&quot;given&quot;:&quot;M. Jason&quot;,&quot;parse-names&quot;:false,&quot;dropping-particle&quot;:&quot;&quot;,&quot;non-dropping-particle&quot;:&quot;&quot;},{&quot;family&quot;:&quot;D’Cunha&quot;,&quot;given&quot;:&quot;Godwin B.&quot;,&quot;parse-names&quot;:false,&quot;dropping-particle&quot;:&quot;&quot;,&quot;non-dropping-particle&quot;:&quot;&quot;}],&quot;container-title&quot;:&quot;Biochemistry and Cell Biology&quot;,&quot;DOI&quot;:&quot;10.1139/O07-018&quot;,&quot;ISSN&quot;:&quot;0829-8211&quot;,&quot;issued&quot;:{&quot;date-parts&quot;:[[2007,6]]},&quot;abstract&quot;:&quot;&lt;p&gt;Phenylalanine ammonia lyase (PAL; E.C.4.3.1.5), which catalyses the biotransformation of l-phenylalanine to trans-cinnamic acid and ammonia, was first described in 1961 by Koukol and Conn. Since its discovery, much knowledge has been gathered with reference to the enzyme’s catabolic role in microorganisms and its importance in the phenyl propanoid pathway of plants. The 3-dimensional structure of the enzyme has been characterized using X-ray crystallography. This has led to a greater understanding of the mechanism of PAL-catalyzed reactions, including the discovery of a recently described cofactor, 3,5-dihydro-5-methyldiene-4H-imidazol-4-one. In the past 3 decades, PAL has gained considerable significance in several clinical, industrial, and biotechnological applications. The reversal of the normal physiological reaction can be effectively employed in the production of optically pure l-phenylalanine, which is a precursor of the noncalorific sweetener aspartame (l-phenylalanyl-l-aspartyl methyl ester). The enzyme’s natural ability to break down l-phenylalanine makes PAL a reliable treatment for the genetic condition phenylketonuria. In this mini-review, we discuss prominent details relating to the physiological role of PAL, the mechanism of catalysis, methods of determination and purification, enzyme kinetics, and enzyme activity in nonaqueous media. Two topics of current study on PAL, molecular biology and crystal structure, are also discussed.&lt;/p&gt;&quot;,&quot;issue&quot;:&quot;3&quot;,&quot;volume&quot;:&quot;85&quot;},&quot;isTemporary&quot;:false}],&quot;properties&quot;:{&quot;noteIndex&quot;:0},&quot;isEdited&quot;:false,&quot;manualOverride&quot;:{&quot;isManuallyOverridden&quot;:false,&quot;citeprocText&quot;:&quot;(MacDonald &amp;#38; D’Cunha, 2007)&quot;,&quot;manualOverrideText&quot;:&quot;&quot;},&quot;citationTag&quot;:&quot;MENDELEY_CITATION_v3_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&quot;},{&quot;citationID&quot;:&quot;MENDELEY_CITATION_bd73e15d-e5ef-459d-baea-0530faf3505d&quot;,&quot;citationItems&quot;:[{&quot;id&quot;:&quot;5447e2ca-c636-31e1-a037-e04a4e19b75d&quot;,&quot;itemData&quot;:{&quot;type&quot;:&quot;article-journal&quot;,&quot;id&quot;:&quot;5447e2ca-c636-31e1-a037-e04a4e19b75d&quot;,&quot;title&quot;:&quot;The chalcone synthase superfamily of type III polyketide synthases&quot;,&quot;author&quot;:[{&quot;family&quot;:&quot;Austin&quot;,&quot;given&quot;:&quot;Michael B.&quot;,&quot;parse-names&quot;:false,&quot;dropping-particle&quot;:&quot;&quot;,&quot;non-dropping-particle&quot;:&quot;&quot;},{&quot;family&quot;:&quot;Noel&quot;,&quot;given&quot;:&quot;Joseph P.&quot;,&quot;parse-names&quot;:false,&quot;dropping-particle&quot;:&quot;&quot;,&quot;non-dropping-particle&quot;:&quot;&quot;}],&quot;container-title&quot;:&quot;Natural Product Reports&quot;,&quot;DOI&quot;:&quot;10.1039/b100917f&quot;,&quot;ISSN&quot;:&quot;02650568&quot;,&quot;issued&quot;:{&quot;date-parts&quot;:[[2003,1,21]]},&quot;issue&quot;:&quot;1&quot;,&quot;volume&quot;:&quot;20&quot;},&quot;isTemporary&quot;:false}],&quot;properties&quot;:{&quot;noteIndex&quot;:0},&quot;isEdited&quot;:false,&quot;manualOverride&quot;:{&quot;isManuallyOverridden&quot;:true,&quot;citeprocText&quot;:&quot;(Austin &amp;#38; Noel, 2003)&quot;,&quot;manualOverrideText&quot;:&quot;(Austin &amp; Noel, 2003).&quot;},&quot;citationTag&quot;:&quot;MENDELEY_CITATION_v3_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&quot;},{&quot;citationID&quot;:&quot;MENDELEY_CITATION_de9d99d8-89c0-4e3f-8299-4279964b13a2&quot;,&quot;citationItems&quot;:[{&quot;id&quot;:&quot;157e545b-3472-3b26-93f7-3b60e5a4763b&quot;,&quot;itemData&quot;:{&quot;type&quot;:&quot;article&quot;,&quot;id&quot;:&quot;157e545b-3472-3b26-93f7-3b60e5a4763b&quot;,&quot;title&quot;:&quot;Plant secondary metabolite biosynthesis and transcriptional regulation in response to biotic and abiotic stress conditions&quot;,&quot;author&quot;:[{&quot;family&quot;:&quot;Jan&quot;,&quot;given&quot;:&quot;Rahmatullah&quot;,&quot;parse-names&quot;:false,&quot;dropping-particle&quot;:&quot;&quot;,&quot;non-dropping-particle&quot;:&quot;&quot;},{&quot;family&quot;:&quot;Asaf&quot;,&quot;given&quot;:&quot;Sajjad&quot;,&quot;parse-names&quot;:false,&quot;dropping-particle&quot;:&quot;&quot;,&quot;non-dropping-particle&quot;:&quot;&quot;},{&quot;family&quot;:&quot;Numan&quot;,&quot;given&quot;:&quot;Muhammad&quot;,&quot;parse-names&quot;:false,&quot;dropping-particle&quot;:&quot;&quot;,&quot;non-dropping-particle&quot;:&quot;&quot;},{&quot;family&quot;:&quot;Lubna&quot;,&quot;given&quot;:&quot;&quot;,&quot;parse-names&quot;:false,&quot;dropping-particle&quot;:&quot;&quot;,&quot;non-dropping-particle&quot;:&quot;&quot;},{&quot;family&quot;:&quot;Kim&quot;,&quot;given&quot;:&quot;Kyung Min&quot;,&quot;parse-names&quot;:false,&quot;dropping-particle&quot;:&quot;&quot;,&quot;non-dropping-particle&quot;:&quot;&quot;}],&quot;container-title&quot;:&quot;Agronomy&quot;,&quot;DOI&quot;:&quot;10.3390/agronomy11050968&quot;,&quot;ISSN&quot;:&quot;20734395&quot;,&quot;issued&quot;:{&quot;date-parts&quot;:[[2021]]},&quot;abstract&quot;:&quot;Plant secondary metabolites (SMs) play important roles in plant survival and in creating ecological connections between other species. In addition to providing a variety of valuable natural products, secondary metabolites help protect plants against pathogenic attacks and environmental stresses. Given their sessile nature, plants must protect themselves from such situations through accumulation of these bioactive compounds. Indeed, secondary metabolites act as herbivore deterrents, barriers against pathogen invasion, and mitigators of oxidative stress. The accumulation of SMs are highly dependent on environmental factors such as light, temperature, soil water, soil fertility, and salinity. For most plants, a change in an individual environmental factor can alter the content of secondary metabolites even if other factors remain constant. In this review, we focus on how individual environmental factors affect the accumulation of secondary metabolites in plants during both biotic and abiotic stress conditions. Furthermore, we discuss the application of abiotic and biotic elicitors in culture systems as well as their stimulating effects on the accumulation of secondary metabolites. Specifically, we discuss the shikimate pathway and the aromatic amino acids produced in this pathway, which are the precursors of a range of secondary metabolites including terpenoids, alkaloids, and sulfur-and nitrogen-containing compounds. We also detail how the biosynthesis of important metabolites is altered by several genes related to secondary metabolite biosynthesis pathways. Genes responsible for secondary metabolite biosynthesis in various plant species during stress conditions are regulated by transcriptional factors such as WRKY, MYB, AP2/ERF, bZIP, bHLH, and NAC, which are also discussed here.&quot;,&quot;publisher&quot;:&quot;MDPI AG&quot;,&quot;issue&quot;:&quot;5&quot;,&quot;volume&quot;:&quot;11&quot;},&quot;isTemporary&quot;:false}],&quot;properties&quot;:{&quot;noteIndex&quot;:0},&quot;isEdited&quot;:false,&quot;manualOverride&quot;:{&quot;isManuallyOverridden&quot;:false,&quot;citeprocText&quot;:&quot;(Jan et al., 2021)&quot;,&quot;manualOverrideText&quot;:&quot;&quot;},&quot;citationTag&quot;:&quot;MENDELEY_CITATION_v3_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&quot;},{&quot;citationID&quot;:&quot;MENDELEY_CITATION_e6f2d5bc-f6a7-4cf7-b9e4-a8ed5a1375f5&quot;,&quot;citationItems&quot;:[{&quot;id&quot;:&quot;55bef776-24e0-3445-9b6c-e5503defebc3&quot;,&quot;itemData&quot;:{&quot;type&quot;:&quot;article-journal&quot;,&quot;id&quot;:&quot;55bef776-24e0-3445-9b6c-e5503defebc3&quot;,&quot;title&quot;:&quot;Metabolomic analysis reveals a common pattern of metabolic re-programming during invasion of three host plant species by &lt;i&gt;Magnaporthe grisea&lt;/i&gt;&quot;,&quot;author&quot;:[{&quot;family&quot;:&quot;Parker&quot;,&quot;given&quot;:&quot;David&quot;,&quot;parse-names&quot;:false,&quot;dropping-particle&quot;:&quot;&quot;,&quot;non-dropping-particle&quot;:&quot;&quot;},{&quot;family&quot;:&quot;Beckmann&quot;,&quot;given&quot;:&quot;Manfred&quot;,&quot;parse-names&quot;:false,&quot;dropping-particle&quot;:&quot;&quot;,&quot;non-dropping-particle&quot;:&quot;&quot;},{&quot;family&quot;:&quot;Zubair&quot;,&quot;given&quot;:&quot;Hassan&quot;,&quot;parse-names&quot;:false,&quot;dropping-particle&quot;:&quot;&quot;,&quot;non-dropping-particle&quot;:&quot;&quot;},{&quot;family&quot;:&quot;Enot&quot;,&quot;given&quot;:&quot;David P.&quot;,&quot;parse-names&quot;:false,&quot;dropping-particle&quot;:&quot;&quot;,&quot;non-dropping-particle&quot;:&quot;&quot;},{&quot;family&quot;:&quot;Caracuel-Rios&quot;,&quot;given&quot;:&quot;Zaira&quot;,&quot;parse-names&quot;:false,&quot;dropping-particle&quot;:&quot;&quot;,&quot;non-dropping-particle&quot;:&quot;&quot;},{&quot;family&quot;:&quot;Overy&quot;,&quot;given&quot;:&quot;David P.&quot;,&quot;parse-names&quot;:false,&quot;dropping-particle&quot;:&quot;&quot;,&quot;non-dropping-particle&quot;:&quot;&quot;},{&quot;family&quot;:&quot;Snowdon&quot;,&quot;given&quot;:&quot;Stuart&quot;,&quot;parse-names&quot;:false,&quot;dropping-particle&quot;:&quot;&quot;,&quot;non-dropping-particle&quot;:&quot;&quot;},{&quot;family&quot;:&quot;Talbot&quot;,&quot;given&quot;:&quot;Nicholas J.&quot;,&quot;parse-names&quot;:false,&quot;dropping-particle&quot;:&quot;&quot;,&quot;non-dropping-particle&quot;:&quot;&quot;},{&quot;family&quot;:&quot;Draper&quot;,&quot;given&quot;:&quot;John&quot;,&quot;parse-names&quot;:false,&quot;dropping-particle&quot;:&quot;&quot;,&quot;non-dropping-particle&quot;:&quot;&quot;}],&quot;container-title&quot;:&quot;The Plant Journal&quot;,&quot;DOI&quot;:&quot;10.1111/j.1365-313X.2009.03912.x&quot;,&quot;ISSN&quot;:&quot;09607412&quot;,&quot;issued&quot;:{&quot;date-parts&quot;:[[2009,9]]},&quot;issue&quot;:&quot;5&quot;,&quot;volume&quot;:&quot;59&quot;},&quot;isTemporary&quot;:false}],&quot;properties&quot;:{&quot;noteIndex&quot;:0},&quot;isEdited&quot;:false,&quot;manualOverride&quot;:{&quot;isManuallyOverridden&quot;:false,&quot;citeprocText&quot;:&quot;(Parker et al., 2009)&quot;,&quot;manualOverrideText&quot;:&quot;&quot;},&quot;citationTag&quot;:&quot;MENDELEY_CITATION_v3_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&quot;},{&quot;citationID&quot;:&quot;MENDELEY_CITATION_20ccf3f7-8b6b-45ea-9dae-6958796b92f2&quot;,&quot;citationItems&quot;:[{&quot;id&quot;:&quot;0a3bba26-4b0b-307e-9be9-40a9f82ae6ac&quot;,&quot;itemData&quot;:{&quot;type&quot;:&quot;article-journal&quot;,&quot;id&quot;:&quot;0a3bba26-4b0b-307e-9be9-40a9f82ae6ac&quot;,&quot;title&quot;:&quot;Phytoalexins in defense against pathogens&quot;,&quot;author&quot;:[{&quot;family&quot;:&quot;Ahuja&quot;,&quot;given&quot;:&quot;Ishita&quot;,&quot;parse-names&quot;:false,&quot;dropping-particle&quot;:&quot;&quot;,&quot;non-dropping-particle&quot;:&quot;&quot;},{&quot;family&quot;:&quot;Kissen&quot;,&quot;given&quot;:&quot;Ralph&quot;,&quot;parse-names&quot;:false,&quot;dropping-particle&quot;:&quot;&quot;,&quot;non-dropping-particle&quot;:&quot;&quot;},{&quot;family&quot;:&quot;Bones&quot;,&quot;given&quot;:&quot;Atle M.&quot;,&quot;parse-names&quot;:false,&quot;dropping-particle&quot;:&quot;&quot;,&quot;non-dropping-particle&quot;:&quot;&quot;}],&quot;container-title&quot;:&quot;Trends in Plant Science&quot;,&quot;DOI&quot;:&quot;10.1016/j.tplants.2011.11.002&quot;,&quot;ISSN&quot;:&quot;13601385&quot;,&quot;issued&quot;:{&quot;date-parts&quot;:[[2012,2]]},&quot;issue&quot;:&quot;2&quot;,&quot;volume&quot;:&quot;17&quot;},&quot;isTemporary&quot;:false}],&quot;properties&quot;:{&quot;noteIndex&quot;:0},&quot;isEdited&quot;:false,&quot;manualOverride&quot;:{&quot;isManuallyOverridden&quot;:false,&quot;citeprocText&quot;:&quot;(Ahuja et al., 2012)&quot;,&quot;manualOverrideText&quot;:&quot;&quot;},&quot;citationTag&quot;:&quot;MENDELEY_CITATION_v3_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&quot;},{&quot;citationID&quot;:&quot;MENDELEY_CITATION_99ea4521-d559-4bfc-9b9c-abfc483fa21f&quot;,&quot;citationItems&quot;:[{&quot;id&quot;:&quot;0a3bba26-4b0b-307e-9be9-40a9f82ae6ac&quot;,&quot;itemData&quot;:{&quot;type&quot;:&quot;article-journal&quot;,&quot;id&quot;:&quot;0a3bba26-4b0b-307e-9be9-40a9f82ae6ac&quot;,&quot;title&quot;:&quot;Phytoalexins in defense against pathogens&quot;,&quot;author&quot;:[{&quot;family&quot;:&quot;Ahuja&quot;,&quot;given&quot;:&quot;Ishita&quot;,&quot;parse-names&quot;:false,&quot;dropping-particle&quot;:&quot;&quot;,&quot;non-dropping-particle&quot;:&quot;&quot;},{&quot;family&quot;:&quot;Kissen&quot;,&quot;given&quot;:&quot;Ralph&quot;,&quot;parse-names&quot;:false,&quot;dropping-particle&quot;:&quot;&quot;,&quot;non-dropping-particle&quot;:&quot;&quot;},{&quot;family&quot;:&quot;Bones&quot;,&quot;given&quot;:&quot;Atle M.&quot;,&quot;parse-names&quot;:false,&quot;dropping-particle&quot;:&quot;&quot;,&quot;non-dropping-particle&quot;:&quot;&quot;}],&quot;container-title&quot;:&quot;Trends in Plant Science&quot;,&quot;DOI&quot;:&quot;10.1016/j.tplants.2011.11.002&quot;,&quot;ISSN&quot;:&quot;13601385&quot;,&quot;issued&quot;:{&quot;date-parts&quot;:[[2012,2]]},&quot;issue&quot;:&quot;2&quot;,&quot;volume&quot;:&quot;17&quot;},&quot;isTemporary&quot;:false}],&quot;properties&quot;:{&quot;noteIndex&quot;:0},&quot;isEdited&quot;:false,&quot;manualOverride&quot;:{&quot;isManuallyOverridden&quot;:false,&quot;citeprocText&quot;:&quot;(Ahuja et al., 2012)&quot;,&quot;manualOverrideText&quot;:&quot;&quot;},&quot;citationTag&quot;:&quot;MENDELEY_CITATION_v3_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&quot;},{&quot;citationID&quot;:&quot;MENDELEY_CITATION_2e770825-4585-497d-be4b-5a298ff7b643&quot;,&quot;citationItems&quot;:[{&quot;id&quot;:&quot;1ca1b2d2-a255-3fa3-b9ff-9ce703115ebb&quot;,&quot;itemData&quot;:{&quot;type&quot;:&quot;article-journal&quot;,&quot;id&quot;:&quot;1ca1b2d2-a255-3fa3-b9ff-9ce703115ebb&quot;,&quot;title&quot;:&quot;The Shikimate Pathway and Aromatic Amino Acid Biosynthesis in Plants&quot;,&quot;author&quot;:[{&quot;family&quot;:&quot;Maeda&quot;,&quot;given&quot;:&quot;Hiroshi&quot;,&quot;parse-names&quot;:false,&quot;dropping-particle&quot;:&quot;&quot;,&quot;non-dropping-particle&quot;:&quot;&quot;},{&quot;family&quot;:&quot;Dudareva&quot;,&quot;given&quot;:&quot;Natalia&quot;,&quot;parse-names&quot;:false,&quot;dropping-particle&quot;:&quot;&quot;,&quot;non-dropping-particle&quot;:&quot;&quot;}],&quot;container-title&quot;:&quot;Annual Review of Plant Biology&quot;,&quot;DOI&quot;:&quot;10.1146/annurev-arplant-042811-105439&quot;,&quot;ISSN&quot;:&quot;1543-5008&quot;,&quot;issued&quot;:{&quot;date-parts&quot;:[[2012,6,2]]},&quot;issue&quot;:&quot;1&quot;,&quot;volume&quot;:&quot;63&quot;},&quot;isTemporary&quot;:false}],&quot;properties&quot;:{&quot;noteIndex&quot;:0},&quot;isEdited&quot;:false,&quot;manualOverride&quot;:{&quot;isManuallyOverridden&quot;:false,&quot;citeprocText&quot;:&quot;(Maeda &amp;#38; Dudareva, 2012)&quot;,&quot;manualOverrideText&quot;:&quot;&quot;},&quot;citationTag&quot;:&quot;MENDELEY_CITATION_v3_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&quot;},{&quot;citationID&quot;:&quot;MENDELEY_CITATION_ca417f4a-37bb-41bd-bc46-120860ff5976&quot;,&quot;citationItems&quot;:[{&quot;id&quot;:&quot;9f6b276f-07b5-3c7d-86e1-0f7eeede16df&quot;,&quot;itemData&quot;:{&quot;type&quot;:&quot;article-journal&quot;,&quot;id&quot;:&quot;9f6b276f-07b5-3c7d-86e1-0f7eeede16df&quot;,&quot;title&quot;:&quot;Induction of Jasmonate Biosynthesis in Arbuscular Mycorrhizal Barley Roots,&quot;,&quot;author&quot;:[{&quot;family&quot;:&quot;Hause&quot;,&quot;given&quot;:&quot;Bettina&quot;,&quot;parse-names&quot;:false,&quot;dropping-particle&quot;:&quot;&quot;,&quot;non-dropping-particle&quot;:&quot;&quot;},{&quot;family&quot;:&quot;Maier&quot;,&quot;given&quot;:&quot;Walter&quot;,&quot;parse-names&quot;:false,&quot;dropping-particle&quot;:&quot;&quot;,&quot;non-dropping-particle&quot;:&quot;&quot;},{&quot;family&quot;:&quot;Miersch&quot;,&quot;given&quot;:&quot;Otto&quot;,&quot;parse-names&quot;:false,&quot;dropping-particle&quot;:&quot;&quot;,&quot;non-dropping-particle&quot;:&quot;&quot;},{&quot;family&quot;:&quot;Kramell&quot;,&quot;given&quot;:&quot;Robert&quot;,&quot;parse-names&quot;:false,&quot;dropping-particle&quot;:&quot;&quot;,&quot;non-dropping-particle&quot;:&quot;&quot;},{&quot;family&quot;:&quot;Strack&quot;,&quot;given&quot;:&quot;Dieter&quot;,&quot;parse-names&quot;:false,&quot;dropping-particle&quot;:&quot;&quot;,&quot;non-dropping-particle&quot;:&quot;&quot;}],&quot;container-title&quot;:&quot;Plant Physiology&quot;,&quot;DOI&quot;:&quot;10.1104/pp.006007&quot;,&quot;ISSN&quot;:&quot;1532-2548&quot;,&quot;issued&quot;:{&quot;date-parts&quot;:[[2002,11,1]]},&quot;abstract&quot;:&quot;&lt;p&gt;Colonization of barley (Hordeum vulgare cv Salome) roots by an arbuscular mycorrhizal fungus, Glomus intraradices Schenck &amp;amp; Smith, leads to elevated levels of endogenous jasmonic acid (JA) and its amino acid conjugate JA-isoleucine, whereas the level of the JA precursor, oxophytodienoic acid, remains constant. The rise in jasmonates is accompanied by the expression of genes coding for an enzyme of JA biosynthesis (allene oxide synthase) and of a jasmonate-induced protein (JIP23). In situ hybridization and immunocytochemical analysis revealed that expression of these genes occurred cell specifically within arbuscule-containing root cortex cells. The concomitant gene expression indicates that jasmonates are generated and act within arbuscule-containing cells. By use of a near-synchronous mycorrhization, analysis of temporal expression patterns showed the occurrence of transcript accumulation 4 to 6 d after the appearance of the first arbuscules. This suggests that the endogenous rise in jasmonates might be related to the fully established symbiosis rather than to the recognition of interacting partners or to the onset of interaction. Because the plant supplies the fungus with carbohydrates, a model is proposed in which the induction of JA biosynthesis in colonized roots is linked to the stronger sink function of mycorrhizal roots compared with nonmycorrhizal roots.&lt;/p&gt;&quot;,&quot;issue&quot;:&quot;3&quot;,&quot;volume&quot;:&quot;130&quot;},&quot;isTemporary&quot;:false}],&quot;properties&quot;:{&quot;noteIndex&quot;:0},&quot;isEdited&quot;:false,&quot;manualOverride&quot;:{&quot;isManuallyOverridden&quot;:false,&quot;citeprocText&quot;:&quot;(Hause et al., 2002)&quot;,&quot;manualOverrideText&quot;:&quot;&quot;},&quot;citationTag&quot;:&quot;MENDELEY_CITATION_v3_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&quot;},{&quot;citationID&quot;:&quot;MENDELEY_CITATION_c0c8c623-6ce8-49e6-83b9-461246aa1246&quot;,&quot;citationItems&quot;:[{&quot;id&quot;:&quot;59da343d-658c-36ea-8fb0-f088ee40b163&quot;,&quot;itemData&quot;:{&quot;type&quot;:&quot;chapter&quot;,&quot;id&quot;:&quot;59da343d-658c-36ea-8fb0-f088ee40b163&quot;,&quot;title&quot;:&quot;Signalling in Arbuscular Mycorrhiza: Facts and Hypotheses&quot;,&quot;author&quot;:[{&quot;family&quot;:&quot;Vierheilig&quot;,&quot;given&quot;:&quot;Horst&quot;,&quot;parse-names&quot;:false,&quot;dropping-particle&quot;:&quot;&quot;,&quot;non-dropping-particle&quot;:&quot;&quot;},{&quot;family&quot;:&quot;Piché&quot;,&quot;given&quot;:&quot;Yves&quot;,&quot;parse-names&quot;:false,&quot;dropping-particle&quot;:&quot;&quot;,&quot;non-dropping-particle&quot;:&quot;&quot;}],&quot;DOI&quot;:&quot;10.1007/978-1-4757-5235-9_3&quot;,&quot;issued&quot;:{&quot;date-parts&quot;:[[2002]]}},&quot;isTemporary&quot;:false}],&quot;properties&quot;:{&quot;noteIndex&quot;:0},&quot;isEdited&quot;:false,&quot;manualOverride&quot;:{&quot;isManuallyOverridden&quot;:true,&quot;citeprocText&quot;:&quot;(Vierheilig &amp;#38; Piché, 2002b)&quot;,&quot;manualOverrideText&quot;:&quot;(Vierheilig &amp; Piché, 2002)&quot;},&quot;citationTag&quot;:&quot;MENDELEY_CITATION_v3_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&quot;},{&quot;citationID&quot;:&quot;MENDELEY_CITATION_39868d93-836b-46db-b01b-34b92210f8e5&quot;,&quot;citationItems&quot;:[{&quot;id&quot;:&quot;9f6b276f-07b5-3c7d-86e1-0f7eeede16df&quot;,&quot;itemData&quot;:{&quot;type&quot;:&quot;article-journal&quot;,&quot;id&quot;:&quot;9f6b276f-07b5-3c7d-86e1-0f7eeede16df&quot;,&quot;title&quot;:&quot;Induction of Jasmonate Biosynthesis in Arbuscular Mycorrhizal Barley Roots,&quot;,&quot;author&quot;:[{&quot;family&quot;:&quot;Hause&quot;,&quot;given&quot;:&quot;Bettina&quot;,&quot;parse-names&quot;:false,&quot;dropping-particle&quot;:&quot;&quot;,&quot;non-dropping-particle&quot;:&quot;&quot;},{&quot;family&quot;:&quot;Maier&quot;,&quot;given&quot;:&quot;Walter&quot;,&quot;parse-names&quot;:false,&quot;dropping-particle&quot;:&quot;&quot;,&quot;non-dropping-particle&quot;:&quot;&quot;},{&quot;family&quot;:&quot;Miersch&quot;,&quot;given&quot;:&quot;Otto&quot;,&quot;parse-names&quot;:false,&quot;dropping-particle&quot;:&quot;&quot;,&quot;non-dropping-particle&quot;:&quot;&quot;},{&quot;family&quot;:&quot;Kramell&quot;,&quot;given&quot;:&quot;Robert&quot;,&quot;parse-names&quot;:false,&quot;dropping-particle&quot;:&quot;&quot;,&quot;non-dropping-particle&quot;:&quot;&quot;},{&quot;family&quot;:&quot;Strack&quot;,&quot;given&quot;:&quot;Dieter&quot;,&quot;parse-names&quot;:false,&quot;dropping-particle&quot;:&quot;&quot;,&quot;non-dropping-particle&quot;:&quot;&quot;}],&quot;container-title&quot;:&quot;Plant Physiology&quot;,&quot;DOI&quot;:&quot;10.1104/pp.006007&quot;,&quot;ISSN&quot;:&quot;1532-2548&quot;,&quot;issued&quot;:{&quot;date-parts&quot;:[[2002,11,1]]},&quot;abstract&quot;:&quot;&lt;p&gt;Colonization of barley (Hordeum vulgare cv Salome) roots by an arbuscular mycorrhizal fungus, Glomus intraradices Schenck &amp;amp; Smith, leads to elevated levels of endogenous jasmonic acid (JA) and its amino acid conjugate JA-isoleucine, whereas the level of the JA precursor, oxophytodienoic acid, remains constant. The rise in jasmonates is accompanied by the expression of genes coding for an enzyme of JA biosynthesis (allene oxide synthase) and of a jasmonate-induced protein (JIP23). In situ hybridization and immunocytochemical analysis revealed that expression of these genes occurred cell specifically within arbuscule-containing root cortex cells. The concomitant gene expression indicates that jasmonates are generated and act within arbuscule-containing cells. By use of a near-synchronous mycorrhization, analysis of temporal expression patterns showed the occurrence of transcript accumulation 4 to 6 d after the appearance of the first arbuscules. This suggests that the endogenous rise in jasmonates might be related to the fully established symbiosis rather than to the recognition of interacting partners or to the onset of interaction. Because the plant supplies the fungus with carbohydrates, a model is proposed in which the induction of JA biosynthesis in colonized roots is linked to the stronger sink function of mycorrhizal roots compared with nonmycorrhizal roots.&lt;/p&gt;&quot;,&quot;issue&quot;:&quot;3&quot;,&quot;volume&quot;:&quot;130&quot;},&quot;isTemporary&quot;:false},{&quot;id&quot;:&quot;bbbe9737-3ea6-3bfc-a238-6c41f9661d41&quot;,&quot;itemData&quot;:{&quot;type&quot;:&quot;article-journal&quot;,&quot;id&quot;:&quot;bbbe9737-3ea6-3bfc-a238-6c41f9661d41&quot;,&quot;title&quot;:&quot;Suppression of Allene Oxide Cyclase in Hairy Roots of &lt;i&gt;Medicago truncatula&lt;/i&gt; Reduces Jasmonate Levels and the Degree of Mycorrhization with &lt;i&gt;Glomus intraradices&lt;/i&gt;    &quot;,&quot;author&quot;:[{&quot;family&quot;:&quot;Isayenkov&quot;,&quot;given&quot;:&quot;Stanislav&quot;,&quot;parse-names&quot;:false,&quot;dropping-particle&quot;:&quot;&quot;,&quot;non-dropping-particle&quot;:&quot;&quot;},{&quot;family&quot;:&quot;Mrosk&quot;,&quot;given&quot;:&quot;Cornelia&quot;,&quot;parse-names&quot;:false,&quot;dropping-particle&quot;:&quot;&quot;,&quot;non-dropping-particle&quot;:&quot;&quot;},{&quot;family&quot;:&quot;Stenzel&quot;,&quot;given&quot;:&quot;Irene&quot;,&quot;parse-names&quot;:false,&quot;dropping-particle&quot;:&quot;&quot;,&quot;non-dropping-particle&quot;:&quot;&quot;},{&quot;family&quot;:&quot;Strack&quot;,&quot;given&quot;:&quot;Dieter&quot;,&quot;parse-names&quot;:false,&quot;dropping-particle&quot;:&quot;&quot;,&quot;non-dropping-particle&quot;:&quot;&quot;},{&quot;family&quot;:&quot;Hause&quot;,&quot;given&quot;:&quot;Bettina&quot;,&quot;parse-names&quot;:false,&quot;dropping-particle&quot;:&quot;&quot;,&quot;non-dropping-particle&quot;:&quot;&quot;}],&quot;container-title&quot;:&quot;Plant Physiology&quot;,&quot;DOI&quot;:&quot;10.1104/pp.105.069054&quot;,&quot;ISSN&quot;:&quot;1532-2548&quot;,&quot;issued&quot;:{&quot;date-parts&quot;:[[2005,11,1]]},&quot;abstract&quot;:&quot;&lt;p&gt;During the symbiotic interaction between Medicago truncatula and the arbuscular mycorrhizal (AM) fungus Glomus intraradices, an endogenous increase in jasmonic acid (JA) occurs. Two full-length cDNAs coding for the JA-biosynthetic enzyme allene oxide cyclase (AOC) from M. truncatula, designated as MtAOC1 and MtAOC2, were cloned and characterized. The AOC protein was localized in plastids and found to occur constitutively in all vascular tissues of M. truncatula. In leaves and roots, MtAOCs are expressed upon JA application. Enhanced expression was also observed during mycorrhization with G. intraradices. A partial suppression of MtAOC expression was achieved in roots following transformation with Agrobacterium rhizogenes harboring the MtAOC1 cDNA in the antisense direction under control of the cauliflower mosaic virus 35S promoter. In comparison to samples transformed with 35S∷uidA, roots with suppressed MtAOC1 expression exhibited lower JA levels and a remarkable delay in the process of colonization with G. intraradices. Both the mycorrhization rate, quantified by fungal rRNA, and the arbuscule formation, analyzed by the expression level of the AM-specific gene MtPT4, were affected. Staining of fungal material in roots with suppressed MtAOC1 revealed a decreased number of arbuscules, but these did not exhibit an altered structure. Our results indicate a crucial role for JA in the establishment of AM symbiosis.&lt;/p&gt;&quot;,&quot;issue&quot;:&quot;3&quot;,&quot;volume&quot;:&quot;139&quot;},&quot;isTemporary&quot;:false}],&quot;properties&quot;:{&quot;noteIndex&quot;:0},&quot;isEdited&quot;:false,&quot;manualOverride&quot;:{&quot;isManuallyOverridden&quot;:true,&quot;citeprocText&quot;:&quot;(Hause et al., 2002; Isayenkov et al., 2005)&quot;,&quot;manualOverrideText&quot;:&quot;(Hause et al., 2002; Isayenkov et al., 2005).&quot;},&quot;citationTag&quot;:&quot;MENDELEY_CITATION_v3_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&quot;},{&quot;citationID&quot;:&quot;MENDELEY_CITATION_a1f6e8d2-255b-4689-a027-eb2a27bf9b26&quot;,&quot;citationItems&quot;:[{&quot;id&quot;:&quot;9de409d8-86ac-3bc2-b474-96720c0546a0&quot;,&quot;itemData&quot;:{&quot;type&quot;:&quot;article-journal&quot;,&quot;id&quot;:&quot;9de409d8-86ac-3bc2-b474-96720c0546a0&quot;,&quot;title&quot;:&quot;Allene oxide synthases of barley (Hordeum vulgare cv. Salome): tissue specific regulation in seedling development&quot;,&quot;author&quot;:[{&quot;family&quot;:&quot;Maucher&quot;,&quot;given&quot;:&quot;Helmut&quot;,&quot;parse-names&quot;:false,&quot;dropping-particle&quot;:&quot;&quot;,&quot;non-dropping-particle&quot;:&quot;&quot;},{&quot;family&quot;:&quot;Hause&quot;,&quot;given&quot;:&quot;Bettina&quot;,&quot;parse-names&quot;:false,&quot;dropping-particle&quot;:&quot;&quot;,&quot;non-dropping-particle&quot;:&quot;&quot;},{&quot;family&quot;:&quot;Feussner&quot;,&quot;given&quot;:&quot;Ivo&quot;,&quot;parse-names&quot;:false,&quot;dropping-particle&quot;:&quot;&quot;,&quot;non-dropping-particle&quot;:&quot;&quot;},{&quot;family&quot;:&quot;Ziegler&quot;,&quot;given&quot;:&quot;Jorg&quot;,&quot;parse-names&quot;:false,&quot;dropping-particle&quot;:&quot;&quot;,&quot;non-dropping-particle&quot;:&quot;&quot;},{&quot;family&quot;:&quot;Wasternack&quot;,&quot;given&quot;:&quot;Claus&quot;,&quot;parse-names&quot;:false,&quot;dropping-particle&quot;:&quot;&quot;,&quot;non-dropping-particle&quot;:&quot;&quot;}],&quot;container-title&quot;:&quot;The Plant Journal&quot;,&quot;DOI&quot;:&quot;10.1046/j.1365-313x.2000.00669.x&quot;,&quot;ISSN&quot;:&quot;0960-7412&quot;,&quot;issued&quot;:{&quot;date-parts&quot;:[[2000,1]]},&quot;issue&quot;:&quot;2&quot;,&quot;volume&quot;:&quot;21&quot;},&quot;isTemporary&quot;:false}],&quot;properties&quot;:{&quot;noteIndex&quot;:0},&quot;isEdited&quot;:false,&quot;manualOverride&quot;:{&quot;isManuallyOverridden&quot;:false,&quot;citeprocText&quot;:&quot;(Maucher et al., 2000)&quot;,&quot;manualOverrideText&quot;:&quot;&quot;},&quot;citationTag&quot;:&quot;MENDELEY_CITATION_v3_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&quot;},{&quot;citationID&quot;:&quot;MENDELEY_CITATION_770d5d78-d45e-46a9-b49b-b341d2af2a01&quot;,&quot;citationItems&quot;:[{&quot;id&quot;:&quot;30662b5b-3b91-3c0a-ab09-7f21856ce1f7&quot;,&quot;itemData&quot;:{&quot;type&quot;:&quot;article-journal&quot;,&quot;id&quot;:&quot;30662b5b-3b91-3c0a-ab09-7f21856ce1f7&quot;,&quot;title&quot;:&quot;Developmental and Tissue-Specific Expression of JIP-23, a Jasmonate-Inducible Protein of Barley&quot;,&quot;author&quot;:[{&quot;family&quot;:&quot;Hause&quot;,&quot;given&quot;:&quot;B.&quot;,&quot;parse-names&quot;:false,&quot;dropping-particle&quot;:&quot;&quot;,&quot;non-dropping-particle&quot;:&quot;&quot;},{&quot;family&quot;:&quot;Demus&quot;,&quot;given&quot;:&quot;U.&quot;,&quot;parse-names&quot;:false,&quot;dropping-particle&quot;:&quot;&quot;,&quot;non-dropping-particle&quot;:&quot;&quot;},{&quot;family&quot;:&quot;Teichmann&quot;,&quot;given&quot;:&quot;C.&quot;,&quot;parse-names&quot;:false,&quot;dropping-particle&quot;:&quot;&quot;,&quot;non-dropping-particle&quot;:&quot;&quot;},{&quot;family&quot;:&quot;Parthier&quot;,&quot;given&quot;:&quot;B.&quot;,&quot;parse-names&quot;:false,&quot;dropping-particle&quot;:&quot;&quot;,&quot;non-dropping-particle&quot;:&quot;&quot;},{&quot;family&quot;:&quot;Wasternack&quot;,&quot;given&quot;:&quot;C.&quot;,&quot;parse-names&quot;:false,&quot;dropping-particle&quot;:&quot;&quot;,&quot;non-dropping-particle&quot;:&quot;&quot;}],&quot;container-title&quot;:&quot;Plant and Cell Physiology&quot;,&quot;DOI&quot;:&quot;10.1093/oxfordjournals.pcp.a028993&quot;,&quot;ISSN&quot;:&quot;0032-0781&quot;,&quot;issued&quot;:{&quot;date-parts&quot;:[[1996,7,1]]},&quot;issue&quot;:&quot;5&quot;,&quot;volume&quot;:&quot;37&quot;},&quot;isTemporary&quot;:false}],&quot;properties&quot;:{&quot;noteIndex&quot;:0},&quot;isEdited&quot;:false,&quot;manualOverride&quot;:{&quot;isManuallyOverridden&quot;:false,&quot;citeprocText&quot;:&quot;(Hause et al., 1996)&quot;,&quot;manualOverrideText&quot;:&quot;&quot;},&quot;citationTag&quot;:&quot;MENDELEY_CITATION_v3_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&quot;},{&quot;citationID&quot;:&quot;MENDELEY_CITATION_f0931a69-1b60-40ea-a8af-9eb2c0938a12&quot;,&quot;citationItems&quot;:[{&quot;id&quot;:&quot;9f6b276f-07b5-3c7d-86e1-0f7eeede16df&quot;,&quot;itemData&quot;:{&quot;type&quot;:&quot;article-journal&quot;,&quot;id&quot;:&quot;9f6b276f-07b5-3c7d-86e1-0f7eeede16df&quot;,&quot;title&quot;:&quot;Induction of Jasmonate Biosynthesis in Arbuscular Mycorrhizal Barley Roots,&quot;,&quot;author&quot;:[{&quot;family&quot;:&quot;Hause&quot;,&quot;given&quot;:&quot;Bettina&quot;,&quot;parse-names&quot;:false,&quot;dropping-particle&quot;:&quot;&quot;,&quot;non-dropping-particle&quot;:&quot;&quot;},{&quot;family&quot;:&quot;Maier&quot;,&quot;given&quot;:&quot;Walter&quot;,&quot;parse-names&quot;:false,&quot;dropping-particle&quot;:&quot;&quot;,&quot;non-dropping-particle&quot;:&quot;&quot;},{&quot;family&quot;:&quot;Miersch&quot;,&quot;given&quot;:&quot;Otto&quot;,&quot;parse-names&quot;:false,&quot;dropping-particle&quot;:&quot;&quot;,&quot;non-dropping-particle&quot;:&quot;&quot;},{&quot;family&quot;:&quot;Kramell&quot;,&quot;given&quot;:&quot;Robert&quot;,&quot;parse-names&quot;:false,&quot;dropping-particle&quot;:&quot;&quot;,&quot;non-dropping-particle&quot;:&quot;&quot;},{&quot;family&quot;:&quot;Strack&quot;,&quot;given&quot;:&quot;Dieter&quot;,&quot;parse-names&quot;:false,&quot;dropping-particle&quot;:&quot;&quot;,&quot;non-dropping-particle&quot;:&quot;&quot;}],&quot;container-title&quot;:&quot;Plant Physiology&quot;,&quot;DOI&quot;:&quot;10.1104/pp.006007&quot;,&quot;ISSN&quot;:&quot;1532-2548&quot;,&quot;issued&quot;:{&quot;date-parts&quot;:[[2002,11,1]]},&quot;abstract&quot;:&quot;&lt;p&gt;Colonization of barley (Hordeum vulgare cv Salome) roots by an arbuscular mycorrhizal fungus, Glomus intraradices Schenck &amp;amp; Smith, leads to elevated levels of endogenous jasmonic acid (JA) and its amino acid conjugate JA-isoleucine, whereas the level of the JA precursor, oxophytodienoic acid, remains constant. The rise in jasmonates is accompanied by the expression of genes coding for an enzyme of JA biosynthesis (allene oxide synthase) and of a jasmonate-induced protein (JIP23). In situ hybridization and immunocytochemical analysis revealed that expression of these genes occurred cell specifically within arbuscule-containing root cortex cells. The concomitant gene expression indicates that jasmonates are generated and act within arbuscule-containing cells. By use of a near-synchronous mycorrhization, analysis of temporal expression patterns showed the occurrence of transcript accumulation 4 to 6 d after the appearance of the first arbuscules. This suggests that the endogenous rise in jasmonates might be related to the fully established symbiosis rather than to the recognition of interacting partners or to the onset of interaction. Because the plant supplies the fungus with carbohydrates, a model is proposed in which the induction of JA biosynthesis in colonized roots is linked to the stronger sink function of mycorrhizal roots compared with nonmycorrhizal roots.&lt;/p&gt;&quot;,&quot;issue&quot;:&quot;3&quot;,&quot;volume&quot;:&quot;130&quot;},&quot;isTemporary&quot;:false},{&quot;id&quot;:&quot;bbbe9737-3ea6-3bfc-a238-6c41f9661d41&quot;,&quot;itemData&quot;:{&quot;type&quot;:&quot;article-journal&quot;,&quot;id&quot;:&quot;bbbe9737-3ea6-3bfc-a238-6c41f9661d41&quot;,&quot;title&quot;:&quot;Suppression of Allene Oxide Cyclase in Hairy Roots of &lt;i&gt;Medicago truncatula&lt;/i&gt; Reduces Jasmonate Levels and the Degree of Mycorrhization with &lt;i&gt;Glomus intraradices&lt;/i&gt;    &quot;,&quot;author&quot;:[{&quot;family&quot;:&quot;Isayenkov&quot;,&quot;given&quot;:&quot;Stanislav&quot;,&quot;parse-names&quot;:false,&quot;dropping-particle&quot;:&quot;&quot;,&quot;non-dropping-particle&quot;:&quot;&quot;},{&quot;family&quot;:&quot;Mrosk&quot;,&quot;given&quot;:&quot;Cornelia&quot;,&quot;parse-names&quot;:false,&quot;dropping-particle&quot;:&quot;&quot;,&quot;non-dropping-particle&quot;:&quot;&quot;},{&quot;family&quot;:&quot;Stenzel&quot;,&quot;given&quot;:&quot;Irene&quot;,&quot;parse-names&quot;:false,&quot;dropping-particle&quot;:&quot;&quot;,&quot;non-dropping-particle&quot;:&quot;&quot;},{&quot;family&quot;:&quot;Strack&quot;,&quot;given&quot;:&quot;Dieter&quot;,&quot;parse-names&quot;:false,&quot;dropping-particle&quot;:&quot;&quot;,&quot;non-dropping-particle&quot;:&quot;&quot;},{&quot;family&quot;:&quot;Hause&quot;,&quot;given&quot;:&quot;Bettina&quot;,&quot;parse-names&quot;:false,&quot;dropping-particle&quot;:&quot;&quot;,&quot;non-dropping-particle&quot;:&quot;&quot;}],&quot;container-title&quot;:&quot;Plant Physiology&quot;,&quot;DOI&quot;:&quot;10.1104/pp.105.069054&quot;,&quot;ISSN&quot;:&quot;1532-2548&quot;,&quot;issued&quot;:{&quot;date-parts&quot;:[[2005,11,1]]},&quot;abstract&quot;:&quot;&lt;p&gt;During the symbiotic interaction between Medicago truncatula and the arbuscular mycorrhizal (AM) fungus Glomus intraradices, an endogenous increase in jasmonic acid (JA) occurs. Two full-length cDNAs coding for the JA-biosynthetic enzyme allene oxide cyclase (AOC) from M. truncatula, designated as MtAOC1 and MtAOC2, were cloned and characterized. The AOC protein was localized in plastids and found to occur constitutively in all vascular tissues of M. truncatula. In leaves and roots, MtAOCs are expressed upon JA application. Enhanced expression was also observed during mycorrhization with G. intraradices. A partial suppression of MtAOC expression was achieved in roots following transformation with Agrobacterium rhizogenes harboring the MtAOC1 cDNA in the antisense direction under control of the cauliflower mosaic virus 35S promoter. In comparison to samples transformed with 35S∷uidA, roots with suppressed MtAOC1 expression exhibited lower JA levels and a remarkable delay in the process of colonization with G. intraradices. Both the mycorrhization rate, quantified by fungal rRNA, and the arbuscule formation, analyzed by the expression level of the AM-specific gene MtPT4, were affected. Staining of fungal material in roots with suppressed MtAOC1 revealed a decreased number of arbuscules, but these did not exhibit an altered structure. Our results indicate a crucial role for JA in the establishment of AM symbiosis.&lt;/p&gt;&quot;,&quot;issue&quot;:&quot;3&quot;,&quot;volume&quot;:&quot;139&quot;},&quot;isTemporary&quot;:false}],&quot;properties&quot;:{&quot;noteIndex&quot;:0},&quot;isEdited&quot;:false,&quot;manualOverride&quot;:{&quot;isManuallyOverridden&quot;:false,&quot;citeprocText&quot;:&quot;(Hause et al., 2002; Isayenkov et al., 2005)&quot;,&quot;manualOverrideText&quot;:&quot;&quot;},&quot;citationTag&quot;:&quot;MENDELEY_CITATION_v3_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&quot;},{&quot;citationID&quot;:&quot;MENDELEY_CITATION_999ec576-84af-42e0-9272-8acf1c7c38c0&quot;,&quot;citationItems&quot;:[{&quot;id&quot;:&quot;b893f3c3-f64b-3244-a224-3d92e6e5b1b4&quot;,&quot;itemData&quot;:{&quot;type&quot;:&quot;article-journal&quot;,&quot;id&quot;:&quot;b893f3c3-f64b-3244-a224-3d92e6e5b1b4&quot;,&quot;title&quot;:&quot;Systemic signaling in the wound response&quot;,&quot;author&quot;:[{&quot;family&quot;:&quot;Schilmiller&quot;,&quot;given&quot;:&quot;Anthony L&quot;,&quot;parse-names&quot;:false,&quot;dropping-particle&quot;:&quot;&quot;,&quot;non-dropping-particle&quot;:&quot;&quot;},{&quot;family&quot;:&quot;Howe&quot;,&quot;given&quot;:&quot;Gregg A&quot;,&quot;parse-names&quot;:false,&quot;dropping-particle&quot;:&quot;&quot;,&quot;non-dropping-particle&quot;:&quot;&quot;}],&quot;container-title&quot;:&quot;Current Opinion in Plant Biology&quot;,&quot;DOI&quot;:&quot;10.1016/j.pbi.2005.05.008&quot;,&quot;ISSN&quot;:&quot;13695266&quot;,&quot;issued&quot;:{&quot;date-parts&quot;:[[2005,8]]},&quot;issue&quot;:&quot;4&quot;,&quot;volume&quot;:&quot;8&quot;},&quot;isTemporary&quot;:false}],&quot;properties&quot;:{&quot;noteIndex&quot;:0},&quot;isEdited&quot;:false,&quot;manualOverride&quot;:{&quot;isManuallyOverridden&quot;:true,&quot;citeprocText&quot;:&quot;(Schilmiller &amp;#38; Howe, 2005)&quot;,&quot;manualOverrideText&quot;:&quot;(Schilmiller &amp; Howe, 2005).&quot;},&quot;citationTag&quot;:&quot;MENDELEY_CITATION_v3_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&quot;},{&quot;citationID&quot;:&quot;MENDELEY_CITATION_ec7a97b3-69b2-411b-bc78-8a18cb06c3f9&quot;,&quot;citationItems&quot;:[{&quot;id&quot;:&quot;a95d5be1-30c0-3a58-815b-f857e63c1e3d&quot;,&quot;itemData&quot;:{&quot;type&quot;:&quot;article-journal&quot;,&quot;id&quot;:&quot;a95d5be1-30c0-3a58-815b-f857e63c1e3d&quot;,&quot;title&quot;:&quot;Regulatory mechanisms during the plant &amp;#150; arbuscular mycorrhizal fungus interaction&quot;,&quot;author&quot;:[{&quot;family&quot;:&quot;Vierheilig&quot;,&quot;given&quot;:&quot;Horst&quot;,&quot;parse-names&quot;:false,&quot;dropping-particle&quot;:&quot;&quot;,&quot;non-dropping-particle&quot;:&quot;&quot;}],&quot;container-title&quot;:&quot;Canadian Journal of Botany&quot;,&quot;DOI&quot;:&quot;10.1139/b04-015&quot;,&quot;ISSN&quot;:&quot;0008-4026&quot;,&quot;issued&quot;:{&quot;date-parts&quot;:[[2004,8,1]]},&quot;abstract&quot;:&quot;&lt;p&gt;Abundant data are available on some aspects of the arbuscular mycorrhizal symbiosis, for example, plant nutrition, but because of difficulties immanent to arbuscular mycorrhizal fungi, such as the inability to culture them axenically, the relatively long time it takes to achieve root colonization, and the simultaneous presence of different morphologic stages of the fungus in the root, less information is accumulated on other aspects such as the regulation of mycorrhization. Regulatory processes in the plant &amp;#150; arbuscular mycorrhizal fungus interaction start before root colonization by the fungus and even before a direct physical contact between the host and the fungal symbiont. Some of the signals exchanged are still a matter of debate and will be discussed further on. After the penetration of the root by the fungus, depending on the developmental stage of the arbuscular mycorrhizal association (e.g., early or mature), a range of plant responses is activated. The possible function of several plant responses in the regulation of mycorrhization is discussed.Key words: arbuscular mycorrhiza, Glomales, autoregulation, flavonoid, recognition, root exudates.&lt;/p&gt;&quot;,&quot;issue&quot;:&quot;8&quot;,&quot;volume&quot;:&quot;82&quot;},&quot;isTemporary&quot;:false}],&quot;properties&quot;:{&quot;noteIndex&quot;:0},&quot;isEdited&quot;:false,&quot;manualOverride&quot;:{&quot;isManuallyOverridden&quot;:false,&quot;citeprocText&quot;:&quot;(Vierheilig, 2004)&quot;,&quot;manualOverrideText&quot;:&quot;&quot;},&quot;citationTag&quot;:&quot;MENDELEY_CITATION_v3_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&quot;},{&quot;citationID&quot;:&quot;MENDELEY_CITATION_a629e4fd-111a-4a01-94fc-a4a2cce3b34e&quot;,&quot;citationItems&quot;:[{&quot;id&quot;:&quot;9f6b276f-07b5-3c7d-86e1-0f7eeede16df&quot;,&quot;itemData&quot;:{&quot;type&quot;:&quot;article-journal&quot;,&quot;id&quot;:&quot;9f6b276f-07b5-3c7d-86e1-0f7eeede16df&quot;,&quot;title&quot;:&quot;Induction of Jasmonate Biosynthesis in Arbuscular Mycorrhizal Barley Roots,&quot;,&quot;author&quot;:[{&quot;family&quot;:&quot;Hause&quot;,&quot;given&quot;:&quot;Bettina&quot;,&quot;parse-names&quot;:false,&quot;dropping-particle&quot;:&quot;&quot;,&quot;non-dropping-particle&quot;:&quot;&quot;},{&quot;family&quot;:&quot;Maier&quot;,&quot;given&quot;:&quot;Walter&quot;,&quot;parse-names&quot;:false,&quot;dropping-particle&quot;:&quot;&quot;,&quot;non-dropping-particle&quot;:&quot;&quot;},{&quot;family&quot;:&quot;Miersch&quot;,&quot;given&quot;:&quot;Otto&quot;,&quot;parse-names&quot;:false,&quot;dropping-particle&quot;:&quot;&quot;,&quot;non-dropping-particle&quot;:&quot;&quot;},{&quot;family&quot;:&quot;Kramell&quot;,&quot;given&quot;:&quot;Robert&quot;,&quot;parse-names&quot;:false,&quot;dropping-particle&quot;:&quot;&quot;,&quot;non-dropping-particle&quot;:&quot;&quot;},{&quot;family&quot;:&quot;Strack&quot;,&quot;given&quot;:&quot;Dieter&quot;,&quot;parse-names&quot;:false,&quot;dropping-particle&quot;:&quot;&quot;,&quot;non-dropping-particle&quot;:&quot;&quot;}],&quot;container-title&quot;:&quot;Plant Physiology&quot;,&quot;DOI&quot;:&quot;10.1104/pp.006007&quot;,&quot;ISSN&quot;:&quot;1532-2548&quot;,&quot;issued&quot;:{&quot;date-parts&quot;:[[2002,11,1]]},&quot;abstract&quot;:&quot;&lt;p&gt;Colonization of barley (Hordeum vulgare cv Salome) roots by an arbuscular mycorrhizal fungus, Glomus intraradices Schenck &amp;amp; Smith, leads to elevated levels of endogenous jasmonic acid (JA) and its amino acid conjugate JA-isoleucine, whereas the level of the JA precursor, oxophytodienoic acid, remains constant. The rise in jasmonates is accompanied by the expression of genes coding for an enzyme of JA biosynthesis (allene oxide synthase) and of a jasmonate-induced protein (JIP23). In situ hybridization and immunocytochemical analysis revealed that expression of these genes occurred cell specifically within arbuscule-containing root cortex cells. The concomitant gene expression indicates that jasmonates are generated and act within arbuscule-containing cells. By use of a near-synchronous mycorrhization, analysis of temporal expression patterns showed the occurrence of transcript accumulation 4 to 6 d after the appearance of the first arbuscules. This suggests that the endogenous rise in jasmonates might be related to the fully established symbiosis rather than to the recognition of interacting partners or to the onset of interaction. Because the plant supplies the fungus with carbohydrates, a model is proposed in which the induction of JA biosynthesis in colonized roots is linked to the stronger sink function of mycorrhizal roots compared with nonmycorrhizal roots.&lt;/p&gt;&quot;,&quot;issue&quot;:&quot;3&quot;,&quot;volume&quot;:&quot;130&quot;},&quot;isTemporary&quot;:false}],&quot;properties&quot;:{&quot;noteIndex&quot;:0},&quot;isEdited&quot;:false,&quot;manualOverride&quot;:{&quot;isManuallyOverridden&quot;:false,&quot;citeprocText&quot;:&quot;(Hause et al., 2002)&quot;,&quot;manualOverrideText&quot;:&quot;&quot;},&quot;citationTag&quot;:&quot;MENDELEY_CITATION_v3_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&quot;},{&quot;citationID&quot;:&quot;MENDELEY_CITATION_baf50ef0-9438-4b83-a094-e2c343e4e54b&quot;,&quot;citationItems&quot;:[{&quot;id&quot;:&quot;65bdc616-8266-372d-ac40-eb0bb5614d85&quot;,&quot;itemData&quot;:{&quot;type&quot;:&quot;article-journal&quot;,&quot;id&quot;:&quot;65bdc616-8266-372d-ac40-eb0bb5614d85&quot;,&quot;title&quot;:&quot;Arbuscular mycorrhiza induces gene expression of the apoplastic invertase LIN6 in tomato (Lycopersicon esculentum) roots&quot;,&quot;author&quot;:[{&quot;family&quot;:&quot;Schaarschmidt&quot;,&quot;given&quot;:&quot;S.&quot;,&quot;parse-names&quot;:false,&quot;dropping-particle&quot;:&quot;&quot;,&quot;non-dropping-particle&quot;:&quot;&quot;},{&quot;family&quot;:&quot;Roitsch&quot;,&quot;given&quot;:&quot;T.&quot;,&quot;parse-names&quot;:false,&quot;dropping-particle&quot;:&quot;&quot;,&quot;non-dropping-particle&quot;:&quot;&quot;},{&quot;family&quot;:&quot;Hause&quot;,&quot;given&quot;:&quot;B.&quot;,&quot;parse-names&quot;:false,&quot;dropping-particle&quot;:&quot;&quot;,&quot;non-dropping-particle&quot;:&quot;&quot;}],&quot;container-title&quot;:&quot;Journal of Experimental Botany&quot;,&quot;DOI&quot;:&quot;10.1093/jxb/erl172&quot;,&quot;ISSN&quot;:&quot;0022-0957&quot;,&quot;issued&quot;:{&quot;date-parts&quot;:[[2006,11,6]]},&quot;issue&quot;:&quot;15&quot;,&quot;volume&quot;:&quot;57&quot;},&quot;isTemporary&quot;:false}],&quot;properties&quot;:{&quot;noteIndex&quot;:0},&quot;isEdited&quot;:false,&quot;manualOverride&quot;:{&quot;isManuallyOverridden&quot;:false,&quot;citeprocText&quot;:&quot;(Schaarschmidt et al., 2006)&quot;,&quot;manualOverrideText&quot;:&quot;&quot;},&quot;citationTag&quot;:&quot;MENDELEY_CITATION_v3_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&quot;},{&quot;citationID&quot;:&quot;MENDELEY_CITATION_49c7d88e-7e5b-4ab3-917d-82ba702351fd&quot;,&quot;citationItems&quot;:[{&quot;id&quot;:&quot;651f72a6-ca86-34e7-ab65-c704a4b470fc&quot;,&quot;itemData&quot;:{&quot;type&quot;:&quot;article-journal&quot;,&quot;id&quot;:&quot;651f72a6-ca86-34e7-ab65-c704a4b470fc&quot;,&quot;title&quot;:&quot;Jasmonates - Signals in Plant-Microbe Interactions&quot;,&quot;author&quot;:[{&quot;family&quot;:&quot;Pozo&quot;,&quot;given&quot;:&quot;María J.&quot;,&quot;parse-names&quot;:false,&quot;dropping-particle&quot;:&quot;&quot;,&quot;non-dropping-particle&quot;:&quot;&quot;},{&quot;family&quot;:&quot;Loon&quot;,&quot;given&quot;:&quot;L. C.&quot;,&quot;parse-names&quot;:false,&quot;dropping-particle&quot;:&quot;&quot;,&quot;non-dropping-particle&quot;:&quot;van&quot;},{&quot;family&quot;:&quot;Pieterse&quot;,&quot;given&quot;:&quot;Corné M. J.&quot;,&quot;parse-names&quot;:false,&quot;dropping-particle&quot;:&quot;&quot;,&quot;non-dropping-particle&quot;:&quot;&quot;}],&quot;container-title&quot;:&quot;Journal of Plant Growth Regulation&quot;,&quot;DOI&quot;:&quot;10.1007/s00344-004-0031-5&quot;,&quot;ISSN&quot;:&quot;0721-7595&quot;,&quot;issued&quot;:{&quot;date-parts&quot;:[[2004,9,17]]},&quot;issue&quot;:&quot;3&quot;,&quot;volume&quot;:&quot;23&quot;},&quot;isTemporary&quot;:false}],&quot;properties&quot;:{&quot;noteIndex&quot;:0},&quot;isEdited&quot;:false,&quot;manualOverride&quot;:{&quot;isManuallyOverridden&quot;:false,&quot;citeprocText&quot;:&quot;(Pozo et al., 2004)&quot;,&quot;manualOverrideText&quot;:&quot;&quot;},&quot;citationTag&quot;:&quot;MENDELEY_CITATION_v3_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&quot;},{&quot;citationID&quot;:&quot;MENDELEY_CITATION_cb31b6c4-82d8-40f2-9026-e2f32f0b87bd&quot;,&quot;citationItems&quot;:[{&quot;id&quot;:&quot;a63b098c-9f42-3565-bad0-9a7ae4632ee3&quot;,&quot;itemData&quot;:{&quot;type&quot;:&quot;article-journal&quot;,&quot;id&quot;:&quot;a63b098c-9f42-3565-bad0-9a7ae4632ee3&quot;,&quot;title&quot;:&quot;Molecular and cell biology of arbuscular mycorrhizal symbiosis&quot;,&quot;author&quot;:[{&quot;family&quot;:&quot;Hause&quot;,&quot;given&quot;:&quot;Bettina&quot;,&quot;parse-names&quot;:false,&quot;dropping-particle&quot;:&quot;&quot;,&quot;non-dropping-particle&quot;:&quot;&quot;},{&quot;family&quot;:&quot;Fester&quot;,&quot;given&quot;:&quot;Thomas&quot;,&quot;parse-names&quot;:false,&quot;dropping-particle&quot;:&quot;&quot;,&quot;non-dropping-particle&quot;:&quot;&quot;}],&quot;container-title&quot;:&quot;Planta&quot;,&quot;DOI&quot;:&quot;10.1007/s00425-004-1436-x&quot;,&quot;ISSN&quot;:&quot;0032-0935&quot;,&quot;issued&quot;:{&quot;date-parts&quot;:[[2005,5,26]]},&quot;issue&quot;:&quot;2&quot;,&quot;volume&quot;:&quot;221&quot;},&quot;isTemporary&quot;:false}],&quot;properties&quot;:{&quot;noteIndex&quot;:0},&quot;isEdited&quot;:false,&quot;manualOverride&quot;:{&quot;isManuallyOverridden&quot;:false,&quot;citeprocText&quot;:&quot;(Hause &amp;#38; Fester, 2005)&quot;,&quot;manualOverrideText&quot;:&quot;&quot;},&quot;citationTag&quot;:&quot;MENDELEY_CITATION_v3_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&quot;},{&quot;citationID&quot;:&quot;MENDELEY_CITATION_86abfa41-755a-40b6-a884-c37cbac2b0b2&quot;,&quot;citationItems&quot;:[{&quot;id&quot;:&quot;c2ecb029-2ca4-3486-9227-a578a3194caa&quot;,&quot;itemData&quot;:{&quot;type&quot;:&quot;article-journal&quot;,&quot;id&quot;:&quot;c2ecb029-2ca4-3486-9227-a578a3194caa&quot;,&quot;title&quot;:&quot;Severe plant invasions can increase mycorrhizal fungal abundance and diversity&quot;,&quot;author&quot;:[{&quot;family&quot;:&quot;Lekberg&quot;,&quot;given&quot;:&quot;Ylva&quot;,&quot;parse-names&quot;:false,&quot;dropping-particle&quot;:&quot;&quot;,&quot;non-dropping-particle&quot;:&quot;&quot;},{&quot;family&quot;:&quot;Gibbons&quot;,&quot;given&quot;:&quot;Sean M&quot;,&quot;parse-names&quot;:false,&quot;dropping-particle&quot;:&quot;&quot;,&quot;non-dropping-particle&quot;:&quot;&quot;},{&quot;family&quot;:&quot;Rosendahl&quot;,&quot;given&quot;:&quot;Søren&quot;,&quot;parse-names&quot;:false,&quot;dropping-particle&quot;:&quot;&quot;,&quot;non-dropping-particle&quot;:&quot;&quot;},{&quot;family&quot;:&quot;Ramsey&quot;,&quot;given&quot;:&quot;Philip W&quot;,&quot;parse-names&quot;:false,&quot;dropping-particle&quot;:&quot;&quot;,&quot;non-dropping-particle&quot;:&quot;&quot;}],&quot;container-title&quot;:&quot;The ISME Journal&quot;,&quot;DOI&quot;:&quot;10.1038/ismej.2013.41&quot;,&quot;ISSN&quot;:&quot;1751-7362&quot;,&quot;issued&quot;:{&quot;date-parts&quot;:[[2013,7,14]]},&quot;issue&quot;:&quot;7&quot;,&quot;volume&quot;:&quot;7&quot;},&quot;isTemporary&quot;:false}],&quot;properties&quot;:{&quot;noteIndex&quot;:0},&quot;isEdited&quot;:false,&quot;manualOverride&quot;:{&quot;isManuallyOverridden&quot;:false,&quot;citeprocText&quot;:&quot;(Lekberg et al., 2013)&quot;,&quot;manualOverrideText&quot;:&quot;&quot;},&quot;citationTag&quot;:&quot;MENDELEY_CITATION_v3_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&quot;},{&quot;citationID&quot;:&quot;MENDELEY_CITATION_a1a10bb3-989d-410a-8b76-65cfc66e0a6f&quot;,&quot;citationItems&quot;:[{&quot;id&quot;:&quot;8075bdbb-8edd-3bf1-83ed-e8c3b8835464&quot;,&quot;itemData&quot;:{&quot;type&quot;:&quot;article-journal&quot;,&quot;id&quot;:&quot;8075bdbb-8edd-3bf1-83ed-e8c3b8835464&quot;,&quot;title&quot;:&quot;The rhizosphere: a playground and battlefield for soilborne pathogens and beneficial microorganisms&quot;,&quot;author&quot;:[{&quot;family&quot;:&quot;Raaijmakers&quot;,&quot;given&quot;:&quot;Jos M.&quot;,&quot;parse-names&quot;:false,&quot;dropping-particle&quot;:&quot;&quot;,&quot;non-dropping-particle&quot;:&quot;&quot;},{&quot;family&quot;:&quot;Paulitz&quot;,&quot;given&quot;:&quot;Timothy C.&quot;,&quot;parse-names&quot;:false,&quot;dropping-particle&quot;:&quot;&quot;,&quot;non-dropping-particle&quot;:&quot;&quot;},{&quot;family&quot;:&quot;Steinberg&quot;,&quot;given&quot;:&quot;Christian&quot;,&quot;parse-names&quot;:false,&quot;dropping-particle&quot;:&quot;&quot;,&quot;non-dropping-particle&quot;:&quot;&quot;},{&quot;family&quot;:&quot;Alabouvette&quot;,&quot;given&quot;:&quot;Claude&quot;,&quot;parse-names&quot;:false,&quot;dropping-particle&quot;:&quot;&quot;,&quot;non-dropping-particle&quot;:&quot;&quot;},{&quot;family&quot;:&quot;Moënne-Loccoz&quot;,&quot;given&quot;:&quot;Yvan&quot;,&quot;parse-names&quot;:false,&quot;dropping-particle&quot;:&quot;&quot;,&quot;non-dropping-particle&quot;:&quot;&quot;}],&quot;container-title&quot;:&quot;Plant and Soil&quot;,&quot;DOI&quot;:&quot;10.1007/s11104-008-9568-6&quot;,&quot;ISSN&quot;:&quot;0032-079X&quot;,&quot;issued&quot;:{&quot;date-parts&quot;:[[2009,8,23]]},&quot;issue&quot;:&quot;1-2&quot;,&quot;volume&quot;:&quot;321&quot;},&quot;isTemporary&quot;:false},{&quot;id&quot;:&quot;3a97ab03-06be-3255-b6c4-f7961e2a6c30&quot;,&quot;itemData&quot;:{&quot;type&quot;:&quot;article-journal&quot;,&quot;id&quot;:&quot;3a97ab03-06be-3255-b6c4-f7961e2a6c30&quot;,&quot;title&quot;:&quot;Strigolactones: a cry for help in the rhizosphere&quot;,&quot;author&quot;:[{&quot;family&quot;:&quot;López-Ráez&quot;,&quot;given&quot;:&quot;Juan A.&quot;,&quot;parse-names&quot;:false,&quot;dropping-particle&quot;:&quot;&quot;,&quot;non-dropping-particle&quot;:&quot;&quot;},{&quot;family&quot;:&quot;Pozo&quot;,&quot;given&quot;:&quot;María J.&quot;,&quot;parse-names&quot;:false,&quot;dropping-particle&quot;:&quot;&quot;,&quot;non-dropping-particle&quot;:&quot;&quot;},{&quot;family&quot;:&quot;García-Garrido&quot;,&quot;given&quot;:&quot;José M.&quot;,&quot;parse-names&quot;:false,&quot;dropping-particle&quot;:&quot;&quot;,&quot;non-dropping-particle&quot;:&quot;&quot;}],&quot;container-title&quot;:&quot;Botany&quot;,&quot;DOI&quot;:&quot;10.1139/b11-046&quot;,&quot;ISSN&quot;:&quot;1916-2790&quot;,&quot;issued&quot;:{&quot;date-parts&quot;:[[2011,8]]},&quot;abstract&quot;:&quot;&lt;p&gt;Arbuscular mycorrhizal (AM) symbiosis is a beneficial symbiosis established between fungi of the phylum Glomeromycota and over 80% of terrestrial plants, including most agricultural and horticultural crop species. AM symbiosis improves the nutritional status and fitness of the host plant and enables the plant to perform better under stressful conditions. As a result, when plants are growing under unfavourable conditions, they try to recruit their AM fungal partner in the soil. Symbiosis establishment requires a complex chemical dialogue between the two partners, in which signalling molecules such as the strigolactones play a key role. Under deficient nutrient conditions, the host plant increases the production of strigolactones to promote fungal development and symbiosis establishment (a “cry for help”). As a clue to host presence in the rhizosphere, strigolactones are also detected by other organisms, particularly root parasitic plants, and therefore promote a parasitic interaction. We review here the role of strigolactones and their interaction with other phytohormones during AM symbiosis, paying special attention to the implications of the chemical communication that takes place in the rhizosphere. Finally, we point out the potential use of this molecular dialogue as a target for developing new biological control strategies against deleterious organisms such as root parasitic weeds.&lt;/p&gt;&quot;,&quot;issue&quot;:&quot;8&quot;,&quot;volume&quot;:&quot;89&quot;},&quot;isTemporary&quot;:false}],&quot;properties&quot;:{&quot;noteIndex&quot;:0},&quot;isEdited&quot;:false,&quot;manualOverride&quot;:{&quot;isManuallyOverridden&quot;:false,&quot;citeprocText&quot;:&quot;(López-Ráez et al., 2011; Raaijmakers et al., 2009)&quot;,&quot;manualOverrideText&quot;:&quot;&quot;},&quot;citationTag&quot;:&quot;MENDELEY_CITATION_v3_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&quot;},{&quot;citationID&quot;:&quot;MENDELEY_CITATION_8ba5dd97-078c-42e4-8248-c4a54ca576f1&quot;,&quot;citationItems&quot;:[{&quot;id&quot;:&quot;136ac026-df9a-35c3-bd25-59913724e0cc&quot;,&quot;itemData&quot;:{&quot;type&quot;:&quot;book&quot;,&quot;id&quot;:&quot;136ac026-df9a-35c3-bd25-59913724e0cc&quot;,&quot;title&quot;:&quot;Mycorrhizal Symbiosis&quot;,&quot;author&quot;:[{&quot;family&quot;:&quot;Smith&quot;,&quot;given&quot;:&quot;Sally&quot;,&quot;parse-names&quot;:false,&quot;dropping-particle&quot;:&quot;&quot;,&quot;non-dropping-particle&quot;:&quot;&quot;},{&quot;family&quot;:&quot;Read&quot;,&quot;given&quot;:&quot;David&quot;,&quot;parse-names&quot;:false,&quot;dropping-particle&quot;:&quot;&quot;,&quot;non-dropping-particle&quot;:&quot;&quot;}],&quot;container-title&quot;:&quot;Mycorrhizal Symbiosis&quot;,&quot;accessed&quot;:{&quot;date-parts&quot;:[[2021,3,15]]},&quot;DOI&quot;:&quot;10.1016/B978-0-12-370526-6.X5001-6&quot;,&quot;ISBN&quot;:&quot;9780123705266&quot;,&quot;issued&quot;:{&quot;date-parts&quot;:[[2008]]},&quot;abstract&quot;:&quot;The roots of most plants are colonized by symbiotic fungi to form mycorrhiza, which play a critical role in the capture of nutrients from the soil and therefore in plant nutrition. Mycorrhizal Symbiosis is recognized as the definitive work in this area. Since the last edition was published there have been major advances in the field, particularly in the area of molecular biology, and the new edition has been fully revised and updated to incorporate these exciting new developments. . Over 50% new material . Includes expanded color plate section . Covers all aspects of mycorrhiza . Presents new taxonomy . Discusses the impact of proteomics and genomics on research in this area. © 2008 Elsevier Ltd All rights reserved.&quot;,&quot;publisher&quot;:&quot;Elsevier Ltd&quot;},&quot;isTemporary&quot;:false}],&quot;properties&quot;:{&quot;noteIndex&quot;:0},&quot;isEdited&quot;:false,&quot;manualOverride&quot;:{&quot;isManuallyOverridden&quot;:true,&quot;citeprocText&quot;:&quot;(S. Smith &amp;#38; Read, 2008)&quot;,&quot;manualOverrideText&quot;:&quot;(Smith &amp; Read, 2008)&quot;},&quot;citationTag&quot;:&quot;MENDELEY_CITATION_v3_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&quot;},{&quot;citationID&quot;:&quot;MENDELEY_CITATION_13735192-4241-4ff5-926e-d836bf72dc23&quot;,&quot;citationItems&quot;:[{&quot;id&quot;:&quot;b5c3d5b6-6e18-3e5a-a80e-232f84acd98d&quot;,&quot;itemData&quot;:{&quot;type&quot;:&quot;book&quot;,&quot;id&quot;:&quot;b5c3d5b6-6e18-3e5a-a80e-232f84acd98d&quot;,&quot;title&quot;:&quot;Arbuscular Mycorrhizas: Physiology and Function&quot;,&quot;author&quot;:[{&quot;family&quot;:&quot;Koltai&quot;,&quot;given&quot;:&quot;H.&quot;,&quot;parse-names&quot;:false,&quot;dropping-particle&quot;:&quot;&quot;,&quot;non-dropping-particle&quot;:&quot;&quot;},{&quot;family&quot;:&quot;Kapulnik&quot;,&quot;given&quot;:&quot;Y.&quot;,&quot;parse-names&quot;:false,&quot;dropping-particle&quot;:&quot;&quot;,&quot;non-dropping-particle&quot;:&quot;&quot;}],&quot;editor&quot;:[{&quot;family&quot;:&quot;Koltai&quot;,&quot;given&quot;:&quot;Hinanit&quot;,&quot;parse-names&quot;:false,&quot;dropping-particle&quot;:&quot;&quot;,&quot;non-dropping-particle&quot;:&quot;&quot;},{&quot;family&quot;:&quot;Kapulnik&quot;,&quot;given&quot;:&quot;Yoram&quot;,&quot;parse-names&quot;:false,&quot;dropping-particle&quot;:&quot;&quot;,&quot;non-dropping-particle&quot;:&quot;&quot;}],&quot;DOI&quot;:&quot;10.1007/978-90-481-9489-6&quot;,&quot;ISBN&quot;:&quot;978-90-481-9488-9&quot;,&quot;issued&quot;:{&quot;date-parts&quot;:[[2010]]},&quot;publisher-place&quot;:&quot;Dordrecht&quot;,&quot;number-of-pages&quot;:&quot;323&quot;,&quot;edition&quot;:&quot; 2th Edition. &quot;,&quot;publisher&quot;:&quot;Springer Netherlands&quot;},&quot;isTemporary&quot;:false}],&quot;properties&quot;:{&quot;noteIndex&quot;:0},&quot;isEdited&quot;:false,&quot;manualOverride&quot;:{&quot;isManuallyOverridden&quot;:false,&quot;citeprocText&quot;:&quot;(Koltai &amp;#38; Kapulnik, 2010)&quot;,&quot;manualOverrideText&quot;:&quot;&quot;},&quot;citationTag&quot;:&quot;MENDELEY_CITATION_v3_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&quot;},{&quot;citationID&quot;:&quot;MENDELEY_CITATION_438dabf9-8073-4a1d-9147-ba0e2ff3b2bd&quot;,&quot;citationItems&quot;:[{&quot;id&quot;:&quot;b3d45a95-d349-3881-8d8a-56707258c77e&quot;,&quot;itemData&quot;:{&quot;type&quot;:&quot;article-journal&quot;,&quot;id&quot;:&quot;b3d45a95-d349-3881-8d8a-56707258c77e&quot;,&quot;title&quot;:&quot;Green plants that feed on fungi: facts and questions about mixotrophy&quot;,&quot;author&quot;:[{&quot;family&quot;:&quot;Selosse&quot;,&quot;given&quot;:&quot;Marc-André&quot;,&quot;parse-names&quot;:false,&quot;dropping-particle&quot;:&quot;&quot;,&quot;non-dropping-particle&quot;:&quot;&quot;},{&quot;family&quot;:&quot;Roy&quot;,&quot;given&quot;:&quot;Mélanie&quot;,&quot;parse-names&quot;:false,&quot;dropping-particle&quot;:&quot;&quot;,&quot;non-dropping-particle&quot;:&quot;&quot;}],&quot;container-title&quot;:&quot;Trends in Plant Science&quot;,&quot;DOI&quot;:&quot;10.1016/j.tplants.2008.11.004&quot;,&quot;ISSN&quot;:&quot;13601385&quot;,&quot;issued&quot;:{&quot;date-parts&quot;:[[2009,2]]},&quot;issue&quot;:&quot;2&quot;,&quot;volume&quot;:&quot;14&quot;},&quot;isTemporary&quot;:false},{&quot;id&quot;:&quot;8dedc80d-10b7-37fd-8da9-e7625089be43&quot;,&quot;itemData&quot;:{&quot;type&quot;:&quot;article-journal&quot;,&quot;id&quot;:&quot;8dedc80d-10b7-37fd-8da9-e7625089be43&quot;,&quot;title&quot;:&quot;Growth Characteristics of Ectomycorrhizal Seedlings of Quercus glauca, Quercus salicina, Quercus myrsinaefolia, and Castanopsis cuspidata Planted in Calcareous Soil&quot;,&quot;author&quot;:[{&quot;family&quot;:&quot;Kayama&quot;,&quot;given&quot;:&quot;Masazumi&quot;,&quot;parse-names&quot;:false,&quot;dropping-particle&quot;:&quot;&quot;,&quot;non-dropping-particle&quot;:&quot;&quot;},{&quot;family&quot;:&quot;Yamanaka&quot;,&quot;given&quot;:&quot;Takashi&quot;,&quot;parse-names&quot;:false,&quot;dropping-particle&quot;:&quot;&quot;,&quot;non-dropping-particle&quot;:&quot;&quot;}],&quot;container-title&quot;:&quot;Forests&quot;,&quot;DOI&quot;:&quot;10.3390/f7110266&quot;,&quot;ISSN&quot;:&quot;1999-4907&quot;,&quot;issued&quot;:{&quot;date-parts&quot;:[[2016,11,5]]},&quot;issue&quot;:&quot;12&quot;,&quot;volume&quot;:&quot;7&quot;},&quot;isTemporary&quot;:false}],&quot;properties&quot;:{&quot;noteIndex&quot;:0},&quot;isEdited&quot;:false,&quot;manualOverride&quot;:{&quot;isManuallyOverridden&quot;:false,&quot;citeprocText&quot;:&quot;(Kayama &amp;#38; Yamanaka, 2016; Selosse &amp;#38; Roy, 2009)&quot;,&quot;manualOverrideText&quot;:&quot;&quot;},&quot;citationTag&quot;:&quot;MENDELEY_CITATION_v3_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&quot;},{&quot;citationID&quot;:&quot;MENDELEY_CITATION_fb473209-f03a-4768-84a0-8e1d5032556a&quot;,&quot;citationItems&quot;:[{&quot;id&quot;:&quot;0ebe67eb-8246-32d9-8375-203e914ab625&quot;,&quot;itemData&quot;:{&quot;type&quot;:&quot;article-journal&quot;,&quot;id&quot;:&quot;0ebe67eb-8246-32d9-8375-203e914ab625&quot;,&quot;title&quot;:&quot;Shifting carbon flow from roots into associated microbial communities in response to elevated atmospheric CO2&quot;,&quot;author&quot;:[{&quot;family&quot;:&quot;Drigo&quot;,&quot;given&quot;:&quot;B.&quot;,&quot;parse-names&quot;:false,&quot;dropping-particle&quot;:&quot;&quot;,&quot;non-dropping-particle&quot;:&quot;&quot;},{&quot;family&quot;:&quot;Pijl&quot;,&quot;given&quot;:&quot;A. S.&quot;,&quot;parse-names&quot;:false,&quot;dropping-particle&quot;:&quot;&quot;,&quot;non-dropping-particle&quot;:&quot;&quot;},{&quot;family&quot;:&quot;Duyts&quot;,&quot;given&quot;:&quot;H.&quot;,&quot;parse-names&quot;:false,&quot;dropping-particle&quot;:&quot;&quot;,&quot;non-dropping-particle&quot;:&quot;&quot;},{&quot;family&quot;:&quot;Kielak&quot;,&quot;given&quot;:&quot;A. M.&quot;,&quot;parse-names&quot;:false,&quot;dropping-particle&quot;:&quot;&quot;,&quot;non-dropping-particle&quot;:&quot;&quot;},{&quot;family&quot;:&quot;Gamper&quot;,&quot;given&quot;:&quot;H. A.&quot;,&quot;parse-names&quot;:false,&quot;dropping-particle&quot;:&quot;&quot;,&quot;non-dropping-particle&quot;:&quot;&quot;},{&quot;family&quot;:&quot;Houtekamer&quot;,&quot;given&quot;:&quot;M. J.&quot;,&quot;parse-names&quot;:false,&quot;dropping-particle&quot;:&quot;&quot;,&quot;non-dropping-particle&quot;:&quot;&quot;},{&quot;family&quot;:&quot;Boschker&quot;,&quot;given&quot;:&quot;H. T. S.&quot;,&quot;parse-names&quot;:false,&quot;dropping-particle&quot;:&quot;&quot;,&quot;non-dropping-particle&quot;:&quot;&quot;},{&quot;family&quot;:&quot;Bodelier&quot;,&quot;given&quot;:&quot;P. L. E.&quot;,&quot;parse-names&quot;:false,&quot;dropping-particle&quot;:&quot;&quot;,&quot;non-dropping-particle&quot;:&quot;&quot;},{&quot;family&quot;:&quot;Whiteley&quot;,&quot;given&quot;:&quot;A. S.&quot;,&quot;parse-names&quot;:false,&quot;dropping-particle&quot;:&quot;&quot;,&quot;non-dropping-particle&quot;:&quot;&quot;},{&quot;family&quot;:&quot;Veen&quot;,&quot;given&quot;:&quot;J. A.&quot;,&quot;parse-names&quot;:false,&quot;dropping-particle&quot;:&quot;v.&quot;,&quot;non-dropping-particle&quot;:&quot;&quot;},{&quot;family&quot;:&quot;Kowalchuk&quot;,&quot;given&quot;:&quot;G. A.&quot;,&quot;parse-names&quot;:false,&quot;dropping-particle&quot;:&quot;&quot;,&quot;non-dropping-particle&quot;:&quot;&quot;}],&quot;container-title&quot;:&quot;Proceedings of the National Academy of Sciences&quot;,&quot;DOI&quot;:&quot;10.1073/pnas.0912421107&quot;,&quot;ISSN&quot;:&quot;0027-8424&quot;,&quot;issued&quot;:{&quot;date-parts&quot;:[[2010,6,15]]},&quot;issue&quot;:&quot;24&quot;,&quot;volume&quot;:&quot;107&quot;},&quot;isTemporary&quot;:false},{&quot;id&quot;:&quot;2bac983b-3020-346d-a530-f1726daaad6b&quot;,&quot;itemData&quot;:{&quot;type&quot;:&quot;article&quot;,&quot;id&quot;:&quot;2bac983b-3020-346d-a530-f1726daaad6b&quot;,&quot;title&quot;:&quot;Regulation of resource exchange in the arbuscular mycorrhizal symbiosis&quot;,&quot;author&quot;:[{&quot;family&quot;:&quot;Walder&quot;,&quot;given&quot;:&quot;Florian&quot;,&quot;parse-names&quot;:false,&quot;dropping-particle&quot;:&quot;&quot;,&quot;non-dropping-particle&quot;:&quot;&quot;},{&quot;family&quot;:&quot;Heijden&quot;,&quot;given&quot;:&quot;Marcel G.A.&quot;,&quot;parse-names&quot;:false,&quot;dropping-particle&quot;:&quot;&quot;,&quot;non-dropping-particle&quot;:&quot;van der&quot;}],&quot;container-title&quot;:&quot;Nature Plants&quot;,&quot;DOI&quot;:&quot;10.1038/nplants.2015.159&quot;,&quot;ISSN&quot;:&quot;2055026X&quot;,&quot;issued&quot;:{&quot;date-parts&quot;:[[2015,11,3]]},&quot;abstract&quot;:&quot;Arbuscular mycorrhizal (AM) fungi are one of the most important groups of plant symbionts. These fungi provide mineral nutrients to plants in exchange for carbon. Although substantial amounts of resources are exchanged, the factors that regulate trade in the AM symbiosis are poorly understood. Recent evidence for the reciprocally regulated exchange of resources by AM fungi and plants has led to the suggestion that these symbioses operate according to biological market dynamics, in which interactions are viewed from an economic perspective, and the most beneficial partners are favoured. Here we present five arguments that challenge the importance of reciprocally regulated exchange, and thereby market dynamics, for resource exchange in the AM symbiosis, and suggest that such reciprocity is only found in a subset of symbionts, under specific conditions. We instead propose that resource exchange in the AM symbiosis is determined by competition for surplus resources, functional diversity and sink strength.&quot;,&quot;publisher&quot;:&quot;Palgrave Macmillan Ltd.&quot;,&quot;volume&quot;:&quot;1&quot;},&quot;isTemporary&quot;:false}],&quot;properties&quot;:{&quot;noteIndex&quot;:0},&quot;isEdited&quot;:false,&quot;manualOverride&quot;:{&quot;isManuallyOverridden&quot;:true,&quot;citeprocText&quot;:&quot;(Drigo et al., 2010; Walder &amp;#38; van der Heijden, 2015b)&quot;,&quot;manualOverrideText&quot;:&quot;(Drigo et al., 2010; Walder &amp; van der Heijden, 2015)&quot;},&quot;citationTag&quot;:&quot;MENDELEY_CITATION_v3_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&quot;},{&quot;citationID&quot;:&quot;MENDELEY_CITATION_54da1b54-1019-44e3-8ffe-804e449ec09a&quot;,&quot;citationItems&quot;:[{&quot;id&quot;:&quot;edc19532-39c6-3f89-bfed-252dee93e8a1&quot;,&quot;itemData&quot;:{&quot;type&quot;:&quot;article-journal&quot;,&quot;id&quot;:&quot;edc19532-39c6-3f89-bfed-252dee93e8a1&quot;,&quot;title&quot;:&quot;Microbial interactions in the mycorrhizosphere and their significance for sustainable agriculture&quot;,&quot;author&quot;:[{&quot;family&quot;:&quot;Johansson&quot;,&quot;given&quot;:&quot;Jonas F.&quot;,&quot;parse-names&quot;:false,&quot;dropping-particle&quot;:&quot;&quot;,&quot;non-dropping-particle&quot;:&quot;&quot;},{&quot;family&quot;:&quot;Paul&quot;,&quot;given&quot;:&quot;Leslie R.&quot;,&quot;parse-names&quot;:false,&quot;dropping-particle&quot;:&quot;&quot;,&quot;non-dropping-particle&quot;:&quot;&quot;},{&quot;family&quot;:&quot;Finlay&quot;,&quot;given&quot;:&quot;Roger D.&quot;,&quot;parse-names&quot;:false,&quot;dropping-particle&quot;:&quot;&quot;,&quot;non-dropping-particle&quot;:&quot;&quot;}],&quot;container-title&quot;:&quot;FEMS Microbiology Ecology&quot;,&quot;DOI&quot;:&quot;10.1016/j.femsec.2003.11.012&quot;,&quot;ISSN&quot;:&quot;01686496&quot;,&quot;issued&quot;:{&quot;date-parts&quot;:[[2004,4]]},&quot;issue&quot;:&quot;1&quot;,&quot;volume&quot;:&quot;48&quot;},&quot;isTemporary&quot;:false}],&quot;properties&quot;:{&quot;noteIndex&quot;:0},&quot;isEdited&quot;:false,&quot;manualOverride&quot;:{&quot;isManuallyOverridden&quot;:false,&quot;citeprocText&quot;:&quot;(Johansson et al., 2004)&quot;,&quot;manualOverrideText&quot;:&quot;&quot;},&quot;citationTag&quot;:&quot;MENDELEY_CITATION_v3_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&quot;},{&quot;citationID&quot;:&quot;MENDELEY_CITATION_eba65129-08a3-4637-b6de-b5d03d0cc150&quot;,&quot;citationItems&quot;:[{&quot;id&quot;:&quot;edc19532-39c6-3f89-bfed-252dee93e8a1&quot;,&quot;itemData&quot;:{&quot;type&quot;:&quot;article-journal&quot;,&quot;id&quot;:&quot;edc19532-39c6-3f89-bfed-252dee93e8a1&quot;,&quot;title&quot;:&quot;Microbial interactions in the mycorrhizosphere and their significance for sustainable agriculture&quot;,&quot;author&quot;:[{&quot;family&quot;:&quot;Johansson&quot;,&quot;given&quot;:&quot;Jonas F.&quot;,&quot;parse-names&quot;:false,&quot;dropping-particle&quot;:&quot;&quot;,&quot;non-dropping-particle&quot;:&quot;&quot;},{&quot;family&quot;:&quot;Paul&quot;,&quot;given&quot;:&quot;Leslie R.&quot;,&quot;parse-names&quot;:false,&quot;dropping-particle&quot;:&quot;&quot;,&quot;non-dropping-particle&quot;:&quot;&quot;},{&quot;family&quot;:&quot;Finlay&quot;,&quot;given&quot;:&quot;Roger D.&quot;,&quot;parse-names&quot;:false,&quot;dropping-particle&quot;:&quot;&quot;,&quot;non-dropping-particle&quot;:&quot;&quot;}],&quot;container-title&quot;:&quot;FEMS Microbiology Ecology&quot;,&quot;DOI&quot;:&quot;10.1016/j.femsec.2003.11.012&quot;,&quot;ISSN&quot;:&quot;01686496&quot;,&quot;issued&quot;:{&quot;date-parts&quot;:[[2004,4]]},&quot;issue&quot;:&quot;1&quot;,&quot;volume&quot;:&quot;48&quot;},&quot;isTemporary&quot;:false}],&quot;properties&quot;:{&quot;noteIndex&quot;:0},&quot;isEdited&quot;:false,&quot;manualOverride&quot;:{&quot;isManuallyOverridden&quot;:false,&quot;citeprocText&quot;:&quot;(Johansson et al., 2004)&quot;,&quot;manualOverrideText&quot;:&quot;&quot;},&quot;citationTag&quot;:&quot;MENDELEY_CITATION_v3_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&quot;},{&quot;citationID&quot;:&quot;MENDELEY_CITATION_84615e0c-2bc4-4c07-85c4-76a1e7126492&quot;,&quot;citationItems&quot;:[{&quot;id&quot;:&quot;9e362ff3-1a74-32a9-be25-fba94f5126bc&quot;,&quot;itemData&quot;:{&quot;type&quot;:&quot;book&quot;,&quot;id&quot;:&quot;9e362ff3-1a74-32a9-be25-fba94f5126bc&quot;,&quot;title&quot;:&quot;Mycorrhizal symbiosis. &quot;,&quot;author&quot;:[{&quot;family&quot;:&quot;Smith&quot;,&quot;given&quot;:&quot;S. E.&quot;,&quot;parse-names&quot;:false,&quot;dropping-particle&quot;:&quot;&quot;,&quot;non-dropping-particle&quot;:&quot;&quot;},{&quot;family&quot;:&quot;&amp; Read&quot;,&quot;given&quot;:&quot;D. J.&quot;,&quot;parse-names&quot;:false,&quot;dropping-particle&quot;:&quot;&quot;,&quot;non-dropping-particle&quot;:&quot;&quot;}],&quot;editor&quot;:[{&quot;family&quot;:&quot;Academic Press&quot;,&quot;given&quot;:&quot;.&quot;,&quot;parse-names&quot;:false,&quot;dropping-particle&quot;:&quot;&quot;,&quot;non-dropping-particle&quot;:&quot;&quot;}],&quot;issued&quot;:{&quot;date-parts&quot;:[[1997]]},&quot;publisher-place&quot;:&quot;London&quot;},&quot;isTemporary&quot;:false}],&quot;properties&quot;:{&quot;noteIndex&quot;:0},&quot;isEdited&quot;:false,&quot;manualOverride&quot;:{&quot;isManuallyOverridden&quot;:true,&quot;citeprocText&quot;:&quot;(S. E. Smith &amp;#38; &amp;#38; Read, 1997)&quot;,&quot;manualOverrideText&quot;:&quot;(Smith &amp; &amp; Read, 1997)&quot;},&quot;citationTag&quot;:&quot;MENDELEY_CITATION_v3_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&quot;},{&quot;citationID&quot;:&quot;MENDELEY_CITATION_0cbbaf90-7125-4d95-8870-3f3cf41a9852&quot;,&quot;citationItems&quot;:[{&quot;id&quot;:&quot;88b5bc85-95ec-3e78-ac0a-e680d234693a&quot;,&quot;itemData&quot;:{&quot;type&quot;:&quot;article-journal&quot;,&quot;id&quot;:&quot;88b5bc85-95ec-3e78-ac0a-e680d234693a&quot;,&quot;title&quot;:&quot;PGPR mediated management of stem blight of &lt;i&gt;Phyllanthus amarus&lt;/i&gt; (Schum and Thonn) caused by &lt;i&gt;Corynespora cassiicola&lt;/i&gt; (Berk and Curt) Wei&quot;,&quot;author&quot;:[{&quot;family&quot;:&quot;Mathiyazhagan&quot;,&quot;given&quot;:&quot;S&quot;,&quot;parse-names&quot;:false,&quot;dropping-particle&quot;:&quot;&quot;,&quot;non-dropping-particle&quot;:&quot;&quot;},{&quot;family&quot;:&quot;Kavitha&quot;,&quot;given&quot;:&quot;K&quot;,&quot;parse-names&quot;:false,&quot;dropping-particle&quot;:&quot;&quot;,&quot;non-dropping-particle&quot;:&quot;&quot;},{&quot;family&quot;:&quot;Nakkeeran&quot;,&quot;given&quot;:&quot;S&quot;,&quot;parse-names&quot;:false,&quot;dropping-particle&quot;:&quot;&quot;,&quot;non-dropping-particle&quot;:&quot;&quot;},{&quot;family&quot;:&quot;Chandrasekar&quot;,&quot;given&quot;:&quot;G&quot;,&quot;parse-names&quot;:false,&quot;dropping-particle&quot;:&quot;&quot;,&quot;non-dropping-particle&quot;:&quot;&quot;},{&quot;family&quot;:&quot;Manian&quot;,&quot;given&quot;:&quot;K&quot;,&quot;parse-names&quot;:false,&quot;dropping-particle&quot;:&quot;&quot;,&quot;non-dropping-particle&quot;:&quot;&quot;},{&quot;family&quot;:&quot;Renukadevi&quot;,&quot;given&quot;:&quot;P&quot;,&quot;parse-names&quot;:false,&quot;dropping-particle&quot;:&quot;&quot;,&quot;non-dropping-particle&quot;:&quot;&quot;},{&quot;family&quot;:&quot;Krishnamoorthy&quot;,&quot;given&quot;:&quot;AS&quot;,&quot;parse-names&quot;:false,&quot;dropping-particle&quot;:&quot;&quot;,&quot;non-dropping-particle&quot;:&quot;&quot;},{&quot;family&quot;:&quot;Fernando&quot;,&quot;given&quot;:&quot;WGD&quot;,&quot;parse-names&quot;:false,&quot;dropping-particle&quot;:&quot;&quot;,&quot;non-dropping-particle&quot;:&quot;&quot;}],&quot;container-title&quot;:&quot;Archives Of Phytopathology And Plant Protection&quot;,&quot;DOI&quot;:&quot;10.1080/03235400410001730658&quot;,&quot;ISSN&quot;:&quot;0323-5408&quot;,&quot;issued&quot;:{&quot;date-parts&quot;:[[2004,8]]},&quot;issue&quot;:&quot;3&quot;,&quot;volume&quot;:&quot;37&quot;},&quot;isTemporary&quot;:false}],&quot;properties&quot;:{&quot;noteIndex&quot;:0},&quot;isEdited&quot;:false,&quot;manualOverride&quot;:{&quot;isManuallyOverridden&quot;:false,&quot;citeprocText&quot;:&quot;(Mathiyazhagan et al., 2004)&quot;,&quot;manualOverrideText&quot;:&quot;&quot;},&quot;citationTag&quot;:&quot;MENDELEY_CITATION_v3_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&quot;},{&quot;citationID&quot;:&quot;MENDELEY_CITATION_f9b60dc9-c29e-449f-8d80-5bd22c017db8&quot;,&quot;citationItems&quot;:[{&quot;id&quot;:&quot;6ddfc355-45f4-38e2-9dde-cd5418ba330d&quot;,&quot;itemData&quot;:{&quot;type&quot;:&quot;article-journal&quot;,&quot;id&quot;:&quot;6ddfc355-45f4-38e2-9dde-cd5418ba330d&quot;,&quot;title&quot;:&quot;Evaluation of plant growth-promoting rhizobacteria for control of Phytophthora blight on squash under greenhouse conditions&quot;,&quot;author&quot;:[{&quot;family&quot;:&quot;Zhang&quot;,&quot;given&quot;:&quot;Shouan&quot;,&quot;parse-names&quot;:false,&quot;dropping-particle&quot;:&quot;&quot;,&quot;non-dropping-particle&quot;:&quot;&quot;},{&quot;family&quot;:&quot;White&quot;,&quot;given&quot;:&quot;Thomas L.&quot;,&quot;parse-names&quot;:false,&quot;dropping-particle&quot;:&quot;&quot;,&quot;non-dropping-particle&quot;:&quot;&quot;},{&quot;family&quot;:&quot;Martinez&quot;,&quot;given&quot;:&quot;Miriam C.&quot;,&quot;parse-names&quot;:false,&quot;dropping-particle&quot;:&quot;&quot;,&quot;non-dropping-particle&quot;:&quot;&quot;},{&quot;family&quot;:&quot;McInroy&quot;,&quot;given&quot;:&quot;John A.&quot;,&quot;parse-names&quot;:false,&quot;dropping-particle&quot;:&quot;&quot;,&quot;non-dropping-particle&quot;:&quot;&quot;},{&quot;family&quot;:&quot;Kloepper&quot;,&quot;given&quot;:&quot;Joseph W.&quot;,&quot;parse-names&quot;:false,&quot;dropping-particle&quot;:&quot;&quot;,&quot;non-dropping-particle&quot;:&quot;&quot;},{&quot;family&quot;:&quot;Klassen&quot;,&quot;given&quot;:&quot;Waldemar&quot;,&quot;parse-names&quot;:false,&quot;dropping-particle&quot;:&quot;&quot;,&quot;non-dropping-particle&quot;:&quot;&quot;}],&quot;container-title&quot;:&quot;Biological Control&quot;,&quot;DOI&quot;:&quot;10.1016/j.biocontrol.2009.10.015&quot;,&quot;ISSN&quot;:&quot;10499644&quot;,&quot;issued&quot;:{&quot;date-parts&quot;:[[2010,4]]},&quot;issue&quot;:&quot;1&quot;,&quot;volume&quot;:&quot;53&quot;},&quot;isTemporary&quot;:false}],&quot;properties&quot;:{&quot;noteIndex&quot;:0},&quot;isEdited&quot;:false,&quot;manualOverride&quot;:{&quot;isManuallyOverridden&quot;:true,&quot;citeprocText&quot;:&quot;(S. Zhang et al., 2010)&quot;,&quot;manualOverrideText&quot;:&quot;(Zhang et al., 2010)&quot;},&quot;citationTag&quot;:&quot;MENDELEY_CITATION_v3_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&quot;},{&quot;citationID&quot;:&quot;MENDELEY_CITATION_0a4b38fd-f961-4174-aebf-7f5dcf68f6f5&quot;,&quot;citationItems&quot;:[{&quot;id&quot;:&quot;0b41cc8c-50b3-3077-8066-e011c138ad20&quot;,&quot;itemData&quot;:{&quot;type&quot;:&quot;article-journal&quot;,&quot;id&quot;:&quot;0b41cc8c-50b3-3077-8066-e011c138ad20&quot;,&quot;title&quot;:&quot;Isolation and partial characterization of Bacillus subtilis ME488 for suppression of soilborne pathogens of cucumber and pepper&quot;,&quot;author&quot;:[{&quot;family&quot;:&quot;Chung&quot;,&quot;given&quot;:&quot;Soohee&quot;,&quot;parse-names&quot;:false,&quot;dropping-particle&quot;:&quot;&quot;,&quot;non-dropping-particle&quot;:&quot;&quot;},{&quot;family&quot;:&quot;Kong&quot;,&quot;given&quot;:&quot;Hyesuk&quot;,&quot;parse-names&quot;:false,&quot;dropping-particle&quot;:&quot;&quot;,&quot;non-dropping-particle&quot;:&quot;&quot;},{&quot;family&quot;:&quot;Buyer&quot;,&quot;given&quot;:&quot;Jeffrey S.&quot;,&quot;parse-names&quot;:false,&quot;dropping-particle&quot;:&quot;&quot;,&quot;non-dropping-particle&quot;:&quot;&quot;},{&quot;family&quot;:&quot;Lakshman&quot;,&quot;given&quot;:&quot;Dilip K.&quot;,&quot;parse-names&quot;:false,&quot;dropping-particle&quot;:&quot;&quot;,&quot;non-dropping-particle&quot;:&quot;&quot;},{&quot;family&quot;:&quot;Lydon&quot;,&quot;given&quot;:&quot;John&quot;,&quot;parse-names&quot;:false,&quot;dropping-particle&quot;:&quot;&quot;,&quot;non-dropping-particle&quot;:&quot;&quot;},{&quot;family&quot;:&quot;Kim&quot;,&quot;given&quot;:&quot;Sang-Dal&quot;,&quot;parse-names&quot;:false,&quot;dropping-particle&quot;:&quot;&quot;,&quot;non-dropping-particle&quot;:&quot;&quot;},{&quot;family&quot;:&quot;Roberts&quot;,&quot;given&quot;:&quot;Daniel P.&quot;,&quot;parse-names&quot;:false,&quot;dropping-particle&quot;:&quot;&quot;,&quot;non-dropping-particle&quot;:&quot;&quot;}],&quot;container-title&quot;:&quot;Applied Microbiology and Biotechnology&quot;,&quot;DOI&quot;:&quot;10.1007/s00253-008-1520-4&quot;,&quot;ISSN&quot;:&quot;0175-7598&quot;,&quot;issued&quot;:{&quot;date-parts&quot;:[[2008,8,1]]},&quot;issue&quot;:&quot;1&quot;,&quot;volume&quot;:&quot;80&quot;},&quot;isTemporary&quot;:false}],&quot;properties&quot;:{&quot;noteIndex&quot;:0},&quot;isEdited&quot;:false,&quot;manualOverride&quot;:{&quot;isManuallyOverridden&quot;:false,&quot;citeprocText&quot;:&quot;(Chung et al., 2008)&quot;,&quot;manualOverrideText&quot;:&quot;&quot;},&quot;citationTag&quot;:&quot;MENDELEY_CITATION_v3_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&quot;},{&quot;citationID&quot;:&quot;MENDELEY_CITATION_cf739fe7-9103-4b9d-b35f-876b90030291&quot;,&quot;citationItems&quot;:[{&quot;id&quot;:&quot;e35aea44-9ce6-357e-93ee-6b5c93ed41a5&quot;,&quot;itemData&quot;:{&quot;type&quot;:&quot;article-journal&quot;,&quot;id&quot;:&quot;e35aea44-9ce6-357e-93ee-6b5c93ed41a5&quot;,&quot;title&quot;:&quot;Contrasting patterns in biomass allocation, root morphology and mycorrhizal symbiosis for phosphorus acquisition among 20 chickpea genotypes with different amounts of rhizosheath carboxylates&quot;,&quot;author&quot;:[{&quot;family&quot;:&quot;Wen&quot;,&quot;given&quot;:&quot;Zhihui&quot;,&quot;parse-names&quot;:false,&quot;dropping-particle&quot;:&quot;&quot;,&quot;non-dropping-particle&quot;:&quot;&quot;},{&quot;family&quot;:&quot;Pang&quot;,&quot;given&quot;:&quot;Jiayin&quot;,&quot;parse-names&quot;:false,&quot;dropping-particle&quot;:&quot;&quot;,&quot;non-dropping-particle&quot;:&quot;&quot;},{&quot;family&quot;:&quot;Tueux&quot;,&quot;given&quot;:&quot;Guillaume&quot;,&quot;parse-names&quot;:false,&quot;dropping-particle&quot;:&quot;&quot;,&quot;non-dropping-particle&quot;:&quot;&quot;},{&quot;family&quot;:&quot;Liu&quot;,&quot;given&quot;:&quot;Yifei&quot;,&quot;parse-names&quot;:false,&quot;dropping-particle&quot;:&quot;&quot;,&quot;non-dropping-particle&quot;:&quot;&quot;},{&quot;family&quot;:&quot;Shen&quot;,&quot;given&quot;:&quot;Jianbo&quot;,&quot;parse-names&quot;:false,&quot;dropping-particle&quot;:&quot;&quot;,&quot;non-dropping-particle&quot;:&quot;&quot;},{&quot;family&quot;:&quot;Ryan&quot;,&quot;given&quot;:&quot;Megan H.&quot;,&quot;parse-names&quot;:false,&quot;dropping-particle&quot;:&quot;&quot;,&quot;non-dropping-particle&quot;:&quot;&quot;},{&quot;family&quot;:&quot;Lambers&quot;,&quot;given&quot;:&quot;Hans&quot;,&quot;parse-names&quot;:false,&quot;dropping-particle&quot;:&quot;&quot;,&quot;non-dropping-particle&quot;:&quot;&quot;},{&quot;family&quot;:&quot;Siddique&quot;,&quot;given&quot;:&quot;Kadambot H.M.&quot;,&quot;parse-names&quot;:false,&quot;dropping-particle&quot;:&quot;&quot;,&quot;non-dropping-particle&quot;:&quot;&quot;}],&quot;container-title&quot;:&quot;Functional Ecology&quot;,&quot;accessed&quot;:{&quot;date-parts&quot;:[[2021,3,7]]},&quot;DOI&quot;:&quot;10.1111/1365-2435.13562&quot;,&quot;ISSN&quot;:&quot;13652435&quot;,&quot;issued&quot;:{&quot;date-parts&quot;:[[2020,7,1]]},&quot;page&quot;:&quot;1311-1324&quot;,&quot;abstract&quot;:&quot;Adjustments in root biomass allocation, root morphology, carboxylate exudation and mycorrhizal symbiosis are well-known strategies for plants to cope with phosphorus (P) deficiency. Large genotypic variation in these functional traits has been demonstrated within numerous species. Yet, whether these functional traits are coordinated differently among genotypes of a species to enhance P acquisition remains unknown. We characterized 11 root functional traits associated with P acquisition in 20 chickpea genotypes with contrasting amounts of rhizosheath carboxylates, grown in a glasshouse with severely limiting insoluble (10 mg/kg FePO4), moderately limiting soluble (10 mg/kg KH2PO4) and adequate (50 mg/kg KH2PO4) P supply. Substantial variation was found among genotypes in root functional traits associated with P acquisition. Genotypes with a large amount of carboxylates (HRC) had thinner roots, and a lower root mass fraction and root mass density (RMD), but higher specific root length (SRL) and colonization by arbuscular mycorrhizal fungi (AMF) than genotypes with a small amount of rhizosheath carboxylates. In response to soil P availability, chickpea genotypes showed large plasticity in root biomass allocation, rhizosheath pH, carboxylate amount and colonization by AMF, but a limited response in most root morphological traits (i.e. mean root diameter, RMD and SRL). Shoot P content was strongly correlated with different root functional traits in the three P treatments. Our findings suggest a range of predictable relationships between root functional traits among chickpea genotypes; those with HRC tended to have relatively thinner roots with lower cost of root construction, while allocating more resources to carboxylate exudation and colonization by AMF. The shift in the relationships between shoot P content and root functional traits indicates that root traits and/or trait combinations in chickpea vary in a manner that enhances P acquisition under specific soil P conditions (i.e. P sources/levels). Such knowledge provides valuable information for chickpea genotype breeding and our understanding of evolution of traits with improved root/rhizosphere functioning. A free Plain Language Summary can be found within the Supporting Information of this article.&quot;,&quot;publisher&quot;:&quot;Blackwell Publishing Ltd&quot;,&quot;issue&quot;:&quot;7&quot;,&quot;volume&quot;:&quot;34&quot;},&quot;isTemporary&quot;:false}],&quot;properties&quot;:{&quot;noteIndex&quot;:0},&quot;isEdited&quot;:false,&quot;manualOverride&quot;:{&quot;isManuallyOverriden&quot;:false,&quot;citeprocText&quot;:&quot;(Wen et al., 2020)&quot;,&quot;manualOverrideText&quot;:&quot;&quot;},&quot;citationTag&quot;:&quot;MENDELEY_CITATION_v3_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&quot;},{&quot;citationID&quot;:&quot;MENDELEY_CITATION_b9a8b2be-ef6e-4321-96c7-043ab813821a&quot;,&quot;citationItems&quot;:[{&quot;id&quot;:&quot;3f0a9b1a-1b8d-3199-9e1e-346537019cc3&quot;,&quot;itemData&quot;:{&quot;type&quot;:&quot;article-journal&quot;,&quot;id&quot;:&quot;3f0a9b1a-1b8d-3199-9e1e-346537019cc3&quot;,&quot;title&quot;:&quot;Mycorrhizal responsiveness of maize (Zea mays L.) genotypes as related to releasing date and available P content in soil&quot;,&quot;author&quot;:[{&quot;family&quot;:&quot;Chu&quot;,&quot;given&quot;:&quot;Qun&quot;,&quot;parse-names&quot;:false,&quot;dropping-particle&quot;:&quot;&quot;,&quot;non-dropping-particle&quot;:&quot;&quot;},{&quot;family&quot;:&quot;Wang&quot;,&quot;given&quot;:&quot;Xinxin&quot;,&quot;parse-names&quot;:false,&quot;dropping-particle&quot;:&quot;&quot;,&quot;non-dropping-particle&quot;:&quot;&quot;},{&quot;family&quot;:&quot;Yang&quot;,&quot;given&quot;:&quot;Yang&quot;,&quot;parse-names&quot;:false,&quot;dropping-particle&quot;:&quot;&quot;,&quot;non-dropping-particle&quot;:&quot;&quot;},{&quot;family&quot;:&quot;Chen&quot;,&quot;given&quot;:&quot;Fanjun&quot;,&quot;parse-names&quot;:false,&quot;dropping-particle&quot;:&quot;&quot;,&quot;non-dropping-particle&quot;:&quot;&quot;},{&quot;family&quot;:&quot;Zhang&quot;,&quot;given&quot;:&quot;Fusuo&quot;,&quot;parse-names&quot;:false,&quot;dropping-particle&quot;:&quot;&quot;,&quot;non-dropping-particle&quot;:&quot;&quot;},{&quot;family&quot;:&quot;Feng&quot;,&quot;given&quot;:&quot;Gu&quot;,&quot;parse-names&quot;:false,&quot;dropping-particle&quot;:&quot;&quot;,&quot;non-dropping-particle&quot;:&quot;&quot;}],&quot;container-title&quot;:&quot;Mycorrhiza&quot;,&quot;DOI&quot;:&quot;10.1007/s00572-013-0492-0&quot;,&quot;ISSN&quot;:&quot;09406360&quot;,&quot;PMID&quot;:&quot;23503868&quot;,&quot;issued&quot;:{&quot;date-parts&quot;:[[2013,8]]},&quot;page&quot;:&quot;497-505&quot;,&quot;abstract&quot;:&quot;The aim of this study was to compare the mycorrhizal responsiveness among old and recent Chinese maize genotypes (released from 1950s to 2008) in low- and high-Olsen-P soils and to identify parameters that would indicate the relationships between the mycorrhizal responsiveness and the functional traits related to P uptake of maize. A greenhouse factorial experiment was conducted. The factors were maize genotype [Huangmaya (HMY), Zhongdan 2 (ZD2), Nongda 108 (ND108), and NE15], inoculation with or without arbuscular mycorrhizal fungi (AMF) (Rhizophagus irregularis), and Olsen-P levels (4, 9, 18, 36, or 60 mg P kg-1). Old and recently released genotypes differed in their response to AMF under low- and high-P supply. Three kinds of responses (in terms of shoot growth) were observed: the response was positive if the soil P content was low, but negative if the soil Olsen-P content was high (HMY and ND108); the response was neutral regardless of soil P content (ZD2); and the response was positive regardless of soil P content (NE15). Principle component (PC) analysis showed that the first PC comprised morphological and physiological traits of maize roots, and the second PC comprised mycorrhizal traits. The opposite was the case, however, in high-P soil. It is concluded that maize breeding selection from 1950s to 2000s is not always against the AM association and that AMF play positive roles in promoting the growth of some maize genotypes in high-P soil. The root length colonization by efficient AMF might be a useful parameter for breeding varieties with increased mycorrhizal responsiveness. © 2013 Springer-Verlag Berlin Heidelberg.&quot;,&quot;issue&quot;:&quot;6&quot;,&quot;volume&quot;:&quot;23&quot;},&quot;isTemporary&quot;:false},{&quot;id&quot;:&quot;7bd519f4-1782-3411-9f2d-a23a072b5264&quot;,&quot;itemData&quot;:{&quot;type&quot;:&quot;article-journal&quot;,&quot;id&quot;:&quot;7bd519f4-1782-3411-9f2d-a23a072b5264&quot;,&quot;title&quot;:&quot;Soil plant-available phosphorus levels and maize genotypes determine the phosphorus acquisition efficiency and contribution of mycorrhizal pathway&quot;,&quot;author&quot;:[{&quot;family&quot;:&quot;Chu&quot;,&quot;given&quot;:&quot;Qun&quot;,&quot;parse-names&quot;:false,&quot;dropping-particle&quot;:&quot;&quot;,&quot;non-dropping-particle&quot;:&quot;&quot;},{&quot;family&quot;:&quot;Zhang&quot;,&quot;given&quot;:&quot;Lin&quot;,&quot;parse-names&quot;:false,&quot;dropping-particle&quot;:&quot;&quot;,&quot;non-dropping-particle&quot;:&quot;&quot;},{&quot;family&quot;:&quot;Zhou&quot;,&quot;given&quot;:&quot;Jianwei&quot;,&quot;parse-names&quot;:false,&quot;dropping-particle&quot;:&quot;&quot;,&quot;non-dropping-particle&quot;:&quot;&quot;},{&quot;family&quot;:&quot;Yuan&quot;,&quot;given&quot;:&quot;Lixing&quot;,&quot;parse-names&quot;:false,&quot;dropping-particle&quot;:&quot;&quot;,&quot;non-dropping-particle&quot;:&quot;&quot;},{&quot;family&quot;:&quot;Chen&quot;,&quot;given&quot;:&quot;Fanjun&quot;,&quot;parse-names&quot;:false,&quot;dropping-particle&quot;:&quot;&quot;,&quot;non-dropping-particle&quot;:&quot;&quot;},{&quot;family&quot;:&quot;Zhang&quot;,&quot;given&quot;:&quot;Fusuo&quot;,&quot;parse-names&quot;:false,&quot;dropping-particle&quot;:&quot;&quot;,&quot;non-dropping-particle&quot;:&quot;&quot;},{&quot;family&quot;:&quot;Feng&quot;,&quot;given&quot;:&quot;Gu&quot;,&quot;parse-names&quot;:false,&quot;dropping-particle&quot;:&quot;&quot;,&quot;non-dropping-particle&quot;:&quot;&quot;},{&quot;family&quot;:&quot;Rengel&quot;,&quot;given&quot;:&quot;Zed&quot;,&quot;parse-names&quot;:false,&quot;dropping-particle&quot;:&quot;&quot;,&quot;non-dropping-particle&quot;:&quot;&quot;}],&quot;container-title&quot;:&quot;Plant and Soil&quot;,&quot;DOI&quot;:&quot;10.1007/s11104-020-04494-4&quot;,&quot;ISSN&quot;:&quot;15735036&quot;,&quot;issued&quot;:{&quot;date-parts&quot;:[[2020,4,1]]},&quot;page&quot;:&quot;357-371&quot;,&quot;abstract&quot;:&quot;Aims: Arbuscular mycorrhizal fungi play important roles in plant phosphorus (P) accumulation. The aim of this study was to uncover how and to what extent soil plant-available P levels and maize genotypes influence the contribution of mycorrhizal P uptake pathway to plant P nutrition. Methods: We selected an old genotype HMY and a modern genotype XY335, combined with 32P labeling and qPCR to quantify P uptake efficiency of the direct pathway (DP) and the mycorrhizal pathway (MP) at three Olsen-P levels: 4.5 (low), 8 (medium) and 50 (high) mg kg−1. Results: The P uptake efficiency ratio PAE-MP/PAE-DP was highest in the treatment with medium Olsen-P, and was correlated positively with MP contribution. The traits of arbuscular mycorrhizal fungi, such as percent colonization, hyphal length density, P uptake per unit hyphae length, and the expression of the mycorrhiza-specific P transporter ZmPT1;6 were higher in XY335 than HMY in high-P soil, which was in accordance with the importance of the MP contribution. Conclusions: Greater mycorrhizal responsiveness in the modern maize genotype than the old genotype under high P soil condition is related to higher P uptake efficiency of MP than DP; the inherent potential of MP can be maximized by managing soil plant P availability to achieve optimal P supply in intensive farming.&quot;,&quot;publisher&quot;:&quot;Springer&quot;,&quot;issue&quot;:&quot;1-2&quot;,&quot;volume&quot;:&quot;449&quot;},&quot;isTemporary&quot;:false}],&quot;properties&quot;:{&quot;noteIndex&quot;:0},&quot;isEdited&quot;:false,&quot;manualOverride&quot;:{&quot;isManuallyOverriden&quot;:false,&quot;citeprocText&quot;:&quot;(Chu et al., 2013a, 2020a)&quot;,&quot;manualOverrideText&quot;:&quot;(Chu et al., 2013, 2020)&quot;,&quot;isManuallyOverridden&quot;:true},&quot;citationTag&quot;:&quot;MENDELEY_CITATION_v3_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&quot;},{&quot;citationID&quot;:&quot;MENDELEY_CITATION_7096d9d9-d211-4d45-bae9-dd09c95ed57b&quot;,&quot;citationItems&quot;:[{&quot;id&quot;:&quot;3f0a9b1a-1b8d-3199-9e1e-346537019cc3&quot;,&quot;itemData&quot;:{&quot;type&quot;:&quot;article-journal&quot;,&quot;id&quot;:&quot;3f0a9b1a-1b8d-3199-9e1e-346537019cc3&quot;,&quot;title&quot;:&quot;Mycorrhizal responsiveness of maize (Zea mays L.) genotypes as related to releasing date and available P content in soil&quot;,&quot;author&quot;:[{&quot;family&quot;:&quot;Chu&quot;,&quot;given&quot;:&quot;Qun&quot;,&quot;parse-names&quot;:false,&quot;dropping-particle&quot;:&quot;&quot;,&quot;non-dropping-particle&quot;:&quot;&quot;},{&quot;family&quot;:&quot;Wang&quot;,&quot;given&quot;:&quot;Xinxin&quot;,&quot;parse-names&quot;:false,&quot;dropping-particle&quot;:&quot;&quot;,&quot;non-dropping-particle&quot;:&quot;&quot;},{&quot;family&quot;:&quot;Yang&quot;,&quot;given&quot;:&quot;Yang&quot;,&quot;parse-names&quot;:false,&quot;dropping-particle&quot;:&quot;&quot;,&quot;non-dropping-particle&quot;:&quot;&quot;},{&quot;family&quot;:&quot;Chen&quot;,&quot;given&quot;:&quot;Fanjun&quot;,&quot;parse-names&quot;:false,&quot;dropping-particle&quot;:&quot;&quot;,&quot;non-dropping-particle&quot;:&quot;&quot;},{&quot;family&quot;:&quot;Zhang&quot;,&quot;given&quot;:&quot;Fusuo&quot;,&quot;parse-names&quot;:false,&quot;dropping-particle&quot;:&quot;&quot;,&quot;non-dropping-particle&quot;:&quot;&quot;},{&quot;family&quot;:&quot;Feng&quot;,&quot;given&quot;:&quot;Gu&quot;,&quot;parse-names&quot;:false,&quot;dropping-particle&quot;:&quot;&quot;,&quot;non-dropping-particle&quot;:&quot;&quot;}],&quot;container-title&quot;:&quot;Mycorrhiza&quot;,&quot;DOI&quot;:&quot;10.1007/s00572-013-0492-0&quot;,&quot;ISSN&quot;:&quot;09406360&quot;,&quot;PMID&quot;:&quot;23503868&quot;,&quot;issued&quot;:{&quot;date-parts&quot;:[[2013,8]]},&quot;page&quot;:&quot;497-505&quot;,&quot;abstract&quot;:&quot;The aim of this study was to compare the mycorrhizal responsiveness among old and recent Chinese maize genotypes (released from 1950s to 2008) in low- and high-Olsen-P soils and to identify parameters that would indicate the relationships between the mycorrhizal responsiveness and the functional traits related to P uptake of maize. A greenhouse factorial experiment was conducted. The factors were maize genotype [Huangmaya (HMY), Zhongdan 2 (ZD2), Nongda 108 (ND108), and NE15], inoculation with or without arbuscular mycorrhizal fungi (AMF) (Rhizophagus irregularis), and Olsen-P levels (4, 9, 18, 36, or 60 mg P kg-1). Old and recently released genotypes differed in their response to AMF under low- and high-P supply. Three kinds of responses (in terms of shoot growth) were observed: the response was positive if the soil P content was low, but negative if the soil Olsen-P content was high (HMY and ND108); the response was neutral regardless of soil P content (ZD2); and the response was positive regardless of soil P content (NE15). Principle component (PC) analysis showed that the first PC comprised morphological and physiological traits of maize roots, and the second PC comprised mycorrhizal traits. The opposite was the case, however, in high-P soil. It is concluded that maize breeding selection from 1950s to 2000s is not always against the AM association and that AMF play positive roles in promoting the growth of some maize genotypes in high-P soil. The root length colonization by efficient AMF might be a useful parameter for breeding varieties with increased mycorrhizal responsiveness. © 2013 Springer-Verlag Berlin Heidelberg.&quot;,&quot;issue&quot;:&quot;6&quot;,&quot;volume&quot;:&quot;23&quot;},&quot;isTemporary&quot;:false},{&quot;id&quot;:&quot;b5228dbe-e6dc-3476-a173-b80c7d3c0a59&quot;,&quot;itemData&quot;:{&quot;type&quot;:&quot;article-journal&quot;,&quot;id&quot;:&quot;b5228dbe-e6dc-3476-a173-b80c7d3c0a59&quot;,&quot;title&quot;:&quot;Soil plant-available phosphorus levels and maize genotypes determine the phosphorus acquisition efficiency and contribution of mycorrhizal pathway&quot;,&quot;author&quot;:[{&quot;family&quot;:&quot;Chu&quot;,&quot;given&quot;:&quot;Qun&quot;,&quot;parse-names&quot;:false,&quot;dropping-particle&quot;:&quot;&quot;,&quot;non-dropping-particle&quot;:&quot;&quot;},{&quot;family&quot;:&quot;Zhang&quot;,&quot;given&quot;:&quot;Lin&quot;,&quot;parse-names&quot;:false,&quot;dropping-particle&quot;:&quot;&quot;,&quot;non-dropping-particle&quot;:&quot;&quot;},{&quot;family&quot;:&quot;Zhou&quot;,&quot;given&quot;:&quot;Jianwei&quot;,&quot;parse-names&quot;:false,&quot;dropping-particle&quot;:&quot;&quot;,&quot;non-dropping-particle&quot;:&quot;&quot;},{&quot;family&quot;:&quot;Yuan&quot;,&quot;given&quot;:&quot;Lixing&quot;,&quot;parse-names&quot;:false,&quot;dropping-particle&quot;:&quot;&quot;,&quot;non-dropping-particle&quot;:&quot;&quot;},{&quot;family&quot;:&quot;Chen&quot;,&quot;given&quot;:&quot;Fanjun&quot;,&quot;parse-names&quot;:false,&quot;dropping-particle&quot;:&quot;&quot;,&quot;non-dropping-particle&quot;:&quot;&quot;},{&quot;family&quot;:&quot;Zhang&quot;,&quot;given&quot;:&quot;Fusuo&quot;,&quot;parse-names&quot;:false,&quot;dropping-particle&quot;:&quot;&quot;,&quot;non-dropping-particle&quot;:&quot;&quot;},{&quot;family&quot;:&quot;Feng&quot;,&quot;given&quot;:&quot;Gu&quot;,&quot;parse-names&quot;:false,&quot;dropping-particle&quot;:&quot;&quot;,&quot;non-dropping-particle&quot;:&quot;&quot;},{&quot;family&quot;:&quot;Rengel&quot;,&quot;given&quot;:&quot;Zed&quot;,&quot;parse-names&quot;:false,&quot;dropping-particle&quot;:&quot;&quot;,&quot;non-dropping-particle&quot;:&quot;&quot;}],&quot;container-title&quot;:&quot;Plant and Soil&quot;,&quot;accessed&quot;:{&quot;date-parts&quot;:[[2021,3,23]]},&quot;DOI&quot;:&quot;10.1007/s11104-020-04494-4&quot;,&quot;ISSN&quot;:&quot;15735036&quot;,&quot;URL&quot;:&quot;https://doi.org/10.1007/s11104-020-04494-4&quot;,&quot;issued&quot;:{&quot;date-parts&quot;:[[2020,4,1]]},&quot;page&quot;:&quot;357-371&quot;,&quot;abstract&quot;:&quot;Aims: Arbuscular mycorrhizal fungi play important roles in plant phosphorus (P) accumulation. The aim of this study was to uncover how and to what extent soil plant-available P levels and maize genotypes influence the contribution of mycorrhizal P uptake pathway to plant P nutrition. Methods: We selected an old genotype HMY and a modern genotype XY335, combined with 32P labeling and qPCR to quantify P uptake efficiency of the direct pathway (DP) and the mycorrhizal pathway (MP) at three Olsen-P levels: 4.5 (low), 8 (medium) and 50 (high) mg kg−1. Results: The P uptake efficiency ratio PAE-MP/PAE-DP was highest in the treatment with medium Olsen-P, and was correlated positively with MP contribution. The traits of arbuscular mycorrhizal fungi, such as percent colonization, hyphal length density, P uptake per unit hyphae length, and the expression of the mycorrhiza-specific P transporter ZmPT1;6 were higher in XY335 than HMY in high-P soil, which was in accordance with the importance of the MP contribution. Conclusions: Greater mycorrhizal responsiveness in the modern maize genotype than the old genotype under high P soil condition is related to higher P uptake efficiency of MP than DP; the inherent potential of MP can be maximized by managing soil plant P availability to achieve optimal P supply in intensive farming.&quot;,&quot;publisher&quot;:&quot;Springer&quot;,&quot;issue&quot;:&quot;1-2&quot;,&quot;volume&quot;:&quot;449&quot;},&quot;isTemporary&quot;:false}],&quot;properties&quot;:{&quot;noteIndex&quot;:0},&quot;isEdited&quot;:false,&quot;manualOverride&quot;:{&quot;isManuallyOverriden&quot;:false,&quot;citeprocText&quot;:&quot;(Chu et al., 2013a, 2020b)&quot;,&quot;manualOverrideText&quot;:&quot;(Chu et al., 2013, 2020)&quot;,&quot;isManuallyOverridden&quot;:true},&quot;citationTag&quot;:&quot;MENDELEY_CITATION_v3_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&quot;},{&quot;citationID&quot;:&quot;MENDELEY_CITATION_2ca58332-fa4b-4f59-a6c6-744adaf952c8&quot;,&quot;citationItems&quot;:[{&quot;id&quot;:&quot;0e0d3317-8a7e-353b-a49c-3d1921ab5f3b&quot;,&quot;itemData&quot;:{&quot;type&quot;:&quot;article-journal&quot;,&quot;id&quot;:&quot;0e0d3317-8a7e-353b-a49c-3d1921ab5f3b&quot;,&quot;title&quot;:&quot;Mapping of QTL controlling root hair length in maize (Zea mays L.) under phosphorus deficiency&quot;,&quot;author&quot;:[{&quot;family&quot;:&quot;Zhu&quot;,&quot;given&quot;:&quot;Jinming&quot;,&quot;parse-names&quot;:false,&quot;dropping-particle&quot;:&quot;&quot;,&quot;non-dropping-particle&quot;:&quot;&quot;},{&quot;family&quot;:&quot;Kaeppler&quot;,&quot;given&quot;:&quot;Shawn M.&quot;,&quot;parse-names&quot;:false,&quot;dropping-particle&quot;:&quot;&quot;,&quot;non-dropping-particle&quot;:&quot;&quot;},{&quot;family&quot;:&quot;Lynch&quot;,&quot;given&quot;:&quot;Jonathan P.&quot;,&quot;parse-names&quot;:false,&quot;dropping-particle&quot;:&quot;&quot;,&quot;non-dropping-particle&quot;:&quot;&quot;}],&quot;container-title&quot;:&quot;Plant and Soil&quot;,&quot;accessed&quot;:{&quot;date-parts&quot;:[[2021,3,24]]},&quot;DOI&quot;:&quot;10.1007/s11104-004-1697-y&quot;,&quot;ISSN&quot;:&quot;0032079X&quot;,&quot;URL&quot;:&quot;https://pennstate.pure.elsevier.com/en/publications/mapping-of-qtl-controlling-root-hair-length-in-maize-zea-mays-l-u&quot;,&quot;issued&quot;:{&quot;date-parts&quot;:[[2005,3]]},&quot;page&quot;:&quot;299-310&quot;,&quot;abstract&quot;:&quot;Suboptimal phosphorus availability is a primary constraint for terrestrial plant growth and crop productivity. Root hairs are subcellular extensions from the root epidermis that play an important role in the uptake of immobile nutrients such as phosphorus by increasing soil exploration. The objective of this study was to identify quantitative trait loci for root hair length and plasticity in response to phosphorus stress in maize. Using a cigar roll culture system in a controlled environment, root traits including root hair length, tap root length, root thickness, and root biomass were evaluated in 169 recombinant inbred lines derived from a cross between B73 and Mo17. These parents have contrasting adaptation to low phosphorus availability in the field. The parents segregated for the length of individual root hairs under low phosphorus. Average root hair length (RHL) of RI lines ranged from 0.6 to 3.5 mm with an average of 2.0 mm under fertile conditions, and RHL was increased from 0% to 185% under phosphorus stress. Using composite interval mapping with a LOD threshold of 3.27, one QTL was associated with RHL plasticity, three QTL with RHL under high fertility, and one QTL with root hair length under low phosphorus. These QTL accounted for 12.7%, 31.9%, and 9.6% of phenotypic variation, respectively. No QTL were detected for taproot thickness and root biomass. Six QTL were associated with 53.1% of the total variation for seed phosphorus in the population. Root biomass plasticity was significantly correlated with RHL induced by low phosphorus, taproot length plasticity, and seed phosphorus reserves. Our results suggest that genetic variation in root hair length and plasticity may be an appropriate target for marker aided selection to improve the phosphorus efficiency of maize. © Springer 2005.&quot;,&quot;publisher&quot;:&quot;Springer Netherlands&quot;,&quot;issue&quot;:&quot;1&quot;,&quot;volume&quot;:&quot;270&quot;},&quot;isTemporary&quot;:false}],&quot;properties&quot;:{&quot;noteIndex&quot;:0},&quot;isEdited&quot;:false,&quot;manualOverride&quot;:{&quot;isManuallyOverriden&quot;:false,&quot;citeprocText&quot;:&quot;(J. Zhu et al., 2005)&quot;,&quot;manualOverrideText&quot;:&quot;(Zhu et al., 2005)&quot;,&quot;isManuallyOverridden&quot;:true},&quot;citationTag&quot;:&quot;MENDELEY_CITATION_v3_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&quot;},{&quot;citationID&quot;:&quot;MENDELEY_CITATION_4d5ca3e8-0d0f-4bb4-b89a-8e59195305f8&quot;,&quot;citationItems&quot;:[{&quot;id&quot;:&quot;59ad56fb-b8fc-33bf-9b36-0e50015bb002&quot;,&quot;itemData&quot;:{&quot;type&quot;:&quot;article-journal&quot;,&quot;id&quot;:&quot;59ad56fb-b8fc-33bf-9b36-0e50015bb002&quot;,&quot;title&quot;:&quot;Response of maize genotypes to several mycorrhizal inoculums in terms of plant growth, nutrient uptake and spore production&quot;,&quot;author&quot;:[{&quot;family&quot;:&quot;Ortas&quot;,&quot;given&quot;:&quot;Ibrahim&quot;,&quot;parse-names&quot;:false,&quot;dropping-particle&quot;:&quot;&quot;,&quot;non-dropping-particle&quot;:&quot;&quot;},{&quot;family&quot;:&quot;Akpinar&quot;,&quot;given&quot;:&quot;Çaǧdas&quot;,&quot;parse-names&quot;:false,&quot;dropping-particle&quot;:&quot;&quot;,&quot;non-dropping-particle&quot;:&quot;&quot;}],&quot;container-title&quot;:&quot;Journal of Plant Nutrition&quot;,&quot;DOI&quot;:&quot;10.1080/01904167.2011.555580&quot;,&quot;ISSN&quot;:&quot;01904167&quot;,&quot;issued&quot;:{&quot;date-parts&quot;:[[2011,1]]},&quot;page&quot;:&quot;970-987&quot;,&quot;abstract&quot;:&quot;A greenhouse experiment was conducted at the University of Çukurova, Rhisosphere Lab, Adana, Turkey, on a growth medium to assess the impact of several selected mycorrhiza including indigenous AMF-maize hybrid combinations on spore production, plant growth and nutrient uptake. In the experiment, six maize (Zea mays L.) (Luce, Vero, Darva, Pegasso, P.3394, and P.32K61) genotypes were used. Control, Glomus mossea, G. caledonium, G. etunicatum, G. clarium, G. macrocarpum, G. fasciculatum, G. intraradices, Dr. Kinkon (Japanese species), indigenous mycorrhizae (Balcali{dotless} series) and cocktail mycorrhizae species spores were used. The growth of maize genotypes was found to depend on the mycorrhizal species. For shoot and root dry weight production G. intraradices is one of the most efficient mycorrhiza species on average on all maize genotypes. Genotypes P.3394 and P.32K61 produced the highest shoot and root dry weight as well. Pagasso and Darva genotypes compared to the other genotypes have high root colonization percentages. On average G. clarium inoculated plants also have high percentages of root colonization. It has been found that the P32K61 genotype has a high phosphorus (P)% content and Pagasso genotypes have higher zinc (Zn) content uptake than other genotypes. G. clarium inoculated maize genotype plant tissues have high P% and Zn content. G. intraradices is also efficient for P and Zn uptake. Mycorrhizal dependent maize genotypes showed variability in P efficiency from inefficient to efficient genotypes. © Taylor &amp; Francis Group, LLC.&quot;,&quot;issue&quot;:&quot;7&quot;,&quot;volume&quot;:&quot;34&quot;},&quot;isTemporary&quot;:false}],&quot;properties&quot;:{&quot;noteIndex&quot;:0},&quot;isEdited&quot;:false,&quot;manualOverride&quot;:{&quot;isManuallyOverriden&quot;:false,&quot;citeprocText&quot;:&quot;(Ortas &amp;#38; Akpinar, 2011)&quot;,&quot;manualOverrideText&quot;:&quot;&quot;},&quot;citationTag&quot;:&quot;MENDELEY_CITATION_v3_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&quot;},{&quot;citationID&quot;:&quot;MENDELEY_CITATION_131ff7bb-1b71-449c-9139-967be0e5bab6&quot;,&quot;citationItems&quot;:[{&quot;id&quot;:&quot;fc106545-b2c1-3dac-ba09-0181e75dcc82&quot;,&quot;itemData&quot;:{&quot;type&quot;:&quot;article-journal&quot;,&quot;id&quot;:&quot;fc106545-b2c1-3dac-ba09-0181e75dcc82&quot;,&quot;title&quot;:&quot;Phosphorus acquisition strategies within arbuscular mycorrhizal fungal community of a single field site&quot;,&quot;author&quot;:[{&quot;family&quot;:&quot;Jansa&quot;,&quot;given&quot;:&quot;Jan&quot;,&quot;parse-names&quot;:false,&quot;dropping-particle&quot;:&quot;&quot;,&quot;non-dropping-particle&quot;:&quot;&quot;},{&quot;family&quot;:&quot;Mozafar&quot;,&quot;given&quot;:&quot;Ahmad&quot;,&quot;parse-names&quot;:false,&quot;dropping-particle&quot;:&quot;&quot;,&quot;non-dropping-particle&quot;:&quot;&quot;},{&quot;family&quot;:&quot;Frossard&quot;,&quot;given&quot;:&quot;Emmanuel&quot;,&quot;parse-names&quot;:false,&quot;dropping-particle&quot;:&quot;&quot;,&quot;non-dropping-particle&quot;:&quot;&quot;}],&quot;container-title&quot;:&quot;Plant and Soil&quot;,&quot;accessed&quot;:{&quot;date-parts&quot;:[[2021,3,24]]},&quot;DOI&quot;:&quot;10.1007/s11104-005-4274-0&quot;,&quot;ISSN&quot;:&quot;0032079X&quot;,&quot;URL&quot;:&quot;https://link.springer.com/article/10.1007/s11104-005-4274-0&quot;,&quot;issued&quot;:{&quot;date-parts&quot;:[[2005,10]]},&quot;page&quot;:&quot;163-176&quot;,&quot;abstract&quot;:&quot;Diversity in phosphorus (P) acquisition strategies was assessed among eight isolates of arbuscular mycorrhizal fungi (AMF) belonging to three Glomus species, all obtained from the same field site. Maize (Zea mays L. cv. Corso) was used as a test plant. Compartmented cultivation containers coupled with 33P radioisotope labeling of soil P were employed to estimate (1) the distance from the roots that AMF were able to acquire soil P from, (2) the rate of soil colonization, (3) the efficiency of uptake of soil P by AMF, (4) benefits provided to maize in terms of P acquisition and growth. Glomus mosseae and G. intraradices took up P 10 cm from roots, whereas G. claroideum only up to 6 cm from the roots. G. mosseae most rapidly colonized the available soil volume and transported significant amounts of P to maize from a distance, but provided no net P uptake benefit to the plants. On the other hand, both G. intraradices and three out of four G. claroideum isolates significantly improved net P uptake by maize. These effects seem to be related to variability between and to a limited extent also within AMF species, in mycelium development, efficiency of hyphal P uptake and effects on plant P acquisition via the root pathway. In spite of absence of maize growth responses to inoculation with any of the AMF isolates, this study indicates remarkable functional diversity in the underground component of the studied field site. © Springer 2005.&quot;,&quot;publisher&quot;:&quot;Springer&quot;,&quot;issue&quot;:&quot;1-2&quot;,&quot;volume&quot;:&quot;276&quot;},&quot;isTemporary&quot;:false},{&quot;id&quot;:&quot;a2c54080-af6f-3f7a-8094-4a696bc9c140&quot;,&quot;itemData&quot;:{&quot;type&quot;:&quot;article-journal&quot;,&quot;id&quot;:&quot;a2c54080-af6f-3f7a-8094-4a696bc9c140&quot;,&quot;title&quot;:&quot;High functional diversity within species of arbuscular mycorrhizal fungi&quot;,&quot;author&quot;:[{&quot;family&quot;:&quot;Munkvold&quot;,&quot;given&quot;:&quot;Lisa&quot;,&quot;parse-names&quot;:false,&quot;dropping-particle&quot;:&quot;&quot;,&quot;non-dropping-particle&quot;:&quot;&quot;},{&quot;family&quot;:&quot;Kjøller&quot;,&quot;given&quot;:&quot;Rasmus&quot;,&quot;parse-names&quot;:false,&quot;dropping-particle&quot;:&quot;&quot;,&quot;non-dropping-particle&quot;:&quot;&quot;},{&quot;family&quot;:&quot;Vestberg&quot;,&quot;given&quot;:&quot;Mauritz&quot;,&quot;parse-names&quot;:false,&quot;dropping-particle&quot;:&quot;&quot;,&quot;non-dropping-particle&quot;:&quot;&quot;},{&quot;family&quot;:&quot;Rosendahl&quot;,&quot;given&quot;:&quot;Søren&quot;,&quot;parse-names&quot;:false,&quot;dropping-particle&quot;:&quot;&quot;,&quot;non-dropping-particle&quot;:&quot;&quot;},{&quot;family&quot;:&quot;Jakobsen&quot;,&quot;given&quot;:&quot;Iver&quot;,&quot;parse-names&quot;:false,&quot;dropping-particle&quot;:&quot;&quot;,&quot;non-dropping-particle&quot;:&quot;&quot;}],&quot;container-title&quot;:&quot;New Phytologist&quot;,&quot;accessed&quot;:{&quot;date-parts&quot;:[[2021,3,24]]},&quot;DOI&quot;:&quot;10.1111/j.1469-8137.2004.01169.x&quot;,&quot;ISSN&quot;:&quot;0028646X&quot;,&quot;URL&quot;:&quot;http://doi.wiley.com/10.1111/j.1469-8137.2004.01169.x&quot;,&quot;issued&quot;:{&quot;date-parts&quot;:[[2004,8,11]]},&quot;page&quot;:&quot;357-364&quot;,&quot;abstract&quot;:&quot;• Species of arbuscular mycorrhizal fungi (AMF) differ markedly in their improvement of plant nutrition and health. However, it is not yet possible to relate the diversity of an AMF community to its functional properties due to the lack of information on the functional diversity at each taxonomic level. This study investigates the inter- and intraspecific functional diversity of four Glomus species in relation to a phylogenetic analysis of large ribosomal subunit (LSU) sequences. • Growth and P nutrition of cucumber (Cucumis sativus) associated with 24 different isolates of AMF were measured in a two-compartment system with a 33P-labelled root-free soil compartment. • Intraspecific differences were found in plant growth response and the extension of the fungal mycelium into the root-free soil patch whereas length-specific P uptake of the hyphae remained rather constant within each AMF species. Hence, the length-specific P uptake differed according to species, whereas lower phylogenetic levels were required to match functional characteristics such as fungal growth pattern and plant growth promotion. • The large intraspecific diversity observed for mycelium growth and improvement of P uptake means that AMF communities of low species diversity may still contain considerable functional heterogeneity. © New Phytologist (2004).&quot;,&quot;publisher&quot;:&quot;John Wiley &amp; Sons, Ltd&quot;,&quot;issue&quot;:&quot;2&quot;,&quot;volume&quot;:&quot;164&quot;},&quot;isTemporary&quot;:false},{&quot;id&quot;:&quot;e259a17d-c1e9-35a0-b378-36e8433088fb&quot;,&quot;itemData&quot;:{&quot;type&quot;:&quot;article-journal&quot;,&quot;id&quot;:&quot;e259a17d-c1e9-35a0-b378-36e8433088fb&quot;,&quot;title&quot;:&quot;Traits related to differences in function among three arbuscular mycorrhizal fungi&quot;,&quot;author&quot;:[{&quot;family&quot;:&quot;Thonar&quot;,&quot;given&quot;:&quot;Cécile&quot;,&quot;parse-names&quot;:false,&quot;dropping-particle&quot;:&quot;&quot;,&quot;non-dropping-particle&quot;:&quot;&quot;},{&quot;family&quot;:&quot;Schnepf&quot;,&quot;given&quot;:&quot;Andrea&quot;,&quot;parse-names&quot;:false,&quot;dropping-particle&quot;:&quot;&quot;,&quot;non-dropping-particle&quot;:&quot;&quot;},{&quot;family&quot;:&quot;Frossard&quot;,&quot;given&quot;:&quot;Emmanuel&quot;,&quot;parse-names&quot;:false,&quot;dropping-particle&quot;:&quot;&quot;,&quot;non-dropping-particle&quot;:&quot;&quot;},{&quot;family&quot;:&quot;Roose&quot;,&quot;given&quot;:&quot;Tiina&quot;,&quot;parse-names&quot;:false,&quot;dropping-particle&quot;:&quot;&quot;,&quot;non-dropping-particle&quot;:&quot;&quot;},{&quot;family&quot;:&quot;Jansa&quot;,&quot;given&quot;:&quot;Jan&quot;,&quot;parse-names&quot;:false,&quot;dropping-particle&quot;:&quot;&quot;,&quot;non-dropping-particle&quot;:&quot;&quot;}],&quot;container-title&quot;:&quot;Plant and Soil&quot;,&quot;DOI&quot;:&quot;10.1007/s11104-010-0571-3&quot;,&quot;ISSN&quot;:&quot;0032079X&quot;,&quot;issued&quot;:{&quot;date-parts&quot;:[[2011]]},&quot;page&quot;:&quot;231-245&quot;,&quot;abstract&quot;:&quot;Diversity in phosphorus (P) acquisition strategies was assessed among three species of arbuscular mycorrhizal fungi (AMF) isolated from a single field in Switzerland. Medicago truncatula was used as a test plant. It was grown in a compartmented system with root and root-free zones separated by a fine mesh. Dual radioisotope labeling (32P and 33P) was employed in the root-free zone as follows: 33P labeling determined hyphal P uptake from different distances from roots over the entire growth period, whereas 32P labeling investigated hyphal P uptake close to the roots over the 48 hours immediately prior to harvest. Glomus intraradices, Glomus claroideum and Gigaspora margarita were able to take up and deliver P to the plants from maximal distances of 10, 6 and 1 cm from the roots, respectively. Glomus intraradices most rapidly colonized the available substrate and transported significant amounts of P towards the roots, but provided the same growth benefit as compared to Glomus claroideum, whose mycelium was less efficient in soil exploration and in P uptake and delivery to the roots. These differences are probably related to different carbon requirements by these different Glomus species. Gigaspora margarita provided low P benefits to the plants and formed dense mycelium networks close to the roots where P was probably transiently immobilized. Numerical modeling identified possible mechanisms underlying the observed differences in patterns of mycelium growth. High external hyphal production at the root-fungus interface together with rapid hyphal turnover were pointed out as important factors governing hyphal network development by Gigaspora, whereas nonlinearity in apical branching and hyphal anastomoses were key features for G. intraradices and G. claroideum, respectively. © 2010 Springer Science+Business Media B.V.&quot;,&quot;publisher&quot;:&quot;Kluwer Academic Publishers&quot;,&quot;issue&quot;:&quot;1&quot;,&quot;volume&quot;:&quot;339&quot;},&quot;isTemporary&quot;:false}],&quot;properties&quot;:{&quot;noteIndex&quot;:0},&quot;isEdited&quot;:false,&quot;manualOverride&quot;:{&quot;isManuallyOverriden&quot;:false,&quot;citeprocText&quot;:&quot;(Jansa et al., 2005; Munkvold et al., 2004; Thonar et al., 2011)&quot;,&quot;manualOverrideText&quot;:&quot;&quot;},&quot;citationTag&quot;:&quot;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&quot;},{&quot;citationID&quot;:&quot;MENDELEY_CITATION_49dd62f7-47f6-447d-bf19-b849be0c8c49&quot;,&quot;citationItems&quot;:[{&quot;id&quot;:&quot;54420778-acda-3914-a295-e66914b6cc21&quot;,&quot;itemData&quot;:{&quot;type&quot;:&quot;article-journal&quot;,&quot;id&quot;:&quot;54420778-acda-3914-a295-e66914b6cc21&quot;,&quot;title&quot;:&quot;Mycorrhizal fungi can dominate phosphate supply to plants irrespective of growth responses&quot;,&quot;author&quot;:[{&quot;family&quot;:&quot;Smith&quot;,&quot;given&quot;:&quot;Sally E.&quot;,&quot;parse-names&quot;:false,&quot;dropping-particle&quot;:&quot;&quot;,&quot;non-dropping-particle&quot;:&quot;&quot;},{&quot;family&quot;:&quot;Smith&quot;,&quot;given&quot;:&quot;F. Andrew&quot;,&quot;parse-names&quot;:false,&quot;dropping-particle&quot;:&quot;&quot;,&quot;non-dropping-particle&quot;:&quot;&quot;},{&quot;family&quot;:&quot;Jakobsen&quot;,&quot;given&quot;:&quot;Iver&quot;,&quot;parse-names&quot;:false,&quot;dropping-particle&quot;:&quot;&quot;,&quot;non-dropping-particle&quot;:&quot;&quot;}],&quot;container-title&quot;:&quot;Plant Physiology&quot;,&quot;accessed&quot;:{&quot;date-parts&quot;:[[2021,3,18]]},&quot;DOI&quot;:&quot;10.1104/pp.103.024380&quot;,&quot;ISSN&quot;:&quot;00320889&quot;,&quot;PMID&quot;:&quot;12970469&quot;,&quot;URL&quot;:&quot;https://www.ncbi.nlm.nih.gov/pmc/articles/PMC1540331/&quot;,&quot;issued&quot;:{&quot;date-parts&quot;:[[2003,9,1]]},&quot;page&quot;:&quot;16-20&quot;,&quot;abstract&quot;:&quot;Arbuscular mycorrhizal (AM) fungi are vital components of nearly all terrestrial ecosystems, forming mutually beneficial (mutualistic) symbioses with the roots of around 80% of vascular plants and often increasing phosphate (P) uptake and growth. We present novel data showing that AM fungi can provide the dominant route for plant P supply, even when overall growth or P uptake remains unaffected. The results will change our understanding of the roles of AM fungi in agricultural and natural ecosystems ; they also predict that mycorrhiza-specific plant P transporters must play a major role in plant P uptake regardless of whether the plants respond to AM colonization by taking up more P per plant or by increased dry weight, compared with non-mycorrhizal (NM) control plants. AM associations are the outcome of 450 million years of co-evolution, which has led to adaptations in both plants and fungi that underpin their symbiotic development and function. The main physiological basis for mutualism is bidirectional nutrient transfer (Smith and Smith, 1990). Plants supply the AM fungi with sugars, and the fungi enhance the ability of the plants to scavenge for scarce and immobile nutrients, particularly P. Different AM fungus-plant combinations are functionally diverse both in effectiveness of the fungi as symbionts and in responsiveness of the plants in terms of total P uptake, growth, and/or reproduction, again compared with NM controls. This diversity has significant influences on plant interactions in ecosystems (Read, 1998; van der Heijden et al., 1998; Jakobsen et al., 2002; van der Heijden and Sanders, 2002) but is poorly understood at physiological or molecular levels.&quot;,&quot;publisher&quot;:&quot;American Society of Plant Biologists&quot;,&quot;issue&quot;:&quot;1&quot;,&quot;volume&quot;:&quot;133&quot;},&quot;isTemporary&quot;:false}],&quot;properties&quot;:{&quot;noteIndex&quot;:0},&quot;isEdited&quot;:false,&quot;manualOverride&quot;:{&quot;isManuallyOverriden&quot;:false,&quot;citeprocText&quot;:&quot;(S. E. Smith et al., 2003)&quot;,&quot;manualOverrideText&quot;:&quot;(Smith et al., 2003)&quot;,&quot;isManuallyOverridden&quot;:true},&quot;citationTag&quot;:&quot;MENDELEY_CITATION_v3_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&quot;},{&quot;citationID&quot;:&quot;MENDELEY_CITATION_e9dfe01d-8ea5-4a5a-b0b4-a758af51c442&quot;,&quot;citationItems&quot;:[{&quot;id&quot;:&quot;cba760d3-79e3-3562-8e49-42677a5e1f1f&quot;,&quot;itemData&quot;:{&quot;type&quot;:&quot;article-journal&quot;,&quot;id&quot;:&quot;cba760d3-79e3-3562-8e49-42677a5e1f1f&quot;,&quot;title&quot;:&quot;Evolutionary history resolves global organization of root functional traits&quot;,&quot;author&quot;:[{&quot;family&quot;:&quot;Ma&quot;,&quot;given&quot;:&quot;Zeqing&quot;,&quot;parse-names&quot;:false,&quot;dropping-particle&quot;:&quot;&quot;,&quot;non-dropping-particle&quot;:&quot;&quot;},{&quot;family&quot;:&quot;Guo&quot;,&quot;given&quot;:&quot;Dali&quot;,&quot;parse-names&quot;:false,&quot;dropping-particle&quot;:&quot;&quot;,&quot;non-dropping-particle&quot;:&quot;&quot;},{&quot;family&quot;:&quot;Xu&quot;,&quot;given&quot;:&quot;Xingliang&quot;,&quot;parse-names&quot;:false,&quot;dropping-particle&quot;:&quot;&quot;,&quot;non-dropping-particle&quot;:&quot;&quot;},{&quot;family&quot;:&quot;Lu&quot;,&quot;given&quot;:&quot;mingzhen&quot;,&quot;parse-names&quot;:false,&quot;dropping-particle&quot;:&quot;&quot;,&quot;non-dropping-particle&quot;:&quot;&quot;},{&quot;family&quot;:&quot;Bardgett&quot;,&quot;given&quot;:&quot;Richard D&quot;,&quot;parse-names&quot;:false,&quot;dropping-particle&quot;:&quot;&quot;,&quot;non-dropping-particle&quot;:&quot;&quot;},{&quot;family&quot;:&quot;Eissenstat&quot;,&quot;given&quot;:&quot;David&quot;,&quot;parse-names&quot;:false,&quot;dropping-particle&quot;:&quot;&quot;,&quot;non-dropping-particle&quot;:&quot;&quot;},{&quot;family&quot;:&quot;mccormack&quot;,&quot;given&quot;:&quot;Luke&quot;,&quot;parse-names&quot;:false,&quot;dropping-particle&quot;:&quot;&quot;,&quot;non-dropping-particle&quot;:&quot;&quot;},{&quot;family&quot;:&quot;hedin&quot;,&quot;given&quot;:&quot;Lars O&quot;,&quot;parse-names&quot;:false,&quot;dropping-particle&quot;:&quot;&quot;,&quot;non-dropping-particle&quot;:&quot;&quot;}],&quot;container-title&quot;:&quot;Nature Publishing Group&quot;,&quot;DOI&quot;:&quot;10.1038/nature25783&quot;,&quot;issued&quot;:{&quot;date-parts&quot;:[[2018]]},&quot;abstract&quot;:&quot;Plant roots have greatly diversified in form and function since the emergence of the first land plants 1,2 , but the global organization of functional traits in roots remains poorly understood 3,4. Here we analyse a global dataset of 10 functionally important root traits in metabolically active first-order roots, collected from 369 species distributed across the natural plant communities of 7 biomes. Our results identify a high degree of organization of root traits across species and biomes, and reveal a pattern that differs from expectations based on previous studies 5,6 of leaf traits. Root diameter exerts the strongest influence on root trait variation across plant species, growth forms and biomes. Our analysis suggests that plants have evolved thinner roots since they first emerged in land ecosystems, which has enabled them to markedly improve their efficiency of soil exploration per unit of carbon invested and to reduce their dependence on symbiotic mycorrhizal fungi. We also found that diversity in root morphological traits is greatest in the tropics, where plant diversity is highest and many ancestral phylogenetic groups are preserved. Diversity in root morphology declines sharply across the sequence of tropical, temperate and desert biomes, presumably owing to changes in resource supply caused by seasonally inhospitable abiotic conditions. Our results suggest that root traits have evolved along a spectrum bounded by two contrasting strategies of root life: an ancestral 'conservative' strategy in which plants with thick roots depend on symbiosis with mycorrhizal fungi for soil resources and a more-derived 'opportunistic' strategy in which thin roots enable plants to more efficiently leverage photosynthetic carbon for soil exploration. These findings imply that innovations of belowground traits have had an important role in preparing plants to colonize new habitats, and in generating biodiversity within and across biomes. Recent efforts to understand how functional traits are organized across land plants have revealed notable patterns across the leaf economic spectrum 5,6 , but whether such a high degree of organization is also seen in root traits remains controversial 4,7. A key factor that has limited progress has been the paucity of data on root traits across plant species and biomes, as roots are difficult to sample and characterize 8,9. Yet, roots are vital for the ability of plants to acquire nutrients and water-two functions of fundamental importance to whole-plant performance and for predicting how plants respond to elevated CO 2 levels and to climate change 10-12. Roots face ecological and physiological challenges that differ fundamentally from those encountered by leaves. Roots must compete for and acquire nutrients and water in environments that greatly vary across global biomes, with biophysical conditions ranging from relatively stable (for example, tropical rainforests) to highly seasonal (for example, deserts or boreal forests). The high diversity that exists in root form and function, and in the degree of association with sym-biotic mycorrhizal fungi, raises a fundamental question: how are root traits organized across the diverse taxa that inhabit different ecological conditions worldwide? Here we propose a model of root trait organization that is functionally decoupled from the leaf economic spectrum and that derives from the phylogenetic history of root diameter and its evolutionary consequences for plant resource acquisition. We evaluated a species-and biome-specific dataset of 10 root traits in 3 major categories 3,13 (morphology, physiology and mycorrhizal association; Supplementary Information, note 1), collected from over 1,200 individual plants of 369 species (from 210 genera and 79 families), distributed across 7 major biomes and 3 continents (Extended Data Table 1). The observations in our dataset: (i) derive solely from native plant communities with natural soil and nutrient conditions; (ii) focus on first-order roots (the most distal and absorptive roots of the branching system) that are subject to strong selection by the local environment 8,9,14 ; (iii) accurately identify species and root order (that is, measure of branching hierarchy 8) in mixed-species ecosystems, by tracing roots to parent trees 15 ; and (iv) apply consistent analytical methods to trait measures across all species and biomes. We collected 94% of the total observations used in our dataset (see Methods). We first investigated whether first-order root traits are globally organized in a manner analogous to the leaf economic spectrum 5,6 , a composite axis of trait variation that ranges from nitrogen-rich leaves with high specific leaf area and short leaf lifespan to nitrogen-poor leaves with low specific leaf area and long leaf lifespan. In roots, nitrogen supports metabolic activity, including nutrient and water transport, enzyme functioning and mycorrhizal symbiosis 16 .&quot;},&quot;isTemporary&quot;:false}],&quot;properties&quot;:{&quot;noteIndex&quot;:0},&quot;isEdited&quot;:false,&quot;manualOverride&quot;:{&quot;isManuallyOverriden&quot;:false,&quot;citeprocText&quot;:&quot;(Ma et al., 2018)&quot;,&quot;manualOverrideText&quot;:&quot;&quot;},&quot;citationTag&quot;:&quot;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&quot;},{&quot;citationID&quot;:&quot;MENDELEY_CITATION_e66e2a26-2c3e-40dc-996b-0c212f6fa3f6&quot;,&quot;citationItems&quot;:[{&quot;id&quot;:&quot;3714e97b-d34c-329f-8671-9b8478b46e16&quot;,&quot;itemData&quot;:{&quot;type&quot;:&quot;article-journal&quot;,&quot;id&quot;:&quot;3714e97b-d34c-329f-8671-9b8478b46e16&quot;,&quot;title&quot;:&quot;European and African maize cultivars differ in their physiological and molecular responses to mycorrhizal infection&quot;,&quot;author&quot;:[{&quot;family&quot;:&quot;Wright&quot;,&quot;given&quot;:&quot;Derek P.&quot;,&quot;parse-names&quot;:false,&quot;dropping-particle&quot;:&quot;&quot;,&quot;non-dropping-particle&quot;:&quot;&quot;},{&quot;family&quot;:&quot;Scholes&quot;,&quot;given&quot;:&quot;Julie D.&quot;,&quot;parse-names&quot;:false,&quot;dropping-particle&quot;:&quot;&quot;,&quot;non-dropping-particle&quot;:&quot;&quot;},{&quot;family&quot;:&quot;Read&quot;,&quot;given&quot;:&quot;David J.&quot;,&quot;parse-names&quot;:false,&quot;dropping-particle&quot;:&quot;&quot;,&quot;non-dropping-particle&quot;:&quot;&quot;},{&quot;family&quot;:&quot;Rolfe&quot;,&quot;given&quot;:&quot;Stephen A.&quot;,&quot;parse-names&quot;:false,&quot;dropping-particle&quot;:&quot;&quot;,&quot;non-dropping-particle&quot;:&quot;&quot;}],&quot;container-title&quot;:&quot;New Phytologist&quot;,&quot;accessed&quot;:{&quot;date-parts&quot;:[[2021,3,18]]},&quot;DOI&quot;:&quot;10.1111/j.1469-8137.2005.01472.x&quot;,&quot;ISSN&quot;:&quot;0028646X&quot;,&quot;URL&quot;:&quot;http://doi.wiley.com/10.1111/j.1469-8137.2005.01472.x&quot;,&quot;issued&quot;:{&quot;date-parts&quot;:[[2005,6,16]]},&quot;page&quot;:&quot;881-896&quot;,&quot;abstract&quot;:&quot;• Physiological and molecular responses to phosphorus (P) supply and mycorrhizal infection by Glomus intraradices were compared in European (River) and African (H511) maize (Zea mays) cultivars to examine the extent to which these responses differed between plants developed for use in high- and low-nutrient-input agricultural systems. • Biomass, photosynthetic rates, nutrient and carbohydrate contents, mycorrhizal colonization and nutrient-responsive phosphate transporter gene expression were measured in nonmycorrhizal and mycorrhizal plants grown at different inorganic phosphorus (Pi) supply rates. • Nonmycorrhizal River plants grew poorly at low Pi but were highly responsive to mycorrhizal infection; there were large increases in biomass, tissue P content and the rate of photosynthesis and a decline in the expression of phosphate transporter genes. Nonmycorrhizal H511 plants grew better than River plants at low Pi, and had a higher root:shoot ratio. However, the responses of H511 plants to higher Pi supplies and mycorrhizal infection were much more limited than those of River plants. • The adaptations that allowed nonmycorrhizal H511 plants to perform well in low-P soils limited their ability to respond to higher nutrient supply rates and mycorrhizal infection. The European variety had not lost the ability to respond to mycorrhizas and may have traits useful for low-nutrient agriculture where mycorrhizal symbioses are established. © New Phytologist (2005).&quot;,&quot;publisher&quot;:&quot;John Wiley &amp; Sons, Ltd&quot;,&quot;issue&quot;:&quot;3&quot;,&quot;volume&quot;:&quot;167&quot;},&quot;isTemporary&quot;:false}],&quot;properties&quot;:{&quot;noteIndex&quot;:0},&quot;isEdited&quot;:false,&quot;manualOverride&quot;:{&quot;isManuallyOverriden&quot;:false,&quot;citeprocText&quot;:&quot;(D. P. Wright et al., 2005)&quot;,&quot;manualOverrideText&quot;:&quot;(Wright et al., 2005)&quot;,&quot;isManuallyOverridden&quot;:true},&quot;citationTag&quot;:&quot;MENDELEY_CITATION_v3_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&quot;},{&quot;citationID&quot;:&quot;MENDELEY_CITATION_edefd3c8-8bf6-4764-89d2-323f87aa9473&quot;,&quot;citationItems&quot;:[{&quot;id&quot;:&quot;abf85b8f-4dfa-3ebe-95b6-e7b98e0ac462&quot;,&quot;itemData&quot;:{&quot;type&quot;:&quot;article-journal&quot;,&quot;id&quot;:&quot;abf85b8f-4dfa-3ebe-95b6-e7b98e0ac462&quot;,&quot;title&quot;:&quot;Flint maize root mycorrhization and organic acid exudates under phosphorus deficiency: Trends in breeding lines and doubled haploid lines from landraces&quot;,&quot;author&quot;:[{&quot;family&quot;:&quot;Li&quot;,&quot;given&quot;:&quot;Xuelian&quot;,&quot;parse-names&quot;:false,&quot;dropping-particle&quot;:&quot;&quot;,&quot;non-dropping-particle&quot;:&quot;&quot;},{&quot;family&quot;:&quot;Quan&quot;,&quot;given&quot;:&quot;Xiuhao&quot;,&quot;parse-names&quot;:false,&quot;dropping-particle&quot;:&quot;&quot;,&quot;non-dropping-particle&quot;:&quot;&quot;},{&quot;family&quot;:&quot;Mang&quot;,&quot;given&quot;:&quot;Melissa&quot;,&quot;parse-names&quot;:false,&quot;dropping-particle&quot;:&quot;&quot;,&quot;non-dropping-particle&quot;:&quot;&quot;},{&quot;family&quot;:&quot;Neumann&quot;,&quot;given&quot;:&quot;Günter&quot;,&quot;parse-names&quot;:false,&quot;dropping-particle&quot;:&quot;&quot;,&quot;non-dropping-particle&quot;:&quot;&quot;},{&quot;family&quot;:&quot;Melchinger&quot;,&quot;given&quot;:&quot;Albrecht&quot;,&quot;parse-names&quot;:false,&quot;dropping-particle&quot;:&quot;&quot;,&quot;non-dropping-particle&quot;:&quot;&quot;},{&quot;family&quot;:&quot;Ludewig&quot;,&quot;given&quot;:&quot;Uwe&quot;,&quot;parse-names&quot;:false,&quot;dropping-particle&quot;:&quot;&quot;,&quot;non-dropping-particle&quot;:&quot;&quot;}],&quot;container-title&quot;:&quot;Journal of Plant Nutrition and Soil Science&quot;,&quot;DOI&quot;:&quot;10.1002/jpln.202000471&quot;,&quot;ISSN&quot;:&quot;15222624&quot;,&quot;issued&quot;:{&quot;date-parts&quot;:[[2021]]},&quot;abstract&quot;:&quot;Aims: High maize yields in modern well-managed agroecosystems depend on the use of elite varieties and hybrids. Unfortunately, because of repeated selection at high fertilizer rates, some beneficial traits, such as the interaction with arbuscular mycorrhizal fungi or the release of organic acid anions for phosphate mobilization and for attracting beneficial microorganisms, might be gradually declining in modern elite genotypes. However, old founder lines and landraces possibly carry genetic relicts that originate from pre-green revolution times that are useful for breeding elite material for low input farming systems. Methods: Seedling colonization with arbuscular mycorrhizal fungi (AMF) and organic acid anion release were measured in flint lines that were released over more than five decades ago and in six preselected doubled haploid (DH) lines from landraces. P-uptake-related root traits were compared under P-sufficient and P-deficient conditions. Results: Weak trends for the loss of AMF colonization or changes in organic acid anion release at low P supply were detected in modern varieties. One DH line from a landrace was found with increased mycorrhization, whereas others were similar to modern elite lines. Overall, substantial genetic variance was encountered for these traits. Conclusions: The concern that modern elite maize varieties have lost beneficial traits for nutrient acquisition is not substantiated for the flint pool of maize, although weak trends exist. Lines associated with better P-acquisition efficiency under limited P availability should be utilized for breeding more sustainable varieties.&quot;,&quot;publisher&quot;:&quot;Wiley-VCH Verlag&quot;},&quot;isTemporary&quot;:false}],&quot;properties&quot;:{&quot;noteIndex&quot;:0},&quot;isEdited&quot;:false,&quot;manualOverride&quot;:{&quot;isManuallyOverriden&quot;:false,&quot;citeprocText&quot;:&quot;(X. Li et al., 2021)&quot;,&quot;manualOverrideText&quot;:&quot;(Li et al., 2021)&quot;,&quot;isManuallyOverridden&quot;:true},&quot;citationTag&quot;:&quot;MENDELEY_CITATION_v3_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&quot;},{&quot;citationID&quot;:&quot;MENDELEY_CITATION_fd414c1e-e022-4259-bb6b-9ecd23187478&quot;,&quot;citationItems&quot;:[{&quot;id&quot;:&quot;abf85b8f-4dfa-3ebe-95b6-e7b98e0ac462&quot;,&quot;itemData&quot;:{&quot;type&quot;:&quot;article-journal&quot;,&quot;id&quot;:&quot;abf85b8f-4dfa-3ebe-95b6-e7b98e0ac462&quot;,&quot;title&quot;:&quot;Flint maize root mycorrhization and organic acid exudates under phosphorus deficiency: Trends in breeding lines and doubled haploid lines from landraces&quot;,&quot;author&quot;:[{&quot;family&quot;:&quot;Li&quot;,&quot;given&quot;:&quot;Xuelian&quot;,&quot;parse-names&quot;:false,&quot;dropping-particle&quot;:&quot;&quot;,&quot;non-dropping-particle&quot;:&quot;&quot;},{&quot;family&quot;:&quot;Quan&quot;,&quot;given&quot;:&quot;Xiuhao&quot;,&quot;parse-names&quot;:false,&quot;dropping-particle&quot;:&quot;&quot;,&quot;non-dropping-particle&quot;:&quot;&quot;},{&quot;family&quot;:&quot;Mang&quot;,&quot;given&quot;:&quot;Melissa&quot;,&quot;parse-names&quot;:false,&quot;dropping-particle&quot;:&quot;&quot;,&quot;non-dropping-particle&quot;:&quot;&quot;},{&quot;family&quot;:&quot;Neumann&quot;,&quot;given&quot;:&quot;Günter&quot;,&quot;parse-names&quot;:false,&quot;dropping-particle&quot;:&quot;&quot;,&quot;non-dropping-particle&quot;:&quot;&quot;},{&quot;family&quot;:&quot;Melchinger&quot;,&quot;given&quot;:&quot;Albrecht&quot;,&quot;parse-names&quot;:false,&quot;dropping-particle&quot;:&quot;&quot;,&quot;non-dropping-particle&quot;:&quot;&quot;},{&quot;family&quot;:&quot;Ludewig&quot;,&quot;given&quot;:&quot;Uwe&quot;,&quot;parse-names&quot;:false,&quot;dropping-particle&quot;:&quot;&quot;,&quot;non-dropping-particle&quot;:&quot;&quot;}],&quot;container-title&quot;:&quot;Journal of Plant Nutrition and Soil Science&quot;,&quot;DOI&quot;:&quot;10.1002/jpln.202000471&quot;,&quot;ISSN&quot;:&quot;15222624&quot;,&quot;issued&quot;:{&quot;date-parts&quot;:[[2021]]},&quot;abstract&quot;:&quot;Aims: High maize yields in modern well-managed agroecosystems depend on the use of elite varieties and hybrids. Unfortunately, because of repeated selection at high fertilizer rates, some beneficial traits, such as the interaction with arbuscular mycorrhizal fungi or the release of organic acid anions for phosphate mobilization and for attracting beneficial microorganisms, might be gradually declining in modern elite genotypes. However, old founder lines and landraces possibly carry genetic relicts that originate from pre-green revolution times that are useful for breeding elite material for low input farming systems. Methods: Seedling colonization with arbuscular mycorrhizal fungi (AMF) and organic acid anion release were measured in flint lines that were released over more than five decades ago and in six preselected doubled haploid (DH) lines from landraces. P-uptake-related root traits were compared under P-sufficient and P-deficient conditions. Results: Weak trends for the loss of AMF colonization or changes in organic acid anion release at low P supply were detected in modern varieties. One DH line from a landrace was found with increased mycorrhization, whereas others were similar to modern elite lines. Overall, substantial genetic variance was encountered for these traits. Conclusions: The concern that modern elite maize varieties have lost beneficial traits for nutrient acquisition is not substantiated for the flint pool of maize, although weak trends exist. Lines associated with better P-acquisition efficiency under limited P availability should be utilized for breeding more sustainable varieties.&quot;,&quot;publisher&quot;:&quot;Wiley-VCH Verlag&quot;},&quot;isTemporary&quot;:false}],&quot;properties&quot;:{&quot;noteIndex&quot;:0},&quot;isEdited&quot;:false,&quot;manualOverride&quot;:{&quot;isManuallyOverriden&quot;:false,&quot;citeprocText&quot;:&quot;(X. Li et al., 2021)&quot;,&quot;manualOverrideText&quot;:&quot;( Li et al., 2021)&quot;,&quot;isManuallyOverridden&quot;:true},&quot;citationTag&quot;:&quot;MENDELEY_CITATION_v3_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&quot;},{&quot;citationID&quot;:&quot;MENDELEY_CITATION_dbd19365-d49c-494e-85df-2533658abfd0&quot;,&quot;citationItems&quot;:[{&quot;id&quot;:&quot;a9b0b6a4-842a-3d56-91b3-dce39f3722d3&quot;,&quot;itemData&quot;:{&quot;type&quot;:&quot;article&quot;,&quot;id&quot;:&quot;a9b0b6a4-842a-3d56-91b3-dce39f3722d3&quot;,&quot;title&quot;:&quot;Agriculture and the Disruption of Plant–Microbial Symbiosis&quot;,&quot;author&quot;:[{&quot;family&quot;:&quot;Porter&quot;,&quot;given&quot;:&quot;Stephanie S.&quot;,&quot;parse-names&quot;:false,&quot;dropping-particle&quot;:&quot;&quot;,&quot;non-dropping-particle&quot;:&quot;&quot;},{&quot;family&quot;:&quot;Sachs&quot;,&quot;given&quot;:&quot;Joel L.&quot;,&quot;parse-names&quot;:false,&quot;dropping-particle&quot;:&quot;&quot;,&quot;non-dropping-particle&quot;:&quot;&quot;}],&quot;container-title&quot;:&quot;Trends in Ecology and Evolution&quot;,&quot;DOI&quot;:&quot;10.1016/j.tree.2020.01.006&quot;,&quot;ISSN&quot;:&quot;01695347&quot;,&quot;PMID&quot;:&quot;32294424&quot;,&quot;issued&quot;:{&quot;date-parts&quot;:[[2020,5,1]]},&quot;page&quot;:&quot;426-439&quot;,&quot;abstract&quot;:&quot;Domestication has transformed hundreds of wild plant species into productive cultivars for human utility. However, cultivation practices and intense artificial selection for yield may entail a hidden cost: the disruption of interactions between plants and beneficial microbiota. Here, we synthesize theory predicting that evolutionary trade-offs, genetic costs, and relaxed selection disrupt plant–microbial symbiosis under domestication, and review the wealth of new data interrogating these predictions in crops. We describe the agronomic practices, ecological scenarios, and genomic attributes that can result in the disruption of symbiosis, and highlight new work probing its molecular basis. To improve agricultural output and sustainability, research should develop breeding methods to optimize symbiotic outcomes in crop species.&quot;,&quot;publisher&quot;:&quot;Elsevier Ltd&quot;,&quot;issue&quot;:&quot;5&quot;,&quot;volume&quot;:&quot;35&quot;},&quot;isTemporary&quot;:false}],&quot;properties&quot;:{&quot;noteIndex&quot;:0},&quot;isEdited&quot;:false,&quot;manualOverride&quot;:{&quot;isManuallyOverriden&quot;:false,&quot;citeprocText&quot;:&quot;(Porter &amp;#38; Sachs, 2020b)&quot;,&quot;manualOverrideText&quot;:&quot;&quot;},&quot;citationTag&quot;:&quot;MENDELEY_CITATION_v3_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&quot;},{&quot;citationID&quot;:&quot;MENDELEY_CITATION_e0a69eb9-3818-41cc-80f2-ee54ed8d3ff0&quot;,&quot;citationItems&quot;:[{&quot;id&quot;:&quot;a9b0b6a4-842a-3d56-91b3-dce39f3722d3&quot;,&quot;itemData&quot;:{&quot;type&quot;:&quot;article&quot;,&quot;id&quot;:&quot;a9b0b6a4-842a-3d56-91b3-dce39f3722d3&quot;,&quot;title&quot;:&quot;Agriculture and the Disruption of Plant–Microbial Symbiosis&quot;,&quot;author&quot;:[{&quot;family&quot;:&quot;Porter&quot;,&quot;given&quot;:&quot;Stephanie S.&quot;,&quot;parse-names&quot;:false,&quot;dropping-particle&quot;:&quot;&quot;,&quot;non-dropping-particle&quot;:&quot;&quot;},{&quot;family&quot;:&quot;Sachs&quot;,&quot;given&quot;:&quot;Joel L.&quot;,&quot;parse-names&quot;:false,&quot;dropping-particle&quot;:&quot;&quot;,&quot;non-dropping-particle&quot;:&quot;&quot;}],&quot;container-title&quot;:&quot;Trends in Ecology and Evolution&quot;,&quot;DOI&quot;:&quot;10.1016/j.tree.2020.01.006&quot;,&quot;ISSN&quot;:&quot;01695347&quot;,&quot;PMID&quot;:&quot;32294424&quot;,&quot;issued&quot;:{&quot;date-parts&quot;:[[2020,5,1]]},&quot;page&quot;:&quot;426-439&quot;,&quot;abstract&quot;:&quot;Domestication has transformed hundreds of wild plant species into productive cultivars for human utility. However, cultivation practices and intense artificial selection for yield may entail a hidden cost: the disruption of interactions between plants and beneficial microbiota. Here, we synthesize theory predicting that evolutionary trade-offs, genetic costs, and relaxed selection disrupt plant–microbial symbiosis under domestication, and review the wealth of new data interrogating these predictions in crops. We describe the agronomic practices, ecological scenarios, and genomic attributes that can result in the disruption of symbiosis, and highlight new work probing its molecular basis. To improve agricultural output and sustainability, research should develop breeding methods to optimize symbiotic outcomes in crop species.&quot;,&quot;publisher&quot;:&quot;Elsevier Ltd&quot;,&quot;issue&quot;:&quot;5&quot;,&quot;volume&quot;:&quot;35&quot;},&quot;isTemporary&quot;:false}],&quot;properties&quot;:{&quot;noteIndex&quot;:0},&quot;isEdited&quot;:false,&quot;manualOverride&quot;:{&quot;isManuallyOverriden&quot;:false,&quot;citeprocText&quot;:&quot;(Porter &amp;#38; Sachs, 2020b)&quot;,&quot;manualOverrideText&quot;:&quot;&quot;},&quot;citationTag&quot;:&quot;MENDELEY_CITATION_v3_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&quot;},{&quot;citationID&quot;:&quot;MENDELEY_CITATION_ad1a5a2a-5e17-4765-9542-6fd70a42d598&quot;,&quot;citationItems&quot;:[{&quot;id&quot;:&quot;9d99d774-a2d5-3938-bd24-0142d7ac5a28&quot;,&quot;itemData&quot;:{&quot;type&quot;:&quot;article-journal&quot;,&quot;id&quot;:&quot;9d99d774-a2d5-3938-bd24-0142d7ac5a28&quot;,&quot;title&quot;:&quot;A comparison of visualization techniques for recording arbuscular mycorrhizal colonization&quot;,&quot;author&quot;:[{&quot;family&quot;:&quot;Gange&quot;,&quot;given&quot;:&quot;A. C.&quot;,&quot;parse-names&quot;:false,&quot;dropping-particle&quot;:&quot;&quot;,&quot;non-dropping-particle&quot;:&quot;&quot;},{&quot;family&quot;:&quot;Bower&quot;,&quot;given&quot;:&quot;E.&quot;,&quot;parse-names&quot;:false,&quot;dropping-particle&quot;:&quot;&quot;,&quot;non-dropping-particle&quot;:&quot;&quot;},{&quot;family&quot;:&quot;Stagg&quot;,&quot;given&quot;:&quot;P. G.&quot;,&quot;parse-names&quot;:false,&quot;dropping-particle&quot;:&quot;&quot;,&quot;non-dropping-particle&quot;:&quot;&quot;},{&quot;family&quot;:&quot;Aplin&quot;,&quot;given&quot;:&quot;D. M.&quot;,&quot;parse-names&quot;:false,&quot;dropping-particle&quot;:&quot;&quot;,&quot;non-dropping-particle&quot;:&quot;&quot;},{&quot;family&quot;:&quot;Gillam&quot;,&quot;given&quot;:&quot;A. E.&quot;,&quot;parse-names&quot;:false,&quot;dropping-particle&quot;:&quot;&quot;,&quot;non-dropping-particle&quot;:&quot;&quot;},{&quot;family&quot;:&quot;Bracken&quot;,&quot;given&quot;:&quot;M.&quot;,&quot;parse-names&quot;:false,&quot;dropping-particle&quot;:&quot;&quot;,&quot;non-dropping-particle&quot;:&quot;&quot;}],&quot;container-title&quot;:&quot;New Phytologist&quot;,&quot;accessed&quot;:{&quot;date-parts&quot;:[[2021,3,16]]},&quot;DOI&quot;:&quot;10.1046/j.1469-8137.1999.00371.x&quot;,&quot;ISSN&quot;:&quot;0028646X&quot;,&quot;URL&quot;:&quot;http://doi.wiley.com/10.1046/j.1469-8137.1999.00371.x&quot;,&quot;issued&quot;:{&quot;date-parts&quot;:[[1999,4,1]]},&quot;page&quot;:&quot;123-132&quot;,&quot;abstract&quot;:&quot;The extent of arbuscular mycorrhizal colonization was assessed in 10 field-collected plant species, representing three annual forbs, three perennial forbs, three perennial grasses and one annual grass. Each root system of each plant was split into four portions, and for each portion, mycorrhizal structures were revealed with epifluorescence microscopy (under which only arbuscules are generally visible) and three commonly used stains (Chlorazol Black E, Acid Fuchsin and Trypan Blue). The aim of the study was not to evaluate the efficacy of each method, but to compare results obtained by each under standard laboratory conditions. The recorded colonization levels of arbuscules, total arbuscular mycorrhizal fungal material and total fungal (arbuscular mycorrhizal + non-arbuscular mycorrhizal) material differed significantly between visualization methods in a number of species. However, there were also interactions between stain and plant species, indicating that the performance of a stain is dependent on the plant species being examined. In some cases (e.g. Plantago lanceolata), each visualization method produced the same colonization level, while in others (e.g. Dactylis glomerata), each method gave a different result. These data therefore suggest that the level of mycorrhizal colonization recorded in any particular plant species at a particular time is dependent on the technique employed.&quot;,&quot;publisher&quot;:&quot;John Wiley &amp; Sons, Ltd&quot;,&quot;issue&quot;:&quot;1&quot;,&quot;volume&quot;:&quot;142&quot;},&quot;isTemporary&quot;:false}],&quot;properties&quot;:{&quot;noteIndex&quot;:0},&quot;isEdited&quot;:false,&quot;manualOverride&quot;:{&quot;isManuallyOverriden&quot;:false,&quot;citeprocText&quot;:&quot;(Gange et al., 1999)&quot;,&quot;manualOverrideText&quot;:&quot;(Gange et al., 1999).&quot;,&quot;isManuallyOverridden&quot;:true},&quot;citationTag&quot;:&quot;MENDELEY_CITATION_v3_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&quot;},{&quot;citationID&quot;:&quot;MENDELEY_CITATION_8da76197-a407-4ce9-9f94-d111ba0f2c1d&quot;,&quot;citationItems&quot;:[{&quot;id&quot;:&quot;2bac983b-3020-346d-a530-f1726daaad6b&quot;,&quot;itemData&quot;:{&quot;type&quot;:&quot;article&quot;,&quot;id&quot;:&quot;2bac983b-3020-346d-a530-f1726daaad6b&quot;,&quot;title&quot;:&quot;Regulation of resource exchange in the arbuscular mycorrhizal symbiosis&quot;,&quot;author&quot;:[{&quot;family&quot;:&quot;Walder&quot;,&quot;given&quot;:&quot;Florian&quot;,&quot;parse-names&quot;:false,&quot;dropping-particle&quot;:&quot;&quot;,&quot;non-dropping-particle&quot;:&quot;&quot;},{&quot;family&quot;:&quot;Heijden&quot;,&quot;given&quot;:&quot;Marcel G.A.&quot;,&quot;parse-names&quot;:false,&quot;dropping-particle&quot;:&quot;&quot;,&quot;non-dropping-particle&quot;:&quot;van der&quot;}],&quot;container-title&quot;:&quot;Nature Plants&quot;,&quot;DOI&quot;:&quot;10.1038/nplants.2015.159&quot;,&quot;ISSN&quot;:&quot;2055026X&quot;,&quot;issued&quot;:{&quot;date-parts&quot;:[[2015,11,3]]},&quot;abstract&quot;:&quot;Arbuscular mycorrhizal (AM) fungi are one of the most important groups of plant symbionts. These fungi provide mineral nutrients to plants in exchange for carbon. Although substantial amounts of resources are exchanged, the factors that regulate trade in the AM symbiosis are poorly understood. Recent evidence for the reciprocally regulated exchange of resources by AM fungi and plants has led to the suggestion that these symbioses operate according to biological market dynamics, in which interactions are viewed from an economic perspective, and the most beneficial partners are favoured. Here we present five arguments that challenge the importance of reciprocally regulated exchange, and thereby market dynamics, for resource exchange in the AM symbiosis, and suggest that such reciprocity is only found in a subset of symbionts, under specific conditions. We instead propose that resource exchange in the AM symbiosis is determined by competition for surplus resources, functional diversity and sink strength.&quot;,&quot;publisher&quot;:&quot;Palgrave Macmillan Ltd.&quot;,&quot;volume&quot;:&quot;1&quot;},&quot;isTemporary&quot;:false}],&quot;properties&quot;:{&quot;noteIndex&quot;:0},&quot;isEdited&quot;:false,&quot;manualOverride&quot;:{&quot;isManuallyOverridden&quot;:false,&quot;citeprocText&quot;:&quot;(Walder &amp;#38; van der Heijden, 2015b)&quot;,&quot;manualOverrideText&quot;:&quot;&quot;},&quot;citationTag&quot;:&quot;MENDELEY_CITATION_v3_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&quot;},{&quot;citationID&quot;:&quot;MENDELEY_CITATION_8b4b74c0-781a-4439-8964-c2e86fdb3692&quot;,&quot;citationItems&quot;:[{&quot;id&quot;:&quot;eac5e780-e7c7-3f21-a6b7-67997035726d&quot;,&quot;itemData&quot;:{&quot;type&quot;:&quot;article-journal&quot;,&quot;id&quot;:&quot;eac5e780-e7c7-3f21-a6b7-67997035726d&quot;,&quot;title&quot;:&quot;External hyphae of vesicular-arbuscular mycorrhizal fungi associated with Trifolium subterraneum L.. 1. Spread of hyphae and phosphorus inflow into roots&quot;,&quot;author&quot;:[{&quot;family&quot;:&quot;Jakobsen&quot;,&quot;given&quot;:&quot;I.&quot;,&quot;parse-names&quot;:false,&quot;dropping-particle&quot;:&quot;&quot;,&quot;non-dropping-particle&quot;:&quot;&quot;},{&quot;family&quot;:&quot;Abbott&quot;,&quot;given&quot;:&quot;L. K.&quot;,&quot;parse-names&quot;:false,&quot;dropping-particle&quot;:&quot;&quot;,&quot;non-dropping-particle&quot;:&quot;&quot;},{&quot;family&quot;:&quot;Robson&quot;,&quot;given&quot;:&quot;A. D.&quot;,&quot;parse-names&quot;:false,&quot;dropping-particle&quot;:&quot;&quot;,&quot;non-dropping-particle&quot;:&quot;&quot;}],&quot;container-title&quot;:&quot;New Phytologist&quot;,&quot;DOI&quot;:&quot;10.1111/j.1469-8137.1992.tb01077.x&quot;,&quot;ISSN&quot;:&quot;0028-646X&quot;,&quot;issued&quot;:{&quot;date-parts&quot;:[[1992,3]]},&quot;issue&quot;:&quot;3&quot;,&quot;volume&quot;:&quot;120&quot;},&quot;isTemporary&quot;:false},{&quot;id&quot;:&quot;7e5cc8cb-42ca-30d5-ae0a-8060dce740a2&quot;,&quot;itemData&quot;:{&quot;type&quot;:&quot;article-journal&quot;,&quot;id&quot;:&quot;7e5cc8cb-42ca-30d5-ae0a-8060dce740a2&quot;,&quot;title&quot;:&quot;Networks of power and influence: the role of mycorrhizal mycelium in controlling plant communities and agroecosystem functioning&quot;,&quot;author&quot;:[{&quot;family&quot;:&quot;Leake&quot;,&quot;given&quot;:&quot;Jonathan&quot;,&quot;parse-names&quot;:false,&quot;dropping-particle&quot;:&quot;&quot;,&quot;non-dropping-particle&quot;:&quot;&quot;},{&quot;family&quot;:&quot;Johnson&quot;,&quot;given&quot;:&quot;David&quot;,&quot;parse-names&quot;:false,&quot;dropping-particle&quot;:&quot;&quot;,&quot;non-dropping-particle&quot;:&quot;&quot;},{&quot;family&quot;:&quot;Donnelly&quot;,&quot;given&quot;:&quot;Damian&quot;,&quot;parse-names&quot;:false,&quot;dropping-particle&quot;:&quot;&quot;,&quot;non-dropping-particle&quot;:&quot;&quot;},{&quot;family&quot;:&quot;Muckle&quot;,&quot;given&quot;:&quot;Gemma&quot;,&quot;parse-names&quot;:false,&quot;dropping-particle&quot;:&quot;&quot;,&quot;non-dropping-particle&quot;:&quot;&quot;},{&quot;family&quot;:&quot;Boddy&quot;,&quot;given&quot;:&quot;Lynne&quot;,&quot;parse-names&quot;:false,&quot;dropping-particle&quot;:&quot;&quot;,&quot;non-dropping-particle&quot;:&quot;&quot;},{&quot;family&quot;:&quot;Read&quot;,&quot;given&quot;:&quot;David&quot;,&quot;parse-names&quot;:false,&quot;dropping-particle&quot;:&quot;&quot;,&quot;non-dropping-particle&quot;:&quot;&quot;}],&quot;container-title&quot;:&quot;Canadian Journal of Botany&quot;,&quot;DOI&quot;:&quot;10.1139/b04-060&quot;,&quot;ISSN&quot;:&quot;0008-4026&quot;,&quot;issued&quot;:{&quot;date-parts&quot;:[[2004,8,1]]},&quot;abstract&quot;:&quot;&lt;p&gt;Extraradical mycelia of mycorrhizal fungi are normally the &amp;#147;hidden half&amp;#148; of the symbiosis, but they are powerful underground influences upon biogeochemical cycling, the composition of plant communities, and agroecosystem functioning. Mycorrhizal mycelial networks are the most dynamic and functionally diverse components of the symbiosis, and recent estimates suggest they are empowered by receiving as much as 10% or more of the net photosynthate of their host plants. They often constitute 20%&amp;#150;30% of total soil microbial biomass yet are undetected by standard measures of biomass used by soil scientists and agromomists. Mycorrhizal mycelia provide extensive pathways for carbon and nutrient fluxes through soil, often exceeding tens of metres per gram of soil. We consider the amounts of photosynthate &amp;#147;power&amp;#148; allocated to these mycelial networks and how this is used in fungal respiration, biomass, and growth and in influencing soil, plant, and ecosystem processes. The costs and functional &amp;#147;benefits&amp;#148; to plants linking to these networks are fungal specific and, because of variations in physiology and host specificity, are not shared equally; some plants even depend exclusively on these networks for carbon. We briefly assess the potential contribution of extraradical mycorrhizal mycelium to sustainable agriculture and maintenance of biodiversity and highlight technologies that promise new vistas and improved fine-scale resolution of the dynamic spatial and temporal functioning of these networks in soil.Key words: arbuscular mycorrhiza, ectomycorrhiza, extraradical mycelium, hyphal networks.&lt;/p&gt;&quot;,&quot;issue&quot;:&quot;8&quot;,&quot;volume&quot;:&quot;82&quot;},&quot;isTemporary&quot;:false},{&quot;id&quot;:&quot;065d59ac-2d40-3a7b-b54f-2cb8d2e2fc0b&quot;,&quot;itemData&quot;:{&quot;type&quot;:&quot;article-journal&quot;,&quot;id&quot;:&quot;065d59ac-2d40-3a7b-b54f-2cb8d2e2fc0b&quot;,&quot;title&quot;:&quot;Roles of Arbuscular Mycorrhizas in Plant Nutrition and Growth: New Paradigms from Cellular to Ecosystem Scales&quot;,&quot;author&quot;:[{&quot;family&quot;:&quot;Smith&quot;,&quot;given&quot;:&quot;Sally E.&quot;,&quot;parse-names&quot;:false,&quot;dropping-particle&quot;:&quot;&quot;,&quot;non-dropping-particle&quot;:&quot;&quot;},{&quot;family&quot;:&quot;Smith&quot;,&quot;given&quot;:&quot;F. Andrew&quot;,&quot;parse-names&quot;:false,&quot;dropping-particle&quot;:&quot;&quot;,&quot;non-dropping-particle&quot;:&quot;&quot;}],&quot;container-title&quot;:&quot;Annual Review of Plant Biology&quot;,&quot;DOI&quot;:&quot;10.1146/annurev-arplant-042110-103846&quot;,&quot;ISSN&quot;:&quot;1543-5008&quot;,&quot;issued&quot;:{&quot;date-parts&quot;:[[2011,6,2]]},&quot;issue&quot;:&quot;1&quot;,&quot;volume&quot;:&quot;62&quot;},&quot;isTemporary&quot;:false}],&quot;properties&quot;:{&quot;noteIndex&quot;:0},&quot;isEdited&quot;:false,&quot;manualOverride&quot;:{&quot;isManuallyOverridden&quot;:false,&quot;citeprocText&quot;:&quot;(Jakobsen et al., 1992; Leake et al., 2004; S. E. Smith &amp;#38; Smith, 2011c)&quot;,&quot;manualOverrideText&quot;:&quot;&quot;},&quot;citationTag&quot;:&quot;MENDELEY_CITATION_v3_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&quot;},{&quot;citationID&quot;:&quot;MENDELEY_CITATION_2f05d5a9-6714-4294-86c6-cd2d3ccb4f74&quot;,&quot;citationItems&quot;:[{&quot;id&quot;:&quot;883c1458-3198-370e-8733-9781ba5f492e&quot;,&quot;itemData&quot;:{&quot;type&quot;:&quot;article-journal&quot;,&quot;id&quot;:&quot;883c1458-3198-370e-8733-9781ba5f492e&quot;,&quot;title&quot;:&quot;Improved nitrogen uptake and transport from &lt;sup&gt;15&lt;/sup&gt; N-labelled nitrate by external hyphae of arbuscular mycorrhiza under water-stressed conditions&quot;,&quot;author&quot;:[{&quot;family&quot;:&quot;Tobar&quot;,&quot;given&quot;:&quot;R.&quot;,&quot;parse-names&quot;:false,&quot;dropping-particle&quot;:&quot;&quot;,&quot;non-dropping-particle&quot;:&quot;&quot;},{&quot;family&quot;:&quot;Azcon&quot;,&quot;given&quot;:&quot;R.&quot;,&quot;parse-names&quot;:false,&quot;dropping-particle&quot;:&quot;&quot;,&quot;non-dropping-particle&quot;:&quot;&quot;},{&quot;family&quot;:&quot;Barea&quot;,&quot;given&quot;:&quot;J. M.&quot;,&quot;parse-names&quot;:false,&quot;dropping-particle&quot;:&quot;&quot;,&quot;non-dropping-particle&quot;:&quot;&quot;}],&quot;container-title&quot;:&quot;New Phytologist&quot;,&quot;DOI&quot;:&quot;10.1111/j.1469-8137.1994.tb07536.x&quot;,&quot;ISSN&quot;:&quot;0028646X&quot;,&quot;issued&quot;:{&quot;date-parts&quot;:[[1994,1]]},&quot;issue&quot;:&quot;1&quot;,&quot;volume&quot;:&quot;126&quot;},&quot;isTemporary&quot;:false},{&quot;id&quot;:&quot;bc5b5a3e-6389-3f95-b601-d251a6e3ac10&quot;,&quot;itemData&quot;:{&quot;type&quot;:&quot;article-journal&quot;,&quot;id&quot;:&quot;bc5b5a3e-6389-3f95-b601-d251a6e3ac10&quot;,&quot;title&quot;:&quot;Transport of 15N from a soil compartment separated by a polytetrafluoroethylene membrane to plant roots via the hyphae of arbuscular mycorrhizal fungi&quot;,&quot;author&quot;:[{&quot;family&quot;:&quot;Mader&quot;,&quot;given&quot;:&quot;P.&quot;,&quot;parse-names&quot;:false,&quot;dropping-particle&quot;:&quot;&quot;,&quot;non-dropping-particle&quot;:&quot;&quot;},{&quot;family&quot;:&quot;Vierheilig&quot;,&quot;given&quot;:&quot;H.&quot;,&quot;parse-names&quot;:false,&quot;dropping-particle&quot;:&quot;&quot;,&quot;non-dropping-particle&quot;:&quot;&quot;},{&quot;family&quot;:&quot;Streitwolf-engel&quot;,&quot;given&quot;:&quot;R.&quot;,&quot;parse-names&quot;:false,&quot;dropping-particle&quot;:&quot;&quot;,&quot;non-dropping-particle&quot;:&quot;&quot;},{&quot;family&quot;:&quot;Boller&quot;,&quot;given&quot;:&quot;T.&quot;,&quot;parse-names&quot;:false,&quot;dropping-particle&quot;:&quot;&quot;,&quot;non-dropping-particle&quot;:&quot;&quot;},{&quot;family&quot;:&quot;Frey&quot;,&quot;given&quot;:&quot;B.&quot;,&quot;parse-names&quot;:false,&quot;dropping-particle&quot;:&quot;&quot;,&quot;non-dropping-particle&quot;:&quot;&quot;},{&quot;family&quot;:&quot;Christie&quot;,&quot;given&quot;:&quot;P.&quot;,&quot;parse-names&quot;:false,&quot;dropping-particle&quot;:&quot;&quot;,&quot;non-dropping-particle&quot;:&quot;&quot;},{&quot;family&quot;:&quot;Wiemken&quot;,&quot;given&quot;:&quot;A.&quot;,&quot;parse-names&quot;:false,&quot;dropping-particle&quot;:&quot;&quot;,&quot;non-dropping-particle&quot;:&quot;&quot;}],&quot;container-title&quot;:&quot;New Phytologist&quot;,&quot;DOI&quot;:&quot;10.1046/j.1469-8137.2000.00615.x&quot;,&quot;ISSN&quot;:&quot;0028646X&quot;,&quot;issued&quot;:{&quot;date-parts&quot;:[[2000,4]]},&quot;issue&quot;:&quot;1&quot;,&quot;volume&quot;:&quot;146&quot;},&quot;isTemporary&quot;:false},{&quot;id&quot;:&quot;b388ed6d-4ac3-3f3b-8fbe-abaea3a7e97b&quot;,&quot;itemData&quot;:{&quot;type&quot;:&quot;article-journal&quot;,&quot;id&quot;:&quot;b388ed6d-4ac3-3f3b-8fbe-abaea3a7e97b&quot;,&quot;title&quot;:&quot;Arbuscular mycorrhiza and nitrogen: implications for individual plants through to ecosystems&quot;,&quot;author&quot;:[{&quot;family&quot;:&quot;Hodge&quot;,&quot;given&quot;:&quot;Angela&quot;,&quot;parse-names&quot;:false,&quot;dropping-particle&quot;:&quot;&quot;,&quot;non-dropping-particle&quot;:&quot;&quot;},{&quot;family&quot;:&quot;Storer&quot;,&quot;given&quot;:&quot;Kate&quot;,&quot;parse-names&quot;:false,&quot;dropping-particle&quot;:&quot;&quot;,&quot;non-dropping-particle&quot;:&quot;&quot;}],&quot;container-title&quot;:&quot;Plant and Soil&quot;,&quot;DOI&quot;:&quot;10.1007/s11104-014-2162-1&quot;,&quot;ISSN&quot;:&quot;0032-079X&quot;,&quot;issued&quot;:{&quot;date-parts&quot;:[[2015,1,20]]},&quot;issue&quot;:&quot;1-2&quot;,&quot;volume&quot;:&quot;386&quot;},&quot;isTemporary&quot;:false}],&quot;properties&quot;:{&quot;noteIndex&quot;:0},&quot;isEdited&quot;:false,&quot;manualOverride&quot;:{&quot;isManuallyOverridden&quot;:false,&quot;citeprocText&quot;:&quot;(Hodge &amp;#38; Storer, 2015; Mader et al., 2000; Tobar et al., 1994)&quot;,&quot;manualOverrideText&quot;:&quot;&quot;},&quot;citationTag&quot;:&quot;MENDELEY_CITATION_v3_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&quot;},{&quot;citationID&quot;:&quot;MENDELEY_CITATION_65cc8a7f-4a67-4083-aced-6b32b04e898a&quot;,&quot;citationItems&quot;:[{&quot;id&quot;:&quot;bdde7f19-f0b6-39a9-8743-cdaf066acc43&quot;,&quot;itemData&quot;:{&quot;type&quot;:&quot;article-journal&quot;,&quot;id&quot;:&quot;bdde7f19-f0b6-39a9-8743-cdaf066acc43&quot;,&quot;title&quot;:&quot;Substantial nitrogen acquisition by arbuscular mycorrhizal fungi from organic material has implications for N cycling&quot;,&quot;author&quot;:[{&quot;family&quot;:&quot;Hodge&quot;,&quot;given&quot;:&quot;A.&quot;,&quot;parse-names&quot;:false,&quot;dropping-particle&quot;:&quot;&quot;,&quot;non-dropping-particle&quot;:&quot;&quot;},{&quot;family&quot;:&quot;Fitter&quot;,&quot;given&quot;:&quot;A. H.&quot;,&quot;parse-names&quot;:false,&quot;dropping-particle&quot;:&quot;&quot;,&quot;non-dropping-particle&quot;:&quot;&quot;}],&quot;container-title&quot;:&quot;Proceedings of the National Academy of Sciences&quot;,&quot;DOI&quot;:&quot;10.1073/pnas.1005874107&quot;,&quot;ISSN&quot;:&quot;0027-8424&quot;,&quot;issued&quot;:{&quot;date-parts&quot;:[[2010,8,3]]},&quot;issue&quot;:&quot;31&quot;,&quot;volume&quot;:&quot;107&quot;},&quot;isTemporary&quot;:false}],&quot;properties&quot;:{&quot;noteIndex&quot;:0},&quot;isEdited&quot;:false,&quot;manualOverride&quot;:{&quot;isManuallyOverridden&quot;:true,&quot;citeprocText&quot;:&quot;(Hodge &amp;#38; Fitter, 2010)&quot;,&quot;manualOverrideText&quot;:&quot;(Hodge &amp; Fitter, 2010).&quot;},&quot;citationTag&quot;:&quot;MENDELEY_CITATION_v3_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&quot;},{&quot;citationID&quot;:&quot;MENDELEY_CITATION_8dc3321e-1f7d-496d-859b-72e92b1eaf61&quot;,&quot;citationItems&quot;:[{&quot;id&quot;:&quot;99761f88-0dd1-3b7d-99d7-a5a74677415b&quot;,&quot;itemData&quot;:{&quot;type&quot;:&quot;article-journal&quot;,&quot;id&quot;:&quot;99761f88-0dd1-3b7d-99d7-a5a74677415b&quot;,&quot;title&quot;:&quot;Nitrogen Type and Availability Drive Mycorrhizal Effects on Wheat Performance, Nitrogen Uptake and Recovery, and Production Sustainability&quot;,&quot;author&quot;:[{&quot;family&quot;:&quot;Ingraffia&quot;,&quot;given&quot;:&quot;Rosolino&quot;,&quot;parse-names&quot;:false,&quot;dropping-particle&quot;:&quot;&quot;,&quot;non-dropping-particle&quot;:&quot;&quot;},{&quot;family&quot;:&quot;Amato&quot;,&quot;given&quot;:&quot;Gaetano&quot;,&quot;parse-names&quot;:false,&quot;dropping-particle&quot;:&quot;&quot;,&quot;non-dropping-particle&quot;:&quot;&quot;},{&quot;family&quot;:&quot;Sosa-Hernández&quot;,&quot;given&quot;:&quot;Moisés A.&quot;,&quot;parse-names&quot;:false,&quot;dropping-particle&quot;:&quot;&quot;,&quot;non-dropping-particle&quot;:&quot;&quot;},{&quot;family&quot;:&quot;Frenda&quot;,&quot;given&quot;:&quot;Alfonso S.&quot;,&quot;parse-names&quot;:false,&quot;dropping-particle&quot;:&quot;&quot;,&quot;non-dropping-particle&quot;:&quot;&quot;},{&quot;family&quot;:&quot;Rillig&quot;,&quot;given&quot;:&quot;Matthias C.&quot;,&quot;parse-names&quot;:false,&quot;dropping-particle&quot;:&quot;&quot;,&quot;non-dropping-particle&quot;:&quot;&quot;},{&quot;family&quot;:&quot;Giambalvo&quot;,&quot;given&quot;:&quot;Dario&quot;,&quot;parse-names&quot;:false,&quot;dropping-particle&quot;:&quot;&quot;,&quot;non-dropping-particle&quot;:&quot;&quot;}],&quot;container-title&quot;:&quot;Frontiers in Plant Science&quot;,&quot;DOI&quot;:&quot;10.3389/fpls.2020.00760&quot;,&quot;ISSN&quot;:&quot;1664462X&quot;,&quot;issued&quot;:{&quot;date-parts&quot;:[[2020,6,19]]},&quot;abstract&quot;:&quot;Plant performance is strongly dependent on nitrogen (N), and thus increasing N nutrition is of great relevance for the productivity of agroecosystems. The effects of arbuscular mycorrhizal (AM) fungi on plant N acquisition are debated because contradictory results have been reported. Using 15N-labeled fertilizers as a tracer, we evaluated the effects of AM fungi on N uptake and recovery from mineral or organic sources in durum wheat. Under sufficient N availability, AM fungi had no effects on plant biomass but increased N concentrations in plant tissue, plant N uptake, and total N recovered from the fertilizer. In N-deficient soil, AM fungi led to decreased aboveground biomass, which suggests that plants and AM fungi may have competed for N. When the organic source had a low C:N ratio, AM fungi favored both plant N uptake and N recovery. In contrast, when the organic source had a high C:N ratio, a clear reduction in N recovery from the fertilizer was observed. Overall, the results indicate an active role of arbuscular mycorrhizae in favoring plant N-related traits when N is not a limiting factor and show that these fungi help in N recovery from the fertilizer. These results hold great potential for increasing the sustainability of durum wheat production.&quot;,&quot;publisher&quot;:&quot;Frontiers Media S.A.&quot;,&quot;volume&quot;:&quot;11&quot;},&quot;isTemporary&quot;:false}],&quot;properties&quot;:{&quot;noteIndex&quot;:0},&quot;isEdited&quot;:false,&quot;manualOverride&quot;:{&quot;isManuallyOverriden&quot;:false,&quot;citeprocText&quot;:&quot;(Ingraffia et al., 2020)&quot;,&quot;manualOverrideText&quot;:&quot;&quot;},&quot;citationTag&quot;:&quot;MENDELEY_CITATION_v3_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&quot;},{&quot;citationID&quot;:&quot;MENDELEY_CITATION_9e481352-31c7-4f01-8512-a2e112e8bd74&quot;,&quot;citationItems&quot;:[{&quot;id&quot;:&quot;5a0158b1-136d-389b-89b5-04992605ba03&quot;,&quot;itemData&quot;:{&quot;type&quot;:&quot;article-journal&quot;,&quot;id&quot;:&quot;5a0158b1-136d-389b-89b5-04992605ba03&quot;,&quot;title&quot;:&quot;A commercial arbuscular mycorrhizal inoculum increases root colonization across wheat cultivars but does not increase assimilation of mycorrhiza‐acquired nutrients&quot;,&quot;author&quot;:[{&quot;family&quot;:&quot;Elliott&quot;,&quot;given&quot;:&quot;Ashleigh J.&quot;,&quot;parse-names&quot;:false,&quot;dropping-particle&quot;:&quot;&quot;,&quot;non-dropping-particle&quot;:&quot;&quot;},{&quot;family&quot;:&quot;Daniell&quot;,&quot;given&quot;:&quot;Tim J.&quot;,&quot;parse-names&quot;:false,&quot;dropping-particle&quot;:&quot;&quot;,&quot;non-dropping-particle&quot;:&quot;&quot;},{&quot;family&quot;:&quot;Cameron&quot;,&quot;given&quot;:&quot;Duncan D.&quot;,&quot;parse-names&quot;:false,&quot;dropping-particle&quot;:&quot;&quot;,&quot;non-dropping-particle&quot;:&quot;&quot;},{&quot;family&quot;:&quot;Field&quot;,&quot;given&quot;:&quot;Katie J.&quot;,&quot;parse-names&quot;:false,&quot;dropping-particle&quot;:&quot;&quot;,&quot;non-dropping-particle&quot;:&quot;&quot;}],&quot;container-title&quot;:&quot;PLANTS, PEOPLE, PLANET&quot;,&quot;accessed&quot;:{&quot;date-parts&quot;:[[2021,3,26]]},&quot;DOI&quot;:&quot;10.1002/ppp3.10094&quot;,&quot;ISSN&quot;:&quot;2572-2611&quot;,&quot;URL&quot;:&quot;https://onlinelibrary.wiley.com/doi/abs/10.1002/ppp3.10094&quot;,&quot;issued&quot;:{&quot;date-parts&quot;:[[2020,1,3]]},&quot;page&quot;:&quot;ppp3.10094&quot;,&quot;abstract&quot;:&quot;Production and heavy application of chemical‐based fertilizers to maintain crop yields is unsustainable due to pollution from run‐off, high CO2 emissions, and diminishing yield returns. Access to fertilizers will be limited in the future due to rising energy costs and dwindling rock phosphate resources. A growing number of companies produce and sell arbuscular mycorrhizal fungal (AMF) inoculants, intended to help reduce fertilizer usage by facilitating crop nutrient uptake through arbuscular mycorrhizas. However, their success has been variable. Here, we present information about the efficacy of a commercially available AMF inoculant in increasing AMF root colonization and fungal contribution to plant nutrient uptake, which are critical considerations within the growing AMF inoculant industry. Arable agriculture needs sustainable solutions to reduce reliance on large inputs of nutrient fertilizers while continuing to improve crop yields. By harnessing arbuscular mycorrhizal symbiosis, there is potential to improve crop nutrient assimilation and growth without additional inputs, although the efficacy of commercially available mycorrhizal inocula in agricultural systems remains controversial. Using stable and radioisotope tracing, carbon‐for‐nutrient exchange between arbuscular mycorrhizal fungi and three modern cultivars of wheat was quantified in a non‐sterile, agricultural soil, with or without the addition of a commercial mycorrhizal inoculant. While there was no effect of inoculum addition on above‐ground plant biomass, there was increased root colonization by arbuscular mycorrhizal fungi and changes in community structure. Inoculation increased phosphorus uptake across all wheat cultivars by up to 30%, although this increase was not directly attributable to mycorrhizal fungi. Carbon‐for‐nutrient exchange between symbionts varied substantially between the wheat cultivars. Plant tissue phosphorus increased in inoculated plants potentially because of changes induced by inoculation in microbial community composition and/or nutrient cycling within the rhizosphere. Our data contribute to the growing consensus that mycorrhizal inoculants could play a role in sustainable food production systems of the future.&quot;,&quot;publisher&quot;:&quot;Wiley&quot;},&quot;isTemporary&quot;:false}],&quot;properties&quot;:{&quot;noteIndex&quot;:0},&quot;isEdited&quot;:false,&quot;manualOverride&quot;:{&quot;isManuallyOverriden&quot;:false,&quot;citeprocText&quot;:&quot;(Elliott et al., 2020)&quot;,&quot;manualOverrideText&quot;:&quot;&quot;},&quot;citationTag&quot;:&quot;MENDELEY_CITATION_v3_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&quot;},{&quot;citationID&quot;:&quot;MENDELEY_CITATION_cef0a713-5104-43a2-bae6-6b9e573fdbb8&quot;,&quot;citationItems&quot;:[{&quot;id&quot;:&quot;dd0b8455-c1e1-3b45-b205-9ea08c842633&quot;,&quot;itemData&quot;:{&quot;type&quot;:&quot;article-journal&quot;,&quot;id&quot;:&quot;dd0b8455-c1e1-3b45-b205-9ea08c842633&quot;,&quot;title&quot;:&quot;Roles of arbuscular mycorrhizas in plant nutrition and growth: New paradigms from cellular to ecosystem scales&quot;,&quot;author&quot;:[{&quot;family&quot;:&quot;Smith&quot;,&quot;given&quot;:&quot;Sally E.&quot;,&quot;parse-names&quot;:false,&quot;dropping-particle&quot;:&quot;&quot;,&quot;non-dropping-particle&quot;:&quot;&quot;},{&quot;family&quot;:&quot;Smith&quot;,&quot;given&quot;:&quot;F. Andrew&quot;,&quot;parse-names&quot;:false,&quot;dropping-particle&quot;:&quot;&quot;,&quot;non-dropping-particle&quot;:&quot;&quot;}],&quot;container-title&quot;:&quot;Annual Review of Plant Biology&quot;,&quot;DOI&quot;:&quot;10.1146/annurev-arplant-042110-103846&quot;,&quot;ISSN&quot;:&quot;15435008&quot;,&quot;PMID&quot;:&quot;21391813&quot;,&quot;issued&quot;:{&quot;date-parts&quot;:[[2011,6,2]]},&quot;page&quot;:&quot;227-250&quot;,&quot;abstract&quot;:&quot;Root systems of most land plants form arbuscular mycorrhizal (AM) symbioses in the field, and these contribute to nutrient uptake. AM roots have two pathways for nutrient absorption, directly through the root epidermis and root hairs and via AM fungal hyphae into root cortical cells, where arbuscules or hyphal coils provide symbiotic interfaces. New physiological and molecular evidence shows that for phosphorus the mycorrhizal pathway (MP) is operational regardless of plant growth responses (positive or negative). Amounts delivered cannot be determined from plant nutrient contents because when responses are negative the contribution of the direct pathway (DP) is reduced. Nitrogen (N) is also delivered to roots via an MP, but the contribution to total N requirement and the costs to the plant are not clear. The functional interplay between activities of the DP and MP has important implications for consideration of AM symbioses in ecological, agronomic, and evolutionary contexts. Copyright © 2011 by Annual Reviews. All rights reserved.&quot;,&quot;volume&quot;:&quot;62&quot;},&quot;isTemporary&quot;:false}],&quot;properties&quot;:{&quot;noteIndex&quot;:0},&quot;isEdited&quot;:false,&quot;manualOverride&quot;:{&quot;isManuallyOverriden&quot;:false,&quot;citeprocText&quot;:&quot;(S. E. Smith &amp;#38; Smith, 2011d)&quot;,&quot;manualOverrideText&quot;:&quot;(Smith &amp; Smith, 2011).&quot;,&quot;isManuallyOverridden&quot;:true},&quot;citationTag&quot;:&quot;MENDELEY_CITATION_v3_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&quot;},{&quot;citationID&quot;:&quot;MENDELEY_CITATION_8bd0d809-edbc-46c0-b76b-7fc4ee578f90&quot;,&quot;citationItems&quot;:[{&quot;id&quot;:&quot;6750b1d7-54b1-3d72-a30f-cdbc78c40454&quot;,&quot;itemData&quot;:{&quot;type&quot;:&quot;article-journal&quot;,&quot;id&quot;:&quot;6750b1d7-54b1-3d72-a30f-cdbc78c40454&quot;,&quot;title&quot;:&quot;Arbuscular mycorrhizal fungi benefit from 7 years of free air CO &lt;sub&gt;2&lt;/sub&gt; enrichment in well-fertilized grass and legume monocultures&quot;,&quot;author&quot;:[{&quot;family&quot;:&quot;Gamper&quot;,&quot;given&quot;:&quot;Hannes&quot;,&quot;parse-names&quot;:false,&quot;dropping-particle&quot;:&quot;&quot;,&quot;non-dropping-particle&quot;:&quot;&quot;},{&quot;family&quot;:&quot;Peter&quot;,&quot;given&quot;:&quot;Markus&quot;,&quot;parse-names&quot;:false,&quot;dropping-particle&quot;:&quot;&quot;,&quot;non-dropping-particle&quot;:&quot;&quot;},{&quot;family&quot;:&quot;Jansa&quot;,&quot;given&quot;:&quot;Jan&quot;,&quot;parse-names&quot;:false,&quot;dropping-particle&quot;:&quot;&quot;,&quot;non-dropping-particle&quot;:&quot;&quot;},{&quot;family&quot;:&quot;Lüscher&quot;,&quot;given&quot;:&quot;Andreas&quot;,&quot;parse-names&quot;:false,&quot;dropping-particle&quot;:&quot;&quot;,&quot;non-dropping-particle&quot;:&quot;&quot;},{&quot;family&quot;:&quot;Hartwig&quot;,&quot;given&quot;:&quot;Ueli A.&quot;,&quot;parse-names&quot;:false,&quot;dropping-particle&quot;:&quot;&quot;,&quot;non-dropping-particle&quot;:&quot;&quot;},{&quot;family&quot;:&quot;Leuchtmann&quot;,&quot;given&quot;:&quot;Adrian&quot;,&quot;parse-names&quot;:false,&quot;dropping-particle&quot;:&quot;&quot;,&quot;non-dropping-particle&quot;:&quot;&quot;}],&quot;container-title&quot;:&quot;Global Change Biology&quot;,&quot;accessed&quot;:{&quot;date-parts&quot;:[[2021,3,24]]},&quot;DOI&quot;:&quot;10.1111/j.1529-8817.2003.00734.x&quot;,&quot;ISSN&quot;:&quot;13541013&quot;,&quot;URL&quot;:&quot;http://doi.wiley.com/10.1111/j.1529-8817.2003.00734.x&quot;,&quot;issued&quot;:{&quot;date-parts&quot;:[[2004,2,1]]},&quot;page&quot;:&quot;189-199&quot;,&quot;abstract&quot;:&quot;Rising atmospheric carbon dioxide partial pressure (pCO2) and nitrogen (N) deposition are important components of global environmental change. In the Swiss free air carbon dioxide enrichment (FACE) experiment, the effect of altered atmospheric pCO2 (35 vs. 60 Pa) and the influence of two different N-fertilization regimes (14 vs. 56 g N m-2 a-1) on root colonization by arbuscular mycorrhizal fungi (AMF) and other fungi (non-AMF) of Lolium perenne and Trifolium repens were studied. Plants were grown in permanent monoculture plots, and fumigated during the growth period for 7 years. At elevated pCO2 AMF and non-AMF root colonization was generally increased in both plant species, with significant effects on colonization intensity and on hyphal and non-AMF colonization. The CO2 effect on arbuscules was marginally significant (P = 0.076). Moreover, the number of small AMT spores (≤100 μm) in the soils of monocultures (at low-N fertilization) of both plant species was significantly increased, whereas that of large spores (&gt;100 μm) was increased only in L. perenne plots. N fertilization resulted in a significant decrease of root colonization in L. perenne, including the AMF parameters, hyphae, arbuscules, vesicles and intensity, but not in T. repens. This phenomenon was probably caused by different C-sink limitations of grass and legume. Lacking effects of CO2 fumigation on intraradical AMF structures (under high-N fertilization) and no response to N fertilization of arbuscules, vesicles and colonization intensity suggest that the function of AMF in T. repens was non-nutritional. In L. perenne, however, AM symbiosis may have amended N nutrition, because all root colonization parameters were significantly increased under low-N fertilization, whereas under high-N fertilization only vesicle colonization was increased. Commonly observed P-nutritional benefits from AMF appeared to be absent under the phosphorus-rich soil conditions of our field experiment. We hypothesize that in well-fertilized agricultural ecosystems, grasses benefit from improved N nutrition and legumes benefit from increased protection against pathogens and/or herbivores. This is different from what is expected in nutritionally limited plant communities. © 2004 Blackwell Publishing Ltd.&quot;,&quot;publisher&quot;:&quot;John Wiley &amp; Sons, Ltd&quot;,&quot;issue&quot;:&quot;2&quot;,&quot;volume&quot;:&quot;10&quot;},&quot;isTemporary&quot;:false},{&quot;id&quot;:&quot;31aca75e-816e-3aba-aa0d-1b54c5ccefe7&quot;,&quot;itemData&quot;:{&quot;type&quot;:&quot;article-journal&quot;,&quot;id&quot;:&quot;31aca75e-816e-3aba-aa0d-1b54c5ccefe7&quot;,&quot;title&quot;:&quot;Nitrogen input mediates the effect of free-air CO2 enrichment on mycorrhizal fungal abundance&quot;,&quot;author&quot;:[{&quot;family&quot;:&quot;Staddon&quot;,&quot;given&quot;:&quot;Philip L.&quot;,&quot;parse-names&quot;:false,&quot;dropping-particle&quot;:&quot;&quot;,&quot;non-dropping-particle&quot;:&quot;&quot;},{&quot;family&quot;:&quot;Jakobsen&quot;,&quot;given&quot;:&quot;Iver&quot;,&quot;parse-names&quot;:false,&quot;dropping-particle&quot;:&quot;&quot;,&quot;non-dropping-particle&quot;:&quot;&quot;},{&quot;family&quot;:&quot;Blum&quot;,&quot;given&quot;:&quot;Herbert&quot;,&quot;parse-names&quot;:false,&quot;dropping-particle&quot;:&quot;&quot;,&quot;non-dropping-particle&quot;:&quot;&quot;}],&quot;container-title&quot;:&quot;Global Change Biology&quot;,&quot;accessed&quot;:{&quot;date-parts&quot;:[[2021,3,24]]},&quot;DOI&quot;:&quot;10.1111/j.1365-2486.2004.00853.x&quot;,&quot;ISSN&quot;:&quot;13541013&quot;,&quot;issued&quot;:{&quot;date-parts&quot;:[[2004,10]]},&quot;page&quot;:&quot;1678-1688&quot;,&quot;abstract&quot;:&quot;Plots containing Lolium perenne L., Trifolium repens L. or a mixture of both plant species were exposed to elevated atmospheric CO2 (eCO2) for 10 consecutive seasons using free-air CO 2 enrichment technology at ETH Zürich, Switzerland. The CO2 treatment was crossed with a two-level nitrogen (N) fertilization treatment. In the tenth year, soil samples were collected on three occasions through the growing season to assess the impact of eCO2 and N fertilization on mycorrhizal fungal abundance. Soil moisture content, which varied with harvest date, was linked to the vegetation type and was higher under eCO. Root weight density was affected by vegetation type: lower for clover, higher for grass. Root weight density was stimulated by eCO2 and decreased by high N fertilization. The percent root length colonized by mycorrhizal fungi was lowest in the clover plots and highest in the grass plots. High N significantly decreased root length colonized. There was no overall effect of eCO2 on root length colonized; however, there was a significant eCO2 × N interaction: eCO2 increased root length colonized at high N, but detreased root length colonized at low N. Extraradical mycorrhizal hyphal density was linked to soil moisture content. Extraradical mycorrhizal hyphal density was not affected by eCO2 or high N individually, but as for root length colonized, there was a significant eCO2 × N interaction: eCO2 increased extraradical mycorrhizal hyphal density at low N but not at high N. These environmental effects on root colonization and external mycorrhizal hyphae were independent of soil moisture content and root weight density. This field study demonstrated a significant mediating effect of N fertilization on the response of arbuscular mycorrhizal fungi to eCO 2 irrespective of any change in root biomass. © 2004 Blackwell Publishing Ltd.&quot;,&quot;issue&quot;:&quot;10&quot;,&quot;volume&quot;:&quot;10&quot;},&quot;isTemporary&quot;:false}],&quot;properties&quot;:{&quot;noteIndex&quot;:0},&quot;isEdited&quot;:false,&quot;manualOverride&quot;:{&quot;isManuallyOverriden&quot;:false,&quot;citeprocText&quot;:&quot;(Gamper et al., 2004; Staddon et al., 2004)&quot;,&quot;manualOverrideText&quot;:&quot;&quot;},&quot;citationTag&quot;:&quot;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&quot;},{&quot;citationID&quot;:&quot;MENDELEY_CITATION_b064ec76-98c8-4d99-a7fc-83f659b6b39e&quot;,&quot;citationItems&quot;:[{&quot;id&quot;:&quot;99761f88-0dd1-3b7d-99d7-a5a74677415b&quot;,&quot;itemData&quot;:{&quot;type&quot;:&quot;article-journal&quot;,&quot;id&quot;:&quot;99761f88-0dd1-3b7d-99d7-a5a74677415b&quot;,&quot;title&quot;:&quot;Nitrogen Type and Availability Drive Mycorrhizal Effects on Wheat Performance, Nitrogen Uptake and Recovery, and Production Sustainability&quot;,&quot;author&quot;:[{&quot;family&quot;:&quot;Ingraffia&quot;,&quot;given&quot;:&quot;Rosolino&quot;,&quot;parse-names&quot;:false,&quot;dropping-particle&quot;:&quot;&quot;,&quot;non-dropping-particle&quot;:&quot;&quot;},{&quot;family&quot;:&quot;Amato&quot;,&quot;given&quot;:&quot;Gaetano&quot;,&quot;parse-names&quot;:false,&quot;dropping-particle&quot;:&quot;&quot;,&quot;non-dropping-particle&quot;:&quot;&quot;},{&quot;family&quot;:&quot;Sosa-Hernández&quot;,&quot;given&quot;:&quot;Moisés A.&quot;,&quot;parse-names&quot;:false,&quot;dropping-particle&quot;:&quot;&quot;,&quot;non-dropping-particle&quot;:&quot;&quot;},{&quot;family&quot;:&quot;Frenda&quot;,&quot;given&quot;:&quot;Alfonso S.&quot;,&quot;parse-names&quot;:false,&quot;dropping-particle&quot;:&quot;&quot;,&quot;non-dropping-particle&quot;:&quot;&quot;},{&quot;family&quot;:&quot;Rillig&quot;,&quot;given&quot;:&quot;Matthias C.&quot;,&quot;parse-names&quot;:false,&quot;dropping-particle&quot;:&quot;&quot;,&quot;non-dropping-particle&quot;:&quot;&quot;},{&quot;family&quot;:&quot;Giambalvo&quot;,&quot;given&quot;:&quot;Dario&quot;,&quot;parse-names&quot;:false,&quot;dropping-particle&quot;:&quot;&quot;,&quot;non-dropping-particle&quot;:&quot;&quot;}],&quot;container-title&quot;:&quot;Frontiers in Plant Science&quot;,&quot;DOI&quot;:&quot;10.3389/fpls.2020.00760&quot;,&quot;ISSN&quot;:&quot;1664462X&quot;,&quot;issued&quot;:{&quot;date-parts&quot;:[[2020,6,19]]},&quot;abstract&quot;:&quot;Plant performance is strongly dependent on nitrogen (N), and thus increasing N nutrition is of great relevance for the productivity of agroecosystems. The effects of arbuscular mycorrhizal (AM) fungi on plant N acquisition are debated because contradictory results have been reported. Using 15N-labeled fertilizers as a tracer, we evaluated the effects of AM fungi on N uptake and recovery from mineral or organic sources in durum wheat. Under sufficient N availability, AM fungi had no effects on plant biomass but increased N concentrations in plant tissue, plant N uptake, and total N recovered from the fertilizer. In N-deficient soil, AM fungi led to decreased aboveground biomass, which suggests that plants and AM fungi may have competed for N. When the organic source had a low C:N ratio, AM fungi favored both plant N uptake and N recovery. In contrast, when the organic source had a high C:N ratio, a clear reduction in N recovery from the fertilizer was observed. Overall, the results indicate an active role of arbuscular mycorrhizae in favoring plant N-related traits when N is not a limiting factor and show that these fungi help in N recovery from the fertilizer. These results hold great potential for increasing the sustainability of durum wheat production.&quot;,&quot;publisher&quot;:&quot;Frontiers Media S.A.&quot;,&quot;volume&quot;:&quot;11&quot;},&quot;isTemporary&quot;:false}],&quot;properties&quot;:{&quot;noteIndex&quot;:0},&quot;isEdited&quot;:false,&quot;manualOverride&quot;:{&quot;isManuallyOverriden&quot;:false,&quot;citeprocText&quot;:&quot;(Ingraffia et al., 2020)&quot;,&quot;manualOverrideText&quot;:&quot;&quot;},&quot;citationTag&quot;:&quot;MENDELEY_CITATION_v3_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&quot;},{&quot;citationID&quot;:&quot;MENDELEY_CITATION_32363a61-75f9-43ea-aafd-eb3551afa8fb&quot;,&quot;citationItems&quot;:[{&quot;id&quot;:&quot;05d4a3a5-76c2-3303-b9ac-a0f4395b8511&quot;,&quot;itemData&quot;:{&quot;type&quot;:&quot;article-journal&quot;,&quot;id&quot;:&quot;05d4a3a5-76c2-3303-b9ac-a0f4395b8511&quot;,&quot;title&quot;:&quot;Fungal nutrient allocation in common mycorrhizal networks is regulated by the carbon source strength of individual host plants&quot;,&quot;author&quot;:[{&quot;family&quot;:&quot;Fellbaum&quot;,&quot;given&quot;:&quot;Carl R.&quot;,&quot;parse-names&quot;:false,&quot;dropping-particle&quot;:&quot;&quot;,&quot;non-dropping-particle&quot;:&quot;&quot;},{&quot;family&quot;:&quot;Mensah&quot;,&quot;given&quot;:&quot;Jerry A.&quot;,&quot;parse-names&quot;:false,&quot;dropping-particle&quot;:&quot;&quot;,&quot;non-dropping-particle&quot;:&quot;&quot;},{&quot;family&quot;:&quot;Cloos&quot;,&quot;given&quot;:&quot;Adam J.&quot;,&quot;parse-names&quot;:false,&quot;dropping-particle&quot;:&quot;&quot;,&quot;non-dropping-particle&quot;:&quot;&quot;},{&quot;family&quot;:&quot;Strahan&quot;,&quot;given&quot;:&quot;Gary E.&quot;,&quot;parse-names&quot;:false,&quot;dropping-particle&quot;:&quot;&quot;,&quot;non-dropping-particle&quot;:&quot;&quot;},{&quot;family&quot;:&quot;Pfeffer&quot;,&quot;given&quot;:&quot;Philip E.&quot;,&quot;parse-names&quot;:false,&quot;dropping-particle&quot;:&quot;&quot;,&quot;non-dropping-particle&quot;:&quot;&quot;},{&quot;family&quot;:&quot;Kiers&quot;,&quot;given&quot;:&quot;E. Toby&quot;,&quot;parse-names&quot;:false,&quot;dropping-particle&quot;:&quot;&quot;,&quot;non-dropping-particle&quot;:&quot;&quot;},{&quot;family&quot;:&quot;Bücking&quot;,&quot;given&quot;:&quot;Heike&quot;,&quot;parse-names&quot;:false,&quot;dropping-particle&quot;:&quot;&quot;,&quot;non-dropping-particle&quot;:&quot;&quot;}],&quot;container-title&quot;:&quot;New Phytologist&quot;,&quot;DOI&quot;:&quot;10.1111/nph.12827&quot;,&quot;ISSN&quot;:&quot;14698137&quot;,&quot;PMID&quot;:&quot;24787049&quot;,&quot;issued&quot;:{&quot;date-parts&quot;:[[2014]]},&quot;page&quot;:&quot;646-656&quot;,&quot;abstract&quot;:&quot;Common mycorrhizal networks (CMNs) of arbuscular mycorrhizal (AM) fungi in the soil simultaneously provide multiple host plants with nutrients, but the mechanisms by which the nutrient transport to individual host plants within one CMN is controlled are unknown. Using radioactive and stable isotopes, we followed the transport of phosphorus (P) and nitrogen (N) in the CMNs of two fungal species to plants that differed in their carbon (C) source strength, and correlated the transport to the expression of mycorrhiza-inducible plant P (MtPt4) and ammonium (1723.m00046) transporters in mycorrhizal roots. AM fungi discriminated between host plants that shared a CMN and preferentially allocated nutrients to high-quality (nonshaded) hosts. However, the fungus also supplied low-quality (shaded) hosts with nutrients and maintained a high colonization rate in these plants. Fungal P transport was correlated to the expression of MtPt4. The expression of the putative ammonium transporter 1723.m00046 was dependent on the fungal nutrient supply and was induced when the CMN had access to N. Biological market theory has emerged as a tool with which the strategic investment of competing partners in trading networks can be studied. Our work demonstrates how fungal partners are able to retain bargaining power, despite being obligately dependent on their hosts. © 2014 New Phytologist Trust.&quot;,&quot;publisher&quot;:&quot;Blackwell Publishing Ltd&quot;,&quot;issue&quot;:&quot;2&quot;,&quot;volume&quot;:&quot;203&quot;},&quot;isTemporary&quot;:false},{&quot;id&quot;:&quot;b7f174ea-484e-358b-907d-8bf3b235075b&quot;,&quot;itemData&quot;:{&quot;type&quot;:&quot;article-journal&quot;,&quot;id&quot;:&quot;b7f174ea-484e-358b-907d-8bf3b235075b&quot;,&quot;title&quot;:&quot;Effects of arbuscular mycorrhizal fungi on grassland productivity are altered by future climate and below-ground resource availability&quot;,&quot;author&quot;:[{&quot;family&quot;:&quot;Büscher&quot;,&quot;given&quot;:&quot;Manu&quot;,&quot;parse-names&quot;:false,&quot;dropping-particle&quot;:&quot;&quot;,&quot;non-dropping-particle&quot;:&quot;&quot;},{&quot;family&quot;:&quot;Zavalloni&quot;,&quot;given&quot;:&quot;Costanza&quot;,&quot;parse-names&quot;:false,&quot;dropping-particle&quot;:&quot;&quot;,&quot;non-dropping-particle&quot;:&quot;&quot;},{&quot;family&quot;:&quot;Boulois&quot;,&quot;given&quot;:&quot;Hervé Dupré&quot;,&quot;parse-names&quot;:false,&quot;dropping-particle&quot;:&quot;&quot;,&quot;non-dropping-particle&quot;:&quot;de&quot;},{&quot;family&quot;:&quot;Vicca&quot;,&quot;given&quot;:&quot;Sara&quot;,&quot;parse-names&quot;:false,&quot;dropping-particle&quot;:&quot;&quot;,&quot;non-dropping-particle&quot;:&quot;&quot;},{&quot;family&quot;:&quot;Berge&quot;,&quot;given&quot;:&quot;Joke&quot;,&quot;parse-names&quot;:false,&quot;dropping-particle&quot;:&quot;&quot;,&quot;non-dropping-particle&quot;:&quot;van den&quot;},{&quot;family&quot;:&quot;Declerck&quot;,&quot;given&quot;:&quot;Stéphane&quot;,&quot;parse-names&quot;:false,&quot;dropping-particle&quot;:&quot;&quot;,&quot;non-dropping-particle&quot;:&quot;&quot;},{&quot;family&quot;:&quot;Ceulemans&quot;,&quot;given&quot;:&quot;Reinhart&quot;,&quot;parse-names&quot;:false,&quot;dropping-particle&quot;:&quot;&quot;,&quot;non-dropping-particle&quot;:&quot;&quot;},{&quot;family&quot;:&quot;Janssens&quot;,&quot;given&quot;:&quot;Ivan A.&quot;,&quot;parse-names&quot;:false,&quot;dropping-particle&quot;:&quot;&quot;,&quot;non-dropping-particle&quot;:&quot;&quot;},{&quot;family&quot;:&quot;Nijs&quot;,&quot;given&quot;:&quot;Ivan&quot;,&quot;parse-names&quot;:false,&quot;dropping-particle&quot;:&quot;&quot;,&quot;non-dropping-particle&quot;:&quot;&quot;}],&quot;container-title&quot;:&quot;Environmental and Experimental Botany&quot;,&quot;accessed&quot;:{&quot;date-parts&quot;:[[2021,3,24]]},&quot;DOI&quot;:&quot;10.1016/j.envexpbot.2012.03.003&quot;,&quot;ISSN&quot;:&quot;00988472&quot;,&quot;issued&quot;:{&quot;date-parts&quot;:[[2012,9,1]]},&quot;page&quot;:&quot;62-71&quot;,&quot;abstract&quot;:&quot;Due to their key position at the soil-root interface, arbuscular mycorrhizal fungi (AMF) may play an important role in determining the impact of global change on plant communities. We studied the effects of mycorrhizal colonization and \&quot;future climate\&quot; on productivity of model grassland ecosystems. In 2007 and 2008, artificially assembled grassland communities, grown on pasteurized soil inoculated with or free from AMF, were exposed to ambient conditions or to combined elevated atmospheric CO2 concentration and temperature. In the full soil accessibility experiment (\&quot; full soil\&quot;, 2007) plant roots could explore the total soil volume. In the partial root-exclusion experiment (\&quot; partial soil\&quot;, 2008), a nylon membrane of 25μm mesh size allowed AMF to explore an additional soil volume that was not accessible to the roots. In the latter experiment, planting density was higher which increased the competition for nutrient uptake by roots compared to the \&quot;full soil\&quot; experiment.The main findings were the following: •\&quot; Future climate\&quot; had a positive effect on AMF root colonization.•Under \&quot;future climate\&quot;, the stimulated AMF suppressed root biomass in both experiments.•AMF increased plant nutrient stocks and above-ground biomass, regardless of the climate, but only in the \&quot;partial soil\&quot; experiment, when plant competition for nutrients likely was higher and AMF could increase the available nutrient pool by exploring an extra root-free soil compartment. © 2012 Elsevier B.V..&quot;,&quot;publisher&quot;:&quot;Elsevier&quot;,&quot;volume&quot;:&quot;81&quot;},&quot;isTemporary&quot;:false},{&quot;id&quot;:&quot;de92c396-661b-3f88-898f-8026c21feacc&quot;,&quot;itemData&quot;:{&quot;type&quot;:&quot;article-journal&quot;,&quot;id&quot;:&quot;de92c396-661b-3f88-898f-8026c21feacc&quot;,&quot;title&quot;:&quot;Shedding light onto nutrient responses of arbuscular mycorrhizal plants: Nutrient interactions may lead to unpredicted outcomes of the symbiosis&quot;,&quot;author&quot;:[{&quot;family&quot;:&quot;Corrêa&quot;,&quot;given&quot;:&quot;Ana&quot;,&quot;parse-names&quot;:false,&quot;dropping-particle&quot;:&quot;&quot;,&quot;non-dropping-particle&quot;:&quot;&quot;},{&quot;family&quot;:&quot;Cruz&quot;,&quot;given&quot;:&quot;Cristina&quot;,&quot;parse-names&quot;:false,&quot;dropping-particle&quot;:&quot;&quot;,&quot;non-dropping-particle&quot;:&quot;&quot;},{&quot;family&quot;:&quot;Pérez-Tienda&quot;,&quot;given&quot;:&quot;Jacob&quot;,&quot;parse-names&quot;:false,&quot;dropping-particle&quot;:&quot;&quot;,&quot;non-dropping-particle&quot;:&quot;&quot;},{&quot;family&quot;:&quot;Ferrol&quot;,&quot;given&quot;:&quot;Nuria&quot;,&quot;parse-names&quot;:false,&quot;dropping-particle&quot;:&quot;&quot;,&quot;non-dropping-particle&quot;:&quot;&quot;}],&quot;container-title&quot;:&quot;Plant Science&quot;,&quot;accessed&quot;:{&quot;date-parts&quot;:[[2021,3,24]]},&quot;DOI&quot;:&quot;10.1016/j.plantsci.2014.01.009&quot;,&quot;ISSN&quot;:&quot;01689452&quot;,&quot;PMID&quot;:&quot;24656333&quot;,&quot;issued&quot;:{&quot;date-parts&quot;:[[2014,5,1]]},&quot;page&quot;:&quot;29-41&quot;,&quot;abstract&quot;:&quot;The role and importance of arbuscular mycorrhizae (AM) in plant nitrogen (N) nutrition is uncertain. We propose that this be clarified by using more integrative experimental designs, with the use of a gradient of N supply and the quantification of an extensive array of plant nutrient contents. Using such an experimental design, we investigated AM effects on plant N nutrition, whether the mycorrhizal N response (MNR) determines the mycorrhizal growth response (MGR), and how MNR influences plants' C economy.Oryza sativa plants were inoculated with Rhizophagus irregularis or Funneliformis mossae. AM effects were studied along a gradient of N supplies. Biomass, photosynthesis, nutrient and starch contents, mycorrhizal colonization and OsPT11 gene expression were measured. C investment in fungal growth was estimated. Results showed that, in rice, MGR was dependent on AM nutrient uptake effects, namely on the synergy between N and Zn, and not on C expenditure. The supply of C to the fungus was dependent on the plant's nutrient demand, indicated by high shoot C/N or low %N. We conclude that one of the real reasons for the negative MGR of rice, Zn deficiency of AMF plants, would have remained hidden without an experimental design allowing the observation of plants' response to AM along gradients of nutrient concentrations. Adopting more integrative and comprehensive experimental approaches in mycorrhizal studies seems therefore essential if we are to achieve a true understanding of AM function, namely of the mechanisms of C/N exchange regulation in AM. © 2014 Elsevier Ireland Ltd.&quot;,&quot;publisher&quot;:&quot;Elsevier&quot;,&quot;volume&quot;:&quot;221-222&quot;},&quot;isTemporary&quot;:false},{&quot;id&quot;:&quot;da9831c8-5484-3c12-895a-398a5f2f591e&quot;,&quot;itemData&quot;:{&quot;type&quot;:&quot;article-journal&quot;,&quot;id&quot;:&quot;da9831c8-5484-3c12-895a-398a5f2f591e&quot;,&quot;title&quot;:&quot;The mycorrhizal contribution to plant productivity, plant nutrition and soil structure in experimental grassland&quot;,&quot;author&quot;:[{&quot;family&quot;:&quot;Heijden&quot;,&quot;given&quot;:&quot;Marcel G.A.&quot;,&quot;parse-names&quot;:false,&quot;dropping-particle&quot;:&quot;&quot;,&quot;non-dropping-particle&quot;:&quot;van der&quot;},{&quot;family&quot;:&quot;Streitwolf-Engel&quot;,&quot;given&quot;:&quot;Ruth&quot;,&quot;parse-names&quot;:false,&quot;dropping-particle&quot;:&quot;&quot;,&quot;non-dropping-particle&quot;:&quot;&quot;},{&quot;family&quot;:&quot;Riedl&quot;,&quot;given&quot;:&quot;Ralph&quot;,&quot;parse-names&quot;:false,&quot;dropping-particle&quot;:&quot;&quot;,&quot;non-dropping-particle&quot;:&quot;&quot;},{&quot;family&quot;:&quot;Siegrist&quot;,&quot;given&quot;:&quot;Sabine&quot;,&quot;parse-names&quot;:false,&quot;dropping-particle&quot;:&quot;&quot;,&quot;non-dropping-particle&quot;:&quot;&quot;},{&quot;family&quot;:&quot;Neudecker&quot;,&quot;given&quot;:&quot;Angelica&quot;,&quot;parse-names&quot;:false,&quot;dropping-particle&quot;:&quot;&quot;,&quot;non-dropping-particle&quot;:&quot;&quot;},{&quot;family&quot;:&quot;Ineichen&quot;,&quot;given&quot;:&quot;Kurt&quot;,&quot;parse-names&quot;:false,&quot;dropping-particle&quot;:&quot;&quot;,&quot;non-dropping-particle&quot;:&quot;&quot;},{&quot;family&quot;:&quot;Boller&quot;,&quot;given&quot;:&quot;Thomas&quot;,&quot;parse-names&quot;:false,&quot;dropping-particle&quot;:&quot;&quot;,&quot;non-dropping-particle&quot;:&quot;&quot;},{&quot;family&quot;:&quot;Wiemken&quot;,&quot;given&quot;:&quot;Andres&quot;,&quot;parse-names&quot;:false,&quot;dropping-particle&quot;:&quot;&quot;,&quot;non-dropping-particle&quot;:&quot;&quot;},{&quot;family&quot;:&quot;Sanders&quot;,&quot;given&quot;:&quot;Ian R.&quot;,&quot;parse-names&quot;:false,&quot;dropping-particle&quot;:&quot;&quot;,&quot;non-dropping-particle&quot;:&quot;&quot;}],&quot;container-title&quot;:&quot;New Phytologist&quot;,&quot;accessed&quot;:{&quot;date-parts&quot;:[[2021,3,24]]},&quot;DOI&quot;:&quot;10.1111/j.1469-8137.2006.01862.x&quot;,&quot;ISSN&quot;:&quot;0028646X&quot;,&quot;PMID&quot;:&quot;17096799&quot;,&quot;URL&quot;:&quot;https://pubmed.ncbi.nlm.nih.gov/17096799/&quot;,&quot;issued&quot;:{&quot;date-parts&quot;:[[2006,12]]},&quot;page&quot;:&quot;739-752&quot;,&quot;abstract&quot;:&quot;• Previous studies have shown that arbuscular mycorrhizal fungi (AMF) can influence plant diversity and ecosystem productivity. However, little is known about the effects of AMF and different AMF taxa on other important community properties such as nutrient acquisition, plant survival and soil structure. • We established experimental grassland microcosms and tested the impact of AMF and of different AMF taxa on a number of grassland characteristics. We also tested whether plant species benefited from the same or different AMF taxa in subsequent growing seasons. • AMF enhanced phosphorus acquisition, soil aggregation and survival of several plant species, but AMF did not increase total plant productivity. Moreover, AMF increased nitrogen acquisition by some plant species, but AMF had no effect on total N uptake by the plant community. Plant growth responses to AMF were temporally variable and some plant species obtained the highest biomass with different AMF in different years. Hence the results indicate that it may be beneficial for a plant to be colonized by different AMF taxa in different seasons. • This study shows that AMF play a key role in grassland by improving plant nutrition and soil structure, and by regulating the make-up of the plant community. © The Authors (2006).&quot;,&quot;publisher&quot;:&quot;New Phytol&quot;,&quot;issue&quot;:&quot;4&quot;,&quot;volume&quot;:&quot;172&quot;},&quot;isTemporary&quot;:false}],&quot;properties&quot;:{&quot;noteIndex&quot;:0},&quot;isEdited&quot;:false,&quot;manualOverride&quot;:{&quot;isManuallyOverriden&quot;:false,&quot;citeprocText&quot;:&quot;(Büscher et al., 2012; Corrêa et al., 2014; Fellbaum et al., 2014; van der Heijden et al., 2006)&quot;,&quot;manualOverrideText&quot;:&quot;(Büscher et al., 2012; Corrêa et al., 2014; Fellbaum et al., 2014; van der Heijden et al., 2006).&quot;,&quot;isManuallyOverridden&quot;:true},&quot;citationTag&quot;:&quot;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&quot;},{&quot;citationID&quot;:&quot;MENDELEY_CITATION_c85cae38-9e21-42f8-8e64-f5ea9a9a9352&quot;,&quot;citationItems&quot;:[{&quot;id&quot;:&quot;769347fd-cac3-35ee-940e-6ee81caae43a&quot;,&quot;itemData&quot;:{&quot;type&quot;:&quot;article-journal&quot;,&quot;id&quot;:&quot;769347fd-cac3-35ee-940e-6ee81caae43a&quot;,&quot;title&quot;:&quot;Root growth in response to nitrogen supply in Chinese maize hybrids released between 1973 and 2009&quot;,&quot;author&quot;:[{&quot;family&quot;:&quot;Wu&quot;,&quot;given&quot;:&quot;Qiu Ping&quot;,&quot;parse-names&quot;:false,&quot;dropping-particle&quot;:&quot;&quot;,&quot;non-dropping-particle&quot;:&quot;&quot;},{&quot;family&quot;:&quot;Chen&quot;,&quot;given&quot;:&quot;Fan Jun&quot;,&quot;parse-names&quot;:false,&quot;dropping-particle&quot;:&quot;&quot;,&quot;non-dropping-particle&quot;:&quot;&quot;},{&quot;family&quot;:&quot;Chen&quot;,&quot;given&quot;:&quot;Yan Ling&quot;,&quot;parse-names&quot;:false,&quot;dropping-particle&quot;:&quot;&quot;,&quot;non-dropping-particle&quot;:&quot;&quot;},{&quot;family&quot;:&quot;Yuan&quot;,&quot;given&quot;:&quot;Li Xing&quot;,&quot;parse-names&quot;:false,&quot;dropping-particle&quot;:&quot;&quot;,&quot;non-dropping-particle&quot;:&quot;&quot;},{&quot;family&quot;:&quot;Zhang&quot;,&quot;given&quot;:&quot;Fu Suo&quot;,&quot;parse-names&quot;:false,&quot;dropping-particle&quot;:&quot;&quot;,&quot;non-dropping-particle&quot;:&quot;&quot;},{&quot;family&quot;:&quot;Mi&quot;,&quot;given&quot;:&quot;Guo Hua&quot;,&quot;parse-names&quot;:false,&quot;dropping-particle&quot;:&quot;&quot;,&quot;non-dropping-particle&quot;:&quot;&quot;}],&quot;container-title&quot;:&quot;Science China Life Sciences&quot;,&quot;DOI&quot;:&quot;10.1007/s11427-011-4186-6&quot;,&quot;ISSN&quot;:&quot;16747305&quot;,&quot;PMID&quot;:&quot;21748587&quot;,&quot;issued&quot;:{&quot;date-parts&quot;:[[2011,7]]},&quot;page&quot;:&quot;642-650&quot;,&quot;abstract&quot;:&quot;Root growth has a fundamental role in nitrogen (N) use efficiency. Nevertheless, little is known about how modern breeding progress has affected root growth and its responses to N supply. The root and shoot growth of a core set of 11 representative Chinese maize (Zea mays L.) hybrids released between 1973 and 2009 were investigated under high N (4 mmol L -1, HN) and low N (0. 04 mmol L -1, LN) levels in a solution culture system. Compared with LN, HN treatment decreased root dry weight (RDW), the root: shoot ratio (R/S), and the relative growth rate for root dry weight (RGR root), but increased the total root length (TRL) and the total lateral root length (LRL). The total axial root length (ARL) per plant was reduced under HN, mostly in hybrids released before the 1990s. The number of seminal roots (SRN) was largely unaffected by different N levels. More recently released hybrids showed higher relative growth rates in the shoot under both HN and LN. However, the roots only showed increased RGR under HN treatment. Correspondingly, there was a positive linear relationship with the year of hybrid release for TRL, LRL and ARL under HN treatment. Together, these results suggest that while shoot growth of maize has improved, its root growth has only improved under high N conditions over the last 36 years of selective breeding in China. Improving root growth under LN conditions may be necessary to increase the N use efficiency of maize. © 2011 Science China Press and Springer-Verlag Berlin Heidelberg.&quot;,&quot;issue&quot;:&quot;7&quot;,&quot;volume&quot;:&quot;54&quot;},&quot;isTemporary&quot;:false}],&quot;properties&quot;:{&quot;noteIndex&quot;:0},&quot;isEdited&quot;:false,&quot;manualOverride&quot;:{&quot;isManuallyOverriden&quot;:false,&quot;citeprocText&quot;:&quot;(Q. P. Wu et al., 2011)&quot;,&quot;manualOverrideText&quot;:&quot;(Wu et al., 2011)&quot;,&quot;isManuallyOverridden&quot;:true},&quot;citationTag&quot;:&quot;MENDELEY_CITATION_v3_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&quot;},{&quot;citationID&quot;:&quot;MENDELEY_CITATION_ad13e3ba-07ae-4f96-b067-7001cffc9f86&quot;,&quot;citationItems&quot;:[{&quot;id&quot;:&quot;5b7b4d62-6a78-35f0-a6a4-aa0c4844dc29&quot;,&quot;itemData&quot;:{&quot;type&quot;:&quot;article-journal&quot;,&quot;id&quot;:&quot;5b7b4d62-6a78-35f0-a6a4-aa0c4844dc29&quot;,&quot;title&quot;:&quot;A mycorrhizal-specific ammonium transporter from lotus japonicus acquires nitrogen released by Arbuscular Mycorrhizal Fungi&quot;,&quot;author&quot;:[{&quot;family&quot;:&quot;Guether&quot;,&quot;given&quot;:&quot;Mike&quot;,&quot;parse-names&quot;:false,&quot;dropping-particle&quot;:&quot;&quot;,&quot;non-dropping-particle&quot;:&quot;&quot;},{&quot;family&quot;:&quot;Neuhäuser&quot;,&quot;given&quot;:&quot;Benjamin&quot;,&quot;parse-names&quot;:false,&quot;dropping-particle&quot;:&quot;&quot;,&quot;non-dropping-particle&quot;:&quot;&quot;},{&quot;family&quot;:&quot;Balestrini&quot;,&quot;given&quot;:&quot;Raffaella&quot;,&quot;parse-names&quot;:false,&quot;dropping-particle&quot;:&quot;&quot;,&quot;non-dropping-particle&quot;:&quot;&quot;},{&quot;family&quot;:&quot;Dynowski&quot;,&quot;given&quot;:&quot;Marek&quot;,&quot;parse-names&quot;:false,&quot;dropping-particle&quot;:&quot;&quot;,&quot;non-dropping-particle&quot;:&quot;&quot;},{&quot;family&quot;:&quot;Ludewig&quot;,&quot;given&quot;:&quot;Uwe&quot;,&quot;parse-names&quot;:false,&quot;dropping-particle&quot;:&quot;&quot;,&quot;non-dropping-particle&quot;:&quot;&quot;},{&quot;family&quot;:&quot;Bonfante&quot;,&quot;given&quot;:&quot;Paola&quot;,&quot;parse-names&quot;:false,&quot;dropping-particle&quot;:&quot;&quot;,&quot;non-dropping-particle&quot;:&quot;&quot;}],&quot;container-title&quot;:&quot;Plant Physiology&quot;,&quot;DOI&quot;:&quot;10.1104/pp.109.136390&quot;,&quot;ISSN&quot;:&quot;00320889&quot;,&quot;PMID&quot;:&quot;19329566&quot;,&quot;issued&quot;:{&quot;date-parts&quot;:[[2009,5]]},&quot;page&quot;:&quot;73-83&quot;,&quot;abstract&quot;:&quot;In mycorrhizal associations, the fungal partner assists its plant host by providing nitrogen (N) in addition to phosphate. Arbuscular mycorrhizal (AM) fungi have access to inorganic or organic forms of N and translocate them via arginine from the extra- to the intraradical mycelium, where the N is transferred to the plant without any carbon skeleton. However, the molecular form in which N is transferred, as well as the involved mechanisms, is still under debate. NH4+ seems to be the preferential transferred molecule, but no plant ammonium transporter (AMT) has been identified so far. Here, we offer evidence of a plant AMT that is involved in N uptake during mycorrhiza symbiosis. The gene LjAMT2;2, which has been shown to be the highest up-regulated gene in a transcriptomic analysis of Lotus japonicus roots upon colonization with Gigaspora margarita, has been characterized as a high-affinity AMT belonging to the AMT2 subfamily. It is exclusively expressed in the mycorrhizal roots, but not in the nodules, and transcripts have preferentially been located in the arbusculated cells. Yeast (Saccharomyces cerevisiae) mutant complementation has confirmed its functionality and revealed its dependency on acidic pH. The transport experiments using Xenopus laevis oocytes indicated that, unlike other plant AMTs, LjAMT2;2 transports NH 3 instead of NH4+. Our results suggest that the transporter binds charged ammonium in the apoplastic interfacial compartment and releases the uncharged NH3 into the plant cytoplasm. The implications of such a finding are discussed in the context of AM functioning and plant phosphorus uptake. © 2009 American Society of Plant Biologists.&quot;,&quot;issue&quot;:&quot;1&quot;,&quot;volume&quot;:&quot;150&quot;},&quot;isTemporary&quot;:false},{&quot;id&quot;:&quot;7fa9a280-7603-341f-b106-7d7c4c102e53&quot;,&quot;itemData&quot;:{&quot;type&quot;:&quot;article-journal&quot;,&quot;id&quot;:&quot;7fa9a280-7603-341f-b106-7d7c4c102e53&quot;,&quot;title&quot;:&quot;GintAMT2, a new member of the ammonium transporter family in the arbuscular mycorrhizal fungus Glomus intraradices&quot;,&quot;author&quot;:[{&quot;family&quot;:&quot;Pérez-Tienda&quot;,&quot;given&quot;:&quot;Jacob&quot;,&quot;parse-names&quot;:false,&quot;dropping-particle&quot;:&quot;&quot;,&quot;non-dropping-particle&quot;:&quot;&quot;},{&quot;family&quot;:&quot;Testillano&quot;,&quot;given&quot;:&quot;Pilar S.&quot;,&quot;parse-names&quot;:false,&quot;dropping-particle&quot;:&quot;&quot;,&quot;non-dropping-particle&quot;:&quot;&quot;},{&quot;family&quot;:&quot;Balestrini&quot;,&quot;given&quot;:&quot;Raffaella&quot;,&quot;parse-names&quot;:false,&quot;dropping-particle&quot;:&quot;&quot;,&quot;non-dropping-particle&quot;:&quot;&quot;},{&quot;family&quot;:&quot;Fiorilli&quot;,&quot;given&quot;:&quot;Valentina&quot;,&quot;parse-names&quot;:false,&quot;dropping-particle&quot;:&quot;&quot;,&quot;non-dropping-particle&quot;:&quot;&quot;},{&quot;family&quot;:&quot;Azcón-Aguilar&quot;,&quot;given&quot;:&quot;Concepción&quot;,&quot;parse-names&quot;:false,&quot;dropping-particle&quot;:&quot;&quot;,&quot;non-dropping-particle&quot;:&quot;&quot;},{&quot;family&quot;:&quot;Ferrol&quot;,&quot;given&quot;:&quot;Nuria&quot;,&quot;parse-names&quot;:false,&quot;dropping-particle&quot;:&quot;&quot;,&quot;non-dropping-particle&quot;:&quot;&quot;}],&quot;container-title&quot;:&quot;Fungal Genetics and Biology&quot;,&quot;accessed&quot;:{&quot;date-parts&quot;:[[2021,3,24]]},&quot;DOI&quot;:&quot;10.1016/j.fgb.2011.08.003&quot;,&quot;ISSN&quot;:&quot;10871845&quot;,&quot;PMID&quot;:&quot;21907817&quot;,&quot;URL&quot;:&quot;https://pubmed.ncbi.nlm.nih.gov/21907817/&quot;,&quot;issued&quot;:{&quot;date-parts&quot;:[[2011,11]]},&quot;page&quot;:&quot;1044-1055&quot;,&quot;abstract&quot;:&quot;In the symbiotic association of plants and arbuscular mycorrhizal (AM) fungi, the fungus delivers mineral nutrients, such as phosphate and nitrogen, to the plant while receiving carbon. Previously, we identified an NH4+ transporter in the AM fungus Glomus intraradices (GintAMT1) involved in NH4+ uptake from the soil when preset at low concentrations. Here, we report the isolation and characterization of a new G. intraradices NH4+ transporter gene (GintAMT2). Yeast mutant complementation assays showed that GintAMT2 encodes a functional NH4+ transporter. The use of an anti-GintAMT2 polyclonal antibody revealed a plasma membrane location of GintAMT2. GintAMT1 and GintAMT2 were differentially expressed during the fungal life cycle and in response to N. In contrast to GintAMT1, GintAMT2 transcript levels were higher in the intraradical than in the extraradical fungal structures. However, transcripts of both genes were detected in arbuscule-colonized cortical cells. GintAMT1 expression was induced under low N conditions. Constitutive expression of GintAMT2 in N-limiting conditions and transitory induction after N re-supply suggests a role for GintAMT2 to retrieve NH4+ leaked out during fungal metabolism. © 2011 Elsevier Inc.&quot;,&quot;publisher&quot;:&quot;Fungal Genet Biol&quot;,&quot;issue&quot;:&quot;11&quot;,&quot;volume&quot;:&quot;48&quot;},&quot;isTemporary&quot;:false}],&quot;properties&quot;:{&quot;noteIndex&quot;:0},&quot;isEdited&quot;:false,&quot;manualOverride&quot;:{&quot;isManuallyOverriden&quot;:false,&quot;citeprocText&quot;:&quot;(Guether et al., 2009; Pérez-Tienda et al., 2011)&quot;,&quot;manualOverrideText&quot;:&quot;(Guether et al., 2009; Pérez-Tienda et al., 2011).&quot;,&quot;isManuallyOverridden&quot;:true},&quot;citationTag&quot;:&quot;MENDELEY_CITATION_v3_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&quot;},{&quot;citationID&quot;:&quot;MENDELEY_CITATION_c23f08fb-313b-4f4f-a931-8a3d1267f67c&quot;,&quot;citationItems&quot;:[{&quot;id&quot;:&quot;2fad3f78-45fe-355a-843c-13ce48255299&quot;,&quot;itemData&quot;:{&quot;type&quot;:&quot;article-journal&quot;,&quot;id&quot;:&quot;2fad3f78-45fe-355a-843c-13ce48255299&quot;,&quot;title&quot;:&quot; The effect of added nitrogen and phosphorus on mycorrhizal growth response and infection in Allium schoenoprasum &quot;,&quot;author&quot;:[{&quot;family&quot;:&quot;Bååth&quot;,&quot;given&quot;:&quot;E.&quot;,&quot;parse-names&quot;:false,&quot;dropping-particle&quot;:&quot;&quot;,&quot;non-dropping-particle&quot;:&quot;&quot;},{&quot;family&quot;:&quot;Spokes&quot;,&quot;given&quot;:&quot;J.&quot;,&quot;parse-names&quot;:false,&quot;dropping-particle&quot;:&quot;&quot;,&quot;non-dropping-particle&quot;:&quot;&quot;}],&quot;container-title&quot;:&quot;Canadian Journal of Botany&quot;,&quot;accessed&quot;:{&quot;date-parts&quot;:[[2021,3,25]]},&quot;DOI&quot;:&quot;10.1139/b89-402&quot;,&quot;ISSN&quot;:&quot;0008-4026&quot;,&quot;issued&quot;:{&quot;date-parts&quot;:[[1989,11,1]]},&quot;page&quot;:&quot;3227-3232&quot;,&quot;abstract&quot;:&quot;The effect of different levels of phosphorus and nitrogen on mycorrhizal growth response and infection was studied using Allium schoenoprasum and Glomus caledonium. Nitrogen was added as ammonium or nitrate salt. Both the level of soil phosphorus and the level of nitrogen added affected the mycorrhizal growth response, which was greatest at intermediate levels of P and N. The nitrogen source did not affect the mycorrhizal growth response. At low levels of soil P, nitrogen addition did not affect mycorrhizal infection rate. High P and low N also had little influence. However, the combination of high P and high N gave much lower levels of mycorrhizal infection compared with the other treatments. This effect was most pronounced with ammonium N compared with nitrate N.&quot;,&quot;publisher&quot;:&quot;Canadian Science Publishing&quot;,&quot;issue&quot;:&quot;11&quot;,&quot;volume&quot;:&quot;67&quot;},&quot;isTemporary&quot;:false}],&quot;properties&quot;:{&quot;noteIndex&quot;:0},&quot;isEdited&quot;:false,&quot;manualOverride&quot;:{&quot;isManuallyOverriden&quot;:false,&quot;citeprocText&quot;:&quot;(Bååth &amp;#38; Spokes, 1989)&quot;,&quot;manualOverrideText&quot;:&quot;, (Bååth &amp; Spokes, 1989)&quot;,&quot;isManuallyOverridden&quot;:true},&quot;citationTag&quot;:&quot;MENDELEY_CITATION_v3_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&quot;},{&quot;citationID&quot;:&quot;MENDELEY_CITATION_c1487068-4733-40c1-83f5-678352dc5daf&quot;,&quot;citationItems&quot;:[{&quot;id&quot;:&quot;0fdae80b-bc3f-33c0-beb7-aa392afd9205&quot;,&quot;itemData&quot;:{&quot;type&quot;:&quot;article-journal&quot;,&quot;id&quot;:&quot;0fdae80b-bc3f-33c0-beb7-aa392afd9205&quot;,&quot;title&quot;:&quot;The Influence of Phosphate and Other Nutrients on the Development of Vesicular-arbuscular Mycorrhiza in Culture&quot;,&quot;author&quot;:[{&quot;family&quot;:&quot;Mosse&quot;,&quot;given&quot;:&quot;B.&quot;,&quot;parse-names&quot;:false,&quot;dropping-particle&quot;:&quot;&quot;,&quot;non-dropping-particle&quot;:&quot;&quot;},{&quot;family&quot;:&quot;Phillps&quot;,&quot;given&quot;:&quot;J. M.&quot;,&quot;parse-names&quot;:false,&quot;dropping-particle&quot;:&quot;&quot;,&quot;non-dropping-particle&quot;:&quot;&quot;}],&quot;container-title&quot;:&quot;Journal of General Microbiology&quot;,&quot;accessed&quot;:{&quot;date-parts&quot;:[[2021,3,25]]},&quot;DOI&quot;:&quot;10.1099/00221287-69-2-157&quot;,&quot;ISSN&quot;:&quot;0022-1287&quot;,&quot;issued&quot;:{&quot;date-parts&quot;:[[1971,12,1]]},&quot;page&quot;:&quot;157-166&quot;,&quot;abstract&quot;:&quot;Vesicular-arbuscular mycorrhiza were established in Trifolium parvij7orum in culture by inoculation with Endogone spores. In a medium containing 265 mg. phosphorus (P)/l., as CaHPO, and K,HP04, infection occurred only when the medium lacked nitrogen (N). In a medium containing only roo mg. P/l., infection occurred readily in the presence of 0.5 g. KNO,/I. Calcium monohydrogen phosphate, Ca phytate, Na phytate, Fe phytate, phytin, lecithin and DNA were adequate sources of phosphate for both plant and fungus. Ca phytate and DNA greatly stimulated fungal growth, and DNA also stimulated spore formation, in the agar medium. With Na in the medium infections in the root were sparse. Inositol may serve as a carbon source for Endogone. Mycorrhizal infection occurred with either FeCl, or Fe-EDTA in the medium; when so little iron was present that plants grew poorly, there was also little mycorrhizal infection.&quot;,&quot;publisher&quot;:&quot;Microbiology Society&quot;,&quot;issue&quot;:&quot;2&quot;,&quot;volume&quot;:&quot;69&quot;},&quot;isTemporary&quot;:false}],&quot;properties&quot;:{&quot;noteIndex&quot;:0},&quot;isEdited&quot;:false,&quot;manualOverride&quot;:{&quot;isManuallyOverriden&quot;:false,&quot;citeprocText&quot;:&quot;(Mosse &amp;#38; Phillps, 1971)&quot;,&quot;manualOverrideText&quot;:&quot;&quot;},&quot;citationTag&quot;:&quot;MENDELEY_CITATION_v3_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&quot;},{&quot;citationID&quot;:&quot;MENDELEY_CITATION_c1198737-828d-4cc6-b6df-1ddaa8bedece&quot;,&quot;citationItems&quot;:[{&quot;id&quot;:&quot;05f94bc4-0964-30b3-abed-63df5cb1d492&quot;,&quot;itemData&quot;:{&quot;type&quot;:&quot;article-journal&quot;,&quot;id&quot;:&quot;05f94bc4-0964-30b3-abed-63df5cb1d492&quot;,&quot;title&quot;:&quot;Nitrogen affects the phosphorus response of VA mycorrhiza&quot;,&quot;author&quot;:[{&quot;family&quot;:&quot;Sylvia&quot;,&quot;given&quot;:&quot;D. M.&quot;,&quot;parse-names&quot;:false,&quot;dropping-particle&quot;:&quot;&quot;,&quot;non-dropping-particle&quot;:&quot;&quot;},{&quot;family&quot;:&quot;Neal&quot;,&quot;given&quot;:&quot;L. H.&quot;,&quot;parse-names&quot;:false,&quot;dropping-particle&quot;:&quot;&quot;,&quot;non-dropping-particle&quot;:&quot;&quot;}],&quot;container-title&quot;:&quot;New Phytologist&quot;,&quot;accessed&quot;:{&quot;date-parts&quot;:[[2021,3,25]]},&quot;DOI&quot;:&quot;10.1111/j.1469-8137.1990.tb00456.x&quot;,&quot;ISSN&quot;:&quot;0028-646X&quot;,&quot;URL&quot;:&quot;http://doi.wiley.com/10.1111/j.1469-8137.1990.tb00456.x&quot;,&quot;issued&quot;:{&quot;date-parts&quot;:[[1990,6,1]]},&quot;page&quot;:&quot;303-310&quot;,&quot;abstract&quot;:&quot;Root colonization by vesicular‐arbuscular (VA) mycorrhizal fungi is often suppressed by phosphorus (P) additions; however, nitrogen (N) additions have been reported to both stimulate and suppress root colonization. The objective of this research was to examine colonization of Allium cepa L. roots at a range of P and N concentrations in order to clarify the effects of these nutrients on root colonization. In the first experiment, conducted under N‐limiting conditions, P addition had no effect on root colonization by Glontus etunicatum Becker &amp; Gerdemann and increased root colonization by Gigaspora margarita Gerdemann and Trappe. In the second experiment, conducted under N‐sufficient conditions, P addition suppressed colonization by G. etunicatum. In the third experiment, P and N additions were such that tissue P:N ratios ranged from 0–03 (P limiting) to 017 (N limiting). No relationship was found between P:N ratio and root colonization for two isolates of G. etunicatum. Root colonization was not affected by P addition when plants were deficient in N but, when N was sufficient, P addition suppressed root colonization. These results demonstrate that plant N stress affects the resistance of the host root to colonization by VA mycorrhizal fungi. Copyright © 1990, Wiley Blackwell. All rights reserved&quot;,&quot;publisher&quot;:&quot;John Wiley &amp; Sons, Ltd&quot;,&quot;issue&quot;:&quot;2&quot;,&quot;volume&quot;:&quot;115&quot;},&quot;isTemporary&quot;:false}],&quot;properties&quot;:{&quot;noteIndex&quot;:0},&quot;isEdited&quot;:false,&quot;manualOverride&quot;:{&quot;isManuallyOverriden&quot;:false,&quot;citeprocText&quot;:&quot;(Sylvia &amp;#38; Neal, 1990)&quot;,&quot;manualOverrideText&quot;:&quot;&quot;},&quot;citationTag&quot;:&quot;MENDELEY_CITATION_v3_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&quot;},{&quot;citationID&quot;:&quot;MENDELEY_CITATION_05273438-0043-4caa-a084-a87114a4cc84&quot;,&quot;citationItems&quot;:[{&quot;id&quot;:&quot;b39ddfad-e663-3088-9234-b6034dd12794&quot;,&quot;itemData&quot;:{&quot;type&quot;:&quot;article&quot;,&quot;id&quot;:&quot;b39ddfad-e663-3088-9234-b6034dd12794&quot;,&quot;title&quot;:&quot;Arbuscular mycorrhiza and soil organic nitrogen: network of players and interactions&quot;,&quot;author&quot;:[{&quot;family&quot;:&quot;Jansa&quot;,&quot;given&quot;:&quot;Jan&quot;,&quot;parse-names&quot;:false,&quot;dropping-particle&quot;:&quot;&quot;,&quot;non-dropping-particle&quot;:&quot;&quot;},{&quot;family&quot;:&quot;Forczek&quot;,&quot;given&quot;:&quot;Sándor T.&quot;,&quot;parse-names&quot;:false,&quot;dropping-particle&quot;:&quot;&quot;,&quot;non-dropping-particle&quot;:&quot;&quot;},{&quot;family&quot;:&quot;Rozmoš&quot;,&quot;given&quot;:&quot;Martin&quot;,&quot;parse-names&quot;:false,&quot;dropping-particle&quot;:&quot;&quot;,&quot;non-dropping-particle&quot;:&quot;&quot;},{&quot;family&quot;:&quot;Püschel&quot;,&quot;given&quot;:&quot;David&quot;,&quot;parse-names&quot;:false,&quot;dropping-particle&quot;:&quot;&quot;,&quot;non-dropping-particle&quot;:&quot;&quot;},{&quot;family&quot;:&quot;Bukovská&quot;,&quot;given&quot;:&quot;Petra&quot;,&quot;parse-names&quot;:false,&quot;dropping-particle&quot;:&quot;&quot;,&quot;non-dropping-particle&quot;:&quot;&quot;},{&quot;family&quot;:&quot;Hršelová&quot;,&quot;given&quot;:&quot;Hana&quot;,&quot;parse-names&quot;:false,&quot;dropping-particle&quot;:&quot;&quot;,&quot;non-dropping-particle&quot;:&quot;&quot;}],&quot;container-title&quot;:&quot;Chemical and Biological Technologies in Agriculture&quot;,&quot;DOI&quot;:&quot;10.1186/s40538-019-0147-2&quot;,&quot;ISSN&quot;:&quot;21965641&quot;,&quot;issued&quot;:{&quot;date-parts&quot;:[[2019,12,1]]},&quot;abstract&quot;:&quot;Arbuscular mycorrhizal (AM) symbiosis is heavily and positively implicated in phosphorus (P) acquisition from soil to plants, including many important agricultural crops. Its role in plant nitrogen (N) nutrition is generally not as prominent or beneficial, with exception of some situations when N is available predominantly in organic forms. Yet the AM fungi (AMF) are, due to their poor exo-enzymatic repertoire, unlikely to degrade organic compounds on their own, therefore they possibly depend on other microorganisms to liberate nutrients contained in those materials. Here, we review current knowledge on the roles played by the AMF in plant N nutrition in general and uptake of N from organic compounds in particular, with a specific reference to microbes and processes involved in liberation and AM fungal utilization of N from organic compounds. Future research needs and directions are outlined, as is the agronomic and societal context of such research.[Figure not available: see fulltext.].&quot;,&quot;publisher&quot;:&quot;Springer International Publishing&quot;,&quot;issue&quot;:&quot;1&quot;,&quot;volume&quot;:&quot;6&quot;},&quot;isTemporary&quot;:false}],&quot;properties&quot;:{&quot;noteIndex&quot;:0},&quot;isEdited&quot;:false,&quot;manualOverride&quot;:{&quot;isManuallyOverriden&quot;:false,&quot;citeprocText&quot;:&quot;(Jansa et al., 2019)&quot;,&quot;manualOverrideText&quot;:&quot;(Jansa et al., 2019).&quot;,&quot;isManuallyOverridden&quot;:true},&quot;citationTag&quot;:&quot;MENDELEY_CITATION_v3_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&quot;},{&quot;citationID&quot;:&quot;MENDELEY_CITATION_e75c0078-da8a-4b04-9e5a-039b46c736aa&quot;,&quot;citationItems&quot;:[{&quot;id&quot;:&quot;3f0a9b1a-1b8d-3199-9e1e-346537019cc3&quot;,&quot;itemData&quot;:{&quot;type&quot;:&quot;article-journal&quot;,&quot;id&quot;:&quot;3f0a9b1a-1b8d-3199-9e1e-346537019cc3&quot;,&quot;title&quot;:&quot;Mycorrhizal responsiveness of maize (Zea mays L.) genotypes as related to releasing date and available P content in soil&quot;,&quot;author&quot;:[{&quot;family&quot;:&quot;Chu&quot;,&quot;given&quot;:&quot;Qun&quot;,&quot;parse-names&quot;:false,&quot;dropping-particle&quot;:&quot;&quot;,&quot;non-dropping-particle&quot;:&quot;&quot;},{&quot;family&quot;:&quot;Wang&quot;,&quot;given&quot;:&quot;Xinxin&quot;,&quot;parse-names&quot;:false,&quot;dropping-particle&quot;:&quot;&quot;,&quot;non-dropping-particle&quot;:&quot;&quot;},{&quot;family&quot;:&quot;Yang&quot;,&quot;given&quot;:&quot;Yang&quot;,&quot;parse-names&quot;:false,&quot;dropping-particle&quot;:&quot;&quot;,&quot;non-dropping-particle&quot;:&quot;&quot;},{&quot;family&quot;:&quot;Chen&quot;,&quot;given&quot;:&quot;Fanjun&quot;,&quot;parse-names&quot;:false,&quot;dropping-particle&quot;:&quot;&quot;,&quot;non-dropping-particle&quot;:&quot;&quot;},{&quot;family&quot;:&quot;Zhang&quot;,&quot;given&quot;:&quot;Fusuo&quot;,&quot;parse-names&quot;:false,&quot;dropping-particle&quot;:&quot;&quot;,&quot;non-dropping-particle&quot;:&quot;&quot;},{&quot;family&quot;:&quot;Feng&quot;,&quot;given&quot;:&quot;Gu&quot;,&quot;parse-names&quot;:false,&quot;dropping-particle&quot;:&quot;&quot;,&quot;non-dropping-particle&quot;:&quot;&quot;}],&quot;container-title&quot;:&quot;Mycorrhiza&quot;,&quot;DOI&quot;:&quot;10.1007/s00572-013-0492-0&quot;,&quot;ISSN&quot;:&quot;09406360&quot;,&quot;PMID&quot;:&quot;23503868&quot;,&quot;issued&quot;:{&quot;date-parts&quot;:[[2013,8]]},&quot;page&quot;:&quot;497-505&quot;,&quot;abstract&quot;:&quot;The aim of this study was to compare the mycorrhizal responsiveness among old and recent Chinese maize genotypes (released from 1950s to 2008) in low- and high-Olsen-P soils and to identify parameters that would indicate the relationships between the mycorrhizal responsiveness and the functional traits related to P uptake of maize. A greenhouse factorial experiment was conducted. The factors were maize genotype [Huangmaya (HMY), Zhongdan 2 (ZD2), Nongda 108 (ND108), and NE15], inoculation with or without arbuscular mycorrhizal fungi (AMF) (Rhizophagus irregularis), and Olsen-P levels (4, 9, 18, 36, or 60 mg P kg-1). Old and recently released genotypes differed in their response to AMF under low- and high-P supply. Three kinds of responses (in terms of shoot growth) were observed: the response was positive if the soil P content was low, but negative if the soil Olsen-P content was high (HMY and ND108); the response was neutral regardless of soil P content (ZD2); and the response was positive regardless of soil P content (NE15). Principle component (PC) analysis showed that the first PC comprised morphological and physiological traits of maize roots, and the second PC comprised mycorrhizal traits. The opposite was the case, however, in high-P soil. It is concluded that maize breeding selection from 1950s to 2000s is not always against the AM association and that AMF play positive roles in promoting the growth of some maize genotypes in high-P soil. The root length colonization by efficient AMF might be a useful parameter for breeding varieties with increased mycorrhizal responsiveness. © 2013 Springer-Verlag Berlin Heidelberg.&quot;,&quot;issue&quot;:&quot;6&quot;,&quot;volume&quot;:&quot;23&quot;},&quot;isTemporary&quot;:false}],&quot;properties&quot;:{&quot;noteIndex&quot;:0},&quot;isEdited&quot;:false,&quot;manualOverride&quot;:{&quot;isManuallyOverriden&quot;:false,&quot;citeprocText&quot;:&quot;(Chu et al., 2013a)&quot;,&quot;manualOverrideText&quot;:&quot;(Chu et al., 2013)&quot;,&quot;isManuallyOverridden&quot;:true},&quot;citationTag&quot;:&quot;MENDELEY_CITATION_v3_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&quot;},{&quot;citationID&quot;:&quot;MENDELEY_CITATION_78cbac5a-d305-4573-817c-2874685cd700&quot;,&quot;citationItems&quot;:[{&quot;id&quot;:&quot;3f0a9b1a-1b8d-3199-9e1e-346537019cc3&quot;,&quot;itemData&quot;:{&quot;type&quot;:&quot;article-journal&quot;,&quot;id&quot;:&quot;3f0a9b1a-1b8d-3199-9e1e-346537019cc3&quot;,&quot;title&quot;:&quot;Mycorrhizal responsiveness of maize (Zea mays L.) genotypes as related to releasing date and available P content in soil&quot;,&quot;author&quot;:[{&quot;family&quot;:&quot;Chu&quot;,&quot;given&quot;:&quot;Qun&quot;,&quot;parse-names&quot;:false,&quot;dropping-particle&quot;:&quot;&quot;,&quot;non-dropping-particle&quot;:&quot;&quot;},{&quot;family&quot;:&quot;Wang&quot;,&quot;given&quot;:&quot;Xinxin&quot;,&quot;parse-names&quot;:false,&quot;dropping-particle&quot;:&quot;&quot;,&quot;non-dropping-particle&quot;:&quot;&quot;},{&quot;family&quot;:&quot;Yang&quot;,&quot;given&quot;:&quot;Yang&quot;,&quot;parse-names&quot;:false,&quot;dropping-particle&quot;:&quot;&quot;,&quot;non-dropping-particle&quot;:&quot;&quot;},{&quot;family&quot;:&quot;Chen&quot;,&quot;given&quot;:&quot;Fanjun&quot;,&quot;parse-names&quot;:false,&quot;dropping-particle&quot;:&quot;&quot;,&quot;non-dropping-particle&quot;:&quot;&quot;},{&quot;family&quot;:&quot;Zhang&quot;,&quot;given&quot;:&quot;Fusuo&quot;,&quot;parse-names&quot;:false,&quot;dropping-particle&quot;:&quot;&quot;,&quot;non-dropping-particle&quot;:&quot;&quot;},{&quot;family&quot;:&quot;Feng&quot;,&quot;given&quot;:&quot;Gu&quot;,&quot;parse-names&quot;:false,&quot;dropping-particle&quot;:&quot;&quot;,&quot;non-dropping-particle&quot;:&quot;&quot;}],&quot;container-title&quot;:&quot;Mycorrhiza&quot;,&quot;DOI&quot;:&quot;10.1007/s00572-013-0492-0&quot;,&quot;ISSN&quot;:&quot;09406360&quot;,&quot;PMID&quot;:&quot;23503868&quot;,&quot;issued&quot;:{&quot;date-parts&quot;:[[2013,8]]},&quot;page&quot;:&quot;497-505&quot;,&quot;abstract&quot;:&quot;The aim of this study was to compare the mycorrhizal responsiveness among old and recent Chinese maize genotypes (released from 1950s to 2008) in low- and high-Olsen-P soils and to identify parameters that would indicate the relationships between the mycorrhizal responsiveness and the functional traits related to P uptake of maize. A greenhouse factorial experiment was conducted. The factors were maize genotype [Huangmaya (HMY), Zhongdan 2 (ZD2), Nongda 108 (ND108), and NE15], inoculation with or without arbuscular mycorrhizal fungi (AMF) (Rhizophagus irregularis), and Olsen-P levels (4, 9, 18, 36, or 60 mg P kg-1). Old and recently released genotypes differed in their response to AMF under low- and high-P supply. Three kinds of responses (in terms of shoot growth) were observed: the response was positive if the soil P content was low, but negative if the soil Olsen-P content was high (HMY and ND108); the response was neutral regardless of soil P content (ZD2); and the response was positive regardless of soil P content (NE15). Principle component (PC) analysis showed that the first PC comprised morphological and physiological traits of maize roots, and the second PC comprised mycorrhizal traits. The opposite was the case, however, in high-P soil. It is concluded that maize breeding selection from 1950s to 2000s is not always against the AM association and that AMF play positive roles in promoting the growth of some maize genotypes in high-P soil. The root length colonization by efficient AMF might be a useful parameter for breeding varieties with increased mycorrhizal responsiveness. © 2013 Springer-Verlag Berlin Heidelberg.&quot;,&quot;issue&quot;:&quot;6&quot;,&quot;volume&quot;:&quot;23&quot;},&quot;isTemporary&quot;:false}],&quot;properties&quot;:{&quot;noteIndex&quot;:0},&quot;isEdited&quot;:false,&quot;manualOverride&quot;:{&quot;isManuallyOverriden&quot;:false,&quot;citeprocText&quot;:&quot;(Chu et al., 2013a)&quot;,&quot;manualOverrideText&quot;:&quot;(Chu et al., 2013).&quot;,&quot;isManuallyOverridden&quot;:true},&quot;citationTag&quot;:&quot;MENDELEY_CITATION_v3_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&quot;},{&quot;citationID&quot;:&quot;MENDELEY_CITATION_d2b1eb64-5b23-4c5a-a2bf-df2f0d20f950&quot;,&quot;citationItems&quot;:[{&quot;id&quot;:&quot;bae67c76-1e67-3ca8-8b5b-7b91dc02333f&quot;,&quot;itemData&quot;:{&quot;type&quot;:&quot;article-journal&quot;,&quot;id&quot;:&quot;bae67c76-1e67-3ca8-8b5b-7b91dc02333f&quot;,&quot;title&quot;:&quot;Cereal phosphate transporters associated with the mycorrhizal pathway of phosphate uptake into roots&quot;,&quot;author&quot;:[{&quot;family&quot;:&quot;Glassop&quot;,&quot;given&quot;:&quot;Donna&quot;,&quot;parse-names&quot;:false,&quot;dropping-particle&quot;:&quot;&quot;,&quot;non-dropping-particle&quot;:&quot;&quot;},{&quot;family&quot;:&quot;Smith&quot;,&quot;given&quot;:&quot;Sally E.&quot;,&quot;parse-names&quot;:false,&quot;dropping-particle&quot;:&quot;&quot;,&quot;non-dropping-particle&quot;:&quot;&quot;},{&quot;family&quot;:&quot;Smith&quot;,&quot;given&quot;:&quot;Frank W.&quot;,&quot;parse-names&quot;:false,&quot;dropping-particle&quot;:&quot;&quot;,&quot;non-dropping-particle&quot;:&quot;&quot;}],&quot;container-title&quot;:&quot;Planta&quot;,&quot;accessed&quot;:{&quot;date-parts&quot;:[[2021,3,26]]},&quot;DOI&quot;:&quot;10.1007/s00425-005-0015-0&quot;,&quot;ISSN&quot;:&quot;00320935&quot;,&quot;PMID&quot;:&quot;16133217&quot;,&quot;issued&quot;:{&quot;date-parts&quot;:[[2005,11]]},&quot;page&quot;:&quot;688-698&quot;,&quot;abstract&quot;:&quot;A very large number of plant species are capable of forming symbiotic associations with arbuscular mycorrhizal (AM) fungi. The roots of these plants are potentially capable of absorbing P from the soil solution both directly through root epidermis and root hairs, and via the AM fungal pathway that delivers P to the root cortex. A large number of phosphate (P) transporters have been identified in plants; tissue expression patterns and kinetic information supports the roles of some of these in the direct root uptake pathways. Recent work has identified additional P transporters in several unrelated species that are strongly induced, sometimes specifically, in AM roots. The primary aim of the work described in this paper was to determine how mycorrhizal colonisation by different species of AM fungi influenced the expression of members of the Pht1 gene families in the cereals Hordeum vulgare (barley), Triticum aestivum (wheat) and Zea mays (maize). RT-PCR and in-situ hybridisation, showed that the transporters HORvu;Pht1;8 (AY187023), TRIae;Pht1;myc (AJ830009) and ZEAma;Pht1;6 (AJ830010), had increased expression in roots colonised by the AM fungi Glomus intraradices,Glomus sp. WFVAM23 and Scutellospora calospora. These findings add to the increasing body of evidence indicating that plants that form AM associations with members of the Glomeromycota have evolved phosphate transporters that are either specifically or preferentially involved in scavenging phosphate from the apoplast between intracellular AM structures and root cortical cells. Operation of mycorrhiza-inducible P transporters in the AM P uptake pathway appears, at least partially, to replace uptake via different P transporters located in root epidermis and root hairs. © Springer-Verlag 2005.&quot;,&quot;issue&quot;:&quot;4&quot;,&quot;volume&quot;:&quot;222&quot;},&quot;isTemporary&quot;:false},{&quot;id&quot;:&quot;4ee87333-0116-34ae-842d-bb5dd8af3ac1&quot;,&quot;itemData&quot;:{&quot;type&quot;:&quot;article-journal&quot;,&quot;id&quot;:&quot;4ee87333-0116-34ae-842d-bb5dd8af3ac1&quot;,&quot;title&quot;:&quot;Rice phosphate transporters include an evolutionarily divergent gene specifically activated in arbuscular mycorrhizal symbiosis&quot;,&quot;author&quot;:[{&quot;family&quot;:&quot;Paszkowski&quot;,&quot;given&quot;:&quot;Uta&quot;,&quot;parse-names&quot;:false,&quot;dropping-particle&quot;:&quot;&quot;,&quot;non-dropping-particle&quot;:&quot;&quot;},{&quot;family&quot;:&quot;Kroken&quot;,&quot;given&quot;:&quot;Scott&quot;,&quot;parse-names&quot;:false,&quot;dropping-particle&quot;:&quot;&quot;,&quot;non-dropping-particle&quot;:&quot;&quot;},{&quot;family&quot;:&quot;Roux&quot;,&quot;given&quot;:&quot;Christophe&quot;,&quot;parse-names&quot;:false,&quot;dropping-particle&quot;:&quot;&quot;,&quot;non-dropping-particle&quot;:&quot;&quot;},{&quot;family&quot;:&quot;Briggs&quot;,&quot;given&quot;:&quot;Steven P.&quot;,&quot;parse-names&quot;:false,&quot;dropping-particle&quot;:&quot;&quot;,&quot;non-dropping-particle&quot;:&quot;&quot;}],&quot;container-title&quot;:&quot;Proceedings of the National Academy of Sciences of the United States of America&quot;,&quot;accessed&quot;:{&quot;date-parts&quot;:[[2021,3,26]]},&quot;DOI&quot;:&quot;10.1073/pnas.202474599&quot;,&quot;ISSN&quot;:&quot;00278424&quot;,&quot;PMID&quot;:&quot;12271140&quot;,&quot;URL&quot;:&quot;https://pubmed.ncbi.nlm.nih.gov/12271140/&quot;,&quot;issued&quot;:{&quot;date-parts&quot;:[[2002,10,1]]},&quot;page&quot;:&quot;13324-13329&quot;,&quot;abstract&quot;:&quot;Using a genome-wide approach, we asked how many transporter genes contribute to symbiotic phosphate uptake and analyzed their evolutionary conservation. Considering the sequenced rice genome at hand, only the Oryza sativa phosphate transporter (OsPT) gene OsPT11 was specifically induced during the arbuscular mycorrhizal symbiosis. This induction was confined to the root system and was tightly correlated with the degree of root colonization by Glomus intraradices. OsPT11 activation was independent of the nutritional status of the plant and phosphate availability in the rhizosphere. Moreover, infection of roots with the fungal pathogens Rhizoctonia solani and Fusarium moniliforme did not activate OsPT11, corroborating the high signal specificity for OsPT11 activation in the arbuscular mycorrhizal symbiosis. OsPT11 expression complemented a defect in phosphate uptake in a yeast strain mutated in its high-affinity Pi transporter (pho84), thereby confirming its function. Recently, a phosphate transporter gene in potato was shown to be induced during arbuscular mycorrhizal symbiosis. Assessment of the phylogenetic relationship of the rice and potato protein revealed that the rice is nonorthologous to the potato protein. Further, there are no structural commonalities in the promoter regions. Thus, although cytological and physiological features of the arbuscular mycorrhizal symbiosis seem to be conserved, the molecular components may differ significantly between distantly related plant species.&quot;,&quot;publisher&quot;:&quot;Proc Natl Acad Sci U S A&quot;,&quot;issue&quot;:&quot;20&quot;,&quot;volume&quot;:&quot;99&quot;},&quot;isTemporary&quot;:false}],&quot;properties&quot;:{&quot;noteIndex&quot;:0},&quot;isEdited&quot;:false,&quot;manualOverride&quot;:{&quot;isManuallyOverridden&quot;:false,&quot;citeprocText&quot;:&quot;(Glassop et al., 2005; Paszkowski et al., 2002)&quot;,&quot;manualOverrideText&quot;:&quot;&quot;},&quot;citationTag&quot;:&quot;MENDELEY_CITATION_v3_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&quot;},{&quot;citationID&quot;:&quot;MENDELEY_CITATION_5429f0e5-20d1-4c19-b1a8-a2f5f2d591bc&quot;,&quot;citationItems&quot;:[{&quot;id&quot;:&quot;e2978fdf-74a1-344a-a7e1-555708c5e320&quot;,&quot;itemData&quot;:{&quot;type&quot;:&quot;article-journal&quot;,&quot;id&quot;:&quot;e2978fdf-74a1-344a-a7e1-555708c5e320&quot;,&quot;title&quot;:&quot;The interplay between P uptake pathways in mycorrhizal peas: a combined physiological and gene-silencing approach&quot;,&quot;author&quot;:[{&quot;family&quot;:&quot;Grønlund&quot;,&quot;given&quot;:&quot;Mette&quot;,&quot;parse-names&quot;:false,&quot;dropping-particle&quot;:&quot;&quot;,&quot;non-dropping-particle&quot;:&quot;&quot;},{&quot;family&quot;:&quot;Albrechtsen&quot;,&quot;given&quot;:&quot;Merete&quot;,&quot;parse-names&quot;:false,&quot;dropping-particle&quot;:&quot;&quot;,&quot;non-dropping-particle&quot;:&quot;&quot;},{&quot;family&quot;:&quot;Johansen&quot;,&quot;given&quot;:&quot;I. Elisabeth&quot;,&quot;parse-names&quot;:false,&quot;dropping-particle&quot;:&quot;&quot;,&quot;non-dropping-particle&quot;:&quot;&quot;},{&quot;family&quot;:&quot;Hammer&quot;,&quot;given&quot;:&quot;Edith C.&quot;,&quot;parse-names&quot;:false,&quot;dropping-particle&quot;:&quot;&quot;,&quot;non-dropping-particle&quot;:&quot;&quot;},{&quot;family&quot;:&quot;Nielsen&quot;,&quot;given&quot;:&quot;Tom H.&quot;,&quot;parse-names&quot;:false,&quot;dropping-particle&quot;:&quot;&quot;,&quot;non-dropping-particle&quot;:&quot;&quot;},{&quot;family&quot;:&quot;Jakobsen&quot;,&quot;given&quot;:&quot;Iver&quot;,&quot;parse-names&quot;:false,&quot;dropping-particle&quot;:&quot;&quot;,&quot;non-dropping-particle&quot;:&quot;&quot;}],&quot;container-title&quot;:&quot;Physiologia Plantarum&quot;,&quot;accessed&quot;:{&quot;date-parts&quot;:[[2021,3,26]]},&quot;DOI&quot;:&quot;10.1111/ppl.12030&quot;,&quot;ISSN&quot;:&quot;00319317&quot;,&quot;URL&quot;:&quot;http://doi.wiley.com/10.1111/ppl.12030&quot;,&quot;issued&quot;:{&quot;date-parts&quot;:[[2013,10,1]]},&quot;page&quot;:&quot;234-248&quot;,&quot;abstract&quot;:&quot;Arbuscular mycorrhizal fungi (AMF) have a key role in plant phosphate (Pi) uptake by their efficient capture of soil phosphorus (P) that is transferred to the plant via Pi transporters in the root cortical cells. The activity of this mycorrhizal Pi uptake pathway is often associated with downregulation of Pi transporter genes in the direct Pi uptake pathway. As the total Pi taken up by the plant is determined by the combined activity of mycorrhizal and direct pathways, it is important to understand the interplay between these, in particular the actual activity of the pathways. To study this interplay we modulated the delivery of Pi via the mycorrhizal pathway in Pisum sativum by two means: (1) Partial downregulation by virus-induced gene silencing of PsPT4, a putative Pi transporter gene in the mycorrhizal pathway. This resulted in decreased fungal development in roots and soil and led to reduced plant Pi uptake. (2) Changing the percentage of AMF-colonized root length by using non-, half-mycorrhizal or full-mycorrhizal split-root systems. The combination of split roots, use of 32P and 33P isotopes and partial silencing of PsPT4 enabled us to show that the expression of PsPT1, a putative Pi transporter gene in the direct pathway, was negatively correlated with increasing mycorrhizal uptake capacity of the plant, both locally and systemically. However, transcript changes in PsPT1 were not translated into corresponding, systemic changes in actual direct Pi uptake. Our results suggest that AMF have a limited long-distance impact on the direct pathway. © 2013 Scandinavian Plant Physiology Society.&quot;,&quot;publisher&quot;:&quot;John Wiley &amp; Sons, Ltd&quot;,&quot;issue&quot;:&quot;2&quot;,&quot;volume&quot;:&quot;149&quot;},&quot;isTemporary&quot;:false}],&quot;properties&quot;:{&quot;noteIndex&quot;:0},&quot;isEdited&quot;:false,&quot;manualOverride&quot;:{&quot;isManuallyOverriden&quot;:false,&quot;citeprocText&quot;:&quot;(Grønlund et al., 2013)&quot;,&quot;manualOverrideText&quot;:&quot;&quot;},&quot;citationTag&quot;:&quot;MENDELEY_CITATION_v3_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&quot;},{&quot;citationID&quot;:&quot;MENDELEY_CITATION_361b7302-8c1e-488b-839e-78dce240967b&quot;,&quot;citationItems&quot;:[{&quot;id&quot;:&quot;c98123c1-c9b7-3b74-9093-f8b2679d0ad9&quot;,&quot;itemData&quot;:{&quot;type&quot;:&quot;article-journal&quot;,&quot;id&quot;:&quot;c98123c1-c9b7-3b74-9093-f8b2679d0ad9&quot;,&quot;title&quot;:&quot;Diversity of arbuscular mycorrhizal fungi in greenhouse soils continuously planted to watermelon in North China&quot;,&quot;author&quot;:[{&quot;family&quot;:&quot;Jiao&quot;,&quot;given&quot;:&quot;Hui&quot;,&quot;parse-names&quot;:false,&quot;dropping-particle&quot;:&quot;&quot;,&quot;non-dropping-particle&quot;:&quot;&quot;},{&quot;family&quot;:&quot;Chen&quot;,&quot;given&quot;:&quot;Yinglong&quot;,&quot;parse-names&quot;:false,&quot;dropping-particle&quot;:&quot;&quot;,&quot;non-dropping-particle&quot;:&quot;&quot;},{&quot;family&quot;:&quot;Lin&quot;,&quot;given&quot;:&quot;Xiangui&quot;,&quot;parse-names&quot;:false,&quot;dropping-particle&quot;:&quot;&quot;,&quot;non-dropping-particle&quot;:&quot;&quot;},{&quot;family&quot;:&quot;Liu&quot;,&quot;given&quot;:&quot;Runjin&quot;,&quot;parse-names&quot;:false,&quot;dropping-particle&quot;:&quot;&quot;,&quot;non-dropping-particle&quot;:&quot;&quot;}],&quot;container-title&quot;:&quot;Mycorrhiza&quot;,&quot;accessed&quot;:{&quot;date-parts&quot;:[[2021,3,18]]},&quot;DOI&quot;:&quot;10.1007/s00572-011-0377-z&quot;,&quot;ISSN&quot;:&quot;09406360&quot;,&quot;PMID&quot;:&quot;21455754&quot;,&quot;URL&quot;:&quot;http://invam.&quot;,&quot;issued&quot;:{&quot;date-parts&quot;:[[2011,11,1]]},&quot;page&quot;:&quot;681-688&quot;,&quot;abstract&quot;:&quot;In North China, watermelon is grown in commercial greenhouses in a continuous monoculture and with high application rates of manure or compost. The aim of this study was to determine how the diversity of arbuscular mycorrhizal fungi (AMF) in these soils changed over long periods (0 to 20 years) of monoculture. AMF in control soils (from fields not replanted with watermelon and located near the greenhouses) and in greenhouses (in Daxing, Beijing, and Weifang, Shandong) that had been continuously replanted with watermelon for 5, 10, 15, or 20 years (three greenhouses per year per location) were identified and quantified based on spore morphology and on denaturing gradient gel electrophoresis (DGGE). The total number of AMF species and genera were 13 and 3 in soils replanted for 5-20 years and 19 and 4 in control soils. AMF species richness (SR), the Shannon-Wiener index (H), and spore density declined as the number of years in which watermelon was replanted increased. The available phosphorus, potassium, and nitrogen in the soil increased as the number of years in which watermelon was replanted increased. Values for SR and H were higher when based on DGGE than on spore morphology. The results suggest that current greenhouse practices in North China reduce the AMF diversity in the soil. © 2011 Springer-Verlag.&quot;,&quot;publisher&quot;:&quot;Springer&quot;,&quot;issue&quot;:&quot;8&quot;,&quot;volume&quot;:&quot;21&quot;},&quot;isTemporary&quot;:false}],&quot;properties&quot;:{&quot;noteIndex&quot;:0},&quot;isEdited&quot;:false,&quot;manualOverride&quot;:{&quot;isManuallyOverriden&quot;:false,&quot;citeprocText&quot;:&quot;(Jiao et al., 2011)&quot;,&quot;manualOverrideText&quot;:&quot;&quot;},&quot;citationTag&quot;:&quot;MENDELEY_CITATION_v3_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&quot;},{&quot;citationID&quot;:&quot;MENDELEY_CITATION_70c3ef11-a68b-47ae-af95-6412814e1b1a&quot;,&quot;citationItems&quot;:[{&quot;id&quot;:&quot;5a564cd4-d7cc-33fa-82ca-f811ab0b09a2&quot;,&quot;itemData&quot;:{&quot;type&quot;:&quot;article-journal&quot;,&quot;id&quot;:&quot;5a564cd4-d7cc-33fa-82ca-f811ab0b09a2&quot;,&quot;title&quot;:&quot;Increased abundance of arbuscular mycorrhizal fungi in soil coincides with the reproductive stages of maize&quot;,&quot;author&quot;:[{&quot;family&quot;:&quot;Grigera&quot;,&quot;given&quot;:&quot;M. Susana&quot;,&quot;parse-names&quot;:false,&quot;dropping-particle&quot;:&quot;&quot;,&quot;non-dropping-particle&quot;:&quot;&quot;},{&quot;family&quot;:&quot;Drijber&quot;,&quot;given&quot;:&quot;Rhae A.&quot;,&quot;parse-names&quot;:false,&quot;dropping-particle&quot;:&quot;&quot;,&quot;non-dropping-particle&quot;:&quot;&quot;},{&quot;family&quot;:&quot;Wienhold&quot;,&quot;given&quot;:&quot;Brian J.&quot;,&quot;parse-names&quot;:false,&quot;dropping-particle&quot;:&quot;&quot;,&quot;non-dropping-particle&quot;:&quot;&quot;}],&quot;container-title&quot;:&quot;Agronomy &amp; Horticulture -- Faculty Publications&quot;,&quot;accessed&quot;:{&quot;date-parts&quot;:[[2021,3,18]]},&quot;URL&quot;:&quot;https://digitalcommons.unl.edu/agronomyfacpub/33&quot;,&quot;issued&quot;:{&quot;date-parts&quot;:[[2007,4,19]]}},&quot;isTemporary&quot;:false}],&quot;properties&quot;:{&quot;noteIndex&quot;:0},&quot;isEdited&quot;:false,&quot;manualOverride&quot;:{&quot;isManuallyOverriden&quot;:false,&quot;citeprocText&quot;:&quot;(Grigera et al., 2007)&quot;,&quot;manualOverrideText&quot;:&quot;(Grigera et al., 2007).&quot;,&quot;isManuallyOverridden&quot;:true},&quot;citationTag&quot;:&quot;MENDELEY_CITATION_v3_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&quot;},{&quot;citationID&quot;:&quot;MENDELEY_CITATION_854574c8-17c7-415e-b03f-05851b9c2dae&quot;,&quot;citationItems&quot;:[{&quot;id&quot;:&quot;abf85b8f-4dfa-3ebe-95b6-e7b98e0ac462&quot;,&quot;itemData&quot;:{&quot;type&quot;:&quot;article-journal&quot;,&quot;id&quot;:&quot;abf85b8f-4dfa-3ebe-95b6-e7b98e0ac462&quot;,&quot;title&quot;:&quot;Flint maize root mycorrhization and organic acid exudates under phosphorus deficiency: Trends in breeding lines and doubled haploid lines from landraces&quot;,&quot;author&quot;:[{&quot;family&quot;:&quot;Li&quot;,&quot;given&quot;:&quot;Xuelian&quot;,&quot;parse-names&quot;:false,&quot;dropping-particle&quot;:&quot;&quot;,&quot;non-dropping-particle&quot;:&quot;&quot;},{&quot;family&quot;:&quot;Quan&quot;,&quot;given&quot;:&quot;Xiuhao&quot;,&quot;parse-names&quot;:false,&quot;dropping-particle&quot;:&quot;&quot;,&quot;non-dropping-particle&quot;:&quot;&quot;},{&quot;family&quot;:&quot;Mang&quot;,&quot;given&quot;:&quot;Melissa&quot;,&quot;parse-names&quot;:false,&quot;dropping-particle&quot;:&quot;&quot;,&quot;non-dropping-particle&quot;:&quot;&quot;},{&quot;family&quot;:&quot;Neumann&quot;,&quot;given&quot;:&quot;Günter&quot;,&quot;parse-names&quot;:false,&quot;dropping-particle&quot;:&quot;&quot;,&quot;non-dropping-particle&quot;:&quot;&quot;},{&quot;family&quot;:&quot;Melchinger&quot;,&quot;given&quot;:&quot;Albrecht&quot;,&quot;parse-names&quot;:false,&quot;dropping-particle&quot;:&quot;&quot;,&quot;non-dropping-particle&quot;:&quot;&quot;},{&quot;family&quot;:&quot;Ludewig&quot;,&quot;given&quot;:&quot;Uwe&quot;,&quot;parse-names&quot;:false,&quot;dropping-particle&quot;:&quot;&quot;,&quot;non-dropping-particle&quot;:&quot;&quot;}],&quot;container-title&quot;:&quot;Journal of Plant Nutrition and Soil Science&quot;,&quot;DOI&quot;:&quot;10.1002/jpln.202000471&quot;,&quot;ISSN&quot;:&quot;15222624&quot;,&quot;issued&quot;:{&quot;date-parts&quot;:[[2021]]},&quot;abstract&quot;:&quot;Aims: High maize yields in modern well-managed agroecosystems depend on the use of elite varieties and hybrids. Unfortunately, because of repeated selection at high fertilizer rates, some beneficial traits, such as the interaction with arbuscular mycorrhizal fungi or the release of organic acid anions for phosphate mobilization and for attracting beneficial microorganisms, might be gradually declining in modern elite genotypes. However, old founder lines and landraces possibly carry genetic relicts that originate from pre-green revolution times that are useful for breeding elite material for low input farming systems. Methods: Seedling colonization with arbuscular mycorrhizal fungi (AMF) and organic acid anion release were measured in flint lines that were released over more than five decades ago and in six preselected doubled haploid (DH) lines from landraces. P-uptake-related root traits were compared under P-sufficient and P-deficient conditions. Results: Weak trends for the loss of AMF colonization or changes in organic acid anion release at low P supply were detected in modern varieties. One DH line from a landrace was found with increased mycorrhization, whereas others were similar to modern elite lines. Overall, substantial genetic variance was encountered for these traits. Conclusions: The concern that modern elite maize varieties have lost beneficial traits for nutrient acquisition is not substantiated for the flint pool of maize, although weak trends exist. Lines associated with better P-acquisition efficiency under limited P availability should be utilized for breeding more sustainable varieties.&quot;,&quot;publisher&quot;:&quot;Wiley-VCH Verlag&quot;},&quot;isTemporary&quot;:false}],&quot;properties&quot;:{&quot;noteIndex&quot;:0},&quot;isEdited&quot;:false,&quot;manualOverride&quot;:{&quot;isManuallyOverriden&quot;:false,&quot;citeprocText&quot;:&quot;(X. Li et al., 2021)&quot;,&quot;manualOverrideText&quot;:&quot;(Li et al., 2021).&quot;,&quot;isManuallyOverridden&quot;:true},&quot;citationTag&quot;:&quot;MENDELEY_CITATION_v3_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&quot;},{&quot;citationID&quot;:&quot;MENDELEY_CITATION_f1441b0f-8f16-4516-b314-210190d1dc6a&quot;,&quot;citationItems&quot;:[{&quot;id&quot;:&quot;9ef3762f-380c-3570-bab5-af6781021e35&quot;,&quot;itemData&quot;:{&quot;type&quot;:&quot;article-journal&quot;,&quot;id&quot;:&quot;9ef3762f-380c-3570-bab5-af6781021e35&quot;,&quot;title&quot;:&quot;Agriculture as a source of phosphorus causing eutrophication in Central and Eastern Europe&quot;,&quot;author&quot;:[{&quot;family&quot;:&quot;Csathó&quot;,&quot;given&quot;:&quot;P.&quot;,&quot;parse-names&quot;:false,&quot;dropping-particle&quot;:&quot;&quot;,&quot;non-dropping-particle&quot;:&quot;&quot;},{&quot;family&quot;:&quot;Sisák&quot;,&quot;given&quot;:&quot;I.&quot;,&quot;parse-names&quot;:false,&quot;dropping-particle&quot;:&quot;&quot;,&quot;non-dropping-particle&quot;:&quot;&quot;},{&quot;family&quot;:&quot;Radimszky&quot;,&quot;given&quot;:&quot;L.&quot;,&quot;parse-names&quot;:false,&quot;dropping-particle&quot;:&quot;&quot;,&quot;non-dropping-particle&quot;:&quot;&quot;},{&quot;family&quot;:&quot;Lushaj&quot;,&quot;given&quot;:&quot;S.&quot;,&quot;parse-names&quot;:false,&quot;dropping-particle&quot;:&quot;&quot;,&quot;non-dropping-particle&quot;:&quot;&quot;},{&quot;family&quot;:&quot;Spiegel&quot;,&quot;given&quot;:&quot;H.&quot;,&quot;parse-names&quot;:false,&quot;dropping-particle&quot;:&quot;&quot;,&quot;non-dropping-particle&quot;:&quot;&quot;},{&quot;family&quot;:&quot;Nikolova&quot;,&quot;given&quot;:&quot;M. T.&quot;,&quot;parse-names&quot;:false,&quot;dropping-particle&quot;:&quot;&quot;,&quot;non-dropping-particle&quot;:&quot;&quot;},{&quot;family&quot;:&quot;Nikolov&quot;,&quot;given&quot;:&quot;N.&quot;,&quot;parse-names&quot;:false,&quot;dropping-particle&quot;:&quot;&quot;,&quot;non-dropping-particle&quot;:&quot;&quot;},{&quot;family&quot;:&quot;Čermák&quot;,&quot;given&quot;:&quot;P.&quot;,&quot;parse-names&quot;:false,&quot;dropping-particle&quot;:&quot;&quot;,&quot;non-dropping-particle&quot;:&quot;&quot;},{&quot;family&quot;:&quot;Klir&quot;,&quot;given&quot;:&quot;J.&quot;,&quot;parse-names&quot;:false,&quot;dropping-particle&quot;:&quot;&quot;,&quot;non-dropping-particle&quot;:&quot;&quot;},{&quot;family&quot;:&quot;Astover&quot;,&quot;given&quot;:&quot;A.&quot;,&quot;parse-names&quot;:false,&quot;dropping-particle&quot;:&quot;&quot;,&quot;non-dropping-particle&quot;:&quot;&quot;},{&quot;family&quot;:&quot;Karklins&quot;,&quot;given&quot;:&quot;A.&quot;,&quot;parse-names&quot;:false,&quot;dropping-particle&quot;:&quot;&quot;,&quot;non-dropping-particle&quot;:&quot;&quot;},{&quot;family&quot;:&quot;Lazauskas&quot;,&quot;given&quot;:&quot;S.&quot;,&quot;parse-names&quot;:false,&quot;dropping-particle&quot;:&quot;&quot;,&quot;non-dropping-particle&quot;:&quot;&quot;},{&quot;family&quot;:&quot;Kopiński&quot;,&quot;given&quot;:&quot;J.&quot;,&quot;parse-names&quot;:false,&quot;dropping-particle&quot;:&quot;&quot;,&quot;non-dropping-particle&quot;:&quot;&quot;},{&quot;family&quot;:&quot;Hera&quot;,&quot;given&quot;:&quot;C.&quot;,&quot;parse-names&quot;:false,&quot;dropping-particle&quot;:&quot;&quot;,&quot;non-dropping-particle&quot;:&quot;&quot;},{&quot;family&quot;:&quot;Dumitru&quot;,&quot;given&quot;:&quot;E.&quot;,&quot;parse-names&quot;:false,&quot;dropping-particle&quot;:&quot;&quot;,&quot;non-dropping-particle&quot;:&quot;&quot;},{&quot;family&quot;:&quot;Manojlovic&quot;,&quot;given&quot;:&quot;M.&quot;,&quot;parse-names&quot;:false,&quot;dropping-particle&quot;:&quot;&quot;,&quot;non-dropping-particle&quot;:&quot;&quot;},{&quot;family&quot;:&quot;Bogdanović&quot;,&quot;given&quot;:&quot;D.&quot;,&quot;parse-names&quot;:false,&quot;dropping-particle&quot;:&quot;&quot;,&quot;non-dropping-particle&quot;:&quot;&quot;},{&quot;family&quot;:&quot;Torma&quot;,&quot;given&quot;:&quot;S.&quot;,&quot;parse-names&quot;:false,&quot;dropping-particle&quot;:&quot;&quot;,&quot;non-dropping-particle&quot;:&quot;&quot;},{&quot;family&quot;:&quot;Leskošek&quot;,&quot;given&quot;:&quot;M.&quot;,&quot;parse-names&quot;:false,&quot;dropping-particle&quot;:&quot;&quot;,&quot;non-dropping-particle&quot;:&quot;&quot;},{&quot;family&quot;:&quot;Khristenko&quot;,&quot;given&quot;:&quot;A.&quot;,&quot;parse-names&quot;:false,&quot;dropping-particle&quot;:&quot;&quot;,&quot;non-dropping-particle&quot;:&quot;&quot;}],&quot;container-title&quot;:&quot;Soil Use and Management&quot;,&quot;accessed&quot;:{&quot;date-parts&quot;:[[2021,3,18]]},&quot;DOI&quot;:&quot;10.1111/j.1475-2743.2007.00109.x&quot;,&quot;ISSN&quot;:&quot;0266-0032&quot;,&quot;URL&quot;:&quot;http://doi.wiley.com/10.1111/j.1475-2743.2007.00109.x&quot;,&quot;issued&quot;:{&quot;date-parts&quot;:[[2007,9]]},&quot;page&quot;:&quot;36-56&quot;,&quot;abstract&quot;:&quot;There are considerable differences between the EU-15 countries and Central and Eastern European (CEE) countries in the application rate of phosphorus (P) fertilizer and manure as well as in the climate and erosion patterns, but the eutrophication of surface waters is a common problem. The availability of information on the contribution of the CEE countries to European surveys on eutrophication is not adequate, because the amount of data available from these countries is small. There is thus a need to compile more comprehensive data sets for better assessment. Recent changes in agricultural practices, and their impact on the trophic status of surface waters in CEE countries, have been evaluated using a few selected pressure and state indicators (phosphorus balance, phosphorus status and erosion of agricultural land, P loss risk index, chlorophyll a, total and orthophosphate content of water) by compiling and analysing data from the literature. In the CEE countries, small annual P balances (-7 to +6 kg P ha-1) and declining levels of soil available P (proportion of soils adequately supplied with P dropped to between 10 and 50% of total area) may lead to low yields and economic difficulties. Only 11% of the variation in total phosphorus (TP) in rivers studied could be attributed to the calculated P loss risk index, and thus to the impact of differences in the agricultural diffuse source P load. The generation of more consistent data sets should be pursued for the whole of Europe in order to derive more powerful indicators. A refined P index could be one of the best indicators of eutrophication. Recent changes in the trophic level of surface waters could be attributed to a large extent to the change in point source P loads, i.e. to the diminishing amount of P load from municipal and industrial wastewater. The short-term improvement of water quality in the CEE countries will require further improvements in wastewater treatment, but long-term improvement will only be achieved by reducing diffuse P losses from agriculture, possibly involving changes in the land use pattern and in farming practices. © 2007 The Authors.&quot;,&quot;publisher&quot;:&quot;Blackwell Publishing Ltd&quot;,&quot;issue&quot;:&quot;s1&quot;,&quot;volume&quot;:&quot;23&quot;},&quot;isTemporary&quot;:false}],&quot;properties&quot;:{&quot;noteIndex&quot;:0},&quot;isEdited&quot;:false,&quot;manualOverride&quot;:{&quot;isManuallyOverriden&quot;:false,&quot;citeprocText&quot;:&quot;(Csathó et al., 2007)&quot;,&quot;manualOverrideText&quot;:&quot;&quot;},&quot;citationTag&quot;:&quot;MENDELEY_CITATION_v3_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&quot;},{&quot;citationID&quot;:&quot;MENDELEY_CITATION_b4847807-ee12-4bfd-8e4b-b1fa9d0fcc00&quot;,&quot;citationItems&quot;:[{&quot;id&quot;:&quot;f2677581-8da0-3aa2-8e3a-8ea0e0d8b222&quot;,&quot;itemData&quot;:{&quot;type&quot;:&quot;article-journal&quot;,&quot;id&quot;:&quot;f2677581-8da0-3aa2-8e3a-8ea0e0d8b222&quot;,&quot;title&quot;:&quot;Evolution: The effects of artificial selection on the maize genome&quot;,&quot;author&quot;:[{&quot;family&quot;:&quot;Wright&quot;,&quot;given&quot;:&quot;Stephen I.&quot;,&quot;parse-names&quot;:false,&quot;dropping-particle&quot;:&quot;&quot;,&quot;non-dropping-particle&quot;:&quot;&quot;},{&quot;family&quot;:&quot;Bi&quot;,&quot;given&quot;:&quot;Irie Vroh&quot;,&quot;parse-names&quot;:false,&quot;dropping-particle&quot;:&quot;&quot;,&quot;non-dropping-particle&quot;:&quot;&quot;},{&quot;family&quot;:&quot;Schroeder&quot;,&quot;given&quot;:&quot;Steve C.&quot;,&quot;parse-names&quot;:false,&quot;dropping-particle&quot;:&quot;&quot;,&quot;non-dropping-particle&quot;:&quot;&quot;},{&quot;family&quot;:&quot;Yamasaki&quot;,&quot;given&quot;:&quot;Masanori&quot;,&quot;parse-names&quot;:false,&quot;dropping-particle&quot;:&quot;&quot;,&quot;non-dropping-particle&quot;:&quot;&quot;},{&quot;family&quot;:&quot;Doebley&quot;,&quot;given&quot;:&quot;John F.&quot;,&quot;parse-names&quot;:false,&quot;dropping-particle&quot;:&quot;&quot;,&quot;non-dropping-particle&quot;:&quot;&quot;},{&quot;family&quot;:&quot;McMullen&quot;,&quot;given&quot;:&quot;Michael D.&quot;,&quot;parse-names&quot;:false,&quot;dropping-particle&quot;:&quot;&quot;,&quot;non-dropping-particle&quot;:&quot;&quot;},{&quot;family&quot;:&quot;Gaut&quot;,&quot;given&quot;:&quot;Brandon S.&quot;,&quot;parse-names&quot;:false,&quot;dropping-particle&quot;:&quot;&quot;,&quot;non-dropping-particle&quot;:&quot;&quot;}],&quot;container-title&quot;:&quot;Science&quot;,&quot;accessed&quot;:{&quot;date-parts&quot;:[[2021,4,14]]},&quot;DOI&quot;:&quot;10.1126/science.1107891&quot;,&quot;ISSN&quot;:&quot;00368075&quot;,&quot;PMID&quot;:&quot;15919994&quot;,&quot;URL&quot;:&quot;https://pubmed.ncbi.nlm.nih.gov/15919994/&quot;,&quot;issued&quot;:{&quot;date-parts&quot;:[[2005,5,27]]},&quot;page&quot;:&quot;1310-1314&quot;,&quot;abstract&quot;:&quot;Domestication promotes rapid phenotypic evolution through artificial selection. We investigated the genetic history by which the wild grass teosinte (Zea mays ssp. patviglumis) was domesticated into modern maize (Z. mays ssp. mays). Analysis of single-nucleotide polymorphisms in 774 genes indicates that 2 to 4% of these genes experienced artificial selection. The remaining genes retain evidence of a population bottleneck associated with domestication. Candidate selected genes with putative function in plant growth are clustered near quantitative trait loci that contribute to phenotypic differences between maize and teosinte. If we assume that our sample of genes is representative, ∼1200 genes throughout the maize genome have been affected by artificial selection.&quot;,&quot;publisher&quot;:&quot;Science&quot;,&quot;issue&quot;:&quot;5726&quot;,&quot;volume&quot;:&quot;308&quot;},&quot;isTemporary&quot;:false}],&quot;properties&quot;:{&quot;noteIndex&quot;:0},&quot;isEdited&quot;:false,&quot;manualOverride&quot;:{&quot;isManuallyOverridden&quot;:true,&quot;citeprocText&quot;:&quot;(S. I. Wright et al., 2005)&quot;,&quot;manualOverrideText&quot;:&quot;(Wright et al., 2005)&quot;},&quot;citationTag&quot;:&quot;MENDELEY_CITATION_v3_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&quot;},{&quot;citationID&quot;:&quot;MENDELEY_CITATION_2697c166-9129-49b0-9eca-73efb2fc6fce&quot;,&quot;citationItems&quot;:[{&quot;id&quot;:&quot;27377e66-38c7-3f62-af1c-c5ba39be65ce&quot;,&quot;itemData&quot;:{&quot;type&quot;:&quot;article-journal&quot;,&quot;id&quot;:&quot;27377e66-38c7-3f62-af1c-c5ba39be65ce&quot;,&quot;title&quot;:&quot;Community structure of arbuscular mycorrhizal fungi at different soil depths in extensively and intensively managed agroecosystems&quot;,&quot;author&quot;:[{&quot;family&quot;:&quot;Oehl&quot;,&quot;given&quot;:&quot;Fritz&quot;,&quot;parse-names&quot;:false,&quot;dropping-particle&quot;:&quot;&quot;,&quot;non-dropping-particle&quot;:&quot;&quot;},{&quot;family&quot;:&quot;Sieverding&quot;,&quot;given&quot;:&quot;Ewald&quot;,&quot;parse-names&quot;:false,&quot;dropping-particle&quot;:&quot;&quot;,&quot;non-dropping-particle&quot;:&quot;&quot;},{&quot;family&quot;:&quot;Ineichen&quot;,&quot;given&quot;:&quot;Kurt&quot;,&quot;parse-names&quot;:false,&quot;dropping-particle&quot;:&quot;&quot;,&quot;non-dropping-particle&quot;:&quot;&quot;},{&quot;family&quot;:&quot;Ris&quot;,&quot;given&quot;:&quot;Elisabeth Anne&quot;,&quot;parse-names&quot;:false,&quot;dropping-particle&quot;:&quot;&quot;,&quot;non-dropping-particle&quot;:&quot;&quot;},{&quot;family&quot;:&quot;Boller&quot;,&quot;given&quot;:&quot;Thomas&quot;,&quot;parse-names&quot;:false,&quot;dropping-particle&quot;:&quot;&quot;,&quot;non-dropping-particle&quot;:&quot;&quot;},{&quot;family&quot;:&quot;Wiemken&quot;,&quot;given&quot;:&quot;Andres&quot;,&quot;parse-names&quot;:false,&quot;dropping-particle&quot;:&quot;&quot;,&quot;non-dropping-particle&quot;:&quot;&quot;}],&quot;container-title&quot;:&quot;New Phytologist&quot;,&quot;accessed&quot;:{&quot;date-parts&quot;:[[2021,3,18]]},&quot;DOI&quot;:&quot;10.1111/j.1469-8137.2004.01235.x&quot;,&quot;ISSN&quot;:&quot;0028646X&quot;,&quot;PMID&quot;:&quot;15720639&quot;,&quot;URL&quot;:&quot;https://pubmed.ncbi.nlm.nih.gov/15720639/&quot;,&quot;issued&quot;:{&quot;date-parts&quot;:[[2005,1]]},&quot;page&quot;:&quot;273-283&quot;,&quot;abstract&quot;:&quot;The vertical distribution of spores of arbuscular mycorrhizal fungi (AMF) was investigated in soil profiles of extensively and intensively managed agroecosystems, including two permanent grasslands, a vineyard and two continuously mono-cropped maize fields. The number of AMF spores decreased with increasing soil depth - most drastically in the grasslands and the vineyard - but there was a large diversity of AMF species even in the deepest soil layers (50-70 cm). This was particularly striking in the maize fields where the highest species numbers were found below ploughing depth. Some species sporulated mainly, or exclusively, in the deep soil layers, others mainly in the top layers. Soil samples were used to inoculate trap cultures. Up to 18 months after inoculation, there was no conspicuous difference in the species composition among the trap cultures representing different soil depths, and only a weak match to the species composition determined by analysis of field samples. Our results indicate that the AMF communities in deep soil layers are surprisingly diverse and different from the topsoil. Thus, deep soil layers should be included in studies to get a complete picture of AMF diversity. © New Phytologist (2004).&quot;,&quot;publisher&quot;:&quot;New Phytol&quot;,&quot;issue&quot;:&quot;1&quot;,&quot;volume&quot;:&quot;165&quot;},&quot;isTemporary&quot;:false}],&quot;properties&quot;:{&quot;noteIndex&quot;:0},&quot;isEdited&quot;:false,&quot;manualOverride&quot;:{&quot;isManuallyOverriden&quot;:false,&quot;citeprocText&quot;:&quot;(Oehl et al., 2005)&quot;,&quot;manualOverrideText&quot;:&quot;(Oehl et al., 2005),&quot;,&quot;isManuallyOverridden&quot;:true},&quot;citationTag&quot;:&quot;MENDELEY_CITATION_v3_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&quot;},{&quot;citationID&quot;:&quot;MENDELEY_CITATION_93362749-a50d-43e8-a846-c449da25bca5&quot;,&quot;citationItems&quot;:[{&quot;id&quot;:&quot;3f0a9b1a-1b8d-3199-9e1e-346537019cc3&quot;,&quot;itemData&quot;:{&quot;type&quot;:&quot;article-journal&quot;,&quot;id&quot;:&quot;3f0a9b1a-1b8d-3199-9e1e-346537019cc3&quot;,&quot;title&quot;:&quot;Mycorrhizal responsiveness of maize (Zea mays L.) genotypes as related to releasing date and available P content in soil&quot;,&quot;author&quot;:[{&quot;family&quot;:&quot;Chu&quot;,&quot;given&quot;:&quot;Qun&quot;,&quot;parse-names&quot;:false,&quot;dropping-particle&quot;:&quot;&quot;,&quot;non-dropping-particle&quot;:&quot;&quot;},{&quot;family&quot;:&quot;Wang&quot;,&quot;given&quot;:&quot;Xinxin&quot;,&quot;parse-names&quot;:false,&quot;dropping-particle&quot;:&quot;&quot;,&quot;non-dropping-particle&quot;:&quot;&quot;},{&quot;family&quot;:&quot;Yang&quot;,&quot;given&quot;:&quot;Yang&quot;,&quot;parse-names&quot;:false,&quot;dropping-particle&quot;:&quot;&quot;,&quot;non-dropping-particle&quot;:&quot;&quot;},{&quot;family&quot;:&quot;Chen&quot;,&quot;given&quot;:&quot;Fanjun&quot;,&quot;parse-names&quot;:false,&quot;dropping-particle&quot;:&quot;&quot;,&quot;non-dropping-particle&quot;:&quot;&quot;},{&quot;family&quot;:&quot;Zhang&quot;,&quot;given&quot;:&quot;Fusuo&quot;,&quot;parse-names&quot;:false,&quot;dropping-particle&quot;:&quot;&quot;,&quot;non-dropping-particle&quot;:&quot;&quot;},{&quot;family&quot;:&quot;Feng&quot;,&quot;given&quot;:&quot;Gu&quot;,&quot;parse-names&quot;:false,&quot;dropping-particle&quot;:&quot;&quot;,&quot;non-dropping-particle&quot;:&quot;&quot;}],&quot;container-title&quot;:&quot;Mycorrhiza&quot;,&quot;DOI&quot;:&quot;10.1007/s00572-013-0492-0&quot;,&quot;ISSN&quot;:&quot;09406360&quot;,&quot;PMID&quot;:&quot;23503868&quot;,&quot;issued&quot;:{&quot;date-parts&quot;:[[2013,8]]},&quot;page&quot;:&quot;497-505&quot;,&quot;abstract&quot;:&quot;The aim of this study was to compare the mycorrhizal responsiveness among old and recent Chinese maize genotypes (released from 1950s to 2008) in low- and high-Olsen-P soils and to identify parameters that would indicate the relationships between the mycorrhizal responsiveness and the functional traits related to P uptake of maize. A greenhouse factorial experiment was conducted. The factors were maize genotype [Huangmaya (HMY), Zhongdan 2 (ZD2), Nongda 108 (ND108), and NE15], inoculation with or without arbuscular mycorrhizal fungi (AMF) (Rhizophagus irregularis), and Olsen-P levels (4, 9, 18, 36, or 60 mg P kg-1). Old and recently released genotypes differed in their response to AMF under low- and high-P supply. Three kinds of responses (in terms of shoot growth) were observed: the response was positive if the soil P content was low, but negative if the soil Olsen-P content was high (HMY and ND108); the response was neutral regardless of soil P content (ZD2); and the response was positive regardless of soil P content (NE15). Principle component (PC) analysis showed that the first PC comprised morphological and physiological traits of maize roots, and the second PC comprised mycorrhizal traits. The opposite was the case, however, in high-P soil. It is concluded that maize breeding selection from 1950s to 2000s is not always against the AM association and that AMF play positive roles in promoting the growth of some maize genotypes in high-P soil. The root length colonization by efficient AMF might be a useful parameter for breeding varieties with increased mycorrhizal responsiveness. © 2013 Springer-Verlag Berlin Heidelberg.&quot;,&quot;issue&quot;:&quot;6&quot;,&quot;volume&quot;:&quot;23&quot;},&quot;isTemporary&quot;:false}],&quot;properties&quot;:{&quot;noteIndex&quot;:0},&quot;isEdited&quot;:false,&quot;manualOverride&quot;:{&quot;isManuallyOverriden&quot;:false,&quot;citeprocText&quot;:&quot;(Chu et al., 2013a)&quot;,&quot;manualOverrideText&quot;:&quot;(Chu et al., 2013&quot;,&quot;isManuallyOverridden&quot;:true},&quot;citationTag&quot;:&quot;MENDELEY_CITATION_v3_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&quot;},{&quot;citationID&quot;:&quot;MENDELEY_CITATION_bcebc61a-275a-42e0-8e6b-e930b9cee60b&quot;,&quot;citationItems&quot;:[{&quot;id&quot;:&quot;2a00b653-dbdf-3cbb-80d6-f972c3930f55&quot;,&quot;itemData&quot;:{&quot;type&quot;:&quot;article-journal&quot;,&quot;id&quot;:&quot;2a00b653-dbdf-3cbb-80d6-f972c3930f55&quot;,&quot;title&quot;:&quot;How does arbuscular mycorrhizal colonization vary with host plant genotype? An example based on maize (Zea mays) germplasms&quot;,&quot;author&quot;:[{&quot;family&quot;:&quot;An&quot;,&quot;given&quot;:&quot;G. H.&quot;,&quot;parse-names&quot;:false,&quot;dropping-particle&quot;:&quot;&quot;,&quot;non-dropping-particle&quot;:&quot;&quot;},{&quot;family&quot;:&quot;Kobayashi&quot;,&quot;given&quot;:&quot;S.&quot;,&quot;parse-names&quot;:false,&quot;dropping-particle&quot;:&quot;&quot;,&quot;non-dropping-particle&quot;:&quot;&quot;},{&quot;family&quot;:&quot;Enoki&quot;,&quot;given&quot;:&quot;H.&quot;,&quot;parse-names&quot;:false,&quot;dropping-particle&quot;:&quot;&quot;,&quot;non-dropping-particle&quot;:&quot;&quot;},{&quot;family&quot;:&quot;Sonobe&quot;,&quot;given&quot;:&quot;K.&quot;,&quot;parse-names&quot;:false,&quot;dropping-particle&quot;:&quot;&quot;,&quot;non-dropping-particle&quot;:&quot;&quot;},{&quot;family&quot;:&quot;Muraki&quot;,&quot;given&quot;:&quot;M.&quot;,&quot;parse-names&quot;:false,&quot;dropping-particle&quot;:&quot;&quot;,&quot;non-dropping-particle&quot;:&quot;&quot;},{&quot;family&quot;:&quot;Karasawa&quot;,&quot;given&quot;:&quot;T.&quot;,&quot;parse-names&quot;:false,&quot;dropping-particle&quot;:&quot;&quot;,&quot;non-dropping-particle&quot;:&quot;&quot;},{&quot;family&quot;:&quot;Ezawa&quot;,&quot;given&quot;:&quot;T.&quot;,&quot;parse-names&quot;:false,&quot;dropping-particle&quot;:&quot;&quot;,&quot;non-dropping-particle&quot;:&quot;&quot;}],&quot;container-title&quot;:&quot;Plant and Soil&quot;,&quot;accessed&quot;:{&quot;date-parts&quot;:[[2021,3,18]]},&quot;DOI&quot;:&quot;10.1007/s11104-009-0073-3&quot;,&quot;ISSN&quot;:&quot;0032079X&quot;,&quot;issued&quot;:{&quot;date-parts&quot;:[[2010,1]]},&quot;page&quot;:&quot;441-453&quot;,&quot;abstract&quot;:&quot;Colonization of plant roots by arbuscular mycorrhizal (AM) fungi is a primary factor determining mycorrhizal associations. This study aimed to investigate the variation in AM colonization among maize genotypes and in response to plant breeding programs. Three types of maize (Zea mays) germplasms composed of 141 inbred lines, 38 hybrids, and 76 landraces were grown in replicated field experiments in Sapporo, Japan, for two cropping years to evaluate the percentage of root length colonized by indigenous AM fungi. The percent colonization varied greatly and continuously among maize genotypes. Inbred lines that originated (released) in particular locations (e. g., Tokachi, Japan) and years (e.g., 1960s) showed significantly larger values than other lines. Inter-location differences were also observed for landraces. The direction of the year-of-release effect on colonization depended on the origin. No significant differences were observed between leaf-blight-disease-resistant near-isogenic inbred lines and their parents. Modern hybrids showed significantly greater values than inbred lines and older landraces. Evaluating numerous, diverse genotypes demonstrated that AM colonization of maize plants varies with germplasm type, origin (country and location), and year of release, and that modern plant breeding programs do not necessarily lead to the suppression of colonization. © Springer Science + Business Media B.V. 2009.&quot;,&quot;issue&quot;:&quot;1&quot;,&quot;volume&quot;:&quot;327&quot;},&quot;isTemporary&quot;:false}],&quot;properties&quot;:{&quot;noteIndex&quot;:0},&quot;isEdited&quot;:false,&quot;manualOverride&quot;:{&quot;isManuallyOverriden&quot;:false,&quot;citeprocText&quot;:&quot;(G. H. An et al., 2010)&quot;,&quot;manualOverrideText&quot;:&quot;(An et al., 2010)&quot;,&quot;isManuallyOverridden&quot;:true},&quot;citationTag&quot;:&quot;MENDELEY_CITATION_v3_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&quot;},{&quot;citationID&quot;:&quot;MENDELEY_CITATION_2e3e5dc3-417b-4b5d-82c6-1e7b2ca17d7a&quot;,&quot;citationItems&quot;:[{&quot;id&quot;:&quot;4963265c-53c2-3569-9197-0bc0de093aff&quot;,&quot;itemData&quot;:{&quot;type&quot;:&quot;article-journal&quot;,&quot;id&quot;:&quot;4963265c-53c2-3569-9197-0bc0de093aff&quot;,&quot;title&quot;:&quot;Plant and soil factors including mycorrhizal infection causing sigmoidal response of plants to applied phosphorus&quot;,&quot;author&quot;:[{&quot;family&quot;:&quot;Bolan&quot;,&quot;given&quot;:&quot;N. S.&quot;,&quot;parse-names&quot;:false,&quot;dropping-particle&quot;:&quot;&quot;,&quot;non-dropping-particle&quot;:&quot;&quot;},{&quot;family&quot;:&quot;Robson&quot;,&quot;given&quot;:&quot;A. D.&quot;,&quot;parse-names&quot;:false,&quot;dropping-particle&quot;:&quot;&quot;,&quot;non-dropping-particle&quot;:&quot;&quot;},{&quot;family&quot;:&quot;Barrow&quot;,&quot;given&quot;:&quot;N. J.&quot;,&quot;parse-names&quot;:false,&quot;dropping-particle&quot;:&quot;&quot;,&quot;non-dropping-particle&quot;:&quot;&quot;}],&quot;container-title&quot;:&quot;Plant and Soil&quot;,&quot;accessed&quot;:{&quot;date-parts&quot;:[[2021,3,18]]},&quot;DOI&quot;:&quot;10.1007/BF02197715&quot;,&quot;ISSN&quot;:&quot;0032079X&quot;,&quot;URL&quot;:&quot;https://link.springer.com/article/10.1007/BF02197715&quot;,&quot;issued&quot;:{&quot;date-parts&quot;:[[1983,6]]},&quot;page&quot;:&quot;187-201&quot;,&quot;abstract&quot;:&quot;In a series of glasshouse experiments, plants were grown in pots and their response to applied phosphate was measured. In the experiments we measured the response of subterranean clover and ryegrass to applied phosphate in surface soil and subsoil, with and without inoculation with vesicular-arbuscular (VA) mycorrhizal fungi, and with different levels of added iron hydroxide. For subterranean clover, there was often a clearly marked threshold level of phosphate application below which the plants took up little P and grew poorly. This threshold effect led to the sigmoidal response curves. It occurred when plants were grown in subsoil and in surface soil when iron hydroxide was added. However, it only occurred when the plants were non-mycorrhizal. Inoculation with a VA mycorrhizal fungi (Glomus fasciculatum) eliminated the threshold even when large amounts of iron hydroxide were present. For ryegrass, no threshold was observed and the response curve was never sigmoidal. Thus sigmoidal response curves to applied phosphate were only observed when a coarse-rooted plant species (subterranean clover) was grown in soils with large adsorption capacities for phosphate, and when roots were not mycorrhizal. Sigmoidal response to applied phosphate may occur because there is a threshold concentration of P in soil solution for adsorption by plant roots, for movement to plant roots or for desorption of adsorbed phosphate from the soil particles. © 1983 Martinus Nijhoff/Dr W. Junk Publsihers.&quot;,&quot;publisher&quot;:&quot;Martinus Nijhoff/Dr. W. Junk Publishers&quot;,&quot;issue&quot;:&quot;2&quot;,&quot;volume&quot;:&quot;73&quot;},&quot;isTemporary&quot;:false}],&quot;properties&quot;:{&quot;noteIndex&quot;:0},&quot;isEdited&quot;:false,&quot;manualOverride&quot;:{&quot;isManuallyOverriden&quot;:false,&quot;citeprocText&quot;:&quot;(Bolan et al., 1983)&quot;,&quot;manualOverrideText&quot;:&quot;&quot;},&quot;citationTag&quot;:&quot;MENDELEY_CITATION_v3_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&quot;},{&quot;citationID&quot;:&quot;MENDELEY_CITATION_7f863746-e232-41fc-b2de-fd792c0caa58&quot;,&quot;citationItems&quot;:[{&quot;id&quot;:&quot;3f0a9b1a-1b8d-3199-9e1e-346537019cc3&quot;,&quot;itemData&quot;:{&quot;type&quot;:&quot;article-journal&quot;,&quot;id&quot;:&quot;3f0a9b1a-1b8d-3199-9e1e-346537019cc3&quot;,&quot;title&quot;:&quot;Mycorrhizal responsiveness of maize (Zea mays L.) genotypes as related to releasing date and available P content in soil&quot;,&quot;author&quot;:[{&quot;family&quot;:&quot;Chu&quot;,&quot;given&quot;:&quot;Qun&quot;,&quot;parse-names&quot;:false,&quot;dropping-particle&quot;:&quot;&quot;,&quot;non-dropping-particle&quot;:&quot;&quot;},{&quot;family&quot;:&quot;Wang&quot;,&quot;given&quot;:&quot;Xinxin&quot;,&quot;parse-names&quot;:false,&quot;dropping-particle&quot;:&quot;&quot;,&quot;non-dropping-particle&quot;:&quot;&quot;},{&quot;family&quot;:&quot;Yang&quot;,&quot;given&quot;:&quot;Yang&quot;,&quot;parse-names&quot;:false,&quot;dropping-particle&quot;:&quot;&quot;,&quot;non-dropping-particle&quot;:&quot;&quot;},{&quot;family&quot;:&quot;Chen&quot;,&quot;given&quot;:&quot;Fanjun&quot;,&quot;parse-names&quot;:false,&quot;dropping-particle&quot;:&quot;&quot;,&quot;non-dropping-particle&quot;:&quot;&quot;},{&quot;family&quot;:&quot;Zhang&quot;,&quot;given&quot;:&quot;Fusuo&quot;,&quot;parse-names&quot;:false,&quot;dropping-particle&quot;:&quot;&quot;,&quot;non-dropping-particle&quot;:&quot;&quot;},{&quot;family&quot;:&quot;Feng&quot;,&quot;given&quot;:&quot;Gu&quot;,&quot;parse-names&quot;:false,&quot;dropping-particle&quot;:&quot;&quot;,&quot;non-dropping-particle&quot;:&quot;&quot;}],&quot;container-title&quot;:&quot;Mycorrhiza&quot;,&quot;DOI&quot;:&quot;10.1007/s00572-013-0492-0&quot;,&quot;ISSN&quot;:&quot;09406360&quot;,&quot;PMID&quot;:&quot;23503868&quot;,&quot;issued&quot;:{&quot;date-parts&quot;:[[2013,8]]},&quot;page&quot;:&quot;497-505&quot;,&quot;abstract&quot;:&quot;The aim of this study was to compare the mycorrhizal responsiveness among old and recent Chinese maize genotypes (released from 1950s to 2008) in low- and high-Olsen-P soils and to identify parameters that would indicate the relationships between the mycorrhizal responsiveness and the functional traits related to P uptake of maize. A greenhouse factorial experiment was conducted. The factors were maize genotype [Huangmaya (HMY), Zhongdan 2 (ZD2), Nongda 108 (ND108), and NE15], inoculation with or without arbuscular mycorrhizal fungi (AMF) (Rhizophagus irregularis), and Olsen-P levels (4, 9, 18, 36, or 60 mg P kg-1). Old and recently released genotypes differed in their response to AMF under low- and high-P supply. Three kinds of responses (in terms of shoot growth) were observed: the response was positive if the soil P content was low, but negative if the soil Olsen-P content was high (HMY and ND108); the response was neutral regardless of soil P content (ZD2); and the response was positive regardless of soil P content (NE15). Principle component (PC) analysis showed that the first PC comprised morphological and physiological traits of maize roots, and the second PC comprised mycorrhizal traits. The opposite was the case, however, in high-P soil. It is concluded that maize breeding selection from 1950s to 2000s is not always against the AM association and that AMF play positive roles in promoting the growth of some maize genotypes in high-P soil. The root length colonization by efficient AMF might be a useful parameter for breeding varieties with increased mycorrhizal responsiveness. © 2013 Springer-Verlag Berlin Heidelberg.&quot;,&quot;issue&quot;:&quot;6&quot;,&quot;volume&quot;:&quot;23&quot;},&quot;isTemporary&quot;:false}],&quot;properties&quot;:{&quot;noteIndex&quot;:0},&quot;isEdited&quot;:false,&quot;manualOverride&quot;:{&quot;isManuallyOverriden&quot;:false,&quot;citeprocText&quot;:&quot;(Chu et al., 2013a)&quot;,&quot;manualOverrideText&quot;:&quot;(Chu et al., 2013)&quot;,&quot;isManuallyOverridden&quot;:true},&quot;citationTag&quot;:&quot;MENDELEY_CITATION_v3_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&quot;},{&quot;citationID&quot;:&quot;MENDELEY_CITATION_2b8dde3a-429d-4d6d-b103-d4e4ff808726&quot;,&quot;citationItems&quot;:[{&quot;id&quot;:&quot;80f60ee4-c3e8-3c07-9a52-7cc9d1f68d01&quot;,&quot;itemData&quot;:{&quot;type&quot;:&quot;article-journal&quot;,&quot;id&quot;:&quot;80f60ee4-c3e8-3c07-9a52-7cc9d1f68d01&quot;,&quot;title&quot;:&quot;Breeding for mycorrhizal symbiosis: focus on disease resistance&quot;,&quot;author&quot;:[{&quot;family&quot;:&quot;Hohmann&quot;,&quot;given&quot;:&quot;Pierre&quot;,&quot;parse-names&quot;:false,&quot;dropping-particle&quot;:&quot;&quot;,&quot;non-dropping-particle&quot;:&quot;&quot;},{&quot;family&quot;:&quot;Messmer&quot;,&quot;given&quot;:&quot;Monika M.&quot;,&quot;parse-names&quot;:false,&quot;dropping-particle&quot;:&quot;&quot;,&quot;non-dropping-particle&quot;:&quot;&quot;}],&quot;container-title&quot;:&quot;Euphytica&quot;,&quot;DOI&quot;:&quot;10.1007/s10681-017-1900-x&quot;,&quot;ISSN&quot;:&quot;0014-2336&quot;,&quot;issued&quot;:{&quot;date-parts&quot;:[[2017,5,4]]},&quot;issue&quot;:&quot;5&quot;,&quot;volume&quot;:&quot;213&quot;},&quot;isTemporary&quot;:false}],&quot;properties&quot;:{&quot;noteIndex&quot;:0},&quot;isEdited&quot;:false,&quot;manualOverride&quot;:{&quot;isManuallyOverridden&quot;:false,&quot;citeprocText&quot;:&quot;(Hohmann &amp;#38; Messmer, 2017)&quot;,&quot;manualOverrideText&quot;:&quot;&quot;},&quot;citationTag&quot;:&quot;MENDELEY_CITATION_v3_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&quot;},{&quot;citationID&quot;:&quot;MENDELEY_CITATION_af8689c2-a206-45f8-bfd3-566bdb5a6746&quot;,&quot;citationItems&quot;:[{&quot;id&quot;:&quot;dfc61548-2a3e-353f-b165-3d2ce5b2e4e8&quot;,&quot;itemData&quot;:{&quot;type&quot;:&quot;article-journal&quot;,&quot;id&quot;:&quot;dfc61548-2a3e-353f-b165-3d2ce5b2e4e8&quot;,&quot;title&quot;:&quot;Colorimetric Determination of Phosphorus as Molybdivanadophosphoric Acid&quot;,&quot;author&quot;:[{&quot;family&quot;:&quot;Kitson&quot;,&quot;given&quot;:&quot;R E.&quot;,&quot;parse-names&quot;:false,&quot;dropping-particle&quot;:&quot;&quot;,&quot;non-dropping-particle&quot;:&quot;&quot;},{&quot;family&quot;:&quot;Mellon&quot;,&quot;given&quot;:&quot;M G.&quot;,&quot;parse-names&quot;:false,&quot;dropping-particle&quot;:&quot;&quot;,&quot;non-dropping-particle&quot;:&quot;&quot;}],&quot;container-title&quot;:&quot;Industrial &amp; Engineering Chemistry Analytical Edition&quot;,&quot;DOI&quot;:&quot;10.1021/i560130a017&quot;,&quot;ISSN&quot;:&quot;0096-4484&quot;,&quot;issued&quot;:{&quot;date-parts&quot;:[[1944,6,1]]},&quot;issue&quot;:&quot;6&quot;,&quot;volume&quot;:&quot;16&quot;},&quot;isTemporary&quot;:false},{&quot;id&quot;:&quot;68c8cbae-e597-36eb-bcdf-281252dfaeef&quot;,&quot;itemData&quot;:{&quot;type&quot;:&quot;article-journal&quot;,&quot;id&quot;:&quot;68c8cbae-e597-36eb-bcdf-281252dfaeef&quot;,&quot;title&quot;:&quot;Mycorrhizal responses of barley cultivars differing in P efficiency&quot;,&quot;author&quot;:[{&quot;family&quot;:&quot;Baon&quot;,&quot;given&quot;:&quot;J. B.&quot;,&quot;parse-names&quot;:false,&quot;dropping-particle&quot;:&quot;&quot;,&quot;non-dropping-particle&quot;:&quot;&quot;},{&quot;family&quot;:&quot;Smith&quot;,&quot;given&quot;:&quot;S. E.&quot;,&quot;parse-names&quot;:false,&quot;dropping-particle&quot;:&quot;&quot;,&quot;non-dropping-particle&quot;:&quot;&quot;},{&quot;family&quot;:&quot;Alston&quot;,&quot;given&quot;:&quot;A. M.&quot;,&quot;parse-names&quot;:false,&quot;dropping-particle&quot;:&quot;&quot;,&quot;non-dropping-particle&quot;:&quot;&quot;}],&quot;container-title&quot;:&quot;Plant and Soil&quot;,&quot;DOI&quot;:&quot;10.1007/BF00038752&quot;,&quot;ISSN&quot;:&quot;0032-079X&quot;,&quot;issued&quot;:{&quot;date-parts&quot;:[[1993,11]]},&quot;issue&quot;:&quot;1&quot;,&quot;volume&quot;:&quot;157&quot;},&quot;isTemporary&quot;:false},{&quot;id&quot;:&quot;a9c82cf5-24a6-3143-a04b-25893c90f5d6&quot;,&quot;itemData&quot;:{&quot;type&quot;:&quot;article-journal&quot;,&quot;id&quot;:&quot;a9c82cf5-24a6-3143-a04b-25893c90f5d6&quot;,&quot;title&quot;:&quot;Variation among Maize Inbred Lines and Detection of Quantitative Trait Loci for Growth at Low Phosphorus and Responsiveness to Arbuscular Mycorrhizal Fungi&quot;,&quot;author&quot;:[{&quot;family&quot;:&quot;Kaeppler&quot;,&quot;given&quot;:&quot;Shawn M.&quot;,&quot;parse-names&quot;:false,&quot;dropping-particle&quot;:&quot;&quot;,&quot;non-dropping-particle&quot;:&quot;&quot;},{&quot;family&quot;:&quot;Parke&quot;,&quot;given&quot;:&quot;Jennifer L.&quot;,&quot;parse-names&quot;:false,&quot;dropping-particle&quot;:&quot;&quot;,&quot;non-dropping-particle&quot;:&quot;&quot;},{&quot;family&quot;:&quot;Mueller&quot;,&quot;given&quot;:&quot;Suzanne M.&quot;,&quot;parse-names&quot;:false,&quot;dropping-particle&quot;:&quot;&quot;,&quot;non-dropping-particle&quot;:&quot;&quot;},{&quot;family&quot;:&quot;Senior&quot;,&quot;given&quot;:&quot;Lynn&quot;,&quot;parse-names&quot;:false,&quot;dropping-particle&quot;:&quot;&quot;,&quot;non-dropping-particle&quot;:&quot;&quot;},{&quot;family&quot;:&quot;Stuber&quot;,&quot;given&quot;:&quot;Charles&quot;,&quot;parse-names&quot;:false,&quot;dropping-particle&quot;:&quot;&quot;,&quot;non-dropping-particle&quot;:&quot;&quot;},{&quot;family&quot;:&quot;Tracy&quot;,&quot;given&quot;:&quot;William F.&quot;,&quot;parse-names&quot;:false,&quot;dropping-particle&quot;:&quot;&quot;,&quot;non-dropping-particle&quot;:&quot;&quot;}],&quot;container-title&quot;:&quot;Crop Science&quot;,&quot;DOI&quot;:&quot;10.2135/cropsci2000.402358x&quot;,&quot;ISSN&quot;:&quot;0011183X&quot;,&quot;issued&quot;:{&quot;date-parts&quot;:[[2000,3]]},&quot;issue&quot;:&quot;2&quot;,&quot;volume&quot;:&quot;40&quot;},&quot;isTemporary&quot;:false}],&quot;properties&quot;:{&quot;noteIndex&quot;:0},&quot;isEdited&quot;:false,&quot;manualOverride&quot;:{&quot;isManuallyOverridden&quot;:false,&quot;citeprocText&quot;:&quot;(Baon et al., 1993; Kaeppler et al., 2000a; Kitson &amp;#38; Mellon, 1944)&quot;,&quot;manualOverrideText&quot;:&quot;&quot;},&quot;citationTag&quot;:&quot;MENDELEY_CITATION_v3_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&quot;},{&quot;citationID&quot;:&quot;MENDELEY_CITATION_89c6b508-22de-4c33-b4bb-51abe7798e49&quot;,&quot;citationItems&quot;:[{&quot;id&quot;:&quot;2bac983b-3020-346d-a530-f1726daaad6b&quot;,&quot;itemData&quot;:{&quot;type&quot;:&quot;article&quot;,&quot;id&quot;:&quot;2bac983b-3020-346d-a530-f1726daaad6b&quot;,&quot;title&quot;:&quot;Regulation of resource exchange in the arbuscular mycorrhizal symbiosis&quot;,&quot;author&quot;:[{&quot;family&quot;:&quot;Walder&quot;,&quot;given&quot;:&quot;Florian&quot;,&quot;parse-names&quot;:false,&quot;dropping-particle&quot;:&quot;&quot;,&quot;non-dropping-particle&quot;:&quot;&quot;},{&quot;family&quot;:&quot;Heijden&quot;,&quot;given&quot;:&quot;Marcel G.A.&quot;,&quot;parse-names&quot;:false,&quot;dropping-particle&quot;:&quot;&quot;,&quot;non-dropping-particle&quot;:&quot;van der&quot;}],&quot;container-title&quot;:&quot;Nature Plants&quot;,&quot;DOI&quot;:&quot;10.1038/nplants.2015.159&quot;,&quot;ISSN&quot;:&quot;2055026X&quot;,&quot;issued&quot;:{&quot;date-parts&quot;:[[2015,11,3]]},&quot;abstract&quot;:&quot;Arbuscular mycorrhizal (AM) fungi are one of the most important groups of plant symbionts. These fungi provide mineral nutrients to plants in exchange for carbon. Although substantial amounts of resources are exchanged, the factors that regulate trade in the AM symbiosis are poorly understood. Recent evidence for the reciprocally regulated exchange of resources by AM fungi and plants has led to the suggestion that these symbioses operate according to biological market dynamics, in which interactions are viewed from an economic perspective, and the most beneficial partners are favoured. Here we present five arguments that challenge the importance of reciprocally regulated exchange, and thereby market dynamics, for resource exchange in the AM symbiosis, and suggest that such reciprocity is only found in a subset of symbionts, under specific conditions. We instead propose that resource exchange in the AM symbiosis is determined by competition for surplus resources, functional diversity and sink strength.&quot;,&quot;publisher&quot;:&quot;Palgrave Macmillan Ltd.&quot;,&quot;volume&quot;:&quot;1&quot;},&quot;isTemporary&quot;:false}],&quot;properties&quot;:{&quot;noteIndex&quot;:0},&quot;isEdited&quot;:false,&quot;manualOverride&quot;:{&quot;isManuallyOverridden&quot;:true,&quot;citeprocText&quot;:&quot;(Walder &amp;#38; van der Heijden, 2015b)&quot;,&quot;manualOverrideText&quot;:&quot;(Walder &amp; van der Heijden, 2015)&quot;},&quot;citationTag&quot;:&quot;MENDELEY_CITATION_v3_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&quot;},{&quot;citationID&quot;:&quot;MENDELEY_CITATION_bcec229b-8703-42a4-aa12-4f92ebe85223&quot;,&quot;citationItems&quot;:[{&quot;id&quot;:&quot;2bac983b-3020-346d-a530-f1726daaad6b&quot;,&quot;itemData&quot;:{&quot;type&quot;:&quot;article&quot;,&quot;id&quot;:&quot;2bac983b-3020-346d-a530-f1726daaad6b&quot;,&quot;title&quot;:&quot;Regulation of resource exchange in the arbuscular mycorrhizal symbiosis&quot;,&quot;author&quot;:[{&quot;family&quot;:&quot;Walder&quot;,&quot;given&quot;:&quot;Florian&quot;,&quot;parse-names&quot;:false,&quot;dropping-particle&quot;:&quot;&quot;,&quot;non-dropping-particle&quot;:&quot;&quot;},{&quot;family&quot;:&quot;Heijden&quot;,&quot;given&quot;:&quot;Marcel G.A.&quot;,&quot;parse-names&quot;:false,&quot;dropping-particle&quot;:&quot;&quot;,&quot;non-dropping-particle&quot;:&quot;van der&quot;}],&quot;container-title&quot;:&quot;Nature Plants&quot;,&quot;DOI&quot;:&quot;10.1038/nplants.2015.159&quot;,&quot;ISSN&quot;:&quot;2055026X&quot;,&quot;issued&quot;:{&quot;date-parts&quot;:[[2015,11,3]]},&quot;abstract&quot;:&quot;Arbuscular mycorrhizal (AM) fungi are one of the most important groups of plant symbionts. These fungi provide mineral nutrients to plants in exchange for carbon. Although substantial amounts of resources are exchanged, the factors that regulate trade in the AM symbiosis are poorly understood. Recent evidence for the reciprocally regulated exchange of resources by AM fungi and plants has led to the suggestion that these symbioses operate according to biological market dynamics, in which interactions are viewed from an economic perspective, and the most beneficial partners are favoured. Here we present five arguments that challenge the importance of reciprocally regulated exchange, and thereby market dynamics, for resource exchange in the AM symbiosis, and suggest that such reciprocity is only found in a subset of symbionts, under specific conditions. We instead propose that resource exchange in the AM symbiosis is determined by competition for surplus resources, functional diversity and sink strength.&quot;,&quot;publisher&quot;:&quot;Palgrave Macmillan Ltd.&quot;,&quot;volume&quot;:&quot;1&quot;},&quot;isTemporary&quot;:false}],&quot;properties&quot;:{&quot;noteIndex&quot;:0},&quot;isEdited&quot;:false,&quot;manualOverride&quot;:{&quot;isManuallyOverridden&quot;:true,&quot;citeprocText&quot;:&quot;(Walder &amp;#38; van der Heijden, 2015b)&quot;,&quot;manualOverrideText&quot;:&quot;(Walder &amp; van der Heijden, 2015)&quot;},&quot;citationTag&quot;:&quot;MENDELEY_CITATION_v3_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&quot;},{&quot;citationID&quot;:&quot;MENDELEY_CITATION_54c64226-e1cc-48a8-a199-4d25f6a34160&quot;,&quot;citationItems&quot;:[{&quot;id&quot;:&quot;136ac026-df9a-35c3-bd25-59913724e0cc&quot;,&quot;itemData&quot;:{&quot;type&quot;:&quot;book&quot;,&quot;id&quot;:&quot;136ac026-df9a-35c3-bd25-59913724e0cc&quot;,&quot;title&quot;:&quot;Mycorrhizal Symbiosis&quot;,&quot;author&quot;:[{&quot;family&quot;:&quot;Smith&quot;,&quot;given&quot;:&quot;Sally&quot;,&quot;parse-names&quot;:false,&quot;dropping-particle&quot;:&quot;&quot;,&quot;non-dropping-particle&quot;:&quot;&quot;},{&quot;family&quot;:&quot;Read&quot;,&quot;given&quot;:&quot;David&quot;,&quot;parse-names&quot;:false,&quot;dropping-particle&quot;:&quot;&quot;,&quot;non-dropping-particle&quot;:&quot;&quot;}],&quot;container-title&quot;:&quot;Mycorrhizal Symbiosis&quot;,&quot;accessed&quot;:{&quot;date-parts&quot;:[[2021,3,15]]},&quot;DOI&quot;:&quot;10.1016/B978-0-12-370526-6.X5001-6&quot;,&quot;ISBN&quot;:&quot;9780123705266&quot;,&quot;issued&quot;:{&quot;date-parts&quot;:[[2008]]},&quot;abstract&quot;:&quot;The roots of most plants are colonized by symbiotic fungi to form mycorrhiza, which play a critical role in the capture of nutrients from the soil and therefore in plant nutrition. Mycorrhizal Symbiosis is recognized as the definitive work in this area. Since the last edition was published there have been major advances in the field, particularly in the area of molecular biology, and the new edition has been fully revised and updated to incorporate these exciting new developments. . Over 50% new material . Includes expanded color plate section . Covers all aspects of mycorrhiza . Presents new taxonomy . Discusses the impact of proteomics and genomics on research in this area. © 2008 Elsevier Ltd All rights reserved.&quot;,&quot;publisher&quot;:&quot;Elsevier Ltd&quot;},&quot;isTemporary&quot;:false},{&quot;id&quot;:&quot;dc86d690-6ae3-33aa-9911-cf38a159605e&quot;,&quot;itemData&quot;:{&quot;type&quot;:&quot;article-journal&quot;,&quot;id&quot;:&quot;dc86d690-6ae3-33aa-9911-cf38a159605e&quot;,&quot;title&quot;:&quot;Multi-functionality and biodiversity in arbuscular mycorrhizas&quot;,&quot;author&quot;:[{&quot;family&quot;:&quot;Newsham&quot;,&quot;given&quot;:&quot;K.K.&quot;,&quot;parse-names&quot;:false,&quot;dropping-particle&quot;:&quot;&quot;,&quot;non-dropping-particle&quot;:&quot;&quot;},{&quot;family&quot;:&quot;Fitter&quot;,&quot;given&quot;:&quot;A.H.&quot;,&quot;parse-names&quot;:false,&quot;dropping-particle&quot;:&quot;&quot;,&quot;non-dropping-particle&quot;:&quot;&quot;},{&quot;family&quot;:&quot;Watkinson&quot;,&quot;given&quot;:&quot;A.R.&quot;,&quot;parse-names&quot;:false,&quot;dropping-particle&quot;:&quot;&quot;,&quot;non-dropping-particle&quot;:&quot;&quot;}],&quot;container-title&quot;:&quot;Trends in Ecology &amp; Evolution&quot;,&quot;DOI&quot;:&quot;10.1016/S0169-5347(00)89157-0&quot;,&quot;ISSN&quot;:&quot;01695347&quot;,&quot;issued&quot;:{&quot;date-parts&quot;:[[1995,10]]},&quot;issue&quot;:&quot;10&quot;,&quot;volume&quot;:&quot;10&quot;},&quot;isTemporary&quot;:false}],&quot;properties&quot;:{&quot;noteIndex&quot;:0},&quot;isEdited&quot;:false,&quot;manualOverride&quot;:{&quot;isManuallyOverridden&quot;:true,&quot;citeprocText&quot;:&quot;(Newsham et al., 1995; S. Smith &amp;#38; Read, 2008)&quot;,&quot;manualOverrideText&quot;:&quot;(Newsham et al., 1995; Smith &amp; Read, 2008)&quot;},&quot;citationTag&quot;:&quot;MENDELEY_CITATION_v3_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&quot;},{&quot;citationID&quot;:&quot;MENDELEY_CITATION_724d4745-ecee-462f-a26c-05ef146dd185&quot;,&quot;citationItems&quot;:[{&quot;id&quot;:&quot;42642bc0-bd00-33d5-9737-80e26920c5df&quot;,&quot;itemData&quot;:{&quot;type&quot;:&quot;article-journal&quot;,&quot;id&quot;:&quot;42642bc0-bd00-33d5-9737-80e26920c5df&quot;,&quot;title&quot;:&quot;Resource limitation is a driver of local adaptation in mycorrhizal symbioses&quot;,&quot;author&quot;:[{&quot;family&quot;:&quot;Johnson&quot;,&quot;given&quot;:&quot;Nancy Collins&quot;,&quot;parse-names&quot;:false,&quot;dropping-particle&quot;:&quot;&quot;,&quot;non-dropping-particle&quot;:&quot;&quot;},{&quot;family&quot;:&quot;Wilson&quot;,&quot;given&quot;:&quot;Gail W. T.&quot;,&quot;parse-names&quot;:false,&quot;dropping-particle&quot;:&quot;&quot;,&quot;non-dropping-particle&quot;:&quot;&quot;},{&quot;family&quot;:&quot;Bowker&quot;,&quot;given&quot;:&quot;Matthew A.&quot;,&quot;parse-names&quot;:false,&quot;dropping-particle&quot;:&quot;&quot;,&quot;non-dropping-particle&quot;:&quot;&quot;},{&quot;family&quot;:&quot;Wilson&quot;,&quot;given&quot;:&quot;Jacqueline A.&quot;,&quot;parse-names&quot;:false,&quot;dropping-particle&quot;:&quot;&quot;,&quot;non-dropping-particle&quot;:&quot;&quot;},{&quot;family&quot;:&quot;Miller&quot;,&quot;given&quot;:&quot;R. Michael&quot;,&quot;parse-names&quot;:false,&quot;dropping-particle&quot;:&quot;&quot;,&quot;non-dropping-particle&quot;:&quot;&quot;}],&quot;container-title&quot;:&quot;Proceedings of the National Academy of Sciences&quot;,&quot;DOI&quot;:&quot;10.1073/pnas.0906710107&quot;,&quot;ISSN&quot;:&quot;0027-8424&quot;,&quot;issued&quot;:{&quot;date-parts&quot;:[[2010,2,2]]},&quot;abstract&quot;:&quot;&lt;p&gt; Symbioses may be important mechanisms of plant adaptation to their environment. We conducted a reciprocal inoculation experiment to test the hypothesis that soil fertility is a key driver of local adaptation in arbuscular mycorrhizal (AM) symbioses. Ecotypes of &lt;italic&gt;Andropogon gerardii&lt;/italic&gt; from phosphorus-limited and nitrogen-limited grasslands were grown with all possible “home and away” combinations of soils and AM fungal communities. Our results indicate that &lt;italic&gt;Andropogon&lt;/italic&gt; ecotypes adapt to their local soil and indigenous AM fungal communities such that mycorrhizal exchange of the most limiting resource is maximized. Grasses grown in home soil and inoculated with home AM fungi produced more arbuscules (symbiotic exchange structures) in their roots than those grown in away combinations. Also, regardless of the host ecotype, AM fungi produced more extraradical hyphae in their home soil, and locally adapted AM fungi were, therefore, able to sequester more carbon compared with nonlocal fungi. Locally adapted mycorrhizal associations were more mutualistic in the two phosphorus-limited sites and less parasitic at the nitrogen-limited site compared with novel combinations of plants, fungi, and soils. To our knowledge, these findings provide the strongest evidence to date that resource availability generates evolved geographic structure in symbioses among plants and soil organisms. Thus, edaphic origin of AM fungi should be considered when managing for their benefits in agriculture, ecosystem restoration, and soil-carbon sequestration. &lt;/p&gt;&quot;,&quot;issue&quot;:&quot;5&quot;,&quot;volume&quot;:&quot;107&quot;},&quot;isTemporary&quot;:false}],&quot;properties&quot;:{&quot;noteIndex&quot;:0},&quot;isEdited&quot;:false,&quot;manualOverride&quot;:{&quot;isManuallyOverridden&quot;:true,&quot;citeprocText&quot;:&quot;(Johnson et al., 2010b)&quot;,&quot;manualOverrideText&quot;:&quot;(Johnson et al., 2010).&quot;},&quot;citationTag&quot;:&quot;MENDELEY_CITATION_v3_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&quot;},{&quot;citationID&quot;:&quot;MENDELEY_CITATION_fb41965c-0924-4587-9ff1-32d2b4bcf809&quot;,&quot;citationItems&quot;:[{&quot;id&quot;:&quot;c2b7ee23-cb8c-3b3d-9b8a-23fa2bb56ca1&quot;,&quot;itemData&quot;:{&quot;type&quot;:&quot;article-journal&quot;,&quot;id&quot;:&quot;c2b7ee23-cb8c-3b3d-9b8a-23fa2bb56ca1&quot;,&quot;title&quot;:&quot;Hiding in a crowd—does diversity facilitate persistence of a low-quality fungal partner in the mycorrhizal symbiosis?&quot;,&quot;author&quot;:[{&quot;family&quot;:&quot;Hart&quot;,&quot;given&quot;:&quot;Miranda M.&quot;,&quot;parse-names&quot;:false,&quot;dropping-particle&quot;:&quot;&quot;,&quot;non-dropping-particle&quot;:&quot;&quot;},{&quot;family&quot;:&quot;Forsythe&quot;,&quot;given&quot;:&quot;Jennifer&quot;,&quot;parse-names&quot;:false,&quot;dropping-particle&quot;:&quot;&quot;,&quot;non-dropping-particle&quot;:&quot;&quot;},{&quot;family&quot;:&quot;Oshowski&quot;,&quot;given&quot;:&quot;Brian&quot;,&quot;parse-names&quot;:false,&quot;dropping-particle&quot;:&quot;&quot;,&quot;non-dropping-particle&quot;:&quot;&quot;},{&quot;family&quot;:&quot;Bücking&quot;,&quot;given&quot;:&quot;Heike&quot;,&quot;parse-names&quot;:false,&quot;dropping-particle&quot;:&quot;&quot;,&quot;non-dropping-particle&quot;:&quot;&quot;},{&quot;family&quot;:&quot;Jansa&quot;,&quot;given&quot;:&quot;Jan&quot;,&quot;parse-names&quot;:false,&quot;dropping-particle&quot;:&quot;&quot;,&quot;non-dropping-particle&quot;:&quot;&quot;},{&quot;family&quot;:&quot;Kiers&quot;,&quot;given&quot;:&quot;E. Toby&quot;,&quot;parse-names&quot;:false,&quot;dropping-particle&quot;:&quot;&quot;,&quot;non-dropping-particle&quot;:&quot;&quot;}],&quot;container-title&quot;:&quot;Symbiosis&quot;,&quot;DOI&quot;:&quot;10.1007/s13199-012-0197-8&quot;,&quot;ISSN&quot;:&quot;0334-5114&quot;,&quot;issued&quot;:{&quot;date-parts&quot;:[[2013,1,10]]},&quot;issue&quot;:&quot;1&quot;,&quot;volume&quot;:&quot;59&quot;},&quot;isTemporary&quot;:false}],&quot;properties&quot;:{&quot;noteIndex&quot;:0},&quot;isEdited&quot;:false,&quot;manualOverride&quot;:{&quot;isManuallyOverridden&quot;:false,&quot;citeprocText&quot;:&quot;(Hart et al., 2013)&quot;,&quot;manualOverrideText&quot;:&quot;&quot;},&quot;citationTag&quot;:&quot;MENDELEY_CITATION_v3_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&quot;},{&quot;citationID&quot;:&quot;MENDELEY_CITATION_64e38a95-b952-418e-b0cb-7a68c1b96ef0&quot;,&quot;citationItems&quot;:[{&quot;id&quot;:&quot;2bac983b-3020-346d-a530-f1726daaad6b&quot;,&quot;itemData&quot;:{&quot;type&quot;:&quot;article&quot;,&quot;id&quot;:&quot;2bac983b-3020-346d-a530-f1726daaad6b&quot;,&quot;title&quot;:&quot;Regulation of resource exchange in the arbuscular mycorrhizal symbiosis&quot;,&quot;author&quot;:[{&quot;family&quot;:&quot;Walder&quot;,&quot;given&quot;:&quot;Florian&quot;,&quot;parse-names&quot;:false,&quot;dropping-particle&quot;:&quot;&quot;,&quot;non-dropping-particle&quot;:&quot;&quot;},{&quot;family&quot;:&quot;Heijden&quot;,&quot;given&quot;:&quot;Marcel G.A.&quot;,&quot;parse-names&quot;:false,&quot;dropping-particle&quot;:&quot;&quot;,&quot;non-dropping-particle&quot;:&quot;van der&quot;}],&quot;container-title&quot;:&quot;Nature Plants&quot;,&quot;DOI&quot;:&quot;10.1038/nplants.2015.159&quot;,&quot;ISSN&quot;:&quot;2055026X&quot;,&quot;issued&quot;:{&quot;date-parts&quot;:[[2015,11,3]]},&quot;abstract&quot;:&quot;Arbuscular mycorrhizal (AM) fungi are one of the most important groups of plant symbionts. These fungi provide mineral nutrients to plants in exchange for carbon. Although substantial amounts of resources are exchanged, the factors that regulate trade in the AM symbiosis are poorly understood. Recent evidence for the reciprocally regulated exchange of resources by AM fungi and plants has led to the suggestion that these symbioses operate according to biological market dynamics, in which interactions are viewed from an economic perspective, and the most beneficial partners are favoured. Here we present five arguments that challenge the importance of reciprocally regulated exchange, and thereby market dynamics, for resource exchange in the AM symbiosis, and suggest that such reciprocity is only found in a subset of symbionts, under specific conditions. We instead propose that resource exchange in the AM symbiosis is determined by competition for surplus resources, functional diversity and sink strength.&quot;,&quot;publisher&quot;:&quot;Palgrave Macmillan Ltd.&quot;,&quot;volume&quot;:&quot;1&quot;},&quot;isTemporary&quot;:false}],&quot;properties&quot;:{&quot;noteIndex&quot;:0},&quot;isEdited&quot;:false,&quot;manualOverride&quot;:{&quot;isManuallyOverridden&quot;:true,&quot;citeprocText&quot;:&quot;(Walder &amp;#38; van der Heijden, 2015b)&quot;,&quot;manualOverrideText&quot;:&quot;(Walder &amp; van der Heijden, 2015)&quot;},&quot;citationTag&quot;:&quot;MENDELEY_CITATION_v3_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&quot;},{&quot;citationID&quot;:&quot;MENDELEY_CITATION_e1eb06f3-6c8b-41f7-85a8-a9ad9e93480d&quot;,&quot;citationItems&quot;:[{&quot;id&quot;:&quot;794b602b-989e-3cf3-9b0d-19d7c1990de5&quot;,&quot;itemData&quot;:{&quot;type&quot;:&quot;article-journal&quot;,&quot;id&quot;:&quot;794b602b-989e-3cf3-9b0d-19d7c1990de5&quot;,&quot;title&quot;:&quot;The exploitation of mutualisms&quot;,&quot;author&quot;:[{&quot;family&quot;:&quot;Bronstein&quot;,&quot;given&quot;:&quot;Judith L.&quot;,&quot;parse-names&quot;:false,&quot;dropping-particle&quot;:&quot;&quot;,&quot;non-dropping-particle&quot;:&quot;&quot;}],&quot;container-title&quot;:&quot;Ecology Letters&quot;,&quot;DOI&quot;:&quot;10.1046/j.1461-0248.2001.00218.x&quot;,&quot;ISSN&quot;:&quot;1461-023X&quot;,&quot;issued&quot;:{&quot;date-parts&quot;:[[2001,5,30]]},&quot;issue&quot;:&quot;3&quot;,&quot;volume&quot;:&quot;4&quot;},&quot;isTemporary&quot;:false}],&quot;properties&quot;:{&quot;noteIndex&quot;:0},&quot;isEdited&quot;:false,&quot;manualOverride&quot;:{&quot;isManuallyOverridden&quot;:false,&quot;citeprocText&quot;:&quot;(Bronstein, 2001)&quot;,&quot;manualOverrideText&quot;:&quot;&quot;},&quot;citationTag&quot;:&quot;MENDELEY_CITATION_v3_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&quot;},{&quot;citationID&quot;:&quot;MENDELEY_CITATION_6af4b7dc-d577-4512-a5ea-e8da80b114d5&quot;,&quot;citationItems&quot;:[{&quot;id&quot;:&quot;124b6780-19c5-3899-9bad-0f91421577c8&quot;,&quot;itemData&quot;:{&quot;type&quot;:&quot;article-journal&quot;,&quot;id&quot;:&quot;124b6780-19c5-3899-9bad-0f91421577c8&quot;,&quot;title&quot;:&quot;Agriculture and the Disruption of Plant–Microbial Symbiosis&quot;,&quot;author&quot;:[{&quot;family&quot;:&quot;Porter&quot;,&quot;given&quot;:&quot;Stephanie S.&quot;,&quot;parse-names&quot;:false,&quot;dropping-particle&quot;:&quot;&quot;,&quot;non-dropping-particle&quot;:&quot;&quot;},{&quot;family&quot;:&quot;Sachs&quot;,&quot;given&quot;:&quot;Joel L.&quot;,&quot;parse-names&quot;:false,&quot;dropping-particle&quot;:&quot;&quot;,&quot;non-dropping-particle&quot;:&quot;&quot;}],&quot;container-title&quot;:&quot;Trends in Ecology &amp; Evolution&quot;,&quot;DOI&quot;:&quot;10.1016/j.tree.2020.01.006&quot;,&quot;ISSN&quot;:&quot;01695347&quot;,&quot;issued&quot;:{&quot;date-parts&quot;:[[2020,5]]},&quot;issue&quot;:&quot;5&quot;,&quot;volume&quot;:&quot;35&quot;},&quot;isTemporary&quot;:false}],&quot;properties&quot;:{&quot;noteIndex&quot;:0},&quot;isEdited&quot;:false,&quot;manualOverride&quot;:{&quot;isManuallyOverridden&quot;:true,&quot;citeprocText&quot;:&quot;(Porter &amp;#38; Sachs, 2020a)&quot;,&quot;manualOverrideText&quot;:&quot;(Porter &amp; Sachs, 2020)&quot;},&quot;citationTag&quot;:&quot;MENDELEY_CITATION_v3_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&quot;},{&quot;citationID&quot;:&quot;MENDELEY_CITATION_273fb3ab-c1d6-4a28-a2f5-ed35caedfdda&quot;,&quot;citationItems&quot;:[{&quot;id&quot;:&quot;5f4b4be4-fe1c-364c-b07f-0f30e2ef8ea1&quot;,&quot;itemData&quot;:{&quot;type&quot;:&quot;article-journal&quot;,&quot;id&quot;:&quot;5f4b4be4-fe1c-364c-b07f-0f30e2ef8ea1&quot;,&quot;title&quot;:&quot;Mycorrhizal dependence of modern wheat varieties, landraces, and ancestors&quot;,&quot;author&quot;:[{&quot;family&quot;:&quot;Hetrick&quot;,&quot;given&quot;:&quot;B. A.D.&quot;,&quot;parse-names&quot;:false,&quot;dropping-particle&quot;:&quot;&quot;,&quot;non-dropping-particle&quot;:&quot;&quot;},{&quot;family&quot;:&quot;Wilson&quot;,&quot;given&quot;:&quot;G. W.T.&quot;,&quot;parse-names&quot;:false,&quot;dropping-particle&quot;:&quot;&quot;,&quot;non-dropping-particle&quot;:&quot;&quot;},{&quot;family&quot;:&quot;Cox&quot;,&quot;given&quot;:&quot;T. S.&quot;,&quot;parse-names&quot;:false,&quot;dropping-particle&quot;:&quot;&quot;,&quot;non-dropping-particle&quot;:&quot;&quot;}],&quot;container-title&quot;:&quot;Canadian Journal of Botany&quot;,&quot;accessed&quot;:{&quot;date-parts&quot;:[[2021,3,18]]},&quot;DOI&quot;:&quot;10.1139/b92-253&quot;,&quot;ISSN&quot;:&quot;00084026&quot;,&quot;URL&quot;:&quot;https://cdnsciencepub.com/doi/abs/10.1139/b92-253&quot;,&quot;issued&quot;:{&quot;date-parts&quot;:[[1992]]},&quot;page&quot;:&quot;2032-2040&quot;,&quot;abstract&quot;:&quot;With the exception of the US cultivar Newton and the German cultivars Apollo, Kanzler, and Sperber, dry weight of eight other modern wheats Triticum aestivum from the USA and Great Britain were increased by 29-100% following inoculation with mycorrhizal fungi. All landraces from Asian collections or early introduced American cultivars were also dependent on the symbiosis, with dry weight increases averaging 169 and 55%, respectively. All wheat ancestors of the AA and BB genomes (except Aegilops speltoides) benefitted significantly from the symbiosis, whereas no benefit was observed for ancestors of the DD genome, tetraploid wheats of the AABB and AAGG genomes, or in the hexaploid ancestor Triticum zhukovskyi (AAAAGG genome). These differences in mycorrhizal response of the ancestors, lines, and cultivars were highly correlated with root fibrousness ratings. -from Authors&quot;,&quot;publisher&quot;:&quot; NRC Research Press Ottawa, Canada &quot;,&quot;issue&quot;:&quot;10&quot;,&quot;volume&quot;:&quot;70&quot;},&quot;isTemporary&quot;:false}],&quot;properties&quot;:{&quot;noteIndex&quot;:0},&quot;isEdited&quot;:false,&quot;manualOverride&quot;:{&quot;isManuallyOverridden&quot;:false,&quot;citeprocText&quot;:&quot;(Hetrick et al., 1992)&quot;,&quot;manualOverrideText&quot;:&quot;&quot;},&quot;citationTag&quot;:&quot;MENDELEY_CITATION_v3_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&quot;},{&quot;citationID&quot;:&quot;MENDELEY_CITATION_78322bfb-efc5-4b29-88db-5c06abd32361&quot;,&quot;citationItems&quot;:[{&quot;id&quot;:&quot;58646017-46e1-3d42-81eb-65dcaaf7dd95&quot;,&quot;itemData&quot;:{&quot;type&quot;:&quot;article-journal&quot;,&quot;id&quot;:&quot;58646017-46e1-3d42-81eb-65dcaaf7dd95&quot;,&quot;title&quot;:&quot;How does arbuscular mycorrhizal colonization vary with host plant genotype? An example based on maize (Zea mays) germplasms&quot;,&quot;author&quot;:[{&quot;family&quot;:&quot;An&quot;,&quot;given&quot;:&quot;G.-H.&quot;,&quot;parse-names&quot;:false,&quot;dropping-particle&quot;:&quot;&quot;,&quot;non-dropping-particle&quot;:&quot;&quot;},{&quot;family&quot;:&quot;Kobayashi&quot;,&quot;given&quot;:&quot;S.&quot;,&quot;parse-names&quot;:false,&quot;dropping-particle&quot;:&quot;&quot;,&quot;non-dropping-particle&quot;:&quot;&quot;},{&quot;family&quot;:&quot;Enoki&quot;,&quot;given&quot;:&quot;H.&quot;,&quot;parse-names&quot;:false,&quot;dropping-particle&quot;:&quot;&quot;,&quot;non-dropping-particle&quot;:&quot;&quot;},{&quot;family&quot;:&quot;Sonobe&quot;,&quot;given&quot;:&quot;K.&quot;,&quot;parse-names&quot;:false,&quot;dropping-particle&quot;:&quot;&quot;,&quot;non-dropping-particle&quot;:&quot;&quot;},{&quot;family&quot;:&quot;Muraki&quot;,&quot;given&quot;:&quot;M.&quot;,&quot;parse-names&quot;:false,&quot;dropping-particle&quot;:&quot;&quot;,&quot;non-dropping-particle&quot;:&quot;&quot;},{&quot;family&quot;:&quot;Karasawa&quot;,&quot;given&quot;:&quot;T.&quot;,&quot;parse-names&quot;:false,&quot;dropping-particle&quot;:&quot;&quot;,&quot;non-dropping-particle&quot;:&quot;&quot;},{&quot;family&quot;:&quot;Ezawa&quot;,&quot;given&quot;:&quot;T.&quot;,&quot;parse-names&quot;:false,&quot;dropping-particle&quot;:&quot;&quot;,&quot;non-dropping-particle&quot;:&quot;&quot;}],&quot;container-title&quot;:&quot;Plant and Soil&quot;,&quot;DOI&quot;:&quot;10.1007/s11104-009-0073-3&quot;,&quot;ISSN&quot;:&quot;0032-079X&quot;,&quot;issued&quot;:{&quot;date-parts&quot;:[[2010,2,9]]},&quot;issue&quot;:&quot;1-2&quot;,&quot;volume&quot;:&quot;327&quot;},&quot;isTemporary&quot;:false}],&quot;properties&quot;:{&quot;noteIndex&quot;:0},&quot;isEdited&quot;:false,&quot;manualOverride&quot;:{&quot;isManuallyOverridden&quot;:true,&quot;citeprocText&quot;:&quot;(G.-H. An et al., 2010)&quot;,&quot;manualOverrideText&quot;:&quot;(An et al., 2010)&quot;},&quot;citationTag&quot;:&quot;MENDELEY_CITATION_v3_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&quot;},{&quot;citationID&quot;:&quot;MENDELEY_CITATION_e2bd06c9-a8e6-4815-a058-b09ccbed2959&quot;,&quot;citationItems&quot;:[{&quot;id&quot;:&quot;5132fca1-a11b-3fb7-9382-446f8e3d78f3&quot;,&quot;itemData&quot;:{&quot;type&quot;:&quot;article-journal&quot;,&quot;id&quot;:&quot;5132fca1-a11b-3fb7-9382-446f8e3d78f3&quot;,&quot;title&quot;:&quot;Vesicular–arbuscular mycorrhizal colonization in &lt;i&gt;Zea mays&lt;/i&gt; affected by breeding for resistance to fungal pathogens&quot;,&quot;author&quot;:[{&quot;family&quot;:&quot;Toth&quot;,&quot;given&quot;:&quot;Ronald&quot;,&quot;parse-names&quot;:false,&quot;dropping-particle&quot;:&quot;&quot;,&quot;non-dropping-particle&quot;:&quot;&quot;},{&quot;family&quot;:&quot;Toth&quot;,&quot;given&quot;:&quot;Deborah&quot;,&quot;parse-names&quot;:false,&quot;dropping-particle&quot;:&quot;&quot;,&quot;non-dropping-particle&quot;:&quot;&quot;},{&quot;family&quot;:&quot;Starke&quot;,&quot;given&quot;:&quot;David&quot;,&quot;parse-names&quot;:false,&quot;dropping-particle&quot;:&quot;&quot;,&quot;non-dropping-particle&quot;:&quot;&quot;},{&quot;family&quot;:&quot;Smith&quot;,&quot;given&quot;:&quot;David R.&quot;,&quot;parse-names&quot;:false,&quot;dropping-particle&quot;:&quot;&quot;,&quot;non-dropping-particle&quot;:&quot;&quot;}],&quot;container-title&quot;:&quot;Canadian Journal of Botany&quot;,&quot;DOI&quot;:&quot;10.1139/b90-131&quot;,&quot;ISSN&quot;:&quot;0008-4026&quot;,&quot;issued&quot;:{&quot;date-parts&quot;:[[1990,5,1]]},&quot;abstract&quot;:&quot;&lt;p&gt;Inbred lines of Zea mays L. (maize) selected for a range of resistances to a variety of fungal pathogens were assayed for percentage colonization by vesicular–arbuscular mycorrhizal fungi. Inbreds that were generally resistant to a number of fungal pathogens had significantly lower levels of vesicular–arbuscular mycorrhizae, matured more slowly, and had larger root systems. Disease-susceptible inbreds had significantly higher levels of mycorrhizal colonization, matured more rapidly, and had smaller root systems. It is uncertain if a general resistance to fungal pathogens or rate of root development, separately or in combination, may have influenced mycorrhizal colonization levels. Irrespective of cause, present breeding programs for disease resistance in maize do influence the plants ability to form mycorrhizae.&lt;/p&gt;&quot;,&quot;issue&quot;:&quot;5&quot;,&quot;volume&quot;:&quot;68&quot;},&quot;isTemporary&quot;:false}],&quot;properties&quot;:{&quot;noteIndex&quot;:0},&quot;isEdited&quot;:false,&quot;manualOverride&quot;:{&quot;isManuallyOverridden&quot;:true,&quot;citeprocText&quot;:&quot;(Toth et al., 1990b)&quot;,&quot;manualOverrideText&quot;:&quot;(Toth et al., 1990)&quot;},&quot;citationTag&quot;:&quot;MENDELEY_CITATION_v3_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&quot;},{&quot;citationID&quot;:&quot;MENDELEY_CITATION_9e4eb8c6-59f6-4e33-b8a5-a2ee875b1185&quot;,&quot;citationItems&quot;:[{&quot;id&quot;:&quot;399d7fe6-2054-3a23-a564-b7ba0824ca7b&quot;,&quot;itemData&quot;:{&quot;type&quot;:&quot;article-journal&quot;,&quot;id&quot;:&quot;399d7fe6-2054-3a23-a564-b7ba0824ca7b&quot;,&quot;title&quot;:&quot;Diversifying Selection in Plant Breeding&quot;,&quot;author&quot;:[{&quot;family&quot;:&quot;McCouch&quot;,&quot;given&quot;:&quot;Susan&quot;,&quot;parse-names&quot;:false,&quot;dropping-particle&quot;:&quot;&quot;,&quot;non-dropping-particle&quot;:&quot;&quot;}],&quot;container-title&quot;:&quot;PLoS Biology&quot;,&quot;DOI&quot;:&quot;10.1371/journal.pbio.0020347&quot;,&quot;ISSN&quot;:&quot;1545-7885&quot;,&quot;issued&quot;:{&quot;date-parts&quot;:[[2004,10,12]]},&quot;issue&quot;:&quot;10&quot;,&quot;volume&quot;:&quot;2&quot;},&quot;isTemporary&quot;:false}],&quot;properties&quot;:{&quot;noteIndex&quot;:0},&quot;isEdited&quot;:false,&quot;manualOverride&quot;:{&quot;isManuallyOverridden&quot;:false,&quot;citeprocText&quot;:&quot;(McCouch, 2004)&quot;,&quot;manualOverrideText&quot;:&quot;&quot;},&quot;citationTag&quot;:&quot;MENDELEY_CITATION_v3_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&quot;},{&quot;citationID&quot;:&quot;MENDELEY_CITATION_a701bd53-4aec-4112-9c67-caebf5071f21&quot;,&quot;citationItems&quot;:[{&quot;id&quot;:&quot;58646017-46e1-3d42-81eb-65dcaaf7dd95&quot;,&quot;itemData&quot;:{&quot;type&quot;:&quot;article-journal&quot;,&quot;id&quot;:&quot;58646017-46e1-3d42-81eb-65dcaaf7dd95&quot;,&quot;title&quot;:&quot;How does arbuscular mycorrhizal colonization vary with host plant genotype? An example based on maize (Zea mays) germplasms&quot;,&quot;author&quot;:[{&quot;family&quot;:&quot;An&quot;,&quot;given&quot;:&quot;G.-H.&quot;,&quot;parse-names&quot;:false,&quot;dropping-particle&quot;:&quot;&quot;,&quot;non-dropping-particle&quot;:&quot;&quot;},{&quot;family&quot;:&quot;Kobayashi&quot;,&quot;given&quot;:&quot;S.&quot;,&quot;parse-names&quot;:false,&quot;dropping-particle&quot;:&quot;&quot;,&quot;non-dropping-particle&quot;:&quot;&quot;},{&quot;family&quot;:&quot;Enoki&quot;,&quot;given&quot;:&quot;H.&quot;,&quot;parse-names&quot;:false,&quot;dropping-particle&quot;:&quot;&quot;,&quot;non-dropping-particle&quot;:&quot;&quot;},{&quot;family&quot;:&quot;Sonobe&quot;,&quot;given&quot;:&quot;K.&quot;,&quot;parse-names&quot;:false,&quot;dropping-particle&quot;:&quot;&quot;,&quot;non-dropping-particle&quot;:&quot;&quot;},{&quot;family&quot;:&quot;Muraki&quot;,&quot;given&quot;:&quot;M.&quot;,&quot;parse-names&quot;:false,&quot;dropping-particle&quot;:&quot;&quot;,&quot;non-dropping-particle&quot;:&quot;&quot;},{&quot;family&quot;:&quot;Karasawa&quot;,&quot;given&quot;:&quot;T.&quot;,&quot;parse-names&quot;:false,&quot;dropping-particle&quot;:&quot;&quot;,&quot;non-dropping-particle&quot;:&quot;&quot;},{&quot;family&quot;:&quot;Ezawa&quot;,&quot;given&quot;:&quot;T.&quot;,&quot;parse-names&quot;:false,&quot;dropping-particle&quot;:&quot;&quot;,&quot;non-dropping-particle&quot;:&quot;&quot;}],&quot;container-title&quot;:&quot;Plant and Soil&quot;,&quot;DOI&quot;:&quot;10.1007/s11104-009-0073-3&quot;,&quot;ISSN&quot;:&quot;0032-079X&quot;,&quot;issued&quot;:{&quot;date-parts&quot;:[[2010,2,9]]},&quot;issue&quot;:&quot;1-2&quot;,&quot;volume&quot;:&quot;327&quot;},&quot;isTemporary&quot;:false}],&quot;properties&quot;:{&quot;noteIndex&quot;:0},&quot;isEdited&quot;:false,&quot;manualOverride&quot;:{&quot;isManuallyOverridden&quot;:true,&quot;citeprocText&quot;:&quot;(G.-H. An et al., 2010)&quot;,&quot;manualOverrideText&quot;:&quot;(An et al., 2010)&quot;},&quot;citationTag&quot;:&quot;MENDELEY_CITATION_v3_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&quot;},{&quot;citationID&quot;:&quot;MENDELEY_CITATION_c971c185-587e-4c0c-beb0-12470a2d4358&quot;,&quot;citationItems&quot;:[{&quot;id&quot;:&quot;a9c82cf5-24a6-3143-a04b-25893c90f5d6&quot;,&quot;itemData&quot;:{&quot;type&quot;:&quot;article-journal&quot;,&quot;id&quot;:&quot;a9c82cf5-24a6-3143-a04b-25893c90f5d6&quot;,&quot;title&quot;:&quot;Variation among Maize Inbred Lines and Detection of Quantitative Trait Loci for Growth at Low Phosphorus and Responsiveness to Arbuscular Mycorrhizal Fungi&quot;,&quot;author&quot;:[{&quot;family&quot;:&quot;Kaeppler&quot;,&quot;given&quot;:&quot;Shawn M.&quot;,&quot;parse-names&quot;:false,&quot;dropping-particle&quot;:&quot;&quot;,&quot;non-dropping-particle&quot;:&quot;&quot;},{&quot;family&quot;:&quot;Parke&quot;,&quot;given&quot;:&quot;Jennifer L.&quot;,&quot;parse-names&quot;:false,&quot;dropping-particle&quot;:&quot;&quot;,&quot;non-dropping-particle&quot;:&quot;&quot;},{&quot;family&quot;:&quot;Mueller&quot;,&quot;given&quot;:&quot;Suzanne M.&quot;,&quot;parse-names&quot;:false,&quot;dropping-particle&quot;:&quot;&quot;,&quot;non-dropping-particle&quot;:&quot;&quot;},{&quot;family&quot;:&quot;Senior&quot;,&quot;given&quot;:&quot;Lynn&quot;,&quot;parse-names&quot;:false,&quot;dropping-particle&quot;:&quot;&quot;,&quot;non-dropping-particle&quot;:&quot;&quot;},{&quot;family&quot;:&quot;Stuber&quot;,&quot;given&quot;:&quot;Charles&quot;,&quot;parse-names&quot;:false,&quot;dropping-particle&quot;:&quot;&quot;,&quot;non-dropping-particle&quot;:&quot;&quot;},{&quot;family&quot;:&quot;Tracy&quot;,&quot;given&quot;:&quot;William F.&quot;,&quot;parse-names&quot;:false,&quot;dropping-particle&quot;:&quot;&quot;,&quot;non-dropping-particle&quot;:&quot;&quot;}],&quot;container-title&quot;:&quot;Crop Science&quot;,&quot;DOI&quot;:&quot;10.2135/cropsci2000.402358x&quot;,&quot;ISSN&quot;:&quot;0011183X&quot;,&quot;issued&quot;:{&quot;date-parts&quot;:[[2000,3]]},&quot;issue&quot;:&quot;2&quot;,&quot;volume&quot;:&quot;40&quot;},&quot;isTemporary&quot;:false},{&quot;id&quot;:&quot;7647be43-95ed-3f69-a028-c14047bf2200&quot;,&quot;itemData&quot;:{&quot;type&quot;:&quot;article-journal&quot;,&quot;id&quot;:&quot;7647be43-95ed-3f69-a028-c14047bf2200&quot;,&quot;title&quot;:&quot;Growth dependency of wild, primitive and modern cultivated wheat lines on vesicular-arbuscular mycorrhiza fungi&quot;,&quot;author&quot;:[{&quot;family&quot;:&quot;Kapulnik&quot;,&quot;given&quot;:&quot;Yoram&quot;,&quot;parse-names&quot;:false,&quot;dropping-particle&quot;:&quot;&quot;,&quot;non-dropping-particle&quot;:&quot;&quot;},{&quot;family&quot;:&quot;Kushnir&quot;,&quot;given&quot;:&quot;Uri&quot;,&quot;parse-names&quot;:false,&quot;dropping-particle&quot;:&quot;&quot;,&quot;non-dropping-particle&quot;:&quot;&quot;}],&quot;container-title&quot;:&quot;Euphytica&quot;,&quot;accessed&quot;:{&quot;date-parts&quot;:[[2021,3,18]]},&quot;DOI&quot;:&quot;10.1007/BF00041740&quot;,&quot;ISSN&quot;:&quot;00142336&quot;,&quot;URL&quot;:&quot;https://link.springer.com/article/10.1007/BF00041740&quot;,&quot;issued&quot;:{&quot;date-parts&quot;:[[1991,7]]},&quot;page&quot;:&quot;27-36&quot;,&quot;abstract&quot;:&quot;Mycorrhizal colonization and growth dependency were studied at a single rate of phosphorous application in wild and cultivated primitive and modern wheats, inoculated with Glomus intraradices Schenck &amp; Smith. Mycorrhizal colonization found in Triticum timopheevii var. araraticum (AAGG) was higher than that found in the other tetraploid wheats (AABB). Mycorrhizal dependency was higher in representatives of the D genome donor - Aegilops squarrosa, compared with representatives of the A and possible B genome donors T. monococcum and Ae. sharonensis, Ae. longissima and Ae. speltoides, respectively. The nature of response to VAM in hexaploid wheat was controlled by factors of the A and B genomes which are epistatic over those located in the D genome. The high mycorrhizal colonization and dependency which was found in T. timopheevii var. araraticum may indicate special genomic affinity possessed by the G genome of wheat in VAM interaction. Based on the 27 wheat lines and species tested in this study only low correlation between G. intraradices colonization and its contribution to plant growth can be suggested. © 1991 Kluwer Academic Publishers.&quot;,&quot;publisher&quot;:&quot;Kluwer Academic Publishers&quot;,&quot;issue&quot;:&quot;1&quot;,&quot;volume&quot;:&quot;56&quot;},&quot;isTemporary&quot;:false}],&quot;properties&quot;:{&quot;noteIndex&quot;:0},&quot;isEdited&quot;:false,&quot;manualOverride&quot;:{&quot;isManuallyOverridden&quot;:false,&quot;citeprocText&quot;:&quot;(Kaeppler et al., 2000a; Kapulnik &amp;#38; Kushnir, 1991)&quot;,&quot;manualOverrideText&quot;:&quot;&quot;},&quot;citationTag&quot;:&quot;MENDELEY_CITATION_v3_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&quot;},{&quot;citationID&quot;:&quot;MENDELEY_CITATION_d4cbe30f-f7d6-49ff-b813-f01542e622e0&quot;,&quot;citationItems&quot;:[{&quot;id&quot;:&quot;58646017-46e1-3d42-81eb-65dcaaf7dd95&quot;,&quot;itemData&quot;:{&quot;type&quot;:&quot;article-journal&quot;,&quot;id&quot;:&quot;58646017-46e1-3d42-81eb-65dcaaf7dd95&quot;,&quot;title&quot;:&quot;How does arbuscular mycorrhizal colonization vary with host plant genotype? An example based on maize (Zea mays) germplasms&quot;,&quot;author&quot;:[{&quot;family&quot;:&quot;An&quot;,&quot;given&quot;:&quot;G.-H.&quot;,&quot;parse-names&quot;:false,&quot;dropping-particle&quot;:&quot;&quot;,&quot;non-dropping-particle&quot;:&quot;&quot;},{&quot;family&quot;:&quot;Kobayashi&quot;,&quot;given&quot;:&quot;S.&quot;,&quot;parse-names&quot;:false,&quot;dropping-particle&quot;:&quot;&quot;,&quot;non-dropping-particle&quot;:&quot;&quot;},{&quot;family&quot;:&quot;Enoki&quot;,&quot;given&quot;:&quot;H.&quot;,&quot;parse-names&quot;:false,&quot;dropping-particle&quot;:&quot;&quot;,&quot;non-dropping-particle&quot;:&quot;&quot;},{&quot;family&quot;:&quot;Sonobe&quot;,&quot;given&quot;:&quot;K.&quot;,&quot;parse-names&quot;:false,&quot;dropping-particle&quot;:&quot;&quot;,&quot;non-dropping-particle&quot;:&quot;&quot;},{&quot;family&quot;:&quot;Muraki&quot;,&quot;given&quot;:&quot;M.&quot;,&quot;parse-names&quot;:false,&quot;dropping-particle&quot;:&quot;&quot;,&quot;non-dropping-particle&quot;:&quot;&quot;},{&quot;family&quot;:&quot;Karasawa&quot;,&quot;given&quot;:&quot;T.&quot;,&quot;parse-names&quot;:false,&quot;dropping-particle&quot;:&quot;&quot;,&quot;non-dropping-particle&quot;:&quot;&quot;},{&quot;family&quot;:&quot;Ezawa&quot;,&quot;given&quot;:&quot;T.&quot;,&quot;parse-names&quot;:false,&quot;dropping-particle&quot;:&quot;&quot;,&quot;non-dropping-particle&quot;:&quot;&quot;}],&quot;container-title&quot;:&quot;Plant and Soil&quot;,&quot;DOI&quot;:&quot;10.1007/s11104-009-0073-3&quot;,&quot;ISSN&quot;:&quot;0032-079X&quot;,&quot;issued&quot;:{&quot;date-parts&quot;:[[2010,2,9]]},&quot;issue&quot;:&quot;1-2&quot;,&quot;volume&quot;:&quot;327&quot;},&quot;isTemporary&quot;:false}],&quot;properties&quot;:{&quot;noteIndex&quot;:0},&quot;isEdited&quot;:false,&quot;manualOverride&quot;:{&quot;isManuallyOverridden&quot;:true,&quot;citeprocText&quot;:&quot;(G.-H. An et al., 2010)&quot;,&quot;manualOverrideText&quot;:&quot;(An et al., 2010)&quot;},&quot;citationTag&quot;:&quot;MENDELEY_CITATION_v3_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&quot;},{&quot;citationID&quot;:&quot;MENDELEY_CITATION_93f85e52-7f63-4c38-b649-a9035e539732&quot;,&quot;citationItems&quot;:[{&quot;id&quot;:&quot;8daf85e7-7860-3a7e-a033-c7575d1c4ab7&quot;,&quot;itemData&quot;:{&quot;type&quot;:&quot;article-journal&quot;,&quot;id&quot;:&quot;8daf85e7-7860-3a7e-a033-c7575d1c4ab7&quot;,&quot;title&quot;:&quot;Environment: The disappearing nutrient&quot;,&quot;author&quot;:[{&quot;family&quot;:&quot;Gilbert&quot;,&quot;given&quot;:&quot;Natasha&quot;,&quot;parse-names&quot;:false,&quot;dropping-particle&quot;:&quot;&quot;,&quot;non-dropping-particle&quot;:&quot;&quot;}],&quot;container-title&quot;:&quot;Nature&quot;,&quot;DOI&quot;:&quot;10.1038/461716a&quot;,&quot;ISSN&quot;:&quot;0028-0836&quot;,&quot;issued&quot;:{&quot;date-parts&quot;:[[2009,10,8]]},&quot;issue&quot;:&quot;7265&quot;,&quot;volume&quot;:&quot;461&quot;},&quot;isTemporary&quot;:false}],&quot;properties&quot;:{&quot;noteIndex&quot;:0},&quot;isEdited&quot;:false,&quot;manualOverride&quot;:{&quot;isManuallyOverridden&quot;:true,&quot;citeprocText&quot;:&quot;(Gilbert, 2009)&quot;,&quot;manualOverrideText&quot;:&quot;(Gilbert, 2009). &quot;},&quot;citationTag&quot;:&quot;MENDELEY_CITATION_v3_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&quot;},{&quot;citationID&quot;:&quot;MENDELEY_CITATION_80da448b-5d57-46d5-bda7-d721b13c5fba&quot;,&quot;citationItems&quot;:[{&quot;id&quot;:&quot;f3f4d8cf-e8b7-3ece-bfcb-df047ace52df&quot;,&quot;itemData&quot;:{&quot;type&quot;:&quot;article-journal&quot;,&quot;id&quot;:&quot;f3f4d8cf-e8b7-3ece-bfcb-df047ace52df&quot;,&quot;title&quot;:&quot;Effect of agricultural management practices on arbuscular mycorrhizal fungal abundance in low-input cropping systems of southern Africa: a case study from Zimbabwe&quot;,&quot;author&quot;:[{&quot;family&quot;:&quot;Lekberg&quot;,&quot;given&quot;:&quot;Y.&quot;,&quot;parse-names&quot;:false,&quot;dropping-particle&quot;:&quot;&quot;,&quot;non-dropping-particle&quot;:&quot;&quot;},{&quot;family&quot;:&quot;Koide&quot;,&quot;given&quot;:&quot;R. T.&quot;,&quot;parse-names&quot;:false,&quot;dropping-particle&quot;:&quot;&quot;,&quot;non-dropping-particle&quot;:&quot;&quot;},{&quot;family&quot;:&quot;Twomlow&quot;,&quot;given&quot;:&quot;S. J.&quot;,&quot;parse-names&quot;:false,&quot;dropping-particle&quot;:&quot;&quot;,&quot;non-dropping-particle&quot;:&quot;&quot;}],&quot;container-title&quot;:&quot;Biology and Fertility of Soils&quot;,&quot;DOI&quot;:&quot;10.1007/s00374-008-0274-6&quot;,&quot;ISSN&quot;:&quot;0178-2762&quot;,&quot;issued&quot;:{&quot;date-parts&quot;:[[2008,8,20]]},&quot;issue&quot;:&quot;7&quot;,&quot;volume&quot;:&quot;44&quot;},&quot;isTemporary&quot;:false}],&quot;properties&quot;:{&quot;noteIndex&quot;:0},&quot;isEdited&quot;:false,&quot;manualOverride&quot;:{&quot;isManuallyOverridden&quot;:true,&quot;citeprocText&quot;:&quot;(Lekberg et al., 2008)&quot;,&quot;manualOverrideText&quot;:&quot;(Lekberg et al., 2008).&quot;},&quot;citationTag&quot;:&quot;MENDELEY_CITATION_v3_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&quot;},{&quot;citationID&quot;:&quot;MENDELEY_CITATION_d342a074-cbef-4648-9f71-f481dc20e6bd&quot;,&quot;citationItems&quot;:[{&quot;id&quot;:&quot;abf85b8f-4dfa-3ebe-95b6-e7b98e0ac462&quot;,&quot;itemData&quot;:{&quot;type&quot;:&quot;article-journal&quot;,&quot;id&quot;:&quot;abf85b8f-4dfa-3ebe-95b6-e7b98e0ac462&quot;,&quot;title&quot;:&quot;Flint maize root mycorrhization and organic acid exudates under phosphorus deficiency: Trends in breeding lines and doubled haploid lines from landraces&quot;,&quot;author&quot;:[{&quot;family&quot;:&quot;Li&quot;,&quot;given&quot;:&quot;Xuelian&quot;,&quot;parse-names&quot;:false,&quot;dropping-particle&quot;:&quot;&quot;,&quot;non-dropping-particle&quot;:&quot;&quot;},{&quot;family&quot;:&quot;Quan&quot;,&quot;given&quot;:&quot;Xiuhao&quot;,&quot;parse-names&quot;:false,&quot;dropping-particle&quot;:&quot;&quot;,&quot;non-dropping-particle&quot;:&quot;&quot;},{&quot;family&quot;:&quot;Mang&quot;,&quot;given&quot;:&quot;Melissa&quot;,&quot;parse-names&quot;:false,&quot;dropping-particle&quot;:&quot;&quot;,&quot;non-dropping-particle&quot;:&quot;&quot;},{&quot;family&quot;:&quot;Neumann&quot;,&quot;given&quot;:&quot;Günter&quot;,&quot;parse-names&quot;:false,&quot;dropping-particle&quot;:&quot;&quot;,&quot;non-dropping-particle&quot;:&quot;&quot;},{&quot;family&quot;:&quot;Melchinger&quot;,&quot;given&quot;:&quot;Albrecht&quot;,&quot;parse-names&quot;:false,&quot;dropping-particle&quot;:&quot;&quot;,&quot;non-dropping-particle&quot;:&quot;&quot;},{&quot;family&quot;:&quot;Ludewig&quot;,&quot;given&quot;:&quot;Uwe&quot;,&quot;parse-names&quot;:false,&quot;dropping-particle&quot;:&quot;&quot;,&quot;non-dropping-particle&quot;:&quot;&quot;}],&quot;container-title&quot;:&quot;Journal of Plant Nutrition and Soil Science&quot;,&quot;DOI&quot;:&quot;10.1002/jpln.202000471&quot;,&quot;ISSN&quot;:&quot;15222624&quot;,&quot;issued&quot;:{&quot;date-parts&quot;:[[2021]]},&quot;abstract&quot;:&quot;Aims: High maize yields in modern well-managed agroecosystems depend on the use of elite varieties and hybrids. Unfortunately, because of repeated selection at high fertilizer rates, some beneficial traits, such as the interaction with arbuscular mycorrhizal fungi or the release of organic acid anions for phosphate mobilization and for attracting beneficial microorganisms, might be gradually declining in modern elite genotypes. However, old founder lines and landraces possibly carry genetic relicts that originate from pre-green revolution times that are useful for breeding elite material for low input farming systems. Methods: Seedling colonization with arbuscular mycorrhizal fungi (AMF) and organic acid anion release were measured in flint lines that were released over more than five decades ago and in six preselected doubled haploid (DH) lines from landraces. P-uptake-related root traits were compared under P-sufficient and P-deficient conditions. Results: Weak trends for the loss of AMF colonization or changes in organic acid anion release at low P supply were detected in modern varieties. One DH line from a landrace was found with increased mycorrhization, whereas others were similar to modern elite lines. Overall, substantial genetic variance was encountered for these traits. Conclusions: The concern that modern elite maize varieties have lost beneficial traits for nutrient acquisition is not substantiated for the flint pool of maize, although weak trends exist. Lines associated with better P-acquisition efficiency under limited P availability should be utilized for breeding more sustainable varieties.&quot;,&quot;publisher&quot;:&quot;Wiley-VCH Verlag&quot;},&quot;isTemporary&quot;:false}],&quot;properties&quot;:{&quot;noteIndex&quot;:0},&quot;isEdited&quot;:false,&quot;manualOverride&quot;:{&quot;isManuallyOverridden&quot;:true,&quot;citeprocText&quot;:&quot;(X. Li et al., 2021)&quot;,&quot;manualOverrideText&quot;:&quot;(Li et al., 2021)&quot;},&quot;citationTag&quot;:&quot;MENDELEY_CITATION_v3_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&quot;},{&quot;citationID&quot;:&quot;MENDELEY_CITATION_9981eb64-2404-4a4e-a02f-7b153a933611&quot;,&quot;citationItems&quot;:[{&quot;id&quot;:&quot;80f60ee4-c3e8-3c07-9a52-7cc9d1f68d01&quot;,&quot;itemData&quot;:{&quot;type&quot;:&quot;article-journal&quot;,&quot;id&quot;:&quot;80f60ee4-c3e8-3c07-9a52-7cc9d1f68d01&quot;,&quot;title&quot;:&quot;Breeding for mycorrhizal symbiosis: focus on disease resistance&quot;,&quot;author&quot;:[{&quot;family&quot;:&quot;Hohmann&quot;,&quot;given&quot;:&quot;Pierre&quot;,&quot;parse-names&quot;:false,&quot;dropping-particle&quot;:&quot;&quot;,&quot;non-dropping-particle&quot;:&quot;&quot;},{&quot;family&quot;:&quot;Messmer&quot;,&quot;given&quot;:&quot;Monika M.&quot;,&quot;parse-names&quot;:false,&quot;dropping-particle&quot;:&quot;&quot;,&quot;non-dropping-particle&quot;:&quot;&quot;}],&quot;container-title&quot;:&quot;Euphytica&quot;,&quot;DOI&quot;:&quot;10.1007/s10681-017-1900-x&quot;,&quot;ISSN&quot;:&quot;0014-2336&quot;,&quot;issued&quot;:{&quot;date-parts&quot;:[[2017,5,4]]},&quot;issue&quot;:&quot;5&quot;,&quot;volume&quot;:&quot;213&quot;},&quot;isTemporary&quot;:false}],&quot;properties&quot;:{&quot;noteIndex&quot;:0},&quot;isEdited&quot;:false,&quot;manualOverride&quot;:{&quot;isManuallyOverridden&quot;:false,&quot;citeprocText&quot;:&quot;(Hohmann &amp;#38; Messmer, 2017)&quot;,&quot;manualOverrideText&quot;:&quot;&quot;},&quot;citationTag&quot;:&quot;MENDELEY_CITATION_v3_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&quot;},{&quot;citationID&quot;:&quot;MENDELEY_CITATION_89481728-d9f6-432d-aaf9-ea2e86ac7ada&quot;,&quot;citationItems&quot;:[{&quot;id&quot;:&quot;a9c82cf5-24a6-3143-a04b-25893c90f5d6&quot;,&quot;itemData&quot;:{&quot;type&quot;:&quot;article-journal&quot;,&quot;id&quot;:&quot;a9c82cf5-24a6-3143-a04b-25893c90f5d6&quot;,&quot;title&quot;:&quot;Variation among Maize Inbred Lines and Detection of Quantitative Trait Loci for Growth at Low Phosphorus and Responsiveness to Arbuscular Mycorrhizal Fungi&quot;,&quot;author&quot;:[{&quot;family&quot;:&quot;Kaeppler&quot;,&quot;given&quot;:&quot;Shawn M.&quot;,&quot;parse-names&quot;:false,&quot;dropping-particle&quot;:&quot;&quot;,&quot;non-dropping-particle&quot;:&quot;&quot;},{&quot;family&quot;:&quot;Parke&quot;,&quot;given&quot;:&quot;Jennifer L.&quot;,&quot;parse-names&quot;:false,&quot;dropping-particle&quot;:&quot;&quot;,&quot;non-dropping-particle&quot;:&quot;&quot;},{&quot;family&quot;:&quot;Mueller&quot;,&quot;given&quot;:&quot;Suzanne M.&quot;,&quot;parse-names&quot;:false,&quot;dropping-particle&quot;:&quot;&quot;,&quot;non-dropping-particle&quot;:&quot;&quot;},{&quot;family&quot;:&quot;Senior&quot;,&quot;given&quot;:&quot;Lynn&quot;,&quot;parse-names&quot;:false,&quot;dropping-particle&quot;:&quot;&quot;,&quot;non-dropping-particle&quot;:&quot;&quot;},{&quot;family&quot;:&quot;Stuber&quot;,&quot;given&quot;:&quot;Charles&quot;,&quot;parse-names&quot;:false,&quot;dropping-particle&quot;:&quot;&quot;,&quot;non-dropping-particle&quot;:&quot;&quot;},{&quot;family&quot;:&quot;Tracy&quot;,&quot;given&quot;:&quot;William F.&quot;,&quot;parse-names&quot;:false,&quot;dropping-particle&quot;:&quot;&quot;,&quot;non-dropping-particle&quot;:&quot;&quot;}],&quot;container-title&quot;:&quot;Crop Science&quot;,&quot;DOI&quot;:&quot;10.2135/cropsci2000.402358x&quot;,&quot;ISSN&quot;:&quot;0011183X&quot;,&quot;issued&quot;:{&quot;date-parts&quot;:[[2000,3]]},&quot;issue&quot;:&quot;2&quot;,&quot;volume&quot;:&quot;40&quot;},&quot;isTemporary&quot;:false},{&quot;id&quot;:&quot;df1348f1-ba8c-3cad-9041-7c29aa73a832&quot;,&quot;itemData&quot;:{&quot;type&quot;:&quot;article-journal&quot;,&quot;id&quot;:&quot;df1348f1-ba8c-3cad-9041-7c29aa73a832&quot;,&quot;title&quot;:&quot;Fresh perspectives on the roles of arbuscular mycorrhizal fungi in plant nutrition and growth&quot;,&quot;author&quot;:[{&quot;family&quot;:&quot;Smith&quot;,&quot;given&quot;:&quot;Sally E.&quot;,&quot;parse-names&quot;:false,&quot;dropping-particle&quot;:&quot;&quot;,&quot;non-dropping-particle&quot;:&quot;&quot;},{&quot;family&quot;:&quot;Smith&quot;,&quot;given&quot;:&quot;F. Andrew&quot;,&quot;parse-names&quot;:false,&quot;dropping-particle&quot;:&quot;&quot;,&quot;non-dropping-particle&quot;:&quot;&quot;}],&quot;container-title&quot;:&quot;Mycologia&quot;,&quot;accessed&quot;:{&quot;date-parts&quot;:[[2021,3,15]]},&quot;DOI&quot;:&quot;10.3852/11-229&quot;,&quot;ISSN&quot;:&quot;00275514&quot;,&quot;PMID&quot;:&quot;21933929&quot;,&quot;issued&quot;:{&quot;date-parts&quot;:[[2012,1]]},&quot;page&quot;:&quot;1-13&quot;,&quot;abstract&quot;:&quot;Recent research on arbuscular mycorrhizas has demonstrated that AM fungi play a significant role in plant phosphorus (P) uptake, regardless of whether the plant responds positively to colonization in terms of growth or P content. Here we focus particularly on implications of this finding for consideration of the balance between organic carbon (C) use by the fungi and P delivery (i.e. the C-P trade between the symbionts). Positive growth responses to arbuscular mycorrhizal (AM) colonization are attributed frequently to increased P uptake via the fungus, which results in relief of P deficiency and increased growth. Zero AM responses, compared with non-mycorrhizal (NM) plants, have conventionally been attributed to failure of the fungi to deliver P to the plants. Negative responses, combined with excessive C use, have been attributed to this failure. The fungi were viewed as parasites. Demonstration that the AM pathway of P uptake operates in such plants indicates that direct P uptake by the roots is reduced and that the fungi are not parasites but mutualists because they deliver P as well as using C. We suggest that poor plant growth is the result of P deficiency because AM fungi lower the amount of P taken up directly by roots but the AM uptake of P does compensate for the reduction. The implications of interplay between direct root uptake and AM fungal uptake of P also include increased tolerance of AM plants to toxins such as arsenate and increased success when competing with NM plants. Finally we discuss the new information on C-P trade in the context of control of the symbiosis by the fungus or the plant, including new information (from NM plants) on sugar transport and on the role of sucrose in the signaling network involved in responses of plants to P deprivation. © 2012 by The Mycological Society of America.&quot;,&quot;issue&quot;:&quot;1&quot;,&quot;volume&quot;:&quot;104&quot;},&quot;isTemporary&quot;:false},{&quot;id&quot;:&quot;031edbea-4f77-38ef-9b32-5fc2734aa5bf&quot;,&quot;itemData&quot;:{&quot;type&quot;:&quot;article-journal&quot;,&quot;id&quot;:&quot;031edbea-4f77-38ef-9b32-5fc2734aa5bf&quot;,&quot;title&quot;:&quot;No need to breed for enhanced colonization by arbuscular mycorrhizal fungi to improve low-P adaptation of West African sorghums&quot;,&quot;author&quot;:[{&quot;family&quot;:&quot;Leiser&quot;,&quot;given&quot;:&quot;Willmar L.&quot;,&quot;parse-names&quot;:false,&quot;dropping-particle&quot;:&quot;&quot;,&quot;non-dropping-particle&quot;:&quot;&quot;},{&quot;family&quot;:&quot;Olatoye&quot;,&quot;given&quot;:&quot;Marcus O.&quot;,&quot;parse-names&quot;:false,&quot;dropping-particle&quot;:&quot;&quot;,&quot;non-dropping-particle&quot;:&quot;&quot;},{&quot;family&quot;:&quot;Rattunde&quot;,&quot;given&quot;:&quot;H. Frederick W.&quot;,&quot;parse-names&quot;:false,&quot;dropping-particle&quot;:&quot;&quot;,&quot;non-dropping-particle&quot;:&quot;&quot;},{&quot;family&quot;:&quot;Neumann&quot;,&quot;given&quot;:&quot;Günter&quot;,&quot;parse-names&quot;:false,&quot;dropping-particle&quot;:&quot;&quot;,&quot;non-dropping-particle&quot;:&quot;&quot;},{&quot;family&quot;:&quot;Weltzien&quot;,&quot;given&quot;:&quot;Eva&quot;,&quot;parse-names&quot;:false,&quot;dropping-particle&quot;:&quot;&quot;,&quot;non-dropping-particle&quot;:&quot;&quot;},{&quot;family&quot;:&quot;Haussmann&quot;,&quot;given&quot;:&quot;Bettina I. G.&quot;,&quot;parse-names&quot;:false,&quot;dropping-particle&quot;:&quot;&quot;,&quot;non-dropping-particle&quot;:&quot;&quot;}],&quot;container-title&quot;:&quot;Plant and Soil&quot;,&quot;DOI&quot;:&quot;10.1007/s11104-015-2437-1&quot;,&quot;ISSN&quot;:&quot;0032-079X&quot;,&quot;issued&quot;:{&quot;date-parts&quot;:[[2016,4,14]]},&quot;issue&quot;:&quot;1-2&quot;,&quot;volume&quot;:&quot;401&quot;},&quot;isTemporary&quot;:false}],&quot;properties&quot;:{&quot;noteIndex&quot;:0},&quot;isEdited&quot;:false,&quot;manualOverride&quot;:{&quot;isManuallyOverridden&quot;:true,&quot;citeprocText&quot;:&quot;(Kaeppler et al., 2000a; Leiser et al., 2016; S. E. Smith &amp;#38; Smith, 2012a)&quot;,&quot;manualOverrideText&quot;:&quot;(Kaeppler et al., 2000a; Leiser et al., 2016; Smith &amp; Smith, 2012).&quot;},&quot;citationTag&quot;:&quot;MENDELEY_CITATION_v3_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&quot;},{&quot;citationID&quot;:&quot;MENDELEY_CITATION_2104d2f2-995f-4e36-94c5-066eb1c8956e&quot;,&quot;citationItems&quot;:[{&quot;id&quot;:&quot;a9c82cf5-24a6-3143-a04b-25893c90f5d6&quot;,&quot;itemData&quot;:{&quot;type&quot;:&quot;article-journal&quot;,&quot;id&quot;:&quot;a9c82cf5-24a6-3143-a04b-25893c90f5d6&quot;,&quot;title&quot;:&quot;Variation among Maize Inbred Lines and Detection of Quantitative Trait Loci for Growth at Low Phosphorus and Responsiveness to Arbuscular Mycorrhizal Fungi&quot;,&quot;author&quot;:[{&quot;family&quot;:&quot;Kaeppler&quot;,&quot;given&quot;:&quot;Shawn M.&quot;,&quot;parse-names&quot;:false,&quot;dropping-particle&quot;:&quot;&quot;,&quot;non-dropping-particle&quot;:&quot;&quot;},{&quot;family&quot;:&quot;Parke&quot;,&quot;given&quot;:&quot;Jennifer L.&quot;,&quot;parse-names&quot;:false,&quot;dropping-particle&quot;:&quot;&quot;,&quot;non-dropping-particle&quot;:&quot;&quot;},{&quot;family&quot;:&quot;Mueller&quot;,&quot;given&quot;:&quot;Suzanne M.&quot;,&quot;parse-names&quot;:false,&quot;dropping-particle&quot;:&quot;&quot;,&quot;non-dropping-particle&quot;:&quot;&quot;},{&quot;family&quot;:&quot;Senior&quot;,&quot;given&quot;:&quot;Lynn&quot;,&quot;parse-names&quot;:false,&quot;dropping-particle&quot;:&quot;&quot;,&quot;non-dropping-particle&quot;:&quot;&quot;},{&quot;family&quot;:&quot;Stuber&quot;,&quot;given&quot;:&quot;Charles&quot;,&quot;parse-names&quot;:false,&quot;dropping-particle&quot;:&quot;&quot;,&quot;non-dropping-particle&quot;:&quot;&quot;},{&quot;family&quot;:&quot;Tracy&quot;,&quot;given&quot;:&quot;William F.&quot;,&quot;parse-names&quot;:false,&quot;dropping-particle&quot;:&quot;&quot;,&quot;non-dropping-particle&quot;:&quot;&quot;}],&quot;container-title&quot;:&quot;Crop Science&quot;,&quot;DOI&quot;:&quot;10.2135/cropsci2000.402358x&quot;,&quot;ISSN&quot;:&quot;0011183X&quot;,&quot;issued&quot;:{&quot;date-parts&quot;:[[2000,3]]},&quot;issue&quot;:&quot;2&quot;,&quot;volume&quot;:&quot;40&quot;},&quot;isTemporary&quot;:false}],&quot;properties&quot;:{&quot;noteIndex&quot;:0},&quot;isEdited&quot;:false,&quot;manualOverride&quot;:{&quot;isManuallyOverridden&quot;:true,&quot;citeprocText&quot;:&quot;(Kaeppler et al., 2000a)&quot;,&quot;manualOverrideText&quot;:&quot;(Kaeppler et al., 2000)&quot;},&quot;citationTag&quot;:&quot;MENDELEY_CITATION_v3_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&quot;},{&quot;citationID&quot;:&quot;MENDELEY_CITATION_7ed1b6f5-e6ae-4d7a-b912-4e61c73e8727&quot;,&quot;citationItems&quot;:[{&quot;id&quot;:&quot;2900c565-04b5-3b9b-bf2d-a911f78175a7&quot;,&quot;itemData&quot;:{&quot;type&quot;:&quot;article-journal&quot;,&quot;id&quot;:&quot;2900c565-04b5-3b9b-bf2d-a911f78175a7&quot;,&quot;title&quot;:&quot;Spatial patterns of plant diversity below-ground as revealed by DNA barcoding&quot;,&quot;author&quot;:[{&quot;family&quot;:&quot;Kesanakurti&quot;,&quot;given&quot;:&quot;PRASAD R.&quot;,&quot;parse-names&quot;:false,&quot;dropping-particle&quot;:&quot;&quot;,&quot;non-dropping-particle&quot;:&quot;&quot;},{&quot;family&quot;:&quot;Fazekas&quot;,&quot;given&quot;:&quot;ARON J.&quot;,&quot;parse-names&quot;:false,&quot;dropping-particle&quot;:&quot;&quot;,&quot;non-dropping-particle&quot;:&quot;&quot;},{&quot;family&quot;:&quot;Burgess&quot;,&quot;given&quot;:&quot;KEVIN S.&quot;,&quot;parse-names&quot;:false,&quot;dropping-particle&quot;:&quot;&quot;,&quot;non-dropping-particle&quot;:&quot;&quot;},{&quot;family&quot;:&quot;Percy&quot;,&quot;given&quot;:&quot;DIANA M.&quot;,&quot;parse-names&quot;:false,&quot;dropping-particle&quot;:&quot;&quot;,&quot;non-dropping-particle&quot;:&quot;&quot;},{&quot;family&quot;:&quot;Newmaster&quot;,&quot;given&quot;:&quot;STEVEN G.&quot;,&quot;parse-names&quot;:false,&quot;dropping-particle&quot;:&quot;&quot;,&quot;non-dropping-particle&quot;:&quot;&quot;},{&quot;family&quot;:&quot;Graham&quot;,&quot;given&quot;:&quot;SEAN W.&quot;,&quot;parse-names&quot;:false,&quot;dropping-particle&quot;:&quot;&quot;,&quot;non-dropping-particle&quot;:&quot;&quot;},{&quot;family&quot;:&quot;Barrett&quot;,&quot;given&quot;:&quot;SPENCER C. H.&quot;,&quot;parse-names&quot;:false,&quot;dropping-particle&quot;:&quot;&quot;,&quot;non-dropping-particle&quot;:&quot;&quot;},{&quot;family&quot;:&quot;Hajibabaei&quot;,&quot;given&quot;:&quot;MEHRDAD&quot;,&quot;parse-names&quot;:false,&quot;dropping-particle&quot;:&quot;&quot;,&quot;non-dropping-particle&quot;:&quot;&quot;},{&quot;family&quot;:&quot;Husband&quot;,&quot;given&quot;:&quot;BRIAN C.&quot;,&quot;parse-names&quot;:false,&quot;dropping-particle&quot;:&quot;&quot;,&quot;non-dropping-particle&quot;:&quot;&quot;}],&quot;container-title&quot;:&quot;Molecular Ecology&quot;,&quot;DOI&quot;:&quot;10.1111/j.1365-294X.2010.04989.x&quot;,&quot;ISSN&quot;:&quot;09621083&quot;,&quot;issued&quot;:{&quot;date-parts&quot;:[[2011,3]]},&quot;issue&quot;:&quot;6&quot;,&quot;volume&quot;:&quot;20&quot;},&quot;isTemporary&quot;:false}],&quot;properties&quot;:{&quot;noteIndex&quot;:0},&quot;isEdited&quot;:false,&quot;manualOverride&quot;:{&quot;isManuallyOverridden&quot;:false,&quot;citeprocText&quot;:&quot;(Kesanakurti et al., 2011)&quot;,&quot;manualOverrideText&quot;:&quot;&quot;},&quot;citationTag&quot;:&quot;MENDELEY_CITATION_v3_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&quot;},{&quot;citationID&quot;:&quot;MENDELEY_CITATION_df2516b0-19aa-4665-b241-fafd4ad82236&quot;,&quot;citationItems&quot;:[{&quot;id&quot;:&quot;0afbb206-72fe-3c44-8043-1495319abdb7&quot;,&quot;itemData&quot;:{&quot;type&quot;:&quot;article-journal&quot;,&quot;id&quot;:&quot;0afbb206-72fe-3c44-8043-1495319abdb7&quot;,&quot;title&quot;:&quot;Assessment of genetic diversity among maize accessions using inter simple sequence repeats (ISSR) markers&quot;,&quot;author&quot;:[{&quot;family&quot;:&quot;Júnior&quot;,&quot;given&quot;:&quot;&quot;,&quot;parse-names&quot;:false,&quot;dropping-particle&quot;:&quot;&quot;,&quot;non-dropping-particle&quot;:&quot;&quot;}],&quot;container-title&quot;:&quot;AFRICAN JOURNAL OF BIOTECHNOLOGY&quot;,&quot;DOI&quot;:&quot;10.5897/AJB10.2624&quot;,&quot;ISSN&quot;:&quot;16845315&quot;,&quot;issued&quot;:{&quot;date-parts&quot;:[[2011,11,7]]},&quot;issue&quot;:&quot;69&quot;,&quot;volume&quot;:&quot;10&quot;},&quot;isTemporary&quot;:false}],&quot;properties&quot;:{&quot;noteIndex&quot;:0},&quot;isEdited&quot;:false,&quot;manualOverride&quot;:{&quot;isManuallyOverridden&quot;:false,&quot;citeprocText&quot;:&quot;(Júnior, 2011)&quot;,&quot;manualOverrideText&quot;:&quot;&quot;},&quot;citationTag&quot;:&quot;MENDELEY_CITATION_v3_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&quot;},{&quot;citationID&quot;:&quot;MENDELEY_CITATION_15f92145-504c-4323-9f36-e13225d30c62&quot;,&quot;citationItems&quot;:[{&quot;id&quot;:&quot;23c5d105-4179-3b7a-9673-0e121f08efa3&quot;,&quot;itemData&quot;:{&quot;type&quot;:&quot;article-journal&quot;,&quot;id&quot;:&quot;23c5d105-4179-3b7a-9673-0e121f08efa3&quot;,&quot;title&quot;:&quot;Comparison of phenotypic and molecular characterizations of some important wheat cultivars and advanced breeding lines.&quot;,&quot;author&quot;:[{&quot;family&quot;:&quot;Najaphy A&quot;,&quot;given&quot;:&quot;&quot;,&quot;parse-names&quot;:false,&quot;dropping-particle&quot;:&quot;&quot;,&quot;non-dropping-particle&quot;:&quot;&quot;},{&quot;family&quot;:&quot;Parchin RA and&quot;,&quot;given&quot;:&quot;&quot;,&quot;parse-names&quot;:false,&quot;dropping-particle&quot;:&quot;&quot;,&quot;non-dropping-particle&quot;:&quot;&quot;},{&quot;family&quot;:&quot;Farshadfar E&quot;,&quot;given&quot;:&quot;&quot;,&quot;parse-names&quot;:false,&quot;dropping-particle&quot;:&quot;&quot;,&quot;non-dropping-particle&quot;:&quot;&quot;}],&quot;container-title&quot;:&quot;Aust. J. Crop Sci.&quot;,&quot;issued&quot;:{&quot;date-parts&quot;:[[2012]]},&quot;page&quot;:&quot;326-332&quot;,&quot;volume&quot;:&quot;  6&quot;},&quot;isTemporary&quot;:false}],&quot;properties&quot;:{&quot;noteIndex&quot;:0},&quot;isEdited&quot;:false,&quot;manualOverride&quot;:{&quot;isManuallyOverridden&quot;:true,&quot;citeprocText&quot;:&quot;(Najaphy A et al., 2012)&quot;,&quot;manualOverrideText&quot;:&quot;(Najaphy et al., 2012)&quot;},&quot;citationTag&quot;:&quot;MENDELEY_CITATION_v3_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&quot;},{&quot;citationID&quot;:&quot;MENDELEY_CITATION_bf188f66-6bc1-4d67-ae12-acde65527271&quot;,&quot;citationItems&quot;:[{&quot;id&quot;:&quot;7570843d-c77d-396f-a34b-47256ec6ad52&quot;,&quot;itemData&quot;:{&quot;type&quot;:&quot;article-journal&quot;,&quot;id&quot;:&quot;7570843d-c77d-396f-a34b-47256ec6ad52&quot;,&quot;title&quot;:&quot;The interactive effects of arbuscular mycorrhiza and plant growth-promoting rhizobacteria synergistically enhance host plant defences against pathogen&quot;,&quot;author&quot;:[{&quot;family&quot;:&quot;Pérez-De-Luque&quot;,&quot;given&quot;:&quot;Alejandro&quot;,&quot;parse-names&quot;:false,&quot;dropping-particle&quot;:&quot;&quot;,&quot;non-dropping-particle&quot;:&quot;&quot;},{&quot;family&quot;:&quot;Tille&quot;,&quot;given&quot;:&quot;Stefanie&quot;,&quot;parse-names&quot;:false,&quot;dropping-particle&quot;:&quot;&quot;,&quot;non-dropping-particle&quot;:&quot;&quot;},{&quot;family&quot;:&quot;Johnson&quot;,&quot;given&quot;:&quot;Irene&quot;,&quot;parse-names&quot;:false,&quot;dropping-particle&quot;:&quot;&quot;,&quot;non-dropping-particle&quot;:&quot;&quot;},{&quot;family&quot;:&quot;Pascual-Pardo&quot;,&quot;given&quot;:&quot;David&quot;,&quot;parse-names&quot;:false,&quot;dropping-particle&quot;:&quot;&quot;,&quot;non-dropping-particle&quot;:&quot;&quot;},{&quot;family&quot;:&quot;Ton&quot;,&quot;given&quot;:&quot;Jurriaan&quot;,&quot;parse-names&quot;:false,&quot;dropping-particle&quot;:&quot;&quot;,&quot;non-dropping-particle&quot;:&quot;&quot;},{&quot;family&quot;:&quot;Cameron&quot;,&quot;given&quot;:&quot;Duncan D.&quot;,&quot;parse-names&quot;:false,&quot;dropping-particle&quot;:&quot;&quot;,&quot;non-dropping-particle&quot;:&quot;&quot;}],&quot;container-title&quot;:&quot;Scientific Reports&quot;,&quot;DOI&quot;:&quot;10.1038/s41598-017-16697-4&quot;,&quot;ISSN&quot;:&quot;20452322&quot;,&quot;PMID&quot;:&quot;29180695&quot;,&quot;issued&quot;:{&quot;date-parts&quot;:[[2017,12,1]]},&quot;abstract&quot;:&quot;Belowground interactions between plant roots, mycorrhizal fungi and plant growth-promoting rhizobacteria (PGPR) can improve plant health via enhanced nutrient acquisition and priming of the plant immune system. Two wheat cultivars differing in their ability to form mycorrhiza were (co)inoculated with the mycorrhizal fungus Rhizophagus irregularis and the rhizobacterial strain Pseudomonas putida KT2440. The cultivar with high mycorrhizal compatibility supported higher levels of rhizobacterial colonization than the low compatibility cultivar. Those levels were augmented by mycorrhizal infection. Conversely, rhizobacterial colonization of the low compatibility cultivar was reduced by mycorrhizal arbuscule formation. Single inoculations with R. irregularis or P. putida had differential growth effects on both cultivars. Furthermore, while both cultivars developed systemic priming of chitosan-induced callose after single inoculations with R. irregularis or P. putida, only the cultivar with high mycorrhizal compatibility showed a synergistic increase in callose responsiveness following co-inoculation with both microbes. Our results show that multilateral interactions between roots, mycorrhizal fungi and PGPR can have synergistic effects on growth and systemic priming of wheat.&quot;,&quot;publisher&quot;:&quot;Nature Publishing Group&quot;,&quot;issue&quot;:&quot;1&quot;,&quot;volume&quot;:&quot;7&quot;},&quot;isTemporary&quot;:false}],&quot;properties&quot;:{&quot;noteIndex&quot;:0},&quot;isEdited&quot;:false,&quot;manualOverride&quot;:{&quot;isManuallyOverridden&quot;:true,&quot;citeprocText&quot;:&quot;(Pérez-De-Luque et al., 2017a)&quot;,&quot;manualOverrideText&quot;:&quot;(Pérez-De-Luque et al., 2017)&quot;},&quot;citationTag&quot;:&quot;MENDELEY_CITATION_v3_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&quot;},{&quot;citationID&quot;:&quot;MENDELEY_CITATION_16bcf96d-859f-4a1c-b8d3-a85a91af93dc&quot;,&quot;citationItems&quot;:[{&quot;id&quot;:&quot;97d8ea70-66f3-3ed8-a068-2320e5381f55&quot;,&quot;itemData&quot;:{&quot;type&quot;:&quot;article-journal&quot;,&quot;id&quot;:&quot;97d8ea70-66f3-3ed8-a068-2320e5381f55&quot;,&quot;title&quot;:&quot;Plant sesquiterpenes induce hyphal branching in arbuscular mycorrhizal fungi&quot;,&quot;author&quot;:[{&quot;family&quot;:&quot;Akiyama&quot;,&quot;given&quot;:&quot;Kohki&quot;,&quot;parse-names&quot;:false,&quot;dropping-particle&quot;:&quot;&quot;,&quot;non-dropping-particle&quot;:&quot;&quot;},{&quot;family&quot;:&quot;Matsuzaki&quot;,&quot;given&quot;:&quot;Ken-ichi&quot;,&quot;parse-names&quot;:false,&quot;dropping-particle&quot;:&quot;&quot;,&quot;non-dropping-particle&quot;:&quot;&quot;},{&quot;family&quot;:&quot;Hayashi&quot;,&quot;given&quot;:&quot;Hideo&quot;,&quot;parse-names&quot;:false,&quot;dropping-particle&quot;:&quot;&quot;,&quot;non-dropping-particle&quot;:&quot;&quot;}],&quot;container-title&quot;:&quot;Nature&quot;,&quot;DOI&quot;:&quot;10.1038/nature03608&quot;,&quot;ISSN&quot;:&quot;0028-0836&quot;,&quot;issued&quot;:{&quot;date-parts&quot;:[[2005,6]]},&quot;issue&quot;:&quot;7043&quot;,&quot;volume&quot;:&quot;435&quot;},&quot;isTemporary&quot;:false}],&quot;properties&quot;:{&quot;noteIndex&quot;:0},&quot;isEdited&quot;:false,&quot;manualOverride&quot;:{&quot;isManuallyOverridden&quot;:false,&quot;citeprocText&quot;:&quot;(Akiyama et al., 2005)&quot;,&quot;manualOverrideText&quot;:&quot;&quot;},&quot;citationTag&quot;:&quot;MENDELEY_CITATION_v3_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&quot;},{&quot;citationID&quot;:&quot;MENDELEY_CITATION_1fd5d2f5-77cc-4157-a412-635232f0c4a9&quot;,&quot;citationItems&quot;:[{&quot;id&quot;:&quot;3291d005-0c41-3bbb-800b-0f92b9fc327d&quot;,&quot;itemData&quot;:{&quot;type&quot;:&quot;article-journal&quot;,&quot;id&quot;:&quot;3291d005-0c41-3bbb-800b-0f92b9fc327d&quot;,&quot;title&quot;:&quot;Arbuscular mycorrhiza reduces susceptibility of tomato to Alternaria solani&quot;,&quot;author&quot;:[{&quot;family&quot;:&quot;Fritz&quot;,&quot;given&quot;:&quot;Maendy&quot;,&quot;parse-names&quot;:false,&quot;dropping-particle&quot;:&quot;&quot;,&quot;non-dropping-particle&quot;:&quot;&quot;},{&quot;family&quot;:&quot;Jakobsen&quot;,&quot;given&quot;:&quot;Iver&quot;,&quot;parse-names&quot;:false,&quot;dropping-particle&quot;:&quot;&quot;,&quot;non-dropping-particle&quot;:&quot;&quot;},{&quot;family&quot;:&quot;Lyngkjær&quot;,&quot;given&quot;:&quot;Michael Foged&quot;,&quot;parse-names&quot;:false,&quot;dropping-particle&quot;:&quot;&quot;,&quot;non-dropping-particle&quot;:&quot;&quot;},{&quot;family&quot;:&quot;Thordal-Christensen&quot;,&quot;given&quot;:&quot;Hans&quot;,&quot;parse-names&quot;:false,&quot;dropping-particle&quot;:&quot;&quot;,&quot;non-dropping-particle&quot;:&quot;&quot;},{&quot;family&quot;:&quot;Pons-Kühnemann&quot;,&quot;given&quot;:&quot;Jörn&quot;,&quot;parse-names&quot;:false,&quot;dropping-particle&quot;:&quot;&quot;,&quot;non-dropping-particle&quot;:&quot;&quot;}],&quot;container-title&quot;:&quot;Mycorrhiza&quot;,&quot;DOI&quot;:&quot;10.1007/s00572-006-0051-z&quot;,&quot;ISSN&quot;:&quot;0940-6360&quot;,&quot;issued&quot;:{&quot;date-parts&quot;:[[2006,9,14]]},&quot;issue&quot;:&quot;6&quot;,&quot;volume&quot;:&quot;16&quot;},&quot;isTemporary&quot;:false}],&quot;properties&quot;:{&quot;noteIndex&quot;:0},&quot;isEdited&quot;:false,&quot;manualOverride&quot;:{&quot;isManuallyOverridden&quot;:false,&quot;citeprocText&quot;:&quot;(Fritz et al., 2006)&quot;,&quot;manualOverrideText&quot;:&quot;&quot;},&quot;citationTag&quot;:&quot;MENDELEY_CITATION_v3_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&quot;},{&quot;citationID&quot;:&quot;MENDELEY_CITATION_fcabd3f9-227c-48fd-adfe-5eb29876bc69&quot;,&quot;citationItems&quot;:[{&quot;id&quot;:&quot;402726f9-f48f-368e-8832-195272197c62&quot;,&quot;itemData&quot;:{&quot;type&quot;:&quot;article&quot;,&quot;id&quot;:&quot;402726f9-f48f-368e-8832-195272197c62&quot;,&quot;title&quot;:&quot;Mycorrhiza-induced resistance: More than the sum of its parts?&quot;,&quot;author&quot;:[{&quot;family&quot;:&quot;Cameron&quot;,&quot;given&quot;:&quot;Duncan D.&quot;,&quot;parse-names&quot;:false,&quot;dropping-particle&quot;:&quot;&quot;,&quot;non-dropping-particle&quot;:&quot;&quot;},{&quot;family&quot;:&quot;Neal&quot;,&quot;given&quot;:&quot;Andrew L.&quot;,&quot;parse-names&quot;:false,&quot;dropping-particle&quot;:&quot;&quot;,&quot;non-dropping-particle&quot;:&quot;&quot;},{&quot;family&quot;:&quot;Wees&quot;,&quot;given&quot;:&quot;Saskia C.M.&quot;,&quot;parse-names&quot;:false,&quot;dropping-particle&quot;:&quot;&quot;,&quot;non-dropping-particle&quot;:&quot;van&quot;},{&quot;family&quot;:&quot;Ton&quot;,&quot;given&quot;:&quot;Jurriaan&quot;,&quot;parse-names&quot;:false,&quot;dropping-particle&quot;:&quot;&quot;,&quot;non-dropping-particle&quot;:&quot;&quot;}],&quot;container-title&quot;:&quot;Trends in Plant Science&quot;,&quot;DOI&quot;:&quot;10.1016/j.tplants.2013.06.004&quot;,&quot;ISSN&quot;:&quot;13601385&quot;,&quot;PMID&quot;:&quot;23871659&quot;,&quot;issued&quot;:{&quot;date-parts&quot;:[[2013,10]]},&quot;page&quot;:&quot;539-545&quot;,&quot;abstract&quot;:&quot;Plants can develop an enhanced defensive capacity in response to infection by arbuscular mycorrhizal fungi (AMF). This 'mycorrhiza-induced resistance' (MIR) provides systemic protection against a wide range of attackers and shares characteristics with systemic acquired resistance (SAR) after pathogen infection and induced systemic resistance (ISR) following root colonisation by non-pathogenic rhizobacteria. It is commonly assumed that fungal stimulation of the plant immune system is solely responsible for MIR. In this opinion article, we present a novel model of MIR that integrates different aspects of the induced resistance phenomenon. We propose that MIR is a cumulative effect of direct plant responses to mycorrhizal infection and indirect immune responses to ISR-eliciting rhizobacteria in the mycorrhizosphere. © 2013.&quot;,&quot;issue&quot;:&quot;10&quot;,&quot;volume&quot;:&quot;18&quot;},&quot;isTemporary&quot;:false},{&quot;id&quot;:&quot;365bf946-5d07-3304-bd44-8e9acacd735a&quot;,&quot;itemData&quot;:{&quot;type&quot;:&quot;article-journal&quot;,&quot;id&quot;:&quot;365bf946-5d07-3304-bd44-8e9acacd735a&quot;,&quot;title&quot;:&quot;Mycorrhiza-Induced Resistance and Priming of Plant Defenses&quot;,&quot;author&quot;:[{&quot;family&quot;:&quot;Jung&quot;,&quot;given&quot;:&quot;Sabine C.&quot;,&quot;parse-names&quot;:false,&quot;dropping-particle&quot;:&quot;&quot;,&quot;non-dropping-particle&quot;:&quot;&quot;},{&quot;family&quot;:&quot;Martinez-Medina&quot;,&quot;given&quot;:&quot;Ainhoa&quot;,&quot;parse-names&quot;:false,&quot;dropping-particle&quot;:&quot;&quot;,&quot;non-dropping-particle&quot;:&quot;&quot;},{&quot;family&quot;:&quot;Lopez-Raez&quot;,&quot;given&quot;:&quot;Juan A.&quot;,&quot;parse-names&quot;:false,&quot;dropping-particle&quot;:&quot;&quot;,&quot;non-dropping-particle&quot;:&quot;&quot;},{&quot;family&quot;:&quot;Pozo&quot;,&quot;given&quot;:&quot;Maria J.&quot;,&quot;parse-names&quot;:false,&quot;dropping-particle&quot;:&quot;&quot;,&quot;non-dropping-particle&quot;:&quot;&quot;}],&quot;container-title&quot;:&quot;Journal of Chemical Ecology&quot;,&quot;DOI&quot;:&quot;10.1007/s10886-012-0134-6&quot;,&quot;ISSN&quot;:&quot;0098-0331&quot;,&quot;issued&quot;:{&quot;date-parts&quot;:[[2012,6,24]]},&quot;issue&quot;:&quot;6&quot;,&quot;volume&quot;:&quot;38&quot;},&quot;isTemporary&quot;:false}],&quot;properties&quot;:{&quot;noteIndex&quot;:0},&quot;isEdited&quot;:false,&quot;manualOverride&quot;:{&quot;isManuallyOverridden&quot;:true,&quot;citeprocText&quot;:&quot;(Cameron et al., 2013a; Jung et al., 2012b)&quot;,&quot;manualOverrideText&quot;:&quot;(Cameron et al., 2013; Jung et al., 2012)&quot;},&quot;citationTag&quot;:&quot;MENDELEY_CITATION_v3_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&quot;},{&quot;citationID&quot;:&quot;MENDELEY_CITATION_055ec8ed-3339-4073-b961-16dee6454cb0&quot;,&quot;citationItems&quot;:[{&quot;id&quot;:&quot;a9a40455-4b56-308c-8a94-4dd0c525e387&quot;,&quot;itemData&quot;:{&quot;type&quot;:&quot;article-journal&quot;,&quot;id&quot;:&quot;a9a40455-4b56-308c-8a94-4dd0c525e387&quot;,&quot;title&quot;:&quot;Plant immune responses triggered by beneficial microbes&quot;,&quot;author&quot;:[{&quot;family&quot;:&quot;Wees&quot;,&quot;given&quot;:&quot;Saskia CM&quot;,&quot;parse-names&quot;:false,&quot;dropping-particle&quot;:&quot;&quot;,&quot;non-dropping-particle&quot;:&quot;van&quot;},{&quot;family&quot;:&quot;Ent&quot;,&quot;given&quot;:&quot;Sjoerd&quot;,&quot;parse-names&quot;:false,&quot;dropping-particle&quot;:&quot;&quot;,&quot;non-dropping-particle&quot;:&quot;van der&quot;},{&quot;family&quot;:&quot;Pieterse&quot;,&quot;given&quot;:&quot;Corné MJ&quot;,&quot;parse-names&quot;:false,&quot;dropping-particle&quot;:&quot;&quot;,&quot;non-dropping-particle&quot;:&quot;&quot;}],&quot;container-title&quot;:&quot;Current Opinion in Plant Biology&quot;,&quot;DOI&quot;:&quot;10.1016/j.pbi.2008.05.005&quot;,&quot;ISSN&quot;:&quot;13695266&quot;,&quot;issued&quot;:{&quot;date-parts&quot;:[[2008,8]]},&quot;issue&quot;:&quot;4&quot;,&quot;volume&quot;:&quot;11&quot;},&quot;isTemporary&quot;:false}],&quot;properties&quot;:{&quot;noteIndex&quot;:0},&quot;isEdited&quot;:false,&quot;manualOverride&quot;:{&quot;isManuallyOverridden&quot;:false,&quot;citeprocText&quot;:&quot;(van Wees et al., 2008)&quot;,&quot;manualOverrideText&quot;:&quot;&quot;},&quot;citationTag&quot;:&quot;MENDELEY_CITATION_v3_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&quot;},{&quot;citationID&quot;:&quot;MENDELEY_CITATION_d12e9dfc-d81a-4b2f-a286-72214a6428e2&quot;,&quot;citationItems&quot;:[{&quot;id&quot;:&quot;402726f9-f48f-368e-8832-195272197c62&quot;,&quot;itemData&quot;:{&quot;type&quot;:&quot;article&quot;,&quot;id&quot;:&quot;402726f9-f48f-368e-8832-195272197c62&quot;,&quot;title&quot;:&quot;Mycorrhiza-induced resistance: More than the sum of its parts?&quot;,&quot;author&quot;:[{&quot;family&quot;:&quot;Cameron&quot;,&quot;given&quot;:&quot;Duncan D.&quot;,&quot;parse-names&quot;:false,&quot;dropping-particle&quot;:&quot;&quot;,&quot;non-dropping-particle&quot;:&quot;&quot;},{&quot;family&quot;:&quot;Neal&quot;,&quot;given&quot;:&quot;Andrew L.&quot;,&quot;parse-names&quot;:false,&quot;dropping-particle&quot;:&quot;&quot;,&quot;non-dropping-particle&quot;:&quot;&quot;},{&quot;family&quot;:&quot;Wees&quot;,&quot;given&quot;:&quot;Saskia C.M.&quot;,&quot;parse-names&quot;:false,&quot;dropping-particle&quot;:&quot;&quot;,&quot;non-dropping-particle&quot;:&quot;van&quot;},{&quot;family&quot;:&quot;Ton&quot;,&quot;given&quot;:&quot;Jurriaan&quot;,&quot;parse-names&quot;:false,&quot;dropping-particle&quot;:&quot;&quot;,&quot;non-dropping-particle&quot;:&quot;&quot;}],&quot;container-title&quot;:&quot;Trends in Plant Science&quot;,&quot;DOI&quot;:&quot;10.1016/j.tplants.2013.06.004&quot;,&quot;ISSN&quot;:&quot;13601385&quot;,&quot;PMID&quot;:&quot;23871659&quot;,&quot;issued&quot;:{&quot;date-parts&quot;:[[2013,10]]},&quot;page&quot;:&quot;539-545&quot;,&quot;abstract&quot;:&quot;Plants can develop an enhanced defensive capacity in response to infection by arbuscular mycorrhizal fungi (AMF). This 'mycorrhiza-induced resistance' (MIR) provides systemic protection against a wide range of attackers and shares characteristics with systemic acquired resistance (SAR) after pathogen infection and induced systemic resistance (ISR) following root colonisation by non-pathogenic rhizobacteria. It is commonly assumed that fungal stimulation of the plant immune system is solely responsible for MIR. In this opinion article, we present a novel model of MIR that integrates different aspects of the induced resistance phenomenon. We propose that MIR is a cumulative effect of direct plant responses to mycorrhizal infection and indirect immune responses to ISR-eliciting rhizobacteria in the mycorrhizosphere. © 2013.&quot;,&quot;issue&quot;:&quot;10&quot;,&quot;volume&quot;:&quot;18&quot;},&quot;isTemporary&quot;:false}],&quot;properties&quot;:{&quot;noteIndex&quot;:0},&quot;isEdited&quot;:false,&quot;manualOverride&quot;:{&quot;isManuallyOverridden&quot;:true,&quot;citeprocText&quot;:&quot;(Cameron et al., 2013a)&quot;,&quot;manualOverrideText&quot;:&quot;(Cameron et al., 2013)&quot;},&quot;citationTag&quot;:&quot;MENDELEY_CITATION_v3_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&quot;},{&quot;citationID&quot;:&quot;MENDELEY_CITATION_d8869da3-ad86-40d2-bfaa-cbf152023d01&quot;,&quot;citationItems&quot;:[{&quot;id&quot;:&quot;8f5f3133-c707-345a-a439-42206e962b24&quot;,&quot;itemData&quot;:{&quot;type&quot;:&quot;article-journal&quot;,&quot;id&quot;:&quot;8f5f3133-c707-345a-a439-42206e962b24&quot;,&quot;title&quot;:&quot;Stressed Out About Hormones: How Plants Orchestrate Immunity&quot;,&quot;author&quot;:[{&quot;family&quot;:&quot;Bürger&quot;,&quot;given&quot;:&quot;Marco&quot;,&quot;parse-names&quot;:false,&quot;dropping-particle&quot;:&quot;&quot;,&quot;non-dropping-particle&quot;:&quot;&quot;},{&quot;family&quot;:&quot;Chory&quot;,&quot;given&quot;:&quot;Joanne&quot;,&quot;parse-names&quot;:false,&quot;dropping-particle&quot;:&quot;&quot;,&quot;non-dropping-particle&quot;:&quot;&quot;}],&quot;container-title&quot;:&quot;Cell Host &amp; Microbe&quot;,&quot;DOI&quot;:&quot;10.1016/j.chom.2019.07.006&quot;,&quot;ISSN&quot;:&quot;19313128&quot;,&quot;issued&quot;:{&quot;date-parts&quot;:[[2019,8]]},&quot;issue&quot;:&quot;2&quot;,&quot;volume&quot;:&quot;26&quot;},&quot;isTemporary&quot;:false}],&quot;properties&quot;:{&quot;noteIndex&quot;:0},&quot;isEdited&quot;:false,&quot;manualOverride&quot;:{&quot;isManuallyOverridden&quot;:true,&quot;citeprocText&quot;:&quot;(Bürger &amp;#38; Chory, 2019)&quot;,&quot;manualOverrideText&quot;:&quot;(Bürger &amp; Chory, 2019).&quot;},&quot;citationTag&quot;:&quot;MENDELEY_CITATION_v3_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&quot;},{&quot;citationID&quot;:&quot;MENDELEY_CITATION_22d44766-b217-4cfa-afcd-da69d5e9bc28&quot;,&quot;citationItems&quot;:[{&quot;id&quot;:&quot;27995c1c-c63c-3889-98a5-cf9bd17da693&quot;,&quot;itemData&quot;:{&quot;type&quot;:&quot;article-journal&quot;,&quot;id&quot;:&quot;27995c1c-c63c-3889-98a5-cf9bd17da693&quot;,&quot;title&quot;:&quot;Pseudomonas syringae pv. tomato hijacks the Arabidopsis abscisic acid signalling pathway to cause disease&quot;,&quot;author&quot;:[{&quot;family&quot;:&quot;Torres-Zabala&quot;,&quot;given&quot;:&quot;Marta&quot;,&quot;parse-names&quot;:false,&quot;dropping-particle&quot;:&quot;&quot;,&quot;non-dropping-particle&quot;:&quot;de&quot;},{&quot;family&quot;:&quot;Truman&quot;,&quot;given&quot;:&quot;William&quot;,&quot;parse-names&quot;:false,&quot;dropping-particle&quot;:&quot;&quot;,&quot;non-dropping-particle&quot;:&quot;&quot;},{&quot;family&quot;:&quot;Bennett&quot;,&quot;given&quot;:&quot;Mark H&quot;,&quot;parse-names&quot;:false,&quot;dropping-particle&quot;:&quot;&quot;,&quot;non-dropping-particle&quot;:&quot;&quot;},{&quot;family&quot;:&quot;Lafforgue&quot;,&quot;given&quot;:&quot;Guillaume&quot;,&quot;parse-names&quot;:false,&quot;dropping-particle&quot;:&quot;&quot;,&quot;non-dropping-particle&quot;:&quot;&quot;},{&quot;family&quot;:&quot;Mansfield&quot;,&quot;given&quot;:&quot;John W&quot;,&quot;parse-names&quot;:false,&quot;dropping-particle&quot;:&quot;&quot;,&quot;non-dropping-particle&quot;:&quot;&quot;},{&quot;family&quot;:&quot;Rodriguez Egea&quot;,&quot;given&quot;:&quot;Pedro&quot;,&quot;parse-names&quot;:false,&quot;dropping-particle&quot;:&quot;&quot;,&quot;non-dropping-particle&quot;:&quot;&quot;},{&quot;family&quot;:&quot;Bögre&quot;,&quot;given&quot;:&quot;Laszlo&quot;,&quot;parse-names&quot;:false,&quot;dropping-particle&quot;:&quot;&quot;,&quot;non-dropping-particle&quot;:&quot;&quot;},{&quot;family&quot;:&quot;Grant&quot;,&quot;given&quot;:&quot;Murray&quot;,&quot;parse-names&quot;:false,&quot;dropping-particle&quot;:&quot;&quot;,&quot;non-dropping-particle&quot;:&quot;&quot;}],&quot;container-title&quot;:&quot;The EMBO Journal&quot;,&quot;DOI&quot;:&quot;10.1038/sj.emboj.7601575&quot;,&quot;ISSN&quot;:&quot;0261-4189&quot;,&quot;issued&quot;:{&quot;date-parts&quot;:[[2007,3,7]]},&quot;issue&quot;:&quot;5&quot;,&quot;volume&quot;:&quot;26&quot;},&quot;isTemporary&quot;:false},{&quot;id&quot;:&quot;e0b549fa-81e7-315d-b798-11249aa437ab&quot;,&quot;itemData&quot;:{&quot;type&quot;:&quot;article-journal&quot;,&quot;id&quot;:&quot;e0b549fa-81e7-315d-b798-11249aa437ab&quot;,&quot;title&quot;:&quot;Chloroplasts play a central role in plant defence and are targeted by pathogen effectors&quot;,&quot;author&quot;:[{&quot;family&quot;:&quot;Torres Zabala&quot;,&quot;given&quot;:&quot;Marta&quot;,&quot;parse-names&quot;:false,&quot;dropping-particle&quot;:&quot;&quot;,&quot;non-dropping-particle&quot;:&quot;de&quot;},{&quot;family&quot;:&quot;Littlejohn&quot;,&quot;given&quot;:&quot;George&quot;,&quot;parse-names&quot;:false,&quot;dropping-particle&quot;:&quot;&quot;,&quot;non-dropping-particle&quot;:&quot;&quot;},{&quot;family&quot;:&quot;Jayaraman&quot;,&quot;given&quot;:&quot;Siddharth&quot;,&quot;parse-names&quot;:false,&quot;dropping-particle&quot;:&quot;&quot;,&quot;non-dropping-particle&quot;:&quot;&quot;},{&quot;family&quot;:&quot;Studholme&quot;,&quot;given&quot;:&quot;David&quot;,&quot;parse-names&quot;:false,&quot;dropping-particle&quot;:&quot;&quot;,&quot;non-dropping-particle&quot;:&quot;&quot;},{&quot;family&quot;:&quot;Bailey&quot;,&quot;given&quot;:&quot;Trevor&quot;,&quot;parse-names&quot;:false,&quot;dropping-particle&quot;:&quot;&quot;,&quot;non-dropping-particle&quot;:&quot;&quot;},{&quot;family&quot;:&quot;Lawson&quot;,&quot;given&quot;:&quot;Tracy&quot;,&quot;parse-names&quot;:false,&quot;dropping-particle&quot;:&quot;&quot;,&quot;non-dropping-particle&quot;:&quot;&quot;},{&quot;family&quot;:&quot;Tillich&quot;,&quot;given&quot;:&quot;Michael&quot;,&quot;parse-names&quot;:false,&quot;dropping-particle&quot;:&quot;&quot;,&quot;non-dropping-particle&quot;:&quot;&quot;},{&quot;family&quot;:&quot;Licht&quot;,&quot;given&quot;:&quot;Dirk&quot;,&quot;parse-names&quot;:false,&quot;dropping-particle&quot;:&quot;&quot;,&quot;non-dropping-particle&quot;:&quot;&quot;},{&quot;family&quot;:&quot;Bölter&quot;,&quot;given&quot;:&quot;Bettina&quot;,&quot;parse-names&quot;:false,&quot;dropping-particle&quot;:&quot;&quot;,&quot;non-dropping-particle&quot;:&quot;&quot;},{&quot;family&quot;:&quot;Delfino&quot;,&quot;given&quot;:&quot;Laura&quot;,&quot;parse-names&quot;:false,&quot;dropping-particle&quot;:&quot;&quot;,&quot;non-dropping-particle&quot;:&quot;&quot;},{&quot;family&quot;:&quot;Truman&quot;,&quot;given&quot;:&quot;William&quot;,&quot;parse-names&quot;:false,&quot;dropping-particle&quot;:&quot;&quot;,&quot;non-dropping-particle&quot;:&quot;&quot;},{&quot;family&quot;:&quot;Mansfield&quot;,&quot;given&quot;:&quot;John&quot;,&quot;parse-names&quot;:false,&quot;dropping-particle&quot;:&quot;&quot;,&quot;non-dropping-particle&quot;:&quot;&quot;},{&quot;family&quot;:&quot;Smirnoff&quot;,&quot;given&quot;:&quot;Nicholas&quot;,&quot;parse-names&quot;:false,&quot;dropping-particle&quot;:&quot;&quot;,&quot;non-dropping-particle&quot;:&quot;&quot;},{&quot;family&quot;:&quot;Grant&quot;,&quot;given&quot;:&quot;Murray&quot;,&quot;parse-names&quot;:false,&quot;dropping-particle&quot;:&quot;&quot;,&quot;non-dropping-particle&quot;:&quot;&quot;}],&quot;container-title&quot;:&quot;Nature Plants&quot;,&quot;DOI&quot;:&quot;10.1038/nplants.2015.74&quot;,&quot;ISSN&quot;:&quot;2055-0278&quot;,&quot;issued&quot;:{&quot;date-parts&quot;:[[2015,6,1]]},&quot;issue&quot;:&quot;6&quot;,&quot;volume&quot;:&quot;1&quot;},&quot;isTemporary&quot;:false}],&quot;properties&quot;:{&quot;noteIndex&quot;:0},&quot;isEdited&quot;:false,&quot;manualOverride&quot;:{&quot;isManuallyOverridden&quot;:false,&quot;citeprocText&quot;:&quot;(de Torres Zabala et al., 2015; de Torres-Zabala et al., 2007)&quot;,&quot;manualOverrideText&quot;:&quot;&quot;},&quot;citationTag&quot;:&quot;MENDELEY_CITATION_v3_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&quot;},{&quot;citationID&quot;:&quot;MENDELEY_CITATION_89924a7f-585d-4685-87cb-e46e5a94ed43&quot;,&quot;citationItems&quot;:[{&quot;id&quot;:&quot;adef721c-ab8d-3697-a546-02021d546ba2&quot;,&quot;itemData&quot;:{&quot;type&quot;:&quot;article-journal&quot;,&quot;id&quot;:&quot;adef721c-ab8d-3697-a546-02021d546ba2&quot;,&quot;title&quot;:&quot; Role of secondary metabolites in defense mechanisms of plants.&quot;,&quot;author&quot;:[{&quot;family&quot;:&quot;Mazid&quot;,&quot;given&quot;:&quot;M.;&quot;,&quot;parse-names&quot;:false,&quot;dropping-particle&quot;:&quot;&quot;,&quot;non-dropping-particle&quot;:&quot;&quot;},{&quot;family&quot;:&quot;Khan&quot;,&quot;given&quot;:&quot;T.;&quot;,&quot;parse-names&quot;:false,&quot;dropping-particle&quot;:&quot;&quot;,&quot;non-dropping-particle&quot;:&quot;&quot;},{&quot;family&quot;:&quot;Mohammad&quot;,&quot;given&quot;:&quot;F.&quot;,&quot;parse-names&quot;:false,&quot;dropping-particle&quot;:&quot;&quot;,&quot;non-dropping-particle&quot;:&quot;&quot;}],&quot;container-title&quot;:&quot;Biol. Med&quot;,&quot;issued&quot;:{&quot;date-parts&quot;:[[2011]]},&quot;page&quot;:&quot;232-249&quot;,&quot;volume&quot;:&quot;3&quot;},&quot;isTemporary&quot;:false}],&quot;properties&quot;:{&quot;noteIndex&quot;:0},&quot;isEdited&quot;:false,&quot;manualOverride&quot;:{&quot;isManuallyOverridden&quot;:true,&quot;citeprocText&quot;:&quot;(Mazid, Khan, et al., 2011)&quot;,&quot;manualOverrideText&quot;:&quot;(Mazid, Khan, et al., 2011).&quot;},&quot;citationTag&quot;:&quot;MENDELEY_CITATION_v3_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&quot;},{&quot;citationID&quot;:&quot;MENDELEY_CITATION_f6c64736-f417-4609-b4fe-024e298d4d98&quot;,&quot;citationItems&quot;:[{&quot;id&quot;:&quot;79541278-c38a-3cf7-aeff-97ae1447efd5&quot;,&quot;itemData&quot;:{&quot;type&quot;:&quot;article-journal&quot;,&quot;id&quot;:&quot;79541278-c38a-3cf7-aeff-97ae1447efd5&quot;,&quot;title&quot;:&quot;Plant diterpenoid metabolism for manufacturing the biopharmaceuticals of tomorrow: prospects and challenges&quot;,&quot;author&quot;:[{&quot;family&quot;:&quot;Mafu&quot;,&quot;given&quot;:&quot;Sibongile&quot;,&quot;parse-names&quot;:false,&quot;dropping-particle&quot;:&quot;&quot;,&quot;non-dropping-particle&quot;:&quot;&quot;},{&quot;family&quot;:&quot;Zerbe&quot;,&quot;given&quot;:&quot;Philipp&quot;,&quot;parse-names&quot;:false,&quot;dropping-particle&quot;:&quot;&quot;,&quot;non-dropping-particle&quot;:&quot;&quot;}],&quot;container-title&quot;:&quot;Phytochemistry Reviews&quot;,&quot;DOI&quot;:&quot;10.1007/s11101-017-9513-5&quot;,&quot;ISSN&quot;:&quot;1568-7767&quot;,&quot;issued&quot;:{&quot;date-parts&quot;:[[2018,2,20]]},&quot;issue&quot;:&quot;1&quot;,&quot;volume&quot;:&quot;17&quot;},&quot;isTemporary&quot;:false}],&quot;properties&quot;:{&quot;noteIndex&quot;:0},&quot;isEdited&quot;:false,&quot;manualOverride&quot;:{&quot;isManuallyOverridden&quot;:true,&quot;citeprocText&quot;:&quot;(Mafu &amp;#38; Zerbe, 2018)&quot;,&quot;manualOverrideText&quot;:&quot;(Mafu &amp; Zerbe, 2018).&quot;},&quot;citationTag&quot;:&quot;MENDELEY_CITATION_v3_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&quot;},{&quot;citationID&quot;:&quot;MENDELEY_CITATION_6a98fd4a-31c5-4deb-9df0-ef51d82626a1&quot;,&quot;citationItems&quot;:[{&quot;id&quot;:&quot;04b577d9-e037-3d37-9f88-5b57e5bf7a48&quot;,&quot;itemData&quot;:{&quot;type&quot;:&quot;article-journal&quot;,&quot;id&quot;:&quot;04b577d9-e037-3d37-9f88-5b57e5bf7a48&quot;,&quot;title&quot;:&quot;Effects of Abscisic Acid, Gibberellin, Ethylene and Their Interactions on Production of Phenolic Acids in Salvia miltiorrhiza Bunge Hairy Roots&quot;,&quot;author&quot;:[{&quot;family&quot;:&quot;Liang&quot;,&quot;given&quot;:&quot;Zongsuo&quot;,&quot;parse-names&quot;:false,&quot;dropping-particle&quot;:&quot;&quot;,&quot;non-dropping-particle&quot;:&quot;&quot;},{&quot;family&quot;:&quot;Ma&quot;,&quot;given&quot;:&quot;Yini&quot;,&quot;parse-names&quot;:false,&quot;dropping-particle&quot;:&quot;&quot;,&quot;non-dropping-particle&quot;:&quot;&quot;},{&quot;family&quot;:&quot;Xu&quot;,&quot;given&quot;:&quot;Tao&quot;,&quot;parse-names&quot;:false,&quot;dropping-particle&quot;:&quot;&quot;,&quot;non-dropping-particle&quot;:&quot;&quot;},{&quot;family&quot;:&quot;Cui&quot;,&quot;given&quot;:&quot;Beimi&quot;,&quot;parse-names&quot;:false,&quot;dropping-particle&quot;:&quot;&quot;,&quot;non-dropping-particle&quot;:&quot;&quot;},{&quot;family&quot;:&quot;Liu&quot;,&quot;given&quot;:&quot;Yan&quot;,&quot;parse-names&quot;:false,&quot;dropping-particle&quot;:&quot;&quot;,&quot;non-dropping-particle&quot;:&quot;&quot;},{&quot;family&quot;:&quot;Guo&quot;,&quot;given&quot;:&quot;Zhixin&quot;,&quot;parse-names&quot;:false,&quot;dropping-particle&quot;:&quot;&quot;,&quot;non-dropping-particle&quot;:&quot;&quot;},{&quot;family&quot;:&quot;Yang&quot;,&quot;given&quot;:&quot;Dongfeng&quot;,&quot;parse-names&quot;:false,&quot;dropping-particle&quot;:&quot;&quot;,&quot;non-dropping-particle&quot;:&quot;&quot;}],&quot;container-title&quot;:&quot;PLoS ONE&quot;,&quot;DOI&quot;:&quot;10.1371/journal.pone.0072806&quot;,&quot;ISSN&quot;:&quot;1932-6203&quot;,&quot;issued&quot;:{&quot;date-parts&quot;:[[2013,9,2]]},&quot;issue&quot;:&quot;9&quot;,&quot;volume&quot;:&quot;8&quot;},&quot;isTemporary&quot;:false}],&quot;properties&quot;:{&quot;noteIndex&quot;:0},&quot;isEdited&quot;:false,&quot;manualOverride&quot;:{&quot;isManuallyOverridden&quot;:true,&quot;citeprocText&quot;:&quot;(Liang et al., 2013)&quot;,&quot;manualOverrideText&quot;:&quot;(Liang et al., 2013).&quot;},&quot;citationTag&quot;:&quot;MENDELEY_CITATION_v3_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&quot;},{&quot;citationID&quot;:&quot;MENDELEY_CITATION_aa7a02b3-2ea7-4ed5-8988-03bc0747a722&quot;,&quot;citationItems&quot;:[{&quot;id&quot;:&quot;21d801d3-ad91-3a6e-9bc9-33144590680e&quot;,&quot;itemData&quot;:{&quot;type&quot;:&quot;article-journal&quot;,&quot;id&quot;:&quot;21d801d3-ad91-3a6e-9bc9-33144590680e&quot;,&quot;title&quot;:&quot;Identification of Intermediates and Enzymes Involved in the Early Steps of Artemisinin Biosynthesis in &lt;i&gt;Artemisia annua&lt;/i&gt;&quot;,&quot;author&quot;:[{&quot;family&quot;:&quot;Bertea&quot;,&quot;given&quot;:&quot;C. M.&quot;,&quot;parse-names&quot;:false,&quot;dropping-particle&quot;:&quot;&quot;,&quot;non-dropping-particle&quot;:&quot;&quot;},{&quot;family&quot;:&quot;Freije&quot;,&quot;given&quot;:&quot;J. R.&quot;,&quot;parse-names&quot;:false,&quot;dropping-particle&quot;:&quot;&quot;,&quot;non-dropping-particle&quot;:&quot;&quot;},{&quot;family&quot;:&quot;Woude&quot;,&quot;given&quot;:&quot;H.&quot;,&quot;parse-names&quot;:false,&quot;dropping-particle&quot;:&quot;&quot;,&quot;non-dropping-particle&quot;:&quot;van der&quot;},{&quot;family&quot;:&quot;Verstappen&quot;,&quot;given&quot;:&quot;F. W.&quot;,&quot;parse-names&quot;:false,&quot;dropping-particle&quot;:&quot;&quot;,&quot;non-dropping-particle&quot;:&quot;&quot;},{&quot;family&quot;:&quot;Perk&quot;,&quot;given&quot;:&quot;L.&quot;,&quot;parse-names&quot;:false,&quot;dropping-particle&quot;:&quot;&quot;,&quot;non-dropping-particle&quot;:&quot;&quot;},{&quot;family&quot;:&quot;Marquez&quot;,&quot;given&quot;:&quot;V.&quot;,&quot;parse-names&quot;:false,&quot;dropping-particle&quot;:&quot;&quot;,&quot;non-dropping-particle&quot;:&quot;&quot;},{&quot;family&quot;:&quot;Kraker&quot;,&quot;given&quot;:&quot;J-W.&quot;,&quot;parse-names&quot;:false,&quot;dropping-particle&quot;:&quot;&quot;,&quot;non-dropping-particle&quot;:&quot;de&quot;},{&quot;family&quot;:&quot;Posthumus&quot;,&quot;given&quot;:&quot;M. A.&quot;,&quot;parse-names&quot;:false,&quot;dropping-particle&quot;:&quot;&quot;,&quot;non-dropping-particle&quot;:&quot;&quot;},{&quot;family&quot;:&quot;Jansen&quot;,&quot;given&quot;:&quot;B. J.&quot;,&quot;parse-names&quot;:false,&quot;dropping-particle&quot;:&quot;&quot;,&quot;non-dropping-particle&quot;:&quot;&quot;},{&quot;family&quot;:&quot;Groot&quot;,&quot;given&quot;:&quot;Ae.&quot;,&quot;parse-names&quot;:false,&quot;dropping-particle&quot;:&quot;&quot;,&quot;non-dropping-particle&quot;:&quot;de&quot;},{&quot;family&quot;:&quot;Franssen&quot;,&quot;given&quot;:&quot;M. C.&quot;,&quot;parse-names&quot;:false,&quot;dropping-particle&quot;:&quot;&quot;,&quot;non-dropping-particle&quot;:&quot;&quot;},{&quot;family&quot;:&quot;Bouwmeester&quot;,&quot;given&quot;:&quot;H. J.&quot;,&quot;parse-names&quot;:false,&quot;dropping-particle&quot;:&quot;&quot;,&quot;non-dropping-particle&quot;:&quot;&quot;}],&quot;container-title&quot;:&quot;Planta Medica&quot;,&quot;DOI&quot;:&quot;10.1055/s-2005-837749&quot;,&quot;ISSN&quot;:&quot;0032-0943&quot;,&quot;issued&quot;:{&quot;date-parts&quot;:[[2005,1]]},&quot;issue&quot;:&quot;1&quot;,&quot;volume&quot;:&quot;71&quot;},&quot;isTemporary&quot;:false},{&quot;id&quot;:&quot;79efc46f-9b62-3180-9bef-50f16a610931&quot;,&quot;itemData&quot;:{&quot;type&quot;:&quot;article-journal&quot;,&quot;id&quot;:&quot;79efc46f-9b62-3180-9bef-50f16a610931&quot;,&quot;title&quot;:&quot;Advances in the plant isoprenoid biosynthesis pathway and its metabolic engineering.&quot;,&quot;author&quot;:[{&quot;family&quot;:&quot;Liu&quot;,&quot;given&quot;:&quot;Y.;&quot;,&quot;parse-names&quot;:false,&quot;dropping-particle&quot;:&quot;&quot;,&quot;non-dropping-particle&quot;:&quot;&quot;},{&quot;family&quot;:&quot;Wang&quot;,&quot;given&quot;:&quot;H.;&quot;,&quot;parse-names&quot;:false,&quot;dropping-particle&quot;:&quot;&quot;,&quot;non-dropping-particle&quot;:&quot;&quot;},{&quot;family&quot;:&quot;Ye&quot;,&quot;given&quot;:&quot;H.C.;&quot;,&quot;parse-names&quot;:false,&quot;dropping-particle&quot;:&quot;&quot;,&quot;non-dropping-particle&quot;:&quot;&quot;},{&quot;family&quot;:&quot;Li&quot;,&quot;given&quot;:&quot;G.F.&quot;,&quot;parse-names&quot;:false,&quot;dropping-particle&quot;:&quot;&quot;,&quot;non-dropping-particle&quot;:&quot;&quot;}],&quot;container-title&quot;:&quot;J. Integr.Plant Biol.&quot;,&quot;issued&quot;:{&quot;date-parts&quot;:[[2005]]},&quot;page&quot;:&quot;769-782&quot;,&quot;volume&quot;:&quot;47&quot;},&quot;isTemporary&quot;:false}],&quot;properties&quot;:{&quot;noteIndex&quot;:0},&quot;isEdited&quot;:false,&quot;manualOverride&quot;:{&quot;isManuallyOverridden&quot;:true,&quot;citeprocText&quot;:&quot;(Bertea et al., 2005; Y. ; Liu et al., 2005)&quot;,&quot;manualOverrideText&quot;:&quot;(Bertea et al., 2005; Liu et al., 2005)&quot;},&quot;citationTag&quot;:&quot;MENDELEY_CITATION_v3_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&quot;},{&quot;citationID&quot;:&quot;MENDELEY_CITATION_2fa684eb-3393-477e-ad86-ab5152e223a5&quot;,&quot;citationItems&quot;:[{&quot;id&quot;:&quot;8d871bf7-6da6-36fa-b7b5-c2a0151be200&quot;,&quot;itemData&quot;:{&quot;type&quot;:&quot;article-journal&quot;,&quot;id&quot;:&quot;8d871bf7-6da6-36fa-b7b5-c2a0151be200&quot;,&quot;title&quot;:&quot;Gibberellic Acid Increases Secondary Metabolite Production in Echinacea purpurea Hairy Roots&quot;,&quot;author&quot;:[{&quot;family&quot;:&quot;Abbasi&quot;,&quot;given&quot;:&quot;Bilal H.&quot;,&quot;parse-names&quot;:false,&quot;dropping-particle&quot;:&quot;&quot;,&quot;non-dropping-particle&quot;:&quot;&quot;},{&quot;family&quot;:&quot;Stiles&quot;,&quot;given&quot;:&quot;Amanda R.&quot;,&quot;parse-names&quot;:false,&quot;dropping-particle&quot;:&quot;&quot;,&quot;non-dropping-particle&quot;:&quot;&quot;},{&quot;family&quot;:&quot;Saxena&quot;,&quot;given&quot;:&quot;Praveen K.&quot;,&quot;parse-names&quot;:false,&quot;dropping-particle&quot;:&quot;&quot;,&quot;non-dropping-particle&quot;:&quot;&quot;},{&quot;family&quot;:&quot;Liu&quot;,&quot;given&quot;:&quot;Chun-Zhao&quot;,&quot;parse-names&quot;:false,&quot;dropping-particle&quot;:&quot;&quot;,&quot;non-dropping-particle&quot;:&quot;&quot;}],&quot;container-title&quot;:&quot;Applied Biochemistry and Biotechnology&quot;,&quot;DOI&quot;:&quot;10.1007/s12010-012-9917-z&quot;,&quot;ISSN&quot;:&quot;0273-2289&quot;,&quot;issued&quot;:{&quot;date-parts&quot;:[[2012,12,18]]},&quot;issue&quot;:&quot;7&quot;,&quot;volume&quot;:&quot;168&quot;},&quot;isTemporary&quot;:false},{&quot;id&quot;:&quot;4c6d4b61-e124-3b57-9b0a-f93f20890a34&quot;,&quot;itemData&quot;:{&quot;type&quot;:&quot;article-journal&quot;,&quot;id&quot;:&quot;4c6d4b61-e124-3b57-9b0a-f93f20890a34&quot;,&quot;title&quot;:&quot; Effect of gibberellins and its synthetic inhibitor on metabolism of tanshinones.&quot;,&quot;author&quot;:[{&quot;family&quot;:&quot;Yuan&quot;,&quot;given&quot;:&quot;Y.; Huang, L.-Q.; Cui, G.-H.; Mao, Y.; He, X.-R.&quot;,&quot;parse-names&quot;:false,&quot;dropping-particle&quot;:&quot;&quot;,&quot;non-dropping-particle&quot;:&quot;&quot;}],&quot;container-title&quot;:&quot;Chin. J. Exp. Tradit. Medi-Cal Formulae&quot;,&quot;issued&quot;:{&quot;date-parts&quot;:[[2008]]},&quot;issue&quot;:&quot;2&quot;,&quot;volume&quot;:&quot;6&quot;},&quot;isTemporary&quot;:false}],&quot;properties&quot;:{&quot;noteIndex&quot;:0},&quot;isEdited&quot;:false,&quot;manualOverride&quot;:{&quot;isManuallyOverridden&quot;:false,&quot;citeprocText&quot;:&quot;(Abbasi et al., 2012; Yuan, 2008)&quot;,&quot;manualOverrideText&quot;:&quot;&quot;},&quot;citationTag&quot;:&quot;MENDELEY_CITATION_v3_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&quot;},{&quot;citationID&quot;:&quot;MENDELEY_CITATION_d30a6061-f215-4559-a630-771add35fb86&quot;,&quot;citationItems&quot;:[{&quot;id&quot;:&quot;27e20e66-63e8-35fd-bc35-a44913708e55&quot;,&quot;itemData&quot;:{&quot;type&quot;:&quot;article-journal&quot;,&quot;id&quot;:&quot;27e20e66-63e8-35fd-bc35-a44913708e55&quot;,&quot;title&quot;:&quot;Enhancement of artemisinin content and biomass in Artemisia annua by exogenous GA3 treatment&quot;,&quot;author&quot;:[{&quot;family&quot;:&quot;Banyai&quot;,&quot;given&quot;:&quot;Waleerat&quot;,&quot;parse-names&quot;:false,&quot;dropping-particle&quot;:&quot;&quot;,&quot;non-dropping-particle&quot;:&quot;&quot;},{&quot;family&quot;:&quot;Mii&quot;,&quot;given&quot;:&quot;Masahiro&quot;,&quot;parse-names&quot;:false,&quot;dropping-particle&quot;:&quot;&quot;,&quot;non-dropping-particle&quot;:&quot;&quot;},{&quot;family&quot;:&quot;Supaibulwatana&quot;,&quot;given&quot;:&quot;Kanyaratt&quot;,&quot;parse-names&quot;:false,&quot;dropping-particle&quot;:&quot;&quot;,&quot;non-dropping-particle&quot;:&quot;&quot;}],&quot;container-title&quot;:&quot;Plant Growth Regulation&quot;,&quot;DOI&quot;:&quot;10.1007/s10725-010-9510-9&quot;,&quot;ISSN&quot;:&quot;0167-6903&quot;,&quot;issued&quot;:{&quot;date-parts&quot;:[[2011,1,12]]},&quot;issue&quot;:&quot;1&quot;,&quot;volume&quot;:&quot;63&quot;},&quot;isTemporary&quot;:false}],&quot;properties&quot;:{&quot;noteIndex&quot;:0},&quot;isEdited&quot;:false,&quot;manualOverride&quot;:{&quot;isManuallyOverridden&quot;:false,&quot;citeprocText&quot;:&quot;(Banyai et al., 2011)&quot;,&quot;manualOverrideText&quot;:&quot;&quot;},&quot;citationTag&quot;:&quot;MENDELEY_CITATION_v3_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&quot;},{&quot;citationID&quot;:&quot;MENDELEY_CITATION_0edaccb2-cc67-419b-85fa-1d6b248c0f7b&quot;,&quot;citationItems&quot;:[{&quot;id&quot;:&quot;b5775760-b4c8-3040-b036-3d4e0eee7c61&quot;,&quot;itemData&quot;:{&quot;type&quot;:&quot;article-journal&quot;,&quot;id&quot;:&quot;b5775760-b4c8-3040-b036-3d4e0eee7c61&quot;,&quot;title&quot;:&quot;Inhibitory Effect of Natural Phenolic Compounds on &lt;i&gt;Aspergillus parasiticus&lt;/i&gt; Growth&quot;,&quot;author&quot;:[{&quot;family&quot;:&quot;Pizzolitto&quot;,&quot;given&quot;:&quot;Romina P.&quot;,&quot;parse-names&quot;:false,&quot;dropping-particle&quot;:&quot;&quot;,&quot;non-dropping-particle&quot;:&quot;&quot;},{&quot;family&quot;:&quot;Barberis&quot;,&quot;given&quot;:&quot;Carla L.&quot;,&quot;parse-names&quot;:false,&quot;dropping-particle&quot;:&quot;&quot;,&quot;non-dropping-particle&quot;:&quot;&quot;},{&quot;family&quot;:&quot;Dambolena&quot;,&quot;given&quot;:&quot;José S.&quot;,&quot;parse-names&quot;:false,&quot;dropping-particle&quot;:&quot;&quot;,&quot;non-dropping-particle&quot;:&quot;&quot;},{&quot;family&quot;:&quot;Herrera&quot;,&quot;given&quot;:&quot;Jimena M.&quot;,&quot;parse-names&quot;:false,&quot;dropping-particle&quot;:&quot;&quot;,&quot;non-dropping-particle&quot;:&quot;&quot;},{&quot;family&quot;:&quot;Zunino&quot;,&quot;given&quot;:&quot;María P.&quot;,&quot;parse-names&quot;:false,&quot;dropping-particle&quot;:&quot;&quot;,&quot;non-dropping-particle&quot;:&quot;&quot;},{&quot;family&quot;:&quot;Magnoli&quot;,&quot;given&quot;:&quot;Carina E.&quot;,&quot;parse-names&quot;:false,&quot;dropping-particle&quot;:&quot;&quot;,&quot;non-dropping-particle&quot;:&quot;&quot;},{&quot;family&quot;:&quot;Rubinstein&quot;,&quot;given&quot;:&quot;Héctor R.&quot;,&quot;parse-names&quot;:false,&quot;dropping-particle&quot;:&quot;&quot;,&quot;non-dropping-particle&quot;:&quot;&quot;},{&quot;family&quot;:&quot;Zygadlo&quot;,&quot;given&quot;:&quot;Julio A.&quot;,&quot;parse-names&quot;:false,&quot;dropping-particle&quot;:&quot;&quot;,&quot;non-dropping-particle&quot;:&quot;&quot;},{&quot;family&quot;:&quot;Dalcero&quot;,&quot;given&quot;:&quot;Ana M.&quot;,&quot;parse-names&quot;:false,&quot;dropping-particle&quot;:&quot;&quot;,&quot;non-dropping-particle&quot;:&quot;&quot;}],&quot;container-title&quot;:&quot;Journal of Chemistry&quot;,&quot;DOI&quot;:&quot;10.1155/2015/547925&quot;,&quot;ISSN&quot;:&quot;2090-9063&quot;,&quot;issued&quot;:{&quot;date-parts&quot;:[[2015]]},&quot;abstract&quot;:&quot;&lt;p&gt; Considering the impact of &lt;italic&gt;Aspergillus&lt;/italic&gt; species on crops, it appears to be highly desirable to apply strategies to prevent their growth, as well as to eliminate or reduce their presence in food products. For this reason, the aims of this investigation were to evaluate the effects of ten natural phenolic compounds on the &lt;italic&gt;Aspergillus parasiticus&lt;/italic&gt; growth and to determine which physicochemical properties are involved in the antifungal activity. According to the results of minimum inhibitory concentration (MIC) values of the individual compounds, isoeugenol, carvacrol, and thymol were the most active phenolic components (1.26 mM, 1.47 mM, and 1.50 mM, resp.), followed by eugenol (2.23 mM). On the other hand, creosol, p-cresol, o-cresol, m-cresol, vanillin, and phenol had no effects on fungal development. Logarithm of the octanol/water partition coefficient (log  &lt;italic&gt;P&lt;/italic&gt; ), refractivity index (RI), and molar volume (MV) were demonstrated to be the descriptors that best explained the antifungal activity correlated to lipophilicity, reactivity of the components, and steric aspect. These findings make an important contribution to the search for new compounds with antifungal activity. &lt;/p&gt;&quot;,&quot;volume&quot;:&quot;2015&quot;},&quot;isTemporary&quot;:false}],&quot;properties&quot;:{&quot;noteIndex&quot;:0},&quot;isEdited&quot;:false,&quot;manualOverride&quot;:{&quot;isManuallyOverridden&quot;:false,&quot;citeprocText&quot;:&quot;(Pizzolitto et al., 2015)&quot;,&quot;manualOverrideText&quot;:&quot;&quot;},&quot;citationTag&quot;:&quot;MENDELEY_CITATION_v3_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&quot;},{&quot;citationID&quot;:&quot;MENDELEY_CITATION_c2b2ae90-b395-4326-90a8-abdd6245bf72&quot;,&quot;citationItems&quot;:[{&quot;id&quot;:&quot;c918913c-6264-3bf8-b2c3-029039eb72d0&quot;,&quot;itemData&quot;:{&quot;type&quot;:&quot;article-journal&quot;,&quot;id&quot;:&quot;c918913c-6264-3bf8-b2c3-029039eb72d0&quot;,&quot;title&quot;:&quot;Essential oils composition of Ocimum basilicumL. and Ocimum gratissimumL. from Kenya and their inhibitory effects on growth and fumonisin production by Fusarium verticillioides. &quot;,&quot;author&quot;:[{&quot;family&quot;:&quot;Dambolena&quot;,&quot;given&quot;:&quot;J.S.;&quot;,&quot;parse-names&quot;:false,&quot;dropping-particle&quot;:&quot;&quot;,&quot;non-dropping-particle&quot;:&quot;&quot;},{&quot;family&quot;:&quot;Zunino&quot;,&quot;given&quot;:&quot;M.P.;&quot;,&quot;parse-names&quot;:false,&quot;dropping-particle&quot;:&quot;&quot;,&quot;non-dropping-particle&quot;:&quot;&quot;},{&quot;family&quot;:&quot;López&quot;,&quot;given&quot;:&quot;A.G.;&quot;,&quot;parse-names&quot;:false,&quot;dropping-particle&quot;:&quot;&quot;,&quot;non-dropping-particle&quot;:&quot;&quot;},{&quot;family&quot;:&quot;Rubinstein&quot;,&quot;given&quot;:&quot;H.R.;&quot;,&quot;parse-names&quot;:false,&quot;dropping-particle&quot;:&quot;&quot;,&quot;non-dropping-particle&quot;:&quot;&quot;},{&quot;family&quot;:&quot;Zygadlo&quot;,&quot;given&quot;:&quot;J.A.;&quot;,&quot;parse-names&quot;:false,&quot;dropping-particle&quot;:&quot;&quot;,&quot;non-dropping-particle&quot;:&quot;&quot;},{&quot;family&quot;:&quot;MwaJ.W.;&quot;,&quot;given&quot;:&quot;&quot;,&quot;parse-names&quot;:false,&quot;dropping-particle&quot;:&quot;&quot;,&quot;non-dropping-particle&quot;:&quot;&quot;},{&quot;family&quot;:&quot;Thoithi&quot;,&quot;given&quot;:&quot;G.N.;&quot;,&quot;parse-names&quot;:false,&quot;dropping-particle&quot;:&quot;&quot;,&quot;non-dropping-particle&quot;:&quot;&quot;},{&quot;family&quot;:&quot;Kibwage&quot;,&quot;given&quot;:&quot;I.O.;&quot;,&quot;parse-names&quot;:false,&quot;dropping-particle&quot;:&quot;&quot;,&quot;non-dropping-particle&quot;:&quot;&quot;},{&quot;family&quot;:&quot;Mwalukumbi&quot;,&quot;given&quot;:&quot;J.M.;&quot;,&quot;parse-names&quot;:false,&quot;dropping-particle&quot;:&quot;&quot;,&quot;non-dropping-particle&quot;:&quot;&quot;},{&quot;family&quot;:&quot;Kariuki&quot;,&quot;given&quot;:&quot;S.T.&quot;,&quot;parse-names&quot;:false,&quot;dropping-particle&quot;:&quot;&quot;,&quot;non-dropping-particle&quot;:&quot;&quot;}],&quot;container-title&quot;:&quot;Innov.Food Sci.Emerg.Technol&quot;,&quot;issued&quot;:{&quot;date-parts&quot;:[[2010]]},&quot;page&quot;:&quot;410-414&quot;,&quot;volume&quot;:&quot;11&quot;},&quot;isTemporary&quot;:false},{&quot;id&quot;:&quot;806e6f3c-1557-3fcf-a17e-22144f136f89&quot;,&quot;itemData&quot;:{&quot;type&quot;:&quot;article-journal&quot;,&quot;id&quot;:&quot;806e6f3c-1557-3fcf-a17e-22144f136f89&quot;,&quot;title&quot;:&quot;Inhibitory effect of cyclic terpenes (limonene, menthol, menthone and thymol) on Fusarium verticillioides MRC 826 growth and fumonisin B1 biosynthesis&quot;,&quot;author&quot;:[{&quot;family&quot;:&quot;Dambolena&quot;,&quot;given&quot;:&quot;J.S.&quot;,&quot;parse-names&quot;:false,&quot;dropping-particle&quot;:&quot;&quot;,&quot;non-dropping-particle&quot;:&quot;&quot;},{&quot;family&quot;:&quot;López&quot;,&quot;given&quot;:&quot;A.G.&quot;,&quot;parse-names&quot;:false,&quot;dropping-particle&quot;:&quot;&quot;,&quot;non-dropping-particle&quot;:&quot;&quot;},{&quot;family&quot;:&quot;Cánepa&quot;,&quot;given&quot;:&quot;M.C.&quot;,&quot;parse-names&quot;:false,&quot;dropping-particle&quot;:&quot;&quot;,&quot;non-dropping-particle&quot;:&quot;&quot;},{&quot;family&quot;:&quot;Theumer&quot;,&quot;given&quot;:&quot;M.G.&quot;,&quot;parse-names&quot;:false,&quot;dropping-particle&quot;:&quot;&quot;,&quot;non-dropping-particle&quot;:&quot;&quot;},{&quot;family&quot;:&quot;Zygadlo&quot;,&quot;given&quot;:&quot;J.A.&quot;,&quot;parse-names&quot;:false,&quot;dropping-particle&quot;:&quot;&quot;,&quot;non-dropping-particle&quot;:&quot;&quot;},{&quot;family&quot;:&quot;Rubinstein&quot;,&quot;given&quot;:&quot;H.R.&quot;,&quot;parse-names&quot;:false,&quot;dropping-particle&quot;:&quot;&quot;,&quot;non-dropping-particle&quot;:&quot;&quot;}],&quot;container-title&quot;:&quot;Toxicon&quot;,&quot;DOI&quot;:&quot;10.1016/j.toxicon.2007.07.005&quot;,&quot;ISSN&quot;:&quot;00410101&quot;,&quot;issued&quot;:{&quot;date-parts&quot;:[[2008,1]]},&quot;issue&quot;:&quot;1&quot;,&quot;volume&quot;:&quot;51&quot;},&quot;isTemporary&quot;:false}],&quot;properties&quot;:{&quot;noteIndex&quot;:0},&quot;isEdited&quot;:false,&quot;manualOverride&quot;:{&quot;isManuallyOverridden&quot;:true,&quot;citeprocText&quot;:&quot;(J. S. Dambolena et al., 2008; J. S. ; Dambolena et al., 2010)&quot;,&quot;manualOverrideText&quot;:&quot;(Dambolena et al., 2008; Dambolena et al., 2010)&quot;},&quot;citationTag&quot;:&quot;MENDELEY_CITATION_v3_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&quot;},{&quot;citationID&quot;:&quot;MENDELEY_CITATION_5dde052e-0fce-49e8-bc83-88a375aecf8b&quot;,&quot;citationItems&quot;:[{&quot;id&quot;:&quot;af48d468-8696-3f10-ac81-47c626721992&quot;,&quot;itemData&quot;:{&quot;type&quot;:&quot;article-journal&quot;,&quot;id&quot;:&quot;af48d468-8696-3f10-ac81-47c626721992&quot;,&quot;title&quot;:&quot;Inhibitory effect of 10 natural phenolic compounds on Fusarium verticillioides. A structure–property–activity relationship study&quot;,&quot;author&quot;:[{&quot;family&quot;:&quot;Dambolena&quot;,&quot;given&quot;:&quot;José S.&quot;,&quot;parse-names&quot;:false,&quot;dropping-particle&quot;:&quot;&quot;,&quot;non-dropping-particle&quot;:&quot;&quot;},{&quot;family&quot;:&quot;López&quot;,&quot;given&quot;:&quot;Abel G.&quot;,&quot;parse-names&quot;:false,&quot;dropping-particle&quot;:&quot;&quot;,&quot;non-dropping-particle&quot;:&quot;&quot;},{&quot;family&quot;:&quot;Meriles&quot;,&quot;given&quot;:&quot;José M.&quot;,&quot;parse-names&quot;:false,&quot;dropping-particle&quot;:&quot;&quot;,&quot;non-dropping-particle&quot;:&quot;&quot;},{&quot;family&quot;:&quot;Rubinstein&quot;,&quot;given&quot;:&quot;Héctor R.&quot;,&quot;parse-names&quot;:false,&quot;dropping-particle&quot;:&quot;&quot;,&quot;non-dropping-particle&quot;:&quot;&quot;},{&quot;family&quot;:&quot;Zygadlo&quot;,&quot;given&quot;:&quot;Julio A.&quot;,&quot;parse-names&quot;:false,&quot;dropping-particle&quot;:&quot;&quot;,&quot;non-dropping-particle&quot;:&quot;&quot;}],&quot;container-title&quot;:&quot;Food Control&quot;,&quot;DOI&quot;:&quot;10.1016/j.foodcont.2012.05.008&quot;,&quot;ISSN&quot;:&quot;09567135&quot;,&quot;issued&quot;:{&quot;date-parts&quot;:[[2012,11]]},&quot;issue&quot;:&quot;1&quot;,&quot;volume&quot;:&quot;28&quot;},&quot;isTemporary&quot;:false},{&quot;id&quot;:&quot;2acd7f1b-9962-3577-a63f-11bebf522442&quot;,&quot;itemData&quot;:{&quot;type&quot;:&quot;article-journal&quot;,&quot;id&quot;:&quot;2acd7f1b-9962-3577-a63f-11bebf522442&quot;,&quot;title&quot;:&quot;In vitro activity of natural phenolic compounds against fluconazole-resistant &lt;i&gt;Candida&lt;/i&gt; species: a quantitative structure-activity relationship analysis&quot;,&quot;author&quot;:[{&quot;family&quot;:&quot;Gallucci&quot;,&quot;given&quot;:&quot;M.N.&quot;,&quot;parse-names&quot;:false,&quot;dropping-particle&quot;:&quot;&quot;,&quot;non-dropping-particle&quot;:&quot;&quot;},{&quot;family&quot;:&quot;Carezzano&quot;,&quot;given&quot;:&quot;M.E.&quot;,&quot;parse-names&quot;:false,&quot;dropping-particle&quot;:&quot;&quot;,&quot;non-dropping-particle&quot;:&quot;&quot;},{&quot;family&quot;:&quot;Oliva&quot;,&quot;given&quot;:&quot;M.M.&quot;,&quot;parse-names&quot;:false,&quot;dropping-particle&quot;:&quot;&quot;,&quot;non-dropping-particle&quot;:&quot;&quot;},{&quot;family&quot;:&quot;Demo&quot;,&quot;given&quot;:&quot;M.S.&quot;,&quot;parse-names&quot;:false,&quot;dropping-particle&quot;:&quot;&quot;,&quot;non-dropping-particle&quot;:&quot;&quot;},{&quot;family&quot;:&quot;Pizzolitto&quot;,&quot;given&quot;:&quot;R.P.&quot;,&quot;parse-names&quot;:false,&quot;dropping-particle&quot;:&quot;&quot;,&quot;non-dropping-particle&quot;:&quot;&quot;},{&quot;family&quot;:&quot;Zunino&quot;,&quot;given&quot;:&quot;M.P.&quot;,&quot;parse-names&quot;:false,&quot;dropping-particle&quot;:&quot;&quot;,&quot;non-dropping-particle&quot;:&quot;&quot;},{&quot;family&quot;:&quot;Zygadlo&quot;,&quot;given&quot;:&quot;J.A.&quot;,&quot;parse-names&quot;:false,&quot;dropping-particle&quot;:&quot;&quot;,&quot;non-dropping-particle&quot;:&quot;&quot;},{&quot;family&quot;:&quot;Dambolena&quot;,&quot;given&quot;:&quot;J.S.&quot;,&quot;parse-names&quot;:false,&quot;dropping-particle&quot;:&quot;&quot;,&quot;non-dropping-particle&quot;:&quot;&quot;}],&quot;container-title&quot;:&quot;Journal of Applied Microbiology&quot;,&quot;DOI&quot;:&quot;10.1111/jam.12432&quot;,&quot;ISSN&quot;:&quot;13645072&quot;,&quot;issued&quot;:{&quot;date-parts&quot;:[[2014,4]]},&quot;issue&quot;:&quot;4&quot;,&quot;volume&quot;:&quot;116&quot;},&quot;isTemporary&quot;:false},{&quot;id&quot;:&quot;b5775760-b4c8-3040-b036-3d4e0eee7c61&quot;,&quot;itemData&quot;:{&quot;type&quot;:&quot;article-journal&quot;,&quot;id&quot;:&quot;b5775760-b4c8-3040-b036-3d4e0eee7c61&quot;,&quot;title&quot;:&quot;Inhibitory Effect of Natural Phenolic Compounds on &lt;i&gt;Aspergillus parasiticus&lt;/i&gt; Growth&quot;,&quot;author&quot;:[{&quot;family&quot;:&quot;Pizzolitto&quot;,&quot;given&quot;:&quot;Romina P.&quot;,&quot;parse-names&quot;:false,&quot;dropping-particle&quot;:&quot;&quot;,&quot;non-dropping-particle&quot;:&quot;&quot;},{&quot;family&quot;:&quot;Barberis&quot;,&quot;given&quot;:&quot;Carla L.&quot;,&quot;parse-names&quot;:false,&quot;dropping-particle&quot;:&quot;&quot;,&quot;non-dropping-particle&quot;:&quot;&quot;},{&quot;family&quot;:&quot;Dambolena&quot;,&quot;given&quot;:&quot;José S.&quot;,&quot;parse-names&quot;:false,&quot;dropping-particle&quot;:&quot;&quot;,&quot;non-dropping-particle&quot;:&quot;&quot;},{&quot;family&quot;:&quot;Herrera&quot;,&quot;given&quot;:&quot;Jimena M.&quot;,&quot;parse-names&quot;:false,&quot;dropping-particle&quot;:&quot;&quot;,&quot;non-dropping-particle&quot;:&quot;&quot;},{&quot;family&quot;:&quot;Zunino&quot;,&quot;given&quot;:&quot;María P.&quot;,&quot;parse-names&quot;:false,&quot;dropping-particle&quot;:&quot;&quot;,&quot;non-dropping-particle&quot;:&quot;&quot;},{&quot;family&quot;:&quot;Magnoli&quot;,&quot;given&quot;:&quot;Carina E.&quot;,&quot;parse-names&quot;:false,&quot;dropping-particle&quot;:&quot;&quot;,&quot;non-dropping-particle&quot;:&quot;&quot;},{&quot;family&quot;:&quot;Rubinstein&quot;,&quot;given&quot;:&quot;Héctor R.&quot;,&quot;parse-names&quot;:false,&quot;dropping-particle&quot;:&quot;&quot;,&quot;non-dropping-particle&quot;:&quot;&quot;},{&quot;family&quot;:&quot;Zygadlo&quot;,&quot;given&quot;:&quot;Julio A.&quot;,&quot;parse-names&quot;:false,&quot;dropping-particle&quot;:&quot;&quot;,&quot;non-dropping-particle&quot;:&quot;&quot;},{&quot;family&quot;:&quot;Dalcero&quot;,&quot;given&quot;:&quot;Ana M.&quot;,&quot;parse-names&quot;:false,&quot;dropping-particle&quot;:&quot;&quot;,&quot;non-dropping-particle&quot;:&quot;&quot;}],&quot;container-title&quot;:&quot;Journal of Chemistry&quot;,&quot;DOI&quot;:&quot;10.1155/2015/547925&quot;,&quot;ISSN&quot;:&quot;2090-9063&quot;,&quot;issued&quot;:{&quot;date-parts&quot;:[[2015]]},&quot;abstract&quot;:&quot;&lt;p&gt; Considering the impact of &lt;italic&gt;Aspergillus&lt;/italic&gt; species on crops, it appears to be highly desirable to apply strategies to prevent their growth, as well as to eliminate or reduce their presence in food products. For this reason, the aims of this investigation were to evaluate the effects of ten natural phenolic compounds on the &lt;italic&gt;Aspergillus parasiticus&lt;/italic&gt; growth and to determine which physicochemical properties are involved in the antifungal activity. According to the results of minimum inhibitory concentration (MIC) values of the individual compounds, isoeugenol, carvacrol, and thymol were the most active phenolic components (1.26 mM, 1.47 mM, and 1.50 mM, resp.), followed by eugenol (2.23 mM). On the other hand, creosol, p-cresol, o-cresol, m-cresol, vanillin, and phenol had no effects on fungal development. Logarithm of the octanol/water partition coefficient (log  &lt;italic&gt;P&lt;/italic&gt; ), refractivity index (RI), and molar volume (MV) were demonstrated to be the descriptors that best explained the antifungal activity correlated to lipophilicity, reactivity of the components, and steric aspect. These findings make an important contribution to the search for new compounds with antifungal activity. &lt;/p&gt;&quot;,&quot;volume&quot;:&quot;2015&quot;},&quot;isTemporary&quot;:false},{&quot;id&quot;:&quot;38071937-8318-3a1e-ba7c-8317bc80d38e&quot;,&quot;itemData&quot;:{&quot;type&quot;:&quot;article-journal&quot;,&quot;id&quot;:&quot;38071937-8318-3a1e-ba7c-8317bc80d38e&quot;,&quot;title&quot;:&quot;Can phenolic compounds be used for the protection of corn from fungal invasion and mycotoxin contamination during storage?&quot;,&quot;author&quot;:[{&quot;family&quot;:&quot;Samapundo&quot;,&quot;given&quot;:&quot;S&quot;,&quot;parse-names&quot;:false,&quot;dropping-particle&quot;:&quot;&quot;,&quot;non-dropping-particle&quot;:&quot;&quot;},{&quot;family&quot;:&quot;Demeulenaer&quot;,&quot;given&quot;:&quot;B&quot;,&quot;parse-names&quot;:false,&quot;dropping-particle&quot;:&quot;&quot;,&quot;non-dropping-particle&quot;:&quot;&quot;},{&quot;family&quot;:&quot;Oseinimoh&quot;,&quot;given&quot;:&quot;D&quot;,&quot;parse-names&quot;:false,&quot;dropping-particle&quot;:&quot;&quot;,&quot;non-dropping-particle&quot;:&quot;&quot;},{&quot;family&quot;:&quot;Lamboni&quot;,&quot;given&quot;:&quot;Y&quot;,&quot;parse-names&quot;:false,&quot;dropping-particle&quot;:&quot;&quot;,&quot;non-dropping-particle&quot;:&quot;&quot;},{&quot;family&quot;:&quot;Debevere&quot;,&quot;given&quot;:&quot;J&quot;,&quot;parse-names&quot;:false,&quot;dropping-particle&quot;:&quot;&quot;,&quot;non-dropping-particle&quot;:&quot;&quot;},{&quot;family&quot;:&quot;Devlieghere&quot;,&quot;given&quot;:&quot;F&quot;,&quot;parse-names&quot;:false,&quot;dropping-particle&quot;:&quot;&quot;,&quot;non-dropping-particle&quot;:&quot;&quot;}],&quot;container-title&quot;:&quot;Food Microbiology&quot;,&quot;DOI&quot;:&quot;10.1016/j.fm.2006.10.003&quot;,&quot;ISSN&quot;:&quot;07400020&quot;,&quot;issued&quot;:{&quot;date-parts&quot;:[[2007,8]]},&quot;issue&quot;:&quot;5&quot;,&quot;volume&quot;:&quot;24&quot;},&quot;isTemporary&quot;:false}],&quot;properties&quot;:{&quot;noteIndex&quot;:0},&quot;isEdited&quot;:false,&quot;manualOverride&quot;:{&quot;isManuallyOverridden&quot;:true,&quot;citeprocText&quot;:&quot;(J. S. Dambolena et al., 2012; Gallucci et al., 2014; Pizzolitto et al., 2015; Samapundo et al., 2007)&quot;,&quot;manualOverrideText&quot;:&quot;(Dambolena et al., 2012; Gallucci et al., 2014; Pizzolitto et al., 2015; Samapundo et al., 2007)&quot;},&quot;citationTag&quot;:&quot;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&quot;},{&quot;citationID&quot;:&quot;MENDELEY_CITATION_5a3fb6a0-17f0-4c24-aa7d-95ea071d03e6&quot;,&quot;citationItems&quot;:[{&quot;id&quot;:&quot;fcf88684-0e44-3c4b-9451-88fd012556a2&quot;,&quot;itemData&quot;:{&quot;type&quot;:&quot;article-journal&quot;,&quot;id&quot;:&quot;fcf88684-0e44-3c4b-9451-88fd012556a2&quot;,&quot;title&quot;:&quot;Linking Plant Secondary Metabolites and Plant Microbiomes: A Review&quot;,&quot;author&quot;:[{&quot;family&quot;:&quot;Pang&quot;,&quot;given&quot;:&quot;Zhiqiang&quot;,&quot;parse-names&quot;:false,&quot;dropping-particle&quot;:&quot;&quot;,&quot;non-dropping-particle&quot;:&quot;&quot;},{&quot;family&quot;:&quot;Chen&quot;,&quot;given&quot;:&quot;Jia&quot;,&quot;parse-names&quot;:false,&quot;dropping-particle&quot;:&quot;&quot;,&quot;non-dropping-particle&quot;:&quot;&quot;},{&quot;family&quot;:&quot;Wang&quot;,&quot;given&quot;:&quot;Tuhong&quot;,&quot;parse-names&quot;:false,&quot;dropping-particle&quot;:&quot;&quot;,&quot;non-dropping-particle&quot;:&quot;&quot;},{&quot;family&quot;:&quot;Gao&quot;,&quot;given&quot;:&quot;Chunsheng&quot;,&quot;parse-names&quot;:false,&quot;dropping-particle&quot;:&quot;&quot;,&quot;non-dropping-particle&quot;:&quot;&quot;},{&quot;family&quot;:&quot;Li&quot;,&quot;given&quot;:&quot;Zhimin&quot;,&quot;parse-names&quot;:false,&quot;dropping-particle&quot;:&quot;&quot;,&quot;non-dropping-particle&quot;:&quot;&quot;},{&quot;family&quot;:&quot;Guo&quot;,&quot;given&quot;:&quot;Litao&quot;,&quot;parse-names&quot;:false,&quot;dropping-particle&quot;:&quot;&quot;,&quot;non-dropping-particle&quot;:&quot;&quot;},{&quot;family&quot;:&quot;Xu&quot;,&quot;given&quot;:&quot;Jianping&quot;,&quot;parse-names&quot;:false,&quot;dropping-particle&quot;:&quot;&quot;,&quot;non-dropping-particle&quot;:&quot;&quot;},{&quot;family&quot;:&quot;Cheng&quot;,&quot;given&quot;:&quot;Yi&quot;,&quot;parse-names&quot;:false,&quot;dropping-particle&quot;:&quot;&quot;,&quot;non-dropping-particle&quot;:&quot;&quot;}],&quot;container-title&quot;:&quot;Frontiers in Plant Science&quot;,&quot;DOI&quot;:&quot;10.3389/fpls.2021.621276&quot;,&quot;ISSN&quot;:&quot;1664-462X&quot;,&quot;issued&quot;:{&quot;date-parts&quot;:[[2021,3,2]]},&quot;abstract&quot;:&quot;&lt;p&gt;Plant secondary metabolites (PSMs) play many roles including defense against pathogens, pests, and herbivores; response to environmental stresses, and mediating organismal interactions. Similarly, plant microbiomes participate in many of the above-mentioned processes directly or indirectly by regulating plant metabolism. Studies have shown that plants can influence their microbiome by secreting various metabolites and, in turn, the microbiome may also impact the metabolome of the host plant. However, not much is known about the communications between the interacting partners to impact their phenotypic changes. In this article, we review the patterns and potential underlying mechanisms of interactions between PSMs and plant microbiomes. We describe the recent developments in analytical approaches and methods in this field. The applications of these new methods and approaches have increased our understanding of the relationships between PSMs and plant microbiomes. Though the current studies have primarily focused on model organisms, the methods and results obtained so far should help future studies of agriculturally important plants and facilitate the development of methods to manipulate PSMs–microbiome interactions with predictive outcomes for sustainable crop productions.&lt;/p&gt;&quot;,&quot;volume&quot;:&quot;12&quot;},&quot;isTemporary&quot;:false}],&quot;properties&quot;:{&quot;noteIndex&quot;:0},&quot;isEdited&quot;:false,&quot;manualOverride&quot;:{&quot;isManuallyOverridden&quot;:false,&quot;citeprocText&quot;:&quot;(Pang et al., 2021)&quot;,&quot;manualOverrideText&quot;:&quot;&quot;},&quot;citationTag&quot;:&quot;MENDELEY_CITATION_v3_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&quot;},{&quot;citationID&quot;:&quot;MENDELEY_CITATION_cc9fc6c8-5fa2-4231-9a5c-d283a7b4044e&quot;,&quot;citationItems&quot;:[{&quot;id&quot;:&quot;2fa7fcd6-eaee-3315-96da-af0eebec19f8&quot;,&quot;itemData&quot;:{&quot;type&quot;:&quot;chapter&quot;,&quot;id&quot;:&quot;2fa7fcd6-eaee-3315-96da-af0eebec19f8&quot;,&quot;title&quot;:&quot;Live Single-Cell Mass Spectrometry (LSC-MS) for Plant Metabolomics&quot;,&quot;author&quot;:[{&quot;family&quot;:&quot;Masuda&quot;,&quot;given&quot;:&quot;Keiko&quot;,&quot;parse-names&quot;:false,&quot;dropping-particle&quot;:&quot;&quot;,&quot;non-dropping-particle&quot;:&quot;&quot;},{&quot;family&quot;:&quot;Abouleila&quot;,&quot;given&quot;:&quot;Yasmine&quot;,&quot;parse-names&quot;:false,&quot;dropping-particle&quot;:&quot;&quot;,&quot;non-dropping-particle&quot;:&quot;&quot;},{&quot;family&quot;:&quot;Ali&quot;,&quot;given&quot;:&quot;Ahmed&quot;,&quot;parse-names&quot;:false,&quot;dropping-particle&quot;:&quot;&quot;,&quot;non-dropping-particle&quot;:&quot;&quot;},{&quot;family&quot;:&quot;Yanagida&quot;,&quot;given&quot;:&quot;Toshio&quot;,&quot;parse-names&quot;:false,&quot;dropping-particle&quot;:&quot;&quot;,&quot;non-dropping-particle&quot;:&quot;&quot;},{&quot;family&quot;:&quot;Masujima&quot;,&quot;given&quot;:&quot;Tsutomu&quot;,&quot;parse-names&quot;:false,&quot;dropping-particle&quot;:&quot;&quot;,&quot;non-dropping-particle&quot;:&quot;&quot;}],&quot;DOI&quot;:&quot;10.1007/978-1-4939-7819-9_19&quot;,&quot;issued&quot;:{&quot;date-parts&quot;:[[2018]]}},&quot;isTemporary&quot;:false}],&quot;properties&quot;:{&quot;noteIndex&quot;:0},&quot;isEdited&quot;:false,&quot;manualOverride&quot;:{&quot;isManuallyOverridden&quot;:true,&quot;citeprocText&quot;:&quot;(Masuda et al., 2018)&quot;,&quot;manualOverrideText&quot;:&quot;(Masuda et al., 2018).&quot;},&quot;citationTag&quot;:&quot;MENDELEY_CITATION_v3_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&quot;},{&quot;citationID&quot;:&quot;MENDELEY_CITATION_c7ca2ce2-9115-4320-81c4-a198b0af9227&quot;,&quot;citationItems&quot;:[{&quot;id&quot;:&quot;0cc3a3fd-6645-3ab7-be56-df8e3bc7836c&quot;,&quot;itemData&quot;:{&quot;type&quot;:&quot;chapter&quot;,&quot;id&quot;:&quot;0cc3a3fd-6645-3ab7-be56-df8e3bc7836c&quot;,&quot;title&quot;:&quot;Laser Ablation Electrospray Ionization-Mass Spectrometry Imaging (LAESI-MS) for Spatially Resolved Plant Metabolomics&quot;,&quot;author&quot;:[{&quot;family&quot;:&quot;Etalo&quot;,&quot;given&quot;:&quot;Desalegn W.&quot;,&quot;parse-names&quot;:false,&quot;dropping-particle&quot;:&quot;&quot;,&quot;non-dropping-particle&quot;:&quot;&quot;},{&quot;family&quot;:&quot;Díez-Simón&quot;,&quot;given&quot;:&quot;Carmen&quot;,&quot;parse-names&quot;:false,&quot;dropping-particle&quot;:&quot;&quot;,&quot;non-dropping-particle&quot;:&quot;&quot;},{&quot;family&quot;:&quot;Vos&quot;,&quot;given&quot;:&quot;Ric C. H.&quot;,&quot;parse-names&quot;:false,&quot;dropping-particle&quot;:&quot;&quot;,&quot;non-dropping-particle&quot;:&quot;de&quot;},{&quot;family&quot;:&quot;Hall&quot;,&quot;given&quot;:&quot;Robert D.&quot;,&quot;parse-names&quot;:false,&quot;dropping-particle&quot;:&quot;&quot;,&quot;non-dropping-particle&quot;:&quot;&quot;}],&quot;DOI&quot;:&quot;10.1007/978-1-4939-7819-9_18&quot;,&quot;issued&quot;:{&quot;date-parts&quot;:[[2018]]}},&quot;isTemporary&quot;:false},{&quot;id&quot;:&quot;0a724290-654c-3fe5-8258-ec2b0d5f7e98&quot;,&quot;itemData&quot;:{&quot;type&quot;:&quot;article-journal&quot;,&quot;id&quot;:&quot;0a724290-654c-3fe5-8258-ec2b0d5f7e98&quot;,&quot;title&quot;:&quot;Visualizing Microbial Community Dynamics via a Controllable Soil Environment&quot;,&quot;author&quot;:[{&quot;family&quot;:&quot;Bhattacharjee&quot;,&quot;given&quot;:&quot;Arunima&quot;,&quot;parse-names&quot;:false,&quot;dropping-particle&quot;:&quot;&quot;,&quot;non-dropping-particle&quot;:&quot;&quot;},{&quot;family&quot;:&quot;Velickovic&quot;,&quot;given&quot;:&quot;Dusan&quot;,&quot;parse-names&quot;:false,&quot;dropping-particle&quot;:&quot;&quot;,&quot;non-dropping-particle&quot;:&quot;&quot;},{&quot;family&quot;:&quot;Wietsma&quot;,&quot;given&quot;:&quot;Thomas W.&quot;,&quot;parse-names&quot;:false,&quot;dropping-particle&quot;:&quot;&quot;,&quot;non-dropping-particle&quot;:&quot;&quot;},{&quot;family&quot;:&quot;Bell&quot;,&quot;given&quot;:&quot;Sheryl L.&quot;,&quot;parse-names&quot;:false,&quot;dropping-particle&quot;:&quot;&quot;,&quot;non-dropping-particle&quot;:&quot;&quot;},{&quot;family&quot;:&quot;Jansson&quot;,&quot;given&quot;:&quot;Janet K.&quot;,&quot;parse-names&quot;:false,&quot;dropping-particle&quot;:&quot;&quot;,&quot;non-dropping-particle&quot;:&quot;&quot;},{&quot;family&quot;:&quot;Hofmockel&quot;,&quot;given&quot;:&quot;Kirsten S.&quot;,&quot;parse-names&quot;:false,&quot;dropping-particle&quot;:&quot;&quot;,&quot;non-dropping-particle&quot;:&quot;&quot;},{&quot;family&quot;:&quot;Anderton&quot;,&quot;given&quot;:&quot;Christopher R.&quot;,&quot;parse-names&quot;:false,&quot;dropping-particle&quot;:&quot;&quot;,&quot;non-dropping-particle&quot;:&quot;&quot;}],&quot;container-title&quot;:&quot;mSystems&quot;,&quot;DOI&quot;:&quot;10.1128/mSystems.00645-19&quot;,&quot;ISSN&quot;:&quot;2379-5077&quot;,&quot;issued&quot;:{&quot;date-parts&quot;:[[2020,2,11]]},&quot;abstract&quot;:&quot;&lt;p&gt;Microbial communities are key components of the soil ecosystem. Recent advances in metagenomics and other omics capabilities have expanded our ability to characterize the composition and function of the soil microbiome. However, characterizing the spatial metabolic and morphological diversity of microbial communities remains a challenge due to the dynamic and complex nature of soil microenvironments. The SoilBox system, demonstrated in this work, simulates an ∼12-cm soil depth, similar to a typical soil core, and provides a platform that facilitates imaging the molecular and topographical landscape of soil microbial communities as a function of environmental gradients. Moreover, the nondestructive harvesting of soil microbial communities for the imaging experiments can enable simultaneous multiomics analysis throughout the depth of the SoilBox. Our results show that by correlating molecular and optical imaging data obtained using the SoilBox platform, deeper insights into the nature of specific soil microbial interactions can be achieved.&lt;/p&gt;&quot;,&quot;issue&quot;:&quot;1&quot;,&quot;volume&quot;:&quot;5&quot;},&quot;isTemporary&quot;:false}],&quot;properties&quot;:{&quot;noteIndex&quot;:0},&quot;isEdited&quot;:false,&quot;manualOverride&quot;:{&quot;isManuallyOverridden&quot;:false,&quot;citeprocText&quot;:&quot;(Bhattacharjee et al., 2020; Etalo et al., 2018)&quot;,&quot;manualOverrideText&quot;:&quot;&quot;},&quot;citationTag&quot;:&quot;MENDELEY_CITATION_v3_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&quot;},{&quot;citationID&quot;:&quot;MENDELEY_CITATION_7c6a870d-33df-4732-a276-0e5e7467e3ef&quot;,&quot;citationItems&quot;:[{&quot;id&quot;:&quot;a9bd9c91-b917-32c7-9e57-7ed36be9f91a&quot;,&quot;itemData&quot;:{&quot;type&quot;:&quot;article-journal&quot;,&quot;id&quot;:&quot;a9bd9c91-b917-32c7-9e57-7ed36be9f91a&quot;,&quot;title&quot;:&quot;Metabolic potential of endophytic bacteria&quot;,&quot;author&quot;:[{&quot;family&quot;:&quot;Brader&quot;,&quot;given&quot;:&quot;Günter&quot;,&quot;parse-names&quot;:false,&quot;dropping-particle&quot;:&quot;&quot;,&quot;non-dropping-particle&quot;:&quot;&quot;},{&quot;family&quot;:&quot;Compant&quot;,&quot;given&quot;:&quot;Stéphane&quot;,&quot;parse-names&quot;:false,&quot;dropping-particle&quot;:&quot;&quot;,&quot;non-dropping-particle&quot;:&quot;&quot;},{&quot;family&quot;:&quot;Mitter&quot;,&quot;given&quot;:&quot;Birgit&quot;,&quot;parse-names&quot;:false,&quot;dropping-particle&quot;:&quot;&quot;,&quot;non-dropping-particle&quot;:&quot;&quot;},{&quot;family&quot;:&quot;Trognitz&quot;,&quot;given&quot;:&quot;Friederike&quot;,&quot;parse-names&quot;:false,&quot;dropping-particle&quot;:&quot;&quot;,&quot;non-dropping-particle&quot;:&quot;&quot;},{&quot;family&quot;:&quot;Sessitsch&quot;,&quot;given&quot;:&quot;Angela&quot;,&quot;parse-names&quot;:false,&quot;dropping-particle&quot;:&quot;&quot;,&quot;non-dropping-particle&quot;:&quot;&quot;}],&quot;container-title&quot;:&quot;Current Opinion in Biotechnology&quot;,&quot;DOI&quot;:&quot;10.1016/j.copbio.2013.09.012&quot;,&quot;ISSN&quot;:&quot;09581669&quot;,&quot;issued&quot;:{&quot;date-parts&quot;:[[2014,6]]},&quot;volume&quot;:&quot;27&quot;},&quot;isTemporary&quot;:false}],&quot;properties&quot;:{&quot;noteIndex&quot;:0},&quot;isEdited&quot;:false,&quot;manualOverride&quot;:{&quot;isManuallyOverridden&quot;:false,&quot;citeprocText&quot;:&quot;(Brader et al., 2014)&quot;,&quot;manualOverrideText&quot;:&quot;&quot;},&quot;citationTag&quot;:&quot;MENDELEY_CITATION_v3_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&quot;},{&quot;citationID&quot;:&quot;MENDELEY_CITATION_10e67a37-6b9f-4d19-9ebb-0bedf68d4254&quot;,&quot;citationItems&quot;:[{&quot;id&quot;:&quot;402726f9-f48f-368e-8832-195272197c62&quot;,&quot;itemData&quot;:{&quot;type&quot;:&quot;article&quot;,&quot;id&quot;:&quot;402726f9-f48f-368e-8832-195272197c62&quot;,&quot;title&quot;:&quot;Mycorrhiza-induced resistance: More than the sum of its parts?&quot;,&quot;author&quot;:[{&quot;family&quot;:&quot;Cameron&quot;,&quot;given&quot;:&quot;Duncan D.&quot;,&quot;parse-names&quot;:false,&quot;dropping-particle&quot;:&quot;&quot;,&quot;non-dropping-particle&quot;:&quot;&quot;},{&quot;family&quot;:&quot;Neal&quot;,&quot;given&quot;:&quot;Andrew L.&quot;,&quot;parse-names&quot;:false,&quot;dropping-particle&quot;:&quot;&quot;,&quot;non-dropping-particle&quot;:&quot;&quot;},{&quot;family&quot;:&quot;Wees&quot;,&quot;given&quot;:&quot;Saskia C.M.&quot;,&quot;parse-names&quot;:false,&quot;dropping-particle&quot;:&quot;&quot;,&quot;non-dropping-particle&quot;:&quot;van&quot;},{&quot;family&quot;:&quot;Ton&quot;,&quot;given&quot;:&quot;Jurriaan&quot;,&quot;parse-names&quot;:false,&quot;dropping-particle&quot;:&quot;&quot;,&quot;non-dropping-particle&quot;:&quot;&quot;}],&quot;container-title&quot;:&quot;Trends in Plant Science&quot;,&quot;DOI&quot;:&quot;10.1016/j.tplants.2013.06.004&quot;,&quot;ISSN&quot;:&quot;13601385&quot;,&quot;PMID&quot;:&quot;23871659&quot;,&quot;issued&quot;:{&quot;date-parts&quot;:[[2013,10]]},&quot;page&quot;:&quot;539-545&quot;,&quot;abstract&quot;:&quot;Plants can develop an enhanced defensive capacity in response to infection by arbuscular mycorrhizal fungi (AMF). This 'mycorrhiza-induced resistance' (MIR) provides systemic protection against a wide range of attackers and shares characteristics with systemic acquired resistance (SAR) after pathogen infection and induced systemic resistance (ISR) following root colonisation by non-pathogenic rhizobacteria. It is commonly assumed that fungal stimulation of the plant immune system is solely responsible for MIR. In this opinion article, we present a novel model of MIR that integrates different aspects of the induced resistance phenomenon. We propose that MIR is a cumulative effect of direct plant responses to mycorrhizal infection and indirect immune responses to ISR-eliciting rhizobacteria in the mycorrhizosphere. © 2013.&quot;,&quot;issue&quot;:&quot;10&quot;,&quot;volume&quot;:&quot;18&quot;},&quot;isTemporary&quot;:false}],&quot;properties&quot;:{&quot;noteIndex&quot;:0},&quot;isEdited&quot;:false,&quot;manualOverride&quot;:{&quot;isManuallyOverridden&quot;:true,&quot;citeprocText&quot;:&quot;(Cameron et al., 2013a)&quot;,&quot;manualOverrideText&quot;:&quot;(Cameron et al., 2013)&quot;},&quot;citationTag&quot;:&quot;MENDELEY_CITATION_v3_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&quot;}]"/>
    <we:property name="MENDELEY_CITATIONS_STYLE" value="&quot;https://www.zotero.org/styles/apa&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FDD867-3732-CB4C-B831-80BBA4D997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5459</TotalTime>
  <Pages>279</Pages>
  <Words>70282</Words>
  <Characters>400612</Characters>
  <Application>Microsoft Office Word</Application>
  <DocSecurity>0</DocSecurity>
  <Lines>3338</Lines>
  <Paragraphs>939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469955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amal tareif</dc:creator>
  <cp:keywords/>
  <dc:description/>
  <cp:lastModifiedBy>amal tareif</cp:lastModifiedBy>
  <cp:revision>2314</cp:revision>
  <dcterms:created xsi:type="dcterms:W3CDTF">2021-09-30T07:10:00Z</dcterms:created>
  <dcterms:modified xsi:type="dcterms:W3CDTF">2022-07-15T10:53:00Z</dcterms:modified>
</cp:coreProperties>
</file>